
<file path=[Content_Types].xml><?xml version="1.0" encoding="utf-8"?>
<Types xmlns="http://schemas.openxmlformats.org/package/2006/content-types">
  <Default Extension="xml" ContentType="application/xml"/>
  <Default Extension="xlsx" ContentType="application/vnd.openxmlformats-officedocument.spreadsheetml.sheet"/>
  <Default Extension="bin" ContentType="application/vnd.openxmlformats-officedocument.oleObject"/>
  <Default Extension="png" ContentType="image/png"/>
  <Default Extension="emf" ContentType="image/x-emf"/>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53BE1CD4">
      <w:pPr>
        <w:bidi w:val="0"/>
      </w:pPr>
      <w:bookmarkStart w:id="0" w:name="_Toc67041025"/>
      <w:bookmarkStart w:id="1" w:name="_Toc21704"/>
      <w:bookmarkStart w:id="2" w:name="_Toc13159"/>
      <w:r>
        <w:drawing>
          <wp:anchor distT="0" distB="0" distL="114300" distR="114300" simplePos="0" relativeHeight="251726848" behindDoc="0" locked="0" layoutInCell="1" allowOverlap="1">
            <wp:simplePos x="0" y="0"/>
            <wp:positionH relativeFrom="column">
              <wp:posOffset>-1144905</wp:posOffset>
            </wp:positionH>
            <wp:positionV relativeFrom="paragraph">
              <wp:posOffset>-881380</wp:posOffset>
            </wp:positionV>
            <wp:extent cx="7426325" cy="10529570"/>
            <wp:effectExtent l="0" t="0" r="3175" b="5080"/>
            <wp:wrapNone/>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22"/>
                    <a:stretch>
                      <a:fillRect/>
                    </a:stretch>
                  </pic:blipFill>
                  <pic:spPr>
                    <a:xfrm>
                      <a:off x="0" y="0"/>
                      <a:ext cx="7426325" cy="10529570"/>
                    </a:xfrm>
                    <a:prstGeom prst="rect">
                      <a:avLst/>
                    </a:prstGeom>
                    <a:noFill/>
                    <a:ln>
                      <a:noFill/>
                    </a:ln>
                  </pic:spPr>
                </pic:pic>
              </a:graphicData>
            </a:graphic>
          </wp:anchor>
        </w:drawing>
      </w:r>
    </w:p>
    <w:p w14:paraId="0E182BE9">
      <w:pPr>
        <w:bidi w:val="0"/>
      </w:pPr>
      <w:r>
        <w:br w:type="page"/>
      </w:r>
    </w:p>
    <w:p w14:paraId="429E9088">
      <w:pPr>
        <w:bidi w:val="0"/>
      </w:pPr>
      <w:r>
        <w:drawing>
          <wp:anchor distT="0" distB="0" distL="114300" distR="114300" simplePos="0" relativeHeight="251727872" behindDoc="1" locked="0" layoutInCell="1" allowOverlap="1">
            <wp:simplePos x="0" y="0"/>
            <wp:positionH relativeFrom="column">
              <wp:posOffset>-582295</wp:posOffset>
            </wp:positionH>
            <wp:positionV relativeFrom="paragraph">
              <wp:posOffset>-535305</wp:posOffset>
            </wp:positionV>
            <wp:extent cx="6591300" cy="8479155"/>
            <wp:effectExtent l="0" t="0" r="0" b="17145"/>
            <wp:wrapNone/>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23"/>
                    <a:srcRect b="9488"/>
                    <a:stretch>
                      <a:fillRect/>
                    </a:stretch>
                  </pic:blipFill>
                  <pic:spPr>
                    <a:xfrm>
                      <a:off x="0" y="0"/>
                      <a:ext cx="6591300" cy="8479155"/>
                    </a:xfrm>
                    <a:prstGeom prst="rect">
                      <a:avLst/>
                    </a:prstGeom>
                    <a:noFill/>
                    <a:ln>
                      <a:noFill/>
                    </a:ln>
                  </pic:spPr>
                </pic:pic>
              </a:graphicData>
            </a:graphic>
          </wp:anchor>
        </w:drawing>
      </w:r>
      <w:r>
        <w:br w:type="page"/>
      </w:r>
    </w:p>
    <w:p w14:paraId="7B94EABF">
      <w:pPr>
        <w:bidi w:val="0"/>
        <w:sectPr>
          <w:headerReference r:id="rId5" w:type="default"/>
          <w:footerReference r:id="rId6" w:type="default"/>
          <w:pgSz w:w="11910" w:h="16850"/>
          <w:pgMar w:top="1440" w:right="1800" w:bottom="1440" w:left="1800" w:header="884" w:footer="1033" w:gutter="0"/>
          <w:pgBorders>
            <w:top w:val="none" w:sz="0" w:space="0"/>
            <w:left w:val="none" w:sz="0" w:space="0"/>
            <w:bottom w:val="none" w:sz="0" w:space="0"/>
            <w:right w:val="none" w:sz="0" w:space="0"/>
          </w:pgBorders>
          <w:pgNumType w:fmt="decimal" w:chapStyle="1" w:chapSep="emDash"/>
          <w:cols w:space="720" w:num="1"/>
        </w:sectPr>
      </w:pPr>
    </w:p>
    <w:p w14:paraId="7CF1EE9B">
      <w:pPr>
        <w:bidi w:val="0"/>
        <w:sectPr>
          <w:pgSz w:w="11910" w:h="16850"/>
          <w:pgMar w:top="1440" w:right="1800" w:bottom="1440" w:left="1800" w:header="884" w:footer="1033" w:gutter="0"/>
          <w:pgBorders>
            <w:top w:val="none" w:sz="0" w:space="0"/>
            <w:left w:val="none" w:sz="0" w:space="0"/>
            <w:bottom w:val="none" w:sz="0" w:space="0"/>
            <w:right w:val="none" w:sz="0" w:space="0"/>
          </w:pgBorders>
          <w:pgNumType w:fmt="decimal" w:chapStyle="1" w:chapSep="emDash"/>
          <w:cols w:space="720" w:num="1"/>
        </w:sectPr>
      </w:pPr>
      <w:r>
        <w:drawing>
          <wp:anchor distT="0" distB="0" distL="114300" distR="114300" simplePos="0" relativeHeight="251727872" behindDoc="0" locked="0" layoutInCell="1" allowOverlap="1">
            <wp:simplePos x="0" y="0"/>
            <wp:positionH relativeFrom="column">
              <wp:posOffset>-622935</wp:posOffset>
            </wp:positionH>
            <wp:positionV relativeFrom="paragraph">
              <wp:posOffset>-158750</wp:posOffset>
            </wp:positionV>
            <wp:extent cx="6798310" cy="9140190"/>
            <wp:effectExtent l="0" t="0" r="2540" b="3810"/>
            <wp:wrapNone/>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pic:cNvPicPr>
                  </pic:nvPicPr>
                  <pic:blipFill>
                    <a:blip r:embed="rId24"/>
                    <a:stretch>
                      <a:fillRect/>
                    </a:stretch>
                  </pic:blipFill>
                  <pic:spPr>
                    <a:xfrm>
                      <a:off x="0" y="0"/>
                      <a:ext cx="6798310" cy="9140190"/>
                    </a:xfrm>
                    <a:prstGeom prst="rect">
                      <a:avLst/>
                    </a:prstGeom>
                    <a:noFill/>
                    <a:ln>
                      <a:noFill/>
                    </a:ln>
                  </pic:spPr>
                </pic:pic>
              </a:graphicData>
            </a:graphic>
          </wp:anchor>
        </w:drawing>
      </w:r>
    </w:p>
    <w:p w14:paraId="63F9BB35">
      <w:pPr>
        <w:bidi w:val="0"/>
        <w:sectPr>
          <w:pgSz w:w="11910" w:h="16850"/>
          <w:pgMar w:top="1440" w:right="1800" w:bottom="1440" w:left="1800" w:header="884" w:footer="1033" w:gutter="0"/>
          <w:pgBorders>
            <w:top w:val="none" w:sz="0" w:space="0"/>
            <w:left w:val="none" w:sz="0" w:space="0"/>
            <w:bottom w:val="none" w:sz="0" w:space="0"/>
            <w:right w:val="none" w:sz="0" w:space="0"/>
          </w:pgBorders>
          <w:pgNumType w:fmt="decimal" w:chapStyle="1" w:chapSep="emDash"/>
          <w:cols w:space="720" w:num="1"/>
        </w:sectPr>
      </w:pPr>
      <w:r>
        <w:drawing>
          <wp:anchor distT="0" distB="0" distL="114300" distR="114300" simplePos="0" relativeHeight="251728896" behindDoc="0" locked="0" layoutInCell="1" allowOverlap="1">
            <wp:simplePos x="0" y="0"/>
            <wp:positionH relativeFrom="column">
              <wp:posOffset>-699135</wp:posOffset>
            </wp:positionH>
            <wp:positionV relativeFrom="paragraph">
              <wp:posOffset>39370</wp:posOffset>
            </wp:positionV>
            <wp:extent cx="6202045" cy="8618220"/>
            <wp:effectExtent l="0" t="0" r="8255" b="11430"/>
            <wp:wrapNone/>
            <wp:docPr id="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7"/>
                    <pic:cNvPicPr>
                      <a:picLocks noChangeAspect="1"/>
                    </pic:cNvPicPr>
                  </pic:nvPicPr>
                  <pic:blipFill>
                    <a:blip r:embed="rId25"/>
                    <a:stretch>
                      <a:fillRect/>
                    </a:stretch>
                  </pic:blipFill>
                  <pic:spPr>
                    <a:xfrm>
                      <a:off x="0" y="0"/>
                      <a:ext cx="6202045" cy="8618220"/>
                    </a:xfrm>
                    <a:prstGeom prst="rect">
                      <a:avLst/>
                    </a:prstGeom>
                    <a:noFill/>
                    <a:ln>
                      <a:noFill/>
                    </a:ln>
                  </pic:spPr>
                </pic:pic>
              </a:graphicData>
            </a:graphic>
          </wp:anchor>
        </w:drawing>
      </w:r>
    </w:p>
    <w:p w14:paraId="0385CA05">
      <w:pPr>
        <w:bidi w:val="0"/>
        <w:sectPr>
          <w:pgSz w:w="11910" w:h="16850"/>
          <w:pgMar w:top="1440" w:right="1800" w:bottom="1440" w:left="1800" w:header="884" w:footer="1033" w:gutter="0"/>
          <w:pgBorders>
            <w:top w:val="none" w:sz="0" w:space="0"/>
            <w:left w:val="none" w:sz="0" w:space="0"/>
            <w:bottom w:val="none" w:sz="0" w:space="0"/>
            <w:right w:val="none" w:sz="0" w:space="0"/>
          </w:pgBorders>
          <w:pgNumType w:fmt="decimal" w:chapStyle="1" w:chapSep="emDash"/>
          <w:cols w:space="720" w:num="1"/>
        </w:sectPr>
      </w:pPr>
      <w:r>
        <w:drawing>
          <wp:anchor distT="0" distB="0" distL="114300" distR="114300" simplePos="0" relativeHeight="251729920" behindDoc="0" locked="0" layoutInCell="1" allowOverlap="1">
            <wp:simplePos x="0" y="0"/>
            <wp:positionH relativeFrom="column">
              <wp:posOffset>-325755</wp:posOffset>
            </wp:positionH>
            <wp:positionV relativeFrom="paragraph">
              <wp:posOffset>-158115</wp:posOffset>
            </wp:positionV>
            <wp:extent cx="6273800" cy="9330055"/>
            <wp:effectExtent l="0" t="0" r="12700" b="4445"/>
            <wp:wrapNone/>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pic:cNvPicPr>
                      <a:picLocks noChangeAspect="1"/>
                    </pic:cNvPicPr>
                  </pic:nvPicPr>
                  <pic:blipFill>
                    <a:blip r:embed="rId26"/>
                    <a:stretch>
                      <a:fillRect/>
                    </a:stretch>
                  </pic:blipFill>
                  <pic:spPr>
                    <a:xfrm>
                      <a:off x="0" y="0"/>
                      <a:ext cx="6273800" cy="9330055"/>
                    </a:xfrm>
                    <a:prstGeom prst="rect">
                      <a:avLst/>
                    </a:prstGeom>
                    <a:noFill/>
                    <a:ln>
                      <a:noFill/>
                    </a:ln>
                  </pic:spPr>
                </pic:pic>
              </a:graphicData>
            </a:graphic>
          </wp:anchor>
        </w:drawing>
      </w:r>
    </w:p>
    <w:p w14:paraId="539861F5">
      <w:pPr>
        <w:bidi w:val="0"/>
        <w:sectPr>
          <w:pgSz w:w="11910" w:h="16850"/>
          <w:pgMar w:top="1440" w:right="1800" w:bottom="1440" w:left="1800" w:header="884" w:footer="1033" w:gutter="0"/>
          <w:pgBorders>
            <w:top w:val="none" w:sz="0" w:space="0"/>
            <w:left w:val="none" w:sz="0" w:space="0"/>
            <w:bottom w:val="none" w:sz="0" w:space="0"/>
            <w:right w:val="none" w:sz="0" w:space="0"/>
          </w:pgBorders>
          <w:pgNumType w:fmt="decimal" w:chapStyle="1" w:chapSep="emDash"/>
          <w:cols w:space="720" w:num="1"/>
        </w:sectPr>
      </w:pPr>
      <w:r>
        <w:drawing>
          <wp:anchor distT="0" distB="0" distL="114300" distR="114300" simplePos="0" relativeHeight="251730944" behindDoc="0" locked="0" layoutInCell="1" allowOverlap="1">
            <wp:simplePos x="0" y="0"/>
            <wp:positionH relativeFrom="column">
              <wp:posOffset>-217170</wp:posOffset>
            </wp:positionH>
            <wp:positionV relativeFrom="paragraph">
              <wp:posOffset>-170180</wp:posOffset>
            </wp:positionV>
            <wp:extent cx="6421120" cy="9361805"/>
            <wp:effectExtent l="0" t="0" r="17780" b="10795"/>
            <wp:wrapNone/>
            <wp:docPr id="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8"/>
                    <pic:cNvPicPr>
                      <a:picLocks noChangeAspect="1"/>
                    </pic:cNvPicPr>
                  </pic:nvPicPr>
                  <pic:blipFill>
                    <a:blip r:embed="rId27"/>
                    <a:stretch>
                      <a:fillRect/>
                    </a:stretch>
                  </pic:blipFill>
                  <pic:spPr>
                    <a:xfrm>
                      <a:off x="0" y="0"/>
                      <a:ext cx="6421120" cy="9361805"/>
                    </a:xfrm>
                    <a:prstGeom prst="rect">
                      <a:avLst/>
                    </a:prstGeom>
                    <a:noFill/>
                    <a:ln>
                      <a:noFill/>
                    </a:ln>
                  </pic:spPr>
                </pic:pic>
              </a:graphicData>
            </a:graphic>
          </wp:anchor>
        </w:drawing>
      </w:r>
    </w:p>
    <w:p w14:paraId="6784FD10">
      <w:pPr>
        <w:bidi w:val="0"/>
      </w:pPr>
      <w:r>
        <w:drawing>
          <wp:anchor distT="0" distB="0" distL="114300" distR="114300" simplePos="0" relativeHeight="251731968" behindDoc="0" locked="0" layoutInCell="1" allowOverlap="1">
            <wp:simplePos x="0" y="0"/>
            <wp:positionH relativeFrom="column">
              <wp:posOffset>-777875</wp:posOffset>
            </wp:positionH>
            <wp:positionV relativeFrom="paragraph">
              <wp:posOffset>-624205</wp:posOffset>
            </wp:positionV>
            <wp:extent cx="7100570" cy="10040620"/>
            <wp:effectExtent l="0" t="0" r="5080" b="17780"/>
            <wp:wrapNone/>
            <wp:docPr id="90" name="图片 90" descr="修改清单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修改清单_00"/>
                    <pic:cNvPicPr>
                      <a:picLocks noChangeAspect="1"/>
                    </pic:cNvPicPr>
                  </pic:nvPicPr>
                  <pic:blipFill>
                    <a:blip r:embed="rId28"/>
                    <a:stretch>
                      <a:fillRect/>
                    </a:stretch>
                  </pic:blipFill>
                  <pic:spPr>
                    <a:xfrm>
                      <a:off x="0" y="0"/>
                      <a:ext cx="7100570" cy="10040620"/>
                    </a:xfrm>
                    <a:prstGeom prst="rect">
                      <a:avLst/>
                    </a:prstGeom>
                  </pic:spPr>
                </pic:pic>
              </a:graphicData>
            </a:graphic>
          </wp:anchor>
        </w:drawing>
      </w:r>
    </w:p>
    <w:p w14:paraId="124F5DCB">
      <w:pPr>
        <w:bidi w:val="0"/>
      </w:pPr>
      <w:r>
        <w:br w:type="page"/>
      </w:r>
    </w:p>
    <w:p w14:paraId="55EBB337">
      <w:pPr>
        <w:bidi w:val="0"/>
      </w:pPr>
      <w:r>
        <w:drawing>
          <wp:anchor distT="0" distB="0" distL="114300" distR="114300" simplePos="0" relativeHeight="251732992" behindDoc="0" locked="0" layoutInCell="1" allowOverlap="1">
            <wp:simplePos x="0" y="0"/>
            <wp:positionH relativeFrom="column">
              <wp:posOffset>-975360</wp:posOffset>
            </wp:positionH>
            <wp:positionV relativeFrom="paragraph">
              <wp:posOffset>-606425</wp:posOffset>
            </wp:positionV>
            <wp:extent cx="7113270" cy="10059035"/>
            <wp:effectExtent l="0" t="0" r="11430" b="18415"/>
            <wp:wrapNone/>
            <wp:docPr id="89" name="图片 89" descr="修改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修改清单_01"/>
                    <pic:cNvPicPr>
                      <a:picLocks noChangeAspect="1"/>
                    </pic:cNvPicPr>
                  </pic:nvPicPr>
                  <pic:blipFill>
                    <a:blip r:embed="rId29"/>
                    <a:stretch>
                      <a:fillRect/>
                    </a:stretch>
                  </pic:blipFill>
                  <pic:spPr>
                    <a:xfrm>
                      <a:off x="0" y="0"/>
                      <a:ext cx="7113270" cy="10059035"/>
                    </a:xfrm>
                    <a:prstGeom prst="rect">
                      <a:avLst/>
                    </a:prstGeom>
                  </pic:spPr>
                </pic:pic>
              </a:graphicData>
            </a:graphic>
          </wp:anchor>
        </w:drawing>
      </w:r>
    </w:p>
    <w:p w14:paraId="20E41DD7">
      <w:pPr>
        <w:bidi w:val="0"/>
      </w:pPr>
      <w:r>
        <w:br w:type="page"/>
      </w:r>
    </w:p>
    <w:p w14:paraId="51A3F21A">
      <w:pPr>
        <w:bidi w:val="0"/>
        <w:sectPr>
          <w:pgSz w:w="11910" w:h="16850"/>
          <w:pgMar w:top="1440" w:right="1800" w:bottom="1440" w:left="1800" w:header="884" w:footer="1033" w:gutter="0"/>
          <w:pgBorders>
            <w:top w:val="none" w:sz="0" w:space="0"/>
            <w:left w:val="none" w:sz="0" w:space="0"/>
            <w:bottom w:val="none" w:sz="0" w:space="0"/>
            <w:right w:val="none" w:sz="0" w:space="0"/>
          </w:pgBorders>
          <w:pgNumType w:fmt="decimal" w:chapStyle="1" w:chapSep="emDash"/>
          <w:cols w:space="720" w:num="1"/>
        </w:sectPr>
      </w:pPr>
      <w:r>
        <w:drawing>
          <wp:anchor distT="0" distB="0" distL="114300" distR="114300" simplePos="0" relativeHeight="251734016" behindDoc="0" locked="0" layoutInCell="1" allowOverlap="1">
            <wp:simplePos x="0" y="0"/>
            <wp:positionH relativeFrom="column">
              <wp:posOffset>-814070</wp:posOffset>
            </wp:positionH>
            <wp:positionV relativeFrom="paragraph">
              <wp:posOffset>-607060</wp:posOffset>
            </wp:positionV>
            <wp:extent cx="7189470" cy="10166350"/>
            <wp:effectExtent l="0" t="0" r="11430" b="6350"/>
            <wp:wrapNone/>
            <wp:docPr id="86" name="图片 86" descr="修改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修改清单_02"/>
                    <pic:cNvPicPr>
                      <a:picLocks noChangeAspect="1"/>
                    </pic:cNvPicPr>
                  </pic:nvPicPr>
                  <pic:blipFill>
                    <a:blip r:embed="rId30"/>
                    <a:stretch>
                      <a:fillRect/>
                    </a:stretch>
                  </pic:blipFill>
                  <pic:spPr>
                    <a:xfrm>
                      <a:off x="0" y="0"/>
                      <a:ext cx="7189470" cy="10166350"/>
                    </a:xfrm>
                    <a:prstGeom prst="rect">
                      <a:avLst/>
                    </a:prstGeom>
                  </pic:spPr>
                </pic:pic>
              </a:graphicData>
            </a:graphic>
          </wp:anchor>
        </w:drawing>
      </w:r>
    </w:p>
    <w:p w14:paraId="4FFB7A3D">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ascii="宋体" w:hAnsi="宋体"/>
          <w:color w:val="auto"/>
          <w:sz w:val="28"/>
          <w:szCs w:val="28"/>
        </w:rPr>
      </w:pPr>
      <w:r>
        <w:rPr>
          <w:rFonts w:ascii="宋体" w:hAnsi="宋体"/>
          <w:b/>
          <w:bCs/>
          <w:color w:val="auto"/>
          <w:sz w:val="28"/>
          <w:szCs w:val="28"/>
        </w:rPr>
        <w:t>目</w:t>
      </w:r>
      <w:r>
        <w:rPr>
          <w:rFonts w:hint="eastAsia" w:ascii="宋体" w:hAnsi="宋体"/>
          <w:b/>
          <w:bCs/>
          <w:color w:val="auto"/>
          <w:sz w:val="28"/>
          <w:szCs w:val="28"/>
          <w:lang w:val="en-US" w:eastAsia="zh-CN"/>
        </w:rPr>
        <w:t xml:space="preserve">  </w:t>
      </w:r>
      <w:r>
        <w:rPr>
          <w:rFonts w:ascii="宋体" w:hAnsi="宋体"/>
          <w:b/>
          <w:bCs/>
          <w:color w:val="auto"/>
          <w:sz w:val="28"/>
          <w:szCs w:val="28"/>
        </w:rPr>
        <w:t>录</w:t>
      </w:r>
    </w:p>
    <w:p w14:paraId="7C5B2326">
      <w:pPr>
        <w:pStyle w:val="23"/>
        <w:tabs>
          <w:tab w:val="right" w:leader="dot" w:pos="8310"/>
        </w:tabs>
      </w:pPr>
      <w:r>
        <w:rPr>
          <w:color w:val="auto"/>
          <w:sz w:val="21"/>
          <w:szCs w:val="21"/>
        </w:rPr>
        <w:fldChar w:fldCharType="begin"/>
      </w:r>
      <w:r>
        <w:rPr>
          <w:color w:val="auto"/>
          <w:sz w:val="21"/>
          <w:szCs w:val="21"/>
        </w:rPr>
        <w:instrText xml:space="preserve">TOC \o "1-2" \h \u </w:instrText>
      </w:r>
      <w:r>
        <w:rPr>
          <w:color w:val="auto"/>
          <w:sz w:val="21"/>
          <w:szCs w:val="21"/>
        </w:rPr>
        <w:fldChar w:fldCharType="separate"/>
      </w:r>
      <w:r>
        <w:rPr>
          <w:color w:val="auto"/>
          <w:szCs w:val="21"/>
        </w:rPr>
        <w:fldChar w:fldCharType="begin"/>
      </w:r>
      <w:r>
        <w:rPr>
          <w:szCs w:val="21"/>
        </w:rPr>
        <w:instrText xml:space="preserve"> HYPERLINK \l _Toc11171 </w:instrText>
      </w:r>
      <w:r>
        <w:rPr>
          <w:szCs w:val="21"/>
        </w:rPr>
        <w:fldChar w:fldCharType="separate"/>
      </w:r>
      <w:r>
        <w:rPr>
          <w:rFonts w:hint="eastAsia" w:eastAsia="黑体"/>
          <w:bCs/>
          <w:i w:val="0"/>
          <w:szCs w:val="36"/>
        </w:rPr>
        <w:t xml:space="preserve">1 </w:t>
      </w:r>
      <w:r>
        <w:t>概述</w:t>
      </w:r>
      <w:r>
        <w:tab/>
      </w:r>
      <w:r>
        <w:fldChar w:fldCharType="begin"/>
      </w:r>
      <w:r>
        <w:instrText xml:space="preserve"> PAGEREF _Toc11171 \h </w:instrText>
      </w:r>
      <w:r>
        <w:fldChar w:fldCharType="separate"/>
      </w:r>
      <w:r>
        <w:t>1</w:t>
      </w:r>
      <w:r>
        <w:fldChar w:fldCharType="end"/>
      </w:r>
      <w:r>
        <w:rPr>
          <w:color w:val="auto"/>
          <w:szCs w:val="21"/>
        </w:rPr>
        <w:fldChar w:fldCharType="end"/>
      </w:r>
    </w:p>
    <w:p w14:paraId="266ECB4D">
      <w:pPr>
        <w:pStyle w:val="24"/>
        <w:tabs>
          <w:tab w:val="right" w:leader="dot" w:pos="8310"/>
        </w:tabs>
      </w:pPr>
      <w:r>
        <w:rPr>
          <w:color w:val="auto"/>
          <w:szCs w:val="21"/>
        </w:rPr>
        <w:fldChar w:fldCharType="begin"/>
      </w:r>
      <w:r>
        <w:rPr>
          <w:szCs w:val="21"/>
        </w:rPr>
        <w:instrText xml:space="preserve"> HYPERLINK \l _Toc27867 </w:instrText>
      </w:r>
      <w:r>
        <w:rPr>
          <w:szCs w:val="21"/>
        </w:rPr>
        <w:fldChar w:fldCharType="separate"/>
      </w:r>
      <w:r>
        <w:rPr>
          <w:rFonts w:hint="eastAsia"/>
          <w:szCs w:val="32"/>
        </w:rPr>
        <w:t xml:space="preserve">1.1 </w:t>
      </w:r>
      <w:r>
        <w:t>项目由来</w:t>
      </w:r>
      <w:r>
        <w:tab/>
      </w:r>
      <w:r>
        <w:fldChar w:fldCharType="begin"/>
      </w:r>
      <w:r>
        <w:instrText xml:space="preserve"> PAGEREF _Toc27867 \h </w:instrText>
      </w:r>
      <w:r>
        <w:fldChar w:fldCharType="separate"/>
      </w:r>
      <w:r>
        <w:t>1</w:t>
      </w:r>
      <w:r>
        <w:fldChar w:fldCharType="end"/>
      </w:r>
      <w:r>
        <w:rPr>
          <w:color w:val="auto"/>
          <w:szCs w:val="21"/>
        </w:rPr>
        <w:fldChar w:fldCharType="end"/>
      </w:r>
    </w:p>
    <w:p w14:paraId="7630B157">
      <w:pPr>
        <w:pStyle w:val="24"/>
        <w:tabs>
          <w:tab w:val="right" w:leader="dot" w:pos="8310"/>
        </w:tabs>
      </w:pPr>
      <w:r>
        <w:rPr>
          <w:color w:val="auto"/>
          <w:szCs w:val="21"/>
        </w:rPr>
        <w:fldChar w:fldCharType="begin"/>
      </w:r>
      <w:r>
        <w:rPr>
          <w:szCs w:val="21"/>
        </w:rPr>
        <w:instrText xml:space="preserve"> HYPERLINK \l _Toc18353 </w:instrText>
      </w:r>
      <w:r>
        <w:rPr>
          <w:szCs w:val="21"/>
        </w:rPr>
        <w:fldChar w:fldCharType="separate"/>
      </w:r>
      <w:r>
        <w:rPr>
          <w:rFonts w:hint="eastAsia"/>
          <w:szCs w:val="32"/>
        </w:rPr>
        <w:t xml:space="preserve">1.2 </w:t>
      </w:r>
      <w:r>
        <w:rPr>
          <w:rFonts w:hint="eastAsia"/>
        </w:rPr>
        <w:t>建设项目特点</w:t>
      </w:r>
      <w:r>
        <w:tab/>
      </w:r>
      <w:r>
        <w:fldChar w:fldCharType="begin"/>
      </w:r>
      <w:r>
        <w:instrText xml:space="preserve"> PAGEREF _Toc18353 \h </w:instrText>
      </w:r>
      <w:r>
        <w:fldChar w:fldCharType="separate"/>
      </w:r>
      <w:r>
        <w:t>2</w:t>
      </w:r>
      <w:r>
        <w:fldChar w:fldCharType="end"/>
      </w:r>
      <w:r>
        <w:rPr>
          <w:color w:val="auto"/>
          <w:szCs w:val="21"/>
        </w:rPr>
        <w:fldChar w:fldCharType="end"/>
      </w:r>
    </w:p>
    <w:p w14:paraId="44F3D99B">
      <w:pPr>
        <w:pStyle w:val="24"/>
        <w:tabs>
          <w:tab w:val="right" w:leader="dot" w:pos="8310"/>
        </w:tabs>
      </w:pPr>
      <w:r>
        <w:rPr>
          <w:color w:val="auto"/>
          <w:szCs w:val="21"/>
        </w:rPr>
        <w:fldChar w:fldCharType="begin"/>
      </w:r>
      <w:r>
        <w:rPr>
          <w:szCs w:val="21"/>
        </w:rPr>
        <w:instrText xml:space="preserve"> HYPERLINK \l _Toc19428 </w:instrText>
      </w:r>
      <w:r>
        <w:rPr>
          <w:szCs w:val="21"/>
        </w:rPr>
        <w:fldChar w:fldCharType="separate"/>
      </w:r>
      <w:r>
        <w:rPr>
          <w:rFonts w:hint="eastAsia"/>
          <w:szCs w:val="32"/>
        </w:rPr>
        <w:t xml:space="preserve">1.3 </w:t>
      </w:r>
      <w:r>
        <w:rPr>
          <w:rFonts w:hint="eastAsia"/>
        </w:rPr>
        <w:t>环境特点</w:t>
      </w:r>
      <w:r>
        <w:tab/>
      </w:r>
      <w:r>
        <w:fldChar w:fldCharType="begin"/>
      </w:r>
      <w:r>
        <w:instrText xml:space="preserve"> PAGEREF _Toc19428 \h </w:instrText>
      </w:r>
      <w:r>
        <w:fldChar w:fldCharType="separate"/>
      </w:r>
      <w:r>
        <w:t>3</w:t>
      </w:r>
      <w:r>
        <w:fldChar w:fldCharType="end"/>
      </w:r>
      <w:r>
        <w:rPr>
          <w:color w:val="auto"/>
          <w:szCs w:val="21"/>
        </w:rPr>
        <w:fldChar w:fldCharType="end"/>
      </w:r>
    </w:p>
    <w:p w14:paraId="09D03BEB">
      <w:pPr>
        <w:pStyle w:val="24"/>
        <w:tabs>
          <w:tab w:val="right" w:leader="dot" w:pos="8310"/>
        </w:tabs>
      </w:pPr>
      <w:r>
        <w:rPr>
          <w:color w:val="auto"/>
          <w:szCs w:val="21"/>
        </w:rPr>
        <w:fldChar w:fldCharType="begin"/>
      </w:r>
      <w:r>
        <w:rPr>
          <w:szCs w:val="21"/>
        </w:rPr>
        <w:instrText xml:space="preserve"> HYPERLINK \l _Toc28828 </w:instrText>
      </w:r>
      <w:r>
        <w:rPr>
          <w:szCs w:val="21"/>
        </w:rPr>
        <w:fldChar w:fldCharType="separate"/>
      </w:r>
      <w:r>
        <w:rPr>
          <w:rFonts w:hint="eastAsia"/>
          <w:szCs w:val="32"/>
        </w:rPr>
        <w:t xml:space="preserve">1.4 </w:t>
      </w:r>
      <w:r>
        <w:t>工作过程</w:t>
      </w:r>
      <w:r>
        <w:tab/>
      </w:r>
      <w:r>
        <w:fldChar w:fldCharType="begin"/>
      </w:r>
      <w:r>
        <w:instrText xml:space="preserve"> PAGEREF _Toc28828 \h </w:instrText>
      </w:r>
      <w:r>
        <w:fldChar w:fldCharType="separate"/>
      </w:r>
      <w:r>
        <w:t>3</w:t>
      </w:r>
      <w:r>
        <w:fldChar w:fldCharType="end"/>
      </w:r>
      <w:r>
        <w:rPr>
          <w:color w:val="auto"/>
          <w:szCs w:val="21"/>
        </w:rPr>
        <w:fldChar w:fldCharType="end"/>
      </w:r>
    </w:p>
    <w:p w14:paraId="02CACB71">
      <w:pPr>
        <w:pStyle w:val="24"/>
        <w:tabs>
          <w:tab w:val="right" w:leader="dot" w:pos="8310"/>
        </w:tabs>
      </w:pPr>
      <w:r>
        <w:rPr>
          <w:color w:val="auto"/>
          <w:szCs w:val="21"/>
        </w:rPr>
        <w:fldChar w:fldCharType="begin"/>
      </w:r>
      <w:r>
        <w:rPr>
          <w:szCs w:val="21"/>
        </w:rPr>
        <w:instrText xml:space="preserve"> HYPERLINK \l _Toc24626 </w:instrText>
      </w:r>
      <w:r>
        <w:rPr>
          <w:szCs w:val="21"/>
        </w:rPr>
        <w:fldChar w:fldCharType="separate"/>
      </w:r>
      <w:r>
        <w:rPr>
          <w:rFonts w:hint="eastAsia"/>
          <w:szCs w:val="32"/>
          <w:lang w:val="en-US" w:eastAsia="zh-CN"/>
        </w:rPr>
        <w:t xml:space="preserve">1.5 </w:t>
      </w:r>
      <w:r>
        <w:rPr>
          <w:rFonts w:hint="eastAsia"/>
          <w:lang w:val="en-US" w:eastAsia="zh-CN"/>
        </w:rPr>
        <w:t>分析判定相关情况</w:t>
      </w:r>
      <w:r>
        <w:tab/>
      </w:r>
      <w:r>
        <w:fldChar w:fldCharType="begin"/>
      </w:r>
      <w:r>
        <w:instrText xml:space="preserve"> PAGEREF _Toc24626 \h </w:instrText>
      </w:r>
      <w:r>
        <w:fldChar w:fldCharType="separate"/>
      </w:r>
      <w:r>
        <w:t>4</w:t>
      </w:r>
      <w:r>
        <w:fldChar w:fldCharType="end"/>
      </w:r>
      <w:r>
        <w:rPr>
          <w:color w:val="auto"/>
          <w:szCs w:val="21"/>
        </w:rPr>
        <w:fldChar w:fldCharType="end"/>
      </w:r>
    </w:p>
    <w:p w14:paraId="5FC9D88C">
      <w:pPr>
        <w:pStyle w:val="24"/>
        <w:tabs>
          <w:tab w:val="right" w:leader="dot" w:pos="8310"/>
        </w:tabs>
      </w:pPr>
      <w:r>
        <w:rPr>
          <w:color w:val="auto"/>
          <w:szCs w:val="21"/>
        </w:rPr>
        <w:fldChar w:fldCharType="begin"/>
      </w:r>
      <w:r>
        <w:rPr>
          <w:szCs w:val="21"/>
        </w:rPr>
        <w:instrText xml:space="preserve"> HYPERLINK \l _Toc25382 </w:instrText>
      </w:r>
      <w:r>
        <w:rPr>
          <w:szCs w:val="21"/>
        </w:rPr>
        <w:fldChar w:fldCharType="separate"/>
      </w:r>
      <w:r>
        <w:rPr>
          <w:rFonts w:hint="eastAsia"/>
          <w:szCs w:val="32"/>
        </w:rPr>
        <w:t xml:space="preserve">1.6 </w:t>
      </w:r>
      <w:r>
        <w:t>项目关注的主要环境问题</w:t>
      </w:r>
      <w:r>
        <w:tab/>
      </w:r>
      <w:r>
        <w:fldChar w:fldCharType="begin"/>
      </w:r>
      <w:r>
        <w:instrText xml:space="preserve"> PAGEREF _Toc25382 \h </w:instrText>
      </w:r>
      <w:r>
        <w:fldChar w:fldCharType="separate"/>
      </w:r>
      <w:r>
        <w:t>16</w:t>
      </w:r>
      <w:r>
        <w:fldChar w:fldCharType="end"/>
      </w:r>
      <w:r>
        <w:rPr>
          <w:color w:val="auto"/>
          <w:szCs w:val="21"/>
        </w:rPr>
        <w:fldChar w:fldCharType="end"/>
      </w:r>
    </w:p>
    <w:p w14:paraId="52E795E2">
      <w:pPr>
        <w:pStyle w:val="24"/>
        <w:tabs>
          <w:tab w:val="right" w:leader="dot" w:pos="8310"/>
        </w:tabs>
      </w:pPr>
      <w:r>
        <w:rPr>
          <w:color w:val="auto"/>
          <w:szCs w:val="21"/>
        </w:rPr>
        <w:fldChar w:fldCharType="begin"/>
      </w:r>
      <w:r>
        <w:rPr>
          <w:szCs w:val="21"/>
        </w:rPr>
        <w:instrText xml:space="preserve"> HYPERLINK \l _Toc25687 </w:instrText>
      </w:r>
      <w:r>
        <w:rPr>
          <w:szCs w:val="21"/>
        </w:rPr>
        <w:fldChar w:fldCharType="separate"/>
      </w:r>
      <w:r>
        <w:rPr>
          <w:rFonts w:hint="eastAsia"/>
          <w:szCs w:val="32"/>
        </w:rPr>
        <w:t xml:space="preserve">1.7 </w:t>
      </w:r>
      <w:r>
        <w:t>环境影响</w:t>
      </w:r>
      <w:r>
        <w:rPr>
          <w:rFonts w:hint="eastAsia"/>
        </w:rPr>
        <w:t>评价</w:t>
      </w:r>
      <w:r>
        <w:t>主要结论</w:t>
      </w:r>
      <w:r>
        <w:tab/>
      </w:r>
      <w:r>
        <w:fldChar w:fldCharType="begin"/>
      </w:r>
      <w:r>
        <w:instrText xml:space="preserve"> PAGEREF _Toc25687 \h </w:instrText>
      </w:r>
      <w:r>
        <w:fldChar w:fldCharType="separate"/>
      </w:r>
      <w:r>
        <w:t>17</w:t>
      </w:r>
      <w:r>
        <w:fldChar w:fldCharType="end"/>
      </w:r>
      <w:r>
        <w:rPr>
          <w:color w:val="auto"/>
          <w:szCs w:val="21"/>
        </w:rPr>
        <w:fldChar w:fldCharType="end"/>
      </w:r>
    </w:p>
    <w:p w14:paraId="409F4D38">
      <w:pPr>
        <w:pStyle w:val="23"/>
        <w:tabs>
          <w:tab w:val="right" w:leader="dot" w:pos="8310"/>
        </w:tabs>
      </w:pPr>
      <w:r>
        <w:rPr>
          <w:color w:val="auto"/>
          <w:szCs w:val="21"/>
        </w:rPr>
        <w:fldChar w:fldCharType="begin"/>
      </w:r>
      <w:r>
        <w:rPr>
          <w:szCs w:val="21"/>
        </w:rPr>
        <w:instrText xml:space="preserve"> HYPERLINK \l _Toc1289 </w:instrText>
      </w:r>
      <w:r>
        <w:rPr>
          <w:szCs w:val="21"/>
        </w:rPr>
        <w:fldChar w:fldCharType="separate"/>
      </w:r>
      <w:r>
        <w:rPr>
          <w:rFonts w:hint="eastAsia" w:eastAsia="黑体"/>
          <w:bCs/>
          <w:i w:val="0"/>
          <w:szCs w:val="36"/>
        </w:rPr>
        <w:t xml:space="preserve">2 </w:t>
      </w:r>
      <w:r>
        <w:t>总则</w:t>
      </w:r>
      <w:r>
        <w:tab/>
      </w:r>
      <w:r>
        <w:fldChar w:fldCharType="begin"/>
      </w:r>
      <w:r>
        <w:instrText xml:space="preserve"> PAGEREF _Toc1289 \h </w:instrText>
      </w:r>
      <w:r>
        <w:fldChar w:fldCharType="separate"/>
      </w:r>
      <w:r>
        <w:t>18</w:t>
      </w:r>
      <w:r>
        <w:fldChar w:fldCharType="end"/>
      </w:r>
      <w:r>
        <w:rPr>
          <w:color w:val="auto"/>
          <w:szCs w:val="21"/>
        </w:rPr>
        <w:fldChar w:fldCharType="end"/>
      </w:r>
    </w:p>
    <w:p w14:paraId="40258A88">
      <w:pPr>
        <w:pStyle w:val="24"/>
        <w:tabs>
          <w:tab w:val="right" w:leader="dot" w:pos="8310"/>
        </w:tabs>
      </w:pPr>
      <w:r>
        <w:rPr>
          <w:color w:val="auto"/>
          <w:szCs w:val="21"/>
        </w:rPr>
        <w:fldChar w:fldCharType="begin"/>
      </w:r>
      <w:r>
        <w:rPr>
          <w:szCs w:val="21"/>
        </w:rPr>
        <w:instrText xml:space="preserve"> HYPERLINK \l _Toc11985 </w:instrText>
      </w:r>
      <w:r>
        <w:rPr>
          <w:szCs w:val="21"/>
        </w:rPr>
        <w:fldChar w:fldCharType="separate"/>
      </w:r>
      <w:r>
        <w:rPr>
          <w:rFonts w:hint="eastAsia"/>
          <w:szCs w:val="32"/>
        </w:rPr>
        <w:t xml:space="preserve">2.1 </w:t>
      </w:r>
      <w:r>
        <w:t>编制依据</w:t>
      </w:r>
      <w:r>
        <w:tab/>
      </w:r>
      <w:r>
        <w:fldChar w:fldCharType="begin"/>
      </w:r>
      <w:r>
        <w:instrText xml:space="preserve"> PAGEREF _Toc11985 \h </w:instrText>
      </w:r>
      <w:r>
        <w:fldChar w:fldCharType="separate"/>
      </w:r>
      <w:r>
        <w:t>18</w:t>
      </w:r>
      <w:r>
        <w:fldChar w:fldCharType="end"/>
      </w:r>
      <w:r>
        <w:rPr>
          <w:color w:val="auto"/>
          <w:szCs w:val="21"/>
        </w:rPr>
        <w:fldChar w:fldCharType="end"/>
      </w:r>
    </w:p>
    <w:p w14:paraId="79003FE8">
      <w:pPr>
        <w:pStyle w:val="24"/>
        <w:tabs>
          <w:tab w:val="right" w:leader="dot" w:pos="8310"/>
        </w:tabs>
      </w:pPr>
      <w:r>
        <w:rPr>
          <w:color w:val="auto"/>
          <w:szCs w:val="21"/>
        </w:rPr>
        <w:fldChar w:fldCharType="begin"/>
      </w:r>
      <w:r>
        <w:rPr>
          <w:szCs w:val="21"/>
        </w:rPr>
        <w:instrText xml:space="preserve"> HYPERLINK \l _Toc25554 </w:instrText>
      </w:r>
      <w:r>
        <w:rPr>
          <w:szCs w:val="21"/>
        </w:rPr>
        <w:fldChar w:fldCharType="separate"/>
      </w:r>
      <w:r>
        <w:rPr>
          <w:rFonts w:hint="eastAsia"/>
          <w:szCs w:val="32"/>
        </w:rPr>
        <w:t xml:space="preserve">2.2 </w:t>
      </w:r>
      <w:r>
        <w:t>评价目的和原则</w:t>
      </w:r>
      <w:r>
        <w:tab/>
      </w:r>
      <w:r>
        <w:fldChar w:fldCharType="begin"/>
      </w:r>
      <w:r>
        <w:instrText xml:space="preserve"> PAGEREF _Toc25554 \h </w:instrText>
      </w:r>
      <w:r>
        <w:fldChar w:fldCharType="separate"/>
      </w:r>
      <w:r>
        <w:t>20</w:t>
      </w:r>
      <w:r>
        <w:fldChar w:fldCharType="end"/>
      </w:r>
      <w:r>
        <w:rPr>
          <w:color w:val="auto"/>
          <w:szCs w:val="21"/>
        </w:rPr>
        <w:fldChar w:fldCharType="end"/>
      </w:r>
    </w:p>
    <w:p w14:paraId="00C3DE89">
      <w:pPr>
        <w:pStyle w:val="24"/>
        <w:tabs>
          <w:tab w:val="right" w:leader="dot" w:pos="8310"/>
        </w:tabs>
      </w:pPr>
      <w:r>
        <w:rPr>
          <w:color w:val="auto"/>
          <w:szCs w:val="21"/>
        </w:rPr>
        <w:fldChar w:fldCharType="begin"/>
      </w:r>
      <w:r>
        <w:rPr>
          <w:szCs w:val="21"/>
        </w:rPr>
        <w:instrText xml:space="preserve"> HYPERLINK \l _Toc27634 </w:instrText>
      </w:r>
      <w:r>
        <w:rPr>
          <w:szCs w:val="21"/>
        </w:rPr>
        <w:fldChar w:fldCharType="separate"/>
      </w:r>
      <w:r>
        <w:rPr>
          <w:rFonts w:hint="eastAsia"/>
          <w:szCs w:val="32"/>
        </w:rPr>
        <w:t xml:space="preserve">2.3 </w:t>
      </w:r>
      <w:r>
        <w:t>环境影响因子识别与筛选</w:t>
      </w:r>
      <w:r>
        <w:tab/>
      </w:r>
      <w:r>
        <w:fldChar w:fldCharType="begin"/>
      </w:r>
      <w:r>
        <w:instrText xml:space="preserve"> PAGEREF _Toc27634 \h </w:instrText>
      </w:r>
      <w:r>
        <w:fldChar w:fldCharType="separate"/>
      </w:r>
      <w:r>
        <w:t>20</w:t>
      </w:r>
      <w:r>
        <w:fldChar w:fldCharType="end"/>
      </w:r>
      <w:r>
        <w:rPr>
          <w:color w:val="auto"/>
          <w:szCs w:val="21"/>
        </w:rPr>
        <w:fldChar w:fldCharType="end"/>
      </w:r>
    </w:p>
    <w:p w14:paraId="4D3839CF">
      <w:pPr>
        <w:pStyle w:val="24"/>
        <w:tabs>
          <w:tab w:val="right" w:leader="dot" w:pos="8310"/>
        </w:tabs>
      </w:pPr>
      <w:r>
        <w:rPr>
          <w:color w:val="auto"/>
          <w:szCs w:val="21"/>
        </w:rPr>
        <w:fldChar w:fldCharType="begin"/>
      </w:r>
      <w:r>
        <w:rPr>
          <w:szCs w:val="21"/>
        </w:rPr>
        <w:instrText xml:space="preserve"> HYPERLINK \l _Toc25498 </w:instrText>
      </w:r>
      <w:r>
        <w:rPr>
          <w:szCs w:val="21"/>
        </w:rPr>
        <w:fldChar w:fldCharType="separate"/>
      </w:r>
      <w:r>
        <w:rPr>
          <w:rFonts w:hint="eastAsia"/>
          <w:szCs w:val="32"/>
        </w:rPr>
        <w:t xml:space="preserve">2.4 </w:t>
      </w:r>
      <w:r>
        <w:t>污染控制与环境保护目标</w:t>
      </w:r>
      <w:r>
        <w:tab/>
      </w:r>
      <w:r>
        <w:fldChar w:fldCharType="begin"/>
      </w:r>
      <w:r>
        <w:instrText xml:space="preserve"> PAGEREF _Toc25498 \h </w:instrText>
      </w:r>
      <w:r>
        <w:fldChar w:fldCharType="separate"/>
      </w:r>
      <w:r>
        <w:t>22</w:t>
      </w:r>
      <w:r>
        <w:fldChar w:fldCharType="end"/>
      </w:r>
      <w:r>
        <w:rPr>
          <w:color w:val="auto"/>
          <w:szCs w:val="21"/>
        </w:rPr>
        <w:fldChar w:fldCharType="end"/>
      </w:r>
    </w:p>
    <w:p w14:paraId="25FFC2C8">
      <w:pPr>
        <w:pStyle w:val="24"/>
        <w:tabs>
          <w:tab w:val="right" w:leader="dot" w:pos="8310"/>
        </w:tabs>
      </w:pPr>
      <w:r>
        <w:rPr>
          <w:color w:val="auto"/>
          <w:szCs w:val="21"/>
        </w:rPr>
        <w:fldChar w:fldCharType="begin"/>
      </w:r>
      <w:r>
        <w:rPr>
          <w:szCs w:val="21"/>
        </w:rPr>
        <w:instrText xml:space="preserve"> HYPERLINK \l _Toc31802 </w:instrText>
      </w:r>
      <w:r>
        <w:rPr>
          <w:szCs w:val="21"/>
        </w:rPr>
        <w:fldChar w:fldCharType="separate"/>
      </w:r>
      <w:r>
        <w:rPr>
          <w:rFonts w:hint="eastAsia"/>
          <w:szCs w:val="32"/>
        </w:rPr>
        <w:t xml:space="preserve">2.5 </w:t>
      </w:r>
      <w:r>
        <w:t>评价</w:t>
      </w:r>
      <w:r>
        <w:rPr>
          <w:rFonts w:hint="eastAsia"/>
        </w:rPr>
        <w:t>工作</w:t>
      </w:r>
      <w:r>
        <w:t>等级</w:t>
      </w:r>
      <w:r>
        <w:tab/>
      </w:r>
      <w:r>
        <w:fldChar w:fldCharType="begin"/>
      </w:r>
      <w:r>
        <w:instrText xml:space="preserve"> PAGEREF _Toc31802 \h </w:instrText>
      </w:r>
      <w:r>
        <w:fldChar w:fldCharType="separate"/>
      </w:r>
      <w:r>
        <w:t>22</w:t>
      </w:r>
      <w:r>
        <w:fldChar w:fldCharType="end"/>
      </w:r>
      <w:r>
        <w:rPr>
          <w:color w:val="auto"/>
          <w:szCs w:val="21"/>
        </w:rPr>
        <w:fldChar w:fldCharType="end"/>
      </w:r>
    </w:p>
    <w:p w14:paraId="33E4C191">
      <w:pPr>
        <w:pStyle w:val="24"/>
        <w:tabs>
          <w:tab w:val="right" w:leader="dot" w:pos="8310"/>
        </w:tabs>
      </w:pPr>
      <w:r>
        <w:rPr>
          <w:color w:val="auto"/>
          <w:szCs w:val="21"/>
        </w:rPr>
        <w:fldChar w:fldCharType="begin"/>
      </w:r>
      <w:r>
        <w:rPr>
          <w:szCs w:val="21"/>
        </w:rPr>
        <w:instrText xml:space="preserve"> HYPERLINK \l _Toc25730 </w:instrText>
      </w:r>
      <w:r>
        <w:rPr>
          <w:szCs w:val="21"/>
        </w:rPr>
        <w:fldChar w:fldCharType="separate"/>
      </w:r>
      <w:r>
        <w:rPr>
          <w:rFonts w:hint="eastAsia"/>
          <w:szCs w:val="32"/>
        </w:rPr>
        <w:t xml:space="preserve">2.6 </w:t>
      </w:r>
      <w:r>
        <w:t>环境保护目标</w:t>
      </w:r>
      <w:r>
        <w:tab/>
      </w:r>
      <w:r>
        <w:fldChar w:fldCharType="begin"/>
      </w:r>
      <w:r>
        <w:instrText xml:space="preserve"> PAGEREF _Toc25730 \h </w:instrText>
      </w:r>
      <w:r>
        <w:fldChar w:fldCharType="separate"/>
      </w:r>
      <w:r>
        <w:t>28</w:t>
      </w:r>
      <w:r>
        <w:fldChar w:fldCharType="end"/>
      </w:r>
      <w:r>
        <w:rPr>
          <w:color w:val="auto"/>
          <w:szCs w:val="21"/>
        </w:rPr>
        <w:fldChar w:fldCharType="end"/>
      </w:r>
    </w:p>
    <w:p w14:paraId="48422FFC">
      <w:pPr>
        <w:pStyle w:val="24"/>
        <w:tabs>
          <w:tab w:val="right" w:leader="dot" w:pos="8310"/>
        </w:tabs>
      </w:pPr>
      <w:r>
        <w:rPr>
          <w:color w:val="auto"/>
          <w:szCs w:val="21"/>
        </w:rPr>
        <w:fldChar w:fldCharType="begin"/>
      </w:r>
      <w:r>
        <w:rPr>
          <w:szCs w:val="21"/>
        </w:rPr>
        <w:instrText xml:space="preserve"> HYPERLINK \l _Toc16990 </w:instrText>
      </w:r>
      <w:r>
        <w:rPr>
          <w:szCs w:val="21"/>
        </w:rPr>
        <w:fldChar w:fldCharType="separate"/>
      </w:r>
      <w:r>
        <w:rPr>
          <w:rFonts w:hint="eastAsia"/>
          <w:szCs w:val="32"/>
        </w:rPr>
        <w:t xml:space="preserve">2.7 </w:t>
      </w:r>
      <w:r>
        <w:t>评价标准</w:t>
      </w:r>
      <w:r>
        <w:tab/>
      </w:r>
      <w:r>
        <w:fldChar w:fldCharType="begin"/>
      </w:r>
      <w:r>
        <w:instrText xml:space="preserve"> PAGEREF _Toc16990 \h </w:instrText>
      </w:r>
      <w:r>
        <w:fldChar w:fldCharType="separate"/>
      </w:r>
      <w:r>
        <w:t>31</w:t>
      </w:r>
      <w:r>
        <w:fldChar w:fldCharType="end"/>
      </w:r>
      <w:r>
        <w:rPr>
          <w:color w:val="auto"/>
          <w:szCs w:val="21"/>
        </w:rPr>
        <w:fldChar w:fldCharType="end"/>
      </w:r>
    </w:p>
    <w:p w14:paraId="785D3296">
      <w:pPr>
        <w:pStyle w:val="24"/>
        <w:tabs>
          <w:tab w:val="right" w:leader="dot" w:pos="8310"/>
        </w:tabs>
      </w:pPr>
      <w:r>
        <w:rPr>
          <w:color w:val="auto"/>
          <w:szCs w:val="21"/>
        </w:rPr>
        <w:fldChar w:fldCharType="begin"/>
      </w:r>
      <w:r>
        <w:rPr>
          <w:szCs w:val="21"/>
        </w:rPr>
        <w:instrText xml:space="preserve"> HYPERLINK \l _Toc7457 </w:instrText>
      </w:r>
      <w:r>
        <w:rPr>
          <w:szCs w:val="21"/>
        </w:rPr>
        <w:fldChar w:fldCharType="separate"/>
      </w:r>
      <w:r>
        <w:rPr>
          <w:rFonts w:hint="eastAsia" w:eastAsia="宋体"/>
          <w:bCs/>
          <w:szCs w:val="32"/>
          <w:lang w:eastAsia="zh-CN"/>
        </w:rPr>
        <w:t xml:space="preserve">2.8 </w:t>
      </w:r>
      <w:r>
        <w:rPr>
          <w:rFonts w:hint="eastAsia" w:eastAsia="宋体"/>
          <w:bCs/>
          <w:lang w:eastAsia="zh-CN"/>
        </w:rPr>
        <w:t>环境功能区划</w:t>
      </w:r>
      <w:r>
        <w:tab/>
      </w:r>
      <w:r>
        <w:fldChar w:fldCharType="begin"/>
      </w:r>
      <w:r>
        <w:instrText xml:space="preserve"> PAGEREF _Toc7457 \h </w:instrText>
      </w:r>
      <w:r>
        <w:fldChar w:fldCharType="separate"/>
      </w:r>
      <w:r>
        <w:t>35</w:t>
      </w:r>
      <w:r>
        <w:fldChar w:fldCharType="end"/>
      </w:r>
      <w:r>
        <w:rPr>
          <w:color w:val="auto"/>
          <w:szCs w:val="21"/>
        </w:rPr>
        <w:fldChar w:fldCharType="end"/>
      </w:r>
    </w:p>
    <w:p w14:paraId="1A2C12BD">
      <w:pPr>
        <w:pStyle w:val="24"/>
        <w:tabs>
          <w:tab w:val="right" w:leader="dot" w:pos="8310"/>
        </w:tabs>
      </w:pPr>
      <w:r>
        <w:rPr>
          <w:color w:val="auto"/>
          <w:szCs w:val="21"/>
        </w:rPr>
        <w:fldChar w:fldCharType="begin"/>
      </w:r>
      <w:r>
        <w:rPr>
          <w:szCs w:val="21"/>
        </w:rPr>
        <w:instrText xml:space="preserve"> HYPERLINK \l _Toc18052 </w:instrText>
      </w:r>
      <w:r>
        <w:rPr>
          <w:szCs w:val="21"/>
        </w:rPr>
        <w:fldChar w:fldCharType="separate"/>
      </w:r>
      <w:r>
        <w:rPr>
          <w:rFonts w:hint="eastAsia"/>
          <w:szCs w:val="32"/>
        </w:rPr>
        <w:t xml:space="preserve">2.9 </w:t>
      </w:r>
      <w:r>
        <w:rPr>
          <w:rFonts w:hint="eastAsia"/>
        </w:rPr>
        <w:t>规划相符性分析</w:t>
      </w:r>
      <w:r>
        <w:tab/>
      </w:r>
      <w:r>
        <w:fldChar w:fldCharType="begin"/>
      </w:r>
      <w:r>
        <w:instrText xml:space="preserve"> PAGEREF _Toc18052 \h </w:instrText>
      </w:r>
      <w:r>
        <w:fldChar w:fldCharType="separate"/>
      </w:r>
      <w:r>
        <w:t>36</w:t>
      </w:r>
      <w:r>
        <w:fldChar w:fldCharType="end"/>
      </w:r>
      <w:r>
        <w:rPr>
          <w:color w:val="auto"/>
          <w:szCs w:val="21"/>
        </w:rPr>
        <w:fldChar w:fldCharType="end"/>
      </w:r>
    </w:p>
    <w:p w14:paraId="052522BD">
      <w:pPr>
        <w:pStyle w:val="24"/>
        <w:tabs>
          <w:tab w:val="right" w:leader="dot" w:pos="8310"/>
        </w:tabs>
      </w:pPr>
      <w:r>
        <w:rPr>
          <w:color w:val="auto"/>
          <w:szCs w:val="21"/>
        </w:rPr>
        <w:fldChar w:fldCharType="begin"/>
      </w:r>
      <w:r>
        <w:rPr>
          <w:szCs w:val="21"/>
        </w:rPr>
        <w:instrText xml:space="preserve"> HYPERLINK \l _Toc6465 </w:instrText>
      </w:r>
      <w:r>
        <w:rPr>
          <w:szCs w:val="21"/>
        </w:rPr>
        <w:fldChar w:fldCharType="separate"/>
      </w:r>
      <w:r>
        <w:rPr>
          <w:rFonts w:hint="eastAsia"/>
          <w:szCs w:val="32"/>
          <w:lang w:val="en-US" w:eastAsia="zh-CN"/>
        </w:rPr>
        <w:t xml:space="preserve">2.10 </w:t>
      </w:r>
      <w:r>
        <w:rPr>
          <w:rFonts w:hint="eastAsia"/>
          <w:lang w:val="en-US" w:eastAsia="zh-CN"/>
        </w:rPr>
        <w:t>相关文件相符性</w:t>
      </w:r>
      <w:r>
        <w:tab/>
      </w:r>
      <w:r>
        <w:fldChar w:fldCharType="begin"/>
      </w:r>
      <w:r>
        <w:instrText xml:space="preserve"> PAGEREF _Toc6465 \h </w:instrText>
      </w:r>
      <w:r>
        <w:fldChar w:fldCharType="separate"/>
      </w:r>
      <w:r>
        <w:t>46</w:t>
      </w:r>
      <w:r>
        <w:fldChar w:fldCharType="end"/>
      </w:r>
      <w:r>
        <w:rPr>
          <w:color w:val="auto"/>
          <w:szCs w:val="21"/>
        </w:rPr>
        <w:fldChar w:fldCharType="end"/>
      </w:r>
    </w:p>
    <w:p w14:paraId="36E0E5AB">
      <w:pPr>
        <w:pStyle w:val="23"/>
        <w:tabs>
          <w:tab w:val="right" w:leader="dot" w:pos="8310"/>
        </w:tabs>
      </w:pPr>
      <w:r>
        <w:rPr>
          <w:color w:val="auto"/>
          <w:szCs w:val="21"/>
        </w:rPr>
        <w:fldChar w:fldCharType="begin"/>
      </w:r>
      <w:r>
        <w:rPr>
          <w:szCs w:val="21"/>
        </w:rPr>
        <w:instrText xml:space="preserve"> HYPERLINK \l _Toc140 </w:instrText>
      </w:r>
      <w:r>
        <w:rPr>
          <w:szCs w:val="21"/>
        </w:rPr>
        <w:fldChar w:fldCharType="separate"/>
      </w:r>
      <w:r>
        <w:rPr>
          <w:rFonts w:hint="eastAsia" w:eastAsia="黑体"/>
          <w:bCs/>
          <w:i w:val="0"/>
          <w:szCs w:val="36"/>
        </w:rPr>
        <w:t xml:space="preserve">3 </w:t>
      </w:r>
      <w:r>
        <w:rPr>
          <w:rFonts w:hint="eastAsia"/>
          <w:lang w:val="en-US" w:eastAsia="zh-CN"/>
        </w:rPr>
        <w:t>现有</w:t>
      </w:r>
      <w:r>
        <w:rPr>
          <w:rFonts w:hint="eastAsia"/>
        </w:rPr>
        <w:t>工程分析</w:t>
      </w:r>
      <w:r>
        <w:tab/>
      </w:r>
      <w:r>
        <w:fldChar w:fldCharType="begin"/>
      </w:r>
      <w:r>
        <w:instrText xml:space="preserve"> PAGEREF _Toc140 \h </w:instrText>
      </w:r>
      <w:r>
        <w:fldChar w:fldCharType="separate"/>
      </w:r>
      <w:r>
        <w:t>60</w:t>
      </w:r>
      <w:r>
        <w:fldChar w:fldCharType="end"/>
      </w:r>
      <w:r>
        <w:rPr>
          <w:color w:val="auto"/>
          <w:szCs w:val="21"/>
        </w:rPr>
        <w:fldChar w:fldCharType="end"/>
      </w:r>
    </w:p>
    <w:p w14:paraId="4EA915B8">
      <w:pPr>
        <w:pStyle w:val="24"/>
        <w:tabs>
          <w:tab w:val="right" w:leader="dot" w:pos="8310"/>
        </w:tabs>
      </w:pPr>
      <w:r>
        <w:rPr>
          <w:color w:val="auto"/>
          <w:szCs w:val="21"/>
        </w:rPr>
        <w:fldChar w:fldCharType="begin"/>
      </w:r>
      <w:r>
        <w:rPr>
          <w:szCs w:val="21"/>
        </w:rPr>
        <w:instrText xml:space="preserve"> HYPERLINK \l _Toc1946 </w:instrText>
      </w:r>
      <w:r>
        <w:rPr>
          <w:szCs w:val="21"/>
        </w:rPr>
        <w:fldChar w:fldCharType="separate"/>
      </w:r>
      <w:r>
        <w:rPr>
          <w:rFonts w:hint="eastAsia"/>
          <w:szCs w:val="32"/>
        </w:rPr>
        <w:t xml:space="preserve">3.1 </w:t>
      </w:r>
      <w:r>
        <w:rPr>
          <w:rFonts w:hint="eastAsia"/>
        </w:rPr>
        <w:t>企业项目建设情况</w:t>
      </w:r>
      <w:r>
        <w:tab/>
      </w:r>
      <w:r>
        <w:fldChar w:fldCharType="begin"/>
      </w:r>
      <w:r>
        <w:instrText xml:space="preserve"> PAGEREF _Toc1946 \h </w:instrText>
      </w:r>
      <w:r>
        <w:fldChar w:fldCharType="separate"/>
      </w:r>
      <w:r>
        <w:t>60</w:t>
      </w:r>
      <w:r>
        <w:fldChar w:fldCharType="end"/>
      </w:r>
      <w:r>
        <w:rPr>
          <w:color w:val="auto"/>
          <w:szCs w:val="21"/>
        </w:rPr>
        <w:fldChar w:fldCharType="end"/>
      </w:r>
    </w:p>
    <w:p w14:paraId="021A8B2A">
      <w:pPr>
        <w:pStyle w:val="24"/>
        <w:tabs>
          <w:tab w:val="right" w:leader="dot" w:pos="8310"/>
        </w:tabs>
      </w:pPr>
      <w:r>
        <w:rPr>
          <w:color w:val="auto"/>
          <w:szCs w:val="21"/>
        </w:rPr>
        <w:fldChar w:fldCharType="begin"/>
      </w:r>
      <w:r>
        <w:rPr>
          <w:szCs w:val="21"/>
        </w:rPr>
        <w:instrText xml:space="preserve"> HYPERLINK \l _Toc26961 </w:instrText>
      </w:r>
      <w:r>
        <w:rPr>
          <w:szCs w:val="21"/>
        </w:rPr>
        <w:fldChar w:fldCharType="separate"/>
      </w:r>
      <w:r>
        <w:rPr>
          <w:rFonts w:hint="eastAsia"/>
          <w:szCs w:val="32"/>
        </w:rPr>
        <w:t xml:space="preserve">3.2 </w:t>
      </w:r>
      <w:r>
        <w:rPr>
          <w:rFonts w:hint="eastAsia"/>
        </w:rPr>
        <w:t>工程分析思路与方法</w:t>
      </w:r>
      <w:r>
        <w:tab/>
      </w:r>
      <w:r>
        <w:fldChar w:fldCharType="begin"/>
      </w:r>
      <w:r>
        <w:instrText xml:space="preserve"> PAGEREF _Toc26961 \h </w:instrText>
      </w:r>
      <w:r>
        <w:fldChar w:fldCharType="separate"/>
      </w:r>
      <w:r>
        <w:t>61</w:t>
      </w:r>
      <w:r>
        <w:fldChar w:fldCharType="end"/>
      </w:r>
      <w:r>
        <w:rPr>
          <w:color w:val="auto"/>
          <w:szCs w:val="21"/>
        </w:rPr>
        <w:fldChar w:fldCharType="end"/>
      </w:r>
    </w:p>
    <w:p w14:paraId="55FE17F0">
      <w:pPr>
        <w:pStyle w:val="24"/>
        <w:tabs>
          <w:tab w:val="right" w:leader="dot" w:pos="8310"/>
        </w:tabs>
      </w:pPr>
      <w:r>
        <w:rPr>
          <w:color w:val="auto"/>
          <w:szCs w:val="21"/>
        </w:rPr>
        <w:fldChar w:fldCharType="begin"/>
      </w:r>
      <w:r>
        <w:rPr>
          <w:szCs w:val="21"/>
        </w:rPr>
        <w:instrText xml:space="preserve"> HYPERLINK \l _Toc5752 </w:instrText>
      </w:r>
      <w:r>
        <w:rPr>
          <w:szCs w:val="21"/>
        </w:rPr>
        <w:fldChar w:fldCharType="separate"/>
      </w:r>
      <w:r>
        <w:rPr>
          <w:rFonts w:hint="eastAsia"/>
          <w:szCs w:val="32"/>
        </w:rPr>
        <w:t xml:space="preserve">3.3 </w:t>
      </w:r>
      <w:r>
        <w:rPr>
          <w:rFonts w:hint="eastAsia"/>
        </w:rPr>
        <w:t>已建</w:t>
      </w:r>
      <w:r>
        <w:t>项目工程分析</w:t>
      </w:r>
      <w:r>
        <w:tab/>
      </w:r>
      <w:r>
        <w:fldChar w:fldCharType="begin"/>
      </w:r>
      <w:r>
        <w:instrText xml:space="preserve"> PAGEREF _Toc5752 \h </w:instrText>
      </w:r>
      <w:r>
        <w:fldChar w:fldCharType="separate"/>
      </w:r>
      <w:r>
        <w:t>62</w:t>
      </w:r>
      <w:r>
        <w:fldChar w:fldCharType="end"/>
      </w:r>
      <w:r>
        <w:rPr>
          <w:color w:val="auto"/>
          <w:szCs w:val="21"/>
        </w:rPr>
        <w:fldChar w:fldCharType="end"/>
      </w:r>
    </w:p>
    <w:p w14:paraId="5111283B">
      <w:pPr>
        <w:pStyle w:val="24"/>
        <w:tabs>
          <w:tab w:val="right" w:leader="dot" w:pos="8310"/>
        </w:tabs>
      </w:pPr>
      <w:r>
        <w:rPr>
          <w:color w:val="auto"/>
          <w:szCs w:val="21"/>
        </w:rPr>
        <w:fldChar w:fldCharType="begin"/>
      </w:r>
      <w:r>
        <w:rPr>
          <w:szCs w:val="21"/>
        </w:rPr>
        <w:instrText xml:space="preserve"> HYPERLINK \l _Toc13131 </w:instrText>
      </w:r>
      <w:r>
        <w:rPr>
          <w:szCs w:val="21"/>
        </w:rPr>
        <w:fldChar w:fldCharType="separate"/>
      </w:r>
      <w:r>
        <w:rPr>
          <w:rFonts w:hint="eastAsia"/>
          <w:szCs w:val="32"/>
        </w:rPr>
        <w:t xml:space="preserve">3.4 </w:t>
      </w:r>
      <w:r>
        <w:rPr>
          <w:rFonts w:hint="eastAsia"/>
        </w:rPr>
        <w:t>在建</w:t>
      </w:r>
      <w:r>
        <w:rPr>
          <w:rFonts w:hint="eastAsia"/>
          <w:lang w:val="en-US" w:eastAsia="zh-CN"/>
        </w:rPr>
        <w:t>及拟建</w:t>
      </w:r>
      <w:r>
        <w:rPr>
          <w:rFonts w:hint="eastAsia"/>
        </w:rPr>
        <w:t>工程分析</w:t>
      </w:r>
      <w:r>
        <w:tab/>
      </w:r>
      <w:r>
        <w:fldChar w:fldCharType="begin"/>
      </w:r>
      <w:r>
        <w:instrText xml:space="preserve"> PAGEREF _Toc13131 \h </w:instrText>
      </w:r>
      <w:r>
        <w:fldChar w:fldCharType="separate"/>
      </w:r>
      <w:r>
        <w:t>98</w:t>
      </w:r>
      <w:r>
        <w:fldChar w:fldCharType="end"/>
      </w:r>
      <w:r>
        <w:rPr>
          <w:color w:val="auto"/>
          <w:szCs w:val="21"/>
        </w:rPr>
        <w:fldChar w:fldCharType="end"/>
      </w:r>
    </w:p>
    <w:p w14:paraId="6E78BE5B">
      <w:pPr>
        <w:pStyle w:val="24"/>
        <w:tabs>
          <w:tab w:val="right" w:leader="dot" w:pos="8310"/>
        </w:tabs>
      </w:pPr>
      <w:r>
        <w:rPr>
          <w:color w:val="auto"/>
          <w:szCs w:val="21"/>
        </w:rPr>
        <w:fldChar w:fldCharType="begin"/>
      </w:r>
      <w:r>
        <w:rPr>
          <w:szCs w:val="21"/>
        </w:rPr>
        <w:instrText xml:space="preserve"> HYPERLINK \l _Toc24169 </w:instrText>
      </w:r>
      <w:r>
        <w:rPr>
          <w:szCs w:val="21"/>
        </w:rPr>
        <w:fldChar w:fldCharType="separate"/>
      </w:r>
      <w:r>
        <w:rPr>
          <w:rFonts w:hint="eastAsia"/>
          <w:szCs w:val="32"/>
        </w:rPr>
        <w:t xml:space="preserve">3.5 </w:t>
      </w:r>
      <w:r>
        <w:rPr>
          <w:rFonts w:hint="eastAsia"/>
        </w:rPr>
        <w:t>已建工程及在建工程污染物排放量汇总</w:t>
      </w:r>
      <w:r>
        <w:tab/>
      </w:r>
      <w:r>
        <w:fldChar w:fldCharType="begin"/>
      </w:r>
      <w:r>
        <w:instrText xml:space="preserve"> PAGEREF _Toc24169 \h </w:instrText>
      </w:r>
      <w:r>
        <w:fldChar w:fldCharType="separate"/>
      </w:r>
      <w:r>
        <w:t>116</w:t>
      </w:r>
      <w:r>
        <w:fldChar w:fldCharType="end"/>
      </w:r>
      <w:r>
        <w:rPr>
          <w:color w:val="auto"/>
          <w:szCs w:val="21"/>
        </w:rPr>
        <w:fldChar w:fldCharType="end"/>
      </w:r>
    </w:p>
    <w:p w14:paraId="6D92954D">
      <w:pPr>
        <w:pStyle w:val="24"/>
        <w:tabs>
          <w:tab w:val="right" w:leader="dot" w:pos="8310"/>
        </w:tabs>
      </w:pPr>
      <w:r>
        <w:rPr>
          <w:color w:val="auto"/>
          <w:szCs w:val="21"/>
        </w:rPr>
        <w:fldChar w:fldCharType="begin"/>
      </w:r>
      <w:r>
        <w:rPr>
          <w:szCs w:val="21"/>
        </w:rPr>
        <w:instrText xml:space="preserve"> HYPERLINK \l _Toc19712 </w:instrText>
      </w:r>
      <w:r>
        <w:rPr>
          <w:szCs w:val="21"/>
        </w:rPr>
        <w:fldChar w:fldCharType="separate"/>
      </w:r>
      <w:r>
        <w:rPr>
          <w:rFonts w:hint="eastAsia"/>
          <w:szCs w:val="32"/>
          <w:lang w:val="en-US" w:eastAsia="zh-CN"/>
        </w:rPr>
        <w:t xml:space="preserve">3.6 </w:t>
      </w:r>
      <w:r>
        <w:rPr>
          <w:rFonts w:hint="eastAsia"/>
          <w:lang w:val="en-US" w:eastAsia="zh-CN"/>
        </w:rPr>
        <w:t>现有工程应急预案开展情况</w:t>
      </w:r>
      <w:r>
        <w:tab/>
      </w:r>
      <w:r>
        <w:fldChar w:fldCharType="begin"/>
      </w:r>
      <w:r>
        <w:instrText xml:space="preserve"> PAGEREF _Toc19712 \h </w:instrText>
      </w:r>
      <w:r>
        <w:fldChar w:fldCharType="separate"/>
      </w:r>
      <w:r>
        <w:t>117</w:t>
      </w:r>
      <w:r>
        <w:fldChar w:fldCharType="end"/>
      </w:r>
      <w:r>
        <w:rPr>
          <w:color w:val="auto"/>
          <w:szCs w:val="21"/>
        </w:rPr>
        <w:fldChar w:fldCharType="end"/>
      </w:r>
    </w:p>
    <w:p w14:paraId="3E12523A">
      <w:pPr>
        <w:pStyle w:val="24"/>
        <w:tabs>
          <w:tab w:val="right" w:leader="dot" w:pos="8310"/>
        </w:tabs>
      </w:pPr>
      <w:r>
        <w:rPr>
          <w:color w:val="auto"/>
          <w:szCs w:val="21"/>
        </w:rPr>
        <w:fldChar w:fldCharType="begin"/>
      </w:r>
      <w:r>
        <w:rPr>
          <w:szCs w:val="21"/>
        </w:rPr>
        <w:instrText xml:space="preserve"> HYPERLINK \l _Toc4954 </w:instrText>
      </w:r>
      <w:r>
        <w:rPr>
          <w:szCs w:val="21"/>
        </w:rPr>
        <w:fldChar w:fldCharType="separate"/>
      </w:r>
      <w:r>
        <w:rPr>
          <w:rFonts w:hint="eastAsia"/>
          <w:szCs w:val="32"/>
        </w:rPr>
        <w:t xml:space="preserve">3.7 </w:t>
      </w:r>
      <w:r>
        <w:rPr>
          <w:rFonts w:hint="eastAsia"/>
        </w:rPr>
        <w:t>现有工程存在的环保问题及整改措施</w:t>
      </w:r>
      <w:r>
        <w:tab/>
      </w:r>
      <w:r>
        <w:fldChar w:fldCharType="begin"/>
      </w:r>
      <w:r>
        <w:instrText xml:space="preserve"> PAGEREF _Toc4954 \h </w:instrText>
      </w:r>
      <w:r>
        <w:fldChar w:fldCharType="separate"/>
      </w:r>
      <w:r>
        <w:t>120</w:t>
      </w:r>
      <w:r>
        <w:fldChar w:fldCharType="end"/>
      </w:r>
      <w:r>
        <w:rPr>
          <w:color w:val="auto"/>
          <w:szCs w:val="21"/>
        </w:rPr>
        <w:fldChar w:fldCharType="end"/>
      </w:r>
    </w:p>
    <w:p w14:paraId="48B5317D">
      <w:pPr>
        <w:pStyle w:val="23"/>
        <w:tabs>
          <w:tab w:val="right" w:leader="dot" w:pos="8310"/>
        </w:tabs>
      </w:pPr>
      <w:r>
        <w:rPr>
          <w:color w:val="auto"/>
          <w:szCs w:val="21"/>
        </w:rPr>
        <w:fldChar w:fldCharType="begin"/>
      </w:r>
      <w:r>
        <w:rPr>
          <w:szCs w:val="21"/>
        </w:rPr>
        <w:instrText xml:space="preserve"> HYPERLINK \l _Toc9242 </w:instrText>
      </w:r>
      <w:r>
        <w:rPr>
          <w:szCs w:val="21"/>
        </w:rPr>
        <w:fldChar w:fldCharType="separate"/>
      </w:r>
      <w:r>
        <w:rPr>
          <w:rFonts w:hint="eastAsia" w:eastAsia="黑体"/>
          <w:bCs/>
          <w:i w:val="0"/>
          <w:szCs w:val="36"/>
        </w:rPr>
        <w:t xml:space="preserve">4 </w:t>
      </w:r>
      <w:r>
        <w:rPr>
          <w:rFonts w:hint="eastAsia"/>
        </w:rPr>
        <w:t>本项目工程分析</w:t>
      </w:r>
      <w:r>
        <w:tab/>
      </w:r>
      <w:r>
        <w:fldChar w:fldCharType="begin"/>
      </w:r>
      <w:r>
        <w:instrText xml:space="preserve"> PAGEREF _Toc9242 \h </w:instrText>
      </w:r>
      <w:r>
        <w:fldChar w:fldCharType="separate"/>
      </w:r>
      <w:r>
        <w:t>123</w:t>
      </w:r>
      <w:r>
        <w:fldChar w:fldCharType="end"/>
      </w:r>
      <w:r>
        <w:rPr>
          <w:color w:val="auto"/>
          <w:szCs w:val="21"/>
        </w:rPr>
        <w:fldChar w:fldCharType="end"/>
      </w:r>
    </w:p>
    <w:p w14:paraId="16C37156">
      <w:pPr>
        <w:pStyle w:val="24"/>
        <w:tabs>
          <w:tab w:val="right" w:leader="dot" w:pos="8310"/>
        </w:tabs>
      </w:pPr>
      <w:r>
        <w:rPr>
          <w:color w:val="auto"/>
          <w:szCs w:val="21"/>
        </w:rPr>
        <w:fldChar w:fldCharType="begin"/>
      </w:r>
      <w:r>
        <w:rPr>
          <w:szCs w:val="21"/>
        </w:rPr>
        <w:instrText xml:space="preserve"> HYPERLINK \l _Toc14306 </w:instrText>
      </w:r>
      <w:r>
        <w:rPr>
          <w:szCs w:val="21"/>
        </w:rPr>
        <w:fldChar w:fldCharType="separate"/>
      </w:r>
      <w:r>
        <w:rPr>
          <w:rFonts w:hint="eastAsia"/>
          <w:szCs w:val="32"/>
        </w:rPr>
        <w:t xml:space="preserve">4.1 </w:t>
      </w:r>
      <w:r>
        <w:rPr>
          <w:rFonts w:hint="eastAsia"/>
        </w:rPr>
        <w:t>项目基本情况</w:t>
      </w:r>
      <w:r>
        <w:tab/>
      </w:r>
      <w:r>
        <w:fldChar w:fldCharType="begin"/>
      </w:r>
      <w:r>
        <w:instrText xml:space="preserve"> PAGEREF _Toc14306 \h </w:instrText>
      </w:r>
      <w:r>
        <w:fldChar w:fldCharType="separate"/>
      </w:r>
      <w:r>
        <w:t>123</w:t>
      </w:r>
      <w:r>
        <w:fldChar w:fldCharType="end"/>
      </w:r>
      <w:r>
        <w:rPr>
          <w:color w:val="auto"/>
          <w:szCs w:val="21"/>
        </w:rPr>
        <w:fldChar w:fldCharType="end"/>
      </w:r>
    </w:p>
    <w:p w14:paraId="0D360BCC">
      <w:pPr>
        <w:pStyle w:val="24"/>
        <w:tabs>
          <w:tab w:val="right" w:leader="dot" w:pos="8310"/>
        </w:tabs>
      </w:pPr>
      <w:r>
        <w:rPr>
          <w:color w:val="auto"/>
          <w:szCs w:val="21"/>
        </w:rPr>
        <w:fldChar w:fldCharType="begin"/>
      </w:r>
      <w:r>
        <w:rPr>
          <w:szCs w:val="21"/>
        </w:rPr>
        <w:instrText xml:space="preserve"> HYPERLINK \l _Toc5668 </w:instrText>
      </w:r>
      <w:r>
        <w:rPr>
          <w:szCs w:val="21"/>
        </w:rPr>
        <w:fldChar w:fldCharType="separate"/>
      </w:r>
      <w:r>
        <w:rPr>
          <w:rFonts w:hint="eastAsia"/>
          <w:szCs w:val="32"/>
        </w:rPr>
        <w:t xml:space="preserve">4.2 </w:t>
      </w:r>
      <w:r>
        <w:rPr>
          <w:rFonts w:hint="eastAsia"/>
          <w:lang w:val="en-US" w:eastAsia="zh-CN"/>
        </w:rPr>
        <w:t>生产工艺及产污环节</w:t>
      </w:r>
      <w:r>
        <w:tab/>
      </w:r>
      <w:r>
        <w:fldChar w:fldCharType="begin"/>
      </w:r>
      <w:r>
        <w:instrText xml:space="preserve"> PAGEREF _Toc5668 \h </w:instrText>
      </w:r>
      <w:r>
        <w:fldChar w:fldCharType="separate"/>
      </w:r>
      <w:r>
        <w:t>144</w:t>
      </w:r>
      <w:r>
        <w:fldChar w:fldCharType="end"/>
      </w:r>
      <w:r>
        <w:rPr>
          <w:color w:val="auto"/>
          <w:szCs w:val="21"/>
        </w:rPr>
        <w:fldChar w:fldCharType="end"/>
      </w:r>
    </w:p>
    <w:p w14:paraId="08357EC0">
      <w:pPr>
        <w:pStyle w:val="24"/>
        <w:tabs>
          <w:tab w:val="right" w:leader="dot" w:pos="8310"/>
        </w:tabs>
      </w:pPr>
      <w:r>
        <w:rPr>
          <w:color w:val="auto"/>
          <w:szCs w:val="21"/>
        </w:rPr>
        <w:fldChar w:fldCharType="begin"/>
      </w:r>
      <w:r>
        <w:rPr>
          <w:szCs w:val="21"/>
        </w:rPr>
        <w:instrText xml:space="preserve"> HYPERLINK \l _Toc11135 </w:instrText>
      </w:r>
      <w:r>
        <w:rPr>
          <w:szCs w:val="21"/>
        </w:rPr>
        <w:fldChar w:fldCharType="separate"/>
      </w:r>
      <w:r>
        <w:rPr>
          <w:rFonts w:hint="eastAsia"/>
          <w:szCs w:val="32"/>
        </w:rPr>
        <w:t xml:space="preserve">4.3 </w:t>
      </w:r>
      <w:r>
        <w:rPr>
          <w:rFonts w:hint="eastAsia"/>
        </w:rPr>
        <w:t>物料平衡</w:t>
      </w:r>
      <w:r>
        <w:tab/>
      </w:r>
      <w:r>
        <w:fldChar w:fldCharType="begin"/>
      </w:r>
      <w:r>
        <w:instrText xml:space="preserve"> PAGEREF _Toc11135 \h </w:instrText>
      </w:r>
      <w:r>
        <w:fldChar w:fldCharType="separate"/>
      </w:r>
      <w:r>
        <w:t>151</w:t>
      </w:r>
      <w:r>
        <w:fldChar w:fldCharType="end"/>
      </w:r>
      <w:r>
        <w:rPr>
          <w:color w:val="auto"/>
          <w:szCs w:val="21"/>
        </w:rPr>
        <w:fldChar w:fldCharType="end"/>
      </w:r>
    </w:p>
    <w:p w14:paraId="3AF28146">
      <w:pPr>
        <w:pStyle w:val="24"/>
        <w:tabs>
          <w:tab w:val="right" w:leader="dot" w:pos="8310"/>
        </w:tabs>
      </w:pPr>
      <w:r>
        <w:rPr>
          <w:color w:val="auto"/>
          <w:szCs w:val="21"/>
        </w:rPr>
        <w:fldChar w:fldCharType="begin"/>
      </w:r>
      <w:r>
        <w:rPr>
          <w:szCs w:val="21"/>
        </w:rPr>
        <w:instrText xml:space="preserve"> HYPERLINK \l _Toc9274 </w:instrText>
      </w:r>
      <w:r>
        <w:rPr>
          <w:szCs w:val="21"/>
        </w:rPr>
        <w:fldChar w:fldCharType="separate"/>
      </w:r>
      <w:r>
        <w:rPr>
          <w:rFonts w:hint="eastAsia"/>
          <w:szCs w:val="32"/>
        </w:rPr>
        <w:t xml:space="preserve">4.4 </w:t>
      </w:r>
      <w:r>
        <w:rPr>
          <w:rFonts w:hint="eastAsia"/>
        </w:rPr>
        <w:t>水平衡</w:t>
      </w:r>
      <w:r>
        <w:tab/>
      </w:r>
      <w:r>
        <w:fldChar w:fldCharType="begin"/>
      </w:r>
      <w:r>
        <w:instrText xml:space="preserve"> PAGEREF _Toc9274 \h </w:instrText>
      </w:r>
      <w:r>
        <w:fldChar w:fldCharType="separate"/>
      </w:r>
      <w:r>
        <w:t>156</w:t>
      </w:r>
      <w:r>
        <w:fldChar w:fldCharType="end"/>
      </w:r>
      <w:r>
        <w:rPr>
          <w:color w:val="auto"/>
          <w:szCs w:val="21"/>
        </w:rPr>
        <w:fldChar w:fldCharType="end"/>
      </w:r>
    </w:p>
    <w:p w14:paraId="647F8A0D">
      <w:pPr>
        <w:pStyle w:val="24"/>
        <w:tabs>
          <w:tab w:val="right" w:leader="dot" w:pos="8310"/>
        </w:tabs>
      </w:pPr>
      <w:r>
        <w:rPr>
          <w:color w:val="auto"/>
          <w:szCs w:val="21"/>
        </w:rPr>
        <w:fldChar w:fldCharType="begin"/>
      </w:r>
      <w:r>
        <w:rPr>
          <w:szCs w:val="21"/>
        </w:rPr>
        <w:instrText xml:space="preserve"> HYPERLINK \l _Toc29710 </w:instrText>
      </w:r>
      <w:r>
        <w:rPr>
          <w:szCs w:val="21"/>
        </w:rPr>
        <w:fldChar w:fldCharType="separate"/>
      </w:r>
      <w:r>
        <w:rPr>
          <w:rFonts w:hint="eastAsia"/>
          <w:szCs w:val="32"/>
        </w:rPr>
        <w:t xml:space="preserve">4.5 </w:t>
      </w:r>
      <w:r>
        <w:rPr>
          <w:rFonts w:hint="eastAsia"/>
        </w:rPr>
        <w:t>施工期污染因素</w:t>
      </w:r>
      <w:r>
        <w:tab/>
      </w:r>
      <w:r>
        <w:fldChar w:fldCharType="begin"/>
      </w:r>
      <w:r>
        <w:instrText xml:space="preserve"> PAGEREF _Toc29710 \h </w:instrText>
      </w:r>
      <w:r>
        <w:fldChar w:fldCharType="separate"/>
      </w:r>
      <w:r>
        <w:t>160</w:t>
      </w:r>
      <w:r>
        <w:fldChar w:fldCharType="end"/>
      </w:r>
      <w:r>
        <w:rPr>
          <w:color w:val="auto"/>
          <w:szCs w:val="21"/>
        </w:rPr>
        <w:fldChar w:fldCharType="end"/>
      </w:r>
    </w:p>
    <w:p w14:paraId="54C34B58">
      <w:pPr>
        <w:pStyle w:val="24"/>
        <w:tabs>
          <w:tab w:val="right" w:leader="dot" w:pos="8310"/>
        </w:tabs>
      </w:pPr>
      <w:r>
        <w:rPr>
          <w:color w:val="auto"/>
          <w:szCs w:val="21"/>
        </w:rPr>
        <w:fldChar w:fldCharType="begin"/>
      </w:r>
      <w:r>
        <w:rPr>
          <w:szCs w:val="21"/>
        </w:rPr>
        <w:instrText xml:space="preserve"> HYPERLINK \l _Toc26932 </w:instrText>
      </w:r>
      <w:r>
        <w:rPr>
          <w:szCs w:val="21"/>
        </w:rPr>
        <w:fldChar w:fldCharType="separate"/>
      </w:r>
      <w:r>
        <w:rPr>
          <w:rFonts w:hint="eastAsia"/>
          <w:szCs w:val="32"/>
        </w:rPr>
        <w:t xml:space="preserve">4.6 </w:t>
      </w:r>
      <w:r>
        <w:rPr>
          <w:rFonts w:hint="eastAsia"/>
        </w:rPr>
        <w:t>营运期污染因素分析</w:t>
      </w:r>
      <w:r>
        <w:tab/>
      </w:r>
      <w:r>
        <w:fldChar w:fldCharType="begin"/>
      </w:r>
      <w:r>
        <w:instrText xml:space="preserve"> PAGEREF _Toc26932 \h </w:instrText>
      </w:r>
      <w:r>
        <w:fldChar w:fldCharType="separate"/>
      </w:r>
      <w:r>
        <w:t>165</w:t>
      </w:r>
      <w:r>
        <w:fldChar w:fldCharType="end"/>
      </w:r>
      <w:r>
        <w:rPr>
          <w:color w:val="auto"/>
          <w:szCs w:val="21"/>
        </w:rPr>
        <w:fldChar w:fldCharType="end"/>
      </w:r>
    </w:p>
    <w:p w14:paraId="1D950CC4">
      <w:pPr>
        <w:pStyle w:val="24"/>
        <w:tabs>
          <w:tab w:val="right" w:leader="dot" w:pos="8310"/>
        </w:tabs>
      </w:pPr>
      <w:r>
        <w:rPr>
          <w:color w:val="auto"/>
          <w:szCs w:val="21"/>
        </w:rPr>
        <w:fldChar w:fldCharType="begin"/>
      </w:r>
      <w:r>
        <w:rPr>
          <w:szCs w:val="21"/>
        </w:rPr>
        <w:instrText xml:space="preserve"> HYPERLINK \l _Toc25551 </w:instrText>
      </w:r>
      <w:r>
        <w:rPr>
          <w:szCs w:val="21"/>
        </w:rPr>
        <w:fldChar w:fldCharType="separate"/>
      </w:r>
      <w:r>
        <w:rPr>
          <w:rFonts w:hint="eastAsia"/>
          <w:szCs w:val="32"/>
        </w:rPr>
        <w:t xml:space="preserve">4.7 </w:t>
      </w:r>
      <w:r>
        <w:rPr>
          <w:rFonts w:hint="eastAsia"/>
          <w:lang w:val="en-US" w:eastAsia="zh-CN"/>
        </w:rPr>
        <w:t>中试试验</w:t>
      </w:r>
      <w:r>
        <w:rPr>
          <w:rFonts w:hint="default"/>
        </w:rPr>
        <w:t>非正常</w:t>
      </w:r>
      <w:r>
        <w:rPr>
          <w:rFonts w:hint="eastAsia"/>
          <w:lang w:val="en-US" w:eastAsia="zh-CN"/>
        </w:rPr>
        <w:t>情况</w:t>
      </w:r>
      <w:r>
        <w:rPr>
          <w:rFonts w:hint="default"/>
        </w:rPr>
        <w:t>污染分析</w:t>
      </w:r>
      <w:r>
        <w:tab/>
      </w:r>
      <w:r>
        <w:fldChar w:fldCharType="begin"/>
      </w:r>
      <w:r>
        <w:instrText xml:space="preserve"> PAGEREF _Toc25551 \h </w:instrText>
      </w:r>
      <w:r>
        <w:fldChar w:fldCharType="separate"/>
      </w:r>
      <w:r>
        <w:t>186</w:t>
      </w:r>
      <w:r>
        <w:fldChar w:fldCharType="end"/>
      </w:r>
      <w:r>
        <w:rPr>
          <w:color w:val="auto"/>
          <w:szCs w:val="21"/>
        </w:rPr>
        <w:fldChar w:fldCharType="end"/>
      </w:r>
    </w:p>
    <w:p w14:paraId="02C22D14">
      <w:pPr>
        <w:pStyle w:val="24"/>
        <w:tabs>
          <w:tab w:val="right" w:leader="dot" w:pos="8310"/>
        </w:tabs>
      </w:pPr>
      <w:r>
        <w:rPr>
          <w:color w:val="auto"/>
          <w:szCs w:val="21"/>
        </w:rPr>
        <w:fldChar w:fldCharType="begin"/>
      </w:r>
      <w:r>
        <w:rPr>
          <w:szCs w:val="21"/>
        </w:rPr>
        <w:instrText xml:space="preserve"> HYPERLINK \l _Toc3592 </w:instrText>
      </w:r>
      <w:r>
        <w:rPr>
          <w:szCs w:val="21"/>
        </w:rPr>
        <w:fldChar w:fldCharType="separate"/>
      </w:r>
      <w:r>
        <w:rPr>
          <w:rFonts w:hint="eastAsia"/>
          <w:szCs w:val="32"/>
          <w:lang w:val="en-US" w:eastAsia="zh-CN"/>
        </w:rPr>
        <w:t xml:space="preserve">4.8 </w:t>
      </w:r>
      <w:r>
        <w:rPr>
          <w:rFonts w:hint="eastAsia"/>
          <w:lang w:val="en-US" w:eastAsia="zh-CN"/>
        </w:rPr>
        <w:t>总量控制分析</w:t>
      </w:r>
      <w:r>
        <w:tab/>
      </w:r>
      <w:r>
        <w:fldChar w:fldCharType="begin"/>
      </w:r>
      <w:r>
        <w:instrText xml:space="preserve"> PAGEREF _Toc3592 \h </w:instrText>
      </w:r>
      <w:r>
        <w:fldChar w:fldCharType="separate"/>
      </w:r>
      <w:r>
        <w:t>188</w:t>
      </w:r>
      <w:r>
        <w:fldChar w:fldCharType="end"/>
      </w:r>
      <w:r>
        <w:rPr>
          <w:color w:val="auto"/>
          <w:szCs w:val="21"/>
        </w:rPr>
        <w:fldChar w:fldCharType="end"/>
      </w:r>
    </w:p>
    <w:p w14:paraId="2A2162F5">
      <w:pPr>
        <w:pStyle w:val="23"/>
        <w:tabs>
          <w:tab w:val="right" w:leader="dot" w:pos="8310"/>
        </w:tabs>
      </w:pPr>
      <w:r>
        <w:rPr>
          <w:color w:val="auto"/>
          <w:szCs w:val="21"/>
        </w:rPr>
        <w:fldChar w:fldCharType="begin"/>
      </w:r>
      <w:r>
        <w:rPr>
          <w:szCs w:val="21"/>
        </w:rPr>
        <w:instrText xml:space="preserve"> HYPERLINK \l _Toc2220 </w:instrText>
      </w:r>
      <w:r>
        <w:rPr>
          <w:szCs w:val="21"/>
        </w:rPr>
        <w:fldChar w:fldCharType="separate"/>
      </w:r>
      <w:r>
        <w:rPr>
          <w:rFonts w:hint="eastAsia" w:eastAsia="黑体"/>
          <w:bCs/>
          <w:i w:val="0"/>
          <w:szCs w:val="36"/>
        </w:rPr>
        <w:t xml:space="preserve">5 </w:t>
      </w:r>
      <w:r>
        <w:t>环境现状调查与评价</w:t>
      </w:r>
      <w:r>
        <w:tab/>
      </w:r>
      <w:r>
        <w:fldChar w:fldCharType="begin"/>
      </w:r>
      <w:r>
        <w:instrText xml:space="preserve"> PAGEREF _Toc2220 \h </w:instrText>
      </w:r>
      <w:r>
        <w:fldChar w:fldCharType="separate"/>
      </w:r>
      <w:r>
        <w:t>190</w:t>
      </w:r>
      <w:r>
        <w:fldChar w:fldCharType="end"/>
      </w:r>
      <w:r>
        <w:rPr>
          <w:color w:val="auto"/>
          <w:szCs w:val="21"/>
        </w:rPr>
        <w:fldChar w:fldCharType="end"/>
      </w:r>
    </w:p>
    <w:p w14:paraId="25BF8BFE">
      <w:pPr>
        <w:pStyle w:val="24"/>
        <w:tabs>
          <w:tab w:val="right" w:leader="dot" w:pos="8310"/>
        </w:tabs>
      </w:pPr>
      <w:r>
        <w:rPr>
          <w:color w:val="auto"/>
          <w:szCs w:val="21"/>
        </w:rPr>
        <w:fldChar w:fldCharType="begin"/>
      </w:r>
      <w:r>
        <w:rPr>
          <w:szCs w:val="21"/>
        </w:rPr>
        <w:instrText xml:space="preserve"> HYPERLINK \l _Toc5764 </w:instrText>
      </w:r>
      <w:r>
        <w:rPr>
          <w:szCs w:val="21"/>
        </w:rPr>
        <w:fldChar w:fldCharType="separate"/>
      </w:r>
      <w:r>
        <w:rPr>
          <w:rFonts w:hint="eastAsia"/>
          <w:szCs w:val="32"/>
        </w:rPr>
        <w:t xml:space="preserve">5.1 </w:t>
      </w:r>
      <w:r>
        <w:rPr>
          <w:rFonts w:hint="eastAsia"/>
        </w:rPr>
        <w:t>自然</w:t>
      </w:r>
      <w:r>
        <w:t>环境概况</w:t>
      </w:r>
      <w:r>
        <w:tab/>
      </w:r>
      <w:r>
        <w:fldChar w:fldCharType="begin"/>
      </w:r>
      <w:r>
        <w:instrText xml:space="preserve"> PAGEREF _Toc5764 \h </w:instrText>
      </w:r>
      <w:r>
        <w:fldChar w:fldCharType="separate"/>
      </w:r>
      <w:r>
        <w:t>190</w:t>
      </w:r>
      <w:r>
        <w:fldChar w:fldCharType="end"/>
      </w:r>
      <w:r>
        <w:rPr>
          <w:color w:val="auto"/>
          <w:szCs w:val="21"/>
        </w:rPr>
        <w:fldChar w:fldCharType="end"/>
      </w:r>
    </w:p>
    <w:p w14:paraId="240DF40B">
      <w:pPr>
        <w:pStyle w:val="24"/>
        <w:tabs>
          <w:tab w:val="right" w:leader="dot" w:pos="8310"/>
        </w:tabs>
      </w:pPr>
      <w:r>
        <w:rPr>
          <w:color w:val="auto"/>
          <w:szCs w:val="21"/>
        </w:rPr>
        <w:fldChar w:fldCharType="begin"/>
      </w:r>
      <w:r>
        <w:rPr>
          <w:szCs w:val="21"/>
        </w:rPr>
        <w:instrText xml:space="preserve"> HYPERLINK \l _Toc30370 </w:instrText>
      </w:r>
      <w:r>
        <w:rPr>
          <w:szCs w:val="21"/>
        </w:rPr>
        <w:fldChar w:fldCharType="separate"/>
      </w:r>
      <w:r>
        <w:rPr>
          <w:rFonts w:hint="eastAsia"/>
          <w:szCs w:val="32"/>
        </w:rPr>
        <w:t xml:space="preserve">5.2 </w:t>
      </w:r>
      <w:r>
        <w:rPr>
          <w:rFonts w:hint="eastAsia"/>
        </w:rPr>
        <w:t>环境质量现状监测与评价</w:t>
      </w:r>
      <w:r>
        <w:tab/>
      </w:r>
      <w:r>
        <w:fldChar w:fldCharType="begin"/>
      </w:r>
      <w:r>
        <w:instrText xml:space="preserve"> PAGEREF _Toc30370 \h </w:instrText>
      </w:r>
      <w:r>
        <w:fldChar w:fldCharType="separate"/>
      </w:r>
      <w:r>
        <w:t>196</w:t>
      </w:r>
      <w:r>
        <w:fldChar w:fldCharType="end"/>
      </w:r>
      <w:r>
        <w:rPr>
          <w:color w:val="auto"/>
          <w:szCs w:val="21"/>
        </w:rPr>
        <w:fldChar w:fldCharType="end"/>
      </w:r>
    </w:p>
    <w:p w14:paraId="6F4A95F3">
      <w:pPr>
        <w:pStyle w:val="23"/>
        <w:tabs>
          <w:tab w:val="right" w:leader="dot" w:pos="8310"/>
        </w:tabs>
      </w:pPr>
      <w:r>
        <w:rPr>
          <w:color w:val="auto"/>
          <w:szCs w:val="21"/>
        </w:rPr>
        <w:fldChar w:fldCharType="begin"/>
      </w:r>
      <w:r>
        <w:rPr>
          <w:szCs w:val="21"/>
        </w:rPr>
        <w:instrText xml:space="preserve"> HYPERLINK \l _Toc28810 </w:instrText>
      </w:r>
      <w:r>
        <w:rPr>
          <w:szCs w:val="21"/>
        </w:rPr>
        <w:fldChar w:fldCharType="separate"/>
      </w:r>
      <w:r>
        <w:rPr>
          <w:rFonts w:hint="eastAsia" w:eastAsia="黑体"/>
          <w:bCs/>
          <w:i w:val="0"/>
          <w:szCs w:val="36"/>
        </w:rPr>
        <w:t xml:space="preserve">6 </w:t>
      </w:r>
      <w:r>
        <w:t>环境影响预测与评价</w:t>
      </w:r>
      <w:r>
        <w:tab/>
      </w:r>
      <w:r>
        <w:fldChar w:fldCharType="begin"/>
      </w:r>
      <w:r>
        <w:instrText xml:space="preserve"> PAGEREF _Toc28810 \h </w:instrText>
      </w:r>
      <w:r>
        <w:fldChar w:fldCharType="separate"/>
      </w:r>
      <w:r>
        <w:t>221</w:t>
      </w:r>
      <w:r>
        <w:fldChar w:fldCharType="end"/>
      </w:r>
      <w:r>
        <w:rPr>
          <w:color w:val="auto"/>
          <w:szCs w:val="21"/>
        </w:rPr>
        <w:fldChar w:fldCharType="end"/>
      </w:r>
    </w:p>
    <w:p w14:paraId="1058C121">
      <w:pPr>
        <w:pStyle w:val="24"/>
        <w:tabs>
          <w:tab w:val="right" w:leader="dot" w:pos="8310"/>
        </w:tabs>
      </w:pPr>
      <w:r>
        <w:rPr>
          <w:color w:val="auto"/>
          <w:szCs w:val="21"/>
        </w:rPr>
        <w:fldChar w:fldCharType="begin"/>
      </w:r>
      <w:r>
        <w:rPr>
          <w:szCs w:val="21"/>
        </w:rPr>
        <w:instrText xml:space="preserve"> HYPERLINK \l _Toc20087 </w:instrText>
      </w:r>
      <w:r>
        <w:rPr>
          <w:szCs w:val="21"/>
        </w:rPr>
        <w:fldChar w:fldCharType="separate"/>
      </w:r>
      <w:r>
        <w:rPr>
          <w:rFonts w:hint="eastAsia"/>
          <w:szCs w:val="32"/>
          <w:lang w:eastAsia="zh-CN"/>
        </w:rPr>
        <w:t xml:space="preserve">6.1 </w:t>
      </w:r>
      <w:r>
        <w:rPr>
          <w:rFonts w:hint="eastAsia"/>
          <w:lang w:val="en-US" w:eastAsia="zh-CN"/>
        </w:rPr>
        <w:t>大气</w:t>
      </w:r>
      <w:r>
        <w:rPr>
          <w:lang w:eastAsia="zh-CN"/>
        </w:rPr>
        <w:t>环境影响预测</w:t>
      </w:r>
      <w:r>
        <w:tab/>
      </w:r>
      <w:r>
        <w:fldChar w:fldCharType="begin"/>
      </w:r>
      <w:r>
        <w:instrText xml:space="preserve"> PAGEREF _Toc20087 \h </w:instrText>
      </w:r>
      <w:r>
        <w:fldChar w:fldCharType="separate"/>
      </w:r>
      <w:r>
        <w:t>221</w:t>
      </w:r>
      <w:r>
        <w:fldChar w:fldCharType="end"/>
      </w:r>
      <w:r>
        <w:rPr>
          <w:color w:val="auto"/>
          <w:szCs w:val="21"/>
        </w:rPr>
        <w:fldChar w:fldCharType="end"/>
      </w:r>
    </w:p>
    <w:p w14:paraId="03049939">
      <w:pPr>
        <w:pStyle w:val="24"/>
        <w:tabs>
          <w:tab w:val="right" w:leader="dot" w:pos="8310"/>
        </w:tabs>
      </w:pPr>
      <w:r>
        <w:rPr>
          <w:color w:val="auto"/>
          <w:szCs w:val="21"/>
        </w:rPr>
        <w:fldChar w:fldCharType="begin"/>
      </w:r>
      <w:r>
        <w:rPr>
          <w:szCs w:val="21"/>
        </w:rPr>
        <w:instrText xml:space="preserve"> HYPERLINK \l _Toc17011 </w:instrText>
      </w:r>
      <w:r>
        <w:rPr>
          <w:szCs w:val="21"/>
        </w:rPr>
        <w:fldChar w:fldCharType="separate"/>
      </w:r>
      <w:r>
        <w:rPr>
          <w:rFonts w:hint="eastAsia"/>
          <w:szCs w:val="32"/>
        </w:rPr>
        <w:t xml:space="preserve">6.2 </w:t>
      </w:r>
      <w:r>
        <w:t>地表水环境影响评价</w:t>
      </w:r>
      <w:r>
        <w:tab/>
      </w:r>
      <w:r>
        <w:fldChar w:fldCharType="begin"/>
      </w:r>
      <w:r>
        <w:instrText xml:space="preserve"> PAGEREF _Toc17011 \h </w:instrText>
      </w:r>
      <w:r>
        <w:fldChar w:fldCharType="separate"/>
      </w:r>
      <w:r>
        <w:t>231</w:t>
      </w:r>
      <w:r>
        <w:fldChar w:fldCharType="end"/>
      </w:r>
      <w:r>
        <w:rPr>
          <w:color w:val="auto"/>
          <w:szCs w:val="21"/>
        </w:rPr>
        <w:fldChar w:fldCharType="end"/>
      </w:r>
    </w:p>
    <w:p w14:paraId="38B5557B">
      <w:pPr>
        <w:pStyle w:val="24"/>
        <w:tabs>
          <w:tab w:val="right" w:leader="dot" w:pos="8310"/>
        </w:tabs>
      </w:pPr>
      <w:r>
        <w:rPr>
          <w:color w:val="auto"/>
          <w:szCs w:val="21"/>
        </w:rPr>
        <w:fldChar w:fldCharType="begin"/>
      </w:r>
      <w:r>
        <w:rPr>
          <w:szCs w:val="21"/>
        </w:rPr>
        <w:instrText xml:space="preserve"> HYPERLINK \l _Toc11046 </w:instrText>
      </w:r>
      <w:r>
        <w:rPr>
          <w:szCs w:val="21"/>
        </w:rPr>
        <w:fldChar w:fldCharType="separate"/>
      </w:r>
      <w:r>
        <w:rPr>
          <w:rFonts w:hint="eastAsia"/>
          <w:szCs w:val="32"/>
        </w:rPr>
        <w:t xml:space="preserve">6.3 </w:t>
      </w:r>
      <w:r>
        <w:rPr>
          <w:rFonts w:hint="eastAsia"/>
        </w:rPr>
        <w:t>地下水环境影响评价</w:t>
      </w:r>
      <w:r>
        <w:tab/>
      </w:r>
      <w:r>
        <w:fldChar w:fldCharType="begin"/>
      </w:r>
      <w:r>
        <w:instrText xml:space="preserve"> PAGEREF _Toc11046 \h </w:instrText>
      </w:r>
      <w:r>
        <w:fldChar w:fldCharType="separate"/>
      </w:r>
      <w:r>
        <w:t>234</w:t>
      </w:r>
      <w:r>
        <w:fldChar w:fldCharType="end"/>
      </w:r>
      <w:r>
        <w:rPr>
          <w:color w:val="auto"/>
          <w:szCs w:val="21"/>
        </w:rPr>
        <w:fldChar w:fldCharType="end"/>
      </w:r>
    </w:p>
    <w:p w14:paraId="7E1B34FF">
      <w:pPr>
        <w:pStyle w:val="24"/>
        <w:tabs>
          <w:tab w:val="right" w:leader="dot" w:pos="8310"/>
        </w:tabs>
      </w:pPr>
      <w:r>
        <w:rPr>
          <w:color w:val="auto"/>
          <w:szCs w:val="21"/>
        </w:rPr>
        <w:fldChar w:fldCharType="begin"/>
      </w:r>
      <w:r>
        <w:rPr>
          <w:szCs w:val="21"/>
        </w:rPr>
        <w:instrText xml:space="preserve"> HYPERLINK \l _Toc6472 </w:instrText>
      </w:r>
      <w:r>
        <w:rPr>
          <w:szCs w:val="21"/>
        </w:rPr>
        <w:fldChar w:fldCharType="separate"/>
      </w:r>
      <w:r>
        <w:rPr>
          <w:rFonts w:hint="eastAsia"/>
          <w:szCs w:val="32"/>
          <w:lang w:val="en-US" w:eastAsia="zh-CN"/>
        </w:rPr>
        <w:t xml:space="preserve">6.4 </w:t>
      </w:r>
      <w:r>
        <w:t>声环境影响</w:t>
      </w:r>
      <w:r>
        <w:rPr>
          <w:rFonts w:hint="eastAsia"/>
          <w:lang w:val="en-US" w:eastAsia="zh-CN"/>
        </w:rPr>
        <w:t>预测</w:t>
      </w:r>
      <w:r>
        <w:tab/>
      </w:r>
      <w:r>
        <w:fldChar w:fldCharType="begin"/>
      </w:r>
      <w:r>
        <w:instrText xml:space="preserve"> PAGEREF _Toc6472 \h </w:instrText>
      </w:r>
      <w:r>
        <w:fldChar w:fldCharType="separate"/>
      </w:r>
      <w:r>
        <w:t>256</w:t>
      </w:r>
      <w:r>
        <w:fldChar w:fldCharType="end"/>
      </w:r>
      <w:r>
        <w:rPr>
          <w:color w:val="auto"/>
          <w:szCs w:val="21"/>
        </w:rPr>
        <w:fldChar w:fldCharType="end"/>
      </w:r>
    </w:p>
    <w:p w14:paraId="0046AD82">
      <w:pPr>
        <w:pStyle w:val="24"/>
        <w:tabs>
          <w:tab w:val="right" w:leader="dot" w:pos="8310"/>
        </w:tabs>
      </w:pPr>
      <w:r>
        <w:rPr>
          <w:color w:val="auto"/>
          <w:szCs w:val="21"/>
        </w:rPr>
        <w:fldChar w:fldCharType="begin"/>
      </w:r>
      <w:r>
        <w:rPr>
          <w:szCs w:val="21"/>
        </w:rPr>
        <w:instrText xml:space="preserve"> HYPERLINK \l _Toc13223 </w:instrText>
      </w:r>
      <w:r>
        <w:rPr>
          <w:szCs w:val="21"/>
        </w:rPr>
        <w:fldChar w:fldCharType="separate"/>
      </w:r>
      <w:r>
        <w:rPr>
          <w:rFonts w:hint="eastAsia"/>
          <w:szCs w:val="32"/>
        </w:rPr>
        <w:t xml:space="preserve">6.5 </w:t>
      </w:r>
      <w:r>
        <w:t>固体废物环境影响分析</w:t>
      </w:r>
      <w:r>
        <w:tab/>
      </w:r>
      <w:r>
        <w:fldChar w:fldCharType="begin"/>
      </w:r>
      <w:r>
        <w:instrText xml:space="preserve"> PAGEREF _Toc13223 \h </w:instrText>
      </w:r>
      <w:r>
        <w:fldChar w:fldCharType="separate"/>
      </w:r>
      <w:r>
        <w:t>260</w:t>
      </w:r>
      <w:r>
        <w:fldChar w:fldCharType="end"/>
      </w:r>
      <w:r>
        <w:rPr>
          <w:color w:val="auto"/>
          <w:szCs w:val="21"/>
        </w:rPr>
        <w:fldChar w:fldCharType="end"/>
      </w:r>
    </w:p>
    <w:p w14:paraId="30F990DA">
      <w:pPr>
        <w:pStyle w:val="24"/>
        <w:tabs>
          <w:tab w:val="right" w:leader="dot" w:pos="8310"/>
        </w:tabs>
      </w:pPr>
      <w:r>
        <w:rPr>
          <w:color w:val="auto"/>
          <w:szCs w:val="21"/>
        </w:rPr>
        <w:fldChar w:fldCharType="begin"/>
      </w:r>
      <w:r>
        <w:rPr>
          <w:szCs w:val="21"/>
        </w:rPr>
        <w:instrText xml:space="preserve"> HYPERLINK \l _Toc24038 </w:instrText>
      </w:r>
      <w:r>
        <w:rPr>
          <w:szCs w:val="21"/>
        </w:rPr>
        <w:fldChar w:fldCharType="separate"/>
      </w:r>
      <w:r>
        <w:rPr>
          <w:rFonts w:hint="eastAsia"/>
          <w:szCs w:val="32"/>
        </w:rPr>
        <w:t xml:space="preserve">6.6 </w:t>
      </w:r>
      <w:r>
        <w:t>土壤环境影响分析</w:t>
      </w:r>
      <w:r>
        <w:tab/>
      </w:r>
      <w:r>
        <w:fldChar w:fldCharType="begin"/>
      </w:r>
      <w:r>
        <w:instrText xml:space="preserve"> PAGEREF _Toc24038 \h </w:instrText>
      </w:r>
      <w:r>
        <w:fldChar w:fldCharType="separate"/>
      </w:r>
      <w:r>
        <w:t>261</w:t>
      </w:r>
      <w:r>
        <w:fldChar w:fldCharType="end"/>
      </w:r>
      <w:r>
        <w:rPr>
          <w:color w:val="auto"/>
          <w:szCs w:val="21"/>
        </w:rPr>
        <w:fldChar w:fldCharType="end"/>
      </w:r>
    </w:p>
    <w:p w14:paraId="494C61CB">
      <w:pPr>
        <w:pStyle w:val="24"/>
        <w:tabs>
          <w:tab w:val="right" w:leader="dot" w:pos="8310"/>
        </w:tabs>
      </w:pPr>
      <w:r>
        <w:rPr>
          <w:color w:val="auto"/>
          <w:szCs w:val="21"/>
        </w:rPr>
        <w:fldChar w:fldCharType="begin"/>
      </w:r>
      <w:r>
        <w:rPr>
          <w:szCs w:val="21"/>
        </w:rPr>
        <w:instrText xml:space="preserve"> HYPERLINK \l _Toc15360 </w:instrText>
      </w:r>
      <w:r>
        <w:rPr>
          <w:szCs w:val="21"/>
        </w:rPr>
        <w:fldChar w:fldCharType="separate"/>
      </w:r>
      <w:r>
        <w:rPr>
          <w:rFonts w:hint="eastAsia"/>
          <w:szCs w:val="32"/>
        </w:rPr>
        <w:t xml:space="preserve">6.7 </w:t>
      </w:r>
      <w:r>
        <w:rPr>
          <w:rFonts w:hint="eastAsia"/>
        </w:rPr>
        <w:t>生态环境影响分析</w:t>
      </w:r>
      <w:r>
        <w:tab/>
      </w:r>
      <w:r>
        <w:fldChar w:fldCharType="begin"/>
      </w:r>
      <w:r>
        <w:instrText xml:space="preserve"> PAGEREF _Toc15360 \h </w:instrText>
      </w:r>
      <w:r>
        <w:fldChar w:fldCharType="separate"/>
      </w:r>
      <w:r>
        <w:t>264</w:t>
      </w:r>
      <w:r>
        <w:fldChar w:fldCharType="end"/>
      </w:r>
      <w:r>
        <w:rPr>
          <w:color w:val="auto"/>
          <w:szCs w:val="21"/>
        </w:rPr>
        <w:fldChar w:fldCharType="end"/>
      </w:r>
    </w:p>
    <w:p w14:paraId="6739FF2F">
      <w:pPr>
        <w:pStyle w:val="24"/>
        <w:tabs>
          <w:tab w:val="right" w:leader="dot" w:pos="8310"/>
        </w:tabs>
      </w:pPr>
      <w:r>
        <w:rPr>
          <w:color w:val="auto"/>
          <w:szCs w:val="21"/>
        </w:rPr>
        <w:fldChar w:fldCharType="begin"/>
      </w:r>
      <w:r>
        <w:rPr>
          <w:szCs w:val="21"/>
        </w:rPr>
        <w:instrText xml:space="preserve"> HYPERLINK \l _Toc28765 </w:instrText>
      </w:r>
      <w:r>
        <w:rPr>
          <w:szCs w:val="21"/>
        </w:rPr>
        <w:fldChar w:fldCharType="separate"/>
      </w:r>
      <w:r>
        <w:rPr>
          <w:rFonts w:hint="eastAsia"/>
          <w:szCs w:val="32"/>
        </w:rPr>
        <w:t xml:space="preserve">6.8 </w:t>
      </w:r>
      <w:r>
        <w:t>环境风险影响分析评价</w:t>
      </w:r>
      <w:r>
        <w:tab/>
      </w:r>
      <w:r>
        <w:fldChar w:fldCharType="begin"/>
      </w:r>
      <w:r>
        <w:instrText xml:space="preserve"> PAGEREF _Toc28765 \h </w:instrText>
      </w:r>
      <w:r>
        <w:fldChar w:fldCharType="separate"/>
      </w:r>
      <w:r>
        <w:t>264</w:t>
      </w:r>
      <w:r>
        <w:fldChar w:fldCharType="end"/>
      </w:r>
      <w:r>
        <w:rPr>
          <w:color w:val="auto"/>
          <w:szCs w:val="21"/>
        </w:rPr>
        <w:fldChar w:fldCharType="end"/>
      </w:r>
    </w:p>
    <w:p w14:paraId="40103FC6">
      <w:pPr>
        <w:pStyle w:val="23"/>
        <w:tabs>
          <w:tab w:val="right" w:leader="dot" w:pos="8310"/>
        </w:tabs>
      </w:pPr>
      <w:r>
        <w:rPr>
          <w:color w:val="auto"/>
          <w:szCs w:val="21"/>
        </w:rPr>
        <w:fldChar w:fldCharType="begin"/>
      </w:r>
      <w:r>
        <w:rPr>
          <w:szCs w:val="21"/>
        </w:rPr>
        <w:instrText xml:space="preserve"> HYPERLINK \l _Toc30650 </w:instrText>
      </w:r>
      <w:r>
        <w:rPr>
          <w:szCs w:val="21"/>
        </w:rPr>
        <w:fldChar w:fldCharType="separate"/>
      </w:r>
      <w:r>
        <w:rPr>
          <w:rFonts w:hint="eastAsia" w:eastAsia="黑体"/>
          <w:bCs/>
          <w:i w:val="0"/>
          <w:szCs w:val="36"/>
        </w:rPr>
        <w:t xml:space="preserve">7 </w:t>
      </w:r>
      <w:r>
        <w:t>环境保护措施及其可行性分析</w:t>
      </w:r>
      <w:r>
        <w:tab/>
      </w:r>
      <w:r>
        <w:fldChar w:fldCharType="begin"/>
      </w:r>
      <w:r>
        <w:instrText xml:space="preserve"> PAGEREF _Toc30650 \h </w:instrText>
      </w:r>
      <w:r>
        <w:fldChar w:fldCharType="separate"/>
      </w:r>
      <w:r>
        <w:t>277</w:t>
      </w:r>
      <w:r>
        <w:fldChar w:fldCharType="end"/>
      </w:r>
      <w:r>
        <w:rPr>
          <w:color w:val="auto"/>
          <w:szCs w:val="21"/>
        </w:rPr>
        <w:fldChar w:fldCharType="end"/>
      </w:r>
    </w:p>
    <w:p w14:paraId="023A1324">
      <w:pPr>
        <w:pStyle w:val="24"/>
        <w:tabs>
          <w:tab w:val="right" w:leader="dot" w:pos="8310"/>
        </w:tabs>
      </w:pPr>
      <w:r>
        <w:rPr>
          <w:color w:val="auto"/>
          <w:szCs w:val="21"/>
        </w:rPr>
        <w:fldChar w:fldCharType="begin"/>
      </w:r>
      <w:r>
        <w:rPr>
          <w:szCs w:val="21"/>
        </w:rPr>
        <w:instrText xml:space="preserve"> HYPERLINK \l _Toc758 </w:instrText>
      </w:r>
      <w:r>
        <w:rPr>
          <w:szCs w:val="21"/>
        </w:rPr>
        <w:fldChar w:fldCharType="separate"/>
      </w:r>
      <w:r>
        <w:rPr>
          <w:rFonts w:hint="eastAsia"/>
          <w:szCs w:val="32"/>
        </w:rPr>
        <w:t xml:space="preserve">7.1 </w:t>
      </w:r>
      <w:r>
        <w:rPr>
          <w:rFonts w:hint="eastAsia"/>
        </w:rPr>
        <w:t>施工期治理措施分析</w:t>
      </w:r>
      <w:r>
        <w:tab/>
      </w:r>
      <w:r>
        <w:fldChar w:fldCharType="begin"/>
      </w:r>
      <w:r>
        <w:instrText xml:space="preserve"> PAGEREF _Toc758 \h </w:instrText>
      </w:r>
      <w:r>
        <w:fldChar w:fldCharType="separate"/>
      </w:r>
      <w:r>
        <w:t>277</w:t>
      </w:r>
      <w:r>
        <w:fldChar w:fldCharType="end"/>
      </w:r>
      <w:r>
        <w:rPr>
          <w:color w:val="auto"/>
          <w:szCs w:val="21"/>
        </w:rPr>
        <w:fldChar w:fldCharType="end"/>
      </w:r>
    </w:p>
    <w:p w14:paraId="2D7F23F3">
      <w:pPr>
        <w:pStyle w:val="24"/>
        <w:tabs>
          <w:tab w:val="right" w:leader="dot" w:pos="8310"/>
        </w:tabs>
      </w:pPr>
      <w:r>
        <w:rPr>
          <w:color w:val="auto"/>
          <w:szCs w:val="21"/>
        </w:rPr>
        <w:fldChar w:fldCharType="begin"/>
      </w:r>
      <w:r>
        <w:rPr>
          <w:szCs w:val="21"/>
        </w:rPr>
        <w:instrText xml:space="preserve"> HYPERLINK \l _Toc4406 </w:instrText>
      </w:r>
      <w:r>
        <w:rPr>
          <w:szCs w:val="21"/>
        </w:rPr>
        <w:fldChar w:fldCharType="separate"/>
      </w:r>
      <w:r>
        <w:rPr>
          <w:rFonts w:hint="eastAsia"/>
          <w:szCs w:val="32"/>
        </w:rPr>
        <w:t xml:space="preserve">7.2 </w:t>
      </w:r>
      <w:r>
        <w:rPr>
          <w:rFonts w:hint="eastAsia"/>
        </w:rPr>
        <w:t>运营期污染防治措施分析</w:t>
      </w:r>
      <w:r>
        <w:tab/>
      </w:r>
      <w:r>
        <w:fldChar w:fldCharType="begin"/>
      </w:r>
      <w:r>
        <w:instrText xml:space="preserve"> PAGEREF _Toc4406 \h </w:instrText>
      </w:r>
      <w:r>
        <w:fldChar w:fldCharType="separate"/>
      </w:r>
      <w:r>
        <w:t>280</w:t>
      </w:r>
      <w:r>
        <w:fldChar w:fldCharType="end"/>
      </w:r>
      <w:r>
        <w:rPr>
          <w:color w:val="auto"/>
          <w:szCs w:val="21"/>
        </w:rPr>
        <w:fldChar w:fldCharType="end"/>
      </w:r>
    </w:p>
    <w:p w14:paraId="3FDC2BF6">
      <w:pPr>
        <w:pStyle w:val="24"/>
        <w:tabs>
          <w:tab w:val="right" w:leader="dot" w:pos="8310"/>
        </w:tabs>
      </w:pPr>
      <w:r>
        <w:rPr>
          <w:color w:val="auto"/>
          <w:szCs w:val="21"/>
        </w:rPr>
        <w:fldChar w:fldCharType="begin"/>
      </w:r>
      <w:r>
        <w:rPr>
          <w:szCs w:val="21"/>
        </w:rPr>
        <w:instrText xml:space="preserve"> HYPERLINK \l _Toc23245 </w:instrText>
      </w:r>
      <w:r>
        <w:rPr>
          <w:szCs w:val="21"/>
        </w:rPr>
        <w:fldChar w:fldCharType="separate"/>
      </w:r>
      <w:r>
        <w:rPr>
          <w:rFonts w:hint="eastAsia"/>
          <w:szCs w:val="32"/>
        </w:rPr>
        <w:t xml:space="preserve">7.3 </w:t>
      </w:r>
      <w:r>
        <w:rPr>
          <w:rFonts w:hint="eastAsia"/>
        </w:rPr>
        <w:t>工程污染防治措施汇总</w:t>
      </w:r>
      <w:r>
        <w:tab/>
      </w:r>
      <w:r>
        <w:fldChar w:fldCharType="begin"/>
      </w:r>
      <w:r>
        <w:instrText xml:space="preserve"> PAGEREF _Toc23245 \h </w:instrText>
      </w:r>
      <w:r>
        <w:fldChar w:fldCharType="separate"/>
      </w:r>
      <w:r>
        <w:t>290</w:t>
      </w:r>
      <w:r>
        <w:fldChar w:fldCharType="end"/>
      </w:r>
      <w:r>
        <w:rPr>
          <w:color w:val="auto"/>
          <w:szCs w:val="21"/>
        </w:rPr>
        <w:fldChar w:fldCharType="end"/>
      </w:r>
    </w:p>
    <w:p w14:paraId="29FA327B">
      <w:pPr>
        <w:pStyle w:val="23"/>
        <w:tabs>
          <w:tab w:val="right" w:leader="dot" w:pos="8310"/>
        </w:tabs>
      </w:pPr>
      <w:r>
        <w:rPr>
          <w:color w:val="auto"/>
          <w:szCs w:val="21"/>
        </w:rPr>
        <w:fldChar w:fldCharType="begin"/>
      </w:r>
      <w:r>
        <w:rPr>
          <w:szCs w:val="21"/>
        </w:rPr>
        <w:instrText xml:space="preserve"> HYPERLINK \l _Toc21620 </w:instrText>
      </w:r>
      <w:r>
        <w:rPr>
          <w:szCs w:val="21"/>
        </w:rPr>
        <w:fldChar w:fldCharType="separate"/>
      </w:r>
      <w:r>
        <w:rPr>
          <w:rFonts w:hint="eastAsia" w:eastAsia="黑体"/>
          <w:bCs/>
          <w:i w:val="0"/>
          <w:szCs w:val="36"/>
        </w:rPr>
        <w:t xml:space="preserve">8 </w:t>
      </w:r>
      <w:r>
        <w:t>环境影响经济损益分析</w:t>
      </w:r>
      <w:r>
        <w:tab/>
      </w:r>
      <w:r>
        <w:fldChar w:fldCharType="begin"/>
      </w:r>
      <w:r>
        <w:instrText xml:space="preserve"> PAGEREF _Toc21620 \h </w:instrText>
      </w:r>
      <w:r>
        <w:fldChar w:fldCharType="separate"/>
      </w:r>
      <w:r>
        <w:t>293</w:t>
      </w:r>
      <w:r>
        <w:fldChar w:fldCharType="end"/>
      </w:r>
      <w:r>
        <w:rPr>
          <w:color w:val="auto"/>
          <w:szCs w:val="21"/>
        </w:rPr>
        <w:fldChar w:fldCharType="end"/>
      </w:r>
    </w:p>
    <w:p w14:paraId="706ED44D">
      <w:pPr>
        <w:pStyle w:val="24"/>
        <w:tabs>
          <w:tab w:val="right" w:leader="dot" w:pos="8310"/>
        </w:tabs>
      </w:pPr>
      <w:r>
        <w:rPr>
          <w:color w:val="auto"/>
          <w:szCs w:val="21"/>
        </w:rPr>
        <w:fldChar w:fldCharType="begin"/>
      </w:r>
      <w:r>
        <w:rPr>
          <w:szCs w:val="21"/>
        </w:rPr>
        <w:instrText xml:space="preserve"> HYPERLINK \l _Toc2534 </w:instrText>
      </w:r>
      <w:r>
        <w:rPr>
          <w:szCs w:val="21"/>
        </w:rPr>
        <w:fldChar w:fldCharType="separate"/>
      </w:r>
      <w:r>
        <w:rPr>
          <w:rFonts w:hint="eastAsia"/>
          <w:szCs w:val="32"/>
        </w:rPr>
        <w:t xml:space="preserve">8.1 </w:t>
      </w:r>
      <w:r>
        <w:rPr>
          <w:rFonts w:hint="eastAsia"/>
          <w:lang w:val="en-US" w:eastAsia="zh-CN"/>
        </w:rPr>
        <w:t>环境经济损益分析的目的</w:t>
      </w:r>
      <w:r>
        <w:tab/>
      </w:r>
      <w:r>
        <w:fldChar w:fldCharType="begin"/>
      </w:r>
      <w:r>
        <w:instrText xml:space="preserve"> PAGEREF _Toc2534 \h </w:instrText>
      </w:r>
      <w:r>
        <w:fldChar w:fldCharType="separate"/>
      </w:r>
      <w:r>
        <w:t>293</w:t>
      </w:r>
      <w:r>
        <w:fldChar w:fldCharType="end"/>
      </w:r>
      <w:r>
        <w:rPr>
          <w:color w:val="auto"/>
          <w:szCs w:val="21"/>
        </w:rPr>
        <w:fldChar w:fldCharType="end"/>
      </w:r>
    </w:p>
    <w:p w14:paraId="377840C1">
      <w:pPr>
        <w:pStyle w:val="24"/>
        <w:tabs>
          <w:tab w:val="right" w:leader="dot" w:pos="8310"/>
        </w:tabs>
      </w:pPr>
      <w:r>
        <w:rPr>
          <w:color w:val="auto"/>
          <w:szCs w:val="21"/>
        </w:rPr>
        <w:fldChar w:fldCharType="begin"/>
      </w:r>
      <w:r>
        <w:rPr>
          <w:szCs w:val="21"/>
        </w:rPr>
        <w:instrText xml:space="preserve"> HYPERLINK \l _Toc20812 </w:instrText>
      </w:r>
      <w:r>
        <w:rPr>
          <w:szCs w:val="21"/>
        </w:rPr>
        <w:fldChar w:fldCharType="separate"/>
      </w:r>
      <w:r>
        <w:rPr>
          <w:rFonts w:hint="eastAsia"/>
          <w:szCs w:val="32"/>
        </w:rPr>
        <w:t xml:space="preserve">8.2 </w:t>
      </w:r>
      <w:r>
        <w:rPr>
          <w:rFonts w:hint="eastAsia"/>
          <w:lang w:val="en-US" w:eastAsia="zh-CN"/>
        </w:rPr>
        <w:t>工程社会效益分析</w:t>
      </w:r>
      <w:r>
        <w:tab/>
      </w:r>
      <w:r>
        <w:fldChar w:fldCharType="begin"/>
      </w:r>
      <w:r>
        <w:instrText xml:space="preserve"> PAGEREF _Toc20812 \h </w:instrText>
      </w:r>
      <w:r>
        <w:fldChar w:fldCharType="separate"/>
      </w:r>
      <w:r>
        <w:t>293</w:t>
      </w:r>
      <w:r>
        <w:fldChar w:fldCharType="end"/>
      </w:r>
      <w:r>
        <w:rPr>
          <w:color w:val="auto"/>
          <w:szCs w:val="21"/>
        </w:rPr>
        <w:fldChar w:fldCharType="end"/>
      </w:r>
    </w:p>
    <w:p w14:paraId="18602BFF">
      <w:pPr>
        <w:pStyle w:val="24"/>
        <w:tabs>
          <w:tab w:val="right" w:leader="dot" w:pos="8310"/>
        </w:tabs>
      </w:pPr>
      <w:r>
        <w:rPr>
          <w:color w:val="auto"/>
          <w:szCs w:val="21"/>
        </w:rPr>
        <w:fldChar w:fldCharType="begin"/>
      </w:r>
      <w:r>
        <w:rPr>
          <w:szCs w:val="21"/>
        </w:rPr>
        <w:instrText xml:space="preserve"> HYPERLINK \l _Toc5913 </w:instrText>
      </w:r>
      <w:r>
        <w:rPr>
          <w:szCs w:val="21"/>
        </w:rPr>
        <w:fldChar w:fldCharType="separate"/>
      </w:r>
      <w:r>
        <w:rPr>
          <w:rFonts w:hint="eastAsia" w:eastAsia="宋体"/>
          <w:szCs w:val="32"/>
          <w:lang w:val="en-US" w:eastAsia="zh-CN"/>
        </w:rPr>
        <w:t xml:space="preserve">8.3 </w:t>
      </w:r>
      <w:r>
        <w:rPr>
          <w:rFonts w:hint="eastAsia"/>
          <w:lang w:val="en-US" w:eastAsia="zh-CN"/>
        </w:rPr>
        <w:t>工程环境效益分析</w:t>
      </w:r>
      <w:r>
        <w:tab/>
      </w:r>
      <w:r>
        <w:fldChar w:fldCharType="begin"/>
      </w:r>
      <w:r>
        <w:instrText xml:space="preserve"> PAGEREF _Toc5913 \h </w:instrText>
      </w:r>
      <w:r>
        <w:fldChar w:fldCharType="separate"/>
      </w:r>
      <w:r>
        <w:t>294</w:t>
      </w:r>
      <w:r>
        <w:fldChar w:fldCharType="end"/>
      </w:r>
      <w:r>
        <w:rPr>
          <w:color w:val="auto"/>
          <w:szCs w:val="21"/>
        </w:rPr>
        <w:fldChar w:fldCharType="end"/>
      </w:r>
    </w:p>
    <w:p w14:paraId="5056549D">
      <w:pPr>
        <w:pStyle w:val="23"/>
        <w:tabs>
          <w:tab w:val="right" w:leader="dot" w:pos="8310"/>
        </w:tabs>
      </w:pPr>
      <w:r>
        <w:rPr>
          <w:color w:val="auto"/>
          <w:szCs w:val="21"/>
        </w:rPr>
        <w:fldChar w:fldCharType="begin"/>
      </w:r>
      <w:r>
        <w:rPr>
          <w:szCs w:val="21"/>
        </w:rPr>
        <w:instrText xml:space="preserve"> HYPERLINK \l _Toc14373 </w:instrText>
      </w:r>
      <w:r>
        <w:rPr>
          <w:szCs w:val="21"/>
        </w:rPr>
        <w:fldChar w:fldCharType="separate"/>
      </w:r>
      <w:r>
        <w:rPr>
          <w:rFonts w:hint="eastAsia" w:eastAsia="黑体"/>
          <w:bCs/>
          <w:i w:val="0"/>
          <w:szCs w:val="36"/>
        </w:rPr>
        <w:t xml:space="preserve">9 </w:t>
      </w:r>
      <w:r>
        <w:t>环境管理</w:t>
      </w:r>
      <w:r>
        <w:rPr>
          <w:rFonts w:hint="eastAsia"/>
        </w:rPr>
        <w:t>与</w:t>
      </w:r>
      <w:r>
        <w:t>监测计划</w:t>
      </w:r>
      <w:r>
        <w:tab/>
      </w:r>
      <w:r>
        <w:fldChar w:fldCharType="begin"/>
      </w:r>
      <w:r>
        <w:instrText xml:space="preserve"> PAGEREF _Toc14373 \h </w:instrText>
      </w:r>
      <w:r>
        <w:fldChar w:fldCharType="separate"/>
      </w:r>
      <w:r>
        <w:t>295</w:t>
      </w:r>
      <w:r>
        <w:fldChar w:fldCharType="end"/>
      </w:r>
      <w:r>
        <w:rPr>
          <w:color w:val="auto"/>
          <w:szCs w:val="21"/>
        </w:rPr>
        <w:fldChar w:fldCharType="end"/>
      </w:r>
    </w:p>
    <w:p w14:paraId="58F5AFDC">
      <w:pPr>
        <w:pStyle w:val="24"/>
        <w:tabs>
          <w:tab w:val="right" w:leader="dot" w:pos="8310"/>
        </w:tabs>
      </w:pPr>
      <w:r>
        <w:rPr>
          <w:color w:val="auto"/>
          <w:szCs w:val="21"/>
        </w:rPr>
        <w:fldChar w:fldCharType="begin"/>
      </w:r>
      <w:r>
        <w:rPr>
          <w:szCs w:val="21"/>
        </w:rPr>
        <w:instrText xml:space="preserve"> HYPERLINK \l _Toc27224 </w:instrText>
      </w:r>
      <w:r>
        <w:rPr>
          <w:szCs w:val="21"/>
        </w:rPr>
        <w:fldChar w:fldCharType="separate"/>
      </w:r>
      <w:r>
        <w:rPr>
          <w:rFonts w:hint="eastAsia"/>
          <w:szCs w:val="32"/>
        </w:rPr>
        <w:t xml:space="preserve">9.1 </w:t>
      </w:r>
      <w:r>
        <w:rPr>
          <w:rFonts w:hint="eastAsia"/>
        </w:rPr>
        <w:t>环境管理</w:t>
      </w:r>
      <w:r>
        <w:tab/>
      </w:r>
      <w:r>
        <w:fldChar w:fldCharType="begin"/>
      </w:r>
      <w:r>
        <w:instrText xml:space="preserve"> PAGEREF _Toc27224 \h </w:instrText>
      </w:r>
      <w:r>
        <w:fldChar w:fldCharType="separate"/>
      </w:r>
      <w:r>
        <w:t>295</w:t>
      </w:r>
      <w:r>
        <w:fldChar w:fldCharType="end"/>
      </w:r>
      <w:r>
        <w:rPr>
          <w:color w:val="auto"/>
          <w:szCs w:val="21"/>
        </w:rPr>
        <w:fldChar w:fldCharType="end"/>
      </w:r>
    </w:p>
    <w:p w14:paraId="043C46DE">
      <w:pPr>
        <w:pStyle w:val="24"/>
        <w:tabs>
          <w:tab w:val="right" w:leader="dot" w:pos="8310"/>
        </w:tabs>
      </w:pPr>
      <w:r>
        <w:rPr>
          <w:color w:val="auto"/>
          <w:szCs w:val="21"/>
        </w:rPr>
        <w:fldChar w:fldCharType="begin"/>
      </w:r>
      <w:r>
        <w:rPr>
          <w:szCs w:val="21"/>
        </w:rPr>
        <w:instrText xml:space="preserve"> HYPERLINK \l _Toc3501 </w:instrText>
      </w:r>
      <w:r>
        <w:rPr>
          <w:szCs w:val="21"/>
        </w:rPr>
        <w:fldChar w:fldCharType="separate"/>
      </w:r>
      <w:r>
        <w:rPr>
          <w:rFonts w:hint="eastAsia"/>
          <w:szCs w:val="32"/>
        </w:rPr>
        <w:t xml:space="preserve">9.2 </w:t>
      </w:r>
      <w:r>
        <w:rPr>
          <w:rFonts w:hint="eastAsia"/>
        </w:rPr>
        <w:t>环境监测计划</w:t>
      </w:r>
      <w:r>
        <w:tab/>
      </w:r>
      <w:r>
        <w:fldChar w:fldCharType="begin"/>
      </w:r>
      <w:r>
        <w:instrText xml:space="preserve"> PAGEREF _Toc3501 \h </w:instrText>
      </w:r>
      <w:r>
        <w:fldChar w:fldCharType="separate"/>
      </w:r>
      <w:r>
        <w:t>298</w:t>
      </w:r>
      <w:r>
        <w:fldChar w:fldCharType="end"/>
      </w:r>
      <w:r>
        <w:rPr>
          <w:color w:val="auto"/>
          <w:szCs w:val="21"/>
        </w:rPr>
        <w:fldChar w:fldCharType="end"/>
      </w:r>
    </w:p>
    <w:p w14:paraId="1012504F">
      <w:pPr>
        <w:pStyle w:val="24"/>
        <w:tabs>
          <w:tab w:val="right" w:leader="dot" w:pos="8310"/>
        </w:tabs>
      </w:pPr>
      <w:r>
        <w:rPr>
          <w:color w:val="auto"/>
          <w:szCs w:val="21"/>
        </w:rPr>
        <w:fldChar w:fldCharType="begin"/>
      </w:r>
      <w:r>
        <w:rPr>
          <w:szCs w:val="21"/>
        </w:rPr>
        <w:instrText xml:space="preserve"> HYPERLINK \l _Toc18449 </w:instrText>
      </w:r>
      <w:r>
        <w:rPr>
          <w:szCs w:val="21"/>
        </w:rPr>
        <w:fldChar w:fldCharType="separate"/>
      </w:r>
      <w:r>
        <w:rPr>
          <w:rFonts w:hint="eastAsia"/>
          <w:szCs w:val="32"/>
        </w:rPr>
        <w:t xml:space="preserve">9.3 </w:t>
      </w:r>
      <w:r>
        <w:rPr>
          <w:rFonts w:hint="eastAsia"/>
        </w:rPr>
        <w:t>信息公开内容</w:t>
      </w:r>
      <w:r>
        <w:tab/>
      </w:r>
      <w:r>
        <w:fldChar w:fldCharType="begin"/>
      </w:r>
      <w:r>
        <w:instrText xml:space="preserve"> PAGEREF _Toc18449 \h </w:instrText>
      </w:r>
      <w:r>
        <w:fldChar w:fldCharType="separate"/>
      </w:r>
      <w:r>
        <w:t>301</w:t>
      </w:r>
      <w:r>
        <w:fldChar w:fldCharType="end"/>
      </w:r>
      <w:r>
        <w:rPr>
          <w:color w:val="auto"/>
          <w:szCs w:val="21"/>
        </w:rPr>
        <w:fldChar w:fldCharType="end"/>
      </w:r>
    </w:p>
    <w:p w14:paraId="59BA3A21">
      <w:pPr>
        <w:pStyle w:val="24"/>
        <w:tabs>
          <w:tab w:val="right" w:leader="dot" w:pos="8310"/>
        </w:tabs>
      </w:pPr>
      <w:r>
        <w:rPr>
          <w:color w:val="auto"/>
          <w:szCs w:val="21"/>
        </w:rPr>
        <w:fldChar w:fldCharType="begin"/>
      </w:r>
      <w:r>
        <w:rPr>
          <w:szCs w:val="21"/>
        </w:rPr>
        <w:instrText xml:space="preserve"> HYPERLINK \l _Toc29994 </w:instrText>
      </w:r>
      <w:r>
        <w:rPr>
          <w:szCs w:val="21"/>
        </w:rPr>
        <w:fldChar w:fldCharType="separate"/>
      </w:r>
      <w:r>
        <w:rPr>
          <w:rFonts w:hint="eastAsia"/>
          <w:szCs w:val="32"/>
        </w:rPr>
        <w:t xml:space="preserve">9.4 </w:t>
      </w:r>
      <w:r>
        <w:t>排污口标志管理</w:t>
      </w:r>
      <w:r>
        <w:tab/>
      </w:r>
      <w:r>
        <w:fldChar w:fldCharType="begin"/>
      </w:r>
      <w:r>
        <w:instrText xml:space="preserve"> PAGEREF _Toc29994 \h </w:instrText>
      </w:r>
      <w:r>
        <w:fldChar w:fldCharType="separate"/>
      </w:r>
      <w:r>
        <w:t>302</w:t>
      </w:r>
      <w:r>
        <w:fldChar w:fldCharType="end"/>
      </w:r>
      <w:r>
        <w:rPr>
          <w:color w:val="auto"/>
          <w:szCs w:val="21"/>
        </w:rPr>
        <w:fldChar w:fldCharType="end"/>
      </w:r>
    </w:p>
    <w:p w14:paraId="1D7A9325">
      <w:pPr>
        <w:pStyle w:val="24"/>
        <w:tabs>
          <w:tab w:val="right" w:leader="dot" w:pos="8310"/>
        </w:tabs>
      </w:pPr>
      <w:r>
        <w:rPr>
          <w:color w:val="auto"/>
          <w:szCs w:val="21"/>
        </w:rPr>
        <w:fldChar w:fldCharType="begin"/>
      </w:r>
      <w:r>
        <w:rPr>
          <w:szCs w:val="21"/>
        </w:rPr>
        <w:instrText xml:space="preserve"> HYPERLINK \l _Toc15552 </w:instrText>
      </w:r>
      <w:r>
        <w:rPr>
          <w:szCs w:val="21"/>
        </w:rPr>
        <w:fldChar w:fldCharType="separate"/>
      </w:r>
      <w:r>
        <w:rPr>
          <w:rFonts w:hint="eastAsia"/>
          <w:szCs w:val="32"/>
        </w:rPr>
        <w:t xml:space="preserve">9.5 </w:t>
      </w:r>
      <w:r>
        <w:rPr>
          <w:rFonts w:hint="eastAsia"/>
        </w:rPr>
        <w:t>“三同时”竣工验收内容</w:t>
      </w:r>
      <w:r>
        <w:tab/>
      </w:r>
      <w:r>
        <w:fldChar w:fldCharType="begin"/>
      </w:r>
      <w:r>
        <w:instrText xml:space="preserve"> PAGEREF _Toc15552 \h </w:instrText>
      </w:r>
      <w:r>
        <w:fldChar w:fldCharType="separate"/>
      </w:r>
      <w:r>
        <w:t>303</w:t>
      </w:r>
      <w:r>
        <w:fldChar w:fldCharType="end"/>
      </w:r>
      <w:r>
        <w:rPr>
          <w:color w:val="auto"/>
          <w:szCs w:val="21"/>
        </w:rPr>
        <w:fldChar w:fldCharType="end"/>
      </w:r>
    </w:p>
    <w:p w14:paraId="540CDE22">
      <w:pPr>
        <w:pStyle w:val="23"/>
        <w:tabs>
          <w:tab w:val="right" w:leader="dot" w:pos="8310"/>
        </w:tabs>
      </w:pPr>
      <w:r>
        <w:rPr>
          <w:color w:val="auto"/>
          <w:szCs w:val="21"/>
        </w:rPr>
        <w:fldChar w:fldCharType="begin"/>
      </w:r>
      <w:r>
        <w:rPr>
          <w:szCs w:val="21"/>
        </w:rPr>
        <w:instrText xml:space="preserve"> HYPERLINK \l _Toc3661 </w:instrText>
      </w:r>
      <w:r>
        <w:rPr>
          <w:szCs w:val="21"/>
        </w:rPr>
        <w:fldChar w:fldCharType="separate"/>
      </w:r>
      <w:r>
        <w:rPr>
          <w:rFonts w:hint="eastAsia" w:eastAsia="黑体"/>
          <w:bCs/>
          <w:i w:val="0"/>
          <w:szCs w:val="36"/>
        </w:rPr>
        <w:t xml:space="preserve">10 </w:t>
      </w:r>
      <w:r>
        <w:t>评价结论与建议</w:t>
      </w:r>
      <w:r>
        <w:tab/>
      </w:r>
      <w:r>
        <w:fldChar w:fldCharType="begin"/>
      </w:r>
      <w:r>
        <w:instrText xml:space="preserve"> PAGEREF _Toc3661 \h </w:instrText>
      </w:r>
      <w:r>
        <w:fldChar w:fldCharType="separate"/>
      </w:r>
      <w:r>
        <w:t>306</w:t>
      </w:r>
      <w:r>
        <w:fldChar w:fldCharType="end"/>
      </w:r>
      <w:r>
        <w:rPr>
          <w:color w:val="auto"/>
          <w:szCs w:val="21"/>
        </w:rPr>
        <w:fldChar w:fldCharType="end"/>
      </w:r>
    </w:p>
    <w:p w14:paraId="02921DDC">
      <w:pPr>
        <w:pStyle w:val="24"/>
        <w:tabs>
          <w:tab w:val="right" w:leader="dot" w:pos="8310"/>
        </w:tabs>
      </w:pPr>
      <w:r>
        <w:rPr>
          <w:color w:val="auto"/>
          <w:szCs w:val="21"/>
        </w:rPr>
        <w:fldChar w:fldCharType="begin"/>
      </w:r>
      <w:r>
        <w:rPr>
          <w:szCs w:val="21"/>
        </w:rPr>
        <w:instrText xml:space="preserve"> HYPERLINK \l _Toc8682 </w:instrText>
      </w:r>
      <w:r>
        <w:rPr>
          <w:szCs w:val="21"/>
        </w:rPr>
        <w:fldChar w:fldCharType="separate"/>
      </w:r>
      <w:r>
        <w:rPr>
          <w:rFonts w:hint="eastAsia"/>
          <w:szCs w:val="32"/>
        </w:rPr>
        <w:t xml:space="preserve">10.1 </w:t>
      </w:r>
      <w:r>
        <w:t>评价结论</w:t>
      </w:r>
      <w:r>
        <w:tab/>
      </w:r>
      <w:r>
        <w:fldChar w:fldCharType="begin"/>
      </w:r>
      <w:r>
        <w:instrText xml:space="preserve"> PAGEREF _Toc8682 \h </w:instrText>
      </w:r>
      <w:r>
        <w:fldChar w:fldCharType="separate"/>
      </w:r>
      <w:r>
        <w:t>306</w:t>
      </w:r>
      <w:r>
        <w:fldChar w:fldCharType="end"/>
      </w:r>
      <w:r>
        <w:rPr>
          <w:color w:val="auto"/>
          <w:szCs w:val="21"/>
        </w:rPr>
        <w:fldChar w:fldCharType="end"/>
      </w:r>
    </w:p>
    <w:p w14:paraId="518BCF07">
      <w:pPr>
        <w:pStyle w:val="24"/>
        <w:tabs>
          <w:tab w:val="right" w:leader="dot" w:pos="8310"/>
        </w:tabs>
      </w:pPr>
      <w:r>
        <w:rPr>
          <w:color w:val="auto"/>
          <w:szCs w:val="21"/>
        </w:rPr>
        <w:fldChar w:fldCharType="begin"/>
      </w:r>
      <w:r>
        <w:rPr>
          <w:szCs w:val="21"/>
        </w:rPr>
        <w:instrText xml:space="preserve"> HYPERLINK \l _Toc2742 </w:instrText>
      </w:r>
      <w:r>
        <w:rPr>
          <w:szCs w:val="21"/>
        </w:rPr>
        <w:fldChar w:fldCharType="separate"/>
      </w:r>
      <w:r>
        <w:rPr>
          <w:rFonts w:hint="eastAsia"/>
          <w:szCs w:val="32"/>
        </w:rPr>
        <w:t xml:space="preserve">10.2 </w:t>
      </w:r>
      <w:r>
        <w:t>总结论</w:t>
      </w:r>
      <w:r>
        <w:tab/>
      </w:r>
      <w:r>
        <w:fldChar w:fldCharType="begin"/>
      </w:r>
      <w:r>
        <w:instrText xml:space="preserve"> PAGEREF _Toc2742 \h </w:instrText>
      </w:r>
      <w:r>
        <w:fldChar w:fldCharType="separate"/>
      </w:r>
      <w:r>
        <w:t>313</w:t>
      </w:r>
      <w:r>
        <w:fldChar w:fldCharType="end"/>
      </w:r>
      <w:r>
        <w:rPr>
          <w:color w:val="auto"/>
          <w:szCs w:val="21"/>
        </w:rPr>
        <w:fldChar w:fldCharType="end"/>
      </w:r>
    </w:p>
    <w:p w14:paraId="76A89E19">
      <w:pPr>
        <w:pStyle w:val="24"/>
        <w:tabs>
          <w:tab w:val="right" w:leader="dot" w:pos="8310"/>
        </w:tabs>
      </w:pPr>
      <w:r>
        <w:rPr>
          <w:color w:val="auto"/>
          <w:szCs w:val="21"/>
        </w:rPr>
        <w:fldChar w:fldCharType="begin"/>
      </w:r>
      <w:r>
        <w:rPr>
          <w:szCs w:val="21"/>
        </w:rPr>
        <w:instrText xml:space="preserve"> HYPERLINK \l _Toc28696 </w:instrText>
      </w:r>
      <w:r>
        <w:rPr>
          <w:szCs w:val="21"/>
        </w:rPr>
        <w:fldChar w:fldCharType="separate"/>
      </w:r>
      <w:r>
        <w:rPr>
          <w:rFonts w:hint="eastAsia"/>
          <w:szCs w:val="32"/>
        </w:rPr>
        <w:t xml:space="preserve">10.3 </w:t>
      </w:r>
      <w:r>
        <w:t>建议</w:t>
      </w:r>
      <w:r>
        <w:tab/>
      </w:r>
      <w:r>
        <w:fldChar w:fldCharType="begin"/>
      </w:r>
      <w:r>
        <w:instrText xml:space="preserve"> PAGEREF _Toc28696 \h </w:instrText>
      </w:r>
      <w:r>
        <w:fldChar w:fldCharType="separate"/>
      </w:r>
      <w:r>
        <w:t>313</w:t>
      </w:r>
      <w:r>
        <w:fldChar w:fldCharType="end"/>
      </w:r>
      <w:r>
        <w:rPr>
          <w:color w:val="auto"/>
          <w:szCs w:val="21"/>
        </w:rPr>
        <w:fldChar w:fldCharType="end"/>
      </w:r>
    </w:p>
    <w:p w14:paraId="251F5197">
      <w:pPr>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olor w:val="auto"/>
        </w:rPr>
      </w:pPr>
      <w:r>
        <w:rPr>
          <w:color w:val="auto"/>
          <w:szCs w:val="21"/>
        </w:rPr>
        <w:fldChar w:fldCharType="end"/>
      </w:r>
    </w:p>
    <w:p w14:paraId="4F4945C3">
      <w:pPr>
        <w:bidi w:val="0"/>
        <w:jc w:val="center"/>
        <w:rPr>
          <w:rFonts w:hint="eastAsia"/>
          <w:b/>
          <w:bCs/>
          <w:color w:val="auto"/>
        </w:rPr>
      </w:pPr>
      <w:r>
        <w:rPr>
          <w:rFonts w:hint="eastAsia"/>
          <w:b/>
          <w:bCs/>
          <w:color w:val="auto"/>
        </w:rPr>
        <w:t>附  图</w:t>
      </w:r>
    </w:p>
    <w:p w14:paraId="2B409D6A">
      <w:pPr>
        <w:tabs>
          <w:tab w:val="left" w:pos="210"/>
        </w:tabs>
        <w:spacing w:line="360" w:lineRule="auto"/>
        <w:ind w:firstLine="420"/>
        <w:rPr>
          <w:rFonts w:ascii="Times New Roman" w:hAnsi="Times New Roman"/>
          <w:bCs/>
          <w:caps/>
          <w:sz w:val="24"/>
          <w:szCs w:val="24"/>
        </w:rPr>
      </w:pPr>
      <w:r>
        <w:rPr>
          <w:rFonts w:hint="eastAsia" w:ascii="Times New Roman" w:hAnsi="Times New Roman"/>
          <w:bCs/>
          <w:caps/>
          <w:sz w:val="24"/>
          <w:szCs w:val="24"/>
        </w:rPr>
        <w:t>附图</w:t>
      </w:r>
      <w:r>
        <w:rPr>
          <w:rFonts w:ascii="Times New Roman" w:hAnsi="Times New Roman"/>
          <w:bCs/>
          <w:caps/>
          <w:sz w:val="24"/>
          <w:szCs w:val="24"/>
        </w:rPr>
        <w:t xml:space="preserve">1 </w:t>
      </w:r>
      <w:r>
        <w:rPr>
          <w:rFonts w:hint="eastAsia"/>
          <w:bCs/>
          <w:caps/>
          <w:sz w:val="24"/>
          <w:szCs w:val="24"/>
          <w:lang w:val="en-US" w:eastAsia="zh-CN"/>
        </w:rPr>
        <w:t xml:space="preserve"> </w:t>
      </w:r>
      <w:r>
        <w:rPr>
          <w:rFonts w:ascii="Times New Roman" w:hAnsi="Times New Roman"/>
          <w:bCs/>
          <w:caps/>
          <w:sz w:val="24"/>
          <w:szCs w:val="24"/>
        </w:rPr>
        <w:t>项目地理位置图</w:t>
      </w:r>
    </w:p>
    <w:p w14:paraId="44FAF38F">
      <w:pPr>
        <w:tabs>
          <w:tab w:val="left" w:pos="210"/>
        </w:tabs>
        <w:spacing w:line="360" w:lineRule="auto"/>
        <w:ind w:firstLine="420"/>
        <w:rPr>
          <w:rFonts w:ascii="Times New Roman" w:hAnsi="Times New Roman"/>
          <w:bCs/>
          <w:caps/>
          <w:sz w:val="24"/>
          <w:szCs w:val="24"/>
        </w:rPr>
      </w:pPr>
      <w:r>
        <w:rPr>
          <w:rFonts w:hint="eastAsia" w:ascii="Times New Roman" w:hAnsi="Times New Roman"/>
          <w:bCs/>
          <w:caps/>
          <w:sz w:val="24"/>
          <w:szCs w:val="24"/>
        </w:rPr>
        <w:t>附图</w:t>
      </w:r>
      <w:r>
        <w:rPr>
          <w:rFonts w:ascii="Times New Roman" w:hAnsi="Times New Roman"/>
          <w:bCs/>
          <w:caps/>
          <w:sz w:val="24"/>
          <w:szCs w:val="24"/>
        </w:rPr>
        <w:t xml:space="preserve">2 </w:t>
      </w:r>
      <w:r>
        <w:rPr>
          <w:rFonts w:hint="eastAsia"/>
          <w:bCs/>
          <w:caps/>
          <w:sz w:val="24"/>
          <w:szCs w:val="24"/>
          <w:lang w:val="en-US" w:eastAsia="zh-CN"/>
        </w:rPr>
        <w:t xml:space="preserve"> </w:t>
      </w:r>
      <w:r>
        <w:rPr>
          <w:rFonts w:ascii="Times New Roman" w:hAnsi="Times New Roman"/>
          <w:bCs/>
          <w:caps/>
          <w:sz w:val="24"/>
          <w:szCs w:val="24"/>
        </w:rPr>
        <w:t>项目</w:t>
      </w:r>
      <w:r>
        <w:rPr>
          <w:rFonts w:hint="eastAsia"/>
          <w:bCs/>
          <w:caps/>
          <w:sz w:val="24"/>
          <w:szCs w:val="24"/>
          <w:lang w:val="en-US" w:eastAsia="zh-CN"/>
        </w:rPr>
        <w:t>周边环境示意</w:t>
      </w:r>
      <w:r>
        <w:rPr>
          <w:rFonts w:ascii="Times New Roman" w:hAnsi="Times New Roman"/>
          <w:bCs/>
          <w:caps/>
          <w:sz w:val="24"/>
          <w:szCs w:val="24"/>
        </w:rPr>
        <w:t>图</w:t>
      </w:r>
    </w:p>
    <w:p w14:paraId="16EA4F3B">
      <w:pPr>
        <w:tabs>
          <w:tab w:val="left" w:pos="210"/>
        </w:tabs>
        <w:spacing w:line="360" w:lineRule="auto"/>
        <w:ind w:firstLine="420"/>
        <w:rPr>
          <w:rFonts w:ascii="Times New Roman" w:hAnsi="Times New Roman"/>
          <w:bCs/>
          <w:caps/>
          <w:sz w:val="24"/>
          <w:szCs w:val="24"/>
        </w:rPr>
      </w:pPr>
      <w:r>
        <w:rPr>
          <w:rFonts w:hint="eastAsia" w:ascii="Times New Roman" w:hAnsi="Times New Roman"/>
          <w:bCs/>
          <w:caps/>
          <w:sz w:val="24"/>
          <w:szCs w:val="24"/>
        </w:rPr>
        <w:t>附图</w:t>
      </w:r>
      <w:r>
        <w:rPr>
          <w:rFonts w:ascii="Times New Roman" w:hAnsi="Times New Roman"/>
          <w:bCs/>
          <w:caps/>
          <w:sz w:val="24"/>
          <w:szCs w:val="24"/>
        </w:rPr>
        <w:t xml:space="preserve">3 </w:t>
      </w:r>
      <w:r>
        <w:rPr>
          <w:rFonts w:hint="eastAsia"/>
          <w:bCs/>
          <w:caps/>
          <w:sz w:val="24"/>
          <w:szCs w:val="24"/>
          <w:lang w:val="en-US" w:eastAsia="zh-CN"/>
        </w:rPr>
        <w:t xml:space="preserve"> </w:t>
      </w:r>
      <w:r>
        <w:rPr>
          <w:rFonts w:ascii="Times New Roman" w:hAnsi="Times New Roman"/>
          <w:bCs/>
          <w:caps/>
          <w:sz w:val="24"/>
          <w:szCs w:val="24"/>
        </w:rPr>
        <w:t>项目平面布置图</w:t>
      </w:r>
    </w:p>
    <w:p w14:paraId="6E84374A">
      <w:pPr>
        <w:tabs>
          <w:tab w:val="left" w:pos="210"/>
        </w:tabs>
        <w:spacing w:line="360" w:lineRule="auto"/>
        <w:ind w:firstLine="420"/>
        <w:rPr>
          <w:rFonts w:hint="eastAsia" w:ascii="Times New Roman" w:hAnsi="Times New Roman" w:eastAsia="宋体"/>
          <w:bCs/>
          <w:caps/>
          <w:sz w:val="24"/>
          <w:szCs w:val="24"/>
          <w:lang w:eastAsia="zh-CN"/>
        </w:rPr>
      </w:pPr>
      <w:r>
        <w:rPr>
          <w:rFonts w:hint="eastAsia" w:ascii="Times New Roman" w:hAnsi="Times New Roman"/>
          <w:bCs/>
          <w:caps/>
          <w:sz w:val="24"/>
          <w:szCs w:val="24"/>
        </w:rPr>
        <w:t>附图</w:t>
      </w:r>
      <w:r>
        <w:rPr>
          <w:rFonts w:hint="eastAsia"/>
          <w:bCs/>
          <w:caps/>
          <w:sz w:val="24"/>
          <w:szCs w:val="24"/>
          <w:lang w:val="en-US" w:eastAsia="zh-CN"/>
        </w:rPr>
        <w:t>4</w:t>
      </w:r>
      <w:r>
        <w:rPr>
          <w:rFonts w:ascii="Times New Roman" w:hAnsi="Times New Roman"/>
          <w:bCs/>
          <w:caps/>
          <w:sz w:val="24"/>
          <w:szCs w:val="24"/>
        </w:rPr>
        <w:t xml:space="preserve"> </w:t>
      </w:r>
      <w:r>
        <w:rPr>
          <w:rFonts w:hint="eastAsia"/>
          <w:bCs/>
          <w:caps/>
          <w:sz w:val="24"/>
          <w:szCs w:val="24"/>
          <w:lang w:val="en-US" w:eastAsia="zh-CN"/>
        </w:rPr>
        <w:t xml:space="preserve"> 集聚区</w:t>
      </w:r>
      <w:r>
        <w:rPr>
          <w:rFonts w:ascii="Times New Roman" w:hAnsi="Times New Roman"/>
          <w:bCs/>
          <w:caps/>
          <w:sz w:val="24"/>
          <w:szCs w:val="24"/>
        </w:rPr>
        <w:t>产业布局规划图</w:t>
      </w:r>
      <w:r>
        <w:rPr>
          <w:rFonts w:hint="eastAsia"/>
          <w:bCs/>
          <w:caps/>
          <w:sz w:val="24"/>
          <w:szCs w:val="24"/>
          <w:lang w:eastAsia="zh-CN"/>
        </w:rPr>
        <w:t>（</w:t>
      </w:r>
      <w:r>
        <w:rPr>
          <w:rFonts w:hint="eastAsia"/>
          <w:bCs/>
          <w:caps/>
          <w:sz w:val="24"/>
          <w:szCs w:val="24"/>
          <w:lang w:val="en-US" w:eastAsia="zh-CN"/>
        </w:rPr>
        <w:t>2009-2020</w:t>
      </w:r>
      <w:r>
        <w:rPr>
          <w:rFonts w:hint="eastAsia"/>
          <w:bCs/>
          <w:caps/>
          <w:sz w:val="24"/>
          <w:szCs w:val="24"/>
          <w:lang w:eastAsia="zh-CN"/>
        </w:rPr>
        <w:t>）</w:t>
      </w:r>
    </w:p>
    <w:p w14:paraId="145A63DC">
      <w:pPr>
        <w:bidi w:val="0"/>
        <w:rPr>
          <w:rFonts w:hint="eastAsia"/>
          <w:bCs/>
          <w:caps/>
          <w:sz w:val="24"/>
          <w:szCs w:val="24"/>
          <w:lang w:val="en-US" w:eastAsia="zh-CN"/>
        </w:rPr>
      </w:pPr>
      <w:r>
        <w:rPr>
          <w:rFonts w:hint="eastAsia" w:ascii="Times New Roman" w:hAnsi="Times New Roman"/>
          <w:bCs/>
          <w:caps/>
          <w:sz w:val="24"/>
          <w:szCs w:val="24"/>
        </w:rPr>
        <w:t>附图</w:t>
      </w:r>
      <w:r>
        <w:rPr>
          <w:rFonts w:hint="eastAsia"/>
          <w:bCs/>
          <w:caps/>
          <w:sz w:val="24"/>
          <w:szCs w:val="24"/>
          <w:lang w:val="en-US" w:eastAsia="zh-CN"/>
        </w:rPr>
        <w:t>5</w:t>
      </w:r>
      <w:r>
        <w:rPr>
          <w:rFonts w:ascii="Times New Roman" w:hAnsi="Times New Roman"/>
          <w:bCs/>
          <w:caps/>
          <w:sz w:val="24"/>
          <w:szCs w:val="24"/>
        </w:rPr>
        <w:t xml:space="preserve"> </w:t>
      </w:r>
      <w:r>
        <w:rPr>
          <w:rFonts w:hint="eastAsia"/>
          <w:bCs/>
          <w:caps/>
          <w:sz w:val="24"/>
          <w:szCs w:val="24"/>
          <w:lang w:val="en-US" w:eastAsia="zh-CN"/>
        </w:rPr>
        <w:t xml:space="preserve"> 新乡经济技术开发区声功能划分图（2022-2026）</w:t>
      </w:r>
    </w:p>
    <w:p w14:paraId="4D5B488F">
      <w:pPr>
        <w:bidi w:val="0"/>
        <w:rPr>
          <w:rFonts w:hint="default" w:eastAsia="宋体"/>
          <w:color w:val="auto"/>
          <w:lang w:val="en-US" w:eastAsia="zh-CN"/>
        </w:rPr>
      </w:pPr>
      <w:r>
        <w:rPr>
          <w:rFonts w:hint="eastAsia"/>
          <w:color w:val="auto"/>
        </w:rPr>
        <w:t>附图</w:t>
      </w:r>
      <w:r>
        <w:rPr>
          <w:rFonts w:hint="eastAsia"/>
          <w:color w:val="auto"/>
          <w:lang w:val="en-US" w:eastAsia="zh-CN"/>
        </w:rPr>
        <w:t>6</w:t>
      </w:r>
      <w:r>
        <w:rPr>
          <w:rFonts w:hint="eastAsia"/>
          <w:color w:val="auto"/>
        </w:rPr>
        <w:t xml:space="preserve"> </w:t>
      </w:r>
      <w:r>
        <w:rPr>
          <w:rFonts w:hint="eastAsia"/>
          <w:color w:val="auto"/>
          <w:lang w:val="en-US" w:eastAsia="zh-CN"/>
        </w:rPr>
        <w:t xml:space="preserve"> 本项目现状及现有工程现状照片</w:t>
      </w:r>
    </w:p>
    <w:p w14:paraId="3530B469">
      <w:pPr>
        <w:bidi w:val="0"/>
        <w:jc w:val="center"/>
        <w:rPr>
          <w:rFonts w:hint="eastAsia"/>
          <w:b/>
          <w:bCs/>
          <w:color w:val="auto"/>
        </w:rPr>
      </w:pPr>
      <w:r>
        <w:rPr>
          <w:rFonts w:hint="eastAsia"/>
          <w:b/>
          <w:bCs/>
          <w:color w:val="auto"/>
        </w:rPr>
        <w:t>附</w:t>
      </w:r>
      <w:r>
        <w:rPr>
          <w:rFonts w:hint="eastAsia"/>
          <w:b/>
          <w:bCs/>
          <w:color w:val="auto"/>
          <w:lang w:val="en-US" w:eastAsia="zh-CN"/>
        </w:rPr>
        <w:t xml:space="preserve">  </w:t>
      </w:r>
      <w:r>
        <w:rPr>
          <w:rFonts w:hint="eastAsia"/>
          <w:b/>
          <w:bCs/>
          <w:color w:val="auto"/>
        </w:rPr>
        <w:t>件</w:t>
      </w:r>
    </w:p>
    <w:p w14:paraId="1C1597D0">
      <w:pPr>
        <w:tabs>
          <w:tab w:val="left" w:pos="210"/>
        </w:tabs>
        <w:spacing w:line="360" w:lineRule="auto"/>
        <w:ind w:firstLine="420"/>
        <w:rPr>
          <w:rFonts w:ascii="Times New Roman" w:hAnsi="Times New Roman"/>
          <w:bCs/>
          <w:caps/>
          <w:sz w:val="24"/>
          <w:szCs w:val="24"/>
        </w:rPr>
      </w:pPr>
      <w:r>
        <w:rPr>
          <w:rFonts w:hint="eastAsia" w:ascii="Times New Roman" w:hAnsi="Times New Roman"/>
          <w:bCs/>
          <w:caps/>
          <w:sz w:val="24"/>
          <w:szCs w:val="24"/>
        </w:rPr>
        <w:t xml:space="preserve">附件1 </w:t>
      </w:r>
      <w:r>
        <w:rPr>
          <w:rFonts w:hint="eastAsia"/>
          <w:bCs/>
          <w:caps/>
          <w:sz w:val="24"/>
          <w:szCs w:val="24"/>
          <w:lang w:val="en-US" w:eastAsia="zh-CN"/>
        </w:rPr>
        <w:t xml:space="preserve"> </w:t>
      </w:r>
      <w:r>
        <w:rPr>
          <w:rFonts w:hint="eastAsia" w:ascii="Times New Roman" w:hAnsi="Times New Roman"/>
          <w:bCs/>
          <w:caps/>
          <w:sz w:val="24"/>
          <w:szCs w:val="24"/>
        </w:rPr>
        <w:t>委托书</w:t>
      </w:r>
    </w:p>
    <w:p w14:paraId="7E6B5C41">
      <w:pPr>
        <w:tabs>
          <w:tab w:val="left" w:pos="210"/>
        </w:tabs>
        <w:spacing w:line="360" w:lineRule="auto"/>
        <w:ind w:firstLine="420"/>
        <w:rPr>
          <w:rFonts w:ascii="Times New Roman" w:hAnsi="Times New Roman"/>
          <w:bCs/>
          <w:caps/>
          <w:sz w:val="24"/>
          <w:szCs w:val="24"/>
        </w:rPr>
      </w:pPr>
      <w:r>
        <w:rPr>
          <w:rFonts w:hint="eastAsia" w:ascii="Times New Roman" w:hAnsi="Times New Roman"/>
          <w:bCs/>
          <w:caps/>
          <w:sz w:val="24"/>
          <w:szCs w:val="24"/>
        </w:rPr>
        <w:t xml:space="preserve">附件2 </w:t>
      </w:r>
      <w:r>
        <w:rPr>
          <w:rFonts w:hint="eastAsia"/>
          <w:bCs/>
          <w:caps/>
          <w:sz w:val="24"/>
          <w:szCs w:val="24"/>
          <w:lang w:val="en-US" w:eastAsia="zh-CN"/>
        </w:rPr>
        <w:t xml:space="preserve"> </w:t>
      </w:r>
      <w:r>
        <w:rPr>
          <w:rFonts w:hint="eastAsia" w:ascii="Times New Roman" w:hAnsi="Times New Roman"/>
          <w:bCs/>
          <w:caps/>
          <w:sz w:val="24"/>
          <w:szCs w:val="24"/>
        </w:rPr>
        <w:t>项目备案证明</w:t>
      </w:r>
    </w:p>
    <w:p w14:paraId="6463FD7B">
      <w:pPr>
        <w:tabs>
          <w:tab w:val="left" w:pos="210"/>
        </w:tabs>
        <w:spacing w:line="360" w:lineRule="auto"/>
        <w:ind w:firstLine="420"/>
        <w:rPr>
          <w:rFonts w:ascii="Times New Roman" w:hAnsi="Times New Roman"/>
          <w:bCs/>
          <w:caps/>
          <w:sz w:val="24"/>
          <w:szCs w:val="24"/>
        </w:rPr>
      </w:pPr>
      <w:r>
        <w:rPr>
          <w:rFonts w:hint="eastAsia" w:ascii="Times New Roman" w:hAnsi="Times New Roman"/>
          <w:bCs/>
          <w:caps/>
          <w:sz w:val="24"/>
          <w:szCs w:val="24"/>
        </w:rPr>
        <w:t xml:space="preserve">附件3 </w:t>
      </w:r>
      <w:r>
        <w:rPr>
          <w:rFonts w:hint="eastAsia"/>
          <w:bCs/>
          <w:caps/>
          <w:sz w:val="24"/>
          <w:szCs w:val="24"/>
          <w:lang w:val="en-US" w:eastAsia="zh-CN"/>
        </w:rPr>
        <w:t xml:space="preserve"> </w:t>
      </w:r>
      <w:r>
        <w:rPr>
          <w:rFonts w:hint="eastAsia" w:ascii="Times New Roman" w:hAnsi="Times New Roman"/>
          <w:bCs/>
          <w:caps/>
          <w:sz w:val="24"/>
          <w:szCs w:val="24"/>
        </w:rPr>
        <w:t>现有工程环评批复</w:t>
      </w:r>
    </w:p>
    <w:p w14:paraId="37C988B7">
      <w:pPr>
        <w:tabs>
          <w:tab w:val="left" w:pos="210"/>
        </w:tabs>
        <w:spacing w:line="360" w:lineRule="auto"/>
        <w:ind w:firstLine="420"/>
        <w:rPr>
          <w:rFonts w:ascii="Times New Roman" w:hAnsi="Times New Roman"/>
          <w:bCs/>
          <w:caps/>
          <w:sz w:val="24"/>
          <w:szCs w:val="24"/>
        </w:rPr>
      </w:pPr>
      <w:r>
        <w:rPr>
          <w:rFonts w:hint="eastAsia" w:ascii="Times New Roman" w:hAnsi="Times New Roman"/>
          <w:bCs/>
          <w:caps/>
          <w:sz w:val="24"/>
          <w:szCs w:val="24"/>
        </w:rPr>
        <w:t xml:space="preserve">附件4 </w:t>
      </w:r>
      <w:r>
        <w:rPr>
          <w:rFonts w:hint="eastAsia"/>
          <w:bCs/>
          <w:caps/>
          <w:sz w:val="24"/>
          <w:szCs w:val="24"/>
          <w:lang w:val="en-US" w:eastAsia="zh-CN"/>
        </w:rPr>
        <w:t xml:space="preserve"> </w:t>
      </w:r>
      <w:r>
        <w:rPr>
          <w:rFonts w:hint="eastAsia" w:ascii="Times New Roman" w:hAnsi="Times New Roman"/>
          <w:bCs/>
          <w:caps/>
          <w:sz w:val="24"/>
          <w:szCs w:val="24"/>
        </w:rPr>
        <w:t>现有工程危废协议</w:t>
      </w:r>
    </w:p>
    <w:p w14:paraId="6FDDE0B6">
      <w:pPr>
        <w:tabs>
          <w:tab w:val="left" w:pos="210"/>
        </w:tabs>
        <w:spacing w:line="360" w:lineRule="auto"/>
        <w:ind w:firstLine="420"/>
        <w:rPr>
          <w:rFonts w:ascii="Times New Roman" w:hAnsi="Times New Roman"/>
          <w:bCs/>
          <w:caps/>
          <w:sz w:val="24"/>
          <w:szCs w:val="24"/>
        </w:rPr>
      </w:pPr>
      <w:r>
        <w:rPr>
          <w:rFonts w:hint="eastAsia" w:ascii="Times New Roman" w:hAnsi="Times New Roman"/>
          <w:bCs/>
          <w:caps/>
          <w:sz w:val="24"/>
          <w:szCs w:val="24"/>
        </w:rPr>
        <w:t xml:space="preserve">附件5 </w:t>
      </w:r>
      <w:r>
        <w:rPr>
          <w:rFonts w:hint="eastAsia"/>
          <w:bCs/>
          <w:caps/>
          <w:sz w:val="24"/>
          <w:szCs w:val="24"/>
          <w:lang w:val="en-US" w:eastAsia="zh-CN"/>
        </w:rPr>
        <w:t xml:space="preserve"> 2023年</w:t>
      </w:r>
      <w:r>
        <w:rPr>
          <w:rFonts w:hint="eastAsia" w:ascii="Times New Roman" w:hAnsi="Times New Roman"/>
          <w:bCs/>
          <w:caps/>
          <w:sz w:val="24"/>
          <w:szCs w:val="24"/>
        </w:rPr>
        <w:t>企业自行监测报告</w:t>
      </w:r>
    </w:p>
    <w:p w14:paraId="25059D2E">
      <w:pPr>
        <w:tabs>
          <w:tab w:val="left" w:pos="210"/>
        </w:tabs>
        <w:spacing w:line="360" w:lineRule="auto"/>
        <w:ind w:firstLine="420"/>
        <w:rPr>
          <w:rFonts w:hint="eastAsia" w:ascii="Times New Roman" w:hAnsi="Times New Roman"/>
          <w:bCs/>
          <w:caps/>
          <w:sz w:val="24"/>
          <w:szCs w:val="24"/>
        </w:rPr>
      </w:pPr>
      <w:r>
        <w:rPr>
          <w:rFonts w:hint="eastAsia" w:ascii="Times New Roman" w:hAnsi="Times New Roman"/>
          <w:bCs/>
          <w:caps/>
          <w:sz w:val="24"/>
          <w:szCs w:val="24"/>
        </w:rPr>
        <w:t xml:space="preserve">附件6 </w:t>
      </w:r>
      <w:r>
        <w:rPr>
          <w:rFonts w:hint="eastAsia"/>
          <w:bCs/>
          <w:caps/>
          <w:sz w:val="24"/>
          <w:szCs w:val="24"/>
          <w:lang w:val="en-US" w:eastAsia="zh-CN"/>
        </w:rPr>
        <w:t xml:space="preserve"> </w:t>
      </w:r>
      <w:r>
        <w:rPr>
          <w:rFonts w:hint="eastAsia" w:ascii="Times New Roman" w:hAnsi="Times New Roman"/>
          <w:bCs/>
          <w:caps/>
          <w:sz w:val="24"/>
          <w:szCs w:val="24"/>
        </w:rPr>
        <w:t>环境质量现状监测报告</w:t>
      </w:r>
    </w:p>
    <w:p w14:paraId="66A37872">
      <w:pPr>
        <w:tabs>
          <w:tab w:val="left" w:pos="210"/>
        </w:tabs>
        <w:spacing w:line="360" w:lineRule="auto"/>
        <w:ind w:firstLine="420"/>
        <w:rPr>
          <w:rFonts w:hint="eastAsia" w:ascii="Times New Roman" w:hAnsi="Times New Roman"/>
          <w:bCs/>
          <w:caps/>
          <w:sz w:val="24"/>
          <w:szCs w:val="24"/>
        </w:rPr>
      </w:pPr>
      <w:r>
        <w:rPr>
          <w:rFonts w:hint="eastAsia" w:ascii="Times New Roman" w:hAnsi="Times New Roman"/>
          <w:bCs/>
          <w:caps/>
          <w:sz w:val="24"/>
          <w:szCs w:val="24"/>
        </w:rPr>
        <w:t>附件</w:t>
      </w:r>
      <w:r>
        <w:rPr>
          <w:rFonts w:hint="eastAsia" w:ascii="Times New Roman" w:hAnsi="Times New Roman"/>
          <w:bCs/>
          <w:caps/>
          <w:sz w:val="24"/>
          <w:szCs w:val="24"/>
          <w:lang w:val="en-US" w:eastAsia="zh-CN"/>
        </w:rPr>
        <w:t>7</w:t>
      </w:r>
      <w:r>
        <w:rPr>
          <w:rFonts w:hint="eastAsia" w:ascii="Times New Roman" w:hAnsi="Times New Roman"/>
          <w:bCs/>
          <w:caps/>
          <w:sz w:val="24"/>
          <w:szCs w:val="24"/>
        </w:rPr>
        <w:t xml:space="preserve"> </w:t>
      </w:r>
      <w:r>
        <w:rPr>
          <w:rFonts w:hint="eastAsia"/>
          <w:bCs/>
          <w:caps/>
          <w:sz w:val="24"/>
          <w:szCs w:val="24"/>
          <w:lang w:val="en-US" w:eastAsia="zh-CN"/>
        </w:rPr>
        <w:t xml:space="preserve"> 离子液</w:t>
      </w:r>
      <w:r>
        <w:rPr>
          <w:rFonts w:hint="eastAsia" w:ascii="Times New Roman" w:hAnsi="Times New Roman"/>
          <w:bCs/>
          <w:caps/>
          <w:sz w:val="24"/>
          <w:szCs w:val="24"/>
          <w:lang w:val="en-US" w:eastAsia="zh-CN"/>
        </w:rPr>
        <w:t>小试</w:t>
      </w:r>
      <w:r>
        <w:rPr>
          <w:rFonts w:hint="eastAsia"/>
          <w:bCs/>
          <w:caps/>
          <w:sz w:val="24"/>
          <w:szCs w:val="24"/>
          <w:lang w:val="en-US" w:eastAsia="zh-CN"/>
        </w:rPr>
        <w:t>线</w:t>
      </w:r>
      <w:r>
        <w:rPr>
          <w:rFonts w:hint="eastAsia" w:ascii="Times New Roman" w:hAnsi="Times New Roman"/>
          <w:bCs/>
          <w:caps/>
          <w:sz w:val="24"/>
          <w:szCs w:val="24"/>
          <w:lang w:val="en-US" w:eastAsia="zh-CN"/>
        </w:rPr>
        <w:t>上油工序废气</w:t>
      </w:r>
      <w:r>
        <w:rPr>
          <w:rFonts w:hint="eastAsia" w:ascii="Times New Roman" w:hAnsi="Times New Roman"/>
          <w:bCs/>
          <w:caps/>
          <w:sz w:val="24"/>
          <w:szCs w:val="24"/>
        </w:rPr>
        <w:t>现状监测报告</w:t>
      </w:r>
    </w:p>
    <w:p w14:paraId="1D55CE52">
      <w:pPr>
        <w:tabs>
          <w:tab w:val="left" w:pos="210"/>
        </w:tabs>
        <w:spacing w:line="360" w:lineRule="auto"/>
        <w:ind w:firstLine="420"/>
        <w:rPr>
          <w:rFonts w:hint="default" w:ascii="Times New Roman" w:hAnsi="Times New Roman"/>
          <w:bCs/>
          <w:caps/>
          <w:sz w:val="24"/>
          <w:szCs w:val="24"/>
          <w:lang w:val="en-US" w:eastAsia="zh-CN"/>
        </w:rPr>
      </w:pPr>
      <w:r>
        <w:rPr>
          <w:rFonts w:hint="eastAsia" w:ascii="Times New Roman" w:hAnsi="Times New Roman"/>
          <w:bCs/>
          <w:caps/>
          <w:sz w:val="24"/>
          <w:szCs w:val="24"/>
        </w:rPr>
        <w:t>附件</w:t>
      </w:r>
      <w:r>
        <w:rPr>
          <w:rFonts w:hint="eastAsia" w:ascii="Times New Roman" w:hAnsi="Times New Roman"/>
          <w:bCs/>
          <w:caps/>
          <w:sz w:val="24"/>
          <w:szCs w:val="24"/>
          <w:lang w:val="en-US" w:eastAsia="zh-CN"/>
        </w:rPr>
        <w:t>8</w:t>
      </w:r>
      <w:r>
        <w:rPr>
          <w:rFonts w:hint="eastAsia" w:ascii="Times New Roman" w:hAnsi="Times New Roman"/>
          <w:bCs/>
          <w:caps/>
          <w:sz w:val="24"/>
          <w:szCs w:val="24"/>
        </w:rPr>
        <w:t xml:space="preserve"> </w:t>
      </w:r>
      <w:r>
        <w:rPr>
          <w:rFonts w:hint="eastAsia"/>
          <w:bCs/>
          <w:caps/>
          <w:sz w:val="24"/>
          <w:szCs w:val="24"/>
          <w:lang w:val="en-US" w:eastAsia="zh-CN"/>
        </w:rPr>
        <w:t xml:space="preserve"> </w:t>
      </w:r>
      <w:r>
        <w:rPr>
          <w:rFonts w:hint="eastAsia" w:ascii="Times New Roman" w:hAnsi="Times New Roman"/>
          <w:bCs/>
          <w:caps/>
          <w:sz w:val="24"/>
          <w:szCs w:val="24"/>
          <w:lang w:val="en-US" w:eastAsia="zh-CN"/>
        </w:rPr>
        <w:t>新乡化纤股份有限公司废水总排口2023年在线数据</w:t>
      </w:r>
    </w:p>
    <w:p w14:paraId="64A798DC">
      <w:pPr>
        <w:tabs>
          <w:tab w:val="left" w:pos="210"/>
        </w:tabs>
        <w:spacing w:line="360" w:lineRule="auto"/>
        <w:ind w:firstLine="420"/>
        <w:rPr>
          <w:rFonts w:hint="eastAsia" w:ascii="Times New Roman" w:hAnsi="Times New Roman"/>
          <w:bCs/>
          <w:caps/>
          <w:sz w:val="24"/>
          <w:szCs w:val="24"/>
          <w:lang w:val="en-US" w:eastAsia="zh-CN"/>
        </w:rPr>
      </w:pPr>
      <w:r>
        <w:rPr>
          <w:rFonts w:hint="eastAsia" w:ascii="Times New Roman" w:hAnsi="Times New Roman"/>
          <w:bCs/>
          <w:caps/>
          <w:sz w:val="24"/>
          <w:szCs w:val="24"/>
        </w:rPr>
        <w:t>附件</w:t>
      </w:r>
      <w:r>
        <w:rPr>
          <w:rFonts w:hint="eastAsia" w:ascii="Times New Roman" w:hAnsi="Times New Roman"/>
          <w:bCs/>
          <w:caps/>
          <w:sz w:val="24"/>
          <w:szCs w:val="24"/>
          <w:lang w:val="en-US" w:eastAsia="zh-CN"/>
        </w:rPr>
        <w:t>9</w:t>
      </w:r>
      <w:r>
        <w:rPr>
          <w:rFonts w:hint="eastAsia" w:ascii="Times New Roman" w:hAnsi="Times New Roman"/>
          <w:bCs/>
          <w:caps/>
          <w:sz w:val="24"/>
          <w:szCs w:val="24"/>
        </w:rPr>
        <w:t xml:space="preserve"> </w:t>
      </w:r>
      <w:r>
        <w:rPr>
          <w:rFonts w:hint="eastAsia"/>
          <w:bCs/>
          <w:caps/>
          <w:sz w:val="24"/>
          <w:szCs w:val="24"/>
          <w:lang w:val="en-US" w:eastAsia="zh-CN"/>
        </w:rPr>
        <w:t xml:space="preserve"> </w:t>
      </w:r>
      <w:r>
        <w:rPr>
          <w:rFonts w:hint="eastAsia" w:ascii="Times New Roman" w:hAnsi="Times New Roman"/>
          <w:bCs/>
          <w:caps/>
          <w:sz w:val="24"/>
          <w:szCs w:val="24"/>
          <w:lang w:val="en-US" w:eastAsia="zh-CN"/>
        </w:rPr>
        <w:t>项目小试</w:t>
      </w:r>
      <w:r>
        <w:rPr>
          <w:rFonts w:hint="eastAsia"/>
          <w:bCs/>
          <w:caps/>
          <w:sz w:val="24"/>
          <w:szCs w:val="24"/>
          <w:lang w:val="en-US" w:eastAsia="zh-CN"/>
        </w:rPr>
        <w:t>研发情况小结</w:t>
      </w:r>
    </w:p>
    <w:p w14:paraId="5853343A">
      <w:pPr>
        <w:bidi w:val="0"/>
        <w:rPr>
          <w:rFonts w:hint="eastAsia"/>
          <w:color w:val="auto"/>
        </w:rPr>
      </w:pPr>
      <w:r>
        <w:rPr>
          <w:rFonts w:hint="eastAsia" w:ascii="Times New Roman" w:hAnsi="Times New Roman"/>
          <w:bCs/>
          <w:caps/>
          <w:sz w:val="24"/>
          <w:szCs w:val="24"/>
        </w:rPr>
        <w:t>附件</w:t>
      </w:r>
      <w:r>
        <w:rPr>
          <w:rFonts w:hint="eastAsia" w:ascii="Times New Roman" w:hAnsi="Times New Roman"/>
          <w:bCs/>
          <w:caps/>
          <w:sz w:val="24"/>
          <w:szCs w:val="24"/>
          <w:lang w:val="en-US" w:eastAsia="zh-CN"/>
        </w:rPr>
        <w:t>10</w:t>
      </w:r>
      <w:r>
        <w:rPr>
          <w:rFonts w:hint="eastAsia" w:ascii="Times New Roman" w:hAnsi="Times New Roman"/>
          <w:bCs/>
          <w:caps/>
          <w:sz w:val="24"/>
          <w:szCs w:val="24"/>
        </w:rPr>
        <w:t xml:space="preserve"> </w:t>
      </w:r>
      <w:r>
        <w:rPr>
          <w:rFonts w:hint="eastAsia"/>
          <w:bCs/>
          <w:caps/>
          <w:sz w:val="24"/>
          <w:szCs w:val="24"/>
          <w:lang w:val="en-US" w:eastAsia="zh-CN"/>
        </w:rPr>
        <w:t xml:space="preserve"> </w:t>
      </w:r>
      <w:r>
        <w:rPr>
          <w:rFonts w:hint="eastAsia" w:ascii="Times New Roman" w:hAnsi="Times New Roman"/>
          <w:bCs/>
          <w:caps/>
          <w:sz w:val="24"/>
          <w:szCs w:val="24"/>
          <w:lang w:val="en-US" w:eastAsia="zh-CN"/>
        </w:rPr>
        <w:t>排污许可证</w:t>
      </w:r>
    </w:p>
    <w:p w14:paraId="2E5A02F5">
      <w:pPr>
        <w:bidi w:val="0"/>
        <w:rPr>
          <w:rFonts w:hint="eastAsia"/>
          <w:color w:val="auto"/>
        </w:rPr>
      </w:pPr>
    </w:p>
    <w:p w14:paraId="53E98809">
      <w:pPr>
        <w:keepNext w:val="0"/>
        <w:keepLines w:val="0"/>
        <w:pageBreakBefore w:val="0"/>
        <w:widowControl w:val="0"/>
        <w:tabs>
          <w:tab w:val="left" w:pos="1741"/>
        </w:tabs>
        <w:kinsoku/>
        <w:wordWrap/>
        <w:overflowPunct/>
        <w:topLinePunct w:val="0"/>
        <w:autoSpaceDE/>
        <w:autoSpaceDN/>
        <w:bidi w:val="0"/>
        <w:adjustRightInd w:val="0"/>
        <w:snapToGrid w:val="0"/>
        <w:ind w:firstLine="0" w:firstLineChars="0"/>
        <w:jc w:val="left"/>
        <w:textAlignment w:val="auto"/>
        <w:rPr>
          <w:color w:val="auto"/>
          <w:sz w:val="44"/>
          <w:szCs w:val="44"/>
        </w:rPr>
        <w:sectPr>
          <w:pgSz w:w="11910" w:h="16850"/>
          <w:pgMar w:top="1440" w:right="1800" w:bottom="1440" w:left="1800" w:header="884" w:footer="1033" w:gutter="0"/>
          <w:pgBorders>
            <w:top w:val="none" w:sz="0" w:space="0"/>
            <w:left w:val="none" w:sz="0" w:space="0"/>
            <w:bottom w:val="none" w:sz="0" w:space="0"/>
            <w:right w:val="none" w:sz="0" w:space="0"/>
          </w:pgBorders>
          <w:pgNumType w:fmt="decimal" w:chapStyle="1" w:chapSep="emDash"/>
          <w:cols w:space="720" w:num="1"/>
        </w:sectPr>
      </w:pPr>
      <w:bookmarkStart w:id="3" w:name="_Toc1488"/>
      <w:bookmarkStart w:id="4" w:name="_Toc21206"/>
    </w:p>
    <w:bookmarkEnd w:id="0"/>
    <w:bookmarkEnd w:id="3"/>
    <w:bookmarkEnd w:id="4"/>
    <w:p w14:paraId="303BF678">
      <w:pPr>
        <w:pStyle w:val="2"/>
        <w:bidi w:val="0"/>
        <w:rPr>
          <w:color w:val="auto"/>
        </w:rPr>
      </w:pPr>
      <w:bookmarkStart w:id="5" w:name="_Toc11171"/>
      <w:bookmarkStart w:id="6" w:name="_Toc428286764"/>
      <w:bookmarkStart w:id="7" w:name="_Toc429318380"/>
      <w:bookmarkStart w:id="8" w:name="_Toc428287158"/>
      <w:bookmarkStart w:id="9" w:name="_Toc67041027"/>
      <w:r>
        <w:rPr>
          <w:color w:val="auto"/>
        </w:rPr>
        <w:t>概述</w:t>
      </w:r>
      <w:bookmarkEnd w:id="5"/>
    </w:p>
    <w:p w14:paraId="2C103292">
      <w:pPr>
        <w:pStyle w:val="3"/>
        <w:bidi w:val="0"/>
        <w:rPr>
          <w:color w:val="auto"/>
        </w:rPr>
      </w:pPr>
      <w:bookmarkStart w:id="10" w:name="_Toc429318377"/>
      <w:bookmarkStart w:id="11" w:name="_Toc174155849"/>
      <w:bookmarkStart w:id="12" w:name="_Toc27867"/>
      <w:bookmarkStart w:id="13" w:name="_Toc23581"/>
      <w:bookmarkStart w:id="14" w:name="_Toc67041026"/>
      <w:bookmarkStart w:id="15" w:name="_Toc428287148"/>
      <w:bookmarkStart w:id="16" w:name="_Toc428286754"/>
      <w:bookmarkStart w:id="17" w:name="_Toc15758"/>
      <w:r>
        <w:rPr>
          <w:color w:val="auto"/>
        </w:rPr>
        <w:t>项目由来</w:t>
      </w:r>
      <w:bookmarkEnd w:id="10"/>
      <w:bookmarkEnd w:id="11"/>
      <w:bookmarkEnd w:id="12"/>
      <w:bookmarkEnd w:id="13"/>
      <w:bookmarkEnd w:id="14"/>
      <w:bookmarkEnd w:id="15"/>
      <w:bookmarkEnd w:id="16"/>
      <w:bookmarkEnd w:id="17"/>
    </w:p>
    <w:p w14:paraId="7D97CDC6">
      <w:pPr>
        <w:bidi w:val="0"/>
        <w:rPr>
          <w:color w:val="auto"/>
        </w:rPr>
      </w:pPr>
      <w:r>
        <w:rPr>
          <w:rFonts w:hint="eastAsia"/>
          <w:color w:val="auto"/>
        </w:rPr>
        <w:t>新乡化纤股份有限公司始建于1960年，1999年在深圳证券交易所挂牌上市。主导产品“白鹭”牌再生纤维素长丝、氨纶两大系列。近年来，公司成功研制出智能调温纤维、超强高效抗菌纤维、防螨抗菌纤维、超细旦氨纶等10多个功能化、差别化产品。是全国520家重点企业和河南省100家重点企业之一。</w:t>
      </w:r>
    </w:p>
    <w:p w14:paraId="3203BDF0">
      <w:pPr>
        <w:bidi w:val="0"/>
        <w:rPr>
          <w:color w:val="auto"/>
        </w:rPr>
      </w:pPr>
      <w:r>
        <w:rPr>
          <w:rFonts w:hint="eastAsia"/>
          <w:color w:val="auto"/>
        </w:rPr>
        <w:t>公司的前身是国营新乡化学纤维厂，1965年建成投产，建厂初期规模年产粘胶人造长丝2000吨和粘胶短纤维3400吨。目前该公司在新乡市有两个厂区，老厂区位于新乡市凤泉区，新厂区位于新乡经济技术开发区。公司经过六十多年的发展，尤其是</w:t>
      </w:r>
      <w:r>
        <w:rPr>
          <w:rFonts w:hint="eastAsia"/>
          <w:color w:val="auto"/>
          <w:lang w:eastAsia="zh-CN"/>
        </w:rPr>
        <w:t>近二十年</w:t>
      </w:r>
      <w:r>
        <w:rPr>
          <w:rFonts w:hint="eastAsia"/>
          <w:color w:val="auto"/>
        </w:rPr>
        <w:t>在新厂区的滚动发展，企业规模得以快速壮大。公司目前拥有全球最大的纤维素长丝连续纺生产线和当今世界最先进的氨纶纤维连续聚合干法纺丝生产线。主导产品纤维素长丝生产能力居世界同行业第一；氨纶纤维是目前国内单体产能最大、生产技术和装备最先进的生产企业，总产能位居全国第三。</w:t>
      </w:r>
    </w:p>
    <w:p w14:paraId="72511709">
      <w:pPr>
        <w:bidi w:val="0"/>
        <w:rPr>
          <w:color w:val="auto"/>
        </w:rPr>
      </w:pPr>
      <w:r>
        <w:rPr>
          <w:rFonts w:hint="eastAsia"/>
          <w:color w:val="auto"/>
        </w:rPr>
        <w:t>我国化纤工业已经进入转型升级的关键时期，绿色发展既是我国纺织化纤大国必须树立的新形象，也成为企业必须遵循的发展方向。化纤工业作为新材料产业的重要组成部分，发展生物基化学纤维实现纤维新材料高端化发展的重要方向，也是绿色制造体系的重要一环。新乡化纤股份有限公司是我国生产化纤纺织原料的大型一类企业，近年来更是致力于绿色产品的开发，目前是新乡经开区打造绿色纤维（纺织服装）专业园区的支柱企业，主导产品“白鹭”牌再生纤维素长丝被评为“中国名牌产品”，是“中国化纤行业绿色制造优秀企业”，在绿色发展上取得了初步成绩。本项目是以废旧纺织品循环再利用，实现了</w:t>
      </w:r>
      <w:r>
        <w:rPr>
          <w:rFonts w:hint="eastAsia"/>
          <w:color w:val="auto"/>
          <w:lang w:val="en-US" w:eastAsia="zh-CN"/>
        </w:rPr>
        <w:t>废旧棉纺织品</w:t>
      </w:r>
      <w:r>
        <w:rPr>
          <w:rFonts w:hint="eastAsia"/>
          <w:color w:val="auto"/>
        </w:rPr>
        <w:t>的绿色发展、循环发展、低碳发展。摆脱传统路径依赖，着力构建绿色供应链条，以新质生产力增强高质量发展新动能。持续利用工程技术完善再生链条，实现绿色纤维材料、绿色制造、再生循环与需求端绿色消费的有机衔接，为纺织全产业链条可持续高质量发展创造更大更新空间。</w:t>
      </w:r>
      <w:r>
        <w:rPr>
          <w:rFonts w:hint="eastAsia"/>
          <w:color w:val="auto"/>
          <w:lang w:val="en-US" w:eastAsia="zh-CN"/>
        </w:rPr>
        <w:t>公司</w:t>
      </w:r>
      <w:r>
        <w:rPr>
          <w:rFonts w:hint="eastAsia"/>
          <w:color w:val="auto"/>
        </w:rPr>
        <w:t>采用新型绿色DT溶剂溶解体系</w:t>
      </w:r>
      <w:r>
        <w:rPr>
          <w:rFonts w:hint="eastAsia"/>
          <w:color w:val="auto"/>
          <w:lang w:val="en-US" w:eastAsia="zh-CN"/>
        </w:rPr>
        <w:t>进行小试研究</w:t>
      </w:r>
      <w:r>
        <w:rPr>
          <w:rFonts w:hint="eastAsia"/>
          <w:color w:val="auto"/>
        </w:rPr>
        <w:t>，实现了从废旧棉织物直接到再生纤维素纤维的工艺流程。</w:t>
      </w:r>
    </w:p>
    <w:p w14:paraId="30369750">
      <w:pPr>
        <w:rPr>
          <w:color w:val="auto"/>
        </w:rPr>
      </w:pPr>
      <w:r>
        <w:rPr>
          <w:rFonts w:hint="eastAsia"/>
          <w:b w:val="0"/>
          <w:bCs w:val="0"/>
          <w:color w:val="auto"/>
          <w:u w:val="none"/>
        </w:rPr>
        <w:t>为了进一步验证技术的可行性并优化生产环节和工艺参数，建设单位提出了</w:t>
      </w:r>
      <w:r>
        <w:rPr>
          <w:rFonts w:hint="eastAsia"/>
          <w:b w:val="0"/>
          <w:bCs w:val="0"/>
          <w:color w:val="auto"/>
          <w:u w:val="none"/>
          <w:lang w:eastAsia="zh-CN"/>
        </w:rPr>
        <w:t>年产1000吨DT溶剂法再生纤维素纤维中试研发项目</w:t>
      </w:r>
      <w:r>
        <w:rPr>
          <w:rFonts w:hint="eastAsia"/>
          <w:b w:val="0"/>
          <w:bCs w:val="0"/>
          <w:color w:val="auto"/>
          <w:u w:val="none"/>
        </w:rPr>
        <w:t>。</w:t>
      </w:r>
      <w:bookmarkStart w:id="18" w:name="_Hlk120922117"/>
      <w:r>
        <w:rPr>
          <w:rFonts w:hint="eastAsia"/>
          <w:color w:val="auto"/>
        </w:rPr>
        <w:t>项目技术先进，项目具有战略前瞻性，DT 溶剂在常温下具有快速高效的溶解性能，将废纺织品溶解得到纺丝液，然后以传统湿法纺丝工艺制得纤维素纤维。并且凝固浴、水洗过程析出的DT溶剂被回收精制而重复使用，纺的丝制成的纺织品也可以回收再次溶解制成纺丝液，整个生产系统形成闭环回收再循环系统，</w:t>
      </w:r>
      <w:r>
        <w:rPr>
          <w:rFonts w:hint="eastAsia"/>
          <w:color w:val="auto"/>
          <w:lang w:val="en-US" w:eastAsia="zh-CN"/>
        </w:rPr>
        <w:t>仅</w:t>
      </w:r>
      <w:r>
        <w:rPr>
          <w:rFonts w:hint="eastAsia"/>
          <w:color w:val="auto"/>
        </w:rPr>
        <w:t>有</w:t>
      </w:r>
      <w:r>
        <w:rPr>
          <w:rFonts w:hint="eastAsia"/>
          <w:color w:val="auto"/>
          <w:lang w:val="en-US" w:eastAsia="zh-CN"/>
        </w:rPr>
        <w:t>少量废水、废气</w:t>
      </w:r>
      <w:r>
        <w:rPr>
          <w:rFonts w:hint="eastAsia"/>
          <w:color w:val="auto"/>
        </w:rPr>
        <w:t>排放，对环境无</w:t>
      </w:r>
      <w:r>
        <w:rPr>
          <w:rFonts w:hint="eastAsia"/>
          <w:color w:val="auto"/>
          <w:lang w:val="en-US" w:eastAsia="zh-CN"/>
        </w:rPr>
        <w:t>大的影响</w:t>
      </w:r>
      <w:r>
        <w:rPr>
          <w:rFonts w:hint="eastAsia"/>
          <w:color w:val="auto"/>
        </w:rPr>
        <w:t>。实现绿色环保、节能型全新概念的再生纤维素纤维生产工艺。</w:t>
      </w:r>
    </w:p>
    <w:bookmarkEnd w:id="18"/>
    <w:p w14:paraId="7FDF4356">
      <w:pPr>
        <w:bidi w:val="0"/>
        <w:rPr>
          <w:color w:val="auto"/>
        </w:rPr>
      </w:pPr>
      <w:r>
        <w:rPr>
          <w:rFonts w:hint="eastAsia"/>
          <w:color w:val="auto"/>
        </w:rPr>
        <w:t>本项目选址位于新乡化纤股份有限公司新厂区内（新乡经济技术开发区新长北路南侧），由于新、老两个厂区距离较远，且排污许可证均单独持有（老厂区排污许可证编号914100001700014285001P，新厂区排污许可证编号914100001700014285002P），因此本次评价仅针对新厂区进行评价，老厂区情况不再进行评价。</w:t>
      </w:r>
    </w:p>
    <w:p w14:paraId="362B0053">
      <w:pPr>
        <w:bidi w:val="0"/>
        <w:rPr>
          <w:color w:val="auto"/>
        </w:rPr>
      </w:pPr>
      <w:r>
        <w:rPr>
          <w:color w:val="auto"/>
        </w:rPr>
        <w:t>根据《建设项目环境影响评价分类管理名录（2021年版）》，本项目属于</w:t>
      </w:r>
      <w:r>
        <w:rPr>
          <w:rFonts w:hint="eastAsia"/>
          <w:color w:val="auto"/>
          <w:lang w:eastAsia="zh-CN"/>
        </w:rPr>
        <w:t>“</w:t>
      </w:r>
      <w:r>
        <w:rPr>
          <w:rFonts w:hint="eastAsia"/>
          <w:color w:val="auto"/>
        </w:rPr>
        <w:t>二十五、化学纤维制造业28”中的</w:t>
      </w:r>
      <w:r>
        <w:rPr>
          <w:rFonts w:hint="eastAsia"/>
          <w:color w:val="auto"/>
          <w:lang w:val="en-US" w:eastAsia="zh-CN"/>
        </w:rPr>
        <w:t>第51条</w:t>
      </w:r>
      <w:r>
        <w:rPr>
          <w:rFonts w:hint="eastAsia"/>
          <w:color w:val="auto"/>
        </w:rPr>
        <w:t>“</w:t>
      </w:r>
      <w:r>
        <w:rPr>
          <w:rFonts w:hint="eastAsia"/>
          <w:color w:val="auto"/>
          <w:lang w:val="en-US" w:eastAsia="zh-CN"/>
        </w:rPr>
        <w:t>生物基材料制造</w:t>
      </w:r>
      <w:r>
        <w:rPr>
          <w:rFonts w:hint="eastAsia"/>
          <w:color w:val="auto"/>
        </w:rPr>
        <w:t>28</w:t>
      </w:r>
      <w:r>
        <w:rPr>
          <w:rFonts w:hint="eastAsia"/>
          <w:color w:val="auto"/>
          <w:lang w:val="en-US" w:eastAsia="zh-CN"/>
        </w:rPr>
        <w:t>3</w:t>
      </w:r>
      <w:r>
        <w:rPr>
          <w:rFonts w:hint="eastAsia"/>
          <w:color w:val="auto"/>
        </w:rPr>
        <w:t>”，且不属于单纯纺丝</w:t>
      </w:r>
      <w:r>
        <w:rPr>
          <w:rFonts w:hint="eastAsia"/>
          <w:color w:val="auto"/>
          <w:lang w:val="en-US" w:eastAsia="zh-CN"/>
        </w:rPr>
        <w:t>制造</w:t>
      </w:r>
      <w:r>
        <w:rPr>
          <w:rFonts w:hint="eastAsia"/>
          <w:color w:val="auto"/>
        </w:rPr>
        <w:t>，需编制环境影响报告书。</w:t>
      </w:r>
      <w:r>
        <w:rPr>
          <w:rFonts w:hint="eastAsia"/>
          <w:color w:val="auto"/>
          <w:lang w:val="en-US" w:eastAsia="zh-CN"/>
        </w:rPr>
        <w:t>因此</w:t>
      </w:r>
      <w:r>
        <w:rPr>
          <w:rFonts w:hint="eastAsia"/>
          <w:color w:val="auto"/>
        </w:rPr>
        <w:t>，新乡化纤股份有限公司委托</w:t>
      </w:r>
      <w:r>
        <w:rPr>
          <w:rFonts w:hint="eastAsia"/>
          <w:color w:val="auto"/>
          <w:lang w:eastAsia="zh-CN"/>
        </w:rPr>
        <w:t>河南瑞海环保科技有限公司</w:t>
      </w:r>
      <w:r>
        <w:rPr>
          <w:rFonts w:hint="eastAsia"/>
          <w:color w:val="auto"/>
        </w:rPr>
        <w:t>承担该项目的环评工作。接受委托后，我公司立即组成项目环评小组，通过对项目场址及评价区现场踏勘，资料收集和研读，结合环境质量现状监测，按照相关法律法规和导则要求，编制完成《新乡化</w:t>
      </w:r>
      <w:r>
        <w:rPr>
          <w:rFonts w:hint="default"/>
          <w:color w:val="auto"/>
        </w:rPr>
        <w:t>纤股份有限公司年产1000吨DT</w:t>
      </w:r>
      <w:r>
        <w:rPr>
          <w:rFonts w:hint="eastAsia"/>
          <w:color w:val="auto"/>
          <w:lang w:eastAsia="zh-CN"/>
        </w:rPr>
        <w:t>溶剂法</w:t>
      </w:r>
      <w:r>
        <w:rPr>
          <w:rFonts w:hint="eastAsia"/>
          <w:color w:val="auto"/>
        </w:rPr>
        <w:t>再生纤维素纤维中试研发项目环境影响报告书》。</w:t>
      </w:r>
    </w:p>
    <w:p w14:paraId="0C012B4F">
      <w:pPr>
        <w:pStyle w:val="3"/>
        <w:bidi w:val="0"/>
        <w:rPr>
          <w:color w:val="auto"/>
        </w:rPr>
      </w:pPr>
      <w:bookmarkStart w:id="19" w:name="_Toc18353"/>
      <w:r>
        <w:rPr>
          <w:rFonts w:hint="eastAsia"/>
          <w:color w:val="auto"/>
        </w:rPr>
        <w:t>建设项目特点</w:t>
      </w:r>
      <w:bookmarkEnd w:id="19"/>
    </w:p>
    <w:p w14:paraId="10B522B7">
      <w:pPr>
        <w:bidi w:val="0"/>
        <w:rPr>
          <w:rFonts w:hint="eastAsia"/>
          <w:b w:val="0"/>
          <w:bCs w:val="0"/>
          <w:color w:val="auto"/>
          <w:u w:val="none"/>
        </w:rPr>
      </w:pPr>
      <w:r>
        <w:rPr>
          <w:rFonts w:hint="eastAsia"/>
          <w:b w:val="0"/>
          <w:bCs w:val="0"/>
          <w:color w:val="auto"/>
          <w:u w:val="none"/>
        </w:rPr>
        <w:t>①本次工程为产业化研发中试项目，工程主要以纤维素浆粕、</w:t>
      </w:r>
      <w:r>
        <w:rPr>
          <w:rFonts w:hint="eastAsia"/>
          <w:b w:val="0"/>
          <w:bCs w:val="0"/>
          <w:color w:val="auto"/>
          <w:u w:val="none"/>
          <w:lang w:eastAsia="zh-CN"/>
        </w:rPr>
        <w:t>废旧棉纺织品</w:t>
      </w:r>
      <w:r>
        <w:rPr>
          <w:rFonts w:hint="eastAsia"/>
          <w:b w:val="0"/>
          <w:bCs w:val="0"/>
          <w:color w:val="auto"/>
          <w:u w:val="none"/>
        </w:rPr>
        <w:t>为原料，在小试基础上扩大规模，以获取切实可行的实验参数，为将来的生产打下基础。纤维素浆粕、</w:t>
      </w:r>
      <w:r>
        <w:rPr>
          <w:rFonts w:hint="eastAsia"/>
          <w:b w:val="0"/>
          <w:bCs w:val="0"/>
          <w:color w:val="auto"/>
          <w:u w:val="none"/>
          <w:lang w:eastAsia="zh-CN"/>
        </w:rPr>
        <w:t>废旧棉纺织品</w:t>
      </w:r>
      <w:r>
        <w:rPr>
          <w:rFonts w:hint="eastAsia"/>
          <w:b w:val="0"/>
          <w:bCs w:val="0"/>
          <w:color w:val="auto"/>
          <w:u w:val="none"/>
        </w:rPr>
        <w:t>中纤维素为主要成分，本项目采用的工艺是将纤维素浆粕、</w:t>
      </w:r>
      <w:r>
        <w:rPr>
          <w:rFonts w:hint="eastAsia"/>
          <w:b w:val="0"/>
          <w:bCs w:val="0"/>
          <w:color w:val="auto"/>
          <w:u w:val="none"/>
          <w:lang w:eastAsia="zh-CN"/>
        </w:rPr>
        <w:t>废旧棉纺织品</w:t>
      </w:r>
      <w:r>
        <w:rPr>
          <w:rFonts w:hint="eastAsia"/>
          <w:b w:val="0"/>
          <w:bCs w:val="0"/>
          <w:color w:val="auto"/>
          <w:u w:val="none"/>
        </w:rPr>
        <w:t>经溶解、过滤、脱泡、纺丝、水洗、上油、成筒后，得到纤维素纤维，处理过程中产生的杂质，符合相关利用要求的综合利用，无法综合利用的作为一般固废或危险废物处理处置。</w:t>
      </w:r>
    </w:p>
    <w:p w14:paraId="23DC0A36">
      <w:pPr>
        <w:bidi w:val="0"/>
        <w:rPr>
          <w:rFonts w:hint="eastAsia"/>
          <w:b w:val="0"/>
          <w:bCs w:val="0"/>
          <w:color w:val="auto"/>
          <w:u w:val="none"/>
        </w:rPr>
      </w:pPr>
      <w:r>
        <w:rPr>
          <w:rFonts w:hint="eastAsia"/>
          <w:b w:val="0"/>
          <w:bCs w:val="0"/>
          <w:color w:val="auto"/>
          <w:u w:val="none"/>
        </w:rPr>
        <w:t>②项目采用DT溶剂法生产再生纤维素长丝，主要原料为纤维素浆粕、</w:t>
      </w:r>
      <w:r>
        <w:rPr>
          <w:rFonts w:hint="eastAsia"/>
          <w:b w:val="0"/>
          <w:bCs w:val="0"/>
          <w:color w:val="auto"/>
          <w:u w:val="none"/>
          <w:lang w:eastAsia="zh-CN"/>
        </w:rPr>
        <w:t>废旧棉纺织品</w:t>
      </w:r>
      <w:r>
        <w:rPr>
          <w:rFonts w:hint="eastAsia"/>
          <w:b w:val="0"/>
          <w:bCs w:val="0"/>
          <w:color w:val="auto"/>
          <w:u w:val="none"/>
        </w:rPr>
        <w:t>、DT溶剂，所使用原料属生物质可再生资源；</w:t>
      </w:r>
    </w:p>
    <w:p w14:paraId="230DCC0E">
      <w:pPr>
        <w:bidi w:val="0"/>
        <w:rPr>
          <w:rFonts w:hint="eastAsia"/>
          <w:b w:val="0"/>
          <w:bCs w:val="0"/>
          <w:color w:val="auto"/>
          <w:u w:val="none"/>
        </w:rPr>
      </w:pPr>
      <w:r>
        <w:rPr>
          <w:rFonts w:hint="eastAsia"/>
          <w:b w:val="0"/>
          <w:bCs w:val="0"/>
          <w:color w:val="auto"/>
          <w:u w:val="none"/>
        </w:rPr>
        <w:t>③项目废气主要为：a原料粉碎产生的含尘废气，配套脉冲袋式除尘器治理；b少量溶剂挥发产生有机废气，配备二级水喷淋</w:t>
      </w:r>
      <w:r>
        <w:rPr>
          <w:rFonts w:hint="eastAsia"/>
          <w:b w:val="0"/>
          <w:bCs w:val="0"/>
          <w:color w:val="auto"/>
          <w:u w:val="none"/>
          <w:lang w:val="en-US" w:eastAsia="zh-CN"/>
        </w:rPr>
        <w:t>+活性炭吸附</w:t>
      </w:r>
      <w:r>
        <w:rPr>
          <w:rFonts w:hint="eastAsia"/>
          <w:b w:val="0"/>
          <w:bCs w:val="0"/>
          <w:color w:val="auto"/>
          <w:u w:val="none"/>
        </w:rPr>
        <w:t>治理；</w:t>
      </w:r>
    </w:p>
    <w:p w14:paraId="6CC02832">
      <w:pPr>
        <w:bidi w:val="0"/>
        <w:rPr>
          <w:rFonts w:hint="eastAsia"/>
          <w:b w:val="0"/>
          <w:bCs w:val="0"/>
          <w:color w:val="auto"/>
          <w:u w:val="none"/>
        </w:rPr>
      </w:pPr>
      <w:r>
        <w:rPr>
          <w:rFonts w:hint="eastAsia"/>
          <w:b w:val="0"/>
          <w:bCs w:val="0"/>
          <w:color w:val="auto"/>
          <w:u w:val="none"/>
        </w:rPr>
        <w:t>④项目排水均依托厂区污水站处理后经污水管网进入小店污水处理厂；</w:t>
      </w:r>
    </w:p>
    <w:p w14:paraId="66919141">
      <w:pPr>
        <w:bidi w:val="0"/>
        <w:rPr>
          <w:color w:val="auto"/>
        </w:rPr>
      </w:pPr>
      <w:r>
        <w:rPr>
          <w:rFonts w:hint="eastAsia"/>
          <w:b w:val="0"/>
          <w:bCs w:val="0"/>
          <w:color w:val="auto"/>
          <w:u w:val="none"/>
        </w:rPr>
        <w:t>⑤项目供水依托厂区现有脱盐水站，供热依托在建360t/h燃煤锅炉。</w:t>
      </w:r>
    </w:p>
    <w:p w14:paraId="4FF41B45">
      <w:pPr>
        <w:pStyle w:val="3"/>
        <w:bidi w:val="0"/>
        <w:rPr>
          <w:color w:val="auto"/>
        </w:rPr>
      </w:pPr>
      <w:bookmarkStart w:id="20" w:name="_Toc19428"/>
      <w:r>
        <w:rPr>
          <w:rFonts w:hint="eastAsia"/>
          <w:color w:val="auto"/>
        </w:rPr>
        <w:t>环境特点</w:t>
      </w:r>
      <w:bookmarkEnd w:id="20"/>
    </w:p>
    <w:p w14:paraId="29D0B4E3">
      <w:pPr>
        <w:bidi w:val="0"/>
        <w:rPr>
          <w:rFonts w:hint="eastAsia"/>
          <w:color w:val="auto"/>
        </w:rPr>
      </w:pPr>
      <w:r>
        <w:rPr>
          <w:rFonts w:hint="eastAsia"/>
          <w:color w:val="auto"/>
        </w:rPr>
        <w:t>①项目选址位于新乡经济技术开发区内，评价范围不涉及自然保护区、风景名胜区、集中式饮用水水源保护区；</w:t>
      </w:r>
    </w:p>
    <w:p w14:paraId="308952B3">
      <w:pPr>
        <w:bidi w:val="0"/>
        <w:rPr>
          <w:rFonts w:hint="eastAsia"/>
          <w:color w:val="auto"/>
        </w:rPr>
      </w:pPr>
      <w:r>
        <w:rPr>
          <w:rFonts w:hint="eastAsia"/>
          <w:color w:val="auto"/>
        </w:rPr>
        <w:t>②项目选址位于新乡化纤股份有限公司新厂区内，厂区东侧为中纺院绿色纤维股份公司和新乡双鹭生物技术有限公司；厂区南侧为中铁物流园；西侧为新飞散热器有限公司、河南白天鹅洗涤有限公司、华源电力设备有限公司等企业；北侧为新长北线（S308），隔路为新乡市立宝包装材料有限公司、新乡市龙璐彩带织造有限公司、新乡市护神特种织物有限公司。距离项目最近的敏感点为西南860m处的夏庄村，项目周围环境图见附图2；</w:t>
      </w:r>
    </w:p>
    <w:p w14:paraId="6B60E805">
      <w:pPr>
        <w:bidi w:val="0"/>
        <w:rPr>
          <w:rFonts w:hint="eastAsia"/>
          <w:color w:val="auto"/>
        </w:rPr>
      </w:pPr>
      <w:r>
        <w:rPr>
          <w:rFonts w:hint="eastAsia"/>
          <w:color w:val="auto"/>
        </w:rPr>
        <w:t>③项目纳污水体为大沙河，开发区河段为Ⅳ类水功能区，水质部分时段超标；</w:t>
      </w:r>
    </w:p>
    <w:p w14:paraId="193CCF55">
      <w:pPr>
        <w:bidi w:val="0"/>
        <w:rPr>
          <w:rFonts w:hint="eastAsia" w:eastAsia="宋体"/>
          <w:color w:val="auto"/>
          <w:lang w:eastAsia="zh-CN"/>
        </w:rPr>
      </w:pPr>
      <w:r>
        <w:rPr>
          <w:rFonts w:hint="eastAsia"/>
          <w:color w:val="auto"/>
        </w:rPr>
        <w:t>④项目区域为环境空气二类区，目前属不达标区</w:t>
      </w:r>
      <w:r>
        <w:rPr>
          <w:rFonts w:hint="eastAsia"/>
          <w:color w:val="auto"/>
          <w:lang w:eastAsia="zh-CN"/>
        </w:rPr>
        <w:t>；</w:t>
      </w:r>
    </w:p>
    <w:p w14:paraId="38DFEEC5">
      <w:pPr>
        <w:bidi w:val="0"/>
        <w:rPr>
          <w:rFonts w:hint="eastAsia"/>
          <w:b/>
          <w:bCs/>
          <w:color w:val="auto"/>
          <w:u w:val="single"/>
        </w:rPr>
      </w:pPr>
      <w:r>
        <w:rPr>
          <w:rFonts w:hint="eastAsia"/>
          <w:b/>
          <w:bCs/>
          <w:color w:val="auto"/>
          <w:u w:val="single"/>
        </w:rPr>
        <w:t>⑤本项目距离太行堤遗址公园</w:t>
      </w:r>
      <w:r>
        <w:rPr>
          <w:rFonts w:hint="eastAsia"/>
          <w:b/>
          <w:bCs/>
          <w:color w:val="auto"/>
          <w:u w:val="single"/>
          <w:lang w:val="en-US" w:eastAsia="zh-CN"/>
        </w:rPr>
        <w:t>1030</w:t>
      </w:r>
      <w:r>
        <w:rPr>
          <w:rFonts w:hint="eastAsia"/>
          <w:b/>
          <w:bCs/>
          <w:color w:val="auto"/>
          <w:u w:val="single"/>
        </w:rPr>
        <w:t>m，太行堤遗址公园位于新乡市经开区化纤厂南邻，由原太行堤遗址修建而成，属于区县级文物保护单位。本项目占地范围不涉及太行堤遗址的保护范围和建设控制地带，本项目的建设不会破坏现存的太行堤遗址。</w:t>
      </w:r>
    </w:p>
    <w:p w14:paraId="0BDEBAE0">
      <w:pPr>
        <w:bidi w:val="0"/>
        <w:rPr>
          <w:rFonts w:hint="default" w:eastAsia="宋体"/>
          <w:b/>
          <w:bCs/>
          <w:color w:val="auto"/>
          <w:u w:val="single"/>
          <w:lang w:val="en-US" w:eastAsia="zh-CN"/>
        </w:rPr>
      </w:pPr>
      <w:r>
        <w:rPr>
          <w:rFonts w:hint="eastAsia"/>
          <w:b/>
          <w:bCs/>
          <w:color w:val="auto"/>
          <w:u w:val="single"/>
          <w:lang w:val="en-US" w:eastAsia="zh-CN"/>
        </w:rPr>
        <w:t>⑥本项目东南方向1818m大杨庄村有集中式饮用水源（供水人口＞1000人，未划定准保护区），本项目地下水评价范围为6平方公里（见图6.3-3），不在评价范围内。</w:t>
      </w:r>
    </w:p>
    <w:p w14:paraId="6050A332">
      <w:pPr>
        <w:pStyle w:val="3"/>
        <w:bidi w:val="0"/>
        <w:rPr>
          <w:color w:val="auto"/>
        </w:rPr>
      </w:pPr>
      <w:bookmarkStart w:id="21" w:name="_Toc89284759"/>
      <w:bookmarkStart w:id="22" w:name="_Toc28828"/>
      <w:r>
        <w:rPr>
          <w:color w:val="auto"/>
        </w:rPr>
        <w:t>工作过程</w:t>
      </w:r>
      <w:bookmarkEnd w:id="21"/>
      <w:bookmarkEnd w:id="22"/>
    </w:p>
    <w:p w14:paraId="15044049">
      <w:pPr>
        <w:spacing w:line="520" w:lineRule="exact"/>
        <w:ind w:firstLine="480" w:firstLineChars="200"/>
        <w:rPr>
          <w:rFonts w:ascii="Times New Roman" w:hAnsi="Times New Roman"/>
          <w:sz w:val="24"/>
        </w:rPr>
      </w:pPr>
      <w:r>
        <w:rPr>
          <w:rFonts w:ascii="Times New Roman" w:hAnsi="Times New Roman"/>
          <w:sz w:val="24"/>
        </w:rPr>
        <w:t>根据《中华人民共和国环境保护法》、《中华人民共和国环境影响评价法》及国务院令第682号《建设项目环境保护管理条例》（2017年修订版）中有关规定，该项目需进行环境影响评价，以便对工程投产后产生的环境影响做出系统分析和评价，论证工程实施的可行性，并提出有效的环境保护措施。</w:t>
      </w:r>
    </w:p>
    <w:p w14:paraId="0FEC14FB">
      <w:pPr>
        <w:spacing w:line="520" w:lineRule="exact"/>
        <w:ind w:firstLine="480" w:firstLineChars="200"/>
        <w:rPr>
          <w:rFonts w:ascii="Times New Roman" w:hAnsi="Times New Roman"/>
          <w:sz w:val="24"/>
        </w:rPr>
      </w:pPr>
      <w:r>
        <w:rPr>
          <w:rFonts w:ascii="Times New Roman" w:hAnsi="Times New Roman"/>
          <w:sz w:val="24"/>
        </w:rPr>
        <w:t>202</w:t>
      </w:r>
      <w:r>
        <w:rPr>
          <w:rFonts w:hint="eastAsia" w:ascii="Times New Roman" w:hAnsi="Times New Roman"/>
          <w:sz w:val="24"/>
        </w:rPr>
        <w:t>4</w:t>
      </w:r>
      <w:r>
        <w:rPr>
          <w:rFonts w:ascii="Times New Roman" w:hAnsi="Times New Roman"/>
          <w:sz w:val="24"/>
        </w:rPr>
        <w:t>年</w:t>
      </w:r>
      <w:r>
        <w:rPr>
          <w:rFonts w:hint="eastAsia" w:ascii="Times New Roman" w:hAnsi="Times New Roman"/>
          <w:sz w:val="24"/>
        </w:rPr>
        <w:t>3</w:t>
      </w:r>
      <w:r>
        <w:rPr>
          <w:rFonts w:ascii="Times New Roman" w:hAnsi="Times New Roman"/>
          <w:sz w:val="24"/>
        </w:rPr>
        <w:t>月，建设单位委托河南瑞海环保科技有限公司承担项目的环境影响评价工作</w:t>
      </w:r>
      <w:r>
        <w:rPr>
          <w:rFonts w:hint="eastAsia" w:ascii="Times New Roman" w:hAnsi="Times New Roman"/>
          <w:sz w:val="24"/>
        </w:rPr>
        <w:t>，</w:t>
      </w:r>
      <w:r>
        <w:rPr>
          <w:rFonts w:ascii="Times New Roman" w:hAnsi="Times New Roman"/>
          <w:color w:val="000000"/>
          <w:sz w:val="24"/>
        </w:rPr>
        <w:t>2024年</w:t>
      </w:r>
      <w:r>
        <w:rPr>
          <w:rFonts w:hint="eastAsia" w:ascii="Times New Roman" w:hAnsi="Times New Roman"/>
          <w:color w:val="000000"/>
          <w:sz w:val="24"/>
        </w:rPr>
        <w:t>3</w:t>
      </w:r>
      <w:r>
        <w:rPr>
          <w:rFonts w:ascii="Times New Roman" w:hAnsi="Times New Roman"/>
          <w:color w:val="000000"/>
          <w:sz w:val="24"/>
        </w:rPr>
        <w:t>月</w:t>
      </w:r>
      <w:r>
        <w:rPr>
          <w:rFonts w:hint="eastAsia" w:ascii="Times New Roman" w:hAnsi="Times New Roman"/>
          <w:color w:val="000000"/>
          <w:sz w:val="24"/>
        </w:rPr>
        <w:t>29</w:t>
      </w:r>
      <w:r>
        <w:rPr>
          <w:rFonts w:ascii="Times New Roman" w:hAnsi="Times New Roman"/>
          <w:color w:val="000000"/>
          <w:sz w:val="24"/>
        </w:rPr>
        <w:t>日</w:t>
      </w:r>
      <w:r>
        <w:rPr>
          <w:rFonts w:hint="eastAsia" w:ascii="Times New Roman" w:hAnsi="Times New Roman"/>
          <w:color w:val="000000"/>
          <w:sz w:val="24"/>
        </w:rPr>
        <w:t>在新乡生活网</w:t>
      </w:r>
      <w:r>
        <w:rPr>
          <w:rFonts w:ascii="Times New Roman" w:hAnsi="Times New Roman"/>
          <w:color w:val="000000"/>
          <w:sz w:val="24"/>
        </w:rPr>
        <w:t>进行了项目环境影响评价信息公示。</w:t>
      </w:r>
      <w:r>
        <w:rPr>
          <w:rFonts w:hint="eastAsia" w:ascii="Times New Roman" w:hAnsi="Times New Roman"/>
          <w:sz w:val="24"/>
        </w:rPr>
        <w:t>随后我</w:t>
      </w:r>
      <w:r>
        <w:rPr>
          <w:rFonts w:ascii="Times New Roman" w:hAnsi="Times New Roman"/>
          <w:sz w:val="24"/>
        </w:rPr>
        <w:t>单位对厂区现有工程、项目场地现状及周围环境进行了实地踏勘。</w:t>
      </w:r>
    </w:p>
    <w:p w14:paraId="3FA75C85">
      <w:pPr>
        <w:spacing w:line="520" w:lineRule="exact"/>
        <w:ind w:firstLine="480" w:firstLineChars="200"/>
        <w:rPr>
          <w:rFonts w:ascii="Times New Roman" w:hAnsi="Times New Roman"/>
          <w:sz w:val="24"/>
        </w:rPr>
      </w:pPr>
      <w:r>
        <w:rPr>
          <w:rFonts w:ascii="Times New Roman" w:hAnsi="Times New Roman"/>
          <w:sz w:val="24"/>
        </w:rPr>
        <w:t>202</w:t>
      </w:r>
      <w:r>
        <w:rPr>
          <w:rFonts w:hint="eastAsia" w:ascii="Times New Roman" w:hAnsi="Times New Roman"/>
          <w:sz w:val="24"/>
        </w:rPr>
        <w:t>4</w:t>
      </w:r>
      <w:r>
        <w:rPr>
          <w:rFonts w:ascii="Times New Roman" w:hAnsi="Times New Roman"/>
          <w:sz w:val="24"/>
        </w:rPr>
        <w:t>年</w:t>
      </w:r>
      <w:r>
        <w:rPr>
          <w:rFonts w:hint="eastAsia" w:ascii="Times New Roman" w:hAnsi="Times New Roman"/>
          <w:sz w:val="24"/>
        </w:rPr>
        <w:t>4</w:t>
      </w:r>
      <w:r>
        <w:rPr>
          <w:rFonts w:ascii="Times New Roman" w:hAnsi="Times New Roman"/>
          <w:sz w:val="24"/>
        </w:rPr>
        <w:t>月</w:t>
      </w:r>
      <w:r>
        <w:rPr>
          <w:rFonts w:hint="eastAsia" w:ascii="Times New Roman" w:hAnsi="Times New Roman"/>
          <w:sz w:val="24"/>
        </w:rPr>
        <w:t>初</w:t>
      </w:r>
      <w:r>
        <w:rPr>
          <w:rFonts w:ascii="Times New Roman" w:hAnsi="Times New Roman"/>
          <w:sz w:val="24"/>
        </w:rPr>
        <w:t>，委托</w:t>
      </w:r>
      <w:r>
        <w:rPr>
          <w:rFonts w:hint="eastAsia" w:ascii="Times New Roman" w:hAnsi="Times New Roman" w:cs="Times New Roman"/>
          <w:color w:val="auto"/>
          <w:highlight w:val="none"/>
        </w:rPr>
        <w:t>洛阳市绿源环保技术有限公司</w:t>
      </w:r>
      <w:r>
        <w:rPr>
          <w:rFonts w:ascii="Times New Roman" w:hAnsi="Times New Roman"/>
          <w:sz w:val="24"/>
        </w:rPr>
        <w:t>对项目周边区域进行了环境质量现状监测。</w:t>
      </w:r>
    </w:p>
    <w:p w14:paraId="55D55B55">
      <w:pPr>
        <w:bidi w:val="0"/>
        <w:rPr>
          <w:rFonts w:ascii="Times New Roman" w:hAnsi="Times New Roman"/>
          <w:color w:val="000000"/>
          <w:sz w:val="24"/>
        </w:rPr>
      </w:pPr>
      <w:r>
        <w:rPr>
          <w:rFonts w:ascii="Times New Roman" w:hAnsi="Times New Roman"/>
          <w:color w:val="000000"/>
          <w:sz w:val="24"/>
        </w:rPr>
        <w:t>2024年4月</w:t>
      </w:r>
      <w:r>
        <w:rPr>
          <w:rFonts w:hint="eastAsia" w:ascii="Times New Roman" w:hAnsi="Times New Roman"/>
          <w:color w:val="000000"/>
          <w:sz w:val="24"/>
          <w:lang w:val="en-US" w:eastAsia="zh-CN"/>
        </w:rPr>
        <w:t>17</w:t>
      </w:r>
      <w:r>
        <w:rPr>
          <w:rFonts w:ascii="Times New Roman" w:hAnsi="Times New Roman"/>
          <w:color w:val="000000"/>
          <w:sz w:val="24"/>
        </w:rPr>
        <w:t>日在新乡生活网进行了征求意见稿全文公示，全文公示期间分别</w:t>
      </w:r>
      <w:r>
        <w:rPr>
          <w:rFonts w:hint="eastAsia" w:ascii="Times New Roman" w:hAnsi="Times New Roman"/>
          <w:color w:val="000000"/>
          <w:sz w:val="24"/>
        </w:rPr>
        <w:t>于4月</w:t>
      </w:r>
      <w:r>
        <w:rPr>
          <w:rFonts w:hint="eastAsia" w:ascii="Times New Roman" w:hAnsi="Times New Roman"/>
          <w:color w:val="000000"/>
          <w:sz w:val="24"/>
          <w:lang w:val="en-US" w:eastAsia="zh-CN"/>
        </w:rPr>
        <w:t>17</w:t>
      </w:r>
      <w:r>
        <w:rPr>
          <w:rFonts w:hint="eastAsia" w:ascii="Times New Roman" w:hAnsi="Times New Roman"/>
          <w:color w:val="000000"/>
          <w:sz w:val="24"/>
        </w:rPr>
        <w:t>日及4月</w:t>
      </w:r>
      <w:r>
        <w:rPr>
          <w:rFonts w:hint="eastAsia" w:ascii="Times New Roman" w:hAnsi="Times New Roman"/>
          <w:color w:val="000000"/>
          <w:sz w:val="24"/>
          <w:lang w:val="en-US" w:eastAsia="zh-CN"/>
        </w:rPr>
        <w:t>23</w:t>
      </w:r>
      <w:r>
        <w:rPr>
          <w:rFonts w:hint="eastAsia" w:ascii="Times New Roman" w:hAnsi="Times New Roman"/>
          <w:color w:val="000000"/>
          <w:sz w:val="24"/>
        </w:rPr>
        <w:t>日</w:t>
      </w:r>
      <w:r>
        <w:rPr>
          <w:rFonts w:ascii="Times New Roman" w:hAnsi="Times New Roman"/>
          <w:color w:val="000000"/>
          <w:sz w:val="24"/>
        </w:rPr>
        <w:t>在中国工业报对项目进行了两次报纸公示，并在周边村庄进行了张贴公示。</w:t>
      </w:r>
    </w:p>
    <w:p w14:paraId="08CE0A19">
      <w:pPr>
        <w:pStyle w:val="3"/>
        <w:bidi w:val="0"/>
        <w:rPr>
          <w:rFonts w:hint="eastAsia"/>
          <w:lang w:val="en-US" w:eastAsia="zh-CN"/>
        </w:rPr>
      </w:pPr>
      <w:bookmarkStart w:id="23" w:name="_Toc24626"/>
      <w:r>
        <w:rPr>
          <w:rFonts w:hint="eastAsia"/>
          <w:lang w:val="en-US" w:eastAsia="zh-CN"/>
        </w:rPr>
        <w:t>分析判定相关情况</w:t>
      </w:r>
      <w:bookmarkEnd w:id="23"/>
    </w:p>
    <w:p w14:paraId="3062CBE3">
      <w:pPr>
        <w:bidi w:val="0"/>
        <w:rPr>
          <w:rFonts w:hint="eastAsia"/>
          <w:color w:val="auto"/>
        </w:rPr>
      </w:pPr>
      <w:r>
        <w:rPr>
          <w:rFonts w:hint="eastAsia"/>
          <w:color w:val="auto"/>
        </w:rPr>
        <w:t>（1）产业政策相符性</w:t>
      </w:r>
    </w:p>
    <w:p w14:paraId="2E244470">
      <w:pPr>
        <w:bidi w:val="0"/>
        <w:rPr>
          <w:color w:val="auto"/>
        </w:rPr>
      </w:pPr>
      <w:r>
        <w:rPr>
          <w:rFonts w:hint="eastAsia"/>
          <w:color w:val="auto"/>
        </w:rPr>
        <w:t>本项目外购木浆粕</w:t>
      </w:r>
      <w:r>
        <w:rPr>
          <w:rFonts w:hint="eastAsia"/>
          <w:color w:val="auto"/>
          <w:lang w:val="en-US" w:eastAsia="zh-CN"/>
        </w:rPr>
        <w:t>和废旧棉纺织品</w:t>
      </w:r>
      <w:r>
        <w:rPr>
          <w:rFonts w:hint="eastAsia"/>
          <w:color w:val="auto"/>
        </w:rPr>
        <w:t>为原料生产再生纤维素纤维，属于《产业结构调整指导目录（2024年本）》中鼓励类第二十、纺织 第10款中“利用棉纺织品回收生产的再生纤维素纤维产品，废旧纺织品回收再利用技术、设备的研发和应用”，符合国家产业政策</w:t>
      </w:r>
      <w:r>
        <w:rPr>
          <w:rFonts w:hint="eastAsia"/>
          <w:color w:val="auto"/>
          <w:lang w:eastAsia="zh-CN"/>
        </w:rPr>
        <w:t>，</w:t>
      </w:r>
      <w:r>
        <w:rPr>
          <w:rFonts w:hint="eastAsia"/>
          <w:color w:val="auto"/>
        </w:rPr>
        <w:t>详见</w:t>
      </w:r>
      <w:r>
        <w:rPr>
          <w:rFonts w:hint="eastAsia"/>
          <w:color w:val="auto"/>
          <w:lang w:val="en-US" w:eastAsia="zh-CN"/>
        </w:rPr>
        <w:t>下表</w:t>
      </w:r>
      <w:r>
        <w:rPr>
          <w:rFonts w:hint="eastAsia"/>
          <w:color w:val="auto"/>
        </w:rPr>
        <w:t>。</w:t>
      </w:r>
    </w:p>
    <w:p w14:paraId="5972E4EF">
      <w:pPr>
        <w:pStyle w:val="10"/>
        <w:bidi w:val="0"/>
      </w:pPr>
      <w:r>
        <w:t xml:space="preserve">表 </w:t>
      </w:r>
      <w:r>
        <w:fldChar w:fldCharType="begin"/>
      </w:r>
      <w:r>
        <w:instrText xml:space="preserve"> STYLEREF 2 \s </w:instrText>
      </w:r>
      <w:r>
        <w:fldChar w:fldCharType="separate"/>
      </w:r>
      <w:r>
        <w:t>1.5</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rPr>
        <w:t>项目与产业政策相符性分析</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8"/>
        <w:gridCol w:w="1247"/>
        <w:gridCol w:w="3428"/>
        <w:gridCol w:w="1238"/>
        <w:gridCol w:w="961"/>
      </w:tblGrid>
      <w:tr w14:paraId="79682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696" w:type="dxa"/>
            <w:vAlign w:val="center"/>
          </w:tcPr>
          <w:p w14:paraId="0BB005C1">
            <w:pPr>
              <w:pStyle w:val="182"/>
              <w:bidi w:val="0"/>
              <w:rPr>
                <w:b/>
                <w:bCs/>
                <w:color w:val="auto"/>
              </w:rPr>
            </w:pPr>
            <w:r>
              <w:rPr>
                <w:rFonts w:hint="eastAsia"/>
                <w:b/>
                <w:bCs/>
                <w:color w:val="auto"/>
              </w:rPr>
              <w:t>名称</w:t>
            </w:r>
          </w:p>
        </w:tc>
        <w:tc>
          <w:tcPr>
            <w:tcW w:w="1276" w:type="dxa"/>
            <w:vAlign w:val="center"/>
          </w:tcPr>
          <w:p w14:paraId="1E642379">
            <w:pPr>
              <w:pStyle w:val="182"/>
              <w:bidi w:val="0"/>
              <w:rPr>
                <w:b/>
                <w:bCs/>
                <w:color w:val="auto"/>
              </w:rPr>
            </w:pPr>
            <w:r>
              <w:rPr>
                <w:rFonts w:hint="eastAsia"/>
                <w:b/>
                <w:bCs/>
                <w:color w:val="auto"/>
              </w:rPr>
              <w:t>条款</w:t>
            </w:r>
          </w:p>
        </w:tc>
        <w:tc>
          <w:tcPr>
            <w:tcW w:w="3544" w:type="dxa"/>
            <w:vAlign w:val="center"/>
          </w:tcPr>
          <w:p w14:paraId="45135488">
            <w:pPr>
              <w:pStyle w:val="182"/>
              <w:bidi w:val="0"/>
              <w:rPr>
                <w:b/>
                <w:bCs/>
                <w:color w:val="auto"/>
              </w:rPr>
            </w:pPr>
            <w:r>
              <w:rPr>
                <w:rFonts w:hint="eastAsia"/>
                <w:b/>
                <w:bCs/>
                <w:color w:val="auto"/>
              </w:rPr>
              <w:t>内容</w:t>
            </w:r>
          </w:p>
        </w:tc>
        <w:tc>
          <w:tcPr>
            <w:tcW w:w="1276" w:type="dxa"/>
            <w:vAlign w:val="center"/>
          </w:tcPr>
          <w:p w14:paraId="7BDA3DAF">
            <w:pPr>
              <w:pStyle w:val="182"/>
              <w:bidi w:val="0"/>
              <w:rPr>
                <w:b/>
                <w:bCs/>
                <w:color w:val="auto"/>
              </w:rPr>
            </w:pPr>
            <w:r>
              <w:rPr>
                <w:rFonts w:hint="eastAsia"/>
                <w:b/>
                <w:bCs/>
                <w:color w:val="auto"/>
              </w:rPr>
              <w:t>本项目情况</w:t>
            </w:r>
          </w:p>
        </w:tc>
        <w:tc>
          <w:tcPr>
            <w:tcW w:w="985" w:type="dxa"/>
            <w:vAlign w:val="center"/>
          </w:tcPr>
          <w:p w14:paraId="6215E1D5">
            <w:pPr>
              <w:pStyle w:val="182"/>
              <w:bidi w:val="0"/>
              <w:rPr>
                <w:b/>
                <w:bCs/>
                <w:color w:val="auto"/>
              </w:rPr>
            </w:pPr>
            <w:r>
              <w:rPr>
                <w:rFonts w:hint="eastAsia"/>
                <w:b/>
                <w:bCs/>
                <w:color w:val="auto"/>
              </w:rPr>
              <w:t>相符性</w:t>
            </w:r>
          </w:p>
        </w:tc>
      </w:tr>
      <w:tr w14:paraId="02CBC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50DED102">
            <w:pPr>
              <w:pStyle w:val="182"/>
              <w:bidi w:val="0"/>
              <w:rPr>
                <w:color w:val="auto"/>
              </w:rPr>
            </w:pPr>
            <w:r>
              <w:rPr>
                <w:rFonts w:hint="eastAsia"/>
                <w:color w:val="auto"/>
              </w:rPr>
              <w:t>鼓励类</w:t>
            </w:r>
          </w:p>
        </w:tc>
        <w:tc>
          <w:tcPr>
            <w:tcW w:w="1276" w:type="dxa"/>
            <w:vAlign w:val="center"/>
          </w:tcPr>
          <w:p w14:paraId="395B1F2C">
            <w:pPr>
              <w:pStyle w:val="182"/>
              <w:bidi w:val="0"/>
              <w:rPr>
                <w:rFonts w:hint="default" w:eastAsia="宋体"/>
                <w:color w:val="auto"/>
                <w:lang w:val="en-US" w:eastAsia="zh-CN"/>
              </w:rPr>
            </w:pPr>
            <w:r>
              <w:rPr>
                <w:rFonts w:hint="eastAsia"/>
                <w:color w:val="auto"/>
              </w:rPr>
              <w:t>二十、纺织</w:t>
            </w:r>
            <w:r>
              <w:rPr>
                <w:rFonts w:hint="eastAsia"/>
                <w:color w:val="auto"/>
                <w:lang w:eastAsia="zh-CN"/>
              </w:rPr>
              <w:t>，</w:t>
            </w:r>
            <w:r>
              <w:rPr>
                <w:rFonts w:hint="eastAsia"/>
                <w:color w:val="auto"/>
                <w:lang w:val="en-US" w:eastAsia="zh-CN"/>
              </w:rPr>
              <w:t>第10项</w:t>
            </w:r>
          </w:p>
        </w:tc>
        <w:tc>
          <w:tcPr>
            <w:tcW w:w="3544" w:type="dxa"/>
            <w:vAlign w:val="center"/>
          </w:tcPr>
          <w:p w14:paraId="149DFE44">
            <w:pPr>
              <w:pStyle w:val="182"/>
              <w:bidi w:val="0"/>
              <w:rPr>
                <w:color w:val="auto"/>
              </w:rPr>
            </w:pPr>
            <w:r>
              <w:rPr>
                <w:rFonts w:hint="eastAsia"/>
                <w:color w:val="auto"/>
                <w:highlight w:val="none"/>
                <w:shd w:val="clear"/>
              </w:rPr>
              <w:t>“利用棉纺织品回收生产的再生纤维素纤维产品，废旧纺织品回收再利用技术、设备的研发和应用”，</w:t>
            </w:r>
          </w:p>
        </w:tc>
        <w:tc>
          <w:tcPr>
            <w:tcW w:w="1276" w:type="dxa"/>
            <w:vAlign w:val="center"/>
          </w:tcPr>
          <w:p w14:paraId="6DF12229">
            <w:pPr>
              <w:pStyle w:val="182"/>
              <w:bidi w:val="0"/>
              <w:rPr>
                <w:color w:val="auto"/>
              </w:rPr>
            </w:pPr>
            <w:r>
              <w:rPr>
                <w:rFonts w:hint="eastAsia"/>
                <w:color w:val="auto"/>
              </w:rPr>
              <w:t>本项目以</w:t>
            </w:r>
            <w:r>
              <w:rPr>
                <w:rFonts w:hint="eastAsia"/>
                <w:color w:val="auto"/>
                <w:lang w:val="en-US" w:eastAsia="zh-CN"/>
              </w:rPr>
              <w:t>废旧棉纺织品</w:t>
            </w:r>
            <w:r>
              <w:rPr>
                <w:rFonts w:hint="eastAsia"/>
                <w:color w:val="auto"/>
              </w:rPr>
              <w:t>为原料生产纤维素纤维</w:t>
            </w:r>
          </w:p>
        </w:tc>
        <w:tc>
          <w:tcPr>
            <w:tcW w:w="985" w:type="dxa"/>
            <w:vAlign w:val="center"/>
          </w:tcPr>
          <w:p w14:paraId="575BFFC2">
            <w:pPr>
              <w:pStyle w:val="182"/>
              <w:bidi w:val="0"/>
              <w:rPr>
                <w:color w:val="auto"/>
              </w:rPr>
            </w:pPr>
            <w:r>
              <w:rPr>
                <w:rFonts w:hint="eastAsia"/>
                <w:color w:val="auto"/>
              </w:rPr>
              <w:t>符合</w:t>
            </w:r>
          </w:p>
        </w:tc>
      </w:tr>
      <w:tr w14:paraId="31787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0D8E8341">
            <w:pPr>
              <w:pStyle w:val="182"/>
              <w:bidi w:val="0"/>
              <w:rPr>
                <w:color w:val="auto"/>
              </w:rPr>
            </w:pPr>
            <w:r>
              <w:rPr>
                <w:rFonts w:hint="eastAsia"/>
                <w:color w:val="auto"/>
              </w:rPr>
              <w:t>限制类</w:t>
            </w:r>
          </w:p>
        </w:tc>
        <w:tc>
          <w:tcPr>
            <w:tcW w:w="1276" w:type="dxa"/>
            <w:vAlign w:val="center"/>
          </w:tcPr>
          <w:p w14:paraId="592EDCA6">
            <w:pPr>
              <w:pStyle w:val="182"/>
              <w:bidi w:val="0"/>
              <w:rPr>
                <w:color w:val="auto"/>
              </w:rPr>
            </w:pPr>
            <w:r>
              <w:rPr>
                <w:rFonts w:hint="eastAsia"/>
                <w:color w:val="auto"/>
              </w:rPr>
              <w:t>/</w:t>
            </w:r>
          </w:p>
        </w:tc>
        <w:tc>
          <w:tcPr>
            <w:tcW w:w="3544" w:type="dxa"/>
            <w:vAlign w:val="center"/>
          </w:tcPr>
          <w:p w14:paraId="26EB6DE7">
            <w:pPr>
              <w:pStyle w:val="182"/>
              <w:bidi w:val="0"/>
              <w:rPr>
                <w:color w:val="auto"/>
              </w:rPr>
            </w:pPr>
            <w:r>
              <w:rPr>
                <w:rFonts w:hint="eastAsia"/>
                <w:color w:val="auto"/>
              </w:rPr>
              <w:t>/</w:t>
            </w:r>
          </w:p>
        </w:tc>
        <w:tc>
          <w:tcPr>
            <w:tcW w:w="1276" w:type="dxa"/>
            <w:vAlign w:val="center"/>
          </w:tcPr>
          <w:p w14:paraId="36DEB023">
            <w:pPr>
              <w:pStyle w:val="182"/>
              <w:bidi w:val="0"/>
              <w:rPr>
                <w:rFonts w:hint="eastAsia" w:eastAsia="宋体"/>
                <w:color w:val="auto"/>
                <w:lang w:val="en-US" w:eastAsia="zh-CN"/>
              </w:rPr>
            </w:pPr>
            <w:r>
              <w:rPr>
                <w:rFonts w:hint="eastAsia"/>
                <w:color w:val="auto"/>
                <w:lang w:val="en-US" w:eastAsia="zh-CN"/>
              </w:rPr>
              <w:t>/</w:t>
            </w:r>
          </w:p>
        </w:tc>
        <w:tc>
          <w:tcPr>
            <w:tcW w:w="985" w:type="dxa"/>
            <w:vAlign w:val="center"/>
          </w:tcPr>
          <w:p w14:paraId="0F59FB20">
            <w:pPr>
              <w:pStyle w:val="182"/>
              <w:bidi w:val="0"/>
              <w:rPr>
                <w:color w:val="auto"/>
              </w:rPr>
            </w:pPr>
            <w:r>
              <w:rPr>
                <w:rFonts w:hint="eastAsia"/>
                <w:color w:val="auto"/>
              </w:rPr>
              <w:t>不属于限制类</w:t>
            </w:r>
          </w:p>
        </w:tc>
      </w:tr>
      <w:tr w14:paraId="0A7A9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1C06C2E5">
            <w:pPr>
              <w:pStyle w:val="182"/>
              <w:bidi w:val="0"/>
              <w:rPr>
                <w:color w:val="auto"/>
              </w:rPr>
            </w:pPr>
            <w:r>
              <w:rPr>
                <w:rFonts w:hint="eastAsia"/>
                <w:color w:val="auto"/>
              </w:rPr>
              <w:t>淘汰类（落后生产工艺装备）</w:t>
            </w:r>
          </w:p>
        </w:tc>
        <w:tc>
          <w:tcPr>
            <w:tcW w:w="1276" w:type="dxa"/>
            <w:vAlign w:val="center"/>
          </w:tcPr>
          <w:p w14:paraId="612F9D59">
            <w:pPr>
              <w:pStyle w:val="182"/>
              <w:bidi w:val="0"/>
              <w:rPr>
                <w:color w:val="auto"/>
              </w:rPr>
            </w:pPr>
            <w:r>
              <w:rPr>
                <w:rFonts w:hint="eastAsia"/>
                <w:color w:val="auto"/>
              </w:rPr>
              <w:t>二十、纺织</w:t>
            </w:r>
          </w:p>
        </w:tc>
        <w:tc>
          <w:tcPr>
            <w:tcW w:w="3544" w:type="dxa"/>
            <w:vAlign w:val="center"/>
          </w:tcPr>
          <w:p w14:paraId="4617C0C5">
            <w:pPr>
              <w:pStyle w:val="182"/>
              <w:numPr>
                <w:ilvl w:val="0"/>
                <w:numId w:val="0"/>
              </w:numPr>
              <w:bidi w:val="0"/>
              <w:ind w:firstLine="0" w:firstLineChars="0"/>
              <w:rPr>
                <w:rFonts w:hint="eastAsia"/>
                <w:color w:val="auto"/>
              </w:rPr>
            </w:pPr>
            <w:r>
              <w:rPr>
                <w:rFonts w:hint="eastAsia" w:ascii="Times New Roman" w:hAnsi="Times New Roman" w:eastAsia="宋体" w:cs="Times New Roman"/>
                <w:color w:val="auto"/>
                <w:kern w:val="2"/>
                <w:sz w:val="21"/>
                <w:szCs w:val="21"/>
                <w:lang w:val="en-US" w:eastAsia="zh-CN" w:bidi="ar-SA"/>
              </w:rPr>
              <w:t>9.</w:t>
            </w:r>
            <w:r>
              <w:rPr>
                <w:rFonts w:hint="eastAsia"/>
                <w:color w:val="auto"/>
              </w:rPr>
              <w:t>4万吨/年及以下粘胶常规短纤维生产线</w:t>
            </w:r>
          </w:p>
          <w:p w14:paraId="6BC12E4F">
            <w:pPr>
              <w:pStyle w:val="182"/>
              <w:bidi w:val="0"/>
              <w:rPr>
                <w:rFonts w:hint="eastAsia"/>
                <w:color w:val="auto"/>
              </w:rPr>
            </w:pPr>
            <w:r>
              <w:rPr>
                <w:rFonts w:hint="eastAsia"/>
                <w:color w:val="auto"/>
                <w:lang w:val="en-US" w:eastAsia="zh-CN"/>
              </w:rPr>
              <w:t>12.</w:t>
            </w:r>
            <w:r>
              <w:rPr>
                <w:rFonts w:hint="eastAsia"/>
                <w:color w:val="auto"/>
              </w:rPr>
              <w:t>硝酸法腈纶常规纤维生产工艺及装置</w:t>
            </w:r>
          </w:p>
          <w:p w14:paraId="766A6316">
            <w:pPr>
              <w:pStyle w:val="182"/>
              <w:bidi w:val="0"/>
              <w:rPr>
                <w:color w:val="auto"/>
              </w:rPr>
            </w:pPr>
            <w:r>
              <w:rPr>
                <w:rFonts w:hint="eastAsia"/>
                <w:color w:val="auto"/>
                <w:lang w:val="en-US" w:eastAsia="zh-CN"/>
              </w:rPr>
              <w:t>19.</w:t>
            </w:r>
            <w:r>
              <w:rPr>
                <w:rFonts w:hint="eastAsia"/>
                <w:color w:val="auto"/>
              </w:rPr>
              <w:t>螺杆挤出机直径小于或等于90mm，2000 吨/年以下的涤纶再生纺短纤维生产装置</w:t>
            </w:r>
          </w:p>
        </w:tc>
        <w:tc>
          <w:tcPr>
            <w:tcW w:w="1276" w:type="dxa"/>
            <w:vAlign w:val="center"/>
          </w:tcPr>
          <w:p w14:paraId="337E9718">
            <w:pPr>
              <w:pStyle w:val="182"/>
              <w:bidi w:val="0"/>
              <w:rPr>
                <w:rFonts w:hint="eastAsia" w:eastAsia="宋体"/>
                <w:color w:val="auto"/>
                <w:lang w:val="en-US" w:eastAsia="zh-CN"/>
              </w:rPr>
            </w:pPr>
            <w:r>
              <w:rPr>
                <w:rFonts w:hint="eastAsia"/>
                <w:color w:val="auto"/>
              </w:rPr>
              <w:t>本项目</w:t>
            </w:r>
            <w:r>
              <w:rPr>
                <w:rFonts w:hint="eastAsia"/>
                <w:color w:val="auto"/>
                <w:lang w:val="en-US" w:eastAsia="zh-CN"/>
              </w:rPr>
              <w:t>采用溶剂法</w:t>
            </w:r>
            <w:r>
              <w:rPr>
                <w:rFonts w:hint="eastAsia"/>
                <w:color w:val="auto"/>
              </w:rPr>
              <w:t>以</w:t>
            </w:r>
            <w:r>
              <w:rPr>
                <w:rFonts w:hint="eastAsia"/>
                <w:color w:val="auto"/>
                <w:lang w:val="en-US" w:eastAsia="zh-CN"/>
              </w:rPr>
              <w:t>废旧棉纺织品</w:t>
            </w:r>
            <w:r>
              <w:rPr>
                <w:rFonts w:hint="eastAsia"/>
                <w:color w:val="auto"/>
              </w:rPr>
              <w:t>为原料生产纤维素纤维</w:t>
            </w:r>
          </w:p>
        </w:tc>
        <w:tc>
          <w:tcPr>
            <w:tcW w:w="985" w:type="dxa"/>
            <w:vMerge w:val="restart"/>
            <w:vAlign w:val="center"/>
          </w:tcPr>
          <w:p w14:paraId="535C9965">
            <w:pPr>
              <w:pStyle w:val="182"/>
              <w:bidi w:val="0"/>
              <w:rPr>
                <w:color w:val="auto"/>
              </w:rPr>
            </w:pPr>
            <w:r>
              <w:rPr>
                <w:rFonts w:hint="eastAsia"/>
                <w:color w:val="auto"/>
              </w:rPr>
              <w:t>不属于淘汰类</w:t>
            </w:r>
          </w:p>
        </w:tc>
      </w:tr>
      <w:tr w14:paraId="4C995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2B649D39">
            <w:pPr>
              <w:pStyle w:val="182"/>
              <w:bidi w:val="0"/>
              <w:rPr>
                <w:color w:val="auto"/>
              </w:rPr>
            </w:pPr>
            <w:r>
              <w:rPr>
                <w:rFonts w:hint="eastAsia"/>
                <w:color w:val="auto"/>
              </w:rPr>
              <w:t>淘汰类（落后</w:t>
            </w:r>
            <w:r>
              <w:rPr>
                <w:rFonts w:hint="eastAsia"/>
                <w:color w:val="auto"/>
                <w:lang w:eastAsia="zh-CN"/>
              </w:rPr>
              <w:t>产能</w:t>
            </w:r>
            <w:r>
              <w:rPr>
                <w:rFonts w:hint="eastAsia"/>
                <w:color w:val="auto"/>
              </w:rPr>
              <w:t>淘汰类品）</w:t>
            </w:r>
          </w:p>
        </w:tc>
        <w:tc>
          <w:tcPr>
            <w:tcW w:w="1276" w:type="dxa"/>
            <w:vAlign w:val="center"/>
          </w:tcPr>
          <w:p w14:paraId="0304E025">
            <w:pPr>
              <w:pStyle w:val="182"/>
              <w:bidi w:val="0"/>
              <w:rPr>
                <w:color w:val="auto"/>
              </w:rPr>
            </w:pPr>
            <w:r>
              <w:rPr>
                <w:rFonts w:hint="eastAsia"/>
                <w:color w:val="auto"/>
              </w:rPr>
              <w:t>/</w:t>
            </w:r>
          </w:p>
        </w:tc>
        <w:tc>
          <w:tcPr>
            <w:tcW w:w="3544" w:type="dxa"/>
            <w:vAlign w:val="center"/>
          </w:tcPr>
          <w:p w14:paraId="61346436">
            <w:pPr>
              <w:pStyle w:val="182"/>
              <w:bidi w:val="0"/>
              <w:rPr>
                <w:color w:val="auto"/>
              </w:rPr>
            </w:pPr>
            <w:r>
              <w:rPr>
                <w:rFonts w:hint="eastAsia"/>
                <w:color w:val="auto"/>
              </w:rPr>
              <w:t>/</w:t>
            </w:r>
          </w:p>
        </w:tc>
        <w:tc>
          <w:tcPr>
            <w:tcW w:w="1276" w:type="dxa"/>
            <w:vAlign w:val="center"/>
          </w:tcPr>
          <w:p w14:paraId="0884BE5D">
            <w:pPr>
              <w:pStyle w:val="182"/>
              <w:bidi w:val="0"/>
              <w:rPr>
                <w:rFonts w:hint="eastAsia" w:eastAsia="宋体"/>
                <w:color w:val="auto"/>
                <w:lang w:val="en-US" w:eastAsia="zh-CN"/>
              </w:rPr>
            </w:pPr>
            <w:r>
              <w:rPr>
                <w:rFonts w:hint="eastAsia"/>
                <w:color w:val="auto"/>
                <w:lang w:val="en-US" w:eastAsia="zh-CN"/>
              </w:rPr>
              <w:t>/</w:t>
            </w:r>
          </w:p>
        </w:tc>
        <w:tc>
          <w:tcPr>
            <w:tcW w:w="985" w:type="dxa"/>
            <w:vMerge w:val="continue"/>
            <w:vAlign w:val="center"/>
          </w:tcPr>
          <w:p w14:paraId="792C9D90">
            <w:pPr>
              <w:pStyle w:val="182"/>
              <w:bidi w:val="0"/>
              <w:rPr>
                <w:color w:val="auto"/>
              </w:rPr>
            </w:pPr>
          </w:p>
        </w:tc>
      </w:tr>
    </w:tbl>
    <w:p w14:paraId="3811DC3F">
      <w:pPr>
        <w:bidi w:val="0"/>
        <w:rPr>
          <w:color w:val="auto"/>
        </w:rPr>
      </w:pPr>
      <w:r>
        <w:rPr>
          <w:rFonts w:hint="eastAsia"/>
          <w:color w:val="auto"/>
        </w:rPr>
        <w:t>由上述分析可知，该项目原料、设备、工艺、规模、产品均不属于限制类或淘汰</w:t>
      </w:r>
      <w:r>
        <w:rPr>
          <w:rFonts w:hint="eastAsia"/>
          <w:color w:val="auto"/>
          <w:lang w:eastAsia="zh-CN"/>
        </w:rPr>
        <w:t>类</w:t>
      </w:r>
      <w:r>
        <w:rPr>
          <w:rFonts w:hint="eastAsia"/>
          <w:color w:val="auto"/>
        </w:rPr>
        <w:t>别，符合国家产业政策要求。</w:t>
      </w:r>
    </w:p>
    <w:p w14:paraId="25225A0C">
      <w:pPr>
        <w:bidi w:val="0"/>
        <w:rPr>
          <w:color w:val="auto"/>
        </w:rPr>
      </w:pPr>
      <w:r>
        <w:rPr>
          <w:rFonts w:hint="eastAsia"/>
          <w:color w:val="auto"/>
        </w:rPr>
        <w:t>本项目已经在</w:t>
      </w:r>
      <w:r>
        <w:rPr>
          <w:rFonts w:hint="eastAsia"/>
          <w:color w:val="auto"/>
          <w:lang w:val="en-US" w:eastAsia="zh-CN"/>
        </w:rPr>
        <w:t>新乡经济技术开发管理委员会</w:t>
      </w:r>
      <w:r>
        <w:rPr>
          <w:rFonts w:hint="eastAsia"/>
          <w:color w:val="auto"/>
        </w:rPr>
        <w:t>，项目代码为：</w:t>
      </w:r>
      <w:r>
        <w:rPr>
          <w:rFonts w:hint="eastAsia"/>
          <w:color w:val="auto"/>
          <w:lang w:val="en-US" w:eastAsia="zh-CN"/>
        </w:rPr>
        <w:t>2403</w:t>
      </w:r>
      <w:r>
        <w:rPr>
          <w:color w:val="auto"/>
        </w:rPr>
        <w:t>-410772-04-02-</w:t>
      </w:r>
      <w:r>
        <w:rPr>
          <w:rFonts w:hint="eastAsia"/>
          <w:color w:val="auto"/>
          <w:lang w:val="en-US" w:eastAsia="zh-CN"/>
        </w:rPr>
        <w:t>585568</w:t>
      </w:r>
      <w:r>
        <w:rPr>
          <w:rFonts w:hint="eastAsia"/>
          <w:color w:val="auto"/>
        </w:rPr>
        <w:t>。</w:t>
      </w:r>
    </w:p>
    <w:p w14:paraId="167E3967">
      <w:pPr>
        <w:bidi w:val="0"/>
        <w:rPr>
          <w:rFonts w:hint="eastAsia" w:ascii="Times New Roman" w:hAnsi="Times New Roman"/>
          <w:color w:val="000000"/>
          <w:sz w:val="24"/>
        </w:rPr>
      </w:pPr>
      <w:r>
        <w:rPr>
          <w:rFonts w:hint="eastAsia" w:ascii="Times New Roman" w:hAnsi="Times New Roman"/>
          <w:color w:val="000000"/>
          <w:sz w:val="24"/>
        </w:rPr>
        <w:t>（2）规划相符性</w:t>
      </w:r>
    </w:p>
    <w:p w14:paraId="020673BE">
      <w:pPr>
        <w:bidi w:val="0"/>
        <w:rPr>
          <w:rFonts w:hint="eastAsia" w:ascii="Times New Roman" w:hAnsi="Times New Roman"/>
          <w:color w:val="000000"/>
          <w:sz w:val="24"/>
        </w:rPr>
      </w:pPr>
      <w:r>
        <w:rPr>
          <w:rFonts w:hint="eastAsia" w:ascii="Times New Roman" w:hAnsi="Times New Roman"/>
          <w:color w:val="000000"/>
          <w:sz w:val="24"/>
        </w:rPr>
        <w:t>根据《新乡经济技术开发区发展规划（2009-2020）》，项目所在开发区主导产业为：化纤纺织、汽车及零部件和装备制造产业，本项目属于化学纤维制造业，符合主导产业定位及布局要求，符合开发区发展规划。</w:t>
      </w:r>
    </w:p>
    <w:p w14:paraId="4138E3A1">
      <w:pPr>
        <w:bidi w:val="0"/>
        <w:rPr>
          <w:rFonts w:hint="eastAsia" w:ascii="Times New Roman" w:hAnsi="Times New Roman"/>
          <w:color w:val="000000"/>
          <w:sz w:val="24"/>
        </w:rPr>
      </w:pPr>
      <w:r>
        <w:rPr>
          <w:rFonts w:hint="eastAsia" w:ascii="Times New Roman" w:hAnsi="Times New Roman"/>
          <w:color w:val="000000"/>
          <w:sz w:val="24"/>
        </w:rPr>
        <w:t>《新乡工业产业集聚区发展规划环境影响报告书》于2011年1月取得河南省环保厅的批复（豫环审[2011]2号）。《新乡经济技术开发区发展规划（2009-2020）环境影响跟踪评价报告书》于2020年6月取得河南省生态环境厅的审核意见（豫环函〔2020〕105号），跟踪评价给出了园区后续规划实施的产业发展负面清单和环境准入要求。本项目符合规划环评提出的准入条件要求，详见表2.</w:t>
      </w:r>
      <w:r>
        <w:rPr>
          <w:rFonts w:hint="eastAsia"/>
          <w:color w:val="000000"/>
          <w:sz w:val="24"/>
          <w:lang w:val="en-US" w:eastAsia="zh-CN"/>
        </w:rPr>
        <w:t>9</w:t>
      </w:r>
      <w:r>
        <w:rPr>
          <w:rFonts w:hint="eastAsia" w:ascii="Times New Roman" w:hAnsi="Times New Roman"/>
          <w:color w:val="000000"/>
          <w:sz w:val="24"/>
        </w:rPr>
        <w:t>-1。</w:t>
      </w:r>
    </w:p>
    <w:p w14:paraId="76B0A590">
      <w:pPr>
        <w:bidi w:val="0"/>
        <w:rPr>
          <w:rFonts w:hint="eastAsia" w:ascii="Times New Roman" w:hAnsi="Times New Roman"/>
          <w:color w:val="000000"/>
          <w:sz w:val="24"/>
        </w:rPr>
      </w:pPr>
      <w:r>
        <w:rPr>
          <w:rFonts w:hint="eastAsia" w:ascii="Times New Roman" w:hAnsi="Times New Roman"/>
          <w:color w:val="000000"/>
          <w:sz w:val="24"/>
        </w:rPr>
        <w:t>（3）三线一单相符性</w:t>
      </w:r>
    </w:p>
    <w:p w14:paraId="4400391A">
      <w:pPr>
        <w:bidi w:val="0"/>
        <w:rPr>
          <w:rFonts w:hint="eastAsia" w:ascii="Times New Roman" w:hAnsi="Times New Roman"/>
          <w:color w:val="000000"/>
          <w:sz w:val="24"/>
        </w:rPr>
      </w:pPr>
      <w:r>
        <w:rPr>
          <w:rFonts w:hint="eastAsia" w:ascii="Times New Roman" w:hAnsi="Times New Roman"/>
          <w:color w:val="000000"/>
          <w:sz w:val="24"/>
        </w:rPr>
        <w:t>①生态红线</w:t>
      </w:r>
    </w:p>
    <w:p w14:paraId="002D6C54">
      <w:pPr>
        <w:bidi w:val="0"/>
        <w:rPr>
          <w:rFonts w:hint="eastAsia" w:ascii="Times New Roman" w:hAnsi="Times New Roman"/>
          <w:color w:val="000000"/>
          <w:sz w:val="24"/>
        </w:rPr>
      </w:pPr>
      <w:r>
        <w:rPr>
          <w:rFonts w:hint="eastAsia" w:ascii="Times New Roman" w:hAnsi="Times New Roman"/>
          <w:color w:val="000000"/>
          <w:sz w:val="24"/>
        </w:rPr>
        <w:t>本项目位于新乡经济技术开发区，属于重点管控单元，详见图1.</w:t>
      </w:r>
      <w:r>
        <w:rPr>
          <w:rFonts w:hint="eastAsia"/>
          <w:color w:val="000000"/>
          <w:sz w:val="24"/>
          <w:lang w:val="en-US" w:eastAsia="zh-CN"/>
        </w:rPr>
        <w:t>5</w:t>
      </w:r>
      <w:r>
        <w:rPr>
          <w:rFonts w:hint="eastAsia" w:ascii="Times New Roman" w:hAnsi="Times New Roman"/>
          <w:color w:val="000000"/>
          <w:sz w:val="24"/>
        </w:rPr>
        <w:t>-1。</w:t>
      </w:r>
    </w:p>
    <w:p w14:paraId="7A8724C7">
      <w:pPr>
        <w:bidi w:val="0"/>
        <w:rPr>
          <w:rFonts w:hint="eastAsia" w:ascii="Times New Roman" w:hAnsi="Times New Roman" w:eastAsia="宋体"/>
          <w:color w:val="000000"/>
          <w:sz w:val="24"/>
          <w:lang w:eastAsia="zh-CN"/>
        </w:rPr>
      </w:pPr>
      <w:r>
        <w:rPr>
          <w:rFonts w:hint="eastAsia" w:ascii="Times New Roman" w:hAnsi="Times New Roman"/>
          <w:color w:val="000000"/>
          <w:sz w:val="24"/>
        </w:rPr>
        <w:t>根据项目选址及行业类别在河南省三线一单综合信息应用平台进行研判，研判结果显示本项目无空间冲突，距离该项目最近的生态保护红线是河南省新乡市延津县生态保护红线，距离约</w:t>
      </w:r>
      <w:r>
        <w:rPr>
          <w:rFonts w:hint="eastAsia"/>
          <w:color w:val="000000"/>
          <w:sz w:val="24"/>
          <w:lang w:val="en-US" w:eastAsia="zh-CN"/>
        </w:rPr>
        <w:t>4.345</w:t>
      </w:r>
      <w:r>
        <w:rPr>
          <w:rFonts w:hint="eastAsia" w:ascii="Times New Roman" w:hAnsi="Times New Roman"/>
          <w:color w:val="000000"/>
          <w:sz w:val="24"/>
        </w:rPr>
        <w:t>km，项目评价范围内无森林公园、风景名胜区、湿地公园、自然保护区</w:t>
      </w:r>
      <w:r>
        <w:rPr>
          <w:rFonts w:hint="eastAsia"/>
          <w:color w:val="000000"/>
          <w:sz w:val="24"/>
          <w:lang w:eastAsia="zh-CN"/>
        </w:rPr>
        <w:t>。</w:t>
      </w:r>
    </w:p>
    <w:p w14:paraId="7B9AB6B3">
      <w:pPr>
        <w:spacing w:line="540" w:lineRule="exact"/>
        <w:ind w:firstLine="480"/>
        <w:rPr>
          <w:rFonts w:ascii="Times New Roman" w:hAnsi="Times New Roman"/>
          <w:sz w:val="24"/>
        </w:rPr>
        <w:sectPr>
          <w:footerReference r:id="rId7" w:type="default"/>
          <w:pgSz w:w="11906" w:h="16838"/>
          <w:pgMar w:top="1440" w:right="1800" w:bottom="1440" w:left="1800" w:header="850" w:footer="850" w:gutter="0"/>
          <w:pgNumType w:fmt="decimal" w:start="1"/>
          <w:cols w:space="720" w:num="1"/>
          <w:docGrid w:linePitch="312" w:charSpace="0"/>
        </w:sectPr>
      </w:pPr>
    </w:p>
    <w:p w14:paraId="270E35CE">
      <w:pPr>
        <w:ind w:left="0" w:leftChars="0" w:firstLine="0" w:firstLineChars="0"/>
        <w:jc w:val="both"/>
      </w:pPr>
      <w:r>
        <w:pict>
          <v:shape id="矩形标注 3" o:spid="_x0000_s2537" o:spt="61" type="#_x0000_t61" style="position:absolute;left:0pt;margin-left:476.15pt;margin-top:212.25pt;height:23.05pt;width:64.05pt;z-index:251726848;v-text-anchor:middle;mso-width-relative:margin;mso-height-relative:margin;" fillcolor="#FFFFFF" filled="t" stroked="t" insetpen="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" adj="-11762,46855">
            <v:path/>
            <v:fill on="t" color2="#FFFFFF" focussize="0,0"/>
            <v:stroke color="#000000" joinstyle="miter"/>
            <v:imagedata o:title=""/>
            <o:lock v:ext="edit" aspectratio="f"/>
            <v:textbox>
              <w:txbxContent>
                <w:p w14:paraId="192CAC8D">
                  <w:pPr>
                    <w:keepNext w:val="0"/>
                    <w:keepLines w:val="0"/>
                    <w:pageBreakBefore w:val="0"/>
                    <w:widowControl w:val="0"/>
                    <w:kinsoku/>
                    <w:wordWrap/>
                    <w:overflowPunct/>
                    <w:topLinePunct w:val="0"/>
                    <w:bidi w:val="0"/>
                    <w:adjustRightInd w:val="0"/>
                    <w:snapToGrid w:val="0"/>
                    <w:ind w:firstLine="0" w:firstLineChars="0"/>
                    <w:jc w:val="both"/>
                    <w:textAlignment w:val="auto"/>
                    <w:rPr>
                      <w:b/>
                      <w:color w:val="000000"/>
                    </w:rPr>
                  </w:pPr>
                  <w:r>
                    <w:rPr>
                      <w:rFonts w:hint="eastAsia"/>
                      <w:b/>
                      <w:color w:val="000000"/>
                    </w:rPr>
                    <w:t>本项目</w:t>
                  </w:r>
                </w:p>
              </w:txbxContent>
            </v:textbox>
          </v:shape>
        </w:pict>
      </w:r>
      <w:r>
        <w:drawing>
          <wp:inline distT="0" distB="0" distL="114300" distR="114300">
            <wp:extent cx="8101330" cy="5427345"/>
            <wp:effectExtent l="0" t="0" r="13970" b="19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1"/>
                    <a:stretch>
                      <a:fillRect/>
                    </a:stretch>
                  </pic:blipFill>
                  <pic:spPr>
                    <a:xfrm>
                      <a:off x="0" y="0"/>
                      <a:ext cx="8101330" cy="5427345"/>
                    </a:xfrm>
                    <a:prstGeom prst="rect">
                      <a:avLst/>
                    </a:prstGeom>
                    <a:noFill/>
                    <a:ln>
                      <a:noFill/>
                    </a:ln>
                  </pic:spPr>
                </pic:pic>
              </a:graphicData>
            </a:graphic>
          </wp:inline>
        </w:drawing>
      </w:r>
    </w:p>
    <w:p w14:paraId="692074A8">
      <w:pPr>
        <w:pStyle w:val="181"/>
        <w:bidi w:val="0"/>
        <w:rPr>
          <w:rFonts w:hint="eastAsia"/>
          <w:u w:val="single"/>
        </w:rPr>
      </w:pPr>
      <w:r>
        <w:rPr>
          <w:rFonts w:hint="eastAsia"/>
          <w:u w:val="single"/>
        </w:rPr>
        <w:t xml:space="preserve">图 </w:t>
      </w:r>
      <w:r>
        <w:rPr>
          <w:u w:val="single"/>
        </w:rPr>
        <w:fldChar w:fldCharType="begin"/>
      </w:r>
      <w:r>
        <w:rPr>
          <w:u w:val="single"/>
        </w:rPr>
        <w:instrText xml:space="preserve"> </w:instrText>
      </w:r>
      <w:r>
        <w:rPr>
          <w:rFonts w:hint="eastAsia"/>
          <w:u w:val="single"/>
        </w:rPr>
        <w:instrText xml:space="preserve">STYLEREF 2 \s</w:instrText>
      </w:r>
      <w:r>
        <w:rPr>
          <w:u w:val="single"/>
        </w:rPr>
        <w:instrText xml:space="preserve"> </w:instrText>
      </w:r>
      <w:r>
        <w:rPr>
          <w:u w:val="single"/>
        </w:rPr>
        <w:fldChar w:fldCharType="separate"/>
      </w:r>
      <w:r>
        <w:rPr>
          <w:rFonts w:hint="eastAsia"/>
          <w:u w:val="single"/>
        </w:rPr>
        <w:t>1.5</w:t>
      </w:r>
      <w:r>
        <w:rPr>
          <w:u w:val="single"/>
        </w:rPr>
        <w:fldChar w:fldCharType="end"/>
      </w:r>
      <w:r>
        <w:rPr>
          <w:u w:val="single"/>
        </w:rPr>
        <w:noBreakHyphen/>
      </w:r>
      <w:r>
        <w:rPr>
          <w:u w:val="single"/>
        </w:rPr>
        <w:fldChar w:fldCharType="begin"/>
      </w:r>
      <w:r>
        <w:rPr>
          <w:u w:val="single"/>
        </w:rPr>
        <w:instrText xml:space="preserve"> </w:instrText>
      </w:r>
      <w:r>
        <w:rPr>
          <w:rFonts w:hint="eastAsia"/>
          <w:u w:val="single"/>
        </w:rPr>
        <w:instrText xml:space="preserve">SEQ 图 \* ARABIC \s 2</w:instrText>
      </w:r>
      <w:r>
        <w:rPr>
          <w:u w:val="single"/>
        </w:rPr>
        <w:instrText xml:space="preserve"> </w:instrText>
      </w:r>
      <w:r>
        <w:rPr>
          <w:u w:val="single"/>
        </w:rPr>
        <w:fldChar w:fldCharType="separate"/>
      </w:r>
      <w:r>
        <w:rPr>
          <w:rFonts w:hint="eastAsia"/>
          <w:u w:val="single"/>
        </w:rPr>
        <w:t>1</w:t>
      </w:r>
      <w:r>
        <w:rPr>
          <w:u w:val="single"/>
        </w:rPr>
        <w:fldChar w:fldCharType="end"/>
      </w:r>
      <w:r>
        <w:rPr>
          <w:rFonts w:hint="eastAsia"/>
          <w:u w:val="single"/>
        </w:rPr>
        <w:t xml:space="preserve"> 项目所在管控单元</w:t>
      </w:r>
    </w:p>
    <w:p w14:paraId="181BCEC5">
      <w:pPr>
        <w:bidi w:val="0"/>
        <w:rPr>
          <w:rFonts w:hint="eastAsia"/>
        </w:rPr>
        <w:sectPr>
          <w:pgSz w:w="16838" w:h="11906" w:orient="landscape"/>
          <w:pgMar w:top="1440" w:right="1800" w:bottom="1440" w:left="1800" w:header="850" w:footer="850" w:gutter="0"/>
          <w:pgNumType w:fmt="decimal"/>
          <w:cols w:space="720" w:num="1"/>
          <w:docGrid w:linePitch="312" w:charSpace="0"/>
        </w:sectPr>
      </w:pPr>
    </w:p>
    <w:p w14:paraId="333AFCF2">
      <w:pPr>
        <w:spacing w:line="540" w:lineRule="exact"/>
        <w:ind w:firstLine="480"/>
        <w:rPr>
          <w:rFonts w:cs="宋体"/>
          <w:sz w:val="24"/>
        </w:rPr>
      </w:pPr>
      <w:r>
        <w:rPr>
          <w:rFonts w:hint="eastAsia" w:cs="宋体"/>
          <w:sz w:val="24"/>
        </w:rPr>
        <w:t>②环境质量底线</w:t>
      </w:r>
    </w:p>
    <w:p w14:paraId="5BA34A0E">
      <w:pPr>
        <w:spacing w:line="540" w:lineRule="exact"/>
        <w:ind w:firstLine="480"/>
        <w:rPr>
          <w:rFonts w:cs="宋体"/>
          <w:sz w:val="24"/>
        </w:rPr>
      </w:pPr>
      <w:r>
        <w:rPr>
          <w:rFonts w:hint="eastAsia" w:cs="宋体"/>
          <w:sz w:val="24"/>
        </w:rPr>
        <w:t>本项目废气、废水、噪声经治理后均达标排放，且重点污染物均实行区域倍量替代，故项目实施不会导致区域环境质量恶化。</w:t>
      </w:r>
    </w:p>
    <w:p w14:paraId="2F5FE523">
      <w:pPr>
        <w:spacing w:line="540" w:lineRule="exact"/>
        <w:ind w:firstLine="480"/>
        <w:rPr>
          <w:rFonts w:cs="宋体"/>
          <w:sz w:val="24"/>
        </w:rPr>
      </w:pPr>
      <w:r>
        <w:rPr>
          <w:rFonts w:hint="eastAsia" w:cs="宋体"/>
          <w:sz w:val="24"/>
        </w:rPr>
        <w:t>③资源利用上线相符性</w:t>
      </w:r>
    </w:p>
    <w:p w14:paraId="0032D87C">
      <w:pPr>
        <w:spacing w:line="540" w:lineRule="exact"/>
        <w:ind w:firstLine="480"/>
        <w:rPr>
          <w:rFonts w:cs="宋体"/>
          <w:sz w:val="24"/>
        </w:rPr>
      </w:pPr>
      <w:r>
        <w:rPr>
          <w:rFonts w:hint="eastAsia" w:cs="宋体"/>
          <w:sz w:val="24"/>
        </w:rPr>
        <w:t>本项目用水及用电由开发区统一供给，用汽依托厂区在建燃煤锅炉。项目建成运行后通过内部管理、设备选择、原辅材料的选用和管理、废物回收利用、污染治理等多方面采取合理可行的措施，项目的实施不会突破区域的资源利用上线。</w:t>
      </w:r>
    </w:p>
    <w:p w14:paraId="5760A492">
      <w:pPr>
        <w:spacing w:line="540" w:lineRule="exact"/>
        <w:ind w:firstLine="480"/>
        <w:rPr>
          <w:rFonts w:cs="宋体"/>
          <w:sz w:val="24"/>
        </w:rPr>
      </w:pPr>
      <w:r>
        <w:rPr>
          <w:rFonts w:hint="eastAsia" w:cs="宋体"/>
          <w:sz w:val="24"/>
        </w:rPr>
        <w:t>④生态环境准入清单</w:t>
      </w:r>
    </w:p>
    <w:p w14:paraId="42B0168D">
      <w:pPr>
        <w:spacing w:line="540" w:lineRule="exact"/>
        <w:ind w:firstLine="480"/>
        <w:rPr>
          <w:rFonts w:hint="eastAsia" w:ascii="Times New Roman" w:hAnsi="Times New Roman"/>
          <w:sz w:val="24"/>
        </w:rPr>
      </w:pPr>
      <w:r>
        <w:rPr>
          <w:rFonts w:hint="eastAsia" w:ascii="Times New Roman" w:hAnsi="Times New Roman"/>
          <w:sz w:val="24"/>
        </w:rPr>
        <w:t>本项目位于新乡市经济技术开发区，属于重点管控单元。</w:t>
      </w:r>
      <w:r>
        <w:rPr>
          <w:rFonts w:hint="eastAsia" w:cs="宋体"/>
          <w:sz w:val="24"/>
        </w:rPr>
        <w:t>符合《河南省生态环境分区管控总体要求》（</w:t>
      </w:r>
      <w:r>
        <w:rPr>
          <w:rFonts w:cs="宋体"/>
          <w:sz w:val="24"/>
        </w:rPr>
        <w:t>2023 年版）及</w:t>
      </w:r>
      <w:r>
        <w:rPr>
          <w:rFonts w:hint="eastAsia" w:cs="宋体"/>
          <w:sz w:val="24"/>
        </w:rPr>
        <w:t>《新乡市“三</w:t>
      </w:r>
      <w:r>
        <w:rPr>
          <w:rFonts w:ascii="Times New Roman" w:hAnsi="Times New Roman"/>
          <w:sz w:val="24"/>
        </w:rPr>
        <w:t>线一单”生态环境准入清单》（2023年）的要求，</w:t>
      </w:r>
      <w:r>
        <w:rPr>
          <w:rFonts w:ascii="Times New Roman" w:hAnsi="Times New Roman"/>
          <w:b w:val="0"/>
          <w:bCs/>
          <w:sz w:val="24"/>
          <w:u w:val="none"/>
        </w:rPr>
        <w:t>项目</w:t>
      </w:r>
      <w:r>
        <w:rPr>
          <w:rFonts w:hint="eastAsia" w:ascii="Times New Roman" w:hAnsi="Times New Roman"/>
          <w:b w:val="0"/>
          <w:bCs/>
          <w:sz w:val="24"/>
          <w:u w:val="none"/>
        </w:rPr>
        <w:t>与河南省生态环境分区管控总体要求（</w:t>
      </w:r>
      <w:r>
        <w:rPr>
          <w:rFonts w:ascii="Times New Roman" w:hAnsi="Times New Roman"/>
          <w:b w:val="0"/>
          <w:bCs/>
          <w:sz w:val="24"/>
          <w:u w:val="none"/>
        </w:rPr>
        <w:t>2023 年版）相符性分析见表1.5-</w:t>
      </w:r>
      <w:r>
        <w:rPr>
          <w:rFonts w:hint="eastAsia" w:ascii="Times New Roman" w:hAnsi="Times New Roman"/>
          <w:b w:val="0"/>
          <w:bCs/>
          <w:sz w:val="24"/>
          <w:u w:val="none"/>
        </w:rPr>
        <w:t>2~表1.5-4，</w:t>
      </w:r>
      <w:r>
        <w:rPr>
          <w:rFonts w:hint="eastAsia" w:ascii="Times New Roman" w:hAnsi="Times New Roman"/>
          <w:sz w:val="24"/>
        </w:rPr>
        <w:t>新乡市</w:t>
      </w:r>
      <w:r>
        <w:rPr>
          <w:rFonts w:ascii="Times New Roman" w:hAnsi="Times New Roman"/>
          <w:sz w:val="24"/>
        </w:rPr>
        <w:t>“三线一单”总体要求符合性见表1.5-</w:t>
      </w:r>
      <w:r>
        <w:rPr>
          <w:rFonts w:hint="eastAsia" w:ascii="Times New Roman" w:hAnsi="Times New Roman"/>
          <w:sz w:val="24"/>
        </w:rPr>
        <w:t>5</w:t>
      </w:r>
      <w:r>
        <w:rPr>
          <w:rFonts w:ascii="Times New Roman" w:hAnsi="Times New Roman"/>
          <w:sz w:val="24"/>
        </w:rPr>
        <w:t>、与经开区管控要求相符性见表1.5-</w:t>
      </w:r>
      <w:r>
        <w:rPr>
          <w:rFonts w:hint="eastAsia" w:ascii="Times New Roman" w:hAnsi="Times New Roman"/>
          <w:sz w:val="24"/>
        </w:rPr>
        <w:t>6</w:t>
      </w:r>
      <w:r>
        <w:rPr>
          <w:rFonts w:ascii="Times New Roman" w:hAnsi="Times New Roman"/>
          <w:sz w:val="24"/>
        </w:rPr>
        <w:t>：</w:t>
      </w:r>
    </w:p>
    <w:p w14:paraId="18B0E83D">
      <w:pPr>
        <w:pStyle w:val="10"/>
        <w:bidi w:val="0"/>
        <w:rPr>
          <w:rFonts w:hint="eastAsia"/>
        </w:rPr>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rPr>
          <w:rFonts w:hint="eastAsia"/>
        </w:rPr>
        <w:t>1.5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rPr>
          <w:rFonts w:hint="eastAsia"/>
        </w:rPr>
        <w:t>2</w:t>
      </w:r>
      <w:r>
        <w:fldChar w:fldCharType="end"/>
      </w:r>
      <w:r>
        <w:rPr>
          <w:rFonts w:hint="eastAsia"/>
        </w:rPr>
        <w:t xml:space="preserve"> 项目与全省生态环境总体准入要求的相符性分析</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669"/>
        <w:gridCol w:w="5386"/>
        <w:gridCol w:w="1610"/>
      </w:tblGrid>
      <w:tr w14:paraId="43AE0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57" w:type="dxa"/>
            <w:noWrap w:val="0"/>
            <w:vAlign w:val="center"/>
          </w:tcPr>
          <w:p w14:paraId="1B74B8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b/>
                <w:bCs/>
                <w:sz w:val="21"/>
                <w:szCs w:val="21"/>
                <w:u w:val="none"/>
              </w:rPr>
            </w:pPr>
            <w:r>
              <w:rPr>
                <w:rFonts w:hint="eastAsia" w:ascii="Times New Roman" w:hAnsi="Times New Roman"/>
                <w:b/>
                <w:bCs/>
                <w:sz w:val="21"/>
                <w:szCs w:val="21"/>
                <w:u w:val="none"/>
              </w:rPr>
              <w:t>环境管控单元分区</w:t>
            </w:r>
          </w:p>
        </w:tc>
        <w:tc>
          <w:tcPr>
            <w:tcW w:w="669" w:type="dxa"/>
            <w:noWrap w:val="0"/>
            <w:vAlign w:val="center"/>
          </w:tcPr>
          <w:p w14:paraId="5E361F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b/>
                <w:bCs/>
                <w:sz w:val="21"/>
                <w:szCs w:val="21"/>
                <w:u w:val="none"/>
              </w:rPr>
            </w:pPr>
            <w:r>
              <w:rPr>
                <w:rFonts w:hint="eastAsia" w:ascii="Times New Roman" w:hAnsi="Times New Roman"/>
                <w:b/>
                <w:bCs/>
                <w:sz w:val="21"/>
                <w:szCs w:val="21"/>
                <w:u w:val="none"/>
              </w:rPr>
              <w:t>管控类别</w:t>
            </w:r>
          </w:p>
        </w:tc>
        <w:tc>
          <w:tcPr>
            <w:tcW w:w="5386" w:type="dxa"/>
            <w:noWrap w:val="0"/>
            <w:vAlign w:val="center"/>
          </w:tcPr>
          <w:p w14:paraId="158577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sz w:val="21"/>
                <w:szCs w:val="21"/>
                <w:u w:val="none"/>
              </w:rPr>
            </w:pPr>
            <w:r>
              <w:rPr>
                <w:rFonts w:hint="eastAsia"/>
                <w:b/>
                <w:bCs/>
                <w:sz w:val="21"/>
                <w:szCs w:val="21"/>
                <w:u w:val="none"/>
              </w:rPr>
              <w:t>准入要求</w:t>
            </w:r>
          </w:p>
        </w:tc>
        <w:tc>
          <w:tcPr>
            <w:tcW w:w="1610" w:type="dxa"/>
            <w:noWrap w:val="0"/>
            <w:vAlign w:val="center"/>
          </w:tcPr>
          <w:p w14:paraId="4204F2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sz w:val="21"/>
                <w:szCs w:val="21"/>
                <w:u w:val="none"/>
              </w:rPr>
            </w:pPr>
            <w:r>
              <w:rPr>
                <w:b/>
                <w:bCs/>
                <w:sz w:val="21"/>
                <w:szCs w:val="21"/>
                <w:u w:val="none"/>
              </w:rPr>
              <w:t>本项目情况</w:t>
            </w:r>
          </w:p>
        </w:tc>
      </w:tr>
      <w:tr w14:paraId="091F4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7" w:type="dxa"/>
            <w:noWrap w:val="0"/>
            <w:vAlign w:val="center"/>
          </w:tcPr>
          <w:p w14:paraId="680FE8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hint="eastAsia" w:ascii="Times New Roman" w:hAnsi="Times New Roman"/>
                <w:b w:val="0"/>
                <w:bCs w:val="0"/>
                <w:sz w:val="21"/>
                <w:szCs w:val="21"/>
                <w:u w:val="none"/>
              </w:rPr>
              <w:t>重点管控单元</w:t>
            </w:r>
          </w:p>
        </w:tc>
        <w:tc>
          <w:tcPr>
            <w:tcW w:w="669" w:type="dxa"/>
            <w:noWrap w:val="0"/>
            <w:vAlign w:val="center"/>
          </w:tcPr>
          <w:p w14:paraId="3F6A10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空间布局</w:t>
            </w:r>
          </w:p>
          <w:p w14:paraId="5D6741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约束</w:t>
            </w:r>
          </w:p>
        </w:tc>
        <w:tc>
          <w:tcPr>
            <w:tcW w:w="5386" w:type="dxa"/>
            <w:noWrap w:val="0"/>
            <w:vAlign w:val="center"/>
          </w:tcPr>
          <w:p w14:paraId="14E193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1. 根据国家产业政策、区域定位及环境特征等，建立差别化的产业准入要求，鼓励建</w:t>
            </w:r>
            <w:r>
              <w:rPr>
                <w:rFonts w:hint="eastAsia" w:ascii="Times New Roman" w:hAnsi="Times New Roman"/>
                <w:b w:val="0"/>
                <w:bCs w:val="0"/>
                <w:sz w:val="21"/>
                <w:szCs w:val="21"/>
                <w:u w:val="none"/>
              </w:rPr>
              <w:t>设符合规划环评的项目。</w:t>
            </w:r>
          </w:p>
          <w:p w14:paraId="6F273C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2. 推行绿色制造，支持创建绿色工厂、绿色园区、绿色供应链。</w:t>
            </w:r>
          </w:p>
          <w:p w14:paraId="022D7D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3. 推进新建石化化工项目向资源环境优势基地集中，引导化工项目进区入园，促进高</w:t>
            </w:r>
            <w:r>
              <w:rPr>
                <w:rFonts w:hint="eastAsia" w:ascii="Times New Roman" w:hAnsi="Times New Roman"/>
                <w:b w:val="0"/>
                <w:bCs w:val="0"/>
                <w:sz w:val="21"/>
                <w:szCs w:val="21"/>
                <w:u w:val="none"/>
              </w:rPr>
              <w:t>水平集聚发展。</w:t>
            </w:r>
          </w:p>
          <w:p w14:paraId="5790AC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4. 强化环境准入约束，坚决遏制“两高一低”项目盲目发展，对不符合规定的项目坚决</w:t>
            </w:r>
            <w:r>
              <w:rPr>
                <w:rFonts w:hint="eastAsia" w:ascii="Times New Roman" w:hAnsi="Times New Roman"/>
                <w:b w:val="0"/>
                <w:bCs w:val="0"/>
                <w:sz w:val="21"/>
                <w:szCs w:val="21"/>
                <w:u w:val="none"/>
              </w:rPr>
              <w:t>停批停建。</w:t>
            </w:r>
          </w:p>
          <w:p w14:paraId="68FA16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5. 涉及产能置换的项目，被置换产能及其配套设施关停后，新建项目方可投产。</w:t>
            </w:r>
          </w:p>
          <w:p w14:paraId="21A795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6. 加快城市建成区内重污染企业就地改造、退城入园、转型转产或关闭退出。</w:t>
            </w:r>
          </w:p>
          <w:p w14:paraId="283DD5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7. 将土壤环境要求纳入国土空间规划，根据土壤污染状况和风险合理规划土地用途。</w:t>
            </w:r>
            <w:r>
              <w:rPr>
                <w:rFonts w:hint="eastAsia" w:ascii="Times New Roman" w:hAnsi="Times New Roman"/>
                <w:b w:val="0"/>
                <w:bCs w:val="0"/>
                <w:sz w:val="21"/>
                <w:szCs w:val="21"/>
                <w:u w:val="none"/>
              </w:rPr>
              <w:t>对列入建设用地土壤污染风险管控和修复名录的地块，不得作为住宅、公共管理与公共服务用地；不得办理土地征收、回购、收购、土地供应以及改变土地用途等手续。</w:t>
            </w:r>
          </w:p>
          <w:p w14:paraId="3BCE43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8. 在集中供热管网覆盖地区，禁止新建、扩建分散燃煤供热锅炉。</w:t>
            </w:r>
          </w:p>
        </w:tc>
        <w:tc>
          <w:tcPr>
            <w:tcW w:w="1610" w:type="dxa"/>
            <w:noWrap w:val="0"/>
            <w:vAlign w:val="center"/>
          </w:tcPr>
          <w:p w14:paraId="1ED45A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ascii="Times New Roman" w:hAnsi="Times New Roman"/>
                <w:b w:val="0"/>
                <w:bCs w:val="0"/>
                <w:sz w:val="21"/>
                <w:szCs w:val="21"/>
                <w:u w:val="none"/>
              </w:rPr>
              <w:t>本项目</w:t>
            </w:r>
            <w:r>
              <w:rPr>
                <w:rFonts w:hint="eastAsia" w:ascii="Times New Roman" w:hAnsi="Times New Roman"/>
                <w:b w:val="0"/>
                <w:bCs w:val="0"/>
                <w:sz w:val="21"/>
                <w:szCs w:val="21"/>
                <w:u w:val="none"/>
              </w:rPr>
              <w:t>化学纤维制造业，符合</w:t>
            </w:r>
            <w:r>
              <w:rPr>
                <w:rFonts w:ascii="Times New Roman" w:hAnsi="Times New Roman"/>
                <w:b w:val="0"/>
                <w:bCs w:val="0"/>
                <w:sz w:val="21"/>
                <w:szCs w:val="21"/>
                <w:u w:val="none"/>
              </w:rPr>
              <w:t>新乡市经济技术开发区主导产业布局，符合准入条件。</w:t>
            </w:r>
          </w:p>
          <w:p w14:paraId="77F6C0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hint="eastAsia" w:ascii="Times New Roman" w:hAnsi="Times New Roman"/>
                <w:b w:val="0"/>
                <w:bCs w:val="0"/>
                <w:sz w:val="21"/>
                <w:szCs w:val="21"/>
                <w:u w:val="none"/>
              </w:rPr>
              <w:t>本项目不属于两高项目。</w:t>
            </w:r>
          </w:p>
          <w:p w14:paraId="406AF5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hint="eastAsia" w:ascii="Times New Roman" w:hAnsi="Times New Roman"/>
                <w:b w:val="0"/>
                <w:bCs w:val="0"/>
                <w:sz w:val="21"/>
                <w:szCs w:val="21"/>
                <w:u w:val="none"/>
              </w:rPr>
              <w:t>本项目用地为工业用地。</w:t>
            </w:r>
          </w:p>
          <w:p w14:paraId="56E0C5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本项目依托现有锅炉供热。</w:t>
            </w:r>
          </w:p>
        </w:tc>
      </w:tr>
    </w:tbl>
    <w:p w14:paraId="27D36E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sectPr>
          <w:footerReference r:id="rId8" w:type="default"/>
          <w:pgSz w:w="11910" w:h="16850"/>
          <w:pgMar w:top="1440" w:right="1800" w:bottom="1440" w:left="1800" w:header="884" w:footer="1033" w:gutter="0"/>
          <w:pgBorders>
            <w:top w:val="none" w:sz="0" w:space="0"/>
            <w:left w:val="none" w:sz="0" w:space="0"/>
            <w:bottom w:val="none" w:sz="0" w:space="0"/>
            <w:right w:val="none" w:sz="0" w:space="0"/>
          </w:pgBorders>
          <w:pgNumType w:fmt="decimal" w:chapSep="emDash"/>
          <w:cols w:space="720" w:num="1"/>
        </w:sectPr>
      </w:pP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669"/>
        <w:gridCol w:w="5386"/>
        <w:gridCol w:w="1610"/>
      </w:tblGrid>
      <w:tr w14:paraId="3843B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7" w:type="dxa"/>
            <w:vMerge w:val="restart"/>
            <w:noWrap w:val="0"/>
            <w:vAlign w:val="center"/>
          </w:tcPr>
          <w:p w14:paraId="7A88E5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p>
        </w:tc>
        <w:tc>
          <w:tcPr>
            <w:tcW w:w="669" w:type="dxa"/>
            <w:noWrap w:val="0"/>
            <w:vAlign w:val="center"/>
          </w:tcPr>
          <w:p w14:paraId="6726BF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污染物排放管控</w:t>
            </w:r>
          </w:p>
        </w:tc>
        <w:tc>
          <w:tcPr>
            <w:tcW w:w="5386" w:type="dxa"/>
            <w:noWrap w:val="0"/>
            <w:vAlign w:val="center"/>
          </w:tcPr>
          <w:p w14:paraId="232C20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1. 重点行业建设项目应满足区域、流域控制单元环境质量改善目标管理要求。</w:t>
            </w:r>
          </w:p>
          <w:p w14:paraId="1E6EDD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2. 强化项目环评及“三同时”管理。新建、扩建“两高”项目应采用先进的工艺技术和装</w:t>
            </w:r>
            <w:r>
              <w:rPr>
                <w:rFonts w:hint="eastAsia" w:ascii="Times New Roman" w:hAnsi="Times New Roman"/>
                <w:b w:val="0"/>
                <w:bCs w:val="0"/>
                <w:sz w:val="21"/>
                <w:szCs w:val="21"/>
                <w:u w:val="none"/>
              </w:rPr>
              <w:t>备，单位产品污染物排放强度应达到清洁生产先进水平，其中，国家、省绩效分级重点</w:t>
            </w:r>
          </w:p>
          <w:p w14:paraId="02D844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行业新建、扩建项目达到</w:t>
            </w:r>
            <w:r>
              <w:rPr>
                <w:rFonts w:ascii="Times New Roman" w:hAnsi="Times New Roman"/>
                <w:b w:val="0"/>
                <w:bCs w:val="0"/>
                <w:sz w:val="21"/>
                <w:szCs w:val="21"/>
                <w:u w:val="none"/>
              </w:rPr>
              <w:t>A 级水平，改建项目达到B 级以上水平。</w:t>
            </w:r>
          </w:p>
          <w:p w14:paraId="6F90EB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3. 以钢铁、焦化、铸造、建材、有色、石化、化工、工业涂装、包装印刷、电镀、制</w:t>
            </w:r>
            <w:r>
              <w:rPr>
                <w:rFonts w:hint="eastAsia" w:ascii="Times New Roman" w:hAnsi="Times New Roman"/>
                <w:b w:val="0"/>
                <w:bCs w:val="0"/>
                <w:sz w:val="21"/>
                <w:szCs w:val="21"/>
                <w:u w:val="none"/>
              </w:rPr>
              <w:t>革、石油开采、造纸、纺织印染、农副食品加工等行业为重点，开展全流程清洁化、循环化、低碳化改造；加快推进钢铁、水泥、焦化行业超低排放改造。</w:t>
            </w:r>
          </w:p>
          <w:p w14:paraId="342949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4. 深入推进低挥发性有机物含量原辅材料源头替代，全面推广使用低挥发性有机物含</w:t>
            </w:r>
            <w:r>
              <w:rPr>
                <w:rFonts w:hint="eastAsia" w:ascii="Times New Roman" w:hAnsi="Times New Roman"/>
                <w:b w:val="0"/>
                <w:bCs w:val="0"/>
                <w:sz w:val="21"/>
                <w:szCs w:val="21"/>
                <w:u w:val="none"/>
              </w:rPr>
              <w:t>量的涂料、油墨、胶粘剂、清洗剂等新兴原辅材料。</w:t>
            </w:r>
          </w:p>
          <w:p w14:paraId="40343E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5. 采矿项目矿井涌水应尽可能回用生产或综合利用，外排矿井涌水应满足受纳水体水</w:t>
            </w:r>
            <w:r>
              <w:rPr>
                <w:rFonts w:hint="eastAsia" w:ascii="Times New Roman" w:hAnsi="Times New Roman"/>
                <w:b w:val="0"/>
                <w:bCs w:val="0"/>
                <w:sz w:val="21"/>
                <w:szCs w:val="21"/>
                <w:u w:val="none"/>
              </w:rPr>
              <w:t>功能区划和控制断面水质要求；选厂的生产废水及初期雨水、矿石及废石场的淋溶水、尾矿库澄清水及渗滤水应收集回用，不外排。</w:t>
            </w:r>
          </w:p>
          <w:p w14:paraId="0E1E93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6. 新建、扩建开发区、工业园区同步规划建设污水收集和集中处理设施，强化工业废</w:t>
            </w:r>
            <w:r>
              <w:rPr>
                <w:rFonts w:hint="eastAsia" w:ascii="Times New Roman" w:hAnsi="Times New Roman"/>
                <w:b w:val="0"/>
                <w:bCs w:val="0"/>
                <w:sz w:val="21"/>
                <w:szCs w:val="21"/>
                <w:u w:val="none"/>
              </w:rPr>
              <w:t>水处理设施运行管理，确保稳定达标排放；按照“减量化、稳定化、无害化、资源化”</w:t>
            </w:r>
          </w:p>
          <w:p w14:paraId="4B13C8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要求，加快城镇污水处理厂污泥处理设施建设，新建污水处理厂必须有明确的污泥处置途径；依法查处取缔非法污泥堆放点，禁止重金属等污染物不达标的污泥进行土地利用。</w:t>
            </w:r>
          </w:p>
          <w:p w14:paraId="129393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7. 鼓励企业采用先进治理技术，打造行业噪声污染治理示范典型。排放噪声的工业企</w:t>
            </w:r>
            <w:r>
              <w:rPr>
                <w:rFonts w:hint="eastAsia" w:ascii="Times New Roman" w:hAnsi="Times New Roman"/>
                <w:b w:val="0"/>
                <w:bCs w:val="0"/>
                <w:sz w:val="21"/>
                <w:szCs w:val="21"/>
                <w:u w:val="none"/>
              </w:rPr>
              <w:t>业应切实采取减振降噪措施，加强厂区内固定设备、运输工具、货物装卸等噪声源管理，同时避免突发噪声扰民。</w:t>
            </w:r>
          </w:p>
        </w:tc>
        <w:tc>
          <w:tcPr>
            <w:tcW w:w="1610" w:type="dxa"/>
            <w:noWrap w:val="0"/>
            <w:vAlign w:val="center"/>
          </w:tcPr>
          <w:p w14:paraId="76F640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hint="eastAsia" w:ascii="Times New Roman" w:hAnsi="Times New Roman"/>
                <w:b w:val="0"/>
                <w:bCs w:val="0"/>
                <w:sz w:val="21"/>
                <w:szCs w:val="21"/>
                <w:u w:val="none"/>
              </w:rPr>
              <w:t>本项目按</w:t>
            </w:r>
            <w:r>
              <w:rPr>
                <w:rFonts w:ascii="Times New Roman" w:hAnsi="Times New Roman"/>
                <w:b w:val="0"/>
                <w:bCs w:val="0"/>
                <w:sz w:val="21"/>
                <w:szCs w:val="21"/>
                <w:u w:val="none"/>
              </w:rPr>
              <w:t>A 级水平建设。现有工程现已达到</w:t>
            </w:r>
            <w:r>
              <w:rPr>
                <w:rFonts w:hint="eastAsia" w:ascii="Times New Roman" w:hAnsi="Times New Roman"/>
                <w:b w:val="0"/>
                <w:bCs w:val="0"/>
                <w:sz w:val="21"/>
                <w:szCs w:val="21"/>
                <w:u w:val="none"/>
              </w:rPr>
              <w:t>B级水平。</w:t>
            </w:r>
          </w:p>
          <w:p w14:paraId="72DEF8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hint="eastAsia" w:ascii="Times New Roman" w:hAnsi="Times New Roman"/>
                <w:b w:val="0"/>
                <w:bCs w:val="0"/>
                <w:sz w:val="21"/>
                <w:szCs w:val="21"/>
                <w:u w:val="none"/>
              </w:rPr>
              <w:t>本项目使用</w:t>
            </w:r>
            <w:r>
              <w:rPr>
                <w:rFonts w:hint="eastAsia" w:ascii="Times New Roman" w:hAnsi="Times New Roman"/>
                <w:b w:val="0"/>
                <w:bCs w:val="0"/>
                <w:sz w:val="21"/>
                <w:szCs w:val="21"/>
                <w:u w:val="none"/>
                <w:lang w:val="en-US" w:eastAsia="zh-CN"/>
              </w:rPr>
              <w:t>DT溶剂、油剂为低挥发性原辅料</w:t>
            </w:r>
            <w:r>
              <w:rPr>
                <w:rFonts w:hint="eastAsia" w:ascii="Times New Roman" w:hAnsi="Times New Roman"/>
                <w:b w:val="0"/>
                <w:bCs w:val="0"/>
                <w:sz w:val="21"/>
                <w:szCs w:val="21"/>
                <w:u w:val="none"/>
              </w:rPr>
              <w:t>。</w:t>
            </w:r>
          </w:p>
          <w:p w14:paraId="147C26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本项目按环评要求采取减振降噪措施。</w:t>
            </w:r>
          </w:p>
        </w:tc>
      </w:tr>
      <w:tr w14:paraId="00135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7" w:type="dxa"/>
            <w:vMerge w:val="continue"/>
            <w:noWrap w:val="0"/>
            <w:vAlign w:val="center"/>
          </w:tcPr>
          <w:p w14:paraId="6900EE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p>
        </w:tc>
        <w:tc>
          <w:tcPr>
            <w:tcW w:w="669" w:type="dxa"/>
            <w:noWrap w:val="0"/>
            <w:vAlign w:val="center"/>
          </w:tcPr>
          <w:p w14:paraId="1001F3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环境风险</w:t>
            </w:r>
          </w:p>
          <w:p w14:paraId="030611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防控</w:t>
            </w:r>
          </w:p>
          <w:p w14:paraId="49AB4B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p>
        </w:tc>
        <w:tc>
          <w:tcPr>
            <w:tcW w:w="5386" w:type="dxa"/>
            <w:noWrap w:val="0"/>
            <w:vAlign w:val="center"/>
          </w:tcPr>
          <w:p w14:paraId="609699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1. 依法推行农用地分类管理制度，强化受污染耕地安全利用和风险管控；用途变更为</w:t>
            </w:r>
            <w:r>
              <w:rPr>
                <w:rFonts w:hint="eastAsia" w:ascii="Times New Roman" w:hAnsi="Times New Roman"/>
                <w:b w:val="0"/>
                <w:bCs w:val="0"/>
                <w:sz w:val="21"/>
                <w:szCs w:val="21"/>
                <w:u w:val="none"/>
              </w:rPr>
              <w:t>住宅、公共管理与公共服务用地及有土壤污染风险的建设用地地块，应当依法开展土壤污染状况调查；污染地块经治理与修复，并符合相应规划用地土壤环境质量要求后，方可进入用地程序；合理规划污染地块土地用途，鼓励农药、化工等行业中重度污染地块优先规划用于拓展生态空间。</w:t>
            </w:r>
          </w:p>
          <w:p w14:paraId="070F02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2. 以涉重涉危及有毒有害等行业企业为重点，加强水环境风险日常监管；推进涉水企</w:t>
            </w:r>
            <w:r>
              <w:rPr>
                <w:rFonts w:hint="eastAsia" w:ascii="Times New Roman" w:hAnsi="Times New Roman"/>
                <w:b w:val="0"/>
                <w:bCs w:val="0"/>
                <w:sz w:val="21"/>
                <w:szCs w:val="21"/>
                <w:u w:val="none"/>
              </w:rPr>
              <w:t>业的环境风险排查整治、风险预防设施设备建设；制定水环境污染事故处置应急预案，加强上下游联防联控，防范跨界水环境风险，提升环境应急处置能力。</w:t>
            </w:r>
          </w:p>
          <w:p w14:paraId="2D1A37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3. 化工园区内涉及有毒有害物质的重点场所或者重点设施设备（特别是地下储罐、管</w:t>
            </w:r>
            <w:r>
              <w:rPr>
                <w:rFonts w:hint="eastAsia" w:ascii="Times New Roman" w:hAnsi="Times New Roman"/>
                <w:b w:val="0"/>
                <w:bCs w:val="0"/>
                <w:sz w:val="21"/>
                <w:szCs w:val="21"/>
                <w:u w:val="none"/>
              </w:rPr>
              <w:t>网等）应进行防渗漏设计和建设，消除土壤和地下水污染隐患；建立完善的生态环境监测监控和风险预警体系，相关监测监控数据应接入地方监测预警系统；建立满足突发环境事件情形下应急处置需求的应急救援体系、预案、平台和专职应急救援队伍，配备符合相关国家标准、行业标准要求的人员和装备。</w:t>
            </w:r>
          </w:p>
        </w:tc>
        <w:tc>
          <w:tcPr>
            <w:tcW w:w="1610" w:type="dxa"/>
            <w:noWrap w:val="0"/>
            <w:vAlign w:val="center"/>
          </w:tcPr>
          <w:p w14:paraId="5DC92E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ascii="Times New Roman" w:hAnsi="Times New Roman"/>
                <w:b w:val="0"/>
                <w:bCs w:val="0"/>
                <w:sz w:val="21"/>
                <w:szCs w:val="21"/>
                <w:u w:val="none"/>
              </w:rPr>
              <w:t>本项目不涉及重金属及有毒有害物质。</w:t>
            </w:r>
          </w:p>
          <w:p w14:paraId="44710B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p>
        </w:tc>
      </w:tr>
      <w:tr w14:paraId="744C1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7" w:type="dxa"/>
            <w:vMerge w:val="continue"/>
            <w:noWrap w:val="0"/>
            <w:vAlign w:val="center"/>
          </w:tcPr>
          <w:p w14:paraId="5C356E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p>
        </w:tc>
        <w:tc>
          <w:tcPr>
            <w:tcW w:w="669" w:type="dxa"/>
            <w:noWrap w:val="0"/>
            <w:vAlign w:val="center"/>
          </w:tcPr>
          <w:p w14:paraId="2704A0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资源利用</w:t>
            </w:r>
          </w:p>
          <w:p w14:paraId="5EC562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效率</w:t>
            </w:r>
          </w:p>
        </w:tc>
        <w:tc>
          <w:tcPr>
            <w:tcW w:w="5386" w:type="dxa"/>
            <w:noWrap w:val="0"/>
            <w:vAlign w:val="center"/>
          </w:tcPr>
          <w:p w14:paraId="4C1D54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1. “十四五”时期，规模以上工业单位增加值能耗下降18%，万元工业增加值用水量下</w:t>
            </w:r>
            <w:r>
              <w:rPr>
                <w:rFonts w:hint="eastAsia" w:ascii="Times New Roman" w:hAnsi="Times New Roman"/>
                <w:b w:val="0"/>
                <w:bCs w:val="0"/>
                <w:sz w:val="21"/>
                <w:szCs w:val="21"/>
                <w:u w:val="none"/>
              </w:rPr>
              <w:t>降</w:t>
            </w:r>
            <w:r>
              <w:rPr>
                <w:rFonts w:ascii="Times New Roman" w:hAnsi="Times New Roman"/>
                <w:b w:val="0"/>
                <w:bCs w:val="0"/>
                <w:sz w:val="21"/>
                <w:szCs w:val="21"/>
                <w:u w:val="none"/>
              </w:rPr>
              <w:t>10%。</w:t>
            </w:r>
          </w:p>
          <w:p w14:paraId="7AF551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2. 新建、扩建“两高”项目单位产品物耗、能耗、水耗等达到清洁生产先进水平。</w:t>
            </w:r>
          </w:p>
          <w:p w14:paraId="7A1BBD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3. 实施重点领域节能降碳改造，到2025 年钢铁、电解铝、水泥、炼油、乙烯、焦化等</w:t>
            </w:r>
            <w:r>
              <w:rPr>
                <w:rFonts w:hint="eastAsia" w:ascii="Times New Roman" w:hAnsi="Times New Roman"/>
                <w:b w:val="0"/>
                <w:bCs w:val="0"/>
                <w:sz w:val="21"/>
                <w:szCs w:val="21"/>
                <w:u w:val="none"/>
              </w:rPr>
              <w:t>重点行业产能达到能效标杆水平的比例超过</w:t>
            </w:r>
            <w:r>
              <w:rPr>
                <w:rFonts w:ascii="Times New Roman" w:hAnsi="Times New Roman"/>
                <w:b w:val="0"/>
                <w:bCs w:val="0"/>
                <w:sz w:val="21"/>
                <w:szCs w:val="21"/>
                <w:u w:val="none"/>
              </w:rPr>
              <w:t>30%，行业整体能效水平明显提升，碳排</w:t>
            </w:r>
          </w:p>
          <w:p w14:paraId="4DD003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放强度明显下降，绿色低碳发展能力显著增强。</w:t>
            </w:r>
          </w:p>
          <w:p w14:paraId="197A3F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4. 对以煤、石油焦、渣油、重油等为燃料的锅炉和工业炉窑，加快使用工业余热、电</w:t>
            </w:r>
            <w:r>
              <w:rPr>
                <w:rFonts w:hint="eastAsia" w:ascii="Times New Roman" w:hAnsi="Times New Roman"/>
                <w:b w:val="0"/>
                <w:bCs w:val="0"/>
                <w:sz w:val="21"/>
                <w:szCs w:val="21"/>
                <w:u w:val="none"/>
              </w:rPr>
              <w:t>厂热力、清洁能源等进行替代。</w:t>
            </w:r>
          </w:p>
          <w:p w14:paraId="7B5292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5. 除应急取（排）水、地下水监测外，在地下水禁采区内，禁止取用地下水；在地下</w:t>
            </w:r>
            <w:r>
              <w:rPr>
                <w:rFonts w:hint="eastAsia" w:ascii="Times New Roman" w:hAnsi="Times New Roman"/>
                <w:b w:val="0"/>
                <w:bCs w:val="0"/>
                <w:sz w:val="21"/>
                <w:szCs w:val="21"/>
                <w:u w:val="none"/>
              </w:rPr>
              <w:t>水限采区内，禁止开凿新的取水井或者增加地下水取水量。</w:t>
            </w:r>
          </w:p>
        </w:tc>
        <w:tc>
          <w:tcPr>
            <w:tcW w:w="1610" w:type="dxa"/>
            <w:noWrap w:val="0"/>
            <w:vAlign w:val="center"/>
          </w:tcPr>
          <w:p w14:paraId="786405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ascii="Times New Roman" w:hAnsi="Times New Roman"/>
                <w:b w:val="0"/>
                <w:bCs w:val="0"/>
                <w:sz w:val="21"/>
                <w:szCs w:val="21"/>
                <w:u w:val="none"/>
              </w:rPr>
              <w:t>本项目不属于两高项目。</w:t>
            </w:r>
          </w:p>
          <w:p w14:paraId="10CDE4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项目</w:t>
            </w:r>
            <w:r>
              <w:rPr>
                <w:rFonts w:hint="eastAsia" w:ascii="Times New Roman" w:hAnsi="Times New Roman"/>
                <w:b w:val="0"/>
                <w:bCs w:val="0"/>
                <w:sz w:val="21"/>
                <w:szCs w:val="21"/>
                <w:u w:val="none"/>
              </w:rPr>
              <w:t>依托现有锅炉供热，由兴鹭水厂集中供水，水源为地表水。</w:t>
            </w:r>
          </w:p>
        </w:tc>
      </w:tr>
    </w:tbl>
    <w:p w14:paraId="3C305D07">
      <w:pPr>
        <w:pStyle w:val="10"/>
        <w:bidi w:val="0"/>
        <w:rPr>
          <w:rFonts w:hint="eastAsia"/>
        </w:rPr>
      </w:pPr>
      <w:r>
        <w:rPr>
          <w:rFonts w:hint="eastAsia"/>
        </w:rPr>
        <w:t>表</w:t>
      </w:r>
      <w:r>
        <w:rPr>
          <w:rFonts w:hint="eastAsia"/>
        </w:rPr>
        <w:fldChar w:fldCharType="begin"/>
      </w:r>
      <w:r>
        <w:rPr>
          <w:rFonts w:hint="eastAsia"/>
        </w:rPr>
        <w:instrText xml:space="preserve"> STYLEREF 2 \s </w:instrText>
      </w:r>
      <w:r>
        <w:rPr>
          <w:rFonts w:hint="eastAsia"/>
        </w:rPr>
        <w:fldChar w:fldCharType="separate"/>
      </w:r>
      <w:r>
        <w:rPr>
          <w:rFonts w:hint="eastAsia"/>
        </w:rPr>
        <w:t>1.5</w:t>
      </w:r>
      <w:r>
        <w:rPr>
          <w:rFonts w:hint="eastAsia"/>
        </w:rPr>
        <w:fldChar w:fldCharType="end"/>
      </w:r>
      <w:r>
        <w:rPr>
          <w:rFonts w:hint="eastAsia"/>
        </w:rPr>
        <w:noBreakHyphen/>
      </w:r>
      <w:r>
        <w:rPr>
          <w:rFonts w:hint="eastAsia"/>
        </w:rPr>
        <w:fldChar w:fldCharType="begin"/>
      </w:r>
      <w:r>
        <w:rPr>
          <w:rFonts w:hint="eastAsia"/>
        </w:rPr>
        <w:instrText xml:space="preserve"> SEQ 表 \* ARABIC \s 2 </w:instrText>
      </w:r>
      <w:r>
        <w:rPr>
          <w:rFonts w:hint="eastAsia"/>
        </w:rPr>
        <w:fldChar w:fldCharType="separate"/>
      </w:r>
      <w:r>
        <w:rPr>
          <w:rFonts w:hint="eastAsia"/>
        </w:rPr>
        <w:t>3</w:t>
      </w:r>
      <w:r>
        <w:rPr>
          <w:rFonts w:hint="eastAsia"/>
        </w:rPr>
        <w:fldChar w:fldCharType="end"/>
      </w:r>
      <w:r>
        <w:rPr>
          <w:rFonts w:hint="eastAsia"/>
        </w:rPr>
        <w:t xml:space="preserve"> 项目与重点区域生态环境管控要求的相符性</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708"/>
        <w:gridCol w:w="5103"/>
        <w:gridCol w:w="1610"/>
      </w:tblGrid>
      <w:tr w14:paraId="1F979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101" w:type="dxa"/>
            <w:noWrap w:val="0"/>
            <w:vAlign w:val="center"/>
          </w:tcPr>
          <w:p w14:paraId="58D30C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b/>
                <w:bCs/>
                <w:sz w:val="21"/>
                <w:szCs w:val="21"/>
                <w:u w:val="none"/>
              </w:rPr>
            </w:pPr>
            <w:r>
              <w:rPr>
                <w:rFonts w:hint="eastAsia" w:ascii="Times New Roman" w:hAnsi="Times New Roman"/>
                <w:b/>
                <w:bCs/>
                <w:sz w:val="21"/>
                <w:szCs w:val="21"/>
                <w:u w:val="none"/>
              </w:rPr>
              <w:t>区域</w:t>
            </w:r>
          </w:p>
        </w:tc>
        <w:tc>
          <w:tcPr>
            <w:tcW w:w="708" w:type="dxa"/>
            <w:noWrap w:val="0"/>
            <w:vAlign w:val="center"/>
          </w:tcPr>
          <w:p w14:paraId="658B61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b/>
                <w:bCs/>
                <w:sz w:val="21"/>
                <w:szCs w:val="21"/>
                <w:u w:val="none"/>
              </w:rPr>
            </w:pPr>
            <w:r>
              <w:rPr>
                <w:rFonts w:hint="eastAsia" w:ascii="Times New Roman" w:hAnsi="Times New Roman"/>
                <w:b/>
                <w:bCs/>
                <w:sz w:val="21"/>
                <w:szCs w:val="21"/>
                <w:u w:val="none"/>
              </w:rPr>
              <w:t>管控类别</w:t>
            </w:r>
          </w:p>
        </w:tc>
        <w:tc>
          <w:tcPr>
            <w:tcW w:w="5103" w:type="dxa"/>
            <w:noWrap w:val="0"/>
            <w:vAlign w:val="center"/>
          </w:tcPr>
          <w:p w14:paraId="02EA29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
                <w:bCs/>
                <w:sz w:val="21"/>
                <w:szCs w:val="21"/>
                <w:u w:val="none"/>
              </w:rPr>
            </w:pPr>
            <w:r>
              <w:rPr>
                <w:rFonts w:ascii="Times New Roman" w:hAnsi="Times New Roman"/>
                <w:b/>
                <w:bCs/>
                <w:sz w:val="21"/>
                <w:szCs w:val="21"/>
                <w:u w:val="none"/>
              </w:rPr>
              <w:t>管控要求</w:t>
            </w:r>
          </w:p>
        </w:tc>
        <w:tc>
          <w:tcPr>
            <w:tcW w:w="1610" w:type="dxa"/>
            <w:noWrap w:val="0"/>
            <w:vAlign w:val="center"/>
          </w:tcPr>
          <w:p w14:paraId="79C58F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
                <w:bCs/>
                <w:sz w:val="21"/>
                <w:szCs w:val="21"/>
                <w:u w:val="none"/>
              </w:rPr>
            </w:pPr>
            <w:r>
              <w:rPr>
                <w:rFonts w:ascii="Times New Roman" w:hAnsi="Times New Roman"/>
                <w:b/>
                <w:bCs/>
                <w:sz w:val="21"/>
                <w:szCs w:val="21"/>
                <w:u w:val="none"/>
              </w:rPr>
              <w:t>本项目情况</w:t>
            </w:r>
          </w:p>
        </w:tc>
      </w:tr>
      <w:tr w14:paraId="6E2BD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1" w:type="dxa"/>
            <w:vMerge w:val="restart"/>
            <w:noWrap w:val="0"/>
            <w:vAlign w:val="center"/>
          </w:tcPr>
          <w:p w14:paraId="6E0989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京津冀及周边地区（郑州、开封、洛阳、平顶山、安阳、</w:t>
            </w:r>
          </w:p>
          <w:p w14:paraId="0939AB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鹤壁、新乡、焦作、濮阳、许昌、漯河、</w:t>
            </w:r>
          </w:p>
          <w:p w14:paraId="71F51B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hint="eastAsia" w:ascii="Times New Roman" w:hAnsi="Times New Roman"/>
                <w:b w:val="0"/>
                <w:bCs w:val="0"/>
                <w:sz w:val="21"/>
                <w:szCs w:val="21"/>
                <w:u w:val="none"/>
              </w:rPr>
              <w:t>三门峡、商丘、周口市以及济源示范区）</w:t>
            </w:r>
          </w:p>
        </w:tc>
        <w:tc>
          <w:tcPr>
            <w:tcW w:w="708" w:type="dxa"/>
            <w:noWrap w:val="0"/>
            <w:vAlign w:val="center"/>
          </w:tcPr>
          <w:p w14:paraId="2A312F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空间布局约束</w:t>
            </w:r>
          </w:p>
        </w:tc>
        <w:tc>
          <w:tcPr>
            <w:tcW w:w="5103" w:type="dxa"/>
            <w:noWrap w:val="0"/>
            <w:vAlign w:val="center"/>
          </w:tcPr>
          <w:p w14:paraId="6B0F73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1.坚决遏制“两高”项目盲目发展，落实《中共河南省委河南省人民政府关于深入打</w:t>
            </w:r>
            <w:r>
              <w:rPr>
                <w:rFonts w:hint="eastAsia" w:ascii="Times New Roman" w:hAnsi="Times New Roman"/>
                <w:b w:val="0"/>
                <w:bCs w:val="0"/>
                <w:sz w:val="21"/>
                <w:szCs w:val="21"/>
                <w:u w:val="none"/>
              </w:rPr>
              <w:t>好污染防治攻坚战的实施意见》中关于空间布局约束的相关要求。</w:t>
            </w:r>
          </w:p>
          <w:p w14:paraId="1FA7C5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2.严控磷铵、电石、黄磷等行业新增产能，禁止新建用汞的（聚）氯乙烯产能，加快</w:t>
            </w:r>
            <w:r>
              <w:rPr>
                <w:rFonts w:hint="eastAsia" w:ascii="Times New Roman" w:hAnsi="Times New Roman"/>
                <w:b w:val="0"/>
                <w:bCs w:val="0"/>
                <w:sz w:val="21"/>
                <w:szCs w:val="21"/>
                <w:u w:val="none"/>
              </w:rPr>
              <w:t>低效落后产能退出。</w:t>
            </w:r>
          </w:p>
          <w:p w14:paraId="0A88F9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3.原则上禁止新建企业自备燃煤机组，有序关停整合30万千瓦以上热电联产机组供热</w:t>
            </w:r>
            <w:r>
              <w:rPr>
                <w:rFonts w:hint="eastAsia" w:ascii="Times New Roman" w:hAnsi="Times New Roman"/>
                <w:b w:val="0"/>
                <w:bCs w:val="0"/>
                <w:sz w:val="21"/>
                <w:szCs w:val="21"/>
                <w:u w:val="none"/>
              </w:rPr>
              <w:t>合理半径范围内的落后燃煤小热电机组（含自备电厂）。</w:t>
            </w:r>
          </w:p>
          <w:p w14:paraId="3A3BF7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4.优化危险化学品生产布局，禁止在化工园区外新建、扩建危险化学品生产项目。新</w:t>
            </w:r>
            <w:r>
              <w:rPr>
                <w:rFonts w:hint="eastAsia" w:ascii="Times New Roman" w:hAnsi="Times New Roman"/>
                <w:b w:val="0"/>
                <w:bCs w:val="0"/>
                <w:sz w:val="21"/>
                <w:szCs w:val="21"/>
                <w:u w:val="none"/>
              </w:rPr>
              <w:t>建危险化学品生产项目必须进入通过认定的一般或较低安全风险的化工园区（与其他行业生产装置配套建设的项目除外）。</w:t>
            </w:r>
          </w:p>
          <w:p w14:paraId="713B79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5.新建、扩建石化项目不得位于黄河干支流岸线管控范围内等法律法规明令禁止的区</w:t>
            </w:r>
            <w:r>
              <w:rPr>
                <w:rFonts w:hint="eastAsia" w:ascii="Times New Roman" w:hAnsi="Times New Roman"/>
                <w:b w:val="0"/>
                <w:bCs w:val="0"/>
                <w:sz w:val="21"/>
                <w:szCs w:val="21"/>
                <w:u w:val="none"/>
              </w:rPr>
              <w:t>域，尽可能远离居民集中区、医院、学校等环境敏感区。</w:t>
            </w:r>
          </w:p>
          <w:p w14:paraId="51D1E9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6.严格采矿权准入管理，新建露天矿山项目原则上必须位于省级矿产资源规划划定的</w:t>
            </w:r>
            <w:r>
              <w:rPr>
                <w:rFonts w:hint="eastAsia" w:ascii="Times New Roman" w:hAnsi="Times New Roman"/>
                <w:b w:val="0"/>
                <w:bCs w:val="0"/>
                <w:sz w:val="21"/>
                <w:szCs w:val="21"/>
                <w:u w:val="none"/>
              </w:rPr>
              <w:t>重点开采区内，鼓励集中连片规模化开发。</w:t>
            </w:r>
          </w:p>
        </w:tc>
        <w:tc>
          <w:tcPr>
            <w:tcW w:w="1610" w:type="dxa"/>
            <w:noWrap w:val="0"/>
            <w:vAlign w:val="center"/>
          </w:tcPr>
          <w:p w14:paraId="2198A5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b w:val="0"/>
                <w:bCs w:val="0"/>
                <w:sz w:val="21"/>
                <w:szCs w:val="21"/>
                <w:u w:val="none"/>
              </w:rPr>
            </w:pPr>
            <w:r>
              <w:rPr>
                <w:rFonts w:ascii="Times New Roman" w:hAnsi="Times New Roman"/>
                <w:b w:val="0"/>
                <w:bCs w:val="0"/>
                <w:sz w:val="21"/>
                <w:szCs w:val="21"/>
                <w:u w:val="none"/>
              </w:rPr>
              <w:t>不涉及</w:t>
            </w:r>
          </w:p>
          <w:p w14:paraId="37D539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p>
        </w:tc>
      </w:tr>
      <w:tr w14:paraId="34263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1" w:type="dxa"/>
            <w:vMerge w:val="continue"/>
            <w:noWrap w:val="0"/>
            <w:vAlign w:val="center"/>
          </w:tcPr>
          <w:p w14:paraId="5B62E1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p>
        </w:tc>
        <w:tc>
          <w:tcPr>
            <w:tcW w:w="708" w:type="dxa"/>
            <w:noWrap w:val="0"/>
            <w:vAlign w:val="center"/>
          </w:tcPr>
          <w:p w14:paraId="1FABDF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污染物排放管控</w:t>
            </w:r>
          </w:p>
        </w:tc>
        <w:tc>
          <w:tcPr>
            <w:tcW w:w="5103" w:type="dxa"/>
            <w:noWrap w:val="0"/>
            <w:vAlign w:val="center"/>
          </w:tcPr>
          <w:p w14:paraId="496204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1.落实超低排放要求、无组织排放特别控制要求。</w:t>
            </w:r>
          </w:p>
          <w:p w14:paraId="1266C4A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2.聚焦夏秋季臭氧污染，推进挥发性有机物和氮氧化物协同减排。以石化、化工、涂</w:t>
            </w:r>
            <w:r>
              <w:rPr>
                <w:rFonts w:hint="eastAsia" w:ascii="Times New Roman" w:hAnsi="Times New Roman"/>
                <w:b w:val="0"/>
                <w:bCs w:val="0"/>
                <w:sz w:val="21"/>
                <w:szCs w:val="21"/>
                <w:u w:val="none"/>
              </w:rPr>
              <w:t>装、医药、包装印刷、油品储运销等行业领域为重点，推进挥发性有机物综合治理，实施原辅材料和产品源头替代工程。</w:t>
            </w:r>
          </w:p>
          <w:p w14:paraId="3792CB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3.全面淘汰国三及以下排放标准营运中重型柴油货车；推进大宗货物“公转铁”“公转水”。</w:t>
            </w:r>
          </w:p>
          <w:p w14:paraId="2BD2E7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4.全面推广绿色化工制造技术，实现化工原料和反应介质、生产工艺和制造过程绿色</w:t>
            </w:r>
            <w:r>
              <w:rPr>
                <w:rFonts w:hint="eastAsia" w:ascii="Times New Roman" w:hAnsi="Times New Roman"/>
                <w:b w:val="0"/>
                <w:bCs w:val="0"/>
                <w:sz w:val="21"/>
                <w:szCs w:val="21"/>
                <w:u w:val="none"/>
              </w:rPr>
              <w:t>化，从源头上控制和减少污染。</w:t>
            </w:r>
          </w:p>
          <w:p w14:paraId="595E65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5.推行农业绿色生产方式，协同推进种植业、养殖业节能减排与污染治理；推广生物</w:t>
            </w:r>
            <w:r>
              <w:rPr>
                <w:rFonts w:hint="eastAsia" w:ascii="Times New Roman" w:hAnsi="Times New Roman"/>
                <w:b w:val="0"/>
                <w:bCs w:val="0"/>
                <w:sz w:val="21"/>
                <w:szCs w:val="21"/>
                <w:u w:val="none"/>
              </w:rPr>
              <w:t>质能、太阳能等绿色用能模式，加快农业及农产品加工设施等可再生能源替代。</w:t>
            </w:r>
          </w:p>
        </w:tc>
        <w:tc>
          <w:tcPr>
            <w:tcW w:w="1610" w:type="dxa"/>
            <w:noWrap w:val="0"/>
            <w:vAlign w:val="center"/>
          </w:tcPr>
          <w:p w14:paraId="774B3A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ascii="Times New Roman" w:hAnsi="Times New Roman"/>
                <w:b w:val="0"/>
                <w:bCs w:val="0"/>
                <w:sz w:val="21"/>
                <w:szCs w:val="21"/>
                <w:u w:val="none"/>
              </w:rPr>
              <w:t>项目依托供热锅炉达到超低排放要求。</w:t>
            </w:r>
          </w:p>
          <w:p w14:paraId="69C519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p>
        </w:tc>
      </w:tr>
      <w:tr w14:paraId="65F42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1" w:type="dxa"/>
            <w:vMerge w:val="continue"/>
            <w:noWrap w:val="0"/>
            <w:vAlign w:val="center"/>
          </w:tcPr>
          <w:p w14:paraId="0C3CEA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p>
        </w:tc>
        <w:tc>
          <w:tcPr>
            <w:tcW w:w="708" w:type="dxa"/>
            <w:noWrap w:val="0"/>
            <w:vAlign w:val="center"/>
          </w:tcPr>
          <w:p w14:paraId="3778BF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环境风险</w:t>
            </w:r>
          </w:p>
          <w:p w14:paraId="60D8D5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防控</w:t>
            </w:r>
          </w:p>
        </w:tc>
        <w:tc>
          <w:tcPr>
            <w:tcW w:w="5103" w:type="dxa"/>
            <w:noWrap w:val="0"/>
            <w:vAlign w:val="center"/>
          </w:tcPr>
          <w:p w14:paraId="2B7B32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1.对无法实现低VOCs原辅材料替代的工序，在保证安全情况下，应在密闭设备、密</w:t>
            </w:r>
            <w:r>
              <w:rPr>
                <w:rFonts w:hint="eastAsia" w:ascii="Times New Roman" w:hAnsi="Times New Roman"/>
                <w:b w:val="0"/>
                <w:bCs w:val="0"/>
                <w:sz w:val="21"/>
                <w:szCs w:val="21"/>
                <w:u w:val="none"/>
              </w:rPr>
              <w:t>闭空间作业或安装二次密闭设施。</w:t>
            </w:r>
          </w:p>
          <w:p w14:paraId="498982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2.矿山开采、选矿、运输过程中，应采取相应的防尘措施，化学矿、有色金属矿石及</w:t>
            </w:r>
            <w:r>
              <w:rPr>
                <w:rFonts w:hint="eastAsia" w:ascii="Times New Roman" w:hAnsi="Times New Roman"/>
                <w:b w:val="0"/>
                <w:bCs w:val="0"/>
                <w:sz w:val="21"/>
                <w:szCs w:val="21"/>
                <w:u w:val="none"/>
              </w:rPr>
              <w:t>产品堆场应采取“三防”措施。</w:t>
            </w:r>
          </w:p>
          <w:p w14:paraId="7E2CFF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3.加强空气质量预测预报能力，完善联动应急响应体系，强化区域联防联控。</w:t>
            </w:r>
          </w:p>
        </w:tc>
        <w:tc>
          <w:tcPr>
            <w:tcW w:w="1610" w:type="dxa"/>
            <w:noWrap w:val="0"/>
            <w:vAlign w:val="center"/>
          </w:tcPr>
          <w:p w14:paraId="24E594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本项目使用</w:t>
            </w:r>
            <w:r>
              <w:rPr>
                <w:rFonts w:hint="eastAsia" w:ascii="Times New Roman" w:hAnsi="Times New Roman"/>
                <w:b w:val="0"/>
                <w:bCs w:val="0"/>
                <w:sz w:val="21"/>
                <w:szCs w:val="21"/>
                <w:u w:val="none"/>
                <w:lang w:val="en-US" w:eastAsia="zh-CN"/>
              </w:rPr>
              <w:t>DT溶剂、油剂为低挥发性原辅料</w:t>
            </w:r>
            <w:r>
              <w:rPr>
                <w:rFonts w:hint="eastAsia" w:ascii="Times New Roman" w:hAnsi="Times New Roman"/>
                <w:b w:val="0"/>
                <w:bCs w:val="0"/>
                <w:sz w:val="21"/>
                <w:szCs w:val="21"/>
                <w:u w:val="none"/>
              </w:rPr>
              <w:t>。</w:t>
            </w:r>
          </w:p>
        </w:tc>
      </w:tr>
      <w:tr w14:paraId="4E899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1" w:type="dxa"/>
            <w:vMerge w:val="continue"/>
            <w:noWrap w:val="0"/>
            <w:vAlign w:val="center"/>
          </w:tcPr>
          <w:p w14:paraId="238983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p>
        </w:tc>
        <w:tc>
          <w:tcPr>
            <w:tcW w:w="708" w:type="dxa"/>
            <w:noWrap w:val="0"/>
            <w:vAlign w:val="center"/>
          </w:tcPr>
          <w:p w14:paraId="04A525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资源利用</w:t>
            </w:r>
          </w:p>
          <w:p w14:paraId="4D0D52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效率</w:t>
            </w:r>
          </w:p>
        </w:tc>
        <w:tc>
          <w:tcPr>
            <w:tcW w:w="5103" w:type="dxa"/>
            <w:noWrap w:val="0"/>
            <w:vAlign w:val="center"/>
          </w:tcPr>
          <w:p w14:paraId="1DB738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1.严格合理控制煤炭消费，“十四五”期间完成省定煤炭消费总量控制目标。</w:t>
            </w:r>
          </w:p>
          <w:p w14:paraId="1F7D38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2.到2025年，吨钢综合能耗达到国内先进水平。</w:t>
            </w:r>
          </w:p>
          <w:p w14:paraId="4694DA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3.到2025年，钢铁、石化化工、有色金属、建材等行业重点产品能效达到国际先进水</w:t>
            </w:r>
            <w:r>
              <w:rPr>
                <w:rFonts w:hint="eastAsia" w:ascii="Times New Roman" w:hAnsi="Times New Roman"/>
                <w:b w:val="0"/>
                <w:bCs w:val="0"/>
                <w:sz w:val="21"/>
                <w:szCs w:val="21"/>
                <w:u w:val="none"/>
              </w:rPr>
              <w:t>平，规模以上工业单位增加值能耗比</w:t>
            </w:r>
            <w:r>
              <w:rPr>
                <w:rFonts w:ascii="Times New Roman" w:hAnsi="Times New Roman"/>
                <w:b w:val="0"/>
                <w:bCs w:val="0"/>
                <w:sz w:val="21"/>
                <w:szCs w:val="21"/>
                <w:u w:val="none"/>
              </w:rPr>
              <w:t>2020年下降13.5%。</w:t>
            </w:r>
          </w:p>
        </w:tc>
        <w:tc>
          <w:tcPr>
            <w:tcW w:w="1610" w:type="dxa"/>
            <w:noWrap w:val="0"/>
            <w:vAlign w:val="center"/>
          </w:tcPr>
          <w:p w14:paraId="28D9D7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 w:val="0"/>
                <w:bCs w:val="0"/>
                <w:sz w:val="21"/>
                <w:szCs w:val="21"/>
                <w:u w:val="none"/>
              </w:rPr>
            </w:pPr>
            <w:r>
              <w:rPr>
                <w:rFonts w:ascii="Times New Roman" w:hAnsi="Times New Roman"/>
                <w:b w:val="0"/>
                <w:bCs w:val="0"/>
                <w:sz w:val="21"/>
                <w:szCs w:val="21"/>
                <w:u w:val="none"/>
              </w:rPr>
              <w:t>不涉及</w:t>
            </w:r>
          </w:p>
        </w:tc>
      </w:tr>
    </w:tbl>
    <w:p w14:paraId="45F6F288">
      <w:pPr>
        <w:pStyle w:val="10"/>
        <w:bidi w:val="0"/>
        <w:rPr>
          <w:rFonts w:hint="eastAsia"/>
        </w:rPr>
      </w:pPr>
      <w:r>
        <w:rPr>
          <w:rFonts w:hint="eastAsia"/>
        </w:rPr>
        <w:t>表</w:t>
      </w:r>
      <w:r>
        <w:fldChar w:fldCharType="begin"/>
      </w:r>
      <w:r>
        <w:instrText xml:space="preserve"> </w:instrText>
      </w:r>
      <w:r>
        <w:rPr>
          <w:rFonts w:hint="eastAsia"/>
        </w:rPr>
        <w:instrText xml:space="preserve">STYLEREF 2 \s</w:instrText>
      </w:r>
      <w:r>
        <w:instrText xml:space="preserve"> </w:instrText>
      </w:r>
      <w:r>
        <w:fldChar w:fldCharType="separate"/>
      </w:r>
      <w:r>
        <w:rPr>
          <w:rFonts w:hint="eastAsia"/>
        </w:rPr>
        <w:t>1.5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rPr>
          <w:rFonts w:hint="eastAsia"/>
        </w:rPr>
        <w:t>4</w:t>
      </w:r>
      <w:r>
        <w:fldChar w:fldCharType="end"/>
      </w:r>
      <w:r>
        <w:rPr>
          <w:rFonts w:hint="eastAsia"/>
        </w:rPr>
        <w:t xml:space="preserve"> 项目与重点流域生态环境管控要求的相符性</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669"/>
        <w:gridCol w:w="5386"/>
        <w:gridCol w:w="1610"/>
      </w:tblGrid>
      <w:tr w14:paraId="0600C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7" w:type="dxa"/>
            <w:vMerge w:val="restart"/>
            <w:noWrap w:val="0"/>
            <w:vAlign w:val="center"/>
          </w:tcPr>
          <w:p w14:paraId="008294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hint="eastAsia" w:ascii="Times New Roman" w:hAnsi="Times New Roman"/>
                <w:b w:val="0"/>
                <w:bCs w:val="0"/>
                <w:sz w:val="21"/>
                <w:szCs w:val="21"/>
                <w:u w:val="none"/>
              </w:rPr>
              <w:t>省辖黄河流域</w:t>
            </w:r>
          </w:p>
        </w:tc>
        <w:tc>
          <w:tcPr>
            <w:tcW w:w="669" w:type="dxa"/>
            <w:noWrap w:val="0"/>
            <w:vAlign w:val="center"/>
          </w:tcPr>
          <w:p w14:paraId="2F787F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空间布局</w:t>
            </w:r>
          </w:p>
          <w:p w14:paraId="2CD666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约束</w:t>
            </w:r>
          </w:p>
        </w:tc>
        <w:tc>
          <w:tcPr>
            <w:tcW w:w="5386" w:type="dxa"/>
            <w:noWrap w:val="0"/>
            <w:vAlign w:val="center"/>
          </w:tcPr>
          <w:p w14:paraId="1E5711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1. 牢牢把握共同抓好大保护、协同推进大治理的战略导向，对省域范围内需要重点保护</w:t>
            </w:r>
            <w:r>
              <w:rPr>
                <w:rFonts w:hint="eastAsia" w:ascii="Times New Roman" w:hAnsi="Times New Roman"/>
                <w:b w:val="0"/>
                <w:bCs w:val="0"/>
                <w:sz w:val="21"/>
                <w:szCs w:val="21"/>
                <w:u w:val="none"/>
              </w:rPr>
              <w:t>的岸线、河段和区域实行严格管控，严控高污染、高耗能、高耗水项目，属于落后产能的项目坚决淘汰；不符合产业政策、生态环境分区管控方案、规划环评以及能耗、水耗等有关要求的工业项目一律不得批准或备案，推动黄河流域高质量发展。</w:t>
            </w:r>
          </w:p>
          <w:p w14:paraId="364A28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2. 有序规范水电开发；加强水电站下泄生态水量监督，保障重要断面生态需水。</w:t>
            </w:r>
          </w:p>
          <w:p w14:paraId="5397D2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3. 实施滩区国土空间差别化用途管制，严格限制自发修建生产堤等无序活动，依法打击</w:t>
            </w:r>
            <w:r>
              <w:rPr>
                <w:rFonts w:hint="eastAsia" w:ascii="Times New Roman" w:hAnsi="Times New Roman"/>
                <w:b w:val="0"/>
                <w:bCs w:val="0"/>
                <w:sz w:val="21"/>
                <w:szCs w:val="21"/>
                <w:u w:val="none"/>
              </w:rPr>
              <w:t>非法采土、盗挖河砂、私搭乱建等行为。</w:t>
            </w:r>
          </w:p>
          <w:p w14:paraId="641ECE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4. 推进沿黄重点地区拟建工业项目按要求进入合规工业园区。对不符合安全、环保、用</w:t>
            </w:r>
            <w:r>
              <w:rPr>
                <w:rFonts w:hint="eastAsia" w:ascii="Times New Roman" w:hAnsi="Times New Roman"/>
                <w:b w:val="0"/>
                <w:bCs w:val="0"/>
                <w:sz w:val="21"/>
                <w:szCs w:val="21"/>
                <w:u w:val="none"/>
              </w:rPr>
              <w:t>地、取水等规定或手续不齐全的园区，要按相关规定限期整改，整改到位前不得再落地新的工业项目。</w:t>
            </w:r>
          </w:p>
          <w:p w14:paraId="41D792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5. 禁止将黄河湿地保护区域规划为城市建设用地、商业用地、基本农田；禁止在黄河湿</w:t>
            </w:r>
            <w:r>
              <w:rPr>
                <w:rFonts w:hint="eastAsia" w:ascii="Times New Roman" w:hAnsi="Times New Roman"/>
                <w:b w:val="0"/>
                <w:bCs w:val="0"/>
                <w:sz w:val="21"/>
                <w:szCs w:val="21"/>
                <w:u w:val="none"/>
              </w:rPr>
              <w:t>地保护区域内建设居民点、厂房、仓库、餐饮娱乐等设施；禁止其他非防洪防汛和湿地保护的建设活动。</w:t>
            </w:r>
          </w:p>
          <w:p w14:paraId="163F07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6. 禁止在黄河干支流岸线管控范围内新建、扩建化工园区和化工项目；禁止在黄河干流</w:t>
            </w:r>
            <w:r>
              <w:rPr>
                <w:rFonts w:hint="eastAsia" w:ascii="Times New Roman" w:hAnsi="Times New Roman"/>
                <w:b w:val="0"/>
                <w:bCs w:val="0"/>
                <w:sz w:val="21"/>
                <w:szCs w:val="21"/>
                <w:u w:val="none"/>
              </w:rPr>
              <w:t>岸线和重要支流岸线的管控范围内新建、改建、扩建尾矿库，但是以提升安全水平、生态环境保护水平为目的的改建除外。</w:t>
            </w:r>
          </w:p>
          <w:p w14:paraId="3CCB43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7. 严格落实南水北调干渠水源地保护的有关规定，避免水体受到污染。</w:t>
            </w:r>
          </w:p>
        </w:tc>
        <w:tc>
          <w:tcPr>
            <w:tcW w:w="1610" w:type="dxa"/>
            <w:noWrap w:val="0"/>
            <w:vAlign w:val="top"/>
          </w:tcPr>
          <w:p w14:paraId="38E30A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ascii="Times New Roman" w:hAnsi="Times New Roman"/>
                <w:b w:val="0"/>
                <w:bCs w:val="0"/>
                <w:sz w:val="21"/>
                <w:szCs w:val="21"/>
                <w:u w:val="none"/>
              </w:rPr>
              <w:t>本项目为化学纤维制造业，项目使用</w:t>
            </w:r>
            <w:r>
              <w:rPr>
                <w:rFonts w:hint="eastAsia"/>
                <w:color w:val="auto"/>
                <w:sz w:val="21"/>
                <w:szCs w:val="21"/>
                <w:lang w:val="en-US" w:eastAsia="zh-CN"/>
              </w:rPr>
              <w:t>废旧棉纺织品、纤维素浆粕</w:t>
            </w:r>
            <w:r>
              <w:rPr>
                <w:rFonts w:ascii="Times New Roman" w:hAnsi="Times New Roman"/>
                <w:b w:val="0"/>
                <w:bCs w:val="0"/>
                <w:sz w:val="21"/>
                <w:szCs w:val="21"/>
                <w:u w:val="none"/>
              </w:rPr>
              <w:t>生产再生纤维素纤维，属于产业政策中鼓励类。本项目符合园区规划环评准入条件。</w:t>
            </w:r>
          </w:p>
          <w:p w14:paraId="54D3CC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hint="eastAsia" w:ascii="Times New Roman" w:hAnsi="Times New Roman"/>
                <w:b w:val="0"/>
                <w:bCs w:val="0"/>
                <w:sz w:val="21"/>
                <w:szCs w:val="21"/>
                <w:u w:val="none"/>
              </w:rPr>
              <w:t>本项目位于新乡市经济技术开发区，属于合规园区，项目</w:t>
            </w:r>
          </w:p>
          <w:p w14:paraId="4B267C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r>
              <w:rPr>
                <w:rFonts w:ascii="Times New Roman" w:hAnsi="Times New Roman"/>
                <w:b w:val="0"/>
                <w:bCs w:val="0"/>
                <w:sz w:val="21"/>
                <w:szCs w:val="21"/>
                <w:u w:val="none"/>
              </w:rPr>
              <w:t>符合园区生态环境管控方案要求。</w:t>
            </w:r>
          </w:p>
          <w:p w14:paraId="28EE44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p>
          <w:p w14:paraId="442F29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p>
        </w:tc>
      </w:tr>
      <w:tr w14:paraId="00968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7" w:type="dxa"/>
            <w:vMerge w:val="continue"/>
            <w:noWrap w:val="0"/>
            <w:vAlign w:val="center"/>
          </w:tcPr>
          <w:p w14:paraId="17CC18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p>
        </w:tc>
        <w:tc>
          <w:tcPr>
            <w:tcW w:w="669" w:type="dxa"/>
            <w:noWrap w:val="0"/>
            <w:vAlign w:val="center"/>
          </w:tcPr>
          <w:p w14:paraId="131BA2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污染物排放管控</w:t>
            </w:r>
          </w:p>
        </w:tc>
        <w:tc>
          <w:tcPr>
            <w:tcW w:w="5386" w:type="dxa"/>
            <w:noWrap w:val="0"/>
            <w:vAlign w:val="center"/>
          </w:tcPr>
          <w:p w14:paraId="0BD97F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1. 严格执行《河南省黄河流域水污染物排放标准》（DB41/2087-2021）。</w:t>
            </w:r>
          </w:p>
          <w:p w14:paraId="111FD2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2. 因地制宜开展黄河滩区农村生活污水治理，做好农村垃圾污染防治工作；实施大中型</w:t>
            </w:r>
          </w:p>
          <w:p w14:paraId="5D18F1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灌区农田退水污染治理；提升畜禽养殖粪污资源化利用水平；统筹推进农业面源污染、工业污染、城乡生活污染防治和矿区生态环境综合整治。</w:t>
            </w:r>
          </w:p>
        </w:tc>
        <w:tc>
          <w:tcPr>
            <w:tcW w:w="1610" w:type="dxa"/>
            <w:noWrap w:val="0"/>
            <w:vAlign w:val="top"/>
          </w:tcPr>
          <w:p w14:paraId="2129E5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ascii="Times New Roman" w:hAnsi="Times New Roman"/>
                <w:b w:val="0"/>
                <w:bCs w:val="0"/>
                <w:sz w:val="21"/>
                <w:szCs w:val="21"/>
                <w:u w:val="none"/>
              </w:rPr>
            </w:pPr>
            <w:r>
              <w:rPr>
                <w:rFonts w:ascii="Times New Roman" w:hAnsi="Times New Roman"/>
                <w:b w:val="0"/>
                <w:bCs w:val="0"/>
                <w:sz w:val="21"/>
                <w:szCs w:val="21"/>
                <w:u w:val="none"/>
              </w:rPr>
              <w:t>开发区小店污水处理厂排水</w:t>
            </w:r>
            <w:r>
              <w:rPr>
                <w:rFonts w:hint="eastAsia" w:ascii="Times New Roman" w:hAnsi="Times New Roman"/>
                <w:b w:val="0"/>
                <w:bCs w:val="0"/>
                <w:sz w:val="21"/>
                <w:szCs w:val="21"/>
                <w:u w:val="none"/>
              </w:rPr>
              <w:t>COD、氨氮、总磷</w:t>
            </w:r>
            <w:r>
              <w:rPr>
                <w:rFonts w:ascii="Times New Roman" w:hAnsi="Times New Roman"/>
                <w:b w:val="0"/>
                <w:bCs w:val="0"/>
                <w:sz w:val="21"/>
                <w:szCs w:val="21"/>
                <w:u w:val="none"/>
              </w:rPr>
              <w:t>达到《地表水环境质量标准》Ⅴ类水质要求，其它污染物达到《河南省黄河流域水污染物排放标准》要求。</w:t>
            </w:r>
          </w:p>
        </w:tc>
      </w:tr>
      <w:tr w14:paraId="630F7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7" w:type="dxa"/>
            <w:vMerge w:val="continue"/>
            <w:noWrap w:val="0"/>
            <w:vAlign w:val="center"/>
          </w:tcPr>
          <w:p w14:paraId="566511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p>
        </w:tc>
        <w:tc>
          <w:tcPr>
            <w:tcW w:w="669" w:type="dxa"/>
            <w:noWrap w:val="0"/>
            <w:vAlign w:val="center"/>
          </w:tcPr>
          <w:p w14:paraId="5EF0AF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环境风险</w:t>
            </w:r>
          </w:p>
          <w:p w14:paraId="77270A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防控</w:t>
            </w:r>
          </w:p>
        </w:tc>
        <w:tc>
          <w:tcPr>
            <w:tcW w:w="5386" w:type="dxa"/>
            <w:noWrap w:val="0"/>
            <w:vAlign w:val="center"/>
          </w:tcPr>
          <w:p w14:paraId="2EBCA6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全面管控“一废一库一品一重”，强化环境风险源头防控、预警应急及固体废物处理处置，有效防范化解重大生态环境风险，保障生态环境安全。</w:t>
            </w:r>
          </w:p>
        </w:tc>
        <w:tc>
          <w:tcPr>
            <w:tcW w:w="1610" w:type="dxa"/>
            <w:noWrap w:val="0"/>
            <w:vAlign w:val="top"/>
          </w:tcPr>
          <w:p w14:paraId="20C069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项目按要求采取环境风险防控措施。</w:t>
            </w:r>
          </w:p>
        </w:tc>
      </w:tr>
      <w:tr w14:paraId="4BB95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57" w:type="dxa"/>
            <w:vMerge w:val="continue"/>
            <w:noWrap w:val="0"/>
            <w:vAlign w:val="center"/>
          </w:tcPr>
          <w:p w14:paraId="1CF1A7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b w:val="0"/>
                <w:bCs w:val="0"/>
                <w:sz w:val="21"/>
                <w:szCs w:val="21"/>
                <w:u w:val="none"/>
              </w:rPr>
            </w:pPr>
          </w:p>
        </w:tc>
        <w:tc>
          <w:tcPr>
            <w:tcW w:w="669" w:type="dxa"/>
            <w:noWrap w:val="0"/>
            <w:vAlign w:val="center"/>
          </w:tcPr>
          <w:p w14:paraId="2B4FD3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资源利用</w:t>
            </w:r>
          </w:p>
          <w:p w14:paraId="0230D0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hint="eastAsia" w:ascii="Times New Roman" w:hAnsi="Times New Roman"/>
                <w:b w:val="0"/>
                <w:bCs w:val="0"/>
                <w:sz w:val="21"/>
                <w:szCs w:val="21"/>
                <w:u w:val="none"/>
              </w:rPr>
              <w:t>效率</w:t>
            </w:r>
          </w:p>
        </w:tc>
        <w:tc>
          <w:tcPr>
            <w:tcW w:w="5386" w:type="dxa"/>
            <w:noWrap w:val="0"/>
            <w:vAlign w:val="center"/>
          </w:tcPr>
          <w:p w14:paraId="7897B4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1. 加强伊洛河、沁河水资源的统一调度与管理，严格控制区域用水总量，提升水资源利</w:t>
            </w:r>
            <w:r>
              <w:rPr>
                <w:rFonts w:hint="eastAsia" w:ascii="Times New Roman" w:hAnsi="Times New Roman"/>
                <w:b w:val="0"/>
                <w:bCs w:val="0"/>
                <w:sz w:val="21"/>
                <w:szCs w:val="21"/>
                <w:u w:val="none"/>
              </w:rPr>
              <w:t>用效率，保障主要控制断面生态流量。到</w:t>
            </w:r>
            <w:r>
              <w:rPr>
                <w:rFonts w:ascii="Times New Roman" w:hAnsi="Times New Roman"/>
                <w:b w:val="0"/>
                <w:bCs w:val="0"/>
                <w:sz w:val="21"/>
                <w:szCs w:val="21"/>
                <w:u w:val="none"/>
              </w:rPr>
              <w:t>2025 年，黄河干流及主要支流生态流量得到有</w:t>
            </w:r>
            <w:r>
              <w:rPr>
                <w:rFonts w:hint="eastAsia" w:ascii="Times New Roman" w:hAnsi="Times New Roman"/>
                <w:b w:val="0"/>
                <w:bCs w:val="0"/>
                <w:sz w:val="21"/>
                <w:szCs w:val="21"/>
                <w:u w:val="none"/>
              </w:rPr>
              <w:t>效保障。</w:t>
            </w:r>
          </w:p>
          <w:p w14:paraId="0A15A3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2. 在流域及受水区实施深度节水控水行动，加强农业节水增效，加大工业节水减排力度，</w:t>
            </w:r>
            <w:r>
              <w:rPr>
                <w:rFonts w:hint="eastAsia" w:ascii="Times New Roman" w:hAnsi="Times New Roman"/>
                <w:b w:val="0"/>
                <w:bCs w:val="0"/>
                <w:sz w:val="21"/>
                <w:szCs w:val="21"/>
                <w:u w:val="none"/>
              </w:rPr>
              <w:t>深化城乡节水降损，完善农村集中供水和节水配套设施，加强非常规水利用。到</w:t>
            </w:r>
            <w:r>
              <w:rPr>
                <w:rFonts w:ascii="Times New Roman" w:hAnsi="Times New Roman"/>
                <w:b w:val="0"/>
                <w:bCs w:val="0"/>
                <w:sz w:val="21"/>
                <w:szCs w:val="21"/>
                <w:u w:val="none"/>
              </w:rPr>
              <w:t>2025 年，</w:t>
            </w:r>
            <w:r>
              <w:rPr>
                <w:rFonts w:hint="eastAsia" w:ascii="Times New Roman" w:hAnsi="Times New Roman"/>
                <w:b w:val="0"/>
                <w:bCs w:val="0"/>
                <w:sz w:val="21"/>
                <w:szCs w:val="21"/>
                <w:u w:val="none"/>
              </w:rPr>
              <w:t>黄河流域地表水水资源开发利用率小于</w:t>
            </w:r>
            <w:r>
              <w:rPr>
                <w:rFonts w:ascii="Times New Roman" w:hAnsi="Times New Roman"/>
                <w:b w:val="0"/>
                <w:bCs w:val="0"/>
                <w:sz w:val="21"/>
                <w:szCs w:val="21"/>
                <w:u w:val="none"/>
              </w:rPr>
              <w:t>79%，流域内市级缺水城市再生水利用率力争达</w:t>
            </w:r>
            <w:r>
              <w:rPr>
                <w:rFonts w:hint="eastAsia" w:ascii="Times New Roman" w:hAnsi="Times New Roman"/>
                <w:b w:val="0"/>
                <w:bCs w:val="0"/>
                <w:sz w:val="21"/>
                <w:szCs w:val="21"/>
                <w:u w:val="none"/>
              </w:rPr>
              <w:t>到</w:t>
            </w:r>
            <w:r>
              <w:rPr>
                <w:rFonts w:ascii="Times New Roman" w:hAnsi="Times New Roman"/>
                <w:b w:val="0"/>
                <w:bCs w:val="0"/>
                <w:sz w:val="21"/>
                <w:szCs w:val="21"/>
                <w:u w:val="none"/>
              </w:rPr>
              <w:t>30%。</w:t>
            </w:r>
          </w:p>
          <w:p w14:paraId="499B66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b w:val="0"/>
                <w:bCs w:val="0"/>
                <w:sz w:val="21"/>
                <w:szCs w:val="21"/>
                <w:u w:val="none"/>
              </w:rPr>
            </w:pPr>
            <w:r>
              <w:rPr>
                <w:rFonts w:ascii="Times New Roman" w:hAnsi="Times New Roman"/>
                <w:b w:val="0"/>
                <w:bCs w:val="0"/>
                <w:sz w:val="21"/>
                <w:szCs w:val="21"/>
                <w:u w:val="none"/>
              </w:rPr>
              <w:t>3. 推广农业高效节水灌溉和蓄水保水技术，扩大低耗水、高耐旱作物种植和节水型畜牧</w:t>
            </w:r>
            <w:r>
              <w:rPr>
                <w:rFonts w:hint="eastAsia" w:ascii="Times New Roman" w:hAnsi="Times New Roman"/>
                <w:b w:val="0"/>
                <w:bCs w:val="0"/>
                <w:sz w:val="21"/>
                <w:szCs w:val="21"/>
                <w:u w:val="none"/>
              </w:rPr>
              <w:t>渔业养殖比例，引导适水种植、量水生产。</w:t>
            </w:r>
          </w:p>
        </w:tc>
        <w:tc>
          <w:tcPr>
            <w:tcW w:w="1610" w:type="dxa"/>
            <w:noWrap w:val="0"/>
            <w:vAlign w:val="center"/>
          </w:tcPr>
          <w:p w14:paraId="492D56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 w:val="0"/>
                <w:bCs w:val="0"/>
                <w:sz w:val="21"/>
                <w:szCs w:val="21"/>
                <w:u w:val="none"/>
              </w:rPr>
            </w:pPr>
            <w:r>
              <w:rPr>
                <w:rFonts w:ascii="Times New Roman" w:hAnsi="Times New Roman"/>
                <w:b w:val="0"/>
                <w:bCs w:val="0"/>
                <w:sz w:val="21"/>
                <w:szCs w:val="21"/>
                <w:u w:val="none"/>
              </w:rPr>
              <w:t>本项目</w:t>
            </w:r>
            <w:r>
              <w:rPr>
                <w:rFonts w:hint="eastAsia" w:ascii="Times New Roman" w:hAnsi="Times New Roman"/>
                <w:b w:val="0"/>
                <w:bCs w:val="0"/>
                <w:sz w:val="21"/>
                <w:szCs w:val="21"/>
                <w:u w:val="none"/>
                <w:lang w:val="en-US" w:eastAsia="zh-CN"/>
              </w:rPr>
              <w:t>有部分生产废水回用</w:t>
            </w:r>
            <w:r>
              <w:rPr>
                <w:rFonts w:ascii="Times New Roman" w:hAnsi="Times New Roman"/>
                <w:b w:val="0"/>
                <w:bCs w:val="0"/>
                <w:sz w:val="21"/>
                <w:szCs w:val="21"/>
                <w:u w:val="none"/>
              </w:rPr>
              <w:t>，符合节水减排要求。</w:t>
            </w:r>
          </w:p>
        </w:tc>
      </w:tr>
    </w:tbl>
    <w:p w14:paraId="11AB67AD">
      <w:pPr>
        <w:pStyle w:val="10"/>
        <w:bidi w:val="0"/>
        <w:rPr>
          <w:rFonts w:hint="eastAsia"/>
        </w:rPr>
      </w:pPr>
      <w:r>
        <w:rPr>
          <w:rFonts w:hint="eastAsia"/>
        </w:rPr>
        <w:t>表</w:t>
      </w:r>
      <w:r>
        <w:rPr>
          <w:rFonts w:hint="eastAsia"/>
        </w:rPr>
        <w:fldChar w:fldCharType="begin"/>
      </w:r>
      <w:r>
        <w:rPr>
          <w:rFonts w:hint="eastAsia"/>
        </w:rPr>
        <w:instrText xml:space="preserve"> STYLEREF 2 \s </w:instrText>
      </w:r>
      <w:r>
        <w:rPr>
          <w:rFonts w:hint="eastAsia"/>
        </w:rPr>
        <w:fldChar w:fldCharType="separate"/>
      </w:r>
      <w:r>
        <w:rPr>
          <w:rFonts w:hint="eastAsia"/>
        </w:rPr>
        <w:t>1.5</w:t>
      </w:r>
      <w:r>
        <w:rPr>
          <w:rFonts w:hint="eastAsia"/>
        </w:rPr>
        <w:fldChar w:fldCharType="end"/>
      </w:r>
      <w:r>
        <w:rPr>
          <w:rFonts w:hint="eastAsia"/>
        </w:rPr>
        <w:noBreakHyphen/>
      </w:r>
      <w:r>
        <w:rPr>
          <w:rFonts w:hint="eastAsia"/>
        </w:rPr>
        <w:fldChar w:fldCharType="begin"/>
      </w:r>
      <w:r>
        <w:rPr>
          <w:rFonts w:hint="eastAsia"/>
        </w:rPr>
        <w:instrText xml:space="preserve"> SEQ 表 \* ARABIC \s 2 </w:instrText>
      </w:r>
      <w:r>
        <w:rPr>
          <w:rFonts w:hint="eastAsia"/>
        </w:rPr>
        <w:fldChar w:fldCharType="separate"/>
      </w:r>
      <w:r>
        <w:rPr>
          <w:rFonts w:hint="eastAsia"/>
        </w:rPr>
        <w:t>5</w:t>
      </w:r>
      <w:r>
        <w:rPr>
          <w:rFonts w:hint="eastAsia"/>
        </w:rPr>
        <w:fldChar w:fldCharType="end"/>
      </w:r>
      <w:r>
        <w:rPr>
          <w:rFonts w:hint="eastAsia"/>
        </w:rPr>
        <w:t xml:space="preserve"> 项目与新乡市“三线一单”生态环境准入清单总体要求的相符性</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6379"/>
        <w:gridCol w:w="1468"/>
      </w:tblGrid>
      <w:tr w14:paraId="29AF4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675" w:type="dxa"/>
            <w:noWrap w:val="0"/>
            <w:vAlign w:val="center"/>
          </w:tcPr>
          <w:p w14:paraId="20C1AD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b/>
                <w:sz w:val="21"/>
                <w:szCs w:val="21"/>
              </w:rPr>
            </w:pPr>
            <w:r>
              <w:rPr>
                <w:rFonts w:hint="eastAsia" w:ascii="Times New Roman" w:hAnsi="Times New Roman"/>
                <w:b/>
                <w:sz w:val="21"/>
                <w:szCs w:val="21"/>
              </w:rPr>
              <w:t>维度</w:t>
            </w:r>
          </w:p>
        </w:tc>
        <w:tc>
          <w:tcPr>
            <w:tcW w:w="6379" w:type="dxa"/>
            <w:noWrap w:val="0"/>
            <w:vAlign w:val="center"/>
          </w:tcPr>
          <w:p w14:paraId="75B113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b/>
                <w:sz w:val="21"/>
                <w:szCs w:val="21"/>
              </w:rPr>
            </w:pPr>
            <w:r>
              <w:rPr>
                <w:b/>
                <w:bCs/>
                <w:sz w:val="21"/>
                <w:szCs w:val="21"/>
              </w:rPr>
              <w:t>管控要求</w:t>
            </w:r>
          </w:p>
        </w:tc>
        <w:tc>
          <w:tcPr>
            <w:tcW w:w="1468" w:type="dxa"/>
            <w:noWrap w:val="0"/>
            <w:vAlign w:val="center"/>
          </w:tcPr>
          <w:p w14:paraId="1CCE5A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sz w:val="21"/>
                <w:szCs w:val="21"/>
              </w:rPr>
            </w:pPr>
            <w:r>
              <w:rPr>
                <w:b/>
                <w:bCs/>
                <w:sz w:val="21"/>
                <w:szCs w:val="21"/>
              </w:rPr>
              <w:t>相符性</w:t>
            </w:r>
          </w:p>
        </w:tc>
      </w:tr>
      <w:tr w14:paraId="2C383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Merge w:val="restart"/>
            <w:noWrap w:val="0"/>
            <w:vAlign w:val="center"/>
          </w:tcPr>
          <w:p w14:paraId="7B97B4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r>
              <w:rPr>
                <w:rFonts w:hint="eastAsia" w:ascii="Times New Roman" w:hAnsi="Times New Roman"/>
                <w:sz w:val="21"/>
                <w:szCs w:val="21"/>
              </w:rPr>
              <w:t>空间布局约束</w:t>
            </w:r>
          </w:p>
        </w:tc>
        <w:tc>
          <w:tcPr>
            <w:tcW w:w="6379" w:type="dxa"/>
            <w:noWrap w:val="0"/>
            <w:vAlign w:val="center"/>
          </w:tcPr>
          <w:p w14:paraId="79BA49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1.禁止在自然保护区内进行砍伐、放牧、狩猎、捕捞、采药、开垦、烧荒、开矿、采石、挖沙等活动；但是，法律、行政法规另有规定的除外。</w:t>
            </w:r>
          </w:p>
          <w:p w14:paraId="1E5E24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自然保护区核心区内原有居民确有必要迁出的，由自然保护区所在地的地方人民政府予以妥善安置。</w:t>
            </w:r>
          </w:p>
          <w:p w14:paraId="0E466A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从事前款活动的单位和个人，应当将其活动成果的副本提交自然保护区管理机构。</w:t>
            </w:r>
          </w:p>
          <w:p w14:paraId="6425D7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sz w:val="21"/>
                <w:szCs w:val="21"/>
              </w:rPr>
            </w:pPr>
            <w:r>
              <w:rPr>
                <w:rFonts w:hint="eastAsia" w:ascii="Times New Roman" w:hAnsi="Times New Roman"/>
                <w:sz w:val="21"/>
                <w:szCs w:val="21"/>
              </w:rPr>
              <w:t>在自然保护区的核心区和缓冲区内，不得建设任何生产设施。在自然保护区的实验区内，不得建设污染环境、破坏资源或者景观的生产设施；建设其他项目，其污染物排放不得超过国家和地方规定的污染物排放标准。</w:t>
            </w:r>
          </w:p>
        </w:tc>
        <w:tc>
          <w:tcPr>
            <w:tcW w:w="1468" w:type="dxa"/>
            <w:noWrap w:val="0"/>
            <w:vAlign w:val="center"/>
          </w:tcPr>
          <w:p w14:paraId="76BABC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本项目位于新乡经济技术开发区，评价范围不涉及自然保护区</w:t>
            </w:r>
          </w:p>
        </w:tc>
      </w:tr>
      <w:tr w14:paraId="1479C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Merge w:val="continue"/>
            <w:noWrap w:val="0"/>
            <w:vAlign w:val="center"/>
          </w:tcPr>
          <w:p w14:paraId="242B90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p>
        </w:tc>
        <w:tc>
          <w:tcPr>
            <w:tcW w:w="6379" w:type="dxa"/>
            <w:noWrap w:val="0"/>
            <w:vAlign w:val="center"/>
          </w:tcPr>
          <w:p w14:paraId="022737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2.在风景名胜区内禁止进行下列活动：（一）开山、采石、开矿、开荒、修坟立碑等破坏景观、植被和地形地貌的活动；（二）修建储存爆炸性、易燃性、放射性、毒害性、腐蚀性物品的设施；（三）在景物或者设施上刻划、涂污；（四）乱扔垃圾。</w:t>
            </w:r>
          </w:p>
          <w:p w14:paraId="77B9BD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sz w:val="21"/>
                <w:szCs w:val="21"/>
              </w:rPr>
            </w:pPr>
            <w:r>
              <w:rPr>
                <w:rFonts w:hint="eastAsia" w:ascii="Times New Roman" w:hAnsi="Times New Roman"/>
                <w:sz w:val="21"/>
                <w:szCs w:val="21"/>
              </w:rPr>
              <w:t>禁止违反风景名胜区规划，在风景名胜区内设立各类开发区和在核心景区内建设宾馆、招待所、培训中心、疗养院以及与风景名胜资源保护无关的其他建筑物；已经建设的，应当按照风景名胜区规划，逐步迁出。</w:t>
            </w:r>
          </w:p>
        </w:tc>
        <w:tc>
          <w:tcPr>
            <w:tcW w:w="1468" w:type="dxa"/>
            <w:noWrap w:val="0"/>
            <w:vAlign w:val="center"/>
          </w:tcPr>
          <w:p w14:paraId="668934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本项目位于新乡经济技术开发区，评价范围不涉及风景名胜区</w:t>
            </w:r>
          </w:p>
        </w:tc>
      </w:tr>
      <w:tr w14:paraId="02CB6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Merge w:val="continue"/>
            <w:noWrap w:val="0"/>
            <w:vAlign w:val="center"/>
          </w:tcPr>
          <w:p w14:paraId="03F716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p>
        </w:tc>
        <w:tc>
          <w:tcPr>
            <w:tcW w:w="6379" w:type="dxa"/>
            <w:noWrap w:val="0"/>
            <w:vAlign w:val="center"/>
          </w:tcPr>
          <w:p w14:paraId="54D1AE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3.饮用水地表水源各级保护区必须遵守下列规定： 一、禁止一切破坏水环境生态平衡的活动以及破坏水源林、护岸林、与水源保护相关植被的活动； 二、禁止向水域倾倒工业废渣、城市垃圾、粪便及其它废弃物； 三、运输有毒有害物质、油类、粪便的船舶和车辆一般不准进入保护区，必须进入者应事先申请并经有关部门批准、登记并设置防渗、防溢、防漏设施；四、禁止使用剧毒和高残留农药，不得滥用化肥，不得使用炸药、毒品捕杀鱼类。</w:t>
            </w:r>
          </w:p>
          <w:p w14:paraId="5C6A87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一级保护区内禁止新建、扩建与供水设施和保护水源无关的建设项目；禁止向水域排放污水，已设置的排污口必须拆除；不得设置与供水需要无关的码头，禁止停靠船舶；禁止堆置和存放工业废渣、城市垃圾、粪便和其他废弃物；禁止设置油库；禁止从事种植、放养禽畜，严格控制网箱养殖活动；禁止可能污染水源的旅游活动和其他活动。</w:t>
            </w:r>
          </w:p>
          <w:p w14:paraId="700CD8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二级保护区内不准新建、扩建向水体排放污染物的建设项目。改建项目必须削减污染物排放量；原有排污口必须削减污水排放量，保证保护区内水质满足规定的水质标准；禁止设立装卸垃圾、粪便、油类和有毒物品的码头。</w:t>
            </w:r>
          </w:p>
          <w:p w14:paraId="311478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饮用水地下水源各级保护区必须遵守下列规定：</w:t>
            </w:r>
          </w:p>
          <w:p w14:paraId="7A4E34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sz w:val="21"/>
                <w:szCs w:val="21"/>
              </w:rPr>
            </w:pPr>
            <w:r>
              <w:rPr>
                <w:rFonts w:hint="eastAsia" w:ascii="Times New Roman" w:hAnsi="Times New Roman"/>
                <w:sz w:val="21"/>
                <w:szCs w:val="21"/>
              </w:rPr>
              <w:t>一、禁止利用渗坑、渗井、裂隙、溶洞等排放污水和其它有害废弃物；二、禁止利用透水层孔隙、裂隙、溶洞及废弃矿坑储存石油、天然气、放射性物质、有毒有害化工原料、农药等；三、实行人工回灌地下水时不得污染当地地下水源。一级保护区内禁止建设与取水设施无关的建筑物；禁止从事农牧业活动；禁止倾倒、堆放工业废渣及城市垃圾、粪便和其它有害废弃物；禁止输送污水的渠道、管道及输油管道通过本区；禁止建设油库；禁止建立墓地。潜水含水层地下水水源地二级保护区内禁止建设化工、电镀、皮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承压含水层地下水水源地二级保护区内禁止承压水和潜水的混合开采，作好潜水的止水措施。</w:t>
            </w:r>
          </w:p>
        </w:tc>
        <w:tc>
          <w:tcPr>
            <w:tcW w:w="1468" w:type="dxa"/>
            <w:noWrap w:val="0"/>
            <w:vAlign w:val="center"/>
          </w:tcPr>
          <w:p w14:paraId="325B47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本项目位于新乡经济技术开发区，评价范围不涉及饮用水地表水源保护区</w:t>
            </w:r>
          </w:p>
        </w:tc>
      </w:tr>
      <w:tr w14:paraId="7874D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Merge w:val="continue"/>
            <w:noWrap w:val="0"/>
            <w:vAlign w:val="center"/>
          </w:tcPr>
          <w:p w14:paraId="3BE05B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p>
        </w:tc>
        <w:tc>
          <w:tcPr>
            <w:tcW w:w="6379" w:type="dxa"/>
            <w:noWrap w:val="0"/>
            <w:vAlign w:val="center"/>
          </w:tcPr>
          <w:p w14:paraId="3A2C2C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4.按照《河南省南水北调饮用水水源保护条例》（2022年3月1日实施），在南水北调饮用水水源保护范围内，禁止下列行为：向水体排放油类、酸液、碱液或者剧毒废液；在水体清洗装贮过油类或者有毒污染物的车辆和容器；向水体倾倒危险废物、工业固体废物、生活垃圾、建筑垃圾、粪便及其他废弃物；使用剧毒、高残留农药；使用炸药、毒药、电捕杀鱼类和其他生物；破坏水源涵养林以及与水源保护相关的植被；法律、法规禁止的其他行为。</w:t>
            </w:r>
          </w:p>
          <w:p w14:paraId="281808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在准保护区内，除上述禁止的行为以外，还应当禁止下列行为：新建、扩建对水体污染严重的建设项目；改建建设项目增加排污量；设置化工原料、危险废物和易溶性、有毒有害废弃物的暂存及转运站；拦汊筑坝、围网和网箱养殖；法律、法规禁止的其他行为。</w:t>
            </w:r>
          </w:p>
          <w:p w14:paraId="1E21FD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在二级保护区内，除准保护区禁止的行为以外，还应当禁止下列行为：设置排污口；新建、改建、扩建排放污染物的建设项目；开采矿产资源；新铺设输送有毒有害物品的管道；建设畜禽养殖场；使用农药，丢弃农药、农药包装物或者清洗施药器械；建造坟墓；丢弃或者掩埋动物尸体以及含病原体的其他废物；使用不符合国家规定防污条件的运载工具运输油类、粪便及其他有毒有害物品；放生、游泳、垂钓；法律、法规禁止的其他行为。已建成的排放污染物的建设项目，由县级以上人民政府依法拆除或者关闭。</w:t>
            </w:r>
          </w:p>
          <w:p w14:paraId="3DCD9D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在一级保护区内，除二级保护区禁止的行为以外，还应当禁止下列行为：新建、改建、扩建与供水设施和保护水源无关的建设项目；停靠与保护水源无关的船舶；使用化肥；从事旅游或者其他污染饮用水水体的活动。已建成的与供水设施和保护水源无关的建设项目，由县级以上人民政府依法拆除或者关闭。</w:t>
            </w:r>
          </w:p>
        </w:tc>
        <w:tc>
          <w:tcPr>
            <w:tcW w:w="1468" w:type="dxa"/>
            <w:noWrap w:val="0"/>
            <w:vAlign w:val="center"/>
          </w:tcPr>
          <w:p w14:paraId="7F62E3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本项目位于新乡经济技术开发区，评价范围不涉及</w:t>
            </w:r>
            <w:r>
              <w:rPr>
                <w:rFonts w:ascii="Times New Roman" w:hAnsi="Times New Roman"/>
                <w:sz w:val="21"/>
                <w:szCs w:val="21"/>
              </w:rPr>
              <w:t>南水北调饮用水水源</w:t>
            </w:r>
            <w:r>
              <w:rPr>
                <w:rFonts w:hint="eastAsia" w:ascii="Times New Roman" w:hAnsi="Times New Roman"/>
                <w:sz w:val="21"/>
                <w:szCs w:val="21"/>
              </w:rPr>
              <w:t>保护区</w:t>
            </w:r>
          </w:p>
        </w:tc>
      </w:tr>
      <w:tr w14:paraId="69A78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Merge w:val="continue"/>
            <w:noWrap w:val="0"/>
            <w:vAlign w:val="center"/>
          </w:tcPr>
          <w:p w14:paraId="71F868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p>
        </w:tc>
        <w:tc>
          <w:tcPr>
            <w:tcW w:w="6379" w:type="dxa"/>
            <w:noWrap w:val="0"/>
            <w:vAlign w:val="center"/>
          </w:tcPr>
          <w:p w14:paraId="5C954D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5.河湖湿地、森林公园内的珍贵景物和风景名胜区核心景区、自然保护区的核心区和缓冲区、土地利用总体规划所确定的永久基本农田保护区、地质遗迹一级保护区、饮用水水源一级保护区、水工程保护范围、地质灾害危险区、矿产资源密集地区的禁止开采区、工程建设不适宜区、大于25%的陡坡地、行洪通道、防洪工程设施保护范围、高压输电线路走廊、天然气输送管线及其防护区、成品油输送管线及其防护区、区域性调水工程管线及其防护区和生态保护红线属于规划的禁止建设区。</w:t>
            </w:r>
          </w:p>
        </w:tc>
        <w:tc>
          <w:tcPr>
            <w:tcW w:w="1468" w:type="dxa"/>
            <w:noWrap w:val="0"/>
            <w:vAlign w:val="center"/>
          </w:tcPr>
          <w:p w14:paraId="396DD5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本项目位于新乡经济技术开发区，在原厂区内建设，选址为工业用地，不属于</w:t>
            </w:r>
            <w:r>
              <w:rPr>
                <w:rFonts w:ascii="Times New Roman" w:hAnsi="Times New Roman"/>
                <w:sz w:val="21"/>
                <w:szCs w:val="21"/>
              </w:rPr>
              <w:t>禁止建设区</w:t>
            </w:r>
          </w:p>
        </w:tc>
      </w:tr>
      <w:tr w14:paraId="0912B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Merge w:val="continue"/>
            <w:noWrap w:val="0"/>
            <w:vAlign w:val="center"/>
          </w:tcPr>
          <w:p w14:paraId="7BB857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p>
        </w:tc>
        <w:tc>
          <w:tcPr>
            <w:tcW w:w="6379" w:type="dxa"/>
            <w:noWrap w:val="0"/>
            <w:vAlign w:val="center"/>
          </w:tcPr>
          <w:p w14:paraId="2E7CF1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6.禁止在水产种质资源保护区内从事围湖造田、围海造地或围填海工程。禁止在水产种质资源保护区内新建排污口。在水产种质资源保护区附近新建、改建、扩建排污口，应当保证保护区水体不受污染。</w:t>
            </w:r>
          </w:p>
        </w:tc>
        <w:tc>
          <w:tcPr>
            <w:tcW w:w="1468" w:type="dxa"/>
            <w:noWrap w:val="0"/>
            <w:vAlign w:val="center"/>
          </w:tcPr>
          <w:p w14:paraId="54E2C8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项目废水排入小店污水处理厂，不设置排污口</w:t>
            </w:r>
          </w:p>
        </w:tc>
      </w:tr>
      <w:tr w14:paraId="2E597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Merge w:val="continue"/>
            <w:noWrap w:val="0"/>
            <w:vAlign w:val="center"/>
          </w:tcPr>
          <w:p w14:paraId="2C4591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p>
        </w:tc>
        <w:tc>
          <w:tcPr>
            <w:tcW w:w="6379" w:type="dxa"/>
            <w:noWrap w:val="0"/>
            <w:vAlign w:val="center"/>
          </w:tcPr>
          <w:p w14:paraId="2CFD52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7.共产主义渠、卫河、天然文岩渠等主要河道除涝标准达到3年一遇，防洪标准达到10-20年一遇，重点河段达到50-100年一遇设置堤防。</w:t>
            </w:r>
          </w:p>
        </w:tc>
        <w:tc>
          <w:tcPr>
            <w:tcW w:w="1468" w:type="dxa"/>
            <w:noWrap w:val="0"/>
            <w:vAlign w:val="center"/>
          </w:tcPr>
          <w:p w14:paraId="4109F4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w:t>
            </w:r>
          </w:p>
        </w:tc>
      </w:tr>
      <w:tr w14:paraId="1D88E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Merge w:val="continue"/>
            <w:noWrap w:val="0"/>
            <w:vAlign w:val="center"/>
          </w:tcPr>
          <w:p w14:paraId="1BA362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p>
        </w:tc>
        <w:tc>
          <w:tcPr>
            <w:tcW w:w="6379" w:type="dxa"/>
            <w:noWrap w:val="0"/>
            <w:vAlign w:val="center"/>
          </w:tcPr>
          <w:p w14:paraId="23BFBA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8.南太行旅游度假区规划区范围内；新乡市山水林田湖草一体化生态城规划区范围内；按规定划定的自然保护区、景观区、居民集中生活区的周边和重要交通干线、河流湖泊直观可视范围内；特定生态保护红线范围内禁止新建露天矿山项目。禁止建设生产和使用高挥发性有机物含量的溶剂型涂料、油墨、胶粘剂等项目。按照“可替尽替、应代尽代”的原则，开展汽车制造、工业涂装、家具制造、包装印刷、钢结构制造、工程机械等行业溶剂型涂料、油墨、胶粘剂、清洗剂使用低VOCs含量原辅材料替代。禁止生产、销售不符合标准的机动车船、非道路移动机械用燃料；禁</w:t>
            </w:r>
            <w:r>
              <w:rPr>
                <w:rFonts w:hint="eastAsia" w:ascii="Times New Roman" w:hAnsi="Times New Roman"/>
                <w:sz w:val="21"/>
                <w:szCs w:val="21"/>
              </w:rPr>
              <w:t>止向汽车和摩托车销售普通柴油以及其他非机动车用燃料；禁止向非道路移动机械销售渣油、重油和不符合规定的燃用油。</w:t>
            </w:r>
          </w:p>
        </w:tc>
        <w:tc>
          <w:tcPr>
            <w:tcW w:w="1468" w:type="dxa"/>
            <w:noWrap w:val="0"/>
            <w:vAlign w:val="center"/>
          </w:tcPr>
          <w:p w14:paraId="423D5F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本项目位于新乡经济技术开发区，不在</w:t>
            </w:r>
            <w:r>
              <w:rPr>
                <w:rFonts w:ascii="Times New Roman" w:hAnsi="Times New Roman"/>
                <w:sz w:val="21"/>
                <w:szCs w:val="21"/>
              </w:rPr>
              <w:t>南太行旅游度假区规划区范围</w:t>
            </w:r>
          </w:p>
        </w:tc>
      </w:tr>
      <w:tr w14:paraId="409E9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Merge w:val="continue"/>
            <w:noWrap w:val="0"/>
            <w:vAlign w:val="center"/>
          </w:tcPr>
          <w:p w14:paraId="6DEFA5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p>
        </w:tc>
        <w:tc>
          <w:tcPr>
            <w:tcW w:w="6379" w:type="dxa"/>
            <w:noWrap w:val="0"/>
            <w:vAlign w:val="center"/>
          </w:tcPr>
          <w:p w14:paraId="307164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9.严格控制新建、扩建钢铁冶炼、水泥、有色金属冶炼、平板玻璃、化工、建筑陶瓷、耐火材料、砖瓦、矿山开采等行业的高排放、高污染项目，促进传统煤化工、水泥行业绿色转型、智能升级。城市建成区内人口密集区、环境脆弱敏感区周边的钢铁冶炼、水泥、有色金属冶炼、平板玻璃、化工、建筑陶瓷、耐火材料、砖瓦、矿山开采等行业中的高排放、高污染项目，应当限期搬迁、升级改造或者转型、退出。新建、改建、扩建“两高”项目须符合生态环境保护法律法规和相关法定规划，满足重点污染物排放总量控制、碳排放达峰目标、生态环境准入清单、相关规划环评和</w:t>
            </w:r>
            <w:r>
              <w:rPr>
                <w:rFonts w:hint="eastAsia" w:ascii="Times New Roman" w:hAnsi="Times New Roman"/>
                <w:sz w:val="21"/>
                <w:szCs w:val="21"/>
              </w:rPr>
              <w:t>相应行业建设项目环境准入条件、环评文件审批原则要求。新建“两高”项目应按照《生态环境部办公厅关于加强重点行业建设项目区域削减措施监督管理的通知》（环办环评〔</w:t>
            </w:r>
            <w:r>
              <w:rPr>
                <w:rFonts w:ascii="Times New Roman" w:hAnsi="Times New Roman"/>
                <w:sz w:val="21"/>
                <w:szCs w:val="21"/>
              </w:rPr>
              <w:t>2020〕36号）要求，制定配套区域污染物削减方案，环境质量超标区域实行重点污染物排放倍量削减，环境质量达标区域原则上实施等量削减。新建耗煤项目还应严格按规定采取煤炭消费减量替代措施，不得使用高污染燃料作为煤炭减量替代措施。原则上禁止新增钢铁、电解铝、水泥、平板玻璃、传统煤化工（甲醇、合成氨）、焦化、铝用炭素、砖瓦窑、耐火材料、铅锌冶炼（含再生铅）等行业</w:t>
            </w:r>
            <w:r>
              <w:rPr>
                <w:rFonts w:hint="eastAsia" w:ascii="Times New Roman" w:hAnsi="Times New Roman"/>
                <w:sz w:val="21"/>
                <w:szCs w:val="21"/>
              </w:rPr>
              <w:t>产能。</w:t>
            </w:r>
          </w:p>
        </w:tc>
        <w:tc>
          <w:tcPr>
            <w:tcW w:w="1468" w:type="dxa"/>
            <w:noWrap w:val="0"/>
            <w:vAlign w:val="center"/>
          </w:tcPr>
          <w:p w14:paraId="12ABA0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本项目为化学纤维制造业。不属于“两高”项目</w:t>
            </w:r>
          </w:p>
        </w:tc>
      </w:tr>
      <w:tr w14:paraId="41732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Merge w:val="continue"/>
            <w:noWrap w:val="0"/>
            <w:vAlign w:val="center"/>
          </w:tcPr>
          <w:p w14:paraId="74A2CF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p>
        </w:tc>
        <w:tc>
          <w:tcPr>
            <w:tcW w:w="6379" w:type="dxa"/>
            <w:noWrap w:val="0"/>
            <w:vAlign w:val="center"/>
          </w:tcPr>
          <w:p w14:paraId="3FD59E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10.按照各园区建设发展规划，培育和建设关联企业高度集中的产业基地，积极推行区域、规划环境影响评价，对搬迁升级改造石化、化工、建材、有色等项目的环境影响评价，应满足区域、规划环评要求。鼓励支持水泥等重点行业进行产能置换、装备大型改造、重组整合。</w:t>
            </w:r>
          </w:p>
        </w:tc>
        <w:tc>
          <w:tcPr>
            <w:tcW w:w="1468" w:type="dxa"/>
            <w:noWrap w:val="0"/>
            <w:vAlign w:val="center"/>
          </w:tcPr>
          <w:p w14:paraId="52EE2C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本项目位于新乡经济技术开发区，建设内容符合开规划环评要求</w:t>
            </w:r>
          </w:p>
        </w:tc>
      </w:tr>
      <w:tr w14:paraId="30D5A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Merge w:val="continue"/>
            <w:noWrap w:val="0"/>
            <w:vAlign w:val="center"/>
          </w:tcPr>
          <w:p w14:paraId="55FB82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p>
        </w:tc>
        <w:tc>
          <w:tcPr>
            <w:tcW w:w="6379" w:type="dxa"/>
            <w:noWrap w:val="0"/>
            <w:vAlign w:val="center"/>
          </w:tcPr>
          <w:p w14:paraId="098CA1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11.化工园区选址布局应符合有关法律法规、政策规定、相关规划和行业管理或技术规范，满足国土空间规划和生态环境保护、安全生产、应急救援、资源利用、综合防灾减灾、交通运输等相关要求，原则上不再设立新的化工园区。</w:t>
            </w:r>
          </w:p>
        </w:tc>
        <w:tc>
          <w:tcPr>
            <w:tcW w:w="1468" w:type="dxa"/>
            <w:noWrap w:val="0"/>
            <w:vAlign w:val="center"/>
          </w:tcPr>
          <w:p w14:paraId="58289A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sz w:val="21"/>
                <w:szCs w:val="21"/>
              </w:rPr>
            </w:pPr>
            <w:r>
              <w:rPr>
                <w:rFonts w:hint="eastAsia" w:ascii="Times New Roman" w:hAnsi="Times New Roman"/>
                <w:sz w:val="21"/>
                <w:szCs w:val="21"/>
              </w:rPr>
              <w:t>/</w:t>
            </w:r>
          </w:p>
        </w:tc>
      </w:tr>
      <w:tr w14:paraId="5B755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Merge w:val="continue"/>
            <w:noWrap w:val="0"/>
            <w:vAlign w:val="center"/>
          </w:tcPr>
          <w:p w14:paraId="6FCE38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p>
        </w:tc>
        <w:tc>
          <w:tcPr>
            <w:tcW w:w="6379" w:type="dxa"/>
            <w:noWrap w:val="0"/>
            <w:vAlign w:val="center"/>
          </w:tcPr>
          <w:p w14:paraId="5D5B8A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12.推动我市沿黄重点地区拟建工业项目转入合规工业园区，严格控制高污染、高耗水、高耗能项目。</w:t>
            </w:r>
          </w:p>
        </w:tc>
        <w:tc>
          <w:tcPr>
            <w:tcW w:w="1468" w:type="dxa"/>
            <w:noWrap w:val="0"/>
            <w:vAlign w:val="center"/>
          </w:tcPr>
          <w:p w14:paraId="75DF2D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sz w:val="21"/>
                <w:szCs w:val="21"/>
              </w:rPr>
            </w:pPr>
            <w:r>
              <w:rPr>
                <w:rFonts w:hint="eastAsia" w:ascii="Times New Roman" w:hAnsi="Times New Roman"/>
                <w:sz w:val="21"/>
                <w:szCs w:val="21"/>
              </w:rPr>
              <w:t>/</w:t>
            </w:r>
          </w:p>
        </w:tc>
      </w:tr>
      <w:tr w14:paraId="4FFA2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0"/>
            <w:vAlign w:val="center"/>
          </w:tcPr>
          <w:p w14:paraId="637C4F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r>
              <w:rPr>
                <w:rFonts w:hint="eastAsia" w:ascii="Times New Roman" w:hAnsi="Times New Roman"/>
                <w:sz w:val="21"/>
                <w:szCs w:val="21"/>
              </w:rPr>
              <w:t>污染物排放管控</w:t>
            </w:r>
          </w:p>
        </w:tc>
        <w:tc>
          <w:tcPr>
            <w:tcW w:w="6379" w:type="dxa"/>
            <w:noWrap w:val="0"/>
            <w:vAlign w:val="center"/>
          </w:tcPr>
          <w:p w14:paraId="6CECA8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1.新、改、扩建项目主要污染物排放要求满足当地总量减排要求。</w:t>
            </w:r>
          </w:p>
          <w:p w14:paraId="100ED7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2.十四五末，共产主义渠、西柳青河达到Ⅳ类指标，卫河、文岩渠、天然渠、天然文岩渠、黄庄河达到Ⅲ类指标；城市集中式饮用水水源地取水水质达标率达到100%；地下水质量考核点位水质级别保持稳定；确保完成国家水质考核目标。全市建成区全面消除黑臭水体，县（市）建成区基本完成黑臭水体整治任务。重点治理市域内卫河、共产主义渠、东孟姜女河等海河流域河流，以及西柳青河、天然渠、文岩渠等黄河流域河流，全面开展清河行动、实施河道清淤、规范入河排污口管理，统筹推进水污染综合整治及水生态保护修复，提升河流自净能力，建立生态调水长效机</w:t>
            </w:r>
            <w:r>
              <w:rPr>
                <w:rFonts w:hint="eastAsia" w:ascii="Times New Roman" w:hAnsi="Times New Roman"/>
                <w:sz w:val="21"/>
                <w:szCs w:val="21"/>
              </w:rPr>
              <w:t>制，保障河流水质稳定达标。禁止以任何方式直接向水功能区要求为Ⅱ类的水体和地表水型集中式生活饮用水水源保护区内的水体排放污水；污水排入黄河干流、黄河一级支流和涉及Ⅲ类水功能区要求的其它水体时，执行一级标准；污水排入除上述水体以外的其它河流、湖泊、水库、运河、渠道、湿地、坑塘、蓄滞洪区等地表水体时，执行二级标准。</w:t>
            </w:r>
          </w:p>
          <w:p w14:paraId="6BE625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3.全面推进城镇（园区）污水处理厂Ⅴ类水提标改造工程建设，市、县（市、区）污水处理率、城市污泥无害化处置率达到政府目标任务。到2025年，黄河流域内现有污水处理厂完成提质增效改造，确保出水稳定达到《河南省黄河流域水污染物排放标准》（DB41/2087-2021）。</w:t>
            </w:r>
          </w:p>
          <w:p w14:paraId="621FE5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4.严控新增重金属污染物排放量，在重有色金属冶炼业（铜、铅锌、镍、钴、锡、锑和汞冶炼等）、铅蓄电池制造业、皮革及其制品业（皮革鞣制加工等）、化学原料及化学制品制造业（电石法聚氯乙烯行业、铬盐行业等）、电镀行业等重点行业实施重点重金属减量替代。新、改、扩建涉重金属重点行业建设项目应遵循重点重金属污染物排放“减量替代”原则，应符合《新乡市“十四五”重金属污染防控工作方案》相关要求。</w:t>
            </w:r>
          </w:p>
          <w:p w14:paraId="75173C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5.全面推进企业清洁生产，完善省级产业集聚区污水处理设施水平。加强造纸、氮肥、农副食品加工、毛皮制革、印染、有色金属、原料药制造、电镀等水污染物排放行业重点企业强制性清洁生产审核，全面推进其清洁生产改造或清洁化改造。省级产业集聚区建成区域必须实现管网全配套，污水集中处理设施必须做到稳定达标运行，同时安装自动在线监控装置。</w:t>
            </w:r>
          </w:p>
          <w:p w14:paraId="163EBB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6.测土配方施肥技术推广覆盖率、绿色防控覆盖率达到政府目标任务，实现化肥农药施用量零增长。</w:t>
            </w:r>
          </w:p>
          <w:p w14:paraId="62C230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7.实施节能降碳增效行动，提高能源利用效率，推动电力、钢铁、有色金属、建材、石化化工等行业绿色转型发展。</w:t>
            </w:r>
          </w:p>
          <w:p w14:paraId="324087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8.国家、省绩效分级重点行业以及涉及锅炉炉窑的其他行业，新建、扩建项目污染物排放限值、污染治理措施、无组织排放控制水平、运输方式等达到A级绩效水平，改建项目污染物排放限值、污染治理措施、无组织排放控制水平、运输方式等达到B级以上绩效水平。</w:t>
            </w:r>
          </w:p>
        </w:tc>
        <w:tc>
          <w:tcPr>
            <w:tcW w:w="1468" w:type="dxa"/>
            <w:noWrap w:val="0"/>
            <w:vAlign w:val="center"/>
          </w:tcPr>
          <w:p w14:paraId="19A22F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sz w:val="21"/>
                <w:szCs w:val="21"/>
              </w:rPr>
            </w:pPr>
            <w:r>
              <w:rPr>
                <w:rFonts w:hint="eastAsia" w:ascii="Times New Roman" w:hAnsi="Times New Roman"/>
                <w:sz w:val="21"/>
                <w:szCs w:val="21"/>
              </w:rPr>
              <w:t>本项目总量从已停产短丝项目中替代；</w:t>
            </w:r>
          </w:p>
          <w:p w14:paraId="0C7408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sz w:val="21"/>
                <w:szCs w:val="21"/>
              </w:rPr>
            </w:pPr>
            <w:r>
              <w:rPr>
                <w:rFonts w:hint="eastAsia" w:ascii="Times New Roman" w:hAnsi="Times New Roman"/>
                <w:sz w:val="21"/>
                <w:szCs w:val="21"/>
              </w:rPr>
              <w:t>小店污水处理厂已完成</w:t>
            </w:r>
            <w:r>
              <w:rPr>
                <w:rFonts w:ascii="Times New Roman" w:hAnsi="Times New Roman"/>
                <w:sz w:val="21"/>
                <w:szCs w:val="21"/>
              </w:rPr>
              <w:t>Ⅴ类水提标改造；</w:t>
            </w:r>
          </w:p>
          <w:p w14:paraId="11F289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hint="eastAsia" w:ascii="Times New Roman" w:hAnsi="Times New Roman"/>
                <w:sz w:val="21"/>
                <w:szCs w:val="21"/>
              </w:rPr>
              <w:t>现有工程满足</w:t>
            </w:r>
            <w:r>
              <w:rPr>
                <w:rFonts w:ascii="Times New Roman" w:hAnsi="Times New Roman"/>
                <w:sz w:val="21"/>
                <w:szCs w:val="21"/>
              </w:rPr>
              <w:t>B级以上绩效水平，拟建项目满足A级绩效水平。</w:t>
            </w:r>
          </w:p>
        </w:tc>
      </w:tr>
      <w:tr w14:paraId="0700F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0"/>
            <w:vAlign w:val="center"/>
          </w:tcPr>
          <w:p w14:paraId="3D489E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r>
              <w:rPr>
                <w:rFonts w:hint="eastAsia" w:ascii="Times New Roman" w:hAnsi="Times New Roman"/>
                <w:sz w:val="21"/>
                <w:szCs w:val="21"/>
              </w:rPr>
              <w:t>环境风险防控</w:t>
            </w:r>
          </w:p>
        </w:tc>
        <w:tc>
          <w:tcPr>
            <w:tcW w:w="6379" w:type="dxa"/>
            <w:noWrap w:val="0"/>
            <w:vAlign w:val="center"/>
          </w:tcPr>
          <w:p w14:paraId="253930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1.地下水漏斗区、重金属污染区、生态严重退化区等区域：探索开展耕地轮作休耕试点；实行休耕补贴，引导农民自愿将重度污染耕地退出农业生产。</w:t>
            </w:r>
          </w:p>
          <w:p w14:paraId="2015AF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2.具备饮用水水源保护区及影响范围内风险源名录和风险防控方案、饮用水水源地突发环境事件应急处置技术方案及应急专家库、应急监测能力。定期或不定期开展饮用水水源地周边环境安全隐患排查及饮用水水源地环境风险评估。饮用水水源地有专项应急预案，做到“一源一案”，按照环境保护主管部门要求备案并定演练和修订预案。饮用水水源地周边高风险区域设有应急物资（装备）储备库及事故应急池等应急防护工程，上游连接水体设有节制闸、拦污坝、导流渠、调水沟渠等防护工程设施。</w:t>
            </w:r>
          </w:p>
        </w:tc>
        <w:tc>
          <w:tcPr>
            <w:tcW w:w="1468" w:type="dxa"/>
            <w:noWrap w:val="0"/>
            <w:vAlign w:val="center"/>
          </w:tcPr>
          <w:p w14:paraId="2B543A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sz w:val="21"/>
                <w:szCs w:val="21"/>
              </w:rPr>
            </w:pPr>
            <w:r>
              <w:rPr>
                <w:rFonts w:hint="eastAsia" w:ascii="Times New Roman" w:hAnsi="Times New Roman"/>
                <w:sz w:val="21"/>
                <w:szCs w:val="21"/>
              </w:rPr>
              <w:t>/</w:t>
            </w:r>
          </w:p>
        </w:tc>
      </w:tr>
      <w:tr w14:paraId="533A1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noWrap w:val="0"/>
            <w:vAlign w:val="center"/>
          </w:tcPr>
          <w:p w14:paraId="2DA84C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sz w:val="21"/>
                <w:szCs w:val="21"/>
              </w:rPr>
            </w:pPr>
            <w:r>
              <w:rPr>
                <w:rFonts w:hint="eastAsia" w:ascii="Times New Roman" w:hAnsi="Times New Roman"/>
                <w:sz w:val="21"/>
                <w:szCs w:val="21"/>
              </w:rPr>
              <w:t>资源开发效率要求</w:t>
            </w:r>
          </w:p>
        </w:tc>
        <w:tc>
          <w:tcPr>
            <w:tcW w:w="6379" w:type="dxa"/>
            <w:noWrap w:val="0"/>
            <w:vAlign w:val="center"/>
          </w:tcPr>
          <w:p w14:paraId="739603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1.“十四五”期间按照政府目标控制能耗增量指标。严控新增耗煤项目，新、改、扩建项目实施煤炭减量替代，重点削减非电力用煤。鼓励使用清洁燃料，重点区域建设项目原则上不新建燃煤自备锅炉。2023年底，全面淘汰35蒸吨/小时及以下的燃煤锅炉，鼓励淘汰4蒸吨/小时以下生物质锅炉，保留现有生物质锅炉应采用专用炉具，禁止掺烧煤炭、垃圾、工业固体废物等其他物料。</w:t>
            </w:r>
          </w:p>
          <w:p w14:paraId="3EF67F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2.重点推进南水北调受水区地下水压采工作，加快公共供水管网建设，促进供水管网覆盖范围以外的自备井封闭工作。</w:t>
            </w:r>
          </w:p>
          <w:p w14:paraId="5308AB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3.开展高耗水工业行业节水技术改造，大力推广工业水循环利用，推进节水型企业、节水型工业园区建设。</w:t>
            </w:r>
          </w:p>
          <w:p w14:paraId="7C5512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4.按照合理有序使用地表水、控制使用地下水、积极利用非常规水源的要求，做好区域水资源统筹调配，逐步降低区域内的水资源开发利用强度，退减被挤占的生态用水，2030年全市浅层地下水开采控制在57390万立方米。</w:t>
            </w:r>
          </w:p>
          <w:p w14:paraId="3F4E0E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5.到2025年，全市用水总量为20.838亿m</w:t>
            </w:r>
            <w:r>
              <w:rPr>
                <w:rFonts w:ascii="Times New Roman" w:hAnsi="Times New Roman"/>
                <w:sz w:val="21"/>
                <w:szCs w:val="21"/>
                <w:vertAlign w:val="superscript"/>
              </w:rPr>
              <w:t>3</w:t>
            </w:r>
            <w:r>
              <w:rPr>
                <w:rFonts w:ascii="Times New Roman" w:hAnsi="Times New Roman"/>
                <w:sz w:val="21"/>
                <w:szCs w:val="21"/>
              </w:rPr>
              <w:t>，万元GDP用水量下降比例达到16%，全省市级缺水城市再生水利用率达到25%以上。</w:t>
            </w:r>
          </w:p>
          <w:p w14:paraId="5F1551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6.二级国家级公益林在不影响整体森林生态系统功能发挥的前提下，可以按照相关技术规程的规定开展抚育和更新性质的采伐。在不破坏森林植被的前提下，可以合理利用其林地资源，适度开展林下种植养殖和森林游憩等非木质资源开发与利用，科学发展林下经济。国有二级国家级公益林除执行上述规定外，需要开展抚育和更新采伐或者非木质资源培育利用的，还应当符合森林经营方案的规划，并编制采伐或非木质资源培育利用作业设计，经县级以上林业主管部门依法批准后实施。</w:t>
            </w:r>
          </w:p>
          <w:p w14:paraId="308E0E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7.禁燃区内禁止新建、扩建燃用高污染燃料的锅炉、炉窑、炉灶等燃烧设施，已建成的应当由所在辖区限期责令拆除或改用清洁能源；禁止加工、销售各类高污染燃料。</w:t>
            </w:r>
          </w:p>
          <w:p w14:paraId="68F43E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8.到2025年，煤炭消费占比降至60%以下，非化石能源消费占比提高到16%以上。单位GDP（生产总值）能耗下降15%以上，煤电机组平均供电煤耗降至285克标准煤/千瓦时。</w:t>
            </w:r>
          </w:p>
          <w:p w14:paraId="5D82F6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9.到2025年，单位GDP二氧化碳排放降低比例达20%。</w:t>
            </w:r>
          </w:p>
          <w:p w14:paraId="10130F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sz w:val="21"/>
                <w:szCs w:val="21"/>
              </w:rPr>
            </w:pPr>
            <w:r>
              <w:rPr>
                <w:rFonts w:ascii="Times New Roman" w:hAnsi="Times New Roman"/>
                <w:sz w:val="21"/>
                <w:szCs w:val="21"/>
              </w:rPr>
              <w:t>10.到2025年，全市河湖生态缓冲带修复长度达到总体要求，逐步恢复河流沿线生态廊道功能。海河流域内涉及被挤占的河湖生态用水逐步得到退还，黄河流域内天然文岩渠生态流量得到保障。</w:t>
            </w:r>
          </w:p>
        </w:tc>
        <w:tc>
          <w:tcPr>
            <w:tcW w:w="1468" w:type="dxa"/>
            <w:noWrap w:val="0"/>
            <w:vAlign w:val="center"/>
          </w:tcPr>
          <w:p w14:paraId="74D561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sz w:val="21"/>
                <w:szCs w:val="21"/>
              </w:rPr>
            </w:pPr>
            <w:r>
              <w:rPr>
                <w:rFonts w:hint="eastAsia" w:ascii="Times New Roman" w:hAnsi="Times New Roman"/>
                <w:sz w:val="21"/>
                <w:szCs w:val="21"/>
              </w:rPr>
              <w:t>本项目依托现有工程锅炉供热</w:t>
            </w:r>
          </w:p>
        </w:tc>
      </w:tr>
    </w:tbl>
    <w:p w14:paraId="7E79B8E1">
      <w:pPr>
        <w:pStyle w:val="10"/>
        <w:bidi w:val="0"/>
        <w:rPr>
          <w:rFonts w:hint="eastAsia"/>
          <w:b/>
          <w:bCs w:val="0"/>
          <w:u w:val="single"/>
        </w:rPr>
      </w:pPr>
      <w:r>
        <w:rPr>
          <w:rFonts w:hint="eastAsia"/>
          <w:b/>
          <w:bCs w:val="0"/>
          <w:u w:val="single"/>
        </w:rPr>
        <w:t>表</w:t>
      </w:r>
      <w:r>
        <w:rPr>
          <w:rFonts w:hint="eastAsia"/>
          <w:b/>
          <w:bCs w:val="0"/>
          <w:u w:val="single"/>
        </w:rPr>
        <w:fldChar w:fldCharType="begin"/>
      </w:r>
      <w:r>
        <w:rPr>
          <w:rFonts w:hint="eastAsia"/>
          <w:b/>
          <w:bCs w:val="0"/>
          <w:u w:val="single"/>
        </w:rPr>
        <w:instrText xml:space="preserve"> STYLEREF 2 \s </w:instrText>
      </w:r>
      <w:r>
        <w:rPr>
          <w:rFonts w:hint="eastAsia"/>
          <w:b/>
          <w:bCs w:val="0"/>
          <w:u w:val="single"/>
        </w:rPr>
        <w:fldChar w:fldCharType="separate"/>
      </w:r>
      <w:r>
        <w:rPr>
          <w:rFonts w:hint="eastAsia"/>
          <w:b/>
          <w:bCs w:val="0"/>
          <w:u w:val="single"/>
        </w:rPr>
        <w:t>1.5</w:t>
      </w:r>
      <w:r>
        <w:rPr>
          <w:rFonts w:hint="eastAsia"/>
          <w:b/>
          <w:bCs w:val="0"/>
          <w:u w:val="single"/>
        </w:rPr>
        <w:fldChar w:fldCharType="end"/>
      </w:r>
      <w:r>
        <w:rPr>
          <w:rFonts w:hint="eastAsia"/>
          <w:b/>
          <w:bCs w:val="0"/>
          <w:u w:val="single"/>
        </w:rPr>
        <w:noBreakHyphen/>
      </w:r>
      <w:r>
        <w:rPr>
          <w:rFonts w:hint="eastAsia"/>
          <w:b/>
          <w:bCs w:val="0"/>
          <w:u w:val="single"/>
        </w:rPr>
        <w:fldChar w:fldCharType="begin"/>
      </w:r>
      <w:r>
        <w:rPr>
          <w:rFonts w:hint="eastAsia"/>
          <w:b/>
          <w:bCs w:val="0"/>
          <w:u w:val="single"/>
        </w:rPr>
        <w:instrText xml:space="preserve"> SEQ 表 \* ARABIC \s 2 </w:instrText>
      </w:r>
      <w:r>
        <w:rPr>
          <w:rFonts w:hint="eastAsia"/>
          <w:b/>
          <w:bCs w:val="0"/>
          <w:u w:val="single"/>
        </w:rPr>
        <w:fldChar w:fldCharType="separate"/>
      </w:r>
      <w:r>
        <w:rPr>
          <w:rFonts w:hint="eastAsia"/>
          <w:b/>
          <w:bCs w:val="0"/>
          <w:u w:val="single"/>
        </w:rPr>
        <w:t>6</w:t>
      </w:r>
      <w:r>
        <w:rPr>
          <w:rFonts w:hint="eastAsia"/>
          <w:b/>
          <w:bCs w:val="0"/>
          <w:u w:val="single"/>
        </w:rPr>
        <w:fldChar w:fldCharType="end"/>
      </w:r>
      <w:r>
        <w:rPr>
          <w:rFonts w:hint="eastAsia"/>
          <w:b/>
          <w:bCs w:val="0"/>
          <w:u w:val="single"/>
        </w:rPr>
        <w:t xml:space="preserve">  与《新乡市“三线一单”生态环境准入清单》（2023年）</w:t>
      </w:r>
      <w:r>
        <w:rPr>
          <w:rFonts w:hint="eastAsia"/>
          <w:b/>
          <w:bCs w:val="0"/>
          <w:u w:val="single"/>
          <w:lang w:eastAsia="zh-CN"/>
        </w:rPr>
        <w:t>（</w:t>
      </w:r>
      <w:r>
        <w:rPr>
          <w:rFonts w:hint="eastAsia"/>
          <w:b/>
          <w:bCs w:val="0"/>
          <w:u w:val="single"/>
          <w:lang w:val="en-US" w:eastAsia="zh-CN"/>
        </w:rPr>
        <w:t>新乡市经济技术开发区管控单元</w:t>
      </w:r>
      <w:r>
        <w:rPr>
          <w:rFonts w:hint="eastAsia"/>
          <w:b/>
          <w:bCs w:val="0"/>
          <w:u w:val="single"/>
          <w:lang w:eastAsia="zh-CN"/>
        </w:rPr>
        <w:t>）</w:t>
      </w:r>
      <w:r>
        <w:rPr>
          <w:rFonts w:hint="eastAsia"/>
          <w:b/>
          <w:bCs w:val="0"/>
          <w:u w:val="single"/>
        </w:rPr>
        <w:t>对照分析</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637"/>
        <w:gridCol w:w="622"/>
        <w:gridCol w:w="622"/>
        <w:gridCol w:w="698"/>
        <w:gridCol w:w="3237"/>
        <w:gridCol w:w="2045"/>
        <w:gridCol w:w="563"/>
      </w:tblGrid>
      <w:tr w14:paraId="00AD92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378" w:type="pct"/>
            <w:noWrap w:val="0"/>
            <w:vAlign w:val="center"/>
          </w:tcPr>
          <w:p w14:paraId="7946C036">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行政区划</w:t>
            </w:r>
          </w:p>
        </w:tc>
        <w:tc>
          <w:tcPr>
            <w:tcW w:w="369" w:type="pct"/>
            <w:noWrap w:val="0"/>
            <w:vAlign w:val="center"/>
          </w:tcPr>
          <w:p w14:paraId="0BE50369">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管控单元名称</w:t>
            </w:r>
          </w:p>
        </w:tc>
        <w:tc>
          <w:tcPr>
            <w:tcW w:w="369" w:type="pct"/>
            <w:noWrap w:val="0"/>
            <w:vAlign w:val="center"/>
          </w:tcPr>
          <w:p w14:paraId="731FBF9E">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管控单元分类</w:t>
            </w:r>
          </w:p>
        </w:tc>
        <w:tc>
          <w:tcPr>
            <w:tcW w:w="2334" w:type="pct"/>
            <w:gridSpan w:val="2"/>
            <w:noWrap w:val="0"/>
            <w:vAlign w:val="center"/>
          </w:tcPr>
          <w:p w14:paraId="5A78F84E">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管控要求</w:t>
            </w:r>
          </w:p>
        </w:tc>
        <w:tc>
          <w:tcPr>
            <w:tcW w:w="1213" w:type="pct"/>
            <w:noWrap w:val="0"/>
            <w:vAlign w:val="center"/>
          </w:tcPr>
          <w:p w14:paraId="5470D326">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本项目情况</w:t>
            </w:r>
          </w:p>
        </w:tc>
        <w:tc>
          <w:tcPr>
            <w:tcW w:w="334" w:type="pct"/>
            <w:noWrap w:val="0"/>
            <w:vAlign w:val="center"/>
          </w:tcPr>
          <w:p w14:paraId="674F03E0">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rFonts w:hint="eastAsia"/>
                <w:b/>
                <w:bCs w:val="0"/>
                <w:color w:val="auto"/>
                <w:u w:val="single"/>
              </w:rPr>
              <w:t>是否</w:t>
            </w:r>
            <w:r>
              <w:rPr>
                <w:b/>
                <w:bCs w:val="0"/>
                <w:color w:val="auto"/>
                <w:u w:val="single"/>
              </w:rPr>
              <w:t>符合</w:t>
            </w:r>
            <w:r>
              <w:rPr>
                <w:rFonts w:hint="eastAsia"/>
                <w:b/>
                <w:bCs w:val="0"/>
                <w:color w:val="auto"/>
                <w:u w:val="single"/>
              </w:rPr>
              <w:t>要求</w:t>
            </w:r>
          </w:p>
        </w:tc>
      </w:tr>
      <w:tr w14:paraId="299105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278" w:hRule="atLeast"/>
          <w:jc w:val="center"/>
        </w:trPr>
        <w:tc>
          <w:tcPr>
            <w:tcW w:w="378" w:type="pct"/>
            <w:vMerge w:val="restart"/>
            <w:noWrap w:val="0"/>
            <w:vAlign w:val="center"/>
          </w:tcPr>
          <w:p w14:paraId="78224D11">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河南省新乡市</w:t>
            </w:r>
            <w:r>
              <w:rPr>
                <w:rFonts w:hint="eastAsia"/>
                <w:b/>
                <w:bCs w:val="0"/>
                <w:color w:val="auto"/>
                <w:u w:val="single"/>
              </w:rPr>
              <w:t>新乡经济技术开发区</w:t>
            </w:r>
          </w:p>
        </w:tc>
        <w:tc>
          <w:tcPr>
            <w:tcW w:w="622" w:type="dxa"/>
            <w:vMerge w:val="restart"/>
            <w:noWrap w:val="0"/>
            <w:vAlign w:val="center"/>
          </w:tcPr>
          <w:p w14:paraId="78452D43">
            <w:pPr>
              <w:pStyle w:val="182"/>
              <w:ind w:firstLine="0" w:firstLineChars="0"/>
              <w:rPr>
                <w:b/>
                <w:bCs w:val="0"/>
                <w:color w:val="auto"/>
                <w:u w:val="single"/>
              </w:rPr>
            </w:pPr>
            <w:r>
              <w:rPr>
                <w:rFonts w:hint="eastAsia"/>
                <w:b/>
                <w:bCs w:val="0"/>
                <w:color w:val="auto"/>
                <w:u w:val="single"/>
              </w:rPr>
              <w:t>新乡经济技术开发区</w:t>
            </w:r>
          </w:p>
        </w:tc>
        <w:tc>
          <w:tcPr>
            <w:tcW w:w="622" w:type="dxa"/>
            <w:vMerge w:val="restart"/>
            <w:noWrap w:val="0"/>
            <w:vAlign w:val="center"/>
          </w:tcPr>
          <w:p w14:paraId="1B84CCA7">
            <w:pPr>
              <w:pStyle w:val="182"/>
              <w:ind w:firstLine="0" w:firstLineChars="0"/>
              <w:rPr>
                <w:b/>
                <w:bCs w:val="0"/>
                <w:color w:val="auto"/>
                <w:u w:val="single"/>
              </w:rPr>
            </w:pPr>
            <w:r>
              <w:rPr>
                <w:b/>
                <w:bCs w:val="0"/>
                <w:color w:val="auto"/>
                <w:u w:val="single"/>
              </w:rPr>
              <w:t>重点管控单元</w:t>
            </w:r>
            <w:r>
              <w:rPr>
                <w:rFonts w:hint="eastAsia"/>
                <w:b/>
                <w:bCs w:val="0"/>
                <w:color w:val="auto"/>
                <w:u w:val="single"/>
                <w:lang w:val="en-US" w:eastAsia="zh-CN"/>
              </w:rPr>
              <w:t>7</w:t>
            </w:r>
          </w:p>
        </w:tc>
        <w:tc>
          <w:tcPr>
            <w:tcW w:w="414" w:type="pct"/>
            <w:noWrap w:val="0"/>
            <w:vAlign w:val="center"/>
          </w:tcPr>
          <w:p w14:paraId="52255A3D">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空间布局约束</w:t>
            </w:r>
          </w:p>
        </w:tc>
        <w:tc>
          <w:tcPr>
            <w:tcW w:w="1920" w:type="pct"/>
            <w:noWrap w:val="0"/>
            <w:vAlign w:val="top"/>
          </w:tcPr>
          <w:p w14:paraId="7D77E48E">
            <w:pPr>
              <w:pStyle w:val="182"/>
              <w:keepNext w:val="0"/>
              <w:keepLines w:val="0"/>
              <w:pageBreakBefore w:val="0"/>
              <w:widowControl w:val="0"/>
              <w:kinsoku/>
              <w:wordWrap/>
              <w:overflowPunct/>
              <w:topLinePunct w:val="0"/>
              <w:autoSpaceDE/>
              <w:autoSpaceDN/>
              <w:bidi w:val="0"/>
              <w:adjustRightInd w:val="0"/>
              <w:snapToGrid w:val="0"/>
              <w:jc w:val="left"/>
              <w:textAlignment w:val="auto"/>
              <w:rPr>
                <w:rFonts w:hint="eastAsia"/>
                <w:b/>
                <w:bCs w:val="0"/>
                <w:color w:val="auto"/>
                <w:u w:val="single"/>
              </w:rPr>
            </w:pPr>
            <w:r>
              <w:rPr>
                <w:b/>
                <w:bCs w:val="0"/>
                <w:color w:val="auto"/>
                <w:u w:val="single"/>
              </w:rPr>
              <w:t>1、</w:t>
            </w:r>
            <w:r>
              <w:rPr>
                <w:rFonts w:hint="eastAsia"/>
                <w:b/>
                <w:bCs w:val="0"/>
                <w:color w:val="auto"/>
                <w:u w:val="single"/>
              </w:rPr>
              <w:t>园区规划主导产业为纺织服装、装备制造、信息通信，鼓励与主导产业配套的项目入驻。</w:t>
            </w:r>
          </w:p>
          <w:p w14:paraId="477F9900">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b/>
                <w:bCs w:val="0"/>
                <w:color w:val="auto"/>
                <w:u w:val="single"/>
              </w:rPr>
              <w:t>2、入驻项目应符合园区规划或规划环评的要求。</w:t>
            </w:r>
          </w:p>
          <w:p w14:paraId="53B325F1">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rFonts w:hint="eastAsia"/>
                <w:b/>
                <w:bCs w:val="0"/>
                <w:color w:val="auto"/>
                <w:u w:val="single"/>
              </w:rPr>
              <w:t>3</w:t>
            </w:r>
            <w:r>
              <w:rPr>
                <w:b/>
                <w:bCs w:val="0"/>
                <w:color w:val="auto"/>
                <w:u w:val="single"/>
              </w:rPr>
              <w:t>、严格控制新、改、扩建“两高”项目建设。</w:t>
            </w:r>
          </w:p>
          <w:p w14:paraId="1E9257E6">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rFonts w:hint="eastAsia"/>
                <w:b/>
                <w:bCs w:val="0"/>
                <w:color w:val="auto"/>
                <w:u w:val="single"/>
              </w:rPr>
              <w:t>4</w:t>
            </w:r>
            <w:r>
              <w:rPr>
                <w:b/>
                <w:bCs w:val="0"/>
                <w:color w:val="auto"/>
                <w:u w:val="single"/>
              </w:rPr>
              <w:t>、严格控制新建、扩建高排放、高污染项目，包括钢铁、水泥、有色、平板玻璃、建筑陶瓷等行业及其他排放重金属、持久性有机污染物的工业项目等。</w:t>
            </w:r>
          </w:p>
        </w:tc>
        <w:tc>
          <w:tcPr>
            <w:tcW w:w="1213" w:type="pct"/>
            <w:noWrap w:val="0"/>
            <w:vAlign w:val="center"/>
          </w:tcPr>
          <w:p w14:paraId="164EFC3D">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rFonts w:hint="eastAsia"/>
                <w:b/>
                <w:bCs w:val="0"/>
                <w:color w:val="auto"/>
                <w:u w:val="single"/>
              </w:rPr>
              <w:t>1.</w:t>
            </w:r>
            <w:r>
              <w:rPr>
                <w:b/>
                <w:bCs w:val="0"/>
                <w:color w:val="auto"/>
                <w:u w:val="single"/>
              </w:rPr>
              <w:t>本项目</w:t>
            </w:r>
            <w:r>
              <w:rPr>
                <w:rFonts w:hint="eastAsia"/>
                <w:b/>
                <w:bCs w:val="0"/>
                <w:color w:val="auto"/>
                <w:u w:val="single"/>
              </w:rPr>
              <w:t>为纤维素纤维制造，符合园区规划。</w:t>
            </w:r>
          </w:p>
          <w:p w14:paraId="4BDF8882">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rFonts w:hint="eastAsia"/>
                <w:b/>
                <w:bCs w:val="0"/>
                <w:color w:val="auto"/>
                <w:u w:val="single"/>
              </w:rPr>
              <w:t>2.</w:t>
            </w:r>
            <w:r>
              <w:rPr>
                <w:b/>
                <w:bCs w:val="0"/>
                <w:color w:val="auto"/>
                <w:u w:val="single"/>
              </w:rPr>
              <w:t>本项目</w:t>
            </w:r>
            <w:r>
              <w:rPr>
                <w:rFonts w:hint="eastAsia"/>
                <w:b/>
                <w:bCs w:val="0"/>
                <w:color w:val="auto"/>
                <w:u w:val="single"/>
              </w:rPr>
              <w:t>属于生物基化学纤维制造业</w:t>
            </w:r>
            <w:r>
              <w:rPr>
                <w:b/>
                <w:bCs w:val="0"/>
                <w:color w:val="auto"/>
                <w:u w:val="single"/>
              </w:rPr>
              <w:t>，</w:t>
            </w:r>
            <w:r>
              <w:rPr>
                <w:rFonts w:hint="eastAsia"/>
                <w:b/>
                <w:bCs w:val="0"/>
                <w:color w:val="auto"/>
                <w:u w:val="single"/>
              </w:rPr>
              <w:t>不属于两高项目</w:t>
            </w:r>
            <w:r>
              <w:rPr>
                <w:b/>
                <w:bCs w:val="0"/>
                <w:color w:val="auto"/>
                <w:u w:val="single"/>
              </w:rPr>
              <w:t>。</w:t>
            </w:r>
          </w:p>
        </w:tc>
        <w:tc>
          <w:tcPr>
            <w:tcW w:w="334" w:type="pct"/>
            <w:noWrap w:val="0"/>
            <w:vAlign w:val="center"/>
          </w:tcPr>
          <w:p w14:paraId="33C83D47">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符合</w:t>
            </w:r>
          </w:p>
        </w:tc>
      </w:tr>
      <w:tr w14:paraId="4461EA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8" w:type="pct"/>
            <w:vMerge w:val="continue"/>
            <w:noWrap w:val="0"/>
            <w:vAlign w:val="center"/>
          </w:tcPr>
          <w:p w14:paraId="222E1ADD">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080D5643">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6CC4DF16">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414" w:type="pct"/>
            <w:vMerge w:val="restart"/>
            <w:noWrap w:val="0"/>
            <w:vAlign w:val="center"/>
          </w:tcPr>
          <w:p w14:paraId="6D90F86D">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污染物排放管控</w:t>
            </w:r>
          </w:p>
        </w:tc>
        <w:tc>
          <w:tcPr>
            <w:tcW w:w="1920" w:type="pct"/>
            <w:noWrap w:val="0"/>
            <w:vAlign w:val="center"/>
          </w:tcPr>
          <w:p w14:paraId="2491E52F">
            <w:pPr>
              <w:pStyle w:val="18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
                <w:bCs w:val="0"/>
                <w:sz w:val="21"/>
                <w:u w:val="single"/>
              </w:rPr>
            </w:pPr>
            <w:r>
              <w:rPr>
                <w:b/>
                <w:bCs w:val="0"/>
                <w:sz w:val="21"/>
                <w:u w:val="single"/>
              </w:rPr>
              <w:t>1、二氧化硫、氮氧化物、颗粒物、VOCs全面执行大气污染物特别排放限值。</w:t>
            </w:r>
          </w:p>
        </w:tc>
        <w:tc>
          <w:tcPr>
            <w:tcW w:w="1213" w:type="pct"/>
            <w:noWrap w:val="0"/>
            <w:vAlign w:val="center"/>
          </w:tcPr>
          <w:p w14:paraId="39306D5A">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b/>
                <w:bCs w:val="0"/>
                <w:color w:val="auto"/>
                <w:u w:val="single"/>
              </w:rPr>
              <w:t>本项目</w:t>
            </w:r>
            <w:r>
              <w:rPr>
                <w:rFonts w:hint="eastAsia"/>
                <w:b/>
                <w:bCs w:val="0"/>
                <w:color w:val="auto"/>
                <w:u w:val="single"/>
              </w:rPr>
              <w:t>涉及颗粒物的排放，执行大气污染物特别排放限值。</w:t>
            </w:r>
          </w:p>
        </w:tc>
        <w:tc>
          <w:tcPr>
            <w:tcW w:w="334" w:type="pct"/>
            <w:noWrap w:val="0"/>
            <w:vAlign w:val="center"/>
          </w:tcPr>
          <w:p w14:paraId="317C70DB">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符合</w:t>
            </w:r>
          </w:p>
        </w:tc>
      </w:tr>
      <w:tr w14:paraId="1E81E2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8" w:type="pct"/>
            <w:vMerge w:val="continue"/>
            <w:noWrap w:val="0"/>
            <w:vAlign w:val="center"/>
          </w:tcPr>
          <w:p w14:paraId="37137E11">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7A96D3BD">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1B2F756A">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414" w:type="pct"/>
            <w:vMerge w:val="continue"/>
            <w:noWrap w:val="0"/>
            <w:vAlign w:val="center"/>
          </w:tcPr>
          <w:p w14:paraId="1E4C642E">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1920" w:type="pct"/>
            <w:noWrap w:val="0"/>
            <w:vAlign w:val="center"/>
          </w:tcPr>
          <w:p w14:paraId="191E4A45">
            <w:pPr>
              <w:pStyle w:val="18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
                <w:bCs w:val="0"/>
                <w:sz w:val="21"/>
                <w:u w:val="single"/>
              </w:rPr>
            </w:pPr>
            <w:r>
              <w:rPr>
                <w:b/>
                <w:bCs w:val="0"/>
                <w:sz w:val="21"/>
                <w:u w:val="single"/>
              </w:rPr>
              <w:t>2、入区企业外排废水全部经管网收集后进入园区污水处理厂。园区污水处理厂出水执行《河南省黄河流域水污染物排放标准》表1公共污水处理系统水污染物基本控制项目排放限值一级标准及属地管理要求。</w:t>
            </w:r>
          </w:p>
        </w:tc>
        <w:tc>
          <w:tcPr>
            <w:tcW w:w="1213" w:type="pct"/>
            <w:noWrap w:val="0"/>
            <w:vAlign w:val="center"/>
          </w:tcPr>
          <w:p w14:paraId="69B9AAAA">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b/>
                <w:bCs w:val="0"/>
                <w:color w:val="auto"/>
                <w:u w:val="single"/>
              </w:rPr>
              <w:t>本项目</w:t>
            </w:r>
            <w:r>
              <w:rPr>
                <w:rFonts w:hint="eastAsia"/>
                <w:b/>
                <w:bCs w:val="0"/>
                <w:color w:val="auto"/>
                <w:u w:val="single"/>
              </w:rPr>
              <w:t>废水经化纤厂新厂区污水处理站处理后排入小店污水处理厂。小店污水处理厂</w:t>
            </w:r>
            <w:r>
              <w:rPr>
                <w:b/>
                <w:bCs w:val="0"/>
                <w:color w:val="auto"/>
                <w:u w:val="single"/>
              </w:rPr>
              <w:t>出水</w:t>
            </w:r>
            <w:r>
              <w:rPr>
                <w:rFonts w:hint="eastAsia"/>
                <w:b/>
                <w:bCs w:val="0"/>
                <w:color w:val="auto"/>
                <w:u w:val="single"/>
              </w:rPr>
              <w:t>满足</w:t>
            </w:r>
            <w:r>
              <w:rPr>
                <w:b/>
                <w:bCs w:val="0"/>
                <w:color w:val="auto"/>
                <w:u w:val="single"/>
              </w:rPr>
              <w:t>《地表水环境质量标准》（GB3838-2002）Ⅴ类标准要求。</w:t>
            </w:r>
          </w:p>
        </w:tc>
        <w:tc>
          <w:tcPr>
            <w:tcW w:w="334" w:type="pct"/>
            <w:noWrap w:val="0"/>
            <w:vAlign w:val="center"/>
          </w:tcPr>
          <w:p w14:paraId="2A4B5627">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符合</w:t>
            </w:r>
          </w:p>
        </w:tc>
      </w:tr>
      <w:tr w14:paraId="3ABCFC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8" w:type="pct"/>
            <w:vMerge w:val="continue"/>
            <w:noWrap w:val="0"/>
            <w:vAlign w:val="center"/>
          </w:tcPr>
          <w:p w14:paraId="03B4387E">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4AB52A27">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55BCD138">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414" w:type="pct"/>
            <w:vMerge w:val="continue"/>
            <w:noWrap w:val="0"/>
            <w:vAlign w:val="center"/>
          </w:tcPr>
          <w:p w14:paraId="09ABBBE8">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1920" w:type="pct"/>
            <w:noWrap w:val="0"/>
            <w:vAlign w:val="center"/>
          </w:tcPr>
          <w:p w14:paraId="616E5BB4">
            <w:pPr>
              <w:pStyle w:val="18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
                <w:bCs w:val="0"/>
                <w:sz w:val="21"/>
                <w:u w:val="single"/>
              </w:rPr>
            </w:pPr>
            <w:r>
              <w:rPr>
                <w:b/>
                <w:bCs w:val="0"/>
                <w:sz w:val="21"/>
                <w:u w:val="single"/>
              </w:rPr>
              <w:t>3、新建耗煤项目还应严格按规定采取煤炭消费减量替代措施，不得使用高污染燃料作为煤炭减量替代措施。</w:t>
            </w:r>
          </w:p>
        </w:tc>
        <w:tc>
          <w:tcPr>
            <w:tcW w:w="1213" w:type="pct"/>
            <w:noWrap w:val="0"/>
            <w:vAlign w:val="center"/>
          </w:tcPr>
          <w:p w14:paraId="461AD109">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b/>
                <w:bCs w:val="0"/>
                <w:color w:val="auto"/>
                <w:u w:val="single"/>
              </w:rPr>
              <w:t>本项目</w:t>
            </w:r>
            <w:r>
              <w:rPr>
                <w:rFonts w:hint="eastAsia"/>
                <w:b/>
                <w:bCs w:val="0"/>
                <w:color w:val="auto"/>
                <w:u w:val="single"/>
              </w:rPr>
              <w:t>不</w:t>
            </w:r>
            <w:r>
              <w:rPr>
                <w:b/>
                <w:bCs w:val="0"/>
                <w:color w:val="auto"/>
                <w:u w:val="single"/>
              </w:rPr>
              <w:t>属于</w:t>
            </w:r>
            <w:r>
              <w:rPr>
                <w:rFonts w:hint="eastAsia"/>
                <w:b/>
                <w:bCs w:val="0"/>
                <w:color w:val="auto"/>
                <w:u w:val="single"/>
              </w:rPr>
              <w:t>新建耗煤项目。</w:t>
            </w:r>
          </w:p>
        </w:tc>
        <w:tc>
          <w:tcPr>
            <w:tcW w:w="334" w:type="pct"/>
            <w:noWrap w:val="0"/>
            <w:vAlign w:val="center"/>
          </w:tcPr>
          <w:p w14:paraId="53CF453F">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符合</w:t>
            </w:r>
          </w:p>
        </w:tc>
      </w:tr>
      <w:tr w14:paraId="1E3DDD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8" w:type="pct"/>
            <w:vMerge w:val="continue"/>
            <w:noWrap w:val="0"/>
            <w:vAlign w:val="center"/>
          </w:tcPr>
          <w:p w14:paraId="77CEFDC2">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751B3E1F">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0CF61AE7">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414" w:type="pct"/>
            <w:vMerge w:val="continue"/>
            <w:noWrap w:val="0"/>
            <w:vAlign w:val="center"/>
          </w:tcPr>
          <w:p w14:paraId="31678C87">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1920" w:type="pct"/>
            <w:noWrap w:val="0"/>
            <w:vAlign w:val="center"/>
          </w:tcPr>
          <w:p w14:paraId="184D5E86">
            <w:pPr>
              <w:pStyle w:val="18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
                <w:bCs w:val="0"/>
                <w:sz w:val="21"/>
                <w:u w:val="single"/>
              </w:rPr>
            </w:pPr>
            <w:r>
              <w:rPr>
                <w:b/>
                <w:bCs w:val="0"/>
                <w:sz w:val="21"/>
                <w:u w:val="single"/>
              </w:rPr>
              <w:t>4、已出台超低排放要求的行业建设项目应满足超低排放要求。</w:t>
            </w:r>
          </w:p>
        </w:tc>
        <w:tc>
          <w:tcPr>
            <w:tcW w:w="1213" w:type="pct"/>
            <w:noWrap w:val="0"/>
            <w:vAlign w:val="center"/>
          </w:tcPr>
          <w:p w14:paraId="2F3B6795">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b/>
                <w:bCs w:val="0"/>
                <w:color w:val="auto"/>
                <w:u w:val="single"/>
              </w:rPr>
              <w:t>本项目</w:t>
            </w:r>
            <w:r>
              <w:rPr>
                <w:rFonts w:hint="eastAsia"/>
                <w:b/>
                <w:bCs w:val="0"/>
                <w:color w:val="auto"/>
                <w:u w:val="single"/>
              </w:rPr>
              <w:t>污染物排放</w:t>
            </w:r>
            <w:r>
              <w:rPr>
                <w:b/>
                <w:bCs w:val="0"/>
                <w:color w:val="auto"/>
                <w:u w:val="single"/>
              </w:rPr>
              <w:t>满足超低排放要求</w:t>
            </w:r>
            <w:r>
              <w:rPr>
                <w:rFonts w:hint="eastAsia"/>
                <w:b/>
                <w:bCs w:val="0"/>
                <w:color w:val="auto"/>
                <w:u w:val="single"/>
              </w:rPr>
              <w:t>。</w:t>
            </w:r>
          </w:p>
        </w:tc>
        <w:tc>
          <w:tcPr>
            <w:tcW w:w="334" w:type="pct"/>
            <w:noWrap w:val="0"/>
            <w:vAlign w:val="center"/>
          </w:tcPr>
          <w:p w14:paraId="1A80ED5F">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符合</w:t>
            </w:r>
          </w:p>
        </w:tc>
      </w:tr>
      <w:tr w14:paraId="1222E1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8" w:type="pct"/>
            <w:vMerge w:val="continue"/>
            <w:noWrap w:val="0"/>
            <w:vAlign w:val="center"/>
          </w:tcPr>
          <w:p w14:paraId="320BD137">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78CAEF18">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2B1C49AA">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414" w:type="pct"/>
            <w:vMerge w:val="continue"/>
            <w:noWrap w:val="0"/>
            <w:vAlign w:val="center"/>
          </w:tcPr>
          <w:p w14:paraId="20178517">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1920" w:type="pct"/>
            <w:noWrap w:val="0"/>
            <w:vAlign w:val="center"/>
          </w:tcPr>
          <w:p w14:paraId="27F4FE95">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b/>
                <w:bCs w:val="0"/>
                <w:color w:val="auto"/>
                <w:u w:val="single"/>
              </w:rPr>
              <w:t>5、严格控制生产和使用高VOCs含量溶剂型涂料、油墨、胶黏剂、清洗剂等建设项目。</w:t>
            </w:r>
          </w:p>
        </w:tc>
        <w:tc>
          <w:tcPr>
            <w:tcW w:w="1213" w:type="pct"/>
            <w:noWrap w:val="0"/>
            <w:vAlign w:val="center"/>
          </w:tcPr>
          <w:p w14:paraId="1B322D5A">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b/>
                <w:bCs w:val="0"/>
                <w:color w:val="auto"/>
                <w:u w:val="single"/>
              </w:rPr>
              <w:t>本项目</w:t>
            </w:r>
            <w:r>
              <w:rPr>
                <w:rFonts w:hint="eastAsia"/>
                <w:b/>
                <w:bCs w:val="0"/>
                <w:color w:val="auto"/>
                <w:u w:val="single"/>
              </w:rPr>
              <w:t>使用原辅料不属于高VOCs含量</w:t>
            </w:r>
            <w:r>
              <w:rPr>
                <w:b/>
                <w:bCs w:val="0"/>
                <w:color w:val="auto"/>
                <w:u w:val="single"/>
              </w:rPr>
              <w:t>。</w:t>
            </w:r>
          </w:p>
        </w:tc>
        <w:tc>
          <w:tcPr>
            <w:tcW w:w="334" w:type="pct"/>
            <w:noWrap w:val="0"/>
            <w:vAlign w:val="center"/>
          </w:tcPr>
          <w:p w14:paraId="552BB4AE">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符合</w:t>
            </w:r>
          </w:p>
        </w:tc>
      </w:tr>
      <w:tr w14:paraId="541C91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8" w:type="pct"/>
            <w:vMerge w:val="continue"/>
            <w:noWrap w:val="0"/>
            <w:vAlign w:val="center"/>
          </w:tcPr>
          <w:p w14:paraId="1F69B30D">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5DC54ABF">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475262F7">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414" w:type="pct"/>
            <w:noWrap w:val="0"/>
            <w:vAlign w:val="center"/>
          </w:tcPr>
          <w:p w14:paraId="38C44C12">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环境风险防控</w:t>
            </w:r>
          </w:p>
        </w:tc>
        <w:tc>
          <w:tcPr>
            <w:tcW w:w="1920" w:type="pct"/>
            <w:noWrap w:val="0"/>
            <w:vAlign w:val="center"/>
          </w:tcPr>
          <w:p w14:paraId="13F29944">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b/>
                <w:bCs w:val="0"/>
                <w:color w:val="auto"/>
                <w:u w:val="single"/>
              </w:rPr>
              <w:t>完善园区级综合环境应急预案，有计划地组织应急培训和演练，全面提升园区风险防控和事故应急处置能力。</w:t>
            </w:r>
          </w:p>
        </w:tc>
        <w:tc>
          <w:tcPr>
            <w:tcW w:w="1213" w:type="pct"/>
            <w:noWrap w:val="0"/>
            <w:vAlign w:val="center"/>
          </w:tcPr>
          <w:p w14:paraId="56600472">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rFonts w:hint="eastAsia"/>
                <w:b/>
                <w:bCs w:val="0"/>
                <w:color w:val="auto"/>
                <w:u w:val="single"/>
              </w:rPr>
              <w:t>符合园区管理要求。</w:t>
            </w:r>
          </w:p>
        </w:tc>
        <w:tc>
          <w:tcPr>
            <w:tcW w:w="334" w:type="pct"/>
            <w:noWrap w:val="0"/>
            <w:vAlign w:val="center"/>
          </w:tcPr>
          <w:p w14:paraId="236B4C1C">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符合</w:t>
            </w:r>
          </w:p>
        </w:tc>
      </w:tr>
      <w:tr w14:paraId="7A5F39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8" w:type="pct"/>
            <w:vMerge w:val="continue"/>
            <w:noWrap w:val="0"/>
            <w:vAlign w:val="center"/>
          </w:tcPr>
          <w:p w14:paraId="640EFBBD">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1ABE2B32">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369" w:type="pct"/>
            <w:vMerge w:val="continue"/>
            <w:noWrap w:val="0"/>
            <w:vAlign w:val="center"/>
          </w:tcPr>
          <w:p w14:paraId="5E397EA2">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p>
        </w:tc>
        <w:tc>
          <w:tcPr>
            <w:tcW w:w="414" w:type="pct"/>
            <w:noWrap w:val="0"/>
            <w:vAlign w:val="center"/>
          </w:tcPr>
          <w:p w14:paraId="678C8193">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b/>
                <w:bCs w:val="0"/>
                <w:color w:val="auto"/>
                <w:u w:val="single"/>
              </w:rPr>
              <w:t>资源利用效率要求</w:t>
            </w:r>
          </w:p>
        </w:tc>
        <w:tc>
          <w:tcPr>
            <w:tcW w:w="1920" w:type="pct"/>
            <w:noWrap w:val="0"/>
            <w:vAlign w:val="center"/>
          </w:tcPr>
          <w:p w14:paraId="47818F2F">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b/>
                <w:bCs w:val="0"/>
                <w:color w:val="auto"/>
                <w:u w:val="single"/>
              </w:rPr>
              <w:t>进一步优化能源结构，逐步实施集中供热和供气，加快集中供热设施及配套管网建设。</w:t>
            </w:r>
          </w:p>
        </w:tc>
        <w:tc>
          <w:tcPr>
            <w:tcW w:w="1213" w:type="pct"/>
            <w:noWrap w:val="0"/>
            <w:vAlign w:val="center"/>
          </w:tcPr>
          <w:p w14:paraId="13EF480B">
            <w:pPr>
              <w:pStyle w:val="182"/>
              <w:keepNext w:val="0"/>
              <w:keepLines w:val="0"/>
              <w:pageBreakBefore w:val="0"/>
              <w:widowControl w:val="0"/>
              <w:kinsoku/>
              <w:wordWrap/>
              <w:overflowPunct/>
              <w:topLinePunct w:val="0"/>
              <w:autoSpaceDE/>
              <w:autoSpaceDN/>
              <w:bidi w:val="0"/>
              <w:adjustRightInd w:val="0"/>
              <w:snapToGrid w:val="0"/>
              <w:jc w:val="left"/>
              <w:textAlignment w:val="auto"/>
              <w:rPr>
                <w:b/>
                <w:bCs w:val="0"/>
                <w:color w:val="auto"/>
                <w:u w:val="single"/>
              </w:rPr>
            </w:pPr>
            <w:r>
              <w:rPr>
                <w:rFonts w:hint="eastAsia"/>
                <w:b/>
                <w:bCs w:val="0"/>
                <w:color w:val="auto"/>
                <w:u w:val="single"/>
              </w:rPr>
              <w:t>本项目蒸汽依托化纤厂新厂区供热锅炉。符合园区管理要求。</w:t>
            </w:r>
          </w:p>
        </w:tc>
        <w:tc>
          <w:tcPr>
            <w:tcW w:w="334" w:type="pct"/>
            <w:noWrap w:val="0"/>
            <w:vAlign w:val="center"/>
          </w:tcPr>
          <w:p w14:paraId="0F129193">
            <w:pPr>
              <w:pStyle w:val="182"/>
              <w:keepNext w:val="0"/>
              <w:keepLines w:val="0"/>
              <w:pageBreakBefore w:val="0"/>
              <w:widowControl w:val="0"/>
              <w:kinsoku/>
              <w:wordWrap/>
              <w:overflowPunct/>
              <w:topLinePunct w:val="0"/>
              <w:autoSpaceDE/>
              <w:autoSpaceDN/>
              <w:bidi w:val="0"/>
              <w:adjustRightInd w:val="0"/>
              <w:snapToGrid w:val="0"/>
              <w:textAlignment w:val="auto"/>
              <w:rPr>
                <w:b/>
                <w:bCs w:val="0"/>
                <w:color w:val="auto"/>
                <w:u w:val="single"/>
              </w:rPr>
            </w:pPr>
            <w:r>
              <w:rPr>
                <w:rFonts w:hint="eastAsia"/>
                <w:b/>
                <w:bCs w:val="0"/>
                <w:color w:val="auto"/>
                <w:u w:val="single"/>
              </w:rPr>
              <w:t>符合</w:t>
            </w:r>
          </w:p>
        </w:tc>
      </w:tr>
    </w:tbl>
    <w:p w14:paraId="0E68DFA7">
      <w:pPr>
        <w:pStyle w:val="3"/>
        <w:bidi w:val="0"/>
        <w:rPr>
          <w:color w:val="auto"/>
        </w:rPr>
      </w:pPr>
      <w:bookmarkStart w:id="24" w:name="_Toc25382"/>
      <w:r>
        <w:rPr>
          <w:color w:val="auto"/>
        </w:rPr>
        <w:t>项目关注的主要环境问题</w:t>
      </w:r>
      <w:bookmarkEnd w:id="24"/>
    </w:p>
    <w:p w14:paraId="62B8778B">
      <w:pPr>
        <w:bidi w:val="0"/>
        <w:rPr>
          <w:color w:val="auto"/>
        </w:rPr>
      </w:pPr>
      <w:r>
        <w:rPr>
          <w:color w:val="auto"/>
        </w:rPr>
        <w:t>项目区域环境空气、地表水、地下水以及区域声环境质量现状能否满足相应的标准限值要求；项目环境影响的可接受程度以及污染防治措施是否可行，主要包括：</w:t>
      </w:r>
    </w:p>
    <w:p w14:paraId="7FE08E89">
      <w:pPr>
        <w:numPr>
          <w:ilvl w:val="0"/>
          <w:numId w:val="6"/>
        </w:numPr>
        <w:bidi w:val="0"/>
        <w:rPr>
          <w:color w:val="auto"/>
        </w:rPr>
      </w:pPr>
      <w:r>
        <w:rPr>
          <w:color w:val="auto"/>
        </w:rPr>
        <w:t>项目产生的废气污染物产生情况和治理措施，确保项目废气排放达到国家、地方规定的排放标准；</w:t>
      </w:r>
    </w:p>
    <w:p w14:paraId="76E7F3D9">
      <w:pPr>
        <w:numPr>
          <w:ilvl w:val="0"/>
          <w:numId w:val="6"/>
        </w:numPr>
        <w:bidi w:val="0"/>
        <w:rPr>
          <w:color w:val="auto"/>
        </w:rPr>
      </w:pPr>
      <w:r>
        <w:rPr>
          <w:color w:val="auto"/>
        </w:rPr>
        <w:t>项目废水处理措施的可行性，确保废水处理后达标排放；</w:t>
      </w:r>
    </w:p>
    <w:p w14:paraId="0F5DDA97">
      <w:pPr>
        <w:numPr>
          <w:ilvl w:val="0"/>
          <w:numId w:val="6"/>
        </w:numPr>
        <w:bidi w:val="0"/>
        <w:rPr>
          <w:color w:val="auto"/>
        </w:rPr>
      </w:pPr>
      <w:r>
        <w:rPr>
          <w:color w:val="auto"/>
        </w:rPr>
        <w:t>设备运营过程中噪声对周边环境的影响；</w:t>
      </w:r>
    </w:p>
    <w:p w14:paraId="4E242EBD">
      <w:pPr>
        <w:numPr>
          <w:ilvl w:val="0"/>
          <w:numId w:val="6"/>
        </w:numPr>
        <w:bidi w:val="0"/>
        <w:rPr>
          <w:color w:val="auto"/>
        </w:rPr>
      </w:pPr>
      <w:r>
        <w:rPr>
          <w:color w:val="auto"/>
        </w:rPr>
        <w:t>运营期各类固废的处理方式，固废是否全部合理处置；</w:t>
      </w:r>
    </w:p>
    <w:p w14:paraId="06901860">
      <w:pPr>
        <w:numPr>
          <w:ilvl w:val="0"/>
          <w:numId w:val="6"/>
        </w:numPr>
        <w:bidi w:val="0"/>
        <w:rPr>
          <w:color w:val="auto"/>
        </w:rPr>
      </w:pPr>
      <w:r>
        <w:rPr>
          <w:color w:val="auto"/>
        </w:rPr>
        <w:t>项目运营过程中存在环境风险能否控制在可接受的范围内；</w:t>
      </w:r>
    </w:p>
    <w:p w14:paraId="33AAA663">
      <w:pPr>
        <w:numPr>
          <w:ilvl w:val="0"/>
          <w:numId w:val="6"/>
        </w:numPr>
        <w:bidi w:val="0"/>
        <w:rPr>
          <w:color w:val="auto"/>
        </w:rPr>
      </w:pPr>
      <w:r>
        <w:rPr>
          <w:color w:val="auto"/>
        </w:rPr>
        <w:t>项目营运期对区域环境和敏感目标的影响。</w:t>
      </w:r>
    </w:p>
    <w:p w14:paraId="6F07585A">
      <w:pPr>
        <w:pStyle w:val="3"/>
        <w:bidi w:val="0"/>
        <w:rPr>
          <w:color w:val="auto"/>
        </w:rPr>
      </w:pPr>
      <w:bookmarkStart w:id="25" w:name="_Toc25687"/>
      <w:r>
        <w:rPr>
          <w:color w:val="auto"/>
        </w:rPr>
        <w:t>环境影响</w:t>
      </w:r>
      <w:r>
        <w:rPr>
          <w:rFonts w:hint="eastAsia"/>
          <w:color w:val="auto"/>
        </w:rPr>
        <w:t>评价</w:t>
      </w:r>
      <w:r>
        <w:rPr>
          <w:color w:val="auto"/>
        </w:rPr>
        <w:t>主要结论</w:t>
      </w:r>
      <w:bookmarkEnd w:id="25"/>
    </w:p>
    <w:p w14:paraId="4EEA5E1A">
      <w:pPr>
        <w:rPr>
          <w:color w:val="auto"/>
        </w:rPr>
        <w:sectPr>
          <w:footerReference r:id="rId9" w:type="default"/>
          <w:pgSz w:w="11910" w:h="16850"/>
          <w:pgMar w:top="1440" w:right="1800" w:bottom="1440" w:left="1800" w:header="884" w:footer="1033" w:gutter="0"/>
          <w:pgBorders>
            <w:top w:val="none" w:sz="0" w:space="0"/>
            <w:left w:val="none" w:sz="0" w:space="0"/>
            <w:bottom w:val="none" w:sz="0" w:space="0"/>
            <w:right w:val="none" w:sz="0" w:space="0"/>
          </w:pgBorders>
          <w:pgNumType w:fmt="decimal" w:chapSep="emDash"/>
          <w:cols w:space="720" w:num="1"/>
        </w:sectPr>
      </w:pPr>
      <w:r>
        <w:rPr>
          <w:rFonts w:hint="eastAsia"/>
          <w:color w:val="auto"/>
          <w:highlight w:val="none"/>
          <w:shd w:val="clear"/>
        </w:rPr>
        <w:t>新乡化纤股份有限公司</w:t>
      </w:r>
      <w:r>
        <w:rPr>
          <w:rFonts w:hint="eastAsia"/>
          <w:color w:val="auto"/>
          <w:highlight w:val="none"/>
          <w:shd w:val="clear"/>
          <w:lang w:eastAsia="zh-CN"/>
        </w:rPr>
        <w:t>年产1000吨DT溶剂法再生纤维素纤维中试研发项目</w:t>
      </w:r>
      <w:r>
        <w:rPr>
          <w:rFonts w:hint="eastAsia"/>
          <w:color w:val="auto"/>
          <w:highlight w:val="none"/>
          <w:shd w:val="clear"/>
        </w:rPr>
        <w:t>属于《产业结构调整指导目录（20</w:t>
      </w:r>
      <w:r>
        <w:rPr>
          <w:rFonts w:hint="eastAsia"/>
          <w:color w:val="auto"/>
          <w:highlight w:val="none"/>
          <w:shd w:val="clear"/>
          <w:lang w:val="en-US" w:eastAsia="zh-CN"/>
        </w:rPr>
        <w:t>24</w:t>
      </w:r>
      <w:r>
        <w:rPr>
          <w:rFonts w:hint="eastAsia"/>
          <w:color w:val="auto"/>
          <w:highlight w:val="none"/>
          <w:shd w:val="clear"/>
        </w:rPr>
        <w:t>年本）》中鼓励类“二十、纺织”第10项“利用棉纺织品回收生产的再生纤维素纤维产品，废旧纺织品回收再利用技术、设备的研发和应用”，符合国家产业政策要求</w:t>
      </w:r>
      <w:r>
        <w:rPr>
          <w:rFonts w:hint="eastAsia"/>
          <w:color w:val="auto"/>
          <w:highlight w:val="none"/>
          <w:shd w:val="clear"/>
          <w:lang w:eastAsia="zh-CN"/>
        </w:rPr>
        <w:t>，</w:t>
      </w:r>
      <w:r>
        <w:rPr>
          <w:rFonts w:hint="eastAsia"/>
          <w:color w:val="auto"/>
          <w:highlight w:val="none"/>
          <w:shd w:val="clear"/>
        </w:rPr>
        <w:t>符合国家产业政策；项目用地为工业用地，符合园区总体发展规划要求；根据环境影响预测结果：在保证评价要求和工程设计的防治措施正常运行的条件下，本项目对周围大气环境、地表水环境、地下水环境</w:t>
      </w:r>
      <w:r>
        <w:rPr>
          <w:rFonts w:hint="eastAsia"/>
          <w:color w:val="auto"/>
          <w:highlight w:val="none"/>
          <w:shd w:val="clear"/>
          <w:lang w:eastAsia="zh-CN"/>
        </w:rPr>
        <w:t>、</w:t>
      </w:r>
      <w:r>
        <w:rPr>
          <w:rFonts w:hint="eastAsia"/>
          <w:color w:val="auto"/>
          <w:highlight w:val="none"/>
          <w:shd w:val="clear"/>
          <w:lang w:val="en-US" w:eastAsia="zh-CN"/>
        </w:rPr>
        <w:t>土壤</w:t>
      </w:r>
      <w:r>
        <w:rPr>
          <w:rFonts w:hint="eastAsia"/>
          <w:color w:val="auto"/>
          <w:highlight w:val="none"/>
          <w:shd w:val="clear"/>
        </w:rPr>
        <w:t>以及声环境的影响可接受；工程环境风险可接受；工程完成后，各项污染防治措施可行，全厂废水、废气、噪声污染物能够做到达标排放，固废采取了有效的处置措施；公众参与调查结果表明，公众对项目的建设无反对意见。从环保角度而言，该项目建设可行。</w:t>
      </w:r>
    </w:p>
    <w:bookmarkEnd w:id="6"/>
    <w:bookmarkEnd w:id="7"/>
    <w:bookmarkEnd w:id="8"/>
    <w:bookmarkEnd w:id="9"/>
    <w:p w14:paraId="4C35E940">
      <w:pPr>
        <w:pStyle w:val="2"/>
        <w:bidi w:val="0"/>
        <w:rPr>
          <w:color w:val="auto"/>
        </w:rPr>
      </w:pPr>
      <w:bookmarkStart w:id="26" w:name="_Toc18408"/>
      <w:bookmarkStart w:id="27" w:name="_Toc3463"/>
      <w:bookmarkStart w:id="28" w:name="_Toc1289"/>
      <w:bookmarkStart w:id="29" w:name="_Toc67041034"/>
      <w:r>
        <w:rPr>
          <w:color w:val="auto"/>
        </w:rPr>
        <w:t>总则</w:t>
      </w:r>
      <w:bookmarkEnd w:id="26"/>
      <w:bookmarkEnd w:id="27"/>
      <w:bookmarkEnd w:id="28"/>
      <w:bookmarkEnd w:id="29"/>
    </w:p>
    <w:p w14:paraId="434917D0">
      <w:pPr>
        <w:pStyle w:val="3"/>
        <w:bidi w:val="0"/>
        <w:rPr>
          <w:color w:val="auto"/>
        </w:rPr>
      </w:pPr>
      <w:bookmarkStart w:id="30" w:name="_Toc13942"/>
      <w:bookmarkStart w:id="31" w:name="_Toc11985"/>
      <w:bookmarkStart w:id="32" w:name="_Toc12895"/>
      <w:bookmarkStart w:id="33" w:name="_Toc67041035"/>
      <w:r>
        <w:rPr>
          <w:color w:val="auto"/>
        </w:rPr>
        <w:t>编制依据</w:t>
      </w:r>
      <w:bookmarkEnd w:id="30"/>
      <w:bookmarkEnd w:id="31"/>
      <w:bookmarkEnd w:id="32"/>
      <w:bookmarkStart w:id="34" w:name="_Toc2589"/>
      <w:bookmarkStart w:id="35" w:name="_Toc160"/>
      <w:bookmarkStart w:id="36" w:name="_Toc29331"/>
      <w:bookmarkStart w:id="37" w:name="_Toc15122"/>
      <w:bookmarkStart w:id="38" w:name="_Toc21559"/>
      <w:bookmarkStart w:id="39" w:name="_Toc15202"/>
      <w:bookmarkStart w:id="40" w:name="_Toc15351"/>
      <w:bookmarkStart w:id="41" w:name="_Toc6733"/>
      <w:bookmarkStart w:id="42" w:name="_Toc1533"/>
      <w:bookmarkStart w:id="43" w:name="_Toc27374"/>
    </w:p>
    <w:p w14:paraId="69419D67">
      <w:pPr>
        <w:pStyle w:val="5"/>
        <w:bidi w:val="0"/>
        <w:rPr>
          <w:color w:val="auto"/>
        </w:rPr>
      </w:pPr>
      <w:r>
        <w:rPr>
          <w:rFonts w:hint="eastAsia"/>
          <w:color w:val="auto"/>
          <w:lang w:val="en-US" w:eastAsia="zh-CN"/>
        </w:rPr>
        <w:t>相关法律法规</w:t>
      </w:r>
      <w:bookmarkEnd w:id="34"/>
      <w:bookmarkEnd w:id="35"/>
      <w:bookmarkEnd w:id="36"/>
      <w:bookmarkEnd w:id="37"/>
      <w:bookmarkEnd w:id="38"/>
      <w:bookmarkEnd w:id="39"/>
      <w:bookmarkEnd w:id="40"/>
      <w:bookmarkEnd w:id="41"/>
      <w:bookmarkEnd w:id="42"/>
      <w:bookmarkEnd w:id="43"/>
    </w:p>
    <w:bookmarkEnd w:id="33"/>
    <w:p w14:paraId="77C2E54D">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（1）《中华人民共和国环境保护法》）2015年1月1日实施；</w:t>
      </w:r>
    </w:p>
    <w:p w14:paraId="57686F00">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（2）《中华人民共和国环境影响评价法》（2018年12月29日实施；</w:t>
      </w:r>
    </w:p>
    <w:p w14:paraId="48D45A0B">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（3）《建设项目环境保护管理条例》2017年10月1日实施；</w:t>
      </w:r>
    </w:p>
    <w:p w14:paraId="6ADF6879">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（4）《中华人民共和国大气污染防治法》2018年10月26日实施；</w:t>
      </w:r>
    </w:p>
    <w:p w14:paraId="4E5D4E6E">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（5）《中华人民共和国水污染防治法》》2018年1月1日实施；</w:t>
      </w:r>
    </w:p>
    <w:p w14:paraId="1285D56A">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（6）《中华人民共和国噪声污染防治法》2022年6月5日实施；</w:t>
      </w:r>
    </w:p>
    <w:p w14:paraId="6C8B613C">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（7）《中华人民共和国固体废物污染环境防治法》2020年9月1日实施；</w:t>
      </w:r>
    </w:p>
    <w:p w14:paraId="12E77588">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（8）中华人民共和国文物保护法（2017年修正本）；</w:t>
      </w:r>
    </w:p>
    <w:p w14:paraId="7A605676">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（9）《中华人民共和国清洁生产促进法》2012年7月1日实施；</w:t>
      </w:r>
    </w:p>
    <w:p w14:paraId="322791DE">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（10）《中华人民共和国循环经济促进法》2018年10月26日实施；</w:t>
      </w:r>
    </w:p>
    <w:p w14:paraId="6955CA58">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（11）《中华人民共和国土地管理法》2004年8月28号实施；</w:t>
      </w:r>
    </w:p>
    <w:p w14:paraId="623E82CB">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（12）《基本农田保护条例》（(2011年1月8日修正版）；</w:t>
      </w:r>
    </w:p>
    <w:p w14:paraId="6914B075">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（13）《环境影响评价公众参与办法》（生态环境部令第4号）；</w:t>
      </w:r>
    </w:p>
    <w:p w14:paraId="432BD35A">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（12）《国家危险废物名录》（2021）；</w:t>
      </w:r>
    </w:p>
    <w:p w14:paraId="677613E3">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（13）《建设项目环境影响评价分类管理名录（2021年版）》（部令第16号）。</w:t>
      </w:r>
    </w:p>
    <w:p w14:paraId="69B2A9CF">
      <w:pPr>
        <w:keepNext w:val="0"/>
        <w:keepLines w:val="0"/>
        <w:pageBreakBefore w:val="0"/>
        <w:widowControl w:val="0"/>
        <w:numPr>
          <w:ilvl w:val="0"/>
          <w:numId w:val="0"/>
        </w:numPr>
        <w:kinsoku/>
        <w:wordWrap/>
        <w:overflowPunct/>
        <w:topLinePunct w:val="0"/>
        <w:autoSpaceDE/>
        <w:autoSpaceDN/>
        <w:bidi w:val="0"/>
        <w:adjustRightInd w:val="0"/>
        <w:snapToGrid w:val="0"/>
        <w:ind w:firstLine="482" w:firstLineChars="200"/>
        <w:textAlignment w:val="auto"/>
        <w:rPr>
          <w:rFonts w:hint="eastAsia" w:ascii="Times New Roman" w:hAnsi="Times New Roman" w:eastAsia="宋体" w:cs="Times New Roman"/>
          <w:b/>
          <w:bCs/>
          <w:color w:val="auto"/>
          <w:kern w:val="2"/>
          <w:sz w:val="24"/>
          <w:szCs w:val="24"/>
          <w:u w:val="single"/>
          <w:lang w:val="en-US" w:eastAsia="zh-CN" w:bidi="ar-SA"/>
        </w:rPr>
      </w:pPr>
      <w:r>
        <w:rPr>
          <w:rFonts w:hint="eastAsia" w:cs="Times New Roman"/>
          <w:b/>
          <w:bCs/>
          <w:color w:val="auto"/>
          <w:kern w:val="2"/>
          <w:sz w:val="24"/>
          <w:szCs w:val="24"/>
          <w:u w:val="single"/>
          <w:lang w:val="en-US" w:eastAsia="zh-CN" w:bidi="ar-SA"/>
        </w:rPr>
        <w:t>（14）中华人民共和国黄河保护法（2022年10月30日）</w:t>
      </w:r>
    </w:p>
    <w:p w14:paraId="6DF23A76">
      <w:pPr>
        <w:pStyle w:val="5"/>
        <w:bidi w:val="0"/>
        <w:rPr>
          <w:rFonts w:hint="default"/>
          <w:lang w:val="en-US"/>
        </w:rPr>
      </w:pPr>
      <w:r>
        <w:rPr>
          <w:rFonts w:hint="eastAsia"/>
          <w:color w:val="auto"/>
          <w:lang w:val="en-US" w:eastAsia="zh-CN"/>
        </w:rPr>
        <w:t>相关政策及规划</w:t>
      </w:r>
    </w:p>
    <w:p w14:paraId="53B2A9FC">
      <w:pPr>
        <w:rPr>
          <w:rFonts w:hint="eastAsia" w:eastAsia="宋体"/>
          <w:b/>
          <w:bCs/>
          <w:u w:val="single"/>
          <w:lang w:val="en-US" w:eastAsia="zh-CN"/>
        </w:rPr>
      </w:pPr>
      <w:r>
        <w:rPr>
          <w:rFonts w:hint="eastAsia"/>
          <w:b/>
          <w:bCs/>
          <w:u w:val="single"/>
          <w:lang w:val="en-US" w:eastAsia="zh-CN"/>
        </w:rPr>
        <w:t>（1）</w:t>
      </w:r>
      <w:r>
        <w:rPr>
          <w:rFonts w:hint="default"/>
          <w:b/>
          <w:bCs/>
          <w:u w:val="single"/>
          <w:lang w:val="en-US"/>
        </w:rPr>
        <w:t>《产业结构调整指导目录</w:t>
      </w:r>
      <w:r>
        <w:rPr>
          <w:rFonts w:hint="eastAsia"/>
          <w:b/>
          <w:bCs/>
          <w:u w:val="single"/>
          <w:lang w:val="en-US" w:eastAsia="zh-CN"/>
        </w:rPr>
        <w:t>（</w:t>
      </w:r>
      <w:r>
        <w:rPr>
          <w:rFonts w:hint="default"/>
          <w:b/>
          <w:bCs/>
          <w:u w:val="single"/>
          <w:lang w:val="en-US"/>
        </w:rPr>
        <w:t>2024年本</w:t>
      </w:r>
      <w:r>
        <w:rPr>
          <w:rFonts w:hint="eastAsia"/>
          <w:b/>
          <w:bCs/>
          <w:u w:val="single"/>
          <w:lang w:val="en-US" w:eastAsia="zh-CN"/>
        </w:rPr>
        <w:t>）</w:t>
      </w:r>
      <w:r>
        <w:rPr>
          <w:rFonts w:hint="default"/>
          <w:b/>
          <w:bCs/>
          <w:u w:val="single"/>
          <w:lang w:val="en-US"/>
        </w:rPr>
        <w:t>》</w:t>
      </w:r>
      <w:r>
        <w:rPr>
          <w:rFonts w:hint="eastAsia"/>
          <w:b/>
          <w:bCs/>
          <w:u w:val="single"/>
          <w:lang w:val="en-US" w:eastAsia="zh-CN"/>
        </w:rPr>
        <w:t>；</w:t>
      </w:r>
    </w:p>
    <w:p w14:paraId="45A37EBB">
      <w:pPr>
        <w:rPr>
          <w:rFonts w:hint="eastAsia" w:eastAsia="宋体"/>
          <w:b/>
          <w:bCs/>
          <w:u w:val="single"/>
          <w:lang w:val="en-US" w:eastAsia="zh-CN"/>
        </w:rPr>
      </w:pPr>
      <w:r>
        <w:rPr>
          <w:rFonts w:hint="eastAsia"/>
          <w:b/>
          <w:bCs/>
          <w:u w:val="single"/>
          <w:lang w:val="en-US" w:eastAsia="zh-CN"/>
        </w:rPr>
        <w:t>（2）</w:t>
      </w:r>
      <w:r>
        <w:rPr>
          <w:rFonts w:hint="default"/>
          <w:b/>
          <w:bCs/>
          <w:u w:val="single"/>
          <w:lang w:val="en-US"/>
        </w:rPr>
        <w:t>《新乡市城市饮用水水源地保护区划分报告》</w:t>
      </w:r>
      <w:r>
        <w:rPr>
          <w:rFonts w:hint="eastAsia"/>
          <w:b/>
          <w:bCs/>
          <w:u w:val="single"/>
          <w:lang w:val="en-US" w:eastAsia="zh-CN"/>
        </w:rPr>
        <w:t>（</w:t>
      </w:r>
      <w:r>
        <w:rPr>
          <w:rFonts w:hint="default"/>
          <w:b/>
          <w:bCs/>
          <w:u w:val="single"/>
          <w:lang w:val="en-US"/>
        </w:rPr>
        <w:t>2007.4</w:t>
      </w:r>
      <w:r>
        <w:rPr>
          <w:rFonts w:hint="eastAsia"/>
          <w:b/>
          <w:bCs/>
          <w:u w:val="single"/>
          <w:lang w:val="en-US" w:eastAsia="zh-CN"/>
        </w:rPr>
        <w:t>）；</w:t>
      </w:r>
    </w:p>
    <w:p w14:paraId="1DC9E1F8">
      <w:pPr>
        <w:rPr>
          <w:rFonts w:hint="eastAsia"/>
          <w:b/>
          <w:bCs/>
          <w:u w:val="single"/>
          <w:lang w:val="en-US" w:eastAsia="zh-CN"/>
        </w:rPr>
      </w:pPr>
      <w:r>
        <w:rPr>
          <w:rFonts w:hint="eastAsia"/>
          <w:b/>
          <w:bCs/>
          <w:u w:val="single"/>
          <w:lang w:val="en-US" w:eastAsia="zh-CN"/>
        </w:rPr>
        <w:t>（3）</w:t>
      </w:r>
      <w:r>
        <w:rPr>
          <w:rFonts w:hint="default"/>
          <w:b/>
          <w:bCs/>
          <w:u w:val="single"/>
          <w:lang w:val="en-US"/>
        </w:rPr>
        <w:t>《新乡市生态环境局关于对&lt;新乡市“三线一单”生态环境准人清</w:t>
      </w:r>
      <w:r>
        <w:rPr>
          <w:rFonts w:hint="eastAsia"/>
          <w:b/>
          <w:bCs/>
          <w:u w:val="single"/>
          <w:lang w:val="en-US" w:eastAsia="zh-CN"/>
        </w:rPr>
        <w:t>（</w:t>
      </w:r>
      <w:r>
        <w:rPr>
          <w:rFonts w:hint="default"/>
          <w:b/>
          <w:bCs/>
          <w:u w:val="single"/>
          <w:lang w:val="en-US"/>
        </w:rPr>
        <w:t>3</w:t>
      </w:r>
      <w:r>
        <w:rPr>
          <w:rFonts w:hint="eastAsia"/>
          <w:b/>
          <w:bCs/>
          <w:u w:val="single"/>
          <w:lang w:val="en-US" w:eastAsia="zh-CN"/>
        </w:rPr>
        <w:t>）</w:t>
      </w:r>
      <w:r>
        <w:rPr>
          <w:rFonts w:hint="default"/>
          <w:b/>
          <w:bCs/>
          <w:u w:val="single"/>
          <w:lang w:val="en-US"/>
        </w:rPr>
        <w:t>单&gt;</w:t>
      </w:r>
      <w:r>
        <w:rPr>
          <w:rFonts w:hint="eastAsia"/>
          <w:b/>
          <w:bCs/>
          <w:u w:val="single"/>
          <w:lang w:val="en-US" w:eastAsia="zh-CN"/>
        </w:rPr>
        <w:t>（</w:t>
      </w:r>
      <w:r>
        <w:rPr>
          <w:rFonts w:hint="default"/>
          <w:b/>
          <w:bCs/>
          <w:u w:val="single"/>
          <w:lang w:val="en-US"/>
        </w:rPr>
        <w:t>试行</w:t>
      </w:r>
      <w:r>
        <w:rPr>
          <w:rFonts w:hint="eastAsia"/>
          <w:b/>
          <w:bCs/>
          <w:u w:val="single"/>
          <w:lang w:val="en-US" w:eastAsia="zh-CN"/>
        </w:rPr>
        <w:t>）</w:t>
      </w:r>
      <w:r>
        <w:rPr>
          <w:rFonts w:hint="default"/>
          <w:b/>
          <w:bCs/>
          <w:u w:val="single"/>
          <w:lang w:val="en-US"/>
        </w:rPr>
        <w:t>更新的函》</w:t>
      </w:r>
      <w:r>
        <w:rPr>
          <w:rFonts w:hint="eastAsia"/>
          <w:b/>
          <w:bCs/>
          <w:u w:val="single"/>
          <w:lang w:val="en-US" w:eastAsia="zh-CN"/>
        </w:rPr>
        <w:t>（</w:t>
      </w:r>
      <w:r>
        <w:rPr>
          <w:rFonts w:hint="default"/>
          <w:b/>
          <w:bCs/>
          <w:u w:val="single"/>
          <w:lang w:val="en-US"/>
        </w:rPr>
        <w:t>新环函</w:t>
      </w:r>
      <w:r>
        <w:rPr>
          <w:rFonts w:hint="eastAsia"/>
          <w:b/>
          <w:bCs/>
          <w:u w:val="single"/>
          <w:lang w:val="en-US" w:eastAsia="zh-CN"/>
        </w:rPr>
        <w:t>（</w:t>
      </w:r>
      <w:r>
        <w:rPr>
          <w:rFonts w:hint="default"/>
          <w:b/>
          <w:bCs/>
          <w:u w:val="single"/>
          <w:lang w:val="en-US"/>
        </w:rPr>
        <w:t>2024</w:t>
      </w:r>
      <w:r>
        <w:rPr>
          <w:rFonts w:hint="eastAsia"/>
          <w:b/>
          <w:bCs/>
          <w:u w:val="single"/>
          <w:lang w:val="en-US" w:eastAsia="zh-CN"/>
        </w:rPr>
        <w:t>）</w:t>
      </w:r>
      <w:r>
        <w:rPr>
          <w:rFonts w:hint="default"/>
          <w:b/>
          <w:bCs/>
          <w:u w:val="single"/>
          <w:lang w:val="en-US"/>
        </w:rPr>
        <w:t>5号</w:t>
      </w:r>
      <w:r>
        <w:rPr>
          <w:rFonts w:hint="eastAsia"/>
          <w:b/>
          <w:bCs/>
          <w:u w:val="single"/>
          <w:lang w:val="en-US" w:eastAsia="zh-CN"/>
        </w:rPr>
        <w:t>）；</w:t>
      </w:r>
    </w:p>
    <w:p w14:paraId="04A3158A">
      <w:pPr>
        <w:rPr>
          <w:rFonts w:hint="eastAsia"/>
          <w:b/>
          <w:bCs/>
          <w:u w:val="single"/>
          <w:lang w:val="en-US" w:eastAsia="zh-CN"/>
        </w:rPr>
      </w:pPr>
      <w:r>
        <w:rPr>
          <w:rFonts w:hint="eastAsia"/>
          <w:b/>
          <w:bCs/>
          <w:u w:val="single"/>
          <w:lang w:val="en-US" w:eastAsia="zh-CN"/>
        </w:rPr>
        <w:t>（4）《新乡市“十四五”生态环境保护和生态经济发展规划》《黄河流域生态保护和高质量发展规划纲要》；</w:t>
      </w:r>
    </w:p>
    <w:p w14:paraId="71C7667D">
      <w:pPr>
        <w:rPr>
          <w:rFonts w:hint="eastAsia"/>
          <w:b/>
          <w:bCs/>
          <w:u w:val="single"/>
          <w:lang w:val="en-US" w:eastAsia="zh-CN"/>
        </w:rPr>
      </w:pPr>
      <w:r>
        <w:rPr>
          <w:rFonts w:hint="eastAsia"/>
          <w:b/>
          <w:bCs/>
          <w:u w:val="single"/>
          <w:lang w:val="en-US" w:eastAsia="zh-CN"/>
        </w:rPr>
        <w:t>（5）《关于印发&lt;黄河生态保护治理攻坚战行动方案&gt;的通知》（环综合（2022）51号）；</w:t>
      </w:r>
    </w:p>
    <w:p w14:paraId="6F15D4A6">
      <w:pPr>
        <w:rPr>
          <w:rFonts w:hint="eastAsia"/>
          <w:b/>
          <w:bCs/>
          <w:u w:val="single"/>
          <w:lang w:val="en-US" w:eastAsia="zh-CN"/>
        </w:rPr>
      </w:pPr>
      <w:r>
        <w:rPr>
          <w:rFonts w:hint="eastAsia"/>
          <w:b/>
          <w:bCs/>
          <w:u w:val="single"/>
          <w:lang w:val="en-US" w:eastAsia="zh-CN"/>
        </w:rPr>
        <w:t>（6）《河南省重污染天气通用行业应急减排措施制定技术指南（2021年修订版）》；</w:t>
      </w:r>
    </w:p>
    <w:p w14:paraId="5E8C5E63">
      <w:pPr>
        <w:rPr>
          <w:rFonts w:hint="eastAsia"/>
          <w:b/>
          <w:bCs/>
          <w:u w:val="single"/>
          <w:lang w:val="en-US" w:eastAsia="zh-CN"/>
        </w:rPr>
      </w:pPr>
      <w:r>
        <w:rPr>
          <w:rFonts w:hint="eastAsia"/>
          <w:b/>
          <w:bCs/>
          <w:u w:val="single"/>
          <w:lang w:val="en-US" w:eastAsia="zh-CN"/>
        </w:rPr>
        <w:t>（7）《关于印发&lt;“十四五”噪声污染防治行动计划&gt;的通知》（环大气[2023]1号）；</w:t>
      </w:r>
    </w:p>
    <w:p w14:paraId="1E7998A3">
      <w:pPr>
        <w:rPr>
          <w:rFonts w:hint="eastAsia"/>
          <w:b/>
          <w:bCs/>
          <w:u w:val="single"/>
          <w:lang w:val="en-US" w:eastAsia="zh-CN"/>
        </w:rPr>
      </w:pPr>
      <w:r>
        <w:rPr>
          <w:rFonts w:hint="eastAsia"/>
          <w:b/>
          <w:bCs/>
          <w:u w:val="single"/>
          <w:lang w:val="en-US" w:eastAsia="zh-CN"/>
        </w:rPr>
        <w:t>（8）《新乡市生态环境保护委员会办公室关于印发&lt;新乡市2024年蓝天保卫战实施方案&gt;&lt;新乡市2024年碧水保卫战实施方案&gt;&lt;新乡市2024年净土保卫战实施方案&gt;&lt;新乡市2024年柴油货车污染治理攻坚战实施方案&gt;的通知》（新环委办[2024]49号）。</w:t>
      </w:r>
    </w:p>
    <w:p w14:paraId="61E1DB2A">
      <w:pPr>
        <w:pStyle w:val="5"/>
        <w:bidi w:val="0"/>
        <w:rPr>
          <w:color w:val="auto"/>
        </w:rPr>
      </w:pPr>
      <w:r>
        <w:rPr>
          <w:rFonts w:hint="eastAsia"/>
          <w:color w:val="auto"/>
          <w:lang w:val="en-US" w:eastAsia="zh-CN"/>
        </w:rPr>
        <w:t>相关技术规范</w:t>
      </w:r>
    </w:p>
    <w:p w14:paraId="1902D614">
      <w:pPr>
        <w:bidi w:val="0"/>
        <w:rPr>
          <w:rFonts w:hint="eastAsia"/>
          <w:color w:val="auto"/>
        </w:rPr>
      </w:pPr>
      <w:r>
        <w:rPr>
          <w:rFonts w:hint="eastAsia"/>
          <w:color w:val="auto"/>
        </w:rPr>
        <w:t>（1）《建设项目环境影响评价技术导则 总纲》（HJ2.1-2016）；</w:t>
      </w:r>
    </w:p>
    <w:p w14:paraId="44F6EB3C">
      <w:pPr>
        <w:bidi w:val="0"/>
        <w:rPr>
          <w:rFonts w:hint="eastAsia"/>
          <w:color w:val="auto"/>
        </w:rPr>
      </w:pPr>
      <w:r>
        <w:rPr>
          <w:rFonts w:hint="eastAsia"/>
          <w:color w:val="auto"/>
        </w:rPr>
        <w:t>（2）《环境影响评价技术导则 大气环境》（HJ2.2-2018）；</w:t>
      </w:r>
    </w:p>
    <w:p w14:paraId="73AF79C4">
      <w:pPr>
        <w:bidi w:val="0"/>
        <w:rPr>
          <w:rFonts w:hint="eastAsia"/>
          <w:color w:val="auto"/>
        </w:rPr>
      </w:pPr>
      <w:r>
        <w:rPr>
          <w:rFonts w:hint="eastAsia"/>
          <w:color w:val="auto"/>
        </w:rPr>
        <w:t>（3）《环境影响评价技术导则 地表水环境》（HJ2.3-2018）；</w:t>
      </w:r>
    </w:p>
    <w:p w14:paraId="04C0C596">
      <w:pPr>
        <w:bidi w:val="0"/>
        <w:rPr>
          <w:rFonts w:hint="eastAsia"/>
          <w:color w:val="auto"/>
        </w:rPr>
      </w:pPr>
      <w:r>
        <w:rPr>
          <w:rFonts w:hint="eastAsia"/>
          <w:color w:val="auto"/>
        </w:rPr>
        <w:t>（4）《环境影响评价技术导则 地下水环境》（HJ610-2016）；</w:t>
      </w:r>
    </w:p>
    <w:p w14:paraId="423161CF">
      <w:pPr>
        <w:bidi w:val="0"/>
        <w:rPr>
          <w:rFonts w:hint="eastAsia"/>
          <w:color w:val="auto"/>
        </w:rPr>
      </w:pPr>
      <w:r>
        <w:rPr>
          <w:rFonts w:hint="eastAsia"/>
          <w:color w:val="auto"/>
        </w:rPr>
        <w:t>（5）《环境影响评价技术导则 声环境》（HJ2.4-2021）；</w:t>
      </w:r>
    </w:p>
    <w:p w14:paraId="1050EB57">
      <w:pPr>
        <w:bidi w:val="0"/>
        <w:rPr>
          <w:rFonts w:hint="eastAsia"/>
          <w:color w:val="auto"/>
        </w:rPr>
      </w:pPr>
      <w:r>
        <w:rPr>
          <w:rFonts w:hint="eastAsia"/>
          <w:color w:val="auto"/>
        </w:rPr>
        <w:t>（6）《环境影响评价技术导则 生态影响》（HJ19-2022）；</w:t>
      </w:r>
    </w:p>
    <w:p w14:paraId="61C7E78E">
      <w:pPr>
        <w:bidi w:val="0"/>
        <w:rPr>
          <w:rFonts w:hint="eastAsia"/>
          <w:color w:val="auto"/>
        </w:rPr>
      </w:pPr>
      <w:r>
        <w:rPr>
          <w:rFonts w:hint="eastAsia"/>
          <w:color w:val="auto"/>
        </w:rPr>
        <w:t>（7）《环境影响评价技术导则 土壤环境（试行）》（HJ964-2018）；</w:t>
      </w:r>
    </w:p>
    <w:p w14:paraId="189E3E8F">
      <w:pPr>
        <w:bidi w:val="0"/>
        <w:rPr>
          <w:rFonts w:hint="eastAsia"/>
          <w:color w:val="auto"/>
        </w:rPr>
      </w:pPr>
      <w:r>
        <w:rPr>
          <w:rFonts w:hint="eastAsia"/>
          <w:color w:val="auto"/>
        </w:rPr>
        <w:t>（8）《建设项目环境风险评价技术导则》（HJ169-2018）；</w:t>
      </w:r>
    </w:p>
    <w:p w14:paraId="0DC73C48">
      <w:pPr>
        <w:bidi w:val="0"/>
        <w:rPr>
          <w:rFonts w:hint="eastAsia"/>
          <w:color w:val="auto"/>
        </w:rPr>
      </w:pPr>
      <w:r>
        <w:rPr>
          <w:rFonts w:hint="eastAsia"/>
          <w:color w:val="auto"/>
        </w:rPr>
        <w:t>（9）《固体废物鉴别标准 通则》（GB34330-2017）；</w:t>
      </w:r>
    </w:p>
    <w:p w14:paraId="06BED3AE">
      <w:pPr>
        <w:bidi w:val="0"/>
        <w:rPr>
          <w:rFonts w:hint="eastAsia"/>
          <w:color w:val="auto"/>
        </w:rPr>
      </w:pPr>
      <w:r>
        <w:rPr>
          <w:rFonts w:hint="eastAsia"/>
          <w:color w:val="auto"/>
        </w:rPr>
        <w:t>（10）《建设项目危险废物环境影响评价指南》（公告2017年第43号）；</w:t>
      </w:r>
    </w:p>
    <w:p w14:paraId="77EEED5E">
      <w:pPr>
        <w:bidi w:val="0"/>
        <w:rPr>
          <w:rFonts w:hint="eastAsia"/>
          <w:color w:val="auto"/>
        </w:rPr>
      </w:pPr>
      <w:r>
        <w:rPr>
          <w:rFonts w:hint="eastAsia"/>
          <w:color w:val="auto"/>
        </w:rPr>
        <w:t>（11）排污许可证申请与核发技术规范 化学纤维制造业（HJ 1102-2020）；</w:t>
      </w:r>
    </w:p>
    <w:p w14:paraId="3DC94D7C">
      <w:pPr>
        <w:bidi w:val="0"/>
        <w:rPr>
          <w:color w:val="auto"/>
        </w:rPr>
      </w:pPr>
      <w:r>
        <w:rPr>
          <w:rFonts w:hint="eastAsia"/>
          <w:color w:val="auto"/>
        </w:rPr>
        <w:t>（12）排污单位自行监测技术指南 化学纤维制造业（HJ 1139-2020）。</w:t>
      </w:r>
    </w:p>
    <w:p w14:paraId="76B7250E">
      <w:pPr>
        <w:pStyle w:val="5"/>
        <w:bidi w:val="0"/>
        <w:rPr>
          <w:color w:val="auto"/>
        </w:rPr>
      </w:pPr>
      <w:r>
        <w:rPr>
          <w:rFonts w:hint="eastAsia"/>
          <w:color w:val="auto"/>
        </w:rPr>
        <w:t>项目有关资料及文件</w:t>
      </w:r>
    </w:p>
    <w:p w14:paraId="6F3CA203">
      <w:pPr>
        <w:bidi w:val="0"/>
        <w:rPr>
          <w:color w:val="auto"/>
        </w:rPr>
      </w:pPr>
      <w:r>
        <w:rPr>
          <w:color w:val="auto"/>
        </w:rPr>
        <w:t>（1）</w:t>
      </w:r>
      <w:r>
        <w:rPr>
          <w:rFonts w:hint="eastAsia"/>
          <w:color w:val="auto"/>
        </w:rPr>
        <w:t>本项目</w:t>
      </w:r>
      <w:r>
        <w:rPr>
          <w:color w:val="auto"/>
        </w:rPr>
        <w:t>环境影响评价委托书；</w:t>
      </w:r>
    </w:p>
    <w:p w14:paraId="3EA52AD6">
      <w:pPr>
        <w:bidi w:val="0"/>
        <w:rPr>
          <w:color w:val="auto"/>
        </w:rPr>
      </w:pPr>
      <w:r>
        <w:rPr>
          <w:color w:val="auto"/>
        </w:rPr>
        <w:t>（2）《</w:t>
      </w:r>
      <w:r>
        <w:rPr>
          <w:rFonts w:hint="eastAsia"/>
          <w:color w:val="auto"/>
        </w:rPr>
        <w:t>新乡化纤股份有限公司</w:t>
      </w:r>
      <w:r>
        <w:rPr>
          <w:rFonts w:hint="eastAsia"/>
          <w:color w:val="auto"/>
          <w:lang w:eastAsia="zh-CN"/>
        </w:rPr>
        <w:t>年产1000吨DT溶剂法再生纤维素纤维中试研发项目</w:t>
      </w:r>
      <w:r>
        <w:rPr>
          <w:rFonts w:hint="eastAsia"/>
          <w:color w:val="auto"/>
        </w:rPr>
        <w:t>可行性研究报告》；</w:t>
      </w:r>
    </w:p>
    <w:p w14:paraId="74B750F4">
      <w:pPr>
        <w:bidi w:val="0"/>
        <w:rPr>
          <w:color w:val="auto"/>
        </w:rPr>
      </w:pPr>
      <w:r>
        <w:rPr>
          <w:rFonts w:hint="eastAsia"/>
          <w:color w:val="auto"/>
        </w:rPr>
        <w:t>（3）项目备案证明；</w:t>
      </w:r>
    </w:p>
    <w:p w14:paraId="624F2497">
      <w:pPr>
        <w:bidi w:val="0"/>
        <w:rPr>
          <w:color w:val="auto"/>
        </w:rPr>
      </w:pPr>
      <w:r>
        <w:rPr>
          <w:color w:val="auto"/>
        </w:rPr>
        <w:t>（4）</w:t>
      </w:r>
      <w:r>
        <w:rPr>
          <w:rFonts w:hint="eastAsia"/>
          <w:color w:val="auto"/>
          <w:lang w:val="en-US" w:eastAsia="zh-CN"/>
        </w:rPr>
        <w:t>新乡化纤股份有限公司提供在线数据及2023年例行</w:t>
      </w:r>
      <w:r>
        <w:rPr>
          <w:rFonts w:hint="eastAsia"/>
          <w:color w:val="auto"/>
        </w:rPr>
        <w:t>检测报告</w:t>
      </w:r>
      <w:r>
        <w:rPr>
          <w:color w:val="auto"/>
        </w:rPr>
        <w:t>；</w:t>
      </w:r>
    </w:p>
    <w:p w14:paraId="13A63EB1">
      <w:pPr>
        <w:bidi w:val="0"/>
        <w:rPr>
          <w:rFonts w:hint="eastAsia" w:eastAsia="宋体"/>
          <w:color w:val="auto"/>
          <w:lang w:eastAsia="zh-CN"/>
        </w:rPr>
      </w:pPr>
      <w:r>
        <w:rPr>
          <w:rFonts w:hint="eastAsia"/>
          <w:color w:val="auto"/>
          <w:lang w:eastAsia="zh-CN"/>
        </w:rPr>
        <w:t>（</w:t>
      </w:r>
      <w:r>
        <w:rPr>
          <w:rFonts w:hint="eastAsia"/>
          <w:color w:val="auto"/>
          <w:lang w:val="en-US" w:eastAsia="zh-CN"/>
        </w:rPr>
        <w:t>5</w:t>
      </w:r>
      <w:r>
        <w:rPr>
          <w:rFonts w:hint="eastAsia"/>
          <w:color w:val="auto"/>
          <w:lang w:eastAsia="zh-CN"/>
        </w:rPr>
        <w:t>）</w:t>
      </w:r>
      <w:r>
        <w:rPr>
          <w:rFonts w:ascii="Times New Roman" w:hAnsi="Times New Roman"/>
          <w:sz w:val="24"/>
        </w:rPr>
        <w:t>环境质量现状检测报告；</w:t>
      </w:r>
    </w:p>
    <w:p w14:paraId="5B12DF94">
      <w:pPr>
        <w:bidi w:val="0"/>
        <w:rPr>
          <w:color w:val="auto"/>
        </w:rPr>
      </w:pPr>
      <w:r>
        <w:rPr>
          <w:color w:val="auto"/>
        </w:rPr>
        <w:t>（</w:t>
      </w:r>
      <w:r>
        <w:rPr>
          <w:rFonts w:hint="eastAsia"/>
          <w:color w:val="auto"/>
          <w:lang w:val="en-US" w:eastAsia="zh-CN"/>
        </w:rPr>
        <w:t>6</w:t>
      </w:r>
      <w:r>
        <w:rPr>
          <w:color w:val="auto"/>
        </w:rPr>
        <w:t>）建设单位提供的其他技术资料。</w:t>
      </w:r>
    </w:p>
    <w:p w14:paraId="3A055486">
      <w:pPr>
        <w:pStyle w:val="3"/>
        <w:bidi w:val="0"/>
        <w:rPr>
          <w:color w:val="auto"/>
        </w:rPr>
      </w:pPr>
      <w:bookmarkStart w:id="44" w:name="_Toc22149"/>
      <w:bookmarkStart w:id="45" w:name="_Toc25499"/>
      <w:bookmarkStart w:id="46" w:name="_Toc1098"/>
      <w:bookmarkStart w:id="47" w:name="_Toc12773"/>
      <w:bookmarkStart w:id="48" w:name="_Toc12884"/>
      <w:bookmarkStart w:id="49" w:name="_Toc27855"/>
      <w:bookmarkStart w:id="50" w:name="_Toc25554"/>
      <w:bookmarkStart w:id="51" w:name="_Toc5295"/>
      <w:bookmarkStart w:id="52" w:name="_Toc22210"/>
      <w:bookmarkStart w:id="53" w:name="_Toc6397"/>
      <w:bookmarkStart w:id="54" w:name="_Toc19762"/>
      <w:bookmarkStart w:id="55" w:name="_Toc17517"/>
      <w:bookmarkStart w:id="56" w:name="_Toc22678"/>
      <w:bookmarkStart w:id="57" w:name="_Toc1454"/>
      <w:bookmarkStart w:id="58" w:name="_Toc29028"/>
      <w:bookmarkStart w:id="59" w:name="_Toc4156"/>
      <w:r>
        <w:rPr>
          <w:color w:val="auto"/>
        </w:rPr>
        <w:t>评价目的和原则</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Start w:id="60" w:name="_Toc428287156"/>
      <w:bookmarkStart w:id="61" w:name="_Toc428287508"/>
      <w:bookmarkStart w:id="62" w:name="_Toc428286762"/>
    </w:p>
    <w:bookmarkEnd w:id="60"/>
    <w:bookmarkEnd w:id="61"/>
    <w:bookmarkEnd w:id="62"/>
    <w:p w14:paraId="6ACDDA48">
      <w:pPr>
        <w:pStyle w:val="5"/>
        <w:bidi w:val="0"/>
        <w:rPr>
          <w:color w:val="auto"/>
        </w:rPr>
      </w:pPr>
      <w:bookmarkStart w:id="63" w:name="_TOC_250260"/>
      <w:bookmarkEnd w:id="63"/>
      <w:bookmarkStart w:id="64" w:name="_Toc9902"/>
      <w:bookmarkStart w:id="65" w:name="_Toc9504"/>
      <w:bookmarkStart w:id="66" w:name="_Toc3943"/>
      <w:bookmarkStart w:id="67" w:name="_Toc26291"/>
      <w:bookmarkStart w:id="68" w:name="_Toc15180"/>
      <w:bookmarkStart w:id="69" w:name="_Toc2123"/>
      <w:bookmarkStart w:id="70" w:name="_Toc29389"/>
      <w:bookmarkStart w:id="71" w:name="_Toc10926"/>
      <w:bookmarkStart w:id="72" w:name="_Toc16946"/>
      <w:bookmarkStart w:id="73" w:name="_Toc18933"/>
      <w:r>
        <w:rPr>
          <w:color w:val="auto"/>
        </w:rPr>
        <w:t>评价目的</w:t>
      </w:r>
      <w:bookmarkEnd w:id="64"/>
      <w:bookmarkEnd w:id="65"/>
      <w:bookmarkEnd w:id="66"/>
      <w:bookmarkEnd w:id="67"/>
      <w:bookmarkEnd w:id="68"/>
      <w:bookmarkEnd w:id="69"/>
      <w:bookmarkEnd w:id="70"/>
      <w:bookmarkEnd w:id="71"/>
      <w:bookmarkEnd w:id="72"/>
      <w:bookmarkEnd w:id="73"/>
    </w:p>
    <w:p w14:paraId="068F67EC">
      <w:pPr>
        <w:bidi w:val="0"/>
        <w:rPr>
          <w:color w:val="auto"/>
        </w:rPr>
      </w:pPr>
      <w:r>
        <w:rPr>
          <w:color w:val="auto"/>
        </w:rPr>
        <w:t>通过对本项目的工程分析及区域环境现状调查，在掌握项目建设带来环境污染和生态影响情况、排污源强及周围环境特点和污染现状的基础上，分析预测项目的施工及运营对周边环境的影响程度和范围，并提出相应的经济上合理、技术上可行的防范和减缓对策，其具体评价目的为：</w:t>
      </w:r>
    </w:p>
    <w:p w14:paraId="2FB0EED8">
      <w:pPr>
        <w:bidi w:val="0"/>
        <w:rPr>
          <w:color w:val="auto"/>
        </w:rPr>
      </w:pPr>
      <w:r>
        <w:rPr>
          <w:color w:val="auto"/>
        </w:rPr>
        <w:t>（1）对本工程评价范围内的环境空气、水环境、声环境质量、地下水、土壤现状进行调查、监测与评价，全面了解项目建设区域的环境质量现状。</w:t>
      </w:r>
    </w:p>
    <w:p w14:paraId="24991631">
      <w:pPr>
        <w:bidi w:val="0"/>
        <w:rPr>
          <w:color w:val="auto"/>
        </w:rPr>
      </w:pPr>
      <w:r>
        <w:rPr>
          <w:color w:val="auto"/>
        </w:rPr>
        <w:t>（2）通过对本工程在施工期和运营期可能带来的各种环境影响的定性和定量分析和预测，评价其影响范围和程度。</w:t>
      </w:r>
    </w:p>
    <w:p w14:paraId="3976975F">
      <w:pPr>
        <w:bidi w:val="0"/>
        <w:rPr>
          <w:color w:val="auto"/>
        </w:rPr>
      </w:pPr>
      <w:r>
        <w:rPr>
          <w:color w:val="auto"/>
        </w:rPr>
        <w:t>（3）根据拟建项目对环境的影响程度和范围，提出切实可行的环保措施和建议，并反馈于设计，将工程对环境造成的负面影响降至最低，达到开发建设和环境保护两者协调发展的目的。</w:t>
      </w:r>
    </w:p>
    <w:p w14:paraId="7003CA0E">
      <w:pPr>
        <w:pStyle w:val="5"/>
        <w:bidi w:val="0"/>
        <w:rPr>
          <w:color w:val="auto"/>
        </w:rPr>
      </w:pPr>
      <w:bookmarkStart w:id="74" w:name="_TOC_250259"/>
      <w:bookmarkEnd w:id="74"/>
      <w:bookmarkStart w:id="75" w:name="_Toc4247"/>
      <w:bookmarkStart w:id="76" w:name="_Toc25824"/>
      <w:bookmarkStart w:id="77" w:name="_Toc6416"/>
      <w:bookmarkStart w:id="78" w:name="_Toc7560"/>
      <w:bookmarkStart w:id="79" w:name="_Toc22237"/>
      <w:bookmarkStart w:id="80" w:name="_Toc18733"/>
      <w:bookmarkStart w:id="81" w:name="_Toc21821"/>
      <w:bookmarkStart w:id="82" w:name="_Toc19345"/>
      <w:bookmarkStart w:id="83" w:name="_Toc23165"/>
      <w:bookmarkStart w:id="84" w:name="_Toc23106"/>
      <w:r>
        <w:rPr>
          <w:color w:val="auto"/>
        </w:rPr>
        <w:t>评价原则</w:t>
      </w:r>
      <w:bookmarkEnd w:id="75"/>
      <w:bookmarkEnd w:id="76"/>
      <w:bookmarkEnd w:id="77"/>
      <w:bookmarkEnd w:id="78"/>
      <w:bookmarkEnd w:id="79"/>
      <w:bookmarkEnd w:id="80"/>
      <w:bookmarkEnd w:id="81"/>
      <w:bookmarkEnd w:id="82"/>
      <w:bookmarkEnd w:id="83"/>
      <w:bookmarkEnd w:id="84"/>
    </w:p>
    <w:p w14:paraId="4A68B690">
      <w:pPr>
        <w:bidi w:val="0"/>
        <w:rPr>
          <w:color w:val="auto"/>
        </w:rPr>
      </w:pPr>
      <w:r>
        <w:rPr>
          <w:color w:val="auto"/>
        </w:rPr>
        <w:t>突出环境影响评价的源头预防作用，坚持保护和改善环境质量。</w:t>
      </w:r>
    </w:p>
    <w:p w14:paraId="12D7EC88">
      <w:pPr>
        <w:bidi w:val="0"/>
        <w:rPr>
          <w:color w:val="auto"/>
        </w:rPr>
      </w:pPr>
      <w:r>
        <w:rPr>
          <w:color w:val="auto"/>
        </w:rPr>
        <w:t>（1）依法评价</w:t>
      </w:r>
    </w:p>
    <w:p w14:paraId="3A22EB26">
      <w:pPr>
        <w:bidi w:val="0"/>
        <w:rPr>
          <w:color w:val="auto"/>
        </w:rPr>
      </w:pPr>
      <w:r>
        <w:rPr>
          <w:color w:val="auto"/>
        </w:rPr>
        <w:t>贯彻执行我国环境保护相关法律法规、标准、政策和规划等，优化项目建设，服务环境管理。</w:t>
      </w:r>
    </w:p>
    <w:p w14:paraId="40572E3E">
      <w:pPr>
        <w:bidi w:val="0"/>
        <w:rPr>
          <w:color w:val="auto"/>
        </w:rPr>
      </w:pPr>
      <w:r>
        <w:rPr>
          <w:color w:val="auto"/>
        </w:rPr>
        <w:t>（2）科学评价</w:t>
      </w:r>
    </w:p>
    <w:p w14:paraId="32209BFB">
      <w:pPr>
        <w:bidi w:val="0"/>
        <w:rPr>
          <w:color w:val="auto"/>
        </w:rPr>
      </w:pPr>
      <w:r>
        <w:rPr>
          <w:color w:val="auto"/>
        </w:rPr>
        <w:t>规范环境影响评价方法，科学分析项目建设对环境质量的影响。</w:t>
      </w:r>
    </w:p>
    <w:p w14:paraId="73F979E3">
      <w:pPr>
        <w:bidi w:val="0"/>
        <w:rPr>
          <w:color w:val="auto"/>
        </w:rPr>
      </w:pPr>
      <w:r>
        <w:rPr>
          <w:color w:val="auto"/>
        </w:rPr>
        <w:t>（3）突出重点</w:t>
      </w:r>
    </w:p>
    <w:p w14:paraId="0759A764">
      <w:pPr>
        <w:bidi w:val="0"/>
        <w:rPr>
          <w:color w:val="auto"/>
        </w:rPr>
      </w:pPr>
      <w:r>
        <w:rPr>
          <w:color w:val="auto"/>
        </w:rPr>
        <w:t>根据建设项目的工程内容及其特点，明确与环境要素间的作用效应关系，根据规划环境影响评价结论和审查意见，充分利用符合时效的数据资料及成果，对建设项目主要环境影响予以重点分析和评价。</w:t>
      </w:r>
    </w:p>
    <w:p w14:paraId="1E42E5EC">
      <w:pPr>
        <w:pStyle w:val="3"/>
        <w:bidi w:val="0"/>
        <w:rPr>
          <w:color w:val="auto"/>
        </w:rPr>
      </w:pPr>
      <w:bookmarkStart w:id="85" w:name="_Toc10443"/>
      <w:bookmarkStart w:id="86" w:name="_Toc67041037"/>
      <w:bookmarkStart w:id="87" w:name="_Toc27634"/>
      <w:bookmarkStart w:id="88" w:name="_Toc28866810"/>
      <w:bookmarkStart w:id="89" w:name="_Toc19856"/>
      <w:r>
        <w:rPr>
          <w:color w:val="auto"/>
        </w:rPr>
        <w:t>环境影响因子识别与筛选</w:t>
      </w:r>
      <w:bookmarkEnd w:id="85"/>
      <w:bookmarkEnd w:id="86"/>
      <w:bookmarkEnd w:id="87"/>
      <w:bookmarkEnd w:id="88"/>
      <w:bookmarkEnd w:id="89"/>
    </w:p>
    <w:p w14:paraId="784FB7D5">
      <w:pPr>
        <w:pStyle w:val="5"/>
        <w:bidi w:val="0"/>
        <w:rPr>
          <w:color w:val="auto"/>
        </w:rPr>
      </w:pPr>
      <w:bookmarkStart w:id="90" w:name="_Toc428287514"/>
      <w:bookmarkStart w:id="91" w:name="_Toc428286768"/>
      <w:bookmarkStart w:id="92" w:name="_Toc428287162"/>
      <w:r>
        <w:rPr>
          <w:color w:val="auto"/>
        </w:rPr>
        <w:t>环境影响识别</w:t>
      </w:r>
      <w:bookmarkEnd w:id="90"/>
      <w:bookmarkEnd w:id="91"/>
      <w:bookmarkEnd w:id="92"/>
    </w:p>
    <w:p w14:paraId="28243E3D">
      <w:pPr>
        <w:bidi w:val="0"/>
        <w:rPr>
          <w:color w:val="auto"/>
        </w:rPr>
      </w:pPr>
      <w:r>
        <w:rPr>
          <w:color w:val="auto"/>
        </w:rPr>
        <w:t>根据工程施工期及营运期产污情况分析以及评价区域环境质量现状，对工程环境影响因子进行识别，结果见</w:t>
      </w:r>
      <w:r>
        <w:rPr>
          <w:rFonts w:hint="eastAsia"/>
          <w:color w:val="auto"/>
        </w:rPr>
        <w:t>下</w:t>
      </w:r>
      <w:r>
        <w:rPr>
          <w:color w:val="auto"/>
        </w:rPr>
        <w:t>表。</w:t>
      </w:r>
    </w:p>
    <w:p w14:paraId="66CE1AD5">
      <w:pPr>
        <w:pStyle w:val="10"/>
        <w:bidi w:val="0"/>
        <w:rPr>
          <w:rFonts w:hint="eastAsia"/>
        </w:rPr>
      </w:pPr>
      <w:r>
        <w:t xml:space="preserve">表 </w:t>
      </w:r>
      <w:r>
        <w:fldChar w:fldCharType="begin"/>
      </w:r>
      <w:r>
        <w:instrText xml:space="preserve"> STYLEREF 2 \s </w:instrText>
      </w:r>
      <w:r>
        <w:fldChar w:fldCharType="separate"/>
      </w:r>
      <w:r>
        <w:t>2.3</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w:t>
      </w:r>
      <w:r>
        <w:rPr>
          <w:rFonts w:hint="eastAsia"/>
        </w:rPr>
        <w:t>环境影响因子识别表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660"/>
        <w:gridCol w:w="1215"/>
        <w:gridCol w:w="929"/>
        <w:gridCol w:w="839"/>
        <w:gridCol w:w="849"/>
        <w:gridCol w:w="849"/>
        <w:gridCol w:w="1415"/>
        <w:gridCol w:w="989"/>
        <w:gridCol w:w="777"/>
      </w:tblGrid>
      <w:tr w14:paraId="32CF261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tblHeader/>
          <w:jc w:val="center"/>
        </w:trPr>
        <w:tc>
          <w:tcPr>
            <w:tcW w:w="1101" w:type="pct"/>
            <w:gridSpan w:val="2"/>
            <w:vMerge w:val="restart"/>
            <w:tcBorders>
              <w:tl2br w:val="single" w:color="auto" w:sz="8" w:space="0"/>
            </w:tcBorders>
            <w:vAlign w:val="center"/>
          </w:tcPr>
          <w:p w14:paraId="60D7A607">
            <w:pPr>
              <w:pStyle w:val="182"/>
              <w:bidi w:val="0"/>
              <w:jc w:val="right"/>
              <w:rPr>
                <w:color w:val="auto"/>
              </w:rPr>
            </w:pPr>
            <w:r>
              <w:rPr>
                <w:color w:val="auto"/>
              </w:rPr>
              <w:t>影响因素</w:t>
            </w:r>
          </w:p>
          <w:p w14:paraId="2D2C5A90">
            <w:pPr>
              <w:pStyle w:val="182"/>
              <w:bidi w:val="0"/>
              <w:jc w:val="left"/>
              <w:rPr>
                <w:color w:val="auto"/>
              </w:rPr>
            </w:pPr>
            <w:r>
              <w:rPr>
                <w:color w:val="auto"/>
              </w:rPr>
              <w:t>类别</w:t>
            </w:r>
          </w:p>
        </w:tc>
        <w:tc>
          <w:tcPr>
            <w:tcW w:w="545" w:type="pct"/>
            <w:vMerge w:val="restart"/>
            <w:vAlign w:val="center"/>
          </w:tcPr>
          <w:p w14:paraId="3CDD31C5">
            <w:pPr>
              <w:pStyle w:val="182"/>
              <w:bidi w:val="0"/>
              <w:rPr>
                <w:color w:val="auto"/>
              </w:rPr>
            </w:pPr>
            <w:r>
              <w:rPr>
                <w:color w:val="auto"/>
              </w:rPr>
              <w:t>施工期</w:t>
            </w:r>
          </w:p>
        </w:tc>
        <w:tc>
          <w:tcPr>
            <w:tcW w:w="3353" w:type="pct"/>
            <w:gridSpan w:val="6"/>
            <w:vAlign w:val="center"/>
          </w:tcPr>
          <w:p w14:paraId="4BB9A6CA">
            <w:pPr>
              <w:pStyle w:val="182"/>
              <w:bidi w:val="0"/>
              <w:rPr>
                <w:color w:val="auto"/>
              </w:rPr>
            </w:pPr>
            <w:r>
              <w:rPr>
                <w:color w:val="auto"/>
              </w:rPr>
              <w:t>运行期</w:t>
            </w:r>
          </w:p>
        </w:tc>
      </w:tr>
      <w:tr w14:paraId="5D09871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tblHeader/>
          <w:jc w:val="center"/>
        </w:trPr>
        <w:tc>
          <w:tcPr>
            <w:tcW w:w="1101" w:type="pct"/>
            <w:gridSpan w:val="2"/>
            <w:vMerge w:val="continue"/>
            <w:vAlign w:val="center"/>
          </w:tcPr>
          <w:p w14:paraId="31DA433C">
            <w:pPr>
              <w:pStyle w:val="182"/>
              <w:bidi w:val="0"/>
              <w:rPr>
                <w:color w:val="auto"/>
              </w:rPr>
            </w:pPr>
          </w:p>
        </w:tc>
        <w:tc>
          <w:tcPr>
            <w:tcW w:w="545" w:type="pct"/>
            <w:vMerge w:val="continue"/>
            <w:vAlign w:val="center"/>
          </w:tcPr>
          <w:p w14:paraId="2CA04C19">
            <w:pPr>
              <w:pStyle w:val="182"/>
              <w:bidi w:val="0"/>
              <w:rPr>
                <w:color w:val="auto"/>
              </w:rPr>
            </w:pPr>
          </w:p>
        </w:tc>
        <w:tc>
          <w:tcPr>
            <w:tcW w:w="492" w:type="pct"/>
            <w:vAlign w:val="center"/>
          </w:tcPr>
          <w:p w14:paraId="4D2F123D">
            <w:pPr>
              <w:pStyle w:val="182"/>
              <w:bidi w:val="0"/>
              <w:rPr>
                <w:color w:val="auto"/>
              </w:rPr>
            </w:pPr>
            <w:r>
              <w:rPr>
                <w:color w:val="auto"/>
              </w:rPr>
              <w:t>废水</w:t>
            </w:r>
          </w:p>
        </w:tc>
        <w:tc>
          <w:tcPr>
            <w:tcW w:w="498" w:type="pct"/>
            <w:vAlign w:val="center"/>
          </w:tcPr>
          <w:p w14:paraId="0E58F749">
            <w:pPr>
              <w:pStyle w:val="182"/>
              <w:bidi w:val="0"/>
              <w:rPr>
                <w:color w:val="auto"/>
              </w:rPr>
            </w:pPr>
            <w:r>
              <w:rPr>
                <w:color w:val="auto"/>
              </w:rPr>
              <w:t>废气</w:t>
            </w:r>
          </w:p>
        </w:tc>
        <w:tc>
          <w:tcPr>
            <w:tcW w:w="498" w:type="pct"/>
            <w:vAlign w:val="center"/>
          </w:tcPr>
          <w:p w14:paraId="1F74CC93">
            <w:pPr>
              <w:pStyle w:val="182"/>
              <w:bidi w:val="0"/>
              <w:rPr>
                <w:color w:val="auto"/>
              </w:rPr>
            </w:pPr>
            <w:r>
              <w:rPr>
                <w:color w:val="auto"/>
              </w:rPr>
              <w:t>固废</w:t>
            </w:r>
          </w:p>
        </w:tc>
        <w:tc>
          <w:tcPr>
            <w:tcW w:w="830" w:type="pct"/>
            <w:vAlign w:val="center"/>
          </w:tcPr>
          <w:p w14:paraId="555B13A5">
            <w:pPr>
              <w:pStyle w:val="182"/>
              <w:bidi w:val="0"/>
              <w:rPr>
                <w:color w:val="auto"/>
              </w:rPr>
            </w:pPr>
            <w:r>
              <w:rPr>
                <w:color w:val="auto"/>
              </w:rPr>
              <w:t>噪声及振动</w:t>
            </w:r>
          </w:p>
        </w:tc>
        <w:tc>
          <w:tcPr>
            <w:tcW w:w="580" w:type="pct"/>
            <w:vAlign w:val="center"/>
          </w:tcPr>
          <w:p w14:paraId="4FE9759F">
            <w:pPr>
              <w:pStyle w:val="182"/>
              <w:bidi w:val="0"/>
              <w:rPr>
                <w:color w:val="auto"/>
              </w:rPr>
            </w:pPr>
            <w:r>
              <w:rPr>
                <w:color w:val="auto"/>
              </w:rPr>
              <w:t>运输</w:t>
            </w:r>
          </w:p>
        </w:tc>
        <w:tc>
          <w:tcPr>
            <w:tcW w:w="454" w:type="pct"/>
            <w:vAlign w:val="center"/>
          </w:tcPr>
          <w:p w14:paraId="259BFB2E">
            <w:pPr>
              <w:pStyle w:val="182"/>
              <w:bidi w:val="0"/>
              <w:rPr>
                <w:color w:val="auto"/>
              </w:rPr>
            </w:pPr>
            <w:r>
              <w:rPr>
                <w:color w:val="auto"/>
              </w:rPr>
              <w:t>效益</w:t>
            </w:r>
          </w:p>
        </w:tc>
      </w:tr>
      <w:tr w14:paraId="740D335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8" w:type="pct"/>
            <w:vMerge w:val="restart"/>
            <w:vAlign w:val="center"/>
          </w:tcPr>
          <w:p w14:paraId="6212979C">
            <w:pPr>
              <w:pStyle w:val="182"/>
              <w:bidi w:val="0"/>
              <w:rPr>
                <w:color w:val="auto"/>
              </w:rPr>
            </w:pPr>
            <w:r>
              <w:rPr>
                <w:color w:val="auto"/>
              </w:rPr>
              <w:t>自然生态环境</w:t>
            </w:r>
          </w:p>
        </w:tc>
        <w:tc>
          <w:tcPr>
            <w:tcW w:w="712" w:type="pct"/>
            <w:vAlign w:val="center"/>
          </w:tcPr>
          <w:p w14:paraId="06049F72">
            <w:pPr>
              <w:pStyle w:val="182"/>
              <w:bidi w:val="0"/>
              <w:rPr>
                <w:color w:val="auto"/>
              </w:rPr>
            </w:pPr>
            <w:r>
              <w:rPr>
                <w:color w:val="auto"/>
              </w:rPr>
              <w:t>地表水</w:t>
            </w:r>
          </w:p>
        </w:tc>
        <w:tc>
          <w:tcPr>
            <w:tcW w:w="545" w:type="pct"/>
            <w:vAlign w:val="center"/>
          </w:tcPr>
          <w:p w14:paraId="20513AFD">
            <w:pPr>
              <w:pStyle w:val="182"/>
              <w:bidi w:val="0"/>
              <w:rPr>
                <w:color w:val="auto"/>
              </w:rPr>
            </w:pPr>
          </w:p>
        </w:tc>
        <w:tc>
          <w:tcPr>
            <w:tcW w:w="492" w:type="pct"/>
            <w:vAlign w:val="center"/>
          </w:tcPr>
          <w:p w14:paraId="61C45BF4">
            <w:pPr>
              <w:pStyle w:val="182"/>
              <w:bidi w:val="0"/>
              <w:rPr>
                <w:color w:val="auto"/>
              </w:rPr>
            </w:pPr>
            <w:r>
              <w:rPr>
                <w:color w:val="auto"/>
              </w:rPr>
              <w:t>-1LP</w:t>
            </w:r>
          </w:p>
        </w:tc>
        <w:tc>
          <w:tcPr>
            <w:tcW w:w="498" w:type="pct"/>
            <w:vAlign w:val="center"/>
          </w:tcPr>
          <w:p w14:paraId="599D3EDD">
            <w:pPr>
              <w:pStyle w:val="182"/>
              <w:bidi w:val="0"/>
              <w:rPr>
                <w:color w:val="auto"/>
              </w:rPr>
            </w:pPr>
          </w:p>
        </w:tc>
        <w:tc>
          <w:tcPr>
            <w:tcW w:w="498" w:type="pct"/>
            <w:vAlign w:val="center"/>
          </w:tcPr>
          <w:p w14:paraId="60C34BBC">
            <w:pPr>
              <w:pStyle w:val="182"/>
              <w:bidi w:val="0"/>
              <w:rPr>
                <w:color w:val="auto"/>
              </w:rPr>
            </w:pPr>
          </w:p>
        </w:tc>
        <w:tc>
          <w:tcPr>
            <w:tcW w:w="830" w:type="pct"/>
            <w:vAlign w:val="center"/>
          </w:tcPr>
          <w:p w14:paraId="5708ABEE">
            <w:pPr>
              <w:pStyle w:val="182"/>
              <w:bidi w:val="0"/>
              <w:rPr>
                <w:color w:val="auto"/>
              </w:rPr>
            </w:pPr>
          </w:p>
        </w:tc>
        <w:tc>
          <w:tcPr>
            <w:tcW w:w="580" w:type="pct"/>
            <w:vAlign w:val="center"/>
          </w:tcPr>
          <w:p w14:paraId="3811F6FF">
            <w:pPr>
              <w:pStyle w:val="182"/>
              <w:bidi w:val="0"/>
              <w:rPr>
                <w:color w:val="auto"/>
              </w:rPr>
            </w:pPr>
          </w:p>
        </w:tc>
        <w:tc>
          <w:tcPr>
            <w:tcW w:w="454" w:type="pct"/>
            <w:vAlign w:val="center"/>
          </w:tcPr>
          <w:p w14:paraId="50BF0F9C">
            <w:pPr>
              <w:pStyle w:val="182"/>
              <w:bidi w:val="0"/>
              <w:rPr>
                <w:color w:val="auto"/>
              </w:rPr>
            </w:pPr>
          </w:p>
        </w:tc>
      </w:tr>
      <w:tr w14:paraId="4CBFD28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8" w:type="pct"/>
            <w:vMerge w:val="continue"/>
            <w:vAlign w:val="center"/>
          </w:tcPr>
          <w:p w14:paraId="5231CA35">
            <w:pPr>
              <w:pStyle w:val="182"/>
              <w:bidi w:val="0"/>
              <w:rPr>
                <w:color w:val="auto"/>
              </w:rPr>
            </w:pPr>
          </w:p>
        </w:tc>
        <w:tc>
          <w:tcPr>
            <w:tcW w:w="712" w:type="pct"/>
            <w:vAlign w:val="center"/>
          </w:tcPr>
          <w:p w14:paraId="5667233C">
            <w:pPr>
              <w:pStyle w:val="182"/>
              <w:bidi w:val="0"/>
              <w:rPr>
                <w:color w:val="auto"/>
              </w:rPr>
            </w:pPr>
            <w:r>
              <w:rPr>
                <w:color w:val="auto"/>
              </w:rPr>
              <w:t>地下水</w:t>
            </w:r>
          </w:p>
        </w:tc>
        <w:tc>
          <w:tcPr>
            <w:tcW w:w="545" w:type="pct"/>
            <w:vAlign w:val="center"/>
          </w:tcPr>
          <w:p w14:paraId="01A31B86">
            <w:pPr>
              <w:pStyle w:val="182"/>
              <w:bidi w:val="0"/>
              <w:rPr>
                <w:color w:val="auto"/>
              </w:rPr>
            </w:pPr>
          </w:p>
        </w:tc>
        <w:tc>
          <w:tcPr>
            <w:tcW w:w="492" w:type="pct"/>
            <w:vAlign w:val="center"/>
          </w:tcPr>
          <w:p w14:paraId="0DDAADE9">
            <w:pPr>
              <w:pStyle w:val="182"/>
              <w:bidi w:val="0"/>
              <w:rPr>
                <w:color w:val="auto"/>
              </w:rPr>
            </w:pPr>
            <w:r>
              <w:rPr>
                <w:color w:val="auto"/>
              </w:rPr>
              <w:t>-1LP</w:t>
            </w:r>
          </w:p>
        </w:tc>
        <w:tc>
          <w:tcPr>
            <w:tcW w:w="498" w:type="pct"/>
            <w:vAlign w:val="center"/>
          </w:tcPr>
          <w:p w14:paraId="53ED81AF">
            <w:pPr>
              <w:pStyle w:val="182"/>
              <w:bidi w:val="0"/>
              <w:rPr>
                <w:color w:val="auto"/>
              </w:rPr>
            </w:pPr>
          </w:p>
        </w:tc>
        <w:tc>
          <w:tcPr>
            <w:tcW w:w="498" w:type="pct"/>
            <w:vAlign w:val="center"/>
          </w:tcPr>
          <w:p w14:paraId="020DA60A">
            <w:pPr>
              <w:pStyle w:val="182"/>
              <w:bidi w:val="0"/>
              <w:rPr>
                <w:color w:val="auto"/>
              </w:rPr>
            </w:pPr>
          </w:p>
        </w:tc>
        <w:tc>
          <w:tcPr>
            <w:tcW w:w="830" w:type="pct"/>
            <w:vAlign w:val="center"/>
          </w:tcPr>
          <w:p w14:paraId="1F3CC51B">
            <w:pPr>
              <w:pStyle w:val="182"/>
              <w:bidi w:val="0"/>
              <w:rPr>
                <w:color w:val="auto"/>
              </w:rPr>
            </w:pPr>
          </w:p>
        </w:tc>
        <w:tc>
          <w:tcPr>
            <w:tcW w:w="580" w:type="pct"/>
            <w:vAlign w:val="center"/>
          </w:tcPr>
          <w:p w14:paraId="42D1AE1B">
            <w:pPr>
              <w:pStyle w:val="182"/>
              <w:bidi w:val="0"/>
              <w:rPr>
                <w:color w:val="auto"/>
              </w:rPr>
            </w:pPr>
          </w:p>
        </w:tc>
        <w:tc>
          <w:tcPr>
            <w:tcW w:w="454" w:type="pct"/>
            <w:vAlign w:val="center"/>
          </w:tcPr>
          <w:p w14:paraId="045C0377">
            <w:pPr>
              <w:pStyle w:val="182"/>
              <w:bidi w:val="0"/>
              <w:rPr>
                <w:color w:val="auto"/>
              </w:rPr>
            </w:pPr>
          </w:p>
        </w:tc>
      </w:tr>
      <w:tr w14:paraId="11E70B0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8" w:type="pct"/>
            <w:vMerge w:val="continue"/>
            <w:vAlign w:val="center"/>
          </w:tcPr>
          <w:p w14:paraId="0F9B2662">
            <w:pPr>
              <w:pStyle w:val="182"/>
              <w:bidi w:val="0"/>
              <w:rPr>
                <w:color w:val="auto"/>
              </w:rPr>
            </w:pPr>
          </w:p>
        </w:tc>
        <w:tc>
          <w:tcPr>
            <w:tcW w:w="712" w:type="pct"/>
            <w:vAlign w:val="center"/>
          </w:tcPr>
          <w:p w14:paraId="3410DEC3">
            <w:pPr>
              <w:pStyle w:val="182"/>
              <w:bidi w:val="0"/>
              <w:rPr>
                <w:color w:val="auto"/>
              </w:rPr>
            </w:pPr>
            <w:r>
              <w:rPr>
                <w:color w:val="auto"/>
              </w:rPr>
              <w:t>大气环境</w:t>
            </w:r>
          </w:p>
        </w:tc>
        <w:tc>
          <w:tcPr>
            <w:tcW w:w="545" w:type="pct"/>
            <w:vAlign w:val="center"/>
          </w:tcPr>
          <w:p w14:paraId="75537B21">
            <w:pPr>
              <w:pStyle w:val="182"/>
              <w:bidi w:val="0"/>
              <w:rPr>
                <w:color w:val="auto"/>
              </w:rPr>
            </w:pPr>
            <w:r>
              <w:rPr>
                <w:color w:val="auto"/>
              </w:rPr>
              <w:t>-1SP</w:t>
            </w:r>
          </w:p>
        </w:tc>
        <w:tc>
          <w:tcPr>
            <w:tcW w:w="492" w:type="pct"/>
            <w:vAlign w:val="center"/>
          </w:tcPr>
          <w:p w14:paraId="4F801E34">
            <w:pPr>
              <w:pStyle w:val="182"/>
              <w:bidi w:val="0"/>
              <w:rPr>
                <w:color w:val="auto"/>
              </w:rPr>
            </w:pPr>
          </w:p>
        </w:tc>
        <w:tc>
          <w:tcPr>
            <w:tcW w:w="498" w:type="pct"/>
            <w:vAlign w:val="center"/>
          </w:tcPr>
          <w:p w14:paraId="5CFA9835">
            <w:pPr>
              <w:pStyle w:val="182"/>
              <w:bidi w:val="0"/>
              <w:rPr>
                <w:color w:val="auto"/>
              </w:rPr>
            </w:pPr>
            <w:r>
              <w:rPr>
                <w:color w:val="auto"/>
              </w:rPr>
              <w:t>-1LP</w:t>
            </w:r>
          </w:p>
        </w:tc>
        <w:tc>
          <w:tcPr>
            <w:tcW w:w="498" w:type="pct"/>
            <w:vAlign w:val="center"/>
          </w:tcPr>
          <w:p w14:paraId="2054560C">
            <w:pPr>
              <w:pStyle w:val="182"/>
              <w:bidi w:val="0"/>
              <w:rPr>
                <w:color w:val="auto"/>
              </w:rPr>
            </w:pPr>
          </w:p>
        </w:tc>
        <w:tc>
          <w:tcPr>
            <w:tcW w:w="830" w:type="pct"/>
            <w:vAlign w:val="center"/>
          </w:tcPr>
          <w:p w14:paraId="02E1C8CD">
            <w:pPr>
              <w:pStyle w:val="182"/>
              <w:bidi w:val="0"/>
              <w:rPr>
                <w:color w:val="auto"/>
              </w:rPr>
            </w:pPr>
          </w:p>
        </w:tc>
        <w:tc>
          <w:tcPr>
            <w:tcW w:w="580" w:type="pct"/>
            <w:vAlign w:val="center"/>
          </w:tcPr>
          <w:p w14:paraId="4DEFB3E2">
            <w:pPr>
              <w:pStyle w:val="182"/>
              <w:bidi w:val="0"/>
              <w:rPr>
                <w:color w:val="auto"/>
              </w:rPr>
            </w:pPr>
            <w:r>
              <w:rPr>
                <w:color w:val="auto"/>
              </w:rPr>
              <w:t>-1LP</w:t>
            </w:r>
          </w:p>
        </w:tc>
        <w:tc>
          <w:tcPr>
            <w:tcW w:w="454" w:type="pct"/>
            <w:vAlign w:val="center"/>
          </w:tcPr>
          <w:p w14:paraId="0129E4F9">
            <w:pPr>
              <w:pStyle w:val="182"/>
              <w:bidi w:val="0"/>
              <w:rPr>
                <w:color w:val="auto"/>
              </w:rPr>
            </w:pPr>
          </w:p>
        </w:tc>
      </w:tr>
      <w:tr w14:paraId="2B4C246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8" w:type="pct"/>
            <w:vMerge w:val="continue"/>
            <w:vAlign w:val="center"/>
          </w:tcPr>
          <w:p w14:paraId="20003425">
            <w:pPr>
              <w:pStyle w:val="182"/>
              <w:bidi w:val="0"/>
              <w:rPr>
                <w:color w:val="auto"/>
              </w:rPr>
            </w:pPr>
          </w:p>
        </w:tc>
        <w:tc>
          <w:tcPr>
            <w:tcW w:w="712" w:type="pct"/>
            <w:vAlign w:val="center"/>
          </w:tcPr>
          <w:p w14:paraId="6B87C740">
            <w:pPr>
              <w:pStyle w:val="182"/>
              <w:bidi w:val="0"/>
              <w:rPr>
                <w:color w:val="auto"/>
              </w:rPr>
            </w:pPr>
            <w:r>
              <w:rPr>
                <w:color w:val="auto"/>
              </w:rPr>
              <w:t>声环境</w:t>
            </w:r>
          </w:p>
        </w:tc>
        <w:tc>
          <w:tcPr>
            <w:tcW w:w="545" w:type="pct"/>
            <w:vAlign w:val="center"/>
          </w:tcPr>
          <w:p w14:paraId="1BC95A1C">
            <w:pPr>
              <w:pStyle w:val="182"/>
              <w:bidi w:val="0"/>
              <w:rPr>
                <w:color w:val="auto"/>
              </w:rPr>
            </w:pPr>
            <w:r>
              <w:rPr>
                <w:color w:val="auto"/>
              </w:rPr>
              <w:t>-1SP</w:t>
            </w:r>
          </w:p>
        </w:tc>
        <w:tc>
          <w:tcPr>
            <w:tcW w:w="492" w:type="pct"/>
            <w:vAlign w:val="center"/>
          </w:tcPr>
          <w:p w14:paraId="64380133">
            <w:pPr>
              <w:pStyle w:val="182"/>
              <w:bidi w:val="0"/>
              <w:rPr>
                <w:color w:val="auto"/>
              </w:rPr>
            </w:pPr>
          </w:p>
        </w:tc>
        <w:tc>
          <w:tcPr>
            <w:tcW w:w="498" w:type="pct"/>
            <w:vAlign w:val="center"/>
          </w:tcPr>
          <w:p w14:paraId="3E0590A7">
            <w:pPr>
              <w:pStyle w:val="182"/>
              <w:bidi w:val="0"/>
              <w:rPr>
                <w:color w:val="auto"/>
              </w:rPr>
            </w:pPr>
          </w:p>
        </w:tc>
        <w:tc>
          <w:tcPr>
            <w:tcW w:w="498" w:type="pct"/>
            <w:vAlign w:val="center"/>
          </w:tcPr>
          <w:p w14:paraId="65CABCCD">
            <w:pPr>
              <w:pStyle w:val="182"/>
              <w:bidi w:val="0"/>
              <w:rPr>
                <w:color w:val="auto"/>
              </w:rPr>
            </w:pPr>
          </w:p>
        </w:tc>
        <w:tc>
          <w:tcPr>
            <w:tcW w:w="830" w:type="pct"/>
            <w:vAlign w:val="center"/>
          </w:tcPr>
          <w:p w14:paraId="46CCCEC5">
            <w:pPr>
              <w:pStyle w:val="182"/>
              <w:bidi w:val="0"/>
              <w:rPr>
                <w:color w:val="auto"/>
              </w:rPr>
            </w:pPr>
            <w:r>
              <w:rPr>
                <w:color w:val="auto"/>
              </w:rPr>
              <w:t>-1LP</w:t>
            </w:r>
          </w:p>
        </w:tc>
        <w:tc>
          <w:tcPr>
            <w:tcW w:w="580" w:type="pct"/>
            <w:vAlign w:val="center"/>
          </w:tcPr>
          <w:p w14:paraId="03366DA4">
            <w:pPr>
              <w:pStyle w:val="182"/>
              <w:bidi w:val="0"/>
              <w:rPr>
                <w:color w:val="auto"/>
              </w:rPr>
            </w:pPr>
            <w:r>
              <w:rPr>
                <w:color w:val="auto"/>
              </w:rPr>
              <w:t>-1LP</w:t>
            </w:r>
          </w:p>
        </w:tc>
        <w:tc>
          <w:tcPr>
            <w:tcW w:w="454" w:type="pct"/>
            <w:vAlign w:val="center"/>
          </w:tcPr>
          <w:p w14:paraId="03025C9F">
            <w:pPr>
              <w:pStyle w:val="182"/>
              <w:bidi w:val="0"/>
              <w:rPr>
                <w:color w:val="auto"/>
              </w:rPr>
            </w:pPr>
          </w:p>
        </w:tc>
      </w:tr>
      <w:tr w14:paraId="7AA3E4F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8" w:type="pct"/>
            <w:vMerge w:val="continue"/>
            <w:vAlign w:val="center"/>
          </w:tcPr>
          <w:p w14:paraId="50A75493">
            <w:pPr>
              <w:pStyle w:val="182"/>
              <w:bidi w:val="0"/>
              <w:rPr>
                <w:color w:val="auto"/>
              </w:rPr>
            </w:pPr>
          </w:p>
        </w:tc>
        <w:tc>
          <w:tcPr>
            <w:tcW w:w="712" w:type="pct"/>
            <w:vAlign w:val="center"/>
          </w:tcPr>
          <w:p w14:paraId="154957C4">
            <w:pPr>
              <w:pStyle w:val="182"/>
              <w:bidi w:val="0"/>
              <w:rPr>
                <w:color w:val="auto"/>
              </w:rPr>
            </w:pPr>
            <w:r>
              <w:rPr>
                <w:color w:val="auto"/>
              </w:rPr>
              <w:t>地表</w:t>
            </w:r>
          </w:p>
        </w:tc>
        <w:tc>
          <w:tcPr>
            <w:tcW w:w="545" w:type="pct"/>
            <w:vAlign w:val="center"/>
          </w:tcPr>
          <w:p w14:paraId="3E55E42B">
            <w:pPr>
              <w:pStyle w:val="182"/>
              <w:bidi w:val="0"/>
              <w:rPr>
                <w:color w:val="auto"/>
              </w:rPr>
            </w:pPr>
            <w:r>
              <w:rPr>
                <w:color w:val="auto"/>
              </w:rPr>
              <w:t>-1SP</w:t>
            </w:r>
          </w:p>
        </w:tc>
        <w:tc>
          <w:tcPr>
            <w:tcW w:w="492" w:type="pct"/>
            <w:vAlign w:val="center"/>
          </w:tcPr>
          <w:p w14:paraId="56421136">
            <w:pPr>
              <w:pStyle w:val="182"/>
              <w:bidi w:val="0"/>
              <w:rPr>
                <w:color w:val="auto"/>
              </w:rPr>
            </w:pPr>
          </w:p>
        </w:tc>
        <w:tc>
          <w:tcPr>
            <w:tcW w:w="498" w:type="pct"/>
            <w:vAlign w:val="center"/>
          </w:tcPr>
          <w:p w14:paraId="2D17D82E">
            <w:pPr>
              <w:pStyle w:val="182"/>
              <w:bidi w:val="0"/>
              <w:rPr>
                <w:color w:val="auto"/>
              </w:rPr>
            </w:pPr>
          </w:p>
        </w:tc>
        <w:tc>
          <w:tcPr>
            <w:tcW w:w="498" w:type="pct"/>
            <w:vAlign w:val="center"/>
          </w:tcPr>
          <w:p w14:paraId="79FFBBAA">
            <w:pPr>
              <w:pStyle w:val="182"/>
              <w:bidi w:val="0"/>
              <w:rPr>
                <w:color w:val="auto"/>
              </w:rPr>
            </w:pPr>
            <w:r>
              <w:rPr>
                <w:color w:val="auto"/>
              </w:rPr>
              <w:t>-1LP</w:t>
            </w:r>
          </w:p>
        </w:tc>
        <w:tc>
          <w:tcPr>
            <w:tcW w:w="830" w:type="pct"/>
            <w:vAlign w:val="center"/>
          </w:tcPr>
          <w:p w14:paraId="595991FF">
            <w:pPr>
              <w:pStyle w:val="182"/>
              <w:bidi w:val="0"/>
              <w:rPr>
                <w:color w:val="auto"/>
              </w:rPr>
            </w:pPr>
          </w:p>
        </w:tc>
        <w:tc>
          <w:tcPr>
            <w:tcW w:w="580" w:type="pct"/>
            <w:vAlign w:val="center"/>
          </w:tcPr>
          <w:p w14:paraId="5228B8ED">
            <w:pPr>
              <w:pStyle w:val="182"/>
              <w:bidi w:val="0"/>
              <w:rPr>
                <w:color w:val="auto"/>
              </w:rPr>
            </w:pPr>
          </w:p>
        </w:tc>
        <w:tc>
          <w:tcPr>
            <w:tcW w:w="454" w:type="pct"/>
            <w:vAlign w:val="center"/>
          </w:tcPr>
          <w:p w14:paraId="543AAFC7">
            <w:pPr>
              <w:pStyle w:val="182"/>
              <w:bidi w:val="0"/>
              <w:rPr>
                <w:color w:val="auto"/>
              </w:rPr>
            </w:pPr>
          </w:p>
        </w:tc>
      </w:tr>
      <w:tr w14:paraId="539AFB9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8" w:type="pct"/>
            <w:vMerge w:val="continue"/>
            <w:vAlign w:val="center"/>
          </w:tcPr>
          <w:p w14:paraId="507E6281">
            <w:pPr>
              <w:pStyle w:val="182"/>
              <w:bidi w:val="0"/>
              <w:rPr>
                <w:color w:val="auto"/>
              </w:rPr>
            </w:pPr>
          </w:p>
        </w:tc>
        <w:tc>
          <w:tcPr>
            <w:tcW w:w="712" w:type="pct"/>
            <w:vAlign w:val="center"/>
          </w:tcPr>
          <w:p w14:paraId="2C4ABA41">
            <w:pPr>
              <w:pStyle w:val="182"/>
              <w:bidi w:val="0"/>
              <w:rPr>
                <w:color w:val="auto"/>
              </w:rPr>
            </w:pPr>
            <w:r>
              <w:rPr>
                <w:color w:val="auto"/>
              </w:rPr>
              <w:t>土壤</w:t>
            </w:r>
          </w:p>
        </w:tc>
        <w:tc>
          <w:tcPr>
            <w:tcW w:w="545" w:type="pct"/>
            <w:vAlign w:val="center"/>
          </w:tcPr>
          <w:p w14:paraId="58CCB202">
            <w:pPr>
              <w:pStyle w:val="182"/>
              <w:bidi w:val="0"/>
              <w:rPr>
                <w:color w:val="auto"/>
              </w:rPr>
            </w:pPr>
            <w:r>
              <w:rPr>
                <w:color w:val="auto"/>
              </w:rPr>
              <w:t>-1SP</w:t>
            </w:r>
          </w:p>
        </w:tc>
        <w:tc>
          <w:tcPr>
            <w:tcW w:w="492" w:type="pct"/>
            <w:vAlign w:val="center"/>
          </w:tcPr>
          <w:p w14:paraId="6881CCFD">
            <w:pPr>
              <w:pStyle w:val="182"/>
              <w:bidi w:val="0"/>
              <w:rPr>
                <w:color w:val="auto"/>
              </w:rPr>
            </w:pPr>
            <w:r>
              <w:rPr>
                <w:color w:val="auto"/>
              </w:rPr>
              <w:t>-1LP</w:t>
            </w:r>
          </w:p>
        </w:tc>
        <w:tc>
          <w:tcPr>
            <w:tcW w:w="498" w:type="pct"/>
            <w:vAlign w:val="center"/>
          </w:tcPr>
          <w:p w14:paraId="06A7C822">
            <w:pPr>
              <w:pStyle w:val="182"/>
              <w:bidi w:val="0"/>
              <w:rPr>
                <w:color w:val="auto"/>
              </w:rPr>
            </w:pPr>
          </w:p>
        </w:tc>
        <w:tc>
          <w:tcPr>
            <w:tcW w:w="498" w:type="pct"/>
            <w:vAlign w:val="center"/>
          </w:tcPr>
          <w:p w14:paraId="57006ECE">
            <w:pPr>
              <w:pStyle w:val="182"/>
              <w:bidi w:val="0"/>
              <w:rPr>
                <w:color w:val="auto"/>
              </w:rPr>
            </w:pPr>
            <w:r>
              <w:rPr>
                <w:color w:val="auto"/>
              </w:rPr>
              <w:t>-1LP</w:t>
            </w:r>
          </w:p>
        </w:tc>
        <w:tc>
          <w:tcPr>
            <w:tcW w:w="830" w:type="pct"/>
            <w:vAlign w:val="center"/>
          </w:tcPr>
          <w:p w14:paraId="75B8491C">
            <w:pPr>
              <w:pStyle w:val="182"/>
              <w:bidi w:val="0"/>
              <w:rPr>
                <w:color w:val="auto"/>
              </w:rPr>
            </w:pPr>
          </w:p>
        </w:tc>
        <w:tc>
          <w:tcPr>
            <w:tcW w:w="580" w:type="pct"/>
            <w:vAlign w:val="center"/>
          </w:tcPr>
          <w:p w14:paraId="2DC4D7C2">
            <w:pPr>
              <w:pStyle w:val="182"/>
              <w:bidi w:val="0"/>
              <w:rPr>
                <w:color w:val="auto"/>
              </w:rPr>
            </w:pPr>
          </w:p>
        </w:tc>
        <w:tc>
          <w:tcPr>
            <w:tcW w:w="454" w:type="pct"/>
            <w:vAlign w:val="center"/>
          </w:tcPr>
          <w:p w14:paraId="780F523A">
            <w:pPr>
              <w:pStyle w:val="182"/>
              <w:bidi w:val="0"/>
              <w:rPr>
                <w:color w:val="auto"/>
              </w:rPr>
            </w:pPr>
          </w:p>
        </w:tc>
      </w:tr>
      <w:tr w14:paraId="0401E39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388" w:type="pct"/>
            <w:vMerge w:val="continue"/>
            <w:vAlign w:val="center"/>
          </w:tcPr>
          <w:p w14:paraId="3FD23000">
            <w:pPr>
              <w:pStyle w:val="182"/>
              <w:bidi w:val="0"/>
              <w:rPr>
                <w:color w:val="auto"/>
              </w:rPr>
            </w:pPr>
          </w:p>
        </w:tc>
        <w:tc>
          <w:tcPr>
            <w:tcW w:w="712" w:type="pct"/>
            <w:vAlign w:val="center"/>
          </w:tcPr>
          <w:p w14:paraId="0C07BFE3">
            <w:pPr>
              <w:pStyle w:val="182"/>
              <w:bidi w:val="0"/>
              <w:rPr>
                <w:color w:val="auto"/>
              </w:rPr>
            </w:pPr>
            <w:r>
              <w:rPr>
                <w:color w:val="auto"/>
              </w:rPr>
              <w:t>植被</w:t>
            </w:r>
          </w:p>
        </w:tc>
        <w:tc>
          <w:tcPr>
            <w:tcW w:w="545" w:type="pct"/>
            <w:vAlign w:val="center"/>
          </w:tcPr>
          <w:p w14:paraId="6E7C4BEC">
            <w:pPr>
              <w:pStyle w:val="182"/>
              <w:bidi w:val="0"/>
              <w:rPr>
                <w:color w:val="auto"/>
              </w:rPr>
            </w:pPr>
          </w:p>
        </w:tc>
        <w:tc>
          <w:tcPr>
            <w:tcW w:w="492" w:type="pct"/>
            <w:vAlign w:val="center"/>
          </w:tcPr>
          <w:p w14:paraId="2C3B20CE">
            <w:pPr>
              <w:pStyle w:val="182"/>
              <w:bidi w:val="0"/>
              <w:rPr>
                <w:color w:val="auto"/>
              </w:rPr>
            </w:pPr>
          </w:p>
        </w:tc>
        <w:tc>
          <w:tcPr>
            <w:tcW w:w="498" w:type="pct"/>
            <w:vAlign w:val="center"/>
          </w:tcPr>
          <w:p w14:paraId="53B37600">
            <w:pPr>
              <w:pStyle w:val="182"/>
              <w:bidi w:val="0"/>
              <w:rPr>
                <w:color w:val="auto"/>
              </w:rPr>
            </w:pPr>
            <w:r>
              <w:rPr>
                <w:color w:val="auto"/>
              </w:rPr>
              <w:t>-1LP</w:t>
            </w:r>
          </w:p>
        </w:tc>
        <w:tc>
          <w:tcPr>
            <w:tcW w:w="498" w:type="pct"/>
            <w:vAlign w:val="center"/>
          </w:tcPr>
          <w:p w14:paraId="62F41243">
            <w:pPr>
              <w:pStyle w:val="182"/>
              <w:bidi w:val="0"/>
              <w:rPr>
                <w:color w:val="auto"/>
              </w:rPr>
            </w:pPr>
          </w:p>
        </w:tc>
        <w:tc>
          <w:tcPr>
            <w:tcW w:w="830" w:type="pct"/>
            <w:vAlign w:val="center"/>
          </w:tcPr>
          <w:p w14:paraId="46547651">
            <w:pPr>
              <w:pStyle w:val="182"/>
              <w:bidi w:val="0"/>
              <w:rPr>
                <w:color w:val="auto"/>
              </w:rPr>
            </w:pPr>
          </w:p>
        </w:tc>
        <w:tc>
          <w:tcPr>
            <w:tcW w:w="580" w:type="pct"/>
            <w:vAlign w:val="center"/>
          </w:tcPr>
          <w:p w14:paraId="4FB7635E">
            <w:pPr>
              <w:pStyle w:val="182"/>
              <w:bidi w:val="0"/>
              <w:rPr>
                <w:color w:val="auto"/>
              </w:rPr>
            </w:pPr>
          </w:p>
        </w:tc>
        <w:tc>
          <w:tcPr>
            <w:tcW w:w="454" w:type="pct"/>
            <w:vAlign w:val="center"/>
          </w:tcPr>
          <w:p w14:paraId="503411A4">
            <w:pPr>
              <w:pStyle w:val="182"/>
              <w:bidi w:val="0"/>
              <w:rPr>
                <w:color w:val="auto"/>
              </w:rPr>
            </w:pPr>
          </w:p>
        </w:tc>
      </w:tr>
      <w:tr w14:paraId="0C2A18F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5000" w:type="pct"/>
            <w:gridSpan w:val="9"/>
            <w:vAlign w:val="center"/>
          </w:tcPr>
          <w:p w14:paraId="159FB081">
            <w:pPr>
              <w:pStyle w:val="182"/>
              <w:bidi w:val="0"/>
              <w:rPr>
                <w:color w:val="auto"/>
              </w:rPr>
            </w:pPr>
            <w:r>
              <w:rPr>
                <w:color w:val="auto"/>
              </w:rPr>
              <w:t>备注：影响程度：1</w:t>
            </w:r>
            <w:r>
              <w:rPr>
                <w:rFonts w:hint="eastAsia"/>
                <w:color w:val="auto"/>
                <w:lang w:eastAsia="zh-CN"/>
              </w:rPr>
              <w:t>－</w:t>
            </w:r>
            <w:r>
              <w:rPr>
                <w:color w:val="auto"/>
              </w:rPr>
              <w:t>轻微；2</w:t>
            </w:r>
            <w:r>
              <w:rPr>
                <w:rFonts w:hint="eastAsia"/>
                <w:color w:val="auto"/>
                <w:lang w:eastAsia="zh-CN"/>
              </w:rPr>
              <w:t>－</w:t>
            </w:r>
            <w:r>
              <w:rPr>
                <w:color w:val="auto"/>
              </w:rPr>
              <w:t>一般；3</w:t>
            </w:r>
            <w:r>
              <w:rPr>
                <w:rFonts w:hint="eastAsia"/>
                <w:color w:val="auto"/>
                <w:lang w:eastAsia="zh-CN"/>
              </w:rPr>
              <w:t>－</w:t>
            </w:r>
            <w:r>
              <w:rPr>
                <w:color w:val="auto"/>
              </w:rPr>
              <w:t>显著影响时段：S</w:t>
            </w:r>
            <w:r>
              <w:rPr>
                <w:rFonts w:hint="eastAsia"/>
                <w:color w:val="auto"/>
                <w:lang w:eastAsia="zh-CN"/>
              </w:rPr>
              <w:t>－</w:t>
            </w:r>
            <w:r>
              <w:rPr>
                <w:color w:val="auto"/>
              </w:rPr>
              <w:t>短期；L</w:t>
            </w:r>
            <w:r>
              <w:rPr>
                <w:rFonts w:hint="eastAsia"/>
                <w:color w:val="auto"/>
                <w:lang w:eastAsia="zh-CN"/>
              </w:rPr>
              <w:t>－</w:t>
            </w:r>
            <w:r>
              <w:rPr>
                <w:color w:val="auto"/>
              </w:rPr>
              <w:t>长期</w:t>
            </w:r>
          </w:p>
          <w:p w14:paraId="3DE6978A">
            <w:pPr>
              <w:pStyle w:val="182"/>
              <w:bidi w:val="0"/>
              <w:rPr>
                <w:color w:val="auto"/>
              </w:rPr>
            </w:pPr>
            <w:r>
              <w:rPr>
                <w:color w:val="auto"/>
              </w:rPr>
              <w:t>影响范围：P</w:t>
            </w:r>
            <w:r>
              <w:rPr>
                <w:rFonts w:hint="eastAsia"/>
                <w:color w:val="auto"/>
                <w:lang w:eastAsia="zh-CN"/>
              </w:rPr>
              <w:t>－</w:t>
            </w:r>
            <w:r>
              <w:rPr>
                <w:color w:val="auto"/>
              </w:rPr>
              <w:t>局部；W</w:t>
            </w:r>
            <w:r>
              <w:rPr>
                <w:rFonts w:hint="eastAsia"/>
                <w:color w:val="auto"/>
                <w:lang w:eastAsia="zh-CN"/>
              </w:rPr>
              <w:t>－</w:t>
            </w:r>
            <w:r>
              <w:rPr>
                <w:color w:val="auto"/>
              </w:rPr>
              <w:t>大范围影响性质：+</w:t>
            </w:r>
            <w:r>
              <w:rPr>
                <w:rFonts w:hint="eastAsia"/>
                <w:color w:val="auto"/>
                <w:lang w:eastAsia="zh-CN"/>
              </w:rPr>
              <w:t>－</w:t>
            </w:r>
            <w:r>
              <w:rPr>
                <w:color w:val="auto"/>
              </w:rPr>
              <w:t>有利；-</w:t>
            </w:r>
            <w:r>
              <w:rPr>
                <w:rFonts w:hint="eastAsia"/>
                <w:color w:val="auto"/>
                <w:lang w:eastAsia="zh-CN"/>
              </w:rPr>
              <w:t>－</w:t>
            </w:r>
            <w:r>
              <w:rPr>
                <w:color w:val="auto"/>
              </w:rPr>
              <w:t>不利</w:t>
            </w:r>
          </w:p>
        </w:tc>
      </w:tr>
    </w:tbl>
    <w:p w14:paraId="53CBF3A2">
      <w:pPr>
        <w:bidi w:val="0"/>
        <w:rPr>
          <w:color w:val="auto"/>
        </w:rPr>
      </w:pPr>
      <w:r>
        <w:rPr>
          <w:color w:val="auto"/>
        </w:rPr>
        <w:t>由上表可以看出，本工程在施工期对周围自然环境、社会环境的影响是短期、局部的，工程运行期主要是工程废气、废水对区域环境空气和地表水的不利影响。评价把废气、废水污染控制可行性及可靠性作为重点内容。</w:t>
      </w:r>
    </w:p>
    <w:p w14:paraId="7D3EC7D4">
      <w:pPr>
        <w:pStyle w:val="5"/>
        <w:bidi w:val="0"/>
        <w:rPr>
          <w:color w:val="auto"/>
        </w:rPr>
      </w:pPr>
      <w:bookmarkStart w:id="93" w:name="_Toc428286769"/>
      <w:bookmarkStart w:id="94" w:name="_Toc428287163"/>
      <w:bookmarkStart w:id="95" w:name="_Toc428287515"/>
      <w:r>
        <w:rPr>
          <w:color w:val="auto"/>
        </w:rPr>
        <w:t>环境影响因子筛选</w:t>
      </w:r>
      <w:bookmarkEnd w:id="93"/>
      <w:bookmarkEnd w:id="94"/>
      <w:bookmarkEnd w:id="95"/>
    </w:p>
    <w:p w14:paraId="037C62CB">
      <w:pPr>
        <w:bidi w:val="0"/>
        <w:rPr>
          <w:color w:val="auto"/>
        </w:rPr>
      </w:pPr>
      <w:r>
        <w:rPr>
          <w:color w:val="auto"/>
        </w:rPr>
        <w:t>根据本项目污染源分析及环境影响因子识别，依据国家有关环保标准、规定所列控制指标，并结合项目所处区域环境特征，筛选出本项目评价因子见</w:t>
      </w:r>
      <w:r>
        <w:rPr>
          <w:rFonts w:hint="eastAsia"/>
          <w:color w:val="auto"/>
        </w:rPr>
        <w:t>下</w:t>
      </w:r>
      <w:r>
        <w:rPr>
          <w:color w:val="auto"/>
        </w:rPr>
        <w:t>表。</w:t>
      </w:r>
    </w:p>
    <w:p w14:paraId="6B4D90B8">
      <w:pPr>
        <w:pStyle w:val="10"/>
        <w:bidi w:val="0"/>
        <w:rPr>
          <w:rFonts w:hint="eastAsia"/>
        </w:rPr>
      </w:pPr>
      <w:r>
        <w:t xml:space="preserve">表 </w:t>
      </w:r>
      <w:r>
        <w:fldChar w:fldCharType="begin"/>
      </w:r>
      <w:r>
        <w:instrText xml:space="preserve"> STYLEREF 2 \s </w:instrText>
      </w:r>
      <w:r>
        <w:fldChar w:fldCharType="separate"/>
      </w:r>
      <w:r>
        <w:t>2.3</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rPr>
          <w:rFonts w:hint="eastAsia"/>
          <w:lang w:val="en-US" w:eastAsia="zh-CN"/>
        </w:rPr>
        <w:t xml:space="preserve"> </w:t>
      </w:r>
      <w:r>
        <w:rPr>
          <w:rFonts w:hint="eastAsia"/>
        </w:rPr>
        <w:t>评价因子一览表</w:t>
      </w:r>
    </w:p>
    <w:tbl>
      <w:tblPr>
        <w:tblStyle w:val="31"/>
        <w:tblW w:w="4999"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409"/>
        <w:gridCol w:w="5289"/>
        <w:gridCol w:w="1822"/>
      </w:tblGrid>
      <w:tr w14:paraId="6E58378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827" w:type="pct"/>
            <w:vAlign w:val="center"/>
          </w:tcPr>
          <w:p w14:paraId="5FA88992">
            <w:pPr>
              <w:pStyle w:val="182"/>
              <w:bidi w:val="0"/>
              <w:rPr>
                <w:b/>
                <w:bCs/>
                <w:color w:val="auto"/>
              </w:rPr>
            </w:pPr>
            <w:r>
              <w:rPr>
                <w:b/>
                <w:bCs/>
                <w:color w:val="auto"/>
              </w:rPr>
              <w:t>评价要素</w:t>
            </w:r>
          </w:p>
        </w:tc>
        <w:tc>
          <w:tcPr>
            <w:tcW w:w="3103" w:type="pct"/>
            <w:vAlign w:val="center"/>
          </w:tcPr>
          <w:p w14:paraId="2C172A18">
            <w:pPr>
              <w:pStyle w:val="182"/>
              <w:bidi w:val="0"/>
              <w:rPr>
                <w:b/>
                <w:bCs/>
                <w:color w:val="auto"/>
              </w:rPr>
            </w:pPr>
            <w:r>
              <w:rPr>
                <w:b/>
                <w:bCs/>
                <w:color w:val="auto"/>
              </w:rPr>
              <w:t>现状评价因子</w:t>
            </w:r>
          </w:p>
        </w:tc>
        <w:tc>
          <w:tcPr>
            <w:tcW w:w="1069" w:type="pct"/>
            <w:vAlign w:val="center"/>
          </w:tcPr>
          <w:p w14:paraId="51BBF79D">
            <w:pPr>
              <w:pStyle w:val="182"/>
              <w:bidi w:val="0"/>
              <w:rPr>
                <w:b/>
                <w:bCs/>
                <w:color w:val="auto"/>
              </w:rPr>
            </w:pPr>
            <w:r>
              <w:rPr>
                <w:b/>
                <w:bCs/>
                <w:color w:val="auto"/>
              </w:rPr>
              <w:t>预测因子</w:t>
            </w:r>
          </w:p>
        </w:tc>
      </w:tr>
      <w:tr w14:paraId="74D330A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14:paraId="7B7B2B58">
            <w:pPr>
              <w:pStyle w:val="182"/>
              <w:bidi w:val="0"/>
              <w:rPr>
                <w:color w:val="auto"/>
              </w:rPr>
            </w:pPr>
            <w:r>
              <w:rPr>
                <w:color w:val="auto"/>
              </w:rPr>
              <w:t>环境空气</w:t>
            </w:r>
          </w:p>
        </w:tc>
        <w:tc>
          <w:tcPr>
            <w:tcW w:w="3103" w:type="pct"/>
            <w:vAlign w:val="center"/>
          </w:tcPr>
          <w:p w14:paraId="183C478A">
            <w:pPr>
              <w:pStyle w:val="182"/>
              <w:bidi w:val="0"/>
              <w:rPr>
                <w:rFonts w:hint="eastAsia" w:eastAsia="宋体"/>
                <w:color w:val="auto"/>
                <w:lang w:val="en-US" w:eastAsia="zh-CN"/>
              </w:rPr>
            </w:pPr>
            <w:r>
              <w:rPr>
                <w:rFonts w:hint="eastAsia"/>
                <w:color w:val="auto"/>
              </w:rPr>
              <w:t>PM</w:t>
            </w:r>
            <w:r>
              <w:rPr>
                <w:rFonts w:hint="eastAsia"/>
                <w:color w:val="auto"/>
                <w:vertAlign w:val="subscript"/>
              </w:rPr>
              <w:t>10</w:t>
            </w:r>
            <w:r>
              <w:rPr>
                <w:rFonts w:hint="eastAsia"/>
                <w:color w:val="auto"/>
                <w:lang w:eastAsia="zh-CN"/>
              </w:rPr>
              <w:t>、</w:t>
            </w:r>
            <w:r>
              <w:rPr>
                <w:rFonts w:hint="eastAsia"/>
                <w:color w:val="auto"/>
              </w:rPr>
              <w:t>PM</w:t>
            </w:r>
            <w:r>
              <w:rPr>
                <w:rFonts w:hint="eastAsia"/>
                <w:color w:val="auto"/>
                <w:vertAlign w:val="subscript"/>
              </w:rPr>
              <w:t>2.5</w:t>
            </w:r>
            <w:r>
              <w:rPr>
                <w:rFonts w:hint="eastAsia"/>
                <w:color w:val="auto"/>
                <w:lang w:eastAsia="zh-CN"/>
              </w:rPr>
              <w:t>、</w:t>
            </w:r>
            <w:r>
              <w:rPr>
                <w:rFonts w:hint="eastAsia"/>
                <w:color w:val="auto"/>
              </w:rPr>
              <w:t>SO</w:t>
            </w:r>
            <w:r>
              <w:rPr>
                <w:rFonts w:hint="eastAsia"/>
                <w:color w:val="auto"/>
                <w:vertAlign w:val="subscript"/>
              </w:rPr>
              <w:t>2</w:t>
            </w:r>
            <w:r>
              <w:rPr>
                <w:rFonts w:hint="eastAsia"/>
                <w:color w:val="auto"/>
                <w:lang w:eastAsia="zh-CN"/>
              </w:rPr>
              <w:t>、</w:t>
            </w:r>
            <w:r>
              <w:rPr>
                <w:rFonts w:hint="eastAsia"/>
                <w:color w:val="auto"/>
              </w:rPr>
              <w:t>NO</w:t>
            </w:r>
            <w:r>
              <w:rPr>
                <w:rFonts w:hint="eastAsia"/>
                <w:color w:val="auto"/>
                <w:vertAlign w:val="subscript"/>
              </w:rPr>
              <w:t>2</w:t>
            </w:r>
            <w:r>
              <w:rPr>
                <w:rFonts w:hint="eastAsia"/>
                <w:color w:val="auto"/>
                <w:lang w:eastAsia="zh-CN"/>
              </w:rPr>
              <w:t>、</w:t>
            </w:r>
            <w:r>
              <w:rPr>
                <w:rFonts w:hint="eastAsia"/>
                <w:color w:val="auto"/>
              </w:rPr>
              <w:t>CO</w:t>
            </w:r>
            <w:r>
              <w:rPr>
                <w:rFonts w:hint="eastAsia"/>
                <w:color w:val="auto"/>
                <w:lang w:eastAsia="zh-CN"/>
              </w:rPr>
              <w:t>、</w:t>
            </w:r>
            <w:r>
              <w:rPr>
                <w:rFonts w:hint="eastAsia"/>
                <w:color w:val="auto"/>
              </w:rPr>
              <w:t>O</w:t>
            </w:r>
            <w:r>
              <w:rPr>
                <w:rFonts w:hint="eastAsia"/>
                <w:color w:val="auto"/>
                <w:vertAlign w:val="subscript"/>
              </w:rPr>
              <w:t>3</w:t>
            </w:r>
            <w:r>
              <w:rPr>
                <w:color w:val="auto"/>
              </w:rPr>
              <w:t>、</w:t>
            </w:r>
            <w:r>
              <w:rPr>
                <w:rFonts w:hint="eastAsia"/>
                <w:color w:val="auto"/>
                <w:lang w:val="en-US" w:eastAsia="zh-CN"/>
              </w:rPr>
              <w:t>非甲烷总烃</w:t>
            </w:r>
          </w:p>
        </w:tc>
        <w:tc>
          <w:tcPr>
            <w:tcW w:w="1069" w:type="pct"/>
            <w:vAlign w:val="center"/>
          </w:tcPr>
          <w:p w14:paraId="53A3A993">
            <w:pPr>
              <w:pStyle w:val="182"/>
              <w:bidi w:val="0"/>
              <w:rPr>
                <w:rFonts w:hint="default" w:eastAsia="宋体"/>
                <w:color w:val="auto"/>
                <w:lang w:val="en-US" w:eastAsia="zh-CN"/>
              </w:rPr>
            </w:pPr>
            <w:r>
              <w:rPr>
                <w:color w:val="auto"/>
              </w:rPr>
              <w:t>PM</w:t>
            </w:r>
            <w:r>
              <w:rPr>
                <w:color w:val="auto"/>
                <w:vertAlign w:val="subscript"/>
              </w:rPr>
              <w:t>10</w:t>
            </w:r>
            <w:r>
              <w:rPr>
                <w:color w:val="auto"/>
              </w:rPr>
              <w:t>、</w:t>
            </w:r>
            <w:r>
              <w:rPr>
                <w:rFonts w:hint="eastAsia"/>
                <w:color w:val="auto"/>
                <w:lang w:val="en-US" w:eastAsia="zh-CN"/>
              </w:rPr>
              <w:t>非甲烷总烃</w:t>
            </w:r>
          </w:p>
        </w:tc>
      </w:tr>
      <w:tr w14:paraId="13754BD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14:paraId="20E3C3CE">
            <w:pPr>
              <w:pStyle w:val="182"/>
              <w:bidi w:val="0"/>
              <w:rPr>
                <w:color w:val="auto"/>
              </w:rPr>
            </w:pPr>
            <w:r>
              <w:rPr>
                <w:color w:val="auto"/>
              </w:rPr>
              <w:t>地表水</w:t>
            </w:r>
          </w:p>
        </w:tc>
        <w:tc>
          <w:tcPr>
            <w:tcW w:w="3103" w:type="pct"/>
            <w:vAlign w:val="center"/>
          </w:tcPr>
          <w:p w14:paraId="052A7197">
            <w:pPr>
              <w:pStyle w:val="182"/>
              <w:bidi w:val="0"/>
              <w:rPr>
                <w:rFonts w:hint="default" w:eastAsia="宋体"/>
                <w:color w:val="auto"/>
                <w:lang w:val="en-US" w:eastAsia="zh-CN"/>
              </w:rPr>
            </w:pPr>
            <w:r>
              <w:rPr>
                <w:color w:val="auto"/>
              </w:rPr>
              <w:t>COD、NH</w:t>
            </w:r>
            <w:r>
              <w:rPr>
                <w:color w:val="auto"/>
                <w:vertAlign w:val="subscript"/>
              </w:rPr>
              <w:t>3</w:t>
            </w:r>
            <w:r>
              <w:rPr>
                <w:color w:val="auto"/>
              </w:rPr>
              <w:t>-N、TN、TP</w:t>
            </w:r>
          </w:p>
        </w:tc>
        <w:tc>
          <w:tcPr>
            <w:tcW w:w="1069" w:type="pct"/>
            <w:vAlign w:val="center"/>
          </w:tcPr>
          <w:p w14:paraId="2D2C4F57">
            <w:pPr>
              <w:pStyle w:val="182"/>
              <w:bidi w:val="0"/>
              <w:rPr>
                <w:rFonts w:hint="eastAsia" w:eastAsia="宋体"/>
                <w:color w:val="auto"/>
                <w:lang w:eastAsia="zh-CN"/>
              </w:rPr>
            </w:pPr>
            <w:r>
              <w:rPr>
                <w:rFonts w:hint="eastAsia"/>
                <w:color w:val="auto"/>
                <w:lang w:val="en-US" w:eastAsia="zh-CN"/>
              </w:rPr>
              <w:t>/</w:t>
            </w:r>
          </w:p>
        </w:tc>
      </w:tr>
      <w:tr w14:paraId="40B9CEA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14:paraId="61921413">
            <w:pPr>
              <w:pStyle w:val="182"/>
              <w:bidi w:val="0"/>
              <w:rPr>
                <w:color w:val="auto"/>
              </w:rPr>
            </w:pPr>
            <w:r>
              <w:rPr>
                <w:color w:val="auto"/>
              </w:rPr>
              <w:t>地下水</w:t>
            </w:r>
          </w:p>
        </w:tc>
        <w:tc>
          <w:tcPr>
            <w:tcW w:w="3103" w:type="pct"/>
            <w:vAlign w:val="center"/>
          </w:tcPr>
          <w:p w14:paraId="57BE470C">
            <w:pPr>
              <w:pStyle w:val="182"/>
              <w:bidi w:val="0"/>
              <w:rPr>
                <w:color w:val="auto"/>
              </w:rPr>
            </w:pPr>
            <w:r>
              <w:rPr>
                <w:color w:val="auto"/>
                <w:sz w:val="21"/>
                <w:szCs w:val="18"/>
              </w:rPr>
              <w:t>pH</w:t>
            </w:r>
            <w:r>
              <w:rPr>
                <w:rFonts w:hint="eastAsia"/>
                <w:color w:val="auto"/>
                <w:sz w:val="21"/>
                <w:szCs w:val="18"/>
              </w:rPr>
              <w:t>、氨氮、总硬度、溶解性总固体、耗氧量、</w:t>
            </w:r>
            <w:r>
              <w:rPr>
                <w:color w:val="auto"/>
                <w:sz w:val="21"/>
                <w:szCs w:val="18"/>
              </w:rPr>
              <w:t>K</w:t>
            </w:r>
            <w:r>
              <w:rPr>
                <w:color w:val="auto"/>
                <w:sz w:val="21"/>
                <w:szCs w:val="18"/>
                <w:vertAlign w:val="superscript"/>
              </w:rPr>
              <w:t>+</w:t>
            </w:r>
            <w:r>
              <w:rPr>
                <w:rFonts w:hint="eastAsia"/>
                <w:color w:val="auto"/>
                <w:sz w:val="21"/>
                <w:szCs w:val="18"/>
              </w:rPr>
              <w:t>、</w:t>
            </w:r>
            <w:r>
              <w:rPr>
                <w:color w:val="auto"/>
                <w:sz w:val="21"/>
                <w:szCs w:val="18"/>
              </w:rPr>
              <w:t>Na</w:t>
            </w:r>
            <w:r>
              <w:rPr>
                <w:color w:val="auto"/>
                <w:sz w:val="21"/>
                <w:szCs w:val="18"/>
                <w:vertAlign w:val="superscript"/>
              </w:rPr>
              <w:t>+</w:t>
            </w:r>
            <w:r>
              <w:rPr>
                <w:rFonts w:hint="eastAsia"/>
                <w:color w:val="auto"/>
                <w:sz w:val="21"/>
                <w:szCs w:val="18"/>
              </w:rPr>
              <w:t>、</w:t>
            </w:r>
            <w:r>
              <w:rPr>
                <w:color w:val="auto"/>
                <w:sz w:val="21"/>
                <w:szCs w:val="18"/>
              </w:rPr>
              <w:t>Ca</w:t>
            </w:r>
            <w:r>
              <w:rPr>
                <w:color w:val="auto"/>
                <w:sz w:val="21"/>
                <w:szCs w:val="18"/>
                <w:vertAlign w:val="superscript"/>
              </w:rPr>
              <w:t>2+</w:t>
            </w:r>
            <w:r>
              <w:rPr>
                <w:rFonts w:hint="eastAsia"/>
                <w:color w:val="auto"/>
                <w:sz w:val="21"/>
                <w:szCs w:val="18"/>
              </w:rPr>
              <w:t>、</w:t>
            </w:r>
            <w:r>
              <w:rPr>
                <w:color w:val="auto"/>
                <w:sz w:val="21"/>
                <w:szCs w:val="18"/>
              </w:rPr>
              <w:t>Mg</w:t>
            </w:r>
            <w:r>
              <w:rPr>
                <w:color w:val="auto"/>
                <w:sz w:val="21"/>
                <w:szCs w:val="18"/>
                <w:vertAlign w:val="superscript"/>
              </w:rPr>
              <w:t>2+</w:t>
            </w:r>
            <w:r>
              <w:rPr>
                <w:rFonts w:hint="eastAsia"/>
                <w:color w:val="auto"/>
                <w:sz w:val="21"/>
                <w:szCs w:val="18"/>
              </w:rPr>
              <w:t>、</w:t>
            </w:r>
            <w:r>
              <w:rPr>
                <w:color w:val="auto"/>
                <w:sz w:val="21"/>
                <w:szCs w:val="18"/>
              </w:rPr>
              <w:t>CO</w:t>
            </w:r>
            <w:r>
              <w:rPr>
                <w:color w:val="auto"/>
                <w:sz w:val="21"/>
                <w:szCs w:val="18"/>
                <w:vertAlign w:val="subscript"/>
              </w:rPr>
              <w:t>3</w:t>
            </w:r>
            <w:r>
              <w:rPr>
                <w:color w:val="auto"/>
                <w:sz w:val="21"/>
                <w:szCs w:val="18"/>
                <w:vertAlign w:val="superscript"/>
              </w:rPr>
              <w:t>2-</w:t>
            </w:r>
            <w:r>
              <w:rPr>
                <w:rFonts w:hint="eastAsia"/>
                <w:color w:val="auto"/>
                <w:sz w:val="21"/>
                <w:szCs w:val="18"/>
              </w:rPr>
              <w:t>、</w:t>
            </w:r>
            <w:r>
              <w:rPr>
                <w:color w:val="auto"/>
                <w:sz w:val="21"/>
                <w:szCs w:val="18"/>
              </w:rPr>
              <w:t>HCO</w:t>
            </w:r>
            <w:r>
              <w:rPr>
                <w:color w:val="auto"/>
                <w:sz w:val="21"/>
                <w:szCs w:val="18"/>
                <w:vertAlign w:val="subscript"/>
              </w:rPr>
              <w:t>3</w:t>
            </w:r>
            <w:r>
              <w:rPr>
                <w:color w:val="auto"/>
                <w:sz w:val="21"/>
                <w:szCs w:val="18"/>
                <w:vertAlign w:val="superscript"/>
              </w:rPr>
              <w:t>-</w:t>
            </w:r>
            <w:r>
              <w:rPr>
                <w:rFonts w:hint="eastAsia"/>
                <w:color w:val="auto"/>
                <w:sz w:val="21"/>
                <w:szCs w:val="18"/>
              </w:rPr>
              <w:t>、</w:t>
            </w:r>
            <w:r>
              <w:rPr>
                <w:color w:val="auto"/>
                <w:sz w:val="21"/>
                <w:szCs w:val="18"/>
              </w:rPr>
              <w:t>Cl</w:t>
            </w:r>
            <w:r>
              <w:rPr>
                <w:color w:val="auto"/>
                <w:sz w:val="21"/>
                <w:szCs w:val="18"/>
                <w:vertAlign w:val="superscript"/>
              </w:rPr>
              <w:t>-</w:t>
            </w:r>
            <w:r>
              <w:rPr>
                <w:rFonts w:hint="eastAsia"/>
                <w:color w:val="auto"/>
                <w:sz w:val="21"/>
                <w:szCs w:val="18"/>
              </w:rPr>
              <w:t>、</w:t>
            </w:r>
            <w:r>
              <w:rPr>
                <w:color w:val="auto"/>
                <w:sz w:val="21"/>
                <w:szCs w:val="18"/>
              </w:rPr>
              <w:t>SO</w:t>
            </w:r>
            <w:r>
              <w:rPr>
                <w:color w:val="auto"/>
                <w:sz w:val="21"/>
                <w:szCs w:val="18"/>
                <w:vertAlign w:val="subscript"/>
              </w:rPr>
              <w:t>4</w:t>
            </w:r>
            <w:r>
              <w:rPr>
                <w:color w:val="auto"/>
                <w:sz w:val="21"/>
                <w:szCs w:val="18"/>
                <w:vertAlign w:val="superscript"/>
              </w:rPr>
              <w:t>2-</w:t>
            </w:r>
            <w:r>
              <w:rPr>
                <w:rFonts w:hint="eastAsia"/>
                <w:color w:val="auto"/>
                <w:sz w:val="21"/>
                <w:szCs w:val="18"/>
                <w:vertAlign w:val="baseline"/>
                <w:lang w:eastAsia="zh-CN"/>
              </w:rPr>
              <w:t>、</w:t>
            </w:r>
            <w:r>
              <w:rPr>
                <w:rFonts w:hint="eastAsia"/>
                <w:b w:val="0"/>
                <w:bCs w:val="0"/>
                <w:color w:val="auto"/>
                <w:sz w:val="21"/>
                <w:szCs w:val="18"/>
                <w:u w:val="none"/>
                <w:vertAlign w:val="baseline"/>
                <w:lang w:eastAsia="zh-CN"/>
              </w:rPr>
              <w:t>硫化物、硝酸盐、亚硝酸盐</w:t>
            </w:r>
            <w:r>
              <w:rPr>
                <w:b w:val="0"/>
                <w:bCs w:val="0"/>
                <w:color w:val="auto"/>
                <w:sz w:val="21"/>
                <w:szCs w:val="18"/>
                <w:u w:val="none"/>
              </w:rPr>
              <w:t>共</w:t>
            </w:r>
            <w:r>
              <w:rPr>
                <w:rFonts w:hint="eastAsia"/>
                <w:b w:val="0"/>
                <w:bCs w:val="0"/>
                <w:color w:val="auto"/>
                <w:sz w:val="21"/>
                <w:szCs w:val="18"/>
                <w:u w:val="none"/>
              </w:rPr>
              <w:t>1</w:t>
            </w:r>
            <w:r>
              <w:rPr>
                <w:rFonts w:hint="eastAsia"/>
                <w:b w:val="0"/>
                <w:bCs w:val="0"/>
                <w:color w:val="auto"/>
                <w:sz w:val="21"/>
                <w:szCs w:val="18"/>
                <w:u w:val="none"/>
                <w:lang w:val="en-US" w:eastAsia="zh-CN"/>
              </w:rPr>
              <w:t>6</w:t>
            </w:r>
            <w:r>
              <w:rPr>
                <w:b w:val="0"/>
                <w:bCs w:val="0"/>
                <w:color w:val="auto"/>
                <w:sz w:val="21"/>
                <w:szCs w:val="18"/>
                <w:u w:val="none"/>
              </w:rPr>
              <w:t>项</w:t>
            </w:r>
          </w:p>
        </w:tc>
        <w:tc>
          <w:tcPr>
            <w:tcW w:w="1069" w:type="pct"/>
            <w:vAlign w:val="center"/>
          </w:tcPr>
          <w:p w14:paraId="748F376B">
            <w:pPr>
              <w:pStyle w:val="182"/>
              <w:bidi w:val="0"/>
              <w:rPr>
                <w:color w:val="auto"/>
              </w:rPr>
            </w:pPr>
            <w:r>
              <w:rPr>
                <w:rFonts w:hint="eastAsia"/>
                <w:color w:val="auto"/>
              </w:rPr>
              <w:t>耗氧量、氨氮</w:t>
            </w:r>
          </w:p>
        </w:tc>
      </w:tr>
      <w:tr w14:paraId="45F8AFA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14:paraId="65D4507F">
            <w:pPr>
              <w:pStyle w:val="182"/>
              <w:bidi w:val="0"/>
              <w:rPr>
                <w:color w:val="auto"/>
              </w:rPr>
            </w:pPr>
            <w:r>
              <w:rPr>
                <w:color w:val="auto"/>
              </w:rPr>
              <w:t>声环境</w:t>
            </w:r>
          </w:p>
        </w:tc>
        <w:tc>
          <w:tcPr>
            <w:tcW w:w="3103" w:type="pct"/>
            <w:vAlign w:val="center"/>
          </w:tcPr>
          <w:p w14:paraId="613AEE44">
            <w:pPr>
              <w:pStyle w:val="182"/>
              <w:bidi w:val="0"/>
              <w:rPr>
                <w:color w:val="auto"/>
              </w:rPr>
            </w:pPr>
            <w:r>
              <w:rPr>
                <w:color w:val="auto"/>
              </w:rPr>
              <w:t>连续等效A声级</w:t>
            </w:r>
          </w:p>
        </w:tc>
        <w:tc>
          <w:tcPr>
            <w:tcW w:w="1069" w:type="pct"/>
            <w:vAlign w:val="center"/>
          </w:tcPr>
          <w:p w14:paraId="16ADD2D1">
            <w:pPr>
              <w:pStyle w:val="182"/>
              <w:bidi w:val="0"/>
              <w:rPr>
                <w:color w:val="auto"/>
              </w:rPr>
            </w:pPr>
            <w:r>
              <w:rPr>
                <w:color w:val="auto"/>
              </w:rPr>
              <w:t>连续等效A声级</w:t>
            </w:r>
          </w:p>
        </w:tc>
      </w:tr>
      <w:tr w14:paraId="39FE705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14:paraId="78D2221B">
            <w:pPr>
              <w:pStyle w:val="182"/>
              <w:bidi w:val="0"/>
              <w:rPr>
                <w:color w:val="auto"/>
              </w:rPr>
            </w:pPr>
            <w:r>
              <w:rPr>
                <w:color w:val="auto"/>
              </w:rPr>
              <w:t>土壤</w:t>
            </w:r>
          </w:p>
        </w:tc>
        <w:tc>
          <w:tcPr>
            <w:tcW w:w="3103" w:type="pct"/>
            <w:vAlign w:val="center"/>
          </w:tcPr>
          <w:p w14:paraId="606D843F">
            <w:pPr>
              <w:pStyle w:val="182"/>
              <w:bidi w:val="0"/>
              <w:rPr>
                <w:rFonts w:hint="default" w:eastAsia="宋体"/>
                <w:color w:val="auto"/>
                <w:lang w:val="en-US" w:eastAsia="zh-CN"/>
              </w:rPr>
            </w:pPr>
            <w:r>
              <w:rPr>
                <w:rFonts w:hint="eastAsia"/>
                <w:color w:val="auto"/>
              </w:rPr>
              <w:t>砷、镉、铬</w:t>
            </w:r>
            <w:r>
              <w:rPr>
                <w:rFonts w:hint="eastAsia"/>
                <w:color w:val="auto"/>
                <w:lang w:eastAsia="zh-CN"/>
              </w:rPr>
              <w:t>（</w:t>
            </w:r>
            <w:r>
              <w:rPr>
                <w:rFonts w:hint="eastAsia"/>
                <w:color w:val="auto"/>
              </w:rPr>
              <w:t>六价</w:t>
            </w:r>
            <w:r>
              <w:rPr>
                <w:rFonts w:hint="eastAsia"/>
                <w:color w:val="auto"/>
                <w:lang w:eastAsia="zh-CN"/>
              </w:rPr>
              <w:t>）</w:t>
            </w:r>
            <w:r>
              <w:rPr>
                <w:rFonts w:hint="eastAsia"/>
                <w:color w:val="auto"/>
              </w:rPr>
              <w:t>、铜、铅、汞、镍、四氯化碳、氯仿、氯甲烷、1,1</w:t>
            </w:r>
            <w:r>
              <w:rPr>
                <w:rFonts w:hint="eastAsia"/>
                <w:color w:val="auto"/>
                <w:lang w:eastAsia="zh-CN"/>
              </w:rPr>
              <w:t>－</w:t>
            </w:r>
            <w:r>
              <w:rPr>
                <w:rFonts w:hint="eastAsia"/>
                <w:color w:val="auto"/>
              </w:rPr>
              <w:t>二氯乙烷、1,2</w:t>
            </w:r>
            <w:r>
              <w:rPr>
                <w:rFonts w:hint="eastAsia"/>
                <w:color w:val="auto"/>
                <w:lang w:eastAsia="zh-CN"/>
              </w:rPr>
              <w:t>－</w:t>
            </w:r>
            <w:r>
              <w:rPr>
                <w:rFonts w:hint="eastAsia"/>
                <w:color w:val="auto"/>
              </w:rPr>
              <w:t>二氯乙烷、1,1</w:t>
            </w:r>
            <w:r>
              <w:rPr>
                <w:rFonts w:hint="eastAsia"/>
                <w:color w:val="auto"/>
                <w:lang w:eastAsia="zh-CN"/>
              </w:rPr>
              <w:t>－</w:t>
            </w:r>
            <w:r>
              <w:rPr>
                <w:rFonts w:hint="eastAsia"/>
                <w:color w:val="auto"/>
              </w:rPr>
              <w:t>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w:t>
            </w:r>
            <w:r>
              <w:rPr>
                <w:color w:val="auto"/>
              </w:rPr>
              <w:t>(k)</w:t>
            </w:r>
            <w:r>
              <w:rPr>
                <w:rFonts w:hint="eastAsia"/>
                <w:color w:val="auto"/>
              </w:rPr>
              <w:t>荧蒽、䓛、二苯并</w:t>
            </w:r>
            <w:r>
              <w:rPr>
                <w:color w:val="auto"/>
              </w:rPr>
              <w:t>(a,h)</w:t>
            </w:r>
            <w:r>
              <w:rPr>
                <w:rFonts w:hint="eastAsia"/>
                <w:color w:val="auto"/>
              </w:rPr>
              <w:t>蒽、茚并(1,2,3-cd)芘、萘</w:t>
            </w:r>
            <w:r>
              <w:rPr>
                <w:rFonts w:hint="eastAsia"/>
                <w:color w:val="auto"/>
                <w:lang w:eastAsia="zh-CN"/>
              </w:rPr>
              <w:t>、</w:t>
            </w:r>
            <w:r>
              <w:rPr>
                <w:rFonts w:hint="eastAsia"/>
                <w:color w:val="auto"/>
                <w:lang w:val="en-US" w:eastAsia="zh-CN"/>
              </w:rPr>
              <w:t>石油烃、pH</w:t>
            </w:r>
          </w:p>
        </w:tc>
        <w:tc>
          <w:tcPr>
            <w:tcW w:w="1069" w:type="pct"/>
            <w:vAlign w:val="center"/>
          </w:tcPr>
          <w:p w14:paraId="7CFAEA14">
            <w:pPr>
              <w:pStyle w:val="182"/>
              <w:bidi w:val="0"/>
              <w:rPr>
                <w:color w:val="auto"/>
              </w:rPr>
            </w:pPr>
            <w:r>
              <w:rPr>
                <w:rFonts w:hint="eastAsia"/>
                <w:color w:val="auto"/>
              </w:rPr>
              <w:t>/</w:t>
            </w:r>
          </w:p>
        </w:tc>
      </w:tr>
      <w:tr w14:paraId="46994A1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14:paraId="629BB91E">
            <w:pPr>
              <w:pStyle w:val="182"/>
              <w:bidi w:val="0"/>
              <w:rPr>
                <w:color w:val="auto"/>
              </w:rPr>
            </w:pPr>
            <w:r>
              <w:rPr>
                <w:color w:val="auto"/>
              </w:rPr>
              <w:t>固废</w:t>
            </w:r>
          </w:p>
        </w:tc>
        <w:tc>
          <w:tcPr>
            <w:tcW w:w="3103" w:type="pct"/>
            <w:vAlign w:val="center"/>
          </w:tcPr>
          <w:p w14:paraId="575E2E17">
            <w:pPr>
              <w:pStyle w:val="182"/>
              <w:bidi w:val="0"/>
              <w:rPr>
                <w:color w:val="auto"/>
              </w:rPr>
            </w:pPr>
            <w:r>
              <w:rPr>
                <w:color w:val="auto"/>
              </w:rPr>
              <w:t>/</w:t>
            </w:r>
          </w:p>
        </w:tc>
        <w:tc>
          <w:tcPr>
            <w:tcW w:w="1069" w:type="pct"/>
            <w:vAlign w:val="center"/>
          </w:tcPr>
          <w:p w14:paraId="1A8127E3">
            <w:pPr>
              <w:pStyle w:val="182"/>
              <w:bidi w:val="0"/>
              <w:rPr>
                <w:rFonts w:hint="default" w:eastAsia="宋体"/>
                <w:color w:val="auto"/>
                <w:lang w:val="en-US" w:eastAsia="zh-CN"/>
              </w:rPr>
            </w:pPr>
            <w:r>
              <w:rPr>
                <w:color w:val="auto"/>
              </w:rPr>
              <w:t>一般工业固体废物</w:t>
            </w:r>
            <w:r>
              <w:rPr>
                <w:rFonts w:hint="eastAsia"/>
                <w:color w:val="auto"/>
                <w:lang w:eastAsia="zh-CN"/>
              </w:rPr>
              <w:t>、</w:t>
            </w:r>
            <w:r>
              <w:rPr>
                <w:rFonts w:hint="eastAsia"/>
                <w:color w:val="auto"/>
                <w:lang w:val="en-US" w:eastAsia="zh-CN"/>
              </w:rPr>
              <w:t>危险固体废物</w:t>
            </w:r>
          </w:p>
        </w:tc>
      </w:tr>
      <w:tr w14:paraId="5116292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7" w:type="pct"/>
            <w:vAlign w:val="center"/>
          </w:tcPr>
          <w:p w14:paraId="1735502F">
            <w:pPr>
              <w:pStyle w:val="182"/>
              <w:bidi w:val="0"/>
              <w:rPr>
                <w:color w:val="auto"/>
                <w:lang w:val="en-US"/>
              </w:rPr>
            </w:pPr>
            <w:bookmarkStart w:id="96" w:name="_Toc67041038"/>
            <w:r>
              <w:rPr>
                <w:color w:val="auto"/>
              </w:rPr>
              <w:t>生态</w:t>
            </w:r>
          </w:p>
        </w:tc>
        <w:tc>
          <w:tcPr>
            <w:tcW w:w="3103" w:type="pct"/>
            <w:vAlign w:val="center"/>
          </w:tcPr>
          <w:p w14:paraId="4D3EB146">
            <w:pPr>
              <w:pStyle w:val="182"/>
              <w:bidi w:val="0"/>
              <w:rPr>
                <w:color w:val="auto"/>
                <w:lang w:val="en-US"/>
              </w:rPr>
            </w:pPr>
            <w:r>
              <w:rPr>
                <w:color w:val="auto"/>
              </w:rPr>
              <w:t>土地利用、土壤、植被、水土流失等</w:t>
            </w:r>
          </w:p>
        </w:tc>
        <w:tc>
          <w:tcPr>
            <w:tcW w:w="1069" w:type="pct"/>
            <w:vAlign w:val="center"/>
          </w:tcPr>
          <w:p w14:paraId="37DD6F6E">
            <w:pPr>
              <w:pStyle w:val="182"/>
              <w:bidi w:val="0"/>
              <w:rPr>
                <w:color w:val="auto"/>
                <w:lang w:val="en-US"/>
              </w:rPr>
            </w:pPr>
            <w:r>
              <w:rPr>
                <w:color w:val="auto"/>
              </w:rPr>
              <w:t>水土流失、植被破坏</w:t>
            </w:r>
          </w:p>
        </w:tc>
      </w:tr>
    </w:tbl>
    <w:p w14:paraId="724DC65E">
      <w:pPr>
        <w:pStyle w:val="3"/>
        <w:bidi w:val="0"/>
        <w:rPr>
          <w:color w:val="auto"/>
        </w:rPr>
      </w:pPr>
      <w:bookmarkStart w:id="97" w:name="_Toc428286770"/>
      <w:bookmarkStart w:id="98" w:name="_Toc174155856"/>
      <w:bookmarkStart w:id="99" w:name="_Toc106552504"/>
      <w:bookmarkStart w:id="100" w:name="_Toc429318382"/>
      <w:bookmarkStart w:id="101" w:name="_Toc25498"/>
      <w:bookmarkStart w:id="102" w:name="_Toc469647338"/>
      <w:bookmarkStart w:id="103" w:name="_Toc428287164"/>
      <w:bookmarkStart w:id="104" w:name="_Toc27761"/>
      <w:bookmarkStart w:id="105" w:name="_Toc1152"/>
      <w:r>
        <w:rPr>
          <w:color w:val="auto"/>
        </w:rPr>
        <w:t>污染控制与环境保护目标</w:t>
      </w:r>
      <w:bookmarkEnd w:id="97"/>
      <w:bookmarkEnd w:id="98"/>
      <w:bookmarkEnd w:id="99"/>
      <w:bookmarkEnd w:id="100"/>
      <w:bookmarkEnd w:id="101"/>
      <w:bookmarkEnd w:id="102"/>
      <w:bookmarkEnd w:id="103"/>
    </w:p>
    <w:p w14:paraId="4443F326">
      <w:pPr>
        <w:bidi w:val="0"/>
        <w:rPr>
          <w:color w:val="auto"/>
        </w:rPr>
      </w:pPr>
      <w:r>
        <w:rPr>
          <w:rFonts w:hint="eastAsia"/>
          <w:color w:val="auto"/>
        </w:rPr>
        <w:t>根据本项目特点，污染控制主要依据以下原则：</w:t>
      </w:r>
    </w:p>
    <w:p w14:paraId="7917191F">
      <w:pPr>
        <w:bidi w:val="0"/>
        <w:rPr>
          <w:color w:val="auto"/>
        </w:rPr>
      </w:pPr>
      <w:r>
        <w:rPr>
          <w:rFonts w:hint="eastAsia"/>
          <w:color w:val="auto"/>
        </w:rPr>
        <w:t>（1）以废气、废水污染控制为主；</w:t>
      </w:r>
    </w:p>
    <w:p w14:paraId="628623E7">
      <w:pPr>
        <w:bidi w:val="0"/>
        <w:rPr>
          <w:color w:val="auto"/>
        </w:rPr>
      </w:pPr>
      <w:r>
        <w:rPr>
          <w:rFonts w:hint="eastAsia"/>
          <w:color w:val="auto"/>
        </w:rPr>
        <w:t>（2）满足“清洁生产、达标排放、增产减污、总量控制”的要求；</w:t>
      </w:r>
    </w:p>
    <w:p w14:paraId="4DB4D323">
      <w:pPr>
        <w:bidi w:val="0"/>
        <w:rPr>
          <w:color w:val="auto"/>
        </w:rPr>
      </w:pPr>
      <w:r>
        <w:rPr>
          <w:rFonts w:hint="eastAsia"/>
          <w:color w:val="auto"/>
        </w:rPr>
        <w:t>（3）过程控制和末端控制相结合。</w:t>
      </w:r>
    </w:p>
    <w:p w14:paraId="0C204CC1">
      <w:pPr>
        <w:bidi w:val="0"/>
        <w:rPr>
          <w:rFonts w:hint="eastAsia"/>
          <w:color w:val="auto"/>
        </w:rPr>
      </w:pPr>
      <w:r>
        <w:rPr>
          <w:rFonts w:hint="eastAsia"/>
          <w:color w:val="auto"/>
        </w:rPr>
        <w:t>本项目污染控制内容及环境保护目标见</w:t>
      </w:r>
      <w:r>
        <w:rPr>
          <w:rFonts w:hint="eastAsia"/>
          <w:color w:val="auto"/>
          <w:lang w:val="en-US" w:eastAsia="zh-CN"/>
        </w:rPr>
        <w:t>下表</w:t>
      </w:r>
      <w:r>
        <w:rPr>
          <w:rFonts w:hint="eastAsia"/>
          <w:color w:val="auto"/>
        </w:rPr>
        <w:t>。</w:t>
      </w:r>
    </w:p>
    <w:p w14:paraId="5111A927">
      <w:pPr>
        <w:pStyle w:val="10"/>
        <w:bidi w:val="0"/>
        <w:rPr>
          <w:rFonts w:hint="eastAsia"/>
          <w:lang w:val="en-US" w:eastAsia="zh-CN"/>
        </w:rPr>
      </w:pPr>
      <w:r>
        <w:t xml:space="preserve">表 </w:t>
      </w:r>
      <w:r>
        <w:fldChar w:fldCharType="begin"/>
      </w:r>
      <w:r>
        <w:instrText xml:space="preserve"> STYLEREF 2 \s </w:instrText>
      </w:r>
      <w:r>
        <w:fldChar w:fldCharType="separate"/>
      </w:r>
      <w:r>
        <w:t>2.4</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污染控制内容与环境保护目标</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820"/>
        <w:gridCol w:w="1479"/>
        <w:gridCol w:w="4389"/>
        <w:gridCol w:w="1674"/>
      </w:tblGrid>
      <w:tr w14:paraId="499812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490" w:type="pct"/>
            <w:vAlign w:val="center"/>
          </w:tcPr>
          <w:p w14:paraId="770AF606">
            <w:pPr>
              <w:pStyle w:val="182"/>
              <w:bidi w:val="0"/>
              <w:rPr>
                <w:b/>
                <w:bCs/>
                <w:color w:val="auto"/>
              </w:rPr>
            </w:pPr>
            <w:r>
              <w:rPr>
                <w:rFonts w:hint="eastAsia"/>
                <w:b/>
                <w:bCs/>
                <w:color w:val="auto"/>
              </w:rPr>
              <w:t>污染物</w:t>
            </w:r>
          </w:p>
        </w:tc>
        <w:tc>
          <w:tcPr>
            <w:tcW w:w="3508" w:type="pct"/>
            <w:gridSpan w:val="2"/>
            <w:vAlign w:val="center"/>
          </w:tcPr>
          <w:p w14:paraId="38AB704E">
            <w:pPr>
              <w:pStyle w:val="182"/>
              <w:bidi w:val="0"/>
              <w:rPr>
                <w:b/>
                <w:bCs/>
                <w:color w:val="auto"/>
              </w:rPr>
            </w:pPr>
            <w:r>
              <w:rPr>
                <w:rFonts w:hint="eastAsia"/>
                <w:b/>
                <w:bCs/>
                <w:color w:val="auto"/>
              </w:rPr>
              <w:t>控制内容</w:t>
            </w:r>
          </w:p>
        </w:tc>
        <w:tc>
          <w:tcPr>
            <w:tcW w:w="1001" w:type="pct"/>
            <w:vAlign w:val="center"/>
          </w:tcPr>
          <w:p w14:paraId="10522F9D">
            <w:pPr>
              <w:pStyle w:val="182"/>
              <w:bidi w:val="0"/>
              <w:rPr>
                <w:b/>
                <w:bCs/>
                <w:color w:val="auto"/>
              </w:rPr>
            </w:pPr>
            <w:r>
              <w:rPr>
                <w:rFonts w:hint="eastAsia"/>
                <w:b/>
                <w:bCs/>
                <w:color w:val="auto"/>
              </w:rPr>
              <w:t>环境保护目标</w:t>
            </w:r>
          </w:p>
        </w:tc>
      </w:tr>
      <w:tr w14:paraId="1CCD1D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Align w:val="center"/>
          </w:tcPr>
          <w:p w14:paraId="0BDC772C">
            <w:pPr>
              <w:pStyle w:val="182"/>
              <w:bidi w:val="0"/>
              <w:rPr>
                <w:color w:val="auto"/>
              </w:rPr>
            </w:pPr>
            <w:r>
              <w:rPr>
                <w:rFonts w:hint="eastAsia"/>
                <w:color w:val="auto"/>
              </w:rPr>
              <w:t>废水</w:t>
            </w:r>
          </w:p>
        </w:tc>
        <w:tc>
          <w:tcPr>
            <w:tcW w:w="884" w:type="pct"/>
            <w:vAlign w:val="center"/>
          </w:tcPr>
          <w:p w14:paraId="0470738D">
            <w:pPr>
              <w:pStyle w:val="182"/>
              <w:bidi w:val="0"/>
              <w:rPr>
                <w:color w:val="auto"/>
              </w:rPr>
            </w:pPr>
            <w:r>
              <w:rPr>
                <w:rFonts w:hint="eastAsia"/>
                <w:color w:val="auto"/>
              </w:rPr>
              <w:t>生产废水</w:t>
            </w:r>
          </w:p>
        </w:tc>
        <w:tc>
          <w:tcPr>
            <w:tcW w:w="2623" w:type="pct"/>
            <w:vAlign w:val="center"/>
          </w:tcPr>
          <w:p w14:paraId="0F27EAE1">
            <w:pPr>
              <w:pStyle w:val="182"/>
              <w:bidi w:val="0"/>
              <w:rPr>
                <w:rFonts w:hint="eastAsia"/>
                <w:color w:val="auto"/>
              </w:rPr>
            </w:pPr>
            <w:r>
              <w:rPr>
                <w:rFonts w:hint="eastAsia"/>
                <w:color w:val="auto"/>
              </w:rPr>
              <w:t>控制因子：pH、COD、BOD</w:t>
            </w:r>
            <w:r>
              <w:rPr>
                <w:rFonts w:hint="eastAsia"/>
                <w:color w:val="auto"/>
                <w:vertAlign w:val="subscript"/>
              </w:rPr>
              <w:t>5</w:t>
            </w:r>
            <w:r>
              <w:rPr>
                <w:rFonts w:hint="eastAsia"/>
                <w:color w:val="auto"/>
              </w:rPr>
              <w:t>、</w:t>
            </w:r>
            <w:r>
              <w:rPr>
                <w:rFonts w:hint="eastAsia"/>
                <w:color w:val="auto"/>
                <w:lang w:val="en-US" w:eastAsia="zh-CN"/>
              </w:rPr>
              <w:t>氨氮</w:t>
            </w:r>
            <w:r>
              <w:rPr>
                <w:rFonts w:hint="eastAsia"/>
                <w:color w:val="auto"/>
              </w:rPr>
              <w:t>、TN、TP</w:t>
            </w:r>
          </w:p>
          <w:p w14:paraId="26C0DB80">
            <w:pPr>
              <w:pStyle w:val="182"/>
              <w:bidi w:val="0"/>
              <w:rPr>
                <w:rFonts w:hint="default" w:eastAsia="宋体"/>
                <w:color w:val="auto"/>
                <w:lang w:val="en-US" w:eastAsia="zh-CN"/>
              </w:rPr>
            </w:pPr>
            <w:r>
              <w:rPr>
                <w:rFonts w:hint="eastAsia"/>
                <w:color w:val="auto"/>
              </w:rPr>
              <w:t>《污水综合排放标准》（</w:t>
            </w:r>
            <w:r>
              <w:rPr>
                <w:color w:val="auto"/>
              </w:rPr>
              <w:t>GB8978-1996</w:t>
            </w:r>
            <w:r>
              <w:rPr>
                <w:rFonts w:hint="eastAsia"/>
                <w:color w:val="auto"/>
              </w:rPr>
              <w:t>）</w:t>
            </w:r>
            <w:r>
              <w:rPr>
                <w:rFonts w:hint="eastAsia"/>
                <w:color w:val="auto"/>
                <w:lang w:val="en-US" w:eastAsia="zh-CN"/>
              </w:rPr>
              <w:t>表4二</w:t>
            </w:r>
            <w:r>
              <w:rPr>
                <w:rFonts w:hint="eastAsia"/>
                <w:color w:val="auto"/>
              </w:rPr>
              <w:t>级、小店污水处理厂收水标准</w:t>
            </w:r>
            <w:r>
              <w:rPr>
                <w:rFonts w:hint="eastAsia"/>
                <w:color w:val="auto"/>
                <w:lang w:val="en-US" w:eastAsia="zh-CN"/>
              </w:rPr>
              <w:t>及</w:t>
            </w:r>
            <w:r>
              <w:rPr>
                <w:rFonts w:hint="eastAsia"/>
                <w:b w:val="0"/>
                <w:bCs w:val="0"/>
                <w:color w:val="auto"/>
                <w:u w:val="none"/>
                <w:lang w:val="en-US" w:eastAsia="zh-CN"/>
              </w:rPr>
              <w:t>与小店污水处理厂收水协议</w:t>
            </w:r>
          </w:p>
        </w:tc>
        <w:tc>
          <w:tcPr>
            <w:tcW w:w="1001" w:type="pct"/>
            <w:vAlign w:val="center"/>
          </w:tcPr>
          <w:p w14:paraId="19B3651B">
            <w:pPr>
              <w:pStyle w:val="182"/>
              <w:bidi w:val="0"/>
              <w:rPr>
                <w:color w:val="auto"/>
              </w:rPr>
            </w:pPr>
            <w:r>
              <w:rPr>
                <w:rFonts w:hint="eastAsia"/>
                <w:color w:val="auto"/>
              </w:rPr>
              <w:t>评价纳污河段（大沙河）及沿岸浅层地下水</w:t>
            </w:r>
          </w:p>
        </w:tc>
      </w:tr>
      <w:tr w14:paraId="0B8C5F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Merge w:val="restart"/>
            <w:vAlign w:val="center"/>
          </w:tcPr>
          <w:p w14:paraId="1D4BF689">
            <w:pPr>
              <w:pStyle w:val="182"/>
              <w:bidi w:val="0"/>
              <w:rPr>
                <w:color w:val="auto"/>
              </w:rPr>
            </w:pPr>
            <w:r>
              <w:rPr>
                <w:rFonts w:hint="eastAsia"/>
                <w:color w:val="auto"/>
              </w:rPr>
              <w:t>废气</w:t>
            </w:r>
          </w:p>
        </w:tc>
        <w:tc>
          <w:tcPr>
            <w:tcW w:w="884" w:type="pct"/>
            <w:vAlign w:val="center"/>
          </w:tcPr>
          <w:p w14:paraId="5839419F">
            <w:pPr>
              <w:pStyle w:val="182"/>
              <w:bidi w:val="0"/>
              <w:rPr>
                <w:rFonts w:hint="default"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粉碎工序颗粒物</w:t>
            </w:r>
          </w:p>
        </w:tc>
        <w:tc>
          <w:tcPr>
            <w:tcW w:w="2623" w:type="pct"/>
            <w:vAlign w:val="center"/>
          </w:tcPr>
          <w:p w14:paraId="138FCDA0">
            <w:pPr>
              <w:pStyle w:val="182"/>
              <w:bidi w:val="0"/>
              <w:rPr>
                <w:rFonts w:hint="eastAsia"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《新乡市生态环境局关于进一步规范工业企业颗粒物排放限值的通知》和《大气污染物综合排放标准》（GB16297-1996）的相关要求；</w:t>
            </w:r>
          </w:p>
        </w:tc>
        <w:tc>
          <w:tcPr>
            <w:tcW w:w="1001" w:type="pct"/>
            <w:vMerge w:val="restart"/>
            <w:vAlign w:val="center"/>
          </w:tcPr>
          <w:p w14:paraId="60BCEF98">
            <w:pPr>
              <w:pStyle w:val="182"/>
              <w:bidi w:val="0"/>
              <w:rPr>
                <w:color w:val="auto"/>
              </w:rPr>
            </w:pPr>
            <w:r>
              <w:rPr>
                <w:rFonts w:hint="eastAsia"/>
                <w:color w:val="auto"/>
              </w:rPr>
              <w:t>评价范围内居民等环境敏感点</w:t>
            </w:r>
          </w:p>
        </w:tc>
      </w:tr>
      <w:tr w14:paraId="44BF80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Merge w:val="continue"/>
            <w:vAlign w:val="center"/>
          </w:tcPr>
          <w:p w14:paraId="3D6DAB23">
            <w:pPr>
              <w:pStyle w:val="182"/>
              <w:bidi w:val="0"/>
              <w:rPr>
                <w:rFonts w:hint="eastAsia"/>
                <w:color w:val="auto"/>
              </w:rPr>
            </w:pPr>
          </w:p>
        </w:tc>
        <w:tc>
          <w:tcPr>
            <w:tcW w:w="884" w:type="pct"/>
            <w:vAlign w:val="center"/>
          </w:tcPr>
          <w:p w14:paraId="75F741D9">
            <w:pPr>
              <w:pStyle w:val="182"/>
              <w:bidi w:val="0"/>
              <w:rPr>
                <w:rFonts w:hint="eastAsia"/>
                <w:b/>
                <w:bCs/>
                <w:color w:val="auto"/>
                <w:u w:val="single"/>
                <w:lang w:val="en-US" w:eastAsia="zh-CN"/>
              </w:rPr>
            </w:pPr>
            <w:r>
              <w:rPr>
                <w:rFonts w:hint="eastAsia"/>
                <w:b w:val="0"/>
                <w:bCs w:val="0"/>
                <w:color w:val="auto"/>
                <w:u w:val="none"/>
                <w:lang w:val="en-US" w:eastAsia="zh-CN"/>
              </w:rPr>
              <w:t>脱泡、干燥、蒸发回收工序</w:t>
            </w:r>
          </w:p>
        </w:tc>
        <w:tc>
          <w:tcPr>
            <w:tcW w:w="2623" w:type="pct"/>
            <w:vAlign w:val="center"/>
          </w:tcPr>
          <w:p w14:paraId="5E3805AC">
            <w:pPr>
              <w:pStyle w:val="182"/>
              <w:bidi w:val="0"/>
              <w:rPr>
                <w:b/>
                <w:bCs/>
                <w:color w:val="auto"/>
                <w:u w:val="single"/>
              </w:rPr>
            </w:pPr>
            <w:r>
              <w:rPr>
                <w:rFonts w:hint="eastAsia"/>
                <w:b w:val="0"/>
                <w:bCs w:val="0"/>
                <w:color w:val="auto"/>
                <w:highlight w:val="none"/>
                <w:u w:val="none"/>
                <w:lang w:val="en-US" w:eastAsia="zh-CN"/>
              </w:rPr>
              <w:t>《关于全省开展工业企业挥发性有机物专项治理工作中排放建议值的通知》（豫环攻坚办（2017）162号）有组织标准和《大气污染物综合排放标准》（GB16297-1996）</w:t>
            </w:r>
            <w:r>
              <w:rPr>
                <w:rFonts w:hint="eastAsia"/>
                <w:b w:val="0"/>
                <w:bCs w:val="0"/>
                <w:color w:val="auto"/>
                <w:u w:val="none"/>
              </w:rPr>
              <w:t>。</w:t>
            </w:r>
          </w:p>
        </w:tc>
        <w:tc>
          <w:tcPr>
            <w:tcW w:w="1001" w:type="pct"/>
            <w:vMerge w:val="continue"/>
            <w:vAlign w:val="center"/>
          </w:tcPr>
          <w:p w14:paraId="6F547200">
            <w:pPr>
              <w:pStyle w:val="182"/>
              <w:bidi w:val="0"/>
              <w:rPr>
                <w:rFonts w:hint="eastAsia"/>
                <w:color w:val="auto"/>
              </w:rPr>
            </w:pPr>
          </w:p>
        </w:tc>
      </w:tr>
      <w:tr w14:paraId="1AA786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Align w:val="center"/>
          </w:tcPr>
          <w:p w14:paraId="3B49485B">
            <w:pPr>
              <w:pStyle w:val="182"/>
              <w:bidi w:val="0"/>
              <w:rPr>
                <w:color w:val="auto"/>
              </w:rPr>
            </w:pPr>
            <w:r>
              <w:rPr>
                <w:rFonts w:hint="eastAsia"/>
                <w:color w:val="auto"/>
              </w:rPr>
              <w:t>噪声</w:t>
            </w:r>
          </w:p>
        </w:tc>
        <w:tc>
          <w:tcPr>
            <w:tcW w:w="884" w:type="pct"/>
            <w:vAlign w:val="center"/>
          </w:tcPr>
          <w:p w14:paraId="75FFC503">
            <w:pPr>
              <w:pStyle w:val="182"/>
              <w:bidi w:val="0"/>
              <w:rPr>
                <w:color w:val="auto"/>
              </w:rPr>
            </w:pPr>
            <w:r>
              <w:rPr>
                <w:rFonts w:hint="eastAsia"/>
                <w:color w:val="auto"/>
              </w:rPr>
              <w:t>设备噪声</w:t>
            </w:r>
          </w:p>
        </w:tc>
        <w:tc>
          <w:tcPr>
            <w:tcW w:w="2623" w:type="pct"/>
            <w:vAlign w:val="center"/>
          </w:tcPr>
          <w:p w14:paraId="5D8223F9">
            <w:pPr>
              <w:pStyle w:val="182"/>
              <w:bidi w:val="0"/>
              <w:rPr>
                <w:color w:val="auto"/>
              </w:rPr>
            </w:pPr>
            <w:r>
              <w:rPr>
                <w:rFonts w:hint="eastAsia"/>
                <w:color w:val="auto"/>
              </w:rPr>
              <w:t>《工业企业厂界环境噪声排放标准》（</w:t>
            </w:r>
            <w:r>
              <w:rPr>
                <w:color w:val="auto"/>
              </w:rPr>
              <w:t>GB12348-2008</w:t>
            </w:r>
            <w:r>
              <w:rPr>
                <w:rFonts w:hint="eastAsia"/>
                <w:color w:val="auto"/>
              </w:rPr>
              <w:t>）</w:t>
            </w:r>
            <w:r>
              <w:rPr>
                <w:color w:val="auto"/>
              </w:rPr>
              <w:t>3</w:t>
            </w:r>
            <w:r>
              <w:rPr>
                <w:rFonts w:hint="eastAsia"/>
                <w:color w:val="auto"/>
              </w:rPr>
              <w:t>类</w:t>
            </w:r>
          </w:p>
        </w:tc>
        <w:tc>
          <w:tcPr>
            <w:tcW w:w="1001" w:type="pct"/>
            <w:vAlign w:val="center"/>
          </w:tcPr>
          <w:p w14:paraId="0E388B80">
            <w:pPr>
              <w:pStyle w:val="182"/>
              <w:bidi w:val="0"/>
              <w:rPr>
                <w:color w:val="auto"/>
              </w:rPr>
            </w:pPr>
            <w:r>
              <w:rPr>
                <w:rFonts w:hint="eastAsia"/>
                <w:color w:val="auto"/>
              </w:rPr>
              <w:t>厂界</w:t>
            </w:r>
          </w:p>
        </w:tc>
      </w:tr>
      <w:tr w14:paraId="16B002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Align w:val="center"/>
          </w:tcPr>
          <w:p w14:paraId="08464FF8">
            <w:pPr>
              <w:pStyle w:val="182"/>
              <w:bidi w:val="0"/>
              <w:rPr>
                <w:rFonts w:hint="eastAsia"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固废</w:t>
            </w:r>
          </w:p>
        </w:tc>
        <w:tc>
          <w:tcPr>
            <w:tcW w:w="884" w:type="pct"/>
            <w:vAlign w:val="center"/>
          </w:tcPr>
          <w:p w14:paraId="072D6862">
            <w:pPr>
              <w:pStyle w:val="182"/>
              <w:bidi w:val="0"/>
              <w:rPr>
                <w:rFonts w:hint="eastAsia"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一般工业固体废物、危险废物</w:t>
            </w:r>
          </w:p>
        </w:tc>
        <w:tc>
          <w:tcPr>
            <w:tcW w:w="2623" w:type="pct"/>
            <w:vAlign w:val="center"/>
          </w:tcPr>
          <w:p w14:paraId="767AE73F">
            <w:pPr>
              <w:pStyle w:val="182"/>
              <w:bidi w:val="0"/>
              <w:rPr>
                <w:rFonts w:hint="eastAsia"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按照《一般工业固体废物贮存和填埋污染控制标准》（GB18599-2020）、《危险废物贮存污染控制标准》（GB 18597-2023）</w:t>
            </w:r>
          </w:p>
        </w:tc>
        <w:tc>
          <w:tcPr>
            <w:tcW w:w="1001" w:type="pct"/>
            <w:vAlign w:val="center"/>
          </w:tcPr>
          <w:p w14:paraId="72E9BD6A">
            <w:pPr>
              <w:pStyle w:val="182"/>
              <w:bidi w:val="0"/>
              <w:rPr>
                <w:rFonts w:hint="eastAsia"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厂区及周围环境</w:t>
            </w:r>
          </w:p>
        </w:tc>
      </w:tr>
      <w:tr w14:paraId="46607F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90" w:type="pct"/>
            <w:vAlign w:val="center"/>
          </w:tcPr>
          <w:p w14:paraId="73D5D144">
            <w:pPr>
              <w:pStyle w:val="182"/>
              <w:bidi w:val="0"/>
              <w:rPr>
                <w:color w:val="auto"/>
              </w:rPr>
            </w:pPr>
            <w:r>
              <w:rPr>
                <w:rFonts w:hint="eastAsia"/>
                <w:color w:val="auto"/>
              </w:rPr>
              <w:t>土壤</w:t>
            </w:r>
          </w:p>
        </w:tc>
        <w:tc>
          <w:tcPr>
            <w:tcW w:w="3508" w:type="pct"/>
            <w:gridSpan w:val="2"/>
            <w:vAlign w:val="center"/>
          </w:tcPr>
          <w:p w14:paraId="6D85F8D5">
            <w:pPr>
              <w:pStyle w:val="182"/>
              <w:bidi w:val="0"/>
              <w:rPr>
                <w:color w:val="auto"/>
              </w:rPr>
            </w:pPr>
            <w:r>
              <w:rPr>
                <w:rFonts w:hint="eastAsia"/>
                <w:color w:val="auto"/>
              </w:rPr>
              <w:t>《</w:t>
            </w:r>
            <w:r>
              <w:rPr>
                <w:rFonts w:hint="eastAsia"/>
                <w:color w:val="auto"/>
                <w:lang w:eastAsia="zh-CN"/>
              </w:rPr>
              <w:t>土壤环境质量 建设用地土壤污染风险管控标准（试行）</w:t>
            </w:r>
            <w:r>
              <w:rPr>
                <w:rFonts w:hint="eastAsia"/>
                <w:color w:val="auto"/>
              </w:rPr>
              <w:t>》（GB36600-2018）第二类用地筛选值</w:t>
            </w:r>
          </w:p>
        </w:tc>
        <w:tc>
          <w:tcPr>
            <w:tcW w:w="1001" w:type="pct"/>
            <w:vAlign w:val="center"/>
          </w:tcPr>
          <w:p w14:paraId="5B67469F">
            <w:pPr>
              <w:pStyle w:val="182"/>
              <w:bidi w:val="0"/>
              <w:rPr>
                <w:color w:val="auto"/>
              </w:rPr>
            </w:pPr>
            <w:r>
              <w:rPr>
                <w:rFonts w:hint="eastAsia"/>
                <w:color w:val="auto"/>
              </w:rPr>
              <w:t>厂区及周围</w:t>
            </w:r>
          </w:p>
        </w:tc>
      </w:tr>
      <w:bookmarkEnd w:id="96"/>
      <w:bookmarkEnd w:id="104"/>
      <w:bookmarkEnd w:id="105"/>
    </w:tbl>
    <w:p w14:paraId="63F3AC08">
      <w:pPr>
        <w:bidi w:val="0"/>
        <w:rPr>
          <w:rFonts w:hint="eastAsia"/>
          <w:color w:val="auto"/>
        </w:rPr>
      </w:pPr>
      <w:bookmarkStart w:id="106" w:name="_Toc27059"/>
      <w:bookmarkStart w:id="107" w:name="_Toc67041039"/>
      <w:bookmarkStart w:id="108" w:name="_Toc24676"/>
    </w:p>
    <w:p w14:paraId="03002F5F">
      <w:pPr>
        <w:pStyle w:val="3"/>
        <w:bidi w:val="0"/>
        <w:rPr>
          <w:color w:val="auto"/>
        </w:rPr>
      </w:pPr>
      <w:bookmarkStart w:id="109" w:name="_Toc31802"/>
      <w:r>
        <w:rPr>
          <w:color w:val="auto"/>
        </w:rPr>
        <w:t>评价</w:t>
      </w:r>
      <w:r>
        <w:rPr>
          <w:rFonts w:hint="eastAsia"/>
          <w:color w:val="auto"/>
        </w:rPr>
        <w:t>工作</w:t>
      </w:r>
      <w:r>
        <w:rPr>
          <w:color w:val="auto"/>
        </w:rPr>
        <w:t>等级</w:t>
      </w:r>
      <w:bookmarkEnd w:id="106"/>
      <w:bookmarkEnd w:id="107"/>
      <w:bookmarkEnd w:id="108"/>
      <w:bookmarkEnd w:id="109"/>
    </w:p>
    <w:p w14:paraId="2C28562A">
      <w:pPr>
        <w:pStyle w:val="5"/>
        <w:bidi w:val="0"/>
        <w:rPr>
          <w:color w:val="auto"/>
        </w:rPr>
      </w:pPr>
      <w:r>
        <w:rPr>
          <w:color w:val="auto"/>
        </w:rPr>
        <w:t>大气评价工作等级</w:t>
      </w:r>
    </w:p>
    <w:p w14:paraId="34BEB0F1">
      <w:pPr>
        <w:bidi w:val="0"/>
        <w:rPr>
          <w:color w:val="auto"/>
        </w:rPr>
      </w:pPr>
      <w:r>
        <w:rPr>
          <w:color w:val="auto"/>
        </w:rPr>
        <w:t>根据《环境影响评价技术导则大气环境》（HJ2.2-2018）的规定，选择项目污染源正常排放的主要污染物及排放参数，采用附录A推荐模型中的估算模型AERSCREEN分别计算项目污染源的最大环境影响，然后按评价工作分级判据进行分级。</w:t>
      </w:r>
    </w:p>
    <w:p w14:paraId="68910CA7">
      <w:pPr>
        <w:bidi w:val="0"/>
        <w:rPr>
          <w:color w:val="auto"/>
        </w:rPr>
      </w:pPr>
      <w:r>
        <w:rPr>
          <w:color w:val="auto"/>
        </w:rPr>
        <w:t>根据项目污染源初步调查结果，分别计算项目排放的主要污染物的最大地面空气质量浓度占标率Pi及第i个污染物的地面空气质量浓度达到标准值的10%时所对应的最远距离D10%。其中，最大地面质量浓度占标率Pi计算公式如下：</w:t>
      </w:r>
    </w:p>
    <w:p w14:paraId="473D6C38">
      <w:pPr>
        <w:rPr>
          <w:color w:val="auto"/>
        </w:rPr>
      </w:pPr>
      <m:oMathPara>
        <m:oMath>
          <m:sSub>
            <m:sSubPr>
              <m:ctrlPr>
                <w:rPr>
                  <w:rFonts w:ascii="Cambria Math" w:hAnsi="Cambria Math"/>
                  <w:color w:val="auto"/>
                </w:rPr>
              </m:ctrlPr>
            </m:sSubPr>
            <m:e>
              <m:r>
                <m:rPr/>
                <w:rPr>
                  <w:rFonts w:ascii="Cambria Math" w:hAnsi="Cambria Math"/>
                  <w:color w:val="auto"/>
                </w:rPr>
                <m:t>P</m:t>
              </m:r>
              <m:ctrlPr>
                <w:rPr>
                  <w:rFonts w:ascii="Cambria Math" w:hAnsi="Cambria Math"/>
                  <w:color w:val="auto"/>
                </w:rPr>
              </m:ctrlPr>
            </m:e>
            <m:sub>
              <m:r>
                <m:rPr/>
                <w:rPr>
                  <w:rFonts w:ascii="Cambria Math" w:hAnsi="Cambria Math"/>
                  <w:color w:val="auto"/>
                </w:rPr>
                <m:t>i</m:t>
              </m:r>
              <m:ctrlPr>
                <w:rPr>
                  <w:rFonts w:ascii="Cambria Math" w:hAnsi="Cambria Math"/>
                  <w:color w:val="auto"/>
                </w:rPr>
              </m:ctrlPr>
            </m:sub>
          </m:sSub>
          <m:r>
            <m:rPr>
              <m:sty m:val="p"/>
            </m:rPr>
            <w:rPr>
              <w:rFonts w:ascii="Cambria Math" w:hAnsi="Cambria Math"/>
              <w:color w:val="auto"/>
            </w:rPr>
            <m:t>=</m:t>
          </m:r>
          <m:f>
            <m:fPr>
              <m:ctrlPr>
                <w:rPr>
                  <w:rFonts w:ascii="Cambria Math" w:hAnsi="Cambria Math"/>
                  <w:color w:val="auto"/>
                </w:rPr>
              </m:ctrlPr>
            </m:fPr>
            <m:num>
              <m:sSub>
                <m:sSubPr>
                  <m:ctrlPr>
                    <w:rPr>
                      <w:rFonts w:ascii="Cambria Math" w:hAnsi="Cambria Math"/>
                      <w:color w:val="auto"/>
                    </w:rPr>
                  </m:ctrlPr>
                </m:sSubPr>
                <m:e>
                  <m:r>
                    <m:rPr/>
                    <w:rPr>
                      <w:rFonts w:ascii="Cambria Math" w:hAnsi="Cambria Math"/>
                      <w:color w:val="auto"/>
                    </w:rPr>
                    <m:t>C</m:t>
                  </m:r>
                  <m:ctrlPr>
                    <w:rPr>
                      <w:rFonts w:ascii="Cambria Math" w:hAnsi="Cambria Math"/>
                      <w:color w:val="auto"/>
                    </w:rPr>
                  </m:ctrlPr>
                </m:e>
                <m:sub>
                  <m:r>
                    <m:rPr/>
                    <w:rPr>
                      <w:rFonts w:ascii="Cambria Math" w:hAnsi="Cambria Math"/>
                      <w:color w:val="auto"/>
                    </w:rPr>
                    <m:t>i</m:t>
                  </m:r>
                  <m:ctrlPr>
                    <w:rPr>
                      <w:rFonts w:ascii="Cambria Math" w:hAnsi="Cambria Math"/>
                      <w:color w:val="auto"/>
                    </w:rPr>
                  </m:ctrlPr>
                </m:sub>
              </m:sSub>
              <m:ctrlPr>
                <w:rPr>
                  <w:rFonts w:ascii="Cambria Math" w:hAnsi="Cambria Math"/>
                  <w:color w:val="auto"/>
                </w:rPr>
              </m:ctrlPr>
            </m:num>
            <m:den>
              <m:sSub>
                <m:sSubPr>
                  <m:ctrlPr>
                    <w:rPr>
                      <w:rFonts w:ascii="Cambria Math" w:hAnsi="Cambria Math"/>
                      <w:color w:val="auto"/>
                    </w:rPr>
                  </m:ctrlPr>
                </m:sSubPr>
                <m:e>
                  <m:r>
                    <m:rPr/>
                    <w:rPr>
                      <w:rFonts w:ascii="Cambria Math" w:hAnsi="Cambria Math"/>
                      <w:color w:val="auto"/>
                    </w:rPr>
                    <m:t>C</m:t>
                  </m:r>
                  <m:ctrlPr>
                    <w:rPr>
                      <w:rFonts w:ascii="Cambria Math" w:hAnsi="Cambria Math"/>
                      <w:color w:val="auto"/>
                    </w:rPr>
                  </m:ctrlPr>
                </m:e>
                <m:sub>
                  <m:r>
                    <m:rPr>
                      <m:sty m:val="p"/>
                    </m:rPr>
                    <w:rPr>
                      <w:rFonts w:ascii="Cambria Math" w:hAnsi="Cambria Math"/>
                      <w:color w:val="auto"/>
                    </w:rPr>
                    <m:t>0</m:t>
                  </m:r>
                  <m:r>
                    <m:rPr/>
                    <w:rPr>
                      <w:rFonts w:ascii="Cambria Math" w:hAnsi="Cambria Math"/>
                      <w:color w:val="auto"/>
                    </w:rPr>
                    <m:t>i</m:t>
                  </m:r>
                  <m:ctrlPr>
                    <w:rPr>
                      <w:rFonts w:ascii="Cambria Math" w:hAnsi="Cambria Math"/>
                      <w:color w:val="auto"/>
                    </w:rPr>
                  </m:ctrlPr>
                </m:sub>
              </m:sSub>
              <m:ctrlPr>
                <w:rPr>
                  <w:rFonts w:ascii="Cambria Math" w:hAnsi="Cambria Math"/>
                  <w:color w:val="auto"/>
                </w:rPr>
              </m:ctrlPr>
            </m:den>
          </m:f>
          <m:r>
            <m:rPr>
              <m:sty m:val="p"/>
            </m:rPr>
            <w:rPr>
              <w:rFonts w:ascii="Cambria Math" w:hAnsi="Cambria Math"/>
              <w:color w:val="auto"/>
            </w:rPr>
            <m:t>×100%</m:t>
          </m:r>
        </m:oMath>
      </m:oMathPara>
    </w:p>
    <w:p w14:paraId="11FA6580">
      <w:pPr>
        <w:bidi w:val="0"/>
        <w:rPr>
          <w:color w:val="auto"/>
        </w:rPr>
      </w:pPr>
      <w:r>
        <w:rPr>
          <w:color w:val="auto"/>
        </w:rPr>
        <w:t>式中：Pi—第i个污染物的最大地面质量浓度占标率，%；</w:t>
      </w:r>
    </w:p>
    <w:p w14:paraId="331D4AE9">
      <w:pPr>
        <w:bidi w:val="0"/>
        <w:rPr>
          <w:color w:val="auto"/>
        </w:rPr>
      </w:pPr>
      <w:r>
        <w:rPr>
          <w:color w:val="auto"/>
        </w:rPr>
        <w:t>Ci—采用估算模式计算出的第i个污染物的最大1h地面空气质量浓度，ug/m</w:t>
      </w:r>
      <w:r>
        <w:rPr>
          <w:color w:val="auto"/>
          <w:vertAlign w:val="superscript"/>
        </w:rPr>
        <w:t>3</w:t>
      </w:r>
      <w:r>
        <w:rPr>
          <w:color w:val="auto"/>
        </w:rPr>
        <w:t>；</w:t>
      </w:r>
    </w:p>
    <w:p w14:paraId="62844B24">
      <w:pPr>
        <w:bidi w:val="0"/>
        <w:rPr>
          <w:color w:val="auto"/>
        </w:rPr>
      </w:pPr>
      <w:r>
        <w:rPr>
          <w:color w:val="auto"/>
        </w:rPr>
        <w:t>Coi－第i个污染物的环境空气质量浓度标准，ug/m</w:t>
      </w:r>
      <w:r>
        <w:rPr>
          <w:color w:val="auto"/>
          <w:vertAlign w:val="superscript"/>
        </w:rPr>
        <w:t>3</w:t>
      </w:r>
      <w:r>
        <w:rPr>
          <w:color w:val="auto"/>
        </w:rPr>
        <w:t>。</w:t>
      </w:r>
    </w:p>
    <w:p w14:paraId="6D37AE52">
      <w:pPr>
        <w:bidi w:val="0"/>
        <w:rPr>
          <w:color w:val="auto"/>
        </w:rPr>
      </w:pPr>
      <w:r>
        <w:rPr>
          <w:color w:val="auto"/>
        </w:rPr>
        <w:t>大气评价等级按下表的分级判据进行划分。</w:t>
      </w:r>
    </w:p>
    <w:p w14:paraId="43694A45">
      <w:pPr>
        <w:pStyle w:val="10"/>
        <w:bidi w:val="0"/>
        <w:rPr>
          <w:rFonts w:hint="eastAsia"/>
          <w:lang w:val="en-US" w:eastAsia="zh-CN"/>
        </w:rPr>
      </w:pPr>
      <w:r>
        <w:t xml:space="preserve">表 </w:t>
      </w:r>
      <w:r>
        <w:fldChar w:fldCharType="begin"/>
      </w:r>
      <w:r>
        <w:instrText xml:space="preserve"> STYLEREF 2 \s </w:instrText>
      </w:r>
      <w:r>
        <w:fldChar w:fldCharType="separate"/>
      </w:r>
      <w:r>
        <w:t>2.5</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大气评价等级判别表</w:t>
      </w:r>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44"/>
        <w:gridCol w:w="4969"/>
      </w:tblGrid>
      <w:tr w14:paraId="3186F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44" w:type="dxa"/>
            <w:vAlign w:val="center"/>
          </w:tcPr>
          <w:p w14:paraId="4E7369D8">
            <w:pPr>
              <w:pStyle w:val="182"/>
              <w:bidi w:val="0"/>
              <w:rPr>
                <w:b/>
                <w:bCs/>
                <w:color w:val="auto"/>
              </w:rPr>
            </w:pPr>
            <w:r>
              <w:rPr>
                <w:b/>
                <w:bCs/>
                <w:color w:val="auto"/>
              </w:rPr>
              <w:t>评价工作等级</w:t>
            </w:r>
          </w:p>
        </w:tc>
        <w:tc>
          <w:tcPr>
            <w:tcW w:w="4969" w:type="dxa"/>
            <w:vAlign w:val="center"/>
          </w:tcPr>
          <w:p w14:paraId="4FF01703">
            <w:pPr>
              <w:pStyle w:val="182"/>
              <w:bidi w:val="0"/>
              <w:rPr>
                <w:b/>
                <w:bCs/>
                <w:color w:val="auto"/>
              </w:rPr>
            </w:pPr>
            <w:r>
              <w:rPr>
                <w:b/>
                <w:bCs/>
                <w:color w:val="auto"/>
              </w:rPr>
              <w:t>评价工作分级判据</w:t>
            </w:r>
          </w:p>
        </w:tc>
      </w:tr>
      <w:tr w14:paraId="2D852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44" w:type="dxa"/>
            <w:vAlign w:val="center"/>
          </w:tcPr>
          <w:p w14:paraId="5B2B20D6">
            <w:pPr>
              <w:pStyle w:val="182"/>
              <w:bidi w:val="0"/>
              <w:rPr>
                <w:color w:val="auto"/>
              </w:rPr>
            </w:pPr>
            <w:r>
              <w:rPr>
                <w:color w:val="auto"/>
              </w:rPr>
              <w:t>一级评价</w:t>
            </w:r>
          </w:p>
        </w:tc>
        <w:tc>
          <w:tcPr>
            <w:tcW w:w="4969" w:type="dxa"/>
            <w:vAlign w:val="center"/>
          </w:tcPr>
          <w:p w14:paraId="69C508D1">
            <w:pPr>
              <w:pStyle w:val="182"/>
              <w:bidi w:val="0"/>
              <w:rPr>
                <w:color w:val="auto"/>
              </w:rPr>
            </w:pPr>
            <w:r>
              <w:rPr>
                <w:color w:val="auto"/>
              </w:rPr>
              <w:t>Pmax≥10%</w:t>
            </w:r>
          </w:p>
        </w:tc>
      </w:tr>
      <w:tr w14:paraId="74121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44" w:type="dxa"/>
            <w:vAlign w:val="center"/>
          </w:tcPr>
          <w:p w14:paraId="48032FEF">
            <w:pPr>
              <w:pStyle w:val="182"/>
              <w:bidi w:val="0"/>
              <w:rPr>
                <w:color w:val="auto"/>
              </w:rPr>
            </w:pPr>
            <w:r>
              <w:rPr>
                <w:color w:val="auto"/>
              </w:rPr>
              <w:t>二级评价</w:t>
            </w:r>
          </w:p>
        </w:tc>
        <w:tc>
          <w:tcPr>
            <w:tcW w:w="4969" w:type="dxa"/>
            <w:vAlign w:val="center"/>
          </w:tcPr>
          <w:p w14:paraId="0CCBD926">
            <w:pPr>
              <w:pStyle w:val="182"/>
              <w:bidi w:val="0"/>
              <w:rPr>
                <w:color w:val="auto"/>
              </w:rPr>
            </w:pPr>
            <w:r>
              <w:rPr>
                <w:color w:val="auto"/>
              </w:rPr>
              <w:t>1%≤Pmax&lt;10%</w:t>
            </w:r>
          </w:p>
        </w:tc>
      </w:tr>
      <w:tr w14:paraId="2BCFA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44" w:type="dxa"/>
            <w:vAlign w:val="center"/>
          </w:tcPr>
          <w:p w14:paraId="26617C64">
            <w:pPr>
              <w:pStyle w:val="182"/>
              <w:bidi w:val="0"/>
              <w:rPr>
                <w:color w:val="auto"/>
              </w:rPr>
            </w:pPr>
            <w:r>
              <w:rPr>
                <w:color w:val="auto"/>
              </w:rPr>
              <w:t>三级评价</w:t>
            </w:r>
          </w:p>
        </w:tc>
        <w:tc>
          <w:tcPr>
            <w:tcW w:w="4969" w:type="dxa"/>
            <w:vAlign w:val="center"/>
          </w:tcPr>
          <w:p w14:paraId="4CD76FD9">
            <w:pPr>
              <w:pStyle w:val="182"/>
              <w:bidi w:val="0"/>
              <w:rPr>
                <w:color w:val="auto"/>
              </w:rPr>
            </w:pPr>
            <w:r>
              <w:rPr>
                <w:color w:val="auto"/>
              </w:rPr>
              <w:t>Pmax&lt;1%</w:t>
            </w:r>
          </w:p>
        </w:tc>
      </w:tr>
    </w:tbl>
    <w:p w14:paraId="5FA6E230">
      <w:pPr>
        <w:bidi w:val="0"/>
        <w:rPr>
          <w:color w:val="auto"/>
        </w:rPr>
      </w:pPr>
      <w:r>
        <w:rPr>
          <w:color w:val="auto"/>
        </w:rPr>
        <w:t>本项目估算模型参数见下表。</w:t>
      </w:r>
    </w:p>
    <w:p w14:paraId="426680E4">
      <w:pPr>
        <w:pStyle w:val="10"/>
        <w:bidi w:val="0"/>
        <w:rPr>
          <w:rFonts w:hint="eastAsia"/>
          <w:lang w:val="en-US" w:eastAsia="zh-CN"/>
        </w:rPr>
      </w:pPr>
      <w:r>
        <w:t xml:space="preserve">表 </w:t>
      </w:r>
      <w:r>
        <w:fldChar w:fldCharType="begin"/>
      </w:r>
      <w:r>
        <w:instrText xml:space="preserve"> STYLEREF 2 \s </w:instrText>
      </w:r>
      <w:r>
        <w:fldChar w:fldCharType="separate"/>
      </w:r>
      <w:r>
        <w:t>2.5</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rPr>
          <w:rFonts w:hint="eastAsia"/>
          <w:lang w:val="en-US" w:eastAsia="zh-CN"/>
        </w:rPr>
        <w:t xml:space="preserve">  项目估算模型参数表</w:t>
      </w:r>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03"/>
        <w:gridCol w:w="3213"/>
        <w:gridCol w:w="2605"/>
      </w:tblGrid>
      <w:tr w14:paraId="4DB18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016" w:type="dxa"/>
            <w:gridSpan w:val="2"/>
            <w:vAlign w:val="center"/>
          </w:tcPr>
          <w:p w14:paraId="6FCE2A28">
            <w:pPr>
              <w:pStyle w:val="182"/>
              <w:bidi w:val="0"/>
              <w:rPr>
                <w:b/>
                <w:bCs/>
                <w:color w:val="auto"/>
              </w:rPr>
            </w:pPr>
            <w:r>
              <w:rPr>
                <w:b/>
                <w:bCs/>
                <w:color w:val="auto"/>
              </w:rPr>
              <w:t>参数</w:t>
            </w:r>
          </w:p>
        </w:tc>
        <w:tc>
          <w:tcPr>
            <w:tcW w:w="2605" w:type="dxa"/>
            <w:vAlign w:val="center"/>
          </w:tcPr>
          <w:p w14:paraId="740AC28C">
            <w:pPr>
              <w:pStyle w:val="182"/>
              <w:bidi w:val="0"/>
              <w:rPr>
                <w:b/>
                <w:bCs/>
                <w:color w:val="auto"/>
              </w:rPr>
            </w:pPr>
            <w:r>
              <w:rPr>
                <w:b/>
                <w:bCs/>
                <w:color w:val="auto"/>
              </w:rPr>
              <w:t>取值</w:t>
            </w:r>
          </w:p>
        </w:tc>
      </w:tr>
      <w:tr w14:paraId="69292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restart"/>
            <w:vAlign w:val="center"/>
          </w:tcPr>
          <w:p w14:paraId="07AF5853">
            <w:pPr>
              <w:pStyle w:val="182"/>
              <w:bidi w:val="0"/>
              <w:rPr>
                <w:color w:val="auto"/>
              </w:rPr>
            </w:pPr>
            <w:r>
              <w:rPr>
                <w:color w:val="auto"/>
              </w:rPr>
              <w:t>城市/农村选项</w:t>
            </w:r>
          </w:p>
        </w:tc>
        <w:tc>
          <w:tcPr>
            <w:tcW w:w="3213" w:type="dxa"/>
            <w:vAlign w:val="center"/>
          </w:tcPr>
          <w:p w14:paraId="0709D5C4">
            <w:pPr>
              <w:pStyle w:val="182"/>
              <w:bidi w:val="0"/>
              <w:rPr>
                <w:color w:val="auto"/>
              </w:rPr>
            </w:pPr>
            <w:r>
              <w:rPr>
                <w:color w:val="auto"/>
              </w:rPr>
              <w:t>城市/农村</w:t>
            </w:r>
          </w:p>
        </w:tc>
        <w:tc>
          <w:tcPr>
            <w:tcW w:w="2605" w:type="dxa"/>
            <w:vAlign w:val="center"/>
          </w:tcPr>
          <w:p w14:paraId="127C3638">
            <w:pPr>
              <w:pStyle w:val="182"/>
              <w:bidi w:val="0"/>
              <w:ind w:firstLine="0" w:firstLineChars="0"/>
              <w:rPr>
                <w:color w:val="auto"/>
              </w:rPr>
            </w:pPr>
            <w:r>
              <w:rPr>
                <w:rFonts w:hint="eastAsia"/>
                <w:color w:val="auto"/>
                <w:lang w:val="en-US" w:eastAsia="zh-CN"/>
              </w:rPr>
              <w:t>城市</w:t>
            </w:r>
          </w:p>
        </w:tc>
      </w:tr>
      <w:tr w14:paraId="08AB6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continue"/>
            <w:vAlign w:val="center"/>
          </w:tcPr>
          <w:p w14:paraId="6C0D20A2">
            <w:pPr>
              <w:pStyle w:val="182"/>
              <w:bidi w:val="0"/>
              <w:rPr>
                <w:color w:val="auto"/>
              </w:rPr>
            </w:pPr>
          </w:p>
        </w:tc>
        <w:tc>
          <w:tcPr>
            <w:tcW w:w="3213" w:type="dxa"/>
            <w:vAlign w:val="center"/>
          </w:tcPr>
          <w:p w14:paraId="24D18926">
            <w:pPr>
              <w:pStyle w:val="182"/>
              <w:bidi w:val="0"/>
              <w:rPr>
                <w:color w:val="auto"/>
              </w:rPr>
            </w:pPr>
            <w:r>
              <w:rPr>
                <w:color w:val="auto"/>
              </w:rPr>
              <w:t>人口数（城市选项时）</w:t>
            </w:r>
          </w:p>
        </w:tc>
        <w:tc>
          <w:tcPr>
            <w:tcW w:w="2605" w:type="dxa"/>
            <w:vAlign w:val="center"/>
          </w:tcPr>
          <w:p w14:paraId="37DD700A">
            <w:pPr>
              <w:pStyle w:val="182"/>
              <w:bidi w:val="0"/>
              <w:ind w:firstLine="0" w:firstLineChars="0"/>
              <w:rPr>
                <w:rFonts w:hint="default" w:eastAsia="宋体"/>
                <w:color w:val="auto"/>
                <w:lang w:val="en-US" w:eastAsia="zh-CN"/>
              </w:rPr>
            </w:pPr>
            <w:r>
              <w:rPr>
                <w:rFonts w:hint="eastAsia"/>
                <w:color w:val="auto"/>
                <w:lang w:val="en-US" w:eastAsia="zh-CN"/>
              </w:rPr>
              <w:t>47万</w:t>
            </w:r>
          </w:p>
        </w:tc>
      </w:tr>
      <w:tr w14:paraId="04FF5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6" w:type="dxa"/>
            <w:gridSpan w:val="2"/>
            <w:vAlign w:val="center"/>
          </w:tcPr>
          <w:p w14:paraId="36837490">
            <w:pPr>
              <w:pStyle w:val="182"/>
              <w:bidi w:val="0"/>
              <w:rPr>
                <w:color w:val="auto"/>
              </w:rPr>
            </w:pPr>
            <w:r>
              <w:rPr>
                <w:color w:val="auto"/>
              </w:rPr>
              <w:t>最高环境温度/℃</w:t>
            </w:r>
          </w:p>
        </w:tc>
        <w:tc>
          <w:tcPr>
            <w:tcW w:w="2605" w:type="dxa"/>
            <w:vAlign w:val="center"/>
          </w:tcPr>
          <w:p w14:paraId="66328177">
            <w:pPr>
              <w:pStyle w:val="182"/>
              <w:bidi w:val="0"/>
              <w:ind w:firstLine="0" w:firstLineChars="0"/>
              <w:rPr>
                <w:color w:val="auto"/>
              </w:rPr>
            </w:pPr>
            <w:r>
              <w:rPr>
                <w:color w:val="auto"/>
              </w:rPr>
              <w:t>40.9</w:t>
            </w:r>
          </w:p>
        </w:tc>
      </w:tr>
      <w:tr w14:paraId="6BAD1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6" w:type="dxa"/>
            <w:gridSpan w:val="2"/>
            <w:vAlign w:val="center"/>
          </w:tcPr>
          <w:p w14:paraId="2099F000">
            <w:pPr>
              <w:pStyle w:val="182"/>
              <w:bidi w:val="0"/>
              <w:rPr>
                <w:color w:val="auto"/>
              </w:rPr>
            </w:pPr>
            <w:r>
              <w:rPr>
                <w:color w:val="auto"/>
              </w:rPr>
              <w:t>最低环境温度/℃</w:t>
            </w:r>
          </w:p>
        </w:tc>
        <w:tc>
          <w:tcPr>
            <w:tcW w:w="2605" w:type="dxa"/>
            <w:vAlign w:val="center"/>
          </w:tcPr>
          <w:p w14:paraId="10663AC4">
            <w:pPr>
              <w:pStyle w:val="182"/>
              <w:bidi w:val="0"/>
              <w:ind w:firstLine="0" w:firstLineChars="0"/>
              <w:rPr>
                <w:color w:val="auto"/>
              </w:rPr>
            </w:pPr>
            <w:r>
              <w:rPr>
                <w:color w:val="auto"/>
              </w:rPr>
              <w:t>-1</w:t>
            </w:r>
            <w:r>
              <w:rPr>
                <w:rFonts w:hint="eastAsia"/>
                <w:color w:val="auto"/>
                <w:lang w:val="en-US" w:eastAsia="zh-CN"/>
              </w:rPr>
              <w:t>6.2</w:t>
            </w:r>
          </w:p>
        </w:tc>
      </w:tr>
      <w:tr w14:paraId="124E1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6" w:type="dxa"/>
            <w:gridSpan w:val="2"/>
            <w:vAlign w:val="center"/>
          </w:tcPr>
          <w:p w14:paraId="2831CC3F">
            <w:pPr>
              <w:pStyle w:val="182"/>
              <w:bidi w:val="0"/>
              <w:rPr>
                <w:color w:val="auto"/>
              </w:rPr>
            </w:pPr>
            <w:r>
              <w:rPr>
                <w:color w:val="auto"/>
              </w:rPr>
              <w:t>地表类型</w:t>
            </w:r>
          </w:p>
        </w:tc>
        <w:tc>
          <w:tcPr>
            <w:tcW w:w="2605" w:type="dxa"/>
            <w:vAlign w:val="center"/>
          </w:tcPr>
          <w:p w14:paraId="350160D7">
            <w:pPr>
              <w:pStyle w:val="182"/>
              <w:bidi w:val="0"/>
              <w:ind w:firstLine="0" w:firstLineChars="0"/>
              <w:rPr>
                <w:rFonts w:hint="eastAsia"/>
                <w:color w:val="auto"/>
                <w:lang w:eastAsia="zh-CN"/>
              </w:rPr>
            </w:pPr>
            <w:r>
              <w:rPr>
                <w:rFonts w:hint="eastAsia"/>
                <w:color w:val="auto"/>
                <w:lang w:val="en-US" w:eastAsia="zh-CN"/>
              </w:rPr>
              <w:t>城市</w:t>
            </w:r>
          </w:p>
        </w:tc>
      </w:tr>
      <w:tr w14:paraId="1BE34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16" w:type="dxa"/>
            <w:gridSpan w:val="2"/>
            <w:vAlign w:val="center"/>
          </w:tcPr>
          <w:p w14:paraId="0666C8F5">
            <w:pPr>
              <w:pStyle w:val="182"/>
              <w:bidi w:val="0"/>
              <w:rPr>
                <w:color w:val="auto"/>
              </w:rPr>
            </w:pPr>
            <w:r>
              <w:rPr>
                <w:color w:val="auto"/>
              </w:rPr>
              <w:t>区域湿度条件</w:t>
            </w:r>
          </w:p>
        </w:tc>
        <w:tc>
          <w:tcPr>
            <w:tcW w:w="2605" w:type="dxa"/>
            <w:vAlign w:val="center"/>
          </w:tcPr>
          <w:p w14:paraId="5DE5D326">
            <w:pPr>
              <w:pStyle w:val="182"/>
              <w:bidi w:val="0"/>
              <w:rPr>
                <w:color w:val="auto"/>
              </w:rPr>
            </w:pPr>
            <w:r>
              <w:rPr>
                <w:color w:val="auto"/>
              </w:rPr>
              <w:t>中等湿度气候</w:t>
            </w:r>
          </w:p>
        </w:tc>
      </w:tr>
      <w:tr w14:paraId="70ACE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restart"/>
            <w:vAlign w:val="center"/>
          </w:tcPr>
          <w:p w14:paraId="4185D724">
            <w:pPr>
              <w:pStyle w:val="182"/>
              <w:bidi w:val="0"/>
              <w:rPr>
                <w:color w:val="auto"/>
              </w:rPr>
            </w:pPr>
            <w:r>
              <w:rPr>
                <w:color w:val="auto"/>
              </w:rPr>
              <w:t>是否考虑地形</w:t>
            </w:r>
          </w:p>
        </w:tc>
        <w:tc>
          <w:tcPr>
            <w:tcW w:w="3213" w:type="dxa"/>
            <w:vAlign w:val="center"/>
          </w:tcPr>
          <w:p w14:paraId="4F7CBFAA">
            <w:pPr>
              <w:pStyle w:val="182"/>
              <w:bidi w:val="0"/>
              <w:rPr>
                <w:color w:val="auto"/>
              </w:rPr>
            </w:pPr>
            <w:r>
              <w:rPr>
                <w:color w:val="auto"/>
              </w:rPr>
              <w:t>考虑地形</w:t>
            </w:r>
          </w:p>
        </w:tc>
        <w:tc>
          <w:tcPr>
            <w:tcW w:w="2605" w:type="dxa"/>
            <w:vAlign w:val="center"/>
          </w:tcPr>
          <w:p w14:paraId="7FFD11E9">
            <w:pPr>
              <w:pStyle w:val="182"/>
              <w:bidi w:val="0"/>
              <w:rPr>
                <w:color w:val="auto"/>
              </w:rPr>
            </w:pPr>
            <w:r>
              <w:rPr>
                <w:color w:val="auto"/>
              </w:rPr>
              <w:sym w:font="Wingdings 2" w:char="0052"/>
            </w:r>
            <w:r>
              <w:rPr>
                <w:color w:val="auto"/>
              </w:rPr>
              <w:t>是  □否</w:t>
            </w:r>
          </w:p>
        </w:tc>
      </w:tr>
      <w:tr w14:paraId="6C5A1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continue"/>
            <w:vAlign w:val="center"/>
          </w:tcPr>
          <w:p w14:paraId="3E60BD7D">
            <w:pPr>
              <w:pStyle w:val="182"/>
              <w:bidi w:val="0"/>
              <w:rPr>
                <w:color w:val="auto"/>
              </w:rPr>
            </w:pPr>
          </w:p>
        </w:tc>
        <w:tc>
          <w:tcPr>
            <w:tcW w:w="3213" w:type="dxa"/>
            <w:vAlign w:val="center"/>
          </w:tcPr>
          <w:p w14:paraId="6F4D7F44">
            <w:pPr>
              <w:pStyle w:val="182"/>
              <w:bidi w:val="0"/>
              <w:rPr>
                <w:color w:val="auto"/>
              </w:rPr>
            </w:pPr>
            <w:r>
              <w:rPr>
                <w:color w:val="auto"/>
              </w:rPr>
              <w:t>地形数据分辨率/m</w:t>
            </w:r>
          </w:p>
        </w:tc>
        <w:tc>
          <w:tcPr>
            <w:tcW w:w="2605" w:type="dxa"/>
            <w:vAlign w:val="center"/>
          </w:tcPr>
          <w:p w14:paraId="4117F563">
            <w:pPr>
              <w:pStyle w:val="182"/>
              <w:bidi w:val="0"/>
              <w:rPr>
                <w:color w:val="auto"/>
              </w:rPr>
            </w:pPr>
            <w:r>
              <w:rPr>
                <w:color w:val="auto"/>
              </w:rPr>
              <w:t>90</w:t>
            </w:r>
          </w:p>
        </w:tc>
      </w:tr>
      <w:tr w14:paraId="31DB1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restart"/>
            <w:vAlign w:val="center"/>
          </w:tcPr>
          <w:p w14:paraId="35E19E3C">
            <w:pPr>
              <w:pStyle w:val="182"/>
              <w:bidi w:val="0"/>
              <w:rPr>
                <w:color w:val="auto"/>
              </w:rPr>
            </w:pPr>
            <w:r>
              <w:rPr>
                <w:color w:val="auto"/>
              </w:rPr>
              <w:t>是否考虑岸线熏烟</w:t>
            </w:r>
          </w:p>
        </w:tc>
        <w:tc>
          <w:tcPr>
            <w:tcW w:w="3213" w:type="dxa"/>
            <w:vAlign w:val="center"/>
          </w:tcPr>
          <w:p w14:paraId="58FABE03">
            <w:pPr>
              <w:pStyle w:val="182"/>
              <w:bidi w:val="0"/>
              <w:rPr>
                <w:color w:val="auto"/>
              </w:rPr>
            </w:pPr>
            <w:r>
              <w:rPr>
                <w:color w:val="auto"/>
              </w:rPr>
              <w:t>考虑岸线熏烟</w:t>
            </w:r>
          </w:p>
        </w:tc>
        <w:tc>
          <w:tcPr>
            <w:tcW w:w="2605" w:type="dxa"/>
            <w:vAlign w:val="center"/>
          </w:tcPr>
          <w:p w14:paraId="0F2117EC">
            <w:pPr>
              <w:pStyle w:val="182"/>
              <w:bidi w:val="0"/>
              <w:rPr>
                <w:color w:val="auto"/>
              </w:rPr>
            </w:pPr>
            <w:r>
              <w:rPr>
                <w:color w:val="auto"/>
              </w:rPr>
              <w:t>□是</w:t>
            </w:r>
            <w:r>
              <w:rPr>
                <w:color w:val="auto"/>
              </w:rPr>
              <w:sym w:font="Wingdings 2" w:char="0052"/>
            </w:r>
            <w:r>
              <w:rPr>
                <w:color w:val="auto"/>
              </w:rPr>
              <w:t>否</w:t>
            </w:r>
          </w:p>
        </w:tc>
      </w:tr>
      <w:tr w14:paraId="67DB7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continue"/>
            <w:vAlign w:val="center"/>
          </w:tcPr>
          <w:p w14:paraId="246A224A">
            <w:pPr>
              <w:pStyle w:val="182"/>
              <w:bidi w:val="0"/>
              <w:rPr>
                <w:color w:val="auto"/>
              </w:rPr>
            </w:pPr>
          </w:p>
        </w:tc>
        <w:tc>
          <w:tcPr>
            <w:tcW w:w="3213" w:type="dxa"/>
            <w:vAlign w:val="center"/>
          </w:tcPr>
          <w:p w14:paraId="43E05C7C">
            <w:pPr>
              <w:pStyle w:val="182"/>
              <w:bidi w:val="0"/>
              <w:rPr>
                <w:color w:val="auto"/>
              </w:rPr>
            </w:pPr>
            <w:r>
              <w:rPr>
                <w:color w:val="auto"/>
              </w:rPr>
              <w:t>岸线距离/km</w:t>
            </w:r>
          </w:p>
        </w:tc>
        <w:tc>
          <w:tcPr>
            <w:tcW w:w="2605" w:type="dxa"/>
            <w:vAlign w:val="center"/>
          </w:tcPr>
          <w:p w14:paraId="029BABB0">
            <w:pPr>
              <w:pStyle w:val="182"/>
              <w:bidi w:val="0"/>
              <w:rPr>
                <w:color w:val="auto"/>
              </w:rPr>
            </w:pPr>
            <w:r>
              <w:rPr>
                <w:color w:val="auto"/>
              </w:rPr>
              <w:t>/</w:t>
            </w:r>
          </w:p>
        </w:tc>
      </w:tr>
      <w:tr w14:paraId="6DD09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3" w:type="dxa"/>
            <w:vMerge w:val="continue"/>
            <w:vAlign w:val="center"/>
          </w:tcPr>
          <w:p w14:paraId="2784F8C0">
            <w:pPr>
              <w:pStyle w:val="182"/>
              <w:bidi w:val="0"/>
              <w:rPr>
                <w:color w:val="auto"/>
              </w:rPr>
            </w:pPr>
          </w:p>
        </w:tc>
        <w:tc>
          <w:tcPr>
            <w:tcW w:w="3213" w:type="dxa"/>
            <w:vAlign w:val="center"/>
          </w:tcPr>
          <w:p w14:paraId="6B75D847">
            <w:pPr>
              <w:pStyle w:val="182"/>
              <w:bidi w:val="0"/>
              <w:rPr>
                <w:color w:val="auto"/>
              </w:rPr>
            </w:pPr>
            <w:r>
              <w:rPr>
                <w:color w:val="auto"/>
              </w:rPr>
              <w:t>岸线方向/°</w:t>
            </w:r>
          </w:p>
        </w:tc>
        <w:tc>
          <w:tcPr>
            <w:tcW w:w="2605" w:type="dxa"/>
            <w:vAlign w:val="center"/>
          </w:tcPr>
          <w:p w14:paraId="20DDEEA7">
            <w:pPr>
              <w:pStyle w:val="182"/>
              <w:bidi w:val="0"/>
              <w:rPr>
                <w:color w:val="auto"/>
              </w:rPr>
            </w:pPr>
            <w:r>
              <w:rPr>
                <w:color w:val="auto"/>
              </w:rPr>
              <w:t>/</w:t>
            </w:r>
          </w:p>
        </w:tc>
      </w:tr>
    </w:tbl>
    <w:p w14:paraId="20FB46AE">
      <w:pPr>
        <w:bidi w:val="0"/>
        <w:rPr>
          <w:color w:val="auto"/>
        </w:rPr>
      </w:pPr>
      <w:r>
        <w:rPr>
          <w:color w:val="auto"/>
        </w:rPr>
        <w:t>污染源估算模型计算结果见下表。</w:t>
      </w:r>
    </w:p>
    <w:p w14:paraId="58F92401">
      <w:pPr>
        <w:pStyle w:val="10"/>
        <w:bidi w:val="0"/>
        <w:rPr>
          <w:rFonts w:hint="eastAsia"/>
          <w:lang w:val="en-US" w:eastAsia="zh-CN"/>
        </w:rPr>
      </w:pPr>
      <w:r>
        <w:t xml:space="preserve">表 </w:t>
      </w:r>
      <w:r>
        <w:fldChar w:fldCharType="begin"/>
      </w:r>
      <w:r>
        <w:instrText xml:space="preserve"> STYLEREF 2 \s </w:instrText>
      </w:r>
      <w:r>
        <w:fldChar w:fldCharType="separate"/>
      </w:r>
      <w:r>
        <w:t>2.5</w:t>
      </w:r>
      <w:r>
        <w:fldChar w:fldCharType="end"/>
      </w:r>
      <w:r>
        <w:rPr>
          <w:rFonts w:hint="eastAsia"/>
          <w:lang w:eastAsia="zh-CN"/>
        </w:rPr>
        <w:t>-</w:t>
      </w:r>
      <w:r>
        <w:fldChar w:fldCharType="begin"/>
      </w:r>
      <w:r>
        <w:instrText xml:space="preserve"> SEQ 表 \* ARABIC \s 2 </w:instrText>
      </w:r>
      <w:r>
        <w:fldChar w:fldCharType="separate"/>
      </w:r>
      <w:r>
        <w:t>3</w:t>
      </w:r>
      <w:r>
        <w:fldChar w:fldCharType="end"/>
      </w:r>
      <w:r>
        <w:rPr>
          <w:rFonts w:hint="eastAsia"/>
          <w:lang w:val="en-US" w:eastAsia="zh-CN"/>
        </w:rPr>
        <w:t xml:space="preserve"> 项目排放主要污染物估算模型计算结果表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04"/>
        <w:gridCol w:w="1686"/>
        <w:gridCol w:w="1166"/>
        <w:gridCol w:w="1852"/>
        <w:gridCol w:w="1527"/>
        <w:gridCol w:w="1024"/>
      </w:tblGrid>
      <w:tr w14:paraId="33251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660" w:type="pct"/>
            <w:tcMar>
              <w:left w:w="28" w:type="dxa"/>
              <w:right w:w="28" w:type="dxa"/>
            </w:tcMar>
            <w:vAlign w:val="center"/>
          </w:tcPr>
          <w:p w14:paraId="3BD5F37C">
            <w:pPr>
              <w:pStyle w:val="182"/>
              <w:bidi w:val="0"/>
              <w:rPr>
                <w:b/>
                <w:bCs/>
                <w:color w:val="auto"/>
                <w:u w:val="single"/>
              </w:rPr>
            </w:pPr>
            <w:r>
              <w:rPr>
                <w:rFonts w:hint="eastAsia"/>
                <w:b/>
                <w:bCs/>
                <w:color w:val="auto"/>
                <w:u w:val="single"/>
              </w:rPr>
              <w:t>项目</w:t>
            </w:r>
          </w:p>
        </w:tc>
        <w:tc>
          <w:tcPr>
            <w:tcW w:w="1008" w:type="pct"/>
            <w:tcMar>
              <w:left w:w="28" w:type="dxa"/>
              <w:right w:w="28" w:type="dxa"/>
            </w:tcMar>
            <w:vAlign w:val="center"/>
          </w:tcPr>
          <w:p w14:paraId="0C94154C">
            <w:pPr>
              <w:pStyle w:val="182"/>
              <w:bidi w:val="0"/>
              <w:rPr>
                <w:b/>
                <w:bCs/>
                <w:color w:val="auto"/>
                <w:u w:val="single"/>
              </w:rPr>
            </w:pPr>
            <w:r>
              <w:rPr>
                <w:rFonts w:hint="eastAsia"/>
                <w:b/>
                <w:bCs/>
                <w:color w:val="auto"/>
                <w:u w:val="single"/>
              </w:rPr>
              <w:t>污染源</w:t>
            </w:r>
          </w:p>
        </w:tc>
        <w:tc>
          <w:tcPr>
            <w:tcW w:w="697" w:type="pct"/>
            <w:tcMar>
              <w:left w:w="28" w:type="dxa"/>
              <w:right w:w="28" w:type="dxa"/>
            </w:tcMar>
            <w:vAlign w:val="center"/>
          </w:tcPr>
          <w:p w14:paraId="6D8E6E91">
            <w:pPr>
              <w:pStyle w:val="182"/>
              <w:bidi w:val="0"/>
              <w:rPr>
                <w:b/>
                <w:bCs/>
                <w:color w:val="auto"/>
                <w:u w:val="single"/>
              </w:rPr>
            </w:pPr>
            <w:r>
              <w:rPr>
                <w:rFonts w:hint="eastAsia"/>
                <w:b/>
                <w:bCs/>
                <w:color w:val="auto"/>
                <w:u w:val="single"/>
              </w:rPr>
              <w:t>污染物</w:t>
            </w:r>
          </w:p>
        </w:tc>
        <w:tc>
          <w:tcPr>
            <w:tcW w:w="1107" w:type="pct"/>
            <w:tcMar>
              <w:left w:w="28" w:type="dxa"/>
              <w:right w:w="28" w:type="dxa"/>
            </w:tcMar>
            <w:vAlign w:val="center"/>
          </w:tcPr>
          <w:p w14:paraId="1D00462D">
            <w:pPr>
              <w:pStyle w:val="182"/>
              <w:bidi w:val="0"/>
              <w:rPr>
                <w:rFonts w:hint="default" w:eastAsia="宋体"/>
                <w:b/>
                <w:bCs/>
                <w:color w:val="auto"/>
                <w:u w:val="single"/>
                <w:lang w:val="en-US" w:eastAsia="zh-CN"/>
              </w:rPr>
            </w:pPr>
            <w:r>
              <w:rPr>
                <w:rFonts w:hint="eastAsia"/>
                <w:b/>
                <w:bCs/>
                <w:color w:val="auto"/>
                <w:u w:val="single"/>
              </w:rPr>
              <w:t>下风向最大浓度</w:t>
            </w:r>
            <w:r>
              <w:rPr>
                <w:rFonts w:hint="eastAsia"/>
                <w:b/>
                <w:bCs/>
                <w:color w:val="auto"/>
                <w:u w:val="single"/>
                <w:lang w:val="en-US" w:eastAsia="zh-CN"/>
              </w:rPr>
              <w:t>距离m</w:t>
            </w:r>
          </w:p>
        </w:tc>
        <w:tc>
          <w:tcPr>
            <w:tcW w:w="913" w:type="pct"/>
            <w:tcMar>
              <w:left w:w="28" w:type="dxa"/>
              <w:right w:w="28" w:type="dxa"/>
            </w:tcMar>
            <w:vAlign w:val="center"/>
          </w:tcPr>
          <w:p w14:paraId="16AB0DC0">
            <w:pPr>
              <w:pStyle w:val="182"/>
              <w:bidi w:val="0"/>
              <w:ind w:firstLine="0" w:firstLineChars="0"/>
              <w:rPr>
                <w:b/>
                <w:bCs/>
                <w:color w:val="auto"/>
                <w:u w:val="single"/>
              </w:rPr>
            </w:pPr>
            <w:r>
              <w:rPr>
                <w:rFonts w:hint="eastAsia"/>
                <w:b/>
                <w:bCs/>
                <w:color w:val="auto"/>
                <w:u w:val="single"/>
              </w:rPr>
              <w:t>最大浓度</w:t>
            </w:r>
            <w:r>
              <w:rPr>
                <w:b/>
                <w:bCs/>
                <w:color w:val="auto"/>
                <w:u w:val="single"/>
              </w:rPr>
              <w:t>（μg/m</w:t>
            </w:r>
            <w:r>
              <w:rPr>
                <w:b/>
                <w:bCs/>
                <w:color w:val="auto"/>
                <w:u w:val="single"/>
                <w:vertAlign w:val="superscript"/>
              </w:rPr>
              <w:t>3</w:t>
            </w:r>
            <w:r>
              <w:rPr>
                <w:b/>
                <w:bCs/>
                <w:color w:val="auto"/>
                <w:u w:val="single"/>
              </w:rPr>
              <w:t>）</w:t>
            </w:r>
          </w:p>
        </w:tc>
        <w:tc>
          <w:tcPr>
            <w:tcW w:w="612" w:type="pct"/>
            <w:tcMar>
              <w:left w:w="28" w:type="dxa"/>
              <w:right w:w="28" w:type="dxa"/>
            </w:tcMar>
            <w:vAlign w:val="center"/>
          </w:tcPr>
          <w:p w14:paraId="09D891AE">
            <w:pPr>
              <w:pStyle w:val="182"/>
              <w:bidi w:val="0"/>
              <w:ind w:firstLine="0" w:firstLineChars="0"/>
              <w:rPr>
                <w:b/>
                <w:bCs/>
                <w:color w:val="auto"/>
                <w:u w:val="single"/>
              </w:rPr>
            </w:pPr>
            <w:r>
              <w:rPr>
                <w:b/>
                <w:bCs/>
                <w:color w:val="auto"/>
                <w:u w:val="single"/>
              </w:rPr>
              <w:t>Pmax(%)</w:t>
            </w:r>
          </w:p>
        </w:tc>
      </w:tr>
      <w:tr w14:paraId="48E6D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660" w:type="pct"/>
            <w:tcMar>
              <w:left w:w="28" w:type="dxa"/>
              <w:right w:w="28" w:type="dxa"/>
            </w:tcMar>
            <w:vAlign w:val="center"/>
          </w:tcPr>
          <w:p w14:paraId="462F8166">
            <w:pPr>
              <w:pStyle w:val="182"/>
              <w:bidi w:val="0"/>
              <w:rPr>
                <w:b/>
                <w:bCs/>
                <w:color w:val="auto"/>
                <w:u w:val="single"/>
              </w:rPr>
            </w:pPr>
            <w:r>
              <w:rPr>
                <w:rFonts w:hint="eastAsia"/>
                <w:b/>
                <w:bCs/>
                <w:color w:val="auto"/>
                <w:u w:val="single"/>
                <w:lang w:val="en-US" w:eastAsia="zh-CN"/>
              </w:rPr>
              <w:t>有</w:t>
            </w:r>
            <w:r>
              <w:rPr>
                <w:rFonts w:hint="eastAsia"/>
                <w:b/>
                <w:bCs/>
                <w:color w:val="auto"/>
                <w:u w:val="single"/>
              </w:rPr>
              <w:t>组织</w:t>
            </w:r>
          </w:p>
        </w:tc>
        <w:tc>
          <w:tcPr>
            <w:tcW w:w="1008" w:type="pct"/>
            <w:tcMar>
              <w:left w:w="28" w:type="dxa"/>
              <w:right w:w="28" w:type="dxa"/>
            </w:tcMar>
            <w:vAlign w:val="center"/>
          </w:tcPr>
          <w:p w14:paraId="2B6753DD">
            <w:pPr>
              <w:pStyle w:val="182"/>
              <w:bidi w:val="0"/>
              <w:rPr>
                <w:rFonts w:hint="default" w:eastAsia="宋体"/>
                <w:b/>
                <w:bCs/>
                <w:color w:val="auto"/>
                <w:u w:val="single"/>
                <w:lang w:val="en-US" w:eastAsia="zh-CN"/>
              </w:rPr>
            </w:pPr>
            <w:r>
              <w:rPr>
                <w:rFonts w:hint="eastAsia"/>
                <w:b/>
                <w:bCs/>
                <w:color w:val="auto"/>
                <w:u w:val="single"/>
                <w:lang w:val="en-US" w:eastAsia="zh-CN"/>
              </w:rPr>
              <w:t>DA029</w:t>
            </w:r>
          </w:p>
        </w:tc>
        <w:tc>
          <w:tcPr>
            <w:tcW w:w="697" w:type="pct"/>
            <w:tcMar>
              <w:left w:w="28" w:type="dxa"/>
              <w:right w:w="28" w:type="dxa"/>
            </w:tcMar>
            <w:vAlign w:val="center"/>
          </w:tcPr>
          <w:p w14:paraId="1D82F6E5">
            <w:pPr>
              <w:pStyle w:val="182"/>
              <w:bidi w:val="0"/>
              <w:rPr>
                <w:rFonts w:hint="eastAsia" w:eastAsia="宋体"/>
                <w:b/>
                <w:bCs/>
                <w:color w:val="auto"/>
                <w:u w:val="single"/>
                <w:lang w:val="en-US" w:eastAsia="zh-CN"/>
              </w:rPr>
            </w:pPr>
            <w:r>
              <w:rPr>
                <w:rFonts w:hint="eastAsia"/>
                <w:b/>
                <w:bCs/>
                <w:color w:val="auto"/>
                <w:u w:val="single"/>
                <w:lang w:val="en-US" w:eastAsia="zh-CN"/>
              </w:rPr>
              <w:t>颗粒物</w:t>
            </w:r>
          </w:p>
        </w:tc>
        <w:tc>
          <w:tcPr>
            <w:tcW w:w="1107" w:type="pct"/>
            <w:tcMar>
              <w:left w:w="28" w:type="dxa"/>
              <w:right w:w="28" w:type="dxa"/>
            </w:tcMar>
            <w:vAlign w:val="center"/>
          </w:tcPr>
          <w:p w14:paraId="29FC2B96">
            <w:pPr>
              <w:pStyle w:val="182"/>
              <w:bidi w:val="0"/>
              <w:rPr>
                <w:rFonts w:hint="default" w:eastAsia="宋体"/>
                <w:b/>
                <w:bCs/>
                <w:color w:val="auto"/>
                <w:u w:val="single"/>
                <w:lang w:val="en-US" w:eastAsia="zh-CN"/>
              </w:rPr>
            </w:pPr>
            <w:r>
              <w:rPr>
                <w:rFonts w:hint="eastAsia"/>
                <w:b/>
                <w:bCs/>
                <w:color w:val="auto"/>
                <w:u w:val="single"/>
                <w:lang w:val="en-US" w:eastAsia="zh-CN"/>
              </w:rPr>
              <w:t>26</w:t>
            </w:r>
          </w:p>
        </w:tc>
        <w:tc>
          <w:tcPr>
            <w:tcW w:w="913" w:type="pct"/>
            <w:tcMar>
              <w:left w:w="28" w:type="dxa"/>
              <w:right w:w="28" w:type="dxa"/>
            </w:tcMar>
            <w:vAlign w:val="center"/>
          </w:tcPr>
          <w:p w14:paraId="1D6C65E5">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1.41</w:t>
            </w:r>
          </w:p>
        </w:tc>
        <w:tc>
          <w:tcPr>
            <w:tcW w:w="612" w:type="pct"/>
            <w:tcMar>
              <w:left w:w="28" w:type="dxa"/>
              <w:right w:w="28" w:type="dxa"/>
            </w:tcMar>
            <w:vAlign w:val="center"/>
          </w:tcPr>
          <w:p w14:paraId="6E1AEED6">
            <w:pPr>
              <w:pStyle w:val="182"/>
              <w:bidi w:val="0"/>
              <w:ind w:firstLine="0" w:firstLineChars="0"/>
              <w:rPr>
                <w:rFonts w:hint="default"/>
                <w:b/>
                <w:bCs/>
                <w:color w:val="auto"/>
                <w:u w:val="single"/>
                <w:lang w:val="en-US" w:eastAsia="zh-CN"/>
              </w:rPr>
            </w:pPr>
            <w:r>
              <w:rPr>
                <w:rFonts w:hint="eastAsia"/>
                <w:b/>
                <w:bCs/>
                <w:color w:val="auto"/>
                <w:u w:val="single"/>
                <w:lang w:val="en-US" w:eastAsia="zh-CN"/>
              </w:rPr>
              <w:t>0.31</w:t>
            </w:r>
          </w:p>
        </w:tc>
      </w:tr>
      <w:tr w14:paraId="5EF30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660" w:type="pct"/>
            <w:tcMar>
              <w:left w:w="28" w:type="dxa"/>
              <w:right w:w="28" w:type="dxa"/>
            </w:tcMar>
            <w:vAlign w:val="center"/>
          </w:tcPr>
          <w:p w14:paraId="26E2E5E0">
            <w:pPr>
              <w:pStyle w:val="182"/>
              <w:bidi w:val="0"/>
              <w:rPr>
                <w:rFonts w:hint="eastAsia"/>
                <w:b/>
                <w:bCs/>
                <w:color w:val="auto"/>
                <w:u w:val="single"/>
              </w:rPr>
            </w:pPr>
            <w:r>
              <w:rPr>
                <w:rFonts w:hint="eastAsia"/>
                <w:b/>
                <w:bCs/>
                <w:color w:val="auto"/>
                <w:u w:val="single"/>
                <w:lang w:val="en-US" w:eastAsia="zh-CN"/>
              </w:rPr>
              <w:t>有</w:t>
            </w:r>
            <w:r>
              <w:rPr>
                <w:rFonts w:hint="eastAsia"/>
                <w:b/>
                <w:bCs/>
                <w:color w:val="auto"/>
                <w:u w:val="single"/>
              </w:rPr>
              <w:t>组织</w:t>
            </w:r>
          </w:p>
        </w:tc>
        <w:tc>
          <w:tcPr>
            <w:tcW w:w="1008" w:type="pct"/>
            <w:tcMar>
              <w:left w:w="28" w:type="dxa"/>
              <w:right w:w="28" w:type="dxa"/>
            </w:tcMar>
            <w:vAlign w:val="center"/>
          </w:tcPr>
          <w:p w14:paraId="68D3A542">
            <w:pPr>
              <w:pStyle w:val="182"/>
              <w:bidi w:val="0"/>
              <w:ind w:firstLine="0" w:firstLineChars="0"/>
              <w:rPr>
                <w:rFonts w:hint="default"/>
                <w:b/>
                <w:bCs/>
                <w:color w:val="auto"/>
                <w:u w:val="single"/>
                <w:lang w:val="en-US" w:eastAsia="zh-CN"/>
              </w:rPr>
            </w:pPr>
            <w:r>
              <w:rPr>
                <w:rFonts w:hint="eastAsia"/>
                <w:b/>
                <w:bCs/>
                <w:color w:val="auto"/>
                <w:u w:val="single"/>
                <w:lang w:val="en-US" w:eastAsia="zh-CN"/>
              </w:rPr>
              <w:t>DA030</w:t>
            </w:r>
          </w:p>
        </w:tc>
        <w:tc>
          <w:tcPr>
            <w:tcW w:w="697" w:type="pct"/>
            <w:tcMar>
              <w:left w:w="28" w:type="dxa"/>
              <w:right w:w="28" w:type="dxa"/>
            </w:tcMar>
            <w:vAlign w:val="center"/>
          </w:tcPr>
          <w:p w14:paraId="78A14DDC">
            <w:pPr>
              <w:pStyle w:val="182"/>
              <w:bidi w:val="0"/>
              <w:ind w:firstLine="0" w:firstLineChars="0"/>
              <w:rPr>
                <w:rFonts w:hint="eastAsia"/>
                <w:b/>
                <w:bCs/>
                <w:color w:val="auto"/>
                <w:u w:val="single"/>
                <w:lang w:val="en-US" w:eastAsia="zh-CN"/>
              </w:rPr>
            </w:pPr>
            <w:r>
              <w:rPr>
                <w:rFonts w:hint="eastAsia"/>
                <w:b/>
                <w:bCs/>
                <w:color w:val="auto"/>
                <w:u w:val="single"/>
                <w:lang w:val="en-US" w:eastAsia="zh-CN"/>
              </w:rPr>
              <w:t>非甲烷总烃</w:t>
            </w:r>
          </w:p>
        </w:tc>
        <w:tc>
          <w:tcPr>
            <w:tcW w:w="1107" w:type="pct"/>
            <w:tcMar>
              <w:left w:w="28" w:type="dxa"/>
              <w:right w:w="28" w:type="dxa"/>
            </w:tcMar>
            <w:vAlign w:val="center"/>
          </w:tcPr>
          <w:p w14:paraId="68E53DFD">
            <w:pPr>
              <w:pStyle w:val="182"/>
              <w:bidi w:val="0"/>
              <w:rPr>
                <w:rFonts w:hint="default" w:eastAsia="宋体"/>
                <w:b/>
                <w:bCs/>
                <w:color w:val="auto"/>
                <w:u w:val="single"/>
                <w:lang w:val="en-US" w:eastAsia="zh-CN"/>
              </w:rPr>
            </w:pPr>
            <w:r>
              <w:rPr>
                <w:rFonts w:hint="eastAsia"/>
                <w:b/>
                <w:bCs/>
                <w:color w:val="auto"/>
                <w:u w:val="single"/>
                <w:lang w:val="en-US" w:eastAsia="zh-CN"/>
              </w:rPr>
              <w:t>86</w:t>
            </w:r>
          </w:p>
        </w:tc>
        <w:tc>
          <w:tcPr>
            <w:tcW w:w="913" w:type="pct"/>
            <w:tcMar>
              <w:left w:w="28" w:type="dxa"/>
              <w:right w:w="28" w:type="dxa"/>
            </w:tcMar>
            <w:vAlign w:val="center"/>
          </w:tcPr>
          <w:p w14:paraId="56639625">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0.797</w:t>
            </w:r>
          </w:p>
        </w:tc>
        <w:tc>
          <w:tcPr>
            <w:tcW w:w="612" w:type="pct"/>
            <w:tcMar>
              <w:left w:w="28" w:type="dxa"/>
              <w:right w:w="28" w:type="dxa"/>
            </w:tcMar>
            <w:vAlign w:val="center"/>
          </w:tcPr>
          <w:p w14:paraId="5C827E99">
            <w:pPr>
              <w:pStyle w:val="182"/>
              <w:bidi w:val="0"/>
              <w:ind w:firstLine="0" w:firstLineChars="0"/>
              <w:rPr>
                <w:rFonts w:hint="default"/>
                <w:b/>
                <w:bCs/>
                <w:color w:val="auto"/>
                <w:u w:val="single"/>
                <w:lang w:val="en-US" w:eastAsia="zh-CN"/>
              </w:rPr>
            </w:pPr>
            <w:r>
              <w:rPr>
                <w:rFonts w:hint="eastAsia"/>
                <w:b/>
                <w:bCs/>
                <w:color w:val="auto"/>
                <w:u w:val="single"/>
                <w:lang w:val="en-US" w:eastAsia="zh-CN"/>
              </w:rPr>
              <w:t>0.04</w:t>
            </w:r>
          </w:p>
        </w:tc>
      </w:tr>
      <w:tr w14:paraId="78C2E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660" w:type="pct"/>
            <w:tcMar>
              <w:left w:w="28" w:type="dxa"/>
              <w:right w:w="28" w:type="dxa"/>
            </w:tcMar>
            <w:vAlign w:val="center"/>
          </w:tcPr>
          <w:p w14:paraId="0BA02B2D">
            <w:pPr>
              <w:pStyle w:val="182"/>
              <w:bidi w:val="0"/>
              <w:rPr>
                <w:rFonts w:hint="default"/>
                <w:b/>
                <w:bCs/>
                <w:color w:val="auto"/>
                <w:u w:val="single"/>
                <w:lang w:val="en-US" w:eastAsia="zh-CN"/>
              </w:rPr>
            </w:pPr>
            <w:r>
              <w:rPr>
                <w:rFonts w:hint="eastAsia"/>
                <w:b/>
                <w:bCs/>
                <w:color w:val="auto"/>
                <w:u w:val="single"/>
                <w:lang w:val="en-US" w:eastAsia="zh-CN"/>
              </w:rPr>
              <w:t>无组织</w:t>
            </w:r>
          </w:p>
        </w:tc>
        <w:tc>
          <w:tcPr>
            <w:tcW w:w="1008" w:type="pct"/>
            <w:tcMar>
              <w:left w:w="28" w:type="dxa"/>
              <w:right w:w="28" w:type="dxa"/>
            </w:tcMar>
            <w:vAlign w:val="center"/>
          </w:tcPr>
          <w:p w14:paraId="47E72300">
            <w:pPr>
              <w:pStyle w:val="182"/>
              <w:bidi w:val="0"/>
              <w:ind w:firstLine="0" w:firstLineChars="0"/>
              <w:rPr>
                <w:rFonts w:hint="default"/>
                <w:b/>
                <w:bCs/>
                <w:color w:val="auto"/>
                <w:u w:val="single"/>
                <w:lang w:val="en-US" w:eastAsia="zh-CN"/>
              </w:rPr>
            </w:pPr>
            <w:r>
              <w:rPr>
                <w:rFonts w:hint="eastAsia"/>
                <w:b/>
                <w:bCs/>
                <w:color w:val="auto"/>
                <w:u w:val="single"/>
                <w:lang w:val="en-US" w:eastAsia="zh-CN"/>
              </w:rPr>
              <w:t>脱泡和蒸发回收</w:t>
            </w:r>
          </w:p>
        </w:tc>
        <w:tc>
          <w:tcPr>
            <w:tcW w:w="697" w:type="pct"/>
            <w:tcMar>
              <w:left w:w="28" w:type="dxa"/>
              <w:right w:w="28" w:type="dxa"/>
            </w:tcMar>
            <w:vAlign w:val="center"/>
          </w:tcPr>
          <w:p w14:paraId="35404893">
            <w:pPr>
              <w:pStyle w:val="182"/>
              <w:bidi w:val="0"/>
              <w:ind w:firstLine="0" w:firstLineChars="0"/>
              <w:rPr>
                <w:rFonts w:hint="eastAsia"/>
                <w:b/>
                <w:bCs/>
                <w:color w:val="auto"/>
                <w:u w:val="single"/>
                <w:lang w:val="en-US" w:eastAsia="zh-CN"/>
              </w:rPr>
            </w:pPr>
            <w:r>
              <w:rPr>
                <w:rFonts w:hint="eastAsia"/>
                <w:b/>
                <w:bCs/>
                <w:color w:val="auto"/>
                <w:u w:val="single"/>
                <w:lang w:val="en-US" w:eastAsia="zh-CN"/>
              </w:rPr>
              <w:t>非甲烷总烃</w:t>
            </w:r>
          </w:p>
        </w:tc>
        <w:tc>
          <w:tcPr>
            <w:tcW w:w="1107" w:type="pct"/>
            <w:tcMar>
              <w:left w:w="28" w:type="dxa"/>
              <w:right w:w="28" w:type="dxa"/>
            </w:tcMar>
            <w:vAlign w:val="center"/>
          </w:tcPr>
          <w:p w14:paraId="335E7459">
            <w:pPr>
              <w:pStyle w:val="182"/>
              <w:bidi w:val="0"/>
              <w:rPr>
                <w:rFonts w:hint="default"/>
                <w:b/>
                <w:bCs/>
                <w:color w:val="auto"/>
                <w:u w:val="single"/>
                <w:lang w:val="en-US" w:eastAsia="zh-CN"/>
              </w:rPr>
            </w:pPr>
            <w:r>
              <w:rPr>
                <w:rFonts w:hint="eastAsia"/>
                <w:b/>
                <w:bCs/>
                <w:color w:val="auto"/>
                <w:u w:val="single"/>
                <w:lang w:val="en-US" w:eastAsia="zh-CN"/>
              </w:rPr>
              <w:t>49</w:t>
            </w:r>
          </w:p>
        </w:tc>
        <w:tc>
          <w:tcPr>
            <w:tcW w:w="913" w:type="pct"/>
            <w:tcMar>
              <w:left w:w="28" w:type="dxa"/>
              <w:right w:w="28" w:type="dxa"/>
            </w:tcMar>
            <w:vAlign w:val="center"/>
          </w:tcPr>
          <w:p w14:paraId="27DD2CB4">
            <w:pPr>
              <w:pStyle w:val="182"/>
              <w:bidi w:val="0"/>
              <w:ind w:firstLine="0" w:firstLineChars="0"/>
              <w:rPr>
                <w:rFonts w:hint="default"/>
                <w:b/>
                <w:bCs/>
                <w:color w:val="auto"/>
                <w:u w:val="single"/>
                <w:lang w:val="en-US" w:eastAsia="zh-CN"/>
              </w:rPr>
            </w:pPr>
            <w:r>
              <w:rPr>
                <w:rFonts w:hint="eastAsia"/>
                <w:b/>
                <w:bCs/>
                <w:color w:val="auto"/>
                <w:u w:val="single"/>
                <w:lang w:val="en-US" w:eastAsia="zh-CN"/>
              </w:rPr>
              <w:t>8.26</w:t>
            </w:r>
          </w:p>
        </w:tc>
        <w:tc>
          <w:tcPr>
            <w:tcW w:w="612" w:type="pct"/>
            <w:tcMar>
              <w:left w:w="28" w:type="dxa"/>
              <w:right w:w="28" w:type="dxa"/>
            </w:tcMar>
            <w:vAlign w:val="center"/>
          </w:tcPr>
          <w:p w14:paraId="729A9DB2">
            <w:pPr>
              <w:pStyle w:val="182"/>
              <w:bidi w:val="0"/>
              <w:ind w:firstLine="0" w:firstLineChars="0"/>
              <w:rPr>
                <w:rFonts w:hint="default"/>
                <w:b/>
                <w:bCs/>
                <w:color w:val="auto"/>
                <w:u w:val="single"/>
                <w:lang w:val="en-US" w:eastAsia="zh-CN"/>
              </w:rPr>
            </w:pPr>
            <w:r>
              <w:rPr>
                <w:rFonts w:hint="eastAsia"/>
                <w:b/>
                <w:bCs/>
                <w:color w:val="auto"/>
                <w:u w:val="single"/>
                <w:lang w:val="en-US" w:eastAsia="zh-CN"/>
              </w:rPr>
              <w:t>0.41</w:t>
            </w:r>
          </w:p>
        </w:tc>
      </w:tr>
    </w:tbl>
    <w:p w14:paraId="65FBAA22">
      <w:pPr>
        <w:bidi w:val="0"/>
        <w:rPr>
          <w:rFonts w:ascii="Times New Roman" w:hAnsi="Times New Roman" w:eastAsia="宋体" w:cs="Times New Roman"/>
          <w:b/>
          <w:bCs/>
          <w:color w:val="auto"/>
          <w:u w:val="single"/>
        </w:rPr>
      </w:pPr>
      <w:r>
        <w:rPr>
          <w:rFonts w:ascii="Times New Roman" w:hAnsi="Times New Roman" w:eastAsia="宋体" w:cs="Times New Roman"/>
          <w:b/>
          <w:bCs/>
          <w:color w:val="auto"/>
          <w:u w:val="single"/>
        </w:rPr>
        <w:t>由上表可知，</w:t>
      </w:r>
      <w:r>
        <w:rPr>
          <w:rFonts w:hint="eastAsia" w:ascii="Times New Roman" w:hAnsi="Times New Roman" w:eastAsia="宋体" w:cs="Times New Roman"/>
          <w:b/>
          <w:bCs/>
          <w:color w:val="auto"/>
          <w:u w:val="single"/>
          <w:lang w:val="en-US" w:eastAsia="zh-CN"/>
        </w:rPr>
        <w:t>排气筒DA029颗粒物的</w:t>
      </w:r>
      <w:r>
        <w:rPr>
          <w:rFonts w:ascii="Times New Roman" w:hAnsi="Times New Roman" w:eastAsia="宋体" w:cs="Times New Roman"/>
          <w:b/>
          <w:bCs/>
          <w:color w:val="auto"/>
          <w:u w:val="single"/>
        </w:rPr>
        <w:t>Pmax=</w:t>
      </w:r>
      <w:r>
        <w:rPr>
          <w:rFonts w:hint="eastAsia" w:ascii="Times New Roman" w:hAnsi="Times New Roman" w:eastAsia="宋体" w:cs="Times New Roman"/>
          <w:b/>
          <w:bCs/>
          <w:color w:val="auto"/>
          <w:u w:val="single"/>
          <w:lang w:val="en-US" w:eastAsia="zh-CN"/>
        </w:rPr>
        <w:t>0.31</w:t>
      </w:r>
      <w:r>
        <w:rPr>
          <w:rFonts w:ascii="Times New Roman" w:hAnsi="Times New Roman" w:eastAsia="宋体" w:cs="Times New Roman"/>
          <w:b/>
          <w:bCs/>
          <w:color w:val="auto"/>
          <w:u w:val="single"/>
        </w:rPr>
        <w:t>%</w:t>
      </w:r>
      <w:r>
        <w:rPr>
          <w:rFonts w:hint="eastAsia" w:ascii="Times New Roman" w:hAnsi="Times New Roman" w:eastAsia="宋体" w:cs="Times New Roman"/>
          <w:b/>
          <w:bCs/>
          <w:color w:val="auto"/>
          <w:u w:val="single"/>
        </w:rPr>
        <w:t>，</w:t>
      </w:r>
      <w:r>
        <w:rPr>
          <w:rFonts w:ascii="Times New Roman" w:hAnsi="Times New Roman" w:eastAsia="宋体" w:cs="Times New Roman"/>
          <w:b/>
          <w:bCs/>
          <w:color w:val="auto"/>
          <w:u w:val="single"/>
        </w:rPr>
        <w:t>Pmax&lt;</w:t>
      </w:r>
      <w:r>
        <w:rPr>
          <w:rFonts w:hint="eastAsia" w:ascii="Times New Roman" w:hAnsi="Times New Roman" w:eastAsia="宋体" w:cs="Times New Roman"/>
          <w:b/>
          <w:bCs/>
          <w:color w:val="auto"/>
          <w:u w:val="single"/>
        </w:rPr>
        <w:t>1</w:t>
      </w:r>
      <w:r>
        <w:rPr>
          <w:rFonts w:ascii="Times New Roman" w:hAnsi="Times New Roman" w:eastAsia="宋体" w:cs="Times New Roman"/>
          <w:b/>
          <w:bCs/>
          <w:color w:val="auto"/>
          <w:u w:val="single"/>
        </w:rPr>
        <w:t>%。</w:t>
      </w:r>
      <w:r>
        <w:rPr>
          <w:rFonts w:hint="eastAsia" w:ascii="Times New Roman" w:hAnsi="Times New Roman" w:eastAsia="宋体" w:cs="Times New Roman"/>
          <w:b/>
          <w:bCs/>
          <w:color w:val="auto"/>
          <w:u w:val="single"/>
          <w:lang w:val="en-US" w:eastAsia="zh-CN"/>
        </w:rPr>
        <w:t>排气筒DA030的非甲烷总烃</w:t>
      </w:r>
      <w:r>
        <w:rPr>
          <w:rFonts w:hint="eastAsia" w:ascii="Times New Roman" w:hAnsi="Times New Roman" w:eastAsia="宋体" w:cs="Times New Roman"/>
          <w:b/>
          <w:bCs/>
          <w:color w:val="auto"/>
          <w:u w:val="single"/>
        </w:rPr>
        <w:t>的Pmax=</w:t>
      </w:r>
      <w:r>
        <w:rPr>
          <w:rFonts w:hint="eastAsia" w:ascii="Times New Roman" w:hAnsi="Times New Roman" w:eastAsia="宋体" w:cs="Times New Roman"/>
          <w:b/>
          <w:bCs/>
          <w:color w:val="auto"/>
          <w:u w:val="single"/>
          <w:lang w:val="en-US" w:eastAsia="zh-CN"/>
        </w:rPr>
        <w:t>0.0</w:t>
      </w:r>
      <w:r>
        <w:rPr>
          <w:rFonts w:hint="eastAsia" w:cs="Times New Roman"/>
          <w:b/>
          <w:bCs/>
          <w:color w:val="auto"/>
          <w:u w:val="single"/>
          <w:lang w:val="en-US" w:eastAsia="zh-CN"/>
        </w:rPr>
        <w:t>4</w:t>
      </w:r>
      <w:r>
        <w:rPr>
          <w:rFonts w:hint="eastAsia" w:ascii="Times New Roman" w:hAnsi="Times New Roman" w:eastAsia="宋体" w:cs="Times New Roman"/>
          <w:b/>
          <w:bCs/>
          <w:color w:val="auto"/>
          <w:u w:val="single"/>
        </w:rPr>
        <w:t>%，Pmax&lt;1%</w:t>
      </w:r>
      <w:r>
        <w:rPr>
          <w:rFonts w:hint="eastAsia" w:ascii="Times New Roman" w:hAnsi="Times New Roman" w:eastAsia="宋体" w:cs="Times New Roman"/>
          <w:b/>
          <w:bCs/>
          <w:color w:val="auto"/>
          <w:u w:val="single"/>
          <w:lang w:eastAsia="zh-CN"/>
        </w:rPr>
        <w:t>，</w:t>
      </w:r>
      <w:r>
        <w:rPr>
          <w:rFonts w:hint="eastAsia" w:ascii="Times New Roman" w:hAnsi="Times New Roman" w:eastAsia="宋体" w:cs="Times New Roman"/>
          <w:b/>
          <w:bCs/>
          <w:color w:val="auto"/>
          <w:u w:val="single"/>
          <w:lang w:val="en-US" w:eastAsia="zh-CN"/>
        </w:rPr>
        <w:t>无组织非甲烷总烃</w:t>
      </w:r>
      <w:r>
        <w:rPr>
          <w:rFonts w:hint="eastAsia" w:ascii="Times New Roman" w:hAnsi="Times New Roman" w:eastAsia="宋体" w:cs="Times New Roman"/>
          <w:b/>
          <w:bCs/>
          <w:color w:val="auto"/>
          <w:u w:val="single"/>
        </w:rPr>
        <w:t>的Pmax=</w:t>
      </w:r>
      <w:r>
        <w:rPr>
          <w:rFonts w:hint="eastAsia" w:ascii="Times New Roman" w:hAnsi="Times New Roman" w:eastAsia="宋体" w:cs="Times New Roman"/>
          <w:b/>
          <w:bCs/>
          <w:color w:val="auto"/>
          <w:u w:val="single"/>
          <w:lang w:val="en-US" w:eastAsia="zh-CN"/>
        </w:rPr>
        <w:t>0.41</w:t>
      </w:r>
      <w:r>
        <w:rPr>
          <w:rFonts w:hint="eastAsia" w:ascii="Times New Roman" w:hAnsi="Times New Roman" w:eastAsia="宋体" w:cs="Times New Roman"/>
          <w:b/>
          <w:bCs/>
          <w:color w:val="auto"/>
          <w:u w:val="single"/>
        </w:rPr>
        <w:t>%，Pmax&lt;1%</w:t>
      </w:r>
      <w:r>
        <w:rPr>
          <w:rFonts w:hint="eastAsia" w:ascii="Times New Roman" w:hAnsi="Times New Roman" w:eastAsia="宋体" w:cs="Times New Roman"/>
          <w:b/>
          <w:bCs/>
          <w:color w:val="auto"/>
          <w:u w:val="single"/>
          <w:lang w:eastAsia="zh-CN"/>
        </w:rPr>
        <w:t>。</w:t>
      </w:r>
      <w:r>
        <w:rPr>
          <w:rFonts w:ascii="Times New Roman" w:hAnsi="Times New Roman" w:eastAsia="宋体" w:cs="Times New Roman"/>
          <w:b/>
          <w:bCs/>
          <w:color w:val="auto"/>
          <w:u w:val="single"/>
        </w:rPr>
        <w:t>本工程大气评价等级为</w:t>
      </w:r>
      <w:r>
        <w:rPr>
          <w:rFonts w:hint="eastAsia" w:ascii="Times New Roman" w:hAnsi="Times New Roman" w:eastAsia="宋体" w:cs="Times New Roman"/>
          <w:b/>
          <w:bCs/>
          <w:color w:val="auto"/>
          <w:u w:val="single"/>
          <w:lang w:val="en-US" w:eastAsia="zh-CN"/>
        </w:rPr>
        <w:t>三</w:t>
      </w:r>
      <w:r>
        <w:rPr>
          <w:rFonts w:ascii="Times New Roman" w:hAnsi="Times New Roman" w:eastAsia="宋体" w:cs="Times New Roman"/>
          <w:b/>
          <w:bCs/>
          <w:color w:val="auto"/>
          <w:u w:val="single"/>
        </w:rPr>
        <w:t>级。</w:t>
      </w:r>
    </w:p>
    <w:p w14:paraId="732B6723">
      <w:pPr>
        <w:pStyle w:val="5"/>
        <w:bidi w:val="0"/>
        <w:rPr>
          <w:color w:val="auto"/>
        </w:rPr>
      </w:pPr>
      <w:r>
        <w:rPr>
          <w:color w:val="auto"/>
        </w:rPr>
        <w:t>地表水评价工作等级</w:t>
      </w:r>
    </w:p>
    <w:p w14:paraId="1F0648D3">
      <w:pPr>
        <w:bidi w:val="0"/>
        <w:rPr>
          <w:color w:val="auto"/>
        </w:rPr>
      </w:pPr>
      <w:r>
        <w:rPr>
          <w:color w:val="auto"/>
        </w:rPr>
        <w:t>根据《环境影响评价技术导则地表水环境》（HJ2.3－2018），水污染型的地表水环境影响评价工作等级的判据见表</w:t>
      </w:r>
      <w:r>
        <w:rPr>
          <w:rFonts w:hint="eastAsia"/>
          <w:color w:val="auto"/>
          <w:lang w:val="en-US" w:eastAsia="zh-CN"/>
        </w:rPr>
        <w:t>2.5-4</w:t>
      </w:r>
      <w:r>
        <w:rPr>
          <w:rFonts w:hint="eastAsia"/>
          <w:color w:val="auto"/>
        </w:rPr>
        <w:t>，</w:t>
      </w:r>
      <w:r>
        <w:rPr>
          <w:color w:val="auto"/>
        </w:rPr>
        <w:t>项目生产废水</w:t>
      </w:r>
      <w:r>
        <w:rPr>
          <w:rFonts w:hint="eastAsia"/>
          <w:color w:val="auto"/>
        </w:rPr>
        <w:t>和生活污水</w:t>
      </w:r>
      <w:r>
        <w:rPr>
          <w:color w:val="auto"/>
        </w:rPr>
        <w:t>经</w:t>
      </w:r>
      <w:r>
        <w:rPr>
          <w:rFonts w:hint="eastAsia"/>
          <w:color w:val="auto"/>
        </w:rPr>
        <w:t>厂区污水处理站处理后进入新乡市小店污水处理厂进一步处理，最终排入大沙河</w:t>
      </w:r>
      <w:r>
        <w:rPr>
          <w:color w:val="auto"/>
        </w:rPr>
        <w:t>，废水排放方式为间接排放，根据表</w:t>
      </w:r>
      <w:r>
        <w:rPr>
          <w:rFonts w:hint="eastAsia"/>
          <w:color w:val="auto"/>
          <w:lang w:val="en-US" w:eastAsia="zh-CN"/>
        </w:rPr>
        <w:t>2.5-4</w:t>
      </w:r>
      <w:r>
        <w:rPr>
          <w:color w:val="auto"/>
        </w:rPr>
        <w:t>，确定地表水环境影响评价工作等级为三级B。</w:t>
      </w:r>
    </w:p>
    <w:p w14:paraId="4C1E60CF">
      <w:pPr>
        <w:pStyle w:val="10"/>
        <w:bidi w:val="0"/>
        <w:rPr>
          <w:rFonts w:hint="eastAsia"/>
          <w:lang w:val="en-US" w:eastAsia="zh-CN"/>
        </w:rPr>
      </w:pPr>
      <w:r>
        <w:t xml:space="preserve">表 </w:t>
      </w:r>
      <w:r>
        <w:fldChar w:fldCharType="begin"/>
      </w:r>
      <w:r>
        <w:instrText xml:space="preserve"> STYLEREF 2 \s </w:instrText>
      </w:r>
      <w:r>
        <w:fldChar w:fldCharType="separate"/>
      </w:r>
      <w:r>
        <w:t>2.5</w:t>
      </w:r>
      <w:r>
        <w:fldChar w:fldCharType="end"/>
      </w:r>
      <w:r>
        <w:rPr>
          <w:rFonts w:hint="eastAsia"/>
          <w:lang w:eastAsia="zh-CN"/>
        </w:rPr>
        <w:t>-</w:t>
      </w:r>
      <w:r>
        <w:fldChar w:fldCharType="begin"/>
      </w:r>
      <w:r>
        <w:instrText xml:space="preserve"> SEQ 表 \* ARABIC \s 2 </w:instrText>
      </w:r>
      <w:r>
        <w:fldChar w:fldCharType="separate"/>
      </w:r>
      <w:r>
        <w:t>4</w:t>
      </w:r>
      <w:r>
        <w:fldChar w:fldCharType="end"/>
      </w:r>
      <w:r>
        <w:rPr>
          <w:rFonts w:hint="eastAsia"/>
          <w:lang w:val="en-US" w:eastAsia="zh-CN"/>
        </w:rPr>
        <w:t xml:space="preserve"> 水污染影响型建设项目评价等级判定表</w:t>
      </w:r>
    </w:p>
    <w:tbl>
      <w:tblPr>
        <w:tblStyle w:val="31"/>
        <w:tblW w:w="4998" w:type="pct"/>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57" w:type="dxa"/>
          <w:bottom w:w="0" w:type="dxa"/>
          <w:right w:w="57" w:type="dxa"/>
        </w:tblCellMar>
      </w:tblPr>
      <w:tblGrid>
        <w:gridCol w:w="1468"/>
        <w:gridCol w:w="1337"/>
        <w:gridCol w:w="5612"/>
      </w:tblGrid>
      <w:tr w14:paraId="6B1C9F5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415" w:hRule="atLeast"/>
          <w:jc w:val="center"/>
        </w:trPr>
        <w:tc>
          <w:tcPr>
            <w:tcW w:w="872" w:type="pct"/>
            <w:vMerge w:val="restart"/>
            <w:vAlign w:val="center"/>
          </w:tcPr>
          <w:p w14:paraId="3B48F812">
            <w:pPr>
              <w:pStyle w:val="182"/>
              <w:bidi w:val="0"/>
              <w:rPr>
                <w:b/>
                <w:bCs/>
                <w:color w:val="auto"/>
              </w:rPr>
            </w:pPr>
            <w:r>
              <w:rPr>
                <w:b/>
                <w:bCs/>
                <w:color w:val="auto"/>
              </w:rPr>
              <w:t>评价等级</w:t>
            </w:r>
          </w:p>
        </w:tc>
        <w:tc>
          <w:tcPr>
            <w:tcW w:w="4128" w:type="pct"/>
            <w:gridSpan w:val="2"/>
            <w:vAlign w:val="center"/>
          </w:tcPr>
          <w:p w14:paraId="65BC17A4">
            <w:pPr>
              <w:pStyle w:val="182"/>
              <w:bidi w:val="0"/>
              <w:rPr>
                <w:b/>
                <w:bCs/>
                <w:color w:val="auto"/>
              </w:rPr>
            </w:pPr>
            <w:r>
              <w:rPr>
                <w:b/>
                <w:bCs/>
                <w:color w:val="auto"/>
              </w:rPr>
              <w:t>判定依据</w:t>
            </w:r>
          </w:p>
        </w:tc>
      </w:tr>
      <w:tr w14:paraId="7D1BF26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872" w:type="pct"/>
            <w:vMerge w:val="continue"/>
            <w:vAlign w:val="center"/>
          </w:tcPr>
          <w:p w14:paraId="25564C74">
            <w:pPr>
              <w:pStyle w:val="182"/>
              <w:bidi w:val="0"/>
              <w:rPr>
                <w:b/>
                <w:bCs/>
                <w:color w:val="auto"/>
              </w:rPr>
            </w:pPr>
          </w:p>
        </w:tc>
        <w:tc>
          <w:tcPr>
            <w:tcW w:w="794" w:type="pct"/>
            <w:vAlign w:val="center"/>
          </w:tcPr>
          <w:p w14:paraId="52BD9CC9">
            <w:pPr>
              <w:pStyle w:val="182"/>
              <w:bidi w:val="0"/>
              <w:rPr>
                <w:b/>
                <w:bCs/>
                <w:color w:val="auto"/>
              </w:rPr>
            </w:pPr>
            <w:r>
              <w:rPr>
                <w:b/>
                <w:bCs/>
                <w:color w:val="auto"/>
              </w:rPr>
              <w:t>排放方式</w:t>
            </w:r>
          </w:p>
        </w:tc>
        <w:tc>
          <w:tcPr>
            <w:tcW w:w="3334" w:type="pct"/>
            <w:vAlign w:val="center"/>
          </w:tcPr>
          <w:p w14:paraId="29966F51">
            <w:pPr>
              <w:pStyle w:val="182"/>
              <w:bidi w:val="0"/>
              <w:rPr>
                <w:b/>
                <w:bCs/>
                <w:color w:val="auto"/>
              </w:rPr>
            </w:pPr>
            <w:r>
              <w:rPr>
                <w:b/>
                <w:bCs/>
                <w:color w:val="auto"/>
              </w:rPr>
              <w:t>废水排放量Q/（m</w:t>
            </w:r>
            <w:r>
              <w:rPr>
                <w:b/>
                <w:bCs/>
                <w:color w:val="auto"/>
                <w:vertAlign w:val="superscript"/>
              </w:rPr>
              <w:t>3</w:t>
            </w:r>
            <w:r>
              <w:rPr>
                <w:b/>
                <w:bCs/>
                <w:color w:val="auto"/>
              </w:rPr>
              <w:t>/d）</w:t>
            </w:r>
          </w:p>
          <w:p w14:paraId="092B8A3F">
            <w:pPr>
              <w:pStyle w:val="182"/>
              <w:bidi w:val="0"/>
              <w:rPr>
                <w:b/>
                <w:bCs/>
                <w:color w:val="auto"/>
              </w:rPr>
            </w:pPr>
            <w:r>
              <w:rPr>
                <w:b/>
                <w:bCs/>
                <w:color w:val="auto"/>
              </w:rPr>
              <w:t>水污染物当量数W/（无量纲）</w:t>
            </w:r>
          </w:p>
        </w:tc>
      </w:tr>
      <w:tr w14:paraId="5257063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872" w:type="pct"/>
            <w:vAlign w:val="center"/>
          </w:tcPr>
          <w:p w14:paraId="32FF2622">
            <w:pPr>
              <w:pStyle w:val="182"/>
              <w:bidi w:val="0"/>
              <w:rPr>
                <w:color w:val="auto"/>
              </w:rPr>
            </w:pPr>
            <w:r>
              <w:rPr>
                <w:color w:val="auto"/>
              </w:rPr>
              <w:t>一级</w:t>
            </w:r>
          </w:p>
        </w:tc>
        <w:tc>
          <w:tcPr>
            <w:tcW w:w="794" w:type="pct"/>
            <w:vAlign w:val="center"/>
          </w:tcPr>
          <w:p w14:paraId="21BC4646">
            <w:pPr>
              <w:pStyle w:val="182"/>
              <w:bidi w:val="0"/>
              <w:rPr>
                <w:color w:val="auto"/>
              </w:rPr>
            </w:pPr>
            <w:r>
              <w:rPr>
                <w:color w:val="auto"/>
              </w:rPr>
              <w:t>直接排放</w:t>
            </w:r>
          </w:p>
        </w:tc>
        <w:tc>
          <w:tcPr>
            <w:tcW w:w="3334" w:type="pct"/>
            <w:vAlign w:val="center"/>
          </w:tcPr>
          <w:p w14:paraId="5DFEA951">
            <w:pPr>
              <w:pStyle w:val="182"/>
              <w:bidi w:val="0"/>
              <w:rPr>
                <w:color w:val="auto"/>
              </w:rPr>
            </w:pPr>
            <w:r>
              <w:rPr>
                <w:color w:val="auto"/>
              </w:rPr>
              <w:t>Q≥20000或W≥600000</w:t>
            </w:r>
          </w:p>
        </w:tc>
      </w:tr>
      <w:tr w14:paraId="4DDBAC5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872" w:type="pct"/>
            <w:vAlign w:val="center"/>
          </w:tcPr>
          <w:p w14:paraId="304DD155">
            <w:pPr>
              <w:pStyle w:val="182"/>
              <w:bidi w:val="0"/>
              <w:rPr>
                <w:color w:val="auto"/>
              </w:rPr>
            </w:pPr>
            <w:r>
              <w:rPr>
                <w:color w:val="auto"/>
              </w:rPr>
              <w:t>二级</w:t>
            </w:r>
          </w:p>
        </w:tc>
        <w:tc>
          <w:tcPr>
            <w:tcW w:w="794" w:type="pct"/>
            <w:vAlign w:val="center"/>
          </w:tcPr>
          <w:p w14:paraId="3CE99DC8">
            <w:pPr>
              <w:pStyle w:val="182"/>
              <w:bidi w:val="0"/>
              <w:rPr>
                <w:color w:val="auto"/>
              </w:rPr>
            </w:pPr>
            <w:r>
              <w:rPr>
                <w:color w:val="auto"/>
              </w:rPr>
              <w:t>直接排放</w:t>
            </w:r>
          </w:p>
        </w:tc>
        <w:tc>
          <w:tcPr>
            <w:tcW w:w="3334" w:type="pct"/>
            <w:vAlign w:val="center"/>
          </w:tcPr>
          <w:p w14:paraId="41EA4D6C">
            <w:pPr>
              <w:pStyle w:val="182"/>
              <w:bidi w:val="0"/>
              <w:rPr>
                <w:color w:val="auto"/>
              </w:rPr>
            </w:pPr>
            <w:r>
              <w:rPr>
                <w:color w:val="auto"/>
              </w:rPr>
              <w:t>其他</w:t>
            </w:r>
          </w:p>
        </w:tc>
      </w:tr>
      <w:tr w14:paraId="780B6EB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872" w:type="pct"/>
            <w:vAlign w:val="center"/>
          </w:tcPr>
          <w:p w14:paraId="50FFDD1C">
            <w:pPr>
              <w:pStyle w:val="182"/>
              <w:bidi w:val="0"/>
              <w:rPr>
                <w:color w:val="auto"/>
              </w:rPr>
            </w:pPr>
            <w:r>
              <w:rPr>
                <w:color w:val="auto"/>
              </w:rPr>
              <w:t>三级A</w:t>
            </w:r>
          </w:p>
        </w:tc>
        <w:tc>
          <w:tcPr>
            <w:tcW w:w="794" w:type="pct"/>
            <w:vAlign w:val="center"/>
          </w:tcPr>
          <w:p w14:paraId="566316BA">
            <w:pPr>
              <w:pStyle w:val="182"/>
              <w:bidi w:val="0"/>
              <w:rPr>
                <w:color w:val="auto"/>
              </w:rPr>
            </w:pPr>
            <w:r>
              <w:rPr>
                <w:color w:val="auto"/>
              </w:rPr>
              <w:t>直接排放</w:t>
            </w:r>
          </w:p>
        </w:tc>
        <w:tc>
          <w:tcPr>
            <w:tcW w:w="3334" w:type="pct"/>
            <w:vAlign w:val="center"/>
          </w:tcPr>
          <w:p w14:paraId="7CD25BCC">
            <w:pPr>
              <w:pStyle w:val="182"/>
              <w:bidi w:val="0"/>
              <w:rPr>
                <w:color w:val="auto"/>
              </w:rPr>
            </w:pPr>
            <w:r>
              <w:rPr>
                <w:color w:val="auto"/>
              </w:rPr>
              <w:t>Q&lt;200或W&lt;6000</w:t>
            </w:r>
          </w:p>
        </w:tc>
      </w:tr>
      <w:tr w14:paraId="6320C7D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872" w:type="pct"/>
            <w:vAlign w:val="center"/>
          </w:tcPr>
          <w:p w14:paraId="4F454549">
            <w:pPr>
              <w:pStyle w:val="182"/>
              <w:bidi w:val="0"/>
              <w:rPr>
                <w:color w:val="auto"/>
              </w:rPr>
            </w:pPr>
            <w:r>
              <w:rPr>
                <w:color w:val="auto"/>
              </w:rPr>
              <w:t>三级B</w:t>
            </w:r>
          </w:p>
        </w:tc>
        <w:tc>
          <w:tcPr>
            <w:tcW w:w="794" w:type="pct"/>
            <w:vAlign w:val="center"/>
          </w:tcPr>
          <w:p w14:paraId="5769F1EF">
            <w:pPr>
              <w:pStyle w:val="182"/>
              <w:bidi w:val="0"/>
              <w:rPr>
                <w:color w:val="auto"/>
              </w:rPr>
            </w:pPr>
            <w:r>
              <w:rPr>
                <w:color w:val="auto"/>
              </w:rPr>
              <w:t>间接排放</w:t>
            </w:r>
          </w:p>
        </w:tc>
        <w:tc>
          <w:tcPr>
            <w:tcW w:w="3334" w:type="pct"/>
            <w:vAlign w:val="center"/>
          </w:tcPr>
          <w:p w14:paraId="3D03DFB0">
            <w:pPr>
              <w:pStyle w:val="182"/>
              <w:bidi w:val="0"/>
              <w:rPr>
                <w:color w:val="auto"/>
              </w:rPr>
            </w:pPr>
            <w:r>
              <w:rPr>
                <w:color w:val="auto"/>
              </w:rPr>
              <w:t>——</w:t>
            </w:r>
          </w:p>
        </w:tc>
      </w:tr>
      <w:tr w14:paraId="03C950E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000" w:type="pct"/>
            <w:gridSpan w:val="3"/>
            <w:vAlign w:val="center"/>
          </w:tcPr>
          <w:p w14:paraId="66EFF17D">
            <w:pPr>
              <w:pStyle w:val="182"/>
              <w:bidi w:val="0"/>
              <w:jc w:val="left"/>
              <w:rPr>
                <w:color w:val="auto"/>
              </w:rPr>
            </w:pPr>
            <w:r>
              <w:rPr>
                <w:color w:val="auto"/>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708B3881">
            <w:pPr>
              <w:pStyle w:val="182"/>
              <w:bidi w:val="0"/>
              <w:jc w:val="left"/>
              <w:rPr>
                <w:color w:val="auto"/>
              </w:rPr>
            </w:pPr>
            <w:r>
              <w:rPr>
                <w:color w:val="auto"/>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3B393D18">
            <w:pPr>
              <w:pStyle w:val="182"/>
              <w:bidi w:val="0"/>
              <w:jc w:val="left"/>
              <w:rPr>
                <w:color w:val="auto"/>
              </w:rPr>
            </w:pPr>
            <w:r>
              <w:rPr>
                <w:color w:val="auto"/>
              </w:rPr>
              <w:t>注3：厂区存在堆积物（露天堆放的原料、燃料、废渣等以及垃圾堆放场）、降尘污染的，应将初期雨污水纳入废水排放量，相应的主要污染物纳入水污染物当量计算。</w:t>
            </w:r>
          </w:p>
          <w:p w14:paraId="1CF509A7">
            <w:pPr>
              <w:pStyle w:val="182"/>
              <w:bidi w:val="0"/>
              <w:jc w:val="left"/>
              <w:rPr>
                <w:color w:val="auto"/>
              </w:rPr>
            </w:pPr>
            <w:r>
              <w:rPr>
                <w:color w:val="auto"/>
              </w:rPr>
              <w:t>注4：建设项目直接排放第一类污染物的，其评价等级为一级；建设项目直接排放的污染物为受纳水体超标因子的，评价等级不低于二级。</w:t>
            </w:r>
          </w:p>
          <w:p w14:paraId="4C966641">
            <w:pPr>
              <w:pStyle w:val="182"/>
              <w:bidi w:val="0"/>
              <w:jc w:val="left"/>
              <w:rPr>
                <w:color w:val="auto"/>
              </w:rPr>
            </w:pPr>
            <w:r>
              <w:rPr>
                <w:color w:val="auto"/>
              </w:rPr>
              <w:t>注5：直接排放受纳水体影响范围涉及饮用水水源保护区、饮用水取水口，重点保护与珍稀水生生物的栖息地、重要水生生物的自然产卵场等保护目标时，评价等级不低于二级。</w:t>
            </w:r>
          </w:p>
          <w:p w14:paraId="55AFFBD0">
            <w:pPr>
              <w:pStyle w:val="182"/>
              <w:bidi w:val="0"/>
              <w:jc w:val="left"/>
              <w:rPr>
                <w:color w:val="auto"/>
              </w:rPr>
            </w:pPr>
            <w:r>
              <w:rPr>
                <w:color w:val="auto"/>
              </w:rPr>
              <w:t>注6：建设项目向河流、湖库排放温排水引起受纳水体水温变化超过水环境质量标准要求，且评价范围有水温敏感目标时，评价等级为一级。</w:t>
            </w:r>
          </w:p>
          <w:p w14:paraId="6CA2043E">
            <w:pPr>
              <w:pStyle w:val="182"/>
              <w:bidi w:val="0"/>
              <w:jc w:val="left"/>
              <w:rPr>
                <w:color w:val="auto"/>
              </w:rPr>
            </w:pPr>
            <w:r>
              <w:rPr>
                <w:color w:val="auto"/>
              </w:rPr>
              <w:t>注7：建设项目利用海水作为调节温度介质，排水量≥500万m</w:t>
            </w:r>
            <w:r>
              <w:rPr>
                <w:color w:val="auto"/>
                <w:vertAlign w:val="superscript"/>
              </w:rPr>
              <w:t>3</w:t>
            </w:r>
            <w:r>
              <w:rPr>
                <w:color w:val="auto"/>
              </w:rPr>
              <w:t>/d，评价等级为一级：排水量</w:t>
            </w:r>
            <w:r>
              <w:rPr>
                <w:rFonts w:hint="eastAsia"/>
                <w:color w:val="auto"/>
                <w:lang w:eastAsia="zh-CN"/>
              </w:rPr>
              <w:t>&lt;</w:t>
            </w:r>
            <w:r>
              <w:rPr>
                <w:color w:val="auto"/>
              </w:rPr>
              <w:t>500万m</w:t>
            </w:r>
            <w:r>
              <w:rPr>
                <w:color w:val="auto"/>
                <w:vertAlign w:val="superscript"/>
              </w:rPr>
              <w:t>3</w:t>
            </w:r>
            <w:r>
              <w:rPr>
                <w:color w:val="auto"/>
              </w:rPr>
              <w:t>/d，评价等级为二级。</w:t>
            </w:r>
          </w:p>
          <w:p w14:paraId="146F4011">
            <w:pPr>
              <w:pStyle w:val="182"/>
              <w:bidi w:val="0"/>
              <w:jc w:val="left"/>
              <w:rPr>
                <w:color w:val="auto"/>
              </w:rPr>
            </w:pPr>
            <w:r>
              <w:rPr>
                <w:color w:val="auto"/>
              </w:rPr>
              <w:t>注8：仅涉及清净下水排放的，如其排放水质满足受纳水体水环境质量标准要求的，评价等级为三级A。</w:t>
            </w:r>
          </w:p>
          <w:p w14:paraId="4B19E3E2">
            <w:pPr>
              <w:pStyle w:val="182"/>
              <w:bidi w:val="0"/>
              <w:jc w:val="left"/>
              <w:rPr>
                <w:color w:val="auto"/>
              </w:rPr>
            </w:pPr>
            <w:r>
              <w:rPr>
                <w:color w:val="auto"/>
              </w:rPr>
              <w:t>注9：依托现有排放口，且对外环境未新增排放污染物的直接排放建设项目，评价等级参照间接排放，定为三级B。</w:t>
            </w:r>
          </w:p>
          <w:p w14:paraId="062551B5">
            <w:pPr>
              <w:pStyle w:val="182"/>
              <w:bidi w:val="0"/>
              <w:jc w:val="left"/>
              <w:rPr>
                <w:color w:val="auto"/>
              </w:rPr>
            </w:pPr>
            <w:r>
              <w:rPr>
                <w:color w:val="auto"/>
              </w:rPr>
              <w:t>注10：建设项目生产工艺中有废水产生，但作为回水利用，不排放到外环境的，按三级B评价。</w:t>
            </w:r>
          </w:p>
        </w:tc>
      </w:tr>
    </w:tbl>
    <w:p w14:paraId="53939BB7">
      <w:pPr>
        <w:pStyle w:val="5"/>
        <w:bidi w:val="0"/>
        <w:rPr>
          <w:color w:val="auto"/>
        </w:rPr>
      </w:pPr>
      <w:bookmarkStart w:id="110" w:name="_TOC_250245"/>
      <w:bookmarkEnd w:id="110"/>
      <w:r>
        <w:rPr>
          <w:color w:val="auto"/>
        </w:rPr>
        <w:t>地下水环境评价等级</w:t>
      </w:r>
    </w:p>
    <w:p w14:paraId="4D5E5C21">
      <w:pPr>
        <w:bidi w:val="0"/>
        <w:ind w:firstLine="482"/>
        <w:rPr>
          <w:rFonts w:hint="default"/>
          <w:b w:val="0"/>
          <w:bCs w:val="0"/>
          <w:color w:val="auto"/>
          <w:u w:val="none"/>
        </w:rPr>
      </w:pPr>
      <w:r>
        <w:rPr>
          <w:rFonts w:hint="default"/>
          <w:b w:val="0"/>
          <w:bCs w:val="0"/>
          <w:color w:val="auto"/>
          <w:u w:val="none"/>
        </w:rPr>
        <w:t>（1）地下水环境影响评价项目类别：根据《环境影响评价技术导则地下水环境》（HJ610-2016）附录A，本项目属于Ⅱ类。</w:t>
      </w:r>
    </w:p>
    <w:p w14:paraId="25ECD4DE">
      <w:pPr>
        <w:bidi w:val="0"/>
        <w:ind w:firstLine="482"/>
        <w:rPr>
          <w:rFonts w:hint="default"/>
          <w:b w:val="0"/>
          <w:bCs w:val="0"/>
          <w:color w:val="auto"/>
          <w:u w:val="none"/>
        </w:rPr>
      </w:pPr>
      <w:r>
        <w:rPr>
          <w:rFonts w:hint="default"/>
          <w:b w:val="0"/>
          <w:bCs w:val="0"/>
          <w:color w:val="auto"/>
          <w:u w:val="none"/>
        </w:rPr>
        <w:t>（2）建设项目场地的地下水环境敏感程度：本项目在新乡化纤股份有限公司现有厂区场内建设，距最近的集中式饮用水水源地古固寨镇地下水饮用水源</w:t>
      </w:r>
      <w:r>
        <w:rPr>
          <w:rFonts w:hint="eastAsia"/>
          <w:b w:val="0"/>
          <w:bCs w:val="0"/>
          <w:color w:val="auto"/>
          <w:u w:val="none"/>
          <w:lang w:val="en-US" w:eastAsia="zh-CN"/>
        </w:rPr>
        <w:t>保护区</w:t>
      </w:r>
      <w:r>
        <w:rPr>
          <w:rFonts w:hint="default"/>
          <w:b w:val="0"/>
          <w:bCs w:val="0"/>
          <w:color w:val="auto"/>
          <w:u w:val="none"/>
        </w:rPr>
        <w:t>7.12km</w:t>
      </w:r>
      <w:r>
        <w:rPr>
          <w:rFonts w:hint="eastAsia"/>
          <w:b w:val="0"/>
          <w:bCs w:val="0"/>
          <w:color w:val="auto"/>
          <w:u w:val="none"/>
          <w:lang w:eastAsia="zh-CN"/>
        </w:rPr>
        <w:t>，</w:t>
      </w:r>
      <w:r>
        <w:rPr>
          <w:rFonts w:hint="eastAsia"/>
          <w:b/>
          <w:bCs/>
          <w:color w:val="auto"/>
          <w:u w:val="single"/>
          <w:lang w:eastAsia="zh-CN"/>
        </w:rPr>
        <w:t>本项目东南方向1818m大杨庄村有集中式饮用水源（供水人口＞1000人，未划定准保护区）</w:t>
      </w:r>
      <w:r>
        <w:rPr>
          <w:rFonts w:hint="default"/>
          <w:b w:val="0"/>
          <w:bCs w:val="0"/>
          <w:color w:val="auto"/>
          <w:u w:val="none"/>
        </w:rPr>
        <w:t>。项目场地</w:t>
      </w:r>
      <w:r>
        <w:rPr>
          <w:rFonts w:hint="eastAsia"/>
          <w:b w:val="0"/>
          <w:bCs w:val="0"/>
          <w:color w:val="auto"/>
          <w:u w:val="none"/>
          <w:lang w:val="en-US" w:eastAsia="zh-CN"/>
        </w:rPr>
        <w:t>及评价范围</w:t>
      </w:r>
      <w:r>
        <w:rPr>
          <w:rFonts w:hint="default"/>
          <w:b w:val="0"/>
          <w:bCs w:val="0"/>
          <w:color w:val="auto"/>
          <w:u w:val="none"/>
        </w:rPr>
        <w:t>不在饮用水水源准保护区、特殊地下水资源保护区范围内，不在饮用水水源补给径流区范围内，项目场地属于不敏感区。</w:t>
      </w:r>
    </w:p>
    <w:p w14:paraId="4D8EAF56">
      <w:pPr>
        <w:bidi w:val="0"/>
        <w:ind w:firstLine="482"/>
        <w:rPr>
          <w:rFonts w:hint="default"/>
          <w:b w:val="0"/>
          <w:bCs w:val="0"/>
          <w:color w:val="auto"/>
          <w:u w:val="none"/>
        </w:rPr>
      </w:pPr>
      <w:r>
        <w:rPr>
          <w:rFonts w:hint="default"/>
          <w:b w:val="0"/>
          <w:bCs w:val="0"/>
          <w:color w:val="auto"/>
          <w:u w:val="none"/>
        </w:rPr>
        <w:t>对照《环境影响评价技术导则地下水环境》（HJ610-2016）建设项目评价工作等级分级表可知，本项目地下水评价工作等级为三级。</w:t>
      </w:r>
    </w:p>
    <w:p w14:paraId="743BD817">
      <w:pPr>
        <w:pStyle w:val="10"/>
        <w:bidi w:val="0"/>
        <w:rPr>
          <w:rFonts w:hint="eastAsia"/>
          <w:lang w:val="en-US" w:eastAsia="zh-CN"/>
        </w:rPr>
      </w:pPr>
      <w:r>
        <w:t xml:space="preserve">表 </w:t>
      </w:r>
      <w:r>
        <w:fldChar w:fldCharType="begin"/>
      </w:r>
      <w:r>
        <w:instrText xml:space="preserve"> STYLEREF 2 \s </w:instrText>
      </w:r>
      <w:r>
        <w:fldChar w:fldCharType="separate"/>
      </w:r>
      <w:r>
        <w:t>2.5</w:t>
      </w:r>
      <w:r>
        <w:fldChar w:fldCharType="end"/>
      </w:r>
      <w:r>
        <w:rPr>
          <w:rFonts w:hint="eastAsia"/>
          <w:lang w:eastAsia="zh-CN"/>
        </w:rPr>
        <w:t>-</w:t>
      </w:r>
      <w:r>
        <w:fldChar w:fldCharType="begin"/>
      </w:r>
      <w:r>
        <w:instrText xml:space="preserve"> SEQ 表 \* ARABIC \s 2 </w:instrText>
      </w:r>
      <w:r>
        <w:fldChar w:fldCharType="separate"/>
      </w:r>
      <w:r>
        <w:t>5</w:t>
      </w:r>
      <w:r>
        <w:fldChar w:fldCharType="end"/>
      </w:r>
      <w:r>
        <w:rPr>
          <w:rFonts w:hint="eastAsia"/>
          <w:lang w:val="en-US" w:eastAsia="zh-CN"/>
        </w:rPr>
        <w:t xml:space="preserve"> 地下水环境敏感程度分级表</w:t>
      </w:r>
    </w:p>
    <w:tbl>
      <w:tblPr>
        <w:tblStyle w:val="3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6"/>
        <w:gridCol w:w="7324"/>
      </w:tblGrid>
      <w:tr w14:paraId="6A69A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02" w:type="pct"/>
            <w:noWrap w:val="0"/>
            <w:vAlign w:val="center"/>
          </w:tcPr>
          <w:p w14:paraId="76F188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b/>
              </w:rPr>
              <w:t>敏感程度</w:t>
            </w:r>
          </w:p>
        </w:tc>
        <w:tc>
          <w:tcPr>
            <w:tcW w:w="4297" w:type="pct"/>
            <w:noWrap w:val="0"/>
            <w:vAlign w:val="center"/>
          </w:tcPr>
          <w:p w14:paraId="0F0EF5E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hint="eastAsia"/>
                <w:b/>
              </w:rPr>
              <w:t>地下水环境敏感特征</w:t>
            </w:r>
          </w:p>
        </w:tc>
      </w:tr>
      <w:tr w14:paraId="4B0D9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2" w:type="pct"/>
            <w:noWrap w:val="0"/>
            <w:vAlign w:val="center"/>
          </w:tcPr>
          <w:p w14:paraId="46EE637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敏感</w:t>
            </w:r>
          </w:p>
        </w:tc>
        <w:tc>
          <w:tcPr>
            <w:tcW w:w="4297" w:type="pct"/>
            <w:noWrap w:val="0"/>
            <w:vAlign w:val="center"/>
          </w:tcPr>
          <w:p w14:paraId="3E25BDB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3ECDC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2" w:type="pct"/>
            <w:noWrap w:val="0"/>
            <w:vAlign w:val="center"/>
          </w:tcPr>
          <w:p w14:paraId="624785D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较敏感</w:t>
            </w:r>
          </w:p>
        </w:tc>
        <w:tc>
          <w:tcPr>
            <w:tcW w:w="4297" w:type="pct"/>
            <w:noWrap w:val="0"/>
            <w:vAlign w:val="center"/>
          </w:tcPr>
          <w:p w14:paraId="59C8674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r>
              <w:rPr>
                <w:rFonts w:hint="eastAsia"/>
                <w:vertAlign w:val="superscript"/>
              </w:rPr>
              <w:t>a</w:t>
            </w:r>
            <w:r>
              <w:rPr>
                <w:rFonts w:hint="eastAsia"/>
              </w:rPr>
              <w:t>。</w:t>
            </w:r>
          </w:p>
        </w:tc>
      </w:tr>
      <w:tr w14:paraId="32F39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2" w:type="pct"/>
            <w:noWrap w:val="0"/>
            <w:vAlign w:val="center"/>
          </w:tcPr>
          <w:p w14:paraId="5C0CEC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不敏感</w:t>
            </w:r>
          </w:p>
        </w:tc>
        <w:tc>
          <w:tcPr>
            <w:tcW w:w="4297" w:type="pct"/>
            <w:noWrap w:val="0"/>
            <w:vAlign w:val="center"/>
          </w:tcPr>
          <w:p w14:paraId="1B077C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上述地区之外的其他地区</w:t>
            </w:r>
          </w:p>
        </w:tc>
      </w:tr>
      <w:tr w14:paraId="03E9C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2"/>
            <w:noWrap w:val="0"/>
            <w:vAlign w:val="center"/>
          </w:tcPr>
          <w:p w14:paraId="505CEDE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注</w:t>
            </w:r>
            <w:r>
              <w:rPr>
                <w:vertAlign w:val="superscript"/>
              </w:rPr>
              <w:t>a</w:t>
            </w:r>
            <w:r>
              <w:t>： “环境敏感区”是指《建设项目环境影响评价分类管理名录》中所界定的涉及地下水的环境敏感区。</w:t>
            </w:r>
          </w:p>
        </w:tc>
      </w:tr>
    </w:tbl>
    <w:p w14:paraId="4BF9EC61">
      <w:pPr>
        <w:spacing w:line="520" w:lineRule="exact"/>
        <w:ind w:firstLine="480" w:firstLineChars="200"/>
        <w:rPr>
          <w:rFonts w:cs="宋体"/>
          <w:sz w:val="24"/>
        </w:rPr>
      </w:pPr>
      <w:r>
        <w:rPr>
          <w:rFonts w:hint="eastAsia" w:cs="宋体"/>
          <w:sz w:val="24"/>
        </w:rPr>
        <w:t>建设项目地下水环境影响评价工作等级划分见下表。</w:t>
      </w:r>
    </w:p>
    <w:p w14:paraId="57A7250E">
      <w:pPr>
        <w:bidi w:val="0"/>
        <w:ind w:firstLine="482"/>
        <w:rPr>
          <w:b w:val="0"/>
          <w:bCs w:val="0"/>
          <w:color w:val="auto"/>
          <w:u w:val="none"/>
        </w:rPr>
      </w:pPr>
    </w:p>
    <w:p w14:paraId="378AF03C">
      <w:pPr>
        <w:pStyle w:val="10"/>
        <w:bidi w:val="0"/>
      </w:pPr>
      <w:r>
        <w:t xml:space="preserve">表 </w:t>
      </w:r>
      <w:r>
        <w:fldChar w:fldCharType="begin"/>
      </w:r>
      <w:r>
        <w:instrText xml:space="preserve"> STYLEREF 2 \s </w:instrText>
      </w:r>
      <w:r>
        <w:fldChar w:fldCharType="separate"/>
      </w:r>
      <w:r>
        <w:t>2.5</w:t>
      </w:r>
      <w:r>
        <w:fldChar w:fldCharType="end"/>
      </w:r>
      <w:r>
        <w:rPr>
          <w:rFonts w:hint="eastAsia"/>
          <w:lang w:eastAsia="zh-CN"/>
        </w:rPr>
        <w:t>-</w:t>
      </w:r>
      <w:r>
        <w:fldChar w:fldCharType="begin"/>
      </w:r>
      <w:r>
        <w:instrText xml:space="preserve"> SEQ 表 \* ARABIC \s 2 </w:instrText>
      </w:r>
      <w:r>
        <w:fldChar w:fldCharType="separate"/>
      </w:r>
      <w:r>
        <w:t>6</w:t>
      </w:r>
      <w:r>
        <w:fldChar w:fldCharType="end"/>
      </w:r>
      <w:r>
        <w:rPr>
          <w:rFonts w:hint="eastAsia"/>
          <w:lang w:val="en-US" w:eastAsia="zh-CN"/>
        </w:rPr>
        <w:t xml:space="preserve">  </w:t>
      </w:r>
      <w:r>
        <w:t>地下水评价工作等级分级表</w:t>
      </w:r>
    </w:p>
    <w:tbl>
      <w:tblPr>
        <w:tblStyle w:val="31"/>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977"/>
        <w:gridCol w:w="2153"/>
        <w:gridCol w:w="2001"/>
        <w:gridCol w:w="2391"/>
      </w:tblGrid>
      <w:tr w14:paraId="583297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trPr>
        <w:tc>
          <w:tcPr>
            <w:tcW w:w="1160" w:type="pct"/>
            <w:tcBorders>
              <w:tl2br w:val="single" w:color="auto" w:sz="6" w:space="0"/>
            </w:tcBorders>
            <w:vAlign w:val="center"/>
          </w:tcPr>
          <w:p w14:paraId="4A0182FD">
            <w:pPr>
              <w:pStyle w:val="182"/>
              <w:bidi w:val="0"/>
              <w:jc w:val="right"/>
              <w:rPr>
                <w:b/>
                <w:bCs/>
                <w:color w:val="auto"/>
              </w:rPr>
            </w:pPr>
            <w:r>
              <w:rPr>
                <w:b/>
                <w:bCs/>
                <w:color w:val="auto"/>
              </w:rPr>
              <w:t>项目类别</w:t>
            </w:r>
          </w:p>
          <w:p w14:paraId="62C0D711">
            <w:pPr>
              <w:pStyle w:val="182"/>
              <w:bidi w:val="0"/>
              <w:jc w:val="left"/>
              <w:rPr>
                <w:b/>
                <w:bCs/>
                <w:color w:val="auto"/>
              </w:rPr>
            </w:pPr>
            <w:r>
              <w:rPr>
                <w:b/>
                <w:bCs/>
                <w:color w:val="auto"/>
              </w:rPr>
              <w:t>敏感程度</w:t>
            </w:r>
          </w:p>
        </w:tc>
        <w:tc>
          <w:tcPr>
            <w:tcW w:w="1263" w:type="pct"/>
            <w:vAlign w:val="center"/>
          </w:tcPr>
          <w:p w14:paraId="7AD5B552">
            <w:pPr>
              <w:pStyle w:val="182"/>
              <w:bidi w:val="0"/>
              <w:rPr>
                <w:b/>
                <w:bCs/>
                <w:color w:val="auto"/>
              </w:rPr>
            </w:pPr>
            <w:r>
              <w:rPr>
                <w:b/>
                <w:bCs/>
                <w:color w:val="auto"/>
              </w:rPr>
              <w:t>I 类项目</w:t>
            </w:r>
          </w:p>
        </w:tc>
        <w:tc>
          <w:tcPr>
            <w:tcW w:w="1174" w:type="pct"/>
            <w:vAlign w:val="center"/>
          </w:tcPr>
          <w:p w14:paraId="6998571A">
            <w:pPr>
              <w:pStyle w:val="182"/>
              <w:bidi w:val="0"/>
              <w:rPr>
                <w:b/>
                <w:bCs/>
                <w:color w:val="auto"/>
              </w:rPr>
            </w:pPr>
            <w:r>
              <w:rPr>
                <w:rFonts w:hint="eastAsia"/>
                <w:b/>
                <w:bCs/>
                <w:color w:val="auto"/>
                <w:lang w:eastAsia="zh-CN"/>
              </w:rPr>
              <w:t>Ⅱ类</w:t>
            </w:r>
            <w:r>
              <w:rPr>
                <w:b/>
                <w:bCs/>
                <w:color w:val="auto"/>
              </w:rPr>
              <w:t>项目</w:t>
            </w:r>
          </w:p>
        </w:tc>
        <w:tc>
          <w:tcPr>
            <w:tcW w:w="1403" w:type="pct"/>
            <w:vAlign w:val="center"/>
          </w:tcPr>
          <w:p w14:paraId="65AC1680">
            <w:pPr>
              <w:pStyle w:val="182"/>
              <w:bidi w:val="0"/>
              <w:rPr>
                <w:b/>
                <w:bCs/>
                <w:color w:val="auto"/>
              </w:rPr>
            </w:pPr>
            <w:r>
              <w:rPr>
                <w:b/>
                <w:bCs/>
                <w:color w:val="auto"/>
              </w:rPr>
              <w:t>III类项目</w:t>
            </w:r>
          </w:p>
        </w:tc>
      </w:tr>
      <w:tr w14:paraId="08470E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trPr>
        <w:tc>
          <w:tcPr>
            <w:tcW w:w="1160" w:type="pct"/>
            <w:vAlign w:val="center"/>
          </w:tcPr>
          <w:p w14:paraId="5636F01B">
            <w:pPr>
              <w:pStyle w:val="182"/>
              <w:bidi w:val="0"/>
              <w:rPr>
                <w:color w:val="auto"/>
              </w:rPr>
            </w:pPr>
            <w:r>
              <w:rPr>
                <w:color w:val="auto"/>
              </w:rPr>
              <w:t>敏感</w:t>
            </w:r>
          </w:p>
        </w:tc>
        <w:tc>
          <w:tcPr>
            <w:tcW w:w="1263" w:type="pct"/>
            <w:vAlign w:val="center"/>
          </w:tcPr>
          <w:p w14:paraId="1E4A1BCE">
            <w:pPr>
              <w:pStyle w:val="182"/>
              <w:bidi w:val="0"/>
              <w:rPr>
                <w:color w:val="auto"/>
              </w:rPr>
            </w:pPr>
            <w:r>
              <w:rPr>
                <w:color w:val="auto"/>
              </w:rPr>
              <w:t>一</w:t>
            </w:r>
          </w:p>
        </w:tc>
        <w:tc>
          <w:tcPr>
            <w:tcW w:w="1174" w:type="pct"/>
            <w:vAlign w:val="center"/>
          </w:tcPr>
          <w:p w14:paraId="0EF8FB30">
            <w:pPr>
              <w:pStyle w:val="182"/>
              <w:bidi w:val="0"/>
              <w:rPr>
                <w:color w:val="auto"/>
              </w:rPr>
            </w:pPr>
            <w:r>
              <w:rPr>
                <w:color w:val="auto"/>
              </w:rPr>
              <w:t>一</w:t>
            </w:r>
          </w:p>
        </w:tc>
        <w:tc>
          <w:tcPr>
            <w:tcW w:w="1403" w:type="pct"/>
            <w:vAlign w:val="center"/>
          </w:tcPr>
          <w:p w14:paraId="51B85B57">
            <w:pPr>
              <w:pStyle w:val="182"/>
              <w:bidi w:val="0"/>
              <w:rPr>
                <w:color w:val="auto"/>
              </w:rPr>
            </w:pPr>
            <w:r>
              <w:rPr>
                <w:color w:val="auto"/>
              </w:rPr>
              <w:t>二</w:t>
            </w:r>
          </w:p>
        </w:tc>
      </w:tr>
      <w:tr w14:paraId="406646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trPr>
        <w:tc>
          <w:tcPr>
            <w:tcW w:w="1160" w:type="pct"/>
            <w:vAlign w:val="center"/>
          </w:tcPr>
          <w:p w14:paraId="3816C610">
            <w:pPr>
              <w:pStyle w:val="182"/>
              <w:bidi w:val="0"/>
              <w:rPr>
                <w:color w:val="auto"/>
              </w:rPr>
            </w:pPr>
            <w:r>
              <w:rPr>
                <w:color w:val="auto"/>
              </w:rPr>
              <w:t>较敏感</w:t>
            </w:r>
          </w:p>
        </w:tc>
        <w:tc>
          <w:tcPr>
            <w:tcW w:w="1263" w:type="pct"/>
            <w:vAlign w:val="center"/>
          </w:tcPr>
          <w:p w14:paraId="029EB6EB">
            <w:pPr>
              <w:pStyle w:val="182"/>
              <w:bidi w:val="0"/>
              <w:rPr>
                <w:color w:val="auto"/>
              </w:rPr>
            </w:pPr>
            <w:r>
              <w:rPr>
                <w:color w:val="auto"/>
              </w:rPr>
              <w:t>一</w:t>
            </w:r>
          </w:p>
        </w:tc>
        <w:tc>
          <w:tcPr>
            <w:tcW w:w="1174" w:type="pct"/>
            <w:vAlign w:val="center"/>
          </w:tcPr>
          <w:p w14:paraId="04460535">
            <w:pPr>
              <w:pStyle w:val="182"/>
              <w:bidi w:val="0"/>
              <w:rPr>
                <w:color w:val="auto"/>
              </w:rPr>
            </w:pPr>
            <w:r>
              <w:rPr>
                <w:color w:val="auto"/>
              </w:rPr>
              <w:t>二</w:t>
            </w:r>
          </w:p>
        </w:tc>
        <w:tc>
          <w:tcPr>
            <w:tcW w:w="1403" w:type="pct"/>
            <w:vAlign w:val="center"/>
          </w:tcPr>
          <w:p w14:paraId="7EB7ACF2">
            <w:pPr>
              <w:pStyle w:val="182"/>
              <w:bidi w:val="0"/>
              <w:rPr>
                <w:color w:val="auto"/>
              </w:rPr>
            </w:pPr>
            <w:r>
              <w:rPr>
                <w:color w:val="auto"/>
              </w:rPr>
              <w:t>三</w:t>
            </w:r>
          </w:p>
        </w:tc>
      </w:tr>
      <w:tr w14:paraId="4A6E1E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trPr>
        <w:tc>
          <w:tcPr>
            <w:tcW w:w="1160" w:type="pct"/>
            <w:vAlign w:val="center"/>
          </w:tcPr>
          <w:p w14:paraId="03848FAC">
            <w:pPr>
              <w:pStyle w:val="182"/>
              <w:bidi w:val="0"/>
              <w:rPr>
                <w:color w:val="auto"/>
              </w:rPr>
            </w:pPr>
            <w:r>
              <w:rPr>
                <w:color w:val="auto"/>
              </w:rPr>
              <w:t>不敏感</w:t>
            </w:r>
          </w:p>
        </w:tc>
        <w:tc>
          <w:tcPr>
            <w:tcW w:w="1263" w:type="pct"/>
            <w:vAlign w:val="center"/>
          </w:tcPr>
          <w:p w14:paraId="5AC2126B">
            <w:pPr>
              <w:pStyle w:val="182"/>
              <w:bidi w:val="0"/>
              <w:rPr>
                <w:color w:val="auto"/>
              </w:rPr>
            </w:pPr>
            <w:r>
              <w:rPr>
                <w:color w:val="auto"/>
              </w:rPr>
              <w:t>二</w:t>
            </w:r>
          </w:p>
        </w:tc>
        <w:tc>
          <w:tcPr>
            <w:tcW w:w="1174" w:type="pct"/>
            <w:vAlign w:val="center"/>
          </w:tcPr>
          <w:p w14:paraId="6F288FAE">
            <w:pPr>
              <w:pStyle w:val="182"/>
              <w:bidi w:val="0"/>
              <w:rPr>
                <w:color w:val="auto"/>
              </w:rPr>
            </w:pPr>
            <w:r>
              <w:rPr>
                <w:color w:val="auto"/>
              </w:rPr>
              <w:t>三</w:t>
            </w:r>
          </w:p>
        </w:tc>
        <w:tc>
          <w:tcPr>
            <w:tcW w:w="1403" w:type="pct"/>
            <w:vAlign w:val="center"/>
          </w:tcPr>
          <w:p w14:paraId="45EFEC99">
            <w:pPr>
              <w:pStyle w:val="182"/>
              <w:bidi w:val="0"/>
              <w:rPr>
                <w:color w:val="auto"/>
              </w:rPr>
            </w:pPr>
            <w:r>
              <w:rPr>
                <w:color w:val="auto"/>
                <w:highlight w:val="none"/>
              </w:rPr>
              <w:t>三</w:t>
            </w:r>
          </w:p>
        </w:tc>
      </w:tr>
    </w:tbl>
    <w:p w14:paraId="59F1797D">
      <w:pPr>
        <w:pStyle w:val="5"/>
        <w:bidi w:val="0"/>
        <w:rPr>
          <w:color w:val="auto"/>
        </w:rPr>
      </w:pPr>
      <w:r>
        <w:rPr>
          <w:color w:val="auto"/>
        </w:rPr>
        <w:t>声环境评价工作等级</w:t>
      </w:r>
    </w:p>
    <w:p w14:paraId="2EF21DE4">
      <w:pPr>
        <w:bidi w:val="0"/>
        <w:rPr>
          <w:rFonts w:hint="eastAsia"/>
          <w:b w:val="0"/>
          <w:bCs w:val="0"/>
          <w:color w:val="auto"/>
          <w:u w:val="none"/>
        </w:rPr>
      </w:pPr>
      <w:r>
        <w:rPr>
          <w:rFonts w:hint="eastAsia"/>
          <w:b w:val="0"/>
          <w:bCs w:val="0"/>
          <w:color w:val="auto"/>
          <w:u w:val="none"/>
        </w:rPr>
        <w:t>本项目</w:t>
      </w:r>
      <w:r>
        <w:rPr>
          <w:rFonts w:hint="eastAsia"/>
          <w:b w:val="0"/>
          <w:bCs w:val="0"/>
          <w:color w:val="auto"/>
          <w:u w:val="none"/>
          <w:lang w:val="en-US" w:eastAsia="zh-CN"/>
        </w:rPr>
        <w:t>在新乡化纤股份有限公司现有新厂区场内建设</w:t>
      </w:r>
      <w:r>
        <w:rPr>
          <w:rFonts w:hint="eastAsia"/>
          <w:b w:val="0"/>
          <w:bCs w:val="0"/>
          <w:color w:val="auto"/>
          <w:u w:val="none"/>
        </w:rPr>
        <w:t>，</w:t>
      </w:r>
      <w:r>
        <w:rPr>
          <w:rFonts w:hint="eastAsia"/>
          <w:b w:val="0"/>
          <w:bCs w:val="0"/>
          <w:color w:val="auto"/>
          <w:u w:val="none"/>
          <w:lang w:val="en-US" w:eastAsia="zh-CN"/>
        </w:rPr>
        <w:t>厂区周围</w:t>
      </w:r>
      <w:r>
        <w:rPr>
          <w:rFonts w:hint="eastAsia"/>
          <w:b w:val="0"/>
          <w:bCs w:val="0"/>
          <w:color w:val="auto"/>
          <w:u w:val="none"/>
        </w:rPr>
        <w:t>无集中居民区，预计项目建设前后受噪声影响人口数量变化小，评价范围内保护目标噪声级增高量小于</w:t>
      </w:r>
      <w:r>
        <w:rPr>
          <w:rFonts w:hint="eastAsia"/>
          <w:b w:val="0"/>
          <w:bCs w:val="0"/>
          <w:color w:val="auto"/>
          <w:u w:val="none"/>
          <w:lang w:val="en-US" w:eastAsia="zh-CN"/>
        </w:rPr>
        <w:t>3</w:t>
      </w:r>
      <w:r>
        <w:rPr>
          <w:rFonts w:hint="eastAsia"/>
          <w:b w:val="0"/>
          <w:bCs w:val="0"/>
          <w:color w:val="auto"/>
          <w:u w:val="none"/>
        </w:rPr>
        <w:t>dB（A）</w:t>
      </w:r>
      <w:r>
        <w:rPr>
          <w:rFonts w:hint="eastAsia"/>
          <w:b w:val="0"/>
          <w:bCs w:val="0"/>
          <w:color w:val="auto"/>
          <w:u w:val="none"/>
          <w:lang w:eastAsia="zh-CN"/>
        </w:rPr>
        <w:t>，</w:t>
      </w:r>
      <w:r>
        <w:rPr>
          <w:rFonts w:hint="eastAsia"/>
          <w:b w:val="0"/>
          <w:bCs w:val="0"/>
          <w:color w:val="auto"/>
          <w:u w:val="none"/>
        </w:rPr>
        <w:t>按照区域环境功能，项目所在地属于环境噪声3类功能区。根据《环境影响评价技术导则 声环境》（HJ2.4-2021）中关于评价工作等级的划分原则，确定本项目声环境评价工作等级为</w:t>
      </w:r>
      <w:r>
        <w:rPr>
          <w:rFonts w:hint="eastAsia"/>
          <w:b w:val="0"/>
          <w:bCs w:val="0"/>
          <w:color w:val="auto"/>
          <w:u w:val="none"/>
          <w:lang w:val="en-US" w:eastAsia="zh-CN"/>
        </w:rPr>
        <w:t>三</w:t>
      </w:r>
      <w:r>
        <w:rPr>
          <w:rFonts w:hint="eastAsia"/>
          <w:b w:val="0"/>
          <w:bCs w:val="0"/>
          <w:color w:val="auto"/>
          <w:u w:val="none"/>
        </w:rPr>
        <w:t>级。</w:t>
      </w:r>
    </w:p>
    <w:p w14:paraId="79620BE3">
      <w:pPr>
        <w:pStyle w:val="10"/>
        <w:bidi w:val="0"/>
        <w:rPr>
          <w:lang w:val="en-US" w:eastAsia="zh-CN"/>
        </w:rPr>
      </w:pPr>
      <w:r>
        <w:t xml:space="preserve">表 </w:t>
      </w:r>
      <w:r>
        <w:fldChar w:fldCharType="begin"/>
      </w:r>
      <w:r>
        <w:instrText xml:space="preserve"> STYLEREF 2 \s </w:instrText>
      </w:r>
      <w:r>
        <w:fldChar w:fldCharType="separate"/>
      </w:r>
      <w:r>
        <w:t>2.5</w:t>
      </w:r>
      <w:r>
        <w:fldChar w:fldCharType="end"/>
      </w:r>
      <w:r>
        <w:rPr>
          <w:rFonts w:hint="eastAsia"/>
          <w:lang w:eastAsia="zh-CN"/>
        </w:rPr>
        <w:t>-</w:t>
      </w:r>
      <w:r>
        <w:fldChar w:fldCharType="begin"/>
      </w:r>
      <w:r>
        <w:instrText xml:space="preserve"> SEQ 表 \* ARABIC \s 2 </w:instrText>
      </w:r>
      <w:r>
        <w:fldChar w:fldCharType="separate"/>
      </w:r>
      <w:r>
        <w:t>7</w:t>
      </w:r>
      <w:r>
        <w:fldChar w:fldCharType="end"/>
      </w:r>
      <w:r>
        <w:rPr>
          <w:rFonts w:hint="eastAsia"/>
          <w:lang w:val="en-US" w:eastAsia="zh-CN"/>
        </w:rPr>
        <w:t xml:space="preserve"> </w:t>
      </w:r>
      <w:r>
        <w:rPr>
          <w:lang w:val="en-US" w:eastAsia="zh-CN"/>
        </w:rPr>
        <w:t>声环境评价等级</w:t>
      </w:r>
    </w:p>
    <w:tbl>
      <w:tblPr>
        <w:tblStyle w:val="31"/>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20"/>
        <w:gridCol w:w="4200"/>
      </w:tblGrid>
      <w:tr w14:paraId="07CECA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535" w:type="pct"/>
            <w:vAlign w:val="center"/>
          </w:tcPr>
          <w:p w14:paraId="3209A46F">
            <w:pPr>
              <w:pStyle w:val="182"/>
              <w:bidi w:val="0"/>
              <w:rPr>
                <w:b/>
                <w:bCs/>
                <w:color w:val="auto"/>
              </w:rPr>
            </w:pPr>
            <w:r>
              <w:rPr>
                <w:b/>
                <w:bCs/>
                <w:color w:val="auto"/>
              </w:rPr>
              <w:t>项目</w:t>
            </w:r>
          </w:p>
        </w:tc>
        <w:tc>
          <w:tcPr>
            <w:tcW w:w="2464" w:type="pct"/>
            <w:vAlign w:val="center"/>
          </w:tcPr>
          <w:p w14:paraId="53338622">
            <w:pPr>
              <w:pStyle w:val="182"/>
              <w:bidi w:val="0"/>
              <w:rPr>
                <w:b/>
                <w:bCs/>
                <w:color w:val="auto"/>
              </w:rPr>
            </w:pPr>
            <w:r>
              <w:rPr>
                <w:b/>
                <w:bCs/>
                <w:color w:val="auto"/>
              </w:rPr>
              <w:t>指标</w:t>
            </w:r>
          </w:p>
        </w:tc>
      </w:tr>
      <w:tr w14:paraId="17149F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35" w:type="pct"/>
            <w:vAlign w:val="center"/>
          </w:tcPr>
          <w:p w14:paraId="4CD1FF80">
            <w:pPr>
              <w:pStyle w:val="182"/>
              <w:bidi w:val="0"/>
              <w:rPr>
                <w:color w:val="auto"/>
              </w:rPr>
            </w:pPr>
            <w:r>
              <w:rPr>
                <w:color w:val="auto"/>
              </w:rPr>
              <w:t>建设项目所在区功能</w:t>
            </w:r>
          </w:p>
        </w:tc>
        <w:tc>
          <w:tcPr>
            <w:tcW w:w="2464" w:type="pct"/>
            <w:vAlign w:val="center"/>
          </w:tcPr>
          <w:p w14:paraId="1F3862B5">
            <w:pPr>
              <w:pStyle w:val="182"/>
              <w:bidi w:val="0"/>
              <w:rPr>
                <w:color w:val="auto"/>
              </w:rPr>
            </w:pPr>
            <w:r>
              <w:rPr>
                <w:rFonts w:hint="eastAsia"/>
                <w:color w:val="auto"/>
              </w:rPr>
              <w:t>3类</w:t>
            </w:r>
          </w:p>
        </w:tc>
      </w:tr>
      <w:tr w14:paraId="79D9A8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35" w:type="pct"/>
            <w:vAlign w:val="center"/>
          </w:tcPr>
          <w:p w14:paraId="439FA307">
            <w:pPr>
              <w:pStyle w:val="182"/>
              <w:bidi w:val="0"/>
              <w:rPr>
                <w:color w:val="auto"/>
              </w:rPr>
            </w:pPr>
            <w:r>
              <w:rPr>
                <w:color w:val="auto"/>
              </w:rPr>
              <w:t>建设前后噪声级增加量</w:t>
            </w:r>
          </w:p>
        </w:tc>
        <w:tc>
          <w:tcPr>
            <w:tcW w:w="2464" w:type="pct"/>
            <w:vAlign w:val="center"/>
          </w:tcPr>
          <w:p w14:paraId="2D4EA6CC">
            <w:pPr>
              <w:pStyle w:val="182"/>
              <w:bidi w:val="0"/>
              <w:rPr>
                <w:color w:val="auto"/>
              </w:rPr>
            </w:pPr>
            <w:r>
              <w:rPr>
                <w:color w:val="auto"/>
              </w:rPr>
              <w:t>预计</w:t>
            </w:r>
            <w:r>
              <w:rPr>
                <w:rFonts w:hint="eastAsia"/>
                <w:color w:val="auto"/>
              </w:rPr>
              <w:t>增加0.</w:t>
            </w:r>
            <w:r>
              <w:rPr>
                <w:rFonts w:hint="eastAsia"/>
                <w:color w:val="auto"/>
                <w:lang w:val="en-US" w:eastAsia="zh-CN"/>
              </w:rPr>
              <w:t>3</w:t>
            </w:r>
            <w:r>
              <w:rPr>
                <w:color w:val="auto"/>
              </w:rPr>
              <w:t>dB（A）</w:t>
            </w:r>
            <w:r>
              <w:rPr>
                <w:rFonts w:hint="eastAsia"/>
                <w:color w:val="auto"/>
              </w:rPr>
              <w:t>，小于</w:t>
            </w:r>
            <w:r>
              <w:rPr>
                <w:color w:val="auto"/>
              </w:rPr>
              <w:t>3dB（A）</w:t>
            </w:r>
          </w:p>
        </w:tc>
      </w:tr>
      <w:tr w14:paraId="5CB9B7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35" w:type="pct"/>
            <w:vAlign w:val="center"/>
          </w:tcPr>
          <w:p w14:paraId="6D91FDE9">
            <w:pPr>
              <w:pStyle w:val="182"/>
              <w:bidi w:val="0"/>
              <w:rPr>
                <w:color w:val="auto"/>
              </w:rPr>
            </w:pPr>
            <w:r>
              <w:rPr>
                <w:color w:val="auto"/>
              </w:rPr>
              <w:t>建设前后受影响人口变化情况</w:t>
            </w:r>
          </w:p>
        </w:tc>
        <w:tc>
          <w:tcPr>
            <w:tcW w:w="2464" w:type="pct"/>
            <w:vAlign w:val="center"/>
          </w:tcPr>
          <w:p w14:paraId="6740E9EE">
            <w:pPr>
              <w:pStyle w:val="182"/>
              <w:bidi w:val="0"/>
              <w:rPr>
                <w:color w:val="auto"/>
              </w:rPr>
            </w:pPr>
            <w:r>
              <w:rPr>
                <w:color w:val="auto"/>
              </w:rPr>
              <w:t>变化不大</w:t>
            </w:r>
          </w:p>
        </w:tc>
      </w:tr>
      <w:tr w14:paraId="1EDAFF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35" w:type="pct"/>
            <w:vAlign w:val="center"/>
          </w:tcPr>
          <w:p w14:paraId="350EACA9">
            <w:pPr>
              <w:pStyle w:val="182"/>
              <w:bidi w:val="0"/>
              <w:rPr>
                <w:color w:val="auto"/>
              </w:rPr>
            </w:pPr>
            <w:r>
              <w:rPr>
                <w:color w:val="auto"/>
              </w:rPr>
              <w:t>评价等级</w:t>
            </w:r>
          </w:p>
        </w:tc>
        <w:tc>
          <w:tcPr>
            <w:tcW w:w="2464" w:type="pct"/>
            <w:vAlign w:val="center"/>
          </w:tcPr>
          <w:p w14:paraId="07F970E5">
            <w:pPr>
              <w:pStyle w:val="182"/>
              <w:bidi w:val="0"/>
              <w:rPr>
                <w:color w:val="auto"/>
              </w:rPr>
            </w:pPr>
            <w:r>
              <w:rPr>
                <w:rFonts w:hint="eastAsia"/>
                <w:color w:val="auto"/>
              </w:rPr>
              <w:t>三级</w:t>
            </w:r>
          </w:p>
        </w:tc>
      </w:tr>
    </w:tbl>
    <w:p w14:paraId="0D536C90">
      <w:pPr>
        <w:pStyle w:val="5"/>
        <w:bidi w:val="0"/>
        <w:rPr>
          <w:color w:val="auto"/>
        </w:rPr>
      </w:pPr>
      <w:bookmarkStart w:id="111" w:name="_TOC_250244"/>
      <w:bookmarkEnd w:id="111"/>
      <w:bookmarkStart w:id="112" w:name="_Toc20862"/>
      <w:bookmarkStart w:id="113" w:name="_Toc20341"/>
      <w:bookmarkStart w:id="114" w:name="_Toc19866"/>
      <w:bookmarkStart w:id="115" w:name="_Toc29319"/>
      <w:bookmarkStart w:id="116" w:name="_Toc4304"/>
      <w:bookmarkStart w:id="117" w:name="_Toc19468"/>
      <w:bookmarkStart w:id="118" w:name="_Toc13076"/>
      <w:bookmarkStart w:id="119" w:name="_Toc2777"/>
      <w:bookmarkStart w:id="120" w:name="_Toc25731"/>
      <w:bookmarkStart w:id="121" w:name="_Toc22982"/>
      <w:r>
        <w:rPr>
          <w:color w:val="auto"/>
        </w:rPr>
        <w:t>土壤环境评价工作等级</w:t>
      </w:r>
    </w:p>
    <w:p w14:paraId="64F73C58">
      <w:pPr>
        <w:bidi w:val="0"/>
        <w:rPr>
          <w:rFonts w:hint="eastAsia"/>
          <w:color w:val="auto"/>
        </w:rPr>
      </w:pPr>
      <w:r>
        <w:rPr>
          <w:rFonts w:hint="eastAsia"/>
          <w:color w:val="auto"/>
        </w:rPr>
        <w:t>本项目属于污染影响型项目，根据《环境影响评价技术导则 土壤环境（试行）》（HJ 964-2018）附录A，本项目属于化学纤维制造业，为Ⅱ类项目。</w:t>
      </w:r>
    </w:p>
    <w:p w14:paraId="79CF141A">
      <w:pPr>
        <w:bidi w:val="0"/>
        <w:rPr>
          <w:rFonts w:hint="eastAsia"/>
          <w:color w:val="auto"/>
        </w:rPr>
      </w:pPr>
      <w:r>
        <w:rPr>
          <w:rFonts w:hint="eastAsia"/>
          <w:color w:val="auto"/>
        </w:rPr>
        <w:t>（1）划分依据</w:t>
      </w:r>
    </w:p>
    <w:p w14:paraId="14BEB0D4">
      <w:pPr>
        <w:bidi w:val="0"/>
        <w:rPr>
          <w:rFonts w:hint="eastAsia"/>
          <w:color w:val="auto"/>
        </w:rPr>
      </w:pPr>
      <w:r>
        <w:rPr>
          <w:rFonts w:hint="eastAsia"/>
          <w:color w:val="auto"/>
        </w:rPr>
        <w:t>①占地规模</w:t>
      </w:r>
    </w:p>
    <w:p w14:paraId="0C0E7DE3">
      <w:pPr>
        <w:bidi w:val="0"/>
        <w:rPr>
          <w:rFonts w:hint="eastAsia"/>
          <w:color w:val="auto"/>
        </w:rPr>
      </w:pPr>
      <w:r>
        <w:rPr>
          <w:rFonts w:hint="eastAsia"/>
          <w:color w:val="auto"/>
        </w:rPr>
        <w:t>根据《环境影响评价技术导则土壤环境（试行）》（HJ964-2018），污染影响型建设项目占地规模分为大型（≥50hm</w:t>
      </w:r>
      <w:r>
        <w:rPr>
          <w:rFonts w:hint="eastAsia"/>
          <w:color w:val="auto"/>
          <w:vertAlign w:val="superscript"/>
        </w:rPr>
        <w:t>2</w:t>
      </w:r>
      <w:r>
        <w:rPr>
          <w:rFonts w:hint="eastAsia"/>
          <w:color w:val="auto"/>
        </w:rPr>
        <w:t>）、中型（5-50hm</w:t>
      </w:r>
      <w:r>
        <w:rPr>
          <w:rFonts w:hint="eastAsia"/>
          <w:color w:val="auto"/>
          <w:vertAlign w:val="superscript"/>
        </w:rPr>
        <w:t>2</w:t>
      </w:r>
      <w:r>
        <w:rPr>
          <w:rFonts w:hint="eastAsia"/>
          <w:color w:val="auto"/>
        </w:rPr>
        <w:t>）、小型（≤5hm</w:t>
      </w:r>
      <w:r>
        <w:rPr>
          <w:rFonts w:hint="eastAsia"/>
          <w:color w:val="auto"/>
          <w:vertAlign w:val="superscript"/>
        </w:rPr>
        <w:t>2</w:t>
      </w:r>
      <w:r>
        <w:rPr>
          <w:rFonts w:hint="eastAsia"/>
          <w:color w:val="auto"/>
        </w:rPr>
        <w:t>），建设项目占地主要为永久占地。本项目占地面积为13000m</w:t>
      </w:r>
      <w:r>
        <w:rPr>
          <w:rFonts w:hint="eastAsia"/>
          <w:color w:val="auto"/>
          <w:vertAlign w:val="superscript"/>
        </w:rPr>
        <w:t>2</w:t>
      </w:r>
      <w:r>
        <w:rPr>
          <w:rFonts w:hint="eastAsia"/>
          <w:color w:val="auto"/>
        </w:rPr>
        <w:t>，即1.3hm</w:t>
      </w:r>
      <w:r>
        <w:rPr>
          <w:rFonts w:hint="eastAsia"/>
          <w:color w:val="auto"/>
          <w:vertAlign w:val="superscript"/>
        </w:rPr>
        <w:t>2</w:t>
      </w:r>
      <w:r>
        <w:rPr>
          <w:rFonts w:hint="eastAsia"/>
          <w:color w:val="auto"/>
        </w:rPr>
        <w:t>，占地规模属于小型。</w:t>
      </w:r>
    </w:p>
    <w:p w14:paraId="2EDA11BB">
      <w:pPr>
        <w:bidi w:val="0"/>
        <w:rPr>
          <w:rFonts w:hint="eastAsia"/>
          <w:color w:val="auto"/>
        </w:rPr>
      </w:pPr>
      <w:r>
        <w:rPr>
          <w:rFonts w:hint="eastAsia"/>
          <w:color w:val="auto"/>
        </w:rPr>
        <w:t>②敏感程度划分</w:t>
      </w:r>
    </w:p>
    <w:p w14:paraId="0BF02208">
      <w:pPr>
        <w:bidi w:val="0"/>
        <w:rPr>
          <w:rFonts w:hint="eastAsia"/>
          <w:color w:val="auto"/>
        </w:rPr>
      </w:pPr>
      <w:r>
        <w:rPr>
          <w:rFonts w:hint="eastAsia"/>
          <w:color w:val="auto"/>
        </w:rPr>
        <w:t>污染影响型项目敏感程度划分见下表。</w:t>
      </w:r>
    </w:p>
    <w:p w14:paraId="36D8041F">
      <w:pPr>
        <w:pStyle w:val="10"/>
        <w:bidi w:val="0"/>
        <w:rPr>
          <w:lang w:val="en-US" w:eastAsia="zh-CN"/>
        </w:rPr>
      </w:pPr>
      <w:r>
        <w:t xml:space="preserve">表 </w:t>
      </w:r>
      <w:r>
        <w:fldChar w:fldCharType="begin"/>
      </w:r>
      <w:r>
        <w:instrText xml:space="preserve"> STYLEREF 2 \s </w:instrText>
      </w:r>
      <w:r>
        <w:fldChar w:fldCharType="separate"/>
      </w:r>
      <w:r>
        <w:t>2.5</w:t>
      </w:r>
      <w:r>
        <w:fldChar w:fldCharType="end"/>
      </w:r>
      <w:r>
        <w:rPr>
          <w:rFonts w:hint="eastAsia"/>
          <w:lang w:eastAsia="zh-CN"/>
        </w:rPr>
        <w:t>-</w:t>
      </w:r>
      <w:r>
        <w:fldChar w:fldCharType="begin"/>
      </w:r>
      <w:r>
        <w:instrText xml:space="preserve"> SEQ 表 \* ARABIC \s 2 </w:instrText>
      </w:r>
      <w:r>
        <w:fldChar w:fldCharType="separate"/>
      </w:r>
      <w:r>
        <w:t>8</w:t>
      </w:r>
      <w:r>
        <w:fldChar w:fldCharType="end"/>
      </w:r>
      <w:r>
        <w:rPr>
          <w:rFonts w:hint="eastAsia"/>
          <w:lang w:val="en-US" w:eastAsia="zh-CN"/>
        </w:rPr>
        <w:t xml:space="preserve"> 污染影响型敏感程度分级表</w:t>
      </w:r>
    </w:p>
    <w:tbl>
      <w:tblPr>
        <w:tblStyle w:val="31"/>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24"/>
        <w:gridCol w:w="6998"/>
      </w:tblGrid>
      <w:tr w14:paraId="0CC268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94" w:type="pct"/>
            <w:noWrap w:val="0"/>
            <w:vAlign w:val="center"/>
          </w:tcPr>
          <w:p w14:paraId="73450D55">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rPr>
            </w:pPr>
            <w:r>
              <w:rPr>
                <w:rFonts w:hint="eastAsia"/>
                <w:b/>
              </w:rPr>
              <w:t>敏感程度</w:t>
            </w:r>
          </w:p>
        </w:tc>
        <w:tc>
          <w:tcPr>
            <w:tcW w:w="4106" w:type="pct"/>
            <w:noWrap w:val="0"/>
            <w:vAlign w:val="center"/>
          </w:tcPr>
          <w:p w14:paraId="01B75536">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rPr>
            </w:pPr>
            <w:r>
              <w:rPr>
                <w:rFonts w:hint="eastAsia"/>
                <w:b/>
              </w:rPr>
              <w:t>判别依据</w:t>
            </w:r>
          </w:p>
        </w:tc>
      </w:tr>
      <w:tr w14:paraId="648DDF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94" w:type="pct"/>
            <w:noWrap w:val="0"/>
            <w:vAlign w:val="center"/>
          </w:tcPr>
          <w:p w14:paraId="1E94480D">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敏感</w:t>
            </w:r>
          </w:p>
        </w:tc>
        <w:tc>
          <w:tcPr>
            <w:tcW w:w="4106" w:type="pct"/>
            <w:noWrap w:val="0"/>
            <w:vAlign w:val="center"/>
          </w:tcPr>
          <w:p w14:paraId="443676F5">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both"/>
              <w:textAlignment w:val="auto"/>
            </w:pPr>
            <w:r>
              <w:rPr>
                <w:rFonts w:hint="eastAsia"/>
              </w:rPr>
              <w:t>建设项目周边存在耕地、园地、牧草地、饮用水水源地及居民区、学校、医院、养老院、疗养院等土壤环境敏感目标的</w:t>
            </w:r>
          </w:p>
        </w:tc>
      </w:tr>
      <w:tr w14:paraId="716619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94" w:type="pct"/>
            <w:noWrap w:val="0"/>
            <w:vAlign w:val="center"/>
          </w:tcPr>
          <w:p w14:paraId="72622BB8">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较敏感</w:t>
            </w:r>
          </w:p>
        </w:tc>
        <w:tc>
          <w:tcPr>
            <w:tcW w:w="4106" w:type="pct"/>
            <w:noWrap w:val="0"/>
            <w:vAlign w:val="center"/>
          </w:tcPr>
          <w:p w14:paraId="37B097B2">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建设项目周边存在其他土壤环境敏感目标的</w:t>
            </w:r>
          </w:p>
        </w:tc>
      </w:tr>
      <w:tr w14:paraId="055E95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94" w:type="pct"/>
            <w:noWrap w:val="0"/>
            <w:vAlign w:val="center"/>
          </w:tcPr>
          <w:p w14:paraId="1074DAB1">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不敏感</w:t>
            </w:r>
          </w:p>
        </w:tc>
        <w:tc>
          <w:tcPr>
            <w:tcW w:w="4106" w:type="pct"/>
            <w:noWrap w:val="0"/>
            <w:vAlign w:val="center"/>
          </w:tcPr>
          <w:p w14:paraId="02C7B8B8">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其他情况</w:t>
            </w:r>
          </w:p>
        </w:tc>
      </w:tr>
    </w:tbl>
    <w:p w14:paraId="01FD4E41">
      <w:pPr>
        <w:bidi w:val="0"/>
        <w:rPr>
          <w:rFonts w:hint="eastAsia"/>
          <w:color w:val="auto"/>
        </w:rPr>
      </w:pPr>
      <w:r>
        <w:rPr>
          <w:rFonts w:hint="eastAsia"/>
          <w:color w:val="auto"/>
        </w:rPr>
        <w:t>项目位于开发区内，根据现场勘查及卫星遥感影像，本项目边界四至500m范围内均为工业用地，无土壤环境敏感目标。因此判定土壤环境敏感程度为不敏感。</w:t>
      </w:r>
    </w:p>
    <w:p w14:paraId="4A085012">
      <w:pPr>
        <w:bidi w:val="0"/>
        <w:rPr>
          <w:rFonts w:hint="eastAsia"/>
          <w:color w:val="auto"/>
        </w:rPr>
      </w:pPr>
      <w:r>
        <w:rPr>
          <w:rFonts w:hint="eastAsia"/>
          <w:color w:val="auto"/>
        </w:rPr>
        <w:t>（2）等级判定</w:t>
      </w:r>
    </w:p>
    <w:p w14:paraId="24766914">
      <w:pPr>
        <w:bidi w:val="0"/>
        <w:rPr>
          <w:rFonts w:hint="eastAsia"/>
          <w:color w:val="auto"/>
        </w:rPr>
      </w:pPr>
      <w:r>
        <w:rPr>
          <w:rFonts w:hint="eastAsia"/>
          <w:color w:val="auto"/>
        </w:rPr>
        <w:t>污染影响评价工作等级划分表见下表。</w:t>
      </w:r>
    </w:p>
    <w:p w14:paraId="7453546E">
      <w:pPr>
        <w:pStyle w:val="10"/>
        <w:bidi w:val="0"/>
        <w:rPr>
          <w:rFonts w:hint="eastAsia"/>
          <w:lang w:val="en-US" w:eastAsia="zh-CN"/>
        </w:rPr>
      </w:pPr>
      <w:r>
        <w:t xml:space="preserve">表 </w:t>
      </w:r>
      <w:r>
        <w:fldChar w:fldCharType="begin"/>
      </w:r>
      <w:r>
        <w:instrText xml:space="preserve"> STYLEREF 2 \s </w:instrText>
      </w:r>
      <w:r>
        <w:fldChar w:fldCharType="separate"/>
      </w:r>
      <w:r>
        <w:t>2.5</w:t>
      </w:r>
      <w:r>
        <w:fldChar w:fldCharType="end"/>
      </w:r>
      <w:r>
        <w:rPr>
          <w:rFonts w:hint="eastAsia"/>
          <w:lang w:eastAsia="zh-CN"/>
        </w:rPr>
        <w:t>-</w:t>
      </w:r>
      <w:r>
        <w:fldChar w:fldCharType="begin"/>
      </w:r>
      <w:r>
        <w:instrText xml:space="preserve"> SEQ 表 \* ARABIC \s 2 </w:instrText>
      </w:r>
      <w:r>
        <w:fldChar w:fldCharType="separate"/>
      </w:r>
      <w:r>
        <w:t>9</w:t>
      </w:r>
      <w:r>
        <w:fldChar w:fldCharType="end"/>
      </w:r>
      <w:r>
        <w:rPr>
          <w:rFonts w:hint="eastAsia"/>
          <w:lang w:val="en-US" w:eastAsia="zh-CN"/>
        </w:rPr>
        <w:t xml:space="preserve"> 污染影响型评价工作等级划分表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948"/>
        <w:gridCol w:w="850"/>
        <w:gridCol w:w="704"/>
        <w:gridCol w:w="707"/>
        <w:gridCol w:w="709"/>
        <w:gridCol w:w="709"/>
        <w:gridCol w:w="711"/>
        <w:gridCol w:w="709"/>
        <w:gridCol w:w="706"/>
        <w:gridCol w:w="769"/>
      </w:tblGrid>
      <w:tr w14:paraId="7B87462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143" w:type="pct"/>
            <w:vMerge w:val="restart"/>
            <w:tcBorders>
              <w:top w:val="single" w:color="auto" w:sz="8" w:space="0"/>
              <w:left w:val="single" w:color="auto" w:sz="8" w:space="0"/>
              <w:bottom w:val="single" w:color="auto" w:sz="6" w:space="0"/>
              <w:right w:val="single" w:color="auto" w:sz="6" w:space="0"/>
            </w:tcBorders>
            <w:vAlign w:val="center"/>
          </w:tcPr>
          <w:p w14:paraId="56610A02">
            <w:pPr>
              <w:pStyle w:val="182"/>
              <w:bidi w:val="0"/>
              <w:rPr>
                <w:b/>
                <w:bCs/>
                <w:color w:val="auto"/>
              </w:rPr>
            </w:pPr>
            <w:r>
              <w:rPr>
                <w:b/>
                <w:bCs/>
                <w:color w:val="auto"/>
              </w:rPr>
              <w:pict>
                <v:shape id="_x0000_s2050" o:spid="_x0000_s2050" o:spt="202" type="#_x0000_t202" style="position:absolute;left:0pt;margin-left:-4.65pt;margin-top:12.1pt;height:26.8pt;width:81.65pt;z-index:251664384;mso-width-relative:page;mso-height-relative:page;" filled="f" stroked="f" coordsize="21600,21600">
                  <v:path/>
                  <v:fill on="f" focussize="0,0"/>
                  <v:stroke on="f" joinstyle="miter"/>
                  <v:imagedata o:title=""/>
                  <o:lock v:ext="edit"/>
                  <v:textbox>
                    <w:txbxContent>
                      <w:p w14:paraId="1DAE06C4">
                        <w:pPr>
                          <w:pStyle w:val="182"/>
                          <w:bidi w:val="0"/>
                        </w:pPr>
                        <w:r>
                          <w:rPr>
                            <w:rFonts w:hint="eastAsia"/>
                          </w:rPr>
                          <w:t>评价工作等级</w:t>
                        </w:r>
                      </w:p>
                    </w:txbxContent>
                  </v:textbox>
                </v:shape>
              </w:pict>
            </w:r>
            <w:r>
              <w:rPr>
                <w:b/>
                <w:bCs/>
                <w:color w:val="auto"/>
              </w:rPr>
              <w:pict>
                <v:shape id="_x0000_s2054" o:spid="_x0000_s2054" o:spt="32" type="#_x0000_t32" style="position:absolute;left:0pt;flip:x y;margin-left:-5.1pt;margin-top:25.4pt;height:24.65pt;width:97.2pt;z-index:251662336;mso-width-relative:page;mso-height-relative:page;" o:connectortype="straight" filled="f" coordsize="21600,21600">
                  <v:path arrowok="t"/>
                  <v:fill on="f" focussize="0,0"/>
                  <v:stroke weight="0.5pt"/>
                  <v:imagedata o:title=""/>
                  <o:lock v:ext="edit"/>
                </v:shape>
              </w:pict>
            </w:r>
            <w:r>
              <w:rPr>
                <w:b/>
                <w:bCs/>
                <w:color w:val="auto"/>
              </w:rPr>
              <w:pict>
                <v:shape id="_x0000_s2176" o:spid="_x0000_s2176" o:spt="32" type="#_x0000_t32" style="position:absolute;left:0pt;margin-left:29.45pt;margin-top:-0.9pt;height:51pt;width:62.4pt;z-index:251661312;mso-width-relative:page;mso-height-relative:page;" o:connectortype="straight" filled="f" coordsize="21600,21600">
                  <v:path arrowok="t"/>
                  <v:fill on="f" focussize="0,0"/>
                  <v:stroke weight="0.5pt"/>
                  <v:imagedata o:title=""/>
                  <o:lock v:ext="edit"/>
                </v:shape>
              </w:pict>
            </w:r>
            <w:r>
              <w:rPr>
                <w:b/>
                <w:bCs/>
                <w:color w:val="auto"/>
              </w:rPr>
              <w:pict>
                <v:shape id="_x0000_s2296" o:spid="_x0000_s2296" o:spt="202" type="#_x0000_t202" style="position:absolute;left:0pt;margin-left:-9.95pt;margin-top:29.5pt;height:20.7pt;width:61.1pt;z-index:251665408;mso-width-relative:page;mso-height-relative:page;" filled="f" stroked="f" coordsize="21600,21600">
                  <v:path/>
                  <v:fill on="f" focussize="0,0"/>
                  <v:stroke on="f" joinstyle="miter"/>
                  <v:imagedata o:title=""/>
                  <o:lock v:ext="edit"/>
                  <v:textbox>
                    <w:txbxContent>
                      <w:p w14:paraId="5BB25ADC">
                        <w:pPr>
                          <w:pStyle w:val="182"/>
                          <w:bidi w:val="0"/>
                        </w:pPr>
                        <w:r>
                          <w:rPr>
                            <w:rFonts w:hint="eastAsia"/>
                          </w:rPr>
                          <w:t>敏感程度</w:t>
                        </w:r>
                      </w:p>
                    </w:txbxContent>
                  </v:textbox>
                </v:shape>
              </w:pict>
            </w:r>
            <w:r>
              <w:rPr>
                <w:b/>
                <w:bCs/>
                <w:color w:val="auto"/>
              </w:rPr>
              <w:pict>
                <v:shape id="_x0000_s2297" o:spid="_x0000_s2297" o:spt="202" type="#_x0000_t202" style="position:absolute;left:0pt;margin-left:35.2pt;margin-top:-0.05pt;height:20.7pt;width:61.1pt;z-index:251663360;mso-width-relative:page;mso-height-relative:page;" filled="f" stroked="f" coordsize="21600,21600">
                  <v:path/>
                  <v:fill on="f" focussize="0,0"/>
                  <v:stroke on="f" joinstyle="miter"/>
                  <v:imagedata o:title=""/>
                  <o:lock v:ext="edit"/>
                  <v:textbox>
                    <w:txbxContent>
                      <w:p w14:paraId="2D6CF671">
                        <w:pPr>
                          <w:pStyle w:val="182"/>
                          <w:bidi w:val="0"/>
                        </w:pPr>
                        <w:r>
                          <w:rPr>
                            <w:rFonts w:hint="eastAsia"/>
                          </w:rPr>
                          <w:t>占地规模</w:t>
                        </w:r>
                      </w:p>
                    </w:txbxContent>
                  </v:textbox>
                </v:shape>
              </w:pict>
            </w:r>
          </w:p>
        </w:tc>
        <w:tc>
          <w:tcPr>
            <w:tcW w:w="1327" w:type="pct"/>
            <w:gridSpan w:val="3"/>
            <w:tcBorders>
              <w:top w:val="single" w:color="auto" w:sz="8" w:space="0"/>
              <w:left w:val="single" w:color="auto" w:sz="6" w:space="0"/>
              <w:bottom w:val="single" w:color="auto" w:sz="6" w:space="0"/>
              <w:right w:val="single" w:color="auto" w:sz="6" w:space="0"/>
            </w:tcBorders>
            <w:vAlign w:val="center"/>
          </w:tcPr>
          <w:p w14:paraId="07693560">
            <w:pPr>
              <w:pStyle w:val="182"/>
              <w:bidi w:val="0"/>
              <w:rPr>
                <w:b/>
                <w:bCs/>
                <w:color w:val="auto"/>
              </w:rPr>
            </w:pPr>
            <w:r>
              <w:rPr>
                <w:rFonts w:hint="eastAsia"/>
                <w:b/>
                <w:bCs/>
                <w:color w:val="auto"/>
              </w:rPr>
              <w:t>Ⅰ类</w:t>
            </w:r>
          </w:p>
        </w:tc>
        <w:tc>
          <w:tcPr>
            <w:tcW w:w="1249" w:type="pct"/>
            <w:gridSpan w:val="3"/>
            <w:tcBorders>
              <w:top w:val="single" w:color="auto" w:sz="8" w:space="0"/>
              <w:left w:val="single" w:color="auto" w:sz="6" w:space="0"/>
              <w:bottom w:val="single" w:color="auto" w:sz="6" w:space="0"/>
              <w:right w:val="single" w:color="auto" w:sz="6" w:space="0"/>
            </w:tcBorders>
            <w:vAlign w:val="center"/>
          </w:tcPr>
          <w:p w14:paraId="44FEB8E2">
            <w:pPr>
              <w:pStyle w:val="182"/>
              <w:bidi w:val="0"/>
              <w:rPr>
                <w:b/>
                <w:bCs/>
                <w:color w:val="auto"/>
              </w:rPr>
            </w:pPr>
            <w:r>
              <w:rPr>
                <w:rFonts w:hint="eastAsia"/>
                <w:b/>
                <w:bCs/>
                <w:color w:val="auto"/>
              </w:rPr>
              <w:t>Ⅱ类</w:t>
            </w:r>
          </w:p>
        </w:tc>
        <w:tc>
          <w:tcPr>
            <w:tcW w:w="1280" w:type="pct"/>
            <w:gridSpan w:val="3"/>
            <w:tcBorders>
              <w:top w:val="single" w:color="auto" w:sz="8" w:space="0"/>
              <w:left w:val="single" w:color="auto" w:sz="6" w:space="0"/>
              <w:bottom w:val="single" w:color="auto" w:sz="6" w:space="0"/>
              <w:right w:val="single" w:color="auto" w:sz="8" w:space="0"/>
            </w:tcBorders>
            <w:vAlign w:val="center"/>
          </w:tcPr>
          <w:p w14:paraId="436CA090">
            <w:pPr>
              <w:pStyle w:val="182"/>
              <w:bidi w:val="0"/>
              <w:rPr>
                <w:b/>
                <w:bCs/>
                <w:color w:val="auto"/>
              </w:rPr>
            </w:pPr>
            <w:r>
              <w:rPr>
                <w:rFonts w:hint="eastAsia"/>
                <w:b/>
                <w:bCs/>
                <w:color w:val="auto"/>
              </w:rPr>
              <w:t>Ⅲ类</w:t>
            </w:r>
          </w:p>
        </w:tc>
      </w:tr>
      <w:tr w14:paraId="2AFC9E5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0" w:type="auto"/>
            <w:vMerge w:val="continue"/>
            <w:tcBorders>
              <w:top w:val="single" w:color="auto" w:sz="8" w:space="0"/>
              <w:left w:val="single" w:color="auto" w:sz="8" w:space="0"/>
              <w:bottom w:val="single" w:color="auto" w:sz="6" w:space="0"/>
              <w:right w:val="single" w:color="auto" w:sz="6" w:space="0"/>
            </w:tcBorders>
            <w:vAlign w:val="center"/>
          </w:tcPr>
          <w:p w14:paraId="49BBC371">
            <w:pPr>
              <w:pStyle w:val="182"/>
              <w:bidi w:val="0"/>
              <w:rPr>
                <w:b/>
                <w:bCs/>
                <w:color w:val="auto"/>
              </w:rPr>
            </w:pPr>
          </w:p>
        </w:tc>
        <w:tc>
          <w:tcPr>
            <w:tcW w:w="499" w:type="pct"/>
            <w:tcBorders>
              <w:top w:val="single" w:color="auto" w:sz="6" w:space="0"/>
              <w:left w:val="single" w:color="auto" w:sz="6" w:space="0"/>
              <w:bottom w:val="single" w:color="auto" w:sz="6" w:space="0"/>
              <w:right w:val="single" w:color="auto" w:sz="6" w:space="0"/>
            </w:tcBorders>
            <w:vAlign w:val="center"/>
          </w:tcPr>
          <w:p w14:paraId="7529C4EF">
            <w:pPr>
              <w:pStyle w:val="182"/>
              <w:bidi w:val="0"/>
              <w:rPr>
                <w:b/>
                <w:bCs/>
                <w:color w:val="auto"/>
              </w:rPr>
            </w:pPr>
            <w:r>
              <w:rPr>
                <w:rFonts w:hint="eastAsia"/>
                <w:b/>
                <w:bCs/>
                <w:color w:val="auto"/>
              </w:rPr>
              <w:t>大</w:t>
            </w:r>
          </w:p>
        </w:tc>
        <w:tc>
          <w:tcPr>
            <w:tcW w:w="413" w:type="pct"/>
            <w:tcBorders>
              <w:top w:val="single" w:color="auto" w:sz="6" w:space="0"/>
              <w:left w:val="single" w:color="auto" w:sz="6" w:space="0"/>
              <w:bottom w:val="single" w:color="auto" w:sz="6" w:space="0"/>
              <w:right w:val="single" w:color="auto" w:sz="6" w:space="0"/>
            </w:tcBorders>
            <w:vAlign w:val="center"/>
          </w:tcPr>
          <w:p w14:paraId="6F6C0EAA">
            <w:pPr>
              <w:pStyle w:val="182"/>
              <w:bidi w:val="0"/>
              <w:rPr>
                <w:b/>
                <w:bCs/>
                <w:color w:val="auto"/>
              </w:rPr>
            </w:pPr>
            <w:r>
              <w:rPr>
                <w:rFonts w:hint="eastAsia"/>
                <w:b/>
                <w:bCs/>
                <w:color w:val="auto"/>
              </w:rPr>
              <w:t>中</w:t>
            </w:r>
          </w:p>
        </w:tc>
        <w:tc>
          <w:tcPr>
            <w:tcW w:w="415" w:type="pct"/>
            <w:tcBorders>
              <w:top w:val="single" w:color="auto" w:sz="6" w:space="0"/>
              <w:left w:val="single" w:color="auto" w:sz="6" w:space="0"/>
              <w:bottom w:val="single" w:color="auto" w:sz="6" w:space="0"/>
              <w:right w:val="single" w:color="auto" w:sz="6" w:space="0"/>
            </w:tcBorders>
            <w:vAlign w:val="center"/>
          </w:tcPr>
          <w:p w14:paraId="454CEDA5">
            <w:pPr>
              <w:pStyle w:val="182"/>
              <w:bidi w:val="0"/>
              <w:rPr>
                <w:b/>
                <w:bCs/>
                <w:color w:val="auto"/>
              </w:rPr>
            </w:pPr>
            <w:r>
              <w:rPr>
                <w:rFonts w:hint="eastAsia"/>
                <w:b/>
                <w:bCs/>
                <w:color w:val="auto"/>
              </w:rPr>
              <w:t>小</w:t>
            </w:r>
          </w:p>
        </w:tc>
        <w:tc>
          <w:tcPr>
            <w:tcW w:w="416" w:type="pct"/>
            <w:tcBorders>
              <w:top w:val="single" w:color="auto" w:sz="6" w:space="0"/>
              <w:left w:val="single" w:color="auto" w:sz="6" w:space="0"/>
              <w:bottom w:val="single" w:color="auto" w:sz="6" w:space="0"/>
              <w:right w:val="single" w:color="auto" w:sz="6" w:space="0"/>
            </w:tcBorders>
            <w:vAlign w:val="center"/>
          </w:tcPr>
          <w:p w14:paraId="328DDC3C">
            <w:pPr>
              <w:pStyle w:val="182"/>
              <w:bidi w:val="0"/>
              <w:rPr>
                <w:b/>
                <w:bCs/>
                <w:color w:val="auto"/>
              </w:rPr>
            </w:pPr>
            <w:r>
              <w:rPr>
                <w:rFonts w:hint="eastAsia"/>
                <w:b/>
                <w:bCs/>
                <w:color w:val="auto"/>
              </w:rPr>
              <w:t>大</w:t>
            </w:r>
          </w:p>
        </w:tc>
        <w:tc>
          <w:tcPr>
            <w:tcW w:w="416" w:type="pct"/>
            <w:tcBorders>
              <w:top w:val="single" w:color="auto" w:sz="6" w:space="0"/>
              <w:left w:val="single" w:color="auto" w:sz="6" w:space="0"/>
              <w:bottom w:val="single" w:color="auto" w:sz="6" w:space="0"/>
              <w:right w:val="single" w:color="auto" w:sz="6" w:space="0"/>
            </w:tcBorders>
            <w:vAlign w:val="center"/>
          </w:tcPr>
          <w:p w14:paraId="5AA94878">
            <w:pPr>
              <w:pStyle w:val="182"/>
              <w:bidi w:val="0"/>
              <w:rPr>
                <w:b/>
                <w:bCs/>
                <w:color w:val="auto"/>
              </w:rPr>
            </w:pPr>
            <w:r>
              <w:rPr>
                <w:rFonts w:hint="eastAsia"/>
                <w:b/>
                <w:bCs/>
                <w:color w:val="auto"/>
              </w:rPr>
              <w:t>中</w:t>
            </w:r>
          </w:p>
        </w:tc>
        <w:tc>
          <w:tcPr>
            <w:tcW w:w="417" w:type="pct"/>
            <w:tcBorders>
              <w:top w:val="single" w:color="auto" w:sz="6" w:space="0"/>
              <w:left w:val="single" w:color="auto" w:sz="6" w:space="0"/>
              <w:bottom w:val="single" w:color="auto" w:sz="6" w:space="0"/>
              <w:right w:val="single" w:color="auto" w:sz="6" w:space="0"/>
            </w:tcBorders>
            <w:vAlign w:val="center"/>
          </w:tcPr>
          <w:p w14:paraId="393B88F1">
            <w:pPr>
              <w:pStyle w:val="182"/>
              <w:bidi w:val="0"/>
              <w:rPr>
                <w:b/>
                <w:bCs/>
                <w:color w:val="auto"/>
              </w:rPr>
            </w:pPr>
            <w:r>
              <w:rPr>
                <w:rFonts w:hint="eastAsia"/>
                <w:b/>
                <w:bCs/>
                <w:color w:val="auto"/>
              </w:rPr>
              <w:t>小</w:t>
            </w:r>
          </w:p>
        </w:tc>
        <w:tc>
          <w:tcPr>
            <w:tcW w:w="416" w:type="pct"/>
            <w:tcBorders>
              <w:top w:val="single" w:color="auto" w:sz="6" w:space="0"/>
              <w:left w:val="single" w:color="auto" w:sz="6" w:space="0"/>
              <w:bottom w:val="single" w:color="auto" w:sz="6" w:space="0"/>
              <w:right w:val="single" w:color="auto" w:sz="4" w:space="0"/>
            </w:tcBorders>
            <w:vAlign w:val="center"/>
          </w:tcPr>
          <w:p w14:paraId="3ACBE7DE">
            <w:pPr>
              <w:pStyle w:val="182"/>
              <w:bidi w:val="0"/>
              <w:rPr>
                <w:b/>
                <w:bCs/>
                <w:color w:val="auto"/>
              </w:rPr>
            </w:pPr>
            <w:r>
              <w:rPr>
                <w:rFonts w:hint="eastAsia"/>
                <w:b/>
                <w:bCs/>
                <w:color w:val="auto"/>
              </w:rPr>
              <w:t>大</w:t>
            </w:r>
          </w:p>
        </w:tc>
        <w:tc>
          <w:tcPr>
            <w:tcW w:w="414" w:type="pct"/>
            <w:tcBorders>
              <w:top w:val="single" w:color="auto" w:sz="6" w:space="0"/>
              <w:left w:val="single" w:color="auto" w:sz="4" w:space="0"/>
              <w:bottom w:val="single" w:color="auto" w:sz="6" w:space="0"/>
              <w:right w:val="single" w:color="auto" w:sz="4" w:space="0"/>
            </w:tcBorders>
            <w:vAlign w:val="center"/>
          </w:tcPr>
          <w:p w14:paraId="6E2F0757">
            <w:pPr>
              <w:pStyle w:val="182"/>
              <w:bidi w:val="0"/>
              <w:rPr>
                <w:b/>
                <w:bCs/>
                <w:color w:val="auto"/>
              </w:rPr>
            </w:pPr>
            <w:r>
              <w:rPr>
                <w:rFonts w:hint="eastAsia"/>
                <w:b/>
                <w:bCs/>
                <w:color w:val="auto"/>
              </w:rPr>
              <w:t>中</w:t>
            </w:r>
          </w:p>
        </w:tc>
        <w:tc>
          <w:tcPr>
            <w:tcW w:w="450" w:type="pct"/>
            <w:tcBorders>
              <w:top w:val="single" w:color="auto" w:sz="6" w:space="0"/>
              <w:left w:val="single" w:color="auto" w:sz="4" w:space="0"/>
              <w:bottom w:val="single" w:color="auto" w:sz="6" w:space="0"/>
              <w:right w:val="single" w:color="auto" w:sz="8" w:space="0"/>
            </w:tcBorders>
            <w:vAlign w:val="center"/>
          </w:tcPr>
          <w:p w14:paraId="7060DF60">
            <w:pPr>
              <w:pStyle w:val="182"/>
              <w:bidi w:val="0"/>
              <w:rPr>
                <w:b/>
                <w:bCs/>
                <w:color w:val="auto"/>
              </w:rPr>
            </w:pPr>
            <w:r>
              <w:rPr>
                <w:rFonts w:hint="eastAsia"/>
                <w:b/>
                <w:bCs/>
                <w:color w:val="auto"/>
              </w:rPr>
              <w:t>小</w:t>
            </w:r>
          </w:p>
        </w:tc>
      </w:tr>
      <w:tr w14:paraId="3B9877C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143" w:type="pct"/>
            <w:tcBorders>
              <w:top w:val="single" w:color="auto" w:sz="6" w:space="0"/>
              <w:left w:val="single" w:color="auto" w:sz="8" w:space="0"/>
              <w:bottom w:val="single" w:color="auto" w:sz="6" w:space="0"/>
              <w:right w:val="single" w:color="auto" w:sz="6" w:space="0"/>
            </w:tcBorders>
            <w:vAlign w:val="center"/>
          </w:tcPr>
          <w:p w14:paraId="0CC70084">
            <w:pPr>
              <w:pStyle w:val="182"/>
              <w:bidi w:val="0"/>
              <w:rPr>
                <w:color w:val="auto"/>
              </w:rPr>
            </w:pPr>
            <w:r>
              <w:rPr>
                <w:rFonts w:hint="eastAsia"/>
                <w:color w:val="auto"/>
              </w:rPr>
              <w:t>敏感</w:t>
            </w:r>
          </w:p>
        </w:tc>
        <w:tc>
          <w:tcPr>
            <w:tcW w:w="499" w:type="pct"/>
            <w:tcBorders>
              <w:top w:val="single" w:color="auto" w:sz="6" w:space="0"/>
              <w:left w:val="single" w:color="auto" w:sz="6" w:space="0"/>
              <w:bottom w:val="single" w:color="auto" w:sz="6" w:space="0"/>
              <w:right w:val="single" w:color="auto" w:sz="6" w:space="0"/>
            </w:tcBorders>
            <w:vAlign w:val="center"/>
          </w:tcPr>
          <w:p w14:paraId="24938E6E">
            <w:pPr>
              <w:pStyle w:val="182"/>
              <w:bidi w:val="0"/>
              <w:rPr>
                <w:color w:val="auto"/>
              </w:rPr>
            </w:pPr>
            <w:r>
              <w:rPr>
                <w:rFonts w:hint="eastAsia"/>
                <w:color w:val="auto"/>
              </w:rPr>
              <w:t>一级</w:t>
            </w:r>
          </w:p>
        </w:tc>
        <w:tc>
          <w:tcPr>
            <w:tcW w:w="413" w:type="pct"/>
            <w:tcBorders>
              <w:top w:val="single" w:color="auto" w:sz="6" w:space="0"/>
              <w:left w:val="single" w:color="auto" w:sz="6" w:space="0"/>
              <w:bottom w:val="single" w:color="auto" w:sz="6" w:space="0"/>
              <w:right w:val="single" w:color="auto" w:sz="6" w:space="0"/>
            </w:tcBorders>
            <w:vAlign w:val="center"/>
          </w:tcPr>
          <w:p w14:paraId="38ADB5C9">
            <w:pPr>
              <w:pStyle w:val="182"/>
              <w:bidi w:val="0"/>
              <w:rPr>
                <w:color w:val="auto"/>
              </w:rPr>
            </w:pPr>
            <w:r>
              <w:rPr>
                <w:rFonts w:hint="eastAsia"/>
                <w:color w:val="auto"/>
              </w:rPr>
              <w:t>一级</w:t>
            </w:r>
          </w:p>
        </w:tc>
        <w:tc>
          <w:tcPr>
            <w:tcW w:w="415" w:type="pct"/>
            <w:tcBorders>
              <w:top w:val="single" w:color="auto" w:sz="6" w:space="0"/>
              <w:left w:val="single" w:color="auto" w:sz="6" w:space="0"/>
              <w:bottom w:val="single" w:color="auto" w:sz="6" w:space="0"/>
              <w:right w:val="single" w:color="auto" w:sz="6" w:space="0"/>
            </w:tcBorders>
            <w:vAlign w:val="center"/>
          </w:tcPr>
          <w:p w14:paraId="3309FAA8">
            <w:pPr>
              <w:pStyle w:val="182"/>
              <w:bidi w:val="0"/>
              <w:rPr>
                <w:color w:val="auto"/>
              </w:rPr>
            </w:pPr>
            <w:r>
              <w:rPr>
                <w:rFonts w:hint="eastAsia"/>
                <w:color w:val="auto"/>
              </w:rPr>
              <w:t>一级</w:t>
            </w:r>
          </w:p>
        </w:tc>
        <w:tc>
          <w:tcPr>
            <w:tcW w:w="416" w:type="pct"/>
            <w:tcBorders>
              <w:top w:val="single" w:color="auto" w:sz="6" w:space="0"/>
              <w:left w:val="single" w:color="auto" w:sz="6" w:space="0"/>
              <w:bottom w:val="single" w:color="auto" w:sz="6" w:space="0"/>
              <w:right w:val="single" w:color="auto" w:sz="6" w:space="0"/>
            </w:tcBorders>
            <w:vAlign w:val="center"/>
          </w:tcPr>
          <w:p w14:paraId="2851D682">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14:paraId="4EC76CD1">
            <w:pPr>
              <w:pStyle w:val="182"/>
              <w:bidi w:val="0"/>
              <w:rPr>
                <w:color w:val="auto"/>
              </w:rPr>
            </w:pPr>
            <w:r>
              <w:rPr>
                <w:rFonts w:hint="eastAsia"/>
                <w:color w:val="auto"/>
              </w:rPr>
              <w:t>二级</w:t>
            </w:r>
          </w:p>
        </w:tc>
        <w:tc>
          <w:tcPr>
            <w:tcW w:w="417" w:type="pct"/>
            <w:tcBorders>
              <w:top w:val="single" w:color="auto" w:sz="6" w:space="0"/>
              <w:left w:val="single" w:color="auto" w:sz="6" w:space="0"/>
              <w:bottom w:val="single" w:color="auto" w:sz="6" w:space="0"/>
              <w:right w:val="single" w:color="auto" w:sz="6" w:space="0"/>
            </w:tcBorders>
            <w:vAlign w:val="center"/>
          </w:tcPr>
          <w:p w14:paraId="0ECA5DC2">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4" w:space="0"/>
            </w:tcBorders>
            <w:vAlign w:val="center"/>
          </w:tcPr>
          <w:p w14:paraId="09C579DC">
            <w:pPr>
              <w:pStyle w:val="182"/>
              <w:bidi w:val="0"/>
              <w:rPr>
                <w:color w:val="auto"/>
              </w:rPr>
            </w:pPr>
            <w:r>
              <w:rPr>
                <w:rFonts w:hint="eastAsia"/>
                <w:color w:val="auto"/>
              </w:rPr>
              <w:t>三级</w:t>
            </w:r>
          </w:p>
        </w:tc>
        <w:tc>
          <w:tcPr>
            <w:tcW w:w="414" w:type="pct"/>
            <w:tcBorders>
              <w:top w:val="single" w:color="auto" w:sz="6" w:space="0"/>
              <w:left w:val="single" w:color="auto" w:sz="4" w:space="0"/>
              <w:bottom w:val="single" w:color="auto" w:sz="6" w:space="0"/>
              <w:right w:val="single" w:color="auto" w:sz="4" w:space="0"/>
            </w:tcBorders>
            <w:vAlign w:val="center"/>
          </w:tcPr>
          <w:p w14:paraId="2AAED4F5">
            <w:pPr>
              <w:pStyle w:val="182"/>
              <w:bidi w:val="0"/>
              <w:rPr>
                <w:color w:val="auto"/>
              </w:rPr>
            </w:pPr>
            <w:r>
              <w:rPr>
                <w:rFonts w:hint="eastAsia"/>
                <w:color w:val="auto"/>
              </w:rPr>
              <w:t>三级</w:t>
            </w:r>
          </w:p>
        </w:tc>
        <w:tc>
          <w:tcPr>
            <w:tcW w:w="450" w:type="pct"/>
            <w:tcBorders>
              <w:top w:val="single" w:color="auto" w:sz="6" w:space="0"/>
              <w:left w:val="single" w:color="auto" w:sz="4" w:space="0"/>
              <w:bottom w:val="single" w:color="auto" w:sz="6" w:space="0"/>
              <w:right w:val="single" w:color="auto" w:sz="8" w:space="0"/>
            </w:tcBorders>
            <w:vAlign w:val="center"/>
          </w:tcPr>
          <w:p w14:paraId="347F87CE">
            <w:pPr>
              <w:pStyle w:val="182"/>
              <w:bidi w:val="0"/>
              <w:rPr>
                <w:color w:val="auto"/>
              </w:rPr>
            </w:pPr>
            <w:r>
              <w:rPr>
                <w:rFonts w:hint="eastAsia"/>
                <w:color w:val="auto"/>
              </w:rPr>
              <w:t>三级</w:t>
            </w:r>
          </w:p>
        </w:tc>
      </w:tr>
      <w:tr w14:paraId="4AC2046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143" w:type="pct"/>
            <w:tcBorders>
              <w:top w:val="single" w:color="auto" w:sz="6" w:space="0"/>
              <w:left w:val="single" w:color="auto" w:sz="8" w:space="0"/>
              <w:bottom w:val="single" w:color="auto" w:sz="6" w:space="0"/>
              <w:right w:val="single" w:color="auto" w:sz="6" w:space="0"/>
            </w:tcBorders>
            <w:vAlign w:val="center"/>
          </w:tcPr>
          <w:p w14:paraId="45C5EC97">
            <w:pPr>
              <w:pStyle w:val="182"/>
              <w:bidi w:val="0"/>
              <w:rPr>
                <w:color w:val="auto"/>
              </w:rPr>
            </w:pPr>
            <w:r>
              <w:rPr>
                <w:rFonts w:hint="eastAsia"/>
                <w:color w:val="auto"/>
              </w:rPr>
              <w:t>较敏感</w:t>
            </w:r>
          </w:p>
        </w:tc>
        <w:tc>
          <w:tcPr>
            <w:tcW w:w="499" w:type="pct"/>
            <w:tcBorders>
              <w:top w:val="single" w:color="auto" w:sz="6" w:space="0"/>
              <w:left w:val="single" w:color="auto" w:sz="6" w:space="0"/>
              <w:bottom w:val="single" w:color="auto" w:sz="6" w:space="0"/>
              <w:right w:val="single" w:color="auto" w:sz="6" w:space="0"/>
            </w:tcBorders>
            <w:vAlign w:val="center"/>
          </w:tcPr>
          <w:p w14:paraId="701EC75E">
            <w:pPr>
              <w:pStyle w:val="182"/>
              <w:bidi w:val="0"/>
              <w:rPr>
                <w:color w:val="auto"/>
              </w:rPr>
            </w:pPr>
            <w:r>
              <w:rPr>
                <w:rFonts w:hint="eastAsia"/>
                <w:color w:val="auto"/>
              </w:rPr>
              <w:t>一级</w:t>
            </w:r>
          </w:p>
        </w:tc>
        <w:tc>
          <w:tcPr>
            <w:tcW w:w="413" w:type="pct"/>
            <w:tcBorders>
              <w:top w:val="single" w:color="auto" w:sz="6" w:space="0"/>
              <w:left w:val="single" w:color="auto" w:sz="6" w:space="0"/>
              <w:bottom w:val="single" w:color="auto" w:sz="6" w:space="0"/>
              <w:right w:val="single" w:color="auto" w:sz="6" w:space="0"/>
            </w:tcBorders>
            <w:vAlign w:val="center"/>
          </w:tcPr>
          <w:p w14:paraId="476085FB">
            <w:pPr>
              <w:pStyle w:val="182"/>
              <w:bidi w:val="0"/>
              <w:rPr>
                <w:color w:val="auto"/>
              </w:rPr>
            </w:pPr>
            <w:r>
              <w:rPr>
                <w:rFonts w:hint="eastAsia"/>
                <w:color w:val="auto"/>
              </w:rPr>
              <w:t>一级</w:t>
            </w:r>
          </w:p>
        </w:tc>
        <w:tc>
          <w:tcPr>
            <w:tcW w:w="415" w:type="pct"/>
            <w:tcBorders>
              <w:top w:val="single" w:color="auto" w:sz="6" w:space="0"/>
              <w:left w:val="single" w:color="auto" w:sz="6" w:space="0"/>
              <w:bottom w:val="single" w:color="auto" w:sz="6" w:space="0"/>
              <w:right w:val="single" w:color="auto" w:sz="6" w:space="0"/>
            </w:tcBorders>
            <w:vAlign w:val="center"/>
          </w:tcPr>
          <w:p w14:paraId="73FD1E90">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14:paraId="0700611A">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14:paraId="5DCBDF89">
            <w:pPr>
              <w:pStyle w:val="182"/>
              <w:bidi w:val="0"/>
              <w:rPr>
                <w:color w:val="auto"/>
              </w:rPr>
            </w:pPr>
            <w:r>
              <w:rPr>
                <w:rFonts w:hint="eastAsia"/>
                <w:color w:val="auto"/>
              </w:rPr>
              <w:t>二级</w:t>
            </w:r>
          </w:p>
        </w:tc>
        <w:tc>
          <w:tcPr>
            <w:tcW w:w="417" w:type="pct"/>
            <w:tcBorders>
              <w:top w:val="single" w:color="auto" w:sz="6" w:space="0"/>
              <w:left w:val="single" w:color="auto" w:sz="6" w:space="0"/>
              <w:bottom w:val="single" w:color="auto" w:sz="6" w:space="0"/>
              <w:right w:val="single" w:color="auto" w:sz="6" w:space="0"/>
            </w:tcBorders>
            <w:vAlign w:val="center"/>
          </w:tcPr>
          <w:p w14:paraId="7B461BC1">
            <w:pPr>
              <w:pStyle w:val="182"/>
              <w:bidi w:val="0"/>
              <w:rPr>
                <w:color w:val="auto"/>
              </w:rPr>
            </w:pPr>
            <w:r>
              <w:rPr>
                <w:rFonts w:hint="eastAsia"/>
                <w:color w:val="auto"/>
              </w:rPr>
              <w:t>三级</w:t>
            </w:r>
          </w:p>
        </w:tc>
        <w:tc>
          <w:tcPr>
            <w:tcW w:w="416" w:type="pct"/>
            <w:tcBorders>
              <w:top w:val="single" w:color="auto" w:sz="6" w:space="0"/>
              <w:left w:val="single" w:color="auto" w:sz="6" w:space="0"/>
              <w:bottom w:val="single" w:color="auto" w:sz="6" w:space="0"/>
              <w:right w:val="single" w:color="auto" w:sz="4" w:space="0"/>
            </w:tcBorders>
            <w:vAlign w:val="center"/>
          </w:tcPr>
          <w:p w14:paraId="72FFEAC8">
            <w:pPr>
              <w:pStyle w:val="182"/>
              <w:bidi w:val="0"/>
              <w:rPr>
                <w:color w:val="auto"/>
              </w:rPr>
            </w:pPr>
            <w:r>
              <w:rPr>
                <w:rFonts w:hint="eastAsia"/>
                <w:color w:val="auto"/>
              </w:rPr>
              <w:t>三级</w:t>
            </w:r>
          </w:p>
        </w:tc>
        <w:tc>
          <w:tcPr>
            <w:tcW w:w="414" w:type="pct"/>
            <w:tcBorders>
              <w:top w:val="single" w:color="auto" w:sz="6" w:space="0"/>
              <w:left w:val="single" w:color="auto" w:sz="4" w:space="0"/>
              <w:bottom w:val="single" w:color="auto" w:sz="6" w:space="0"/>
              <w:right w:val="single" w:color="auto" w:sz="4" w:space="0"/>
            </w:tcBorders>
            <w:vAlign w:val="center"/>
          </w:tcPr>
          <w:p w14:paraId="5EB68C80">
            <w:pPr>
              <w:pStyle w:val="182"/>
              <w:bidi w:val="0"/>
              <w:rPr>
                <w:color w:val="auto"/>
              </w:rPr>
            </w:pPr>
            <w:r>
              <w:rPr>
                <w:rFonts w:hint="eastAsia"/>
                <w:color w:val="auto"/>
              </w:rPr>
              <w:t>三级</w:t>
            </w:r>
          </w:p>
        </w:tc>
        <w:tc>
          <w:tcPr>
            <w:tcW w:w="450" w:type="pct"/>
            <w:tcBorders>
              <w:top w:val="single" w:color="auto" w:sz="6" w:space="0"/>
              <w:left w:val="single" w:color="auto" w:sz="4" w:space="0"/>
              <w:bottom w:val="single" w:color="auto" w:sz="6" w:space="0"/>
              <w:right w:val="single" w:color="auto" w:sz="8" w:space="0"/>
            </w:tcBorders>
            <w:vAlign w:val="center"/>
          </w:tcPr>
          <w:p w14:paraId="4E30DDD6">
            <w:pPr>
              <w:pStyle w:val="182"/>
              <w:bidi w:val="0"/>
              <w:rPr>
                <w:color w:val="auto"/>
              </w:rPr>
            </w:pPr>
            <w:r>
              <w:rPr>
                <w:color w:val="auto"/>
              </w:rPr>
              <w:t>-</w:t>
            </w:r>
          </w:p>
        </w:tc>
      </w:tr>
      <w:tr w14:paraId="21A7145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143" w:type="pct"/>
            <w:tcBorders>
              <w:top w:val="single" w:color="auto" w:sz="6" w:space="0"/>
              <w:left w:val="single" w:color="auto" w:sz="8" w:space="0"/>
              <w:bottom w:val="single" w:color="auto" w:sz="6" w:space="0"/>
              <w:right w:val="single" w:color="auto" w:sz="6" w:space="0"/>
            </w:tcBorders>
            <w:vAlign w:val="center"/>
          </w:tcPr>
          <w:p w14:paraId="4EC522EF">
            <w:pPr>
              <w:pStyle w:val="182"/>
              <w:bidi w:val="0"/>
              <w:rPr>
                <w:color w:val="auto"/>
              </w:rPr>
            </w:pPr>
            <w:r>
              <w:rPr>
                <w:rFonts w:hint="eastAsia"/>
                <w:color w:val="auto"/>
              </w:rPr>
              <w:t>不敏感</w:t>
            </w:r>
          </w:p>
        </w:tc>
        <w:tc>
          <w:tcPr>
            <w:tcW w:w="499" w:type="pct"/>
            <w:tcBorders>
              <w:top w:val="single" w:color="auto" w:sz="6" w:space="0"/>
              <w:left w:val="single" w:color="auto" w:sz="6" w:space="0"/>
              <w:bottom w:val="single" w:color="auto" w:sz="6" w:space="0"/>
              <w:right w:val="single" w:color="auto" w:sz="6" w:space="0"/>
            </w:tcBorders>
            <w:vAlign w:val="center"/>
          </w:tcPr>
          <w:p w14:paraId="3F6033DD">
            <w:pPr>
              <w:pStyle w:val="182"/>
              <w:bidi w:val="0"/>
              <w:rPr>
                <w:color w:val="auto"/>
              </w:rPr>
            </w:pPr>
            <w:r>
              <w:rPr>
                <w:rFonts w:hint="eastAsia"/>
                <w:color w:val="auto"/>
              </w:rPr>
              <w:t>一级</w:t>
            </w:r>
          </w:p>
        </w:tc>
        <w:tc>
          <w:tcPr>
            <w:tcW w:w="413" w:type="pct"/>
            <w:tcBorders>
              <w:top w:val="single" w:color="auto" w:sz="6" w:space="0"/>
              <w:left w:val="single" w:color="auto" w:sz="6" w:space="0"/>
              <w:bottom w:val="single" w:color="auto" w:sz="6" w:space="0"/>
              <w:right w:val="single" w:color="auto" w:sz="6" w:space="0"/>
            </w:tcBorders>
            <w:vAlign w:val="center"/>
          </w:tcPr>
          <w:p w14:paraId="70F24150">
            <w:pPr>
              <w:pStyle w:val="182"/>
              <w:bidi w:val="0"/>
              <w:rPr>
                <w:color w:val="auto"/>
              </w:rPr>
            </w:pPr>
            <w:r>
              <w:rPr>
                <w:rFonts w:hint="eastAsia"/>
                <w:color w:val="auto"/>
              </w:rPr>
              <w:t>二级</w:t>
            </w:r>
          </w:p>
        </w:tc>
        <w:tc>
          <w:tcPr>
            <w:tcW w:w="415" w:type="pct"/>
            <w:tcBorders>
              <w:top w:val="single" w:color="auto" w:sz="6" w:space="0"/>
              <w:left w:val="single" w:color="auto" w:sz="6" w:space="0"/>
              <w:bottom w:val="single" w:color="auto" w:sz="6" w:space="0"/>
              <w:right w:val="single" w:color="auto" w:sz="6" w:space="0"/>
            </w:tcBorders>
            <w:vAlign w:val="center"/>
          </w:tcPr>
          <w:p w14:paraId="1C6F9199">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14:paraId="7ED91D02">
            <w:pPr>
              <w:pStyle w:val="182"/>
              <w:bidi w:val="0"/>
              <w:rPr>
                <w:color w:val="auto"/>
              </w:rPr>
            </w:pPr>
            <w:r>
              <w:rPr>
                <w:rFonts w:hint="eastAsia"/>
                <w:color w:val="auto"/>
              </w:rPr>
              <w:t>二级</w:t>
            </w:r>
          </w:p>
        </w:tc>
        <w:tc>
          <w:tcPr>
            <w:tcW w:w="416" w:type="pct"/>
            <w:tcBorders>
              <w:top w:val="single" w:color="auto" w:sz="6" w:space="0"/>
              <w:left w:val="single" w:color="auto" w:sz="6" w:space="0"/>
              <w:bottom w:val="single" w:color="auto" w:sz="6" w:space="0"/>
              <w:right w:val="single" w:color="auto" w:sz="6" w:space="0"/>
            </w:tcBorders>
            <w:vAlign w:val="center"/>
          </w:tcPr>
          <w:p w14:paraId="0E0769FA">
            <w:pPr>
              <w:pStyle w:val="182"/>
              <w:bidi w:val="0"/>
              <w:rPr>
                <w:color w:val="auto"/>
              </w:rPr>
            </w:pPr>
            <w:r>
              <w:rPr>
                <w:rFonts w:hint="eastAsia"/>
                <w:color w:val="auto"/>
              </w:rPr>
              <w:t>三级</w:t>
            </w:r>
          </w:p>
        </w:tc>
        <w:tc>
          <w:tcPr>
            <w:tcW w:w="417" w:type="pct"/>
            <w:tcBorders>
              <w:top w:val="single" w:color="auto" w:sz="6" w:space="0"/>
              <w:left w:val="single" w:color="auto" w:sz="6" w:space="0"/>
              <w:bottom w:val="single" w:color="auto" w:sz="6" w:space="0"/>
              <w:right w:val="single" w:color="auto" w:sz="6" w:space="0"/>
            </w:tcBorders>
            <w:vAlign w:val="center"/>
          </w:tcPr>
          <w:p w14:paraId="32EAFC70">
            <w:pPr>
              <w:pStyle w:val="182"/>
              <w:bidi w:val="0"/>
              <w:rPr>
                <w:color w:val="auto"/>
              </w:rPr>
            </w:pPr>
            <w:r>
              <w:rPr>
                <w:rFonts w:hint="eastAsia"/>
                <w:color w:val="auto"/>
              </w:rPr>
              <w:t>三级</w:t>
            </w:r>
          </w:p>
        </w:tc>
        <w:tc>
          <w:tcPr>
            <w:tcW w:w="416" w:type="pct"/>
            <w:tcBorders>
              <w:top w:val="single" w:color="auto" w:sz="6" w:space="0"/>
              <w:left w:val="single" w:color="auto" w:sz="6" w:space="0"/>
              <w:bottom w:val="single" w:color="auto" w:sz="6" w:space="0"/>
              <w:right w:val="single" w:color="auto" w:sz="4" w:space="0"/>
            </w:tcBorders>
            <w:vAlign w:val="center"/>
          </w:tcPr>
          <w:p w14:paraId="205BF354">
            <w:pPr>
              <w:pStyle w:val="182"/>
              <w:bidi w:val="0"/>
              <w:rPr>
                <w:color w:val="auto"/>
              </w:rPr>
            </w:pPr>
            <w:r>
              <w:rPr>
                <w:rFonts w:hint="eastAsia"/>
                <w:color w:val="auto"/>
              </w:rPr>
              <w:t>三级</w:t>
            </w:r>
          </w:p>
        </w:tc>
        <w:tc>
          <w:tcPr>
            <w:tcW w:w="414" w:type="pct"/>
            <w:tcBorders>
              <w:top w:val="single" w:color="auto" w:sz="6" w:space="0"/>
              <w:left w:val="single" w:color="auto" w:sz="4" w:space="0"/>
              <w:bottom w:val="single" w:color="auto" w:sz="6" w:space="0"/>
              <w:right w:val="single" w:color="auto" w:sz="4" w:space="0"/>
            </w:tcBorders>
            <w:vAlign w:val="center"/>
          </w:tcPr>
          <w:p w14:paraId="2173F9F1">
            <w:pPr>
              <w:pStyle w:val="182"/>
              <w:bidi w:val="0"/>
              <w:rPr>
                <w:color w:val="auto"/>
              </w:rPr>
            </w:pPr>
            <w:r>
              <w:rPr>
                <w:color w:val="auto"/>
              </w:rPr>
              <w:t>-</w:t>
            </w:r>
          </w:p>
        </w:tc>
        <w:tc>
          <w:tcPr>
            <w:tcW w:w="450" w:type="pct"/>
            <w:tcBorders>
              <w:top w:val="single" w:color="auto" w:sz="6" w:space="0"/>
              <w:left w:val="single" w:color="auto" w:sz="4" w:space="0"/>
              <w:bottom w:val="single" w:color="auto" w:sz="6" w:space="0"/>
              <w:right w:val="single" w:color="auto" w:sz="8" w:space="0"/>
            </w:tcBorders>
            <w:vAlign w:val="center"/>
          </w:tcPr>
          <w:p w14:paraId="1C8A26D9">
            <w:pPr>
              <w:pStyle w:val="182"/>
              <w:bidi w:val="0"/>
              <w:rPr>
                <w:color w:val="auto"/>
              </w:rPr>
            </w:pPr>
            <w:r>
              <w:rPr>
                <w:color w:val="auto"/>
              </w:rPr>
              <w:t>-</w:t>
            </w:r>
          </w:p>
        </w:tc>
      </w:tr>
      <w:tr w14:paraId="7EC0E7F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5000" w:type="pct"/>
            <w:gridSpan w:val="10"/>
            <w:tcBorders>
              <w:top w:val="single" w:color="auto" w:sz="6" w:space="0"/>
              <w:left w:val="single" w:color="auto" w:sz="8" w:space="0"/>
              <w:bottom w:val="single" w:color="auto" w:sz="8" w:space="0"/>
              <w:right w:val="single" w:color="auto" w:sz="8" w:space="0"/>
            </w:tcBorders>
            <w:vAlign w:val="center"/>
          </w:tcPr>
          <w:p w14:paraId="64EE9944">
            <w:pPr>
              <w:pStyle w:val="182"/>
              <w:bidi w:val="0"/>
              <w:rPr>
                <w:color w:val="auto"/>
              </w:rPr>
            </w:pPr>
            <w:r>
              <w:rPr>
                <w:rFonts w:hint="eastAsia"/>
                <w:color w:val="auto"/>
              </w:rPr>
              <w:t>注：“</w:t>
            </w:r>
            <w:r>
              <w:rPr>
                <w:color w:val="auto"/>
              </w:rPr>
              <w:t>-</w:t>
            </w:r>
            <w:r>
              <w:rPr>
                <w:rFonts w:hint="eastAsia"/>
                <w:color w:val="auto"/>
              </w:rPr>
              <w:t>”表示可不开展土壤环境影响评价工作。</w:t>
            </w:r>
          </w:p>
        </w:tc>
      </w:tr>
      <w:bookmarkEnd w:id="112"/>
      <w:bookmarkEnd w:id="113"/>
      <w:bookmarkEnd w:id="114"/>
      <w:bookmarkEnd w:id="115"/>
      <w:bookmarkEnd w:id="116"/>
      <w:bookmarkEnd w:id="117"/>
      <w:bookmarkEnd w:id="118"/>
      <w:bookmarkEnd w:id="119"/>
      <w:bookmarkEnd w:id="120"/>
      <w:bookmarkEnd w:id="121"/>
    </w:tbl>
    <w:p w14:paraId="53FB1CE0">
      <w:pPr>
        <w:bidi w:val="0"/>
        <w:rPr>
          <w:rFonts w:hint="eastAsia"/>
          <w:color w:val="auto"/>
        </w:rPr>
      </w:pPr>
      <w:r>
        <w:rPr>
          <w:rFonts w:hint="eastAsia"/>
          <w:color w:val="auto"/>
        </w:rPr>
        <w:t>由上表可知，本项目的评价等级为“三级”，土壤环境评价范围为项目所在新厂区占地范围及厂界外50m范围。</w:t>
      </w:r>
    </w:p>
    <w:p w14:paraId="71705919">
      <w:pPr>
        <w:pStyle w:val="5"/>
        <w:bidi w:val="0"/>
        <w:rPr>
          <w:color w:val="auto"/>
        </w:rPr>
      </w:pPr>
      <w:r>
        <w:rPr>
          <w:color w:val="auto"/>
        </w:rPr>
        <w:t>生态影响评价工作等级及评价范围</w:t>
      </w:r>
    </w:p>
    <w:p w14:paraId="68981181">
      <w:pPr>
        <w:bidi w:val="0"/>
        <w:rPr>
          <w:rFonts w:hint="eastAsia"/>
          <w:color w:val="auto"/>
        </w:rPr>
      </w:pPr>
      <w:r>
        <w:rPr>
          <w:rFonts w:hint="eastAsia"/>
          <w:color w:val="auto"/>
        </w:rPr>
        <w:t>根据《环境影响评价技术导则生态影响》（HJ19-2022）：“6.1.8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14:paraId="2AA6EDCB">
      <w:pPr>
        <w:bidi w:val="0"/>
        <w:rPr>
          <w:rFonts w:hint="eastAsia"/>
          <w:color w:val="auto"/>
        </w:rPr>
      </w:pPr>
      <w:r>
        <w:rPr>
          <w:rFonts w:hint="eastAsia"/>
          <w:color w:val="auto"/>
        </w:rPr>
        <w:t>本项目属化学纤维制造业，为污染型项目。本项目位于新乡经济技术开发区内，开发区规划环评及环境影响跟踪评价报告已获批准，项目符合规划环评提出的准入条件要求。项目评价范围不涉及生态敏感区。</w:t>
      </w:r>
    </w:p>
    <w:p w14:paraId="2D1561C3">
      <w:pPr>
        <w:bidi w:val="0"/>
        <w:rPr>
          <w:color w:val="auto"/>
        </w:rPr>
      </w:pPr>
      <w:r>
        <w:rPr>
          <w:rFonts w:hint="eastAsia"/>
          <w:color w:val="auto"/>
        </w:rPr>
        <w:t>综上，本项目符合《环境影响评价技术导则生态影响》（HJ19-2022）6.1.8条，因此生态影响评价不确定评价等级，直接进行生态影响简单分析。</w:t>
      </w:r>
    </w:p>
    <w:p w14:paraId="01566ABD">
      <w:pPr>
        <w:pStyle w:val="5"/>
        <w:bidi w:val="0"/>
        <w:rPr>
          <w:color w:val="auto"/>
        </w:rPr>
      </w:pPr>
      <w:r>
        <w:rPr>
          <w:color w:val="auto"/>
        </w:rPr>
        <w:t>环境风险评价工作等级</w:t>
      </w:r>
    </w:p>
    <w:p w14:paraId="435A1C74">
      <w:pPr>
        <w:spacing w:line="520" w:lineRule="exact"/>
        <w:ind w:firstLine="482" w:firstLineChars="200"/>
        <w:rPr>
          <w:rFonts w:ascii="Times New Roman" w:hAnsi="Times New Roman"/>
          <w:b/>
          <w:bCs/>
          <w:sz w:val="24"/>
          <w:u w:val="single"/>
          <w:lang w:val="de-DE"/>
        </w:rPr>
      </w:pPr>
      <w:r>
        <w:rPr>
          <w:rFonts w:ascii="Times New Roman" w:hAnsi="Times New Roman"/>
          <w:b/>
          <w:bCs/>
          <w:sz w:val="24"/>
          <w:u w:val="single"/>
          <w:lang w:val="de-DE"/>
        </w:rPr>
        <w:t>根据《建设项目环境风险评价技术导则》（HJ169-2018），环境风险评价级别划分判定标准见下表。</w:t>
      </w:r>
      <w:bookmarkStart w:id="122" w:name="_Toc409016490"/>
      <w:bookmarkStart w:id="123" w:name="_Toc443926411"/>
    </w:p>
    <w:p w14:paraId="606E9CF8">
      <w:pPr>
        <w:pStyle w:val="10"/>
        <w:bidi w:val="0"/>
        <w:rPr>
          <w:rFonts w:hint="eastAsia"/>
          <w:b/>
          <w:bCs/>
          <w:u w:val="single"/>
          <w:lang w:val="en-US" w:eastAsia="zh-CN"/>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2.5</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10</w:t>
      </w:r>
      <w:r>
        <w:rPr>
          <w:b/>
          <w:bCs/>
          <w:u w:val="single"/>
        </w:rPr>
        <w:fldChar w:fldCharType="end"/>
      </w:r>
      <w:r>
        <w:rPr>
          <w:rFonts w:hint="eastAsia"/>
          <w:b/>
          <w:bCs/>
          <w:u w:val="single"/>
          <w:lang w:val="en-US" w:eastAsia="zh-CN"/>
        </w:rPr>
        <w:t xml:space="preserve"> </w:t>
      </w:r>
      <w:r>
        <w:rPr>
          <w:rFonts w:hint="eastAsia"/>
          <w:b/>
          <w:bCs/>
          <w:u w:val="single"/>
        </w:rPr>
        <w:t>环境风险评价工作级别划分标准</w:t>
      </w:r>
    </w:p>
    <w:bookmarkEnd w:id="122"/>
    <w:bookmarkEnd w:id="123"/>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842"/>
        <w:gridCol w:w="1097"/>
        <w:gridCol w:w="1805"/>
        <w:gridCol w:w="2064"/>
        <w:gridCol w:w="1554"/>
      </w:tblGrid>
      <w:tr w14:paraId="6DB11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1102" w:type="pct"/>
            <w:noWrap w:val="0"/>
            <w:vAlign w:val="center"/>
          </w:tcPr>
          <w:p w14:paraId="3A169FA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bCs/>
                <w:u w:val="single"/>
              </w:rPr>
            </w:pPr>
            <w:r>
              <w:rPr>
                <w:rFonts w:hint="eastAsia"/>
                <w:b/>
                <w:bCs/>
                <w:u w:val="single"/>
              </w:rPr>
              <w:t>环境风险潜势</w:t>
            </w:r>
          </w:p>
        </w:tc>
        <w:tc>
          <w:tcPr>
            <w:tcW w:w="656" w:type="pct"/>
            <w:noWrap w:val="0"/>
            <w:vAlign w:val="center"/>
          </w:tcPr>
          <w:p w14:paraId="1D17F1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Ⅳ、Ⅵ</w:t>
            </w:r>
            <w:r>
              <w:rPr>
                <w:rFonts w:hint="eastAsia"/>
                <w:b/>
                <w:bCs/>
                <w:u w:val="single"/>
                <w:vertAlign w:val="superscript"/>
              </w:rPr>
              <w:t>+</w:t>
            </w:r>
          </w:p>
        </w:tc>
        <w:tc>
          <w:tcPr>
            <w:tcW w:w="1079" w:type="pct"/>
            <w:noWrap w:val="0"/>
            <w:vAlign w:val="center"/>
          </w:tcPr>
          <w:p w14:paraId="7E9F87B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Ⅲ</w:t>
            </w:r>
          </w:p>
        </w:tc>
        <w:tc>
          <w:tcPr>
            <w:tcW w:w="1234" w:type="pct"/>
            <w:noWrap w:val="0"/>
            <w:vAlign w:val="center"/>
          </w:tcPr>
          <w:p w14:paraId="147AC85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Ⅱ</w:t>
            </w:r>
          </w:p>
        </w:tc>
        <w:tc>
          <w:tcPr>
            <w:tcW w:w="929" w:type="pct"/>
            <w:noWrap w:val="0"/>
            <w:vAlign w:val="center"/>
          </w:tcPr>
          <w:p w14:paraId="055928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Ⅰ</w:t>
            </w:r>
          </w:p>
        </w:tc>
      </w:tr>
      <w:tr w14:paraId="38789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1102" w:type="pct"/>
            <w:noWrap w:val="0"/>
            <w:vAlign w:val="center"/>
          </w:tcPr>
          <w:p w14:paraId="0CA4AA7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bCs/>
                <w:u w:val="single"/>
              </w:rPr>
            </w:pPr>
            <w:r>
              <w:rPr>
                <w:rFonts w:hint="eastAsia"/>
                <w:b/>
                <w:bCs/>
                <w:u w:val="single"/>
              </w:rPr>
              <w:t>评价工作等级</w:t>
            </w:r>
          </w:p>
        </w:tc>
        <w:tc>
          <w:tcPr>
            <w:tcW w:w="656" w:type="pct"/>
            <w:noWrap w:val="0"/>
            <w:vAlign w:val="center"/>
          </w:tcPr>
          <w:p w14:paraId="24826BE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一</w:t>
            </w:r>
          </w:p>
        </w:tc>
        <w:tc>
          <w:tcPr>
            <w:tcW w:w="1079" w:type="pct"/>
            <w:noWrap w:val="0"/>
            <w:vAlign w:val="center"/>
          </w:tcPr>
          <w:p w14:paraId="214238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二</w:t>
            </w:r>
          </w:p>
        </w:tc>
        <w:tc>
          <w:tcPr>
            <w:tcW w:w="1234" w:type="pct"/>
            <w:noWrap w:val="0"/>
            <w:vAlign w:val="center"/>
          </w:tcPr>
          <w:p w14:paraId="28F8A20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三</w:t>
            </w:r>
          </w:p>
        </w:tc>
        <w:tc>
          <w:tcPr>
            <w:tcW w:w="929" w:type="pct"/>
            <w:noWrap w:val="0"/>
            <w:vAlign w:val="center"/>
          </w:tcPr>
          <w:p w14:paraId="3E51E6E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简单分析</w:t>
            </w:r>
            <w:r>
              <w:rPr>
                <w:b/>
                <w:bCs/>
                <w:u w:val="single"/>
                <w:vertAlign w:val="superscript"/>
              </w:rPr>
              <w:t>a</w:t>
            </w:r>
          </w:p>
        </w:tc>
      </w:tr>
      <w:tr w14:paraId="6DDEB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5000" w:type="pct"/>
            <w:gridSpan w:val="5"/>
            <w:noWrap w:val="0"/>
            <w:vAlign w:val="center"/>
          </w:tcPr>
          <w:p w14:paraId="249475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bCs/>
                <w:u w:val="single"/>
              </w:rPr>
            </w:pPr>
            <w:r>
              <w:rPr>
                <w:b/>
                <w:bCs/>
                <w:u w:val="single"/>
              </w:rPr>
              <w:t>a是相对于详细评价工作内容而言，在描述危险物质、环境影响途径、环境危害后果、风险防范措施等方面给出定性的说明。见附录A。</w:t>
            </w:r>
          </w:p>
        </w:tc>
      </w:tr>
    </w:tbl>
    <w:p w14:paraId="149EA974">
      <w:r>
        <w:rPr>
          <w:rFonts w:ascii="Times New Roman" w:hAnsi="Times New Roman"/>
          <w:b/>
          <w:bCs/>
          <w:kern w:val="0"/>
          <w:sz w:val="24"/>
          <w:szCs w:val="24"/>
          <w:u w:val="single"/>
        </w:rPr>
        <w:t>本项目原辅料浆粕、</w:t>
      </w:r>
      <w:r>
        <w:rPr>
          <w:rFonts w:hint="eastAsia" w:ascii="Times New Roman" w:hAnsi="Times New Roman"/>
          <w:b/>
          <w:bCs/>
          <w:kern w:val="0"/>
          <w:sz w:val="24"/>
          <w:szCs w:val="24"/>
          <w:u w:val="single"/>
          <w:lang w:val="en-US" w:eastAsia="zh-CN"/>
        </w:rPr>
        <w:t>DT溶剂</w:t>
      </w:r>
      <w:r>
        <w:rPr>
          <w:rFonts w:ascii="Times New Roman" w:hAnsi="Times New Roman"/>
          <w:b/>
          <w:bCs/>
          <w:kern w:val="0"/>
          <w:sz w:val="24"/>
          <w:szCs w:val="24"/>
          <w:u w:val="single"/>
        </w:rPr>
        <w:t>不属于风险物质，纺丝油剂储量较小，Q值小于</w:t>
      </w:r>
      <w:r>
        <w:rPr>
          <w:rFonts w:hint="eastAsia" w:ascii="Times New Roman" w:hAnsi="Times New Roman"/>
          <w:b/>
          <w:bCs/>
          <w:kern w:val="0"/>
          <w:sz w:val="24"/>
          <w:szCs w:val="24"/>
          <w:u w:val="single"/>
        </w:rPr>
        <w:t>1</w:t>
      </w:r>
      <w:r>
        <w:rPr>
          <w:rFonts w:ascii="Times New Roman" w:hAnsi="Times New Roman"/>
          <w:b/>
          <w:bCs/>
          <w:kern w:val="0"/>
          <w:sz w:val="24"/>
          <w:szCs w:val="24"/>
          <w:u w:val="single"/>
        </w:rPr>
        <w:t>，</w:t>
      </w:r>
      <w:r>
        <w:rPr>
          <w:rFonts w:ascii="Times New Roman" w:hAnsi="Times New Roman"/>
          <w:b/>
          <w:bCs/>
          <w:sz w:val="24"/>
          <w:szCs w:val="24"/>
          <w:u w:val="single"/>
        </w:rPr>
        <w:t>根据《建设项目环境风险评价技术导则》（HJ169-2018），结合实际情况，判定项目环境风险潜势为Ⅰ，环境风险评价工作等级为简单分析。</w:t>
      </w:r>
    </w:p>
    <w:p w14:paraId="542A7D78">
      <w:pPr>
        <w:pStyle w:val="5"/>
        <w:bidi w:val="0"/>
        <w:rPr>
          <w:lang w:eastAsia="zh-CN"/>
        </w:rPr>
      </w:pPr>
      <w:bookmarkStart w:id="124" w:name="_Toc106552506"/>
      <w:bookmarkStart w:id="125" w:name="_Toc50568031"/>
      <w:bookmarkStart w:id="126" w:name="_Toc447114718"/>
      <w:bookmarkStart w:id="127" w:name="_Toc93785888"/>
      <w:r>
        <w:rPr>
          <w:rFonts w:hint="eastAsia"/>
          <w:lang w:eastAsia="zh-CN"/>
        </w:rPr>
        <w:t>评价范围</w:t>
      </w:r>
      <w:bookmarkEnd w:id="124"/>
    </w:p>
    <w:p w14:paraId="08AA8984">
      <w:pPr>
        <w:bidi w:val="0"/>
        <w:rPr>
          <w:rFonts w:hint="eastAsia"/>
          <w:color w:val="auto"/>
        </w:rPr>
      </w:pPr>
      <w:r>
        <w:rPr>
          <w:rFonts w:hint="eastAsia"/>
          <w:color w:val="auto"/>
        </w:rPr>
        <w:t>根据评价分级结果，结合工程特点及项目所在区域环境特征，确定各单项环境要素评价范围，具体情况见</w:t>
      </w:r>
      <w:r>
        <w:rPr>
          <w:rFonts w:hint="eastAsia"/>
          <w:color w:val="auto"/>
          <w:lang w:val="en-US" w:eastAsia="zh-CN"/>
        </w:rPr>
        <w:t>下</w:t>
      </w:r>
      <w:r>
        <w:rPr>
          <w:rFonts w:hint="eastAsia"/>
          <w:color w:val="auto"/>
        </w:rPr>
        <w:t>表。</w:t>
      </w:r>
    </w:p>
    <w:p w14:paraId="3EE1AA96">
      <w:pPr>
        <w:pStyle w:val="10"/>
        <w:bidi w:val="0"/>
      </w:pPr>
      <w:r>
        <w:t xml:space="preserve">表 </w:t>
      </w:r>
      <w:r>
        <w:fldChar w:fldCharType="begin"/>
      </w:r>
      <w:r>
        <w:instrText xml:space="preserve"> STYLEREF 2 \s </w:instrText>
      </w:r>
      <w:r>
        <w:fldChar w:fldCharType="separate"/>
      </w:r>
      <w:r>
        <w:t>2.5</w:t>
      </w:r>
      <w:r>
        <w:fldChar w:fldCharType="end"/>
      </w:r>
      <w:r>
        <w:rPr>
          <w:rFonts w:hint="eastAsia"/>
          <w:lang w:eastAsia="zh-CN"/>
        </w:rPr>
        <w:t>-</w:t>
      </w:r>
      <w:r>
        <w:fldChar w:fldCharType="begin"/>
      </w:r>
      <w:r>
        <w:instrText xml:space="preserve"> SEQ 表 \* ARABIC \s 2 </w:instrText>
      </w:r>
      <w:r>
        <w:fldChar w:fldCharType="separate"/>
      </w:r>
      <w:r>
        <w:t>11</w:t>
      </w:r>
      <w:r>
        <w:fldChar w:fldCharType="end"/>
      </w:r>
      <w:r>
        <w:t xml:space="preserve">  工程各环境要素的评价范围</w:t>
      </w:r>
    </w:p>
    <w:tbl>
      <w:tblPr>
        <w:tblStyle w:val="31"/>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1494"/>
        <w:gridCol w:w="6352"/>
      </w:tblGrid>
      <w:tr w14:paraId="3D225A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94" w:type="pct"/>
            <w:vAlign w:val="center"/>
          </w:tcPr>
          <w:p w14:paraId="25FCF88C">
            <w:pPr>
              <w:pStyle w:val="182"/>
              <w:bidi w:val="0"/>
              <w:rPr>
                <w:b/>
                <w:bCs/>
                <w:color w:val="auto"/>
              </w:rPr>
            </w:pPr>
            <w:r>
              <w:rPr>
                <w:rFonts w:hint="eastAsia"/>
                <w:b/>
                <w:bCs/>
                <w:color w:val="auto"/>
              </w:rPr>
              <w:t>序号</w:t>
            </w:r>
          </w:p>
        </w:tc>
        <w:tc>
          <w:tcPr>
            <w:tcW w:w="877" w:type="pct"/>
            <w:vAlign w:val="center"/>
          </w:tcPr>
          <w:p w14:paraId="03A63039">
            <w:pPr>
              <w:pStyle w:val="182"/>
              <w:bidi w:val="0"/>
              <w:rPr>
                <w:b/>
                <w:bCs/>
                <w:color w:val="auto"/>
              </w:rPr>
            </w:pPr>
            <w:r>
              <w:rPr>
                <w:rFonts w:hint="eastAsia"/>
                <w:b/>
                <w:bCs/>
                <w:color w:val="auto"/>
              </w:rPr>
              <w:t>评价项目</w:t>
            </w:r>
          </w:p>
        </w:tc>
        <w:tc>
          <w:tcPr>
            <w:tcW w:w="3728" w:type="pct"/>
            <w:vAlign w:val="center"/>
          </w:tcPr>
          <w:p w14:paraId="4235FE04">
            <w:pPr>
              <w:pStyle w:val="182"/>
              <w:bidi w:val="0"/>
              <w:rPr>
                <w:b/>
                <w:bCs/>
                <w:color w:val="auto"/>
              </w:rPr>
            </w:pPr>
            <w:r>
              <w:rPr>
                <w:rFonts w:hint="eastAsia"/>
                <w:b/>
                <w:bCs/>
                <w:color w:val="auto"/>
              </w:rPr>
              <w:t>评价范围</w:t>
            </w:r>
          </w:p>
        </w:tc>
      </w:tr>
      <w:tr w14:paraId="4AC612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14:paraId="0A20E172">
            <w:pPr>
              <w:pStyle w:val="182"/>
              <w:bidi w:val="0"/>
              <w:rPr>
                <w:color w:val="auto"/>
              </w:rPr>
            </w:pPr>
            <w:r>
              <w:rPr>
                <w:rFonts w:hint="eastAsia"/>
                <w:color w:val="auto"/>
              </w:rPr>
              <w:t>1</w:t>
            </w:r>
          </w:p>
        </w:tc>
        <w:tc>
          <w:tcPr>
            <w:tcW w:w="877" w:type="pct"/>
            <w:vAlign w:val="center"/>
          </w:tcPr>
          <w:p w14:paraId="70413E17">
            <w:pPr>
              <w:pStyle w:val="182"/>
              <w:bidi w:val="0"/>
              <w:rPr>
                <w:color w:val="auto"/>
              </w:rPr>
            </w:pPr>
            <w:r>
              <w:rPr>
                <w:rFonts w:hint="eastAsia"/>
                <w:color w:val="auto"/>
              </w:rPr>
              <w:t>地表水环境</w:t>
            </w:r>
          </w:p>
        </w:tc>
        <w:tc>
          <w:tcPr>
            <w:tcW w:w="3728" w:type="pct"/>
            <w:vAlign w:val="center"/>
          </w:tcPr>
          <w:p w14:paraId="46E9F921">
            <w:pPr>
              <w:pStyle w:val="182"/>
              <w:bidi w:val="0"/>
              <w:rPr>
                <w:color w:val="auto"/>
              </w:rPr>
            </w:pPr>
            <w:r>
              <w:rPr>
                <w:rFonts w:hint="eastAsia"/>
                <w:color w:val="auto"/>
              </w:rPr>
              <w:t>小店污水处理厂排水入大沙河至水花堡桥断面</w:t>
            </w:r>
          </w:p>
        </w:tc>
      </w:tr>
      <w:tr w14:paraId="6BB4CA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14:paraId="7FEFAE1F">
            <w:pPr>
              <w:pStyle w:val="182"/>
              <w:bidi w:val="0"/>
              <w:rPr>
                <w:color w:val="auto"/>
              </w:rPr>
            </w:pPr>
            <w:r>
              <w:rPr>
                <w:rFonts w:hint="eastAsia"/>
                <w:color w:val="auto"/>
              </w:rPr>
              <w:t>2</w:t>
            </w:r>
          </w:p>
        </w:tc>
        <w:tc>
          <w:tcPr>
            <w:tcW w:w="877" w:type="pct"/>
            <w:vAlign w:val="center"/>
          </w:tcPr>
          <w:p w14:paraId="06935FD4">
            <w:pPr>
              <w:pStyle w:val="182"/>
              <w:bidi w:val="0"/>
              <w:rPr>
                <w:color w:val="auto"/>
              </w:rPr>
            </w:pPr>
            <w:r>
              <w:rPr>
                <w:rFonts w:hint="eastAsia"/>
                <w:color w:val="auto"/>
              </w:rPr>
              <w:t>环境空气</w:t>
            </w:r>
          </w:p>
        </w:tc>
        <w:tc>
          <w:tcPr>
            <w:tcW w:w="3728" w:type="pct"/>
            <w:vAlign w:val="center"/>
          </w:tcPr>
          <w:p w14:paraId="331E83C7">
            <w:pPr>
              <w:pStyle w:val="182"/>
              <w:bidi w:val="0"/>
              <w:rPr>
                <w:color w:val="auto"/>
              </w:rPr>
            </w:pPr>
            <w:r>
              <w:rPr>
                <w:rFonts w:hint="eastAsia"/>
                <w:color w:val="auto"/>
              </w:rPr>
              <w:t>三级评价项目不需设置大气环境影响评价范围</w:t>
            </w:r>
          </w:p>
        </w:tc>
      </w:tr>
      <w:tr w14:paraId="707EEB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4" w:type="pct"/>
            <w:vAlign w:val="center"/>
          </w:tcPr>
          <w:p w14:paraId="7AAC60C6">
            <w:pPr>
              <w:pStyle w:val="182"/>
              <w:bidi w:val="0"/>
              <w:rPr>
                <w:b/>
                <w:bCs/>
                <w:color w:val="auto"/>
                <w:u w:val="single"/>
              </w:rPr>
            </w:pPr>
            <w:r>
              <w:rPr>
                <w:rFonts w:hint="eastAsia"/>
                <w:b w:val="0"/>
                <w:bCs w:val="0"/>
                <w:color w:val="auto"/>
                <w:u w:val="none"/>
              </w:rPr>
              <w:t>3</w:t>
            </w:r>
          </w:p>
        </w:tc>
        <w:tc>
          <w:tcPr>
            <w:tcW w:w="877" w:type="pct"/>
            <w:vAlign w:val="center"/>
          </w:tcPr>
          <w:p w14:paraId="2A0A00F5">
            <w:pPr>
              <w:pStyle w:val="182"/>
              <w:bidi w:val="0"/>
              <w:rPr>
                <w:b w:val="0"/>
                <w:bCs w:val="0"/>
                <w:color w:val="auto"/>
                <w:u w:val="none"/>
              </w:rPr>
            </w:pPr>
            <w:r>
              <w:rPr>
                <w:rFonts w:hint="eastAsia"/>
                <w:b w:val="0"/>
                <w:bCs w:val="0"/>
                <w:color w:val="auto"/>
                <w:u w:val="none"/>
              </w:rPr>
              <w:t>地下水环境</w:t>
            </w:r>
          </w:p>
        </w:tc>
        <w:tc>
          <w:tcPr>
            <w:tcW w:w="3728" w:type="pct"/>
            <w:vAlign w:val="center"/>
          </w:tcPr>
          <w:p w14:paraId="1CCE72FA">
            <w:pPr>
              <w:pStyle w:val="182"/>
              <w:bidi w:val="0"/>
              <w:rPr>
                <w:rFonts w:hint="eastAsia"/>
                <w:b w:val="0"/>
                <w:bCs w:val="0"/>
                <w:color w:val="auto"/>
                <w:u w:val="none"/>
              </w:rPr>
            </w:pPr>
            <w:r>
              <w:rPr>
                <w:rFonts w:hint="eastAsia"/>
                <w:b w:val="0"/>
                <w:bCs w:val="0"/>
                <w:color w:val="auto"/>
                <w:u w:val="none"/>
              </w:rPr>
              <w:t>项目区域浅层地下水，评价范围为6km</w:t>
            </w:r>
            <w:r>
              <w:rPr>
                <w:rFonts w:hint="eastAsia"/>
                <w:b w:val="0"/>
                <w:bCs w:val="0"/>
                <w:color w:val="auto"/>
                <w:u w:val="none"/>
                <w:vertAlign w:val="superscript"/>
              </w:rPr>
              <w:t>2</w:t>
            </w:r>
            <w:r>
              <w:rPr>
                <w:rFonts w:hint="eastAsia"/>
                <w:b w:val="0"/>
                <w:bCs w:val="0"/>
                <w:color w:val="auto"/>
                <w:u w:val="none"/>
              </w:rPr>
              <w:t>，上游及两侧各1km，</w:t>
            </w:r>
          </w:p>
          <w:p w14:paraId="755A9844">
            <w:pPr>
              <w:pStyle w:val="182"/>
              <w:bidi w:val="0"/>
              <w:rPr>
                <w:b w:val="0"/>
                <w:bCs w:val="0"/>
                <w:color w:val="auto"/>
                <w:u w:val="none"/>
              </w:rPr>
            </w:pPr>
            <w:r>
              <w:rPr>
                <w:rFonts w:hint="eastAsia"/>
                <w:b w:val="0"/>
                <w:bCs w:val="0"/>
                <w:color w:val="auto"/>
                <w:u w:val="none"/>
              </w:rPr>
              <w:t>下游2km</w:t>
            </w:r>
          </w:p>
        </w:tc>
      </w:tr>
      <w:tr w14:paraId="4B6CDD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14:paraId="7A6F3F0B">
            <w:pPr>
              <w:pStyle w:val="182"/>
              <w:bidi w:val="0"/>
              <w:rPr>
                <w:color w:val="auto"/>
              </w:rPr>
            </w:pPr>
            <w:r>
              <w:rPr>
                <w:rFonts w:hint="eastAsia"/>
                <w:color w:val="auto"/>
              </w:rPr>
              <w:t>4</w:t>
            </w:r>
          </w:p>
        </w:tc>
        <w:tc>
          <w:tcPr>
            <w:tcW w:w="877" w:type="pct"/>
            <w:vAlign w:val="center"/>
          </w:tcPr>
          <w:p w14:paraId="726422A2">
            <w:pPr>
              <w:pStyle w:val="182"/>
              <w:bidi w:val="0"/>
              <w:rPr>
                <w:color w:val="auto"/>
              </w:rPr>
            </w:pPr>
            <w:r>
              <w:rPr>
                <w:rFonts w:hint="eastAsia"/>
                <w:color w:val="auto"/>
              </w:rPr>
              <w:t>声环境</w:t>
            </w:r>
          </w:p>
        </w:tc>
        <w:tc>
          <w:tcPr>
            <w:tcW w:w="3728" w:type="pct"/>
            <w:vAlign w:val="center"/>
          </w:tcPr>
          <w:p w14:paraId="04E656A8">
            <w:pPr>
              <w:pStyle w:val="182"/>
              <w:bidi w:val="0"/>
              <w:rPr>
                <w:color w:val="auto"/>
              </w:rPr>
            </w:pPr>
            <w:r>
              <w:rPr>
                <w:rFonts w:hint="eastAsia"/>
                <w:color w:val="auto"/>
              </w:rPr>
              <w:t>厂界外200</w:t>
            </w:r>
            <w:r>
              <w:rPr>
                <w:color w:val="auto"/>
              </w:rPr>
              <w:t xml:space="preserve"> </w:t>
            </w:r>
            <w:r>
              <w:rPr>
                <w:rFonts w:hint="eastAsia"/>
                <w:color w:val="auto"/>
              </w:rPr>
              <w:t>m范围</w:t>
            </w:r>
          </w:p>
        </w:tc>
      </w:tr>
      <w:tr w14:paraId="001C71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14:paraId="02E85C56">
            <w:pPr>
              <w:pStyle w:val="182"/>
              <w:bidi w:val="0"/>
              <w:rPr>
                <w:rFonts w:hint="eastAsia" w:eastAsia="宋体"/>
                <w:color w:val="auto"/>
                <w:lang w:val="en-US" w:eastAsia="zh-CN"/>
              </w:rPr>
            </w:pPr>
            <w:r>
              <w:rPr>
                <w:rFonts w:hint="eastAsia"/>
                <w:color w:val="auto"/>
                <w:lang w:val="en-US" w:eastAsia="zh-CN"/>
              </w:rPr>
              <w:t>5</w:t>
            </w:r>
          </w:p>
        </w:tc>
        <w:tc>
          <w:tcPr>
            <w:tcW w:w="877" w:type="pct"/>
            <w:vAlign w:val="center"/>
          </w:tcPr>
          <w:p w14:paraId="4B7125A8">
            <w:pPr>
              <w:pStyle w:val="182"/>
              <w:bidi w:val="0"/>
              <w:rPr>
                <w:color w:val="auto"/>
              </w:rPr>
            </w:pPr>
            <w:r>
              <w:rPr>
                <w:rFonts w:hint="eastAsia"/>
                <w:color w:val="auto"/>
              </w:rPr>
              <w:t>土壤环境</w:t>
            </w:r>
          </w:p>
        </w:tc>
        <w:tc>
          <w:tcPr>
            <w:tcW w:w="3728" w:type="pct"/>
            <w:vAlign w:val="center"/>
          </w:tcPr>
          <w:p w14:paraId="62677A49">
            <w:pPr>
              <w:pStyle w:val="182"/>
              <w:bidi w:val="0"/>
              <w:rPr>
                <w:color w:val="auto"/>
              </w:rPr>
            </w:pPr>
            <w:r>
              <w:rPr>
                <w:rFonts w:hint="eastAsia"/>
                <w:color w:val="auto"/>
              </w:rPr>
              <w:t>评价范围为占地范围内及占地范围外</w:t>
            </w:r>
            <w:r>
              <w:rPr>
                <w:color w:val="auto"/>
              </w:rPr>
              <w:t xml:space="preserve">50 </w:t>
            </w:r>
            <w:r>
              <w:rPr>
                <w:rFonts w:hint="eastAsia"/>
                <w:color w:val="auto"/>
              </w:rPr>
              <w:t>m范围</w:t>
            </w:r>
          </w:p>
        </w:tc>
      </w:tr>
      <w:tr w14:paraId="31E29D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14:paraId="79CB2E75">
            <w:pPr>
              <w:pStyle w:val="182"/>
              <w:bidi w:val="0"/>
              <w:rPr>
                <w:rFonts w:hint="default"/>
                <w:color w:val="auto"/>
                <w:lang w:val="en-US" w:eastAsia="zh-CN"/>
              </w:rPr>
            </w:pPr>
            <w:r>
              <w:rPr>
                <w:rFonts w:hint="eastAsia"/>
                <w:color w:val="auto"/>
                <w:lang w:val="en-US" w:eastAsia="zh-CN"/>
              </w:rPr>
              <w:t>6</w:t>
            </w:r>
          </w:p>
        </w:tc>
        <w:tc>
          <w:tcPr>
            <w:tcW w:w="877" w:type="pct"/>
            <w:vAlign w:val="center"/>
          </w:tcPr>
          <w:p w14:paraId="7EFC2FBF">
            <w:pPr>
              <w:pStyle w:val="182"/>
              <w:bidi w:val="0"/>
              <w:rPr>
                <w:rFonts w:hint="eastAsia"/>
                <w:color w:val="auto"/>
              </w:rPr>
            </w:pPr>
            <w:r>
              <w:rPr>
                <w:color w:val="auto"/>
              </w:rPr>
              <w:t>生态影响</w:t>
            </w:r>
          </w:p>
        </w:tc>
        <w:tc>
          <w:tcPr>
            <w:tcW w:w="3728" w:type="pct"/>
            <w:vAlign w:val="center"/>
          </w:tcPr>
          <w:p w14:paraId="3FCA4E51">
            <w:pPr>
              <w:pStyle w:val="182"/>
              <w:bidi w:val="0"/>
              <w:rPr>
                <w:rFonts w:hint="default" w:eastAsia="宋体"/>
                <w:color w:val="auto"/>
                <w:lang w:val="en-US" w:eastAsia="zh-CN"/>
              </w:rPr>
            </w:pPr>
            <w:r>
              <w:rPr>
                <w:rFonts w:hint="eastAsia"/>
                <w:color w:val="auto"/>
                <w:lang w:val="en-US" w:eastAsia="zh-CN"/>
              </w:rPr>
              <w:t>简单分析，项目占地范围</w:t>
            </w:r>
          </w:p>
        </w:tc>
      </w:tr>
      <w:tr w14:paraId="5A7FAB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14:paraId="460256AB">
            <w:pPr>
              <w:pStyle w:val="182"/>
              <w:bidi w:val="0"/>
              <w:rPr>
                <w:rFonts w:hint="default"/>
                <w:color w:val="auto"/>
                <w:lang w:val="en-US" w:eastAsia="zh-CN"/>
              </w:rPr>
            </w:pPr>
            <w:r>
              <w:rPr>
                <w:rFonts w:hint="eastAsia"/>
                <w:color w:val="auto"/>
                <w:lang w:val="en-US" w:eastAsia="zh-CN"/>
              </w:rPr>
              <w:t>7</w:t>
            </w:r>
          </w:p>
        </w:tc>
        <w:tc>
          <w:tcPr>
            <w:tcW w:w="877" w:type="pct"/>
            <w:shd w:val="clear" w:color="auto" w:fill="auto"/>
            <w:vAlign w:val="center"/>
          </w:tcPr>
          <w:p w14:paraId="660B5130">
            <w:pPr>
              <w:pStyle w:val="182"/>
              <w:bidi w:val="0"/>
              <w:rPr>
                <w:color w:val="auto"/>
                <w:highlight w:val="none"/>
              </w:rPr>
            </w:pPr>
            <w:r>
              <w:rPr>
                <w:color w:val="auto"/>
                <w:highlight w:val="none"/>
              </w:rPr>
              <w:t>环境风险评价</w:t>
            </w:r>
          </w:p>
        </w:tc>
        <w:tc>
          <w:tcPr>
            <w:tcW w:w="3728" w:type="pct"/>
            <w:shd w:val="clear" w:color="auto" w:fill="auto"/>
            <w:vAlign w:val="center"/>
          </w:tcPr>
          <w:p w14:paraId="3C09137B">
            <w:pPr>
              <w:pStyle w:val="182"/>
              <w:bidi w:val="0"/>
              <w:rPr>
                <w:rFonts w:hint="default"/>
                <w:color w:val="auto"/>
                <w:highlight w:val="none"/>
                <w:lang w:val="en-US" w:eastAsia="zh-CN"/>
              </w:rPr>
            </w:pPr>
            <w:r>
              <w:rPr>
                <w:rFonts w:hint="eastAsia"/>
                <w:color w:val="auto"/>
                <w:highlight w:val="none"/>
                <w:lang w:val="en-US" w:eastAsia="zh-CN"/>
              </w:rPr>
              <w:t>简单分析</w:t>
            </w:r>
          </w:p>
        </w:tc>
      </w:tr>
    </w:tbl>
    <w:p w14:paraId="411BEEA8">
      <w:pPr>
        <w:pStyle w:val="3"/>
        <w:bidi w:val="0"/>
        <w:rPr>
          <w:color w:val="auto"/>
        </w:rPr>
      </w:pPr>
      <w:bookmarkStart w:id="128" w:name="_Toc25730"/>
      <w:r>
        <w:rPr>
          <w:color w:val="auto"/>
        </w:rPr>
        <w:t>环境保护目标</w:t>
      </w:r>
      <w:bookmarkEnd w:id="125"/>
      <w:bookmarkEnd w:id="126"/>
      <w:bookmarkEnd w:id="127"/>
      <w:bookmarkEnd w:id="128"/>
    </w:p>
    <w:p w14:paraId="0723D847">
      <w:pPr>
        <w:bidi w:val="0"/>
        <w:rPr>
          <w:color w:val="auto"/>
        </w:rPr>
      </w:pPr>
      <w:r>
        <w:rPr>
          <w:rFonts w:hint="eastAsia"/>
          <w:color w:val="auto"/>
        </w:rPr>
        <w:t>项目周围环境敏感保护目标与厂址的距离、方位见下表。</w:t>
      </w:r>
    </w:p>
    <w:p w14:paraId="0CB810C7">
      <w:pPr>
        <w:pStyle w:val="10"/>
        <w:bidi w:val="0"/>
        <w:rPr>
          <w:lang w:val="en-US" w:eastAsia="zh-CN"/>
        </w:rPr>
      </w:pPr>
      <w:r>
        <w:t xml:space="preserve">表 </w:t>
      </w:r>
      <w:r>
        <w:fldChar w:fldCharType="begin"/>
      </w:r>
      <w:r>
        <w:instrText xml:space="preserve"> STYLEREF 2 \s </w:instrText>
      </w:r>
      <w:r>
        <w:fldChar w:fldCharType="separate"/>
      </w:r>
      <w:r>
        <w:t>2.6</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lang w:val="en-US" w:eastAsia="zh-CN"/>
        </w:rPr>
        <w:t xml:space="preserve">  评价区域敏感点情况</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617"/>
        <w:gridCol w:w="1616"/>
        <w:gridCol w:w="849"/>
        <w:gridCol w:w="853"/>
        <w:gridCol w:w="989"/>
        <w:gridCol w:w="1137"/>
        <w:gridCol w:w="708"/>
        <w:gridCol w:w="989"/>
        <w:gridCol w:w="764"/>
      </w:tblGrid>
      <w:tr w14:paraId="425BA0D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tblHeader/>
          <w:jc w:val="center"/>
        </w:trPr>
        <w:tc>
          <w:tcPr>
            <w:tcW w:w="362" w:type="pct"/>
            <w:vMerge w:val="restart"/>
            <w:noWrap w:val="0"/>
            <w:vAlign w:val="center"/>
          </w:tcPr>
          <w:p w14:paraId="6A1F56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b/>
              </w:rPr>
              <w:t>序号</w:t>
            </w:r>
          </w:p>
        </w:tc>
        <w:tc>
          <w:tcPr>
            <w:tcW w:w="948" w:type="pct"/>
            <w:vMerge w:val="restart"/>
            <w:noWrap w:val="0"/>
            <w:vAlign w:val="center"/>
          </w:tcPr>
          <w:p w14:paraId="2244D8E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b/>
              </w:rPr>
              <w:t>保护目标</w:t>
            </w:r>
          </w:p>
        </w:tc>
        <w:tc>
          <w:tcPr>
            <w:tcW w:w="998" w:type="pct"/>
            <w:gridSpan w:val="2"/>
            <w:noWrap w:val="0"/>
            <w:vAlign w:val="center"/>
          </w:tcPr>
          <w:p w14:paraId="1E2A64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b/>
              </w:rPr>
              <w:t>相对坐标</w:t>
            </w:r>
          </w:p>
        </w:tc>
        <w:tc>
          <w:tcPr>
            <w:tcW w:w="580" w:type="pct"/>
            <w:vMerge w:val="restart"/>
            <w:tcBorders>
              <w:right w:val="single" w:color="auto" w:sz="4" w:space="0"/>
            </w:tcBorders>
            <w:noWrap w:val="0"/>
            <w:vAlign w:val="center"/>
          </w:tcPr>
          <w:p w14:paraId="16F62D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hint="eastAsia"/>
                <w:b/>
              </w:rPr>
              <w:t>保护</w:t>
            </w:r>
          </w:p>
          <w:p w14:paraId="34BE0E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hint="eastAsia"/>
                <w:b/>
              </w:rPr>
              <w:t>对象</w:t>
            </w:r>
          </w:p>
        </w:tc>
        <w:tc>
          <w:tcPr>
            <w:tcW w:w="666" w:type="pct"/>
            <w:vMerge w:val="restart"/>
            <w:tcBorders>
              <w:left w:val="single" w:color="auto" w:sz="4" w:space="0"/>
              <w:right w:val="single" w:color="auto" w:sz="4" w:space="0"/>
            </w:tcBorders>
            <w:noWrap w:val="0"/>
            <w:vAlign w:val="center"/>
          </w:tcPr>
          <w:p w14:paraId="47B4B51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hint="eastAsia"/>
                <w:b/>
              </w:rPr>
              <w:t>保护</w:t>
            </w:r>
          </w:p>
          <w:p w14:paraId="6E0789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hint="eastAsia"/>
                <w:b/>
              </w:rPr>
              <w:t>内容</w:t>
            </w:r>
          </w:p>
        </w:tc>
        <w:tc>
          <w:tcPr>
            <w:tcW w:w="415" w:type="pct"/>
            <w:vMerge w:val="restart"/>
            <w:tcBorders>
              <w:left w:val="single" w:color="auto" w:sz="4" w:space="0"/>
            </w:tcBorders>
            <w:noWrap w:val="0"/>
            <w:vAlign w:val="center"/>
          </w:tcPr>
          <w:p w14:paraId="1DAADAD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b/>
              </w:rPr>
              <w:t>相对方位</w:t>
            </w:r>
          </w:p>
        </w:tc>
        <w:tc>
          <w:tcPr>
            <w:tcW w:w="580" w:type="pct"/>
            <w:vMerge w:val="restart"/>
            <w:noWrap w:val="0"/>
            <w:vAlign w:val="center"/>
          </w:tcPr>
          <w:p w14:paraId="5DE2C8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hint="eastAsia"/>
                <w:b/>
              </w:rPr>
              <w:t>距项目</w:t>
            </w:r>
            <w:r>
              <w:rPr>
                <w:b/>
              </w:rPr>
              <w:t>距离</w:t>
            </w:r>
            <w:r>
              <w:rPr>
                <w:rFonts w:hint="eastAsia"/>
                <w:b/>
              </w:rPr>
              <w:t>(</w:t>
            </w:r>
            <w:r>
              <w:rPr>
                <w:b/>
              </w:rPr>
              <w:t>m</w:t>
            </w:r>
            <w:r>
              <w:rPr>
                <w:rFonts w:hint="eastAsia"/>
                <w:b/>
              </w:rPr>
              <w:t>)</w:t>
            </w:r>
          </w:p>
        </w:tc>
        <w:tc>
          <w:tcPr>
            <w:tcW w:w="448" w:type="pct"/>
            <w:vMerge w:val="restart"/>
            <w:noWrap w:val="0"/>
            <w:vAlign w:val="center"/>
          </w:tcPr>
          <w:p w14:paraId="55AE45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hint="eastAsia"/>
                <w:b/>
              </w:rPr>
              <w:t>人口</w:t>
            </w:r>
          </w:p>
        </w:tc>
      </w:tr>
      <w:tr w14:paraId="3150666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tblHeader/>
          <w:jc w:val="center"/>
        </w:trPr>
        <w:tc>
          <w:tcPr>
            <w:tcW w:w="362" w:type="pct"/>
            <w:vMerge w:val="continue"/>
            <w:noWrap w:val="0"/>
            <w:vAlign w:val="center"/>
          </w:tcPr>
          <w:p w14:paraId="4EAD99C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948" w:type="pct"/>
            <w:vMerge w:val="continue"/>
            <w:noWrap w:val="0"/>
            <w:vAlign w:val="center"/>
          </w:tcPr>
          <w:p w14:paraId="33A4D4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498" w:type="pct"/>
            <w:noWrap w:val="0"/>
            <w:vAlign w:val="center"/>
          </w:tcPr>
          <w:p w14:paraId="5DDA2F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hint="eastAsia"/>
                <w:b/>
              </w:rPr>
              <w:t>X</w:t>
            </w:r>
          </w:p>
        </w:tc>
        <w:tc>
          <w:tcPr>
            <w:tcW w:w="500" w:type="pct"/>
            <w:noWrap w:val="0"/>
            <w:vAlign w:val="center"/>
          </w:tcPr>
          <w:p w14:paraId="72B2C53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hint="eastAsia"/>
                <w:b/>
              </w:rPr>
              <w:t>Y</w:t>
            </w:r>
          </w:p>
        </w:tc>
        <w:tc>
          <w:tcPr>
            <w:tcW w:w="580" w:type="pct"/>
            <w:vMerge w:val="continue"/>
            <w:tcBorders>
              <w:right w:val="single" w:color="auto" w:sz="4" w:space="0"/>
            </w:tcBorders>
            <w:noWrap w:val="0"/>
            <w:vAlign w:val="center"/>
          </w:tcPr>
          <w:p w14:paraId="1F9798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66" w:type="pct"/>
            <w:vMerge w:val="continue"/>
            <w:tcBorders>
              <w:left w:val="single" w:color="auto" w:sz="4" w:space="0"/>
              <w:right w:val="single" w:color="auto" w:sz="4" w:space="0"/>
            </w:tcBorders>
            <w:noWrap w:val="0"/>
            <w:vAlign w:val="center"/>
          </w:tcPr>
          <w:p w14:paraId="602F700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415" w:type="pct"/>
            <w:vMerge w:val="continue"/>
            <w:tcBorders>
              <w:left w:val="single" w:color="auto" w:sz="4" w:space="0"/>
            </w:tcBorders>
            <w:noWrap w:val="0"/>
            <w:vAlign w:val="center"/>
          </w:tcPr>
          <w:p w14:paraId="3EDB2E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580" w:type="pct"/>
            <w:vMerge w:val="continue"/>
            <w:noWrap w:val="0"/>
            <w:vAlign w:val="center"/>
          </w:tcPr>
          <w:p w14:paraId="2771255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448" w:type="pct"/>
            <w:vMerge w:val="continue"/>
            <w:noWrap w:val="0"/>
            <w:vAlign w:val="center"/>
          </w:tcPr>
          <w:p w14:paraId="6F9CED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r>
      <w:tr w14:paraId="659CACC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0E8EFD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w:t>
            </w:r>
          </w:p>
        </w:tc>
        <w:tc>
          <w:tcPr>
            <w:tcW w:w="948" w:type="pct"/>
            <w:noWrap w:val="0"/>
            <w:vAlign w:val="center"/>
          </w:tcPr>
          <w:p w14:paraId="289C11F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沙门村</w:t>
            </w:r>
          </w:p>
        </w:tc>
        <w:tc>
          <w:tcPr>
            <w:tcW w:w="498" w:type="pct"/>
            <w:noWrap w:val="0"/>
            <w:vAlign w:val="center"/>
          </w:tcPr>
          <w:p w14:paraId="35DFEF9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2859</w:t>
            </w:r>
          </w:p>
        </w:tc>
        <w:tc>
          <w:tcPr>
            <w:tcW w:w="500" w:type="pct"/>
            <w:noWrap w:val="0"/>
            <w:vAlign w:val="center"/>
          </w:tcPr>
          <w:p w14:paraId="7776CD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74</w:t>
            </w:r>
          </w:p>
        </w:tc>
        <w:tc>
          <w:tcPr>
            <w:tcW w:w="580" w:type="pct"/>
            <w:tcBorders>
              <w:right w:val="single" w:color="auto" w:sz="4" w:space="0"/>
            </w:tcBorders>
            <w:noWrap w:val="0"/>
            <w:vAlign w:val="center"/>
          </w:tcPr>
          <w:p w14:paraId="2AAFD0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17336EF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0CC99B8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w:t>
            </w:r>
          </w:p>
        </w:tc>
        <w:tc>
          <w:tcPr>
            <w:tcW w:w="580" w:type="pct"/>
            <w:noWrap w:val="0"/>
            <w:vAlign w:val="center"/>
          </w:tcPr>
          <w:p w14:paraId="0CDB4FA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2820</w:t>
            </w:r>
          </w:p>
        </w:tc>
        <w:tc>
          <w:tcPr>
            <w:tcW w:w="448" w:type="pct"/>
            <w:noWrap w:val="0"/>
            <w:vAlign w:val="center"/>
          </w:tcPr>
          <w:p w14:paraId="1AA2D9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1100</w:t>
            </w:r>
          </w:p>
        </w:tc>
      </w:tr>
      <w:tr w14:paraId="539A2EB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06F764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w:t>
            </w:r>
          </w:p>
        </w:tc>
        <w:tc>
          <w:tcPr>
            <w:tcW w:w="948" w:type="pct"/>
            <w:noWrap w:val="0"/>
            <w:vAlign w:val="center"/>
          </w:tcPr>
          <w:p w14:paraId="4BC8875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大杨庄</w:t>
            </w:r>
          </w:p>
        </w:tc>
        <w:tc>
          <w:tcPr>
            <w:tcW w:w="498" w:type="pct"/>
            <w:noWrap w:val="0"/>
            <w:vAlign w:val="center"/>
          </w:tcPr>
          <w:p w14:paraId="2F8E28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1595</w:t>
            </w:r>
          </w:p>
        </w:tc>
        <w:tc>
          <w:tcPr>
            <w:tcW w:w="500" w:type="pct"/>
            <w:noWrap w:val="0"/>
            <w:vAlign w:val="center"/>
          </w:tcPr>
          <w:p w14:paraId="2D63EA7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-390</w:t>
            </w:r>
          </w:p>
        </w:tc>
        <w:tc>
          <w:tcPr>
            <w:tcW w:w="580" w:type="pct"/>
            <w:tcBorders>
              <w:right w:val="single" w:color="auto" w:sz="4" w:space="0"/>
            </w:tcBorders>
            <w:noWrap w:val="0"/>
            <w:vAlign w:val="center"/>
          </w:tcPr>
          <w:p w14:paraId="1FAF996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762854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392AD8C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东南</w:t>
            </w:r>
          </w:p>
        </w:tc>
        <w:tc>
          <w:tcPr>
            <w:tcW w:w="580" w:type="pct"/>
            <w:noWrap w:val="0"/>
            <w:vAlign w:val="center"/>
          </w:tcPr>
          <w:p w14:paraId="4D96CD9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1818</w:t>
            </w:r>
          </w:p>
        </w:tc>
        <w:tc>
          <w:tcPr>
            <w:tcW w:w="448" w:type="pct"/>
            <w:noWrap w:val="0"/>
            <w:vAlign w:val="center"/>
          </w:tcPr>
          <w:p w14:paraId="2CE5CCF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1300</w:t>
            </w:r>
          </w:p>
        </w:tc>
      </w:tr>
      <w:tr w14:paraId="6314A21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37C9D48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w:t>
            </w:r>
          </w:p>
        </w:tc>
        <w:tc>
          <w:tcPr>
            <w:tcW w:w="948" w:type="pct"/>
            <w:noWrap w:val="0"/>
            <w:vAlign w:val="center"/>
          </w:tcPr>
          <w:p w14:paraId="2500B00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姚庄</w:t>
            </w:r>
          </w:p>
        </w:tc>
        <w:tc>
          <w:tcPr>
            <w:tcW w:w="498" w:type="pct"/>
            <w:noWrap w:val="0"/>
            <w:vAlign w:val="center"/>
          </w:tcPr>
          <w:p w14:paraId="73A642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-522</w:t>
            </w:r>
          </w:p>
        </w:tc>
        <w:tc>
          <w:tcPr>
            <w:tcW w:w="500" w:type="pct"/>
            <w:noWrap w:val="0"/>
            <w:vAlign w:val="center"/>
          </w:tcPr>
          <w:p w14:paraId="5798FD7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-1028</w:t>
            </w:r>
          </w:p>
        </w:tc>
        <w:tc>
          <w:tcPr>
            <w:tcW w:w="580" w:type="pct"/>
            <w:tcBorders>
              <w:right w:val="single" w:color="auto" w:sz="4" w:space="0"/>
            </w:tcBorders>
            <w:noWrap w:val="0"/>
            <w:vAlign w:val="center"/>
          </w:tcPr>
          <w:p w14:paraId="4227CCD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65E3AC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38F57B8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西南</w:t>
            </w:r>
          </w:p>
        </w:tc>
        <w:tc>
          <w:tcPr>
            <w:tcW w:w="580" w:type="pct"/>
            <w:noWrap w:val="0"/>
            <w:vAlign w:val="center"/>
          </w:tcPr>
          <w:p w14:paraId="3F4118E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1020</w:t>
            </w:r>
          </w:p>
        </w:tc>
        <w:tc>
          <w:tcPr>
            <w:tcW w:w="448" w:type="pct"/>
            <w:noWrap w:val="0"/>
            <w:vAlign w:val="center"/>
          </w:tcPr>
          <w:p w14:paraId="5D456CE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856</w:t>
            </w:r>
          </w:p>
        </w:tc>
      </w:tr>
      <w:tr w14:paraId="463AAE6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20929E5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w:t>
            </w:r>
          </w:p>
        </w:tc>
        <w:tc>
          <w:tcPr>
            <w:tcW w:w="948" w:type="pct"/>
            <w:noWrap w:val="0"/>
            <w:vAlign w:val="center"/>
          </w:tcPr>
          <w:p w14:paraId="19CA9C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夏</w:t>
            </w:r>
            <w:r>
              <w:t>庄</w:t>
            </w:r>
          </w:p>
        </w:tc>
        <w:tc>
          <w:tcPr>
            <w:tcW w:w="498" w:type="pct"/>
            <w:noWrap w:val="0"/>
            <w:vAlign w:val="center"/>
          </w:tcPr>
          <w:p w14:paraId="4EE9A50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-778</w:t>
            </w:r>
          </w:p>
        </w:tc>
        <w:tc>
          <w:tcPr>
            <w:tcW w:w="500" w:type="pct"/>
            <w:noWrap w:val="0"/>
            <w:vAlign w:val="center"/>
          </w:tcPr>
          <w:p w14:paraId="4060A3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-693</w:t>
            </w:r>
          </w:p>
        </w:tc>
        <w:tc>
          <w:tcPr>
            <w:tcW w:w="580" w:type="pct"/>
            <w:tcBorders>
              <w:right w:val="single" w:color="auto" w:sz="4" w:space="0"/>
            </w:tcBorders>
            <w:noWrap w:val="0"/>
            <w:vAlign w:val="center"/>
          </w:tcPr>
          <w:p w14:paraId="2F5DA88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2BD3A1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4F104A0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西南</w:t>
            </w:r>
          </w:p>
        </w:tc>
        <w:tc>
          <w:tcPr>
            <w:tcW w:w="580" w:type="pct"/>
            <w:noWrap w:val="0"/>
            <w:vAlign w:val="center"/>
          </w:tcPr>
          <w:p w14:paraId="506F1F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860</w:t>
            </w:r>
          </w:p>
        </w:tc>
        <w:tc>
          <w:tcPr>
            <w:tcW w:w="448" w:type="pct"/>
            <w:noWrap w:val="0"/>
            <w:vAlign w:val="center"/>
          </w:tcPr>
          <w:p w14:paraId="2A61F0E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1100</w:t>
            </w:r>
          </w:p>
        </w:tc>
      </w:tr>
      <w:tr w14:paraId="7942C8F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06F93C9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5</w:t>
            </w:r>
          </w:p>
        </w:tc>
        <w:tc>
          <w:tcPr>
            <w:tcW w:w="948" w:type="pct"/>
            <w:noWrap w:val="0"/>
            <w:vAlign w:val="center"/>
          </w:tcPr>
          <w:p w14:paraId="5890876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北张兴庄</w:t>
            </w:r>
          </w:p>
        </w:tc>
        <w:tc>
          <w:tcPr>
            <w:tcW w:w="498" w:type="pct"/>
            <w:noWrap w:val="0"/>
            <w:vAlign w:val="center"/>
          </w:tcPr>
          <w:p w14:paraId="66D5C1E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570</w:t>
            </w:r>
          </w:p>
        </w:tc>
        <w:tc>
          <w:tcPr>
            <w:tcW w:w="500" w:type="pct"/>
            <w:noWrap w:val="0"/>
            <w:vAlign w:val="center"/>
          </w:tcPr>
          <w:p w14:paraId="1CBE92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1892</w:t>
            </w:r>
          </w:p>
        </w:tc>
        <w:tc>
          <w:tcPr>
            <w:tcW w:w="580" w:type="pct"/>
            <w:tcBorders>
              <w:right w:val="single" w:color="auto" w:sz="4" w:space="0"/>
            </w:tcBorders>
            <w:noWrap w:val="0"/>
            <w:vAlign w:val="center"/>
          </w:tcPr>
          <w:p w14:paraId="62CF3C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3F562BB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35BFA3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东北</w:t>
            </w:r>
          </w:p>
        </w:tc>
        <w:tc>
          <w:tcPr>
            <w:tcW w:w="580" w:type="pct"/>
            <w:noWrap w:val="0"/>
            <w:vAlign w:val="center"/>
          </w:tcPr>
          <w:p w14:paraId="41457B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1762</w:t>
            </w:r>
          </w:p>
        </w:tc>
        <w:tc>
          <w:tcPr>
            <w:tcW w:w="448" w:type="pct"/>
            <w:noWrap w:val="0"/>
            <w:vAlign w:val="center"/>
          </w:tcPr>
          <w:p w14:paraId="1C112D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412</w:t>
            </w:r>
          </w:p>
        </w:tc>
      </w:tr>
      <w:tr w14:paraId="252828E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42DF94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6</w:t>
            </w:r>
          </w:p>
        </w:tc>
        <w:tc>
          <w:tcPr>
            <w:tcW w:w="948" w:type="pct"/>
            <w:noWrap w:val="0"/>
            <w:vAlign w:val="center"/>
          </w:tcPr>
          <w:p w14:paraId="17A1D3D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贾堤</w:t>
            </w:r>
            <w:r>
              <w:rPr>
                <w:rFonts w:hint="eastAsia"/>
              </w:rPr>
              <w:t>社区</w:t>
            </w:r>
          </w:p>
        </w:tc>
        <w:tc>
          <w:tcPr>
            <w:tcW w:w="498" w:type="pct"/>
            <w:noWrap w:val="0"/>
            <w:vAlign w:val="center"/>
          </w:tcPr>
          <w:p w14:paraId="2AAE3CE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1307</w:t>
            </w:r>
          </w:p>
        </w:tc>
        <w:tc>
          <w:tcPr>
            <w:tcW w:w="500" w:type="pct"/>
            <w:noWrap w:val="0"/>
            <w:vAlign w:val="center"/>
          </w:tcPr>
          <w:p w14:paraId="23877CD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1855</w:t>
            </w:r>
          </w:p>
        </w:tc>
        <w:tc>
          <w:tcPr>
            <w:tcW w:w="580" w:type="pct"/>
            <w:tcBorders>
              <w:right w:val="single" w:color="auto" w:sz="4" w:space="0"/>
            </w:tcBorders>
            <w:noWrap w:val="0"/>
            <w:vAlign w:val="center"/>
          </w:tcPr>
          <w:p w14:paraId="556F90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09D30B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5E13C29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东北</w:t>
            </w:r>
          </w:p>
        </w:tc>
        <w:tc>
          <w:tcPr>
            <w:tcW w:w="580" w:type="pct"/>
            <w:noWrap w:val="0"/>
            <w:vAlign w:val="center"/>
          </w:tcPr>
          <w:p w14:paraId="39AB89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2218</w:t>
            </w:r>
          </w:p>
        </w:tc>
        <w:tc>
          <w:tcPr>
            <w:tcW w:w="448" w:type="pct"/>
            <w:noWrap w:val="0"/>
            <w:vAlign w:val="center"/>
          </w:tcPr>
          <w:p w14:paraId="4CD9FE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600</w:t>
            </w:r>
          </w:p>
        </w:tc>
      </w:tr>
      <w:tr w14:paraId="15C8A63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4C67628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7</w:t>
            </w:r>
          </w:p>
        </w:tc>
        <w:tc>
          <w:tcPr>
            <w:tcW w:w="948" w:type="pct"/>
            <w:noWrap w:val="0"/>
            <w:vAlign w:val="center"/>
          </w:tcPr>
          <w:p w14:paraId="63E2A28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榆林新村</w:t>
            </w:r>
          </w:p>
        </w:tc>
        <w:tc>
          <w:tcPr>
            <w:tcW w:w="498" w:type="pct"/>
            <w:noWrap w:val="0"/>
            <w:vAlign w:val="center"/>
          </w:tcPr>
          <w:p w14:paraId="4CE55DE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2258</w:t>
            </w:r>
          </w:p>
        </w:tc>
        <w:tc>
          <w:tcPr>
            <w:tcW w:w="500" w:type="pct"/>
            <w:noWrap w:val="0"/>
            <w:vAlign w:val="center"/>
          </w:tcPr>
          <w:p w14:paraId="4B1BE15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-443</w:t>
            </w:r>
          </w:p>
        </w:tc>
        <w:tc>
          <w:tcPr>
            <w:tcW w:w="580" w:type="pct"/>
            <w:tcBorders>
              <w:right w:val="single" w:color="auto" w:sz="4" w:space="0"/>
            </w:tcBorders>
            <w:noWrap w:val="0"/>
            <w:vAlign w:val="center"/>
          </w:tcPr>
          <w:p w14:paraId="32EEDA6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03AFA3A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0FB007A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东南</w:t>
            </w:r>
          </w:p>
        </w:tc>
        <w:tc>
          <w:tcPr>
            <w:tcW w:w="580" w:type="pct"/>
            <w:noWrap w:val="0"/>
            <w:vAlign w:val="center"/>
          </w:tcPr>
          <w:p w14:paraId="167A48B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2187</w:t>
            </w:r>
          </w:p>
        </w:tc>
        <w:tc>
          <w:tcPr>
            <w:tcW w:w="448" w:type="pct"/>
            <w:noWrap w:val="0"/>
            <w:vAlign w:val="center"/>
          </w:tcPr>
          <w:p w14:paraId="2707AA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1200</w:t>
            </w:r>
          </w:p>
        </w:tc>
      </w:tr>
      <w:tr w14:paraId="21626A7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1D68C6F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8</w:t>
            </w:r>
          </w:p>
        </w:tc>
        <w:tc>
          <w:tcPr>
            <w:tcW w:w="948" w:type="pct"/>
            <w:noWrap w:val="0"/>
            <w:vAlign w:val="center"/>
          </w:tcPr>
          <w:p w14:paraId="7DDBE23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龙王庙村</w:t>
            </w:r>
          </w:p>
        </w:tc>
        <w:tc>
          <w:tcPr>
            <w:tcW w:w="498" w:type="pct"/>
            <w:noWrap w:val="0"/>
            <w:vAlign w:val="center"/>
          </w:tcPr>
          <w:p w14:paraId="22B9CFC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3361</w:t>
            </w:r>
          </w:p>
        </w:tc>
        <w:tc>
          <w:tcPr>
            <w:tcW w:w="500" w:type="pct"/>
            <w:noWrap w:val="0"/>
            <w:vAlign w:val="center"/>
          </w:tcPr>
          <w:p w14:paraId="0A19D5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-1069</w:t>
            </w:r>
          </w:p>
        </w:tc>
        <w:tc>
          <w:tcPr>
            <w:tcW w:w="580" w:type="pct"/>
            <w:tcBorders>
              <w:right w:val="single" w:color="auto" w:sz="4" w:space="0"/>
            </w:tcBorders>
            <w:noWrap w:val="0"/>
            <w:vAlign w:val="center"/>
          </w:tcPr>
          <w:p w14:paraId="3E3840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2D8B4E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2A68059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东南</w:t>
            </w:r>
          </w:p>
        </w:tc>
        <w:tc>
          <w:tcPr>
            <w:tcW w:w="580" w:type="pct"/>
            <w:noWrap w:val="0"/>
            <w:vAlign w:val="center"/>
          </w:tcPr>
          <w:p w14:paraId="317D8C4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3214</w:t>
            </w:r>
          </w:p>
        </w:tc>
        <w:tc>
          <w:tcPr>
            <w:tcW w:w="448" w:type="pct"/>
            <w:noWrap w:val="0"/>
            <w:vAlign w:val="center"/>
          </w:tcPr>
          <w:p w14:paraId="1C47BE7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1050</w:t>
            </w:r>
          </w:p>
        </w:tc>
      </w:tr>
      <w:tr w14:paraId="2D7282F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4763D8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9</w:t>
            </w:r>
          </w:p>
        </w:tc>
        <w:tc>
          <w:tcPr>
            <w:tcW w:w="948" w:type="pct"/>
            <w:noWrap w:val="0"/>
            <w:vAlign w:val="center"/>
          </w:tcPr>
          <w:p w14:paraId="7902234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获小庄村</w:t>
            </w:r>
          </w:p>
        </w:tc>
        <w:tc>
          <w:tcPr>
            <w:tcW w:w="498" w:type="pct"/>
            <w:noWrap w:val="0"/>
            <w:vAlign w:val="center"/>
          </w:tcPr>
          <w:p w14:paraId="6C3BF8F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-1593</w:t>
            </w:r>
          </w:p>
        </w:tc>
        <w:tc>
          <w:tcPr>
            <w:tcW w:w="500" w:type="pct"/>
            <w:noWrap w:val="0"/>
            <w:vAlign w:val="center"/>
          </w:tcPr>
          <w:p w14:paraId="68A9422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-1320</w:t>
            </w:r>
          </w:p>
        </w:tc>
        <w:tc>
          <w:tcPr>
            <w:tcW w:w="580" w:type="pct"/>
            <w:tcBorders>
              <w:right w:val="single" w:color="auto" w:sz="4" w:space="0"/>
            </w:tcBorders>
            <w:noWrap w:val="0"/>
            <w:vAlign w:val="center"/>
          </w:tcPr>
          <w:p w14:paraId="494A0E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1B31996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1552733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西南</w:t>
            </w:r>
          </w:p>
        </w:tc>
        <w:tc>
          <w:tcPr>
            <w:tcW w:w="580" w:type="pct"/>
            <w:noWrap w:val="0"/>
            <w:vAlign w:val="center"/>
          </w:tcPr>
          <w:p w14:paraId="6D830B7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2059</w:t>
            </w:r>
          </w:p>
        </w:tc>
        <w:tc>
          <w:tcPr>
            <w:tcW w:w="448" w:type="pct"/>
            <w:noWrap w:val="0"/>
            <w:vAlign w:val="center"/>
          </w:tcPr>
          <w:p w14:paraId="571429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600</w:t>
            </w:r>
          </w:p>
        </w:tc>
      </w:tr>
      <w:tr w14:paraId="4EA73EE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151D4BB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10</w:t>
            </w:r>
          </w:p>
        </w:tc>
        <w:tc>
          <w:tcPr>
            <w:tcW w:w="948" w:type="pct"/>
            <w:noWrap w:val="0"/>
            <w:vAlign w:val="center"/>
          </w:tcPr>
          <w:p w14:paraId="67A0FE6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贾李庄村</w:t>
            </w:r>
          </w:p>
        </w:tc>
        <w:tc>
          <w:tcPr>
            <w:tcW w:w="498" w:type="pct"/>
            <w:noWrap w:val="0"/>
            <w:vAlign w:val="center"/>
          </w:tcPr>
          <w:p w14:paraId="6F43DC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-2832</w:t>
            </w:r>
          </w:p>
        </w:tc>
        <w:tc>
          <w:tcPr>
            <w:tcW w:w="500" w:type="pct"/>
            <w:noWrap w:val="0"/>
            <w:vAlign w:val="center"/>
          </w:tcPr>
          <w:p w14:paraId="1EC0B73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-1736</w:t>
            </w:r>
          </w:p>
        </w:tc>
        <w:tc>
          <w:tcPr>
            <w:tcW w:w="580" w:type="pct"/>
            <w:tcBorders>
              <w:right w:val="single" w:color="auto" w:sz="4" w:space="0"/>
            </w:tcBorders>
            <w:noWrap w:val="0"/>
            <w:vAlign w:val="center"/>
          </w:tcPr>
          <w:p w14:paraId="0FC72C5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72BD8B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4CDE861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西南</w:t>
            </w:r>
          </w:p>
        </w:tc>
        <w:tc>
          <w:tcPr>
            <w:tcW w:w="580" w:type="pct"/>
            <w:noWrap w:val="0"/>
            <w:vAlign w:val="center"/>
          </w:tcPr>
          <w:p w14:paraId="50E51E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3360</w:t>
            </w:r>
          </w:p>
        </w:tc>
        <w:tc>
          <w:tcPr>
            <w:tcW w:w="448" w:type="pct"/>
            <w:noWrap w:val="0"/>
            <w:vAlign w:val="center"/>
          </w:tcPr>
          <w:p w14:paraId="546EDE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400</w:t>
            </w:r>
          </w:p>
        </w:tc>
      </w:tr>
      <w:tr w14:paraId="29F82D5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437DD83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11</w:t>
            </w:r>
          </w:p>
        </w:tc>
        <w:tc>
          <w:tcPr>
            <w:tcW w:w="948" w:type="pct"/>
            <w:noWrap w:val="0"/>
            <w:vAlign w:val="center"/>
          </w:tcPr>
          <w:p w14:paraId="4BCF1A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张兴庄村</w:t>
            </w:r>
          </w:p>
        </w:tc>
        <w:tc>
          <w:tcPr>
            <w:tcW w:w="498" w:type="pct"/>
            <w:noWrap w:val="0"/>
            <w:vAlign w:val="center"/>
          </w:tcPr>
          <w:p w14:paraId="74D3D8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-1410</w:t>
            </w:r>
          </w:p>
        </w:tc>
        <w:tc>
          <w:tcPr>
            <w:tcW w:w="500" w:type="pct"/>
            <w:noWrap w:val="0"/>
            <w:vAlign w:val="center"/>
          </w:tcPr>
          <w:p w14:paraId="1F1450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852</w:t>
            </w:r>
          </w:p>
        </w:tc>
        <w:tc>
          <w:tcPr>
            <w:tcW w:w="580" w:type="pct"/>
            <w:tcBorders>
              <w:right w:val="single" w:color="auto" w:sz="4" w:space="0"/>
            </w:tcBorders>
            <w:noWrap w:val="0"/>
            <w:vAlign w:val="center"/>
          </w:tcPr>
          <w:p w14:paraId="68B6B6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1BC842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604321A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39C9B1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1762</w:t>
            </w:r>
          </w:p>
        </w:tc>
        <w:tc>
          <w:tcPr>
            <w:tcW w:w="448" w:type="pct"/>
            <w:noWrap w:val="0"/>
            <w:vAlign w:val="center"/>
          </w:tcPr>
          <w:p w14:paraId="618AA2C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398</w:t>
            </w:r>
          </w:p>
        </w:tc>
      </w:tr>
      <w:tr w14:paraId="7C7DCD1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325689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12</w:t>
            </w:r>
          </w:p>
        </w:tc>
        <w:tc>
          <w:tcPr>
            <w:tcW w:w="948" w:type="pct"/>
            <w:noWrap w:val="0"/>
            <w:vAlign w:val="center"/>
          </w:tcPr>
          <w:p w14:paraId="493368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魏堤社区</w:t>
            </w:r>
          </w:p>
        </w:tc>
        <w:tc>
          <w:tcPr>
            <w:tcW w:w="498" w:type="pct"/>
            <w:noWrap w:val="0"/>
            <w:vAlign w:val="center"/>
          </w:tcPr>
          <w:p w14:paraId="2FDDE8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-1645</w:t>
            </w:r>
          </w:p>
        </w:tc>
        <w:tc>
          <w:tcPr>
            <w:tcW w:w="500" w:type="pct"/>
            <w:noWrap w:val="0"/>
            <w:vAlign w:val="center"/>
          </w:tcPr>
          <w:p w14:paraId="729052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654</w:t>
            </w:r>
          </w:p>
        </w:tc>
        <w:tc>
          <w:tcPr>
            <w:tcW w:w="580" w:type="pct"/>
            <w:tcBorders>
              <w:right w:val="single" w:color="auto" w:sz="4" w:space="0"/>
            </w:tcBorders>
            <w:noWrap w:val="0"/>
            <w:vAlign w:val="center"/>
          </w:tcPr>
          <w:p w14:paraId="093D6AA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居民区</w:t>
            </w:r>
          </w:p>
        </w:tc>
        <w:tc>
          <w:tcPr>
            <w:tcW w:w="666" w:type="pct"/>
            <w:tcBorders>
              <w:left w:val="single" w:color="auto" w:sz="4" w:space="0"/>
              <w:right w:val="single" w:color="auto" w:sz="4" w:space="0"/>
            </w:tcBorders>
            <w:noWrap w:val="0"/>
            <w:vAlign w:val="center"/>
          </w:tcPr>
          <w:p w14:paraId="3A6547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5CC959B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130E18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1126</w:t>
            </w:r>
          </w:p>
        </w:tc>
        <w:tc>
          <w:tcPr>
            <w:tcW w:w="448" w:type="pct"/>
            <w:noWrap w:val="0"/>
            <w:vAlign w:val="center"/>
          </w:tcPr>
          <w:p w14:paraId="13BD13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280</w:t>
            </w:r>
          </w:p>
        </w:tc>
      </w:tr>
      <w:tr w14:paraId="5181303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47B598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13</w:t>
            </w:r>
          </w:p>
        </w:tc>
        <w:tc>
          <w:tcPr>
            <w:tcW w:w="948" w:type="pct"/>
            <w:noWrap w:val="0"/>
            <w:vAlign w:val="center"/>
          </w:tcPr>
          <w:p w14:paraId="67FB3D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冯堤社区</w:t>
            </w:r>
          </w:p>
        </w:tc>
        <w:tc>
          <w:tcPr>
            <w:tcW w:w="498" w:type="pct"/>
            <w:noWrap w:val="0"/>
            <w:vAlign w:val="center"/>
          </w:tcPr>
          <w:p w14:paraId="018EC0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-1473</w:t>
            </w:r>
          </w:p>
        </w:tc>
        <w:tc>
          <w:tcPr>
            <w:tcW w:w="500" w:type="pct"/>
            <w:noWrap w:val="0"/>
            <w:vAlign w:val="center"/>
          </w:tcPr>
          <w:p w14:paraId="5A263B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638</w:t>
            </w:r>
          </w:p>
        </w:tc>
        <w:tc>
          <w:tcPr>
            <w:tcW w:w="580" w:type="pct"/>
            <w:tcBorders>
              <w:right w:val="single" w:color="auto" w:sz="4" w:space="0"/>
            </w:tcBorders>
            <w:noWrap w:val="0"/>
            <w:vAlign w:val="center"/>
          </w:tcPr>
          <w:p w14:paraId="3DC477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居民区</w:t>
            </w:r>
          </w:p>
        </w:tc>
        <w:tc>
          <w:tcPr>
            <w:tcW w:w="666" w:type="pct"/>
            <w:tcBorders>
              <w:left w:val="single" w:color="auto" w:sz="4" w:space="0"/>
              <w:right w:val="single" w:color="auto" w:sz="4" w:space="0"/>
            </w:tcBorders>
            <w:noWrap w:val="0"/>
            <w:vAlign w:val="center"/>
          </w:tcPr>
          <w:p w14:paraId="78B51BF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1CB4E0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0EE485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1263</w:t>
            </w:r>
          </w:p>
        </w:tc>
        <w:tc>
          <w:tcPr>
            <w:tcW w:w="448" w:type="pct"/>
            <w:noWrap w:val="0"/>
            <w:vAlign w:val="center"/>
          </w:tcPr>
          <w:p w14:paraId="78C1F56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320</w:t>
            </w:r>
          </w:p>
        </w:tc>
      </w:tr>
      <w:tr w14:paraId="0A7C10A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342A2E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14</w:t>
            </w:r>
          </w:p>
        </w:tc>
        <w:tc>
          <w:tcPr>
            <w:tcW w:w="948" w:type="pct"/>
            <w:noWrap w:val="0"/>
            <w:vAlign w:val="center"/>
          </w:tcPr>
          <w:p w14:paraId="67704D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樊李社区</w:t>
            </w:r>
          </w:p>
        </w:tc>
        <w:tc>
          <w:tcPr>
            <w:tcW w:w="498" w:type="pct"/>
            <w:noWrap w:val="0"/>
            <w:vAlign w:val="center"/>
          </w:tcPr>
          <w:p w14:paraId="0790CE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-1620</w:t>
            </w:r>
          </w:p>
        </w:tc>
        <w:tc>
          <w:tcPr>
            <w:tcW w:w="500" w:type="pct"/>
            <w:noWrap w:val="0"/>
            <w:vAlign w:val="center"/>
          </w:tcPr>
          <w:p w14:paraId="4B884D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1526</w:t>
            </w:r>
          </w:p>
        </w:tc>
        <w:tc>
          <w:tcPr>
            <w:tcW w:w="580" w:type="pct"/>
            <w:tcBorders>
              <w:right w:val="single" w:color="auto" w:sz="4" w:space="0"/>
            </w:tcBorders>
            <w:noWrap w:val="0"/>
            <w:vAlign w:val="center"/>
          </w:tcPr>
          <w:p w14:paraId="6CF4770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居民区</w:t>
            </w:r>
          </w:p>
        </w:tc>
        <w:tc>
          <w:tcPr>
            <w:tcW w:w="666" w:type="pct"/>
            <w:tcBorders>
              <w:left w:val="single" w:color="auto" w:sz="4" w:space="0"/>
              <w:right w:val="single" w:color="auto" w:sz="4" w:space="0"/>
            </w:tcBorders>
            <w:noWrap w:val="0"/>
            <w:vAlign w:val="center"/>
          </w:tcPr>
          <w:p w14:paraId="16D168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3BD74C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7E5A917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1550</w:t>
            </w:r>
          </w:p>
        </w:tc>
        <w:tc>
          <w:tcPr>
            <w:tcW w:w="448" w:type="pct"/>
            <w:noWrap w:val="0"/>
            <w:vAlign w:val="center"/>
          </w:tcPr>
          <w:p w14:paraId="17A380C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560</w:t>
            </w:r>
          </w:p>
        </w:tc>
      </w:tr>
      <w:tr w14:paraId="4C0E84F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3939174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15</w:t>
            </w:r>
          </w:p>
        </w:tc>
        <w:tc>
          <w:tcPr>
            <w:tcW w:w="948" w:type="pct"/>
            <w:noWrap w:val="0"/>
            <w:vAlign w:val="center"/>
          </w:tcPr>
          <w:p w14:paraId="21AA69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格林小镇北区</w:t>
            </w:r>
          </w:p>
        </w:tc>
        <w:tc>
          <w:tcPr>
            <w:tcW w:w="498" w:type="pct"/>
            <w:noWrap w:val="0"/>
            <w:vAlign w:val="center"/>
          </w:tcPr>
          <w:p w14:paraId="048DE4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-950</w:t>
            </w:r>
          </w:p>
        </w:tc>
        <w:tc>
          <w:tcPr>
            <w:tcW w:w="500" w:type="pct"/>
            <w:noWrap w:val="0"/>
            <w:vAlign w:val="center"/>
          </w:tcPr>
          <w:p w14:paraId="1F1926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1842</w:t>
            </w:r>
          </w:p>
        </w:tc>
        <w:tc>
          <w:tcPr>
            <w:tcW w:w="580" w:type="pct"/>
            <w:tcBorders>
              <w:right w:val="single" w:color="auto" w:sz="4" w:space="0"/>
            </w:tcBorders>
            <w:noWrap w:val="0"/>
            <w:vAlign w:val="center"/>
          </w:tcPr>
          <w:p w14:paraId="1CDEB5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居民区</w:t>
            </w:r>
          </w:p>
        </w:tc>
        <w:tc>
          <w:tcPr>
            <w:tcW w:w="666" w:type="pct"/>
            <w:tcBorders>
              <w:left w:val="single" w:color="auto" w:sz="4" w:space="0"/>
              <w:right w:val="single" w:color="auto" w:sz="4" w:space="0"/>
            </w:tcBorders>
            <w:noWrap w:val="0"/>
            <w:vAlign w:val="center"/>
          </w:tcPr>
          <w:p w14:paraId="594D679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203A49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25F7EC9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1633</w:t>
            </w:r>
          </w:p>
        </w:tc>
        <w:tc>
          <w:tcPr>
            <w:tcW w:w="448" w:type="pct"/>
            <w:noWrap w:val="0"/>
            <w:vAlign w:val="center"/>
          </w:tcPr>
          <w:p w14:paraId="17E7698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1900</w:t>
            </w:r>
          </w:p>
        </w:tc>
      </w:tr>
      <w:tr w14:paraId="03D79DD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4908702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16</w:t>
            </w:r>
          </w:p>
        </w:tc>
        <w:tc>
          <w:tcPr>
            <w:tcW w:w="948" w:type="pct"/>
            <w:noWrap w:val="0"/>
            <w:vAlign w:val="center"/>
          </w:tcPr>
          <w:p w14:paraId="22DF08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新联学院</w:t>
            </w:r>
          </w:p>
        </w:tc>
        <w:tc>
          <w:tcPr>
            <w:tcW w:w="498" w:type="pct"/>
            <w:noWrap w:val="0"/>
            <w:vAlign w:val="center"/>
          </w:tcPr>
          <w:p w14:paraId="1BF1B61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-364</w:t>
            </w:r>
          </w:p>
        </w:tc>
        <w:tc>
          <w:tcPr>
            <w:tcW w:w="500" w:type="pct"/>
            <w:noWrap w:val="0"/>
            <w:vAlign w:val="center"/>
          </w:tcPr>
          <w:p w14:paraId="55C6F3E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1842</w:t>
            </w:r>
          </w:p>
        </w:tc>
        <w:tc>
          <w:tcPr>
            <w:tcW w:w="580" w:type="pct"/>
            <w:tcBorders>
              <w:right w:val="single" w:color="auto" w:sz="4" w:space="0"/>
            </w:tcBorders>
            <w:noWrap w:val="0"/>
            <w:vAlign w:val="center"/>
          </w:tcPr>
          <w:p w14:paraId="0898C8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学校</w:t>
            </w:r>
          </w:p>
        </w:tc>
        <w:tc>
          <w:tcPr>
            <w:tcW w:w="666" w:type="pct"/>
            <w:tcBorders>
              <w:left w:val="single" w:color="auto" w:sz="4" w:space="0"/>
              <w:right w:val="single" w:color="auto" w:sz="4" w:space="0"/>
            </w:tcBorders>
            <w:noWrap w:val="0"/>
            <w:vAlign w:val="center"/>
          </w:tcPr>
          <w:p w14:paraId="63DCD07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教职工及学生</w:t>
            </w:r>
          </w:p>
        </w:tc>
        <w:tc>
          <w:tcPr>
            <w:tcW w:w="415" w:type="pct"/>
            <w:tcBorders>
              <w:left w:val="single" w:color="auto" w:sz="4" w:space="0"/>
            </w:tcBorders>
            <w:noWrap w:val="0"/>
            <w:vAlign w:val="center"/>
          </w:tcPr>
          <w:p w14:paraId="5E9251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北</w:t>
            </w:r>
          </w:p>
        </w:tc>
        <w:tc>
          <w:tcPr>
            <w:tcW w:w="580" w:type="pct"/>
            <w:noWrap w:val="0"/>
            <w:vAlign w:val="center"/>
          </w:tcPr>
          <w:p w14:paraId="407AFC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1438</w:t>
            </w:r>
          </w:p>
        </w:tc>
        <w:tc>
          <w:tcPr>
            <w:tcW w:w="448" w:type="pct"/>
            <w:noWrap w:val="0"/>
            <w:vAlign w:val="center"/>
          </w:tcPr>
          <w:p w14:paraId="689314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19000</w:t>
            </w:r>
          </w:p>
        </w:tc>
      </w:tr>
      <w:tr w14:paraId="6C8F39C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2DCB88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17</w:t>
            </w:r>
          </w:p>
        </w:tc>
        <w:tc>
          <w:tcPr>
            <w:tcW w:w="948" w:type="pct"/>
            <w:noWrap w:val="0"/>
            <w:vAlign w:val="center"/>
          </w:tcPr>
          <w:p w14:paraId="306624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新城花园</w:t>
            </w:r>
          </w:p>
        </w:tc>
        <w:tc>
          <w:tcPr>
            <w:tcW w:w="498" w:type="pct"/>
            <w:noWrap w:val="0"/>
            <w:vAlign w:val="center"/>
          </w:tcPr>
          <w:p w14:paraId="0E605D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-326</w:t>
            </w:r>
          </w:p>
        </w:tc>
        <w:tc>
          <w:tcPr>
            <w:tcW w:w="500" w:type="pct"/>
            <w:noWrap w:val="0"/>
            <w:vAlign w:val="center"/>
          </w:tcPr>
          <w:p w14:paraId="367BC70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2324</w:t>
            </w:r>
          </w:p>
        </w:tc>
        <w:tc>
          <w:tcPr>
            <w:tcW w:w="580" w:type="pct"/>
            <w:tcBorders>
              <w:right w:val="single" w:color="auto" w:sz="4" w:space="0"/>
            </w:tcBorders>
            <w:noWrap w:val="0"/>
            <w:vAlign w:val="center"/>
          </w:tcPr>
          <w:p w14:paraId="06BA31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居民区</w:t>
            </w:r>
          </w:p>
        </w:tc>
        <w:tc>
          <w:tcPr>
            <w:tcW w:w="666" w:type="pct"/>
            <w:tcBorders>
              <w:left w:val="single" w:color="auto" w:sz="4" w:space="0"/>
              <w:right w:val="single" w:color="auto" w:sz="4" w:space="0"/>
            </w:tcBorders>
            <w:noWrap w:val="0"/>
            <w:vAlign w:val="center"/>
          </w:tcPr>
          <w:p w14:paraId="0893FB5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4713680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北</w:t>
            </w:r>
          </w:p>
        </w:tc>
        <w:tc>
          <w:tcPr>
            <w:tcW w:w="580" w:type="pct"/>
            <w:noWrap w:val="0"/>
            <w:vAlign w:val="center"/>
          </w:tcPr>
          <w:p w14:paraId="7D53389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1930</w:t>
            </w:r>
          </w:p>
        </w:tc>
        <w:tc>
          <w:tcPr>
            <w:tcW w:w="448" w:type="pct"/>
            <w:noWrap w:val="0"/>
            <w:vAlign w:val="center"/>
          </w:tcPr>
          <w:p w14:paraId="1261D3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240</w:t>
            </w:r>
          </w:p>
        </w:tc>
      </w:tr>
      <w:tr w14:paraId="19374E1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3226EAD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18</w:t>
            </w:r>
          </w:p>
        </w:tc>
        <w:tc>
          <w:tcPr>
            <w:tcW w:w="948" w:type="pct"/>
            <w:noWrap w:val="0"/>
            <w:vAlign w:val="center"/>
          </w:tcPr>
          <w:p w14:paraId="63E890B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小杨庄村</w:t>
            </w:r>
          </w:p>
        </w:tc>
        <w:tc>
          <w:tcPr>
            <w:tcW w:w="498" w:type="pct"/>
            <w:noWrap w:val="0"/>
            <w:vAlign w:val="center"/>
          </w:tcPr>
          <w:p w14:paraId="64ED688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208</w:t>
            </w:r>
          </w:p>
        </w:tc>
        <w:tc>
          <w:tcPr>
            <w:tcW w:w="500" w:type="pct"/>
            <w:noWrap w:val="0"/>
            <w:vAlign w:val="center"/>
          </w:tcPr>
          <w:p w14:paraId="543FF57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3091</w:t>
            </w:r>
          </w:p>
        </w:tc>
        <w:tc>
          <w:tcPr>
            <w:tcW w:w="580" w:type="pct"/>
            <w:tcBorders>
              <w:right w:val="single" w:color="auto" w:sz="4" w:space="0"/>
            </w:tcBorders>
            <w:noWrap w:val="0"/>
            <w:vAlign w:val="center"/>
          </w:tcPr>
          <w:p w14:paraId="5DC4A2E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19A2BA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16C357F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北</w:t>
            </w:r>
          </w:p>
        </w:tc>
        <w:tc>
          <w:tcPr>
            <w:tcW w:w="580" w:type="pct"/>
            <w:noWrap w:val="0"/>
            <w:vAlign w:val="center"/>
          </w:tcPr>
          <w:p w14:paraId="76B4DE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2660</w:t>
            </w:r>
          </w:p>
        </w:tc>
        <w:tc>
          <w:tcPr>
            <w:tcW w:w="448" w:type="pct"/>
            <w:noWrap w:val="0"/>
            <w:vAlign w:val="center"/>
          </w:tcPr>
          <w:p w14:paraId="64AA73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650</w:t>
            </w:r>
          </w:p>
        </w:tc>
      </w:tr>
      <w:tr w14:paraId="23CA6C1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53D3F09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19</w:t>
            </w:r>
          </w:p>
        </w:tc>
        <w:tc>
          <w:tcPr>
            <w:tcW w:w="948" w:type="pct"/>
            <w:noWrap w:val="0"/>
            <w:vAlign w:val="center"/>
          </w:tcPr>
          <w:p w14:paraId="59012A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李胡寨村</w:t>
            </w:r>
          </w:p>
        </w:tc>
        <w:tc>
          <w:tcPr>
            <w:tcW w:w="498" w:type="pct"/>
            <w:noWrap w:val="0"/>
            <w:vAlign w:val="center"/>
          </w:tcPr>
          <w:p w14:paraId="22C18D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-1537</w:t>
            </w:r>
          </w:p>
        </w:tc>
        <w:tc>
          <w:tcPr>
            <w:tcW w:w="500" w:type="pct"/>
            <w:noWrap w:val="0"/>
            <w:vAlign w:val="center"/>
          </w:tcPr>
          <w:p w14:paraId="19AD421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2467</w:t>
            </w:r>
          </w:p>
        </w:tc>
        <w:tc>
          <w:tcPr>
            <w:tcW w:w="580" w:type="pct"/>
            <w:tcBorders>
              <w:right w:val="single" w:color="auto" w:sz="4" w:space="0"/>
            </w:tcBorders>
            <w:noWrap w:val="0"/>
            <w:vAlign w:val="center"/>
          </w:tcPr>
          <w:p w14:paraId="0955820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753048C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40DF77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4C0179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2590</w:t>
            </w:r>
          </w:p>
        </w:tc>
        <w:tc>
          <w:tcPr>
            <w:tcW w:w="448" w:type="pct"/>
            <w:noWrap w:val="0"/>
            <w:vAlign w:val="center"/>
          </w:tcPr>
          <w:p w14:paraId="4F6CA3C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1200</w:t>
            </w:r>
          </w:p>
        </w:tc>
      </w:tr>
      <w:tr w14:paraId="63EEDDA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4FC5DA8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20</w:t>
            </w:r>
          </w:p>
        </w:tc>
        <w:tc>
          <w:tcPr>
            <w:tcW w:w="948" w:type="pct"/>
            <w:noWrap w:val="0"/>
            <w:vAlign w:val="center"/>
          </w:tcPr>
          <w:p w14:paraId="022F571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郑庄村</w:t>
            </w:r>
          </w:p>
        </w:tc>
        <w:tc>
          <w:tcPr>
            <w:tcW w:w="498" w:type="pct"/>
            <w:noWrap w:val="0"/>
            <w:vAlign w:val="center"/>
          </w:tcPr>
          <w:p w14:paraId="39BC95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-1131</w:t>
            </w:r>
          </w:p>
        </w:tc>
        <w:tc>
          <w:tcPr>
            <w:tcW w:w="500" w:type="pct"/>
            <w:noWrap w:val="0"/>
            <w:vAlign w:val="center"/>
          </w:tcPr>
          <w:p w14:paraId="4B812B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3324</w:t>
            </w:r>
          </w:p>
        </w:tc>
        <w:tc>
          <w:tcPr>
            <w:tcW w:w="580" w:type="pct"/>
            <w:tcBorders>
              <w:right w:val="single" w:color="auto" w:sz="4" w:space="0"/>
            </w:tcBorders>
            <w:noWrap w:val="0"/>
            <w:vAlign w:val="center"/>
          </w:tcPr>
          <w:p w14:paraId="157487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526443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3791A2A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59CC39E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3140</w:t>
            </w:r>
          </w:p>
        </w:tc>
        <w:tc>
          <w:tcPr>
            <w:tcW w:w="448" w:type="pct"/>
            <w:noWrap w:val="0"/>
            <w:vAlign w:val="center"/>
          </w:tcPr>
          <w:p w14:paraId="4B29F1C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600</w:t>
            </w:r>
          </w:p>
        </w:tc>
      </w:tr>
      <w:tr w14:paraId="3BA5D00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30AA41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21</w:t>
            </w:r>
          </w:p>
        </w:tc>
        <w:tc>
          <w:tcPr>
            <w:tcW w:w="948" w:type="pct"/>
            <w:noWrap w:val="0"/>
            <w:vAlign w:val="center"/>
          </w:tcPr>
          <w:p w14:paraId="0FDF41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樊庄村</w:t>
            </w:r>
          </w:p>
        </w:tc>
        <w:tc>
          <w:tcPr>
            <w:tcW w:w="498" w:type="pct"/>
            <w:noWrap w:val="0"/>
            <w:vAlign w:val="center"/>
          </w:tcPr>
          <w:p w14:paraId="788A692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-2689</w:t>
            </w:r>
          </w:p>
        </w:tc>
        <w:tc>
          <w:tcPr>
            <w:tcW w:w="500" w:type="pct"/>
            <w:noWrap w:val="0"/>
            <w:vAlign w:val="center"/>
          </w:tcPr>
          <w:p w14:paraId="09052E4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2467</w:t>
            </w:r>
          </w:p>
        </w:tc>
        <w:tc>
          <w:tcPr>
            <w:tcW w:w="580" w:type="pct"/>
            <w:tcBorders>
              <w:right w:val="single" w:color="auto" w:sz="4" w:space="0"/>
            </w:tcBorders>
            <w:noWrap w:val="0"/>
            <w:vAlign w:val="center"/>
          </w:tcPr>
          <w:p w14:paraId="34E3AC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577D620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577E9A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3B6DA18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3410</w:t>
            </w:r>
          </w:p>
        </w:tc>
        <w:tc>
          <w:tcPr>
            <w:tcW w:w="448" w:type="pct"/>
            <w:noWrap w:val="0"/>
            <w:vAlign w:val="center"/>
          </w:tcPr>
          <w:p w14:paraId="3AF8F7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1180</w:t>
            </w:r>
          </w:p>
        </w:tc>
      </w:tr>
      <w:tr w14:paraId="3DE7EC6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01ED345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22</w:t>
            </w:r>
          </w:p>
        </w:tc>
        <w:tc>
          <w:tcPr>
            <w:tcW w:w="948" w:type="pct"/>
            <w:noWrap w:val="0"/>
            <w:vAlign w:val="center"/>
          </w:tcPr>
          <w:p w14:paraId="562DAA5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孟电观澜壹号</w:t>
            </w:r>
          </w:p>
        </w:tc>
        <w:tc>
          <w:tcPr>
            <w:tcW w:w="498" w:type="pct"/>
            <w:noWrap w:val="0"/>
            <w:vAlign w:val="center"/>
          </w:tcPr>
          <w:p w14:paraId="7E9254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-1319</w:t>
            </w:r>
          </w:p>
        </w:tc>
        <w:tc>
          <w:tcPr>
            <w:tcW w:w="500" w:type="pct"/>
            <w:noWrap w:val="0"/>
            <w:vAlign w:val="center"/>
          </w:tcPr>
          <w:p w14:paraId="2750BF7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1850</w:t>
            </w:r>
          </w:p>
        </w:tc>
        <w:tc>
          <w:tcPr>
            <w:tcW w:w="580" w:type="pct"/>
            <w:tcBorders>
              <w:right w:val="single" w:color="auto" w:sz="4" w:space="0"/>
            </w:tcBorders>
            <w:noWrap w:val="0"/>
            <w:vAlign w:val="center"/>
          </w:tcPr>
          <w:p w14:paraId="6F2168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居民区</w:t>
            </w:r>
          </w:p>
        </w:tc>
        <w:tc>
          <w:tcPr>
            <w:tcW w:w="666" w:type="pct"/>
            <w:tcBorders>
              <w:left w:val="single" w:color="auto" w:sz="4" w:space="0"/>
              <w:right w:val="single" w:color="auto" w:sz="4" w:space="0"/>
            </w:tcBorders>
            <w:noWrap w:val="0"/>
            <w:vAlign w:val="center"/>
          </w:tcPr>
          <w:p w14:paraId="1BAB84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35B3C2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6E26653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1950</w:t>
            </w:r>
          </w:p>
        </w:tc>
        <w:tc>
          <w:tcPr>
            <w:tcW w:w="448" w:type="pct"/>
            <w:noWrap w:val="0"/>
            <w:vAlign w:val="center"/>
          </w:tcPr>
          <w:p w14:paraId="64A848D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8100</w:t>
            </w:r>
          </w:p>
        </w:tc>
      </w:tr>
      <w:tr w14:paraId="42F4C15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34A91D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23</w:t>
            </w:r>
          </w:p>
        </w:tc>
        <w:tc>
          <w:tcPr>
            <w:tcW w:w="948" w:type="pct"/>
            <w:noWrap w:val="0"/>
            <w:vAlign w:val="center"/>
          </w:tcPr>
          <w:p w14:paraId="1D5FD2A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润华美丽谷</w:t>
            </w:r>
          </w:p>
        </w:tc>
        <w:tc>
          <w:tcPr>
            <w:tcW w:w="498" w:type="pct"/>
            <w:noWrap w:val="0"/>
            <w:vAlign w:val="center"/>
          </w:tcPr>
          <w:p w14:paraId="6135A0B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-1492</w:t>
            </w:r>
          </w:p>
        </w:tc>
        <w:tc>
          <w:tcPr>
            <w:tcW w:w="500" w:type="pct"/>
            <w:noWrap w:val="0"/>
            <w:vAlign w:val="center"/>
          </w:tcPr>
          <w:p w14:paraId="4263DF6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1865</w:t>
            </w:r>
          </w:p>
        </w:tc>
        <w:tc>
          <w:tcPr>
            <w:tcW w:w="580" w:type="pct"/>
            <w:tcBorders>
              <w:right w:val="single" w:color="auto" w:sz="4" w:space="0"/>
            </w:tcBorders>
            <w:noWrap w:val="0"/>
            <w:vAlign w:val="center"/>
          </w:tcPr>
          <w:p w14:paraId="768008A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居民区</w:t>
            </w:r>
          </w:p>
        </w:tc>
        <w:tc>
          <w:tcPr>
            <w:tcW w:w="666" w:type="pct"/>
            <w:tcBorders>
              <w:left w:val="single" w:color="auto" w:sz="4" w:space="0"/>
              <w:right w:val="single" w:color="auto" w:sz="4" w:space="0"/>
            </w:tcBorders>
            <w:noWrap w:val="0"/>
            <w:vAlign w:val="center"/>
          </w:tcPr>
          <w:p w14:paraId="396B79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29F0507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79A57F8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2080</w:t>
            </w:r>
          </w:p>
        </w:tc>
        <w:tc>
          <w:tcPr>
            <w:tcW w:w="448" w:type="pct"/>
            <w:noWrap w:val="0"/>
            <w:vAlign w:val="center"/>
          </w:tcPr>
          <w:p w14:paraId="2D534ED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3100</w:t>
            </w:r>
          </w:p>
        </w:tc>
      </w:tr>
      <w:tr w14:paraId="3292D8A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654BEB0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24</w:t>
            </w:r>
          </w:p>
        </w:tc>
        <w:tc>
          <w:tcPr>
            <w:tcW w:w="948" w:type="pct"/>
            <w:noWrap w:val="0"/>
            <w:vAlign w:val="center"/>
          </w:tcPr>
          <w:p w14:paraId="7CADC7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建业春天里</w:t>
            </w:r>
          </w:p>
        </w:tc>
        <w:tc>
          <w:tcPr>
            <w:tcW w:w="498" w:type="pct"/>
            <w:noWrap w:val="0"/>
            <w:vAlign w:val="center"/>
          </w:tcPr>
          <w:p w14:paraId="04B293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-1756</w:t>
            </w:r>
          </w:p>
        </w:tc>
        <w:tc>
          <w:tcPr>
            <w:tcW w:w="500" w:type="pct"/>
            <w:noWrap w:val="0"/>
            <w:vAlign w:val="center"/>
          </w:tcPr>
          <w:p w14:paraId="2D88AA5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1850</w:t>
            </w:r>
          </w:p>
        </w:tc>
        <w:tc>
          <w:tcPr>
            <w:tcW w:w="580" w:type="pct"/>
            <w:tcBorders>
              <w:right w:val="single" w:color="auto" w:sz="4" w:space="0"/>
            </w:tcBorders>
            <w:noWrap w:val="0"/>
            <w:vAlign w:val="center"/>
          </w:tcPr>
          <w:p w14:paraId="0A79A43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居民区</w:t>
            </w:r>
          </w:p>
        </w:tc>
        <w:tc>
          <w:tcPr>
            <w:tcW w:w="666" w:type="pct"/>
            <w:tcBorders>
              <w:left w:val="single" w:color="auto" w:sz="4" w:space="0"/>
              <w:right w:val="single" w:color="auto" w:sz="4" w:space="0"/>
            </w:tcBorders>
            <w:noWrap w:val="0"/>
            <w:vAlign w:val="center"/>
          </w:tcPr>
          <w:p w14:paraId="654DFB0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2374EB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3232D4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2280</w:t>
            </w:r>
          </w:p>
        </w:tc>
        <w:tc>
          <w:tcPr>
            <w:tcW w:w="448" w:type="pct"/>
            <w:noWrap w:val="0"/>
            <w:vAlign w:val="center"/>
          </w:tcPr>
          <w:p w14:paraId="533D216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4000</w:t>
            </w:r>
          </w:p>
        </w:tc>
      </w:tr>
      <w:tr w14:paraId="621C7E3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0D9696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25</w:t>
            </w:r>
          </w:p>
        </w:tc>
        <w:tc>
          <w:tcPr>
            <w:tcW w:w="948" w:type="pct"/>
            <w:noWrap w:val="0"/>
            <w:vAlign w:val="center"/>
          </w:tcPr>
          <w:p w14:paraId="0AA5BE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格林小镇南区</w:t>
            </w:r>
          </w:p>
        </w:tc>
        <w:tc>
          <w:tcPr>
            <w:tcW w:w="498" w:type="pct"/>
            <w:noWrap w:val="0"/>
            <w:vAlign w:val="center"/>
          </w:tcPr>
          <w:p w14:paraId="41E420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-973</w:t>
            </w:r>
          </w:p>
        </w:tc>
        <w:tc>
          <w:tcPr>
            <w:tcW w:w="500" w:type="pct"/>
            <w:noWrap w:val="0"/>
            <w:vAlign w:val="center"/>
          </w:tcPr>
          <w:p w14:paraId="5D1291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1594</w:t>
            </w:r>
          </w:p>
        </w:tc>
        <w:tc>
          <w:tcPr>
            <w:tcW w:w="580" w:type="pct"/>
            <w:tcBorders>
              <w:right w:val="single" w:color="auto" w:sz="4" w:space="0"/>
            </w:tcBorders>
            <w:noWrap w:val="0"/>
            <w:vAlign w:val="center"/>
          </w:tcPr>
          <w:p w14:paraId="7D88497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居民区</w:t>
            </w:r>
          </w:p>
        </w:tc>
        <w:tc>
          <w:tcPr>
            <w:tcW w:w="666" w:type="pct"/>
            <w:tcBorders>
              <w:left w:val="single" w:color="auto" w:sz="4" w:space="0"/>
              <w:right w:val="single" w:color="auto" w:sz="4" w:space="0"/>
            </w:tcBorders>
            <w:noWrap w:val="0"/>
            <w:vAlign w:val="center"/>
          </w:tcPr>
          <w:p w14:paraId="6066ECF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41DF4A5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6C91A6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1410</w:t>
            </w:r>
          </w:p>
        </w:tc>
        <w:tc>
          <w:tcPr>
            <w:tcW w:w="448" w:type="pct"/>
            <w:noWrap w:val="0"/>
            <w:vAlign w:val="center"/>
          </w:tcPr>
          <w:p w14:paraId="31F3BE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2000</w:t>
            </w:r>
          </w:p>
        </w:tc>
      </w:tr>
      <w:tr w14:paraId="32E4290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0FA143F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26</w:t>
            </w:r>
          </w:p>
        </w:tc>
        <w:tc>
          <w:tcPr>
            <w:tcW w:w="948" w:type="pct"/>
            <w:noWrap w:val="0"/>
            <w:vAlign w:val="center"/>
          </w:tcPr>
          <w:p w14:paraId="1EC5128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靖业云溪九里</w:t>
            </w:r>
          </w:p>
        </w:tc>
        <w:tc>
          <w:tcPr>
            <w:tcW w:w="498" w:type="pct"/>
            <w:noWrap w:val="0"/>
            <w:vAlign w:val="center"/>
          </w:tcPr>
          <w:p w14:paraId="5FC9BCF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-499</w:t>
            </w:r>
          </w:p>
        </w:tc>
        <w:tc>
          <w:tcPr>
            <w:tcW w:w="500" w:type="pct"/>
            <w:noWrap w:val="0"/>
            <w:vAlign w:val="center"/>
          </w:tcPr>
          <w:p w14:paraId="220CD3B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2000</w:t>
            </w:r>
          </w:p>
        </w:tc>
        <w:tc>
          <w:tcPr>
            <w:tcW w:w="580" w:type="pct"/>
            <w:tcBorders>
              <w:right w:val="single" w:color="auto" w:sz="4" w:space="0"/>
            </w:tcBorders>
            <w:noWrap w:val="0"/>
            <w:vAlign w:val="center"/>
          </w:tcPr>
          <w:p w14:paraId="69712B8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居民区</w:t>
            </w:r>
          </w:p>
        </w:tc>
        <w:tc>
          <w:tcPr>
            <w:tcW w:w="666" w:type="pct"/>
            <w:tcBorders>
              <w:left w:val="single" w:color="auto" w:sz="4" w:space="0"/>
              <w:right w:val="single" w:color="auto" w:sz="4" w:space="0"/>
            </w:tcBorders>
            <w:noWrap w:val="0"/>
            <w:vAlign w:val="center"/>
          </w:tcPr>
          <w:p w14:paraId="3331215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37A30B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1E2FCF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1557</w:t>
            </w:r>
          </w:p>
        </w:tc>
        <w:tc>
          <w:tcPr>
            <w:tcW w:w="448" w:type="pct"/>
            <w:noWrap w:val="0"/>
            <w:vAlign w:val="center"/>
          </w:tcPr>
          <w:p w14:paraId="400AD44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5000</w:t>
            </w:r>
          </w:p>
        </w:tc>
      </w:tr>
      <w:tr w14:paraId="6677D0C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4385FB8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27</w:t>
            </w:r>
          </w:p>
        </w:tc>
        <w:tc>
          <w:tcPr>
            <w:tcW w:w="948" w:type="pct"/>
            <w:noWrap w:val="0"/>
            <w:vAlign w:val="center"/>
          </w:tcPr>
          <w:p w14:paraId="308CA32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紫东上院</w:t>
            </w:r>
          </w:p>
        </w:tc>
        <w:tc>
          <w:tcPr>
            <w:tcW w:w="498" w:type="pct"/>
            <w:noWrap w:val="0"/>
            <w:vAlign w:val="center"/>
          </w:tcPr>
          <w:p w14:paraId="544FC4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-1086</w:t>
            </w:r>
          </w:p>
        </w:tc>
        <w:tc>
          <w:tcPr>
            <w:tcW w:w="500" w:type="pct"/>
            <w:noWrap w:val="0"/>
            <w:vAlign w:val="center"/>
          </w:tcPr>
          <w:p w14:paraId="2B85878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1865</w:t>
            </w:r>
          </w:p>
        </w:tc>
        <w:tc>
          <w:tcPr>
            <w:tcW w:w="580" w:type="pct"/>
            <w:tcBorders>
              <w:right w:val="single" w:color="auto" w:sz="4" w:space="0"/>
            </w:tcBorders>
            <w:noWrap w:val="0"/>
            <w:vAlign w:val="center"/>
          </w:tcPr>
          <w:p w14:paraId="44B2215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居民区</w:t>
            </w:r>
          </w:p>
        </w:tc>
        <w:tc>
          <w:tcPr>
            <w:tcW w:w="666" w:type="pct"/>
            <w:tcBorders>
              <w:left w:val="single" w:color="auto" w:sz="4" w:space="0"/>
              <w:right w:val="single" w:color="auto" w:sz="4" w:space="0"/>
            </w:tcBorders>
            <w:noWrap w:val="0"/>
            <w:vAlign w:val="center"/>
          </w:tcPr>
          <w:p w14:paraId="42AE4E3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78D7190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60205B0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1810</w:t>
            </w:r>
          </w:p>
        </w:tc>
        <w:tc>
          <w:tcPr>
            <w:tcW w:w="448" w:type="pct"/>
            <w:noWrap w:val="0"/>
            <w:vAlign w:val="center"/>
          </w:tcPr>
          <w:p w14:paraId="441A507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1100</w:t>
            </w:r>
          </w:p>
        </w:tc>
      </w:tr>
      <w:tr w14:paraId="09B8434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119B043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28</w:t>
            </w:r>
          </w:p>
        </w:tc>
        <w:tc>
          <w:tcPr>
            <w:tcW w:w="948" w:type="pct"/>
            <w:noWrap w:val="0"/>
            <w:vAlign w:val="center"/>
          </w:tcPr>
          <w:p w14:paraId="461A6E9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太行堤遗址公园</w:t>
            </w:r>
          </w:p>
        </w:tc>
        <w:tc>
          <w:tcPr>
            <w:tcW w:w="498" w:type="pct"/>
            <w:noWrap w:val="0"/>
            <w:vAlign w:val="center"/>
          </w:tcPr>
          <w:p w14:paraId="422C90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1089</w:t>
            </w:r>
          </w:p>
        </w:tc>
        <w:tc>
          <w:tcPr>
            <w:tcW w:w="500" w:type="pct"/>
            <w:noWrap w:val="0"/>
            <w:vAlign w:val="center"/>
          </w:tcPr>
          <w:p w14:paraId="3B9F0D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-136</w:t>
            </w:r>
          </w:p>
        </w:tc>
        <w:tc>
          <w:tcPr>
            <w:tcW w:w="580" w:type="pct"/>
            <w:tcBorders>
              <w:right w:val="single" w:color="auto" w:sz="4" w:space="0"/>
            </w:tcBorders>
            <w:noWrap w:val="0"/>
            <w:vAlign w:val="center"/>
          </w:tcPr>
          <w:p w14:paraId="045B29A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公园</w:t>
            </w:r>
          </w:p>
        </w:tc>
        <w:tc>
          <w:tcPr>
            <w:tcW w:w="666" w:type="pct"/>
            <w:tcBorders>
              <w:left w:val="single" w:color="auto" w:sz="4" w:space="0"/>
              <w:right w:val="single" w:color="auto" w:sz="4" w:space="0"/>
            </w:tcBorders>
            <w:noWrap w:val="0"/>
            <w:vAlign w:val="center"/>
          </w:tcPr>
          <w:p w14:paraId="58FFCBF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公园内人群</w:t>
            </w:r>
          </w:p>
        </w:tc>
        <w:tc>
          <w:tcPr>
            <w:tcW w:w="415" w:type="pct"/>
            <w:tcBorders>
              <w:left w:val="single" w:color="auto" w:sz="4" w:space="0"/>
            </w:tcBorders>
            <w:noWrap w:val="0"/>
            <w:vAlign w:val="center"/>
          </w:tcPr>
          <w:p w14:paraId="593F43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w:t>
            </w:r>
          </w:p>
        </w:tc>
        <w:tc>
          <w:tcPr>
            <w:tcW w:w="580" w:type="pct"/>
            <w:noWrap w:val="0"/>
            <w:vAlign w:val="center"/>
          </w:tcPr>
          <w:p w14:paraId="58164E5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rPr>
              <w:t>10</w:t>
            </w:r>
            <w:r>
              <w:rPr>
                <w:rFonts w:hint="eastAsia" w:eastAsia="宋体"/>
                <w:lang w:val="en-US" w:eastAsia="zh-CN"/>
              </w:rPr>
              <w:t>30</w:t>
            </w:r>
          </w:p>
        </w:tc>
        <w:tc>
          <w:tcPr>
            <w:tcW w:w="448" w:type="pct"/>
            <w:noWrap w:val="0"/>
            <w:vAlign w:val="center"/>
          </w:tcPr>
          <w:p w14:paraId="309FA1B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r>
      <w:tr w14:paraId="21C82D6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152BCF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29</w:t>
            </w:r>
          </w:p>
        </w:tc>
        <w:tc>
          <w:tcPr>
            <w:tcW w:w="948" w:type="pct"/>
            <w:noWrap w:val="0"/>
            <w:vAlign w:val="center"/>
          </w:tcPr>
          <w:p w14:paraId="636429F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小王庄村</w:t>
            </w:r>
          </w:p>
        </w:tc>
        <w:tc>
          <w:tcPr>
            <w:tcW w:w="498" w:type="pct"/>
            <w:noWrap w:val="0"/>
            <w:vAlign w:val="center"/>
          </w:tcPr>
          <w:p w14:paraId="7709DA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928</w:t>
            </w:r>
          </w:p>
        </w:tc>
        <w:tc>
          <w:tcPr>
            <w:tcW w:w="500" w:type="pct"/>
            <w:noWrap w:val="0"/>
            <w:vAlign w:val="center"/>
          </w:tcPr>
          <w:p w14:paraId="2EF23F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4330</w:t>
            </w:r>
          </w:p>
        </w:tc>
        <w:tc>
          <w:tcPr>
            <w:tcW w:w="580" w:type="pct"/>
            <w:tcBorders>
              <w:right w:val="single" w:color="auto" w:sz="4" w:space="0"/>
            </w:tcBorders>
            <w:noWrap w:val="0"/>
            <w:vAlign w:val="center"/>
          </w:tcPr>
          <w:p w14:paraId="69F14B2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5FA419A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6D36BC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东北</w:t>
            </w:r>
          </w:p>
        </w:tc>
        <w:tc>
          <w:tcPr>
            <w:tcW w:w="580" w:type="pct"/>
            <w:noWrap w:val="0"/>
            <w:vAlign w:val="center"/>
          </w:tcPr>
          <w:p w14:paraId="0232315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3990</w:t>
            </w:r>
          </w:p>
        </w:tc>
        <w:tc>
          <w:tcPr>
            <w:tcW w:w="448" w:type="pct"/>
            <w:vMerge w:val="restart"/>
            <w:noWrap w:val="0"/>
            <w:vAlign w:val="center"/>
          </w:tcPr>
          <w:p w14:paraId="5D4D10D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8100</w:t>
            </w:r>
          </w:p>
        </w:tc>
      </w:tr>
      <w:tr w14:paraId="5E5939E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4D8E22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30</w:t>
            </w:r>
          </w:p>
        </w:tc>
        <w:tc>
          <w:tcPr>
            <w:tcW w:w="948" w:type="pct"/>
            <w:noWrap w:val="0"/>
            <w:vAlign w:val="center"/>
          </w:tcPr>
          <w:p w14:paraId="5698F2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东屯镇</w:t>
            </w:r>
          </w:p>
        </w:tc>
        <w:tc>
          <w:tcPr>
            <w:tcW w:w="498" w:type="pct"/>
            <w:noWrap w:val="0"/>
            <w:vAlign w:val="center"/>
          </w:tcPr>
          <w:p w14:paraId="3A3C8FC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1545</w:t>
            </w:r>
          </w:p>
        </w:tc>
        <w:tc>
          <w:tcPr>
            <w:tcW w:w="500" w:type="pct"/>
            <w:noWrap w:val="0"/>
            <w:vAlign w:val="center"/>
          </w:tcPr>
          <w:p w14:paraId="0178D7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4861</w:t>
            </w:r>
          </w:p>
        </w:tc>
        <w:tc>
          <w:tcPr>
            <w:tcW w:w="580" w:type="pct"/>
            <w:tcBorders>
              <w:right w:val="single" w:color="auto" w:sz="4" w:space="0"/>
            </w:tcBorders>
            <w:noWrap w:val="0"/>
            <w:vAlign w:val="center"/>
          </w:tcPr>
          <w:p w14:paraId="2B4DF5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5F4AFA0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282E8E1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东北</w:t>
            </w:r>
          </w:p>
        </w:tc>
        <w:tc>
          <w:tcPr>
            <w:tcW w:w="580" w:type="pct"/>
            <w:noWrap w:val="0"/>
            <w:vAlign w:val="center"/>
          </w:tcPr>
          <w:p w14:paraId="1B21C13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4480</w:t>
            </w:r>
          </w:p>
        </w:tc>
        <w:tc>
          <w:tcPr>
            <w:tcW w:w="448" w:type="pct"/>
            <w:vMerge w:val="continue"/>
            <w:noWrap w:val="0"/>
            <w:vAlign w:val="center"/>
          </w:tcPr>
          <w:p w14:paraId="0FC792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r>
      <w:tr w14:paraId="11E0224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6E460A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31</w:t>
            </w:r>
          </w:p>
        </w:tc>
        <w:tc>
          <w:tcPr>
            <w:tcW w:w="948" w:type="pct"/>
            <w:noWrap w:val="0"/>
            <w:vAlign w:val="center"/>
          </w:tcPr>
          <w:p w14:paraId="06A5BFD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水花堡村</w:t>
            </w:r>
          </w:p>
        </w:tc>
        <w:tc>
          <w:tcPr>
            <w:tcW w:w="498" w:type="pct"/>
            <w:noWrap w:val="0"/>
            <w:vAlign w:val="center"/>
          </w:tcPr>
          <w:p w14:paraId="10D76E5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2585</w:t>
            </w:r>
          </w:p>
        </w:tc>
        <w:tc>
          <w:tcPr>
            <w:tcW w:w="500" w:type="pct"/>
            <w:noWrap w:val="0"/>
            <w:vAlign w:val="center"/>
          </w:tcPr>
          <w:p w14:paraId="4A514A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3528</w:t>
            </w:r>
          </w:p>
        </w:tc>
        <w:tc>
          <w:tcPr>
            <w:tcW w:w="580" w:type="pct"/>
            <w:tcBorders>
              <w:right w:val="single" w:color="auto" w:sz="4" w:space="0"/>
            </w:tcBorders>
            <w:noWrap w:val="0"/>
            <w:vAlign w:val="center"/>
          </w:tcPr>
          <w:p w14:paraId="059171B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20A0452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5F73F8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东北</w:t>
            </w:r>
          </w:p>
        </w:tc>
        <w:tc>
          <w:tcPr>
            <w:tcW w:w="580" w:type="pct"/>
            <w:noWrap w:val="0"/>
            <w:vAlign w:val="center"/>
          </w:tcPr>
          <w:p w14:paraId="36432FA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4010</w:t>
            </w:r>
          </w:p>
        </w:tc>
        <w:tc>
          <w:tcPr>
            <w:tcW w:w="448" w:type="pct"/>
            <w:noWrap w:val="0"/>
            <w:vAlign w:val="center"/>
          </w:tcPr>
          <w:p w14:paraId="5243CF8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600</w:t>
            </w:r>
          </w:p>
        </w:tc>
      </w:tr>
      <w:tr w14:paraId="1FA08EC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19D8A2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32</w:t>
            </w:r>
          </w:p>
        </w:tc>
        <w:tc>
          <w:tcPr>
            <w:tcW w:w="948" w:type="pct"/>
            <w:noWrap w:val="0"/>
            <w:vAlign w:val="center"/>
          </w:tcPr>
          <w:p w14:paraId="385EF9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汲津铺村</w:t>
            </w:r>
          </w:p>
        </w:tc>
        <w:tc>
          <w:tcPr>
            <w:tcW w:w="498" w:type="pct"/>
            <w:noWrap w:val="0"/>
            <w:vAlign w:val="center"/>
          </w:tcPr>
          <w:p w14:paraId="1D623A7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3647</w:t>
            </w:r>
          </w:p>
        </w:tc>
        <w:tc>
          <w:tcPr>
            <w:tcW w:w="500" w:type="pct"/>
            <w:noWrap w:val="0"/>
            <w:vAlign w:val="center"/>
          </w:tcPr>
          <w:p w14:paraId="17E1161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3583</w:t>
            </w:r>
          </w:p>
        </w:tc>
        <w:tc>
          <w:tcPr>
            <w:tcW w:w="580" w:type="pct"/>
            <w:tcBorders>
              <w:right w:val="single" w:color="auto" w:sz="4" w:space="0"/>
            </w:tcBorders>
            <w:noWrap w:val="0"/>
            <w:vAlign w:val="center"/>
          </w:tcPr>
          <w:p w14:paraId="3B990DC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41EDD9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04B5DF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东北</w:t>
            </w:r>
          </w:p>
        </w:tc>
        <w:tc>
          <w:tcPr>
            <w:tcW w:w="580" w:type="pct"/>
            <w:noWrap w:val="0"/>
            <w:vAlign w:val="center"/>
          </w:tcPr>
          <w:p w14:paraId="3A19778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4750</w:t>
            </w:r>
          </w:p>
        </w:tc>
        <w:tc>
          <w:tcPr>
            <w:tcW w:w="448" w:type="pct"/>
            <w:noWrap w:val="0"/>
            <w:vAlign w:val="center"/>
          </w:tcPr>
          <w:p w14:paraId="3FA2BD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1550</w:t>
            </w:r>
          </w:p>
        </w:tc>
      </w:tr>
      <w:tr w14:paraId="30542FE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7BE33F3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33</w:t>
            </w:r>
          </w:p>
        </w:tc>
        <w:tc>
          <w:tcPr>
            <w:tcW w:w="948" w:type="pct"/>
            <w:noWrap w:val="0"/>
            <w:vAlign w:val="center"/>
          </w:tcPr>
          <w:p w14:paraId="1F8716E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第五疃村</w:t>
            </w:r>
          </w:p>
        </w:tc>
        <w:tc>
          <w:tcPr>
            <w:tcW w:w="498" w:type="pct"/>
            <w:noWrap w:val="0"/>
            <w:vAlign w:val="center"/>
          </w:tcPr>
          <w:p w14:paraId="3658DA6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-3915</w:t>
            </w:r>
          </w:p>
        </w:tc>
        <w:tc>
          <w:tcPr>
            <w:tcW w:w="500" w:type="pct"/>
            <w:noWrap w:val="0"/>
            <w:vAlign w:val="center"/>
          </w:tcPr>
          <w:p w14:paraId="3E0892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225</w:t>
            </w:r>
          </w:p>
        </w:tc>
        <w:tc>
          <w:tcPr>
            <w:tcW w:w="580" w:type="pct"/>
            <w:tcBorders>
              <w:right w:val="single" w:color="auto" w:sz="4" w:space="0"/>
            </w:tcBorders>
            <w:noWrap w:val="0"/>
            <w:vAlign w:val="center"/>
          </w:tcPr>
          <w:p w14:paraId="20B870E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255379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1197ECB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w:t>
            </w:r>
          </w:p>
        </w:tc>
        <w:tc>
          <w:tcPr>
            <w:tcW w:w="580" w:type="pct"/>
            <w:noWrap w:val="0"/>
            <w:vAlign w:val="center"/>
          </w:tcPr>
          <w:p w14:paraId="10798B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3868</w:t>
            </w:r>
          </w:p>
        </w:tc>
        <w:tc>
          <w:tcPr>
            <w:tcW w:w="448" w:type="pct"/>
            <w:noWrap w:val="0"/>
            <w:vAlign w:val="center"/>
          </w:tcPr>
          <w:p w14:paraId="5F0662E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4200</w:t>
            </w:r>
          </w:p>
        </w:tc>
      </w:tr>
      <w:tr w14:paraId="143B688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674B1A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34</w:t>
            </w:r>
          </w:p>
        </w:tc>
        <w:tc>
          <w:tcPr>
            <w:tcW w:w="948" w:type="pct"/>
            <w:noWrap w:val="0"/>
            <w:vAlign w:val="center"/>
          </w:tcPr>
          <w:p w14:paraId="51BE236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邢庄村</w:t>
            </w:r>
          </w:p>
        </w:tc>
        <w:tc>
          <w:tcPr>
            <w:tcW w:w="498" w:type="pct"/>
            <w:noWrap w:val="0"/>
            <w:vAlign w:val="center"/>
          </w:tcPr>
          <w:p w14:paraId="1F9AB2A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-4067</w:t>
            </w:r>
          </w:p>
        </w:tc>
        <w:tc>
          <w:tcPr>
            <w:tcW w:w="500" w:type="pct"/>
            <w:noWrap w:val="0"/>
            <w:vAlign w:val="center"/>
          </w:tcPr>
          <w:p w14:paraId="481B3B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-1064</w:t>
            </w:r>
          </w:p>
        </w:tc>
        <w:tc>
          <w:tcPr>
            <w:tcW w:w="580" w:type="pct"/>
            <w:tcBorders>
              <w:right w:val="single" w:color="auto" w:sz="4" w:space="0"/>
            </w:tcBorders>
            <w:noWrap w:val="0"/>
            <w:vAlign w:val="center"/>
          </w:tcPr>
          <w:p w14:paraId="4B5924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2A674E4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5C8313D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西南</w:t>
            </w:r>
          </w:p>
        </w:tc>
        <w:tc>
          <w:tcPr>
            <w:tcW w:w="580" w:type="pct"/>
            <w:noWrap w:val="0"/>
            <w:vAlign w:val="center"/>
          </w:tcPr>
          <w:p w14:paraId="3358926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4090</w:t>
            </w:r>
          </w:p>
        </w:tc>
        <w:tc>
          <w:tcPr>
            <w:tcW w:w="448" w:type="pct"/>
            <w:noWrap w:val="0"/>
            <w:vAlign w:val="center"/>
          </w:tcPr>
          <w:p w14:paraId="35802BD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240</w:t>
            </w:r>
          </w:p>
        </w:tc>
      </w:tr>
      <w:tr w14:paraId="19185DB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3ABC49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35</w:t>
            </w:r>
          </w:p>
        </w:tc>
        <w:tc>
          <w:tcPr>
            <w:tcW w:w="948" w:type="pct"/>
            <w:noWrap w:val="0"/>
            <w:vAlign w:val="center"/>
          </w:tcPr>
          <w:p w14:paraId="01970C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小三王庄</w:t>
            </w:r>
          </w:p>
        </w:tc>
        <w:tc>
          <w:tcPr>
            <w:tcW w:w="498" w:type="pct"/>
            <w:noWrap w:val="0"/>
            <w:vAlign w:val="center"/>
          </w:tcPr>
          <w:p w14:paraId="3EBD5BD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-3135</w:t>
            </w:r>
          </w:p>
        </w:tc>
        <w:tc>
          <w:tcPr>
            <w:tcW w:w="500" w:type="pct"/>
            <w:noWrap w:val="0"/>
            <w:vAlign w:val="center"/>
          </w:tcPr>
          <w:p w14:paraId="16B0A8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-3252</w:t>
            </w:r>
          </w:p>
        </w:tc>
        <w:tc>
          <w:tcPr>
            <w:tcW w:w="580" w:type="pct"/>
            <w:tcBorders>
              <w:right w:val="single" w:color="auto" w:sz="4" w:space="0"/>
            </w:tcBorders>
            <w:noWrap w:val="0"/>
            <w:vAlign w:val="center"/>
          </w:tcPr>
          <w:p w14:paraId="22C8CEE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458B14F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35B357C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西南</w:t>
            </w:r>
          </w:p>
        </w:tc>
        <w:tc>
          <w:tcPr>
            <w:tcW w:w="580" w:type="pct"/>
            <w:noWrap w:val="0"/>
            <w:vAlign w:val="center"/>
          </w:tcPr>
          <w:p w14:paraId="2267FF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4288</w:t>
            </w:r>
          </w:p>
        </w:tc>
        <w:tc>
          <w:tcPr>
            <w:tcW w:w="448" w:type="pct"/>
            <w:noWrap w:val="0"/>
            <w:vAlign w:val="center"/>
          </w:tcPr>
          <w:p w14:paraId="229BB1E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120</w:t>
            </w:r>
          </w:p>
        </w:tc>
      </w:tr>
      <w:tr w14:paraId="17BC1FE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5151C9F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36</w:t>
            </w:r>
          </w:p>
        </w:tc>
        <w:tc>
          <w:tcPr>
            <w:tcW w:w="948" w:type="pct"/>
            <w:noWrap w:val="0"/>
            <w:vAlign w:val="center"/>
          </w:tcPr>
          <w:p w14:paraId="46689EF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王连屯村</w:t>
            </w:r>
          </w:p>
        </w:tc>
        <w:tc>
          <w:tcPr>
            <w:tcW w:w="498" w:type="pct"/>
            <w:noWrap w:val="0"/>
            <w:vAlign w:val="center"/>
          </w:tcPr>
          <w:p w14:paraId="7E38A3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-2377</w:t>
            </w:r>
          </w:p>
        </w:tc>
        <w:tc>
          <w:tcPr>
            <w:tcW w:w="500" w:type="pct"/>
            <w:noWrap w:val="0"/>
            <w:vAlign w:val="center"/>
          </w:tcPr>
          <w:p w14:paraId="1F315E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-3209</w:t>
            </w:r>
          </w:p>
        </w:tc>
        <w:tc>
          <w:tcPr>
            <w:tcW w:w="580" w:type="pct"/>
            <w:tcBorders>
              <w:right w:val="single" w:color="auto" w:sz="4" w:space="0"/>
            </w:tcBorders>
            <w:noWrap w:val="0"/>
            <w:vAlign w:val="center"/>
          </w:tcPr>
          <w:p w14:paraId="2848C50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1281D4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5B82DF7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西南</w:t>
            </w:r>
          </w:p>
        </w:tc>
        <w:tc>
          <w:tcPr>
            <w:tcW w:w="580" w:type="pct"/>
            <w:noWrap w:val="0"/>
            <w:vAlign w:val="center"/>
          </w:tcPr>
          <w:p w14:paraId="31B9FF7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3707</w:t>
            </w:r>
          </w:p>
        </w:tc>
        <w:tc>
          <w:tcPr>
            <w:tcW w:w="448" w:type="pct"/>
            <w:vMerge w:val="restart"/>
            <w:noWrap w:val="0"/>
            <w:vAlign w:val="center"/>
          </w:tcPr>
          <w:p w14:paraId="1EC979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14640</w:t>
            </w:r>
          </w:p>
        </w:tc>
      </w:tr>
      <w:tr w14:paraId="6495B84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11E871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37</w:t>
            </w:r>
          </w:p>
        </w:tc>
        <w:tc>
          <w:tcPr>
            <w:tcW w:w="948" w:type="pct"/>
            <w:noWrap w:val="0"/>
            <w:vAlign w:val="center"/>
          </w:tcPr>
          <w:p w14:paraId="557528C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张庄</w:t>
            </w:r>
          </w:p>
        </w:tc>
        <w:tc>
          <w:tcPr>
            <w:tcW w:w="498" w:type="pct"/>
            <w:noWrap w:val="0"/>
            <w:vAlign w:val="center"/>
          </w:tcPr>
          <w:p w14:paraId="28B9B1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-2171</w:t>
            </w:r>
          </w:p>
        </w:tc>
        <w:tc>
          <w:tcPr>
            <w:tcW w:w="500" w:type="pct"/>
            <w:noWrap w:val="0"/>
            <w:vAlign w:val="center"/>
          </w:tcPr>
          <w:p w14:paraId="312843A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-3989</w:t>
            </w:r>
          </w:p>
        </w:tc>
        <w:tc>
          <w:tcPr>
            <w:tcW w:w="580" w:type="pct"/>
            <w:tcBorders>
              <w:right w:val="single" w:color="auto" w:sz="4" w:space="0"/>
            </w:tcBorders>
            <w:noWrap w:val="0"/>
            <w:vAlign w:val="center"/>
          </w:tcPr>
          <w:p w14:paraId="5DE389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7662CD9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497C048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西南</w:t>
            </w:r>
          </w:p>
        </w:tc>
        <w:tc>
          <w:tcPr>
            <w:tcW w:w="580" w:type="pct"/>
            <w:noWrap w:val="0"/>
            <w:vAlign w:val="center"/>
          </w:tcPr>
          <w:p w14:paraId="48DAF30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4320</w:t>
            </w:r>
          </w:p>
        </w:tc>
        <w:tc>
          <w:tcPr>
            <w:tcW w:w="448" w:type="pct"/>
            <w:vMerge w:val="continue"/>
            <w:noWrap w:val="0"/>
            <w:vAlign w:val="center"/>
          </w:tcPr>
          <w:p w14:paraId="3C62E00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r>
      <w:tr w14:paraId="4AD08DE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60A8BE9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38</w:t>
            </w:r>
          </w:p>
        </w:tc>
        <w:tc>
          <w:tcPr>
            <w:tcW w:w="948" w:type="pct"/>
            <w:noWrap w:val="0"/>
            <w:vAlign w:val="center"/>
          </w:tcPr>
          <w:p w14:paraId="460AAF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崔井村</w:t>
            </w:r>
          </w:p>
        </w:tc>
        <w:tc>
          <w:tcPr>
            <w:tcW w:w="498" w:type="pct"/>
            <w:noWrap w:val="0"/>
            <w:vAlign w:val="center"/>
          </w:tcPr>
          <w:p w14:paraId="7EFE19A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-2583</w:t>
            </w:r>
          </w:p>
        </w:tc>
        <w:tc>
          <w:tcPr>
            <w:tcW w:w="500" w:type="pct"/>
            <w:noWrap w:val="0"/>
            <w:vAlign w:val="center"/>
          </w:tcPr>
          <w:p w14:paraId="7275B2A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-4065</w:t>
            </w:r>
          </w:p>
        </w:tc>
        <w:tc>
          <w:tcPr>
            <w:tcW w:w="580" w:type="pct"/>
            <w:tcBorders>
              <w:right w:val="single" w:color="auto" w:sz="4" w:space="0"/>
            </w:tcBorders>
            <w:noWrap w:val="0"/>
            <w:vAlign w:val="center"/>
          </w:tcPr>
          <w:p w14:paraId="4A97E4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02CBDB4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6E96B04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西南</w:t>
            </w:r>
          </w:p>
        </w:tc>
        <w:tc>
          <w:tcPr>
            <w:tcW w:w="580" w:type="pct"/>
            <w:noWrap w:val="0"/>
            <w:vAlign w:val="center"/>
          </w:tcPr>
          <w:p w14:paraId="6F6C03F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4760</w:t>
            </w:r>
          </w:p>
        </w:tc>
        <w:tc>
          <w:tcPr>
            <w:tcW w:w="448" w:type="pct"/>
            <w:vMerge w:val="continue"/>
            <w:noWrap w:val="0"/>
            <w:vAlign w:val="center"/>
          </w:tcPr>
          <w:p w14:paraId="78AB9FE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r>
      <w:tr w14:paraId="2EE8734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34037D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39</w:t>
            </w:r>
          </w:p>
        </w:tc>
        <w:tc>
          <w:tcPr>
            <w:tcW w:w="948" w:type="pct"/>
            <w:noWrap w:val="0"/>
            <w:vAlign w:val="center"/>
          </w:tcPr>
          <w:p w14:paraId="715DE5A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西娄庄村</w:t>
            </w:r>
          </w:p>
        </w:tc>
        <w:tc>
          <w:tcPr>
            <w:tcW w:w="498" w:type="pct"/>
            <w:noWrap w:val="0"/>
            <w:vAlign w:val="center"/>
          </w:tcPr>
          <w:p w14:paraId="3C1812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427</w:t>
            </w:r>
          </w:p>
        </w:tc>
        <w:tc>
          <w:tcPr>
            <w:tcW w:w="500" w:type="pct"/>
            <w:noWrap w:val="0"/>
            <w:vAlign w:val="center"/>
          </w:tcPr>
          <w:p w14:paraId="61BDEBC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-3433</w:t>
            </w:r>
          </w:p>
        </w:tc>
        <w:tc>
          <w:tcPr>
            <w:tcW w:w="580" w:type="pct"/>
            <w:tcBorders>
              <w:right w:val="single" w:color="auto" w:sz="4" w:space="0"/>
            </w:tcBorders>
            <w:noWrap w:val="0"/>
            <w:vAlign w:val="center"/>
          </w:tcPr>
          <w:p w14:paraId="3756AF7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1AF913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49AF7D7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南</w:t>
            </w:r>
          </w:p>
        </w:tc>
        <w:tc>
          <w:tcPr>
            <w:tcW w:w="580" w:type="pct"/>
            <w:noWrap w:val="0"/>
            <w:vAlign w:val="center"/>
          </w:tcPr>
          <w:p w14:paraId="72DC65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3211</w:t>
            </w:r>
          </w:p>
        </w:tc>
        <w:tc>
          <w:tcPr>
            <w:tcW w:w="448" w:type="pct"/>
            <w:noWrap w:val="0"/>
            <w:vAlign w:val="center"/>
          </w:tcPr>
          <w:p w14:paraId="7265C9A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3300</w:t>
            </w:r>
          </w:p>
        </w:tc>
      </w:tr>
      <w:tr w14:paraId="2B3845A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53996E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40</w:t>
            </w:r>
          </w:p>
        </w:tc>
        <w:tc>
          <w:tcPr>
            <w:tcW w:w="948" w:type="pct"/>
            <w:noWrap w:val="0"/>
            <w:vAlign w:val="center"/>
          </w:tcPr>
          <w:p w14:paraId="54D035B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张河村</w:t>
            </w:r>
          </w:p>
        </w:tc>
        <w:tc>
          <w:tcPr>
            <w:tcW w:w="498" w:type="pct"/>
            <w:noWrap w:val="0"/>
            <w:vAlign w:val="center"/>
          </w:tcPr>
          <w:p w14:paraId="3D2E207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1202</w:t>
            </w:r>
          </w:p>
        </w:tc>
        <w:tc>
          <w:tcPr>
            <w:tcW w:w="500" w:type="pct"/>
            <w:noWrap w:val="0"/>
            <w:vAlign w:val="center"/>
          </w:tcPr>
          <w:p w14:paraId="5B8523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-2839</w:t>
            </w:r>
          </w:p>
        </w:tc>
        <w:tc>
          <w:tcPr>
            <w:tcW w:w="580" w:type="pct"/>
            <w:tcBorders>
              <w:right w:val="single" w:color="auto" w:sz="4" w:space="0"/>
            </w:tcBorders>
            <w:noWrap w:val="0"/>
            <w:vAlign w:val="center"/>
          </w:tcPr>
          <w:p w14:paraId="1B982B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4B24DA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3BEF2D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东南</w:t>
            </w:r>
          </w:p>
        </w:tc>
        <w:tc>
          <w:tcPr>
            <w:tcW w:w="580" w:type="pct"/>
            <w:noWrap w:val="0"/>
            <w:vAlign w:val="center"/>
          </w:tcPr>
          <w:p w14:paraId="315B3C5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2860</w:t>
            </w:r>
          </w:p>
        </w:tc>
        <w:tc>
          <w:tcPr>
            <w:tcW w:w="448" w:type="pct"/>
            <w:noWrap w:val="0"/>
            <w:vAlign w:val="center"/>
          </w:tcPr>
          <w:p w14:paraId="084512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1920</w:t>
            </w:r>
          </w:p>
        </w:tc>
      </w:tr>
      <w:tr w14:paraId="3E7B8CB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6D453A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41</w:t>
            </w:r>
          </w:p>
        </w:tc>
        <w:tc>
          <w:tcPr>
            <w:tcW w:w="948" w:type="pct"/>
            <w:noWrap w:val="0"/>
            <w:vAlign w:val="center"/>
          </w:tcPr>
          <w:p w14:paraId="35F11DE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枣园村</w:t>
            </w:r>
          </w:p>
        </w:tc>
        <w:tc>
          <w:tcPr>
            <w:tcW w:w="498" w:type="pct"/>
            <w:noWrap w:val="0"/>
            <w:vAlign w:val="center"/>
          </w:tcPr>
          <w:p w14:paraId="5320298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2613</w:t>
            </w:r>
          </w:p>
        </w:tc>
        <w:tc>
          <w:tcPr>
            <w:tcW w:w="500" w:type="pct"/>
            <w:noWrap w:val="0"/>
            <w:vAlign w:val="center"/>
          </w:tcPr>
          <w:p w14:paraId="1F5E69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-4646</w:t>
            </w:r>
          </w:p>
        </w:tc>
        <w:tc>
          <w:tcPr>
            <w:tcW w:w="580" w:type="pct"/>
            <w:tcBorders>
              <w:right w:val="single" w:color="auto" w:sz="4" w:space="0"/>
            </w:tcBorders>
            <w:noWrap w:val="0"/>
            <w:vAlign w:val="center"/>
          </w:tcPr>
          <w:p w14:paraId="034E9F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42D770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35FB88C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东南</w:t>
            </w:r>
          </w:p>
        </w:tc>
        <w:tc>
          <w:tcPr>
            <w:tcW w:w="580" w:type="pct"/>
            <w:noWrap w:val="0"/>
            <w:vAlign w:val="center"/>
          </w:tcPr>
          <w:p w14:paraId="2AA46AA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4928</w:t>
            </w:r>
          </w:p>
        </w:tc>
        <w:tc>
          <w:tcPr>
            <w:tcW w:w="448" w:type="pct"/>
            <w:noWrap w:val="0"/>
            <w:vAlign w:val="center"/>
          </w:tcPr>
          <w:p w14:paraId="79C3CAC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2400</w:t>
            </w:r>
          </w:p>
        </w:tc>
      </w:tr>
      <w:tr w14:paraId="14D1756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7FC7CE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42</w:t>
            </w:r>
          </w:p>
        </w:tc>
        <w:tc>
          <w:tcPr>
            <w:tcW w:w="948" w:type="pct"/>
            <w:noWrap w:val="0"/>
            <w:vAlign w:val="center"/>
          </w:tcPr>
          <w:p w14:paraId="444D6D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大韩庄村</w:t>
            </w:r>
          </w:p>
        </w:tc>
        <w:tc>
          <w:tcPr>
            <w:tcW w:w="498" w:type="pct"/>
            <w:noWrap w:val="0"/>
            <w:vAlign w:val="center"/>
          </w:tcPr>
          <w:p w14:paraId="45EA3E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2556</w:t>
            </w:r>
          </w:p>
        </w:tc>
        <w:tc>
          <w:tcPr>
            <w:tcW w:w="500" w:type="pct"/>
            <w:noWrap w:val="0"/>
            <w:vAlign w:val="center"/>
          </w:tcPr>
          <w:p w14:paraId="705C13E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-3479</w:t>
            </w:r>
          </w:p>
        </w:tc>
        <w:tc>
          <w:tcPr>
            <w:tcW w:w="580" w:type="pct"/>
            <w:tcBorders>
              <w:right w:val="single" w:color="auto" w:sz="4" w:space="0"/>
            </w:tcBorders>
            <w:noWrap w:val="0"/>
            <w:vAlign w:val="center"/>
          </w:tcPr>
          <w:p w14:paraId="73124DA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37FA8C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56BCE8E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东南</w:t>
            </w:r>
          </w:p>
        </w:tc>
        <w:tc>
          <w:tcPr>
            <w:tcW w:w="580" w:type="pct"/>
            <w:noWrap w:val="0"/>
            <w:vAlign w:val="center"/>
          </w:tcPr>
          <w:p w14:paraId="7A8041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3950</w:t>
            </w:r>
          </w:p>
        </w:tc>
        <w:tc>
          <w:tcPr>
            <w:tcW w:w="448" w:type="pct"/>
            <w:noWrap w:val="0"/>
            <w:vAlign w:val="center"/>
          </w:tcPr>
          <w:p w14:paraId="23E09A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800</w:t>
            </w:r>
          </w:p>
        </w:tc>
      </w:tr>
      <w:tr w14:paraId="21F5DE8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1C8AA1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43</w:t>
            </w:r>
          </w:p>
        </w:tc>
        <w:tc>
          <w:tcPr>
            <w:tcW w:w="948" w:type="pct"/>
            <w:noWrap w:val="0"/>
            <w:vAlign w:val="center"/>
          </w:tcPr>
          <w:p w14:paraId="7771114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小韩庄村</w:t>
            </w:r>
          </w:p>
        </w:tc>
        <w:tc>
          <w:tcPr>
            <w:tcW w:w="498" w:type="pct"/>
            <w:noWrap w:val="0"/>
            <w:vAlign w:val="center"/>
          </w:tcPr>
          <w:p w14:paraId="087A53A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3707</w:t>
            </w:r>
          </w:p>
        </w:tc>
        <w:tc>
          <w:tcPr>
            <w:tcW w:w="500" w:type="pct"/>
            <w:noWrap w:val="0"/>
            <w:vAlign w:val="center"/>
          </w:tcPr>
          <w:p w14:paraId="55CA4FF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-3275</w:t>
            </w:r>
          </w:p>
        </w:tc>
        <w:tc>
          <w:tcPr>
            <w:tcW w:w="580" w:type="pct"/>
            <w:tcBorders>
              <w:right w:val="single" w:color="auto" w:sz="4" w:space="0"/>
            </w:tcBorders>
            <w:noWrap w:val="0"/>
            <w:vAlign w:val="center"/>
          </w:tcPr>
          <w:p w14:paraId="309F03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65CFFF2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36F39E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东南</w:t>
            </w:r>
          </w:p>
        </w:tc>
        <w:tc>
          <w:tcPr>
            <w:tcW w:w="580" w:type="pct"/>
            <w:noWrap w:val="0"/>
            <w:vAlign w:val="center"/>
          </w:tcPr>
          <w:p w14:paraId="4058412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4560</w:t>
            </w:r>
          </w:p>
        </w:tc>
        <w:tc>
          <w:tcPr>
            <w:tcW w:w="448" w:type="pct"/>
            <w:noWrap w:val="0"/>
            <w:vAlign w:val="center"/>
          </w:tcPr>
          <w:p w14:paraId="5CAB66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1200</w:t>
            </w:r>
          </w:p>
        </w:tc>
      </w:tr>
      <w:tr w14:paraId="6C7BE4D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495D493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44</w:t>
            </w:r>
          </w:p>
        </w:tc>
        <w:tc>
          <w:tcPr>
            <w:tcW w:w="948" w:type="pct"/>
            <w:noWrap w:val="0"/>
            <w:vAlign w:val="center"/>
          </w:tcPr>
          <w:p w14:paraId="681CB34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刘景屯村</w:t>
            </w:r>
          </w:p>
        </w:tc>
        <w:tc>
          <w:tcPr>
            <w:tcW w:w="498" w:type="pct"/>
            <w:noWrap w:val="0"/>
            <w:vAlign w:val="center"/>
          </w:tcPr>
          <w:p w14:paraId="0D8F5AA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-3190</w:t>
            </w:r>
          </w:p>
        </w:tc>
        <w:tc>
          <w:tcPr>
            <w:tcW w:w="500" w:type="pct"/>
            <w:noWrap w:val="0"/>
            <w:vAlign w:val="center"/>
          </w:tcPr>
          <w:p w14:paraId="76BEF84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3434</w:t>
            </w:r>
          </w:p>
        </w:tc>
        <w:tc>
          <w:tcPr>
            <w:tcW w:w="580" w:type="pct"/>
            <w:tcBorders>
              <w:right w:val="single" w:color="auto" w:sz="4" w:space="0"/>
            </w:tcBorders>
            <w:noWrap w:val="0"/>
            <w:vAlign w:val="center"/>
          </w:tcPr>
          <w:p w14:paraId="04357D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22929C8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58BBD2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264688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4480</w:t>
            </w:r>
          </w:p>
        </w:tc>
        <w:tc>
          <w:tcPr>
            <w:tcW w:w="448" w:type="pct"/>
            <w:noWrap w:val="0"/>
            <w:vAlign w:val="center"/>
          </w:tcPr>
          <w:p w14:paraId="359046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5000</w:t>
            </w:r>
          </w:p>
        </w:tc>
      </w:tr>
      <w:tr w14:paraId="01D4111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348D69F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45</w:t>
            </w:r>
          </w:p>
        </w:tc>
        <w:tc>
          <w:tcPr>
            <w:tcW w:w="948" w:type="pct"/>
            <w:noWrap w:val="0"/>
            <w:vAlign w:val="center"/>
          </w:tcPr>
          <w:p w14:paraId="51313C5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大屯村</w:t>
            </w:r>
          </w:p>
        </w:tc>
        <w:tc>
          <w:tcPr>
            <w:tcW w:w="498" w:type="pct"/>
            <w:noWrap w:val="0"/>
            <w:vAlign w:val="center"/>
          </w:tcPr>
          <w:p w14:paraId="531EEA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-1911</w:t>
            </w:r>
          </w:p>
        </w:tc>
        <w:tc>
          <w:tcPr>
            <w:tcW w:w="500" w:type="pct"/>
            <w:noWrap w:val="0"/>
            <w:vAlign w:val="center"/>
          </w:tcPr>
          <w:p w14:paraId="43C445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4370</w:t>
            </w:r>
          </w:p>
        </w:tc>
        <w:tc>
          <w:tcPr>
            <w:tcW w:w="580" w:type="pct"/>
            <w:tcBorders>
              <w:right w:val="single" w:color="auto" w:sz="4" w:space="0"/>
            </w:tcBorders>
            <w:noWrap w:val="0"/>
            <w:vAlign w:val="center"/>
          </w:tcPr>
          <w:p w14:paraId="446DDB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448EFB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47FC79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5C052F1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4450</w:t>
            </w:r>
          </w:p>
        </w:tc>
        <w:tc>
          <w:tcPr>
            <w:tcW w:w="448" w:type="pct"/>
            <w:noWrap w:val="0"/>
            <w:vAlign w:val="center"/>
          </w:tcPr>
          <w:p w14:paraId="63DDBD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800</w:t>
            </w:r>
          </w:p>
        </w:tc>
      </w:tr>
      <w:tr w14:paraId="10C00C4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5BA5B4A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46</w:t>
            </w:r>
          </w:p>
        </w:tc>
        <w:tc>
          <w:tcPr>
            <w:tcW w:w="948" w:type="pct"/>
            <w:noWrap w:val="0"/>
            <w:vAlign w:val="center"/>
          </w:tcPr>
          <w:p w14:paraId="77690A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小屯村</w:t>
            </w:r>
          </w:p>
        </w:tc>
        <w:tc>
          <w:tcPr>
            <w:tcW w:w="498" w:type="pct"/>
            <w:noWrap w:val="0"/>
            <w:vAlign w:val="center"/>
          </w:tcPr>
          <w:p w14:paraId="7764563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-975</w:t>
            </w:r>
          </w:p>
        </w:tc>
        <w:tc>
          <w:tcPr>
            <w:tcW w:w="500" w:type="pct"/>
            <w:noWrap w:val="0"/>
            <w:vAlign w:val="center"/>
          </w:tcPr>
          <w:p w14:paraId="3B325C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4573</w:t>
            </w:r>
          </w:p>
        </w:tc>
        <w:tc>
          <w:tcPr>
            <w:tcW w:w="580" w:type="pct"/>
            <w:tcBorders>
              <w:right w:val="single" w:color="auto" w:sz="4" w:space="0"/>
            </w:tcBorders>
            <w:noWrap w:val="0"/>
            <w:vAlign w:val="center"/>
          </w:tcPr>
          <w:p w14:paraId="74BA629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32024C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1446CF8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567140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4350</w:t>
            </w:r>
          </w:p>
        </w:tc>
        <w:tc>
          <w:tcPr>
            <w:tcW w:w="448" w:type="pct"/>
            <w:noWrap w:val="0"/>
            <w:vAlign w:val="center"/>
          </w:tcPr>
          <w:p w14:paraId="70E7DA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4000</w:t>
            </w:r>
          </w:p>
        </w:tc>
      </w:tr>
      <w:tr w14:paraId="19CD42C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6B8D3B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47</w:t>
            </w:r>
          </w:p>
        </w:tc>
        <w:tc>
          <w:tcPr>
            <w:tcW w:w="948" w:type="pct"/>
            <w:noWrap w:val="0"/>
            <w:vAlign w:val="center"/>
          </w:tcPr>
          <w:p w14:paraId="5E4953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新远实验学校</w:t>
            </w:r>
          </w:p>
        </w:tc>
        <w:tc>
          <w:tcPr>
            <w:tcW w:w="498" w:type="pct"/>
            <w:noWrap w:val="0"/>
            <w:vAlign w:val="center"/>
          </w:tcPr>
          <w:p w14:paraId="495EA4A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2934</w:t>
            </w:r>
          </w:p>
        </w:tc>
        <w:tc>
          <w:tcPr>
            <w:tcW w:w="500" w:type="pct"/>
            <w:noWrap w:val="0"/>
            <w:vAlign w:val="center"/>
          </w:tcPr>
          <w:p w14:paraId="207BCA6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258</w:t>
            </w:r>
          </w:p>
        </w:tc>
        <w:tc>
          <w:tcPr>
            <w:tcW w:w="580" w:type="pct"/>
            <w:tcBorders>
              <w:right w:val="single" w:color="auto" w:sz="4" w:space="0"/>
            </w:tcBorders>
            <w:noWrap w:val="0"/>
            <w:vAlign w:val="center"/>
          </w:tcPr>
          <w:p w14:paraId="17D4252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学校</w:t>
            </w:r>
          </w:p>
        </w:tc>
        <w:tc>
          <w:tcPr>
            <w:tcW w:w="666" w:type="pct"/>
            <w:tcBorders>
              <w:left w:val="single" w:color="auto" w:sz="4" w:space="0"/>
              <w:right w:val="single" w:color="auto" w:sz="4" w:space="0"/>
            </w:tcBorders>
            <w:noWrap w:val="0"/>
            <w:vAlign w:val="center"/>
          </w:tcPr>
          <w:p w14:paraId="160984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教职工及学生</w:t>
            </w:r>
          </w:p>
        </w:tc>
        <w:tc>
          <w:tcPr>
            <w:tcW w:w="415" w:type="pct"/>
            <w:tcBorders>
              <w:left w:val="single" w:color="auto" w:sz="4" w:space="0"/>
            </w:tcBorders>
            <w:noWrap w:val="0"/>
            <w:vAlign w:val="center"/>
          </w:tcPr>
          <w:p w14:paraId="42F791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东</w:t>
            </w:r>
          </w:p>
        </w:tc>
        <w:tc>
          <w:tcPr>
            <w:tcW w:w="580" w:type="pct"/>
            <w:noWrap w:val="0"/>
            <w:vAlign w:val="center"/>
          </w:tcPr>
          <w:p w14:paraId="0B2A7F9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2610</w:t>
            </w:r>
          </w:p>
        </w:tc>
        <w:tc>
          <w:tcPr>
            <w:tcW w:w="448" w:type="pct"/>
            <w:noWrap w:val="0"/>
            <w:vAlign w:val="center"/>
          </w:tcPr>
          <w:p w14:paraId="07DF989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900</w:t>
            </w:r>
          </w:p>
        </w:tc>
      </w:tr>
      <w:tr w14:paraId="55B63CD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6D85693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48</w:t>
            </w:r>
          </w:p>
        </w:tc>
        <w:tc>
          <w:tcPr>
            <w:tcW w:w="948" w:type="pct"/>
            <w:noWrap w:val="0"/>
            <w:vAlign w:val="center"/>
          </w:tcPr>
          <w:p w14:paraId="0A8C92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新乡职业技术学院</w:t>
            </w:r>
          </w:p>
        </w:tc>
        <w:tc>
          <w:tcPr>
            <w:tcW w:w="498" w:type="pct"/>
            <w:noWrap w:val="0"/>
            <w:vAlign w:val="center"/>
          </w:tcPr>
          <w:p w14:paraId="57E973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-2069</w:t>
            </w:r>
          </w:p>
        </w:tc>
        <w:tc>
          <w:tcPr>
            <w:tcW w:w="500" w:type="pct"/>
            <w:noWrap w:val="0"/>
            <w:vAlign w:val="center"/>
          </w:tcPr>
          <w:p w14:paraId="26466C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208</w:t>
            </w:r>
          </w:p>
        </w:tc>
        <w:tc>
          <w:tcPr>
            <w:tcW w:w="580" w:type="pct"/>
            <w:tcBorders>
              <w:right w:val="single" w:color="auto" w:sz="4" w:space="0"/>
            </w:tcBorders>
            <w:noWrap w:val="0"/>
            <w:vAlign w:val="center"/>
          </w:tcPr>
          <w:p w14:paraId="19C75C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学校</w:t>
            </w:r>
          </w:p>
        </w:tc>
        <w:tc>
          <w:tcPr>
            <w:tcW w:w="666" w:type="pct"/>
            <w:tcBorders>
              <w:left w:val="single" w:color="auto" w:sz="4" w:space="0"/>
              <w:right w:val="single" w:color="auto" w:sz="4" w:space="0"/>
            </w:tcBorders>
            <w:noWrap w:val="0"/>
            <w:vAlign w:val="center"/>
          </w:tcPr>
          <w:p w14:paraId="0296899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教职工及学生</w:t>
            </w:r>
          </w:p>
        </w:tc>
        <w:tc>
          <w:tcPr>
            <w:tcW w:w="415" w:type="pct"/>
            <w:tcBorders>
              <w:left w:val="single" w:color="auto" w:sz="4" w:space="0"/>
            </w:tcBorders>
            <w:noWrap w:val="0"/>
            <w:vAlign w:val="center"/>
          </w:tcPr>
          <w:p w14:paraId="622B1B8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w:t>
            </w:r>
          </w:p>
        </w:tc>
        <w:tc>
          <w:tcPr>
            <w:tcW w:w="580" w:type="pct"/>
            <w:noWrap w:val="0"/>
            <w:vAlign w:val="center"/>
          </w:tcPr>
          <w:p w14:paraId="63A2583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2040</w:t>
            </w:r>
          </w:p>
        </w:tc>
        <w:tc>
          <w:tcPr>
            <w:tcW w:w="448" w:type="pct"/>
            <w:noWrap w:val="0"/>
            <w:vAlign w:val="center"/>
          </w:tcPr>
          <w:p w14:paraId="357937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12000</w:t>
            </w:r>
          </w:p>
        </w:tc>
      </w:tr>
      <w:tr w14:paraId="2B864E7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46DF521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49</w:t>
            </w:r>
          </w:p>
        </w:tc>
        <w:tc>
          <w:tcPr>
            <w:tcW w:w="948" w:type="pct"/>
            <w:noWrap w:val="0"/>
            <w:vAlign w:val="center"/>
          </w:tcPr>
          <w:p w14:paraId="2CC82A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四十三中学</w:t>
            </w:r>
          </w:p>
        </w:tc>
        <w:tc>
          <w:tcPr>
            <w:tcW w:w="498" w:type="pct"/>
            <w:noWrap w:val="0"/>
            <w:vAlign w:val="center"/>
          </w:tcPr>
          <w:p w14:paraId="499704E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-2127</w:t>
            </w:r>
          </w:p>
        </w:tc>
        <w:tc>
          <w:tcPr>
            <w:tcW w:w="500" w:type="pct"/>
            <w:noWrap w:val="0"/>
            <w:vAlign w:val="center"/>
          </w:tcPr>
          <w:p w14:paraId="0DFEF5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1882</w:t>
            </w:r>
          </w:p>
        </w:tc>
        <w:tc>
          <w:tcPr>
            <w:tcW w:w="580" w:type="pct"/>
            <w:tcBorders>
              <w:right w:val="single" w:color="auto" w:sz="4" w:space="0"/>
            </w:tcBorders>
            <w:noWrap w:val="0"/>
            <w:vAlign w:val="center"/>
          </w:tcPr>
          <w:p w14:paraId="1F863D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学校</w:t>
            </w:r>
          </w:p>
        </w:tc>
        <w:tc>
          <w:tcPr>
            <w:tcW w:w="666" w:type="pct"/>
            <w:tcBorders>
              <w:left w:val="single" w:color="auto" w:sz="4" w:space="0"/>
              <w:right w:val="single" w:color="auto" w:sz="4" w:space="0"/>
            </w:tcBorders>
            <w:noWrap w:val="0"/>
            <w:vAlign w:val="center"/>
          </w:tcPr>
          <w:p w14:paraId="4ABE897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教职工及学生</w:t>
            </w:r>
          </w:p>
        </w:tc>
        <w:tc>
          <w:tcPr>
            <w:tcW w:w="415" w:type="pct"/>
            <w:tcBorders>
              <w:left w:val="single" w:color="auto" w:sz="4" w:space="0"/>
            </w:tcBorders>
            <w:noWrap w:val="0"/>
            <w:vAlign w:val="center"/>
          </w:tcPr>
          <w:p w14:paraId="76BF97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4D76D6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2607</w:t>
            </w:r>
          </w:p>
        </w:tc>
        <w:tc>
          <w:tcPr>
            <w:tcW w:w="448" w:type="pct"/>
            <w:noWrap w:val="0"/>
            <w:vAlign w:val="center"/>
          </w:tcPr>
          <w:p w14:paraId="031118D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1800</w:t>
            </w:r>
          </w:p>
        </w:tc>
      </w:tr>
      <w:tr w14:paraId="6C77BF6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5D3825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50</w:t>
            </w:r>
          </w:p>
        </w:tc>
        <w:tc>
          <w:tcPr>
            <w:tcW w:w="948" w:type="pct"/>
            <w:noWrap w:val="0"/>
            <w:vAlign w:val="center"/>
          </w:tcPr>
          <w:p w14:paraId="354702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延津县人民医院</w:t>
            </w:r>
          </w:p>
        </w:tc>
        <w:tc>
          <w:tcPr>
            <w:tcW w:w="498" w:type="pct"/>
            <w:noWrap w:val="0"/>
            <w:vAlign w:val="center"/>
          </w:tcPr>
          <w:p w14:paraId="627670B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2834</w:t>
            </w:r>
          </w:p>
        </w:tc>
        <w:tc>
          <w:tcPr>
            <w:tcW w:w="500" w:type="pct"/>
            <w:noWrap w:val="0"/>
            <w:vAlign w:val="center"/>
          </w:tcPr>
          <w:p w14:paraId="2DDB093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528</w:t>
            </w:r>
          </w:p>
        </w:tc>
        <w:tc>
          <w:tcPr>
            <w:tcW w:w="580" w:type="pct"/>
            <w:tcBorders>
              <w:right w:val="single" w:color="auto" w:sz="4" w:space="0"/>
            </w:tcBorders>
            <w:noWrap w:val="0"/>
            <w:vAlign w:val="center"/>
          </w:tcPr>
          <w:p w14:paraId="1700A14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医院</w:t>
            </w:r>
          </w:p>
        </w:tc>
        <w:tc>
          <w:tcPr>
            <w:tcW w:w="666" w:type="pct"/>
            <w:tcBorders>
              <w:left w:val="single" w:color="auto" w:sz="4" w:space="0"/>
              <w:right w:val="single" w:color="auto" w:sz="4" w:space="0"/>
            </w:tcBorders>
            <w:noWrap w:val="0"/>
            <w:vAlign w:val="center"/>
          </w:tcPr>
          <w:p w14:paraId="4314FD2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医院内人群</w:t>
            </w:r>
          </w:p>
        </w:tc>
        <w:tc>
          <w:tcPr>
            <w:tcW w:w="415" w:type="pct"/>
            <w:tcBorders>
              <w:left w:val="single" w:color="auto" w:sz="4" w:space="0"/>
            </w:tcBorders>
            <w:noWrap w:val="0"/>
            <w:vAlign w:val="center"/>
          </w:tcPr>
          <w:p w14:paraId="35676E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东北</w:t>
            </w:r>
          </w:p>
        </w:tc>
        <w:tc>
          <w:tcPr>
            <w:tcW w:w="580" w:type="pct"/>
            <w:noWrap w:val="0"/>
            <w:vAlign w:val="center"/>
          </w:tcPr>
          <w:p w14:paraId="625479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2550</w:t>
            </w:r>
          </w:p>
        </w:tc>
        <w:tc>
          <w:tcPr>
            <w:tcW w:w="448" w:type="pct"/>
            <w:noWrap w:val="0"/>
            <w:vAlign w:val="center"/>
          </w:tcPr>
          <w:p w14:paraId="10265A6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1700</w:t>
            </w:r>
          </w:p>
        </w:tc>
      </w:tr>
      <w:tr w14:paraId="4DC093D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4316061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51</w:t>
            </w:r>
          </w:p>
        </w:tc>
        <w:tc>
          <w:tcPr>
            <w:tcW w:w="948" w:type="pct"/>
            <w:noWrap w:val="0"/>
            <w:vAlign w:val="center"/>
          </w:tcPr>
          <w:p w14:paraId="6D971EB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西屯村</w:t>
            </w:r>
          </w:p>
        </w:tc>
        <w:tc>
          <w:tcPr>
            <w:tcW w:w="498" w:type="pct"/>
            <w:noWrap w:val="0"/>
            <w:vAlign w:val="center"/>
          </w:tcPr>
          <w:p w14:paraId="39555D7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585</w:t>
            </w:r>
          </w:p>
        </w:tc>
        <w:tc>
          <w:tcPr>
            <w:tcW w:w="500" w:type="pct"/>
            <w:noWrap w:val="0"/>
            <w:vAlign w:val="center"/>
          </w:tcPr>
          <w:p w14:paraId="23A1E2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4916</w:t>
            </w:r>
          </w:p>
        </w:tc>
        <w:tc>
          <w:tcPr>
            <w:tcW w:w="580" w:type="pct"/>
            <w:tcBorders>
              <w:right w:val="single" w:color="auto" w:sz="4" w:space="0"/>
            </w:tcBorders>
            <w:noWrap w:val="0"/>
            <w:vAlign w:val="center"/>
          </w:tcPr>
          <w:p w14:paraId="5DE818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5ECAAB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3B5E852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北</w:t>
            </w:r>
          </w:p>
        </w:tc>
        <w:tc>
          <w:tcPr>
            <w:tcW w:w="580" w:type="pct"/>
            <w:noWrap w:val="0"/>
            <w:vAlign w:val="center"/>
          </w:tcPr>
          <w:p w14:paraId="1BD0BF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4675</w:t>
            </w:r>
          </w:p>
        </w:tc>
        <w:tc>
          <w:tcPr>
            <w:tcW w:w="448" w:type="pct"/>
            <w:noWrap w:val="0"/>
            <w:vAlign w:val="center"/>
          </w:tcPr>
          <w:p w14:paraId="256BDD8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5000</w:t>
            </w:r>
          </w:p>
        </w:tc>
      </w:tr>
      <w:tr w14:paraId="0D37E45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1AFCB0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52</w:t>
            </w:r>
          </w:p>
        </w:tc>
        <w:tc>
          <w:tcPr>
            <w:tcW w:w="948" w:type="pct"/>
            <w:noWrap w:val="0"/>
            <w:vAlign w:val="center"/>
          </w:tcPr>
          <w:p w14:paraId="45BAC82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宋屯</w:t>
            </w:r>
          </w:p>
        </w:tc>
        <w:tc>
          <w:tcPr>
            <w:tcW w:w="498" w:type="pct"/>
            <w:noWrap w:val="0"/>
            <w:vAlign w:val="center"/>
          </w:tcPr>
          <w:p w14:paraId="7CC726A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-4594</w:t>
            </w:r>
          </w:p>
        </w:tc>
        <w:tc>
          <w:tcPr>
            <w:tcW w:w="500" w:type="pct"/>
            <w:noWrap w:val="0"/>
            <w:vAlign w:val="center"/>
          </w:tcPr>
          <w:p w14:paraId="2174A25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938</w:t>
            </w:r>
          </w:p>
        </w:tc>
        <w:tc>
          <w:tcPr>
            <w:tcW w:w="580" w:type="pct"/>
            <w:tcBorders>
              <w:right w:val="single" w:color="auto" w:sz="4" w:space="0"/>
            </w:tcBorders>
            <w:noWrap w:val="0"/>
            <w:vAlign w:val="center"/>
          </w:tcPr>
          <w:p w14:paraId="655B56D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39C193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48D4DB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西北</w:t>
            </w:r>
          </w:p>
        </w:tc>
        <w:tc>
          <w:tcPr>
            <w:tcW w:w="580" w:type="pct"/>
            <w:noWrap w:val="0"/>
            <w:vAlign w:val="center"/>
          </w:tcPr>
          <w:p w14:paraId="3D9FD2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4440</w:t>
            </w:r>
          </w:p>
        </w:tc>
        <w:tc>
          <w:tcPr>
            <w:tcW w:w="448" w:type="pct"/>
            <w:noWrap w:val="0"/>
            <w:vAlign w:val="center"/>
          </w:tcPr>
          <w:p w14:paraId="4E8500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2700</w:t>
            </w:r>
          </w:p>
        </w:tc>
      </w:tr>
      <w:tr w14:paraId="0CCEE6C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7AA4C1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53</w:t>
            </w:r>
          </w:p>
        </w:tc>
        <w:tc>
          <w:tcPr>
            <w:tcW w:w="948" w:type="pct"/>
            <w:noWrap w:val="0"/>
            <w:vAlign w:val="center"/>
          </w:tcPr>
          <w:p w14:paraId="62606F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三王庄</w:t>
            </w:r>
          </w:p>
        </w:tc>
        <w:tc>
          <w:tcPr>
            <w:tcW w:w="498" w:type="pct"/>
            <w:noWrap w:val="0"/>
            <w:vAlign w:val="center"/>
          </w:tcPr>
          <w:p w14:paraId="0A040F5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-4220</w:t>
            </w:r>
          </w:p>
        </w:tc>
        <w:tc>
          <w:tcPr>
            <w:tcW w:w="500" w:type="pct"/>
            <w:noWrap w:val="0"/>
            <w:vAlign w:val="center"/>
          </w:tcPr>
          <w:p w14:paraId="22924A6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-2119</w:t>
            </w:r>
          </w:p>
        </w:tc>
        <w:tc>
          <w:tcPr>
            <w:tcW w:w="580" w:type="pct"/>
            <w:tcBorders>
              <w:right w:val="single" w:color="auto" w:sz="4" w:space="0"/>
            </w:tcBorders>
            <w:noWrap w:val="0"/>
            <w:vAlign w:val="center"/>
          </w:tcPr>
          <w:p w14:paraId="558E29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村庄</w:t>
            </w:r>
          </w:p>
        </w:tc>
        <w:tc>
          <w:tcPr>
            <w:tcW w:w="666" w:type="pct"/>
            <w:tcBorders>
              <w:left w:val="single" w:color="auto" w:sz="4" w:space="0"/>
              <w:right w:val="single" w:color="auto" w:sz="4" w:space="0"/>
            </w:tcBorders>
            <w:noWrap w:val="0"/>
            <w:vAlign w:val="center"/>
          </w:tcPr>
          <w:p w14:paraId="3740FC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居民</w:t>
            </w:r>
          </w:p>
        </w:tc>
        <w:tc>
          <w:tcPr>
            <w:tcW w:w="415" w:type="pct"/>
            <w:tcBorders>
              <w:left w:val="single" w:color="auto" w:sz="4" w:space="0"/>
            </w:tcBorders>
            <w:noWrap w:val="0"/>
            <w:vAlign w:val="center"/>
          </w:tcPr>
          <w:p w14:paraId="7288D1A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西南</w:t>
            </w:r>
          </w:p>
        </w:tc>
        <w:tc>
          <w:tcPr>
            <w:tcW w:w="580" w:type="pct"/>
            <w:noWrap w:val="0"/>
            <w:vAlign w:val="center"/>
          </w:tcPr>
          <w:p w14:paraId="196359C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4600</w:t>
            </w:r>
          </w:p>
        </w:tc>
        <w:tc>
          <w:tcPr>
            <w:tcW w:w="448" w:type="pct"/>
            <w:noWrap w:val="0"/>
            <w:vAlign w:val="center"/>
          </w:tcPr>
          <w:p w14:paraId="579C5D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7100</w:t>
            </w:r>
          </w:p>
        </w:tc>
      </w:tr>
      <w:tr w14:paraId="0438928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noWrap w:val="0"/>
            <w:vAlign w:val="center"/>
          </w:tcPr>
          <w:p w14:paraId="1E97CA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54</w:t>
            </w:r>
          </w:p>
        </w:tc>
        <w:tc>
          <w:tcPr>
            <w:tcW w:w="948" w:type="pct"/>
            <w:noWrap w:val="0"/>
            <w:vAlign w:val="center"/>
          </w:tcPr>
          <w:p w14:paraId="015B7A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地表水</w:t>
            </w:r>
          </w:p>
        </w:tc>
        <w:tc>
          <w:tcPr>
            <w:tcW w:w="2245" w:type="pct"/>
            <w:gridSpan w:val="4"/>
            <w:tcBorders>
              <w:right w:val="single" w:color="auto" w:sz="4" w:space="0"/>
            </w:tcBorders>
            <w:noWrap w:val="0"/>
            <w:vAlign w:val="center"/>
          </w:tcPr>
          <w:p w14:paraId="7458385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大沙河</w:t>
            </w:r>
          </w:p>
        </w:tc>
        <w:tc>
          <w:tcPr>
            <w:tcW w:w="415" w:type="pct"/>
            <w:tcBorders>
              <w:left w:val="single" w:color="auto" w:sz="4" w:space="0"/>
            </w:tcBorders>
            <w:noWrap w:val="0"/>
            <w:vAlign w:val="center"/>
          </w:tcPr>
          <w:p w14:paraId="04398CA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lang w:eastAsia="zh-CN"/>
              </w:rPr>
            </w:pPr>
            <w:r>
              <w:rPr>
                <w:rFonts w:hint="eastAsia" w:eastAsia="宋体"/>
                <w:lang w:val="en-US" w:eastAsia="zh-CN"/>
              </w:rPr>
              <w:t>西北</w:t>
            </w:r>
          </w:p>
        </w:tc>
        <w:tc>
          <w:tcPr>
            <w:tcW w:w="580" w:type="pct"/>
            <w:noWrap w:val="0"/>
            <w:vAlign w:val="center"/>
          </w:tcPr>
          <w:p w14:paraId="058539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eastAsia="宋体"/>
                <w:lang w:val="en-US" w:eastAsia="zh-CN"/>
              </w:rPr>
              <w:t>1826</w:t>
            </w:r>
          </w:p>
        </w:tc>
        <w:tc>
          <w:tcPr>
            <w:tcW w:w="448" w:type="pct"/>
            <w:noWrap w:val="0"/>
            <w:vAlign w:val="center"/>
          </w:tcPr>
          <w:p w14:paraId="385A243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r>
      <w:tr w14:paraId="34E9227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vMerge w:val="restart"/>
            <w:noWrap w:val="0"/>
            <w:vAlign w:val="center"/>
          </w:tcPr>
          <w:p w14:paraId="4FCA977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55</w:t>
            </w:r>
          </w:p>
        </w:tc>
        <w:tc>
          <w:tcPr>
            <w:tcW w:w="948" w:type="pct"/>
            <w:vMerge w:val="restart"/>
            <w:noWrap w:val="0"/>
            <w:vAlign w:val="center"/>
          </w:tcPr>
          <w:p w14:paraId="11E342E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地下水</w:t>
            </w:r>
          </w:p>
        </w:tc>
        <w:tc>
          <w:tcPr>
            <w:tcW w:w="2245" w:type="pct"/>
            <w:gridSpan w:val="4"/>
            <w:tcBorders>
              <w:right w:val="single" w:color="auto" w:sz="4" w:space="0"/>
            </w:tcBorders>
            <w:noWrap w:val="0"/>
            <w:vAlign w:val="center"/>
          </w:tcPr>
          <w:p w14:paraId="0F8A640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凤泉水厂地下水饮用水源</w:t>
            </w:r>
          </w:p>
        </w:tc>
        <w:tc>
          <w:tcPr>
            <w:tcW w:w="415" w:type="pct"/>
            <w:tcBorders>
              <w:left w:val="single" w:color="auto" w:sz="4" w:space="0"/>
            </w:tcBorders>
            <w:noWrap w:val="0"/>
            <w:vAlign w:val="center"/>
          </w:tcPr>
          <w:p w14:paraId="24CAEF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西北</w:t>
            </w:r>
          </w:p>
        </w:tc>
        <w:tc>
          <w:tcPr>
            <w:tcW w:w="580" w:type="pct"/>
            <w:noWrap w:val="0"/>
            <w:vAlign w:val="center"/>
          </w:tcPr>
          <w:p w14:paraId="073D221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21800</w:t>
            </w:r>
          </w:p>
        </w:tc>
        <w:tc>
          <w:tcPr>
            <w:tcW w:w="448" w:type="pct"/>
            <w:noWrap w:val="0"/>
            <w:vAlign w:val="center"/>
          </w:tcPr>
          <w:p w14:paraId="5987C43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r>
      <w:tr w14:paraId="20F7128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vMerge w:val="continue"/>
            <w:noWrap w:val="0"/>
            <w:vAlign w:val="center"/>
          </w:tcPr>
          <w:p w14:paraId="4DADA59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948" w:type="pct"/>
            <w:vMerge w:val="continue"/>
            <w:noWrap w:val="0"/>
            <w:vAlign w:val="center"/>
          </w:tcPr>
          <w:p w14:paraId="4231AC0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2245" w:type="pct"/>
            <w:gridSpan w:val="4"/>
            <w:tcBorders>
              <w:right w:val="single" w:color="auto" w:sz="4" w:space="0"/>
            </w:tcBorders>
            <w:noWrap w:val="0"/>
            <w:vAlign w:val="center"/>
          </w:tcPr>
          <w:p w14:paraId="6D02D87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古固寨镇地下水饮用水源</w:t>
            </w:r>
          </w:p>
        </w:tc>
        <w:tc>
          <w:tcPr>
            <w:tcW w:w="415" w:type="pct"/>
            <w:tcBorders>
              <w:left w:val="single" w:color="auto" w:sz="4" w:space="0"/>
            </w:tcBorders>
            <w:noWrap w:val="0"/>
            <w:vAlign w:val="center"/>
          </w:tcPr>
          <w:p w14:paraId="17CE9A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西南</w:t>
            </w:r>
          </w:p>
        </w:tc>
        <w:tc>
          <w:tcPr>
            <w:tcW w:w="580" w:type="pct"/>
            <w:noWrap w:val="0"/>
            <w:vAlign w:val="center"/>
          </w:tcPr>
          <w:p w14:paraId="027A169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7120</w:t>
            </w:r>
          </w:p>
        </w:tc>
        <w:tc>
          <w:tcPr>
            <w:tcW w:w="448" w:type="pct"/>
            <w:noWrap w:val="0"/>
            <w:vAlign w:val="center"/>
          </w:tcPr>
          <w:p w14:paraId="1D82B3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r>
      <w:tr w14:paraId="0649021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62" w:type="pct"/>
            <w:vMerge w:val="continue"/>
            <w:noWrap w:val="0"/>
            <w:vAlign w:val="center"/>
          </w:tcPr>
          <w:p w14:paraId="7AD3D0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948" w:type="pct"/>
            <w:vMerge w:val="continue"/>
            <w:noWrap w:val="0"/>
            <w:vAlign w:val="center"/>
          </w:tcPr>
          <w:p w14:paraId="46306F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2245" w:type="pct"/>
            <w:gridSpan w:val="4"/>
            <w:tcBorders>
              <w:right w:val="single" w:color="auto" w:sz="4" w:space="0"/>
            </w:tcBorders>
            <w:noWrap w:val="0"/>
            <w:vAlign w:val="center"/>
          </w:tcPr>
          <w:p w14:paraId="154FB7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eastAsia="宋体"/>
                <w:lang w:val="en-US" w:eastAsia="zh-CN"/>
              </w:rPr>
              <w:t>大杨庄村集中式饮用水源</w:t>
            </w:r>
          </w:p>
        </w:tc>
        <w:tc>
          <w:tcPr>
            <w:tcW w:w="415" w:type="pct"/>
            <w:tcBorders>
              <w:left w:val="single" w:color="auto" w:sz="4" w:space="0"/>
            </w:tcBorders>
            <w:noWrap w:val="0"/>
            <w:vAlign w:val="center"/>
          </w:tcPr>
          <w:p w14:paraId="19B7518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lang w:val="en-US" w:eastAsia="zh-CN"/>
              </w:rPr>
            </w:pPr>
            <w:r>
              <w:rPr>
                <w:rFonts w:hint="eastAsia" w:eastAsia="宋体"/>
                <w:lang w:val="en-US" w:eastAsia="zh-CN"/>
              </w:rPr>
              <w:t>西南</w:t>
            </w:r>
          </w:p>
        </w:tc>
        <w:tc>
          <w:tcPr>
            <w:tcW w:w="580" w:type="pct"/>
            <w:noWrap w:val="0"/>
            <w:vAlign w:val="center"/>
          </w:tcPr>
          <w:p w14:paraId="6F6ADCD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eastAsia="宋体"/>
                <w:lang w:val="en-US" w:eastAsia="zh-CN"/>
              </w:rPr>
              <w:t>1818</w:t>
            </w:r>
          </w:p>
        </w:tc>
        <w:tc>
          <w:tcPr>
            <w:tcW w:w="448" w:type="pct"/>
            <w:noWrap w:val="0"/>
            <w:vAlign w:val="center"/>
          </w:tcPr>
          <w:p w14:paraId="2130670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lang w:val="en-US" w:eastAsia="zh-CN"/>
              </w:rPr>
            </w:pPr>
            <w:r>
              <w:rPr>
                <w:rFonts w:hint="eastAsia" w:eastAsia="宋体"/>
                <w:lang w:val="en-US" w:eastAsia="zh-CN"/>
              </w:rPr>
              <w:t>/</w:t>
            </w:r>
          </w:p>
        </w:tc>
      </w:tr>
    </w:tbl>
    <w:p w14:paraId="25AC0E69">
      <w:pPr>
        <w:bidi w:val="0"/>
        <w:ind w:left="0" w:leftChars="0" w:firstLine="0" w:firstLineChars="0"/>
        <w:jc w:val="center"/>
        <w:rPr>
          <w:color w:val="auto"/>
        </w:rPr>
      </w:pPr>
    </w:p>
    <w:p w14:paraId="18186964">
      <w:pPr>
        <w:bidi w:val="0"/>
        <w:ind w:left="0" w:leftChars="0" w:firstLine="0" w:firstLineChars="0"/>
        <w:jc w:val="center"/>
        <w:rPr>
          <w:rFonts w:hint="eastAsia" w:eastAsia="宋体"/>
          <w:color w:val="auto"/>
          <w:lang w:eastAsia="zh-CN"/>
        </w:rPr>
      </w:pPr>
      <w:r>
        <w:drawing>
          <wp:inline distT="0" distB="0" distL="114300" distR="114300">
            <wp:extent cx="5715000" cy="5100955"/>
            <wp:effectExtent l="0" t="0" r="0" b="4445"/>
            <wp:docPr id="1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4"/>
                    <pic:cNvPicPr>
                      <a:picLocks noChangeAspect="1"/>
                    </pic:cNvPicPr>
                  </pic:nvPicPr>
                  <pic:blipFill>
                    <a:blip r:embed="rId32"/>
                    <a:stretch>
                      <a:fillRect/>
                    </a:stretch>
                  </pic:blipFill>
                  <pic:spPr>
                    <a:xfrm>
                      <a:off x="0" y="0"/>
                      <a:ext cx="5715000" cy="5100955"/>
                    </a:xfrm>
                    <a:prstGeom prst="rect">
                      <a:avLst/>
                    </a:prstGeom>
                    <a:noFill/>
                    <a:ln>
                      <a:noFill/>
                    </a:ln>
                  </pic:spPr>
                </pic:pic>
              </a:graphicData>
            </a:graphic>
          </wp:inline>
        </w:drawing>
      </w:r>
    </w:p>
    <w:p w14:paraId="4C057825">
      <w:pPr>
        <w:pStyle w:val="181"/>
        <w:bidi w:val="0"/>
        <w:ind w:left="0" w:leftChars="0" w:firstLine="0" w:firstLineChars="0"/>
        <w:jc w:val="center"/>
        <w:rPr>
          <w:rFonts w:hint="eastAsia"/>
          <w:color w:val="auto"/>
        </w:rPr>
      </w:pPr>
      <w:r>
        <w:rPr>
          <w:rFonts w:hint="eastAsia"/>
          <w:color w:val="auto"/>
        </w:rPr>
        <w:t>图2</w:t>
      </w:r>
      <w:r>
        <w:rPr>
          <w:color w:val="auto"/>
        </w:rPr>
        <w:t>.</w:t>
      </w:r>
      <w:r>
        <w:rPr>
          <w:rFonts w:hint="eastAsia"/>
          <w:color w:val="auto"/>
          <w:lang w:val="en-US" w:eastAsia="zh-CN"/>
        </w:rPr>
        <w:t>6</w:t>
      </w:r>
      <w:r>
        <w:rPr>
          <w:rFonts w:hint="eastAsia"/>
          <w:color w:val="auto"/>
        </w:rPr>
        <w:t>-</w:t>
      </w:r>
      <w:r>
        <w:rPr>
          <w:rFonts w:hint="eastAsia"/>
          <w:color w:val="auto"/>
          <w:lang w:val="en-US" w:eastAsia="zh-CN"/>
        </w:rPr>
        <w:t>1</w:t>
      </w:r>
      <w:r>
        <w:rPr>
          <w:color w:val="auto"/>
        </w:rPr>
        <w:t xml:space="preserve">  </w:t>
      </w:r>
      <w:r>
        <w:rPr>
          <w:rFonts w:hint="eastAsia"/>
          <w:color w:val="auto"/>
        </w:rPr>
        <w:t>环境保护目标与项目位置关系示意图</w:t>
      </w:r>
    </w:p>
    <w:p w14:paraId="2B8C3959">
      <w:pPr>
        <w:pStyle w:val="3"/>
        <w:bidi w:val="0"/>
        <w:rPr>
          <w:color w:val="auto"/>
        </w:rPr>
      </w:pPr>
      <w:bookmarkStart w:id="129" w:name="_Toc16990"/>
      <w:r>
        <w:rPr>
          <w:color w:val="auto"/>
        </w:rPr>
        <w:t>评价标准</w:t>
      </w:r>
      <w:bookmarkEnd w:id="129"/>
    </w:p>
    <w:p w14:paraId="50543176">
      <w:pPr>
        <w:pStyle w:val="5"/>
        <w:bidi w:val="0"/>
        <w:rPr>
          <w:color w:val="auto"/>
        </w:rPr>
      </w:pPr>
      <w:r>
        <w:rPr>
          <w:color w:val="auto"/>
        </w:rPr>
        <w:t>环境质量标准</w:t>
      </w:r>
    </w:p>
    <w:p w14:paraId="45F91280">
      <w:pPr>
        <w:bidi w:val="0"/>
        <w:rPr>
          <w:rFonts w:hint="eastAsia"/>
          <w:color w:val="auto"/>
        </w:rPr>
      </w:pPr>
      <w:r>
        <w:rPr>
          <w:rFonts w:hint="eastAsia"/>
          <w:color w:val="auto"/>
        </w:rPr>
        <w:t>本次评价环境质量标准执行以下标准。</w:t>
      </w:r>
    </w:p>
    <w:p w14:paraId="01D003E7">
      <w:pPr>
        <w:pStyle w:val="10"/>
        <w:bidi w:val="0"/>
      </w:pPr>
      <w:r>
        <w:t xml:space="preserve">表 </w:t>
      </w:r>
      <w:r>
        <w:fldChar w:fldCharType="begin"/>
      </w:r>
      <w:r>
        <w:instrText xml:space="preserve"> STYLEREF 2 \s </w:instrText>
      </w:r>
      <w:r>
        <w:fldChar w:fldCharType="separate"/>
      </w:r>
      <w:r>
        <w:t>2.7</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t xml:space="preserve">  环境质量标准</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09"/>
        <w:gridCol w:w="2861"/>
        <w:gridCol w:w="1685"/>
        <w:gridCol w:w="1577"/>
        <w:gridCol w:w="1190"/>
      </w:tblGrid>
      <w:tr w14:paraId="215AAF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709" w:type="pct"/>
            <w:shd w:val="clear" w:color="auto" w:fill="auto"/>
            <w:vAlign w:val="center"/>
          </w:tcPr>
          <w:p w14:paraId="7782F34B">
            <w:pPr>
              <w:pStyle w:val="182"/>
              <w:bidi w:val="0"/>
              <w:rPr>
                <w:b/>
                <w:bCs/>
                <w:color w:val="auto"/>
              </w:rPr>
            </w:pPr>
            <w:r>
              <w:rPr>
                <w:b/>
                <w:bCs/>
                <w:color w:val="auto"/>
              </w:rPr>
              <w:t>环境要素</w:t>
            </w:r>
          </w:p>
        </w:tc>
        <w:tc>
          <w:tcPr>
            <w:tcW w:w="1678" w:type="pct"/>
            <w:shd w:val="clear" w:color="auto" w:fill="auto"/>
            <w:vAlign w:val="center"/>
          </w:tcPr>
          <w:p w14:paraId="4ACA2B63">
            <w:pPr>
              <w:pStyle w:val="182"/>
              <w:bidi w:val="0"/>
              <w:rPr>
                <w:b/>
                <w:bCs/>
                <w:color w:val="auto"/>
              </w:rPr>
            </w:pPr>
            <w:r>
              <w:rPr>
                <w:b/>
                <w:bCs/>
                <w:color w:val="auto"/>
              </w:rPr>
              <w:t>标准名称</w:t>
            </w:r>
          </w:p>
        </w:tc>
        <w:tc>
          <w:tcPr>
            <w:tcW w:w="988" w:type="pct"/>
            <w:shd w:val="clear" w:color="auto" w:fill="auto"/>
            <w:vAlign w:val="center"/>
          </w:tcPr>
          <w:p w14:paraId="7FBDCEB6">
            <w:pPr>
              <w:pStyle w:val="182"/>
              <w:bidi w:val="0"/>
              <w:rPr>
                <w:b/>
                <w:bCs/>
                <w:color w:val="auto"/>
              </w:rPr>
            </w:pPr>
            <w:r>
              <w:rPr>
                <w:b/>
                <w:bCs/>
                <w:color w:val="auto"/>
              </w:rPr>
              <w:t>项目</w:t>
            </w:r>
          </w:p>
        </w:tc>
        <w:tc>
          <w:tcPr>
            <w:tcW w:w="1623" w:type="pct"/>
            <w:gridSpan w:val="2"/>
            <w:shd w:val="clear" w:color="auto" w:fill="auto"/>
            <w:vAlign w:val="center"/>
          </w:tcPr>
          <w:p w14:paraId="0008893C">
            <w:pPr>
              <w:pStyle w:val="182"/>
              <w:bidi w:val="0"/>
              <w:rPr>
                <w:b/>
                <w:bCs/>
                <w:color w:val="auto"/>
              </w:rPr>
            </w:pPr>
            <w:r>
              <w:rPr>
                <w:b/>
                <w:bCs/>
                <w:color w:val="auto"/>
              </w:rPr>
              <w:t>标准值</w:t>
            </w:r>
          </w:p>
        </w:tc>
      </w:tr>
      <w:tr w14:paraId="367E4C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restart"/>
            <w:shd w:val="clear" w:color="auto" w:fill="auto"/>
            <w:vAlign w:val="center"/>
          </w:tcPr>
          <w:p w14:paraId="0C94FF09">
            <w:pPr>
              <w:pStyle w:val="182"/>
              <w:bidi w:val="0"/>
              <w:rPr>
                <w:color w:val="auto"/>
              </w:rPr>
            </w:pPr>
            <w:r>
              <w:rPr>
                <w:color w:val="auto"/>
              </w:rPr>
              <w:t>地表水</w:t>
            </w:r>
          </w:p>
        </w:tc>
        <w:tc>
          <w:tcPr>
            <w:tcW w:w="1678" w:type="pct"/>
            <w:vMerge w:val="restart"/>
            <w:shd w:val="clear" w:color="auto" w:fill="auto"/>
            <w:vAlign w:val="center"/>
          </w:tcPr>
          <w:p w14:paraId="3A6E2590">
            <w:pPr>
              <w:pStyle w:val="182"/>
              <w:bidi w:val="0"/>
              <w:rPr>
                <w:color w:val="auto"/>
              </w:rPr>
            </w:pPr>
            <w:r>
              <w:rPr>
                <w:color w:val="auto"/>
              </w:rPr>
              <w:t>《地表水环境质量标准》（GB3838-2002）</w:t>
            </w:r>
            <w:r>
              <w:rPr>
                <w:rFonts w:hint="eastAsia" w:ascii="宋体" w:hAnsi="宋体" w:eastAsia="宋体" w:cs="宋体"/>
                <w:color w:val="auto"/>
              </w:rPr>
              <w:t>Ⅳ</w:t>
            </w:r>
            <w:r>
              <w:rPr>
                <w:color w:val="auto"/>
              </w:rPr>
              <w:t>类</w:t>
            </w:r>
          </w:p>
          <w:p w14:paraId="23A8696F">
            <w:pPr>
              <w:pStyle w:val="182"/>
              <w:bidi w:val="0"/>
              <w:rPr>
                <w:color w:val="auto"/>
              </w:rPr>
            </w:pPr>
            <w:r>
              <w:rPr>
                <w:color w:val="auto"/>
              </w:rPr>
              <w:t>（大沙河）</w:t>
            </w:r>
          </w:p>
        </w:tc>
        <w:tc>
          <w:tcPr>
            <w:tcW w:w="988" w:type="pct"/>
            <w:shd w:val="clear" w:color="auto" w:fill="auto"/>
            <w:vAlign w:val="center"/>
          </w:tcPr>
          <w:p w14:paraId="040FAA2B">
            <w:pPr>
              <w:pStyle w:val="182"/>
              <w:bidi w:val="0"/>
              <w:rPr>
                <w:color w:val="auto"/>
              </w:rPr>
            </w:pPr>
            <w:r>
              <w:rPr>
                <w:color w:val="auto"/>
              </w:rPr>
              <w:t>pH</w:t>
            </w:r>
          </w:p>
        </w:tc>
        <w:tc>
          <w:tcPr>
            <w:tcW w:w="1623" w:type="pct"/>
            <w:gridSpan w:val="2"/>
            <w:shd w:val="clear" w:color="auto" w:fill="auto"/>
            <w:vAlign w:val="center"/>
          </w:tcPr>
          <w:p w14:paraId="020BFF41">
            <w:pPr>
              <w:pStyle w:val="182"/>
              <w:bidi w:val="0"/>
              <w:rPr>
                <w:color w:val="auto"/>
              </w:rPr>
            </w:pPr>
            <w:r>
              <w:rPr>
                <w:color w:val="auto"/>
              </w:rPr>
              <w:t>6-9</w:t>
            </w:r>
          </w:p>
        </w:tc>
      </w:tr>
      <w:tr w14:paraId="1B0CA5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78D6EC8C">
            <w:pPr>
              <w:pStyle w:val="182"/>
              <w:bidi w:val="0"/>
              <w:rPr>
                <w:color w:val="auto"/>
              </w:rPr>
            </w:pPr>
          </w:p>
        </w:tc>
        <w:tc>
          <w:tcPr>
            <w:tcW w:w="1678" w:type="pct"/>
            <w:vMerge w:val="continue"/>
            <w:shd w:val="clear" w:color="auto" w:fill="auto"/>
            <w:vAlign w:val="center"/>
          </w:tcPr>
          <w:p w14:paraId="051BF010">
            <w:pPr>
              <w:pStyle w:val="182"/>
              <w:bidi w:val="0"/>
              <w:rPr>
                <w:color w:val="auto"/>
              </w:rPr>
            </w:pPr>
          </w:p>
        </w:tc>
        <w:tc>
          <w:tcPr>
            <w:tcW w:w="988" w:type="pct"/>
            <w:shd w:val="clear" w:color="auto" w:fill="auto"/>
            <w:vAlign w:val="center"/>
          </w:tcPr>
          <w:p w14:paraId="6D0ADFDC">
            <w:pPr>
              <w:pStyle w:val="182"/>
              <w:bidi w:val="0"/>
              <w:rPr>
                <w:color w:val="auto"/>
              </w:rPr>
            </w:pPr>
            <w:r>
              <w:rPr>
                <w:color w:val="auto"/>
              </w:rPr>
              <w:t>COD</w:t>
            </w:r>
          </w:p>
        </w:tc>
        <w:tc>
          <w:tcPr>
            <w:tcW w:w="1623" w:type="pct"/>
            <w:gridSpan w:val="2"/>
            <w:shd w:val="clear" w:color="auto" w:fill="auto"/>
            <w:vAlign w:val="center"/>
          </w:tcPr>
          <w:p w14:paraId="13994557">
            <w:pPr>
              <w:pStyle w:val="182"/>
              <w:bidi w:val="0"/>
              <w:rPr>
                <w:color w:val="auto"/>
              </w:rPr>
            </w:pPr>
            <w:r>
              <w:rPr>
                <w:color w:val="auto"/>
              </w:rPr>
              <w:t>30 mg/L</w:t>
            </w:r>
          </w:p>
        </w:tc>
      </w:tr>
      <w:tr w14:paraId="60EDA9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3AC1AAE3">
            <w:pPr>
              <w:pStyle w:val="182"/>
              <w:bidi w:val="0"/>
              <w:rPr>
                <w:color w:val="auto"/>
              </w:rPr>
            </w:pPr>
          </w:p>
        </w:tc>
        <w:tc>
          <w:tcPr>
            <w:tcW w:w="1678" w:type="pct"/>
            <w:vMerge w:val="continue"/>
            <w:shd w:val="clear" w:color="auto" w:fill="auto"/>
            <w:vAlign w:val="center"/>
          </w:tcPr>
          <w:p w14:paraId="2A21FF05">
            <w:pPr>
              <w:pStyle w:val="182"/>
              <w:bidi w:val="0"/>
              <w:rPr>
                <w:color w:val="auto"/>
              </w:rPr>
            </w:pPr>
          </w:p>
        </w:tc>
        <w:tc>
          <w:tcPr>
            <w:tcW w:w="988" w:type="pct"/>
            <w:shd w:val="clear" w:color="auto" w:fill="auto"/>
            <w:vAlign w:val="center"/>
          </w:tcPr>
          <w:p w14:paraId="5E49A0EF">
            <w:pPr>
              <w:pStyle w:val="182"/>
              <w:bidi w:val="0"/>
              <w:rPr>
                <w:color w:val="auto"/>
              </w:rPr>
            </w:pPr>
            <w:r>
              <w:rPr>
                <w:color w:val="auto"/>
              </w:rPr>
              <w:t>BOD</w:t>
            </w:r>
            <w:r>
              <w:rPr>
                <w:color w:val="auto"/>
                <w:vertAlign w:val="subscript"/>
              </w:rPr>
              <w:t>5</w:t>
            </w:r>
          </w:p>
        </w:tc>
        <w:tc>
          <w:tcPr>
            <w:tcW w:w="1623" w:type="pct"/>
            <w:gridSpan w:val="2"/>
            <w:shd w:val="clear" w:color="auto" w:fill="auto"/>
            <w:vAlign w:val="center"/>
          </w:tcPr>
          <w:p w14:paraId="1694151C">
            <w:pPr>
              <w:pStyle w:val="182"/>
              <w:bidi w:val="0"/>
              <w:rPr>
                <w:color w:val="auto"/>
              </w:rPr>
            </w:pPr>
            <w:r>
              <w:rPr>
                <w:color w:val="auto"/>
              </w:rPr>
              <w:t>6.0 mg/L</w:t>
            </w:r>
          </w:p>
        </w:tc>
      </w:tr>
      <w:tr w14:paraId="2FBEC7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46BEEEF6">
            <w:pPr>
              <w:pStyle w:val="182"/>
              <w:bidi w:val="0"/>
              <w:rPr>
                <w:color w:val="auto"/>
              </w:rPr>
            </w:pPr>
          </w:p>
        </w:tc>
        <w:tc>
          <w:tcPr>
            <w:tcW w:w="1678" w:type="pct"/>
            <w:vMerge w:val="continue"/>
            <w:shd w:val="clear" w:color="auto" w:fill="auto"/>
            <w:vAlign w:val="center"/>
          </w:tcPr>
          <w:p w14:paraId="0072F1BD">
            <w:pPr>
              <w:pStyle w:val="182"/>
              <w:bidi w:val="0"/>
              <w:rPr>
                <w:color w:val="auto"/>
              </w:rPr>
            </w:pPr>
          </w:p>
        </w:tc>
        <w:tc>
          <w:tcPr>
            <w:tcW w:w="988" w:type="pct"/>
            <w:shd w:val="clear" w:color="auto" w:fill="auto"/>
            <w:vAlign w:val="center"/>
          </w:tcPr>
          <w:p w14:paraId="34C00A0C">
            <w:pPr>
              <w:pStyle w:val="182"/>
              <w:bidi w:val="0"/>
              <w:rPr>
                <w:color w:val="auto"/>
              </w:rPr>
            </w:pPr>
            <w:r>
              <w:rPr>
                <w:color w:val="auto"/>
              </w:rPr>
              <w:t>NH</w:t>
            </w:r>
            <w:r>
              <w:rPr>
                <w:color w:val="auto"/>
                <w:vertAlign w:val="subscript"/>
              </w:rPr>
              <w:t>3</w:t>
            </w:r>
            <w:r>
              <w:rPr>
                <w:color w:val="auto"/>
              </w:rPr>
              <w:t>-N</w:t>
            </w:r>
          </w:p>
        </w:tc>
        <w:tc>
          <w:tcPr>
            <w:tcW w:w="1623" w:type="pct"/>
            <w:gridSpan w:val="2"/>
            <w:shd w:val="clear" w:color="auto" w:fill="auto"/>
            <w:vAlign w:val="center"/>
          </w:tcPr>
          <w:p w14:paraId="0E3226C1">
            <w:pPr>
              <w:pStyle w:val="182"/>
              <w:bidi w:val="0"/>
              <w:rPr>
                <w:color w:val="auto"/>
              </w:rPr>
            </w:pPr>
            <w:r>
              <w:rPr>
                <w:color w:val="auto"/>
              </w:rPr>
              <w:t>1.5 mg/L</w:t>
            </w:r>
          </w:p>
        </w:tc>
      </w:tr>
      <w:tr w14:paraId="74DDF9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09CE10A3">
            <w:pPr>
              <w:pStyle w:val="182"/>
              <w:bidi w:val="0"/>
              <w:rPr>
                <w:color w:val="auto"/>
              </w:rPr>
            </w:pPr>
          </w:p>
        </w:tc>
        <w:tc>
          <w:tcPr>
            <w:tcW w:w="1678" w:type="pct"/>
            <w:vMerge w:val="continue"/>
            <w:shd w:val="clear" w:color="auto" w:fill="auto"/>
            <w:vAlign w:val="center"/>
          </w:tcPr>
          <w:p w14:paraId="00808A5D">
            <w:pPr>
              <w:pStyle w:val="182"/>
              <w:bidi w:val="0"/>
              <w:rPr>
                <w:color w:val="auto"/>
              </w:rPr>
            </w:pPr>
          </w:p>
        </w:tc>
        <w:tc>
          <w:tcPr>
            <w:tcW w:w="988" w:type="pct"/>
            <w:shd w:val="clear" w:color="auto" w:fill="auto"/>
            <w:vAlign w:val="center"/>
          </w:tcPr>
          <w:p w14:paraId="23778B69">
            <w:pPr>
              <w:pStyle w:val="182"/>
              <w:bidi w:val="0"/>
              <w:rPr>
                <w:color w:val="auto"/>
              </w:rPr>
            </w:pPr>
            <w:r>
              <w:rPr>
                <w:color w:val="auto"/>
              </w:rPr>
              <w:t>TP</w:t>
            </w:r>
          </w:p>
        </w:tc>
        <w:tc>
          <w:tcPr>
            <w:tcW w:w="1623" w:type="pct"/>
            <w:gridSpan w:val="2"/>
            <w:shd w:val="clear" w:color="auto" w:fill="auto"/>
            <w:vAlign w:val="center"/>
          </w:tcPr>
          <w:p w14:paraId="011A6668">
            <w:pPr>
              <w:pStyle w:val="182"/>
              <w:bidi w:val="0"/>
              <w:rPr>
                <w:color w:val="auto"/>
              </w:rPr>
            </w:pPr>
            <w:r>
              <w:rPr>
                <w:color w:val="auto"/>
              </w:rPr>
              <w:t>0.3 mg/L</w:t>
            </w:r>
          </w:p>
        </w:tc>
      </w:tr>
      <w:tr w14:paraId="44B9F0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1CEE0663">
            <w:pPr>
              <w:pStyle w:val="182"/>
              <w:bidi w:val="0"/>
              <w:rPr>
                <w:color w:val="auto"/>
              </w:rPr>
            </w:pPr>
          </w:p>
        </w:tc>
        <w:tc>
          <w:tcPr>
            <w:tcW w:w="1678" w:type="pct"/>
            <w:vMerge w:val="continue"/>
            <w:shd w:val="clear" w:color="auto" w:fill="auto"/>
            <w:vAlign w:val="center"/>
          </w:tcPr>
          <w:p w14:paraId="36398AD0">
            <w:pPr>
              <w:pStyle w:val="182"/>
              <w:bidi w:val="0"/>
              <w:rPr>
                <w:color w:val="auto"/>
              </w:rPr>
            </w:pPr>
          </w:p>
        </w:tc>
        <w:tc>
          <w:tcPr>
            <w:tcW w:w="988" w:type="pct"/>
            <w:shd w:val="clear" w:color="auto" w:fill="auto"/>
            <w:vAlign w:val="center"/>
          </w:tcPr>
          <w:p w14:paraId="7D363910">
            <w:pPr>
              <w:pStyle w:val="182"/>
              <w:bidi w:val="0"/>
              <w:rPr>
                <w:color w:val="auto"/>
              </w:rPr>
            </w:pPr>
            <w:r>
              <w:rPr>
                <w:color w:val="auto"/>
              </w:rPr>
              <w:t>TN</w:t>
            </w:r>
          </w:p>
        </w:tc>
        <w:tc>
          <w:tcPr>
            <w:tcW w:w="1623" w:type="pct"/>
            <w:gridSpan w:val="2"/>
            <w:shd w:val="clear" w:color="auto" w:fill="auto"/>
            <w:vAlign w:val="center"/>
          </w:tcPr>
          <w:p w14:paraId="1DE34CF4">
            <w:pPr>
              <w:pStyle w:val="182"/>
              <w:bidi w:val="0"/>
              <w:rPr>
                <w:color w:val="auto"/>
              </w:rPr>
            </w:pPr>
            <w:r>
              <w:rPr>
                <w:color w:val="auto"/>
              </w:rPr>
              <w:t>1.5 mg/L</w:t>
            </w:r>
          </w:p>
        </w:tc>
      </w:tr>
      <w:tr w14:paraId="09ECA1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restart"/>
            <w:shd w:val="clear" w:color="auto" w:fill="auto"/>
            <w:vAlign w:val="center"/>
          </w:tcPr>
          <w:p w14:paraId="40D50B64">
            <w:pPr>
              <w:pStyle w:val="182"/>
              <w:bidi w:val="0"/>
              <w:rPr>
                <w:color w:val="auto"/>
              </w:rPr>
            </w:pPr>
            <w:r>
              <w:rPr>
                <w:color w:val="auto"/>
              </w:rPr>
              <w:t>环境空气</w:t>
            </w:r>
          </w:p>
        </w:tc>
        <w:tc>
          <w:tcPr>
            <w:tcW w:w="1678" w:type="pct"/>
            <w:vMerge w:val="restart"/>
            <w:shd w:val="clear" w:color="auto" w:fill="auto"/>
            <w:vAlign w:val="center"/>
          </w:tcPr>
          <w:p w14:paraId="5345908D">
            <w:pPr>
              <w:pStyle w:val="182"/>
              <w:bidi w:val="0"/>
              <w:rPr>
                <w:color w:val="auto"/>
              </w:rPr>
            </w:pPr>
            <w:r>
              <w:rPr>
                <w:color w:val="auto"/>
              </w:rPr>
              <w:t>《环境空气质量标准》（GB3095-2012）二级</w:t>
            </w:r>
          </w:p>
        </w:tc>
        <w:tc>
          <w:tcPr>
            <w:tcW w:w="988" w:type="pct"/>
            <w:vMerge w:val="restart"/>
            <w:shd w:val="clear" w:color="auto" w:fill="auto"/>
            <w:vAlign w:val="center"/>
          </w:tcPr>
          <w:p w14:paraId="511C0AA6">
            <w:pPr>
              <w:pStyle w:val="182"/>
              <w:bidi w:val="0"/>
              <w:rPr>
                <w:color w:val="auto"/>
              </w:rPr>
            </w:pPr>
            <w:r>
              <w:rPr>
                <w:color w:val="auto"/>
              </w:rPr>
              <w:t>PM</w:t>
            </w:r>
            <w:r>
              <w:rPr>
                <w:color w:val="auto"/>
                <w:vertAlign w:val="subscript"/>
              </w:rPr>
              <w:t>2.5</w:t>
            </w:r>
          </w:p>
        </w:tc>
        <w:tc>
          <w:tcPr>
            <w:tcW w:w="1623" w:type="pct"/>
            <w:gridSpan w:val="2"/>
            <w:shd w:val="clear" w:color="auto" w:fill="auto"/>
            <w:vAlign w:val="center"/>
          </w:tcPr>
          <w:p w14:paraId="1EC485F3">
            <w:pPr>
              <w:pStyle w:val="182"/>
              <w:bidi w:val="0"/>
              <w:rPr>
                <w:color w:val="auto"/>
              </w:rPr>
            </w:pPr>
            <w:r>
              <w:rPr>
                <w:color w:val="auto"/>
              </w:rPr>
              <w:t>24小时平均</w:t>
            </w:r>
            <w:r>
              <w:rPr>
                <w:rFonts w:hint="eastAsia"/>
                <w:color w:val="auto"/>
                <w:lang w:eastAsia="zh-CN"/>
              </w:rPr>
              <w:t>：</w:t>
            </w:r>
            <w:r>
              <w:rPr>
                <w:color w:val="auto"/>
              </w:rPr>
              <w:t>75μg/m</w:t>
            </w:r>
            <w:r>
              <w:rPr>
                <w:color w:val="auto"/>
                <w:vertAlign w:val="superscript"/>
              </w:rPr>
              <w:t>3</w:t>
            </w:r>
          </w:p>
        </w:tc>
      </w:tr>
      <w:tr w14:paraId="05F6E1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42EBBA72">
            <w:pPr>
              <w:pStyle w:val="182"/>
              <w:bidi w:val="0"/>
              <w:rPr>
                <w:color w:val="auto"/>
              </w:rPr>
            </w:pPr>
          </w:p>
        </w:tc>
        <w:tc>
          <w:tcPr>
            <w:tcW w:w="1678" w:type="pct"/>
            <w:vMerge w:val="continue"/>
            <w:shd w:val="clear" w:color="auto" w:fill="auto"/>
            <w:vAlign w:val="center"/>
          </w:tcPr>
          <w:p w14:paraId="17F2CA83">
            <w:pPr>
              <w:pStyle w:val="182"/>
              <w:bidi w:val="0"/>
              <w:rPr>
                <w:color w:val="auto"/>
              </w:rPr>
            </w:pPr>
          </w:p>
        </w:tc>
        <w:tc>
          <w:tcPr>
            <w:tcW w:w="988" w:type="pct"/>
            <w:vMerge w:val="continue"/>
            <w:shd w:val="clear" w:color="auto" w:fill="auto"/>
            <w:vAlign w:val="center"/>
          </w:tcPr>
          <w:p w14:paraId="2F76A48D">
            <w:pPr>
              <w:pStyle w:val="182"/>
              <w:bidi w:val="0"/>
              <w:rPr>
                <w:color w:val="auto"/>
              </w:rPr>
            </w:pPr>
          </w:p>
        </w:tc>
        <w:tc>
          <w:tcPr>
            <w:tcW w:w="1623" w:type="pct"/>
            <w:gridSpan w:val="2"/>
            <w:shd w:val="clear" w:color="auto" w:fill="auto"/>
            <w:vAlign w:val="center"/>
          </w:tcPr>
          <w:p w14:paraId="3D2BC96F">
            <w:pPr>
              <w:pStyle w:val="182"/>
              <w:bidi w:val="0"/>
              <w:rPr>
                <w:color w:val="auto"/>
              </w:rPr>
            </w:pPr>
            <w:r>
              <w:rPr>
                <w:color w:val="auto"/>
              </w:rPr>
              <w:t>年平均</w:t>
            </w:r>
            <w:r>
              <w:rPr>
                <w:rFonts w:hint="eastAsia"/>
                <w:color w:val="auto"/>
                <w:lang w:eastAsia="zh-CN"/>
              </w:rPr>
              <w:t>：</w:t>
            </w:r>
            <w:r>
              <w:rPr>
                <w:color w:val="auto"/>
              </w:rPr>
              <w:t>35μg/m</w:t>
            </w:r>
            <w:r>
              <w:rPr>
                <w:color w:val="auto"/>
                <w:vertAlign w:val="superscript"/>
              </w:rPr>
              <w:t>3</w:t>
            </w:r>
          </w:p>
        </w:tc>
      </w:tr>
      <w:tr w14:paraId="602680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60C2700D">
            <w:pPr>
              <w:pStyle w:val="182"/>
              <w:bidi w:val="0"/>
              <w:rPr>
                <w:color w:val="auto"/>
              </w:rPr>
            </w:pPr>
          </w:p>
        </w:tc>
        <w:tc>
          <w:tcPr>
            <w:tcW w:w="1678" w:type="pct"/>
            <w:vMerge w:val="continue"/>
            <w:shd w:val="clear" w:color="auto" w:fill="auto"/>
            <w:vAlign w:val="center"/>
          </w:tcPr>
          <w:p w14:paraId="40656430">
            <w:pPr>
              <w:pStyle w:val="182"/>
              <w:bidi w:val="0"/>
              <w:rPr>
                <w:color w:val="auto"/>
              </w:rPr>
            </w:pPr>
          </w:p>
        </w:tc>
        <w:tc>
          <w:tcPr>
            <w:tcW w:w="988" w:type="pct"/>
            <w:vMerge w:val="restart"/>
            <w:shd w:val="clear" w:color="auto" w:fill="auto"/>
            <w:vAlign w:val="center"/>
          </w:tcPr>
          <w:p w14:paraId="6C8F8244">
            <w:pPr>
              <w:pStyle w:val="182"/>
              <w:bidi w:val="0"/>
              <w:rPr>
                <w:color w:val="auto"/>
              </w:rPr>
            </w:pPr>
            <w:r>
              <w:rPr>
                <w:color w:val="auto"/>
              </w:rPr>
              <w:t>PM</w:t>
            </w:r>
            <w:r>
              <w:rPr>
                <w:color w:val="auto"/>
                <w:vertAlign w:val="subscript"/>
              </w:rPr>
              <w:t>10</w:t>
            </w:r>
          </w:p>
        </w:tc>
        <w:tc>
          <w:tcPr>
            <w:tcW w:w="1623" w:type="pct"/>
            <w:gridSpan w:val="2"/>
            <w:shd w:val="clear" w:color="auto" w:fill="auto"/>
            <w:vAlign w:val="center"/>
          </w:tcPr>
          <w:p w14:paraId="710A4EAC">
            <w:pPr>
              <w:pStyle w:val="182"/>
              <w:bidi w:val="0"/>
              <w:rPr>
                <w:color w:val="auto"/>
              </w:rPr>
            </w:pPr>
            <w:r>
              <w:rPr>
                <w:color w:val="auto"/>
              </w:rPr>
              <w:t>24小时平均</w:t>
            </w:r>
            <w:r>
              <w:rPr>
                <w:rFonts w:hint="eastAsia"/>
                <w:color w:val="auto"/>
                <w:lang w:eastAsia="zh-CN"/>
              </w:rPr>
              <w:t>：</w:t>
            </w:r>
            <w:r>
              <w:rPr>
                <w:color w:val="auto"/>
              </w:rPr>
              <w:t>150μg/m</w:t>
            </w:r>
            <w:r>
              <w:rPr>
                <w:color w:val="auto"/>
                <w:vertAlign w:val="superscript"/>
              </w:rPr>
              <w:t>3</w:t>
            </w:r>
          </w:p>
        </w:tc>
      </w:tr>
      <w:tr w14:paraId="3A8FF7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68FF325A">
            <w:pPr>
              <w:pStyle w:val="182"/>
              <w:bidi w:val="0"/>
              <w:rPr>
                <w:color w:val="auto"/>
              </w:rPr>
            </w:pPr>
          </w:p>
        </w:tc>
        <w:tc>
          <w:tcPr>
            <w:tcW w:w="1678" w:type="pct"/>
            <w:vMerge w:val="continue"/>
            <w:shd w:val="clear" w:color="auto" w:fill="auto"/>
            <w:vAlign w:val="center"/>
          </w:tcPr>
          <w:p w14:paraId="5BE1235D">
            <w:pPr>
              <w:pStyle w:val="182"/>
              <w:bidi w:val="0"/>
              <w:rPr>
                <w:color w:val="auto"/>
              </w:rPr>
            </w:pPr>
          </w:p>
        </w:tc>
        <w:tc>
          <w:tcPr>
            <w:tcW w:w="988" w:type="pct"/>
            <w:vMerge w:val="continue"/>
            <w:shd w:val="clear" w:color="auto" w:fill="auto"/>
            <w:vAlign w:val="center"/>
          </w:tcPr>
          <w:p w14:paraId="5585B4DE">
            <w:pPr>
              <w:pStyle w:val="182"/>
              <w:bidi w:val="0"/>
              <w:rPr>
                <w:color w:val="auto"/>
              </w:rPr>
            </w:pPr>
          </w:p>
        </w:tc>
        <w:tc>
          <w:tcPr>
            <w:tcW w:w="1623" w:type="pct"/>
            <w:gridSpan w:val="2"/>
            <w:shd w:val="clear" w:color="auto" w:fill="auto"/>
            <w:vAlign w:val="center"/>
          </w:tcPr>
          <w:p w14:paraId="12EFE220">
            <w:pPr>
              <w:pStyle w:val="182"/>
              <w:bidi w:val="0"/>
              <w:rPr>
                <w:color w:val="auto"/>
              </w:rPr>
            </w:pPr>
            <w:r>
              <w:rPr>
                <w:color w:val="auto"/>
              </w:rPr>
              <w:t>年平均</w:t>
            </w:r>
            <w:r>
              <w:rPr>
                <w:rFonts w:hint="eastAsia"/>
                <w:color w:val="auto"/>
                <w:lang w:eastAsia="zh-CN"/>
              </w:rPr>
              <w:t>：</w:t>
            </w:r>
            <w:r>
              <w:rPr>
                <w:color w:val="auto"/>
              </w:rPr>
              <w:t>70μg/m</w:t>
            </w:r>
            <w:r>
              <w:rPr>
                <w:color w:val="auto"/>
                <w:vertAlign w:val="superscript"/>
              </w:rPr>
              <w:t>3</w:t>
            </w:r>
          </w:p>
        </w:tc>
      </w:tr>
      <w:tr w14:paraId="1A712A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1760C836">
            <w:pPr>
              <w:pStyle w:val="182"/>
              <w:bidi w:val="0"/>
              <w:rPr>
                <w:color w:val="auto"/>
              </w:rPr>
            </w:pPr>
          </w:p>
        </w:tc>
        <w:tc>
          <w:tcPr>
            <w:tcW w:w="1678" w:type="pct"/>
            <w:vMerge w:val="continue"/>
            <w:shd w:val="clear" w:color="auto" w:fill="auto"/>
            <w:vAlign w:val="center"/>
          </w:tcPr>
          <w:p w14:paraId="6C4D94BF">
            <w:pPr>
              <w:pStyle w:val="182"/>
              <w:bidi w:val="0"/>
              <w:rPr>
                <w:color w:val="auto"/>
              </w:rPr>
            </w:pPr>
          </w:p>
        </w:tc>
        <w:tc>
          <w:tcPr>
            <w:tcW w:w="988" w:type="pct"/>
            <w:vMerge w:val="restart"/>
            <w:shd w:val="clear" w:color="auto" w:fill="auto"/>
            <w:vAlign w:val="center"/>
          </w:tcPr>
          <w:p w14:paraId="093206DA">
            <w:pPr>
              <w:pStyle w:val="182"/>
              <w:bidi w:val="0"/>
              <w:rPr>
                <w:color w:val="auto"/>
              </w:rPr>
            </w:pPr>
            <w:r>
              <w:rPr>
                <w:color w:val="auto"/>
              </w:rPr>
              <w:t>SO</w:t>
            </w:r>
            <w:r>
              <w:rPr>
                <w:color w:val="auto"/>
                <w:vertAlign w:val="subscript"/>
              </w:rPr>
              <w:t>2</w:t>
            </w:r>
          </w:p>
        </w:tc>
        <w:tc>
          <w:tcPr>
            <w:tcW w:w="1623" w:type="pct"/>
            <w:gridSpan w:val="2"/>
            <w:shd w:val="clear" w:color="auto" w:fill="auto"/>
            <w:vAlign w:val="center"/>
          </w:tcPr>
          <w:p w14:paraId="78EE1194">
            <w:pPr>
              <w:pStyle w:val="182"/>
              <w:bidi w:val="0"/>
              <w:rPr>
                <w:color w:val="auto"/>
              </w:rPr>
            </w:pPr>
            <w:r>
              <w:rPr>
                <w:color w:val="auto"/>
              </w:rPr>
              <w:t>1小时平均</w:t>
            </w:r>
            <w:r>
              <w:rPr>
                <w:rFonts w:hint="eastAsia"/>
                <w:color w:val="auto"/>
                <w:lang w:eastAsia="zh-CN"/>
              </w:rPr>
              <w:t>：</w:t>
            </w:r>
            <w:r>
              <w:rPr>
                <w:color w:val="auto"/>
              </w:rPr>
              <w:t>500μg/m</w:t>
            </w:r>
            <w:r>
              <w:rPr>
                <w:color w:val="auto"/>
                <w:vertAlign w:val="superscript"/>
              </w:rPr>
              <w:t>3</w:t>
            </w:r>
          </w:p>
        </w:tc>
      </w:tr>
      <w:tr w14:paraId="2A42A4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414AC031">
            <w:pPr>
              <w:pStyle w:val="182"/>
              <w:bidi w:val="0"/>
              <w:rPr>
                <w:color w:val="auto"/>
              </w:rPr>
            </w:pPr>
          </w:p>
        </w:tc>
        <w:tc>
          <w:tcPr>
            <w:tcW w:w="1678" w:type="pct"/>
            <w:vMerge w:val="continue"/>
            <w:shd w:val="clear" w:color="auto" w:fill="auto"/>
            <w:vAlign w:val="center"/>
          </w:tcPr>
          <w:p w14:paraId="2F75EE1E">
            <w:pPr>
              <w:pStyle w:val="182"/>
              <w:bidi w:val="0"/>
              <w:rPr>
                <w:color w:val="auto"/>
              </w:rPr>
            </w:pPr>
          </w:p>
        </w:tc>
        <w:tc>
          <w:tcPr>
            <w:tcW w:w="988" w:type="pct"/>
            <w:vMerge w:val="continue"/>
            <w:shd w:val="clear" w:color="auto" w:fill="auto"/>
            <w:vAlign w:val="center"/>
          </w:tcPr>
          <w:p w14:paraId="30AF22A4">
            <w:pPr>
              <w:pStyle w:val="182"/>
              <w:bidi w:val="0"/>
              <w:rPr>
                <w:color w:val="auto"/>
              </w:rPr>
            </w:pPr>
          </w:p>
        </w:tc>
        <w:tc>
          <w:tcPr>
            <w:tcW w:w="1623" w:type="pct"/>
            <w:gridSpan w:val="2"/>
            <w:shd w:val="clear" w:color="auto" w:fill="auto"/>
            <w:vAlign w:val="center"/>
          </w:tcPr>
          <w:p w14:paraId="5DCD2BEA">
            <w:pPr>
              <w:pStyle w:val="182"/>
              <w:bidi w:val="0"/>
              <w:rPr>
                <w:color w:val="auto"/>
              </w:rPr>
            </w:pPr>
            <w:r>
              <w:rPr>
                <w:color w:val="auto"/>
              </w:rPr>
              <w:t>24小时平均</w:t>
            </w:r>
            <w:r>
              <w:rPr>
                <w:rFonts w:hint="eastAsia"/>
                <w:color w:val="auto"/>
                <w:lang w:eastAsia="zh-CN"/>
              </w:rPr>
              <w:t>：</w:t>
            </w:r>
            <w:r>
              <w:rPr>
                <w:color w:val="auto"/>
              </w:rPr>
              <w:t>150μg/m</w:t>
            </w:r>
            <w:r>
              <w:rPr>
                <w:color w:val="auto"/>
                <w:vertAlign w:val="superscript"/>
              </w:rPr>
              <w:t>3</w:t>
            </w:r>
          </w:p>
        </w:tc>
      </w:tr>
      <w:tr w14:paraId="0F0306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00E49FDD">
            <w:pPr>
              <w:pStyle w:val="182"/>
              <w:bidi w:val="0"/>
              <w:rPr>
                <w:color w:val="auto"/>
              </w:rPr>
            </w:pPr>
          </w:p>
        </w:tc>
        <w:tc>
          <w:tcPr>
            <w:tcW w:w="1678" w:type="pct"/>
            <w:vMerge w:val="continue"/>
            <w:shd w:val="clear" w:color="auto" w:fill="auto"/>
            <w:vAlign w:val="center"/>
          </w:tcPr>
          <w:p w14:paraId="06C0EA7C">
            <w:pPr>
              <w:pStyle w:val="182"/>
              <w:bidi w:val="0"/>
              <w:rPr>
                <w:color w:val="auto"/>
              </w:rPr>
            </w:pPr>
          </w:p>
        </w:tc>
        <w:tc>
          <w:tcPr>
            <w:tcW w:w="988" w:type="pct"/>
            <w:vMerge w:val="continue"/>
            <w:shd w:val="clear" w:color="auto" w:fill="auto"/>
            <w:vAlign w:val="center"/>
          </w:tcPr>
          <w:p w14:paraId="623AA2D0">
            <w:pPr>
              <w:pStyle w:val="182"/>
              <w:bidi w:val="0"/>
              <w:rPr>
                <w:color w:val="auto"/>
              </w:rPr>
            </w:pPr>
          </w:p>
        </w:tc>
        <w:tc>
          <w:tcPr>
            <w:tcW w:w="1623" w:type="pct"/>
            <w:gridSpan w:val="2"/>
            <w:shd w:val="clear" w:color="auto" w:fill="auto"/>
            <w:vAlign w:val="center"/>
          </w:tcPr>
          <w:p w14:paraId="3C1E9DBD">
            <w:pPr>
              <w:pStyle w:val="182"/>
              <w:bidi w:val="0"/>
              <w:rPr>
                <w:color w:val="auto"/>
              </w:rPr>
            </w:pPr>
            <w:r>
              <w:rPr>
                <w:color w:val="auto"/>
              </w:rPr>
              <w:t>年平均</w:t>
            </w:r>
            <w:r>
              <w:rPr>
                <w:rFonts w:hint="eastAsia"/>
                <w:color w:val="auto"/>
                <w:lang w:eastAsia="zh-CN"/>
              </w:rPr>
              <w:t>：</w:t>
            </w:r>
            <w:r>
              <w:rPr>
                <w:color w:val="auto"/>
              </w:rPr>
              <w:t>60μg/m</w:t>
            </w:r>
            <w:r>
              <w:rPr>
                <w:color w:val="auto"/>
                <w:vertAlign w:val="superscript"/>
              </w:rPr>
              <w:t>3</w:t>
            </w:r>
          </w:p>
        </w:tc>
      </w:tr>
      <w:tr w14:paraId="212CF6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3A44A672">
            <w:pPr>
              <w:pStyle w:val="182"/>
              <w:bidi w:val="0"/>
              <w:rPr>
                <w:color w:val="auto"/>
              </w:rPr>
            </w:pPr>
          </w:p>
        </w:tc>
        <w:tc>
          <w:tcPr>
            <w:tcW w:w="1678" w:type="pct"/>
            <w:vMerge w:val="continue"/>
            <w:shd w:val="clear" w:color="auto" w:fill="auto"/>
            <w:vAlign w:val="center"/>
          </w:tcPr>
          <w:p w14:paraId="5D8A3CCC">
            <w:pPr>
              <w:pStyle w:val="182"/>
              <w:bidi w:val="0"/>
              <w:rPr>
                <w:color w:val="auto"/>
              </w:rPr>
            </w:pPr>
          </w:p>
        </w:tc>
        <w:tc>
          <w:tcPr>
            <w:tcW w:w="988" w:type="pct"/>
            <w:vMerge w:val="restart"/>
            <w:shd w:val="clear" w:color="auto" w:fill="auto"/>
            <w:vAlign w:val="center"/>
          </w:tcPr>
          <w:p w14:paraId="05CFD4D9">
            <w:pPr>
              <w:pStyle w:val="182"/>
              <w:bidi w:val="0"/>
              <w:rPr>
                <w:color w:val="auto"/>
              </w:rPr>
            </w:pPr>
            <w:r>
              <w:rPr>
                <w:color w:val="auto"/>
              </w:rPr>
              <w:t>NO</w:t>
            </w:r>
            <w:r>
              <w:rPr>
                <w:color w:val="auto"/>
                <w:vertAlign w:val="subscript"/>
              </w:rPr>
              <w:t>2</w:t>
            </w:r>
          </w:p>
        </w:tc>
        <w:tc>
          <w:tcPr>
            <w:tcW w:w="1623" w:type="pct"/>
            <w:gridSpan w:val="2"/>
            <w:shd w:val="clear" w:color="auto" w:fill="auto"/>
            <w:vAlign w:val="center"/>
          </w:tcPr>
          <w:p w14:paraId="63CA0982">
            <w:pPr>
              <w:pStyle w:val="182"/>
              <w:bidi w:val="0"/>
              <w:rPr>
                <w:color w:val="auto"/>
              </w:rPr>
            </w:pPr>
            <w:r>
              <w:rPr>
                <w:color w:val="auto"/>
              </w:rPr>
              <w:t>1小时平均</w:t>
            </w:r>
            <w:r>
              <w:rPr>
                <w:rFonts w:hint="eastAsia"/>
                <w:color w:val="auto"/>
                <w:lang w:eastAsia="zh-CN"/>
              </w:rPr>
              <w:t>：</w:t>
            </w:r>
            <w:r>
              <w:rPr>
                <w:color w:val="auto"/>
              </w:rPr>
              <w:t>200μg/m</w:t>
            </w:r>
            <w:r>
              <w:rPr>
                <w:color w:val="auto"/>
                <w:vertAlign w:val="superscript"/>
              </w:rPr>
              <w:t>3</w:t>
            </w:r>
          </w:p>
        </w:tc>
      </w:tr>
      <w:tr w14:paraId="244FC7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09" w:type="pct"/>
            <w:vMerge w:val="continue"/>
            <w:shd w:val="clear" w:color="auto" w:fill="auto"/>
            <w:vAlign w:val="center"/>
          </w:tcPr>
          <w:p w14:paraId="5D83CA25">
            <w:pPr>
              <w:pStyle w:val="182"/>
              <w:bidi w:val="0"/>
              <w:rPr>
                <w:color w:val="auto"/>
              </w:rPr>
            </w:pPr>
          </w:p>
        </w:tc>
        <w:tc>
          <w:tcPr>
            <w:tcW w:w="1678" w:type="pct"/>
            <w:vMerge w:val="continue"/>
            <w:shd w:val="clear" w:color="auto" w:fill="auto"/>
            <w:vAlign w:val="center"/>
          </w:tcPr>
          <w:p w14:paraId="6EA7BB37">
            <w:pPr>
              <w:pStyle w:val="182"/>
              <w:bidi w:val="0"/>
              <w:rPr>
                <w:color w:val="auto"/>
              </w:rPr>
            </w:pPr>
          </w:p>
        </w:tc>
        <w:tc>
          <w:tcPr>
            <w:tcW w:w="988" w:type="pct"/>
            <w:vMerge w:val="continue"/>
            <w:shd w:val="clear" w:color="auto" w:fill="auto"/>
            <w:vAlign w:val="center"/>
          </w:tcPr>
          <w:p w14:paraId="072C5AAB">
            <w:pPr>
              <w:pStyle w:val="182"/>
              <w:bidi w:val="0"/>
              <w:rPr>
                <w:color w:val="auto"/>
              </w:rPr>
            </w:pPr>
          </w:p>
        </w:tc>
        <w:tc>
          <w:tcPr>
            <w:tcW w:w="1623" w:type="pct"/>
            <w:gridSpan w:val="2"/>
            <w:shd w:val="clear" w:color="auto" w:fill="auto"/>
            <w:vAlign w:val="center"/>
          </w:tcPr>
          <w:p w14:paraId="58FD5F69">
            <w:pPr>
              <w:pStyle w:val="182"/>
              <w:bidi w:val="0"/>
              <w:rPr>
                <w:color w:val="auto"/>
              </w:rPr>
            </w:pPr>
            <w:r>
              <w:rPr>
                <w:color w:val="auto"/>
              </w:rPr>
              <w:t>24小时平均</w:t>
            </w:r>
            <w:r>
              <w:rPr>
                <w:rFonts w:hint="eastAsia"/>
                <w:color w:val="auto"/>
                <w:lang w:eastAsia="zh-CN"/>
              </w:rPr>
              <w:t>：</w:t>
            </w:r>
            <w:r>
              <w:rPr>
                <w:color w:val="auto"/>
              </w:rPr>
              <w:t>80μg/m</w:t>
            </w:r>
            <w:r>
              <w:rPr>
                <w:color w:val="auto"/>
                <w:vertAlign w:val="superscript"/>
              </w:rPr>
              <w:t>3</w:t>
            </w:r>
          </w:p>
        </w:tc>
      </w:tr>
      <w:tr w14:paraId="5D9108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15C63779">
            <w:pPr>
              <w:pStyle w:val="182"/>
              <w:bidi w:val="0"/>
              <w:rPr>
                <w:color w:val="auto"/>
              </w:rPr>
            </w:pPr>
          </w:p>
        </w:tc>
        <w:tc>
          <w:tcPr>
            <w:tcW w:w="1678" w:type="pct"/>
            <w:vMerge w:val="continue"/>
            <w:shd w:val="clear" w:color="auto" w:fill="auto"/>
            <w:vAlign w:val="center"/>
          </w:tcPr>
          <w:p w14:paraId="28D11EE8">
            <w:pPr>
              <w:pStyle w:val="182"/>
              <w:bidi w:val="0"/>
              <w:rPr>
                <w:color w:val="auto"/>
              </w:rPr>
            </w:pPr>
          </w:p>
        </w:tc>
        <w:tc>
          <w:tcPr>
            <w:tcW w:w="988" w:type="pct"/>
            <w:vMerge w:val="continue"/>
            <w:shd w:val="clear" w:color="auto" w:fill="auto"/>
            <w:vAlign w:val="center"/>
          </w:tcPr>
          <w:p w14:paraId="73D19827">
            <w:pPr>
              <w:pStyle w:val="182"/>
              <w:bidi w:val="0"/>
              <w:rPr>
                <w:color w:val="auto"/>
              </w:rPr>
            </w:pPr>
          </w:p>
        </w:tc>
        <w:tc>
          <w:tcPr>
            <w:tcW w:w="1623" w:type="pct"/>
            <w:gridSpan w:val="2"/>
            <w:shd w:val="clear" w:color="auto" w:fill="auto"/>
            <w:vAlign w:val="center"/>
          </w:tcPr>
          <w:p w14:paraId="2C0EC3CD">
            <w:pPr>
              <w:pStyle w:val="182"/>
              <w:bidi w:val="0"/>
              <w:rPr>
                <w:color w:val="auto"/>
              </w:rPr>
            </w:pPr>
            <w:r>
              <w:rPr>
                <w:color w:val="auto"/>
              </w:rPr>
              <w:t>年平均</w:t>
            </w:r>
            <w:r>
              <w:rPr>
                <w:rFonts w:hint="eastAsia"/>
                <w:color w:val="auto"/>
                <w:lang w:eastAsia="zh-CN"/>
              </w:rPr>
              <w:t>：</w:t>
            </w:r>
            <w:r>
              <w:rPr>
                <w:color w:val="auto"/>
              </w:rPr>
              <w:t>40μg/m</w:t>
            </w:r>
            <w:r>
              <w:rPr>
                <w:color w:val="auto"/>
                <w:vertAlign w:val="superscript"/>
              </w:rPr>
              <w:t>3</w:t>
            </w:r>
          </w:p>
        </w:tc>
      </w:tr>
      <w:tr w14:paraId="50C821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2ACEEB0C">
            <w:pPr>
              <w:pStyle w:val="182"/>
              <w:bidi w:val="0"/>
              <w:rPr>
                <w:color w:val="auto"/>
              </w:rPr>
            </w:pPr>
          </w:p>
        </w:tc>
        <w:tc>
          <w:tcPr>
            <w:tcW w:w="1678" w:type="pct"/>
            <w:vMerge w:val="continue"/>
            <w:shd w:val="clear" w:color="auto" w:fill="auto"/>
            <w:vAlign w:val="center"/>
          </w:tcPr>
          <w:p w14:paraId="1B57F06C">
            <w:pPr>
              <w:pStyle w:val="182"/>
              <w:bidi w:val="0"/>
              <w:rPr>
                <w:color w:val="auto"/>
              </w:rPr>
            </w:pPr>
          </w:p>
        </w:tc>
        <w:tc>
          <w:tcPr>
            <w:tcW w:w="988" w:type="pct"/>
            <w:vMerge w:val="restart"/>
            <w:shd w:val="clear" w:color="auto" w:fill="auto"/>
            <w:vAlign w:val="center"/>
          </w:tcPr>
          <w:p w14:paraId="28912EFA">
            <w:pPr>
              <w:pStyle w:val="182"/>
              <w:bidi w:val="0"/>
              <w:rPr>
                <w:color w:val="auto"/>
              </w:rPr>
            </w:pPr>
            <w:r>
              <w:rPr>
                <w:color w:val="auto"/>
              </w:rPr>
              <w:t>CO</w:t>
            </w:r>
          </w:p>
        </w:tc>
        <w:tc>
          <w:tcPr>
            <w:tcW w:w="1623" w:type="pct"/>
            <w:gridSpan w:val="2"/>
            <w:shd w:val="clear" w:color="auto" w:fill="auto"/>
            <w:vAlign w:val="center"/>
          </w:tcPr>
          <w:p w14:paraId="61112871">
            <w:pPr>
              <w:pStyle w:val="182"/>
              <w:bidi w:val="0"/>
              <w:rPr>
                <w:color w:val="auto"/>
              </w:rPr>
            </w:pPr>
            <w:r>
              <w:rPr>
                <w:color w:val="auto"/>
              </w:rPr>
              <w:t>1小时平均</w:t>
            </w:r>
            <w:r>
              <w:rPr>
                <w:rFonts w:hint="eastAsia"/>
                <w:color w:val="auto"/>
                <w:lang w:eastAsia="zh-CN"/>
              </w:rPr>
              <w:t>：</w:t>
            </w:r>
            <w:r>
              <w:rPr>
                <w:color w:val="auto"/>
              </w:rPr>
              <w:t>10mg/m</w:t>
            </w:r>
            <w:r>
              <w:rPr>
                <w:color w:val="auto"/>
                <w:vertAlign w:val="superscript"/>
              </w:rPr>
              <w:t>3</w:t>
            </w:r>
          </w:p>
        </w:tc>
      </w:tr>
      <w:tr w14:paraId="43F5DC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13152E11">
            <w:pPr>
              <w:pStyle w:val="182"/>
              <w:bidi w:val="0"/>
              <w:rPr>
                <w:color w:val="auto"/>
              </w:rPr>
            </w:pPr>
          </w:p>
        </w:tc>
        <w:tc>
          <w:tcPr>
            <w:tcW w:w="1678" w:type="pct"/>
            <w:vMerge w:val="continue"/>
            <w:shd w:val="clear" w:color="auto" w:fill="auto"/>
            <w:vAlign w:val="center"/>
          </w:tcPr>
          <w:p w14:paraId="6E44EE3C">
            <w:pPr>
              <w:pStyle w:val="182"/>
              <w:bidi w:val="0"/>
              <w:rPr>
                <w:color w:val="auto"/>
              </w:rPr>
            </w:pPr>
          </w:p>
        </w:tc>
        <w:tc>
          <w:tcPr>
            <w:tcW w:w="988" w:type="pct"/>
            <w:vMerge w:val="continue"/>
            <w:shd w:val="clear" w:color="auto" w:fill="auto"/>
            <w:vAlign w:val="center"/>
          </w:tcPr>
          <w:p w14:paraId="4A2677BD">
            <w:pPr>
              <w:pStyle w:val="182"/>
              <w:bidi w:val="0"/>
              <w:rPr>
                <w:color w:val="auto"/>
              </w:rPr>
            </w:pPr>
          </w:p>
        </w:tc>
        <w:tc>
          <w:tcPr>
            <w:tcW w:w="1623" w:type="pct"/>
            <w:gridSpan w:val="2"/>
            <w:shd w:val="clear" w:color="auto" w:fill="auto"/>
            <w:vAlign w:val="center"/>
          </w:tcPr>
          <w:p w14:paraId="4BA6169E">
            <w:pPr>
              <w:pStyle w:val="182"/>
              <w:bidi w:val="0"/>
              <w:rPr>
                <w:color w:val="auto"/>
              </w:rPr>
            </w:pPr>
            <w:r>
              <w:rPr>
                <w:color w:val="auto"/>
              </w:rPr>
              <w:t>24小时平均</w:t>
            </w:r>
            <w:r>
              <w:rPr>
                <w:rFonts w:hint="eastAsia"/>
                <w:color w:val="auto"/>
                <w:lang w:eastAsia="zh-CN"/>
              </w:rPr>
              <w:t>：</w:t>
            </w:r>
            <w:r>
              <w:rPr>
                <w:color w:val="auto"/>
              </w:rPr>
              <w:t>4mg/m</w:t>
            </w:r>
            <w:r>
              <w:rPr>
                <w:color w:val="auto"/>
                <w:vertAlign w:val="superscript"/>
              </w:rPr>
              <w:t>3</w:t>
            </w:r>
          </w:p>
        </w:tc>
      </w:tr>
      <w:tr w14:paraId="5F9851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5239E0EA">
            <w:pPr>
              <w:pStyle w:val="182"/>
              <w:bidi w:val="0"/>
              <w:rPr>
                <w:color w:val="auto"/>
              </w:rPr>
            </w:pPr>
          </w:p>
        </w:tc>
        <w:tc>
          <w:tcPr>
            <w:tcW w:w="1678" w:type="pct"/>
            <w:vMerge w:val="continue"/>
            <w:shd w:val="clear" w:color="auto" w:fill="auto"/>
            <w:vAlign w:val="center"/>
          </w:tcPr>
          <w:p w14:paraId="7ACA29AB">
            <w:pPr>
              <w:pStyle w:val="182"/>
              <w:bidi w:val="0"/>
              <w:rPr>
                <w:color w:val="auto"/>
              </w:rPr>
            </w:pPr>
          </w:p>
        </w:tc>
        <w:tc>
          <w:tcPr>
            <w:tcW w:w="988" w:type="pct"/>
            <w:vMerge w:val="restart"/>
            <w:shd w:val="clear" w:color="auto" w:fill="auto"/>
            <w:vAlign w:val="center"/>
          </w:tcPr>
          <w:p w14:paraId="1BD1E56B">
            <w:pPr>
              <w:pStyle w:val="182"/>
              <w:bidi w:val="0"/>
              <w:rPr>
                <w:rFonts w:hint="default" w:eastAsia="宋体"/>
                <w:color w:val="auto"/>
                <w:lang w:val="en-US" w:eastAsia="zh-CN"/>
              </w:rPr>
            </w:pPr>
            <w:r>
              <w:rPr>
                <w:rFonts w:hint="eastAsia"/>
                <w:color w:val="auto"/>
                <w:lang w:val="en-US" w:eastAsia="zh-CN"/>
              </w:rPr>
              <w:t>O</w:t>
            </w:r>
            <w:r>
              <w:rPr>
                <w:rFonts w:hint="eastAsia"/>
                <w:color w:val="auto"/>
                <w:vertAlign w:val="subscript"/>
                <w:lang w:val="en-US" w:eastAsia="zh-CN"/>
              </w:rPr>
              <w:t>3</w:t>
            </w:r>
          </w:p>
        </w:tc>
        <w:tc>
          <w:tcPr>
            <w:tcW w:w="1623" w:type="pct"/>
            <w:gridSpan w:val="2"/>
            <w:shd w:val="clear" w:color="auto" w:fill="auto"/>
            <w:vAlign w:val="center"/>
          </w:tcPr>
          <w:p w14:paraId="7B3AEF92">
            <w:pPr>
              <w:pStyle w:val="182"/>
              <w:bidi w:val="0"/>
              <w:rPr>
                <w:rFonts w:hint="default" w:eastAsia="宋体"/>
                <w:color w:val="auto"/>
                <w:lang w:val="en-US" w:eastAsia="zh-CN"/>
              </w:rPr>
            </w:pPr>
            <w:r>
              <w:rPr>
                <w:rFonts w:hint="eastAsia"/>
                <w:color w:val="auto"/>
                <w:lang w:val="en-US" w:eastAsia="zh-CN"/>
              </w:rPr>
              <w:t>日最大8小时平均：160</w:t>
            </w:r>
            <w:r>
              <w:rPr>
                <w:color w:val="auto"/>
              </w:rPr>
              <w:t>μg/m</w:t>
            </w:r>
            <w:r>
              <w:rPr>
                <w:color w:val="auto"/>
                <w:vertAlign w:val="superscript"/>
              </w:rPr>
              <w:t>3</w:t>
            </w:r>
          </w:p>
        </w:tc>
      </w:tr>
      <w:tr w14:paraId="7D5006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6D1C3EB9">
            <w:pPr>
              <w:pStyle w:val="182"/>
              <w:bidi w:val="0"/>
              <w:rPr>
                <w:color w:val="auto"/>
              </w:rPr>
            </w:pPr>
          </w:p>
        </w:tc>
        <w:tc>
          <w:tcPr>
            <w:tcW w:w="1678" w:type="pct"/>
            <w:vMerge w:val="continue"/>
            <w:shd w:val="clear" w:color="auto" w:fill="auto"/>
            <w:vAlign w:val="center"/>
          </w:tcPr>
          <w:p w14:paraId="456D90DA">
            <w:pPr>
              <w:pStyle w:val="182"/>
              <w:bidi w:val="0"/>
              <w:rPr>
                <w:color w:val="auto"/>
              </w:rPr>
            </w:pPr>
          </w:p>
        </w:tc>
        <w:tc>
          <w:tcPr>
            <w:tcW w:w="988" w:type="pct"/>
            <w:vMerge w:val="continue"/>
            <w:shd w:val="clear" w:color="auto" w:fill="auto"/>
            <w:vAlign w:val="center"/>
          </w:tcPr>
          <w:p w14:paraId="4E46CADC">
            <w:pPr>
              <w:pStyle w:val="182"/>
              <w:bidi w:val="0"/>
              <w:rPr>
                <w:color w:val="auto"/>
              </w:rPr>
            </w:pPr>
          </w:p>
        </w:tc>
        <w:tc>
          <w:tcPr>
            <w:tcW w:w="1623" w:type="pct"/>
            <w:gridSpan w:val="2"/>
            <w:shd w:val="clear" w:color="auto" w:fill="auto"/>
            <w:vAlign w:val="center"/>
          </w:tcPr>
          <w:p w14:paraId="29EAE23D">
            <w:pPr>
              <w:pStyle w:val="182"/>
              <w:bidi w:val="0"/>
              <w:rPr>
                <w:color w:val="auto"/>
              </w:rPr>
            </w:pPr>
            <w:r>
              <w:rPr>
                <w:color w:val="auto"/>
              </w:rPr>
              <w:t>1小时平均</w:t>
            </w:r>
            <w:r>
              <w:rPr>
                <w:rFonts w:hint="eastAsia"/>
                <w:color w:val="auto"/>
                <w:lang w:eastAsia="zh-CN"/>
              </w:rPr>
              <w:t>：</w:t>
            </w:r>
            <w:r>
              <w:rPr>
                <w:rFonts w:hint="eastAsia"/>
                <w:color w:val="auto"/>
                <w:lang w:val="en-US" w:eastAsia="zh-CN"/>
              </w:rPr>
              <w:t>200</w:t>
            </w:r>
            <w:r>
              <w:rPr>
                <w:color w:val="auto"/>
              </w:rPr>
              <w:t>μg/m</w:t>
            </w:r>
            <w:r>
              <w:rPr>
                <w:color w:val="auto"/>
                <w:vertAlign w:val="superscript"/>
              </w:rPr>
              <w:t>3</w:t>
            </w:r>
          </w:p>
        </w:tc>
      </w:tr>
      <w:tr w14:paraId="187C43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5EF2182B">
            <w:pPr>
              <w:pStyle w:val="182"/>
              <w:bidi w:val="0"/>
              <w:rPr>
                <w:color w:val="auto"/>
              </w:rPr>
            </w:pPr>
          </w:p>
        </w:tc>
        <w:tc>
          <w:tcPr>
            <w:tcW w:w="1678" w:type="pct"/>
            <w:vMerge w:val="continue"/>
            <w:shd w:val="clear" w:color="auto" w:fill="auto"/>
            <w:vAlign w:val="center"/>
          </w:tcPr>
          <w:p w14:paraId="4EBDA503">
            <w:pPr>
              <w:pStyle w:val="182"/>
              <w:bidi w:val="0"/>
              <w:rPr>
                <w:color w:val="auto"/>
              </w:rPr>
            </w:pPr>
          </w:p>
        </w:tc>
        <w:tc>
          <w:tcPr>
            <w:tcW w:w="988" w:type="pct"/>
            <w:vMerge w:val="restart"/>
            <w:shd w:val="clear" w:color="auto" w:fill="auto"/>
            <w:vAlign w:val="center"/>
          </w:tcPr>
          <w:p w14:paraId="4BF5A4CA">
            <w:pPr>
              <w:pStyle w:val="182"/>
              <w:bidi w:val="0"/>
              <w:rPr>
                <w:rFonts w:hint="default" w:eastAsia="宋体"/>
                <w:color w:val="auto"/>
                <w:lang w:val="en-US" w:eastAsia="zh-CN"/>
              </w:rPr>
            </w:pPr>
            <w:r>
              <w:rPr>
                <w:rFonts w:hint="eastAsia"/>
                <w:color w:val="auto"/>
                <w:lang w:val="en-US" w:eastAsia="zh-CN"/>
              </w:rPr>
              <w:t>TSP</w:t>
            </w:r>
          </w:p>
        </w:tc>
        <w:tc>
          <w:tcPr>
            <w:tcW w:w="1623" w:type="pct"/>
            <w:gridSpan w:val="2"/>
            <w:shd w:val="clear" w:color="auto" w:fill="auto"/>
            <w:vAlign w:val="center"/>
          </w:tcPr>
          <w:p w14:paraId="31A626B5">
            <w:pPr>
              <w:pStyle w:val="182"/>
              <w:bidi w:val="0"/>
              <w:rPr>
                <w:rFonts w:hint="default" w:eastAsia="宋体"/>
                <w:color w:val="auto"/>
                <w:lang w:val="en-US" w:eastAsia="zh-CN"/>
              </w:rPr>
            </w:pPr>
            <w:r>
              <w:rPr>
                <w:rFonts w:hint="eastAsia"/>
                <w:color w:val="auto"/>
                <w:lang w:val="en-US" w:eastAsia="zh-CN"/>
              </w:rPr>
              <w:t>2小时平均：300</w:t>
            </w:r>
            <w:r>
              <w:rPr>
                <w:color w:val="auto"/>
              </w:rPr>
              <w:t>μg/m</w:t>
            </w:r>
            <w:r>
              <w:rPr>
                <w:color w:val="auto"/>
                <w:vertAlign w:val="superscript"/>
              </w:rPr>
              <w:t>3</w:t>
            </w:r>
          </w:p>
        </w:tc>
      </w:tr>
      <w:tr w14:paraId="3924BD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6A8928E6">
            <w:pPr>
              <w:pStyle w:val="182"/>
              <w:bidi w:val="0"/>
              <w:rPr>
                <w:color w:val="auto"/>
              </w:rPr>
            </w:pPr>
          </w:p>
        </w:tc>
        <w:tc>
          <w:tcPr>
            <w:tcW w:w="1678" w:type="pct"/>
            <w:vMerge w:val="continue"/>
            <w:shd w:val="clear" w:color="auto" w:fill="auto"/>
            <w:vAlign w:val="center"/>
          </w:tcPr>
          <w:p w14:paraId="5029CC3D">
            <w:pPr>
              <w:pStyle w:val="182"/>
              <w:bidi w:val="0"/>
              <w:rPr>
                <w:color w:val="auto"/>
              </w:rPr>
            </w:pPr>
          </w:p>
        </w:tc>
        <w:tc>
          <w:tcPr>
            <w:tcW w:w="988" w:type="pct"/>
            <w:vMerge w:val="continue"/>
            <w:shd w:val="clear" w:color="auto" w:fill="auto"/>
            <w:vAlign w:val="center"/>
          </w:tcPr>
          <w:p w14:paraId="30B2CEF4">
            <w:pPr>
              <w:pStyle w:val="182"/>
              <w:bidi w:val="0"/>
              <w:rPr>
                <w:rFonts w:hint="eastAsia"/>
                <w:color w:val="auto"/>
                <w:lang w:val="en-US" w:eastAsia="zh-CN"/>
              </w:rPr>
            </w:pPr>
          </w:p>
        </w:tc>
        <w:tc>
          <w:tcPr>
            <w:tcW w:w="1623" w:type="pct"/>
            <w:gridSpan w:val="2"/>
            <w:shd w:val="clear" w:color="auto" w:fill="auto"/>
            <w:vAlign w:val="center"/>
          </w:tcPr>
          <w:p w14:paraId="5C38852F">
            <w:pPr>
              <w:pStyle w:val="182"/>
              <w:bidi w:val="0"/>
              <w:rPr>
                <w:color w:val="auto"/>
              </w:rPr>
            </w:pPr>
            <w:r>
              <w:rPr>
                <w:rFonts w:hint="eastAsia"/>
                <w:color w:val="auto"/>
                <w:lang w:val="en-US" w:eastAsia="zh-CN"/>
              </w:rPr>
              <w:t>年</w:t>
            </w:r>
            <w:r>
              <w:rPr>
                <w:color w:val="auto"/>
              </w:rPr>
              <w:t>平均</w:t>
            </w:r>
            <w:r>
              <w:rPr>
                <w:rFonts w:hint="eastAsia"/>
                <w:color w:val="auto"/>
                <w:lang w:eastAsia="zh-CN"/>
              </w:rPr>
              <w:t>：</w:t>
            </w:r>
            <w:r>
              <w:rPr>
                <w:rFonts w:hint="eastAsia"/>
                <w:color w:val="auto"/>
                <w:lang w:val="en-US" w:eastAsia="zh-CN"/>
              </w:rPr>
              <w:t>200</w:t>
            </w:r>
            <w:r>
              <w:rPr>
                <w:color w:val="auto"/>
              </w:rPr>
              <w:t>μg/m</w:t>
            </w:r>
            <w:r>
              <w:rPr>
                <w:color w:val="auto"/>
                <w:vertAlign w:val="superscript"/>
              </w:rPr>
              <w:t>3</w:t>
            </w:r>
          </w:p>
        </w:tc>
      </w:tr>
      <w:tr w14:paraId="13F8B8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861" w:hRule="atLeast"/>
          <w:jc w:val="center"/>
        </w:trPr>
        <w:tc>
          <w:tcPr>
            <w:tcW w:w="709" w:type="pct"/>
            <w:vMerge w:val="continue"/>
            <w:shd w:val="clear" w:color="auto" w:fill="auto"/>
            <w:vAlign w:val="center"/>
          </w:tcPr>
          <w:p w14:paraId="233423AA">
            <w:pPr>
              <w:pStyle w:val="182"/>
              <w:bidi w:val="0"/>
              <w:rPr>
                <w:color w:val="auto"/>
              </w:rPr>
            </w:pPr>
          </w:p>
        </w:tc>
        <w:tc>
          <w:tcPr>
            <w:tcW w:w="1678" w:type="pct"/>
            <w:vMerge w:val="restart"/>
            <w:shd w:val="clear" w:color="auto" w:fill="auto"/>
            <w:vAlign w:val="center"/>
          </w:tcPr>
          <w:p w14:paraId="415C349D">
            <w:pPr>
              <w:pStyle w:val="182"/>
              <w:bidi w:val="0"/>
              <w:rPr>
                <w:color w:val="auto"/>
              </w:rPr>
            </w:pPr>
            <w:r>
              <w:rPr>
                <w:color w:val="auto"/>
              </w:rPr>
              <w:t>《大气污染物综合排放标</w:t>
            </w:r>
          </w:p>
          <w:p w14:paraId="1FB14E9E">
            <w:pPr>
              <w:pStyle w:val="182"/>
              <w:bidi w:val="0"/>
              <w:rPr>
                <w:color w:val="auto"/>
              </w:rPr>
            </w:pPr>
            <w:r>
              <w:rPr>
                <w:color w:val="auto"/>
              </w:rPr>
              <w:t>准详解》第四章标准值说</w:t>
            </w:r>
          </w:p>
          <w:p w14:paraId="74171C33">
            <w:pPr>
              <w:pStyle w:val="182"/>
              <w:bidi w:val="0"/>
              <w:rPr>
                <w:color w:val="auto"/>
              </w:rPr>
            </w:pPr>
            <w:r>
              <w:rPr>
                <w:color w:val="auto"/>
              </w:rPr>
              <w:t>明</w:t>
            </w:r>
          </w:p>
        </w:tc>
        <w:tc>
          <w:tcPr>
            <w:tcW w:w="988" w:type="pct"/>
            <w:shd w:val="clear" w:color="auto" w:fill="auto"/>
            <w:vAlign w:val="center"/>
          </w:tcPr>
          <w:p w14:paraId="172A158B">
            <w:pPr>
              <w:pStyle w:val="182"/>
              <w:bidi w:val="0"/>
              <w:rPr>
                <w:rFonts w:hint="eastAsia"/>
                <w:color w:val="auto"/>
                <w:lang w:val="en-US" w:eastAsia="zh-CN"/>
              </w:rPr>
            </w:pPr>
            <w:r>
              <w:rPr>
                <w:color w:val="auto"/>
              </w:rPr>
              <w:t>非甲烷总烃</w:t>
            </w:r>
          </w:p>
        </w:tc>
        <w:tc>
          <w:tcPr>
            <w:tcW w:w="1623" w:type="pct"/>
            <w:gridSpan w:val="2"/>
            <w:shd w:val="clear" w:color="auto" w:fill="auto"/>
            <w:vAlign w:val="center"/>
          </w:tcPr>
          <w:p w14:paraId="1026865F">
            <w:pPr>
              <w:pStyle w:val="182"/>
              <w:bidi w:val="0"/>
              <w:rPr>
                <w:color w:val="auto"/>
              </w:rPr>
            </w:pPr>
            <w:r>
              <w:rPr>
                <w:color w:val="auto"/>
              </w:rPr>
              <w:t>1 小时平均    2.0mg/m</w:t>
            </w:r>
            <w:r>
              <w:rPr>
                <w:color w:val="auto"/>
                <w:vertAlign w:val="superscript"/>
              </w:rPr>
              <w:t>3</w:t>
            </w:r>
          </w:p>
        </w:tc>
      </w:tr>
      <w:tr w14:paraId="03D509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restart"/>
            <w:shd w:val="clear" w:color="auto" w:fill="auto"/>
            <w:vAlign w:val="center"/>
          </w:tcPr>
          <w:p w14:paraId="4066C43A">
            <w:pPr>
              <w:pStyle w:val="182"/>
              <w:bidi w:val="0"/>
              <w:rPr>
                <w:color w:val="auto"/>
              </w:rPr>
            </w:pPr>
            <w:r>
              <w:rPr>
                <w:color w:val="auto"/>
              </w:rPr>
              <w:t>地下水</w:t>
            </w:r>
          </w:p>
        </w:tc>
        <w:tc>
          <w:tcPr>
            <w:tcW w:w="1678" w:type="pct"/>
            <w:vMerge w:val="restart"/>
            <w:shd w:val="clear" w:color="auto" w:fill="auto"/>
            <w:vAlign w:val="center"/>
          </w:tcPr>
          <w:p w14:paraId="60646C22">
            <w:pPr>
              <w:pStyle w:val="182"/>
              <w:bidi w:val="0"/>
              <w:rPr>
                <w:color w:val="auto"/>
              </w:rPr>
            </w:pPr>
            <w:r>
              <w:rPr>
                <w:color w:val="auto"/>
              </w:rPr>
              <w:t>《地下水质量标准》（GB/T14848-2017）Ⅲ类</w:t>
            </w:r>
          </w:p>
        </w:tc>
        <w:tc>
          <w:tcPr>
            <w:tcW w:w="988" w:type="pct"/>
            <w:shd w:val="clear" w:color="auto" w:fill="auto"/>
            <w:vAlign w:val="center"/>
          </w:tcPr>
          <w:p w14:paraId="04E6F62F">
            <w:pPr>
              <w:pStyle w:val="182"/>
              <w:bidi w:val="0"/>
              <w:rPr>
                <w:color w:val="auto"/>
              </w:rPr>
            </w:pPr>
            <w:r>
              <w:rPr>
                <w:color w:val="auto"/>
              </w:rPr>
              <w:t>pH</w:t>
            </w:r>
          </w:p>
        </w:tc>
        <w:tc>
          <w:tcPr>
            <w:tcW w:w="1623" w:type="pct"/>
            <w:gridSpan w:val="2"/>
            <w:shd w:val="clear" w:color="auto" w:fill="auto"/>
            <w:vAlign w:val="center"/>
          </w:tcPr>
          <w:p w14:paraId="5C2524F3">
            <w:pPr>
              <w:pStyle w:val="182"/>
              <w:bidi w:val="0"/>
              <w:rPr>
                <w:color w:val="auto"/>
              </w:rPr>
            </w:pPr>
            <w:r>
              <w:rPr>
                <w:color w:val="auto"/>
              </w:rPr>
              <w:t>6.5-8.5</w:t>
            </w:r>
          </w:p>
        </w:tc>
      </w:tr>
      <w:tr w14:paraId="5E851B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00E6F10D">
            <w:pPr>
              <w:pStyle w:val="182"/>
              <w:bidi w:val="0"/>
              <w:rPr>
                <w:color w:val="auto"/>
              </w:rPr>
            </w:pPr>
          </w:p>
        </w:tc>
        <w:tc>
          <w:tcPr>
            <w:tcW w:w="1678" w:type="pct"/>
            <w:vMerge w:val="continue"/>
            <w:shd w:val="clear" w:color="auto" w:fill="auto"/>
            <w:vAlign w:val="center"/>
          </w:tcPr>
          <w:p w14:paraId="75CCCF4D">
            <w:pPr>
              <w:pStyle w:val="182"/>
              <w:bidi w:val="0"/>
              <w:rPr>
                <w:color w:val="auto"/>
              </w:rPr>
            </w:pPr>
          </w:p>
        </w:tc>
        <w:tc>
          <w:tcPr>
            <w:tcW w:w="988" w:type="pct"/>
            <w:shd w:val="clear" w:color="auto" w:fill="auto"/>
            <w:vAlign w:val="center"/>
          </w:tcPr>
          <w:p w14:paraId="7797790C">
            <w:pPr>
              <w:pStyle w:val="182"/>
              <w:bidi w:val="0"/>
              <w:rPr>
                <w:color w:val="auto"/>
              </w:rPr>
            </w:pPr>
            <w:r>
              <w:rPr>
                <w:color w:val="auto"/>
              </w:rPr>
              <w:t>总硬度</w:t>
            </w:r>
          </w:p>
        </w:tc>
        <w:tc>
          <w:tcPr>
            <w:tcW w:w="1623" w:type="pct"/>
            <w:gridSpan w:val="2"/>
            <w:shd w:val="clear" w:color="auto" w:fill="auto"/>
            <w:vAlign w:val="center"/>
          </w:tcPr>
          <w:p w14:paraId="54D2B61F">
            <w:pPr>
              <w:pStyle w:val="182"/>
              <w:bidi w:val="0"/>
              <w:rPr>
                <w:color w:val="auto"/>
              </w:rPr>
            </w:pPr>
            <w:r>
              <w:rPr>
                <w:color w:val="auto"/>
              </w:rPr>
              <w:t>450mg/L</w:t>
            </w:r>
          </w:p>
        </w:tc>
      </w:tr>
      <w:tr w14:paraId="5A4846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49D103E4">
            <w:pPr>
              <w:pStyle w:val="182"/>
              <w:bidi w:val="0"/>
              <w:rPr>
                <w:color w:val="auto"/>
              </w:rPr>
            </w:pPr>
          </w:p>
        </w:tc>
        <w:tc>
          <w:tcPr>
            <w:tcW w:w="1678" w:type="pct"/>
            <w:vMerge w:val="continue"/>
            <w:shd w:val="clear" w:color="auto" w:fill="auto"/>
            <w:vAlign w:val="center"/>
          </w:tcPr>
          <w:p w14:paraId="251D0092">
            <w:pPr>
              <w:pStyle w:val="182"/>
              <w:bidi w:val="0"/>
              <w:rPr>
                <w:color w:val="auto"/>
              </w:rPr>
            </w:pPr>
          </w:p>
        </w:tc>
        <w:tc>
          <w:tcPr>
            <w:tcW w:w="988" w:type="pct"/>
            <w:shd w:val="clear" w:color="auto" w:fill="auto"/>
            <w:vAlign w:val="center"/>
          </w:tcPr>
          <w:p w14:paraId="33D58D46">
            <w:pPr>
              <w:pStyle w:val="182"/>
              <w:bidi w:val="0"/>
              <w:rPr>
                <w:color w:val="auto"/>
              </w:rPr>
            </w:pPr>
            <w:r>
              <w:rPr>
                <w:color w:val="auto"/>
              </w:rPr>
              <w:t>溶解性总固体</w:t>
            </w:r>
          </w:p>
        </w:tc>
        <w:tc>
          <w:tcPr>
            <w:tcW w:w="1623" w:type="pct"/>
            <w:gridSpan w:val="2"/>
            <w:shd w:val="clear" w:color="auto" w:fill="auto"/>
            <w:vAlign w:val="center"/>
          </w:tcPr>
          <w:p w14:paraId="3E54A20F">
            <w:pPr>
              <w:pStyle w:val="182"/>
              <w:bidi w:val="0"/>
              <w:rPr>
                <w:color w:val="auto"/>
              </w:rPr>
            </w:pPr>
            <w:r>
              <w:rPr>
                <w:color w:val="auto"/>
              </w:rPr>
              <w:t>1000mg/L</w:t>
            </w:r>
          </w:p>
        </w:tc>
      </w:tr>
      <w:tr w14:paraId="16DDF3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4BB9CBDE">
            <w:pPr>
              <w:pStyle w:val="182"/>
              <w:bidi w:val="0"/>
              <w:rPr>
                <w:color w:val="auto"/>
              </w:rPr>
            </w:pPr>
          </w:p>
        </w:tc>
        <w:tc>
          <w:tcPr>
            <w:tcW w:w="1678" w:type="pct"/>
            <w:vMerge w:val="continue"/>
            <w:shd w:val="clear" w:color="auto" w:fill="auto"/>
            <w:vAlign w:val="center"/>
          </w:tcPr>
          <w:p w14:paraId="4F60BDA8">
            <w:pPr>
              <w:pStyle w:val="182"/>
              <w:bidi w:val="0"/>
              <w:rPr>
                <w:color w:val="auto"/>
              </w:rPr>
            </w:pPr>
          </w:p>
        </w:tc>
        <w:tc>
          <w:tcPr>
            <w:tcW w:w="988" w:type="pct"/>
            <w:shd w:val="clear" w:color="auto" w:fill="auto"/>
            <w:vAlign w:val="center"/>
          </w:tcPr>
          <w:p w14:paraId="2411E971">
            <w:pPr>
              <w:pStyle w:val="182"/>
              <w:bidi w:val="0"/>
              <w:rPr>
                <w:color w:val="auto"/>
              </w:rPr>
            </w:pPr>
            <w:r>
              <w:rPr>
                <w:color w:val="auto"/>
              </w:rPr>
              <w:t>耗氧量（COD</w:t>
            </w:r>
            <w:r>
              <w:rPr>
                <w:color w:val="auto"/>
                <w:vertAlign w:val="subscript"/>
              </w:rPr>
              <w:t>Mn</w:t>
            </w:r>
            <w:r>
              <w:rPr>
                <w:color w:val="auto"/>
              </w:rPr>
              <w:t>法，以O</w:t>
            </w:r>
            <w:r>
              <w:rPr>
                <w:color w:val="auto"/>
                <w:vertAlign w:val="subscript"/>
              </w:rPr>
              <w:t>2</w:t>
            </w:r>
            <w:r>
              <w:rPr>
                <w:color w:val="auto"/>
              </w:rPr>
              <w:t>计）</w:t>
            </w:r>
          </w:p>
        </w:tc>
        <w:tc>
          <w:tcPr>
            <w:tcW w:w="1623" w:type="pct"/>
            <w:gridSpan w:val="2"/>
            <w:shd w:val="clear" w:color="auto" w:fill="auto"/>
            <w:vAlign w:val="center"/>
          </w:tcPr>
          <w:p w14:paraId="78D044EE">
            <w:pPr>
              <w:pStyle w:val="182"/>
              <w:bidi w:val="0"/>
              <w:rPr>
                <w:color w:val="auto"/>
              </w:rPr>
            </w:pPr>
            <w:r>
              <w:rPr>
                <w:color w:val="auto"/>
              </w:rPr>
              <w:t>3.0mg/L</w:t>
            </w:r>
          </w:p>
        </w:tc>
      </w:tr>
      <w:tr w14:paraId="705DEB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1D0326F9">
            <w:pPr>
              <w:pStyle w:val="182"/>
              <w:bidi w:val="0"/>
              <w:rPr>
                <w:color w:val="auto"/>
              </w:rPr>
            </w:pPr>
          </w:p>
        </w:tc>
        <w:tc>
          <w:tcPr>
            <w:tcW w:w="1678" w:type="pct"/>
            <w:vMerge w:val="continue"/>
            <w:shd w:val="clear" w:color="auto" w:fill="auto"/>
            <w:vAlign w:val="center"/>
          </w:tcPr>
          <w:p w14:paraId="045FE7E0">
            <w:pPr>
              <w:pStyle w:val="182"/>
              <w:bidi w:val="0"/>
              <w:rPr>
                <w:color w:val="auto"/>
              </w:rPr>
            </w:pPr>
          </w:p>
        </w:tc>
        <w:tc>
          <w:tcPr>
            <w:tcW w:w="988" w:type="pct"/>
            <w:shd w:val="clear" w:color="auto" w:fill="auto"/>
            <w:vAlign w:val="center"/>
          </w:tcPr>
          <w:p w14:paraId="4C25BF9B">
            <w:pPr>
              <w:pStyle w:val="182"/>
              <w:bidi w:val="0"/>
              <w:rPr>
                <w:color w:val="auto"/>
              </w:rPr>
            </w:pPr>
            <w:r>
              <w:rPr>
                <w:color w:val="auto"/>
              </w:rPr>
              <w:t>氨氮</w:t>
            </w:r>
          </w:p>
        </w:tc>
        <w:tc>
          <w:tcPr>
            <w:tcW w:w="1623" w:type="pct"/>
            <w:gridSpan w:val="2"/>
            <w:shd w:val="clear" w:color="auto" w:fill="auto"/>
            <w:vAlign w:val="center"/>
          </w:tcPr>
          <w:p w14:paraId="3CDC6913">
            <w:pPr>
              <w:pStyle w:val="182"/>
              <w:bidi w:val="0"/>
              <w:rPr>
                <w:color w:val="auto"/>
              </w:rPr>
            </w:pPr>
            <w:r>
              <w:rPr>
                <w:color w:val="auto"/>
              </w:rPr>
              <w:t>0.5mg/L</w:t>
            </w:r>
          </w:p>
        </w:tc>
      </w:tr>
      <w:tr w14:paraId="204E64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765FF1E5">
            <w:pPr>
              <w:pStyle w:val="182"/>
              <w:bidi w:val="0"/>
              <w:rPr>
                <w:color w:val="auto"/>
              </w:rPr>
            </w:pPr>
          </w:p>
        </w:tc>
        <w:tc>
          <w:tcPr>
            <w:tcW w:w="1678" w:type="pct"/>
            <w:vMerge w:val="continue"/>
            <w:shd w:val="clear" w:color="auto" w:fill="auto"/>
            <w:vAlign w:val="center"/>
          </w:tcPr>
          <w:p w14:paraId="3A8FAEEA">
            <w:pPr>
              <w:pStyle w:val="182"/>
              <w:bidi w:val="0"/>
              <w:rPr>
                <w:color w:val="auto"/>
              </w:rPr>
            </w:pPr>
          </w:p>
        </w:tc>
        <w:tc>
          <w:tcPr>
            <w:tcW w:w="988" w:type="pct"/>
            <w:shd w:val="clear" w:color="auto" w:fill="auto"/>
            <w:vAlign w:val="center"/>
          </w:tcPr>
          <w:p w14:paraId="54ADFC75">
            <w:pPr>
              <w:pStyle w:val="182"/>
              <w:bidi w:val="0"/>
              <w:rPr>
                <w:color w:val="auto"/>
              </w:rPr>
            </w:pPr>
            <w:r>
              <w:rPr>
                <w:color w:val="auto"/>
              </w:rPr>
              <w:t>氯化物</w:t>
            </w:r>
          </w:p>
        </w:tc>
        <w:tc>
          <w:tcPr>
            <w:tcW w:w="1623" w:type="pct"/>
            <w:gridSpan w:val="2"/>
            <w:shd w:val="clear" w:color="auto" w:fill="auto"/>
            <w:vAlign w:val="center"/>
          </w:tcPr>
          <w:p w14:paraId="2EDFD512">
            <w:pPr>
              <w:pStyle w:val="182"/>
              <w:bidi w:val="0"/>
              <w:rPr>
                <w:color w:val="auto"/>
              </w:rPr>
            </w:pPr>
            <w:r>
              <w:rPr>
                <w:color w:val="auto"/>
              </w:rPr>
              <w:t>250mg/L</w:t>
            </w:r>
          </w:p>
        </w:tc>
      </w:tr>
      <w:tr w14:paraId="136E0C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6618B11D">
            <w:pPr>
              <w:pStyle w:val="182"/>
              <w:bidi w:val="0"/>
              <w:rPr>
                <w:color w:val="auto"/>
              </w:rPr>
            </w:pPr>
          </w:p>
        </w:tc>
        <w:tc>
          <w:tcPr>
            <w:tcW w:w="1678" w:type="pct"/>
            <w:vMerge w:val="continue"/>
            <w:shd w:val="clear" w:color="auto" w:fill="auto"/>
            <w:vAlign w:val="center"/>
          </w:tcPr>
          <w:p w14:paraId="45233C0D">
            <w:pPr>
              <w:pStyle w:val="182"/>
              <w:bidi w:val="0"/>
              <w:rPr>
                <w:color w:val="auto"/>
              </w:rPr>
            </w:pPr>
          </w:p>
        </w:tc>
        <w:tc>
          <w:tcPr>
            <w:tcW w:w="988" w:type="pct"/>
            <w:shd w:val="clear" w:color="auto" w:fill="auto"/>
            <w:vAlign w:val="center"/>
          </w:tcPr>
          <w:p w14:paraId="10591121">
            <w:pPr>
              <w:pStyle w:val="182"/>
              <w:bidi w:val="0"/>
              <w:rPr>
                <w:color w:val="auto"/>
              </w:rPr>
            </w:pPr>
            <w:r>
              <w:rPr>
                <w:color w:val="auto"/>
              </w:rPr>
              <w:t>硫酸盐</w:t>
            </w:r>
          </w:p>
        </w:tc>
        <w:tc>
          <w:tcPr>
            <w:tcW w:w="1623" w:type="pct"/>
            <w:gridSpan w:val="2"/>
            <w:shd w:val="clear" w:color="auto" w:fill="auto"/>
            <w:vAlign w:val="center"/>
          </w:tcPr>
          <w:p w14:paraId="3D5815CC">
            <w:pPr>
              <w:pStyle w:val="182"/>
              <w:bidi w:val="0"/>
              <w:rPr>
                <w:color w:val="auto"/>
              </w:rPr>
            </w:pPr>
            <w:r>
              <w:rPr>
                <w:color w:val="auto"/>
              </w:rPr>
              <w:t>250mg/L</w:t>
            </w:r>
          </w:p>
        </w:tc>
      </w:tr>
      <w:tr w14:paraId="07947F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restart"/>
            <w:shd w:val="clear" w:color="auto" w:fill="auto"/>
            <w:vAlign w:val="center"/>
          </w:tcPr>
          <w:p w14:paraId="1BB65806">
            <w:pPr>
              <w:pStyle w:val="182"/>
              <w:bidi w:val="0"/>
              <w:rPr>
                <w:color w:val="auto"/>
              </w:rPr>
            </w:pPr>
            <w:r>
              <w:rPr>
                <w:color w:val="auto"/>
              </w:rPr>
              <w:t>声环境</w:t>
            </w:r>
          </w:p>
        </w:tc>
        <w:tc>
          <w:tcPr>
            <w:tcW w:w="1678" w:type="pct"/>
            <w:vMerge w:val="restart"/>
            <w:shd w:val="clear" w:color="auto" w:fill="auto"/>
            <w:vAlign w:val="center"/>
          </w:tcPr>
          <w:p w14:paraId="1B30B960">
            <w:pPr>
              <w:pStyle w:val="182"/>
              <w:bidi w:val="0"/>
              <w:rPr>
                <w:color w:val="auto"/>
              </w:rPr>
            </w:pPr>
            <w:r>
              <w:rPr>
                <w:color w:val="auto"/>
              </w:rPr>
              <w:t>《声环境质量标准》（GB3096-2008）3类</w:t>
            </w:r>
          </w:p>
        </w:tc>
        <w:tc>
          <w:tcPr>
            <w:tcW w:w="988" w:type="pct"/>
            <w:vMerge w:val="restart"/>
            <w:shd w:val="clear" w:color="auto" w:fill="auto"/>
            <w:vAlign w:val="center"/>
          </w:tcPr>
          <w:p w14:paraId="0FF75D6F">
            <w:pPr>
              <w:pStyle w:val="182"/>
              <w:bidi w:val="0"/>
              <w:rPr>
                <w:color w:val="auto"/>
              </w:rPr>
            </w:pPr>
            <w:r>
              <w:rPr>
                <w:color w:val="auto"/>
              </w:rPr>
              <w:t>Leq(A)</w:t>
            </w:r>
          </w:p>
        </w:tc>
        <w:tc>
          <w:tcPr>
            <w:tcW w:w="925" w:type="pct"/>
            <w:shd w:val="clear" w:color="auto" w:fill="auto"/>
            <w:vAlign w:val="center"/>
          </w:tcPr>
          <w:p w14:paraId="5D9E72B7">
            <w:pPr>
              <w:pStyle w:val="182"/>
              <w:bidi w:val="0"/>
              <w:rPr>
                <w:color w:val="auto"/>
              </w:rPr>
            </w:pPr>
            <w:r>
              <w:rPr>
                <w:color w:val="auto"/>
              </w:rPr>
              <w:t>昼间</w:t>
            </w:r>
          </w:p>
        </w:tc>
        <w:tc>
          <w:tcPr>
            <w:tcW w:w="698" w:type="pct"/>
            <w:shd w:val="clear" w:color="auto" w:fill="auto"/>
            <w:vAlign w:val="center"/>
          </w:tcPr>
          <w:p w14:paraId="0773C98E">
            <w:pPr>
              <w:pStyle w:val="182"/>
              <w:bidi w:val="0"/>
              <w:rPr>
                <w:color w:val="auto"/>
              </w:rPr>
            </w:pPr>
            <w:r>
              <w:rPr>
                <w:color w:val="auto"/>
              </w:rPr>
              <w:t>65dB(A)</w:t>
            </w:r>
          </w:p>
        </w:tc>
      </w:tr>
      <w:tr w14:paraId="2132AC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5FF9F966">
            <w:pPr>
              <w:pStyle w:val="182"/>
              <w:bidi w:val="0"/>
              <w:rPr>
                <w:color w:val="auto"/>
              </w:rPr>
            </w:pPr>
          </w:p>
        </w:tc>
        <w:tc>
          <w:tcPr>
            <w:tcW w:w="1678" w:type="pct"/>
            <w:vMerge w:val="continue"/>
            <w:shd w:val="clear" w:color="auto" w:fill="auto"/>
            <w:vAlign w:val="center"/>
          </w:tcPr>
          <w:p w14:paraId="742F5549">
            <w:pPr>
              <w:pStyle w:val="182"/>
              <w:bidi w:val="0"/>
              <w:rPr>
                <w:color w:val="auto"/>
              </w:rPr>
            </w:pPr>
          </w:p>
        </w:tc>
        <w:tc>
          <w:tcPr>
            <w:tcW w:w="988" w:type="pct"/>
            <w:vMerge w:val="continue"/>
            <w:shd w:val="clear" w:color="auto" w:fill="auto"/>
            <w:vAlign w:val="center"/>
          </w:tcPr>
          <w:p w14:paraId="2A0901C4">
            <w:pPr>
              <w:pStyle w:val="182"/>
              <w:bidi w:val="0"/>
              <w:rPr>
                <w:color w:val="auto"/>
              </w:rPr>
            </w:pPr>
          </w:p>
        </w:tc>
        <w:tc>
          <w:tcPr>
            <w:tcW w:w="925" w:type="pct"/>
            <w:shd w:val="clear" w:color="auto" w:fill="auto"/>
            <w:vAlign w:val="center"/>
          </w:tcPr>
          <w:p w14:paraId="7534B714">
            <w:pPr>
              <w:pStyle w:val="182"/>
              <w:bidi w:val="0"/>
              <w:rPr>
                <w:color w:val="auto"/>
              </w:rPr>
            </w:pPr>
            <w:r>
              <w:rPr>
                <w:color w:val="auto"/>
              </w:rPr>
              <w:t>夜间</w:t>
            </w:r>
          </w:p>
        </w:tc>
        <w:tc>
          <w:tcPr>
            <w:tcW w:w="698" w:type="pct"/>
            <w:shd w:val="clear" w:color="auto" w:fill="auto"/>
            <w:vAlign w:val="center"/>
          </w:tcPr>
          <w:p w14:paraId="34DED196">
            <w:pPr>
              <w:pStyle w:val="182"/>
              <w:bidi w:val="0"/>
              <w:rPr>
                <w:color w:val="auto"/>
              </w:rPr>
            </w:pPr>
            <w:r>
              <w:rPr>
                <w:color w:val="auto"/>
              </w:rPr>
              <w:t>55dB(A)</w:t>
            </w:r>
          </w:p>
        </w:tc>
      </w:tr>
      <w:tr w14:paraId="7E5361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restart"/>
            <w:shd w:val="clear" w:color="auto" w:fill="auto"/>
            <w:vAlign w:val="center"/>
          </w:tcPr>
          <w:p w14:paraId="16982086">
            <w:pPr>
              <w:pStyle w:val="182"/>
              <w:bidi w:val="0"/>
              <w:rPr>
                <w:color w:val="auto"/>
              </w:rPr>
            </w:pPr>
            <w:r>
              <w:rPr>
                <w:color w:val="auto"/>
              </w:rPr>
              <w:t>土壤环境</w:t>
            </w:r>
          </w:p>
        </w:tc>
        <w:tc>
          <w:tcPr>
            <w:tcW w:w="1678" w:type="pct"/>
            <w:vMerge w:val="restart"/>
            <w:shd w:val="clear" w:color="auto" w:fill="auto"/>
            <w:vAlign w:val="center"/>
          </w:tcPr>
          <w:p w14:paraId="77F79B98">
            <w:pPr>
              <w:pStyle w:val="182"/>
              <w:bidi w:val="0"/>
              <w:rPr>
                <w:color w:val="auto"/>
              </w:rPr>
            </w:pPr>
            <w:r>
              <w:rPr>
                <w:color w:val="auto"/>
              </w:rPr>
              <w:t>《土壤环境质量 建设用地土壤污染风险管控标准（试行）》（GB36600-2018）表1基本项目第二类用地筛选值</w:t>
            </w:r>
          </w:p>
        </w:tc>
        <w:tc>
          <w:tcPr>
            <w:tcW w:w="988" w:type="pct"/>
            <w:shd w:val="clear" w:color="auto" w:fill="auto"/>
            <w:vAlign w:val="center"/>
          </w:tcPr>
          <w:p w14:paraId="40133E80">
            <w:pPr>
              <w:pStyle w:val="182"/>
              <w:bidi w:val="0"/>
              <w:rPr>
                <w:color w:val="auto"/>
              </w:rPr>
            </w:pPr>
            <w:r>
              <w:rPr>
                <w:color w:val="auto"/>
              </w:rPr>
              <w:t>砷</w:t>
            </w:r>
          </w:p>
        </w:tc>
        <w:tc>
          <w:tcPr>
            <w:tcW w:w="1623" w:type="pct"/>
            <w:gridSpan w:val="2"/>
            <w:shd w:val="clear" w:color="auto" w:fill="auto"/>
            <w:vAlign w:val="center"/>
          </w:tcPr>
          <w:p w14:paraId="6289AF87">
            <w:pPr>
              <w:pStyle w:val="182"/>
              <w:bidi w:val="0"/>
              <w:rPr>
                <w:color w:val="auto"/>
              </w:rPr>
            </w:pPr>
            <w:r>
              <w:rPr>
                <w:color w:val="auto"/>
              </w:rPr>
              <w:t>60mg/kg</w:t>
            </w:r>
          </w:p>
        </w:tc>
      </w:tr>
      <w:tr w14:paraId="5F2F4D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09944005">
            <w:pPr>
              <w:pStyle w:val="182"/>
              <w:bidi w:val="0"/>
              <w:rPr>
                <w:color w:val="auto"/>
              </w:rPr>
            </w:pPr>
          </w:p>
        </w:tc>
        <w:tc>
          <w:tcPr>
            <w:tcW w:w="1678" w:type="pct"/>
            <w:vMerge w:val="continue"/>
            <w:shd w:val="clear" w:color="auto" w:fill="auto"/>
            <w:vAlign w:val="center"/>
          </w:tcPr>
          <w:p w14:paraId="5313F5DC">
            <w:pPr>
              <w:pStyle w:val="182"/>
              <w:bidi w:val="0"/>
              <w:rPr>
                <w:color w:val="auto"/>
              </w:rPr>
            </w:pPr>
          </w:p>
        </w:tc>
        <w:tc>
          <w:tcPr>
            <w:tcW w:w="988" w:type="pct"/>
            <w:shd w:val="clear" w:color="auto" w:fill="auto"/>
            <w:vAlign w:val="center"/>
          </w:tcPr>
          <w:p w14:paraId="78D75932">
            <w:pPr>
              <w:pStyle w:val="182"/>
              <w:bidi w:val="0"/>
              <w:rPr>
                <w:color w:val="auto"/>
              </w:rPr>
            </w:pPr>
            <w:r>
              <w:rPr>
                <w:color w:val="auto"/>
              </w:rPr>
              <w:t>镉</w:t>
            </w:r>
          </w:p>
        </w:tc>
        <w:tc>
          <w:tcPr>
            <w:tcW w:w="1623" w:type="pct"/>
            <w:gridSpan w:val="2"/>
            <w:shd w:val="clear" w:color="auto" w:fill="auto"/>
            <w:vAlign w:val="center"/>
          </w:tcPr>
          <w:p w14:paraId="2BFC7EA9">
            <w:pPr>
              <w:pStyle w:val="182"/>
              <w:bidi w:val="0"/>
              <w:rPr>
                <w:color w:val="auto"/>
              </w:rPr>
            </w:pPr>
            <w:r>
              <w:rPr>
                <w:color w:val="auto"/>
              </w:rPr>
              <w:t>65mg/kg</w:t>
            </w:r>
          </w:p>
        </w:tc>
      </w:tr>
      <w:tr w14:paraId="368346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1688CBFD">
            <w:pPr>
              <w:pStyle w:val="182"/>
              <w:bidi w:val="0"/>
              <w:rPr>
                <w:color w:val="auto"/>
              </w:rPr>
            </w:pPr>
          </w:p>
        </w:tc>
        <w:tc>
          <w:tcPr>
            <w:tcW w:w="1678" w:type="pct"/>
            <w:vMerge w:val="continue"/>
            <w:shd w:val="clear" w:color="auto" w:fill="auto"/>
            <w:vAlign w:val="center"/>
          </w:tcPr>
          <w:p w14:paraId="50F12285">
            <w:pPr>
              <w:pStyle w:val="182"/>
              <w:bidi w:val="0"/>
              <w:rPr>
                <w:color w:val="auto"/>
              </w:rPr>
            </w:pPr>
          </w:p>
        </w:tc>
        <w:tc>
          <w:tcPr>
            <w:tcW w:w="988" w:type="pct"/>
            <w:shd w:val="clear" w:color="auto" w:fill="auto"/>
            <w:vAlign w:val="center"/>
          </w:tcPr>
          <w:p w14:paraId="3944A844">
            <w:pPr>
              <w:pStyle w:val="182"/>
              <w:bidi w:val="0"/>
              <w:rPr>
                <w:color w:val="auto"/>
              </w:rPr>
            </w:pPr>
            <w:r>
              <w:rPr>
                <w:color w:val="auto"/>
              </w:rPr>
              <w:t>铬（六价）</w:t>
            </w:r>
          </w:p>
        </w:tc>
        <w:tc>
          <w:tcPr>
            <w:tcW w:w="1623" w:type="pct"/>
            <w:gridSpan w:val="2"/>
            <w:shd w:val="clear" w:color="auto" w:fill="auto"/>
            <w:vAlign w:val="center"/>
          </w:tcPr>
          <w:p w14:paraId="65494399">
            <w:pPr>
              <w:pStyle w:val="182"/>
              <w:bidi w:val="0"/>
              <w:rPr>
                <w:color w:val="auto"/>
              </w:rPr>
            </w:pPr>
            <w:r>
              <w:rPr>
                <w:color w:val="auto"/>
              </w:rPr>
              <w:t>5.7mg/kg</w:t>
            </w:r>
          </w:p>
        </w:tc>
      </w:tr>
      <w:tr w14:paraId="0B883E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4535593B">
            <w:pPr>
              <w:pStyle w:val="182"/>
              <w:bidi w:val="0"/>
              <w:rPr>
                <w:color w:val="auto"/>
              </w:rPr>
            </w:pPr>
          </w:p>
        </w:tc>
        <w:tc>
          <w:tcPr>
            <w:tcW w:w="1678" w:type="pct"/>
            <w:vMerge w:val="continue"/>
            <w:shd w:val="clear" w:color="auto" w:fill="auto"/>
            <w:vAlign w:val="center"/>
          </w:tcPr>
          <w:p w14:paraId="28DF143E">
            <w:pPr>
              <w:pStyle w:val="182"/>
              <w:bidi w:val="0"/>
              <w:rPr>
                <w:color w:val="auto"/>
              </w:rPr>
            </w:pPr>
          </w:p>
        </w:tc>
        <w:tc>
          <w:tcPr>
            <w:tcW w:w="988" w:type="pct"/>
            <w:shd w:val="clear" w:color="auto" w:fill="auto"/>
            <w:vAlign w:val="center"/>
          </w:tcPr>
          <w:p w14:paraId="39B53FAE">
            <w:pPr>
              <w:pStyle w:val="182"/>
              <w:bidi w:val="0"/>
              <w:rPr>
                <w:color w:val="auto"/>
              </w:rPr>
            </w:pPr>
            <w:r>
              <w:rPr>
                <w:color w:val="auto"/>
              </w:rPr>
              <w:t>铜</w:t>
            </w:r>
          </w:p>
        </w:tc>
        <w:tc>
          <w:tcPr>
            <w:tcW w:w="1623" w:type="pct"/>
            <w:gridSpan w:val="2"/>
            <w:shd w:val="clear" w:color="auto" w:fill="auto"/>
            <w:vAlign w:val="center"/>
          </w:tcPr>
          <w:p w14:paraId="0CFE3858">
            <w:pPr>
              <w:pStyle w:val="182"/>
              <w:bidi w:val="0"/>
              <w:rPr>
                <w:color w:val="auto"/>
              </w:rPr>
            </w:pPr>
            <w:r>
              <w:rPr>
                <w:color w:val="auto"/>
              </w:rPr>
              <w:t>18000mg/kg</w:t>
            </w:r>
          </w:p>
        </w:tc>
      </w:tr>
      <w:tr w14:paraId="7031CB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7EF4DF80">
            <w:pPr>
              <w:pStyle w:val="182"/>
              <w:bidi w:val="0"/>
              <w:rPr>
                <w:color w:val="auto"/>
              </w:rPr>
            </w:pPr>
          </w:p>
        </w:tc>
        <w:tc>
          <w:tcPr>
            <w:tcW w:w="1678" w:type="pct"/>
            <w:vMerge w:val="continue"/>
            <w:shd w:val="clear" w:color="auto" w:fill="auto"/>
            <w:vAlign w:val="center"/>
          </w:tcPr>
          <w:p w14:paraId="2B8E6857">
            <w:pPr>
              <w:pStyle w:val="182"/>
              <w:bidi w:val="0"/>
              <w:rPr>
                <w:color w:val="auto"/>
              </w:rPr>
            </w:pPr>
          </w:p>
        </w:tc>
        <w:tc>
          <w:tcPr>
            <w:tcW w:w="988" w:type="pct"/>
            <w:shd w:val="clear" w:color="auto" w:fill="auto"/>
            <w:vAlign w:val="center"/>
          </w:tcPr>
          <w:p w14:paraId="62DAED64">
            <w:pPr>
              <w:pStyle w:val="182"/>
              <w:bidi w:val="0"/>
              <w:rPr>
                <w:color w:val="auto"/>
              </w:rPr>
            </w:pPr>
            <w:r>
              <w:rPr>
                <w:color w:val="auto"/>
              </w:rPr>
              <w:t>铅</w:t>
            </w:r>
          </w:p>
        </w:tc>
        <w:tc>
          <w:tcPr>
            <w:tcW w:w="1623" w:type="pct"/>
            <w:gridSpan w:val="2"/>
            <w:shd w:val="clear" w:color="auto" w:fill="auto"/>
            <w:vAlign w:val="center"/>
          </w:tcPr>
          <w:p w14:paraId="1D96562D">
            <w:pPr>
              <w:pStyle w:val="182"/>
              <w:bidi w:val="0"/>
              <w:rPr>
                <w:color w:val="auto"/>
              </w:rPr>
            </w:pPr>
            <w:r>
              <w:rPr>
                <w:color w:val="auto"/>
              </w:rPr>
              <w:t>800mg/kg</w:t>
            </w:r>
          </w:p>
        </w:tc>
      </w:tr>
      <w:tr w14:paraId="33FEA1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1689EE18">
            <w:pPr>
              <w:pStyle w:val="182"/>
              <w:bidi w:val="0"/>
              <w:rPr>
                <w:color w:val="auto"/>
              </w:rPr>
            </w:pPr>
          </w:p>
        </w:tc>
        <w:tc>
          <w:tcPr>
            <w:tcW w:w="1678" w:type="pct"/>
            <w:vMerge w:val="continue"/>
            <w:shd w:val="clear" w:color="auto" w:fill="auto"/>
            <w:vAlign w:val="center"/>
          </w:tcPr>
          <w:p w14:paraId="42BAC15E">
            <w:pPr>
              <w:pStyle w:val="182"/>
              <w:bidi w:val="0"/>
              <w:rPr>
                <w:color w:val="auto"/>
              </w:rPr>
            </w:pPr>
          </w:p>
        </w:tc>
        <w:tc>
          <w:tcPr>
            <w:tcW w:w="988" w:type="pct"/>
            <w:shd w:val="clear" w:color="auto" w:fill="auto"/>
            <w:vAlign w:val="center"/>
          </w:tcPr>
          <w:p w14:paraId="2CE95252">
            <w:pPr>
              <w:pStyle w:val="182"/>
              <w:bidi w:val="0"/>
              <w:rPr>
                <w:color w:val="auto"/>
              </w:rPr>
            </w:pPr>
            <w:r>
              <w:rPr>
                <w:color w:val="auto"/>
              </w:rPr>
              <w:t>汞</w:t>
            </w:r>
          </w:p>
        </w:tc>
        <w:tc>
          <w:tcPr>
            <w:tcW w:w="1623" w:type="pct"/>
            <w:gridSpan w:val="2"/>
            <w:shd w:val="clear" w:color="auto" w:fill="auto"/>
            <w:vAlign w:val="center"/>
          </w:tcPr>
          <w:p w14:paraId="1838FFD6">
            <w:pPr>
              <w:pStyle w:val="182"/>
              <w:bidi w:val="0"/>
              <w:rPr>
                <w:color w:val="auto"/>
              </w:rPr>
            </w:pPr>
            <w:r>
              <w:rPr>
                <w:color w:val="auto"/>
              </w:rPr>
              <w:t>38mg/kg</w:t>
            </w:r>
          </w:p>
        </w:tc>
      </w:tr>
      <w:tr w14:paraId="7ABF8E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355C7A09">
            <w:pPr>
              <w:pStyle w:val="182"/>
              <w:bidi w:val="0"/>
              <w:rPr>
                <w:color w:val="auto"/>
              </w:rPr>
            </w:pPr>
          </w:p>
        </w:tc>
        <w:tc>
          <w:tcPr>
            <w:tcW w:w="1678" w:type="pct"/>
            <w:vMerge w:val="continue"/>
            <w:shd w:val="clear" w:color="auto" w:fill="auto"/>
            <w:vAlign w:val="center"/>
          </w:tcPr>
          <w:p w14:paraId="65FBF7C9">
            <w:pPr>
              <w:pStyle w:val="182"/>
              <w:bidi w:val="0"/>
              <w:rPr>
                <w:color w:val="auto"/>
              </w:rPr>
            </w:pPr>
          </w:p>
        </w:tc>
        <w:tc>
          <w:tcPr>
            <w:tcW w:w="988" w:type="pct"/>
            <w:shd w:val="clear" w:color="auto" w:fill="auto"/>
            <w:vAlign w:val="center"/>
          </w:tcPr>
          <w:p w14:paraId="710B0C59">
            <w:pPr>
              <w:pStyle w:val="182"/>
              <w:bidi w:val="0"/>
              <w:rPr>
                <w:color w:val="auto"/>
              </w:rPr>
            </w:pPr>
            <w:r>
              <w:rPr>
                <w:color w:val="auto"/>
              </w:rPr>
              <w:t>镍</w:t>
            </w:r>
          </w:p>
        </w:tc>
        <w:tc>
          <w:tcPr>
            <w:tcW w:w="1623" w:type="pct"/>
            <w:gridSpan w:val="2"/>
            <w:shd w:val="clear" w:color="auto" w:fill="auto"/>
            <w:vAlign w:val="center"/>
          </w:tcPr>
          <w:p w14:paraId="32C55B22">
            <w:pPr>
              <w:pStyle w:val="182"/>
              <w:bidi w:val="0"/>
              <w:rPr>
                <w:color w:val="auto"/>
              </w:rPr>
            </w:pPr>
            <w:r>
              <w:rPr>
                <w:color w:val="auto"/>
              </w:rPr>
              <w:t>900mg/kg</w:t>
            </w:r>
          </w:p>
        </w:tc>
      </w:tr>
      <w:tr w14:paraId="095AE1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3CC0520A">
            <w:pPr>
              <w:pStyle w:val="182"/>
              <w:bidi w:val="0"/>
              <w:rPr>
                <w:color w:val="auto"/>
              </w:rPr>
            </w:pPr>
          </w:p>
        </w:tc>
        <w:tc>
          <w:tcPr>
            <w:tcW w:w="1678" w:type="pct"/>
            <w:vMerge w:val="continue"/>
            <w:shd w:val="clear" w:color="auto" w:fill="auto"/>
            <w:vAlign w:val="center"/>
          </w:tcPr>
          <w:p w14:paraId="335DD9B4">
            <w:pPr>
              <w:pStyle w:val="182"/>
              <w:bidi w:val="0"/>
              <w:rPr>
                <w:color w:val="auto"/>
              </w:rPr>
            </w:pPr>
          </w:p>
        </w:tc>
        <w:tc>
          <w:tcPr>
            <w:tcW w:w="988" w:type="pct"/>
            <w:shd w:val="clear" w:color="auto" w:fill="auto"/>
            <w:vAlign w:val="center"/>
          </w:tcPr>
          <w:p w14:paraId="38902579">
            <w:pPr>
              <w:pStyle w:val="182"/>
              <w:bidi w:val="0"/>
              <w:rPr>
                <w:color w:val="auto"/>
              </w:rPr>
            </w:pPr>
            <w:r>
              <w:rPr>
                <w:color w:val="auto"/>
              </w:rPr>
              <w:t>四氯化碳</w:t>
            </w:r>
          </w:p>
        </w:tc>
        <w:tc>
          <w:tcPr>
            <w:tcW w:w="1623" w:type="pct"/>
            <w:gridSpan w:val="2"/>
            <w:shd w:val="clear" w:color="auto" w:fill="auto"/>
            <w:vAlign w:val="center"/>
          </w:tcPr>
          <w:p w14:paraId="16F753BD">
            <w:pPr>
              <w:pStyle w:val="182"/>
              <w:bidi w:val="0"/>
              <w:rPr>
                <w:color w:val="auto"/>
              </w:rPr>
            </w:pPr>
            <w:r>
              <w:rPr>
                <w:color w:val="auto"/>
              </w:rPr>
              <w:t>2.8mg/kg</w:t>
            </w:r>
          </w:p>
        </w:tc>
      </w:tr>
      <w:tr w14:paraId="246AD6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5155D9BB">
            <w:pPr>
              <w:pStyle w:val="182"/>
              <w:bidi w:val="0"/>
              <w:rPr>
                <w:color w:val="auto"/>
              </w:rPr>
            </w:pPr>
          </w:p>
        </w:tc>
        <w:tc>
          <w:tcPr>
            <w:tcW w:w="1678" w:type="pct"/>
            <w:vMerge w:val="continue"/>
            <w:shd w:val="clear" w:color="auto" w:fill="auto"/>
            <w:vAlign w:val="center"/>
          </w:tcPr>
          <w:p w14:paraId="2ACDC593">
            <w:pPr>
              <w:pStyle w:val="182"/>
              <w:bidi w:val="0"/>
              <w:rPr>
                <w:color w:val="auto"/>
              </w:rPr>
            </w:pPr>
          </w:p>
        </w:tc>
        <w:tc>
          <w:tcPr>
            <w:tcW w:w="988" w:type="pct"/>
            <w:shd w:val="clear" w:color="auto" w:fill="auto"/>
            <w:vAlign w:val="center"/>
          </w:tcPr>
          <w:p w14:paraId="17F969DE">
            <w:pPr>
              <w:pStyle w:val="182"/>
              <w:bidi w:val="0"/>
              <w:rPr>
                <w:color w:val="auto"/>
              </w:rPr>
            </w:pPr>
            <w:r>
              <w:rPr>
                <w:color w:val="auto"/>
              </w:rPr>
              <w:t>氯仿</w:t>
            </w:r>
          </w:p>
        </w:tc>
        <w:tc>
          <w:tcPr>
            <w:tcW w:w="1623" w:type="pct"/>
            <w:gridSpan w:val="2"/>
            <w:shd w:val="clear" w:color="auto" w:fill="auto"/>
            <w:vAlign w:val="center"/>
          </w:tcPr>
          <w:p w14:paraId="25267892">
            <w:pPr>
              <w:pStyle w:val="182"/>
              <w:bidi w:val="0"/>
              <w:rPr>
                <w:color w:val="auto"/>
              </w:rPr>
            </w:pPr>
            <w:r>
              <w:rPr>
                <w:color w:val="auto"/>
              </w:rPr>
              <w:t>0.9mg/kg</w:t>
            </w:r>
          </w:p>
        </w:tc>
      </w:tr>
      <w:tr w14:paraId="0AB08D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1975E2E3">
            <w:pPr>
              <w:pStyle w:val="182"/>
              <w:bidi w:val="0"/>
              <w:rPr>
                <w:color w:val="auto"/>
              </w:rPr>
            </w:pPr>
          </w:p>
        </w:tc>
        <w:tc>
          <w:tcPr>
            <w:tcW w:w="1678" w:type="pct"/>
            <w:vMerge w:val="continue"/>
            <w:shd w:val="clear" w:color="auto" w:fill="auto"/>
            <w:vAlign w:val="center"/>
          </w:tcPr>
          <w:p w14:paraId="7F68203A">
            <w:pPr>
              <w:pStyle w:val="182"/>
              <w:bidi w:val="0"/>
              <w:rPr>
                <w:color w:val="auto"/>
              </w:rPr>
            </w:pPr>
          </w:p>
        </w:tc>
        <w:tc>
          <w:tcPr>
            <w:tcW w:w="988" w:type="pct"/>
            <w:shd w:val="clear" w:color="auto" w:fill="auto"/>
            <w:vAlign w:val="center"/>
          </w:tcPr>
          <w:p w14:paraId="07077D5F">
            <w:pPr>
              <w:pStyle w:val="182"/>
              <w:bidi w:val="0"/>
              <w:rPr>
                <w:color w:val="auto"/>
              </w:rPr>
            </w:pPr>
            <w:r>
              <w:rPr>
                <w:color w:val="auto"/>
              </w:rPr>
              <w:t>氯甲烷</w:t>
            </w:r>
          </w:p>
        </w:tc>
        <w:tc>
          <w:tcPr>
            <w:tcW w:w="1623" w:type="pct"/>
            <w:gridSpan w:val="2"/>
            <w:shd w:val="clear" w:color="auto" w:fill="auto"/>
            <w:vAlign w:val="center"/>
          </w:tcPr>
          <w:p w14:paraId="71F15A1F">
            <w:pPr>
              <w:pStyle w:val="182"/>
              <w:bidi w:val="0"/>
              <w:rPr>
                <w:color w:val="auto"/>
              </w:rPr>
            </w:pPr>
            <w:r>
              <w:rPr>
                <w:color w:val="auto"/>
              </w:rPr>
              <w:t>37mg/kg</w:t>
            </w:r>
          </w:p>
        </w:tc>
      </w:tr>
      <w:tr w14:paraId="0B02FA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60383267">
            <w:pPr>
              <w:pStyle w:val="182"/>
              <w:bidi w:val="0"/>
              <w:rPr>
                <w:color w:val="auto"/>
              </w:rPr>
            </w:pPr>
          </w:p>
        </w:tc>
        <w:tc>
          <w:tcPr>
            <w:tcW w:w="1678" w:type="pct"/>
            <w:vMerge w:val="continue"/>
            <w:shd w:val="clear" w:color="auto" w:fill="auto"/>
            <w:vAlign w:val="center"/>
          </w:tcPr>
          <w:p w14:paraId="05A55114">
            <w:pPr>
              <w:pStyle w:val="182"/>
              <w:bidi w:val="0"/>
              <w:rPr>
                <w:color w:val="auto"/>
              </w:rPr>
            </w:pPr>
          </w:p>
        </w:tc>
        <w:tc>
          <w:tcPr>
            <w:tcW w:w="988" w:type="pct"/>
            <w:shd w:val="clear" w:color="auto" w:fill="auto"/>
            <w:vAlign w:val="center"/>
          </w:tcPr>
          <w:p w14:paraId="5F87B47B">
            <w:pPr>
              <w:pStyle w:val="182"/>
              <w:bidi w:val="0"/>
              <w:rPr>
                <w:color w:val="auto"/>
              </w:rPr>
            </w:pPr>
            <w:r>
              <w:rPr>
                <w:color w:val="auto"/>
              </w:rPr>
              <w:t>1,1</w:t>
            </w:r>
            <w:r>
              <w:rPr>
                <w:rFonts w:hint="eastAsia"/>
                <w:color w:val="auto"/>
                <w:lang w:eastAsia="zh-CN"/>
              </w:rPr>
              <w:t>－</w:t>
            </w:r>
            <w:r>
              <w:rPr>
                <w:color w:val="auto"/>
              </w:rPr>
              <w:t>二氯乙烷</w:t>
            </w:r>
          </w:p>
        </w:tc>
        <w:tc>
          <w:tcPr>
            <w:tcW w:w="1623" w:type="pct"/>
            <w:gridSpan w:val="2"/>
            <w:shd w:val="clear" w:color="auto" w:fill="auto"/>
            <w:vAlign w:val="center"/>
          </w:tcPr>
          <w:p w14:paraId="29B8A9F9">
            <w:pPr>
              <w:pStyle w:val="182"/>
              <w:bidi w:val="0"/>
              <w:rPr>
                <w:color w:val="auto"/>
              </w:rPr>
            </w:pPr>
            <w:r>
              <w:rPr>
                <w:color w:val="auto"/>
              </w:rPr>
              <w:t>9mg/kg</w:t>
            </w:r>
          </w:p>
        </w:tc>
      </w:tr>
      <w:tr w14:paraId="1D7EBB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3C5CAE7E">
            <w:pPr>
              <w:pStyle w:val="182"/>
              <w:bidi w:val="0"/>
              <w:rPr>
                <w:color w:val="auto"/>
              </w:rPr>
            </w:pPr>
          </w:p>
        </w:tc>
        <w:tc>
          <w:tcPr>
            <w:tcW w:w="1678" w:type="pct"/>
            <w:vMerge w:val="continue"/>
            <w:shd w:val="clear" w:color="auto" w:fill="auto"/>
            <w:vAlign w:val="center"/>
          </w:tcPr>
          <w:p w14:paraId="3D87C841">
            <w:pPr>
              <w:pStyle w:val="182"/>
              <w:bidi w:val="0"/>
              <w:rPr>
                <w:color w:val="auto"/>
              </w:rPr>
            </w:pPr>
          </w:p>
        </w:tc>
        <w:tc>
          <w:tcPr>
            <w:tcW w:w="988" w:type="pct"/>
            <w:shd w:val="clear" w:color="auto" w:fill="auto"/>
            <w:vAlign w:val="center"/>
          </w:tcPr>
          <w:p w14:paraId="09A4A5BB">
            <w:pPr>
              <w:pStyle w:val="182"/>
              <w:bidi w:val="0"/>
              <w:rPr>
                <w:color w:val="auto"/>
              </w:rPr>
            </w:pPr>
            <w:r>
              <w:rPr>
                <w:color w:val="auto"/>
              </w:rPr>
              <w:t>1,2</w:t>
            </w:r>
            <w:r>
              <w:rPr>
                <w:rFonts w:hint="eastAsia"/>
                <w:color w:val="auto"/>
                <w:lang w:eastAsia="zh-CN"/>
              </w:rPr>
              <w:t>－</w:t>
            </w:r>
            <w:r>
              <w:rPr>
                <w:color w:val="auto"/>
              </w:rPr>
              <w:t>二氯乙烷</w:t>
            </w:r>
          </w:p>
        </w:tc>
        <w:tc>
          <w:tcPr>
            <w:tcW w:w="1623" w:type="pct"/>
            <w:gridSpan w:val="2"/>
            <w:shd w:val="clear" w:color="auto" w:fill="auto"/>
            <w:vAlign w:val="center"/>
          </w:tcPr>
          <w:p w14:paraId="6366BB3C">
            <w:pPr>
              <w:pStyle w:val="182"/>
              <w:bidi w:val="0"/>
              <w:rPr>
                <w:color w:val="auto"/>
              </w:rPr>
            </w:pPr>
            <w:r>
              <w:rPr>
                <w:color w:val="auto"/>
              </w:rPr>
              <w:t>5mg/kg</w:t>
            </w:r>
          </w:p>
        </w:tc>
      </w:tr>
      <w:tr w14:paraId="57E61A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66BB27CA">
            <w:pPr>
              <w:pStyle w:val="182"/>
              <w:bidi w:val="0"/>
              <w:rPr>
                <w:color w:val="auto"/>
              </w:rPr>
            </w:pPr>
          </w:p>
        </w:tc>
        <w:tc>
          <w:tcPr>
            <w:tcW w:w="1678" w:type="pct"/>
            <w:vMerge w:val="continue"/>
            <w:shd w:val="clear" w:color="auto" w:fill="auto"/>
            <w:vAlign w:val="center"/>
          </w:tcPr>
          <w:p w14:paraId="54059A9D">
            <w:pPr>
              <w:pStyle w:val="182"/>
              <w:bidi w:val="0"/>
              <w:rPr>
                <w:color w:val="auto"/>
              </w:rPr>
            </w:pPr>
          </w:p>
        </w:tc>
        <w:tc>
          <w:tcPr>
            <w:tcW w:w="988" w:type="pct"/>
            <w:shd w:val="clear" w:color="auto" w:fill="auto"/>
            <w:vAlign w:val="center"/>
          </w:tcPr>
          <w:p w14:paraId="13ABC6C7">
            <w:pPr>
              <w:pStyle w:val="182"/>
              <w:bidi w:val="0"/>
              <w:rPr>
                <w:color w:val="auto"/>
              </w:rPr>
            </w:pPr>
            <w:r>
              <w:rPr>
                <w:color w:val="auto"/>
              </w:rPr>
              <w:t>1,1</w:t>
            </w:r>
            <w:r>
              <w:rPr>
                <w:rFonts w:hint="eastAsia"/>
                <w:color w:val="auto"/>
                <w:lang w:eastAsia="zh-CN"/>
              </w:rPr>
              <w:t>－</w:t>
            </w:r>
            <w:r>
              <w:rPr>
                <w:color w:val="auto"/>
              </w:rPr>
              <w:t>二氯乙烯</w:t>
            </w:r>
          </w:p>
        </w:tc>
        <w:tc>
          <w:tcPr>
            <w:tcW w:w="1623" w:type="pct"/>
            <w:gridSpan w:val="2"/>
            <w:shd w:val="clear" w:color="auto" w:fill="auto"/>
            <w:vAlign w:val="center"/>
          </w:tcPr>
          <w:p w14:paraId="754C02D8">
            <w:pPr>
              <w:pStyle w:val="182"/>
              <w:bidi w:val="0"/>
              <w:rPr>
                <w:color w:val="auto"/>
              </w:rPr>
            </w:pPr>
            <w:r>
              <w:rPr>
                <w:color w:val="auto"/>
              </w:rPr>
              <w:t>66mg/kg</w:t>
            </w:r>
          </w:p>
        </w:tc>
      </w:tr>
      <w:tr w14:paraId="3D179A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251496AB">
            <w:pPr>
              <w:pStyle w:val="182"/>
              <w:bidi w:val="0"/>
              <w:rPr>
                <w:color w:val="auto"/>
              </w:rPr>
            </w:pPr>
          </w:p>
        </w:tc>
        <w:tc>
          <w:tcPr>
            <w:tcW w:w="1678" w:type="pct"/>
            <w:vMerge w:val="continue"/>
            <w:shd w:val="clear" w:color="auto" w:fill="auto"/>
            <w:vAlign w:val="center"/>
          </w:tcPr>
          <w:p w14:paraId="06CFC585">
            <w:pPr>
              <w:pStyle w:val="182"/>
              <w:bidi w:val="0"/>
              <w:rPr>
                <w:color w:val="auto"/>
              </w:rPr>
            </w:pPr>
          </w:p>
        </w:tc>
        <w:tc>
          <w:tcPr>
            <w:tcW w:w="988" w:type="pct"/>
            <w:shd w:val="clear" w:color="auto" w:fill="auto"/>
            <w:vAlign w:val="center"/>
          </w:tcPr>
          <w:p w14:paraId="2F6966D1">
            <w:pPr>
              <w:pStyle w:val="182"/>
              <w:bidi w:val="0"/>
              <w:rPr>
                <w:color w:val="auto"/>
              </w:rPr>
            </w:pPr>
            <w:r>
              <w:rPr>
                <w:color w:val="auto"/>
              </w:rPr>
              <w:t>顺1,2</w:t>
            </w:r>
            <w:r>
              <w:rPr>
                <w:rFonts w:hint="eastAsia"/>
                <w:color w:val="auto"/>
                <w:lang w:eastAsia="zh-CN"/>
              </w:rPr>
              <w:t>－</w:t>
            </w:r>
            <w:r>
              <w:rPr>
                <w:color w:val="auto"/>
              </w:rPr>
              <w:t>二氯乙烯</w:t>
            </w:r>
          </w:p>
        </w:tc>
        <w:tc>
          <w:tcPr>
            <w:tcW w:w="1623" w:type="pct"/>
            <w:gridSpan w:val="2"/>
            <w:shd w:val="clear" w:color="auto" w:fill="auto"/>
            <w:vAlign w:val="center"/>
          </w:tcPr>
          <w:p w14:paraId="69CCCFDA">
            <w:pPr>
              <w:pStyle w:val="182"/>
              <w:bidi w:val="0"/>
              <w:rPr>
                <w:color w:val="auto"/>
              </w:rPr>
            </w:pPr>
            <w:r>
              <w:rPr>
                <w:color w:val="auto"/>
              </w:rPr>
              <w:t>596mg/kg</w:t>
            </w:r>
          </w:p>
        </w:tc>
      </w:tr>
      <w:tr w14:paraId="113BAA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183B85E2">
            <w:pPr>
              <w:pStyle w:val="182"/>
              <w:bidi w:val="0"/>
              <w:rPr>
                <w:color w:val="auto"/>
              </w:rPr>
            </w:pPr>
          </w:p>
        </w:tc>
        <w:tc>
          <w:tcPr>
            <w:tcW w:w="1678" w:type="pct"/>
            <w:vMerge w:val="continue"/>
            <w:shd w:val="clear" w:color="auto" w:fill="auto"/>
            <w:vAlign w:val="center"/>
          </w:tcPr>
          <w:p w14:paraId="604802E7">
            <w:pPr>
              <w:pStyle w:val="182"/>
              <w:bidi w:val="0"/>
              <w:rPr>
                <w:color w:val="auto"/>
              </w:rPr>
            </w:pPr>
          </w:p>
        </w:tc>
        <w:tc>
          <w:tcPr>
            <w:tcW w:w="988" w:type="pct"/>
            <w:shd w:val="clear" w:color="auto" w:fill="auto"/>
            <w:vAlign w:val="center"/>
          </w:tcPr>
          <w:p w14:paraId="65BFCAE2">
            <w:pPr>
              <w:pStyle w:val="182"/>
              <w:bidi w:val="0"/>
              <w:rPr>
                <w:color w:val="auto"/>
              </w:rPr>
            </w:pPr>
            <w:r>
              <w:rPr>
                <w:color w:val="auto"/>
              </w:rPr>
              <w:t>反1,2</w:t>
            </w:r>
            <w:r>
              <w:rPr>
                <w:rFonts w:hint="eastAsia"/>
                <w:color w:val="auto"/>
                <w:lang w:eastAsia="zh-CN"/>
              </w:rPr>
              <w:t>－</w:t>
            </w:r>
            <w:r>
              <w:rPr>
                <w:color w:val="auto"/>
              </w:rPr>
              <w:t>二氯乙烯</w:t>
            </w:r>
          </w:p>
        </w:tc>
        <w:tc>
          <w:tcPr>
            <w:tcW w:w="1623" w:type="pct"/>
            <w:gridSpan w:val="2"/>
            <w:shd w:val="clear" w:color="auto" w:fill="auto"/>
            <w:vAlign w:val="center"/>
          </w:tcPr>
          <w:p w14:paraId="0B55C8C1">
            <w:pPr>
              <w:pStyle w:val="182"/>
              <w:bidi w:val="0"/>
              <w:rPr>
                <w:color w:val="auto"/>
              </w:rPr>
            </w:pPr>
            <w:r>
              <w:rPr>
                <w:color w:val="auto"/>
              </w:rPr>
              <w:t>54mg/kg</w:t>
            </w:r>
          </w:p>
        </w:tc>
      </w:tr>
      <w:tr w14:paraId="551141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6E4B331C">
            <w:pPr>
              <w:pStyle w:val="182"/>
              <w:bidi w:val="0"/>
              <w:rPr>
                <w:color w:val="auto"/>
              </w:rPr>
            </w:pPr>
          </w:p>
        </w:tc>
        <w:tc>
          <w:tcPr>
            <w:tcW w:w="1678" w:type="pct"/>
            <w:vMerge w:val="continue"/>
            <w:shd w:val="clear" w:color="auto" w:fill="auto"/>
            <w:vAlign w:val="center"/>
          </w:tcPr>
          <w:p w14:paraId="0CE5F4DE">
            <w:pPr>
              <w:pStyle w:val="182"/>
              <w:bidi w:val="0"/>
              <w:rPr>
                <w:color w:val="auto"/>
              </w:rPr>
            </w:pPr>
          </w:p>
        </w:tc>
        <w:tc>
          <w:tcPr>
            <w:tcW w:w="988" w:type="pct"/>
            <w:shd w:val="clear" w:color="auto" w:fill="auto"/>
            <w:vAlign w:val="center"/>
          </w:tcPr>
          <w:p w14:paraId="2EDEC1D7">
            <w:pPr>
              <w:pStyle w:val="182"/>
              <w:bidi w:val="0"/>
              <w:rPr>
                <w:color w:val="auto"/>
              </w:rPr>
            </w:pPr>
            <w:r>
              <w:rPr>
                <w:color w:val="auto"/>
              </w:rPr>
              <w:t>二氯甲烷</w:t>
            </w:r>
          </w:p>
        </w:tc>
        <w:tc>
          <w:tcPr>
            <w:tcW w:w="1623" w:type="pct"/>
            <w:gridSpan w:val="2"/>
            <w:shd w:val="clear" w:color="auto" w:fill="auto"/>
            <w:vAlign w:val="center"/>
          </w:tcPr>
          <w:p w14:paraId="6D398EE2">
            <w:pPr>
              <w:pStyle w:val="182"/>
              <w:bidi w:val="0"/>
              <w:rPr>
                <w:color w:val="auto"/>
              </w:rPr>
            </w:pPr>
            <w:r>
              <w:rPr>
                <w:color w:val="auto"/>
              </w:rPr>
              <w:t>616mg/kg</w:t>
            </w:r>
          </w:p>
        </w:tc>
      </w:tr>
      <w:tr w14:paraId="7B0ECD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5A10AA57">
            <w:pPr>
              <w:pStyle w:val="182"/>
              <w:bidi w:val="0"/>
              <w:rPr>
                <w:color w:val="auto"/>
              </w:rPr>
            </w:pPr>
          </w:p>
        </w:tc>
        <w:tc>
          <w:tcPr>
            <w:tcW w:w="1678" w:type="pct"/>
            <w:vMerge w:val="continue"/>
            <w:shd w:val="clear" w:color="auto" w:fill="auto"/>
            <w:vAlign w:val="center"/>
          </w:tcPr>
          <w:p w14:paraId="7EF173D4">
            <w:pPr>
              <w:pStyle w:val="182"/>
              <w:bidi w:val="0"/>
              <w:rPr>
                <w:color w:val="auto"/>
              </w:rPr>
            </w:pPr>
          </w:p>
        </w:tc>
        <w:tc>
          <w:tcPr>
            <w:tcW w:w="988" w:type="pct"/>
            <w:shd w:val="clear" w:color="auto" w:fill="auto"/>
            <w:vAlign w:val="center"/>
          </w:tcPr>
          <w:p w14:paraId="6140C52D">
            <w:pPr>
              <w:pStyle w:val="182"/>
              <w:bidi w:val="0"/>
              <w:rPr>
                <w:color w:val="auto"/>
              </w:rPr>
            </w:pPr>
            <w:r>
              <w:rPr>
                <w:color w:val="auto"/>
              </w:rPr>
              <w:t>1,2</w:t>
            </w:r>
            <w:r>
              <w:rPr>
                <w:rFonts w:hint="eastAsia"/>
                <w:color w:val="auto"/>
                <w:lang w:eastAsia="zh-CN"/>
              </w:rPr>
              <w:t>－</w:t>
            </w:r>
            <w:r>
              <w:rPr>
                <w:color w:val="auto"/>
              </w:rPr>
              <w:t>二氯丙烷</w:t>
            </w:r>
          </w:p>
        </w:tc>
        <w:tc>
          <w:tcPr>
            <w:tcW w:w="1623" w:type="pct"/>
            <w:gridSpan w:val="2"/>
            <w:shd w:val="clear" w:color="auto" w:fill="auto"/>
            <w:vAlign w:val="center"/>
          </w:tcPr>
          <w:p w14:paraId="484998F3">
            <w:pPr>
              <w:pStyle w:val="182"/>
              <w:bidi w:val="0"/>
              <w:rPr>
                <w:color w:val="auto"/>
              </w:rPr>
            </w:pPr>
            <w:r>
              <w:rPr>
                <w:color w:val="auto"/>
              </w:rPr>
              <w:t>5mg/kg</w:t>
            </w:r>
          </w:p>
        </w:tc>
      </w:tr>
      <w:tr w14:paraId="505FA2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509345DF">
            <w:pPr>
              <w:pStyle w:val="182"/>
              <w:bidi w:val="0"/>
              <w:rPr>
                <w:color w:val="auto"/>
              </w:rPr>
            </w:pPr>
          </w:p>
        </w:tc>
        <w:tc>
          <w:tcPr>
            <w:tcW w:w="1678" w:type="pct"/>
            <w:vMerge w:val="continue"/>
            <w:shd w:val="clear" w:color="auto" w:fill="auto"/>
            <w:vAlign w:val="center"/>
          </w:tcPr>
          <w:p w14:paraId="703C363B">
            <w:pPr>
              <w:pStyle w:val="182"/>
              <w:bidi w:val="0"/>
              <w:rPr>
                <w:color w:val="auto"/>
              </w:rPr>
            </w:pPr>
          </w:p>
        </w:tc>
        <w:tc>
          <w:tcPr>
            <w:tcW w:w="988" w:type="pct"/>
            <w:shd w:val="clear" w:color="auto" w:fill="auto"/>
            <w:vAlign w:val="center"/>
          </w:tcPr>
          <w:p w14:paraId="68390E7E">
            <w:pPr>
              <w:pStyle w:val="182"/>
              <w:bidi w:val="0"/>
              <w:rPr>
                <w:color w:val="auto"/>
              </w:rPr>
            </w:pPr>
            <w:r>
              <w:rPr>
                <w:color w:val="auto"/>
              </w:rPr>
              <w:t>1,1,1,2</w:t>
            </w:r>
            <w:r>
              <w:rPr>
                <w:rFonts w:hint="eastAsia"/>
                <w:color w:val="auto"/>
                <w:lang w:eastAsia="zh-CN"/>
              </w:rPr>
              <w:t>－</w:t>
            </w:r>
            <w:r>
              <w:rPr>
                <w:color w:val="auto"/>
              </w:rPr>
              <w:t>四氯乙烷</w:t>
            </w:r>
          </w:p>
        </w:tc>
        <w:tc>
          <w:tcPr>
            <w:tcW w:w="1623" w:type="pct"/>
            <w:gridSpan w:val="2"/>
            <w:shd w:val="clear" w:color="auto" w:fill="auto"/>
            <w:vAlign w:val="center"/>
          </w:tcPr>
          <w:p w14:paraId="06DF62DA">
            <w:pPr>
              <w:pStyle w:val="182"/>
              <w:bidi w:val="0"/>
              <w:rPr>
                <w:color w:val="auto"/>
              </w:rPr>
            </w:pPr>
            <w:r>
              <w:rPr>
                <w:color w:val="auto"/>
              </w:rPr>
              <w:t>10mg/kg</w:t>
            </w:r>
          </w:p>
        </w:tc>
      </w:tr>
      <w:tr w14:paraId="56D820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0C4C7ABC">
            <w:pPr>
              <w:pStyle w:val="182"/>
              <w:bidi w:val="0"/>
              <w:rPr>
                <w:color w:val="auto"/>
              </w:rPr>
            </w:pPr>
          </w:p>
        </w:tc>
        <w:tc>
          <w:tcPr>
            <w:tcW w:w="1678" w:type="pct"/>
            <w:vMerge w:val="continue"/>
            <w:shd w:val="clear" w:color="auto" w:fill="auto"/>
            <w:vAlign w:val="center"/>
          </w:tcPr>
          <w:p w14:paraId="25A21735">
            <w:pPr>
              <w:pStyle w:val="182"/>
              <w:bidi w:val="0"/>
              <w:rPr>
                <w:color w:val="auto"/>
              </w:rPr>
            </w:pPr>
          </w:p>
        </w:tc>
        <w:tc>
          <w:tcPr>
            <w:tcW w:w="988" w:type="pct"/>
            <w:shd w:val="clear" w:color="auto" w:fill="auto"/>
            <w:vAlign w:val="center"/>
          </w:tcPr>
          <w:p w14:paraId="63890034">
            <w:pPr>
              <w:pStyle w:val="182"/>
              <w:bidi w:val="0"/>
              <w:rPr>
                <w:color w:val="auto"/>
              </w:rPr>
            </w:pPr>
            <w:r>
              <w:rPr>
                <w:color w:val="auto"/>
              </w:rPr>
              <w:t>1,1,2,2</w:t>
            </w:r>
            <w:r>
              <w:rPr>
                <w:rFonts w:hint="eastAsia"/>
                <w:color w:val="auto"/>
                <w:lang w:eastAsia="zh-CN"/>
              </w:rPr>
              <w:t>－</w:t>
            </w:r>
            <w:r>
              <w:rPr>
                <w:color w:val="auto"/>
              </w:rPr>
              <w:t>四氯乙烷</w:t>
            </w:r>
          </w:p>
        </w:tc>
        <w:tc>
          <w:tcPr>
            <w:tcW w:w="1623" w:type="pct"/>
            <w:gridSpan w:val="2"/>
            <w:shd w:val="clear" w:color="auto" w:fill="auto"/>
            <w:vAlign w:val="center"/>
          </w:tcPr>
          <w:p w14:paraId="5A0BD6C2">
            <w:pPr>
              <w:pStyle w:val="182"/>
              <w:bidi w:val="0"/>
              <w:rPr>
                <w:color w:val="auto"/>
              </w:rPr>
            </w:pPr>
            <w:r>
              <w:rPr>
                <w:color w:val="auto"/>
              </w:rPr>
              <w:t>6.8mg/kg</w:t>
            </w:r>
          </w:p>
        </w:tc>
      </w:tr>
      <w:tr w14:paraId="314E47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228DF37C">
            <w:pPr>
              <w:pStyle w:val="182"/>
              <w:bidi w:val="0"/>
              <w:rPr>
                <w:color w:val="auto"/>
              </w:rPr>
            </w:pPr>
          </w:p>
        </w:tc>
        <w:tc>
          <w:tcPr>
            <w:tcW w:w="1678" w:type="pct"/>
            <w:vMerge w:val="continue"/>
            <w:shd w:val="clear" w:color="auto" w:fill="auto"/>
            <w:vAlign w:val="center"/>
          </w:tcPr>
          <w:p w14:paraId="0EE0D4E0">
            <w:pPr>
              <w:pStyle w:val="182"/>
              <w:bidi w:val="0"/>
              <w:rPr>
                <w:color w:val="auto"/>
              </w:rPr>
            </w:pPr>
          </w:p>
        </w:tc>
        <w:tc>
          <w:tcPr>
            <w:tcW w:w="988" w:type="pct"/>
            <w:shd w:val="clear" w:color="auto" w:fill="auto"/>
            <w:vAlign w:val="center"/>
          </w:tcPr>
          <w:p w14:paraId="104486D8">
            <w:pPr>
              <w:pStyle w:val="182"/>
              <w:bidi w:val="0"/>
              <w:rPr>
                <w:color w:val="auto"/>
              </w:rPr>
            </w:pPr>
            <w:r>
              <w:rPr>
                <w:color w:val="auto"/>
              </w:rPr>
              <w:t>四氯乙烯</w:t>
            </w:r>
          </w:p>
        </w:tc>
        <w:tc>
          <w:tcPr>
            <w:tcW w:w="1623" w:type="pct"/>
            <w:gridSpan w:val="2"/>
            <w:shd w:val="clear" w:color="auto" w:fill="auto"/>
            <w:vAlign w:val="center"/>
          </w:tcPr>
          <w:p w14:paraId="7B7C06F6">
            <w:pPr>
              <w:pStyle w:val="182"/>
              <w:bidi w:val="0"/>
              <w:rPr>
                <w:color w:val="auto"/>
              </w:rPr>
            </w:pPr>
            <w:r>
              <w:rPr>
                <w:color w:val="auto"/>
              </w:rPr>
              <w:t>53mg/kg</w:t>
            </w:r>
          </w:p>
        </w:tc>
      </w:tr>
      <w:tr w14:paraId="07E1F7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12801D7F">
            <w:pPr>
              <w:pStyle w:val="182"/>
              <w:bidi w:val="0"/>
              <w:rPr>
                <w:color w:val="auto"/>
              </w:rPr>
            </w:pPr>
          </w:p>
        </w:tc>
        <w:tc>
          <w:tcPr>
            <w:tcW w:w="1678" w:type="pct"/>
            <w:vMerge w:val="continue"/>
            <w:shd w:val="clear" w:color="auto" w:fill="auto"/>
            <w:vAlign w:val="center"/>
          </w:tcPr>
          <w:p w14:paraId="54E1CE60">
            <w:pPr>
              <w:pStyle w:val="182"/>
              <w:bidi w:val="0"/>
              <w:rPr>
                <w:color w:val="auto"/>
              </w:rPr>
            </w:pPr>
          </w:p>
        </w:tc>
        <w:tc>
          <w:tcPr>
            <w:tcW w:w="988" w:type="pct"/>
            <w:shd w:val="clear" w:color="auto" w:fill="auto"/>
            <w:vAlign w:val="center"/>
          </w:tcPr>
          <w:p w14:paraId="7FC3E171">
            <w:pPr>
              <w:pStyle w:val="182"/>
              <w:bidi w:val="0"/>
              <w:rPr>
                <w:color w:val="auto"/>
              </w:rPr>
            </w:pPr>
            <w:r>
              <w:rPr>
                <w:color w:val="auto"/>
              </w:rPr>
              <w:t>1,1,1</w:t>
            </w:r>
            <w:r>
              <w:rPr>
                <w:rFonts w:hint="eastAsia"/>
                <w:color w:val="auto"/>
                <w:lang w:eastAsia="zh-CN"/>
              </w:rPr>
              <w:t>－</w:t>
            </w:r>
            <w:r>
              <w:rPr>
                <w:color w:val="auto"/>
              </w:rPr>
              <w:t>三氯乙烷</w:t>
            </w:r>
          </w:p>
        </w:tc>
        <w:tc>
          <w:tcPr>
            <w:tcW w:w="1623" w:type="pct"/>
            <w:gridSpan w:val="2"/>
            <w:shd w:val="clear" w:color="auto" w:fill="auto"/>
            <w:vAlign w:val="center"/>
          </w:tcPr>
          <w:p w14:paraId="39E9A33D">
            <w:pPr>
              <w:pStyle w:val="182"/>
              <w:bidi w:val="0"/>
              <w:rPr>
                <w:color w:val="auto"/>
              </w:rPr>
            </w:pPr>
            <w:r>
              <w:rPr>
                <w:color w:val="auto"/>
              </w:rPr>
              <w:t>840mg/kg</w:t>
            </w:r>
          </w:p>
        </w:tc>
      </w:tr>
      <w:tr w14:paraId="6EA12C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700B1767">
            <w:pPr>
              <w:pStyle w:val="182"/>
              <w:bidi w:val="0"/>
              <w:rPr>
                <w:color w:val="auto"/>
              </w:rPr>
            </w:pPr>
          </w:p>
        </w:tc>
        <w:tc>
          <w:tcPr>
            <w:tcW w:w="1678" w:type="pct"/>
            <w:vMerge w:val="continue"/>
            <w:shd w:val="clear" w:color="auto" w:fill="auto"/>
            <w:vAlign w:val="center"/>
          </w:tcPr>
          <w:p w14:paraId="647C3F5D">
            <w:pPr>
              <w:pStyle w:val="182"/>
              <w:bidi w:val="0"/>
              <w:rPr>
                <w:color w:val="auto"/>
              </w:rPr>
            </w:pPr>
          </w:p>
        </w:tc>
        <w:tc>
          <w:tcPr>
            <w:tcW w:w="988" w:type="pct"/>
            <w:shd w:val="clear" w:color="auto" w:fill="auto"/>
            <w:vAlign w:val="center"/>
          </w:tcPr>
          <w:p w14:paraId="76DBB0AF">
            <w:pPr>
              <w:pStyle w:val="182"/>
              <w:bidi w:val="0"/>
              <w:rPr>
                <w:color w:val="auto"/>
              </w:rPr>
            </w:pPr>
            <w:r>
              <w:rPr>
                <w:color w:val="auto"/>
              </w:rPr>
              <w:t>1,1,2</w:t>
            </w:r>
            <w:r>
              <w:rPr>
                <w:rFonts w:hint="eastAsia"/>
                <w:color w:val="auto"/>
                <w:lang w:eastAsia="zh-CN"/>
              </w:rPr>
              <w:t>－</w:t>
            </w:r>
            <w:r>
              <w:rPr>
                <w:color w:val="auto"/>
              </w:rPr>
              <w:t>三氯乙烷</w:t>
            </w:r>
          </w:p>
        </w:tc>
        <w:tc>
          <w:tcPr>
            <w:tcW w:w="1623" w:type="pct"/>
            <w:gridSpan w:val="2"/>
            <w:shd w:val="clear" w:color="auto" w:fill="auto"/>
            <w:vAlign w:val="center"/>
          </w:tcPr>
          <w:p w14:paraId="45183692">
            <w:pPr>
              <w:pStyle w:val="182"/>
              <w:bidi w:val="0"/>
              <w:rPr>
                <w:color w:val="auto"/>
              </w:rPr>
            </w:pPr>
            <w:r>
              <w:rPr>
                <w:color w:val="auto"/>
              </w:rPr>
              <w:t>2.8mg/kg</w:t>
            </w:r>
          </w:p>
        </w:tc>
      </w:tr>
      <w:tr w14:paraId="3831FB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shd w:val="clear" w:color="auto" w:fill="auto"/>
            <w:vAlign w:val="center"/>
          </w:tcPr>
          <w:p w14:paraId="1EC7387E">
            <w:pPr>
              <w:pStyle w:val="182"/>
              <w:bidi w:val="0"/>
              <w:rPr>
                <w:color w:val="auto"/>
              </w:rPr>
            </w:pPr>
          </w:p>
        </w:tc>
        <w:tc>
          <w:tcPr>
            <w:tcW w:w="1678" w:type="pct"/>
            <w:vMerge w:val="continue"/>
            <w:shd w:val="clear" w:color="auto" w:fill="auto"/>
            <w:vAlign w:val="center"/>
          </w:tcPr>
          <w:p w14:paraId="58457EF8">
            <w:pPr>
              <w:pStyle w:val="182"/>
              <w:bidi w:val="0"/>
              <w:rPr>
                <w:color w:val="auto"/>
              </w:rPr>
            </w:pPr>
          </w:p>
        </w:tc>
        <w:tc>
          <w:tcPr>
            <w:tcW w:w="988" w:type="pct"/>
            <w:shd w:val="clear" w:color="auto" w:fill="auto"/>
            <w:vAlign w:val="center"/>
          </w:tcPr>
          <w:p w14:paraId="719BF6E3">
            <w:pPr>
              <w:pStyle w:val="182"/>
              <w:bidi w:val="0"/>
              <w:rPr>
                <w:color w:val="auto"/>
              </w:rPr>
            </w:pPr>
            <w:r>
              <w:rPr>
                <w:color w:val="auto"/>
              </w:rPr>
              <w:t>三氯乙烯</w:t>
            </w:r>
          </w:p>
        </w:tc>
        <w:tc>
          <w:tcPr>
            <w:tcW w:w="1623" w:type="pct"/>
            <w:gridSpan w:val="2"/>
            <w:shd w:val="clear" w:color="auto" w:fill="auto"/>
            <w:vAlign w:val="center"/>
          </w:tcPr>
          <w:p w14:paraId="4F8A308E">
            <w:pPr>
              <w:pStyle w:val="182"/>
              <w:bidi w:val="0"/>
              <w:rPr>
                <w:color w:val="auto"/>
              </w:rPr>
            </w:pPr>
            <w:r>
              <w:rPr>
                <w:color w:val="auto"/>
              </w:rPr>
              <w:t>2.8mg/kg</w:t>
            </w:r>
          </w:p>
        </w:tc>
      </w:tr>
      <w:tr w14:paraId="0546EF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3653BD39">
            <w:pPr>
              <w:pStyle w:val="182"/>
              <w:bidi w:val="0"/>
              <w:rPr>
                <w:color w:val="auto"/>
              </w:rPr>
            </w:pPr>
          </w:p>
        </w:tc>
        <w:tc>
          <w:tcPr>
            <w:tcW w:w="1678" w:type="pct"/>
            <w:vMerge w:val="continue"/>
            <w:vAlign w:val="center"/>
          </w:tcPr>
          <w:p w14:paraId="3DDC4FD5">
            <w:pPr>
              <w:pStyle w:val="182"/>
              <w:bidi w:val="0"/>
              <w:rPr>
                <w:color w:val="auto"/>
              </w:rPr>
            </w:pPr>
          </w:p>
        </w:tc>
        <w:tc>
          <w:tcPr>
            <w:tcW w:w="988" w:type="pct"/>
            <w:vAlign w:val="center"/>
          </w:tcPr>
          <w:p w14:paraId="10589B6C">
            <w:pPr>
              <w:pStyle w:val="182"/>
              <w:bidi w:val="0"/>
              <w:rPr>
                <w:color w:val="auto"/>
              </w:rPr>
            </w:pPr>
            <w:r>
              <w:rPr>
                <w:color w:val="auto"/>
              </w:rPr>
              <w:t>1,2,3</w:t>
            </w:r>
            <w:r>
              <w:rPr>
                <w:rFonts w:hint="eastAsia"/>
                <w:color w:val="auto"/>
                <w:lang w:eastAsia="zh-CN"/>
              </w:rPr>
              <w:t>－</w:t>
            </w:r>
            <w:r>
              <w:rPr>
                <w:color w:val="auto"/>
              </w:rPr>
              <w:t>三氯丙烷</w:t>
            </w:r>
          </w:p>
        </w:tc>
        <w:tc>
          <w:tcPr>
            <w:tcW w:w="1623" w:type="pct"/>
            <w:gridSpan w:val="2"/>
            <w:vAlign w:val="center"/>
          </w:tcPr>
          <w:p w14:paraId="39837B64">
            <w:pPr>
              <w:pStyle w:val="182"/>
              <w:bidi w:val="0"/>
              <w:rPr>
                <w:color w:val="auto"/>
              </w:rPr>
            </w:pPr>
            <w:r>
              <w:rPr>
                <w:color w:val="auto"/>
              </w:rPr>
              <w:t>0.5mg/kg</w:t>
            </w:r>
          </w:p>
        </w:tc>
      </w:tr>
      <w:tr w14:paraId="49FCAB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54B1C582">
            <w:pPr>
              <w:pStyle w:val="182"/>
              <w:bidi w:val="0"/>
              <w:rPr>
                <w:color w:val="auto"/>
              </w:rPr>
            </w:pPr>
          </w:p>
        </w:tc>
        <w:tc>
          <w:tcPr>
            <w:tcW w:w="1678" w:type="pct"/>
            <w:vMerge w:val="continue"/>
            <w:vAlign w:val="center"/>
          </w:tcPr>
          <w:p w14:paraId="0EDECE83">
            <w:pPr>
              <w:pStyle w:val="182"/>
              <w:bidi w:val="0"/>
              <w:rPr>
                <w:color w:val="auto"/>
              </w:rPr>
            </w:pPr>
          </w:p>
        </w:tc>
        <w:tc>
          <w:tcPr>
            <w:tcW w:w="988" w:type="pct"/>
            <w:vAlign w:val="center"/>
          </w:tcPr>
          <w:p w14:paraId="167D2A5C">
            <w:pPr>
              <w:pStyle w:val="182"/>
              <w:bidi w:val="0"/>
              <w:rPr>
                <w:color w:val="auto"/>
              </w:rPr>
            </w:pPr>
            <w:r>
              <w:rPr>
                <w:color w:val="auto"/>
              </w:rPr>
              <w:t>氯乙烯</w:t>
            </w:r>
          </w:p>
        </w:tc>
        <w:tc>
          <w:tcPr>
            <w:tcW w:w="1623" w:type="pct"/>
            <w:gridSpan w:val="2"/>
            <w:vAlign w:val="center"/>
          </w:tcPr>
          <w:p w14:paraId="75460129">
            <w:pPr>
              <w:pStyle w:val="182"/>
              <w:bidi w:val="0"/>
              <w:rPr>
                <w:color w:val="auto"/>
              </w:rPr>
            </w:pPr>
            <w:r>
              <w:rPr>
                <w:color w:val="auto"/>
              </w:rPr>
              <w:t>0.43mg/kg</w:t>
            </w:r>
          </w:p>
        </w:tc>
      </w:tr>
      <w:tr w14:paraId="7B384E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0942520A">
            <w:pPr>
              <w:pStyle w:val="182"/>
              <w:bidi w:val="0"/>
              <w:rPr>
                <w:color w:val="auto"/>
              </w:rPr>
            </w:pPr>
          </w:p>
        </w:tc>
        <w:tc>
          <w:tcPr>
            <w:tcW w:w="1678" w:type="pct"/>
            <w:vMerge w:val="continue"/>
            <w:vAlign w:val="center"/>
          </w:tcPr>
          <w:p w14:paraId="697FE18C">
            <w:pPr>
              <w:pStyle w:val="182"/>
              <w:bidi w:val="0"/>
              <w:rPr>
                <w:color w:val="auto"/>
              </w:rPr>
            </w:pPr>
          </w:p>
        </w:tc>
        <w:tc>
          <w:tcPr>
            <w:tcW w:w="988" w:type="pct"/>
            <w:vAlign w:val="center"/>
          </w:tcPr>
          <w:p w14:paraId="26646E16">
            <w:pPr>
              <w:pStyle w:val="182"/>
              <w:bidi w:val="0"/>
              <w:rPr>
                <w:color w:val="auto"/>
              </w:rPr>
            </w:pPr>
            <w:r>
              <w:rPr>
                <w:color w:val="auto"/>
              </w:rPr>
              <w:t>苯</w:t>
            </w:r>
          </w:p>
        </w:tc>
        <w:tc>
          <w:tcPr>
            <w:tcW w:w="1623" w:type="pct"/>
            <w:gridSpan w:val="2"/>
            <w:vAlign w:val="center"/>
          </w:tcPr>
          <w:p w14:paraId="60086ED7">
            <w:pPr>
              <w:pStyle w:val="182"/>
              <w:bidi w:val="0"/>
              <w:rPr>
                <w:color w:val="auto"/>
              </w:rPr>
            </w:pPr>
            <w:r>
              <w:rPr>
                <w:color w:val="auto"/>
              </w:rPr>
              <w:t>4mg/kg</w:t>
            </w:r>
          </w:p>
        </w:tc>
      </w:tr>
      <w:tr w14:paraId="3A2124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5483A7C5">
            <w:pPr>
              <w:pStyle w:val="182"/>
              <w:bidi w:val="0"/>
              <w:rPr>
                <w:color w:val="auto"/>
              </w:rPr>
            </w:pPr>
          </w:p>
        </w:tc>
        <w:tc>
          <w:tcPr>
            <w:tcW w:w="1678" w:type="pct"/>
            <w:vMerge w:val="continue"/>
            <w:vAlign w:val="center"/>
          </w:tcPr>
          <w:p w14:paraId="5302A460">
            <w:pPr>
              <w:pStyle w:val="182"/>
              <w:bidi w:val="0"/>
              <w:rPr>
                <w:color w:val="auto"/>
              </w:rPr>
            </w:pPr>
          </w:p>
        </w:tc>
        <w:tc>
          <w:tcPr>
            <w:tcW w:w="988" w:type="pct"/>
            <w:vAlign w:val="center"/>
          </w:tcPr>
          <w:p w14:paraId="091F788C">
            <w:pPr>
              <w:pStyle w:val="182"/>
              <w:bidi w:val="0"/>
              <w:rPr>
                <w:color w:val="auto"/>
              </w:rPr>
            </w:pPr>
            <w:r>
              <w:rPr>
                <w:color w:val="auto"/>
              </w:rPr>
              <w:t>氯苯</w:t>
            </w:r>
          </w:p>
        </w:tc>
        <w:tc>
          <w:tcPr>
            <w:tcW w:w="1623" w:type="pct"/>
            <w:gridSpan w:val="2"/>
            <w:vAlign w:val="center"/>
          </w:tcPr>
          <w:p w14:paraId="7F4AD802">
            <w:pPr>
              <w:pStyle w:val="182"/>
              <w:bidi w:val="0"/>
              <w:rPr>
                <w:color w:val="auto"/>
              </w:rPr>
            </w:pPr>
            <w:r>
              <w:rPr>
                <w:color w:val="auto"/>
              </w:rPr>
              <w:t>270mg/kg</w:t>
            </w:r>
          </w:p>
        </w:tc>
      </w:tr>
      <w:tr w14:paraId="7B02B7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43F35B2B">
            <w:pPr>
              <w:pStyle w:val="182"/>
              <w:bidi w:val="0"/>
              <w:rPr>
                <w:color w:val="auto"/>
              </w:rPr>
            </w:pPr>
          </w:p>
        </w:tc>
        <w:tc>
          <w:tcPr>
            <w:tcW w:w="1678" w:type="pct"/>
            <w:vMerge w:val="continue"/>
            <w:vAlign w:val="center"/>
          </w:tcPr>
          <w:p w14:paraId="1BDDF670">
            <w:pPr>
              <w:pStyle w:val="182"/>
              <w:bidi w:val="0"/>
              <w:rPr>
                <w:color w:val="auto"/>
              </w:rPr>
            </w:pPr>
          </w:p>
        </w:tc>
        <w:tc>
          <w:tcPr>
            <w:tcW w:w="988" w:type="pct"/>
            <w:vAlign w:val="center"/>
          </w:tcPr>
          <w:p w14:paraId="1FDADB8E">
            <w:pPr>
              <w:pStyle w:val="182"/>
              <w:bidi w:val="0"/>
              <w:rPr>
                <w:color w:val="auto"/>
              </w:rPr>
            </w:pPr>
            <w:r>
              <w:rPr>
                <w:color w:val="auto"/>
              </w:rPr>
              <w:t>1,2</w:t>
            </w:r>
            <w:r>
              <w:rPr>
                <w:rFonts w:hint="eastAsia"/>
                <w:color w:val="auto"/>
                <w:lang w:eastAsia="zh-CN"/>
              </w:rPr>
              <w:t>－</w:t>
            </w:r>
            <w:r>
              <w:rPr>
                <w:color w:val="auto"/>
              </w:rPr>
              <w:t>二氯苯</w:t>
            </w:r>
          </w:p>
        </w:tc>
        <w:tc>
          <w:tcPr>
            <w:tcW w:w="1623" w:type="pct"/>
            <w:gridSpan w:val="2"/>
            <w:vAlign w:val="center"/>
          </w:tcPr>
          <w:p w14:paraId="240D7792">
            <w:pPr>
              <w:pStyle w:val="182"/>
              <w:bidi w:val="0"/>
              <w:rPr>
                <w:color w:val="auto"/>
              </w:rPr>
            </w:pPr>
            <w:r>
              <w:rPr>
                <w:color w:val="auto"/>
              </w:rPr>
              <w:t>560mg/kg</w:t>
            </w:r>
          </w:p>
        </w:tc>
      </w:tr>
      <w:tr w14:paraId="65F92A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303189FD">
            <w:pPr>
              <w:pStyle w:val="182"/>
              <w:bidi w:val="0"/>
              <w:rPr>
                <w:color w:val="auto"/>
              </w:rPr>
            </w:pPr>
          </w:p>
        </w:tc>
        <w:tc>
          <w:tcPr>
            <w:tcW w:w="1678" w:type="pct"/>
            <w:vMerge w:val="continue"/>
            <w:vAlign w:val="center"/>
          </w:tcPr>
          <w:p w14:paraId="750203D6">
            <w:pPr>
              <w:pStyle w:val="182"/>
              <w:bidi w:val="0"/>
              <w:rPr>
                <w:color w:val="auto"/>
              </w:rPr>
            </w:pPr>
          </w:p>
        </w:tc>
        <w:tc>
          <w:tcPr>
            <w:tcW w:w="988" w:type="pct"/>
            <w:vAlign w:val="center"/>
          </w:tcPr>
          <w:p w14:paraId="6F54ED80">
            <w:pPr>
              <w:pStyle w:val="182"/>
              <w:bidi w:val="0"/>
              <w:rPr>
                <w:color w:val="auto"/>
              </w:rPr>
            </w:pPr>
            <w:r>
              <w:rPr>
                <w:color w:val="auto"/>
              </w:rPr>
              <w:t>1,4</w:t>
            </w:r>
            <w:r>
              <w:rPr>
                <w:rFonts w:hint="eastAsia"/>
                <w:color w:val="auto"/>
                <w:lang w:eastAsia="zh-CN"/>
              </w:rPr>
              <w:t>－</w:t>
            </w:r>
            <w:r>
              <w:rPr>
                <w:color w:val="auto"/>
              </w:rPr>
              <w:t>二氯苯</w:t>
            </w:r>
          </w:p>
        </w:tc>
        <w:tc>
          <w:tcPr>
            <w:tcW w:w="1623" w:type="pct"/>
            <w:gridSpan w:val="2"/>
            <w:vAlign w:val="center"/>
          </w:tcPr>
          <w:p w14:paraId="414903BA">
            <w:pPr>
              <w:pStyle w:val="182"/>
              <w:bidi w:val="0"/>
              <w:rPr>
                <w:color w:val="auto"/>
              </w:rPr>
            </w:pPr>
            <w:r>
              <w:rPr>
                <w:color w:val="auto"/>
              </w:rPr>
              <w:t>20mg/kg</w:t>
            </w:r>
          </w:p>
        </w:tc>
      </w:tr>
      <w:tr w14:paraId="0F75D5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0AF0E6AB">
            <w:pPr>
              <w:pStyle w:val="182"/>
              <w:bidi w:val="0"/>
              <w:rPr>
                <w:color w:val="auto"/>
              </w:rPr>
            </w:pPr>
          </w:p>
        </w:tc>
        <w:tc>
          <w:tcPr>
            <w:tcW w:w="1678" w:type="pct"/>
            <w:vMerge w:val="continue"/>
            <w:vAlign w:val="center"/>
          </w:tcPr>
          <w:p w14:paraId="2056C1C4">
            <w:pPr>
              <w:pStyle w:val="182"/>
              <w:bidi w:val="0"/>
              <w:rPr>
                <w:color w:val="auto"/>
              </w:rPr>
            </w:pPr>
          </w:p>
        </w:tc>
        <w:tc>
          <w:tcPr>
            <w:tcW w:w="988" w:type="pct"/>
            <w:vAlign w:val="center"/>
          </w:tcPr>
          <w:p w14:paraId="11A0D8CF">
            <w:pPr>
              <w:pStyle w:val="182"/>
              <w:bidi w:val="0"/>
              <w:rPr>
                <w:color w:val="auto"/>
              </w:rPr>
            </w:pPr>
            <w:r>
              <w:rPr>
                <w:color w:val="auto"/>
              </w:rPr>
              <w:t>乙苯</w:t>
            </w:r>
          </w:p>
        </w:tc>
        <w:tc>
          <w:tcPr>
            <w:tcW w:w="1623" w:type="pct"/>
            <w:gridSpan w:val="2"/>
            <w:vAlign w:val="center"/>
          </w:tcPr>
          <w:p w14:paraId="36B5014D">
            <w:pPr>
              <w:pStyle w:val="182"/>
              <w:bidi w:val="0"/>
              <w:rPr>
                <w:color w:val="auto"/>
              </w:rPr>
            </w:pPr>
            <w:r>
              <w:rPr>
                <w:color w:val="auto"/>
              </w:rPr>
              <w:t>28mg/kg</w:t>
            </w:r>
          </w:p>
        </w:tc>
      </w:tr>
      <w:tr w14:paraId="0C21A8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49F16C7D">
            <w:pPr>
              <w:pStyle w:val="182"/>
              <w:bidi w:val="0"/>
              <w:rPr>
                <w:color w:val="auto"/>
              </w:rPr>
            </w:pPr>
          </w:p>
        </w:tc>
        <w:tc>
          <w:tcPr>
            <w:tcW w:w="1678" w:type="pct"/>
            <w:vMerge w:val="continue"/>
            <w:vAlign w:val="center"/>
          </w:tcPr>
          <w:p w14:paraId="091421E8">
            <w:pPr>
              <w:pStyle w:val="182"/>
              <w:bidi w:val="0"/>
              <w:rPr>
                <w:color w:val="auto"/>
              </w:rPr>
            </w:pPr>
          </w:p>
        </w:tc>
        <w:tc>
          <w:tcPr>
            <w:tcW w:w="988" w:type="pct"/>
            <w:vAlign w:val="center"/>
          </w:tcPr>
          <w:p w14:paraId="28629739">
            <w:pPr>
              <w:pStyle w:val="182"/>
              <w:bidi w:val="0"/>
              <w:rPr>
                <w:color w:val="auto"/>
              </w:rPr>
            </w:pPr>
            <w:r>
              <w:rPr>
                <w:color w:val="auto"/>
              </w:rPr>
              <w:t>苯乙烯</w:t>
            </w:r>
          </w:p>
        </w:tc>
        <w:tc>
          <w:tcPr>
            <w:tcW w:w="1623" w:type="pct"/>
            <w:gridSpan w:val="2"/>
            <w:vAlign w:val="center"/>
          </w:tcPr>
          <w:p w14:paraId="2AAEFF1F">
            <w:pPr>
              <w:pStyle w:val="182"/>
              <w:bidi w:val="0"/>
              <w:rPr>
                <w:color w:val="auto"/>
              </w:rPr>
            </w:pPr>
            <w:r>
              <w:rPr>
                <w:color w:val="auto"/>
              </w:rPr>
              <w:t>1290mg/kg</w:t>
            </w:r>
          </w:p>
        </w:tc>
      </w:tr>
      <w:tr w14:paraId="7ADF89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55E5EFEB">
            <w:pPr>
              <w:pStyle w:val="182"/>
              <w:bidi w:val="0"/>
              <w:rPr>
                <w:color w:val="auto"/>
              </w:rPr>
            </w:pPr>
          </w:p>
        </w:tc>
        <w:tc>
          <w:tcPr>
            <w:tcW w:w="1678" w:type="pct"/>
            <w:vMerge w:val="continue"/>
            <w:vAlign w:val="center"/>
          </w:tcPr>
          <w:p w14:paraId="3F3BD91A">
            <w:pPr>
              <w:pStyle w:val="182"/>
              <w:bidi w:val="0"/>
              <w:rPr>
                <w:color w:val="auto"/>
              </w:rPr>
            </w:pPr>
          </w:p>
        </w:tc>
        <w:tc>
          <w:tcPr>
            <w:tcW w:w="988" w:type="pct"/>
            <w:vAlign w:val="center"/>
          </w:tcPr>
          <w:p w14:paraId="5B75FDB5">
            <w:pPr>
              <w:pStyle w:val="182"/>
              <w:bidi w:val="0"/>
              <w:rPr>
                <w:color w:val="auto"/>
              </w:rPr>
            </w:pPr>
            <w:r>
              <w:rPr>
                <w:color w:val="auto"/>
              </w:rPr>
              <w:t>甲苯</w:t>
            </w:r>
          </w:p>
        </w:tc>
        <w:tc>
          <w:tcPr>
            <w:tcW w:w="1623" w:type="pct"/>
            <w:gridSpan w:val="2"/>
            <w:vAlign w:val="center"/>
          </w:tcPr>
          <w:p w14:paraId="13565477">
            <w:pPr>
              <w:pStyle w:val="182"/>
              <w:bidi w:val="0"/>
              <w:rPr>
                <w:color w:val="auto"/>
              </w:rPr>
            </w:pPr>
            <w:r>
              <w:rPr>
                <w:color w:val="auto"/>
              </w:rPr>
              <w:t>1200mg/kg</w:t>
            </w:r>
          </w:p>
        </w:tc>
      </w:tr>
      <w:tr w14:paraId="171065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3024BCBB">
            <w:pPr>
              <w:pStyle w:val="182"/>
              <w:bidi w:val="0"/>
              <w:rPr>
                <w:color w:val="auto"/>
              </w:rPr>
            </w:pPr>
          </w:p>
        </w:tc>
        <w:tc>
          <w:tcPr>
            <w:tcW w:w="1678" w:type="pct"/>
            <w:vMerge w:val="continue"/>
            <w:vAlign w:val="center"/>
          </w:tcPr>
          <w:p w14:paraId="2D4BB3AB">
            <w:pPr>
              <w:pStyle w:val="182"/>
              <w:bidi w:val="0"/>
              <w:rPr>
                <w:color w:val="auto"/>
              </w:rPr>
            </w:pPr>
          </w:p>
        </w:tc>
        <w:tc>
          <w:tcPr>
            <w:tcW w:w="988" w:type="pct"/>
            <w:vAlign w:val="center"/>
          </w:tcPr>
          <w:p w14:paraId="51A07F5B">
            <w:pPr>
              <w:pStyle w:val="182"/>
              <w:bidi w:val="0"/>
              <w:rPr>
                <w:color w:val="auto"/>
              </w:rPr>
            </w:pPr>
            <w:r>
              <w:rPr>
                <w:color w:val="auto"/>
              </w:rPr>
              <w:t>间二甲苯+对二甲苯</w:t>
            </w:r>
          </w:p>
        </w:tc>
        <w:tc>
          <w:tcPr>
            <w:tcW w:w="1623" w:type="pct"/>
            <w:gridSpan w:val="2"/>
            <w:vAlign w:val="center"/>
          </w:tcPr>
          <w:p w14:paraId="7D923D88">
            <w:pPr>
              <w:pStyle w:val="182"/>
              <w:bidi w:val="0"/>
              <w:rPr>
                <w:color w:val="auto"/>
              </w:rPr>
            </w:pPr>
            <w:r>
              <w:rPr>
                <w:color w:val="auto"/>
              </w:rPr>
              <w:t>570mg/kg</w:t>
            </w:r>
          </w:p>
        </w:tc>
      </w:tr>
      <w:tr w14:paraId="7B483B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59A18620">
            <w:pPr>
              <w:pStyle w:val="182"/>
              <w:bidi w:val="0"/>
              <w:rPr>
                <w:color w:val="auto"/>
              </w:rPr>
            </w:pPr>
          </w:p>
        </w:tc>
        <w:tc>
          <w:tcPr>
            <w:tcW w:w="1678" w:type="pct"/>
            <w:vMerge w:val="continue"/>
            <w:vAlign w:val="center"/>
          </w:tcPr>
          <w:p w14:paraId="73EDF282">
            <w:pPr>
              <w:pStyle w:val="182"/>
              <w:bidi w:val="0"/>
              <w:rPr>
                <w:color w:val="auto"/>
              </w:rPr>
            </w:pPr>
          </w:p>
        </w:tc>
        <w:tc>
          <w:tcPr>
            <w:tcW w:w="988" w:type="pct"/>
            <w:vAlign w:val="center"/>
          </w:tcPr>
          <w:p w14:paraId="4E0BB344">
            <w:pPr>
              <w:pStyle w:val="182"/>
              <w:bidi w:val="0"/>
              <w:rPr>
                <w:color w:val="auto"/>
              </w:rPr>
            </w:pPr>
            <w:r>
              <w:rPr>
                <w:color w:val="auto"/>
              </w:rPr>
              <w:t>邻二甲苯</w:t>
            </w:r>
          </w:p>
        </w:tc>
        <w:tc>
          <w:tcPr>
            <w:tcW w:w="1623" w:type="pct"/>
            <w:gridSpan w:val="2"/>
            <w:vAlign w:val="center"/>
          </w:tcPr>
          <w:p w14:paraId="7CB4E500">
            <w:pPr>
              <w:pStyle w:val="182"/>
              <w:bidi w:val="0"/>
              <w:rPr>
                <w:color w:val="auto"/>
              </w:rPr>
            </w:pPr>
            <w:r>
              <w:rPr>
                <w:color w:val="auto"/>
              </w:rPr>
              <w:t>640mg/kg</w:t>
            </w:r>
          </w:p>
        </w:tc>
      </w:tr>
      <w:tr w14:paraId="39EF78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6BD344D5">
            <w:pPr>
              <w:pStyle w:val="182"/>
              <w:bidi w:val="0"/>
              <w:rPr>
                <w:color w:val="auto"/>
              </w:rPr>
            </w:pPr>
          </w:p>
        </w:tc>
        <w:tc>
          <w:tcPr>
            <w:tcW w:w="1678" w:type="pct"/>
            <w:vMerge w:val="continue"/>
            <w:vAlign w:val="center"/>
          </w:tcPr>
          <w:p w14:paraId="1B8BAB4D">
            <w:pPr>
              <w:pStyle w:val="182"/>
              <w:bidi w:val="0"/>
              <w:rPr>
                <w:color w:val="auto"/>
              </w:rPr>
            </w:pPr>
          </w:p>
        </w:tc>
        <w:tc>
          <w:tcPr>
            <w:tcW w:w="988" w:type="pct"/>
            <w:vAlign w:val="center"/>
          </w:tcPr>
          <w:p w14:paraId="1F4DDB77">
            <w:pPr>
              <w:pStyle w:val="182"/>
              <w:bidi w:val="0"/>
              <w:rPr>
                <w:color w:val="auto"/>
              </w:rPr>
            </w:pPr>
            <w:r>
              <w:rPr>
                <w:color w:val="auto"/>
              </w:rPr>
              <w:t>硝基苯</w:t>
            </w:r>
          </w:p>
        </w:tc>
        <w:tc>
          <w:tcPr>
            <w:tcW w:w="1623" w:type="pct"/>
            <w:gridSpan w:val="2"/>
            <w:vAlign w:val="center"/>
          </w:tcPr>
          <w:p w14:paraId="45C0F927">
            <w:pPr>
              <w:pStyle w:val="182"/>
              <w:bidi w:val="0"/>
              <w:rPr>
                <w:color w:val="auto"/>
              </w:rPr>
            </w:pPr>
            <w:r>
              <w:rPr>
                <w:color w:val="auto"/>
              </w:rPr>
              <w:t>76mg/kg</w:t>
            </w:r>
          </w:p>
        </w:tc>
      </w:tr>
      <w:tr w14:paraId="093F5F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30F20F80">
            <w:pPr>
              <w:pStyle w:val="182"/>
              <w:bidi w:val="0"/>
              <w:rPr>
                <w:color w:val="auto"/>
              </w:rPr>
            </w:pPr>
          </w:p>
        </w:tc>
        <w:tc>
          <w:tcPr>
            <w:tcW w:w="1678" w:type="pct"/>
            <w:vMerge w:val="continue"/>
            <w:vAlign w:val="center"/>
          </w:tcPr>
          <w:p w14:paraId="1FC522A7">
            <w:pPr>
              <w:pStyle w:val="182"/>
              <w:bidi w:val="0"/>
              <w:rPr>
                <w:color w:val="auto"/>
              </w:rPr>
            </w:pPr>
          </w:p>
        </w:tc>
        <w:tc>
          <w:tcPr>
            <w:tcW w:w="988" w:type="pct"/>
            <w:vAlign w:val="center"/>
          </w:tcPr>
          <w:p w14:paraId="2923A87B">
            <w:pPr>
              <w:pStyle w:val="182"/>
              <w:bidi w:val="0"/>
              <w:rPr>
                <w:color w:val="auto"/>
              </w:rPr>
            </w:pPr>
            <w:r>
              <w:rPr>
                <w:color w:val="auto"/>
              </w:rPr>
              <w:t>苯胺</w:t>
            </w:r>
          </w:p>
        </w:tc>
        <w:tc>
          <w:tcPr>
            <w:tcW w:w="1623" w:type="pct"/>
            <w:gridSpan w:val="2"/>
            <w:vAlign w:val="center"/>
          </w:tcPr>
          <w:p w14:paraId="6AC4BB6C">
            <w:pPr>
              <w:pStyle w:val="182"/>
              <w:bidi w:val="0"/>
              <w:rPr>
                <w:color w:val="auto"/>
              </w:rPr>
            </w:pPr>
            <w:r>
              <w:rPr>
                <w:color w:val="auto"/>
              </w:rPr>
              <w:t>260mg/kg</w:t>
            </w:r>
          </w:p>
        </w:tc>
      </w:tr>
      <w:tr w14:paraId="1CD133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10075DC6">
            <w:pPr>
              <w:pStyle w:val="182"/>
              <w:bidi w:val="0"/>
              <w:rPr>
                <w:color w:val="auto"/>
              </w:rPr>
            </w:pPr>
          </w:p>
        </w:tc>
        <w:tc>
          <w:tcPr>
            <w:tcW w:w="1678" w:type="pct"/>
            <w:vMerge w:val="continue"/>
            <w:vAlign w:val="center"/>
          </w:tcPr>
          <w:p w14:paraId="7B60B4CA">
            <w:pPr>
              <w:pStyle w:val="182"/>
              <w:bidi w:val="0"/>
              <w:rPr>
                <w:color w:val="auto"/>
              </w:rPr>
            </w:pPr>
          </w:p>
        </w:tc>
        <w:tc>
          <w:tcPr>
            <w:tcW w:w="988" w:type="pct"/>
            <w:vAlign w:val="center"/>
          </w:tcPr>
          <w:p w14:paraId="0D86AB9D">
            <w:pPr>
              <w:pStyle w:val="182"/>
              <w:bidi w:val="0"/>
              <w:rPr>
                <w:color w:val="auto"/>
              </w:rPr>
            </w:pPr>
            <w:r>
              <w:rPr>
                <w:color w:val="auto"/>
              </w:rPr>
              <w:t>2</w:t>
            </w:r>
            <w:r>
              <w:rPr>
                <w:rFonts w:hint="eastAsia"/>
                <w:color w:val="auto"/>
                <w:lang w:eastAsia="zh-CN"/>
              </w:rPr>
              <w:t>－</w:t>
            </w:r>
            <w:r>
              <w:rPr>
                <w:color w:val="auto"/>
              </w:rPr>
              <w:t>氯酚</w:t>
            </w:r>
          </w:p>
        </w:tc>
        <w:tc>
          <w:tcPr>
            <w:tcW w:w="1623" w:type="pct"/>
            <w:gridSpan w:val="2"/>
            <w:vAlign w:val="center"/>
          </w:tcPr>
          <w:p w14:paraId="33E6A8C1">
            <w:pPr>
              <w:pStyle w:val="182"/>
              <w:bidi w:val="0"/>
              <w:rPr>
                <w:color w:val="auto"/>
              </w:rPr>
            </w:pPr>
            <w:r>
              <w:rPr>
                <w:color w:val="auto"/>
              </w:rPr>
              <w:t>2256mg/kg</w:t>
            </w:r>
          </w:p>
        </w:tc>
      </w:tr>
      <w:tr w14:paraId="543881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0FF5F16C">
            <w:pPr>
              <w:pStyle w:val="182"/>
              <w:bidi w:val="0"/>
              <w:rPr>
                <w:color w:val="auto"/>
              </w:rPr>
            </w:pPr>
          </w:p>
        </w:tc>
        <w:tc>
          <w:tcPr>
            <w:tcW w:w="1678" w:type="pct"/>
            <w:vMerge w:val="continue"/>
            <w:vAlign w:val="center"/>
          </w:tcPr>
          <w:p w14:paraId="5D3F4A4C">
            <w:pPr>
              <w:pStyle w:val="182"/>
              <w:bidi w:val="0"/>
              <w:rPr>
                <w:color w:val="auto"/>
              </w:rPr>
            </w:pPr>
          </w:p>
        </w:tc>
        <w:tc>
          <w:tcPr>
            <w:tcW w:w="988" w:type="pct"/>
            <w:vAlign w:val="center"/>
          </w:tcPr>
          <w:p w14:paraId="2382EC4F">
            <w:pPr>
              <w:pStyle w:val="182"/>
              <w:bidi w:val="0"/>
              <w:rPr>
                <w:color w:val="auto"/>
              </w:rPr>
            </w:pPr>
            <w:r>
              <w:rPr>
                <w:color w:val="auto"/>
              </w:rPr>
              <w:t>苯并[a]蒽</w:t>
            </w:r>
          </w:p>
        </w:tc>
        <w:tc>
          <w:tcPr>
            <w:tcW w:w="1623" w:type="pct"/>
            <w:gridSpan w:val="2"/>
            <w:vAlign w:val="center"/>
          </w:tcPr>
          <w:p w14:paraId="47B35250">
            <w:pPr>
              <w:pStyle w:val="182"/>
              <w:bidi w:val="0"/>
              <w:rPr>
                <w:color w:val="auto"/>
              </w:rPr>
            </w:pPr>
            <w:r>
              <w:rPr>
                <w:color w:val="auto"/>
              </w:rPr>
              <w:t>15mg/kg</w:t>
            </w:r>
          </w:p>
        </w:tc>
      </w:tr>
      <w:tr w14:paraId="723514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688B938C">
            <w:pPr>
              <w:pStyle w:val="182"/>
              <w:bidi w:val="0"/>
              <w:rPr>
                <w:color w:val="auto"/>
              </w:rPr>
            </w:pPr>
          </w:p>
        </w:tc>
        <w:tc>
          <w:tcPr>
            <w:tcW w:w="1678" w:type="pct"/>
            <w:vMerge w:val="continue"/>
            <w:vAlign w:val="center"/>
          </w:tcPr>
          <w:p w14:paraId="23791E6D">
            <w:pPr>
              <w:pStyle w:val="182"/>
              <w:bidi w:val="0"/>
              <w:rPr>
                <w:color w:val="auto"/>
              </w:rPr>
            </w:pPr>
          </w:p>
        </w:tc>
        <w:tc>
          <w:tcPr>
            <w:tcW w:w="988" w:type="pct"/>
            <w:vAlign w:val="center"/>
          </w:tcPr>
          <w:p w14:paraId="0669A6AD">
            <w:pPr>
              <w:pStyle w:val="182"/>
              <w:bidi w:val="0"/>
              <w:rPr>
                <w:color w:val="auto"/>
              </w:rPr>
            </w:pPr>
            <w:r>
              <w:rPr>
                <w:color w:val="auto"/>
              </w:rPr>
              <w:t>苯并[a]芘</w:t>
            </w:r>
          </w:p>
        </w:tc>
        <w:tc>
          <w:tcPr>
            <w:tcW w:w="1623" w:type="pct"/>
            <w:gridSpan w:val="2"/>
            <w:vAlign w:val="center"/>
          </w:tcPr>
          <w:p w14:paraId="54F6D7DC">
            <w:pPr>
              <w:pStyle w:val="182"/>
              <w:bidi w:val="0"/>
              <w:rPr>
                <w:color w:val="auto"/>
              </w:rPr>
            </w:pPr>
            <w:r>
              <w:rPr>
                <w:color w:val="auto"/>
              </w:rPr>
              <w:t>1.5mg/kg</w:t>
            </w:r>
          </w:p>
        </w:tc>
      </w:tr>
      <w:tr w14:paraId="4150C9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512A393B">
            <w:pPr>
              <w:pStyle w:val="182"/>
              <w:bidi w:val="0"/>
              <w:rPr>
                <w:color w:val="auto"/>
              </w:rPr>
            </w:pPr>
          </w:p>
        </w:tc>
        <w:tc>
          <w:tcPr>
            <w:tcW w:w="1678" w:type="pct"/>
            <w:vMerge w:val="continue"/>
            <w:vAlign w:val="center"/>
          </w:tcPr>
          <w:p w14:paraId="2B957277">
            <w:pPr>
              <w:pStyle w:val="182"/>
              <w:bidi w:val="0"/>
              <w:rPr>
                <w:color w:val="auto"/>
              </w:rPr>
            </w:pPr>
          </w:p>
        </w:tc>
        <w:tc>
          <w:tcPr>
            <w:tcW w:w="988" w:type="pct"/>
            <w:vAlign w:val="center"/>
          </w:tcPr>
          <w:p w14:paraId="4BC0C41C">
            <w:pPr>
              <w:pStyle w:val="182"/>
              <w:bidi w:val="0"/>
              <w:rPr>
                <w:color w:val="auto"/>
              </w:rPr>
            </w:pPr>
            <w:r>
              <w:rPr>
                <w:color w:val="auto"/>
              </w:rPr>
              <w:t>苯并[b]荧蒽</w:t>
            </w:r>
          </w:p>
        </w:tc>
        <w:tc>
          <w:tcPr>
            <w:tcW w:w="1623" w:type="pct"/>
            <w:gridSpan w:val="2"/>
            <w:vAlign w:val="center"/>
          </w:tcPr>
          <w:p w14:paraId="3AE01889">
            <w:pPr>
              <w:pStyle w:val="182"/>
              <w:bidi w:val="0"/>
              <w:rPr>
                <w:color w:val="auto"/>
              </w:rPr>
            </w:pPr>
            <w:r>
              <w:rPr>
                <w:color w:val="auto"/>
              </w:rPr>
              <w:t>15mg/kg</w:t>
            </w:r>
          </w:p>
        </w:tc>
      </w:tr>
      <w:tr w14:paraId="57D731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6FB01696">
            <w:pPr>
              <w:pStyle w:val="182"/>
              <w:bidi w:val="0"/>
              <w:rPr>
                <w:color w:val="auto"/>
              </w:rPr>
            </w:pPr>
          </w:p>
        </w:tc>
        <w:tc>
          <w:tcPr>
            <w:tcW w:w="1678" w:type="pct"/>
            <w:vMerge w:val="continue"/>
            <w:vAlign w:val="center"/>
          </w:tcPr>
          <w:p w14:paraId="58E045F1">
            <w:pPr>
              <w:pStyle w:val="182"/>
              <w:bidi w:val="0"/>
              <w:rPr>
                <w:color w:val="auto"/>
              </w:rPr>
            </w:pPr>
          </w:p>
        </w:tc>
        <w:tc>
          <w:tcPr>
            <w:tcW w:w="988" w:type="pct"/>
            <w:vAlign w:val="center"/>
          </w:tcPr>
          <w:p w14:paraId="285FF0BB">
            <w:pPr>
              <w:pStyle w:val="182"/>
              <w:bidi w:val="0"/>
              <w:rPr>
                <w:color w:val="auto"/>
              </w:rPr>
            </w:pPr>
            <w:r>
              <w:rPr>
                <w:color w:val="auto"/>
              </w:rPr>
              <w:t>苯并[k]荧蒽</w:t>
            </w:r>
          </w:p>
        </w:tc>
        <w:tc>
          <w:tcPr>
            <w:tcW w:w="1623" w:type="pct"/>
            <w:gridSpan w:val="2"/>
            <w:vAlign w:val="center"/>
          </w:tcPr>
          <w:p w14:paraId="6D2083D7">
            <w:pPr>
              <w:pStyle w:val="182"/>
              <w:bidi w:val="0"/>
              <w:rPr>
                <w:color w:val="auto"/>
              </w:rPr>
            </w:pPr>
            <w:r>
              <w:rPr>
                <w:color w:val="auto"/>
              </w:rPr>
              <w:t>151mg/kg</w:t>
            </w:r>
          </w:p>
        </w:tc>
      </w:tr>
      <w:tr w14:paraId="3F0341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51C18181">
            <w:pPr>
              <w:pStyle w:val="182"/>
              <w:bidi w:val="0"/>
              <w:rPr>
                <w:color w:val="auto"/>
              </w:rPr>
            </w:pPr>
          </w:p>
        </w:tc>
        <w:tc>
          <w:tcPr>
            <w:tcW w:w="1678" w:type="pct"/>
            <w:vMerge w:val="continue"/>
            <w:vAlign w:val="center"/>
          </w:tcPr>
          <w:p w14:paraId="3DF470E9">
            <w:pPr>
              <w:pStyle w:val="182"/>
              <w:bidi w:val="0"/>
              <w:rPr>
                <w:color w:val="auto"/>
              </w:rPr>
            </w:pPr>
          </w:p>
        </w:tc>
        <w:tc>
          <w:tcPr>
            <w:tcW w:w="988" w:type="pct"/>
            <w:vAlign w:val="center"/>
          </w:tcPr>
          <w:p w14:paraId="700C828F">
            <w:pPr>
              <w:pStyle w:val="182"/>
              <w:bidi w:val="0"/>
              <w:rPr>
                <w:color w:val="auto"/>
              </w:rPr>
            </w:pPr>
            <w:r>
              <w:rPr>
                <w:color w:val="auto"/>
              </w:rPr>
              <w:t>崫</w:t>
            </w:r>
          </w:p>
        </w:tc>
        <w:tc>
          <w:tcPr>
            <w:tcW w:w="1623" w:type="pct"/>
            <w:gridSpan w:val="2"/>
            <w:vAlign w:val="center"/>
          </w:tcPr>
          <w:p w14:paraId="0EA22F56">
            <w:pPr>
              <w:pStyle w:val="182"/>
              <w:bidi w:val="0"/>
              <w:rPr>
                <w:color w:val="auto"/>
              </w:rPr>
            </w:pPr>
            <w:r>
              <w:rPr>
                <w:color w:val="auto"/>
              </w:rPr>
              <w:t>1293mg/kg</w:t>
            </w:r>
          </w:p>
        </w:tc>
      </w:tr>
      <w:tr w14:paraId="2DD98F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7E7409E6">
            <w:pPr>
              <w:pStyle w:val="182"/>
              <w:bidi w:val="0"/>
              <w:rPr>
                <w:color w:val="auto"/>
              </w:rPr>
            </w:pPr>
          </w:p>
        </w:tc>
        <w:tc>
          <w:tcPr>
            <w:tcW w:w="1678" w:type="pct"/>
            <w:vMerge w:val="continue"/>
            <w:vAlign w:val="center"/>
          </w:tcPr>
          <w:p w14:paraId="644DB1D8">
            <w:pPr>
              <w:pStyle w:val="182"/>
              <w:bidi w:val="0"/>
              <w:rPr>
                <w:color w:val="auto"/>
              </w:rPr>
            </w:pPr>
          </w:p>
        </w:tc>
        <w:tc>
          <w:tcPr>
            <w:tcW w:w="988" w:type="pct"/>
            <w:vAlign w:val="center"/>
          </w:tcPr>
          <w:p w14:paraId="224EAD66">
            <w:pPr>
              <w:pStyle w:val="182"/>
              <w:bidi w:val="0"/>
              <w:rPr>
                <w:color w:val="auto"/>
              </w:rPr>
            </w:pPr>
            <w:r>
              <w:rPr>
                <w:color w:val="auto"/>
              </w:rPr>
              <w:t>二苯并[a,h]蒽</w:t>
            </w:r>
          </w:p>
        </w:tc>
        <w:tc>
          <w:tcPr>
            <w:tcW w:w="1623" w:type="pct"/>
            <w:gridSpan w:val="2"/>
            <w:vAlign w:val="center"/>
          </w:tcPr>
          <w:p w14:paraId="79DD1CC7">
            <w:pPr>
              <w:pStyle w:val="182"/>
              <w:bidi w:val="0"/>
              <w:rPr>
                <w:color w:val="auto"/>
              </w:rPr>
            </w:pPr>
            <w:r>
              <w:rPr>
                <w:color w:val="auto"/>
              </w:rPr>
              <w:t>1.5mg/kg</w:t>
            </w:r>
          </w:p>
        </w:tc>
      </w:tr>
      <w:tr w14:paraId="7A67D0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48200652">
            <w:pPr>
              <w:pStyle w:val="182"/>
              <w:bidi w:val="0"/>
              <w:rPr>
                <w:color w:val="auto"/>
              </w:rPr>
            </w:pPr>
          </w:p>
        </w:tc>
        <w:tc>
          <w:tcPr>
            <w:tcW w:w="1678" w:type="pct"/>
            <w:vMerge w:val="continue"/>
            <w:vAlign w:val="center"/>
          </w:tcPr>
          <w:p w14:paraId="2ECDCA2D">
            <w:pPr>
              <w:pStyle w:val="182"/>
              <w:bidi w:val="0"/>
              <w:rPr>
                <w:color w:val="auto"/>
              </w:rPr>
            </w:pPr>
          </w:p>
        </w:tc>
        <w:tc>
          <w:tcPr>
            <w:tcW w:w="988" w:type="pct"/>
            <w:vAlign w:val="center"/>
          </w:tcPr>
          <w:p w14:paraId="4960C67F">
            <w:pPr>
              <w:pStyle w:val="182"/>
              <w:bidi w:val="0"/>
              <w:rPr>
                <w:color w:val="auto"/>
              </w:rPr>
            </w:pPr>
            <w:r>
              <w:rPr>
                <w:color w:val="auto"/>
              </w:rPr>
              <w:t>茚并[1,2,3-cd]芘</w:t>
            </w:r>
          </w:p>
        </w:tc>
        <w:tc>
          <w:tcPr>
            <w:tcW w:w="1623" w:type="pct"/>
            <w:gridSpan w:val="2"/>
            <w:vAlign w:val="center"/>
          </w:tcPr>
          <w:p w14:paraId="34E14969">
            <w:pPr>
              <w:pStyle w:val="182"/>
              <w:bidi w:val="0"/>
              <w:rPr>
                <w:color w:val="auto"/>
              </w:rPr>
            </w:pPr>
            <w:r>
              <w:rPr>
                <w:color w:val="auto"/>
              </w:rPr>
              <w:t>15mg/kg</w:t>
            </w:r>
          </w:p>
        </w:tc>
      </w:tr>
      <w:tr w14:paraId="38B23B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52EB1918">
            <w:pPr>
              <w:pStyle w:val="182"/>
              <w:bidi w:val="0"/>
              <w:rPr>
                <w:color w:val="auto"/>
              </w:rPr>
            </w:pPr>
          </w:p>
        </w:tc>
        <w:tc>
          <w:tcPr>
            <w:tcW w:w="1678" w:type="pct"/>
            <w:vMerge w:val="continue"/>
            <w:vAlign w:val="center"/>
          </w:tcPr>
          <w:p w14:paraId="439A01E4">
            <w:pPr>
              <w:pStyle w:val="182"/>
              <w:bidi w:val="0"/>
              <w:rPr>
                <w:color w:val="auto"/>
              </w:rPr>
            </w:pPr>
          </w:p>
        </w:tc>
        <w:tc>
          <w:tcPr>
            <w:tcW w:w="988" w:type="pct"/>
            <w:vAlign w:val="center"/>
          </w:tcPr>
          <w:p w14:paraId="2556B171">
            <w:pPr>
              <w:pStyle w:val="182"/>
              <w:bidi w:val="0"/>
              <w:rPr>
                <w:color w:val="auto"/>
              </w:rPr>
            </w:pPr>
            <w:r>
              <w:rPr>
                <w:color w:val="auto"/>
              </w:rPr>
              <w:t>萘</w:t>
            </w:r>
          </w:p>
        </w:tc>
        <w:tc>
          <w:tcPr>
            <w:tcW w:w="1623" w:type="pct"/>
            <w:gridSpan w:val="2"/>
            <w:vAlign w:val="center"/>
          </w:tcPr>
          <w:p w14:paraId="40F40361">
            <w:pPr>
              <w:pStyle w:val="182"/>
              <w:bidi w:val="0"/>
              <w:rPr>
                <w:color w:val="auto"/>
              </w:rPr>
            </w:pPr>
            <w:r>
              <w:rPr>
                <w:color w:val="auto"/>
              </w:rPr>
              <w:t>70mg/kg</w:t>
            </w:r>
          </w:p>
        </w:tc>
      </w:tr>
      <w:tr w14:paraId="17BA71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09" w:type="pct"/>
            <w:vMerge w:val="continue"/>
            <w:vAlign w:val="center"/>
          </w:tcPr>
          <w:p w14:paraId="7AE3E8A6">
            <w:pPr>
              <w:pStyle w:val="182"/>
              <w:bidi w:val="0"/>
              <w:rPr>
                <w:color w:val="auto"/>
              </w:rPr>
            </w:pPr>
          </w:p>
        </w:tc>
        <w:tc>
          <w:tcPr>
            <w:tcW w:w="1678" w:type="pct"/>
            <w:vAlign w:val="center"/>
          </w:tcPr>
          <w:p w14:paraId="6B0DD848">
            <w:pPr>
              <w:pStyle w:val="182"/>
              <w:bidi w:val="0"/>
              <w:rPr>
                <w:color w:val="auto"/>
              </w:rPr>
            </w:pPr>
            <w:r>
              <w:rPr>
                <w:rFonts w:hint="eastAsia"/>
                <w:color w:val="auto"/>
              </w:rPr>
              <w:t>《</w:t>
            </w:r>
            <w:r>
              <w:rPr>
                <w:rFonts w:hint="eastAsia"/>
                <w:color w:val="auto"/>
                <w:lang w:eastAsia="zh-CN"/>
              </w:rPr>
              <w:t>土壤环境质量 建设用地土壤污染风险管控标准（试行）</w:t>
            </w:r>
            <w:r>
              <w:rPr>
                <w:rFonts w:hint="eastAsia"/>
                <w:color w:val="auto"/>
              </w:rPr>
              <w:t>》（</w:t>
            </w:r>
            <w:r>
              <w:rPr>
                <w:color w:val="auto"/>
              </w:rPr>
              <w:t>GB36600-2018</w:t>
            </w:r>
            <w:r>
              <w:rPr>
                <w:rFonts w:hint="eastAsia"/>
                <w:color w:val="auto"/>
              </w:rPr>
              <w:t>）表</w:t>
            </w:r>
            <w:r>
              <w:rPr>
                <w:color w:val="auto"/>
              </w:rPr>
              <w:t>2</w:t>
            </w:r>
            <w:r>
              <w:rPr>
                <w:rFonts w:hint="eastAsia"/>
                <w:color w:val="auto"/>
              </w:rPr>
              <w:t>其他项目</w:t>
            </w:r>
            <w:r>
              <w:rPr>
                <w:rFonts w:hint="eastAsia"/>
                <w:color w:val="auto"/>
                <w:lang w:eastAsia="zh-CN"/>
              </w:rPr>
              <w:t>－</w:t>
            </w:r>
            <w:r>
              <w:rPr>
                <w:rFonts w:hint="eastAsia"/>
                <w:color w:val="auto"/>
              </w:rPr>
              <w:t>第二类用地筛选值</w:t>
            </w:r>
          </w:p>
        </w:tc>
        <w:tc>
          <w:tcPr>
            <w:tcW w:w="988" w:type="pct"/>
            <w:vAlign w:val="center"/>
          </w:tcPr>
          <w:p w14:paraId="429E363D">
            <w:pPr>
              <w:pStyle w:val="182"/>
              <w:bidi w:val="0"/>
              <w:rPr>
                <w:color w:val="auto"/>
              </w:rPr>
            </w:pPr>
            <w:r>
              <w:rPr>
                <w:rFonts w:hint="eastAsia"/>
                <w:color w:val="auto"/>
              </w:rPr>
              <w:t>石油烃</w:t>
            </w:r>
          </w:p>
        </w:tc>
        <w:tc>
          <w:tcPr>
            <w:tcW w:w="1623" w:type="pct"/>
            <w:gridSpan w:val="2"/>
            <w:vAlign w:val="center"/>
          </w:tcPr>
          <w:p w14:paraId="035FDAD8">
            <w:pPr>
              <w:pStyle w:val="182"/>
              <w:bidi w:val="0"/>
              <w:rPr>
                <w:color w:val="auto"/>
              </w:rPr>
            </w:pPr>
            <w:r>
              <w:rPr>
                <w:color w:val="auto"/>
              </w:rPr>
              <w:t>4500 mg/kg</w:t>
            </w:r>
          </w:p>
        </w:tc>
      </w:tr>
    </w:tbl>
    <w:p w14:paraId="6D7A248A">
      <w:pPr>
        <w:pStyle w:val="5"/>
        <w:bidi w:val="0"/>
        <w:rPr>
          <w:color w:val="auto"/>
        </w:rPr>
      </w:pPr>
      <w:bookmarkStart w:id="130" w:name="_Toc15702"/>
      <w:r>
        <w:rPr>
          <w:color w:val="auto"/>
        </w:rPr>
        <w:t>污染物排放标准</w:t>
      </w:r>
      <w:bookmarkEnd w:id="130"/>
    </w:p>
    <w:p w14:paraId="3DBBBF9D">
      <w:pPr>
        <w:pStyle w:val="10"/>
        <w:bidi w:val="0"/>
      </w:pPr>
      <w:r>
        <w:t xml:space="preserve">表 </w:t>
      </w:r>
      <w:r>
        <w:fldChar w:fldCharType="begin"/>
      </w:r>
      <w:r>
        <w:instrText xml:space="preserve"> STYLEREF 2 \s </w:instrText>
      </w:r>
      <w:r>
        <w:fldChar w:fldCharType="separate"/>
      </w:r>
      <w:r>
        <w:t>2.7</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rPr>
          <w:rFonts w:hint="eastAsia"/>
        </w:rPr>
        <w:t xml:space="preserve"> 污染物排放标准</w:t>
      </w:r>
    </w:p>
    <w:tbl>
      <w:tblPr>
        <w:tblStyle w:val="31"/>
        <w:tblW w:w="5000"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108" w:type="dxa"/>
          <w:bottom w:w="0" w:type="dxa"/>
          <w:right w:w="108" w:type="dxa"/>
        </w:tblCellMar>
      </w:tblPr>
      <w:tblGrid>
        <w:gridCol w:w="881"/>
        <w:gridCol w:w="2388"/>
        <w:gridCol w:w="1166"/>
        <w:gridCol w:w="1206"/>
        <w:gridCol w:w="2779"/>
      </w:tblGrid>
      <w:tr w14:paraId="10A32E63">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tblHeader/>
          <w:jc w:val="center"/>
        </w:trPr>
        <w:tc>
          <w:tcPr>
            <w:tcW w:w="523" w:type="pct"/>
            <w:shd w:val="clear" w:color="auto" w:fill="auto"/>
            <w:tcMar>
              <w:top w:w="11" w:type="dxa"/>
              <w:left w:w="57" w:type="dxa"/>
              <w:bottom w:w="11" w:type="dxa"/>
              <w:right w:w="57" w:type="dxa"/>
            </w:tcMar>
            <w:vAlign w:val="center"/>
          </w:tcPr>
          <w:p w14:paraId="5191CEE3">
            <w:pPr>
              <w:pStyle w:val="182"/>
              <w:bidi w:val="0"/>
              <w:rPr>
                <w:b/>
                <w:bCs/>
                <w:color w:val="auto"/>
              </w:rPr>
            </w:pPr>
            <w:r>
              <w:rPr>
                <w:b/>
                <w:bCs/>
                <w:color w:val="auto"/>
              </w:rPr>
              <w:t>污染</w:t>
            </w:r>
          </w:p>
          <w:p w14:paraId="40329C38">
            <w:pPr>
              <w:pStyle w:val="182"/>
              <w:bidi w:val="0"/>
              <w:rPr>
                <w:b/>
                <w:bCs/>
                <w:color w:val="auto"/>
              </w:rPr>
            </w:pPr>
            <w:r>
              <w:rPr>
                <w:b/>
                <w:bCs/>
                <w:color w:val="auto"/>
              </w:rPr>
              <w:t>类别</w:t>
            </w:r>
          </w:p>
        </w:tc>
        <w:tc>
          <w:tcPr>
            <w:tcW w:w="1418" w:type="pct"/>
            <w:shd w:val="clear" w:color="auto" w:fill="auto"/>
            <w:tcMar>
              <w:top w:w="11" w:type="dxa"/>
              <w:left w:w="57" w:type="dxa"/>
              <w:bottom w:w="11" w:type="dxa"/>
              <w:right w:w="57" w:type="dxa"/>
            </w:tcMar>
            <w:vAlign w:val="center"/>
          </w:tcPr>
          <w:p w14:paraId="742CE664">
            <w:pPr>
              <w:pStyle w:val="182"/>
              <w:bidi w:val="0"/>
              <w:rPr>
                <w:b/>
                <w:bCs/>
                <w:color w:val="auto"/>
              </w:rPr>
            </w:pPr>
            <w:r>
              <w:rPr>
                <w:b/>
                <w:bCs/>
                <w:color w:val="auto"/>
              </w:rPr>
              <w:t>执行标准</w:t>
            </w:r>
          </w:p>
        </w:tc>
        <w:tc>
          <w:tcPr>
            <w:tcW w:w="692" w:type="pct"/>
            <w:shd w:val="clear" w:color="auto" w:fill="auto"/>
            <w:tcMar>
              <w:top w:w="11" w:type="dxa"/>
              <w:left w:w="57" w:type="dxa"/>
              <w:bottom w:w="11" w:type="dxa"/>
              <w:right w:w="57" w:type="dxa"/>
            </w:tcMar>
            <w:vAlign w:val="center"/>
          </w:tcPr>
          <w:p w14:paraId="31D74C77">
            <w:pPr>
              <w:pStyle w:val="182"/>
              <w:bidi w:val="0"/>
              <w:rPr>
                <w:b/>
                <w:bCs/>
                <w:color w:val="auto"/>
              </w:rPr>
            </w:pPr>
            <w:r>
              <w:rPr>
                <w:b/>
                <w:bCs/>
                <w:color w:val="auto"/>
              </w:rPr>
              <w:t>级</w:t>
            </w:r>
            <w:r>
              <w:rPr>
                <w:rFonts w:hint="eastAsia"/>
                <w:b/>
                <w:bCs/>
                <w:color w:val="auto"/>
                <w:lang w:eastAsia="zh-CN"/>
              </w:rPr>
              <w:t>（</w:t>
            </w:r>
            <w:r>
              <w:rPr>
                <w:b/>
                <w:bCs/>
                <w:color w:val="auto"/>
              </w:rPr>
              <w:t>类</w:t>
            </w:r>
            <w:r>
              <w:rPr>
                <w:rFonts w:hint="eastAsia"/>
                <w:b/>
                <w:bCs/>
                <w:color w:val="auto"/>
                <w:lang w:eastAsia="zh-CN"/>
              </w:rPr>
              <w:t>）</w:t>
            </w:r>
            <w:r>
              <w:rPr>
                <w:b/>
                <w:bCs/>
                <w:color w:val="auto"/>
              </w:rPr>
              <w:t>别</w:t>
            </w:r>
          </w:p>
        </w:tc>
        <w:tc>
          <w:tcPr>
            <w:tcW w:w="716" w:type="pct"/>
            <w:shd w:val="clear" w:color="auto" w:fill="auto"/>
            <w:tcMar>
              <w:top w:w="11" w:type="dxa"/>
              <w:left w:w="57" w:type="dxa"/>
              <w:bottom w:w="11" w:type="dxa"/>
              <w:right w:w="57" w:type="dxa"/>
            </w:tcMar>
            <w:vAlign w:val="center"/>
          </w:tcPr>
          <w:p w14:paraId="66587D15">
            <w:pPr>
              <w:pStyle w:val="182"/>
              <w:bidi w:val="0"/>
              <w:rPr>
                <w:b/>
                <w:bCs/>
                <w:color w:val="auto"/>
              </w:rPr>
            </w:pPr>
            <w:r>
              <w:rPr>
                <w:b/>
                <w:bCs/>
                <w:color w:val="auto"/>
              </w:rPr>
              <w:t>污染因子</w:t>
            </w:r>
          </w:p>
        </w:tc>
        <w:tc>
          <w:tcPr>
            <w:tcW w:w="1650" w:type="pct"/>
            <w:shd w:val="clear" w:color="auto" w:fill="auto"/>
            <w:tcMar>
              <w:top w:w="11" w:type="dxa"/>
              <w:left w:w="57" w:type="dxa"/>
              <w:bottom w:w="11" w:type="dxa"/>
              <w:right w:w="57" w:type="dxa"/>
            </w:tcMar>
            <w:vAlign w:val="center"/>
          </w:tcPr>
          <w:p w14:paraId="6AD216C0">
            <w:pPr>
              <w:pStyle w:val="182"/>
              <w:bidi w:val="0"/>
              <w:rPr>
                <w:b/>
                <w:bCs/>
                <w:color w:val="auto"/>
              </w:rPr>
            </w:pPr>
            <w:r>
              <w:rPr>
                <w:b/>
                <w:bCs/>
                <w:color w:val="auto"/>
              </w:rPr>
              <w:t>标准</w:t>
            </w:r>
            <w:r>
              <w:rPr>
                <w:rFonts w:hint="eastAsia"/>
                <w:b/>
                <w:bCs/>
                <w:color w:val="auto"/>
              </w:rPr>
              <w:t>限</w:t>
            </w:r>
            <w:r>
              <w:rPr>
                <w:b/>
                <w:bCs/>
                <w:color w:val="auto"/>
              </w:rPr>
              <w:t>值</w:t>
            </w:r>
          </w:p>
        </w:tc>
      </w:tr>
      <w:tr w14:paraId="4EEECA9D">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45" w:hRule="atLeast"/>
          <w:jc w:val="center"/>
        </w:trPr>
        <w:tc>
          <w:tcPr>
            <w:tcW w:w="523" w:type="pct"/>
            <w:vMerge w:val="restart"/>
            <w:shd w:val="clear" w:color="auto" w:fill="auto"/>
            <w:tcMar>
              <w:top w:w="11" w:type="dxa"/>
              <w:left w:w="57" w:type="dxa"/>
              <w:bottom w:w="11" w:type="dxa"/>
              <w:right w:w="57" w:type="dxa"/>
            </w:tcMar>
            <w:vAlign w:val="center"/>
          </w:tcPr>
          <w:p w14:paraId="591830AC">
            <w:pPr>
              <w:pStyle w:val="182"/>
              <w:bidi w:val="0"/>
              <w:rPr>
                <w:rFonts w:hint="eastAsia"/>
                <w:b w:val="0"/>
                <w:bCs w:val="0"/>
                <w:color w:val="auto"/>
                <w:u w:val="none"/>
              </w:rPr>
            </w:pPr>
            <w:r>
              <w:rPr>
                <w:rFonts w:hint="eastAsia"/>
                <w:b w:val="0"/>
                <w:bCs w:val="0"/>
                <w:color w:val="auto"/>
                <w:u w:val="none"/>
              </w:rPr>
              <w:t>大气污染物</w:t>
            </w:r>
          </w:p>
        </w:tc>
        <w:tc>
          <w:tcPr>
            <w:tcW w:w="1418" w:type="pct"/>
            <w:tcBorders>
              <w:bottom w:val="single" w:color="auto" w:sz="4" w:space="0"/>
            </w:tcBorders>
            <w:shd w:val="clear" w:color="auto" w:fill="auto"/>
            <w:tcMar>
              <w:top w:w="11" w:type="dxa"/>
              <w:left w:w="57" w:type="dxa"/>
              <w:bottom w:w="11" w:type="dxa"/>
              <w:right w:w="57" w:type="dxa"/>
            </w:tcMar>
            <w:vAlign w:val="center"/>
          </w:tcPr>
          <w:p w14:paraId="28011D20">
            <w:pPr>
              <w:pStyle w:val="182"/>
              <w:bidi w:val="0"/>
              <w:ind w:firstLine="0" w:firstLineChars="0"/>
              <w:rPr>
                <w:rFonts w:hint="eastAsia"/>
                <w:b w:val="0"/>
                <w:bCs w:val="0"/>
                <w:color w:val="auto"/>
                <w:u w:val="none"/>
              </w:rPr>
            </w:pPr>
            <w:r>
              <w:rPr>
                <w:b w:val="0"/>
                <w:bCs w:val="0"/>
                <w:color w:val="auto"/>
                <w:u w:val="none"/>
              </w:rPr>
              <w:t>《新乡市生态环境局关于进一步规范工业企业颗粒物排放限值的通知》</w:t>
            </w:r>
          </w:p>
        </w:tc>
        <w:tc>
          <w:tcPr>
            <w:tcW w:w="692" w:type="pct"/>
            <w:tcBorders>
              <w:bottom w:val="single" w:color="auto" w:sz="4" w:space="0"/>
            </w:tcBorders>
            <w:shd w:val="clear" w:color="auto" w:fill="auto"/>
            <w:tcMar>
              <w:top w:w="11" w:type="dxa"/>
              <w:left w:w="57" w:type="dxa"/>
              <w:bottom w:w="11" w:type="dxa"/>
              <w:right w:w="57" w:type="dxa"/>
            </w:tcMar>
            <w:vAlign w:val="center"/>
          </w:tcPr>
          <w:p w14:paraId="0882A314">
            <w:pPr>
              <w:pStyle w:val="182"/>
              <w:bidi w:val="0"/>
              <w:ind w:firstLine="0" w:firstLineChars="0"/>
              <w:rPr>
                <w:rFonts w:hint="eastAsia"/>
                <w:b w:val="0"/>
                <w:bCs w:val="0"/>
                <w:color w:val="auto"/>
                <w:u w:val="none"/>
              </w:rPr>
            </w:pPr>
            <w:r>
              <w:rPr>
                <w:b w:val="0"/>
                <w:bCs w:val="0"/>
                <w:color w:val="auto"/>
                <w:u w:val="none"/>
                <w:lang w:val="en-US" w:eastAsia="zh-CN"/>
              </w:rPr>
              <w:t>其他涉气</w:t>
            </w:r>
            <w:r>
              <w:rPr>
                <w:b w:val="0"/>
                <w:bCs w:val="0"/>
                <w:color w:val="auto"/>
                <w:u w:val="none"/>
              </w:rPr>
              <w:t>工业企业</w:t>
            </w:r>
          </w:p>
        </w:tc>
        <w:tc>
          <w:tcPr>
            <w:tcW w:w="716" w:type="pct"/>
            <w:tcBorders>
              <w:bottom w:val="single" w:color="auto" w:sz="4" w:space="0"/>
            </w:tcBorders>
            <w:shd w:val="clear" w:color="auto" w:fill="auto"/>
            <w:tcMar>
              <w:top w:w="11" w:type="dxa"/>
              <w:left w:w="57" w:type="dxa"/>
              <w:bottom w:w="11" w:type="dxa"/>
              <w:right w:w="57" w:type="dxa"/>
            </w:tcMar>
            <w:vAlign w:val="center"/>
          </w:tcPr>
          <w:p w14:paraId="6AAFE27B">
            <w:pPr>
              <w:pStyle w:val="182"/>
              <w:bidi w:val="0"/>
              <w:ind w:firstLine="0" w:firstLineChars="0"/>
              <w:rPr>
                <w:rFonts w:hint="default"/>
                <w:b w:val="0"/>
                <w:bCs w:val="0"/>
                <w:color w:val="auto"/>
                <w:u w:val="none"/>
                <w:lang w:val="en-US" w:eastAsia="zh-CN"/>
              </w:rPr>
            </w:pPr>
            <w:r>
              <w:rPr>
                <w:b w:val="0"/>
                <w:bCs w:val="0"/>
                <w:color w:val="auto"/>
                <w:u w:val="none"/>
              </w:rPr>
              <w:t>颗粒物</w:t>
            </w:r>
          </w:p>
        </w:tc>
        <w:tc>
          <w:tcPr>
            <w:tcW w:w="1650" w:type="pct"/>
            <w:tcBorders>
              <w:bottom w:val="single" w:color="auto" w:sz="4" w:space="0"/>
            </w:tcBorders>
            <w:shd w:val="clear" w:color="auto" w:fill="auto"/>
            <w:tcMar>
              <w:top w:w="11" w:type="dxa"/>
              <w:left w:w="57" w:type="dxa"/>
              <w:bottom w:w="11" w:type="dxa"/>
              <w:right w:w="57" w:type="dxa"/>
            </w:tcMar>
            <w:vAlign w:val="center"/>
          </w:tcPr>
          <w:p w14:paraId="37B8D91D">
            <w:pPr>
              <w:pStyle w:val="182"/>
              <w:bidi w:val="0"/>
              <w:ind w:firstLine="0" w:firstLineChars="0"/>
              <w:rPr>
                <w:rFonts w:hint="eastAsia" w:eastAsia="宋体"/>
                <w:b w:val="0"/>
                <w:bCs w:val="0"/>
                <w:color w:val="auto"/>
                <w:u w:val="none"/>
                <w:lang w:eastAsia="zh-CN"/>
              </w:rPr>
            </w:pPr>
            <w:r>
              <w:rPr>
                <w:b w:val="0"/>
                <w:bCs w:val="0"/>
                <w:color w:val="auto"/>
                <w:u w:val="none"/>
              </w:rPr>
              <w:t>10 mg/m</w:t>
            </w:r>
            <w:r>
              <w:rPr>
                <w:b w:val="0"/>
                <w:bCs w:val="0"/>
                <w:color w:val="auto"/>
                <w:u w:val="none"/>
                <w:vertAlign w:val="superscript"/>
              </w:rPr>
              <w:t>3</w:t>
            </w:r>
            <w:r>
              <w:rPr>
                <w:rFonts w:hint="eastAsia"/>
                <w:b w:val="0"/>
                <w:bCs w:val="0"/>
                <w:color w:val="auto"/>
                <w:u w:val="none"/>
                <w:vertAlign w:val="baseline"/>
                <w:lang w:eastAsia="zh-CN"/>
              </w:rPr>
              <w:t>（</w:t>
            </w:r>
            <w:r>
              <w:rPr>
                <w:b w:val="0"/>
                <w:bCs w:val="0"/>
                <w:color w:val="auto"/>
                <w:u w:val="none"/>
              </w:rPr>
              <w:t>有组织</w:t>
            </w:r>
            <w:r>
              <w:rPr>
                <w:rFonts w:hint="eastAsia"/>
                <w:b w:val="0"/>
                <w:bCs w:val="0"/>
                <w:color w:val="auto"/>
                <w:u w:val="none"/>
                <w:vertAlign w:val="baseline"/>
                <w:lang w:eastAsia="zh-CN"/>
              </w:rPr>
              <w:t>）</w:t>
            </w:r>
          </w:p>
        </w:tc>
      </w:tr>
      <w:tr w14:paraId="5A4B3390">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09" w:hRule="atLeast"/>
          <w:jc w:val="center"/>
        </w:trPr>
        <w:tc>
          <w:tcPr>
            <w:tcW w:w="523" w:type="pct"/>
            <w:vMerge w:val="continue"/>
            <w:shd w:val="clear" w:color="auto" w:fill="auto"/>
            <w:tcMar>
              <w:top w:w="11" w:type="dxa"/>
              <w:left w:w="57" w:type="dxa"/>
              <w:bottom w:w="11" w:type="dxa"/>
              <w:right w:w="57" w:type="dxa"/>
            </w:tcMar>
            <w:vAlign w:val="center"/>
          </w:tcPr>
          <w:p w14:paraId="0F0C1887">
            <w:pPr>
              <w:pStyle w:val="182"/>
              <w:bidi w:val="0"/>
              <w:rPr>
                <w:rFonts w:hint="eastAsia"/>
                <w:b w:val="0"/>
                <w:bCs w:val="0"/>
                <w:color w:val="auto"/>
                <w:u w:val="none"/>
              </w:rPr>
            </w:pPr>
          </w:p>
        </w:tc>
        <w:tc>
          <w:tcPr>
            <w:tcW w:w="1418" w:type="pct"/>
            <w:tcBorders>
              <w:top w:val="single" w:color="auto" w:sz="4" w:space="0"/>
            </w:tcBorders>
            <w:shd w:val="clear" w:color="auto" w:fill="auto"/>
            <w:tcMar>
              <w:top w:w="11" w:type="dxa"/>
              <w:left w:w="57" w:type="dxa"/>
              <w:bottom w:w="11" w:type="dxa"/>
              <w:right w:w="57" w:type="dxa"/>
            </w:tcMar>
            <w:vAlign w:val="center"/>
          </w:tcPr>
          <w:p w14:paraId="5D48DB71">
            <w:pPr>
              <w:pStyle w:val="182"/>
              <w:bidi w:val="0"/>
              <w:ind w:firstLine="0" w:firstLineChars="0"/>
              <w:rPr>
                <w:b w:val="0"/>
                <w:bCs w:val="0"/>
                <w:color w:val="auto"/>
                <w:u w:val="none"/>
              </w:rPr>
            </w:pPr>
            <w:r>
              <w:rPr>
                <w:rFonts w:hint="eastAsia"/>
                <w:b w:val="0"/>
                <w:bCs w:val="0"/>
                <w:color w:val="auto"/>
                <w:u w:val="none"/>
                <w:lang w:val="en-US" w:eastAsia="zh-CN"/>
              </w:rPr>
              <w:t>《大气污染物综合排放标准》（GB16297-1996）</w:t>
            </w:r>
          </w:p>
        </w:tc>
        <w:tc>
          <w:tcPr>
            <w:tcW w:w="692" w:type="pct"/>
            <w:tcBorders>
              <w:top w:val="single" w:color="auto" w:sz="4" w:space="0"/>
            </w:tcBorders>
            <w:shd w:val="clear" w:color="auto" w:fill="auto"/>
            <w:tcMar>
              <w:top w:w="11" w:type="dxa"/>
              <w:left w:w="57" w:type="dxa"/>
              <w:bottom w:w="11" w:type="dxa"/>
              <w:right w:w="57" w:type="dxa"/>
            </w:tcMar>
            <w:vAlign w:val="center"/>
          </w:tcPr>
          <w:p w14:paraId="39568764">
            <w:pPr>
              <w:pStyle w:val="182"/>
              <w:bidi w:val="0"/>
              <w:ind w:firstLine="0" w:firstLineChars="0"/>
              <w:rPr>
                <w:b w:val="0"/>
                <w:bCs w:val="0"/>
                <w:color w:val="auto"/>
                <w:u w:val="none"/>
                <w:lang w:val="en-US" w:eastAsia="zh-CN"/>
              </w:rPr>
            </w:pPr>
            <w:r>
              <w:rPr>
                <w:rFonts w:hint="eastAsia"/>
                <w:b w:val="0"/>
                <w:bCs w:val="0"/>
                <w:color w:val="auto"/>
                <w:u w:val="none"/>
                <w:lang w:val="en-US" w:eastAsia="zh-CN"/>
              </w:rPr>
              <w:t>二级标准</w:t>
            </w:r>
          </w:p>
        </w:tc>
        <w:tc>
          <w:tcPr>
            <w:tcW w:w="716" w:type="pct"/>
            <w:tcBorders>
              <w:top w:val="single" w:color="auto" w:sz="4" w:space="0"/>
              <w:bottom w:val="single" w:color="auto" w:sz="4" w:space="0"/>
            </w:tcBorders>
            <w:shd w:val="clear" w:color="auto" w:fill="auto"/>
            <w:tcMar>
              <w:top w:w="11" w:type="dxa"/>
              <w:left w:w="57" w:type="dxa"/>
              <w:bottom w:w="11" w:type="dxa"/>
              <w:right w:w="57" w:type="dxa"/>
            </w:tcMar>
            <w:vAlign w:val="center"/>
          </w:tcPr>
          <w:p w14:paraId="43C3DAB9">
            <w:pPr>
              <w:pStyle w:val="182"/>
              <w:bidi w:val="0"/>
              <w:ind w:firstLine="0" w:firstLineChars="0"/>
              <w:rPr>
                <w:rFonts w:hint="eastAsia" w:eastAsia="宋体"/>
                <w:b w:val="0"/>
                <w:bCs w:val="0"/>
                <w:color w:val="auto"/>
                <w:u w:val="none"/>
                <w:lang w:val="en-US" w:eastAsia="zh-CN"/>
              </w:rPr>
            </w:pPr>
            <w:r>
              <w:rPr>
                <w:rFonts w:hint="eastAsia"/>
                <w:b w:val="0"/>
                <w:bCs w:val="0"/>
                <w:color w:val="auto"/>
                <w:u w:val="none"/>
                <w:lang w:val="en-US" w:eastAsia="zh-CN"/>
              </w:rPr>
              <w:t>颗粒物</w:t>
            </w:r>
          </w:p>
        </w:tc>
        <w:tc>
          <w:tcPr>
            <w:tcW w:w="1650" w:type="pct"/>
            <w:tcBorders>
              <w:top w:val="single" w:color="auto" w:sz="4" w:space="0"/>
              <w:bottom w:val="single" w:color="auto" w:sz="4" w:space="0"/>
            </w:tcBorders>
            <w:shd w:val="clear" w:color="auto" w:fill="auto"/>
            <w:tcMar>
              <w:top w:w="11" w:type="dxa"/>
              <w:left w:w="57" w:type="dxa"/>
              <w:bottom w:w="11" w:type="dxa"/>
              <w:right w:w="57" w:type="dxa"/>
            </w:tcMar>
            <w:vAlign w:val="center"/>
          </w:tcPr>
          <w:p w14:paraId="0A5AAA28">
            <w:pPr>
              <w:pStyle w:val="182"/>
              <w:bidi w:val="0"/>
              <w:ind w:firstLine="0" w:firstLineChars="0"/>
              <w:rPr>
                <w:rFonts w:hint="default" w:eastAsia="宋体"/>
                <w:b w:val="0"/>
                <w:bCs w:val="0"/>
                <w:color w:val="auto"/>
                <w:u w:val="none"/>
                <w:lang w:val="en-US" w:eastAsia="zh-CN"/>
              </w:rPr>
            </w:pPr>
            <w:r>
              <w:rPr>
                <w:rFonts w:hint="eastAsia"/>
                <w:b w:val="0"/>
                <w:bCs w:val="0"/>
                <w:color w:val="auto"/>
                <w:u w:val="none"/>
                <w:lang w:val="en-US" w:eastAsia="zh-CN"/>
              </w:rPr>
              <w:t>5.9kg/h</w:t>
            </w:r>
            <w:r>
              <w:rPr>
                <w:rFonts w:hint="eastAsia"/>
                <w:b w:val="0"/>
                <w:bCs w:val="0"/>
                <w:color w:val="auto"/>
                <w:u w:val="none"/>
                <w:vertAlign w:val="baseline"/>
                <w:lang w:eastAsia="zh-CN"/>
              </w:rPr>
              <w:t>（</w:t>
            </w:r>
            <w:r>
              <w:rPr>
                <w:rFonts w:hint="eastAsia"/>
                <w:b w:val="0"/>
                <w:bCs w:val="0"/>
                <w:color w:val="auto"/>
                <w:u w:val="none"/>
                <w:lang w:val="en-US" w:eastAsia="zh-CN"/>
              </w:rPr>
              <w:t>20m</w:t>
            </w:r>
            <w:r>
              <w:rPr>
                <w:rFonts w:hint="eastAsia"/>
                <w:b w:val="0"/>
                <w:bCs w:val="0"/>
                <w:color w:val="auto"/>
                <w:u w:val="none"/>
                <w:vertAlign w:val="baseline"/>
                <w:lang w:eastAsia="zh-CN"/>
              </w:rPr>
              <w:t>）</w:t>
            </w:r>
          </w:p>
        </w:tc>
      </w:tr>
      <w:tr w14:paraId="4BC1B85B">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758" w:hRule="atLeast"/>
          <w:jc w:val="center"/>
        </w:trPr>
        <w:tc>
          <w:tcPr>
            <w:tcW w:w="523" w:type="pct"/>
            <w:vMerge w:val="continue"/>
            <w:shd w:val="clear" w:color="auto" w:fill="auto"/>
            <w:tcMar>
              <w:top w:w="11" w:type="dxa"/>
              <w:left w:w="57" w:type="dxa"/>
              <w:bottom w:w="11" w:type="dxa"/>
              <w:right w:w="57" w:type="dxa"/>
            </w:tcMar>
            <w:vAlign w:val="center"/>
          </w:tcPr>
          <w:p w14:paraId="344C7353">
            <w:pPr>
              <w:pStyle w:val="182"/>
              <w:bidi w:val="0"/>
              <w:rPr>
                <w:rFonts w:hint="eastAsia"/>
                <w:b w:val="0"/>
                <w:bCs w:val="0"/>
                <w:color w:val="auto"/>
                <w:u w:val="none"/>
              </w:rPr>
            </w:pPr>
          </w:p>
        </w:tc>
        <w:tc>
          <w:tcPr>
            <w:tcW w:w="1418" w:type="pct"/>
            <w:vMerge w:val="restart"/>
            <w:shd w:val="clear" w:color="auto" w:fill="auto"/>
            <w:tcMar>
              <w:top w:w="11" w:type="dxa"/>
              <w:left w:w="57" w:type="dxa"/>
              <w:bottom w:w="11" w:type="dxa"/>
              <w:right w:w="57" w:type="dxa"/>
            </w:tcMar>
            <w:vAlign w:val="center"/>
          </w:tcPr>
          <w:p w14:paraId="43B3AEB4">
            <w:pPr>
              <w:pStyle w:val="182"/>
              <w:bidi w:val="0"/>
              <w:ind w:firstLine="0" w:firstLineChars="0"/>
              <w:rPr>
                <w:b w:val="0"/>
                <w:bCs w:val="0"/>
                <w:color w:val="auto"/>
                <w:u w:val="none"/>
              </w:rPr>
            </w:pPr>
            <w:r>
              <w:rPr>
                <w:rFonts w:hint="eastAsia"/>
                <w:b w:val="0"/>
                <w:bCs w:val="0"/>
                <w:color w:val="auto"/>
                <w:highlight w:val="none"/>
                <w:u w:val="none"/>
                <w:lang w:val="en-US" w:eastAsia="zh-CN"/>
              </w:rPr>
              <w:t>《关于全省开展工业企业挥发性有机物专项治理工作中排放建议值的通知》（豫环攻坚办（2017）162号）</w:t>
            </w:r>
          </w:p>
        </w:tc>
        <w:tc>
          <w:tcPr>
            <w:tcW w:w="692" w:type="pct"/>
            <w:vMerge w:val="restart"/>
            <w:shd w:val="clear" w:color="auto" w:fill="auto"/>
            <w:tcMar>
              <w:top w:w="11" w:type="dxa"/>
              <w:left w:w="57" w:type="dxa"/>
              <w:bottom w:w="11" w:type="dxa"/>
              <w:right w:w="57" w:type="dxa"/>
            </w:tcMar>
            <w:vAlign w:val="center"/>
          </w:tcPr>
          <w:p w14:paraId="349E997B">
            <w:pPr>
              <w:pStyle w:val="182"/>
              <w:bidi w:val="0"/>
              <w:ind w:firstLine="0" w:firstLineChars="0"/>
              <w:rPr>
                <w:b w:val="0"/>
                <w:bCs w:val="0"/>
                <w:color w:val="auto"/>
                <w:u w:val="none"/>
                <w:lang w:val="en-US" w:eastAsia="zh-CN"/>
              </w:rPr>
            </w:pPr>
            <w:r>
              <w:rPr>
                <w:rFonts w:hint="eastAsia"/>
                <w:b w:val="0"/>
                <w:bCs w:val="0"/>
                <w:color w:val="auto"/>
                <w:highlight w:val="none"/>
                <w:u w:val="none"/>
                <w:lang w:val="en-US" w:eastAsia="zh-CN"/>
              </w:rPr>
              <w:t>其他行业</w:t>
            </w:r>
          </w:p>
        </w:tc>
        <w:tc>
          <w:tcPr>
            <w:tcW w:w="716" w:type="pct"/>
            <w:vMerge w:val="restart"/>
            <w:tcBorders>
              <w:top w:val="single" w:color="auto" w:sz="4" w:space="0"/>
            </w:tcBorders>
            <w:shd w:val="clear" w:color="auto" w:fill="auto"/>
            <w:tcMar>
              <w:top w:w="11" w:type="dxa"/>
              <w:left w:w="57" w:type="dxa"/>
              <w:bottom w:w="11" w:type="dxa"/>
              <w:right w:w="57" w:type="dxa"/>
            </w:tcMar>
            <w:vAlign w:val="center"/>
          </w:tcPr>
          <w:p w14:paraId="0238F665">
            <w:pPr>
              <w:pStyle w:val="182"/>
              <w:bidi w:val="0"/>
              <w:ind w:firstLine="0" w:firstLineChars="0"/>
              <w:rPr>
                <w:rFonts w:hint="eastAsia" w:eastAsia="宋体"/>
                <w:b w:val="0"/>
                <w:bCs w:val="0"/>
                <w:color w:val="auto"/>
                <w:u w:val="none"/>
                <w:lang w:val="en-US" w:eastAsia="zh-CN"/>
              </w:rPr>
            </w:pPr>
            <w:r>
              <w:rPr>
                <w:rFonts w:hint="eastAsia"/>
                <w:b w:val="0"/>
                <w:bCs w:val="0"/>
                <w:color w:val="auto"/>
                <w:u w:val="none"/>
                <w:lang w:val="en-US" w:eastAsia="zh-CN"/>
              </w:rPr>
              <w:t>非甲烷总烃</w:t>
            </w:r>
          </w:p>
        </w:tc>
        <w:tc>
          <w:tcPr>
            <w:tcW w:w="1650" w:type="pct"/>
            <w:tcBorders>
              <w:top w:val="single" w:color="auto" w:sz="4" w:space="0"/>
              <w:bottom w:val="single" w:color="auto" w:sz="4" w:space="0"/>
            </w:tcBorders>
            <w:shd w:val="clear" w:color="auto" w:fill="auto"/>
            <w:tcMar>
              <w:top w:w="11" w:type="dxa"/>
              <w:left w:w="57" w:type="dxa"/>
              <w:bottom w:w="11" w:type="dxa"/>
              <w:right w:w="57" w:type="dxa"/>
            </w:tcMar>
            <w:vAlign w:val="center"/>
          </w:tcPr>
          <w:p w14:paraId="33979E22">
            <w:pPr>
              <w:pStyle w:val="182"/>
              <w:bidi w:val="0"/>
              <w:ind w:firstLine="0" w:firstLineChars="0"/>
              <w:rPr>
                <w:b w:val="0"/>
                <w:bCs w:val="0"/>
                <w:color w:val="auto"/>
                <w:u w:val="none"/>
              </w:rPr>
            </w:pPr>
            <w:r>
              <w:rPr>
                <w:rFonts w:hint="eastAsia"/>
                <w:b w:val="0"/>
                <w:bCs w:val="0"/>
                <w:color w:val="auto"/>
                <w:highlight w:val="none"/>
                <w:u w:val="none"/>
                <w:lang w:val="en-US" w:eastAsia="zh-CN"/>
              </w:rPr>
              <w:t>80</w:t>
            </w:r>
            <w:r>
              <w:rPr>
                <w:rFonts w:hint="eastAsia"/>
                <w:b w:val="0"/>
                <w:bCs w:val="0"/>
                <w:color w:val="auto"/>
                <w:highlight w:val="none"/>
                <w:u w:val="none"/>
              </w:rPr>
              <w:t>mg/m</w:t>
            </w:r>
            <w:r>
              <w:rPr>
                <w:rFonts w:hint="eastAsia"/>
                <w:b w:val="0"/>
                <w:bCs w:val="0"/>
                <w:color w:val="auto"/>
                <w:highlight w:val="none"/>
                <w:u w:val="none"/>
                <w:vertAlign w:val="superscript"/>
              </w:rPr>
              <w:t>3</w:t>
            </w:r>
            <w:r>
              <w:rPr>
                <w:rFonts w:hint="eastAsia"/>
                <w:b w:val="0"/>
                <w:bCs w:val="0"/>
                <w:color w:val="auto"/>
                <w:highlight w:val="none"/>
                <w:u w:val="none"/>
              </w:rPr>
              <w:t>（有组织）</w:t>
            </w:r>
          </w:p>
        </w:tc>
      </w:tr>
      <w:tr w14:paraId="7A9992ED">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640" w:hRule="atLeast"/>
          <w:jc w:val="center"/>
        </w:trPr>
        <w:tc>
          <w:tcPr>
            <w:tcW w:w="523" w:type="pct"/>
            <w:vMerge w:val="continue"/>
            <w:shd w:val="clear" w:color="auto" w:fill="auto"/>
            <w:tcMar>
              <w:top w:w="11" w:type="dxa"/>
              <w:left w:w="57" w:type="dxa"/>
              <w:bottom w:w="11" w:type="dxa"/>
              <w:right w:w="57" w:type="dxa"/>
            </w:tcMar>
            <w:vAlign w:val="center"/>
          </w:tcPr>
          <w:p w14:paraId="6B1442B2">
            <w:pPr>
              <w:pStyle w:val="182"/>
              <w:bidi w:val="0"/>
              <w:rPr>
                <w:rFonts w:hint="eastAsia"/>
                <w:b w:val="0"/>
                <w:bCs w:val="0"/>
                <w:color w:val="auto"/>
                <w:u w:val="none"/>
              </w:rPr>
            </w:pPr>
          </w:p>
        </w:tc>
        <w:tc>
          <w:tcPr>
            <w:tcW w:w="1418" w:type="pct"/>
            <w:vMerge w:val="continue"/>
            <w:shd w:val="clear" w:color="auto" w:fill="auto"/>
            <w:tcMar>
              <w:top w:w="11" w:type="dxa"/>
              <w:left w:w="57" w:type="dxa"/>
              <w:bottom w:w="11" w:type="dxa"/>
              <w:right w:w="57" w:type="dxa"/>
            </w:tcMar>
            <w:vAlign w:val="center"/>
          </w:tcPr>
          <w:p w14:paraId="26947609">
            <w:pPr>
              <w:pStyle w:val="182"/>
              <w:bidi w:val="0"/>
              <w:ind w:firstLine="0" w:firstLineChars="0"/>
              <w:rPr>
                <w:rFonts w:hint="eastAsia"/>
                <w:b w:val="0"/>
                <w:bCs w:val="0"/>
                <w:color w:val="auto"/>
                <w:highlight w:val="none"/>
                <w:u w:val="none"/>
                <w:lang w:val="en-US" w:eastAsia="zh-CN"/>
              </w:rPr>
            </w:pPr>
          </w:p>
        </w:tc>
        <w:tc>
          <w:tcPr>
            <w:tcW w:w="692" w:type="pct"/>
            <w:vMerge w:val="continue"/>
            <w:shd w:val="clear" w:color="auto" w:fill="auto"/>
            <w:tcMar>
              <w:top w:w="11" w:type="dxa"/>
              <w:left w:w="57" w:type="dxa"/>
              <w:bottom w:w="11" w:type="dxa"/>
              <w:right w:w="57" w:type="dxa"/>
            </w:tcMar>
            <w:vAlign w:val="center"/>
          </w:tcPr>
          <w:p w14:paraId="36D1A1CA">
            <w:pPr>
              <w:pStyle w:val="182"/>
              <w:bidi w:val="0"/>
              <w:ind w:firstLine="0" w:firstLineChars="0"/>
              <w:rPr>
                <w:rFonts w:hint="eastAsia"/>
                <w:b w:val="0"/>
                <w:bCs w:val="0"/>
                <w:color w:val="auto"/>
                <w:highlight w:val="none"/>
                <w:u w:val="none"/>
                <w:lang w:val="en-US" w:eastAsia="zh-CN"/>
              </w:rPr>
            </w:pPr>
          </w:p>
        </w:tc>
        <w:tc>
          <w:tcPr>
            <w:tcW w:w="716" w:type="pct"/>
            <w:vMerge w:val="continue"/>
            <w:shd w:val="clear" w:color="auto" w:fill="auto"/>
            <w:tcMar>
              <w:top w:w="11" w:type="dxa"/>
              <w:left w:w="57" w:type="dxa"/>
              <w:bottom w:w="11" w:type="dxa"/>
              <w:right w:w="57" w:type="dxa"/>
            </w:tcMar>
            <w:vAlign w:val="center"/>
          </w:tcPr>
          <w:p w14:paraId="30F0F55A">
            <w:pPr>
              <w:pStyle w:val="182"/>
              <w:bidi w:val="0"/>
              <w:ind w:firstLine="0" w:firstLineChars="0"/>
              <w:rPr>
                <w:rFonts w:hint="eastAsia"/>
                <w:b w:val="0"/>
                <w:bCs w:val="0"/>
                <w:color w:val="auto"/>
                <w:u w:val="none"/>
                <w:lang w:val="en-US" w:eastAsia="zh-CN"/>
              </w:rPr>
            </w:pPr>
          </w:p>
        </w:tc>
        <w:tc>
          <w:tcPr>
            <w:tcW w:w="1650" w:type="pct"/>
            <w:tcBorders>
              <w:top w:val="single" w:color="auto" w:sz="4" w:space="0"/>
            </w:tcBorders>
            <w:shd w:val="clear" w:color="auto" w:fill="auto"/>
            <w:tcMar>
              <w:top w:w="11" w:type="dxa"/>
              <w:left w:w="57" w:type="dxa"/>
              <w:bottom w:w="11" w:type="dxa"/>
              <w:right w:w="57" w:type="dxa"/>
            </w:tcMar>
            <w:vAlign w:val="center"/>
          </w:tcPr>
          <w:p w14:paraId="440E677E">
            <w:pPr>
              <w:pStyle w:val="182"/>
              <w:bidi w:val="0"/>
              <w:ind w:firstLine="0" w:firstLineChars="0"/>
              <w:rPr>
                <w:rFonts w:hint="eastAsia"/>
                <w:b w:val="0"/>
                <w:bCs w:val="0"/>
                <w:color w:val="auto"/>
                <w:highlight w:val="none"/>
                <w:u w:val="none"/>
                <w:lang w:val="en-US" w:eastAsia="zh-CN"/>
              </w:rPr>
            </w:pPr>
            <w:r>
              <w:rPr>
                <w:rFonts w:hint="eastAsia"/>
                <w:b w:val="0"/>
                <w:bCs w:val="0"/>
                <w:color w:val="auto"/>
                <w:highlight w:val="none"/>
                <w:u w:val="none"/>
                <w:lang w:val="en-US" w:eastAsia="zh-CN"/>
              </w:rPr>
              <w:t>2</w:t>
            </w:r>
            <w:r>
              <w:rPr>
                <w:rFonts w:hint="eastAsia"/>
                <w:b w:val="0"/>
                <w:bCs w:val="0"/>
                <w:color w:val="auto"/>
                <w:highlight w:val="none"/>
                <w:u w:val="none"/>
              </w:rPr>
              <w:t>mg/m</w:t>
            </w:r>
            <w:r>
              <w:rPr>
                <w:rFonts w:hint="eastAsia"/>
                <w:b w:val="0"/>
                <w:bCs w:val="0"/>
                <w:color w:val="auto"/>
                <w:highlight w:val="none"/>
                <w:u w:val="none"/>
                <w:vertAlign w:val="superscript"/>
              </w:rPr>
              <w:t>3</w:t>
            </w:r>
            <w:r>
              <w:rPr>
                <w:rFonts w:hint="eastAsia"/>
                <w:b w:val="0"/>
                <w:bCs w:val="0"/>
                <w:color w:val="auto"/>
                <w:highlight w:val="none"/>
                <w:u w:val="none"/>
              </w:rPr>
              <w:t>（</w:t>
            </w:r>
            <w:r>
              <w:rPr>
                <w:rFonts w:hint="eastAsia"/>
                <w:b w:val="0"/>
                <w:bCs w:val="0"/>
                <w:color w:val="auto"/>
                <w:highlight w:val="none"/>
                <w:u w:val="none"/>
                <w:lang w:val="en-US" w:eastAsia="zh-CN"/>
              </w:rPr>
              <w:t>无</w:t>
            </w:r>
            <w:r>
              <w:rPr>
                <w:rFonts w:hint="eastAsia"/>
                <w:b w:val="0"/>
                <w:bCs w:val="0"/>
                <w:color w:val="auto"/>
                <w:highlight w:val="none"/>
                <w:u w:val="none"/>
              </w:rPr>
              <w:t>组织）</w:t>
            </w:r>
          </w:p>
        </w:tc>
      </w:tr>
      <w:tr w14:paraId="7FD6E771">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640" w:hRule="atLeast"/>
          <w:jc w:val="center"/>
        </w:trPr>
        <w:tc>
          <w:tcPr>
            <w:tcW w:w="523" w:type="pct"/>
            <w:vMerge w:val="continue"/>
            <w:shd w:val="clear" w:color="auto" w:fill="auto"/>
            <w:tcMar>
              <w:top w:w="11" w:type="dxa"/>
              <w:left w:w="57" w:type="dxa"/>
              <w:bottom w:w="11" w:type="dxa"/>
              <w:right w:w="57" w:type="dxa"/>
            </w:tcMar>
            <w:vAlign w:val="center"/>
          </w:tcPr>
          <w:p w14:paraId="1090CB60">
            <w:pPr>
              <w:pStyle w:val="182"/>
              <w:bidi w:val="0"/>
              <w:rPr>
                <w:rFonts w:hint="eastAsia"/>
                <w:b w:val="0"/>
                <w:bCs w:val="0"/>
                <w:color w:val="auto"/>
                <w:u w:val="none"/>
              </w:rPr>
            </w:pPr>
          </w:p>
        </w:tc>
        <w:tc>
          <w:tcPr>
            <w:tcW w:w="1418" w:type="pct"/>
            <w:shd w:val="clear" w:color="auto" w:fill="auto"/>
            <w:tcMar>
              <w:top w:w="11" w:type="dxa"/>
              <w:left w:w="57" w:type="dxa"/>
              <w:bottom w:w="11" w:type="dxa"/>
              <w:right w:w="57" w:type="dxa"/>
            </w:tcMar>
            <w:vAlign w:val="center"/>
          </w:tcPr>
          <w:p w14:paraId="6FB18042">
            <w:pPr>
              <w:pStyle w:val="182"/>
              <w:bidi w:val="0"/>
              <w:ind w:firstLine="0" w:firstLineChars="0"/>
              <w:rPr>
                <w:rFonts w:hint="eastAsia"/>
                <w:b w:val="0"/>
                <w:bCs w:val="0"/>
                <w:color w:val="auto"/>
                <w:highlight w:val="none"/>
                <w:u w:val="none"/>
                <w:lang w:val="en-US" w:eastAsia="zh-CN"/>
              </w:rPr>
            </w:pPr>
            <w:r>
              <w:rPr>
                <w:rFonts w:hint="eastAsia"/>
                <w:b w:val="0"/>
                <w:bCs w:val="0"/>
                <w:color w:val="auto"/>
                <w:u w:val="none"/>
                <w:lang w:val="en-US" w:eastAsia="zh-CN"/>
              </w:rPr>
              <w:t>《大气污染物综合排放标准》（GB16297-1996）</w:t>
            </w:r>
          </w:p>
        </w:tc>
        <w:tc>
          <w:tcPr>
            <w:tcW w:w="692" w:type="pct"/>
            <w:shd w:val="clear" w:color="auto" w:fill="auto"/>
            <w:tcMar>
              <w:top w:w="11" w:type="dxa"/>
              <w:left w:w="57" w:type="dxa"/>
              <w:bottom w:w="11" w:type="dxa"/>
              <w:right w:w="57" w:type="dxa"/>
            </w:tcMar>
            <w:vAlign w:val="center"/>
          </w:tcPr>
          <w:p w14:paraId="653D21EE">
            <w:pPr>
              <w:pStyle w:val="182"/>
              <w:bidi w:val="0"/>
              <w:ind w:firstLine="0" w:firstLineChars="0"/>
              <w:rPr>
                <w:rFonts w:hint="eastAsia"/>
                <w:b w:val="0"/>
                <w:bCs w:val="0"/>
                <w:color w:val="auto"/>
                <w:highlight w:val="none"/>
                <w:u w:val="none"/>
                <w:lang w:val="en-US" w:eastAsia="zh-CN"/>
              </w:rPr>
            </w:pPr>
            <w:r>
              <w:rPr>
                <w:rFonts w:hint="eastAsia"/>
                <w:b w:val="0"/>
                <w:bCs w:val="0"/>
                <w:color w:val="auto"/>
                <w:u w:val="none"/>
                <w:lang w:val="en-US" w:eastAsia="zh-CN"/>
              </w:rPr>
              <w:t>二级标准</w:t>
            </w:r>
          </w:p>
        </w:tc>
        <w:tc>
          <w:tcPr>
            <w:tcW w:w="716" w:type="pct"/>
            <w:shd w:val="clear" w:color="auto" w:fill="auto"/>
            <w:tcMar>
              <w:top w:w="11" w:type="dxa"/>
              <w:left w:w="57" w:type="dxa"/>
              <w:bottom w:w="11" w:type="dxa"/>
              <w:right w:w="57" w:type="dxa"/>
            </w:tcMar>
            <w:vAlign w:val="center"/>
          </w:tcPr>
          <w:p w14:paraId="3DF03006">
            <w:pPr>
              <w:pStyle w:val="182"/>
              <w:bidi w:val="0"/>
              <w:ind w:firstLine="0" w:firstLineChars="0"/>
              <w:rPr>
                <w:rFonts w:hint="eastAsia"/>
                <w:b w:val="0"/>
                <w:bCs w:val="0"/>
                <w:color w:val="auto"/>
                <w:u w:val="none"/>
                <w:lang w:val="en-US" w:eastAsia="zh-CN"/>
              </w:rPr>
            </w:pPr>
            <w:r>
              <w:rPr>
                <w:rFonts w:hint="eastAsia"/>
                <w:b w:val="0"/>
                <w:bCs w:val="0"/>
                <w:color w:val="auto"/>
                <w:u w:val="none"/>
                <w:lang w:val="en-US" w:eastAsia="zh-CN"/>
              </w:rPr>
              <w:t>非甲烷总烃</w:t>
            </w:r>
          </w:p>
        </w:tc>
        <w:tc>
          <w:tcPr>
            <w:tcW w:w="1650" w:type="pct"/>
            <w:tcBorders>
              <w:top w:val="single" w:color="auto" w:sz="4" w:space="0"/>
            </w:tcBorders>
            <w:shd w:val="clear" w:color="auto" w:fill="auto"/>
            <w:tcMar>
              <w:top w:w="11" w:type="dxa"/>
              <w:left w:w="57" w:type="dxa"/>
              <w:bottom w:w="11" w:type="dxa"/>
              <w:right w:w="57" w:type="dxa"/>
            </w:tcMar>
            <w:vAlign w:val="center"/>
          </w:tcPr>
          <w:p w14:paraId="5521F490">
            <w:pPr>
              <w:pStyle w:val="182"/>
              <w:bidi w:val="0"/>
              <w:ind w:firstLine="0" w:firstLineChars="0"/>
              <w:rPr>
                <w:rFonts w:hint="eastAsia"/>
                <w:b w:val="0"/>
                <w:bCs w:val="0"/>
                <w:color w:val="auto"/>
                <w:highlight w:val="none"/>
                <w:u w:val="none"/>
                <w:lang w:val="en-US" w:eastAsia="zh-CN"/>
              </w:rPr>
            </w:pPr>
            <w:r>
              <w:rPr>
                <w:rFonts w:hint="eastAsia"/>
                <w:b w:val="0"/>
                <w:bCs w:val="0"/>
                <w:color w:val="auto"/>
                <w:u w:val="none"/>
                <w:lang w:val="en-US" w:eastAsia="zh-CN"/>
              </w:rPr>
              <w:t>17kg/h</w:t>
            </w:r>
            <w:r>
              <w:rPr>
                <w:rFonts w:hint="eastAsia"/>
                <w:b w:val="0"/>
                <w:bCs w:val="0"/>
                <w:color w:val="auto"/>
                <w:u w:val="none"/>
                <w:vertAlign w:val="baseline"/>
                <w:lang w:eastAsia="zh-CN"/>
              </w:rPr>
              <w:t>（</w:t>
            </w:r>
            <w:r>
              <w:rPr>
                <w:rFonts w:hint="eastAsia"/>
                <w:b w:val="0"/>
                <w:bCs w:val="0"/>
                <w:color w:val="auto"/>
                <w:u w:val="none"/>
                <w:lang w:val="en-US" w:eastAsia="zh-CN"/>
              </w:rPr>
              <w:t>20m</w:t>
            </w:r>
            <w:r>
              <w:rPr>
                <w:rFonts w:hint="eastAsia"/>
                <w:b w:val="0"/>
                <w:bCs w:val="0"/>
                <w:color w:val="auto"/>
                <w:u w:val="none"/>
                <w:vertAlign w:val="baseline"/>
                <w:lang w:eastAsia="zh-CN"/>
              </w:rPr>
              <w:t>）</w:t>
            </w:r>
          </w:p>
        </w:tc>
      </w:tr>
      <w:tr w14:paraId="29EBC24C">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restart"/>
            <w:shd w:val="clear" w:color="auto" w:fill="auto"/>
            <w:vAlign w:val="center"/>
          </w:tcPr>
          <w:p w14:paraId="174BB83F">
            <w:pPr>
              <w:pStyle w:val="182"/>
              <w:bidi w:val="0"/>
              <w:rPr>
                <w:b w:val="0"/>
                <w:bCs w:val="0"/>
                <w:color w:val="auto"/>
                <w:u w:val="none"/>
              </w:rPr>
            </w:pPr>
            <w:r>
              <w:rPr>
                <w:b w:val="0"/>
                <w:bCs w:val="0"/>
                <w:color w:val="auto"/>
                <w:u w:val="none"/>
              </w:rPr>
              <w:t>水污染物</w:t>
            </w:r>
          </w:p>
        </w:tc>
        <w:tc>
          <w:tcPr>
            <w:tcW w:w="1418" w:type="pct"/>
            <w:vMerge w:val="restart"/>
            <w:shd w:val="clear" w:color="auto" w:fill="auto"/>
            <w:vAlign w:val="center"/>
          </w:tcPr>
          <w:p w14:paraId="72DE302D">
            <w:pPr>
              <w:pStyle w:val="182"/>
              <w:bidi w:val="0"/>
              <w:rPr>
                <w:rFonts w:hint="eastAsia"/>
                <w:b w:val="0"/>
                <w:bCs w:val="0"/>
                <w:color w:val="auto"/>
                <w:u w:val="none"/>
              </w:rPr>
            </w:pPr>
            <w:r>
              <w:rPr>
                <w:rFonts w:hint="eastAsia"/>
                <w:b w:val="0"/>
                <w:bCs w:val="0"/>
                <w:color w:val="auto"/>
                <w:u w:val="none"/>
              </w:rPr>
              <w:t>《污水综合排放标准》（GB8978-1996）表4</w:t>
            </w:r>
            <w:r>
              <w:rPr>
                <w:rFonts w:hint="eastAsia"/>
                <w:b w:val="0"/>
                <w:bCs w:val="0"/>
                <w:color w:val="auto"/>
                <w:u w:val="none"/>
                <w:lang w:val="en-US" w:eastAsia="zh-CN"/>
              </w:rPr>
              <w:t>二级</w:t>
            </w:r>
          </w:p>
        </w:tc>
        <w:tc>
          <w:tcPr>
            <w:tcW w:w="692" w:type="pct"/>
            <w:vMerge w:val="restart"/>
            <w:shd w:val="clear" w:color="auto" w:fill="auto"/>
            <w:vAlign w:val="center"/>
          </w:tcPr>
          <w:p w14:paraId="0212EFF9">
            <w:pPr>
              <w:pStyle w:val="182"/>
              <w:bidi w:val="0"/>
              <w:rPr>
                <w:rFonts w:hint="eastAsia"/>
                <w:b w:val="0"/>
                <w:bCs w:val="0"/>
                <w:color w:val="auto"/>
                <w:u w:val="none"/>
                <w:lang w:val="en-US" w:eastAsia="zh-CN"/>
              </w:rPr>
            </w:pPr>
            <w:r>
              <w:rPr>
                <w:rFonts w:hint="eastAsia"/>
                <w:b w:val="0"/>
                <w:bCs w:val="0"/>
                <w:color w:val="auto"/>
                <w:u w:val="none"/>
                <w:lang w:val="en-US" w:eastAsia="zh-CN"/>
              </w:rPr>
              <w:t>化纤浆粕工业</w:t>
            </w:r>
          </w:p>
        </w:tc>
        <w:tc>
          <w:tcPr>
            <w:tcW w:w="716" w:type="pct"/>
            <w:shd w:val="clear" w:color="auto" w:fill="auto"/>
            <w:tcMar>
              <w:top w:w="11" w:type="dxa"/>
              <w:left w:w="57" w:type="dxa"/>
              <w:bottom w:w="11" w:type="dxa"/>
              <w:right w:w="57" w:type="dxa"/>
            </w:tcMar>
            <w:vAlign w:val="center"/>
          </w:tcPr>
          <w:p w14:paraId="36F47E39">
            <w:pPr>
              <w:pStyle w:val="182"/>
              <w:bidi w:val="0"/>
              <w:ind w:firstLine="0" w:firstLineChars="0"/>
              <w:rPr>
                <w:rFonts w:hint="eastAsia" w:ascii="Times New Roman" w:hAnsi="Times New Roman" w:eastAsia="宋体" w:cs="Times New Roman"/>
                <w:b w:val="0"/>
                <w:bCs w:val="0"/>
                <w:color w:val="auto"/>
                <w:kern w:val="2"/>
                <w:sz w:val="21"/>
                <w:szCs w:val="21"/>
                <w:u w:val="none"/>
                <w:lang w:val="en-US" w:eastAsia="zh-CN" w:bidi="ar-SA"/>
              </w:rPr>
            </w:pPr>
            <w:r>
              <w:rPr>
                <w:rFonts w:hint="eastAsia"/>
                <w:b w:val="0"/>
                <w:bCs w:val="0"/>
                <w:color w:val="auto"/>
                <w:u w:val="none"/>
              </w:rPr>
              <w:t>COD</w:t>
            </w:r>
          </w:p>
        </w:tc>
        <w:tc>
          <w:tcPr>
            <w:tcW w:w="1650" w:type="pct"/>
            <w:shd w:val="clear" w:color="auto" w:fill="auto"/>
            <w:tcMar>
              <w:top w:w="11" w:type="dxa"/>
              <w:left w:w="57" w:type="dxa"/>
              <w:bottom w:w="11" w:type="dxa"/>
              <w:right w:w="57" w:type="dxa"/>
            </w:tcMar>
            <w:vAlign w:val="center"/>
          </w:tcPr>
          <w:p w14:paraId="5950F9DF">
            <w:pPr>
              <w:pStyle w:val="182"/>
              <w:bidi w:val="0"/>
              <w:ind w:firstLine="0" w:firstLineChars="0"/>
              <w:rPr>
                <w:rFonts w:hint="eastAsia" w:ascii="Times New Roman" w:hAnsi="Times New Roman" w:eastAsia="宋体" w:cs="Times New Roman"/>
                <w:b w:val="0"/>
                <w:bCs w:val="0"/>
                <w:color w:val="auto"/>
                <w:kern w:val="2"/>
                <w:sz w:val="21"/>
                <w:szCs w:val="21"/>
                <w:u w:val="none"/>
                <w:lang w:val="en-US" w:eastAsia="zh-CN" w:bidi="ar-SA"/>
              </w:rPr>
            </w:pPr>
            <w:r>
              <w:rPr>
                <w:b w:val="0"/>
                <w:bCs w:val="0"/>
                <w:color w:val="auto"/>
                <w:u w:val="none"/>
              </w:rPr>
              <w:t>300mg</w:t>
            </w:r>
            <w:r>
              <w:rPr>
                <w:rFonts w:hint="eastAsia"/>
                <w:b w:val="0"/>
                <w:bCs w:val="0"/>
                <w:color w:val="auto"/>
                <w:u w:val="none"/>
              </w:rPr>
              <w:t>/L</w:t>
            </w:r>
          </w:p>
        </w:tc>
      </w:tr>
      <w:tr w14:paraId="7955D690">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03BE90DA">
            <w:pPr>
              <w:pStyle w:val="182"/>
              <w:bidi w:val="0"/>
              <w:rPr>
                <w:b w:val="0"/>
                <w:bCs w:val="0"/>
                <w:color w:val="auto"/>
                <w:u w:val="none"/>
              </w:rPr>
            </w:pPr>
          </w:p>
        </w:tc>
        <w:tc>
          <w:tcPr>
            <w:tcW w:w="1418" w:type="pct"/>
            <w:vMerge w:val="continue"/>
            <w:shd w:val="clear" w:color="auto" w:fill="auto"/>
            <w:vAlign w:val="center"/>
          </w:tcPr>
          <w:p w14:paraId="34D24FDB">
            <w:pPr>
              <w:pStyle w:val="182"/>
              <w:bidi w:val="0"/>
              <w:rPr>
                <w:rFonts w:hint="eastAsia"/>
                <w:b w:val="0"/>
                <w:bCs w:val="0"/>
                <w:color w:val="auto"/>
                <w:u w:val="none"/>
              </w:rPr>
            </w:pPr>
          </w:p>
        </w:tc>
        <w:tc>
          <w:tcPr>
            <w:tcW w:w="692" w:type="pct"/>
            <w:vMerge w:val="continue"/>
            <w:shd w:val="clear" w:color="auto" w:fill="auto"/>
            <w:vAlign w:val="center"/>
          </w:tcPr>
          <w:p w14:paraId="3499D50C">
            <w:pPr>
              <w:pStyle w:val="182"/>
              <w:bidi w:val="0"/>
              <w:rPr>
                <w:rFonts w:hint="eastAsia"/>
                <w:b w:val="0"/>
                <w:bCs w:val="0"/>
                <w:color w:val="auto"/>
                <w:u w:val="none"/>
                <w:lang w:val="en-US" w:eastAsia="zh-CN"/>
              </w:rPr>
            </w:pPr>
          </w:p>
        </w:tc>
        <w:tc>
          <w:tcPr>
            <w:tcW w:w="716" w:type="pct"/>
            <w:shd w:val="clear" w:color="auto" w:fill="auto"/>
            <w:tcMar>
              <w:top w:w="11" w:type="dxa"/>
              <w:left w:w="57" w:type="dxa"/>
              <w:bottom w:w="11" w:type="dxa"/>
              <w:right w:w="57" w:type="dxa"/>
            </w:tcMar>
            <w:vAlign w:val="center"/>
          </w:tcPr>
          <w:p w14:paraId="6EA7AC85">
            <w:pPr>
              <w:pStyle w:val="182"/>
              <w:bidi w:val="0"/>
              <w:ind w:firstLine="0" w:firstLineChars="0"/>
              <w:rPr>
                <w:rFonts w:hint="eastAsia" w:ascii="Times New Roman" w:hAnsi="Times New Roman" w:eastAsia="宋体" w:cs="Times New Roman"/>
                <w:b w:val="0"/>
                <w:bCs w:val="0"/>
                <w:color w:val="auto"/>
                <w:kern w:val="2"/>
                <w:sz w:val="21"/>
                <w:szCs w:val="21"/>
                <w:u w:val="none"/>
                <w:lang w:val="en-US" w:eastAsia="zh-CN" w:bidi="ar-SA"/>
              </w:rPr>
            </w:pPr>
            <w:r>
              <w:rPr>
                <w:b w:val="0"/>
                <w:bCs w:val="0"/>
                <w:color w:val="auto"/>
                <w:u w:val="none"/>
              </w:rPr>
              <w:t>BOD</w:t>
            </w:r>
            <w:r>
              <w:rPr>
                <w:b w:val="0"/>
                <w:bCs w:val="0"/>
                <w:color w:val="auto"/>
                <w:u w:val="none"/>
                <w:vertAlign w:val="subscript"/>
              </w:rPr>
              <w:t>5</w:t>
            </w:r>
          </w:p>
        </w:tc>
        <w:tc>
          <w:tcPr>
            <w:tcW w:w="1650" w:type="pct"/>
            <w:shd w:val="clear" w:color="auto" w:fill="auto"/>
            <w:tcMar>
              <w:top w:w="11" w:type="dxa"/>
              <w:left w:w="57" w:type="dxa"/>
              <w:bottom w:w="11" w:type="dxa"/>
              <w:right w:w="57" w:type="dxa"/>
            </w:tcMar>
            <w:vAlign w:val="center"/>
          </w:tcPr>
          <w:p w14:paraId="4B71B1CC">
            <w:pPr>
              <w:pStyle w:val="182"/>
              <w:bidi w:val="0"/>
              <w:ind w:firstLine="0" w:firstLineChars="0"/>
              <w:rPr>
                <w:rFonts w:hint="eastAsia" w:ascii="Times New Roman" w:hAnsi="Times New Roman" w:eastAsia="宋体" w:cs="Times New Roman"/>
                <w:b w:val="0"/>
                <w:bCs w:val="0"/>
                <w:color w:val="auto"/>
                <w:kern w:val="2"/>
                <w:sz w:val="21"/>
                <w:szCs w:val="21"/>
                <w:u w:val="none"/>
                <w:lang w:val="en-US" w:eastAsia="zh-CN" w:bidi="ar-SA"/>
              </w:rPr>
            </w:pPr>
            <w:r>
              <w:rPr>
                <w:rFonts w:hint="eastAsia"/>
                <w:b w:val="0"/>
                <w:bCs w:val="0"/>
                <w:color w:val="auto"/>
                <w:u w:val="none"/>
              </w:rPr>
              <w:t>100</w:t>
            </w:r>
            <w:r>
              <w:rPr>
                <w:b w:val="0"/>
                <w:bCs w:val="0"/>
                <w:color w:val="auto"/>
                <w:u w:val="none"/>
              </w:rPr>
              <w:t>mg/L</w:t>
            </w:r>
          </w:p>
        </w:tc>
      </w:tr>
      <w:tr w14:paraId="29DD2967">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15A0EBD3">
            <w:pPr>
              <w:pStyle w:val="182"/>
              <w:bidi w:val="0"/>
              <w:rPr>
                <w:b w:val="0"/>
                <w:bCs w:val="0"/>
                <w:color w:val="auto"/>
                <w:u w:val="none"/>
              </w:rPr>
            </w:pPr>
          </w:p>
        </w:tc>
        <w:tc>
          <w:tcPr>
            <w:tcW w:w="1418" w:type="pct"/>
            <w:vMerge w:val="continue"/>
            <w:shd w:val="clear" w:color="auto" w:fill="auto"/>
            <w:vAlign w:val="center"/>
          </w:tcPr>
          <w:p w14:paraId="6220867F">
            <w:pPr>
              <w:pStyle w:val="182"/>
              <w:bidi w:val="0"/>
              <w:rPr>
                <w:rFonts w:hint="eastAsia"/>
                <w:b w:val="0"/>
                <w:bCs w:val="0"/>
                <w:color w:val="auto"/>
                <w:u w:val="none"/>
              </w:rPr>
            </w:pPr>
          </w:p>
        </w:tc>
        <w:tc>
          <w:tcPr>
            <w:tcW w:w="692" w:type="pct"/>
            <w:shd w:val="clear" w:color="auto" w:fill="auto"/>
            <w:vAlign w:val="center"/>
          </w:tcPr>
          <w:p w14:paraId="37880626">
            <w:pPr>
              <w:pStyle w:val="182"/>
              <w:bidi w:val="0"/>
              <w:rPr>
                <w:rFonts w:hint="eastAsia"/>
                <w:b w:val="0"/>
                <w:bCs w:val="0"/>
                <w:color w:val="auto"/>
                <w:u w:val="none"/>
                <w:lang w:val="en-US" w:eastAsia="zh-CN"/>
              </w:rPr>
            </w:pPr>
            <w:r>
              <w:rPr>
                <w:rFonts w:hint="eastAsia"/>
                <w:b w:val="0"/>
                <w:bCs w:val="0"/>
                <w:color w:val="auto"/>
                <w:u w:val="none"/>
                <w:lang w:val="en-US" w:eastAsia="zh-CN"/>
              </w:rPr>
              <w:t>其他排污单位</w:t>
            </w:r>
          </w:p>
        </w:tc>
        <w:tc>
          <w:tcPr>
            <w:tcW w:w="716" w:type="pct"/>
            <w:shd w:val="clear" w:color="auto" w:fill="auto"/>
            <w:tcMar>
              <w:top w:w="11" w:type="dxa"/>
              <w:left w:w="57" w:type="dxa"/>
              <w:bottom w:w="11" w:type="dxa"/>
              <w:right w:w="57" w:type="dxa"/>
            </w:tcMar>
            <w:vAlign w:val="center"/>
          </w:tcPr>
          <w:p w14:paraId="48DB1C18">
            <w:pPr>
              <w:pStyle w:val="182"/>
              <w:bidi w:val="0"/>
              <w:ind w:firstLine="0" w:firstLineChars="0"/>
              <w:rPr>
                <w:rFonts w:hint="eastAsia" w:ascii="Times New Roman" w:hAnsi="Times New Roman" w:eastAsia="宋体" w:cs="Times New Roman"/>
                <w:b w:val="0"/>
                <w:bCs w:val="0"/>
                <w:color w:val="auto"/>
                <w:kern w:val="2"/>
                <w:sz w:val="21"/>
                <w:szCs w:val="21"/>
                <w:u w:val="none"/>
                <w:lang w:val="en-US" w:eastAsia="zh-CN" w:bidi="ar-SA"/>
              </w:rPr>
            </w:pPr>
            <w:r>
              <w:rPr>
                <w:b w:val="0"/>
                <w:bCs w:val="0"/>
                <w:color w:val="auto"/>
                <w:u w:val="none"/>
              </w:rPr>
              <w:t>SS</w:t>
            </w:r>
          </w:p>
        </w:tc>
        <w:tc>
          <w:tcPr>
            <w:tcW w:w="1650" w:type="pct"/>
            <w:shd w:val="clear" w:color="auto" w:fill="auto"/>
            <w:tcMar>
              <w:top w:w="11" w:type="dxa"/>
              <w:left w:w="57" w:type="dxa"/>
              <w:bottom w:w="11" w:type="dxa"/>
              <w:right w:w="57" w:type="dxa"/>
            </w:tcMar>
            <w:vAlign w:val="center"/>
          </w:tcPr>
          <w:p w14:paraId="19431306">
            <w:pPr>
              <w:pStyle w:val="182"/>
              <w:bidi w:val="0"/>
              <w:ind w:firstLine="0" w:firstLineChars="0"/>
              <w:rPr>
                <w:rFonts w:hint="eastAsia" w:ascii="Times New Roman" w:hAnsi="Times New Roman" w:eastAsia="宋体" w:cs="Times New Roman"/>
                <w:b w:val="0"/>
                <w:bCs w:val="0"/>
                <w:color w:val="auto"/>
                <w:kern w:val="2"/>
                <w:sz w:val="21"/>
                <w:szCs w:val="21"/>
                <w:u w:val="none"/>
                <w:lang w:val="en-US" w:eastAsia="zh-CN" w:bidi="ar-SA"/>
              </w:rPr>
            </w:pPr>
            <w:r>
              <w:rPr>
                <w:rFonts w:hint="eastAsia"/>
                <w:b w:val="0"/>
                <w:bCs w:val="0"/>
                <w:color w:val="auto"/>
                <w:u w:val="none"/>
              </w:rPr>
              <w:t>150</w:t>
            </w:r>
            <w:r>
              <w:rPr>
                <w:b w:val="0"/>
                <w:bCs w:val="0"/>
                <w:color w:val="auto"/>
                <w:u w:val="none"/>
              </w:rPr>
              <w:t>mg/L</w:t>
            </w:r>
          </w:p>
        </w:tc>
      </w:tr>
      <w:tr w14:paraId="5D80F87B">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3974099D">
            <w:pPr>
              <w:pStyle w:val="182"/>
              <w:bidi w:val="0"/>
              <w:rPr>
                <w:b w:val="0"/>
                <w:bCs w:val="0"/>
                <w:color w:val="auto"/>
                <w:u w:val="none"/>
              </w:rPr>
            </w:pPr>
          </w:p>
        </w:tc>
        <w:tc>
          <w:tcPr>
            <w:tcW w:w="1418" w:type="pct"/>
            <w:vMerge w:val="continue"/>
            <w:shd w:val="clear" w:color="auto" w:fill="auto"/>
            <w:vAlign w:val="center"/>
          </w:tcPr>
          <w:p w14:paraId="57A262CE">
            <w:pPr>
              <w:pStyle w:val="182"/>
              <w:bidi w:val="0"/>
              <w:rPr>
                <w:rFonts w:hint="eastAsia"/>
                <w:b w:val="0"/>
                <w:bCs w:val="0"/>
                <w:color w:val="auto"/>
                <w:u w:val="none"/>
              </w:rPr>
            </w:pPr>
          </w:p>
        </w:tc>
        <w:tc>
          <w:tcPr>
            <w:tcW w:w="692" w:type="pct"/>
            <w:vMerge w:val="restart"/>
            <w:shd w:val="clear" w:color="auto" w:fill="auto"/>
            <w:vAlign w:val="center"/>
          </w:tcPr>
          <w:p w14:paraId="7D6B9455">
            <w:pPr>
              <w:pStyle w:val="182"/>
              <w:bidi w:val="0"/>
              <w:rPr>
                <w:rFonts w:hint="eastAsia"/>
                <w:b w:val="0"/>
                <w:bCs w:val="0"/>
                <w:color w:val="auto"/>
                <w:u w:val="none"/>
                <w:lang w:val="en-US" w:eastAsia="zh-CN"/>
              </w:rPr>
            </w:pPr>
            <w:r>
              <w:rPr>
                <w:rFonts w:hint="eastAsia"/>
                <w:b w:val="0"/>
                <w:bCs w:val="0"/>
                <w:color w:val="auto"/>
                <w:u w:val="none"/>
                <w:lang w:val="en-US" w:eastAsia="zh-CN"/>
              </w:rPr>
              <w:t>一切排污单位</w:t>
            </w:r>
          </w:p>
        </w:tc>
        <w:tc>
          <w:tcPr>
            <w:tcW w:w="716" w:type="pct"/>
            <w:shd w:val="clear" w:color="auto" w:fill="auto"/>
            <w:tcMar>
              <w:top w:w="11" w:type="dxa"/>
              <w:left w:w="57" w:type="dxa"/>
              <w:bottom w:w="11" w:type="dxa"/>
              <w:right w:w="57" w:type="dxa"/>
            </w:tcMar>
            <w:vAlign w:val="center"/>
          </w:tcPr>
          <w:p w14:paraId="4BED5F61">
            <w:pPr>
              <w:pStyle w:val="182"/>
              <w:bidi w:val="0"/>
              <w:ind w:firstLine="0" w:firstLineChars="0"/>
              <w:rPr>
                <w:rFonts w:hint="eastAsia" w:ascii="Times New Roman" w:hAnsi="Times New Roman" w:eastAsia="宋体" w:cs="Times New Roman"/>
                <w:b w:val="0"/>
                <w:bCs w:val="0"/>
                <w:color w:val="auto"/>
                <w:kern w:val="2"/>
                <w:sz w:val="21"/>
                <w:szCs w:val="21"/>
                <w:u w:val="none"/>
                <w:lang w:val="en-US" w:eastAsia="zh-CN" w:bidi="ar-SA"/>
              </w:rPr>
            </w:pPr>
            <w:r>
              <w:rPr>
                <w:b w:val="0"/>
                <w:bCs w:val="0"/>
                <w:color w:val="auto"/>
                <w:u w:val="none"/>
              </w:rPr>
              <w:t>pH</w:t>
            </w:r>
          </w:p>
        </w:tc>
        <w:tc>
          <w:tcPr>
            <w:tcW w:w="1650" w:type="pct"/>
            <w:shd w:val="clear" w:color="auto" w:fill="auto"/>
            <w:tcMar>
              <w:top w:w="11" w:type="dxa"/>
              <w:left w:w="57" w:type="dxa"/>
              <w:bottom w:w="11" w:type="dxa"/>
              <w:right w:w="57" w:type="dxa"/>
            </w:tcMar>
            <w:vAlign w:val="center"/>
          </w:tcPr>
          <w:p w14:paraId="0C3E9BAC">
            <w:pPr>
              <w:pStyle w:val="182"/>
              <w:bidi w:val="0"/>
              <w:ind w:firstLine="0" w:firstLineChars="0"/>
              <w:rPr>
                <w:rFonts w:hint="eastAsia" w:ascii="Times New Roman" w:hAnsi="Times New Roman" w:eastAsia="宋体" w:cs="Times New Roman"/>
                <w:b w:val="0"/>
                <w:bCs w:val="0"/>
                <w:color w:val="auto"/>
                <w:kern w:val="2"/>
                <w:sz w:val="21"/>
                <w:szCs w:val="21"/>
                <w:u w:val="none"/>
                <w:lang w:val="en-US" w:eastAsia="zh-CN" w:bidi="ar-SA"/>
              </w:rPr>
            </w:pPr>
            <w:r>
              <w:rPr>
                <w:b w:val="0"/>
                <w:bCs w:val="0"/>
                <w:color w:val="auto"/>
                <w:u w:val="none"/>
              </w:rPr>
              <w:t>6～9</w:t>
            </w:r>
          </w:p>
        </w:tc>
      </w:tr>
      <w:tr w14:paraId="29618AFF">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34263DE5">
            <w:pPr>
              <w:pStyle w:val="182"/>
              <w:bidi w:val="0"/>
              <w:rPr>
                <w:b w:val="0"/>
                <w:bCs w:val="0"/>
                <w:color w:val="auto"/>
                <w:u w:val="none"/>
              </w:rPr>
            </w:pPr>
          </w:p>
        </w:tc>
        <w:tc>
          <w:tcPr>
            <w:tcW w:w="1418" w:type="pct"/>
            <w:vMerge w:val="continue"/>
            <w:shd w:val="clear" w:color="auto" w:fill="auto"/>
            <w:vAlign w:val="center"/>
          </w:tcPr>
          <w:p w14:paraId="7B498DE7">
            <w:pPr>
              <w:pStyle w:val="182"/>
              <w:bidi w:val="0"/>
              <w:rPr>
                <w:rFonts w:hint="eastAsia"/>
                <w:b w:val="0"/>
                <w:bCs w:val="0"/>
                <w:color w:val="auto"/>
                <w:u w:val="none"/>
              </w:rPr>
            </w:pPr>
          </w:p>
        </w:tc>
        <w:tc>
          <w:tcPr>
            <w:tcW w:w="692" w:type="pct"/>
            <w:vMerge w:val="continue"/>
            <w:shd w:val="clear" w:color="auto" w:fill="auto"/>
            <w:vAlign w:val="center"/>
          </w:tcPr>
          <w:p w14:paraId="166C89D2">
            <w:pPr>
              <w:pStyle w:val="182"/>
              <w:bidi w:val="0"/>
              <w:rPr>
                <w:rFonts w:hint="eastAsia"/>
                <w:b w:val="0"/>
                <w:bCs w:val="0"/>
                <w:color w:val="auto"/>
                <w:u w:val="none"/>
                <w:lang w:val="en-US" w:eastAsia="zh-CN"/>
              </w:rPr>
            </w:pPr>
          </w:p>
        </w:tc>
        <w:tc>
          <w:tcPr>
            <w:tcW w:w="716" w:type="pct"/>
            <w:shd w:val="clear" w:color="auto" w:fill="auto"/>
            <w:tcMar>
              <w:top w:w="11" w:type="dxa"/>
              <w:left w:w="57" w:type="dxa"/>
              <w:bottom w:w="11" w:type="dxa"/>
              <w:right w:w="57" w:type="dxa"/>
            </w:tcMar>
            <w:vAlign w:val="center"/>
          </w:tcPr>
          <w:p w14:paraId="4A59CBFC">
            <w:pPr>
              <w:pStyle w:val="182"/>
              <w:bidi w:val="0"/>
              <w:ind w:firstLine="0" w:firstLineChars="0"/>
              <w:rPr>
                <w:rFonts w:hint="eastAsia" w:ascii="Times New Roman" w:hAnsi="Times New Roman" w:eastAsia="宋体" w:cs="Times New Roman"/>
                <w:b w:val="0"/>
                <w:bCs w:val="0"/>
                <w:color w:val="auto"/>
                <w:kern w:val="2"/>
                <w:sz w:val="21"/>
                <w:szCs w:val="21"/>
                <w:u w:val="none"/>
                <w:lang w:val="en-US" w:eastAsia="zh-CN" w:bidi="ar-SA"/>
              </w:rPr>
            </w:pPr>
            <w:r>
              <w:rPr>
                <w:rFonts w:hint="eastAsia"/>
                <w:b w:val="0"/>
                <w:bCs w:val="0"/>
                <w:color w:val="auto"/>
                <w:u w:val="none"/>
              </w:rPr>
              <w:t>TP</w:t>
            </w:r>
          </w:p>
        </w:tc>
        <w:tc>
          <w:tcPr>
            <w:tcW w:w="1650" w:type="pct"/>
            <w:shd w:val="clear" w:color="auto" w:fill="auto"/>
            <w:tcMar>
              <w:top w:w="11" w:type="dxa"/>
              <w:left w:w="57" w:type="dxa"/>
              <w:bottom w:w="11" w:type="dxa"/>
              <w:right w:w="57" w:type="dxa"/>
            </w:tcMar>
            <w:vAlign w:val="center"/>
          </w:tcPr>
          <w:p w14:paraId="39A2C1FD">
            <w:pPr>
              <w:pStyle w:val="182"/>
              <w:bidi w:val="0"/>
              <w:ind w:firstLine="0" w:firstLineChars="0"/>
              <w:rPr>
                <w:rFonts w:hint="eastAsia" w:ascii="Times New Roman" w:hAnsi="Times New Roman" w:eastAsia="宋体" w:cs="Times New Roman"/>
                <w:b w:val="0"/>
                <w:bCs w:val="0"/>
                <w:color w:val="auto"/>
                <w:kern w:val="2"/>
                <w:sz w:val="21"/>
                <w:szCs w:val="21"/>
                <w:u w:val="none"/>
                <w:lang w:val="en-US" w:eastAsia="zh-CN" w:bidi="ar-SA"/>
              </w:rPr>
            </w:pPr>
            <w:r>
              <w:rPr>
                <w:rFonts w:hint="eastAsia"/>
                <w:b w:val="0"/>
                <w:bCs w:val="0"/>
                <w:color w:val="auto"/>
                <w:u w:val="none"/>
                <w:lang w:val="en-US" w:eastAsia="zh-CN"/>
              </w:rPr>
              <w:t>1</w:t>
            </w:r>
            <w:r>
              <w:rPr>
                <w:rFonts w:hint="eastAsia"/>
                <w:b w:val="0"/>
                <w:bCs w:val="0"/>
                <w:color w:val="auto"/>
                <w:u w:val="none"/>
              </w:rPr>
              <w:t>.0</w:t>
            </w:r>
            <w:r>
              <w:rPr>
                <w:b w:val="0"/>
                <w:bCs w:val="0"/>
                <w:color w:val="auto"/>
                <w:u w:val="none"/>
              </w:rPr>
              <w:t>mg/L</w:t>
            </w:r>
          </w:p>
        </w:tc>
      </w:tr>
      <w:tr w14:paraId="3870F752">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2EB2BC78">
            <w:pPr>
              <w:pStyle w:val="182"/>
              <w:bidi w:val="0"/>
              <w:rPr>
                <w:b w:val="0"/>
                <w:bCs w:val="0"/>
                <w:color w:val="auto"/>
                <w:u w:val="none"/>
              </w:rPr>
            </w:pPr>
          </w:p>
        </w:tc>
        <w:tc>
          <w:tcPr>
            <w:tcW w:w="2110" w:type="pct"/>
            <w:gridSpan w:val="2"/>
            <w:vMerge w:val="restart"/>
            <w:shd w:val="clear" w:color="auto" w:fill="auto"/>
            <w:vAlign w:val="center"/>
          </w:tcPr>
          <w:p w14:paraId="30A9ED5A">
            <w:pPr>
              <w:pStyle w:val="182"/>
              <w:bidi w:val="0"/>
              <w:ind w:firstLine="0" w:firstLineChars="0"/>
              <w:rPr>
                <w:rFonts w:ascii="Times New Roman" w:hAnsi="Times New Roman" w:eastAsia="宋体" w:cs="Times New Roman"/>
                <w:b w:val="0"/>
                <w:bCs w:val="0"/>
                <w:color w:val="auto"/>
                <w:kern w:val="2"/>
                <w:sz w:val="21"/>
                <w:szCs w:val="21"/>
                <w:u w:val="none"/>
                <w:lang w:val="en-US" w:eastAsia="zh-CN" w:bidi="ar-SA"/>
              </w:rPr>
            </w:pPr>
            <w:r>
              <w:rPr>
                <w:rFonts w:hint="eastAsia"/>
                <w:color w:val="auto"/>
              </w:rPr>
              <w:t>小店污水处理厂收水协议</w:t>
            </w:r>
          </w:p>
        </w:tc>
        <w:tc>
          <w:tcPr>
            <w:tcW w:w="716" w:type="pct"/>
            <w:shd w:val="clear" w:color="auto" w:fill="auto"/>
            <w:tcMar>
              <w:top w:w="11" w:type="dxa"/>
              <w:left w:w="57" w:type="dxa"/>
              <w:bottom w:w="11" w:type="dxa"/>
              <w:right w:w="57" w:type="dxa"/>
            </w:tcMar>
            <w:vAlign w:val="center"/>
          </w:tcPr>
          <w:p w14:paraId="5FBE4FFA">
            <w:pPr>
              <w:pStyle w:val="182"/>
              <w:bidi w:val="0"/>
              <w:ind w:firstLine="0" w:firstLineChars="0"/>
              <w:rPr>
                <w:rFonts w:hint="eastAsia" w:ascii="Times New Roman" w:hAnsi="Times New Roman" w:eastAsia="宋体" w:cs="Times New Roman"/>
                <w:b w:val="0"/>
                <w:bCs w:val="0"/>
                <w:color w:val="auto"/>
                <w:kern w:val="2"/>
                <w:sz w:val="21"/>
                <w:szCs w:val="21"/>
                <w:u w:val="none"/>
                <w:lang w:val="en-US" w:eastAsia="zh-CN" w:bidi="ar-SA"/>
              </w:rPr>
            </w:pPr>
            <w:r>
              <w:rPr>
                <w:rFonts w:hint="eastAsia"/>
                <w:b w:val="0"/>
                <w:bCs w:val="0"/>
                <w:color w:val="auto"/>
                <w:u w:val="none"/>
              </w:rPr>
              <w:t>COD</w:t>
            </w:r>
          </w:p>
        </w:tc>
        <w:tc>
          <w:tcPr>
            <w:tcW w:w="1650" w:type="pct"/>
            <w:shd w:val="clear" w:color="auto" w:fill="auto"/>
            <w:tcMar>
              <w:top w:w="11" w:type="dxa"/>
              <w:left w:w="57" w:type="dxa"/>
              <w:bottom w:w="11" w:type="dxa"/>
              <w:right w:w="57" w:type="dxa"/>
            </w:tcMar>
            <w:vAlign w:val="center"/>
          </w:tcPr>
          <w:p w14:paraId="4B196A7B">
            <w:pPr>
              <w:pStyle w:val="182"/>
              <w:bidi w:val="0"/>
              <w:ind w:firstLine="0" w:firstLineChars="0"/>
              <w:rPr>
                <w:rFonts w:hint="eastAsia" w:ascii="Times New Roman" w:hAnsi="Times New Roman" w:eastAsia="宋体" w:cs="Times New Roman"/>
                <w:b w:val="0"/>
                <w:bCs w:val="0"/>
                <w:color w:val="auto"/>
                <w:kern w:val="2"/>
                <w:sz w:val="21"/>
                <w:szCs w:val="21"/>
                <w:u w:val="none"/>
                <w:lang w:val="en-US" w:eastAsia="zh-CN" w:bidi="ar-SA"/>
              </w:rPr>
            </w:pPr>
            <w:r>
              <w:rPr>
                <w:rFonts w:hint="eastAsia"/>
                <w:b w:val="0"/>
                <w:bCs w:val="0"/>
                <w:color w:val="auto"/>
                <w:u w:val="none"/>
                <w:lang w:val="en-US" w:eastAsia="zh-CN"/>
              </w:rPr>
              <w:t>300</w:t>
            </w:r>
            <w:r>
              <w:rPr>
                <w:b w:val="0"/>
                <w:bCs w:val="0"/>
                <w:color w:val="auto"/>
                <w:u w:val="none"/>
              </w:rPr>
              <w:t>mg/L</w:t>
            </w:r>
          </w:p>
        </w:tc>
      </w:tr>
      <w:tr w14:paraId="1D3387F8">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6BC370A7">
            <w:pPr>
              <w:pStyle w:val="182"/>
              <w:bidi w:val="0"/>
              <w:rPr>
                <w:b w:val="0"/>
                <w:bCs w:val="0"/>
                <w:color w:val="auto"/>
                <w:u w:val="none"/>
              </w:rPr>
            </w:pPr>
          </w:p>
        </w:tc>
        <w:tc>
          <w:tcPr>
            <w:tcW w:w="2110" w:type="pct"/>
            <w:gridSpan w:val="2"/>
            <w:vMerge w:val="continue"/>
            <w:tcBorders>
              <w:bottom w:val="single" w:color="auto" w:sz="4" w:space="0"/>
            </w:tcBorders>
            <w:shd w:val="clear" w:color="auto" w:fill="auto"/>
            <w:vAlign w:val="center"/>
          </w:tcPr>
          <w:p w14:paraId="12C19B4C">
            <w:pPr>
              <w:pStyle w:val="182"/>
              <w:bidi w:val="0"/>
              <w:ind w:firstLine="0" w:firstLineChars="0"/>
              <w:rPr>
                <w:rFonts w:ascii="Times New Roman" w:hAnsi="Times New Roman" w:eastAsia="宋体" w:cs="Times New Roman"/>
                <w:b w:val="0"/>
                <w:bCs w:val="0"/>
                <w:color w:val="auto"/>
                <w:kern w:val="2"/>
                <w:sz w:val="21"/>
                <w:szCs w:val="21"/>
                <w:u w:val="none"/>
                <w:lang w:val="en-US" w:eastAsia="zh-CN" w:bidi="ar-SA"/>
              </w:rPr>
            </w:pPr>
          </w:p>
        </w:tc>
        <w:tc>
          <w:tcPr>
            <w:tcW w:w="1206" w:type="dxa"/>
            <w:shd w:val="clear" w:color="auto" w:fill="auto"/>
            <w:tcMar>
              <w:top w:w="11" w:type="dxa"/>
              <w:left w:w="57" w:type="dxa"/>
              <w:bottom w:w="11" w:type="dxa"/>
              <w:right w:w="57" w:type="dxa"/>
            </w:tcMar>
            <w:vAlign w:val="center"/>
          </w:tcPr>
          <w:p w14:paraId="614D56D5">
            <w:pPr>
              <w:pStyle w:val="182"/>
              <w:bidi w:val="0"/>
              <w:ind w:firstLine="0" w:firstLineChars="0"/>
              <w:rPr>
                <w:rFonts w:ascii="Times New Roman" w:hAnsi="Times New Roman" w:eastAsia="宋体" w:cs="Times New Roman"/>
                <w:b w:val="0"/>
                <w:bCs w:val="0"/>
                <w:color w:val="auto"/>
                <w:kern w:val="2"/>
                <w:sz w:val="21"/>
                <w:szCs w:val="21"/>
                <w:u w:val="none"/>
                <w:lang w:val="en-US" w:eastAsia="zh-CN" w:bidi="ar-SA"/>
              </w:rPr>
            </w:pPr>
            <w:r>
              <w:rPr>
                <w:b w:val="0"/>
                <w:bCs w:val="0"/>
                <w:color w:val="auto"/>
                <w:u w:val="none"/>
              </w:rPr>
              <w:t>NH</w:t>
            </w:r>
            <w:r>
              <w:rPr>
                <w:b w:val="0"/>
                <w:bCs w:val="0"/>
                <w:color w:val="auto"/>
                <w:u w:val="none"/>
                <w:vertAlign w:val="subscript"/>
              </w:rPr>
              <w:t>3</w:t>
            </w:r>
            <w:r>
              <w:rPr>
                <w:b w:val="0"/>
                <w:bCs w:val="0"/>
                <w:color w:val="auto"/>
                <w:u w:val="none"/>
              </w:rPr>
              <w:t>-N</w:t>
            </w:r>
          </w:p>
        </w:tc>
        <w:tc>
          <w:tcPr>
            <w:tcW w:w="2779" w:type="dxa"/>
            <w:shd w:val="clear" w:color="auto" w:fill="auto"/>
            <w:tcMar>
              <w:top w:w="11" w:type="dxa"/>
              <w:left w:w="57" w:type="dxa"/>
              <w:bottom w:w="11" w:type="dxa"/>
              <w:right w:w="57" w:type="dxa"/>
            </w:tcMar>
            <w:vAlign w:val="center"/>
          </w:tcPr>
          <w:p w14:paraId="4E81858F">
            <w:pPr>
              <w:pStyle w:val="182"/>
              <w:bidi w:val="0"/>
              <w:ind w:firstLine="0" w:firstLineChars="0"/>
              <w:rPr>
                <w:rFonts w:ascii="Times New Roman" w:hAnsi="Times New Roman" w:eastAsia="宋体" w:cs="Times New Roman"/>
                <w:b w:val="0"/>
                <w:bCs w:val="0"/>
                <w:color w:val="auto"/>
                <w:kern w:val="2"/>
                <w:sz w:val="21"/>
                <w:szCs w:val="21"/>
                <w:u w:val="none"/>
                <w:lang w:val="en-US" w:eastAsia="zh-CN" w:bidi="ar-SA"/>
              </w:rPr>
            </w:pPr>
            <w:r>
              <w:rPr>
                <w:rFonts w:hint="eastAsia"/>
                <w:b w:val="0"/>
                <w:bCs w:val="0"/>
                <w:color w:val="auto"/>
                <w:u w:val="none"/>
              </w:rPr>
              <w:t>15</w:t>
            </w:r>
            <w:r>
              <w:rPr>
                <w:b w:val="0"/>
                <w:bCs w:val="0"/>
                <w:color w:val="auto"/>
                <w:u w:val="none"/>
              </w:rPr>
              <w:t>mg/L</w:t>
            </w:r>
          </w:p>
        </w:tc>
      </w:tr>
      <w:tr w14:paraId="0AE87233">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50937482">
            <w:pPr>
              <w:pStyle w:val="182"/>
              <w:bidi w:val="0"/>
              <w:rPr>
                <w:b w:val="0"/>
                <w:bCs w:val="0"/>
                <w:color w:val="auto"/>
                <w:u w:val="none"/>
              </w:rPr>
            </w:pPr>
          </w:p>
        </w:tc>
        <w:tc>
          <w:tcPr>
            <w:tcW w:w="3554" w:type="dxa"/>
            <w:gridSpan w:val="2"/>
            <w:vMerge w:val="restart"/>
            <w:shd w:val="clear" w:color="auto" w:fill="auto"/>
            <w:vAlign w:val="center"/>
          </w:tcPr>
          <w:p w14:paraId="761E1F71">
            <w:pPr>
              <w:pStyle w:val="182"/>
              <w:ind w:firstLine="0" w:firstLineChars="0"/>
              <w:rPr>
                <w:rFonts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cs="Times New Roman"/>
                <w:b/>
                <w:bCs/>
                <w:color w:val="auto"/>
                <w:lang w:val="en-US" w:eastAsia="zh-CN"/>
              </w:rPr>
              <w:t>小店污水处理厂收水标准</w:t>
            </w:r>
          </w:p>
        </w:tc>
        <w:tc>
          <w:tcPr>
            <w:tcW w:w="1206" w:type="dxa"/>
            <w:shd w:val="clear" w:color="auto" w:fill="auto"/>
            <w:tcMar>
              <w:top w:w="11" w:type="dxa"/>
              <w:left w:w="57" w:type="dxa"/>
              <w:bottom w:w="11" w:type="dxa"/>
              <w:right w:w="57" w:type="dxa"/>
            </w:tcMar>
            <w:vAlign w:val="center"/>
          </w:tcPr>
          <w:p w14:paraId="4310BAAA">
            <w:pPr>
              <w:pStyle w:val="182"/>
              <w:ind w:firstLine="0" w:firstLineChars="0"/>
              <w:rPr>
                <w:rFonts w:hint="eastAsia"/>
                <w:b w:val="0"/>
                <w:bCs w:val="0"/>
                <w:color w:val="auto"/>
                <w:u w:val="none"/>
              </w:rPr>
            </w:pPr>
            <w:r>
              <w:rPr>
                <w:rFonts w:hint="default" w:ascii="Times New Roman" w:hAnsi="Times New Roman" w:cs="Times New Roman"/>
                <w:b/>
                <w:bCs/>
                <w:color w:val="auto"/>
              </w:rPr>
              <w:t>COD</w:t>
            </w:r>
          </w:p>
        </w:tc>
        <w:tc>
          <w:tcPr>
            <w:tcW w:w="2779" w:type="dxa"/>
            <w:shd w:val="clear" w:color="auto" w:fill="auto"/>
            <w:tcMar>
              <w:top w:w="11" w:type="dxa"/>
              <w:left w:w="57" w:type="dxa"/>
              <w:bottom w:w="11" w:type="dxa"/>
              <w:right w:w="57" w:type="dxa"/>
            </w:tcMar>
            <w:vAlign w:val="center"/>
          </w:tcPr>
          <w:p w14:paraId="4641088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b w:val="0"/>
                <w:bCs w:val="0"/>
                <w:color w:val="auto"/>
                <w:u w:val="none"/>
              </w:rPr>
            </w:pPr>
            <w:r>
              <w:rPr>
                <w:rFonts w:hint="default" w:ascii="Times New Roman" w:hAnsi="Times New Roman" w:eastAsia="宋体" w:cs="Times New Roman"/>
                <w:b/>
                <w:bCs/>
                <w:i w:val="0"/>
                <w:iCs w:val="0"/>
                <w:color w:val="000000"/>
                <w:kern w:val="0"/>
                <w:sz w:val="21"/>
                <w:szCs w:val="21"/>
                <w:u w:val="single"/>
                <w:lang w:val="en-US" w:eastAsia="zh-CN" w:bidi="ar"/>
              </w:rPr>
              <w:t>350</w:t>
            </w:r>
            <w:r>
              <w:rPr>
                <w:rFonts w:hint="default" w:ascii="Times New Roman" w:hAnsi="Times New Roman" w:cs="Times New Roman"/>
                <w:b/>
                <w:bCs/>
                <w:color w:val="auto"/>
              </w:rPr>
              <w:t>mg/L</w:t>
            </w:r>
          </w:p>
        </w:tc>
      </w:tr>
      <w:tr w14:paraId="7B92748F">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1088F836">
            <w:pPr>
              <w:pStyle w:val="182"/>
              <w:bidi w:val="0"/>
              <w:rPr>
                <w:b w:val="0"/>
                <w:bCs w:val="0"/>
                <w:color w:val="auto"/>
                <w:u w:val="none"/>
              </w:rPr>
            </w:pPr>
          </w:p>
        </w:tc>
        <w:tc>
          <w:tcPr>
            <w:tcW w:w="3554" w:type="dxa"/>
            <w:gridSpan w:val="2"/>
            <w:vMerge w:val="continue"/>
            <w:shd w:val="clear" w:color="auto" w:fill="auto"/>
            <w:vAlign w:val="center"/>
          </w:tcPr>
          <w:p w14:paraId="06C4FEFD">
            <w:pPr>
              <w:pStyle w:val="182"/>
              <w:ind w:firstLine="0" w:firstLineChars="0"/>
              <w:rPr>
                <w:rFonts w:ascii="Times New Roman" w:hAnsi="Times New Roman" w:eastAsia="宋体" w:cs="Times New Roman"/>
                <w:b w:val="0"/>
                <w:bCs w:val="0"/>
                <w:color w:val="auto"/>
                <w:kern w:val="2"/>
                <w:sz w:val="21"/>
                <w:szCs w:val="21"/>
                <w:u w:val="none"/>
                <w:lang w:val="en-US" w:eastAsia="zh-CN" w:bidi="ar-SA"/>
              </w:rPr>
            </w:pPr>
          </w:p>
        </w:tc>
        <w:tc>
          <w:tcPr>
            <w:tcW w:w="1206" w:type="dxa"/>
            <w:shd w:val="clear" w:color="auto" w:fill="auto"/>
            <w:tcMar>
              <w:top w:w="11" w:type="dxa"/>
              <w:left w:w="57" w:type="dxa"/>
              <w:bottom w:w="11" w:type="dxa"/>
              <w:right w:w="57" w:type="dxa"/>
            </w:tcMar>
            <w:vAlign w:val="center"/>
          </w:tcPr>
          <w:p w14:paraId="206F4A91">
            <w:pPr>
              <w:pStyle w:val="182"/>
              <w:ind w:firstLine="0" w:firstLineChars="0"/>
              <w:rPr>
                <w:rFonts w:hint="eastAsia"/>
                <w:b w:val="0"/>
                <w:bCs w:val="0"/>
                <w:color w:val="auto"/>
                <w:u w:val="none"/>
              </w:rPr>
            </w:pPr>
            <w:r>
              <w:rPr>
                <w:rFonts w:hint="default" w:ascii="Times New Roman" w:hAnsi="Times New Roman" w:cs="Times New Roman"/>
                <w:b/>
                <w:bCs/>
                <w:color w:val="auto"/>
              </w:rPr>
              <w:t>NH</w:t>
            </w:r>
            <w:r>
              <w:rPr>
                <w:rFonts w:hint="default" w:ascii="Times New Roman" w:hAnsi="Times New Roman" w:cs="Times New Roman"/>
                <w:b/>
                <w:bCs/>
                <w:color w:val="auto"/>
                <w:vertAlign w:val="subscript"/>
              </w:rPr>
              <w:t>3</w:t>
            </w:r>
            <w:r>
              <w:rPr>
                <w:rFonts w:hint="default" w:ascii="Times New Roman" w:hAnsi="Times New Roman" w:cs="Times New Roman"/>
                <w:b/>
                <w:bCs/>
                <w:color w:val="auto"/>
              </w:rPr>
              <w:t>-N</w:t>
            </w:r>
          </w:p>
        </w:tc>
        <w:tc>
          <w:tcPr>
            <w:tcW w:w="2779" w:type="dxa"/>
            <w:shd w:val="clear" w:color="auto" w:fill="auto"/>
            <w:tcMar>
              <w:top w:w="11" w:type="dxa"/>
              <w:left w:w="57" w:type="dxa"/>
              <w:bottom w:w="11" w:type="dxa"/>
              <w:right w:w="57" w:type="dxa"/>
            </w:tcMar>
            <w:vAlign w:val="center"/>
          </w:tcPr>
          <w:p w14:paraId="2E02A3F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b w:val="0"/>
                <w:bCs w:val="0"/>
                <w:color w:val="auto"/>
                <w:u w:val="none"/>
              </w:rPr>
            </w:pPr>
            <w:r>
              <w:rPr>
                <w:rFonts w:hint="default" w:ascii="Times New Roman" w:hAnsi="Times New Roman" w:eastAsia="宋体" w:cs="Times New Roman"/>
                <w:b/>
                <w:bCs/>
                <w:i w:val="0"/>
                <w:iCs w:val="0"/>
                <w:color w:val="000000"/>
                <w:kern w:val="0"/>
                <w:sz w:val="21"/>
                <w:szCs w:val="21"/>
                <w:u w:val="single"/>
                <w:lang w:val="en-US" w:eastAsia="zh-CN" w:bidi="ar"/>
              </w:rPr>
              <w:t>30</w:t>
            </w:r>
            <w:r>
              <w:rPr>
                <w:rFonts w:hint="default" w:ascii="Times New Roman" w:hAnsi="Times New Roman" w:cs="Times New Roman"/>
                <w:b/>
                <w:bCs/>
                <w:color w:val="auto"/>
              </w:rPr>
              <w:t>mg/L</w:t>
            </w:r>
          </w:p>
        </w:tc>
      </w:tr>
      <w:tr w14:paraId="40E8E7EC">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598EA1A7">
            <w:pPr>
              <w:pStyle w:val="182"/>
              <w:bidi w:val="0"/>
              <w:rPr>
                <w:b w:val="0"/>
                <w:bCs w:val="0"/>
                <w:color w:val="auto"/>
                <w:u w:val="none"/>
              </w:rPr>
            </w:pPr>
          </w:p>
        </w:tc>
        <w:tc>
          <w:tcPr>
            <w:tcW w:w="3554" w:type="dxa"/>
            <w:gridSpan w:val="2"/>
            <w:vMerge w:val="continue"/>
            <w:shd w:val="clear" w:color="auto" w:fill="auto"/>
            <w:vAlign w:val="center"/>
          </w:tcPr>
          <w:p w14:paraId="0CD92D77">
            <w:pPr>
              <w:pStyle w:val="182"/>
              <w:ind w:firstLine="0" w:firstLineChars="0"/>
              <w:rPr>
                <w:rFonts w:ascii="Times New Roman" w:hAnsi="Times New Roman" w:eastAsia="宋体" w:cs="Times New Roman"/>
                <w:b w:val="0"/>
                <w:bCs w:val="0"/>
                <w:color w:val="auto"/>
                <w:kern w:val="2"/>
                <w:sz w:val="21"/>
                <w:szCs w:val="21"/>
                <w:u w:val="none"/>
                <w:lang w:val="en-US" w:eastAsia="zh-CN" w:bidi="ar-SA"/>
              </w:rPr>
            </w:pPr>
          </w:p>
        </w:tc>
        <w:tc>
          <w:tcPr>
            <w:tcW w:w="1206" w:type="dxa"/>
            <w:shd w:val="clear" w:color="auto" w:fill="auto"/>
            <w:tcMar>
              <w:top w:w="11" w:type="dxa"/>
              <w:left w:w="57" w:type="dxa"/>
              <w:bottom w:w="11" w:type="dxa"/>
              <w:right w:w="57" w:type="dxa"/>
            </w:tcMar>
            <w:vAlign w:val="center"/>
          </w:tcPr>
          <w:p w14:paraId="62447D2A">
            <w:pPr>
              <w:pStyle w:val="182"/>
              <w:ind w:firstLine="0" w:firstLineChars="0"/>
              <w:rPr>
                <w:rFonts w:hint="eastAsia"/>
                <w:b w:val="0"/>
                <w:bCs w:val="0"/>
                <w:color w:val="auto"/>
                <w:u w:val="none"/>
              </w:rPr>
            </w:pPr>
            <w:r>
              <w:rPr>
                <w:rFonts w:hint="default" w:ascii="Times New Roman" w:hAnsi="Times New Roman" w:cs="Times New Roman"/>
                <w:b/>
                <w:bCs/>
                <w:color w:val="auto"/>
              </w:rPr>
              <w:t>TP</w:t>
            </w:r>
          </w:p>
        </w:tc>
        <w:tc>
          <w:tcPr>
            <w:tcW w:w="2779" w:type="dxa"/>
            <w:shd w:val="clear" w:color="auto" w:fill="auto"/>
            <w:tcMar>
              <w:top w:w="11" w:type="dxa"/>
              <w:left w:w="57" w:type="dxa"/>
              <w:bottom w:w="11" w:type="dxa"/>
              <w:right w:w="57" w:type="dxa"/>
            </w:tcMar>
            <w:vAlign w:val="center"/>
          </w:tcPr>
          <w:p w14:paraId="2630D5A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b w:val="0"/>
                <w:bCs w:val="0"/>
                <w:color w:val="auto"/>
                <w:u w:val="none"/>
              </w:rPr>
            </w:pPr>
            <w:r>
              <w:rPr>
                <w:rFonts w:hint="default" w:ascii="Times New Roman" w:hAnsi="Times New Roman" w:eastAsia="宋体" w:cs="Times New Roman"/>
                <w:b/>
                <w:bCs/>
                <w:i w:val="0"/>
                <w:iCs w:val="0"/>
                <w:color w:val="000000"/>
                <w:kern w:val="0"/>
                <w:sz w:val="21"/>
                <w:szCs w:val="21"/>
                <w:u w:val="single"/>
                <w:lang w:val="en-US" w:eastAsia="zh-CN" w:bidi="ar"/>
              </w:rPr>
              <w:t>3</w:t>
            </w:r>
            <w:r>
              <w:rPr>
                <w:rFonts w:hint="default" w:ascii="Times New Roman" w:hAnsi="Times New Roman" w:cs="Times New Roman"/>
                <w:b/>
                <w:bCs/>
                <w:color w:val="auto"/>
              </w:rPr>
              <w:t>mg/L</w:t>
            </w:r>
          </w:p>
        </w:tc>
      </w:tr>
      <w:tr w14:paraId="542CE753">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7FFA0027">
            <w:pPr>
              <w:pStyle w:val="182"/>
              <w:bidi w:val="0"/>
              <w:rPr>
                <w:b w:val="0"/>
                <w:bCs w:val="0"/>
                <w:color w:val="auto"/>
                <w:u w:val="none"/>
              </w:rPr>
            </w:pPr>
          </w:p>
        </w:tc>
        <w:tc>
          <w:tcPr>
            <w:tcW w:w="3554" w:type="dxa"/>
            <w:gridSpan w:val="2"/>
            <w:vMerge w:val="continue"/>
            <w:shd w:val="clear" w:color="auto" w:fill="auto"/>
            <w:vAlign w:val="center"/>
          </w:tcPr>
          <w:p w14:paraId="7DA33194">
            <w:pPr>
              <w:pStyle w:val="182"/>
              <w:ind w:firstLine="0" w:firstLineChars="0"/>
              <w:rPr>
                <w:rFonts w:ascii="Times New Roman" w:hAnsi="Times New Roman" w:eastAsia="宋体" w:cs="Times New Roman"/>
                <w:b w:val="0"/>
                <w:bCs w:val="0"/>
                <w:color w:val="auto"/>
                <w:kern w:val="2"/>
                <w:sz w:val="21"/>
                <w:szCs w:val="21"/>
                <w:u w:val="none"/>
                <w:lang w:val="en-US" w:eastAsia="zh-CN" w:bidi="ar-SA"/>
              </w:rPr>
            </w:pPr>
          </w:p>
        </w:tc>
        <w:tc>
          <w:tcPr>
            <w:tcW w:w="1206" w:type="dxa"/>
            <w:shd w:val="clear" w:color="auto" w:fill="auto"/>
            <w:tcMar>
              <w:top w:w="11" w:type="dxa"/>
              <w:left w:w="57" w:type="dxa"/>
              <w:bottom w:w="11" w:type="dxa"/>
              <w:right w:w="57" w:type="dxa"/>
            </w:tcMar>
            <w:vAlign w:val="center"/>
          </w:tcPr>
          <w:p w14:paraId="616D820E">
            <w:pPr>
              <w:pStyle w:val="182"/>
              <w:ind w:firstLine="0" w:firstLineChars="0"/>
              <w:rPr>
                <w:rFonts w:hint="eastAsia"/>
                <w:b w:val="0"/>
                <w:bCs w:val="0"/>
                <w:color w:val="auto"/>
                <w:u w:val="none"/>
              </w:rPr>
            </w:pPr>
            <w:r>
              <w:rPr>
                <w:rFonts w:hint="default" w:ascii="Times New Roman" w:hAnsi="Times New Roman" w:cs="Times New Roman"/>
                <w:b/>
                <w:bCs/>
                <w:color w:val="auto"/>
              </w:rPr>
              <w:t>TN</w:t>
            </w:r>
          </w:p>
        </w:tc>
        <w:tc>
          <w:tcPr>
            <w:tcW w:w="2779" w:type="dxa"/>
            <w:shd w:val="clear" w:color="auto" w:fill="auto"/>
            <w:tcMar>
              <w:top w:w="11" w:type="dxa"/>
              <w:left w:w="57" w:type="dxa"/>
              <w:bottom w:w="11" w:type="dxa"/>
              <w:right w:w="57" w:type="dxa"/>
            </w:tcMar>
            <w:vAlign w:val="center"/>
          </w:tcPr>
          <w:p w14:paraId="59133CD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b w:val="0"/>
                <w:bCs w:val="0"/>
                <w:color w:val="auto"/>
                <w:u w:val="none"/>
              </w:rPr>
            </w:pPr>
            <w:r>
              <w:rPr>
                <w:rFonts w:hint="default" w:ascii="Times New Roman" w:hAnsi="Times New Roman" w:eastAsia="宋体" w:cs="Times New Roman"/>
                <w:b/>
                <w:bCs/>
                <w:i w:val="0"/>
                <w:iCs w:val="0"/>
                <w:color w:val="000000"/>
                <w:kern w:val="0"/>
                <w:sz w:val="21"/>
                <w:szCs w:val="21"/>
                <w:u w:val="single"/>
                <w:lang w:val="en-US" w:eastAsia="zh-CN" w:bidi="ar"/>
              </w:rPr>
              <w:t>40</w:t>
            </w:r>
            <w:r>
              <w:rPr>
                <w:rFonts w:hint="default" w:ascii="Times New Roman" w:hAnsi="Times New Roman" w:cs="Times New Roman"/>
                <w:b/>
                <w:bCs/>
                <w:color w:val="auto"/>
              </w:rPr>
              <w:t>mg/L</w:t>
            </w:r>
          </w:p>
        </w:tc>
      </w:tr>
      <w:tr w14:paraId="5AD58AD5">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470C2ABD">
            <w:pPr>
              <w:pStyle w:val="182"/>
              <w:bidi w:val="0"/>
              <w:rPr>
                <w:b w:val="0"/>
                <w:bCs w:val="0"/>
                <w:color w:val="auto"/>
                <w:u w:val="none"/>
              </w:rPr>
            </w:pPr>
          </w:p>
        </w:tc>
        <w:tc>
          <w:tcPr>
            <w:tcW w:w="3554" w:type="dxa"/>
            <w:gridSpan w:val="2"/>
            <w:vMerge w:val="continue"/>
            <w:shd w:val="clear" w:color="auto" w:fill="auto"/>
            <w:vAlign w:val="center"/>
          </w:tcPr>
          <w:p w14:paraId="0500FC1C">
            <w:pPr>
              <w:pStyle w:val="182"/>
              <w:ind w:firstLine="0" w:firstLineChars="0"/>
              <w:rPr>
                <w:rFonts w:ascii="Times New Roman" w:hAnsi="Times New Roman" w:eastAsia="宋体" w:cs="Times New Roman"/>
                <w:b w:val="0"/>
                <w:bCs w:val="0"/>
                <w:color w:val="auto"/>
                <w:kern w:val="2"/>
                <w:sz w:val="21"/>
                <w:szCs w:val="21"/>
                <w:u w:val="none"/>
                <w:lang w:val="en-US" w:eastAsia="zh-CN" w:bidi="ar-SA"/>
              </w:rPr>
            </w:pPr>
          </w:p>
        </w:tc>
        <w:tc>
          <w:tcPr>
            <w:tcW w:w="1206" w:type="dxa"/>
            <w:shd w:val="clear" w:color="auto" w:fill="auto"/>
            <w:tcMar>
              <w:top w:w="11" w:type="dxa"/>
              <w:left w:w="57" w:type="dxa"/>
              <w:bottom w:w="11" w:type="dxa"/>
              <w:right w:w="57" w:type="dxa"/>
            </w:tcMar>
            <w:vAlign w:val="center"/>
          </w:tcPr>
          <w:p w14:paraId="1ABD0FA7">
            <w:pPr>
              <w:pStyle w:val="182"/>
              <w:ind w:firstLine="0" w:firstLineChars="0"/>
              <w:rPr>
                <w:rFonts w:hint="eastAsia"/>
                <w:b w:val="0"/>
                <w:bCs w:val="0"/>
                <w:color w:val="auto"/>
                <w:u w:val="none"/>
              </w:rPr>
            </w:pPr>
            <w:r>
              <w:rPr>
                <w:rFonts w:hint="default" w:ascii="Times New Roman" w:hAnsi="Times New Roman" w:cs="Times New Roman"/>
                <w:b/>
                <w:bCs/>
                <w:color w:val="auto"/>
              </w:rPr>
              <w:t>BOD</w:t>
            </w:r>
            <w:r>
              <w:rPr>
                <w:rFonts w:hint="default" w:ascii="Times New Roman" w:hAnsi="Times New Roman" w:cs="Times New Roman"/>
                <w:b/>
                <w:bCs/>
                <w:color w:val="auto"/>
                <w:vertAlign w:val="subscript"/>
              </w:rPr>
              <w:t>5</w:t>
            </w:r>
          </w:p>
        </w:tc>
        <w:tc>
          <w:tcPr>
            <w:tcW w:w="2779" w:type="dxa"/>
            <w:shd w:val="clear" w:color="auto" w:fill="auto"/>
            <w:tcMar>
              <w:top w:w="11" w:type="dxa"/>
              <w:left w:w="57" w:type="dxa"/>
              <w:bottom w:w="11" w:type="dxa"/>
              <w:right w:w="57" w:type="dxa"/>
            </w:tcMar>
            <w:vAlign w:val="center"/>
          </w:tcPr>
          <w:p w14:paraId="7C5075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b w:val="0"/>
                <w:bCs w:val="0"/>
                <w:color w:val="auto"/>
                <w:u w:val="none"/>
              </w:rPr>
            </w:pPr>
            <w:r>
              <w:rPr>
                <w:rFonts w:hint="default" w:ascii="Times New Roman" w:hAnsi="Times New Roman" w:eastAsia="宋体" w:cs="Times New Roman"/>
                <w:b/>
                <w:bCs/>
                <w:i w:val="0"/>
                <w:iCs w:val="0"/>
                <w:color w:val="000000"/>
                <w:kern w:val="0"/>
                <w:sz w:val="21"/>
                <w:szCs w:val="21"/>
                <w:u w:val="single"/>
                <w:lang w:val="en-US" w:eastAsia="zh-CN" w:bidi="ar"/>
              </w:rPr>
              <w:t>170</w:t>
            </w:r>
            <w:r>
              <w:rPr>
                <w:rFonts w:hint="default" w:ascii="Times New Roman" w:hAnsi="Times New Roman" w:cs="Times New Roman"/>
                <w:b/>
                <w:bCs/>
                <w:color w:val="auto"/>
              </w:rPr>
              <w:t>mg/L</w:t>
            </w:r>
          </w:p>
        </w:tc>
      </w:tr>
      <w:tr w14:paraId="0AE8BC1D">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27859A6D">
            <w:pPr>
              <w:pStyle w:val="182"/>
              <w:bidi w:val="0"/>
              <w:rPr>
                <w:b w:val="0"/>
                <w:bCs w:val="0"/>
                <w:color w:val="auto"/>
                <w:u w:val="none"/>
              </w:rPr>
            </w:pPr>
          </w:p>
        </w:tc>
        <w:tc>
          <w:tcPr>
            <w:tcW w:w="3554" w:type="dxa"/>
            <w:gridSpan w:val="2"/>
            <w:vMerge w:val="continue"/>
            <w:tcBorders>
              <w:bottom w:val="single" w:color="auto" w:sz="4" w:space="0"/>
            </w:tcBorders>
            <w:shd w:val="clear" w:color="auto" w:fill="auto"/>
            <w:vAlign w:val="center"/>
          </w:tcPr>
          <w:p w14:paraId="7239EE79">
            <w:pPr>
              <w:pStyle w:val="182"/>
              <w:ind w:firstLine="0" w:firstLineChars="0"/>
              <w:rPr>
                <w:rFonts w:ascii="Times New Roman" w:hAnsi="Times New Roman" w:eastAsia="宋体" w:cs="Times New Roman"/>
                <w:b w:val="0"/>
                <w:bCs w:val="0"/>
                <w:color w:val="auto"/>
                <w:kern w:val="2"/>
                <w:sz w:val="21"/>
                <w:szCs w:val="21"/>
                <w:u w:val="none"/>
                <w:lang w:val="en-US" w:eastAsia="zh-CN" w:bidi="ar-SA"/>
              </w:rPr>
            </w:pPr>
          </w:p>
        </w:tc>
        <w:tc>
          <w:tcPr>
            <w:tcW w:w="1206" w:type="dxa"/>
            <w:shd w:val="clear" w:color="auto" w:fill="auto"/>
            <w:tcMar>
              <w:top w:w="11" w:type="dxa"/>
              <w:left w:w="57" w:type="dxa"/>
              <w:bottom w:w="11" w:type="dxa"/>
              <w:right w:w="57" w:type="dxa"/>
            </w:tcMar>
            <w:vAlign w:val="center"/>
          </w:tcPr>
          <w:p w14:paraId="7D9D02A6">
            <w:pPr>
              <w:pStyle w:val="182"/>
              <w:ind w:firstLine="0" w:firstLineChars="0"/>
              <w:rPr>
                <w:rFonts w:hint="eastAsia"/>
                <w:b w:val="0"/>
                <w:bCs w:val="0"/>
                <w:color w:val="auto"/>
                <w:u w:val="none"/>
              </w:rPr>
            </w:pPr>
            <w:r>
              <w:rPr>
                <w:rFonts w:hint="default" w:ascii="Times New Roman" w:hAnsi="Times New Roman" w:cs="Times New Roman"/>
                <w:b/>
                <w:bCs/>
                <w:color w:val="auto"/>
              </w:rPr>
              <w:t>SS</w:t>
            </w:r>
          </w:p>
        </w:tc>
        <w:tc>
          <w:tcPr>
            <w:tcW w:w="2779" w:type="dxa"/>
            <w:shd w:val="clear" w:color="auto" w:fill="auto"/>
            <w:tcMar>
              <w:top w:w="11" w:type="dxa"/>
              <w:left w:w="57" w:type="dxa"/>
              <w:bottom w:w="11" w:type="dxa"/>
              <w:right w:w="57" w:type="dxa"/>
            </w:tcMar>
            <w:vAlign w:val="center"/>
          </w:tcPr>
          <w:p w14:paraId="4D69A06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b w:val="0"/>
                <w:bCs w:val="0"/>
                <w:color w:val="auto"/>
                <w:u w:val="none"/>
              </w:rPr>
            </w:pPr>
            <w:r>
              <w:rPr>
                <w:rFonts w:hint="default" w:ascii="Times New Roman" w:hAnsi="Times New Roman" w:eastAsia="宋体" w:cs="Times New Roman"/>
                <w:b/>
                <w:bCs/>
                <w:i w:val="0"/>
                <w:iCs w:val="0"/>
                <w:color w:val="000000"/>
                <w:kern w:val="0"/>
                <w:sz w:val="21"/>
                <w:szCs w:val="21"/>
                <w:u w:val="single"/>
                <w:lang w:val="en-US" w:eastAsia="zh-CN" w:bidi="ar"/>
              </w:rPr>
              <w:t>280</w:t>
            </w:r>
            <w:r>
              <w:rPr>
                <w:rFonts w:hint="default" w:ascii="Times New Roman" w:hAnsi="Times New Roman" w:cs="Times New Roman"/>
                <w:b/>
                <w:bCs/>
                <w:color w:val="auto"/>
              </w:rPr>
              <w:t>mg/L</w:t>
            </w:r>
          </w:p>
        </w:tc>
      </w:tr>
      <w:tr w14:paraId="6C088AC3">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restart"/>
            <w:shd w:val="clear" w:color="auto" w:fill="auto"/>
            <w:vAlign w:val="center"/>
          </w:tcPr>
          <w:p w14:paraId="7BE732E9">
            <w:pPr>
              <w:pStyle w:val="182"/>
              <w:bidi w:val="0"/>
              <w:rPr>
                <w:color w:val="auto"/>
              </w:rPr>
            </w:pPr>
            <w:r>
              <w:rPr>
                <w:color w:val="auto"/>
              </w:rPr>
              <w:t>噪声</w:t>
            </w:r>
          </w:p>
        </w:tc>
        <w:tc>
          <w:tcPr>
            <w:tcW w:w="1418" w:type="pct"/>
            <w:vMerge w:val="restart"/>
            <w:tcBorders>
              <w:top w:val="single" w:color="auto" w:sz="4" w:space="0"/>
              <w:bottom w:val="single" w:color="auto" w:sz="4" w:space="0"/>
            </w:tcBorders>
            <w:shd w:val="clear" w:color="auto" w:fill="auto"/>
            <w:vAlign w:val="center"/>
          </w:tcPr>
          <w:p w14:paraId="6F38F955">
            <w:pPr>
              <w:pStyle w:val="182"/>
              <w:bidi w:val="0"/>
              <w:rPr>
                <w:color w:val="auto"/>
              </w:rPr>
            </w:pPr>
            <w:r>
              <w:rPr>
                <w:color w:val="auto"/>
              </w:rPr>
              <w:t>《工业企业厂界环境噪声排放标准》</w:t>
            </w:r>
            <w:r>
              <w:rPr>
                <w:rFonts w:hint="eastAsia"/>
                <w:color w:val="auto"/>
              </w:rPr>
              <w:t>（</w:t>
            </w:r>
            <w:r>
              <w:rPr>
                <w:color w:val="auto"/>
              </w:rPr>
              <w:t>GB12348-2008</w:t>
            </w:r>
            <w:r>
              <w:rPr>
                <w:rFonts w:hint="eastAsia"/>
                <w:color w:val="auto"/>
              </w:rPr>
              <w:t>）</w:t>
            </w:r>
          </w:p>
        </w:tc>
        <w:tc>
          <w:tcPr>
            <w:tcW w:w="692" w:type="pct"/>
            <w:vMerge w:val="restart"/>
            <w:tcBorders>
              <w:top w:val="single" w:color="auto" w:sz="4" w:space="0"/>
              <w:bottom w:val="single" w:color="auto" w:sz="4" w:space="0"/>
            </w:tcBorders>
            <w:shd w:val="clear" w:color="auto" w:fill="auto"/>
            <w:vAlign w:val="center"/>
          </w:tcPr>
          <w:p w14:paraId="076CF18A">
            <w:pPr>
              <w:pStyle w:val="182"/>
              <w:bidi w:val="0"/>
              <w:rPr>
                <w:color w:val="auto"/>
              </w:rPr>
            </w:pPr>
            <w:r>
              <w:rPr>
                <w:rFonts w:hint="eastAsia"/>
                <w:color w:val="auto"/>
              </w:rPr>
              <w:t>3</w:t>
            </w:r>
            <w:r>
              <w:rPr>
                <w:color w:val="auto"/>
              </w:rPr>
              <w:t>类</w:t>
            </w:r>
          </w:p>
        </w:tc>
        <w:tc>
          <w:tcPr>
            <w:tcW w:w="716" w:type="pct"/>
            <w:vMerge w:val="restart"/>
            <w:shd w:val="clear" w:color="auto" w:fill="auto"/>
            <w:tcMar>
              <w:top w:w="11" w:type="dxa"/>
              <w:left w:w="57" w:type="dxa"/>
              <w:bottom w:w="11" w:type="dxa"/>
              <w:right w:w="57" w:type="dxa"/>
            </w:tcMar>
            <w:vAlign w:val="center"/>
          </w:tcPr>
          <w:p w14:paraId="54ACA6CB">
            <w:pPr>
              <w:pStyle w:val="182"/>
              <w:bidi w:val="0"/>
              <w:rPr>
                <w:color w:val="auto"/>
              </w:rPr>
            </w:pPr>
            <w:r>
              <w:rPr>
                <w:rFonts w:hint="eastAsia"/>
                <w:color w:val="auto"/>
              </w:rPr>
              <w:t>噪声</w:t>
            </w:r>
          </w:p>
        </w:tc>
        <w:tc>
          <w:tcPr>
            <w:tcW w:w="1650" w:type="pct"/>
            <w:shd w:val="clear" w:color="auto" w:fill="auto"/>
            <w:tcMar>
              <w:top w:w="11" w:type="dxa"/>
              <w:left w:w="57" w:type="dxa"/>
              <w:bottom w:w="11" w:type="dxa"/>
              <w:right w:w="57" w:type="dxa"/>
            </w:tcMar>
            <w:vAlign w:val="center"/>
          </w:tcPr>
          <w:p w14:paraId="734B0DDB">
            <w:pPr>
              <w:pStyle w:val="182"/>
              <w:bidi w:val="0"/>
              <w:rPr>
                <w:color w:val="auto"/>
              </w:rPr>
            </w:pPr>
            <w:r>
              <w:rPr>
                <w:color w:val="auto"/>
              </w:rPr>
              <w:t>昼6</w:t>
            </w:r>
            <w:r>
              <w:rPr>
                <w:rFonts w:hint="eastAsia"/>
                <w:color w:val="auto"/>
              </w:rPr>
              <w:t>5</w:t>
            </w:r>
            <w:r>
              <w:rPr>
                <w:color w:val="auto"/>
              </w:rPr>
              <w:t>dB(A)</w:t>
            </w:r>
          </w:p>
        </w:tc>
      </w:tr>
      <w:tr w14:paraId="4DBFD75C">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69EF83B9">
            <w:pPr>
              <w:pStyle w:val="182"/>
              <w:bidi w:val="0"/>
              <w:rPr>
                <w:color w:val="auto"/>
              </w:rPr>
            </w:pPr>
          </w:p>
        </w:tc>
        <w:tc>
          <w:tcPr>
            <w:tcW w:w="1418" w:type="pct"/>
            <w:vMerge w:val="continue"/>
            <w:tcBorders>
              <w:top w:val="single" w:color="auto" w:sz="4" w:space="0"/>
              <w:bottom w:val="single" w:color="auto" w:sz="4" w:space="0"/>
            </w:tcBorders>
            <w:shd w:val="clear" w:color="auto" w:fill="auto"/>
            <w:vAlign w:val="center"/>
          </w:tcPr>
          <w:p w14:paraId="41728565">
            <w:pPr>
              <w:pStyle w:val="182"/>
              <w:bidi w:val="0"/>
              <w:rPr>
                <w:color w:val="auto"/>
              </w:rPr>
            </w:pPr>
          </w:p>
        </w:tc>
        <w:tc>
          <w:tcPr>
            <w:tcW w:w="692" w:type="pct"/>
            <w:vMerge w:val="continue"/>
            <w:tcBorders>
              <w:top w:val="single" w:color="auto" w:sz="4" w:space="0"/>
              <w:bottom w:val="single" w:color="auto" w:sz="4" w:space="0"/>
            </w:tcBorders>
            <w:shd w:val="clear" w:color="auto" w:fill="auto"/>
            <w:vAlign w:val="center"/>
          </w:tcPr>
          <w:p w14:paraId="3E38662A">
            <w:pPr>
              <w:pStyle w:val="182"/>
              <w:bidi w:val="0"/>
              <w:rPr>
                <w:color w:val="auto"/>
              </w:rPr>
            </w:pPr>
          </w:p>
        </w:tc>
        <w:tc>
          <w:tcPr>
            <w:tcW w:w="716" w:type="pct"/>
            <w:vMerge w:val="continue"/>
            <w:shd w:val="clear" w:color="auto" w:fill="auto"/>
            <w:tcMar>
              <w:top w:w="11" w:type="dxa"/>
              <w:left w:w="57" w:type="dxa"/>
              <w:bottom w:w="11" w:type="dxa"/>
              <w:right w:w="57" w:type="dxa"/>
            </w:tcMar>
            <w:vAlign w:val="center"/>
          </w:tcPr>
          <w:p w14:paraId="7FE754ED">
            <w:pPr>
              <w:pStyle w:val="182"/>
              <w:bidi w:val="0"/>
              <w:rPr>
                <w:color w:val="auto"/>
              </w:rPr>
            </w:pPr>
          </w:p>
        </w:tc>
        <w:tc>
          <w:tcPr>
            <w:tcW w:w="1650" w:type="pct"/>
            <w:shd w:val="clear" w:color="auto" w:fill="auto"/>
            <w:tcMar>
              <w:top w:w="11" w:type="dxa"/>
              <w:left w:w="57" w:type="dxa"/>
              <w:bottom w:w="11" w:type="dxa"/>
              <w:right w:w="57" w:type="dxa"/>
            </w:tcMar>
            <w:vAlign w:val="center"/>
          </w:tcPr>
          <w:p w14:paraId="01A770A3">
            <w:pPr>
              <w:pStyle w:val="182"/>
              <w:bidi w:val="0"/>
              <w:rPr>
                <w:color w:val="auto"/>
              </w:rPr>
            </w:pPr>
            <w:r>
              <w:rPr>
                <w:color w:val="auto"/>
              </w:rPr>
              <w:t>夜5</w:t>
            </w:r>
            <w:r>
              <w:rPr>
                <w:rFonts w:hint="eastAsia"/>
                <w:color w:val="auto"/>
              </w:rPr>
              <w:t>5</w:t>
            </w:r>
            <w:r>
              <w:rPr>
                <w:color w:val="auto"/>
              </w:rPr>
              <w:t>dB(A)</w:t>
            </w:r>
          </w:p>
        </w:tc>
      </w:tr>
      <w:tr w14:paraId="7E667B81">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34EFF191">
            <w:pPr>
              <w:pStyle w:val="182"/>
              <w:bidi w:val="0"/>
              <w:rPr>
                <w:color w:val="auto"/>
              </w:rPr>
            </w:pPr>
          </w:p>
        </w:tc>
        <w:tc>
          <w:tcPr>
            <w:tcW w:w="1418" w:type="pct"/>
            <w:vMerge w:val="restart"/>
            <w:tcBorders>
              <w:top w:val="single" w:color="auto" w:sz="4" w:space="0"/>
              <w:bottom w:val="single" w:color="auto" w:sz="4" w:space="0"/>
            </w:tcBorders>
            <w:shd w:val="clear" w:color="auto" w:fill="auto"/>
            <w:vAlign w:val="center"/>
          </w:tcPr>
          <w:p w14:paraId="7CD98FDD">
            <w:pPr>
              <w:pStyle w:val="182"/>
              <w:bidi w:val="0"/>
              <w:rPr>
                <w:color w:val="auto"/>
              </w:rPr>
            </w:pPr>
            <w:r>
              <w:rPr>
                <w:color w:val="auto"/>
              </w:rPr>
              <w:t>《</w:t>
            </w:r>
            <w:r>
              <w:rPr>
                <w:rFonts w:hint="eastAsia"/>
                <w:color w:val="auto"/>
                <w:lang w:eastAsia="zh-CN"/>
              </w:rPr>
              <w:t>建筑施工场界环境噪声排放标准</w:t>
            </w:r>
            <w:r>
              <w:rPr>
                <w:color w:val="auto"/>
              </w:rPr>
              <w:t>》</w:t>
            </w:r>
            <w:r>
              <w:rPr>
                <w:rFonts w:hint="eastAsia"/>
                <w:color w:val="auto"/>
              </w:rPr>
              <w:t>（</w:t>
            </w:r>
            <w:r>
              <w:rPr>
                <w:color w:val="auto"/>
              </w:rPr>
              <w:t>GB</w:t>
            </w:r>
            <w:r>
              <w:rPr>
                <w:rFonts w:hint="eastAsia"/>
                <w:color w:val="auto"/>
              </w:rPr>
              <w:t>12523</w:t>
            </w:r>
            <w:r>
              <w:rPr>
                <w:color w:val="auto"/>
              </w:rPr>
              <w:t>-</w:t>
            </w:r>
            <w:r>
              <w:rPr>
                <w:rFonts w:hint="eastAsia"/>
                <w:color w:val="auto"/>
              </w:rPr>
              <w:t>2011）</w:t>
            </w:r>
          </w:p>
        </w:tc>
        <w:tc>
          <w:tcPr>
            <w:tcW w:w="692" w:type="pct"/>
            <w:vMerge w:val="restart"/>
            <w:tcBorders>
              <w:top w:val="single" w:color="auto" w:sz="4" w:space="0"/>
              <w:bottom w:val="single" w:color="auto" w:sz="4" w:space="0"/>
            </w:tcBorders>
            <w:shd w:val="clear" w:color="auto" w:fill="auto"/>
            <w:vAlign w:val="center"/>
          </w:tcPr>
          <w:p w14:paraId="010A2FB0">
            <w:pPr>
              <w:pStyle w:val="182"/>
              <w:bidi w:val="0"/>
              <w:rPr>
                <w:color w:val="auto"/>
              </w:rPr>
            </w:pPr>
            <w:r>
              <w:rPr>
                <w:rFonts w:hint="eastAsia"/>
                <w:color w:val="auto"/>
              </w:rPr>
              <w:t>/</w:t>
            </w:r>
          </w:p>
        </w:tc>
        <w:tc>
          <w:tcPr>
            <w:tcW w:w="716" w:type="pct"/>
            <w:vMerge w:val="restart"/>
            <w:shd w:val="clear" w:color="auto" w:fill="auto"/>
            <w:tcMar>
              <w:top w:w="11" w:type="dxa"/>
              <w:left w:w="57" w:type="dxa"/>
              <w:bottom w:w="11" w:type="dxa"/>
              <w:right w:w="57" w:type="dxa"/>
            </w:tcMar>
            <w:vAlign w:val="center"/>
          </w:tcPr>
          <w:p w14:paraId="40B8E5B3">
            <w:pPr>
              <w:pStyle w:val="182"/>
              <w:bidi w:val="0"/>
              <w:rPr>
                <w:color w:val="auto"/>
              </w:rPr>
            </w:pPr>
            <w:r>
              <w:rPr>
                <w:rFonts w:hint="eastAsia"/>
                <w:color w:val="auto"/>
              </w:rPr>
              <w:t>噪声</w:t>
            </w:r>
          </w:p>
        </w:tc>
        <w:tc>
          <w:tcPr>
            <w:tcW w:w="1650" w:type="pct"/>
            <w:shd w:val="clear" w:color="auto" w:fill="auto"/>
            <w:tcMar>
              <w:top w:w="11" w:type="dxa"/>
              <w:left w:w="57" w:type="dxa"/>
              <w:bottom w:w="11" w:type="dxa"/>
              <w:right w:w="57" w:type="dxa"/>
            </w:tcMar>
            <w:vAlign w:val="center"/>
          </w:tcPr>
          <w:p w14:paraId="187A5218">
            <w:pPr>
              <w:pStyle w:val="182"/>
              <w:bidi w:val="0"/>
              <w:rPr>
                <w:color w:val="auto"/>
              </w:rPr>
            </w:pPr>
            <w:r>
              <w:rPr>
                <w:color w:val="auto"/>
              </w:rPr>
              <w:t>昼</w:t>
            </w:r>
            <w:r>
              <w:rPr>
                <w:rFonts w:hint="eastAsia"/>
                <w:color w:val="auto"/>
              </w:rPr>
              <w:t>70</w:t>
            </w:r>
            <w:r>
              <w:rPr>
                <w:color w:val="auto"/>
              </w:rPr>
              <w:t>dB(A)</w:t>
            </w:r>
          </w:p>
        </w:tc>
      </w:tr>
      <w:tr w14:paraId="479EEFA7">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vAlign w:val="center"/>
          </w:tcPr>
          <w:p w14:paraId="77EAD3D4">
            <w:pPr>
              <w:pStyle w:val="182"/>
              <w:bidi w:val="0"/>
              <w:rPr>
                <w:color w:val="auto"/>
              </w:rPr>
            </w:pPr>
          </w:p>
        </w:tc>
        <w:tc>
          <w:tcPr>
            <w:tcW w:w="1418" w:type="pct"/>
            <w:vMerge w:val="continue"/>
            <w:tcBorders>
              <w:top w:val="single" w:color="auto" w:sz="4" w:space="0"/>
              <w:bottom w:val="single" w:color="auto" w:sz="4" w:space="0"/>
            </w:tcBorders>
            <w:shd w:val="clear" w:color="auto" w:fill="auto"/>
            <w:vAlign w:val="center"/>
          </w:tcPr>
          <w:p w14:paraId="000FD095">
            <w:pPr>
              <w:pStyle w:val="182"/>
              <w:bidi w:val="0"/>
              <w:rPr>
                <w:color w:val="auto"/>
              </w:rPr>
            </w:pPr>
          </w:p>
        </w:tc>
        <w:tc>
          <w:tcPr>
            <w:tcW w:w="692" w:type="pct"/>
            <w:vMerge w:val="continue"/>
            <w:tcBorders>
              <w:top w:val="single" w:color="auto" w:sz="4" w:space="0"/>
              <w:bottom w:val="single" w:color="auto" w:sz="4" w:space="0"/>
            </w:tcBorders>
            <w:shd w:val="clear" w:color="auto" w:fill="auto"/>
            <w:vAlign w:val="center"/>
          </w:tcPr>
          <w:p w14:paraId="7FBFD958">
            <w:pPr>
              <w:pStyle w:val="182"/>
              <w:bidi w:val="0"/>
              <w:rPr>
                <w:color w:val="auto"/>
              </w:rPr>
            </w:pPr>
          </w:p>
        </w:tc>
        <w:tc>
          <w:tcPr>
            <w:tcW w:w="716" w:type="pct"/>
            <w:vMerge w:val="continue"/>
            <w:shd w:val="clear" w:color="auto" w:fill="auto"/>
            <w:tcMar>
              <w:top w:w="11" w:type="dxa"/>
              <w:left w:w="57" w:type="dxa"/>
              <w:bottom w:w="11" w:type="dxa"/>
              <w:right w:w="57" w:type="dxa"/>
            </w:tcMar>
            <w:vAlign w:val="center"/>
          </w:tcPr>
          <w:p w14:paraId="3EDB6A9D">
            <w:pPr>
              <w:pStyle w:val="182"/>
              <w:bidi w:val="0"/>
              <w:rPr>
                <w:color w:val="auto"/>
              </w:rPr>
            </w:pPr>
          </w:p>
        </w:tc>
        <w:tc>
          <w:tcPr>
            <w:tcW w:w="1650" w:type="pct"/>
            <w:shd w:val="clear" w:color="auto" w:fill="auto"/>
            <w:tcMar>
              <w:top w:w="11" w:type="dxa"/>
              <w:left w:w="57" w:type="dxa"/>
              <w:bottom w:w="11" w:type="dxa"/>
              <w:right w:w="57" w:type="dxa"/>
            </w:tcMar>
            <w:vAlign w:val="center"/>
          </w:tcPr>
          <w:p w14:paraId="43EEA687">
            <w:pPr>
              <w:pStyle w:val="182"/>
              <w:bidi w:val="0"/>
              <w:rPr>
                <w:color w:val="auto"/>
              </w:rPr>
            </w:pPr>
            <w:r>
              <w:rPr>
                <w:color w:val="auto"/>
              </w:rPr>
              <w:t>夜5</w:t>
            </w:r>
            <w:r>
              <w:rPr>
                <w:rFonts w:hint="eastAsia"/>
                <w:color w:val="auto"/>
              </w:rPr>
              <w:t>5</w:t>
            </w:r>
            <w:r>
              <w:rPr>
                <w:color w:val="auto"/>
              </w:rPr>
              <w:t>dB(A)</w:t>
            </w:r>
          </w:p>
        </w:tc>
      </w:tr>
      <w:tr w14:paraId="4019B1E2">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restart"/>
            <w:shd w:val="clear" w:color="auto" w:fill="auto"/>
            <w:tcMar>
              <w:top w:w="11" w:type="dxa"/>
              <w:left w:w="57" w:type="dxa"/>
              <w:bottom w:w="11" w:type="dxa"/>
              <w:right w:w="57" w:type="dxa"/>
            </w:tcMar>
            <w:vAlign w:val="center"/>
          </w:tcPr>
          <w:p w14:paraId="376BB2F6">
            <w:pPr>
              <w:pStyle w:val="182"/>
              <w:bidi w:val="0"/>
              <w:rPr>
                <w:color w:val="auto"/>
              </w:rPr>
            </w:pPr>
            <w:r>
              <w:rPr>
                <w:color w:val="auto"/>
              </w:rPr>
              <w:t>固体</w:t>
            </w:r>
          </w:p>
          <w:p w14:paraId="438EE115">
            <w:pPr>
              <w:pStyle w:val="182"/>
              <w:bidi w:val="0"/>
              <w:rPr>
                <w:color w:val="auto"/>
              </w:rPr>
            </w:pPr>
            <w:r>
              <w:rPr>
                <w:color w:val="auto"/>
              </w:rPr>
              <w:t>废物</w:t>
            </w:r>
          </w:p>
        </w:tc>
        <w:tc>
          <w:tcPr>
            <w:tcW w:w="4476" w:type="pct"/>
            <w:gridSpan w:val="4"/>
            <w:shd w:val="clear" w:color="auto" w:fill="auto"/>
            <w:tcMar>
              <w:top w:w="11" w:type="dxa"/>
              <w:left w:w="57" w:type="dxa"/>
              <w:bottom w:w="11" w:type="dxa"/>
              <w:right w:w="57" w:type="dxa"/>
            </w:tcMar>
            <w:vAlign w:val="center"/>
          </w:tcPr>
          <w:p w14:paraId="0171A290">
            <w:pPr>
              <w:pStyle w:val="182"/>
              <w:bidi w:val="0"/>
              <w:rPr>
                <w:color w:val="auto"/>
              </w:rPr>
            </w:pPr>
            <w:r>
              <w:rPr>
                <w:rFonts w:hint="eastAsia"/>
                <w:color w:val="auto"/>
              </w:rPr>
              <w:t>《一般工业固体废物贮存和填埋污染控制标准》（GB18599-2020）中防渗漏、防雨淋、防扬尘等环境保护要求</w:t>
            </w:r>
          </w:p>
        </w:tc>
      </w:tr>
      <w:tr w14:paraId="16F216AD">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23" w:type="pct"/>
            <w:vMerge w:val="continue"/>
            <w:shd w:val="clear" w:color="auto" w:fill="auto"/>
            <w:tcMar>
              <w:top w:w="11" w:type="dxa"/>
              <w:left w:w="57" w:type="dxa"/>
              <w:bottom w:w="11" w:type="dxa"/>
              <w:right w:w="57" w:type="dxa"/>
            </w:tcMar>
            <w:vAlign w:val="center"/>
          </w:tcPr>
          <w:p w14:paraId="068D0146">
            <w:pPr>
              <w:pStyle w:val="182"/>
              <w:bidi w:val="0"/>
              <w:rPr>
                <w:color w:val="auto"/>
              </w:rPr>
            </w:pPr>
          </w:p>
        </w:tc>
        <w:tc>
          <w:tcPr>
            <w:tcW w:w="4476" w:type="pct"/>
            <w:gridSpan w:val="4"/>
            <w:shd w:val="clear" w:color="auto" w:fill="auto"/>
            <w:tcMar>
              <w:top w:w="11" w:type="dxa"/>
              <w:left w:w="57" w:type="dxa"/>
              <w:bottom w:w="11" w:type="dxa"/>
              <w:right w:w="57" w:type="dxa"/>
            </w:tcMar>
            <w:vAlign w:val="center"/>
          </w:tcPr>
          <w:p w14:paraId="4FEF4722">
            <w:pPr>
              <w:pStyle w:val="182"/>
              <w:bidi w:val="0"/>
              <w:rPr>
                <w:color w:val="auto"/>
              </w:rPr>
            </w:pPr>
            <w:r>
              <w:rPr>
                <w:rFonts w:hint="eastAsia"/>
                <w:b w:val="0"/>
                <w:bCs w:val="0"/>
                <w:color w:val="auto"/>
                <w:u w:val="none"/>
              </w:rPr>
              <w:t>《危险废物贮存污染控制标准》（GB 18597-2023）</w:t>
            </w:r>
          </w:p>
        </w:tc>
      </w:tr>
    </w:tbl>
    <w:p w14:paraId="6C86C7D0">
      <w:pPr>
        <w:pStyle w:val="3"/>
        <w:tabs>
          <w:tab w:val="left" w:pos="396"/>
        </w:tabs>
        <w:spacing w:before="240"/>
        <w:rPr>
          <w:rFonts w:eastAsia="宋体"/>
          <w:b/>
          <w:bCs/>
          <w:color w:val="auto"/>
          <w:lang w:eastAsia="zh-CN"/>
        </w:rPr>
      </w:pPr>
      <w:bookmarkStart w:id="131" w:name="_Toc106552509"/>
      <w:bookmarkStart w:id="132" w:name="_Toc7457"/>
      <w:r>
        <w:rPr>
          <w:rFonts w:hint="eastAsia" w:eastAsia="宋体"/>
          <w:b/>
          <w:bCs/>
          <w:color w:val="auto"/>
          <w:lang w:eastAsia="zh-CN"/>
        </w:rPr>
        <w:t>环境功能区划</w:t>
      </w:r>
      <w:bookmarkEnd w:id="131"/>
      <w:bookmarkEnd w:id="132"/>
    </w:p>
    <w:p w14:paraId="62ED508E">
      <w:pPr>
        <w:pStyle w:val="5"/>
        <w:bidi w:val="0"/>
        <w:rPr>
          <w:color w:val="auto"/>
        </w:rPr>
      </w:pPr>
      <w:r>
        <w:rPr>
          <w:rFonts w:hint="eastAsia"/>
          <w:color w:val="auto"/>
        </w:rPr>
        <w:t>环境空气</w:t>
      </w:r>
    </w:p>
    <w:p w14:paraId="7B663884">
      <w:pPr>
        <w:bidi w:val="0"/>
        <w:rPr>
          <w:color w:val="auto"/>
        </w:rPr>
      </w:pPr>
      <w:r>
        <w:rPr>
          <w:color w:val="auto"/>
        </w:rPr>
        <w:t>评价范围内</w:t>
      </w:r>
      <w:r>
        <w:rPr>
          <w:rFonts w:hint="eastAsia"/>
          <w:color w:val="auto"/>
        </w:rPr>
        <w:t>环境空气</w:t>
      </w:r>
      <w:r>
        <w:rPr>
          <w:color w:val="auto"/>
        </w:rPr>
        <w:t>属二类环境功能区。</w:t>
      </w:r>
    </w:p>
    <w:p w14:paraId="4F6D99F7">
      <w:pPr>
        <w:pStyle w:val="5"/>
        <w:bidi w:val="0"/>
        <w:rPr>
          <w:color w:val="auto"/>
        </w:rPr>
      </w:pPr>
      <w:r>
        <w:rPr>
          <w:rFonts w:hint="eastAsia"/>
          <w:color w:val="auto"/>
        </w:rPr>
        <w:t>地表水</w:t>
      </w:r>
    </w:p>
    <w:p w14:paraId="69374392">
      <w:pPr>
        <w:bidi w:val="0"/>
        <w:rPr>
          <w:color w:val="auto"/>
        </w:rPr>
      </w:pPr>
      <w:r>
        <w:rPr>
          <w:color w:val="auto"/>
        </w:rPr>
        <w:t>项目纳污水体为大沙河，根据新乡市地表水水域功能区划，属Ⅳ类水环境功能区。</w:t>
      </w:r>
    </w:p>
    <w:p w14:paraId="6176EB3F">
      <w:pPr>
        <w:pStyle w:val="5"/>
        <w:bidi w:val="0"/>
        <w:rPr>
          <w:color w:val="auto"/>
        </w:rPr>
      </w:pPr>
      <w:r>
        <w:rPr>
          <w:rFonts w:hint="eastAsia"/>
          <w:color w:val="auto"/>
        </w:rPr>
        <w:t>声环境</w:t>
      </w:r>
    </w:p>
    <w:p w14:paraId="4B362950">
      <w:pPr>
        <w:bidi w:val="0"/>
        <w:rPr>
          <w:color w:val="auto"/>
        </w:rPr>
      </w:pPr>
      <w:r>
        <w:rPr>
          <w:color w:val="auto"/>
        </w:rPr>
        <w:t>按照区域环境功能，项目所在地属于环境噪声</w:t>
      </w:r>
      <w:r>
        <w:rPr>
          <w:rFonts w:hint="eastAsia"/>
          <w:color w:val="auto"/>
        </w:rPr>
        <w:t>3</w:t>
      </w:r>
      <w:r>
        <w:rPr>
          <w:color w:val="auto"/>
        </w:rPr>
        <w:t>类功能区。</w:t>
      </w:r>
    </w:p>
    <w:p w14:paraId="7C848D37">
      <w:pPr>
        <w:pStyle w:val="5"/>
        <w:bidi w:val="0"/>
        <w:rPr>
          <w:color w:val="auto"/>
        </w:rPr>
      </w:pPr>
      <w:r>
        <w:rPr>
          <w:rFonts w:hint="eastAsia"/>
          <w:color w:val="auto"/>
        </w:rPr>
        <w:t>环境质量现状</w:t>
      </w:r>
    </w:p>
    <w:p w14:paraId="5555D27D">
      <w:pPr>
        <w:bidi w:val="0"/>
        <w:rPr>
          <w:color w:val="auto"/>
        </w:rPr>
      </w:pPr>
      <w:r>
        <w:rPr>
          <w:b/>
          <w:bCs/>
          <w:color w:val="auto"/>
        </w:rPr>
        <w:t>环境空气质量：</w:t>
      </w:r>
      <w:r>
        <w:rPr>
          <w:color w:val="auto"/>
        </w:rPr>
        <w:t>评价区基本污染物（SO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color w:val="auto"/>
        </w:rPr>
        <w:t>、PM</w:t>
      </w:r>
      <w:r>
        <w:rPr>
          <w:color w:val="auto"/>
          <w:vertAlign w:val="subscript"/>
        </w:rPr>
        <w:t>2.5</w:t>
      </w:r>
      <w:r>
        <w:rPr>
          <w:color w:val="auto"/>
        </w:rPr>
        <w:t>、CO、O</w:t>
      </w:r>
      <w:r>
        <w:rPr>
          <w:color w:val="auto"/>
          <w:vertAlign w:val="subscript"/>
        </w:rPr>
        <w:t>3</w:t>
      </w:r>
      <w:r>
        <w:rPr>
          <w:color w:val="auto"/>
        </w:rPr>
        <w:t>）</w:t>
      </w:r>
      <w:r>
        <w:rPr>
          <w:rFonts w:ascii="Times New Roman" w:hAnsi="Times New Roman" w:eastAsia="Times New Roman" w:cs="Times New Roman"/>
          <w:spacing w:val="-7"/>
        </w:rPr>
        <w:t>PM</w:t>
      </w:r>
      <w:r>
        <w:rPr>
          <w:rFonts w:ascii="Times New Roman" w:hAnsi="Times New Roman" w:eastAsia="Times New Roman" w:cs="Times New Roman"/>
          <w:spacing w:val="-7"/>
          <w:position w:val="-1"/>
          <w:sz w:val="16"/>
          <w:szCs w:val="16"/>
        </w:rPr>
        <w:t>10</w:t>
      </w:r>
      <w:r>
        <w:rPr>
          <w:spacing w:val="-7"/>
        </w:rPr>
        <w:t>、</w:t>
      </w:r>
      <w:r>
        <w:rPr>
          <w:rFonts w:ascii="Times New Roman" w:hAnsi="Times New Roman" w:eastAsia="Times New Roman" w:cs="Times New Roman"/>
          <w:spacing w:val="-7"/>
        </w:rPr>
        <w:t>PM</w:t>
      </w:r>
      <w:r>
        <w:rPr>
          <w:rFonts w:ascii="Times New Roman" w:hAnsi="Times New Roman" w:eastAsia="Times New Roman" w:cs="Times New Roman"/>
          <w:spacing w:val="-8"/>
          <w:position w:val="-1"/>
          <w:sz w:val="16"/>
          <w:szCs w:val="16"/>
        </w:rPr>
        <w:t>2.5</w:t>
      </w:r>
      <w:r>
        <w:rPr>
          <w:spacing w:val="-8"/>
        </w:rPr>
        <w:t>、</w:t>
      </w:r>
      <w:r>
        <w:rPr>
          <w:rFonts w:ascii="Times New Roman" w:hAnsi="Times New Roman" w:eastAsia="Times New Roman" w:cs="Times New Roman"/>
          <w:spacing w:val="-2"/>
        </w:rPr>
        <w:t>O</w:t>
      </w:r>
      <w:r>
        <w:rPr>
          <w:rFonts w:ascii="Times New Roman" w:hAnsi="Times New Roman" w:eastAsia="Times New Roman" w:cs="Times New Roman"/>
          <w:spacing w:val="-2"/>
          <w:position w:val="-1"/>
          <w:sz w:val="16"/>
          <w:szCs w:val="16"/>
        </w:rPr>
        <w:t>3</w:t>
      </w:r>
      <w:r>
        <w:rPr>
          <w:spacing w:val="-2"/>
        </w:rPr>
        <w:t>环境质量现状监测结果不能满足《环境空气质量标准》（</w:t>
      </w:r>
      <w:r>
        <w:rPr>
          <w:rFonts w:ascii="Times New Roman" w:hAnsi="Times New Roman" w:eastAsia="Times New Roman" w:cs="Times New Roman"/>
          <w:spacing w:val="-2"/>
        </w:rPr>
        <w:t>G</w:t>
      </w:r>
      <w:r>
        <w:rPr>
          <w:rFonts w:ascii="Times New Roman" w:hAnsi="Times New Roman" w:eastAsia="Times New Roman" w:cs="Times New Roman"/>
          <w:spacing w:val="-3"/>
        </w:rPr>
        <w:t>B3095-2012</w:t>
      </w:r>
      <w:r>
        <w:rPr>
          <w:spacing w:val="-3"/>
        </w:rPr>
        <w:t>）二级</w:t>
      </w:r>
      <w:r>
        <w:rPr>
          <w:spacing w:val="-8"/>
        </w:rPr>
        <w:t>标准要求，属于不达标区。</w:t>
      </w:r>
      <w:r>
        <w:rPr>
          <w:rFonts w:hint="eastAsia"/>
          <w:color w:val="auto"/>
        </w:rPr>
        <w:t>评价区其他污染物：</w:t>
      </w:r>
      <w:r>
        <w:rPr>
          <w:rFonts w:hint="eastAsia"/>
          <w:color w:val="auto"/>
          <w:lang w:val="en-US" w:eastAsia="zh-CN"/>
        </w:rPr>
        <w:t>非</w:t>
      </w:r>
      <w:r>
        <w:rPr>
          <w:spacing w:val="-8"/>
        </w:rPr>
        <w:t>甲烷总烃能够满足《大气污染物综合</w:t>
      </w:r>
      <w:r>
        <w:rPr>
          <w:spacing w:val="-1"/>
        </w:rPr>
        <w:t>排放标准详解》第四章标准值说明的限值要求</w:t>
      </w:r>
      <w:r>
        <w:rPr>
          <w:rFonts w:hint="eastAsia"/>
          <w:color w:val="auto"/>
        </w:rPr>
        <w:t>。</w:t>
      </w:r>
    </w:p>
    <w:p w14:paraId="672C0CFA">
      <w:pPr>
        <w:bidi w:val="0"/>
        <w:rPr>
          <w:color w:val="auto"/>
          <w:highlight w:val="none"/>
        </w:rPr>
      </w:pPr>
      <w:r>
        <w:rPr>
          <w:b/>
          <w:bCs/>
          <w:color w:val="auto"/>
          <w:highlight w:val="none"/>
        </w:rPr>
        <w:t>地表水环境：</w:t>
      </w:r>
      <w:r>
        <w:rPr>
          <w:rFonts w:hint="eastAsia"/>
          <w:color w:val="auto"/>
          <w:highlight w:val="none"/>
          <w:shd w:val="clear"/>
        </w:rPr>
        <w:t>大沙河水花堡断面202</w:t>
      </w:r>
      <w:r>
        <w:rPr>
          <w:rFonts w:hint="eastAsia"/>
          <w:color w:val="auto"/>
          <w:highlight w:val="none"/>
          <w:shd w:val="clear"/>
          <w:lang w:val="en-US" w:eastAsia="zh-CN"/>
        </w:rPr>
        <w:t>3</w:t>
      </w:r>
      <w:r>
        <w:rPr>
          <w:rFonts w:hint="eastAsia"/>
          <w:color w:val="auto"/>
          <w:highlight w:val="none"/>
          <w:shd w:val="clear"/>
        </w:rPr>
        <w:t>年COD均值</w:t>
      </w:r>
      <w:r>
        <w:rPr>
          <w:rFonts w:hint="eastAsia"/>
          <w:color w:val="auto"/>
          <w:highlight w:val="none"/>
          <w:shd w:val="clear"/>
          <w:lang w:val="en-US" w:eastAsia="zh-CN"/>
        </w:rPr>
        <w:t>27</w:t>
      </w:r>
      <w:r>
        <w:rPr>
          <w:rFonts w:hint="eastAsia"/>
          <w:color w:val="auto"/>
          <w:highlight w:val="none"/>
          <w:shd w:val="clear"/>
        </w:rPr>
        <w:t>mg/L、NH</w:t>
      </w:r>
      <w:r>
        <w:rPr>
          <w:rFonts w:hint="eastAsia"/>
          <w:color w:val="auto"/>
          <w:highlight w:val="none"/>
          <w:shd w:val="clear"/>
          <w:vertAlign w:val="subscript"/>
        </w:rPr>
        <w:t>3</w:t>
      </w:r>
      <w:r>
        <w:rPr>
          <w:rFonts w:hint="eastAsia"/>
          <w:color w:val="auto"/>
          <w:highlight w:val="none"/>
          <w:shd w:val="clear"/>
        </w:rPr>
        <w:t>-N均值0.</w:t>
      </w:r>
      <w:r>
        <w:rPr>
          <w:rFonts w:hint="eastAsia"/>
          <w:color w:val="auto"/>
          <w:highlight w:val="none"/>
          <w:shd w:val="clear"/>
          <w:lang w:val="en-US" w:eastAsia="zh-CN"/>
        </w:rPr>
        <w:t>7</w:t>
      </w:r>
      <w:r>
        <w:rPr>
          <w:rFonts w:hint="eastAsia"/>
          <w:color w:val="auto"/>
          <w:highlight w:val="none"/>
          <w:shd w:val="clear"/>
        </w:rPr>
        <w:t>mg/L、TP均值0.1</w:t>
      </w:r>
      <w:r>
        <w:rPr>
          <w:rFonts w:hint="eastAsia"/>
          <w:color w:val="auto"/>
          <w:highlight w:val="none"/>
          <w:shd w:val="clear"/>
          <w:lang w:val="en-US" w:eastAsia="zh-CN"/>
        </w:rPr>
        <w:t>6</w:t>
      </w:r>
      <w:r>
        <w:rPr>
          <w:rFonts w:hint="eastAsia"/>
          <w:color w:val="auto"/>
          <w:highlight w:val="none"/>
          <w:shd w:val="clear"/>
        </w:rPr>
        <w:t>mg/L。均能够满足《地表水环境质量标准》（GB3838-2002）Ⅳ类标准。</w:t>
      </w:r>
    </w:p>
    <w:p w14:paraId="056C227B">
      <w:pPr>
        <w:bidi w:val="0"/>
        <w:rPr>
          <w:color w:val="auto"/>
        </w:rPr>
      </w:pPr>
      <w:r>
        <w:rPr>
          <w:b/>
          <w:bCs/>
          <w:color w:val="auto"/>
        </w:rPr>
        <w:t>地下水环境：</w:t>
      </w:r>
      <w:r>
        <w:rPr>
          <w:color w:val="auto"/>
        </w:rPr>
        <w:t>根据监测结果，评价区地下水pH、耗氧量、氨氮</w:t>
      </w:r>
      <w:r>
        <w:rPr>
          <w:rFonts w:hint="eastAsia"/>
          <w:color w:val="auto"/>
          <w:lang w:eastAsia="zh-CN"/>
        </w:rPr>
        <w:t>、</w:t>
      </w:r>
      <w:r>
        <w:rPr>
          <w:color w:val="auto"/>
        </w:rPr>
        <w:t>等指标均能满足《地下水质量标准》（GB/T</w:t>
      </w:r>
      <w:r>
        <w:rPr>
          <w:rFonts w:hint="eastAsia"/>
          <w:color w:val="auto"/>
          <w:lang w:val="en-US" w:eastAsia="zh-CN"/>
        </w:rPr>
        <w:t xml:space="preserve"> </w:t>
      </w:r>
      <w:r>
        <w:rPr>
          <w:color w:val="auto"/>
        </w:rPr>
        <w:t>14848-2017）Ⅲ类的标准要求。</w:t>
      </w:r>
    </w:p>
    <w:p w14:paraId="3725C5EA">
      <w:pPr>
        <w:bidi w:val="0"/>
        <w:rPr>
          <w:color w:val="auto"/>
        </w:rPr>
      </w:pPr>
      <w:r>
        <w:rPr>
          <w:b/>
          <w:bCs/>
          <w:color w:val="auto"/>
        </w:rPr>
        <w:t>声环境：</w:t>
      </w:r>
      <w:r>
        <w:rPr>
          <w:color w:val="auto"/>
        </w:rPr>
        <w:t>项目周围声环境质量能达到《声环境质量标准》（GB</w:t>
      </w:r>
      <w:r>
        <w:rPr>
          <w:rFonts w:hint="eastAsia"/>
          <w:color w:val="auto"/>
          <w:lang w:val="en-US" w:eastAsia="zh-CN"/>
        </w:rPr>
        <w:t xml:space="preserve"> </w:t>
      </w:r>
      <w:r>
        <w:rPr>
          <w:color w:val="auto"/>
        </w:rPr>
        <w:t>3096-2008）3类标准。</w:t>
      </w:r>
    </w:p>
    <w:p w14:paraId="70EA2C55">
      <w:pPr>
        <w:bidi w:val="0"/>
        <w:rPr>
          <w:color w:val="auto"/>
        </w:rPr>
      </w:pPr>
      <w:r>
        <w:rPr>
          <w:b/>
          <w:bCs/>
          <w:color w:val="auto"/>
        </w:rPr>
        <w:t>土壤环境：</w:t>
      </w:r>
      <w:r>
        <w:rPr>
          <w:rFonts w:hint="eastAsia"/>
          <w:color w:val="auto"/>
        </w:rPr>
        <w:t>项目厂址区域土壤中各监测点位的各监测因子均能满足《土壤环境质量</w:t>
      </w:r>
      <w:r>
        <w:rPr>
          <w:color w:val="auto"/>
        </w:rPr>
        <w:t xml:space="preserve"> </w:t>
      </w:r>
      <w:r>
        <w:rPr>
          <w:rFonts w:hint="eastAsia"/>
          <w:color w:val="auto"/>
        </w:rPr>
        <w:t>建设用地土壤污染风险管控标准（试行）》（</w:t>
      </w:r>
      <w:r>
        <w:rPr>
          <w:color w:val="auto"/>
        </w:rPr>
        <w:t>GB</w:t>
      </w:r>
      <w:r>
        <w:rPr>
          <w:rFonts w:hint="eastAsia"/>
          <w:color w:val="auto"/>
          <w:lang w:val="en-US" w:eastAsia="zh-CN"/>
        </w:rPr>
        <w:t xml:space="preserve"> </w:t>
      </w:r>
      <w:r>
        <w:rPr>
          <w:color w:val="auto"/>
        </w:rPr>
        <w:t>36600-2018</w:t>
      </w:r>
      <w:r>
        <w:rPr>
          <w:rFonts w:hint="eastAsia"/>
          <w:color w:val="auto"/>
        </w:rPr>
        <w:t>）表1第二类用地筛选值要求。</w:t>
      </w:r>
    </w:p>
    <w:p w14:paraId="55C7FCB5">
      <w:pPr>
        <w:pStyle w:val="3"/>
        <w:bidi w:val="0"/>
        <w:rPr>
          <w:color w:val="auto"/>
        </w:rPr>
      </w:pPr>
      <w:bookmarkStart w:id="133" w:name="_Toc18052"/>
      <w:r>
        <w:rPr>
          <w:rFonts w:hint="eastAsia"/>
          <w:color w:val="auto"/>
        </w:rPr>
        <w:t>规划相符性分析</w:t>
      </w:r>
      <w:bookmarkEnd w:id="133"/>
    </w:p>
    <w:p w14:paraId="258EE4BA">
      <w:pPr>
        <w:pStyle w:val="5"/>
        <w:bidi w:val="0"/>
        <w:rPr>
          <w:rFonts w:hint="eastAsia"/>
          <w:color w:val="auto"/>
        </w:rPr>
      </w:pPr>
      <w:r>
        <w:rPr>
          <w:rFonts w:hint="eastAsia"/>
          <w:color w:val="auto"/>
        </w:rPr>
        <w:t>《新乡经济技术开发区发展规划（2009-2020）》及《新乡经济技术开发区发展规划（2009-2020）环境影响跟踪评价报告书》</w:t>
      </w:r>
    </w:p>
    <w:p w14:paraId="0C6E3574">
      <w:pPr>
        <w:bidi w:val="0"/>
        <w:rPr>
          <w:rFonts w:hint="eastAsia"/>
          <w:color w:val="auto"/>
        </w:rPr>
      </w:pPr>
      <w:r>
        <w:rPr>
          <w:rFonts w:hint="eastAsia"/>
          <w:color w:val="auto"/>
        </w:rPr>
        <w:t>新乡经济技术开发区为河南省确定的首批180个产业集聚区之一，位于新乡市区东部，距新乡市中心城区行政中心8km，北至济东高速公路，南至新延公路，西至东三干渠，东与延津县相连，规划区面积22.8km</w:t>
      </w:r>
      <w:r>
        <w:rPr>
          <w:rFonts w:hint="eastAsia"/>
          <w:color w:val="auto"/>
          <w:vertAlign w:val="superscript"/>
        </w:rPr>
        <w:t>2</w:t>
      </w:r>
      <w:r>
        <w:rPr>
          <w:rFonts w:hint="eastAsia"/>
          <w:color w:val="auto"/>
        </w:rPr>
        <w:t>。新乡经济技术开发区是在河南新乡工业园区的基础上设立的，该园区始建于2003年元月；2005年12月园区环境影响评价经过省环保厅批复；2006年4月，经国家发改委、建设部、国土资源部审核，省政府批准，正式被确立为省级开发区，名称为新乡工业园区；2012年7月30日，经国务院批准，升级为国家级经济技术开发区，定名为“新乡经济技术开发区”。新乡经济技术开发区位于新乡市区东部的黄河故道区，区内80%的土地为沙荒地。</w:t>
      </w:r>
    </w:p>
    <w:p w14:paraId="27C5FA96">
      <w:pPr>
        <w:bidi w:val="0"/>
        <w:rPr>
          <w:rFonts w:hint="eastAsia"/>
          <w:color w:val="auto"/>
        </w:rPr>
      </w:pPr>
      <w:r>
        <w:rPr>
          <w:rFonts w:hint="eastAsia"/>
          <w:color w:val="auto"/>
        </w:rPr>
        <w:t>《新乡工业产业集聚区发展规划环境影响报告书》于2010年由新乡市环境保护科学设计研究院编制完成，该规划环评2011年1月已取得河南省环保厅的批复（豫环审[2011]2号）。</w:t>
      </w:r>
    </w:p>
    <w:p w14:paraId="254CBE8A">
      <w:pPr>
        <w:bidi w:val="0"/>
        <w:rPr>
          <w:rFonts w:hint="eastAsia"/>
          <w:color w:val="auto"/>
        </w:rPr>
      </w:pPr>
      <w:r>
        <w:rPr>
          <w:rFonts w:hint="eastAsia"/>
          <w:color w:val="auto"/>
        </w:rPr>
        <w:t>根据《河南省环境保护厅关于全面加强产业园区规划环境影响评价工作的通知》（豫环文[2016]174号）要求，新乡经济技术开发区开展了跟踪环境影响评价工作。《新乡经济技术开发区发展规划（2009-2020）环境影响跟踪评价报告书》由济源蓝天科技有限责任公司编制完成，并于2020年6月取得河南省生态环境厅的审核意见（豫环函〔2020〕105号），跟踪评价给出了园区后续规划实施的产业发展负面清单和环境准入要求。</w:t>
      </w:r>
    </w:p>
    <w:p w14:paraId="2C35A24F">
      <w:pPr>
        <w:pStyle w:val="6"/>
        <w:bidi w:val="0"/>
        <w:rPr>
          <w:color w:val="auto"/>
        </w:rPr>
      </w:pPr>
      <w:r>
        <w:rPr>
          <w:rFonts w:hint="eastAsia"/>
          <w:color w:val="auto"/>
          <w:lang w:val="en-US" w:eastAsia="zh-CN"/>
        </w:rPr>
        <w:t>规划范围和期限</w:t>
      </w:r>
    </w:p>
    <w:p w14:paraId="3BB5DC31">
      <w:pPr>
        <w:bidi w:val="0"/>
        <w:rPr>
          <w:rFonts w:hint="eastAsia"/>
          <w:color w:val="auto"/>
        </w:rPr>
      </w:pPr>
      <w:r>
        <w:rPr>
          <w:rFonts w:hint="eastAsia"/>
          <w:color w:val="auto"/>
        </w:rPr>
        <w:t>规划范围：经开区位于新乡市中心城区东部，北至纬九路（与市区平原路连接），南至新延路，西北至经一路和东三干渠，东至延津县界，总面积2280公顷。</w:t>
      </w:r>
    </w:p>
    <w:p w14:paraId="348C6393">
      <w:pPr>
        <w:bidi w:val="0"/>
        <w:rPr>
          <w:rFonts w:hint="eastAsia"/>
          <w:color w:val="auto"/>
        </w:rPr>
      </w:pPr>
      <w:r>
        <w:rPr>
          <w:rFonts w:hint="eastAsia"/>
          <w:color w:val="auto"/>
        </w:rPr>
        <w:t>规划期限：规划分三期。其中近期为2009～2012年；中期为2013～2015年；远期为2016～2020年。</w:t>
      </w:r>
    </w:p>
    <w:p w14:paraId="649B75BE">
      <w:pPr>
        <w:pStyle w:val="6"/>
        <w:bidi w:val="0"/>
        <w:rPr>
          <w:color w:val="auto"/>
        </w:rPr>
      </w:pPr>
      <w:r>
        <w:rPr>
          <w:rFonts w:hint="eastAsia"/>
          <w:color w:val="auto"/>
        </w:rPr>
        <w:t>市政基础设施</w:t>
      </w:r>
    </w:p>
    <w:p w14:paraId="33A90286">
      <w:pPr>
        <w:bidi w:val="0"/>
        <w:rPr>
          <w:color w:val="auto"/>
        </w:rPr>
      </w:pPr>
      <w:r>
        <w:rPr>
          <w:rFonts w:hint="eastAsia"/>
          <w:color w:val="auto"/>
        </w:rPr>
        <w:t>（一）给水</w:t>
      </w:r>
    </w:p>
    <w:p w14:paraId="49A3479C">
      <w:pPr>
        <w:bidi w:val="0"/>
        <w:rPr>
          <w:rFonts w:hint="eastAsia"/>
          <w:color w:val="auto"/>
        </w:rPr>
      </w:pPr>
      <w:r>
        <w:rPr>
          <w:rFonts w:hint="eastAsia"/>
          <w:color w:val="auto"/>
        </w:rPr>
        <w:t>现状供水由新区水厂供水，在开发区形成较为完善的供水系统。现状供水管网呈环状布置，沿金穗大道、广源路、经开大道、鸿达大道、滨湖大道、知行街、迎宾大道、广安街、铭智路、福佑街、顺程路等道路已敷设了DN200～DN800 的供水管道，建成给水管长度约61 公里。</w:t>
      </w:r>
    </w:p>
    <w:p w14:paraId="2DBE1355">
      <w:pPr>
        <w:bidi w:val="0"/>
        <w:rPr>
          <w:color w:val="auto"/>
        </w:rPr>
      </w:pPr>
      <w:r>
        <w:rPr>
          <w:rFonts w:hint="eastAsia"/>
          <w:color w:val="auto"/>
        </w:rPr>
        <w:t>新乡市化纤股份有限公司由新乡市兴鹭水务有限公司供水，兴鹭水务设计供水规模为10万吨/日，一期规模为5万吨/日，原水输水管路全长26公里。水厂采用“折板反应+平流沉淀+V型滤池”的处理工艺，一期供水工程已于2023年11月投入运行。</w:t>
      </w:r>
    </w:p>
    <w:p w14:paraId="6372686A">
      <w:pPr>
        <w:bidi w:val="0"/>
        <w:rPr>
          <w:color w:val="auto"/>
        </w:rPr>
      </w:pPr>
      <w:r>
        <w:rPr>
          <w:rFonts w:hint="eastAsia"/>
          <w:color w:val="auto"/>
        </w:rPr>
        <w:t>（二）排水</w:t>
      </w:r>
    </w:p>
    <w:p w14:paraId="057B8305">
      <w:pPr>
        <w:bidi w:val="0"/>
        <w:rPr>
          <w:rFonts w:hint="eastAsia"/>
          <w:color w:val="auto"/>
        </w:rPr>
      </w:pPr>
      <w:r>
        <w:rPr>
          <w:rFonts w:hint="eastAsia"/>
          <w:color w:val="auto"/>
        </w:rPr>
        <w:t>（1）雨水排放</w:t>
      </w:r>
    </w:p>
    <w:p w14:paraId="15D969F9">
      <w:pPr>
        <w:bidi w:val="0"/>
        <w:rPr>
          <w:rFonts w:hint="eastAsia"/>
          <w:color w:val="auto"/>
        </w:rPr>
      </w:pPr>
      <w:r>
        <w:rPr>
          <w:rFonts w:hint="eastAsia"/>
          <w:color w:val="auto"/>
        </w:rPr>
        <w:t>开发区现状雨水排放系统已基本形成，主要道路均铺设有雨水收集管网，现有雨水泵站四座，分别位于永安街与花园路交叉口（13 立方米/秒）、榆东街与大沙河交汇处（2.5 立方米/秒）、鸿达大道与经纬路交叉口（18 立方米/秒）、滨湖大道与经开大道交叉口（15 立方米/秒），现状道路附设有DN500～DN2200 的雨水管道，雨水由雨水管道汇集后由泵站提排后排入大沙河。</w:t>
      </w:r>
    </w:p>
    <w:p w14:paraId="42A3EADD">
      <w:pPr>
        <w:bidi w:val="0"/>
        <w:rPr>
          <w:rFonts w:hint="eastAsia"/>
          <w:color w:val="auto"/>
        </w:rPr>
      </w:pPr>
      <w:r>
        <w:rPr>
          <w:rFonts w:hint="eastAsia"/>
          <w:color w:val="auto"/>
        </w:rPr>
        <w:t>（2）污水处理</w:t>
      </w:r>
    </w:p>
    <w:p w14:paraId="4824687B">
      <w:pPr>
        <w:bidi w:val="0"/>
        <w:rPr>
          <w:rFonts w:hint="eastAsia"/>
          <w:color w:val="auto"/>
        </w:rPr>
      </w:pPr>
      <w:r>
        <w:rPr>
          <w:rFonts w:hint="eastAsia"/>
          <w:color w:val="auto"/>
        </w:rPr>
        <w:t>现有小店污水处理厂，位于金穗大道以北、东三干渠以西，最终设计污水处理能力15万立方米/日，目前污水处理能力为10万立方米/日。</w:t>
      </w:r>
    </w:p>
    <w:p w14:paraId="02D3EF45">
      <w:pPr>
        <w:bidi w:val="0"/>
        <w:rPr>
          <w:rFonts w:hint="eastAsia"/>
          <w:color w:val="auto"/>
        </w:rPr>
      </w:pPr>
      <w:r>
        <w:rPr>
          <w:rFonts w:hint="eastAsia"/>
          <w:color w:val="auto"/>
        </w:rPr>
        <w:t xml:space="preserve"> （三）供电</w:t>
      </w:r>
    </w:p>
    <w:p w14:paraId="34221072">
      <w:pPr>
        <w:bidi w:val="0"/>
        <w:rPr>
          <w:rFonts w:hint="eastAsia"/>
          <w:color w:val="auto"/>
        </w:rPr>
      </w:pPr>
      <w:r>
        <w:rPr>
          <w:rFonts w:hint="eastAsia"/>
          <w:color w:val="auto"/>
        </w:rPr>
        <w:t>开发区现有两处变电站，即110kV 彩虹变、110kV 白鹭变。110kV 彩虹变位于广源路与滨湖大道交叉口东北角，主变容量为40+63MVA；110kV 白鹭变主变容量为20+2*31.5MVA，是化纤厂的专用变电站。</w:t>
      </w:r>
    </w:p>
    <w:p w14:paraId="588FCE3B">
      <w:pPr>
        <w:bidi w:val="0"/>
        <w:rPr>
          <w:rFonts w:hint="eastAsia"/>
          <w:color w:val="auto"/>
        </w:rPr>
      </w:pPr>
      <w:r>
        <w:rPr>
          <w:rFonts w:hint="eastAsia"/>
          <w:color w:val="auto"/>
        </w:rPr>
        <w:t>开发区外围有110kV 榆林变1 座、110 千伏园区变1 座，35kV 东屯变1 座、35kV 孟湾变1 座，其中10 千伏东工、东发线、孟冯线供至经开区。同时220kV千佛变电站1 座（2022 年11 月份投运），主变容量为1*240MVA。</w:t>
      </w:r>
    </w:p>
    <w:p w14:paraId="65ADA89D">
      <w:pPr>
        <w:bidi w:val="0"/>
        <w:rPr>
          <w:rFonts w:hint="eastAsia"/>
          <w:color w:val="auto"/>
        </w:rPr>
      </w:pPr>
      <w:r>
        <w:rPr>
          <w:rFonts w:hint="eastAsia"/>
          <w:color w:val="auto"/>
        </w:rPr>
        <w:t>110kV 氨纶变主变容量31.5+20MVA，位于经纬路与绿纺街交叉口西南侧，是用户的专用变电站。</w:t>
      </w:r>
    </w:p>
    <w:p w14:paraId="158D1943">
      <w:pPr>
        <w:bidi w:val="0"/>
        <w:rPr>
          <w:rFonts w:hint="eastAsia"/>
          <w:color w:val="auto"/>
        </w:rPr>
      </w:pPr>
      <w:r>
        <w:rPr>
          <w:rFonts w:hint="eastAsia"/>
          <w:color w:val="auto"/>
        </w:rPr>
        <w:t>110 千伏彩虹变由220kV 古固寨变的古彩线和220kV 千佛变的千彩线供电，110 千伏白鹭变由220kV 古固寨变的110 千伏古鹭线和110 千伏古彩线供电，110 千伏榆林变由220kV 姜公变姜林线供电和千林线供电。</w:t>
      </w:r>
    </w:p>
    <w:p w14:paraId="396C1E07">
      <w:pPr>
        <w:bidi w:val="0"/>
        <w:rPr>
          <w:rFonts w:hint="eastAsia"/>
          <w:color w:val="auto"/>
        </w:rPr>
      </w:pPr>
      <w:r>
        <w:rPr>
          <w:rFonts w:hint="eastAsia"/>
          <w:color w:val="auto"/>
        </w:rPr>
        <w:t>（四）供热</w:t>
      </w:r>
    </w:p>
    <w:p w14:paraId="0A1F0758">
      <w:pPr>
        <w:bidi w:val="0"/>
        <w:rPr>
          <w:rFonts w:hint="eastAsia"/>
          <w:color w:val="auto"/>
        </w:rPr>
      </w:pPr>
      <w:r>
        <w:rPr>
          <w:rFonts w:hint="eastAsia"/>
          <w:color w:val="auto"/>
        </w:rPr>
        <w:t>开发区现有热源为新乡化纤股份有限公司自建的装机规模为2×170t/h高温高压煤粉锅炉＋3×75t/h 中温次高压煤粉锅炉＋（2×25MW＋1×12MW＋1×6MW）背压式汽轮发电机组。</w:t>
      </w:r>
    </w:p>
    <w:p w14:paraId="5206D824">
      <w:pPr>
        <w:bidi w:val="0"/>
        <w:rPr>
          <w:rFonts w:hint="eastAsia"/>
          <w:color w:val="auto"/>
        </w:rPr>
      </w:pPr>
      <w:r>
        <w:rPr>
          <w:rFonts w:hint="eastAsia"/>
          <w:color w:val="auto"/>
        </w:rPr>
        <w:t>开发区现状管网全部为蒸汽管网，蒸汽主管网从新乡化纤厂和新奥公司引出后，沿新长北线—经十路—经九路—榆东路—纬五路等敷设，主管径依次为DN450-DN150，主管网长度约为20km，供热半径为3.0km，供应沿线的立白、景泓印染、护神特种织物、中纺院绿色纤维、高金食品、飞鹭纺织、华瑞高科、联谊制药等工业热用户，蒸汽管网设计压力1.6MPa，设计温度300℃。</w:t>
      </w:r>
    </w:p>
    <w:p w14:paraId="7813A3AF">
      <w:pPr>
        <w:bidi w:val="0"/>
        <w:rPr>
          <w:rFonts w:hint="eastAsia"/>
          <w:color w:val="auto"/>
        </w:rPr>
      </w:pPr>
      <w:r>
        <w:rPr>
          <w:rFonts w:hint="eastAsia"/>
          <w:color w:val="auto"/>
        </w:rPr>
        <w:t>考虑园区工业对高温高压蒸汽的需求，新乡经济技术开发区于2020年6月对园区供热规划进行了调整，调整规划中提出热源建设方案，新乡化纤股份有限公司新建一台360t/h高温高压锅炉实现集中供热，目前正在进行运行调试。</w:t>
      </w:r>
    </w:p>
    <w:p w14:paraId="0BFB464A">
      <w:pPr>
        <w:bidi w:val="0"/>
        <w:rPr>
          <w:rFonts w:hint="eastAsia"/>
          <w:color w:val="auto"/>
        </w:rPr>
      </w:pPr>
      <w:r>
        <w:rPr>
          <w:rFonts w:hint="eastAsia"/>
          <w:color w:val="auto"/>
        </w:rPr>
        <w:t>本项目建成时间为2024年11月，届时360t/h高温高压锅炉项目预计正常运行，故本项目用热依托园区拟建的热源点360t/h高温高压锅炉是可行的。</w:t>
      </w:r>
    </w:p>
    <w:p w14:paraId="6D6FD80E">
      <w:pPr>
        <w:bidi w:val="0"/>
        <w:rPr>
          <w:rFonts w:hint="eastAsia"/>
          <w:color w:val="auto"/>
        </w:rPr>
      </w:pPr>
      <w:r>
        <w:rPr>
          <w:rFonts w:hint="eastAsia"/>
          <w:color w:val="auto"/>
        </w:rPr>
        <w:t>固废：经开区内垃圾处理实现无害化、资源化、减量化，主要依托新乡市城市生活垃圾处理场进行处理。</w:t>
      </w:r>
    </w:p>
    <w:p w14:paraId="3EC2A09F">
      <w:pPr>
        <w:pStyle w:val="6"/>
        <w:bidi w:val="0"/>
        <w:rPr>
          <w:rFonts w:hint="eastAsia"/>
          <w:lang w:val="en-US" w:eastAsia="zh-CN"/>
        </w:rPr>
      </w:pPr>
      <w:r>
        <w:rPr>
          <w:rFonts w:hint="eastAsia"/>
          <w:lang w:val="en-US" w:eastAsia="zh-CN"/>
        </w:rPr>
        <w:t>产业布局及主导产业</w:t>
      </w:r>
    </w:p>
    <w:p w14:paraId="42D483CA">
      <w:pPr>
        <w:bidi w:val="0"/>
        <w:rPr>
          <w:color w:val="auto"/>
        </w:rPr>
      </w:pPr>
      <w:r>
        <w:rPr>
          <w:rFonts w:hint="eastAsia"/>
          <w:color w:val="auto"/>
        </w:rPr>
        <w:t>以园区现有工业为基础，优化产业结构，提升产业能级，发展高新技术和先进制造业，主要引导产业为化纤纺织、汽车配件、机械加工、现代物流业，形成以工业为主导生产性服务业和高新技术产业为支撑，房地产、商业于一体的园区产业体系。建成产业特色鲜明、投资环境优良、经济具有活力的现代工业园区。集聚区规划结合现有产业基础和各类工业企业布局状况，形成化纤纺织产业集中区、汽车及零部件产业集中区、装备制造业集中区、化工医药产业集中区以及与三大主导产业相关的其它中小企业集中区的产业布局。</w:t>
      </w:r>
    </w:p>
    <w:p w14:paraId="478219EB">
      <w:pPr>
        <w:pStyle w:val="6"/>
        <w:bidi w:val="0"/>
        <w:rPr>
          <w:color w:val="auto"/>
        </w:rPr>
      </w:pPr>
      <w:r>
        <w:rPr>
          <w:rFonts w:hint="eastAsia"/>
          <w:color w:val="auto"/>
        </w:rPr>
        <w:t>集聚区准入条件及负面清单分析</w:t>
      </w:r>
    </w:p>
    <w:p w14:paraId="44C00CF9">
      <w:pPr>
        <w:bidi w:val="0"/>
        <w:rPr>
          <w:color w:val="auto"/>
        </w:rPr>
      </w:pPr>
      <w:r>
        <w:rPr>
          <w:rFonts w:hint="eastAsia"/>
          <w:color w:val="auto"/>
        </w:rPr>
        <w:t>本项目与新乡经济技术开发区准入条件相符性详见</w:t>
      </w:r>
      <w:r>
        <w:rPr>
          <w:rFonts w:hint="eastAsia"/>
          <w:color w:val="auto"/>
          <w:lang w:val="en-US" w:eastAsia="zh-CN"/>
        </w:rPr>
        <w:t>下表</w:t>
      </w:r>
      <w:r>
        <w:rPr>
          <w:rFonts w:hint="eastAsia"/>
          <w:color w:val="auto"/>
        </w:rPr>
        <w:t>，与园区环境准入负面清单相符性详见</w:t>
      </w:r>
      <w:r>
        <w:rPr>
          <w:rFonts w:hint="eastAsia"/>
          <w:color w:val="auto"/>
          <w:lang w:val="en-US" w:eastAsia="zh-CN"/>
        </w:rPr>
        <w:t>下表</w:t>
      </w:r>
      <w:r>
        <w:rPr>
          <w:rFonts w:hint="eastAsia"/>
          <w:color w:val="auto"/>
        </w:rPr>
        <w:t>。</w:t>
      </w:r>
    </w:p>
    <w:p w14:paraId="4C1A55F4">
      <w:pPr>
        <w:pStyle w:val="10"/>
        <w:bidi w:val="0"/>
      </w:pPr>
      <w:r>
        <w:t xml:space="preserve">表 </w:t>
      </w:r>
      <w:r>
        <w:fldChar w:fldCharType="begin"/>
      </w:r>
      <w:r>
        <w:instrText xml:space="preserve"> STYLEREF 2 \s </w:instrText>
      </w:r>
      <w:r>
        <w:fldChar w:fldCharType="separate"/>
      </w:r>
      <w:r>
        <w:t>2.9</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w:t>
      </w:r>
      <w:r>
        <w:rPr>
          <w:rFonts w:hint="eastAsia"/>
        </w:rPr>
        <w:t>本项目与集聚区准入条件对比分析一览表</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3646"/>
        <w:gridCol w:w="2971"/>
        <w:gridCol w:w="1082"/>
      </w:tblGrid>
      <w:tr w14:paraId="6F8FA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51" w:type="dxa"/>
            <w:vAlign w:val="center"/>
          </w:tcPr>
          <w:p w14:paraId="2F58AEFB">
            <w:pPr>
              <w:pStyle w:val="182"/>
              <w:bidi w:val="0"/>
              <w:rPr>
                <w:b/>
                <w:bCs/>
                <w:color w:val="auto"/>
              </w:rPr>
            </w:pPr>
            <w:r>
              <w:rPr>
                <w:b/>
                <w:bCs/>
                <w:color w:val="auto"/>
              </w:rPr>
              <w:t>类别</w:t>
            </w:r>
          </w:p>
        </w:tc>
        <w:tc>
          <w:tcPr>
            <w:tcW w:w="3827" w:type="dxa"/>
            <w:vAlign w:val="center"/>
          </w:tcPr>
          <w:p w14:paraId="2F019751">
            <w:pPr>
              <w:pStyle w:val="182"/>
              <w:bidi w:val="0"/>
              <w:rPr>
                <w:b/>
                <w:bCs/>
                <w:color w:val="auto"/>
              </w:rPr>
            </w:pPr>
            <w:r>
              <w:rPr>
                <w:b/>
                <w:bCs/>
                <w:color w:val="auto"/>
              </w:rPr>
              <w:t>园区项目准入条件</w:t>
            </w:r>
          </w:p>
        </w:tc>
        <w:tc>
          <w:tcPr>
            <w:tcW w:w="3119" w:type="dxa"/>
            <w:vAlign w:val="center"/>
          </w:tcPr>
          <w:p w14:paraId="00B0BCCD">
            <w:pPr>
              <w:pStyle w:val="182"/>
              <w:bidi w:val="0"/>
              <w:rPr>
                <w:b/>
                <w:bCs/>
                <w:color w:val="auto"/>
              </w:rPr>
            </w:pPr>
            <w:r>
              <w:rPr>
                <w:b/>
                <w:bCs/>
                <w:color w:val="auto"/>
              </w:rPr>
              <w:t>本项目情况</w:t>
            </w:r>
          </w:p>
        </w:tc>
        <w:tc>
          <w:tcPr>
            <w:tcW w:w="1127" w:type="dxa"/>
            <w:vAlign w:val="center"/>
          </w:tcPr>
          <w:p w14:paraId="35B52B15">
            <w:pPr>
              <w:pStyle w:val="182"/>
              <w:bidi w:val="0"/>
              <w:rPr>
                <w:b/>
                <w:bCs/>
                <w:color w:val="auto"/>
              </w:rPr>
            </w:pPr>
            <w:r>
              <w:rPr>
                <w:b/>
                <w:bCs/>
                <w:color w:val="auto"/>
              </w:rPr>
              <w:t>对比结果</w:t>
            </w:r>
          </w:p>
        </w:tc>
      </w:tr>
      <w:tr w14:paraId="05738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restart"/>
            <w:vAlign w:val="center"/>
          </w:tcPr>
          <w:p w14:paraId="3C08AEE6">
            <w:pPr>
              <w:pStyle w:val="182"/>
              <w:bidi w:val="0"/>
              <w:rPr>
                <w:color w:val="auto"/>
              </w:rPr>
            </w:pPr>
            <w:r>
              <w:rPr>
                <w:rFonts w:hint="eastAsia"/>
                <w:color w:val="auto"/>
              </w:rPr>
              <w:t>产业政策</w:t>
            </w:r>
          </w:p>
        </w:tc>
        <w:tc>
          <w:tcPr>
            <w:tcW w:w="3827" w:type="dxa"/>
            <w:vAlign w:val="center"/>
          </w:tcPr>
          <w:p w14:paraId="70F8F2D9">
            <w:pPr>
              <w:pStyle w:val="182"/>
              <w:bidi w:val="0"/>
              <w:rPr>
                <w:color w:val="auto"/>
              </w:rPr>
            </w:pPr>
            <w:r>
              <w:rPr>
                <w:color w:val="auto"/>
              </w:rPr>
              <w:t>园区入区建设项目在环境保护方面应做到高起点、高标准、严要求，禁止新建国家《产业结构调整指导目录（2011年本2013修正）》中限制、淘汰类的建设项目。</w:t>
            </w:r>
          </w:p>
        </w:tc>
        <w:tc>
          <w:tcPr>
            <w:tcW w:w="3119" w:type="dxa"/>
            <w:vAlign w:val="center"/>
          </w:tcPr>
          <w:p w14:paraId="0BC8BA61">
            <w:pPr>
              <w:pStyle w:val="182"/>
              <w:bidi w:val="0"/>
              <w:rPr>
                <w:color w:val="auto"/>
              </w:rPr>
            </w:pPr>
            <w:r>
              <w:rPr>
                <w:rFonts w:hint="eastAsia"/>
                <w:color w:val="auto"/>
              </w:rPr>
              <w:t>本项目属于《产业结构调整指导目录（20</w:t>
            </w:r>
            <w:r>
              <w:rPr>
                <w:rFonts w:hint="eastAsia"/>
                <w:color w:val="auto"/>
                <w:lang w:val="en-US" w:eastAsia="zh-CN"/>
              </w:rPr>
              <w:t>24</w:t>
            </w:r>
            <w:r>
              <w:rPr>
                <w:rFonts w:hint="eastAsia"/>
                <w:color w:val="auto"/>
              </w:rPr>
              <w:t>年本）》中的</w:t>
            </w:r>
            <w:r>
              <w:rPr>
                <w:rFonts w:hint="eastAsia"/>
                <w:color w:val="auto"/>
                <w:lang w:val="en-US" w:eastAsia="zh-CN"/>
              </w:rPr>
              <w:t>鼓励</w:t>
            </w:r>
            <w:r>
              <w:rPr>
                <w:rFonts w:hint="eastAsia"/>
                <w:color w:val="auto"/>
              </w:rPr>
              <w:t>类项目。</w:t>
            </w:r>
          </w:p>
        </w:tc>
        <w:tc>
          <w:tcPr>
            <w:tcW w:w="1127" w:type="dxa"/>
            <w:vAlign w:val="center"/>
          </w:tcPr>
          <w:p w14:paraId="45CE7F4B">
            <w:pPr>
              <w:pStyle w:val="182"/>
              <w:bidi w:val="0"/>
              <w:rPr>
                <w:color w:val="auto"/>
              </w:rPr>
            </w:pPr>
            <w:r>
              <w:rPr>
                <w:color w:val="auto"/>
              </w:rPr>
              <w:t>相符</w:t>
            </w:r>
          </w:p>
        </w:tc>
      </w:tr>
      <w:tr w14:paraId="74B08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continue"/>
            <w:vAlign w:val="center"/>
          </w:tcPr>
          <w:p w14:paraId="68B18208">
            <w:pPr>
              <w:pStyle w:val="182"/>
              <w:bidi w:val="0"/>
              <w:rPr>
                <w:color w:val="auto"/>
              </w:rPr>
            </w:pPr>
          </w:p>
        </w:tc>
        <w:tc>
          <w:tcPr>
            <w:tcW w:w="3827" w:type="dxa"/>
            <w:vAlign w:val="center"/>
          </w:tcPr>
          <w:p w14:paraId="3B3CE757">
            <w:pPr>
              <w:pStyle w:val="182"/>
              <w:bidi w:val="0"/>
              <w:rPr>
                <w:color w:val="auto"/>
              </w:rPr>
            </w:pPr>
            <w:r>
              <w:rPr>
                <w:color w:val="auto"/>
              </w:rPr>
              <w:t>鼓励建设省级以上（含省级）认定的高新技术类项目入区。</w:t>
            </w:r>
          </w:p>
        </w:tc>
        <w:tc>
          <w:tcPr>
            <w:tcW w:w="3119" w:type="dxa"/>
            <w:vMerge w:val="restart"/>
            <w:vAlign w:val="center"/>
          </w:tcPr>
          <w:p w14:paraId="4C7DAB1B">
            <w:pPr>
              <w:pStyle w:val="182"/>
              <w:bidi w:val="0"/>
              <w:rPr>
                <w:color w:val="auto"/>
              </w:rPr>
            </w:pPr>
            <w:r>
              <w:rPr>
                <w:rFonts w:hint="eastAsia"/>
                <w:color w:val="auto"/>
              </w:rPr>
              <w:t>本项目为生物质纤维生产，属于化纤纺织制造，符合园区主导产业定位。</w:t>
            </w:r>
          </w:p>
        </w:tc>
        <w:tc>
          <w:tcPr>
            <w:tcW w:w="1127" w:type="dxa"/>
            <w:vMerge w:val="restart"/>
            <w:vAlign w:val="center"/>
          </w:tcPr>
          <w:p w14:paraId="477D7F4A">
            <w:pPr>
              <w:pStyle w:val="182"/>
              <w:bidi w:val="0"/>
              <w:rPr>
                <w:color w:val="auto"/>
              </w:rPr>
            </w:pPr>
            <w:r>
              <w:rPr>
                <w:color w:val="auto"/>
              </w:rPr>
              <w:t>相符</w:t>
            </w:r>
          </w:p>
        </w:tc>
      </w:tr>
      <w:tr w14:paraId="096D3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continue"/>
            <w:vAlign w:val="center"/>
          </w:tcPr>
          <w:p w14:paraId="20395E44">
            <w:pPr>
              <w:pStyle w:val="182"/>
              <w:bidi w:val="0"/>
              <w:rPr>
                <w:color w:val="auto"/>
              </w:rPr>
            </w:pPr>
          </w:p>
        </w:tc>
        <w:tc>
          <w:tcPr>
            <w:tcW w:w="3827" w:type="dxa"/>
            <w:vAlign w:val="center"/>
          </w:tcPr>
          <w:p w14:paraId="5A9A3847">
            <w:pPr>
              <w:pStyle w:val="182"/>
              <w:bidi w:val="0"/>
              <w:rPr>
                <w:color w:val="auto"/>
              </w:rPr>
            </w:pPr>
            <w:r>
              <w:rPr>
                <w:color w:val="auto"/>
              </w:rPr>
              <w:t>鼓励具有先进的、符合集聚区功能定位的轻污染项目优先入区。</w:t>
            </w:r>
          </w:p>
        </w:tc>
        <w:tc>
          <w:tcPr>
            <w:tcW w:w="3119" w:type="dxa"/>
            <w:vMerge w:val="continue"/>
            <w:vAlign w:val="center"/>
          </w:tcPr>
          <w:p w14:paraId="37CDA6FC">
            <w:pPr>
              <w:pStyle w:val="182"/>
              <w:bidi w:val="0"/>
              <w:rPr>
                <w:color w:val="auto"/>
              </w:rPr>
            </w:pPr>
          </w:p>
        </w:tc>
        <w:tc>
          <w:tcPr>
            <w:tcW w:w="1127" w:type="dxa"/>
            <w:vMerge w:val="continue"/>
            <w:vAlign w:val="center"/>
          </w:tcPr>
          <w:p w14:paraId="267BA809">
            <w:pPr>
              <w:pStyle w:val="182"/>
              <w:bidi w:val="0"/>
              <w:rPr>
                <w:color w:val="auto"/>
              </w:rPr>
            </w:pPr>
          </w:p>
        </w:tc>
      </w:tr>
      <w:tr w14:paraId="6FCF0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continue"/>
            <w:vAlign w:val="center"/>
          </w:tcPr>
          <w:p w14:paraId="6DFC0F36">
            <w:pPr>
              <w:pStyle w:val="182"/>
              <w:bidi w:val="0"/>
              <w:rPr>
                <w:color w:val="auto"/>
              </w:rPr>
            </w:pPr>
          </w:p>
        </w:tc>
        <w:tc>
          <w:tcPr>
            <w:tcW w:w="3827" w:type="dxa"/>
            <w:vAlign w:val="center"/>
          </w:tcPr>
          <w:p w14:paraId="3B074AA5">
            <w:pPr>
              <w:pStyle w:val="182"/>
              <w:bidi w:val="0"/>
              <w:rPr>
                <w:color w:val="auto"/>
              </w:rPr>
            </w:pPr>
            <w:r>
              <w:rPr>
                <w:color w:val="auto"/>
              </w:rPr>
              <w:t>鼓励园区主导产业的产业链向高附加值端延伸，实现园区产业升级。</w:t>
            </w:r>
          </w:p>
        </w:tc>
        <w:tc>
          <w:tcPr>
            <w:tcW w:w="3119" w:type="dxa"/>
            <w:vMerge w:val="continue"/>
            <w:vAlign w:val="center"/>
          </w:tcPr>
          <w:p w14:paraId="2C0F54F6">
            <w:pPr>
              <w:pStyle w:val="182"/>
              <w:bidi w:val="0"/>
              <w:rPr>
                <w:color w:val="auto"/>
              </w:rPr>
            </w:pPr>
          </w:p>
        </w:tc>
        <w:tc>
          <w:tcPr>
            <w:tcW w:w="1127" w:type="dxa"/>
            <w:vMerge w:val="continue"/>
            <w:vAlign w:val="center"/>
          </w:tcPr>
          <w:p w14:paraId="3171305A">
            <w:pPr>
              <w:pStyle w:val="182"/>
              <w:bidi w:val="0"/>
              <w:rPr>
                <w:color w:val="auto"/>
              </w:rPr>
            </w:pPr>
          </w:p>
        </w:tc>
      </w:tr>
      <w:tr w14:paraId="119EC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restart"/>
            <w:vAlign w:val="center"/>
          </w:tcPr>
          <w:p w14:paraId="18D69511">
            <w:pPr>
              <w:pStyle w:val="182"/>
              <w:bidi w:val="0"/>
              <w:rPr>
                <w:color w:val="auto"/>
              </w:rPr>
            </w:pPr>
            <w:r>
              <w:rPr>
                <w:rFonts w:hint="eastAsia"/>
                <w:color w:val="auto"/>
              </w:rPr>
              <w:t>空间布局</w:t>
            </w:r>
          </w:p>
        </w:tc>
        <w:tc>
          <w:tcPr>
            <w:tcW w:w="3827" w:type="dxa"/>
            <w:vAlign w:val="center"/>
          </w:tcPr>
          <w:p w14:paraId="52397956">
            <w:pPr>
              <w:pStyle w:val="182"/>
              <w:bidi w:val="0"/>
              <w:rPr>
                <w:color w:val="auto"/>
              </w:rPr>
            </w:pPr>
            <w:r>
              <w:rPr>
                <w:color w:val="auto"/>
              </w:rPr>
              <w:t>装备制造区：（略）。</w:t>
            </w:r>
          </w:p>
        </w:tc>
        <w:tc>
          <w:tcPr>
            <w:tcW w:w="3119" w:type="dxa"/>
            <w:vMerge w:val="restart"/>
            <w:vAlign w:val="center"/>
          </w:tcPr>
          <w:p w14:paraId="0CA46AE4">
            <w:pPr>
              <w:pStyle w:val="182"/>
              <w:bidi w:val="0"/>
              <w:rPr>
                <w:color w:val="auto"/>
              </w:rPr>
            </w:pPr>
            <w:r>
              <w:rPr>
                <w:rFonts w:hint="eastAsia"/>
                <w:color w:val="auto"/>
              </w:rPr>
              <w:t>本项目为生物质纤维生产，属于化纤纺织制造，符合园区主导产业定位。</w:t>
            </w:r>
          </w:p>
        </w:tc>
        <w:tc>
          <w:tcPr>
            <w:tcW w:w="1127" w:type="dxa"/>
            <w:vMerge w:val="restart"/>
            <w:vAlign w:val="center"/>
          </w:tcPr>
          <w:p w14:paraId="77A002AF">
            <w:pPr>
              <w:pStyle w:val="182"/>
              <w:bidi w:val="0"/>
              <w:rPr>
                <w:color w:val="auto"/>
              </w:rPr>
            </w:pPr>
            <w:r>
              <w:rPr>
                <w:rFonts w:hint="eastAsia"/>
                <w:color w:val="auto"/>
              </w:rPr>
              <w:t>相符</w:t>
            </w:r>
          </w:p>
        </w:tc>
      </w:tr>
      <w:tr w14:paraId="3A92C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continue"/>
            <w:vAlign w:val="center"/>
          </w:tcPr>
          <w:p w14:paraId="5BFED43F">
            <w:pPr>
              <w:pStyle w:val="182"/>
              <w:bidi w:val="0"/>
              <w:rPr>
                <w:color w:val="auto"/>
              </w:rPr>
            </w:pPr>
          </w:p>
        </w:tc>
        <w:tc>
          <w:tcPr>
            <w:tcW w:w="3827" w:type="dxa"/>
            <w:vAlign w:val="center"/>
          </w:tcPr>
          <w:p w14:paraId="18145ED3">
            <w:pPr>
              <w:pStyle w:val="182"/>
              <w:bidi w:val="0"/>
              <w:rPr>
                <w:color w:val="auto"/>
              </w:rPr>
            </w:pPr>
            <w:r>
              <w:rPr>
                <w:color w:val="auto"/>
              </w:rPr>
              <w:t>化纤纺织区：鼓励现有企业进行技术升级，减少污染物排放。</w:t>
            </w:r>
          </w:p>
        </w:tc>
        <w:tc>
          <w:tcPr>
            <w:tcW w:w="3119" w:type="dxa"/>
            <w:vMerge w:val="continue"/>
            <w:vAlign w:val="center"/>
          </w:tcPr>
          <w:p w14:paraId="7F5C5B43">
            <w:pPr>
              <w:pStyle w:val="182"/>
              <w:bidi w:val="0"/>
              <w:rPr>
                <w:color w:val="auto"/>
              </w:rPr>
            </w:pPr>
          </w:p>
        </w:tc>
        <w:tc>
          <w:tcPr>
            <w:tcW w:w="1127" w:type="dxa"/>
            <w:vMerge w:val="continue"/>
            <w:vAlign w:val="center"/>
          </w:tcPr>
          <w:p w14:paraId="73B86F49">
            <w:pPr>
              <w:pStyle w:val="182"/>
              <w:bidi w:val="0"/>
              <w:rPr>
                <w:color w:val="auto"/>
              </w:rPr>
            </w:pPr>
          </w:p>
        </w:tc>
      </w:tr>
      <w:tr w14:paraId="15DDE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continue"/>
            <w:vAlign w:val="center"/>
          </w:tcPr>
          <w:p w14:paraId="684B00CB">
            <w:pPr>
              <w:pStyle w:val="182"/>
              <w:bidi w:val="0"/>
              <w:rPr>
                <w:color w:val="auto"/>
              </w:rPr>
            </w:pPr>
          </w:p>
        </w:tc>
        <w:tc>
          <w:tcPr>
            <w:tcW w:w="3827" w:type="dxa"/>
            <w:vAlign w:val="center"/>
          </w:tcPr>
          <w:p w14:paraId="0111E579">
            <w:pPr>
              <w:pStyle w:val="182"/>
              <w:bidi w:val="0"/>
              <w:rPr>
                <w:color w:val="auto"/>
              </w:rPr>
            </w:pPr>
            <w:r>
              <w:rPr>
                <w:color w:val="auto"/>
              </w:rPr>
              <w:t>汽车及零部件区：（略）。</w:t>
            </w:r>
          </w:p>
        </w:tc>
        <w:tc>
          <w:tcPr>
            <w:tcW w:w="3119" w:type="dxa"/>
            <w:vMerge w:val="continue"/>
            <w:vAlign w:val="center"/>
          </w:tcPr>
          <w:p w14:paraId="40564B69">
            <w:pPr>
              <w:pStyle w:val="182"/>
              <w:bidi w:val="0"/>
              <w:rPr>
                <w:color w:val="auto"/>
              </w:rPr>
            </w:pPr>
          </w:p>
        </w:tc>
        <w:tc>
          <w:tcPr>
            <w:tcW w:w="1127" w:type="dxa"/>
            <w:vMerge w:val="continue"/>
            <w:vAlign w:val="center"/>
          </w:tcPr>
          <w:p w14:paraId="68C0A1D4">
            <w:pPr>
              <w:pStyle w:val="182"/>
              <w:bidi w:val="0"/>
              <w:rPr>
                <w:color w:val="auto"/>
              </w:rPr>
            </w:pPr>
          </w:p>
        </w:tc>
      </w:tr>
      <w:tr w14:paraId="17C3D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Merge w:val="continue"/>
            <w:vAlign w:val="center"/>
          </w:tcPr>
          <w:p w14:paraId="5E4848CC">
            <w:pPr>
              <w:pStyle w:val="182"/>
              <w:bidi w:val="0"/>
              <w:rPr>
                <w:color w:val="auto"/>
              </w:rPr>
            </w:pPr>
          </w:p>
        </w:tc>
        <w:tc>
          <w:tcPr>
            <w:tcW w:w="3827" w:type="dxa"/>
            <w:vAlign w:val="center"/>
          </w:tcPr>
          <w:p w14:paraId="048817F9">
            <w:pPr>
              <w:pStyle w:val="182"/>
              <w:bidi w:val="0"/>
              <w:rPr>
                <w:color w:val="auto"/>
              </w:rPr>
            </w:pPr>
            <w:r>
              <w:rPr>
                <w:color w:val="auto"/>
              </w:rPr>
              <w:t>化工医药区：（略）。</w:t>
            </w:r>
          </w:p>
        </w:tc>
        <w:tc>
          <w:tcPr>
            <w:tcW w:w="3119" w:type="dxa"/>
            <w:vMerge w:val="continue"/>
            <w:vAlign w:val="center"/>
          </w:tcPr>
          <w:p w14:paraId="3891BBCB">
            <w:pPr>
              <w:pStyle w:val="182"/>
              <w:bidi w:val="0"/>
              <w:rPr>
                <w:color w:val="auto"/>
              </w:rPr>
            </w:pPr>
          </w:p>
        </w:tc>
        <w:tc>
          <w:tcPr>
            <w:tcW w:w="1127" w:type="dxa"/>
            <w:vMerge w:val="continue"/>
            <w:vAlign w:val="center"/>
          </w:tcPr>
          <w:p w14:paraId="6B771F50">
            <w:pPr>
              <w:pStyle w:val="182"/>
              <w:bidi w:val="0"/>
              <w:rPr>
                <w:color w:val="auto"/>
              </w:rPr>
            </w:pPr>
          </w:p>
        </w:tc>
      </w:tr>
      <w:tr w14:paraId="0F586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Align w:val="center"/>
          </w:tcPr>
          <w:p w14:paraId="6399FF70">
            <w:pPr>
              <w:pStyle w:val="182"/>
              <w:bidi w:val="0"/>
              <w:rPr>
                <w:color w:val="auto"/>
              </w:rPr>
            </w:pPr>
            <w:r>
              <w:rPr>
                <w:rFonts w:hint="eastAsia"/>
                <w:color w:val="auto"/>
              </w:rPr>
              <w:t>经济指标</w:t>
            </w:r>
          </w:p>
        </w:tc>
        <w:tc>
          <w:tcPr>
            <w:tcW w:w="3827" w:type="dxa"/>
            <w:vAlign w:val="center"/>
          </w:tcPr>
          <w:p w14:paraId="7E2A7036">
            <w:pPr>
              <w:pStyle w:val="182"/>
              <w:bidi w:val="0"/>
              <w:rPr>
                <w:color w:val="auto"/>
              </w:rPr>
            </w:pPr>
            <w:r>
              <w:rPr>
                <w:rFonts w:hint="eastAsia"/>
                <w:color w:val="auto"/>
              </w:rPr>
              <w:t>①投资强度满足河南省国土资源厅《关于调整河南省工业建设项目建设用地控制指标的通知》；</w:t>
            </w:r>
          </w:p>
          <w:p w14:paraId="60E31AA1">
            <w:pPr>
              <w:pStyle w:val="182"/>
              <w:bidi w:val="0"/>
              <w:rPr>
                <w:color w:val="auto"/>
              </w:rPr>
            </w:pPr>
            <w:r>
              <w:rPr>
                <w:rFonts w:hint="eastAsia"/>
                <w:color w:val="auto"/>
              </w:rPr>
              <w:t>②入驻企业生产规模符合国家产业政策的最小经济规模要求。</w:t>
            </w:r>
          </w:p>
        </w:tc>
        <w:tc>
          <w:tcPr>
            <w:tcW w:w="3119" w:type="dxa"/>
            <w:vAlign w:val="center"/>
          </w:tcPr>
          <w:p w14:paraId="75A1215F">
            <w:pPr>
              <w:pStyle w:val="182"/>
              <w:bidi w:val="0"/>
              <w:rPr>
                <w:color w:val="auto"/>
              </w:rPr>
            </w:pPr>
            <w:r>
              <w:rPr>
                <w:rFonts w:hint="eastAsia"/>
                <w:color w:val="auto"/>
              </w:rPr>
              <w:t>①本项目投资强度满足《关于调整河南省工业建设项目建设用地控制指标的通知》中的要求；</w:t>
            </w:r>
          </w:p>
          <w:p w14:paraId="3D69EC91">
            <w:pPr>
              <w:pStyle w:val="182"/>
              <w:bidi w:val="0"/>
              <w:rPr>
                <w:color w:val="auto"/>
              </w:rPr>
            </w:pPr>
            <w:r>
              <w:rPr>
                <w:rFonts w:hint="eastAsia"/>
                <w:color w:val="auto"/>
              </w:rPr>
              <w:t>②本项目生产规模符合国家产业政策的最小经济规模要求。</w:t>
            </w:r>
          </w:p>
        </w:tc>
        <w:tc>
          <w:tcPr>
            <w:tcW w:w="1127" w:type="dxa"/>
            <w:vAlign w:val="center"/>
          </w:tcPr>
          <w:p w14:paraId="518F9D0C">
            <w:pPr>
              <w:pStyle w:val="182"/>
              <w:bidi w:val="0"/>
              <w:rPr>
                <w:color w:val="auto"/>
              </w:rPr>
            </w:pPr>
            <w:r>
              <w:rPr>
                <w:rFonts w:hint="eastAsia"/>
                <w:color w:val="auto"/>
              </w:rPr>
              <w:t>相符</w:t>
            </w:r>
          </w:p>
        </w:tc>
      </w:tr>
      <w:tr w14:paraId="0DE49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Align w:val="center"/>
          </w:tcPr>
          <w:p w14:paraId="0D89A0C3">
            <w:pPr>
              <w:pStyle w:val="182"/>
              <w:bidi w:val="0"/>
              <w:rPr>
                <w:color w:val="auto"/>
              </w:rPr>
            </w:pPr>
            <w:r>
              <w:rPr>
                <w:rFonts w:hint="eastAsia"/>
                <w:color w:val="auto"/>
              </w:rPr>
              <w:t>生产规模和工艺装备水平</w:t>
            </w:r>
          </w:p>
        </w:tc>
        <w:tc>
          <w:tcPr>
            <w:tcW w:w="3827" w:type="dxa"/>
            <w:vAlign w:val="center"/>
          </w:tcPr>
          <w:p w14:paraId="22F0D9AA">
            <w:pPr>
              <w:pStyle w:val="182"/>
              <w:bidi w:val="0"/>
              <w:rPr>
                <w:color w:val="auto"/>
              </w:rPr>
            </w:pPr>
            <w:r>
              <w:rPr>
                <w:rFonts w:hint="eastAsia"/>
                <w:color w:val="auto"/>
              </w:rPr>
              <w:t>①在生产工艺技术水平上，要求入驻项目达到国内同行业领先水平</w:t>
            </w:r>
            <w:r>
              <w:rPr>
                <w:rFonts w:hint="eastAsia"/>
                <w:color w:val="auto"/>
                <w:lang w:eastAsia="zh-CN"/>
              </w:rPr>
              <w:t>，或</w:t>
            </w:r>
            <w:r>
              <w:rPr>
                <w:rFonts w:hint="eastAsia"/>
                <w:color w:val="auto"/>
              </w:rPr>
              <w:t>具备国际先进水平；</w:t>
            </w:r>
          </w:p>
          <w:p w14:paraId="3DBCC47D">
            <w:pPr>
              <w:pStyle w:val="182"/>
              <w:bidi w:val="0"/>
              <w:rPr>
                <w:color w:val="auto"/>
              </w:rPr>
            </w:pPr>
            <w:r>
              <w:rPr>
                <w:rFonts w:hint="eastAsia"/>
                <w:color w:val="auto"/>
              </w:rPr>
              <w:t>②建设规模应符合国家相关行业准入条件中的经济、产品规模和生产工艺要求；</w:t>
            </w:r>
          </w:p>
          <w:p w14:paraId="0D7D3630">
            <w:pPr>
              <w:pStyle w:val="182"/>
              <w:bidi w:val="0"/>
              <w:rPr>
                <w:color w:val="auto"/>
              </w:rPr>
            </w:pPr>
            <w:r>
              <w:rPr>
                <w:rFonts w:hint="eastAsia"/>
                <w:color w:val="auto"/>
              </w:rPr>
              <w:t>③环保搬迁入驻企业应进行产品和生产技术的升级改造，达到国家相关规定要求。</w:t>
            </w:r>
          </w:p>
        </w:tc>
        <w:tc>
          <w:tcPr>
            <w:tcW w:w="3119" w:type="dxa"/>
            <w:vAlign w:val="center"/>
          </w:tcPr>
          <w:p w14:paraId="2F8FE165">
            <w:pPr>
              <w:pStyle w:val="182"/>
              <w:bidi w:val="0"/>
              <w:rPr>
                <w:color w:val="auto"/>
              </w:rPr>
            </w:pPr>
            <w:r>
              <w:rPr>
                <w:rFonts w:hint="eastAsia"/>
                <w:color w:val="auto"/>
              </w:rPr>
              <w:t>①本项目可以达到国内同行业领先水平；</w:t>
            </w:r>
          </w:p>
          <w:p w14:paraId="582F415D">
            <w:pPr>
              <w:pStyle w:val="182"/>
              <w:bidi w:val="0"/>
              <w:rPr>
                <w:color w:val="auto"/>
              </w:rPr>
            </w:pPr>
            <w:r>
              <w:rPr>
                <w:rFonts w:hint="eastAsia"/>
                <w:color w:val="auto"/>
              </w:rPr>
              <w:t>②本项目建设规模符合国家相关行业准入条件中的经济、产品规模和生产工艺要求；</w:t>
            </w:r>
          </w:p>
          <w:p w14:paraId="22FCDEE4">
            <w:pPr>
              <w:pStyle w:val="182"/>
              <w:bidi w:val="0"/>
              <w:rPr>
                <w:color w:val="auto"/>
              </w:rPr>
            </w:pPr>
            <w:r>
              <w:rPr>
                <w:rFonts w:hint="eastAsia"/>
                <w:color w:val="auto"/>
              </w:rPr>
              <w:t>③本项目不属于环保搬迁入驻企业。</w:t>
            </w:r>
          </w:p>
        </w:tc>
        <w:tc>
          <w:tcPr>
            <w:tcW w:w="1127" w:type="dxa"/>
            <w:vAlign w:val="center"/>
          </w:tcPr>
          <w:p w14:paraId="247B6405">
            <w:pPr>
              <w:pStyle w:val="182"/>
              <w:bidi w:val="0"/>
              <w:rPr>
                <w:color w:val="auto"/>
              </w:rPr>
            </w:pPr>
            <w:r>
              <w:rPr>
                <w:rFonts w:hint="eastAsia"/>
                <w:color w:val="auto"/>
              </w:rPr>
              <w:t>相符</w:t>
            </w:r>
          </w:p>
        </w:tc>
      </w:tr>
      <w:tr w14:paraId="5A72C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Align w:val="center"/>
          </w:tcPr>
          <w:p w14:paraId="7F192677">
            <w:pPr>
              <w:pStyle w:val="182"/>
              <w:bidi w:val="0"/>
              <w:rPr>
                <w:color w:val="auto"/>
              </w:rPr>
            </w:pPr>
            <w:r>
              <w:rPr>
                <w:rFonts w:hint="eastAsia"/>
                <w:color w:val="auto"/>
              </w:rPr>
              <w:t>清洁生产水平</w:t>
            </w:r>
          </w:p>
        </w:tc>
        <w:tc>
          <w:tcPr>
            <w:tcW w:w="3827" w:type="dxa"/>
            <w:vAlign w:val="center"/>
          </w:tcPr>
          <w:p w14:paraId="7D2C1D03">
            <w:pPr>
              <w:pStyle w:val="182"/>
              <w:bidi w:val="0"/>
              <w:rPr>
                <w:color w:val="auto"/>
              </w:rPr>
            </w:pPr>
            <w:r>
              <w:rPr>
                <w:rFonts w:hint="eastAsia"/>
                <w:color w:val="auto"/>
              </w:rPr>
              <w:t>①应选择使用原料和产品为环境友好型的项目；采用国际、国内先进水平的清洁生产工艺和技术；</w:t>
            </w:r>
          </w:p>
          <w:p w14:paraId="4E8287CA">
            <w:pPr>
              <w:pStyle w:val="182"/>
              <w:bidi w:val="0"/>
              <w:rPr>
                <w:color w:val="auto"/>
              </w:rPr>
            </w:pPr>
            <w:r>
              <w:rPr>
                <w:rFonts w:hint="eastAsia"/>
                <w:color w:val="auto"/>
              </w:rPr>
              <w:t>②按照循环经济发展之路，评价建议与能够形成良好循环经济链条的项目可优先入区。</w:t>
            </w:r>
          </w:p>
          <w:p w14:paraId="46AD0EEF">
            <w:pPr>
              <w:pStyle w:val="182"/>
              <w:bidi w:val="0"/>
              <w:rPr>
                <w:color w:val="auto"/>
              </w:rPr>
            </w:pPr>
            <w:r>
              <w:rPr>
                <w:rFonts w:hint="eastAsia"/>
                <w:color w:val="auto"/>
              </w:rPr>
              <w:t>③入区项目在单位产品水耗、能耗、污染物排放量等清洁生产指标应达到国内同类行业的先进水平。</w:t>
            </w:r>
          </w:p>
          <w:p w14:paraId="5373AB62">
            <w:pPr>
              <w:pStyle w:val="182"/>
              <w:bidi w:val="0"/>
              <w:rPr>
                <w:color w:val="auto"/>
              </w:rPr>
            </w:pPr>
          </w:p>
        </w:tc>
        <w:tc>
          <w:tcPr>
            <w:tcW w:w="3119" w:type="dxa"/>
            <w:vAlign w:val="center"/>
          </w:tcPr>
          <w:p w14:paraId="58E3E80B">
            <w:pPr>
              <w:pStyle w:val="182"/>
              <w:bidi w:val="0"/>
              <w:rPr>
                <w:color w:val="auto"/>
              </w:rPr>
            </w:pPr>
            <w:r>
              <w:rPr>
                <w:rFonts w:hint="eastAsia"/>
                <w:color w:val="auto"/>
              </w:rPr>
              <w:t>①本项目使用原料和产品为环境友好型；本项目可以达到国内先进水平；</w:t>
            </w:r>
          </w:p>
          <w:p w14:paraId="56CBBFF3">
            <w:pPr>
              <w:pStyle w:val="182"/>
              <w:bidi w:val="0"/>
              <w:rPr>
                <w:color w:val="auto"/>
              </w:rPr>
            </w:pPr>
            <w:r>
              <w:rPr>
                <w:rFonts w:hint="eastAsia"/>
                <w:color w:val="auto"/>
              </w:rPr>
              <w:t>②本项目工艺技术水平先进，达到国内同行业领先水平。</w:t>
            </w:r>
          </w:p>
          <w:p w14:paraId="7210C684">
            <w:pPr>
              <w:pStyle w:val="182"/>
              <w:bidi w:val="0"/>
              <w:rPr>
                <w:color w:val="auto"/>
              </w:rPr>
            </w:pPr>
            <w:r>
              <w:rPr>
                <w:rFonts w:hint="eastAsia"/>
                <w:color w:val="auto"/>
              </w:rPr>
              <w:t>③项目在单位产品水耗、能耗、污染物排放量等清洁生产指标能达到国内同类行业的先进水平。</w:t>
            </w:r>
          </w:p>
        </w:tc>
        <w:tc>
          <w:tcPr>
            <w:tcW w:w="1127" w:type="dxa"/>
            <w:vAlign w:val="center"/>
          </w:tcPr>
          <w:p w14:paraId="49DE419B">
            <w:pPr>
              <w:pStyle w:val="182"/>
              <w:bidi w:val="0"/>
              <w:rPr>
                <w:color w:val="auto"/>
              </w:rPr>
            </w:pPr>
            <w:r>
              <w:rPr>
                <w:rFonts w:hint="eastAsia"/>
                <w:color w:val="auto"/>
              </w:rPr>
              <w:t>相符</w:t>
            </w:r>
          </w:p>
        </w:tc>
      </w:tr>
      <w:tr w14:paraId="254B2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Align w:val="center"/>
          </w:tcPr>
          <w:p w14:paraId="1355028A">
            <w:pPr>
              <w:pStyle w:val="182"/>
              <w:bidi w:val="0"/>
              <w:rPr>
                <w:color w:val="auto"/>
              </w:rPr>
            </w:pPr>
            <w:r>
              <w:rPr>
                <w:rFonts w:hint="eastAsia"/>
                <w:color w:val="auto"/>
              </w:rPr>
              <w:t>污染物排放总量控制</w:t>
            </w:r>
          </w:p>
        </w:tc>
        <w:tc>
          <w:tcPr>
            <w:tcW w:w="3827" w:type="dxa"/>
            <w:vAlign w:val="center"/>
          </w:tcPr>
          <w:p w14:paraId="77BF8718">
            <w:pPr>
              <w:pStyle w:val="182"/>
              <w:bidi w:val="0"/>
              <w:rPr>
                <w:color w:val="auto"/>
              </w:rPr>
            </w:pPr>
            <w:r>
              <w:rPr>
                <w:rFonts w:hint="eastAsia"/>
                <w:color w:val="auto"/>
              </w:rPr>
              <w:t>新建项目的VOCs排放指标必须在区</w:t>
            </w:r>
          </w:p>
          <w:p w14:paraId="1C9BA27D">
            <w:pPr>
              <w:pStyle w:val="182"/>
              <w:bidi w:val="0"/>
              <w:rPr>
                <w:color w:val="auto"/>
              </w:rPr>
            </w:pPr>
            <w:r>
              <w:rPr>
                <w:rFonts w:hint="eastAsia"/>
                <w:color w:val="auto"/>
              </w:rPr>
              <w:t>域内现有工业污染负荷削减量中调剂。</w:t>
            </w:r>
          </w:p>
        </w:tc>
        <w:tc>
          <w:tcPr>
            <w:tcW w:w="3119" w:type="dxa"/>
            <w:vAlign w:val="center"/>
          </w:tcPr>
          <w:p w14:paraId="2D4A131F">
            <w:pPr>
              <w:pStyle w:val="182"/>
              <w:bidi w:val="0"/>
              <w:rPr>
                <w:color w:val="auto"/>
              </w:rPr>
            </w:pPr>
            <w:r>
              <w:rPr>
                <w:rFonts w:hint="eastAsia"/>
                <w:color w:val="auto"/>
              </w:rPr>
              <w:t>本项目VOCs排放指标在区域内现有工业污染负荷削减量中调剂。</w:t>
            </w:r>
          </w:p>
        </w:tc>
        <w:tc>
          <w:tcPr>
            <w:tcW w:w="1127" w:type="dxa"/>
            <w:vAlign w:val="center"/>
          </w:tcPr>
          <w:p w14:paraId="51C2CFF8">
            <w:pPr>
              <w:pStyle w:val="182"/>
              <w:bidi w:val="0"/>
              <w:rPr>
                <w:color w:val="auto"/>
              </w:rPr>
            </w:pPr>
            <w:r>
              <w:rPr>
                <w:rFonts w:hint="eastAsia"/>
                <w:color w:val="auto"/>
              </w:rPr>
              <w:t>相符</w:t>
            </w:r>
          </w:p>
        </w:tc>
      </w:tr>
      <w:tr w14:paraId="2775F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dxa"/>
            <w:vAlign w:val="center"/>
          </w:tcPr>
          <w:p w14:paraId="50BDB405">
            <w:pPr>
              <w:pStyle w:val="182"/>
              <w:bidi w:val="0"/>
              <w:rPr>
                <w:color w:val="auto"/>
              </w:rPr>
            </w:pPr>
            <w:r>
              <w:rPr>
                <w:rFonts w:hint="eastAsia"/>
                <w:color w:val="auto"/>
              </w:rPr>
              <w:t>土地利用</w:t>
            </w:r>
          </w:p>
        </w:tc>
        <w:tc>
          <w:tcPr>
            <w:tcW w:w="3827" w:type="dxa"/>
            <w:vAlign w:val="center"/>
          </w:tcPr>
          <w:p w14:paraId="1EEF94CA">
            <w:pPr>
              <w:pStyle w:val="182"/>
              <w:bidi w:val="0"/>
              <w:rPr>
                <w:color w:val="auto"/>
              </w:rPr>
            </w:pPr>
            <w:r>
              <w:rPr>
                <w:rFonts w:hint="eastAsia"/>
                <w:color w:val="auto"/>
              </w:rPr>
              <w:t>入区项目用地必须符合园区土地利用规划要求。</w:t>
            </w:r>
          </w:p>
        </w:tc>
        <w:tc>
          <w:tcPr>
            <w:tcW w:w="3119" w:type="dxa"/>
            <w:vAlign w:val="center"/>
          </w:tcPr>
          <w:p w14:paraId="3C50392C">
            <w:pPr>
              <w:pStyle w:val="182"/>
              <w:bidi w:val="0"/>
              <w:rPr>
                <w:color w:val="auto"/>
              </w:rPr>
            </w:pPr>
            <w:r>
              <w:rPr>
                <w:rFonts w:hint="eastAsia"/>
                <w:color w:val="auto"/>
              </w:rPr>
              <w:t>本项目用地属于工业用地，符合园区土地利用规划要求。</w:t>
            </w:r>
          </w:p>
        </w:tc>
        <w:tc>
          <w:tcPr>
            <w:tcW w:w="1127" w:type="dxa"/>
            <w:vAlign w:val="center"/>
          </w:tcPr>
          <w:p w14:paraId="41A5E630">
            <w:pPr>
              <w:pStyle w:val="182"/>
              <w:bidi w:val="0"/>
              <w:rPr>
                <w:color w:val="auto"/>
              </w:rPr>
            </w:pPr>
            <w:r>
              <w:rPr>
                <w:rFonts w:hint="eastAsia"/>
                <w:color w:val="auto"/>
              </w:rPr>
              <w:t>相符</w:t>
            </w:r>
          </w:p>
        </w:tc>
      </w:tr>
    </w:tbl>
    <w:p w14:paraId="575BFAA6">
      <w:pPr>
        <w:pStyle w:val="10"/>
        <w:bidi w:val="0"/>
      </w:pPr>
      <w:r>
        <w:t xml:space="preserve">表 </w:t>
      </w:r>
      <w:r>
        <w:fldChar w:fldCharType="begin"/>
      </w:r>
      <w:r>
        <w:instrText xml:space="preserve"> STYLEREF 2 \s </w:instrText>
      </w:r>
      <w:r>
        <w:fldChar w:fldCharType="separate"/>
      </w:r>
      <w:r>
        <w:t>2.9</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rPr>
          <w:rFonts w:hint="eastAsia"/>
          <w:lang w:val="en-US" w:eastAsia="zh-CN"/>
        </w:rPr>
        <w:t xml:space="preserve"> </w:t>
      </w:r>
      <w:r>
        <w:rPr>
          <w:rFonts w:hint="eastAsia"/>
        </w:rPr>
        <w:t>本项目与集聚区环境准入负面清单对比分析一览表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6"/>
        <w:gridCol w:w="4060"/>
        <w:gridCol w:w="2701"/>
        <w:gridCol w:w="812"/>
      </w:tblGrid>
      <w:tr w14:paraId="24C85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555" w:type="pct"/>
            <w:vAlign w:val="center"/>
          </w:tcPr>
          <w:p w14:paraId="49BB00D3">
            <w:pPr>
              <w:pStyle w:val="182"/>
              <w:bidi w:val="0"/>
              <w:rPr>
                <w:b/>
                <w:bCs/>
                <w:color w:val="auto"/>
              </w:rPr>
            </w:pPr>
            <w:r>
              <w:rPr>
                <w:b/>
                <w:bCs/>
                <w:color w:val="auto"/>
              </w:rPr>
              <w:t>类别</w:t>
            </w:r>
          </w:p>
        </w:tc>
        <w:tc>
          <w:tcPr>
            <w:tcW w:w="2382" w:type="pct"/>
            <w:vAlign w:val="center"/>
          </w:tcPr>
          <w:p w14:paraId="49BAA4E4">
            <w:pPr>
              <w:pStyle w:val="182"/>
              <w:bidi w:val="0"/>
              <w:rPr>
                <w:b/>
                <w:bCs/>
                <w:color w:val="auto"/>
              </w:rPr>
            </w:pPr>
            <w:r>
              <w:rPr>
                <w:b/>
                <w:bCs/>
                <w:color w:val="auto"/>
              </w:rPr>
              <w:t>园区项目准入条件</w:t>
            </w:r>
          </w:p>
        </w:tc>
        <w:tc>
          <w:tcPr>
            <w:tcW w:w="1585" w:type="pct"/>
            <w:vAlign w:val="center"/>
          </w:tcPr>
          <w:p w14:paraId="62FC5F5D">
            <w:pPr>
              <w:pStyle w:val="182"/>
              <w:bidi w:val="0"/>
              <w:rPr>
                <w:b/>
                <w:bCs/>
                <w:color w:val="auto"/>
              </w:rPr>
            </w:pPr>
            <w:r>
              <w:rPr>
                <w:b/>
                <w:bCs/>
                <w:color w:val="auto"/>
              </w:rPr>
              <w:t>本项目情况</w:t>
            </w:r>
          </w:p>
        </w:tc>
        <w:tc>
          <w:tcPr>
            <w:tcW w:w="476" w:type="pct"/>
            <w:vAlign w:val="center"/>
          </w:tcPr>
          <w:p w14:paraId="4EAC1D1A">
            <w:pPr>
              <w:pStyle w:val="182"/>
              <w:bidi w:val="0"/>
              <w:rPr>
                <w:b/>
                <w:bCs/>
                <w:color w:val="auto"/>
              </w:rPr>
            </w:pPr>
            <w:r>
              <w:rPr>
                <w:b/>
                <w:bCs/>
                <w:color w:val="auto"/>
              </w:rPr>
              <w:t>对比结果</w:t>
            </w:r>
          </w:p>
        </w:tc>
      </w:tr>
      <w:tr w14:paraId="78F88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631D503A">
            <w:pPr>
              <w:pStyle w:val="182"/>
              <w:bidi w:val="0"/>
              <w:rPr>
                <w:color w:val="auto"/>
              </w:rPr>
            </w:pPr>
            <w:r>
              <w:rPr>
                <w:rFonts w:hint="eastAsia"/>
                <w:color w:val="auto"/>
              </w:rPr>
              <w:t>限制类</w:t>
            </w:r>
          </w:p>
        </w:tc>
        <w:tc>
          <w:tcPr>
            <w:tcW w:w="2382" w:type="pct"/>
            <w:vAlign w:val="center"/>
          </w:tcPr>
          <w:p w14:paraId="7C49FF7C">
            <w:pPr>
              <w:pStyle w:val="182"/>
              <w:bidi w:val="0"/>
              <w:rPr>
                <w:color w:val="auto"/>
              </w:rPr>
            </w:pPr>
            <w:r>
              <w:rPr>
                <w:rFonts w:hint="eastAsia"/>
                <w:color w:val="auto"/>
              </w:rPr>
              <w:t>①化工医药区：限制现有企业扩大再生产（现有企业改扩建项目，增产减污的除外）；</w:t>
            </w:r>
          </w:p>
          <w:p w14:paraId="28F8EE71">
            <w:pPr>
              <w:pStyle w:val="182"/>
              <w:bidi w:val="0"/>
              <w:rPr>
                <w:color w:val="auto"/>
              </w:rPr>
            </w:pPr>
            <w:r>
              <w:rPr>
                <w:rFonts w:hint="eastAsia"/>
                <w:color w:val="auto"/>
              </w:rPr>
              <w:t>②严格限制清洁生产水平低，同质化、重复性，产品档次低的印染项目入驻。</w:t>
            </w:r>
          </w:p>
        </w:tc>
        <w:tc>
          <w:tcPr>
            <w:tcW w:w="1585" w:type="pct"/>
            <w:vAlign w:val="center"/>
          </w:tcPr>
          <w:p w14:paraId="1785E95D">
            <w:pPr>
              <w:pStyle w:val="182"/>
              <w:bidi w:val="0"/>
              <w:rPr>
                <w:color w:val="auto"/>
              </w:rPr>
            </w:pPr>
            <w:r>
              <w:rPr>
                <w:rFonts w:hint="eastAsia"/>
                <w:color w:val="auto"/>
              </w:rPr>
              <w:t>①本项目不在化工医药区。</w:t>
            </w:r>
          </w:p>
          <w:p w14:paraId="5C3F16CA">
            <w:pPr>
              <w:pStyle w:val="182"/>
              <w:bidi w:val="0"/>
              <w:rPr>
                <w:color w:val="auto"/>
              </w:rPr>
            </w:pPr>
            <w:r>
              <w:rPr>
                <w:rFonts w:hint="eastAsia"/>
                <w:color w:val="auto"/>
              </w:rPr>
              <w:t>②本项目不属于印染项目。</w:t>
            </w:r>
          </w:p>
        </w:tc>
        <w:tc>
          <w:tcPr>
            <w:tcW w:w="476" w:type="pct"/>
            <w:vAlign w:val="center"/>
          </w:tcPr>
          <w:p w14:paraId="34301182">
            <w:pPr>
              <w:pStyle w:val="182"/>
              <w:bidi w:val="0"/>
              <w:rPr>
                <w:color w:val="auto"/>
              </w:rPr>
            </w:pPr>
            <w:r>
              <w:rPr>
                <w:rFonts w:hint="eastAsia"/>
                <w:color w:val="auto"/>
              </w:rPr>
              <w:t>相符</w:t>
            </w:r>
          </w:p>
        </w:tc>
      </w:tr>
      <w:tr w14:paraId="5FD27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669A90C0">
            <w:pPr>
              <w:pStyle w:val="182"/>
              <w:bidi w:val="0"/>
              <w:rPr>
                <w:color w:val="auto"/>
              </w:rPr>
            </w:pPr>
            <w:r>
              <w:rPr>
                <w:rFonts w:hint="eastAsia"/>
                <w:color w:val="auto"/>
              </w:rPr>
              <w:t>禁止类</w:t>
            </w:r>
          </w:p>
        </w:tc>
        <w:tc>
          <w:tcPr>
            <w:tcW w:w="2382" w:type="pct"/>
            <w:vAlign w:val="center"/>
          </w:tcPr>
          <w:p w14:paraId="70403EE3">
            <w:pPr>
              <w:pStyle w:val="182"/>
              <w:bidi w:val="0"/>
              <w:rPr>
                <w:color w:val="auto"/>
              </w:rPr>
            </w:pPr>
            <w:r>
              <w:rPr>
                <w:rFonts w:hint="eastAsia"/>
                <w:color w:val="auto"/>
              </w:rPr>
              <w:t>①汽车零部件区：禁止建设生产和使用高VOCs含量的溶剂型涂料、油墨、胶黏剂项目；</w:t>
            </w:r>
          </w:p>
          <w:p w14:paraId="2A2A88E9">
            <w:pPr>
              <w:pStyle w:val="182"/>
              <w:bidi w:val="0"/>
              <w:rPr>
                <w:color w:val="auto"/>
              </w:rPr>
            </w:pPr>
            <w:r>
              <w:rPr>
                <w:rFonts w:hint="eastAsia"/>
                <w:color w:val="auto"/>
              </w:rPr>
              <w:t>②装备制造区：禁止建设生产和使用高VOCs含量的溶剂型涂料、油墨、胶黏剂项目；</w:t>
            </w:r>
          </w:p>
          <w:p w14:paraId="2DA6FDBF">
            <w:pPr>
              <w:pStyle w:val="182"/>
              <w:bidi w:val="0"/>
              <w:rPr>
                <w:color w:val="auto"/>
              </w:rPr>
            </w:pPr>
            <w:r>
              <w:rPr>
                <w:rFonts w:hint="eastAsia"/>
                <w:color w:val="auto"/>
              </w:rPr>
              <w:t>③中开企业城禁止食品制造业、农副食品加工业项目入驻；</w:t>
            </w:r>
          </w:p>
          <w:p w14:paraId="312B6D3F">
            <w:pPr>
              <w:pStyle w:val="182"/>
              <w:bidi w:val="0"/>
              <w:rPr>
                <w:color w:val="auto"/>
              </w:rPr>
            </w:pPr>
            <w:r>
              <w:rPr>
                <w:rFonts w:hint="eastAsia"/>
                <w:color w:val="auto"/>
              </w:rPr>
              <w:t>④化工医药区：禁止新建和单纯扩大产能的化工项目入驻（单纯混合和分装项目除外）；</w:t>
            </w:r>
          </w:p>
          <w:p w14:paraId="5BD1623D">
            <w:pPr>
              <w:pStyle w:val="182"/>
              <w:bidi w:val="0"/>
              <w:rPr>
                <w:color w:val="auto"/>
              </w:rPr>
            </w:pPr>
            <w:r>
              <w:rPr>
                <w:rFonts w:hint="eastAsia"/>
                <w:color w:val="auto"/>
              </w:rPr>
              <w:t>⑤禁止发展环境污染严重、无污染治理技术或治理技术在技术经济上根本不可行的项目；</w:t>
            </w:r>
          </w:p>
          <w:p w14:paraId="777AD4A9">
            <w:pPr>
              <w:pStyle w:val="182"/>
              <w:bidi w:val="0"/>
              <w:rPr>
                <w:color w:val="auto"/>
              </w:rPr>
            </w:pPr>
            <w:r>
              <w:rPr>
                <w:rFonts w:hint="eastAsia"/>
                <w:color w:val="auto"/>
              </w:rPr>
              <w:t>⑥禁止高毒、高污染的工业企业入园；</w:t>
            </w:r>
          </w:p>
          <w:p w14:paraId="094E46EB">
            <w:pPr>
              <w:pStyle w:val="182"/>
              <w:bidi w:val="0"/>
              <w:rPr>
                <w:color w:val="auto"/>
              </w:rPr>
            </w:pPr>
            <w:r>
              <w:rPr>
                <w:rFonts w:hint="eastAsia"/>
                <w:color w:val="auto"/>
              </w:rPr>
              <w:t>⑦禁止新建、扩建危废集中处置项目；</w:t>
            </w:r>
          </w:p>
          <w:p w14:paraId="1B2FB4FE">
            <w:pPr>
              <w:pStyle w:val="182"/>
              <w:bidi w:val="0"/>
              <w:rPr>
                <w:color w:val="auto"/>
              </w:rPr>
            </w:pPr>
            <w:r>
              <w:rPr>
                <w:rFonts w:hint="eastAsia"/>
                <w:color w:val="auto"/>
              </w:rPr>
              <w:t>⑧禁止与主导产业汽车及零部件、装备制造产业无关的电镀项目入驻；允许与园区主导产业汽车及零部件、装备制造产业配套服务的集中电镀项目入驻；</w:t>
            </w:r>
          </w:p>
          <w:p w14:paraId="76936C26">
            <w:pPr>
              <w:pStyle w:val="182"/>
              <w:bidi w:val="0"/>
              <w:rPr>
                <w:color w:val="auto"/>
              </w:rPr>
            </w:pPr>
            <w:r>
              <w:rPr>
                <w:rFonts w:hint="eastAsia"/>
                <w:color w:val="auto"/>
              </w:rPr>
              <w:t>⑨禁止与主导产业无关的塑料制品项目入驻（重点项目除外）；</w:t>
            </w:r>
          </w:p>
          <w:p w14:paraId="5B4CEA75">
            <w:pPr>
              <w:pStyle w:val="182"/>
              <w:bidi w:val="0"/>
              <w:rPr>
                <w:color w:val="auto"/>
              </w:rPr>
            </w:pPr>
            <w:r>
              <w:rPr>
                <w:rFonts w:hint="eastAsia"/>
                <w:color w:val="auto"/>
              </w:rPr>
              <w:t>⑩禁止新建国家《产业结构调整指导目录（2019年本）》中限制、淘汰类的建设项目；</w:t>
            </w:r>
          </w:p>
          <w:p w14:paraId="3BE6FCD0">
            <w:pPr>
              <w:pStyle w:val="182"/>
              <w:bidi w:val="0"/>
              <w:rPr>
                <w:color w:val="auto"/>
              </w:rPr>
            </w:pPr>
            <w:r>
              <w:rPr>
                <w:color w:val="auto"/>
              </w:rPr>
              <w:t>⑪</w:t>
            </w:r>
            <w:r>
              <w:rPr>
                <w:rFonts w:hint="eastAsia"/>
                <w:color w:val="auto"/>
                <w:lang w:eastAsia="zh-CN"/>
              </w:rPr>
              <w:t>其他</w:t>
            </w:r>
            <w:r>
              <w:rPr>
                <w:rFonts w:hint="eastAsia"/>
                <w:color w:val="auto"/>
              </w:rPr>
              <w:t>区：禁止重污染项目入区。</w:t>
            </w:r>
          </w:p>
        </w:tc>
        <w:tc>
          <w:tcPr>
            <w:tcW w:w="1585" w:type="pct"/>
            <w:vAlign w:val="center"/>
          </w:tcPr>
          <w:p w14:paraId="57F85874">
            <w:pPr>
              <w:pStyle w:val="182"/>
              <w:bidi w:val="0"/>
              <w:rPr>
                <w:color w:val="auto"/>
              </w:rPr>
            </w:pPr>
            <w:r>
              <w:rPr>
                <w:rFonts w:hint="eastAsia"/>
                <w:color w:val="auto"/>
              </w:rPr>
              <w:t>①本项目不在汽车零部件区；</w:t>
            </w:r>
          </w:p>
          <w:p w14:paraId="59735B21">
            <w:pPr>
              <w:pStyle w:val="182"/>
              <w:bidi w:val="0"/>
              <w:rPr>
                <w:color w:val="auto"/>
              </w:rPr>
            </w:pPr>
            <w:r>
              <w:rPr>
                <w:rFonts w:hint="eastAsia"/>
                <w:color w:val="auto"/>
              </w:rPr>
              <w:t>②本项目不在装备制造区；</w:t>
            </w:r>
          </w:p>
          <w:p w14:paraId="3D2C7AD9">
            <w:pPr>
              <w:pStyle w:val="182"/>
              <w:bidi w:val="0"/>
              <w:rPr>
                <w:color w:val="auto"/>
              </w:rPr>
            </w:pPr>
            <w:r>
              <w:rPr>
                <w:rFonts w:hint="eastAsia"/>
                <w:color w:val="auto"/>
              </w:rPr>
              <w:t>③本项目不在中开企业城内；</w:t>
            </w:r>
          </w:p>
          <w:p w14:paraId="103584E4">
            <w:pPr>
              <w:pStyle w:val="182"/>
              <w:bidi w:val="0"/>
              <w:rPr>
                <w:color w:val="auto"/>
              </w:rPr>
            </w:pPr>
            <w:r>
              <w:rPr>
                <w:rFonts w:hint="eastAsia"/>
                <w:color w:val="auto"/>
              </w:rPr>
              <w:t>④本项目不在化工医药区；</w:t>
            </w:r>
          </w:p>
          <w:p w14:paraId="5ADD8EAC">
            <w:pPr>
              <w:pStyle w:val="182"/>
              <w:bidi w:val="0"/>
              <w:rPr>
                <w:color w:val="auto"/>
              </w:rPr>
            </w:pPr>
            <w:r>
              <w:rPr>
                <w:rFonts w:hint="eastAsia"/>
                <w:color w:val="auto"/>
              </w:rPr>
              <w:t>⑤本项目不属于环境污染严重的项目，有污染治理技术且在技术经济上可行；</w:t>
            </w:r>
          </w:p>
          <w:p w14:paraId="5DDD451A">
            <w:pPr>
              <w:pStyle w:val="182"/>
              <w:bidi w:val="0"/>
              <w:rPr>
                <w:color w:val="auto"/>
              </w:rPr>
            </w:pPr>
            <w:r>
              <w:rPr>
                <w:rFonts w:hint="eastAsia"/>
                <w:color w:val="auto"/>
              </w:rPr>
              <w:t>⑥本项目不属于高毒、高污染的工业企业；</w:t>
            </w:r>
          </w:p>
          <w:p w14:paraId="123B9556">
            <w:pPr>
              <w:pStyle w:val="182"/>
              <w:bidi w:val="0"/>
              <w:rPr>
                <w:color w:val="auto"/>
              </w:rPr>
            </w:pPr>
            <w:r>
              <w:rPr>
                <w:rFonts w:hint="eastAsia"/>
                <w:color w:val="auto"/>
              </w:rPr>
              <w:t>⑦本项目不属于危废集中处置项目；</w:t>
            </w:r>
          </w:p>
          <w:p w14:paraId="0A195B7D">
            <w:pPr>
              <w:pStyle w:val="182"/>
              <w:bidi w:val="0"/>
              <w:rPr>
                <w:color w:val="auto"/>
              </w:rPr>
            </w:pPr>
            <w:r>
              <w:rPr>
                <w:rFonts w:hint="eastAsia"/>
                <w:color w:val="auto"/>
              </w:rPr>
              <w:t>⑧本项目与主导产业相关，且不属于独立电镀企业；⑨本项目不属于塑料制品项目；</w:t>
            </w:r>
          </w:p>
          <w:p w14:paraId="0631C2A8">
            <w:pPr>
              <w:pStyle w:val="182"/>
              <w:bidi w:val="0"/>
              <w:rPr>
                <w:color w:val="auto"/>
              </w:rPr>
            </w:pPr>
            <w:r>
              <w:rPr>
                <w:rFonts w:hint="eastAsia"/>
                <w:color w:val="auto"/>
              </w:rPr>
              <w:t>⑩本项目不属于国家《产</w:t>
            </w:r>
          </w:p>
          <w:p w14:paraId="020B5147">
            <w:pPr>
              <w:pStyle w:val="182"/>
              <w:bidi w:val="0"/>
              <w:rPr>
                <w:color w:val="auto"/>
              </w:rPr>
            </w:pPr>
            <w:r>
              <w:rPr>
                <w:rFonts w:hint="eastAsia"/>
                <w:color w:val="auto"/>
              </w:rPr>
              <w:t>业结构调整指导目录（20</w:t>
            </w:r>
            <w:r>
              <w:rPr>
                <w:rFonts w:hint="eastAsia"/>
                <w:color w:val="auto"/>
                <w:lang w:val="en-US" w:eastAsia="zh-CN"/>
              </w:rPr>
              <w:t>24</w:t>
            </w:r>
            <w:r>
              <w:rPr>
                <w:rFonts w:hint="eastAsia"/>
                <w:color w:val="auto"/>
              </w:rPr>
              <w:t>年本）》中限制、淘汰类的建设项目</w:t>
            </w:r>
            <w:r>
              <w:rPr>
                <w:rFonts w:hint="eastAsia"/>
                <w:color w:val="auto"/>
                <w:lang w:eastAsia="zh-CN"/>
              </w:rPr>
              <w:t>，</w:t>
            </w:r>
            <w:r>
              <w:rPr>
                <w:rFonts w:hint="eastAsia"/>
                <w:color w:val="auto"/>
                <w:lang w:val="en-US" w:eastAsia="zh-CN"/>
              </w:rPr>
              <w:t>属于鼓励类</w:t>
            </w:r>
            <w:r>
              <w:rPr>
                <w:rFonts w:hint="eastAsia"/>
                <w:color w:val="auto"/>
              </w:rPr>
              <w:t>；</w:t>
            </w:r>
          </w:p>
          <w:p w14:paraId="42E6E84F">
            <w:pPr>
              <w:pStyle w:val="182"/>
              <w:bidi w:val="0"/>
              <w:rPr>
                <w:color w:val="auto"/>
              </w:rPr>
            </w:pPr>
            <w:r>
              <w:rPr>
                <w:color w:val="auto"/>
              </w:rPr>
              <w:t>⑪</w:t>
            </w:r>
            <w:r>
              <w:rPr>
                <w:rFonts w:hint="eastAsia"/>
                <w:color w:val="auto"/>
              </w:rPr>
              <w:t>本项目不属于重污染项目。</w:t>
            </w:r>
          </w:p>
        </w:tc>
        <w:tc>
          <w:tcPr>
            <w:tcW w:w="476" w:type="pct"/>
            <w:vAlign w:val="center"/>
          </w:tcPr>
          <w:p w14:paraId="74B6D00C">
            <w:pPr>
              <w:pStyle w:val="182"/>
              <w:bidi w:val="0"/>
              <w:rPr>
                <w:color w:val="auto"/>
              </w:rPr>
            </w:pPr>
            <w:r>
              <w:rPr>
                <w:rFonts w:hint="eastAsia"/>
                <w:color w:val="auto"/>
              </w:rPr>
              <w:t>相符</w:t>
            </w:r>
          </w:p>
        </w:tc>
      </w:tr>
    </w:tbl>
    <w:p w14:paraId="39344A6E">
      <w:pPr>
        <w:pStyle w:val="5"/>
        <w:rPr>
          <w:rFonts w:hint="default"/>
          <w:b/>
          <w:bCs/>
          <w:color w:val="auto"/>
          <w:u w:val="none"/>
          <w:lang w:val="en-US" w:eastAsia="zh-CN"/>
        </w:rPr>
      </w:pPr>
      <w:r>
        <w:rPr>
          <w:rFonts w:hint="eastAsia"/>
          <w:b/>
          <w:bCs/>
          <w:color w:val="auto"/>
          <w:u w:val="none"/>
          <w:lang w:val="en-US" w:eastAsia="zh-CN"/>
        </w:rPr>
        <w:t>《新乡经济技术开发区总体规划（2022-2035）》</w:t>
      </w:r>
    </w:p>
    <w:p w14:paraId="6BA0ED77">
      <w:pPr>
        <w:rPr>
          <w:rFonts w:hint="eastAsia"/>
          <w:b w:val="0"/>
          <w:bCs w:val="0"/>
          <w:color w:val="auto"/>
          <w:u w:val="none"/>
          <w:lang w:val="en-US" w:eastAsia="zh-CN"/>
        </w:rPr>
      </w:pPr>
      <w:r>
        <w:rPr>
          <w:rFonts w:hint="eastAsia"/>
          <w:b w:val="0"/>
          <w:bCs w:val="0"/>
          <w:color w:val="auto"/>
          <w:u w:val="none"/>
          <w:lang w:val="en-US" w:eastAsia="zh-CN"/>
        </w:rPr>
        <w:t>《新乡经济技术开发区总体规划（2022-2035）》初稿已完成，规划环评正在编制，根据规划初稿的阶段性成果，经开区调整后主导产业为装备制造、纺织服装、信息通信产业体系。本项目与开发区初步制定的准入和负面清单如下表所示。新乡化纤股份有限公司位于纺织服装片区，符合主导产业布局，用地为二类工业用地，符合用地性质要求。见图2.9-1、2.9-2。</w:t>
      </w:r>
    </w:p>
    <w:p w14:paraId="57523429">
      <w:pPr>
        <w:pStyle w:val="10"/>
        <w:bidi w:val="0"/>
      </w:pPr>
      <w:r>
        <w:t xml:space="preserve">表 </w:t>
      </w:r>
      <w:r>
        <w:fldChar w:fldCharType="begin"/>
      </w:r>
      <w:r>
        <w:instrText xml:space="preserve"> STYLEREF 2 \s </w:instrText>
      </w:r>
      <w:r>
        <w:fldChar w:fldCharType="separate"/>
      </w:r>
      <w:r>
        <w:t>2.9</w:t>
      </w:r>
      <w:r>
        <w:fldChar w:fldCharType="end"/>
      </w:r>
      <w:r>
        <w:rPr>
          <w:rFonts w:hint="eastAsia"/>
          <w:lang w:eastAsia="zh-CN"/>
        </w:rPr>
        <w:t>-</w:t>
      </w:r>
      <w:r>
        <w:fldChar w:fldCharType="begin"/>
      </w:r>
      <w:r>
        <w:instrText xml:space="preserve"> SEQ 表 \* ARABIC \s 2 </w:instrText>
      </w:r>
      <w:r>
        <w:fldChar w:fldCharType="separate"/>
      </w:r>
      <w:r>
        <w:t>3</w:t>
      </w:r>
      <w:r>
        <w:fldChar w:fldCharType="end"/>
      </w:r>
      <w:r>
        <w:rPr>
          <w:rFonts w:hint="eastAsia"/>
          <w:lang w:val="en-US" w:eastAsia="zh-CN"/>
        </w:rPr>
        <w:t xml:space="preserve"> </w:t>
      </w:r>
      <w:r>
        <w:rPr>
          <w:rFonts w:hint="eastAsia"/>
        </w:rPr>
        <w:t>本项目与</w:t>
      </w:r>
      <w:r>
        <w:rPr>
          <w:rFonts w:hint="eastAsia"/>
          <w:lang w:val="en-US" w:eastAsia="zh-CN"/>
        </w:rPr>
        <w:t>开发区初步制定</w:t>
      </w:r>
      <w:r>
        <w:rPr>
          <w:rFonts w:hint="eastAsia"/>
        </w:rPr>
        <w:t>准入</w:t>
      </w:r>
      <w:r>
        <w:rPr>
          <w:rFonts w:hint="eastAsia"/>
          <w:lang w:val="en-US" w:eastAsia="zh-CN"/>
        </w:rPr>
        <w:t>条件</w:t>
      </w:r>
      <w:r>
        <w:rPr>
          <w:rFonts w:hint="eastAsia"/>
        </w:rPr>
        <w:t>对比分析一览表</w:t>
      </w:r>
    </w:p>
    <w:tbl>
      <w:tblPr>
        <w:tblStyle w:val="31"/>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742"/>
        <w:gridCol w:w="3928"/>
        <w:gridCol w:w="2824"/>
        <w:gridCol w:w="865"/>
      </w:tblGrid>
      <w:tr w14:paraId="12B23E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444" w:type="pct"/>
            <w:tcBorders>
              <w:top w:val="single" w:color="auto" w:sz="8" w:space="0"/>
              <w:left w:val="single" w:color="auto" w:sz="8" w:space="0"/>
              <w:bottom w:val="single" w:color="auto" w:sz="4" w:space="0"/>
              <w:right w:val="single" w:color="auto" w:sz="4" w:space="0"/>
            </w:tcBorders>
            <w:vAlign w:val="center"/>
          </w:tcPr>
          <w:p w14:paraId="672D5084">
            <w:pPr>
              <w:pStyle w:val="182"/>
              <w:ind w:firstLine="0" w:firstLineChars="0"/>
              <w:jc w:val="center"/>
              <w:rPr>
                <w:b/>
                <w:bCs/>
                <w:color w:val="auto"/>
                <w:u w:val="single"/>
              </w:rPr>
            </w:pPr>
            <w:r>
              <w:rPr>
                <w:b/>
                <w:bCs/>
                <w:color w:val="auto"/>
                <w:u w:val="single"/>
              </w:rPr>
              <w:t>类别</w:t>
            </w:r>
          </w:p>
        </w:tc>
        <w:tc>
          <w:tcPr>
            <w:tcW w:w="2349" w:type="pct"/>
            <w:tcBorders>
              <w:top w:val="single" w:color="auto" w:sz="8" w:space="0"/>
              <w:left w:val="single" w:color="auto" w:sz="4" w:space="0"/>
              <w:bottom w:val="single" w:color="auto" w:sz="4" w:space="0"/>
              <w:right w:val="single" w:color="auto" w:sz="8" w:space="0"/>
            </w:tcBorders>
            <w:vAlign w:val="center"/>
          </w:tcPr>
          <w:p w14:paraId="3E187E39">
            <w:pPr>
              <w:pStyle w:val="182"/>
              <w:ind w:firstLine="0" w:firstLineChars="0"/>
              <w:jc w:val="center"/>
              <w:rPr>
                <w:b/>
                <w:bCs/>
                <w:color w:val="auto"/>
                <w:u w:val="single"/>
              </w:rPr>
            </w:pPr>
            <w:r>
              <w:rPr>
                <w:b/>
                <w:bCs/>
                <w:color w:val="auto"/>
                <w:u w:val="single"/>
              </w:rPr>
              <w:t>准入条件</w:t>
            </w:r>
          </w:p>
        </w:tc>
        <w:tc>
          <w:tcPr>
            <w:tcW w:w="1689" w:type="pct"/>
            <w:tcBorders>
              <w:top w:val="single" w:color="auto" w:sz="8" w:space="0"/>
              <w:left w:val="single" w:color="auto" w:sz="4" w:space="0"/>
              <w:bottom w:val="single" w:color="auto" w:sz="4" w:space="0"/>
              <w:right w:val="single" w:color="auto" w:sz="8" w:space="0"/>
            </w:tcBorders>
            <w:vAlign w:val="center"/>
          </w:tcPr>
          <w:p w14:paraId="4225E5A4">
            <w:pPr>
              <w:pStyle w:val="182"/>
              <w:ind w:firstLine="0" w:firstLineChars="0"/>
              <w:jc w:val="center"/>
              <w:rPr>
                <w:rFonts w:hint="default"/>
                <w:b/>
                <w:bCs/>
                <w:color w:val="auto"/>
                <w:u w:val="single"/>
                <w:lang w:val="en-US" w:eastAsia="zh-CN"/>
              </w:rPr>
            </w:pPr>
            <w:r>
              <w:rPr>
                <w:rFonts w:hint="eastAsia"/>
                <w:b/>
                <w:bCs/>
                <w:color w:val="auto"/>
                <w:u w:val="single"/>
                <w:lang w:val="en-US" w:eastAsia="zh-CN"/>
              </w:rPr>
              <w:t>本项目情况</w:t>
            </w:r>
          </w:p>
        </w:tc>
        <w:tc>
          <w:tcPr>
            <w:tcW w:w="517" w:type="pct"/>
            <w:tcBorders>
              <w:top w:val="single" w:color="auto" w:sz="8" w:space="0"/>
              <w:left w:val="single" w:color="auto" w:sz="4" w:space="0"/>
              <w:bottom w:val="single" w:color="auto" w:sz="4" w:space="0"/>
              <w:right w:val="single" w:color="auto" w:sz="8" w:space="0"/>
            </w:tcBorders>
            <w:vAlign w:val="center"/>
          </w:tcPr>
          <w:p w14:paraId="7207AF50">
            <w:pPr>
              <w:pStyle w:val="182"/>
              <w:ind w:firstLine="0" w:firstLineChars="0"/>
              <w:jc w:val="center"/>
              <w:rPr>
                <w:rFonts w:hint="default"/>
                <w:b/>
                <w:bCs/>
                <w:color w:val="auto"/>
                <w:u w:val="single"/>
                <w:lang w:val="en-US" w:eastAsia="zh-CN"/>
              </w:rPr>
            </w:pPr>
            <w:r>
              <w:rPr>
                <w:rFonts w:hint="eastAsia"/>
                <w:b/>
                <w:bCs/>
                <w:color w:val="auto"/>
                <w:u w:val="single"/>
                <w:lang w:val="en-US" w:eastAsia="zh-CN"/>
              </w:rPr>
              <w:t>对比结果</w:t>
            </w:r>
          </w:p>
        </w:tc>
      </w:tr>
      <w:tr w14:paraId="61A8CD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4" w:type="pct"/>
            <w:tcBorders>
              <w:top w:val="single" w:color="auto" w:sz="4" w:space="0"/>
              <w:left w:val="single" w:color="auto" w:sz="8" w:space="0"/>
              <w:bottom w:val="single" w:color="auto" w:sz="4" w:space="0"/>
              <w:right w:val="single" w:color="auto" w:sz="4" w:space="0"/>
            </w:tcBorders>
            <w:vAlign w:val="center"/>
          </w:tcPr>
          <w:p w14:paraId="1814A855">
            <w:pPr>
              <w:pStyle w:val="182"/>
              <w:ind w:firstLine="0" w:firstLineChars="0"/>
              <w:rPr>
                <w:b/>
                <w:bCs/>
                <w:color w:val="auto"/>
                <w:u w:val="single"/>
              </w:rPr>
            </w:pPr>
            <w:r>
              <w:rPr>
                <w:b/>
                <w:bCs/>
                <w:color w:val="auto"/>
                <w:u w:val="single"/>
              </w:rPr>
              <w:t>空间布局约束</w:t>
            </w:r>
          </w:p>
        </w:tc>
        <w:tc>
          <w:tcPr>
            <w:tcW w:w="2349" w:type="pct"/>
            <w:tcBorders>
              <w:top w:val="single" w:color="auto" w:sz="4" w:space="0"/>
              <w:left w:val="single" w:color="auto" w:sz="4" w:space="0"/>
              <w:bottom w:val="single" w:color="auto" w:sz="4" w:space="0"/>
              <w:right w:val="single" w:color="auto" w:sz="8" w:space="0"/>
            </w:tcBorders>
            <w:vAlign w:val="center"/>
          </w:tcPr>
          <w:p w14:paraId="25A6DB12">
            <w:pPr>
              <w:pStyle w:val="182"/>
              <w:ind w:firstLine="0" w:firstLineChars="0"/>
              <w:jc w:val="left"/>
              <w:rPr>
                <w:b/>
                <w:bCs/>
                <w:color w:val="auto"/>
                <w:u w:val="single"/>
              </w:rPr>
            </w:pPr>
            <w:r>
              <w:rPr>
                <w:b/>
                <w:bCs/>
                <w:color w:val="auto"/>
                <w:u w:val="single"/>
              </w:rPr>
              <w:t>1、结合开发区功能定位及发展目标，坚持高水平、高起点，优先发展技术含量高、附加值高、符合国家产业政策和清洁生产要求、采用先进生产工艺和设备、自动化程度高、具有可靠先进的污染治理技术的生产项目。</w:t>
            </w:r>
          </w:p>
          <w:p w14:paraId="205F7157">
            <w:pPr>
              <w:pStyle w:val="182"/>
              <w:ind w:firstLine="0" w:firstLineChars="0"/>
              <w:jc w:val="left"/>
              <w:rPr>
                <w:b/>
                <w:bCs/>
                <w:color w:val="auto"/>
                <w:u w:val="single"/>
              </w:rPr>
            </w:pPr>
            <w:r>
              <w:rPr>
                <w:b/>
                <w:bCs/>
                <w:color w:val="auto"/>
                <w:u w:val="single"/>
              </w:rPr>
              <w:t>2、鼓励引进与开发区产业定位及产业规划相符的项目入驻。</w:t>
            </w:r>
          </w:p>
          <w:p w14:paraId="3ECEDB87">
            <w:pPr>
              <w:pStyle w:val="182"/>
              <w:ind w:firstLine="0" w:firstLineChars="0"/>
              <w:jc w:val="left"/>
              <w:rPr>
                <w:b/>
                <w:bCs/>
                <w:color w:val="auto"/>
                <w:u w:val="single"/>
              </w:rPr>
            </w:pPr>
            <w:r>
              <w:rPr>
                <w:b/>
                <w:bCs/>
                <w:color w:val="auto"/>
                <w:u w:val="single"/>
              </w:rPr>
              <w:t>3、</w:t>
            </w:r>
            <w:r>
              <w:rPr>
                <w:rFonts w:hint="eastAsia"/>
                <w:b/>
                <w:bCs/>
                <w:color w:val="auto"/>
                <w:u w:val="single"/>
              </w:rPr>
              <w:t>鼓励引进有利于</w:t>
            </w:r>
            <w:r>
              <w:rPr>
                <w:b/>
                <w:bCs/>
                <w:color w:val="auto"/>
                <w:u w:val="single"/>
              </w:rPr>
              <w:t>开发区产业</w:t>
            </w:r>
            <w:r>
              <w:rPr>
                <w:rFonts w:hint="eastAsia"/>
                <w:b/>
                <w:bCs/>
                <w:color w:val="auto"/>
                <w:u w:val="single"/>
              </w:rPr>
              <w:t>发展的延链、补链、强链</w:t>
            </w:r>
            <w:r>
              <w:rPr>
                <w:b/>
                <w:bCs/>
                <w:color w:val="auto"/>
                <w:u w:val="single"/>
              </w:rPr>
              <w:t>项目，力求发挥各项目之间的协同效应，</w:t>
            </w:r>
            <w:r>
              <w:rPr>
                <w:rFonts w:hint="eastAsia"/>
                <w:b/>
                <w:bCs/>
                <w:color w:val="auto"/>
                <w:u w:val="single"/>
              </w:rPr>
              <w:t>实现</w:t>
            </w:r>
            <w:r>
              <w:rPr>
                <w:b/>
                <w:bCs/>
                <w:color w:val="auto"/>
                <w:u w:val="single"/>
              </w:rPr>
              <w:t>开发区</w:t>
            </w:r>
            <w:r>
              <w:rPr>
                <w:rFonts w:hint="eastAsia"/>
                <w:b/>
                <w:bCs/>
                <w:color w:val="auto"/>
                <w:u w:val="single"/>
              </w:rPr>
              <w:t>产业升级</w:t>
            </w:r>
            <w:r>
              <w:rPr>
                <w:b/>
                <w:bCs/>
                <w:color w:val="auto"/>
                <w:u w:val="single"/>
              </w:rPr>
              <w:t>。</w:t>
            </w:r>
          </w:p>
          <w:p w14:paraId="0FDB96C4">
            <w:pPr>
              <w:pStyle w:val="182"/>
              <w:ind w:firstLine="0" w:firstLineChars="0"/>
              <w:jc w:val="left"/>
              <w:rPr>
                <w:b/>
                <w:bCs/>
                <w:color w:val="auto"/>
                <w:u w:val="single"/>
              </w:rPr>
            </w:pPr>
            <w:r>
              <w:rPr>
                <w:b/>
                <w:bCs/>
                <w:color w:val="auto"/>
                <w:u w:val="single"/>
              </w:rPr>
              <w:t>4、鼓励现有企业进行工程工艺技术升级改造、污染治理措施升级改造、节能减排技术改造项目，提高现有企业清洁生产水平。</w:t>
            </w:r>
          </w:p>
          <w:p w14:paraId="2028C1C8">
            <w:pPr>
              <w:pStyle w:val="182"/>
              <w:ind w:firstLine="0" w:firstLineChars="0"/>
              <w:jc w:val="left"/>
              <w:rPr>
                <w:b/>
                <w:bCs/>
                <w:color w:val="auto"/>
                <w:u w:val="single"/>
              </w:rPr>
            </w:pPr>
            <w:r>
              <w:rPr>
                <w:rFonts w:hint="eastAsia"/>
                <w:b/>
                <w:bCs/>
                <w:color w:val="auto"/>
                <w:u w:val="single"/>
              </w:rPr>
              <w:t>5、为实现开发区内土地集约化、高效利用，原化工医药片区鼓励开发区内企业自主研发新工艺、新产品等高附加值的新材料产业入驻。</w:t>
            </w:r>
          </w:p>
          <w:p w14:paraId="30F61A7E">
            <w:pPr>
              <w:pStyle w:val="182"/>
              <w:ind w:firstLine="0" w:firstLineChars="0"/>
              <w:jc w:val="left"/>
              <w:rPr>
                <w:b/>
                <w:bCs/>
                <w:color w:val="auto"/>
                <w:u w:val="single"/>
              </w:rPr>
            </w:pPr>
            <w:r>
              <w:rPr>
                <w:rFonts w:hint="eastAsia"/>
                <w:b/>
                <w:bCs/>
                <w:color w:val="auto"/>
                <w:u w:val="single"/>
              </w:rPr>
              <w:t>6、原化工医药片区，鼓励现有化工企业淘汰技术含量低的现有项目，通过改建、扩建和技术改造等建设符合国家相关规范、自动化程度高的高附加值化工项目。</w:t>
            </w:r>
          </w:p>
        </w:tc>
        <w:tc>
          <w:tcPr>
            <w:tcW w:w="1689" w:type="pct"/>
            <w:tcBorders>
              <w:top w:val="single" w:color="auto" w:sz="4" w:space="0"/>
              <w:left w:val="single" w:color="auto" w:sz="4" w:space="0"/>
              <w:bottom w:val="single" w:color="auto" w:sz="4" w:space="0"/>
              <w:right w:val="single" w:color="auto" w:sz="8" w:space="0"/>
            </w:tcBorders>
            <w:vAlign w:val="center"/>
          </w:tcPr>
          <w:p w14:paraId="6B8E131B">
            <w:pPr>
              <w:pStyle w:val="182"/>
              <w:ind w:firstLine="0" w:firstLineChars="0"/>
              <w:jc w:val="left"/>
              <w:rPr>
                <w:rFonts w:hint="eastAsia"/>
                <w:b/>
                <w:bCs/>
                <w:color w:val="auto"/>
                <w:u w:val="single"/>
              </w:rPr>
            </w:pPr>
            <w:r>
              <w:rPr>
                <w:rFonts w:hint="eastAsia"/>
                <w:b/>
                <w:bCs/>
                <w:color w:val="auto"/>
                <w:u w:val="single"/>
                <w:lang w:val="en-US" w:eastAsia="zh-CN"/>
              </w:rPr>
              <w:t>1、</w:t>
            </w:r>
            <w:r>
              <w:rPr>
                <w:rFonts w:hint="eastAsia"/>
                <w:b/>
                <w:bCs/>
                <w:color w:val="auto"/>
                <w:u w:val="single"/>
              </w:rPr>
              <w:t>本项目可以达到国内同行业领先水平；</w:t>
            </w:r>
          </w:p>
          <w:p w14:paraId="6B84328E">
            <w:pPr>
              <w:pStyle w:val="182"/>
              <w:ind w:firstLine="0" w:firstLineChars="0"/>
              <w:jc w:val="left"/>
              <w:rPr>
                <w:rFonts w:hint="eastAsia"/>
                <w:b/>
                <w:bCs/>
                <w:color w:val="auto"/>
                <w:u w:val="single"/>
                <w:lang w:eastAsia="zh-CN"/>
              </w:rPr>
            </w:pPr>
            <w:r>
              <w:rPr>
                <w:rFonts w:hint="eastAsia"/>
                <w:b/>
                <w:bCs/>
                <w:color w:val="auto"/>
                <w:u w:val="single"/>
                <w:lang w:val="en-US" w:eastAsia="zh-CN"/>
              </w:rPr>
              <w:t>2、</w:t>
            </w:r>
            <w:r>
              <w:rPr>
                <w:rFonts w:hint="eastAsia"/>
                <w:b/>
                <w:bCs/>
                <w:color w:val="auto"/>
                <w:u w:val="single"/>
              </w:rPr>
              <w:t>本项目为生物质纤维生产，属于化纤纺织制造，符合园区主导产业定位</w:t>
            </w:r>
            <w:r>
              <w:rPr>
                <w:rFonts w:hint="eastAsia"/>
                <w:b/>
                <w:bCs/>
                <w:color w:val="auto"/>
                <w:u w:val="single"/>
                <w:lang w:eastAsia="zh-CN"/>
              </w:rPr>
              <w:t>；</w:t>
            </w:r>
          </w:p>
          <w:p w14:paraId="550805C6">
            <w:pPr>
              <w:pStyle w:val="182"/>
              <w:ind w:firstLine="0" w:firstLineChars="0"/>
              <w:jc w:val="left"/>
              <w:rPr>
                <w:rFonts w:hint="eastAsia"/>
                <w:b/>
                <w:bCs/>
                <w:color w:val="auto"/>
                <w:u w:val="single"/>
                <w:lang w:val="en-US" w:eastAsia="zh-CN"/>
              </w:rPr>
            </w:pPr>
            <w:r>
              <w:rPr>
                <w:rFonts w:hint="eastAsia"/>
                <w:b/>
                <w:bCs/>
                <w:color w:val="auto"/>
                <w:u w:val="single"/>
                <w:lang w:val="en-US" w:eastAsia="zh-CN"/>
              </w:rPr>
              <w:t>3、本项目属于中试研发项目，旨在探索废旧棉纺织品再生纤维素的工程；</w:t>
            </w:r>
          </w:p>
          <w:p w14:paraId="5A5A5B57">
            <w:pPr>
              <w:pStyle w:val="182"/>
              <w:ind w:firstLine="0" w:firstLineChars="0"/>
              <w:jc w:val="left"/>
              <w:rPr>
                <w:rFonts w:hint="eastAsia"/>
                <w:b/>
                <w:bCs/>
                <w:color w:val="auto"/>
                <w:u w:val="single"/>
                <w:lang w:val="en-US" w:eastAsia="zh-CN"/>
              </w:rPr>
            </w:pPr>
            <w:r>
              <w:rPr>
                <w:rFonts w:hint="eastAsia"/>
                <w:b/>
                <w:bCs/>
                <w:color w:val="auto"/>
                <w:u w:val="single"/>
                <w:lang w:val="en-US" w:eastAsia="zh-CN"/>
              </w:rPr>
              <w:t>4、本项目涉及探索从废旧棉纺织品中提取再生纤维素，为废物的资源化利用；</w:t>
            </w:r>
          </w:p>
          <w:p w14:paraId="717D7C30">
            <w:pPr>
              <w:pStyle w:val="182"/>
              <w:ind w:firstLine="0" w:firstLineChars="0"/>
              <w:jc w:val="left"/>
              <w:rPr>
                <w:rFonts w:hint="eastAsia"/>
                <w:b/>
                <w:bCs/>
                <w:color w:val="auto"/>
                <w:u w:val="single"/>
                <w:lang w:val="en-US" w:eastAsia="zh-CN"/>
              </w:rPr>
            </w:pPr>
            <w:r>
              <w:rPr>
                <w:rFonts w:hint="eastAsia"/>
                <w:b/>
                <w:bCs/>
                <w:color w:val="auto"/>
                <w:u w:val="single"/>
                <w:lang w:val="en-US" w:eastAsia="zh-CN"/>
              </w:rPr>
              <w:t>5、本项目在原有厂区建设，自主探索废旧棉纺织品回收在纤维生产的可行性及工程化的条件；</w:t>
            </w:r>
          </w:p>
          <w:p w14:paraId="0D9D128E">
            <w:pPr>
              <w:pStyle w:val="182"/>
              <w:ind w:firstLine="0" w:firstLineChars="0"/>
              <w:jc w:val="left"/>
              <w:rPr>
                <w:rFonts w:hint="eastAsia" w:eastAsia="宋体"/>
                <w:b/>
                <w:bCs/>
                <w:color w:val="auto"/>
                <w:u w:val="single"/>
                <w:lang w:val="en-US" w:eastAsia="zh-CN"/>
              </w:rPr>
            </w:pPr>
            <w:r>
              <w:rPr>
                <w:rFonts w:hint="eastAsia"/>
                <w:b/>
                <w:bCs/>
                <w:color w:val="auto"/>
                <w:u w:val="single"/>
                <w:lang w:val="en-US" w:eastAsia="zh-CN"/>
              </w:rPr>
              <w:t>6、本项目不属于</w:t>
            </w:r>
            <w:r>
              <w:rPr>
                <w:rFonts w:hint="eastAsia"/>
                <w:b/>
                <w:bCs/>
                <w:color w:val="auto"/>
                <w:u w:val="single"/>
              </w:rPr>
              <w:t>化工医药</w:t>
            </w:r>
            <w:r>
              <w:rPr>
                <w:rFonts w:hint="eastAsia"/>
                <w:b/>
                <w:bCs/>
                <w:color w:val="auto"/>
                <w:u w:val="single"/>
                <w:lang w:val="en-US" w:eastAsia="zh-CN"/>
              </w:rPr>
              <w:t>项目</w:t>
            </w:r>
            <w:r>
              <w:rPr>
                <w:rFonts w:hint="eastAsia"/>
                <w:b/>
                <w:bCs/>
                <w:color w:val="auto"/>
                <w:u w:val="single"/>
                <w:lang w:eastAsia="zh-CN"/>
              </w:rPr>
              <w:t>。</w:t>
            </w:r>
          </w:p>
          <w:p w14:paraId="77120B00">
            <w:pPr>
              <w:pStyle w:val="182"/>
              <w:ind w:firstLine="0" w:firstLineChars="0"/>
              <w:jc w:val="left"/>
              <w:rPr>
                <w:rFonts w:hint="eastAsia"/>
                <w:b/>
                <w:bCs/>
                <w:color w:val="auto"/>
                <w:u w:val="single"/>
              </w:rPr>
            </w:pPr>
          </w:p>
        </w:tc>
        <w:tc>
          <w:tcPr>
            <w:tcW w:w="517" w:type="pct"/>
            <w:tcBorders>
              <w:top w:val="single" w:color="auto" w:sz="4" w:space="0"/>
              <w:left w:val="single" w:color="auto" w:sz="4" w:space="0"/>
              <w:bottom w:val="single" w:color="auto" w:sz="4" w:space="0"/>
              <w:right w:val="single" w:color="auto" w:sz="8" w:space="0"/>
            </w:tcBorders>
            <w:vAlign w:val="center"/>
          </w:tcPr>
          <w:p w14:paraId="003EA6A2">
            <w:pPr>
              <w:pStyle w:val="182"/>
              <w:ind w:firstLine="0" w:firstLineChars="0"/>
              <w:rPr>
                <w:rFonts w:hint="eastAsia" w:eastAsia="宋体"/>
                <w:b/>
                <w:bCs/>
                <w:color w:val="auto"/>
                <w:u w:val="single"/>
                <w:lang w:val="en-US" w:eastAsia="zh-CN"/>
              </w:rPr>
            </w:pPr>
            <w:r>
              <w:rPr>
                <w:rFonts w:hint="eastAsia"/>
                <w:b/>
                <w:bCs/>
                <w:color w:val="auto"/>
                <w:u w:val="single"/>
                <w:lang w:val="en-US" w:eastAsia="zh-CN"/>
              </w:rPr>
              <w:t>相符</w:t>
            </w:r>
          </w:p>
        </w:tc>
      </w:tr>
      <w:tr w14:paraId="32D89B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4" w:type="pct"/>
            <w:tcBorders>
              <w:top w:val="single" w:color="auto" w:sz="4" w:space="0"/>
              <w:left w:val="single" w:color="auto" w:sz="8" w:space="0"/>
              <w:bottom w:val="single" w:color="auto" w:sz="4" w:space="0"/>
              <w:right w:val="single" w:color="auto" w:sz="4" w:space="0"/>
            </w:tcBorders>
            <w:vAlign w:val="center"/>
          </w:tcPr>
          <w:p w14:paraId="5279B681">
            <w:pPr>
              <w:pStyle w:val="182"/>
              <w:ind w:firstLine="0" w:firstLineChars="0"/>
              <w:jc w:val="center"/>
              <w:rPr>
                <w:b/>
                <w:bCs/>
                <w:color w:val="auto"/>
                <w:u w:val="single"/>
              </w:rPr>
            </w:pPr>
            <w:r>
              <w:rPr>
                <w:b/>
                <w:bCs/>
                <w:color w:val="auto"/>
                <w:u w:val="single"/>
              </w:rPr>
              <w:t>污染物排放管控</w:t>
            </w:r>
          </w:p>
        </w:tc>
        <w:tc>
          <w:tcPr>
            <w:tcW w:w="2349" w:type="pct"/>
            <w:tcBorders>
              <w:top w:val="single" w:color="auto" w:sz="4" w:space="0"/>
              <w:left w:val="single" w:color="auto" w:sz="4" w:space="0"/>
              <w:bottom w:val="single" w:color="auto" w:sz="4" w:space="0"/>
              <w:right w:val="single" w:color="auto" w:sz="8" w:space="0"/>
            </w:tcBorders>
            <w:vAlign w:val="center"/>
          </w:tcPr>
          <w:p w14:paraId="42836240">
            <w:pPr>
              <w:pStyle w:val="182"/>
              <w:autoSpaceDE w:val="0"/>
              <w:autoSpaceDN w:val="0"/>
              <w:adjustRightInd w:val="0"/>
              <w:ind w:firstLine="0" w:firstLineChars="0"/>
              <w:jc w:val="left"/>
              <w:rPr>
                <w:b/>
                <w:bCs/>
                <w:color w:val="auto"/>
                <w:u w:val="single"/>
              </w:rPr>
            </w:pPr>
            <w:r>
              <w:rPr>
                <w:b/>
                <w:bCs/>
                <w:color w:val="auto"/>
                <w:u w:val="single"/>
              </w:rPr>
              <w:t>1、引进项目的生产工艺、设备、污染治理技术，以及单位产品能耗、物耗、污染物排放和资源利用率等清洁生产指标应达到国内同类行业先进水平或国际领先水平。</w:t>
            </w:r>
          </w:p>
          <w:p w14:paraId="4ED52FAC">
            <w:pPr>
              <w:pStyle w:val="182"/>
              <w:autoSpaceDE w:val="0"/>
              <w:autoSpaceDN w:val="0"/>
              <w:adjustRightInd w:val="0"/>
              <w:ind w:firstLine="0" w:firstLineChars="0"/>
              <w:jc w:val="left"/>
              <w:rPr>
                <w:b/>
                <w:bCs/>
                <w:color w:val="auto"/>
                <w:u w:val="single"/>
              </w:rPr>
            </w:pPr>
            <w:r>
              <w:rPr>
                <w:b/>
                <w:bCs/>
                <w:color w:val="auto"/>
                <w:u w:val="single"/>
              </w:rPr>
              <w:t>2、新、改、扩建项目主要污染物排放应满足总量</w:t>
            </w:r>
            <w:r>
              <w:rPr>
                <w:rFonts w:hint="eastAsia"/>
                <w:b/>
                <w:bCs/>
                <w:color w:val="auto"/>
                <w:u w:val="single"/>
              </w:rPr>
              <w:t>控制</w:t>
            </w:r>
            <w:r>
              <w:rPr>
                <w:b/>
                <w:bCs/>
                <w:color w:val="auto"/>
                <w:u w:val="single"/>
              </w:rPr>
              <w:t>要求。</w:t>
            </w:r>
          </w:p>
          <w:p w14:paraId="633FB52B">
            <w:pPr>
              <w:pStyle w:val="182"/>
              <w:ind w:firstLine="0" w:firstLineChars="0"/>
              <w:jc w:val="left"/>
              <w:rPr>
                <w:b/>
                <w:bCs/>
                <w:color w:val="auto"/>
                <w:u w:val="single"/>
              </w:rPr>
            </w:pPr>
            <w:r>
              <w:rPr>
                <w:b/>
                <w:bCs/>
                <w:color w:val="auto"/>
                <w:u w:val="single"/>
              </w:rPr>
              <w:t>3、入驻项目二氧化硫、氮氧化物、颗粒物、VOCs全面执行大气污染物特别排放限值，单位产品污染物排放须满足相关行业标准。</w:t>
            </w:r>
          </w:p>
          <w:p w14:paraId="7D2B6296">
            <w:pPr>
              <w:pStyle w:val="182"/>
              <w:autoSpaceDE w:val="0"/>
              <w:autoSpaceDN w:val="0"/>
              <w:adjustRightInd w:val="0"/>
              <w:ind w:firstLine="0" w:firstLineChars="0"/>
              <w:jc w:val="left"/>
              <w:rPr>
                <w:b/>
                <w:bCs/>
                <w:color w:val="auto"/>
                <w:u w:val="single"/>
              </w:rPr>
            </w:pPr>
            <w:r>
              <w:rPr>
                <w:b/>
                <w:bCs/>
                <w:color w:val="auto"/>
                <w:u w:val="single"/>
              </w:rPr>
              <w:t>4、引进项目的工艺废气和生产废水须建设相关配套处理设施，必须采用可靠、成熟的处理工艺，落实治理设施并确保正常运行，做到达标排放。外排废水处理后满足相应的排放标准和开发区污水处理厂进水水质要求，方可排入开发区污水处理厂进一步处理。</w:t>
            </w:r>
          </w:p>
        </w:tc>
        <w:tc>
          <w:tcPr>
            <w:tcW w:w="1689" w:type="pct"/>
            <w:tcBorders>
              <w:top w:val="single" w:color="auto" w:sz="4" w:space="0"/>
              <w:left w:val="single" w:color="auto" w:sz="4" w:space="0"/>
              <w:bottom w:val="single" w:color="auto" w:sz="4" w:space="0"/>
              <w:right w:val="single" w:color="auto" w:sz="8" w:space="0"/>
            </w:tcBorders>
            <w:vAlign w:val="center"/>
          </w:tcPr>
          <w:p w14:paraId="1ABCB688">
            <w:pPr>
              <w:pStyle w:val="182"/>
              <w:autoSpaceDE w:val="0"/>
              <w:autoSpaceDN w:val="0"/>
              <w:adjustRightInd w:val="0"/>
              <w:ind w:firstLine="0" w:firstLineChars="0"/>
              <w:jc w:val="left"/>
              <w:rPr>
                <w:rFonts w:hint="eastAsia"/>
                <w:b/>
                <w:bCs/>
                <w:color w:val="auto"/>
                <w:u w:val="single"/>
                <w:lang w:eastAsia="zh-CN"/>
              </w:rPr>
            </w:pPr>
            <w:r>
              <w:rPr>
                <w:rFonts w:hint="eastAsia"/>
                <w:b/>
                <w:bCs/>
                <w:color w:val="auto"/>
                <w:u w:val="single"/>
                <w:lang w:val="en-US" w:eastAsia="zh-CN"/>
              </w:rPr>
              <w:t>1、本</w:t>
            </w:r>
            <w:r>
              <w:rPr>
                <w:rFonts w:hint="eastAsia"/>
                <w:b/>
                <w:bCs/>
                <w:color w:val="auto"/>
                <w:u w:val="single"/>
              </w:rPr>
              <w:t>项目的生产工艺、设备、污染治理技术，以及单位产品能耗、物耗、污染物排放和资源利用率等清洁生产指标达到国内同类行业先进水平</w:t>
            </w:r>
            <w:r>
              <w:rPr>
                <w:rFonts w:hint="eastAsia"/>
                <w:b/>
                <w:bCs/>
                <w:color w:val="auto"/>
                <w:u w:val="single"/>
                <w:lang w:eastAsia="zh-CN"/>
              </w:rPr>
              <w:t>；</w:t>
            </w:r>
          </w:p>
          <w:p w14:paraId="7CBCFB2D">
            <w:pPr>
              <w:pStyle w:val="182"/>
              <w:autoSpaceDE w:val="0"/>
              <w:autoSpaceDN w:val="0"/>
              <w:adjustRightInd w:val="0"/>
              <w:ind w:firstLine="0" w:firstLineChars="0"/>
              <w:jc w:val="left"/>
              <w:rPr>
                <w:rFonts w:hint="eastAsia"/>
                <w:b/>
                <w:bCs/>
                <w:color w:val="auto"/>
                <w:u w:val="single"/>
                <w:lang w:eastAsia="zh-CN"/>
              </w:rPr>
            </w:pPr>
            <w:r>
              <w:rPr>
                <w:rFonts w:hint="eastAsia"/>
                <w:b/>
                <w:bCs/>
                <w:color w:val="auto"/>
                <w:u w:val="single"/>
                <w:lang w:val="en-US" w:eastAsia="zh-CN"/>
              </w:rPr>
              <w:t>2、本</w:t>
            </w:r>
            <w:r>
              <w:rPr>
                <w:b/>
                <w:bCs/>
                <w:color w:val="auto"/>
                <w:u w:val="single"/>
              </w:rPr>
              <w:t>项目主要污染物排放应满足总量</w:t>
            </w:r>
            <w:r>
              <w:rPr>
                <w:rFonts w:hint="eastAsia"/>
                <w:b/>
                <w:bCs/>
                <w:color w:val="auto"/>
                <w:u w:val="single"/>
              </w:rPr>
              <w:t>控制</w:t>
            </w:r>
            <w:r>
              <w:rPr>
                <w:b/>
                <w:bCs/>
                <w:color w:val="auto"/>
                <w:u w:val="single"/>
              </w:rPr>
              <w:t>要求</w:t>
            </w:r>
            <w:r>
              <w:rPr>
                <w:rFonts w:hint="eastAsia"/>
                <w:b/>
                <w:bCs/>
                <w:color w:val="auto"/>
                <w:u w:val="single"/>
                <w:lang w:eastAsia="zh-CN"/>
              </w:rPr>
              <w:t>；</w:t>
            </w:r>
          </w:p>
          <w:p w14:paraId="1BEBFE95">
            <w:pPr>
              <w:pStyle w:val="182"/>
              <w:ind w:firstLine="0" w:firstLineChars="0"/>
              <w:jc w:val="left"/>
              <w:rPr>
                <w:b/>
                <w:bCs/>
                <w:color w:val="auto"/>
                <w:u w:val="single"/>
              </w:rPr>
            </w:pPr>
            <w:r>
              <w:rPr>
                <w:rFonts w:hint="eastAsia"/>
                <w:b/>
                <w:bCs/>
                <w:color w:val="auto"/>
                <w:u w:val="single"/>
                <w:lang w:val="en-US" w:eastAsia="zh-CN"/>
              </w:rPr>
              <w:t>3、本项目涉及</w:t>
            </w:r>
            <w:r>
              <w:rPr>
                <w:b/>
                <w:bCs/>
                <w:color w:val="auto"/>
                <w:u w:val="single"/>
              </w:rPr>
              <w:t>颗粒物</w:t>
            </w:r>
            <w:r>
              <w:rPr>
                <w:rFonts w:hint="eastAsia"/>
                <w:b/>
                <w:bCs/>
                <w:color w:val="auto"/>
                <w:u w:val="single"/>
                <w:lang w:val="en-US" w:eastAsia="zh-CN"/>
              </w:rPr>
              <w:t>排放</w:t>
            </w:r>
            <w:r>
              <w:rPr>
                <w:rFonts w:hint="eastAsia"/>
                <w:b/>
                <w:bCs/>
                <w:color w:val="auto"/>
                <w:u w:val="single"/>
                <w:lang w:eastAsia="zh-CN"/>
              </w:rPr>
              <w:t>，</w:t>
            </w:r>
            <w:r>
              <w:rPr>
                <w:rFonts w:hint="eastAsia"/>
                <w:b/>
                <w:bCs/>
                <w:color w:val="auto"/>
                <w:u w:val="single"/>
                <w:lang w:val="en-US" w:eastAsia="zh-CN"/>
              </w:rPr>
              <w:t>污染物排放</w:t>
            </w:r>
            <w:r>
              <w:rPr>
                <w:b/>
                <w:bCs/>
                <w:color w:val="auto"/>
                <w:u w:val="single"/>
              </w:rPr>
              <w:t>全面执行大气污染物特别排放限值，单位产品污染物排放须满足相关行业标准。</w:t>
            </w:r>
          </w:p>
          <w:p w14:paraId="4F04B5A3">
            <w:pPr>
              <w:pStyle w:val="182"/>
              <w:autoSpaceDE w:val="0"/>
              <w:autoSpaceDN w:val="0"/>
              <w:adjustRightInd w:val="0"/>
              <w:ind w:firstLine="0" w:firstLineChars="0"/>
              <w:jc w:val="left"/>
              <w:rPr>
                <w:rFonts w:hint="default"/>
                <w:b/>
                <w:bCs/>
                <w:color w:val="auto"/>
                <w:u w:val="single"/>
                <w:lang w:val="en-US" w:eastAsia="zh-CN"/>
              </w:rPr>
            </w:pPr>
            <w:r>
              <w:rPr>
                <w:rFonts w:hint="eastAsia"/>
                <w:b/>
                <w:bCs/>
                <w:color w:val="auto"/>
                <w:u w:val="single"/>
                <w:lang w:val="en-US" w:eastAsia="zh-CN"/>
              </w:rPr>
              <w:t>4、本</w:t>
            </w:r>
            <w:r>
              <w:rPr>
                <w:rFonts w:hint="eastAsia"/>
                <w:b/>
                <w:bCs/>
                <w:color w:val="auto"/>
                <w:u w:val="single"/>
              </w:rPr>
              <w:t>项目的工艺废气</w:t>
            </w:r>
            <w:r>
              <w:rPr>
                <w:rFonts w:hint="eastAsia"/>
                <w:b/>
                <w:bCs/>
                <w:color w:val="auto"/>
                <w:u w:val="single"/>
                <w:lang w:val="en-US" w:eastAsia="zh-CN"/>
              </w:rPr>
              <w:t>建设相关配套处理设施</w:t>
            </w:r>
            <w:r>
              <w:rPr>
                <w:rFonts w:hint="eastAsia"/>
                <w:b/>
                <w:bCs/>
                <w:color w:val="auto"/>
                <w:u w:val="single"/>
                <w:lang w:eastAsia="zh-CN"/>
              </w:rPr>
              <w:t>，</w:t>
            </w:r>
            <w:r>
              <w:rPr>
                <w:rFonts w:hint="eastAsia"/>
                <w:b/>
                <w:bCs/>
                <w:color w:val="auto"/>
                <w:u w:val="single"/>
              </w:rPr>
              <w:t>生产废水</w:t>
            </w:r>
            <w:r>
              <w:rPr>
                <w:rFonts w:hint="eastAsia"/>
                <w:b/>
                <w:bCs/>
                <w:color w:val="auto"/>
                <w:u w:val="single"/>
                <w:lang w:val="en-US" w:eastAsia="zh-CN"/>
              </w:rPr>
              <w:t>依托厂区3.8万吨/d污水处理站中氨纶废水处理单元处理后进入小店污水处理厂做进一步处理</w:t>
            </w:r>
            <w:r>
              <w:rPr>
                <w:rFonts w:hint="eastAsia"/>
                <w:b/>
                <w:bCs/>
                <w:color w:val="auto"/>
                <w:u w:val="single"/>
              </w:rPr>
              <w:t>。外排废水处理后满足相应的排放标准和</w:t>
            </w:r>
            <w:r>
              <w:rPr>
                <w:rFonts w:hint="eastAsia"/>
                <w:b/>
                <w:bCs/>
                <w:color w:val="auto"/>
                <w:u w:val="single"/>
                <w:lang w:val="en-US" w:eastAsia="zh-CN"/>
              </w:rPr>
              <w:t>小店</w:t>
            </w:r>
            <w:r>
              <w:rPr>
                <w:rFonts w:hint="eastAsia"/>
                <w:b/>
                <w:bCs/>
                <w:color w:val="auto"/>
                <w:u w:val="single"/>
              </w:rPr>
              <w:t>污水处理厂进水水质要求。</w:t>
            </w:r>
          </w:p>
        </w:tc>
        <w:tc>
          <w:tcPr>
            <w:tcW w:w="517" w:type="pct"/>
            <w:tcBorders>
              <w:top w:val="single" w:color="auto" w:sz="4" w:space="0"/>
              <w:left w:val="single" w:color="auto" w:sz="4" w:space="0"/>
              <w:bottom w:val="single" w:color="auto" w:sz="4" w:space="0"/>
              <w:right w:val="single" w:color="auto" w:sz="8" w:space="0"/>
            </w:tcBorders>
            <w:vAlign w:val="center"/>
          </w:tcPr>
          <w:p w14:paraId="6D5B447A">
            <w:pPr>
              <w:pStyle w:val="182"/>
              <w:autoSpaceDE w:val="0"/>
              <w:autoSpaceDN w:val="0"/>
              <w:adjustRightInd w:val="0"/>
              <w:ind w:firstLine="0" w:firstLineChars="0"/>
              <w:rPr>
                <w:b/>
                <w:bCs/>
                <w:color w:val="auto"/>
                <w:u w:val="single"/>
              </w:rPr>
            </w:pPr>
            <w:r>
              <w:rPr>
                <w:rFonts w:hint="eastAsia"/>
                <w:b/>
                <w:bCs/>
                <w:color w:val="auto"/>
                <w:u w:val="single"/>
                <w:lang w:val="en-US" w:eastAsia="zh-CN"/>
              </w:rPr>
              <w:t>相符</w:t>
            </w:r>
          </w:p>
        </w:tc>
      </w:tr>
      <w:tr w14:paraId="7E14F9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4" w:type="pct"/>
            <w:tcBorders>
              <w:top w:val="single" w:color="auto" w:sz="4" w:space="0"/>
              <w:left w:val="single" w:color="auto" w:sz="8" w:space="0"/>
              <w:bottom w:val="single" w:color="auto" w:sz="4" w:space="0"/>
              <w:right w:val="single" w:color="auto" w:sz="4" w:space="0"/>
            </w:tcBorders>
            <w:vAlign w:val="center"/>
          </w:tcPr>
          <w:p w14:paraId="2B8C9034">
            <w:pPr>
              <w:pStyle w:val="182"/>
              <w:ind w:firstLine="0" w:firstLineChars="0"/>
              <w:jc w:val="center"/>
              <w:rPr>
                <w:b/>
                <w:bCs/>
                <w:color w:val="auto"/>
                <w:u w:val="single"/>
              </w:rPr>
            </w:pPr>
            <w:r>
              <w:rPr>
                <w:b/>
                <w:bCs/>
                <w:color w:val="auto"/>
                <w:u w:val="single"/>
              </w:rPr>
              <w:t>环境风险防控</w:t>
            </w:r>
          </w:p>
        </w:tc>
        <w:tc>
          <w:tcPr>
            <w:tcW w:w="2349" w:type="pct"/>
            <w:tcBorders>
              <w:top w:val="single" w:color="auto" w:sz="4" w:space="0"/>
              <w:left w:val="single" w:color="auto" w:sz="4" w:space="0"/>
              <w:bottom w:val="single" w:color="auto" w:sz="4" w:space="0"/>
              <w:right w:val="single" w:color="auto" w:sz="8" w:space="0"/>
            </w:tcBorders>
            <w:vAlign w:val="center"/>
          </w:tcPr>
          <w:p w14:paraId="12970CB1">
            <w:pPr>
              <w:pStyle w:val="182"/>
              <w:autoSpaceDE w:val="0"/>
              <w:autoSpaceDN w:val="0"/>
              <w:adjustRightInd w:val="0"/>
              <w:ind w:firstLine="0" w:firstLineChars="0"/>
              <w:jc w:val="left"/>
              <w:rPr>
                <w:b/>
                <w:bCs/>
                <w:color w:val="auto"/>
                <w:u w:val="single"/>
              </w:rPr>
            </w:pPr>
            <w:r>
              <w:rPr>
                <w:b/>
                <w:bCs/>
                <w:color w:val="auto"/>
                <w:u w:val="single"/>
              </w:rPr>
              <w:t>1、严格控制环境风险，入区企业应按照当地环保部门要求，设置常规污染物、特征污染物的环境监测体系，并与当地环境保护部门联网。</w:t>
            </w:r>
          </w:p>
          <w:p w14:paraId="5AB4AA02">
            <w:pPr>
              <w:pStyle w:val="182"/>
              <w:autoSpaceDE w:val="0"/>
              <w:autoSpaceDN w:val="0"/>
              <w:adjustRightInd w:val="0"/>
              <w:ind w:firstLine="0" w:firstLineChars="0"/>
              <w:jc w:val="left"/>
              <w:rPr>
                <w:b/>
                <w:bCs/>
                <w:color w:val="auto"/>
                <w:u w:val="single"/>
              </w:rPr>
            </w:pPr>
            <w:r>
              <w:rPr>
                <w:b/>
                <w:bCs/>
                <w:color w:val="auto"/>
                <w:u w:val="single"/>
              </w:rPr>
              <w:t>2、引进项目必须严格落实环境影响评价等文件提出的各项环境风险防控措施。</w:t>
            </w:r>
          </w:p>
          <w:p w14:paraId="0F0AE595">
            <w:pPr>
              <w:pStyle w:val="182"/>
              <w:ind w:firstLine="0" w:firstLineChars="0"/>
              <w:jc w:val="left"/>
              <w:rPr>
                <w:b/>
                <w:bCs/>
                <w:color w:val="auto"/>
                <w:u w:val="single"/>
              </w:rPr>
            </w:pPr>
            <w:r>
              <w:rPr>
                <w:b/>
                <w:bCs/>
                <w:color w:val="auto"/>
                <w:u w:val="single"/>
              </w:rPr>
              <w:t>3、规范开发区建设，对涉重行业及化工企业加强管理，建立土壤和地下水污染隐患排查治理制度、风险防控体系和长效监管机制。推进固体废物处理处置及综合利用。</w:t>
            </w:r>
          </w:p>
        </w:tc>
        <w:tc>
          <w:tcPr>
            <w:tcW w:w="1689" w:type="pct"/>
            <w:tcBorders>
              <w:top w:val="single" w:color="auto" w:sz="4" w:space="0"/>
              <w:left w:val="single" w:color="auto" w:sz="4" w:space="0"/>
              <w:bottom w:val="single" w:color="auto" w:sz="4" w:space="0"/>
              <w:right w:val="single" w:color="auto" w:sz="8" w:space="0"/>
            </w:tcBorders>
            <w:vAlign w:val="center"/>
          </w:tcPr>
          <w:p w14:paraId="50920B36">
            <w:pPr>
              <w:pStyle w:val="182"/>
              <w:ind w:firstLine="0" w:firstLineChars="0"/>
              <w:jc w:val="left"/>
              <w:rPr>
                <w:rFonts w:hint="eastAsia"/>
                <w:b/>
                <w:bCs/>
                <w:color w:val="auto"/>
                <w:u w:val="single"/>
                <w:lang w:eastAsia="zh-CN"/>
              </w:rPr>
            </w:pPr>
            <w:r>
              <w:rPr>
                <w:rFonts w:hint="eastAsia"/>
                <w:b/>
                <w:bCs/>
                <w:color w:val="auto"/>
                <w:u w:val="single"/>
                <w:lang w:val="en-US" w:eastAsia="zh-CN"/>
              </w:rPr>
              <w:t>1、本项目</w:t>
            </w:r>
            <w:r>
              <w:rPr>
                <w:b/>
                <w:bCs/>
                <w:color w:val="auto"/>
                <w:u w:val="single"/>
              </w:rPr>
              <w:t>设置常规污染物、特征污染物的环境监测体系，</w:t>
            </w:r>
            <w:r>
              <w:rPr>
                <w:rFonts w:hint="eastAsia"/>
                <w:b/>
                <w:bCs/>
                <w:color w:val="auto"/>
                <w:u w:val="single"/>
                <w:lang w:val="en-US" w:eastAsia="zh-CN"/>
              </w:rPr>
              <w:t>并</w:t>
            </w:r>
            <w:r>
              <w:rPr>
                <w:b/>
                <w:bCs/>
                <w:color w:val="auto"/>
                <w:u w:val="single"/>
              </w:rPr>
              <w:t>与当地环境保护部门联网</w:t>
            </w:r>
            <w:r>
              <w:rPr>
                <w:rFonts w:hint="eastAsia"/>
                <w:b/>
                <w:bCs/>
                <w:color w:val="auto"/>
                <w:u w:val="single"/>
                <w:lang w:eastAsia="zh-CN"/>
              </w:rPr>
              <w:t>；</w:t>
            </w:r>
          </w:p>
          <w:p w14:paraId="4D89EA7F">
            <w:pPr>
              <w:pStyle w:val="182"/>
              <w:ind w:firstLine="0" w:firstLineChars="0"/>
              <w:jc w:val="left"/>
              <w:rPr>
                <w:rFonts w:hint="eastAsia"/>
                <w:b/>
                <w:bCs/>
                <w:color w:val="auto"/>
                <w:u w:val="single"/>
                <w:lang w:eastAsia="zh-CN"/>
              </w:rPr>
            </w:pPr>
            <w:r>
              <w:rPr>
                <w:rFonts w:hint="eastAsia"/>
                <w:b/>
                <w:bCs/>
                <w:color w:val="auto"/>
                <w:u w:val="single"/>
                <w:lang w:val="en-US" w:eastAsia="zh-CN"/>
              </w:rPr>
              <w:t>2、本项目将严格</w:t>
            </w:r>
            <w:r>
              <w:rPr>
                <w:b/>
                <w:bCs/>
                <w:color w:val="auto"/>
                <w:u w:val="single"/>
              </w:rPr>
              <w:t>落实环境影响评价等文件提出的各项环境风险防控措施</w:t>
            </w:r>
            <w:r>
              <w:rPr>
                <w:rFonts w:hint="eastAsia"/>
                <w:b/>
                <w:bCs/>
                <w:color w:val="auto"/>
                <w:u w:val="single"/>
                <w:lang w:eastAsia="zh-CN"/>
              </w:rPr>
              <w:t>；</w:t>
            </w:r>
          </w:p>
          <w:p w14:paraId="1B12551A">
            <w:pPr>
              <w:pStyle w:val="182"/>
              <w:ind w:firstLine="0" w:firstLineChars="0"/>
              <w:jc w:val="left"/>
              <w:rPr>
                <w:rFonts w:hint="default"/>
                <w:b/>
                <w:bCs/>
                <w:color w:val="auto"/>
                <w:u w:val="single"/>
                <w:lang w:val="en-US" w:eastAsia="zh-CN"/>
              </w:rPr>
            </w:pPr>
            <w:r>
              <w:rPr>
                <w:rFonts w:hint="eastAsia"/>
                <w:b/>
                <w:bCs/>
                <w:color w:val="auto"/>
                <w:u w:val="single"/>
                <w:lang w:val="en-US" w:eastAsia="zh-CN"/>
              </w:rPr>
              <w:t>3、本项目固体废物按照相关要求处理处置。</w:t>
            </w:r>
          </w:p>
        </w:tc>
        <w:tc>
          <w:tcPr>
            <w:tcW w:w="517" w:type="pct"/>
            <w:tcBorders>
              <w:top w:val="single" w:color="auto" w:sz="4" w:space="0"/>
              <w:left w:val="single" w:color="auto" w:sz="4" w:space="0"/>
              <w:bottom w:val="single" w:color="auto" w:sz="4" w:space="0"/>
              <w:right w:val="single" w:color="auto" w:sz="8" w:space="0"/>
            </w:tcBorders>
            <w:vAlign w:val="center"/>
          </w:tcPr>
          <w:p w14:paraId="22765A49">
            <w:pPr>
              <w:pStyle w:val="182"/>
              <w:ind w:firstLine="0" w:firstLineChars="0"/>
              <w:rPr>
                <w:b/>
                <w:bCs/>
                <w:color w:val="auto"/>
                <w:u w:val="single"/>
              </w:rPr>
            </w:pPr>
            <w:r>
              <w:rPr>
                <w:rFonts w:hint="eastAsia"/>
                <w:b/>
                <w:bCs/>
                <w:color w:val="auto"/>
                <w:u w:val="single"/>
                <w:lang w:val="en-US" w:eastAsia="zh-CN"/>
              </w:rPr>
              <w:t>相符</w:t>
            </w:r>
          </w:p>
        </w:tc>
      </w:tr>
      <w:tr w14:paraId="0B0E73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4" w:type="pct"/>
            <w:tcBorders>
              <w:top w:val="single" w:color="auto" w:sz="4" w:space="0"/>
              <w:left w:val="single" w:color="auto" w:sz="8" w:space="0"/>
              <w:bottom w:val="single" w:color="auto" w:sz="8" w:space="0"/>
              <w:right w:val="single" w:color="auto" w:sz="4" w:space="0"/>
            </w:tcBorders>
            <w:vAlign w:val="center"/>
          </w:tcPr>
          <w:p w14:paraId="479C057B">
            <w:pPr>
              <w:pStyle w:val="182"/>
              <w:ind w:firstLine="0" w:firstLineChars="0"/>
              <w:jc w:val="center"/>
              <w:rPr>
                <w:b/>
                <w:bCs/>
                <w:color w:val="auto"/>
                <w:u w:val="single"/>
              </w:rPr>
            </w:pPr>
            <w:r>
              <w:rPr>
                <w:b/>
                <w:bCs/>
                <w:color w:val="auto"/>
                <w:u w:val="single"/>
              </w:rPr>
              <w:t>资源开发利用管控</w:t>
            </w:r>
          </w:p>
        </w:tc>
        <w:tc>
          <w:tcPr>
            <w:tcW w:w="2349" w:type="pct"/>
            <w:tcBorders>
              <w:top w:val="single" w:color="auto" w:sz="4" w:space="0"/>
              <w:left w:val="single" w:color="auto" w:sz="4" w:space="0"/>
              <w:bottom w:val="single" w:color="auto" w:sz="8" w:space="0"/>
              <w:right w:val="single" w:color="auto" w:sz="8" w:space="0"/>
            </w:tcBorders>
            <w:vAlign w:val="center"/>
          </w:tcPr>
          <w:p w14:paraId="17D19C56">
            <w:pPr>
              <w:pStyle w:val="182"/>
              <w:ind w:firstLine="0" w:firstLineChars="0"/>
              <w:jc w:val="left"/>
              <w:rPr>
                <w:b/>
                <w:bCs/>
                <w:color w:val="auto"/>
                <w:u w:val="single"/>
              </w:rPr>
            </w:pPr>
            <w:r>
              <w:rPr>
                <w:rFonts w:hint="eastAsia"/>
                <w:b/>
                <w:bCs/>
                <w:color w:val="auto"/>
                <w:u w:val="single"/>
              </w:rPr>
              <w:t>1、</w:t>
            </w:r>
            <w:r>
              <w:rPr>
                <w:b/>
                <w:bCs/>
                <w:color w:val="auto"/>
                <w:u w:val="single"/>
              </w:rPr>
              <w:t>鼓励企业进行中水回用、工业用水循环利用和工业固废综合利用。</w:t>
            </w:r>
          </w:p>
          <w:p w14:paraId="609C1C25">
            <w:pPr>
              <w:pStyle w:val="182"/>
              <w:ind w:firstLine="0" w:firstLineChars="0"/>
              <w:jc w:val="left"/>
              <w:rPr>
                <w:b/>
                <w:bCs/>
                <w:color w:val="auto"/>
                <w:u w:val="single"/>
              </w:rPr>
            </w:pPr>
            <w:r>
              <w:rPr>
                <w:b/>
                <w:bCs/>
                <w:color w:val="auto"/>
                <w:u w:val="single"/>
              </w:rPr>
              <w:t>2</w:t>
            </w:r>
            <w:r>
              <w:rPr>
                <w:rFonts w:hint="eastAsia"/>
                <w:b/>
                <w:bCs/>
                <w:color w:val="auto"/>
                <w:u w:val="single"/>
              </w:rPr>
              <w:t>、</w:t>
            </w:r>
            <w:r>
              <w:rPr>
                <w:b/>
                <w:bCs/>
                <w:color w:val="auto"/>
                <w:u w:val="single"/>
              </w:rPr>
              <w:t>鼓励纺织</w:t>
            </w:r>
            <w:r>
              <w:rPr>
                <w:rFonts w:hint="eastAsia"/>
                <w:b/>
                <w:bCs/>
                <w:color w:val="auto"/>
                <w:u w:val="single"/>
              </w:rPr>
              <w:t>、</w:t>
            </w:r>
            <w:r>
              <w:rPr>
                <w:b/>
                <w:bCs/>
                <w:color w:val="auto"/>
                <w:u w:val="single"/>
              </w:rPr>
              <w:t>印染高耗水企业废水深度处理回用。</w:t>
            </w:r>
          </w:p>
          <w:p w14:paraId="3C54D46E">
            <w:pPr>
              <w:pStyle w:val="182"/>
              <w:ind w:firstLine="0" w:firstLineChars="0"/>
              <w:jc w:val="left"/>
              <w:rPr>
                <w:b/>
                <w:bCs/>
                <w:color w:val="auto"/>
                <w:u w:val="single"/>
              </w:rPr>
            </w:pPr>
            <w:r>
              <w:rPr>
                <w:b/>
                <w:bCs/>
                <w:color w:val="auto"/>
                <w:u w:val="single"/>
              </w:rPr>
              <w:t>3、</w:t>
            </w:r>
            <w:r>
              <w:rPr>
                <w:rFonts w:hint="eastAsia"/>
                <w:b/>
                <w:bCs/>
                <w:color w:val="auto"/>
                <w:u w:val="single"/>
              </w:rPr>
              <w:t>进一步优化能源结构，逐步实施集中供热和供气，加快集中供热设施及配套管网建设。</w:t>
            </w:r>
          </w:p>
          <w:p w14:paraId="5036263A">
            <w:pPr>
              <w:pStyle w:val="182"/>
              <w:ind w:firstLine="0" w:firstLineChars="0"/>
              <w:jc w:val="left"/>
              <w:rPr>
                <w:b/>
                <w:bCs/>
                <w:color w:val="auto"/>
                <w:u w:val="single"/>
              </w:rPr>
            </w:pPr>
            <w:r>
              <w:rPr>
                <w:b/>
                <w:bCs/>
                <w:color w:val="auto"/>
                <w:u w:val="single"/>
              </w:rPr>
              <w:t>4、入区项目必须达到《河南省工业项目建设用地控制指标》要求。</w:t>
            </w:r>
          </w:p>
          <w:p w14:paraId="6C45765B">
            <w:pPr>
              <w:pStyle w:val="182"/>
              <w:ind w:firstLine="0" w:firstLineChars="0"/>
              <w:jc w:val="left"/>
              <w:rPr>
                <w:b/>
                <w:bCs/>
                <w:color w:val="auto"/>
                <w:u w:val="single"/>
              </w:rPr>
            </w:pPr>
            <w:r>
              <w:rPr>
                <w:b/>
                <w:bCs/>
                <w:color w:val="auto"/>
                <w:u w:val="single"/>
              </w:rPr>
              <w:t>5、入区项目用地必须符合开发区土地利用规划要求。</w:t>
            </w:r>
          </w:p>
        </w:tc>
        <w:tc>
          <w:tcPr>
            <w:tcW w:w="1689" w:type="pct"/>
            <w:tcBorders>
              <w:top w:val="single" w:color="auto" w:sz="4" w:space="0"/>
              <w:left w:val="single" w:color="auto" w:sz="4" w:space="0"/>
              <w:bottom w:val="single" w:color="auto" w:sz="8" w:space="0"/>
              <w:right w:val="single" w:color="auto" w:sz="8" w:space="0"/>
            </w:tcBorders>
            <w:vAlign w:val="center"/>
          </w:tcPr>
          <w:p w14:paraId="3F67E4D5">
            <w:pPr>
              <w:pStyle w:val="182"/>
              <w:ind w:firstLine="0" w:firstLineChars="0"/>
              <w:jc w:val="left"/>
              <w:rPr>
                <w:rFonts w:hint="eastAsia"/>
                <w:b/>
                <w:bCs/>
                <w:color w:val="auto"/>
                <w:u w:val="single"/>
                <w:lang w:val="en-US" w:eastAsia="zh-CN"/>
              </w:rPr>
            </w:pPr>
            <w:r>
              <w:rPr>
                <w:rFonts w:hint="eastAsia"/>
                <w:b/>
                <w:bCs/>
                <w:color w:val="auto"/>
                <w:u w:val="single"/>
                <w:lang w:val="en-US" w:eastAsia="zh-CN"/>
              </w:rPr>
              <w:t>1、本项目生产废水多次循环使用，在工艺设计上充分节水；</w:t>
            </w:r>
          </w:p>
          <w:p w14:paraId="102A59A9">
            <w:pPr>
              <w:pStyle w:val="182"/>
              <w:ind w:firstLine="0" w:firstLineChars="0"/>
              <w:jc w:val="left"/>
              <w:rPr>
                <w:rFonts w:hint="eastAsia"/>
                <w:b/>
                <w:bCs/>
                <w:color w:val="auto"/>
                <w:u w:val="single"/>
                <w:lang w:val="en-US" w:eastAsia="zh-CN"/>
              </w:rPr>
            </w:pPr>
            <w:r>
              <w:rPr>
                <w:rFonts w:hint="eastAsia"/>
                <w:b/>
                <w:bCs/>
                <w:color w:val="auto"/>
                <w:u w:val="single"/>
                <w:lang w:val="en-US" w:eastAsia="zh-CN"/>
              </w:rPr>
              <w:t>2、本项目水洗废水回用；</w:t>
            </w:r>
          </w:p>
          <w:p w14:paraId="466D94A4">
            <w:pPr>
              <w:pStyle w:val="182"/>
              <w:ind w:firstLine="0" w:firstLineChars="0"/>
              <w:jc w:val="left"/>
              <w:rPr>
                <w:rFonts w:hint="eastAsia"/>
                <w:b/>
                <w:bCs/>
                <w:color w:val="auto"/>
                <w:u w:val="single"/>
                <w:lang w:val="en-US" w:eastAsia="zh-CN"/>
              </w:rPr>
            </w:pPr>
            <w:r>
              <w:rPr>
                <w:rFonts w:hint="eastAsia"/>
                <w:b/>
                <w:bCs/>
                <w:color w:val="auto"/>
                <w:u w:val="single"/>
                <w:lang w:val="en-US" w:eastAsia="zh-CN"/>
              </w:rPr>
              <w:t>3、本项目用热依托厂区热源，符合要求；</w:t>
            </w:r>
          </w:p>
          <w:p w14:paraId="422EAED5">
            <w:pPr>
              <w:pStyle w:val="182"/>
              <w:ind w:firstLine="0" w:firstLineChars="0"/>
              <w:jc w:val="left"/>
              <w:rPr>
                <w:rFonts w:hint="eastAsia"/>
                <w:b/>
                <w:bCs/>
                <w:color w:val="auto"/>
                <w:u w:val="single"/>
                <w:lang w:eastAsia="zh-CN"/>
              </w:rPr>
            </w:pPr>
            <w:r>
              <w:rPr>
                <w:rFonts w:hint="eastAsia"/>
                <w:b/>
                <w:bCs/>
                <w:color w:val="auto"/>
                <w:u w:val="single"/>
                <w:lang w:val="en-US" w:eastAsia="zh-CN"/>
              </w:rPr>
              <w:t>4、本项目</w:t>
            </w:r>
            <w:r>
              <w:rPr>
                <w:b/>
                <w:bCs/>
                <w:color w:val="auto"/>
                <w:u w:val="single"/>
              </w:rPr>
              <w:t>达到《河南省工业项目建设用地控制指标》</w:t>
            </w:r>
            <w:r>
              <w:rPr>
                <w:rFonts w:hint="eastAsia"/>
                <w:b/>
                <w:bCs/>
                <w:color w:val="auto"/>
                <w:u w:val="single"/>
                <w:lang w:val="en-US" w:eastAsia="zh-CN"/>
              </w:rPr>
              <w:t>的</w:t>
            </w:r>
            <w:r>
              <w:rPr>
                <w:b/>
                <w:bCs/>
                <w:color w:val="auto"/>
                <w:u w:val="single"/>
              </w:rPr>
              <w:t>要求</w:t>
            </w:r>
            <w:r>
              <w:rPr>
                <w:rFonts w:hint="eastAsia"/>
                <w:b/>
                <w:bCs/>
                <w:color w:val="auto"/>
                <w:u w:val="single"/>
                <w:lang w:eastAsia="zh-CN"/>
              </w:rPr>
              <w:t>；</w:t>
            </w:r>
          </w:p>
          <w:p w14:paraId="4910BD58">
            <w:pPr>
              <w:pStyle w:val="182"/>
              <w:ind w:firstLine="0" w:firstLineChars="0"/>
              <w:jc w:val="left"/>
              <w:rPr>
                <w:rFonts w:hint="default"/>
                <w:b/>
                <w:bCs/>
                <w:color w:val="auto"/>
                <w:u w:val="single"/>
                <w:lang w:val="en-US" w:eastAsia="zh-CN"/>
              </w:rPr>
            </w:pPr>
            <w:r>
              <w:rPr>
                <w:rFonts w:hint="eastAsia"/>
                <w:b/>
                <w:bCs/>
                <w:color w:val="auto"/>
                <w:u w:val="single"/>
                <w:lang w:val="en-US" w:eastAsia="zh-CN"/>
              </w:rPr>
              <w:t>5、本</w:t>
            </w:r>
            <w:r>
              <w:rPr>
                <w:b/>
                <w:bCs/>
                <w:color w:val="auto"/>
                <w:u w:val="single"/>
              </w:rPr>
              <w:t>项目用地符合开发区土地利用规划要求。</w:t>
            </w:r>
          </w:p>
        </w:tc>
        <w:tc>
          <w:tcPr>
            <w:tcW w:w="517" w:type="pct"/>
            <w:tcBorders>
              <w:top w:val="single" w:color="auto" w:sz="4" w:space="0"/>
              <w:left w:val="single" w:color="auto" w:sz="4" w:space="0"/>
              <w:bottom w:val="single" w:color="auto" w:sz="8" w:space="0"/>
              <w:right w:val="single" w:color="auto" w:sz="8" w:space="0"/>
            </w:tcBorders>
            <w:vAlign w:val="center"/>
          </w:tcPr>
          <w:p w14:paraId="08E1B25C">
            <w:pPr>
              <w:pStyle w:val="182"/>
              <w:ind w:firstLine="0" w:firstLineChars="0"/>
              <w:rPr>
                <w:b/>
                <w:bCs/>
                <w:color w:val="auto"/>
                <w:u w:val="single"/>
              </w:rPr>
            </w:pPr>
            <w:r>
              <w:rPr>
                <w:rFonts w:hint="eastAsia"/>
                <w:b/>
                <w:bCs/>
                <w:color w:val="auto"/>
                <w:u w:val="single"/>
                <w:lang w:val="en-US" w:eastAsia="zh-CN"/>
              </w:rPr>
              <w:t>相符</w:t>
            </w:r>
          </w:p>
        </w:tc>
      </w:tr>
    </w:tbl>
    <w:p w14:paraId="4475CCE5">
      <w:pPr>
        <w:ind w:left="0" w:leftChars="0" w:firstLine="0" w:firstLineChars="0"/>
        <w:rPr>
          <w:rFonts w:hint="eastAsia"/>
          <w:b w:val="0"/>
          <w:bCs w:val="0"/>
          <w:color w:val="auto"/>
          <w:u w:val="none"/>
          <w:lang w:val="en-US" w:eastAsia="zh-CN"/>
        </w:rPr>
      </w:pPr>
    </w:p>
    <w:p w14:paraId="5C647F6F">
      <w:pPr>
        <w:pStyle w:val="190"/>
        <w:spacing w:after="240" w:line="240" w:lineRule="auto"/>
        <w:ind w:left="0" w:leftChars="0" w:firstLine="0" w:firstLineChars="0"/>
      </w:pPr>
      <w:r>
        <w:pict>
          <v:shape id="_x0000_s2359" o:spid="_x0000_s2359" o:spt="61" type="#_x0000_t61" style="position:absolute;left:0pt;margin-left:128.75pt;margin-top:103.5pt;height:23.25pt;width:62.2pt;z-index:251723776;mso-width-relative:page;mso-height-relative:page;" fillcolor="#FFFFFF" filled="t" stroked="t" coordsize="21600,21600" adj="27249,52119">
            <v:path/>
            <v:fill on="t" color2="#FFFFFF" focussize="0,0"/>
            <v:stroke color="#000000" joinstyle="miter"/>
            <v:imagedata o:title=""/>
            <o:lock v:ext="edit" aspectratio="f"/>
            <v:textbox>
              <w:txbxContent>
                <w:p w14:paraId="3F52E308">
                  <w:pPr>
                    <w:ind w:left="0" w:leftChars="0" w:firstLine="0" w:firstLineChars="0"/>
                  </w:pPr>
                  <w:r>
                    <w:t>本项目</w:t>
                  </w:r>
                </w:p>
              </w:txbxContent>
            </v:textbox>
          </v:shape>
        </w:pict>
      </w:r>
      <w:r>
        <w:drawing>
          <wp:inline distT="0" distB="0" distL="114300" distR="114300">
            <wp:extent cx="5476875" cy="3762375"/>
            <wp:effectExtent l="0" t="0" r="9525" b="9525"/>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
                    <pic:cNvPicPr>
                      <a:picLocks noChangeAspect="1"/>
                    </pic:cNvPicPr>
                  </pic:nvPicPr>
                  <pic:blipFill>
                    <a:blip r:embed="rId33"/>
                    <a:srcRect b="2948"/>
                    <a:stretch>
                      <a:fillRect/>
                    </a:stretch>
                  </pic:blipFill>
                  <pic:spPr>
                    <a:xfrm>
                      <a:off x="0" y="0"/>
                      <a:ext cx="5476875" cy="3762375"/>
                    </a:xfrm>
                    <a:prstGeom prst="rect">
                      <a:avLst/>
                    </a:prstGeom>
                    <a:noFill/>
                    <a:ln>
                      <a:noFill/>
                    </a:ln>
                  </pic:spPr>
                </pic:pic>
              </a:graphicData>
            </a:graphic>
          </wp:inline>
        </w:drawing>
      </w:r>
    </w:p>
    <w:p w14:paraId="2C74B367">
      <w:pPr>
        <w:pStyle w:val="181"/>
        <w:bidi w:val="0"/>
        <w:ind w:left="0" w:leftChars="0" w:firstLine="0" w:firstLineChars="0"/>
        <w:jc w:val="center"/>
        <w:rPr>
          <w:rFonts w:hint="eastAsia"/>
          <w:color w:val="auto"/>
        </w:rPr>
      </w:pPr>
      <w:r>
        <w:rPr>
          <w:rFonts w:hint="eastAsia"/>
          <w:color w:val="auto"/>
        </w:rPr>
        <w:t>图</w:t>
      </w:r>
      <w:r>
        <w:rPr>
          <w:color w:val="auto"/>
        </w:rPr>
        <w:t>2.</w:t>
      </w:r>
      <w:r>
        <w:rPr>
          <w:rFonts w:hint="eastAsia"/>
          <w:color w:val="auto"/>
          <w:lang w:val="en-US" w:eastAsia="zh-CN"/>
        </w:rPr>
        <w:t>9</w:t>
      </w:r>
      <w:r>
        <w:rPr>
          <w:rFonts w:hint="eastAsia"/>
          <w:color w:val="auto"/>
        </w:rPr>
        <w:t>-</w:t>
      </w:r>
      <w:r>
        <w:rPr>
          <w:color w:val="auto"/>
        </w:rPr>
        <w:t xml:space="preserve">1  </w:t>
      </w:r>
      <w:r>
        <w:rPr>
          <w:rFonts w:hint="eastAsia"/>
          <w:color w:val="auto"/>
        </w:rPr>
        <w:t>开发区用地功能布局图</w:t>
      </w:r>
    </w:p>
    <w:p w14:paraId="3836C848"/>
    <w:p w14:paraId="7FEB9C39">
      <w:pPr>
        <w:pStyle w:val="13"/>
        <w:spacing w:line="240" w:lineRule="auto"/>
        <w:ind w:firstLine="0" w:firstLineChars="0"/>
        <w:rPr>
          <w:rFonts w:hint="eastAsia"/>
        </w:rPr>
      </w:pPr>
      <w:r>
        <w:pict>
          <v:shape id="_x0000_s2358" o:spid="_x0000_s2358" o:spt="61" type="#_x0000_t61" style="position:absolute;left:0pt;margin-left:136pt;margin-top:103.2pt;height:23.25pt;width:60.4pt;z-index:251724800;mso-width-relative:page;mso-height-relative:page;" fillcolor="#FFFFFF" filled="t" stroked="t" coordsize="21600,21600" adj="27249,52119">
            <v:path/>
            <v:fill on="t" color2="#FFFFFF" focussize="0,0"/>
            <v:stroke color="#000000" joinstyle="miter"/>
            <v:imagedata o:title=""/>
            <o:lock v:ext="edit" aspectratio="f"/>
            <v:textbox>
              <w:txbxContent>
                <w:p w14:paraId="0D256ED1">
                  <w:pPr>
                    <w:ind w:left="0" w:leftChars="0" w:firstLine="0" w:firstLineChars="0"/>
                  </w:pPr>
                  <w:r>
                    <w:t>本项目</w:t>
                  </w:r>
                </w:p>
              </w:txbxContent>
            </v:textbox>
          </v:shape>
        </w:pict>
      </w:r>
      <w:r>
        <w:drawing>
          <wp:inline distT="0" distB="0" distL="114300" distR="114300">
            <wp:extent cx="5467350" cy="3865880"/>
            <wp:effectExtent l="0" t="0" r="0" b="1270"/>
            <wp:docPr id="8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4"/>
                    <pic:cNvPicPr>
                      <a:picLocks noChangeAspect="1"/>
                    </pic:cNvPicPr>
                  </pic:nvPicPr>
                  <pic:blipFill>
                    <a:blip r:embed="rId34"/>
                    <a:stretch>
                      <a:fillRect/>
                    </a:stretch>
                  </pic:blipFill>
                  <pic:spPr>
                    <a:xfrm flipV="1">
                      <a:off x="0" y="0"/>
                      <a:ext cx="5467350" cy="3865880"/>
                    </a:xfrm>
                    <a:prstGeom prst="rect">
                      <a:avLst/>
                    </a:prstGeom>
                    <a:noFill/>
                    <a:ln>
                      <a:noFill/>
                    </a:ln>
                  </pic:spPr>
                </pic:pic>
              </a:graphicData>
            </a:graphic>
          </wp:inline>
        </w:drawing>
      </w:r>
    </w:p>
    <w:p w14:paraId="0D27FAD1">
      <w:pPr>
        <w:pStyle w:val="181"/>
        <w:bidi w:val="0"/>
        <w:ind w:left="0" w:leftChars="0" w:firstLine="0" w:firstLineChars="0"/>
        <w:jc w:val="center"/>
        <w:rPr>
          <w:color w:val="auto"/>
        </w:rPr>
      </w:pPr>
      <w:r>
        <w:rPr>
          <w:rFonts w:hint="eastAsia"/>
          <w:color w:val="auto"/>
        </w:rPr>
        <w:t>图</w:t>
      </w:r>
      <w:r>
        <w:rPr>
          <w:color w:val="auto"/>
        </w:rPr>
        <w:t>2.</w:t>
      </w:r>
      <w:r>
        <w:rPr>
          <w:rFonts w:hint="eastAsia"/>
          <w:color w:val="auto"/>
          <w:lang w:val="en-US" w:eastAsia="zh-CN"/>
        </w:rPr>
        <w:t>9</w:t>
      </w:r>
      <w:r>
        <w:rPr>
          <w:rFonts w:hint="eastAsia"/>
          <w:color w:val="auto"/>
        </w:rPr>
        <w:t>-</w:t>
      </w:r>
      <w:r>
        <w:rPr>
          <w:rFonts w:hint="eastAsia"/>
          <w:color w:val="auto"/>
          <w:lang w:val="en-US" w:eastAsia="zh-CN"/>
        </w:rPr>
        <w:t>2</w:t>
      </w:r>
      <w:r>
        <w:rPr>
          <w:color w:val="auto"/>
        </w:rPr>
        <w:t xml:space="preserve">  </w:t>
      </w:r>
      <w:r>
        <w:rPr>
          <w:rFonts w:hint="eastAsia"/>
          <w:color w:val="auto"/>
        </w:rPr>
        <w:t>开发区用地功能布局图</w:t>
      </w:r>
    </w:p>
    <w:p w14:paraId="10B2A3BC">
      <w:pPr>
        <w:bidi w:val="0"/>
        <w:rPr>
          <w:rFonts w:hint="eastAsia"/>
          <w:color w:val="auto"/>
        </w:rPr>
      </w:pPr>
    </w:p>
    <w:p w14:paraId="41EDBC84">
      <w:pPr>
        <w:pStyle w:val="5"/>
        <w:bidi w:val="0"/>
      </w:pPr>
      <w:r>
        <w:rPr>
          <w:rFonts w:hint="eastAsia"/>
        </w:rPr>
        <w:t>新乡市城市饮用水源保护规划</w:t>
      </w:r>
    </w:p>
    <w:p w14:paraId="11D2B785">
      <w:pPr>
        <w:pStyle w:val="6"/>
        <w:bidi w:val="0"/>
        <w:rPr>
          <w:color w:val="auto"/>
        </w:rPr>
      </w:pPr>
      <w:r>
        <w:rPr>
          <w:rFonts w:hint="eastAsia"/>
          <w:color w:val="auto"/>
        </w:rPr>
        <w:t>新乡市饮用水源保护区</w:t>
      </w:r>
    </w:p>
    <w:p w14:paraId="4B611E35">
      <w:pPr>
        <w:bidi w:val="0"/>
        <w:rPr>
          <w:color w:val="auto"/>
        </w:rPr>
      </w:pPr>
      <w:r>
        <w:rPr>
          <w:rFonts w:hint="eastAsia"/>
          <w:color w:val="auto"/>
        </w:rPr>
        <w:t>《新乡市城市饮用水水源地保护区划分报告》（2007.5）已由河南省人民政府以豫政办[2007]125号文批复，另外，根据《河南省人民政府办公厅关于印发河南省乡镇集中式饮用水水源保护区划的通知》（豫政办〔2016〕23号）和《辉县市乡镇集中式饮用水水源保护区划分技术报告》具体划分结果如下表。</w:t>
      </w:r>
    </w:p>
    <w:p w14:paraId="60E8ACF3">
      <w:pPr>
        <w:pStyle w:val="10"/>
        <w:bidi w:val="0"/>
        <w:rPr>
          <w:color w:val="auto"/>
        </w:rPr>
      </w:pPr>
      <w:r>
        <w:t xml:space="preserve">表 </w:t>
      </w:r>
      <w:r>
        <w:fldChar w:fldCharType="begin"/>
      </w:r>
      <w:r>
        <w:instrText xml:space="preserve"> STYLEREF 2 \s </w:instrText>
      </w:r>
      <w:r>
        <w:fldChar w:fldCharType="separate"/>
      </w:r>
      <w:r>
        <w:t>2.9</w:t>
      </w:r>
      <w:r>
        <w:fldChar w:fldCharType="end"/>
      </w:r>
      <w:r>
        <w:rPr>
          <w:rFonts w:hint="eastAsia"/>
          <w:lang w:eastAsia="zh-CN"/>
        </w:rPr>
        <w:t>-</w:t>
      </w:r>
      <w:r>
        <w:fldChar w:fldCharType="begin"/>
      </w:r>
      <w:r>
        <w:instrText xml:space="preserve"> SEQ 表 \* ARABIC \s 2 </w:instrText>
      </w:r>
      <w:r>
        <w:fldChar w:fldCharType="separate"/>
      </w:r>
      <w:r>
        <w:t>4</w:t>
      </w:r>
      <w:r>
        <w:fldChar w:fldCharType="end"/>
      </w:r>
      <w:r>
        <w:rPr>
          <w:rFonts w:hint="eastAsia"/>
          <w:lang w:val="en-US" w:eastAsia="zh-CN"/>
        </w:rPr>
        <w:t xml:space="preserve"> </w:t>
      </w:r>
      <w:r>
        <w:rPr>
          <w:lang w:val="en-US" w:eastAsia="zh-CN"/>
        </w:rPr>
        <w:t>新乡市城市集中饮用水源地</w:t>
      </w: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675"/>
        <w:gridCol w:w="1985"/>
        <w:gridCol w:w="2968"/>
        <w:gridCol w:w="368"/>
        <w:gridCol w:w="2526"/>
      </w:tblGrid>
      <w:tr w14:paraId="5E7BE3A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12" w:hRule="atLeast"/>
          <w:jc w:val="center"/>
        </w:trPr>
        <w:tc>
          <w:tcPr>
            <w:tcW w:w="675" w:type="dxa"/>
            <w:tcBorders>
              <w:top w:val="single" w:color="auto" w:sz="8" w:space="0"/>
              <w:left w:val="single" w:color="auto" w:sz="8" w:space="0"/>
              <w:bottom w:val="single" w:color="auto" w:sz="8" w:space="0"/>
              <w:right w:val="single" w:color="auto" w:sz="4" w:space="0"/>
            </w:tcBorders>
            <w:vAlign w:val="center"/>
          </w:tcPr>
          <w:p w14:paraId="67C9256A">
            <w:pPr>
              <w:pStyle w:val="182"/>
              <w:bidi w:val="0"/>
              <w:rPr>
                <w:b/>
                <w:bCs/>
                <w:color w:val="auto"/>
                <w:u w:val="none"/>
              </w:rPr>
            </w:pPr>
            <w:r>
              <w:rPr>
                <w:b/>
                <w:bCs/>
                <w:color w:val="auto"/>
                <w:u w:val="none"/>
              </w:rPr>
              <w:t>序号</w:t>
            </w:r>
          </w:p>
        </w:tc>
        <w:tc>
          <w:tcPr>
            <w:tcW w:w="1985" w:type="dxa"/>
            <w:tcBorders>
              <w:top w:val="single" w:color="auto" w:sz="8" w:space="0"/>
              <w:left w:val="single" w:color="auto" w:sz="4" w:space="0"/>
              <w:bottom w:val="single" w:color="auto" w:sz="8" w:space="0"/>
              <w:right w:val="single" w:color="auto" w:sz="4" w:space="0"/>
            </w:tcBorders>
            <w:vAlign w:val="center"/>
          </w:tcPr>
          <w:p w14:paraId="4F514C99">
            <w:pPr>
              <w:pStyle w:val="182"/>
              <w:bidi w:val="0"/>
              <w:rPr>
                <w:b/>
                <w:bCs/>
                <w:color w:val="auto"/>
                <w:u w:val="none"/>
              </w:rPr>
            </w:pPr>
            <w:r>
              <w:rPr>
                <w:b/>
                <w:bCs/>
                <w:color w:val="auto"/>
                <w:u w:val="none"/>
              </w:rPr>
              <w:t>水源地名称</w:t>
            </w:r>
          </w:p>
        </w:tc>
        <w:tc>
          <w:tcPr>
            <w:tcW w:w="2968" w:type="dxa"/>
            <w:tcBorders>
              <w:top w:val="single" w:color="auto" w:sz="8" w:space="0"/>
              <w:left w:val="single" w:color="auto" w:sz="4" w:space="0"/>
              <w:bottom w:val="single" w:color="auto" w:sz="8" w:space="0"/>
              <w:right w:val="single" w:color="auto" w:sz="4" w:space="0"/>
            </w:tcBorders>
            <w:vAlign w:val="center"/>
          </w:tcPr>
          <w:p w14:paraId="206A49BA">
            <w:pPr>
              <w:pStyle w:val="182"/>
              <w:bidi w:val="0"/>
              <w:rPr>
                <w:b/>
                <w:bCs/>
                <w:color w:val="auto"/>
                <w:u w:val="none"/>
              </w:rPr>
            </w:pPr>
            <w:r>
              <w:rPr>
                <w:b/>
                <w:bCs/>
                <w:color w:val="auto"/>
                <w:u w:val="none"/>
              </w:rPr>
              <w:t>一级保护区</w:t>
            </w:r>
          </w:p>
        </w:tc>
        <w:tc>
          <w:tcPr>
            <w:tcW w:w="2894" w:type="dxa"/>
            <w:gridSpan w:val="2"/>
            <w:tcBorders>
              <w:top w:val="single" w:color="auto" w:sz="8" w:space="0"/>
              <w:left w:val="single" w:color="auto" w:sz="4" w:space="0"/>
              <w:bottom w:val="single" w:color="auto" w:sz="8" w:space="0"/>
              <w:right w:val="single" w:color="auto" w:sz="8" w:space="0"/>
            </w:tcBorders>
            <w:vAlign w:val="center"/>
          </w:tcPr>
          <w:p w14:paraId="0020DB1B">
            <w:pPr>
              <w:pStyle w:val="182"/>
              <w:bidi w:val="0"/>
              <w:rPr>
                <w:b/>
                <w:bCs/>
                <w:color w:val="auto"/>
                <w:u w:val="none"/>
              </w:rPr>
            </w:pPr>
            <w:r>
              <w:rPr>
                <w:b/>
                <w:bCs/>
                <w:color w:val="auto"/>
                <w:u w:val="none"/>
              </w:rPr>
              <w:t>二级保护区</w:t>
            </w:r>
          </w:p>
        </w:tc>
      </w:tr>
      <w:tr w14:paraId="1CD105C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top w:val="single" w:color="auto" w:sz="8" w:space="0"/>
              <w:left w:val="single" w:color="auto" w:sz="8" w:space="0"/>
              <w:bottom w:val="single" w:color="auto" w:sz="4" w:space="0"/>
              <w:right w:val="single" w:color="auto" w:sz="4" w:space="0"/>
            </w:tcBorders>
            <w:vAlign w:val="center"/>
          </w:tcPr>
          <w:p w14:paraId="31F5E2DB">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1</w:t>
            </w:r>
          </w:p>
        </w:tc>
        <w:tc>
          <w:tcPr>
            <w:tcW w:w="1985" w:type="dxa"/>
            <w:tcBorders>
              <w:top w:val="single" w:color="auto" w:sz="8" w:space="0"/>
              <w:left w:val="single" w:color="auto" w:sz="4" w:space="0"/>
              <w:bottom w:val="single" w:color="auto" w:sz="4" w:space="0"/>
              <w:right w:val="single" w:color="auto" w:sz="4" w:space="0"/>
            </w:tcBorders>
            <w:vAlign w:val="center"/>
          </w:tcPr>
          <w:p w14:paraId="645FE647">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黄河贾太湖地表水饮用水源保护区</w:t>
            </w:r>
          </w:p>
        </w:tc>
        <w:tc>
          <w:tcPr>
            <w:tcW w:w="5862" w:type="dxa"/>
            <w:gridSpan w:val="3"/>
            <w:tcBorders>
              <w:top w:val="single" w:color="auto" w:sz="8" w:space="0"/>
              <w:left w:val="single" w:color="auto" w:sz="4" w:space="0"/>
              <w:bottom w:val="single" w:color="auto" w:sz="4" w:space="0"/>
              <w:right w:val="single" w:color="auto" w:sz="8" w:space="0"/>
            </w:tcBorders>
            <w:vAlign w:val="center"/>
          </w:tcPr>
          <w:p w14:paraId="7A07A0D3">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豫政文[2018]114号文将其取消</w:t>
            </w:r>
          </w:p>
        </w:tc>
      </w:tr>
      <w:tr w14:paraId="5084E9C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top w:val="single" w:color="auto" w:sz="4" w:space="0"/>
              <w:left w:val="single" w:color="auto" w:sz="8" w:space="0"/>
              <w:bottom w:val="single" w:color="auto" w:sz="4" w:space="0"/>
              <w:right w:val="single" w:color="auto" w:sz="4" w:space="0"/>
            </w:tcBorders>
            <w:vAlign w:val="center"/>
          </w:tcPr>
          <w:p w14:paraId="6EB62E43">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2</w:t>
            </w:r>
          </w:p>
        </w:tc>
        <w:tc>
          <w:tcPr>
            <w:tcW w:w="1985" w:type="dxa"/>
            <w:tcBorders>
              <w:top w:val="single" w:color="auto" w:sz="4" w:space="0"/>
              <w:left w:val="single" w:color="auto" w:sz="4" w:space="0"/>
              <w:bottom w:val="single" w:color="auto" w:sz="4" w:space="0"/>
              <w:right w:val="single" w:color="auto" w:sz="4" w:space="0"/>
            </w:tcBorders>
            <w:vAlign w:val="center"/>
          </w:tcPr>
          <w:p w14:paraId="098D7DBD">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黄河原阳中岳地表水饮用水源保护区</w:t>
            </w:r>
          </w:p>
        </w:tc>
        <w:tc>
          <w:tcPr>
            <w:tcW w:w="5862" w:type="dxa"/>
            <w:gridSpan w:val="3"/>
            <w:tcBorders>
              <w:top w:val="single" w:color="auto" w:sz="4" w:space="0"/>
              <w:left w:val="single" w:color="auto" w:sz="4" w:space="0"/>
              <w:bottom w:val="single" w:color="auto" w:sz="4" w:space="0"/>
              <w:right w:val="single" w:color="auto" w:sz="8" w:space="0"/>
            </w:tcBorders>
            <w:vAlign w:val="center"/>
          </w:tcPr>
          <w:p w14:paraId="7CEF7911">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豫政文[2018]114号文将其取消</w:t>
            </w:r>
          </w:p>
        </w:tc>
      </w:tr>
      <w:tr w14:paraId="3419B25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top w:val="single" w:color="auto" w:sz="4" w:space="0"/>
              <w:left w:val="single" w:color="auto" w:sz="8" w:space="0"/>
              <w:bottom w:val="single" w:color="auto" w:sz="4" w:space="0"/>
              <w:right w:val="single" w:color="auto" w:sz="4" w:space="0"/>
            </w:tcBorders>
            <w:vAlign w:val="center"/>
          </w:tcPr>
          <w:p w14:paraId="69D55081">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3</w:t>
            </w:r>
          </w:p>
        </w:tc>
        <w:tc>
          <w:tcPr>
            <w:tcW w:w="1985" w:type="dxa"/>
            <w:tcBorders>
              <w:top w:val="single" w:color="auto" w:sz="4" w:space="0"/>
              <w:left w:val="single" w:color="auto" w:sz="4" w:space="0"/>
              <w:bottom w:val="single" w:color="auto" w:sz="4" w:space="0"/>
              <w:right w:val="single" w:color="auto" w:sz="4" w:space="0"/>
            </w:tcBorders>
            <w:vAlign w:val="center"/>
          </w:tcPr>
          <w:p w14:paraId="20ED5A29">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三水厂地下水饮用水源保护区</w:t>
            </w:r>
          </w:p>
        </w:tc>
        <w:tc>
          <w:tcPr>
            <w:tcW w:w="5862" w:type="dxa"/>
            <w:gridSpan w:val="3"/>
            <w:tcBorders>
              <w:top w:val="single" w:color="auto" w:sz="4" w:space="0"/>
              <w:left w:val="single" w:color="auto" w:sz="4" w:space="0"/>
              <w:bottom w:val="single" w:color="auto" w:sz="4" w:space="0"/>
              <w:right w:val="single" w:color="auto" w:sz="8" w:space="0"/>
            </w:tcBorders>
            <w:vAlign w:val="center"/>
          </w:tcPr>
          <w:p w14:paraId="33CCCBD8">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豫政文[2018]114号文将其取消</w:t>
            </w:r>
          </w:p>
        </w:tc>
      </w:tr>
      <w:tr w14:paraId="56DB462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top w:val="single" w:color="auto" w:sz="4" w:space="0"/>
              <w:left w:val="single" w:color="auto" w:sz="8" w:space="0"/>
              <w:bottom w:val="single" w:color="auto" w:sz="4" w:space="0"/>
              <w:right w:val="single" w:color="auto" w:sz="4" w:space="0"/>
            </w:tcBorders>
            <w:vAlign w:val="center"/>
          </w:tcPr>
          <w:p w14:paraId="629A6881">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4</w:t>
            </w:r>
          </w:p>
        </w:tc>
        <w:tc>
          <w:tcPr>
            <w:tcW w:w="1985" w:type="dxa"/>
            <w:tcBorders>
              <w:top w:val="single" w:color="auto" w:sz="4" w:space="0"/>
              <w:left w:val="single" w:color="auto" w:sz="4" w:space="0"/>
              <w:bottom w:val="single" w:color="auto" w:sz="4" w:space="0"/>
              <w:right w:val="single" w:color="auto" w:sz="4" w:space="0"/>
            </w:tcBorders>
            <w:vAlign w:val="center"/>
          </w:tcPr>
          <w:p w14:paraId="38117061">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四水厂地下水饮用水源保护区</w:t>
            </w:r>
          </w:p>
        </w:tc>
        <w:tc>
          <w:tcPr>
            <w:tcW w:w="5862" w:type="dxa"/>
            <w:gridSpan w:val="3"/>
            <w:tcBorders>
              <w:top w:val="single" w:color="auto" w:sz="4" w:space="0"/>
              <w:left w:val="single" w:color="auto" w:sz="4" w:space="0"/>
              <w:bottom w:val="single" w:color="auto" w:sz="4" w:space="0"/>
              <w:right w:val="single" w:color="auto" w:sz="8" w:space="0"/>
            </w:tcBorders>
            <w:vAlign w:val="center"/>
          </w:tcPr>
          <w:p w14:paraId="5DC9FAF0">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b w:val="0"/>
                <w:bCs w:val="0"/>
                <w:color w:val="auto"/>
                <w:u w:val="none"/>
              </w:rPr>
            </w:pPr>
            <w:r>
              <w:rPr>
                <w:rFonts w:hint="eastAsia"/>
                <w:b w:val="0"/>
                <w:bCs w:val="0"/>
                <w:u w:val="none"/>
              </w:rPr>
              <w:t>豫政文[2021]72号文将其取消</w:t>
            </w:r>
          </w:p>
        </w:tc>
      </w:tr>
      <w:tr w14:paraId="1334980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left w:val="single" w:color="auto" w:sz="8" w:space="0"/>
              <w:bottom w:val="single" w:color="auto" w:sz="4" w:space="0"/>
              <w:right w:val="single" w:color="auto" w:sz="4" w:space="0"/>
            </w:tcBorders>
            <w:vAlign w:val="center"/>
          </w:tcPr>
          <w:p w14:paraId="13B0A321">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5</w:t>
            </w:r>
          </w:p>
        </w:tc>
        <w:tc>
          <w:tcPr>
            <w:tcW w:w="1985" w:type="dxa"/>
            <w:tcBorders>
              <w:left w:val="single" w:color="auto" w:sz="4" w:space="0"/>
              <w:bottom w:val="single" w:color="auto" w:sz="4" w:space="0"/>
              <w:right w:val="single" w:color="auto" w:sz="4" w:space="0"/>
            </w:tcBorders>
            <w:vAlign w:val="center"/>
          </w:tcPr>
          <w:p w14:paraId="45FFAE30">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凤泉水厂地下水饮用水源保护区</w:t>
            </w:r>
          </w:p>
        </w:tc>
        <w:tc>
          <w:tcPr>
            <w:tcW w:w="3336" w:type="dxa"/>
            <w:gridSpan w:val="2"/>
            <w:tcBorders>
              <w:left w:val="single" w:color="auto" w:sz="4" w:space="0"/>
              <w:bottom w:val="single" w:color="auto" w:sz="4" w:space="0"/>
              <w:right w:val="single" w:color="auto" w:sz="4" w:space="0"/>
            </w:tcBorders>
            <w:vAlign w:val="center"/>
          </w:tcPr>
          <w:p w14:paraId="66C3C564">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以水厂东、西两院的院墙为界向外10米以及输水管线两侧10米的区域。</w:t>
            </w:r>
          </w:p>
        </w:tc>
        <w:tc>
          <w:tcPr>
            <w:tcW w:w="2526" w:type="dxa"/>
            <w:tcBorders>
              <w:left w:val="single" w:color="auto" w:sz="4" w:space="0"/>
              <w:bottom w:val="single" w:color="auto" w:sz="4" w:space="0"/>
              <w:right w:val="single" w:color="auto" w:sz="8" w:space="0"/>
            </w:tcBorders>
            <w:vAlign w:val="center"/>
          </w:tcPr>
          <w:p w14:paraId="6B78C722">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东以团结路为界，其他三面以水厂院墙为界，向外100米的区域。</w:t>
            </w:r>
          </w:p>
        </w:tc>
      </w:tr>
      <w:tr w14:paraId="164BA77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top w:val="single" w:color="auto" w:sz="4" w:space="0"/>
              <w:left w:val="single" w:color="auto" w:sz="8" w:space="0"/>
              <w:bottom w:val="single" w:color="auto" w:sz="4" w:space="0"/>
              <w:right w:val="single" w:color="auto" w:sz="4" w:space="0"/>
            </w:tcBorders>
            <w:vAlign w:val="center"/>
          </w:tcPr>
          <w:p w14:paraId="676CF61F">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6</w:t>
            </w:r>
          </w:p>
        </w:tc>
        <w:tc>
          <w:tcPr>
            <w:tcW w:w="1985" w:type="dxa"/>
            <w:tcBorders>
              <w:top w:val="single" w:color="auto" w:sz="4" w:space="0"/>
              <w:left w:val="single" w:color="auto" w:sz="4" w:space="0"/>
              <w:bottom w:val="single" w:color="auto" w:sz="4" w:space="0"/>
              <w:right w:val="single" w:color="auto" w:sz="4" w:space="0"/>
            </w:tcBorders>
            <w:vAlign w:val="center"/>
          </w:tcPr>
          <w:p w14:paraId="4FF00761">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卫辉市塔岗水库地表水饮用水源保护区</w:t>
            </w:r>
          </w:p>
        </w:tc>
        <w:tc>
          <w:tcPr>
            <w:tcW w:w="3336" w:type="dxa"/>
            <w:gridSpan w:val="2"/>
            <w:tcBorders>
              <w:top w:val="single" w:color="auto" w:sz="4" w:space="0"/>
              <w:left w:val="single" w:color="auto" w:sz="4" w:space="0"/>
              <w:bottom w:val="single" w:color="auto" w:sz="4" w:space="0"/>
              <w:right w:val="single" w:color="auto" w:sz="4" w:space="0"/>
            </w:tcBorders>
            <w:vAlign w:val="center"/>
          </w:tcPr>
          <w:p w14:paraId="5643331F">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取水口外围300米的水域、正常水位线取水口一侧200米的陆域及输水管道两侧10米的陆域。</w:t>
            </w:r>
          </w:p>
        </w:tc>
        <w:tc>
          <w:tcPr>
            <w:tcW w:w="2526" w:type="dxa"/>
            <w:tcBorders>
              <w:top w:val="single" w:color="auto" w:sz="4" w:space="0"/>
              <w:left w:val="single" w:color="auto" w:sz="4" w:space="0"/>
              <w:bottom w:val="single" w:color="auto" w:sz="4" w:space="0"/>
              <w:right w:val="single" w:color="auto" w:sz="8" w:space="0"/>
            </w:tcBorders>
            <w:vAlign w:val="center"/>
          </w:tcPr>
          <w:p w14:paraId="06439F6B">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一级保护区外的水域及山脊线内、入库河流上游3000米的陆域。</w:t>
            </w:r>
          </w:p>
        </w:tc>
      </w:tr>
      <w:tr w14:paraId="10E415C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top w:val="single" w:color="auto" w:sz="4" w:space="0"/>
              <w:left w:val="single" w:color="auto" w:sz="8" w:space="0"/>
              <w:bottom w:val="single" w:color="auto" w:sz="4" w:space="0"/>
              <w:right w:val="single" w:color="auto" w:sz="4" w:space="0"/>
            </w:tcBorders>
            <w:vAlign w:val="center"/>
          </w:tcPr>
          <w:p w14:paraId="1C2FB454">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7</w:t>
            </w:r>
          </w:p>
        </w:tc>
        <w:tc>
          <w:tcPr>
            <w:tcW w:w="1985" w:type="dxa"/>
            <w:tcBorders>
              <w:top w:val="single" w:color="auto" w:sz="4" w:space="0"/>
              <w:left w:val="single" w:color="auto" w:sz="4" w:space="0"/>
              <w:bottom w:val="single" w:color="auto" w:sz="4" w:space="0"/>
              <w:right w:val="single" w:color="auto" w:sz="4" w:space="0"/>
            </w:tcBorders>
            <w:vAlign w:val="center"/>
          </w:tcPr>
          <w:p w14:paraId="3BF05A63">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辉县市段屯地下水饮用水源保护区</w:t>
            </w:r>
          </w:p>
        </w:tc>
        <w:tc>
          <w:tcPr>
            <w:tcW w:w="3336" w:type="dxa"/>
            <w:gridSpan w:val="2"/>
            <w:tcBorders>
              <w:top w:val="single" w:color="auto" w:sz="4" w:space="0"/>
              <w:left w:val="single" w:color="auto" w:sz="4" w:space="0"/>
              <w:bottom w:val="single" w:color="auto" w:sz="4" w:space="0"/>
              <w:right w:val="single" w:color="auto" w:sz="4" w:space="0"/>
            </w:tcBorders>
            <w:vAlign w:val="center"/>
          </w:tcPr>
          <w:p w14:paraId="36CCFDB7">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井群外围线以外30米的区域及输水管道两侧10米的陆域。</w:t>
            </w:r>
          </w:p>
        </w:tc>
        <w:tc>
          <w:tcPr>
            <w:tcW w:w="2526" w:type="dxa"/>
            <w:tcBorders>
              <w:top w:val="single" w:color="auto" w:sz="4" w:space="0"/>
              <w:left w:val="single" w:color="auto" w:sz="4" w:space="0"/>
              <w:bottom w:val="single" w:color="auto" w:sz="4" w:space="0"/>
              <w:right w:val="single" w:color="auto" w:sz="8" w:space="0"/>
            </w:tcBorders>
            <w:vAlign w:val="center"/>
          </w:tcPr>
          <w:p w14:paraId="441B3176">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卫柿路以北，东外环路以东，井群外围线外300米以西和以南的区域。</w:t>
            </w:r>
          </w:p>
        </w:tc>
      </w:tr>
      <w:tr w14:paraId="08AE38E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675" w:type="dxa"/>
            <w:tcBorders>
              <w:top w:val="single" w:color="auto" w:sz="4" w:space="0"/>
              <w:left w:val="single" w:color="auto" w:sz="8" w:space="0"/>
              <w:bottom w:val="single" w:color="auto" w:sz="8" w:space="0"/>
              <w:right w:val="single" w:color="auto" w:sz="4" w:space="0"/>
            </w:tcBorders>
            <w:vAlign w:val="center"/>
          </w:tcPr>
          <w:p w14:paraId="245BF2EF">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b w:val="0"/>
                <w:bCs w:val="0"/>
                <w:color w:val="auto"/>
                <w:u w:val="none"/>
                <w:lang w:val="en-US" w:eastAsia="zh-CN"/>
              </w:rPr>
            </w:pPr>
            <w:r>
              <w:rPr>
                <w:rFonts w:hint="eastAsia"/>
                <w:b w:val="0"/>
                <w:bCs w:val="0"/>
                <w:u w:val="none"/>
              </w:rPr>
              <w:t>8</w:t>
            </w:r>
          </w:p>
        </w:tc>
        <w:tc>
          <w:tcPr>
            <w:tcW w:w="1985" w:type="dxa"/>
            <w:tcBorders>
              <w:top w:val="single" w:color="auto" w:sz="4" w:space="0"/>
              <w:left w:val="single" w:color="auto" w:sz="4" w:space="0"/>
              <w:bottom w:val="single" w:color="auto" w:sz="8" w:space="0"/>
              <w:right w:val="single" w:color="auto" w:sz="4" w:space="0"/>
            </w:tcBorders>
            <w:vAlign w:val="center"/>
          </w:tcPr>
          <w:p w14:paraId="1FC8E202">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七里营引黄水源地</w:t>
            </w:r>
          </w:p>
        </w:tc>
        <w:tc>
          <w:tcPr>
            <w:tcW w:w="3336" w:type="dxa"/>
            <w:gridSpan w:val="2"/>
            <w:tcBorders>
              <w:top w:val="single" w:color="auto" w:sz="4" w:space="0"/>
              <w:left w:val="single" w:color="auto" w:sz="4" w:space="0"/>
              <w:bottom w:val="single" w:color="auto" w:sz="8" w:space="0"/>
              <w:right w:val="single" w:color="auto" w:sz="4" w:space="0"/>
            </w:tcBorders>
            <w:vAlign w:val="center"/>
          </w:tcPr>
          <w:p w14:paraId="3712CD66">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b w:val="0"/>
                <w:bCs w:val="0"/>
                <w:u w:val="none"/>
              </w:rPr>
              <w:t>人民胜利渠新乡市界至本源水厂东厂界的30m明渠水域及渠道两侧20m的工程管理陆域范围</w:t>
            </w:r>
          </w:p>
        </w:tc>
        <w:tc>
          <w:tcPr>
            <w:tcW w:w="2526" w:type="dxa"/>
            <w:tcBorders>
              <w:top w:val="single" w:color="auto" w:sz="4" w:space="0"/>
              <w:left w:val="single" w:color="auto" w:sz="4" w:space="0"/>
              <w:bottom w:val="single" w:color="auto" w:sz="8" w:space="0"/>
              <w:right w:val="single" w:color="auto" w:sz="8" w:space="0"/>
            </w:tcBorders>
            <w:vAlign w:val="center"/>
          </w:tcPr>
          <w:p w14:paraId="433B3127">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b w:val="0"/>
                <w:bCs w:val="0"/>
                <w:color w:val="auto"/>
                <w:u w:val="none"/>
              </w:rPr>
            </w:pPr>
            <w:r>
              <w:rPr>
                <w:rFonts w:hint="eastAsia"/>
                <w:b w:val="0"/>
                <w:bCs w:val="0"/>
                <w:u w:val="none"/>
              </w:rPr>
              <w:t>/</w:t>
            </w:r>
          </w:p>
        </w:tc>
      </w:tr>
    </w:tbl>
    <w:p w14:paraId="246551A9">
      <w:pPr>
        <w:bidi w:val="0"/>
        <w:rPr>
          <w:color w:val="auto"/>
        </w:rPr>
      </w:pPr>
      <w:r>
        <w:rPr>
          <w:rFonts w:hint="eastAsia"/>
          <w:color w:val="auto"/>
        </w:rPr>
        <w:t>距本项目最近的保护区为凤泉水厂地下水饮用水源保护区，距离约为2</w:t>
      </w:r>
      <w:r>
        <w:rPr>
          <w:rFonts w:hint="eastAsia"/>
          <w:color w:val="auto"/>
          <w:lang w:val="en-US" w:eastAsia="zh-CN"/>
        </w:rPr>
        <w:t>1.8</w:t>
      </w:r>
      <w:r>
        <w:rPr>
          <w:rFonts w:hint="eastAsia"/>
          <w:color w:val="auto"/>
        </w:rPr>
        <w:t>km，不在其保护区范围内，具体相对位置如下图：</w:t>
      </w:r>
    </w:p>
    <w:p w14:paraId="2FAF079A">
      <w:pPr>
        <w:pStyle w:val="96"/>
        <w:spacing w:line="240" w:lineRule="auto"/>
        <w:ind w:left="0" w:leftChars="0" w:firstLine="0" w:firstLineChars="0"/>
        <w:jc w:val="center"/>
        <w:rPr>
          <w:rFonts w:hint="eastAsia" w:eastAsia="宋体"/>
          <w:color w:val="auto"/>
          <w:lang w:eastAsia="zh-CN"/>
        </w:rPr>
      </w:pPr>
      <w:r>
        <w:rPr>
          <w:rFonts w:hint="eastAsia" w:eastAsia="宋体"/>
          <w:color w:val="auto"/>
          <w:lang w:eastAsia="zh-CN"/>
        </w:rPr>
        <w:object>
          <v:shape id="_x0000_i1025" o:spt="75" type="#_x0000_t75" style="height:326pt;width:374.65pt;" o:ole="t" filled="f" o:preferrelative="t" stroked="f" coordsize="21600,21600">
            <v:path/>
            <v:fill on="f" focussize="0,0"/>
            <v:stroke on="f"/>
            <v:imagedata r:id="rId36" o:title=""/>
            <o:lock v:ext="edit" aspectratio="t"/>
            <w10:wrap type="none"/>
            <w10:anchorlock/>
          </v:shape>
          <o:OLEObject Type="Embed" ProgID="Visio.Drawing.15" ShapeID="_x0000_i1025" DrawAspect="Content" ObjectID="_1468075725" r:id="rId35">
            <o:LockedField>false</o:LockedField>
          </o:OLEObject>
        </w:object>
      </w:r>
    </w:p>
    <w:p w14:paraId="3F01BC14">
      <w:pPr>
        <w:pStyle w:val="181"/>
        <w:bidi w:val="0"/>
        <w:ind w:left="0" w:leftChars="0" w:firstLine="0" w:firstLineChars="0"/>
        <w:jc w:val="center"/>
        <w:rPr>
          <w:color w:val="auto"/>
        </w:rPr>
      </w:pPr>
      <w:r>
        <w:rPr>
          <w:rFonts w:hint="eastAsia"/>
          <w:color w:val="auto"/>
        </w:rPr>
        <w:t>图</w:t>
      </w:r>
      <w:r>
        <w:rPr>
          <w:color w:val="auto"/>
        </w:rPr>
        <w:t>2.</w:t>
      </w:r>
      <w:r>
        <w:rPr>
          <w:rFonts w:hint="eastAsia"/>
          <w:color w:val="auto"/>
          <w:lang w:val="en-US" w:eastAsia="zh-CN"/>
        </w:rPr>
        <w:t>9</w:t>
      </w:r>
      <w:r>
        <w:rPr>
          <w:rFonts w:hint="eastAsia"/>
          <w:color w:val="auto"/>
        </w:rPr>
        <w:t>-</w:t>
      </w:r>
      <w:r>
        <w:rPr>
          <w:rFonts w:hint="eastAsia"/>
          <w:color w:val="auto"/>
          <w:lang w:val="en-US" w:eastAsia="zh-CN"/>
        </w:rPr>
        <w:t>3</w:t>
      </w:r>
      <w:r>
        <w:rPr>
          <w:color w:val="auto"/>
        </w:rPr>
        <w:t xml:space="preserve"> </w:t>
      </w:r>
      <w:r>
        <w:rPr>
          <w:rFonts w:hint="eastAsia"/>
          <w:color w:val="auto"/>
        </w:rPr>
        <w:t>本项目选址与新乡市集中式饮用水水源地相对位置图</w:t>
      </w:r>
    </w:p>
    <w:p w14:paraId="59D05443">
      <w:pPr>
        <w:bidi w:val="0"/>
        <w:rPr>
          <w:color w:val="auto"/>
        </w:rPr>
      </w:pPr>
      <w:r>
        <w:rPr>
          <w:rFonts w:hint="eastAsia"/>
          <w:color w:val="auto"/>
        </w:rPr>
        <w:t>由上图可知：本项目不在凤泉水厂地下水饮用水源保护区范围内，不会对其产生影响。</w:t>
      </w:r>
    </w:p>
    <w:p w14:paraId="48D35694">
      <w:pPr>
        <w:pStyle w:val="6"/>
        <w:bidi w:val="0"/>
        <w:rPr>
          <w:color w:val="auto"/>
        </w:rPr>
      </w:pPr>
      <w:r>
        <w:rPr>
          <w:rFonts w:hint="eastAsia"/>
          <w:color w:val="auto"/>
        </w:rPr>
        <w:t>新乡市乡镇饮用水源保护区</w:t>
      </w:r>
    </w:p>
    <w:p w14:paraId="0B9C594A">
      <w:pPr>
        <w:bidi w:val="0"/>
        <w:rPr>
          <w:color w:val="auto"/>
        </w:rPr>
      </w:pPr>
      <w:r>
        <w:rPr>
          <w:rFonts w:hint="eastAsia"/>
          <w:color w:val="auto"/>
        </w:rPr>
        <w:t>根据《河南省乡镇集中式饮用水水源保护区划》（豫政办</w:t>
      </w:r>
      <w:r>
        <w:rPr>
          <w:rFonts w:hint="eastAsia"/>
          <w:color w:val="auto"/>
          <w:lang w:eastAsia="zh-CN"/>
        </w:rPr>
        <w:t>〔</w:t>
      </w:r>
      <w:r>
        <w:rPr>
          <w:rFonts w:hint="eastAsia"/>
          <w:color w:val="auto"/>
        </w:rPr>
        <w:t>2016</w:t>
      </w:r>
      <w:r>
        <w:rPr>
          <w:rFonts w:hint="eastAsia"/>
          <w:color w:val="auto"/>
          <w:lang w:eastAsia="zh-CN"/>
        </w:rPr>
        <w:t>〕</w:t>
      </w:r>
      <w:r>
        <w:rPr>
          <w:rFonts w:hint="eastAsia"/>
          <w:color w:val="auto"/>
        </w:rPr>
        <w:t>23号），距本项目最近的乡镇集中式饮用水源地保护区为新乡县古固寨镇水厂地下水井群（共2眼井）饮用水源一级保护区。一级保护区范围为：水厂厂区及外围东15米、西45米、南35米、北10米的区域</w:t>
      </w:r>
      <w:r>
        <w:rPr>
          <w:rFonts w:hint="eastAsia"/>
          <w:color w:val="auto"/>
          <w:lang w:eastAsia="zh-CN"/>
        </w:rPr>
        <w:t>（</w:t>
      </w:r>
      <w:r>
        <w:rPr>
          <w:rFonts w:hint="eastAsia"/>
          <w:color w:val="auto"/>
        </w:rPr>
        <w:t>1号取水井</w:t>
      </w:r>
      <w:r>
        <w:rPr>
          <w:rFonts w:hint="eastAsia"/>
          <w:color w:val="auto"/>
          <w:lang w:eastAsia="zh-CN"/>
        </w:rPr>
        <w:t>）</w:t>
      </w:r>
      <w:r>
        <w:rPr>
          <w:rFonts w:hint="eastAsia"/>
          <w:color w:val="auto"/>
        </w:rPr>
        <w:t>，2号取水井外围50米的区域。根据现场调查，距离本项目最近的新乡市乡镇饮用水源为厂址西南7.</w:t>
      </w:r>
      <w:r>
        <w:rPr>
          <w:rFonts w:hint="eastAsia"/>
          <w:color w:val="auto"/>
          <w:lang w:val="en-US" w:eastAsia="zh-CN"/>
        </w:rPr>
        <w:t>12</w:t>
      </w:r>
      <w:r>
        <w:rPr>
          <w:rFonts w:hint="eastAsia"/>
          <w:color w:val="auto"/>
        </w:rPr>
        <w:t>km处的古固寨镇地下水井群饮用水源保护区，具体相对位置如下图：</w:t>
      </w:r>
    </w:p>
    <w:p w14:paraId="24596FC9">
      <w:pPr>
        <w:pStyle w:val="96"/>
        <w:spacing w:line="240" w:lineRule="auto"/>
        <w:ind w:left="0" w:leftChars="0" w:firstLine="0" w:firstLineChars="0"/>
        <w:jc w:val="center"/>
        <w:rPr>
          <w:rFonts w:hint="eastAsia" w:eastAsia="宋体"/>
          <w:color w:val="auto"/>
          <w:lang w:eastAsia="zh-CN"/>
        </w:rPr>
      </w:pPr>
      <w:r>
        <w:rPr>
          <w:rFonts w:hint="eastAsia" w:eastAsia="宋体"/>
          <w:color w:val="auto"/>
          <w:lang w:eastAsia="zh-CN"/>
        </w:rPr>
        <w:object>
          <v:shape id="_x0000_i1026" o:spt="75" type="#_x0000_t75" style="height:352.35pt;width:386.2pt;" o:ole="t" filled="f" o:preferrelative="t" stroked="f" coordsize="21600,21600">
            <v:path/>
            <v:fill on="f" focussize="0,0"/>
            <v:stroke on="f"/>
            <v:imagedata r:id="rId38" o:title=""/>
            <o:lock v:ext="edit" aspectratio="t"/>
            <w10:wrap type="none"/>
            <w10:anchorlock/>
          </v:shape>
          <o:OLEObject Type="Embed" ProgID="Visio.Drawing.15" ShapeID="_x0000_i1026" DrawAspect="Content" ObjectID="_1468075726" r:id="rId37">
            <o:LockedField>false</o:LockedField>
          </o:OLEObject>
        </w:object>
      </w:r>
    </w:p>
    <w:p w14:paraId="430BC175">
      <w:pPr>
        <w:pStyle w:val="181"/>
        <w:bidi w:val="0"/>
        <w:ind w:left="0" w:leftChars="0" w:firstLine="0" w:firstLineChars="0"/>
        <w:jc w:val="center"/>
        <w:rPr>
          <w:color w:val="auto"/>
        </w:rPr>
      </w:pPr>
      <w:r>
        <w:rPr>
          <w:rFonts w:hint="eastAsia"/>
          <w:color w:val="auto"/>
        </w:rPr>
        <w:t>图</w:t>
      </w:r>
      <w:r>
        <w:rPr>
          <w:color w:val="auto"/>
        </w:rPr>
        <w:t>2.</w:t>
      </w:r>
      <w:r>
        <w:rPr>
          <w:rFonts w:hint="eastAsia"/>
          <w:color w:val="auto"/>
          <w:lang w:val="en-US" w:eastAsia="zh-CN"/>
        </w:rPr>
        <w:t>9</w:t>
      </w:r>
      <w:r>
        <w:rPr>
          <w:color w:val="auto"/>
        </w:rPr>
        <w:t>-</w:t>
      </w:r>
      <w:r>
        <w:rPr>
          <w:rFonts w:hint="eastAsia"/>
          <w:color w:val="auto"/>
          <w:lang w:val="en-US" w:eastAsia="zh-CN"/>
        </w:rPr>
        <w:t>4</w:t>
      </w:r>
      <w:r>
        <w:rPr>
          <w:color w:val="auto"/>
        </w:rPr>
        <w:t xml:space="preserve"> </w:t>
      </w:r>
      <w:r>
        <w:rPr>
          <w:rFonts w:hint="eastAsia"/>
          <w:color w:val="auto"/>
        </w:rPr>
        <w:t>本项目选址与古固寨镇地下水井群饮用水源保护区相对位置图</w:t>
      </w:r>
    </w:p>
    <w:p w14:paraId="49163C00">
      <w:pPr>
        <w:bidi w:val="0"/>
        <w:rPr>
          <w:color w:val="auto"/>
        </w:rPr>
      </w:pPr>
      <w:r>
        <w:rPr>
          <w:rFonts w:hint="eastAsia"/>
          <w:color w:val="auto"/>
        </w:rPr>
        <w:t>由上图可知，本项目选址不在新乡市饮用水源保护区和新乡市乡镇饮用水源保护区范围内。</w:t>
      </w:r>
    </w:p>
    <w:p w14:paraId="66FF774C">
      <w:pPr>
        <w:pStyle w:val="6"/>
        <w:bidi w:val="0"/>
        <w:rPr>
          <w:color w:val="auto"/>
        </w:rPr>
      </w:pPr>
      <w:r>
        <w:rPr>
          <w:rFonts w:hint="eastAsia"/>
          <w:color w:val="auto"/>
        </w:rPr>
        <w:t>南水北调工程水源地保护区</w:t>
      </w:r>
    </w:p>
    <w:p w14:paraId="1D247B1A">
      <w:pPr>
        <w:bidi w:val="0"/>
        <w:rPr>
          <w:color w:val="auto"/>
        </w:rPr>
      </w:pPr>
      <w:r>
        <w:rPr>
          <w:rFonts w:hint="eastAsia"/>
          <w:color w:val="auto"/>
        </w:rPr>
        <w:t>经调查，距离本项目最近的南水北调中线工程位于项目选址西北方向的新乡市凤泉区老道井村，其分水口位于老道井村西、南水北调总干渠南岸。</w:t>
      </w:r>
      <w:r>
        <w:rPr>
          <w:rFonts w:hint="default" w:ascii="Times New Roman" w:hAnsi="Times New Roman" w:cs="Times New Roman"/>
          <w:b w:val="0"/>
          <w:bCs/>
          <w:u w:val="none"/>
        </w:rPr>
        <w:t>根据河南省南水北调中线工程建设领导小组办公室、河南省环境保护厅、河南省水利厅、河南省国土资源厅《关于印发南水北调中线一期工程总干渠（河南段）两侧饮用水水源保护区划的通知》（豫调办[2018]56号）</w:t>
      </w:r>
      <w:r>
        <w:rPr>
          <w:rFonts w:hint="eastAsia"/>
          <w:color w:val="auto"/>
        </w:rPr>
        <w:t>。具体相对位置如下图：</w:t>
      </w:r>
    </w:p>
    <w:p w14:paraId="26D71488">
      <w:pPr>
        <w:pStyle w:val="96"/>
        <w:spacing w:line="240" w:lineRule="auto"/>
        <w:ind w:left="0" w:leftChars="0" w:firstLine="0" w:firstLineChars="0"/>
        <w:jc w:val="center"/>
        <w:rPr>
          <w:color w:val="auto"/>
        </w:rPr>
      </w:pPr>
      <w:r>
        <w:rPr>
          <w:color w:val="auto"/>
        </w:rPr>
        <w:drawing>
          <wp:inline distT="0" distB="0" distL="0" distR="0">
            <wp:extent cx="5558155" cy="4449445"/>
            <wp:effectExtent l="0" t="0" r="4445" b="8255"/>
            <wp:docPr id="15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图片 22"/>
                    <pic:cNvPicPr>
                      <a:picLocks noChangeAspect="1"/>
                    </pic:cNvPicPr>
                  </pic:nvPicPr>
                  <pic:blipFill>
                    <a:blip r:embed="rId39" cstate="print"/>
                    <a:stretch>
                      <a:fillRect/>
                    </a:stretch>
                  </pic:blipFill>
                  <pic:spPr>
                    <a:xfrm>
                      <a:off x="0" y="0"/>
                      <a:ext cx="5558400" cy="4449600"/>
                    </a:xfrm>
                    <a:prstGeom prst="rect">
                      <a:avLst/>
                    </a:prstGeom>
                  </pic:spPr>
                </pic:pic>
              </a:graphicData>
            </a:graphic>
          </wp:inline>
        </w:drawing>
      </w:r>
    </w:p>
    <w:p w14:paraId="4E663F7C">
      <w:pPr>
        <w:pStyle w:val="181"/>
        <w:bidi w:val="0"/>
        <w:ind w:left="0" w:leftChars="0" w:firstLine="0" w:firstLineChars="0"/>
        <w:jc w:val="center"/>
        <w:rPr>
          <w:color w:val="auto"/>
        </w:rPr>
      </w:pPr>
      <w:r>
        <w:rPr>
          <w:rFonts w:hint="eastAsia"/>
          <w:color w:val="auto"/>
        </w:rPr>
        <w:t>图</w:t>
      </w:r>
      <w:r>
        <w:rPr>
          <w:color w:val="auto"/>
        </w:rPr>
        <w:t>2.</w:t>
      </w:r>
      <w:r>
        <w:rPr>
          <w:rFonts w:hint="eastAsia"/>
          <w:color w:val="auto"/>
          <w:lang w:val="en-US" w:eastAsia="zh-CN"/>
        </w:rPr>
        <w:t>9</w:t>
      </w:r>
      <w:r>
        <w:rPr>
          <w:rFonts w:hint="eastAsia"/>
          <w:color w:val="auto"/>
        </w:rPr>
        <w:t>-</w:t>
      </w:r>
      <w:r>
        <w:rPr>
          <w:rFonts w:hint="eastAsia"/>
          <w:color w:val="auto"/>
          <w:lang w:val="en-US" w:eastAsia="zh-CN"/>
        </w:rPr>
        <w:t>5</w:t>
      </w:r>
      <w:r>
        <w:rPr>
          <w:color w:val="auto"/>
        </w:rPr>
        <w:t xml:space="preserve"> </w:t>
      </w:r>
      <w:r>
        <w:rPr>
          <w:rFonts w:hint="eastAsia"/>
          <w:color w:val="auto"/>
        </w:rPr>
        <w:t>本项目选址与南水北调总干渠相对位置图</w:t>
      </w:r>
    </w:p>
    <w:p w14:paraId="0BB80ABB">
      <w:pPr>
        <w:bidi w:val="0"/>
        <w:rPr>
          <w:color w:val="auto"/>
        </w:rPr>
      </w:pPr>
      <w:r>
        <w:rPr>
          <w:rFonts w:hint="eastAsia"/>
          <w:color w:val="auto"/>
        </w:rPr>
        <w:t>本项目距南水北调中线工程最近距离为20.2km，不会对其产生不利影响。</w:t>
      </w:r>
    </w:p>
    <w:p w14:paraId="69F4F5D9">
      <w:pPr>
        <w:pStyle w:val="3"/>
        <w:bidi w:val="0"/>
        <w:rPr>
          <w:rFonts w:hint="eastAsia"/>
          <w:lang w:val="en-US" w:eastAsia="zh-CN"/>
        </w:rPr>
      </w:pPr>
      <w:bookmarkStart w:id="134" w:name="_Toc6465"/>
      <w:r>
        <w:rPr>
          <w:rFonts w:hint="eastAsia"/>
          <w:lang w:val="en-US" w:eastAsia="zh-CN"/>
        </w:rPr>
        <w:t>相关文件相符性</w:t>
      </w:r>
      <w:bookmarkEnd w:id="134"/>
    </w:p>
    <w:p w14:paraId="7909EC08">
      <w:pPr>
        <w:pStyle w:val="5"/>
        <w:bidi w:val="0"/>
        <w:rPr>
          <w:rFonts w:hint="eastAsia"/>
          <w:color w:val="auto"/>
          <w:lang w:val="en-US" w:eastAsia="zh-CN"/>
        </w:rPr>
      </w:pPr>
      <w:r>
        <w:rPr>
          <w:rFonts w:hint="eastAsia"/>
          <w:color w:val="auto"/>
          <w:lang w:val="en-US" w:eastAsia="zh-CN"/>
        </w:rPr>
        <w:t>《新乡市“十四五 ”生态环境保护和生态经济发展规 划》相符性分析</w:t>
      </w:r>
    </w:p>
    <w:p w14:paraId="0EDC54B2">
      <w:pPr>
        <w:bidi w:val="0"/>
        <w:jc w:val="left"/>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本项目与《新乡市“十四五”生态环境保护和生态经济发展规划》（以下简称《规划》）对比分析见下表。</w:t>
      </w:r>
    </w:p>
    <w:p w14:paraId="7F7C79B7">
      <w:pPr>
        <w:pStyle w:val="10"/>
        <w:bidi w:val="0"/>
        <w:rPr>
          <w:lang w:val="pt-BR"/>
        </w:rPr>
      </w:pPr>
      <w:r>
        <w:t xml:space="preserve">表 </w:t>
      </w:r>
      <w:r>
        <w:fldChar w:fldCharType="begin"/>
      </w:r>
      <w:r>
        <w:instrText xml:space="preserve"> STYLEREF 2 \s </w:instrText>
      </w:r>
      <w:r>
        <w:fldChar w:fldCharType="separate"/>
      </w:r>
      <w:r>
        <w:t>2.10</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pt-BR"/>
        </w:rPr>
        <w:t xml:space="preserve"> 本项目与《</w:t>
      </w:r>
      <w:r>
        <w:rPr>
          <w:rFonts w:hint="eastAsia"/>
          <w:lang w:val="en-US" w:eastAsia="zh-CN"/>
        </w:rPr>
        <w:t>规划</w:t>
      </w:r>
      <w:r>
        <w:rPr>
          <w:rFonts w:hint="eastAsia"/>
          <w:lang w:val="pt-BR"/>
        </w:rPr>
        <w:t>》对比分析一览表</w:t>
      </w:r>
    </w:p>
    <w:tbl>
      <w:tblPr>
        <w:tblStyle w:val="166"/>
        <w:tblW w:w="829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22"/>
        <w:gridCol w:w="939"/>
        <w:gridCol w:w="3472"/>
        <w:gridCol w:w="2384"/>
        <w:gridCol w:w="680"/>
      </w:tblGrid>
      <w:tr w14:paraId="7AF609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7" w:hRule="atLeast"/>
          <w:jc w:val="center"/>
        </w:trPr>
        <w:tc>
          <w:tcPr>
            <w:tcW w:w="5233" w:type="dxa"/>
            <w:gridSpan w:val="3"/>
            <w:tcBorders>
              <w:top w:val="single" w:color="000000" w:sz="6" w:space="0"/>
              <w:left w:val="single" w:color="000000" w:sz="6" w:space="0"/>
            </w:tcBorders>
            <w:vAlign w:val="center"/>
          </w:tcPr>
          <w:p w14:paraId="5033C15A">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pacing w:val="-1"/>
                <w:sz w:val="21"/>
                <w:szCs w:val="21"/>
              </w:rPr>
              <w:t>与本项目相关条文</w:t>
            </w:r>
          </w:p>
        </w:tc>
        <w:tc>
          <w:tcPr>
            <w:tcW w:w="2384" w:type="dxa"/>
            <w:tcBorders>
              <w:top w:val="single" w:color="000000" w:sz="6" w:space="0"/>
            </w:tcBorders>
            <w:vAlign w:val="center"/>
          </w:tcPr>
          <w:p w14:paraId="17251267">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pacing w:val="-1"/>
                <w:sz w:val="21"/>
                <w:szCs w:val="21"/>
              </w:rPr>
              <w:t>本项目情况</w:t>
            </w:r>
          </w:p>
        </w:tc>
        <w:tc>
          <w:tcPr>
            <w:tcW w:w="680" w:type="dxa"/>
            <w:tcBorders>
              <w:top w:val="single" w:color="000000" w:sz="6" w:space="0"/>
              <w:right w:val="single" w:color="000000" w:sz="6" w:space="0"/>
            </w:tcBorders>
            <w:vAlign w:val="center"/>
          </w:tcPr>
          <w:p w14:paraId="3B2712CA">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pacing w:val="-2"/>
                <w:sz w:val="21"/>
                <w:szCs w:val="21"/>
              </w:rPr>
              <w:t>相符性</w:t>
            </w:r>
          </w:p>
        </w:tc>
      </w:tr>
      <w:tr w14:paraId="0F861E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1" w:hRule="atLeast"/>
          <w:jc w:val="center"/>
        </w:trPr>
        <w:tc>
          <w:tcPr>
            <w:tcW w:w="822" w:type="dxa"/>
            <w:tcBorders>
              <w:left w:val="single" w:color="000000" w:sz="6" w:space="0"/>
            </w:tcBorders>
            <w:vAlign w:val="center"/>
          </w:tcPr>
          <w:p w14:paraId="5E24CB7D">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第二章</w:t>
            </w:r>
            <w:r>
              <w:rPr>
                <w:rFonts w:hint="default" w:ascii="Times New Roman" w:hAnsi="Times New Roman" w:eastAsia="宋体" w:cs="Times New Roman"/>
                <w:spacing w:val="-3"/>
                <w:sz w:val="21"/>
                <w:szCs w:val="21"/>
              </w:rPr>
              <w:t>总体要</w:t>
            </w:r>
            <w:r>
              <w:rPr>
                <w:rFonts w:hint="default" w:ascii="Times New Roman" w:hAnsi="Times New Roman" w:eastAsia="宋体" w:cs="Times New Roman"/>
                <w:sz w:val="21"/>
                <w:szCs w:val="21"/>
              </w:rPr>
              <w:t>求</w:t>
            </w:r>
          </w:p>
        </w:tc>
        <w:tc>
          <w:tcPr>
            <w:tcW w:w="939" w:type="dxa"/>
            <w:vAlign w:val="center"/>
          </w:tcPr>
          <w:p w14:paraId="09D3DB24">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第三节主要目标</w:t>
            </w:r>
          </w:p>
        </w:tc>
        <w:tc>
          <w:tcPr>
            <w:tcW w:w="3472" w:type="dxa"/>
            <w:vAlign w:val="center"/>
          </w:tcPr>
          <w:p w14:paraId="3F4D5EF6">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环境风险有效稳定防控。土壤安全</w:t>
            </w:r>
            <w:r>
              <w:rPr>
                <w:rFonts w:hint="default" w:ascii="Times New Roman" w:hAnsi="Times New Roman" w:eastAsia="宋体" w:cs="Times New Roman"/>
                <w:spacing w:val="-7"/>
                <w:sz w:val="21"/>
                <w:szCs w:val="21"/>
              </w:rPr>
              <w:t>利用水平稳步提升，医疗废物、危险</w:t>
            </w:r>
            <w:r>
              <w:rPr>
                <w:rFonts w:hint="default" w:ascii="Times New Roman" w:hAnsi="Times New Roman" w:eastAsia="宋体" w:cs="Times New Roman"/>
                <w:spacing w:val="-1"/>
                <w:sz w:val="21"/>
                <w:szCs w:val="21"/>
              </w:rPr>
              <w:t>废物收集处置能力明显增强，核与辐射安全水平大幅提升。</w:t>
            </w:r>
          </w:p>
        </w:tc>
        <w:tc>
          <w:tcPr>
            <w:tcW w:w="2384" w:type="dxa"/>
            <w:vAlign w:val="center"/>
          </w:tcPr>
          <w:p w14:paraId="4E7FDA8F">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项目严格按照要求采取风险应急防范措施。厂区</w:t>
            </w:r>
            <w:r>
              <w:rPr>
                <w:rFonts w:hint="default" w:ascii="Times New Roman" w:hAnsi="Times New Roman" w:eastAsia="宋体" w:cs="Times New Roman"/>
                <w:spacing w:val="-10"/>
                <w:sz w:val="21"/>
                <w:szCs w:val="21"/>
              </w:rPr>
              <w:t>除绿化外全部硬化，并做</w:t>
            </w:r>
            <w:r>
              <w:rPr>
                <w:rFonts w:hint="default" w:ascii="Times New Roman" w:hAnsi="Times New Roman" w:eastAsia="宋体" w:cs="Times New Roman"/>
                <w:spacing w:val="-1"/>
                <w:sz w:val="21"/>
                <w:szCs w:val="21"/>
              </w:rPr>
              <w:t>好分区防渗，防止污染土壤。本项目危险废物收集、暂存设施</w:t>
            </w:r>
            <w:r>
              <w:rPr>
                <w:rFonts w:hint="eastAsia" w:ascii="Times New Roman" w:hAnsi="Times New Roman" w:eastAsia="宋体" w:cs="Times New Roman"/>
                <w:spacing w:val="-1"/>
                <w:sz w:val="21"/>
                <w:szCs w:val="21"/>
                <w:lang w:val="en-US" w:eastAsia="zh-CN"/>
              </w:rPr>
              <w:t>依托厂区现有工程，</w:t>
            </w:r>
            <w:r>
              <w:rPr>
                <w:rFonts w:hint="default" w:ascii="Times New Roman" w:hAnsi="Times New Roman" w:eastAsia="宋体" w:cs="Times New Roman"/>
                <w:spacing w:val="-1"/>
                <w:sz w:val="21"/>
                <w:szCs w:val="21"/>
              </w:rPr>
              <w:t>严格按照标准进行建设，本项目不涉及核与辐射。</w:t>
            </w:r>
          </w:p>
        </w:tc>
        <w:tc>
          <w:tcPr>
            <w:tcW w:w="680" w:type="dxa"/>
            <w:tcBorders>
              <w:right w:val="single" w:color="000000" w:sz="6" w:space="0"/>
            </w:tcBorders>
            <w:vAlign w:val="center"/>
          </w:tcPr>
          <w:p w14:paraId="548E07AB">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符合</w:t>
            </w:r>
          </w:p>
        </w:tc>
      </w:tr>
      <w:tr w14:paraId="6CBAC1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8" w:hRule="atLeast"/>
          <w:jc w:val="center"/>
        </w:trPr>
        <w:tc>
          <w:tcPr>
            <w:tcW w:w="822" w:type="dxa"/>
            <w:vMerge w:val="restart"/>
            <w:tcBorders>
              <w:left w:val="single" w:color="000000" w:sz="6" w:space="0"/>
              <w:bottom w:val="nil"/>
            </w:tcBorders>
            <w:vAlign w:val="center"/>
          </w:tcPr>
          <w:p w14:paraId="6F200094">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第三章绿色低碳转</w:t>
            </w:r>
            <w:r>
              <w:rPr>
                <w:rFonts w:hint="default" w:ascii="Times New Roman" w:hAnsi="Times New Roman" w:eastAsia="宋体" w:cs="Times New Roman"/>
                <w:spacing w:val="-3"/>
                <w:sz w:val="21"/>
                <w:szCs w:val="21"/>
              </w:rPr>
              <w:t>型，提</w:t>
            </w:r>
            <w:r>
              <w:rPr>
                <w:rFonts w:hint="default" w:ascii="Times New Roman" w:hAnsi="Times New Roman" w:eastAsia="宋体" w:cs="Times New Roman"/>
                <w:spacing w:val="-2"/>
                <w:sz w:val="21"/>
                <w:szCs w:val="21"/>
              </w:rPr>
              <w:t>升黄河生态</w:t>
            </w:r>
          </w:p>
        </w:tc>
        <w:tc>
          <w:tcPr>
            <w:tcW w:w="939" w:type="dxa"/>
            <w:vAlign w:val="center"/>
          </w:tcPr>
          <w:p w14:paraId="2B926812">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第一节</w:t>
            </w:r>
            <w:r>
              <w:rPr>
                <w:rFonts w:hint="default" w:ascii="Times New Roman" w:hAnsi="Times New Roman" w:eastAsia="宋体" w:cs="Times New Roman"/>
                <w:spacing w:val="8"/>
                <w:sz w:val="21"/>
                <w:szCs w:val="21"/>
              </w:rPr>
              <w:t>“双碳”引</w:t>
            </w:r>
          </w:p>
          <w:p w14:paraId="66F91B1B">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领绿色发</w:t>
            </w:r>
            <w:r>
              <w:rPr>
                <w:rFonts w:hint="default" w:ascii="Times New Roman" w:hAnsi="Times New Roman" w:eastAsia="宋体" w:cs="Times New Roman"/>
                <w:sz w:val="21"/>
                <w:szCs w:val="21"/>
              </w:rPr>
              <w:t>展</w:t>
            </w:r>
          </w:p>
        </w:tc>
        <w:tc>
          <w:tcPr>
            <w:tcW w:w="3472" w:type="dxa"/>
            <w:vAlign w:val="center"/>
          </w:tcPr>
          <w:p w14:paraId="0843296F">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加强消耗臭氧层物质和氢氟碳化环境管理。分行业实施含氢氯氟烃（HCFCs）淘汰和替代。建立和实施氢氟碳化物（HFCs）生产、使用消费</w:t>
            </w:r>
            <w:r>
              <w:rPr>
                <w:rFonts w:hint="default" w:ascii="Times New Roman" w:hAnsi="Times New Roman" w:eastAsia="宋体" w:cs="Times New Roman"/>
                <w:spacing w:val="-7"/>
                <w:sz w:val="21"/>
                <w:szCs w:val="21"/>
              </w:rPr>
              <w:t>备案管理，继续削减氢氟碳化物。积</w:t>
            </w:r>
            <w:r>
              <w:rPr>
                <w:rFonts w:hint="default" w:ascii="Times New Roman" w:hAnsi="Times New Roman" w:eastAsia="宋体" w:cs="Times New Roman"/>
                <w:spacing w:val="-6"/>
                <w:sz w:val="21"/>
                <w:szCs w:val="21"/>
              </w:rPr>
              <w:t>极推进大气汞排放控制，落实相关履</w:t>
            </w:r>
            <w:r>
              <w:rPr>
                <w:rFonts w:hint="default" w:ascii="Times New Roman" w:hAnsi="Times New Roman" w:eastAsia="宋体" w:cs="Times New Roman"/>
                <w:spacing w:val="-2"/>
                <w:sz w:val="21"/>
                <w:szCs w:val="21"/>
              </w:rPr>
              <w:t>约责任。推进工业烟气中三氧化硫、</w:t>
            </w:r>
            <w:r>
              <w:rPr>
                <w:rFonts w:hint="default" w:ascii="Times New Roman" w:hAnsi="Times New Roman" w:eastAsia="宋体" w:cs="Times New Roman"/>
                <w:spacing w:val="-1"/>
                <w:sz w:val="21"/>
                <w:szCs w:val="21"/>
              </w:rPr>
              <w:t>汞、铅、砷、镉、二噁英等多种非常规污染物强效脱除技术研发和治理应用。强化恶臭、有毒有害大气污染物</w:t>
            </w:r>
            <w:r>
              <w:rPr>
                <w:rFonts w:hint="default" w:ascii="Times New Roman" w:hAnsi="Times New Roman" w:eastAsia="宋体" w:cs="Times New Roman"/>
                <w:spacing w:val="-5"/>
                <w:sz w:val="21"/>
                <w:szCs w:val="21"/>
              </w:rPr>
              <w:t>风险管控。</w:t>
            </w:r>
          </w:p>
        </w:tc>
        <w:tc>
          <w:tcPr>
            <w:tcW w:w="2384" w:type="dxa"/>
            <w:vAlign w:val="center"/>
          </w:tcPr>
          <w:p w14:paraId="48FA51BE">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本项目不使用制冷剂，</w:t>
            </w:r>
            <w:r>
              <w:rPr>
                <w:rFonts w:hint="default" w:ascii="Times New Roman" w:hAnsi="Times New Roman" w:eastAsia="宋体" w:cs="Times New Roman"/>
                <w:spacing w:val="-1"/>
                <w:sz w:val="21"/>
                <w:szCs w:val="21"/>
              </w:rPr>
              <w:t>不涉及工业烟气三氧化硫、汞、铅、砷、镉等非常规污染物。本项目将按要求强化恶臭、有毒有害大气污染物风险管控。</w:t>
            </w:r>
          </w:p>
        </w:tc>
        <w:tc>
          <w:tcPr>
            <w:tcW w:w="680" w:type="dxa"/>
            <w:tcBorders>
              <w:right w:val="single" w:color="000000" w:sz="6" w:space="0"/>
            </w:tcBorders>
            <w:vAlign w:val="center"/>
          </w:tcPr>
          <w:p w14:paraId="3250B1C3">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符合</w:t>
            </w:r>
          </w:p>
        </w:tc>
      </w:tr>
      <w:tr w14:paraId="43740B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1" w:hRule="atLeast"/>
          <w:jc w:val="center"/>
        </w:trPr>
        <w:tc>
          <w:tcPr>
            <w:tcW w:w="822" w:type="dxa"/>
            <w:vMerge w:val="continue"/>
            <w:tcBorders>
              <w:top w:val="nil"/>
              <w:left w:val="single" w:color="000000" w:sz="6" w:space="0"/>
              <w:bottom w:val="nil"/>
            </w:tcBorders>
            <w:vAlign w:val="center"/>
          </w:tcPr>
          <w:p w14:paraId="5E41720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p>
        </w:tc>
        <w:tc>
          <w:tcPr>
            <w:tcW w:w="939" w:type="dxa"/>
            <w:vAlign w:val="center"/>
          </w:tcPr>
          <w:p w14:paraId="7755CE45">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第二节统</w:t>
            </w:r>
            <w:r>
              <w:rPr>
                <w:rFonts w:hint="default" w:ascii="Times New Roman" w:hAnsi="Times New Roman" w:eastAsia="宋体" w:cs="Times New Roman"/>
                <w:spacing w:val="-3"/>
                <w:sz w:val="21"/>
                <w:szCs w:val="21"/>
              </w:rPr>
              <w:t>筹区域绿</w:t>
            </w:r>
            <w:r>
              <w:rPr>
                <w:rFonts w:hint="default" w:ascii="Times New Roman" w:hAnsi="Times New Roman" w:eastAsia="宋体" w:cs="Times New Roman"/>
                <w:spacing w:val="-2"/>
                <w:sz w:val="21"/>
                <w:szCs w:val="21"/>
              </w:rPr>
              <w:t>色发展格</w:t>
            </w:r>
            <w:r>
              <w:rPr>
                <w:rFonts w:hint="default" w:ascii="Times New Roman" w:hAnsi="Times New Roman" w:eastAsia="宋体" w:cs="Times New Roman"/>
                <w:sz w:val="21"/>
                <w:szCs w:val="21"/>
              </w:rPr>
              <w:t>局</w:t>
            </w:r>
          </w:p>
        </w:tc>
        <w:tc>
          <w:tcPr>
            <w:tcW w:w="3472" w:type="dxa"/>
            <w:vAlign w:val="center"/>
          </w:tcPr>
          <w:p w14:paraId="7E12FB73">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3"/>
                <w:sz w:val="21"/>
                <w:szCs w:val="21"/>
              </w:rPr>
              <w:t>完善生态环境分区管控机制。落实</w:t>
            </w:r>
            <w:r>
              <w:rPr>
                <w:rFonts w:hint="default" w:ascii="Times New Roman" w:hAnsi="Times New Roman" w:eastAsia="宋体" w:cs="Times New Roman"/>
                <w:spacing w:val="-4"/>
                <w:sz w:val="21"/>
                <w:szCs w:val="21"/>
              </w:rPr>
              <w:t>“三线一单”生态环境分区管控体系，</w:t>
            </w:r>
            <w:r>
              <w:rPr>
                <w:rFonts w:hint="default" w:ascii="Times New Roman" w:hAnsi="Times New Roman" w:eastAsia="宋体" w:cs="Times New Roman"/>
                <w:spacing w:val="-2"/>
                <w:sz w:val="21"/>
                <w:szCs w:val="21"/>
              </w:rPr>
              <w:t>构建以“三线一单”为空间管控基础、</w:t>
            </w:r>
            <w:r>
              <w:rPr>
                <w:rFonts w:hint="default" w:ascii="Times New Roman" w:hAnsi="Times New Roman" w:eastAsia="宋体" w:cs="Times New Roman"/>
                <w:sz w:val="21"/>
                <w:szCs w:val="21"/>
              </w:rPr>
              <w:t>环境影响评价为环境准入把关、排污许可为企业运行守法依据的生态环境</w:t>
            </w:r>
            <w:r>
              <w:rPr>
                <w:rFonts w:hint="default" w:ascii="Times New Roman" w:hAnsi="Times New Roman" w:eastAsia="宋体" w:cs="Times New Roman"/>
                <w:spacing w:val="-5"/>
                <w:sz w:val="21"/>
                <w:szCs w:val="21"/>
              </w:rPr>
              <w:t>管理框架，严格规划环评审查和建设项目环境准入，从源头预防环境污染</w:t>
            </w:r>
            <w:r>
              <w:rPr>
                <w:rFonts w:hint="default" w:ascii="Times New Roman" w:hAnsi="Times New Roman" w:eastAsia="宋体" w:cs="Times New Roman"/>
                <w:spacing w:val="4"/>
                <w:sz w:val="21"/>
                <w:szCs w:val="21"/>
              </w:rPr>
              <w:t>和生态破坏。</w:t>
            </w:r>
          </w:p>
        </w:tc>
        <w:tc>
          <w:tcPr>
            <w:tcW w:w="2384" w:type="dxa"/>
            <w:vAlign w:val="center"/>
          </w:tcPr>
          <w:p w14:paraId="0454AB1B">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本项目位于新乡经济技</w:t>
            </w:r>
            <w:r>
              <w:rPr>
                <w:rFonts w:hint="default" w:ascii="Times New Roman" w:hAnsi="Times New Roman" w:eastAsia="宋体" w:cs="Times New Roman"/>
                <w:spacing w:val="-2"/>
                <w:sz w:val="21"/>
                <w:szCs w:val="21"/>
              </w:rPr>
              <w:t>术开发区，符</w:t>
            </w:r>
            <w:r>
              <w:rPr>
                <w:rFonts w:hint="default" w:ascii="Times New Roman" w:hAnsi="Times New Roman" w:eastAsia="宋体" w:cs="Times New Roman"/>
                <w:spacing w:val="-1"/>
                <w:sz w:val="21"/>
                <w:szCs w:val="21"/>
              </w:rPr>
              <w:t>合“三线一单”生态环境分区管控要求，按要求进行环境影响评价和排污许</w:t>
            </w:r>
            <w:r>
              <w:rPr>
                <w:rFonts w:hint="default" w:ascii="Times New Roman" w:hAnsi="Times New Roman" w:eastAsia="宋体" w:cs="Times New Roman"/>
                <w:spacing w:val="-5"/>
                <w:sz w:val="21"/>
                <w:szCs w:val="21"/>
              </w:rPr>
              <w:t>可。</w:t>
            </w:r>
          </w:p>
        </w:tc>
        <w:tc>
          <w:tcPr>
            <w:tcW w:w="680" w:type="dxa"/>
            <w:tcBorders>
              <w:right w:val="single" w:color="000000" w:sz="6" w:space="0"/>
            </w:tcBorders>
            <w:vAlign w:val="center"/>
          </w:tcPr>
          <w:p w14:paraId="29E967CC">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符合</w:t>
            </w:r>
          </w:p>
        </w:tc>
      </w:tr>
      <w:tr w14:paraId="709FFE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10" w:hRule="atLeast"/>
          <w:jc w:val="center"/>
        </w:trPr>
        <w:tc>
          <w:tcPr>
            <w:tcW w:w="822" w:type="dxa"/>
            <w:vMerge w:val="continue"/>
            <w:tcBorders>
              <w:top w:val="nil"/>
              <w:left w:val="single" w:color="000000" w:sz="6" w:space="0"/>
              <w:bottom w:val="single" w:color="000000" w:sz="6" w:space="0"/>
            </w:tcBorders>
            <w:vAlign w:val="center"/>
          </w:tcPr>
          <w:p w14:paraId="6953AA0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p>
        </w:tc>
        <w:tc>
          <w:tcPr>
            <w:tcW w:w="939" w:type="dxa"/>
            <w:tcBorders>
              <w:bottom w:val="single" w:color="000000" w:sz="6" w:space="0"/>
            </w:tcBorders>
            <w:vAlign w:val="center"/>
          </w:tcPr>
          <w:p w14:paraId="69AF21BD">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第三节优化绿色产</w:t>
            </w:r>
            <w:r>
              <w:rPr>
                <w:rFonts w:hint="default" w:ascii="Times New Roman" w:hAnsi="Times New Roman" w:eastAsia="宋体" w:cs="Times New Roman"/>
                <w:spacing w:val="-1"/>
                <w:sz w:val="21"/>
                <w:szCs w:val="21"/>
              </w:rPr>
              <w:t>业发展方</w:t>
            </w:r>
            <w:r>
              <w:rPr>
                <w:rFonts w:hint="default" w:ascii="Times New Roman" w:hAnsi="Times New Roman" w:eastAsia="宋体" w:cs="Times New Roman"/>
                <w:sz w:val="21"/>
                <w:szCs w:val="21"/>
              </w:rPr>
              <w:t>式</w:t>
            </w:r>
          </w:p>
        </w:tc>
        <w:tc>
          <w:tcPr>
            <w:tcW w:w="3472" w:type="dxa"/>
            <w:tcBorders>
              <w:bottom w:val="single" w:color="000000" w:sz="6" w:space="0"/>
            </w:tcBorders>
            <w:vAlign w:val="center"/>
          </w:tcPr>
          <w:p w14:paraId="5E971D51">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遏制“两高”项目发展。坚决遏制高</w:t>
            </w:r>
            <w:r>
              <w:rPr>
                <w:rFonts w:hint="default" w:ascii="Times New Roman" w:hAnsi="Times New Roman" w:eastAsia="宋体" w:cs="Times New Roman"/>
                <w:spacing w:val="-3"/>
                <w:sz w:val="21"/>
                <w:szCs w:val="21"/>
              </w:rPr>
              <w:t>耗能、高排放（以下简称“两高”）项</w:t>
            </w:r>
            <w:r>
              <w:rPr>
                <w:rFonts w:hint="default" w:ascii="Times New Roman" w:hAnsi="Times New Roman" w:eastAsia="宋体" w:cs="Times New Roman"/>
                <w:spacing w:val="-1"/>
                <w:sz w:val="21"/>
                <w:szCs w:val="21"/>
              </w:rPr>
              <w:t>目盲目发展。加强能耗总量和强度双控、煤炭消费总量和污染物排放总量控制。强化“两高”项目规划约束，实施“两高”项目台账管理。组织实施重</w:t>
            </w:r>
            <w:r>
              <w:rPr>
                <w:rFonts w:hint="default" w:ascii="Times New Roman" w:hAnsi="Times New Roman" w:eastAsia="宋体" w:cs="Times New Roman"/>
                <w:spacing w:val="-7"/>
                <w:sz w:val="21"/>
                <w:szCs w:val="21"/>
              </w:rPr>
              <w:t>点用能单位节能降碳改造行动，将存</w:t>
            </w:r>
            <w:r>
              <w:rPr>
                <w:rFonts w:hint="default" w:ascii="Times New Roman" w:hAnsi="Times New Roman" w:eastAsia="宋体" w:cs="Times New Roman"/>
                <w:spacing w:val="-1"/>
                <w:sz w:val="21"/>
                <w:szCs w:val="21"/>
              </w:rPr>
              <w:t>量“两高”项目纳入改造项目清单。依法依规淘汰落后产能和化解过剩产能，实施落后产能清零行动。原则上禁止新增钢铁、电解铝、水泥、平板</w:t>
            </w:r>
          </w:p>
        </w:tc>
        <w:tc>
          <w:tcPr>
            <w:tcW w:w="2384" w:type="dxa"/>
            <w:tcBorders>
              <w:bottom w:val="single" w:color="000000" w:sz="6" w:space="0"/>
            </w:tcBorders>
            <w:vAlign w:val="center"/>
          </w:tcPr>
          <w:p w14:paraId="638DA157">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1"/>
                <w:sz w:val="21"/>
                <w:szCs w:val="21"/>
              </w:rPr>
              <w:t>本项目不属于“两高”项</w:t>
            </w:r>
            <w:r>
              <w:rPr>
                <w:rFonts w:hint="default" w:ascii="Times New Roman" w:hAnsi="Times New Roman" w:eastAsia="宋体" w:cs="Times New Roman"/>
                <w:spacing w:val="-5"/>
                <w:sz w:val="21"/>
                <w:szCs w:val="21"/>
              </w:rPr>
              <w:t>目，不属于钢铁、电解</w:t>
            </w:r>
            <w:r>
              <w:rPr>
                <w:rFonts w:hint="default" w:ascii="Times New Roman" w:hAnsi="Times New Roman" w:eastAsia="宋体" w:cs="Times New Roman"/>
                <w:spacing w:val="-2"/>
                <w:sz w:val="21"/>
                <w:szCs w:val="21"/>
              </w:rPr>
              <w:t>铝、水泥、平板玻璃、传统煤化工（甲醇、合成</w:t>
            </w:r>
            <w:r>
              <w:rPr>
                <w:rFonts w:hint="default" w:ascii="Times New Roman" w:hAnsi="Times New Roman" w:eastAsia="宋体" w:cs="Times New Roman"/>
                <w:spacing w:val="-4"/>
                <w:sz w:val="21"/>
                <w:szCs w:val="21"/>
              </w:rPr>
              <w:t>氨）、焦化、铝用炭素、</w:t>
            </w:r>
            <w:r>
              <w:rPr>
                <w:rFonts w:hint="default" w:ascii="Times New Roman" w:hAnsi="Times New Roman" w:eastAsia="宋体" w:cs="Times New Roman"/>
                <w:spacing w:val="-1"/>
                <w:sz w:val="21"/>
                <w:szCs w:val="21"/>
              </w:rPr>
              <w:t>砖瓦窑、耐火材料、铅锌冶炼（含再生铅）等行</w:t>
            </w:r>
            <w:r>
              <w:rPr>
                <w:rFonts w:hint="default" w:ascii="Times New Roman" w:hAnsi="Times New Roman" w:eastAsia="宋体" w:cs="Times New Roman"/>
                <w:spacing w:val="-5"/>
                <w:sz w:val="21"/>
                <w:szCs w:val="21"/>
              </w:rPr>
              <w:t>业；本项目为改</w:t>
            </w:r>
            <w:r>
              <w:rPr>
                <w:rFonts w:hint="eastAsia" w:ascii="Times New Roman" w:hAnsi="Times New Roman" w:cs="Times New Roman"/>
                <w:spacing w:val="-5"/>
                <w:sz w:val="21"/>
                <w:szCs w:val="21"/>
                <w:lang w:val="en-US" w:eastAsia="zh-CN"/>
              </w:rPr>
              <w:t>扩</w:t>
            </w:r>
            <w:r>
              <w:rPr>
                <w:rFonts w:hint="default" w:ascii="Times New Roman" w:hAnsi="Times New Roman" w:eastAsia="宋体" w:cs="Times New Roman"/>
                <w:spacing w:val="-5"/>
                <w:sz w:val="21"/>
                <w:szCs w:val="21"/>
              </w:rPr>
              <w:t>建项目，</w:t>
            </w:r>
            <w:r>
              <w:rPr>
                <w:rFonts w:hint="default" w:ascii="Times New Roman" w:hAnsi="Times New Roman" w:eastAsia="宋体" w:cs="Times New Roman"/>
                <w:spacing w:val="-1"/>
                <w:sz w:val="21"/>
                <w:szCs w:val="21"/>
              </w:rPr>
              <w:t>不属于过剩产能。</w:t>
            </w:r>
          </w:p>
        </w:tc>
        <w:tc>
          <w:tcPr>
            <w:tcW w:w="680" w:type="dxa"/>
            <w:tcBorders>
              <w:bottom w:val="single" w:color="000000" w:sz="6" w:space="0"/>
              <w:right w:val="single" w:color="000000" w:sz="6" w:space="0"/>
            </w:tcBorders>
            <w:vAlign w:val="center"/>
          </w:tcPr>
          <w:p w14:paraId="39D5FC89">
            <w:pPr>
              <w:pStyle w:val="186"/>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2"/>
                <w:sz w:val="21"/>
                <w:szCs w:val="21"/>
              </w:rPr>
              <w:t>符合</w:t>
            </w:r>
          </w:p>
        </w:tc>
      </w:tr>
    </w:tbl>
    <w:p w14:paraId="548A938E">
      <w:pPr>
        <w:contextualSpacing/>
        <w:jc w:val="center"/>
        <w:textAlignment w:val="baseline"/>
        <w:rPr>
          <w:rFonts w:hint="eastAsia"/>
          <w:color w:val="auto"/>
        </w:rPr>
      </w:pPr>
    </w:p>
    <w:p w14:paraId="606A957A">
      <w:pPr>
        <w:bidi w:val="0"/>
        <w:rPr>
          <w:rFonts w:hint="eastAsia"/>
          <w:color w:val="auto"/>
        </w:rPr>
      </w:pPr>
      <w:r>
        <w:rPr>
          <w:rFonts w:hint="eastAsia" w:ascii="Times New Roman" w:hAnsi="Times New Roman" w:eastAsia="宋体" w:cs="Times New Roman"/>
          <w:color w:val="auto"/>
          <w:lang w:val="en-US" w:eastAsia="zh-CN"/>
        </w:rPr>
        <w:t>由上表可知，本项目符合《新乡市“十四五”生态环境保护和生态经济发展规划》的相关要求</w:t>
      </w:r>
      <w:r>
        <w:rPr>
          <w:rFonts w:hint="eastAsia" w:cs="Times New Roman"/>
          <w:color w:val="auto"/>
          <w:lang w:val="en-US" w:eastAsia="zh-CN"/>
        </w:rPr>
        <w:t>。</w:t>
      </w:r>
    </w:p>
    <w:p w14:paraId="3CC19846">
      <w:pPr>
        <w:pStyle w:val="5"/>
        <w:bidi w:val="0"/>
        <w:rPr>
          <w:rFonts w:hint="eastAsia"/>
          <w:b/>
          <w:bCs/>
          <w:color w:val="auto"/>
          <w:u w:val="none"/>
          <w:lang w:val="en-US" w:eastAsia="zh-CN"/>
        </w:rPr>
      </w:pPr>
      <w:r>
        <w:rPr>
          <w:rFonts w:hint="eastAsia"/>
          <w:b/>
          <w:bCs/>
          <w:color w:val="auto"/>
          <w:u w:val="none"/>
          <w:lang w:val="en-US" w:eastAsia="zh-CN"/>
        </w:rPr>
        <w:t>《河南省重污染天气重点行业应急减排措施制定技术指南（2021年修订版）》要求相符性分析</w:t>
      </w:r>
    </w:p>
    <w:p w14:paraId="5934F32F">
      <w:pPr>
        <w:rPr>
          <w:rFonts w:hint="default"/>
          <w:b w:val="0"/>
          <w:bCs w:val="0"/>
          <w:color w:val="auto"/>
          <w:u w:val="none"/>
          <w:lang w:val="en-US" w:eastAsia="zh-CN"/>
        </w:rPr>
      </w:pPr>
      <w:r>
        <w:rPr>
          <w:rFonts w:hint="eastAsia"/>
          <w:b w:val="0"/>
          <w:bCs w:val="0"/>
          <w:color w:val="auto"/>
          <w:u w:val="none"/>
          <w:lang w:val="en-US" w:eastAsia="zh-CN"/>
        </w:rPr>
        <w:t>（1）现有工程</w:t>
      </w:r>
    </w:p>
    <w:p w14:paraId="641CFC4B">
      <w:pPr>
        <w:rPr>
          <w:rFonts w:hint="eastAsia"/>
          <w:b w:val="0"/>
          <w:bCs w:val="0"/>
          <w:color w:val="auto"/>
          <w:u w:val="none"/>
          <w:lang w:val="en-US" w:eastAsia="zh-CN"/>
        </w:rPr>
      </w:pPr>
      <w:r>
        <w:rPr>
          <w:rFonts w:hint="eastAsia"/>
          <w:b w:val="0"/>
          <w:bCs w:val="0"/>
          <w:color w:val="auto"/>
          <w:u w:val="none"/>
        </w:rPr>
        <w:t>本项目根据《河南省重污染天气通用重点行业应急减排措施制定技术指南（2021年修订</w:t>
      </w:r>
      <w:r>
        <w:rPr>
          <w:rFonts w:hint="eastAsia"/>
          <w:b w:val="0"/>
          <w:bCs w:val="0"/>
          <w:color w:val="auto"/>
          <w:u w:val="none"/>
          <w:lang w:eastAsia="zh-CN"/>
        </w:rPr>
        <w:t>）</w:t>
      </w:r>
      <w:r>
        <w:rPr>
          <w:rFonts w:hint="eastAsia"/>
          <w:b w:val="0"/>
          <w:bCs w:val="0"/>
          <w:color w:val="auto"/>
          <w:u w:val="none"/>
        </w:rPr>
        <w:t>》中通用行业（涉颗粒物、涉VOCs、涉锅炉/炉窑）要求，结合实际情况分析见下表。</w:t>
      </w:r>
    </w:p>
    <w:p w14:paraId="654439EF">
      <w:pPr>
        <w:pStyle w:val="10"/>
        <w:bidi w:val="0"/>
      </w:pPr>
      <w:r>
        <w:t xml:space="preserve">表 </w:t>
      </w:r>
      <w:r>
        <w:fldChar w:fldCharType="begin"/>
      </w:r>
      <w:r>
        <w:instrText xml:space="preserve"> STYLEREF 2 \s </w:instrText>
      </w:r>
      <w:r>
        <w:fldChar w:fldCharType="separate"/>
      </w:r>
      <w:r>
        <w:t>2.10</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t xml:space="preserve"> </w:t>
      </w:r>
      <w:r>
        <w:rPr>
          <w:rFonts w:hint="eastAsia"/>
          <w:lang w:eastAsia="zh-CN"/>
        </w:rPr>
        <w:t>企业</w:t>
      </w:r>
      <w:r>
        <w:t>绩效</w:t>
      </w:r>
      <w:r>
        <w:rPr>
          <w:rFonts w:hint="eastAsia"/>
          <w:lang w:eastAsia="zh-CN"/>
        </w:rPr>
        <w:t>（</w:t>
      </w:r>
      <w:r>
        <w:rPr>
          <w:rFonts w:hint="eastAsia"/>
          <w:lang w:val="en-US" w:eastAsia="zh-CN"/>
        </w:rPr>
        <w:t>B级</w:t>
      </w:r>
      <w:r>
        <w:rPr>
          <w:rFonts w:hint="eastAsia"/>
          <w:lang w:eastAsia="zh-CN"/>
        </w:rPr>
        <w:t>）引领基本要求</w:t>
      </w:r>
      <w:r>
        <w:t>指标对标总表</w:t>
      </w:r>
    </w:p>
    <w:tbl>
      <w:tblPr>
        <w:tblStyle w:val="31"/>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4"/>
        <w:gridCol w:w="4284"/>
        <w:gridCol w:w="2482"/>
        <w:gridCol w:w="902"/>
      </w:tblGrid>
      <w:tr w14:paraId="4E815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948" w:type="dxa"/>
            <w:noWrap w:val="0"/>
            <w:vAlign w:val="center"/>
          </w:tcPr>
          <w:p w14:paraId="4ECACFDF">
            <w:pPr>
              <w:pStyle w:val="182"/>
              <w:spacing w:line="240" w:lineRule="auto"/>
              <w:ind w:firstLine="0" w:firstLineChars="0"/>
              <w:jc w:val="center"/>
              <w:rPr>
                <w:b/>
                <w:bCs/>
                <w:color w:val="auto"/>
                <w:u w:val="none"/>
              </w:rPr>
            </w:pPr>
            <w:r>
              <w:rPr>
                <w:b/>
                <w:bCs/>
                <w:color w:val="auto"/>
                <w:u w:val="none"/>
              </w:rPr>
              <w:t>引领性指标</w:t>
            </w:r>
          </w:p>
        </w:tc>
        <w:tc>
          <w:tcPr>
            <w:tcW w:w="4811" w:type="dxa"/>
            <w:noWrap w:val="0"/>
            <w:vAlign w:val="center"/>
          </w:tcPr>
          <w:p w14:paraId="7BDD6C25">
            <w:pPr>
              <w:pStyle w:val="182"/>
              <w:spacing w:line="240" w:lineRule="auto"/>
              <w:ind w:firstLine="0" w:firstLineChars="0"/>
              <w:jc w:val="center"/>
              <w:rPr>
                <w:b/>
                <w:bCs/>
                <w:color w:val="auto"/>
                <w:u w:val="none"/>
              </w:rPr>
            </w:pPr>
            <w:r>
              <w:rPr>
                <w:rFonts w:hint="eastAsia"/>
                <w:b/>
                <w:bCs/>
                <w:color w:val="auto"/>
                <w:u w:val="none"/>
                <w:lang w:val="en-US" w:eastAsia="zh-CN"/>
              </w:rPr>
              <w:t>基本要求</w:t>
            </w:r>
          </w:p>
        </w:tc>
        <w:tc>
          <w:tcPr>
            <w:tcW w:w="2787" w:type="dxa"/>
            <w:noWrap w:val="0"/>
            <w:vAlign w:val="center"/>
          </w:tcPr>
          <w:p w14:paraId="5E5C0261">
            <w:pPr>
              <w:pStyle w:val="182"/>
              <w:spacing w:line="240" w:lineRule="auto"/>
              <w:ind w:firstLine="0" w:firstLineChars="0"/>
              <w:jc w:val="center"/>
              <w:rPr>
                <w:b/>
                <w:bCs/>
                <w:color w:val="auto"/>
                <w:u w:val="none"/>
              </w:rPr>
            </w:pPr>
            <w:r>
              <w:rPr>
                <w:b/>
                <w:bCs/>
                <w:color w:val="auto"/>
                <w:u w:val="none"/>
              </w:rPr>
              <w:t>企业对标情况</w:t>
            </w:r>
          </w:p>
        </w:tc>
        <w:tc>
          <w:tcPr>
            <w:tcW w:w="1013" w:type="dxa"/>
            <w:noWrap w:val="0"/>
            <w:vAlign w:val="center"/>
          </w:tcPr>
          <w:p w14:paraId="72C0F86B">
            <w:pPr>
              <w:pStyle w:val="182"/>
              <w:spacing w:line="240" w:lineRule="auto"/>
              <w:ind w:firstLine="0" w:firstLineChars="0"/>
              <w:jc w:val="center"/>
              <w:rPr>
                <w:b/>
                <w:bCs/>
                <w:color w:val="auto"/>
                <w:u w:val="none"/>
              </w:rPr>
            </w:pPr>
            <w:r>
              <w:rPr>
                <w:rFonts w:hint="eastAsia"/>
                <w:b/>
                <w:bCs/>
                <w:color w:val="auto"/>
                <w:u w:val="none"/>
              </w:rPr>
              <w:t>是否满足绩效要求</w:t>
            </w:r>
          </w:p>
        </w:tc>
      </w:tr>
      <w:tr w14:paraId="70713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59" w:type="dxa"/>
            <w:gridSpan w:val="4"/>
            <w:noWrap w:val="0"/>
            <w:vAlign w:val="center"/>
          </w:tcPr>
          <w:p w14:paraId="21410107">
            <w:pPr>
              <w:pStyle w:val="182"/>
              <w:spacing w:line="240" w:lineRule="auto"/>
              <w:ind w:firstLine="0" w:firstLineChars="0"/>
              <w:jc w:val="center"/>
              <w:rPr>
                <w:rFonts w:hint="eastAsia"/>
                <w:b w:val="0"/>
                <w:bCs w:val="0"/>
                <w:color w:val="auto"/>
                <w:u w:val="none"/>
                <w:lang w:val="en-US" w:eastAsia="zh-CN"/>
              </w:rPr>
            </w:pPr>
            <w:r>
              <w:rPr>
                <w:rFonts w:hint="eastAsia"/>
                <w:b w:val="0"/>
                <w:bCs w:val="0"/>
                <w:color w:val="auto"/>
                <w:u w:val="none"/>
                <w:lang w:val="en-US" w:eastAsia="zh-CN"/>
              </w:rPr>
              <w:t>涉颗粒物</w:t>
            </w:r>
          </w:p>
        </w:tc>
      </w:tr>
      <w:tr w14:paraId="0905F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14:paraId="502EA2C1">
            <w:pPr>
              <w:pStyle w:val="182"/>
              <w:spacing w:line="240" w:lineRule="auto"/>
              <w:ind w:firstLine="0" w:firstLineChars="0"/>
              <w:jc w:val="center"/>
              <w:rPr>
                <w:rFonts w:hint="eastAsia"/>
                <w:b w:val="0"/>
                <w:bCs w:val="0"/>
                <w:color w:val="auto"/>
                <w:u w:val="none"/>
                <w:lang w:eastAsia="zh-CN"/>
              </w:rPr>
            </w:pPr>
            <w:r>
              <w:rPr>
                <w:rFonts w:hint="eastAsia"/>
                <w:b w:val="0"/>
                <w:bCs w:val="0"/>
                <w:color w:val="auto"/>
                <w:u w:val="none"/>
                <w:lang w:eastAsia="zh-CN"/>
              </w:rPr>
              <w:t>物料装卸</w:t>
            </w:r>
          </w:p>
        </w:tc>
        <w:tc>
          <w:tcPr>
            <w:tcW w:w="4811" w:type="dxa"/>
            <w:noWrap w:val="0"/>
            <w:vAlign w:val="center"/>
          </w:tcPr>
          <w:p w14:paraId="15FB6284">
            <w:pPr>
              <w:pStyle w:val="182"/>
              <w:spacing w:line="240" w:lineRule="auto"/>
              <w:ind w:firstLine="0" w:firstLineChars="0"/>
              <w:jc w:val="left"/>
              <w:rPr>
                <w:b w:val="0"/>
                <w:bCs w:val="0"/>
                <w:color w:val="auto"/>
                <w:u w:val="none"/>
              </w:rPr>
            </w:pPr>
            <w:r>
              <w:rPr>
                <w:b w:val="0"/>
                <w:bCs w:val="0"/>
                <w:color w:val="auto"/>
                <w:u w:val="none"/>
              </w:rPr>
              <w:t>1、</w:t>
            </w:r>
            <w:r>
              <w:rPr>
                <w:rFonts w:hint="eastAsia"/>
                <w:b w:val="0"/>
                <w:bCs w:val="0"/>
                <w:color w:val="auto"/>
                <w:u w:val="none"/>
              </w:rPr>
              <w:t>车辆运输的物料应采取封闭措施。粉状、粒状、块状散装物料在封闭料场内装卸，装卸过程中产尘点应设置集气除尘装置，料堆应采取有效抑尘措施。</w:t>
            </w:r>
          </w:p>
        </w:tc>
        <w:tc>
          <w:tcPr>
            <w:tcW w:w="2787" w:type="dxa"/>
            <w:noWrap w:val="0"/>
            <w:vAlign w:val="center"/>
          </w:tcPr>
          <w:p w14:paraId="57048F57">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eastAsia="zh-CN"/>
              </w:rPr>
              <w:t>物料运输均采用全密闭的车辆。煤在全密闭煤棚内装卸，并</w:t>
            </w:r>
            <w:r>
              <w:rPr>
                <w:rFonts w:hint="eastAsia"/>
                <w:b w:val="0"/>
                <w:bCs w:val="0"/>
                <w:color w:val="auto"/>
                <w:u w:val="none"/>
              </w:rPr>
              <w:t>安装有雾森系统，装卸过程开启喷雾抑尘装置，无可见烟尘外溢。</w:t>
            </w:r>
          </w:p>
        </w:tc>
        <w:tc>
          <w:tcPr>
            <w:tcW w:w="1013" w:type="dxa"/>
            <w:noWrap w:val="0"/>
            <w:vAlign w:val="center"/>
          </w:tcPr>
          <w:p w14:paraId="032EF208">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47D30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14:paraId="0E043AA7">
            <w:pPr>
              <w:pStyle w:val="182"/>
              <w:spacing w:line="240" w:lineRule="auto"/>
              <w:ind w:firstLine="0" w:firstLineChars="0"/>
              <w:jc w:val="center"/>
              <w:rPr>
                <w:b w:val="0"/>
                <w:bCs w:val="0"/>
                <w:color w:val="auto"/>
                <w:u w:val="none"/>
              </w:rPr>
            </w:pPr>
          </w:p>
        </w:tc>
        <w:tc>
          <w:tcPr>
            <w:tcW w:w="4811" w:type="dxa"/>
            <w:noWrap w:val="0"/>
            <w:vAlign w:val="center"/>
          </w:tcPr>
          <w:p w14:paraId="09C59254">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val="en-US" w:eastAsia="zh-CN"/>
              </w:rPr>
              <w:t>2</w:t>
            </w:r>
            <w:r>
              <w:rPr>
                <w:rFonts w:hint="eastAsia"/>
                <w:b w:val="0"/>
                <w:bCs w:val="0"/>
                <w:color w:val="auto"/>
                <w:u w:val="none"/>
              </w:rPr>
              <w:t>、不易产尘的袋装物料宜在料棚中装卸，如需露天装卸应采取防止破袋及粉尘外逸措施。</w:t>
            </w:r>
          </w:p>
        </w:tc>
        <w:tc>
          <w:tcPr>
            <w:tcW w:w="2787" w:type="dxa"/>
            <w:noWrap w:val="0"/>
            <w:vAlign w:val="center"/>
          </w:tcPr>
          <w:p w14:paraId="11DB2376">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eastAsia="zh-CN"/>
              </w:rPr>
              <w:t>无袋装物料，不涉及</w:t>
            </w:r>
          </w:p>
        </w:tc>
        <w:tc>
          <w:tcPr>
            <w:tcW w:w="1013" w:type="dxa"/>
            <w:noWrap w:val="0"/>
            <w:vAlign w:val="center"/>
          </w:tcPr>
          <w:p w14:paraId="0FCEE847">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612F8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14:paraId="4AC67007">
            <w:pPr>
              <w:pStyle w:val="182"/>
              <w:spacing w:line="240" w:lineRule="auto"/>
              <w:ind w:firstLine="0" w:firstLineChars="0"/>
              <w:jc w:val="center"/>
              <w:rPr>
                <w:b w:val="0"/>
                <w:bCs w:val="0"/>
                <w:color w:val="auto"/>
                <w:u w:val="none"/>
              </w:rPr>
            </w:pPr>
            <w:r>
              <w:rPr>
                <w:rFonts w:hint="eastAsia"/>
                <w:b w:val="0"/>
                <w:bCs w:val="0"/>
                <w:color w:val="auto"/>
                <w:u w:val="none"/>
              </w:rPr>
              <w:t>物料储存</w:t>
            </w:r>
          </w:p>
        </w:tc>
        <w:tc>
          <w:tcPr>
            <w:tcW w:w="4811" w:type="dxa"/>
            <w:noWrap w:val="0"/>
            <w:vAlign w:val="center"/>
          </w:tcPr>
          <w:p w14:paraId="74D25EA9">
            <w:pPr>
              <w:pStyle w:val="182"/>
              <w:spacing w:line="240" w:lineRule="auto"/>
              <w:ind w:firstLine="0" w:firstLineChars="0"/>
              <w:jc w:val="left"/>
              <w:rPr>
                <w:b w:val="0"/>
                <w:bCs w:val="0"/>
                <w:color w:val="auto"/>
                <w:u w:val="none"/>
              </w:rPr>
            </w:pPr>
            <w:r>
              <w:rPr>
                <w:rFonts w:hint="eastAsia"/>
                <w:b w:val="0"/>
                <w:bCs w:val="0"/>
                <w:color w:val="auto"/>
                <w:u w:val="none"/>
              </w:rPr>
              <w:t>一般物料。粉状物料应储存于密闭/封闭料仓中；粒状、块状物料应储存于封闭料场中，并采取喷淋、清扫或其他有效抑尘措施；袋装物料应储存于封闭/半封闭料场中。封闭料场顶棚和四周围墙完整，料场内路面全部硬化，料场货物进出大门为硬质材料门或自动感应门，在确保安全的情况下，所有门窗保持常闭状态。不产尘物料（如钢材、管件）及产品如露天储存应在规定的存储区域码放整齐。</w:t>
            </w:r>
          </w:p>
        </w:tc>
        <w:tc>
          <w:tcPr>
            <w:tcW w:w="2787" w:type="dxa"/>
            <w:noWrap w:val="0"/>
            <w:vAlign w:val="center"/>
          </w:tcPr>
          <w:p w14:paraId="1A806004">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一般物料。</w:t>
            </w:r>
            <w:r>
              <w:rPr>
                <w:rFonts w:hint="eastAsia"/>
                <w:b w:val="0"/>
                <w:bCs w:val="0"/>
                <w:color w:val="auto"/>
                <w:u w:val="none"/>
                <w:lang w:eastAsia="zh-CN"/>
              </w:rPr>
              <w:t>煤粉存储于全密闭料棚内</w:t>
            </w:r>
            <w:r>
              <w:rPr>
                <w:rFonts w:hint="eastAsia"/>
                <w:b w:val="0"/>
                <w:bCs w:val="0"/>
                <w:color w:val="auto"/>
                <w:u w:val="none"/>
              </w:rPr>
              <w:t>。封闭料场顶棚和四周围墙完整，料场内路面全部硬化，料场货物进出大门为硬质材料门，所有门窗保持常闭状态。</w:t>
            </w:r>
          </w:p>
        </w:tc>
        <w:tc>
          <w:tcPr>
            <w:tcW w:w="1013" w:type="dxa"/>
            <w:noWrap w:val="0"/>
            <w:vAlign w:val="center"/>
          </w:tcPr>
          <w:p w14:paraId="7BC458F8">
            <w:pPr>
              <w:pStyle w:val="182"/>
              <w:spacing w:line="240" w:lineRule="auto"/>
              <w:ind w:firstLine="0" w:firstLineChars="0"/>
              <w:jc w:val="center"/>
              <w:rPr>
                <w:b w:val="0"/>
                <w:bCs w:val="0"/>
                <w:color w:val="auto"/>
                <w:u w:val="none"/>
              </w:rPr>
            </w:pPr>
            <w:r>
              <w:rPr>
                <w:rFonts w:hint="eastAsia"/>
                <w:b w:val="0"/>
                <w:bCs w:val="0"/>
                <w:color w:val="auto"/>
                <w:u w:val="none"/>
              </w:rPr>
              <w:t>满足</w:t>
            </w:r>
          </w:p>
        </w:tc>
      </w:tr>
      <w:tr w14:paraId="51C7F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14:paraId="3A2B6841">
            <w:pPr>
              <w:pStyle w:val="182"/>
              <w:spacing w:line="240" w:lineRule="auto"/>
              <w:ind w:firstLine="0" w:firstLineChars="0"/>
              <w:jc w:val="center"/>
              <w:rPr>
                <w:b w:val="0"/>
                <w:bCs w:val="0"/>
                <w:color w:val="auto"/>
                <w:u w:val="none"/>
              </w:rPr>
            </w:pPr>
          </w:p>
        </w:tc>
        <w:tc>
          <w:tcPr>
            <w:tcW w:w="4811" w:type="dxa"/>
            <w:noWrap w:val="0"/>
            <w:vAlign w:val="center"/>
          </w:tcPr>
          <w:p w14:paraId="62504026">
            <w:pPr>
              <w:pStyle w:val="182"/>
              <w:spacing w:line="240" w:lineRule="auto"/>
              <w:ind w:firstLine="0" w:firstLineChars="0"/>
              <w:jc w:val="left"/>
              <w:rPr>
                <w:b w:val="0"/>
                <w:bCs w:val="0"/>
                <w:color w:val="auto"/>
                <w:u w:val="none"/>
              </w:rPr>
            </w:pPr>
            <w:r>
              <w:rPr>
                <w:rFonts w:hint="eastAsia"/>
                <w:b w:val="0"/>
                <w:bCs w:val="0"/>
                <w:color w:val="auto"/>
                <w:u w:val="none"/>
              </w:rPr>
              <w:t>危险废物。应有符合规范要求的危险废物储存间，危险废物储存间门口应张贴标准规范的危险废物标识和危废信息板，建立台账并挂于危废间内，危险废物的记录和货单保存 3 年以上。危废间内禁止存放除危险废物和应急工具外的其他物品。</w:t>
            </w:r>
          </w:p>
        </w:tc>
        <w:tc>
          <w:tcPr>
            <w:tcW w:w="2787" w:type="dxa"/>
            <w:noWrap w:val="0"/>
            <w:vAlign w:val="center"/>
          </w:tcPr>
          <w:p w14:paraId="30463FD5">
            <w:pPr>
              <w:pStyle w:val="182"/>
              <w:spacing w:line="240" w:lineRule="auto"/>
              <w:ind w:firstLine="0" w:firstLineChars="0"/>
              <w:jc w:val="left"/>
              <w:rPr>
                <w:b w:val="0"/>
                <w:bCs w:val="0"/>
                <w:color w:val="auto"/>
                <w:u w:val="none"/>
              </w:rPr>
            </w:pPr>
            <w:r>
              <w:rPr>
                <w:rFonts w:hint="eastAsia"/>
                <w:b w:val="0"/>
                <w:bCs w:val="0"/>
                <w:color w:val="auto"/>
                <w:u w:val="none"/>
                <w:lang w:eastAsia="zh-CN"/>
              </w:rPr>
              <w:t>厂区内的危险废物为</w:t>
            </w:r>
            <w:r>
              <w:rPr>
                <w:rFonts w:hint="eastAsia"/>
                <w:b w:val="0"/>
                <w:bCs w:val="0"/>
                <w:color w:val="auto"/>
                <w:u w:val="none"/>
                <w:lang w:val="en-US" w:eastAsia="zh-CN"/>
              </w:rPr>
              <w:t>废DMAC、废丙酮、废机油、废催化剂</w:t>
            </w:r>
            <w:r>
              <w:rPr>
                <w:rFonts w:hint="eastAsia"/>
                <w:b w:val="0"/>
                <w:bCs w:val="0"/>
                <w:color w:val="auto"/>
                <w:u w:val="none"/>
                <w:lang w:eastAsia="zh-CN"/>
              </w:rPr>
              <w:t>。</w:t>
            </w:r>
            <w:r>
              <w:rPr>
                <w:rFonts w:hint="eastAsia"/>
                <w:b w:val="0"/>
                <w:bCs w:val="0"/>
                <w:color w:val="auto"/>
                <w:u w:val="none"/>
                <w:lang w:val="en-US" w:eastAsia="zh-CN"/>
              </w:rPr>
              <w:t>存放于</w:t>
            </w:r>
            <w:r>
              <w:rPr>
                <w:rFonts w:hint="eastAsia"/>
                <w:b w:val="0"/>
                <w:bCs w:val="0"/>
                <w:color w:val="auto"/>
                <w:u w:val="none"/>
              </w:rPr>
              <w:t>符合规范要求的危险废物储存间，门口张贴标准规范的危险废物标识和危废信息板，建立台账并挂于危废间内，危险废物的记录和货单保存 3 年以上。危废间内</w:t>
            </w:r>
            <w:r>
              <w:rPr>
                <w:rFonts w:hint="eastAsia"/>
                <w:b w:val="0"/>
                <w:bCs w:val="0"/>
                <w:color w:val="auto"/>
                <w:u w:val="none"/>
                <w:lang w:val="en-US" w:eastAsia="zh-CN"/>
              </w:rPr>
              <w:t>未</w:t>
            </w:r>
            <w:r>
              <w:rPr>
                <w:rFonts w:hint="eastAsia"/>
                <w:b w:val="0"/>
                <w:bCs w:val="0"/>
                <w:color w:val="auto"/>
                <w:u w:val="none"/>
              </w:rPr>
              <w:t>存放除危险废物和应急工具外的其他物品。</w:t>
            </w:r>
          </w:p>
        </w:tc>
        <w:tc>
          <w:tcPr>
            <w:tcW w:w="1013" w:type="dxa"/>
            <w:noWrap w:val="0"/>
            <w:vAlign w:val="center"/>
          </w:tcPr>
          <w:p w14:paraId="2CADC9C3">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7A14B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noWrap w:val="0"/>
            <w:vAlign w:val="center"/>
          </w:tcPr>
          <w:p w14:paraId="08F1102A">
            <w:pPr>
              <w:pStyle w:val="182"/>
              <w:spacing w:line="240" w:lineRule="auto"/>
              <w:ind w:firstLine="0" w:firstLineChars="0"/>
              <w:jc w:val="center"/>
              <w:rPr>
                <w:b w:val="0"/>
                <w:bCs w:val="0"/>
                <w:color w:val="auto"/>
                <w:u w:val="none"/>
              </w:rPr>
            </w:pPr>
            <w:r>
              <w:rPr>
                <w:rFonts w:hint="eastAsia"/>
                <w:b w:val="0"/>
                <w:bCs w:val="0"/>
                <w:color w:val="auto"/>
                <w:u w:val="none"/>
              </w:rPr>
              <w:t>物料转移和输送</w:t>
            </w:r>
          </w:p>
        </w:tc>
        <w:tc>
          <w:tcPr>
            <w:tcW w:w="4811" w:type="dxa"/>
            <w:noWrap w:val="0"/>
            <w:vAlign w:val="center"/>
          </w:tcPr>
          <w:p w14:paraId="22ECA4CC">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粉状、粒状等易产尘物料厂内转移、输送过程应采用气力输送、密闭输送，块状和粘湿粉状物料采用封闭输送；无法封闭的产尘点（物料转载、下料口等）应采取集气除尘措施，或有效抑尘措施。</w:t>
            </w:r>
          </w:p>
        </w:tc>
        <w:tc>
          <w:tcPr>
            <w:tcW w:w="2787" w:type="dxa"/>
            <w:noWrap w:val="0"/>
            <w:vAlign w:val="center"/>
          </w:tcPr>
          <w:p w14:paraId="3B25D95D">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eastAsia="zh-CN"/>
              </w:rPr>
              <w:t>煤经下料口投料后采用密闭输送，由于煤粉在密闭料棚内存储时，喷雾较多，湿度较大，下料过程中无可见烟尘。物料转载输送废气经收集后经袋式除尘器处理后排放。</w:t>
            </w:r>
          </w:p>
        </w:tc>
        <w:tc>
          <w:tcPr>
            <w:tcW w:w="1013" w:type="dxa"/>
            <w:noWrap w:val="0"/>
            <w:vAlign w:val="center"/>
          </w:tcPr>
          <w:p w14:paraId="6B0F15B7">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1AE79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noWrap w:val="0"/>
            <w:vAlign w:val="center"/>
          </w:tcPr>
          <w:p w14:paraId="57CCEFC1">
            <w:pPr>
              <w:pStyle w:val="182"/>
              <w:spacing w:line="240" w:lineRule="auto"/>
              <w:ind w:firstLine="0" w:firstLineChars="0"/>
              <w:jc w:val="center"/>
              <w:rPr>
                <w:b w:val="0"/>
                <w:bCs w:val="0"/>
                <w:color w:val="auto"/>
                <w:u w:val="none"/>
              </w:rPr>
            </w:pPr>
            <w:r>
              <w:rPr>
                <w:rFonts w:hint="eastAsia"/>
                <w:b w:val="0"/>
                <w:bCs w:val="0"/>
                <w:color w:val="auto"/>
                <w:u w:val="none"/>
              </w:rPr>
              <w:t>成品包装</w:t>
            </w:r>
          </w:p>
        </w:tc>
        <w:tc>
          <w:tcPr>
            <w:tcW w:w="4811" w:type="dxa"/>
            <w:noWrap w:val="0"/>
            <w:vAlign w:val="center"/>
          </w:tcPr>
          <w:p w14:paraId="200E0756">
            <w:pPr>
              <w:pStyle w:val="182"/>
              <w:spacing w:line="240" w:lineRule="auto"/>
              <w:ind w:firstLine="0" w:firstLineChars="0"/>
              <w:jc w:val="left"/>
              <w:rPr>
                <w:b w:val="0"/>
                <w:bCs w:val="0"/>
                <w:color w:val="auto"/>
                <w:u w:val="none"/>
              </w:rPr>
            </w:pPr>
            <w:r>
              <w:rPr>
                <w:rFonts w:hint="eastAsia"/>
                <w:b w:val="0"/>
                <w:bCs w:val="0"/>
                <w:color w:val="auto"/>
                <w:u w:val="none"/>
              </w:rPr>
              <w:t>1、卸料口应完全封闭，如不能封闭应采取局部集气除尘措施。</w:t>
            </w:r>
          </w:p>
        </w:tc>
        <w:tc>
          <w:tcPr>
            <w:tcW w:w="2787" w:type="dxa"/>
            <w:noWrap w:val="0"/>
            <w:vAlign w:val="center"/>
          </w:tcPr>
          <w:p w14:paraId="4C793E5F">
            <w:pPr>
              <w:pStyle w:val="182"/>
              <w:keepNext w:val="0"/>
              <w:keepLines w:val="0"/>
              <w:pageBreakBefore w:val="0"/>
              <w:widowControl w:val="0"/>
              <w:kinsoku/>
              <w:wordWrap/>
              <w:overflowPunct/>
              <w:topLinePunct w:val="0"/>
              <w:autoSpaceDE w:val="0"/>
              <w:autoSpaceDN w:val="0"/>
              <w:bidi w:val="0"/>
              <w:adjustRightInd/>
              <w:snapToGrid/>
              <w:spacing w:before="0"/>
              <w:ind w:left="0"/>
              <w:jc w:val="left"/>
              <w:textAlignment w:val="auto"/>
              <w:rPr>
                <w:rFonts w:hint="eastAsia"/>
                <w:b w:val="0"/>
                <w:bCs w:val="0"/>
                <w:color w:val="auto"/>
                <w:u w:val="none"/>
                <w:lang w:val="en-US" w:eastAsia="zh-CN"/>
              </w:rPr>
            </w:pPr>
            <w:r>
              <w:rPr>
                <w:rFonts w:hint="eastAsia"/>
                <w:b w:val="0"/>
                <w:bCs w:val="0"/>
                <w:color w:val="auto"/>
                <w:u w:val="none"/>
                <w:lang w:val="en-US" w:eastAsia="zh-CN"/>
              </w:rPr>
              <w:t>烘干后的纤维进入打包机进行机械自动打包入库，得到产品。包装过程不涉及粉尘</w:t>
            </w:r>
          </w:p>
        </w:tc>
        <w:tc>
          <w:tcPr>
            <w:tcW w:w="1013" w:type="dxa"/>
            <w:noWrap w:val="0"/>
            <w:vAlign w:val="center"/>
          </w:tcPr>
          <w:p w14:paraId="72B7B198">
            <w:pPr>
              <w:pStyle w:val="182"/>
              <w:spacing w:line="240" w:lineRule="auto"/>
              <w:ind w:firstLine="0" w:firstLineChars="0"/>
              <w:jc w:val="center"/>
              <w:rPr>
                <w:rFonts w:hint="eastAsia"/>
                <w:b w:val="0"/>
                <w:bCs w:val="0"/>
                <w:color w:val="auto"/>
                <w:u w:val="none"/>
                <w:lang w:val="en-US" w:eastAsia="zh-CN"/>
              </w:rPr>
            </w:pPr>
            <w:r>
              <w:rPr>
                <w:rFonts w:hint="eastAsia"/>
                <w:b w:val="0"/>
                <w:bCs w:val="0"/>
                <w:color w:val="auto"/>
                <w:u w:val="none"/>
              </w:rPr>
              <w:t>满足</w:t>
            </w:r>
          </w:p>
        </w:tc>
      </w:tr>
      <w:tr w14:paraId="70BA7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14:paraId="1615538C">
            <w:pPr>
              <w:pStyle w:val="182"/>
              <w:spacing w:line="240" w:lineRule="auto"/>
              <w:ind w:firstLine="0" w:firstLineChars="0"/>
              <w:jc w:val="center"/>
              <w:rPr>
                <w:b w:val="0"/>
                <w:bCs w:val="0"/>
                <w:color w:val="auto"/>
                <w:u w:val="none"/>
              </w:rPr>
            </w:pPr>
            <w:r>
              <w:rPr>
                <w:rFonts w:hint="eastAsia"/>
                <w:b w:val="0"/>
                <w:bCs w:val="0"/>
                <w:color w:val="auto"/>
                <w:u w:val="none"/>
              </w:rPr>
              <w:t>工艺过程</w:t>
            </w:r>
          </w:p>
        </w:tc>
        <w:tc>
          <w:tcPr>
            <w:tcW w:w="4811" w:type="dxa"/>
            <w:noWrap w:val="0"/>
            <w:vAlign w:val="center"/>
          </w:tcPr>
          <w:p w14:paraId="00616D94">
            <w:pPr>
              <w:pStyle w:val="182"/>
              <w:spacing w:line="240" w:lineRule="auto"/>
              <w:ind w:firstLine="0" w:firstLineChars="0"/>
              <w:jc w:val="left"/>
              <w:rPr>
                <w:rFonts w:hint="eastAsia"/>
                <w:b w:val="0"/>
                <w:bCs w:val="0"/>
                <w:color w:val="auto"/>
                <w:u w:val="none"/>
              </w:rPr>
            </w:pPr>
            <w:r>
              <w:rPr>
                <w:rFonts w:hint="eastAsia"/>
                <w:b w:val="0"/>
                <w:bCs w:val="0"/>
                <w:color w:val="auto"/>
                <w:u w:val="none"/>
                <w:lang w:val="en-US" w:eastAsia="zh-CN"/>
              </w:rPr>
              <w:t>1</w:t>
            </w:r>
            <w:r>
              <w:rPr>
                <w:rFonts w:hint="eastAsia"/>
                <w:b w:val="0"/>
                <w:bCs w:val="0"/>
                <w:color w:val="auto"/>
                <w:u w:val="none"/>
              </w:rPr>
              <w:t>、各种物料破碎、筛分、配料、混料等过程应在封闭厂房内进行，并采取局部收尘/抑尘措施。破碎筛分设备在进、出料口和配料混料过程等产尘点应设置集气除尘设施。</w:t>
            </w:r>
          </w:p>
        </w:tc>
        <w:tc>
          <w:tcPr>
            <w:tcW w:w="2787" w:type="dxa"/>
            <w:noWrap w:val="0"/>
            <w:vAlign w:val="center"/>
          </w:tcPr>
          <w:p w14:paraId="37963507">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eastAsia="zh-CN"/>
              </w:rPr>
              <w:t>物料不涉及</w:t>
            </w:r>
            <w:r>
              <w:rPr>
                <w:rFonts w:hint="eastAsia"/>
                <w:b w:val="0"/>
                <w:bCs w:val="0"/>
                <w:color w:val="auto"/>
                <w:u w:val="none"/>
              </w:rPr>
              <w:t>破碎、筛分、配料、混料等过程</w:t>
            </w:r>
            <w:r>
              <w:rPr>
                <w:rFonts w:hint="eastAsia"/>
                <w:b w:val="0"/>
                <w:bCs w:val="0"/>
                <w:color w:val="auto"/>
                <w:u w:val="none"/>
                <w:lang w:eastAsia="zh-CN"/>
              </w:rPr>
              <w:t>。</w:t>
            </w:r>
          </w:p>
        </w:tc>
        <w:tc>
          <w:tcPr>
            <w:tcW w:w="1013" w:type="dxa"/>
            <w:noWrap w:val="0"/>
            <w:vAlign w:val="center"/>
          </w:tcPr>
          <w:p w14:paraId="7EFFDA17">
            <w:pPr>
              <w:pStyle w:val="182"/>
              <w:spacing w:line="240" w:lineRule="auto"/>
              <w:ind w:firstLine="0" w:firstLineChars="0"/>
              <w:jc w:val="center"/>
              <w:rPr>
                <w:rFonts w:hint="eastAsia"/>
                <w:b w:val="0"/>
                <w:bCs w:val="0"/>
                <w:color w:val="auto"/>
                <w:u w:val="none"/>
                <w:lang w:val="en-US" w:eastAsia="zh-CN"/>
              </w:rPr>
            </w:pPr>
            <w:r>
              <w:rPr>
                <w:rFonts w:hint="eastAsia"/>
                <w:b w:val="0"/>
                <w:bCs w:val="0"/>
                <w:color w:val="auto"/>
                <w:u w:val="none"/>
              </w:rPr>
              <w:t>满足</w:t>
            </w:r>
          </w:p>
        </w:tc>
      </w:tr>
      <w:tr w14:paraId="62524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14:paraId="5AD1F2B8">
            <w:pPr>
              <w:pStyle w:val="182"/>
              <w:spacing w:line="240" w:lineRule="auto"/>
              <w:ind w:firstLine="0" w:firstLineChars="0"/>
              <w:jc w:val="center"/>
              <w:rPr>
                <w:b w:val="0"/>
                <w:bCs w:val="0"/>
                <w:color w:val="auto"/>
                <w:u w:val="none"/>
              </w:rPr>
            </w:pPr>
          </w:p>
        </w:tc>
        <w:tc>
          <w:tcPr>
            <w:tcW w:w="4811" w:type="dxa"/>
            <w:noWrap w:val="0"/>
            <w:vAlign w:val="center"/>
          </w:tcPr>
          <w:p w14:paraId="50760E97">
            <w:pPr>
              <w:pStyle w:val="182"/>
              <w:spacing w:line="240" w:lineRule="auto"/>
              <w:ind w:firstLine="0" w:firstLineChars="0"/>
              <w:jc w:val="left"/>
              <w:rPr>
                <w:b w:val="0"/>
                <w:bCs w:val="0"/>
                <w:color w:val="auto"/>
                <w:u w:val="none"/>
              </w:rPr>
            </w:pPr>
            <w:r>
              <w:rPr>
                <w:rFonts w:hint="eastAsia"/>
                <w:b w:val="0"/>
                <w:bCs w:val="0"/>
                <w:color w:val="auto"/>
                <w:u w:val="none"/>
                <w:lang w:val="en-US" w:eastAsia="zh-CN"/>
              </w:rPr>
              <w:t>2</w:t>
            </w:r>
            <w:r>
              <w:rPr>
                <w:rFonts w:hint="eastAsia"/>
                <w:b w:val="0"/>
                <w:bCs w:val="0"/>
                <w:color w:val="auto"/>
                <w:u w:val="none"/>
              </w:rPr>
              <w:t>、各生产工序的车间地面干净，无积料、积灰现象。</w:t>
            </w:r>
          </w:p>
        </w:tc>
        <w:tc>
          <w:tcPr>
            <w:tcW w:w="2787" w:type="dxa"/>
            <w:noWrap w:val="0"/>
            <w:vAlign w:val="center"/>
          </w:tcPr>
          <w:p w14:paraId="760A8C99">
            <w:pPr>
              <w:pStyle w:val="182"/>
              <w:spacing w:line="240" w:lineRule="auto"/>
              <w:ind w:firstLine="0" w:firstLineChars="0"/>
              <w:jc w:val="left"/>
              <w:rPr>
                <w:b w:val="0"/>
                <w:bCs w:val="0"/>
                <w:color w:val="auto"/>
                <w:u w:val="none"/>
                <w:lang w:val="en-US" w:eastAsia="zh-CN"/>
              </w:rPr>
            </w:pPr>
            <w:r>
              <w:rPr>
                <w:rFonts w:hint="eastAsia"/>
                <w:b w:val="0"/>
                <w:bCs w:val="0"/>
                <w:color w:val="auto"/>
                <w:u w:val="none"/>
              </w:rPr>
              <w:t>各生产工序的车间地面干净，无积料、积灰现象。</w:t>
            </w:r>
          </w:p>
        </w:tc>
        <w:tc>
          <w:tcPr>
            <w:tcW w:w="1013" w:type="dxa"/>
            <w:vMerge w:val="restart"/>
            <w:noWrap w:val="0"/>
            <w:vAlign w:val="center"/>
          </w:tcPr>
          <w:p w14:paraId="5FD8168A">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1266B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14:paraId="53B2151C">
            <w:pPr>
              <w:pStyle w:val="182"/>
              <w:spacing w:line="240" w:lineRule="auto"/>
              <w:ind w:firstLine="0" w:firstLineChars="0"/>
              <w:jc w:val="center"/>
              <w:rPr>
                <w:b w:val="0"/>
                <w:bCs w:val="0"/>
                <w:color w:val="auto"/>
                <w:u w:val="none"/>
              </w:rPr>
            </w:pPr>
          </w:p>
        </w:tc>
        <w:tc>
          <w:tcPr>
            <w:tcW w:w="4811" w:type="dxa"/>
            <w:noWrap w:val="0"/>
            <w:vAlign w:val="center"/>
          </w:tcPr>
          <w:p w14:paraId="537623C6">
            <w:pPr>
              <w:pStyle w:val="182"/>
              <w:spacing w:line="240" w:lineRule="auto"/>
              <w:ind w:firstLine="0" w:firstLineChars="0"/>
              <w:jc w:val="left"/>
              <w:rPr>
                <w:rFonts w:hint="eastAsia"/>
                <w:b w:val="0"/>
                <w:bCs w:val="0"/>
                <w:color w:val="auto"/>
                <w:u w:val="none"/>
              </w:rPr>
            </w:pPr>
            <w:r>
              <w:rPr>
                <w:rFonts w:hint="eastAsia"/>
                <w:b w:val="0"/>
                <w:bCs w:val="0"/>
                <w:color w:val="auto"/>
                <w:u w:val="none"/>
                <w:lang w:val="en-US" w:eastAsia="zh-CN"/>
              </w:rPr>
              <w:t>3、</w:t>
            </w:r>
            <w:r>
              <w:rPr>
                <w:rFonts w:hint="eastAsia"/>
                <w:b w:val="0"/>
                <w:bCs w:val="0"/>
                <w:color w:val="auto"/>
                <w:u w:val="none"/>
              </w:rPr>
              <w:t>生产车间不得有可见烟粉尘外逸。</w:t>
            </w:r>
          </w:p>
        </w:tc>
        <w:tc>
          <w:tcPr>
            <w:tcW w:w="2787" w:type="dxa"/>
            <w:noWrap w:val="0"/>
            <w:vAlign w:val="center"/>
          </w:tcPr>
          <w:p w14:paraId="581B3F78">
            <w:pPr>
              <w:pStyle w:val="182"/>
              <w:spacing w:line="240" w:lineRule="auto"/>
              <w:ind w:firstLine="0" w:firstLineChars="0"/>
              <w:jc w:val="left"/>
              <w:rPr>
                <w:rFonts w:hint="eastAsia"/>
                <w:b w:val="0"/>
                <w:bCs w:val="0"/>
                <w:color w:val="auto"/>
                <w:u w:val="none"/>
                <w:lang w:val="en-US" w:eastAsia="zh-CN"/>
              </w:rPr>
            </w:pPr>
            <w:r>
              <w:rPr>
                <w:rFonts w:hint="eastAsia"/>
                <w:b w:val="0"/>
                <w:bCs w:val="0"/>
                <w:color w:val="auto"/>
                <w:u w:val="none"/>
              </w:rPr>
              <w:t>生产车间</w:t>
            </w:r>
            <w:r>
              <w:rPr>
                <w:rFonts w:hint="eastAsia"/>
                <w:b w:val="0"/>
                <w:bCs w:val="0"/>
                <w:color w:val="auto"/>
                <w:u w:val="none"/>
                <w:lang w:eastAsia="zh-CN"/>
              </w:rPr>
              <w:t>无</w:t>
            </w:r>
            <w:r>
              <w:rPr>
                <w:rFonts w:hint="eastAsia"/>
                <w:b w:val="0"/>
                <w:bCs w:val="0"/>
                <w:color w:val="auto"/>
                <w:u w:val="none"/>
              </w:rPr>
              <w:t>可见烟粉尘外逸。</w:t>
            </w:r>
          </w:p>
        </w:tc>
        <w:tc>
          <w:tcPr>
            <w:tcW w:w="1013" w:type="dxa"/>
            <w:vMerge w:val="continue"/>
            <w:noWrap w:val="0"/>
            <w:vAlign w:val="center"/>
          </w:tcPr>
          <w:p w14:paraId="1D2603A8">
            <w:pPr>
              <w:pStyle w:val="182"/>
              <w:spacing w:line="240" w:lineRule="auto"/>
              <w:ind w:firstLine="0" w:firstLineChars="0"/>
              <w:jc w:val="center"/>
              <w:rPr>
                <w:b w:val="0"/>
                <w:bCs w:val="0"/>
                <w:color w:val="auto"/>
                <w:u w:val="none"/>
              </w:rPr>
            </w:pPr>
          </w:p>
        </w:tc>
      </w:tr>
      <w:tr w14:paraId="1A1D5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59" w:type="dxa"/>
            <w:gridSpan w:val="4"/>
            <w:noWrap w:val="0"/>
            <w:vAlign w:val="center"/>
          </w:tcPr>
          <w:p w14:paraId="6296C100">
            <w:pPr>
              <w:pStyle w:val="182"/>
              <w:spacing w:line="240" w:lineRule="auto"/>
              <w:ind w:firstLine="0" w:firstLineChars="0"/>
              <w:jc w:val="left"/>
              <w:rPr>
                <w:b w:val="0"/>
                <w:bCs w:val="0"/>
                <w:color w:val="auto"/>
                <w:u w:val="none"/>
              </w:rPr>
            </w:pPr>
            <w:r>
              <w:rPr>
                <w:rFonts w:hint="eastAsia"/>
                <w:b w:val="0"/>
                <w:bCs w:val="0"/>
                <w:color w:val="auto"/>
                <w:u w:val="none"/>
              </w:rPr>
              <w:t>涉 VOCs</w:t>
            </w:r>
          </w:p>
        </w:tc>
      </w:tr>
      <w:tr w14:paraId="23925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noWrap w:val="0"/>
            <w:vAlign w:val="center"/>
          </w:tcPr>
          <w:p w14:paraId="55566B2C">
            <w:pPr>
              <w:pStyle w:val="182"/>
              <w:spacing w:line="240" w:lineRule="auto"/>
              <w:ind w:firstLine="0" w:firstLineChars="0"/>
              <w:jc w:val="center"/>
              <w:rPr>
                <w:b w:val="0"/>
                <w:bCs w:val="0"/>
                <w:color w:val="auto"/>
                <w:u w:val="none"/>
              </w:rPr>
            </w:pPr>
            <w:r>
              <w:rPr>
                <w:rFonts w:hint="eastAsia"/>
                <w:b w:val="0"/>
                <w:bCs w:val="0"/>
                <w:color w:val="auto"/>
                <w:u w:val="none"/>
              </w:rPr>
              <w:t>物料储存</w:t>
            </w:r>
          </w:p>
        </w:tc>
        <w:tc>
          <w:tcPr>
            <w:tcW w:w="4811" w:type="dxa"/>
            <w:noWrap w:val="0"/>
            <w:vAlign w:val="center"/>
          </w:tcPr>
          <w:p w14:paraId="0459563F">
            <w:pPr>
              <w:pStyle w:val="182"/>
              <w:spacing w:line="240" w:lineRule="auto"/>
              <w:ind w:firstLine="0" w:firstLineChars="0"/>
              <w:jc w:val="left"/>
              <w:rPr>
                <w:rFonts w:hint="eastAsia"/>
                <w:b w:val="0"/>
                <w:bCs w:val="0"/>
                <w:color w:val="auto"/>
                <w:u w:val="none"/>
                <w:lang w:val="en-US" w:eastAsia="zh-CN"/>
              </w:rPr>
            </w:pPr>
            <w:r>
              <w:rPr>
                <w:rFonts w:hint="eastAsia"/>
                <w:b w:val="0"/>
                <w:bCs w:val="0"/>
                <w:color w:val="auto"/>
                <w:u w:val="none"/>
                <w:lang w:val="en-US" w:eastAsia="zh-CN"/>
              </w:rPr>
              <w:t>涂料、稀释剂、清洗剂等原辅材料密闭存储。盛装过 VOCs</w:t>
            </w:r>
          </w:p>
          <w:p w14:paraId="1337E279">
            <w:pPr>
              <w:pStyle w:val="182"/>
              <w:spacing w:line="240" w:lineRule="auto"/>
              <w:ind w:firstLine="0" w:firstLineChars="0"/>
              <w:jc w:val="left"/>
              <w:rPr>
                <w:rFonts w:hint="eastAsia"/>
                <w:b w:val="0"/>
                <w:bCs w:val="0"/>
                <w:color w:val="auto"/>
                <w:u w:val="none"/>
                <w:lang w:val="en-US" w:eastAsia="zh-CN"/>
              </w:rPr>
            </w:pPr>
            <w:r>
              <w:rPr>
                <w:rFonts w:hint="eastAsia"/>
                <w:b w:val="0"/>
                <w:bCs w:val="0"/>
                <w:color w:val="auto"/>
                <w:u w:val="none"/>
                <w:lang w:val="en-US" w:eastAsia="zh-CN"/>
              </w:rPr>
              <w:t>物料的包装容器、含 VOCs 废料（渣、液）、废吸附剂等通过加盖、封装等方式密闭储存；生产车间内涉 VOCs 物料应密闭储存。</w:t>
            </w:r>
          </w:p>
        </w:tc>
        <w:tc>
          <w:tcPr>
            <w:tcW w:w="2787" w:type="dxa"/>
            <w:noWrap w:val="0"/>
            <w:vAlign w:val="center"/>
          </w:tcPr>
          <w:p w14:paraId="4840EC1C">
            <w:pPr>
              <w:pStyle w:val="182"/>
              <w:spacing w:line="240" w:lineRule="auto"/>
              <w:ind w:firstLine="0" w:firstLineChars="0"/>
              <w:jc w:val="left"/>
              <w:rPr>
                <w:rFonts w:hint="eastAsia"/>
                <w:b w:val="0"/>
                <w:bCs w:val="0"/>
                <w:color w:val="auto"/>
                <w:u w:val="none"/>
              </w:rPr>
            </w:pPr>
            <w:r>
              <w:rPr>
                <w:rFonts w:hint="eastAsia"/>
                <w:b w:val="0"/>
                <w:bCs w:val="0"/>
                <w:color w:val="auto"/>
                <w:u w:val="none"/>
                <w:lang w:val="en-US" w:eastAsia="zh-CN"/>
              </w:rPr>
              <w:t>DMAC溶剂储存于储罐内，车间内无</w:t>
            </w:r>
            <w:r>
              <w:rPr>
                <w:rFonts w:hint="eastAsia"/>
                <w:b w:val="0"/>
                <w:bCs w:val="0"/>
                <w:color w:val="auto"/>
                <w:u w:val="none"/>
              </w:rPr>
              <w:t>涉VOCs物料</w:t>
            </w:r>
            <w:r>
              <w:rPr>
                <w:rFonts w:hint="eastAsia"/>
                <w:b w:val="0"/>
                <w:bCs w:val="0"/>
                <w:color w:val="auto"/>
                <w:u w:val="none"/>
                <w:lang w:val="en-US" w:eastAsia="zh-CN"/>
              </w:rPr>
              <w:t>暂存处。</w:t>
            </w:r>
          </w:p>
        </w:tc>
        <w:tc>
          <w:tcPr>
            <w:tcW w:w="1013" w:type="dxa"/>
            <w:noWrap w:val="0"/>
            <w:vAlign w:val="center"/>
          </w:tcPr>
          <w:p w14:paraId="6DA44B4F">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55C73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noWrap w:val="0"/>
            <w:vAlign w:val="center"/>
          </w:tcPr>
          <w:p w14:paraId="3C270F19">
            <w:pPr>
              <w:pStyle w:val="182"/>
              <w:spacing w:line="240" w:lineRule="auto"/>
              <w:ind w:firstLine="0" w:firstLineChars="0"/>
              <w:jc w:val="center"/>
              <w:rPr>
                <w:b w:val="0"/>
                <w:bCs w:val="0"/>
                <w:color w:val="auto"/>
                <w:u w:val="none"/>
              </w:rPr>
            </w:pPr>
            <w:r>
              <w:rPr>
                <w:rFonts w:hint="eastAsia"/>
                <w:b w:val="0"/>
                <w:bCs w:val="0"/>
                <w:color w:val="auto"/>
                <w:u w:val="none"/>
              </w:rPr>
              <w:t>物料转移和输送</w:t>
            </w:r>
          </w:p>
        </w:tc>
        <w:tc>
          <w:tcPr>
            <w:tcW w:w="4811" w:type="dxa"/>
            <w:noWrap w:val="0"/>
            <w:vAlign w:val="center"/>
          </w:tcPr>
          <w:p w14:paraId="2E28158A">
            <w:pPr>
              <w:pStyle w:val="182"/>
              <w:spacing w:line="240" w:lineRule="auto"/>
              <w:ind w:firstLine="0" w:firstLineChars="0"/>
              <w:jc w:val="left"/>
              <w:rPr>
                <w:rFonts w:hint="eastAsia"/>
                <w:b w:val="0"/>
                <w:bCs w:val="0"/>
                <w:color w:val="auto"/>
                <w:u w:val="none"/>
                <w:lang w:val="en-US" w:eastAsia="zh-CN"/>
              </w:rPr>
            </w:pPr>
            <w:r>
              <w:rPr>
                <w:rFonts w:hint="eastAsia"/>
                <w:b w:val="0"/>
                <w:bCs w:val="0"/>
                <w:color w:val="auto"/>
                <w:u w:val="none"/>
                <w:lang w:val="en-US" w:eastAsia="zh-CN"/>
              </w:rPr>
              <w:t>采用密闭管道或密闭容器等输送。</w:t>
            </w:r>
          </w:p>
        </w:tc>
        <w:tc>
          <w:tcPr>
            <w:tcW w:w="2787" w:type="dxa"/>
            <w:noWrap w:val="0"/>
            <w:vAlign w:val="center"/>
          </w:tcPr>
          <w:p w14:paraId="07B96918">
            <w:pPr>
              <w:pStyle w:val="182"/>
              <w:spacing w:line="240" w:lineRule="auto"/>
              <w:ind w:firstLine="0" w:firstLineChars="0"/>
              <w:jc w:val="left"/>
              <w:rPr>
                <w:rFonts w:hint="eastAsia"/>
                <w:b w:val="0"/>
                <w:bCs w:val="0"/>
                <w:color w:val="auto"/>
                <w:u w:val="none"/>
              </w:rPr>
            </w:pPr>
            <w:r>
              <w:rPr>
                <w:rFonts w:hint="eastAsia"/>
                <w:b w:val="0"/>
                <w:bCs w:val="0"/>
                <w:color w:val="auto"/>
                <w:u w:val="none"/>
                <w:lang w:val="en-US" w:eastAsia="zh-CN"/>
              </w:rPr>
              <w:t>DMAC溶剂整个生产过程中采用密闭管道输送。</w:t>
            </w:r>
          </w:p>
        </w:tc>
        <w:tc>
          <w:tcPr>
            <w:tcW w:w="1013" w:type="dxa"/>
            <w:noWrap w:val="0"/>
            <w:vAlign w:val="center"/>
          </w:tcPr>
          <w:p w14:paraId="6910ACE0">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2745D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14:paraId="0E770647">
            <w:pPr>
              <w:pStyle w:val="182"/>
              <w:spacing w:line="240" w:lineRule="auto"/>
              <w:ind w:firstLine="0" w:firstLineChars="0"/>
              <w:jc w:val="center"/>
              <w:rPr>
                <w:b w:val="0"/>
                <w:bCs w:val="0"/>
                <w:color w:val="auto"/>
                <w:u w:val="none"/>
              </w:rPr>
            </w:pPr>
            <w:r>
              <w:rPr>
                <w:rFonts w:hint="eastAsia"/>
                <w:b w:val="0"/>
                <w:bCs w:val="0"/>
                <w:color w:val="auto"/>
                <w:u w:val="none"/>
              </w:rPr>
              <w:t>工艺过程</w:t>
            </w:r>
          </w:p>
        </w:tc>
        <w:tc>
          <w:tcPr>
            <w:tcW w:w="4811" w:type="dxa"/>
            <w:noWrap w:val="0"/>
            <w:vAlign w:val="center"/>
          </w:tcPr>
          <w:p w14:paraId="57A6CFFC">
            <w:pPr>
              <w:pStyle w:val="182"/>
              <w:spacing w:line="240" w:lineRule="auto"/>
              <w:ind w:firstLine="0" w:firstLineChars="0"/>
              <w:jc w:val="left"/>
              <w:rPr>
                <w:rFonts w:hint="eastAsia"/>
                <w:b w:val="0"/>
                <w:bCs w:val="0"/>
                <w:color w:val="auto"/>
                <w:u w:val="none"/>
                <w:lang w:val="en-US" w:eastAsia="zh-CN"/>
              </w:rPr>
            </w:pPr>
            <w:r>
              <w:rPr>
                <w:rFonts w:hint="eastAsia"/>
                <w:b w:val="0"/>
                <w:bCs w:val="0"/>
                <w:color w:val="auto"/>
                <w:u w:val="none"/>
                <w:lang w:val="en-US" w:eastAsia="zh-CN"/>
              </w:rPr>
              <w:t>原辅材料调配、使用（施胶、喷涂、干燥等）、回收等过程</w:t>
            </w:r>
          </w:p>
          <w:p w14:paraId="18F0BD96">
            <w:pPr>
              <w:pStyle w:val="182"/>
              <w:spacing w:line="240" w:lineRule="auto"/>
              <w:ind w:firstLine="0" w:firstLineChars="0"/>
              <w:jc w:val="left"/>
              <w:rPr>
                <w:rFonts w:hint="eastAsia"/>
                <w:b w:val="0"/>
                <w:bCs w:val="0"/>
                <w:color w:val="auto"/>
                <w:u w:val="none"/>
                <w:lang w:val="en-US" w:eastAsia="zh-CN"/>
              </w:rPr>
            </w:pPr>
            <w:r>
              <w:rPr>
                <w:rFonts w:hint="eastAsia"/>
                <w:b w:val="0"/>
                <w:bCs w:val="0"/>
                <w:color w:val="auto"/>
                <w:u w:val="none"/>
                <w:lang w:val="en-US" w:eastAsia="zh-CN"/>
              </w:rPr>
              <w:t>采用密闭设备或在密闭空间内操作。</w:t>
            </w:r>
          </w:p>
        </w:tc>
        <w:tc>
          <w:tcPr>
            <w:tcW w:w="2787" w:type="dxa"/>
            <w:vMerge w:val="restart"/>
            <w:noWrap w:val="0"/>
            <w:vAlign w:val="center"/>
          </w:tcPr>
          <w:p w14:paraId="3BDEF524">
            <w:pPr>
              <w:pStyle w:val="182"/>
              <w:spacing w:line="240" w:lineRule="auto"/>
              <w:ind w:firstLine="0" w:firstLineChars="0"/>
              <w:jc w:val="left"/>
              <w:rPr>
                <w:rFonts w:hint="eastAsia"/>
                <w:b w:val="0"/>
                <w:bCs w:val="0"/>
                <w:color w:val="auto"/>
                <w:u w:val="none"/>
              </w:rPr>
            </w:pPr>
            <w:r>
              <w:rPr>
                <w:rFonts w:hint="eastAsia"/>
                <w:b w:val="0"/>
                <w:bCs w:val="0"/>
                <w:color w:val="auto"/>
                <w:u w:val="none"/>
                <w:lang w:val="en-US" w:eastAsia="zh-CN"/>
              </w:rPr>
              <w:t>DMAC溶剂使用和回收工段均采用密闭设备操作。储存废气和工艺废气</w:t>
            </w:r>
            <w:r>
              <w:rPr>
                <w:rFonts w:hint="eastAsia"/>
                <w:b w:val="0"/>
                <w:bCs w:val="0"/>
                <w:color w:val="auto"/>
                <w:u w:val="none"/>
              </w:rPr>
              <w:t>全部收集引至VOCs处理系统</w:t>
            </w:r>
          </w:p>
        </w:tc>
        <w:tc>
          <w:tcPr>
            <w:tcW w:w="1013" w:type="dxa"/>
            <w:vMerge w:val="restart"/>
            <w:noWrap w:val="0"/>
            <w:vAlign w:val="center"/>
          </w:tcPr>
          <w:p w14:paraId="298777C9">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23623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14:paraId="398208C6">
            <w:pPr>
              <w:pStyle w:val="182"/>
              <w:spacing w:line="240" w:lineRule="auto"/>
              <w:ind w:firstLine="0" w:firstLineChars="0"/>
              <w:jc w:val="center"/>
              <w:rPr>
                <w:rFonts w:hint="eastAsia"/>
                <w:b w:val="0"/>
                <w:bCs w:val="0"/>
                <w:color w:val="auto"/>
                <w:u w:val="none"/>
              </w:rPr>
            </w:pPr>
          </w:p>
        </w:tc>
        <w:tc>
          <w:tcPr>
            <w:tcW w:w="4811" w:type="dxa"/>
            <w:noWrap w:val="0"/>
            <w:vAlign w:val="center"/>
          </w:tcPr>
          <w:p w14:paraId="38C63ABB">
            <w:pPr>
              <w:pStyle w:val="182"/>
              <w:spacing w:line="240" w:lineRule="auto"/>
              <w:ind w:firstLine="0" w:firstLineChars="0"/>
              <w:jc w:val="left"/>
              <w:rPr>
                <w:rFonts w:hint="eastAsia"/>
                <w:b w:val="0"/>
                <w:bCs w:val="0"/>
                <w:color w:val="auto"/>
                <w:u w:val="none"/>
                <w:lang w:val="en-US" w:eastAsia="zh-CN"/>
              </w:rPr>
            </w:pPr>
            <w:r>
              <w:rPr>
                <w:rFonts w:hint="eastAsia"/>
                <w:b w:val="0"/>
                <w:bCs w:val="0"/>
                <w:color w:val="auto"/>
                <w:u w:val="none"/>
                <w:lang w:val="en-US" w:eastAsia="zh-CN"/>
              </w:rPr>
              <w:t>涉 VOCs 原料装卸、储存、转移和输送、工艺过程等环节的</w:t>
            </w:r>
          </w:p>
          <w:p w14:paraId="02A47FB4">
            <w:pPr>
              <w:pStyle w:val="182"/>
              <w:spacing w:line="240" w:lineRule="auto"/>
              <w:ind w:firstLine="0" w:firstLineChars="0"/>
              <w:jc w:val="left"/>
              <w:rPr>
                <w:rFonts w:hint="eastAsia"/>
                <w:b w:val="0"/>
                <w:bCs w:val="0"/>
                <w:color w:val="auto"/>
                <w:u w:val="none"/>
                <w:lang w:val="en-US" w:eastAsia="zh-CN"/>
              </w:rPr>
            </w:pPr>
            <w:r>
              <w:rPr>
                <w:rFonts w:hint="eastAsia"/>
                <w:b w:val="0"/>
                <w:bCs w:val="0"/>
                <w:color w:val="auto"/>
                <w:u w:val="none"/>
                <w:lang w:val="en-US" w:eastAsia="zh-CN"/>
              </w:rPr>
              <w:t>废气全部收集引至 VOCs 处理系统。</w:t>
            </w:r>
          </w:p>
        </w:tc>
        <w:tc>
          <w:tcPr>
            <w:tcW w:w="2787" w:type="dxa"/>
            <w:vMerge w:val="continue"/>
            <w:noWrap w:val="0"/>
            <w:vAlign w:val="center"/>
          </w:tcPr>
          <w:p w14:paraId="046A6625">
            <w:pPr>
              <w:pStyle w:val="182"/>
              <w:spacing w:line="240" w:lineRule="auto"/>
              <w:ind w:firstLine="0" w:firstLineChars="0"/>
              <w:jc w:val="left"/>
              <w:rPr>
                <w:rFonts w:hint="eastAsia"/>
                <w:b w:val="0"/>
                <w:bCs w:val="0"/>
                <w:color w:val="auto"/>
                <w:u w:val="none"/>
              </w:rPr>
            </w:pPr>
          </w:p>
        </w:tc>
        <w:tc>
          <w:tcPr>
            <w:tcW w:w="1013" w:type="dxa"/>
            <w:vMerge w:val="continue"/>
            <w:noWrap w:val="0"/>
            <w:vAlign w:val="center"/>
          </w:tcPr>
          <w:p w14:paraId="1EA748E5">
            <w:pPr>
              <w:pStyle w:val="182"/>
              <w:spacing w:line="240" w:lineRule="auto"/>
              <w:ind w:firstLine="0" w:firstLineChars="0"/>
              <w:jc w:val="center"/>
              <w:rPr>
                <w:b w:val="0"/>
                <w:bCs w:val="0"/>
                <w:color w:val="auto"/>
                <w:u w:val="none"/>
              </w:rPr>
            </w:pPr>
          </w:p>
        </w:tc>
      </w:tr>
      <w:tr w14:paraId="2B37A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559" w:type="dxa"/>
            <w:gridSpan w:val="4"/>
            <w:noWrap w:val="0"/>
            <w:vAlign w:val="center"/>
          </w:tcPr>
          <w:p w14:paraId="0828C6A7">
            <w:pPr>
              <w:pStyle w:val="182"/>
              <w:spacing w:line="240" w:lineRule="auto"/>
              <w:ind w:firstLine="0" w:firstLineChars="0"/>
              <w:jc w:val="left"/>
              <w:rPr>
                <w:b w:val="0"/>
                <w:bCs w:val="0"/>
                <w:color w:val="auto"/>
                <w:u w:val="none"/>
              </w:rPr>
            </w:pPr>
            <w:r>
              <w:rPr>
                <w:rFonts w:hint="eastAsia"/>
                <w:b w:val="0"/>
                <w:bCs w:val="0"/>
                <w:color w:val="auto"/>
                <w:u w:val="none"/>
              </w:rPr>
              <w:t>其他基本要求</w:t>
            </w:r>
          </w:p>
        </w:tc>
      </w:tr>
      <w:tr w14:paraId="6DF5A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14:paraId="51226418">
            <w:pPr>
              <w:pStyle w:val="182"/>
              <w:spacing w:line="240" w:lineRule="auto"/>
              <w:ind w:firstLine="0" w:firstLineChars="0"/>
              <w:jc w:val="center"/>
              <w:rPr>
                <w:b w:val="0"/>
                <w:bCs w:val="0"/>
                <w:color w:val="auto"/>
                <w:u w:val="none"/>
              </w:rPr>
            </w:pPr>
            <w:r>
              <w:rPr>
                <w:rFonts w:hint="eastAsia"/>
                <w:b w:val="0"/>
                <w:bCs w:val="0"/>
                <w:color w:val="auto"/>
                <w:u w:val="none"/>
              </w:rPr>
              <w:t>运输方式及运输监管</w:t>
            </w:r>
          </w:p>
        </w:tc>
        <w:tc>
          <w:tcPr>
            <w:tcW w:w="4811" w:type="dxa"/>
            <w:noWrap w:val="0"/>
            <w:vAlign w:val="center"/>
          </w:tcPr>
          <w:p w14:paraId="075DFE3C">
            <w:pPr>
              <w:pStyle w:val="182"/>
              <w:spacing w:line="240" w:lineRule="auto"/>
              <w:ind w:firstLine="0" w:firstLineChars="0"/>
              <w:jc w:val="left"/>
              <w:rPr>
                <w:rFonts w:hint="eastAsia"/>
                <w:b w:val="0"/>
                <w:bCs w:val="0"/>
                <w:color w:val="auto"/>
                <w:u w:val="none"/>
              </w:rPr>
            </w:pPr>
            <w:r>
              <w:rPr>
                <w:rFonts w:hint="eastAsia"/>
                <w:b w:val="0"/>
                <w:bCs w:val="0"/>
                <w:color w:val="auto"/>
                <w:u w:val="none"/>
              </w:rPr>
              <w:t>（1）运输方式</w:t>
            </w:r>
          </w:p>
          <w:p w14:paraId="028EBF20">
            <w:pPr>
              <w:pStyle w:val="182"/>
              <w:spacing w:line="240" w:lineRule="auto"/>
              <w:ind w:firstLine="0" w:firstLineChars="0"/>
              <w:jc w:val="left"/>
              <w:rPr>
                <w:rFonts w:hint="eastAsia"/>
                <w:b w:val="0"/>
                <w:bCs w:val="0"/>
                <w:color w:val="auto"/>
                <w:u w:val="none"/>
              </w:rPr>
            </w:pPr>
            <w:r>
              <w:rPr>
                <w:rFonts w:hint="eastAsia"/>
                <w:b w:val="0"/>
                <w:bCs w:val="0"/>
                <w:color w:val="auto"/>
                <w:u w:val="none"/>
              </w:rPr>
              <w:t>①公路运输。物料公路运输使用达到国五及以上排放标准重型载货车辆（含燃气）或新能源车辆比例（A 级 100%，B 级不低于 80%），其他车辆达到国四排放标准；</w:t>
            </w:r>
          </w:p>
          <w:p w14:paraId="7A28C824">
            <w:pPr>
              <w:pStyle w:val="182"/>
              <w:spacing w:line="240" w:lineRule="auto"/>
              <w:ind w:firstLine="0" w:firstLineChars="0"/>
              <w:jc w:val="left"/>
              <w:rPr>
                <w:rFonts w:hint="eastAsia"/>
                <w:b w:val="0"/>
                <w:bCs w:val="0"/>
                <w:color w:val="auto"/>
                <w:u w:val="none"/>
              </w:rPr>
            </w:pPr>
            <w:r>
              <w:rPr>
                <w:rFonts w:hint="eastAsia"/>
                <w:b w:val="0"/>
                <w:bCs w:val="0"/>
                <w:color w:val="auto"/>
                <w:u w:val="none"/>
              </w:rPr>
              <w:t>②厂内运输车辆。达到国五及以上排放标准（含燃气）或使用新能源车辆的比例（A 级 100%，B 级不低于 80%），其他车辆达到国四排放标准；</w:t>
            </w:r>
          </w:p>
          <w:p w14:paraId="5B6C84E9">
            <w:pPr>
              <w:pStyle w:val="182"/>
              <w:spacing w:line="240" w:lineRule="auto"/>
              <w:ind w:firstLine="0" w:firstLineChars="0"/>
              <w:jc w:val="left"/>
              <w:rPr>
                <w:rFonts w:hint="eastAsia"/>
                <w:b w:val="0"/>
                <w:bCs w:val="0"/>
                <w:color w:val="auto"/>
                <w:u w:val="none"/>
              </w:rPr>
            </w:pPr>
            <w:r>
              <w:rPr>
                <w:rFonts w:hint="eastAsia"/>
                <w:b w:val="0"/>
                <w:bCs w:val="0"/>
                <w:color w:val="auto"/>
                <w:u w:val="none"/>
              </w:rPr>
              <w:t>③危险品及危废运输。国五及以上或新能源车辆（A 级/B</w:t>
            </w:r>
          </w:p>
          <w:p w14:paraId="7EA5EE63">
            <w:pPr>
              <w:pStyle w:val="182"/>
              <w:spacing w:line="240" w:lineRule="auto"/>
              <w:ind w:firstLine="0" w:firstLineChars="0"/>
              <w:jc w:val="left"/>
              <w:rPr>
                <w:rFonts w:hint="eastAsia"/>
                <w:b w:val="0"/>
                <w:bCs w:val="0"/>
                <w:color w:val="auto"/>
                <w:u w:val="none"/>
              </w:rPr>
            </w:pPr>
            <w:r>
              <w:rPr>
                <w:rFonts w:hint="eastAsia"/>
                <w:b w:val="0"/>
                <w:bCs w:val="0"/>
                <w:color w:val="auto"/>
                <w:u w:val="none"/>
              </w:rPr>
              <w:t>级 100%）；</w:t>
            </w:r>
          </w:p>
          <w:p w14:paraId="1ABF75CD">
            <w:pPr>
              <w:pStyle w:val="182"/>
              <w:spacing w:line="240" w:lineRule="auto"/>
              <w:ind w:firstLine="0" w:firstLineChars="0"/>
              <w:jc w:val="left"/>
              <w:rPr>
                <w:rFonts w:hint="eastAsia"/>
                <w:b w:val="0"/>
                <w:bCs w:val="0"/>
                <w:color w:val="auto"/>
                <w:u w:val="none"/>
              </w:rPr>
            </w:pPr>
            <w:r>
              <w:rPr>
                <w:rFonts w:hint="eastAsia"/>
                <w:b w:val="0"/>
                <w:bCs w:val="0"/>
                <w:color w:val="auto"/>
                <w:u w:val="none"/>
              </w:rPr>
              <w:t>④厂内非道路移动机械。国三及以上排放标准或使用新能源机械（A 级/B 级 100%）</w:t>
            </w:r>
          </w:p>
        </w:tc>
        <w:tc>
          <w:tcPr>
            <w:tcW w:w="2787" w:type="dxa"/>
            <w:noWrap w:val="0"/>
            <w:vAlign w:val="center"/>
          </w:tcPr>
          <w:p w14:paraId="7F3BA7E9">
            <w:pPr>
              <w:pStyle w:val="182"/>
              <w:spacing w:line="240" w:lineRule="auto"/>
              <w:ind w:firstLine="0" w:firstLineChars="0"/>
              <w:jc w:val="left"/>
              <w:rPr>
                <w:rFonts w:hint="eastAsia"/>
                <w:b w:val="0"/>
                <w:bCs w:val="0"/>
                <w:color w:val="auto"/>
                <w:u w:val="none"/>
              </w:rPr>
            </w:pPr>
            <w:r>
              <w:rPr>
                <w:rFonts w:hint="eastAsia"/>
                <w:b w:val="0"/>
                <w:bCs w:val="0"/>
                <w:color w:val="auto"/>
                <w:u w:val="none"/>
              </w:rPr>
              <w:t>（1）运输方式</w:t>
            </w:r>
          </w:p>
          <w:p w14:paraId="4D1A155E">
            <w:pPr>
              <w:pStyle w:val="182"/>
              <w:spacing w:line="240" w:lineRule="auto"/>
              <w:ind w:firstLine="0" w:firstLineChars="0"/>
              <w:jc w:val="left"/>
              <w:rPr>
                <w:rFonts w:hint="eastAsia"/>
                <w:b w:val="0"/>
                <w:bCs w:val="0"/>
                <w:color w:val="auto"/>
                <w:u w:val="none"/>
              </w:rPr>
            </w:pPr>
            <w:r>
              <w:rPr>
                <w:rFonts w:hint="eastAsia"/>
                <w:b w:val="0"/>
                <w:bCs w:val="0"/>
                <w:color w:val="auto"/>
                <w:u w:val="none"/>
              </w:rPr>
              <w:t>①公路运输。</w:t>
            </w:r>
            <w:r>
              <w:rPr>
                <w:rFonts w:hint="eastAsia"/>
                <w:b w:val="0"/>
                <w:bCs w:val="0"/>
                <w:color w:val="auto"/>
                <w:u w:val="none"/>
                <w:lang w:eastAsia="zh-CN"/>
              </w:rPr>
              <w:t>与运输公司签订合同约定使用国五及以上排放标准运输车辆</w:t>
            </w:r>
            <w:r>
              <w:rPr>
                <w:rFonts w:hint="eastAsia"/>
                <w:b w:val="0"/>
                <w:bCs w:val="0"/>
                <w:color w:val="auto"/>
                <w:u w:val="none"/>
              </w:rPr>
              <w:t>；</w:t>
            </w:r>
          </w:p>
          <w:p w14:paraId="5402B8B8">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②</w:t>
            </w:r>
            <w:r>
              <w:rPr>
                <w:rFonts w:hint="eastAsia"/>
                <w:b w:val="0"/>
                <w:bCs w:val="0"/>
                <w:color w:val="auto"/>
                <w:u w:val="none"/>
                <w:lang w:eastAsia="zh-CN"/>
              </w:rPr>
              <w:t>厂内无运输车辆</w:t>
            </w:r>
          </w:p>
          <w:p w14:paraId="27A57BCF">
            <w:pPr>
              <w:pStyle w:val="182"/>
              <w:spacing w:line="240" w:lineRule="auto"/>
              <w:ind w:firstLine="0" w:firstLineChars="0"/>
              <w:jc w:val="left"/>
              <w:rPr>
                <w:rFonts w:hint="eastAsia"/>
                <w:b w:val="0"/>
                <w:bCs w:val="0"/>
                <w:color w:val="auto"/>
                <w:u w:val="none"/>
              </w:rPr>
            </w:pPr>
            <w:r>
              <w:rPr>
                <w:rFonts w:hint="eastAsia"/>
                <w:b w:val="0"/>
                <w:bCs w:val="0"/>
                <w:color w:val="auto"/>
                <w:u w:val="none"/>
              </w:rPr>
              <w:t>③危险品及危废运输。</w:t>
            </w:r>
            <w:r>
              <w:rPr>
                <w:rFonts w:hint="eastAsia"/>
                <w:b w:val="0"/>
                <w:bCs w:val="0"/>
                <w:color w:val="auto"/>
                <w:u w:val="none"/>
                <w:lang w:eastAsia="zh-CN"/>
              </w:rPr>
              <w:t>与运输公司签订合同约定使用国五及以上排放标准运输车辆</w:t>
            </w:r>
            <w:r>
              <w:rPr>
                <w:rFonts w:hint="eastAsia"/>
                <w:b w:val="0"/>
                <w:bCs w:val="0"/>
                <w:color w:val="auto"/>
                <w:u w:val="none"/>
              </w:rPr>
              <w:t>；</w:t>
            </w:r>
          </w:p>
          <w:p w14:paraId="11130676">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④厂内非道路移动机械。</w:t>
            </w:r>
            <w:r>
              <w:rPr>
                <w:rFonts w:hint="eastAsia"/>
                <w:b w:val="0"/>
                <w:bCs w:val="0"/>
                <w:color w:val="auto"/>
                <w:u w:val="none"/>
                <w:lang w:eastAsia="zh-CN"/>
              </w:rPr>
              <w:t>厂内全部使用新能源叉车。</w:t>
            </w:r>
          </w:p>
        </w:tc>
        <w:tc>
          <w:tcPr>
            <w:tcW w:w="1013" w:type="dxa"/>
            <w:noWrap w:val="0"/>
            <w:vAlign w:val="center"/>
          </w:tcPr>
          <w:p w14:paraId="205DC040">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59DF7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14:paraId="7CC05C1C">
            <w:pPr>
              <w:pStyle w:val="182"/>
              <w:spacing w:line="240" w:lineRule="auto"/>
              <w:ind w:firstLine="0" w:firstLineChars="0"/>
              <w:jc w:val="center"/>
              <w:rPr>
                <w:rFonts w:hint="eastAsia"/>
                <w:b w:val="0"/>
                <w:bCs w:val="0"/>
                <w:color w:val="auto"/>
                <w:u w:val="none"/>
              </w:rPr>
            </w:pPr>
          </w:p>
        </w:tc>
        <w:tc>
          <w:tcPr>
            <w:tcW w:w="4811" w:type="dxa"/>
            <w:noWrap w:val="0"/>
            <w:vAlign w:val="center"/>
          </w:tcPr>
          <w:p w14:paraId="26BFD967">
            <w:pPr>
              <w:pStyle w:val="182"/>
              <w:spacing w:line="240" w:lineRule="auto"/>
              <w:ind w:firstLine="0" w:firstLineChars="0"/>
              <w:jc w:val="left"/>
              <w:rPr>
                <w:rFonts w:hint="eastAsia"/>
                <w:b w:val="0"/>
                <w:bCs w:val="0"/>
                <w:color w:val="auto"/>
                <w:u w:val="none"/>
              </w:rPr>
            </w:pPr>
            <w:r>
              <w:rPr>
                <w:rFonts w:hint="eastAsia"/>
                <w:b w:val="0"/>
                <w:bCs w:val="0"/>
                <w:color w:val="auto"/>
                <w:u w:val="none"/>
              </w:rPr>
              <w:t>（2）运输监管</w:t>
            </w:r>
          </w:p>
          <w:p w14:paraId="2B21EEC6">
            <w:pPr>
              <w:pStyle w:val="182"/>
              <w:spacing w:line="240" w:lineRule="auto"/>
              <w:ind w:firstLine="0" w:firstLineChars="0"/>
              <w:jc w:val="left"/>
              <w:rPr>
                <w:rFonts w:hint="eastAsia"/>
                <w:b w:val="0"/>
                <w:bCs w:val="0"/>
                <w:color w:val="auto"/>
                <w:u w:val="none"/>
              </w:rPr>
            </w:pPr>
            <w:r>
              <w:rPr>
                <w:rFonts w:hint="eastAsia"/>
                <w:b w:val="0"/>
                <w:bCs w:val="0"/>
                <w:color w:val="auto"/>
                <w:u w:val="none"/>
              </w:rPr>
              <w:t>厂区货运车辆进出大门口：日均进出货物 150 吨（或载货车辆日进出 10 辆次）及以上（货物包括原料、辅料、燃料、产品和其他与生产相关物料）的企业，或纳入我省重点行业年产值1000 万及以上的企业，拟申报 A、B 级企业时，应参照《重污染天气重点行业移动源应急管理技术指南》建立门禁视频监控系统和电子台账；其他企业建立门禁视频监控系统和台账。安装高清视频监控系统并能保留数据 6 个月以上。</w:t>
            </w:r>
          </w:p>
        </w:tc>
        <w:tc>
          <w:tcPr>
            <w:tcW w:w="2787" w:type="dxa"/>
            <w:noWrap w:val="0"/>
            <w:vAlign w:val="center"/>
          </w:tcPr>
          <w:p w14:paraId="40F74ED2">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建立门禁视频监控系统和电子台账。</w:t>
            </w:r>
          </w:p>
        </w:tc>
        <w:tc>
          <w:tcPr>
            <w:tcW w:w="1013" w:type="dxa"/>
            <w:noWrap w:val="0"/>
            <w:vAlign w:val="center"/>
          </w:tcPr>
          <w:p w14:paraId="57CE6F2F">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2D900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14:paraId="3BA6B8A3">
            <w:pPr>
              <w:pStyle w:val="182"/>
              <w:spacing w:line="240" w:lineRule="auto"/>
              <w:ind w:firstLine="0" w:firstLineChars="0"/>
              <w:jc w:val="center"/>
              <w:rPr>
                <w:rFonts w:hint="eastAsia"/>
                <w:b w:val="0"/>
                <w:bCs w:val="0"/>
                <w:color w:val="auto"/>
                <w:u w:val="none"/>
              </w:rPr>
            </w:pPr>
            <w:r>
              <w:rPr>
                <w:rFonts w:hint="eastAsia"/>
                <w:b w:val="0"/>
                <w:bCs w:val="0"/>
                <w:color w:val="auto"/>
                <w:u w:val="none"/>
              </w:rPr>
              <w:t>环境管理水平</w:t>
            </w:r>
          </w:p>
        </w:tc>
        <w:tc>
          <w:tcPr>
            <w:tcW w:w="4811" w:type="dxa"/>
            <w:noWrap w:val="0"/>
            <w:vAlign w:val="center"/>
          </w:tcPr>
          <w:p w14:paraId="320C37B1">
            <w:pPr>
              <w:pStyle w:val="182"/>
              <w:spacing w:line="240" w:lineRule="auto"/>
              <w:ind w:firstLine="0" w:firstLineChars="0"/>
              <w:jc w:val="left"/>
              <w:rPr>
                <w:rFonts w:hint="eastAsia"/>
                <w:b w:val="0"/>
                <w:bCs w:val="0"/>
                <w:color w:val="auto"/>
                <w:u w:val="none"/>
              </w:rPr>
            </w:pPr>
            <w:r>
              <w:rPr>
                <w:rFonts w:hint="eastAsia"/>
                <w:b w:val="0"/>
                <w:bCs w:val="0"/>
                <w:color w:val="auto"/>
                <w:u w:val="none"/>
              </w:rPr>
              <w:t>1、环保档案齐全：①环评批复文件和竣工验收文件/现状评估文件；②废气治理设施运行管理规程；③一年内废气监测报告；④国家版排污许可证，并按要求开展自行监测和信息披露，有规范的排气筒监测平台和排污口标识。</w:t>
            </w:r>
          </w:p>
        </w:tc>
        <w:tc>
          <w:tcPr>
            <w:tcW w:w="2787" w:type="dxa"/>
            <w:noWrap w:val="0"/>
            <w:vAlign w:val="center"/>
          </w:tcPr>
          <w:p w14:paraId="7B0FBAEC">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环保档案齐全：①环评批复文件和竣工验收文件/现状评估文件；②废气治理设施运行管理规程；③一年内废气监测报告；④国家版排污许可证，并按要求开展自行监测和信息披露，有规范的排气筒监测平台和排污口标识。</w:t>
            </w:r>
          </w:p>
        </w:tc>
        <w:tc>
          <w:tcPr>
            <w:tcW w:w="1013" w:type="dxa"/>
            <w:noWrap w:val="0"/>
            <w:vAlign w:val="center"/>
          </w:tcPr>
          <w:p w14:paraId="2D44D9DB">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68655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14:paraId="5AE864D2">
            <w:pPr>
              <w:pStyle w:val="182"/>
              <w:spacing w:line="240" w:lineRule="auto"/>
              <w:ind w:firstLine="0" w:firstLineChars="0"/>
              <w:jc w:val="center"/>
              <w:rPr>
                <w:rFonts w:hint="eastAsia"/>
                <w:b w:val="0"/>
                <w:bCs w:val="0"/>
                <w:color w:val="auto"/>
                <w:u w:val="none"/>
              </w:rPr>
            </w:pPr>
          </w:p>
        </w:tc>
        <w:tc>
          <w:tcPr>
            <w:tcW w:w="4811" w:type="dxa"/>
            <w:noWrap w:val="0"/>
            <w:vAlign w:val="center"/>
          </w:tcPr>
          <w:p w14:paraId="22AD1B57">
            <w:pPr>
              <w:pStyle w:val="182"/>
              <w:spacing w:line="240" w:lineRule="auto"/>
              <w:ind w:firstLine="0" w:firstLineChars="0"/>
              <w:jc w:val="left"/>
              <w:rPr>
                <w:rFonts w:hint="eastAsia"/>
                <w:b w:val="0"/>
                <w:bCs w:val="0"/>
                <w:color w:val="auto"/>
                <w:u w:val="none"/>
              </w:rPr>
            </w:pPr>
            <w:r>
              <w:rPr>
                <w:rFonts w:hint="eastAsia"/>
                <w:b w:val="0"/>
                <w:bCs w:val="0"/>
                <w:color w:val="auto"/>
                <w:u w:val="none"/>
                <w:lang w:val="en-US" w:eastAsia="zh-CN"/>
              </w:rPr>
              <w:t>2、</w:t>
            </w:r>
            <w:r>
              <w:rPr>
                <w:rFonts w:hint="eastAsia"/>
                <w:b w:val="0"/>
                <w:bCs w:val="0"/>
                <w:color w:val="auto"/>
                <w:u w:val="none"/>
              </w:rPr>
              <w:t>台账记录：①生产设施运行管理信息（生产时间、 运行负荷、产品产量等）；</w:t>
            </w:r>
          </w:p>
          <w:p w14:paraId="6319A107">
            <w:pPr>
              <w:pStyle w:val="182"/>
              <w:spacing w:line="240" w:lineRule="auto"/>
              <w:ind w:firstLine="0" w:firstLineChars="0"/>
              <w:jc w:val="left"/>
              <w:rPr>
                <w:rFonts w:hint="eastAsia"/>
                <w:b w:val="0"/>
                <w:bCs w:val="0"/>
                <w:color w:val="auto"/>
                <w:u w:val="none"/>
              </w:rPr>
            </w:pPr>
            <w:r>
              <w:rPr>
                <w:rFonts w:hint="eastAsia"/>
                <w:b w:val="0"/>
                <w:bCs w:val="0"/>
                <w:color w:val="auto"/>
                <w:u w:val="none"/>
              </w:rPr>
              <w:t>②废气污染治理设施运行管理信息（除尘滤料、活性炭等更换量和时间）；</w:t>
            </w:r>
          </w:p>
          <w:p w14:paraId="0B4EC394">
            <w:pPr>
              <w:pStyle w:val="182"/>
              <w:spacing w:line="240" w:lineRule="auto"/>
              <w:ind w:firstLine="0" w:firstLineChars="0"/>
              <w:jc w:val="left"/>
              <w:rPr>
                <w:rFonts w:hint="eastAsia"/>
                <w:b w:val="0"/>
                <w:bCs w:val="0"/>
                <w:color w:val="auto"/>
                <w:u w:val="none"/>
              </w:rPr>
            </w:pPr>
            <w:r>
              <w:rPr>
                <w:rFonts w:hint="eastAsia"/>
                <w:b w:val="0"/>
                <w:bCs w:val="0"/>
                <w:color w:val="auto"/>
                <w:u w:val="none"/>
              </w:rPr>
              <w:t>③监测记录信息（主要污染排放口废气排放记录（手工监测和在线监测）等）；</w:t>
            </w:r>
          </w:p>
          <w:p w14:paraId="110D863A">
            <w:pPr>
              <w:pStyle w:val="182"/>
              <w:spacing w:line="240" w:lineRule="auto"/>
              <w:ind w:firstLine="0" w:firstLineChars="0"/>
              <w:jc w:val="left"/>
              <w:rPr>
                <w:rFonts w:hint="eastAsia"/>
                <w:b w:val="0"/>
                <w:bCs w:val="0"/>
                <w:color w:val="auto"/>
                <w:u w:val="none"/>
              </w:rPr>
            </w:pPr>
            <w:r>
              <w:rPr>
                <w:rFonts w:hint="eastAsia"/>
                <w:b w:val="0"/>
                <w:bCs w:val="0"/>
                <w:color w:val="auto"/>
                <w:u w:val="none"/>
              </w:rPr>
              <w:t>④主要原辅材料、燃料消耗记录（A、B 级企业必需）；</w:t>
            </w:r>
          </w:p>
          <w:p w14:paraId="6C99C010">
            <w:pPr>
              <w:pStyle w:val="182"/>
              <w:spacing w:line="240" w:lineRule="auto"/>
              <w:ind w:firstLine="0" w:firstLineChars="0"/>
              <w:jc w:val="left"/>
              <w:rPr>
                <w:rFonts w:hint="eastAsia"/>
                <w:b w:val="0"/>
                <w:bCs w:val="0"/>
                <w:color w:val="auto"/>
                <w:u w:val="none"/>
              </w:rPr>
            </w:pPr>
            <w:r>
              <w:rPr>
                <w:rFonts w:hint="eastAsia"/>
                <w:b w:val="0"/>
                <w:bCs w:val="0"/>
                <w:color w:val="auto"/>
                <w:u w:val="none"/>
              </w:rPr>
              <w:t>⑤电消耗记录（已安装用电监管设备的A、B级企业必需）。</w:t>
            </w:r>
          </w:p>
        </w:tc>
        <w:tc>
          <w:tcPr>
            <w:tcW w:w="2787" w:type="dxa"/>
            <w:noWrap w:val="0"/>
            <w:vAlign w:val="center"/>
          </w:tcPr>
          <w:p w14:paraId="7E7ABABF">
            <w:pPr>
              <w:pStyle w:val="182"/>
              <w:spacing w:line="240" w:lineRule="auto"/>
              <w:ind w:firstLine="0" w:firstLineChars="0"/>
              <w:jc w:val="left"/>
              <w:rPr>
                <w:rFonts w:hint="eastAsia"/>
                <w:b w:val="0"/>
                <w:bCs w:val="0"/>
                <w:color w:val="auto"/>
                <w:u w:val="none"/>
              </w:rPr>
            </w:pPr>
            <w:r>
              <w:rPr>
                <w:rFonts w:hint="eastAsia"/>
                <w:b w:val="0"/>
                <w:bCs w:val="0"/>
                <w:color w:val="auto"/>
                <w:u w:val="none"/>
              </w:rPr>
              <w:t>台账记录：①生产设施运行管理信息；</w:t>
            </w:r>
          </w:p>
          <w:p w14:paraId="4278618E">
            <w:pPr>
              <w:pStyle w:val="182"/>
              <w:spacing w:line="240" w:lineRule="auto"/>
              <w:ind w:firstLine="0" w:firstLineChars="0"/>
              <w:jc w:val="left"/>
              <w:rPr>
                <w:rFonts w:hint="eastAsia"/>
                <w:b w:val="0"/>
                <w:bCs w:val="0"/>
                <w:color w:val="auto"/>
                <w:u w:val="none"/>
              </w:rPr>
            </w:pPr>
            <w:r>
              <w:rPr>
                <w:rFonts w:hint="eastAsia"/>
                <w:b w:val="0"/>
                <w:bCs w:val="0"/>
                <w:color w:val="auto"/>
                <w:u w:val="none"/>
              </w:rPr>
              <w:t>②废气污染治理设施运行管理信息；</w:t>
            </w:r>
          </w:p>
          <w:p w14:paraId="1806CB6B">
            <w:pPr>
              <w:pStyle w:val="182"/>
              <w:spacing w:line="240" w:lineRule="auto"/>
              <w:ind w:firstLine="0" w:firstLineChars="0"/>
              <w:jc w:val="left"/>
              <w:rPr>
                <w:rFonts w:hint="eastAsia"/>
                <w:b w:val="0"/>
                <w:bCs w:val="0"/>
                <w:color w:val="auto"/>
                <w:u w:val="none"/>
              </w:rPr>
            </w:pPr>
            <w:r>
              <w:rPr>
                <w:rFonts w:hint="eastAsia"/>
                <w:b w:val="0"/>
                <w:bCs w:val="0"/>
                <w:color w:val="auto"/>
                <w:u w:val="none"/>
              </w:rPr>
              <w:t>③监测记录信息；</w:t>
            </w:r>
          </w:p>
          <w:p w14:paraId="711F9D8C">
            <w:pPr>
              <w:pStyle w:val="182"/>
              <w:spacing w:line="240" w:lineRule="auto"/>
              <w:ind w:firstLine="0" w:firstLineChars="0"/>
              <w:jc w:val="left"/>
              <w:rPr>
                <w:rFonts w:hint="eastAsia"/>
                <w:b w:val="0"/>
                <w:bCs w:val="0"/>
                <w:color w:val="auto"/>
                <w:u w:val="none"/>
              </w:rPr>
            </w:pPr>
            <w:r>
              <w:rPr>
                <w:rFonts w:hint="eastAsia"/>
                <w:b w:val="0"/>
                <w:bCs w:val="0"/>
                <w:color w:val="auto"/>
                <w:u w:val="none"/>
              </w:rPr>
              <w:t>④主要原辅材料消耗记录；</w:t>
            </w:r>
          </w:p>
          <w:p w14:paraId="7295C8DB">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⑤燃料消耗</w:t>
            </w:r>
            <w:r>
              <w:rPr>
                <w:rFonts w:hint="eastAsia"/>
                <w:b w:val="0"/>
                <w:bCs w:val="0"/>
                <w:color w:val="auto"/>
                <w:u w:val="none"/>
                <w:lang w:eastAsia="zh-CN"/>
              </w:rPr>
              <w:t>和</w:t>
            </w:r>
            <w:r>
              <w:rPr>
                <w:rFonts w:hint="eastAsia"/>
                <w:b w:val="0"/>
                <w:bCs w:val="0"/>
                <w:color w:val="auto"/>
                <w:u w:val="none"/>
              </w:rPr>
              <w:t>电消耗记录。</w:t>
            </w:r>
          </w:p>
        </w:tc>
        <w:tc>
          <w:tcPr>
            <w:tcW w:w="1013" w:type="dxa"/>
            <w:noWrap w:val="0"/>
            <w:vAlign w:val="center"/>
          </w:tcPr>
          <w:p w14:paraId="2AC62214">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208BD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14:paraId="2B87F511">
            <w:pPr>
              <w:pStyle w:val="182"/>
              <w:spacing w:line="240" w:lineRule="auto"/>
              <w:ind w:firstLine="0" w:firstLineChars="0"/>
              <w:jc w:val="center"/>
              <w:rPr>
                <w:rFonts w:hint="eastAsia"/>
                <w:b w:val="0"/>
                <w:bCs w:val="0"/>
                <w:color w:val="auto"/>
                <w:u w:val="none"/>
              </w:rPr>
            </w:pPr>
          </w:p>
        </w:tc>
        <w:tc>
          <w:tcPr>
            <w:tcW w:w="4811" w:type="dxa"/>
            <w:noWrap w:val="0"/>
            <w:vAlign w:val="center"/>
          </w:tcPr>
          <w:p w14:paraId="7DBE0866">
            <w:pPr>
              <w:pStyle w:val="182"/>
              <w:spacing w:line="240" w:lineRule="auto"/>
              <w:ind w:firstLine="0" w:firstLineChars="0"/>
              <w:jc w:val="left"/>
              <w:rPr>
                <w:rFonts w:hint="eastAsia"/>
                <w:b w:val="0"/>
                <w:bCs w:val="0"/>
                <w:color w:val="auto"/>
                <w:u w:val="none"/>
              </w:rPr>
            </w:pPr>
            <w:r>
              <w:rPr>
                <w:rFonts w:hint="eastAsia"/>
                <w:b w:val="0"/>
                <w:bCs w:val="0"/>
                <w:color w:val="auto"/>
                <w:u w:val="none"/>
              </w:rPr>
              <w:t>3、人员配置：配置专职环保人员，并具备相应的环境管理能力（学历、培训、从业经验等）；</w:t>
            </w:r>
          </w:p>
        </w:tc>
        <w:tc>
          <w:tcPr>
            <w:tcW w:w="2787" w:type="dxa"/>
            <w:noWrap w:val="0"/>
            <w:vAlign w:val="center"/>
          </w:tcPr>
          <w:p w14:paraId="4D0888F5">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配置专职环保人员，并具备相应的环境管理能力</w:t>
            </w:r>
          </w:p>
        </w:tc>
        <w:tc>
          <w:tcPr>
            <w:tcW w:w="1013" w:type="dxa"/>
            <w:noWrap w:val="0"/>
            <w:vAlign w:val="center"/>
          </w:tcPr>
          <w:p w14:paraId="569DBA67">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16445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restart"/>
            <w:noWrap w:val="0"/>
            <w:vAlign w:val="center"/>
          </w:tcPr>
          <w:p w14:paraId="6F6D6EFC">
            <w:pPr>
              <w:pStyle w:val="182"/>
              <w:spacing w:line="240" w:lineRule="auto"/>
              <w:ind w:firstLine="0" w:firstLineChars="0"/>
              <w:jc w:val="center"/>
              <w:rPr>
                <w:rFonts w:hint="eastAsia"/>
                <w:b w:val="0"/>
                <w:bCs w:val="0"/>
                <w:color w:val="auto"/>
                <w:u w:val="none"/>
              </w:rPr>
            </w:pPr>
            <w:r>
              <w:rPr>
                <w:rFonts w:hint="eastAsia"/>
                <w:b w:val="0"/>
                <w:bCs w:val="0"/>
                <w:color w:val="auto"/>
                <w:u w:val="none"/>
              </w:rPr>
              <w:t>其他控制要求</w:t>
            </w:r>
          </w:p>
        </w:tc>
        <w:tc>
          <w:tcPr>
            <w:tcW w:w="4811" w:type="dxa"/>
            <w:noWrap w:val="0"/>
            <w:vAlign w:val="center"/>
          </w:tcPr>
          <w:p w14:paraId="6B290FF8">
            <w:pPr>
              <w:pStyle w:val="182"/>
              <w:spacing w:line="240" w:lineRule="auto"/>
              <w:ind w:firstLine="0" w:firstLineChars="0"/>
              <w:jc w:val="left"/>
              <w:rPr>
                <w:rFonts w:hint="eastAsia"/>
                <w:b w:val="0"/>
                <w:bCs w:val="0"/>
                <w:color w:val="auto"/>
                <w:u w:val="none"/>
              </w:rPr>
            </w:pPr>
            <w:r>
              <w:rPr>
                <w:rFonts w:hint="eastAsia"/>
                <w:b w:val="0"/>
                <w:bCs w:val="0"/>
                <w:color w:val="auto"/>
                <w:u w:val="none"/>
              </w:rPr>
              <w:t>（1）生产工艺和装备</w:t>
            </w:r>
          </w:p>
          <w:p w14:paraId="519F0BCE">
            <w:pPr>
              <w:pStyle w:val="182"/>
              <w:spacing w:line="240" w:lineRule="auto"/>
              <w:ind w:firstLine="0" w:firstLineChars="0"/>
              <w:jc w:val="left"/>
              <w:rPr>
                <w:rFonts w:hint="eastAsia"/>
                <w:b w:val="0"/>
                <w:bCs w:val="0"/>
                <w:color w:val="auto"/>
                <w:u w:val="none"/>
              </w:rPr>
            </w:pPr>
            <w:r>
              <w:rPr>
                <w:rFonts w:hint="eastAsia"/>
                <w:b w:val="0"/>
                <w:bCs w:val="0"/>
                <w:color w:val="auto"/>
                <w:u w:val="none"/>
              </w:rPr>
              <w:t>不属于《产业结构调整指导目录（2019年版）》淘汰类，</w:t>
            </w:r>
          </w:p>
          <w:p w14:paraId="2767C081">
            <w:pPr>
              <w:pStyle w:val="182"/>
              <w:spacing w:line="240" w:lineRule="auto"/>
              <w:ind w:firstLine="0" w:firstLineChars="0"/>
              <w:jc w:val="left"/>
              <w:rPr>
                <w:rFonts w:hint="eastAsia"/>
                <w:b w:val="0"/>
                <w:bCs w:val="0"/>
                <w:color w:val="auto"/>
                <w:u w:val="none"/>
              </w:rPr>
            </w:pPr>
            <w:r>
              <w:rPr>
                <w:rFonts w:hint="eastAsia"/>
                <w:b w:val="0"/>
                <w:bCs w:val="0"/>
                <w:color w:val="auto"/>
                <w:u w:val="none"/>
              </w:rPr>
              <w:t>不属于省级和市级政府部门明确列入已经限期淘汰类项目。</w:t>
            </w:r>
          </w:p>
        </w:tc>
        <w:tc>
          <w:tcPr>
            <w:tcW w:w="2787" w:type="dxa"/>
            <w:noWrap w:val="0"/>
            <w:vAlign w:val="center"/>
          </w:tcPr>
          <w:p w14:paraId="06495C9A">
            <w:pPr>
              <w:pStyle w:val="182"/>
              <w:spacing w:line="240" w:lineRule="auto"/>
              <w:ind w:firstLine="0" w:firstLineChars="0"/>
              <w:jc w:val="left"/>
              <w:rPr>
                <w:rFonts w:hint="eastAsia"/>
                <w:b w:val="0"/>
                <w:bCs w:val="0"/>
                <w:color w:val="auto"/>
                <w:u w:val="none"/>
              </w:rPr>
            </w:pPr>
            <w:r>
              <w:rPr>
                <w:rFonts w:hint="eastAsia"/>
                <w:b w:val="0"/>
                <w:bCs w:val="0"/>
                <w:color w:val="auto"/>
                <w:u w:val="none"/>
              </w:rPr>
              <w:t>本项目原料、生产工艺、设备等均不属于《产业结构调整指导目录》（20</w:t>
            </w:r>
            <w:r>
              <w:rPr>
                <w:rFonts w:hint="eastAsia"/>
                <w:b w:val="0"/>
                <w:bCs w:val="0"/>
                <w:color w:val="auto"/>
                <w:u w:val="none"/>
                <w:lang w:val="en-US" w:eastAsia="zh-CN"/>
              </w:rPr>
              <w:t>24</w:t>
            </w:r>
            <w:r>
              <w:rPr>
                <w:rFonts w:hint="eastAsia"/>
                <w:b w:val="0"/>
                <w:bCs w:val="0"/>
                <w:color w:val="auto"/>
                <w:u w:val="none"/>
              </w:rPr>
              <w:t>年本）目录中的限制类和淘汰类，为</w:t>
            </w:r>
            <w:r>
              <w:rPr>
                <w:rFonts w:hint="eastAsia"/>
                <w:b w:val="0"/>
                <w:bCs w:val="0"/>
                <w:color w:val="auto"/>
                <w:u w:val="none"/>
                <w:lang w:val="en-US" w:eastAsia="zh-CN"/>
              </w:rPr>
              <w:t>允许</w:t>
            </w:r>
            <w:r>
              <w:rPr>
                <w:rFonts w:hint="eastAsia"/>
                <w:b w:val="0"/>
                <w:bCs w:val="0"/>
                <w:color w:val="auto"/>
                <w:u w:val="none"/>
              </w:rPr>
              <w:t>类，符合国家产业政策。</w:t>
            </w:r>
          </w:p>
        </w:tc>
        <w:tc>
          <w:tcPr>
            <w:tcW w:w="1013" w:type="dxa"/>
            <w:noWrap w:val="0"/>
            <w:vAlign w:val="center"/>
          </w:tcPr>
          <w:p w14:paraId="6D5035C1">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6DEDA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14:paraId="1C55E3D8">
            <w:pPr>
              <w:pStyle w:val="182"/>
              <w:spacing w:line="240" w:lineRule="auto"/>
              <w:ind w:firstLine="0" w:firstLineChars="0"/>
              <w:jc w:val="center"/>
              <w:rPr>
                <w:rFonts w:hint="eastAsia"/>
                <w:b w:val="0"/>
                <w:bCs w:val="0"/>
                <w:color w:val="auto"/>
                <w:u w:val="none"/>
              </w:rPr>
            </w:pPr>
          </w:p>
        </w:tc>
        <w:tc>
          <w:tcPr>
            <w:tcW w:w="4811" w:type="dxa"/>
            <w:noWrap w:val="0"/>
            <w:vAlign w:val="center"/>
          </w:tcPr>
          <w:p w14:paraId="1915D205">
            <w:pPr>
              <w:pStyle w:val="182"/>
              <w:spacing w:line="240" w:lineRule="auto"/>
              <w:ind w:firstLine="0" w:firstLineChars="0"/>
              <w:jc w:val="left"/>
              <w:rPr>
                <w:rFonts w:hint="eastAsia"/>
                <w:b w:val="0"/>
                <w:bCs w:val="0"/>
                <w:color w:val="auto"/>
                <w:u w:val="none"/>
              </w:rPr>
            </w:pPr>
            <w:r>
              <w:rPr>
                <w:rFonts w:hint="eastAsia"/>
                <w:b w:val="0"/>
                <w:bCs w:val="0"/>
                <w:color w:val="auto"/>
                <w:u w:val="none"/>
              </w:rPr>
              <w:t>（2）污染治理副产物除尘器应设置密闭灰仓并及时卸灰，除尘灰应通过气力输送、罐车、袋子等封闭方式卸灰，不得直接卸落到地面。除尘灰如果转运应采用气力输送、封闭传送带方式，如果直接外运应采用罐车或袋装后运输，并在装车过程中采取抑尘措施，除尘灰在厂区内应密闭/封闭储存；脱硫石膏和脱硫废渣等固体废物在转运过程中应采取抑尘措施并应封闭储存</w:t>
            </w:r>
          </w:p>
        </w:tc>
        <w:tc>
          <w:tcPr>
            <w:tcW w:w="2787" w:type="dxa"/>
            <w:noWrap w:val="0"/>
            <w:vAlign w:val="center"/>
          </w:tcPr>
          <w:p w14:paraId="62DA9F67">
            <w:pPr>
              <w:pStyle w:val="182"/>
              <w:spacing w:line="240" w:lineRule="auto"/>
              <w:ind w:firstLine="0" w:firstLineChars="0"/>
              <w:jc w:val="left"/>
              <w:rPr>
                <w:rFonts w:hint="eastAsia"/>
                <w:b w:val="0"/>
                <w:bCs w:val="0"/>
                <w:color w:val="auto"/>
                <w:u w:val="none"/>
              </w:rPr>
            </w:pPr>
            <w:r>
              <w:rPr>
                <w:rFonts w:hint="eastAsia"/>
                <w:b w:val="0"/>
                <w:bCs w:val="0"/>
                <w:color w:val="auto"/>
                <w:u w:val="none"/>
                <w:lang w:eastAsia="zh-CN"/>
              </w:rPr>
              <w:t>袋式除尘器收集的收尘灰在除尘器灰仓内暂存，通过</w:t>
            </w:r>
            <w:r>
              <w:rPr>
                <w:rFonts w:hint="eastAsia"/>
                <w:b w:val="0"/>
                <w:bCs w:val="0"/>
                <w:color w:val="auto"/>
                <w:u w:val="none"/>
              </w:rPr>
              <w:t>袋子封闭卸灰，</w:t>
            </w:r>
            <w:r>
              <w:rPr>
                <w:rFonts w:hint="eastAsia"/>
                <w:b w:val="0"/>
                <w:bCs w:val="0"/>
                <w:color w:val="auto"/>
                <w:u w:val="none"/>
                <w:lang w:eastAsia="zh-CN"/>
              </w:rPr>
              <w:t>除尘器内收集的粉尘回用于生产</w:t>
            </w:r>
            <w:r>
              <w:rPr>
                <w:rFonts w:hint="eastAsia"/>
                <w:b w:val="0"/>
                <w:bCs w:val="0"/>
                <w:color w:val="auto"/>
                <w:u w:val="none"/>
              </w:rPr>
              <w:t>；</w:t>
            </w:r>
          </w:p>
        </w:tc>
        <w:tc>
          <w:tcPr>
            <w:tcW w:w="1013" w:type="dxa"/>
            <w:noWrap w:val="0"/>
            <w:vAlign w:val="center"/>
          </w:tcPr>
          <w:p w14:paraId="18866085">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4E3EA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14:paraId="5D15CF75">
            <w:pPr>
              <w:pStyle w:val="182"/>
              <w:spacing w:line="240" w:lineRule="auto"/>
              <w:ind w:firstLine="0" w:firstLineChars="0"/>
              <w:jc w:val="center"/>
              <w:rPr>
                <w:rFonts w:hint="eastAsia"/>
                <w:b w:val="0"/>
                <w:bCs w:val="0"/>
                <w:color w:val="auto"/>
                <w:u w:val="none"/>
              </w:rPr>
            </w:pPr>
          </w:p>
        </w:tc>
        <w:tc>
          <w:tcPr>
            <w:tcW w:w="4811" w:type="dxa"/>
            <w:noWrap w:val="0"/>
            <w:vAlign w:val="center"/>
          </w:tcPr>
          <w:p w14:paraId="72EA4F76">
            <w:pPr>
              <w:pStyle w:val="182"/>
              <w:spacing w:line="240" w:lineRule="auto"/>
              <w:ind w:firstLine="0" w:firstLineChars="0"/>
              <w:jc w:val="left"/>
              <w:rPr>
                <w:rFonts w:hint="eastAsia"/>
                <w:b w:val="0"/>
                <w:bCs w:val="0"/>
                <w:color w:val="auto"/>
                <w:u w:val="none"/>
              </w:rPr>
            </w:pPr>
            <w:r>
              <w:rPr>
                <w:rFonts w:hint="eastAsia"/>
                <w:b w:val="0"/>
                <w:bCs w:val="0"/>
                <w:color w:val="auto"/>
                <w:u w:val="none"/>
              </w:rPr>
              <w:t>（3）用电量/视频监管</w:t>
            </w:r>
          </w:p>
          <w:p w14:paraId="595C137C">
            <w:pPr>
              <w:pStyle w:val="182"/>
              <w:spacing w:line="240" w:lineRule="auto"/>
              <w:ind w:firstLine="0" w:firstLineChars="0"/>
              <w:jc w:val="left"/>
              <w:rPr>
                <w:rFonts w:hint="eastAsia"/>
                <w:b w:val="0"/>
                <w:bCs w:val="0"/>
                <w:color w:val="auto"/>
                <w:u w:val="none"/>
              </w:rPr>
            </w:pPr>
            <w:r>
              <w:rPr>
                <w:rFonts w:hint="eastAsia"/>
                <w:b w:val="0"/>
                <w:bCs w:val="0"/>
                <w:color w:val="auto"/>
                <w:u w:val="none"/>
              </w:rPr>
              <w:t>按照《河南省涉气排污单位污染治理设施用电监管技术指南（试行）》要求安装用电监管设备（有自动在线监控系统的企业除外），用电监管数据直接上传至省、市生态环境部门的污染治理设施用电监管平台服务器；未安装自动在线监控和用电量监管拟申报A、B级企业，应在主要生产设备（投料口、卸料口等位置）安装视频监控设施，相关数据保存三个月以上</w:t>
            </w:r>
          </w:p>
        </w:tc>
        <w:tc>
          <w:tcPr>
            <w:tcW w:w="2787" w:type="dxa"/>
            <w:noWrap w:val="0"/>
            <w:vAlign w:val="center"/>
          </w:tcPr>
          <w:p w14:paraId="42C6CB0E">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安装用电监管设备</w:t>
            </w:r>
            <w:r>
              <w:rPr>
                <w:rFonts w:hint="eastAsia"/>
                <w:b w:val="0"/>
                <w:bCs w:val="0"/>
                <w:color w:val="auto"/>
                <w:u w:val="none"/>
                <w:lang w:eastAsia="zh-CN"/>
              </w:rPr>
              <w:t>，</w:t>
            </w:r>
            <w:r>
              <w:rPr>
                <w:rFonts w:hint="eastAsia"/>
                <w:b w:val="0"/>
                <w:bCs w:val="0"/>
                <w:color w:val="auto"/>
                <w:u w:val="none"/>
              </w:rPr>
              <w:t>用电监管数据直接上传至省、市生态环境部门的污染治理设施用电监管平台服务器</w:t>
            </w:r>
            <w:r>
              <w:rPr>
                <w:rFonts w:hint="eastAsia"/>
                <w:b w:val="0"/>
                <w:bCs w:val="0"/>
                <w:color w:val="auto"/>
                <w:u w:val="none"/>
                <w:lang w:eastAsia="zh-CN"/>
              </w:rPr>
              <w:t>；</w:t>
            </w:r>
            <w:r>
              <w:rPr>
                <w:rFonts w:hint="eastAsia"/>
                <w:b w:val="0"/>
                <w:bCs w:val="0"/>
                <w:color w:val="auto"/>
                <w:u w:val="none"/>
              </w:rPr>
              <w:t>有自动在线监控系统</w:t>
            </w:r>
            <w:r>
              <w:rPr>
                <w:rFonts w:hint="eastAsia"/>
                <w:b w:val="0"/>
                <w:bCs w:val="0"/>
                <w:color w:val="auto"/>
                <w:u w:val="none"/>
                <w:lang w:eastAsia="zh-CN"/>
              </w:rPr>
              <w:t>，并与市局联网</w:t>
            </w:r>
          </w:p>
        </w:tc>
        <w:tc>
          <w:tcPr>
            <w:tcW w:w="1013" w:type="dxa"/>
            <w:noWrap w:val="0"/>
            <w:vAlign w:val="center"/>
          </w:tcPr>
          <w:p w14:paraId="38BDBBAF">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1F8FA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8" w:type="dxa"/>
            <w:vMerge w:val="continue"/>
            <w:noWrap w:val="0"/>
            <w:vAlign w:val="center"/>
          </w:tcPr>
          <w:p w14:paraId="7D8FC7C4">
            <w:pPr>
              <w:pStyle w:val="182"/>
              <w:spacing w:line="240" w:lineRule="auto"/>
              <w:ind w:firstLine="0" w:firstLineChars="0"/>
              <w:jc w:val="center"/>
              <w:rPr>
                <w:rFonts w:hint="eastAsia"/>
                <w:b w:val="0"/>
                <w:bCs w:val="0"/>
                <w:color w:val="auto"/>
                <w:u w:val="none"/>
              </w:rPr>
            </w:pPr>
          </w:p>
        </w:tc>
        <w:tc>
          <w:tcPr>
            <w:tcW w:w="4811" w:type="dxa"/>
            <w:noWrap w:val="0"/>
            <w:vAlign w:val="center"/>
          </w:tcPr>
          <w:p w14:paraId="4B04CAC3">
            <w:pPr>
              <w:pStyle w:val="182"/>
              <w:spacing w:line="240" w:lineRule="auto"/>
              <w:ind w:firstLine="0" w:firstLineChars="0"/>
              <w:jc w:val="left"/>
              <w:rPr>
                <w:rFonts w:hint="eastAsia"/>
                <w:b w:val="0"/>
                <w:bCs w:val="0"/>
                <w:color w:val="auto"/>
                <w:u w:val="none"/>
              </w:rPr>
            </w:pPr>
            <w:r>
              <w:rPr>
                <w:rFonts w:hint="eastAsia"/>
                <w:b w:val="0"/>
                <w:bCs w:val="0"/>
                <w:color w:val="auto"/>
                <w:u w:val="none"/>
              </w:rPr>
              <w:t>（4）厂容厂貌</w:t>
            </w:r>
          </w:p>
          <w:p w14:paraId="0C690DD3">
            <w:pPr>
              <w:pStyle w:val="182"/>
              <w:spacing w:line="240" w:lineRule="auto"/>
              <w:ind w:firstLine="0" w:firstLineChars="0"/>
              <w:jc w:val="left"/>
              <w:rPr>
                <w:rFonts w:hint="eastAsia"/>
                <w:b w:val="0"/>
                <w:bCs w:val="0"/>
                <w:color w:val="auto"/>
                <w:u w:val="none"/>
              </w:rPr>
            </w:pPr>
            <w:r>
              <w:rPr>
                <w:rFonts w:hint="eastAsia"/>
                <w:b w:val="0"/>
                <w:bCs w:val="0"/>
                <w:color w:val="auto"/>
                <w:u w:val="none"/>
              </w:rPr>
              <w:t>厂区内道路、原辅材料和燃料堆场等路面应硬化。厂区内道路采取定期清扫、洒水等措施，保持清洁，路面无明显可见积尘。其他未利用地优先绿化，或进行硬化，无成片裸露土地。</w:t>
            </w:r>
          </w:p>
        </w:tc>
        <w:tc>
          <w:tcPr>
            <w:tcW w:w="2787" w:type="dxa"/>
            <w:noWrap w:val="0"/>
            <w:vAlign w:val="center"/>
          </w:tcPr>
          <w:p w14:paraId="481C3582">
            <w:pPr>
              <w:pStyle w:val="182"/>
              <w:spacing w:line="240" w:lineRule="auto"/>
              <w:ind w:firstLine="0" w:firstLineChars="0"/>
              <w:jc w:val="left"/>
              <w:rPr>
                <w:rFonts w:hint="eastAsia"/>
                <w:b w:val="0"/>
                <w:bCs w:val="0"/>
                <w:color w:val="auto"/>
                <w:u w:val="none"/>
              </w:rPr>
            </w:pPr>
            <w:r>
              <w:rPr>
                <w:rFonts w:hint="eastAsia"/>
                <w:b w:val="0"/>
                <w:bCs w:val="0"/>
                <w:color w:val="auto"/>
                <w:u w:val="none"/>
              </w:rPr>
              <w:t>厂区内道路、原辅材料和燃料堆场等路面应硬化。厂区内道路采取定期清扫、洒水等措施，保持清洁，路面无明显可见积尘。其他未利用地优先绿化，或进行硬化，无成片裸露土地。</w:t>
            </w:r>
          </w:p>
        </w:tc>
        <w:tc>
          <w:tcPr>
            <w:tcW w:w="1013" w:type="dxa"/>
            <w:noWrap w:val="0"/>
            <w:vAlign w:val="center"/>
          </w:tcPr>
          <w:p w14:paraId="3CE3DA5D">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bl>
    <w:p w14:paraId="7EA067DE">
      <w:pPr>
        <w:pStyle w:val="10"/>
        <w:bidi w:val="0"/>
        <w:rPr>
          <w:lang w:val="en-US" w:eastAsia="zh-CN"/>
        </w:rPr>
      </w:pPr>
      <w:r>
        <w:t xml:space="preserve">表 </w:t>
      </w:r>
      <w:r>
        <w:fldChar w:fldCharType="begin"/>
      </w:r>
      <w:r>
        <w:instrText xml:space="preserve"> STYLEREF 2 \s </w:instrText>
      </w:r>
      <w:r>
        <w:fldChar w:fldCharType="separate"/>
      </w:r>
      <w:r>
        <w:t>2.10</w:t>
      </w:r>
      <w:r>
        <w:fldChar w:fldCharType="end"/>
      </w:r>
      <w:r>
        <w:rPr>
          <w:rFonts w:hint="eastAsia"/>
          <w:lang w:eastAsia="zh-CN"/>
        </w:rPr>
        <w:t>-</w:t>
      </w:r>
      <w:r>
        <w:fldChar w:fldCharType="begin"/>
      </w:r>
      <w:r>
        <w:instrText xml:space="preserve"> SEQ 表 \* ARABIC \s 2 </w:instrText>
      </w:r>
      <w:r>
        <w:fldChar w:fldCharType="separate"/>
      </w:r>
      <w:r>
        <w:t>3</w:t>
      </w:r>
      <w:r>
        <w:fldChar w:fldCharType="end"/>
      </w:r>
      <w:r>
        <w:rPr>
          <w:rFonts w:hint="eastAsia"/>
          <w:lang w:val="en-US" w:eastAsia="zh-CN"/>
        </w:rPr>
        <w:t xml:space="preserve"> </w:t>
      </w:r>
      <w:r>
        <w:rPr>
          <w:lang w:val="en-US" w:eastAsia="zh-CN"/>
        </w:rPr>
        <w:t xml:space="preserve"> </w:t>
      </w:r>
      <w:r>
        <w:rPr>
          <w:rFonts w:hint="eastAsia"/>
          <w:lang w:val="en-US" w:eastAsia="zh-CN"/>
        </w:rPr>
        <w:t>涉锅炉/炉窑企业绩效分级（B级）</w:t>
      </w:r>
      <w:r>
        <w:rPr>
          <w:lang w:val="en-US" w:eastAsia="zh-CN"/>
        </w:rPr>
        <w:t>对标总表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9"/>
        <w:gridCol w:w="3862"/>
        <w:gridCol w:w="2906"/>
        <w:gridCol w:w="895"/>
      </w:tblGrid>
      <w:tr w14:paraId="6C809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blHeader/>
          <w:jc w:val="center"/>
        </w:trPr>
        <w:tc>
          <w:tcPr>
            <w:tcW w:w="908" w:type="dxa"/>
            <w:noWrap w:val="0"/>
            <w:vAlign w:val="center"/>
          </w:tcPr>
          <w:p w14:paraId="68AFC04D">
            <w:pPr>
              <w:pStyle w:val="182"/>
              <w:spacing w:line="240" w:lineRule="auto"/>
              <w:ind w:firstLine="0" w:firstLineChars="0"/>
              <w:jc w:val="center"/>
              <w:rPr>
                <w:b/>
                <w:bCs/>
                <w:color w:val="auto"/>
                <w:u w:val="none"/>
              </w:rPr>
            </w:pPr>
            <w:r>
              <w:rPr>
                <w:rFonts w:hint="eastAsia"/>
                <w:b/>
                <w:bCs/>
                <w:color w:val="auto"/>
                <w:u w:val="none"/>
                <w:lang w:eastAsia="zh-CN"/>
              </w:rPr>
              <w:t>差异化</w:t>
            </w:r>
            <w:r>
              <w:rPr>
                <w:b/>
                <w:bCs/>
                <w:color w:val="auto"/>
                <w:u w:val="none"/>
              </w:rPr>
              <w:t>指标</w:t>
            </w:r>
          </w:p>
        </w:tc>
        <w:tc>
          <w:tcPr>
            <w:tcW w:w="4080" w:type="dxa"/>
            <w:noWrap w:val="0"/>
            <w:vAlign w:val="center"/>
          </w:tcPr>
          <w:p w14:paraId="37BEEC38">
            <w:pPr>
              <w:pStyle w:val="182"/>
              <w:spacing w:line="240" w:lineRule="auto"/>
              <w:ind w:firstLine="0" w:firstLineChars="0"/>
              <w:jc w:val="left"/>
              <w:rPr>
                <w:b/>
                <w:bCs/>
                <w:color w:val="auto"/>
                <w:u w:val="none"/>
              </w:rPr>
            </w:pPr>
            <w:r>
              <w:rPr>
                <w:rFonts w:hint="eastAsia"/>
                <w:b/>
                <w:bCs/>
                <w:color w:val="auto"/>
                <w:u w:val="none"/>
                <w:lang w:val="en-US" w:eastAsia="zh-CN"/>
              </w:rPr>
              <w:t>B</w:t>
            </w:r>
            <w:r>
              <w:rPr>
                <w:b/>
                <w:bCs/>
                <w:color w:val="auto"/>
                <w:u w:val="none"/>
              </w:rPr>
              <w:t>级绩效分级指标要求</w:t>
            </w:r>
          </w:p>
        </w:tc>
        <w:tc>
          <w:tcPr>
            <w:tcW w:w="3070" w:type="dxa"/>
            <w:noWrap w:val="0"/>
            <w:vAlign w:val="center"/>
          </w:tcPr>
          <w:p w14:paraId="5653A6E9">
            <w:pPr>
              <w:pStyle w:val="182"/>
              <w:spacing w:line="240" w:lineRule="auto"/>
              <w:ind w:firstLine="0" w:firstLineChars="0"/>
              <w:jc w:val="left"/>
              <w:rPr>
                <w:b/>
                <w:bCs/>
                <w:color w:val="auto"/>
                <w:u w:val="none"/>
              </w:rPr>
            </w:pPr>
            <w:r>
              <w:rPr>
                <w:b/>
                <w:bCs/>
                <w:color w:val="auto"/>
                <w:u w:val="none"/>
              </w:rPr>
              <w:t>企业对标情况</w:t>
            </w:r>
          </w:p>
        </w:tc>
        <w:tc>
          <w:tcPr>
            <w:tcW w:w="945" w:type="dxa"/>
            <w:noWrap w:val="0"/>
            <w:vAlign w:val="center"/>
          </w:tcPr>
          <w:p w14:paraId="2CD8ED1B">
            <w:pPr>
              <w:pStyle w:val="182"/>
              <w:spacing w:line="240" w:lineRule="auto"/>
              <w:ind w:firstLine="0" w:firstLineChars="0"/>
              <w:jc w:val="center"/>
              <w:rPr>
                <w:rFonts w:hint="default"/>
                <w:b/>
                <w:bCs/>
                <w:color w:val="auto"/>
                <w:u w:val="none"/>
              </w:rPr>
            </w:pPr>
            <w:r>
              <w:rPr>
                <w:rFonts w:hint="eastAsia"/>
                <w:b/>
                <w:bCs/>
                <w:color w:val="auto"/>
                <w:u w:val="none"/>
                <w:lang w:val="en-US" w:eastAsia="zh-CN"/>
              </w:rPr>
              <w:t>是否满足绩效要求</w:t>
            </w:r>
          </w:p>
        </w:tc>
      </w:tr>
      <w:tr w14:paraId="41E58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08" w:type="dxa"/>
            <w:noWrap w:val="0"/>
            <w:vAlign w:val="center"/>
          </w:tcPr>
          <w:p w14:paraId="69CE18CB">
            <w:pPr>
              <w:pStyle w:val="182"/>
              <w:spacing w:line="240" w:lineRule="auto"/>
              <w:ind w:firstLine="0" w:firstLineChars="0"/>
              <w:jc w:val="center"/>
              <w:rPr>
                <w:rFonts w:hint="eastAsia"/>
                <w:b w:val="0"/>
                <w:bCs w:val="0"/>
                <w:color w:val="auto"/>
                <w:u w:val="none"/>
              </w:rPr>
            </w:pPr>
            <w:r>
              <w:rPr>
                <w:rFonts w:hint="eastAsia"/>
                <w:b w:val="0"/>
                <w:bCs w:val="0"/>
                <w:color w:val="auto"/>
                <w:u w:val="none"/>
              </w:rPr>
              <w:t>能源类型</w:t>
            </w:r>
          </w:p>
        </w:tc>
        <w:tc>
          <w:tcPr>
            <w:tcW w:w="4080" w:type="dxa"/>
            <w:noWrap w:val="0"/>
            <w:vAlign w:val="center"/>
          </w:tcPr>
          <w:p w14:paraId="0063EE21">
            <w:pPr>
              <w:pStyle w:val="182"/>
              <w:spacing w:line="240" w:lineRule="auto"/>
              <w:ind w:firstLine="0" w:firstLineChars="0"/>
              <w:jc w:val="left"/>
              <w:rPr>
                <w:b w:val="0"/>
                <w:bCs w:val="0"/>
                <w:color w:val="auto"/>
                <w:u w:val="none"/>
              </w:rPr>
            </w:pPr>
            <w:r>
              <w:rPr>
                <w:rFonts w:hint="eastAsia"/>
                <w:b w:val="0"/>
                <w:bCs w:val="0"/>
                <w:color w:val="auto"/>
                <w:u w:val="none"/>
              </w:rPr>
              <w:t>其他</w:t>
            </w:r>
          </w:p>
        </w:tc>
        <w:tc>
          <w:tcPr>
            <w:tcW w:w="3070" w:type="dxa"/>
            <w:noWrap w:val="0"/>
            <w:vAlign w:val="center"/>
          </w:tcPr>
          <w:p w14:paraId="3E438F06">
            <w:pPr>
              <w:pStyle w:val="182"/>
              <w:spacing w:line="240" w:lineRule="auto"/>
              <w:ind w:firstLine="0" w:firstLineChars="0"/>
              <w:jc w:val="left"/>
              <w:rPr>
                <w:rFonts w:hint="eastAsia"/>
                <w:b w:val="0"/>
                <w:bCs w:val="0"/>
                <w:color w:val="auto"/>
                <w:u w:val="none"/>
              </w:rPr>
            </w:pPr>
            <w:r>
              <w:rPr>
                <w:rFonts w:hint="eastAsia"/>
                <w:b w:val="0"/>
                <w:bCs w:val="0"/>
                <w:color w:val="auto"/>
                <w:u w:val="none"/>
              </w:rPr>
              <w:t>厂区其他设备均采用电为能源，锅炉采用煤粉做为能源</w:t>
            </w:r>
          </w:p>
        </w:tc>
        <w:tc>
          <w:tcPr>
            <w:tcW w:w="945" w:type="dxa"/>
            <w:noWrap w:val="0"/>
            <w:vAlign w:val="center"/>
          </w:tcPr>
          <w:p w14:paraId="7889A610">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151FA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08" w:type="dxa"/>
            <w:noWrap w:val="0"/>
            <w:vAlign w:val="center"/>
          </w:tcPr>
          <w:p w14:paraId="7452B890">
            <w:pPr>
              <w:pStyle w:val="182"/>
              <w:spacing w:line="240" w:lineRule="auto"/>
              <w:ind w:firstLine="0" w:firstLineChars="0"/>
              <w:jc w:val="center"/>
              <w:rPr>
                <w:b w:val="0"/>
                <w:bCs w:val="0"/>
                <w:color w:val="auto"/>
                <w:u w:val="none"/>
              </w:rPr>
            </w:pPr>
            <w:r>
              <w:rPr>
                <w:rFonts w:hint="eastAsia"/>
                <w:b w:val="0"/>
                <w:bCs w:val="0"/>
                <w:color w:val="auto"/>
                <w:u w:val="none"/>
              </w:rPr>
              <w:t>生产工艺</w:t>
            </w:r>
          </w:p>
        </w:tc>
        <w:tc>
          <w:tcPr>
            <w:tcW w:w="4080" w:type="dxa"/>
            <w:noWrap w:val="0"/>
            <w:vAlign w:val="center"/>
          </w:tcPr>
          <w:p w14:paraId="00C15CDE">
            <w:pPr>
              <w:pStyle w:val="182"/>
              <w:spacing w:line="240" w:lineRule="auto"/>
              <w:ind w:firstLine="0" w:firstLineChars="0"/>
              <w:jc w:val="left"/>
              <w:rPr>
                <w:rFonts w:hint="eastAsia"/>
                <w:b w:val="0"/>
                <w:bCs w:val="0"/>
                <w:color w:val="auto"/>
                <w:u w:val="none"/>
              </w:rPr>
            </w:pPr>
            <w:r>
              <w:rPr>
                <w:rFonts w:hint="eastAsia"/>
                <w:b w:val="0"/>
                <w:bCs w:val="0"/>
                <w:color w:val="auto"/>
                <w:u w:val="none"/>
              </w:rPr>
              <w:t>1.属于《产业结构调整指导目录（2019年版）》鼓励类和允许类；</w:t>
            </w:r>
          </w:p>
          <w:p w14:paraId="1BC3C90C">
            <w:pPr>
              <w:pStyle w:val="182"/>
              <w:spacing w:line="240" w:lineRule="auto"/>
              <w:ind w:firstLine="0" w:firstLineChars="0"/>
              <w:jc w:val="left"/>
              <w:rPr>
                <w:rFonts w:hint="eastAsia"/>
                <w:b w:val="0"/>
                <w:bCs w:val="0"/>
                <w:color w:val="auto"/>
                <w:u w:val="none"/>
              </w:rPr>
            </w:pPr>
            <w:r>
              <w:rPr>
                <w:rFonts w:hint="eastAsia"/>
                <w:b w:val="0"/>
                <w:bCs w:val="0"/>
                <w:color w:val="auto"/>
                <w:u w:val="none"/>
              </w:rPr>
              <w:t>2.符合相关行业产业政策；</w:t>
            </w:r>
          </w:p>
          <w:p w14:paraId="35A70DB1">
            <w:pPr>
              <w:pStyle w:val="182"/>
              <w:spacing w:line="240" w:lineRule="auto"/>
              <w:ind w:firstLine="0" w:firstLineChars="0"/>
              <w:jc w:val="left"/>
              <w:rPr>
                <w:rFonts w:hint="eastAsia"/>
                <w:b w:val="0"/>
                <w:bCs w:val="0"/>
                <w:color w:val="auto"/>
                <w:u w:val="none"/>
              </w:rPr>
            </w:pPr>
            <w:r>
              <w:rPr>
                <w:rFonts w:hint="eastAsia"/>
                <w:b w:val="0"/>
                <w:bCs w:val="0"/>
                <w:color w:val="auto"/>
                <w:u w:val="none"/>
              </w:rPr>
              <w:t>3.符合河南省相关政策要求；</w:t>
            </w:r>
          </w:p>
          <w:p w14:paraId="4288DD91">
            <w:pPr>
              <w:pStyle w:val="182"/>
              <w:spacing w:line="240" w:lineRule="auto"/>
              <w:ind w:firstLine="0" w:firstLineChars="0"/>
              <w:jc w:val="left"/>
              <w:rPr>
                <w:b w:val="0"/>
                <w:bCs w:val="0"/>
                <w:color w:val="auto"/>
                <w:u w:val="none"/>
              </w:rPr>
            </w:pPr>
            <w:r>
              <w:rPr>
                <w:rFonts w:hint="eastAsia"/>
                <w:b w:val="0"/>
                <w:bCs w:val="0"/>
                <w:color w:val="auto"/>
                <w:u w:val="none"/>
              </w:rPr>
              <w:t>4.符合市级规划。</w:t>
            </w:r>
          </w:p>
        </w:tc>
        <w:tc>
          <w:tcPr>
            <w:tcW w:w="3070" w:type="dxa"/>
            <w:noWrap w:val="0"/>
            <w:vAlign w:val="center"/>
          </w:tcPr>
          <w:p w14:paraId="59D03869">
            <w:pPr>
              <w:pStyle w:val="182"/>
              <w:spacing w:line="240" w:lineRule="auto"/>
              <w:ind w:firstLine="0" w:firstLineChars="0"/>
              <w:jc w:val="left"/>
              <w:rPr>
                <w:rFonts w:hint="default"/>
                <w:b w:val="0"/>
                <w:bCs w:val="0"/>
                <w:color w:val="auto"/>
                <w:u w:val="none"/>
                <w:lang w:val="en-US" w:eastAsia="zh-CN"/>
              </w:rPr>
            </w:pPr>
            <w:r>
              <w:rPr>
                <w:rFonts w:hint="eastAsia"/>
                <w:b w:val="0"/>
                <w:bCs w:val="0"/>
                <w:color w:val="auto"/>
                <w:u w:val="none"/>
                <w:lang w:val="en-US" w:eastAsia="zh-CN"/>
              </w:rPr>
              <w:t>1.</w:t>
            </w:r>
            <w:r>
              <w:rPr>
                <w:rFonts w:hint="eastAsia"/>
                <w:b w:val="0"/>
                <w:bCs w:val="0"/>
                <w:color w:val="auto"/>
                <w:u w:val="none"/>
              </w:rPr>
              <w:t>原料、生产工艺、设备等均不属于《产业结构调整指导目录》（20</w:t>
            </w:r>
            <w:r>
              <w:rPr>
                <w:rFonts w:hint="eastAsia"/>
                <w:b w:val="0"/>
                <w:bCs w:val="0"/>
                <w:color w:val="auto"/>
                <w:u w:val="none"/>
                <w:lang w:val="en-US" w:eastAsia="zh-CN"/>
              </w:rPr>
              <w:t>24</w:t>
            </w:r>
            <w:r>
              <w:rPr>
                <w:rFonts w:hint="eastAsia"/>
                <w:b w:val="0"/>
                <w:bCs w:val="0"/>
                <w:color w:val="auto"/>
                <w:u w:val="none"/>
              </w:rPr>
              <w:t>年本）目录中的限制类和淘汰类，为允许类，符合国家产业政策</w:t>
            </w:r>
            <w:r>
              <w:rPr>
                <w:rFonts w:hint="eastAsia"/>
                <w:b w:val="0"/>
                <w:bCs w:val="0"/>
                <w:color w:val="auto"/>
                <w:u w:val="none"/>
                <w:lang w:val="en-US" w:eastAsia="zh-CN"/>
              </w:rPr>
              <w:t>.2、符合河南省相关政策要求3、无相关行业产业政策和市级规划</w:t>
            </w:r>
          </w:p>
        </w:tc>
        <w:tc>
          <w:tcPr>
            <w:tcW w:w="945" w:type="dxa"/>
            <w:noWrap w:val="0"/>
            <w:vAlign w:val="center"/>
          </w:tcPr>
          <w:p w14:paraId="40997781">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5747F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08" w:type="dxa"/>
            <w:vMerge w:val="restart"/>
            <w:noWrap w:val="0"/>
            <w:vAlign w:val="center"/>
          </w:tcPr>
          <w:p w14:paraId="55D4EE68">
            <w:pPr>
              <w:pStyle w:val="182"/>
              <w:spacing w:line="240" w:lineRule="auto"/>
              <w:ind w:firstLine="0" w:firstLineChars="0"/>
              <w:jc w:val="center"/>
              <w:rPr>
                <w:b w:val="0"/>
                <w:bCs w:val="0"/>
                <w:color w:val="auto"/>
                <w:u w:val="none"/>
              </w:rPr>
            </w:pPr>
            <w:r>
              <w:rPr>
                <w:rFonts w:hint="eastAsia"/>
                <w:b w:val="0"/>
                <w:bCs w:val="0"/>
                <w:color w:val="auto"/>
                <w:u w:val="none"/>
              </w:rPr>
              <w:t>污染治理技术</w:t>
            </w:r>
          </w:p>
        </w:tc>
        <w:tc>
          <w:tcPr>
            <w:tcW w:w="4080" w:type="dxa"/>
            <w:noWrap w:val="0"/>
            <w:vAlign w:val="center"/>
          </w:tcPr>
          <w:p w14:paraId="38DE783F">
            <w:pPr>
              <w:pStyle w:val="182"/>
              <w:spacing w:line="240" w:lineRule="auto"/>
              <w:ind w:firstLine="0" w:firstLineChars="0"/>
              <w:jc w:val="left"/>
              <w:rPr>
                <w:rFonts w:hint="eastAsia"/>
                <w:b w:val="0"/>
                <w:bCs w:val="0"/>
                <w:color w:val="auto"/>
                <w:u w:val="none"/>
              </w:rPr>
            </w:pPr>
            <w:r>
              <w:rPr>
                <w:rFonts w:hint="eastAsia"/>
                <w:b w:val="0"/>
                <w:bCs w:val="0"/>
                <w:color w:val="auto"/>
                <w:u w:val="none"/>
              </w:rPr>
              <w:t>1.燃煤/生物质/燃油等锅炉/炉窑：</w:t>
            </w:r>
          </w:p>
          <w:p w14:paraId="3B12522E">
            <w:pPr>
              <w:pStyle w:val="182"/>
              <w:spacing w:line="240" w:lineRule="auto"/>
              <w:ind w:firstLine="0" w:firstLineChars="0"/>
              <w:jc w:val="left"/>
              <w:rPr>
                <w:rFonts w:hint="eastAsia"/>
                <w:b w:val="0"/>
                <w:bCs w:val="0"/>
                <w:color w:val="auto"/>
                <w:u w:val="none"/>
              </w:rPr>
            </w:pPr>
            <w:r>
              <w:rPr>
                <w:rFonts w:hint="eastAsia"/>
                <w:b w:val="0"/>
                <w:bCs w:val="0"/>
                <w:color w:val="auto"/>
                <w:u w:val="none"/>
              </w:rPr>
              <w:t>（1）PM 采用覆膜袋式除尘、滤筒除尘、电袋复合除尘、湿电除尘、四电场及以上静电除尘等高效除尘技术（除湿电除尘外，设计效率不低于 99%）；</w:t>
            </w:r>
          </w:p>
          <w:p w14:paraId="690E5372">
            <w:pPr>
              <w:pStyle w:val="182"/>
              <w:spacing w:line="240" w:lineRule="auto"/>
              <w:ind w:firstLine="0" w:firstLineChars="0"/>
              <w:jc w:val="left"/>
              <w:rPr>
                <w:rFonts w:hint="eastAsia"/>
                <w:b w:val="0"/>
                <w:bCs w:val="0"/>
                <w:color w:val="auto"/>
                <w:u w:val="none"/>
              </w:rPr>
            </w:pPr>
            <w:r>
              <w:rPr>
                <w:rFonts w:hint="eastAsia"/>
                <w:b w:val="0"/>
                <w:bCs w:val="0"/>
                <w:color w:val="auto"/>
                <w:u w:val="none"/>
              </w:rPr>
              <w:t>（2）SO</w:t>
            </w:r>
            <w:r>
              <w:rPr>
                <w:rFonts w:hint="eastAsia"/>
                <w:b w:val="0"/>
                <w:bCs w:val="0"/>
                <w:color w:val="auto"/>
                <w:u w:val="none"/>
                <w:vertAlign w:val="subscript"/>
              </w:rPr>
              <w:t>2</w:t>
            </w:r>
            <w:r>
              <w:rPr>
                <w:rFonts w:hint="eastAsia"/>
                <w:b w:val="0"/>
                <w:bCs w:val="0"/>
                <w:color w:val="auto"/>
                <w:u w:val="none"/>
              </w:rPr>
              <w:t>【3】采用石灰/石-石膏、氨法、钠碱法、双碱法等湿法、干法和半干法（设计效率不低于85%）；</w:t>
            </w:r>
          </w:p>
          <w:p w14:paraId="7381CB66">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（3）NOx采用低氮燃烧、SNCR/SCR、湿式氧化法等技术；</w:t>
            </w:r>
          </w:p>
        </w:tc>
        <w:tc>
          <w:tcPr>
            <w:tcW w:w="3070" w:type="dxa"/>
            <w:noWrap w:val="0"/>
            <w:vAlign w:val="center"/>
          </w:tcPr>
          <w:p w14:paraId="16DE8685">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eastAsia="zh-CN"/>
              </w:rPr>
              <w:t>3×75t/h锅炉环保设施除尘系统采用电袋复合式除尘器及脱硫一体化管束除尘器，脱硫系统采用钠碱法湿法脱硫，脱硝系统采用“低氮燃烧+选择性非催化还原（SNCR）+选择性催化还原（SCR）”组合技术。除尘系统采用电袋复合式除尘器及板线式湿式电除尘器，脱硫系统采用钠碱法湿法脱硫方式，脱硝系统采用“低氮燃烧+选择性催化还原（SCR）”组合技术</w:t>
            </w:r>
          </w:p>
        </w:tc>
        <w:tc>
          <w:tcPr>
            <w:tcW w:w="945" w:type="dxa"/>
            <w:noWrap w:val="0"/>
            <w:vAlign w:val="center"/>
          </w:tcPr>
          <w:p w14:paraId="6F103459">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34D0A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08" w:type="dxa"/>
            <w:vMerge w:val="continue"/>
            <w:noWrap w:val="0"/>
            <w:vAlign w:val="center"/>
          </w:tcPr>
          <w:p w14:paraId="773D0994">
            <w:pPr>
              <w:pStyle w:val="182"/>
              <w:spacing w:line="240" w:lineRule="auto"/>
              <w:ind w:firstLine="0" w:firstLineChars="0"/>
              <w:jc w:val="center"/>
              <w:rPr>
                <w:b w:val="0"/>
                <w:bCs w:val="0"/>
                <w:color w:val="auto"/>
                <w:u w:val="none"/>
              </w:rPr>
            </w:pPr>
          </w:p>
        </w:tc>
        <w:tc>
          <w:tcPr>
            <w:tcW w:w="4080" w:type="dxa"/>
            <w:noWrap w:val="0"/>
            <w:vAlign w:val="center"/>
          </w:tcPr>
          <w:p w14:paraId="64174C3C">
            <w:pPr>
              <w:pStyle w:val="182"/>
              <w:spacing w:line="240" w:lineRule="auto"/>
              <w:ind w:firstLine="0" w:firstLineChars="0"/>
              <w:jc w:val="left"/>
              <w:rPr>
                <w:rFonts w:hint="eastAsia"/>
                <w:b w:val="0"/>
                <w:bCs w:val="0"/>
                <w:color w:val="auto"/>
                <w:u w:val="none"/>
              </w:rPr>
            </w:pPr>
            <w:r>
              <w:rPr>
                <w:rFonts w:hint="eastAsia"/>
                <w:b w:val="0"/>
                <w:bCs w:val="0"/>
                <w:color w:val="auto"/>
                <w:u w:val="none"/>
              </w:rPr>
              <w:t>2.电窑、燃气锅炉/炉窑：</w:t>
            </w:r>
          </w:p>
          <w:p w14:paraId="2C00D3FC">
            <w:pPr>
              <w:pStyle w:val="182"/>
              <w:spacing w:line="240" w:lineRule="auto"/>
              <w:ind w:firstLine="0" w:firstLineChars="0"/>
              <w:jc w:val="left"/>
              <w:rPr>
                <w:b w:val="0"/>
                <w:bCs w:val="0"/>
                <w:color w:val="auto"/>
                <w:u w:val="none"/>
              </w:rPr>
            </w:pPr>
            <w:r>
              <w:rPr>
                <w:rFonts w:hint="eastAsia"/>
                <w:b w:val="0"/>
                <w:bCs w:val="0"/>
                <w:color w:val="auto"/>
                <w:u w:val="none"/>
              </w:rPr>
              <w:t>未达到A级要求。</w:t>
            </w:r>
          </w:p>
        </w:tc>
        <w:tc>
          <w:tcPr>
            <w:tcW w:w="3070" w:type="dxa"/>
            <w:noWrap w:val="0"/>
            <w:vAlign w:val="center"/>
          </w:tcPr>
          <w:p w14:paraId="1D41920F">
            <w:pPr>
              <w:pStyle w:val="182"/>
              <w:spacing w:line="240" w:lineRule="auto"/>
              <w:ind w:firstLine="0" w:firstLineChars="0"/>
              <w:jc w:val="left"/>
              <w:rPr>
                <w:rFonts w:hint="eastAsia"/>
                <w:b w:val="0"/>
                <w:bCs w:val="0"/>
                <w:color w:val="auto"/>
                <w:u w:val="none"/>
                <w:lang w:val="en-US" w:eastAsia="zh-CN"/>
              </w:rPr>
            </w:pPr>
            <w:r>
              <w:rPr>
                <w:rFonts w:hint="eastAsia"/>
                <w:b w:val="0"/>
                <w:bCs w:val="0"/>
                <w:color w:val="auto"/>
                <w:u w:val="none"/>
                <w:lang w:val="en-US" w:eastAsia="zh-CN"/>
              </w:rPr>
              <w:t>不涉及</w:t>
            </w:r>
          </w:p>
        </w:tc>
        <w:tc>
          <w:tcPr>
            <w:tcW w:w="945" w:type="dxa"/>
            <w:noWrap w:val="0"/>
            <w:vAlign w:val="center"/>
          </w:tcPr>
          <w:p w14:paraId="0D0FA1BE">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3B039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08" w:type="dxa"/>
            <w:vMerge w:val="continue"/>
            <w:noWrap w:val="0"/>
            <w:vAlign w:val="center"/>
          </w:tcPr>
          <w:p w14:paraId="55FE9CEC">
            <w:pPr>
              <w:pStyle w:val="182"/>
              <w:spacing w:line="240" w:lineRule="auto"/>
              <w:ind w:firstLine="0" w:firstLineChars="0"/>
              <w:jc w:val="center"/>
              <w:rPr>
                <w:b w:val="0"/>
                <w:bCs w:val="0"/>
                <w:color w:val="auto"/>
                <w:u w:val="none"/>
              </w:rPr>
            </w:pPr>
          </w:p>
        </w:tc>
        <w:tc>
          <w:tcPr>
            <w:tcW w:w="4080" w:type="dxa"/>
            <w:noWrap w:val="0"/>
            <w:vAlign w:val="center"/>
          </w:tcPr>
          <w:p w14:paraId="751C8942">
            <w:pPr>
              <w:pStyle w:val="182"/>
              <w:spacing w:line="240" w:lineRule="auto"/>
              <w:ind w:firstLine="0" w:firstLineChars="0"/>
              <w:jc w:val="left"/>
              <w:rPr>
                <w:rFonts w:hint="eastAsia"/>
                <w:b w:val="0"/>
                <w:bCs w:val="0"/>
                <w:color w:val="auto"/>
                <w:u w:val="none"/>
              </w:rPr>
            </w:pPr>
            <w:r>
              <w:rPr>
                <w:b w:val="0"/>
                <w:bCs w:val="0"/>
                <w:color w:val="auto"/>
                <w:u w:val="none"/>
              </w:rPr>
              <w:t>3、</w:t>
            </w:r>
            <w:r>
              <w:rPr>
                <w:rFonts w:hint="eastAsia"/>
                <w:b w:val="0"/>
                <w:bCs w:val="0"/>
                <w:color w:val="auto"/>
                <w:u w:val="none"/>
              </w:rPr>
              <w:t>其他工序（非锅炉/炉窑）：</w:t>
            </w:r>
          </w:p>
          <w:p w14:paraId="11C2A5BB">
            <w:pPr>
              <w:pStyle w:val="182"/>
              <w:spacing w:line="240" w:lineRule="auto"/>
              <w:ind w:firstLine="0" w:firstLineChars="0"/>
              <w:jc w:val="left"/>
              <w:rPr>
                <w:b w:val="0"/>
                <w:bCs w:val="0"/>
                <w:color w:val="auto"/>
                <w:u w:val="none"/>
              </w:rPr>
            </w:pPr>
            <w:r>
              <w:rPr>
                <w:rFonts w:hint="eastAsia"/>
                <w:b w:val="0"/>
                <w:bCs w:val="0"/>
                <w:color w:val="auto"/>
                <w:u w:val="none"/>
              </w:rPr>
              <w:t>PM采用覆膜袋式除尘或其他先进除尘工艺。</w:t>
            </w:r>
          </w:p>
        </w:tc>
        <w:tc>
          <w:tcPr>
            <w:tcW w:w="3070" w:type="dxa"/>
            <w:noWrap w:val="0"/>
            <w:vAlign w:val="center"/>
          </w:tcPr>
          <w:p w14:paraId="3E1B235A">
            <w:pPr>
              <w:pStyle w:val="182"/>
              <w:spacing w:line="240" w:lineRule="auto"/>
              <w:ind w:firstLine="0" w:firstLineChars="0"/>
              <w:jc w:val="left"/>
              <w:rPr>
                <w:b w:val="0"/>
                <w:bCs w:val="0"/>
                <w:color w:val="auto"/>
                <w:u w:val="none"/>
              </w:rPr>
            </w:pPr>
            <w:r>
              <w:rPr>
                <w:rFonts w:hint="eastAsia"/>
                <w:b w:val="0"/>
                <w:bCs w:val="0"/>
                <w:color w:val="auto"/>
                <w:u w:val="none"/>
                <w:lang w:val="en-US" w:eastAsia="zh-CN"/>
              </w:rPr>
              <w:t>不涉及</w:t>
            </w:r>
          </w:p>
        </w:tc>
        <w:tc>
          <w:tcPr>
            <w:tcW w:w="945" w:type="dxa"/>
            <w:noWrap w:val="0"/>
            <w:vAlign w:val="center"/>
          </w:tcPr>
          <w:p w14:paraId="3D1A96B2">
            <w:pPr>
              <w:pStyle w:val="182"/>
              <w:spacing w:line="240" w:lineRule="auto"/>
              <w:ind w:firstLine="0" w:firstLineChars="0"/>
              <w:jc w:val="center"/>
              <w:rPr>
                <w:rFonts w:hint="eastAsia"/>
                <w:b w:val="0"/>
                <w:bCs w:val="0"/>
                <w:color w:val="auto"/>
                <w:u w:val="none"/>
                <w:lang w:val="en-US" w:eastAsia="zh-CN"/>
              </w:rPr>
            </w:pPr>
            <w:r>
              <w:rPr>
                <w:rFonts w:hint="eastAsia"/>
                <w:b w:val="0"/>
                <w:bCs w:val="0"/>
                <w:color w:val="auto"/>
                <w:u w:val="none"/>
              </w:rPr>
              <w:t>满足</w:t>
            </w:r>
          </w:p>
        </w:tc>
      </w:tr>
      <w:tr w14:paraId="7AA07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dxa"/>
            <w:vMerge w:val="restart"/>
            <w:noWrap w:val="0"/>
            <w:vAlign w:val="center"/>
          </w:tcPr>
          <w:p w14:paraId="18FFD9A7">
            <w:pPr>
              <w:pStyle w:val="182"/>
              <w:spacing w:line="240" w:lineRule="auto"/>
              <w:ind w:firstLine="0" w:firstLineChars="0"/>
              <w:jc w:val="center"/>
              <w:rPr>
                <w:b w:val="0"/>
                <w:bCs w:val="0"/>
                <w:color w:val="auto"/>
                <w:u w:val="none"/>
              </w:rPr>
            </w:pPr>
            <w:r>
              <w:rPr>
                <w:b w:val="0"/>
                <w:bCs w:val="0"/>
                <w:color w:val="auto"/>
                <w:u w:val="none"/>
              </w:rPr>
              <w:t>排放限值</w:t>
            </w:r>
          </w:p>
        </w:tc>
        <w:tc>
          <w:tcPr>
            <w:tcW w:w="4080" w:type="dxa"/>
            <w:noWrap w:val="0"/>
            <w:vAlign w:val="center"/>
          </w:tcPr>
          <w:p w14:paraId="1B296CBE">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eastAsia="zh-CN"/>
              </w:rPr>
              <w:t>PM、SO</w:t>
            </w:r>
            <w:r>
              <w:rPr>
                <w:rFonts w:hint="eastAsia"/>
                <w:b w:val="0"/>
                <w:bCs w:val="0"/>
                <w:color w:val="auto"/>
                <w:u w:val="none"/>
                <w:vertAlign w:val="subscript"/>
                <w:lang w:eastAsia="zh-CN"/>
              </w:rPr>
              <w:t>2</w:t>
            </w:r>
            <w:r>
              <w:rPr>
                <w:rFonts w:hint="eastAsia"/>
                <w:b w:val="0"/>
                <w:bCs w:val="0"/>
                <w:color w:val="auto"/>
                <w:u w:val="none"/>
                <w:lang w:eastAsia="zh-CN"/>
              </w:rPr>
              <w:t>、NOx排放浓度分别不高于：</w:t>
            </w:r>
          </w:p>
          <w:p w14:paraId="1A14832E">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eastAsia="zh-CN"/>
              </w:rPr>
              <w:t>燃煤/生物质：10、35、50mg/m</w:t>
            </w:r>
            <w:r>
              <w:rPr>
                <w:rFonts w:hint="eastAsia"/>
                <w:b w:val="0"/>
                <w:bCs w:val="0"/>
                <w:color w:val="auto"/>
                <w:u w:val="none"/>
                <w:vertAlign w:val="superscript"/>
                <w:lang w:eastAsia="zh-CN"/>
              </w:rPr>
              <w:t>3</w:t>
            </w:r>
          </w:p>
          <w:p w14:paraId="7E68149D">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eastAsia="zh-CN"/>
              </w:rPr>
              <w:t>燃油：10、20、80mg/m</w:t>
            </w:r>
            <w:r>
              <w:rPr>
                <w:rFonts w:hint="eastAsia"/>
                <w:b w:val="0"/>
                <w:bCs w:val="0"/>
                <w:color w:val="auto"/>
                <w:u w:val="none"/>
                <w:vertAlign w:val="superscript"/>
                <w:lang w:eastAsia="zh-CN"/>
              </w:rPr>
              <w:t>3</w:t>
            </w:r>
            <w:r>
              <w:rPr>
                <w:rFonts w:hint="eastAsia"/>
                <w:b w:val="0"/>
                <w:bCs w:val="0"/>
                <w:color w:val="auto"/>
                <w:u w:val="none"/>
                <w:lang w:eastAsia="zh-CN"/>
              </w:rPr>
              <w:t>燃气：5、10、50/30【4】mg/m</w:t>
            </w:r>
            <w:r>
              <w:rPr>
                <w:rFonts w:hint="eastAsia"/>
                <w:b w:val="0"/>
                <w:bCs w:val="0"/>
                <w:color w:val="auto"/>
                <w:u w:val="none"/>
                <w:vertAlign w:val="superscript"/>
                <w:lang w:eastAsia="zh-CN"/>
              </w:rPr>
              <w:t>3</w:t>
            </w:r>
          </w:p>
          <w:p w14:paraId="072C315E">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eastAsia="zh-CN"/>
              </w:rPr>
              <w:t>（基准含氧量：燃煤/生物质/燃油/燃气：9%/9%【5】/3.5%/3.5%）</w:t>
            </w:r>
          </w:p>
          <w:p w14:paraId="0D7CA517">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氨逃逸排放浓度不高于8mg/m</w:t>
            </w:r>
            <w:r>
              <w:rPr>
                <w:rFonts w:hint="eastAsia"/>
                <w:b w:val="0"/>
                <w:bCs w:val="0"/>
                <w:color w:val="auto"/>
                <w:u w:val="none"/>
                <w:vertAlign w:val="superscript"/>
              </w:rPr>
              <w:t>3</w:t>
            </w:r>
            <w:r>
              <w:rPr>
                <w:rFonts w:hint="eastAsia"/>
                <w:b w:val="0"/>
                <w:bCs w:val="0"/>
                <w:color w:val="auto"/>
                <w:u w:val="none"/>
              </w:rPr>
              <w:t>（使用氨水、尿素作还原剂）</w:t>
            </w:r>
          </w:p>
        </w:tc>
        <w:tc>
          <w:tcPr>
            <w:tcW w:w="3070" w:type="dxa"/>
            <w:noWrap w:val="0"/>
            <w:vAlign w:val="center"/>
          </w:tcPr>
          <w:p w14:paraId="2C291674">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燃</w:t>
            </w:r>
            <w:r>
              <w:rPr>
                <w:rFonts w:hint="eastAsia"/>
                <w:b w:val="0"/>
                <w:bCs w:val="0"/>
                <w:color w:val="auto"/>
                <w:u w:val="none"/>
                <w:lang w:eastAsia="zh-CN"/>
              </w:rPr>
              <w:t>煤锅炉：</w:t>
            </w:r>
            <w:r>
              <w:rPr>
                <w:rFonts w:hint="eastAsia"/>
                <w:b w:val="0"/>
                <w:bCs w:val="0"/>
                <w:color w:val="auto"/>
                <w:u w:val="none"/>
              </w:rPr>
              <w:t>PM、SO</w:t>
            </w:r>
            <w:r>
              <w:rPr>
                <w:rFonts w:hint="eastAsia"/>
                <w:b w:val="0"/>
                <w:bCs w:val="0"/>
                <w:color w:val="auto"/>
                <w:u w:val="none"/>
                <w:vertAlign w:val="subscript"/>
              </w:rPr>
              <w:t>2</w:t>
            </w:r>
            <w:r>
              <w:rPr>
                <w:rFonts w:hint="eastAsia"/>
                <w:b w:val="0"/>
                <w:bCs w:val="0"/>
                <w:color w:val="auto"/>
                <w:u w:val="none"/>
              </w:rPr>
              <w:t>、NOx排放浓度分别不高于：</w:t>
            </w:r>
            <w:r>
              <w:rPr>
                <w:rFonts w:hint="eastAsia"/>
                <w:b w:val="0"/>
                <w:bCs w:val="0"/>
                <w:color w:val="auto"/>
                <w:u w:val="none"/>
                <w:lang w:val="en-US" w:eastAsia="zh-CN"/>
              </w:rPr>
              <w:t>1</w:t>
            </w:r>
            <w:r>
              <w:rPr>
                <w:rFonts w:hint="eastAsia"/>
                <w:b w:val="0"/>
                <w:bCs w:val="0"/>
                <w:color w:val="auto"/>
                <w:u w:val="none"/>
                <w:lang w:eastAsia="zh-CN"/>
              </w:rPr>
              <w:t>0、35、50mg/m</w:t>
            </w:r>
            <w:r>
              <w:rPr>
                <w:rFonts w:hint="eastAsia"/>
                <w:b w:val="0"/>
                <w:bCs w:val="0"/>
                <w:color w:val="auto"/>
                <w:u w:val="none"/>
                <w:vertAlign w:val="superscript"/>
                <w:lang w:eastAsia="zh-CN"/>
              </w:rPr>
              <w:t>3</w:t>
            </w:r>
          </w:p>
          <w:p w14:paraId="222B812F">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（基准含氧量：</w:t>
            </w:r>
            <w:r>
              <w:rPr>
                <w:rFonts w:hint="eastAsia"/>
                <w:b w:val="0"/>
                <w:bCs w:val="0"/>
                <w:color w:val="auto"/>
                <w:u w:val="none"/>
                <w:lang w:val="en-US" w:eastAsia="zh-CN"/>
              </w:rPr>
              <w:t>9</w:t>
            </w:r>
            <w:r>
              <w:rPr>
                <w:rFonts w:hint="eastAsia"/>
                <w:b w:val="0"/>
                <w:bCs w:val="0"/>
                <w:color w:val="auto"/>
                <w:u w:val="none"/>
              </w:rPr>
              <w:t>%）</w:t>
            </w:r>
            <w:r>
              <w:rPr>
                <w:rFonts w:hint="eastAsia"/>
                <w:b w:val="0"/>
                <w:bCs w:val="0"/>
                <w:color w:val="auto"/>
                <w:u w:val="none"/>
                <w:lang w:eastAsia="zh-CN"/>
              </w:rPr>
              <w:t>。</w:t>
            </w:r>
          </w:p>
          <w:p w14:paraId="6293A733">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氨逃逸排放浓度不高于 8mg/m</w:t>
            </w:r>
            <w:r>
              <w:rPr>
                <w:rFonts w:hint="eastAsia"/>
                <w:b w:val="0"/>
                <w:bCs w:val="0"/>
                <w:color w:val="auto"/>
                <w:u w:val="none"/>
                <w:vertAlign w:val="superscript"/>
              </w:rPr>
              <w:t>3</w:t>
            </w:r>
          </w:p>
          <w:p w14:paraId="119F584D">
            <w:pPr>
              <w:pStyle w:val="182"/>
              <w:spacing w:line="240" w:lineRule="auto"/>
              <w:ind w:firstLine="0" w:firstLineChars="0"/>
              <w:jc w:val="left"/>
              <w:rPr>
                <w:rFonts w:hint="eastAsia"/>
                <w:b w:val="0"/>
                <w:bCs w:val="0"/>
                <w:color w:val="auto"/>
                <w:u w:val="none"/>
                <w:lang w:eastAsia="zh-CN"/>
              </w:rPr>
            </w:pPr>
          </w:p>
        </w:tc>
        <w:tc>
          <w:tcPr>
            <w:tcW w:w="945" w:type="dxa"/>
            <w:noWrap w:val="0"/>
            <w:vAlign w:val="center"/>
          </w:tcPr>
          <w:p w14:paraId="74AE705F">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69953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dxa"/>
            <w:vMerge w:val="continue"/>
            <w:noWrap w:val="0"/>
            <w:vAlign w:val="center"/>
          </w:tcPr>
          <w:p w14:paraId="45B15112">
            <w:pPr>
              <w:pStyle w:val="182"/>
              <w:spacing w:line="240" w:lineRule="auto"/>
              <w:ind w:firstLine="0" w:firstLineChars="0"/>
              <w:jc w:val="center"/>
              <w:rPr>
                <w:b w:val="0"/>
                <w:bCs w:val="0"/>
                <w:color w:val="auto"/>
                <w:u w:val="none"/>
              </w:rPr>
            </w:pPr>
          </w:p>
        </w:tc>
        <w:tc>
          <w:tcPr>
            <w:tcW w:w="4080" w:type="dxa"/>
            <w:noWrap w:val="0"/>
            <w:vAlign w:val="center"/>
          </w:tcPr>
          <w:p w14:paraId="4F797BFE">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加热炉、热处理炉、干燥炉</w:t>
            </w:r>
            <w:r>
              <w:rPr>
                <w:rFonts w:hint="eastAsia"/>
                <w:b w:val="0"/>
                <w:bCs w:val="0"/>
                <w:color w:val="auto"/>
                <w:u w:val="none"/>
                <w:lang w:eastAsia="zh-CN"/>
              </w:rPr>
              <w:t>：PM、SO</w:t>
            </w:r>
            <w:r>
              <w:rPr>
                <w:rFonts w:hint="eastAsia"/>
                <w:b w:val="0"/>
                <w:bCs w:val="0"/>
                <w:color w:val="auto"/>
                <w:u w:val="none"/>
                <w:vertAlign w:val="subscript"/>
                <w:lang w:eastAsia="zh-CN"/>
              </w:rPr>
              <w:t>2</w:t>
            </w:r>
            <w:r>
              <w:rPr>
                <w:rFonts w:hint="eastAsia"/>
                <w:b w:val="0"/>
                <w:bCs w:val="0"/>
                <w:color w:val="auto"/>
                <w:u w:val="none"/>
                <w:lang w:eastAsia="zh-CN"/>
              </w:rPr>
              <w:t>、NOx 排放浓度分别不高于：</w:t>
            </w:r>
          </w:p>
          <w:p w14:paraId="6EE7CA91">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eastAsia="zh-CN"/>
              </w:rPr>
              <w:t>10、50、100mg/m</w:t>
            </w:r>
            <w:r>
              <w:rPr>
                <w:rFonts w:hint="eastAsia"/>
                <w:b w:val="0"/>
                <w:bCs w:val="0"/>
                <w:color w:val="auto"/>
                <w:u w:val="none"/>
                <w:vertAlign w:val="superscript"/>
                <w:lang w:eastAsia="zh-CN"/>
              </w:rPr>
              <w:t>3</w:t>
            </w:r>
          </w:p>
          <w:p w14:paraId="3FD6B7D0">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eastAsia="zh-CN"/>
              </w:rPr>
              <w:t>（基准含氧量：燃油/燃煤3.5%/9%，因工艺需要掺入空气/非密闭式生产的按实测浓度计）</w:t>
            </w:r>
          </w:p>
        </w:tc>
        <w:tc>
          <w:tcPr>
            <w:tcW w:w="3070" w:type="dxa"/>
            <w:noWrap w:val="0"/>
            <w:vAlign w:val="center"/>
          </w:tcPr>
          <w:p w14:paraId="0F3F80E9">
            <w:pPr>
              <w:pStyle w:val="182"/>
              <w:spacing w:line="240" w:lineRule="auto"/>
              <w:ind w:firstLine="0" w:firstLineChars="0"/>
              <w:jc w:val="left"/>
              <w:rPr>
                <w:rFonts w:hint="eastAsia"/>
                <w:b w:val="0"/>
                <w:bCs w:val="0"/>
                <w:color w:val="auto"/>
                <w:u w:val="none"/>
              </w:rPr>
            </w:pPr>
            <w:r>
              <w:rPr>
                <w:rFonts w:hint="eastAsia"/>
                <w:b w:val="0"/>
                <w:bCs w:val="0"/>
                <w:color w:val="auto"/>
                <w:u w:val="none"/>
                <w:lang w:eastAsia="zh-CN"/>
              </w:rPr>
              <w:t>不涉及</w:t>
            </w:r>
          </w:p>
        </w:tc>
        <w:tc>
          <w:tcPr>
            <w:tcW w:w="945" w:type="dxa"/>
            <w:noWrap w:val="0"/>
            <w:vAlign w:val="center"/>
          </w:tcPr>
          <w:p w14:paraId="7958E18E">
            <w:pPr>
              <w:pStyle w:val="182"/>
              <w:spacing w:line="240" w:lineRule="auto"/>
              <w:ind w:firstLine="0" w:firstLineChars="0"/>
              <w:jc w:val="center"/>
              <w:rPr>
                <w:rFonts w:hint="eastAsia"/>
                <w:b w:val="0"/>
                <w:bCs w:val="0"/>
                <w:color w:val="auto"/>
                <w:u w:val="none"/>
                <w:lang w:val="en-US" w:eastAsia="zh-CN"/>
              </w:rPr>
            </w:pPr>
            <w:r>
              <w:rPr>
                <w:rFonts w:hint="eastAsia"/>
                <w:b w:val="0"/>
                <w:bCs w:val="0"/>
                <w:color w:val="auto"/>
                <w:u w:val="none"/>
              </w:rPr>
              <w:t>满足</w:t>
            </w:r>
          </w:p>
        </w:tc>
      </w:tr>
      <w:tr w14:paraId="64E71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dxa"/>
            <w:vMerge w:val="continue"/>
            <w:noWrap w:val="0"/>
            <w:vAlign w:val="center"/>
          </w:tcPr>
          <w:p w14:paraId="4E3769FF">
            <w:pPr>
              <w:pStyle w:val="182"/>
              <w:spacing w:line="240" w:lineRule="auto"/>
              <w:ind w:firstLine="0" w:firstLineChars="0"/>
              <w:jc w:val="center"/>
              <w:rPr>
                <w:rFonts w:hint="eastAsia"/>
                <w:b w:val="0"/>
                <w:bCs w:val="0"/>
                <w:color w:val="auto"/>
                <w:u w:val="none"/>
              </w:rPr>
            </w:pPr>
          </w:p>
        </w:tc>
        <w:tc>
          <w:tcPr>
            <w:tcW w:w="4080" w:type="dxa"/>
            <w:noWrap w:val="0"/>
            <w:vAlign w:val="center"/>
          </w:tcPr>
          <w:p w14:paraId="6A5BA848">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rPr>
              <w:t>其他炉窑</w:t>
            </w:r>
            <w:r>
              <w:rPr>
                <w:rFonts w:hint="eastAsia"/>
                <w:b w:val="0"/>
                <w:bCs w:val="0"/>
                <w:color w:val="auto"/>
                <w:u w:val="none"/>
                <w:lang w:eastAsia="zh-CN"/>
              </w:rPr>
              <w:t>：PM、SO</w:t>
            </w:r>
            <w:r>
              <w:rPr>
                <w:rFonts w:hint="eastAsia"/>
                <w:b w:val="0"/>
                <w:bCs w:val="0"/>
                <w:color w:val="auto"/>
                <w:u w:val="none"/>
                <w:vertAlign w:val="subscript"/>
                <w:lang w:eastAsia="zh-CN"/>
              </w:rPr>
              <w:t>2</w:t>
            </w:r>
            <w:r>
              <w:rPr>
                <w:rFonts w:hint="eastAsia"/>
                <w:b w:val="0"/>
                <w:bCs w:val="0"/>
                <w:color w:val="auto"/>
                <w:u w:val="none"/>
                <w:lang w:eastAsia="zh-CN"/>
              </w:rPr>
              <w:t>、NOx 排放浓度分别不高于10、</w:t>
            </w:r>
            <w:r>
              <w:rPr>
                <w:rFonts w:hint="eastAsia"/>
                <w:b w:val="0"/>
                <w:bCs w:val="0"/>
                <w:color w:val="auto"/>
                <w:u w:val="none"/>
                <w:lang w:val="en-US" w:eastAsia="zh-CN"/>
              </w:rPr>
              <w:t>100</w:t>
            </w:r>
            <w:r>
              <w:rPr>
                <w:rFonts w:hint="eastAsia"/>
                <w:b w:val="0"/>
                <w:bCs w:val="0"/>
                <w:color w:val="auto"/>
                <w:u w:val="none"/>
                <w:lang w:eastAsia="zh-CN"/>
              </w:rPr>
              <w:t>、</w:t>
            </w:r>
          </w:p>
          <w:p w14:paraId="4920B054">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val="en-US" w:eastAsia="zh-CN"/>
              </w:rPr>
              <w:t>2</w:t>
            </w:r>
            <w:r>
              <w:rPr>
                <w:rFonts w:hint="eastAsia"/>
                <w:b w:val="0"/>
                <w:bCs w:val="0"/>
                <w:color w:val="auto"/>
                <w:u w:val="none"/>
                <w:lang w:eastAsia="zh-CN"/>
              </w:rPr>
              <w:t>00mg/m</w:t>
            </w:r>
            <w:r>
              <w:rPr>
                <w:rFonts w:hint="eastAsia"/>
                <w:b w:val="0"/>
                <w:bCs w:val="0"/>
                <w:color w:val="auto"/>
                <w:u w:val="none"/>
                <w:vertAlign w:val="superscript"/>
                <w:lang w:eastAsia="zh-CN"/>
              </w:rPr>
              <w:t>3</w:t>
            </w:r>
            <w:r>
              <w:rPr>
                <w:rFonts w:hint="eastAsia"/>
                <w:b w:val="0"/>
                <w:bCs w:val="0"/>
                <w:color w:val="auto"/>
                <w:u w:val="none"/>
                <w:lang w:eastAsia="zh-CN"/>
              </w:rPr>
              <w:t>（基准含氧量：9%）</w:t>
            </w:r>
          </w:p>
        </w:tc>
        <w:tc>
          <w:tcPr>
            <w:tcW w:w="3070" w:type="dxa"/>
            <w:noWrap w:val="0"/>
            <w:vAlign w:val="center"/>
          </w:tcPr>
          <w:p w14:paraId="28F0292B">
            <w:pPr>
              <w:pStyle w:val="182"/>
              <w:spacing w:line="240" w:lineRule="auto"/>
              <w:ind w:firstLine="0" w:firstLineChars="0"/>
              <w:jc w:val="left"/>
              <w:rPr>
                <w:rFonts w:hint="eastAsia"/>
                <w:b w:val="0"/>
                <w:bCs w:val="0"/>
                <w:color w:val="auto"/>
                <w:u w:val="none"/>
                <w:lang w:eastAsia="zh-CN"/>
              </w:rPr>
            </w:pPr>
            <w:r>
              <w:rPr>
                <w:rFonts w:hint="eastAsia"/>
                <w:b w:val="0"/>
                <w:bCs w:val="0"/>
                <w:color w:val="auto"/>
                <w:u w:val="none"/>
                <w:lang w:eastAsia="zh-CN"/>
              </w:rPr>
              <w:t>不涉及</w:t>
            </w:r>
          </w:p>
        </w:tc>
        <w:tc>
          <w:tcPr>
            <w:tcW w:w="945" w:type="dxa"/>
            <w:noWrap w:val="0"/>
            <w:vAlign w:val="center"/>
          </w:tcPr>
          <w:p w14:paraId="34D25B6C">
            <w:pPr>
              <w:pStyle w:val="182"/>
              <w:spacing w:line="240" w:lineRule="auto"/>
              <w:ind w:firstLine="0" w:firstLineChars="0"/>
              <w:jc w:val="center"/>
              <w:rPr>
                <w:rFonts w:hint="eastAsia"/>
                <w:b w:val="0"/>
                <w:bCs w:val="0"/>
                <w:color w:val="auto"/>
                <w:u w:val="none"/>
                <w:lang w:val="en-US" w:eastAsia="zh-CN"/>
              </w:rPr>
            </w:pPr>
            <w:r>
              <w:rPr>
                <w:rFonts w:hint="eastAsia"/>
                <w:b w:val="0"/>
                <w:bCs w:val="0"/>
                <w:color w:val="auto"/>
                <w:u w:val="none"/>
              </w:rPr>
              <w:t>满足</w:t>
            </w:r>
          </w:p>
        </w:tc>
      </w:tr>
      <w:tr w14:paraId="5C6EA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dxa"/>
            <w:vMerge w:val="continue"/>
            <w:noWrap w:val="0"/>
            <w:vAlign w:val="center"/>
          </w:tcPr>
          <w:p w14:paraId="60ECB199">
            <w:pPr>
              <w:pStyle w:val="182"/>
              <w:spacing w:line="240" w:lineRule="auto"/>
              <w:ind w:firstLine="0" w:firstLineChars="0"/>
              <w:jc w:val="center"/>
              <w:rPr>
                <w:rFonts w:hint="eastAsia"/>
                <w:b w:val="0"/>
                <w:bCs w:val="0"/>
                <w:color w:val="auto"/>
                <w:u w:val="none"/>
              </w:rPr>
            </w:pPr>
          </w:p>
        </w:tc>
        <w:tc>
          <w:tcPr>
            <w:tcW w:w="4080" w:type="dxa"/>
            <w:noWrap w:val="0"/>
            <w:vAlign w:val="center"/>
          </w:tcPr>
          <w:p w14:paraId="2BF7E120">
            <w:pPr>
              <w:pStyle w:val="182"/>
              <w:spacing w:line="240" w:lineRule="auto"/>
              <w:ind w:firstLine="0" w:firstLineChars="0"/>
              <w:jc w:val="left"/>
              <w:rPr>
                <w:rFonts w:hint="default"/>
                <w:b w:val="0"/>
                <w:bCs w:val="0"/>
                <w:color w:val="auto"/>
                <w:u w:val="none"/>
                <w:lang w:val="en-US" w:eastAsia="zh-CN"/>
              </w:rPr>
            </w:pPr>
            <w:r>
              <w:rPr>
                <w:rFonts w:hint="eastAsia"/>
                <w:b w:val="0"/>
                <w:bCs w:val="0"/>
                <w:color w:val="auto"/>
                <w:u w:val="none"/>
              </w:rPr>
              <w:t>其他工序</w:t>
            </w:r>
            <w:r>
              <w:rPr>
                <w:rFonts w:hint="eastAsia"/>
                <w:b w:val="0"/>
                <w:bCs w:val="0"/>
                <w:color w:val="auto"/>
                <w:u w:val="none"/>
                <w:lang w:eastAsia="zh-CN"/>
              </w:rPr>
              <w:t>：PM排放浓度不高于10mg/m</w:t>
            </w:r>
            <w:r>
              <w:rPr>
                <w:rFonts w:hint="eastAsia"/>
                <w:b w:val="0"/>
                <w:bCs w:val="0"/>
                <w:color w:val="auto"/>
                <w:u w:val="none"/>
                <w:vertAlign w:val="superscript"/>
                <w:lang w:val="en-US" w:eastAsia="zh-CN"/>
              </w:rPr>
              <w:t>3</w:t>
            </w:r>
          </w:p>
        </w:tc>
        <w:tc>
          <w:tcPr>
            <w:tcW w:w="3070" w:type="dxa"/>
            <w:noWrap w:val="0"/>
            <w:vAlign w:val="center"/>
          </w:tcPr>
          <w:p w14:paraId="79E942FD">
            <w:pPr>
              <w:pStyle w:val="182"/>
              <w:spacing w:line="240" w:lineRule="auto"/>
              <w:ind w:firstLine="0" w:firstLineChars="0"/>
              <w:jc w:val="left"/>
              <w:rPr>
                <w:rFonts w:hint="eastAsia"/>
                <w:b w:val="0"/>
                <w:bCs w:val="0"/>
                <w:color w:val="auto"/>
                <w:u w:val="none"/>
              </w:rPr>
            </w:pPr>
            <w:r>
              <w:rPr>
                <w:rFonts w:hint="eastAsia"/>
                <w:b w:val="0"/>
                <w:bCs w:val="0"/>
                <w:color w:val="auto"/>
                <w:u w:val="none"/>
                <w:lang w:eastAsia="zh-CN"/>
              </w:rPr>
              <w:t>根据近一年废气监测报告，PM 排放浓度不高于 10mg/m</w:t>
            </w:r>
            <w:r>
              <w:rPr>
                <w:rFonts w:hint="eastAsia"/>
                <w:b w:val="0"/>
                <w:bCs w:val="0"/>
                <w:color w:val="auto"/>
                <w:u w:val="none"/>
                <w:vertAlign w:val="superscript"/>
                <w:lang w:val="en-US" w:eastAsia="zh-CN"/>
              </w:rPr>
              <w:t>3</w:t>
            </w:r>
          </w:p>
        </w:tc>
        <w:tc>
          <w:tcPr>
            <w:tcW w:w="945" w:type="dxa"/>
            <w:noWrap w:val="0"/>
            <w:vAlign w:val="center"/>
          </w:tcPr>
          <w:p w14:paraId="054457C8">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r w14:paraId="6E069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08" w:type="dxa"/>
            <w:noWrap w:val="0"/>
            <w:vAlign w:val="center"/>
          </w:tcPr>
          <w:p w14:paraId="09A2CC26">
            <w:pPr>
              <w:pStyle w:val="182"/>
              <w:spacing w:line="240" w:lineRule="auto"/>
              <w:ind w:firstLine="0" w:firstLineChars="0"/>
              <w:jc w:val="center"/>
              <w:rPr>
                <w:b w:val="0"/>
                <w:bCs w:val="0"/>
                <w:color w:val="auto"/>
                <w:u w:val="none"/>
              </w:rPr>
            </w:pPr>
            <w:r>
              <w:rPr>
                <w:rFonts w:hint="eastAsia"/>
                <w:b w:val="0"/>
                <w:bCs w:val="0"/>
                <w:color w:val="auto"/>
                <w:u w:val="none"/>
              </w:rPr>
              <w:t>监测监控水平</w:t>
            </w:r>
          </w:p>
        </w:tc>
        <w:tc>
          <w:tcPr>
            <w:tcW w:w="4080" w:type="dxa"/>
            <w:noWrap w:val="0"/>
            <w:vAlign w:val="center"/>
          </w:tcPr>
          <w:p w14:paraId="3158BFF1">
            <w:pPr>
              <w:pStyle w:val="182"/>
              <w:spacing w:line="240" w:lineRule="auto"/>
              <w:ind w:firstLine="0" w:firstLineChars="0"/>
              <w:jc w:val="left"/>
              <w:rPr>
                <w:b w:val="0"/>
                <w:bCs w:val="0"/>
                <w:color w:val="auto"/>
                <w:u w:val="none"/>
              </w:rPr>
            </w:pPr>
            <w:r>
              <w:rPr>
                <w:rFonts w:hint="eastAsia"/>
                <w:b w:val="0"/>
                <w:bCs w:val="0"/>
                <w:color w:val="auto"/>
                <w:u w:val="none"/>
              </w:rPr>
              <w:t>重点排污企业主要排放口【6】安装 CEMS，记录生产设施运行情况，数据保存一年以上。</w:t>
            </w:r>
          </w:p>
        </w:tc>
        <w:tc>
          <w:tcPr>
            <w:tcW w:w="3070" w:type="dxa"/>
            <w:noWrap w:val="0"/>
            <w:vAlign w:val="center"/>
          </w:tcPr>
          <w:p w14:paraId="29307A3A">
            <w:pPr>
              <w:pStyle w:val="182"/>
              <w:keepNext w:val="0"/>
              <w:keepLines w:val="0"/>
              <w:pageBreakBefore w:val="0"/>
              <w:widowControl w:val="0"/>
              <w:kinsoku/>
              <w:wordWrap/>
              <w:overflowPunct/>
              <w:topLinePunct w:val="0"/>
              <w:autoSpaceDE w:val="0"/>
              <w:autoSpaceDN w:val="0"/>
              <w:bidi w:val="0"/>
              <w:adjustRightInd/>
              <w:snapToGrid/>
              <w:spacing w:before="0"/>
              <w:ind w:left="0"/>
              <w:jc w:val="left"/>
              <w:textAlignment w:val="auto"/>
              <w:rPr>
                <w:rFonts w:hint="eastAsia"/>
                <w:b w:val="0"/>
                <w:bCs w:val="0"/>
                <w:color w:val="auto"/>
                <w:u w:val="none"/>
                <w:lang w:val="en-US" w:eastAsia="zh-CN"/>
              </w:rPr>
            </w:pPr>
            <w:r>
              <w:rPr>
                <w:rFonts w:hint="eastAsia"/>
                <w:b w:val="0"/>
                <w:bCs w:val="0"/>
                <w:color w:val="auto"/>
                <w:u w:val="none"/>
                <w:lang w:val="en-US" w:eastAsia="zh-CN"/>
              </w:rPr>
              <w:t>本公司锅炉排放口安装有CEMS，记录生产设施运行情况，数据能保存一年以上。</w:t>
            </w:r>
          </w:p>
        </w:tc>
        <w:tc>
          <w:tcPr>
            <w:tcW w:w="945" w:type="dxa"/>
            <w:noWrap w:val="0"/>
            <w:vAlign w:val="center"/>
          </w:tcPr>
          <w:p w14:paraId="18CBD6E4">
            <w:pPr>
              <w:pStyle w:val="182"/>
              <w:spacing w:line="240" w:lineRule="auto"/>
              <w:ind w:firstLine="0" w:firstLineChars="0"/>
              <w:jc w:val="center"/>
              <w:rPr>
                <w:rFonts w:hint="default"/>
                <w:b w:val="0"/>
                <w:bCs w:val="0"/>
                <w:color w:val="auto"/>
                <w:u w:val="none"/>
                <w:lang w:val="en-US" w:eastAsia="zh-CN"/>
              </w:rPr>
            </w:pPr>
            <w:r>
              <w:rPr>
                <w:rFonts w:hint="eastAsia"/>
                <w:b w:val="0"/>
                <w:bCs w:val="0"/>
                <w:color w:val="auto"/>
                <w:u w:val="none"/>
              </w:rPr>
              <w:t>满足</w:t>
            </w:r>
          </w:p>
        </w:tc>
      </w:tr>
    </w:tbl>
    <w:p w14:paraId="0CC47CC6">
      <w:pPr>
        <w:spacing w:line="240" w:lineRule="auto"/>
        <w:ind w:firstLine="0" w:firstLineChars="0"/>
        <w:jc w:val="left"/>
        <w:rPr>
          <w:rFonts w:hint="eastAsia" w:ascii="Times New Roman" w:hAnsi="Times New Roman" w:eastAsia="宋体" w:cs="Times New Roman"/>
          <w:b w:val="0"/>
          <w:bCs w:val="0"/>
          <w:color w:val="auto"/>
          <w:sz w:val="24"/>
          <w:szCs w:val="24"/>
          <w:u w:val="none"/>
        </w:rPr>
      </w:pPr>
      <w:r>
        <w:rPr>
          <w:rFonts w:hint="eastAsia" w:ascii="Times New Roman" w:hAnsi="Times New Roman" w:eastAsia="宋体" w:cs="Times New Roman"/>
          <w:b w:val="0"/>
          <w:bCs w:val="0"/>
          <w:color w:val="auto"/>
          <w:sz w:val="24"/>
          <w:szCs w:val="24"/>
          <w:u w:val="none"/>
        </w:rPr>
        <w:t>备注【1】：燃气锅炉在PM稳定达到排放限值情况下可不采用除尘工艺；</w:t>
      </w:r>
    </w:p>
    <w:p w14:paraId="5AD6E043">
      <w:pPr>
        <w:spacing w:line="240" w:lineRule="auto"/>
        <w:ind w:firstLine="0" w:firstLineChars="0"/>
        <w:jc w:val="left"/>
        <w:rPr>
          <w:rFonts w:hint="eastAsia" w:ascii="Times New Roman" w:hAnsi="Times New Roman" w:eastAsia="宋体" w:cs="Times New Roman"/>
          <w:b w:val="0"/>
          <w:bCs w:val="0"/>
          <w:color w:val="auto"/>
          <w:sz w:val="24"/>
          <w:szCs w:val="24"/>
          <w:u w:val="none"/>
        </w:rPr>
      </w:pPr>
      <w:r>
        <w:rPr>
          <w:rFonts w:hint="eastAsia" w:ascii="Times New Roman" w:hAnsi="Times New Roman" w:eastAsia="宋体" w:cs="Times New Roman"/>
          <w:b w:val="0"/>
          <w:bCs w:val="0"/>
          <w:color w:val="auto"/>
          <w:sz w:val="24"/>
          <w:szCs w:val="24"/>
          <w:u w:val="none"/>
        </w:rPr>
        <w:t>备注【2】：温度低于800℃的燃气/燃油的干燥窑、热处理窑和燃气/生物质锅炉，在稳定达到排放限值情况下可不采用SCR/SNCR等工艺；</w:t>
      </w:r>
    </w:p>
    <w:p w14:paraId="46B471DE">
      <w:pPr>
        <w:spacing w:line="240" w:lineRule="auto"/>
        <w:ind w:firstLine="0" w:firstLineChars="0"/>
        <w:jc w:val="left"/>
        <w:rPr>
          <w:rFonts w:hint="eastAsia" w:ascii="Times New Roman" w:hAnsi="Times New Roman" w:eastAsia="宋体" w:cs="Times New Roman"/>
          <w:b w:val="0"/>
          <w:bCs w:val="0"/>
          <w:color w:val="auto"/>
          <w:sz w:val="24"/>
          <w:szCs w:val="24"/>
          <w:u w:val="none"/>
        </w:rPr>
      </w:pPr>
      <w:r>
        <w:rPr>
          <w:rFonts w:hint="eastAsia" w:ascii="Times New Roman" w:hAnsi="Times New Roman" w:eastAsia="宋体" w:cs="Times New Roman"/>
          <w:b w:val="0"/>
          <w:bCs w:val="0"/>
          <w:color w:val="auto"/>
          <w:sz w:val="24"/>
          <w:szCs w:val="24"/>
          <w:u w:val="none"/>
        </w:rPr>
        <w:t>备注【3】：采用纯生物质锅炉、窑炉，在SO</w:t>
      </w:r>
      <w:r>
        <w:rPr>
          <w:rFonts w:hint="eastAsia" w:ascii="Times New Roman" w:hAnsi="Times New Roman" w:eastAsia="宋体" w:cs="Times New Roman"/>
          <w:b w:val="0"/>
          <w:bCs w:val="0"/>
          <w:color w:val="auto"/>
          <w:sz w:val="24"/>
          <w:szCs w:val="24"/>
          <w:u w:val="none"/>
          <w:vertAlign w:val="subscript"/>
        </w:rPr>
        <w:t>2</w:t>
      </w:r>
      <w:r>
        <w:rPr>
          <w:rFonts w:hint="eastAsia" w:ascii="Times New Roman" w:hAnsi="Times New Roman" w:eastAsia="宋体" w:cs="Times New Roman"/>
          <w:b w:val="0"/>
          <w:bCs w:val="0"/>
          <w:color w:val="auto"/>
          <w:sz w:val="24"/>
          <w:szCs w:val="24"/>
          <w:u w:val="none"/>
        </w:rPr>
        <w:t>稳定达到排放限值情况下可不采用脱硫工艺；</w:t>
      </w:r>
    </w:p>
    <w:p w14:paraId="32C53157">
      <w:pPr>
        <w:spacing w:line="240" w:lineRule="auto"/>
        <w:ind w:firstLine="0" w:firstLineChars="0"/>
        <w:jc w:val="left"/>
        <w:rPr>
          <w:rFonts w:hint="eastAsia" w:ascii="Times New Roman" w:hAnsi="Times New Roman" w:eastAsia="宋体" w:cs="Times New Roman"/>
          <w:b w:val="0"/>
          <w:bCs w:val="0"/>
          <w:color w:val="auto"/>
          <w:sz w:val="24"/>
          <w:szCs w:val="24"/>
          <w:u w:val="none"/>
        </w:rPr>
      </w:pPr>
      <w:r>
        <w:rPr>
          <w:rFonts w:hint="eastAsia" w:ascii="Times New Roman" w:hAnsi="Times New Roman" w:eastAsia="宋体" w:cs="Times New Roman"/>
          <w:b w:val="0"/>
          <w:bCs w:val="0"/>
          <w:color w:val="auto"/>
          <w:sz w:val="24"/>
          <w:szCs w:val="24"/>
          <w:u w:val="none"/>
        </w:rPr>
        <w:t>备注【4】：新建燃气锅炉和需要采取特别保护措施的区域，执行该排放限值；</w:t>
      </w:r>
    </w:p>
    <w:p w14:paraId="49EBB521">
      <w:pPr>
        <w:spacing w:line="240" w:lineRule="auto"/>
        <w:ind w:firstLine="0" w:firstLineChars="0"/>
        <w:jc w:val="left"/>
        <w:rPr>
          <w:rFonts w:hint="eastAsia" w:ascii="Times New Roman" w:hAnsi="Times New Roman" w:eastAsia="宋体" w:cs="Times New Roman"/>
          <w:b w:val="0"/>
          <w:bCs w:val="0"/>
          <w:color w:val="auto"/>
          <w:sz w:val="24"/>
          <w:szCs w:val="24"/>
          <w:u w:val="none"/>
        </w:rPr>
      </w:pPr>
      <w:r>
        <w:rPr>
          <w:rFonts w:hint="eastAsia" w:ascii="Times New Roman" w:hAnsi="Times New Roman" w:eastAsia="宋体" w:cs="Times New Roman"/>
          <w:b w:val="0"/>
          <w:bCs w:val="0"/>
          <w:color w:val="auto"/>
          <w:sz w:val="24"/>
          <w:szCs w:val="24"/>
          <w:u w:val="none"/>
        </w:rPr>
        <w:t>备注【5】：确定生物质发电锅炉基准含氧量按6%计；</w:t>
      </w:r>
    </w:p>
    <w:p w14:paraId="77D9D33E">
      <w:pPr>
        <w:spacing w:line="240" w:lineRule="auto"/>
        <w:ind w:firstLine="0" w:firstLineChars="0"/>
        <w:jc w:val="left"/>
        <w:rPr>
          <w:rFonts w:hint="eastAsia" w:ascii="Times New Roman" w:hAnsi="Times New Roman" w:eastAsia="宋体" w:cs="Times New Roman"/>
          <w:b w:val="0"/>
          <w:bCs w:val="0"/>
          <w:color w:val="auto"/>
          <w:sz w:val="24"/>
          <w:szCs w:val="24"/>
          <w:u w:val="none"/>
          <w:lang w:eastAsia="zh-CN"/>
        </w:rPr>
      </w:pPr>
      <w:r>
        <w:rPr>
          <w:rFonts w:hint="eastAsia" w:ascii="Times New Roman" w:hAnsi="Times New Roman" w:eastAsia="宋体" w:cs="Times New Roman"/>
          <w:b w:val="0"/>
          <w:bCs w:val="0"/>
          <w:color w:val="auto"/>
          <w:sz w:val="24"/>
          <w:szCs w:val="24"/>
          <w:u w:val="none"/>
        </w:rPr>
        <w:t>备注【6】：主要排放口按照《排污许可证申请与核发技术规范XX工业》确</w:t>
      </w:r>
      <w:r>
        <w:rPr>
          <w:rFonts w:hint="eastAsia" w:ascii="Times New Roman" w:hAnsi="Times New Roman" w:eastAsia="宋体" w:cs="Times New Roman"/>
          <w:b w:val="0"/>
          <w:bCs w:val="0"/>
          <w:color w:val="auto"/>
          <w:sz w:val="24"/>
          <w:szCs w:val="24"/>
          <w:u w:val="none"/>
          <w:lang w:eastAsia="zh-CN"/>
        </w:rPr>
        <w:t>定</w:t>
      </w:r>
    </w:p>
    <w:p w14:paraId="338C050B">
      <w:pPr>
        <w:bidi w:val="0"/>
        <w:rPr>
          <w:rFonts w:hint="default"/>
          <w:b/>
          <w:bCs/>
          <w:u w:val="single"/>
          <w:lang w:val="en-US" w:eastAsia="zh-CN"/>
        </w:rPr>
      </w:pPr>
      <w:r>
        <w:rPr>
          <w:rFonts w:hint="eastAsia"/>
          <w:b/>
          <w:bCs/>
          <w:u w:val="single"/>
          <w:lang w:val="en-US" w:eastAsia="zh-CN"/>
        </w:rPr>
        <w:t>（2）本项目</w:t>
      </w:r>
    </w:p>
    <w:p w14:paraId="13C621E5">
      <w:pPr>
        <w:bidi w:val="0"/>
        <w:rPr>
          <w:b/>
          <w:bCs/>
          <w:u w:val="single"/>
        </w:rPr>
      </w:pPr>
      <w:r>
        <w:rPr>
          <w:rFonts w:hint="default"/>
          <w:b/>
          <w:bCs/>
          <w:u w:val="single"/>
        </w:rPr>
        <w:t>本项目</w:t>
      </w:r>
      <w:r>
        <w:rPr>
          <w:rFonts w:hint="eastAsia"/>
          <w:b/>
          <w:bCs/>
          <w:u w:val="single"/>
          <w:lang w:val="en-US" w:eastAsia="zh-CN"/>
        </w:rPr>
        <w:t>对照</w:t>
      </w:r>
      <w:r>
        <w:rPr>
          <w:rFonts w:hint="default"/>
          <w:b/>
          <w:bCs/>
          <w:u w:val="single"/>
        </w:rPr>
        <w:t>《河南省重污染天气通用重点行业应急减排措施制定技术指南（2021年修订</w:t>
      </w:r>
      <w:r>
        <w:rPr>
          <w:rFonts w:hint="default"/>
          <w:b/>
          <w:bCs/>
          <w:u w:val="single"/>
          <w:lang w:eastAsia="zh-CN"/>
        </w:rPr>
        <w:t>）</w:t>
      </w:r>
      <w:r>
        <w:rPr>
          <w:rFonts w:hint="default"/>
          <w:b/>
          <w:bCs/>
          <w:u w:val="single"/>
        </w:rPr>
        <w:t>》中涉颗粒物</w:t>
      </w:r>
      <w:r>
        <w:rPr>
          <w:rFonts w:hint="eastAsia"/>
          <w:b/>
          <w:bCs/>
          <w:u w:val="single"/>
          <w:lang w:eastAsia="zh-CN"/>
        </w:rPr>
        <w:t>、</w:t>
      </w:r>
      <w:r>
        <w:rPr>
          <w:rFonts w:hint="eastAsia"/>
          <w:b/>
          <w:bCs/>
          <w:u w:val="single"/>
          <w:lang w:val="en-US" w:eastAsia="zh-CN"/>
        </w:rPr>
        <w:t>VOCs</w:t>
      </w:r>
      <w:r>
        <w:rPr>
          <w:rFonts w:hint="default"/>
          <w:b/>
          <w:bCs/>
          <w:u w:val="single"/>
        </w:rPr>
        <w:t>要求，结合实际情况，与方案中</w:t>
      </w:r>
      <w:r>
        <w:rPr>
          <w:rFonts w:hint="default"/>
          <w:b/>
          <w:bCs/>
          <w:u w:val="single"/>
          <w:lang w:eastAsia="zh-CN"/>
        </w:rPr>
        <w:t>涉及</w:t>
      </w:r>
      <w:r>
        <w:rPr>
          <w:rFonts w:hint="default"/>
          <w:b/>
          <w:bCs/>
          <w:u w:val="single"/>
        </w:rPr>
        <w:t>本项目的内容相符性分析见下表。</w:t>
      </w:r>
    </w:p>
    <w:p w14:paraId="63543716">
      <w:pPr>
        <w:pStyle w:val="10"/>
        <w:bidi w:val="0"/>
        <w:rPr>
          <w:rFonts w:hint="eastAsia"/>
        </w:rPr>
      </w:pPr>
      <w:r>
        <w:t xml:space="preserve">表 </w:t>
      </w:r>
      <w:r>
        <w:fldChar w:fldCharType="begin"/>
      </w:r>
      <w:r>
        <w:instrText xml:space="preserve"> STYLEREF 2 \s </w:instrText>
      </w:r>
      <w:r>
        <w:fldChar w:fldCharType="separate"/>
      </w:r>
      <w:r>
        <w:t>2.10</w:t>
      </w:r>
      <w:r>
        <w:fldChar w:fldCharType="end"/>
      </w:r>
      <w:r>
        <w:rPr>
          <w:rFonts w:hint="eastAsia"/>
          <w:lang w:eastAsia="zh-CN"/>
        </w:rPr>
        <w:t>-</w:t>
      </w:r>
      <w:r>
        <w:fldChar w:fldCharType="begin"/>
      </w:r>
      <w:r>
        <w:instrText xml:space="preserve"> SEQ 表 \* ARABIC \s 2 </w:instrText>
      </w:r>
      <w:r>
        <w:fldChar w:fldCharType="separate"/>
      </w:r>
      <w:r>
        <w:t>4</w:t>
      </w:r>
      <w:r>
        <w:fldChar w:fldCharType="end"/>
      </w:r>
      <w:r>
        <w:rPr>
          <w:rFonts w:hint="eastAsia"/>
        </w:rPr>
        <w:t xml:space="preserve"> 重污染天气重点行业应急减排措施A级企业绩效指标要求及项目符合性</w:t>
      </w:r>
    </w:p>
    <w:tbl>
      <w:tblPr>
        <w:tblStyle w:val="32"/>
        <w:tblW w:w="8116" w:type="dxa"/>
        <w:jc w:val="center"/>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1041"/>
        <w:gridCol w:w="445"/>
        <w:gridCol w:w="445"/>
        <w:gridCol w:w="3742"/>
        <w:gridCol w:w="1624"/>
        <w:gridCol w:w="819"/>
      </w:tblGrid>
      <w:tr w14:paraId="1E4F6EA9">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502" w:hRule="atLeast"/>
          <w:jc w:val="center"/>
        </w:trPr>
        <w:tc>
          <w:tcPr>
            <w:tcW w:w="1931" w:type="dxa"/>
            <w:gridSpan w:val="3"/>
            <w:tcBorders>
              <w:tl2br w:val="nil"/>
              <w:tr2bl w:val="nil"/>
            </w:tcBorders>
            <w:noWrap w:val="0"/>
            <w:vAlign w:val="center"/>
          </w:tcPr>
          <w:p w14:paraId="3EBF82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bCs/>
                <w:sz w:val="21"/>
                <w:szCs w:val="21"/>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eastAsia="zh-CN"/>
              </w:rPr>
              <w:t>类别</w:t>
            </w:r>
          </w:p>
        </w:tc>
        <w:tc>
          <w:tcPr>
            <w:tcW w:w="3742" w:type="dxa"/>
            <w:tcBorders>
              <w:tl2br w:val="nil"/>
              <w:tr2bl w:val="nil"/>
            </w:tcBorders>
            <w:noWrap w:val="0"/>
            <w:vAlign w:val="center"/>
          </w:tcPr>
          <w:p w14:paraId="5227A3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bCs/>
                <w:sz w:val="21"/>
                <w:szCs w:val="21"/>
                <w:highlight w:val="none"/>
                <w:u w:val="none"/>
                <w:vertAlign w:val="baseline"/>
                <w:lang w:val="en-US" w:eastAsia="zh-CN"/>
              </w:rPr>
            </w:pPr>
            <w:r>
              <w:rPr>
                <w:rFonts w:hint="eastAsia" w:ascii="Times New Roman" w:hAnsi="Times New Roman" w:eastAsia="宋体" w:cs="Times New Roman"/>
                <w:b/>
                <w:bCs/>
                <w:color w:val="000000"/>
                <w:kern w:val="0"/>
                <w:sz w:val="21"/>
                <w:szCs w:val="21"/>
                <w:highlight w:val="none"/>
                <w:u w:val="none"/>
                <w:lang w:val="en-US" w:eastAsia="zh-CN"/>
              </w:rPr>
              <w:t>通用行业基本要求</w:t>
            </w:r>
          </w:p>
        </w:tc>
        <w:tc>
          <w:tcPr>
            <w:tcW w:w="1624" w:type="dxa"/>
            <w:tcBorders>
              <w:tl2br w:val="nil"/>
              <w:tr2bl w:val="nil"/>
            </w:tcBorders>
            <w:noWrap w:val="0"/>
            <w:vAlign w:val="center"/>
          </w:tcPr>
          <w:p w14:paraId="55D5BD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bCs/>
                <w:sz w:val="21"/>
                <w:szCs w:val="21"/>
                <w:highlight w:val="none"/>
                <w:u w:val="none"/>
                <w:vertAlign w:val="baseline"/>
                <w:lang w:val="en-US" w:eastAsia="zh-CN"/>
              </w:rPr>
            </w:pPr>
            <w:r>
              <w:rPr>
                <w:rFonts w:hint="eastAsia" w:ascii="Times New Roman" w:hAnsi="Times New Roman" w:eastAsia="宋体" w:cs="Times New Roman"/>
                <w:b/>
                <w:bCs/>
                <w:color w:val="000000"/>
                <w:kern w:val="0"/>
                <w:sz w:val="21"/>
                <w:szCs w:val="21"/>
                <w:highlight w:val="none"/>
                <w:u w:val="none"/>
                <w:lang w:val="en-US" w:eastAsia="zh-CN"/>
              </w:rPr>
              <w:t>本项目情况</w:t>
            </w:r>
          </w:p>
        </w:tc>
        <w:tc>
          <w:tcPr>
            <w:tcW w:w="819" w:type="dxa"/>
            <w:tcBorders>
              <w:tl2br w:val="nil"/>
              <w:tr2bl w:val="nil"/>
            </w:tcBorders>
            <w:noWrap w:val="0"/>
            <w:vAlign w:val="center"/>
          </w:tcPr>
          <w:p w14:paraId="3327D8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eastAsia" w:ascii="Times New Roman" w:hAnsi="Times New Roman" w:eastAsia="宋体" w:cs="Times New Roman"/>
                <w:b/>
                <w:bCs/>
                <w:sz w:val="21"/>
                <w:szCs w:val="21"/>
                <w:highlight w:val="none"/>
                <w:u w:val="none"/>
                <w:vertAlign w:val="baseline"/>
                <w:lang w:val="en-US" w:eastAsia="zh-CN"/>
              </w:rPr>
            </w:pPr>
            <w:r>
              <w:rPr>
                <w:rFonts w:hint="eastAsia" w:ascii="Times New Roman" w:hAnsi="Times New Roman" w:eastAsia="宋体" w:cs="Times New Roman"/>
                <w:b/>
                <w:bCs/>
                <w:color w:val="000000"/>
                <w:kern w:val="0"/>
                <w:sz w:val="21"/>
                <w:szCs w:val="21"/>
                <w:highlight w:val="none"/>
                <w:u w:val="none"/>
                <w:lang w:val="en-US" w:eastAsia="zh-CN"/>
              </w:rPr>
              <w:t>相符性</w:t>
            </w:r>
          </w:p>
        </w:tc>
      </w:tr>
      <w:tr w14:paraId="3AE6AFDE">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4" w:hRule="atLeast"/>
          <w:jc w:val="center"/>
        </w:trPr>
        <w:tc>
          <w:tcPr>
            <w:tcW w:w="1041" w:type="dxa"/>
            <w:vMerge w:val="restart"/>
            <w:tcBorders>
              <w:tl2br w:val="nil"/>
              <w:tr2bl w:val="nil"/>
            </w:tcBorders>
            <w:noWrap w:val="0"/>
            <w:vAlign w:val="center"/>
          </w:tcPr>
          <w:p w14:paraId="49934A1A">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000000"/>
                <w:kern w:val="0"/>
                <w:sz w:val="21"/>
                <w:szCs w:val="21"/>
                <w:highlight w:val="none"/>
                <w:lang w:val="en-US" w:eastAsia="zh-CN" w:bidi="ar"/>
              </w:rPr>
            </w:pPr>
            <w:r>
              <w:rPr>
                <w:rFonts w:hint="default" w:ascii="Times New Roman" w:hAnsi="Times New Roman" w:eastAsia="宋体" w:cs="Times New Roman"/>
                <w:i w:val="0"/>
                <w:iCs w:val="0"/>
                <w:caps w:val="0"/>
                <w:color w:val="333333"/>
                <w:spacing w:val="0"/>
                <w:sz w:val="21"/>
                <w:szCs w:val="21"/>
                <w:highlight w:val="none"/>
                <w:shd w:val="clear" w:color="auto" w:fill="FFFFFF"/>
                <w:lang w:val="en-US" w:eastAsia="zh-CN"/>
              </w:rPr>
              <w:t>涉PM企业基本要求</w:t>
            </w:r>
          </w:p>
        </w:tc>
        <w:tc>
          <w:tcPr>
            <w:tcW w:w="890" w:type="dxa"/>
            <w:gridSpan w:val="2"/>
            <w:tcBorders>
              <w:tl2br w:val="nil"/>
              <w:tr2bl w:val="nil"/>
            </w:tcBorders>
            <w:noWrap w:val="0"/>
            <w:vAlign w:val="center"/>
          </w:tcPr>
          <w:p w14:paraId="2FB97756">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000000"/>
                <w:kern w:val="0"/>
                <w:sz w:val="21"/>
                <w:szCs w:val="21"/>
                <w:highlight w:val="none"/>
                <w:lang w:val="en-US" w:eastAsia="zh-CN" w:bidi="ar"/>
              </w:rPr>
            </w:pPr>
            <w:r>
              <w:rPr>
                <w:rFonts w:hint="eastAsia" w:ascii="宋体" w:hAnsi="宋体" w:eastAsia="宋体" w:cs="宋体"/>
                <w:color w:val="000000"/>
                <w:kern w:val="0"/>
                <w:sz w:val="21"/>
                <w:szCs w:val="21"/>
                <w:highlight w:val="none"/>
                <w:lang w:val="en-US" w:eastAsia="zh-CN" w:bidi="ar"/>
              </w:rPr>
              <w:t>物料装卸</w:t>
            </w:r>
          </w:p>
          <w:p w14:paraId="1159A640">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000000"/>
                <w:kern w:val="0"/>
                <w:sz w:val="21"/>
                <w:szCs w:val="21"/>
                <w:highlight w:val="none"/>
                <w:lang w:val="en-US" w:eastAsia="zh-CN" w:bidi="ar"/>
              </w:rPr>
            </w:pPr>
          </w:p>
        </w:tc>
        <w:tc>
          <w:tcPr>
            <w:tcW w:w="3742" w:type="dxa"/>
            <w:tcBorders>
              <w:tl2br w:val="nil"/>
              <w:tr2bl w:val="nil"/>
            </w:tcBorders>
            <w:noWrap w:val="0"/>
            <w:vAlign w:val="center"/>
          </w:tcPr>
          <w:p w14:paraId="7BB85548">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车辆运输的物料应采取封闭措施。粉状、粒状、块状散装物料在封闭料场内装卸，装卸过程中产尘点应设置集气除尘装置，料堆应采取有效抑尘措施。</w:t>
            </w:r>
          </w:p>
          <w:p w14:paraId="2DDA6B00">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不易产尘的袋装物料宜在料棚中装卸，如需露天装卸应采取防止破袋及粉尘外逸措施。</w:t>
            </w:r>
          </w:p>
        </w:tc>
        <w:tc>
          <w:tcPr>
            <w:tcW w:w="1624" w:type="dxa"/>
            <w:tcBorders>
              <w:tl2br w:val="nil"/>
              <w:tr2bl w:val="nil"/>
            </w:tcBorders>
            <w:noWrap w:val="0"/>
            <w:vAlign w:val="center"/>
          </w:tcPr>
          <w:p w14:paraId="48635A19">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1车辆物料运输采取封闭措施。本项目</w:t>
            </w:r>
            <w:r>
              <w:rPr>
                <w:rFonts w:hint="eastAsia" w:cs="Times New Roman"/>
                <w:color w:val="000000"/>
                <w:kern w:val="0"/>
                <w:sz w:val="21"/>
                <w:szCs w:val="21"/>
                <w:highlight w:val="none"/>
                <w:lang w:val="en-US" w:eastAsia="zh-CN" w:bidi="ar"/>
              </w:rPr>
              <w:t>废旧棉纺织品</w:t>
            </w:r>
            <w:r>
              <w:rPr>
                <w:rFonts w:hint="eastAsia" w:ascii="Times New Roman" w:hAnsi="Times New Roman" w:eastAsia="宋体" w:cs="Times New Roman"/>
                <w:color w:val="000000"/>
                <w:kern w:val="0"/>
                <w:sz w:val="21"/>
                <w:szCs w:val="21"/>
                <w:highlight w:val="none"/>
                <w:lang w:val="en-US" w:eastAsia="zh-CN" w:bidi="ar"/>
              </w:rPr>
              <w:t>不产生扬尘</w:t>
            </w:r>
            <w:r>
              <w:rPr>
                <w:rFonts w:hint="default" w:ascii="Times New Roman" w:hAnsi="Times New Roman" w:eastAsia="宋体" w:cs="Times New Roman"/>
                <w:color w:val="000000"/>
                <w:kern w:val="0"/>
                <w:sz w:val="21"/>
                <w:szCs w:val="21"/>
                <w:highlight w:val="none"/>
                <w:lang w:val="en-US" w:eastAsia="zh-CN" w:bidi="ar"/>
              </w:rPr>
              <w:t>；</w:t>
            </w:r>
          </w:p>
          <w:p w14:paraId="427F3024">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2.不涉及</w:t>
            </w:r>
            <w:r>
              <w:rPr>
                <w:rFonts w:hint="eastAsia" w:cs="Times New Roman"/>
                <w:color w:val="000000"/>
                <w:kern w:val="0"/>
                <w:sz w:val="21"/>
                <w:szCs w:val="21"/>
                <w:highlight w:val="none"/>
                <w:lang w:val="en-US" w:eastAsia="zh-CN" w:bidi="ar"/>
              </w:rPr>
              <w:t>产尘的</w:t>
            </w:r>
            <w:r>
              <w:rPr>
                <w:rFonts w:hint="default" w:ascii="Times New Roman" w:hAnsi="Times New Roman" w:eastAsia="宋体" w:cs="Times New Roman"/>
                <w:color w:val="000000"/>
                <w:kern w:val="0"/>
                <w:sz w:val="21"/>
                <w:szCs w:val="21"/>
                <w:highlight w:val="none"/>
                <w:lang w:val="en-US" w:eastAsia="zh-CN" w:bidi="ar"/>
              </w:rPr>
              <w:t>袋装物料。</w:t>
            </w:r>
          </w:p>
        </w:tc>
        <w:tc>
          <w:tcPr>
            <w:tcW w:w="819" w:type="dxa"/>
            <w:tcBorders>
              <w:tl2br w:val="nil"/>
              <w:tr2bl w:val="nil"/>
            </w:tcBorders>
            <w:noWrap w:val="0"/>
            <w:vAlign w:val="center"/>
          </w:tcPr>
          <w:p w14:paraId="54CCCE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sz w:val="21"/>
                <w:szCs w:val="21"/>
                <w:highlight w:val="none"/>
              </w:rPr>
              <w:t>符合要求</w:t>
            </w:r>
          </w:p>
        </w:tc>
      </w:tr>
      <w:tr w14:paraId="4BF9D5B4">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4" w:hRule="atLeast"/>
          <w:jc w:val="center"/>
        </w:trPr>
        <w:tc>
          <w:tcPr>
            <w:tcW w:w="1041" w:type="dxa"/>
            <w:vMerge w:val="continue"/>
            <w:tcBorders>
              <w:tl2br w:val="nil"/>
              <w:tr2bl w:val="nil"/>
            </w:tcBorders>
            <w:noWrap w:val="0"/>
            <w:vAlign w:val="center"/>
          </w:tcPr>
          <w:p w14:paraId="24896DB9">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p>
        </w:tc>
        <w:tc>
          <w:tcPr>
            <w:tcW w:w="890" w:type="dxa"/>
            <w:gridSpan w:val="2"/>
            <w:tcBorders>
              <w:tl2br w:val="nil"/>
              <w:tr2bl w:val="nil"/>
            </w:tcBorders>
            <w:noWrap w:val="0"/>
            <w:vAlign w:val="center"/>
          </w:tcPr>
          <w:p w14:paraId="46585389">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物料储存</w:t>
            </w:r>
          </w:p>
        </w:tc>
        <w:tc>
          <w:tcPr>
            <w:tcW w:w="3742" w:type="dxa"/>
            <w:tcBorders>
              <w:tl2br w:val="nil"/>
              <w:tr2bl w:val="nil"/>
            </w:tcBorders>
            <w:noWrap w:val="0"/>
            <w:vAlign w:val="center"/>
          </w:tcPr>
          <w:p w14:paraId="367CD4FB">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一般物料。粉状物料应储存于密闭</w:t>
            </w:r>
            <w:r>
              <w:rPr>
                <w:rFonts w:hint="default" w:ascii="Times New Roman" w:hAnsi="Times New Roman" w:eastAsia="宋体" w:cs="Times New Roman"/>
                <w:color w:val="000000"/>
                <w:kern w:val="0"/>
                <w:sz w:val="21"/>
                <w:szCs w:val="21"/>
                <w:highlight w:val="none"/>
                <w:lang w:val="en-US" w:eastAsia="zh-CN" w:bidi="ar"/>
              </w:rPr>
              <w:t>/</w:t>
            </w:r>
            <w:r>
              <w:rPr>
                <w:rFonts w:hint="eastAsia" w:ascii="Times New Roman" w:hAnsi="Times New Roman" w:eastAsia="宋体" w:cs="Times New Roman"/>
                <w:color w:val="000000"/>
                <w:kern w:val="0"/>
                <w:sz w:val="21"/>
                <w:szCs w:val="21"/>
                <w:highlight w:val="none"/>
                <w:lang w:val="en-US" w:eastAsia="zh-CN" w:bidi="ar"/>
              </w:rPr>
              <w:t>封闭料仓中；粒状、块状物料应储存于封闭料场中，并采取喷淋、清扫或其他有效抑尘措施；袋装物料应储存于封闭</w:t>
            </w:r>
            <w:r>
              <w:rPr>
                <w:rFonts w:hint="default" w:ascii="Times New Roman" w:hAnsi="Times New Roman" w:eastAsia="宋体" w:cs="Times New Roman"/>
                <w:color w:val="000000"/>
                <w:kern w:val="0"/>
                <w:sz w:val="21"/>
                <w:szCs w:val="21"/>
                <w:highlight w:val="none"/>
                <w:lang w:val="en-US" w:eastAsia="zh-CN" w:bidi="ar"/>
              </w:rPr>
              <w:t>/</w:t>
            </w:r>
            <w:r>
              <w:rPr>
                <w:rFonts w:hint="eastAsia" w:ascii="Times New Roman" w:hAnsi="Times New Roman" w:eastAsia="宋体" w:cs="Times New Roman"/>
                <w:color w:val="000000"/>
                <w:kern w:val="0"/>
                <w:sz w:val="21"/>
                <w:szCs w:val="21"/>
                <w:highlight w:val="none"/>
                <w:lang w:val="en-US" w:eastAsia="zh-CN" w:bidi="ar"/>
              </w:rPr>
              <w:t xml:space="preserve">半封闭料场中。封闭料场顶棚和四周围墙完整，料场内路面全部硬化，料场货物进出大门为硬质材料门或自动感应门，在确保安全的情况下，所有门窗保持常闭状态。不产尘物料（如钢材、管件）及产品如露天储存应在规定的存储区域码放整齐。 </w:t>
            </w:r>
          </w:p>
          <w:p w14:paraId="50368950">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危险废物。应有符合规范要求的危险废物储存间，危险废物储存间门口应张贴标准规范的危险废物标识和危废信息板，建立台账并挂于危废间内，危险废物的记录和货单保</w:t>
            </w:r>
            <w:r>
              <w:rPr>
                <w:rFonts w:hint="default" w:ascii="Times New Roman" w:hAnsi="Times New Roman" w:eastAsia="宋体" w:cs="Times New Roman"/>
                <w:color w:val="000000"/>
                <w:kern w:val="0"/>
                <w:sz w:val="21"/>
                <w:szCs w:val="21"/>
                <w:highlight w:val="none"/>
                <w:lang w:val="en-US" w:eastAsia="zh-CN" w:bidi="ar"/>
              </w:rPr>
              <w:t>存3年</w:t>
            </w:r>
            <w:r>
              <w:rPr>
                <w:rFonts w:hint="eastAsia" w:ascii="Times New Roman" w:hAnsi="Times New Roman" w:eastAsia="宋体" w:cs="Times New Roman"/>
                <w:color w:val="000000"/>
                <w:kern w:val="0"/>
                <w:sz w:val="21"/>
                <w:szCs w:val="21"/>
                <w:highlight w:val="none"/>
                <w:lang w:val="en-US" w:eastAsia="zh-CN" w:bidi="ar"/>
              </w:rPr>
              <w:t xml:space="preserve">以上。危废间内禁止存放除危险废物和应急工具外的其他物品。 </w:t>
            </w:r>
          </w:p>
        </w:tc>
        <w:tc>
          <w:tcPr>
            <w:tcW w:w="1624" w:type="dxa"/>
            <w:tcBorders>
              <w:tl2br w:val="nil"/>
              <w:tr2bl w:val="nil"/>
            </w:tcBorders>
            <w:noWrap w:val="0"/>
            <w:vAlign w:val="center"/>
          </w:tcPr>
          <w:p w14:paraId="5C7EFF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rPr>
              <w:t>本项目物料采用封闭包装，存放于密闭</w:t>
            </w:r>
            <w:r>
              <w:rPr>
                <w:rFonts w:hint="eastAsia" w:cs="Times New Roman"/>
                <w:b w:val="0"/>
                <w:bCs w:val="0"/>
                <w:color w:val="000000"/>
                <w:kern w:val="0"/>
                <w:sz w:val="21"/>
                <w:szCs w:val="21"/>
                <w:highlight w:val="none"/>
                <w:u w:val="none"/>
                <w:lang w:val="en-US" w:eastAsia="zh-CN"/>
              </w:rPr>
              <w:t>仓库</w:t>
            </w:r>
            <w:r>
              <w:rPr>
                <w:rFonts w:hint="eastAsia" w:ascii="Times New Roman" w:hAnsi="Times New Roman" w:eastAsia="宋体" w:cs="Times New Roman"/>
                <w:color w:val="000000"/>
                <w:kern w:val="0"/>
                <w:sz w:val="21"/>
                <w:szCs w:val="21"/>
                <w:highlight w:val="none"/>
                <w:lang w:val="en-US" w:eastAsia="zh-CN" w:bidi="ar"/>
              </w:rPr>
              <w:t>。本项目危险废物储存间门口张贴标准规范的危险废物标识和危废信息板，建立台账并挂于危废间内，危险废物的记录和货单保</w:t>
            </w:r>
            <w:r>
              <w:rPr>
                <w:rFonts w:hint="default" w:ascii="Times New Roman" w:hAnsi="Times New Roman" w:eastAsia="宋体" w:cs="Times New Roman"/>
                <w:color w:val="000000"/>
                <w:kern w:val="0"/>
                <w:sz w:val="21"/>
                <w:szCs w:val="21"/>
                <w:highlight w:val="none"/>
                <w:lang w:val="en-US" w:eastAsia="zh-CN" w:bidi="ar"/>
              </w:rPr>
              <w:t>存3年</w:t>
            </w:r>
            <w:r>
              <w:rPr>
                <w:rFonts w:hint="eastAsia" w:ascii="Times New Roman" w:hAnsi="Times New Roman" w:eastAsia="宋体" w:cs="Times New Roman"/>
                <w:color w:val="000000"/>
                <w:kern w:val="0"/>
                <w:sz w:val="21"/>
                <w:szCs w:val="21"/>
                <w:highlight w:val="none"/>
                <w:lang w:val="en-US" w:eastAsia="zh-CN" w:bidi="ar"/>
              </w:rPr>
              <w:t xml:space="preserve">以上。危废间内禁止存放除危险废物和应急工具外的其他物品。 </w:t>
            </w:r>
          </w:p>
        </w:tc>
        <w:tc>
          <w:tcPr>
            <w:tcW w:w="819" w:type="dxa"/>
            <w:tcBorders>
              <w:tl2br w:val="nil"/>
              <w:tr2bl w:val="nil"/>
            </w:tcBorders>
            <w:noWrap w:val="0"/>
            <w:vAlign w:val="center"/>
          </w:tcPr>
          <w:p w14:paraId="226649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sz w:val="21"/>
                <w:szCs w:val="21"/>
                <w:highlight w:val="none"/>
              </w:rPr>
              <w:t>符合要求</w:t>
            </w:r>
          </w:p>
        </w:tc>
      </w:tr>
      <w:tr w14:paraId="2700ACF8">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4" w:hRule="atLeast"/>
          <w:jc w:val="center"/>
        </w:trPr>
        <w:tc>
          <w:tcPr>
            <w:tcW w:w="1041" w:type="dxa"/>
            <w:vMerge w:val="continue"/>
            <w:tcBorders>
              <w:tl2br w:val="nil"/>
              <w:tr2bl w:val="nil"/>
            </w:tcBorders>
            <w:noWrap w:val="0"/>
            <w:vAlign w:val="center"/>
          </w:tcPr>
          <w:p w14:paraId="02EE2D21">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p>
        </w:tc>
        <w:tc>
          <w:tcPr>
            <w:tcW w:w="890" w:type="dxa"/>
            <w:gridSpan w:val="2"/>
            <w:tcBorders>
              <w:tl2br w:val="nil"/>
              <w:tr2bl w:val="nil"/>
            </w:tcBorders>
            <w:noWrap w:val="0"/>
            <w:vAlign w:val="center"/>
          </w:tcPr>
          <w:p w14:paraId="71300639">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物料转移和输送</w:t>
            </w:r>
          </w:p>
        </w:tc>
        <w:tc>
          <w:tcPr>
            <w:tcW w:w="3742" w:type="dxa"/>
            <w:tcBorders>
              <w:tl2br w:val="nil"/>
              <w:tr2bl w:val="nil"/>
            </w:tcBorders>
            <w:noWrap w:val="0"/>
            <w:vAlign w:val="center"/>
          </w:tcPr>
          <w:p w14:paraId="3725F896">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粉状、粒状等易产尘物料厂内转移、输送过程应采用气力输</w:t>
            </w:r>
            <w:r>
              <w:rPr>
                <w:rFonts w:hint="eastAsia" w:ascii="Times New Roman" w:hAnsi="Times New Roman" w:eastAsia="宋体" w:cs="Times New Roman"/>
                <w:color w:val="000000"/>
                <w:kern w:val="0"/>
                <w:sz w:val="21"/>
                <w:szCs w:val="21"/>
                <w:highlight w:val="none"/>
                <w:lang w:val="en-US" w:eastAsia="zh-CN" w:bidi="ar"/>
              </w:rPr>
              <w:t>送、密闭输送，块状和粘湿粉状物料采用封闭输送；无法封闭的产尘点（物料转载、下料口等）应采取集气除尘措施，或有效抑尘措施。</w:t>
            </w:r>
          </w:p>
        </w:tc>
        <w:tc>
          <w:tcPr>
            <w:tcW w:w="1624" w:type="dxa"/>
            <w:tcBorders>
              <w:tl2br w:val="nil"/>
              <w:tr2bl w:val="nil"/>
            </w:tcBorders>
            <w:noWrap w:val="0"/>
            <w:vAlign w:val="center"/>
          </w:tcPr>
          <w:p w14:paraId="76AA1B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color w:val="000000"/>
                <w:kern w:val="0"/>
                <w:sz w:val="21"/>
                <w:szCs w:val="21"/>
                <w:highlight w:val="none"/>
                <w:lang w:val="en-US" w:eastAsia="zh-CN" w:bidi="ar"/>
              </w:rPr>
              <w:t>1.</w:t>
            </w:r>
            <w:r>
              <w:rPr>
                <w:rFonts w:hint="default" w:ascii="Times New Roman" w:hAnsi="Times New Roman" w:eastAsia="宋体" w:cs="Times New Roman"/>
                <w:color w:val="000000"/>
                <w:kern w:val="0"/>
                <w:sz w:val="21"/>
                <w:szCs w:val="21"/>
                <w:highlight w:val="none"/>
                <w:lang w:val="en-US" w:eastAsia="zh-CN" w:bidi="ar"/>
              </w:rPr>
              <w:t>本项目</w:t>
            </w:r>
            <w:r>
              <w:rPr>
                <w:rFonts w:hint="eastAsia" w:cs="Times New Roman"/>
                <w:color w:val="000000"/>
                <w:kern w:val="0"/>
                <w:sz w:val="21"/>
                <w:szCs w:val="21"/>
                <w:highlight w:val="none"/>
                <w:lang w:val="en-US" w:eastAsia="zh-CN" w:bidi="ar"/>
              </w:rPr>
              <w:t>废旧棉纺织品</w:t>
            </w:r>
            <w:r>
              <w:rPr>
                <w:rFonts w:hint="eastAsia" w:ascii="Times New Roman" w:hAnsi="Times New Roman" w:eastAsia="宋体" w:cs="Times New Roman"/>
                <w:color w:val="000000"/>
                <w:kern w:val="0"/>
                <w:sz w:val="21"/>
                <w:szCs w:val="21"/>
                <w:highlight w:val="none"/>
                <w:lang w:val="en-US" w:eastAsia="zh-CN" w:bidi="ar"/>
              </w:rPr>
              <w:t>不产生扬尘，</w:t>
            </w:r>
            <w:r>
              <w:rPr>
                <w:rFonts w:hint="default" w:ascii="Times New Roman" w:hAnsi="Times New Roman" w:eastAsia="宋体" w:cs="Times New Roman"/>
                <w:color w:val="000000"/>
                <w:kern w:val="0"/>
                <w:sz w:val="21"/>
                <w:szCs w:val="21"/>
                <w:highlight w:val="none"/>
                <w:lang w:val="en-US" w:eastAsia="zh-CN" w:bidi="ar"/>
              </w:rPr>
              <w:t>不涉及</w:t>
            </w:r>
            <w:r>
              <w:rPr>
                <w:rFonts w:hint="eastAsia" w:cs="Times New Roman"/>
                <w:color w:val="000000"/>
                <w:kern w:val="0"/>
                <w:sz w:val="21"/>
                <w:szCs w:val="21"/>
                <w:highlight w:val="none"/>
                <w:lang w:val="en-US" w:eastAsia="zh-CN" w:bidi="ar"/>
              </w:rPr>
              <w:t>产尘的</w:t>
            </w:r>
            <w:r>
              <w:rPr>
                <w:rFonts w:hint="default" w:ascii="Times New Roman" w:hAnsi="Times New Roman" w:eastAsia="宋体" w:cs="Times New Roman"/>
                <w:color w:val="000000"/>
                <w:kern w:val="0"/>
                <w:sz w:val="21"/>
                <w:szCs w:val="21"/>
                <w:highlight w:val="none"/>
                <w:lang w:val="en-US" w:eastAsia="zh-CN" w:bidi="ar"/>
              </w:rPr>
              <w:t>袋装物料。</w:t>
            </w:r>
          </w:p>
        </w:tc>
        <w:tc>
          <w:tcPr>
            <w:tcW w:w="819" w:type="dxa"/>
            <w:tcBorders>
              <w:tl2br w:val="nil"/>
              <w:tr2bl w:val="nil"/>
            </w:tcBorders>
            <w:noWrap w:val="0"/>
            <w:vAlign w:val="center"/>
          </w:tcPr>
          <w:p w14:paraId="020A56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sz w:val="21"/>
                <w:szCs w:val="21"/>
                <w:highlight w:val="none"/>
              </w:rPr>
              <w:t>符合要求</w:t>
            </w:r>
          </w:p>
        </w:tc>
      </w:tr>
      <w:tr w14:paraId="19C0D7DC">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55" w:hRule="atLeast"/>
          <w:jc w:val="center"/>
        </w:trPr>
        <w:tc>
          <w:tcPr>
            <w:tcW w:w="1041" w:type="dxa"/>
            <w:vMerge w:val="continue"/>
            <w:tcBorders>
              <w:tl2br w:val="nil"/>
              <w:tr2bl w:val="nil"/>
            </w:tcBorders>
            <w:noWrap w:val="0"/>
            <w:vAlign w:val="center"/>
          </w:tcPr>
          <w:p w14:paraId="46629E4C">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p>
        </w:tc>
        <w:tc>
          <w:tcPr>
            <w:tcW w:w="890" w:type="dxa"/>
            <w:gridSpan w:val="2"/>
            <w:tcBorders>
              <w:tl2br w:val="nil"/>
              <w:tr2bl w:val="nil"/>
            </w:tcBorders>
            <w:noWrap w:val="0"/>
            <w:vAlign w:val="center"/>
          </w:tcPr>
          <w:p w14:paraId="0DE24B72">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成品包装</w:t>
            </w:r>
          </w:p>
        </w:tc>
        <w:tc>
          <w:tcPr>
            <w:tcW w:w="3742" w:type="dxa"/>
            <w:tcBorders>
              <w:tl2br w:val="nil"/>
              <w:tr2bl w:val="nil"/>
            </w:tcBorders>
            <w:noWrap w:val="0"/>
            <w:vAlign w:val="center"/>
          </w:tcPr>
          <w:p w14:paraId="20117934">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卸料口应完全封闭，如不能封闭应采取局部集气除尘措施。卸料口地面应及时清扫，地面无明显积尘。</w:t>
            </w:r>
          </w:p>
        </w:tc>
        <w:tc>
          <w:tcPr>
            <w:tcW w:w="1624" w:type="dxa"/>
            <w:tcBorders>
              <w:tl2br w:val="nil"/>
              <w:tr2bl w:val="nil"/>
            </w:tcBorders>
            <w:noWrap w:val="0"/>
            <w:vAlign w:val="center"/>
          </w:tcPr>
          <w:p w14:paraId="124506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kern w:val="0"/>
                <w:sz w:val="21"/>
                <w:szCs w:val="21"/>
                <w:highlight w:val="none"/>
                <w:u w:val="none"/>
                <w:vertAlign w:val="baseline"/>
                <w:lang w:val="en-US" w:eastAsia="zh-CN"/>
              </w:rPr>
              <w:t>本项目</w:t>
            </w:r>
            <w:r>
              <w:rPr>
                <w:rFonts w:hint="eastAsia" w:cs="Times New Roman"/>
                <w:kern w:val="0"/>
                <w:sz w:val="21"/>
                <w:szCs w:val="21"/>
                <w:highlight w:val="none"/>
                <w:u w:val="none"/>
                <w:vertAlign w:val="baseline"/>
                <w:lang w:val="en-US" w:eastAsia="zh-CN"/>
              </w:rPr>
              <w:t>不存在产尘</w:t>
            </w:r>
            <w:r>
              <w:rPr>
                <w:rFonts w:hint="eastAsia" w:ascii="Times New Roman" w:hAnsi="Times New Roman" w:eastAsia="宋体" w:cs="Times New Roman"/>
                <w:kern w:val="0"/>
                <w:sz w:val="21"/>
                <w:szCs w:val="21"/>
                <w:highlight w:val="none"/>
                <w:u w:val="none"/>
                <w:vertAlign w:val="baseline"/>
                <w:lang w:val="en-US" w:eastAsia="zh-CN"/>
              </w:rPr>
              <w:t>卸料口</w:t>
            </w:r>
            <w:r>
              <w:rPr>
                <w:rFonts w:hint="eastAsia" w:ascii="Times New Roman" w:hAnsi="Times New Roman" w:cs="Times New Roman"/>
                <w:kern w:val="0"/>
                <w:sz w:val="21"/>
                <w:szCs w:val="21"/>
                <w:highlight w:val="none"/>
                <w:u w:val="none"/>
                <w:vertAlign w:val="baseline"/>
                <w:lang w:val="en-US" w:eastAsia="zh-CN"/>
              </w:rPr>
              <w:t>。</w:t>
            </w:r>
          </w:p>
        </w:tc>
        <w:tc>
          <w:tcPr>
            <w:tcW w:w="819" w:type="dxa"/>
            <w:tcBorders>
              <w:tl2br w:val="nil"/>
              <w:tr2bl w:val="nil"/>
            </w:tcBorders>
            <w:noWrap w:val="0"/>
            <w:vAlign w:val="center"/>
          </w:tcPr>
          <w:p w14:paraId="71FEBF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符合要求</w:t>
            </w:r>
          </w:p>
        </w:tc>
      </w:tr>
      <w:tr w14:paraId="146F9392">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55" w:hRule="atLeast"/>
          <w:jc w:val="center"/>
        </w:trPr>
        <w:tc>
          <w:tcPr>
            <w:tcW w:w="1041" w:type="dxa"/>
            <w:vMerge w:val="continue"/>
            <w:tcBorders>
              <w:tl2br w:val="nil"/>
              <w:tr2bl w:val="nil"/>
            </w:tcBorders>
            <w:noWrap w:val="0"/>
            <w:vAlign w:val="center"/>
          </w:tcPr>
          <w:p w14:paraId="3CF11928">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cyan"/>
                <w:lang w:val="en-US" w:eastAsia="zh-CN" w:bidi="ar"/>
              </w:rPr>
            </w:pPr>
          </w:p>
        </w:tc>
        <w:tc>
          <w:tcPr>
            <w:tcW w:w="890" w:type="dxa"/>
            <w:gridSpan w:val="2"/>
            <w:tcBorders>
              <w:tl2br w:val="nil"/>
              <w:tr2bl w:val="nil"/>
            </w:tcBorders>
            <w:noWrap w:val="0"/>
            <w:vAlign w:val="center"/>
          </w:tcPr>
          <w:p w14:paraId="63F6367B">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工艺过程</w:t>
            </w:r>
          </w:p>
        </w:tc>
        <w:tc>
          <w:tcPr>
            <w:tcW w:w="3742" w:type="dxa"/>
            <w:tcBorders>
              <w:tl2br w:val="nil"/>
              <w:tr2bl w:val="nil"/>
            </w:tcBorders>
            <w:noWrap w:val="0"/>
            <w:vAlign w:val="center"/>
          </w:tcPr>
          <w:p w14:paraId="31C76724">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各种物料破碎、筛分、配料、混料等过程应在封闭厂房内进行，并采取局部收尘</w:t>
            </w:r>
            <w:r>
              <w:rPr>
                <w:rFonts w:hint="default" w:ascii="Times New Roman" w:hAnsi="Times New Roman" w:eastAsia="宋体" w:cs="Times New Roman"/>
                <w:color w:val="000000"/>
                <w:kern w:val="0"/>
                <w:sz w:val="21"/>
                <w:szCs w:val="21"/>
                <w:highlight w:val="none"/>
                <w:lang w:val="en-US" w:eastAsia="zh-CN" w:bidi="ar"/>
              </w:rPr>
              <w:t>/</w:t>
            </w:r>
            <w:r>
              <w:rPr>
                <w:rFonts w:hint="eastAsia" w:ascii="Times New Roman" w:hAnsi="Times New Roman" w:eastAsia="宋体" w:cs="Times New Roman"/>
                <w:color w:val="000000"/>
                <w:kern w:val="0"/>
                <w:sz w:val="21"/>
                <w:szCs w:val="21"/>
                <w:highlight w:val="none"/>
                <w:lang w:val="en-US" w:eastAsia="zh-CN" w:bidi="ar"/>
              </w:rPr>
              <w:t xml:space="preserve">抑尘措施。破碎筛分设备在进、出料口和配料混料过程等产尘点应设置集气除尘设施。 </w:t>
            </w:r>
          </w:p>
          <w:p w14:paraId="659255C2">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 xml:space="preserve">各生产工序的车间地面干净，无积料、积灰现象。 </w:t>
            </w:r>
          </w:p>
          <w:p w14:paraId="7CA0394F">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生产车间不得有可见烟粉尘外逸。</w:t>
            </w:r>
          </w:p>
        </w:tc>
        <w:tc>
          <w:tcPr>
            <w:tcW w:w="1624" w:type="dxa"/>
            <w:tcBorders>
              <w:tl2br w:val="nil"/>
              <w:tr2bl w:val="nil"/>
            </w:tcBorders>
            <w:noWrap w:val="0"/>
            <w:vAlign w:val="center"/>
          </w:tcPr>
          <w:p w14:paraId="68C412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left"/>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rPr>
              <w:t>本项目生产区域位于密闭厂房</w:t>
            </w:r>
            <w:r>
              <w:rPr>
                <w:rFonts w:hint="eastAsia" w:cs="Times New Roman"/>
                <w:b w:val="0"/>
                <w:bCs w:val="0"/>
                <w:color w:val="000000"/>
                <w:kern w:val="0"/>
                <w:sz w:val="21"/>
                <w:szCs w:val="21"/>
                <w:highlight w:val="none"/>
                <w:u w:val="none"/>
                <w:lang w:val="en-US" w:eastAsia="zh-CN"/>
              </w:rPr>
              <w:t>，且生产工序中原料破碎产生颗粒物，由原料粉碎设备自带粉尘脉冲袋式除尘器完全收集处理后20m排气筒排放</w:t>
            </w:r>
            <w:r>
              <w:rPr>
                <w:rFonts w:hint="eastAsia" w:ascii="Times New Roman" w:hAnsi="Times New Roman" w:eastAsia="宋体" w:cs="Times New Roman"/>
                <w:b w:val="0"/>
                <w:bCs w:val="0"/>
                <w:color w:val="000000"/>
                <w:kern w:val="0"/>
                <w:sz w:val="21"/>
                <w:szCs w:val="21"/>
                <w:highlight w:val="none"/>
                <w:u w:val="none"/>
                <w:lang w:val="en-US" w:eastAsia="zh-CN"/>
              </w:rPr>
              <w:t>，</w:t>
            </w:r>
            <w:r>
              <w:rPr>
                <w:rFonts w:hint="eastAsia" w:ascii="Times New Roman" w:hAnsi="Times New Roman" w:eastAsia="宋体" w:cs="Times New Roman"/>
                <w:color w:val="000000"/>
                <w:kern w:val="0"/>
                <w:sz w:val="21"/>
                <w:szCs w:val="21"/>
                <w:highlight w:val="none"/>
                <w:lang w:val="en-US" w:eastAsia="zh-CN" w:bidi="ar"/>
              </w:rPr>
              <w:t>各生产工序的车间地面干净，无积料、积灰现象。生产车间无可见烟粉尘外逸。</w:t>
            </w:r>
          </w:p>
        </w:tc>
        <w:tc>
          <w:tcPr>
            <w:tcW w:w="819" w:type="dxa"/>
            <w:tcBorders>
              <w:tl2br w:val="nil"/>
              <w:tr2bl w:val="nil"/>
            </w:tcBorders>
            <w:noWrap w:val="0"/>
            <w:vAlign w:val="center"/>
          </w:tcPr>
          <w:p w14:paraId="60B553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sz w:val="21"/>
                <w:szCs w:val="21"/>
                <w:highlight w:val="none"/>
              </w:rPr>
              <w:t>符合要求</w:t>
            </w:r>
          </w:p>
        </w:tc>
      </w:tr>
      <w:tr w14:paraId="28EDF312">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031" w:hRule="atLeast"/>
          <w:jc w:val="center"/>
        </w:trPr>
        <w:tc>
          <w:tcPr>
            <w:tcW w:w="1041" w:type="dxa"/>
            <w:vMerge w:val="restart"/>
            <w:tcBorders>
              <w:tl2br w:val="nil"/>
              <w:tr2bl w:val="nil"/>
            </w:tcBorders>
            <w:noWrap w:val="0"/>
            <w:vAlign w:val="center"/>
          </w:tcPr>
          <w:p w14:paraId="087FE7DC">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i w:val="0"/>
                <w:iCs w:val="0"/>
                <w:caps w:val="0"/>
                <w:color w:val="333333"/>
                <w:spacing w:val="0"/>
                <w:sz w:val="21"/>
                <w:szCs w:val="21"/>
                <w:highlight w:val="none"/>
                <w:shd w:val="clear" w:color="auto" w:fill="FFFFFF"/>
                <w:lang w:val="en-US" w:eastAsia="zh-CN"/>
              </w:rPr>
              <w:t xml:space="preserve">涉VOCs </w:t>
            </w:r>
            <w:r>
              <w:rPr>
                <w:rFonts w:hint="eastAsia" w:ascii="Times New Roman" w:hAnsi="Times New Roman" w:eastAsia="宋体" w:cs="Times New Roman"/>
                <w:i w:val="0"/>
                <w:iCs w:val="0"/>
                <w:caps w:val="0"/>
                <w:color w:val="333333"/>
                <w:spacing w:val="0"/>
                <w:sz w:val="21"/>
                <w:szCs w:val="21"/>
                <w:highlight w:val="none"/>
                <w:shd w:val="clear" w:color="auto" w:fill="FFFFFF"/>
                <w:lang w:val="en-US" w:eastAsia="zh-CN"/>
              </w:rPr>
              <w:t>企业基本要求</w:t>
            </w:r>
          </w:p>
        </w:tc>
        <w:tc>
          <w:tcPr>
            <w:tcW w:w="890" w:type="dxa"/>
            <w:gridSpan w:val="2"/>
            <w:tcBorders>
              <w:tl2br w:val="nil"/>
              <w:tr2bl w:val="nil"/>
            </w:tcBorders>
            <w:noWrap w:val="0"/>
            <w:vAlign w:val="center"/>
          </w:tcPr>
          <w:p w14:paraId="11269B54">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物料储存</w:t>
            </w:r>
          </w:p>
        </w:tc>
        <w:tc>
          <w:tcPr>
            <w:tcW w:w="3742" w:type="dxa"/>
            <w:tcBorders>
              <w:tl2br w:val="nil"/>
              <w:tr2bl w:val="nil"/>
            </w:tcBorders>
            <w:noWrap w:val="0"/>
            <w:vAlign w:val="center"/>
          </w:tcPr>
          <w:p w14:paraId="6742A915">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涂料、稀释剂、清洗剂等原辅材料密闭存储。盛装过</w:t>
            </w:r>
            <w:r>
              <w:rPr>
                <w:rFonts w:hint="default" w:ascii="Times New Roman" w:hAnsi="Times New Roman" w:eastAsia="宋体" w:cs="Times New Roman"/>
                <w:color w:val="000000"/>
                <w:kern w:val="0"/>
                <w:sz w:val="21"/>
                <w:szCs w:val="21"/>
                <w:highlight w:val="none"/>
                <w:lang w:val="en-US" w:eastAsia="zh-CN" w:bidi="ar"/>
              </w:rPr>
              <w:t>VOCs</w:t>
            </w:r>
            <w:r>
              <w:rPr>
                <w:rFonts w:hint="eastAsia" w:ascii="Times New Roman" w:hAnsi="Times New Roman" w:eastAsia="宋体" w:cs="Times New Roman"/>
                <w:color w:val="000000"/>
                <w:kern w:val="0"/>
                <w:sz w:val="21"/>
                <w:szCs w:val="21"/>
                <w:highlight w:val="none"/>
                <w:lang w:val="en-US" w:eastAsia="zh-CN" w:bidi="ar"/>
              </w:rPr>
              <w:t>物料的包装容器、含</w:t>
            </w:r>
            <w:r>
              <w:rPr>
                <w:rFonts w:hint="default" w:ascii="Times New Roman" w:hAnsi="Times New Roman" w:eastAsia="宋体" w:cs="Times New Roman"/>
                <w:color w:val="000000"/>
                <w:kern w:val="0"/>
                <w:sz w:val="21"/>
                <w:szCs w:val="21"/>
                <w:highlight w:val="none"/>
                <w:lang w:val="en-US" w:eastAsia="zh-CN" w:bidi="ar"/>
              </w:rPr>
              <w:t>VOCs</w:t>
            </w:r>
            <w:r>
              <w:rPr>
                <w:rFonts w:hint="eastAsia" w:ascii="Times New Roman" w:hAnsi="Times New Roman" w:eastAsia="宋体" w:cs="Times New Roman"/>
                <w:color w:val="000000"/>
                <w:kern w:val="0"/>
                <w:sz w:val="21"/>
                <w:szCs w:val="21"/>
                <w:highlight w:val="none"/>
                <w:lang w:val="en-US" w:eastAsia="zh-CN" w:bidi="ar"/>
              </w:rPr>
              <w:t>废料（渣、液）、废吸附剂等通过加盖、封装等方式密闭储存；生产车间内涉</w:t>
            </w:r>
            <w:r>
              <w:rPr>
                <w:rFonts w:hint="default" w:ascii="Times New Roman" w:hAnsi="Times New Roman" w:eastAsia="宋体" w:cs="Times New Roman"/>
                <w:color w:val="000000"/>
                <w:kern w:val="0"/>
                <w:sz w:val="21"/>
                <w:szCs w:val="21"/>
                <w:highlight w:val="none"/>
                <w:lang w:val="en-US" w:eastAsia="zh-CN" w:bidi="ar"/>
              </w:rPr>
              <w:t>VOCs</w:t>
            </w:r>
            <w:r>
              <w:rPr>
                <w:rFonts w:hint="eastAsia" w:ascii="Times New Roman" w:hAnsi="Times New Roman" w:eastAsia="宋体" w:cs="Times New Roman"/>
                <w:color w:val="000000"/>
                <w:kern w:val="0"/>
                <w:sz w:val="21"/>
                <w:szCs w:val="21"/>
                <w:highlight w:val="none"/>
                <w:lang w:val="en-US" w:eastAsia="zh-CN" w:bidi="ar"/>
              </w:rPr>
              <w:t xml:space="preserve">物料应密闭储存。 </w:t>
            </w:r>
          </w:p>
        </w:tc>
        <w:tc>
          <w:tcPr>
            <w:tcW w:w="1624" w:type="dxa"/>
            <w:tcBorders>
              <w:tl2br w:val="nil"/>
              <w:tr2bl w:val="nil"/>
            </w:tcBorders>
            <w:noWrap w:val="0"/>
            <w:vAlign w:val="center"/>
          </w:tcPr>
          <w:p w14:paraId="73F234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left"/>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rPr>
              <w:t>本项目原辅料</w:t>
            </w:r>
            <w:r>
              <w:rPr>
                <w:rFonts w:hint="eastAsia" w:cs="Times New Roman"/>
                <w:b w:val="0"/>
                <w:bCs w:val="0"/>
                <w:color w:val="000000"/>
                <w:kern w:val="0"/>
                <w:sz w:val="21"/>
                <w:szCs w:val="21"/>
                <w:highlight w:val="none"/>
                <w:u w:val="none"/>
                <w:lang w:val="en-US" w:eastAsia="zh-CN"/>
              </w:rPr>
              <w:t>液状采用桶装，</w:t>
            </w:r>
            <w:r>
              <w:rPr>
                <w:rFonts w:hint="eastAsia" w:ascii="Times New Roman" w:hAnsi="Times New Roman" w:eastAsia="宋体" w:cs="Times New Roman"/>
                <w:b w:val="0"/>
                <w:bCs w:val="0"/>
                <w:color w:val="000000"/>
                <w:kern w:val="0"/>
                <w:sz w:val="21"/>
                <w:szCs w:val="21"/>
                <w:highlight w:val="none"/>
                <w:u w:val="none"/>
                <w:lang w:val="en-US" w:eastAsia="zh-CN"/>
              </w:rPr>
              <w:t>存于密闭车间内。</w:t>
            </w:r>
          </w:p>
        </w:tc>
        <w:tc>
          <w:tcPr>
            <w:tcW w:w="819" w:type="dxa"/>
            <w:tcBorders>
              <w:tl2br w:val="nil"/>
              <w:tr2bl w:val="nil"/>
            </w:tcBorders>
            <w:noWrap w:val="0"/>
            <w:vAlign w:val="center"/>
          </w:tcPr>
          <w:p w14:paraId="68D2A1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符合要求</w:t>
            </w:r>
          </w:p>
        </w:tc>
      </w:tr>
      <w:tr w14:paraId="5AC18124">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55" w:hRule="atLeast"/>
          <w:jc w:val="center"/>
        </w:trPr>
        <w:tc>
          <w:tcPr>
            <w:tcW w:w="1041" w:type="dxa"/>
            <w:vMerge w:val="continue"/>
            <w:tcBorders>
              <w:tl2br w:val="nil"/>
              <w:tr2bl w:val="nil"/>
            </w:tcBorders>
            <w:noWrap w:val="0"/>
            <w:vAlign w:val="center"/>
          </w:tcPr>
          <w:p w14:paraId="36D6B113">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p>
        </w:tc>
        <w:tc>
          <w:tcPr>
            <w:tcW w:w="890" w:type="dxa"/>
            <w:gridSpan w:val="2"/>
            <w:tcBorders>
              <w:tl2br w:val="nil"/>
              <w:tr2bl w:val="nil"/>
            </w:tcBorders>
            <w:noWrap w:val="0"/>
            <w:vAlign w:val="center"/>
          </w:tcPr>
          <w:p w14:paraId="07480EC8">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 xml:space="preserve">物料转移和输送 </w:t>
            </w:r>
          </w:p>
        </w:tc>
        <w:tc>
          <w:tcPr>
            <w:tcW w:w="3742" w:type="dxa"/>
            <w:tcBorders>
              <w:tl2br w:val="nil"/>
              <w:tr2bl w:val="nil"/>
            </w:tcBorders>
            <w:noWrap w:val="0"/>
            <w:vAlign w:val="center"/>
          </w:tcPr>
          <w:p w14:paraId="78E294D8">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采用密闭管道或密闭容器等输送。</w:t>
            </w:r>
          </w:p>
        </w:tc>
        <w:tc>
          <w:tcPr>
            <w:tcW w:w="1624" w:type="dxa"/>
            <w:tcBorders>
              <w:tl2br w:val="nil"/>
              <w:tr2bl w:val="nil"/>
            </w:tcBorders>
            <w:noWrap w:val="0"/>
            <w:vAlign w:val="center"/>
          </w:tcPr>
          <w:p w14:paraId="71C74E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left"/>
              <w:textAlignment w:val="auto"/>
              <w:rPr>
                <w:rFonts w:hint="eastAsia"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rPr>
              <w:t>本项目</w:t>
            </w:r>
            <w:r>
              <w:rPr>
                <w:rFonts w:hint="eastAsia" w:cs="Times New Roman"/>
                <w:b w:val="0"/>
                <w:bCs w:val="0"/>
                <w:color w:val="000000"/>
                <w:kern w:val="0"/>
                <w:sz w:val="21"/>
                <w:szCs w:val="21"/>
                <w:highlight w:val="none"/>
                <w:u w:val="none"/>
                <w:lang w:val="en-US" w:eastAsia="zh-CN"/>
              </w:rPr>
              <w:t>液状原料采用桶装</w:t>
            </w:r>
            <w:r>
              <w:rPr>
                <w:rFonts w:hint="eastAsia" w:ascii="Times New Roman" w:hAnsi="Times New Roman" w:eastAsia="宋体" w:cs="Times New Roman"/>
                <w:color w:val="000000"/>
                <w:kern w:val="0"/>
                <w:sz w:val="21"/>
                <w:szCs w:val="21"/>
                <w:highlight w:val="none"/>
                <w:lang w:val="en-US" w:eastAsia="zh-CN" w:bidi="ar"/>
              </w:rPr>
              <w:t>。</w:t>
            </w:r>
          </w:p>
        </w:tc>
        <w:tc>
          <w:tcPr>
            <w:tcW w:w="819" w:type="dxa"/>
            <w:tcBorders>
              <w:tl2br w:val="nil"/>
              <w:tr2bl w:val="nil"/>
            </w:tcBorders>
            <w:noWrap w:val="0"/>
            <w:vAlign w:val="center"/>
          </w:tcPr>
          <w:p w14:paraId="167FB8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符合要求</w:t>
            </w:r>
          </w:p>
        </w:tc>
      </w:tr>
      <w:tr w14:paraId="3D237C18">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185" w:hRule="atLeast"/>
          <w:jc w:val="center"/>
        </w:trPr>
        <w:tc>
          <w:tcPr>
            <w:tcW w:w="1041" w:type="dxa"/>
            <w:vMerge w:val="continue"/>
            <w:tcBorders>
              <w:tl2br w:val="nil"/>
              <w:tr2bl w:val="nil"/>
            </w:tcBorders>
            <w:noWrap w:val="0"/>
            <w:vAlign w:val="center"/>
          </w:tcPr>
          <w:p w14:paraId="289852B4">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p>
        </w:tc>
        <w:tc>
          <w:tcPr>
            <w:tcW w:w="890" w:type="dxa"/>
            <w:gridSpan w:val="2"/>
            <w:tcBorders>
              <w:tl2br w:val="nil"/>
              <w:tr2bl w:val="nil"/>
            </w:tcBorders>
            <w:noWrap w:val="0"/>
            <w:vAlign w:val="center"/>
          </w:tcPr>
          <w:p w14:paraId="273D3F7A">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工艺过程</w:t>
            </w:r>
          </w:p>
        </w:tc>
        <w:tc>
          <w:tcPr>
            <w:tcW w:w="3742" w:type="dxa"/>
            <w:tcBorders>
              <w:tl2br w:val="nil"/>
              <w:tr2bl w:val="nil"/>
            </w:tcBorders>
            <w:noWrap w:val="0"/>
            <w:vAlign w:val="center"/>
          </w:tcPr>
          <w:p w14:paraId="425398DC">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原辅材料调配、使用（施胶、喷涂、干燥等）、回收等过程</w:t>
            </w:r>
            <w:r>
              <w:rPr>
                <w:rFonts w:hint="eastAsia" w:ascii="Times New Roman" w:hAnsi="Times New Roman" w:eastAsia="宋体" w:cs="Times New Roman"/>
                <w:color w:val="000000"/>
                <w:kern w:val="0"/>
                <w:sz w:val="21"/>
                <w:szCs w:val="21"/>
                <w:highlight w:val="none"/>
                <w:lang w:val="en-US" w:eastAsia="zh-CN" w:bidi="ar"/>
              </w:rPr>
              <w:t>采用密闭设备或在密闭空间内操作。</w:t>
            </w:r>
          </w:p>
          <w:p w14:paraId="1FD48A15">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涉VOCs</w:t>
            </w:r>
            <w:r>
              <w:rPr>
                <w:rFonts w:hint="eastAsia" w:ascii="Times New Roman" w:hAnsi="Times New Roman" w:eastAsia="宋体" w:cs="Times New Roman"/>
                <w:color w:val="000000"/>
                <w:kern w:val="0"/>
                <w:sz w:val="21"/>
                <w:szCs w:val="21"/>
                <w:highlight w:val="none"/>
                <w:lang w:val="en-US" w:eastAsia="zh-CN" w:bidi="ar"/>
              </w:rPr>
              <w:t>原料装卸、储存、转移和输送、工艺过程等环节的 废气全部收集引至</w:t>
            </w:r>
            <w:r>
              <w:rPr>
                <w:rFonts w:hint="default" w:ascii="Times New Roman" w:hAnsi="Times New Roman" w:eastAsia="宋体" w:cs="Times New Roman"/>
                <w:color w:val="000000"/>
                <w:kern w:val="0"/>
                <w:sz w:val="21"/>
                <w:szCs w:val="21"/>
                <w:highlight w:val="none"/>
                <w:lang w:val="en-US" w:eastAsia="zh-CN" w:bidi="ar"/>
              </w:rPr>
              <w:t>VOCs</w:t>
            </w:r>
            <w:r>
              <w:rPr>
                <w:rFonts w:hint="eastAsia" w:ascii="Times New Roman" w:hAnsi="Times New Roman" w:eastAsia="宋体" w:cs="Times New Roman"/>
                <w:color w:val="000000"/>
                <w:kern w:val="0"/>
                <w:sz w:val="21"/>
                <w:szCs w:val="21"/>
                <w:highlight w:val="none"/>
                <w:lang w:val="en-US" w:eastAsia="zh-CN" w:bidi="ar"/>
              </w:rPr>
              <w:t>处理系统。</w:t>
            </w:r>
          </w:p>
        </w:tc>
        <w:tc>
          <w:tcPr>
            <w:tcW w:w="1624" w:type="dxa"/>
            <w:tcBorders>
              <w:tl2br w:val="nil"/>
              <w:tr2bl w:val="nil"/>
            </w:tcBorders>
            <w:noWrap w:val="0"/>
            <w:vAlign w:val="center"/>
          </w:tcPr>
          <w:p w14:paraId="5772C29C">
            <w:pPr>
              <w:keepNext w:val="0"/>
              <w:keepLines w:val="0"/>
              <w:pageBreakBefore w:val="0"/>
              <w:widowControl w:val="0"/>
              <w:kinsoku/>
              <w:wordWrap w:val="0"/>
              <w:overflowPunct/>
              <w:topLinePunct w:val="0"/>
              <w:autoSpaceDE/>
              <w:autoSpaceDN/>
              <w:bidi w:val="0"/>
              <w:adjustRightInd w:val="0"/>
              <w:snapToGrid w:val="0"/>
              <w:spacing w:line="240" w:lineRule="auto"/>
              <w:ind w:firstLine="0" w:firstLineChars="0"/>
              <w:contextualSpacing/>
              <w:jc w:val="left"/>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rPr>
              <w:t>本项目</w:t>
            </w:r>
            <w:r>
              <w:rPr>
                <w:rFonts w:hint="eastAsia" w:cs="Times New Roman"/>
                <w:b w:val="0"/>
                <w:bCs w:val="0"/>
                <w:color w:val="000000"/>
                <w:kern w:val="0"/>
                <w:sz w:val="21"/>
                <w:szCs w:val="21"/>
                <w:highlight w:val="none"/>
                <w:u w:val="none"/>
                <w:lang w:val="en-US" w:eastAsia="zh-CN"/>
              </w:rPr>
              <w:t>液状</w:t>
            </w:r>
            <w:r>
              <w:rPr>
                <w:rFonts w:hint="eastAsia" w:ascii="Times New Roman" w:hAnsi="Times New Roman" w:eastAsia="宋体" w:cs="Times New Roman"/>
                <w:b w:val="0"/>
                <w:bCs w:val="0"/>
                <w:color w:val="000000"/>
                <w:kern w:val="0"/>
                <w:sz w:val="21"/>
                <w:szCs w:val="21"/>
                <w:highlight w:val="none"/>
                <w:u w:val="none"/>
                <w:lang w:val="en-US" w:eastAsia="zh-CN"/>
              </w:rPr>
              <w:t>原辅料</w:t>
            </w:r>
            <w:r>
              <w:rPr>
                <w:rFonts w:hint="eastAsia" w:cs="Times New Roman"/>
                <w:b w:val="0"/>
                <w:bCs w:val="0"/>
                <w:color w:val="000000"/>
                <w:kern w:val="0"/>
                <w:sz w:val="21"/>
                <w:szCs w:val="21"/>
                <w:highlight w:val="none"/>
                <w:u w:val="none"/>
                <w:lang w:val="en-US" w:eastAsia="zh-CN"/>
              </w:rPr>
              <w:t>采用桶装，</w:t>
            </w:r>
            <w:r>
              <w:rPr>
                <w:rFonts w:hint="eastAsia" w:ascii="Times New Roman" w:hAnsi="Times New Roman" w:eastAsia="宋体" w:cs="Times New Roman"/>
                <w:b w:val="0"/>
                <w:bCs w:val="0"/>
                <w:color w:val="000000"/>
                <w:kern w:val="0"/>
                <w:sz w:val="21"/>
                <w:szCs w:val="21"/>
                <w:highlight w:val="none"/>
                <w:u w:val="none"/>
                <w:lang w:val="en-US" w:eastAsia="zh-CN"/>
              </w:rPr>
              <w:t>本项目原辅料的使用位于密闭车间，</w:t>
            </w:r>
            <w:r>
              <w:rPr>
                <w:rFonts w:hint="eastAsia" w:cs="Times New Roman"/>
                <w:b w:val="0"/>
                <w:bCs w:val="0"/>
                <w:color w:val="000000"/>
                <w:kern w:val="0"/>
                <w:sz w:val="21"/>
                <w:szCs w:val="21"/>
                <w:highlight w:val="none"/>
                <w:u w:val="none"/>
                <w:lang w:val="en-US" w:eastAsia="zh-CN"/>
              </w:rPr>
              <w:t>工艺过程中</w:t>
            </w:r>
            <w:r>
              <w:rPr>
                <w:rFonts w:hint="eastAsia" w:ascii="Times New Roman" w:hAnsi="Times New Roman" w:eastAsia="宋体" w:cs="Times New Roman"/>
                <w:b w:val="0"/>
                <w:bCs w:val="0"/>
                <w:color w:val="000000"/>
                <w:kern w:val="0"/>
                <w:sz w:val="21"/>
                <w:szCs w:val="21"/>
                <w:highlight w:val="none"/>
                <w:u w:val="none"/>
                <w:lang w:val="en-US" w:eastAsia="zh-CN"/>
              </w:rPr>
              <w:t>产生的</w:t>
            </w:r>
            <w:r>
              <w:rPr>
                <w:rFonts w:hint="default" w:ascii="Times New Roman" w:hAnsi="Times New Roman" w:eastAsia="宋体" w:cs="Times New Roman"/>
                <w:color w:val="000000"/>
                <w:kern w:val="0"/>
                <w:sz w:val="21"/>
                <w:szCs w:val="21"/>
                <w:highlight w:val="none"/>
                <w:lang w:val="en-US" w:eastAsia="zh-CN" w:bidi="ar"/>
              </w:rPr>
              <w:t>VOCs</w:t>
            </w:r>
            <w:r>
              <w:rPr>
                <w:rFonts w:hint="eastAsia" w:ascii="Times New Roman" w:hAnsi="Times New Roman" w:eastAsia="宋体" w:cs="Times New Roman"/>
                <w:color w:val="000000"/>
                <w:kern w:val="0"/>
                <w:sz w:val="21"/>
                <w:szCs w:val="21"/>
                <w:highlight w:val="none"/>
                <w:lang w:val="en-US" w:eastAsia="zh-CN" w:bidi="ar"/>
              </w:rPr>
              <w:t>经</w:t>
            </w:r>
            <w:r>
              <w:rPr>
                <w:rFonts w:hint="eastAsia" w:ascii="Times New Roman" w:hAnsi="Times New Roman" w:eastAsia="宋体" w:cs="Times New Roman"/>
                <w:b w:val="0"/>
                <w:bCs w:val="0"/>
                <w:color w:val="000000"/>
                <w:kern w:val="0"/>
                <w:sz w:val="21"/>
                <w:szCs w:val="21"/>
                <w:highlight w:val="none"/>
                <w:u w:val="none"/>
                <w:lang w:val="en-US" w:eastAsia="zh-CN"/>
              </w:rPr>
              <w:t>两级水喷淋串联</w:t>
            </w:r>
            <w:r>
              <w:rPr>
                <w:rFonts w:hint="eastAsia" w:cs="Times New Roman"/>
                <w:b w:val="0"/>
                <w:bCs w:val="0"/>
                <w:color w:val="000000"/>
                <w:kern w:val="0"/>
                <w:sz w:val="21"/>
                <w:szCs w:val="21"/>
                <w:highlight w:val="none"/>
                <w:u w:val="none"/>
                <w:lang w:val="en-US" w:eastAsia="zh-CN"/>
              </w:rPr>
              <w:t>+活性炭吸附</w:t>
            </w:r>
            <w:r>
              <w:rPr>
                <w:rFonts w:hint="default" w:ascii="Times New Roman" w:hAnsi="Times New Roman" w:eastAsia="宋体" w:cs="Times New Roman"/>
                <w:b w:val="0"/>
                <w:bCs w:val="0"/>
                <w:color w:val="000000"/>
                <w:kern w:val="0"/>
                <w:sz w:val="21"/>
                <w:szCs w:val="21"/>
                <w:highlight w:val="none"/>
                <w:u w:val="none"/>
                <w:lang w:val="en-US" w:eastAsia="zh-CN"/>
              </w:rPr>
              <w:t>处</w:t>
            </w:r>
            <w:r>
              <w:rPr>
                <w:rFonts w:hint="default" w:ascii="Times New Roman" w:hAnsi="Times New Roman" w:eastAsia="宋体" w:cs="Times New Roman"/>
                <w:color w:val="000000"/>
                <w:kern w:val="0"/>
                <w:sz w:val="21"/>
                <w:szCs w:val="21"/>
                <w:highlight w:val="none"/>
                <w:lang w:val="en-US" w:eastAsia="zh-CN" w:bidi="ar"/>
              </w:rPr>
              <w:t>理后由1根</w:t>
            </w:r>
            <w:r>
              <w:rPr>
                <w:rFonts w:hint="eastAsia" w:ascii="Times New Roman" w:hAnsi="Times New Roman" w:eastAsia="宋体" w:cs="Times New Roman"/>
                <w:color w:val="000000"/>
                <w:kern w:val="0"/>
                <w:sz w:val="21"/>
                <w:szCs w:val="21"/>
                <w:highlight w:val="none"/>
                <w:lang w:val="en-US" w:eastAsia="zh-CN" w:bidi="ar"/>
              </w:rPr>
              <w:t>2</w:t>
            </w:r>
            <w:r>
              <w:rPr>
                <w:rFonts w:hint="eastAsia" w:cs="Times New Roman"/>
                <w:color w:val="000000"/>
                <w:kern w:val="0"/>
                <w:sz w:val="21"/>
                <w:szCs w:val="21"/>
                <w:highlight w:val="none"/>
                <w:lang w:val="en-US" w:eastAsia="zh-CN" w:bidi="ar"/>
              </w:rPr>
              <w:t>0</w:t>
            </w:r>
            <w:r>
              <w:rPr>
                <w:rFonts w:hint="default" w:ascii="Times New Roman" w:hAnsi="Times New Roman" w:eastAsia="宋体" w:cs="Times New Roman"/>
                <w:color w:val="000000"/>
                <w:kern w:val="0"/>
                <w:sz w:val="21"/>
                <w:szCs w:val="21"/>
                <w:highlight w:val="none"/>
                <w:lang w:val="en-US" w:eastAsia="zh-CN" w:bidi="ar"/>
              </w:rPr>
              <w:t>m高排气筒高空排放。</w:t>
            </w:r>
          </w:p>
        </w:tc>
        <w:tc>
          <w:tcPr>
            <w:tcW w:w="819" w:type="dxa"/>
            <w:tcBorders>
              <w:tl2br w:val="nil"/>
              <w:tr2bl w:val="nil"/>
            </w:tcBorders>
            <w:noWrap w:val="0"/>
            <w:vAlign w:val="center"/>
          </w:tcPr>
          <w:p w14:paraId="633B0F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符合要求</w:t>
            </w:r>
          </w:p>
        </w:tc>
      </w:tr>
      <w:tr w14:paraId="7536374B">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55" w:hRule="atLeast"/>
          <w:jc w:val="center"/>
        </w:trPr>
        <w:tc>
          <w:tcPr>
            <w:tcW w:w="1041" w:type="dxa"/>
            <w:vMerge w:val="restart"/>
            <w:tcBorders>
              <w:tl2br w:val="nil"/>
              <w:tr2bl w:val="nil"/>
            </w:tcBorders>
            <w:noWrap w:val="0"/>
            <w:vAlign w:val="center"/>
          </w:tcPr>
          <w:p w14:paraId="209A106F">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cs="Times New Roman"/>
                <w:i w:val="0"/>
                <w:iCs w:val="0"/>
                <w:caps w:val="0"/>
                <w:color w:val="333333"/>
                <w:spacing w:val="0"/>
                <w:sz w:val="21"/>
                <w:szCs w:val="21"/>
                <w:highlight w:val="none"/>
                <w:shd w:val="clear" w:color="auto" w:fill="FFFFFF"/>
                <w:lang w:val="en-US" w:eastAsia="zh-CN"/>
              </w:rPr>
              <w:t>其他基本要求</w:t>
            </w:r>
          </w:p>
        </w:tc>
        <w:tc>
          <w:tcPr>
            <w:tcW w:w="445" w:type="dxa"/>
            <w:vMerge w:val="restart"/>
            <w:tcBorders>
              <w:tl2br w:val="nil"/>
              <w:tr2bl w:val="nil"/>
            </w:tcBorders>
            <w:noWrap w:val="0"/>
            <w:vAlign w:val="center"/>
          </w:tcPr>
          <w:p w14:paraId="1BA0B420">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运输方式及运输监管</w:t>
            </w:r>
          </w:p>
        </w:tc>
        <w:tc>
          <w:tcPr>
            <w:tcW w:w="445" w:type="dxa"/>
            <w:tcBorders>
              <w:tl2br w:val="nil"/>
              <w:tr2bl w:val="nil"/>
            </w:tcBorders>
            <w:noWrap w:val="0"/>
            <w:vAlign w:val="center"/>
          </w:tcPr>
          <w:p w14:paraId="065F98A8">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运输方式</w:t>
            </w:r>
          </w:p>
        </w:tc>
        <w:tc>
          <w:tcPr>
            <w:tcW w:w="3742" w:type="dxa"/>
            <w:tcBorders>
              <w:tl2br w:val="nil"/>
              <w:tr2bl w:val="nil"/>
            </w:tcBorders>
            <w:noWrap w:val="0"/>
            <w:vAlign w:val="center"/>
          </w:tcPr>
          <w:p w14:paraId="3F4E6E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left"/>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①公路运输。物料公路运输使用达到国五及以上排放标准重型载货车辆（重型燃气车辆达到国六排放标准）或新能源车辆比例（</w:t>
            </w:r>
            <w:r>
              <w:rPr>
                <w:rFonts w:hint="default" w:ascii="Times New Roman" w:hAnsi="Times New Roman" w:eastAsia="宋体" w:cs="Times New Roman"/>
                <w:color w:val="000000"/>
                <w:kern w:val="0"/>
                <w:sz w:val="21"/>
                <w:szCs w:val="21"/>
                <w:highlight w:val="none"/>
                <w:lang w:val="en-US" w:eastAsia="zh-CN" w:bidi="ar"/>
              </w:rPr>
              <w:t>A</w:t>
            </w:r>
            <w:r>
              <w:rPr>
                <w:rFonts w:hint="eastAsia" w:ascii="Times New Roman" w:hAnsi="Times New Roman" w:eastAsia="宋体" w:cs="Times New Roman"/>
                <w:color w:val="000000"/>
                <w:kern w:val="0"/>
                <w:sz w:val="21"/>
                <w:szCs w:val="21"/>
                <w:highlight w:val="none"/>
                <w:lang w:val="en-US" w:eastAsia="zh-CN" w:bidi="ar"/>
              </w:rPr>
              <w:t>级</w:t>
            </w:r>
            <w:r>
              <w:rPr>
                <w:rFonts w:hint="default" w:ascii="Times New Roman" w:hAnsi="Times New Roman" w:eastAsia="宋体" w:cs="Times New Roman"/>
                <w:color w:val="000000"/>
                <w:kern w:val="0"/>
                <w:sz w:val="21"/>
                <w:szCs w:val="21"/>
                <w:highlight w:val="none"/>
                <w:lang w:val="en-US" w:eastAsia="zh-CN" w:bidi="ar"/>
              </w:rPr>
              <w:t>100%</w:t>
            </w:r>
            <w:r>
              <w:rPr>
                <w:rFonts w:hint="eastAsia" w:ascii="Times New Roman" w:hAnsi="Times New Roman" w:eastAsia="宋体" w:cs="Times New Roman"/>
                <w:color w:val="000000"/>
                <w:kern w:val="0"/>
                <w:sz w:val="21"/>
                <w:szCs w:val="21"/>
                <w:highlight w:val="none"/>
                <w:lang w:val="en-US" w:eastAsia="zh-CN" w:bidi="ar"/>
              </w:rPr>
              <w:t>，</w:t>
            </w:r>
            <w:r>
              <w:rPr>
                <w:rFonts w:hint="default" w:ascii="Times New Roman" w:hAnsi="Times New Roman" w:eastAsia="宋体" w:cs="Times New Roman"/>
                <w:color w:val="000000"/>
                <w:kern w:val="0"/>
                <w:sz w:val="21"/>
                <w:szCs w:val="21"/>
                <w:highlight w:val="none"/>
                <w:lang w:val="en-US" w:eastAsia="zh-CN" w:bidi="ar"/>
              </w:rPr>
              <w:t>B</w:t>
            </w:r>
            <w:r>
              <w:rPr>
                <w:rFonts w:hint="eastAsia" w:ascii="Times New Roman" w:hAnsi="Times New Roman" w:eastAsia="宋体" w:cs="Times New Roman"/>
                <w:color w:val="000000"/>
                <w:kern w:val="0"/>
                <w:sz w:val="21"/>
                <w:szCs w:val="21"/>
                <w:highlight w:val="none"/>
                <w:lang w:val="en-US" w:eastAsia="zh-CN" w:bidi="ar"/>
              </w:rPr>
              <w:t>级不低于</w:t>
            </w:r>
            <w:r>
              <w:rPr>
                <w:rFonts w:hint="default" w:ascii="Times New Roman" w:hAnsi="Times New Roman" w:eastAsia="宋体" w:cs="Times New Roman"/>
                <w:color w:val="000000"/>
                <w:kern w:val="0"/>
                <w:sz w:val="21"/>
                <w:szCs w:val="21"/>
                <w:highlight w:val="none"/>
                <w:lang w:val="en-US" w:eastAsia="zh-CN" w:bidi="ar"/>
              </w:rPr>
              <w:t>80%</w:t>
            </w:r>
            <w:r>
              <w:rPr>
                <w:rFonts w:hint="eastAsia" w:ascii="Times New Roman" w:hAnsi="Times New Roman" w:eastAsia="宋体" w:cs="Times New Roman"/>
                <w:color w:val="000000"/>
                <w:kern w:val="0"/>
                <w:sz w:val="21"/>
                <w:szCs w:val="21"/>
                <w:highlight w:val="none"/>
                <w:lang w:val="en-US" w:eastAsia="zh-CN" w:bidi="ar"/>
              </w:rPr>
              <w:t xml:space="preserve">），其他车辆达到国四排放标准（重型燃气车辆达到国五及以上排放标准）； </w:t>
            </w:r>
          </w:p>
          <w:p w14:paraId="6DE79F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left"/>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②厂内运输车辆。达到国五及以上排放标准（重型燃气车辆达到国六排放标准）或使用新能源车辆的比例（</w:t>
            </w:r>
            <w:r>
              <w:rPr>
                <w:rFonts w:hint="default" w:ascii="Times New Roman" w:hAnsi="Times New Roman" w:eastAsia="宋体" w:cs="Times New Roman"/>
                <w:color w:val="000000"/>
                <w:kern w:val="0"/>
                <w:sz w:val="21"/>
                <w:szCs w:val="21"/>
                <w:highlight w:val="none"/>
                <w:lang w:val="en-US" w:eastAsia="zh-CN" w:bidi="ar"/>
              </w:rPr>
              <w:t>A</w:t>
            </w:r>
            <w:r>
              <w:rPr>
                <w:rFonts w:hint="eastAsia" w:ascii="Times New Roman" w:hAnsi="Times New Roman" w:eastAsia="宋体" w:cs="Times New Roman"/>
                <w:color w:val="000000"/>
                <w:kern w:val="0"/>
                <w:sz w:val="21"/>
                <w:szCs w:val="21"/>
                <w:highlight w:val="none"/>
                <w:lang w:val="en-US" w:eastAsia="zh-CN" w:bidi="ar"/>
              </w:rPr>
              <w:t>级</w:t>
            </w:r>
            <w:r>
              <w:rPr>
                <w:rFonts w:hint="default" w:ascii="Times New Roman" w:hAnsi="Times New Roman" w:eastAsia="宋体" w:cs="Times New Roman"/>
                <w:color w:val="000000"/>
                <w:kern w:val="0"/>
                <w:sz w:val="21"/>
                <w:szCs w:val="21"/>
                <w:highlight w:val="none"/>
                <w:lang w:val="en-US" w:eastAsia="zh-CN" w:bidi="ar"/>
              </w:rPr>
              <w:t>100%</w:t>
            </w:r>
            <w:r>
              <w:rPr>
                <w:rFonts w:hint="eastAsia" w:ascii="Times New Roman" w:hAnsi="Times New Roman" w:eastAsia="宋体" w:cs="Times New Roman"/>
                <w:color w:val="000000"/>
                <w:kern w:val="0"/>
                <w:sz w:val="21"/>
                <w:szCs w:val="21"/>
                <w:highlight w:val="none"/>
                <w:lang w:val="en-US" w:eastAsia="zh-CN" w:bidi="ar"/>
              </w:rPr>
              <w:t>，</w:t>
            </w:r>
            <w:r>
              <w:rPr>
                <w:rFonts w:hint="default" w:ascii="Times New Roman" w:hAnsi="Times New Roman" w:eastAsia="宋体" w:cs="Times New Roman"/>
                <w:color w:val="000000"/>
                <w:kern w:val="0"/>
                <w:sz w:val="21"/>
                <w:szCs w:val="21"/>
                <w:highlight w:val="none"/>
                <w:lang w:val="en-US" w:eastAsia="zh-CN" w:bidi="ar"/>
              </w:rPr>
              <w:t>B</w:t>
            </w:r>
            <w:r>
              <w:rPr>
                <w:rFonts w:hint="eastAsia" w:ascii="Times New Roman" w:hAnsi="Times New Roman" w:eastAsia="宋体" w:cs="Times New Roman"/>
                <w:color w:val="000000"/>
                <w:kern w:val="0"/>
                <w:sz w:val="21"/>
                <w:szCs w:val="21"/>
                <w:highlight w:val="none"/>
                <w:lang w:val="en-US" w:eastAsia="zh-CN" w:bidi="ar"/>
              </w:rPr>
              <w:t>级不低于</w:t>
            </w:r>
            <w:r>
              <w:rPr>
                <w:rFonts w:hint="default" w:ascii="Times New Roman" w:hAnsi="Times New Roman" w:eastAsia="宋体" w:cs="Times New Roman"/>
                <w:color w:val="000000"/>
                <w:kern w:val="0"/>
                <w:sz w:val="21"/>
                <w:szCs w:val="21"/>
                <w:highlight w:val="none"/>
                <w:lang w:val="en-US" w:eastAsia="zh-CN" w:bidi="ar"/>
              </w:rPr>
              <w:t>80%</w:t>
            </w:r>
            <w:r>
              <w:rPr>
                <w:rFonts w:hint="eastAsia" w:ascii="Times New Roman" w:hAnsi="Times New Roman" w:eastAsia="宋体" w:cs="Times New Roman"/>
                <w:color w:val="000000"/>
                <w:kern w:val="0"/>
                <w:sz w:val="21"/>
                <w:szCs w:val="21"/>
                <w:highlight w:val="none"/>
                <w:lang w:val="en-US" w:eastAsia="zh-CN" w:bidi="ar"/>
              </w:rPr>
              <w:t xml:space="preserve">），其他车辆达到国四排放标准（重型燃气车辆达到国五及以上排放标准）； </w:t>
            </w:r>
          </w:p>
          <w:p w14:paraId="2647204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left"/>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③危险品及危废运输。国五及以上或新能源车辆（</w:t>
            </w:r>
            <w:r>
              <w:rPr>
                <w:rFonts w:hint="default" w:ascii="Times New Roman" w:hAnsi="Times New Roman" w:eastAsia="宋体" w:cs="Times New Roman"/>
                <w:color w:val="000000"/>
                <w:kern w:val="0"/>
                <w:sz w:val="21"/>
                <w:szCs w:val="21"/>
                <w:highlight w:val="none"/>
                <w:lang w:val="en-US" w:eastAsia="zh-CN" w:bidi="ar"/>
              </w:rPr>
              <w:t>A</w:t>
            </w:r>
            <w:r>
              <w:rPr>
                <w:rFonts w:hint="eastAsia" w:ascii="Times New Roman" w:hAnsi="Times New Roman" w:eastAsia="宋体" w:cs="Times New Roman"/>
                <w:color w:val="000000"/>
                <w:kern w:val="0"/>
                <w:sz w:val="21"/>
                <w:szCs w:val="21"/>
                <w:highlight w:val="none"/>
                <w:lang w:val="en-US" w:eastAsia="zh-CN" w:bidi="ar"/>
              </w:rPr>
              <w:t>级</w:t>
            </w:r>
            <w:r>
              <w:rPr>
                <w:rFonts w:hint="default" w:ascii="Times New Roman" w:hAnsi="Times New Roman" w:eastAsia="宋体" w:cs="Times New Roman"/>
                <w:color w:val="000000"/>
                <w:kern w:val="0"/>
                <w:sz w:val="21"/>
                <w:szCs w:val="21"/>
                <w:highlight w:val="none"/>
                <w:lang w:val="en-US" w:eastAsia="zh-CN" w:bidi="ar"/>
              </w:rPr>
              <w:t>/B</w:t>
            </w:r>
            <w:r>
              <w:rPr>
                <w:rFonts w:hint="eastAsia" w:ascii="Times New Roman" w:hAnsi="Times New Roman" w:eastAsia="宋体" w:cs="Times New Roman"/>
                <w:color w:val="000000"/>
                <w:kern w:val="0"/>
                <w:sz w:val="21"/>
                <w:szCs w:val="21"/>
                <w:highlight w:val="none"/>
                <w:lang w:val="en-US" w:eastAsia="zh-CN" w:bidi="ar"/>
              </w:rPr>
              <w:t>级</w:t>
            </w:r>
            <w:r>
              <w:rPr>
                <w:rFonts w:hint="default" w:ascii="Times New Roman" w:hAnsi="Times New Roman" w:eastAsia="宋体" w:cs="Times New Roman"/>
                <w:color w:val="000000"/>
                <w:kern w:val="0"/>
                <w:sz w:val="21"/>
                <w:szCs w:val="21"/>
                <w:highlight w:val="none"/>
                <w:lang w:val="en-US" w:eastAsia="zh-CN" w:bidi="ar"/>
              </w:rPr>
              <w:t>100%</w:t>
            </w:r>
            <w:r>
              <w:rPr>
                <w:rFonts w:hint="eastAsia" w:ascii="Times New Roman" w:hAnsi="Times New Roman" w:eastAsia="宋体" w:cs="Times New Roman"/>
                <w:color w:val="000000"/>
                <w:kern w:val="0"/>
                <w:sz w:val="21"/>
                <w:szCs w:val="21"/>
                <w:highlight w:val="none"/>
                <w:lang w:val="en-US" w:eastAsia="zh-CN" w:bidi="ar"/>
              </w:rPr>
              <w:t xml:space="preserve">）； </w:t>
            </w:r>
          </w:p>
          <w:p w14:paraId="3BC4B2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left"/>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④厂内非道路移动机械。国三及以上排放标准或使用新能源机械（</w:t>
            </w:r>
            <w:r>
              <w:rPr>
                <w:rFonts w:hint="default" w:ascii="Times New Roman" w:hAnsi="Times New Roman" w:eastAsia="宋体" w:cs="Times New Roman"/>
                <w:color w:val="000000"/>
                <w:kern w:val="0"/>
                <w:sz w:val="21"/>
                <w:szCs w:val="21"/>
                <w:highlight w:val="none"/>
                <w:lang w:val="en-US" w:eastAsia="zh-CN" w:bidi="ar"/>
              </w:rPr>
              <w:t>A</w:t>
            </w:r>
            <w:r>
              <w:rPr>
                <w:rFonts w:hint="eastAsia" w:ascii="Times New Roman" w:hAnsi="Times New Roman" w:eastAsia="宋体" w:cs="Times New Roman"/>
                <w:color w:val="000000"/>
                <w:kern w:val="0"/>
                <w:sz w:val="21"/>
                <w:szCs w:val="21"/>
                <w:highlight w:val="none"/>
                <w:lang w:val="en-US" w:eastAsia="zh-CN" w:bidi="ar"/>
              </w:rPr>
              <w:t>级</w:t>
            </w:r>
            <w:r>
              <w:rPr>
                <w:rFonts w:hint="default" w:ascii="Times New Roman" w:hAnsi="Times New Roman" w:eastAsia="宋体" w:cs="Times New Roman"/>
                <w:color w:val="000000"/>
                <w:kern w:val="0"/>
                <w:sz w:val="21"/>
                <w:szCs w:val="21"/>
                <w:highlight w:val="none"/>
                <w:lang w:val="en-US" w:eastAsia="zh-CN" w:bidi="ar"/>
              </w:rPr>
              <w:t>/B</w:t>
            </w:r>
            <w:r>
              <w:rPr>
                <w:rFonts w:hint="eastAsia" w:ascii="Times New Roman" w:hAnsi="Times New Roman" w:eastAsia="宋体" w:cs="Times New Roman"/>
                <w:color w:val="000000"/>
                <w:kern w:val="0"/>
                <w:sz w:val="21"/>
                <w:szCs w:val="21"/>
                <w:highlight w:val="none"/>
                <w:lang w:val="en-US" w:eastAsia="zh-CN" w:bidi="ar"/>
              </w:rPr>
              <w:t>级</w:t>
            </w:r>
            <w:r>
              <w:rPr>
                <w:rFonts w:hint="default" w:ascii="Times New Roman" w:hAnsi="Times New Roman" w:eastAsia="宋体" w:cs="Times New Roman"/>
                <w:color w:val="000000"/>
                <w:kern w:val="0"/>
                <w:sz w:val="21"/>
                <w:szCs w:val="21"/>
                <w:highlight w:val="none"/>
                <w:lang w:val="en-US" w:eastAsia="zh-CN" w:bidi="ar"/>
              </w:rPr>
              <w:t>100%</w:t>
            </w:r>
            <w:r>
              <w:rPr>
                <w:rFonts w:hint="eastAsia" w:ascii="Times New Roman" w:hAnsi="Times New Roman" w:eastAsia="宋体" w:cs="Times New Roman"/>
                <w:color w:val="000000"/>
                <w:kern w:val="0"/>
                <w:sz w:val="21"/>
                <w:szCs w:val="21"/>
                <w:highlight w:val="none"/>
                <w:lang w:val="en-US" w:eastAsia="zh-CN" w:bidi="ar"/>
              </w:rPr>
              <w:t>）。</w:t>
            </w:r>
          </w:p>
        </w:tc>
        <w:tc>
          <w:tcPr>
            <w:tcW w:w="1624" w:type="dxa"/>
            <w:tcBorders>
              <w:tl2br w:val="nil"/>
              <w:tr2bl w:val="nil"/>
            </w:tcBorders>
            <w:noWrap w:val="0"/>
            <w:vAlign w:val="center"/>
          </w:tcPr>
          <w:p w14:paraId="71C99F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left"/>
              <w:textAlignment w:val="auto"/>
              <w:rPr>
                <w:rFonts w:hint="default" w:ascii="Times New Roman" w:hAnsi="Times New Roman" w:eastAsia="宋体" w:cs="Times New Roman"/>
                <w:b/>
                <w:bCs/>
                <w:color w:val="000000"/>
                <w:kern w:val="0"/>
                <w:sz w:val="21"/>
                <w:szCs w:val="21"/>
                <w:highlight w:val="none"/>
                <w:u w:val="single"/>
                <w:lang w:val="en-US" w:eastAsia="zh-CN"/>
              </w:rPr>
            </w:pPr>
            <w:r>
              <w:rPr>
                <w:rFonts w:hint="eastAsia" w:cs="Times New Roman"/>
                <w:b/>
                <w:bCs/>
                <w:color w:val="000000"/>
                <w:kern w:val="0"/>
                <w:sz w:val="21"/>
                <w:szCs w:val="21"/>
                <w:highlight w:val="none"/>
                <w:u w:val="single"/>
                <w:lang w:val="en-US" w:eastAsia="zh-CN" w:bidi="ar"/>
              </w:rPr>
              <w:t>本项目为中试项目，运输方式按照厂区现有项目运输方式进行运输。</w:t>
            </w:r>
          </w:p>
        </w:tc>
        <w:tc>
          <w:tcPr>
            <w:tcW w:w="819" w:type="dxa"/>
            <w:tcBorders>
              <w:tl2br w:val="nil"/>
              <w:tr2bl w:val="nil"/>
            </w:tcBorders>
            <w:noWrap w:val="0"/>
            <w:vAlign w:val="center"/>
          </w:tcPr>
          <w:p w14:paraId="4402F8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符合要求</w:t>
            </w:r>
          </w:p>
        </w:tc>
      </w:tr>
      <w:tr w14:paraId="1287EEBF">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55" w:hRule="atLeast"/>
          <w:jc w:val="center"/>
        </w:trPr>
        <w:tc>
          <w:tcPr>
            <w:tcW w:w="1041" w:type="dxa"/>
            <w:vMerge w:val="continue"/>
            <w:tcBorders>
              <w:tl2br w:val="nil"/>
              <w:tr2bl w:val="nil"/>
            </w:tcBorders>
            <w:noWrap w:val="0"/>
            <w:vAlign w:val="center"/>
          </w:tcPr>
          <w:p w14:paraId="695E5F0F">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p>
        </w:tc>
        <w:tc>
          <w:tcPr>
            <w:tcW w:w="445" w:type="dxa"/>
            <w:vMerge w:val="continue"/>
            <w:tcBorders>
              <w:tl2br w:val="nil"/>
              <w:tr2bl w:val="nil"/>
            </w:tcBorders>
            <w:noWrap w:val="0"/>
            <w:vAlign w:val="center"/>
          </w:tcPr>
          <w:p w14:paraId="66A2468D">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p>
        </w:tc>
        <w:tc>
          <w:tcPr>
            <w:tcW w:w="445" w:type="dxa"/>
            <w:tcBorders>
              <w:tl2br w:val="nil"/>
              <w:tr2bl w:val="nil"/>
            </w:tcBorders>
            <w:noWrap w:val="0"/>
            <w:vAlign w:val="center"/>
          </w:tcPr>
          <w:p w14:paraId="7C774B05">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kern w:val="0"/>
                <w:sz w:val="21"/>
                <w:szCs w:val="21"/>
                <w:highlight w:val="none"/>
                <w:lang w:val="en-US" w:eastAsia="zh-CN" w:bidi="ar"/>
              </w:rPr>
            </w:pPr>
            <w:r>
              <w:rPr>
                <w:rFonts w:hint="eastAsia" w:ascii="Times New Roman" w:hAnsi="Times New Roman" w:eastAsia="宋体" w:cs="Times New Roman"/>
                <w:color w:val="000000"/>
                <w:kern w:val="0"/>
                <w:sz w:val="21"/>
                <w:szCs w:val="21"/>
                <w:highlight w:val="none"/>
                <w:lang w:val="en-US" w:eastAsia="zh-CN" w:bidi="ar"/>
              </w:rPr>
              <w:t>运输监管</w:t>
            </w:r>
          </w:p>
        </w:tc>
        <w:tc>
          <w:tcPr>
            <w:tcW w:w="3742" w:type="dxa"/>
            <w:tcBorders>
              <w:tl2br w:val="nil"/>
              <w:tr2bl w:val="nil"/>
            </w:tcBorders>
            <w:noWrap w:val="0"/>
            <w:vAlign w:val="center"/>
          </w:tcPr>
          <w:p w14:paraId="26DEEB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left"/>
              <w:textAlignment w:val="auto"/>
              <w:rPr>
                <w:rFonts w:hint="eastAsia"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厂区货运车辆进出大门口：日均进出货物150</w:t>
            </w:r>
            <w:r>
              <w:rPr>
                <w:rFonts w:hint="eastAsia" w:ascii="Times New Roman" w:hAnsi="Times New Roman" w:eastAsia="宋体" w:cs="Times New Roman"/>
                <w:color w:val="000000"/>
                <w:kern w:val="0"/>
                <w:sz w:val="21"/>
                <w:szCs w:val="21"/>
                <w:highlight w:val="none"/>
                <w:lang w:val="en-US" w:eastAsia="zh-CN" w:bidi="ar"/>
              </w:rPr>
              <w:t>吨（或载货车辆日进出</w:t>
            </w:r>
            <w:r>
              <w:rPr>
                <w:rFonts w:hint="default" w:ascii="Times New Roman" w:hAnsi="Times New Roman" w:eastAsia="宋体" w:cs="Times New Roman"/>
                <w:color w:val="000000"/>
                <w:kern w:val="0"/>
                <w:sz w:val="21"/>
                <w:szCs w:val="21"/>
                <w:highlight w:val="none"/>
                <w:lang w:val="en-US" w:eastAsia="zh-CN" w:bidi="ar"/>
              </w:rPr>
              <w:t>10</w:t>
            </w:r>
            <w:r>
              <w:rPr>
                <w:rFonts w:hint="eastAsia" w:ascii="Times New Roman" w:hAnsi="Times New Roman" w:eastAsia="宋体" w:cs="Times New Roman"/>
                <w:color w:val="000000"/>
                <w:kern w:val="0"/>
                <w:sz w:val="21"/>
                <w:szCs w:val="21"/>
                <w:highlight w:val="none"/>
                <w:lang w:val="en-US" w:eastAsia="zh-CN" w:bidi="ar"/>
              </w:rPr>
              <w:t>辆次）及以上（货物包括原料、辅料、燃料、产品和其他与生产相关物料）的企业，或纳入我省重点行业年产值</w:t>
            </w:r>
            <w:r>
              <w:rPr>
                <w:rFonts w:hint="default" w:ascii="Times New Roman" w:hAnsi="Times New Roman" w:eastAsia="宋体" w:cs="Times New Roman"/>
                <w:color w:val="000000"/>
                <w:kern w:val="0"/>
                <w:sz w:val="21"/>
                <w:szCs w:val="21"/>
                <w:highlight w:val="none"/>
                <w:lang w:val="en-US" w:eastAsia="zh-CN" w:bidi="ar"/>
              </w:rPr>
              <w:t>1000</w:t>
            </w:r>
            <w:r>
              <w:rPr>
                <w:rFonts w:hint="eastAsia" w:ascii="Times New Roman" w:hAnsi="Times New Roman" w:eastAsia="宋体" w:cs="Times New Roman"/>
                <w:color w:val="000000"/>
                <w:kern w:val="0"/>
                <w:sz w:val="21"/>
                <w:szCs w:val="21"/>
                <w:highlight w:val="none"/>
                <w:lang w:val="en-US" w:eastAsia="zh-CN" w:bidi="ar"/>
              </w:rPr>
              <w:t xml:space="preserve">万及以上的企业，拟申报 </w:t>
            </w:r>
            <w:r>
              <w:rPr>
                <w:rFonts w:hint="default" w:ascii="Times New Roman" w:hAnsi="Times New Roman" w:eastAsia="宋体" w:cs="Times New Roman"/>
                <w:color w:val="000000"/>
                <w:kern w:val="0"/>
                <w:sz w:val="21"/>
                <w:szCs w:val="21"/>
                <w:highlight w:val="none"/>
                <w:lang w:val="en-US" w:eastAsia="zh-CN" w:bidi="ar"/>
              </w:rPr>
              <w:t>A</w:t>
            </w:r>
            <w:r>
              <w:rPr>
                <w:rFonts w:hint="eastAsia" w:ascii="Times New Roman" w:hAnsi="Times New Roman" w:eastAsia="宋体" w:cs="Times New Roman"/>
                <w:color w:val="000000"/>
                <w:kern w:val="0"/>
                <w:sz w:val="21"/>
                <w:szCs w:val="21"/>
                <w:highlight w:val="none"/>
                <w:lang w:val="en-US" w:eastAsia="zh-CN" w:bidi="ar"/>
              </w:rPr>
              <w:t>、</w:t>
            </w:r>
            <w:r>
              <w:rPr>
                <w:rFonts w:hint="default" w:ascii="Times New Roman" w:hAnsi="Times New Roman" w:eastAsia="宋体" w:cs="Times New Roman"/>
                <w:color w:val="000000"/>
                <w:kern w:val="0"/>
                <w:sz w:val="21"/>
                <w:szCs w:val="21"/>
                <w:highlight w:val="none"/>
                <w:lang w:val="en-US" w:eastAsia="zh-CN" w:bidi="ar"/>
              </w:rPr>
              <w:t xml:space="preserve">B </w:t>
            </w:r>
            <w:r>
              <w:rPr>
                <w:rFonts w:hint="eastAsia" w:ascii="Times New Roman" w:hAnsi="Times New Roman" w:eastAsia="宋体" w:cs="Times New Roman"/>
                <w:color w:val="000000"/>
                <w:kern w:val="0"/>
                <w:sz w:val="21"/>
                <w:szCs w:val="21"/>
                <w:highlight w:val="none"/>
                <w:lang w:val="en-US" w:eastAsia="zh-CN" w:bidi="ar"/>
              </w:rPr>
              <w:t>级企业时，应参照《重污染天气重点行业移动源应急管理技术指南》建立门禁视频监控系统和电子台账；其他企业建立电子台账。安装高清视频监控系统并</w:t>
            </w:r>
            <w:r>
              <w:rPr>
                <w:rFonts w:hint="default" w:ascii="Times New Roman" w:hAnsi="Times New Roman" w:eastAsia="宋体" w:cs="Times New Roman"/>
                <w:color w:val="000000"/>
                <w:kern w:val="0"/>
                <w:sz w:val="21"/>
                <w:szCs w:val="21"/>
                <w:highlight w:val="none"/>
                <w:lang w:val="en-US" w:eastAsia="zh-CN" w:bidi="ar"/>
              </w:rPr>
              <w:t>7</w:t>
            </w:r>
            <w:r>
              <w:rPr>
                <w:rFonts w:hint="eastAsia" w:ascii="Times New Roman" w:hAnsi="Times New Roman" w:eastAsia="宋体" w:cs="Times New Roman"/>
                <w:color w:val="000000"/>
                <w:kern w:val="0"/>
                <w:sz w:val="21"/>
                <w:szCs w:val="21"/>
                <w:highlight w:val="none"/>
                <w:lang w:val="en-US" w:eastAsia="zh-CN" w:bidi="ar"/>
              </w:rPr>
              <w:t>能保留数据</w:t>
            </w:r>
            <w:r>
              <w:rPr>
                <w:rFonts w:hint="default" w:ascii="Times New Roman" w:hAnsi="Times New Roman" w:eastAsia="宋体" w:cs="Times New Roman"/>
                <w:color w:val="000000"/>
                <w:kern w:val="0"/>
                <w:sz w:val="21"/>
                <w:szCs w:val="21"/>
                <w:highlight w:val="none"/>
                <w:lang w:val="en-US" w:eastAsia="zh-CN" w:bidi="ar"/>
              </w:rPr>
              <w:t>6</w:t>
            </w:r>
            <w:r>
              <w:rPr>
                <w:rFonts w:hint="eastAsia" w:ascii="Times New Roman" w:hAnsi="Times New Roman" w:eastAsia="宋体" w:cs="Times New Roman"/>
                <w:color w:val="000000"/>
                <w:kern w:val="0"/>
                <w:sz w:val="21"/>
                <w:szCs w:val="21"/>
                <w:highlight w:val="none"/>
                <w:lang w:val="en-US" w:eastAsia="zh-CN" w:bidi="ar"/>
              </w:rPr>
              <w:t xml:space="preserve">个月以上。 </w:t>
            </w:r>
          </w:p>
        </w:tc>
        <w:tc>
          <w:tcPr>
            <w:tcW w:w="1624" w:type="dxa"/>
            <w:tcBorders>
              <w:tl2br w:val="nil"/>
              <w:tr2bl w:val="nil"/>
            </w:tcBorders>
            <w:noWrap w:val="0"/>
            <w:vAlign w:val="center"/>
          </w:tcPr>
          <w:p w14:paraId="1F1A03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b/>
                <w:bCs/>
                <w:color w:val="000000"/>
                <w:kern w:val="0"/>
                <w:sz w:val="21"/>
                <w:szCs w:val="21"/>
                <w:highlight w:val="none"/>
                <w:u w:val="single"/>
                <w:lang w:val="en-US" w:eastAsia="zh-CN"/>
              </w:rPr>
            </w:pPr>
            <w:r>
              <w:rPr>
                <w:rFonts w:hint="eastAsia" w:cs="Times New Roman"/>
                <w:b/>
                <w:bCs/>
                <w:color w:val="000000"/>
                <w:kern w:val="0"/>
                <w:sz w:val="21"/>
                <w:szCs w:val="21"/>
                <w:highlight w:val="none"/>
                <w:u w:val="single"/>
                <w:lang w:val="en-US" w:eastAsia="zh-CN" w:bidi="ar"/>
              </w:rPr>
              <w:t>本项目为中试项目，运输方式按照厂区现有</w:t>
            </w:r>
            <w:r>
              <w:rPr>
                <w:rFonts w:hint="eastAsia" w:cs="Times New Roman"/>
                <w:b/>
                <w:bCs/>
                <w:color w:val="000000"/>
                <w:kern w:val="0"/>
                <w:sz w:val="21"/>
                <w:szCs w:val="21"/>
                <w:highlight w:val="none"/>
                <w:u w:val="single"/>
                <w:lang w:val="en-US" w:eastAsia="zh-CN"/>
              </w:rPr>
              <w:t>门禁系统进行监控</w:t>
            </w:r>
            <w:r>
              <w:rPr>
                <w:rFonts w:hint="eastAsia" w:ascii="Times New Roman" w:hAnsi="Times New Roman" w:eastAsia="宋体" w:cs="Times New Roman"/>
                <w:b/>
                <w:bCs/>
                <w:color w:val="000000"/>
                <w:kern w:val="0"/>
                <w:sz w:val="21"/>
                <w:szCs w:val="21"/>
                <w:highlight w:val="none"/>
                <w:u w:val="single"/>
                <w:lang w:val="en-US" w:eastAsia="zh-CN"/>
              </w:rPr>
              <w:t>。</w:t>
            </w:r>
          </w:p>
        </w:tc>
        <w:tc>
          <w:tcPr>
            <w:tcW w:w="819" w:type="dxa"/>
            <w:tcBorders>
              <w:tl2br w:val="nil"/>
              <w:tr2bl w:val="nil"/>
            </w:tcBorders>
            <w:noWrap w:val="0"/>
            <w:vAlign w:val="center"/>
          </w:tcPr>
          <w:p w14:paraId="2FC136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符合要求</w:t>
            </w:r>
          </w:p>
        </w:tc>
      </w:tr>
    </w:tbl>
    <w:p w14:paraId="6610833D">
      <w:pPr>
        <w:pStyle w:val="5"/>
        <w:bidi w:val="0"/>
        <w:rPr>
          <w:rFonts w:hint="eastAsia"/>
        </w:rPr>
      </w:pPr>
      <w:r>
        <w:rPr>
          <w:rFonts w:hint="eastAsia"/>
        </w:rPr>
        <w:t>本项目与《新乡市生态环境保护委员会办公室关于印发&lt;新乡市2024年蓝天保卫战实施方案&gt;&lt;新乡市2024年碧水保卫战实施方案&gt;&lt;新乡市2024年净土保卫战实施方案&gt;&lt;新乡市2024年柴油货车污染治理攻坚战实施方案&gt;的通知》（新环委办〔2024〕49号）（以下简称《攻坚战实施方案》）对比分析</w:t>
      </w:r>
    </w:p>
    <w:p w14:paraId="7C5A3609">
      <w:pPr>
        <w:pStyle w:val="10"/>
        <w:bidi w:val="0"/>
        <w:rPr>
          <w:lang w:val="en-US" w:eastAsia="zh-CN"/>
        </w:rPr>
      </w:pPr>
      <w:r>
        <w:t xml:space="preserve">表 </w:t>
      </w:r>
      <w:r>
        <w:fldChar w:fldCharType="begin"/>
      </w:r>
      <w:r>
        <w:instrText xml:space="preserve"> STYLEREF 2 \s </w:instrText>
      </w:r>
      <w:r>
        <w:fldChar w:fldCharType="separate"/>
      </w:r>
      <w:r>
        <w:t>2.10</w:t>
      </w:r>
      <w:r>
        <w:fldChar w:fldCharType="end"/>
      </w:r>
      <w:r>
        <w:rPr>
          <w:rFonts w:hint="eastAsia"/>
          <w:lang w:eastAsia="zh-CN"/>
        </w:rPr>
        <w:t>-</w:t>
      </w:r>
      <w:r>
        <w:fldChar w:fldCharType="begin"/>
      </w:r>
      <w:r>
        <w:instrText xml:space="preserve"> SEQ 表 \* ARABIC \s 2 </w:instrText>
      </w:r>
      <w:r>
        <w:fldChar w:fldCharType="separate"/>
      </w:r>
      <w:r>
        <w:t>5</w:t>
      </w:r>
      <w:r>
        <w:fldChar w:fldCharType="end"/>
      </w:r>
      <w:r>
        <w:rPr>
          <w:rFonts w:hint="eastAsia"/>
          <w:lang w:val="en-US" w:eastAsia="zh-CN"/>
        </w:rPr>
        <w:t>本项目与《攻坚战实施方案》相关内容对照表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1333"/>
        <w:gridCol w:w="3972"/>
        <w:gridCol w:w="2389"/>
        <w:gridCol w:w="726"/>
      </w:tblGrid>
      <w:tr w14:paraId="774A4A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305" w:type="dxa"/>
            <w:gridSpan w:val="2"/>
            <w:noWrap w:val="0"/>
            <w:vAlign w:val="center"/>
          </w:tcPr>
          <w:p w14:paraId="3323A0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ascii="Times New Roman" w:hAnsi="Times New Roman" w:eastAsia="宋体" w:cs="Times New Roman"/>
                <w:b/>
                <w:spacing w:val="-1"/>
              </w:rPr>
              <w:t>与本项目相关条文</w:t>
            </w:r>
          </w:p>
        </w:tc>
        <w:tc>
          <w:tcPr>
            <w:tcW w:w="2389" w:type="dxa"/>
            <w:noWrap w:val="0"/>
            <w:vAlign w:val="center"/>
          </w:tcPr>
          <w:p w14:paraId="5406D7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b/>
                <w:spacing w:val="-1"/>
              </w:rPr>
              <w:t>本项目建设情况</w:t>
            </w:r>
          </w:p>
        </w:tc>
        <w:tc>
          <w:tcPr>
            <w:tcW w:w="726" w:type="dxa"/>
            <w:noWrap w:val="0"/>
            <w:vAlign w:val="center"/>
          </w:tcPr>
          <w:p w14:paraId="5D367AE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b/>
                <w:spacing w:val="-5"/>
              </w:rPr>
              <w:t>相符性</w:t>
            </w:r>
          </w:p>
        </w:tc>
      </w:tr>
      <w:tr w14:paraId="2AE07A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20" w:type="dxa"/>
            <w:gridSpan w:val="4"/>
            <w:noWrap w:val="0"/>
            <w:vAlign w:val="center"/>
          </w:tcPr>
          <w:p w14:paraId="07C522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spacing w:val="-5"/>
              </w:rPr>
            </w:pPr>
            <w:r>
              <w:rPr>
                <w:rFonts w:ascii="Times New Roman" w:hAnsi="Times New Roman" w:eastAsia="宋体" w:cs="Times New Roman"/>
                <w:b/>
              </w:rPr>
              <w:t>《新乡市2024年蓝天保卫战实施方案》</w:t>
            </w:r>
          </w:p>
        </w:tc>
      </w:tr>
      <w:tr w14:paraId="00D366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33" w:type="dxa"/>
            <w:noWrap w:val="0"/>
            <w:vAlign w:val="center"/>
          </w:tcPr>
          <w:p w14:paraId="4183CE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eastAsia="Times New Roman"/>
                <w:spacing w:val="-5"/>
              </w:rPr>
              <w:t>1.</w:t>
            </w:r>
            <w:r>
              <w:rPr>
                <w:spacing w:val="-5"/>
              </w:rPr>
              <w:t>依法依</w:t>
            </w:r>
            <w:r>
              <w:rPr>
                <w:spacing w:val="-2"/>
              </w:rPr>
              <w:t>规淘汰落后低效产</w:t>
            </w:r>
            <w:r>
              <w:t>能</w:t>
            </w:r>
          </w:p>
        </w:tc>
        <w:tc>
          <w:tcPr>
            <w:tcW w:w="3972" w:type="dxa"/>
            <w:noWrap w:val="0"/>
            <w:vAlign w:val="center"/>
          </w:tcPr>
          <w:p w14:paraId="19925DD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spacing w:val="-1"/>
              </w:rPr>
              <w:t>制定年度落后产能退出工作方案，2024年6月底前，排查建立落后产能淘汰任务台账，明确淘汰突出时限及责任单位。鼓励烧结砖和烧结空心砌块生产线有序退出，对烧结砖瓦企业关停退出实施逐年递减的资金奖补方式，对2025年之后完成的，不再给予资金奖补。</w:t>
            </w:r>
          </w:p>
        </w:tc>
        <w:tc>
          <w:tcPr>
            <w:tcW w:w="2389" w:type="dxa"/>
            <w:noWrap w:val="0"/>
            <w:vAlign w:val="center"/>
          </w:tcPr>
          <w:p w14:paraId="223BC49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spacing w:val="-1"/>
              </w:rPr>
              <w:t>本项目不涉及淘汰工艺或淘汰装</w:t>
            </w:r>
            <w:r>
              <w:rPr>
                <w:spacing w:val="-37"/>
              </w:rPr>
              <w:t>备。</w:t>
            </w:r>
          </w:p>
        </w:tc>
        <w:tc>
          <w:tcPr>
            <w:tcW w:w="726" w:type="dxa"/>
            <w:noWrap w:val="0"/>
            <w:vAlign w:val="center"/>
          </w:tcPr>
          <w:p w14:paraId="091C122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符合</w:t>
            </w:r>
          </w:p>
        </w:tc>
      </w:tr>
      <w:tr w14:paraId="65FE1A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33" w:type="dxa"/>
            <w:noWrap w:val="0"/>
            <w:vAlign w:val="center"/>
          </w:tcPr>
          <w:p w14:paraId="167DD1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ascii="Times New Roman" w:hAnsi="Times New Roman" w:eastAsia="宋体" w:cs="Times New Roman"/>
                <w:spacing w:val="-1"/>
              </w:rPr>
            </w:pPr>
            <w:r>
              <w:rPr>
                <w:rFonts w:hint="eastAsia" w:ascii="Times New Roman" w:hAnsi="Times New Roman" w:eastAsia="宋体" w:cs="Times New Roman"/>
                <w:spacing w:val="-1"/>
                <w:lang w:val="en-US" w:eastAsia="zh-CN"/>
              </w:rPr>
              <w:t>12.开展低效失效设施排查整治。</w:t>
            </w:r>
          </w:p>
        </w:tc>
        <w:tc>
          <w:tcPr>
            <w:tcW w:w="3972" w:type="dxa"/>
            <w:noWrap w:val="0"/>
            <w:vAlign w:val="center"/>
          </w:tcPr>
          <w:p w14:paraId="2AB6276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ascii="Times New Roman" w:hAnsi="Times New Roman" w:eastAsia="宋体" w:cs="Times New Roman"/>
                <w:spacing w:val="-1"/>
              </w:rPr>
            </w:pPr>
            <w:r>
              <w:rPr>
                <w:rFonts w:hint="eastAsia" w:ascii="Times New Roman" w:hAnsi="Times New Roman" w:eastAsia="宋体" w:cs="Times New Roman"/>
                <w:spacing w:val="-1"/>
                <w:lang w:val="en-US" w:eastAsia="zh-CN"/>
              </w:rPr>
              <w:t>制定工业炉窑、锅炉、涉VOCs等重点行业低效失效治理设施排查整治方案，建立整治提升企业清单，重点关注水喷淋脱硫、简易碱法脱硫、简易氨法脱硫脱硝、微生物脱硝、单一水膜（浴）除尘、湿法脱硫除尘一体化等脱硫脱硝除尘工艺，单一低温等离子、光氧化、光催化、非水溶性VOCs废气采用单一水喷淋吸收等VOCs治理工艺及上述工艺的组合（异味治理除外），处理机制不明、无法通过药剂或副产物进污染物脱除效果评估的治理工艺，对无法稳定达标排放的，通过更换适宜高效治理工艺、清洁能源替代、原辅材料源头提点、关停淘汰等方式实施分类整治。对人工投加脱硫脱硝剂的简易设施实施自动化改造，取缔直接向烟道内喷洒脱硫脱硝剂等敷衍式治理工艺。2024年10月底前完成排查工作，对于能立行立改的问题，督促企业抓紧整改到位；确需一定整改周期的，明确提升改造措施和时限，未按时完成提升改造的纳入秋冬季生产调控范围。</w:t>
            </w:r>
          </w:p>
        </w:tc>
        <w:tc>
          <w:tcPr>
            <w:tcW w:w="2389" w:type="dxa"/>
            <w:noWrap w:val="0"/>
            <w:vAlign w:val="center"/>
          </w:tcPr>
          <w:p w14:paraId="2DD7D82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1"/>
              </w:rPr>
            </w:pPr>
            <w:r>
              <w:t>现有工程</w:t>
            </w:r>
            <w:r>
              <w:rPr>
                <w:rFonts w:hint="eastAsia" w:ascii="Times New Roman" w:hAnsi="Times New Roman" w:eastAsia="宋体" w:cs="Times New Roman"/>
                <w:spacing w:val="-1"/>
                <w:lang w:val="en-US" w:eastAsia="zh-CN"/>
              </w:rPr>
              <w:t>锅炉、涉VOCs项目，治理</w:t>
            </w:r>
            <w:r>
              <w:rPr>
                <w:spacing w:val="-1"/>
              </w:rPr>
              <w:t>废气处理工艺属于可行技术，废气达标排放</w:t>
            </w:r>
            <w:r>
              <w:rPr>
                <w:spacing w:val="-15"/>
              </w:rPr>
              <w:t>。</w:t>
            </w:r>
          </w:p>
        </w:tc>
        <w:tc>
          <w:tcPr>
            <w:tcW w:w="726" w:type="dxa"/>
            <w:noWrap w:val="0"/>
            <w:vAlign w:val="center"/>
          </w:tcPr>
          <w:p w14:paraId="2C59966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2"/>
              </w:rPr>
            </w:pPr>
            <w:r>
              <w:rPr>
                <w:spacing w:val="-2"/>
              </w:rPr>
              <w:t>符合</w:t>
            </w:r>
          </w:p>
        </w:tc>
      </w:tr>
      <w:tr w14:paraId="71B6C9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33" w:type="dxa"/>
            <w:noWrap w:val="0"/>
            <w:vAlign w:val="center"/>
          </w:tcPr>
          <w:p w14:paraId="2543F88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eastAsia="Times New Roman"/>
                <w:spacing w:val="-5"/>
              </w:rPr>
            </w:pPr>
            <w:r>
              <w:rPr>
                <w:rFonts w:hint="eastAsia" w:eastAsia="Times New Roman"/>
                <w:spacing w:val="-1"/>
              </w:rPr>
              <w:t>27.开展环境绩效等级提升行动。</w:t>
            </w:r>
          </w:p>
        </w:tc>
        <w:tc>
          <w:tcPr>
            <w:tcW w:w="3972" w:type="dxa"/>
            <w:noWrap w:val="0"/>
            <w:vAlign w:val="center"/>
          </w:tcPr>
          <w:p w14:paraId="3B7AFCE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1"/>
              </w:rPr>
            </w:pPr>
            <w:r>
              <w:rPr>
                <w:rFonts w:hint="eastAsia"/>
                <w:spacing w:val="-1"/>
              </w:rPr>
              <w:t>落实重点行业绩效分级管理实施细则，建立“有进有出”动态调整机制，分行业分类别建立绩效提升企业名单，推动水泥、化工、铸造、耐材、工业涂装、包装印刷等重点行业环保绩效创A，全力帮扶重点行业企业对照行业先进水平实施生产和治理工艺装备提升改造，不断提升环境绩效等级。国家、省绩效分级重点行业及涉及锅炉炉窑的其他行业，新（改、扩）建项目原则上要达到环境绩效A级或国内清洁生产先进水平。2024年5月底前，建立绩效提升培育企业清单，全市烧结砖瓦企业、水泥粉磨企业以及建成区内涉气重点行业企业要求全部纳入年度提升培育清单。2024年年底前，每个县（市、区）力争成功创建3家以上A、B级和绩效引领企业，长垣市、辉县市、新乡县、延津县等重点县（市）力争成功创建5家以上A、B级和绩效引领企业；建成区内企业全部达到B级及以上要求；烧结砖瓦窑企业全部达到B级及以上要求；水泥粉磨企业全部达到绩效引领要求，推动全市工业企业治理能力整体提升。</w:t>
            </w:r>
          </w:p>
        </w:tc>
        <w:tc>
          <w:tcPr>
            <w:tcW w:w="2389" w:type="dxa"/>
            <w:noWrap w:val="0"/>
            <w:vAlign w:val="center"/>
          </w:tcPr>
          <w:p w14:paraId="258486E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1"/>
              </w:rPr>
            </w:pPr>
            <w:r>
              <w:rPr>
                <w:spacing w:val="-1"/>
              </w:rPr>
              <w:t>本项目按通用行业绩效</w:t>
            </w:r>
            <w:r>
              <w:rPr>
                <w:rFonts w:hint="eastAsia"/>
                <w:spacing w:val="-4"/>
              </w:rPr>
              <w:t>A</w:t>
            </w:r>
            <w:r>
              <w:rPr>
                <w:spacing w:val="-4"/>
              </w:rPr>
              <w:t>级要</w:t>
            </w:r>
            <w:r>
              <w:rPr>
                <w:spacing w:val="-1"/>
              </w:rPr>
              <w:t>求建设，建成后将按要求配合分类分级管</w:t>
            </w:r>
            <w:r>
              <w:rPr>
                <w:spacing w:val="11"/>
              </w:rPr>
              <w:t>控。</w:t>
            </w:r>
          </w:p>
        </w:tc>
        <w:tc>
          <w:tcPr>
            <w:tcW w:w="726" w:type="dxa"/>
            <w:noWrap w:val="0"/>
            <w:vAlign w:val="center"/>
          </w:tcPr>
          <w:p w14:paraId="211DBCA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2"/>
              </w:rPr>
            </w:pPr>
            <w:r>
              <w:rPr>
                <w:spacing w:val="-2"/>
              </w:rPr>
              <w:t>符合</w:t>
            </w:r>
          </w:p>
        </w:tc>
      </w:tr>
      <w:tr w14:paraId="0886BF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33" w:type="dxa"/>
            <w:noWrap w:val="0"/>
            <w:vAlign w:val="center"/>
          </w:tcPr>
          <w:p w14:paraId="6CFC26F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spacing w:val="-5"/>
              </w:rPr>
            </w:pPr>
            <w:r>
              <w:rPr>
                <w:rFonts w:hint="eastAsia" w:eastAsia="Times New Roman"/>
                <w:spacing w:val="-1"/>
              </w:rPr>
              <w:t>30.强化污染源监控能力。</w:t>
            </w:r>
          </w:p>
        </w:tc>
        <w:tc>
          <w:tcPr>
            <w:tcW w:w="3972" w:type="dxa"/>
            <w:noWrap w:val="0"/>
            <w:vAlign w:val="top"/>
          </w:tcPr>
          <w:p w14:paraId="099C908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1"/>
              </w:rPr>
            </w:pPr>
            <w:r>
              <w:rPr>
                <w:rFonts w:hint="eastAsia"/>
                <w:spacing w:val="-1"/>
              </w:rPr>
              <w:t>组织更新大气环境重点排污单位名录，将自动监测要求载入排污许可证，督促排污单位依法安装、使用自动监控设施，将电力、水泥、化工等重点行业氨逃逸，以及石化、化工、工业涂装、包装印刷等重点行业和油品储运销过程油气回收VOCs因子纳入自动监控范围，并与生态环境部门联网，确保符合条件的企业全覆盖。探索实施水泥等重点行业企业工况监控、用电监控、视频监控等设施安装联网。</w:t>
            </w:r>
          </w:p>
        </w:tc>
        <w:tc>
          <w:tcPr>
            <w:tcW w:w="2389" w:type="dxa"/>
            <w:noWrap w:val="0"/>
            <w:vAlign w:val="center"/>
          </w:tcPr>
          <w:p w14:paraId="01CFE8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1"/>
              </w:rPr>
            </w:pPr>
            <w:r>
              <w:rPr>
                <w:spacing w:val="-2"/>
              </w:rPr>
              <w:t>现有工程锅炉废气等按要求安装有在线监控设施，并联网运行。</w:t>
            </w:r>
          </w:p>
        </w:tc>
        <w:tc>
          <w:tcPr>
            <w:tcW w:w="726" w:type="dxa"/>
            <w:noWrap w:val="0"/>
            <w:vAlign w:val="center"/>
          </w:tcPr>
          <w:p w14:paraId="0856CA1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2"/>
              </w:rPr>
            </w:pPr>
            <w:r>
              <w:rPr>
                <w:spacing w:val="-2"/>
              </w:rPr>
              <w:t>符合</w:t>
            </w:r>
          </w:p>
        </w:tc>
      </w:tr>
      <w:tr w14:paraId="6C6CED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20" w:type="dxa"/>
            <w:gridSpan w:val="4"/>
            <w:noWrap w:val="0"/>
            <w:vAlign w:val="center"/>
          </w:tcPr>
          <w:p w14:paraId="1B06D9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2"/>
              </w:rPr>
            </w:pPr>
            <w:r>
              <w:rPr>
                <w:rFonts w:hint="eastAsia"/>
                <w:b/>
                <w:bCs/>
                <w:spacing w:val="-2"/>
              </w:rPr>
              <w:t>《新乡市2024年碧水保卫战实施方案》</w:t>
            </w:r>
          </w:p>
        </w:tc>
      </w:tr>
      <w:tr w14:paraId="04DF46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33" w:type="dxa"/>
            <w:noWrap w:val="0"/>
            <w:vAlign w:val="center"/>
          </w:tcPr>
          <w:p w14:paraId="5028EA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eastAsia="Times New Roman"/>
                <w:spacing w:val="-5"/>
              </w:rPr>
            </w:pPr>
            <w:r>
              <w:rPr>
                <w:rFonts w:hint="eastAsia"/>
                <w:spacing w:val="-6"/>
              </w:rPr>
              <w:t>5.深化工业园区水污染整治。</w:t>
            </w:r>
          </w:p>
        </w:tc>
        <w:tc>
          <w:tcPr>
            <w:tcW w:w="3972" w:type="dxa"/>
            <w:noWrap w:val="0"/>
            <w:vAlign w:val="center"/>
          </w:tcPr>
          <w:p w14:paraId="5C4180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6"/>
              </w:rPr>
            </w:pPr>
            <w:r>
              <w:rPr>
                <w:rFonts w:hint="eastAsia"/>
                <w:spacing w:val="-6"/>
              </w:rPr>
              <w:t>开展工业园区污水收集处理能力、污水资源化利用能力、监测监管能力提升行动和化工园区“污水零直排区”建设行动，补齐园区污水收集处理设施短板。</w:t>
            </w:r>
          </w:p>
          <w:p w14:paraId="3319B3D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1"/>
              </w:rPr>
            </w:pPr>
            <w:r>
              <w:rPr>
                <w:rFonts w:hint="eastAsia"/>
                <w:spacing w:val="-6"/>
              </w:rPr>
              <w:t>到2024年底，化工园区基本建成独立专业的化工生产废水集中处理设施（或依托骨干企业）；国家级工业园区配套的污水管网质量和污水收集效能明显提升。重点推动新乡县综合污水处理厂中水回用项目、获嘉县香山家园污水处理厂提标改造和管网建设、辉县市孟庄化工园区污水处理厂及配套管网改造、延津县化工园区污水处理厂及管网建设、卫辉市铁西化工园区污水处理厂及管网建设。</w:t>
            </w:r>
          </w:p>
        </w:tc>
        <w:tc>
          <w:tcPr>
            <w:tcW w:w="2389" w:type="dxa"/>
            <w:noWrap w:val="0"/>
            <w:vAlign w:val="center"/>
          </w:tcPr>
          <w:p w14:paraId="0954C5F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default" w:eastAsia="宋体"/>
                <w:spacing w:val="-1"/>
                <w:lang w:val="en-US" w:eastAsia="zh-CN"/>
              </w:rPr>
            </w:pPr>
            <w:r>
              <w:rPr>
                <w:rFonts w:hint="eastAsia"/>
                <w:spacing w:val="-6"/>
                <w:lang w:val="en-US" w:eastAsia="zh-CN"/>
              </w:rPr>
              <w:t>本项目废水经厂区污水处理站处理后，经管网排入小店污水处理厂处理，处理达标后排放。</w:t>
            </w:r>
          </w:p>
        </w:tc>
        <w:tc>
          <w:tcPr>
            <w:tcW w:w="726" w:type="dxa"/>
            <w:noWrap w:val="0"/>
            <w:vAlign w:val="center"/>
          </w:tcPr>
          <w:p w14:paraId="122906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2"/>
              </w:rPr>
            </w:pPr>
            <w:r>
              <w:rPr>
                <w:spacing w:val="-2"/>
              </w:rPr>
              <w:t>符合</w:t>
            </w:r>
          </w:p>
        </w:tc>
      </w:tr>
      <w:tr w14:paraId="4CA1C4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33" w:type="dxa"/>
            <w:noWrap w:val="0"/>
            <w:vAlign w:val="center"/>
          </w:tcPr>
          <w:p w14:paraId="3073B1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eastAsia="Times New Roman"/>
                <w:spacing w:val="-5"/>
              </w:rPr>
            </w:pPr>
            <w:r>
              <w:rPr>
                <w:rFonts w:hint="eastAsia"/>
                <w:spacing w:val="-6"/>
              </w:rPr>
              <w:t>21.强化水生态环境执法监管。</w:t>
            </w:r>
          </w:p>
        </w:tc>
        <w:tc>
          <w:tcPr>
            <w:tcW w:w="3972" w:type="dxa"/>
            <w:noWrap w:val="0"/>
            <w:vAlign w:val="center"/>
          </w:tcPr>
          <w:p w14:paraId="0774E4E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6"/>
              </w:rPr>
            </w:pPr>
            <w:r>
              <w:rPr>
                <w:rFonts w:hint="eastAsia"/>
                <w:spacing w:val="-6"/>
              </w:rPr>
              <w:t>完善跨部门、跨区域水生态环境保护执法联动机制，建立案件会商机制，完善案件信息移交移送、调查处理、协调配合、信息反馈等工作机制，确保责任企</w:t>
            </w:r>
          </w:p>
          <w:p w14:paraId="0171F0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1"/>
              </w:rPr>
            </w:pPr>
            <w:r>
              <w:rPr>
                <w:rFonts w:hint="eastAsia"/>
                <w:spacing w:val="-6"/>
              </w:rPr>
              <w:t>业整改到位，协调涉案废物处置到位。开展入河排污口整治成效现场监督检查，确保排污口工作扎实有序推进，严厉打击偷排直排、借道排污、私设排污口等违法行为。开展城镇（园区）污水处理厂专项执法检查和涉水企业污染源在线监控专项执法检查，严厉打击自动监控设备不正常运行及在线监测数据造假。严格落实生态环境损害赔偿制度，造成生态环境损害的，依法依规提起赔偿。</w:t>
            </w:r>
          </w:p>
        </w:tc>
        <w:tc>
          <w:tcPr>
            <w:tcW w:w="2389" w:type="dxa"/>
            <w:noWrap w:val="0"/>
            <w:vAlign w:val="center"/>
          </w:tcPr>
          <w:p w14:paraId="097452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1"/>
              </w:rPr>
            </w:pPr>
            <w:r>
              <w:rPr>
                <w:spacing w:val="-6"/>
              </w:rPr>
              <w:t>本项目将严格按照排污许可证要求排污。</w:t>
            </w:r>
          </w:p>
        </w:tc>
        <w:tc>
          <w:tcPr>
            <w:tcW w:w="726" w:type="dxa"/>
            <w:noWrap w:val="0"/>
            <w:vAlign w:val="center"/>
          </w:tcPr>
          <w:p w14:paraId="4C2F34D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2"/>
              </w:rPr>
            </w:pPr>
            <w:r>
              <w:rPr>
                <w:spacing w:val="-2"/>
              </w:rPr>
              <w:t>符合</w:t>
            </w:r>
          </w:p>
        </w:tc>
      </w:tr>
      <w:tr w14:paraId="20667E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20" w:type="dxa"/>
            <w:gridSpan w:val="4"/>
            <w:noWrap w:val="0"/>
            <w:vAlign w:val="center"/>
          </w:tcPr>
          <w:p w14:paraId="6FD9B7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spacing w:val="-6"/>
              </w:rPr>
            </w:pPr>
            <w:r>
              <w:rPr>
                <w:rFonts w:hint="eastAsia" w:ascii="Times New Roman" w:hAnsi="Times New Roman" w:eastAsia="宋体" w:cs="Times New Roman"/>
                <w:b/>
                <w:bCs/>
                <w:spacing w:val="-6"/>
              </w:rPr>
              <w:t>《新乡市2024年净土保卫战实施方案》</w:t>
            </w:r>
          </w:p>
        </w:tc>
      </w:tr>
      <w:tr w14:paraId="1D9D16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33" w:type="dxa"/>
            <w:noWrap w:val="0"/>
            <w:vAlign w:val="center"/>
          </w:tcPr>
          <w:p w14:paraId="468B658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ascii="Times New Roman" w:hAnsi="Times New Roman" w:eastAsia="宋体" w:cs="Times New Roman"/>
                <w:spacing w:val="-6"/>
              </w:rPr>
            </w:pPr>
            <w:r>
              <w:rPr>
                <w:rFonts w:hint="eastAsia" w:ascii="Times New Roman" w:hAnsi="Times New Roman" w:eastAsia="宋体" w:cs="Times New Roman"/>
                <w:spacing w:val="-6"/>
              </w:rPr>
              <w:t>14.推进危险废物监管和利用处置能力改革。</w:t>
            </w:r>
          </w:p>
        </w:tc>
        <w:tc>
          <w:tcPr>
            <w:tcW w:w="3972" w:type="dxa"/>
            <w:noWrap w:val="0"/>
            <w:vAlign w:val="center"/>
          </w:tcPr>
          <w:p w14:paraId="731901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ascii="Times New Roman" w:hAnsi="Times New Roman" w:eastAsia="宋体" w:cs="Times New Roman"/>
                <w:spacing w:val="-6"/>
              </w:rPr>
            </w:pPr>
            <w:r>
              <w:rPr>
                <w:rFonts w:hint="eastAsia" w:ascii="Times New Roman" w:hAnsi="Times New Roman" w:eastAsia="宋体" w:cs="Times New Roman"/>
                <w:spacing w:val="-6"/>
              </w:rPr>
              <w:t>持续创新危险废物环境监管方式，建立综合处置企业行业自律机制、特殊类别危险废物的信息通报机制，贯彻落实《河南省危险废物综合处置高质量发展指导意见》。提升危险废物规范化管理水平，实施危险废物规范化环境管理评估。开展危险废物自行利用处置专项整治行动。</w:t>
            </w:r>
          </w:p>
        </w:tc>
        <w:tc>
          <w:tcPr>
            <w:tcW w:w="2389" w:type="dxa"/>
            <w:noWrap w:val="0"/>
            <w:vAlign w:val="center"/>
          </w:tcPr>
          <w:p w14:paraId="69D7D8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1"/>
              </w:rPr>
            </w:pPr>
            <w:r>
              <w:rPr>
                <w:spacing w:val="-1"/>
              </w:rPr>
              <w:t>现有工程危险废物在危废间暂存，并签订有危废处置协议，已按要求进行危险废物申报；</w:t>
            </w:r>
          </w:p>
          <w:p w14:paraId="15E73A5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ascii="Times New Roman" w:hAnsi="Times New Roman" w:eastAsia="宋体" w:cs="Times New Roman"/>
                <w:spacing w:val="-6"/>
              </w:rPr>
            </w:pPr>
            <w:r>
              <w:rPr>
                <w:spacing w:val="-1"/>
              </w:rPr>
              <w:t>本项目依托现有危废间，按要求危险废</w:t>
            </w:r>
            <w:r>
              <w:t>物全过程管理及申报</w:t>
            </w:r>
            <w:r>
              <w:rPr>
                <w:spacing w:val="-1"/>
              </w:rPr>
              <w:t>。</w:t>
            </w:r>
          </w:p>
        </w:tc>
        <w:tc>
          <w:tcPr>
            <w:tcW w:w="726" w:type="dxa"/>
            <w:noWrap w:val="0"/>
            <w:vAlign w:val="center"/>
          </w:tcPr>
          <w:p w14:paraId="726612A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ascii="Times New Roman" w:hAnsi="Times New Roman" w:eastAsia="宋体" w:cs="Times New Roman"/>
                <w:spacing w:val="-6"/>
              </w:rPr>
            </w:pPr>
            <w:r>
              <w:rPr>
                <w:rFonts w:hint="eastAsia" w:ascii="Times New Roman" w:hAnsi="Times New Roman" w:eastAsia="宋体" w:cs="Times New Roman"/>
                <w:spacing w:val="-6"/>
              </w:rPr>
              <w:t>符合</w:t>
            </w:r>
          </w:p>
        </w:tc>
      </w:tr>
      <w:tr w14:paraId="51C78E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20" w:type="dxa"/>
            <w:gridSpan w:val="4"/>
            <w:noWrap w:val="0"/>
            <w:vAlign w:val="center"/>
          </w:tcPr>
          <w:p w14:paraId="22609F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spacing w:val="-6"/>
              </w:rPr>
            </w:pPr>
            <w:r>
              <w:rPr>
                <w:rFonts w:hint="eastAsia" w:ascii="Times New Roman" w:hAnsi="Times New Roman" w:eastAsia="宋体" w:cs="Times New Roman"/>
                <w:b/>
                <w:bCs/>
                <w:spacing w:val="-6"/>
              </w:rPr>
              <w:t>《新乡市2024年柴油货车污染治理攻坚战实施方案》</w:t>
            </w:r>
          </w:p>
        </w:tc>
      </w:tr>
      <w:tr w14:paraId="7D472B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33" w:type="dxa"/>
            <w:noWrap w:val="0"/>
            <w:vAlign w:val="center"/>
          </w:tcPr>
          <w:p w14:paraId="044B376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ascii="Times New Roman" w:hAnsi="Times New Roman" w:eastAsia="宋体" w:cs="Times New Roman"/>
                <w:spacing w:val="-6"/>
              </w:rPr>
            </w:pPr>
            <w:r>
              <w:rPr>
                <w:rFonts w:hint="eastAsia" w:ascii="Times New Roman" w:hAnsi="Times New Roman" w:eastAsia="宋体" w:cs="Times New Roman"/>
                <w:spacing w:val="-6"/>
              </w:rPr>
              <w:t>17.严格落实重污染天气移动源管控。</w:t>
            </w:r>
          </w:p>
        </w:tc>
        <w:tc>
          <w:tcPr>
            <w:tcW w:w="3972" w:type="dxa"/>
            <w:noWrap w:val="0"/>
            <w:vAlign w:val="center"/>
          </w:tcPr>
          <w:p w14:paraId="157C1F8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ascii="Times New Roman" w:hAnsi="Times New Roman" w:eastAsia="宋体" w:cs="Times New Roman"/>
                <w:spacing w:val="-6"/>
              </w:rPr>
            </w:pPr>
            <w:r>
              <w:rPr>
                <w:rFonts w:hint="eastAsia" w:ascii="Times New Roman" w:hAnsi="Times New Roman" w:eastAsia="宋体" w:cs="Times New Roman"/>
                <w:spacing w:val="-6"/>
              </w:rPr>
              <w:t>2024年9月底前，生态环境部门结合重污染天气重点行业应急减排措施制定技术指南，制定移动源重污染天气应急管控方案，更新完善用车大户清单和货车白名单，实现动态管理。重污染天气预警期间，按照标准规范要求，加强运输车辆、厂内车辆和非道路移动机械应急管理，运用货车入市电子通行证系统，对入市高排放、高频行驶车辆实施精准管控。指导大宗物料运输企业合理安排运力，提前做好生产物资储备。</w:t>
            </w:r>
          </w:p>
        </w:tc>
        <w:tc>
          <w:tcPr>
            <w:tcW w:w="2389" w:type="dxa"/>
            <w:noWrap w:val="0"/>
            <w:vAlign w:val="center"/>
          </w:tcPr>
          <w:p w14:paraId="368F80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ascii="Times New Roman" w:hAnsi="Times New Roman" w:eastAsia="宋体" w:cs="Times New Roman"/>
                <w:spacing w:val="-6"/>
              </w:rPr>
            </w:pPr>
            <w:r>
              <w:rPr>
                <w:rFonts w:hint="eastAsia" w:ascii="Times New Roman" w:hAnsi="Times New Roman" w:eastAsia="宋体" w:cs="Times New Roman"/>
                <w:spacing w:val="-6"/>
              </w:rPr>
              <w:t>本项目为</w:t>
            </w:r>
            <w:r>
              <w:rPr>
                <w:rFonts w:hint="eastAsia" w:ascii="Times New Roman" w:hAnsi="Times New Roman" w:eastAsia="宋体" w:cs="Times New Roman"/>
                <w:spacing w:val="-6"/>
                <w:lang w:val="en-US" w:eastAsia="zh-CN"/>
              </w:rPr>
              <w:t>扩</w:t>
            </w:r>
            <w:r>
              <w:rPr>
                <w:rFonts w:hint="eastAsia" w:ascii="Times New Roman" w:hAnsi="Times New Roman" w:eastAsia="宋体" w:cs="Times New Roman"/>
                <w:spacing w:val="-6"/>
              </w:rPr>
              <w:t>建项目，企业已按要求进行运输车辆、厂内车辆和非道路移动机械应急管理。</w:t>
            </w:r>
          </w:p>
        </w:tc>
        <w:tc>
          <w:tcPr>
            <w:tcW w:w="726" w:type="dxa"/>
            <w:noWrap w:val="0"/>
            <w:vAlign w:val="center"/>
          </w:tcPr>
          <w:p w14:paraId="3DB1E0E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ascii="Times New Roman" w:hAnsi="Times New Roman" w:eastAsia="宋体" w:cs="Times New Roman"/>
                <w:spacing w:val="-6"/>
              </w:rPr>
            </w:pPr>
            <w:r>
              <w:rPr>
                <w:rFonts w:hint="eastAsia" w:ascii="Times New Roman" w:hAnsi="Times New Roman" w:eastAsia="宋体" w:cs="Times New Roman"/>
                <w:spacing w:val="-6"/>
              </w:rPr>
              <w:t>符合</w:t>
            </w:r>
          </w:p>
        </w:tc>
      </w:tr>
    </w:tbl>
    <w:p w14:paraId="481C56A8">
      <w:pPr>
        <w:pStyle w:val="5"/>
        <w:bidi w:val="0"/>
        <w:rPr>
          <w:rFonts w:hint="eastAsia"/>
          <w:color w:val="auto"/>
        </w:rPr>
      </w:pPr>
      <w:r>
        <w:rPr>
          <w:rFonts w:hint="eastAsia"/>
          <w:color w:val="auto"/>
        </w:rPr>
        <w:t>本项目与《河南省2024年蓝天保卫战实施方案》的对比分析</w:t>
      </w:r>
    </w:p>
    <w:p w14:paraId="2E3055EE">
      <w:pPr>
        <w:pStyle w:val="10"/>
        <w:bidi w:val="0"/>
      </w:pPr>
      <w:r>
        <w:t xml:space="preserve">表 </w:t>
      </w:r>
      <w:r>
        <w:fldChar w:fldCharType="begin"/>
      </w:r>
      <w:r>
        <w:instrText xml:space="preserve"> STYLEREF 2 \s </w:instrText>
      </w:r>
      <w:r>
        <w:fldChar w:fldCharType="separate"/>
      </w:r>
      <w:r>
        <w:t>2.10</w:t>
      </w:r>
      <w:r>
        <w:fldChar w:fldCharType="end"/>
      </w:r>
      <w:r>
        <w:rPr>
          <w:rFonts w:hint="eastAsia"/>
          <w:lang w:eastAsia="zh-CN"/>
        </w:rPr>
        <w:t>-</w:t>
      </w:r>
      <w:r>
        <w:fldChar w:fldCharType="begin"/>
      </w:r>
      <w:r>
        <w:instrText xml:space="preserve"> SEQ 表 \* ARABIC \s 2 </w:instrText>
      </w:r>
      <w:r>
        <w:fldChar w:fldCharType="separate"/>
      </w:r>
      <w:r>
        <w:t>6</w:t>
      </w:r>
      <w:r>
        <w:fldChar w:fldCharType="end"/>
      </w:r>
      <w:r>
        <w:t xml:space="preserve"> </w:t>
      </w:r>
      <w:r>
        <w:rPr>
          <w:rFonts w:hint="eastAsia"/>
        </w:rPr>
        <w:t>本项目与河南省2024年蓝天保卫战实施方案相关内容对照表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766"/>
        <w:gridCol w:w="5528"/>
        <w:gridCol w:w="1215"/>
        <w:gridCol w:w="911"/>
      </w:tblGrid>
      <w:tr w14:paraId="1D0121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766" w:type="dxa"/>
            <w:noWrap w:val="0"/>
            <w:vAlign w:val="center"/>
          </w:tcPr>
          <w:p w14:paraId="5FDB3E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u w:val="none"/>
              </w:rPr>
            </w:pPr>
            <w:r>
              <w:rPr>
                <w:b/>
                <w:u w:val="none"/>
              </w:rPr>
              <w:t>项目</w:t>
            </w:r>
          </w:p>
        </w:tc>
        <w:tc>
          <w:tcPr>
            <w:tcW w:w="5528" w:type="dxa"/>
            <w:noWrap w:val="0"/>
            <w:vAlign w:val="center"/>
          </w:tcPr>
          <w:p w14:paraId="7EA6BB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u w:val="none"/>
              </w:rPr>
            </w:pPr>
            <w:r>
              <w:rPr>
                <w:b/>
                <w:spacing w:val="-1"/>
                <w:u w:val="none"/>
              </w:rPr>
              <w:t>实施方案相关内容</w:t>
            </w:r>
          </w:p>
        </w:tc>
        <w:tc>
          <w:tcPr>
            <w:tcW w:w="1215" w:type="dxa"/>
            <w:noWrap w:val="0"/>
            <w:vAlign w:val="center"/>
          </w:tcPr>
          <w:p w14:paraId="002AE34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u w:val="none"/>
              </w:rPr>
            </w:pPr>
            <w:r>
              <w:rPr>
                <w:b/>
                <w:spacing w:val="-1"/>
                <w:u w:val="none"/>
              </w:rPr>
              <w:t>本项目建设情况</w:t>
            </w:r>
          </w:p>
        </w:tc>
        <w:tc>
          <w:tcPr>
            <w:tcW w:w="911" w:type="dxa"/>
            <w:noWrap w:val="0"/>
            <w:vAlign w:val="center"/>
          </w:tcPr>
          <w:p w14:paraId="2ACFB7D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u w:val="none"/>
              </w:rPr>
            </w:pPr>
            <w:r>
              <w:rPr>
                <w:b/>
                <w:spacing w:val="-5"/>
                <w:u w:val="none"/>
              </w:rPr>
              <w:t>相符性</w:t>
            </w:r>
          </w:p>
        </w:tc>
      </w:tr>
      <w:tr w14:paraId="085570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66" w:type="dxa"/>
            <w:vMerge w:val="restart"/>
            <w:noWrap w:val="0"/>
            <w:vAlign w:val="center"/>
          </w:tcPr>
          <w:p w14:paraId="54427D9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left"/>
              <w:textAlignment w:val="auto"/>
              <w:rPr>
                <w:spacing w:val="-6"/>
                <w:u w:val="none"/>
              </w:rPr>
            </w:pPr>
            <w:r>
              <w:rPr>
                <w:rFonts w:hint="eastAsia" w:ascii="宋体" w:hAnsi="宋体" w:cs="宋体"/>
                <w:spacing w:val="-5"/>
                <w:u w:val="none"/>
              </w:rPr>
              <w:t>（二）工业污染治理减排行动</w:t>
            </w:r>
          </w:p>
        </w:tc>
        <w:tc>
          <w:tcPr>
            <w:tcW w:w="5528" w:type="dxa"/>
            <w:noWrap w:val="0"/>
            <w:vAlign w:val="center"/>
          </w:tcPr>
          <w:p w14:paraId="3CA92B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1"/>
                <w:u w:val="none"/>
              </w:rPr>
            </w:pPr>
            <w:r>
              <w:rPr>
                <w:spacing w:val="-1"/>
                <w:u w:val="none"/>
              </w:rPr>
              <w:t>8. 深入推进超低排放改造。</w:t>
            </w:r>
          </w:p>
          <w:p w14:paraId="36196F1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6"/>
                <w:u w:val="none"/>
              </w:rPr>
            </w:pPr>
            <w:r>
              <w:rPr>
                <w:spacing w:val="-1"/>
                <w:u w:val="none"/>
              </w:rPr>
              <w:t>高质量推进钢铁、水泥、焦化</w:t>
            </w:r>
            <w:r>
              <w:rPr>
                <w:rFonts w:hint="eastAsia"/>
                <w:spacing w:val="-1"/>
                <w:u w:val="none"/>
              </w:rPr>
              <w:t>行业全工序、全流程超低排放改造，严把工程质量，加强运行管理，推动行业绿色低碳转型升级。</w:t>
            </w:r>
            <w:r>
              <w:rPr>
                <w:spacing w:val="-1"/>
                <w:u w:val="none"/>
              </w:rPr>
              <w:t>2024年5月底前，建立水泥、</w:t>
            </w:r>
            <w:r>
              <w:rPr>
                <w:rFonts w:hint="eastAsia"/>
                <w:spacing w:val="-1"/>
                <w:u w:val="none"/>
              </w:rPr>
              <w:t>焦化企业超低排放改造任务清单，明确改造技术路线和时限要求，</w:t>
            </w:r>
            <w:r>
              <w:rPr>
                <w:spacing w:val="-1"/>
                <w:u w:val="none"/>
              </w:rPr>
              <w:t>2024 年年底前，长流程和短流程钢铁企业完成有组织、无</w:t>
            </w:r>
            <w:r>
              <w:rPr>
                <w:rFonts w:hint="eastAsia"/>
                <w:spacing w:val="-1"/>
                <w:u w:val="none"/>
              </w:rPr>
              <w:t>组织超低排放评估监测和中钢协公告；水泥、焦化企业基本完成有组织和无组织超低排放改造。对全面完成超低排放改造并公告的企业，可开展</w:t>
            </w:r>
            <w:r>
              <w:rPr>
                <w:spacing w:val="-1"/>
                <w:u w:val="none"/>
              </w:rPr>
              <w:t>A 级绩效评级工作，重污染天气预警期间A 级</w:t>
            </w:r>
            <w:r>
              <w:rPr>
                <w:rFonts w:hint="eastAsia"/>
                <w:spacing w:val="-1"/>
                <w:u w:val="none"/>
              </w:rPr>
              <w:t>企业可采取自主减排措施。（省生态环境厅负责）</w:t>
            </w:r>
          </w:p>
        </w:tc>
        <w:tc>
          <w:tcPr>
            <w:tcW w:w="1215" w:type="dxa"/>
            <w:noWrap w:val="0"/>
            <w:vAlign w:val="center"/>
          </w:tcPr>
          <w:p w14:paraId="35244AC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6"/>
                <w:u w:val="none"/>
              </w:rPr>
            </w:pPr>
            <w:r>
              <w:rPr>
                <w:rFonts w:hint="eastAsia"/>
                <w:spacing w:val="-6"/>
                <w:u w:val="none"/>
              </w:rPr>
              <w:t>/</w:t>
            </w:r>
          </w:p>
        </w:tc>
        <w:tc>
          <w:tcPr>
            <w:tcW w:w="911" w:type="dxa"/>
            <w:noWrap w:val="0"/>
            <w:vAlign w:val="center"/>
          </w:tcPr>
          <w:p w14:paraId="53A2B9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6"/>
                <w:u w:val="none"/>
              </w:rPr>
            </w:pPr>
            <w:r>
              <w:rPr>
                <w:rFonts w:hint="eastAsia"/>
                <w:spacing w:val="-6"/>
                <w:u w:val="none"/>
              </w:rPr>
              <w:t>/</w:t>
            </w:r>
          </w:p>
        </w:tc>
      </w:tr>
      <w:tr w14:paraId="56DDAB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66" w:type="dxa"/>
            <w:vMerge w:val="continue"/>
            <w:noWrap w:val="0"/>
            <w:vAlign w:val="center"/>
          </w:tcPr>
          <w:p w14:paraId="2F79E4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6"/>
                <w:u w:val="none"/>
              </w:rPr>
            </w:pPr>
          </w:p>
        </w:tc>
        <w:tc>
          <w:tcPr>
            <w:tcW w:w="5528" w:type="dxa"/>
            <w:noWrap w:val="0"/>
            <w:vAlign w:val="center"/>
          </w:tcPr>
          <w:p w14:paraId="728C43E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6"/>
                <w:u w:val="none"/>
              </w:rPr>
            </w:pPr>
            <w:r>
              <w:rPr>
                <w:spacing w:val="-6"/>
                <w:u w:val="none"/>
              </w:rPr>
              <w:t>9. 加快工业炉窑和锅炉深度治理。</w:t>
            </w:r>
          </w:p>
          <w:p w14:paraId="07AC6A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6"/>
                <w:u w:val="none"/>
              </w:rPr>
            </w:pPr>
            <w:r>
              <w:rPr>
                <w:spacing w:val="-6"/>
                <w:u w:val="none"/>
              </w:rPr>
              <w:t>加强燃煤锅炉、生物质</w:t>
            </w:r>
            <w:r>
              <w:rPr>
                <w:rFonts w:hint="eastAsia"/>
                <w:spacing w:val="-6"/>
                <w:u w:val="none"/>
              </w:rPr>
              <w:t>锅炉除尘、脱硫、脱硝设施运行管理，推进燃气锅炉低氮改造，强化全过程排放控制和监管力度，对于污染物无法稳定达标排放的，依法依规实施整治。</w:t>
            </w:r>
            <w:r>
              <w:rPr>
                <w:spacing w:val="-6"/>
                <w:u w:val="none"/>
              </w:rPr>
              <w:t>2024 年10 月底前，完成玻璃、耐火材</w:t>
            </w:r>
            <w:r>
              <w:rPr>
                <w:rFonts w:hint="eastAsia"/>
                <w:spacing w:val="-6"/>
                <w:u w:val="none"/>
              </w:rPr>
              <w:t>料、有色、铸造、炭素、石灰、砖瓦等重点行业</w:t>
            </w:r>
            <w:r>
              <w:rPr>
                <w:spacing w:val="-6"/>
                <w:u w:val="none"/>
              </w:rPr>
              <w:t>345 家企业治理</w:t>
            </w:r>
            <w:r>
              <w:rPr>
                <w:rFonts w:hint="eastAsia"/>
                <w:spacing w:val="-6"/>
                <w:u w:val="none"/>
              </w:rPr>
              <w:t>设施升级改造；完成</w:t>
            </w:r>
            <w:r>
              <w:rPr>
                <w:spacing w:val="-6"/>
                <w:u w:val="none"/>
              </w:rPr>
              <w:t>269 座燃气锅炉低氮燃烧改造，取消烟气再</w:t>
            </w:r>
            <w:r>
              <w:rPr>
                <w:rFonts w:hint="eastAsia"/>
                <w:spacing w:val="-6"/>
                <w:u w:val="none"/>
              </w:rPr>
              <w:t>循环系统开关阀，确有必要保留的，在保证安全的前提下实施电动阀设置、气动阀或铅封等监管设施改造；推进</w:t>
            </w:r>
            <w:r>
              <w:rPr>
                <w:spacing w:val="-6"/>
                <w:u w:val="none"/>
              </w:rPr>
              <w:t>33 座生物质锅</w:t>
            </w:r>
            <w:r>
              <w:rPr>
                <w:rFonts w:hint="eastAsia"/>
                <w:spacing w:val="-6"/>
                <w:u w:val="none"/>
              </w:rPr>
              <w:t>炉污染治理设施升级改造，保留及现有生物质锅炉采用专用炉具，严禁掺烧煤炭、垃圾、工业固体废物等其他物料；完成</w:t>
            </w:r>
            <w:r>
              <w:rPr>
                <w:spacing w:val="-6"/>
                <w:u w:val="none"/>
              </w:rPr>
              <w:t>27</w:t>
            </w:r>
            <w:r>
              <w:rPr>
                <w:rFonts w:hint="eastAsia"/>
                <w:spacing w:val="-6"/>
                <w:u w:val="none"/>
              </w:rPr>
              <w:t>家垃圾焚烧发电企业提标改造，确保稳定达标排放。（省生态环境厅牵头，省工业和信息化厅、市场监管局配合）</w:t>
            </w:r>
          </w:p>
        </w:tc>
        <w:tc>
          <w:tcPr>
            <w:tcW w:w="1215" w:type="dxa"/>
            <w:noWrap w:val="0"/>
            <w:vAlign w:val="center"/>
          </w:tcPr>
          <w:p w14:paraId="41E0975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6"/>
                <w:u w:val="none"/>
              </w:rPr>
            </w:pPr>
            <w:r>
              <w:rPr>
                <w:spacing w:val="-2"/>
                <w:u w:val="none"/>
              </w:rPr>
              <w:t>现有</w:t>
            </w:r>
            <w:r>
              <w:rPr>
                <w:rFonts w:hint="eastAsia"/>
                <w:spacing w:val="-2"/>
                <w:u w:val="none"/>
              </w:rPr>
              <w:t>燃煤</w:t>
            </w:r>
            <w:r>
              <w:rPr>
                <w:spacing w:val="-2"/>
                <w:u w:val="none"/>
              </w:rPr>
              <w:t>锅炉安装有</w:t>
            </w:r>
            <w:r>
              <w:rPr>
                <w:rFonts w:hint="eastAsia"/>
                <w:spacing w:val="-6"/>
                <w:u w:val="none"/>
              </w:rPr>
              <w:t>除尘、脱硫、脱硝</w:t>
            </w:r>
            <w:r>
              <w:rPr>
                <w:spacing w:val="-2"/>
                <w:u w:val="none"/>
              </w:rPr>
              <w:t>废气治理设施。</w:t>
            </w:r>
            <w:r>
              <w:rPr>
                <w:spacing w:val="-6"/>
                <w:u w:val="none"/>
              </w:rPr>
              <w:t xml:space="preserve"> </w:t>
            </w:r>
          </w:p>
        </w:tc>
        <w:tc>
          <w:tcPr>
            <w:tcW w:w="911" w:type="dxa"/>
            <w:noWrap w:val="0"/>
            <w:vAlign w:val="center"/>
          </w:tcPr>
          <w:p w14:paraId="6B5626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6"/>
                <w:u w:val="none"/>
              </w:rPr>
            </w:pPr>
            <w:r>
              <w:rPr>
                <w:spacing w:val="-2"/>
                <w:u w:val="none"/>
              </w:rPr>
              <w:t>符合</w:t>
            </w:r>
          </w:p>
        </w:tc>
      </w:tr>
      <w:tr w14:paraId="2BB22C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66" w:type="dxa"/>
            <w:vMerge w:val="continue"/>
            <w:noWrap w:val="0"/>
            <w:vAlign w:val="center"/>
          </w:tcPr>
          <w:p w14:paraId="213D16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6"/>
                <w:u w:val="none"/>
              </w:rPr>
            </w:pPr>
          </w:p>
        </w:tc>
        <w:tc>
          <w:tcPr>
            <w:tcW w:w="5528" w:type="dxa"/>
            <w:noWrap w:val="0"/>
            <w:vAlign w:val="center"/>
          </w:tcPr>
          <w:p w14:paraId="2A71F04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6"/>
                <w:u w:val="none"/>
              </w:rPr>
            </w:pPr>
            <w:r>
              <w:rPr>
                <w:spacing w:val="-6"/>
                <w:u w:val="none"/>
              </w:rPr>
              <w:t>10. 推进化工园区升级改造。</w:t>
            </w:r>
          </w:p>
          <w:p w14:paraId="7277943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6"/>
                <w:u w:val="none"/>
              </w:rPr>
            </w:pPr>
            <w:r>
              <w:rPr>
                <w:spacing w:val="-6"/>
                <w:u w:val="none"/>
              </w:rPr>
              <w:t>完成全省化工园区认定，优化</w:t>
            </w:r>
            <w:r>
              <w:rPr>
                <w:rFonts w:hint="eastAsia"/>
                <w:spacing w:val="-6"/>
                <w:u w:val="none"/>
              </w:rPr>
              <w:t>存量化工企业布局，各地化工园区管理机构制定化工园区“一园一策”绿色化升级改造方案，推进化工企业全流程自动化控制改造、智能化管控平台建设，</w:t>
            </w:r>
            <w:r>
              <w:rPr>
                <w:spacing w:val="-6"/>
                <w:u w:val="none"/>
              </w:rPr>
              <w:t>2024 年年底前，完成生产工艺、产</w:t>
            </w:r>
            <w:r>
              <w:rPr>
                <w:rFonts w:hint="eastAsia"/>
                <w:spacing w:val="-6"/>
                <w:u w:val="none"/>
              </w:rPr>
              <w:t>能规模、能耗水平、燃料类型、污染治理等方面升级改造任务，建立挥发性有机物管控平台，推动化工新材料产业链结构优化和高质量发展。（省工业和信息化厅、发展改革委、生态环境厅、应急厅按职责分工负责）</w:t>
            </w:r>
          </w:p>
        </w:tc>
        <w:tc>
          <w:tcPr>
            <w:tcW w:w="1215" w:type="dxa"/>
            <w:noWrap w:val="0"/>
            <w:vAlign w:val="center"/>
          </w:tcPr>
          <w:p w14:paraId="3B78AA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6"/>
                <w:u w:val="none"/>
              </w:rPr>
            </w:pPr>
            <w:r>
              <w:rPr>
                <w:rFonts w:hint="eastAsia"/>
                <w:spacing w:val="-6"/>
                <w:u w:val="none"/>
              </w:rPr>
              <w:t>/</w:t>
            </w:r>
          </w:p>
        </w:tc>
        <w:tc>
          <w:tcPr>
            <w:tcW w:w="911" w:type="dxa"/>
            <w:noWrap w:val="0"/>
            <w:vAlign w:val="center"/>
          </w:tcPr>
          <w:p w14:paraId="33A2129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6"/>
                <w:u w:val="none"/>
              </w:rPr>
            </w:pPr>
            <w:r>
              <w:rPr>
                <w:rFonts w:hint="eastAsia"/>
                <w:spacing w:val="-6"/>
                <w:u w:val="none"/>
              </w:rPr>
              <w:t>/</w:t>
            </w:r>
          </w:p>
        </w:tc>
      </w:tr>
      <w:tr w14:paraId="489228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66" w:type="dxa"/>
            <w:vMerge w:val="continue"/>
            <w:noWrap w:val="0"/>
            <w:vAlign w:val="center"/>
          </w:tcPr>
          <w:p w14:paraId="354764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6"/>
                <w:u w:val="none"/>
              </w:rPr>
            </w:pPr>
          </w:p>
        </w:tc>
        <w:tc>
          <w:tcPr>
            <w:tcW w:w="5528" w:type="dxa"/>
            <w:noWrap w:val="0"/>
            <w:vAlign w:val="center"/>
          </w:tcPr>
          <w:p w14:paraId="30B9082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6"/>
                <w:u w:val="none"/>
              </w:rPr>
            </w:pPr>
            <w:r>
              <w:rPr>
                <w:spacing w:val="-6"/>
                <w:u w:val="none"/>
              </w:rPr>
              <w:t>11. 开展低效失效治理设施排查整治。</w:t>
            </w:r>
          </w:p>
          <w:p w14:paraId="4438C4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6"/>
                <w:u w:val="none"/>
              </w:rPr>
            </w:pPr>
            <w:r>
              <w:rPr>
                <w:spacing w:val="-6"/>
                <w:u w:val="none"/>
              </w:rPr>
              <w:t>制定工业炉窑、锅炉、</w:t>
            </w:r>
            <w:r>
              <w:rPr>
                <w:rFonts w:hint="eastAsia"/>
                <w:spacing w:val="-6"/>
                <w:u w:val="none"/>
              </w:rPr>
              <w:t>涉</w:t>
            </w:r>
            <w:r>
              <w:rPr>
                <w:spacing w:val="-6"/>
                <w:u w:val="none"/>
              </w:rPr>
              <w:t>VOCs 等重点行业低效失效治理设施排查整治方案，建立整治</w:t>
            </w:r>
            <w:r>
              <w:rPr>
                <w:rFonts w:hint="eastAsia"/>
                <w:spacing w:val="-6"/>
                <w:u w:val="none"/>
              </w:rPr>
              <w:t>提升企业清单，重点关注水喷淋脱硫、简易碱法脱硫、简易氨法脱硫脱硝、微生物脱硝、单一水膜（浴）除尘、湿法脱硫除尘一体化等脱硫脱硝除尘工艺，单一低温等离子、光氧化、光催化、非水溶性</w:t>
            </w:r>
            <w:r>
              <w:rPr>
                <w:spacing w:val="-6"/>
                <w:u w:val="none"/>
              </w:rPr>
              <w:t>VOCs 废气采用单一水喷淋吸收等VOCs 治理工艺及上</w:t>
            </w:r>
            <w:r>
              <w:rPr>
                <w:rFonts w:hint="eastAsia"/>
                <w:spacing w:val="-6"/>
                <w:u w:val="none"/>
              </w:rPr>
              <w:t>述工艺的组合（异味治理除外），处理机制不明、无法通过药剂或副产物进行污染物脱除效果评估的治理工艺，对无法稳定达标排放的，通过更换适宜高效治理工艺、清洁能源替代、原辅材料源头替代、关停淘汰等方式实施分类整治。对人工投加脱硫脱硝剂的简易设施实施自动化改造，取缔直接向烟道内喷洒脱硫脱硝剂等敷衍式治理工艺。</w:t>
            </w:r>
            <w:r>
              <w:rPr>
                <w:spacing w:val="-6"/>
                <w:u w:val="none"/>
              </w:rPr>
              <w:t>2024 年10 月底前完成排查工作，对于能</w:t>
            </w:r>
            <w:r>
              <w:rPr>
                <w:rFonts w:hint="eastAsia"/>
                <w:spacing w:val="-6"/>
                <w:u w:val="none"/>
              </w:rPr>
              <w:t>立行立改的问题，督促企业抓紧整改到位；确需一定整改周期，明确提升改造措施和时限，未按时完成提升改造的纳入秋冬季生产调控范围。（省生态环境厅负责）</w:t>
            </w:r>
          </w:p>
        </w:tc>
        <w:tc>
          <w:tcPr>
            <w:tcW w:w="1215" w:type="dxa"/>
            <w:noWrap w:val="0"/>
            <w:vAlign w:val="center"/>
          </w:tcPr>
          <w:p w14:paraId="78A079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6"/>
                <w:u w:val="none"/>
              </w:rPr>
            </w:pPr>
            <w:r>
              <w:rPr>
                <w:spacing w:val="-2"/>
                <w:u w:val="none"/>
              </w:rPr>
              <w:t>现有</w:t>
            </w:r>
            <w:r>
              <w:rPr>
                <w:rFonts w:hint="eastAsia"/>
                <w:spacing w:val="-2"/>
                <w:u w:val="none"/>
              </w:rPr>
              <w:t>燃煤</w:t>
            </w:r>
            <w:r>
              <w:rPr>
                <w:spacing w:val="-2"/>
                <w:u w:val="none"/>
              </w:rPr>
              <w:t>锅炉</w:t>
            </w:r>
            <w:r>
              <w:rPr>
                <w:rFonts w:hint="eastAsia"/>
                <w:spacing w:val="-6"/>
                <w:u w:val="none"/>
              </w:rPr>
              <w:t>除尘、脱硫、脱硝</w:t>
            </w:r>
            <w:r>
              <w:rPr>
                <w:spacing w:val="-2"/>
                <w:u w:val="none"/>
              </w:rPr>
              <w:t>废气治理设施均为高效治理设施，排放达到超低排放要求。</w:t>
            </w:r>
            <w:r>
              <w:rPr>
                <w:spacing w:val="-6"/>
                <w:u w:val="none"/>
              </w:rPr>
              <w:t xml:space="preserve"> </w:t>
            </w:r>
          </w:p>
        </w:tc>
        <w:tc>
          <w:tcPr>
            <w:tcW w:w="911" w:type="dxa"/>
            <w:noWrap w:val="0"/>
            <w:vAlign w:val="center"/>
          </w:tcPr>
          <w:p w14:paraId="0410C31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6"/>
                <w:u w:val="none"/>
              </w:rPr>
            </w:pPr>
            <w:r>
              <w:rPr>
                <w:spacing w:val="-2"/>
                <w:u w:val="none"/>
              </w:rPr>
              <w:t>符合</w:t>
            </w:r>
          </w:p>
        </w:tc>
      </w:tr>
      <w:tr w14:paraId="29869D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66" w:type="dxa"/>
            <w:vMerge w:val="continue"/>
            <w:noWrap w:val="0"/>
            <w:vAlign w:val="center"/>
          </w:tcPr>
          <w:p w14:paraId="32427F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6"/>
                <w:u w:val="none"/>
              </w:rPr>
            </w:pPr>
          </w:p>
        </w:tc>
        <w:tc>
          <w:tcPr>
            <w:tcW w:w="5528" w:type="dxa"/>
            <w:noWrap w:val="0"/>
            <w:vAlign w:val="center"/>
          </w:tcPr>
          <w:p w14:paraId="5B4652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6"/>
                <w:u w:val="none"/>
              </w:rPr>
            </w:pPr>
            <w:r>
              <w:rPr>
                <w:spacing w:val="-6"/>
                <w:u w:val="none"/>
              </w:rPr>
              <w:t>12. 实施挥发性有机物综合治理。</w:t>
            </w:r>
          </w:p>
          <w:p w14:paraId="4F2C9E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6"/>
                <w:u w:val="none"/>
              </w:rPr>
            </w:pPr>
            <w:r>
              <w:rPr>
                <w:spacing w:val="-6"/>
                <w:u w:val="none"/>
              </w:rPr>
              <w:t>按照“可替尽替、应代尽</w:t>
            </w:r>
            <w:r>
              <w:rPr>
                <w:rFonts w:hint="eastAsia"/>
                <w:spacing w:val="-6"/>
                <w:u w:val="none"/>
              </w:rPr>
              <w:t>代”的原则，加快推进低</w:t>
            </w:r>
            <w:r>
              <w:rPr>
                <w:spacing w:val="-6"/>
                <w:u w:val="none"/>
              </w:rPr>
              <w:t>VOCs 含量原辅材料替代；加强VOCs</w:t>
            </w:r>
            <w:r>
              <w:rPr>
                <w:rFonts w:hint="eastAsia"/>
                <w:spacing w:val="-6"/>
                <w:u w:val="none"/>
              </w:rPr>
              <w:t>全流程综合治理，加大蓄热式氧化燃烧（</w:t>
            </w:r>
            <w:r>
              <w:rPr>
                <w:spacing w:val="-6"/>
                <w:u w:val="none"/>
              </w:rPr>
              <w:t>RTO）、蓄热式催化燃</w:t>
            </w:r>
            <w:r>
              <w:rPr>
                <w:rFonts w:hint="eastAsia"/>
                <w:spacing w:val="-6"/>
                <w:u w:val="none"/>
              </w:rPr>
              <w:t>烧（</w:t>
            </w:r>
            <w:r>
              <w:rPr>
                <w:spacing w:val="-6"/>
                <w:u w:val="none"/>
              </w:rPr>
              <w:t>RCO）、催化燃烧（CO）、沸石转轮吸附浓缩等高效治理技</w:t>
            </w:r>
            <w:r>
              <w:rPr>
                <w:rFonts w:hint="eastAsia"/>
                <w:spacing w:val="-6"/>
                <w:u w:val="none"/>
              </w:rPr>
              <w:t>术推广力度；对企业含</w:t>
            </w:r>
            <w:r>
              <w:rPr>
                <w:spacing w:val="-6"/>
                <w:u w:val="none"/>
              </w:rPr>
              <w:t>VOCs 有机废水储罐、装置区集水井（池）</w:t>
            </w:r>
            <w:r>
              <w:rPr>
                <w:rFonts w:hint="eastAsia"/>
                <w:spacing w:val="-6"/>
                <w:u w:val="none"/>
              </w:rPr>
              <w:t>实施有机废气收集密闭化改造；对企业活性炭装填量、更换周期实施编码登记，实现从购买、更换到处置的全过程可回溯管理；对污水处理设施排放的高浓度有机废气实施单独收集处理；具备改造条件的挥发性有机液体储罐改用低泄漏的储罐呼吸阀、紧急泄压阀，汽车罐车改用自封式快速接头；加强火炬燃烧装置监管，火炬系统、煤气放散管安装温度监控、废气流量计、助燃气体流量计，相关数据接入</w:t>
            </w:r>
            <w:r>
              <w:rPr>
                <w:spacing w:val="-6"/>
                <w:u w:val="none"/>
              </w:rPr>
              <w:t>DCS 系统；按规定开展VOCs 泄漏检测与</w:t>
            </w:r>
            <w:r>
              <w:rPr>
                <w:rFonts w:hint="eastAsia"/>
                <w:spacing w:val="-6"/>
                <w:u w:val="none"/>
              </w:rPr>
              <w:t>修复，石化、化工行业企业集中的城市和重点工业园区建立统一的泄漏检测与修复信息管理平台。</w:t>
            </w:r>
            <w:r>
              <w:rPr>
                <w:spacing w:val="-6"/>
                <w:u w:val="none"/>
              </w:rPr>
              <w:t>2024 年5 月底前，各省辖市</w:t>
            </w:r>
            <w:r>
              <w:rPr>
                <w:rFonts w:hint="eastAsia"/>
                <w:spacing w:val="-6"/>
                <w:u w:val="none"/>
              </w:rPr>
              <w:t>排查建立挥发性有机物综合治理清单台账；</w:t>
            </w:r>
            <w:r>
              <w:rPr>
                <w:spacing w:val="-6"/>
                <w:u w:val="none"/>
              </w:rPr>
              <w:t>2024 年年底前，完</w:t>
            </w:r>
            <w:r>
              <w:rPr>
                <w:rFonts w:hint="eastAsia"/>
                <w:spacing w:val="-6"/>
                <w:u w:val="none"/>
              </w:rPr>
              <w:t>成治理任务，全面提升企业</w:t>
            </w:r>
            <w:r>
              <w:rPr>
                <w:spacing w:val="-6"/>
                <w:u w:val="none"/>
              </w:rPr>
              <w:t>VOCs 治理水平。（省生态环境厅、</w:t>
            </w:r>
            <w:r>
              <w:rPr>
                <w:rFonts w:hint="eastAsia"/>
                <w:spacing w:val="-6"/>
                <w:u w:val="none"/>
              </w:rPr>
              <w:t>工业和信息化厅、市场监管局按职责分工负责）</w:t>
            </w:r>
          </w:p>
        </w:tc>
        <w:tc>
          <w:tcPr>
            <w:tcW w:w="1215" w:type="dxa"/>
            <w:noWrap w:val="0"/>
            <w:vAlign w:val="center"/>
          </w:tcPr>
          <w:p w14:paraId="34BD59A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6"/>
                <w:u w:val="none"/>
              </w:rPr>
            </w:pPr>
            <w:r>
              <w:rPr>
                <w:rFonts w:hint="eastAsia"/>
                <w:spacing w:val="-6"/>
                <w:u w:val="none"/>
              </w:rPr>
              <w:t>/</w:t>
            </w:r>
          </w:p>
        </w:tc>
        <w:tc>
          <w:tcPr>
            <w:tcW w:w="911" w:type="dxa"/>
            <w:noWrap w:val="0"/>
            <w:vAlign w:val="center"/>
          </w:tcPr>
          <w:p w14:paraId="4AA4E4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6"/>
                <w:u w:val="none"/>
              </w:rPr>
            </w:pPr>
            <w:r>
              <w:rPr>
                <w:rFonts w:hint="eastAsia"/>
                <w:spacing w:val="-6"/>
                <w:u w:val="none"/>
              </w:rPr>
              <w:t>/</w:t>
            </w:r>
          </w:p>
        </w:tc>
      </w:tr>
    </w:tbl>
    <w:p w14:paraId="4DE0B884">
      <w:pPr>
        <w:pStyle w:val="5"/>
        <w:bidi w:val="0"/>
        <w:rPr>
          <w:rFonts w:hint="eastAsia"/>
          <w:color w:val="auto"/>
        </w:rPr>
      </w:pPr>
      <w:r>
        <w:rPr>
          <w:rFonts w:hint="eastAsia"/>
          <w:color w:val="auto"/>
        </w:rPr>
        <w:t>本项目与《河南省2024年碧水保卫战实施方案》的对比分析</w:t>
      </w:r>
    </w:p>
    <w:p w14:paraId="774F116E">
      <w:pPr>
        <w:pStyle w:val="10"/>
        <w:bidi w:val="0"/>
      </w:pPr>
      <w:r>
        <w:t xml:space="preserve">表 </w:t>
      </w:r>
      <w:r>
        <w:fldChar w:fldCharType="begin"/>
      </w:r>
      <w:r>
        <w:instrText xml:space="preserve"> STYLEREF 2 \s </w:instrText>
      </w:r>
      <w:r>
        <w:fldChar w:fldCharType="separate"/>
      </w:r>
      <w:r>
        <w:t>2.10</w:t>
      </w:r>
      <w:r>
        <w:fldChar w:fldCharType="end"/>
      </w:r>
      <w:r>
        <w:rPr>
          <w:rFonts w:hint="eastAsia"/>
          <w:lang w:eastAsia="zh-CN"/>
        </w:rPr>
        <w:t>-</w:t>
      </w:r>
      <w:r>
        <w:fldChar w:fldCharType="begin"/>
      </w:r>
      <w:r>
        <w:instrText xml:space="preserve"> SEQ 表 \* ARABIC \s 2 </w:instrText>
      </w:r>
      <w:r>
        <w:fldChar w:fldCharType="separate"/>
      </w:r>
      <w:r>
        <w:t>7</w:t>
      </w:r>
      <w:r>
        <w:fldChar w:fldCharType="end"/>
      </w:r>
      <w:r>
        <w:t xml:space="preserve"> </w:t>
      </w:r>
      <w:r>
        <w:rPr>
          <w:rFonts w:hint="eastAsia"/>
        </w:rPr>
        <w:t>本项目与河南省2024年碧水保卫战实施方案相关内容对照表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766"/>
        <w:gridCol w:w="5528"/>
        <w:gridCol w:w="1276"/>
        <w:gridCol w:w="850"/>
      </w:tblGrid>
      <w:tr w14:paraId="378440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tblHeader/>
          <w:jc w:val="center"/>
        </w:trPr>
        <w:tc>
          <w:tcPr>
            <w:tcW w:w="766" w:type="dxa"/>
            <w:noWrap w:val="0"/>
            <w:vAlign w:val="center"/>
          </w:tcPr>
          <w:p w14:paraId="1804AA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sz w:val="21"/>
                <w:szCs w:val="21"/>
                <w:u w:val="none"/>
              </w:rPr>
            </w:pPr>
            <w:r>
              <w:rPr>
                <w:b/>
                <w:sz w:val="21"/>
                <w:szCs w:val="21"/>
                <w:u w:val="none"/>
              </w:rPr>
              <w:t>项目</w:t>
            </w:r>
          </w:p>
        </w:tc>
        <w:tc>
          <w:tcPr>
            <w:tcW w:w="5528" w:type="dxa"/>
            <w:noWrap w:val="0"/>
            <w:vAlign w:val="center"/>
          </w:tcPr>
          <w:p w14:paraId="13B534F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sz w:val="21"/>
                <w:szCs w:val="21"/>
                <w:u w:val="none"/>
              </w:rPr>
            </w:pPr>
            <w:r>
              <w:rPr>
                <w:b/>
                <w:spacing w:val="-1"/>
                <w:sz w:val="21"/>
                <w:szCs w:val="21"/>
                <w:u w:val="none"/>
              </w:rPr>
              <w:t>实施方案相关内容</w:t>
            </w:r>
          </w:p>
        </w:tc>
        <w:tc>
          <w:tcPr>
            <w:tcW w:w="1276" w:type="dxa"/>
            <w:noWrap w:val="0"/>
            <w:vAlign w:val="center"/>
          </w:tcPr>
          <w:p w14:paraId="44CD263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sz w:val="21"/>
                <w:szCs w:val="21"/>
                <w:u w:val="none"/>
              </w:rPr>
            </w:pPr>
            <w:r>
              <w:rPr>
                <w:b/>
                <w:spacing w:val="-1"/>
                <w:sz w:val="21"/>
                <w:szCs w:val="21"/>
                <w:u w:val="none"/>
              </w:rPr>
              <w:t>本项目建设情况</w:t>
            </w:r>
          </w:p>
        </w:tc>
        <w:tc>
          <w:tcPr>
            <w:tcW w:w="850" w:type="dxa"/>
            <w:noWrap w:val="0"/>
            <w:vAlign w:val="center"/>
          </w:tcPr>
          <w:p w14:paraId="320C4A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sz w:val="21"/>
                <w:szCs w:val="21"/>
                <w:u w:val="none"/>
              </w:rPr>
            </w:pPr>
            <w:r>
              <w:rPr>
                <w:b/>
                <w:spacing w:val="-5"/>
                <w:sz w:val="21"/>
                <w:szCs w:val="21"/>
                <w:u w:val="none"/>
              </w:rPr>
              <w:t>相符性</w:t>
            </w:r>
          </w:p>
        </w:tc>
      </w:tr>
      <w:tr w14:paraId="26CF65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66" w:type="dxa"/>
            <w:noWrap w:val="0"/>
            <w:vAlign w:val="center"/>
          </w:tcPr>
          <w:p w14:paraId="700ECB9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6"/>
                <w:sz w:val="21"/>
                <w:szCs w:val="21"/>
                <w:u w:val="none"/>
              </w:rPr>
            </w:pPr>
            <w:r>
              <w:rPr>
                <w:rFonts w:hint="eastAsia"/>
                <w:spacing w:val="-6"/>
                <w:sz w:val="21"/>
                <w:szCs w:val="21"/>
                <w:u w:val="none"/>
              </w:rPr>
              <w:t>（一）高质量推进黄河流域水生态保护治理</w:t>
            </w:r>
          </w:p>
          <w:p w14:paraId="769F96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sz w:val="21"/>
                <w:szCs w:val="21"/>
                <w:u w:val="none"/>
              </w:rPr>
            </w:pPr>
          </w:p>
        </w:tc>
        <w:tc>
          <w:tcPr>
            <w:tcW w:w="5528" w:type="dxa"/>
            <w:noWrap w:val="0"/>
            <w:vAlign w:val="center"/>
          </w:tcPr>
          <w:p w14:paraId="7BC7095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6"/>
                <w:sz w:val="21"/>
                <w:szCs w:val="21"/>
                <w:u w:val="none"/>
              </w:rPr>
            </w:pPr>
            <w:r>
              <w:rPr>
                <w:spacing w:val="-6"/>
                <w:sz w:val="21"/>
                <w:szCs w:val="21"/>
                <w:u w:val="none"/>
              </w:rPr>
              <w:t>1. 实施“清水入黄河”工程。</w:t>
            </w:r>
          </w:p>
          <w:p w14:paraId="7BE16E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spacing w:val="-1"/>
                <w:sz w:val="21"/>
                <w:szCs w:val="21"/>
                <w:u w:val="none"/>
              </w:rPr>
            </w:pPr>
            <w:r>
              <w:rPr>
                <w:spacing w:val="-6"/>
                <w:sz w:val="21"/>
                <w:szCs w:val="21"/>
                <w:u w:val="none"/>
              </w:rPr>
              <w:t>在黄河入省境风陵渡大桥断面</w:t>
            </w:r>
            <w:r>
              <w:rPr>
                <w:rFonts w:hint="eastAsia"/>
                <w:spacing w:val="-6"/>
                <w:sz w:val="21"/>
                <w:szCs w:val="21"/>
                <w:u w:val="none"/>
              </w:rPr>
              <w:t>至出省境刘庄断面之间实施“清水入黄河”工程，突出小浪底至花园口区间重要支流治理，推进污染相对较重支流综合治理，谋划实施一批污水处理厂提标改造、区域再生水循环利用、工业水重复利用、农业农村污染防治、河流生态流量保障、生态保护修复、湿地建设与保护等水生态环境保护工程，探索开展总氮治理试点，全面提升黄河流域水环境质量，保障黄河干流水质保持在Ⅱ类。</w:t>
            </w:r>
          </w:p>
        </w:tc>
        <w:tc>
          <w:tcPr>
            <w:tcW w:w="1276" w:type="dxa"/>
            <w:noWrap w:val="0"/>
            <w:vAlign w:val="center"/>
          </w:tcPr>
          <w:p w14:paraId="31A1763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spacing w:val="-1"/>
                <w:sz w:val="21"/>
                <w:szCs w:val="21"/>
                <w:u w:val="none"/>
              </w:rPr>
            </w:pPr>
            <w:r>
              <w:rPr>
                <w:spacing w:val="-6"/>
                <w:sz w:val="21"/>
                <w:szCs w:val="21"/>
                <w:u w:val="none"/>
              </w:rPr>
              <w:t>本项目依托的小店污水处理厂已完成提标改造。</w:t>
            </w:r>
          </w:p>
        </w:tc>
        <w:tc>
          <w:tcPr>
            <w:tcW w:w="850" w:type="dxa"/>
            <w:noWrap w:val="0"/>
            <w:vAlign w:val="center"/>
          </w:tcPr>
          <w:p w14:paraId="44D4BFE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spacing w:val="-5"/>
                <w:sz w:val="21"/>
                <w:szCs w:val="21"/>
                <w:u w:val="none"/>
              </w:rPr>
            </w:pPr>
            <w:r>
              <w:rPr>
                <w:spacing w:val="-6"/>
                <w:sz w:val="21"/>
                <w:szCs w:val="21"/>
                <w:u w:val="none"/>
              </w:rPr>
              <w:t>符合</w:t>
            </w:r>
          </w:p>
        </w:tc>
      </w:tr>
      <w:tr w14:paraId="38396C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66" w:type="dxa"/>
            <w:noWrap w:val="0"/>
            <w:vAlign w:val="center"/>
          </w:tcPr>
          <w:p w14:paraId="3C51060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6"/>
                <w:sz w:val="21"/>
                <w:szCs w:val="21"/>
                <w:u w:val="none"/>
              </w:rPr>
            </w:pPr>
            <w:r>
              <w:rPr>
                <w:rFonts w:hint="eastAsia"/>
                <w:spacing w:val="-6"/>
                <w:sz w:val="21"/>
                <w:szCs w:val="21"/>
                <w:u w:val="none"/>
              </w:rPr>
              <w:t>（二）持续强化重点领域治理能力综合提升</w:t>
            </w:r>
          </w:p>
        </w:tc>
        <w:tc>
          <w:tcPr>
            <w:tcW w:w="5528" w:type="dxa"/>
            <w:noWrap w:val="0"/>
            <w:vAlign w:val="center"/>
          </w:tcPr>
          <w:p w14:paraId="3DA8A79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spacing w:val="-6"/>
                <w:sz w:val="21"/>
                <w:szCs w:val="21"/>
                <w:u w:val="none"/>
              </w:rPr>
            </w:pPr>
            <w:r>
              <w:rPr>
                <w:spacing w:val="-6"/>
                <w:sz w:val="21"/>
                <w:szCs w:val="21"/>
                <w:u w:val="none"/>
              </w:rPr>
              <w:t>5. 深化工业园区水污染整治。</w:t>
            </w:r>
          </w:p>
          <w:p w14:paraId="427862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6"/>
                <w:sz w:val="21"/>
                <w:szCs w:val="21"/>
                <w:u w:val="none"/>
              </w:rPr>
            </w:pPr>
            <w:r>
              <w:rPr>
                <w:spacing w:val="-6"/>
                <w:sz w:val="21"/>
                <w:szCs w:val="21"/>
                <w:u w:val="none"/>
              </w:rPr>
              <w:t>开展工业园区污水收集处理</w:t>
            </w:r>
            <w:r>
              <w:rPr>
                <w:rFonts w:hint="eastAsia"/>
                <w:spacing w:val="-6"/>
                <w:sz w:val="21"/>
                <w:szCs w:val="21"/>
                <w:u w:val="none"/>
              </w:rPr>
              <w:t>能力、污水资源化利用能力、监测监管能力提升行动和化工园区“污水零直排区”建设行动，补齐园区污水收集处理设施短板。到</w:t>
            </w:r>
            <w:r>
              <w:rPr>
                <w:spacing w:val="-6"/>
                <w:sz w:val="21"/>
                <w:szCs w:val="21"/>
                <w:u w:val="none"/>
              </w:rPr>
              <w:t>2024 年底，化工园区基本建成独立专业化工生产废水集中处理</w:t>
            </w:r>
            <w:r>
              <w:rPr>
                <w:rFonts w:hint="eastAsia"/>
                <w:spacing w:val="-6"/>
                <w:sz w:val="21"/>
                <w:szCs w:val="21"/>
                <w:u w:val="none"/>
              </w:rPr>
              <w:t>设施（或依托骨干企业）；国家级工业园区配套的污水管网质量和污水收集效能明显提升。根据中央生态环境保护督察整改要求，重点推动濮阳工业园区、安阳新型化产业园区铜冶片区、方城县先进制造业开发区、漯河市淞江产业集聚区污水处理厂建设，以及尽快恢复焦作孟州皮毛加工产业园区污水处理厂运行，实现工业废水应收尽收集中处置。</w:t>
            </w:r>
          </w:p>
        </w:tc>
        <w:tc>
          <w:tcPr>
            <w:tcW w:w="1276" w:type="dxa"/>
            <w:noWrap w:val="0"/>
            <w:vAlign w:val="center"/>
          </w:tcPr>
          <w:p w14:paraId="468C2E6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spacing w:val="-6"/>
                <w:sz w:val="21"/>
                <w:szCs w:val="21"/>
                <w:u w:val="none"/>
              </w:rPr>
            </w:pPr>
            <w:r>
              <w:rPr>
                <w:spacing w:val="-6"/>
                <w:sz w:val="21"/>
                <w:szCs w:val="21"/>
                <w:u w:val="none"/>
              </w:rPr>
              <w:t>本项目废水间接排入小店污水处理厂</w:t>
            </w:r>
          </w:p>
        </w:tc>
        <w:tc>
          <w:tcPr>
            <w:tcW w:w="850" w:type="dxa"/>
            <w:noWrap w:val="0"/>
            <w:vAlign w:val="center"/>
          </w:tcPr>
          <w:p w14:paraId="6CD533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pacing w:val="-6"/>
                <w:sz w:val="21"/>
                <w:szCs w:val="21"/>
                <w:u w:val="none"/>
              </w:rPr>
            </w:pPr>
            <w:r>
              <w:rPr>
                <w:rFonts w:hint="eastAsia"/>
                <w:spacing w:val="-6"/>
                <w:sz w:val="21"/>
                <w:szCs w:val="21"/>
                <w:u w:val="none"/>
              </w:rPr>
              <w:t>符合</w:t>
            </w:r>
          </w:p>
        </w:tc>
      </w:tr>
    </w:tbl>
    <w:p w14:paraId="220A99EC">
      <w:pPr>
        <w:bidi w:val="0"/>
        <w:rPr>
          <w:rFonts w:hint="eastAsia"/>
          <w:color w:val="auto"/>
        </w:rPr>
      </w:pPr>
    </w:p>
    <w:p w14:paraId="1FC34EB5">
      <w:pPr>
        <w:pStyle w:val="5"/>
        <w:bidi w:val="0"/>
        <w:rPr>
          <w:color w:val="auto"/>
        </w:rPr>
      </w:pPr>
      <w:r>
        <w:rPr>
          <w:rFonts w:hint="eastAsia"/>
          <w:color w:val="auto"/>
        </w:rPr>
        <w:t>本项目与《新乡市生态环境局关于部署安装工业企业用电量监控系统的通知》的对比分析</w:t>
      </w:r>
    </w:p>
    <w:p w14:paraId="3C544DC0">
      <w:pPr>
        <w:bidi w:val="0"/>
        <w:rPr>
          <w:color w:val="auto"/>
        </w:rPr>
      </w:pPr>
      <w:r>
        <w:rPr>
          <w:rFonts w:hint="eastAsia"/>
          <w:spacing w:val="-4"/>
        </w:rPr>
        <w:t>本项目与《新乡市生态环境局关于部署安装工业企业用电量监控系统的通知》（新环[2019]154号）（以下简称新环[2019]154号文）相关内容对比分析见下表。</w:t>
      </w:r>
    </w:p>
    <w:p w14:paraId="5D6DB5FE">
      <w:pPr>
        <w:pStyle w:val="10"/>
        <w:bidi w:val="0"/>
      </w:pPr>
      <w:r>
        <w:t xml:space="preserve">表 </w:t>
      </w:r>
      <w:r>
        <w:fldChar w:fldCharType="begin"/>
      </w:r>
      <w:r>
        <w:instrText xml:space="preserve"> STYLEREF 2 \s </w:instrText>
      </w:r>
      <w:r>
        <w:fldChar w:fldCharType="separate"/>
      </w:r>
      <w:r>
        <w:t>2.10</w:t>
      </w:r>
      <w:r>
        <w:fldChar w:fldCharType="end"/>
      </w:r>
      <w:r>
        <w:rPr>
          <w:rFonts w:hint="eastAsia"/>
          <w:lang w:eastAsia="zh-CN"/>
        </w:rPr>
        <w:t>-</w:t>
      </w:r>
      <w:r>
        <w:fldChar w:fldCharType="begin"/>
      </w:r>
      <w:r>
        <w:instrText xml:space="preserve"> SEQ 表 \* ARABIC \s 2 </w:instrText>
      </w:r>
      <w:r>
        <w:fldChar w:fldCharType="separate"/>
      </w:r>
      <w:r>
        <w:t>8</w:t>
      </w:r>
      <w:r>
        <w:fldChar w:fldCharType="end"/>
      </w:r>
      <w:r>
        <w:t xml:space="preserve"> </w:t>
      </w:r>
      <w:r>
        <w:rPr>
          <w:rFonts w:hint="eastAsia"/>
        </w:rPr>
        <w:t>与新环[2019]154 号文的对照分析</w:t>
      </w:r>
    </w:p>
    <w:tbl>
      <w:tblPr>
        <w:tblStyle w:val="31"/>
        <w:tblW w:w="4935"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893"/>
        <w:gridCol w:w="3426"/>
        <w:gridCol w:w="2760"/>
        <w:gridCol w:w="1139"/>
      </w:tblGrid>
      <w:tr w14:paraId="4C7A7D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4" w:hRule="atLeast"/>
        </w:trPr>
        <w:tc>
          <w:tcPr>
            <w:tcW w:w="891" w:type="dxa"/>
            <w:vAlign w:val="center"/>
          </w:tcPr>
          <w:p w14:paraId="6B5A14DF">
            <w:pPr>
              <w:pStyle w:val="182"/>
              <w:keepNext w:val="0"/>
              <w:keepLines w:val="0"/>
              <w:pageBreakBefore w:val="0"/>
              <w:widowControl w:val="0"/>
              <w:kinsoku/>
              <w:wordWrap/>
              <w:overflowPunct/>
              <w:topLinePunct w:val="0"/>
              <w:autoSpaceDE/>
              <w:autoSpaceDN/>
              <w:bidi w:val="0"/>
              <w:adjustRightInd w:val="0"/>
              <w:snapToGrid w:val="0"/>
              <w:textAlignment w:val="auto"/>
              <w:rPr>
                <w:b/>
                <w:bCs/>
                <w:color w:val="auto"/>
              </w:rPr>
            </w:pPr>
            <w:r>
              <w:rPr>
                <w:b/>
                <w:bCs/>
                <w:color w:val="auto"/>
              </w:rPr>
              <w:t>主要任务</w:t>
            </w:r>
          </w:p>
        </w:tc>
        <w:tc>
          <w:tcPr>
            <w:tcW w:w="3418" w:type="dxa"/>
            <w:vAlign w:val="center"/>
          </w:tcPr>
          <w:p w14:paraId="18208258">
            <w:pPr>
              <w:pStyle w:val="182"/>
              <w:keepNext w:val="0"/>
              <w:keepLines w:val="0"/>
              <w:pageBreakBefore w:val="0"/>
              <w:widowControl w:val="0"/>
              <w:kinsoku/>
              <w:wordWrap/>
              <w:overflowPunct/>
              <w:topLinePunct w:val="0"/>
              <w:autoSpaceDE/>
              <w:autoSpaceDN/>
              <w:bidi w:val="0"/>
              <w:adjustRightInd w:val="0"/>
              <w:snapToGrid w:val="0"/>
              <w:textAlignment w:val="auto"/>
              <w:rPr>
                <w:b/>
                <w:bCs/>
                <w:color w:val="auto"/>
              </w:rPr>
            </w:pPr>
            <w:r>
              <w:rPr>
                <w:b/>
                <w:bCs/>
                <w:color w:val="auto"/>
              </w:rPr>
              <w:t>与本项目相关条文</w:t>
            </w:r>
          </w:p>
        </w:tc>
        <w:tc>
          <w:tcPr>
            <w:tcW w:w="2754" w:type="dxa"/>
            <w:vAlign w:val="center"/>
          </w:tcPr>
          <w:p w14:paraId="616A07C6">
            <w:pPr>
              <w:pStyle w:val="182"/>
              <w:keepNext w:val="0"/>
              <w:keepLines w:val="0"/>
              <w:pageBreakBefore w:val="0"/>
              <w:widowControl w:val="0"/>
              <w:kinsoku/>
              <w:wordWrap/>
              <w:overflowPunct/>
              <w:topLinePunct w:val="0"/>
              <w:autoSpaceDE/>
              <w:autoSpaceDN/>
              <w:bidi w:val="0"/>
              <w:adjustRightInd w:val="0"/>
              <w:snapToGrid w:val="0"/>
              <w:textAlignment w:val="auto"/>
              <w:rPr>
                <w:b/>
                <w:bCs/>
                <w:color w:val="auto"/>
              </w:rPr>
            </w:pPr>
            <w:r>
              <w:rPr>
                <w:b/>
                <w:bCs/>
                <w:color w:val="auto"/>
              </w:rPr>
              <w:t>本项目情况</w:t>
            </w:r>
          </w:p>
        </w:tc>
        <w:tc>
          <w:tcPr>
            <w:tcW w:w="1136" w:type="dxa"/>
            <w:vAlign w:val="center"/>
          </w:tcPr>
          <w:p w14:paraId="6DA5FEE5">
            <w:pPr>
              <w:pStyle w:val="182"/>
              <w:keepNext w:val="0"/>
              <w:keepLines w:val="0"/>
              <w:pageBreakBefore w:val="0"/>
              <w:widowControl w:val="0"/>
              <w:kinsoku/>
              <w:wordWrap/>
              <w:overflowPunct/>
              <w:topLinePunct w:val="0"/>
              <w:autoSpaceDE/>
              <w:autoSpaceDN/>
              <w:bidi w:val="0"/>
              <w:adjustRightInd w:val="0"/>
              <w:snapToGrid w:val="0"/>
              <w:textAlignment w:val="auto"/>
              <w:rPr>
                <w:b/>
                <w:bCs/>
                <w:color w:val="auto"/>
              </w:rPr>
            </w:pPr>
            <w:r>
              <w:rPr>
                <w:b/>
                <w:bCs/>
                <w:color w:val="auto"/>
              </w:rPr>
              <w:t>相符性</w:t>
            </w:r>
          </w:p>
        </w:tc>
      </w:tr>
      <w:tr w14:paraId="02BF38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trPr>
        <w:tc>
          <w:tcPr>
            <w:tcW w:w="891" w:type="dxa"/>
            <w:vAlign w:val="center"/>
          </w:tcPr>
          <w:p w14:paraId="7518374E">
            <w:pPr>
              <w:pStyle w:val="182"/>
              <w:keepNext w:val="0"/>
              <w:keepLines w:val="0"/>
              <w:pageBreakBefore w:val="0"/>
              <w:widowControl w:val="0"/>
              <w:kinsoku/>
              <w:wordWrap/>
              <w:overflowPunct/>
              <w:topLinePunct w:val="0"/>
              <w:autoSpaceDE/>
              <w:autoSpaceDN/>
              <w:bidi w:val="0"/>
              <w:adjustRightInd w:val="0"/>
              <w:snapToGrid w:val="0"/>
              <w:textAlignment w:val="auto"/>
              <w:rPr>
                <w:rFonts w:hint="eastAsia"/>
                <w:color w:val="auto"/>
              </w:rPr>
            </w:pPr>
            <w:r>
              <w:rPr>
                <w:color w:val="auto"/>
              </w:rPr>
              <w:t>安装范围</w:t>
            </w:r>
          </w:p>
        </w:tc>
        <w:tc>
          <w:tcPr>
            <w:tcW w:w="3418" w:type="dxa"/>
            <w:vAlign w:val="center"/>
          </w:tcPr>
          <w:p w14:paraId="4AD42B04">
            <w:pPr>
              <w:pStyle w:val="182"/>
              <w:keepNext w:val="0"/>
              <w:keepLines w:val="0"/>
              <w:pageBreakBefore w:val="0"/>
              <w:widowControl w:val="0"/>
              <w:kinsoku/>
              <w:wordWrap/>
              <w:overflowPunct/>
              <w:topLinePunct w:val="0"/>
              <w:autoSpaceDE/>
              <w:autoSpaceDN/>
              <w:bidi w:val="0"/>
              <w:adjustRightInd w:val="0"/>
              <w:snapToGrid w:val="0"/>
              <w:textAlignment w:val="auto"/>
              <w:rPr>
                <w:rFonts w:hint="eastAsia"/>
                <w:color w:val="auto"/>
              </w:rPr>
            </w:pPr>
            <w:r>
              <w:rPr>
                <w:color w:val="auto"/>
              </w:rPr>
              <w:t>所有排污企业的总用电控制位置、主要生产设施和污染治理设施必须安装用电量监控系统终端。</w:t>
            </w:r>
          </w:p>
        </w:tc>
        <w:tc>
          <w:tcPr>
            <w:tcW w:w="2754" w:type="dxa"/>
            <w:vAlign w:val="center"/>
          </w:tcPr>
          <w:p w14:paraId="6DB3636D">
            <w:pPr>
              <w:pStyle w:val="182"/>
              <w:keepNext w:val="0"/>
              <w:keepLines w:val="0"/>
              <w:pageBreakBefore w:val="0"/>
              <w:widowControl w:val="0"/>
              <w:kinsoku/>
              <w:wordWrap/>
              <w:overflowPunct/>
              <w:topLinePunct w:val="0"/>
              <w:autoSpaceDE/>
              <w:autoSpaceDN/>
              <w:bidi w:val="0"/>
              <w:adjustRightInd w:val="0"/>
              <w:snapToGrid w:val="0"/>
              <w:textAlignment w:val="auto"/>
              <w:rPr>
                <w:color w:val="auto"/>
              </w:rPr>
            </w:pPr>
            <w:r>
              <w:rPr>
                <w:color w:val="auto"/>
              </w:rPr>
              <w:t>本项目将严格按照要求在总用电位置、主要生产设施和污染治理设施处安装用电量监控系统终端。</w:t>
            </w:r>
          </w:p>
        </w:tc>
        <w:tc>
          <w:tcPr>
            <w:tcW w:w="1136" w:type="dxa"/>
            <w:vAlign w:val="center"/>
          </w:tcPr>
          <w:p w14:paraId="704DBB3A">
            <w:pPr>
              <w:pStyle w:val="182"/>
              <w:keepNext w:val="0"/>
              <w:keepLines w:val="0"/>
              <w:pageBreakBefore w:val="0"/>
              <w:widowControl w:val="0"/>
              <w:kinsoku/>
              <w:wordWrap/>
              <w:overflowPunct/>
              <w:topLinePunct w:val="0"/>
              <w:autoSpaceDE/>
              <w:autoSpaceDN/>
              <w:bidi w:val="0"/>
              <w:adjustRightInd w:val="0"/>
              <w:snapToGrid w:val="0"/>
              <w:textAlignment w:val="auto"/>
              <w:rPr>
                <w:color w:val="auto"/>
              </w:rPr>
            </w:pPr>
            <w:r>
              <w:rPr>
                <w:color w:val="auto"/>
              </w:rPr>
              <w:t>符合</w:t>
            </w:r>
          </w:p>
        </w:tc>
      </w:tr>
    </w:tbl>
    <w:p w14:paraId="777E413E">
      <w:pPr>
        <w:ind w:left="0" w:leftChars="0" w:firstLine="0" w:firstLineChars="0"/>
        <w:rPr>
          <w:color w:val="auto"/>
        </w:rPr>
      </w:pPr>
    </w:p>
    <w:p w14:paraId="28D1BD26">
      <w:pPr>
        <w:rPr>
          <w:color w:val="auto"/>
        </w:rPr>
        <w:sectPr>
          <w:footerReference r:id="rId10" w:type="default"/>
          <w:pgSz w:w="11906" w:h="16838"/>
          <w:pgMar w:top="1440" w:right="1800" w:bottom="1440" w:left="1800" w:header="850" w:footer="850" w:gutter="0"/>
          <w:pgBorders>
            <w:top w:val="none" w:sz="0" w:space="0"/>
            <w:left w:val="none" w:sz="0" w:space="0"/>
            <w:bottom w:val="none" w:sz="0" w:space="0"/>
            <w:right w:val="none" w:sz="0" w:space="0"/>
          </w:pgBorders>
          <w:pgNumType w:fmt="decimal"/>
          <w:cols w:space="720" w:num="1"/>
          <w:docGrid w:linePitch="312" w:charSpace="0"/>
        </w:sectPr>
      </w:pPr>
    </w:p>
    <w:p w14:paraId="32B5095F">
      <w:pPr>
        <w:pStyle w:val="2"/>
        <w:bidi w:val="0"/>
        <w:rPr>
          <w:color w:val="auto"/>
        </w:rPr>
      </w:pPr>
      <w:bookmarkStart w:id="135" w:name="_Toc140"/>
      <w:bookmarkStart w:id="136" w:name="_Toc8516"/>
      <w:bookmarkStart w:id="137" w:name="_Toc13621"/>
      <w:r>
        <w:rPr>
          <w:rFonts w:hint="eastAsia"/>
          <w:color w:val="auto"/>
          <w:lang w:val="en-US" w:eastAsia="zh-CN"/>
        </w:rPr>
        <w:t>现有</w:t>
      </w:r>
      <w:r>
        <w:rPr>
          <w:rFonts w:hint="eastAsia"/>
          <w:color w:val="auto"/>
        </w:rPr>
        <w:t>工程分析</w:t>
      </w:r>
      <w:bookmarkEnd w:id="1"/>
      <w:bookmarkEnd w:id="2"/>
      <w:bookmarkEnd w:id="135"/>
      <w:bookmarkEnd w:id="136"/>
      <w:bookmarkEnd w:id="137"/>
    </w:p>
    <w:p w14:paraId="17598C17">
      <w:pPr>
        <w:pStyle w:val="3"/>
        <w:bidi w:val="0"/>
        <w:rPr>
          <w:color w:val="auto"/>
        </w:rPr>
      </w:pPr>
      <w:bookmarkStart w:id="138" w:name="_Toc1946"/>
      <w:bookmarkStart w:id="139" w:name="_Toc28266"/>
      <w:bookmarkStart w:id="140" w:name="_Toc5918"/>
      <w:bookmarkStart w:id="141" w:name="_Toc14428"/>
      <w:bookmarkStart w:id="142" w:name="_Toc5258"/>
      <w:bookmarkStart w:id="143" w:name="_Toc16726"/>
      <w:bookmarkStart w:id="144" w:name="_Toc17326"/>
      <w:bookmarkStart w:id="145" w:name="_Toc1480"/>
      <w:bookmarkStart w:id="146" w:name="_Toc30978"/>
      <w:bookmarkStart w:id="147" w:name="_Toc8778"/>
      <w:bookmarkStart w:id="148" w:name="_Toc22476"/>
      <w:r>
        <w:rPr>
          <w:rFonts w:hint="eastAsia"/>
          <w:color w:val="auto"/>
        </w:rPr>
        <w:t>企业项目建设情况</w:t>
      </w:r>
      <w:bookmarkEnd w:id="138"/>
    </w:p>
    <w:bookmarkEnd w:id="139"/>
    <w:bookmarkEnd w:id="140"/>
    <w:bookmarkEnd w:id="141"/>
    <w:bookmarkEnd w:id="142"/>
    <w:bookmarkEnd w:id="143"/>
    <w:bookmarkEnd w:id="144"/>
    <w:bookmarkEnd w:id="145"/>
    <w:bookmarkEnd w:id="146"/>
    <w:bookmarkEnd w:id="147"/>
    <w:bookmarkEnd w:id="148"/>
    <w:p w14:paraId="3AAA5F51">
      <w:pPr>
        <w:ind w:firstLine="480"/>
      </w:pPr>
      <w:bookmarkStart w:id="149" w:name="_Toc31480"/>
      <w:r>
        <w:rPr>
          <w:rFonts w:hint="eastAsia"/>
        </w:rPr>
        <w:t>新乡化纤股份有限公司是新乡白鹭投资集团有限公司的控股子公司，前身是国营新乡化学纤维厂，始建于20世纪60年代初期。经过多年的扩建、改造，生产经营规模有了较大的发展，并于2003年在新乡经济技术开发区（原小店工业园区）新增建设用地1700亩，建设了新厂区。</w:t>
      </w:r>
    </w:p>
    <w:p w14:paraId="2816F48B">
      <w:pPr>
        <w:ind w:firstLine="480"/>
      </w:pPr>
      <w:r>
        <w:rPr>
          <w:rFonts w:hint="eastAsia"/>
        </w:rPr>
        <w:t>本项目位于新乡化纤股份有限公司新厂区内，具体位置在新乡经济技术开发区新长北线南侧。新厂区已批复项目详见</w:t>
      </w:r>
      <w:r>
        <w:rPr>
          <w:rFonts w:hint="eastAsia"/>
          <w:lang w:val="en-US" w:eastAsia="zh-CN"/>
        </w:rPr>
        <w:t>下表</w:t>
      </w:r>
      <w:r>
        <w:rPr>
          <w:rFonts w:hint="eastAsia"/>
        </w:rPr>
        <w:t>。</w:t>
      </w:r>
    </w:p>
    <w:p w14:paraId="6ACC8186">
      <w:pPr>
        <w:pStyle w:val="10"/>
        <w:bidi w:val="0"/>
      </w:pPr>
      <w:r>
        <w:t xml:space="preserve">表 </w:t>
      </w:r>
      <w:r>
        <w:fldChar w:fldCharType="begin"/>
      </w:r>
      <w:r>
        <w:instrText xml:space="preserve"> STYLEREF 2 \s </w:instrText>
      </w:r>
      <w:r>
        <w:fldChar w:fldCharType="separate"/>
      </w:r>
      <w:r>
        <w:t>3.1</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t xml:space="preserve"> </w:t>
      </w:r>
      <w:r>
        <w:rPr>
          <w:rFonts w:hint="eastAsia"/>
        </w:rPr>
        <w:t>新厂区各建设项目的基本情况、环评及竣工验收情况</w:t>
      </w:r>
      <w:r>
        <w:t>一览表</w:t>
      </w:r>
    </w:p>
    <w:tbl>
      <w:tblPr>
        <w:tblStyle w:val="31"/>
        <w:tblW w:w="4998"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550"/>
        <w:gridCol w:w="2858"/>
        <w:gridCol w:w="1220"/>
        <w:gridCol w:w="2197"/>
        <w:gridCol w:w="1592"/>
      </w:tblGrid>
      <w:tr w14:paraId="12C89E6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12" w:hRule="atLeast"/>
          <w:tblHeader/>
          <w:jc w:val="center"/>
        </w:trPr>
        <w:tc>
          <w:tcPr>
            <w:tcW w:w="327" w:type="pct"/>
            <w:tcMar>
              <w:top w:w="0" w:type="dxa"/>
              <w:left w:w="57" w:type="dxa"/>
              <w:bottom w:w="0" w:type="dxa"/>
              <w:right w:w="57" w:type="dxa"/>
            </w:tcMar>
            <w:vAlign w:val="center"/>
          </w:tcPr>
          <w:p w14:paraId="13C37F3F">
            <w:pPr>
              <w:pStyle w:val="182"/>
              <w:rPr>
                <w:b/>
                <w:color w:val="auto"/>
              </w:rPr>
            </w:pPr>
            <w:r>
              <w:rPr>
                <w:rFonts w:hint="eastAsia"/>
                <w:b/>
                <w:color w:val="auto"/>
              </w:rPr>
              <w:t>序号</w:t>
            </w:r>
          </w:p>
        </w:tc>
        <w:tc>
          <w:tcPr>
            <w:tcW w:w="1698" w:type="pct"/>
            <w:tcMar>
              <w:top w:w="0" w:type="dxa"/>
              <w:left w:w="57" w:type="dxa"/>
              <w:bottom w:w="0" w:type="dxa"/>
              <w:right w:w="57" w:type="dxa"/>
            </w:tcMar>
            <w:vAlign w:val="center"/>
          </w:tcPr>
          <w:p w14:paraId="6DE637D5">
            <w:pPr>
              <w:pStyle w:val="182"/>
              <w:rPr>
                <w:b/>
                <w:color w:val="auto"/>
              </w:rPr>
            </w:pPr>
            <w:r>
              <w:rPr>
                <w:b/>
                <w:color w:val="auto"/>
              </w:rPr>
              <w:t>项目名称</w:t>
            </w:r>
          </w:p>
        </w:tc>
        <w:tc>
          <w:tcPr>
            <w:tcW w:w="725" w:type="pct"/>
            <w:tcMar>
              <w:top w:w="0" w:type="dxa"/>
              <w:left w:w="57" w:type="dxa"/>
              <w:bottom w:w="0" w:type="dxa"/>
              <w:right w:w="57" w:type="dxa"/>
            </w:tcMar>
            <w:vAlign w:val="center"/>
          </w:tcPr>
          <w:p w14:paraId="30C79850">
            <w:pPr>
              <w:pStyle w:val="182"/>
              <w:rPr>
                <w:b/>
                <w:color w:val="auto"/>
              </w:rPr>
            </w:pPr>
            <w:r>
              <w:rPr>
                <w:b/>
                <w:color w:val="auto"/>
              </w:rPr>
              <w:t>批复</w:t>
            </w:r>
            <w:r>
              <w:rPr>
                <w:rFonts w:hint="eastAsia"/>
                <w:b/>
                <w:color w:val="auto"/>
              </w:rPr>
              <w:t>情况</w:t>
            </w:r>
          </w:p>
        </w:tc>
        <w:tc>
          <w:tcPr>
            <w:tcW w:w="1305" w:type="pct"/>
            <w:tcMar>
              <w:top w:w="0" w:type="dxa"/>
              <w:left w:w="57" w:type="dxa"/>
              <w:bottom w:w="0" w:type="dxa"/>
              <w:right w:w="57" w:type="dxa"/>
            </w:tcMar>
            <w:vAlign w:val="center"/>
          </w:tcPr>
          <w:p w14:paraId="6AE91EB5">
            <w:pPr>
              <w:pStyle w:val="182"/>
              <w:rPr>
                <w:b/>
                <w:color w:val="auto"/>
              </w:rPr>
            </w:pPr>
            <w:r>
              <w:rPr>
                <w:rFonts w:hint="eastAsia"/>
                <w:b/>
                <w:color w:val="auto"/>
              </w:rPr>
              <w:t>主要建设内容</w:t>
            </w:r>
          </w:p>
        </w:tc>
        <w:tc>
          <w:tcPr>
            <w:tcW w:w="945" w:type="pct"/>
            <w:tcMar>
              <w:top w:w="0" w:type="dxa"/>
              <w:left w:w="57" w:type="dxa"/>
              <w:bottom w:w="0" w:type="dxa"/>
              <w:right w:w="57" w:type="dxa"/>
            </w:tcMar>
            <w:vAlign w:val="center"/>
          </w:tcPr>
          <w:p w14:paraId="1B659162">
            <w:pPr>
              <w:pStyle w:val="182"/>
              <w:rPr>
                <w:b/>
                <w:color w:val="auto"/>
              </w:rPr>
            </w:pPr>
            <w:r>
              <w:rPr>
                <w:b/>
                <w:color w:val="auto"/>
              </w:rPr>
              <w:t>验收情况</w:t>
            </w:r>
          </w:p>
        </w:tc>
      </w:tr>
      <w:tr w14:paraId="102963F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7" w:type="pct"/>
            <w:tcMar>
              <w:top w:w="0" w:type="dxa"/>
              <w:left w:w="57" w:type="dxa"/>
              <w:bottom w:w="0" w:type="dxa"/>
              <w:right w:w="57" w:type="dxa"/>
            </w:tcMar>
            <w:vAlign w:val="center"/>
          </w:tcPr>
          <w:p w14:paraId="4A5D00B1">
            <w:pPr>
              <w:pStyle w:val="182"/>
              <w:rPr>
                <w:color w:val="auto"/>
              </w:rPr>
            </w:pPr>
            <w:r>
              <w:rPr>
                <w:rFonts w:hint="eastAsia"/>
                <w:color w:val="auto"/>
              </w:rPr>
              <w:t>1</w:t>
            </w:r>
          </w:p>
        </w:tc>
        <w:tc>
          <w:tcPr>
            <w:tcW w:w="1698" w:type="pct"/>
            <w:tcMar>
              <w:top w:w="0" w:type="dxa"/>
              <w:left w:w="57" w:type="dxa"/>
              <w:bottom w:w="0" w:type="dxa"/>
              <w:right w:w="57" w:type="dxa"/>
            </w:tcMar>
            <w:vAlign w:val="center"/>
          </w:tcPr>
          <w:p w14:paraId="2B536F0B">
            <w:pPr>
              <w:pStyle w:val="182"/>
              <w:rPr>
                <w:color w:val="auto"/>
              </w:rPr>
            </w:pPr>
            <w:r>
              <w:rPr>
                <w:rFonts w:hint="eastAsia"/>
                <w:color w:val="auto"/>
              </w:rPr>
              <w:t>新乡化纤股份有限公司年产5000吨差别化新型连续纺粘胶长丝工程项目</w:t>
            </w:r>
          </w:p>
        </w:tc>
        <w:tc>
          <w:tcPr>
            <w:tcW w:w="725" w:type="pct"/>
            <w:tcMar>
              <w:top w:w="0" w:type="dxa"/>
              <w:left w:w="57" w:type="dxa"/>
              <w:bottom w:w="0" w:type="dxa"/>
              <w:right w:w="57" w:type="dxa"/>
            </w:tcMar>
            <w:vAlign w:val="center"/>
          </w:tcPr>
          <w:p w14:paraId="571CA6D8">
            <w:pPr>
              <w:pStyle w:val="182"/>
              <w:rPr>
                <w:color w:val="auto"/>
              </w:rPr>
            </w:pPr>
            <w:r>
              <w:rPr>
                <w:rFonts w:hint="eastAsia"/>
                <w:color w:val="auto"/>
              </w:rPr>
              <w:t>豫环监[2005]182号</w:t>
            </w:r>
          </w:p>
        </w:tc>
        <w:tc>
          <w:tcPr>
            <w:tcW w:w="1305" w:type="pct"/>
            <w:tcMar>
              <w:top w:w="0" w:type="dxa"/>
              <w:left w:w="57" w:type="dxa"/>
              <w:bottom w:w="0" w:type="dxa"/>
              <w:right w:w="57" w:type="dxa"/>
            </w:tcMar>
            <w:vAlign w:val="center"/>
          </w:tcPr>
          <w:p w14:paraId="3497E557">
            <w:pPr>
              <w:pStyle w:val="182"/>
              <w:rPr>
                <w:color w:val="auto"/>
              </w:rPr>
            </w:pPr>
            <w:r>
              <w:rPr>
                <w:rFonts w:hint="eastAsia"/>
                <w:color w:val="auto"/>
              </w:rPr>
              <w:t>粘胶长丝5000t/a</w:t>
            </w:r>
          </w:p>
        </w:tc>
        <w:tc>
          <w:tcPr>
            <w:tcW w:w="945" w:type="pct"/>
            <w:tcMar>
              <w:top w:w="0" w:type="dxa"/>
              <w:left w:w="57" w:type="dxa"/>
              <w:bottom w:w="0" w:type="dxa"/>
              <w:right w:w="57" w:type="dxa"/>
            </w:tcMar>
            <w:vAlign w:val="center"/>
          </w:tcPr>
          <w:p w14:paraId="5EBCE5D2">
            <w:pPr>
              <w:pStyle w:val="182"/>
              <w:rPr>
                <w:color w:val="auto"/>
              </w:rPr>
            </w:pPr>
            <w:r>
              <w:rPr>
                <w:rFonts w:hint="eastAsia"/>
                <w:color w:val="auto"/>
              </w:rPr>
              <w:t>豫环保验[2008]27号</w:t>
            </w:r>
          </w:p>
        </w:tc>
      </w:tr>
      <w:tr w14:paraId="2ED7824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7" w:type="pct"/>
            <w:tcMar>
              <w:top w:w="0" w:type="dxa"/>
              <w:left w:w="57" w:type="dxa"/>
              <w:bottom w:w="0" w:type="dxa"/>
              <w:right w:w="57" w:type="dxa"/>
            </w:tcMar>
            <w:vAlign w:val="center"/>
          </w:tcPr>
          <w:p w14:paraId="764FF2B9">
            <w:pPr>
              <w:pStyle w:val="182"/>
              <w:rPr>
                <w:color w:val="auto"/>
              </w:rPr>
            </w:pPr>
            <w:r>
              <w:rPr>
                <w:rFonts w:hint="eastAsia"/>
                <w:color w:val="auto"/>
              </w:rPr>
              <w:t>2</w:t>
            </w:r>
          </w:p>
        </w:tc>
        <w:tc>
          <w:tcPr>
            <w:tcW w:w="1698" w:type="pct"/>
            <w:tcMar>
              <w:top w:w="0" w:type="dxa"/>
              <w:left w:w="57" w:type="dxa"/>
              <w:bottom w:w="0" w:type="dxa"/>
              <w:right w:w="57" w:type="dxa"/>
            </w:tcMar>
            <w:vAlign w:val="center"/>
          </w:tcPr>
          <w:p w14:paraId="0E9FE591">
            <w:pPr>
              <w:pStyle w:val="182"/>
              <w:rPr>
                <w:color w:val="auto"/>
              </w:rPr>
            </w:pPr>
            <w:r>
              <w:rPr>
                <w:rFonts w:hint="eastAsia"/>
                <w:color w:val="auto"/>
              </w:rPr>
              <w:t>新乡化纤股份有限公司年产4万吨高品质差别化粘胶短纤维项目</w:t>
            </w:r>
          </w:p>
        </w:tc>
        <w:tc>
          <w:tcPr>
            <w:tcW w:w="725" w:type="pct"/>
            <w:tcMar>
              <w:top w:w="0" w:type="dxa"/>
              <w:left w:w="57" w:type="dxa"/>
              <w:bottom w:w="0" w:type="dxa"/>
              <w:right w:w="57" w:type="dxa"/>
            </w:tcMar>
            <w:vAlign w:val="center"/>
          </w:tcPr>
          <w:p w14:paraId="0CE0128C">
            <w:pPr>
              <w:pStyle w:val="182"/>
              <w:rPr>
                <w:color w:val="auto"/>
              </w:rPr>
            </w:pPr>
            <w:r>
              <w:rPr>
                <w:rFonts w:hint="eastAsia"/>
                <w:color w:val="auto"/>
              </w:rPr>
              <w:t>豫环审[2007]199号</w:t>
            </w:r>
          </w:p>
        </w:tc>
        <w:tc>
          <w:tcPr>
            <w:tcW w:w="1305" w:type="pct"/>
            <w:tcMar>
              <w:top w:w="0" w:type="dxa"/>
              <w:left w:w="57" w:type="dxa"/>
              <w:bottom w:w="0" w:type="dxa"/>
              <w:right w:w="57" w:type="dxa"/>
            </w:tcMar>
            <w:vAlign w:val="center"/>
          </w:tcPr>
          <w:p w14:paraId="2B439FA1">
            <w:pPr>
              <w:pStyle w:val="182"/>
              <w:rPr>
                <w:b w:val="0"/>
                <w:bCs/>
                <w:color w:val="auto"/>
              </w:rPr>
            </w:pPr>
            <w:r>
              <w:rPr>
                <w:rFonts w:hint="eastAsia"/>
                <w:b w:val="0"/>
                <w:bCs/>
                <w:color w:val="auto"/>
              </w:rPr>
              <w:t>粘胶短纤维4万</w:t>
            </w:r>
            <w:r>
              <w:rPr>
                <w:b w:val="0"/>
                <w:bCs/>
                <w:color w:val="auto"/>
              </w:rPr>
              <w:t>t/a</w:t>
            </w:r>
          </w:p>
          <w:p w14:paraId="79F29FE3">
            <w:pPr>
              <w:pStyle w:val="182"/>
              <w:rPr>
                <w:b w:val="0"/>
                <w:bCs/>
                <w:color w:val="auto"/>
              </w:rPr>
            </w:pPr>
            <w:r>
              <w:rPr>
                <w:rFonts w:hint="eastAsia"/>
                <w:b w:val="0"/>
                <w:bCs/>
                <w:color w:val="auto"/>
                <w:lang w:val="en-US" w:eastAsia="zh-CN"/>
              </w:rPr>
              <w:t>2022年</w:t>
            </w:r>
            <w:r>
              <w:rPr>
                <w:rFonts w:hint="eastAsia"/>
                <w:b w:val="0"/>
                <w:bCs/>
                <w:color w:val="auto"/>
              </w:rPr>
              <w:t>已淘汰拆除</w:t>
            </w:r>
          </w:p>
        </w:tc>
        <w:tc>
          <w:tcPr>
            <w:tcW w:w="945" w:type="pct"/>
            <w:tcMar>
              <w:top w:w="0" w:type="dxa"/>
              <w:left w:w="57" w:type="dxa"/>
              <w:bottom w:w="0" w:type="dxa"/>
              <w:right w:w="57" w:type="dxa"/>
            </w:tcMar>
            <w:vAlign w:val="center"/>
          </w:tcPr>
          <w:p w14:paraId="4444FDEB">
            <w:pPr>
              <w:pStyle w:val="182"/>
              <w:rPr>
                <w:color w:val="auto"/>
              </w:rPr>
            </w:pPr>
            <w:r>
              <w:rPr>
                <w:rFonts w:hint="eastAsia"/>
                <w:color w:val="auto"/>
              </w:rPr>
              <w:t>豫环评验[2011]24号</w:t>
            </w:r>
          </w:p>
        </w:tc>
      </w:tr>
      <w:tr w14:paraId="62EDEAC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7" w:type="pct"/>
            <w:tcMar>
              <w:top w:w="0" w:type="dxa"/>
              <w:left w:w="57" w:type="dxa"/>
              <w:bottom w:w="0" w:type="dxa"/>
              <w:right w:w="57" w:type="dxa"/>
            </w:tcMar>
            <w:vAlign w:val="center"/>
          </w:tcPr>
          <w:p w14:paraId="410A76BB">
            <w:pPr>
              <w:pStyle w:val="182"/>
              <w:rPr>
                <w:color w:val="auto"/>
              </w:rPr>
            </w:pPr>
            <w:r>
              <w:rPr>
                <w:rFonts w:hint="eastAsia"/>
                <w:color w:val="auto"/>
              </w:rPr>
              <w:t>3</w:t>
            </w:r>
          </w:p>
        </w:tc>
        <w:tc>
          <w:tcPr>
            <w:tcW w:w="1698" w:type="pct"/>
            <w:tcMar>
              <w:top w:w="0" w:type="dxa"/>
              <w:left w:w="57" w:type="dxa"/>
              <w:bottom w:w="0" w:type="dxa"/>
              <w:right w:w="57" w:type="dxa"/>
            </w:tcMar>
            <w:vAlign w:val="center"/>
          </w:tcPr>
          <w:p w14:paraId="3D730DC0">
            <w:pPr>
              <w:pStyle w:val="182"/>
              <w:rPr>
                <w:color w:val="auto"/>
              </w:rPr>
            </w:pPr>
            <w:r>
              <w:rPr>
                <w:rFonts w:hint="eastAsia"/>
                <w:color w:val="auto"/>
              </w:rPr>
              <w:t>新乡化纤股份有限公司年产4万吨高湿模量粘胶短纤维项目</w:t>
            </w:r>
          </w:p>
        </w:tc>
        <w:tc>
          <w:tcPr>
            <w:tcW w:w="725" w:type="pct"/>
            <w:tcMar>
              <w:top w:w="0" w:type="dxa"/>
              <w:left w:w="57" w:type="dxa"/>
              <w:bottom w:w="0" w:type="dxa"/>
              <w:right w:w="57" w:type="dxa"/>
            </w:tcMar>
            <w:vAlign w:val="center"/>
          </w:tcPr>
          <w:p w14:paraId="5DDE4F87">
            <w:pPr>
              <w:pStyle w:val="182"/>
              <w:rPr>
                <w:color w:val="auto"/>
              </w:rPr>
            </w:pPr>
            <w:r>
              <w:rPr>
                <w:rFonts w:hint="eastAsia"/>
                <w:color w:val="auto"/>
              </w:rPr>
              <w:t>豫环审[2009]39号</w:t>
            </w:r>
          </w:p>
        </w:tc>
        <w:tc>
          <w:tcPr>
            <w:tcW w:w="1305" w:type="pct"/>
            <w:tcMar>
              <w:top w:w="0" w:type="dxa"/>
              <w:left w:w="57" w:type="dxa"/>
              <w:bottom w:w="0" w:type="dxa"/>
              <w:right w:w="57" w:type="dxa"/>
            </w:tcMar>
            <w:vAlign w:val="center"/>
          </w:tcPr>
          <w:p w14:paraId="40E6E9FE">
            <w:pPr>
              <w:pStyle w:val="182"/>
              <w:rPr>
                <w:b w:val="0"/>
                <w:bCs/>
                <w:color w:val="auto"/>
              </w:rPr>
            </w:pPr>
            <w:r>
              <w:rPr>
                <w:rFonts w:hint="eastAsia"/>
                <w:b w:val="0"/>
                <w:bCs/>
                <w:color w:val="auto"/>
              </w:rPr>
              <w:t>粘胶短纤维4万</w:t>
            </w:r>
            <w:r>
              <w:rPr>
                <w:b w:val="0"/>
                <w:bCs/>
                <w:color w:val="auto"/>
              </w:rPr>
              <w:t>t/a</w:t>
            </w:r>
          </w:p>
          <w:p w14:paraId="1B9E4A96">
            <w:pPr>
              <w:pStyle w:val="182"/>
              <w:rPr>
                <w:b w:val="0"/>
                <w:bCs/>
                <w:color w:val="auto"/>
              </w:rPr>
            </w:pPr>
            <w:r>
              <w:rPr>
                <w:rFonts w:hint="eastAsia"/>
                <w:b w:val="0"/>
                <w:bCs/>
                <w:color w:val="auto"/>
                <w:lang w:val="en-US" w:eastAsia="zh-CN"/>
              </w:rPr>
              <w:t>2022年</w:t>
            </w:r>
            <w:r>
              <w:rPr>
                <w:rFonts w:hint="eastAsia"/>
                <w:b w:val="0"/>
                <w:bCs/>
                <w:color w:val="auto"/>
              </w:rPr>
              <w:t>已淘汰拆除</w:t>
            </w:r>
          </w:p>
        </w:tc>
        <w:tc>
          <w:tcPr>
            <w:tcW w:w="945" w:type="pct"/>
            <w:tcMar>
              <w:top w:w="0" w:type="dxa"/>
              <w:left w:w="57" w:type="dxa"/>
              <w:bottom w:w="0" w:type="dxa"/>
              <w:right w:w="57" w:type="dxa"/>
            </w:tcMar>
            <w:vAlign w:val="center"/>
          </w:tcPr>
          <w:p w14:paraId="24F88B6E">
            <w:pPr>
              <w:pStyle w:val="182"/>
              <w:rPr>
                <w:color w:val="auto"/>
              </w:rPr>
            </w:pPr>
            <w:r>
              <w:rPr>
                <w:rFonts w:hint="eastAsia"/>
                <w:color w:val="auto"/>
              </w:rPr>
              <w:t>2018年3月自主验收</w:t>
            </w:r>
          </w:p>
        </w:tc>
      </w:tr>
      <w:tr w14:paraId="59071A7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7" w:type="pct"/>
            <w:tcMar>
              <w:top w:w="0" w:type="dxa"/>
              <w:left w:w="57" w:type="dxa"/>
              <w:bottom w:w="0" w:type="dxa"/>
              <w:right w:w="57" w:type="dxa"/>
            </w:tcMar>
            <w:vAlign w:val="center"/>
          </w:tcPr>
          <w:p w14:paraId="0FD51250">
            <w:pPr>
              <w:pStyle w:val="182"/>
              <w:rPr>
                <w:color w:val="auto"/>
              </w:rPr>
            </w:pPr>
            <w:r>
              <w:rPr>
                <w:rFonts w:hint="eastAsia"/>
                <w:color w:val="auto"/>
              </w:rPr>
              <w:t>4</w:t>
            </w:r>
          </w:p>
        </w:tc>
        <w:tc>
          <w:tcPr>
            <w:tcW w:w="1698" w:type="pct"/>
            <w:tcMar>
              <w:top w:w="0" w:type="dxa"/>
              <w:left w:w="57" w:type="dxa"/>
              <w:bottom w:w="0" w:type="dxa"/>
              <w:right w:w="57" w:type="dxa"/>
            </w:tcMar>
            <w:vAlign w:val="center"/>
          </w:tcPr>
          <w:p w14:paraId="65156CDD">
            <w:pPr>
              <w:pStyle w:val="182"/>
              <w:rPr>
                <w:color w:val="auto"/>
              </w:rPr>
            </w:pPr>
            <w:r>
              <w:rPr>
                <w:rFonts w:hint="eastAsia"/>
                <w:color w:val="auto"/>
              </w:rPr>
              <w:t>新乡化纤股份有限公司年产2×2万吨超柔软氨纶纤维项目</w:t>
            </w:r>
          </w:p>
        </w:tc>
        <w:tc>
          <w:tcPr>
            <w:tcW w:w="725" w:type="pct"/>
            <w:tcMar>
              <w:top w:w="0" w:type="dxa"/>
              <w:left w:w="57" w:type="dxa"/>
              <w:bottom w:w="0" w:type="dxa"/>
              <w:right w:w="57" w:type="dxa"/>
            </w:tcMar>
            <w:vAlign w:val="center"/>
          </w:tcPr>
          <w:p w14:paraId="110C8C55">
            <w:pPr>
              <w:pStyle w:val="182"/>
              <w:rPr>
                <w:color w:val="auto"/>
              </w:rPr>
            </w:pPr>
            <w:r>
              <w:rPr>
                <w:rFonts w:hint="eastAsia"/>
                <w:color w:val="auto"/>
              </w:rPr>
              <w:t>豫环审[2013]616号</w:t>
            </w:r>
          </w:p>
        </w:tc>
        <w:tc>
          <w:tcPr>
            <w:tcW w:w="1305" w:type="pct"/>
            <w:tcMar>
              <w:top w:w="0" w:type="dxa"/>
              <w:left w:w="57" w:type="dxa"/>
              <w:bottom w:w="0" w:type="dxa"/>
              <w:right w:w="57" w:type="dxa"/>
            </w:tcMar>
            <w:vAlign w:val="center"/>
          </w:tcPr>
          <w:p w14:paraId="590A6C7C">
            <w:pPr>
              <w:pStyle w:val="182"/>
              <w:rPr>
                <w:color w:val="auto"/>
              </w:rPr>
            </w:pPr>
            <w:r>
              <w:rPr>
                <w:rFonts w:hint="eastAsia"/>
                <w:color w:val="auto"/>
              </w:rPr>
              <w:t>氨纶纤维</w:t>
            </w:r>
            <w:r>
              <w:rPr>
                <w:color w:val="auto"/>
              </w:rPr>
              <w:t>4</w:t>
            </w:r>
            <w:r>
              <w:rPr>
                <w:rFonts w:hint="eastAsia"/>
                <w:color w:val="auto"/>
              </w:rPr>
              <w:t>万t/a</w:t>
            </w:r>
          </w:p>
        </w:tc>
        <w:tc>
          <w:tcPr>
            <w:tcW w:w="945" w:type="pct"/>
            <w:tcMar>
              <w:top w:w="0" w:type="dxa"/>
              <w:left w:w="57" w:type="dxa"/>
              <w:bottom w:w="0" w:type="dxa"/>
              <w:right w:w="57" w:type="dxa"/>
            </w:tcMar>
            <w:vAlign w:val="center"/>
          </w:tcPr>
          <w:p w14:paraId="6A156DC9">
            <w:pPr>
              <w:pStyle w:val="182"/>
              <w:rPr>
                <w:color w:val="auto"/>
              </w:rPr>
            </w:pPr>
            <w:r>
              <w:rPr>
                <w:rFonts w:hint="eastAsia"/>
                <w:color w:val="auto"/>
              </w:rPr>
              <w:t>一期：豫环函〔2016〕372号；二期：2018年2月自主验收</w:t>
            </w:r>
          </w:p>
        </w:tc>
      </w:tr>
      <w:tr w14:paraId="7F4452F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7" w:type="pct"/>
            <w:tcMar>
              <w:top w:w="0" w:type="dxa"/>
              <w:left w:w="57" w:type="dxa"/>
              <w:bottom w:w="0" w:type="dxa"/>
              <w:right w:w="57" w:type="dxa"/>
            </w:tcMar>
            <w:vAlign w:val="center"/>
          </w:tcPr>
          <w:p w14:paraId="69E8BF64">
            <w:pPr>
              <w:pStyle w:val="182"/>
              <w:rPr>
                <w:color w:val="auto"/>
              </w:rPr>
            </w:pPr>
            <w:r>
              <w:rPr>
                <w:rFonts w:hint="eastAsia"/>
                <w:color w:val="auto"/>
              </w:rPr>
              <w:t>5</w:t>
            </w:r>
          </w:p>
        </w:tc>
        <w:tc>
          <w:tcPr>
            <w:tcW w:w="1698" w:type="pct"/>
            <w:tcMar>
              <w:top w:w="0" w:type="dxa"/>
              <w:left w:w="57" w:type="dxa"/>
              <w:bottom w:w="0" w:type="dxa"/>
              <w:right w:w="57" w:type="dxa"/>
            </w:tcMar>
            <w:vAlign w:val="center"/>
          </w:tcPr>
          <w:p w14:paraId="38C5ADCE">
            <w:pPr>
              <w:pStyle w:val="182"/>
              <w:rPr>
                <w:color w:val="auto"/>
              </w:rPr>
            </w:pPr>
            <w:r>
              <w:rPr>
                <w:rFonts w:hint="eastAsia"/>
                <w:color w:val="auto"/>
              </w:rPr>
              <w:t>新乡化纤股份有限公司新建2×170t/h蒸汽锅炉项目</w:t>
            </w:r>
          </w:p>
        </w:tc>
        <w:tc>
          <w:tcPr>
            <w:tcW w:w="725" w:type="pct"/>
            <w:tcMar>
              <w:top w:w="0" w:type="dxa"/>
              <w:left w:w="57" w:type="dxa"/>
              <w:bottom w:w="0" w:type="dxa"/>
              <w:right w:w="57" w:type="dxa"/>
            </w:tcMar>
            <w:vAlign w:val="center"/>
          </w:tcPr>
          <w:p w14:paraId="52F02991">
            <w:pPr>
              <w:pStyle w:val="182"/>
              <w:rPr>
                <w:color w:val="auto"/>
              </w:rPr>
            </w:pPr>
            <w:r>
              <w:rPr>
                <w:rFonts w:hint="eastAsia"/>
                <w:color w:val="auto"/>
              </w:rPr>
              <w:t>新环书审[2016]9号</w:t>
            </w:r>
          </w:p>
        </w:tc>
        <w:tc>
          <w:tcPr>
            <w:tcW w:w="1305" w:type="pct"/>
            <w:tcMar>
              <w:top w:w="0" w:type="dxa"/>
              <w:left w:w="57" w:type="dxa"/>
              <w:bottom w:w="0" w:type="dxa"/>
              <w:right w:w="57" w:type="dxa"/>
            </w:tcMar>
            <w:vAlign w:val="center"/>
          </w:tcPr>
          <w:p w14:paraId="13907648">
            <w:pPr>
              <w:pStyle w:val="182"/>
              <w:rPr>
                <w:color w:val="auto"/>
              </w:rPr>
            </w:pPr>
            <w:r>
              <w:rPr>
                <w:rFonts w:hint="eastAsia"/>
                <w:color w:val="auto"/>
              </w:rPr>
              <w:t>2台170t/h蒸汽锅炉</w:t>
            </w:r>
          </w:p>
        </w:tc>
        <w:tc>
          <w:tcPr>
            <w:tcW w:w="945" w:type="pct"/>
            <w:tcMar>
              <w:top w:w="0" w:type="dxa"/>
              <w:left w:w="57" w:type="dxa"/>
              <w:bottom w:w="0" w:type="dxa"/>
              <w:right w:w="57" w:type="dxa"/>
            </w:tcMar>
            <w:vAlign w:val="center"/>
          </w:tcPr>
          <w:p w14:paraId="679A81AC">
            <w:pPr>
              <w:pStyle w:val="182"/>
              <w:rPr>
                <w:color w:val="auto"/>
              </w:rPr>
            </w:pPr>
            <w:r>
              <w:rPr>
                <w:rFonts w:hint="eastAsia"/>
                <w:color w:val="auto"/>
              </w:rPr>
              <w:t>一期和二期分别于2018年3月和2019年6月完成自主验收</w:t>
            </w:r>
          </w:p>
        </w:tc>
      </w:tr>
      <w:tr w14:paraId="2A6AFEA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7" w:type="pct"/>
            <w:tcMar>
              <w:top w:w="0" w:type="dxa"/>
              <w:left w:w="57" w:type="dxa"/>
              <w:bottom w:w="0" w:type="dxa"/>
              <w:right w:w="57" w:type="dxa"/>
            </w:tcMar>
            <w:vAlign w:val="center"/>
          </w:tcPr>
          <w:p w14:paraId="5354F8B7">
            <w:pPr>
              <w:pStyle w:val="182"/>
              <w:rPr>
                <w:color w:val="auto"/>
              </w:rPr>
            </w:pPr>
            <w:r>
              <w:rPr>
                <w:rFonts w:hint="eastAsia"/>
                <w:color w:val="auto"/>
              </w:rPr>
              <w:t>6</w:t>
            </w:r>
          </w:p>
        </w:tc>
        <w:tc>
          <w:tcPr>
            <w:tcW w:w="1698" w:type="pct"/>
            <w:tcMar>
              <w:top w:w="0" w:type="dxa"/>
              <w:left w:w="57" w:type="dxa"/>
              <w:bottom w:w="0" w:type="dxa"/>
              <w:right w:w="57" w:type="dxa"/>
            </w:tcMar>
            <w:vAlign w:val="center"/>
          </w:tcPr>
          <w:p w14:paraId="5DDE68DE">
            <w:pPr>
              <w:pStyle w:val="182"/>
              <w:rPr>
                <w:color w:val="auto"/>
              </w:rPr>
            </w:pPr>
            <w:r>
              <w:rPr>
                <w:rFonts w:hint="eastAsia"/>
                <w:color w:val="auto"/>
              </w:rPr>
              <w:t>新乡化纤股份有限公司年产2万吨超细旦氨纶纤维项目（年产3×2万吨超细旦氨纶纤维项目一期工程）</w:t>
            </w:r>
          </w:p>
        </w:tc>
        <w:tc>
          <w:tcPr>
            <w:tcW w:w="725" w:type="pct"/>
            <w:tcMar>
              <w:top w:w="0" w:type="dxa"/>
              <w:left w:w="57" w:type="dxa"/>
              <w:bottom w:w="0" w:type="dxa"/>
              <w:right w:w="57" w:type="dxa"/>
            </w:tcMar>
            <w:vAlign w:val="center"/>
          </w:tcPr>
          <w:p w14:paraId="4729126B">
            <w:pPr>
              <w:pStyle w:val="182"/>
              <w:rPr>
                <w:color w:val="auto"/>
              </w:rPr>
            </w:pPr>
            <w:r>
              <w:rPr>
                <w:rFonts w:hint="eastAsia"/>
                <w:color w:val="auto"/>
              </w:rPr>
              <w:t>豫环审[2017]17号</w:t>
            </w:r>
          </w:p>
        </w:tc>
        <w:tc>
          <w:tcPr>
            <w:tcW w:w="1305" w:type="pct"/>
            <w:tcMar>
              <w:top w:w="0" w:type="dxa"/>
              <w:left w:w="57" w:type="dxa"/>
              <w:bottom w:w="0" w:type="dxa"/>
              <w:right w:w="57" w:type="dxa"/>
            </w:tcMar>
            <w:vAlign w:val="center"/>
          </w:tcPr>
          <w:p w14:paraId="4B2E5AD3">
            <w:pPr>
              <w:pStyle w:val="182"/>
              <w:rPr>
                <w:color w:val="auto"/>
              </w:rPr>
            </w:pPr>
            <w:r>
              <w:rPr>
                <w:rFonts w:hint="eastAsia"/>
                <w:color w:val="auto"/>
              </w:rPr>
              <w:t>超细旦氨纶纤维2万t/a</w:t>
            </w:r>
          </w:p>
        </w:tc>
        <w:tc>
          <w:tcPr>
            <w:tcW w:w="945" w:type="pct"/>
            <w:tcMar>
              <w:top w:w="0" w:type="dxa"/>
              <w:left w:w="57" w:type="dxa"/>
              <w:bottom w:w="0" w:type="dxa"/>
              <w:right w:w="57" w:type="dxa"/>
            </w:tcMar>
            <w:vAlign w:val="center"/>
          </w:tcPr>
          <w:p w14:paraId="135D5B95">
            <w:pPr>
              <w:pStyle w:val="182"/>
              <w:rPr>
                <w:color w:val="auto"/>
              </w:rPr>
            </w:pPr>
            <w:r>
              <w:rPr>
                <w:rFonts w:hint="eastAsia"/>
                <w:color w:val="auto"/>
              </w:rPr>
              <w:t>2018年11月完成自主验收</w:t>
            </w:r>
          </w:p>
        </w:tc>
      </w:tr>
      <w:tr w14:paraId="0B1200B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7" w:type="pct"/>
            <w:tcMar>
              <w:top w:w="0" w:type="dxa"/>
              <w:left w:w="57" w:type="dxa"/>
              <w:bottom w:w="0" w:type="dxa"/>
              <w:right w:w="57" w:type="dxa"/>
            </w:tcMar>
            <w:vAlign w:val="center"/>
          </w:tcPr>
          <w:p w14:paraId="20FAC292">
            <w:pPr>
              <w:pStyle w:val="182"/>
              <w:rPr>
                <w:color w:val="auto"/>
              </w:rPr>
            </w:pPr>
            <w:r>
              <w:rPr>
                <w:rFonts w:hint="eastAsia"/>
                <w:color w:val="auto"/>
              </w:rPr>
              <w:t>7</w:t>
            </w:r>
          </w:p>
        </w:tc>
        <w:tc>
          <w:tcPr>
            <w:tcW w:w="1698" w:type="pct"/>
            <w:tcMar>
              <w:top w:w="0" w:type="dxa"/>
              <w:left w:w="57" w:type="dxa"/>
              <w:bottom w:w="0" w:type="dxa"/>
              <w:right w:w="57" w:type="dxa"/>
            </w:tcMar>
            <w:vAlign w:val="center"/>
          </w:tcPr>
          <w:p w14:paraId="3DE21701">
            <w:pPr>
              <w:pStyle w:val="182"/>
              <w:rPr>
                <w:color w:val="auto"/>
              </w:rPr>
            </w:pPr>
            <w:r>
              <w:rPr>
                <w:rFonts w:hint="eastAsia"/>
                <w:color w:val="auto"/>
              </w:rPr>
              <w:t>新乡化纤股份有限公司年产一万吨新型纤维素长丝项目</w:t>
            </w:r>
          </w:p>
        </w:tc>
        <w:tc>
          <w:tcPr>
            <w:tcW w:w="725" w:type="pct"/>
            <w:tcMar>
              <w:top w:w="0" w:type="dxa"/>
              <w:left w:w="57" w:type="dxa"/>
              <w:bottom w:w="0" w:type="dxa"/>
              <w:right w:w="57" w:type="dxa"/>
            </w:tcMar>
            <w:vAlign w:val="center"/>
          </w:tcPr>
          <w:p w14:paraId="63FB6970">
            <w:pPr>
              <w:pStyle w:val="182"/>
              <w:rPr>
                <w:color w:val="auto"/>
              </w:rPr>
            </w:pPr>
            <w:r>
              <w:rPr>
                <w:rFonts w:hint="eastAsia"/>
                <w:color w:val="auto"/>
              </w:rPr>
              <w:t>新环书审[2017]19号</w:t>
            </w:r>
          </w:p>
        </w:tc>
        <w:tc>
          <w:tcPr>
            <w:tcW w:w="1305" w:type="pct"/>
            <w:tcMar>
              <w:top w:w="0" w:type="dxa"/>
              <w:left w:w="57" w:type="dxa"/>
              <w:bottom w:w="0" w:type="dxa"/>
              <w:right w:w="57" w:type="dxa"/>
            </w:tcMar>
            <w:vAlign w:val="center"/>
          </w:tcPr>
          <w:p w14:paraId="227868B1">
            <w:pPr>
              <w:pStyle w:val="182"/>
              <w:rPr>
                <w:color w:val="auto"/>
              </w:rPr>
            </w:pPr>
            <w:r>
              <w:rPr>
                <w:rFonts w:hint="eastAsia"/>
                <w:color w:val="auto"/>
              </w:rPr>
              <w:t>纤维素长丝</w:t>
            </w:r>
            <w:r>
              <w:rPr>
                <w:color w:val="auto"/>
              </w:rPr>
              <w:t>1</w:t>
            </w:r>
            <w:r>
              <w:rPr>
                <w:rFonts w:hint="eastAsia"/>
                <w:color w:val="auto"/>
              </w:rPr>
              <w:t>万t/a</w:t>
            </w:r>
          </w:p>
        </w:tc>
        <w:tc>
          <w:tcPr>
            <w:tcW w:w="945" w:type="pct"/>
            <w:tcMar>
              <w:top w:w="0" w:type="dxa"/>
              <w:left w:w="57" w:type="dxa"/>
              <w:bottom w:w="0" w:type="dxa"/>
              <w:right w:w="57" w:type="dxa"/>
            </w:tcMar>
            <w:vAlign w:val="center"/>
          </w:tcPr>
          <w:p w14:paraId="18B41577">
            <w:pPr>
              <w:pStyle w:val="182"/>
              <w:rPr>
                <w:color w:val="auto"/>
              </w:rPr>
            </w:pPr>
            <w:r>
              <w:rPr>
                <w:rFonts w:hint="eastAsia"/>
                <w:color w:val="auto"/>
              </w:rPr>
              <w:t>2019年12月完成自主验收</w:t>
            </w:r>
          </w:p>
        </w:tc>
      </w:tr>
      <w:tr w14:paraId="5B145B9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7" w:type="pct"/>
            <w:tcMar>
              <w:top w:w="0" w:type="dxa"/>
              <w:left w:w="57" w:type="dxa"/>
              <w:bottom w:w="0" w:type="dxa"/>
              <w:right w:w="57" w:type="dxa"/>
            </w:tcMar>
            <w:vAlign w:val="center"/>
          </w:tcPr>
          <w:p w14:paraId="34E43158">
            <w:pPr>
              <w:pStyle w:val="182"/>
              <w:rPr>
                <w:color w:val="auto"/>
              </w:rPr>
            </w:pPr>
            <w:r>
              <w:rPr>
                <w:rFonts w:hint="eastAsia"/>
                <w:color w:val="auto"/>
              </w:rPr>
              <w:t>8</w:t>
            </w:r>
          </w:p>
        </w:tc>
        <w:tc>
          <w:tcPr>
            <w:tcW w:w="1698" w:type="pct"/>
            <w:tcMar>
              <w:top w:w="0" w:type="dxa"/>
              <w:left w:w="57" w:type="dxa"/>
              <w:bottom w:w="0" w:type="dxa"/>
              <w:right w:w="57" w:type="dxa"/>
            </w:tcMar>
            <w:vAlign w:val="center"/>
          </w:tcPr>
          <w:p w14:paraId="55BA6C0E">
            <w:pPr>
              <w:pStyle w:val="182"/>
              <w:rPr>
                <w:color w:val="auto"/>
              </w:rPr>
            </w:pPr>
            <w:r>
              <w:rPr>
                <w:rFonts w:hint="eastAsia"/>
                <w:color w:val="auto"/>
              </w:rPr>
              <w:t>新乡化纤股份有限公司年产2×2万吨超细旦氨纶纤维项目（年产3×2万吨超细旦氨纶纤维项目二期三期工程）</w:t>
            </w:r>
          </w:p>
        </w:tc>
        <w:tc>
          <w:tcPr>
            <w:tcW w:w="725" w:type="pct"/>
            <w:tcMar>
              <w:top w:w="0" w:type="dxa"/>
              <w:left w:w="57" w:type="dxa"/>
              <w:bottom w:w="0" w:type="dxa"/>
              <w:right w:w="57" w:type="dxa"/>
            </w:tcMar>
            <w:vAlign w:val="center"/>
          </w:tcPr>
          <w:p w14:paraId="3253F4FB">
            <w:pPr>
              <w:pStyle w:val="182"/>
              <w:rPr>
                <w:color w:val="auto"/>
              </w:rPr>
            </w:pPr>
            <w:r>
              <w:rPr>
                <w:rFonts w:hint="eastAsia"/>
                <w:color w:val="auto"/>
              </w:rPr>
              <w:t>豫环审[2017]231号</w:t>
            </w:r>
          </w:p>
        </w:tc>
        <w:tc>
          <w:tcPr>
            <w:tcW w:w="1305" w:type="pct"/>
            <w:tcMar>
              <w:top w:w="0" w:type="dxa"/>
              <w:left w:w="57" w:type="dxa"/>
              <w:bottom w:w="0" w:type="dxa"/>
              <w:right w:w="57" w:type="dxa"/>
            </w:tcMar>
            <w:vAlign w:val="center"/>
          </w:tcPr>
          <w:p w14:paraId="580CECA0">
            <w:pPr>
              <w:pStyle w:val="182"/>
              <w:rPr>
                <w:color w:val="auto"/>
              </w:rPr>
            </w:pPr>
            <w:r>
              <w:rPr>
                <w:rFonts w:hint="eastAsia"/>
                <w:color w:val="auto"/>
              </w:rPr>
              <w:t>超细旦氨纶纤维</w:t>
            </w:r>
            <w:r>
              <w:rPr>
                <w:color w:val="auto"/>
              </w:rPr>
              <w:t>4</w:t>
            </w:r>
            <w:r>
              <w:rPr>
                <w:rFonts w:hint="eastAsia"/>
                <w:color w:val="auto"/>
              </w:rPr>
              <w:t>万t/a</w:t>
            </w:r>
          </w:p>
        </w:tc>
        <w:tc>
          <w:tcPr>
            <w:tcW w:w="945" w:type="pct"/>
            <w:tcMar>
              <w:top w:w="0" w:type="dxa"/>
              <w:left w:w="57" w:type="dxa"/>
              <w:bottom w:w="0" w:type="dxa"/>
              <w:right w:w="57" w:type="dxa"/>
            </w:tcMar>
            <w:vAlign w:val="center"/>
          </w:tcPr>
          <w:p w14:paraId="74BB0F1B">
            <w:pPr>
              <w:pStyle w:val="182"/>
              <w:rPr>
                <w:b w:val="0"/>
                <w:bCs w:val="0"/>
                <w:color w:val="auto"/>
              </w:rPr>
            </w:pPr>
            <w:r>
              <w:rPr>
                <w:rFonts w:hint="eastAsia"/>
                <w:b w:val="0"/>
                <w:bCs w:val="0"/>
                <w:color w:val="auto"/>
              </w:rPr>
              <w:t>二期2020年4月完成自主验收，三期</w:t>
            </w:r>
            <w:r>
              <w:rPr>
                <w:rFonts w:hint="eastAsia"/>
                <w:b w:val="0"/>
                <w:bCs w:val="0"/>
                <w:color w:val="auto"/>
                <w:lang w:val="en-US" w:eastAsia="zh-CN"/>
              </w:rPr>
              <w:t>拟</w:t>
            </w:r>
            <w:r>
              <w:rPr>
                <w:rFonts w:hint="eastAsia"/>
                <w:b w:val="0"/>
                <w:bCs w:val="0"/>
                <w:color w:val="auto"/>
              </w:rPr>
              <w:t>建</w:t>
            </w:r>
          </w:p>
        </w:tc>
      </w:tr>
      <w:tr w14:paraId="59DEFF7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7" w:type="pct"/>
            <w:tcMar>
              <w:top w:w="0" w:type="dxa"/>
              <w:left w:w="57" w:type="dxa"/>
              <w:bottom w:w="0" w:type="dxa"/>
              <w:right w:w="57" w:type="dxa"/>
            </w:tcMar>
            <w:vAlign w:val="center"/>
          </w:tcPr>
          <w:p w14:paraId="667D1CE5">
            <w:pPr>
              <w:pStyle w:val="182"/>
              <w:rPr>
                <w:color w:val="auto"/>
              </w:rPr>
            </w:pPr>
            <w:r>
              <w:rPr>
                <w:rFonts w:hint="eastAsia"/>
                <w:color w:val="auto"/>
              </w:rPr>
              <w:t>9</w:t>
            </w:r>
          </w:p>
        </w:tc>
        <w:tc>
          <w:tcPr>
            <w:tcW w:w="1698" w:type="pct"/>
            <w:tcMar>
              <w:top w:w="0" w:type="dxa"/>
              <w:left w:w="57" w:type="dxa"/>
              <w:bottom w:w="0" w:type="dxa"/>
              <w:right w:w="57" w:type="dxa"/>
            </w:tcMar>
            <w:vAlign w:val="center"/>
          </w:tcPr>
          <w:p w14:paraId="697C5ABD">
            <w:pPr>
              <w:pStyle w:val="182"/>
              <w:rPr>
                <w:color w:val="auto"/>
              </w:rPr>
            </w:pPr>
            <w:r>
              <w:rPr>
                <w:rFonts w:hint="eastAsia"/>
                <w:color w:val="auto"/>
              </w:rPr>
              <w:t>新乡化纤股份有限公司年产2万吨生物质纤维素项目</w:t>
            </w:r>
          </w:p>
        </w:tc>
        <w:tc>
          <w:tcPr>
            <w:tcW w:w="725" w:type="pct"/>
            <w:tcMar>
              <w:top w:w="0" w:type="dxa"/>
              <w:left w:w="57" w:type="dxa"/>
              <w:bottom w:w="0" w:type="dxa"/>
              <w:right w:w="57" w:type="dxa"/>
            </w:tcMar>
            <w:vAlign w:val="center"/>
          </w:tcPr>
          <w:p w14:paraId="7B7A8748">
            <w:pPr>
              <w:pStyle w:val="182"/>
              <w:rPr>
                <w:color w:val="auto"/>
              </w:rPr>
            </w:pPr>
            <w:r>
              <w:rPr>
                <w:rFonts w:hint="eastAsia"/>
                <w:color w:val="auto"/>
              </w:rPr>
              <w:t>新环书审[2019]6号</w:t>
            </w:r>
          </w:p>
        </w:tc>
        <w:tc>
          <w:tcPr>
            <w:tcW w:w="1305" w:type="pct"/>
            <w:tcMar>
              <w:top w:w="0" w:type="dxa"/>
              <w:left w:w="57" w:type="dxa"/>
              <w:bottom w:w="0" w:type="dxa"/>
              <w:right w:w="57" w:type="dxa"/>
            </w:tcMar>
            <w:vAlign w:val="center"/>
          </w:tcPr>
          <w:p w14:paraId="0EE0D143">
            <w:pPr>
              <w:pStyle w:val="182"/>
              <w:rPr>
                <w:color w:val="auto"/>
              </w:rPr>
            </w:pPr>
            <w:r>
              <w:rPr>
                <w:rFonts w:hint="eastAsia"/>
                <w:color w:val="auto"/>
              </w:rPr>
              <w:t>生物质纤维素（黏胶长丝）2万t/a</w:t>
            </w:r>
          </w:p>
        </w:tc>
        <w:tc>
          <w:tcPr>
            <w:tcW w:w="945" w:type="pct"/>
            <w:tcMar>
              <w:top w:w="0" w:type="dxa"/>
              <w:left w:w="57" w:type="dxa"/>
              <w:bottom w:w="0" w:type="dxa"/>
              <w:right w:w="57" w:type="dxa"/>
            </w:tcMar>
            <w:vAlign w:val="center"/>
          </w:tcPr>
          <w:p w14:paraId="639370B1">
            <w:pPr>
              <w:pStyle w:val="182"/>
              <w:rPr>
                <w:rFonts w:hint="default" w:eastAsia="宋体"/>
                <w:b w:val="0"/>
                <w:bCs w:val="0"/>
                <w:color w:val="auto"/>
                <w:lang w:val="en-US" w:eastAsia="zh-CN"/>
              </w:rPr>
            </w:pPr>
            <w:r>
              <w:rPr>
                <w:rFonts w:hint="eastAsia"/>
                <w:b w:val="0"/>
                <w:bCs w:val="0"/>
                <w:color w:val="auto"/>
              </w:rPr>
              <w:t>一期202</w:t>
            </w:r>
            <w:r>
              <w:rPr>
                <w:b w:val="0"/>
                <w:bCs w:val="0"/>
                <w:color w:val="auto"/>
              </w:rPr>
              <w:t>1</w:t>
            </w:r>
            <w:r>
              <w:rPr>
                <w:rFonts w:hint="eastAsia"/>
                <w:b w:val="0"/>
                <w:bCs w:val="0"/>
                <w:color w:val="auto"/>
              </w:rPr>
              <w:t>年</w:t>
            </w:r>
            <w:r>
              <w:rPr>
                <w:b w:val="0"/>
                <w:bCs w:val="0"/>
                <w:color w:val="auto"/>
              </w:rPr>
              <w:t>11</w:t>
            </w:r>
            <w:r>
              <w:rPr>
                <w:rFonts w:hint="eastAsia"/>
                <w:b w:val="0"/>
                <w:bCs w:val="0"/>
                <w:color w:val="auto"/>
              </w:rPr>
              <w:t>月完成自主验收，二期</w:t>
            </w:r>
            <w:r>
              <w:rPr>
                <w:rFonts w:hint="eastAsia"/>
                <w:b w:val="0"/>
                <w:bCs w:val="0"/>
                <w:color w:val="auto"/>
                <w:lang w:val="en-US" w:eastAsia="zh-CN"/>
              </w:rPr>
              <w:t>调试运行，准备验收</w:t>
            </w:r>
          </w:p>
        </w:tc>
      </w:tr>
      <w:tr w14:paraId="6FEC703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7" w:type="pct"/>
            <w:tcMar>
              <w:top w:w="0" w:type="dxa"/>
              <w:left w:w="57" w:type="dxa"/>
              <w:bottom w:w="0" w:type="dxa"/>
              <w:right w:w="57" w:type="dxa"/>
            </w:tcMar>
            <w:vAlign w:val="center"/>
          </w:tcPr>
          <w:p w14:paraId="51315A67">
            <w:pPr>
              <w:pStyle w:val="182"/>
              <w:rPr>
                <w:color w:val="auto"/>
              </w:rPr>
            </w:pPr>
            <w:r>
              <w:rPr>
                <w:rFonts w:hint="eastAsia"/>
                <w:color w:val="auto"/>
              </w:rPr>
              <w:t>1</w:t>
            </w:r>
            <w:r>
              <w:rPr>
                <w:color w:val="auto"/>
              </w:rPr>
              <w:t>0</w:t>
            </w:r>
          </w:p>
        </w:tc>
        <w:tc>
          <w:tcPr>
            <w:tcW w:w="1698" w:type="pct"/>
            <w:tcMar>
              <w:top w:w="0" w:type="dxa"/>
              <w:left w:w="57" w:type="dxa"/>
              <w:bottom w:w="0" w:type="dxa"/>
              <w:right w:w="57" w:type="dxa"/>
            </w:tcMar>
            <w:vAlign w:val="center"/>
          </w:tcPr>
          <w:p w14:paraId="3CD45909">
            <w:pPr>
              <w:pStyle w:val="182"/>
              <w:rPr>
                <w:color w:val="auto"/>
              </w:rPr>
            </w:pPr>
            <w:r>
              <w:rPr>
                <w:rFonts w:hint="eastAsia"/>
                <w:color w:val="auto"/>
              </w:rPr>
              <w:t>新乡化纤股份有限公司年产六千吨再生氨纶纤维项目</w:t>
            </w:r>
          </w:p>
        </w:tc>
        <w:tc>
          <w:tcPr>
            <w:tcW w:w="725" w:type="pct"/>
            <w:tcMar>
              <w:top w:w="0" w:type="dxa"/>
              <w:left w:w="57" w:type="dxa"/>
              <w:bottom w:w="0" w:type="dxa"/>
              <w:right w:w="57" w:type="dxa"/>
            </w:tcMar>
            <w:vAlign w:val="center"/>
          </w:tcPr>
          <w:p w14:paraId="199D220E">
            <w:pPr>
              <w:pStyle w:val="182"/>
              <w:rPr>
                <w:color w:val="auto"/>
              </w:rPr>
            </w:pPr>
            <w:r>
              <w:rPr>
                <w:rFonts w:hint="eastAsia"/>
                <w:color w:val="auto"/>
              </w:rPr>
              <w:t>新环书审[2020]</w:t>
            </w:r>
            <w:r>
              <w:rPr>
                <w:color w:val="auto"/>
              </w:rPr>
              <w:t>1</w:t>
            </w:r>
            <w:r>
              <w:rPr>
                <w:rFonts w:hint="eastAsia"/>
                <w:color w:val="auto"/>
              </w:rPr>
              <w:t>0号</w:t>
            </w:r>
          </w:p>
        </w:tc>
        <w:tc>
          <w:tcPr>
            <w:tcW w:w="1305" w:type="pct"/>
            <w:tcMar>
              <w:top w:w="0" w:type="dxa"/>
              <w:left w:w="57" w:type="dxa"/>
              <w:bottom w:w="0" w:type="dxa"/>
              <w:right w:w="57" w:type="dxa"/>
            </w:tcMar>
            <w:vAlign w:val="center"/>
          </w:tcPr>
          <w:p w14:paraId="6355A9E6">
            <w:pPr>
              <w:pStyle w:val="182"/>
              <w:rPr>
                <w:color w:val="auto"/>
              </w:rPr>
            </w:pPr>
            <w:r>
              <w:rPr>
                <w:rFonts w:hint="eastAsia"/>
                <w:color w:val="auto"/>
              </w:rPr>
              <w:t>再生氨纶纤维</w:t>
            </w:r>
            <w:r>
              <w:rPr>
                <w:color w:val="auto"/>
              </w:rPr>
              <w:t>6000t/a</w:t>
            </w:r>
          </w:p>
        </w:tc>
        <w:tc>
          <w:tcPr>
            <w:tcW w:w="945" w:type="pct"/>
            <w:tcMar>
              <w:top w:w="0" w:type="dxa"/>
              <w:left w:w="57" w:type="dxa"/>
              <w:bottom w:w="0" w:type="dxa"/>
              <w:right w:w="57" w:type="dxa"/>
            </w:tcMar>
            <w:vAlign w:val="center"/>
          </w:tcPr>
          <w:p w14:paraId="4702BDFF">
            <w:pPr>
              <w:pStyle w:val="182"/>
              <w:rPr>
                <w:b w:val="0"/>
                <w:bCs w:val="0"/>
                <w:color w:val="auto"/>
              </w:rPr>
            </w:pPr>
            <w:r>
              <w:rPr>
                <w:rFonts w:hint="eastAsia"/>
                <w:b w:val="0"/>
                <w:bCs w:val="0"/>
                <w:color w:val="auto"/>
                <w:lang w:val="en-US" w:eastAsia="zh-CN"/>
              </w:rPr>
              <w:t>调试运行，准备验收</w:t>
            </w:r>
          </w:p>
        </w:tc>
      </w:tr>
      <w:tr w14:paraId="33EA7DF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7" w:type="pct"/>
            <w:tcMar>
              <w:top w:w="0" w:type="dxa"/>
              <w:left w:w="57" w:type="dxa"/>
              <w:bottom w:w="0" w:type="dxa"/>
              <w:right w:w="57" w:type="dxa"/>
            </w:tcMar>
            <w:vAlign w:val="center"/>
          </w:tcPr>
          <w:p w14:paraId="24DE3B56">
            <w:pPr>
              <w:pStyle w:val="182"/>
              <w:rPr>
                <w:color w:val="auto"/>
              </w:rPr>
            </w:pPr>
            <w:r>
              <w:rPr>
                <w:rFonts w:hint="eastAsia"/>
                <w:color w:val="auto"/>
              </w:rPr>
              <w:t>1</w:t>
            </w:r>
            <w:r>
              <w:rPr>
                <w:color w:val="auto"/>
              </w:rPr>
              <w:t>1</w:t>
            </w:r>
          </w:p>
        </w:tc>
        <w:tc>
          <w:tcPr>
            <w:tcW w:w="1698" w:type="pct"/>
            <w:tcMar>
              <w:top w:w="0" w:type="dxa"/>
              <w:left w:w="57" w:type="dxa"/>
              <w:bottom w:w="0" w:type="dxa"/>
              <w:right w:w="57" w:type="dxa"/>
            </w:tcMar>
            <w:vAlign w:val="center"/>
          </w:tcPr>
          <w:p w14:paraId="08AE87A6">
            <w:pPr>
              <w:pStyle w:val="182"/>
              <w:rPr>
                <w:color w:val="auto"/>
              </w:rPr>
            </w:pPr>
            <w:r>
              <w:rPr>
                <w:rFonts w:hint="eastAsia"/>
                <w:color w:val="auto"/>
              </w:rPr>
              <w:t>新乡化纤股份有限公司年产10万吨高品质超细旦氨纶纤维项目</w:t>
            </w:r>
          </w:p>
        </w:tc>
        <w:tc>
          <w:tcPr>
            <w:tcW w:w="725" w:type="pct"/>
            <w:tcMar>
              <w:top w:w="0" w:type="dxa"/>
              <w:left w:w="57" w:type="dxa"/>
              <w:bottom w:w="0" w:type="dxa"/>
              <w:right w:w="57" w:type="dxa"/>
            </w:tcMar>
            <w:vAlign w:val="center"/>
          </w:tcPr>
          <w:p w14:paraId="44252BC9">
            <w:pPr>
              <w:pStyle w:val="182"/>
              <w:rPr>
                <w:color w:val="auto"/>
              </w:rPr>
            </w:pPr>
            <w:r>
              <w:rPr>
                <w:rFonts w:hint="eastAsia"/>
                <w:color w:val="auto"/>
              </w:rPr>
              <w:t>新环书审[2020]20号</w:t>
            </w:r>
          </w:p>
        </w:tc>
        <w:tc>
          <w:tcPr>
            <w:tcW w:w="1305" w:type="pct"/>
            <w:tcMar>
              <w:top w:w="0" w:type="dxa"/>
              <w:left w:w="57" w:type="dxa"/>
              <w:bottom w:w="0" w:type="dxa"/>
              <w:right w:w="57" w:type="dxa"/>
            </w:tcMar>
            <w:vAlign w:val="center"/>
          </w:tcPr>
          <w:p w14:paraId="666B7F24">
            <w:pPr>
              <w:pStyle w:val="182"/>
              <w:rPr>
                <w:color w:val="auto"/>
              </w:rPr>
            </w:pPr>
            <w:r>
              <w:rPr>
                <w:rFonts w:hint="eastAsia"/>
                <w:color w:val="auto"/>
              </w:rPr>
              <w:t>超细旦氨纶纤维</w:t>
            </w:r>
            <w:r>
              <w:rPr>
                <w:color w:val="auto"/>
              </w:rPr>
              <w:t>10</w:t>
            </w:r>
            <w:r>
              <w:rPr>
                <w:rFonts w:hint="eastAsia"/>
                <w:color w:val="auto"/>
              </w:rPr>
              <w:t>万t/a</w:t>
            </w:r>
          </w:p>
        </w:tc>
        <w:tc>
          <w:tcPr>
            <w:tcW w:w="945" w:type="pct"/>
            <w:tcMar>
              <w:top w:w="0" w:type="dxa"/>
              <w:left w:w="57" w:type="dxa"/>
              <w:bottom w:w="0" w:type="dxa"/>
              <w:right w:w="57" w:type="dxa"/>
            </w:tcMar>
            <w:vAlign w:val="center"/>
          </w:tcPr>
          <w:p w14:paraId="6CE55FB6">
            <w:pPr>
              <w:pStyle w:val="182"/>
              <w:rPr>
                <w:b w:val="0"/>
                <w:bCs w:val="0"/>
                <w:color w:val="auto"/>
              </w:rPr>
            </w:pPr>
            <w:r>
              <w:rPr>
                <w:rFonts w:hint="eastAsia"/>
                <w:b w:val="0"/>
                <w:bCs w:val="0"/>
                <w:color w:val="auto"/>
              </w:rPr>
              <w:t>2024年1月完成自主验收</w:t>
            </w:r>
          </w:p>
        </w:tc>
      </w:tr>
      <w:tr w14:paraId="09521F2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327" w:type="pct"/>
            <w:tcMar>
              <w:top w:w="0" w:type="dxa"/>
              <w:left w:w="57" w:type="dxa"/>
              <w:bottom w:w="0" w:type="dxa"/>
              <w:right w:w="57" w:type="dxa"/>
            </w:tcMar>
            <w:vAlign w:val="center"/>
          </w:tcPr>
          <w:p w14:paraId="150F089F">
            <w:pPr>
              <w:pStyle w:val="182"/>
              <w:rPr>
                <w:color w:val="auto"/>
              </w:rPr>
            </w:pPr>
            <w:r>
              <w:rPr>
                <w:rFonts w:hint="eastAsia"/>
                <w:color w:val="auto"/>
              </w:rPr>
              <w:t>1</w:t>
            </w:r>
            <w:r>
              <w:rPr>
                <w:color w:val="auto"/>
              </w:rPr>
              <w:t>2</w:t>
            </w:r>
          </w:p>
        </w:tc>
        <w:tc>
          <w:tcPr>
            <w:tcW w:w="1698" w:type="pct"/>
            <w:tcMar>
              <w:top w:w="0" w:type="dxa"/>
              <w:left w:w="57" w:type="dxa"/>
              <w:bottom w:w="0" w:type="dxa"/>
              <w:right w:w="57" w:type="dxa"/>
            </w:tcMar>
            <w:vAlign w:val="center"/>
          </w:tcPr>
          <w:p w14:paraId="2440165D">
            <w:pPr>
              <w:pStyle w:val="182"/>
              <w:rPr>
                <w:color w:val="auto"/>
              </w:rPr>
            </w:pPr>
            <w:r>
              <w:rPr>
                <w:rFonts w:hint="eastAsia"/>
                <w:color w:val="auto"/>
              </w:rPr>
              <w:t>新乡化纤股份有限公司新区</w:t>
            </w:r>
            <w:r>
              <w:rPr>
                <w:color w:val="auto"/>
              </w:rPr>
              <w:t>1×360t/h锅炉及2×B25MW热电联产项目</w:t>
            </w:r>
          </w:p>
        </w:tc>
        <w:tc>
          <w:tcPr>
            <w:tcW w:w="725" w:type="pct"/>
            <w:tcMar>
              <w:top w:w="0" w:type="dxa"/>
              <w:left w:w="57" w:type="dxa"/>
              <w:bottom w:w="0" w:type="dxa"/>
              <w:right w:w="57" w:type="dxa"/>
            </w:tcMar>
            <w:vAlign w:val="center"/>
          </w:tcPr>
          <w:p w14:paraId="384A8228">
            <w:pPr>
              <w:pStyle w:val="182"/>
              <w:rPr>
                <w:color w:val="auto"/>
              </w:rPr>
            </w:pPr>
            <w:r>
              <w:rPr>
                <w:rFonts w:hint="eastAsia"/>
                <w:color w:val="auto"/>
              </w:rPr>
              <w:t>新环书审[2021]10号</w:t>
            </w:r>
          </w:p>
        </w:tc>
        <w:tc>
          <w:tcPr>
            <w:tcW w:w="1305" w:type="pct"/>
            <w:tcMar>
              <w:top w:w="0" w:type="dxa"/>
              <w:left w:w="57" w:type="dxa"/>
              <w:bottom w:w="0" w:type="dxa"/>
              <w:right w:w="57" w:type="dxa"/>
            </w:tcMar>
            <w:vAlign w:val="center"/>
          </w:tcPr>
          <w:p w14:paraId="69CDB901">
            <w:pPr>
              <w:pStyle w:val="182"/>
              <w:rPr>
                <w:color w:val="auto"/>
              </w:rPr>
            </w:pPr>
            <w:r>
              <w:rPr>
                <w:rFonts w:hint="eastAsia"/>
                <w:color w:val="auto"/>
              </w:rPr>
              <w:t>1台360t/h 高温高压锅炉，2台25MW高温高压背压式汽轮发电机组</w:t>
            </w:r>
          </w:p>
        </w:tc>
        <w:tc>
          <w:tcPr>
            <w:tcW w:w="945" w:type="pct"/>
            <w:tcMar>
              <w:top w:w="0" w:type="dxa"/>
              <w:left w:w="57" w:type="dxa"/>
              <w:bottom w:w="0" w:type="dxa"/>
              <w:right w:w="57" w:type="dxa"/>
            </w:tcMar>
            <w:vAlign w:val="center"/>
          </w:tcPr>
          <w:p w14:paraId="1DBDA432">
            <w:pPr>
              <w:pStyle w:val="182"/>
              <w:rPr>
                <w:b w:val="0"/>
                <w:bCs w:val="0"/>
                <w:color w:val="auto"/>
              </w:rPr>
            </w:pPr>
            <w:r>
              <w:rPr>
                <w:rFonts w:hint="eastAsia"/>
                <w:b w:val="0"/>
                <w:bCs w:val="0"/>
                <w:color w:val="auto"/>
              </w:rPr>
              <w:t>在建</w:t>
            </w:r>
          </w:p>
        </w:tc>
      </w:tr>
      <w:tr w14:paraId="2F709C6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327" w:type="pct"/>
            <w:tcMar>
              <w:top w:w="0" w:type="dxa"/>
              <w:left w:w="57" w:type="dxa"/>
              <w:bottom w:w="0" w:type="dxa"/>
              <w:right w:w="57" w:type="dxa"/>
            </w:tcMar>
            <w:vAlign w:val="center"/>
          </w:tcPr>
          <w:p w14:paraId="2E16C388">
            <w:pPr>
              <w:pStyle w:val="182"/>
              <w:rPr>
                <w:rFonts w:hint="eastAsia"/>
                <w:color w:val="auto"/>
              </w:rPr>
            </w:pPr>
            <w:r>
              <w:rPr>
                <w:rFonts w:hint="eastAsia"/>
                <w:color w:val="auto"/>
              </w:rPr>
              <w:t>13</w:t>
            </w:r>
          </w:p>
        </w:tc>
        <w:tc>
          <w:tcPr>
            <w:tcW w:w="1698" w:type="pct"/>
            <w:tcMar>
              <w:top w:w="0" w:type="dxa"/>
              <w:left w:w="57" w:type="dxa"/>
              <w:bottom w:w="0" w:type="dxa"/>
              <w:right w:w="57" w:type="dxa"/>
            </w:tcMar>
            <w:vAlign w:val="center"/>
          </w:tcPr>
          <w:p w14:paraId="100D2D15">
            <w:pPr>
              <w:pStyle w:val="182"/>
              <w:rPr>
                <w:color w:val="auto"/>
              </w:rPr>
            </w:pPr>
            <w:r>
              <w:rPr>
                <w:rFonts w:hint="eastAsia"/>
                <w:color w:val="auto"/>
              </w:rPr>
              <w:t>新乡化纤股份有限公司年产5000吨菌草生物质纤维产业化研发中试项目</w:t>
            </w:r>
          </w:p>
        </w:tc>
        <w:tc>
          <w:tcPr>
            <w:tcW w:w="725" w:type="pct"/>
            <w:tcMar>
              <w:top w:w="0" w:type="dxa"/>
              <w:left w:w="57" w:type="dxa"/>
              <w:bottom w:w="0" w:type="dxa"/>
              <w:right w:w="57" w:type="dxa"/>
            </w:tcMar>
            <w:vAlign w:val="center"/>
          </w:tcPr>
          <w:p w14:paraId="1CA876DB">
            <w:pPr>
              <w:pStyle w:val="182"/>
              <w:rPr>
                <w:color w:val="auto"/>
              </w:rPr>
            </w:pPr>
            <w:r>
              <w:rPr>
                <w:rFonts w:hint="eastAsia"/>
                <w:color w:val="auto"/>
              </w:rPr>
              <w:t>新经环书审〔2023〕1号</w:t>
            </w:r>
          </w:p>
        </w:tc>
        <w:tc>
          <w:tcPr>
            <w:tcW w:w="1305" w:type="pct"/>
            <w:tcMar>
              <w:top w:w="0" w:type="dxa"/>
              <w:left w:w="57" w:type="dxa"/>
              <w:bottom w:w="0" w:type="dxa"/>
              <w:right w:w="57" w:type="dxa"/>
            </w:tcMar>
            <w:vAlign w:val="center"/>
          </w:tcPr>
          <w:p w14:paraId="03AE1905">
            <w:pPr>
              <w:pStyle w:val="182"/>
              <w:rPr>
                <w:color w:val="auto"/>
              </w:rPr>
            </w:pPr>
            <w:r>
              <w:rPr>
                <w:rFonts w:hint="eastAsia"/>
                <w:color w:val="auto"/>
              </w:rPr>
              <w:t>年产5000吨菌草生物质纤维</w:t>
            </w:r>
          </w:p>
        </w:tc>
        <w:tc>
          <w:tcPr>
            <w:tcW w:w="945" w:type="pct"/>
            <w:tcMar>
              <w:top w:w="0" w:type="dxa"/>
              <w:left w:w="57" w:type="dxa"/>
              <w:bottom w:w="0" w:type="dxa"/>
              <w:right w:w="57" w:type="dxa"/>
            </w:tcMar>
            <w:vAlign w:val="center"/>
          </w:tcPr>
          <w:p w14:paraId="08275938">
            <w:pPr>
              <w:pStyle w:val="182"/>
              <w:rPr>
                <w:b w:val="0"/>
                <w:bCs w:val="0"/>
                <w:color w:val="auto"/>
              </w:rPr>
            </w:pPr>
            <w:r>
              <w:rPr>
                <w:rFonts w:hint="eastAsia"/>
                <w:b w:val="0"/>
                <w:bCs w:val="0"/>
                <w:color w:val="auto"/>
              </w:rPr>
              <w:t>在建</w:t>
            </w:r>
          </w:p>
        </w:tc>
      </w:tr>
      <w:tr w14:paraId="2A327F7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327" w:type="pct"/>
            <w:tcMar>
              <w:top w:w="0" w:type="dxa"/>
              <w:left w:w="57" w:type="dxa"/>
              <w:bottom w:w="0" w:type="dxa"/>
              <w:right w:w="57" w:type="dxa"/>
            </w:tcMar>
            <w:vAlign w:val="center"/>
          </w:tcPr>
          <w:p w14:paraId="433701C1">
            <w:pPr>
              <w:pStyle w:val="182"/>
              <w:rPr>
                <w:rFonts w:hint="default" w:eastAsia="宋体"/>
                <w:color w:val="auto"/>
                <w:lang w:val="en-US" w:eastAsia="zh-CN"/>
              </w:rPr>
            </w:pPr>
            <w:r>
              <w:rPr>
                <w:rFonts w:hint="eastAsia"/>
                <w:color w:val="auto"/>
                <w:lang w:val="en-US" w:eastAsia="zh-CN"/>
              </w:rPr>
              <w:t>14</w:t>
            </w:r>
          </w:p>
        </w:tc>
        <w:tc>
          <w:tcPr>
            <w:tcW w:w="1698" w:type="pct"/>
            <w:tcMar>
              <w:top w:w="0" w:type="dxa"/>
              <w:left w:w="57" w:type="dxa"/>
              <w:bottom w:w="0" w:type="dxa"/>
              <w:right w:w="57" w:type="dxa"/>
            </w:tcMar>
            <w:vAlign w:val="center"/>
          </w:tcPr>
          <w:p w14:paraId="7447681C">
            <w:pPr>
              <w:pStyle w:val="182"/>
              <w:rPr>
                <w:rFonts w:hint="eastAsia"/>
                <w:color w:val="auto"/>
              </w:rPr>
            </w:pPr>
            <w:r>
              <w:rPr>
                <w:rFonts w:hint="eastAsia"/>
                <w:color w:val="auto"/>
              </w:rPr>
              <w:t>新乡化纤股份有限公司年产1000吨离子液体法再生纤维素纤维（首赛尔纤维）中试研发项目</w:t>
            </w:r>
          </w:p>
        </w:tc>
        <w:tc>
          <w:tcPr>
            <w:tcW w:w="725" w:type="pct"/>
            <w:tcMar>
              <w:top w:w="0" w:type="dxa"/>
              <w:left w:w="57" w:type="dxa"/>
              <w:bottom w:w="0" w:type="dxa"/>
              <w:right w:w="57" w:type="dxa"/>
            </w:tcMar>
            <w:vAlign w:val="center"/>
          </w:tcPr>
          <w:p w14:paraId="52FD5915">
            <w:pPr>
              <w:pStyle w:val="182"/>
              <w:rPr>
                <w:rFonts w:hint="eastAsia" w:eastAsia="宋体"/>
                <w:color w:val="auto"/>
                <w:lang w:val="en-US" w:eastAsia="zh-CN"/>
              </w:rPr>
            </w:pPr>
            <w:r>
              <w:rPr>
                <w:rFonts w:hint="eastAsia"/>
                <w:color w:val="auto"/>
                <w:lang w:val="en-US" w:eastAsia="zh-CN"/>
              </w:rPr>
              <w:t>已通过评审</w:t>
            </w:r>
          </w:p>
        </w:tc>
        <w:tc>
          <w:tcPr>
            <w:tcW w:w="1305" w:type="pct"/>
            <w:tcMar>
              <w:top w:w="0" w:type="dxa"/>
              <w:left w:w="57" w:type="dxa"/>
              <w:bottom w:w="0" w:type="dxa"/>
              <w:right w:w="57" w:type="dxa"/>
            </w:tcMar>
            <w:vAlign w:val="center"/>
          </w:tcPr>
          <w:p w14:paraId="30F1679E">
            <w:pPr>
              <w:pStyle w:val="182"/>
              <w:rPr>
                <w:rFonts w:hint="eastAsia"/>
                <w:color w:val="auto"/>
              </w:rPr>
            </w:pPr>
            <w:r>
              <w:rPr>
                <w:rFonts w:hint="eastAsia"/>
                <w:color w:val="auto"/>
              </w:rPr>
              <w:t>年产1000吨离子液体法再生纤维素纤维（首赛尔纤维）</w:t>
            </w:r>
          </w:p>
        </w:tc>
        <w:tc>
          <w:tcPr>
            <w:tcW w:w="945" w:type="pct"/>
            <w:tcMar>
              <w:top w:w="0" w:type="dxa"/>
              <w:left w:w="57" w:type="dxa"/>
              <w:bottom w:w="0" w:type="dxa"/>
              <w:right w:w="57" w:type="dxa"/>
            </w:tcMar>
            <w:vAlign w:val="center"/>
          </w:tcPr>
          <w:p w14:paraId="287E8F29">
            <w:pPr>
              <w:pStyle w:val="182"/>
              <w:rPr>
                <w:rFonts w:hint="default" w:eastAsia="宋体"/>
                <w:b w:val="0"/>
                <w:bCs w:val="0"/>
                <w:color w:val="auto"/>
                <w:lang w:val="en-US" w:eastAsia="zh-CN"/>
              </w:rPr>
            </w:pPr>
            <w:r>
              <w:rPr>
                <w:rFonts w:hint="eastAsia"/>
                <w:b w:val="0"/>
                <w:bCs w:val="0"/>
                <w:color w:val="auto"/>
                <w:lang w:val="en-US" w:eastAsia="zh-CN"/>
              </w:rPr>
              <w:t>拟建</w:t>
            </w:r>
          </w:p>
        </w:tc>
      </w:tr>
      <w:tr w14:paraId="222B3C6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327" w:type="pct"/>
            <w:tcMar>
              <w:top w:w="0" w:type="dxa"/>
              <w:left w:w="57" w:type="dxa"/>
              <w:bottom w:w="0" w:type="dxa"/>
              <w:right w:w="57" w:type="dxa"/>
            </w:tcMar>
            <w:vAlign w:val="center"/>
          </w:tcPr>
          <w:p w14:paraId="4C83A2B8">
            <w:pPr>
              <w:pStyle w:val="182"/>
              <w:rPr>
                <w:rFonts w:hint="default" w:eastAsia="宋体"/>
                <w:color w:val="auto"/>
                <w:lang w:val="en-US" w:eastAsia="zh-CN"/>
              </w:rPr>
            </w:pPr>
            <w:r>
              <w:rPr>
                <w:rFonts w:hint="eastAsia"/>
                <w:color w:val="auto"/>
                <w:lang w:val="en-US" w:eastAsia="zh-CN"/>
              </w:rPr>
              <w:t>15</w:t>
            </w:r>
          </w:p>
        </w:tc>
        <w:tc>
          <w:tcPr>
            <w:tcW w:w="1698" w:type="pct"/>
            <w:tcMar>
              <w:top w:w="0" w:type="dxa"/>
              <w:left w:w="57" w:type="dxa"/>
              <w:bottom w:w="0" w:type="dxa"/>
              <w:right w:w="57" w:type="dxa"/>
            </w:tcMar>
            <w:vAlign w:val="center"/>
          </w:tcPr>
          <w:p w14:paraId="7ECBE86D">
            <w:pPr>
              <w:pStyle w:val="182"/>
              <w:rPr>
                <w:rFonts w:hint="default" w:eastAsia="宋体"/>
                <w:color w:val="auto"/>
                <w:lang w:val="en-US" w:eastAsia="zh-CN"/>
              </w:rPr>
            </w:pPr>
            <w:r>
              <w:rPr>
                <w:rFonts w:hint="eastAsia"/>
                <w:color w:val="auto"/>
                <w:lang w:val="en-US" w:eastAsia="zh-CN"/>
              </w:rPr>
              <w:t>新乡化纤股份有限公司年产10万吨功能性氨纶纤维项目</w:t>
            </w:r>
          </w:p>
        </w:tc>
        <w:tc>
          <w:tcPr>
            <w:tcW w:w="725" w:type="pct"/>
            <w:tcMar>
              <w:top w:w="0" w:type="dxa"/>
              <w:left w:w="57" w:type="dxa"/>
              <w:bottom w:w="0" w:type="dxa"/>
              <w:right w:w="57" w:type="dxa"/>
            </w:tcMar>
            <w:vAlign w:val="center"/>
          </w:tcPr>
          <w:p w14:paraId="30655686">
            <w:pPr>
              <w:pStyle w:val="182"/>
              <w:rPr>
                <w:rFonts w:hint="eastAsia"/>
                <w:color w:val="auto"/>
              </w:rPr>
            </w:pPr>
            <w:r>
              <w:rPr>
                <w:rFonts w:hint="eastAsia"/>
                <w:color w:val="auto"/>
                <w:lang w:val="en-US" w:eastAsia="zh-CN"/>
              </w:rPr>
              <w:t>已通过评审</w:t>
            </w:r>
          </w:p>
        </w:tc>
        <w:tc>
          <w:tcPr>
            <w:tcW w:w="1305" w:type="pct"/>
            <w:tcMar>
              <w:top w:w="0" w:type="dxa"/>
              <w:left w:w="57" w:type="dxa"/>
              <w:bottom w:w="0" w:type="dxa"/>
              <w:right w:w="57" w:type="dxa"/>
            </w:tcMar>
            <w:vAlign w:val="center"/>
          </w:tcPr>
          <w:p w14:paraId="47B526E3">
            <w:pPr>
              <w:pStyle w:val="182"/>
              <w:rPr>
                <w:rFonts w:hint="eastAsia"/>
                <w:color w:val="auto"/>
              </w:rPr>
            </w:pPr>
            <w:r>
              <w:rPr>
                <w:rFonts w:hint="eastAsia"/>
                <w:color w:val="auto"/>
                <w:lang w:val="en-US" w:eastAsia="zh-CN"/>
              </w:rPr>
              <w:t>年产10万吨功能性氨纶纤维</w:t>
            </w:r>
          </w:p>
        </w:tc>
        <w:tc>
          <w:tcPr>
            <w:tcW w:w="945" w:type="pct"/>
            <w:tcMar>
              <w:top w:w="0" w:type="dxa"/>
              <w:left w:w="57" w:type="dxa"/>
              <w:bottom w:w="0" w:type="dxa"/>
              <w:right w:w="57" w:type="dxa"/>
            </w:tcMar>
            <w:vAlign w:val="center"/>
          </w:tcPr>
          <w:p w14:paraId="5A38FC4E">
            <w:pPr>
              <w:pStyle w:val="182"/>
              <w:rPr>
                <w:rFonts w:hint="default" w:eastAsia="宋体"/>
                <w:b w:val="0"/>
                <w:bCs w:val="0"/>
                <w:color w:val="auto"/>
                <w:lang w:val="en-US" w:eastAsia="zh-CN"/>
              </w:rPr>
            </w:pPr>
            <w:r>
              <w:rPr>
                <w:rFonts w:hint="eastAsia"/>
                <w:b w:val="0"/>
                <w:bCs w:val="0"/>
                <w:color w:val="auto"/>
                <w:lang w:val="en-US" w:eastAsia="zh-CN"/>
              </w:rPr>
              <w:t>此项目与本项目不在一个厂区，分别申请排污许可证，本次不对此项目进行评价。</w:t>
            </w:r>
          </w:p>
        </w:tc>
      </w:tr>
      <w:tr w14:paraId="688C531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327" w:type="pct"/>
            <w:tcMar>
              <w:top w:w="0" w:type="dxa"/>
              <w:left w:w="57" w:type="dxa"/>
              <w:bottom w:w="0" w:type="dxa"/>
              <w:right w:w="57" w:type="dxa"/>
            </w:tcMar>
            <w:vAlign w:val="center"/>
          </w:tcPr>
          <w:p w14:paraId="5566C887">
            <w:pPr>
              <w:pStyle w:val="182"/>
              <w:rPr>
                <w:color w:val="auto"/>
              </w:rPr>
            </w:pPr>
            <w:r>
              <w:rPr>
                <w:rFonts w:hint="eastAsia"/>
                <w:color w:val="auto"/>
              </w:rPr>
              <w:t>排污许可证</w:t>
            </w:r>
          </w:p>
        </w:tc>
        <w:tc>
          <w:tcPr>
            <w:tcW w:w="4673" w:type="pct"/>
            <w:gridSpan w:val="4"/>
            <w:vAlign w:val="center"/>
          </w:tcPr>
          <w:p w14:paraId="1B73B539">
            <w:pPr>
              <w:pStyle w:val="182"/>
              <w:rPr>
                <w:color w:val="auto"/>
              </w:rPr>
            </w:pPr>
            <w:r>
              <w:rPr>
                <w:rFonts w:hint="eastAsia"/>
                <w:color w:val="auto"/>
              </w:rPr>
              <w:t>新乡化纤股份有限公司（新区）于2017年5月</w:t>
            </w:r>
            <w:r>
              <w:rPr>
                <w:color w:val="auto"/>
              </w:rPr>
              <w:t>28</w:t>
            </w:r>
            <w:r>
              <w:rPr>
                <w:rFonts w:hint="eastAsia"/>
                <w:color w:val="auto"/>
              </w:rPr>
              <w:t>日首次申请了排污许可证，期间2</w:t>
            </w:r>
            <w:r>
              <w:rPr>
                <w:color w:val="auto"/>
              </w:rPr>
              <w:t>020</w:t>
            </w:r>
            <w:r>
              <w:rPr>
                <w:rFonts w:hint="eastAsia"/>
                <w:color w:val="auto"/>
              </w:rPr>
              <w:t>年2月2</w:t>
            </w:r>
            <w:r>
              <w:rPr>
                <w:color w:val="auto"/>
              </w:rPr>
              <w:t>6</w:t>
            </w:r>
            <w:r>
              <w:rPr>
                <w:rFonts w:hint="eastAsia"/>
                <w:color w:val="auto"/>
              </w:rPr>
              <w:t>日和7月2</w:t>
            </w:r>
            <w:r>
              <w:rPr>
                <w:color w:val="auto"/>
              </w:rPr>
              <w:t>0</w:t>
            </w:r>
            <w:r>
              <w:rPr>
                <w:rFonts w:hint="eastAsia"/>
                <w:color w:val="auto"/>
              </w:rPr>
              <w:t>日进行了2次变更，2020年</w:t>
            </w:r>
            <w:r>
              <w:rPr>
                <w:color w:val="auto"/>
              </w:rPr>
              <w:t>7</w:t>
            </w:r>
            <w:r>
              <w:rPr>
                <w:rFonts w:hint="eastAsia"/>
                <w:color w:val="auto"/>
              </w:rPr>
              <w:t>月</w:t>
            </w:r>
            <w:r>
              <w:rPr>
                <w:color w:val="auto"/>
              </w:rPr>
              <w:t>21</w:t>
            </w:r>
            <w:r>
              <w:rPr>
                <w:rFonts w:hint="eastAsia"/>
                <w:color w:val="auto"/>
              </w:rPr>
              <w:t>日进行了延续，2</w:t>
            </w:r>
            <w:r>
              <w:rPr>
                <w:color w:val="auto"/>
              </w:rPr>
              <w:t>020</w:t>
            </w:r>
            <w:r>
              <w:rPr>
                <w:rFonts w:hint="eastAsia"/>
                <w:color w:val="auto"/>
              </w:rPr>
              <w:t>年8月1</w:t>
            </w:r>
            <w:r>
              <w:rPr>
                <w:color w:val="auto"/>
              </w:rPr>
              <w:t>1</w:t>
            </w:r>
            <w:r>
              <w:rPr>
                <w:rFonts w:hint="eastAsia"/>
                <w:color w:val="auto"/>
              </w:rPr>
              <w:t>日进行了补充申报，并分别于2</w:t>
            </w:r>
            <w:r>
              <w:rPr>
                <w:color w:val="auto"/>
              </w:rPr>
              <w:t>021</w:t>
            </w:r>
            <w:r>
              <w:rPr>
                <w:rFonts w:hint="eastAsia"/>
                <w:color w:val="auto"/>
              </w:rPr>
              <w:t>年1</w:t>
            </w:r>
            <w:r>
              <w:rPr>
                <w:color w:val="auto"/>
              </w:rPr>
              <w:t>0</w:t>
            </w:r>
            <w:r>
              <w:rPr>
                <w:rFonts w:hint="eastAsia"/>
                <w:color w:val="auto"/>
              </w:rPr>
              <w:t>月2</w:t>
            </w:r>
            <w:r>
              <w:rPr>
                <w:color w:val="auto"/>
              </w:rPr>
              <w:t>7</w:t>
            </w:r>
            <w:r>
              <w:rPr>
                <w:rFonts w:hint="eastAsia"/>
                <w:color w:val="auto"/>
              </w:rPr>
              <w:t>日、</w:t>
            </w:r>
            <w:r>
              <w:rPr>
                <w:color w:val="auto"/>
              </w:rPr>
              <w:t>2022</w:t>
            </w:r>
            <w:r>
              <w:rPr>
                <w:rFonts w:hint="eastAsia"/>
                <w:color w:val="auto"/>
              </w:rPr>
              <w:t>年3月2</w:t>
            </w:r>
            <w:r>
              <w:rPr>
                <w:color w:val="auto"/>
              </w:rPr>
              <w:t>4</w:t>
            </w:r>
            <w:r>
              <w:rPr>
                <w:rFonts w:hint="eastAsia"/>
                <w:color w:val="auto"/>
              </w:rPr>
              <w:t>日和8月3</w:t>
            </w:r>
            <w:r>
              <w:rPr>
                <w:color w:val="auto"/>
              </w:rPr>
              <w:t>1</w:t>
            </w:r>
            <w:r>
              <w:rPr>
                <w:rFonts w:hint="eastAsia"/>
                <w:color w:val="auto"/>
              </w:rPr>
              <w:t>日进行了重新申请，2022年</w:t>
            </w:r>
            <w:r>
              <w:rPr>
                <w:color w:val="auto"/>
              </w:rPr>
              <w:t>10</w:t>
            </w:r>
            <w:r>
              <w:rPr>
                <w:rFonts w:hint="eastAsia"/>
                <w:color w:val="auto"/>
              </w:rPr>
              <w:t>月1</w:t>
            </w:r>
            <w:r>
              <w:rPr>
                <w:color w:val="auto"/>
              </w:rPr>
              <w:t>9</w:t>
            </w:r>
            <w:r>
              <w:rPr>
                <w:rFonts w:hint="eastAsia"/>
                <w:color w:val="auto"/>
              </w:rPr>
              <w:t>日再次进行了变更</w:t>
            </w:r>
            <w:r>
              <w:rPr>
                <w:rFonts w:hint="eastAsia"/>
                <w:color w:val="auto"/>
                <w:lang w:eastAsia="zh-CN"/>
              </w:rPr>
              <w:t>，</w:t>
            </w:r>
            <w:r>
              <w:rPr>
                <w:rFonts w:hint="eastAsia"/>
                <w:color w:val="auto"/>
                <w:lang w:val="en-US" w:eastAsia="zh-CN"/>
              </w:rPr>
              <w:t>2023年2月22日进行了重新申请，2023年3月16日进行了变更，</w:t>
            </w:r>
            <w:r>
              <w:rPr>
                <w:rFonts w:hint="eastAsia"/>
                <w:color w:val="auto"/>
              </w:rPr>
              <w:t>并分别于2</w:t>
            </w:r>
            <w:r>
              <w:rPr>
                <w:color w:val="auto"/>
              </w:rPr>
              <w:t>02</w:t>
            </w:r>
            <w:r>
              <w:rPr>
                <w:rFonts w:hint="eastAsia"/>
                <w:color w:val="auto"/>
                <w:lang w:val="en-US" w:eastAsia="zh-CN"/>
              </w:rPr>
              <w:t>3</w:t>
            </w:r>
            <w:r>
              <w:rPr>
                <w:rFonts w:hint="eastAsia"/>
                <w:color w:val="auto"/>
              </w:rPr>
              <w:t>年</w:t>
            </w:r>
            <w:r>
              <w:rPr>
                <w:rFonts w:hint="eastAsia"/>
                <w:color w:val="auto"/>
                <w:lang w:val="en-US" w:eastAsia="zh-CN"/>
              </w:rPr>
              <w:t>9</w:t>
            </w:r>
            <w:r>
              <w:rPr>
                <w:rFonts w:hint="eastAsia"/>
                <w:color w:val="auto"/>
              </w:rPr>
              <w:t>月</w:t>
            </w:r>
            <w:r>
              <w:rPr>
                <w:rFonts w:hint="eastAsia"/>
                <w:color w:val="auto"/>
                <w:lang w:val="en-US" w:eastAsia="zh-CN"/>
              </w:rPr>
              <w:t>11</w:t>
            </w:r>
            <w:r>
              <w:rPr>
                <w:rFonts w:hint="eastAsia"/>
                <w:color w:val="auto"/>
              </w:rPr>
              <w:t>日</w:t>
            </w:r>
            <w:r>
              <w:rPr>
                <w:rFonts w:hint="eastAsia"/>
                <w:color w:val="auto"/>
                <w:lang w:val="en-US" w:eastAsia="zh-CN"/>
              </w:rPr>
              <w:t>和</w:t>
            </w:r>
            <w:r>
              <w:rPr>
                <w:color w:val="auto"/>
              </w:rPr>
              <w:t>202</w:t>
            </w:r>
            <w:r>
              <w:rPr>
                <w:rFonts w:hint="eastAsia"/>
                <w:color w:val="auto"/>
                <w:lang w:val="en-US" w:eastAsia="zh-CN"/>
              </w:rPr>
              <w:t>4</w:t>
            </w:r>
            <w:r>
              <w:rPr>
                <w:rFonts w:hint="eastAsia"/>
                <w:color w:val="auto"/>
              </w:rPr>
              <w:t>年</w:t>
            </w:r>
            <w:r>
              <w:rPr>
                <w:rFonts w:hint="eastAsia"/>
                <w:color w:val="auto"/>
                <w:lang w:val="en-US" w:eastAsia="zh-CN"/>
              </w:rPr>
              <w:t>4</w:t>
            </w:r>
            <w:r>
              <w:rPr>
                <w:rFonts w:hint="eastAsia"/>
                <w:color w:val="auto"/>
              </w:rPr>
              <w:t>月</w:t>
            </w:r>
            <w:r>
              <w:rPr>
                <w:rFonts w:hint="eastAsia"/>
                <w:color w:val="auto"/>
                <w:lang w:val="en-US" w:eastAsia="zh-CN"/>
              </w:rPr>
              <w:t>30</w:t>
            </w:r>
            <w:r>
              <w:rPr>
                <w:rFonts w:hint="eastAsia"/>
                <w:color w:val="auto"/>
              </w:rPr>
              <w:t>日</w:t>
            </w:r>
            <w:r>
              <w:rPr>
                <w:rFonts w:hint="eastAsia"/>
                <w:color w:val="auto"/>
                <w:lang w:val="en-US" w:eastAsia="zh-CN"/>
              </w:rPr>
              <w:t>进行了重新申请</w:t>
            </w:r>
            <w:r>
              <w:rPr>
                <w:rFonts w:hint="eastAsia"/>
                <w:color w:val="auto"/>
              </w:rPr>
              <w:t>。排污许可证有效期限：202</w:t>
            </w:r>
            <w:r>
              <w:rPr>
                <w:rFonts w:hint="eastAsia"/>
                <w:color w:val="auto"/>
                <w:lang w:val="en-US" w:eastAsia="zh-CN"/>
              </w:rPr>
              <w:t>4</w:t>
            </w:r>
            <w:r>
              <w:rPr>
                <w:rFonts w:hint="eastAsia"/>
                <w:color w:val="auto"/>
              </w:rPr>
              <w:t>年</w:t>
            </w:r>
            <w:r>
              <w:rPr>
                <w:rFonts w:hint="eastAsia"/>
                <w:color w:val="auto"/>
                <w:lang w:val="en-US" w:eastAsia="zh-CN"/>
              </w:rPr>
              <w:t>4</w:t>
            </w:r>
            <w:r>
              <w:rPr>
                <w:rFonts w:hint="eastAsia"/>
                <w:color w:val="auto"/>
              </w:rPr>
              <w:t>月3</w:t>
            </w:r>
            <w:r>
              <w:rPr>
                <w:rFonts w:hint="eastAsia"/>
                <w:color w:val="auto"/>
                <w:lang w:val="en-US" w:eastAsia="zh-CN"/>
              </w:rPr>
              <w:t>0</w:t>
            </w:r>
            <w:r>
              <w:rPr>
                <w:rFonts w:hint="eastAsia"/>
                <w:color w:val="auto"/>
              </w:rPr>
              <w:t>日至202</w:t>
            </w:r>
            <w:r>
              <w:rPr>
                <w:rFonts w:hint="eastAsia"/>
                <w:color w:val="auto"/>
                <w:lang w:val="en-US" w:eastAsia="zh-CN"/>
              </w:rPr>
              <w:t>9</w:t>
            </w:r>
            <w:r>
              <w:rPr>
                <w:rFonts w:hint="eastAsia"/>
                <w:color w:val="auto"/>
              </w:rPr>
              <w:t>年</w:t>
            </w:r>
            <w:r>
              <w:rPr>
                <w:rFonts w:hint="eastAsia"/>
                <w:color w:val="auto"/>
                <w:lang w:val="en-US" w:eastAsia="zh-CN"/>
              </w:rPr>
              <w:t>4</w:t>
            </w:r>
            <w:r>
              <w:rPr>
                <w:rFonts w:hint="eastAsia"/>
                <w:color w:val="auto"/>
              </w:rPr>
              <w:t>月</w:t>
            </w:r>
            <w:r>
              <w:rPr>
                <w:rFonts w:hint="eastAsia"/>
                <w:color w:val="auto"/>
                <w:lang w:val="en-US" w:eastAsia="zh-CN"/>
              </w:rPr>
              <w:t>29</w:t>
            </w:r>
            <w:r>
              <w:rPr>
                <w:rFonts w:hint="eastAsia"/>
                <w:color w:val="auto"/>
              </w:rPr>
              <w:t>日，排污许可证编码：</w:t>
            </w:r>
            <w:r>
              <w:rPr>
                <w:color w:val="auto"/>
              </w:rPr>
              <w:t>914100001700014285002P</w:t>
            </w:r>
            <w:r>
              <w:rPr>
                <w:rFonts w:hint="eastAsia"/>
                <w:color w:val="auto"/>
              </w:rPr>
              <w:t>。</w:t>
            </w:r>
          </w:p>
        </w:tc>
      </w:tr>
    </w:tbl>
    <w:p w14:paraId="47B50106">
      <w:pPr>
        <w:pStyle w:val="3"/>
      </w:pPr>
      <w:bookmarkStart w:id="150" w:name="_Toc26961"/>
      <w:bookmarkStart w:id="151" w:name="_Toc106552514"/>
      <w:bookmarkStart w:id="152" w:name="_Toc6764"/>
      <w:bookmarkStart w:id="153" w:name="_Toc3616"/>
      <w:r>
        <w:rPr>
          <w:rFonts w:hint="eastAsia"/>
        </w:rPr>
        <w:t>工程分析思路与方法</w:t>
      </w:r>
      <w:bookmarkEnd w:id="150"/>
      <w:bookmarkEnd w:id="151"/>
    </w:p>
    <w:p w14:paraId="7A829F6B">
      <w:pPr>
        <w:ind w:firstLine="480"/>
      </w:pPr>
      <w:r>
        <w:rPr>
          <w:rFonts w:hint="eastAsia"/>
        </w:rPr>
        <w:t>评价拟从</w:t>
      </w:r>
      <w:r>
        <w:rPr>
          <w:rFonts w:hint="eastAsia"/>
          <w:lang w:eastAsia="zh-CN"/>
        </w:rPr>
        <w:t>“</w:t>
      </w:r>
      <w:r>
        <w:rPr>
          <w:rFonts w:hint="eastAsia"/>
        </w:rPr>
        <w:t>已建工程”“在建工程”“本工程</w:t>
      </w:r>
      <w:r>
        <w:t>”</w:t>
      </w:r>
      <w:r>
        <w:rPr>
          <w:rFonts w:hint="eastAsia"/>
        </w:rPr>
        <w:t>和</w:t>
      </w:r>
      <w:r>
        <w:t>“</w:t>
      </w:r>
      <w:r>
        <w:rPr>
          <w:rFonts w:hint="eastAsia"/>
        </w:rPr>
        <w:t>本工程完成后全厂</w:t>
      </w:r>
      <w:r>
        <w:t>”4</w:t>
      </w:r>
      <w:r>
        <w:rPr>
          <w:rFonts w:hint="eastAsia"/>
        </w:rPr>
        <w:t>个层次开展工程分析。工程分析思路如下：</w:t>
      </w:r>
    </w:p>
    <w:p w14:paraId="2A2D1575">
      <w:pPr>
        <w:ind w:firstLine="480"/>
      </w:pPr>
      <w:r>
        <w:rPr>
          <w:rFonts w:hint="eastAsia"/>
        </w:rPr>
        <w:t>（</w:t>
      </w:r>
      <w:r>
        <w:t>1</w:t>
      </w:r>
      <w:r>
        <w:rPr>
          <w:rFonts w:hint="eastAsia"/>
        </w:rPr>
        <w:t>）对于已建工程，结合现有工程环评及批复文件、排污许可证、验收监测报告及污染源监测报告，简述现有工程分析；</w:t>
      </w:r>
    </w:p>
    <w:p w14:paraId="3F9A4E69">
      <w:pPr>
        <w:ind w:firstLine="480"/>
      </w:pPr>
      <w:r>
        <w:rPr>
          <w:rFonts w:hint="eastAsia"/>
        </w:rPr>
        <w:t>（</w:t>
      </w:r>
      <w:r>
        <w:t>2</w:t>
      </w:r>
      <w:r>
        <w:rPr>
          <w:rFonts w:hint="eastAsia"/>
        </w:rPr>
        <w:t>）对于在建工程，结合在建工程环评及批复文件，简述在建工程工程分析；</w:t>
      </w:r>
    </w:p>
    <w:p w14:paraId="19C0B136">
      <w:pPr>
        <w:ind w:firstLine="480"/>
      </w:pPr>
      <w:r>
        <w:rPr>
          <w:rFonts w:hint="eastAsia"/>
        </w:rPr>
        <w:t>（</w:t>
      </w:r>
      <w:r>
        <w:t>3</w:t>
      </w:r>
      <w:r>
        <w:rPr>
          <w:rFonts w:hint="eastAsia"/>
        </w:rPr>
        <w:t>）对于本次工程，在查阅相关资料的基础上，通过对现有工程实际物料消耗、现有工程污染物产排监测情况、工程物料衡算结果及类比分析，开展本次工程的工程分析。</w:t>
      </w:r>
    </w:p>
    <w:p w14:paraId="428245C9">
      <w:pPr>
        <w:pStyle w:val="3"/>
      </w:pPr>
      <w:bookmarkStart w:id="154" w:name="_Toc5752"/>
      <w:r>
        <w:rPr>
          <w:rFonts w:hint="eastAsia"/>
        </w:rPr>
        <w:t>已建</w:t>
      </w:r>
      <w:r>
        <w:t>项目工程分析</w:t>
      </w:r>
      <w:bookmarkEnd w:id="152"/>
      <w:bookmarkEnd w:id="153"/>
      <w:bookmarkEnd w:id="154"/>
    </w:p>
    <w:p w14:paraId="52791B3A">
      <w:pPr>
        <w:pStyle w:val="5"/>
        <w:bidi w:val="0"/>
      </w:pPr>
      <w:r>
        <w:rPr>
          <w:rFonts w:hint="eastAsia"/>
        </w:rPr>
        <w:t>已建工程概况</w:t>
      </w:r>
    </w:p>
    <w:p w14:paraId="454B90E8">
      <w:pPr>
        <w:ind w:firstLine="480"/>
      </w:pPr>
      <w:r>
        <w:rPr>
          <w:rFonts w:hint="eastAsia"/>
          <w:lang w:val="en-US" w:eastAsia="zh-CN"/>
        </w:rPr>
        <w:t>已建项目</w:t>
      </w:r>
      <w:r>
        <w:t>基本</w:t>
      </w:r>
      <w:r>
        <w:rPr>
          <w:rFonts w:hint="eastAsia"/>
        </w:rPr>
        <w:t>情况详</w:t>
      </w:r>
      <w:r>
        <w:rPr>
          <w:rFonts w:hint="eastAsia"/>
          <w:lang w:val="en-US" w:eastAsia="zh-CN"/>
        </w:rPr>
        <w:t>下表</w:t>
      </w:r>
      <w:r>
        <w:rPr>
          <w:rFonts w:hint="eastAsia"/>
        </w:rPr>
        <w:t>。</w:t>
      </w:r>
    </w:p>
    <w:p w14:paraId="78B07721">
      <w:pPr>
        <w:pStyle w:val="10"/>
        <w:bidi w:val="0"/>
      </w:pPr>
      <w:bookmarkStart w:id="155" w:name="_Hlk119487702"/>
      <w:r>
        <w:t xml:space="preserve">表 </w:t>
      </w:r>
      <w:r>
        <w:fldChar w:fldCharType="begin"/>
      </w:r>
      <w:r>
        <w:instrText xml:space="preserve"> STYLEREF 2 \s </w:instrText>
      </w:r>
      <w:r>
        <w:fldChar w:fldCharType="separate"/>
      </w:r>
      <w:r>
        <w:t>3.3</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rPr>
        <w:t xml:space="preserve"> 已建</w:t>
      </w:r>
      <w:r>
        <w:t>工程</w:t>
      </w:r>
      <w:r>
        <w:rPr>
          <w:rFonts w:hint="eastAsia"/>
        </w:rPr>
        <w:t>基本情况</w:t>
      </w:r>
      <w:r>
        <w:t>一览表</w:t>
      </w:r>
      <w:bookmarkEnd w:id="155"/>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637"/>
        <w:gridCol w:w="516"/>
        <w:gridCol w:w="793"/>
        <w:gridCol w:w="2126"/>
        <w:gridCol w:w="4450"/>
      </w:tblGrid>
      <w:tr w14:paraId="44D3FF3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tcBorders>
              <w:top w:val="single" w:color="auto" w:sz="8" w:space="0"/>
              <w:left w:val="single" w:color="auto" w:sz="6" w:space="0"/>
              <w:bottom w:val="single" w:color="auto" w:sz="6" w:space="0"/>
              <w:right w:val="single" w:color="auto" w:sz="6" w:space="0"/>
            </w:tcBorders>
            <w:vAlign w:val="center"/>
          </w:tcPr>
          <w:p w14:paraId="5C8FF63C">
            <w:pPr>
              <w:pStyle w:val="182"/>
              <w:rPr>
                <w:color w:val="auto"/>
              </w:rPr>
            </w:pPr>
            <w:bookmarkStart w:id="156" w:name="_Hlk119487678"/>
            <w:r>
              <w:rPr>
                <w:color w:val="auto"/>
              </w:rPr>
              <w:t>工程类别</w:t>
            </w:r>
          </w:p>
        </w:tc>
        <w:tc>
          <w:tcPr>
            <w:tcW w:w="303" w:type="pct"/>
            <w:tcBorders>
              <w:top w:val="single" w:color="auto" w:sz="8" w:space="0"/>
              <w:left w:val="single" w:color="auto" w:sz="6" w:space="0"/>
              <w:bottom w:val="single" w:color="auto" w:sz="6" w:space="0"/>
              <w:right w:val="single" w:color="auto" w:sz="6" w:space="0"/>
            </w:tcBorders>
            <w:vAlign w:val="center"/>
          </w:tcPr>
          <w:p w14:paraId="4D629635">
            <w:pPr>
              <w:pStyle w:val="182"/>
              <w:rPr>
                <w:color w:val="auto"/>
              </w:rPr>
            </w:pPr>
            <w:r>
              <w:rPr>
                <w:color w:val="auto"/>
              </w:rPr>
              <w:t>序号</w:t>
            </w:r>
          </w:p>
        </w:tc>
        <w:tc>
          <w:tcPr>
            <w:tcW w:w="1712" w:type="pct"/>
            <w:gridSpan w:val="2"/>
            <w:tcBorders>
              <w:top w:val="single" w:color="auto" w:sz="8" w:space="0"/>
              <w:left w:val="single" w:color="auto" w:sz="6" w:space="0"/>
              <w:bottom w:val="single" w:color="auto" w:sz="6" w:space="0"/>
              <w:right w:val="single" w:color="auto" w:sz="6" w:space="0"/>
            </w:tcBorders>
            <w:vAlign w:val="center"/>
          </w:tcPr>
          <w:p w14:paraId="4049521B">
            <w:pPr>
              <w:pStyle w:val="182"/>
              <w:rPr>
                <w:color w:val="auto"/>
              </w:rPr>
            </w:pPr>
            <w:r>
              <w:rPr>
                <w:color w:val="auto"/>
              </w:rPr>
              <w:t>工程名称</w:t>
            </w:r>
          </w:p>
        </w:tc>
        <w:tc>
          <w:tcPr>
            <w:tcW w:w="2609" w:type="pct"/>
            <w:tcBorders>
              <w:top w:val="single" w:color="auto" w:sz="8" w:space="0"/>
              <w:left w:val="single" w:color="auto" w:sz="6" w:space="0"/>
              <w:bottom w:val="single" w:color="auto" w:sz="6" w:space="0"/>
              <w:right w:val="single" w:color="auto" w:sz="8" w:space="0"/>
            </w:tcBorders>
            <w:vAlign w:val="center"/>
          </w:tcPr>
          <w:p w14:paraId="77FE6C0C">
            <w:pPr>
              <w:pStyle w:val="182"/>
              <w:rPr>
                <w:color w:val="auto"/>
              </w:rPr>
            </w:pPr>
            <w:r>
              <w:rPr>
                <w:color w:val="auto"/>
              </w:rPr>
              <w:t>内容</w:t>
            </w:r>
          </w:p>
        </w:tc>
      </w:tr>
      <w:tr w14:paraId="1E9F5AD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restart"/>
            <w:tcBorders>
              <w:top w:val="single" w:color="auto" w:sz="6" w:space="0"/>
              <w:left w:val="single" w:color="auto" w:sz="6" w:space="0"/>
              <w:right w:val="single" w:color="auto" w:sz="6" w:space="0"/>
            </w:tcBorders>
            <w:vAlign w:val="center"/>
          </w:tcPr>
          <w:p w14:paraId="38D09C13">
            <w:pPr>
              <w:pStyle w:val="182"/>
              <w:rPr>
                <w:color w:val="auto"/>
              </w:rPr>
            </w:pPr>
            <w:r>
              <w:rPr>
                <w:color w:val="auto"/>
              </w:rPr>
              <w:t>主体工程</w:t>
            </w:r>
          </w:p>
        </w:tc>
        <w:tc>
          <w:tcPr>
            <w:tcW w:w="516" w:type="dxa"/>
            <w:tcBorders>
              <w:top w:val="single" w:color="auto" w:sz="6" w:space="0"/>
              <w:left w:val="single" w:color="auto" w:sz="6" w:space="0"/>
              <w:right w:val="single" w:color="auto" w:sz="6" w:space="0"/>
            </w:tcBorders>
            <w:vAlign w:val="center"/>
          </w:tcPr>
          <w:p w14:paraId="4DF3DF2A">
            <w:pPr>
              <w:pStyle w:val="182"/>
              <w:ind w:firstLine="0" w:firstLineChars="0"/>
              <w:rPr>
                <w:rFonts w:hint="eastAsia"/>
                <w:color w:val="auto"/>
              </w:rPr>
            </w:pPr>
            <w:r>
              <w:rPr>
                <w:rFonts w:hint="eastAsia"/>
              </w:rPr>
              <w:t>1</w:t>
            </w:r>
          </w:p>
        </w:tc>
        <w:tc>
          <w:tcPr>
            <w:tcW w:w="1712" w:type="pct"/>
            <w:gridSpan w:val="2"/>
            <w:tcBorders>
              <w:top w:val="single" w:color="auto" w:sz="6" w:space="0"/>
              <w:left w:val="single" w:color="auto" w:sz="6" w:space="0"/>
              <w:bottom w:val="single" w:color="auto" w:sz="6" w:space="0"/>
              <w:right w:val="single" w:color="auto" w:sz="6" w:space="0"/>
            </w:tcBorders>
            <w:vAlign w:val="center"/>
          </w:tcPr>
          <w:p w14:paraId="02D0D500">
            <w:pPr>
              <w:pStyle w:val="182"/>
              <w:ind w:firstLine="0" w:firstLineChars="0"/>
              <w:rPr>
                <w:color w:val="auto"/>
              </w:rPr>
            </w:pPr>
            <w:r>
              <w:rPr>
                <w:rFonts w:hint="eastAsia"/>
              </w:rPr>
              <w:t>年产5000吨差别化新型连续纺粘胶长丝工程</w:t>
            </w:r>
          </w:p>
        </w:tc>
        <w:tc>
          <w:tcPr>
            <w:tcW w:w="2609" w:type="pct"/>
            <w:tcBorders>
              <w:top w:val="single" w:color="auto" w:sz="6" w:space="0"/>
              <w:left w:val="single" w:color="auto" w:sz="6" w:space="0"/>
              <w:bottom w:val="single" w:color="auto" w:sz="6" w:space="0"/>
              <w:right w:val="single" w:color="auto" w:sz="8" w:space="0"/>
            </w:tcBorders>
            <w:vAlign w:val="center"/>
          </w:tcPr>
          <w:p w14:paraId="04D7C1DD">
            <w:pPr>
              <w:pStyle w:val="182"/>
              <w:ind w:firstLine="0" w:firstLineChars="0"/>
              <w:rPr>
                <w:color w:val="auto"/>
              </w:rPr>
            </w:pPr>
            <w:r>
              <w:rPr>
                <w:rFonts w:hint="eastAsia"/>
              </w:rPr>
              <w:t>原液车间1座，纺丝车间1座，酸站车间1座</w:t>
            </w:r>
          </w:p>
        </w:tc>
      </w:tr>
      <w:tr w14:paraId="5E31670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left w:val="single" w:color="auto" w:sz="6" w:space="0"/>
              <w:right w:val="single" w:color="auto" w:sz="6" w:space="0"/>
            </w:tcBorders>
            <w:vAlign w:val="center"/>
          </w:tcPr>
          <w:p w14:paraId="40F86887">
            <w:pPr>
              <w:pStyle w:val="182"/>
              <w:rPr>
                <w:color w:val="auto"/>
              </w:rPr>
            </w:pPr>
          </w:p>
        </w:tc>
        <w:tc>
          <w:tcPr>
            <w:tcW w:w="516" w:type="dxa"/>
            <w:tcBorders>
              <w:left w:val="single" w:color="auto" w:sz="6" w:space="0"/>
              <w:right w:val="single" w:color="auto" w:sz="6" w:space="0"/>
            </w:tcBorders>
            <w:vAlign w:val="center"/>
          </w:tcPr>
          <w:p w14:paraId="4ABD45B4">
            <w:pPr>
              <w:pStyle w:val="182"/>
              <w:ind w:firstLine="0" w:firstLineChars="0"/>
              <w:rPr>
                <w:rFonts w:hint="eastAsia"/>
                <w:color w:val="auto"/>
              </w:rPr>
            </w:pPr>
            <w:r>
              <w:rPr>
                <w:rFonts w:hint="eastAsia"/>
              </w:rPr>
              <w:t>2</w:t>
            </w:r>
          </w:p>
        </w:tc>
        <w:tc>
          <w:tcPr>
            <w:tcW w:w="1712" w:type="pct"/>
            <w:gridSpan w:val="2"/>
            <w:tcBorders>
              <w:top w:val="single" w:color="auto" w:sz="6" w:space="0"/>
              <w:left w:val="single" w:color="auto" w:sz="6" w:space="0"/>
              <w:bottom w:val="single" w:color="auto" w:sz="6" w:space="0"/>
              <w:right w:val="single" w:color="auto" w:sz="6" w:space="0"/>
            </w:tcBorders>
            <w:vAlign w:val="center"/>
          </w:tcPr>
          <w:p w14:paraId="0F39C3CE">
            <w:pPr>
              <w:pStyle w:val="182"/>
              <w:ind w:firstLine="0" w:firstLineChars="0"/>
              <w:rPr>
                <w:color w:val="auto"/>
              </w:rPr>
            </w:pPr>
            <w:r>
              <w:rPr>
                <w:rFonts w:hint="eastAsia"/>
              </w:rPr>
              <w:t>年产2×2万吨超柔软氨纶纤维项目</w:t>
            </w:r>
          </w:p>
        </w:tc>
        <w:tc>
          <w:tcPr>
            <w:tcW w:w="2609" w:type="pct"/>
            <w:tcBorders>
              <w:top w:val="single" w:color="auto" w:sz="6" w:space="0"/>
              <w:left w:val="single" w:color="auto" w:sz="6" w:space="0"/>
              <w:bottom w:val="single" w:color="auto" w:sz="6" w:space="0"/>
              <w:right w:val="single" w:color="auto" w:sz="8" w:space="0"/>
            </w:tcBorders>
            <w:vAlign w:val="center"/>
          </w:tcPr>
          <w:p w14:paraId="05A57748">
            <w:pPr>
              <w:pStyle w:val="182"/>
              <w:ind w:firstLine="0" w:firstLineChars="0"/>
              <w:rPr>
                <w:color w:val="auto"/>
              </w:rPr>
            </w:pPr>
            <w:r>
              <w:rPr>
                <w:rFonts w:hint="eastAsia"/>
              </w:rPr>
              <w:t>氨纶主车间2座，PTMG罐区2座，DMAC罐区1座，精制区1座</w:t>
            </w:r>
          </w:p>
        </w:tc>
      </w:tr>
      <w:tr w14:paraId="5B4D669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left w:val="single" w:color="auto" w:sz="6" w:space="0"/>
              <w:right w:val="single" w:color="auto" w:sz="6" w:space="0"/>
            </w:tcBorders>
            <w:vAlign w:val="center"/>
          </w:tcPr>
          <w:p w14:paraId="6B21BFA7">
            <w:pPr>
              <w:pStyle w:val="182"/>
              <w:rPr>
                <w:color w:val="auto"/>
              </w:rPr>
            </w:pPr>
          </w:p>
        </w:tc>
        <w:tc>
          <w:tcPr>
            <w:tcW w:w="516" w:type="dxa"/>
            <w:tcBorders>
              <w:left w:val="single" w:color="auto" w:sz="6" w:space="0"/>
              <w:right w:val="single" w:color="auto" w:sz="6" w:space="0"/>
            </w:tcBorders>
            <w:vAlign w:val="center"/>
          </w:tcPr>
          <w:p w14:paraId="3DC9E674">
            <w:pPr>
              <w:pStyle w:val="182"/>
              <w:ind w:firstLine="0" w:firstLineChars="0"/>
              <w:rPr>
                <w:rFonts w:hint="eastAsia"/>
                <w:color w:val="auto"/>
              </w:rPr>
            </w:pPr>
            <w:r>
              <w:rPr>
                <w:rFonts w:hint="eastAsia"/>
              </w:rPr>
              <w:t>3</w:t>
            </w:r>
          </w:p>
        </w:tc>
        <w:tc>
          <w:tcPr>
            <w:tcW w:w="1712" w:type="pct"/>
            <w:gridSpan w:val="2"/>
            <w:tcBorders>
              <w:top w:val="single" w:color="auto" w:sz="6" w:space="0"/>
              <w:left w:val="single" w:color="auto" w:sz="6" w:space="0"/>
              <w:bottom w:val="single" w:color="auto" w:sz="6" w:space="0"/>
              <w:right w:val="single" w:color="auto" w:sz="6" w:space="0"/>
            </w:tcBorders>
            <w:vAlign w:val="center"/>
          </w:tcPr>
          <w:p w14:paraId="300229D3">
            <w:pPr>
              <w:pStyle w:val="182"/>
              <w:ind w:firstLine="0" w:firstLineChars="0"/>
              <w:rPr>
                <w:color w:val="auto"/>
              </w:rPr>
            </w:pPr>
            <w:r>
              <w:rPr>
                <w:rFonts w:hint="eastAsia"/>
              </w:rPr>
              <w:t>新建2×170t/h蒸汽锅炉项目</w:t>
            </w:r>
          </w:p>
        </w:tc>
        <w:tc>
          <w:tcPr>
            <w:tcW w:w="2609" w:type="pct"/>
            <w:tcBorders>
              <w:top w:val="single" w:color="auto" w:sz="6" w:space="0"/>
              <w:left w:val="single" w:color="auto" w:sz="6" w:space="0"/>
              <w:bottom w:val="single" w:color="auto" w:sz="6" w:space="0"/>
              <w:right w:val="single" w:color="auto" w:sz="8" w:space="0"/>
            </w:tcBorders>
            <w:vAlign w:val="center"/>
          </w:tcPr>
          <w:p w14:paraId="2DC30090">
            <w:pPr>
              <w:pStyle w:val="182"/>
              <w:ind w:firstLine="0" w:firstLineChars="0"/>
              <w:rPr>
                <w:color w:val="auto"/>
              </w:rPr>
            </w:pPr>
            <w:r>
              <w:t>2</w:t>
            </w:r>
            <w:r>
              <w:rPr>
                <w:rFonts w:hint="eastAsia"/>
              </w:rPr>
              <w:t>台170t/h高温高压煤粉炉</w:t>
            </w:r>
          </w:p>
        </w:tc>
      </w:tr>
      <w:tr w14:paraId="6A64EB4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left w:val="single" w:color="auto" w:sz="6" w:space="0"/>
              <w:right w:val="single" w:color="auto" w:sz="6" w:space="0"/>
            </w:tcBorders>
            <w:vAlign w:val="center"/>
          </w:tcPr>
          <w:p w14:paraId="0D05670C">
            <w:pPr>
              <w:pStyle w:val="182"/>
              <w:rPr>
                <w:color w:val="auto"/>
              </w:rPr>
            </w:pPr>
          </w:p>
        </w:tc>
        <w:tc>
          <w:tcPr>
            <w:tcW w:w="516" w:type="dxa"/>
            <w:tcBorders>
              <w:left w:val="single" w:color="auto" w:sz="6" w:space="0"/>
              <w:right w:val="single" w:color="auto" w:sz="6" w:space="0"/>
            </w:tcBorders>
            <w:vAlign w:val="center"/>
          </w:tcPr>
          <w:p w14:paraId="31B4BD65">
            <w:pPr>
              <w:pStyle w:val="182"/>
              <w:ind w:firstLine="0" w:firstLineChars="0"/>
              <w:rPr>
                <w:rFonts w:hint="eastAsia"/>
                <w:color w:val="auto"/>
              </w:rPr>
            </w:pPr>
            <w:r>
              <w:rPr>
                <w:rFonts w:hint="eastAsia"/>
              </w:rPr>
              <w:t>4</w:t>
            </w:r>
          </w:p>
        </w:tc>
        <w:tc>
          <w:tcPr>
            <w:tcW w:w="1712" w:type="pct"/>
            <w:gridSpan w:val="2"/>
            <w:tcBorders>
              <w:top w:val="single" w:color="auto" w:sz="6" w:space="0"/>
              <w:left w:val="single" w:color="auto" w:sz="6" w:space="0"/>
              <w:bottom w:val="single" w:color="auto" w:sz="6" w:space="0"/>
              <w:right w:val="single" w:color="auto" w:sz="6" w:space="0"/>
            </w:tcBorders>
            <w:vAlign w:val="center"/>
          </w:tcPr>
          <w:p w14:paraId="0FD65D3F">
            <w:pPr>
              <w:pStyle w:val="182"/>
              <w:ind w:firstLine="0" w:firstLineChars="0"/>
              <w:rPr>
                <w:color w:val="auto"/>
              </w:rPr>
            </w:pPr>
            <w:r>
              <w:rPr>
                <w:rFonts w:hint="eastAsia"/>
              </w:rPr>
              <w:t>年产2万吨超细旦氨纶纤维项目</w:t>
            </w:r>
          </w:p>
        </w:tc>
        <w:tc>
          <w:tcPr>
            <w:tcW w:w="2609" w:type="pct"/>
            <w:tcBorders>
              <w:top w:val="single" w:color="auto" w:sz="6" w:space="0"/>
              <w:left w:val="single" w:color="auto" w:sz="6" w:space="0"/>
              <w:bottom w:val="single" w:color="auto" w:sz="6" w:space="0"/>
              <w:right w:val="single" w:color="auto" w:sz="8" w:space="0"/>
            </w:tcBorders>
            <w:vAlign w:val="center"/>
          </w:tcPr>
          <w:p w14:paraId="45512D39">
            <w:pPr>
              <w:pStyle w:val="182"/>
              <w:ind w:firstLine="0" w:firstLineChars="0"/>
              <w:rPr>
                <w:color w:val="auto"/>
              </w:rPr>
            </w:pPr>
            <w:r>
              <w:rPr>
                <w:rFonts w:hint="eastAsia"/>
              </w:rPr>
              <w:t>氨纶主车间1座，仓库1座，PTMG罐区1座，DMAC罐区1座，精制区1座</w:t>
            </w:r>
          </w:p>
        </w:tc>
      </w:tr>
      <w:tr w14:paraId="2DF27CB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left w:val="single" w:color="auto" w:sz="6" w:space="0"/>
              <w:right w:val="single" w:color="auto" w:sz="6" w:space="0"/>
            </w:tcBorders>
            <w:vAlign w:val="center"/>
          </w:tcPr>
          <w:p w14:paraId="56931167">
            <w:pPr>
              <w:pStyle w:val="182"/>
              <w:rPr>
                <w:color w:val="auto"/>
              </w:rPr>
            </w:pPr>
          </w:p>
        </w:tc>
        <w:tc>
          <w:tcPr>
            <w:tcW w:w="516" w:type="dxa"/>
            <w:tcBorders>
              <w:left w:val="single" w:color="auto" w:sz="6" w:space="0"/>
              <w:right w:val="single" w:color="auto" w:sz="6" w:space="0"/>
            </w:tcBorders>
            <w:vAlign w:val="center"/>
          </w:tcPr>
          <w:p w14:paraId="59F36C25">
            <w:pPr>
              <w:pStyle w:val="182"/>
              <w:ind w:firstLine="0" w:firstLineChars="0"/>
              <w:rPr>
                <w:rFonts w:hint="eastAsia"/>
                <w:color w:val="auto"/>
              </w:rPr>
            </w:pPr>
            <w:r>
              <w:rPr>
                <w:rFonts w:hint="eastAsia"/>
              </w:rPr>
              <w:t>5</w:t>
            </w:r>
          </w:p>
        </w:tc>
        <w:tc>
          <w:tcPr>
            <w:tcW w:w="1712" w:type="pct"/>
            <w:gridSpan w:val="2"/>
            <w:tcBorders>
              <w:top w:val="single" w:color="auto" w:sz="6" w:space="0"/>
              <w:left w:val="single" w:color="auto" w:sz="6" w:space="0"/>
              <w:bottom w:val="single" w:color="auto" w:sz="6" w:space="0"/>
              <w:right w:val="single" w:color="auto" w:sz="6" w:space="0"/>
            </w:tcBorders>
            <w:vAlign w:val="center"/>
          </w:tcPr>
          <w:p w14:paraId="762FD166">
            <w:pPr>
              <w:pStyle w:val="182"/>
              <w:ind w:firstLine="0" w:firstLineChars="0"/>
              <w:rPr>
                <w:color w:val="auto"/>
              </w:rPr>
            </w:pPr>
            <w:r>
              <w:rPr>
                <w:rFonts w:hint="eastAsia"/>
              </w:rPr>
              <w:t>年产一万吨新型纤维素长丝项目</w:t>
            </w:r>
          </w:p>
        </w:tc>
        <w:tc>
          <w:tcPr>
            <w:tcW w:w="2609" w:type="pct"/>
            <w:tcBorders>
              <w:top w:val="single" w:color="auto" w:sz="6" w:space="0"/>
              <w:left w:val="single" w:color="auto" w:sz="6" w:space="0"/>
              <w:bottom w:val="single" w:color="auto" w:sz="6" w:space="0"/>
              <w:right w:val="single" w:color="auto" w:sz="8" w:space="0"/>
            </w:tcBorders>
            <w:vAlign w:val="center"/>
          </w:tcPr>
          <w:p w14:paraId="6AED328B">
            <w:pPr>
              <w:pStyle w:val="182"/>
              <w:ind w:firstLine="0" w:firstLineChars="0"/>
              <w:rPr>
                <w:color w:val="auto"/>
              </w:rPr>
            </w:pPr>
            <w:r>
              <w:rPr>
                <w:rFonts w:hint="eastAsia"/>
              </w:rPr>
              <w:t>新建酸站、纺丝车间2座，原液车间、硫酸罐区、NaOH罐区均依托现有</w:t>
            </w:r>
          </w:p>
        </w:tc>
      </w:tr>
      <w:tr w14:paraId="1B7C638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left w:val="single" w:color="auto" w:sz="6" w:space="0"/>
              <w:right w:val="single" w:color="auto" w:sz="6" w:space="0"/>
            </w:tcBorders>
            <w:vAlign w:val="center"/>
          </w:tcPr>
          <w:p w14:paraId="3541FF79">
            <w:pPr>
              <w:pStyle w:val="182"/>
              <w:rPr>
                <w:color w:val="auto"/>
              </w:rPr>
            </w:pPr>
          </w:p>
        </w:tc>
        <w:tc>
          <w:tcPr>
            <w:tcW w:w="516" w:type="dxa"/>
            <w:tcBorders>
              <w:left w:val="single" w:color="auto" w:sz="6" w:space="0"/>
              <w:right w:val="single" w:color="auto" w:sz="6" w:space="0"/>
            </w:tcBorders>
            <w:vAlign w:val="center"/>
          </w:tcPr>
          <w:p w14:paraId="6686ED32">
            <w:pPr>
              <w:pStyle w:val="182"/>
              <w:ind w:firstLine="0" w:firstLineChars="0"/>
              <w:rPr>
                <w:rFonts w:hint="eastAsia"/>
                <w:color w:val="auto"/>
              </w:rPr>
            </w:pPr>
            <w:r>
              <w:rPr>
                <w:rFonts w:hint="eastAsia"/>
              </w:rPr>
              <w:t>6</w:t>
            </w:r>
          </w:p>
        </w:tc>
        <w:tc>
          <w:tcPr>
            <w:tcW w:w="1712" w:type="pct"/>
            <w:gridSpan w:val="2"/>
            <w:tcBorders>
              <w:top w:val="single" w:color="auto" w:sz="6" w:space="0"/>
              <w:left w:val="single" w:color="auto" w:sz="6" w:space="0"/>
              <w:bottom w:val="single" w:color="auto" w:sz="6" w:space="0"/>
              <w:right w:val="single" w:color="auto" w:sz="6" w:space="0"/>
            </w:tcBorders>
            <w:vAlign w:val="center"/>
          </w:tcPr>
          <w:p w14:paraId="5B68376F">
            <w:pPr>
              <w:pStyle w:val="182"/>
              <w:ind w:firstLine="0" w:firstLineChars="0"/>
              <w:rPr>
                <w:color w:val="auto"/>
              </w:rPr>
            </w:pPr>
            <w:r>
              <w:rPr>
                <w:rFonts w:hint="eastAsia"/>
              </w:rPr>
              <w:t>年产2×2万吨超细旦氨纶纤维项目</w:t>
            </w:r>
          </w:p>
        </w:tc>
        <w:tc>
          <w:tcPr>
            <w:tcW w:w="2609" w:type="pct"/>
            <w:tcBorders>
              <w:top w:val="single" w:color="auto" w:sz="6" w:space="0"/>
              <w:left w:val="single" w:color="auto" w:sz="6" w:space="0"/>
              <w:bottom w:val="single" w:color="auto" w:sz="6" w:space="0"/>
              <w:right w:val="single" w:color="auto" w:sz="8" w:space="0"/>
            </w:tcBorders>
            <w:vAlign w:val="center"/>
          </w:tcPr>
          <w:p w14:paraId="1ACD6CD6">
            <w:pPr>
              <w:pStyle w:val="182"/>
              <w:ind w:firstLine="0" w:firstLineChars="0"/>
              <w:rPr>
                <w:color w:val="auto"/>
              </w:rPr>
            </w:pPr>
            <w:r>
              <w:rPr>
                <w:rFonts w:hint="eastAsia"/>
              </w:rPr>
              <w:t>氨纶主车间2座，仓库1座；</w:t>
            </w:r>
          </w:p>
        </w:tc>
      </w:tr>
      <w:tr w14:paraId="6DDF4E3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left w:val="single" w:color="auto" w:sz="6" w:space="0"/>
              <w:right w:val="single" w:color="auto" w:sz="6" w:space="0"/>
            </w:tcBorders>
            <w:vAlign w:val="center"/>
          </w:tcPr>
          <w:p w14:paraId="2C789552">
            <w:pPr>
              <w:pStyle w:val="182"/>
              <w:rPr>
                <w:color w:val="auto"/>
              </w:rPr>
            </w:pPr>
          </w:p>
        </w:tc>
        <w:tc>
          <w:tcPr>
            <w:tcW w:w="516" w:type="dxa"/>
            <w:tcBorders>
              <w:left w:val="single" w:color="auto" w:sz="6" w:space="0"/>
              <w:right w:val="single" w:color="auto" w:sz="6" w:space="0"/>
            </w:tcBorders>
            <w:vAlign w:val="center"/>
          </w:tcPr>
          <w:p w14:paraId="69CDF260">
            <w:pPr>
              <w:pStyle w:val="182"/>
              <w:ind w:firstLine="0" w:firstLineChars="0"/>
              <w:rPr>
                <w:rFonts w:hint="eastAsia"/>
                <w:color w:val="auto"/>
              </w:rPr>
            </w:pPr>
            <w:r>
              <w:rPr>
                <w:rFonts w:hint="eastAsia"/>
              </w:rPr>
              <w:t>7</w:t>
            </w:r>
          </w:p>
        </w:tc>
        <w:tc>
          <w:tcPr>
            <w:tcW w:w="1712" w:type="pct"/>
            <w:gridSpan w:val="2"/>
            <w:tcBorders>
              <w:top w:val="single" w:color="auto" w:sz="6" w:space="0"/>
              <w:left w:val="single" w:color="auto" w:sz="6" w:space="0"/>
              <w:bottom w:val="single" w:color="auto" w:sz="6" w:space="0"/>
              <w:right w:val="single" w:color="auto" w:sz="6" w:space="0"/>
            </w:tcBorders>
            <w:vAlign w:val="center"/>
          </w:tcPr>
          <w:p w14:paraId="3B708FE2">
            <w:pPr>
              <w:pStyle w:val="182"/>
              <w:ind w:firstLine="0" w:firstLineChars="0"/>
              <w:rPr>
                <w:color w:val="auto"/>
              </w:rPr>
            </w:pPr>
            <w:r>
              <w:rPr>
                <w:rFonts w:hint="eastAsia"/>
              </w:rPr>
              <w:t>年产2万吨生物质纤维素项目</w:t>
            </w:r>
          </w:p>
        </w:tc>
        <w:tc>
          <w:tcPr>
            <w:tcW w:w="2609" w:type="pct"/>
            <w:tcBorders>
              <w:top w:val="single" w:color="auto" w:sz="6" w:space="0"/>
              <w:left w:val="single" w:color="auto" w:sz="6" w:space="0"/>
              <w:bottom w:val="single" w:color="auto" w:sz="6" w:space="0"/>
              <w:right w:val="single" w:color="auto" w:sz="8" w:space="0"/>
            </w:tcBorders>
            <w:vAlign w:val="center"/>
          </w:tcPr>
          <w:p w14:paraId="1FD17B00">
            <w:pPr>
              <w:pStyle w:val="182"/>
              <w:ind w:firstLine="0" w:firstLineChars="0"/>
              <w:rPr>
                <w:color w:val="auto"/>
              </w:rPr>
            </w:pPr>
            <w:r>
              <w:rPr>
                <w:rFonts w:hint="eastAsia"/>
              </w:rPr>
              <w:t>一期：纺丝车间2座，成品仓库1座，原液车间、酸站、硫酸罐区、NaOH罐区均依托现有</w:t>
            </w:r>
          </w:p>
        </w:tc>
      </w:tr>
      <w:tr w14:paraId="349E083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left w:val="single" w:color="auto" w:sz="6" w:space="0"/>
              <w:right w:val="single" w:color="auto" w:sz="6" w:space="0"/>
            </w:tcBorders>
            <w:vAlign w:val="center"/>
          </w:tcPr>
          <w:p w14:paraId="080CF895">
            <w:pPr>
              <w:pStyle w:val="182"/>
              <w:rPr>
                <w:color w:val="auto"/>
              </w:rPr>
            </w:pPr>
          </w:p>
        </w:tc>
        <w:tc>
          <w:tcPr>
            <w:tcW w:w="516" w:type="dxa"/>
            <w:tcBorders>
              <w:left w:val="single" w:color="auto" w:sz="6" w:space="0"/>
              <w:right w:val="single" w:color="auto" w:sz="6" w:space="0"/>
            </w:tcBorders>
            <w:vAlign w:val="center"/>
          </w:tcPr>
          <w:p w14:paraId="0AA9CA07">
            <w:pPr>
              <w:pStyle w:val="182"/>
              <w:ind w:firstLine="0" w:firstLineChars="0"/>
              <w:rPr>
                <w:rFonts w:hint="eastAsia"/>
                <w:color w:val="auto"/>
              </w:rPr>
            </w:pPr>
            <w:r>
              <w:rPr>
                <w:rFonts w:hint="eastAsia"/>
              </w:rPr>
              <w:t>8</w:t>
            </w:r>
          </w:p>
        </w:tc>
        <w:tc>
          <w:tcPr>
            <w:tcW w:w="1712" w:type="pct"/>
            <w:gridSpan w:val="2"/>
            <w:tcBorders>
              <w:top w:val="single" w:color="auto" w:sz="6" w:space="0"/>
              <w:left w:val="single" w:color="auto" w:sz="6" w:space="0"/>
              <w:bottom w:val="single" w:color="auto" w:sz="6" w:space="0"/>
              <w:right w:val="single" w:color="auto" w:sz="6" w:space="0"/>
            </w:tcBorders>
            <w:vAlign w:val="center"/>
          </w:tcPr>
          <w:p w14:paraId="5034F4F9">
            <w:pPr>
              <w:pStyle w:val="182"/>
              <w:ind w:firstLine="0" w:firstLineChars="0"/>
              <w:rPr>
                <w:color w:val="auto"/>
              </w:rPr>
            </w:pPr>
            <w:r>
              <w:rPr>
                <w:rFonts w:hint="eastAsia"/>
              </w:rPr>
              <w:t>年产10万吨高品质超细旦氨纶纤维</w:t>
            </w:r>
          </w:p>
        </w:tc>
        <w:tc>
          <w:tcPr>
            <w:tcW w:w="2609" w:type="pct"/>
            <w:tcBorders>
              <w:top w:val="single" w:color="auto" w:sz="6" w:space="0"/>
              <w:left w:val="single" w:color="auto" w:sz="6" w:space="0"/>
              <w:bottom w:val="single" w:color="auto" w:sz="6" w:space="0"/>
              <w:right w:val="single" w:color="auto" w:sz="8" w:space="0"/>
            </w:tcBorders>
            <w:vAlign w:val="center"/>
          </w:tcPr>
          <w:p w14:paraId="78AF9D8B">
            <w:pPr>
              <w:pStyle w:val="182"/>
            </w:pPr>
            <w:r>
              <w:rPr>
                <w:rFonts w:hint="eastAsia"/>
              </w:rPr>
              <w:t>一期、二期：氨纶主车间2座，PTMG罐区8座，MDI罐区4座</w:t>
            </w:r>
          </w:p>
          <w:p w14:paraId="2E8AD49A">
            <w:pPr>
              <w:pStyle w:val="182"/>
              <w:ind w:firstLine="0" w:firstLineChars="0"/>
              <w:rPr>
                <w:color w:val="auto"/>
              </w:rPr>
            </w:pPr>
            <w:r>
              <w:rPr>
                <w:rFonts w:hint="eastAsia"/>
              </w:rPr>
              <w:t>三期工程：氨纶车间2座，立体仓库一座，PTMG储罐6座，MDI储罐2座</w:t>
            </w:r>
          </w:p>
        </w:tc>
      </w:tr>
      <w:tr w14:paraId="003D560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left w:val="single" w:color="auto" w:sz="6" w:space="0"/>
              <w:right w:val="single" w:color="auto" w:sz="6" w:space="0"/>
            </w:tcBorders>
            <w:vAlign w:val="center"/>
          </w:tcPr>
          <w:p w14:paraId="5FB9F0AF">
            <w:pPr>
              <w:pStyle w:val="182"/>
              <w:rPr>
                <w:color w:val="auto"/>
              </w:rPr>
            </w:pPr>
          </w:p>
        </w:tc>
        <w:tc>
          <w:tcPr>
            <w:tcW w:w="516" w:type="dxa"/>
            <w:tcBorders>
              <w:left w:val="single" w:color="auto" w:sz="6" w:space="0"/>
              <w:right w:val="single" w:color="auto" w:sz="6" w:space="0"/>
            </w:tcBorders>
            <w:vAlign w:val="center"/>
          </w:tcPr>
          <w:p w14:paraId="68A85685">
            <w:pPr>
              <w:pStyle w:val="182"/>
              <w:ind w:firstLine="0" w:firstLineChars="0"/>
              <w:rPr>
                <w:rFonts w:hint="eastAsia"/>
                <w:color w:val="auto"/>
              </w:rPr>
            </w:pPr>
            <w:r>
              <w:rPr>
                <w:rFonts w:hint="eastAsia"/>
              </w:rPr>
              <w:t>9</w:t>
            </w:r>
          </w:p>
        </w:tc>
        <w:tc>
          <w:tcPr>
            <w:tcW w:w="1712" w:type="pct"/>
            <w:gridSpan w:val="2"/>
            <w:tcBorders>
              <w:top w:val="single" w:color="auto" w:sz="6" w:space="0"/>
              <w:left w:val="single" w:color="auto" w:sz="6" w:space="0"/>
              <w:bottom w:val="single" w:color="auto" w:sz="6" w:space="0"/>
              <w:right w:val="single" w:color="auto" w:sz="6" w:space="0"/>
            </w:tcBorders>
            <w:vAlign w:val="center"/>
          </w:tcPr>
          <w:p w14:paraId="26FE55F5">
            <w:pPr>
              <w:pStyle w:val="182"/>
              <w:ind w:firstLine="0" w:firstLineChars="0"/>
              <w:rPr>
                <w:rFonts w:hint="eastAsia"/>
                <w:color w:val="auto"/>
              </w:rPr>
            </w:pPr>
            <w:r>
              <w:rPr>
                <w:rFonts w:hint="eastAsia"/>
                <w:bCs/>
                <w:color w:val="auto"/>
              </w:rPr>
              <w:t>年产六千吨再生氨纶纤维项目</w:t>
            </w:r>
          </w:p>
        </w:tc>
        <w:tc>
          <w:tcPr>
            <w:tcW w:w="2609" w:type="pct"/>
            <w:tcBorders>
              <w:top w:val="single" w:color="auto" w:sz="6" w:space="0"/>
              <w:left w:val="single" w:color="auto" w:sz="6" w:space="0"/>
              <w:bottom w:val="single" w:color="auto" w:sz="6" w:space="0"/>
              <w:right w:val="single" w:color="auto" w:sz="8" w:space="0"/>
            </w:tcBorders>
            <w:vAlign w:val="center"/>
          </w:tcPr>
          <w:p w14:paraId="1DCFEDCD">
            <w:pPr>
              <w:pStyle w:val="182"/>
              <w:ind w:firstLine="0" w:firstLineChars="0"/>
              <w:rPr>
                <w:rFonts w:hint="eastAsia"/>
                <w:color w:val="auto"/>
              </w:rPr>
            </w:pPr>
            <w:r>
              <w:rPr>
                <w:rFonts w:hint="eastAsia"/>
                <w:bCs/>
                <w:color w:val="auto"/>
              </w:rPr>
              <w:t>再生氨纶主车间1座，依托现有DMAC罐区1座，依托现有精制区1座</w:t>
            </w:r>
          </w:p>
        </w:tc>
      </w:tr>
      <w:tr w14:paraId="0A9EC2E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374" w:type="pct"/>
            <w:vMerge w:val="restart"/>
            <w:tcBorders>
              <w:top w:val="single" w:color="auto" w:sz="4" w:space="0"/>
              <w:left w:val="single" w:color="auto" w:sz="6" w:space="0"/>
              <w:right w:val="single" w:color="auto" w:sz="6" w:space="0"/>
            </w:tcBorders>
            <w:vAlign w:val="center"/>
          </w:tcPr>
          <w:p w14:paraId="68D1DDB9">
            <w:pPr>
              <w:pStyle w:val="182"/>
              <w:rPr>
                <w:color w:val="auto"/>
              </w:rPr>
            </w:pPr>
            <w:r>
              <w:rPr>
                <w:rFonts w:hint="eastAsia"/>
                <w:color w:val="auto"/>
              </w:rPr>
              <w:t>公用工程</w:t>
            </w:r>
          </w:p>
        </w:tc>
        <w:tc>
          <w:tcPr>
            <w:tcW w:w="516" w:type="dxa"/>
            <w:tcBorders>
              <w:top w:val="single" w:color="auto" w:sz="6" w:space="0"/>
              <w:left w:val="single" w:color="auto" w:sz="6" w:space="0"/>
              <w:right w:val="single" w:color="auto" w:sz="6" w:space="0"/>
            </w:tcBorders>
            <w:vAlign w:val="center"/>
          </w:tcPr>
          <w:p w14:paraId="5E9EFF35">
            <w:pPr>
              <w:pStyle w:val="182"/>
              <w:ind w:firstLine="0" w:firstLineChars="0"/>
              <w:rPr>
                <w:rFonts w:hint="eastAsia"/>
                <w:color w:val="auto"/>
              </w:rPr>
            </w:pPr>
            <w:r>
              <w:rPr>
                <w:rFonts w:hint="eastAsia"/>
              </w:rPr>
              <w:t>1</w:t>
            </w:r>
            <w:r>
              <w:rPr>
                <w:rFonts w:hint="eastAsia"/>
                <w:lang w:val="en-US" w:eastAsia="zh-CN"/>
              </w:rPr>
              <w:t>0</w:t>
            </w:r>
          </w:p>
        </w:tc>
        <w:tc>
          <w:tcPr>
            <w:tcW w:w="1712" w:type="pct"/>
            <w:gridSpan w:val="2"/>
            <w:tcBorders>
              <w:top w:val="single" w:color="auto" w:sz="6" w:space="0"/>
              <w:left w:val="single" w:color="auto" w:sz="6" w:space="0"/>
              <w:bottom w:val="single" w:color="auto" w:sz="6" w:space="0"/>
              <w:right w:val="single" w:color="auto" w:sz="6" w:space="0"/>
            </w:tcBorders>
            <w:vAlign w:val="center"/>
          </w:tcPr>
          <w:p w14:paraId="2637F199">
            <w:pPr>
              <w:pStyle w:val="182"/>
              <w:ind w:firstLine="0" w:firstLineChars="0"/>
              <w:rPr>
                <w:color w:val="auto"/>
              </w:rPr>
            </w:pPr>
            <w:r>
              <w:rPr>
                <w:rFonts w:hint="eastAsia"/>
              </w:rPr>
              <w:t>排水</w:t>
            </w:r>
          </w:p>
        </w:tc>
        <w:tc>
          <w:tcPr>
            <w:tcW w:w="2609" w:type="pct"/>
            <w:tcBorders>
              <w:top w:val="single" w:color="auto" w:sz="6" w:space="0"/>
              <w:left w:val="single" w:color="auto" w:sz="6" w:space="0"/>
              <w:bottom w:val="single" w:color="auto" w:sz="6" w:space="0"/>
              <w:right w:val="single" w:color="auto" w:sz="8" w:space="0"/>
            </w:tcBorders>
            <w:vAlign w:val="center"/>
          </w:tcPr>
          <w:p w14:paraId="78BC464E">
            <w:pPr>
              <w:pStyle w:val="182"/>
              <w:ind w:firstLine="0" w:firstLineChars="0"/>
              <w:rPr>
                <w:color w:val="auto"/>
              </w:rPr>
            </w:pPr>
            <w:r>
              <w:rPr>
                <w:rFonts w:hint="eastAsia"/>
              </w:rPr>
              <w:t>厂区废水经现有厂区污水处理站（处理规模3</w:t>
            </w:r>
            <w:r>
              <w:t>.8</w:t>
            </w:r>
            <w:r>
              <w:rPr>
                <w:rFonts w:hint="eastAsia"/>
              </w:rPr>
              <w:t>万t</w:t>
            </w:r>
            <w:r>
              <w:t>/d</w:t>
            </w:r>
            <w:r>
              <w:rPr>
                <w:rFonts w:hint="eastAsia"/>
              </w:rPr>
              <w:t>）处理达标后通过污水管网排入小店污水处理厂进行处理，污水处理厂尾水排入大沙河</w:t>
            </w:r>
          </w:p>
        </w:tc>
      </w:tr>
      <w:tr w14:paraId="00D0812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374" w:type="pct"/>
            <w:vMerge w:val="continue"/>
            <w:tcBorders>
              <w:left w:val="single" w:color="auto" w:sz="6" w:space="0"/>
              <w:right w:val="single" w:color="auto" w:sz="6" w:space="0"/>
            </w:tcBorders>
            <w:vAlign w:val="center"/>
          </w:tcPr>
          <w:p w14:paraId="02C66CE2">
            <w:pPr>
              <w:pStyle w:val="182"/>
              <w:rPr>
                <w:color w:val="auto"/>
              </w:rPr>
            </w:pPr>
          </w:p>
        </w:tc>
        <w:tc>
          <w:tcPr>
            <w:tcW w:w="516" w:type="dxa"/>
            <w:tcBorders>
              <w:left w:val="single" w:color="auto" w:sz="6" w:space="0"/>
              <w:right w:val="single" w:color="auto" w:sz="6" w:space="0"/>
            </w:tcBorders>
            <w:vAlign w:val="center"/>
          </w:tcPr>
          <w:p w14:paraId="110CA224">
            <w:pPr>
              <w:pStyle w:val="182"/>
              <w:ind w:firstLine="0" w:firstLineChars="0"/>
              <w:rPr>
                <w:rFonts w:hint="eastAsia"/>
                <w:color w:val="auto"/>
              </w:rPr>
            </w:pPr>
            <w:r>
              <w:rPr>
                <w:rFonts w:hint="eastAsia"/>
                <w:lang w:val="en-US" w:eastAsia="zh-CN"/>
              </w:rPr>
              <w:t>11</w:t>
            </w:r>
          </w:p>
        </w:tc>
        <w:tc>
          <w:tcPr>
            <w:tcW w:w="1712" w:type="pct"/>
            <w:gridSpan w:val="2"/>
            <w:tcBorders>
              <w:top w:val="single" w:color="auto" w:sz="6" w:space="0"/>
              <w:left w:val="single" w:color="auto" w:sz="6" w:space="0"/>
              <w:bottom w:val="single" w:color="auto" w:sz="6" w:space="0"/>
              <w:right w:val="single" w:color="auto" w:sz="6" w:space="0"/>
            </w:tcBorders>
            <w:vAlign w:val="center"/>
          </w:tcPr>
          <w:p w14:paraId="362F3C0E">
            <w:pPr>
              <w:pStyle w:val="182"/>
              <w:ind w:firstLine="0" w:firstLineChars="0"/>
              <w:rPr>
                <w:color w:val="auto"/>
              </w:rPr>
            </w:pPr>
            <w:r>
              <w:rPr>
                <w:rFonts w:hint="eastAsia"/>
              </w:rPr>
              <w:t>供电</w:t>
            </w:r>
          </w:p>
        </w:tc>
        <w:tc>
          <w:tcPr>
            <w:tcW w:w="2609" w:type="pct"/>
            <w:tcBorders>
              <w:top w:val="single" w:color="auto" w:sz="6" w:space="0"/>
              <w:left w:val="single" w:color="auto" w:sz="6" w:space="0"/>
              <w:bottom w:val="single" w:color="auto" w:sz="6" w:space="0"/>
              <w:right w:val="single" w:color="auto" w:sz="8" w:space="0"/>
            </w:tcBorders>
            <w:vAlign w:val="center"/>
          </w:tcPr>
          <w:p w14:paraId="496450E9">
            <w:pPr>
              <w:pStyle w:val="182"/>
              <w:ind w:firstLine="0" w:firstLineChars="0"/>
              <w:rPr>
                <w:color w:val="auto"/>
              </w:rPr>
            </w:pPr>
            <w:r>
              <w:rPr>
                <w:rFonts w:hint="eastAsia"/>
              </w:rPr>
              <w:t>由园区统一供给，厂内配套变压器</w:t>
            </w:r>
          </w:p>
        </w:tc>
      </w:tr>
      <w:tr w14:paraId="7174141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374" w:type="pct"/>
            <w:vMerge w:val="continue"/>
            <w:tcBorders>
              <w:left w:val="single" w:color="auto" w:sz="6" w:space="0"/>
              <w:right w:val="single" w:color="auto" w:sz="6" w:space="0"/>
            </w:tcBorders>
            <w:vAlign w:val="center"/>
          </w:tcPr>
          <w:p w14:paraId="258AC0BC">
            <w:pPr>
              <w:pStyle w:val="182"/>
              <w:rPr>
                <w:color w:val="auto"/>
              </w:rPr>
            </w:pPr>
          </w:p>
        </w:tc>
        <w:tc>
          <w:tcPr>
            <w:tcW w:w="516" w:type="dxa"/>
            <w:tcBorders>
              <w:left w:val="single" w:color="auto" w:sz="6" w:space="0"/>
              <w:right w:val="single" w:color="auto" w:sz="6" w:space="0"/>
            </w:tcBorders>
            <w:vAlign w:val="center"/>
          </w:tcPr>
          <w:p w14:paraId="1721E91B">
            <w:pPr>
              <w:pStyle w:val="182"/>
              <w:ind w:firstLine="0" w:firstLineChars="0"/>
              <w:rPr>
                <w:rFonts w:hint="eastAsia"/>
                <w:color w:val="auto"/>
              </w:rPr>
            </w:pPr>
            <w:r>
              <w:rPr>
                <w:rFonts w:hint="eastAsia"/>
                <w:lang w:val="en-US" w:eastAsia="zh-CN"/>
              </w:rPr>
              <w:t>12</w:t>
            </w:r>
          </w:p>
        </w:tc>
        <w:tc>
          <w:tcPr>
            <w:tcW w:w="1712" w:type="pct"/>
            <w:gridSpan w:val="2"/>
            <w:tcBorders>
              <w:top w:val="single" w:color="auto" w:sz="6" w:space="0"/>
              <w:left w:val="single" w:color="auto" w:sz="6" w:space="0"/>
              <w:bottom w:val="single" w:color="auto" w:sz="6" w:space="0"/>
              <w:right w:val="single" w:color="auto" w:sz="6" w:space="0"/>
            </w:tcBorders>
            <w:vAlign w:val="center"/>
          </w:tcPr>
          <w:p w14:paraId="42ABEFB5">
            <w:pPr>
              <w:pStyle w:val="182"/>
              <w:ind w:firstLine="0" w:firstLineChars="0"/>
              <w:rPr>
                <w:color w:val="auto"/>
              </w:rPr>
            </w:pPr>
            <w:r>
              <w:rPr>
                <w:rFonts w:hint="eastAsia"/>
              </w:rPr>
              <w:t>脱盐水</w:t>
            </w:r>
          </w:p>
        </w:tc>
        <w:tc>
          <w:tcPr>
            <w:tcW w:w="2609" w:type="pct"/>
            <w:tcBorders>
              <w:top w:val="single" w:color="auto" w:sz="6" w:space="0"/>
              <w:left w:val="single" w:color="auto" w:sz="6" w:space="0"/>
              <w:bottom w:val="single" w:color="auto" w:sz="6" w:space="0"/>
              <w:right w:val="single" w:color="auto" w:sz="8" w:space="0"/>
            </w:tcBorders>
            <w:vAlign w:val="center"/>
          </w:tcPr>
          <w:p w14:paraId="4CFFD32A">
            <w:pPr>
              <w:pStyle w:val="182"/>
              <w:ind w:firstLine="0" w:firstLineChars="0"/>
              <w:rPr>
                <w:color w:val="auto"/>
              </w:rPr>
            </w:pPr>
            <w:r>
              <w:rPr>
                <w:rFonts w:hint="eastAsia"/>
              </w:rPr>
              <w:t>厂区建设有1座总制备能力为800m</w:t>
            </w:r>
            <w:r>
              <w:rPr>
                <w:rFonts w:hint="eastAsia"/>
                <w:vertAlign w:val="superscript"/>
              </w:rPr>
              <w:t>3</w:t>
            </w:r>
            <w:r>
              <w:rPr>
                <w:rFonts w:hint="eastAsia"/>
              </w:rPr>
              <w:t>/h的脱盐水供水站，脱盐水供水站为全厂项目提供脱盐水</w:t>
            </w:r>
          </w:p>
        </w:tc>
      </w:tr>
      <w:tr w14:paraId="07633FF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374" w:type="pct"/>
            <w:vMerge w:val="continue"/>
            <w:tcBorders>
              <w:left w:val="single" w:color="auto" w:sz="6" w:space="0"/>
              <w:right w:val="single" w:color="auto" w:sz="6" w:space="0"/>
            </w:tcBorders>
            <w:vAlign w:val="center"/>
          </w:tcPr>
          <w:p w14:paraId="1FE4BE74">
            <w:pPr>
              <w:pStyle w:val="182"/>
              <w:rPr>
                <w:color w:val="auto"/>
              </w:rPr>
            </w:pPr>
          </w:p>
        </w:tc>
        <w:tc>
          <w:tcPr>
            <w:tcW w:w="516" w:type="dxa"/>
            <w:tcBorders>
              <w:left w:val="single" w:color="auto" w:sz="6" w:space="0"/>
              <w:right w:val="single" w:color="auto" w:sz="6" w:space="0"/>
            </w:tcBorders>
            <w:vAlign w:val="center"/>
          </w:tcPr>
          <w:p w14:paraId="08144293">
            <w:pPr>
              <w:pStyle w:val="182"/>
              <w:ind w:firstLine="0" w:firstLineChars="0"/>
              <w:rPr>
                <w:rFonts w:hint="eastAsia"/>
                <w:color w:val="auto"/>
              </w:rPr>
            </w:pPr>
            <w:r>
              <w:rPr>
                <w:rFonts w:hint="eastAsia"/>
                <w:lang w:val="en-US" w:eastAsia="zh-CN"/>
              </w:rPr>
              <w:t>13</w:t>
            </w:r>
          </w:p>
        </w:tc>
        <w:tc>
          <w:tcPr>
            <w:tcW w:w="1712" w:type="pct"/>
            <w:gridSpan w:val="2"/>
            <w:tcBorders>
              <w:top w:val="single" w:color="auto" w:sz="6" w:space="0"/>
              <w:left w:val="single" w:color="auto" w:sz="6" w:space="0"/>
              <w:bottom w:val="single" w:color="auto" w:sz="6" w:space="0"/>
              <w:right w:val="single" w:color="auto" w:sz="6" w:space="0"/>
            </w:tcBorders>
            <w:vAlign w:val="center"/>
          </w:tcPr>
          <w:p w14:paraId="21434103">
            <w:pPr>
              <w:pStyle w:val="182"/>
              <w:ind w:firstLine="0" w:firstLineChars="0"/>
              <w:rPr>
                <w:color w:val="auto"/>
              </w:rPr>
            </w:pPr>
            <w:r>
              <w:rPr>
                <w:rFonts w:hint="eastAsia"/>
              </w:rPr>
              <w:t>污水处理站</w:t>
            </w:r>
          </w:p>
        </w:tc>
        <w:tc>
          <w:tcPr>
            <w:tcW w:w="2609" w:type="pct"/>
            <w:tcBorders>
              <w:top w:val="single" w:color="auto" w:sz="6" w:space="0"/>
              <w:left w:val="single" w:color="auto" w:sz="6" w:space="0"/>
              <w:bottom w:val="single" w:color="auto" w:sz="6" w:space="0"/>
              <w:right w:val="single" w:color="auto" w:sz="8" w:space="0"/>
            </w:tcBorders>
            <w:vAlign w:val="center"/>
          </w:tcPr>
          <w:p w14:paraId="3446865D">
            <w:pPr>
              <w:pStyle w:val="182"/>
              <w:ind w:firstLine="0" w:firstLineChars="0"/>
              <w:rPr>
                <w:color w:val="auto"/>
              </w:rPr>
            </w:pPr>
            <w:r>
              <w:rPr>
                <w:rFonts w:hint="eastAsia"/>
              </w:rPr>
              <w:t>设计规模3</w:t>
            </w:r>
            <w:r>
              <w:t>.8</w:t>
            </w:r>
            <w:r>
              <w:rPr>
                <w:rFonts w:hint="eastAsia"/>
              </w:rPr>
              <w:t>万t</w:t>
            </w:r>
            <w:r>
              <w:t>/d</w:t>
            </w:r>
            <w:r>
              <w:rPr>
                <w:rFonts w:hint="eastAsia"/>
              </w:rPr>
              <w:t>，处理工艺为“中和廊道+沉淀池+pH调节池”</w:t>
            </w:r>
          </w:p>
        </w:tc>
      </w:tr>
      <w:tr w14:paraId="16CCD7A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restart"/>
            <w:tcBorders>
              <w:top w:val="single" w:color="auto" w:sz="6" w:space="0"/>
              <w:left w:val="single" w:color="auto" w:sz="6" w:space="0"/>
              <w:bottom w:val="single" w:color="auto" w:sz="6" w:space="0"/>
              <w:right w:val="single" w:color="auto" w:sz="6" w:space="0"/>
            </w:tcBorders>
            <w:vAlign w:val="center"/>
          </w:tcPr>
          <w:p w14:paraId="2FC8B09D">
            <w:pPr>
              <w:pStyle w:val="182"/>
              <w:rPr>
                <w:color w:val="auto"/>
              </w:rPr>
            </w:pPr>
            <w:r>
              <w:rPr>
                <w:color w:val="auto"/>
              </w:rPr>
              <w:t>环保工程</w:t>
            </w:r>
          </w:p>
        </w:tc>
        <w:tc>
          <w:tcPr>
            <w:tcW w:w="516" w:type="dxa"/>
            <w:vMerge w:val="restart"/>
            <w:tcBorders>
              <w:top w:val="single" w:color="auto" w:sz="6" w:space="0"/>
              <w:left w:val="single" w:color="auto" w:sz="6" w:space="0"/>
              <w:right w:val="single" w:color="auto" w:sz="6" w:space="0"/>
            </w:tcBorders>
            <w:vAlign w:val="center"/>
          </w:tcPr>
          <w:p w14:paraId="554ADC4A">
            <w:pPr>
              <w:pStyle w:val="182"/>
              <w:ind w:firstLine="0" w:firstLineChars="0"/>
              <w:rPr>
                <w:rFonts w:hint="eastAsia"/>
                <w:color w:val="auto"/>
              </w:rPr>
            </w:pPr>
            <w:r>
              <w:rPr>
                <w:rFonts w:hint="eastAsia"/>
              </w:rPr>
              <w:t>1</w:t>
            </w:r>
            <w:r>
              <w:rPr>
                <w:rFonts w:hint="eastAsia"/>
                <w:lang w:val="en-US" w:eastAsia="zh-CN"/>
              </w:rPr>
              <w:t>4</w:t>
            </w:r>
          </w:p>
        </w:tc>
        <w:tc>
          <w:tcPr>
            <w:tcW w:w="465" w:type="pct"/>
            <w:vMerge w:val="restart"/>
            <w:tcBorders>
              <w:top w:val="single" w:color="auto" w:sz="6" w:space="0"/>
              <w:left w:val="single" w:color="auto" w:sz="6" w:space="0"/>
              <w:right w:val="single" w:color="auto" w:sz="6" w:space="0"/>
            </w:tcBorders>
            <w:vAlign w:val="center"/>
          </w:tcPr>
          <w:p w14:paraId="36714A93">
            <w:pPr>
              <w:pStyle w:val="182"/>
              <w:rPr>
                <w:color w:val="auto"/>
              </w:rPr>
            </w:pPr>
            <w:r>
              <w:rPr>
                <w:rFonts w:hint="eastAsia"/>
                <w:color w:val="auto"/>
              </w:rPr>
              <w:t>废气治理设施</w:t>
            </w:r>
          </w:p>
        </w:tc>
        <w:tc>
          <w:tcPr>
            <w:tcW w:w="1247" w:type="pct"/>
            <w:vMerge w:val="restart"/>
            <w:tcBorders>
              <w:top w:val="single" w:color="auto" w:sz="6" w:space="0"/>
              <w:left w:val="single" w:color="auto" w:sz="6" w:space="0"/>
              <w:right w:val="single" w:color="auto" w:sz="6" w:space="0"/>
            </w:tcBorders>
            <w:vAlign w:val="center"/>
          </w:tcPr>
          <w:p w14:paraId="103151AD">
            <w:pPr>
              <w:pStyle w:val="182"/>
              <w:rPr>
                <w:color w:val="auto"/>
              </w:rPr>
            </w:pPr>
            <w:r>
              <w:rPr>
                <w:rFonts w:hint="eastAsia"/>
                <w:color w:val="auto"/>
              </w:rPr>
              <w:t>年产5000吨差别化新型连续纺粘胶长丝生产线</w:t>
            </w:r>
          </w:p>
        </w:tc>
        <w:tc>
          <w:tcPr>
            <w:tcW w:w="2609" w:type="pct"/>
            <w:tcBorders>
              <w:top w:val="single" w:color="auto" w:sz="6" w:space="0"/>
              <w:left w:val="single" w:color="auto" w:sz="6" w:space="0"/>
              <w:bottom w:val="single" w:color="auto" w:sz="6" w:space="0"/>
              <w:right w:val="single" w:color="auto" w:sz="8" w:space="0"/>
            </w:tcBorders>
            <w:vAlign w:val="center"/>
          </w:tcPr>
          <w:p w14:paraId="570A1AC3">
            <w:pPr>
              <w:pStyle w:val="182"/>
              <w:rPr>
                <w:color w:val="auto"/>
              </w:rPr>
            </w:pPr>
            <w:r>
              <w:rPr>
                <w:rFonts w:hint="eastAsia"/>
                <w:color w:val="auto"/>
              </w:rPr>
              <w:t>酸站局部废气、黄化废气：络合铁回收S单质工艺+活性炭吸附处理+120m高6#排气塔排放</w:t>
            </w:r>
          </w:p>
        </w:tc>
      </w:tr>
      <w:tr w14:paraId="6C264A0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01A158FB">
            <w:pPr>
              <w:pStyle w:val="182"/>
              <w:rPr>
                <w:color w:val="auto"/>
              </w:rPr>
            </w:pPr>
          </w:p>
        </w:tc>
        <w:tc>
          <w:tcPr>
            <w:tcW w:w="303" w:type="pct"/>
            <w:vMerge w:val="continue"/>
            <w:tcBorders>
              <w:left w:val="single" w:color="auto" w:sz="6" w:space="0"/>
              <w:right w:val="single" w:color="auto" w:sz="6" w:space="0"/>
            </w:tcBorders>
            <w:vAlign w:val="center"/>
          </w:tcPr>
          <w:p w14:paraId="4A32E5A1">
            <w:pPr>
              <w:pStyle w:val="182"/>
              <w:rPr>
                <w:color w:val="auto"/>
              </w:rPr>
            </w:pPr>
          </w:p>
        </w:tc>
        <w:tc>
          <w:tcPr>
            <w:tcW w:w="465" w:type="pct"/>
            <w:vMerge w:val="continue"/>
            <w:tcBorders>
              <w:left w:val="single" w:color="auto" w:sz="6" w:space="0"/>
              <w:right w:val="single" w:color="auto" w:sz="6" w:space="0"/>
            </w:tcBorders>
            <w:vAlign w:val="center"/>
          </w:tcPr>
          <w:p w14:paraId="7642601F">
            <w:pPr>
              <w:pStyle w:val="182"/>
              <w:rPr>
                <w:color w:val="auto"/>
              </w:rPr>
            </w:pPr>
          </w:p>
        </w:tc>
        <w:tc>
          <w:tcPr>
            <w:tcW w:w="1247" w:type="pct"/>
            <w:vMerge w:val="continue"/>
            <w:tcBorders>
              <w:left w:val="single" w:color="auto" w:sz="6" w:space="0"/>
              <w:right w:val="single" w:color="auto" w:sz="6" w:space="0"/>
            </w:tcBorders>
            <w:vAlign w:val="center"/>
          </w:tcPr>
          <w:p w14:paraId="450606D6">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19007654">
            <w:pPr>
              <w:pStyle w:val="182"/>
              <w:rPr>
                <w:color w:val="auto"/>
              </w:rPr>
            </w:pPr>
            <w:r>
              <w:rPr>
                <w:rFonts w:hint="eastAsia"/>
                <w:color w:val="auto"/>
              </w:rPr>
              <w:t>其他工段工艺废气：直接通过120m高5#排气筒排放</w:t>
            </w:r>
          </w:p>
        </w:tc>
      </w:tr>
      <w:tr w14:paraId="512DA3F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0ECCEF85">
            <w:pPr>
              <w:pStyle w:val="182"/>
              <w:rPr>
                <w:color w:val="auto"/>
              </w:rPr>
            </w:pPr>
          </w:p>
        </w:tc>
        <w:tc>
          <w:tcPr>
            <w:tcW w:w="303" w:type="pct"/>
            <w:vMerge w:val="continue"/>
            <w:tcBorders>
              <w:left w:val="single" w:color="auto" w:sz="6" w:space="0"/>
              <w:right w:val="single" w:color="auto" w:sz="6" w:space="0"/>
            </w:tcBorders>
            <w:vAlign w:val="center"/>
          </w:tcPr>
          <w:p w14:paraId="4EF30C19">
            <w:pPr>
              <w:pStyle w:val="182"/>
              <w:rPr>
                <w:color w:val="auto"/>
              </w:rPr>
            </w:pPr>
          </w:p>
        </w:tc>
        <w:tc>
          <w:tcPr>
            <w:tcW w:w="465" w:type="pct"/>
            <w:vMerge w:val="continue"/>
            <w:tcBorders>
              <w:left w:val="single" w:color="auto" w:sz="6" w:space="0"/>
              <w:right w:val="single" w:color="auto" w:sz="6" w:space="0"/>
            </w:tcBorders>
            <w:vAlign w:val="center"/>
          </w:tcPr>
          <w:p w14:paraId="1A2FCD2A">
            <w:pPr>
              <w:pStyle w:val="182"/>
              <w:rPr>
                <w:color w:val="auto"/>
              </w:rPr>
            </w:pPr>
          </w:p>
        </w:tc>
        <w:tc>
          <w:tcPr>
            <w:tcW w:w="1247" w:type="pct"/>
            <w:vMerge w:val="continue"/>
            <w:tcBorders>
              <w:left w:val="single" w:color="auto" w:sz="6" w:space="0"/>
              <w:right w:val="single" w:color="auto" w:sz="6" w:space="0"/>
            </w:tcBorders>
            <w:vAlign w:val="center"/>
          </w:tcPr>
          <w:p w14:paraId="0225FFA9">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7CB2C5EF">
            <w:pPr>
              <w:pStyle w:val="182"/>
              <w:rPr>
                <w:color w:val="auto"/>
              </w:rPr>
            </w:pPr>
            <w:r>
              <w:rPr>
                <w:rFonts w:hint="eastAsia"/>
                <w:color w:val="auto"/>
              </w:rPr>
              <w:t>锅炉废气*：SNCR+SCR脱硝+电袋复合除尘+旋流板塔（废碱液）脱硫+脱硫除尘一体化装置，治理后经80m高1#、2#烟囱排放。（3台75t/h蒸汽锅炉（一用二备））</w:t>
            </w:r>
          </w:p>
        </w:tc>
      </w:tr>
      <w:tr w14:paraId="42C0715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549E7F34">
            <w:pPr>
              <w:pStyle w:val="182"/>
              <w:rPr>
                <w:color w:val="auto"/>
              </w:rPr>
            </w:pPr>
          </w:p>
        </w:tc>
        <w:tc>
          <w:tcPr>
            <w:tcW w:w="516" w:type="dxa"/>
            <w:vMerge w:val="restart"/>
            <w:tcBorders>
              <w:left w:val="single" w:color="auto" w:sz="6" w:space="0"/>
              <w:right w:val="single" w:color="auto" w:sz="6" w:space="0"/>
            </w:tcBorders>
            <w:vAlign w:val="center"/>
          </w:tcPr>
          <w:p w14:paraId="0D25C474">
            <w:pPr>
              <w:pStyle w:val="182"/>
              <w:ind w:firstLine="0" w:firstLineChars="0"/>
              <w:rPr>
                <w:color w:val="auto"/>
              </w:rPr>
            </w:pPr>
            <w:r>
              <w:rPr>
                <w:rFonts w:hint="eastAsia"/>
                <w:lang w:val="en-US" w:eastAsia="zh-CN"/>
              </w:rPr>
              <w:t>15</w:t>
            </w:r>
          </w:p>
        </w:tc>
        <w:tc>
          <w:tcPr>
            <w:tcW w:w="465" w:type="pct"/>
            <w:vMerge w:val="continue"/>
            <w:tcBorders>
              <w:left w:val="single" w:color="auto" w:sz="6" w:space="0"/>
              <w:right w:val="single" w:color="auto" w:sz="6" w:space="0"/>
            </w:tcBorders>
            <w:vAlign w:val="center"/>
          </w:tcPr>
          <w:p w14:paraId="676FD859">
            <w:pPr>
              <w:pStyle w:val="182"/>
              <w:rPr>
                <w:color w:val="auto"/>
              </w:rPr>
            </w:pPr>
          </w:p>
        </w:tc>
        <w:tc>
          <w:tcPr>
            <w:tcW w:w="1247" w:type="pct"/>
            <w:vMerge w:val="restart"/>
            <w:tcBorders>
              <w:left w:val="single" w:color="auto" w:sz="6" w:space="0"/>
              <w:right w:val="single" w:color="auto" w:sz="6" w:space="0"/>
            </w:tcBorders>
            <w:vAlign w:val="center"/>
          </w:tcPr>
          <w:p w14:paraId="4C751B7F">
            <w:pPr>
              <w:pStyle w:val="182"/>
              <w:rPr>
                <w:color w:val="auto"/>
              </w:rPr>
            </w:pPr>
            <w:r>
              <w:rPr>
                <w:rFonts w:hint="eastAsia"/>
                <w:color w:val="auto"/>
              </w:rPr>
              <w:t>年产2×2万吨超柔软氨纶纤维项目</w:t>
            </w:r>
          </w:p>
        </w:tc>
        <w:tc>
          <w:tcPr>
            <w:tcW w:w="2609" w:type="pct"/>
            <w:tcBorders>
              <w:top w:val="single" w:color="auto" w:sz="6" w:space="0"/>
              <w:left w:val="single" w:color="auto" w:sz="6" w:space="0"/>
              <w:bottom w:val="single" w:color="auto" w:sz="6" w:space="0"/>
              <w:right w:val="single" w:color="auto" w:sz="8" w:space="0"/>
            </w:tcBorders>
            <w:vAlign w:val="center"/>
          </w:tcPr>
          <w:p w14:paraId="08537246">
            <w:pPr>
              <w:pStyle w:val="182"/>
              <w:rPr>
                <w:color w:val="auto"/>
              </w:rPr>
            </w:pPr>
            <w:r>
              <w:rPr>
                <w:rFonts w:hint="eastAsia"/>
                <w:color w:val="auto"/>
              </w:rPr>
              <w:t>DMAC精制（真空泵尾气）、纺丝工艺废气：经各自二级水喷淋+末端一级水喷淋处理后经50m高8#排气筒排放。</w:t>
            </w:r>
          </w:p>
        </w:tc>
      </w:tr>
      <w:tr w14:paraId="6487577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1998344F">
            <w:pPr>
              <w:pStyle w:val="182"/>
              <w:rPr>
                <w:color w:val="auto"/>
              </w:rPr>
            </w:pPr>
          </w:p>
        </w:tc>
        <w:tc>
          <w:tcPr>
            <w:tcW w:w="303" w:type="pct"/>
            <w:vMerge w:val="continue"/>
            <w:tcBorders>
              <w:left w:val="single" w:color="auto" w:sz="6" w:space="0"/>
              <w:right w:val="single" w:color="auto" w:sz="6" w:space="0"/>
            </w:tcBorders>
            <w:vAlign w:val="center"/>
          </w:tcPr>
          <w:p w14:paraId="04703D04">
            <w:pPr>
              <w:pStyle w:val="182"/>
              <w:rPr>
                <w:color w:val="auto"/>
              </w:rPr>
            </w:pPr>
          </w:p>
        </w:tc>
        <w:tc>
          <w:tcPr>
            <w:tcW w:w="465" w:type="pct"/>
            <w:vMerge w:val="continue"/>
            <w:tcBorders>
              <w:left w:val="single" w:color="auto" w:sz="6" w:space="0"/>
              <w:right w:val="single" w:color="auto" w:sz="6" w:space="0"/>
            </w:tcBorders>
            <w:vAlign w:val="center"/>
          </w:tcPr>
          <w:p w14:paraId="3FC958E5">
            <w:pPr>
              <w:pStyle w:val="182"/>
              <w:rPr>
                <w:color w:val="auto"/>
              </w:rPr>
            </w:pPr>
          </w:p>
        </w:tc>
        <w:tc>
          <w:tcPr>
            <w:tcW w:w="1247" w:type="pct"/>
            <w:vMerge w:val="continue"/>
            <w:tcBorders>
              <w:left w:val="single" w:color="auto" w:sz="6" w:space="0"/>
              <w:right w:val="single" w:color="auto" w:sz="6" w:space="0"/>
            </w:tcBorders>
            <w:vAlign w:val="center"/>
          </w:tcPr>
          <w:p w14:paraId="4076BA8A">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26F24F43">
            <w:pPr>
              <w:pStyle w:val="182"/>
              <w:rPr>
                <w:color w:val="auto"/>
              </w:rPr>
            </w:pPr>
            <w:r>
              <w:rPr>
                <w:rFonts w:hint="eastAsia"/>
                <w:color w:val="auto"/>
              </w:rPr>
              <w:t>纺丝、卷绕车间废气：收集后经水喷淋装置处理后27m高9#排气筒排放</w:t>
            </w:r>
          </w:p>
        </w:tc>
      </w:tr>
      <w:tr w14:paraId="6574473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368C1F74">
            <w:pPr>
              <w:pStyle w:val="182"/>
              <w:rPr>
                <w:color w:val="auto"/>
              </w:rPr>
            </w:pPr>
          </w:p>
        </w:tc>
        <w:tc>
          <w:tcPr>
            <w:tcW w:w="303" w:type="pct"/>
            <w:vMerge w:val="continue"/>
            <w:tcBorders>
              <w:left w:val="single" w:color="auto" w:sz="6" w:space="0"/>
              <w:right w:val="single" w:color="auto" w:sz="6" w:space="0"/>
            </w:tcBorders>
            <w:vAlign w:val="center"/>
          </w:tcPr>
          <w:p w14:paraId="2BF2A334">
            <w:pPr>
              <w:pStyle w:val="182"/>
              <w:rPr>
                <w:color w:val="auto"/>
              </w:rPr>
            </w:pPr>
          </w:p>
        </w:tc>
        <w:tc>
          <w:tcPr>
            <w:tcW w:w="465" w:type="pct"/>
            <w:vMerge w:val="continue"/>
            <w:tcBorders>
              <w:left w:val="single" w:color="auto" w:sz="6" w:space="0"/>
              <w:right w:val="single" w:color="auto" w:sz="6" w:space="0"/>
            </w:tcBorders>
            <w:vAlign w:val="center"/>
          </w:tcPr>
          <w:p w14:paraId="1AF8A59C">
            <w:pPr>
              <w:pStyle w:val="182"/>
              <w:rPr>
                <w:color w:val="auto"/>
              </w:rPr>
            </w:pPr>
          </w:p>
        </w:tc>
        <w:tc>
          <w:tcPr>
            <w:tcW w:w="1247" w:type="pct"/>
            <w:vMerge w:val="continue"/>
            <w:tcBorders>
              <w:left w:val="single" w:color="auto" w:sz="6" w:space="0"/>
              <w:right w:val="single" w:color="auto" w:sz="6" w:space="0"/>
            </w:tcBorders>
            <w:vAlign w:val="center"/>
          </w:tcPr>
          <w:p w14:paraId="783AFE00">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0DF18E0E">
            <w:pPr>
              <w:pStyle w:val="182"/>
              <w:rPr>
                <w:color w:val="auto"/>
              </w:rPr>
            </w:pPr>
            <w:r>
              <w:rPr>
                <w:rFonts w:hint="eastAsia"/>
                <w:color w:val="auto"/>
              </w:rPr>
              <w:t>组件清洗废气：清洗罐上方设抽风装置收集后经末端一级水喷淋处理后经50m高8#排气筒排放</w:t>
            </w:r>
          </w:p>
        </w:tc>
      </w:tr>
      <w:tr w14:paraId="2C08DEE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07627D9C">
            <w:pPr>
              <w:pStyle w:val="182"/>
              <w:rPr>
                <w:color w:val="auto"/>
              </w:rPr>
            </w:pPr>
          </w:p>
        </w:tc>
        <w:tc>
          <w:tcPr>
            <w:tcW w:w="516" w:type="dxa"/>
            <w:vMerge w:val="restart"/>
            <w:tcBorders>
              <w:left w:val="single" w:color="auto" w:sz="6" w:space="0"/>
              <w:right w:val="single" w:color="auto" w:sz="6" w:space="0"/>
            </w:tcBorders>
            <w:vAlign w:val="center"/>
          </w:tcPr>
          <w:p w14:paraId="3CD0625F">
            <w:pPr>
              <w:pStyle w:val="182"/>
              <w:ind w:firstLine="0" w:firstLineChars="0"/>
              <w:rPr>
                <w:color w:val="auto"/>
              </w:rPr>
            </w:pPr>
            <w:r>
              <w:rPr>
                <w:rFonts w:hint="eastAsia"/>
                <w:lang w:val="en-US" w:eastAsia="zh-CN"/>
              </w:rPr>
              <w:t>16</w:t>
            </w:r>
          </w:p>
        </w:tc>
        <w:tc>
          <w:tcPr>
            <w:tcW w:w="465" w:type="pct"/>
            <w:vMerge w:val="continue"/>
            <w:tcBorders>
              <w:left w:val="single" w:color="auto" w:sz="6" w:space="0"/>
              <w:right w:val="single" w:color="auto" w:sz="6" w:space="0"/>
            </w:tcBorders>
            <w:vAlign w:val="center"/>
          </w:tcPr>
          <w:p w14:paraId="026B2C1C">
            <w:pPr>
              <w:pStyle w:val="182"/>
              <w:rPr>
                <w:color w:val="auto"/>
              </w:rPr>
            </w:pPr>
          </w:p>
        </w:tc>
        <w:tc>
          <w:tcPr>
            <w:tcW w:w="1247" w:type="pct"/>
            <w:vMerge w:val="restart"/>
            <w:tcBorders>
              <w:left w:val="single" w:color="auto" w:sz="6" w:space="0"/>
              <w:right w:val="single" w:color="auto" w:sz="6" w:space="0"/>
            </w:tcBorders>
            <w:vAlign w:val="center"/>
          </w:tcPr>
          <w:p w14:paraId="22D123CC">
            <w:pPr>
              <w:pStyle w:val="182"/>
              <w:rPr>
                <w:color w:val="auto"/>
              </w:rPr>
            </w:pPr>
            <w:r>
              <w:rPr>
                <w:rFonts w:hint="eastAsia"/>
                <w:color w:val="auto"/>
              </w:rPr>
              <w:t>新建2×170t/h蒸汽锅炉项目</w:t>
            </w:r>
          </w:p>
        </w:tc>
        <w:tc>
          <w:tcPr>
            <w:tcW w:w="2609" w:type="pct"/>
            <w:tcBorders>
              <w:top w:val="single" w:color="auto" w:sz="6" w:space="0"/>
              <w:left w:val="single" w:color="auto" w:sz="6" w:space="0"/>
              <w:bottom w:val="single" w:color="auto" w:sz="6" w:space="0"/>
              <w:right w:val="single" w:color="auto" w:sz="8" w:space="0"/>
            </w:tcBorders>
            <w:vAlign w:val="center"/>
          </w:tcPr>
          <w:p w14:paraId="02C36C26">
            <w:pPr>
              <w:pStyle w:val="182"/>
              <w:rPr>
                <w:color w:val="auto"/>
              </w:rPr>
            </w:pPr>
            <w:r>
              <w:rPr>
                <w:rFonts w:hint="eastAsia"/>
                <w:color w:val="auto"/>
              </w:rPr>
              <w:t>煤粉炉废气：低氮燃烧+SCR脱硝+袋式除尘器+钠碱法湿式（废碱液）脱硫+湿式电除尘+80m高3#、4#烟囱</w:t>
            </w:r>
          </w:p>
        </w:tc>
      </w:tr>
      <w:tr w14:paraId="4AE8BAE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30FEF292">
            <w:pPr>
              <w:pStyle w:val="182"/>
              <w:rPr>
                <w:color w:val="auto"/>
              </w:rPr>
            </w:pPr>
          </w:p>
        </w:tc>
        <w:tc>
          <w:tcPr>
            <w:tcW w:w="303" w:type="pct"/>
            <w:vMerge w:val="continue"/>
            <w:tcBorders>
              <w:left w:val="single" w:color="auto" w:sz="6" w:space="0"/>
              <w:right w:val="single" w:color="auto" w:sz="6" w:space="0"/>
            </w:tcBorders>
            <w:vAlign w:val="center"/>
          </w:tcPr>
          <w:p w14:paraId="50B33661">
            <w:pPr>
              <w:pStyle w:val="182"/>
              <w:rPr>
                <w:color w:val="auto"/>
              </w:rPr>
            </w:pPr>
          </w:p>
        </w:tc>
        <w:tc>
          <w:tcPr>
            <w:tcW w:w="465" w:type="pct"/>
            <w:vMerge w:val="continue"/>
            <w:tcBorders>
              <w:left w:val="single" w:color="auto" w:sz="6" w:space="0"/>
              <w:right w:val="single" w:color="auto" w:sz="6" w:space="0"/>
            </w:tcBorders>
            <w:vAlign w:val="center"/>
          </w:tcPr>
          <w:p w14:paraId="38547CD6">
            <w:pPr>
              <w:pStyle w:val="182"/>
              <w:rPr>
                <w:color w:val="auto"/>
              </w:rPr>
            </w:pPr>
          </w:p>
        </w:tc>
        <w:tc>
          <w:tcPr>
            <w:tcW w:w="1247" w:type="pct"/>
            <w:vMerge w:val="continue"/>
            <w:tcBorders>
              <w:left w:val="single" w:color="auto" w:sz="6" w:space="0"/>
              <w:right w:val="single" w:color="auto" w:sz="6" w:space="0"/>
            </w:tcBorders>
            <w:vAlign w:val="center"/>
          </w:tcPr>
          <w:p w14:paraId="0222753D">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6238808A">
            <w:pPr>
              <w:pStyle w:val="182"/>
              <w:rPr>
                <w:color w:val="auto"/>
              </w:rPr>
            </w:pPr>
            <w:r>
              <w:rPr>
                <w:rFonts w:hint="eastAsia"/>
                <w:color w:val="auto"/>
              </w:rPr>
              <w:t>煤破碎系统粉尘：布袋除尘器+20m高13#排气筒</w:t>
            </w:r>
          </w:p>
        </w:tc>
      </w:tr>
      <w:tr w14:paraId="7533F9E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1DF36AE7">
            <w:pPr>
              <w:pStyle w:val="182"/>
              <w:rPr>
                <w:color w:val="auto"/>
              </w:rPr>
            </w:pPr>
          </w:p>
        </w:tc>
        <w:tc>
          <w:tcPr>
            <w:tcW w:w="303" w:type="pct"/>
            <w:vMerge w:val="continue"/>
            <w:tcBorders>
              <w:left w:val="single" w:color="auto" w:sz="6" w:space="0"/>
              <w:right w:val="single" w:color="auto" w:sz="6" w:space="0"/>
            </w:tcBorders>
            <w:vAlign w:val="center"/>
          </w:tcPr>
          <w:p w14:paraId="4597B238">
            <w:pPr>
              <w:pStyle w:val="182"/>
              <w:rPr>
                <w:color w:val="auto"/>
              </w:rPr>
            </w:pPr>
          </w:p>
        </w:tc>
        <w:tc>
          <w:tcPr>
            <w:tcW w:w="465" w:type="pct"/>
            <w:vMerge w:val="continue"/>
            <w:tcBorders>
              <w:left w:val="single" w:color="auto" w:sz="6" w:space="0"/>
              <w:right w:val="single" w:color="auto" w:sz="6" w:space="0"/>
            </w:tcBorders>
            <w:vAlign w:val="center"/>
          </w:tcPr>
          <w:p w14:paraId="1E8D5DAF">
            <w:pPr>
              <w:pStyle w:val="182"/>
              <w:rPr>
                <w:color w:val="auto"/>
              </w:rPr>
            </w:pPr>
          </w:p>
        </w:tc>
        <w:tc>
          <w:tcPr>
            <w:tcW w:w="1247" w:type="pct"/>
            <w:vMerge w:val="continue"/>
            <w:tcBorders>
              <w:left w:val="single" w:color="auto" w:sz="6" w:space="0"/>
              <w:right w:val="single" w:color="auto" w:sz="6" w:space="0"/>
            </w:tcBorders>
            <w:vAlign w:val="center"/>
          </w:tcPr>
          <w:p w14:paraId="7F92E088">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39A90619">
            <w:pPr>
              <w:pStyle w:val="182"/>
              <w:rPr>
                <w:color w:val="auto"/>
              </w:rPr>
            </w:pPr>
            <w:r>
              <w:rPr>
                <w:rFonts w:hint="eastAsia"/>
                <w:color w:val="auto"/>
              </w:rPr>
              <w:t>灰库尾气：仓顶脉冲袋式除尘器+高于库顶3m排放</w:t>
            </w:r>
          </w:p>
        </w:tc>
      </w:tr>
      <w:tr w14:paraId="3A0A59D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20A12B83">
            <w:pPr>
              <w:pStyle w:val="182"/>
              <w:rPr>
                <w:color w:val="auto"/>
              </w:rPr>
            </w:pPr>
          </w:p>
        </w:tc>
        <w:tc>
          <w:tcPr>
            <w:tcW w:w="516" w:type="dxa"/>
            <w:vMerge w:val="restart"/>
            <w:tcBorders>
              <w:left w:val="single" w:color="auto" w:sz="6" w:space="0"/>
              <w:right w:val="single" w:color="auto" w:sz="6" w:space="0"/>
            </w:tcBorders>
            <w:vAlign w:val="center"/>
          </w:tcPr>
          <w:p w14:paraId="51111914">
            <w:pPr>
              <w:pStyle w:val="182"/>
              <w:ind w:firstLine="0" w:firstLineChars="0"/>
              <w:rPr>
                <w:color w:val="auto"/>
              </w:rPr>
            </w:pPr>
            <w:r>
              <w:rPr>
                <w:rFonts w:hint="eastAsia"/>
                <w:lang w:val="en-US" w:eastAsia="zh-CN"/>
              </w:rPr>
              <w:t>17</w:t>
            </w:r>
          </w:p>
        </w:tc>
        <w:tc>
          <w:tcPr>
            <w:tcW w:w="465" w:type="pct"/>
            <w:vMerge w:val="continue"/>
            <w:tcBorders>
              <w:left w:val="single" w:color="auto" w:sz="6" w:space="0"/>
              <w:right w:val="single" w:color="auto" w:sz="6" w:space="0"/>
            </w:tcBorders>
            <w:vAlign w:val="center"/>
          </w:tcPr>
          <w:p w14:paraId="0D3B8640">
            <w:pPr>
              <w:pStyle w:val="182"/>
              <w:rPr>
                <w:color w:val="auto"/>
              </w:rPr>
            </w:pPr>
          </w:p>
        </w:tc>
        <w:tc>
          <w:tcPr>
            <w:tcW w:w="1247" w:type="pct"/>
            <w:vMerge w:val="restart"/>
            <w:tcBorders>
              <w:left w:val="single" w:color="auto" w:sz="6" w:space="0"/>
              <w:right w:val="single" w:color="auto" w:sz="6" w:space="0"/>
            </w:tcBorders>
            <w:vAlign w:val="center"/>
          </w:tcPr>
          <w:p w14:paraId="4CB4C466">
            <w:pPr>
              <w:pStyle w:val="182"/>
              <w:rPr>
                <w:color w:val="auto"/>
              </w:rPr>
            </w:pPr>
            <w:r>
              <w:rPr>
                <w:rFonts w:hint="eastAsia"/>
                <w:color w:val="auto"/>
              </w:rPr>
              <w:t>年产2万吨超细旦氨纶纤维项目（年产3×2万吨超细旦氨纶纤维项目一期工程）</w:t>
            </w:r>
          </w:p>
        </w:tc>
        <w:tc>
          <w:tcPr>
            <w:tcW w:w="2609" w:type="pct"/>
            <w:tcBorders>
              <w:top w:val="single" w:color="auto" w:sz="6" w:space="0"/>
              <w:left w:val="single" w:color="auto" w:sz="6" w:space="0"/>
              <w:bottom w:val="single" w:color="auto" w:sz="6" w:space="0"/>
              <w:right w:val="single" w:color="auto" w:sz="8" w:space="0"/>
            </w:tcBorders>
            <w:vAlign w:val="center"/>
          </w:tcPr>
          <w:p w14:paraId="756ECC06">
            <w:pPr>
              <w:pStyle w:val="182"/>
              <w:rPr>
                <w:color w:val="auto"/>
              </w:rPr>
            </w:pPr>
            <w:r>
              <w:rPr>
                <w:rFonts w:hint="eastAsia"/>
                <w:color w:val="auto"/>
              </w:rPr>
              <w:t>DMAC精制（真空泵尾气）、纺丝工艺废气：经各自二级水喷淋+末端一级水喷淋处理后经50m高8#排气筒排放</w:t>
            </w:r>
          </w:p>
        </w:tc>
      </w:tr>
      <w:tr w14:paraId="4814E9D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492E0E14">
            <w:pPr>
              <w:pStyle w:val="182"/>
              <w:rPr>
                <w:color w:val="auto"/>
              </w:rPr>
            </w:pPr>
          </w:p>
        </w:tc>
        <w:tc>
          <w:tcPr>
            <w:tcW w:w="303" w:type="pct"/>
            <w:vMerge w:val="continue"/>
            <w:tcBorders>
              <w:left w:val="single" w:color="auto" w:sz="6" w:space="0"/>
              <w:right w:val="single" w:color="auto" w:sz="6" w:space="0"/>
            </w:tcBorders>
            <w:vAlign w:val="center"/>
          </w:tcPr>
          <w:p w14:paraId="4F1456B7">
            <w:pPr>
              <w:pStyle w:val="182"/>
              <w:rPr>
                <w:color w:val="auto"/>
              </w:rPr>
            </w:pPr>
          </w:p>
        </w:tc>
        <w:tc>
          <w:tcPr>
            <w:tcW w:w="465" w:type="pct"/>
            <w:vMerge w:val="continue"/>
            <w:tcBorders>
              <w:left w:val="single" w:color="auto" w:sz="6" w:space="0"/>
              <w:right w:val="single" w:color="auto" w:sz="6" w:space="0"/>
            </w:tcBorders>
            <w:vAlign w:val="center"/>
          </w:tcPr>
          <w:p w14:paraId="42B337C2">
            <w:pPr>
              <w:pStyle w:val="182"/>
              <w:rPr>
                <w:color w:val="auto"/>
              </w:rPr>
            </w:pPr>
          </w:p>
        </w:tc>
        <w:tc>
          <w:tcPr>
            <w:tcW w:w="1247" w:type="pct"/>
            <w:vMerge w:val="continue"/>
            <w:tcBorders>
              <w:left w:val="single" w:color="auto" w:sz="6" w:space="0"/>
              <w:right w:val="single" w:color="auto" w:sz="6" w:space="0"/>
            </w:tcBorders>
            <w:vAlign w:val="center"/>
          </w:tcPr>
          <w:p w14:paraId="0A04D3F2">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4724A1AB">
            <w:pPr>
              <w:pStyle w:val="182"/>
              <w:rPr>
                <w:color w:val="auto"/>
              </w:rPr>
            </w:pPr>
            <w:r>
              <w:rPr>
                <w:rFonts w:hint="eastAsia"/>
                <w:color w:val="auto"/>
              </w:rPr>
              <w:t>纺丝、卷绕车间废气：收集后经水喷淋装置处理后经27m高10#排气筒排放</w:t>
            </w:r>
          </w:p>
        </w:tc>
      </w:tr>
      <w:tr w14:paraId="2EC9804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464DCBF9">
            <w:pPr>
              <w:pStyle w:val="182"/>
              <w:rPr>
                <w:color w:val="auto"/>
              </w:rPr>
            </w:pPr>
          </w:p>
        </w:tc>
        <w:tc>
          <w:tcPr>
            <w:tcW w:w="303" w:type="pct"/>
            <w:vMerge w:val="continue"/>
            <w:tcBorders>
              <w:left w:val="single" w:color="auto" w:sz="6" w:space="0"/>
              <w:right w:val="single" w:color="auto" w:sz="6" w:space="0"/>
            </w:tcBorders>
            <w:vAlign w:val="center"/>
          </w:tcPr>
          <w:p w14:paraId="173EB736">
            <w:pPr>
              <w:pStyle w:val="182"/>
              <w:rPr>
                <w:color w:val="auto"/>
              </w:rPr>
            </w:pPr>
          </w:p>
        </w:tc>
        <w:tc>
          <w:tcPr>
            <w:tcW w:w="465" w:type="pct"/>
            <w:vMerge w:val="continue"/>
            <w:tcBorders>
              <w:left w:val="single" w:color="auto" w:sz="6" w:space="0"/>
              <w:right w:val="single" w:color="auto" w:sz="6" w:space="0"/>
            </w:tcBorders>
            <w:vAlign w:val="center"/>
          </w:tcPr>
          <w:p w14:paraId="3CB4D0B9">
            <w:pPr>
              <w:pStyle w:val="182"/>
              <w:rPr>
                <w:color w:val="auto"/>
              </w:rPr>
            </w:pPr>
          </w:p>
        </w:tc>
        <w:tc>
          <w:tcPr>
            <w:tcW w:w="1247" w:type="pct"/>
            <w:vMerge w:val="continue"/>
            <w:tcBorders>
              <w:left w:val="single" w:color="auto" w:sz="6" w:space="0"/>
              <w:right w:val="single" w:color="auto" w:sz="6" w:space="0"/>
            </w:tcBorders>
            <w:vAlign w:val="center"/>
          </w:tcPr>
          <w:p w14:paraId="67C58F57">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402A8571">
            <w:pPr>
              <w:pStyle w:val="182"/>
              <w:rPr>
                <w:color w:val="auto"/>
              </w:rPr>
            </w:pPr>
            <w:r>
              <w:rPr>
                <w:rFonts w:hint="eastAsia"/>
                <w:color w:val="auto"/>
              </w:rPr>
              <w:t>组件清洗废气：清洗罐上方设抽风装置收集后经末端一级水喷淋处理后经50m高8#排气筒排放</w:t>
            </w:r>
          </w:p>
        </w:tc>
      </w:tr>
      <w:tr w14:paraId="2FE804D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2D0D0A37">
            <w:pPr>
              <w:pStyle w:val="182"/>
              <w:rPr>
                <w:color w:val="auto"/>
              </w:rPr>
            </w:pPr>
          </w:p>
        </w:tc>
        <w:tc>
          <w:tcPr>
            <w:tcW w:w="516" w:type="dxa"/>
            <w:vMerge w:val="restart"/>
            <w:tcBorders>
              <w:left w:val="single" w:color="auto" w:sz="6" w:space="0"/>
              <w:right w:val="single" w:color="auto" w:sz="6" w:space="0"/>
            </w:tcBorders>
            <w:vAlign w:val="center"/>
          </w:tcPr>
          <w:p w14:paraId="1F056E01">
            <w:pPr>
              <w:pStyle w:val="182"/>
              <w:ind w:firstLine="0" w:firstLineChars="0"/>
              <w:rPr>
                <w:color w:val="auto"/>
              </w:rPr>
            </w:pPr>
            <w:r>
              <w:rPr>
                <w:rFonts w:hint="eastAsia"/>
                <w:lang w:val="en-US" w:eastAsia="zh-CN"/>
              </w:rPr>
              <w:t>18</w:t>
            </w:r>
          </w:p>
        </w:tc>
        <w:tc>
          <w:tcPr>
            <w:tcW w:w="465" w:type="pct"/>
            <w:vMerge w:val="continue"/>
            <w:tcBorders>
              <w:left w:val="single" w:color="auto" w:sz="6" w:space="0"/>
              <w:right w:val="single" w:color="auto" w:sz="6" w:space="0"/>
            </w:tcBorders>
            <w:vAlign w:val="center"/>
          </w:tcPr>
          <w:p w14:paraId="6D4DEFCA">
            <w:pPr>
              <w:pStyle w:val="182"/>
              <w:rPr>
                <w:color w:val="auto"/>
              </w:rPr>
            </w:pPr>
          </w:p>
        </w:tc>
        <w:tc>
          <w:tcPr>
            <w:tcW w:w="1247" w:type="pct"/>
            <w:vMerge w:val="restart"/>
            <w:tcBorders>
              <w:left w:val="single" w:color="auto" w:sz="6" w:space="0"/>
              <w:right w:val="single" w:color="auto" w:sz="6" w:space="0"/>
            </w:tcBorders>
            <w:vAlign w:val="center"/>
          </w:tcPr>
          <w:p w14:paraId="45DA4B1B">
            <w:pPr>
              <w:pStyle w:val="182"/>
              <w:rPr>
                <w:color w:val="auto"/>
              </w:rPr>
            </w:pPr>
            <w:r>
              <w:rPr>
                <w:rFonts w:hint="eastAsia"/>
                <w:color w:val="auto"/>
              </w:rPr>
              <w:t>年产一万吨新型纤维素长丝项目</w:t>
            </w:r>
          </w:p>
        </w:tc>
        <w:tc>
          <w:tcPr>
            <w:tcW w:w="2609" w:type="pct"/>
            <w:tcBorders>
              <w:top w:val="single" w:color="auto" w:sz="6" w:space="0"/>
              <w:left w:val="single" w:color="auto" w:sz="6" w:space="0"/>
              <w:bottom w:val="single" w:color="auto" w:sz="6" w:space="0"/>
              <w:right w:val="single" w:color="auto" w:sz="8" w:space="0"/>
            </w:tcBorders>
            <w:vAlign w:val="center"/>
          </w:tcPr>
          <w:p w14:paraId="69142483">
            <w:pPr>
              <w:pStyle w:val="182"/>
              <w:rPr>
                <w:color w:val="auto"/>
              </w:rPr>
            </w:pPr>
            <w:r>
              <w:rPr>
                <w:rFonts w:hint="eastAsia"/>
                <w:color w:val="auto"/>
              </w:rPr>
              <w:t>酸站局部废气、黄化废气：络合铁回收S单质工艺+活性炭吸附处理+120m高6#排气塔排放</w:t>
            </w:r>
          </w:p>
        </w:tc>
      </w:tr>
      <w:tr w14:paraId="5E168BB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1532B2FF">
            <w:pPr>
              <w:pStyle w:val="182"/>
              <w:rPr>
                <w:color w:val="auto"/>
              </w:rPr>
            </w:pPr>
          </w:p>
        </w:tc>
        <w:tc>
          <w:tcPr>
            <w:tcW w:w="303" w:type="pct"/>
            <w:vMerge w:val="continue"/>
            <w:tcBorders>
              <w:left w:val="single" w:color="auto" w:sz="6" w:space="0"/>
              <w:right w:val="single" w:color="auto" w:sz="6" w:space="0"/>
            </w:tcBorders>
            <w:vAlign w:val="center"/>
          </w:tcPr>
          <w:p w14:paraId="0BFC397C">
            <w:pPr>
              <w:pStyle w:val="182"/>
              <w:rPr>
                <w:color w:val="auto"/>
              </w:rPr>
            </w:pPr>
          </w:p>
        </w:tc>
        <w:tc>
          <w:tcPr>
            <w:tcW w:w="465" w:type="pct"/>
            <w:vMerge w:val="continue"/>
            <w:tcBorders>
              <w:left w:val="single" w:color="auto" w:sz="6" w:space="0"/>
              <w:right w:val="single" w:color="auto" w:sz="6" w:space="0"/>
            </w:tcBorders>
            <w:vAlign w:val="center"/>
          </w:tcPr>
          <w:p w14:paraId="1A1657F9">
            <w:pPr>
              <w:pStyle w:val="182"/>
              <w:rPr>
                <w:color w:val="auto"/>
              </w:rPr>
            </w:pPr>
          </w:p>
        </w:tc>
        <w:tc>
          <w:tcPr>
            <w:tcW w:w="1247" w:type="pct"/>
            <w:vMerge w:val="continue"/>
            <w:tcBorders>
              <w:left w:val="single" w:color="auto" w:sz="6" w:space="0"/>
              <w:right w:val="single" w:color="auto" w:sz="6" w:space="0"/>
            </w:tcBorders>
            <w:vAlign w:val="center"/>
          </w:tcPr>
          <w:p w14:paraId="68698901">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5D612C35">
            <w:pPr>
              <w:pStyle w:val="182"/>
              <w:rPr>
                <w:color w:val="auto"/>
              </w:rPr>
            </w:pPr>
            <w:r>
              <w:rPr>
                <w:rFonts w:hint="eastAsia"/>
                <w:color w:val="auto"/>
              </w:rPr>
              <w:t>酸站空调和纺丝废气：通过120m高7#排气筒排放</w:t>
            </w:r>
          </w:p>
        </w:tc>
      </w:tr>
      <w:tr w14:paraId="7DF1F35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791275D7">
            <w:pPr>
              <w:pStyle w:val="182"/>
              <w:rPr>
                <w:color w:val="auto"/>
              </w:rPr>
            </w:pPr>
          </w:p>
        </w:tc>
        <w:tc>
          <w:tcPr>
            <w:tcW w:w="303" w:type="pct"/>
            <w:vMerge w:val="continue"/>
            <w:tcBorders>
              <w:left w:val="single" w:color="auto" w:sz="6" w:space="0"/>
              <w:right w:val="single" w:color="auto" w:sz="6" w:space="0"/>
            </w:tcBorders>
            <w:vAlign w:val="center"/>
          </w:tcPr>
          <w:p w14:paraId="4189E6B6">
            <w:pPr>
              <w:pStyle w:val="182"/>
              <w:rPr>
                <w:color w:val="auto"/>
              </w:rPr>
            </w:pPr>
          </w:p>
        </w:tc>
        <w:tc>
          <w:tcPr>
            <w:tcW w:w="465" w:type="pct"/>
            <w:vMerge w:val="continue"/>
            <w:tcBorders>
              <w:left w:val="single" w:color="auto" w:sz="6" w:space="0"/>
              <w:right w:val="single" w:color="auto" w:sz="6" w:space="0"/>
            </w:tcBorders>
            <w:vAlign w:val="center"/>
          </w:tcPr>
          <w:p w14:paraId="53E452FE">
            <w:pPr>
              <w:pStyle w:val="182"/>
              <w:rPr>
                <w:color w:val="auto"/>
              </w:rPr>
            </w:pPr>
          </w:p>
        </w:tc>
        <w:tc>
          <w:tcPr>
            <w:tcW w:w="1247" w:type="pct"/>
            <w:vMerge w:val="continue"/>
            <w:tcBorders>
              <w:left w:val="single" w:color="auto" w:sz="6" w:space="0"/>
              <w:right w:val="single" w:color="auto" w:sz="6" w:space="0"/>
            </w:tcBorders>
            <w:vAlign w:val="center"/>
          </w:tcPr>
          <w:p w14:paraId="44694C64">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0D8F0D10">
            <w:pPr>
              <w:pStyle w:val="182"/>
              <w:rPr>
                <w:color w:val="auto"/>
              </w:rPr>
            </w:pPr>
            <w:r>
              <w:rPr>
                <w:rFonts w:hint="eastAsia"/>
                <w:color w:val="auto"/>
              </w:rPr>
              <w:t>原液车间空调废气：直接通过现有5000吨长丝的120m高5#排气塔排放</w:t>
            </w:r>
          </w:p>
        </w:tc>
      </w:tr>
      <w:tr w14:paraId="6B05BCE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58F104B3">
            <w:pPr>
              <w:pStyle w:val="182"/>
              <w:rPr>
                <w:color w:val="auto"/>
              </w:rPr>
            </w:pPr>
          </w:p>
        </w:tc>
        <w:tc>
          <w:tcPr>
            <w:tcW w:w="516" w:type="dxa"/>
            <w:vMerge w:val="restart"/>
            <w:tcBorders>
              <w:left w:val="single" w:color="auto" w:sz="6" w:space="0"/>
              <w:right w:val="single" w:color="auto" w:sz="6" w:space="0"/>
            </w:tcBorders>
            <w:vAlign w:val="center"/>
          </w:tcPr>
          <w:p w14:paraId="15F45F83">
            <w:pPr>
              <w:pStyle w:val="182"/>
              <w:ind w:firstLine="0" w:firstLineChars="0"/>
              <w:rPr>
                <w:color w:val="auto"/>
              </w:rPr>
            </w:pPr>
            <w:r>
              <w:rPr>
                <w:rFonts w:hint="eastAsia"/>
                <w:lang w:val="en-US" w:eastAsia="zh-CN"/>
              </w:rPr>
              <w:t>19</w:t>
            </w:r>
          </w:p>
        </w:tc>
        <w:tc>
          <w:tcPr>
            <w:tcW w:w="465" w:type="pct"/>
            <w:vMerge w:val="continue"/>
            <w:tcBorders>
              <w:left w:val="single" w:color="auto" w:sz="6" w:space="0"/>
              <w:right w:val="single" w:color="auto" w:sz="6" w:space="0"/>
            </w:tcBorders>
            <w:vAlign w:val="center"/>
          </w:tcPr>
          <w:p w14:paraId="5F06737E">
            <w:pPr>
              <w:pStyle w:val="182"/>
              <w:rPr>
                <w:color w:val="auto"/>
              </w:rPr>
            </w:pPr>
          </w:p>
        </w:tc>
        <w:tc>
          <w:tcPr>
            <w:tcW w:w="1247" w:type="pct"/>
            <w:vMerge w:val="restart"/>
            <w:tcBorders>
              <w:left w:val="single" w:color="auto" w:sz="6" w:space="0"/>
              <w:right w:val="single" w:color="auto" w:sz="6" w:space="0"/>
            </w:tcBorders>
            <w:vAlign w:val="center"/>
          </w:tcPr>
          <w:p w14:paraId="777B7053">
            <w:pPr>
              <w:pStyle w:val="182"/>
              <w:rPr>
                <w:color w:val="auto"/>
              </w:rPr>
            </w:pPr>
            <w:r>
              <w:rPr>
                <w:rFonts w:hint="eastAsia"/>
                <w:color w:val="auto"/>
              </w:rPr>
              <w:t>年产2×2万吨超细旦氨纶纤维项目（年产3×2万吨超细旦氨纶纤维项目二期三期工程）（二期）</w:t>
            </w:r>
          </w:p>
        </w:tc>
        <w:tc>
          <w:tcPr>
            <w:tcW w:w="2609" w:type="pct"/>
            <w:tcBorders>
              <w:top w:val="single" w:color="auto" w:sz="6" w:space="0"/>
              <w:left w:val="single" w:color="auto" w:sz="6" w:space="0"/>
              <w:bottom w:val="single" w:color="auto" w:sz="6" w:space="0"/>
              <w:right w:val="single" w:color="auto" w:sz="8" w:space="0"/>
            </w:tcBorders>
            <w:vAlign w:val="center"/>
          </w:tcPr>
          <w:p w14:paraId="17C51BAC">
            <w:pPr>
              <w:pStyle w:val="182"/>
              <w:rPr>
                <w:color w:val="auto"/>
              </w:rPr>
            </w:pPr>
            <w:r>
              <w:rPr>
                <w:rFonts w:hint="eastAsia"/>
                <w:color w:val="auto"/>
              </w:rPr>
              <w:t>纺丝工艺废气：经二级水喷淋（ABS系统）+双氧水喷淋+硫酸喷淋+水喷淋处理后，经30m高11#排气筒排放。</w:t>
            </w:r>
          </w:p>
        </w:tc>
      </w:tr>
      <w:tr w14:paraId="0E66EBC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305E6A21">
            <w:pPr>
              <w:pStyle w:val="182"/>
              <w:rPr>
                <w:color w:val="auto"/>
              </w:rPr>
            </w:pPr>
          </w:p>
        </w:tc>
        <w:tc>
          <w:tcPr>
            <w:tcW w:w="303" w:type="pct"/>
            <w:vMerge w:val="continue"/>
            <w:tcBorders>
              <w:left w:val="single" w:color="auto" w:sz="6" w:space="0"/>
              <w:right w:val="single" w:color="auto" w:sz="6" w:space="0"/>
            </w:tcBorders>
            <w:vAlign w:val="center"/>
          </w:tcPr>
          <w:p w14:paraId="3790CCDD">
            <w:pPr>
              <w:pStyle w:val="182"/>
              <w:rPr>
                <w:color w:val="auto"/>
              </w:rPr>
            </w:pPr>
          </w:p>
        </w:tc>
        <w:tc>
          <w:tcPr>
            <w:tcW w:w="465" w:type="pct"/>
            <w:vMerge w:val="continue"/>
            <w:tcBorders>
              <w:left w:val="single" w:color="auto" w:sz="6" w:space="0"/>
              <w:right w:val="single" w:color="auto" w:sz="6" w:space="0"/>
            </w:tcBorders>
            <w:vAlign w:val="center"/>
          </w:tcPr>
          <w:p w14:paraId="435E173C">
            <w:pPr>
              <w:pStyle w:val="182"/>
              <w:rPr>
                <w:color w:val="auto"/>
              </w:rPr>
            </w:pPr>
          </w:p>
        </w:tc>
        <w:tc>
          <w:tcPr>
            <w:tcW w:w="1247" w:type="pct"/>
            <w:vMerge w:val="continue"/>
            <w:tcBorders>
              <w:left w:val="single" w:color="auto" w:sz="6" w:space="0"/>
              <w:right w:val="single" w:color="auto" w:sz="6" w:space="0"/>
            </w:tcBorders>
            <w:vAlign w:val="center"/>
          </w:tcPr>
          <w:p w14:paraId="0CCF6BF9">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09AF5AAF">
            <w:pPr>
              <w:pStyle w:val="182"/>
              <w:rPr>
                <w:color w:val="auto"/>
              </w:rPr>
            </w:pPr>
            <w:r>
              <w:rPr>
                <w:rFonts w:hint="eastAsia"/>
                <w:color w:val="auto"/>
              </w:rPr>
              <w:t>DMAC精制（真空泵尾气）：经二级水喷淋+末端一级水喷淋处理后经50m高8#排气筒排放。</w:t>
            </w:r>
          </w:p>
        </w:tc>
      </w:tr>
      <w:tr w14:paraId="2251E24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48976F82">
            <w:pPr>
              <w:pStyle w:val="182"/>
              <w:rPr>
                <w:color w:val="auto"/>
              </w:rPr>
            </w:pPr>
          </w:p>
        </w:tc>
        <w:tc>
          <w:tcPr>
            <w:tcW w:w="303" w:type="pct"/>
            <w:vMerge w:val="continue"/>
            <w:tcBorders>
              <w:left w:val="single" w:color="auto" w:sz="6" w:space="0"/>
              <w:right w:val="single" w:color="auto" w:sz="6" w:space="0"/>
            </w:tcBorders>
            <w:vAlign w:val="center"/>
          </w:tcPr>
          <w:p w14:paraId="722F641C">
            <w:pPr>
              <w:pStyle w:val="182"/>
              <w:rPr>
                <w:color w:val="auto"/>
              </w:rPr>
            </w:pPr>
          </w:p>
        </w:tc>
        <w:tc>
          <w:tcPr>
            <w:tcW w:w="465" w:type="pct"/>
            <w:vMerge w:val="continue"/>
            <w:tcBorders>
              <w:left w:val="single" w:color="auto" w:sz="6" w:space="0"/>
              <w:right w:val="single" w:color="auto" w:sz="6" w:space="0"/>
            </w:tcBorders>
            <w:vAlign w:val="center"/>
          </w:tcPr>
          <w:p w14:paraId="490F7FF8">
            <w:pPr>
              <w:pStyle w:val="182"/>
              <w:rPr>
                <w:color w:val="auto"/>
              </w:rPr>
            </w:pPr>
          </w:p>
        </w:tc>
        <w:tc>
          <w:tcPr>
            <w:tcW w:w="1247" w:type="pct"/>
            <w:vMerge w:val="continue"/>
            <w:tcBorders>
              <w:left w:val="single" w:color="auto" w:sz="6" w:space="0"/>
              <w:right w:val="single" w:color="auto" w:sz="6" w:space="0"/>
            </w:tcBorders>
            <w:vAlign w:val="center"/>
          </w:tcPr>
          <w:p w14:paraId="5A6F2B67">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3C13A7A7">
            <w:pPr>
              <w:pStyle w:val="182"/>
              <w:rPr>
                <w:color w:val="auto"/>
              </w:rPr>
            </w:pPr>
            <w:r>
              <w:rPr>
                <w:rFonts w:hint="eastAsia"/>
                <w:color w:val="auto"/>
              </w:rPr>
              <w:t>纺丝、卷绕车间废气：收集后经水喷淋装置处理后经</w:t>
            </w:r>
          </w:p>
          <w:p w14:paraId="22836EAE">
            <w:pPr>
              <w:pStyle w:val="182"/>
              <w:rPr>
                <w:color w:val="auto"/>
              </w:rPr>
            </w:pPr>
            <w:r>
              <w:rPr>
                <w:rFonts w:hint="eastAsia"/>
                <w:color w:val="auto"/>
              </w:rPr>
              <w:t>27m高12#排气筒排放。</w:t>
            </w:r>
          </w:p>
        </w:tc>
      </w:tr>
      <w:tr w14:paraId="4594DC5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08FDF663">
            <w:pPr>
              <w:pStyle w:val="182"/>
              <w:rPr>
                <w:color w:val="auto"/>
              </w:rPr>
            </w:pPr>
          </w:p>
        </w:tc>
        <w:tc>
          <w:tcPr>
            <w:tcW w:w="303" w:type="pct"/>
            <w:vMerge w:val="continue"/>
            <w:tcBorders>
              <w:left w:val="single" w:color="auto" w:sz="6" w:space="0"/>
              <w:right w:val="single" w:color="auto" w:sz="6" w:space="0"/>
            </w:tcBorders>
            <w:vAlign w:val="center"/>
          </w:tcPr>
          <w:p w14:paraId="7B7E57CE">
            <w:pPr>
              <w:pStyle w:val="182"/>
              <w:rPr>
                <w:color w:val="auto"/>
              </w:rPr>
            </w:pPr>
          </w:p>
        </w:tc>
        <w:tc>
          <w:tcPr>
            <w:tcW w:w="465" w:type="pct"/>
            <w:vMerge w:val="continue"/>
            <w:tcBorders>
              <w:left w:val="single" w:color="auto" w:sz="6" w:space="0"/>
              <w:right w:val="single" w:color="auto" w:sz="6" w:space="0"/>
            </w:tcBorders>
            <w:vAlign w:val="center"/>
          </w:tcPr>
          <w:p w14:paraId="57E3597B">
            <w:pPr>
              <w:pStyle w:val="182"/>
              <w:rPr>
                <w:color w:val="auto"/>
              </w:rPr>
            </w:pPr>
          </w:p>
        </w:tc>
        <w:tc>
          <w:tcPr>
            <w:tcW w:w="1247" w:type="pct"/>
            <w:vMerge w:val="continue"/>
            <w:tcBorders>
              <w:left w:val="single" w:color="auto" w:sz="6" w:space="0"/>
              <w:right w:val="single" w:color="auto" w:sz="6" w:space="0"/>
            </w:tcBorders>
            <w:vAlign w:val="center"/>
          </w:tcPr>
          <w:p w14:paraId="0B487148">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3D22EC27">
            <w:pPr>
              <w:pStyle w:val="182"/>
              <w:rPr>
                <w:color w:val="auto"/>
              </w:rPr>
            </w:pPr>
            <w:r>
              <w:rPr>
                <w:rFonts w:hint="eastAsia"/>
                <w:color w:val="auto"/>
              </w:rPr>
              <w:t>组件清洗废气：清洗罐上方设抽风装置收集后经与纺丝工艺废气共用一套三级喷淋系统（双氧水喷淋+硫酸喷淋+水喷淋）处理后，经30m高11#排气筒排放。</w:t>
            </w:r>
          </w:p>
        </w:tc>
      </w:tr>
      <w:tr w14:paraId="69C6877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74865F58">
            <w:pPr>
              <w:pStyle w:val="182"/>
              <w:rPr>
                <w:color w:val="auto"/>
              </w:rPr>
            </w:pPr>
          </w:p>
        </w:tc>
        <w:tc>
          <w:tcPr>
            <w:tcW w:w="516" w:type="dxa"/>
            <w:vMerge w:val="restart"/>
            <w:tcBorders>
              <w:left w:val="single" w:color="auto" w:sz="6" w:space="0"/>
              <w:right w:val="single" w:color="auto" w:sz="6" w:space="0"/>
            </w:tcBorders>
            <w:vAlign w:val="center"/>
          </w:tcPr>
          <w:p w14:paraId="1F57438F">
            <w:pPr>
              <w:pStyle w:val="182"/>
              <w:ind w:firstLine="0" w:firstLineChars="0"/>
              <w:rPr>
                <w:color w:val="auto"/>
              </w:rPr>
            </w:pPr>
            <w:r>
              <w:rPr>
                <w:rFonts w:hint="eastAsia"/>
                <w:lang w:val="en-US" w:eastAsia="zh-CN"/>
              </w:rPr>
              <w:t>20</w:t>
            </w:r>
          </w:p>
        </w:tc>
        <w:tc>
          <w:tcPr>
            <w:tcW w:w="465" w:type="pct"/>
            <w:vMerge w:val="continue"/>
            <w:tcBorders>
              <w:left w:val="single" w:color="auto" w:sz="6" w:space="0"/>
              <w:right w:val="single" w:color="auto" w:sz="6" w:space="0"/>
            </w:tcBorders>
            <w:vAlign w:val="center"/>
          </w:tcPr>
          <w:p w14:paraId="3D77F9EA">
            <w:pPr>
              <w:pStyle w:val="182"/>
              <w:rPr>
                <w:color w:val="auto"/>
              </w:rPr>
            </w:pPr>
          </w:p>
        </w:tc>
        <w:tc>
          <w:tcPr>
            <w:tcW w:w="1247" w:type="pct"/>
            <w:vMerge w:val="restart"/>
            <w:tcBorders>
              <w:left w:val="single" w:color="auto" w:sz="6" w:space="0"/>
              <w:right w:val="single" w:color="auto" w:sz="6" w:space="0"/>
            </w:tcBorders>
            <w:vAlign w:val="center"/>
          </w:tcPr>
          <w:p w14:paraId="37D05EF1">
            <w:pPr>
              <w:pStyle w:val="182"/>
              <w:rPr>
                <w:color w:val="auto"/>
              </w:rPr>
            </w:pPr>
            <w:r>
              <w:rPr>
                <w:rFonts w:hint="eastAsia"/>
                <w:color w:val="auto"/>
              </w:rPr>
              <w:t>年产2万吨生物质纤维素项目</w:t>
            </w:r>
          </w:p>
        </w:tc>
        <w:tc>
          <w:tcPr>
            <w:tcW w:w="2609" w:type="pct"/>
            <w:tcBorders>
              <w:top w:val="single" w:color="auto" w:sz="6" w:space="0"/>
              <w:left w:val="single" w:color="auto" w:sz="6" w:space="0"/>
              <w:bottom w:val="single" w:color="auto" w:sz="6" w:space="0"/>
              <w:right w:val="single" w:color="auto" w:sz="8" w:space="0"/>
            </w:tcBorders>
            <w:vAlign w:val="center"/>
          </w:tcPr>
          <w:p w14:paraId="58364669">
            <w:pPr>
              <w:pStyle w:val="182"/>
              <w:ind w:firstLine="0" w:firstLineChars="0"/>
              <w:rPr>
                <w:color w:val="auto"/>
              </w:rPr>
            </w:pPr>
            <w:r>
              <w:rPr>
                <w:rFonts w:hint="eastAsia"/>
              </w:rPr>
              <w:t>黄化段废气、酸站高浓度废气：经Na2CO3喷淋脱硫（回收S单质）+活性炭吸附（通过吸附－脱附－冷凝回收CS2）工艺处理后，通过120m高6#排气塔排放</w:t>
            </w:r>
          </w:p>
        </w:tc>
      </w:tr>
      <w:tr w14:paraId="2DC8C60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4A066148">
            <w:pPr>
              <w:pStyle w:val="182"/>
              <w:rPr>
                <w:color w:val="auto"/>
              </w:rPr>
            </w:pPr>
          </w:p>
        </w:tc>
        <w:tc>
          <w:tcPr>
            <w:tcW w:w="303" w:type="pct"/>
            <w:vMerge w:val="continue"/>
            <w:tcBorders>
              <w:left w:val="single" w:color="auto" w:sz="6" w:space="0"/>
              <w:right w:val="single" w:color="auto" w:sz="6" w:space="0"/>
            </w:tcBorders>
            <w:vAlign w:val="center"/>
          </w:tcPr>
          <w:p w14:paraId="68B128AB">
            <w:pPr>
              <w:pStyle w:val="182"/>
              <w:rPr>
                <w:color w:val="auto"/>
              </w:rPr>
            </w:pPr>
          </w:p>
        </w:tc>
        <w:tc>
          <w:tcPr>
            <w:tcW w:w="465" w:type="pct"/>
            <w:vMerge w:val="continue"/>
            <w:tcBorders>
              <w:left w:val="single" w:color="auto" w:sz="6" w:space="0"/>
              <w:right w:val="single" w:color="auto" w:sz="6" w:space="0"/>
            </w:tcBorders>
            <w:vAlign w:val="center"/>
          </w:tcPr>
          <w:p w14:paraId="41F1F78B">
            <w:pPr>
              <w:pStyle w:val="182"/>
              <w:rPr>
                <w:color w:val="auto"/>
              </w:rPr>
            </w:pPr>
          </w:p>
        </w:tc>
        <w:tc>
          <w:tcPr>
            <w:tcW w:w="1247" w:type="pct"/>
            <w:vMerge w:val="continue"/>
            <w:tcBorders>
              <w:left w:val="single" w:color="auto" w:sz="6" w:space="0"/>
              <w:right w:val="single" w:color="auto" w:sz="6" w:space="0"/>
            </w:tcBorders>
            <w:vAlign w:val="center"/>
          </w:tcPr>
          <w:p w14:paraId="11A38947">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2F8CAF7F">
            <w:pPr>
              <w:pStyle w:val="182"/>
              <w:ind w:firstLine="0" w:firstLineChars="0"/>
              <w:rPr>
                <w:color w:val="auto"/>
              </w:rPr>
            </w:pPr>
            <w:r>
              <w:rPr>
                <w:rFonts w:hint="eastAsia"/>
              </w:rPr>
              <w:t>纺丝（东）废气、酸站其他废气、原液车间低浓度废气：碱液喷淋，依托现有120m高6#排气塔排放</w:t>
            </w:r>
          </w:p>
        </w:tc>
      </w:tr>
      <w:tr w14:paraId="4418EEA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6ED13ACC">
            <w:pPr>
              <w:pStyle w:val="182"/>
              <w:rPr>
                <w:color w:val="auto"/>
              </w:rPr>
            </w:pPr>
          </w:p>
        </w:tc>
        <w:tc>
          <w:tcPr>
            <w:tcW w:w="303" w:type="pct"/>
            <w:vMerge w:val="continue"/>
            <w:tcBorders>
              <w:left w:val="single" w:color="auto" w:sz="6" w:space="0"/>
              <w:bottom w:val="single" w:color="auto" w:sz="4" w:space="0"/>
              <w:right w:val="single" w:color="auto" w:sz="6" w:space="0"/>
            </w:tcBorders>
            <w:vAlign w:val="center"/>
          </w:tcPr>
          <w:p w14:paraId="759532BB">
            <w:pPr>
              <w:pStyle w:val="182"/>
              <w:rPr>
                <w:color w:val="auto"/>
              </w:rPr>
            </w:pPr>
          </w:p>
        </w:tc>
        <w:tc>
          <w:tcPr>
            <w:tcW w:w="465" w:type="pct"/>
            <w:vMerge w:val="continue"/>
            <w:tcBorders>
              <w:left w:val="single" w:color="auto" w:sz="6" w:space="0"/>
              <w:right w:val="single" w:color="auto" w:sz="6" w:space="0"/>
            </w:tcBorders>
            <w:vAlign w:val="center"/>
          </w:tcPr>
          <w:p w14:paraId="14F77274">
            <w:pPr>
              <w:pStyle w:val="182"/>
              <w:rPr>
                <w:color w:val="auto"/>
              </w:rPr>
            </w:pPr>
          </w:p>
        </w:tc>
        <w:tc>
          <w:tcPr>
            <w:tcW w:w="1247" w:type="pct"/>
            <w:vMerge w:val="continue"/>
            <w:tcBorders>
              <w:left w:val="single" w:color="auto" w:sz="6" w:space="0"/>
              <w:right w:val="single" w:color="auto" w:sz="6" w:space="0"/>
            </w:tcBorders>
            <w:vAlign w:val="center"/>
          </w:tcPr>
          <w:p w14:paraId="29FC99B8">
            <w:pPr>
              <w:pStyle w:val="182"/>
              <w:rPr>
                <w:color w:val="auto"/>
              </w:rPr>
            </w:pPr>
          </w:p>
        </w:tc>
        <w:tc>
          <w:tcPr>
            <w:tcW w:w="2609" w:type="pct"/>
            <w:tcBorders>
              <w:top w:val="single" w:color="auto" w:sz="6" w:space="0"/>
              <w:left w:val="single" w:color="auto" w:sz="6" w:space="0"/>
              <w:bottom w:val="single" w:color="auto" w:sz="6" w:space="0"/>
              <w:right w:val="single" w:color="auto" w:sz="8" w:space="0"/>
            </w:tcBorders>
            <w:vAlign w:val="center"/>
          </w:tcPr>
          <w:p w14:paraId="16B8D2C1">
            <w:pPr>
              <w:pStyle w:val="182"/>
              <w:ind w:firstLine="0" w:firstLineChars="0"/>
              <w:rPr>
                <w:color w:val="auto"/>
              </w:rPr>
            </w:pPr>
            <w:r>
              <w:rPr>
                <w:rFonts w:hint="eastAsia"/>
              </w:rPr>
              <w:t>纺丝（南）废气：碱液喷淋，依托现有万吨长丝废气120m高7#排气塔排放</w:t>
            </w:r>
          </w:p>
        </w:tc>
      </w:tr>
      <w:tr w14:paraId="385C437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714"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3B693871">
            <w:pPr>
              <w:pStyle w:val="182"/>
              <w:rPr>
                <w:color w:val="auto"/>
              </w:rPr>
            </w:pPr>
          </w:p>
        </w:tc>
        <w:tc>
          <w:tcPr>
            <w:tcW w:w="516" w:type="dxa"/>
            <w:vMerge w:val="restart"/>
            <w:tcBorders>
              <w:top w:val="single" w:color="auto" w:sz="4" w:space="0"/>
              <w:left w:val="single" w:color="auto" w:sz="6" w:space="0"/>
              <w:right w:val="single" w:color="auto" w:sz="6" w:space="0"/>
            </w:tcBorders>
            <w:vAlign w:val="center"/>
          </w:tcPr>
          <w:p w14:paraId="5884F501">
            <w:pPr>
              <w:pStyle w:val="182"/>
              <w:ind w:firstLine="0" w:firstLineChars="0"/>
              <w:rPr>
                <w:color w:val="auto"/>
              </w:rPr>
            </w:pPr>
            <w:r>
              <w:rPr>
                <w:rFonts w:hint="eastAsia"/>
                <w:lang w:val="en-US" w:eastAsia="zh-CN"/>
              </w:rPr>
              <w:t>21</w:t>
            </w:r>
          </w:p>
        </w:tc>
        <w:tc>
          <w:tcPr>
            <w:tcW w:w="465" w:type="pct"/>
            <w:vMerge w:val="continue"/>
            <w:tcBorders>
              <w:left w:val="single" w:color="auto" w:sz="6" w:space="0"/>
              <w:right w:val="single" w:color="auto" w:sz="6" w:space="0"/>
            </w:tcBorders>
            <w:vAlign w:val="center"/>
          </w:tcPr>
          <w:p w14:paraId="4E892BB0">
            <w:pPr>
              <w:pStyle w:val="182"/>
              <w:rPr>
                <w:color w:val="auto"/>
              </w:rPr>
            </w:pPr>
          </w:p>
        </w:tc>
        <w:tc>
          <w:tcPr>
            <w:tcW w:w="1247" w:type="pct"/>
            <w:vMerge w:val="restart"/>
            <w:tcBorders>
              <w:left w:val="single" w:color="auto" w:sz="6" w:space="0"/>
              <w:right w:val="single" w:color="auto" w:sz="6" w:space="0"/>
            </w:tcBorders>
            <w:vAlign w:val="center"/>
          </w:tcPr>
          <w:p w14:paraId="5CAC2281">
            <w:pPr>
              <w:pStyle w:val="182"/>
              <w:rPr>
                <w:color w:val="auto"/>
              </w:rPr>
            </w:pPr>
            <w:r>
              <w:rPr>
                <w:rFonts w:hint="eastAsia"/>
                <w:color w:val="auto"/>
              </w:rPr>
              <w:t>年产10万吨高品质超细旦氨纶纤维</w:t>
            </w:r>
          </w:p>
        </w:tc>
        <w:tc>
          <w:tcPr>
            <w:tcW w:w="2609" w:type="pct"/>
            <w:tcBorders>
              <w:top w:val="single" w:color="auto" w:sz="6" w:space="0"/>
              <w:left w:val="single" w:color="auto" w:sz="6" w:space="0"/>
              <w:bottom w:val="single" w:color="auto" w:sz="4" w:space="0"/>
              <w:right w:val="single" w:color="auto" w:sz="8" w:space="0"/>
            </w:tcBorders>
            <w:vAlign w:val="center"/>
          </w:tcPr>
          <w:p w14:paraId="1B7A826E">
            <w:pPr>
              <w:pStyle w:val="182"/>
              <w:rPr>
                <w:color w:val="auto"/>
              </w:rPr>
            </w:pPr>
            <w:r>
              <w:rPr>
                <w:rFonts w:hint="eastAsia"/>
                <w:color w:val="auto"/>
              </w:rPr>
              <w:t>纺丝工艺废气：经三级喷淋系统（双氧水喷淋+稀硫酸喷淋+水喷淋）处理后，经50m高排气筒排放</w:t>
            </w:r>
          </w:p>
        </w:tc>
      </w:tr>
      <w:tr w14:paraId="05FEC0D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7D9FD2C2">
            <w:pPr>
              <w:pStyle w:val="182"/>
              <w:rPr>
                <w:color w:val="auto"/>
              </w:rPr>
            </w:pPr>
          </w:p>
        </w:tc>
        <w:tc>
          <w:tcPr>
            <w:tcW w:w="303" w:type="pct"/>
            <w:vMerge w:val="continue"/>
            <w:tcBorders>
              <w:left w:val="single" w:color="auto" w:sz="6" w:space="0"/>
              <w:right w:val="single" w:color="auto" w:sz="6" w:space="0"/>
            </w:tcBorders>
            <w:vAlign w:val="center"/>
          </w:tcPr>
          <w:p w14:paraId="7B5A1979">
            <w:pPr>
              <w:pStyle w:val="182"/>
              <w:rPr>
                <w:color w:val="auto"/>
              </w:rPr>
            </w:pPr>
          </w:p>
        </w:tc>
        <w:tc>
          <w:tcPr>
            <w:tcW w:w="465" w:type="pct"/>
            <w:vMerge w:val="continue"/>
            <w:tcBorders>
              <w:left w:val="single" w:color="auto" w:sz="6" w:space="0"/>
              <w:right w:val="single" w:color="auto" w:sz="6" w:space="0"/>
            </w:tcBorders>
            <w:vAlign w:val="center"/>
          </w:tcPr>
          <w:p w14:paraId="02082D46">
            <w:pPr>
              <w:pStyle w:val="182"/>
              <w:rPr>
                <w:color w:val="auto"/>
              </w:rPr>
            </w:pPr>
          </w:p>
        </w:tc>
        <w:tc>
          <w:tcPr>
            <w:tcW w:w="1247" w:type="pct"/>
            <w:vMerge w:val="continue"/>
            <w:tcBorders>
              <w:left w:val="single" w:color="auto" w:sz="6" w:space="0"/>
              <w:right w:val="single" w:color="auto" w:sz="6" w:space="0"/>
            </w:tcBorders>
            <w:vAlign w:val="center"/>
          </w:tcPr>
          <w:p w14:paraId="7587C587">
            <w:pPr>
              <w:pStyle w:val="182"/>
              <w:rPr>
                <w:color w:val="auto"/>
              </w:rPr>
            </w:pPr>
          </w:p>
        </w:tc>
        <w:tc>
          <w:tcPr>
            <w:tcW w:w="2609" w:type="pct"/>
            <w:tcBorders>
              <w:top w:val="single" w:color="auto" w:sz="4" w:space="0"/>
              <w:left w:val="single" w:color="auto" w:sz="6" w:space="0"/>
              <w:bottom w:val="single" w:color="auto" w:sz="4" w:space="0"/>
              <w:right w:val="single" w:color="auto" w:sz="8" w:space="0"/>
            </w:tcBorders>
            <w:vAlign w:val="center"/>
          </w:tcPr>
          <w:p w14:paraId="2EBF60EA">
            <w:pPr>
              <w:pStyle w:val="182"/>
              <w:rPr>
                <w:color w:val="auto"/>
              </w:rPr>
            </w:pPr>
            <w:r>
              <w:rPr>
                <w:rFonts w:hint="eastAsia"/>
                <w:color w:val="auto"/>
              </w:rPr>
              <w:t>纺丝、卷绕车间空调系统排气：“二级水喷淋装置+空调排气口”（8套）</w:t>
            </w:r>
          </w:p>
        </w:tc>
      </w:tr>
      <w:tr w14:paraId="336CCD5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53"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325C48EC">
            <w:pPr>
              <w:pStyle w:val="182"/>
              <w:rPr>
                <w:color w:val="auto"/>
              </w:rPr>
            </w:pPr>
          </w:p>
        </w:tc>
        <w:tc>
          <w:tcPr>
            <w:tcW w:w="303" w:type="pct"/>
            <w:vMerge w:val="continue"/>
            <w:tcBorders>
              <w:left w:val="single" w:color="auto" w:sz="6" w:space="0"/>
              <w:right w:val="single" w:color="auto" w:sz="6" w:space="0"/>
            </w:tcBorders>
            <w:vAlign w:val="center"/>
          </w:tcPr>
          <w:p w14:paraId="5EFFF911">
            <w:pPr>
              <w:pStyle w:val="182"/>
              <w:rPr>
                <w:color w:val="auto"/>
              </w:rPr>
            </w:pPr>
          </w:p>
        </w:tc>
        <w:tc>
          <w:tcPr>
            <w:tcW w:w="465" w:type="pct"/>
            <w:vMerge w:val="continue"/>
            <w:tcBorders>
              <w:left w:val="single" w:color="auto" w:sz="6" w:space="0"/>
              <w:right w:val="single" w:color="auto" w:sz="6" w:space="0"/>
            </w:tcBorders>
            <w:vAlign w:val="center"/>
          </w:tcPr>
          <w:p w14:paraId="7AD9AD93">
            <w:pPr>
              <w:pStyle w:val="182"/>
              <w:rPr>
                <w:color w:val="auto"/>
              </w:rPr>
            </w:pPr>
          </w:p>
        </w:tc>
        <w:tc>
          <w:tcPr>
            <w:tcW w:w="1247" w:type="pct"/>
            <w:vMerge w:val="continue"/>
            <w:tcBorders>
              <w:left w:val="single" w:color="auto" w:sz="6" w:space="0"/>
              <w:right w:val="single" w:color="auto" w:sz="6" w:space="0"/>
            </w:tcBorders>
            <w:vAlign w:val="center"/>
          </w:tcPr>
          <w:p w14:paraId="5EBE74F2">
            <w:pPr>
              <w:pStyle w:val="182"/>
              <w:rPr>
                <w:color w:val="auto"/>
              </w:rPr>
            </w:pPr>
          </w:p>
        </w:tc>
        <w:tc>
          <w:tcPr>
            <w:tcW w:w="2609" w:type="pct"/>
            <w:tcBorders>
              <w:top w:val="single" w:color="auto" w:sz="4" w:space="0"/>
              <w:left w:val="single" w:color="auto" w:sz="6" w:space="0"/>
              <w:bottom w:val="single" w:color="auto" w:sz="4" w:space="0"/>
              <w:right w:val="single" w:color="auto" w:sz="8" w:space="0"/>
            </w:tcBorders>
            <w:vAlign w:val="center"/>
          </w:tcPr>
          <w:p w14:paraId="35BD06E1">
            <w:pPr>
              <w:pStyle w:val="182"/>
              <w:rPr>
                <w:color w:val="auto"/>
              </w:rPr>
            </w:pPr>
            <w:r>
              <w:rPr>
                <w:rFonts w:hint="eastAsia"/>
                <w:color w:val="auto"/>
              </w:rPr>
              <w:t>添加剂投料粉尘：集气罩+袋式除尘器+15m高排气筒排放</w:t>
            </w:r>
          </w:p>
        </w:tc>
      </w:tr>
      <w:tr w14:paraId="214CDE7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53"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430AD4CA">
            <w:pPr>
              <w:pStyle w:val="182"/>
              <w:rPr>
                <w:color w:val="auto"/>
              </w:rPr>
            </w:pPr>
          </w:p>
        </w:tc>
        <w:tc>
          <w:tcPr>
            <w:tcW w:w="516" w:type="dxa"/>
            <w:tcBorders>
              <w:left w:val="single" w:color="auto" w:sz="6" w:space="0"/>
              <w:right w:val="single" w:color="auto" w:sz="6" w:space="0"/>
            </w:tcBorders>
            <w:vAlign w:val="center"/>
          </w:tcPr>
          <w:p w14:paraId="49811E1E">
            <w:pPr>
              <w:pStyle w:val="182"/>
              <w:ind w:firstLine="0" w:firstLineChars="0"/>
              <w:rPr>
                <w:rFonts w:hint="eastAsia" w:eastAsia="宋体"/>
                <w:color w:val="auto"/>
                <w:lang w:val="en-US" w:eastAsia="zh-CN"/>
              </w:rPr>
            </w:pPr>
            <w:r>
              <w:rPr>
                <w:rFonts w:hint="eastAsia"/>
                <w:lang w:val="en-US" w:eastAsia="zh-CN"/>
              </w:rPr>
              <w:t>22</w:t>
            </w:r>
          </w:p>
        </w:tc>
        <w:tc>
          <w:tcPr>
            <w:tcW w:w="465" w:type="pct"/>
            <w:vMerge w:val="continue"/>
            <w:tcBorders>
              <w:left w:val="single" w:color="auto" w:sz="6" w:space="0"/>
              <w:right w:val="single" w:color="auto" w:sz="6" w:space="0"/>
            </w:tcBorders>
            <w:vAlign w:val="center"/>
          </w:tcPr>
          <w:p w14:paraId="38338493">
            <w:pPr>
              <w:pStyle w:val="182"/>
              <w:rPr>
                <w:color w:val="auto"/>
              </w:rPr>
            </w:pPr>
          </w:p>
        </w:tc>
        <w:tc>
          <w:tcPr>
            <w:tcW w:w="1247" w:type="pct"/>
            <w:tcBorders>
              <w:left w:val="single" w:color="auto" w:sz="6" w:space="0"/>
              <w:right w:val="single" w:color="auto" w:sz="6" w:space="0"/>
            </w:tcBorders>
            <w:vAlign w:val="center"/>
          </w:tcPr>
          <w:p w14:paraId="05245C32">
            <w:pPr>
              <w:pStyle w:val="182"/>
              <w:ind w:firstLine="0" w:firstLineChars="0"/>
              <w:rPr>
                <w:color w:val="auto"/>
              </w:rPr>
            </w:pPr>
            <w:r>
              <w:rPr>
                <w:rFonts w:hint="eastAsia"/>
                <w:bCs/>
                <w:color w:val="auto"/>
              </w:rPr>
              <w:t>年产六千吨再生氨纶纤维项目</w:t>
            </w:r>
          </w:p>
        </w:tc>
        <w:tc>
          <w:tcPr>
            <w:tcW w:w="2609" w:type="pct"/>
            <w:tcBorders>
              <w:top w:val="single" w:color="auto" w:sz="4" w:space="0"/>
              <w:left w:val="single" w:color="auto" w:sz="6" w:space="0"/>
              <w:bottom w:val="single" w:color="auto" w:sz="4" w:space="0"/>
              <w:right w:val="single" w:color="auto" w:sz="8" w:space="0"/>
            </w:tcBorders>
            <w:vAlign w:val="center"/>
          </w:tcPr>
          <w:p w14:paraId="05D76499">
            <w:pPr>
              <w:pStyle w:val="182"/>
            </w:pPr>
            <w:r>
              <w:t>DMAC精制（真空泵尾气）废气：经管道引入170t/h燃煤锅炉炉膛燃烧处理后经80m高3#排气筒排放</w:t>
            </w:r>
            <w:r>
              <w:rPr>
                <w:rFonts w:hint="eastAsia" w:ascii="宋体" w:hAnsi="宋体"/>
              </w:rPr>
              <w:t>；</w:t>
            </w:r>
          </w:p>
          <w:p w14:paraId="4D28A6B7">
            <w:pPr>
              <w:pStyle w:val="182"/>
            </w:pPr>
            <w:r>
              <w:rPr>
                <w:rFonts w:hint="eastAsia"/>
              </w:rPr>
              <w:t>纺丝工艺废气：经两级水喷淋处理后与其他废气再经末端“两级水喷淋吸收”净化后由</w:t>
            </w:r>
            <w:r>
              <w:t>50m高8#排气筒排放</w:t>
            </w:r>
            <w:r>
              <w:rPr>
                <w:rFonts w:hint="eastAsia" w:ascii="宋体" w:hAnsi="宋体"/>
              </w:rPr>
              <w:t>；</w:t>
            </w:r>
          </w:p>
          <w:p w14:paraId="381483E3">
            <w:pPr>
              <w:pStyle w:val="182"/>
            </w:pPr>
            <w:r>
              <w:rPr>
                <w:rFonts w:hint="eastAsia"/>
              </w:rPr>
              <w:t>纺丝、卷绕车间废气：经末端“两级水喷淋吸收”净化后由</w:t>
            </w:r>
            <w:r>
              <w:t>50m高8#排气筒排放</w:t>
            </w:r>
            <w:r>
              <w:rPr>
                <w:rFonts w:hint="eastAsia" w:ascii="宋体" w:hAnsi="宋体"/>
              </w:rPr>
              <w:t>；</w:t>
            </w:r>
          </w:p>
          <w:p w14:paraId="446FAFBD">
            <w:pPr>
              <w:pStyle w:val="182"/>
            </w:pPr>
            <w:r>
              <w:rPr>
                <w:rFonts w:hint="eastAsia"/>
              </w:rPr>
              <w:t>纺丝组件清洗废气：抽风装置收集后，与其他废气经末端“两级水喷淋吸收”净化后由</w:t>
            </w:r>
            <w:r>
              <w:t>50m高8#排气筒排放</w:t>
            </w:r>
            <w:r>
              <w:rPr>
                <w:rFonts w:hint="eastAsia" w:ascii="宋体" w:hAnsi="宋体"/>
              </w:rPr>
              <w:t>；</w:t>
            </w:r>
          </w:p>
          <w:p w14:paraId="25759D8F">
            <w:pPr>
              <w:pStyle w:val="182"/>
              <w:ind w:firstLine="0" w:firstLineChars="0"/>
              <w:rPr>
                <w:rFonts w:hint="eastAsia"/>
                <w:color w:val="auto"/>
              </w:rPr>
            </w:pPr>
            <w:r>
              <w:rPr>
                <w:rFonts w:hint="eastAsia"/>
              </w:rPr>
              <w:t>切丝废气：密闭车间负压收集</w:t>
            </w:r>
            <w:r>
              <w:t>+袋式除尘器+21m高排气筒35#排放</w:t>
            </w:r>
            <w:r>
              <w:rPr>
                <w:rFonts w:hint="eastAsia" w:ascii="宋体" w:hAnsi="宋体"/>
              </w:rPr>
              <w:t>；</w:t>
            </w:r>
          </w:p>
        </w:tc>
      </w:tr>
      <w:tr w14:paraId="1D35E8F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204E2CC5">
            <w:pPr>
              <w:pStyle w:val="182"/>
              <w:rPr>
                <w:color w:val="auto"/>
              </w:rPr>
            </w:pPr>
          </w:p>
        </w:tc>
        <w:tc>
          <w:tcPr>
            <w:tcW w:w="516" w:type="dxa"/>
            <w:tcBorders>
              <w:left w:val="single" w:color="auto" w:sz="6" w:space="0"/>
              <w:bottom w:val="single" w:color="auto" w:sz="6" w:space="0"/>
              <w:right w:val="single" w:color="auto" w:sz="6" w:space="0"/>
            </w:tcBorders>
            <w:vAlign w:val="center"/>
          </w:tcPr>
          <w:p w14:paraId="30BEFCF2">
            <w:pPr>
              <w:pStyle w:val="182"/>
              <w:ind w:firstLine="0" w:firstLineChars="0"/>
              <w:rPr>
                <w:rFonts w:hint="eastAsia" w:eastAsia="宋体"/>
                <w:color w:val="auto"/>
                <w:lang w:eastAsia="zh-CN"/>
              </w:rPr>
            </w:pPr>
            <w:r>
              <w:rPr>
                <w:rFonts w:hint="eastAsia" w:eastAsia="宋体"/>
                <w:lang w:val="en-US" w:eastAsia="zh-CN"/>
              </w:rPr>
              <w:t>23</w:t>
            </w:r>
          </w:p>
        </w:tc>
        <w:tc>
          <w:tcPr>
            <w:tcW w:w="465" w:type="pct"/>
            <w:tcBorders>
              <w:left w:val="single" w:color="auto" w:sz="6" w:space="0"/>
              <w:bottom w:val="single" w:color="auto" w:sz="6" w:space="0"/>
              <w:right w:val="single" w:color="auto" w:sz="6" w:space="0"/>
            </w:tcBorders>
            <w:vAlign w:val="center"/>
          </w:tcPr>
          <w:p w14:paraId="325FF881">
            <w:pPr>
              <w:pStyle w:val="182"/>
              <w:rPr>
                <w:color w:val="auto"/>
              </w:rPr>
            </w:pPr>
            <w:r>
              <w:rPr>
                <w:rFonts w:hint="eastAsia"/>
                <w:color w:val="auto"/>
              </w:rPr>
              <w:t>废水处理设施</w:t>
            </w:r>
          </w:p>
        </w:tc>
        <w:tc>
          <w:tcPr>
            <w:tcW w:w="3857" w:type="pct"/>
            <w:gridSpan w:val="2"/>
            <w:tcBorders>
              <w:left w:val="single" w:color="auto" w:sz="6" w:space="0"/>
              <w:bottom w:val="single" w:color="auto" w:sz="6" w:space="0"/>
              <w:right w:val="single" w:color="auto" w:sz="8" w:space="0"/>
            </w:tcBorders>
            <w:vAlign w:val="center"/>
          </w:tcPr>
          <w:p w14:paraId="25875961">
            <w:pPr>
              <w:pStyle w:val="182"/>
              <w:rPr>
                <w:color w:val="auto"/>
              </w:rPr>
            </w:pPr>
            <w:r>
              <w:rPr>
                <w:rFonts w:hint="eastAsia"/>
                <w:color w:val="auto"/>
              </w:rPr>
              <w:t>现有废水通过分质分类进行处理，根据水质不同污水处理站分为四个单元，其中（1）粘胶废水－生活污水处理单元（6000m</w:t>
            </w:r>
            <w:r>
              <w:rPr>
                <w:rFonts w:hint="eastAsia"/>
                <w:color w:val="auto"/>
                <w:vertAlign w:val="superscript"/>
              </w:rPr>
              <w:t>3</w:t>
            </w:r>
            <w:r>
              <w:rPr>
                <w:rFonts w:hint="eastAsia"/>
                <w:color w:val="auto"/>
              </w:rPr>
              <w:t>/d）要处理粘胶废水、生活污水以及锅炉脱硫除尘废水，主要处理工艺为“酸化（仅粘胶废水需要）+调节+中和+沉淀+氧化沟+二沉池”处理工艺；（2）长丝酸性废水处理一区（19000m</w:t>
            </w:r>
            <w:r>
              <w:rPr>
                <w:rFonts w:hint="eastAsia"/>
                <w:color w:val="auto"/>
                <w:vertAlign w:val="superscript"/>
              </w:rPr>
              <w:t>3</w:t>
            </w:r>
            <w:r>
              <w:rPr>
                <w:rFonts w:hint="eastAsia"/>
                <w:color w:val="auto"/>
              </w:rPr>
              <w:t>/d）：主要处理长丝的酸性废水，主要处理工艺为“中和－沉淀-pH调节”；（3）氨纶废水处理单元（3000m</w:t>
            </w:r>
            <w:r>
              <w:rPr>
                <w:rFonts w:hint="eastAsia"/>
                <w:color w:val="auto"/>
                <w:vertAlign w:val="superscript"/>
              </w:rPr>
              <w:t>3</w:t>
            </w:r>
            <w:r>
              <w:rPr>
                <w:rFonts w:hint="eastAsia"/>
                <w:color w:val="auto"/>
              </w:rPr>
              <w:t>/d）：该单元主要处理氨纶生产期间产生的废水，处理工艺为“</w:t>
            </w:r>
            <w:r>
              <w:rPr>
                <w:rFonts w:hint="eastAsia"/>
                <w:color w:val="auto"/>
                <w:lang w:eastAsia="zh-CN"/>
              </w:rPr>
              <w:t>调节+混合池+沉淀+水解酸化+氧化沟+二沉池</w:t>
            </w:r>
            <w:r>
              <w:rPr>
                <w:rFonts w:hint="eastAsia"/>
                <w:color w:val="auto"/>
              </w:rPr>
              <w:t>”；（4）长丝酸性废水处理二区（10000m</w:t>
            </w:r>
            <w:r>
              <w:rPr>
                <w:rFonts w:hint="eastAsia"/>
                <w:color w:val="auto"/>
                <w:vertAlign w:val="superscript"/>
              </w:rPr>
              <w:t>3</w:t>
            </w:r>
            <w:r>
              <w:rPr>
                <w:rFonts w:hint="eastAsia"/>
                <w:color w:val="auto"/>
              </w:rPr>
              <w:t>/d）：主要处理长丝酸性废水，主要处理工艺为“中和-沉淀-pH调节”。全厂废水经处理达标混合后外排进入园区污水管网，最终排入小店污水处理厂。</w:t>
            </w:r>
          </w:p>
        </w:tc>
      </w:tr>
      <w:tr w14:paraId="299D079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15A2BF9F">
            <w:pPr>
              <w:pStyle w:val="182"/>
              <w:rPr>
                <w:color w:val="auto"/>
              </w:rPr>
            </w:pPr>
          </w:p>
        </w:tc>
        <w:tc>
          <w:tcPr>
            <w:tcW w:w="516" w:type="dxa"/>
            <w:tcBorders>
              <w:left w:val="single" w:color="auto" w:sz="6" w:space="0"/>
              <w:right w:val="single" w:color="auto" w:sz="6" w:space="0"/>
            </w:tcBorders>
            <w:vAlign w:val="center"/>
          </w:tcPr>
          <w:p w14:paraId="00B49C46">
            <w:pPr>
              <w:pStyle w:val="182"/>
              <w:ind w:firstLine="0" w:firstLineChars="0"/>
              <w:rPr>
                <w:rFonts w:hint="eastAsia" w:eastAsia="宋体"/>
                <w:color w:val="auto"/>
                <w:lang w:val="en-US" w:eastAsia="zh-CN"/>
              </w:rPr>
            </w:pPr>
            <w:r>
              <w:rPr>
                <w:rFonts w:hint="eastAsia" w:eastAsia="宋体"/>
                <w:lang w:val="en-US" w:eastAsia="zh-CN"/>
              </w:rPr>
              <w:t>24</w:t>
            </w:r>
          </w:p>
        </w:tc>
        <w:tc>
          <w:tcPr>
            <w:tcW w:w="465" w:type="pct"/>
            <w:vMerge w:val="restart"/>
            <w:tcBorders>
              <w:left w:val="single" w:color="auto" w:sz="6" w:space="0"/>
              <w:right w:val="single" w:color="auto" w:sz="6" w:space="0"/>
            </w:tcBorders>
            <w:vAlign w:val="center"/>
          </w:tcPr>
          <w:p w14:paraId="4EB7C090">
            <w:pPr>
              <w:pStyle w:val="182"/>
              <w:rPr>
                <w:color w:val="auto"/>
              </w:rPr>
            </w:pPr>
            <w:r>
              <w:rPr>
                <w:rFonts w:hint="eastAsia"/>
                <w:color w:val="auto"/>
              </w:rPr>
              <w:t>固体废物</w:t>
            </w:r>
          </w:p>
        </w:tc>
        <w:tc>
          <w:tcPr>
            <w:tcW w:w="1247" w:type="pct"/>
            <w:tcBorders>
              <w:left w:val="single" w:color="auto" w:sz="6" w:space="0"/>
              <w:bottom w:val="single" w:color="auto" w:sz="6" w:space="0"/>
              <w:right w:val="single" w:color="auto" w:sz="6" w:space="0"/>
            </w:tcBorders>
            <w:vAlign w:val="center"/>
          </w:tcPr>
          <w:p w14:paraId="2DB8BE67">
            <w:pPr>
              <w:pStyle w:val="182"/>
              <w:rPr>
                <w:color w:val="auto"/>
              </w:rPr>
            </w:pPr>
            <w:r>
              <w:rPr>
                <w:rFonts w:hint="eastAsia"/>
                <w:color w:val="auto"/>
              </w:rPr>
              <w:t>危险废物</w:t>
            </w:r>
          </w:p>
        </w:tc>
        <w:tc>
          <w:tcPr>
            <w:tcW w:w="4450" w:type="dxa"/>
            <w:tcBorders>
              <w:top w:val="single" w:color="auto" w:sz="6" w:space="0"/>
              <w:left w:val="single" w:color="auto" w:sz="6" w:space="0"/>
              <w:bottom w:val="single" w:color="auto" w:sz="6" w:space="0"/>
              <w:right w:val="single" w:color="auto" w:sz="8" w:space="0"/>
            </w:tcBorders>
            <w:vAlign w:val="center"/>
          </w:tcPr>
          <w:p w14:paraId="42DDBA6E">
            <w:pPr>
              <w:pStyle w:val="182"/>
              <w:ind w:firstLine="0" w:firstLineChars="0"/>
              <w:rPr>
                <w:color w:val="auto"/>
              </w:rPr>
            </w:pPr>
            <w:r>
              <w:rPr>
                <w:rFonts w:hint="eastAsia"/>
                <w:b/>
                <w:bCs/>
                <w:u w:val="single"/>
              </w:rPr>
              <w:t>厂区建设有3座危险废物暂存间</w:t>
            </w:r>
            <w:r>
              <w:rPr>
                <w:rFonts w:hint="eastAsia"/>
                <w:b/>
                <w:bCs/>
                <w:u w:val="single"/>
                <w:lang w:eastAsia="zh-CN"/>
              </w:rPr>
              <w:t>，</w:t>
            </w:r>
            <w:r>
              <w:rPr>
                <w:rFonts w:hint="eastAsia"/>
                <w:b/>
                <w:bCs/>
                <w:u w:val="single"/>
                <w:lang w:val="en-US" w:eastAsia="zh-CN"/>
              </w:rPr>
              <w:t>编号TS001面积288平方米；编号TS002面积25平方米；编号TS003面积264平方米</w:t>
            </w:r>
          </w:p>
        </w:tc>
      </w:tr>
      <w:tr w14:paraId="43AA842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74" w:type="pct"/>
            <w:vMerge w:val="continue"/>
            <w:tcBorders>
              <w:top w:val="single" w:color="auto" w:sz="6" w:space="0"/>
              <w:left w:val="single" w:color="auto" w:sz="6" w:space="0"/>
              <w:bottom w:val="single" w:color="auto" w:sz="6" w:space="0"/>
              <w:right w:val="single" w:color="auto" w:sz="6" w:space="0"/>
            </w:tcBorders>
            <w:vAlign w:val="center"/>
          </w:tcPr>
          <w:p w14:paraId="5C6C40C8">
            <w:pPr>
              <w:pStyle w:val="182"/>
              <w:rPr>
                <w:color w:val="auto"/>
              </w:rPr>
            </w:pPr>
          </w:p>
        </w:tc>
        <w:tc>
          <w:tcPr>
            <w:tcW w:w="516" w:type="dxa"/>
            <w:tcBorders>
              <w:left w:val="single" w:color="auto" w:sz="6" w:space="0"/>
              <w:bottom w:val="single" w:color="auto" w:sz="6" w:space="0"/>
              <w:right w:val="single" w:color="auto" w:sz="6" w:space="0"/>
            </w:tcBorders>
            <w:vAlign w:val="center"/>
          </w:tcPr>
          <w:p w14:paraId="1B40EF51">
            <w:pPr>
              <w:pStyle w:val="182"/>
              <w:ind w:firstLine="0" w:firstLineChars="0"/>
              <w:rPr>
                <w:rFonts w:hint="default" w:eastAsia="宋体"/>
                <w:color w:val="auto"/>
                <w:lang w:val="en-US" w:eastAsia="zh-CN"/>
              </w:rPr>
            </w:pPr>
            <w:r>
              <w:rPr>
                <w:rFonts w:hint="eastAsia"/>
                <w:lang w:val="en-US" w:eastAsia="zh-CN"/>
              </w:rPr>
              <w:t>25</w:t>
            </w:r>
          </w:p>
        </w:tc>
        <w:tc>
          <w:tcPr>
            <w:tcW w:w="465" w:type="pct"/>
            <w:vMerge w:val="continue"/>
            <w:tcBorders>
              <w:left w:val="single" w:color="auto" w:sz="6" w:space="0"/>
              <w:bottom w:val="single" w:color="auto" w:sz="6" w:space="0"/>
              <w:right w:val="single" w:color="auto" w:sz="6" w:space="0"/>
            </w:tcBorders>
            <w:vAlign w:val="center"/>
          </w:tcPr>
          <w:p w14:paraId="20611169">
            <w:pPr>
              <w:pStyle w:val="182"/>
              <w:rPr>
                <w:color w:val="auto"/>
              </w:rPr>
            </w:pPr>
          </w:p>
        </w:tc>
        <w:tc>
          <w:tcPr>
            <w:tcW w:w="1247" w:type="pct"/>
            <w:tcBorders>
              <w:left w:val="single" w:color="auto" w:sz="6" w:space="0"/>
              <w:bottom w:val="single" w:color="auto" w:sz="6" w:space="0"/>
              <w:right w:val="single" w:color="auto" w:sz="6" w:space="0"/>
            </w:tcBorders>
            <w:vAlign w:val="center"/>
          </w:tcPr>
          <w:p w14:paraId="7561232F">
            <w:pPr>
              <w:pStyle w:val="182"/>
              <w:rPr>
                <w:color w:val="auto"/>
              </w:rPr>
            </w:pPr>
            <w:r>
              <w:rPr>
                <w:rFonts w:hint="eastAsia"/>
                <w:color w:val="auto"/>
              </w:rPr>
              <w:t>一般废物</w:t>
            </w:r>
          </w:p>
        </w:tc>
        <w:tc>
          <w:tcPr>
            <w:tcW w:w="4450" w:type="dxa"/>
            <w:tcBorders>
              <w:top w:val="single" w:color="auto" w:sz="6" w:space="0"/>
              <w:left w:val="single" w:color="auto" w:sz="6" w:space="0"/>
              <w:bottom w:val="single" w:color="auto" w:sz="6" w:space="0"/>
              <w:right w:val="single" w:color="auto" w:sz="8" w:space="0"/>
            </w:tcBorders>
            <w:vAlign w:val="center"/>
          </w:tcPr>
          <w:p w14:paraId="63AFA04F">
            <w:pPr>
              <w:pStyle w:val="182"/>
              <w:ind w:firstLine="0" w:firstLineChars="0"/>
              <w:rPr>
                <w:color w:val="auto"/>
              </w:rPr>
            </w:pPr>
            <w:r>
              <w:rPr>
                <w:rFonts w:hint="eastAsia"/>
                <w:b/>
                <w:bCs/>
                <w:u w:val="single"/>
              </w:rPr>
              <w:t>厂区设置灰库</w:t>
            </w:r>
            <w:r>
              <w:rPr>
                <w:rFonts w:hint="eastAsia"/>
                <w:b/>
                <w:bCs/>
                <w:u w:val="single"/>
                <w:lang w:val="en-US" w:eastAsia="zh-CN"/>
              </w:rPr>
              <w:t>3座编号MF0026面积400平方米；编号MF0027面积700平方米；编号MF1091面积1200平方米。</w:t>
            </w:r>
            <w:r>
              <w:rPr>
                <w:rFonts w:hint="eastAsia"/>
                <w:b/>
                <w:bCs/>
                <w:u w:val="single"/>
              </w:rPr>
              <w:t>渣库</w:t>
            </w:r>
            <w:r>
              <w:rPr>
                <w:rFonts w:hint="eastAsia"/>
                <w:b/>
                <w:bCs/>
                <w:u w:val="single"/>
                <w:lang w:val="en-US" w:eastAsia="zh-CN"/>
              </w:rPr>
              <w:t>1座编号MF0028面积120平方米。</w:t>
            </w:r>
            <w:r>
              <w:rPr>
                <w:rFonts w:hint="eastAsia"/>
                <w:b/>
                <w:bCs/>
                <w:u w:val="single"/>
              </w:rPr>
              <w:t>一般固废暂存间1座</w:t>
            </w:r>
            <w:r>
              <w:rPr>
                <w:rFonts w:hint="eastAsia"/>
                <w:b/>
                <w:bCs/>
                <w:u w:val="single"/>
                <w:lang w:val="en-US" w:eastAsia="zh-CN"/>
              </w:rPr>
              <w:t>编号TS004面积500平方米</w:t>
            </w:r>
          </w:p>
        </w:tc>
      </w:tr>
      <w:bookmarkEnd w:id="156"/>
    </w:tbl>
    <w:p w14:paraId="664BC2A4">
      <w:pPr>
        <w:pStyle w:val="5"/>
        <w:bidi w:val="0"/>
      </w:pPr>
      <w:r>
        <w:rPr>
          <w:rFonts w:hint="eastAsia"/>
        </w:rPr>
        <w:t>已建工程主要生产设备</w:t>
      </w:r>
    </w:p>
    <w:p w14:paraId="24912B96">
      <w:pPr>
        <w:ind w:firstLine="480"/>
      </w:pPr>
      <w:r>
        <w:rPr>
          <w:rFonts w:hint="eastAsia"/>
          <w:lang w:val="en-US" w:eastAsia="zh-CN"/>
        </w:rPr>
        <w:t>已建项目</w:t>
      </w:r>
      <w:r>
        <w:rPr>
          <w:rFonts w:hint="eastAsia"/>
        </w:rPr>
        <w:t>主要生产设备见</w:t>
      </w:r>
      <w:r>
        <w:rPr>
          <w:rFonts w:hint="eastAsia"/>
          <w:lang w:val="en-US" w:eastAsia="zh-CN"/>
        </w:rPr>
        <w:t>下表</w:t>
      </w:r>
      <w:r>
        <w:rPr>
          <w:rFonts w:hint="eastAsia"/>
        </w:rPr>
        <w:t>。</w:t>
      </w:r>
    </w:p>
    <w:p w14:paraId="5F3EC361">
      <w:pPr>
        <w:pStyle w:val="10"/>
        <w:bidi w:val="0"/>
        <w:rPr>
          <w:rFonts w:hint="eastAsia"/>
        </w:rPr>
      </w:pPr>
      <w:r>
        <w:t xml:space="preserve">表 </w:t>
      </w:r>
      <w:r>
        <w:fldChar w:fldCharType="begin"/>
      </w:r>
      <w:r>
        <w:instrText xml:space="preserve"> STYLEREF 2 \s </w:instrText>
      </w:r>
      <w:r>
        <w:fldChar w:fldCharType="separate"/>
      </w:r>
      <w:r>
        <w:t>3.3</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rPr>
          <w:rFonts w:hint="eastAsia"/>
        </w:rPr>
        <w:t xml:space="preserve"> 已建工程主要生产设备一览表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2"/>
        <w:gridCol w:w="675"/>
        <w:gridCol w:w="63"/>
        <w:gridCol w:w="223"/>
        <w:gridCol w:w="1591"/>
        <w:gridCol w:w="193"/>
        <w:gridCol w:w="4162"/>
        <w:gridCol w:w="1080"/>
      </w:tblGrid>
      <w:tr w14:paraId="21AEC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65F591E">
            <w:pPr>
              <w:pStyle w:val="182"/>
              <w:rPr>
                <w:b/>
                <w:bCs/>
                <w:color w:val="auto"/>
              </w:rPr>
            </w:pPr>
            <w:r>
              <w:rPr>
                <w:rFonts w:hint="eastAsia"/>
                <w:b/>
                <w:bCs/>
                <w:color w:val="auto"/>
              </w:rPr>
              <w:t>序号</w:t>
            </w:r>
          </w:p>
        </w:tc>
        <w:tc>
          <w:tcPr>
            <w:tcW w:w="1498" w:type="pct"/>
            <w:gridSpan w:val="4"/>
            <w:shd w:val="clear" w:color="auto" w:fill="auto"/>
            <w:noWrap w:val="0"/>
            <w:vAlign w:val="center"/>
          </w:tcPr>
          <w:p w14:paraId="49238D5C">
            <w:pPr>
              <w:pStyle w:val="182"/>
              <w:rPr>
                <w:b/>
                <w:bCs/>
                <w:color w:val="auto"/>
              </w:rPr>
            </w:pPr>
            <w:r>
              <w:rPr>
                <w:rFonts w:hint="eastAsia"/>
                <w:b/>
                <w:bCs/>
                <w:color w:val="auto"/>
              </w:rPr>
              <w:t>设备名称</w:t>
            </w:r>
          </w:p>
        </w:tc>
        <w:tc>
          <w:tcPr>
            <w:tcW w:w="2556" w:type="pct"/>
            <w:gridSpan w:val="2"/>
            <w:shd w:val="clear" w:color="auto" w:fill="auto"/>
            <w:noWrap w:val="0"/>
            <w:vAlign w:val="center"/>
          </w:tcPr>
          <w:p w14:paraId="1498397D">
            <w:pPr>
              <w:pStyle w:val="182"/>
              <w:rPr>
                <w:b/>
                <w:bCs/>
                <w:color w:val="auto"/>
              </w:rPr>
            </w:pPr>
            <w:r>
              <w:rPr>
                <w:rFonts w:hint="eastAsia"/>
                <w:b/>
                <w:bCs/>
                <w:color w:val="auto"/>
              </w:rPr>
              <w:t>规格型号</w:t>
            </w:r>
          </w:p>
        </w:tc>
        <w:tc>
          <w:tcPr>
            <w:tcW w:w="632" w:type="pct"/>
            <w:shd w:val="clear" w:color="auto" w:fill="auto"/>
            <w:noWrap w:val="0"/>
            <w:vAlign w:val="center"/>
          </w:tcPr>
          <w:p w14:paraId="6FE159B0">
            <w:pPr>
              <w:pStyle w:val="182"/>
              <w:rPr>
                <w:b/>
                <w:bCs/>
                <w:color w:val="auto"/>
              </w:rPr>
            </w:pPr>
            <w:r>
              <w:rPr>
                <w:rFonts w:hint="eastAsia"/>
                <w:b/>
                <w:bCs/>
                <w:color w:val="auto"/>
              </w:rPr>
              <w:t>数量</w:t>
            </w:r>
          </w:p>
          <w:p w14:paraId="1417DC6B">
            <w:pPr>
              <w:pStyle w:val="182"/>
              <w:rPr>
                <w:b/>
                <w:bCs/>
                <w:color w:val="auto"/>
              </w:rPr>
            </w:pPr>
            <w:r>
              <w:rPr>
                <w:rFonts w:hint="eastAsia"/>
                <w:b/>
                <w:bCs/>
                <w:color w:val="auto"/>
              </w:rPr>
              <w:t>（台/套）</w:t>
            </w:r>
          </w:p>
        </w:tc>
      </w:tr>
      <w:tr w14:paraId="18684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shd w:val="clear" w:color="auto" w:fill="auto"/>
            <w:noWrap w:val="0"/>
            <w:vAlign w:val="center"/>
          </w:tcPr>
          <w:p w14:paraId="60ADF0AE">
            <w:pPr>
              <w:pStyle w:val="182"/>
              <w:rPr>
                <w:b/>
                <w:color w:val="auto"/>
              </w:rPr>
            </w:pPr>
            <w:r>
              <w:rPr>
                <w:rFonts w:hint="eastAsia"/>
                <w:b/>
                <w:color w:val="auto"/>
              </w:rPr>
              <w:t>1、年产5000吨差别化新型连续纺粘胶长丝工程</w:t>
            </w:r>
          </w:p>
        </w:tc>
      </w:tr>
      <w:tr w14:paraId="428BC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200FAB99">
            <w:pPr>
              <w:pStyle w:val="182"/>
              <w:rPr>
                <w:color w:val="auto"/>
              </w:rPr>
            </w:pPr>
            <w:r>
              <w:rPr>
                <w:color w:val="auto"/>
              </w:rPr>
              <w:t>1</w:t>
            </w:r>
          </w:p>
        </w:tc>
        <w:tc>
          <w:tcPr>
            <w:tcW w:w="433" w:type="pct"/>
            <w:gridSpan w:val="2"/>
            <w:vMerge w:val="restart"/>
            <w:shd w:val="clear" w:color="auto" w:fill="auto"/>
            <w:noWrap w:val="0"/>
            <w:vAlign w:val="center"/>
          </w:tcPr>
          <w:p w14:paraId="49147B8C">
            <w:pPr>
              <w:pStyle w:val="182"/>
              <w:rPr>
                <w:color w:val="auto"/>
              </w:rPr>
            </w:pPr>
            <w:r>
              <w:rPr>
                <w:rFonts w:hint="eastAsia"/>
                <w:color w:val="auto"/>
              </w:rPr>
              <w:t>原液车间</w:t>
            </w:r>
          </w:p>
        </w:tc>
        <w:tc>
          <w:tcPr>
            <w:tcW w:w="1065" w:type="pct"/>
            <w:gridSpan w:val="2"/>
            <w:vMerge w:val="restart"/>
            <w:shd w:val="clear" w:color="auto" w:fill="auto"/>
            <w:noWrap w:val="0"/>
            <w:vAlign w:val="center"/>
          </w:tcPr>
          <w:p w14:paraId="3BB0284C">
            <w:pPr>
              <w:pStyle w:val="182"/>
              <w:rPr>
                <w:color w:val="auto"/>
              </w:rPr>
            </w:pPr>
            <w:r>
              <w:rPr>
                <w:rFonts w:hint="eastAsia"/>
                <w:color w:val="auto"/>
              </w:rPr>
              <w:t>喂粕机</w:t>
            </w:r>
          </w:p>
        </w:tc>
        <w:tc>
          <w:tcPr>
            <w:tcW w:w="2556" w:type="pct"/>
            <w:gridSpan w:val="2"/>
            <w:shd w:val="clear" w:color="auto" w:fill="auto"/>
            <w:noWrap w:val="0"/>
            <w:vAlign w:val="center"/>
          </w:tcPr>
          <w:p w14:paraId="465B5D8C">
            <w:pPr>
              <w:pStyle w:val="182"/>
              <w:rPr>
                <w:color w:val="auto"/>
              </w:rPr>
            </w:pPr>
            <w:r>
              <w:rPr>
                <w:color w:val="auto"/>
              </w:rPr>
              <w:t>R091A 2.2KW</w:t>
            </w:r>
          </w:p>
        </w:tc>
        <w:tc>
          <w:tcPr>
            <w:tcW w:w="632" w:type="pct"/>
            <w:shd w:val="clear" w:color="auto" w:fill="auto"/>
            <w:noWrap w:val="0"/>
            <w:vAlign w:val="center"/>
          </w:tcPr>
          <w:p w14:paraId="6B4D57DE">
            <w:pPr>
              <w:pStyle w:val="182"/>
              <w:rPr>
                <w:color w:val="auto"/>
              </w:rPr>
            </w:pPr>
            <w:r>
              <w:rPr>
                <w:rFonts w:hint="eastAsia"/>
                <w:color w:val="auto"/>
              </w:rPr>
              <w:t>4</w:t>
            </w:r>
          </w:p>
        </w:tc>
      </w:tr>
      <w:tr w14:paraId="5FB71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17C67EB">
            <w:pPr>
              <w:pStyle w:val="182"/>
              <w:rPr>
                <w:color w:val="auto"/>
              </w:rPr>
            </w:pPr>
            <w:r>
              <w:rPr>
                <w:color w:val="auto"/>
              </w:rPr>
              <w:t>2</w:t>
            </w:r>
          </w:p>
        </w:tc>
        <w:tc>
          <w:tcPr>
            <w:tcW w:w="433" w:type="pct"/>
            <w:gridSpan w:val="2"/>
            <w:vMerge w:val="continue"/>
            <w:shd w:val="clear" w:color="auto" w:fill="auto"/>
            <w:noWrap w:val="0"/>
            <w:vAlign w:val="center"/>
          </w:tcPr>
          <w:p w14:paraId="6044172B">
            <w:pPr>
              <w:pStyle w:val="182"/>
              <w:rPr>
                <w:color w:val="auto"/>
              </w:rPr>
            </w:pPr>
          </w:p>
        </w:tc>
        <w:tc>
          <w:tcPr>
            <w:tcW w:w="1065" w:type="pct"/>
            <w:gridSpan w:val="2"/>
            <w:vMerge w:val="continue"/>
            <w:shd w:val="clear" w:color="auto" w:fill="auto"/>
            <w:noWrap w:val="0"/>
            <w:vAlign w:val="center"/>
          </w:tcPr>
          <w:p w14:paraId="11AAB3C2">
            <w:pPr>
              <w:pStyle w:val="182"/>
              <w:rPr>
                <w:color w:val="auto"/>
              </w:rPr>
            </w:pPr>
          </w:p>
        </w:tc>
        <w:tc>
          <w:tcPr>
            <w:tcW w:w="2556" w:type="pct"/>
            <w:gridSpan w:val="2"/>
            <w:shd w:val="clear" w:color="auto" w:fill="auto"/>
            <w:noWrap w:val="0"/>
            <w:vAlign w:val="center"/>
          </w:tcPr>
          <w:p w14:paraId="1794F72E">
            <w:pPr>
              <w:pStyle w:val="182"/>
              <w:rPr>
                <w:color w:val="auto"/>
              </w:rPr>
            </w:pPr>
            <w:r>
              <w:rPr>
                <w:rFonts w:hint="eastAsia"/>
                <w:color w:val="auto"/>
              </w:rPr>
              <w:t>P091 0.55KW；TD75-00 4KW</w:t>
            </w:r>
          </w:p>
        </w:tc>
        <w:tc>
          <w:tcPr>
            <w:tcW w:w="632" w:type="pct"/>
            <w:shd w:val="clear" w:color="auto" w:fill="auto"/>
            <w:noWrap w:val="0"/>
            <w:vAlign w:val="center"/>
          </w:tcPr>
          <w:p w14:paraId="5235D24E">
            <w:pPr>
              <w:pStyle w:val="182"/>
              <w:rPr>
                <w:color w:val="auto"/>
              </w:rPr>
            </w:pPr>
            <w:r>
              <w:rPr>
                <w:rFonts w:hint="eastAsia"/>
                <w:color w:val="auto"/>
              </w:rPr>
              <w:t>2</w:t>
            </w:r>
          </w:p>
        </w:tc>
      </w:tr>
      <w:tr w14:paraId="29397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4BB5620">
            <w:pPr>
              <w:pStyle w:val="182"/>
              <w:rPr>
                <w:color w:val="auto"/>
              </w:rPr>
            </w:pPr>
            <w:r>
              <w:rPr>
                <w:color w:val="auto"/>
              </w:rPr>
              <w:t>3</w:t>
            </w:r>
          </w:p>
        </w:tc>
        <w:tc>
          <w:tcPr>
            <w:tcW w:w="433" w:type="pct"/>
            <w:gridSpan w:val="2"/>
            <w:vMerge w:val="continue"/>
            <w:shd w:val="clear" w:color="auto" w:fill="auto"/>
            <w:noWrap w:val="0"/>
            <w:vAlign w:val="center"/>
          </w:tcPr>
          <w:p w14:paraId="2D08EC71">
            <w:pPr>
              <w:pStyle w:val="182"/>
              <w:rPr>
                <w:color w:val="auto"/>
              </w:rPr>
            </w:pPr>
          </w:p>
        </w:tc>
        <w:tc>
          <w:tcPr>
            <w:tcW w:w="1065" w:type="pct"/>
            <w:gridSpan w:val="2"/>
            <w:vMerge w:val="restart"/>
            <w:shd w:val="clear" w:color="auto" w:fill="auto"/>
            <w:noWrap w:val="0"/>
            <w:vAlign w:val="center"/>
          </w:tcPr>
          <w:p w14:paraId="0D1FCEA9">
            <w:pPr>
              <w:pStyle w:val="182"/>
              <w:rPr>
                <w:color w:val="auto"/>
              </w:rPr>
            </w:pPr>
            <w:r>
              <w:rPr>
                <w:rFonts w:hint="eastAsia"/>
                <w:color w:val="auto"/>
              </w:rPr>
              <w:t>浸渍桶</w:t>
            </w:r>
          </w:p>
        </w:tc>
        <w:tc>
          <w:tcPr>
            <w:tcW w:w="2556" w:type="pct"/>
            <w:gridSpan w:val="2"/>
            <w:shd w:val="clear" w:color="auto" w:fill="auto"/>
            <w:noWrap w:val="0"/>
            <w:vAlign w:val="center"/>
          </w:tcPr>
          <w:p w14:paraId="597365AB">
            <w:pPr>
              <w:pStyle w:val="182"/>
              <w:rPr>
                <w:color w:val="auto"/>
              </w:rPr>
            </w:pPr>
            <w:r>
              <w:rPr>
                <w:color w:val="auto"/>
              </w:rPr>
              <w:t>RO22 φ2000 V=9.5M3</w:t>
            </w:r>
          </w:p>
        </w:tc>
        <w:tc>
          <w:tcPr>
            <w:tcW w:w="632" w:type="pct"/>
            <w:shd w:val="clear" w:color="auto" w:fill="auto"/>
            <w:noWrap w:val="0"/>
            <w:vAlign w:val="center"/>
          </w:tcPr>
          <w:p w14:paraId="6E8AD739">
            <w:pPr>
              <w:pStyle w:val="182"/>
              <w:rPr>
                <w:color w:val="auto"/>
              </w:rPr>
            </w:pPr>
            <w:r>
              <w:rPr>
                <w:rFonts w:hint="eastAsia"/>
                <w:color w:val="auto"/>
              </w:rPr>
              <w:t>4</w:t>
            </w:r>
          </w:p>
        </w:tc>
      </w:tr>
      <w:tr w14:paraId="3279F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F496FA3">
            <w:pPr>
              <w:pStyle w:val="182"/>
              <w:rPr>
                <w:color w:val="auto"/>
              </w:rPr>
            </w:pPr>
            <w:r>
              <w:rPr>
                <w:color w:val="auto"/>
              </w:rPr>
              <w:t>4</w:t>
            </w:r>
          </w:p>
        </w:tc>
        <w:tc>
          <w:tcPr>
            <w:tcW w:w="433" w:type="pct"/>
            <w:gridSpan w:val="2"/>
            <w:vMerge w:val="continue"/>
            <w:shd w:val="clear" w:color="auto" w:fill="auto"/>
            <w:noWrap w:val="0"/>
            <w:vAlign w:val="center"/>
          </w:tcPr>
          <w:p w14:paraId="3622A44F">
            <w:pPr>
              <w:pStyle w:val="182"/>
              <w:rPr>
                <w:color w:val="auto"/>
              </w:rPr>
            </w:pPr>
          </w:p>
        </w:tc>
        <w:tc>
          <w:tcPr>
            <w:tcW w:w="1065" w:type="pct"/>
            <w:gridSpan w:val="2"/>
            <w:vMerge w:val="continue"/>
            <w:shd w:val="clear" w:color="auto" w:fill="auto"/>
            <w:noWrap w:val="0"/>
            <w:vAlign w:val="center"/>
          </w:tcPr>
          <w:p w14:paraId="6DF4CA95">
            <w:pPr>
              <w:pStyle w:val="182"/>
              <w:rPr>
                <w:color w:val="auto"/>
              </w:rPr>
            </w:pPr>
          </w:p>
        </w:tc>
        <w:tc>
          <w:tcPr>
            <w:tcW w:w="2556" w:type="pct"/>
            <w:gridSpan w:val="2"/>
            <w:shd w:val="clear" w:color="auto" w:fill="auto"/>
            <w:noWrap w:val="0"/>
            <w:vAlign w:val="center"/>
          </w:tcPr>
          <w:p w14:paraId="69BBB901">
            <w:pPr>
              <w:pStyle w:val="182"/>
              <w:rPr>
                <w:color w:val="auto"/>
              </w:rPr>
            </w:pPr>
            <w:r>
              <w:rPr>
                <w:rFonts w:hint="eastAsia"/>
                <w:color w:val="auto"/>
              </w:rPr>
              <w:t>FY2004 浸渍桶φ3500 V=18m</w:t>
            </w:r>
            <w:r>
              <w:rPr>
                <w:rFonts w:hint="eastAsia"/>
                <w:color w:val="auto"/>
                <w:vertAlign w:val="superscript"/>
              </w:rPr>
              <w:t>3</w:t>
            </w:r>
          </w:p>
        </w:tc>
        <w:tc>
          <w:tcPr>
            <w:tcW w:w="632" w:type="pct"/>
            <w:shd w:val="clear" w:color="auto" w:fill="auto"/>
            <w:noWrap w:val="0"/>
            <w:vAlign w:val="center"/>
          </w:tcPr>
          <w:p w14:paraId="4A381F32">
            <w:pPr>
              <w:pStyle w:val="182"/>
              <w:rPr>
                <w:color w:val="auto"/>
              </w:rPr>
            </w:pPr>
            <w:r>
              <w:rPr>
                <w:rFonts w:hint="eastAsia"/>
                <w:color w:val="auto"/>
              </w:rPr>
              <w:t>2</w:t>
            </w:r>
          </w:p>
        </w:tc>
      </w:tr>
      <w:tr w14:paraId="52993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B3FDB25">
            <w:pPr>
              <w:pStyle w:val="182"/>
              <w:rPr>
                <w:color w:val="auto"/>
              </w:rPr>
            </w:pPr>
            <w:r>
              <w:rPr>
                <w:color w:val="auto"/>
              </w:rPr>
              <w:t>5</w:t>
            </w:r>
          </w:p>
        </w:tc>
        <w:tc>
          <w:tcPr>
            <w:tcW w:w="433" w:type="pct"/>
            <w:gridSpan w:val="2"/>
            <w:vMerge w:val="continue"/>
            <w:shd w:val="clear" w:color="auto" w:fill="auto"/>
            <w:noWrap w:val="0"/>
            <w:vAlign w:val="center"/>
          </w:tcPr>
          <w:p w14:paraId="6683BA88">
            <w:pPr>
              <w:pStyle w:val="182"/>
              <w:rPr>
                <w:color w:val="auto"/>
              </w:rPr>
            </w:pPr>
          </w:p>
        </w:tc>
        <w:tc>
          <w:tcPr>
            <w:tcW w:w="1065" w:type="pct"/>
            <w:gridSpan w:val="2"/>
            <w:shd w:val="clear" w:color="auto" w:fill="auto"/>
            <w:noWrap w:val="0"/>
            <w:vAlign w:val="center"/>
          </w:tcPr>
          <w:p w14:paraId="3BC028E9">
            <w:pPr>
              <w:pStyle w:val="182"/>
              <w:rPr>
                <w:color w:val="auto"/>
              </w:rPr>
            </w:pPr>
            <w:r>
              <w:rPr>
                <w:rFonts w:hint="eastAsia"/>
                <w:color w:val="auto"/>
              </w:rPr>
              <w:t>压榨粉碎联合机</w:t>
            </w:r>
          </w:p>
        </w:tc>
        <w:tc>
          <w:tcPr>
            <w:tcW w:w="2556" w:type="pct"/>
            <w:gridSpan w:val="2"/>
            <w:shd w:val="clear" w:color="auto" w:fill="auto"/>
            <w:noWrap w:val="0"/>
            <w:vAlign w:val="center"/>
          </w:tcPr>
          <w:p w14:paraId="2DCA0622">
            <w:pPr>
              <w:pStyle w:val="182"/>
              <w:rPr>
                <w:color w:val="auto"/>
              </w:rPr>
            </w:pPr>
            <w:r>
              <w:rPr>
                <w:color w:val="auto"/>
              </w:rPr>
              <w:t>FYR055 10.5KW</w:t>
            </w:r>
          </w:p>
        </w:tc>
        <w:tc>
          <w:tcPr>
            <w:tcW w:w="632" w:type="pct"/>
            <w:shd w:val="clear" w:color="auto" w:fill="auto"/>
            <w:noWrap w:val="0"/>
            <w:vAlign w:val="center"/>
          </w:tcPr>
          <w:p w14:paraId="6A34A635">
            <w:pPr>
              <w:pStyle w:val="182"/>
              <w:rPr>
                <w:color w:val="auto"/>
              </w:rPr>
            </w:pPr>
            <w:r>
              <w:rPr>
                <w:rFonts w:hint="eastAsia"/>
                <w:color w:val="auto"/>
              </w:rPr>
              <w:t>4</w:t>
            </w:r>
          </w:p>
        </w:tc>
      </w:tr>
      <w:tr w14:paraId="552EB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D434678">
            <w:pPr>
              <w:pStyle w:val="182"/>
              <w:rPr>
                <w:color w:val="auto"/>
              </w:rPr>
            </w:pPr>
            <w:r>
              <w:rPr>
                <w:rFonts w:hint="eastAsia"/>
                <w:color w:val="auto"/>
              </w:rPr>
              <w:t>6</w:t>
            </w:r>
          </w:p>
        </w:tc>
        <w:tc>
          <w:tcPr>
            <w:tcW w:w="433" w:type="pct"/>
            <w:gridSpan w:val="2"/>
            <w:vMerge w:val="continue"/>
            <w:shd w:val="clear" w:color="auto" w:fill="auto"/>
            <w:noWrap w:val="0"/>
            <w:vAlign w:val="center"/>
          </w:tcPr>
          <w:p w14:paraId="23E95618">
            <w:pPr>
              <w:pStyle w:val="182"/>
              <w:rPr>
                <w:color w:val="auto"/>
              </w:rPr>
            </w:pPr>
          </w:p>
        </w:tc>
        <w:tc>
          <w:tcPr>
            <w:tcW w:w="1065" w:type="pct"/>
            <w:gridSpan w:val="2"/>
            <w:shd w:val="clear" w:color="auto" w:fill="auto"/>
            <w:noWrap w:val="0"/>
            <w:vAlign w:val="center"/>
          </w:tcPr>
          <w:p w14:paraId="7D61242E">
            <w:pPr>
              <w:pStyle w:val="182"/>
              <w:rPr>
                <w:color w:val="auto"/>
              </w:rPr>
            </w:pPr>
            <w:r>
              <w:rPr>
                <w:rFonts w:hint="eastAsia"/>
                <w:color w:val="auto"/>
              </w:rPr>
              <w:t>黄化机</w:t>
            </w:r>
          </w:p>
        </w:tc>
        <w:tc>
          <w:tcPr>
            <w:tcW w:w="2556" w:type="pct"/>
            <w:gridSpan w:val="2"/>
            <w:shd w:val="clear" w:color="auto" w:fill="auto"/>
            <w:noWrap w:val="0"/>
            <w:vAlign w:val="center"/>
          </w:tcPr>
          <w:p w14:paraId="1DC3078B">
            <w:pPr>
              <w:pStyle w:val="182"/>
              <w:rPr>
                <w:color w:val="auto"/>
              </w:rPr>
            </w:pPr>
            <w:r>
              <w:rPr>
                <w:rFonts w:hint="eastAsia"/>
                <w:color w:val="auto"/>
              </w:rPr>
              <w:t>CGHR133B，N=90KW，V=35m</w:t>
            </w:r>
            <w:r>
              <w:rPr>
                <w:rFonts w:hint="eastAsia"/>
                <w:color w:val="auto"/>
                <w:vertAlign w:val="superscript"/>
              </w:rPr>
              <w:t>3</w:t>
            </w:r>
            <w:r>
              <w:rPr>
                <w:rFonts w:hint="eastAsia"/>
                <w:color w:val="auto"/>
              </w:rPr>
              <w:t>，T=4h</w:t>
            </w:r>
          </w:p>
        </w:tc>
        <w:tc>
          <w:tcPr>
            <w:tcW w:w="632" w:type="pct"/>
            <w:shd w:val="clear" w:color="auto" w:fill="auto"/>
            <w:noWrap w:val="0"/>
            <w:vAlign w:val="center"/>
          </w:tcPr>
          <w:p w14:paraId="1D28AAF6">
            <w:pPr>
              <w:pStyle w:val="182"/>
              <w:rPr>
                <w:color w:val="auto"/>
              </w:rPr>
            </w:pPr>
            <w:r>
              <w:rPr>
                <w:rFonts w:hint="eastAsia"/>
                <w:color w:val="auto"/>
              </w:rPr>
              <w:t>4</w:t>
            </w:r>
          </w:p>
        </w:tc>
      </w:tr>
      <w:tr w14:paraId="1AD50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9FBCF63">
            <w:pPr>
              <w:pStyle w:val="182"/>
              <w:rPr>
                <w:color w:val="auto"/>
              </w:rPr>
            </w:pPr>
            <w:r>
              <w:rPr>
                <w:rFonts w:hint="eastAsia"/>
                <w:color w:val="auto"/>
              </w:rPr>
              <w:t>7</w:t>
            </w:r>
          </w:p>
        </w:tc>
        <w:tc>
          <w:tcPr>
            <w:tcW w:w="433" w:type="pct"/>
            <w:gridSpan w:val="2"/>
            <w:vMerge w:val="continue"/>
            <w:shd w:val="clear" w:color="auto" w:fill="auto"/>
            <w:noWrap w:val="0"/>
            <w:vAlign w:val="center"/>
          </w:tcPr>
          <w:p w14:paraId="65C3C928">
            <w:pPr>
              <w:pStyle w:val="182"/>
              <w:rPr>
                <w:color w:val="auto"/>
              </w:rPr>
            </w:pPr>
          </w:p>
        </w:tc>
        <w:tc>
          <w:tcPr>
            <w:tcW w:w="1065" w:type="pct"/>
            <w:gridSpan w:val="2"/>
            <w:shd w:val="clear" w:color="auto" w:fill="auto"/>
            <w:noWrap w:val="0"/>
            <w:vAlign w:val="center"/>
          </w:tcPr>
          <w:p w14:paraId="0B31A861">
            <w:pPr>
              <w:pStyle w:val="182"/>
              <w:rPr>
                <w:color w:val="auto"/>
              </w:rPr>
            </w:pPr>
            <w:r>
              <w:rPr>
                <w:rFonts w:hint="eastAsia"/>
                <w:color w:val="auto"/>
              </w:rPr>
              <w:t>溶解桶</w:t>
            </w:r>
          </w:p>
        </w:tc>
        <w:tc>
          <w:tcPr>
            <w:tcW w:w="2556" w:type="pct"/>
            <w:gridSpan w:val="2"/>
            <w:shd w:val="clear" w:color="auto" w:fill="auto"/>
            <w:noWrap w:val="0"/>
            <w:vAlign w:val="center"/>
          </w:tcPr>
          <w:p w14:paraId="2E7A7F45">
            <w:pPr>
              <w:pStyle w:val="182"/>
              <w:rPr>
                <w:color w:val="auto"/>
              </w:rPr>
            </w:pPr>
            <w:r>
              <w:rPr>
                <w:rFonts w:hint="eastAsia"/>
                <w:color w:val="auto"/>
              </w:rPr>
              <w:t>φ3800，V=45M3</w:t>
            </w:r>
          </w:p>
        </w:tc>
        <w:tc>
          <w:tcPr>
            <w:tcW w:w="632" w:type="pct"/>
            <w:shd w:val="clear" w:color="auto" w:fill="auto"/>
            <w:noWrap w:val="0"/>
            <w:vAlign w:val="center"/>
          </w:tcPr>
          <w:p w14:paraId="673BD70F">
            <w:pPr>
              <w:pStyle w:val="182"/>
              <w:rPr>
                <w:color w:val="auto"/>
              </w:rPr>
            </w:pPr>
            <w:r>
              <w:rPr>
                <w:rFonts w:hint="eastAsia"/>
                <w:color w:val="auto"/>
              </w:rPr>
              <w:t>1</w:t>
            </w:r>
            <w:r>
              <w:rPr>
                <w:color w:val="auto"/>
              </w:rPr>
              <w:t>4</w:t>
            </w:r>
          </w:p>
        </w:tc>
      </w:tr>
      <w:tr w14:paraId="2056C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93B2723">
            <w:pPr>
              <w:pStyle w:val="182"/>
              <w:rPr>
                <w:color w:val="auto"/>
              </w:rPr>
            </w:pPr>
            <w:r>
              <w:rPr>
                <w:rFonts w:hint="eastAsia"/>
                <w:color w:val="auto"/>
              </w:rPr>
              <w:t>8</w:t>
            </w:r>
          </w:p>
        </w:tc>
        <w:tc>
          <w:tcPr>
            <w:tcW w:w="433" w:type="pct"/>
            <w:gridSpan w:val="2"/>
            <w:vMerge w:val="continue"/>
            <w:shd w:val="clear" w:color="auto" w:fill="auto"/>
            <w:noWrap w:val="0"/>
            <w:vAlign w:val="center"/>
          </w:tcPr>
          <w:p w14:paraId="5EFBB34B">
            <w:pPr>
              <w:pStyle w:val="182"/>
              <w:rPr>
                <w:color w:val="auto"/>
              </w:rPr>
            </w:pPr>
          </w:p>
        </w:tc>
        <w:tc>
          <w:tcPr>
            <w:tcW w:w="1065" w:type="pct"/>
            <w:gridSpan w:val="2"/>
            <w:shd w:val="clear" w:color="auto" w:fill="auto"/>
            <w:noWrap w:val="0"/>
            <w:vAlign w:val="center"/>
          </w:tcPr>
          <w:p w14:paraId="2FA144F5">
            <w:pPr>
              <w:pStyle w:val="182"/>
              <w:rPr>
                <w:color w:val="auto"/>
              </w:rPr>
            </w:pPr>
            <w:r>
              <w:rPr>
                <w:rFonts w:hint="eastAsia"/>
                <w:color w:val="auto"/>
              </w:rPr>
              <w:t>研磨泵</w:t>
            </w:r>
          </w:p>
        </w:tc>
        <w:tc>
          <w:tcPr>
            <w:tcW w:w="2556" w:type="pct"/>
            <w:gridSpan w:val="2"/>
            <w:shd w:val="clear" w:color="auto" w:fill="auto"/>
            <w:noWrap w:val="0"/>
            <w:vAlign w:val="center"/>
          </w:tcPr>
          <w:p w14:paraId="29FCD51E">
            <w:pPr>
              <w:pStyle w:val="182"/>
              <w:rPr>
                <w:color w:val="auto"/>
              </w:rPr>
            </w:pPr>
            <w:r>
              <w:rPr>
                <w:rFonts w:hint="eastAsia"/>
                <w:color w:val="auto"/>
              </w:rPr>
              <w:t>QGB08 Q=30M3/H N=45KW</w:t>
            </w:r>
          </w:p>
        </w:tc>
        <w:tc>
          <w:tcPr>
            <w:tcW w:w="632" w:type="pct"/>
            <w:shd w:val="clear" w:color="auto" w:fill="auto"/>
            <w:noWrap w:val="0"/>
            <w:vAlign w:val="center"/>
          </w:tcPr>
          <w:p w14:paraId="2EA6578F">
            <w:pPr>
              <w:pStyle w:val="182"/>
              <w:rPr>
                <w:color w:val="auto"/>
              </w:rPr>
            </w:pPr>
            <w:r>
              <w:rPr>
                <w:rFonts w:hint="eastAsia"/>
                <w:color w:val="auto"/>
              </w:rPr>
              <w:t>1</w:t>
            </w:r>
            <w:r>
              <w:rPr>
                <w:color w:val="auto"/>
              </w:rPr>
              <w:t>4</w:t>
            </w:r>
          </w:p>
        </w:tc>
      </w:tr>
      <w:tr w14:paraId="6C1BB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872C193">
            <w:pPr>
              <w:pStyle w:val="182"/>
              <w:rPr>
                <w:color w:val="auto"/>
              </w:rPr>
            </w:pPr>
            <w:r>
              <w:rPr>
                <w:rFonts w:hint="eastAsia"/>
                <w:color w:val="auto"/>
              </w:rPr>
              <w:t>9</w:t>
            </w:r>
          </w:p>
        </w:tc>
        <w:tc>
          <w:tcPr>
            <w:tcW w:w="433" w:type="pct"/>
            <w:gridSpan w:val="2"/>
            <w:vMerge w:val="continue"/>
            <w:shd w:val="clear" w:color="auto" w:fill="auto"/>
            <w:noWrap w:val="0"/>
            <w:vAlign w:val="center"/>
          </w:tcPr>
          <w:p w14:paraId="24FF8ACC">
            <w:pPr>
              <w:pStyle w:val="182"/>
              <w:rPr>
                <w:color w:val="auto"/>
              </w:rPr>
            </w:pPr>
          </w:p>
        </w:tc>
        <w:tc>
          <w:tcPr>
            <w:tcW w:w="1065" w:type="pct"/>
            <w:gridSpan w:val="2"/>
            <w:shd w:val="clear" w:color="auto" w:fill="auto"/>
            <w:noWrap w:val="0"/>
            <w:vAlign w:val="center"/>
          </w:tcPr>
          <w:p w14:paraId="7FEF6C40">
            <w:pPr>
              <w:pStyle w:val="182"/>
              <w:rPr>
                <w:color w:val="auto"/>
              </w:rPr>
            </w:pPr>
            <w:r>
              <w:rPr>
                <w:rFonts w:hint="eastAsia"/>
                <w:color w:val="auto"/>
              </w:rPr>
              <w:t>混合机</w:t>
            </w:r>
          </w:p>
        </w:tc>
        <w:tc>
          <w:tcPr>
            <w:tcW w:w="2556" w:type="pct"/>
            <w:gridSpan w:val="2"/>
            <w:shd w:val="clear" w:color="auto" w:fill="auto"/>
            <w:noWrap w:val="0"/>
            <w:vAlign w:val="center"/>
          </w:tcPr>
          <w:p w14:paraId="0E21A4AA">
            <w:pPr>
              <w:pStyle w:val="182"/>
              <w:rPr>
                <w:color w:val="auto"/>
              </w:rPr>
            </w:pPr>
            <w:r>
              <w:rPr>
                <w:rFonts w:hint="eastAsia"/>
                <w:color w:val="auto"/>
              </w:rPr>
              <w:t>ZHR164 φ3000 V=40M3</w:t>
            </w:r>
          </w:p>
        </w:tc>
        <w:tc>
          <w:tcPr>
            <w:tcW w:w="632" w:type="pct"/>
            <w:shd w:val="clear" w:color="auto" w:fill="auto"/>
            <w:noWrap w:val="0"/>
            <w:vAlign w:val="center"/>
          </w:tcPr>
          <w:p w14:paraId="2DADBB6B">
            <w:pPr>
              <w:pStyle w:val="182"/>
              <w:rPr>
                <w:color w:val="auto"/>
              </w:rPr>
            </w:pPr>
            <w:r>
              <w:rPr>
                <w:rFonts w:hint="eastAsia"/>
                <w:color w:val="auto"/>
              </w:rPr>
              <w:t>4</w:t>
            </w:r>
          </w:p>
        </w:tc>
      </w:tr>
      <w:tr w14:paraId="6238D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0CA63E7">
            <w:pPr>
              <w:pStyle w:val="182"/>
              <w:rPr>
                <w:color w:val="auto"/>
              </w:rPr>
            </w:pPr>
            <w:r>
              <w:rPr>
                <w:rFonts w:hint="eastAsia"/>
                <w:color w:val="auto"/>
              </w:rPr>
              <w:t>10</w:t>
            </w:r>
          </w:p>
        </w:tc>
        <w:tc>
          <w:tcPr>
            <w:tcW w:w="433" w:type="pct"/>
            <w:gridSpan w:val="2"/>
            <w:vMerge w:val="continue"/>
            <w:shd w:val="clear" w:color="auto" w:fill="auto"/>
            <w:noWrap w:val="0"/>
            <w:vAlign w:val="center"/>
          </w:tcPr>
          <w:p w14:paraId="3D25B1E6">
            <w:pPr>
              <w:pStyle w:val="182"/>
              <w:rPr>
                <w:color w:val="auto"/>
              </w:rPr>
            </w:pPr>
          </w:p>
        </w:tc>
        <w:tc>
          <w:tcPr>
            <w:tcW w:w="1065" w:type="pct"/>
            <w:gridSpan w:val="2"/>
            <w:shd w:val="clear" w:color="auto" w:fill="auto"/>
            <w:noWrap w:val="0"/>
            <w:vAlign w:val="center"/>
          </w:tcPr>
          <w:p w14:paraId="6C7F7D60">
            <w:pPr>
              <w:pStyle w:val="182"/>
              <w:rPr>
                <w:color w:val="auto"/>
              </w:rPr>
            </w:pPr>
            <w:r>
              <w:rPr>
                <w:rFonts w:hint="eastAsia"/>
                <w:color w:val="auto"/>
              </w:rPr>
              <w:t>KKF 滤机</w:t>
            </w:r>
          </w:p>
        </w:tc>
        <w:tc>
          <w:tcPr>
            <w:tcW w:w="2556" w:type="pct"/>
            <w:gridSpan w:val="2"/>
            <w:shd w:val="clear" w:color="auto" w:fill="auto"/>
            <w:noWrap w:val="0"/>
            <w:vAlign w:val="center"/>
          </w:tcPr>
          <w:p w14:paraId="01045D7E">
            <w:pPr>
              <w:pStyle w:val="182"/>
              <w:rPr>
                <w:color w:val="auto"/>
              </w:rPr>
            </w:pPr>
            <w:r>
              <w:rPr>
                <w:rFonts w:hint="eastAsia"/>
                <w:color w:val="auto"/>
              </w:rPr>
              <w:t>有效过滤面积=1.72M2/台；滤径15μm</w:t>
            </w:r>
          </w:p>
        </w:tc>
        <w:tc>
          <w:tcPr>
            <w:tcW w:w="632" w:type="pct"/>
            <w:shd w:val="clear" w:color="auto" w:fill="auto"/>
            <w:noWrap w:val="0"/>
            <w:vAlign w:val="center"/>
          </w:tcPr>
          <w:p w14:paraId="52304174">
            <w:pPr>
              <w:pStyle w:val="182"/>
              <w:rPr>
                <w:color w:val="auto"/>
              </w:rPr>
            </w:pPr>
            <w:r>
              <w:rPr>
                <w:rFonts w:hint="eastAsia"/>
                <w:color w:val="auto"/>
              </w:rPr>
              <w:t>8</w:t>
            </w:r>
            <w:r>
              <w:rPr>
                <w:color w:val="auto"/>
              </w:rPr>
              <w:t>2</w:t>
            </w:r>
          </w:p>
        </w:tc>
      </w:tr>
      <w:tr w14:paraId="01E30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C44BB20">
            <w:pPr>
              <w:pStyle w:val="182"/>
              <w:rPr>
                <w:color w:val="auto"/>
              </w:rPr>
            </w:pPr>
            <w:r>
              <w:rPr>
                <w:color w:val="auto"/>
              </w:rPr>
              <w:t>1</w:t>
            </w:r>
            <w:r>
              <w:rPr>
                <w:rFonts w:hint="eastAsia"/>
                <w:color w:val="auto"/>
              </w:rPr>
              <w:t>1</w:t>
            </w:r>
          </w:p>
        </w:tc>
        <w:tc>
          <w:tcPr>
            <w:tcW w:w="433" w:type="pct"/>
            <w:gridSpan w:val="2"/>
            <w:vMerge w:val="continue"/>
            <w:shd w:val="clear" w:color="auto" w:fill="auto"/>
            <w:noWrap w:val="0"/>
            <w:vAlign w:val="center"/>
          </w:tcPr>
          <w:p w14:paraId="1B8332F2">
            <w:pPr>
              <w:pStyle w:val="182"/>
              <w:rPr>
                <w:color w:val="auto"/>
              </w:rPr>
            </w:pPr>
          </w:p>
        </w:tc>
        <w:tc>
          <w:tcPr>
            <w:tcW w:w="1065" w:type="pct"/>
            <w:gridSpan w:val="2"/>
            <w:shd w:val="clear" w:color="auto" w:fill="auto"/>
            <w:noWrap w:val="0"/>
            <w:vAlign w:val="center"/>
          </w:tcPr>
          <w:p w14:paraId="18E60656">
            <w:pPr>
              <w:pStyle w:val="182"/>
              <w:rPr>
                <w:color w:val="auto"/>
              </w:rPr>
            </w:pPr>
            <w:r>
              <w:rPr>
                <w:rFonts w:hint="eastAsia"/>
                <w:color w:val="auto"/>
              </w:rPr>
              <w:t>三道过滤机</w:t>
            </w:r>
          </w:p>
        </w:tc>
        <w:tc>
          <w:tcPr>
            <w:tcW w:w="2556" w:type="pct"/>
            <w:gridSpan w:val="2"/>
            <w:shd w:val="clear" w:color="auto" w:fill="auto"/>
            <w:noWrap w:val="0"/>
            <w:vAlign w:val="center"/>
          </w:tcPr>
          <w:p w14:paraId="2ED0F530">
            <w:pPr>
              <w:pStyle w:val="182"/>
              <w:rPr>
                <w:color w:val="auto"/>
              </w:rPr>
            </w:pPr>
            <w:r>
              <w:rPr>
                <w:rFonts w:hint="eastAsia"/>
                <w:color w:val="auto"/>
              </w:rPr>
              <w:t>R241D 有效过滤面积50m</w:t>
            </w:r>
            <w:r>
              <w:rPr>
                <w:rFonts w:hint="eastAsia"/>
                <w:color w:val="auto"/>
                <w:vertAlign w:val="superscript"/>
              </w:rPr>
              <w:t>2</w:t>
            </w:r>
          </w:p>
        </w:tc>
        <w:tc>
          <w:tcPr>
            <w:tcW w:w="632" w:type="pct"/>
            <w:shd w:val="clear" w:color="auto" w:fill="auto"/>
            <w:noWrap w:val="0"/>
            <w:vAlign w:val="center"/>
          </w:tcPr>
          <w:p w14:paraId="3739835D">
            <w:pPr>
              <w:pStyle w:val="182"/>
              <w:rPr>
                <w:color w:val="auto"/>
              </w:rPr>
            </w:pPr>
            <w:r>
              <w:rPr>
                <w:rFonts w:hint="eastAsia"/>
                <w:color w:val="auto"/>
              </w:rPr>
              <w:t>6</w:t>
            </w:r>
          </w:p>
        </w:tc>
      </w:tr>
      <w:tr w14:paraId="74F4D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9114231">
            <w:pPr>
              <w:pStyle w:val="182"/>
              <w:rPr>
                <w:color w:val="auto"/>
              </w:rPr>
            </w:pPr>
            <w:r>
              <w:rPr>
                <w:color w:val="auto"/>
              </w:rPr>
              <w:t>1</w:t>
            </w:r>
            <w:r>
              <w:rPr>
                <w:rFonts w:hint="eastAsia"/>
                <w:color w:val="auto"/>
              </w:rPr>
              <w:t>2</w:t>
            </w:r>
          </w:p>
        </w:tc>
        <w:tc>
          <w:tcPr>
            <w:tcW w:w="433" w:type="pct"/>
            <w:gridSpan w:val="2"/>
            <w:vMerge w:val="continue"/>
            <w:shd w:val="clear" w:color="auto" w:fill="auto"/>
            <w:noWrap w:val="0"/>
            <w:vAlign w:val="center"/>
          </w:tcPr>
          <w:p w14:paraId="73B3D373">
            <w:pPr>
              <w:pStyle w:val="182"/>
              <w:rPr>
                <w:color w:val="auto"/>
              </w:rPr>
            </w:pPr>
          </w:p>
        </w:tc>
        <w:tc>
          <w:tcPr>
            <w:tcW w:w="1065" w:type="pct"/>
            <w:gridSpan w:val="2"/>
            <w:shd w:val="clear" w:color="auto" w:fill="auto"/>
            <w:noWrap w:val="0"/>
            <w:vAlign w:val="center"/>
          </w:tcPr>
          <w:p w14:paraId="14D2BCD4">
            <w:pPr>
              <w:pStyle w:val="182"/>
              <w:rPr>
                <w:color w:val="auto"/>
              </w:rPr>
            </w:pPr>
            <w:r>
              <w:rPr>
                <w:rFonts w:hint="eastAsia"/>
                <w:color w:val="auto"/>
              </w:rPr>
              <w:t>喂给桶</w:t>
            </w:r>
          </w:p>
        </w:tc>
        <w:tc>
          <w:tcPr>
            <w:tcW w:w="2556" w:type="pct"/>
            <w:gridSpan w:val="2"/>
            <w:shd w:val="clear" w:color="auto" w:fill="auto"/>
            <w:noWrap w:val="0"/>
            <w:vAlign w:val="center"/>
          </w:tcPr>
          <w:p w14:paraId="62977156">
            <w:pPr>
              <w:pStyle w:val="182"/>
              <w:rPr>
                <w:color w:val="auto"/>
              </w:rPr>
            </w:pPr>
            <w:r>
              <w:rPr>
                <w:rFonts w:hint="eastAsia"/>
                <w:color w:val="auto"/>
              </w:rPr>
              <w:t>R237B φ2600 V=16m</w:t>
            </w:r>
            <w:r>
              <w:rPr>
                <w:rFonts w:hint="eastAsia"/>
                <w:color w:val="auto"/>
                <w:vertAlign w:val="superscript"/>
              </w:rPr>
              <w:t>3</w:t>
            </w:r>
          </w:p>
        </w:tc>
        <w:tc>
          <w:tcPr>
            <w:tcW w:w="632" w:type="pct"/>
            <w:shd w:val="clear" w:color="auto" w:fill="auto"/>
            <w:noWrap w:val="0"/>
            <w:vAlign w:val="center"/>
          </w:tcPr>
          <w:p w14:paraId="13468246">
            <w:pPr>
              <w:pStyle w:val="182"/>
              <w:rPr>
                <w:color w:val="auto"/>
              </w:rPr>
            </w:pPr>
            <w:r>
              <w:rPr>
                <w:rFonts w:hint="eastAsia"/>
                <w:color w:val="auto"/>
              </w:rPr>
              <w:t>8</w:t>
            </w:r>
          </w:p>
        </w:tc>
      </w:tr>
      <w:tr w14:paraId="424C4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8BA8FA4">
            <w:pPr>
              <w:pStyle w:val="182"/>
              <w:rPr>
                <w:color w:val="auto"/>
              </w:rPr>
            </w:pPr>
            <w:r>
              <w:rPr>
                <w:color w:val="auto"/>
              </w:rPr>
              <w:t>1</w:t>
            </w:r>
            <w:r>
              <w:rPr>
                <w:rFonts w:hint="eastAsia"/>
                <w:color w:val="auto"/>
              </w:rPr>
              <w:t>3</w:t>
            </w:r>
          </w:p>
        </w:tc>
        <w:tc>
          <w:tcPr>
            <w:tcW w:w="433" w:type="pct"/>
            <w:gridSpan w:val="2"/>
            <w:vMerge w:val="continue"/>
            <w:shd w:val="clear" w:color="auto" w:fill="auto"/>
            <w:noWrap w:val="0"/>
            <w:vAlign w:val="center"/>
          </w:tcPr>
          <w:p w14:paraId="38C92947">
            <w:pPr>
              <w:pStyle w:val="182"/>
              <w:rPr>
                <w:color w:val="auto"/>
              </w:rPr>
            </w:pPr>
          </w:p>
        </w:tc>
        <w:tc>
          <w:tcPr>
            <w:tcW w:w="1065" w:type="pct"/>
            <w:gridSpan w:val="2"/>
            <w:shd w:val="clear" w:color="auto" w:fill="auto"/>
            <w:noWrap w:val="0"/>
            <w:vAlign w:val="center"/>
          </w:tcPr>
          <w:p w14:paraId="09DD0530">
            <w:pPr>
              <w:pStyle w:val="182"/>
              <w:rPr>
                <w:color w:val="auto"/>
              </w:rPr>
            </w:pPr>
            <w:r>
              <w:rPr>
                <w:rFonts w:hint="eastAsia"/>
                <w:color w:val="auto"/>
              </w:rPr>
              <w:t>脱泡塔</w:t>
            </w:r>
          </w:p>
        </w:tc>
        <w:tc>
          <w:tcPr>
            <w:tcW w:w="2556" w:type="pct"/>
            <w:gridSpan w:val="2"/>
            <w:shd w:val="clear" w:color="auto" w:fill="auto"/>
            <w:noWrap w:val="0"/>
            <w:vAlign w:val="center"/>
          </w:tcPr>
          <w:p w14:paraId="7E1F62B5">
            <w:pPr>
              <w:pStyle w:val="182"/>
              <w:rPr>
                <w:color w:val="auto"/>
              </w:rPr>
            </w:pPr>
            <w:r>
              <w:rPr>
                <w:rFonts w:hint="eastAsia"/>
                <w:color w:val="auto"/>
              </w:rPr>
              <w:t>R236A φ1600 V=6.2m</w:t>
            </w:r>
            <w:r>
              <w:rPr>
                <w:rFonts w:hint="eastAsia"/>
                <w:color w:val="auto"/>
                <w:vertAlign w:val="superscript"/>
              </w:rPr>
              <w:t>3</w:t>
            </w:r>
          </w:p>
        </w:tc>
        <w:tc>
          <w:tcPr>
            <w:tcW w:w="632" w:type="pct"/>
            <w:shd w:val="clear" w:color="auto" w:fill="auto"/>
            <w:noWrap w:val="0"/>
            <w:vAlign w:val="center"/>
          </w:tcPr>
          <w:p w14:paraId="6A0F50FD">
            <w:pPr>
              <w:pStyle w:val="182"/>
              <w:rPr>
                <w:color w:val="auto"/>
              </w:rPr>
            </w:pPr>
            <w:r>
              <w:rPr>
                <w:rFonts w:hint="eastAsia"/>
                <w:color w:val="auto"/>
              </w:rPr>
              <w:t>2</w:t>
            </w:r>
          </w:p>
        </w:tc>
      </w:tr>
      <w:tr w14:paraId="4043A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2C05454">
            <w:pPr>
              <w:pStyle w:val="182"/>
              <w:rPr>
                <w:color w:val="auto"/>
              </w:rPr>
            </w:pPr>
            <w:r>
              <w:rPr>
                <w:color w:val="auto"/>
              </w:rPr>
              <w:t>1</w:t>
            </w:r>
            <w:r>
              <w:rPr>
                <w:rFonts w:hint="eastAsia"/>
                <w:color w:val="auto"/>
              </w:rPr>
              <w:t>4</w:t>
            </w:r>
          </w:p>
        </w:tc>
        <w:tc>
          <w:tcPr>
            <w:tcW w:w="433" w:type="pct"/>
            <w:gridSpan w:val="2"/>
            <w:vMerge w:val="continue"/>
            <w:shd w:val="clear" w:color="auto" w:fill="auto"/>
            <w:noWrap w:val="0"/>
            <w:vAlign w:val="center"/>
          </w:tcPr>
          <w:p w14:paraId="0D1FB890">
            <w:pPr>
              <w:pStyle w:val="182"/>
              <w:rPr>
                <w:color w:val="auto"/>
              </w:rPr>
            </w:pPr>
          </w:p>
        </w:tc>
        <w:tc>
          <w:tcPr>
            <w:tcW w:w="1065" w:type="pct"/>
            <w:gridSpan w:val="2"/>
            <w:shd w:val="clear" w:color="auto" w:fill="auto"/>
            <w:noWrap w:val="0"/>
            <w:vAlign w:val="center"/>
          </w:tcPr>
          <w:p w14:paraId="3FEEC37F">
            <w:pPr>
              <w:pStyle w:val="182"/>
              <w:rPr>
                <w:color w:val="auto"/>
              </w:rPr>
            </w:pPr>
            <w:r>
              <w:rPr>
                <w:rFonts w:hint="eastAsia"/>
                <w:color w:val="auto"/>
              </w:rPr>
              <w:t>脱泡桶</w:t>
            </w:r>
          </w:p>
        </w:tc>
        <w:tc>
          <w:tcPr>
            <w:tcW w:w="2556" w:type="pct"/>
            <w:gridSpan w:val="2"/>
            <w:shd w:val="clear" w:color="auto" w:fill="auto"/>
            <w:noWrap w:val="0"/>
            <w:vAlign w:val="center"/>
          </w:tcPr>
          <w:p w14:paraId="48311D07">
            <w:pPr>
              <w:pStyle w:val="182"/>
              <w:rPr>
                <w:color w:val="auto"/>
              </w:rPr>
            </w:pPr>
            <w:r>
              <w:rPr>
                <w:rFonts w:hint="eastAsia"/>
                <w:color w:val="auto"/>
              </w:rPr>
              <w:t>R237C φ3000 V=20</w:t>
            </w:r>
            <w:r>
              <w:rPr>
                <w:rFonts w:hint="eastAsia"/>
                <w:color w:val="auto"/>
                <w:vertAlign w:val="superscript"/>
              </w:rPr>
              <w:t>3</w:t>
            </w:r>
          </w:p>
        </w:tc>
        <w:tc>
          <w:tcPr>
            <w:tcW w:w="632" w:type="pct"/>
            <w:shd w:val="clear" w:color="auto" w:fill="auto"/>
            <w:noWrap w:val="0"/>
            <w:vAlign w:val="center"/>
          </w:tcPr>
          <w:p w14:paraId="5A3F3BAB">
            <w:pPr>
              <w:pStyle w:val="182"/>
              <w:rPr>
                <w:color w:val="auto"/>
              </w:rPr>
            </w:pPr>
            <w:r>
              <w:rPr>
                <w:rFonts w:hint="eastAsia"/>
                <w:color w:val="auto"/>
              </w:rPr>
              <w:t>4</w:t>
            </w:r>
            <w:r>
              <w:rPr>
                <w:color w:val="auto"/>
              </w:rPr>
              <w:t>8</w:t>
            </w:r>
          </w:p>
        </w:tc>
      </w:tr>
      <w:tr w14:paraId="09C62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30D7BDE">
            <w:pPr>
              <w:pStyle w:val="182"/>
              <w:rPr>
                <w:color w:val="auto"/>
              </w:rPr>
            </w:pPr>
            <w:r>
              <w:rPr>
                <w:color w:val="auto"/>
              </w:rPr>
              <w:t>1</w:t>
            </w:r>
            <w:r>
              <w:rPr>
                <w:rFonts w:hint="eastAsia"/>
                <w:color w:val="auto"/>
              </w:rPr>
              <w:t>5</w:t>
            </w:r>
          </w:p>
        </w:tc>
        <w:tc>
          <w:tcPr>
            <w:tcW w:w="433" w:type="pct"/>
            <w:gridSpan w:val="2"/>
            <w:vMerge w:val="restart"/>
            <w:shd w:val="clear" w:color="auto" w:fill="auto"/>
            <w:noWrap w:val="0"/>
            <w:vAlign w:val="center"/>
          </w:tcPr>
          <w:p w14:paraId="6818C986">
            <w:pPr>
              <w:pStyle w:val="182"/>
              <w:rPr>
                <w:color w:val="auto"/>
              </w:rPr>
            </w:pPr>
            <w:r>
              <w:rPr>
                <w:rFonts w:hint="eastAsia"/>
                <w:color w:val="auto"/>
              </w:rPr>
              <w:t>纺丝</w:t>
            </w:r>
          </w:p>
          <w:p w14:paraId="01653D6B">
            <w:pPr>
              <w:pStyle w:val="182"/>
              <w:rPr>
                <w:color w:val="auto"/>
              </w:rPr>
            </w:pPr>
            <w:r>
              <w:rPr>
                <w:rFonts w:hint="eastAsia"/>
                <w:color w:val="auto"/>
              </w:rPr>
              <w:t>车间</w:t>
            </w:r>
          </w:p>
        </w:tc>
        <w:tc>
          <w:tcPr>
            <w:tcW w:w="1065" w:type="pct"/>
            <w:gridSpan w:val="2"/>
            <w:shd w:val="clear" w:color="auto" w:fill="auto"/>
            <w:noWrap w:val="0"/>
            <w:vAlign w:val="center"/>
          </w:tcPr>
          <w:p w14:paraId="414C44F1">
            <w:pPr>
              <w:pStyle w:val="182"/>
              <w:rPr>
                <w:color w:val="auto"/>
              </w:rPr>
            </w:pPr>
            <w:r>
              <w:rPr>
                <w:rFonts w:hint="eastAsia"/>
                <w:color w:val="auto"/>
              </w:rPr>
              <w:t>连续纺丝机</w:t>
            </w:r>
          </w:p>
        </w:tc>
        <w:tc>
          <w:tcPr>
            <w:tcW w:w="2556" w:type="pct"/>
            <w:gridSpan w:val="2"/>
            <w:shd w:val="clear" w:color="auto" w:fill="auto"/>
            <w:noWrap w:val="0"/>
            <w:vAlign w:val="center"/>
          </w:tcPr>
          <w:p w14:paraId="536CFE1B">
            <w:pPr>
              <w:pStyle w:val="182"/>
              <w:rPr>
                <w:color w:val="auto"/>
              </w:rPr>
            </w:pPr>
            <w:r>
              <w:rPr>
                <w:rFonts w:hint="eastAsia"/>
                <w:color w:val="auto"/>
              </w:rPr>
              <w:t>/</w:t>
            </w:r>
          </w:p>
        </w:tc>
        <w:tc>
          <w:tcPr>
            <w:tcW w:w="632" w:type="pct"/>
            <w:shd w:val="clear" w:color="auto" w:fill="auto"/>
            <w:noWrap w:val="0"/>
            <w:vAlign w:val="center"/>
          </w:tcPr>
          <w:p w14:paraId="76448BFD">
            <w:pPr>
              <w:pStyle w:val="182"/>
              <w:rPr>
                <w:color w:val="auto"/>
              </w:rPr>
            </w:pPr>
            <w:r>
              <w:rPr>
                <w:rFonts w:hint="eastAsia"/>
                <w:color w:val="auto"/>
              </w:rPr>
              <w:t>1</w:t>
            </w:r>
            <w:r>
              <w:rPr>
                <w:color w:val="auto"/>
              </w:rPr>
              <w:t>00</w:t>
            </w:r>
          </w:p>
        </w:tc>
      </w:tr>
      <w:tr w14:paraId="068D8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6FBB270">
            <w:pPr>
              <w:pStyle w:val="182"/>
              <w:rPr>
                <w:color w:val="auto"/>
              </w:rPr>
            </w:pPr>
            <w:r>
              <w:rPr>
                <w:color w:val="auto"/>
              </w:rPr>
              <w:t>1</w:t>
            </w:r>
            <w:r>
              <w:rPr>
                <w:rFonts w:hint="eastAsia"/>
                <w:color w:val="auto"/>
              </w:rPr>
              <w:t>6</w:t>
            </w:r>
          </w:p>
        </w:tc>
        <w:tc>
          <w:tcPr>
            <w:tcW w:w="433" w:type="pct"/>
            <w:gridSpan w:val="2"/>
            <w:vMerge w:val="continue"/>
            <w:shd w:val="clear" w:color="auto" w:fill="auto"/>
            <w:noWrap w:val="0"/>
            <w:vAlign w:val="center"/>
          </w:tcPr>
          <w:p w14:paraId="6E8301B9">
            <w:pPr>
              <w:pStyle w:val="182"/>
              <w:rPr>
                <w:color w:val="auto"/>
              </w:rPr>
            </w:pPr>
          </w:p>
        </w:tc>
        <w:tc>
          <w:tcPr>
            <w:tcW w:w="1065" w:type="pct"/>
            <w:gridSpan w:val="2"/>
            <w:shd w:val="clear" w:color="auto" w:fill="auto"/>
            <w:noWrap w:val="0"/>
            <w:vAlign w:val="center"/>
          </w:tcPr>
          <w:p w14:paraId="46310C45">
            <w:pPr>
              <w:pStyle w:val="182"/>
              <w:rPr>
                <w:color w:val="auto"/>
              </w:rPr>
            </w:pPr>
            <w:r>
              <w:rPr>
                <w:rFonts w:hint="eastAsia"/>
                <w:color w:val="auto"/>
              </w:rPr>
              <w:t>中间胶罐</w:t>
            </w:r>
          </w:p>
        </w:tc>
        <w:tc>
          <w:tcPr>
            <w:tcW w:w="2556" w:type="pct"/>
            <w:gridSpan w:val="2"/>
            <w:shd w:val="clear" w:color="auto" w:fill="auto"/>
            <w:noWrap w:val="0"/>
            <w:vAlign w:val="center"/>
          </w:tcPr>
          <w:p w14:paraId="15C68C6C">
            <w:pPr>
              <w:pStyle w:val="182"/>
              <w:rPr>
                <w:color w:val="auto"/>
              </w:rPr>
            </w:pPr>
            <w:r>
              <w:rPr>
                <w:rFonts w:hint="eastAsia"/>
                <w:color w:val="auto"/>
              </w:rPr>
              <w:t>10m</w:t>
            </w:r>
            <w:r>
              <w:rPr>
                <w:rFonts w:hint="eastAsia"/>
                <w:color w:val="auto"/>
                <w:vertAlign w:val="superscript"/>
              </w:rPr>
              <w:t>3</w:t>
            </w:r>
          </w:p>
        </w:tc>
        <w:tc>
          <w:tcPr>
            <w:tcW w:w="632" w:type="pct"/>
            <w:shd w:val="clear" w:color="auto" w:fill="auto"/>
            <w:noWrap w:val="0"/>
            <w:vAlign w:val="center"/>
          </w:tcPr>
          <w:p w14:paraId="45406B8F">
            <w:pPr>
              <w:pStyle w:val="182"/>
              <w:rPr>
                <w:color w:val="auto"/>
              </w:rPr>
            </w:pPr>
            <w:r>
              <w:rPr>
                <w:rFonts w:hint="eastAsia"/>
                <w:color w:val="auto"/>
              </w:rPr>
              <w:t>1</w:t>
            </w:r>
          </w:p>
        </w:tc>
      </w:tr>
      <w:tr w14:paraId="7A38C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DFA6ED5">
            <w:pPr>
              <w:pStyle w:val="182"/>
              <w:rPr>
                <w:color w:val="auto"/>
              </w:rPr>
            </w:pPr>
            <w:r>
              <w:rPr>
                <w:color w:val="auto"/>
              </w:rPr>
              <w:t>1</w:t>
            </w:r>
            <w:r>
              <w:rPr>
                <w:rFonts w:hint="eastAsia"/>
                <w:color w:val="auto"/>
              </w:rPr>
              <w:t>7</w:t>
            </w:r>
          </w:p>
        </w:tc>
        <w:tc>
          <w:tcPr>
            <w:tcW w:w="433" w:type="pct"/>
            <w:gridSpan w:val="2"/>
            <w:vMerge w:val="restart"/>
            <w:shd w:val="clear" w:color="auto" w:fill="auto"/>
            <w:noWrap w:val="0"/>
            <w:vAlign w:val="center"/>
          </w:tcPr>
          <w:p w14:paraId="2642BB46">
            <w:pPr>
              <w:pStyle w:val="182"/>
              <w:rPr>
                <w:color w:val="auto"/>
              </w:rPr>
            </w:pPr>
            <w:r>
              <w:rPr>
                <w:rFonts w:hint="eastAsia"/>
                <w:color w:val="auto"/>
              </w:rPr>
              <w:t>酸站</w:t>
            </w:r>
          </w:p>
        </w:tc>
        <w:tc>
          <w:tcPr>
            <w:tcW w:w="1065" w:type="pct"/>
            <w:gridSpan w:val="2"/>
            <w:shd w:val="clear" w:color="auto" w:fill="auto"/>
            <w:noWrap w:val="0"/>
            <w:vAlign w:val="center"/>
          </w:tcPr>
          <w:p w14:paraId="5FD24419">
            <w:pPr>
              <w:pStyle w:val="182"/>
              <w:rPr>
                <w:color w:val="auto"/>
              </w:rPr>
            </w:pPr>
            <w:r>
              <w:rPr>
                <w:rFonts w:hint="eastAsia"/>
                <w:color w:val="auto"/>
              </w:rPr>
              <w:t>丝束过滤器</w:t>
            </w:r>
          </w:p>
        </w:tc>
        <w:tc>
          <w:tcPr>
            <w:tcW w:w="2556" w:type="pct"/>
            <w:gridSpan w:val="2"/>
            <w:shd w:val="clear" w:color="auto" w:fill="auto"/>
            <w:noWrap w:val="0"/>
            <w:vAlign w:val="center"/>
          </w:tcPr>
          <w:p w14:paraId="600E6BD5">
            <w:pPr>
              <w:pStyle w:val="182"/>
              <w:rPr>
                <w:color w:val="auto"/>
              </w:rPr>
            </w:pPr>
            <w:r>
              <w:rPr>
                <w:color w:val="auto"/>
              </w:rPr>
              <w:t>Q=60M2/h  φ1600×3095</w:t>
            </w:r>
          </w:p>
        </w:tc>
        <w:tc>
          <w:tcPr>
            <w:tcW w:w="632" w:type="pct"/>
            <w:shd w:val="clear" w:color="auto" w:fill="auto"/>
            <w:noWrap w:val="0"/>
            <w:vAlign w:val="center"/>
          </w:tcPr>
          <w:p w14:paraId="519A4F49">
            <w:pPr>
              <w:pStyle w:val="182"/>
              <w:rPr>
                <w:color w:val="auto"/>
              </w:rPr>
            </w:pPr>
            <w:r>
              <w:rPr>
                <w:color w:val="auto"/>
              </w:rPr>
              <w:t>28</w:t>
            </w:r>
          </w:p>
        </w:tc>
      </w:tr>
      <w:tr w14:paraId="6769B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22B53A9">
            <w:pPr>
              <w:pStyle w:val="182"/>
              <w:rPr>
                <w:color w:val="auto"/>
              </w:rPr>
            </w:pPr>
            <w:r>
              <w:rPr>
                <w:rFonts w:hint="eastAsia"/>
                <w:color w:val="auto"/>
              </w:rPr>
              <w:t>18</w:t>
            </w:r>
          </w:p>
        </w:tc>
        <w:tc>
          <w:tcPr>
            <w:tcW w:w="433" w:type="pct"/>
            <w:gridSpan w:val="2"/>
            <w:vMerge w:val="continue"/>
            <w:shd w:val="clear" w:color="auto" w:fill="auto"/>
            <w:noWrap w:val="0"/>
            <w:vAlign w:val="center"/>
          </w:tcPr>
          <w:p w14:paraId="4B8F23C1">
            <w:pPr>
              <w:pStyle w:val="182"/>
              <w:rPr>
                <w:color w:val="auto"/>
              </w:rPr>
            </w:pPr>
          </w:p>
        </w:tc>
        <w:tc>
          <w:tcPr>
            <w:tcW w:w="1065" w:type="pct"/>
            <w:gridSpan w:val="2"/>
            <w:shd w:val="clear" w:color="auto" w:fill="auto"/>
            <w:noWrap w:val="0"/>
            <w:vAlign w:val="center"/>
          </w:tcPr>
          <w:p w14:paraId="07B7C763">
            <w:pPr>
              <w:pStyle w:val="182"/>
              <w:rPr>
                <w:color w:val="auto"/>
              </w:rPr>
            </w:pPr>
            <w:r>
              <w:rPr>
                <w:rFonts w:hint="eastAsia"/>
                <w:color w:val="auto"/>
              </w:rPr>
              <w:t>石墨加热器</w:t>
            </w:r>
          </w:p>
        </w:tc>
        <w:tc>
          <w:tcPr>
            <w:tcW w:w="2556" w:type="pct"/>
            <w:gridSpan w:val="2"/>
            <w:shd w:val="clear" w:color="auto" w:fill="auto"/>
            <w:noWrap w:val="0"/>
            <w:vAlign w:val="center"/>
          </w:tcPr>
          <w:p w14:paraId="071681D1">
            <w:pPr>
              <w:pStyle w:val="182"/>
              <w:rPr>
                <w:color w:val="auto"/>
              </w:rPr>
            </w:pPr>
            <w:r>
              <w:rPr>
                <w:color w:val="auto"/>
              </w:rPr>
              <w:t>JX-03</w:t>
            </w:r>
          </w:p>
        </w:tc>
        <w:tc>
          <w:tcPr>
            <w:tcW w:w="632" w:type="pct"/>
            <w:shd w:val="clear" w:color="auto" w:fill="auto"/>
            <w:noWrap w:val="0"/>
            <w:vAlign w:val="center"/>
          </w:tcPr>
          <w:p w14:paraId="5B1A420F">
            <w:pPr>
              <w:pStyle w:val="182"/>
              <w:rPr>
                <w:color w:val="auto"/>
              </w:rPr>
            </w:pPr>
            <w:r>
              <w:rPr>
                <w:color w:val="auto"/>
              </w:rPr>
              <w:t>16</w:t>
            </w:r>
          </w:p>
        </w:tc>
      </w:tr>
      <w:tr w14:paraId="315ED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FE13F58">
            <w:pPr>
              <w:pStyle w:val="182"/>
              <w:rPr>
                <w:color w:val="auto"/>
              </w:rPr>
            </w:pPr>
            <w:r>
              <w:rPr>
                <w:rFonts w:hint="eastAsia"/>
                <w:color w:val="auto"/>
              </w:rPr>
              <w:t>19</w:t>
            </w:r>
          </w:p>
        </w:tc>
        <w:tc>
          <w:tcPr>
            <w:tcW w:w="433" w:type="pct"/>
            <w:gridSpan w:val="2"/>
            <w:vMerge w:val="continue"/>
            <w:shd w:val="clear" w:color="auto" w:fill="auto"/>
            <w:noWrap w:val="0"/>
            <w:vAlign w:val="center"/>
          </w:tcPr>
          <w:p w14:paraId="02A611FE">
            <w:pPr>
              <w:pStyle w:val="182"/>
              <w:rPr>
                <w:color w:val="auto"/>
              </w:rPr>
            </w:pPr>
          </w:p>
        </w:tc>
        <w:tc>
          <w:tcPr>
            <w:tcW w:w="1065" w:type="pct"/>
            <w:gridSpan w:val="2"/>
            <w:shd w:val="clear" w:color="auto" w:fill="auto"/>
            <w:noWrap w:val="0"/>
            <w:vAlign w:val="center"/>
          </w:tcPr>
          <w:p w14:paraId="448B57AC">
            <w:pPr>
              <w:pStyle w:val="182"/>
              <w:rPr>
                <w:color w:val="auto"/>
              </w:rPr>
            </w:pPr>
            <w:r>
              <w:rPr>
                <w:rFonts w:hint="eastAsia"/>
                <w:color w:val="auto"/>
              </w:rPr>
              <w:t>真空结晶机</w:t>
            </w:r>
          </w:p>
        </w:tc>
        <w:tc>
          <w:tcPr>
            <w:tcW w:w="2556" w:type="pct"/>
            <w:gridSpan w:val="2"/>
            <w:shd w:val="clear" w:color="auto" w:fill="auto"/>
            <w:noWrap w:val="0"/>
            <w:vAlign w:val="center"/>
          </w:tcPr>
          <w:p w14:paraId="266BCF95">
            <w:pPr>
              <w:pStyle w:val="182"/>
              <w:rPr>
                <w:color w:val="auto"/>
              </w:rPr>
            </w:pPr>
            <w:r>
              <w:rPr>
                <w:color w:val="auto"/>
              </w:rPr>
              <w:t>KR861</w:t>
            </w:r>
          </w:p>
        </w:tc>
        <w:tc>
          <w:tcPr>
            <w:tcW w:w="632" w:type="pct"/>
            <w:shd w:val="clear" w:color="auto" w:fill="auto"/>
            <w:noWrap w:val="0"/>
            <w:vAlign w:val="center"/>
          </w:tcPr>
          <w:p w14:paraId="19D97711">
            <w:pPr>
              <w:pStyle w:val="182"/>
              <w:rPr>
                <w:color w:val="auto"/>
              </w:rPr>
            </w:pPr>
            <w:r>
              <w:rPr>
                <w:color w:val="auto"/>
              </w:rPr>
              <w:t>2</w:t>
            </w:r>
          </w:p>
        </w:tc>
      </w:tr>
      <w:tr w14:paraId="22C7B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8172EA1">
            <w:pPr>
              <w:pStyle w:val="182"/>
              <w:rPr>
                <w:color w:val="auto"/>
              </w:rPr>
            </w:pPr>
            <w:r>
              <w:rPr>
                <w:color w:val="auto"/>
              </w:rPr>
              <w:t>2</w:t>
            </w:r>
            <w:r>
              <w:rPr>
                <w:rFonts w:hint="eastAsia"/>
                <w:color w:val="auto"/>
              </w:rPr>
              <w:t>0</w:t>
            </w:r>
          </w:p>
        </w:tc>
        <w:tc>
          <w:tcPr>
            <w:tcW w:w="433" w:type="pct"/>
            <w:gridSpan w:val="2"/>
            <w:vMerge w:val="continue"/>
            <w:shd w:val="clear" w:color="auto" w:fill="auto"/>
            <w:noWrap w:val="0"/>
            <w:vAlign w:val="center"/>
          </w:tcPr>
          <w:p w14:paraId="1D82A2D2">
            <w:pPr>
              <w:pStyle w:val="182"/>
              <w:rPr>
                <w:color w:val="auto"/>
              </w:rPr>
            </w:pPr>
          </w:p>
        </w:tc>
        <w:tc>
          <w:tcPr>
            <w:tcW w:w="1065" w:type="pct"/>
            <w:gridSpan w:val="2"/>
            <w:shd w:val="clear" w:color="auto" w:fill="auto"/>
            <w:noWrap w:val="0"/>
            <w:vAlign w:val="center"/>
          </w:tcPr>
          <w:p w14:paraId="4BFE7F06">
            <w:pPr>
              <w:pStyle w:val="182"/>
              <w:rPr>
                <w:color w:val="auto"/>
              </w:rPr>
            </w:pPr>
            <w:r>
              <w:rPr>
                <w:rFonts w:hint="eastAsia"/>
                <w:color w:val="auto"/>
              </w:rPr>
              <w:t>焙烧装置</w:t>
            </w:r>
          </w:p>
        </w:tc>
        <w:tc>
          <w:tcPr>
            <w:tcW w:w="2556" w:type="pct"/>
            <w:gridSpan w:val="2"/>
            <w:shd w:val="clear" w:color="auto" w:fill="auto"/>
            <w:noWrap w:val="0"/>
            <w:vAlign w:val="center"/>
          </w:tcPr>
          <w:p w14:paraId="763793C4">
            <w:pPr>
              <w:pStyle w:val="182"/>
              <w:rPr>
                <w:color w:val="auto"/>
              </w:rPr>
            </w:pPr>
            <w:r>
              <w:rPr>
                <w:color w:val="auto"/>
              </w:rPr>
              <w:t>LKR861</w:t>
            </w:r>
          </w:p>
        </w:tc>
        <w:tc>
          <w:tcPr>
            <w:tcW w:w="632" w:type="pct"/>
            <w:shd w:val="clear" w:color="auto" w:fill="auto"/>
            <w:noWrap w:val="0"/>
            <w:vAlign w:val="center"/>
          </w:tcPr>
          <w:p w14:paraId="781B1442">
            <w:pPr>
              <w:pStyle w:val="182"/>
              <w:rPr>
                <w:color w:val="auto"/>
              </w:rPr>
            </w:pPr>
            <w:r>
              <w:rPr>
                <w:color w:val="auto"/>
              </w:rPr>
              <w:t>2</w:t>
            </w:r>
          </w:p>
        </w:tc>
      </w:tr>
      <w:tr w14:paraId="23384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B74170F">
            <w:pPr>
              <w:pStyle w:val="182"/>
              <w:rPr>
                <w:color w:val="auto"/>
              </w:rPr>
            </w:pPr>
            <w:r>
              <w:rPr>
                <w:color w:val="auto"/>
              </w:rPr>
              <w:t>2</w:t>
            </w:r>
            <w:r>
              <w:rPr>
                <w:rFonts w:hint="eastAsia"/>
                <w:color w:val="auto"/>
              </w:rPr>
              <w:t>1</w:t>
            </w:r>
          </w:p>
        </w:tc>
        <w:tc>
          <w:tcPr>
            <w:tcW w:w="433" w:type="pct"/>
            <w:gridSpan w:val="2"/>
            <w:vMerge w:val="continue"/>
            <w:shd w:val="clear" w:color="auto" w:fill="auto"/>
            <w:noWrap w:val="0"/>
            <w:vAlign w:val="center"/>
          </w:tcPr>
          <w:p w14:paraId="48D0DD17">
            <w:pPr>
              <w:pStyle w:val="182"/>
              <w:rPr>
                <w:color w:val="auto"/>
              </w:rPr>
            </w:pPr>
          </w:p>
        </w:tc>
        <w:tc>
          <w:tcPr>
            <w:tcW w:w="1065" w:type="pct"/>
            <w:gridSpan w:val="2"/>
            <w:shd w:val="clear" w:color="auto" w:fill="auto"/>
            <w:noWrap w:val="0"/>
            <w:vAlign w:val="center"/>
          </w:tcPr>
          <w:p w14:paraId="7409AFA9">
            <w:pPr>
              <w:pStyle w:val="182"/>
              <w:rPr>
                <w:color w:val="auto"/>
              </w:rPr>
            </w:pPr>
            <w:r>
              <w:rPr>
                <w:rFonts w:hint="eastAsia"/>
                <w:color w:val="auto"/>
              </w:rPr>
              <w:t>脱气装置</w:t>
            </w:r>
          </w:p>
        </w:tc>
        <w:tc>
          <w:tcPr>
            <w:tcW w:w="2556" w:type="pct"/>
            <w:gridSpan w:val="2"/>
            <w:shd w:val="clear" w:color="auto" w:fill="auto"/>
            <w:noWrap w:val="0"/>
            <w:vAlign w:val="center"/>
          </w:tcPr>
          <w:p w14:paraId="6EB13890">
            <w:pPr>
              <w:pStyle w:val="182"/>
              <w:rPr>
                <w:color w:val="auto"/>
              </w:rPr>
            </w:pPr>
            <w:r>
              <w:rPr>
                <w:color w:val="auto"/>
              </w:rPr>
              <w:t>/</w:t>
            </w:r>
          </w:p>
        </w:tc>
        <w:tc>
          <w:tcPr>
            <w:tcW w:w="632" w:type="pct"/>
            <w:shd w:val="clear" w:color="auto" w:fill="auto"/>
            <w:noWrap w:val="0"/>
            <w:vAlign w:val="center"/>
          </w:tcPr>
          <w:p w14:paraId="7B0FCEB8">
            <w:pPr>
              <w:pStyle w:val="182"/>
              <w:rPr>
                <w:color w:val="auto"/>
              </w:rPr>
            </w:pPr>
            <w:r>
              <w:rPr>
                <w:color w:val="auto"/>
              </w:rPr>
              <w:t>6</w:t>
            </w:r>
          </w:p>
        </w:tc>
      </w:tr>
      <w:tr w14:paraId="09E6B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D6B0AF3">
            <w:pPr>
              <w:pStyle w:val="182"/>
              <w:rPr>
                <w:color w:val="auto"/>
              </w:rPr>
            </w:pPr>
            <w:r>
              <w:rPr>
                <w:color w:val="auto"/>
              </w:rPr>
              <w:t>2</w:t>
            </w:r>
            <w:r>
              <w:rPr>
                <w:rFonts w:hint="eastAsia"/>
                <w:color w:val="auto"/>
              </w:rPr>
              <w:t>2</w:t>
            </w:r>
          </w:p>
        </w:tc>
        <w:tc>
          <w:tcPr>
            <w:tcW w:w="433" w:type="pct"/>
            <w:gridSpan w:val="2"/>
            <w:vMerge w:val="restart"/>
            <w:shd w:val="clear" w:color="auto" w:fill="auto"/>
            <w:noWrap w:val="0"/>
            <w:vAlign w:val="center"/>
          </w:tcPr>
          <w:p w14:paraId="0038E66D">
            <w:pPr>
              <w:pStyle w:val="182"/>
              <w:rPr>
                <w:color w:val="auto"/>
              </w:rPr>
            </w:pPr>
            <w:r>
              <w:rPr>
                <w:rFonts w:hint="eastAsia"/>
                <w:color w:val="auto"/>
              </w:rPr>
              <w:t>罐区</w:t>
            </w:r>
          </w:p>
        </w:tc>
        <w:tc>
          <w:tcPr>
            <w:tcW w:w="1065" w:type="pct"/>
            <w:gridSpan w:val="2"/>
            <w:shd w:val="clear" w:color="auto" w:fill="auto"/>
            <w:noWrap w:val="0"/>
            <w:vAlign w:val="center"/>
          </w:tcPr>
          <w:p w14:paraId="6281F175">
            <w:pPr>
              <w:pStyle w:val="182"/>
              <w:rPr>
                <w:color w:val="auto"/>
              </w:rPr>
            </w:pPr>
            <w:r>
              <w:rPr>
                <w:rFonts w:hint="eastAsia"/>
                <w:color w:val="auto"/>
              </w:rPr>
              <w:t>硫酸储罐</w:t>
            </w:r>
          </w:p>
        </w:tc>
        <w:tc>
          <w:tcPr>
            <w:tcW w:w="2556" w:type="pct"/>
            <w:gridSpan w:val="2"/>
            <w:shd w:val="clear" w:color="auto" w:fill="auto"/>
            <w:noWrap w:val="0"/>
            <w:vAlign w:val="center"/>
          </w:tcPr>
          <w:p w14:paraId="4C842C48">
            <w:pPr>
              <w:pStyle w:val="182"/>
              <w:rPr>
                <w:color w:val="auto"/>
              </w:rPr>
            </w:pPr>
            <w:r>
              <w:rPr>
                <w:color w:val="auto"/>
              </w:rPr>
              <w:t>500m</w:t>
            </w:r>
            <w:r>
              <w:rPr>
                <w:rFonts w:hint="eastAsia"/>
                <w:color w:val="auto"/>
                <w:vertAlign w:val="superscript"/>
              </w:rPr>
              <w:t>3</w:t>
            </w:r>
          </w:p>
        </w:tc>
        <w:tc>
          <w:tcPr>
            <w:tcW w:w="632" w:type="pct"/>
            <w:shd w:val="clear" w:color="auto" w:fill="auto"/>
            <w:noWrap w:val="0"/>
            <w:vAlign w:val="center"/>
          </w:tcPr>
          <w:p w14:paraId="17F2F632">
            <w:pPr>
              <w:pStyle w:val="182"/>
              <w:rPr>
                <w:color w:val="auto"/>
              </w:rPr>
            </w:pPr>
            <w:r>
              <w:rPr>
                <w:color w:val="auto"/>
              </w:rPr>
              <w:t>6</w:t>
            </w:r>
          </w:p>
        </w:tc>
      </w:tr>
      <w:tr w14:paraId="2DD4E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4810E67">
            <w:pPr>
              <w:pStyle w:val="182"/>
              <w:rPr>
                <w:color w:val="auto"/>
              </w:rPr>
            </w:pPr>
            <w:r>
              <w:rPr>
                <w:rFonts w:hint="eastAsia"/>
                <w:color w:val="auto"/>
              </w:rPr>
              <w:t>23</w:t>
            </w:r>
          </w:p>
        </w:tc>
        <w:tc>
          <w:tcPr>
            <w:tcW w:w="433" w:type="pct"/>
            <w:gridSpan w:val="2"/>
            <w:vMerge w:val="continue"/>
            <w:shd w:val="clear" w:color="auto" w:fill="auto"/>
            <w:noWrap w:val="0"/>
            <w:vAlign w:val="center"/>
          </w:tcPr>
          <w:p w14:paraId="2A074098">
            <w:pPr>
              <w:pStyle w:val="182"/>
              <w:rPr>
                <w:color w:val="auto"/>
              </w:rPr>
            </w:pPr>
          </w:p>
        </w:tc>
        <w:tc>
          <w:tcPr>
            <w:tcW w:w="1065" w:type="pct"/>
            <w:gridSpan w:val="2"/>
            <w:shd w:val="clear" w:color="auto" w:fill="auto"/>
            <w:noWrap w:val="0"/>
            <w:vAlign w:val="center"/>
          </w:tcPr>
          <w:p w14:paraId="07E3E704">
            <w:pPr>
              <w:pStyle w:val="182"/>
              <w:rPr>
                <w:color w:val="auto"/>
              </w:rPr>
            </w:pPr>
            <w:r>
              <w:rPr>
                <w:rFonts w:hint="eastAsia"/>
                <w:color w:val="auto"/>
              </w:rPr>
              <w:t>碱液储罐</w:t>
            </w:r>
          </w:p>
        </w:tc>
        <w:tc>
          <w:tcPr>
            <w:tcW w:w="2556" w:type="pct"/>
            <w:gridSpan w:val="2"/>
            <w:shd w:val="clear" w:color="auto" w:fill="auto"/>
            <w:noWrap w:val="0"/>
            <w:vAlign w:val="center"/>
          </w:tcPr>
          <w:p w14:paraId="7815AB12">
            <w:pPr>
              <w:pStyle w:val="182"/>
              <w:rPr>
                <w:color w:val="auto"/>
              </w:rPr>
            </w:pPr>
            <w:r>
              <w:rPr>
                <w:color w:val="auto"/>
              </w:rPr>
              <w:t>1800 m</w:t>
            </w:r>
            <w:r>
              <w:rPr>
                <w:rFonts w:hint="eastAsia"/>
                <w:color w:val="auto"/>
                <w:vertAlign w:val="superscript"/>
              </w:rPr>
              <w:t>3</w:t>
            </w:r>
          </w:p>
        </w:tc>
        <w:tc>
          <w:tcPr>
            <w:tcW w:w="632" w:type="pct"/>
            <w:shd w:val="clear" w:color="auto" w:fill="auto"/>
            <w:noWrap w:val="0"/>
            <w:vAlign w:val="center"/>
          </w:tcPr>
          <w:p w14:paraId="319D193C">
            <w:pPr>
              <w:pStyle w:val="182"/>
              <w:rPr>
                <w:color w:val="auto"/>
              </w:rPr>
            </w:pPr>
            <w:r>
              <w:rPr>
                <w:color w:val="auto"/>
              </w:rPr>
              <w:t>6</w:t>
            </w:r>
          </w:p>
        </w:tc>
      </w:tr>
      <w:tr w14:paraId="2E0C1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03CD486">
            <w:pPr>
              <w:pStyle w:val="182"/>
              <w:rPr>
                <w:color w:val="auto"/>
              </w:rPr>
            </w:pPr>
            <w:r>
              <w:rPr>
                <w:rFonts w:hint="eastAsia"/>
                <w:color w:val="auto"/>
              </w:rPr>
              <w:t>24</w:t>
            </w:r>
          </w:p>
        </w:tc>
        <w:tc>
          <w:tcPr>
            <w:tcW w:w="433" w:type="pct"/>
            <w:gridSpan w:val="2"/>
            <w:vMerge w:val="continue"/>
            <w:shd w:val="clear" w:color="auto" w:fill="auto"/>
            <w:noWrap w:val="0"/>
            <w:vAlign w:val="center"/>
          </w:tcPr>
          <w:p w14:paraId="18182D47">
            <w:pPr>
              <w:pStyle w:val="182"/>
              <w:rPr>
                <w:color w:val="auto"/>
              </w:rPr>
            </w:pPr>
          </w:p>
        </w:tc>
        <w:tc>
          <w:tcPr>
            <w:tcW w:w="1065" w:type="pct"/>
            <w:gridSpan w:val="2"/>
            <w:shd w:val="clear" w:color="auto" w:fill="auto"/>
            <w:noWrap w:val="0"/>
            <w:vAlign w:val="center"/>
          </w:tcPr>
          <w:p w14:paraId="26DA5FBB">
            <w:pPr>
              <w:pStyle w:val="182"/>
              <w:rPr>
                <w:color w:val="auto"/>
              </w:rPr>
            </w:pPr>
            <w:r>
              <w:rPr>
                <w:rFonts w:hint="eastAsia"/>
                <w:color w:val="auto"/>
              </w:rPr>
              <w:t>二硫化碳储罐</w:t>
            </w:r>
          </w:p>
        </w:tc>
        <w:tc>
          <w:tcPr>
            <w:tcW w:w="2556" w:type="pct"/>
            <w:gridSpan w:val="2"/>
            <w:shd w:val="clear" w:color="auto" w:fill="auto"/>
            <w:noWrap w:val="0"/>
            <w:vAlign w:val="center"/>
          </w:tcPr>
          <w:p w14:paraId="1FDCB563">
            <w:pPr>
              <w:pStyle w:val="182"/>
              <w:rPr>
                <w:color w:val="auto"/>
              </w:rPr>
            </w:pPr>
            <w:r>
              <w:rPr>
                <w:color w:val="auto"/>
              </w:rPr>
              <w:t>200 m</w:t>
            </w:r>
            <w:r>
              <w:rPr>
                <w:rFonts w:hint="eastAsia"/>
                <w:color w:val="auto"/>
                <w:vertAlign w:val="superscript"/>
              </w:rPr>
              <w:t>3</w:t>
            </w:r>
          </w:p>
        </w:tc>
        <w:tc>
          <w:tcPr>
            <w:tcW w:w="632" w:type="pct"/>
            <w:shd w:val="clear" w:color="auto" w:fill="auto"/>
            <w:noWrap w:val="0"/>
            <w:vAlign w:val="center"/>
          </w:tcPr>
          <w:p w14:paraId="516B6C95">
            <w:pPr>
              <w:pStyle w:val="182"/>
              <w:rPr>
                <w:color w:val="auto"/>
              </w:rPr>
            </w:pPr>
            <w:r>
              <w:rPr>
                <w:color w:val="auto"/>
              </w:rPr>
              <w:t>5</w:t>
            </w:r>
          </w:p>
        </w:tc>
      </w:tr>
      <w:tr w14:paraId="28411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47C8FCD">
            <w:pPr>
              <w:pStyle w:val="182"/>
              <w:rPr>
                <w:color w:val="auto"/>
              </w:rPr>
            </w:pPr>
            <w:r>
              <w:rPr>
                <w:rFonts w:hint="eastAsia"/>
                <w:color w:val="auto"/>
              </w:rPr>
              <w:t>25</w:t>
            </w:r>
          </w:p>
        </w:tc>
        <w:tc>
          <w:tcPr>
            <w:tcW w:w="1498" w:type="pct"/>
            <w:gridSpan w:val="4"/>
            <w:shd w:val="clear" w:color="auto" w:fill="auto"/>
            <w:noWrap w:val="0"/>
            <w:vAlign w:val="center"/>
          </w:tcPr>
          <w:p w14:paraId="5FA00E72">
            <w:pPr>
              <w:pStyle w:val="182"/>
              <w:rPr>
                <w:color w:val="auto"/>
              </w:rPr>
            </w:pPr>
            <w:r>
              <w:rPr>
                <w:rFonts w:hint="eastAsia"/>
                <w:color w:val="auto"/>
              </w:rPr>
              <w:t>锅炉</w:t>
            </w:r>
          </w:p>
        </w:tc>
        <w:tc>
          <w:tcPr>
            <w:tcW w:w="2556" w:type="pct"/>
            <w:gridSpan w:val="2"/>
            <w:shd w:val="clear" w:color="auto" w:fill="auto"/>
            <w:noWrap w:val="0"/>
            <w:vAlign w:val="center"/>
          </w:tcPr>
          <w:p w14:paraId="1D1BE7A8">
            <w:pPr>
              <w:pStyle w:val="182"/>
              <w:rPr>
                <w:color w:val="auto"/>
              </w:rPr>
            </w:pPr>
            <w:r>
              <w:rPr>
                <w:color w:val="auto"/>
              </w:rPr>
              <w:t>75t/h</w:t>
            </w:r>
          </w:p>
        </w:tc>
        <w:tc>
          <w:tcPr>
            <w:tcW w:w="632" w:type="pct"/>
            <w:shd w:val="clear" w:color="auto" w:fill="auto"/>
            <w:noWrap w:val="0"/>
            <w:vAlign w:val="center"/>
          </w:tcPr>
          <w:p w14:paraId="65778A12">
            <w:pPr>
              <w:pStyle w:val="182"/>
              <w:rPr>
                <w:color w:val="auto"/>
              </w:rPr>
            </w:pPr>
            <w:r>
              <w:rPr>
                <w:color w:val="auto"/>
              </w:rPr>
              <w:t>3</w:t>
            </w:r>
          </w:p>
        </w:tc>
      </w:tr>
      <w:tr w14:paraId="56EF8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shd w:val="clear" w:color="auto" w:fill="auto"/>
            <w:noWrap w:val="0"/>
            <w:vAlign w:val="center"/>
          </w:tcPr>
          <w:p w14:paraId="509833FC">
            <w:pPr>
              <w:pStyle w:val="182"/>
              <w:rPr>
                <w:b/>
                <w:color w:val="auto"/>
              </w:rPr>
            </w:pPr>
            <w:r>
              <w:rPr>
                <w:rFonts w:hint="eastAsia"/>
                <w:b/>
                <w:color w:val="auto"/>
              </w:rPr>
              <w:t>2、年产2×2万吨超柔软氨纶纤维项目</w:t>
            </w:r>
          </w:p>
        </w:tc>
      </w:tr>
      <w:tr w14:paraId="61DF6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D874F0A">
            <w:pPr>
              <w:pStyle w:val="182"/>
              <w:rPr>
                <w:color w:val="auto"/>
              </w:rPr>
            </w:pPr>
            <w:r>
              <w:rPr>
                <w:color w:val="auto"/>
              </w:rPr>
              <w:t>1</w:t>
            </w:r>
          </w:p>
        </w:tc>
        <w:tc>
          <w:tcPr>
            <w:tcW w:w="1498" w:type="pct"/>
            <w:gridSpan w:val="4"/>
            <w:shd w:val="clear" w:color="auto" w:fill="auto"/>
            <w:noWrap w:val="0"/>
            <w:vAlign w:val="center"/>
          </w:tcPr>
          <w:p w14:paraId="03557C6A">
            <w:pPr>
              <w:pStyle w:val="182"/>
              <w:rPr>
                <w:color w:val="auto"/>
              </w:rPr>
            </w:pPr>
            <w:r>
              <w:rPr>
                <w:color w:val="auto"/>
              </w:rPr>
              <w:t>PTMG</w:t>
            </w:r>
            <w:r>
              <w:rPr>
                <w:rFonts w:hint="eastAsia"/>
                <w:color w:val="auto"/>
              </w:rPr>
              <w:t>混合罐</w:t>
            </w:r>
          </w:p>
        </w:tc>
        <w:tc>
          <w:tcPr>
            <w:tcW w:w="2556" w:type="pct"/>
            <w:gridSpan w:val="2"/>
            <w:shd w:val="clear" w:color="auto" w:fill="auto"/>
            <w:noWrap w:val="0"/>
            <w:vAlign w:val="center"/>
          </w:tcPr>
          <w:p w14:paraId="52445200">
            <w:pPr>
              <w:pStyle w:val="182"/>
              <w:rPr>
                <w:color w:val="auto"/>
              </w:rPr>
            </w:pPr>
            <w:r>
              <w:rPr>
                <w:color w:val="auto"/>
              </w:rPr>
              <w:t>400</w:t>
            </w:r>
            <w:r>
              <w:rPr>
                <w:rFonts w:hint="eastAsia"/>
                <w:color w:val="auto"/>
              </w:rPr>
              <w:t>立方</w:t>
            </w:r>
          </w:p>
        </w:tc>
        <w:tc>
          <w:tcPr>
            <w:tcW w:w="632" w:type="pct"/>
            <w:shd w:val="clear" w:color="auto" w:fill="auto"/>
            <w:noWrap w:val="0"/>
            <w:vAlign w:val="center"/>
          </w:tcPr>
          <w:p w14:paraId="0527E4F7">
            <w:pPr>
              <w:pStyle w:val="182"/>
              <w:rPr>
                <w:color w:val="auto"/>
              </w:rPr>
            </w:pPr>
            <w:r>
              <w:rPr>
                <w:color w:val="auto"/>
              </w:rPr>
              <w:t>12</w:t>
            </w:r>
          </w:p>
        </w:tc>
      </w:tr>
      <w:tr w14:paraId="54157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CA41747">
            <w:pPr>
              <w:pStyle w:val="182"/>
              <w:rPr>
                <w:color w:val="auto"/>
              </w:rPr>
            </w:pPr>
            <w:r>
              <w:rPr>
                <w:color w:val="auto"/>
              </w:rPr>
              <w:t>2</w:t>
            </w:r>
          </w:p>
        </w:tc>
        <w:tc>
          <w:tcPr>
            <w:tcW w:w="1498" w:type="pct"/>
            <w:gridSpan w:val="4"/>
            <w:shd w:val="clear" w:color="auto" w:fill="auto"/>
            <w:noWrap w:val="0"/>
            <w:vAlign w:val="center"/>
          </w:tcPr>
          <w:p w14:paraId="5AFD7545">
            <w:pPr>
              <w:pStyle w:val="182"/>
              <w:rPr>
                <w:color w:val="auto"/>
              </w:rPr>
            </w:pPr>
            <w:r>
              <w:rPr>
                <w:color w:val="auto"/>
              </w:rPr>
              <w:t>DMAC</w:t>
            </w:r>
            <w:r>
              <w:rPr>
                <w:rFonts w:hint="eastAsia"/>
                <w:color w:val="auto"/>
              </w:rPr>
              <w:t>储罐</w:t>
            </w:r>
          </w:p>
        </w:tc>
        <w:tc>
          <w:tcPr>
            <w:tcW w:w="2556" w:type="pct"/>
            <w:gridSpan w:val="2"/>
            <w:shd w:val="clear" w:color="auto" w:fill="auto"/>
            <w:noWrap w:val="0"/>
            <w:vAlign w:val="center"/>
          </w:tcPr>
          <w:p w14:paraId="3109F399">
            <w:pPr>
              <w:pStyle w:val="182"/>
              <w:rPr>
                <w:color w:val="auto"/>
              </w:rPr>
            </w:pPr>
            <w:r>
              <w:rPr>
                <w:rFonts w:hint="eastAsia"/>
                <w:color w:val="auto"/>
              </w:rPr>
              <w:t>冷水夹套</w:t>
            </w:r>
          </w:p>
        </w:tc>
        <w:tc>
          <w:tcPr>
            <w:tcW w:w="632" w:type="pct"/>
            <w:shd w:val="clear" w:color="auto" w:fill="auto"/>
            <w:noWrap w:val="0"/>
            <w:vAlign w:val="center"/>
          </w:tcPr>
          <w:p w14:paraId="65BF021C">
            <w:pPr>
              <w:pStyle w:val="182"/>
              <w:rPr>
                <w:color w:val="auto"/>
              </w:rPr>
            </w:pPr>
            <w:r>
              <w:rPr>
                <w:color w:val="auto"/>
              </w:rPr>
              <w:t>4</w:t>
            </w:r>
          </w:p>
        </w:tc>
      </w:tr>
      <w:tr w14:paraId="41CF6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5A13687">
            <w:pPr>
              <w:pStyle w:val="182"/>
              <w:rPr>
                <w:color w:val="auto"/>
              </w:rPr>
            </w:pPr>
            <w:r>
              <w:rPr>
                <w:color w:val="auto"/>
              </w:rPr>
              <w:t>3</w:t>
            </w:r>
          </w:p>
        </w:tc>
        <w:tc>
          <w:tcPr>
            <w:tcW w:w="1498" w:type="pct"/>
            <w:gridSpan w:val="4"/>
            <w:shd w:val="clear" w:color="auto" w:fill="auto"/>
            <w:noWrap w:val="0"/>
            <w:vAlign w:val="center"/>
          </w:tcPr>
          <w:p w14:paraId="1A8D31FD">
            <w:pPr>
              <w:pStyle w:val="182"/>
              <w:rPr>
                <w:color w:val="auto"/>
              </w:rPr>
            </w:pPr>
            <w:r>
              <w:rPr>
                <w:rFonts w:hint="eastAsia"/>
                <w:color w:val="auto"/>
              </w:rPr>
              <w:t>预聚合反应器</w:t>
            </w:r>
          </w:p>
        </w:tc>
        <w:tc>
          <w:tcPr>
            <w:tcW w:w="2556" w:type="pct"/>
            <w:gridSpan w:val="2"/>
            <w:shd w:val="clear" w:color="auto" w:fill="auto"/>
            <w:noWrap w:val="0"/>
            <w:vAlign w:val="center"/>
          </w:tcPr>
          <w:p w14:paraId="675D8975">
            <w:pPr>
              <w:pStyle w:val="182"/>
              <w:rPr>
                <w:color w:val="auto"/>
              </w:rPr>
            </w:pPr>
            <w:r>
              <w:rPr>
                <w:rFonts w:hint="eastAsia"/>
                <w:color w:val="auto"/>
              </w:rPr>
              <w:t>夹套：静态混合</w:t>
            </w:r>
          </w:p>
        </w:tc>
        <w:tc>
          <w:tcPr>
            <w:tcW w:w="632" w:type="pct"/>
            <w:shd w:val="clear" w:color="auto" w:fill="auto"/>
            <w:noWrap w:val="0"/>
            <w:vAlign w:val="center"/>
          </w:tcPr>
          <w:p w14:paraId="05559B0E">
            <w:pPr>
              <w:pStyle w:val="182"/>
              <w:rPr>
                <w:color w:val="auto"/>
              </w:rPr>
            </w:pPr>
            <w:r>
              <w:rPr>
                <w:color w:val="auto"/>
              </w:rPr>
              <w:t>6</w:t>
            </w:r>
          </w:p>
        </w:tc>
      </w:tr>
      <w:tr w14:paraId="7C9DB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61A510F">
            <w:pPr>
              <w:pStyle w:val="182"/>
              <w:rPr>
                <w:color w:val="auto"/>
              </w:rPr>
            </w:pPr>
            <w:r>
              <w:rPr>
                <w:color w:val="auto"/>
              </w:rPr>
              <w:t>4</w:t>
            </w:r>
          </w:p>
        </w:tc>
        <w:tc>
          <w:tcPr>
            <w:tcW w:w="1498" w:type="pct"/>
            <w:gridSpan w:val="4"/>
            <w:shd w:val="clear" w:color="auto" w:fill="auto"/>
            <w:noWrap w:val="0"/>
            <w:vAlign w:val="center"/>
          </w:tcPr>
          <w:p w14:paraId="3FCB1FC6">
            <w:pPr>
              <w:pStyle w:val="182"/>
              <w:rPr>
                <w:color w:val="auto"/>
              </w:rPr>
            </w:pPr>
            <w:r>
              <w:rPr>
                <w:rFonts w:hint="eastAsia"/>
                <w:color w:val="auto"/>
              </w:rPr>
              <w:t>聚合反应器</w:t>
            </w:r>
          </w:p>
        </w:tc>
        <w:tc>
          <w:tcPr>
            <w:tcW w:w="2556" w:type="pct"/>
            <w:gridSpan w:val="2"/>
            <w:shd w:val="clear" w:color="auto" w:fill="auto"/>
            <w:noWrap w:val="0"/>
            <w:vAlign w:val="center"/>
          </w:tcPr>
          <w:p w14:paraId="2F75B5D1">
            <w:pPr>
              <w:pStyle w:val="182"/>
              <w:rPr>
                <w:color w:val="auto"/>
              </w:rPr>
            </w:pPr>
            <w:r>
              <w:rPr>
                <w:color w:val="auto"/>
              </w:rPr>
              <w:t>RT5000-20</w:t>
            </w:r>
          </w:p>
        </w:tc>
        <w:tc>
          <w:tcPr>
            <w:tcW w:w="632" w:type="pct"/>
            <w:shd w:val="clear" w:color="auto" w:fill="auto"/>
            <w:noWrap w:val="0"/>
            <w:vAlign w:val="center"/>
          </w:tcPr>
          <w:p w14:paraId="451232A9">
            <w:pPr>
              <w:pStyle w:val="182"/>
              <w:rPr>
                <w:color w:val="auto"/>
              </w:rPr>
            </w:pPr>
            <w:r>
              <w:rPr>
                <w:color w:val="auto"/>
              </w:rPr>
              <w:t>6</w:t>
            </w:r>
          </w:p>
        </w:tc>
      </w:tr>
      <w:tr w14:paraId="6E590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83E8E67">
            <w:pPr>
              <w:pStyle w:val="182"/>
              <w:rPr>
                <w:color w:val="auto"/>
              </w:rPr>
            </w:pPr>
            <w:r>
              <w:rPr>
                <w:color w:val="auto"/>
              </w:rPr>
              <w:t>5</w:t>
            </w:r>
          </w:p>
        </w:tc>
        <w:tc>
          <w:tcPr>
            <w:tcW w:w="1498" w:type="pct"/>
            <w:gridSpan w:val="4"/>
            <w:shd w:val="clear" w:color="auto" w:fill="auto"/>
            <w:noWrap w:val="0"/>
            <w:vAlign w:val="center"/>
          </w:tcPr>
          <w:p w14:paraId="53A05FD0">
            <w:pPr>
              <w:pStyle w:val="182"/>
              <w:rPr>
                <w:color w:val="auto"/>
              </w:rPr>
            </w:pPr>
            <w:r>
              <w:rPr>
                <w:rFonts w:hint="eastAsia"/>
                <w:color w:val="auto"/>
              </w:rPr>
              <w:t>纺丝原液储槽</w:t>
            </w:r>
          </w:p>
        </w:tc>
        <w:tc>
          <w:tcPr>
            <w:tcW w:w="2556" w:type="pct"/>
            <w:gridSpan w:val="2"/>
            <w:shd w:val="clear" w:color="auto" w:fill="auto"/>
            <w:noWrap w:val="0"/>
            <w:vAlign w:val="center"/>
          </w:tcPr>
          <w:p w14:paraId="2D91FBF9">
            <w:pPr>
              <w:pStyle w:val="182"/>
              <w:rPr>
                <w:color w:val="auto"/>
              </w:rPr>
            </w:pPr>
            <w:r>
              <w:rPr>
                <w:rFonts w:hint="eastAsia"/>
                <w:color w:val="auto"/>
              </w:rPr>
              <w:t>夹套；带搅拌</w:t>
            </w:r>
          </w:p>
        </w:tc>
        <w:tc>
          <w:tcPr>
            <w:tcW w:w="632" w:type="pct"/>
            <w:shd w:val="clear" w:color="auto" w:fill="auto"/>
            <w:noWrap w:val="0"/>
            <w:vAlign w:val="center"/>
          </w:tcPr>
          <w:p w14:paraId="4CA01707">
            <w:pPr>
              <w:pStyle w:val="182"/>
              <w:rPr>
                <w:color w:val="auto"/>
              </w:rPr>
            </w:pPr>
            <w:r>
              <w:rPr>
                <w:color w:val="auto"/>
              </w:rPr>
              <w:t>/</w:t>
            </w:r>
          </w:p>
        </w:tc>
      </w:tr>
      <w:tr w14:paraId="5AD09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061C022">
            <w:pPr>
              <w:pStyle w:val="182"/>
              <w:rPr>
                <w:color w:val="auto"/>
              </w:rPr>
            </w:pPr>
            <w:r>
              <w:rPr>
                <w:color w:val="auto"/>
              </w:rPr>
              <w:t>6</w:t>
            </w:r>
          </w:p>
        </w:tc>
        <w:tc>
          <w:tcPr>
            <w:tcW w:w="1498" w:type="pct"/>
            <w:gridSpan w:val="4"/>
            <w:shd w:val="clear" w:color="auto" w:fill="auto"/>
            <w:noWrap w:val="0"/>
            <w:vAlign w:val="center"/>
          </w:tcPr>
          <w:p w14:paraId="1752A34A">
            <w:pPr>
              <w:pStyle w:val="182"/>
              <w:rPr>
                <w:color w:val="auto"/>
              </w:rPr>
            </w:pPr>
            <w:r>
              <w:rPr>
                <w:rFonts w:hint="eastAsia"/>
                <w:color w:val="auto"/>
              </w:rPr>
              <w:t>混合胺供给罐</w:t>
            </w:r>
          </w:p>
        </w:tc>
        <w:tc>
          <w:tcPr>
            <w:tcW w:w="2556" w:type="pct"/>
            <w:gridSpan w:val="2"/>
            <w:shd w:val="clear" w:color="auto" w:fill="auto"/>
            <w:noWrap w:val="0"/>
            <w:vAlign w:val="center"/>
          </w:tcPr>
          <w:p w14:paraId="7CDABFD6">
            <w:pPr>
              <w:pStyle w:val="182"/>
              <w:rPr>
                <w:color w:val="auto"/>
              </w:rPr>
            </w:pPr>
            <w:r>
              <w:rPr>
                <w:rFonts w:hint="eastAsia"/>
                <w:color w:val="auto"/>
              </w:rPr>
              <w:t>冷冻夹套</w:t>
            </w:r>
          </w:p>
        </w:tc>
        <w:tc>
          <w:tcPr>
            <w:tcW w:w="632" w:type="pct"/>
            <w:shd w:val="clear" w:color="auto" w:fill="auto"/>
            <w:noWrap w:val="0"/>
            <w:vAlign w:val="center"/>
          </w:tcPr>
          <w:p w14:paraId="45A1DA1E">
            <w:pPr>
              <w:pStyle w:val="182"/>
              <w:rPr>
                <w:color w:val="auto"/>
              </w:rPr>
            </w:pPr>
            <w:r>
              <w:rPr>
                <w:color w:val="auto"/>
              </w:rPr>
              <w:t>12</w:t>
            </w:r>
          </w:p>
        </w:tc>
      </w:tr>
      <w:tr w14:paraId="20E93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5B93CD8">
            <w:pPr>
              <w:pStyle w:val="182"/>
              <w:rPr>
                <w:color w:val="auto"/>
              </w:rPr>
            </w:pPr>
            <w:r>
              <w:rPr>
                <w:color w:val="auto"/>
              </w:rPr>
              <w:t>7</w:t>
            </w:r>
          </w:p>
        </w:tc>
        <w:tc>
          <w:tcPr>
            <w:tcW w:w="1498" w:type="pct"/>
            <w:gridSpan w:val="4"/>
            <w:shd w:val="clear" w:color="auto" w:fill="auto"/>
            <w:noWrap w:val="0"/>
            <w:vAlign w:val="center"/>
          </w:tcPr>
          <w:p w14:paraId="30389E28">
            <w:pPr>
              <w:pStyle w:val="182"/>
              <w:rPr>
                <w:color w:val="auto"/>
              </w:rPr>
            </w:pPr>
            <w:r>
              <w:rPr>
                <w:rFonts w:hint="eastAsia"/>
                <w:color w:val="auto"/>
              </w:rPr>
              <w:t>添加剂调配罐</w:t>
            </w:r>
          </w:p>
        </w:tc>
        <w:tc>
          <w:tcPr>
            <w:tcW w:w="2556" w:type="pct"/>
            <w:gridSpan w:val="2"/>
            <w:shd w:val="clear" w:color="auto" w:fill="auto"/>
            <w:noWrap w:val="0"/>
            <w:vAlign w:val="center"/>
          </w:tcPr>
          <w:p w14:paraId="5EF8AEB6">
            <w:pPr>
              <w:pStyle w:val="182"/>
              <w:rPr>
                <w:color w:val="auto"/>
              </w:rPr>
            </w:pPr>
            <w:r>
              <w:rPr>
                <w:rFonts w:hint="eastAsia"/>
                <w:color w:val="auto"/>
              </w:rPr>
              <w:t>冷冻水夹套</w:t>
            </w:r>
          </w:p>
        </w:tc>
        <w:tc>
          <w:tcPr>
            <w:tcW w:w="632" w:type="pct"/>
            <w:shd w:val="clear" w:color="auto" w:fill="auto"/>
            <w:noWrap w:val="0"/>
            <w:vAlign w:val="center"/>
          </w:tcPr>
          <w:p w14:paraId="26E09A49">
            <w:pPr>
              <w:pStyle w:val="182"/>
              <w:rPr>
                <w:color w:val="auto"/>
              </w:rPr>
            </w:pPr>
            <w:r>
              <w:rPr>
                <w:color w:val="auto"/>
              </w:rPr>
              <w:t>6</w:t>
            </w:r>
          </w:p>
        </w:tc>
      </w:tr>
      <w:tr w14:paraId="1798E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804422B">
            <w:pPr>
              <w:pStyle w:val="182"/>
              <w:rPr>
                <w:color w:val="auto"/>
              </w:rPr>
            </w:pPr>
            <w:r>
              <w:rPr>
                <w:color w:val="auto"/>
              </w:rPr>
              <w:t>8</w:t>
            </w:r>
          </w:p>
        </w:tc>
        <w:tc>
          <w:tcPr>
            <w:tcW w:w="1498" w:type="pct"/>
            <w:gridSpan w:val="4"/>
            <w:shd w:val="clear" w:color="auto" w:fill="auto"/>
            <w:noWrap w:val="0"/>
            <w:vAlign w:val="center"/>
          </w:tcPr>
          <w:p w14:paraId="08D18334">
            <w:pPr>
              <w:pStyle w:val="182"/>
              <w:rPr>
                <w:color w:val="auto"/>
              </w:rPr>
            </w:pPr>
            <w:r>
              <w:rPr>
                <w:rFonts w:hint="eastAsia"/>
                <w:color w:val="auto"/>
              </w:rPr>
              <w:t>纺丝甬道</w:t>
            </w:r>
          </w:p>
        </w:tc>
        <w:tc>
          <w:tcPr>
            <w:tcW w:w="2556" w:type="pct"/>
            <w:gridSpan w:val="2"/>
            <w:shd w:val="clear" w:color="auto" w:fill="auto"/>
            <w:noWrap w:val="0"/>
            <w:vAlign w:val="center"/>
          </w:tcPr>
          <w:p w14:paraId="3EE0AB6B">
            <w:pPr>
              <w:pStyle w:val="182"/>
              <w:rPr>
                <w:color w:val="auto"/>
              </w:rPr>
            </w:pPr>
            <w:r>
              <w:rPr>
                <w:rFonts w:hint="eastAsia"/>
                <w:color w:val="auto"/>
              </w:rPr>
              <w:t>专用</w:t>
            </w:r>
          </w:p>
        </w:tc>
        <w:tc>
          <w:tcPr>
            <w:tcW w:w="632" w:type="pct"/>
            <w:shd w:val="clear" w:color="auto" w:fill="auto"/>
            <w:noWrap w:val="0"/>
            <w:vAlign w:val="center"/>
          </w:tcPr>
          <w:p w14:paraId="188D7A44">
            <w:pPr>
              <w:pStyle w:val="182"/>
              <w:rPr>
                <w:color w:val="auto"/>
              </w:rPr>
            </w:pPr>
            <w:r>
              <w:rPr>
                <w:color w:val="auto"/>
              </w:rPr>
              <w:t>560</w:t>
            </w:r>
          </w:p>
        </w:tc>
      </w:tr>
      <w:tr w14:paraId="2542D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109ACEA">
            <w:pPr>
              <w:pStyle w:val="182"/>
              <w:rPr>
                <w:color w:val="auto"/>
              </w:rPr>
            </w:pPr>
            <w:r>
              <w:rPr>
                <w:color w:val="auto"/>
              </w:rPr>
              <w:t>9</w:t>
            </w:r>
          </w:p>
        </w:tc>
        <w:tc>
          <w:tcPr>
            <w:tcW w:w="1498" w:type="pct"/>
            <w:gridSpan w:val="4"/>
            <w:shd w:val="clear" w:color="auto" w:fill="auto"/>
            <w:noWrap w:val="0"/>
            <w:vAlign w:val="center"/>
          </w:tcPr>
          <w:p w14:paraId="4C4BD48E">
            <w:pPr>
              <w:pStyle w:val="182"/>
              <w:rPr>
                <w:color w:val="auto"/>
              </w:rPr>
            </w:pPr>
            <w:r>
              <w:rPr>
                <w:rFonts w:hint="eastAsia"/>
                <w:color w:val="auto"/>
              </w:rPr>
              <w:t>纺丝组件</w:t>
            </w:r>
          </w:p>
        </w:tc>
        <w:tc>
          <w:tcPr>
            <w:tcW w:w="2556" w:type="pct"/>
            <w:gridSpan w:val="2"/>
            <w:shd w:val="clear" w:color="auto" w:fill="auto"/>
            <w:noWrap w:val="0"/>
            <w:vAlign w:val="center"/>
          </w:tcPr>
          <w:p w14:paraId="7BB32DAA">
            <w:pPr>
              <w:pStyle w:val="182"/>
              <w:rPr>
                <w:color w:val="auto"/>
              </w:rPr>
            </w:pPr>
            <w:r>
              <w:rPr>
                <w:rFonts w:hint="eastAsia"/>
                <w:color w:val="auto"/>
              </w:rPr>
              <w:t>分配板，保温板，滤筒，过滤网，垫片</w:t>
            </w:r>
          </w:p>
        </w:tc>
        <w:tc>
          <w:tcPr>
            <w:tcW w:w="632" w:type="pct"/>
            <w:shd w:val="clear" w:color="auto" w:fill="auto"/>
            <w:noWrap w:val="0"/>
            <w:vAlign w:val="center"/>
          </w:tcPr>
          <w:p w14:paraId="19016E71">
            <w:pPr>
              <w:pStyle w:val="182"/>
              <w:rPr>
                <w:color w:val="auto"/>
              </w:rPr>
            </w:pPr>
            <w:r>
              <w:rPr>
                <w:color w:val="auto"/>
              </w:rPr>
              <w:t>504</w:t>
            </w:r>
          </w:p>
        </w:tc>
      </w:tr>
      <w:tr w14:paraId="207D0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34D0A5A">
            <w:pPr>
              <w:pStyle w:val="182"/>
              <w:rPr>
                <w:color w:val="auto"/>
              </w:rPr>
            </w:pPr>
            <w:r>
              <w:rPr>
                <w:color w:val="auto"/>
              </w:rPr>
              <w:t>10</w:t>
            </w:r>
          </w:p>
        </w:tc>
        <w:tc>
          <w:tcPr>
            <w:tcW w:w="1498" w:type="pct"/>
            <w:gridSpan w:val="4"/>
            <w:shd w:val="clear" w:color="auto" w:fill="auto"/>
            <w:noWrap w:val="0"/>
            <w:vAlign w:val="center"/>
          </w:tcPr>
          <w:p w14:paraId="54F21D0F">
            <w:pPr>
              <w:pStyle w:val="182"/>
              <w:rPr>
                <w:color w:val="auto"/>
              </w:rPr>
            </w:pPr>
            <w:r>
              <w:rPr>
                <w:rFonts w:hint="eastAsia"/>
                <w:color w:val="auto"/>
              </w:rPr>
              <w:t>卷绕头</w:t>
            </w:r>
          </w:p>
        </w:tc>
        <w:tc>
          <w:tcPr>
            <w:tcW w:w="2556" w:type="pct"/>
            <w:gridSpan w:val="2"/>
            <w:shd w:val="clear" w:color="auto" w:fill="auto"/>
            <w:noWrap w:val="0"/>
            <w:vAlign w:val="center"/>
          </w:tcPr>
          <w:p w14:paraId="0BC52CF0">
            <w:pPr>
              <w:pStyle w:val="182"/>
              <w:rPr>
                <w:color w:val="auto"/>
              </w:rPr>
            </w:pPr>
            <w:r>
              <w:rPr>
                <w:rFonts w:hint="eastAsia"/>
                <w:color w:val="auto"/>
              </w:rPr>
              <w:t>专用</w:t>
            </w:r>
          </w:p>
        </w:tc>
        <w:tc>
          <w:tcPr>
            <w:tcW w:w="632" w:type="pct"/>
            <w:shd w:val="clear" w:color="auto" w:fill="auto"/>
            <w:noWrap w:val="0"/>
            <w:vAlign w:val="center"/>
          </w:tcPr>
          <w:p w14:paraId="3BA1A65E">
            <w:pPr>
              <w:pStyle w:val="182"/>
              <w:rPr>
                <w:color w:val="auto"/>
              </w:rPr>
            </w:pPr>
            <w:r>
              <w:rPr>
                <w:color w:val="auto"/>
              </w:rPr>
              <w:t>1140</w:t>
            </w:r>
          </w:p>
        </w:tc>
      </w:tr>
      <w:tr w14:paraId="5CAF1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820442B">
            <w:pPr>
              <w:pStyle w:val="182"/>
              <w:rPr>
                <w:color w:val="auto"/>
              </w:rPr>
            </w:pPr>
            <w:r>
              <w:rPr>
                <w:color w:val="auto"/>
              </w:rPr>
              <w:t>11</w:t>
            </w:r>
          </w:p>
        </w:tc>
        <w:tc>
          <w:tcPr>
            <w:tcW w:w="1498" w:type="pct"/>
            <w:gridSpan w:val="4"/>
            <w:shd w:val="clear" w:color="auto" w:fill="auto"/>
            <w:noWrap w:val="0"/>
            <w:vAlign w:val="center"/>
          </w:tcPr>
          <w:p w14:paraId="78FFC35F">
            <w:pPr>
              <w:pStyle w:val="182"/>
              <w:rPr>
                <w:color w:val="auto"/>
              </w:rPr>
            </w:pPr>
            <w:r>
              <w:rPr>
                <w:color w:val="auto"/>
              </w:rPr>
              <w:t>SM</w:t>
            </w:r>
            <w:r>
              <w:rPr>
                <w:rFonts w:hint="eastAsia"/>
                <w:color w:val="auto"/>
              </w:rPr>
              <w:t>风机</w:t>
            </w:r>
          </w:p>
        </w:tc>
        <w:tc>
          <w:tcPr>
            <w:tcW w:w="2556" w:type="pct"/>
            <w:gridSpan w:val="2"/>
            <w:shd w:val="clear" w:color="auto" w:fill="auto"/>
            <w:noWrap w:val="0"/>
            <w:vAlign w:val="center"/>
          </w:tcPr>
          <w:p w14:paraId="524C29AA">
            <w:pPr>
              <w:pStyle w:val="182"/>
              <w:rPr>
                <w:color w:val="auto"/>
              </w:rPr>
            </w:pPr>
            <w:r>
              <w:rPr>
                <w:color w:val="auto"/>
              </w:rPr>
              <w:t>/</w:t>
            </w:r>
          </w:p>
        </w:tc>
        <w:tc>
          <w:tcPr>
            <w:tcW w:w="632" w:type="pct"/>
            <w:shd w:val="clear" w:color="auto" w:fill="auto"/>
            <w:noWrap w:val="0"/>
            <w:vAlign w:val="center"/>
          </w:tcPr>
          <w:p w14:paraId="6744337F">
            <w:pPr>
              <w:pStyle w:val="182"/>
              <w:rPr>
                <w:color w:val="auto"/>
              </w:rPr>
            </w:pPr>
            <w:r>
              <w:rPr>
                <w:color w:val="auto"/>
              </w:rPr>
              <w:t>14</w:t>
            </w:r>
          </w:p>
        </w:tc>
      </w:tr>
      <w:tr w14:paraId="55D9E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D191709">
            <w:pPr>
              <w:pStyle w:val="182"/>
              <w:rPr>
                <w:color w:val="auto"/>
              </w:rPr>
            </w:pPr>
            <w:r>
              <w:rPr>
                <w:color w:val="auto"/>
              </w:rPr>
              <w:t>12</w:t>
            </w:r>
          </w:p>
        </w:tc>
        <w:tc>
          <w:tcPr>
            <w:tcW w:w="1498" w:type="pct"/>
            <w:gridSpan w:val="4"/>
            <w:shd w:val="clear" w:color="auto" w:fill="auto"/>
            <w:noWrap w:val="0"/>
            <w:vAlign w:val="center"/>
          </w:tcPr>
          <w:p w14:paraId="3D26CB16">
            <w:pPr>
              <w:pStyle w:val="182"/>
              <w:rPr>
                <w:color w:val="auto"/>
              </w:rPr>
            </w:pPr>
            <w:r>
              <w:rPr>
                <w:color w:val="auto"/>
              </w:rPr>
              <w:t>DMAC</w:t>
            </w:r>
            <w:r>
              <w:rPr>
                <w:rFonts w:hint="eastAsia"/>
                <w:color w:val="auto"/>
              </w:rPr>
              <w:t>回收、精制</w:t>
            </w:r>
          </w:p>
        </w:tc>
        <w:tc>
          <w:tcPr>
            <w:tcW w:w="2556" w:type="pct"/>
            <w:gridSpan w:val="2"/>
            <w:shd w:val="clear" w:color="auto" w:fill="auto"/>
            <w:noWrap w:val="0"/>
            <w:vAlign w:val="center"/>
          </w:tcPr>
          <w:p w14:paraId="1E21A534">
            <w:pPr>
              <w:pStyle w:val="182"/>
              <w:rPr>
                <w:color w:val="auto"/>
              </w:rPr>
            </w:pPr>
            <w:r>
              <w:rPr>
                <w:color w:val="auto"/>
              </w:rPr>
              <w:t>/</w:t>
            </w:r>
          </w:p>
        </w:tc>
        <w:tc>
          <w:tcPr>
            <w:tcW w:w="632" w:type="pct"/>
            <w:shd w:val="clear" w:color="auto" w:fill="auto"/>
            <w:noWrap w:val="0"/>
            <w:vAlign w:val="center"/>
          </w:tcPr>
          <w:p w14:paraId="0B935731">
            <w:pPr>
              <w:pStyle w:val="182"/>
              <w:rPr>
                <w:color w:val="auto"/>
              </w:rPr>
            </w:pPr>
            <w:r>
              <w:rPr>
                <w:color w:val="auto"/>
              </w:rPr>
              <w:t>2</w:t>
            </w:r>
          </w:p>
        </w:tc>
      </w:tr>
      <w:tr w14:paraId="4909D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469FE2C">
            <w:pPr>
              <w:pStyle w:val="182"/>
              <w:rPr>
                <w:color w:val="auto"/>
              </w:rPr>
            </w:pPr>
            <w:r>
              <w:rPr>
                <w:color w:val="auto"/>
              </w:rPr>
              <w:t>1</w:t>
            </w:r>
            <w:r>
              <w:rPr>
                <w:rFonts w:hint="eastAsia"/>
                <w:color w:val="auto"/>
              </w:rPr>
              <w:t>3</w:t>
            </w:r>
          </w:p>
        </w:tc>
        <w:tc>
          <w:tcPr>
            <w:tcW w:w="1498" w:type="pct"/>
            <w:gridSpan w:val="4"/>
            <w:shd w:val="clear" w:color="auto" w:fill="auto"/>
            <w:noWrap w:val="0"/>
            <w:vAlign w:val="center"/>
          </w:tcPr>
          <w:p w14:paraId="02F0A67B">
            <w:pPr>
              <w:pStyle w:val="182"/>
              <w:rPr>
                <w:color w:val="auto"/>
              </w:rPr>
            </w:pPr>
            <w:r>
              <w:rPr>
                <w:color w:val="auto"/>
              </w:rPr>
              <w:t>DCS</w:t>
            </w:r>
            <w:r>
              <w:rPr>
                <w:rFonts w:hint="eastAsia"/>
                <w:color w:val="auto"/>
              </w:rPr>
              <w:t>控制系统</w:t>
            </w:r>
          </w:p>
        </w:tc>
        <w:tc>
          <w:tcPr>
            <w:tcW w:w="2556" w:type="pct"/>
            <w:gridSpan w:val="2"/>
            <w:shd w:val="clear" w:color="auto" w:fill="auto"/>
            <w:noWrap w:val="0"/>
            <w:vAlign w:val="center"/>
          </w:tcPr>
          <w:p w14:paraId="2FC1D011">
            <w:pPr>
              <w:pStyle w:val="182"/>
              <w:rPr>
                <w:color w:val="auto"/>
              </w:rPr>
            </w:pPr>
            <w:r>
              <w:rPr>
                <w:color w:val="auto"/>
              </w:rPr>
              <w:t>CENTUM CS3000</w:t>
            </w:r>
          </w:p>
        </w:tc>
        <w:tc>
          <w:tcPr>
            <w:tcW w:w="632" w:type="pct"/>
            <w:shd w:val="clear" w:color="auto" w:fill="auto"/>
            <w:noWrap w:val="0"/>
            <w:vAlign w:val="center"/>
          </w:tcPr>
          <w:p w14:paraId="786A1FDA">
            <w:pPr>
              <w:pStyle w:val="182"/>
              <w:rPr>
                <w:color w:val="auto"/>
              </w:rPr>
            </w:pPr>
            <w:r>
              <w:rPr>
                <w:color w:val="auto"/>
              </w:rPr>
              <w:t>2</w:t>
            </w:r>
          </w:p>
        </w:tc>
      </w:tr>
      <w:tr w14:paraId="2A1D8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shd w:val="clear" w:color="auto" w:fill="auto"/>
            <w:noWrap w:val="0"/>
            <w:vAlign w:val="center"/>
          </w:tcPr>
          <w:p w14:paraId="021ECB32">
            <w:pPr>
              <w:pStyle w:val="182"/>
              <w:rPr>
                <w:b/>
                <w:color w:val="auto"/>
              </w:rPr>
            </w:pPr>
            <w:r>
              <w:rPr>
                <w:rFonts w:hint="eastAsia"/>
                <w:b/>
                <w:color w:val="auto"/>
              </w:rPr>
              <w:t>3、新建2×170t/h蒸汽锅炉项目</w:t>
            </w:r>
          </w:p>
        </w:tc>
      </w:tr>
      <w:tr w14:paraId="0690E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12BFAB5">
            <w:pPr>
              <w:pStyle w:val="182"/>
              <w:rPr>
                <w:color w:val="auto"/>
              </w:rPr>
            </w:pPr>
            <w:r>
              <w:rPr>
                <w:rFonts w:hint="eastAsia"/>
                <w:color w:val="auto"/>
              </w:rPr>
              <w:t>1</w:t>
            </w:r>
          </w:p>
        </w:tc>
        <w:tc>
          <w:tcPr>
            <w:tcW w:w="1498" w:type="pct"/>
            <w:gridSpan w:val="4"/>
            <w:shd w:val="clear" w:color="auto" w:fill="auto"/>
            <w:noWrap w:val="0"/>
            <w:vAlign w:val="center"/>
          </w:tcPr>
          <w:p w14:paraId="2DF12674">
            <w:pPr>
              <w:pStyle w:val="182"/>
              <w:rPr>
                <w:color w:val="auto"/>
              </w:rPr>
            </w:pPr>
            <w:r>
              <w:rPr>
                <w:rFonts w:hint="eastAsia"/>
                <w:color w:val="auto"/>
              </w:rPr>
              <w:t>煤粉炉蒸汽锅炉</w:t>
            </w:r>
          </w:p>
        </w:tc>
        <w:tc>
          <w:tcPr>
            <w:tcW w:w="2556" w:type="pct"/>
            <w:gridSpan w:val="2"/>
            <w:shd w:val="clear" w:color="auto" w:fill="auto"/>
            <w:noWrap w:val="0"/>
            <w:vAlign w:val="center"/>
          </w:tcPr>
          <w:p w14:paraId="68D8AE28">
            <w:pPr>
              <w:pStyle w:val="182"/>
              <w:rPr>
                <w:color w:val="auto"/>
              </w:rPr>
            </w:pPr>
            <w:r>
              <w:rPr>
                <w:rFonts w:hint="eastAsia"/>
                <w:color w:val="auto"/>
              </w:rPr>
              <w:t>170t/h</w:t>
            </w:r>
          </w:p>
        </w:tc>
        <w:tc>
          <w:tcPr>
            <w:tcW w:w="632" w:type="pct"/>
            <w:shd w:val="clear" w:color="auto" w:fill="auto"/>
            <w:noWrap w:val="0"/>
            <w:vAlign w:val="center"/>
          </w:tcPr>
          <w:p w14:paraId="4328B166">
            <w:pPr>
              <w:pStyle w:val="182"/>
              <w:rPr>
                <w:color w:val="auto"/>
              </w:rPr>
            </w:pPr>
            <w:r>
              <w:rPr>
                <w:rFonts w:hint="eastAsia"/>
                <w:color w:val="auto"/>
              </w:rPr>
              <w:t>2</w:t>
            </w:r>
          </w:p>
        </w:tc>
      </w:tr>
      <w:tr w14:paraId="3F955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31F8390">
            <w:pPr>
              <w:pStyle w:val="182"/>
              <w:rPr>
                <w:color w:val="auto"/>
              </w:rPr>
            </w:pPr>
            <w:r>
              <w:rPr>
                <w:rFonts w:hint="eastAsia"/>
                <w:color w:val="auto"/>
              </w:rPr>
              <w:t>2</w:t>
            </w:r>
          </w:p>
        </w:tc>
        <w:tc>
          <w:tcPr>
            <w:tcW w:w="1498" w:type="pct"/>
            <w:gridSpan w:val="4"/>
            <w:shd w:val="clear" w:color="auto" w:fill="auto"/>
            <w:noWrap w:val="0"/>
            <w:vAlign w:val="center"/>
          </w:tcPr>
          <w:p w14:paraId="50573177">
            <w:pPr>
              <w:pStyle w:val="182"/>
              <w:rPr>
                <w:color w:val="auto"/>
              </w:rPr>
            </w:pPr>
            <w:r>
              <w:rPr>
                <w:rFonts w:hint="eastAsia"/>
                <w:color w:val="auto"/>
              </w:rPr>
              <w:t>背压机组</w:t>
            </w:r>
          </w:p>
        </w:tc>
        <w:tc>
          <w:tcPr>
            <w:tcW w:w="2556" w:type="pct"/>
            <w:gridSpan w:val="2"/>
            <w:shd w:val="clear" w:color="auto" w:fill="auto"/>
            <w:noWrap w:val="0"/>
            <w:vAlign w:val="center"/>
          </w:tcPr>
          <w:p w14:paraId="0F45C433">
            <w:pPr>
              <w:pStyle w:val="182"/>
              <w:rPr>
                <w:color w:val="auto"/>
              </w:rPr>
            </w:pPr>
            <w:r>
              <w:rPr>
                <w:rFonts w:hint="eastAsia"/>
                <w:color w:val="auto"/>
              </w:rPr>
              <w:t>25MW</w:t>
            </w:r>
          </w:p>
        </w:tc>
        <w:tc>
          <w:tcPr>
            <w:tcW w:w="632" w:type="pct"/>
            <w:shd w:val="clear" w:color="auto" w:fill="auto"/>
            <w:noWrap w:val="0"/>
            <w:vAlign w:val="center"/>
          </w:tcPr>
          <w:p w14:paraId="4A61A8EB">
            <w:pPr>
              <w:pStyle w:val="182"/>
              <w:rPr>
                <w:color w:val="auto"/>
              </w:rPr>
            </w:pPr>
            <w:r>
              <w:rPr>
                <w:rFonts w:hint="eastAsia"/>
                <w:color w:val="auto"/>
              </w:rPr>
              <w:t>2</w:t>
            </w:r>
          </w:p>
        </w:tc>
      </w:tr>
      <w:tr w14:paraId="4696A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FE33B9D">
            <w:pPr>
              <w:pStyle w:val="182"/>
              <w:rPr>
                <w:color w:val="auto"/>
              </w:rPr>
            </w:pPr>
            <w:r>
              <w:rPr>
                <w:rFonts w:hint="eastAsia"/>
                <w:color w:val="auto"/>
              </w:rPr>
              <w:t>3</w:t>
            </w:r>
          </w:p>
        </w:tc>
        <w:tc>
          <w:tcPr>
            <w:tcW w:w="1498" w:type="pct"/>
            <w:gridSpan w:val="4"/>
            <w:shd w:val="clear" w:color="auto" w:fill="auto"/>
            <w:noWrap w:val="0"/>
            <w:vAlign w:val="center"/>
          </w:tcPr>
          <w:p w14:paraId="3F9106A8">
            <w:pPr>
              <w:pStyle w:val="182"/>
              <w:rPr>
                <w:color w:val="auto"/>
              </w:rPr>
            </w:pPr>
            <w:r>
              <w:rPr>
                <w:rFonts w:hint="eastAsia"/>
                <w:color w:val="auto"/>
              </w:rPr>
              <w:t>氨水储罐</w:t>
            </w:r>
          </w:p>
        </w:tc>
        <w:tc>
          <w:tcPr>
            <w:tcW w:w="2556" w:type="pct"/>
            <w:gridSpan w:val="2"/>
            <w:shd w:val="clear" w:color="auto" w:fill="auto"/>
            <w:noWrap w:val="0"/>
            <w:vAlign w:val="center"/>
          </w:tcPr>
          <w:p w14:paraId="3D1D9D6D">
            <w:pPr>
              <w:pStyle w:val="182"/>
              <w:rPr>
                <w:color w:val="auto"/>
              </w:rPr>
            </w:pPr>
            <w:r>
              <w:rPr>
                <w:rFonts w:hint="eastAsia"/>
                <w:color w:val="auto"/>
              </w:rPr>
              <w:t>75m</w:t>
            </w:r>
            <w:r>
              <w:rPr>
                <w:rFonts w:hint="eastAsia"/>
                <w:color w:val="auto"/>
                <w:vertAlign w:val="superscript"/>
              </w:rPr>
              <w:t>3</w:t>
            </w:r>
          </w:p>
        </w:tc>
        <w:tc>
          <w:tcPr>
            <w:tcW w:w="632" w:type="pct"/>
            <w:shd w:val="clear" w:color="auto" w:fill="auto"/>
            <w:noWrap w:val="0"/>
            <w:vAlign w:val="center"/>
          </w:tcPr>
          <w:p w14:paraId="6A2615CB">
            <w:pPr>
              <w:pStyle w:val="182"/>
              <w:rPr>
                <w:color w:val="auto"/>
              </w:rPr>
            </w:pPr>
            <w:r>
              <w:rPr>
                <w:rFonts w:hint="eastAsia"/>
                <w:color w:val="auto"/>
              </w:rPr>
              <w:t>1</w:t>
            </w:r>
          </w:p>
        </w:tc>
      </w:tr>
      <w:tr w14:paraId="6C5DD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shd w:val="clear" w:color="auto" w:fill="auto"/>
            <w:noWrap w:val="0"/>
            <w:vAlign w:val="center"/>
          </w:tcPr>
          <w:p w14:paraId="60AB1E4B">
            <w:pPr>
              <w:pStyle w:val="182"/>
              <w:rPr>
                <w:b/>
                <w:color w:val="auto"/>
              </w:rPr>
            </w:pPr>
            <w:r>
              <w:rPr>
                <w:rFonts w:hint="eastAsia"/>
                <w:b/>
                <w:color w:val="auto"/>
              </w:rPr>
              <w:t>4、年产2万吨超细旦氨纶纤维项目（年产3×2万吨超细旦氨纶纤维项目一期工程）</w:t>
            </w:r>
          </w:p>
        </w:tc>
      </w:tr>
      <w:tr w14:paraId="3F69B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3337CEC">
            <w:pPr>
              <w:pStyle w:val="182"/>
              <w:rPr>
                <w:color w:val="auto"/>
              </w:rPr>
            </w:pPr>
            <w:r>
              <w:rPr>
                <w:rFonts w:hint="eastAsia"/>
                <w:color w:val="auto"/>
              </w:rPr>
              <w:t>1</w:t>
            </w:r>
          </w:p>
        </w:tc>
        <w:tc>
          <w:tcPr>
            <w:tcW w:w="1498" w:type="pct"/>
            <w:gridSpan w:val="4"/>
            <w:shd w:val="clear" w:color="auto" w:fill="auto"/>
            <w:noWrap w:val="0"/>
            <w:vAlign w:val="center"/>
          </w:tcPr>
          <w:p w14:paraId="481A9A5F">
            <w:pPr>
              <w:pStyle w:val="182"/>
              <w:rPr>
                <w:color w:val="auto"/>
              </w:rPr>
            </w:pPr>
            <w:r>
              <w:rPr>
                <w:rFonts w:hint="eastAsia"/>
                <w:color w:val="auto"/>
              </w:rPr>
              <w:t>液态</w:t>
            </w:r>
            <w:r>
              <w:rPr>
                <w:color w:val="auto"/>
              </w:rPr>
              <w:t>MDI</w:t>
            </w:r>
            <w:r>
              <w:rPr>
                <w:rFonts w:hint="eastAsia"/>
                <w:color w:val="auto"/>
              </w:rPr>
              <w:t>存储罐</w:t>
            </w:r>
          </w:p>
        </w:tc>
        <w:tc>
          <w:tcPr>
            <w:tcW w:w="2556" w:type="pct"/>
            <w:gridSpan w:val="2"/>
            <w:shd w:val="clear" w:color="auto" w:fill="auto"/>
            <w:noWrap w:val="0"/>
            <w:vAlign w:val="center"/>
          </w:tcPr>
          <w:p w14:paraId="0ECEDB32">
            <w:pPr>
              <w:pStyle w:val="182"/>
              <w:rPr>
                <w:color w:val="auto"/>
              </w:rPr>
            </w:pPr>
            <w:r>
              <w:rPr>
                <w:color w:val="auto"/>
              </w:rPr>
              <w:t>30m</w:t>
            </w:r>
            <w:r>
              <w:rPr>
                <w:color w:val="auto"/>
                <w:vertAlign w:val="superscript"/>
              </w:rPr>
              <w:t>3</w:t>
            </w:r>
          </w:p>
        </w:tc>
        <w:tc>
          <w:tcPr>
            <w:tcW w:w="632" w:type="pct"/>
            <w:shd w:val="clear" w:color="auto" w:fill="auto"/>
            <w:noWrap w:val="0"/>
            <w:vAlign w:val="center"/>
          </w:tcPr>
          <w:p w14:paraId="34E00208">
            <w:pPr>
              <w:pStyle w:val="182"/>
              <w:rPr>
                <w:color w:val="auto"/>
              </w:rPr>
            </w:pPr>
            <w:r>
              <w:rPr>
                <w:color w:val="auto"/>
              </w:rPr>
              <w:t>2</w:t>
            </w:r>
          </w:p>
        </w:tc>
      </w:tr>
      <w:tr w14:paraId="44D9D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vMerge w:val="restart"/>
            <w:shd w:val="clear" w:color="auto" w:fill="auto"/>
            <w:noWrap w:val="0"/>
            <w:vAlign w:val="center"/>
          </w:tcPr>
          <w:p w14:paraId="0717EB82">
            <w:pPr>
              <w:pStyle w:val="182"/>
              <w:rPr>
                <w:color w:val="auto"/>
              </w:rPr>
            </w:pPr>
            <w:r>
              <w:rPr>
                <w:rFonts w:hint="eastAsia"/>
                <w:color w:val="auto"/>
              </w:rPr>
              <w:t>2</w:t>
            </w:r>
          </w:p>
        </w:tc>
        <w:tc>
          <w:tcPr>
            <w:tcW w:w="1498" w:type="pct"/>
            <w:gridSpan w:val="4"/>
            <w:vMerge w:val="restart"/>
            <w:shd w:val="clear" w:color="auto" w:fill="auto"/>
            <w:noWrap w:val="0"/>
            <w:vAlign w:val="center"/>
          </w:tcPr>
          <w:p w14:paraId="4338AAE8">
            <w:pPr>
              <w:pStyle w:val="182"/>
              <w:rPr>
                <w:color w:val="auto"/>
              </w:rPr>
            </w:pPr>
            <w:r>
              <w:rPr>
                <w:rFonts w:hint="eastAsia"/>
                <w:color w:val="auto"/>
              </w:rPr>
              <w:t>液态PTMG存储罐</w:t>
            </w:r>
          </w:p>
        </w:tc>
        <w:tc>
          <w:tcPr>
            <w:tcW w:w="2556" w:type="pct"/>
            <w:gridSpan w:val="2"/>
            <w:shd w:val="clear" w:color="auto" w:fill="auto"/>
            <w:noWrap w:val="0"/>
            <w:vAlign w:val="center"/>
          </w:tcPr>
          <w:p w14:paraId="7844F2EC">
            <w:pPr>
              <w:pStyle w:val="182"/>
              <w:rPr>
                <w:color w:val="auto"/>
              </w:rPr>
            </w:pPr>
            <w:r>
              <w:rPr>
                <w:color w:val="auto"/>
              </w:rPr>
              <w:t>500 m</w:t>
            </w:r>
            <w:r>
              <w:rPr>
                <w:color w:val="auto"/>
                <w:vertAlign w:val="superscript"/>
              </w:rPr>
              <w:t>3</w:t>
            </w:r>
          </w:p>
        </w:tc>
        <w:tc>
          <w:tcPr>
            <w:tcW w:w="632" w:type="pct"/>
            <w:shd w:val="clear" w:color="auto" w:fill="auto"/>
            <w:noWrap w:val="0"/>
            <w:vAlign w:val="center"/>
          </w:tcPr>
          <w:p w14:paraId="1E69D9D4">
            <w:pPr>
              <w:pStyle w:val="182"/>
              <w:rPr>
                <w:color w:val="auto"/>
              </w:rPr>
            </w:pPr>
            <w:r>
              <w:rPr>
                <w:color w:val="auto"/>
              </w:rPr>
              <w:t>2</w:t>
            </w:r>
          </w:p>
        </w:tc>
      </w:tr>
      <w:tr w14:paraId="53D3C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vMerge w:val="continue"/>
            <w:shd w:val="clear" w:color="auto" w:fill="auto"/>
            <w:noWrap w:val="0"/>
            <w:vAlign w:val="center"/>
          </w:tcPr>
          <w:p w14:paraId="56961044">
            <w:pPr>
              <w:pStyle w:val="182"/>
              <w:rPr>
                <w:color w:val="auto"/>
              </w:rPr>
            </w:pPr>
          </w:p>
        </w:tc>
        <w:tc>
          <w:tcPr>
            <w:tcW w:w="1498" w:type="pct"/>
            <w:gridSpan w:val="4"/>
            <w:vMerge w:val="continue"/>
            <w:shd w:val="clear" w:color="auto" w:fill="auto"/>
            <w:noWrap w:val="0"/>
            <w:vAlign w:val="center"/>
          </w:tcPr>
          <w:p w14:paraId="26C672A5">
            <w:pPr>
              <w:pStyle w:val="182"/>
              <w:rPr>
                <w:color w:val="auto"/>
              </w:rPr>
            </w:pPr>
          </w:p>
        </w:tc>
        <w:tc>
          <w:tcPr>
            <w:tcW w:w="2556" w:type="pct"/>
            <w:gridSpan w:val="2"/>
            <w:shd w:val="clear" w:color="auto" w:fill="auto"/>
            <w:noWrap w:val="0"/>
            <w:vAlign w:val="center"/>
          </w:tcPr>
          <w:p w14:paraId="74AE03A3">
            <w:pPr>
              <w:pStyle w:val="182"/>
              <w:rPr>
                <w:color w:val="auto"/>
              </w:rPr>
            </w:pPr>
            <w:r>
              <w:rPr>
                <w:color w:val="auto"/>
              </w:rPr>
              <w:t>200 m</w:t>
            </w:r>
            <w:r>
              <w:rPr>
                <w:color w:val="auto"/>
                <w:vertAlign w:val="superscript"/>
              </w:rPr>
              <w:t>3</w:t>
            </w:r>
          </w:p>
        </w:tc>
        <w:tc>
          <w:tcPr>
            <w:tcW w:w="632" w:type="pct"/>
            <w:shd w:val="clear" w:color="auto" w:fill="auto"/>
            <w:noWrap w:val="0"/>
            <w:vAlign w:val="center"/>
          </w:tcPr>
          <w:p w14:paraId="0176A1DF">
            <w:pPr>
              <w:pStyle w:val="182"/>
              <w:rPr>
                <w:color w:val="auto"/>
              </w:rPr>
            </w:pPr>
            <w:r>
              <w:rPr>
                <w:color w:val="auto"/>
              </w:rPr>
              <w:t>2</w:t>
            </w:r>
          </w:p>
        </w:tc>
      </w:tr>
      <w:tr w14:paraId="18B8C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vMerge w:val="restart"/>
            <w:shd w:val="clear" w:color="auto" w:fill="auto"/>
            <w:noWrap w:val="0"/>
            <w:vAlign w:val="center"/>
          </w:tcPr>
          <w:p w14:paraId="3615B805">
            <w:pPr>
              <w:pStyle w:val="182"/>
              <w:rPr>
                <w:color w:val="auto"/>
              </w:rPr>
            </w:pPr>
            <w:r>
              <w:rPr>
                <w:rFonts w:hint="eastAsia"/>
                <w:color w:val="auto"/>
              </w:rPr>
              <w:t>3</w:t>
            </w:r>
          </w:p>
        </w:tc>
        <w:tc>
          <w:tcPr>
            <w:tcW w:w="1498" w:type="pct"/>
            <w:gridSpan w:val="4"/>
            <w:vMerge w:val="restart"/>
            <w:shd w:val="clear" w:color="auto" w:fill="auto"/>
            <w:noWrap w:val="0"/>
            <w:vAlign w:val="center"/>
          </w:tcPr>
          <w:p w14:paraId="6C8A1F95">
            <w:pPr>
              <w:pStyle w:val="182"/>
              <w:rPr>
                <w:color w:val="auto"/>
              </w:rPr>
            </w:pPr>
            <w:r>
              <w:rPr>
                <w:color w:val="auto"/>
              </w:rPr>
              <w:t>DMAC</w:t>
            </w:r>
            <w:r>
              <w:rPr>
                <w:rFonts w:hint="eastAsia"/>
                <w:color w:val="auto"/>
              </w:rPr>
              <w:t>存储罐</w:t>
            </w:r>
          </w:p>
        </w:tc>
        <w:tc>
          <w:tcPr>
            <w:tcW w:w="2556" w:type="pct"/>
            <w:gridSpan w:val="2"/>
            <w:shd w:val="clear" w:color="auto" w:fill="auto"/>
            <w:noWrap w:val="0"/>
            <w:vAlign w:val="center"/>
          </w:tcPr>
          <w:p w14:paraId="1C0D2B42">
            <w:pPr>
              <w:pStyle w:val="182"/>
              <w:rPr>
                <w:color w:val="auto"/>
              </w:rPr>
            </w:pPr>
            <w:r>
              <w:rPr>
                <w:color w:val="auto"/>
              </w:rPr>
              <w:t>1100 m</w:t>
            </w:r>
            <w:r>
              <w:rPr>
                <w:color w:val="auto"/>
                <w:vertAlign w:val="superscript"/>
              </w:rPr>
              <w:t>3</w:t>
            </w:r>
          </w:p>
        </w:tc>
        <w:tc>
          <w:tcPr>
            <w:tcW w:w="632" w:type="pct"/>
            <w:shd w:val="clear" w:color="auto" w:fill="auto"/>
            <w:noWrap w:val="0"/>
            <w:vAlign w:val="center"/>
          </w:tcPr>
          <w:p w14:paraId="54BED2CA">
            <w:pPr>
              <w:pStyle w:val="182"/>
              <w:rPr>
                <w:color w:val="auto"/>
              </w:rPr>
            </w:pPr>
            <w:r>
              <w:rPr>
                <w:color w:val="auto"/>
              </w:rPr>
              <w:t>3</w:t>
            </w:r>
          </w:p>
        </w:tc>
      </w:tr>
      <w:tr w14:paraId="7830B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vMerge w:val="continue"/>
            <w:shd w:val="clear" w:color="auto" w:fill="auto"/>
            <w:noWrap w:val="0"/>
            <w:vAlign w:val="center"/>
          </w:tcPr>
          <w:p w14:paraId="057F282E">
            <w:pPr>
              <w:pStyle w:val="182"/>
              <w:rPr>
                <w:color w:val="auto"/>
              </w:rPr>
            </w:pPr>
          </w:p>
        </w:tc>
        <w:tc>
          <w:tcPr>
            <w:tcW w:w="1498" w:type="pct"/>
            <w:gridSpan w:val="4"/>
            <w:vMerge w:val="continue"/>
            <w:shd w:val="clear" w:color="auto" w:fill="auto"/>
            <w:noWrap w:val="0"/>
            <w:vAlign w:val="center"/>
          </w:tcPr>
          <w:p w14:paraId="368837EF">
            <w:pPr>
              <w:pStyle w:val="182"/>
              <w:rPr>
                <w:color w:val="auto"/>
              </w:rPr>
            </w:pPr>
          </w:p>
        </w:tc>
        <w:tc>
          <w:tcPr>
            <w:tcW w:w="2556" w:type="pct"/>
            <w:gridSpan w:val="2"/>
            <w:shd w:val="clear" w:color="auto" w:fill="auto"/>
            <w:noWrap w:val="0"/>
            <w:vAlign w:val="center"/>
          </w:tcPr>
          <w:p w14:paraId="7B4869BB">
            <w:pPr>
              <w:pStyle w:val="182"/>
              <w:rPr>
                <w:color w:val="auto"/>
                <w:vertAlign w:val="superscript"/>
              </w:rPr>
            </w:pPr>
            <w:r>
              <w:rPr>
                <w:color w:val="auto"/>
              </w:rPr>
              <w:t>500m</w:t>
            </w:r>
            <w:r>
              <w:rPr>
                <w:color w:val="auto"/>
                <w:vertAlign w:val="superscript"/>
              </w:rPr>
              <w:t>3</w:t>
            </w:r>
          </w:p>
        </w:tc>
        <w:tc>
          <w:tcPr>
            <w:tcW w:w="632" w:type="pct"/>
            <w:shd w:val="clear" w:color="auto" w:fill="auto"/>
            <w:noWrap w:val="0"/>
            <w:vAlign w:val="center"/>
          </w:tcPr>
          <w:p w14:paraId="58B83F02">
            <w:pPr>
              <w:pStyle w:val="182"/>
              <w:rPr>
                <w:color w:val="auto"/>
              </w:rPr>
            </w:pPr>
            <w:r>
              <w:rPr>
                <w:color w:val="auto"/>
              </w:rPr>
              <w:t>1</w:t>
            </w:r>
          </w:p>
        </w:tc>
      </w:tr>
      <w:tr w14:paraId="49D89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528BCFF">
            <w:pPr>
              <w:pStyle w:val="182"/>
              <w:rPr>
                <w:color w:val="auto"/>
              </w:rPr>
            </w:pPr>
            <w:r>
              <w:rPr>
                <w:color w:val="auto"/>
              </w:rPr>
              <w:t>4</w:t>
            </w:r>
          </w:p>
        </w:tc>
        <w:tc>
          <w:tcPr>
            <w:tcW w:w="1498" w:type="pct"/>
            <w:gridSpan w:val="4"/>
            <w:shd w:val="clear" w:color="auto" w:fill="auto"/>
            <w:noWrap w:val="0"/>
            <w:vAlign w:val="center"/>
          </w:tcPr>
          <w:p w14:paraId="75F6ABDD">
            <w:pPr>
              <w:pStyle w:val="182"/>
              <w:rPr>
                <w:color w:val="auto"/>
              </w:rPr>
            </w:pPr>
            <w:r>
              <w:rPr>
                <w:rFonts w:hint="eastAsia"/>
                <w:color w:val="auto"/>
              </w:rPr>
              <w:t>预聚合反应器</w:t>
            </w:r>
          </w:p>
        </w:tc>
        <w:tc>
          <w:tcPr>
            <w:tcW w:w="2556" w:type="pct"/>
            <w:gridSpan w:val="2"/>
            <w:shd w:val="clear" w:color="auto" w:fill="auto"/>
            <w:noWrap w:val="0"/>
            <w:vAlign w:val="center"/>
          </w:tcPr>
          <w:p w14:paraId="232327AF">
            <w:pPr>
              <w:pStyle w:val="182"/>
              <w:rPr>
                <w:color w:val="auto"/>
              </w:rPr>
            </w:pPr>
            <w:r>
              <w:rPr>
                <w:color w:val="auto"/>
              </w:rPr>
              <w:t>/</w:t>
            </w:r>
          </w:p>
        </w:tc>
        <w:tc>
          <w:tcPr>
            <w:tcW w:w="632" w:type="pct"/>
            <w:shd w:val="clear" w:color="auto" w:fill="auto"/>
            <w:noWrap w:val="0"/>
            <w:vAlign w:val="center"/>
          </w:tcPr>
          <w:p w14:paraId="51361129">
            <w:pPr>
              <w:pStyle w:val="182"/>
              <w:rPr>
                <w:color w:val="auto"/>
              </w:rPr>
            </w:pPr>
            <w:r>
              <w:rPr>
                <w:color w:val="auto"/>
              </w:rPr>
              <w:t>3</w:t>
            </w:r>
          </w:p>
        </w:tc>
      </w:tr>
      <w:tr w14:paraId="4334C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E748346">
            <w:pPr>
              <w:pStyle w:val="182"/>
              <w:rPr>
                <w:color w:val="auto"/>
              </w:rPr>
            </w:pPr>
            <w:r>
              <w:rPr>
                <w:color w:val="auto"/>
              </w:rPr>
              <w:t>5</w:t>
            </w:r>
          </w:p>
        </w:tc>
        <w:tc>
          <w:tcPr>
            <w:tcW w:w="1498" w:type="pct"/>
            <w:gridSpan w:val="4"/>
            <w:shd w:val="clear" w:color="auto" w:fill="auto"/>
            <w:noWrap w:val="0"/>
            <w:vAlign w:val="center"/>
          </w:tcPr>
          <w:p w14:paraId="3DE00013">
            <w:pPr>
              <w:pStyle w:val="182"/>
              <w:rPr>
                <w:color w:val="auto"/>
              </w:rPr>
            </w:pPr>
            <w:r>
              <w:rPr>
                <w:rFonts w:hint="eastAsia"/>
                <w:color w:val="auto"/>
              </w:rPr>
              <w:t>混合胺供给罐</w:t>
            </w:r>
          </w:p>
        </w:tc>
        <w:tc>
          <w:tcPr>
            <w:tcW w:w="2556" w:type="pct"/>
            <w:gridSpan w:val="2"/>
            <w:shd w:val="clear" w:color="auto" w:fill="auto"/>
            <w:noWrap w:val="0"/>
            <w:vAlign w:val="center"/>
          </w:tcPr>
          <w:p w14:paraId="6EB0053A">
            <w:pPr>
              <w:pStyle w:val="182"/>
              <w:rPr>
                <w:color w:val="auto"/>
              </w:rPr>
            </w:pPr>
            <w:r>
              <w:rPr>
                <w:color w:val="auto"/>
              </w:rPr>
              <w:t>3m</w:t>
            </w:r>
            <w:r>
              <w:rPr>
                <w:color w:val="auto"/>
                <w:vertAlign w:val="superscript"/>
              </w:rPr>
              <w:t>3</w:t>
            </w:r>
          </w:p>
        </w:tc>
        <w:tc>
          <w:tcPr>
            <w:tcW w:w="632" w:type="pct"/>
            <w:shd w:val="clear" w:color="auto" w:fill="auto"/>
            <w:noWrap w:val="0"/>
            <w:vAlign w:val="center"/>
          </w:tcPr>
          <w:p w14:paraId="40A21170">
            <w:pPr>
              <w:pStyle w:val="182"/>
              <w:rPr>
                <w:color w:val="auto"/>
              </w:rPr>
            </w:pPr>
            <w:r>
              <w:rPr>
                <w:color w:val="auto"/>
              </w:rPr>
              <w:t>3</w:t>
            </w:r>
          </w:p>
        </w:tc>
      </w:tr>
      <w:tr w14:paraId="2447F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B718186">
            <w:pPr>
              <w:pStyle w:val="182"/>
              <w:rPr>
                <w:color w:val="auto"/>
              </w:rPr>
            </w:pPr>
            <w:r>
              <w:rPr>
                <w:color w:val="auto"/>
              </w:rPr>
              <w:t>6</w:t>
            </w:r>
          </w:p>
        </w:tc>
        <w:tc>
          <w:tcPr>
            <w:tcW w:w="1498" w:type="pct"/>
            <w:gridSpan w:val="4"/>
            <w:shd w:val="clear" w:color="auto" w:fill="auto"/>
            <w:noWrap w:val="0"/>
            <w:vAlign w:val="center"/>
          </w:tcPr>
          <w:p w14:paraId="47925E1E">
            <w:pPr>
              <w:pStyle w:val="182"/>
              <w:rPr>
                <w:color w:val="auto"/>
              </w:rPr>
            </w:pPr>
            <w:r>
              <w:rPr>
                <w:rFonts w:hint="eastAsia"/>
                <w:color w:val="auto"/>
              </w:rPr>
              <w:t>聚合反应器</w:t>
            </w:r>
          </w:p>
        </w:tc>
        <w:tc>
          <w:tcPr>
            <w:tcW w:w="2556" w:type="pct"/>
            <w:gridSpan w:val="2"/>
            <w:shd w:val="clear" w:color="auto" w:fill="auto"/>
            <w:noWrap w:val="0"/>
            <w:vAlign w:val="center"/>
          </w:tcPr>
          <w:p w14:paraId="4E21EB45">
            <w:pPr>
              <w:pStyle w:val="182"/>
              <w:rPr>
                <w:color w:val="auto"/>
              </w:rPr>
            </w:pPr>
            <w:r>
              <w:rPr>
                <w:rFonts w:hint="eastAsia"/>
                <w:color w:val="auto"/>
              </w:rPr>
              <w:t>与原液罐配套</w:t>
            </w:r>
          </w:p>
        </w:tc>
        <w:tc>
          <w:tcPr>
            <w:tcW w:w="632" w:type="pct"/>
            <w:shd w:val="clear" w:color="auto" w:fill="auto"/>
            <w:noWrap w:val="0"/>
            <w:vAlign w:val="center"/>
          </w:tcPr>
          <w:p w14:paraId="785740FF">
            <w:pPr>
              <w:pStyle w:val="182"/>
              <w:rPr>
                <w:color w:val="auto"/>
              </w:rPr>
            </w:pPr>
            <w:r>
              <w:rPr>
                <w:color w:val="auto"/>
              </w:rPr>
              <w:t>3</w:t>
            </w:r>
          </w:p>
        </w:tc>
      </w:tr>
      <w:tr w14:paraId="1B9E3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0742384">
            <w:pPr>
              <w:pStyle w:val="182"/>
              <w:rPr>
                <w:color w:val="auto"/>
              </w:rPr>
            </w:pPr>
            <w:r>
              <w:rPr>
                <w:color w:val="auto"/>
              </w:rPr>
              <w:t>7</w:t>
            </w:r>
          </w:p>
        </w:tc>
        <w:tc>
          <w:tcPr>
            <w:tcW w:w="1498" w:type="pct"/>
            <w:gridSpan w:val="4"/>
            <w:shd w:val="clear" w:color="auto" w:fill="auto"/>
            <w:noWrap w:val="0"/>
            <w:vAlign w:val="center"/>
          </w:tcPr>
          <w:p w14:paraId="5F54E4AC">
            <w:pPr>
              <w:pStyle w:val="182"/>
              <w:rPr>
                <w:color w:val="auto"/>
              </w:rPr>
            </w:pPr>
            <w:r>
              <w:rPr>
                <w:rFonts w:hint="eastAsia"/>
                <w:color w:val="auto"/>
              </w:rPr>
              <w:t>添加剂调配罐</w:t>
            </w:r>
          </w:p>
        </w:tc>
        <w:tc>
          <w:tcPr>
            <w:tcW w:w="2556" w:type="pct"/>
            <w:gridSpan w:val="2"/>
            <w:shd w:val="clear" w:color="auto" w:fill="auto"/>
            <w:noWrap w:val="0"/>
            <w:vAlign w:val="center"/>
          </w:tcPr>
          <w:p w14:paraId="10BBCB89">
            <w:pPr>
              <w:pStyle w:val="182"/>
              <w:rPr>
                <w:color w:val="auto"/>
              </w:rPr>
            </w:pPr>
            <w:r>
              <w:rPr>
                <w:color w:val="auto"/>
              </w:rPr>
              <w:t>3m</w:t>
            </w:r>
            <w:r>
              <w:rPr>
                <w:color w:val="auto"/>
                <w:vertAlign w:val="superscript"/>
              </w:rPr>
              <w:t>3</w:t>
            </w:r>
          </w:p>
        </w:tc>
        <w:tc>
          <w:tcPr>
            <w:tcW w:w="632" w:type="pct"/>
            <w:shd w:val="clear" w:color="auto" w:fill="auto"/>
            <w:noWrap w:val="0"/>
            <w:vAlign w:val="center"/>
          </w:tcPr>
          <w:p w14:paraId="26D0E123">
            <w:pPr>
              <w:pStyle w:val="182"/>
              <w:rPr>
                <w:color w:val="auto"/>
              </w:rPr>
            </w:pPr>
            <w:r>
              <w:rPr>
                <w:color w:val="auto"/>
              </w:rPr>
              <w:t>6</w:t>
            </w:r>
          </w:p>
        </w:tc>
      </w:tr>
      <w:tr w14:paraId="723CF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2C43393">
            <w:pPr>
              <w:pStyle w:val="182"/>
              <w:rPr>
                <w:color w:val="auto"/>
              </w:rPr>
            </w:pPr>
            <w:r>
              <w:rPr>
                <w:color w:val="auto"/>
              </w:rPr>
              <w:t>8</w:t>
            </w:r>
          </w:p>
        </w:tc>
        <w:tc>
          <w:tcPr>
            <w:tcW w:w="1498" w:type="pct"/>
            <w:gridSpan w:val="4"/>
            <w:shd w:val="clear" w:color="auto" w:fill="auto"/>
            <w:noWrap w:val="0"/>
            <w:vAlign w:val="center"/>
          </w:tcPr>
          <w:p w14:paraId="2D95C8FD">
            <w:pPr>
              <w:pStyle w:val="182"/>
              <w:rPr>
                <w:color w:val="auto"/>
              </w:rPr>
            </w:pPr>
            <w:r>
              <w:rPr>
                <w:rFonts w:hint="eastAsia"/>
                <w:color w:val="auto"/>
              </w:rPr>
              <w:t>聚合物混合器</w:t>
            </w:r>
          </w:p>
        </w:tc>
        <w:tc>
          <w:tcPr>
            <w:tcW w:w="2556" w:type="pct"/>
            <w:gridSpan w:val="2"/>
            <w:shd w:val="clear" w:color="auto" w:fill="auto"/>
            <w:noWrap w:val="0"/>
            <w:vAlign w:val="center"/>
          </w:tcPr>
          <w:p w14:paraId="4E8A1A02">
            <w:pPr>
              <w:pStyle w:val="182"/>
              <w:rPr>
                <w:color w:val="auto"/>
              </w:rPr>
            </w:pPr>
            <w:r>
              <w:rPr>
                <w:color w:val="auto"/>
              </w:rPr>
              <w:t>/</w:t>
            </w:r>
          </w:p>
        </w:tc>
        <w:tc>
          <w:tcPr>
            <w:tcW w:w="632" w:type="pct"/>
            <w:shd w:val="clear" w:color="auto" w:fill="auto"/>
            <w:noWrap w:val="0"/>
            <w:vAlign w:val="center"/>
          </w:tcPr>
          <w:p w14:paraId="3C3B4702">
            <w:pPr>
              <w:pStyle w:val="182"/>
              <w:rPr>
                <w:color w:val="auto"/>
              </w:rPr>
            </w:pPr>
            <w:r>
              <w:rPr>
                <w:color w:val="auto"/>
              </w:rPr>
              <w:t>3</w:t>
            </w:r>
          </w:p>
        </w:tc>
      </w:tr>
      <w:tr w14:paraId="294D7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CE44843">
            <w:pPr>
              <w:pStyle w:val="182"/>
              <w:rPr>
                <w:color w:val="auto"/>
              </w:rPr>
            </w:pPr>
            <w:r>
              <w:rPr>
                <w:color w:val="auto"/>
              </w:rPr>
              <w:t>9</w:t>
            </w:r>
          </w:p>
        </w:tc>
        <w:tc>
          <w:tcPr>
            <w:tcW w:w="1498" w:type="pct"/>
            <w:gridSpan w:val="4"/>
            <w:shd w:val="clear" w:color="auto" w:fill="auto"/>
            <w:noWrap w:val="0"/>
            <w:vAlign w:val="center"/>
          </w:tcPr>
          <w:p w14:paraId="6CBB21B9">
            <w:pPr>
              <w:pStyle w:val="182"/>
              <w:rPr>
                <w:color w:val="auto"/>
              </w:rPr>
            </w:pPr>
            <w:r>
              <w:rPr>
                <w:rFonts w:hint="eastAsia"/>
                <w:color w:val="auto"/>
              </w:rPr>
              <w:t>原液储罐</w:t>
            </w:r>
          </w:p>
        </w:tc>
        <w:tc>
          <w:tcPr>
            <w:tcW w:w="2556" w:type="pct"/>
            <w:gridSpan w:val="2"/>
            <w:shd w:val="clear" w:color="auto" w:fill="auto"/>
            <w:noWrap w:val="0"/>
            <w:vAlign w:val="center"/>
          </w:tcPr>
          <w:p w14:paraId="40D923DF">
            <w:pPr>
              <w:pStyle w:val="182"/>
              <w:rPr>
                <w:color w:val="auto"/>
              </w:rPr>
            </w:pPr>
            <w:r>
              <w:rPr>
                <w:color w:val="auto"/>
              </w:rPr>
              <w:t>ST26.0</w:t>
            </w:r>
          </w:p>
        </w:tc>
        <w:tc>
          <w:tcPr>
            <w:tcW w:w="632" w:type="pct"/>
            <w:shd w:val="clear" w:color="auto" w:fill="auto"/>
            <w:noWrap w:val="0"/>
            <w:vAlign w:val="center"/>
          </w:tcPr>
          <w:p w14:paraId="1CA993E8">
            <w:pPr>
              <w:pStyle w:val="182"/>
              <w:rPr>
                <w:color w:val="auto"/>
              </w:rPr>
            </w:pPr>
            <w:r>
              <w:rPr>
                <w:color w:val="auto"/>
              </w:rPr>
              <w:t>6</w:t>
            </w:r>
          </w:p>
        </w:tc>
      </w:tr>
      <w:tr w14:paraId="5DC3F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8B6C3E6">
            <w:pPr>
              <w:pStyle w:val="182"/>
              <w:rPr>
                <w:color w:val="auto"/>
              </w:rPr>
            </w:pPr>
            <w:r>
              <w:rPr>
                <w:color w:val="auto"/>
              </w:rPr>
              <w:t>10</w:t>
            </w:r>
          </w:p>
        </w:tc>
        <w:tc>
          <w:tcPr>
            <w:tcW w:w="1498" w:type="pct"/>
            <w:gridSpan w:val="4"/>
            <w:shd w:val="clear" w:color="auto" w:fill="auto"/>
            <w:noWrap w:val="0"/>
            <w:vAlign w:val="center"/>
          </w:tcPr>
          <w:p w14:paraId="539E1587">
            <w:pPr>
              <w:pStyle w:val="182"/>
              <w:rPr>
                <w:color w:val="auto"/>
              </w:rPr>
            </w:pPr>
            <w:r>
              <w:rPr>
                <w:rFonts w:hint="eastAsia"/>
                <w:color w:val="auto"/>
              </w:rPr>
              <w:t>纺丝甬道</w:t>
            </w:r>
          </w:p>
        </w:tc>
        <w:tc>
          <w:tcPr>
            <w:tcW w:w="2556" w:type="pct"/>
            <w:gridSpan w:val="2"/>
            <w:shd w:val="clear" w:color="auto" w:fill="auto"/>
            <w:noWrap w:val="0"/>
            <w:vAlign w:val="center"/>
          </w:tcPr>
          <w:p w14:paraId="164F4A63">
            <w:pPr>
              <w:pStyle w:val="182"/>
              <w:rPr>
                <w:color w:val="auto"/>
              </w:rPr>
            </w:pPr>
            <w:r>
              <w:rPr>
                <w:color w:val="auto"/>
              </w:rPr>
              <w:t>64E</w:t>
            </w:r>
            <w:r>
              <w:rPr>
                <w:rFonts w:hint="eastAsia"/>
                <w:color w:val="auto"/>
              </w:rPr>
              <w:t>专用</w:t>
            </w:r>
          </w:p>
        </w:tc>
        <w:tc>
          <w:tcPr>
            <w:tcW w:w="632" w:type="pct"/>
            <w:shd w:val="clear" w:color="auto" w:fill="auto"/>
            <w:noWrap w:val="0"/>
            <w:vAlign w:val="center"/>
          </w:tcPr>
          <w:p w14:paraId="325A4F85">
            <w:pPr>
              <w:pStyle w:val="182"/>
              <w:rPr>
                <w:color w:val="auto"/>
              </w:rPr>
            </w:pPr>
            <w:r>
              <w:rPr>
                <w:color w:val="auto"/>
              </w:rPr>
              <w:t>252</w:t>
            </w:r>
          </w:p>
        </w:tc>
      </w:tr>
      <w:tr w14:paraId="1F3F1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B81A03C">
            <w:pPr>
              <w:pStyle w:val="182"/>
              <w:rPr>
                <w:color w:val="auto"/>
              </w:rPr>
            </w:pPr>
            <w:r>
              <w:rPr>
                <w:color w:val="auto"/>
              </w:rPr>
              <w:t>11</w:t>
            </w:r>
          </w:p>
        </w:tc>
        <w:tc>
          <w:tcPr>
            <w:tcW w:w="1498" w:type="pct"/>
            <w:gridSpan w:val="4"/>
            <w:shd w:val="clear" w:color="auto" w:fill="auto"/>
            <w:noWrap w:val="0"/>
            <w:vAlign w:val="center"/>
          </w:tcPr>
          <w:p w14:paraId="6CCE4F3F">
            <w:pPr>
              <w:pStyle w:val="182"/>
              <w:rPr>
                <w:color w:val="auto"/>
              </w:rPr>
            </w:pPr>
            <w:r>
              <w:rPr>
                <w:rFonts w:hint="eastAsia"/>
                <w:color w:val="auto"/>
              </w:rPr>
              <w:t>纺丝组件</w:t>
            </w:r>
          </w:p>
        </w:tc>
        <w:tc>
          <w:tcPr>
            <w:tcW w:w="2556" w:type="pct"/>
            <w:gridSpan w:val="2"/>
            <w:shd w:val="clear" w:color="auto" w:fill="auto"/>
            <w:noWrap w:val="0"/>
            <w:vAlign w:val="center"/>
          </w:tcPr>
          <w:p w14:paraId="54EC2185">
            <w:pPr>
              <w:pStyle w:val="182"/>
              <w:rPr>
                <w:color w:val="auto"/>
              </w:rPr>
            </w:pPr>
            <w:r>
              <w:rPr>
                <w:rFonts w:hint="eastAsia"/>
                <w:color w:val="auto"/>
              </w:rPr>
              <w:t>喷丝板、过滤网等</w:t>
            </w:r>
          </w:p>
          <w:p w14:paraId="031B2FDC">
            <w:pPr>
              <w:pStyle w:val="182"/>
              <w:rPr>
                <w:color w:val="auto"/>
              </w:rPr>
            </w:pPr>
            <w:r>
              <w:rPr>
                <w:rFonts w:hint="eastAsia"/>
                <w:color w:val="auto"/>
              </w:rPr>
              <w:t>（</w:t>
            </w:r>
            <w:r>
              <w:rPr>
                <w:color w:val="auto"/>
              </w:rPr>
              <w:t>14</w:t>
            </w:r>
            <w:r>
              <w:rPr>
                <w:rFonts w:hint="eastAsia"/>
                <w:color w:val="auto"/>
              </w:rPr>
              <w:t>条生产线，每条线</w:t>
            </w:r>
            <w:r>
              <w:rPr>
                <w:color w:val="auto"/>
              </w:rPr>
              <w:t>18</w:t>
            </w:r>
            <w:r>
              <w:rPr>
                <w:rFonts w:hint="eastAsia"/>
                <w:color w:val="auto"/>
              </w:rPr>
              <w:t>个）</w:t>
            </w:r>
          </w:p>
        </w:tc>
        <w:tc>
          <w:tcPr>
            <w:tcW w:w="632" w:type="pct"/>
            <w:shd w:val="clear" w:color="auto" w:fill="auto"/>
            <w:noWrap w:val="0"/>
            <w:vAlign w:val="center"/>
          </w:tcPr>
          <w:p w14:paraId="58AA6133">
            <w:pPr>
              <w:pStyle w:val="182"/>
              <w:rPr>
                <w:color w:val="auto"/>
              </w:rPr>
            </w:pPr>
            <w:r>
              <w:rPr>
                <w:color w:val="auto"/>
              </w:rPr>
              <w:t>252</w:t>
            </w:r>
          </w:p>
        </w:tc>
      </w:tr>
      <w:tr w14:paraId="19C93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8C04BBC">
            <w:pPr>
              <w:pStyle w:val="182"/>
              <w:rPr>
                <w:color w:val="auto"/>
              </w:rPr>
            </w:pPr>
            <w:r>
              <w:rPr>
                <w:color w:val="auto"/>
              </w:rPr>
              <w:t>12</w:t>
            </w:r>
          </w:p>
        </w:tc>
        <w:tc>
          <w:tcPr>
            <w:tcW w:w="1498" w:type="pct"/>
            <w:gridSpan w:val="4"/>
            <w:shd w:val="clear" w:color="auto" w:fill="auto"/>
            <w:noWrap w:val="0"/>
            <w:vAlign w:val="center"/>
          </w:tcPr>
          <w:p w14:paraId="413904EB">
            <w:pPr>
              <w:pStyle w:val="182"/>
              <w:rPr>
                <w:color w:val="auto"/>
              </w:rPr>
            </w:pPr>
            <w:r>
              <w:rPr>
                <w:rFonts w:hint="eastAsia"/>
                <w:color w:val="auto"/>
              </w:rPr>
              <w:t>导丝机构</w:t>
            </w:r>
          </w:p>
        </w:tc>
        <w:tc>
          <w:tcPr>
            <w:tcW w:w="2556" w:type="pct"/>
            <w:gridSpan w:val="2"/>
            <w:shd w:val="clear" w:color="auto" w:fill="auto"/>
            <w:noWrap w:val="0"/>
            <w:vAlign w:val="center"/>
          </w:tcPr>
          <w:p w14:paraId="3634AAEC">
            <w:pPr>
              <w:pStyle w:val="182"/>
              <w:rPr>
                <w:color w:val="auto"/>
              </w:rPr>
            </w:pPr>
            <w:r>
              <w:rPr>
                <w:color w:val="auto"/>
              </w:rPr>
              <w:t>GR-1</w:t>
            </w:r>
            <w:r>
              <w:rPr>
                <w:rFonts w:hint="eastAsia"/>
                <w:color w:val="auto"/>
              </w:rPr>
              <w:t>，</w:t>
            </w:r>
            <w:r>
              <w:rPr>
                <w:color w:val="auto"/>
              </w:rPr>
              <w:t>GR-2</w:t>
            </w:r>
            <w:r>
              <w:rPr>
                <w:rFonts w:hint="eastAsia"/>
                <w:color w:val="auto"/>
              </w:rPr>
              <w:t>，</w:t>
            </w:r>
            <w:r>
              <w:rPr>
                <w:color w:val="auto"/>
              </w:rPr>
              <w:t>GR-3</w:t>
            </w:r>
          </w:p>
        </w:tc>
        <w:tc>
          <w:tcPr>
            <w:tcW w:w="632" w:type="pct"/>
            <w:shd w:val="clear" w:color="auto" w:fill="auto"/>
            <w:noWrap w:val="0"/>
            <w:vAlign w:val="center"/>
          </w:tcPr>
          <w:p w14:paraId="2E7BB2A7">
            <w:pPr>
              <w:pStyle w:val="182"/>
              <w:rPr>
                <w:color w:val="auto"/>
              </w:rPr>
            </w:pPr>
            <w:r>
              <w:rPr>
                <w:color w:val="auto"/>
              </w:rPr>
              <w:t>252</w:t>
            </w:r>
          </w:p>
        </w:tc>
      </w:tr>
      <w:tr w14:paraId="35427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4D35B38">
            <w:pPr>
              <w:pStyle w:val="182"/>
              <w:rPr>
                <w:color w:val="auto"/>
              </w:rPr>
            </w:pPr>
            <w:r>
              <w:rPr>
                <w:color w:val="auto"/>
              </w:rPr>
              <w:t>13</w:t>
            </w:r>
          </w:p>
        </w:tc>
        <w:tc>
          <w:tcPr>
            <w:tcW w:w="1498" w:type="pct"/>
            <w:gridSpan w:val="4"/>
            <w:shd w:val="clear" w:color="auto" w:fill="auto"/>
            <w:noWrap w:val="0"/>
            <w:vAlign w:val="center"/>
          </w:tcPr>
          <w:p w14:paraId="7F098490">
            <w:pPr>
              <w:pStyle w:val="182"/>
              <w:rPr>
                <w:color w:val="auto"/>
              </w:rPr>
            </w:pPr>
            <w:r>
              <w:rPr>
                <w:rFonts w:hint="eastAsia"/>
                <w:color w:val="auto"/>
              </w:rPr>
              <w:t>卷绕头</w:t>
            </w:r>
          </w:p>
        </w:tc>
        <w:tc>
          <w:tcPr>
            <w:tcW w:w="2556" w:type="pct"/>
            <w:gridSpan w:val="2"/>
            <w:shd w:val="clear" w:color="auto" w:fill="auto"/>
            <w:noWrap w:val="0"/>
            <w:vAlign w:val="center"/>
          </w:tcPr>
          <w:p w14:paraId="74CBAEE4">
            <w:pPr>
              <w:pStyle w:val="182"/>
              <w:rPr>
                <w:color w:val="auto"/>
              </w:rPr>
            </w:pPr>
            <w:r>
              <w:rPr>
                <w:color w:val="auto"/>
              </w:rPr>
              <w:t>WAW-101</w:t>
            </w:r>
          </w:p>
        </w:tc>
        <w:tc>
          <w:tcPr>
            <w:tcW w:w="632" w:type="pct"/>
            <w:shd w:val="clear" w:color="auto" w:fill="auto"/>
            <w:noWrap w:val="0"/>
            <w:vAlign w:val="center"/>
          </w:tcPr>
          <w:p w14:paraId="3A5520D6">
            <w:pPr>
              <w:pStyle w:val="182"/>
              <w:rPr>
                <w:color w:val="auto"/>
              </w:rPr>
            </w:pPr>
            <w:r>
              <w:rPr>
                <w:color w:val="auto"/>
              </w:rPr>
              <w:t>756</w:t>
            </w:r>
          </w:p>
        </w:tc>
      </w:tr>
      <w:tr w14:paraId="2BEBA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D1DC4A2">
            <w:pPr>
              <w:pStyle w:val="182"/>
              <w:rPr>
                <w:color w:val="auto"/>
              </w:rPr>
            </w:pPr>
            <w:r>
              <w:rPr>
                <w:color w:val="auto"/>
              </w:rPr>
              <w:t>14</w:t>
            </w:r>
          </w:p>
        </w:tc>
        <w:tc>
          <w:tcPr>
            <w:tcW w:w="1498" w:type="pct"/>
            <w:gridSpan w:val="4"/>
            <w:shd w:val="clear" w:color="auto" w:fill="auto"/>
            <w:noWrap w:val="0"/>
            <w:vAlign w:val="center"/>
          </w:tcPr>
          <w:p w14:paraId="02D5D0B8">
            <w:pPr>
              <w:pStyle w:val="182"/>
              <w:rPr>
                <w:color w:val="auto"/>
              </w:rPr>
            </w:pPr>
            <w:r>
              <w:rPr>
                <w:color w:val="auto"/>
              </w:rPr>
              <w:t>SM</w:t>
            </w:r>
            <w:r>
              <w:rPr>
                <w:rFonts w:hint="eastAsia"/>
                <w:color w:val="auto"/>
              </w:rPr>
              <w:t>系统</w:t>
            </w:r>
          </w:p>
        </w:tc>
        <w:tc>
          <w:tcPr>
            <w:tcW w:w="2556" w:type="pct"/>
            <w:gridSpan w:val="2"/>
            <w:shd w:val="clear" w:color="auto" w:fill="auto"/>
            <w:noWrap w:val="0"/>
            <w:vAlign w:val="center"/>
          </w:tcPr>
          <w:p w14:paraId="60D7F581">
            <w:pPr>
              <w:pStyle w:val="182"/>
              <w:rPr>
                <w:color w:val="auto"/>
              </w:rPr>
            </w:pPr>
            <w:r>
              <w:rPr>
                <w:color w:val="auto"/>
              </w:rPr>
              <w:t>/</w:t>
            </w:r>
          </w:p>
        </w:tc>
        <w:tc>
          <w:tcPr>
            <w:tcW w:w="632" w:type="pct"/>
            <w:shd w:val="clear" w:color="auto" w:fill="auto"/>
            <w:noWrap w:val="0"/>
            <w:vAlign w:val="center"/>
          </w:tcPr>
          <w:p w14:paraId="4BB53695">
            <w:pPr>
              <w:pStyle w:val="182"/>
              <w:rPr>
                <w:color w:val="auto"/>
              </w:rPr>
            </w:pPr>
            <w:r>
              <w:rPr>
                <w:color w:val="auto"/>
              </w:rPr>
              <w:t>7</w:t>
            </w:r>
          </w:p>
        </w:tc>
      </w:tr>
      <w:tr w14:paraId="28510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68E854B">
            <w:pPr>
              <w:pStyle w:val="182"/>
              <w:rPr>
                <w:color w:val="auto"/>
              </w:rPr>
            </w:pPr>
            <w:r>
              <w:rPr>
                <w:color w:val="auto"/>
              </w:rPr>
              <w:t>15</w:t>
            </w:r>
          </w:p>
        </w:tc>
        <w:tc>
          <w:tcPr>
            <w:tcW w:w="1498" w:type="pct"/>
            <w:gridSpan w:val="4"/>
            <w:shd w:val="clear" w:color="auto" w:fill="auto"/>
            <w:noWrap w:val="0"/>
            <w:vAlign w:val="center"/>
          </w:tcPr>
          <w:p w14:paraId="5D1C67CC">
            <w:pPr>
              <w:pStyle w:val="182"/>
              <w:rPr>
                <w:color w:val="auto"/>
              </w:rPr>
            </w:pPr>
            <w:r>
              <w:rPr>
                <w:rFonts w:hint="eastAsia"/>
                <w:color w:val="auto"/>
              </w:rPr>
              <w:t>分级设备</w:t>
            </w:r>
          </w:p>
        </w:tc>
        <w:tc>
          <w:tcPr>
            <w:tcW w:w="2556" w:type="pct"/>
            <w:gridSpan w:val="2"/>
            <w:shd w:val="clear" w:color="auto" w:fill="auto"/>
            <w:noWrap w:val="0"/>
            <w:vAlign w:val="center"/>
          </w:tcPr>
          <w:p w14:paraId="0CA338EE">
            <w:pPr>
              <w:pStyle w:val="182"/>
              <w:rPr>
                <w:color w:val="auto"/>
              </w:rPr>
            </w:pPr>
            <w:r>
              <w:rPr>
                <w:color w:val="auto"/>
              </w:rPr>
              <w:t>/</w:t>
            </w:r>
          </w:p>
        </w:tc>
        <w:tc>
          <w:tcPr>
            <w:tcW w:w="632" w:type="pct"/>
            <w:shd w:val="clear" w:color="auto" w:fill="auto"/>
            <w:noWrap w:val="0"/>
            <w:vAlign w:val="center"/>
          </w:tcPr>
          <w:p w14:paraId="3FCFC661">
            <w:pPr>
              <w:pStyle w:val="182"/>
              <w:rPr>
                <w:color w:val="auto"/>
              </w:rPr>
            </w:pPr>
            <w:r>
              <w:rPr>
                <w:color w:val="auto"/>
              </w:rPr>
              <w:t>3</w:t>
            </w:r>
          </w:p>
        </w:tc>
      </w:tr>
      <w:tr w14:paraId="48253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0F46E40">
            <w:pPr>
              <w:pStyle w:val="182"/>
              <w:rPr>
                <w:color w:val="auto"/>
              </w:rPr>
            </w:pPr>
            <w:r>
              <w:rPr>
                <w:color w:val="auto"/>
              </w:rPr>
              <w:t>16</w:t>
            </w:r>
          </w:p>
        </w:tc>
        <w:tc>
          <w:tcPr>
            <w:tcW w:w="1498" w:type="pct"/>
            <w:gridSpan w:val="4"/>
            <w:shd w:val="clear" w:color="auto" w:fill="auto"/>
            <w:noWrap w:val="0"/>
            <w:vAlign w:val="center"/>
          </w:tcPr>
          <w:p w14:paraId="08E3CBEC">
            <w:pPr>
              <w:pStyle w:val="182"/>
              <w:rPr>
                <w:color w:val="auto"/>
              </w:rPr>
            </w:pPr>
            <w:r>
              <w:rPr>
                <w:rFonts w:hint="eastAsia"/>
                <w:color w:val="auto"/>
              </w:rPr>
              <w:t>溶剂精制系统</w:t>
            </w:r>
          </w:p>
        </w:tc>
        <w:tc>
          <w:tcPr>
            <w:tcW w:w="2556" w:type="pct"/>
            <w:gridSpan w:val="2"/>
            <w:shd w:val="clear" w:color="auto" w:fill="auto"/>
            <w:noWrap w:val="0"/>
            <w:vAlign w:val="center"/>
          </w:tcPr>
          <w:p w14:paraId="2888F89B">
            <w:pPr>
              <w:pStyle w:val="182"/>
              <w:rPr>
                <w:color w:val="auto"/>
              </w:rPr>
            </w:pPr>
            <w:r>
              <w:rPr>
                <w:rFonts w:hint="eastAsia"/>
                <w:color w:val="auto"/>
              </w:rPr>
              <w:t>含</w:t>
            </w:r>
            <w:r>
              <w:rPr>
                <w:color w:val="auto"/>
              </w:rPr>
              <w:t>3</w:t>
            </w:r>
            <w:r>
              <w:rPr>
                <w:rFonts w:hint="eastAsia"/>
                <w:color w:val="auto"/>
              </w:rPr>
              <w:t>个精馏塔和</w:t>
            </w:r>
            <w:r>
              <w:rPr>
                <w:color w:val="auto"/>
              </w:rPr>
              <w:t>1</w:t>
            </w:r>
            <w:r>
              <w:rPr>
                <w:rFonts w:hint="eastAsia"/>
                <w:color w:val="auto"/>
              </w:rPr>
              <w:t>个</w:t>
            </w:r>
            <w:r>
              <w:rPr>
                <w:color w:val="auto"/>
              </w:rPr>
              <w:t>DMAC</w:t>
            </w:r>
            <w:r>
              <w:rPr>
                <w:rFonts w:hint="eastAsia"/>
                <w:color w:val="auto"/>
              </w:rPr>
              <w:t>回收装置</w:t>
            </w:r>
          </w:p>
        </w:tc>
        <w:tc>
          <w:tcPr>
            <w:tcW w:w="632" w:type="pct"/>
            <w:shd w:val="clear" w:color="auto" w:fill="auto"/>
            <w:noWrap w:val="0"/>
            <w:vAlign w:val="center"/>
          </w:tcPr>
          <w:p w14:paraId="3BCC0181">
            <w:pPr>
              <w:pStyle w:val="182"/>
              <w:rPr>
                <w:color w:val="auto"/>
              </w:rPr>
            </w:pPr>
            <w:r>
              <w:rPr>
                <w:color w:val="auto"/>
              </w:rPr>
              <w:t>1</w:t>
            </w:r>
          </w:p>
        </w:tc>
      </w:tr>
      <w:tr w14:paraId="78E19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09C4BFF">
            <w:pPr>
              <w:pStyle w:val="182"/>
              <w:rPr>
                <w:color w:val="auto"/>
              </w:rPr>
            </w:pPr>
            <w:r>
              <w:rPr>
                <w:color w:val="auto"/>
              </w:rPr>
              <w:t>17</w:t>
            </w:r>
          </w:p>
        </w:tc>
        <w:tc>
          <w:tcPr>
            <w:tcW w:w="1498" w:type="pct"/>
            <w:gridSpan w:val="4"/>
            <w:shd w:val="clear" w:color="auto" w:fill="auto"/>
            <w:noWrap w:val="0"/>
            <w:vAlign w:val="center"/>
          </w:tcPr>
          <w:p w14:paraId="75271494">
            <w:pPr>
              <w:pStyle w:val="182"/>
              <w:rPr>
                <w:color w:val="auto"/>
              </w:rPr>
            </w:pPr>
            <w:r>
              <w:rPr>
                <w:rFonts w:hint="eastAsia"/>
                <w:color w:val="auto"/>
              </w:rPr>
              <w:t>超声波清洗机</w:t>
            </w:r>
          </w:p>
        </w:tc>
        <w:tc>
          <w:tcPr>
            <w:tcW w:w="2556" w:type="pct"/>
            <w:gridSpan w:val="2"/>
            <w:shd w:val="clear" w:color="auto" w:fill="auto"/>
            <w:noWrap w:val="0"/>
            <w:vAlign w:val="center"/>
          </w:tcPr>
          <w:p w14:paraId="61AAD373">
            <w:pPr>
              <w:pStyle w:val="182"/>
              <w:rPr>
                <w:color w:val="auto"/>
              </w:rPr>
            </w:pPr>
            <w:r>
              <w:rPr>
                <w:color w:val="auto"/>
              </w:rPr>
              <w:t>UCS-3015D-AC</w:t>
            </w:r>
          </w:p>
        </w:tc>
        <w:tc>
          <w:tcPr>
            <w:tcW w:w="632" w:type="pct"/>
            <w:shd w:val="clear" w:color="auto" w:fill="auto"/>
            <w:noWrap w:val="0"/>
            <w:vAlign w:val="center"/>
          </w:tcPr>
          <w:p w14:paraId="4D18560A">
            <w:pPr>
              <w:pStyle w:val="182"/>
              <w:rPr>
                <w:color w:val="auto"/>
              </w:rPr>
            </w:pPr>
            <w:r>
              <w:rPr>
                <w:color w:val="auto"/>
              </w:rPr>
              <w:t>5</w:t>
            </w:r>
          </w:p>
        </w:tc>
      </w:tr>
      <w:tr w14:paraId="6C623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6FD9B12">
            <w:pPr>
              <w:pStyle w:val="182"/>
              <w:rPr>
                <w:color w:val="auto"/>
              </w:rPr>
            </w:pPr>
            <w:r>
              <w:rPr>
                <w:color w:val="auto"/>
              </w:rPr>
              <w:t>18</w:t>
            </w:r>
          </w:p>
        </w:tc>
        <w:tc>
          <w:tcPr>
            <w:tcW w:w="1498" w:type="pct"/>
            <w:gridSpan w:val="4"/>
            <w:shd w:val="clear" w:color="auto" w:fill="auto"/>
            <w:noWrap w:val="0"/>
            <w:vAlign w:val="center"/>
          </w:tcPr>
          <w:p w14:paraId="55AEC51D">
            <w:pPr>
              <w:pStyle w:val="182"/>
              <w:rPr>
                <w:color w:val="auto"/>
              </w:rPr>
            </w:pPr>
            <w:r>
              <w:rPr>
                <w:color w:val="auto"/>
              </w:rPr>
              <w:t>DCS</w:t>
            </w:r>
            <w:r>
              <w:rPr>
                <w:rFonts w:hint="eastAsia"/>
                <w:color w:val="auto"/>
              </w:rPr>
              <w:t>控制系统</w:t>
            </w:r>
          </w:p>
        </w:tc>
        <w:tc>
          <w:tcPr>
            <w:tcW w:w="2556" w:type="pct"/>
            <w:gridSpan w:val="2"/>
            <w:shd w:val="clear" w:color="auto" w:fill="auto"/>
            <w:noWrap w:val="0"/>
            <w:vAlign w:val="center"/>
          </w:tcPr>
          <w:p w14:paraId="5383959E">
            <w:pPr>
              <w:pStyle w:val="182"/>
              <w:rPr>
                <w:color w:val="auto"/>
              </w:rPr>
            </w:pPr>
            <w:r>
              <w:rPr>
                <w:color w:val="auto"/>
              </w:rPr>
              <w:t>/</w:t>
            </w:r>
          </w:p>
        </w:tc>
        <w:tc>
          <w:tcPr>
            <w:tcW w:w="632" w:type="pct"/>
            <w:shd w:val="clear" w:color="auto" w:fill="auto"/>
            <w:noWrap w:val="0"/>
            <w:vAlign w:val="center"/>
          </w:tcPr>
          <w:p w14:paraId="19076DF4">
            <w:pPr>
              <w:pStyle w:val="182"/>
              <w:rPr>
                <w:color w:val="auto"/>
              </w:rPr>
            </w:pPr>
            <w:r>
              <w:rPr>
                <w:color w:val="auto"/>
              </w:rPr>
              <w:t>1</w:t>
            </w:r>
          </w:p>
        </w:tc>
      </w:tr>
      <w:tr w14:paraId="79C5D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shd w:val="clear" w:color="auto" w:fill="auto"/>
            <w:noWrap w:val="0"/>
            <w:vAlign w:val="center"/>
          </w:tcPr>
          <w:p w14:paraId="020FB0F2">
            <w:pPr>
              <w:pStyle w:val="182"/>
              <w:rPr>
                <w:b/>
                <w:color w:val="auto"/>
              </w:rPr>
            </w:pPr>
            <w:r>
              <w:rPr>
                <w:rFonts w:hint="eastAsia"/>
                <w:b/>
                <w:color w:val="auto"/>
              </w:rPr>
              <w:t>5、年产一万吨新型纤维素长丝项目</w:t>
            </w:r>
          </w:p>
        </w:tc>
      </w:tr>
      <w:tr w14:paraId="4ED61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D7A4572">
            <w:pPr>
              <w:pStyle w:val="182"/>
              <w:rPr>
                <w:color w:val="auto"/>
              </w:rPr>
            </w:pPr>
            <w:r>
              <w:rPr>
                <w:color w:val="auto"/>
              </w:rPr>
              <w:t>1</w:t>
            </w:r>
          </w:p>
        </w:tc>
        <w:tc>
          <w:tcPr>
            <w:tcW w:w="1498" w:type="pct"/>
            <w:gridSpan w:val="4"/>
            <w:shd w:val="clear" w:color="auto" w:fill="auto"/>
            <w:noWrap w:val="0"/>
            <w:vAlign w:val="center"/>
          </w:tcPr>
          <w:p w14:paraId="560022C6">
            <w:pPr>
              <w:pStyle w:val="182"/>
              <w:rPr>
                <w:color w:val="auto"/>
              </w:rPr>
            </w:pPr>
            <w:r>
              <w:rPr>
                <w:rFonts w:hint="eastAsia"/>
                <w:color w:val="auto"/>
              </w:rPr>
              <w:t>原液车间</w:t>
            </w:r>
          </w:p>
        </w:tc>
        <w:tc>
          <w:tcPr>
            <w:tcW w:w="3188" w:type="pct"/>
            <w:gridSpan w:val="3"/>
            <w:shd w:val="clear" w:color="auto" w:fill="auto"/>
            <w:noWrap w:val="0"/>
            <w:vAlign w:val="center"/>
          </w:tcPr>
          <w:p w14:paraId="0C405A4F">
            <w:pPr>
              <w:pStyle w:val="182"/>
              <w:rPr>
                <w:color w:val="auto"/>
              </w:rPr>
            </w:pPr>
            <w:r>
              <w:rPr>
                <w:rFonts w:hint="eastAsia"/>
                <w:color w:val="auto"/>
              </w:rPr>
              <w:t>该项目原液生产利用现有年产</w:t>
            </w:r>
            <w:r>
              <w:rPr>
                <w:color w:val="auto"/>
              </w:rPr>
              <w:t>5000</w:t>
            </w:r>
            <w:r>
              <w:rPr>
                <w:rFonts w:hint="eastAsia"/>
                <w:color w:val="auto"/>
              </w:rPr>
              <w:t>吨差别化新型连续纺粘胶长丝工程原液车间进行，因此此处不再表述，详见年产</w:t>
            </w:r>
            <w:r>
              <w:rPr>
                <w:color w:val="auto"/>
              </w:rPr>
              <w:t>5000</w:t>
            </w:r>
            <w:r>
              <w:rPr>
                <w:rFonts w:hint="eastAsia"/>
                <w:color w:val="auto"/>
              </w:rPr>
              <w:t>吨差别化新型连续纺粘胶长丝工程原液车间生产设备</w:t>
            </w:r>
          </w:p>
        </w:tc>
      </w:tr>
      <w:tr w14:paraId="75352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41965FE">
            <w:pPr>
              <w:pStyle w:val="182"/>
              <w:rPr>
                <w:color w:val="auto"/>
              </w:rPr>
            </w:pPr>
            <w:r>
              <w:rPr>
                <w:color w:val="auto"/>
              </w:rPr>
              <w:t>2</w:t>
            </w:r>
          </w:p>
        </w:tc>
        <w:tc>
          <w:tcPr>
            <w:tcW w:w="433" w:type="pct"/>
            <w:gridSpan w:val="2"/>
            <w:vMerge w:val="restart"/>
            <w:shd w:val="clear" w:color="auto" w:fill="auto"/>
            <w:noWrap w:val="0"/>
            <w:vAlign w:val="center"/>
          </w:tcPr>
          <w:p w14:paraId="1F5B16E4">
            <w:pPr>
              <w:pStyle w:val="182"/>
              <w:rPr>
                <w:color w:val="auto"/>
              </w:rPr>
            </w:pPr>
            <w:r>
              <w:rPr>
                <w:rFonts w:hint="eastAsia"/>
                <w:color w:val="auto"/>
              </w:rPr>
              <w:t>纺丝车间</w:t>
            </w:r>
          </w:p>
        </w:tc>
        <w:tc>
          <w:tcPr>
            <w:tcW w:w="1065" w:type="pct"/>
            <w:gridSpan w:val="2"/>
            <w:shd w:val="clear" w:color="auto" w:fill="auto"/>
            <w:noWrap w:val="0"/>
            <w:vAlign w:val="center"/>
          </w:tcPr>
          <w:p w14:paraId="33376EB9">
            <w:pPr>
              <w:pStyle w:val="182"/>
              <w:rPr>
                <w:color w:val="auto"/>
              </w:rPr>
            </w:pPr>
            <w:r>
              <w:rPr>
                <w:rFonts w:hint="eastAsia"/>
                <w:color w:val="auto"/>
              </w:rPr>
              <w:t>中间胶罐</w:t>
            </w:r>
          </w:p>
        </w:tc>
        <w:tc>
          <w:tcPr>
            <w:tcW w:w="2556" w:type="pct"/>
            <w:gridSpan w:val="2"/>
            <w:shd w:val="clear" w:color="auto" w:fill="auto"/>
            <w:noWrap w:val="0"/>
            <w:vAlign w:val="center"/>
          </w:tcPr>
          <w:p w14:paraId="2DBDE1C7">
            <w:pPr>
              <w:pStyle w:val="182"/>
              <w:rPr>
                <w:color w:val="auto"/>
              </w:rPr>
            </w:pPr>
            <w:r>
              <w:rPr>
                <w:color w:val="auto"/>
              </w:rPr>
              <w:t>10</w:t>
            </w:r>
            <w:r>
              <w:rPr>
                <w:rFonts w:hint="eastAsia"/>
                <w:color w:val="auto"/>
              </w:rPr>
              <w:t>m</w:t>
            </w:r>
            <w:r>
              <w:rPr>
                <w:rFonts w:hint="eastAsia"/>
                <w:color w:val="auto"/>
                <w:vertAlign w:val="superscript"/>
              </w:rPr>
              <w:t>3</w:t>
            </w:r>
          </w:p>
        </w:tc>
        <w:tc>
          <w:tcPr>
            <w:tcW w:w="632" w:type="pct"/>
            <w:shd w:val="clear" w:color="auto" w:fill="auto"/>
            <w:noWrap w:val="0"/>
            <w:vAlign w:val="center"/>
          </w:tcPr>
          <w:p w14:paraId="42FEA68C">
            <w:pPr>
              <w:pStyle w:val="182"/>
              <w:rPr>
                <w:color w:val="auto"/>
              </w:rPr>
            </w:pPr>
            <w:r>
              <w:rPr>
                <w:color w:val="auto"/>
              </w:rPr>
              <w:t>2</w:t>
            </w:r>
          </w:p>
        </w:tc>
      </w:tr>
      <w:tr w14:paraId="3FF12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22AFD1A6">
            <w:pPr>
              <w:pStyle w:val="182"/>
              <w:rPr>
                <w:color w:val="auto"/>
              </w:rPr>
            </w:pPr>
            <w:r>
              <w:rPr>
                <w:color w:val="auto"/>
              </w:rPr>
              <w:t>3</w:t>
            </w:r>
          </w:p>
        </w:tc>
        <w:tc>
          <w:tcPr>
            <w:tcW w:w="433" w:type="pct"/>
            <w:gridSpan w:val="2"/>
            <w:vMerge w:val="continue"/>
            <w:shd w:val="clear" w:color="auto" w:fill="auto"/>
            <w:noWrap w:val="0"/>
            <w:vAlign w:val="center"/>
          </w:tcPr>
          <w:p w14:paraId="3ABFC0C5">
            <w:pPr>
              <w:pStyle w:val="182"/>
              <w:rPr>
                <w:color w:val="auto"/>
              </w:rPr>
            </w:pPr>
          </w:p>
        </w:tc>
        <w:tc>
          <w:tcPr>
            <w:tcW w:w="1065" w:type="pct"/>
            <w:gridSpan w:val="2"/>
            <w:shd w:val="clear" w:color="auto" w:fill="auto"/>
            <w:noWrap w:val="0"/>
            <w:vAlign w:val="center"/>
          </w:tcPr>
          <w:p w14:paraId="32B7721A">
            <w:pPr>
              <w:pStyle w:val="182"/>
              <w:rPr>
                <w:color w:val="auto"/>
              </w:rPr>
            </w:pPr>
            <w:r>
              <w:rPr>
                <w:rFonts w:hint="eastAsia"/>
                <w:color w:val="auto"/>
              </w:rPr>
              <w:t>连续纺丝机</w:t>
            </w:r>
          </w:p>
        </w:tc>
        <w:tc>
          <w:tcPr>
            <w:tcW w:w="2556" w:type="pct"/>
            <w:gridSpan w:val="2"/>
            <w:shd w:val="clear" w:color="auto" w:fill="auto"/>
            <w:noWrap w:val="0"/>
            <w:vAlign w:val="center"/>
          </w:tcPr>
          <w:p w14:paraId="52E96D09">
            <w:pPr>
              <w:pStyle w:val="182"/>
              <w:rPr>
                <w:color w:val="auto"/>
              </w:rPr>
            </w:pPr>
            <w:r>
              <w:rPr>
                <w:color w:val="auto"/>
              </w:rPr>
              <w:t>LF-3000</w:t>
            </w:r>
          </w:p>
        </w:tc>
        <w:tc>
          <w:tcPr>
            <w:tcW w:w="632" w:type="pct"/>
            <w:shd w:val="clear" w:color="auto" w:fill="auto"/>
            <w:noWrap w:val="0"/>
            <w:vAlign w:val="center"/>
          </w:tcPr>
          <w:p w14:paraId="520B417B">
            <w:pPr>
              <w:pStyle w:val="182"/>
              <w:rPr>
                <w:color w:val="auto"/>
              </w:rPr>
            </w:pPr>
            <w:r>
              <w:rPr>
                <w:color w:val="auto"/>
              </w:rPr>
              <w:t>184</w:t>
            </w:r>
          </w:p>
        </w:tc>
      </w:tr>
      <w:tr w14:paraId="4B5D3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2D10B79C">
            <w:pPr>
              <w:pStyle w:val="182"/>
              <w:rPr>
                <w:color w:val="auto"/>
              </w:rPr>
            </w:pPr>
            <w:r>
              <w:rPr>
                <w:color w:val="auto"/>
              </w:rPr>
              <w:t>4</w:t>
            </w:r>
          </w:p>
        </w:tc>
        <w:tc>
          <w:tcPr>
            <w:tcW w:w="433" w:type="pct"/>
            <w:gridSpan w:val="2"/>
            <w:vMerge w:val="restart"/>
            <w:shd w:val="clear" w:color="auto" w:fill="auto"/>
            <w:noWrap w:val="0"/>
            <w:vAlign w:val="center"/>
          </w:tcPr>
          <w:p w14:paraId="6D93D771">
            <w:pPr>
              <w:pStyle w:val="182"/>
              <w:rPr>
                <w:color w:val="auto"/>
              </w:rPr>
            </w:pPr>
            <w:r>
              <w:rPr>
                <w:rFonts w:hint="eastAsia"/>
                <w:color w:val="auto"/>
              </w:rPr>
              <w:t>酸站</w:t>
            </w:r>
          </w:p>
        </w:tc>
        <w:tc>
          <w:tcPr>
            <w:tcW w:w="1065" w:type="pct"/>
            <w:gridSpan w:val="2"/>
            <w:shd w:val="clear" w:color="auto" w:fill="auto"/>
            <w:noWrap w:val="0"/>
            <w:vAlign w:val="center"/>
          </w:tcPr>
          <w:p w14:paraId="753F700C">
            <w:pPr>
              <w:pStyle w:val="182"/>
              <w:rPr>
                <w:color w:val="auto"/>
              </w:rPr>
            </w:pPr>
            <w:r>
              <w:rPr>
                <w:rFonts w:hint="eastAsia"/>
                <w:color w:val="auto"/>
              </w:rPr>
              <w:t>酸浴接收槽</w:t>
            </w:r>
          </w:p>
        </w:tc>
        <w:tc>
          <w:tcPr>
            <w:tcW w:w="2556" w:type="pct"/>
            <w:gridSpan w:val="2"/>
            <w:shd w:val="clear" w:color="auto" w:fill="auto"/>
            <w:noWrap w:val="0"/>
            <w:vAlign w:val="center"/>
          </w:tcPr>
          <w:p w14:paraId="6CFE1A5E">
            <w:pPr>
              <w:pStyle w:val="182"/>
              <w:rPr>
                <w:color w:val="auto"/>
              </w:rPr>
            </w:pPr>
            <w:r>
              <w:rPr>
                <w:color w:val="auto"/>
              </w:rPr>
              <w:t>V=30m3</w:t>
            </w:r>
            <w:r>
              <w:rPr>
                <w:rFonts w:hint="eastAsia"/>
                <w:color w:val="auto"/>
              </w:rPr>
              <w:t>，</w:t>
            </w:r>
            <w:r>
              <w:rPr>
                <w:color w:val="auto"/>
              </w:rPr>
              <w:t>∅4000×3000</w:t>
            </w:r>
          </w:p>
        </w:tc>
        <w:tc>
          <w:tcPr>
            <w:tcW w:w="632" w:type="pct"/>
            <w:shd w:val="clear" w:color="auto" w:fill="auto"/>
            <w:noWrap w:val="0"/>
            <w:vAlign w:val="center"/>
          </w:tcPr>
          <w:p w14:paraId="6E948AFE">
            <w:pPr>
              <w:pStyle w:val="182"/>
              <w:rPr>
                <w:color w:val="auto"/>
              </w:rPr>
            </w:pPr>
            <w:r>
              <w:rPr>
                <w:color w:val="auto"/>
              </w:rPr>
              <w:t>5</w:t>
            </w:r>
          </w:p>
        </w:tc>
      </w:tr>
      <w:tr w14:paraId="75009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822A416">
            <w:pPr>
              <w:pStyle w:val="182"/>
              <w:rPr>
                <w:color w:val="auto"/>
              </w:rPr>
            </w:pPr>
            <w:r>
              <w:rPr>
                <w:color w:val="auto"/>
              </w:rPr>
              <w:t>5</w:t>
            </w:r>
          </w:p>
        </w:tc>
        <w:tc>
          <w:tcPr>
            <w:tcW w:w="433" w:type="pct"/>
            <w:gridSpan w:val="2"/>
            <w:vMerge w:val="continue"/>
            <w:shd w:val="clear" w:color="auto" w:fill="auto"/>
            <w:noWrap w:val="0"/>
            <w:vAlign w:val="center"/>
          </w:tcPr>
          <w:p w14:paraId="2ACD066E">
            <w:pPr>
              <w:pStyle w:val="182"/>
              <w:rPr>
                <w:color w:val="auto"/>
              </w:rPr>
            </w:pPr>
          </w:p>
        </w:tc>
        <w:tc>
          <w:tcPr>
            <w:tcW w:w="1065" w:type="pct"/>
            <w:gridSpan w:val="2"/>
            <w:shd w:val="clear" w:color="auto" w:fill="auto"/>
            <w:noWrap w:val="0"/>
            <w:vAlign w:val="center"/>
          </w:tcPr>
          <w:p w14:paraId="2AED5868">
            <w:pPr>
              <w:pStyle w:val="182"/>
              <w:rPr>
                <w:color w:val="auto"/>
              </w:rPr>
            </w:pPr>
            <w:r>
              <w:rPr>
                <w:rFonts w:hint="eastAsia"/>
                <w:color w:val="auto"/>
              </w:rPr>
              <w:t>过滤脱气循环泵</w:t>
            </w:r>
          </w:p>
        </w:tc>
        <w:tc>
          <w:tcPr>
            <w:tcW w:w="2556" w:type="pct"/>
            <w:gridSpan w:val="2"/>
            <w:shd w:val="clear" w:color="auto" w:fill="auto"/>
            <w:noWrap w:val="0"/>
            <w:vAlign w:val="center"/>
          </w:tcPr>
          <w:p w14:paraId="1B160F38">
            <w:pPr>
              <w:pStyle w:val="182"/>
              <w:rPr>
                <w:color w:val="auto"/>
              </w:rPr>
            </w:pPr>
            <w:r>
              <w:rPr>
                <w:color w:val="auto"/>
              </w:rPr>
              <w:t>Q=400 m3/h</w:t>
            </w:r>
            <w:r>
              <w:rPr>
                <w:rFonts w:hint="eastAsia"/>
                <w:color w:val="auto"/>
              </w:rPr>
              <w:t>，</w:t>
            </w:r>
            <w:r>
              <w:rPr>
                <w:color w:val="auto"/>
              </w:rPr>
              <w:t>H=32m</w:t>
            </w:r>
            <w:r>
              <w:rPr>
                <w:rFonts w:hint="eastAsia"/>
                <w:color w:val="auto"/>
              </w:rPr>
              <w:t>，</w:t>
            </w:r>
            <w:r>
              <w:rPr>
                <w:color w:val="auto"/>
              </w:rPr>
              <w:t>90kw</w:t>
            </w:r>
          </w:p>
        </w:tc>
        <w:tc>
          <w:tcPr>
            <w:tcW w:w="632" w:type="pct"/>
            <w:shd w:val="clear" w:color="auto" w:fill="auto"/>
            <w:noWrap w:val="0"/>
            <w:vAlign w:val="center"/>
          </w:tcPr>
          <w:p w14:paraId="7D075972">
            <w:pPr>
              <w:pStyle w:val="182"/>
              <w:rPr>
                <w:color w:val="auto"/>
              </w:rPr>
            </w:pPr>
            <w:r>
              <w:rPr>
                <w:color w:val="auto"/>
              </w:rPr>
              <w:t>10</w:t>
            </w:r>
          </w:p>
        </w:tc>
      </w:tr>
      <w:tr w14:paraId="2377E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FB9B5F0">
            <w:pPr>
              <w:pStyle w:val="182"/>
              <w:rPr>
                <w:color w:val="auto"/>
              </w:rPr>
            </w:pPr>
            <w:r>
              <w:rPr>
                <w:color w:val="auto"/>
              </w:rPr>
              <w:t>6</w:t>
            </w:r>
          </w:p>
        </w:tc>
        <w:tc>
          <w:tcPr>
            <w:tcW w:w="433" w:type="pct"/>
            <w:gridSpan w:val="2"/>
            <w:vMerge w:val="continue"/>
            <w:shd w:val="clear" w:color="auto" w:fill="auto"/>
            <w:noWrap w:val="0"/>
            <w:vAlign w:val="center"/>
          </w:tcPr>
          <w:p w14:paraId="301126AE">
            <w:pPr>
              <w:pStyle w:val="182"/>
              <w:rPr>
                <w:color w:val="auto"/>
              </w:rPr>
            </w:pPr>
          </w:p>
        </w:tc>
        <w:tc>
          <w:tcPr>
            <w:tcW w:w="1065" w:type="pct"/>
            <w:gridSpan w:val="2"/>
            <w:shd w:val="clear" w:color="auto" w:fill="auto"/>
            <w:noWrap w:val="0"/>
            <w:vAlign w:val="center"/>
          </w:tcPr>
          <w:p w14:paraId="53E1A116">
            <w:pPr>
              <w:pStyle w:val="182"/>
              <w:rPr>
                <w:color w:val="auto"/>
              </w:rPr>
            </w:pPr>
            <w:r>
              <w:rPr>
                <w:rFonts w:hint="eastAsia"/>
                <w:color w:val="auto"/>
              </w:rPr>
              <w:t>供酸地槽</w:t>
            </w:r>
          </w:p>
        </w:tc>
        <w:tc>
          <w:tcPr>
            <w:tcW w:w="2556" w:type="pct"/>
            <w:gridSpan w:val="2"/>
            <w:shd w:val="clear" w:color="auto" w:fill="auto"/>
            <w:noWrap w:val="0"/>
            <w:vAlign w:val="center"/>
          </w:tcPr>
          <w:p w14:paraId="77236760">
            <w:pPr>
              <w:pStyle w:val="182"/>
              <w:rPr>
                <w:color w:val="auto"/>
              </w:rPr>
            </w:pPr>
            <w:r>
              <w:rPr>
                <w:color w:val="auto"/>
              </w:rPr>
              <w:t>V=30 m3</w:t>
            </w:r>
            <w:r>
              <w:rPr>
                <w:rFonts w:hint="eastAsia"/>
                <w:color w:val="auto"/>
              </w:rPr>
              <w:t>，</w:t>
            </w:r>
            <w:r>
              <w:rPr>
                <w:color w:val="auto"/>
              </w:rPr>
              <w:t>∅4000×3000</w:t>
            </w:r>
          </w:p>
        </w:tc>
        <w:tc>
          <w:tcPr>
            <w:tcW w:w="632" w:type="pct"/>
            <w:shd w:val="clear" w:color="auto" w:fill="auto"/>
            <w:noWrap w:val="0"/>
            <w:vAlign w:val="center"/>
          </w:tcPr>
          <w:p w14:paraId="46D26E59">
            <w:pPr>
              <w:pStyle w:val="182"/>
              <w:rPr>
                <w:color w:val="auto"/>
              </w:rPr>
            </w:pPr>
            <w:r>
              <w:rPr>
                <w:color w:val="auto"/>
              </w:rPr>
              <w:t>6</w:t>
            </w:r>
          </w:p>
        </w:tc>
      </w:tr>
      <w:tr w14:paraId="22AA1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5CAC682">
            <w:pPr>
              <w:pStyle w:val="182"/>
              <w:rPr>
                <w:color w:val="auto"/>
              </w:rPr>
            </w:pPr>
            <w:r>
              <w:rPr>
                <w:color w:val="auto"/>
              </w:rPr>
              <w:t>7</w:t>
            </w:r>
          </w:p>
        </w:tc>
        <w:tc>
          <w:tcPr>
            <w:tcW w:w="433" w:type="pct"/>
            <w:gridSpan w:val="2"/>
            <w:vMerge w:val="continue"/>
            <w:shd w:val="clear" w:color="auto" w:fill="auto"/>
            <w:noWrap w:val="0"/>
            <w:vAlign w:val="center"/>
          </w:tcPr>
          <w:p w14:paraId="1194D24D">
            <w:pPr>
              <w:pStyle w:val="182"/>
              <w:rPr>
                <w:color w:val="auto"/>
              </w:rPr>
            </w:pPr>
          </w:p>
        </w:tc>
        <w:tc>
          <w:tcPr>
            <w:tcW w:w="1065" w:type="pct"/>
            <w:gridSpan w:val="2"/>
            <w:shd w:val="clear" w:color="auto" w:fill="auto"/>
            <w:noWrap w:val="0"/>
            <w:vAlign w:val="center"/>
          </w:tcPr>
          <w:p w14:paraId="7F67927E">
            <w:pPr>
              <w:pStyle w:val="182"/>
              <w:rPr>
                <w:color w:val="auto"/>
              </w:rPr>
            </w:pPr>
            <w:r>
              <w:rPr>
                <w:rFonts w:hint="eastAsia"/>
                <w:color w:val="auto"/>
              </w:rPr>
              <w:t>高位槽供酸泵</w:t>
            </w:r>
          </w:p>
        </w:tc>
        <w:tc>
          <w:tcPr>
            <w:tcW w:w="2556" w:type="pct"/>
            <w:gridSpan w:val="2"/>
            <w:shd w:val="clear" w:color="auto" w:fill="auto"/>
            <w:noWrap w:val="0"/>
            <w:vAlign w:val="center"/>
          </w:tcPr>
          <w:p w14:paraId="683987B0">
            <w:pPr>
              <w:pStyle w:val="182"/>
              <w:rPr>
                <w:color w:val="auto"/>
              </w:rPr>
            </w:pPr>
            <w:r>
              <w:rPr>
                <w:color w:val="auto"/>
              </w:rPr>
              <w:t>Q=400 m3/h</w:t>
            </w:r>
            <w:r>
              <w:rPr>
                <w:rFonts w:hint="eastAsia"/>
                <w:color w:val="auto"/>
              </w:rPr>
              <w:t>，</w:t>
            </w:r>
            <w:r>
              <w:rPr>
                <w:color w:val="auto"/>
              </w:rPr>
              <w:t>H=32m</w:t>
            </w:r>
            <w:r>
              <w:rPr>
                <w:rFonts w:hint="eastAsia"/>
                <w:color w:val="auto"/>
              </w:rPr>
              <w:t>，</w:t>
            </w:r>
            <w:r>
              <w:rPr>
                <w:color w:val="auto"/>
              </w:rPr>
              <w:t>90kw</w:t>
            </w:r>
          </w:p>
        </w:tc>
        <w:tc>
          <w:tcPr>
            <w:tcW w:w="632" w:type="pct"/>
            <w:shd w:val="clear" w:color="auto" w:fill="auto"/>
            <w:noWrap w:val="0"/>
            <w:vAlign w:val="center"/>
          </w:tcPr>
          <w:p w14:paraId="10760EFF">
            <w:pPr>
              <w:pStyle w:val="182"/>
              <w:rPr>
                <w:color w:val="auto"/>
              </w:rPr>
            </w:pPr>
            <w:r>
              <w:rPr>
                <w:color w:val="auto"/>
              </w:rPr>
              <w:t>20</w:t>
            </w:r>
          </w:p>
        </w:tc>
      </w:tr>
      <w:tr w14:paraId="1B133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0370C9E">
            <w:pPr>
              <w:pStyle w:val="182"/>
              <w:rPr>
                <w:color w:val="auto"/>
              </w:rPr>
            </w:pPr>
            <w:r>
              <w:rPr>
                <w:color w:val="auto"/>
              </w:rPr>
              <w:t>8</w:t>
            </w:r>
          </w:p>
        </w:tc>
        <w:tc>
          <w:tcPr>
            <w:tcW w:w="433" w:type="pct"/>
            <w:gridSpan w:val="2"/>
            <w:vMerge w:val="continue"/>
            <w:shd w:val="clear" w:color="auto" w:fill="auto"/>
            <w:noWrap w:val="0"/>
            <w:vAlign w:val="center"/>
          </w:tcPr>
          <w:p w14:paraId="03AFEACC">
            <w:pPr>
              <w:pStyle w:val="182"/>
              <w:rPr>
                <w:color w:val="auto"/>
              </w:rPr>
            </w:pPr>
          </w:p>
        </w:tc>
        <w:tc>
          <w:tcPr>
            <w:tcW w:w="1065" w:type="pct"/>
            <w:gridSpan w:val="2"/>
            <w:shd w:val="clear" w:color="auto" w:fill="auto"/>
            <w:noWrap w:val="0"/>
            <w:vAlign w:val="center"/>
          </w:tcPr>
          <w:p w14:paraId="25B4E06E">
            <w:pPr>
              <w:pStyle w:val="182"/>
              <w:rPr>
                <w:color w:val="auto"/>
              </w:rPr>
            </w:pPr>
            <w:r>
              <w:rPr>
                <w:rFonts w:hint="eastAsia"/>
                <w:color w:val="auto"/>
              </w:rPr>
              <w:t>污酸槽</w:t>
            </w:r>
          </w:p>
        </w:tc>
        <w:tc>
          <w:tcPr>
            <w:tcW w:w="2556" w:type="pct"/>
            <w:gridSpan w:val="2"/>
            <w:shd w:val="clear" w:color="auto" w:fill="auto"/>
            <w:noWrap w:val="0"/>
            <w:vAlign w:val="center"/>
          </w:tcPr>
          <w:p w14:paraId="33D9DCA8">
            <w:pPr>
              <w:pStyle w:val="182"/>
              <w:rPr>
                <w:color w:val="auto"/>
              </w:rPr>
            </w:pPr>
            <w:r>
              <w:rPr>
                <w:color w:val="auto"/>
              </w:rPr>
              <w:t>V=25 m3</w:t>
            </w:r>
            <w:r>
              <w:rPr>
                <w:rFonts w:hint="eastAsia"/>
                <w:color w:val="auto"/>
              </w:rPr>
              <w:t>，</w:t>
            </w:r>
            <w:r>
              <w:rPr>
                <w:color w:val="auto"/>
              </w:rPr>
              <w:t>∅3300×3000</w:t>
            </w:r>
          </w:p>
        </w:tc>
        <w:tc>
          <w:tcPr>
            <w:tcW w:w="632" w:type="pct"/>
            <w:shd w:val="clear" w:color="auto" w:fill="auto"/>
            <w:noWrap w:val="0"/>
            <w:vAlign w:val="center"/>
          </w:tcPr>
          <w:p w14:paraId="668498F6">
            <w:pPr>
              <w:pStyle w:val="182"/>
              <w:rPr>
                <w:color w:val="auto"/>
              </w:rPr>
            </w:pPr>
            <w:r>
              <w:rPr>
                <w:color w:val="auto"/>
              </w:rPr>
              <w:t>1</w:t>
            </w:r>
          </w:p>
        </w:tc>
      </w:tr>
      <w:tr w14:paraId="333AC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97BBAA9">
            <w:pPr>
              <w:pStyle w:val="182"/>
              <w:rPr>
                <w:color w:val="auto"/>
              </w:rPr>
            </w:pPr>
            <w:r>
              <w:rPr>
                <w:color w:val="auto"/>
              </w:rPr>
              <w:t>9</w:t>
            </w:r>
          </w:p>
        </w:tc>
        <w:tc>
          <w:tcPr>
            <w:tcW w:w="433" w:type="pct"/>
            <w:gridSpan w:val="2"/>
            <w:vMerge w:val="continue"/>
            <w:shd w:val="clear" w:color="auto" w:fill="auto"/>
            <w:noWrap w:val="0"/>
            <w:vAlign w:val="center"/>
          </w:tcPr>
          <w:p w14:paraId="6396491B">
            <w:pPr>
              <w:pStyle w:val="182"/>
              <w:rPr>
                <w:color w:val="auto"/>
              </w:rPr>
            </w:pPr>
          </w:p>
        </w:tc>
        <w:tc>
          <w:tcPr>
            <w:tcW w:w="1065" w:type="pct"/>
            <w:gridSpan w:val="2"/>
            <w:shd w:val="clear" w:color="auto" w:fill="auto"/>
            <w:noWrap w:val="0"/>
            <w:vAlign w:val="center"/>
          </w:tcPr>
          <w:p w14:paraId="769E1285">
            <w:pPr>
              <w:pStyle w:val="182"/>
              <w:rPr>
                <w:color w:val="auto"/>
              </w:rPr>
            </w:pPr>
            <w:r>
              <w:rPr>
                <w:rFonts w:hint="eastAsia"/>
                <w:color w:val="auto"/>
              </w:rPr>
              <w:t>污酸泵</w:t>
            </w:r>
          </w:p>
        </w:tc>
        <w:tc>
          <w:tcPr>
            <w:tcW w:w="2556" w:type="pct"/>
            <w:gridSpan w:val="2"/>
            <w:shd w:val="clear" w:color="auto" w:fill="auto"/>
            <w:noWrap w:val="0"/>
            <w:vAlign w:val="center"/>
          </w:tcPr>
          <w:p w14:paraId="2D431BA7">
            <w:pPr>
              <w:pStyle w:val="182"/>
              <w:rPr>
                <w:color w:val="auto"/>
              </w:rPr>
            </w:pPr>
            <w:r>
              <w:rPr>
                <w:color w:val="auto"/>
              </w:rPr>
              <w:t>Q=90 m3/h</w:t>
            </w:r>
            <w:r>
              <w:rPr>
                <w:rFonts w:hint="eastAsia"/>
                <w:color w:val="auto"/>
              </w:rPr>
              <w:t>，</w:t>
            </w:r>
            <w:r>
              <w:rPr>
                <w:color w:val="auto"/>
              </w:rPr>
              <w:t>H=28m</w:t>
            </w:r>
            <w:r>
              <w:rPr>
                <w:rFonts w:hint="eastAsia"/>
                <w:color w:val="auto"/>
              </w:rPr>
              <w:t>，</w:t>
            </w:r>
            <w:r>
              <w:rPr>
                <w:color w:val="auto"/>
              </w:rPr>
              <w:t>Y160L-2</w:t>
            </w:r>
            <w:r>
              <w:rPr>
                <w:rFonts w:hint="eastAsia"/>
                <w:color w:val="auto"/>
              </w:rPr>
              <w:t>，</w:t>
            </w:r>
            <w:r>
              <w:rPr>
                <w:color w:val="auto"/>
              </w:rPr>
              <w:t>18.5kw</w:t>
            </w:r>
          </w:p>
        </w:tc>
        <w:tc>
          <w:tcPr>
            <w:tcW w:w="632" w:type="pct"/>
            <w:shd w:val="clear" w:color="auto" w:fill="auto"/>
            <w:noWrap w:val="0"/>
            <w:vAlign w:val="center"/>
          </w:tcPr>
          <w:p w14:paraId="575D7021">
            <w:pPr>
              <w:pStyle w:val="182"/>
              <w:rPr>
                <w:color w:val="auto"/>
              </w:rPr>
            </w:pPr>
            <w:r>
              <w:rPr>
                <w:color w:val="auto"/>
              </w:rPr>
              <w:t>2</w:t>
            </w:r>
          </w:p>
        </w:tc>
      </w:tr>
      <w:tr w14:paraId="0E02B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0DC9DCC">
            <w:pPr>
              <w:pStyle w:val="182"/>
              <w:rPr>
                <w:color w:val="auto"/>
              </w:rPr>
            </w:pPr>
            <w:r>
              <w:rPr>
                <w:color w:val="auto"/>
              </w:rPr>
              <w:t>10</w:t>
            </w:r>
          </w:p>
        </w:tc>
        <w:tc>
          <w:tcPr>
            <w:tcW w:w="433" w:type="pct"/>
            <w:gridSpan w:val="2"/>
            <w:vMerge w:val="continue"/>
            <w:shd w:val="clear" w:color="auto" w:fill="auto"/>
            <w:noWrap w:val="0"/>
            <w:vAlign w:val="center"/>
          </w:tcPr>
          <w:p w14:paraId="319B198A">
            <w:pPr>
              <w:pStyle w:val="182"/>
              <w:rPr>
                <w:color w:val="auto"/>
              </w:rPr>
            </w:pPr>
          </w:p>
        </w:tc>
        <w:tc>
          <w:tcPr>
            <w:tcW w:w="1065" w:type="pct"/>
            <w:gridSpan w:val="2"/>
            <w:shd w:val="clear" w:color="auto" w:fill="auto"/>
            <w:noWrap w:val="0"/>
            <w:vAlign w:val="center"/>
          </w:tcPr>
          <w:p w14:paraId="5C665910">
            <w:pPr>
              <w:pStyle w:val="182"/>
              <w:rPr>
                <w:color w:val="auto"/>
              </w:rPr>
            </w:pPr>
            <w:r>
              <w:rPr>
                <w:rFonts w:hint="eastAsia"/>
                <w:color w:val="auto"/>
              </w:rPr>
              <w:t>酸浴过滤器</w:t>
            </w:r>
          </w:p>
        </w:tc>
        <w:tc>
          <w:tcPr>
            <w:tcW w:w="2556" w:type="pct"/>
            <w:gridSpan w:val="2"/>
            <w:shd w:val="clear" w:color="auto" w:fill="auto"/>
            <w:noWrap w:val="0"/>
            <w:vAlign w:val="center"/>
          </w:tcPr>
          <w:p w14:paraId="1B79DFCE">
            <w:pPr>
              <w:pStyle w:val="182"/>
              <w:rPr>
                <w:color w:val="auto"/>
              </w:rPr>
            </w:pPr>
            <w:r>
              <w:rPr>
                <w:color w:val="auto"/>
              </w:rPr>
              <w:t>Q=60m2/h</w:t>
            </w:r>
            <w:r>
              <w:rPr>
                <w:rFonts w:hint="eastAsia"/>
                <w:color w:val="auto"/>
              </w:rPr>
              <w:t>，</w:t>
            </w:r>
            <w:r>
              <w:rPr>
                <w:color w:val="auto"/>
              </w:rPr>
              <w:t>∅1600×3095</w:t>
            </w:r>
          </w:p>
        </w:tc>
        <w:tc>
          <w:tcPr>
            <w:tcW w:w="632" w:type="pct"/>
            <w:shd w:val="clear" w:color="auto" w:fill="auto"/>
            <w:noWrap w:val="0"/>
            <w:vAlign w:val="center"/>
          </w:tcPr>
          <w:p w14:paraId="67EC9FCC">
            <w:pPr>
              <w:pStyle w:val="182"/>
              <w:rPr>
                <w:color w:val="auto"/>
              </w:rPr>
            </w:pPr>
            <w:r>
              <w:rPr>
                <w:color w:val="auto"/>
              </w:rPr>
              <w:t>28</w:t>
            </w:r>
          </w:p>
        </w:tc>
      </w:tr>
      <w:tr w14:paraId="34971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5C7AD38">
            <w:pPr>
              <w:pStyle w:val="182"/>
              <w:rPr>
                <w:color w:val="auto"/>
              </w:rPr>
            </w:pPr>
            <w:r>
              <w:rPr>
                <w:color w:val="auto"/>
              </w:rPr>
              <w:t>11</w:t>
            </w:r>
          </w:p>
        </w:tc>
        <w:tc>
          <w:tcPr>
            <w:tcW w:w="433" w:type="pct"/>
            <w:gridSpan w:val="2"/>
            <w:vMerge w:val="continue"/>
            <w:shd w:val="clear" w:color="auto" w:fill="auto"/>
            <w:noWrap w:val="0"/>
            <w:vAlign w:val="center"/>
          </w:tcPr>
          <w:p w14:paraId="050124AC">
            <w:pPr>
              <w:pStyle w:val="182"/>
              <w:rPr>
                <w:color w:val="auto"/>
              </w:rPr>
            </w:pPr>
          </w:p>
        </w:tc>
        <w:tc>
          <w:tcPr>
            <w:tcW w:w="1065" w:type="pct"/>
            <w:gridSpan w:val="2"/>
            <w:shd w:val="clear" w:color="auto" w:fill="auto"/>
            <w:noWrap w:val="0"/>
            <w:vAlign w:val="center"/>
          </w:tcPr>
          <w:p w14:paraId="6C4CB84A">
            <w:pPr>
              <w:pStyle w:val="182"/>
              <w:rPr>
                <w:color w:val="auto"/>
              </w:rPr>
            </w:pPr>
            <w:r>
              <w:rPr>
                <w:rFonts w:hint="eastAsia"/>
                <w:color w:val="auto"/>
              </w:rPr>
              <w:t>硫酸锌溶解槽</w:t>
            </w:r>
          </w:p>
        </w:tc>
        <w:tc>
          <w:tcPr>
            <w:tcW w:w="2556" w:type="pct"/>
            <w:gridSpan w:val="2"/>
            <w:shd w:val="clear" w:color="auto" w:fill="auto"/>
            <w:noWrap w:val="0"/>
            <w:vAlign w:val="center"/>
          </w:tcPr>
          <w:p w14:paraId="59D47E2B">
            <w:pPr>
              <w:pStyle w:val="182"/>
              <w:rPr>
                <w:color w:val="auto"/>
              </w:rPr>
            </w:pPr>
            <w:r>
              <w:rPr>
                <w:color w:val="auto"/>
              </w:rPr>
              <w:t>∅900×850</w:t>
            </w:r>
            <w:r>
              <w:rPr>
                <w:rFonts w:hint="eastAsia"/>
                <w:color w:val="auto"/>
              </w:rPr>
              <w:t>，</w:t>
            </w:r>
            <w:r>
              <w:rPr>
                <w:color w:val="auto"/>
              </w:rPr>
              <w:t xml:space="preserve">V=0.5 </w:t>
            </w:r>
            <w:r>
              <w:rPr>
                <w:rFonts w:hint="eastAsia"/>
                <w:color w:val="auto"/>
              </w:rPr>
              <w:t>m</w:t>
            </w:r>
            <w:r>
              <w:rPr>
                <w:rFonts w:hint="eastAsia"/>
                <w:color w:val="auto"/>
                <w:vertAlign w:val="superscript"/>
              </w:rPr>
              <w:t>3</w:t>
            </w:r>
          </w:p>
        </w:tc>
        <w:tc>
          <w:tcPr>
            <w:tcW w:w="632" w:type="pct"/>
            <w:shd w:val="clear" w:color="auto" w:fill="auto"/>
            <w:noWrap w:val="0"/>
            <w:vAlign w:val="center"/>
          </w:tcPr>
          <w:p w14:paraId="21C910B0">
            <w:pPr>
              <w:pStyle w:val="182"/>
              <w:rPr>
                <w:color w:val="auto"/>
              </w:rPr>
            </w:pPr>
            <w:r>
              <w:rPr>
                <w:color w:val="auto"/>
              </w:rPr>
              <w:t>2</w:t>
            </w:r>
          </w:p>
        </w:tc>
      </w:tr>
      <w:tr w14:paraId="4BC28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65A2F7F">
            <w:pPr>
              <w:pStyle w:val="182"/>
              <w:rPr>
                <w:color w:val="auto"/>
              </w:rPr>
            </w:pPr>
            <w:r>
              <w:rPr>
                <w:color w:val="auto"/>
              </w:rPr>
              <w:t>12</w:t>
            </w:r>
          </w:p>
        </w:tc>
        <w:tc>
          <w:tcPr>
            <w:tcW w:w="433" w:type="pct"/>
            <w:gridSpan w:val="2"/>
            <w:vMerge w:val="continue"/>
            <w:shd w:val="clear" w:color="auto" w:fill="auto"/>
            <w:noWrap w:val="0"/>
            <w:vAlign w:val="center"/>
          </w:tcPr>
          <w:p w14:paraId="3F5AE506">
            <w:pPr>
              <w:pStyle w:val="182"/>
              <w:rPr>
                <w:color w:val="auto"/>
              </w:rPr>
            </w:pPr>
          </w:p>
        </w:tc>
        <w:tc>
          <w:tcPr>
            <w:tcW w:w="1065" w:type="pct"/>
            <w:gridSpan w:val="2"/>
            <w:shd w:val="clear" w:color="auto" w:fill="auto"/>
            <w:noWrap w:val="0"/>
            <w:vAlign w:val="center"/>
          </w:tcPr>
          <w:p w14:paraId="7020968F">
            <w:pPr>
              <w:pStyle w:val="182"/>
              <w:rPr>
                <w:color w:val="auto"/>
              </w:rPr>
            </w:pPr>
            <w:r>
              <w:rPr>
                <w:rFonts w:hint="eastAsia"/>
                <w:color w:val="auto"/>
              </w:rPr>
              <w:t>脱气水环真空泵</w:t>
            </w:r>
          </w:p>
        </w:tc>
        <w:tc>
          <w:tcPr>
            <w:tcW w:w="2556" w:type="pct"/>
            <w:gridSpan w:val="2"/>
            <w:shd w:val="clear" w:color="auto" w:fill="auto"/>
            <w:noWrap w:val="0"/>
            <w:vAlign w:val="center"/>
          </w:tcPr>
          <w:p w14:paraId="31EB7B0E">
            <w:pPr>
              <w:pStyle w:val="182"/>
              <w:rPr>
                <w:color w:val="auto"/>
                <w:lang w:val="de-DE"/>
              </w:rPr>
            </w:pPr>
            <w:r>
              <w:rPr>
                <w:color w:val="auto"/>
                <w:lang w:val="de-DE"/>
              </w:rPr>
              <w:t>10</w:t>
            </w:r>
            <w:r>
              <w:rPr>
                <w:color w:val="auto"/>
              </w:rPr>
              <w:t xml:space="preserve"> m3</w:t>
            </w:r>
            <w:r>
              <w:rPr>
                <w:color w:val="auto"/>
                <w:lang w:val="de-DE"/>
              </w:rPr>
              <w:t>/min</w:t>
            </w:r>
            <w:r>
              <w:rPr>
                <w:rFonts w:hint="eastAsia"/>
                <w:color w:val="auto"/>
                <w:lang w:val="de-DE"/>
              </w:rPr>
              <w:t>，</w:t>
            </w:r>
            <w:r>
              <w:rPr>
                <w:color w:val="auto"/>
                <w:lang w:val="de-DE"/>
              </w:rPr>
              <w:t>-725mmHg</w:t>
            </w:r>
            <w:r>
              <w:rPr>
                <w:rFonts w:hint="eastAsia"/>
                <w:color w:val="auto"/>
                <w:lang w:val="de-DE"/>
              </w:rPr>
              <w:t>，</w:t>
            </w:r>
            <w:r>
              <w:rPr>
                <w:color w:val="auto"/>
                <w:lang w:val="de-DE"/>
              </w:rPr>
              <w:t>22kw</w:t>
            </w:r>
          </w:p>
        </w:tc>
        <w:tc>
          <w:tcPr>
            <w:tcW w:w="632" w:type="pct"/>
            <w:shd w:val="clear" w:color="auto" w:fill="auto"/>
            <w:noWrap w:val="0"/>
            <w:vAlign w:val="center"/>
          </w:tcPr>
          <w:p w14:paraId="456B3B12">
            <w:pPr>
              <w:pStyle w:val="182"/>
              <w:rPr>
                <w:color w:val="auto"/>
              </w:rPr>
            </w:pPr>
            <w:r>
              <w:rPr>
                <w:color w:val="auto"/>
              </w:rPr>
              <w:t>4</w:t>
            </w:r>
          </w:p>
        </w:tc>
      </w:tr>
      <w:tr w14:paraId="32568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265D4D9">
            <w:pPr>
              <w:pStyle w:val="182"/>
              <w:rPr>
                <w:color w:val="auto"/>
              </w:rPr>
            </w:pPr>
            <w:r>
              <w:rPr>
                <w:color w:val="auto"/>
              </w:rPr>
              <w:t>13</w:t>
            </w:r>
          </w:p>
        </w:tc>
        <w:tc>
          <w:tcPr>
            <w:tcW w:w="433" w:type="pct"/>
            <w:gridSpan w:val="2"/>
            <w:vMerge w:val="continue"/>
            <w:shd w:val="clear" w:color="auto" w:fill="auto"/>
            <w:noWrap w:val="0"/>
            <w:vAlign w:val="center"/>
          </w:tcPr>
          <w:p w14:paraId="71349204">
            <w:pPr>
              <w:pStyle w:val="182"/>
              <w:rPr>
                <w:color w:val="auto"/>
              </w:rPr>
            </w:pPr>
          </w:p>
        </w:tc>
        <w:tc>
          <w:tcPr>
            <w:tcW w:w="1065" w:type="pct"/>
            <w:gridSpan w:val="2"/>
            <w:shd w:val="clear" w:color="auto" w:fill="auto"/>
            <w:noWrap w:val="0"/>
            <w:vAlign w:val="center"/>
          </w:tcPr>
          <w:p w14:paraId="085B2936">
            <w:pPr>
              <w:pStyle w:val="182"/>
              <w:rPr>
                <w:color w:val="auto"/>
              </w:rPr>
            </w:pPr>
            <w:r>
              <w:rPr>
                <w:rFonts w:hint="eastAsia"/>
                <w:color w:val="auto"/>
              </w:rPr>
              <w:t>脱盐水加热器</w:t>
            </w:r>
          </w:p>
        </w:tc>
        <w:tc>
          <w:tcPr>
            <w:tcW w:w="2556" w:type="pct"/>
            <w:gridSpan w:val="2"/>
            <w:shd w:val="clear" w:color="auto" w:fill="auto"/>
            <w:noWrap w:val="0"/>
            <w:vAlign w:val="center"/>
          </w:tcPr>
          <w:p w14:paraId="797D5B34">
            <w:pPr>
              <w:pStyle w:val="182"/>
              <w:rPr>
                <w:color w:val="auto"/>
              </w:rPr>
            </w:pPr>
            <w:r>
              <w:rPr>
                <w:color w:val="auto"/>
              </w:rPr>
              <w:t>∅600×2908</w:t>
            </w:r>
            <w:r>
              <w:rPr>
                <w:rFonts w:hint="eastAsia"/>
                <w:color w:val="auto"/>
              </w:rPr>
              <w:t>，</w:t>
            </w:r>
            <w:r>
              <w:rPr>
                <w:color w:val="auto"/>
              </w:rPr>
              <w:t>35 m</w:t>
            </w:r>
            <w:r>
              <w:rPr>
                <w:color w:val="auto"/>
                <w:vertAlign w:val="superscript"/>
              </w:rPr>
              <w:t>2</w:t>
            </w:r>
          </w:p>
        </w:tc>
        <w:tc>
          <w:tcPr>
            <w:tcW w:w="632" w:type="pct"/>
            <w:shd w:val="clear" w:color="auto" w:fill="auto"/>
            <w:noWrap w:val="0"/>
            <w:vAlign w:val="center"/>
          </w:tcPr>
          <w:p w14:paraId="6A51F87A">
            <w:pPr>
              <w:pStyle w:val="182"/>
              <w:rPr>
                <w:color w:val="auto"/>
              </w:rPr>
            </w:pPr>
            <w:r>
              <w:rPr>
                <w:color w:val="auto"/>
              </w:rPr>
              <w:t>4</w:t>
            </w:r>
          </w:p>
        </w:tc>
      </w:tr>
      <w:tr w14:paraId="6E219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F72C8CA">
            <w:pPr>
              <w:pStyle w:val="182"/>
              <w:rPr>
                <w:color w:val="auto"/>
              </w:rPr>
            </w:pPr>
            <w:r>
              <w:rPr>
                <w:color w:val="auto"/>
              </w:rPr>
              <w:t>14</w:t>
            </w:r>
          </w:p>
        </w:tc>
        <w:tc>
          <w:tcPr>
            <w:tcW w:w="433" w:type="pct"/>
            <w:gridSpan w:val="2"/>
            <w:vMerge w:val="continue"/>
            <w:shd w:val="clear" w:color="auto" w:fill="auto"/>
            <w:noWrap w:val="0"/>
            <w:vAlign w:val="center"/>
          </w:tcPr>
          <w:p w14:paraId="0939B177">
            <w:pPr>
              <w:pStyle w:val="182"/>
              <w:rPr>
                <w:color w:val="auto"/>
              </w:rPr>
            </w:pPr>
          </w:p>
        </w:tc>
        <w:tc>
          <w:tcPr>
            <w:tcW w:w="1065" w:type="pct"/>
            <w:gridSpan w:val="2"/>
            <w:shd w:val="clear" w:color="auto" w:fill="auto"/>
            <w:noWrap w:val="0"/>
            <w:vAlign w:val="center"/>
          </w:tcPr>
          <w:p w14:paraId="454BB2F7">
            <w:pPr>
              <w:pStyle w:val="182"/>
              <w:rPr>
                <w:color w:val="auto"/>
              </w:rPr>
            </w:pPr>
            <w:r>
              <w:rPr>
                <w:rFonts w:hint="eastAsia"/>
                <w:color w:val="auto"/>
              </w:rPr>
              <w:t>酸浴加热器</w:t>
            </w:r>
          </w:p>
        </w:tc>
        <w:tc>
          <w:tcPr>
            <w:tcW w:w="2556" w:type="pct"/>
            <w:gridSpan w:val="2"/>
            <w:shd w:val="clear" w:color="auto" w:fill="auto"/>
            <w:noWrap w:val="0"/>
            <w:vAlign w:val="center"/>
          </w:tcPr>
          <w:p w14:paraId="5AB6043B">
            <w:pPr>
              <w:pStyle w:val="182"/>
              <w:rPr>
                <w:color w:val="auto"/>
              </w:rPr>
            </w:pPr>
            <w:r>
              <w:rPr>
                <w:color w:val="auto"/>
              </w:rPr>
              <w:t>∅800×2500</w:t>
            </w:r>
            <w:r>
              <w:rPr>
                <w:rFonts w:hint="eastAsia"/>
                <w:color w:val="auto"/>
              </w:rPr>
              <w:t>，</w:t>
            </w:r>
            <w:r>
              <w:rPr>
                <w:color w:val="auto"/>
              </w:rPr>
              <w:t>30 m</w:t>
            </w:r>
            <w:r>
              <w:rPr>
                <w:color w:val="auto"/>
                <w:vertAlign w:val="superscript"/>
              </w:rPr>
              <w:t>2</w:t>
            </w:r>
          </w:p>
        </w:tc>
        <w:tc>
          <w:tcPr>
            <w:tcW w:w="632" w:type="pct"/>
            <w:shd w:val="clear" w:color="auto" w:fill="auto"/>
            <w:noWrap w:val="0"/>
            <w:vAlign w:val="center"/>
          </w:tcPr>
          <w:p w14:paraId="75150932">
            <w:pPr>
              <w:pStyle w:val="182"/>
              <w:rPr>
                <w:color w:val="auto"/>
              </w:rPr>
            </w:pPr>
            <w:r>
              <w:rPr>
                <w:color w:val="auto"/>
              </w:rPr>
              <w:t>12</w:t>
            </w:r>
          </w:p>
        </w:tc>
      </w:tr>
      <w:tr w14:paraId="01533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2296D95F">
            <w:pPr>
              <w:pStyle w:val="182"/>
              <w:rPr>
                <w:color w:val="auto"/>
              </w:rPr>
            </w:pPr>
            <w:r>
              <w:rPr>
                <w:color w:val="auto"/>
              </w:rPr>
              <w:t>15</w:t>
            </w:r>
          </w:p>
        </w:tc>
        <w:tc>
          <w:tcPr>
            <w:tcW w:w="433" w:type="pct"/>
            <w:gridSpan w:val="2"/>
            <w:vMerge w:val="continue"/>
            <w:shd w:val="clear" w:color="auto" w:fill="auto"/>
            <w:noWrap w:val="0"/>
            <w:vAlign w:val="center"/>
          </w:tcPr>
          <w:p w14:paraId="2B651B3E">
            <w:pPr>
              <w:pStyle w:val="182"/>
              <w:rPr>
                <w:color w:val="auto"/>
              </w:rPr>
            </w:pPr>
          </w:p>
        </w:tc>
        <w:tc>
          <w:tcPr>
            <w:tcW w:w="1065" w:type="pct"/>
            <w:gridSpan w:val="2"/>
            <w:shd w:val="clear" w:color="auto" w:fill="auto"/>
            <w:noWrap w:val="0"/>
            <w:vAlign w:val="center"/>
          </w:tcPr>
          <w:p w14:paraId="4EC9C026">
            <w:pPr>
              <w:pStyle w:val="182"/>
              <w:rPr>
                <w:color w:val="auto"/>
              </w:rPr>
            </w:pPr>
            <w:r>
              <w:rPr>
                <w:rFonts w:hint="eastAsia"/>
                <w:color w:val="auto"/>
              </w:rPr>
              <w:t>高位槽</w:t>
            </w:r>
          </w:p>
        </w:tc>
        <w:tc>
          <w:tcPr>
            <w:tcW w:w="2556" w:type="pct"/>
            <w:gridSpan w:val="2"/>
            <w:shd w:val="clear" w:color="auto" w:fill="auto"/>
            <w:noWrap w:val="0"/>
            <w:vAlign w:val="center"/>
          </w:tcPr>
          <w:p w14:paraId="0ED005DF">
            <w:pPr>
              <w:pStyle w:val="182"/>
              <w:rPr>
                <w:color w:val="auto"/>
              </w:rPr>
            </w:pPr>
            <w:r>
              <w:rPr>
                <w:color w:val="auto"/>
              </w:rPr>
              <w:t>V=15 m3</w:t>
            </w:r>
            <w:r>
              <w:rPr>
                <w:rFonts w:hint="eastAsia"/>
                <w:color w:val="auto"/>
              </w:rPr>
              <w:t>，</w:t>
            </w:r>
            <w:r>
              <w:rPr>
                <w:color w:val="auto"/>
              </w:rPr>
              <w:t>∅2500×3000</w:t>
            </w:r>
          </w:p>
        </w:tc>
        <w:tc>
          <w:tcPr>
            <w:tcW w:w="632" w:type="pct"/>
            <w:shd w:val="clear" w:color="auto" w:fill="auto"/>
            <w:noWrap w:val="0"/>
            <w:vAlign w:val="center"/>
          </w:tcPr>
          <w:p w14:paraId="64836F8E">
            <w:pPr>
              <w:pStyle w:val="182"/>
              <w:rPr>
                <w:color w:val="auto"/>
              </w:rPr>
            </w:pPr>
            <w:r>
              <w:rPr>
                <w:color w:val="auto"/>
              </w:rPr>
              <w:t>8</w:t>
            </w:r>
          </w:p>
        </w:tc>
      </w:tr>
      <w:tr w14:paraId="48B07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CDDF870">
            <w:pPr>
              <w:pStyle w:val="182"/>
              <w:rPr>
                <w:color w:val="auto"/>
              </w:rPr>
            </w:pPr>
            <w:r>
              <w:rPr>
                <w:color w:val="auto"/>
              </w:rPr>
              <w:t>16</w:t>
            </w:r>
          </w:p>
        </w:tc>
        <w:tc>
          <w:tcPr>
            <w:tcW w:w="433" w:type="pct"/>
            <w:gridSpan w:val="2"/>
            <w:vMerge w:val="continue"/>
            <w:shd w:val="clear" w:color="auto" w:fill="auto"/>
            <w:noWrap w:val="0"/>
            <w:vAlign w:val="center"/>
          </w:tcPr>
          <w:p w14:paraId="5637FAB2">
            <w:pPr>
              <w:pStyle w:val="182"/>
              <w:rPr>
                <w:color w:val="auto"/>
              </w:rPr>
            </w:pPr>
          </w:p>
        </w:tc>
        <w:tc>
          <w:tcPr>
            <w:tcW w:w="1065" w:type="pct"/>
            <w:gridSpan w:val="2"/>
            <w:shd w:val="clear" w:color="auto" w:fill="auto"/>
            <w:noWrap w:val="0"/>
            <w:vAlign w:val="center"/>
          </w:tcPr>
          <w:p w14:paraId="424B27D7">
            <w:pPr>
              <w:pStyle w:val="182"/>
              <w:rPr>
                <w:color w:val="auto"/>
              </w:rPr>
            </w:pPr>
            <w:r>
              <w:rPr>
                <w:rFonts w:hint="eastAsia"/>
                <w:color w:val="auto"/>
              </w:rPr>
              <w:t>脱气加热器</w:t>
            </w:r>
          </w:p>
        </w:tc>
        <w:tc>
          <w:tcPr>
            <w:tcW w:w="2556" w:type="pct"/>
            <w:gridSpan w:val="2"/>
            <w:shd w:val="clear" w:color="auto" w:fill="auto"/>
            <w:noWrap w:val="0"/>
            <w:vAlign w:val="center"/>
          </w:tcPr>
          <w:p w14:paraId="561828E1">
            <w:pPr>
              <w:pStyle w:val="182"/>
              <w:rPr>
                <w:color w:val="auto"/>
              </w:rPr>
            </w:pPr>
            <w:r>
              <w:rPr>
                <w:color w:val="auto"/>
              </w:rPr>
              <w:t>∅1000×3000</w:t>
            </w:r>
            <w:r>
              <w:rPr>
                <w:rFonts w:hint="eastAsia"/>
                <w:color w:val="auto"/>
              </w:rPr>
              <w:t>，</w:t>
            </w:r>
            <w:r>
              <w:rPr>
                <w:color w:val="auto"/>
              </w:rPr>
              <w:t>54m</w:t>
            </w:r>
            <w:r>
              <w:rPr>
                <w:color w:val="auto"/>
                <w:vertAlign w:val="superscript"/>
              </w:rPr>
              <w:t>2</w:t>
            </w:r>
          </w:p>
        </w:tc>
        <w:tc>
          <w:tcPr>
            <w:tcW w:w="632" w:type="pct"/>
            <w:shd w:val="clear" w:color="auto" w:fill="auto"/>
            <w:noWrap w:val="0"/>
            <w:vAlign w:val="center"/>
          </w:tcPr>
          <w:p w14:paraId="186368D2">
            <w:pPr>
              <w:pStyle w:val="182"/>
              <w:rPr>
                <w:color w:val="auto"/>
              </w:rPr>
            </w:pPr>
            <w:r>
              <w:rPr>
                <w:color w:val="auto"/>
              </w:rPr>
              <w:t>4</w:t>
            </w:r>
          </w:p>
        </w:tc>
      </w:tr>
      <w:tr w14:paraId="7473A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DDA9B2F">
            <w:pPr>
              <w:pStyle w:val="182"/>
              <w:rPr>
                <w:color w:val="auto"/>
              </w:rPr>
            </w:pPr>
            <w:r>
              <w:rPr>
                <w:color w:val="auto"/>
              </w:rPr>
              <w:t>17</w:t>
            </w:r>
          </w:p>
        </w:tc>
        <w:tc>
          <w:tcPr>
            <w:tcW w:w="433" w:type="pct"/>
            <w:gridSpan w:val="2"/>
            <w:vMerge w:val="continue"/>
            <w:shd w:val="clear" w:color="auto" w:fill="auto"/>
            <w:noWrap w:val="0"/>
            <w:vAlign w:val="center"/>
          </w:tcPr>
          <w:p w14:paraId="06B079DD">
            <w:pPr>
              <w:pStyle w:val="182"/>
              <w:rPr>
                <w:color w:val="auto"/>
              </w:rPr>
            </w:pPr>
          </w:p>
        </w:tc>
        <w:tc>
          <w:tcPr>
            <w:tcW w:w="1065" w:type="pct"/>
            <w:gridSpan w:val="2"/>
            <w:shd w:val="clear" w:color="auto" w:fill="auto"/>
            <w:noWrap w:val="0"/>
            <w:vAlign w:val="center"/>
          </w:tcPr>
          <w:p w14:paraId="6A3F7B68">
            <w:pPr>
              <w:pStyle w:val="182"/>
              <w:rPr>
                <w:color w:val="auto"/>
              </w:rPr>
            </w:pPr>
            <w:r>
              <w:rPr>
                <w:rFonts w:hint="eastAsia"/>
                <w:color w:val="auto"/>
              </w:rPr>
              <w:t>脱气罐</w:t>
            </w:r>
          </w:p>
        </w:tc>
        <w:tc>
          <w:tcPr>
            <w:tcW w:w="2556" w:type="pct"/>
            <w:gridSpan w:val="2"/>
            <w:shd w:val="clear" w:color="auto" w:fill="auto"/>
            <w:noWrap w:val="0"/>
            <w:vAlign w:val="center"/>
          </w:tcPr>
          <w:p w14:paraId="2492DD51">
            <w:pPr>
              <w:pStyle w:val="182"/>
              <w:rPr>
                <w:color w:val="auto"/>
              </w:rPr>
            </w:pPr>
            <w:r>
              <w:rPr>
                <w:color w:val="auto"/>
              </w:rPr>
              <w:t>∅1800×5000</w:t>
            </w:r>
          </w:p>
        </w:tc>
        <w:tc>
          <w:tcPr>
            <w:tcW w:w="632" w:type="pct"/>
            <w:shd w:val="clear" w:color="auto" w:fill="auto"/>
            <w:noWrap w:val="0"/>
            <w:vAlign w:val="center"/>
          </w:tcPr>
          <w:p w14:paraId="79555D38">
            <w:pPr>
              <w:pStyle w:val="182"/>
              <w:rPr>
                <w:color w:val="auto"/>
              </w:rPr>
            </w:pPr>
            <w:r>
              <w:rPr>
                <w:color w:val="auto"/>
              </w:rPr>
              <w:t>6</w:t>
            </w:r>
          </w:p>
        </w:tc>
      </w:tr>
      <w:tr w14:paraId="3F64B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1C6CAC5">
            <w:pPr>
              <w:pStyle w:val="182"/>
              <w:rPr>
                <w:color w:val="auto"/>
              </w:rPr>
            </w:pPr>
            <w:r>
              <w:rPr>
                <w:color w:val="auto"/>
              </w:rPr>
              <w:t>18</w:t>
            </w:r>
          </w:p>
        </w:tc>
        <w:tc>
          <w:tcPr>
            <w:tcW w:w="433" w:type="pct"/>
            <w:gridSpan w:val="2"/>
            <w:vMerge w:val="continue"/>
            <w:shd w:val="clear" w:color="auto" w:fill="auto"/>
            <w:noWrap w:val="0"/>
            <w:vAlign w:val="center"/>
          </w:tcPr>
          <w:p w14:paraId="6E1537D2">
            <w:pPr>
              <w:pStyle w:val="182"/>
              <w:rPr>
                <w:color w:val="auto"/>
              </w:rPr>
            </w:pPr>
          </w:p>
        </w:tc>
        <w:tc>
          <w:tcPr>
            <w:tcW w:w="1065" w:type="pct"/>
            <w:gridSpan w:val="2"/>
            <w:shd w:val="clear" w:color="auto" w:fill="auto"/>
            <w:noWrap w:val="0"/>
            <w:vAlign w:val="center"/>
          </w:tcPr>
          <w:p w14:paraId="485AE4DB">
            <w:pPr>
              <w:pStyle w:val="182"/>
              <w:rPr>
                <w:color w:val="auto"/>
              </w:rPr>
            </w:pPr>
            <w:r>
              <w:rPr>
                <w:rFonts w:hint="eastAsia"/>
                <w:color w:val="auto"/>
              </w:rPr>
              <w:t>板式换热器</w:t>
            </w:r>
          </w:p>
        </w:tc>
        <w:tc>
          <w:tcPr>
            <w:tcW w:w="2556" w:type="pct"/>
            <w:gridSpan w:val="2"/>
            <w:shd w:val="clear" w:color="auto" w:fill="auto"/>
            <w:noWrap w:val="0"/>
            <w:vAlign w:val="center"/>
          </w:tcPr>
          <w:p w14:paraId="3C9A4784">
            <w:pPr>
              <w:pStyle w:val="182"/>
              <w:rPr>
                <w:color w:val="auto"/>
              </w:rPr>
            </w:pPr>
            <w:r>
              <w:rPr>
                <w:color w:val="auto"/>
              </w:rPr>
              <w:t>1815×584×1710</w:t>
            </w:r>
            <w:r>
              <w:rPr>
                <w:rFonts w:hint="eastAsia"/>
                <w:color w:val="auto"/>
              </w:rPr>
              <w:t>，</w:t>
            </w:r>
            <w:r>
              <w:rPr>
                <w:color w:val="auto"/>
              </w:rPr>
              <w:t>218 m</w:t>
            </w:r>
            <w:r>
              <w:rPr>
                <w:color w:val="auto"/>
                <w:vertAlign w:val="superscript"/>
              </w:rPr>
              <w:t>3</w:t>
            </w:r>
            <w:r>
              <w:rPr>
                <w:color w:val="auto"/>
              </w:rPr>
              <w:t>/h</w:t>
            </w:r>
          </w:p>
        </w:tc>
        <w:tc>
          <w:tcPr>
            <w:tcW w:w="632" w:type="pct"/>
            <w:shd w:val="clear" w:color="auto" w:fill="auto"/>
            <w:noWrap w:val="0"/>
            <w:vAlign w:val="center"/>
          </w:tcPr>
          <w:p w14:paraId="624255DF">
            <w:pPr>
              <w:pStyle w:val="182"/>
              <w:rPr>
                <w:color w:val="auto"/>
              </w:rPr>
            </w:pPr>
            <w:r>
              <w:rPr>
                <w:color w:val="auto"/>
              </w:rPr>
              <w:t>2</w:t>
            </w:r>
          </w:p>
        </w:tc>
      </w:tr>
      <w:tr w14:paraId="6B203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4D7D0CE">
            <w:pPr>
              <w:pStyle w:val="182"/>
              <w:rPr>
                <w:color w:val="auto"/>
              </w:rPr>
            </w:pPr>
            <w:r>
              <w:rPr>
                <w:color w:val="auto"/>
              </w:rPr>
              <w:t>19</w:t>
            </w:r>
          </w:p>
        </w:tc>
        <w:tc>
          <w:tcPr>
            <w:tcW w:w="433" w:type="pct"/>
            <w:gridSpan w:val="2"/>
            <w:vMerge w:val="continue"/>
            <w:shd w:val="clear" w:color="auto" w:fill="auto"/>
            <w:noWrap w:val="0"/>
            <w:vAlign w:val="center"/>
          </w:tcPr>
          <w:p w14:paraId="32BB3F57">
            <w:pPr>
              <w:pStyle w:val="182"/>
              <w:rPr>
                <w:color w:val="auto"/>
              </w:rPr>
            </w:pPr>
          </w:p>
        </w:tc>
        <w:tc>
          <w:tcPr>
            <w:tcW w:w="1065" w:type="pct"/>
            <w:gridSpan w:val="2"/>
            <w:shd w:val="clear" w:color="auto" w:fill="auto"/>
            <w:noWrap w:val="0"/>
            <w:vAlign w:val="center"/>
          </w:tcPr>
          <w:p w14:paraId="29D58164">
            <w:pPr>
              <w:pStyle w:val="182"/>
              <w:rPr>
                <w:color w:val="auto"/>
              </w:rPr>
            </w:pPr>
            <w:r>
              <w:rPr>
                <w:rFonts w:hint="eastAsia"/>
                <w:color w:val="auto"/>
              </w:rPr>
              <w:t>硫酸中间储罐</w:t>
            </w:r>
          </w:p>
        </w:tc>
        <w:tc>
          <w:tcPr>
            <w:tcW w:w="2556" w:type="pct"/>
            <w:gridSpan w:val="2"/>
            <w:shd w:val="clear" w:color="auto" w:fill="auto"/>
            <w:noWrap w:val="0"/>
            <w:vAlign w:val="center"/>
          </w:tcPr>
          <w:p w14:paraId="5B83BB8F">
            <w:pPr>
              <w:pStyle w:val="182"/>
              <w:rPr>
                <w:color w:val="auto"/>
              </w:rPr>
            </w:pPr>
            <w:r>
              <w:rPr>
                <w:color w:val="auto"/>
              </w:rPr>
              <w:t>70m</w:t>
            </w:r>
            <w:r>
              <w:rPr>
                <w:rFonts w:hint="eastAsia"/>
                <w:color w:val="auto"/>
                <w:vertAlign w:val="superscript"/>
              </w:rPr>
              <w:t>3</w:t>
            </w:r>
          </w:p>
        </w:tc>
        <w:tc>
          <w:tcPr>
            <w:tcW w:w="632" w:type="pct"/>
            <w:shd w:val="clear" w:color="auto" w:fill="auto"/>
            <w:noWrap w:val="0"/>
            <w:vAlign w:val="center"/>
          </w:tcPr>
          <w:p w14:paraId="5F5D261A">
            <w:pPr>
              <w:pStyle w:val="182"/>
              <w:rPr>
                <w:color w:val="auto"/>
              </w:rPr>
            </w:pPr>
            <w:r>
              <w:rPr>
                <w:color w:val="auto"/>
              </w:rPr>
              <w:t>2</w:t>
            </w:r>
          </w:p>
        </w:tc>
      </w:tr>
      <w:tr w14:paraId="31287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shd w:val="clear" w:color="auto" w:fill="auto"/>
            <w:noWrap w:val="0"/>
            <w:vAlign w:val="center"/>
          </w:tcPr>
          <w:p w14:paraId="5075E69F">
            <w:pPr>
              <w:pStyle w:val="182"/>
              <w:rPr>
                <w:b/>
                <w:color w:val="auto"/>
              </w:rPr>
            </w:pPr>
            <w:r>
              <w:rPr>
                <w:rFonts w:hint="eastAsia"/>
                <w:b/>
                <w:color w:val="auto"/>
              </w:rPr>
              <w:t>6、年产2×2万吨超细旦氨纶纤维项目（年产3×2万吨超细旦氨纶纤维项目二期三期工程）（二期）</w:t>
            </w:r>
          </w:p>
        </w:tc>
      </w:tr>
      <w:tr w14:paraId="14769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A9220FD">
            <w:pPr>
              <w:pStyle w:val="182"/>
              <w:rPr>
                <w:color w:val="auto"/>
              </w:rPr>
            </w:pPr>
            <w:r>
              <w:rPr>
                <w:rFonts w:hint="eastAsia"/>
                <w:color w:val="auto"/>
              </w:rPr>
              <w:t>1</w:t>
            </w:r>
          </w:p>
        </w:tc>
        <w:tc>
          <w:tcPr>
            <w:tcW w:w="1498" w:type="pct"/>
            <w:gridSpan w:val="4"/>
            <w:shd w:val="clear" w:color="auto" w:fill="auto"/>
            <w:noWrap w:val="0"/>
            <w:vAlign w:val="center"/>
          </w:tcPr>
          <w:p w14:paraId="17C6C9CA">
            <w:pPr>
              <w:pStyle w:val="182"/>
              <w:rPr>
                <w:color w:val="auto"/>
              </w:rPr>
            </w:pPr>
            <w:r>
              <w:rPr>
                <w:rFonts w:hint="eastAsia"/>
                <w:color w:val="auto"/>
              </w:rPr>
              <w:t>液态MDI存储罐</w:t>
            </w:r>
          </w:p>
        </w:tc>
        <w:tc>
          <w:tcPr>
            <w:tcW w:w="2556" w:type="pct"/>
            <w:gridSpan w:val="2"/>
            <w:shd w:val="clear" w:color="auto" w:fill="auto"/>
            <w:noWrap w:val="0"/>
            <w:vAlign w:val="center"/>
          </w:tcPr>
          <w:p w14:paraId="0AE01D2C">
            <w:pPr>
              <w:pStyle w:val="182"/>
              <w:rPr>
                <w:color w:val="auto"/>
              </w:rPr>
            </w:pPr>
            <w:r>
              <w:rPr>
                <w:rFonts w:hint="eastAsia"/>
                <w:color w:val="auto"/>
              </w:rPr>
              <w:t>30m</w:t>
            </w:r>
            <w:r>
              <w:rPr>
                <w:rFonts w:hint="eastAsia"/>
                <w:color w:val="auto"/>
                <w:vertAlign w:val="superscript"/>
              </w:rPr>
              <w:t>3</w:t>
            </w:r>
          </w:p>
        </w:tc>
        <w:tc>
          <w:tcPr>
            <w:tcW w:w="632" w:type="pct"/>
            <w:shd w:val="clear" w:color="auto" w:fill="auto"/>
            <w:noWrap w:val="0"/>
            <w:vAlign w:val="center"/>
          </w:tcPr>
          <w:p w14:paraId="243B039D">
            <w:pPr>
              <w:pStyle w:val="182"/>
              <w:rPr>
                <w:color w:val="auto"/>
              </w:rPr>
            </w:pPr>
            <w:r>
              <w:rPr>
                <w:rFonts w:hint="eastAsia"/>
                <w:color w:val="auto"/>
              </w:rPr>
              <w:t>2</w:t>
            </w:r>
          </w:p>
        </w:tc>
      </w:tr>
      <w:tr w14:paraId="64F05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vMerge w:val="restart"/>
            <w:shd w:val="clear" w:color="auto" w:fill="auto"/>
            <w:noWrap w:val="0"/>
            <w:vAlign w:val="center"/>
          </w:tcPr>
          <w:p w14:paraId="10801A2A">
            <w:pPr>
              <w:pStyle w:val="182"/>
              <w:rPr>
                <w:color w:val="auto"/>
              </w:rPr>
            </w:pPr>
            <w:r>
              <w:rPr>
                <w:rFonts w:hint="eastAsia"/>
                <w:color w:val="auto"/>
              </w:rPr>
              <w:t>2</w:t>
            </w:r>
          </w:p>
        </w:tc>
        <w:tc>
          <w:tcPr>
            <w:tcW w:w="1498" w:type="pct"/>
            <w:gridSpan w:val="4"/>
            <w:vMerge w:val="restart"/>
            <w:shd w:val="clear" w:color="auto" w:fill="auto"/>
            <w:noWrap w:val="0"/>
            <w:vAlign w:val="center"/>
          </w:tcPr>
          <w:p w14:paraId="5CC22AE4">
            <w:pPr>
              <w:pStyle w:val="182"/>
              <w:rPr>
                <w:color w:val="auto"/>
              </w:rPr>
            </w:pPr>
            <w:r>
              <w:rPr>
                <w:rFonts w:hint="eastAsia"/>
                <w:color w:val="auto"/>
              </w:rPr>
              <w:t>液态PTMG 存储罐</w:t>
            </w:r>
          </w:p>
        </w:tc>
        <w:tc>
          <w:tcPr>
            <w:tcW w:w="2556" w:type="pct"/>
            <w:gridSpan w:val="2"/>
            <w:shd w:val="clear" w:color="auto" w:fill="auto"/>
            <w:noWrap w:val="0"/>
            <w:vAlign w:val="center"/>
          </w:tcPr>
          <w:p w14:paraId="5B92484F">
            <w:pPr>
              <w:pStyle w:val="182"/>
              <w:rPr>
                <w:color w:val="auto"/>
              </w:rPr>
            </w:pPr>
            <w:r>
              <w:rPr>
                <w:rFonts w:hint="eastAsia"/>
                <w:color w:val="auto"/>
              </w:rPr>
              <w:t>500m</w:t>
            </w:r>
            <w:r>
              <w:rPr>
                <w:rFonts w:hint="eastAsia"/>
                <w:color w:val="auto"/>
                <w:vertAlign w:val="superscript"/>
              </w:rPr>
              <w:t>3</w:t>
            </w:r>
          </w:p>
        </w:tc>
        <w:tc>
          <w:tcPr>
            <w:tcW w:w="632" w:type="pct"/>
            <w:shd w:val="clear" w:color="auto" w:fill="auto"/>
            <w:noWrap w:val="0"/>
            <w:vAlign w:val="center"/>
          </w:tcPr>
          <w:p w14:paraId="773B1F45">
            <w:pPr>
              <w:pStyle w:val="182"/>
              <w:rPr>
                <w:color w:val="auto"/>
              </w:rPr>
            </w:pPr>
            <w:r>
              <w:rPr>
                <w:rFonts w:hint="eastAsia"/>
                <w:color w:val="auto"/>
              </w:rPr>
              <w:t>3</w:t>
            </w:r>
          </w:p>
        </w:tc>
      </w:tr>
      <w:tr w14:paraId="5D46F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vMerge w:val="continue"/>
            <w:shd w:val="clear" w:color="auto" w:fill="auto"/>
            <w:noWrap w:val="0"/>
            <w:vAlign w:val="center"/>
          </w:tcPr>
          <w:p w14:paraId="51070983">
            <w:pPr>
              <w:pStyle w:val="182"/>
              <w:rPr>
                <w:color w:val="auto"/>
              </w:rPr>
            </w:pPr>
          </w:p>
        </w:tc>
        <w:tc>
          <w:tcPr>
            <w:tcW w:w="1498" w:type="pct"/>
            <w:gridSpan w:val="4"/>
            <w:vMerge w:val="continue"/>
            <w:shd w:val="clear" w:color="auto" w:fill="auto"/>
            <w:noWrap w:val="0"/>
            <w:vAlign w:val="center"/>
          </w:tcPr>
          <w:p w14:paraId="7FEC8B15">
            <w:pPr>
              <w:pStyle w:val="182"/>
              <w:rPr>
                <w:color w:val="auto"/>
              </w:rPr>
            </w:pPr>
          </w:p>
        </w:tc>
        <w:tc>
          <w:tcPr>
            <w:tcW w:w="2556" w:type="pct"/>
            <w:gridSpan w:val="2"/>
            <w:shd w:val="clear" w:color="auto" w:fill="auto"/>
            <w:noWrap w:val="0"/>
            <w:vAlign w:val="center"/>
          </w:tcPr>
          <w:p w14:paraId="1FD284CB">
            <w:pPr>
              <w:pStyle w:val="182"/>
              <w:rPr>
                <w:color w:val="auto"/>
              </w:rPr>
            </w:pPr>
            <w:r>
              <w:rPr>
                <w:rFonts w:hint="eastAsia"/>
                <w:color w:val="auto"/>
              </w:rPr>
              <w:t>200m</w:t>
            </w:r>
            <w:r>
              <w:rPr>
                <w:rFonts w:hint="eastAsia"/>
                <w:color w:val="auto"/>
                <w:vertAlign w:val="superscript"/>
              </w:rPr>
              <w:t>3</w:t>
            </w:r>
          </w:p>
        </w:tc>
        <w:tc>
          <w:tcPr>
            <w:tcW w:w="632" w:type="pct"/>
            <w:shd w:val="clear" w:color="auto" w:fill="auto"/>
            <w:noWrap w:val="0"/>
            <w:vAlign w:val="center"/>
          </w:tcPr>
          <w:p w14:paraId="2F2DF876">
            <w:pPr>
              <w:pStyle w:val="182"/>
              <w:rPr>
                <w:color w:val="auto"/>
              </w:rPr>
            </w:pPr>
            <w:r>
              <w:rPr>
                <w:rFonts w:hint="eastAsia"/>
                <w:color w:val="auto"/>
              </w:rPr>
              <w:t>3</w:t>
            </w:r>
          </w:p>
        </w:tc>
      </w:tr>
      <w:tr w14:paraId="3EBAE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9AF5D93">
            <w:pPr>
              <w:pStyle w:val="182"/>
              <w:rPr>
                <w:color w:val="auto"/>
              </w:rPr>
            </w:pPr>
            <w:r>
              <w:rPr>
                <w:rFonts w:hint="eastAsia"/>
                <w:color w:val="auto"/>
              </w:rPr>
              <w:t>3</w:t>
            </w:r>
          </w:p>
        </w:tc>
        <w:tc>
          <w:tcPr>
            <w:tcW w:w="1498" w:type="pct"/>
            <w:gridSpan w:val="4"/>
            <w:shd w:val="clear" w:color="auto" w:fill="auto"/>
            <w:noWrap w:val="0"/>
            <w:vAlign w:val="center"/>
          </w:tcPr>
          <w:p w14:paraId="16EF2707">
            <w:pPr>
              <w:pStyle w:val="182"/>
              <w:rPr>
                <w:color w:val="auto"/>
              </w:rPr>
            </w:pPr>
            <w:r>
              <w:rPr>
                <w:rFonts w:hint="eastAsia"/>
                <w:color w:val="auto"/>
              </w:rPr>
              <w:t>DMAC存储罐</w:t>
            </w:r>
          </w:p>
        </w:tc>
        <w:tc>
          <w:tcPr>
            <w:tcW w:w="2556" w:type="pct"/>
            <w:gridSpan w:val="2"/>
            <w:shd w:val="clear" w:color="auto" w:fill="auto"/>
            <w:noWrap w:val="0"/>
            <w:vAlign w:val="center"/>
          </w:tcPr>
          <w:p w14:paraId="5F80F5AD">
            <w:pPr>
              <w:pStyle w:val="182"/>
              <w:rPr>
                <w:color w:val="auto"/>
              </w:rPr>
            </w:pPr>
            <w:r>
              <w:rPr>
                <w:rFonts w:hint="eastAsia"/>
                <w:color w:val="auto"/>
              </w:rPr>
              <w:t>1000m</w:t>
            </w:r>
            <w:r>
              <w:rPr>
                <w:rFonts w:hint="eastAsia"/>
                <w:color w:val="auto"/>
                <w:vertAlign w:val="superscript"/>
              </w:rPr>
              <w:t>3</w:t>
            </w:r>
          </w:p>
        </w:tc>
        <w:tc>
          <w:tcPr>
            <w:tcW w:w="632" w:type="pct"/>
            <w:shd w:val="clear" w:color="auto" w:fill="auto"/>
            <w:noWrap w:val="0"/>
            <w:vAlign w:val="center"/>
          </w:tcPr>
          <w:p w14:paraId="76037E33">
            <w:pPr>
              <w:pStyle w:val="182"/>
              <w:rPr>
                <w:color w:val="auto"/>
              </w:rPr>
            </w:pPr>
            <w:r>
              <w:rPr>
                <w:rFonts w:hint="eastAsia"/>
                <w:color w:val="auto"/>
              </w:rPr>
              <w:t>4</w:t>
            </w:r>
          </w:p>
        </w:tc>
      </w:tr>
      <w:tr w14:paraId="1ACCF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511475B">
            <w:pPr>
              <w:pStyle w:val="182"/>
              <w:rPr>
                <w:color w:val="auto"/>
              </w:rPr>
            </w:pPr>
            <w:r>
              <w:rPr>
                <w:rFonts w:hint="eastAsia"/>
                <w:color w:val="auto"/>
              </w:rPr>
              <w:t>4</w:t>
            </w:r>
          </w:p>
        </w:tc>
        <w:tc>
          <w:tcPr>
            <w:tcW w:w="1498" w:type="pct"/>
            <w:gridSpan w:val="4"/>
            <w:shd w:val="clear" w:color="auto" w:fill="auto"/>
            <w:noWrap w:val="0"/>
            <w:vAlign w:val="center"/>
          </w:tcPr>
          <w:p w14:paraId="58B8D6AB">
            <w:pPr>
              <w:pStyle w:val="182"/>
              <w:rPr>
                <w:color w:val="auto"/>
              </w:rPr>
            </w:pPr>
            <w:r>
              <w:rPr>
                <w:rFonts w:hint="eastAsia"/>
                <w:color w:val="auto"/>
              </w:rPr>
              <w:t>预聚合反应器</w:t>
            </w:r>
          </w:p>
        </w:tc>
        <w:tc>
          <w:tcPr>
            <w:tcW w:w="2556" w:type="pct"/>
            <w:gridSpan w:val="2"/>
            <w:shd w:val="clear" w:color="auto" w:fill="auto"/>
            <w:noWrap w:val="0"/>
            <w:vAlign w:val="center"/>
          </w:tcPr>
          <w:p w14:paraId="5BB86045">
            <w:pPr>
              <w:pStyle w:val="182"/>
              <w:rPr>
                <w:color w:val="auto"/>
              </w:rPr>
            </w:pPr>
            <w:r>
              <w:rPr>
                <w:color w:val="auto"/>
              </w:rPr>
              <w:t>/</w:t>
            </w:r>
          </w:p>
        </w:tc>
        <w:tc>
          <w:tcPr>
            <w:tcW w:w="632" w:type="pct"/>
            <w:shd w:val="clear" w:color="auto" w:fill="auto"/>
            <w:noWrap w:val="0"/>
            <w:vAlign w:val="center"/>
          </w:tcPr>
          <w:p w14:paraId="0CFD1440">
            <w:pPr>
              <w:pStyle w:val="182"/>
              <w:rPr>
                <w:color w:val="auto"/>
              </w:rPr>
            </w:pPr>
            <w:r>
              <w:rPr>
                <w:rFonts w:hint="eastAsia"/>
                <w:color w:val="auto"/>
              </w:rPr>
              <w:t>3</w:t>
            </w:r>
          </w:p>
        </w:tc>
      </w:tr>
      <w:tr w14:paraId="5FD32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D2C5E1B">
            <w:pPr>
              <w:pStyle w:val="182"/>
              <w:rPr>
                <w:color w:val="auto"/>
              </w:rPr>
            </w:pPr>
            <w:r>
              <w:rPr>
                <w:rFonts w:hint="eastAsia"/>
                <w:color w:val="auto"/>
              </w:rPr>
              <w:t>5</w:t>
            </w:r>
          </w:p>
        </w:tc>
        <w:tc>
          <w:tcPr>
            <w:tcW w:w="1498" w:type="pct"/>
            <w:gridSpan w:val="4"/>
            <w:shd w:val="clear" w:color="auto" w:fill="auto"/>
            <w:noWrap w:val="0"/>
            <w:vAlign w:val="center"/>
          </w:tcPr>
          <w:p w14:paraId="2FFEF99F">
            <w:pPr>
              <w:pStyle w:val="182"/>
              <w:rPr>
                <w:color w:val="auto"/>
              </w:rPr>
            </w:pPr>
            <w:r>
              <w:rPr>
                <w:rFonts w:hint="eastAsia"/>
                <w:color w:val="auto"/>
              </w:rPr>
              <w:t>混合胺供给罐</w:t>
            </w:r>
          </w:p>
        </w:tc>
        <w:tc>
          <w:tcPr>
            <w:tcW w:w="2556" w:type="pct"/>
            <w:gridSpan w:val="2"/>
            <w:shd w:val="clear" w:color="auto" w:fill="auto"/>
            <w:noWrap w:val="0"/>
            <w:vAlign w:val="center"/>
          </w:tcPr>
          <w:p w14:paraId="268139A2">
            <w:pPr>
              <w:pStyle w:val="182"/>
              <w:rPr>
                <w:color w:val="auto"/>
              </w:rPr>
            </w:pPr>
            <w:r>
              <w:rPr>
                <w:rFonts w:hint="eastAsia"/>
                <w:color w:val="auto"/>
              </w:rPr>
              <w:t>3m</w:t>
            </w:r>
            <w:r>
              <w:rPr>
                <w:rFonts w:hint="eastAsia"/>
                <w:color w:val="auto"/>
                <w:vertAlign w:val="superscript"/>
              </w:rPr>
              <w:t>3</w:t>
            </w:r>
          </w:p>
        </w:tc>
        <w:tc>
          <w:tcPr>
            <w:tcW w:w="632" w:type="pct"/>
            <w:shd w:val="clear" w:color="auto" w:fill="auto"/>
            <w:noWrap w:val="0"/>
            <w:vAlign w:val="center"/>
          </w:tcPr>
          <w:p w14:paraId="74C0717E">
            <w:pPr>
              <w:pStyle w:val="182"/>
              <w:rPr>
                <w:color w:val="auto"/>
              </w:rPr>
            </w:pPr>
            <w:r>
              <w:rPr>
                <w:rFonts w:hint="eastAsia"/>
                <w:color w:val="auto"/>
              </w:rPr>
              <w:t>3</w:t>
            </w:r>
          </w:p>
        </w:tc>
      </w:tr>
      <w:tr w14:paraId="29DB0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B16F932">
            <w:pPr>
              <w:pStyle w:val="182"/>
              <w:rPr>
                <w:color w:val="auto"/>
              </w:rPr>
            </w:pPr>
            <w:r>
              <w:rPr>
                <w:rFonts w:hint="eastAsia"/>
                <w:color w:val="auto"/>
              </w:rPr>
              <w:t>6</w:t>
            </w:r>
          </w:p>
        </w:tc>
        <w:tc>
          <w:tcPr>
            <w:tcW w:w="1498" w:type="pct"/>
            <w:gridSpan w:val="4"/>
            <w:shd w:val="clear" w:color="auto" w:fill="auto"/>
            <w:noWrap w:val="0"/>
            <w:vAlign w:val="center"/>
          </w:tcPr>
          <w:p w14:paraId="6333C229">
            <w:pPr>
              <w:pStyle w:val="182"/>
              <w:rPr>
                <w:color w:val="auto"/>
              </w:rPr>
            </w:pPr>
            <w:r>
              <w:rPr>
                <w:rFonts w:hint="eastAsia"/>
                <w:color w:val="auto"/>
              </w:rPr>
              <w:t>聚合反应器</w:t>
            </w:r>
          </w:p>
        </w:tc>
        <w:tc>
          <w:tcPr>
            <w:tcW w:w="2556" w:type="pct"/>
            <w:gridSpan w:val="2"/>
            <w:shd w:val="clear" w:color="auto" w:fill="auto"/>
            <w:noWrap w:val="0"/>
            <w:vAlign w:val="bottom"/>
          </w:tcPr>
          <w:p w14:paraId="1B108F15">
            <w:pPr>
              <w:pStyle w:val="182"/>
              <w:rPr>
                <w:color w:val="auto"/>
              </w:rPr>
            </w:pPr>
            <w:r>
              <w:rPr>
                <w:rFonts w:hint="eastAsia"/>
                <w:color w:val="auto"/>
              </w:rPr>
              <w:t>/</w:t>
            </w:r>
          </w:p>
        </w:tc>
        <w:tc>
          <w:tcPr>
            <w:tcW w:w="632" w:type="pct"/>
            <w:shd w:val="clear" w:color="auto" w:fill="auto"/>
            <w:noWrap w:val="0"/>
            <w:vAlign w:val="center"/>
          </w:tcPr>
          <w:p w14:paraId="301C25B2">
            <w:pPr>
              <w:pStyle w:val="182"/>
              <w:rPr>
                <w:color w:val="auto"/>
              </w:rPr>
            </w:pPr>
            <w:r>
              <w:rPr>
                <w:rFonts w:hint="eastAsia"/>
                <w:color w:val="auto"/>
              </w:rPr>
              <w:t>3</w:t>
            </w:r>
          </w:p>
        </w:tc>
      </w:tr>
      <w:tr w14:paraId="40BAC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5029B08">
            <w:pPr>
              <w:pStyle w:val="182"/>
              <w:rPr>
                <w:color w:val="auto"/>
              </w:rPr>
            </w:pPr>
            <w:r>
              <w:rPr>
                <w:rFonts w:hint="eastAsia"/>
                <w:color w:val="auto"/>
              </w:rPr>
              <w:t>7</w:t>
            </w:r>
          </w:p>
        </w:tc>
        <w:tc>
          <w:tcPr>
            <w:tcW w:w="1498" w:type="pct"/>
            <w:gridSpan w:val="4"/>
            <w:shd w:val="clear" w:color="auto" w:fill="auto"/>
            <w:noWrap w:val="0"/>
            <w:vAlign w:val="center"/>
          </w:tcPr>
          <w:p w14:paraId="73C5E2A8">
            <w:pPr>
              <w:pStyle w:val="182"/>
              <w:rPr>
                <w:color w:val="auto"/>
              </w:rPr>
            </w:pPr>
            <w:r>
              <w:rPr>
                <w:rFonts w:hint="eastAsia"/>
                <w:color w:val="auto"/>
              </w:rPr>
              <w:t>添加剂调配罐</w:t>
            </w:r>
          </w:p>
        </w:tc>
        <w:tc>
          <w:tcPr>
            <w:tcW w:w="2556" w:type="pct"/>
            <w:gridSpan w:val="2"/>
            <w:shd w:val="clear" w:color="auto" w:fill="auto"/>
            <w:noWrap w:val="0"/>
            <w:vAlign w:val="bottom"/>
          </w:tcPr>
          <w:p w14:paraId="561A8465">
            <w:pPr>
              <w:pStyle w:val="182"/>
              <w:rPr>
                <w:color w:val="auto"/>
              </w:rPr>
            </w:pPr>
            <w:r>
              <w:rPr>
                <w:rFonts w:hint="eastAsia"/>
                <w:color w:val="auto"/>
              </w:rPr>
              <w:t>3m</w:t>
            </w:r>
            <w:r>
              <w:rPr>
                <w:rFonts w:hint="eastAsia"/>
                <w:color w:val="auto"/>
                <w:vertAlign w:val="superscript"/>
              </w:rPr>
              <w:t>3</w:t>
            </w:r>
          </w:p>
        </w:tc>
        <w:tc>
          <w:tcPr>
            <w:tcW w:w="632" w:type="pct"/>
            <w:shd w:val="clear" w:color="auto" w:fill="auto"/>
            <w:noWrap w:val="0"/>
            <w:vAlign w:val="center"/>
          </w:tcPr>
          <w:p w14:paraId="3E45E9E9">
            <w:pPr>
              <w:pStyle w:val="182"/>
              <w:rPr>
                <w:color w:val="auto"/>
              </w:rPr>
            </w:pPr>
            <w:r>
              <w:rPr>
                <w:rFonts w:hint="eastAsia"/>
                <w:color w:val="auto"/>
              </w:rPr>
              <w:t>3</w:t>
            </w:r>
          </w:p>
        </w:tc>
      </w:tr>
      <w:tr w14:paraId="11518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D1E4928">
            <w:pPr>
              <w:pStyle w:val="182"/>
              <w:rPr>
                <w:color w:val="auto"/>
              </w:rPr>
            </w:pPr>
            <w:r>
              <w:rPr>
                <w:rFonts w:hint="eastAsia"/>
                <w:color w:val="auto"/>
              </w:rPr>
              <w:t>8</w:t>
            </w:r>
          </w:p>
        </w:tc>
        <w:tc>
          <w:tcPr>
            <w:tcW w:w="1498" w:type="pct"/>
            <w:gridSpan w:val="4"/>
            <w:shd w:val="clear" w:color="auto" w:fill="auto"/>
            <w:noWrap w:val="0"/>
            <w:vAlign w:val="center"/>
          </w:tcPr>
          <w:p w14:paraId="382658EB">
            <w:pPr>
              <w:pStyle w:val="182"/>
              <w:rPr>
                <w:color w:val="auto"/>
              </w:rPr>
            </w:pPr>
            <w:r>
              <w:rPr>
                <w:rFonts w:hint="eastAsia"/>
                <w:color w:val="auto"/>
              </w:rPr>
              <w:t>聚合物混合器</w:t>
            </w:r>
          </w:p>
        </w:tc>
        <w:tc>
          <w:tcPr>
            <w:tcW w:w="2556" w:type="pct"/>
            <w:gridSpan w:val="2"/>
            <w:shd w:val="clear" w:color="auto" w:fill="auto"/>
            <w:noWrap w:val="0"/>
            <w:vAlign w:val="bottom"/>
          </w:tcPr>
          <w:p w14:paraId="6F755159">
            <w:pPr>
              <w:pStyle w:val="182"/>
              <w:rPr>
                <w:color w:val="auto"/>
              </w:rPr>
            </w:pPr>
            <w:r>
              <w:rPr>
                <w:rFonts w:hint="eastAsia"/>
                <w:color w:val="auto"/>
              </w:rPr>
              <w:t>/</w:t>
            </w:r>
          </w:p>
        </w:tc>
        <w:tc>
          <w:tcPr>
            <w:tcW w:w="632" w:type="pct"/>
            <w:shd w:val="clear" w:color="auto" w:fill="auto"/>
            <w:noWrap w:val="0"/>
            <w:vAlign w:val="center"/>
          </w:tcPr>
          <w:p w14:paraId="0DE6D433">
            <w:pPr>
              <w:pStyle w:val="182"/>
              <w:rPr>
                <w:color w:val="auto"/>
              </w:rPr>
            </w:pPr>
            <w:r>
              <w:rPr>
                <w:rFonts w:hint="eastAsia"/>
                <w:color w:val="auto"/>
              </w:rPr>
              <w:t>3</w:t>
            </w:r>
          </w:p>
        </w:tc>
      </w:tr>
      <w:tr w14:paraId="41B27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5EC31E3">
            <w:pPr>
              <w:pStyle w:val="182"/>
              <w:rPr>
                <w:color w:val="auto"/>
              </w:rPr>
            </w:pPr>
            <w:r>
              <w:rPr>
                <w:rFonts w:hint="eastAsia"/>
                <w:color w:val="auto"/>
              </w:rPr>
              <w:t>9</w:t>
            </w:r>
          </w:p>
        </w:tc>
        <w:tc>
          <w:tcPr>
            <w:tcW w:w="1498" w:type="pct"/>
            <w:gridSpan w:val="4"/>
            <w:shd w:val="clear" w:color="auto" w:fill="auto"/>
            <w:noWrap w:val="0"/>
            <w:vAlign w:val="center"/>
          </w:tcPr>
          <w:p w14:paraId="39F639D7">
            <w:pPr>
              <w:pStyle w:val="182"/>
              <w:rPr>
                <w:color w:val="auto"/>
              </w:rPr>
            </w:pPr>
            <w:r>
              <w:rPr>
                <w:rFonts w:hint="eastAsia"/>
                <w:color w:val="auto"/>
              </w:rPr>
              <w:t>原液储罐</w:t>
            </w:r>
          </w:p>
        </w:tc>
        <w:tc>
          <w:tcPr>
            <w:tcW w:w="2556" w:type="pct"/>
            <w:gridSpan w:val="2"/>
            <w:shd w:val="clear" w:color="auto" w:fill="auto"/>
            <w:noWrap w:val="0"/>
            <w:vAlign w:val="bottom"/>
          </w:tcPr>
          <w:p w14:paraId="4CEF3279">
            <w:pPr>
              <w:pStyle w:val="182"/>
              <w:rPr>
                <w:color w:val="auto"/>
              </w:rPr>
            </w:pPr>
            <w:r>
              <w:rPr>
                <w:rFonts w:hint="eastAsia"/>
                <w:color w:val="auto"/>
              </w:rPr>
              <w:t>ST26.0</w:t>
            </w:r>
          </w:p>
        </w:tc>
        <w:tc>
          <w:tcPr>
            <w:tcW w:w="632" w:type="pct"/>
            <w:shd w:val="clear" w:color="auto" w:fill="auto"/>
            <w:noWrap w:val="0"/>
            <w:vAlign w:val="center"/>
          </w:tcPr>
          <w:p w14:paraId="3696EE15">
            <w:pPr>
              <w:pStyle w:val="182"/>
              <w:rPr>
                <w:color w:val="auto"/>
              </w:rPr>
            </w:pPr>
            <w:r>
              <w:rPr>
                <w:rFonts w:hint="eastAsia"/>
                <w:color w:val="auto"/>
              </w:rPr>
              <w:t>3</w:t>
            </w:r>
          </w:p>
        </w:tc>
      </w:tr>
      <w:tr w14:paraId="50F25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EA2268C">
            <w:pPr>
              <w:pStyle w:val="182"/>
              <w:rPr>
                <w:color w:val="auto"/>
              </w:rPr>
            </w:pPr>
            <w:r>
              <w:rPr>
                <w:rFonts w:hint="eastAsia"/>
                <w:color w:val="auto"/>
              </w:rPr>
              <w:t>10</w:t>
            </w:r>
          </w:p>
        </w:tc>
        <w:tc>
          <w:tcPr>
            <w:tcW w:w="1498" w:type="pct"/>
            <w:gridSpan w:val="4"/>
            <w:shd w:val="clear" w:color="auto" w:fill="auto"/>
            <w:noWrap w:val="0"/>
            <w:vAlign w:val="center"/>
          </w:tcPr>
          <w:p w14:paraId="09891D79">
            <w:pPr>
              <w:pStyle w:val="182"/>
              <w:rPr>
                <w:color w:val="auto"/>
              </w:rPr>
            </w:pPr>
            <w:r>
              <w:rPr>
                <w:rFonts w:hint="eastAsia"/>
                <w:color w:val="auto"/>
              </w:rPr>
              <w:t>纺丝甬道</w:t>
            </w:r>
          </w:p>
        </w:tc>
        <w:tc>
          <w:tcPr>
            <w:tcW w:w="2556" w:type="pct"/>
            <w:gridSpan w:val="2"/>
            <w:shd w:val="clear" w:color="auto" w:fill="auto"/>
            <w:noWrap w:val="0"/>
            <w:vAlign w:val="bottom"/>
          </w:tcPr>
          <w:p w14:paraId="3E1EE3EE">
            <w:pPr>
              <w:pStyle w:val="182"/>
              <w:rPr>
                <w:color w:val="auto"/>
              </w:rPr>
            </w:pPr>
            <w:r>
              <w:rPr>
                <w:rFonts w:hint="eastAsia"/>
                <w:color w:val="auto"/>
              </w:rPr>
              <w:t>64E专用</w:t>
            </w:r>
          </w:p>
        </w:tc>
        <w:tc>
          <w:tcPr>
            <w:tcW w:w="632" w:type="pct"/>
            <w:shd w:val="clear" w:color="auto" w:fill="auto"/>
            <w:noWrap w:val="0"/>
            <w:vAlign w:val="center"/>
          </w:tcPr>
          <w:p w14:paraId="45B233CE">
            <w:pPr>
              <w:pStyle w:val="182"/>
              <w:rPr>
                <w:color w:val="auto"/>
              </w:rPr>
            </w:pPr>
            <w:r>
              <w:rPr>
                <w:rFonts w:hint="eastAsia"/>
                <w:color w:val="auto"/>
              </w:rPr>
              <w:t>252</w:t>
            </w:r>
          </w:p>
        </w:tc>
      </w:tr>
      <w:tr w14:paraId="05C90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A2C3336">
            <w:pPr>
              <w:pStyle w:val="182"/>
              <w:rPr>
                <w:color w:val="auto"/>
              </w:rPr>
            </w:pPr>
            <w:r>
              <w:rPr>
                <w:rFonts w:hint="eastAsia"/>
                <w:color w:val="auto"/>
              </w:rPr>
              <w:t>11</w:t>
            </w:r>
          </w:p>
        </w:tc>
        <w:tc>
          <w:tcPr>
            <w:tcW w:w="1498" w:type="pct"/>
            <w:gridSpan w:val="4"/>
            <w:shd w:val="clear" w:color="auto" w:fill="auto"/>
            <w:noWrap w:val="0"/>
            <w:vAlign w:val="center"/>
          </w:tcPr>
          <w:p w14:paraId="5DDFCF62">
            <w:pPr>
              <w:pStyle w:val="182"/>
              <w:rPr>
                <w:color w:val="auto"/>
              </w:rPr>
            </w:pPr>
            <w:r>
              <w:rPr>
                <w:rFonts w:hint="eastAsia"/>
                <w:color w:val="auto"/>
              </w:rPr>
              <w:t>纺丝组件</w:t>
            </w:r>
          </w:p>
        </w:tc>
        <w:tc>
          <w:tcPr>
            <w:tcW w:w="2556" w:type="pct"/>
            <w:gridSpan w:val="2"/>
            <w:shd w:val="clear" w:color="auto" w:fill="auto"/>
            <w:noWrap w:val="0"/>
            <w:vAlign w:val="bottom"/>
          </w:tcPr>
          <w:p w14:paraId="662DE90D">
            <w:pPr>
              <w:pStyle w:val="182"/>
              <w:rPr>
                <w:color w:val="auto"/>
              </w:rPr>
            </w:pPr>
            <w:r>
              <w:rPr>
                <w:rFonts w:hint="eastAsia"/>
                <w:color w:val="auto"/>
              </w:rPr>
              <w:t>喷丝板、过滤网等</w:t>
            </w:r>
          </w:p>
        </w:tc>
        <w:tc>
          <w:tcPr>
            <w:tcW w:w="632" w:type="pct"/>
            <w:shd w:val="clear" w:color="auto" w:fill="auto"/>
            <w:noWrap w:val="0"/>
            <w:vAlign w:val="center"/>
          </w:tcPr>
          <w:p w14:paraId="38D26FB1">
            <w:pPr>
              <w:pStyle w:val="182"/>
              <w:rPr>
                <w:color w:val="auto"/>
              </w:rPr>
            </w:pPr>
            <w:r>
              <w:rPr>
                <w:rFonts w:hint="eastAsia"/>
                <w:color w:val="auto"/>
              </w:rPr>
              <w:t>252</w:t>
            </w:r>
          </w:p>
        </w:tc>
      </w:tr>
      <w:tr w14:paraId="1C744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7858B48">
            <w:pPr>
              <w:pStyle w:val="182"/>
              <w:rPr>
                <w:color w:val="auto"/>
              </w:rPr>
            </w:pPr>
            <w:r>
              <w:rPr>
                <w:rFonts w:hint="eastAsia"/>
                <w:color w:val="auto"/>
              </w:rPr>
              <w:t>12</w:t>
            </w:r>
          </w:p>
        </w:tc>
        <w:tc>
          <w:tcPr>
            <w:tcW w:w="1498" w:type="pct"/>
            <w:gridSpan w:val="4"/>
            <w:shd w:val="clear" w:color="auto" w:fill="auto"/>
            <w:noWrap w:val="0"/>
            <w:vAlign w:val="center"/>
          </w:tcPr>
          <w:p w14:paraId="23FB9CF7">
            <w:pPr>
              <w:pStyle w:val="182"/>
              <w:rPr>
                <w:color w:val="auto"/>
              </w:rPr>
            </w:pPr>
            <w:r>
              <w:rPr>
                <w:rFonts w:hint="eastAsia"/>
                <w:color w:val="auto"/>
              </w:rPr>
              <w:t>导丝机构</w:t>
            </w:r>
          </w:p>
        </w:tc>
        <w:tc>
          <w:tcPr>
            <w:tcW w:w="2556" w:type="pct"/>
            <w:gridSpan w:val="2"/>
            <w:shd w:val="clear" w:color="auto" w:fill="auto"/>
            <w:noWrap w:val="0"/>
            <w:vAlign w:val="bottom"/>
          </w:tcPr>
          <w:p w14:paraId="483954C3">
            <w:pPr>
              <w:pStyle w:val="182"/>
              <w:rPr>
                <w:color w:val="auto"/>
              </w:rPr>
            </w:pPr>
            <w:r>
              <w:rPr>
                <w:rFonts w:hint="eastAsia"/>
                <w:color w:val="auto"/>
              </w:rPr>
              <w:t>GR-1，GR-2，GR-3</w:t>
            </w:r>
          </w:p>
        </w:tc>
        <w:tc>
          <w:tcPr>
            <w:tcW w:w="632" w:type="pct"/>
            <w:shd w:val="clear" w:color="auto" w:fill="auto"/>
            <w:noWrap w:val="0"/>
            <w:vAlign w:val="center"/>
          </w:tcPr>
          <w:p w14:paraId="1D853947">
            <w:pPr>
              <w:pStyle w:val="182"/>
              <w:rPr>
                <w:color w:val="auto"/>
              </w:rPr>
            </w:pPr>
            <w:r>
              <w:rPr>
                <w:rFonts w:hint="eastAsia"/>
                <w:color w:val="auto"/>
              </w:rPr>
              <w:t>252</w:t>
            </w:r>
          </w:p>
        </w:tc>
      </w:tr>
      <w:tr w14:paraId="245AF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BB1964D">
            <w:pPr>
              <w:pStyle w:val="182"/>
              <w:rPr>
                <w:color w:val="auto"/>
              </w:rPr>
            </w:pPr>
            <w:r>
              <w:rPr>
                <w:rFonts w:hint="eastAsia"/>
                <w:color w:val="auto"/>
              </w:rPr>
              <w:t>13</w:t>
            </w:r>
          </w:p>
        </w:tc>
        <w:tc>
          <w:tcPr>
            <w:tcW w:w="1498" w:type="pct"/>
            <w:gridSpan w:val="4"/>
            <w:shd w:val="clear" w:color="auto" w:fill="auto"/>
            <w:noWrap w:val="0"/>
            <w:vAlign w:val="center"/>
          </w:tcPr>
          <w:p w14:paraId="5AC9E9CE">
            <w:pPr>
              <w:pStyle w:val="182"/>
              <w:rPr>
                <w:color w:val="auto"/>
              </w:rPr>
            </w:pPr>
            <w:r>
              <w:rPr>
                <w:rFonts w:hint="eastAsia"/>
                <w:color w:val="auto"/>
              </w:rPr>
              <w:t>卷绕头</w:t>
            </w:r>
          </w:p>
        </w:tc>
        <w:tc>
          <w:tcPr>
            <w:tcW w:w="2556" w:type="pct"/>
            <w:gridSpan w:val="2"/>
            <w:shd w:val="clear" w:color="auto" w:fill="auto"/>
            <w:noWrap w:val="0"/>
            <w:vAlign w:val="bottom"/>
          </w:tcPr>
          <w:p w14:paraId="53139DDD">
            <w:pPr>
              <w:pStyle w:val="182"/>
              <w:rPr>
                <w:color w:val="auto"/>
              </w:rPr>
            </w:pPr>
            <w:r>
              <w:rPr>
                <w:rFonts w:hint="eastAsia"/>
                <w:color w:val="auto"/>
              </w:rPr>
              <w:t>WAW-101</w:t>
            </w:r>
          </w:p>
        </w:tc>
        <w:tc>
          <w:tcPr>
            <w:tcW w:w="632" w:type="pct"/>
            <w:shd w:val="clear" w:color="auto" w:fill="auto"/>
            <w:noWrap w:val="0"/>
            <w:vAlign w:val="center"/>
          </w:tcPr>
          <w:p w14:paraId="7B47123A">
            <w:pPr>
              <w:pStyle w:val="182"/>
              <w:rPr>
                <w:color w:val="auto"/>
              </w:rPr>
            </w:pPr>
            <w:r>
              <w:rPr>
                <w:rFonts w:hint="eastAsia"/>
                <w:color w:val="auto"/>
              </w:rPr>
              <w:t>756</w:t>
            </w:r>
          </w:p>
        </w:tc>
      </w:tr>
      <w:tr w14:paraId="0196E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BC8CF6F">
            <w:pPr>
              <w:pStyle w:val="182"/>
              <w:rPr>
                <w:color w:val="auto"/>
              </w:rPr>
            </w:pPr>
            <w:r>
              <w:rPr>
                <w:rFonts w:hint="eastAsia"/>
                <w:color w:val="auto"/>
              </w:rPr>
              <w:t>14</w:t>
            </w:r>
          </w:p>
        </w:tc>
        <w:tc>
          <w:tcPr>
            <w:tcW w:w="1498" w:type="pct"/>
            <w:gridSpan w:val="4"/>
            <w:shd w:val="clear" w:color="auto" w:fill="auto"/>
            <w:noWrap w:val="0"/>
            <w:vAlign w:val="center"/>
          </w:tcPr>
          <w:p w14:paraId="538D4807">
            <w:pPr>
              <w:pStyle w:val="182"/>
              <w:rPr>
                <w:color w:val="auto"/>
              </w:rPr>
            </w:pPr>
            <w:r>
              <w:rPr>
                <w:rFonts w:hint="eastAsia"/>
                <w:color w:val="auto"/>
              </w:rPr>
              <w:t>SM 系统</w:t>
            </w:r>
          </w:p>
        </w:tc>
        <w:tc>
          <w:tcPr>
            <w:tcW w:w="2556" w:type="pct"/>
            <w:gridSpan w:val="2"/>
            <w:shd w:val="clear" w:color="auto" w:fill="auto"/>
            <w:noWrap w:val="0"/>
            <w:vAlign w:val="bottom"/>
          </w:tcPr>
          <w:p w14:paraId="3CFCD231">
            <w:pPr>
              <w:pStyle w:val="182"/>
              <w:rPr>
                <w:color w:val="auto"/>
              </w:rPr>
            </w:pPr>
            <w:r>
              <w:rPr>
                <w:rFonts w:hint="eastAsia"/>
                <w:color w:val="auto"/>
              </w:rPr>
              <w:t>/</w:t>
            </w:r>
          </w:p>
        </w:tc>
        <w:tc>
          <w:tcPr>
            <w:tcW w:w="632" w:type="pct"/>
            <w:shd w:val="clear" w:color="auto" w:fill="auto"/>
            <w:noWrap w:val="0"/>
            <w:vAlign w:val="center"/>
          </w:tcPr>
          <w:p w14:paraId="2DE85534">
            <w:pPr>
              <w:pStyle w:val="182"/>
              <w:rPr>
                <w:color w:val="auto"/>
              </w:rPr>
            </w:pPr>
            <w:r>
              <w:rPr>
                <w:rFonts w:hint="eastAsia"/>
                <w:color w:val="auto"/>
              </w:rPr>
              <w:t>7</w:t>
            </w:r>
          </w:p>
        </w:tc>
      </w:tr>
      <w:tr w14:paraId="1379D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2E78AF48">
            <w:pPr>
              <w:pStyle w:val="182"/>
              <w:rPr>
                <w:color w:val="auto"/>
              </w:rPr>
            </w:pPr>
            <w:r>
              <w:rPr>
                <w:rFonts w:hint="eastAsia"/>
                <w:color w:val="auto"/>
              </w:rPr>
              <w:t>15</w:t>
            </w:r>
          </w:p>
        </w:tc>
        <w:tc>
          <w:tcPr>
            <w:tcW w:w="1498" w:type="pct"/>
            <w:gridSpan w:val="4"/>
            <w:shd w:val="clear" w:color="auto" w:fill="auto"/>
            <w:noWrap w:val="0"/>
            <w:vAlign w:val="center"/>
          </w:tcPr>
          <w:p w14:paraId="7DE84091">
            <w:pPr>
              <w:pStyle w:val="182"/>
              <w:rPr>
                <w:color w:val="auto"/>
              </w:rPr>
            </w:pPr>
            <w:r>
              <w:rPr>
                <w:rFonts w:hint="eastAsia"/>
                <w:color w:val="auto"/>
              </w:rPr>
              <w:t>分级设备</w:t>
            </w:r>
          </w:p>
        </w:tc>
        <w:tc>
          <w:tcPr>
            <w:tcW w:w="2556" w:type="pct"/>
            <w:gridSpan w:val="2"/>
            <w:shd w:val="clear" w:color="auto" w:fill="auto"/>
            <w:noWrap w:val="0"/>
            <w:vAlign w:val="bottom"/>
          </w:tcPr>
          <w:p w14:paraId="2007914B">
            <w:pPr>
              <w:pStyle w:val="182"/>
              <w:rPr>
                <w:color w:val="auto"/>
              </w:rPr>
            </w:pPr>
            <w:r>
              <w:rPr>
                <w:rFonts w:hint="eastAsia"/>
                <w:color w:val="auto"/>
              </w:rPr>
              <w:t>/</w:t>
            </w:r>
          </w:p>
        </w:tc>
        <w:tc>
          <w:tcPr>
            <w:tcW w:w="632" w:type="pct"/>
            <w:shd w:val="clear" w:color="auto" w:fill="auto"/>
            <w:noWrap w:val="0"/>
            <w:vAlign w:val="center"/>
          </w:tcPr>
          <w:p w14:paraId="424061E0">
            <w:pPr>
              <w:pStyle w:val="182"/>
              <w:rPr>
                <w:color w:val="auto"/>
              </w:rPr>
            </w:pPr>
            <w:r>
              <w:rPr>
                <w:rFonts w:hint="eastAsia"/>
                <w:color w:val="auto"/>
              </w:rPr>
              <w:t>3</w:t>
            </w:r>
          </w:p>
        </w:tc>
      </w:tr>
      <w:tr w14:paraId="1ACC5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6416D47">
            <w:pPr>
              <w:pStyle w:val="182"/>
              <w:rPr>
                <w:color w:val="auto"/>
              </w:rPr>
            </w:pPr>
            <w:r>
              <w:rPr>
                <w:rFonts w:hint="eastAsia"/>
                <w:color w:val="auto"/>
              </w:rPr>
              <w:t>16</w:t>
            </w:r>
          </w:p>
        </w:tc>
        <w:tc>
          <w:tcPr>
            <w:tcW w:w="1498" w:type="pct"/>
            <w:gridSpan w:val="4"/>
            <w:shd w:val="clear" w:color="auto" w:fill="auto"/>
            <w:noWrap w:val="0"/>
            <w:vAlign w:val="center"/>
          </w:tcPr>
          <w:p w14:paraId="0E854A02">
            <w:pPr>
              <w:pStyle w:val="182"/>
              <w:rPr>
                <w:color w:val="auto"/>
              </w:rPr>
            </w:pPr>
            <w:r>
              <w:rPr>
                <w:rFonts w:hint="eastAsia"/>
                <w:color w:val="auto"/>
              </w:rPr>
              <w:t>溶剂精制系统</w:t>
            </w:r>
          </w:p>
        </w:tc>
        <w:tc>
          <w:tcPr>
            <w:tcW w:w="2556" w:type="pct"/>
            <w:gridSpan w:val="2"/>
            <w:shd w:val="clear" w:color="auto" w:fill="auto"/>
            <w:noWrap w:val="0"/>
            <w:vAlign w:val="bottom"/>
          </w:tcPr>
          <w:p w14:paraId="3CBAFA48">
            <w:pPr>
              <w:pStyle w:val="182"/>
              <w:rPr>
                <w:color w:val="auto"/>
              </w:rPr>
            </w:pPr>
            <w:r>
              <w:rPr>
                <w:rFonts w:hint="eastAsia"/>
                <w:color w:val="auto"/>
              </w:rPr>
              <w:t>含3个精馏塔和1个DMAC回收装置</w:t>
            </w:r>
          </w:p>
        </w:tc>
        <w:tc>
          <w:tcPr>
            <w:tcW w:w="632" w:type="pct"/>
            <w:shd w:val="clear" w:color="auto" w:fill="auto"/>
            <w:noWrap w:val="0"/>
            <w:vAlign w:val="center"/>
          </w:tcPr>
          <w:p w14:paraId="1C77EE52">
            <w:pPr>
              <w:pStyle w:val="182"/>
              <w:rPr>
                <w:color w:val="auto"/>
              </w:rPr>
            </w:pPr>
            <w:r>
              <w:rPr>
                <w:rFonts w:hint="eastAsia"/>
                <w:color w:val="auto"/>
              </w:rPr>
              <w:t>1</w:t>
            </w:r>
          </w:p>
        </w:tc>
      </w:tr>
      <w:tr w14:paraId="5B23B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2AE2F038">
            <w:pPr>
              <w:pStyle w:val="182"/>
              <w:rPr>
                <w:color w:val="auto"/>
              </w:rPr>
            </w:pPr>
            <w:r>
              <w:rPr>
                <w:rFonts w:hint="eastAsia"/>
                <w:color w:val="auto"/>
              </w:rPr>
              <w:t>17</w:t>
            </w:r>
          </w:p>
        </w:tc>
        <w:tc>
          <w:tcPr>
            <w:tcW w:w="1498" w:type="pct"/>
            <w:gridSpan w:val="4"/>
            <w:shd w:val="clear" w:color="auto" w:fill="auto"/>
            <w:noWrap w:val="0"/>
            <w:vAlign w:val="center"/>
          </w:tcPr>
          <w:p w14:paraId="63FAB8F9">
            <w:pPr>
              <w:pStyle w:val="182"/>
              <w:rPr>
                <w:color w:val="auto"/>
              </w:rPr>
            </w:pPr>
            <w:r>
              <w:rPr>
                <w:rFonts w:hint="eastAsia"/>
                <w:color w:val="auto"/>
              </w:rPr>
              <w:t>超声波清洗机</w:t>
            </w:r>
          </w:p>
        </w:tc>
        <w:tc>
          <w:tcPr>
            <w:tcW w:w="2556" w:type="pct"/>
            <w:gridSpan w:val="2"/>
            <w:shd w:val="clear" w:color="auto" w:fill="auto"/>
            <w:noWrap w:val="0"/>
            <w:vAlign w:val="bottom"/>
          </w:tcPr>
          <w:p w14:paraId="04556FF4">
            <w:pPr>
              <w:pStyle w:val="182"/>
              <w:rPr>
                <w:color w:val="auto"/>
              </w:rPr>
            </w:pPr>
            <w:r>
              <w:rPr>
                <w:rFonts w:hint="eastAsia"/>
                <w:color w:val="auto"/>
              </w:rPr>
              <w:t>ATLAS-3015</w:t>
            </w:r>
          </w:p>
        </w:tc>
        <w:tc>
          <w:tcPr>
            <w:tcW w:w="632" w:type="pct"/>
            <w:shd w:val="clear" w:color="auto" w:fill="auto"/>
            <w:noWrap w:val="0"/>
            <w:vAlign w:val="center"/>
          </w:tcPr>
          <w:p w14:paraId="263E2BA4">
            <w:pPr>
              <w:pStyle w:val="182"/>
              <w:rPr>
                <w:color w:val="auto"/>
              </w:rPr>
            </w:pPr>
            <w:r>
              <w:rPr>
                <w:rFonts w:hint="eastAsia"/>
                <w:color w:val="auto"/>
              </w:rPr>
              <w:t>4</w:t>
            </w:r>
          </w:p>
        </w:tc>
      </w:tr>
      <w:tr w14:paraId="1961D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DF5CA7A">
            <w:pPr>
              <w:pStyle w:val="182"/>
              <w:rPr>
                <w:color w:val="auto"/>
              </w:rPr>
            </w:pPr>
            <w:r>
              <w:rPr>
                <w:rFonts w:hint="eastAsia"/>
                <w:color w:val="auto"/>
              </w:rPr>
              <w:t>18</w:t>
            </w:r>
          </w:p>
        </w:tc>
        <w:tc>
          <w:tcPr>
            <w:tcW w:w="1498" w:type="pct"/>
            <w:gridSpan w:val="4"/>
            <w:shd w:val="clear" w:color="auto" w:fill="auto"/>
            <w:noWrap w:val="0"/>
            <w:vAlign w:val="center"/>
          </w:tcPr>
          <w:p w14:paraId="6679B47C">
            <w:pPr>
              <w:pStyle w:val="182"/>
              <w:rPr>
                <w:color w:val="auto"/>
              </w:rPr>
            </w:pPr>
            <w:r>
              <w:rPr>
                <w:rFonts w:hint="eastAsia"/>
                <w:color w:val="auto"/>
              </w:rPr>
              <w:t>DCS 控制系统</w:t>
            </w:r>
          </w:p>
        </w:tc>
        <w:tc>
          <w:tcPr>
            <w:tcW w:w="2556" w:type="pct"/>
            <w:gridSpan w:val="2"/>
            <w:shd w:val="clear" w:color="auto" w:fill="auto"/>
            <w:noWrap w:val="0"/>
            <w:vAlign w:val="bottom"/>
          </w:tcPr>
          <w:p w14:paraId="79658C5B">
            <w:pPr>
              <w:pStyle w:val="182"/>
              <w:rPr>
                <w:color w:val="auto"/>
              </w:rPr>
            </w:pPr>
            <w:r>
              <w:rPr>
                <w:rFonts w:hint="eastAsia"/>
                <w:color w:val="auto"/>
              </w:rPr>
              <w:t>/</w:t>
            </w:r>
          </w:p>
        </w:tc>
        <w:tc>
          <w:tcPr>
            <w:tcW w:w="632" w:type="pct"/>
            <w:shd w:val="clear" w:color="auto" w:fill="auto"/>
            <w:noWrap w:val="0"/>
            <w:vAlign w:val="center"/>
          </w:tcPr>
          <w:p w14:paraId="2666436F">
            <w:pPr>
              <w:pStyle w:val="182"/>
              <w:rPr>
                <w:color w:val="auto"/>
              </w:rPr>
            </w:pPr>
            <w:r>
              <w:rPr>
                <w:rFonts w:hint="eastAsia"/>
                <w:color w:val="auto"/>
              </w:rPr>
              <w:t>1</w:t>
            </w:r>
          </w:p>
        </w:tc>
      </w:tr>
      <w:tr w14:paraId="7AD84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80E1846">
            <w:pPr>
              <w:pStyle w:val="182"/>
              <w:rPr>
                <w:color w:val="auto"/>
              </w:rPr>
            </w:pPr>
            <w:r>
              <w:rPr>
                <w:rFonts w:hint="eastAsia"/>
                <w:color w:val="auto"/>
              </w:rPr>
              <w:t>19</w:t>
            </w:r>
          </w:p>
        </w:tc>
        <w:tc>
          <w:tcPr>
            <w:tcW w:w="1498" w:type="pct"/>
            <w:gridSpan w:val="4"/>
            <w:shd w:val="clear" w:color="auto" w:fill="auto"/>
            <w:noWrap w:val="0"/>
            <w:vAlign w:val="center"/>
          </w:tcPr>
          <w:p w14:paraId="1A8D14F0">
            <w:pPr>
              <w:pStyle w:val="182"/>
              <w:rPr>
                <w:color w:val="auto"/>
              </w:rPr>
            </w:pPr>
            <w:r>
              <w:rPr>
                <w:rFonts w:hint="eastAsia"/>
                <w:color w:val="auto"/>
              </w:rPr>
              <w:t>制氮系统</w:t>
            </w:r>
          </w:p>
        </w:tc>
        <w:tc>
          <w:tcPr>
            <w:tcW w:w="2556" w:type="pct"/>
            <w:gridSpan w:val="2"/>
            <w:shd w:val="clear" w:color="auto" w:fill="auto"/>
            <w:noWrap w:val="0"/>
            <w:vAlign w:val="bottom"/>
          </w:tcPr>
          <w:p w14:paraId="5F2E931A">
            <w:pPr>
              <w:pStyle w:val="182"/>
              <w:rPr>
                <w:color w:val="auto"/>
              </w:rPr>
            </w:pPr>
            <w:r>
              <w:rPr>
                <w:rFonts w:hint="eastAsia"/>
                <w:color w:val="auto"/>
              </w:rPr>
              <w:t>/</w:t>
            </w:r>
          </w:p>
        </w:tc>
        <w:tc>
          <w:tcPr>
            <w:tcW w:w="632" w:type="pct"/>
            <w:shd w:val="clear" w:color="auto" w:fill="auto"/>
            <w:noWrap w:val="0"/>
            <w:vAlign w:val="center"/>
          </w:tcPr>
          <w:p w14:paraId="49566835">
            <w:pPr>
              <w:pStyle w:val="182"/>
              <w:rPr>
                <w:color w:val="auto"/>
              </w:rPr>
            </w:pPr>
            <w:r>
              <w:rPr>
                <w:rFonts w:hint="eastAsia"/>
                <w:color w:val="auto"/>
              </w:rPr>
              <w:t>1</w:t>
            </w:r>
          </w:p>
        </w:tc>
      </w:tr>
      <w:tr w14:paraId="4181F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36CF383">
            <w:pPr>
              <w:pStyle w:val="182"/>
              <w:rPr>
                <w:color w:val="auto"/>
              </w:rPr>
            </w:pPr>
            <w:r>
              <w:rPr>
                <w:rFonts w:hint="eastAsia"/>
                <w:color w:val="auto"/>
              </w:rPr>
              <w:t>20</w:t>
            </w:r>
          </w:p>
        </w:tc>
        <w:tc>
          <w:tcPr>
            <w:tcW w:w="1498" w:type="pct"/>
            <w:gridSpan w:val="4"/>
            <w:shd w:val="clear" w:color="auto" w:fill="auto"/>
            <w:noWrap w:val="0"/>
            <w:vAlign w:val="center"/>
          </w:tcPr>
          <w:p w14:paraId="49795ED2">
            <w:pPr>
              <w:pStyle w:val="182"/>
              <w:rPr>
                <w:color w:val="auto"/>
              </w:rPr>
            </w:pPr>
            <w:r>
              <w:rPr>
                <w:rFonts w:hint="eastAsia"/>
                <w:color w:val="auto"/>
              </w:rPr>
              <w:t>冷媒系统</w:t>
            </w:r>
          </w:p>
        </w:tc>
        <w:tc>
          <w:tcPr>
            <w:tcW w:w="2556" w:type="pct"/>
            <w:gridSpan w:val="2"/>
            <w:shd w:val="clear" w:color="auto" w:fill="auto"/>
            <w:noWrap w:val="0"/>
            <w:vAlign w:val="bottom"/>
          </w:tcPr>
          <w:p w14:paraId="17A0EA42">
            <w:pPr>
              <w:pStyle w:val="182"/>
              <w:rPr>
                <w:color w:val="auto"/>
              </w:rPr>
            </w:pPr>
            <w:r>
              <w:rPr>
                <w:rFonts w:hint="eastAsia"/>
                <w:color w:val="auto"/>
              </w:rPr>
              <w:t>/</w:t>
            </w:r>
          </w:p>
        </w:tc>
        <w:tc>
          <w:tcPr>
            <w:tcW w:w="632" w:type="pct"/>
            <w:shd w:val="clear" w:color="auto" w:fill="auto"/>
            <w:noWrap w:val="0"/>
            <w:vAlign w:val="center"/>
          </w:tcPr>
          <w:p w14:paraId="296977D6">
            <w:pPr>
              <w:pStyle w:val="182"/>
              <w:rPr>
                <w:color w:val="auto"/>
              </w:rPr>
            </w:pPr>
            <w:r>
              <w:rPr>
                <w:rFonts w:hint="eastAsia"/>
                <w:color w:val="auto"/>
              </w:rPr>
              <w:t>1</w:t>
            </w:r>
          </w:p>
        </w:tc>
      </w:tr>
      <w:tr w14:paraId="02800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shd w:val="clear" w:color="auto" w:fill="auto"/>
            <w:noWrap w:val="0"/>
            <w:vAlign w:val="center"/>
          </w:tcPr>
          <w:p w14:paraId="1A77645C">
            <w:pPr>
              <w:pStyle w:val="182"/>
              <w:rPr>
                <w:b/>
                <w:color w:val="auto"/>
              </w:rPr>
            </w:pPr>
            <w:r>
              <w:rPr>
                <w:rFonts w:hint="eastAsia"/>
                <w:b/>
                <w:color w:val="auto"/>
              </w:rPr>
              <w:t>7、年产2万吨生物质纤维素项目</w:t>
            </w:r>
          </w:p>
        </w:tc>
      </w:tr>
      <w:tr w14:paraId="6664A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55FE321">
            <w:pPr>
              <w:pStyle w:val="182"/>
              <w:rPr>
                <w:color w:val="auto"/>
              </w:rPr>
            </w:pPr>
            <w:r>
              <w:rPr>
                <w:color w:val="auto"/>
              </w:rPr>
              <w:t>1</w:t>
            </w:r>
          </w:p>
        </w:tc>
        <w:tc>
          <w:tcPr>
            <w:tcW w:w="564" w:type="pct"/>
            <w:gridSpan w:val="3"/>
            <w:vMerge w:val="restart"/>
            <w:shd w:val="clear" w:color="auto" w:fill="auto"/>
            <w:noWrap w:val="0"/>
            <w:vAlign w:val="center"/>
          </w:tcPr>
          <w:p w14:paraId="041F9D61">
            <w:pPr>
              <w:pStyle w:val="182"/>
              <w:rPr>
                <w:color w:val="auto"/>
              </w:rPr>
            </w:pPr>
            <w:r>
              <w:rPr>
                <w:rFonts w:hint="eastAsia"/>
                <w:color w:val="auto"/>
              </w:rPr>
              <w:t>原液</w:t>
            </w:r>
          </w:p>
          <w:p w14:paraId="2E7DCB78">
            <w:pPr>
              <w:pStyle w:val="182"/>
              <w:rPr>
                <w:color w:val="auto"/>
              </w:rPr>
            </w:pPr>
            <w:r>
              <w:rPr>
                <w:rFonts w:hint="eastAsia"/>
                <w:color w:val="auto"/>
              </w:rPr>
              <w:t>车间（利用4万吨高湿模量短纤维工程原液生产车间并对现有原液车间内部分设备进行升级改造）</w:t>
            </w:r>
          </w:p>
        </w:tc>
        <w:tc>
          <w:tcPr>
            <w:tcW w:w="934" w:type="pct"/>
            <w:shd w:val="clear" w:color="auto" w:fill="auto"/>
            <w:noWrap w:val="0"/>
            <w:vAlign w:val="center"/>
          </w:tcPr>
          <w:p w14:paraId="5F3557FD">
            <w:pPr>
              <w:pStyle w:val="182"/>
              <w:rPr>
                <w:color w:val="auto"/>
              </w:rPr>
            </w:pPr>
            <w:r>
              <w:rPr>
                <w:rFonts w:hint="eastAsia"/>
                <w:color w:val="auto"/>
              </w:rPr>
              <w:t>喂粕机</w:t>
            </w:r>
          </w:p>
        </w:tc>
        <w:tc>
          <w:tcPr>
            <w:tcW w:w="2556" w:type="pct"/>
            <w:gridSpan w:val="2"/>
            <w:shd w:val="clear" w:color="auto" w:fill="auto"/>
            <w:noWrap w:val="0"/>
            <w:vAlign w:val="center"/>
          </w:tcPr>
          <w:p w14:paraId="1A38405C">
            <w:pPr>
              <w:pStyle w:val="182"/>
              <w:rPr>
                <w:color w:val="auto"/>
              </w:rPr>
            </w:pPr>
            <w:r>
              <w:rPr>
                <w:color w:val="auto"/>
              </w:rPr>
              <w:t>P091</w:t>
            </w:r>
          </w:p>
        </w:tc>
        <w:tc>
          <w:tcPr>
            <w:tcW w:w="632" w:type="pct"/>
            <w:shd w:val="clear" w:color="auto" w:fill="auto"/>
            <w:noWrap w:val="0"/>
            <w:vAlign w:val="center"/>
          </w:tcPr>
          <w:p w14:paraId="51B9174D">
            <w:pPr>
              <w:pStyle w:val="182"/>
              <w:rPr>
                <w:color w:val="auto"/>
              </w:rPr>
            </w:pPr>
            <w:r>
              <w:rPr>
                <w:rFonts w:hint="eastAsia"/>
                <w:color w:val="auto"/>
              </w:rPr>
              <w:t>4</w:t>
            </w:r>
          </w:p>
        </w:tc>
      </w:tr>
      <w:tr w14:paraId="55EDC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964B487">
            <w:pPr>
              <w:pStyle w:val="182"/>
              <w:rPr>
                <w:color w:val="auto"/>
              </w:rPr>
            </w:pPr>
            <w:r>
              <w:rPr>
                <w:color w:val="auto"/>
              </w:rPr>
              <w:t>2</w:t>
            </w:r>
          </w:p>
        </w:tc>
        <w:tc>
          <w:tcPr>
            <w:tcW w:w="564" w:type="pct"/>
            <w:gridSpan w:val="3"/>
            <w:vMerge w:val="continue"/>
            <w:shd w:val="clear" w:color="auto" w:fill="auto"/>
            <w:noWrap w:val="0"/>
            <w:vAlign w:val="center"/>
          </w:tcPr>
          <w:p w14:paraId="0B80E975">
            <w:pPr>
              <w:pStyle w:val="182"/>
              <w:rPr>
                <w:color w:val="auto"/>
              </w:rPr>
            </w:pPr>
          </w:p>
        </w:tc>
        <w:tc>
          <w:tcPr>
            <w:tcW w:w="934" w:type="pct"/>
            <w:shd w:val="clear" w:color="auto" w:fill="auto"/>
            <w:noWrap w:val="0"/>
            <w:vAlign w:val="center"/>
          </w:tcPr>
          <w:p w14:paraId="5555C1D6">
            <w:pPr>
              <w:pStyle w:val="182"/>
              <w:rPr>
                <w:color w:val="auto"/>
              </w:rPr>
            </w:pPr>
            <w:r>
              <w:rPr>
                <w:rFonts w:hint="eastAsia"/>
                <w:color w:val="auto"/>
              </w:rPr>
              <w:t>浸渍桶</w:t>
            </w:r>
          </w:p>
        </w:tc>
        <w:tc>
          <w:tcPr>
            <w:tcW w:w="2556" w:type="pct"/>
            <w:gridSpan w:val="2"/>
            <w:shd w:val="clear" w:color="auto" w:fill="auto"/>
            <w:noWrap w:val="0"/>
            <w:vAlign w:val="center"/>
          </w:tcPr>
          <w:p w14:paraId="609CA797">
            <w:pPr>
              <w:pStyle w:val="182"/>
              <w:rPr>
                <w:color w:val="auto"/>
              </w:rPr>
            </w:pPr>
            <w:r>
              <w:rPr>
                <w:color w:val="auto"/>
              </w:rPr>
              <w:t>R021B</w:t>
            </w:r>
          </w:p>
        </w:tc>
        <w:tc>
          <w:tcPr>
            <w:tcW w:w="632" w:type="pct"/>
            <w:shd w:val="clear" w:color="auto" w:fill="auto"/>
            <w:noWrap w:val="0"/>
            <w:vAlign w:val="center"/>
          </w:tcPr>
          <w:p w14:paraId="08FA08F9">
            <w:pPr>
              <w:pStyle w:val="182"/>
              <w:rPr>
                <w:color w:val="auto"/>
              </w:rPr>
            </w:pPr>
            <w:r>
              <w:rPr>
                <w:rFonts w:hint="eastAsia"/>
                <w:color w:val="auto"/>
              </w:rPr>
              <w:t>4</w:t>
            </w:r>
          </w:p>
        </w:tc>
      </w:tr>
      <w:tr w14:paraId="1D06E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9FF9A97">
            <w:pPr>
              <w:pStyle w:val="182"/>
              <w:rPr>
                <w:color w:val="auto"/>
              </w:rPr>
            </w:pPr>
            <w:r>
              <w:rPr>
                <w:color w:val="auto"/>
              </w:rPr>
              <w:t>3</w:t>
            </w:r>
          </w:p>
        </w:tc>
        <w:tc>
          <w:tcPr>
            <w:tcW w:w="564" w:type="pct"/>
            <w:gridSpan w:val="3"/>
            <w:vMerge w:val="continue"/>
            <w:shd w:val="clear" w:color="auto" w:fill="auto"/>
            <w:noWrap w:val="0"/>
            <w:vAlign w:val="center"/>
          </w:tcPr>
          <w:p w14:paraId="112B0DA9">
            <w:pPr>
              <w:pStyle w:val="182"/>
              <w:rPr>
                <w:color w:val="auto"/>
              </w:rPr>
            </w:pPr>
          </w:p>
        </w:tc>
        <w:tc>
          <w:tcPr>
            <w:tcW w:w="934" w:type="pct"/>
            <w:shd w:val="clear" w:color="auto" w:fill="auto"/>
            <w:noWrap w:val="0"/>
            <w:vAlign w:val="center"/>
          </w:tcPr>
          <w:p w14:paraId="39B47464">
            <w:pPr>
              <w:pStyle w:val="182"/>
              <w:rPr>
                <w:color w:val="auto"/>
              </w:rPr>
            </w:pPr>
            <w:r>
              <w:rPr>
                <w:rFonts w:hint="eastAsia"/>
                <w:color w:val="auto"/>
              </w:rPr>
              <w:t>压榨粉碎联合机</w:t>
            </w:r>
          </w:p>
        </w:tc>
        <w:tc>
          <w:tcPr>
            <w:tcW w:w="2556" w:type="pct"/>
            <w:gridSpan w:val="2"/>
            <w:shd w:val="clear" w:color="auto" w:fill="auto"/>
            <w:noWrap w:val="0"/>
            <w:vAlign w:val="center"/>
          </w:tcPr>
          <w:p w14:paraId="41DE3651">
            <w:pPr>
              <w:pStyle w:val="182"/>
              <w:rPr>
                <w:color w:val="auto"/>
              </w:rPr>
            </w:pPr>
            <w:r>
              <w:rPr>
                <w:color w:val="auto"/>
              </w:rPr>
              <w:t>/</w:t>
            </w:r>
          </w:p>
        </w:tc>
        <w:tc>
          <w:tcPr>
            <w:tcW w:w="632" w:type="pct"/>
            <w:shd w:val="clear" w:color="auto" w:fill="auto"/>
            <w:noWrap w:val="0"/>
            <w:vAlign w:val="center"/>
          </w:tcPr>
          <w:p w14:paraId="5FB90AB3">
            <w:pPr>
              <w:pStyle w:val="182"/>
              <w:rPr>
                <w:color w:val="auto"/>
              </w:rPr>
            </w:pPr>
            <w:r>
              <w:rPr>
                <w:rFonts w:hint="eastAsia"/>
                <w:color w:val="auto"/>
              </w:rPr>
              <w:t>4</w:t>
            </w:r>
          </w:p>
        </w:tc>
      </w:tr>
      <w:tr w14:paraId="43E39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A37B7D3">
            <w:pPr>
              <w:pStyle w:val="182"/>
              <w:rPr>
                <w:color w:val="auto"/>
              </w:rPr>
            </w:pPr>
            <w:r>
              <w:rPr>
                <w:rFonts w:hint="eastAsia"/>
                <w:color w:val="auto"/>
              </w:rPr>
              <w:t>4</w:t>
            </w:r>
          </w:p>
        </w:tc>
        <w:tc>
          <w:tcPr>
            <w:tcW w:w="564" w:type="pct"/>
            <w:gridSpan w:val="3"/>
            <w:vMerge w:val="continue"/>
            <w:shd w:val="clear" w:color="auto" w:fill="auto"/>
            <w:noWrap w:val="0"/>
            <w:vAlign w:val="center"/>
          </w:tcPr>
          <w:p w14:paraId="5461A081">
            <w:pPr>
              <w:pStyle w:val="182"/>
              <w:rPr>
                <w:color w:val="auto"/>
              </w:rPr>
            </w:pPr>
          </w:p>
        </w:tc>
        <w:tc>
          <w:tcPr>
            <w:tcW w:w="934" w:type="pct"/>
            <w:shd w:val="clear" w:color="auto" w:fill="auto"/>
            <w:noWrap w:val="0"/>
            <w:vAlign w:val="center"/>
          </w:tcPr>
          <w:p w14:paraId="3D057547">
            <w:pPr>
              <w:pStyle w:val="182"/>
              <w:rPr>
                <w:color w:val="auto"/>
              </w:rPr>
            </w:pPr>
            <w:r>
              <w:rPr>
                <w:rFonts w:hint="eastAsia"/>
                <w:color w:val="auto"/>
              </w:rPr>
              <w:t>冷却机</w:t>
            </w:r>
          </w:p>
        </w:tc>
        <w:tc>
          <w:tcPr>
            <w:tcW w:w="2556" w:type="pct"/>
            <w:gridSpan w:val="2"/>
            <w:shd w:val="clear" w:color="auto" w:fill="auto"/>
            <w:noWrap w:val="0"/>
            <w:vAlign w:val="center"/>
          </w:tcPr>
          <w:p w14:paraId="030DFF56">
            <w:pPr>
              <w:pStyle w:val="182"/>
              <w:rPr>
                <w:color w:val="auto"/>
              </w:rPr>
            </w:pPr>
            <w:r>
              <w:rPr>
                <w:color w:val="auto"/>
              </w:rPr>
              <w:t>ZHR115</w:t>
            </w:r>
          </w:p>
        </w:tc>
        <w:tc>
          <w:tcPr>
            <w:tcW w:w="632" w:type="pct"/>
            <w:shd w:val="clear" w:color="auto" w:fill="auto"/>
            <w:noWrap w:val="0"/>
            <w:vAlign w:val="center"/>
          </w:tcPr>
          <w:p w14:paraId="7085A75C">
            <w:pPr>
              <w:pStyle w:val="182"/>
              <w:rPr>
                <w:color w:val="auto"/>
              </w:rPr>
            </w:pPr>
            <w:r>
              <w:rPr>
                <w:rFonts w:hint="eastAsia"/>
                <w:color w:val="auto"/>
              </w:rPr>
              <w:t>1</w:t>
            </w:r>
          </w:p>
        </w:tc>
      </w:tr>
      <w:tr w14:paraId="22744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0155FF2">
            <w:pPr>
              <w:pStyle w:val="182"/>
              <w:rPr>
                <w:color w:val="auto"/>
              </w:rPr>
            </w:pPr>
            <w:r>
              <w:rPr>
                <w:rFonts w:hint="eastAsia"/>
                <w:color w:val="auto"/>
              </w:rPr>
              <w:t>5</w:t>
            </w:r>
          </w:p>
        </w:tc>
        <w:tc>
          <w:tcPr>
            <w:tcW w:w="564" w:type="pct"/>
            <w:gridSpan w:val="3"/>
            <w:vMerge w:val="continue"/>
            <w:shd w:val="clear" w:color="auto" w:fill="auto"/>
            <w:noWrap w:val="0"/>
            <w:vAlign w:val="center"/>
          </w:tcPr>
          <w:p w14:paraId="457E867C">
            <w:pPr>
              <w:pStyle w:val="182"/>
              <w:rPr>
                <w:color w:val="auto"/>
              </w:rPr>
            </w:pPr>
          </w:p>
        </w:tc>
        <w:tc>
          <w:tcPr>
            <w:tcW w:w="934" w:type="pct"/>
            <w:shd w:val="clear" w:color="auto" w:fill="auto"/>
            <w:noWrap w:val="0"/>
            <w:vAlign w:val="center"/>
          </w:tcPr>
          <w:p w14:paraId="4B1A9935">
            <w:pPr>
              <w:pStyle w:val="182"/>
              <w:rPr>
                <w:color w:val="auto"/>
              </w:rPr>
            </w:pPr>
            <w:r>
              <w:rPr>
                <w:rFonts w:hint="eastAsia"/>
                <w:color w:val="auto"/>
              </w:rPr>
              <w:t>黄化机</w:t>
            </w:r>
          </w:p>
        </w:tc>
        <w:tc>
          <w:tcPr>
            <w:tcW w:w="2556" w:type="pct"/>
            <w:gridSpan w:val="2"/>
            <w:shd w:val="clear" w:color="auto" w:fill="auto"/>
            <w:noWrap w:val="0"/>
            <w:vAlign w:val="center"/>
          </w:tcPr>
          <w:p w14:paraId="2EDCC08F">
            <w:pPr>
              <w:pStyle w:val="182"/>
              <w:rPr>
                <w:color w:val="auto"/>
              </w:rPr>
            </w:pPr>
            <w:r>
              <w:rPr>
                <w:color w:val="auto"/>
              </w:rPr>
              <w:t>ZHR133A</w:t>
            </w:r>
          </w:p>
        </w:tc>
        <w:tc>
          <w:tcPr>
            <w:tcW w:w="632" w:type="pct"/>
            <w:shd w:val="clear" w:color="auto" w:fill="auto"/>
            <w:noWrap w:val="0"/>
            <w:vAlign w:val="center"/>
          </w:tcPr>
          <w:p w14:paraId="159F0AAE">
            <w:pPr>
              <w:pStyle w:val="182"/>
              <w:rPr>
                <w:color w:val="auto"/>
              </w:rPr>
            </w:pPr>
            <w:r>
              <w:rPr>
                <w:rFonts w:hint="eastAsia"/>
                <w:color w:val="auto"/>
              </w:rPr>
              <w:t>3</w:t>
            </w:r>
          </w:p>
        </w:tc>
      </w:tr>
      <w:tr w14:paraId="26C22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72C3F3E">
            <w:pPr>
              <w:pStyle w:val="182"/>
              <w:rPr>
                <w:color w:val="auto"/>
              </w:rPr>
            </w:pPr>
            <w:r>
              <w:rPr>
                <w:rFonts w:hint="eastAsia"/>
                <w:color w:val="auto"/>
              </w:rPr>
              <w:t>6</w:t>
            </w:r>
          </w:p>
        </w:tc>
        <w:tc>
          <w:tcPr>
            <w:tcW w:w="564" w:type="pct"/>
            <w:gridSpan w:val="3"/>
            <w:vMerge w:val="continue"/>
            <w:shd w:val="clear" w:color="auto" w:fill="auto"/>
            <w:noWrap w:val="0"/>
            <w:vAlign w:val="center"/>
          </w:tcPr>
          <w:p w14:paraId="78433214">
            <w:pPr>
              <w:pStyle w:val="182"/>
              <w:rPr>
                <w:color w:val="auto"/>
              </w:rPr>
            </w:pPr>
          </w:p>
        </w:tc>
        <w:tc>
          <w:tcPr>
            <w:tcW w:w="934" w:type="pct"/>
            <w:shd w:val="clear" w:color="auto" w:fill="auto"/>
            <w:noWrap w:val="0"/>
            <w:vAlign w:val="center"/>
          </w:tcPr>
          <w:p w14:paraId="2829104B">
            <w:pPr>
              <w:pStyle w:val="182"/>
              <w:rPr>
                <w:color w:val="auto"/>
              </w:rPr>
            </w:pPr>
            <w:r>
              <w:rPr>
                <w:rFonts w:hint="eastAsia"/>
                <w:color w:val="auto"/>
              </w:rPr>
              <w:t>后溶解机</w:t>
            </w:r>
          </w:p>
        </w:tc>
        <w:tc>
          <w:tcPr>
            <w:tcW w:w="2556" w:type="pct"/>
            <w:gridSpan w:val="2"/>
            <w:shd w:val="clear" w:color="auto" w:fill="auto"/>
            <w:noWrap w:val="0"/>
            <w:vAlign w:val="center"/>
          </w:tcPr>
          <w:p w14:paraId="3D67D202">
            <w:pPr>
              <w:pStyle w:val="182"/>
              <w:rPr>
                <w:color w:val="auto"/>
              </w:rPr>
            </w:pPr>
            <w:r>
              <w:rPr>
                <w:color w:val="auto"/>
              </w:rPr>
              <w:t>H1151A</w:t>
            </w:r>
          </w:p>
        </w:tc>
        <w:tc>
          <w:tcPr>
            <w:tcW w:w="632" w:type="pct"/>
            <w:shd w:val="clear" w:color="auto" w:fill="auto"/>
            <w:noWrap w:val="0"/>
            <w:vAlign w:val="center"/>
          </w:tcPr>
          <w:p w14:paraId="6573E4D4">
            <w:pPr>
              <w:pStyle w:val="182"/>
              <w:rPr>
                <w:color w:val="auto"/>
              </w:rPr>
            </w:pPr>
            <w:r>
              <w:rPr>
                <w:rFonts w:hint="eastAsia"/>
                <w:color w:val="auto"/>
              </w:rPr>
              <w:t>1</w:t>
            </w:r>
            <w:r>
              <w:rPr>
                <w:color w:val="auto"/>
              </w:rPr>
              <w:t>5</w:t>
            </w:r>
          </w:p>
        </w:tc>
      </w:tr>
      <w:tr w14:paraId="05983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D4BAE08">
            <w:pPr>
              <w:pStyle w:val="182"/>
              <w:rPr>
                <w:color w:val="auto"/>
              </w:rPr>
            </w:pPr>
            <w:r>
              <w:rPr>
                <w:rFonts w:hint="eastAsia"/>
                <w:color w:val="auto"/>
              </w:rPr>
              <w:t>7</w:t>
            </w:r>
          </w:p>
        </w:tc>
        <w:tc>
          <w:tcPr>
            <w:tcW w:w="564" w:type="pct"/>
            <w:gridSpan w:val="3"/>
            <w:vMerge w:val="continue"/>
            <w:shd w:val="clear" w:color="auto" w:fill="auto"/>
            <w:noWrap w:val="0"/>
            <w:vAlign w:val="center"/>
          </w:tcPr>
          <w:p w14:paraId="49EAE821">
            <w:pPr>
              <w:pStyle w:val="182"/>
              <w:rPr>
                <w:color w:val="auto"/>
              </w:rPr>
            </w:pPr>
          </w:p>
        </w:tc>
        <w:tc>
          <w:tcPr>
            <w:tcW w:w="934" w:type="pct"/>
            <w:shd w:val="clear" w:color="auto" w:fill="auto"/>
            <w:noWrap w:val="0"/>
            <w:vAlign w:val="center"/>
          </w:tcPr>
          <w:p w14:paraId="15F7A86B">
            <w:pPr>
              <w:pStyle w:val="182"/>
              <w:rPr>
                <w:color w:val="auto"/>
              </w:rPr>
            </w:pPr>
            <w:r>
              <w:rPr>
                <w:rFonts w:hint="eastAsia"/>
                <w:color w:val="auto"/>
              </w:rPr>
              <w:t>研磨机</w:t>
            </w:r>
          </w:p>
        </w:tc>
        <w:tc>
          <w:tcPr>
            <w:tcW w:w="2556" w:type="pct"/>
            <w:gridSpan w:val="2"/>
            <w:shd w:val="clear" w:color="auto" w:fill="auto"/>
            <w:noWrap w:val="0"/>
            <w:vAlign w:val="center"/>
          </w:tcPr>
          <w:p w14:paraId="4BD8141B">
            <w:pPr>
              <w:pStyle w:val="182"/>
              <w:rPr>
                <w:color w:val="auto"/>
              </w:rPr>
            </w:pPr>
            <w:r>
              <w:rPr>
                <w:color w:val="auto"/>
              </w:rPr>
              <w:t>ZHR183</w:t>
            </w:r>
          </w:p>
        </w:tc>
        <w:tc>
          <w:tcPr>
            <w:tcW w:w="632" w:type="pct"/>
            <w:shd w:val="clear" w:color="auto" w:fill="auto"/>
            <w:noWrap w:val="0"/>
            <w:vAlign w:val="center"/>
          </w:tcPr>
          <w:p w14:paraId="636F4230">
            <w:pPr>
              <w:pStyle w:val="182"/>
              <w:rPr>
                <w:color w:val="auto"/>
              </w:rPr>
            </w:pPr>
            <w:r>
              <w:rPr>
                <w:rFonts w:hint="eastAsia"/>
                <w:color w:val="auto"/>
              </w:rPr>
              <w:t>9</w:t>
            </w:r>
          </w:p>
        </w:tc>
      </w:tr>
      <w:tr w14:paraId="1C6F8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0652381">
            <w:pPr>
              <w:pStyle w:val="182"/>
              <w:rPr>
                <w:color w:val="auto"/>
              </w:rPr>
            </w:pPr>
            <w:r>
              <w:rPr>
                <w:rFonts w:hint="eastAsia"/>
                <w:color w:val="auto"/>
              </w:rPr>
              <w:t>8</w:t>
            </w:r>
          </w:p>
        </w:tc>
        <w:tc>
          <w:tcPr>
            <w:tcW w:w="564" w:type="pct"/>
            <w:gridSpan w:val="3"/>
            <w:vMerge w:val="continue"/>
            <w:shd w:val="clear" w:color="auto" w:fill="auto"/>
            <w:noWrap w:val="0"/>
            <w:vAlign w:val="center"/>
          </w:tcPr>
          <w:p w14:paraId="17624A45">
            <w:pPr>
              <w:pStyle w:val="182"/>
              <w:rPr>
                <w:color w:val="auto"/>
              </w:rPr>
            </w:pPr>
          </w:p>
        </w:tc>
        <w:tc>
          <w:tcPr>
            <w:tcW w:w="934" w:type="pct"/>
            <w:shd w:val="clear" w:color="auto" w:fill="auto"/>
            <w:noWrap w:val="0"/>
            <w:vAlign w:val="center"/>
          </w:tcPr>
          <w:p w14:paraId="751019F9">
            <w:pPr>
              <w:pStyle w:val="182"/>
              <w:rPr>
                <w:color w:val="auto"/>
              </w:rPr>
            </w:pPr>
            <w:r>
              <w:rPr>
                <w:rFonts w:hint="eastAsia"/>
                <w:color w:val="auto"/>
              </w:rPr>
              <w:t>脱泡桶</w:t>
            </w:r>
          </w:p>
        </w:tc>
        <w:tc>
          <w:tcPr>
            <w:tcW w:w="2556" w:type="pct"/>
            <w:gridSpan w:val="2"/>
            <w:shd w:val="clear" w:color="auto" w:fill="auto"/>
            <w:noWrap w:val="0"/>
            <w:vAlign w:val="center"/>
          </w:tcPr>
          <w:p w14:paraId="3E1391F5">
            <w:pPr>
              <w:pStyle w:val="182"/>
              <w:rPr>
                <w:color w:val="auto"/>
              </w:rPr>
            </w:pPr>
            <w:r>
              <w:rPr>
                <w:color w:val="auto"/>
              </w:rPr>
              <w:t>ZHR235</w:t>
            </w:r>
          </w:p>
        </w:tc>
        <w:tc>
          <w:tcPr>
            <w:tcW w:w="632" w:type="pct"/>
            <w:shd w:val="clear" w:color="auto" w:fill="auto"/>
            <w:noWrap w:val="0"/>
            <w:vAlign w:val="center"/>
          </w:tcPr>
          <w:p w14:paraId="3C702162">
            <w:pPr>
              <w:pStyle w:val="182"/>
              <w:rPr>
                <w:color w:val="auto"/>
              </w:rPr>
            </w:pPr>
            <w:r>
              <w:rPr>
                <w:rFonts w:hint="eastAsia"/>
                <w:color w:val="auto"/>
              </w:rPr>
              <w:t>4</w:t>
            </w:r>
          </w:p>
        </w:tc>
      </w:tr>
      <w:tr w14:paraId="153E8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5DCE503">
            <w:pPr>
              <w:pStyle w:val="182"/>
              <w:rPr>
                <w:color w:val="auto"/>
              </w:rPr>
            </w:pPr>
            <w:r>
              <w:rPr>
                <w:rFonts w:hint="eastAsia"/>
                <w:color w:val="auto"/>
              </w:rPr>
              <w:t>9</w:t>
            </w:r>
          </w:p>
        </w:tc>
        <w:tc>
          <w:tcPr>
            <w:tcW w:w="564" w:type="pct"/>
            <w:gridSpan w:val="3"/>
            <w:vMerge w:val="continue"/>
            <w:shd w:val="clear" w:color="auto" w:fill="auto"/>
            <w:noWrap w:val="0"/>
            <w:vAlign w:val="center"/>
          </w:tcPr>
          <w:p w14:paraId="7D8D7DBB">
            <w:pPr>
              <w:pStyle w:val="182"/>
              <w:rPr>
                <w:color w:val="auto"/>
              </w:rPr>
            </w:pPr>
          </w:p>
        </w:tc>
        <w:tc>
          <w:tcPr>
            <w:tcW w:w="934" w:type="pct"/>
            <w:shd w:val="clear" w:color="auto" w:fill="auto"/>
            <w:noWrap w:val="0"/>
            <w:vAlign w:val="center"/>
          </w:tcPr>
          <w:p w14:paraId="14F619C5">
            <w:pPr>
              <w:pStyle w:val="182"/>
              <w:rPr>
                <w:color w:val="auto"/>
              </w:rPr>
            </w:pPr>
            <w:r>
              <w:rPr>
                <w:rFonts w:hint="eastAsia" w:ascii="宋体" w:hAnsi="宋体" w:cs="宋体"/>
                <w:color w:val="auto"/>
              </w:rPr>
              <w:t>Ⅰ</w:t>
            </w:r>
            <w:r>
              <w:rPr>
                <w:rFonts w:hint="eastAsia"/>
                <w:color w:val="auto"/>
              </w:rPr>
              <w:t>、</w:t>
            </w:r>
            <w:r>
              <w:rPr>
                <w:color w:val="auto"/>
              </w:rPr>
              <w:fldChar w:fldCharType="begin"/>
            </w:r>
            <w:r>
              <w:rPr>
                <w:color w:val="auto"/>
              </w:rPr>
              <w:instrText xml:space="preserve"> = 2 \* ROMAN </w:instrText>
            </w:r>
            <w:r>
              <w:rPr>
                <w:color w:val="auto"/>
              </w:rPr>
              <w:fldChar w:fldCharType="separate"/>
            </w:r>
            <w:r>
              <w:rPr>
                <w:color w:val="auto"/>
              </w:rPr>
              <w:t>II</w:t>
            </w:r>
            <w:r>
              <w:rPr>
                <w:color w:val="auto"/>
              </w:rPr>
              <w:fldChar w:fldCharType="end"/>
            </w:r>
            <w:r>
              <w:rPr>
                <w:rFonts w:hint="eastAsia"/>
                <w:color w:val="auto"/>
              </w:rPr>
              <w:t>道过滤机</w:t>
            </w:r>
          </w:p>
        </w:tc>
        <w:tc>
          <w:tcPr>
            <w:tcW w:w="2556" w:type="pct"/>
            <w:gridSpan w:val="2"/>
            <w:shd w:val="clear" w:color="auto" w:fill="auto"/>
            <w:noWrap w:val="0"/>
            <w:vAlign w:val="center"/>
          </w:tcPr>
          <w:p w14:paraId="319DFF84">
            <w:pPr>
              <w:pStyle w:val="182"/>
              <w:rPr>
                <w:color w:val="auto"/>
              </w:rPr>
            </w:pPr>
            <w:r>
              <w:rPr>
                <w:color w:val="auto"/>
              </w:rPr>
              <w:t>M123</w:t>
            </w:r>
            <w:r>
              <w:rPr>
                <w:rFonts w:hint="eastAsia"/>
                <w:color w:val="auto"/>
              </w:rPr>
              <w:t>，过滤面积</w:t>
            </w:r>
            <w:r>
              <w:rPr>
                <w:color w:val="auto"/>
              </w:rPr>
              <w:t>1.72m</w:t>
            </w:r>
            <w:r>
              <w:rPr>
                <w:color w:val="auto"/>
                <w:vertAlign w:val="superscript"/>
              </w:rPr>
              <w:t>2</w:t>
            </w:r>
            <w:r>
              <w:rPr>
                <w:rFonts w:hint="eastAsia"/>
                <w:color w:val="auto"/>
              </w:rPr>
              <w:t>，滤径1</w:t>
            </w:r>
            <w:r>
              <w:rPr>
                <w:color w:val="auto"/>
              </w:rPr>
              <w:t>5μ</w:t>
            </w:r>
            <w:r>
              <w:rPr>
                <w:rFonts w:hint="eastAsia"/>
                <w:color w:val="auto"/>
              </w:rPr>
              <w:t>m</w:t>
            </w:r>
          </w:p>
        </w:tc>
        <w:tc>
          <w:tcPr>
            <w:tcW w:w="632" w:type="pct"/>
            <w:shd w:val="clear" w:color="auto" w:fill="auto"/>
            <w:noWrap w:val="0"/>
            <w:vAlign w:val="center"/>
          </w:tcPr>
          <w:p w14:paraId="1CBBC61C">
            <w:pPr>
              <w:pStyle w:val="182"/>
              <w:rPr>
                <w:color w:val="auto"/>
              </w:rPr>
            </w:pPr>
            <w:r>
              <w:rPr>
                <w:rFonts w:hint="eastAsia"/>
                <w:color w:val="auto"/>
              </w:rPr>
              <w:t>1</w:t>
            </w:r>
            <w:r>
              <w:rPr>
                <w:color w:val="auto"/>
              </w:rPr>
              <w:t>20</w:t>
            </w:r>
          </w:p>
        </w:tc>
      </w:tr>
      <w:tr w14:paraId="3A587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FDA2498">
            <w:pPr>
              <w:pStyle w:val="182"/>
              <w:rPr>
                <w:color w:val="auto"/>
              </w:rPr>
            </w:pPr>
            <w:r>
              <w:rPr>
                <w:color w:val="auto"/>
              </w:rPr>
              <w:t>1</w:t>
            </w:r>
            <w:r>
              <w:rPr>
                <w:rFonts w:hint="eastAsia"/>
                <w:color w:val="auto"/>
              </w:rPr>
              <w:t>0</w:t>
            </w:r>
          </w:p>
        </w:tc>
        <w:tc>
          <w:tcPr>
            <w:tcW w:w="564" w:type="pct"/>
            <w:gridSpan w:val="3"/>
            <w:vMerge w:val="continue"/>
            <w:shd w:val="clear" w:color="auto" w:fill="auto"/>
            <w:noWrap w:val="0"/>
            <w:vAlign w:val="center"/>
          </w:tcPr>
          <w:p w14:paraId="3624C13A">
            <w:pPr>
              <w:pStyle w:val="182"/>
              <w:rPr>
                <w:color w:val="auto"/>
              </w:rPr>
            </w:pPr>
          </w:p>
        </w:tc>
        <w:tc>
          <w:tcPr>
            <w:tcW w:w="934" w:type="pct"/>
            <w:shd w:val="clear" w:color="auto" w:fill="auto"/>
            <w:noWrap w:val="0"/>
            <w:vAlign w:val="center"/>
          </w:tcPr>
          <w:p w14:paraId="3C9C1B12">
            <w:pPr>
              <w:pStyle w:val="182"/>
              <w:rPr>
                <w:color w:val="auto"/>
              </w:rPr>
            </w:pPr>
            <w:r>
              <w:rPr>
                <w:color w:val="auto"/>
              </w:rPr>
              <w:fldChar w:fldCharType="begin"/>
            </w:r>
            <w:r>
              <w:rPr>
                <w:color w:val="auto"/>
              </w:rPr>
              <w:instrText xml:space="preserve"> = 3 \* ROMAN </w:instrText>
            </w:r>
            <w:r>
              <w:rPr>
                <w:color w:val="auto"/>
              </w:rPr>
              <w:fldChar w:fldCharType="separate"/>
            </w:r>
            <w:r>
              <w:rPr>
                <w:color w:val="auto"/>
              </w:rPr>
              <w:t>III</w:t>
            </w:r>
            <w:r>
              <w:rPr>
                <w:color w:val="auto"/>
              </w:rPr>
              <w:fldChar w:fldCharType="end"/>
            </w:r>
            <w:r>
              <w:rPr>
                <w:rFonts w:hint="eastAsia"/>
                <w:color w:val="auto"/>
              </w:rPr>
              <w:t>道过滤机</w:t>
            </w:r>
          </w:p>
        </w:tc>
        <w:tc>
          <w:tcPr>
            <w:tcW w:w="2556" w:type="pct"/>
            <w:gridSpan w:val="2"/>
            <w:shd w:val="clear" w:color="auto" w:fill="auto"/>
            <w:noWrap w:val="0"/>
            <w:vAlign w:val="center"/>
          </w:tcPr>
          <w:p w14:paraId="48BA100D">
            <w:pPr>
              <w:pStyle w:val="182"/>
              <w:rPr>
                <w:color w:val="auto"/>
              </w:rPr>
            </w:pPr>
            <w:r>
              <w:rPr>
                <w:color w:val="auto"/>
              </w:rPr>
              <w:t>R241D</w:t>
            </w:r>
            <w:r>
              <w:rPr>
                <w:rFonts w:hint="eastAsia"/>
                <w:color w:val="auto"/>
              </w:rPr>
              <w:t>，有效过滤面积</w:t>
            </w:r>
            <w:r>
              <w:rPr>
                <w:color w:val="auto"/>
              </w:rPr>
              <w:t>50m</w:t>
            </w:r>
            <w:r>
              <w:rPr>
                <w:color w:val="auto"/>
                <w:vertAlign w:val="superscript"/>
              </w:rPr>
              <w:t>2</w:t>
            </w:r>
          </w:p>
        </w:tc>
        <w:tc>
          <w:tcPr>
            <w:tcW w:w="632" w:type="pct"/>
            <w:shd w:val="clear" w:color="auto" w:fill="auto"/>
            <w:noWrap w:val="0"/>
            <w:vAlign w:val="center"/>
          </w:tcPr>
          <w:p w14:paraId="43358C3A">
            <w:pPr>
              <w:pStyle w:val="182"/>
              <w:rPr>
                <w:color w:val="auto"/>
              </w:rPr>
            </w:pPr>
            <w:r>
              <w:rPr>
                <w:rFonts w:hint="eastAsia"/>
                <w:color w:val="auto"/>
              </w:rPr>
              <w:t>1</w:t>
            </w:r>
            <w:r>
              <w:rPr>
                <w:color w:val="auto"/>
              </w:rPr>
              <w:t>2</w:t>
            </w:r>
          </w:p>
        </w:tc>
      </w:tr>
      <w:tr w14:paraId="1B221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210EE224">
            <w:pPr>
              <w:pStyle w:val="182"/>
              <w:rPr>
                <w:color w:val="auto"/>
              </w:rPr>
            </w:pPr>
            <w:r>
              <w:rPr>
                <w:color w:val="auto"/>
              </w:rPr>
              <w:t>1</w:t>
            </w:r>
            <w:r>
              <w:rPr>
                <w:rFonts w:hint="eastAsia"/>
                <w:color w:val="auto"/>
              </w:rPr>
              <w:t>1</w:t>
            </w:r>
          </w:p>
        </w:tc>
        <w:tc>
          <w:tcPr>
            <w:tcW w:w="564" w:type="pct"/>
            <w:gridSpan w:val="3"/>
            <w:vMerge w:val="continue"/>
            <w:shd w:val="clear" w:color="auto" w:fill="auto"/>
            <w:noWrap w:val="0"/>
            <w:vAlign w:val="center"/>
          </w:tcPr>
          <w:p w14:paraId="515AED7B">
            <w:pPr>
              <w:pStyle w:val="182"/>
              <w:rPr>
                <w:color w:val="auto"/>
              </w:rPr>
            </w:pPr>
          </w:p>
        </w:tc>
        <w:tc>
          <w:tcPr>
            <w:tcW w:w="934" w:type="pct"/>
            <w:shd w:val="clear" w:color="auto" w:fill="auto"/>
            <w:noWrap w:val="0"/>
            <w:vAlign w:val="center"/>
          </w:tcPr>
          <w:p w14:paraId="62C3C7B0">
            <w:pPr>
              <w:pStyle w:val="182"/>
              <w:rPr>
                <w:color w:val="auto"/>
              </w:rPr>
            </w:pPr>
            <w:r>
              <w:rPr>
                <w:rFonts w:hint="eastAsia"/>
                <w:color w:val="auto"/>
              </w:rPr>
              <w:t>废胶过滤机</w:t>
            </w:r>
          </w:p>
        </w:tc>
        <w:tc>
          <w:tcPr>
            <w:tcW w:w="2556" w:type="pct"/>
            <w:gridSpan w:val="2"/>
            <w:shd w:val="clear" w:color="auto" w:fill="auto"/>
            <w:noWrap w:val="0"/>
            <w:vAlign w:val="center"/>
          </w:tcPr>
          <w:p w14:paraId="369AE486">
            <w:pPr>
              <w:pStyle w:val="182"/>
              <w:rPr>
                <w:color w:val="auto"/>
              </w:rPr>
            </w:pPr>
            <w:r>
              <w:rPr>
                <w:color w:val="auto"/>
              </w:rPr>
              <w:t>/</w:t>
            </w:r>
          </w:p>
        </w:tc>
        <w:tc>
          <w:tcPr>
            <w:tcW w:w="632" w:type="pct"/>
            <w:shd w:val="clear" w:color="auto" w:fill="auto"/>
            <w:noWrap w:val="0"/>
            <w:vAlign w:val="center"/>
          </w:tcPr>
          <w:p w14:paraId="13BBBAC7">
            <w:pPr>
              <w:pStyle w:val="182"/>
              <w:rPr>
                <w:color w:val="auto"/>
              </w:rPr>
            </w:pPr>
            <w:r>
              <w:rPr>
                <w:rFonts w:hint="eastAsia"/>
                <w:color w:val="auto"/>
              </w:rPr>
              <w:t>4</w:t>
            </w:r>
          </w:p>
        </w:tc>
      </w:tr>
      <w:tr w14:paraId="44C9F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CBEF768">
            <w:pPr>
              <w:pStyle w:val="182"/>
              <w:rPr>
                <w:color w:val="auto"/>
              </w:rPr>
            </w:pPr>
            <w:r>
              <w:rPr>
                <w:color w:val="auto"/>
              </w:rPr>
              <w:t>1</w:t>
            </w:r>
            <w:r>
              <w:rPr>
                <w:rFonts w:hint="eastAsia"/>
                <w:color w:val="auto"/>
              </w:rPr>
              <w:t>2</w:t>
            </w:r>
          </w:p>
        </w:tc>
        <w:tc>
          <w:tcPr>
            <w:tcW w:w="564" w:type="pct"/>
            <w:gridSpan w:val="3"/>
            <w:vMerge w:val="continue"/>
            <w:shd w:val="clear" w:color="auto" w:fill="auto"/>
            <w:noWrap w:val="0"/>
            <w:vAlign w:val="center"/>
          </w:tcPr>
          <w:p w14:paraId="17BC80FB">
            <w:pPr>
              <w:pStyle w:val="182"/>
              <w:rPr>
                <w:color w:val="auto"/>
              </w:rPr>
            </w:pPr>
          </w:p>
        </w:tc>
        <w:tc>
          <w:tcPr>
            <w:tcW w:w="934" w:type="pct"/>
            <w:shd w:val="clear" w:color="auto" w:fill="auto"/>
            <w:noWrap w:val="0"/>
            <w:vAlign w:val="center"/>
          </w:tcPr>
          <w:p w14:paraId="05E95DA6">
            <w:pPr>
              <w:pStyle w:val="182"/>
              <w:rPr>
                <w:color w:val="auto"/>
              </w:rPr>
            </w:pPr>
            <w:r>
              <w:rPr>
                <w:rFonts w:hint="eastAsia"/>
                <w:color w:val="auto"/>
              </w:rPr>
              <w:t>板式换热器</w:t>
            </w:r>
          </w:p>
        </w:tc>
        <w:tc>
          <w:tcPr>
            <w:tcW w:w="2556" w:type="pct"/>
            <w:gridSpan w:val="2"/>
            <w:shd w:val="clear" w:color="auto" w:fill="auto"/>
            <w:noWrap w:val="0"/>
            <w:vAlign w:val="center"/>
          </w:tcPr>
          <w:p w14:paraId="7063447B">
            <w:pPr>
              <w:pStyle w:val="182"/>
              <w:rPr>
                <w:color w:val="auto"/>
              </w:rPr>
            </w:pPr>
            <w:r>
              <w:rPr>
                <w:color w:val="auto"/>
              </w:rPr>
              <w:t>BRB08-100</w:t>
            </w:r>
          </w:p>
        </w:tc>
        <w:tc>
          <w:tcPr>
            <w:tcW w:w="632" w:type="pct"/>
            <w:shd w:val="clear" w:color="auto" w:fill="auto"/>
            <w:noWrap w:val="0"/>
            <w:vAlign w:val="center"/>
          </w:tcPr>
          <w:p w14:paraId="21275214">
            <w:pPr>
              <w:pStyle w:val="182"/>
              <w:rPr>
                <w:color w:val="auto"/>
              </w:rPr>
            </w:pPr>
            <w:r>
              <w:rPr>
                <w:rFonts w:hint="eastAsia"/>
                <w:color w:val="auto"/>
              </w:rPr>
              <w:t>4</w:t>
            </w:r>
          </w:p>
        </w:tc>
      </w:tr>
      <w:tr w14:paraId="0B486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D36AC11">
            <w:pPr>
              <w:pStyle w:val="182"/>
              <w:rPr>
                <w:color w:val="auto"/>
              </w:rPr>
            </w:pPr>
            <w:r>
              <w:rPr>
                <w:color w:val="auto"/>
              </w:rPr>
              <w:t>1</w:t>
            </w:r>
            <w:r>
              <w:rPr>
                <w:rFonts w:hint="eastAsia"/>
                <w:color w:val="auto"/>
              </w:rPr>
              <w:t>3</w:t>
            </w:r>
          </w:p>
        </w:tc>
        <w:tc>
          <w:tcPr>
            <w:tcW w:w="564" w:type="pct"/>
            <w:gridSpan w:val="3"/>
            <w:vMerge w:val="continue"/>
            <w:shd w:val="clear" w:color="auto" w:fill="auto"/>
            <w:noWrap w:val="0"/>
            <w:vAlign w:val="center"/>
          </w:tcPr>
          <w:p w14:paraId="77237884">
            <w:pPr>
              <w:pStyle w:val="182"/>
              <w:rPr>
                <w:color w:val="auto"/>
              </w:rPr>
            </w:pPr>
          </w:p>
        </w:tc>
        <w:tc>
          <w:tcPr>
            <w:tcW w:w="934" w:type="pct"/>
            <w:shd w:val="clear" w:color="auto" w:fill="auto"/>
            <w:noWrap w:val="0"/>
            <w:vAlign w:val="center"/>
          </w:tcPr>
          <w:p w14:paraId="40D62A13">
            <w:pPr>
              <w:pStyle w:val="182"/>
              <w:rPr>
                <w:color w:val="auto"/>
              </w:rPr>
            </w:pPr>
            <w:r>
              <w:rPr>
                <w:rFonts w:hint="eastAsia"/>
                <w:color w:val="auto"/>
              </w:rPr>
              <w:t>真空机组</w:t>
            </w:r>
          </w:p>
        </w:tc>
        <w:tc>
          <w:tcPr>
            <w:tcW w:w="2556" w:type="pct"/>
            <w:gridSpan w:val="2"/>
            <w:shd w:val="clear" w:color="auto" w:fill="auto"/>
            <w:noWrap w:val="0"/>
            <w:vAlign w:val="center"/>
          </w:tcPr>
          <w:p w14:paraId="724E5803">
            <w:pPr>
              <w:pStyle w:val="182"/>
              <w:rPr>
                <w:color w:val="auto"/>
              </w:rPr>
            </w:pPr>
            <w:r>
              <w:rPr>
                <w:color w:val="auto"/>
              </w:rPr>
              <w:t>JZJS300</w:t>
            </w:r>
          </w:p>
        </w:tc>
        <w:tc>
          <w:tcPr>
            <w:tcW w:w="632" w:type="pct"/>
            <w:shd w:val="clear" w:color="auto" w:fill="auto"/>
            <w:noWrap w:val="0"/>
            <w:vAlign w:val="center"/>
          </w:tcPr>
          <w:p w14:paraId="66621017">
            <w:pPr>
              <w:pStyle w:val="182"/>
              <w:rPr>
                <w:color w:val="auto"/>
              </w:rPr>
            </w:pPr>
            <w:r>
              <w:rPr>
                <w:rFonts w:hint="eastAsia"/>
                <w:color w:val="auto"/>
              </w:rPr>
              <w:t>5</w:t>
            </w:r>
          </w:p>
        </w:tc>
      </w:tr>
      <w:tr w14:paraId="0E155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7F0AC5E">
            <w:pPr>
              <w:pStyle w:val="182"/>
              <w:rPr>
                <w:color w:val="auto"/>
              </w:rPr>
            </w:pPr>
            <w:r>
              <w:rPr>
                <w:color w:val="auto"/>
              </w:rPr>
              <w:t>1</w:t>
            </w:r>
            <w:r>
              <w:rPr>
                <w:rFonts w:hint="eastAsia"/>
                <w:color w:val="auto"/>
              </w:rPr>
              <w:t>4</w:t>
            </w:r>
          </w:p>
        </w:tc>
        <w:tc>
          <w:tcPr>
            <w:tcW w:w="564" w:type="pct"/>
            <w:gridSpan w:val="3"/>
            <w:vMerge w:val="restart"/>
            <w:shd w:val="clear" w:color="auto" w:fill="auto"/>
            <w:noWrap w:val="0"/>
            <w:vAlign w:val="center"/>
          </w:tcPr>
          <w:p w14:paraId="591DA2AE">
            <w:pPr>
              <w:pStyle w:val="182"/>
              <w:rPr>
                <w:color w:val="auto"/>
              </w:rPr>
            </w:pPr>
            <w:r>
              <w:rPr>
                <w:rFonts w:hint="eastAsia"/>
                <w:color w:val="auto"/>
              </w:rPr>
              <w:t>酸站（利用年产4万吨高湿模量粘胶短纤维项目酸站车间及设备）</w:t>
            </w:r>
          </w:p>
        </w:tc>
        <w:tc>
          <w:tcPr>
            <w:tcW w:w="934" w:type="pct"/>
            <w:shd w:val="clear" w:color="auto" w:fill="auto"/>
            <w:noWrap w:val="0"/>
            <w:vAlign w:val="center"/>
          </w:tcPr>
          <w:p w14:paraId="39B80EA1">
            <w:pPr>
              <w:pStyle w:val="182"/>
              <w:rPr>
                <w:color w:val="auto"/>
              </w:rPr>
            </w:pPr>
            <w:r>
              <w:rPr>
                <w:rFonts w:hint="eastAsia"/>
                <w:color w:val="auto"/>
              </w:rPr>
              <w:t>酸浴加热器</w:t>
            </w:r>
          </w:p>
        </w:tc>
        <w:tc>
          <w:tcPr>
            <w:tcW w:w="2556" w:type="pct"/>
            <w:gridSpan w:val="2"/>
            <w:shd w:val="clear" w:color="auto" w:fill="auto"/>
            <w:noWrap w:val="0"/>
            <w:vAlign w:val="center"/>
          </w:tcPr>
          <w:p w14:paraId="7A4C1444">
            <w:pPr>
              <w:pStyle w:val="182"/>
              <w:rPr>
                <w:color w:val="auto"/>
              </w:rPr>
            </w:pPr>
            <w:r>
              <w:rPr>
                <w:color w:val="auto"/>
              </w:rPr>
              <w:t>UR042A-86</w:t>
            </w:r>
          </w:p>
        </w:tc>
        <w:tc>
          <w:tcPr>
            <w:tcW w:w="632" w:type="pct"/>
            <w:shd w:val="clear" w:color="auto" w:fill="auto"/>
            <w:noWrap w:val="0"/>
            <w:vAlign w:val="center"/>
          </w:tcPr>
          <w:p w14:paraId="1799572C">
            <w:pPr>
              <w:pStyle w:val="182"/>
              <w:rPr>
                <w:color w:val="auto"/>
              </w:rPr>
            </w:pPr>
            <w:r>
              <w:rPr>
                <w:color w:val="auto"/>
              </w:rPr>
              <w:t>8</w:t>
            </w:r>
          </w:p>
        </w:tc>
      </w:tr>
      <w:tr w14:paraId="610F7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B422C5E">
            <w:pPr>
              <w:pStyle w:val="182"/>
              <w:rPr>
                <w:color w:val="auto"/>
              </w:rPr>
            </w:pPr>
            <w:r>
              <w:rPr>
                <w:color w:val="auto"/>
              </w:rPr>
              <w:t>1</w:t>
            </w:r>
            <w:r>
              <w:rPr>
                <w:rFonts w:hint="eastAsia"/>
                <w:color w:val="auto"/>
              </w:rPr>
              <w:t>5</w:t>
            </w:r>
          </w:p>
        </w:tc>
        <w:tc>
          <w:tcPr>
            <w:tcW w:w="564" w:type="pct"/>
            <w:gridSpan w:val="3"/>
            <w:vMerge w:val="continue"/>
            <w:shd w:val="clear" w:color="auto" w:fill="auto"/>
            <w:noWrap w:val="0"/>
            <w:vAlign w:val="center"/>
          </w:tcPr>
          <w:p w14:paraId="15E495A2">
            <w:pPr>
              <w:pStyle w:val="182"/>
              <w:rPr>
                <w:color w:val="auto"/>
              </w:rPr>
            </w:pPr>
          </w:p>
        </w:tc>
        <w:tc>
          <w:tcPr>
            <w:tcW w:w="934" w:type="pct"/>
            <w:shd w:val="clear" w:color="auto" w:fill="auto"/>
            <w:noWrap w:val="0"/>
            <w:vAlign w:val="center"/>
          </w:tcPr>
          <w:p w14:paraId="3C1737EF">
            <w:pPr>
              <w:pStyle w:val="182"/>
              <w:rPr>
                <w:color w:val="auto"/>
              </w:rPr>
            </w:pPr>
            <w:r>
              <w:rPr>
                <w:rFonts w:hint="eastAsia"/>
                <w:color w:val="auto"/>
              </w:rPr>
              <w:t>脱气加热器</w:t>
            </w:r>
          </w:p>
        </w:tc>
        <w:tc>
          <w:tcPr>
            <w:tcW w:w="2556" w:type="pct"/>
            <w:gridSpan w:val="2"/>
            <w:shd w:val="clear" w:color="auto" w:fill="auto"/>
            <w:noWrap w:val="0"/>
            <w:vAlign w:val="center"/>
          </w:tcPr>
          <w:p w14:paraId="28007627">
            <w:pPr>
              <w:pStyle w:val="182"/>
              <w:rPr>
                <w:color w:val="auto"/>
              </w:rPr>
            </w:pPr>
            <w:r>
              <w:rPr>
                <w:color w:val="auto"/>
              </w:rPr>
              <w:t>UR473B</w:t>
            </w:r>
            <w:r>
              <w:rPr>
                <w:rFonts w:hint="eastAsia"/>
                <w:color w:val="auto"/>
              </w:rPr>
              <w:t>，</w:t>
            </w:r>
            <w:r>
              <w:rPr>
                <w:color w:val="auto"/>
              </w:rPr>
              <w:t>∅1000×3000</w:t>
            </w:r>
            <w:r>
              <w:rPr>
                <w:rFonts w:hint="eastAsia"/>
                <w:color w:val="auto"/>
              </w:rPr>
              <w:t>，</w:t>
            </w:r>
            <w:r>
              <w:rPr>
                <w:color w:val="auto"/>
              </w:rPr>
              <w:t>54m</w:t>
            </w:r>
            <w:r>
              <w:rPr>
                <w:color w:val="auto"/>
                <w:vertAlign w:val="superscript"/>
              </w:rPr>
              <w:t>2</w:t>
            </w:r>
          </w:p>
        </w:tc>
        <w:tc>
          <w:tcPr>
            <w:tcW w:w="632" w:type="pct"/>
            <w:shd w:val="clear" w:color="auto" w:fill="auto"/>
            <w:noWrap w:val="0"/>
            <w:vAlign w:val="center"/>
          </w:tcPr>
          <w:p w14:paraId="7F906DB2">
            <w:pPr>
              <w:pStyle w:val="182"/>
              <w:rPr>
                <w:color w:val="auto"/>
              </w:rPr>
            </w:pPr>
            <w:r>
              <w:rPr>
                <w:color w:val="auto"/>
              </w:rPr>
              <w:t>8</w:t>
            </w:r>
          </w:p>
        </w:tc>
      </w:tr>
      <w:tr w14:paraId="08646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FD0B15E">
            <w:pPr>
              <w:pStyle w:val="182"/>
              <w:rPr>
                <w:color w:val="auto"/>
              </w:rPr>
            </w:pPr>
            <w:r>
              <w:rPr>
                <w:color w:val="auto"/>
              </w:rPr>
              <w:t>1</w:t>
            </w:r>
            <w:r>
              <w:rPr>
                <w:rFonts w:hint="eastAsia"/>
                <w:color w:val="auto"/>
              </w:rPr>
              <w:t>6</w:t>
            </w:r>
          </w:p>
        </w:tc>
        <w:tc>
          <w:tcPr>
            <w:tcW w:w="564" w:type="pct"/>
            <w:gridSpan w:val="3"/>
            <w:vMerge w:val="continue"/>
            <w:shd w:val="clear" w:color="auto" w:fill="auto"/>
            <w:noWrap w:val="0"/>
            <w:vAlign w:val="center"/>
          </w:tcPr>
          <w:p w14:paraId="765B14E0">
            <w:pPr>
              <w:pStyle w:val="182"/>
              <w:rPr>
                <w:color w:val="auto"/>
              </w:rPr>
            </w:pPr>
          </w:p>
        </w:tc>
        <w:tc>
          <w:tcPr>
            <w:tcW w:w="934" w:type="pct"/>
            <w:shd w:val="clear" w:color="auto" w:fill="auto"/>
            <w:noWrap w:val="0"/>
            <w:vAlign w:val="center"/>
          </w:tcPr>
          <w:p w14:paraId="12CCA33C">
            <w:pPr>
              <w:pStyle w:val="182"/>
              <w:rPr>
                <w:color w:val="auto"/>
              </w:rPr>
            </w:pPr>
            <w:r>
              <w:rPr>
                <w:rFonts w:hint="eastAsia"/>
                <w:color w:val="auto"/>
              </w:rPr>
              <w:t>板式换热器</w:t>
            </w:r>
          </w:p>
        </w:tc>
        <w:tc>
          <w:tcPr>
            <w:tcW w:w="2556" w:type="pct"/>
            <w:gridSpan w:val="2"/>
            <w:shd w:val="clear" w:color="auto" w:fill="auto"/>
            <w:noWrap w:val="0"/>
            <w:vAlign w:val="center"/>
          </w:tcPr>
          <w:p w14:paraId="5BDFA258">
            <w:pPr>
              <w:pStyle w:val="182"/>
              <w:rPr>
                <w:color w:val="auto"/>
              </w:rPr>
            </w:pPr>
            <w:r>
              <w:rPr>
                <w:rFonts w:hint="eastAsia"/>
                <w:color w:val="auto"/>
              </w:rPr>
              <w:t>BEB0.75-70，190m</w:t>
            </w:r>
            <w:r>
              <w:rPr>
                <w:rFonts w:hint="eastAsia"/>
                <w:color w:val="auto"/>
                <w:vertAlign w:val="superscript"/>
              </w:rPr>
              <w:t>3</w:t>
            </w:r>
            <w:r>
              <w:rPr>
                <w:rFonts w:hint="eastAsia"/>
                <w:color w:val="auto"/>
              </w:rPr>
              <w:t>/h</w:t>
            </w:r>
          </w:p>
        </w:tc>
        <w:tc>
          <w:tcPr>
            <w:tcW w:w="632" w:type="pct"/>
            <w:shd w:val="clear" w:color="auto" w:fill="auto"/>
            <w:noWrap w:val="0"/>
            <w:vAlign w:val="center"/>
          </w:tcPr>
          <w:p w14:paraId="3276A4F1">
            <w:pPr>
              <w:pStyle w:val="182"/>
              <w:rPr>
                <w:color w:val="auto"/>
              </w:rPr>
            </w:pPr>
            <w:r>
              <w:rPr>
                <w:rFonts w:hint="eastAsia"/>
                <w:color w:val="auto"/>
              </w:rPr>
              <w:t>4</w:t>
            </w:r>
          </w:p>
        </w:tc>
      </w:tr>
      <w:tr w14:paraId="5EC9D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EB36165">
            <w:pPr>
              <w:pStyle w:val="182"/>
              <w:rPr>
                <w:color w:val="auto"/>
              </w:rPr>
            </w:pPr>
            <w:r>
              <w:rPr>
                <w:color w:val="auto"/>
              </w:rPr>
              <w:t>1</w:t>
            </w:r>
            <w:r>
              <w:rPr>
                <w:rFonts w:hint="eastAsia"/>
                <w:color w:val="auto"/>
              </w:rPr>
              <w:t>7</w:t>
            </w:r>
          </w:p>
        </w:tc>
        <w:tc>
          <w:tcPr>
            <w:tcW w:w="564" w:type="pct"/>
            <w:gridSpan w:val="3"/>
            <w:vMerge w:val="continue"/>
            <w:shd w:val="clear" w:color="auto" w:fill="auto"/>
            <w:noWrap w:val="0"/>
            <w:vAlign w:val="center"/>
          </w:tcPr>
          <w:p w14:paraId="1B06B533">
            <w:pPr>
              <w:pStyle w:val="182"/>
              <w:rPr>
                <w:color w:val="auto"/>
              </w:rPr>
            </w:pPr>
          </w:p>
        </w:tc>
        <w:tc>
          <w:tcPr>
            <w:tcW w:w="934" w:type="pct"/>
            <w:shd w:val="clear" w:color="auto" w:fill="auto"/>
            <w:noWrap w:val="0"/>
            <w:vAlign w:val="center"/>
          </w:tcPr>
          <w:p w14:paraId="7683E050">
            <w:pPr>
              <w:pStyle w:val="182"/>
              <w:rPr>
                <w:color w:val="auto"/>
              </w:rPr>
            </w:pPr>
            <w:r>
              <w:rPr>
                <w:rFonts w:hint="eastAsia"/>
                <w:color w:val="auto"/>
              </w:rPr>
              <w:t>酸浴过滤器</w:t>
            </w:r>
          </w:p>
        </w:tc>
        <w:tc>
          <w:tcPr>
            <w:tcW w:w="2556" w:type="pct"/>
            <w:gridSpan w:val="2"/>
            <w:shd w:val="clear" w:color="auto" w:fill="auto"/>
            <w:noWrap w:val="0"/>
            <w:vAlign w:val="center"/>
          </w:tcPr>
          <w:p w14:paraId="7A4A8A2B">
            <w:pPr>
              <w:pStyle w:val="182"/>
              <w:rPr>
                <w:color w:val="auto"/>
              </w:rPr>
            </w:pPr>
            <w:r>
              <w:rPr>
                <w:color w:val="auto"/>
              </w:rPr>
              <w:t>UR021B-300</w:t>
            </w:r>
          </w:p>
        </w:tc>
        <w:tc>
          <w:tcPr>
            <w:tcW w:w="632" w:type="pct"/>
            <w:shd w:val="clear" w:color="auto" w:fill="auto"/>
            <w:noWrap w:val="0"/>
            <w:vAlign w:val="center"/>
          </w:tcPr>
          <w:p w14:paraId="022EB45F">
            <w:pPr>
              <w:pStyle w:val="182"/>
              <w:rPr>
                <w:color w:val="auto"/>
              </w:rPr>
            </w:pPr>
            <w:r>
              <w:rPr>
                <w:color w:val="auto"/>
              </w:rPr>
              <w:t>22</w:t>
            </w:r>
          </w:p>
        </w:tc>
      </w:tr>
      <w:tr w14:paraId="67B7F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27309E5">
            <w:pPr>
              <w:pStyle w:val="182"/>
              <w:rPr>
                <w:color w:val="auto"/>
              </w:rPr>
            </w:pPr>
            <w:r>
              <w:rPr>
                <w:rFonts w:hint="eastAsia"/>
                <w:color w:val="auto"/>
              </w:rPr>
              <w:t>18</w:t>
            </w:r>
          </w:p>
        </w:tc>
        <w:tc>
          <w:tcPr>
            <w:tcW w:w="564" w:type="pct"/>
            <w:gridSpan w:val="3"/>
            <w:vMerge w:val="continue"/>
            <w:shd w:val="clear" w:color="auto" w:fill="auto"/>
            <w:noWrap w:val="0"/>
            <w:vAlign w:val="center"/>
          </w:tcPr>
          <w:p w14:paraId="7ED3B1AC">
            <w:pPr>
              <w:pStyle w:val="182"/>
              <w:rPr>
                <w:color w:val="auto"/>
              </w:rPr>
            </w:pPr>
          </w:p>
        </w:tc>
        <w:tc>
          <w:tcPr>
            <w:tcW w:w="934" w:type="pct"/>
            <w:shd w:val="clear" w:color="auto" w:fill="auto"/>
            <w:noWrap w:val="0"/>
            <w:vAlign w:val="center"/>
          </w:tcPr>
          <w:p w14:paraId="6282E00E">
            <w:pPr>
              <w:pStyle w:val="182"/>
              <w:rPr>
                <w:color w:val="auto"/>
              </w:rPr>
            </w:pPr>
            <w:r>
              <w:rPr>
                <w:rFonts w:hint="eastAsia"/>
                <w:color w:val="auto"/>
              </w:rPr>
              <w:t>回酸槽</w:t>
            </w:r>
          </w:p>
        </w:tc>
        <w:tc>
          <w:tcPr>
            <w:tcW w:w="2556" w:type="pct"/>
            <w:gridSpan w:val="2"/>
            <w:shd w:val="clear" w:color="auto" w:fill="auto"/>
            <w:noWrap w:val="0"/>
            <w:vAlign w:val="center"/>
          </w:tcPr>
          <w:p w14:paraId="2CDA1561">
            <w:pPr>
              <w:pStyle w:val="182"/>
              <w:rPr>
                <w:color w:val="auto"/>
              </w:rPr>
            </w:pPr>
            <w:r>
              <w:rPr>
                <w:color w:val="auto"/>
              </w:rPr>
              <w:t>Φ4000</w:t>
            </w:r>
            <w:r>
              <w:rPr>
                <w:rFonts w:hint="eastAsia"/>
                <w:color w:val="auto"/>
              </w:rPr>
              <w:t>，</w:t>
            </w:r>
            <w:r>
              <w:rPr>
                <w:color w:val="auto"/>
              </w:rPr>
              <w:t>40m</w:t>
            </w:r>
            <w:r>
              <w:rPr>
                <w:color w:val="auto"/>
                <w:vertAlign w:val="superscript"/>
              </w:rPr>
              <w:t>3</w:t>
            </w:r>
          </w:p>
        </w:tc>
        <w:tc>
          <w:tcPr>
            <w:tcW w:w="632" w:type="pct"/>
            <w:shd w:val="clear" w:color="auto" w:fill="auto"/>
            <w:noWrap w:val="0"/>
            <w:vAlign w:val="center"/>
          </w:tcPr>
          <w:p w14:paraId="372EE6CA">
            <w:pPr>
              <w:pStyle w:val="182"/>
              <w:rPr>
                <w:color w:val="auto"/>
              </w:rPr>
            </w:pPr>
            <w:r>
              <w:rPr>
                <w:color w:val="auto"/>
              </w:rPr>
              <w:t>4</w:t>
            </w:r>
          </w:p>
        </w:tc>
      </w:tr>
      <w:tr w14:paraId="72E68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2868CA0B">
            <w:pPr>
              <w:pStyle w:val="182"/>
              <w:rPr>
                <w:color w:val="auto"/>
              </w:rPr>
            </w:pPr>
            <w:r>
              <w:rPr>
                <w:rFonts w:hint="eastAsia"/>
                <w:color w:val="auto"/>
              </w:rPr>
              <w:t>19</w:t>
            </w:r>
          </w:p>
        </w:tc>
        <w:tc>
          <w:tcPr>
            <w:tcW w:w="564" w:type="pct"/>
            <w:gridSpan w:val="3"/>
            <w:vMerge w:val="continue"/>
            <w:shd w:val="clear" w:color="auto" w:fill="auto"/>
            <w:noWrap w:val="0"/>
            <w:vAlign w:val="center"/>
          </w:tcPr>
          <w:p w14:paraId="3E6F2FA1">
            <w:pPr>
              <w:pStyle w:val="182"/>
              <w:rPr>
                <w:color w:val="auto"/>
              </w:rPr>
            </w:pPr>
          </w:p>
        </w:tc>
        <w:tc>
          <w:tcPr>
            <w:tcW w:w="934" w:type="pct"/>
            <w:shd w:val="clear" w:color="auto" w:fill="auto"/>
            <w:noWrap w:val="0"/>
            <w:vAlign w:val="center"/>
          </w:tcPr>
          <w:p w14:paraId="1606AB17">
            <w:pPr>
              <w:pStyle w:val="182"/>
              <w:rPr>
                <w:color w:val="auto"/>
              </w:rPr>
            </w:pPr>
            <w:r>
              <w:rPr>
                <w:rFonts w:hint="eastAsia"/>
                <w:color w:val="auto"/>
              </w:rPr>
              <w:t>供酸槽</w:t>
            </w:r>
          </w:p>
        </w:tc>
        <w:tc>
          <w:tcPr>
            <w:tcW w:w="2556" w:type="pct"/>
            <w:gridSpan w:val="2"/>
            <w:shd w:val="clear" w:color="auto" w:fill="auto"/>
            <w:noWrap w:val="0"/>
            <w:vAlign w:val="center"/>
          </w:tcPr>
          <w:p w14:paraId="512C9305">
            <w:pPr>
              <w:pStyle w:val="182"/>
              <w:rPr>
                <w:color w:val="auto"/>
              </w:rPr>
            </w:pPr>
            <w:r>
              <w:rPr>
                <w:color w:val="auto"/>
              </w:rPr>
              <w:t>Φ4000</w:t>
            </w:r>
            <w:r>
              <w:rPr>
                <w:rFonts w:hint="eastAsia"/>
                <w:color w:val="auto"/>
              </w:rPr>
              <w:t>，</w:t>
            </w:r>
            <w:r>
              <w:rPr>
                <w:color w:val="auto"/>
              </w:rPr>
              <w:t>40m</w:t>
            </w:r>
            <w:r>
              <w:rPr>
                <w:color w:val="auto"/>
                <w:vertAlign w:val="superscript"/>
              </w:rPr>
              <w:t>3</w:t>
            </w:r>
          </w:p>
        </w:tc>
        <w:tc>
          <w:tcPr>
            <w:tcW w:w="632" w:type="pct"/>
            <w:shd w:val="clear" w:color="auto" w:fill="auto"/>
            <w:noWrap w:val="0"/>
            <w:vAlign w:val="center"/>
          </w:tcPr>
          <w:p w14:paraId="025647BB">
            <w:pPr>
              <w:pStyle w:val="182"/>
              <w:rPr>
                <w:color w:val="auto"/>
              </w:rPr>
            </w:pPr>
            <w:r>
              <w:rPr>
                <w:color w:val="auto"/>
              </w:rPr>
              <w:t>5</w:t>
            </w:r>
          </w:p>
        </w:tc>
      </w:tr>
      <w:tr w14:paraId="2DD5C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4373F62">
            <w:pPr>
              <w:pStyle w:val="182"/>
              <w:rPr>
                <w:color w:val="auto"/>
              </w:rPr>
            </w:pPr>
            <w:r>
              <w:rPr>
                <w:color w:val="auto"/>
              </w:rPr>
              <w:t>2</w:t>
            </w:r>
            <w:r>
              <w:rPr>
                <w:rFonts w:hint="eastAsia"/>
                <w:color w:val="auto"/>
              </w:rPr>
              <w:t>0</w:t>
            </w:r>
          </w:p>
        </w:tc>
        <w:tc>
          <w:tcPr>
            <w:tcW w:w="564" w:type="pct"/>
            <w:gridSpan w:val="3"/>
            <w:vMerge w:val="continue"/>
            <w:shd w:val="clear" w:color="auto" w:fill="auto"/>
            <w:noWrap w:val="0"/>
            <w:vAlign w:val="center"/>
          </w:tcPr>
          <w:p w14:paraId="442DD54F">
            <w:pPr>
              <w:pStyle w:val="182"/>
              <w:rPr>
                <w:color w:val="auto"/>
              </w:rPr>
            </w:pPr>
          </w:p>
        </w:tc>
        <w:tc>
          <w:tcPr>
            <w:tcW w:w="934" w:type="pct"/>
            <w:shd w:val="clear" w:color="auto" w:fill="auto"/>
            <w:noWrap w:val="0"/>
            <w:vAlign w:val="center"/>
          </w:tcPr>
          <w:p w14:paraId="17E56E73">
            <w:pPr>
              <w:pStyle w:val="182"/>
              <w:rPr>
                <w:color w:val="auto"/>
              </w:rPr>
            </w:pPr>
            <w:r>
              <w:rPr>
                <w:rFonts w:hint="eastAsia"/>
                <w:color w:val="auto"/>
              </w:rPr>
              <w:t>高位槽</w:t>
            </w:r>
          </w:p>
        </w:tc>
        <w:tc>
          <w:tcPr>
            <w:tcW w:w="2556" w:type="pct"/>
            <w:gridSpan w:val="2"/>
            <w:shd w:val="clear" w:color="auto" w:fill="auto"/>
            <w:noWrap w:val="0"/>
            <w:vAlign w:val="center"/>
          </w:tcPr>
          <w:p w14:paraId="34591A5E">
            <w:pPr>
              <w:pStyle w:val="182"/>
              <w:rPr>
                <w:color w:val="auto"/>
              </w:rPr>
            </w:pPr>
            <w:r>
              <w:rPr>
                <w:color w:val="auto"/>
              </w:rPr>
              <w:t>/</w:t>
            </w:r>
          </w:p>
        </w:tc>
        <w:tc>
          <w:tcPr>
            <w:tcW w:w="632" w:type="pct"/>
            <w:shd w:val="clear" w:color="auto" w:fill="auto"/>
            <w:noWrap w:val="0"/>
            <w:vAlign w:val="center"/>
          </w:tcPr>
          <w:p w14:paraId="2B20EACE">
            <w:pPr>
              <w:pStyle w:val="182"/>
              <w:rPr>
                <w:color w:val="auto"/>
              </w:rPr>
            </w:pPr>
            <w:r>
              <w:rPr>
                <w:color w:val="auto"/>
              </w:rPr>
              <w:t>4</w:t>
            </w:r>
          </w:p>
        </w:tc>
      </w:tr>
      <w:tr w14:paraId="6A337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938D768">
            <w:pPr>
              <w:pStyle w:val="182"/>
              <w:rPr>
                <w:color w:val="auto"/>
              </w:rPr>
            </w:pPr>
            <w:r>
              <w:rPr>
                <w:color w:val="auto"/>
              </w:rPr>
              <w:t>2</w:t>
            </w:r>
            <w:r>
              <w:rPr>
                <w:rFonts w:hint="eastAsia"/>
                <w:color w:val="auto"/>
              </w:rPr>
              <w:t>1</w:t>
            </w:r>
          </w:p>
        </w:tc>
        <w:tc>
          <w:tcPr>
            <w:tcW w:w="564" w:type="pct"/>
            <w:gridSpan w:val="3"/>
            <w:vMerge w:val="continue"/>
            <w:shd w:val="clear" w:color="auto" w:fill="auto"/>
            <w:noWrap w:val="0"/>
            <w:vAlign w:val="center"/>
          </w:tcPr>
          <w:p w14:paraId="1B4805A3">
            <w:pPr>
              <w:pStyle w:val="182"/>
              <w:rPr>
                <w:color w:val="auto"/>
              </w:rPr>
            </w:pPr>
          </w:p>
        </w:tc>
        <w:tc>
          <w:tcPr>
            <w:tcW w:w="934" w:type="pct"/>
            <w:shd w:val="clear" w:color="auto" w:fill="auto"/>
            <w:noWrap w:val="0"/>
            <w:vAlign w:val="center"/>
          </w:tcPr>
          <w:p w14:paraId="70A178B4">
            <w:pPr>
              <w:pStyle w:val="182"/>
              <w:rPr>
                <w:color w:val="auto"/>
              </w:rPr>
            </w:pPr>
            <w:r>
              <w:rPr>
                <w:rFonts w:hint="eastAsia"/>
                <w:color w:val="auto"/>
              </w:rPr>
              <w:t>闪蒸装置</w:t>
            </w:r>
          </w:p>
        </w:tc>
        <w:tc>
          <w:tcPr>
            <w:tcW w:w="2556" w:type="pct"/>
            <w:gridSpan w:val="2"/>
            <w:shd w:val="clear" w:color="auto" w:fill="auto"/>
            <w:noWrap w:val="0"/>
            <w:vAlign w:val="center"/>
          </w:tcPr>
          <w:p w14:paraId="54726BE9">
            <w:pPr>
              <w:pStyle w:val="182"/>
              <w:rPr>
                <w:color w:val="auto"/>
              </w:rPr>
            </w:pPr>
            <w:r>
              <w:rPr>
                <w:color w:val="auto"/>
              </w:rPr>
              <w:t>11</w:t>
            </w:r>
            <w:r>
              <w:rPr>
                <w:rFonts w:hint="eastAsia"/>
                <w:color w:val="auto"/>
              </w:rPr>
              <w:t>级</w:t>
            </w:r>
          </w:p>
        </w:tc>
        <w:tc>
          <w:tcPr>
            <w:tcW w:w="632" w:type="pct"/>
            <w:shd w:val="clear" w:color="auto" w:fill="auto"/>
            <w:noWrap w:val="0"/>
            <w:vAlign w:val="center"/>
          </w:tcPr>
          <w:p w14:paraId="6AC29B1D">
            <w:pPr>
              <w:pStyle w:val="182"/>
              <w:rPr>
                <w:color w:val="auto"/>
              </w:rPr>
            </w:pPr>
            <w:r>
              <w:rPr>
                <w:color w:val="auto"/>
              </w:rPr>
              <w:t>6</w:t>
            </w:r>
          </w:p>
        </w:tc>
      </w:tr>
      <w:tr w14:paraId="07BE4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3DE453D">
            <w:pPr>
              <w:pStyle w:val="182"/>
              <w:rPr>
                <w:color w:val="auto"/>
              </w:rPr>
            </w:pPr>
            <w:r>
              <w:rPr>
                <w:color w:val="auto"/>
              </w:rPr>
              <w:t>2</w:t>
            </w:r>
            <w:r>
              <w:rPr>
                <w:rFonts w:hint="eastAsia"/>
                <w:color w:val="auto"/>
              </w:rPr>
              <w:t>2</w:t>
            </w:r>
          </w:p>
        </w:tc>
        <w:tc>
          <w:tcPr>
            <w:tcW w:w="564" w:type="pct"/>
            <w:gridSpan w:val="3"/>
            <w:vMerge w:val="continue"/>
            <w:shd w:val="clear" w:color="auto" w:fill="auto"/>
            <w:noWrap w:val="0"/>
            <w:vAlign w:val="center"/>
          </w:tcPr>
          <w:p w14:paraId="72D9BD2A">
            <w:pPr>
              <w:pStyle w:val="182"/>
              <w:rPr>
                <w:color w:val="auto"/>
              </w:rPr>
            </w:pPr>
          </w:p>
        </w:tc>
        <w:tc>
          <w:tcPr>
            <w:tcW w:w="934" w:type="pct"/>
            <w:shd w:val="clear" w:color="auto" w:fill="auto"/>
            <w:noWrap w:val="0"/>
            <w:vAlign w:val="center"/>
          </w:tcPr>
          <w:p w14:paraId="4E3CAFD9">
            <w:pPr>
              <w:pStyle w:val="182"/>
              <w:rPr>
                <w:color w:val="auto"/>
              </w:rPr>
            </w:pPr>
            <w:r>
              <w:rPr>
                <w:rFonts w:hint="eastAsia"/>
                <w:color w:val="auto"/>
              </w:rPr>
              <w:t>元明粉脱水机</w:t>
            </w:r>
          </w:p>
        </w:tc>
        <w:tc>
          <w:tcPr>
            <w:tcW w:w="2556" w:type="pct"/>
            <w:gridSpan w:val="2"/>
            <w:shd w:val="clear" w:color="auto" w:fill="auto"/>
            <w:noWrap w:val="0"/>
            <w:vAlign w:val="center"/>
          </w:tcPr>
          <w:p w14:paraId="51635439">
            <w:pPr>
              <w:pStyle w:val="182"/>
              <w:rPr>
                <w:color w:val="auto"/>
              </w:rPr>
            </w:pPr>
            <w:r>
              <w:rPr>
                <w:color w:val="auto"/>
              </w:rPr>
              <w:t>Φ1000</w:t>
            </w:r>
          </w:p>
        </w:tc>
        <w:tc>
          <w:tcPr>
            <w:tcW w:w="632" w:type="pct"/>
            <w:shd w:val="clear" w:color="auto" w:fill="auto"/>
            <w:noWrap w:val="0"/>
            <w:vAlign w:val="center"/>
          </w:tcPr>
          <w:p w14:paraId="29AD63B3">
            <w:pPr>
              <w:pStyle w:val="182"/>
              <w:rPr>
                <w:color w:val="auto"/>
              </w:rPr>
            </w:pPr>
            <w:r>
              <w:rPr>
                <w:color w:val="auto"/>
              </w:rPr>
              <w:t>8</w:t>
            </w:r>
          </w:p>
        </w:tc>
      </w:tr>
      <w:tr w14:paraId="0DB48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2E16053">
            <w:pPr>
              <w:pStyle w:val="182"/>
              <w:rPr>
                <w:color w:val="auto"/>
              </w:rPr>
            </w:pPr>
            <w:r>
              <w:rPr>
                <w:color w:val="auto"/>
              </w:rPr>
              <w:t>2</w:t>
            </w:r>
            <w:r>
              <w:rPr>
                <w:rFonts w:hint="eastAsia"/>
                <w:color w:val="auto"/>
              </w:rPr>
              <w:t>3</w:t>
            </w:r>
          </w:p>
        </w:tc>
        <w:tc>
          <w:tcPr>
            <w:tcW w:w="564" w:type="pct"/>
            <w:gridSpan w:val="3"/>
            <w:vMerge w:val="continue"/>
            <w:shd w:val="clear" w:color="auto" w:fill="auto"/>
            <w:noWrap w:val="0"/>
            <w:vAlign w:val="center"/>
          </w:tcPr>
          <w:p w14:paraId="269B7831">
            <w:pPr>
              <w:pStyle w:val="182"/>
              <w:rPr>
                <w:color w:val="auto"/>
              </w:rPr>
            </w:pPr>
          </w:p>
        </w:tc>
        <w:tc>
          <w:tcPr>
            <w:tcW w:w="934" w:type="pct"/>
            <w:shd w:val="clear" w:color="auto" w:fill="auto"/>
            <w:noWrap w:val="0"/>
            <w:vAlign w:val="center"/>
          </w:tcPr>
          <w:p w14:paraId="2D1967E9">
            <w:pPr>
              <w:pStyle w:val="182"/>
              <w:rPr>
                <w:color w:val="auto"/>
              </w:rPr>
            </w:pPr>
            <w:r>
              <w:rPr>
                <w:rFonts w:hint="eastAsia"/>
                <w:color w:val="auto"/>
              </w:rPr>
              <w:t>真空结晶机</w:t>
            </w:r>
          </w:p>
        </w:tc>
        <w:tc>
          <w:tcPr>
            <w:tcW w:w="2556" w:type="pct"/>
            <w:gridSpan w:val="2"/>
            <w:shd w:val="clear" w:color="auto" w:fill="auto"/>
            <w:noWrap w:val="0"/>
            <w:vAlign w:val="center"/>
          </w:tcPr>
          <w:p w14:paraId="41784EE6">
            <w:pPr>
              <w:pStyle w:val="182"/>
              <w:rPr>
                <w:color w:val="auto"/>
              </w:rPr>
            </w:pPr>
            <w:r>
              <w:rPr>
                <w:color w:val="auto"/>
              </w:rPr>
              <w:t>LKR841-4</w:t>
            </w:r>
          </w:p>
        </w:tc>
        <w:tc>
          <w:tcPr>
            <w:tcW w:w="632" w:type="pct"/>
            <w:shd w:val="clear" w:color="auto" w:fill="auto"/>
            <w:noWrap w:val="0"/>
            <w:vAlign w:val="center"/>
          </w:tcPr>
          <w:p w14:paraId="67142A4D">
            <w:pPr>
              <w:pStyle w:val="182"/>
              <w:rPr>
                <w:color w:val="auto"/>
              </w:rPr>
            </w:pPr>
            <w:r>
              <w:rPr>
                <w:color w:val="auto"/>
              </w:rPr>
              <w:t>8</w:t>
            </w:r>
          </w:p>
        </w:tc>
      </w:tr>
      <w:tr w14:paraId="2447C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70B96B6">
            <w:pPr>
              <w:pStyle w:val="182"/>
              <w:rPr>
                <w:color w:val="auto"/>
              </w:rPr>
            </w:pPr>
            <w:r>
              <w:rPr>
                <w:color w:val="auto"/>
              </w:rPr>
              <w:t>2</w:t>
            </w:r>
            <w:r>
              <w:rPr>
                <w:rFonts w:hint="eastAsia"/>
                <w:color w:val="auto"/>
              </w:rPr>
              <w:t>4</w:t>
            </w:r>
          </w:p>
        </w:tc>
        <w:tc>
          <w:tcPr>
            <w:tcW w:w="564" w:type="pct"/>
            <w:gridSpan w:val="3"/>
            <w:vMerge w:val="continue"/>
            <w:shd w:val="clear" w:color="auto" w:fill="auto"/>
            <w:noWrap w:val="0"/>
            <w:vAlign w:val="center"/>
          </w:tcPr>
          <w:p w14:paraId="05A466FB">
            <w:pPr>
              <w:pStyle w:val="182"/>
              <w:rPr>
                <w:color w:val="auto"/>
              </w:rPr>
            </w:pPr>
          </w:p>
        </w:tc>
        <w:tc>
          <w:tcPr>
            <w:tcW w:w="934" w:type="pct"/>
            <w:shd w:val="clear" w:color="auto" w:fill="auto"/>
            <w:noWrap w:val="0"/>
            <w:vAlign w:val="center"/>
          </w:tcPr>
          <w:p w14:paraId="4978FF0F">
            <w:pPr>
              <w:pStyle w:val="182"/>
              <w:rPr>
                <w:color w:val="auto"/>
              </w:rPr>
            </w:pPr>
            <w:r>
              <w:rPr>
                <w:rFonts w:hint="eastAsia"/>
                <w:color w:val="auto"/>
              </w:rPr>
              <w:t>焙烧装置</w:t>
            </w:r>
          </w:p>
        </w:tc>
        <w:tc>
          <w:tcPr>
            <w:tcW w:w="2556" w:type="pct"/>
            <w:gridSpan w:val="2"/>
            <w:shd w:val="clear" w:color="auto" w:fill="auto"/>
            <w:noWrap w:val="0"/>
            <w:vAlign w:val="center"/>
          </w:tcPr>
          <w:p w14:paraId="4894EF1D">
            <w:pPr>
              <w:pStyle w:val="182"/>
              <w:rPr>
                <w:color w:val="auto"/>
              </w:rPr>
            </w:pPr>
            <w:r>
              <w:rPr>
                <w:color w:val="auto"/>
              </w:rPr>
              <w:t>LKR861</w:t>
            </w:r>
          </w:p>
        </w:tc>
        <w:tc>
          <w:tcPr>
            <w:tcW w:w="632" w:type="pct"/>
            <w:shd w:val="clear" w:color="auto" w:fill="auto"/>
            <w:noWrap w:val="0"/>
            <w:vAlign w:val="center"/>
          </w:tcPr>
          <w:p w14:paraId="1CDD5E0B">
            <w:pPr>
              <w:pStyle w:val="182"/>
              <w:rPr>
                <w:color w:val="auto"/>
              </w:rPr>
            </w:pPr>
            <w:r>
              <w:rPr>
                <w:color w:val="auto"/>
              </w:rPr>
              <w:t>1</w:t>
            </w:r>
          </w:p>
        </w:tc>
      </w:tr>
      <w:tr w14:paraId="2496B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EC31988">
            <w:pPr>
              <w:pStyle w:val="182"/>
              <w:rPr>
                <w:color w:val="auto"/>
              </w:rPr>
            </w:pPr>
            <w:r>
              <w:rPr>
                <w:color w:val="auto"/>
              </w:rPr>
              <w:t>2</w:t>
            </w:r>
            <w:r>
              <w:rPr>
                <w:rFonts w:hint="eastAsia"/>
                <w:color w:val="auto"/>
              </w:rPr>
              <w:t>5</w:t>
            </w:r>
          </w:p>
        </w:tc>
        <w:tc>
          <w:tcPr>
            <w:tcW w:w="564" w:type="pct"/>
            <w:gridSpan w:val="3"/>
            <w:vMerge w:val="continue"/>
            <w:shd w:val="clear" w:color="auto" w:fill="auto"/>
            <w:noWrap w:val="0"/>
            <w:vAlign w:val="center"/>
          </w:tcPr>
          <w:p w14:paraId="22C8ED91">
            <w:pPr>
              <w:pStyle w:val="182"/>
              <w:rPr>
                <w:color w:val="auto"/>
              </w:rPr>
            </w:pPr>
          </w:p>
        </w:tc>
        <w:tc>
          <w:tcPr>
            <w:tcW w:w="934" w:type="pct"/>
            <w:shd w:val="clear" w:color="auto" w:fill="auto"/>
            <w:noWrap w:val="0"/>
            <w:vAlign w:val="center"/>
          </w:tcPr>
          <w:p w14:paraId="661B372C">
            <w:pPr>
              <w:pStyle w:val="182"/>
              <w:rPr>
                <w:color w:val="auto"/>
              </w:rPr>
            </w:pPr>
            <w:r>
              <w:rPr>
                <w:rFonts w:hint="eastAsia"/>
                <w:color w:val="auto"/>
              </w:rPr>
              <w:t>脱气真空泵</w:t>
            </w:r>
          </w:p>
        </w:tc>
        <w:tc>
          <w:tcPr>
            <w:tcW w:w="2556" w:type="pct"/>
            <w:gridSpan w:val="2"/>
            <w:shd w:val="clear" w:color="auto" w:fill="auto"/>
            <w:noWrap w:val="0"/>
            <w:vAlign w:val="center"/>
          </w:tcPr>
          <w:p w14:paraId="0BA0B292">
            <w:pPr>
              <w:pStyle w:val="182"/>
              <w:rPr>
                <w:color w:val="auto"/>
              </w:rPr>
            </w:pPr>
            <w:r>
              <w:rPr>
                <w:color w:val="auto"/>
              </w:rPr>
              <w:t>2BE-153-0</w:t>
            </w:r>
          </w:p>
        </w:tc>
        <w:tc>
          <w:tcPr>
            <w:tcW w:w="632" w:type="pct"/>
            <w:shd w:val="clear" w:color="auto" w:fill="auto"/>
            <w:noWrap w:val="0"/>
            <w:vAlign w:val="center"/>
          </w:tcPr>
          <w:p w14:paraId="2367C48F">
            <w:pPr>
              <w:pStyle w:val="182"/>
              <w:rPr>
                <w:color w:val="auto"/>
              </w:rPr>
            </w:pPr>
            <w:r>
              <w:rPr>
                <w:color w:val="auto"/>
              </w:rPr>
              <w:t>8</w:t>
            </w:r>
          </w:p>
        </w:tc>
      </w:tr>
      <w:tr w14:paraId="77068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4728767">
            <w:pPr>
              <w:pStyle w:val="182"/>
              <w:rPr>
                <w:color w:val="auto"/>
              </w:rPr>
            </w:pPr>
            <w:r>
              <w:rPr>
                <w:color w:val="auto"/>
              </w:rPr>
              <w:t>2</w:t>
            </w:r>
            <w:r>
              <w:rPr>
                <w:rFonts w:hint="eastAsia"/>
                <w:color w:val="auto"/>
              </w:rPr>
              <w:t>6</w:t>
            </w:r>
          </w:p>
        </w:tc>
        <w:tc>
          <w:tcPr>
            <w:tcW w:w="564" w:type="pct"/>
            <w:gridSpan w:val="3"/>
            <w:vMerge w:val="continue"/>
            <w:shd w:val="clear" w:color="auto" w:fill="auto"/>
            <w:noWrap w:val="0"/>
            <w:vAlign w:val="center"/>
          </w:tcPr>
          <w:p w14:paraId="4B3AEE7D">
            <w:pPr>
              <w:pStyle w:val="182"/>
              <w:rPr>
                <w:color w:val="auto"/>
              </w:rPr>
            </w:pPr>
          </w:p>
        </w:tc>
        <w:tc>
          <w:tcPr>
            <w:tcW w:w="934" w:type="pct"/>
            <w:shd w:val="clear" w:color="auto" w:fill="auto"/>
            <w:noWrap w:val="0"/>
            <w:vAlign w:val="center"/>
          </w:tcPr>
          <w:p w14:paraId="5D4D712E">
            <w:pPr>
              <w:pStyle w:val="182"/>
              <w:rPr>
                <w:color w:val="auto"/>
              </w:rPr>
            </w:pPr>
            <w:r>
              <w:rPr>
                <w:rFonts w:hint="eastAsia"/>
                <w:color w:val="auto"/>
              </w:rPr>
              <w:t>冷却塔</w:t>
            </w:r>
          </w:p>
        </w:tc>
        <w:tc>
          <w:tcPr>
            <w:tcW w:w="2556" w:type="pct"/>
            <w:gridSpan w:val="2"/>
            <w:shd w:val="clear" w:color="auto" w:fill="auto"/>
            <w:noWrap w:val="0"/>
            <w:vAlign w:val="center"/>
          </w:tcPr>
          <w:p w14:paraId="44F3588C">
            <w:pPr>
              <w:pStyle w:val="182"/>
              <w:rPr>
                <w:color w:val="auto"/>
              </w:rPr>
            </w:pPr>
            <w:r>
              <w:rPr>
                <w:color w:val="auto"/>
              </w:rPr>
              <w:t>GBNL3-400</w:t>
            </w:r>
          </w:p>
        </w:tc>
        <w:tc>
          <w:tcPr>
            <w:tcW w:w="632" w:type="pct"/>
            <w:shd w:val="clear" w:color="auto" w:fill="auto"/>
            <w:noWrap w:val="0"/>
            <w:vAlign w:val="center"/>
          </w:tcPr>
          <w:p w14:paraId="5BEEA904">
            <w:pPr>
              <w:pStyle w:val="182"/>
              <w:rPr>
                <w:color w:val="auto"/>
              </w:rPr>
            </w:pPr>
            <w:r>
              <w:rPr>
                <w:color w:val="auto"/>
              </w:rPr>
              <w:t>6</w:t>
            </w:r>
          </w:p>
        </w:tc>
      </w:tr>
      <w:tr w14:paraId="64F09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0CFA2EC">
            <w:pPr>
              <w:pStyle w:val="182"/>
              <w:rPr>
                <w:color w:val="auto"/>
              </w:rPr>
            </w:pPr>
            <w:r>
              <w:rPr>
                <w:color w:val="auto"/>
              </w:rPr>
              <w:t>2</w:t>
            </w:r>
            <w:r>
              <w:rPr>
                <w:rFonts w:hint="eastAsia"/>
                <w:color w:val="auto"/>
              </w:rPr>
              <w:t>7</w:t>
            </w:r>
          </w:p>
        </w:tc>
        <w:tc>
          <w:tcPr>
            <w:tcW w:w="564" w:type="pct"/>
            <w:gridSpan w:val="3"/>
            <w:vMerge w:val="restart"/>
            <w:shd w:val="clear" w:color="auto" w:fill="auto"/>
            <w:noWrap w:val="0"/>
            <w:vAlign w:val="center"/>
          </w:tcPr>
          <w:p w14:paraId="7D94A799">
            <w:pPr>
              <w:pStyle w:val="182"/>
              <w:rPr>
                <w:color w:val="auto"/>
              </w:rPr>
            </w:pPr>
            <w:r>
              <w:rPr>
                <w:rFonts w:hint="eastAsia"/>
                <w:color w:val="auto"/>
              </w:rPr>
              <w:t>纺丝车间（利用已有）</w:t>
            </w:r>
          </w:p>
        </w:tc>
        <w:tc>
          <w:tcPr>
            <w:tcW w:w="934" w:type="pct"/>
            <w:shd w:val="clear" w:color="auto" w:fill="auto"/>
            <w:noWrap w:val="0"/>
            <w:vAlign w:val="center"/>
          </w:tcPr>
          <w:p w14:paraId="5E458AA2">
            <w:pPr>
              <w:pStyle w:val="182"/>
              <w:rPr>
                <w:color w:val="auto"/>
              </w:rPr>
            </w:pPr>
            <w:r>
              <w:rPr>
                <w:rFonts w:hint="eastAsia"/>
                <w:color w:val="auto"/>
              </w:rPr>
              <w:t>中间胶罐</w:t>
            </w:r>
          </w:p>
        </w:tc>
        <w:tc>
          <w:tcPr>
            <w:tcW w:w="2556" w:type="pct"/>
            <w:gridSpan w:val="2"/>
            <w:shd w:val="clear" w:color="auto" w:fill="auto"/>
            <w:noWrap w:val="0"/>
            <w:vAlign w:val="center"/>
          </w:tcPr>
          <w:p w14:paraId="4EAF9AA7">
            <w:pPr>
              <w:pStyle w:val="182"/>
              <w:rPr>
                <w:color w:val="auto"/>
              </w:rPr>
            </w:pPr>
            <w:r>
              <w:rPr>
                <w:color w:val="auto"/>
              </w:rPr>
              <w:t>10m</w:t>
            </w:r>
            <w:r>
              <w:rPr>
                <w:rFonts w:hint="eastAsia"/>
                <w:color w:val="auto"/>
                <w:vertAlign w:val="superscript"/>
              </w:rPr>
              <w:t>3</w:t>
            </w:r>
          </w:p>
        </w:tc>
        <w:tc>
          <w:tcPr>
            <w:tcW w:w="632" w:type="pct"/>
            <w:shd w:val="clear" w:color="auto" w:fill="auto"/>
            <w:noWrap w:val="0"/>
            <w:vAlign w:val="center"/>
          </w:tcPr>
          <w:p w14:paraId="47235FC7">
            <w:pPr>
              <w:pStyle w:val="182"/>
              <w:rPr>
                <w:color w:val="auto"/>
              </w:rPr>
            </w:pPr>
            <w:r>
              <w:rPr>
                <w:rFonts w:hint="eastAsia"/>
                <w:color w:val="auto"/>
              </w:rPr>
              <w:t>4</w:t>
            </w:r>
          </w:p>
        </w:tc>
      </w:tr>
      <w:tr w14:paraId="6178E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20C08D07">
            <w:pPr>
              <w:pStyle w:val="182"/>
              <w:rPr>
                <w:color w:val="auto"/>
              </w:rPr>
            </w:pPr>
            <w:r>
              <w:rPr>
                <w:rFonts w:hint="eastAsia"/>
                <w:color w:val="auto"/>
              </w:rPr>
              <w:t>28</w:t>
            </w:r>
          </w:p>
        </w:tc>
        <w:tc>
          <w:tcPr>
            <w:tcW w:w="564" w:type="pct"/>
            <w:gridSpan w:val="3"/>
            <w:vMerge w:val="continue"/>
            <w:shd w:val="clear" w:color="auto" w:fill="auto"/>
            <w:noWrap w:val="0"/>
            <w:vAlign w:val="center"/>
          </w:tcPr>
          <w:p w14:paraId="01DA6B4B">
            <w:pPr>
              <w:pStyle w:val="182"/>
              <w:rPr>
                <w:color w:val="auto"/>
              </w:rPr>
            </w:pPr>
          </w:p>
        </w:tc>
        <w:tc>
          <w:tcPr>
            <w:tcW w:w="934" w:type="pct"/>
            <w:shd w:val="clear" w:color="auto" w:fill="auto"/>
            <w:noWrap w:val="0"/>
            <w:vAlign w:val="center"/>
          </w:tcPr>
          <w:p w14:paraId="51DD6FB5">
            <w:pPr>
              <w:pStyle w:val="182"/>
              <w:rPr>
                <w:color w:val="auto"/>
              </w:rPr>
            </w:pPr>
            <w:r>
              <w:rPr>
                <w:rFonts w:hint="eastAsia"/>
                <w:color w:val="auto"/>
              </w:rPr>
              <w:t>连续纺丝机</w:t>
            </w:r>
          </w:p>
        </w:tc>
        <w:tc>
          <w:tcPr>
            <w:tcW w:w="2556" w:type="pct"/>
            <w:gridSpan w:val="2"/>
            <w:shd w:val="clear" w:color="auto" w:fill="auto"/>
            <w:noWrap w:val="0"/>
            <w:vAlign w:val="center"/>
          </w:tcPr>
          <w:p w14:paraId="63DF0FD0">
            <w:pPr>
              <w:pStyle w:val="182"/>
              <w:rPr>
                <w:color w:val="auto"/>
              </w:rPr>
            </w:pPr>
            <w:r>
              <w:rPr>
                <w:color w:val="auto"/>
              </w:rPr>
              <w:t>LF-3000</w:t>
            </w:r>
          </w:p>
        </w:tc>
        <w:tc>
          <w:tcPr>
            <w:tcW w:w="632" w:type="pct"/>
            <w:shd w:val="clear" w:color="auto" w:fill="auto"/>
            <w:noWrap w:val="0"/>
            <w:vAlign w:val="center"/>
          </w:tcPr>
          <w:p w14:paraId="68766ED5">
            <w:pPr>
              <w:pStyle w:val="182"/>
              <w:rPr>
                <w:color w:val="auto"/>
              </w:rPr>
            </w:pPr>
            <w:r>
              <w:rPr>
                <w:rFonts w:hint="eastAsia"/>
                <w:color w:val="auto"/>
              </w:rPr>
              <w:t>3</w:t>
            </w:r>
            <w:r>
              <w:rPr>
                <w:color w:val="auto"/>
              </w:rPr>
              <w:t>60</w:t>
            </w:r>
          </w:p>
        </w:tc>
      </w:tr>
      <w:tr w14:paraId="2C3F0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575814A">
            <w:pPr>
              <w:pStyle w:val="182"/>
              <w:rPr>
                <w:color w:val="auto"/>
              </w:rPr>
            </w:pPr>
            <w:r>
              <w:rPr>
                <w:rFonts w:hint="eastAsia"/>
                <w:color w:val="auto"/>
              </w:rPr>
              <w:t>29</w:t>
            </w:r>
          </w:p>
        </w:tc>
        <w:tc>
          <w:tcPr>
            <w:tcW w:w="564" w:type="pct"/>
            <w:gridSpan w:val="3"/>
            <w:vMerge w:val="continue"/>
            <w:shd w:val="clear" w:color="auto" w:fill="auto"/>
            <w:noWrap w:val="0"/>
            <w:vAlign w:val="center"/>
          </w:tcPr>
          <w:p w14:paraId="777326CD">
            <w:pPr>
              <w:pStyle w:val="182"/>
              <w:rPr>
                <w:color w:val="auto"/>
              </w:rPr>
            </w:pPr>
          </w:p>
        </w:tc>
        <w:tc>
          <w:tcPr>
            <w:tcW w:w="934" w:type="pct"/>
            <w:shd w:val="clear" w:color="auto" w:fill="auto"/>
            <w:noWrap w:val="0"/>
            <w:vAlign w:val="center"/>
          </w:tcPr>
          <w:p w14:paraId="14A5A77A">
            <w:pPr>
              <w:pStyle w:val="182"/>
              <w:rPr>
                <w:color w:val="auto"/>
              </w:rPr>
            </w:pPr>
            <w:r>
              <w:rPr>
                <w:rFonts w:hint="eastAsia"/>
                <w:color w:val="auto"/>
              </w:rPr>
              <w:t>硫酸罐</w:t>
            </w:r>
          </w:p>
        </w:tc>
        <w:tc>
          <w:tcPr>
            <w:tcW w:w="2556" w:type="pct"/>
            <w:gridSpan w:val="2"/>
            <w:shd w:val="clear" w:color="auto" w:fill="auto"/>
            <w:noWrap w:val="0"/>
            <w:vAlign w:val="center"/>
          </w:tcPr>
          <w:p w14:paraId="0461C0FC">
            <w:pPr>
              <w:pStyle w:val="182"/>
              <w:rPr>
                <w:color w:val="auto"/>
              </w:rPr>
            </w:pPr>
            <w:r>
              <w:rPr>
                <w:color w:val="auto"/>
              </w:rPr>
              <w:t>500m</w:t>
            </w:r>
            <w:r>
              <w:rPr>
                <w:rFonts w:hint="eastAsia"/>
                <w:color w:val="auto"/>
                <w:vertAlign w:val="superscript"/>
              </w:rPr>
              <w:t>3</w:t>
            </w:r>
          </w:p>
        </w:tc>
        <w:tc>
          <w:tcPr>
            <w:tcW w:w="632" w:type="pct"/>
            <w:shd w:val="clear" w:color="auto" w:fill="auto"/>
            <w:noWrap w:val="0"/>
            <w:vAlign w:val="center"/>
          </w:tcPr>
          <w:p w14:paraId="11E2CF47">
            <w:pPr>
              <w:pStyle w:val="182"/>
              <w:rPr>
                <w:color w:val="auto"/>
              </w:rPr>
            </w:pPr>
            <w:r>
              <w:rPr>
                <w:rFonts w:hint="eastAsia"/>
                <w:color w:val="auto"/>
              </w:rPr>
              <w:t>6</w:t>
            </w:r>
          </w:p>
        </w:tc>
      </w:tr>
      <w:tr w14:paraId="35422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1DB31E6D">
            <w:pPr>
              <w:pStyle w:val="182"/>
              <w:rPr>
                <w:color w:val="auto"/>
              </w:rPr>
            </w:pPr>
            <w:r>
              <w:rPr>
                <w:color w:val="auto"/>
              </w:rPr>
              <w:t>3</w:t>
            </w:r>
            <w:r>
              <w:rPr>
                <w:rFonts w:hint="eastAsia"/>
                <w:color w:val="auto"/>
              </w:rPr>
              <w:t>0</w:t>
            </w:r>
          </w:p>
        </w:tc>
        <w:tc>
          <w:tcPr>
            <w:tcW w:w="564" w:type="pct"/>
            <w:gridSpan w:val="3"/>
            <w:vMerge w:val="continue"/>
            <w:shd w:val="clear" w:color="auto" w:fill="auto"/>
            <w:noWrap w:val="0"/>
            <w:vAlign w:val="center"/>
          </w:tcPr>
          <w:p w14:paraId="6E59B811">
            <w:pPr>
              <w:pStyle w:val="182"/>
              <w:rPr>
                <w:color w:val="auto"/>
              </w:rPr>
            </w:pPr>
          </w:p>
        </w:tc>
        <w:tc>
          <w:tcPr>
            <w:tcW w:w="934" w:type="pct"/>
            <w:shd w:val="clear" w:color="auto" w:fill="auto"/>
            <w:noWrap w:val="0"/>
            <w:vAlign w:val="center"/>
          </w:tcPr>
          <w:p w14:paraId="678AC98A">
            <w:pPr>
              <w:pStyle w:val="182"/>
              <w:rPr>
                <w:color w:val="auto"/>
              </w:rPr>
            </w:pPr>
            <w:r>
              <w:rPr>
                <w:rFonts w:hint="eastAsia"/>
                <w:color w:val="auto"/>
              </w:rPr>
              <w:t>碱罐</w:t>
            </w:r>
          </w:p>
        </w:tc>
        <w:tc>
          <w:tcPr>
            <w:tcW w:w="2556" w:type="pct"/>
            <w:gridSpan w:val="2"/>
            <w:shd w:val="clear" w:color="auto" w:fill="auto"/>
            <w:noWrap w:val="0"/>
            <w:vAlign w:val="center"/>
          </w:tcPr>
          <w:p w14:paraId="6FD9064A">
            <w:pPr>
              <w:pStyle w:val="182"/>
              <w:rPr>
                <w:color w:val="auto"/>
              </w:rPr>
            </w:pPr>
            <w:r>
              <w:rPr>
                <w:color w:val="auto"/>
              </w:rPr>
              <w:t>1800 m</w:t>
            </w:r>
            <w:r>
              <w:rPr>
                <w:rFonts w:hint="eastAsia"/>
                <w:color w:val="auto"/>
                <w:vertAlign w:val="superscript"/>
              </w:rPr>
              <w:t>3</w:t>
            </w:r>
          </w:p>
        </w:tc>
        <w:tc>
          <w:tcPr>
            <w:tcW w:w="632" w:type="pct"/>
            <w:shd w:val="clear" w:color="auto" w:fill="auto"/>
            <w:noWrap w:val="0"/>
            <w:vAlign w:val="center"/>
          </w:tcPr>
          <w:p w14:paraId="28EC49B1">
            <w:pPr>
              <w:pStyle w:val="182"/>
              <w:rPr>
                <w:color w:val="auto"/>
              </w:rPr>
            </w:pPr>
            <w:r>
              <w:rPr>
                <w:rFonts w:hint="eastAsia"/>
                <w:color w:val="auto"/>
              </w:rPr>
              <w:t>6</w:t>
            </w:r>
          </w:p>
        </w:tc>
      </w:tr>
      <w:tr w14:paraId="2E4B4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8BDF627">
            <w:pPr>
              <w:pStyle w:val="182"/>
              <w:rPr>
                <w:color w:val="auto"/>
              </w:rPr>
            </w:pPr>
            <w:r>
              <w:rPr>
                <w:rFonts w:hint="eastAsia"/>
                <w:color w:val="auto"/>
              </w:rPr>
              <w:t>31</w:t>
            </w:r>
          </w:p>
        </w:tc>
        <w:tc>
          <w:tcPr>
            <w:tcW w:w="564" w:type="pct"/>
            <w:gridSpan w:val="3"/>
            <w:vMerge w:val="continue"/>
            <w:shd w:val="clear" w:color="auto" w:fill="auto"/>
            <w:noWrap w:val="0"/>
            <w:vAlign w:val="center"/>
          </w:tcPr>
          <w:p w14:paraId="08EA2BC2">
            <w:pPr>
              <w:pStyle w:val="182"/>
              <w:rPr>
                <w:color w:val="auto"/>
              </w:rPr>
            </w:pPr>
          </w:p>
        </w:tc>
        <w:tc>
          <w:tcPr>
            <w:tcW w:w="934" w:type="pct"/>
            <w:shd w:val="clear" w:color="auto" w:fill="auto"/>
            <w:noWrap w:val="0"/>
            <w:vAlign w:val="center"/>
          </w:tcPr>
          <w:p w14:paraId="08AB78D4">
            <w:pPr>
              <w:pStyle w:val="182"/>
              <w:rPr>
                <w:color w:val="auto"/>
              </w:rPr>
            </w:pPr>
            <w:r>
              <w:rPr>
                <w:rFonts w:hint="eastAsia"/>
                <w:color w:val="auto"/>
              </w:rPr>
              <w:t>二硫化碳储罐</w:t>
            </w:r>
          </w:p>
        </w:tc>
        <w:tc>
          <w:tcPr>
            <w:tcW w:w="2556" w:type="pct"/>
            <w:gridSpan w:val="2"/>
            <w:shd w:val="clear" w:color="auto" w:fill="auto"/>
            <w:noWrap w:val="0"/>
            <w:vAlign w:val="center"/>
          </w:tcPr>
          <w:p w14:paraId="2FDCACC8">
            <w:pPr>
              <w:pStyle w:val="182"/>
              <w:rPr>
                <w:color w:val="auto"/>
              </w:rPr>
            </w:pPr>
            <w:r>
              <w:rPr>
                <w:color w:val="auto"/>
              </w:rPr>
              <w:t>250 m</w:t>
            </w:r>
            <w:r>
              <w:rPr>
                <w:rFonts w:hint="eastAsia"/>
                <w:color w:val="auto"/>
                <w:vertAlign w:val="superscript"/>
              </w:rPr>
              <w:t>3</w:t>
            </w:r>
          </w:p>
        </w:tc>
        <w:tc>
          <w:tcPr>
            <w:tcW w:w="632" w:type="pct"/>
            <w:shd w:val="clear" w:color="auto" w:fill="auto"/>
            <w:noWrap w:val="0"/>
            <w:vAlign w:val="center"/>
          </w:tcPr>
          <w:p w14:paraId="6F767B42">
            <w:pPr>
              <w:pStyle w:val="182"/>
              <w:rPr>
                <w:color w:val="auto"/>
              </w:rPr>
            </w:pPr>
            <w:r>
              <w:rPr>
                <w:rFonts w:hint="eastAsia"/>
                <w:color w:val="auto"/>
              </w:rPr>
              <w:t>4</w:t>
            </w:r>
          </w:p>
        </w:tc>
      </w:tr>
      <w:tr w14:paraId="5BD34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shd w:val="clear" w:color="auto" w:fill="auto"/>
            <w:noWrap w:val="0"/>
            <w:vAlign w:val="center"/>
          </w:tcPr>
          <w:p w14:paraId="7F7B734F">
            <w:pPr>
              <w:pStyle w:val="182"/>
              <w:rPr>
                <w:b/>
                <w:color w:val="auto"/>
              </w:rPr>
            </w:pPr>
            <w:r>
              <w:rPr>
                <w:rFonts w:hint="eastAsia"/>
                <w:b/>
                <w:color w:val="auto"/>
              </w:rPr>
              <w:t>8、年产10万吨高品质超细旦氨纶纤维项目</w:t>
            </w:r>
          </w:p>
        </w:tc>
      </w:tr>
      <w:tr w14:paraId="58F55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E69DF00">
            <w:pPr>
              <w:pStyle w:val="182"/>
              <w:rPr>
                <w:color w:val="auto"/>
              </w:rPr>
            </w:pPr>
            <w:r>
              <w:rPr>
                <w:color w:val="auto"/>
              </w:rPr>
              <w:t>1</w:t>
            </w:r>
          </w:p>
        </w:tc>
        <w:tc>
          <w:tcPr>
            <w:tcW w:w="396" w:type="pct"/>
            <w:vMerge w:val="restart"/>
            <w:shd w:val="clear" w:color="auto" w:fill="auto"/>
            <w:noWrap w:val="0"/>
            <w:vAlign w:val="center"/>
          </w:tcPr>
          <w:p w14:paraId="15328832">
            <w:pPr>
              <w:pStyle w:val="182"/>
              <w:rPr>
                <w:color w:val="auto"/>
              </w:rPr>
            </w:pPr>
            <w:r>
              <w:rPr>
                <w:rFonts w:hint="eastAsia"/>
                <w:color w:val="auto"/>
              </w:rPr>
              <w:t>聚合工序</w:t>
            </w:r>
          </w:p>
        </w:tc>
        <w:tc>
          <w:tcPr>
            <w:tcW w:w="1215" w:type="pct"/>
            <w:gridSpan w:val="4"/>
            <w:shd w:val="clear" w:color="auto" w:fill="auto"/>
            <w:noWrap w:val="0"/>
            <w:vAlign w:val="center"/>
          </w:tcPr>
          <w:p w14:paraId="4F738C01">
            <w:pPr>
              <w:pStyle w:val="182"/>
              <w:rPr>
                <w:color w:val="auto"/>
              </w:rPr>
            </w:pPr>
            <w:r>
              <w:rPr>
                <w:rFonts w:hint="eastAsia"/>
                <w:color w:val="auto"/>
              </w:rPr>
              <w:t>液态MDI存储罐</w:t>
            </w:r>
          </w:p>
        </w:tc>
        <w:tc>
          <w:tcPr>
            <w:tcW w:w="2443" w:type="pct"/>
            <w:shd w:val="clear" w:color="auto" w:fill="auto"/>
            <w:noWrap w:val="0"/>
            <w:vAlign w:val="center"/>
          </w:tcPr>
          <w:p w14:paraId="44920342">
            <w:pPr>
              <w:pStyle w:val="182"/>
              <w:rPr>
                <w:color w:val="auto"/>
              </w:rPr>
            </w:pPr>
            <w:r>
              <w:rPr>
                <w:rFonts w:hint="eastAsia"/>
                <w:color w:val="auto"/>
              </w:rPr>
              <w:t>30m</w:t>
            </w:r>
            <w:r>
              <w:rPr>
                <w:rFonts w:hint="eastAsia"/>
                <w:color w:val="auto"/>
                <w:vertAlign w:val="superscript"/>
              </w:rPr>
              <w:t>3</w:t>
            </w:r>
          </w:p>
        </w:tc>
        <w:tc>
          <w:tcPr>
            <w:tcW w:w="632" w:type="pct"/>
            <w:shd w:val="clear" w:color="auto" w:fill="auto"/>
            <w:noWrap w:val="0"/>
            <w:vAlign w:val="center"/>
          </w:tcPr>
          <w:p w14:paraId="3DD2BE5D">
            <w:pPr>
              <w:pStyle w:val="182"/>
              <w:rPr>
                <w:color w:val="auto"/>
              </w:rPr>
            </w:pPr>
            <w:r>
              <w:rPr>
                <w:rFonts w:hint="eastAsia"/>
                <w:color w:val="auto"/>
              </w:rPr>
              <w:t>6</w:t>
            </w:r>
          </w:p>
        </w:tc>
      </w:tr>
      <w:tr w14:paraId="49B48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E2AEF7F">
            <w:pPr>
              <w:pStyle w:val="182"/>
              <w:rPr>
                <w:color w:val="auto"/>
              </w:rPr>
            </w:pPr>
            <w:r>
              <w:rPr>
                <w:color w:val="auto"/>
              </w:rPr>
              <w:t>2</w:t>
            </w:r>
          </w:p>
        </w:tc>
        <w:tc>
          <w:tcPr>
            <w:tcW w:w="396" w:type="pct"/>
            <w:vMerge w:val="continue"/>
            <w:shd w:val="clear" w:color="auto" w:fill="auto"/>
            <w:noWrap w:val="0"/>
            <w:vAlign w:val="center"/>
          </w:tcPr>
          <w:p w14:paraId="26B1DBCA">
            <w:pPr>
              <w:pStyle w:val="182"/>
              <w:rPr>
                <w:color w:val="auto"/>
              </w:rPr>
            </w:pPr>
          </w:p>
        </w:tc>
        <w:tc>
          <w:tcPr>
            <w:tcW w:w="1215" w:type="pct"/>
            <w:gridSpan w:val="4"/>
            <w:vMerge w:val="restart"/>
            <w:shd w:val="clear" w:color="auto" w:fill="auto"/>
            <w:noWrap w:val="0"/>
            <w:vAlign w:val="center"/>
          </w:tcPr>
          <w:p w14:paraId="35199FBB">
            <w:pPr>
              <w:pStyle w:val="182"/>
              <w:rPr>
                <w:color w:val="auto"/>
              </w:rPr>
            </w:pPr>
            <w:r>
              <w:rPr>
                <w:rFonts w:hint="eastAsia"/>
                <w:color w:val="auto"/>
              </w:rPr>
              <w:t>液态PTMG 存储罐</w:t>
            </w:r>
          </w:p>
        </w:tc>
        <w:tc>
          <w:tcPr>
            <w:tcW w:w="2443" w:type="pct"/>
            <w:shd w:val="clear" w:color="auto" w:fill="auto"/>
            <w:noWrap w:val="0"/>
            <w:vAlign w:val="center"/>
          </w:tcPr>
          <w:p w14:paraId="257F5CEB">
            <w:pPr>
              <w:pStyle w:val="182"/>
              <w:rPr>
                <w:color w:val="auto"/>
              </w:rPr>
            </w:pPr>
            <w:r>
              <w:rPr>
                <w:color w:val="auto"/>
              </w:rPr>
              <w:t>500m</w:t>
            </w:r>
            <w:r>
              <w:rPr>
                <w:color w:val="auto"/>
                <w:vertAlign w:val="superscript"/>
              </w:rPr>
              <w:t>3</w:t>
            </w:r>
          </w:p>
        </w:tc>
        <w:tc>
          <w:tcPr>
            <w:tcW w:w="632" w:type="pct"/>
            <w:shd w:val="clear" w:color="auto" w:fill="auto"/>
            <w:noWrap w:val="0"/>
            <w:vAlign w:val="center"/>
          </w:tcPr>
          <w:p w14:paraId="2B994DDB">
            <w:pPr>
              <w:pStyle w:val="182"/>
              <w:rPr>
                <w:color w:val="auto"/>
              </w:rPr>
            </w:pPr>
            <w:r>
              <w:rPr>
                <w:color w:val="auto"/>
              </w:rPr>
              <w:t>7</w:t>
            </w:r>
          </w:p>
        </w:tc>
      </w:tr>
      <w:tr w14:paraId="030D7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34350A9">
            <w:pPr>
              <w:pStyle w:val="182"/>
              <w:rPr>
                <w:color w:val="auto"/>
              </w:rPr>
            </w:pPr>
            <w:r>
              <w:rPr>
                <w:color w:val="auto"/>
              </w:rPr>
              <w:t>3</w:t>
            </w:r>
          </w:p>
        </w:tc>
        <w:tc>
          <w:tcPr>
            <w:tcW w:w="396" w:type="pct"/>
            <w:vMerge w:val="continue"/>
            <w:shd w:val="clear" w:color="auto" w:fill="auto"/>
            <w:noWrap w:val="0"/>
            <w:vAlign w:val="center"/>
          </w:tcPr>
          <w:p w14:paraId="374B12A3">
            <w:pPr>
              <w:pStyle w:val="182"/>
              <w:rPr>
                <w:color w:val="auto"/>
              </w:rPr>
            </w:pPr>
          </w:p>
        </w:tc>
        <w:tc>
          <w:tcPr>
            <w:tcW w:w="1215" w:type="pct"/>
            <w:gridSpan w:val="4"/>
            <w:vMerge w:val="continue"/>
            <w:shd w:val="clear" w:color="auto" w:fill="auto"/>
            <w:noWrap w:val="0"/>
            <w:vAlign w:val="center"/>
          </w:tcPr>
          <w:p w14:paraId="52C2D8C4">
            <w:pPr>
              <w:pStyle w:val="182"/>
              <w:rPr>
                <w:color w:val="auto"/>
              </w:rPr>
            </w:pPr>
          </w:p>
        </w:tc>
        <w:tc>
          <w:tcPr>
            <w:tcW w:w="2443" w:type="pct"/>
            <w:shd w:val="clear" w:color="auto" w:fill="auto"/>
            <w:noWrap w:val="0"/>
            <w:vAlign w:val="center"/>
          </w:tcPr>
          <w:p w14:paraId="36E36FFE">
            <w:pPr>
              <w:pStyle w:val="182"/>
              <w:rPr>
                <w:color w:val="auto"/>
              </w:rPr>
            </w:pPr>
            <w:r>
              <w:rPr>
                <w:color w:val="auto"/>
              </w:rPr>
              <w:t>200m</w:t>
            </w:r>
            <w:r>
              <w:rPr>
                <w:color w:val="auto"/>
                <w:vertAlign w:val="superscript"/>
              </w:rPr>
              <w:t>3</w:t>
            </w:r>
          </w:p>
        </w:tc>
        <w:tc>
          <w:tcPr>
            <w:tcW w:w="632" w:type="pct"/>
            <w:shd w:val="clear" w:color="auto" w:fill="auto"/>
            <w:noWrap w:val="0"/>
            <w:vAlign w:val="center"/>
          </w:tcPr>
          <w:p w14:paraId="1E0D2714">
            <w:pPr>
              <w:pStyle w:val="182"/>
              <w:rPr>
                <w:color w:val="auto"/>
              </w:rPr>
            </w:pPr>
            <w:r>
              <w:rPr>
                <w:color w:val="auto"/>
              </w:rPr>
              <w:t>7</w:t>
            </w:r>
          </w:p>
        </w:tc>
      </w:tr>
      <w:tr w14:paraId="38307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9C1E1B9">
            <w:pPr>
              <w:pStyle w:val="182"/>
              <w:rPr>
                <w:color w:val="auto"/>
              </w:rPr>
            </w:pPr>
            <w:r>
              <w:rPr>
                <w:color w:val="auto"/>
              </w:rPr>
              <w:t>4</w:t>
            </w:r>
          </w:p>
        </w:tc>
        <w:tc>
          <w:tcPr>
            <w:tcW w:w="396" w:type="pct"/>
            <w:vMerge w:val="continue"/>
            <w:shd w:val="clear" w:color="auto" w:fill="auto"/>
            <w:noWrap w:val="0"/>
            <w:vAlign w:val="center"/>
          </w:tcPr>
          <w:p w14:paraId="2E623F18">
            <w:pPr>
              <w:pStyle w:val="182"/>
              <w:rPr>
                <w:color w:val="auto"/>
              </w:rPr>
            </w:pPr>
          </w:p>
        </w:tc>
        <w:tc>
          <w:tcPr>
            <w:tcW w:w="1215" w:type="pct"/>
            <w:gridSpan w:val="4"/>
            <w:shd w:val="clear" w:color="auto" w:fill="auto"/>
            <w:noWrap w:val="0"/>
            <w:vAlign w:val="center"/>
          </w:tcPr>
          <w:p w14:paraId="45A0283B">
            <w:pPr>
              <w:pStyle w:val="182"/>
              <w:rPr>
                <w:color w:val="auto"/>
              </w:rPr>
            </w:pPr>
            <w:r>
              <w:rPr>
                <w:rFonts w:hint="eastAsia"/>
                <w:color w:val="auto"/>
              </w:rPr>
              <w:t>预聚合系统</w:t>
            </w:r>
          </w:p>
        </w:tc>
        <w:tc>
          <w:tcPr>
            <w:tcW w:w="2443" w:type="pct"/>
            <w:shd w:val="clear" w:color="auto" w:fill="auto"/>
            <w:noWrap w:val="0"/>
            <w:vAlign w:val="center"/>
          </w:tcPr>
          <w:p w14:paraId="2BBA5F51">
            <w:pPr>
              <w:pStyle w:val="182"/>
              <w:rPr>
                <w:color w:val="auto"/>
              </w:rPr>
            </w:pPr>
            <w:r>
              <w:rPr>
                <w:rFonts w:hint="eastAsia"/>
                <w:color w:val="auto"/>
              </w:rPr>
              <w:t>V5.0</w:t>
            </w:r>
          </w:p>
        </w:tc>
        <w:tc>
          <w:tcPr>
            <w:tcW w:w="632" w:type="pct"/>
            <w:shd w:val="clear" w:color="auto" w:fill="auto"/>
            <w:noWrap w:val="0"/>
            <w:vAlign w:val="center"/>
          </w:tcPr>
          <w:p w14:paraId="0BCF8768">
            <w:pPr>
              <w:pStyle w:val="182"/>
              <w:rPr>
                <w:color w:val="auto"/>
              </w:rPr>
            </w:pPr>
            <w:r>
              <w:rPr>
                <w:rFonts w:hint="eastAsia"/>
                <w:color w:val="auto"/>
              </w:rPr>
              <w:t>7</w:t>
            </w:r>
          </w:p>
        </w:tc>
      </w:tr>
      <w:tr w14:paraId="6E59C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A5BCD0B">
            <w:pPr>
              <w:pStyle w:val="182"/>
              <w:rPr>
                <w:color w:val="auto"/>
              </w:rPr>
            </w:pPr>
            <w:r>
              <w:rPr>
                <w:color w:val="auto"/>
              </w:rPr>
              <w:t>5</w:t>
            </w:r>
          </w:p>
        </w:tc>
        <w:tc>
          <w:tcPr>
            <w:tcW w:w="396" w:type="pct"/>
            <w:vMerge w:val="continue"/>
            <w:shd w:val="clear" w:color="auto" w:fill="auto"/>
            <w:noWrap w:val="0"/>
            <w:vAlign w:val="center"/>
          </w:tcPr>
          <w:p w14:paraId="4C6941E5">
            <w:pPr>
              <w:pStyle w:val="182"/>
              <w:rPr>
                <w:color w:val="auto"/>
              </w:rPr>
            </w:pPr>
          </w:p>
        </w:tc>
        <w:tc>
          <w:tcPr>
            <w:tcW w:w="1215" w:type="pct"/>
            <w:gridSpan w:val="4"/>
            <w:shd w:val="clear" w:color="auto" w:fill="auto"/>
            <w:noWrap w:val="0"/>
            <w:vAlign w:val="center"/>
          </w:tcPr>
          <w:p w14:paraId="75A797A4">
            <w:pPr>
              <w:pStyle w:val="182"/>
              <w:rPr>
                <w:color w:val="auto"/>
              </w:rPr>
            </w:pPr>
            <w:r>
              <w:rPr>
                <w:rFonts w:hint="eastAsia"/>
                <w:color w:val="auto"/>
              </w:rPr>
              <w:t>混合胺供给罐</w:t>
            </w:r>
          </w:p>
        </w:tc>
        <w:tc>
          <w:tcPr>
            <w:tcW w:w="2443" w:type="pct"/>
            <w:shd w:val="clear" w:color="auto" w:fill="auto"/>
            <w:noWrap w:val="0"/>
            <w:vAlign w:val="center"/>
          </w:tcPr>
          <w:p w14:paraId="0F9E1EA3">
            <w:pPr>
              <w:pStyle w:val="182"/>
              <w:rPr>
                <w:color w:val="auto"/>
              </w:rPr>
            </w:pPr>
            <w:r>
              <w:rPr>
                <w:rFonts w:hint="eastAsia"/>
                <w:color w:val="auto"/>
              </w:rPr>
              <w:t>3m</w:t>
            </w:r>
            <w:r>
              <w:rPr>
                <w:rFonts w:hint="eastAsia"/>
                <w:color w:val="auto"/>
                <w:vertAlign w:val="superscript"/>
              </w:rPr>
              <w:t>3</w:t>
            </w:r>
          </w:p>
        </w:tc>
        <w:tc>
          <w:tcPr>
            <w:tcW w:w="632" w:type="pct"/>
            <w:shd w:val="clear" w:color="auto" w:fill="auto"/>
            <w:noWrap w:val="0"/>
            <w:vAlign w:val="center"/>
          </w:tcPr>
          <w:p w14:paraId="61E27A4D">
            <w:pPr>
              <w:pStyle w:val="182"/>
              <w:rPr>
                <w:color w:val="auto"/>
              </w:rPr>
            </w:pPr>
            <w:r>
              <w:rPr>
                <w:rFonts w:hint="eastAsia"/>
                <w:color w:val="auto"/>
              </w:rPr>
              <w:t>7</w:t>
            </w:r>
          </w:p>
        </w:tc>
      </w:tr>
      <w:tr w14:paraId="5EA21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22D86FB2">
            <w:pPr>
              <w:pStyle w:val="182"/>
              <w:rPr>
                <w:color w:val="auto"/>
              </w:rPr>
            </w:pPr>
            <w:r>
              <w:rPr>
                <w:rFonts w:hint="eastAsia"/>
                <w:color w:val="auto"/>
              </w:rPr>
              <w:t>6</w:t>
            </w:r>
          </w:p>
        </w:tc>
        <w:tc>
          <w:tcPr>
            <w:tcW w:w="396" w:type="pct"/>
            <w:vMerge w:val="continue"/>
            <w:shd w:val="clear" w:color="auto" w:fill="auto"/>
            <w:noWrap w:val="0"/>
            <w:vAlign w:val="center"/>
          </w:tcPr>
          <w:p w14:paraId="18ABA171">
            <w:pPr>
              <w:pStyle w:val="182"/>
              <w:rPr>
                <w:color w:val="auto"/>
              </w:rPr>
            </w:pPr>
          </w:p>
        </w:tc>
        <w:tc>
          <w:tcPr>
            <w:tcW w:w="1215" w:type="pct"/>
            <w:gridSpan w:val="4"/>
            <w:shd w:val="clear" w:color="auto" w:fill="auto"/>
            <w:noWrap w:val="0"/>
            <w:vAlign w:val="center"/>
          </w:tcPr>
          <w:p w14:paraId="0E253691">
            <w:pPr>
              <w:pStyle w:val="182"/>
              <w:rPr>
                <w:color w:val="auto"/>
              </w:rPr>
            </w:pPr>
            <w:r>
              <w:rPr>
                <w:rFonts w:hint="eastAsia"/>
                <w:color w:val="auto"/>
              </w:rPr>
              <w:t>混合胺混合器</w:t>
            </w:r>
          </w:p>
        </w:tc>
        <w:tc>
          <w:tcPr>
            <w:tcW w:w="2443" w:type="pct"/>
            <w:shd w:val="clear" w:color="auto" w:fill="auto"/>
            <w:noWrap w:val="0"/>
            <w:vAlign w:val="center"/>
          </w:tcPr>
          <w:p w14:paraId="21D7EDE8">
            <w:pPr>
              <w:pStyle w:val="182"/>
              <w:rPr>
                <w:color w:val="auto"/>
              </w:rPr>
            </w:pPr>
            <w:r>
              <w:rPr>
                <w:rFonts w:hint="eastAsia"/>
                <w:color w:val="auto"/>
              </w:rPr>
              <w:t>SMX</w:t>
            </w:r>
          </w:p>
        </w:tc>
        <w:tc>
          <w:tcPr>
            <w:tcW w:w="632" w:type="pct"/>
            <w:shd w:val="clear" w:color="auto" w:fill="auto"/>
            <w:noWrap w:val="0"/>
            <w:vAlign w:val="center"/>
          </w:tcPr>
          <w:p w14:paraId="6B95D77B">
            <w:pPr>
              <w:pStyle w:val="182"/>
              <w:rPr>
                <w:color w:val="auto"/>
              </w:rPr>
            </w:pPr>
            <w:r>
              <w:rPr>
                <w:rFonts w:hint="eastAsia"/>
                <w:color w:val="auto"/>
              </w:rPr>
              <w:t>7</w:t>
            </w:r>
          </w:p>
        </w:tc>
      </w:tr>
      <w:tr w14:paraId="14D35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1CA2601">
            <w:pPr>
              <w:pStyle w:val="182"/>
              <w:rPr>
                <w:color w:val="auto"/>
              </w:rPr>
            </w:pPr>
            <w:r>
              <w:rPr>
                <w:rFonts w:hint="eastAsia"/>
                <w:color w:val="auto"/>
              </w:rPr>
              <w:t>7</w:t>
            </w:r>
          </w:p>
        </w:tc>
        <w:tc>
          <w:tcPr>
            <w:tcW w:w="396" w:type="pct"/>
            <w:vMerge w:val="continue"/>
            <w:shd w:val="clear" w:color="auto" w:fill="auto"/>
            <w:noWrap w:val="0"/>
            <w:vAlign w:val="center"/>
          </w:tcPr>
          <w:p w14:paraId="2DF9CB60">
            <w:pPr>
              <w:pStyle w:val="182"/>
              <w:rPr>
                <w:color w:val="auto"/>
              </w:rPr>
            </w:pPr>
          </w:p>
        </w:tc>
        <w:tc>
          <w:tcPr>
            <w:tcW w:w="1215" w:type="pct"/>
            <w:gridSpan w:val="4"/>
            <w:shd w:val="clear" w:color="auto" w:fill="auto"/>
            <w:noWrap w:val="0"/>
            <w:vAlign w:val="center"/>
          </w:tcPr>
          <w:p w14:paraId="71EB441E">
            <w:pPr>
              <w:pStyle w:val="182"/>
              <w:rPr>
                <w:color w:val="auto"/>
              </w:rPr>
            </w:pPr>
            <w:r>
              <w:rPr>
                <w:rFonts w:hint="eastAsia"/>
                <w:color w:val="auto"/>
              </w:rPr>
              <w:t>扩链反应器</w:t>
            </w:r>
          </w:p>
        </w:tc>
        <w:tc>
          <w:tcPr>
            <w:tcW w:w="2443" w:type="pct"/>
            <w:shd w:val="clear" w:color="auto" w:fill="auto"/>
            <w:noWrap w:val="0"/>
            <w:vAlign w:val="center"/>
          </w:tcPr>
          <w:p w14:paraId="06E75782">
            <w:pPr>
              <w:pStyle w:val="182"/>
              <w:rPr>
                <w:color w:val="auto"/>
              </w:rPr>
            </w:pPr>
            <w:r>
              <w:rPr>
                <w:rFonts w:hint="eastAsia"/>
                <w:color w:val="auto"/>
              </w:rPr>
              <w:t>PSR300P-200</w:t>
            </w:r>
          </w:p>
        </w:tc>
        <w:tc>
          <w:tcPr>
            <w:tcW w:w="632" w:type="pct"/>
            <w:shd w:val="clear" w:color="auto" w:fill="auto"/>
            <w:noWrap w:val="0"/>
            <w:vAlign w:val="center"/>
          </w:tcPr>
          <w:p w14:paraId="1098B6EA">
            <w:pPr>
              <w:pStyle w:val="182"/>
              <w:rPr>
                <w:color w:val="auto"/>
              </w:rPr>
            </w:pPr>
            <w:r>
              <w:rPr>
                <w:rFonts w:hint="eastAsia"/>
                <w:color w:val="auto"/>
              </w:rPr>
              <w:t>7</w:t>
            </w:r>
          </w:p>
        </w:tc>
      </w:tr>
      <w:tr w14:paraId="10886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05784C7C">
            <w:pPr>
              <w:pStyle w:val="182"/>
              <w:rPr>
                <w:color w:val="auto"/>
              </w:rPr>
            </w:pPr>
            <w:r>
              <w:rPr>
                <w:rFonts w:hint="eastAsia"/>
                <w:color w:val="auto"/>
              </w:rPr>
              <w:t>8</w:t>
            </w:r>
          </w:p>
        </w:tc>
        <w:tc>
          <w:tcPr>
            <w:tcW w:w="396" w:type="pct"/>
            <w:vMerge w:val="continue"/>
            <w:shd w:val="clear" w:color="auto" w:fill="auto"/>
            <w:noWrap w:val="0"/>
            <w:vAlign w:val="center"/>
          </w:tcPr>
          <w:p w14:paraId="0ACB69F6">
            <w:pPr>
              <w:pStyle w:val="182"/>
              <w:rPr>
                <w:color w:val="auto"/>
              </w:rPr>
            </w:pPr>
          </w:p>
        </w:tc>
        <w:tc>
          <w:tcPr>
            <w:tcW w:w="1215" w:type="pct"/>
            <w:gridSpan w:val="4"/>
            <w:shd w:val="clear" w:color="auto" w:fill="auto"/>
            <w:noWrap w:val="0"/>
            <w:vAlign w:val="center"/>
          </w:tcPr>
          <w:p w14:paraId="0793A2A2">
            <w:pPr>
              <w:pStyle w:val="182"/>
              <w:rPr>
                <w:color w:val="auto"/>
              </w:rPr>
            </w:pPr>
            <w:r>
              <w:rPr>
                <w:rFonts w:hint="eastAsia"/>
                <w:color w:val="auto"/>
              </w:rPr>
              <w:t>添加剂调配系统</w:t>
            </w:r>
          </w:p>
        </w:tc>
        <w:tc>
          <w:tcPr>
            <w:tcW w:w="2443" w:type="pct"/>
            <w:shd w:val="clear" w:color="auto" w:fill="auto"/>
            <w:noWrap w:val="0"/>
            <w:vAlign w:val="center"/>
          </w:tcPr>
          <w:p w14:paraId="0AE18AD4">
            <w:pPr>
              <w:pStyle w:val="182"/>
              <w:rPr>
                <w:color w:val="auto"/>
              </w:rPr>
            </w:pPr>
            <w:r>
              <w:rPr>
                <w:rFonts w:hint="eastAsia"/>
                <w:color w:val="auto"/>
              </w:rPr>
              <w:t>SMX</w:t>
            </w:r>
          </w:p>
        </w:tc>
        <w:tc>
          <w:tcPr>
            <w:tcW w:w="632" w:type="pct"/>
            <w:shd w:val="clear" w:color="auto" w:fill="auto"/>
            <w:noWrap w:val="0"/>
            <w:vAlign w:val="center"/>
          </w:tcPr>
          <w:p w14:paraId="4BF13591">
            <w:pPr>
              <w:pStyle w:val="182"/>
              <w:rPr>
                <w:color w:val="auto"/>
              </w:rPr>
            </w:pPr>
            <w:r>
              <w:rPr>
                <w:rFonts w:hint="eastAsia"/>
                <w:color w:val="auto"/>
              </w:rPr>
              <w:t>7</w:t>
            </w:r>
          </w:p>
        </w:tc>
      </w:tr>
      <w:tr w14:paraId="2C39A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BAA84A1">
            <w:pPr>
              <w:pStyle w:val="182"/>
              <w:rPr>
                <w:color w:val="auto"/>
              </w:rPr>
            </w:pPr>
            <w:r>
              <w:rPr>
                <w:rFonts w:hint="eastAsia"/>
                <w:color w:val="auto"/>
              </w:rPr>
              <w:t>9</w:t>
            </w:r>
          </w:p>
        </w:tc>
        <w:tc>
          <w:tcPr>
            <w:tcW w:w="396" w:type="pct"/>
            <w:vMerge w:val="continue"/>
            <w:shd w:val="clear" w:color="auto" w:fill="auto"/>
            <w:noWrap w:val="0"/>
            <w:vAlign w:val="center"/>
          </w:tcPr>
          <w:p w14:paraId="54C8E220">
            <w:pPr>
              <w:pStyle w:val="182"/>
              <w:rPr>
                <w:color w:val="auto"/>
              </w:rPr>
            </w:pPr>
          </w:p>
        </w:tc>
        <w:tc>
          <w:tcPr>
            <w:tcW w:w="1215" w:type="pct"/>
            <w:gridSpan w:val="4"/>
            <w:shd w:val="clear" w:color="auto" w:fill="auto"/>
            <w:noWrap w:val="0"/>
            <w:vAlign w:val="center"/>
          </w:tcPr>
          <w:p w14:paraId="763A5EB6">
            <w:pPr>
              <w:pStyle w:val="182"/>
              <w:rPr>
                <w:color w:val="auto"/>
              </w:rPr>
            </w:pPr>
            <w:r>
              <w:rPr>
                <w:rFonts w:hint="eastAsia"/>
                <w:color w:val="auto"/>
              </w:rPr>
              <w:t>聚合物混合器</w:t>
            </w:r>
          </w:p>
        </w:tc>
        <w:tc>
          <w:tcPr>
            <w:tcW w:w="2443" w:type="pct"/>
            <w:shd w:val="clear" w:color="auto" w:fill="auto"/>
            <w:noWrap w:val="0"/>
            <w:vAlign w:val="center"/>
          </w:tcPr>
          <w:p w14:paraId="73A68F02">
            <w:pPr>
              <w:pStyle w:val="182"/>
              <w:rPr>
                <w:color w:val="auto"/>
              </w:rPr>
            </w:pPr>
            <w:r>
              <w:rPr>
                <w:rFonts w:hint="eastAsia"/>
                <w:color w:val="auto"/>
              </w:rPr>
              <w:t>SMX</w:t>
            </w:r>
          </w:p>
        </w:tc>
        <w:tc>
          <w:tcPr>
            <w:tcW w:w="632" w:type="pct"/>
            <w:shd w:val="clear" w:color="auto" w:fill="auto"/>
            <w:noWrap w:val="0"/>
            <w:vAlign w:val="center"/>
          </w:tcPr>
          <w:p w14:paraId="417857CC">
            <w:pPr>
              <w:pStyle w:val="182"/>
              <w:rPr>
                <w:color w:val="auto"/>
              </w:rPr>
            </w:pPr>
            <w:r>
              <w:rPr>
                <w:rFonts w:hint="eastAsia"/>
                <w:color w:val="auto"/>
              </w:rPr>
              <w:t>7</w:t>
            </w:r>
          </w:p>
        </w:tc>
      </w:tr>
      <w:tr w14:paraId="17232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43E6C84">
            <w:pPr>
              <w:pStyle w:val="182"/>
              <w:rPr>
                <w:color w:val="auto"/>
              </w:rPr>
            </w:pPr>
            <w:r>
              <w:rPr>
                <w:color w:val="auto"/>
              </w:rPr>
              <w:t>1</w:t>
            </w:r>
            <w:r>
              <w:rPr>
                <w:rFonts w:hint="eastAsia"/>
                <w:color w:val="auto"/>
              </w:rPr>
              <w:t>0</w:t>
            </w:r>
          </w:p>
        </w:tc>
        <w:tc>
          <w:tcPr>
            <w:tcW w:w="396" w:type="pct"/>
            <w:vMerge w:val="continue"/>
            <w:shd w:val="clear" w:color="auto" w:fill="auto"/>
            <w:noWrap w:val="0"/>
            <w:vAlign w:val="center"/>
          </w:tcPr>
          <w:p w14:paraId="43D45FB5">
            <w:pPr>
              <w:pStyle w:val="182"/>
              <w:rPr>
                <w:color w:val="auto"/>
              </w:rPr>
            </w:pPr>
          </w:p>
        </w:tc>
        <w:tc>
          <w:tcPr>
            <w:tcW w:w="1215" w:type="pct"/>
            <w:gridSpan w:val="4"/>
            <w:shd w:val="clear" w:color="auto" w:fill="auto"/>
            <w:noWrap w:val="0"/>
            <w:vAlign w:val="center"/>
          </w:tcPr>
          <w:p w14:paraId="25051D27">
            <w:pPr>
              <w:pStyle w:val="182"/>
              <w:rPr>
                <w:color w:val="auto"/>
              </w:rPr>
            </w:pPr>
            <w:r>
              <w:rPr>
                <w:rFonts w:hint="eastAsia"/>
                <w:color w:val="auto"/>
              </w:rPr>
              <w:t>纺丝加压泵</w:t>
            </w:r>
          </w:p>
        </w:tc>
        <w:tc>
          <w:tcPr>
            <w:tcW w:w="2443" w:type="pct"/>
            <w:shd w:val="clear" w:color="auto" w:fill="auto"/>
            <w:noWrap w:val="0"/>
            <w:vAlign w:val="center"/>
          </w:tcPr>
          <w:p w14:paraId="2BAF3B69">
            <w:pPr>
              <w:pStyle w:val="182"/>
              <w:rPr>
                <w:color w:val="auto"/>
              </w:rPr>
            </w:pPr>
            <w:r>
              <w:rPr>
                <w:rFonts w:hint="eastAsia"/>
                <w:color w:val="auto"/>
              </w:rPr>
              <w:t>齿轮泵</w:t>
            </w:r>
          </w:p>
        </w:tc>
        <w:tc>
          <w:tcPr>
            <w:tcW w:w="632" w:type="pct"/>
            <w:shd w:val="clear" w:color="auto" w:fill="auto"/>
            <w:noWrap w:val="0"/>
            <w:vAlign w:val="center"/>
          </w:tcPr>
          <w:p w14:paraId="5C6F53CD">
            <w:pPr>
              <w:pStyle w:val="182"/>
              <w:rPr>
                <w:color w:val="auto"/>
              </w:rPr>
            </w:pPr>
            <w:r>
              <w:rPr>
                <w:rFonts w:hint="eastAsia"/>
                <w:color w:val="auto"/>
              </w:rPr>
              <w:t>40</w:t>
            </w:r>
          </w:p>
        </w:tc>
      </w:tr>
      <w:tr w14:paraId="7EE9D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A5543BD">
            <w:pPr>
              <w:pStyle w:val="182"/>
              <w:rPr>
                <w:color w:val="auto"/>
              </w:rPr>
            </w:pPr>
            <w:r>
              <w:rPr>
                <w:color w:val="auto"/>
              </w:rPr>
              <w:t>1</w:t>
            </w:r>
            <w:r>
              <w:rPr>
                <w:rFonts w:hint="eastAsia"/>
                <w:color w:val="auto"/>
              </w:rPr>
              <w:t>1</w:t>
            </w:r>
          </w:p>
        </w:tc>
        <w:tc>
          <w:tcPr>
            <w:tcW w:w="396" w:type="pct"/>
            <w:vMerge w:val="continue"/>
            <w:shd w:val="clear" w:color="auto" w:fill="auto"/>
            <w:noWrap w:val="0"/>
            <w:vAlign w:val="center"/>
          </w:tcPr>
          <w:p w14:paraId="6785A111">
            <w:pPr>
              <w:pStyle w:val="182"/>
              <w:rPr>
                <w:color w:val="auto"/>
              </w:rPr>
            </w:pPr>
          </w:p>
        </w:tc>
        <w:tc>
          <w:tcPr>
            <w:tcW w:w="1215" w:type="pct"/>
            <w:gridSpan w:val="4"/>
            <w:shd w:val="clear" w:color="auto" w:fill="auto"/>
            <w:noWrap w:val="0"/>
            <w:vAlign w:val="center"/>
          </w:tcPr>
          <w:p w14:paraId="3732A5FE">
            <w:pPr>
              <w:pStyle w:val="182"/>
              <w:rPr>
                <w:color w:val="auto"/>
              </w:rPr>
            </w:pPr>
            <w:r>
              <w:rPr>
                <w:rFonts w:hint="eastAsia"/>
                <w:color w:val="auto"/>
              </w:rPr>
              <w:t>卷绕头</w:t>
            </w:r>
          </w:p>
        </w:tc>
        <w:tc>
          <w:tcPr>
            <w:tcW w:w="2443" w:type="pct"/>
            <w:shd w:val="clear" w:color="auto" w:fill="auto"/>
            <w:noWrap w:val="0"/>
            <w:vAlign w:val="center"/>
          </w:tcPr>
          <w:p w14:paraId="7F92C092">
            <w:pPr>
              <w:pStyle w:val="182"/>
              <w:rPr>
                <w:color w:val="auto"/>
              </w:rPr>
            </w:pPr>
            <w:r>
              <w:rPr>
                <w:rFonts w:hint="eastAsia"/>
                <w:color w:val="auto"/>
              </w:rPr>
              <w:t>WAW-101</w:t>
            </w:r>
          </w:p>
        </w:tc>
        <w:tc>
          <w:tcPr>
            <w:tcW w:w="632" w:type="pct"/>
            <w:shd w:val="clear" w:color="auto" w:fill="auto"/>
            <w:noWrap w:val="0"/>
            <w:vAlign w:val="center"/>
          </w:tcPr>
          <w:p w14:paraId="339F627C">
            <w:pPr>
              <w:pStyle w:val="182"/>
              <w:rPr>
                <w:color w:val="auto"/>
              </w:rPr>
            </w:pPr>
            <w:r>
              <w:rPr>
                <w:rFonts w:hint="eastAsia"/>
                <w:color w:val="auto"/>
              </w:rPr>
              <w:t>6</w:t>
            </w:r>
          </w:p>
        </w:tc>
      </w:tr>
      <w:tr w14:paraId="63D9C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2EF17B16">
            <w:pPr>
              <w:pStyle w:val="182"/>
              <w:rPr>
                <w:color w:val="auto"/>
              </w:rPr>
            </w:pPr>
            <w:r>
              <w:rPr>
                <w:color w:val="auto"/>
              </w:rPr>
              <w:t>1</w:t>
            </w:r>
            <w:r>
              <w:rPr>
                <w:rFonts w:hint="eastAsia"/>
                <w:color w:val="auto"/>
              </w:rPr>
              <w:t>2</w:t>
            </w:r>
          </w:p>
        </w:tc>
        <w:tc>
          <w:tcPr>
            <w:tcW w:w="396" w:type="pct"/>
            <w:vMerge w:val="restart"/>
            <w:shd w:val="clear" w:color="auto" w:fill="auto"/>
            <w:noWrap w:val="0"/>
            <w:vAlign w:val="center"/>
          </w:tcPr>
          <w:p w14:paraId="7A55AA22">
            <w:pPr>
              <w:pStyle w:val="182"/>
              <w:rPr>
                <w:color w:val="auto"/>
              </w:rPr>
            </w:pPr>
            <w:r>
              <w:rPr>
                <w:rFonts w:hint="eastAsia"/>
                <w:color w:val="auto"/>
              </w:rPr>
              <w:t>纺丝工序</w:t>
            </w:r>
          </w:p>
        </w:tc>
        <w:tc>
          <w:tcPr>
            <w:tcW w:w="1215" w:type="pct"/>
            <w:gridSpan w:val="4"/>
            <w:shd w:val="clear" w:color="auto" w:fill="auto"/>
            <w:noWrap w:val="0"/>
            <w:vAlign w:val="center"/>
          </w:tcPr>
          <w:p w14:paraId="33EB485B">
            <w:pPr>
              <w:pStyle w:val="182"/>
              <w:rPr>
                <w:color w:val="auto"/>
              </w:rPr>
            </w:pPr>
            <w:r>
              <w:rPr>
                <w:rFonts w:hint="eastAsia"/>
                <w:color w:val="auto"/>
              </w:rPr>
              <w:t>纺丝甬道系统</w:t>
            </w:r>
          </w:p>
        </w:tc>
        <w:tc>
          <w:tcPr>
            <w:tcW w:w="2443" w:type="pct"/>
            <w:shd w:val="clear" w:color="auto" w:fill="auto"/>
            <w:noWrap w:val="0"/>
            <w:vAlign w:val="center"/>
          </w:tcPr>
          <w:p w14:paraId="5A102AB7">
            <w:pPr>
              <w:pStyle w:val="182"/>
              <w:rPr>
                <w:color w:val="auto"/>
              </w:rPr>
            </w:pPr>
            <w:r>
              <w:rPr>
                <w:rFonts w:hint="eastAsia"/>
                <w:color w:val="auto"/>
              </w:rPr>
              <w:t>80/120头专用</w:t>
            </w:r>
          </w:p>
        </w:tc>
        <w:tc>
          <w:tcPr>
            <w:tcW w:w="632" w:type="pct"/>
            <w:shd w:val="clear" w:color="auto" w:fill="auto"/>
            <w:noWrap w:val="0"/>
            <w:vAlign w:val="center"/>
          </w:tcPr>
          <w:p w14:paraId="6FE3A001">
            <w:pPr>
              <w:pStyle w:val="182"/>
              <w:rPr>
                <w:color w:val="auto"/>
              </w:rPr>
            </w:pPr>
            <w:r>
              <w:rPr>
                <w:rFonts w:hint="eastAsia"/>
                <w:color w:val="auto"/>
              </w:rPr>
              <w:t>900</w:t>
            </w:r>
          </w:p>
        </w:tc>
      </w:tr>
      <w:tr w14:paraId="4EAAA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D2C1370">
            <w:pPr>
              <w:pStyle w:val="182"/>
              <w:rPr>
                <w:color w:val="auto"/>
              </w:rPr>
            </w:pPr>
            <w:r>
              <w:rPr>
                <w:color w:val="auto"/>
              </w:rPr>
              <w:t>1</w:t>
            </w:r>
            <w:r>
              <w:rPr>
                <w:rFonts w:hint="eastAsia"/>
                <w:color w:val="auto"/>
              </w:rPr>
              <w:t>3</w:t>
            </w:r>
          </w:p>
        </w:tc>
        <w:tc>
          <w:tcPr>
            <w:tcW w:w="396" w:type="pct"/>
            <w:vMerge w:val="continue"/>
            <w:shd w:val="clear" w:color="auto" w:fill="auto"/>
            <w:noWrap w:val="0"/>
            <w:vAlign w:val="center"/>
          </w:tcPr>
          <w:p w14:paraId="1E500D62">
            <w:pPr>
              <w:pStyle w:val="182"/>
              <w:rPr>
                <w:color w:val="auto"/>
              </w:rPr>
            </w:pPr>
          </w:p>
        </w:tc>
        <w:tc>
          <w:tcPr>
            <w:tcW w:w="1215" w:type="pct"/>
            <w:gridSpan w:val="4"/>
            <w:shd w:val="clear" w:color="auto" w:fill="auto"/>
            <w:noWrap w:val="0"/>
            <w:vAlign w:val="center"/>
          </w:tcPr>
          <w:p w14:paraId="2C52F2F5">
            <w:pPr>
              <w:pStyle w:val="182"/>
              <w:rPr>
                <w:color w:val="auto"/>
              </w:rPr>
            </w:pPr>
            <w:r>
              <w:rPr>
                <w:rFonts w:hint="eastAsia"/>
                <w:color w:val="auto"/>
              </w:rPr>
              <w:t>喷丝板</w:t>
            </w:r>
          </w:p>
        </w:tc>
        <w:tc>
          <w:tcPr>
            <w:tcW w:w="2443" w:type="pct"/>
            <w:shd w:val="clear" w:color="auto" w:fill="auto"/>
            <w:noWrap w:val="0"/>
            <w:vAlign w:val="center"/>
          </w:tcPr>
          <w:p w14:paraId="5DF36523">
            <w:pPr>
              <w:pStyle w:val="182"/>
              <w:rPr>
                <w:color w:val="auto"/>
              </w:rPr>
            </w:pPr>
            <w:r>
              <w:rPr>
                <w:rFonts w:hint="eastAsia"/>
                <w:color w:val="auto"/>
              </w:rPr>
              <w:t>φ0.4×1.2</w:t>
            </w:r>
          </w:p>
        </w:tc>
        <w:tc>
          <w:tcPr>
            <w:tcW w:w="632" w:type="pct"/>
            <w:shd w:val="clear" w:color="auto" w:fill="auto"/>
            <w:noWrap w:val="0"/>
            <w:vAlign w:val="center"/>
          </w:tcPr>
          <w:p w14:paraId="73C5781C">
            <w:pPr>
              <w:pStyle w:val="182"/>
              <w:rPr>
                <w:color w:val="auto"/>
              </w:rPr>
            </w:pPr>
            <w:r>
              <w:rPr>
                <w:rFonts w:hint="eastAsia"/>
                <w:color w:val="auto"/>
              </w:rPr>
              <w:t>若干</w:t>
            </w:r>
          </w:p>
        </w:tc>
      </w:tr>
      <w:tr w14:paraId="7579A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D1D06CC">
            <w:pPr>
              <w:pStyle w:val="182"/>
              <w:rPr>
                <w:color w:val="auto"/>
              </w:rPr>
            </w:pPr>
            <w:r>
              <w:rPr>
                <w:color w:val="auto"/>
              </w:rPr>
              <w:t>1</w:t>
            </w:r>
            <w:r>
              <w:rPr>
                <w:rFonts w:hint="eastAsia"/>
                <w:color w:val="auto"/>
              </w:rPr>
              <w:t>4</w:t>
            </w:r>
          </w:p>
        </w:tc>
        <w:tc>
          <w:tcPr>
            <w:tcW w:w="396" w:type="pct"/>
            <w:vMerge w:val="continue"/>
            <w:shd w:val="clear" w:color="auto" w:fill="auto"/>
            <w:noWrap w:val="0"/>
            <w:vAlign w:val="center"/>
          </w:tcPr>
          <w:p w14:paraId="31C81174">
            <w:pPr>
              <w:pStyle w:val="182"/>
              <w:rPr>
                <w:color w:val="auto"/>
              </w:rPr>
            </w:pPr>
          </w:p>
        </w:tc>
        <w:tc>
          <w:tcPr>
            <w:tcW w:w="1215" w:type="pct"/>
            <w:gridSpan w:val="4"/>
            <w:shd w:val="clear" w:color="auto" w:fill="auto"/>
            <w:noWrap w:val="0"/>
            <w:vAlign w:val="center"/>
          </w:tcPr>
          <w:p w14:paraId="5EA6B0C7">
            <w:pPr>
              <w:pStyle w:val="182"/>
              <w:rPr>
                <w:color w:val="auto"/>
              </w:rPr>
            </w:pPr>
            <w:r>
              <w:rPr>
                <w:rFonts w:hint="eastAsia"/>
                <w:color w:val="auto"/>
              </w:rPr>
              <w:t>纺丝组件</w:t>
            </w:r>
          </w:p>
        </w:tc>
        <w:tc>
          <w:tcPr>
            <w:tcW w:w="2443" w:type="pct"/>
            <w:shd w:val="clear" w:color="auto" w:fill="auto"/>
            <w:noWrap w:val="0"/>
            <w:vAlign w:val="center"/>
          </w:tcPr>
          <w:p w14:paraId="07877ACC">
            <w:pPr>
              <w:pStyle w:val="182"/>
              <w:rPr>
                <w:color w:val="auto"/>
              </w:rPr>
            </w:pPr>
            <w:r>
              <w:rPr>
                <w:rFonts w:hint="eastAsia"/>
                <w:color w:val="auto"/>
              </w:rPr>
              <w:t>整体式</w:t>
            </w:r>
          </w:p>
        </w:tc>
        <w:tc>
          <w:tcPr>
            <w:tcW w:w="632" w:type="pct"/>
            <w:shd w:val="clear" w:color="auto" w:fill="auto"/>
            <w:noWrap w:val="0"/>
            <w:vAlign w:val="center"/>
          </w:tcPr>
          <w:p w14:paraId="5644181C">
            <w:pPr>
              <w:pStyle w:val="182"/>
              <w:rPr>
                <w:color w:val="auto"/>
              </w:rPr>
            </w:pPr>
            <w:r>
              <w:rPr>
                <w:rFonts w:hint="eastAsia"/>
                <w:color w:val="auto"/>
              </w:rPr>
              <w:t>900</w:t>
            </w:r>
          </w:p>
        </w:tc>
      </w:tr>
      <w:tr w14:paraId="768E8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F28DE4F">
            <w:pPr>
              <w:pStyle w:val="182"/>
              <w:rPr>
                <w:color w:val="auto"/>
              </w:rPr>
            </w:pPr>
            <w:r>
              <w:rPr>
                <w:color w:val="auto"/>
              </w:rPr>
              <w:t>1</w:t>
            </w:r>
            <w:r>
              <w:rPr>
                <w:rFonts w:hint="eastAsia"/>
                <w:color w:val="auto"/>
              </w:rPr>
              <w:t>5</w:t>
            </w:r>
          </w:p>
        </w:tc>
        <w:tc>
          <w:tcPr>
            <w:tcW w:w="396" w:type="pct"/>
            <w:vMerge w:val="continue"/>
            <w:shd w:val="clear" w:color="auto" w:fill="auto"/>
            <w:noWrap w:val="0"/>
            <w:vAlign w:val="center"/>
          </w:tcPr>
          <w:p w14:paraId="1F174101">
            <w:pPr>
              <w:pStyle w:val="182"/>
              <w:rPr>
                <w:color w:val="auto"/>
              </w:rPr>
            </w:pPr>
          </w:p>
        </w:tc>
        <w:tc>
          <w:tcPr>
            <w:tcW w:w="1215" w:type="pct"/>
            <w:gridSpan w:val="4"/>
            <w:shd w:val="clear" w:color="auto" w:fill="auto"/>
            <w:noWrap w:val="0"/>
            <w:vAlign w:val="center"/>
          </w:tcPr>
          <w:p w14:paraId="759863C7">
            <w:pPr>
              <w:pStyle w:val="182"/>
              <w:rPr>
                <w:color w:val="auto"/>
              </w:rPr>
            </w:pPr>
            <w:r>
              <w:rPr>
                <w:rFonts w:hint="eastAsia"/>
                <w:color w:val="auto"/>
              </w:rPr>
              <w:t>卷绕机</w:t>
            </w:r>
          </w:p>
        </w:tc>
        <w:tc>
          <w:tcPr>
            <w:tcW w:w="2443" w:type="pct"/>
            <w:shd w:val="clear" w:color="auto" w:fill="auto"/>
            <w:noWrap w:val="0"/>
            <w:vAlign w:val="center"/>
          </w:tcPr>
          <w:p w14:paraId="2E3F245E">
            <w:pPr>
              <w:pStyle w:val="182"/>
              <w:rPr>
                <w:color w:val="auto"/>
              </w:rPr>
            </w:pPr>
            <w:r>
              <w:rPr>
                <w:rFonts w:hint="eastAsia"/>
                <w:color w:val="auto"/>
              </w:rPr>
              <w:t>导丝辊油辊导丝器</w:t>
            </w:r>
          </w:p>
        </w:tc>
        <w:tc>
          <w:tcPr>
            <w:tcW w:w="632" w:type="pct"/>
            <w:shd w:val="clear" w:color="auto" w:fill="auto"/>
            <w:noWrap w:val="0"/>
            <w:vAlign w:val="center"/>
          </w:tcPr>
          <w:p w14:paraId="20526984">
            <w:pPr>
              <w:pStyle w:val="182"/>
              <w:rPr>
                <w:color w:val="auto"/>
              </w:rPr>
            </w:pPr>
            <w:r>
              <w:rPr>
                <w:rFonts w:hint="eastAsia"/>
                <w:color w:val="auto"/>
              </w:rPr>
              <w:t>900</w:t>
            </w:r>
          </w:p>
        </w:tc>
      </w:tr>
      <w:tr w14:paraId="4296F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39C667D2">
            <w:pPr>
              <w:pStyle w:val="182"/>
              <w:rPr>
                <w:color w:val="auto"/>
              </w:rPr>
            </w:pPr>
            <w:r>
              <w:rPr>
                <w:color w:val="auto"/>
              </w:rPr>
              <w:t>1</w:t>
            </w:r>
            <w:r>
              <w:rPr>
                <w:rFonts w:hint="eastAsia"/>
                <w:color w:val="auto"/>
              </w:rPr>
              <w:t>6</w:t>
            </w:r>
          </w:p>
        </w:tc>
        <w:tc>
          <w:tcPr>
            <w:tcW w:w="396" w:type="pct"/>
            <w:vMerge w:val="continue"/>
            <w:shd w:val="clear" w:color="auto" w:fill="auto"/>
            <w:noWrap w:val="0"/>
            <w:vAlign w:val="center"/>
          </w:tcPr>
          <w:p w14:paraId="54CC0F00">
            <w:pPr>
              <w:pStyle w:val="182"/>
              <w:rPr>
                <w:color w:val="auto"/>
              </w:rPr>
            </w:pPr>
          </w:p>
        </w:tc>
        <w:tc>
          <w:tcPr>
            <w:tcW w:w="1215" w:type="pct"/>
            <w:gridSpan w:val="4"/>
            <w:shd w:val="clear" w:color="auto" w:fill="auto"/>
            <w:noWrap w:val="0"/>
            <w:vAlign w:val="center"/>
          </w:tcPr>
          <w:p w14:paraId="18CF81CD">
            <w:pPr>
              <w:pStyle w:val="182"/>
              <w:rPr>
                <w:color w:val="auto"/>
              </w:rPr>
            </w:pPr>
            <w:r>
              <w:rPr>
                <w:rFonts w:hint="eastAsia"/>
                <w:color w:val="auto"/>
              </w:rPr>
              <w:t>卷绕头</w:t>
            </w:r>
          </w:p>
        </w:tc>
        <w:tc>
          <w:tcPr>
            <w:tcW w:w="2443" w:type="pct"/>
            <w:shd w:val="clear" w:color="auto" w:fill="auto"/>
            <w:noWrap w:val="0"/>
            <w:vAlign w:val="center"/>
          </w:tcPr>
          <w:p w14:paraId="547CC437">
            <w:pPr>
              <w:pStyle w:val="182"/>
              <w:rPr>
                <w:color w:val="auto"/>
              </w:rPr>
            </w:pPr>
            <w:r>
              <w:rPr>
                <w:rFonts w:hint="eastAsia"/>
                <w:color w:val="auto"/>
              </w:rPr>
              <w:t>WAW-101</w:t>
            </w:r>
          </w:p>
        </w:tc>
        <w:tc>
          <w:tcPr>
            <w:tcW w:w="632" w:type="pct"/>
            <w:shd w:val="clear" w:color="auto" w:fill="auto"/>
            <w:noWrap w:val="0"/>
            <w:vAlign w:val="center"/>
          </w:tcPr>
          <w:p w14:paraId="15423D27">
            <w:pPr>
              <w:pStyle w:val="182"/>
              <w:rPr>
                <w:color w:val="auto"/>
              </w:rPr>
            </w:pPr>
            <w:r>
              <w:rPr>
                <w:rFonts w:hint="eastAsia"/>
                <w:color w:val="auto"/>
              </w:rPr>
              <w:t>2388</w:t>
            </w:r>
          </w:p>
        </w:tc>
      </w:tr>
      <w:tr w14:paraId="1B6C3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EE4C24C">
            <w:pPr>
              <w:pStyle w:val="182"/>
              <w:rPr>
                <w:color w:val="auto"/>
              </w:rPr>
            </w:pPr>
            <w:r>
              <w:rPr>
                <w:color w:val="auto"/>
              </w:rPr>
              <w:t>1</w:t>
            </w:r>
            <w:r>
              <w:rPr>
                <w:rFonts w:hint="eastAsia"/>
                <w:color w:val="auto"/>
              </w:rPr>
              <w:t>7</w:t>
            </w:r>
          </w:p>
        </w:tc>
        <w:tc>
          <w:tcPr>
            <w:tcW w:w="396" w:type="pct"/>
            <w:vMerge w:val="continue"/>
            <w:shd w:val="clear" w:color="auto" w:fill="auto"/>
            <w:noWrap w:val="0"/>
            <w:vAlign w:val="center"/>
          </w:tcPr>
          <w:p w14:paraId="78B21253">
            <w:pPr>
              <w:pStyle w:val="182"/>
              <w:rPr>
                <w:color w:val="auto"/>
              </w:rPr>
            </w:pPr>
          </w:p>
        </w:tc>
        <w:tc>
          <w:tcPr>
            <w:tcW w:w="1215" w:type="pct"/>
            <w:gridSpan w:val="4"/>
            <w:shd w:val="clear" w:color="auto" w:fill="auto"/>
            <w:noWrap w:val="0"/>
            <w:vAlign w:val="center"/>
          </w:tcPr>
          <w:p w14:paraId="33F903FC">
            <w:pPr>
              <w:pStyle w:val="182"/>
              <w:rPr>
                <w:color w:val="auto"/>
              </w:rPr>
            </w:pPr>
            <w:r>
              <w:rPr>
                <w:rFonts w:hint="eastAsia"/>
                <w:color w:val="auto"/>
              </w:rPr>
              <w:t>SM</w:t>
            </w:r>
          </w:p>
        </w:tc>
        <w:tc>
          <w:tcPr>
            <w:tcW w:w="2443" w:type="pct"/>
            <w:shd w:val="clear" w:color="auto" w:fill="auto"/>
            <w:noWrap w:val="0"/>
            <w:vAlign w:val="center"/>
          </w:tcPr>
          <w:p w14:paraId="7FB578AC">
            <w:pPr>
              <w:pStyle w:val="182"/>
              <w:rPr>
                <w:color w:val="auto"/>
              </w:rPr>
            </w:pPr>
            <w:r>
              <w:rPr>
                <w:rFonts w:hint="eastAsia"/>
                <w:color w:val="auto"/>
              </w:rPr>
              <w:t>装置管翅式/板翅式</w:t>
            </w:r>
          </w:p>
        </w:tc>
        <w:tc>
          <w:tcPr>
            <w:tcW w:w="632" w:type="pct"/>
            <w:shd w:val="clear" w:color="auto" w:fill="auto"/>
            <w:noWrap w:val="0"/>
            <w:vAlign w:val="center"/>
          </w:tcPr>
          <w:p w14:paraId="114B27CB">
            <w:pPr>
              <w:pStyle w:val="182"/>
              <w:rPr>
                <w:color w:val="auto"/>
              </w:rPr>
            </w:pPr>
            <w:r>
              <w:rPr>
                <w:rFonts w:hint="eastAsia"/>
                <w:color w:val="auto"/>
              </w:rPr>
              <w:t>40</w:t>
            </w:r>
          </w:p>
        </w:tc>
      </w:tr>
      <w:tr w14:paraId="25494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3A976E0">
            <w:pPr>
              <w:pStyle w:val="182"/>
              <w:rPr>
                <w:color w:val="auto"/>
              </w:rPr>
            </w:pPr>
            <w:r>
              <w:rPr>
                <w:color w:val="auto"/>
              </w:rPr>
              <w:t>1</w:t>
            </w:r>
            <w:r>
              <w:rPr>
                <w:rFonts w:hint="eastAsia"/>
                <w:color w:val="auto"/>
              </w:rPr>
              <w:t>8</w:t>
            </w:r>
          </w:p>
        </w:tc>
        <w:tc>
          <w:tcPr>
            <w:tcW w:w="396" w:type="pct"/>
            <w:vMerge w:val="restart"/>
            <w:shd w:val="clear" w:color="auto" w:fill="auto"/>
            <w:noWrap w:val="0"/>
            <w:vAlign w:val="center"/>
          </w:tcPr>
          <w:p w14:paraId="0A540545">
            <w:pPr>
              <w:pStyle w:val="182"/>
              <w:rPr>
                <w:color w:val="auto"/>
              </w:rPr>
            </w:pPr>
            <w:r>
              <w:rPr>
                <w:rFonts w:hint="eastAsia"/>
                <w:color w:val="auto"/>
              </w:rPr>
              <w:t>分级包装工序</w:t>
            </w:r>
          </w:p>
        </w:tc>
        <w:tc>
          <w:tcPr>
            <w:tcW w:w="1215" w:type="pct"/>
            <w:gridSpan w:val="4"/>
            <w:shd w:val="clear" w:color="auto" w:fill="auto"/>
            <w:noWrap w:val="0"/>
            <w:vAlign w:val="center"/>
          </w:tcPr>
          <w:p w14:paraId="1D45EC49">
            <w:pPr>
              <w:pStyle w:val="182"/>
              <w:rPr>
                <w:color w:val="auto"/>
              </w:rPr>
            </w:pPr>
            <w:r>
              <w:rPr>
                <w:rFonts w:hint="eastAsia"/>
                <w:color w:val="auto"/>
              </w:rPr>
              <w:t>智能分选系统</w:t>
            </w:r>
          </w:p>
        </w:tc>
        <w:tc>
          <w:tcPr>
            <w:tcW w:w="2443" w:type="pct"/>
            <w:shd w:val="clear" w:color="auto" w:fill="auto"/>
            <w:noWrap w:val="0"/>
            <w:vAlign w:val="center"/>
          </w:tcPr>
          <w:p w14:paraId="50212334">
            <w:pPr>
              <w:pStyle w:val="182"/>
              <w:rPr>
                <w:color w:val="auto"/>
              </w:rPr>
            </w:pPr>
            <w:r>
              <w:rPr>
                <w:rFonts w:hint="eastAsia"/>
                <w:color w:val="auto"/>
              </w:rPr>
              <w:t>/</w:t>
            </w:r>
          </w:p>
        </w:tc>
        <w:tc>
          <w:tcPr>
            <w:tcW w:w="632" w:type="pct"/>
            <w:shd w:val="clear" w:color="auto" w:fill="auto"/>
            <w:noWrap w:val="0"/>
            <w:vAlign w:val="center"/>
          </w:tcPr>
          <w:p w14:paraId="23883568">
            <w:pPr>
              <w:pStyle w:val="182"/>
              <w:rPr>
                <w:color w:val="auto"/>
              </w:rPr>
            </w:pPr>
            <w:r>
              <w:rPr>
                <w:rFonts w:hint="eastAsia"/>
                <w:color w:val="auto"/>
              </w:rPr>
              <w:t>3</w:t>
            </w:r>
          </w:p>
        </w:tc>
      </w:tr>
      <w:tr w14:paraId="56E63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5776EEEE">
            <w:pPr>
              <w:pStyle w:val="182"/>
              <w:rPr>
                <w:color w:val="auto"/>
              </w:rPr>
            </w:pPr>
            <w:r>
              <w:rPr>
                <w:rFonts w:hint="eastAsia"/>
                <w:color w:val="auto"/>
              </w:rPr>
              <w:t>19</w:t>
            </w:r>
          </w:p>
        </w:tc>
        <w:tc>
          <w:tcPr>
            <w:tcW w:w="396" w:type="pct"/>
            <w:vMerge w:val="continue"/>
            <w:shd w:val="clear" w:color="auto" w:fill="auto"/>
            <w:noWrap w:val="0"/>
            <w:vAlign w:val="center"/>
          </w:tcPr>
          <w:p w14:paraId="53096CC8">
            <w:pPr>
              <w:pStyle w:val="182"/>
              <w:rPr>
                <w:color w:val="auto"/>
              </w:rPr>
            </w:pPr>
          </w:p>
        </w:tc>
        <w:tc>
          <w:tcPr>
            <w:tcW w:w="1215" w:type="pct"/>
            <w:gridSpan w:val="4"/>
            <w:shd w:val="clear" w:color="auto" w:fill="auto"/>
            <w:noWrap w:val="0"/>
            <w:vAlign w:val="center"/>
          </w:tcPr>
          <w:p w14:paraId="0C19568E">
            <w:pPr>
              <w:pStyle w:val="182"/>
              <w:rPr>
                <w:color w:val="auto"/>
              </w:rPr>
            </w:pPr>
            <w:r>
              <w:rPr>
                <w:rFonts w:hint="eastAsia"/>
                <w:color w:val="auto"/>
              </w:rPr>
              <w:t>智能装箱打包系统</w:t>
            </w:r>
          </w:p>
        </w:tc>
        <w:tc>
          <w:tcPr>
            <w:tcW w:w="2443" w:type="pct"/>
            <w:shd w:val="clear" w:color="auto" w:fill="auto"/>
            <w:noWrap w:val="0"/>
            <w:vAlign w:val="center"/>
          </w:tcPr>
          <w:p w14:paraId="15656BF5">
            <w:pPr>
              <w:pStyle w:val="182"/>
              <w:rPr>
                <w:color w:val="auto"/>
              </w:rPr>
            </w:pPr>
            <w:r>
              <w:rPr>
                <w:rFonts w:hint="eastAsia"/>
                <w:color w:val="auto"/>
              </w:rPr>
              <w:t>/</w:t>
            </w:r>
          </w:p>
        </w:tc>
        <w:tc>
          <w:tcPr>
            <w:tcW w:w="632" w:type="pct"/>
            <w:shd w:val="clear" w:color="auto" w:fill="auto"/>
            <w:noWrap w:val="0"/>
            <w:vAlign w:val="center"/>
          </w:tcPr>
          <w:p w14:paraId="61932D95">
            <w:pPr>
              <w:pStyle w:val="182"/>
              <w:rPr>
                <w:color w:val="auto"/>
              </w:rPr>
            </w:pPr>
            <w:r>
              <w:rPr>
                <w:rFonts w:hint="eastAsia"/>
                <w:color w:val="auto"/>
              </w:rPr>
              <w:t>3</w:t>
            </w:r>
          </w:p>
        </w:tc>
      </w:tr>
      <w:tr w14:paraId="74A37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732705E2">
            <w:pPr>
              <w:pStyle w:val="182"/>
              <w:rPr>
                <w:color w:val="auto"/>
              </w:rPr>
            </w:pPr>
            <w:r>
              <w:rPr>
                <w:color w:val="auto"/>
              </w:rPr>
              <w:t>2</w:t>
            </w:r>
            <w:r>
              <w:rPr>
                <w:rFonts w:hint="eastAsia"/>
                <w:color w:val="auto"/>
              </w:rPr>
              <w:t>0</w:t>
            </w:r>
          </w:p>
        </w:tc>
        <w:tc>
          <w:tcPr>
            <w:tcW w:w="396" w:type="pct"/>
            <w:vMerge w:val="continue"/>
            <w:shd w:val="clear" w:color="auto" w:fill="auto"/>
            <w:noWrap w:val="0"/>
            <w:vAlign w:val="center"/>
          </w:tcPr>
          <w:p w14:paraId="249FF4F9">
            <w:pPr>
              <w:pStyle w:val="182"/>
              <w:rPr>
                <w:color w:val="auto"/>
              </w:rPr>
            </w:pPr>
          </w:p>
        </w:tc>
        <w:tc>
          <w:tcPr>
            <w:tcW w:w="1215" w:type="pct"/>
            <w:gridSpan w:val="4"/>
            <w:shd w:val="clear" w:color="auto" w:fill="auto"/>
            <w:noWrap w:val="0"/>
            <w:vAlign w:val="center"/>
          </w:tcPr>
          <w:p w14:paraId="060FD0EB">
            <w:pPr>
              <w:pStyle w:val="182"/>
              <w:rPr>
                <w:color w:val="auto"/>
              </w:rPr>
            </w:pPr>
            <w:r>
              <w:rPr>
                <w:rFonts w:hint="eastAsia"/>
                <w:color w:val="auto"/>
              </w:rPr>
              <w:t>成品落筒车</w:t>
            </w:r>
          </w:p>
        </w:tc>
        <w:tc>
          <w:tcPr>
            <w:tcW w:w="2443" w:type="pct"/>
            <w:shd w:val="clear" w:color="auto" w:fill="auto"/>
            <w:noWrap w:val="0"/>
            <w:vAlign w:val="center"/>
          </w:tcPr>
          <w:p w14:paraId="7AFE1839">
            <w:pPr>
              <w:pStyle w:val="182"/>
              <w:rPr>
                <w:color w:val="auto"/>
              </w:rPr>
            </w:pPr>
            <w:r>
              <w:rPr>
                <w:rFonts w:hint="eastAsia"/>
                <w:color w:val="auto"/>
              </w:rPr>
              <w:t>/</w:t>
            </w:r>
          </w:p>
        </w:tc>
        <w:tc>
          <w:tcPr>
            <w:tcW w:w="632" w:type="pct"/>
            <w:shd w:val="clear" w:color="auto" w:fill="auto"/>
            <w:noWrap w:val="0"/>
            <w:vAlign w:val="center"/>
          </w:tcPr>
          <w:p w14:paraId="63B83E27">
            <w:pPr>
              <w:pStyle w:val="182"/>
              <w:rPr>
                <w:color w:val="auto"/>
              </w:rPr>
            </w:pPr>
            <w:r>
              <w:rPr>
                <w:rFonts w:hint="eastAsia"/>
                <w:color w:val="auto"/>
              </w:rPr>
              <w:t>8</w:t>
            </w:r>
            <w:r>
              <w:rPr>
                <w:color w:val="auto"/>
              </w:rPr>
              <w:t>40</w:t>
            </w:r>
          </w:p>
        </w:tc>
      </w:tr>
      <w:tr w14:paraId="219D0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6768A75A">
            <w:pPr>
              <w:pStyle w:val="182"/>
              <w:rPr>
                <w:color w:val="auto"/>
              </w:rPr>
            </w:pPr>
            <w:r>
              <w:rPr>
                <w:color w:val="auto"/>
              </w:rPr>
              <w:t>2</w:t>
            </w:r>
            <w:r>
              <w:rPr>
                <w:rFonts w:hint="eastAsia"/>
                <w:color w:val="auto"/>
              </w:rPr>
              <w:t>1</w:t>
            </w:r>
          </w:p>
        </w:tc>
        <w:tc>
          <w:tcPr>
            <w:tcW w:w="396" w:type="pct"/>
            <w:shd w:val="clear" w:color="auto" w:fill="auto"/>
            <w:noWrap w:val="0"/>
            <w:vAlign w:val="center"/>
          </w:tcPr>
          <w:p w14:paraId="17662179">
            <w:pPr>
              <w:pStyle w:val="182"/>
              <w:rPr>
                <w:color w:val="auto"/>
              </w:rPr>
            </w:pPr>
            <w:r>
              <w:rPr>
                <w:rFonts w:hint="eastAsia"/>
                <w:color w:val="auto"/>
              </w:rPr>
              <w:t>辅助清洗工序</w:t>
            </w:r>
          </w:p>
        </w:tc>
        <w:tc>
          <w:tcPr>
            <w:tcW w:w="1215" w:type="pct"/>
            <w:gridSpan w:val="4"/>
            <w:shd w:val="clear" w:color="auto" w:fill="auto"/>
            <w:noWrap w:val="0"/>
            <w:vAlign w:val="center"/>
          </w:tcPr>
          <w:p w14:paraId="101C325F">
            <w:pPr>
              <w:pStyle w:val="182"/>
              <w:rPr>
                <w:color w:val="auto"/>
              </w:rPr>
            </w:pPr>
            <w:r>
              <w:rPr>
                <w:rFonts w:hint="eastAsia"/>
                <w:color w:val="auto"/>
              </w:rPr>
              <w:t>超声波清洗机</w:t>
            </w:r>
          </w:p>
        </w:tc>
        <w:tc>
          <w:tcPr>
            <w:tcW w:w="2443" w:type="pct"/>
            <w:shd w:val="clear" w:color="auto" w:fill="auto"/>
            <w:noWrap w:val="0"/>
            <w:vAlign w:val="center"/>
          </w:tcPr>
          <w:p w14:paraId="08DF0A0B">
            <w:pPr>
              <w:pStyle w:val="182"/>
              <w:rPr>
                <w:color w:val="auto"/>
              </w:rPr>
            </w:pPr>
            <w:r>
              <w:rPr>
                <w:rFonts w:hint="eastAsia"/>
                <w:color w:val="auto"/>
              </w:rPr>
              <w:t>ATLAS-3015D-AC</w:t>
            </w:r>
          </w:p>
        </w:tc>
        <w:tc>
          <w:tcPr>
            <w:tcW w:w="632" w:type="pct"/>
            <w:shd w:val="clear" w:color="auto" w:fill="auto"/>
            <w:noWrap w:val="0"/>
            <w:vAlign w:val="center"/>
          </w:tcPr>
          <w:p w14:paraId="6FCC757D">
            <w:pPr>
              <w:pStyle w:val="182"/>
              <w:rPr>
                <w:color w:val="auto"/>
              </w:rPr>
            </w:pPr>
            <w:r>
              <w:rPr>
                <w:rFonts w:hint="eastAsia"/>
                <w:color w:val="auto"/>
              </w:rPr>
              <w:t>15</w:t>
            </w:r>
          </w:p>
        </w:tc>
      </w:tr>
      <w:tr w14:paraId="57B78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BDC1814">
            <w:pPr>
              <w:pStyle w:val="182"/>
              <w:rPr>
                <w:color w:val="auto"/>
              </w:rPr>
            </w:pPr>
            <w:r>
              <w:rPr>
                <w:rFonts w:hint="eastAsia"/>
                <w:color w:val="auto"/>
              </w:rPr>
              <w:t>22</w:t>
            </w:r>
          </w:p>
        </w:tc>
        <w:tc>
          <w:tcPr>
            <w:tcW w:w="396" w:type="pct"/>
            <w:vMerge w:val="restart"/>
            <w:shd w:val="clear" w:color="auto" w:fill="auto"/>
            <w:noWrap w:val="0"/>
            <w:vAlign w:val="center"/>
          </w:tcPr>
          <w:p w14:paraId="50E7C3AF">
            <w:pPr>
              <w:pStyle w:val="182"/>
              <w:rPr>
                <w:color w:val="auto"/>
              </w:rPr>
            </w:pPr>
            <w:r>
              <w:rPr>
                <w:rFonts w:hint="eastAsia"/>
                <w:color w:val="auto"/>
              </w:rPr>
              <w:t>电气控制系统</w:t>
            </w:r>
          </w:p>
        </w:tc>
        <w:tc>
          <w:tcPr>
            <w:tcW w:w="1215" w:type="pct"/>
            <w:gridSpan w:val="4"/>
            <w:shd w:val="clear" w:color="auto" w:fill="auto"/>
            <w:noWrap w:val="0"/>
            <w:vAlign w:val="center"/>
          </w:tcPr>
          <w:p w14:paraId="16E748F2">
            <w:pPr>
              <w:pStyle w:val="182"/>
              <w:rPr>
                <w:color w:val="auto"/>
              </w:rPr>
            </w:pPr>
            <w:r>
              <w:rPr>
                <w:rFonts w:hint="eastAsia"/>
                <w:color w:val="auto"/>
              </w:rPr>
              <w:t>DCS控制系统</w:t>
            </w:r>
          </w:p>
        </w:tc>
        <w:tc>
          <w:tcPr>
            <w:tcW w:w="2443" w:type="pct"/>
            <w:shd w:val="clear" w:color="auto" w:fill="auto"/>
            <w:noWrap w:val="0"/>
            <w:vAlign w:val="center"/>
          </w:tcPr>
          <w:p w14:paraId="7342A174">
            <w:pPr>
              <w:pStyle w:val="182"/>
              <w:rPr>
                <w:color w:val="auto"/>
              </w:rPr>
            </w:pPr>
            <w:r>
              <w:rPr>
                <w:rFonts w:hint="eastAsia"/>
                <w:color w:val="auto"/>
              </w:rPr>
              <w:t>/</w:t>
            </w:r>
          </w:p>
        </w:tc>
        <w:tc>
          <w:tcPr>
            <w:tcW w:w="632" w:type="pct"/>
            <w:shd w:val="clear" w:color="auto" w:fill="auto"/>
            <w:noWrap w:val="0"/>
            <w:vAlign w:val="center"/>
          </w:tcPr>
          <w:p w14:paraId="41E679CC">
            <w:pPr>
              <w:pStyle w:val="182"/>
              <w:rPr>
                <w:color w:val="auto"/>
              </w:rPr>
            </w:pPr>
            <w:r>
              <w:rPr>
                <w:rFonts w:hint="eastAsia"/>
                <w:color w:val="auto"/>
              </w:rPr>
              <w:t>3</w:t>
            </w:r>
          </w:p>
        </w:tc>
      </w:tr>
      <w:tr w14:paraId="3B249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477EFBA">
            <w:pPr>
              <w:pStyle w:val="182"/>
              <w:rPr>
                <w:color w:val="auto"/>
              </w:rPr>
            </w:pPr>
            <w:r>
              <w:rPr>
                <w:rFonts w:hint="eastAsia"/>
                <w:color w:val="auto"/>
              </w:rPr>
              <w:t>23</w:t>
            </w:r>
          </w:p>
        </w:tc>
        <w:tc>
          <w:tcPr>
            <w:tcW w:w="396" w:type="pct"/>
            <w:vMerge w:val="continue"/>
            <w:shd w:val="clear" w:color="auto" w:fill="auto"/>
            <w:noWrap w:val="0"/>
            <w:vAlign w:val="center"/>
          </w:tcPr>
          <w:p w14:paraId="78DA25BA">
            <w:pPr>
              <w:pStyle w:val="182"/>
              <w:rPr>
                <w:color w:val="auto"/>
              </w:rPr>
            </w:pPr>
          </w:p>
        </w:tc>
        <w:tc>
          <w:tcPr>
            <w:tcW w:w="1215" w:type="pct"/>
            <w:gridSpan w:val="4"/>
            <w:shd w:val="clear" w:color="auto" w:fill="auto"/>
            <w:noWrap w:val="0"/>
            <w:vAlign w:val="center"/>
          </w:tcPr>
          <w:p w14:paraId="6DA3284B">
            <w:pPr>
              <w:pStyle w:val="182"/>
              <w:rPr>
                <w:color w:val="auto"/>
              </w:rPr>
            </w:pPr>
            <w:r>
              <w:rPr>
                <w:rFonts w:hint="eastAsia"/>
                <w:color w:val="auto"/>
              </w:rPr>
              <w:t>制氮系统</w:t>
            </w:r>
          </w:p>
        </w:tc>
        <w:tc>
          <w:tcPr>
            <w:tcW w:w="2443" w:type="pct"/>
            <w:shd w:val="clear" w:color="auto" w:fill="auto"/>
            <w:noWrap w:val="0"/>
            <w:vAlign w:val="center"/>
          </w:tcPr>
          <w:p w14:paraId="0EFC3366">
            <w:pPr>
              <w:pStyle w:val="182"/>
              <w:rPr>
                <w:color w:val="auto"/>
              </w:rPr>
            </w:pPr>
            <w:r>
              <w:rPr>
                <w:rFonts w:hint="eastAsia"/>
                <w:color w:val="auto"/>
              </w:rPr>
              <w:t>/</w:t>
            </w:r>
          </w:p>
        </w:tc>
        <w:tc>
          <w:tcPr>
            <w:tcW w:w="632" w:type="pct"/>
            <w:shd w:val="clear" w:color="auto" w:fill="auto"/>
            <w:noWrap w:val="0"/>
            <w:vAlign w:val="center"/>
          </w:tcPr>
          <w:p w14:paraId="622D31EC">
            <w:pPr>
              <w:pStyle w:val="182"/>
              <w:rPr>
                <w:color w:val="auto"/>
              </w:rPr>
            </w:pPr>
            <w:r>
              <w:rPr>
                <w:rFonts w:hint="eastAsia"/>
                <w:color w:val="auto"/>
              </w:rPr>
              <w:t>3</w:t>
            </w:r>
          </w:p>
        </w:tc>
      </w:tr>
      <w:tr w14:paraId="7D542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shd w:val="clear" w:color="auto" w:fill="auto"/>
            <w:noWrap w:val="0"/>
            <w:vAlign w:val="center"/>
          </w:tcPr>
          <w:p w14:paraId="49F80E15">
            <w:pPr>
              <w:pStyle w:val="182"/>
              <w:rPr>
                <w:color w:val="auto"/>
              </w:rPr>
            </w:pPr>
            <w:r>
              <w:rPr>
                <w:rFonts w:hint="eastAsia"/>
                <w:color w:val="auto"/>
              </w:rPr>
              <w:t>24</w:t>
            </w:r>
          </w:p>
        </w:tc>
        <w:tc>
          <w:tcPr>
            <w:tcW w:w="396" w:type="pct"/>
            <w:vMerge w:val="continue"/>
            <w:shd w:val="clear" w:color="auto" w:fill="auto"/>
            <w:noWrap w:val="0"/>
            <w:vAlign w:val="center"/>
          </w:tcPr>
          <w:p w14:paraId="5B0BF5C9">
            <w:pPr>
              <w:pStyle w:val="182"/>
              <w:rPr>
                <w:color w:val="auto"/>
              </w:rPr>
            </w:pPr>
          </w:p>
        </w:tc>
        <w:tc>
          <w:tcPr>
            <w:tcW w:w="1215" w:type="pct"/>
            <w:gridSpan w:val="4"/>
            <w:shd w:val="clear" w:color="auto" w:fill="auto"/>
            <w:noWrap w:val="0"/>
            <w:vAlign w:val="center"/>
          </w:tcPr>
          <w:p w14:paraId="3E19C054">
            <w:pPr>
              <w:pStyle w:val="182"/>
              <w:rPr>
                <w:color w:val="auto"/>
              </w:rPr>
            </w:pPr>
            <w:r>
              <w:rPr>
                <w:rFonts w:hint="eastAsia"/>
                <w:color w:val="auto"/>
              </w:rPr>
              <w:t>冷媒系统</w:t>
            </w:r>
          </w:p>
        </w:tc>
        <w:tc>
          <w:tcPr>
            <w:tcW w:w="2443" w:type="pct"/>
            <w:shd w:val="clear" w:color="auto" w:fill="auto"/>
            <w:noWrap w:val="0"/>
            <w:vAlign w:val="center"/>
          </w:tcPr>
          <w:p w14:paraId="4FE9C7CC">
            <w:pPr>
              <w:pStyle w:val="182"/>
              <w:rPr>
                <w:color w:val="auto"/>
              </w:rPr>
            </w:pPr>
            <w:r>
              <w:rPr>
                <w:rFonts w:hint="eastAsia"/>
                <w:color w:val="auto"/>
              </w:rPr>
              <w:t>/</w:t>
            </w:r>
          </w:p>
        </w:tc>
        <w:tc>
          <w:tcPr>
            <w:tcW w:w="632" w:type="pct"/>
            <w:shd w:val="clear" w:color="auto" w:fill="auto"/>
            <w:noWrap w:val="0"/>
            <w:vAlign w:val="center"/>
          </w:tcPr>
          <w:p w14:paraId="28F71C03">
            <w:pPr>
              <w:pStyle w:val="182"/>
              <w:rPr>
                <w:color w:val="auto"/>
              </w:rPr>
            </w:pPr>
            <w:r>
              <w:rPr>
                <w:rFonts w:hint="eastAsia"/>
                <w:color w:val="auto"/>
              </w:rPr>
              <w:t>3</w:t>
            </w:r>
          </w:p>
        </w:tc>
      </w:tr>
    </w:tbl>
    <w:p w14:paraId="0874FC5A">
      <w:pPr>
        <w:pStyle w:val="5"/>
        <w:bidi w:val="0"/>
      </w:pPr>
      <w:r>
        <w:rPr>
          <w:rFonts w:hint="eastAsia"/>
        </w:rPr>
        <w:t>已建工艺流程及产污环节</w:t>
      </w:r>
    </w:p>
    <w:p w14:paraId="34FC26CC">
      <w:pPr>
        <w:ind w:firstLine="480"/>
      </w:pPr>
      <w:r>
        <w:rPr>
          <w:rFonts w:hint="eastAsia"/>
          <w:lang w:val="en-US" w:eastAsia="zh-CN"/>
        </w:rPr>
        <w:t>已建</w:t>
      </w:r>
      <w:r>
        <w:rPr>
          <w:rFonts w:hint="eastAsia"/>
        </w:rPr>
        <w:t>项目主要产品包括纤维素粘胶长丝、氨纶纤维和再生氨纶纤维，以下分别描述各主要生产工艺流程。</w:t>
      </w:r>
    </w:p>
    <w:p w14:paraId="50D0D4CA">
      <w:pPr>
        <w:pStyle w:val="6"/>
        <w:bidi w:val="0"/>
      </w:pPr>
      <w:r>
        <w:rPr>
          <w:rFonts w:hint="eastAsia"/>
        </w:rPr>
        <w:t>纤维素粘胶长丝生产工艺流程</w:t>
      </w:r>
    </w:p>
    <w:p w14:paraId="1950EA22">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pPr>
      <w:r>
        <w:rPr>
          <w:rFonts w:hint="eastAsia"/>
        </w:rPr>
        <w:t>项目主要原料为浆粕、烧碱溶液、二硫化碳和硫酸等，首先将浆粕、碱液送入浸渍桶内生成碱纤维素，然后通过压榨、粉碎工段将多余的碱液回收，同时把半纤维素及其他杂质分离出去，增加碱纤维素的反应面积。然后送入黄化机内使碱纤维素与二硫化碳发生黄化反应生成纤维素黄酸酯；黄化得到的纤维素黄酸酯经过溶解、过滤、熟成后送纺丝车间进行纺丝。</w:t>
      </w:r>
    </w:p>
    <w:p w14:paraId="5ACF01A1">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pPr>
      <w:r>
        <w:rPr>
          <w:rFonts w:hint="eastAsia"/>
        </w:rPr>
        <w:t>符合工艺要求的粘胶以一定的压力送到纺丝机上，经过计量泵、碟型过滤器、曲管，从喷丝头喷出，在玻璃管内与酸浴发生化学反应再生成丝条。丝条经过处理辊，四道脱盐水淋洗，再经过上油（含浆料）、干燥，最后卷绕成筒，经物理检验，分级包装送到成品库。</w:t>
      </w:r>
    </w:p>
    <w:p w14:paraId="1B673724">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rPr>
      </w:pPr>
      <w:r>
        <w:rPr>
          <w:rFonts w:hint="eastAsia"/>
        </w:rPr>
        <w:t>长丝酸站工作原理与粘胶短纤维酸站工作原理基本相同，同时根据酸浴的实际需要投加硫酸和硫酸锌进行补充，同时部分酸浴通过闪蒸、蒸发结晶等工序回收元明粉，另外通过闪蒸可去除部分纺丝过程产生的工艺水。</w:t>
      </w:r>
    </w:p>
    <w:p w14:paraId="3FDD64DC">
      <w:pPr>
        <w:pStyle w:val="30"/>
        <w:ind w:left="480" w:firstLine="560"/>
      </w:pPr>
    </w:p>
    <w:p w14:paraId="52B46D88">
      <w:pPr>
        <w:ind w:firstLine="480"/>
        <w:sectPr>
          <w:pgSz w:w="11906" w:h="16838"/>
          <w:pgMar w:top="1440" w:right="1800" w:bottom="1440" w:left="1800" w:header="850" w:footer="850" w:gutter="0"/>
          <w:pgNumType w:fmt="decimal"/>
          <w:cols w:space="720" w:num="1"/>
          <w:docGrid w:linePitch="312" w:charSpace="0"/>
        </w:sectPr>
      </w:pPr>
    </w:p>
    <w:p w14:paraId="7957427A">
      <w:pPr>
        <w:spacing w:line="240" w:lineRule="auto"/>
        <w:ind w:firstLine="0" w:firstLineChars="0"/>
        <w:jc w:val="center"/>
      </w:pPr>
      <w:r>
        <w:drawing>
          <wp:inline distT="0" distB="0" distL="114300" distR="114300">
            <wp:extent cx="7954645" cy="4994910"/>
            <wp:effectExtent l="0" t="0" r="8255" b="15240"/>
            <wp:docPr id="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
                    <pic:cNvPicPr>
                      <a:picLocks noChangeAspect="1"/>
                    </pic:cNvPicPr>
                  </pic:nvPicPr>
                  <pic:blipFill>
                    <a:blip r:embed="rId40"/>
                    <a:stretch>
                      <a:fillRect/>
                    </a:stretch>
                  </pic:blipFill>
                  <pic:spPr>
                    <a:xfrm>
                      <a:off x="0" y="0"/>
                      <a:ext cx="7954645" cy="4994910"/>
                    </a:xfrm>
                    <a:prstGeom prst="rect">
                      <a:avLst/>
                    </a:prstGeom>
                    <a:noFill/>
                    <a:ln>
                      <a:noFill/>
                    </a:ln>
                  </pic:spPr>
                </pic:pic>
              </a:graphicData>
            </a:graphic>
          </wp:inline>
        </w:drawing>
      </w:r>
    </w:p>
    <w:p w14:paraId="0A630400">
      <w:pPr>
        <w:pStyle w:val="181"/>
        <w:ind w:firstLine="0" w:firstLineChars="0"/>
        <w:jc w:val="center"/>
      </w:pPr>
      <w:r>
        <w:rPr>
          <w:rFonts w:hint="eastAsia"/>
        </w:rPr>
        <w:t>图</w:t>
      </w:r>
      <w:r>
        <w:t>3.</w:t>
      </w:r>
      <w:r>
        <w:rPr>
          <w:rFonts w:hint="eastAsia"/>
        </w:rPr>
        <w:t>3-</w:t>
      </w:r>
      <w:r>
        <w:t xml:space="preserve">1  </w:t>
      </w:r>
      <w:r>
        <w:rPr>
          <w:rFonts w:hint="eastAsia"/>
        </w:rPr>
        <w:t>纤维素黏胶长丝生产工艺流程及产污环节图</w:t>
      </w:r>
    </w:p>
    <w:p w14:paraId="71302092">
      <w:pPr>
        <w:spacing w:line="520" w:lineRule="exact"/>
        <w:ind w:firstLine="480"/>
        <w:sectPr>
          <w:pgSz w:w="16838" w:h="11906" w:orient="landscape"/>
          <w:pgMar w:top="1440" w:right="1800" w:bottom="1440" w:left="1800" w:header="851" w:footer="851" w:gutter="0"/>
          <w:pgNumType w:fmt="decimal"/>
          <w:cols w:space="720" w:num="1"/>
          <w:docGrid w:linePitch="326" w:charSpace="0"/>
        </w:sectPr>
      </w:pPr>
    </w:p>
    <w:p w14:paraId="6CE9BC94">
      <w:pPr>
        <w:pStyle w:val="6"/>
        <w:bidi w:val="0"/>
      </w:pPr>
      <w:r>
        <w:rPr>
          <w:rFonts w:hint="eastAsia"/>
        </w:rPr>
        <w:t>氨纶纤维生产工艺流程</w:t>
      </w:r>
    </w:p>
    <w:p w14:paraId="32B13B1D">
      <w:pPr>
        <w:ind w:firstLine="480"/>
      </w:pPr>
      <w:r>
        <w:rPr>
          <w:rFonts w:hint="eastAsia"/>
        </w:rPr>
        <w:t>氨纶纤维生产工艺流程详见图3</w:t>
      </w:r>
      <w:r>
        <w:t>.</w:t>
      </w:r>
      <w:r>
        <w:rPr>
          <w:rFonts w:hint="eastAsia"/>
        </w:rPr>
        <w:t>3-</w:t>
      </w:r>
      <w:r>
        <w:t>2</w:t>
      </w:r>
      <w:r>
        <w:rPr>
          <w:rFonts w:hint="eastAsia"/>
        </w:rPr>
        <w:t>。</w:t>
      </w:r>
    </w:p>
    <w:p w14:paraId="3FEAE2FA">
      <w:pPr>
        <w:spacing w:line="240" w:lineRule="auto"/>
        <w:ind w:firstLine="0" w:firstLineChars="0"/>
      </w:pPr>
      <w:r>
        <w:rPr>
          <w:rFonts w:hint="eastAsia"/>
        </w:rPr>
        <w:drawing>
          <wp:inline distT="0" distB="0" distL="0" distR="0">
            <wp:extent cx="5435600" cy="6732905"/>
            <wp:effectExtent l="0" t="0" r="12700" b="10795"/>
            <wp:docPr id="1588" name="图片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图片 158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36108" cy="6733032"/>
                    </a:xfrm>
                    <a:prstGeom prst="rect">
                      <a:avLst/>
                    </a:prstGeom>
                  </pic:spPr>
                </pic:pic>
              </a:graphicData>
            </a:graphic>
          </wp:inline>
        </w:drawing>
      </w:r>
    </w:p>
    <w:p w14:paraId="483DD9D9">
      <w:pPr>
        <w:pStyle w:val="181"/>
        <w:ind w:firstLine="0" w:firstLineChars="0"/>
        <w:jc w:val="center"/>
      </w:pPr>
      <w:r>
        <w:rPr>
          <w:rFonts w:hint="eastAsia"/>
        </w:rPr>
        <w:t>图</w:t>
      </w:r>
      <w:r>
        <w:t>3.</w:t>
      </w:r>
      <w:r>
        <w:rPr>
          <w:rFonts w:hint="eastAsia"/>
        </w:rPr>
        <w:t>3-</w:t>
      </w:r>
      <w:r>
        <w:t xml:space="preserve">2  </w:t>
      </w:r>
      <w:r>
        <w:rPr>
          <w:rFonts w:hint="eastAsia"/>
        </w:rPr>
        <w:t>氨纶纤维生产工艺流程及产污环节图</w:t>
      </w:r>
    </w:p>
    <w:p w14:paraId="47876309">
      <w:pPr>
        <w:ind w:firstLine="480"/>
      </w:pPr>
      <w:r>
        <w:rPr>
          <w:rFonts w:hint="eastAsia"/>
        </w:rPr>
        <w:t>工艺流程说明：</w:t>
      </w:r>
    </w:p>
    <w:p w14:paraId="4B61FBDC">
      <w:pPr>
        <w:ind w:firstLine="480"/>
      </w:pPr>
      <w:r>
        <w:rPr>
          <w:rFonts w:hint="eastAsia"/>
        </w:rPr>
        <w:t>以聚醚二醇（</w:t>
      </w:r>
      <w:r>
        <w:t>PTMG</w:t>
      </w:r>
      <w:r>
        <w:rPr>
          <w:rFonts w:hint="eastAsia"/>
        </w:rPr>
        <w:t>）、</w:t>
      </w:r>
      <w:r>
        <w:t>4,4</w:t>
      </w:r>
      <w:r>
        <w:rPr>
          <w:rFonts w:hint="eastAsia"/>
        </w:rPr>
        <w:t>二苯基甲烷二异氰酸酯（</w:t>
      </w:r>
      <w:r>
        <w:t>MDI</w:t>
      </w:r>
      <w:r>
        <w:rPr>
          <w:rFonts w:hint="eastAsia"/>
        </w:rPr>
        <w:t>）为主要原料，密闭桶装的</w:t>
      </w:r>
      <w:r>
        <w:t>MDI</w:t>
      </w:r>
      <w:r>
        <w:rPr>
          <w:rFonts w:hint="eastAsia"/>
        </w:rPr>
        <w:t>原料在热溶车间经热水加热溶成液态，两种液态物料打到高位槽内，通过各自的计量泵按照一定的摩尔比进行连续预聚合反应生成预聚合物，预聚合物加入溶剂</w:t>
      </w:r>
      <w:r>
        <w:t>DMAC</w:t>
      </w:r>
      <w:r>
        <w:rPr>
          <w:rFonts w:hint="eastAsia"/>
        </w:rPr>
        <w:t>进行溶解制成预聚合物溶液，再与一定浓度、一定比例的扩链剂溶液进行聚合反应，生成聚合物溶液，再加入添加剂，经过滤后到纺丝高位槽经增压泵将纺丝液经熔体分配管分到各个位的纺丝计量泵，再经喷丝板喷出后到纺丝甬道，由热风蒸发去除</w:t>
      </w:r>
      <w:r>
        <w:t>DMAC</w:t>
      </w:r>
      <w:r>
        <w:rPr>
          <w:rFonts w:hint="eastAsia"/>
        </w:rPr>
        <w:t>溶剂，使丝条凝固成形，再经假捻、上油后卷绕、分级，装箱打包出厂。整个生产过程为全密闭状态。</w:t>
      </w:r>
    </w:p>
    <w:p w14:paraId="724F9F75">
      <w:pPr>
        <w:ind w:firstLine="480"/>
      </w:pPr>
      <w:r>
        <w:t>SM</w:t>
      </w:r>
      <w:r>
        <w:rPr>
          <w:rFonts w:hint="eastAsia"/>
        </w:rPr>
        <w:t>系统（即纺丝过程溶剂的回收）：以热风为媒介将纺丝液中的</w:t>
      </w:r>
      <w:r>
        <w:t xml:space="preserve">DMAC </w:t>
      </w:r>
      <w:r>
        <w:rPr>
          <w:rFonts w:hint="eastAsia"/>
        </w:rPr>
        <w:t>溶剂循环带出、冷凝、回收，热风再加热的一个过程。具体流程为：在喷丝装置中，喷出的纺丝液丝条在纺丝甬道入口处的热气流带动再向下移动，在移动过程中，热气流使丝条表面的溶剂</w:t>
      </w:r>
      <w:r>
        <w:t>DMAC</w:t>
      </w:r>
      <w:r>
        <w:rPr>
          <w:rFonts w:hint="eastAsia"/>
        </w:rPr>
        <w:t>（二甲基乙酰胺）急速挥发，</w:t>
      </w:r>
      <w:r>
        <w:t>DMAC</w:t>
      </w:r>
      <w:r>
        <w:rPr>
          <w:rFonts w:hint="eastAsia"/>
        </w:rPr>
        <w:t>（二甲基乙酰胺）和热气一起先经过热交换器，再经过</w:t>
      </w:r>
      <w:r>
        <w:t>3</w:t>
      </w:r>
      <w:r>
        <w:rPr>
          <w:rFonts w:hint="eastAsia"/>
        </w:rPr>
        <w:t>道冷却器，将热气流中携带的</w:t>
      </w:r>
      <w:r>
        <w:t>DMAC</w:t>
      </w:r>
      <w:r>
        <w:rPr>
          <w:rFonts w:hint="eastAsia"/>
        </w:rPr>
        <w:t>冷凝，冷凝回收的</w:t>
      </w:r>
      <w:r>
        <w:t>DMAC</w:t>
      </w:r>
      <w:r>
        <w:rPr>
          <w:rFonts w:hint="eastAsia"/>
        </w:rPr>
        <w:t>液体送到溶剂精制车间进行精制，处理合格后回用于生产。经过冷凝的热风温度降低较多，再通过换热器和电加热后再次进入纺丝甬道，将纺丝丝条中的</w:t>
      </w:r>
      <w:r>
        <w:t>DMAC</w:t>
      </w:r>
      <w:r>
        <w:rPr>
          <w:rFonts w:hint="eastAsia"/>
        </w:rPr>
        <w:t>溶剂带出。在此过程中，冷却回收热风中的</w:t>
      </w:r>
      <w:r>
        <w:t>DMAC</w:t>
      </w:r>
      <w:r>
        <w:rPr>
          <w:rFonts w:hint="eastAsia"/>
        </w:rPr>
        <w:t>设备称为</w:t>
      </w:r>
      <w:r>
        <w:t>SM</w:t>
      </w:r>
      <w:r>
        <w:rPr>
          <w:rFonts w:hint="eastAsia"/>
        </w:rPr>
        <w:t>系统。</w:t>
      </w:r>
    </w:p>
    <w:p w14:paraId="0EE463BB">
      <w:pPr>
        <w:ind w:firstLine="480"/>
      </w:pPr>
      <w:r>
        <w:t>ABS</w:t>
      </w:r>
      <w:r>
        <w:rPr>
          <w:rFonts w:hint="eastAsia"/>
        </w:rPr>
        <w:t>系统（即纺丝工艺废气水喷淋系统）：为了阻止纺丝甬道内含</w:t>
      </w:r>
      <w:r>
        <w:t>DMAC</w:t>
      </w:r>
      <w:r>
        <w:rPr>
          <w:rFonts w:hint="eastAsia"/>
        </w:rPr>
        <w:t>的热风随丝条带到卷绕间，在纺丝甬道下端增加一抽风装置，将少量热风和卷绕间微量新风混合后一起经风机抽出，抽出的废气经水喷淋吸收装置吸收其中少量</w:t>
      </w:r>
      <w:r>
        <w:t>DMAC</w:t>
      </w:r>
      <w:r>
        <w:rPr>
          <w:rFonts w:hint="eastAsia"/>
        </w:rPr>
        <w:t>，这一系统称为</w:t>
      </w:r>
      <w:r>
        <w:t>ABS</w:t>
      </w:r>
      <w:r>
        <w:rPr>
          <w:rFonts w:hint="eastAsia"/>
        </w:rPr>
        <w:t>系统，处理后的尾气经5</w:t>
      </w:r>
      <w:r>
        <w:t>0m</w:t>
      </w:r>
      <w:r>
        <w:rPr>
          <w:rFonts w:hint="eastAsia"/>
        </w:rPr>
        <w:t>高排气筒排放。</w:t>
      </w:r>
    </w:p>
    <w:p w14:paraId="46EC6899">
      <w:pPr>
        <w:ind w:firstLine="480"/>
      </w:pPr>
      <w:r>
        <w:rPr>
          <w:rFonts w:hint="eastAsia"/>
        </w:rPr>
        <w:t>溶剂（</w:t>
      </w:r>
      <w:r>
        <w:t>DMAC</w:t>
      </w:r>
      <w:r>
        <w:rPr>
          <w:rFonts w:hint="eastAsia"/>
        </w:rPr>
        <w:t>）精制包括回收溶剂的准备、蒸馏塔一、精馏塔二、蒸馏塔三和蒸馏残渣中</w:t>
      </w:r>
      <w:r>
        <w:t>DMAC</w:t>
      </w:r>
      <w:r>
        <w:rPr>
          <w:rFonts w:hint="eastAsia"/>
        </w:rPr>
        <w:t>回收装置，工艺流程及产污环节见图</w:t>
      </w:r>
      <w:r>
        <w:t>3.</w:t>
      </w:r>
      <w:r>
        <w:rPr>
          <w:rFonts w:hint="eastAsia"/>
        </w:rPr>
        <w:t>3</w:t>
      </w:r>
      <w:r>
        <w:t>-</w:t>
      </w:r>
      <w:r>
        <w:rPr>
          <w:rFonts w:hint="eastAsia"/>
        </w:rPr>
        <w:t>3。</w:t>
      </w:r>
    </w:p>
    <w:p w14:paraId="52E64EB2">
      <w:pPr>
        <w:spacing w:line="240" w:lineRule="auto"/>
        <w:ind w:firstLine="0" w:firstLineChars="0"/>
      </w:pPr>
      <w:r>
        <w:drawing>
          <wp:inline distT="0" distB="0" distL="0" distR="0">
            <wp:extent cx="5600065" cy="3848735"/>
            <wp:effectExtent l="0" t="0" r="0" b="0"/>
            <wp:docPr id="1589" name="图片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图片 1589"/>
                    <pic:cNvPicPr>
                      <a:picLocks noChangeAspect="1" noChangeArrowheads="1"/>
                    </pic:cNvPicPr>
                  </pic:nvPicPr>
                  <pic:blipFill>
                    <a:blip r:embed="rId42" cstate="print">
                      <a:extLst>
                        <a:ext uri="{28A0092B-C50C-407E-A947-70E740481C1C}">
                          <a14:useLocalDpi xmlns:a14="http://schemas.microsoft.com/office/drawing/2010/main" val="0"/>
                        </a:ext>
                      </a:extLst>
                    </a:blip>
                    <a:srcRect l="2223" t="2487" r="1693"/>
                    <a:stretch>
                      <a:fillRect/>
                    </a:stretch>
                  </pic:blipFill>
                  <pic:spPr>
                    <a:xfrm>
                      <a:off x="0" y="0"/>
                      <a:ext cx="5600065" cy="3848735"/>
                    </a:xfrm>
                    <a:prstGeom prst="rect">
                      <a:avLst/>
                    </a:prstGeom>
                    <a:noFill/>
                    <a:ln>
                      <a:noFill/>
                    </a:ln>
                  </pic:spPr>
                </pic:pic>
              </a:graphicData>
            </a:graphic>
          </wp:inline>
        </w:drawing>
      </w:r>
    </w:p>
    <w:p w14:paraId="78911C82">
      <w:pPr>
        <w:pStyle w:val="181"/>
        <w:ind w:firstLine="964"/>
      </w:pPr>
      <w:r>
        <w:rPr>
          <w:rFonts w:hint="eastAsia"/>
        </w:rPr>
        <w:t>图</w:t>
      </w:r>
      <w:r>
        <w:t>3.</w:t>
      </w:r>
      <w:r>
        <w:rPr>
          <w:rFonts w:hint="eastAsia"/>
        </w:rPr>
        <w:t>3-</w:t>
      </w:r>
      <w:r>
        <w:t>3</w:t>
      </w:r>
      <w:r>
        <w:rPr>
          <w:rFonts w:hint="eastAsia"/>
        </w:rPr>
        <w:t xml:space="preserve">  氨纶纤维生产溶剂回收、精制工艺流程及产污环节图</w:t>
      </w:r>
    </w:p>
    <w:p w14:paraId="455EE076">
      <w:pPr>
        <w:ind w:firstLine="480"/>
      </w:pPr>
      <w:r>
        <w:rPr>
          <w:rFonts w:hint="eastAsia"/>
        </w:rPr>
        <w:t>●回收溶剂的准备：从</w:t>
      </w:r>
      <w:r>
        <w:t>SM</w:t>
      </w:r>
      <w:r>
        <w:rPr>
          <w:rFonts w:hint="eastAsia"/>
        </w:rPr>
        <w:t>系统冷凝回收的</w:t>
      </w:r>
      <w:r>
        <w:t>DMAC</w:t>
      </w:r>
      <w:r>
        <w:rPr>
          <w:rFonts w:hint="eastAsia"/>
        </w:rPr>
        <w:t>溶剂以及</w:t>
      </w:r>
      <w:r>
        <w:t>ABS</w:t>
      </w:r>
      <w:r>
        <w:rPr>
          <w:rFonts w:hint="eastAsia"/>
        </w:rPr>
        <w:t>系统的喷淋液送至粗</w:t>
      </w:r>
      <w:r>
        <w:t>DMAC</w:t>
      </w:r>
      <w:r>
        <w:rPr>
          <w:rFonts w:hint="eastAsia"/>
        </w:rPr>
        <w:t>贮槽。</w:t>
      </w:r>
    </w:p>
    <w:p w14:paraId="637F6D50">
      <w:pPr>
        <w:ind w:firstLine="480"/>
      </w:pPr>
      <w:r>
        <w:rPr>
          <w:rFonts w:hint="eastAsia"/>
        </w:rPr>
        <w:t>●溶剂的蒸馏（蒸馏塔一）：贮槽中的</w:t>
      </w:r>
      <w:r>
        <w:t>DMAC</w:t>
      </w:r>
      <w:r>
        <w:rPr>
          <w:rFonts w:hint="eastAsia"/>
        </w:rPr>
        <w:t>经加热器预热后进入蒸馏塔一中部；其蒸馏目的是除去回收液中的水分及微量低沸物，蒸馏塔是在真空条件下操作，以防温度过高导致溶剂</w:t>
      </w:r>
      <w:r>
        <w:t>DMAC</w:t>
      </w:r>
      <w:r>
        <w:rPr>
          <w:rFonts w:hint="eastAsia"/>
        </w:rPr>
        <w:t>分解。塔底液由再沸器加热汽化，从塔底汽化通过汽液接触达到分离效果。除去水分及低沸物的液体从塔底送至精馏塔。</w:t>
      </w:r>
    </w:p>
    <w:p w14:paraId="6B794B8B">
      <w:pPr>
        <w:ind w:firstLine="480"/>
      </w:pPr>
      <w:r>
        <w:rPr>
          <w:rFonts w:hint="eastAsia"/>
        </w:rPr>
        <w:t>●溶剂的精馏（精馏塔二）：从蒸馏塔一送来的液体，从中部进入精馏塔。精馏也是在真空条件下进行，精馏产品从中上段塔板中取出，经冷却器冷却后流入检查槽，检查合格后用泵送至溶剂</w:t>
      </w:r>
      <w:r>
        <w:t>DMAC</w:t>
      </w:r>
      <w:r>
        <w:rPr>
          <w:rFonts w:hint="eastAsia"/>
        </w:rPr>
        <w:t>贮槽再回到生产过程中。塔底残液送至蒸馏塔三处理。</w:t>
      </w:r>
    </w:p>
    <w:p w14:paraId="0ECA7C0C">
      <w:pPr>
        <w:ind w:firstLine="480"/>
      </w:pPr>
      <w:r>
        <w:rPr>
          <w:rFonts w:hint="eastAsia"/>
        </w:rPr>
        <w:t>●溶剂的粗馏（蒸馏塔三）：从精馏塔底送来的残液、废聚合液、废纺丝液和纺丝组件清洗废液进入蒸馏塔三，经过粗蒸把</w:t>
      </w:r>
      <w:r>
        <w:t>DMAC</w:t>
      </w:r>
      <w:r>
        <w:rPr>
          <w:rFonts w:hint="eastAsia"/>
        </w:rPr>
        <w:t>蒸馏出来，送至粗</w:t>
      </w:r>
      <w:r>
        <w:t>DMAC</w:t>
      </w:r>
      <w:r>
        <w:rPr>
          <w:rFonts w:hint="eastAsia"/>
        </w:rPr>
        <w:t>贮槽中。整个蒸馏同样在真空条件下进行。</w:t>
      </w:r>
    </w:p>
    <w:p w14:paraId="42D3CE5A">
      <w:pPr>
        <w:ind w:firstLine="480"/>
      </w:pPr>
      <w:r>
        <w:rPr>
          <w:rFonts w:hint="eastAsia"/>
        </w:rPr>
        <w:t>●溶剂</w:t>
      </w:r>
      <w:r>
        <w:t>DMAC</w:t>
      </w:r>
      <w:r>
        <w:rPr>
          <w:rFonts w:hint="eastAsia"/>
        </w:rPr>
        <w:t>回收装置：</w:t>
      </w:r>
    </w:p>
    <w:p w14:paraId="34A51682">
      <w:pPr>
        <w:ind w:firstLine="480"/>
      </w:pPr>
      <w:r>
        <w:rPr>
          <w:rFonts w:hint="eastAsia"/>
        </w:rPr>
        <w:t>该装置的作用主要是进一步回收蒸馏残渣中的溶剂</w:t>
      </w:r>
      <w:r>
        <w:t>DMAC</w:t>
      </w:r>
      <w:r>
        <w:rPr>
          <w:rFonts w:hint="eastAsia"/>
        </w:rPr>
        <w:t>。在溶剂精制过程中，会有少量</w:t>
      </w:r>
      <w:r>
        <w:t>DMAC</w:t>
      </w:r>
      <w:r>
        <w:rPr>
          <w:rFonts w:hint="eastAsia"/>
        </w:rPr>
        <w:t>分解，产生醋酸，蒸馏残渣中含有少量醋酸。溶剂</w:t>
      </w:r>
      <w:r>
        <w:t>DMAC</w:t>
      </w:r>
      <w:r>
        <w:rPr>
          <w:rFonts w:hint="eastAsia"/>
        </w:rPr>
        <w:t>回收处理技术中加烧碱的作用主要是中和醋酸。</w:t>
      </w:r>
    </w:p>
    <w:p w14:paraId="084CCBDD">
      <w:pPr>
        <w:ind w:firstLine="480"/>
      </w:pPr>
      <w:r>
        <w:rPr>
          <w:rFonts w:hint="eastAsia"/>
        </w:rPr>
        <w:t>溶剂</w:t>
      </w:r>
      <w:r>
        <w:t>DMAC</w:t>
      </w:r>
      <w:r>
        <w:rPr>
          <w:rFonts w:hint="eastAsia"/>
        </w:rPr>
        <w:t>回收处理技术介绍：在反应器内加入</w:t>
      </w:r>
      <w:r>
        <w:t>32%</w:t>
      </w:r>
      <w:r>
        <w:rPr>
          <w:rFonts w:hint="eastAsia"/>
        </w:rPr>
        <w:t>烧碱混合，至</w:t>
      </w:r>
      <w:r>
        <w:t>pH6-9</w:t>
      </w:r>
      <w:r>
        <w:rPr>
          <w:rFonts w:hint="eastAsia"/>
        </w:rPr>
        <w:t>，醋酸与烧碱反应生成醋酸钠盐，反应的化学方程式如下：</w:t>
      </w:r>
    </w:p>
    <w:p w14:paraId="71CD74A5">
      <w:pPr>
        <w:ind w:firstLine="480"/>
      </w:pPr>
      <w:r>
        <w:t>CH</w:t>
      </w:r>
      <w:r>
        <w:rPr>
          <w:vertAlign w:val="subscript"/>
        </w:rPr>
        <w:t>3</w:t>
      </w:r>
      <w:r>
        <w:t>COOH+NaOH= CH</w:t>
      </w:r>
      <w:r>
        <w:rPr>
          <w:vertAlign w:val="subscript"/>
        </w:rPr>
        <w:t>3</w:t>
      </w:r>
      <w:r>
        <w:t>COONa+H</w:t>
      </w:r>
      <w:r>
        <w:rPr>
          <w:vertAlign w:val="subscript"/>
        </w:rPr>
        <w:t>2</w:t>
      </w:r>
      <w:r>
        <w:t>O</w:t>
      </w:r>
    </w:p>
    <w:p w14:paraId="4E41B887">
      <w:pPr>
        <w:ind w:firstLine="480"/>
      </w:pPr>
      <w:r>
        <w:rPr>
          <w:rFonts w:hint="eastAsia"/>
        </w:rPr>
        <w:t>然后向反应器夹套内通入蒸汽加热，蒸馏残渣中的</w:t>
      </w:r>
      <w:r>
        <w:t>DMAC</w:t>
      </w:r>
      <w:r>
        <w:rPr>
          <w:rFonts w:hint="eastAsia"/>
        </w:rPr>
        <w:t>蒸发变成</w:t>
      </w:r>
      <w:r>
        <w:t>DMAC</w:t>
      </w:r>
      <w:r>
        <w:rPr>
          <w:rFonts w:hint="eastAsia"/>
        </w:rPr>
        <w:t>蒸汽，与水蒸汽一并抽出反应器，经冷凝器冷却，经冷凝回收的</w:t>
      </w:r>
      <w:r>
        <w:t>DMAC</w:t>
      </w:r>
      <w:r>
        <w:rPr>
          <w:rFonts w:hint="eastAsia"/>
        </w:rPr>
        <w:t>液体，聚结于贮槽内。回收的</w:t>
      </w:r>
      <w:r>
        <w:t>DMAC</w:t>
      </w:r>
      <w:r>
        <w:rPr>
          <w:rFonts w:hint="eastAsia"/>
        </w:rPr>
        <w:t>，再经精制回用于生产。反应器底部蒸馏残渣，经反应器底部的排渣孔排出。</w:t>
      </w:r>
    </w:p>
    <w:p w14:paraId="4AEFA148">
      <w:pPr>
        <w:pStyle w:val="6"/>
        <w:bidi w:val="0"/>
      </w:pPr>
      <w:r>
        <w:rPr>
          <w:rFonts w:hint="eastAsia"/>
        </w:rPr>
        <w:t>再生氨纶纤维生产工艺流程</w:t>
      </w:r>
    </w:p>
    <w:p w14:paraId="48875B5B">
      <w:pPr>
        <w:ind w:firstLine="480"/>
      </w:pPr>
      <w:r>
        <w:rPr>
          <w:rFonts w:hint="eastAsia"/>
        </w:rPr>
        <w:t>再生氨纶纤维生产工艺流程如下：</w:t>
      </w:r>
    </w:p>
    <w:p w14:paraId="21958D34">
      <w:pPr>
        <w:spacing w:line="240" w:lineRule="auto"/>
        <w:ind w:firstLine="0" w:firstLineChars="0"/>
        <w:jc w:val="center"/>
      </w:pPr>
      <w:r>
        <w:drawing>
          <wp:inline distT="0" distB="0" distL="0" distR="0">
            <wp:extent cx="4871720" cy="4999990"/>
            <wp:effectExtent l="0" t="0" r="5080" b="10160"/>
            <wp:docPr id="1590" name="图片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图片 1590"/>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71720" cy="4999990"/>
                    </a:xfrm>
                    <a:prstGeom prst="rect">
                      <a:avLst/>
                    </a:prstGeom>
                  </pic:spPr>
                </pic:pic>
              </a:graphicData>
            </a:graphic>
          </wp:inline>
        </w:drawing>
      </w:r>
    </w:p>
    <w:p w14:paraId="642512EC">
      <w:pPr>
        <w:pStyle w:val="181"/>
        <w:ind w:firstLine="0" w:firstLineChars="0"/>
        <w:jc w:val="center"/>
        <w:rPr>
          <w:rFonts w:hint="eastAsia"/>
        </w:rPr>
      </w:pPr>
      <w:r>
        <w:rPr>
          <w:rFonts w:hint="eastAsia"/>
        </w:rPr>
        <w:t>图</w:t>
      </w:r>
      <w:r>
        <w:t>3.</w:t>
      </w:r>
      <w:r>
        <w:rPr>
          <w:rFonts w:hint="eastAsia"/>
        </w:rPr>
        <w:t>3-</w:t>
      </w:r>
      <w:r>
        <w:t xml:space="preserve">4  </w:t>
      </w:r>
      <w:r>
        <w:rPr>
          <w:rFonts w:hint="eastAsia"/>
        </w:rPr>
        <w:t>再生氨纶纤维生产工艺流程及产污环节图</w:t>
      </w:r>
    </w:p>
    <w:p w14:paraId="368B1BED"/>
    <w:p w14:paraId="163DB0C4">
      <w:pPr>
        <w:ind w:firstLine="480"/>
      </w:pPr>
      <w:r>
        <w:rPr>
          <w:rFonts w:hint="eastAsia"/>
        </w:rPr>
        <w:t>再生氨纶生产工艺流程说明：</w:t>
      </w:r>
    </w:p>
    <w:p w14:paraId="2079448E">
      <w:pPr>
        <w:ind w:firstLine="480"/>
      </w:pPr>
      <w:r>
        <w:rPr>
          <w:rFonts w:hint="eastAsia"/>
        </w:rPr>
        <w:t>氨纶废丝经切丝机切成2-8mm，经称量机称重后密闭输送至烘干机，烘干机靠蒸汽对废丝进行烘干，烘干温度90℃，烘干后的物料利用高度落差通过管道送至溶解机内与DMAC溶剂以一定比例在一定高温下于溶解机内进行溶解，溶解后通过齿轮泵输送与废聚合溶液、废纺丝液进行混合即生成聚合物溶液，经过滤后到纺丝高位槽经增压泵将纺丝液经熔体分配管分到各个位的纺丝计量泵，再经喷丝板喷出后到纺丝甬道，由电加热800℃热风蒸发去除DMAC溶剂，使丝条凝固成形，再经假捻、上油后卷绕、分级，装箱打包出厂。</w:t>
      </w:r>
    </w:p>
    <w:p w14:paraId="36CE5E89">
      <w:pPr>
        <w:pStyle w:val="5"/>
        <w:bidi w:val="0"/>
      </w:pPr>
      <w:r>
        <w:rPr>
          <w:rFonts w:hint="eastAsia"/>
        </w:rPr>
        <w:t>污染物排放达标情况</w:t>
      </w:r>
    </w:p>
    <w:p w14:paraId="1598DF7D">
      <w:pPr>
        <w:ind w:firstLine="480"/>
      </w:pPr>
      <w:r>
        <w:rPr>
          <w:rFonts w:hint="eastAsia"/>
        </w:rPr>
        <w:t>本次评价根据已建项目废水、废气污染源在线监测以及验收监测情况，结合工程实际运行过程中的产污情况，分析已建项目废水、废气、噪声等污染物的达标情况。</w:t>
      </w:r>
    </w:p>
    <w:p w14:paraId="403E37FE">
      <w:pPr>
        <w:pStyle w:val="6"/>
        <w:bidi w:val="0"/>
      </w:pPr>
      <w:r>
        <w:rPr>
          <w:rFonts w:hint="eastAsia"/>
        </w:rPr>
        <w:t>废水</w:t>
      </w:r>
    </w:p>
    <w:p w14:paraId="1EE7320C">
      <w:pPr>
        <w:ind w:firstLine="480"/>
      </w:pPr>
      <w:r>
        <w:rPr>
          <w:rFonts w:hint="eastAsia"/>
        </w:rPr>
        <w:t>已建项目生产过程中产生的废水主要包括：酸性废水、粘胶废水和氨纶废水，建设单位通过分类分质处理达标后排放，现有污水处理站处理工艺见</w:t>
      </w:r>
      <w:r>
        <w:rPr>
          <w:rFonts w:hint="eastAsia"/>
          <w:lang w:val="en-US" w:eastAsia="zh-CN"/>
        </w:rPr>
        <w:t>下图</w:t>
      </w:r>
      <w:r>
        <w:rPr>
          <w:rFonts w:hint="eastAsia"/>
        </w:rPr>
        <w:t>。</w:t>
      </w:r>
    </w:p>
    <w:p w14:paraId="233D73FB">
      <w:pPr>
        <w:ind w:firstLine="0" w:firstLineChars="0"/>
        <w:jc w:val="center"/>
      </w:pPr>
      <w:r>
        <w:rPr>
          <w:rFonts w:hint="eastAsia"/>
        </w:rPr>
        <w:object>
          <v:shape id="_x0000_i1027" o:spt="75" type="#_x0000_t75" style="height:611.05pt;width:415.3pt;" o:ole="t" filled="f" o:preferrelative="t" stroked="f" coordsize="21600,21600">
            <v:path/>
            <v:fill on="f" focussize="0,0"/>
            <v:stroke on="f" joinstyle="miter"/>
            <v:imagedata r:id="rId45" o:title=""/>
            <o:lock v:ext="edit" aspectratio="t"/>
            <w10:wrap type="none"/>
            <w10:anchorlock/>
          </v:shape>
          <o:OLEObject Type="Embed" ProgID="Visio.Drawing.15" ShapeID="_x0000_i1027" DrawAspect="Content" ObjectID="_1468075727" r:id="rId44">
            <o:LockedField>false</o:LockedField>
          </o:OLEObject>
        </w:object>
      </w:r>
    </w:p>
    <w:p w14:paraId="33F2BC47">
      <w:pPr>
        <w:pStyle w:val="181"/>
        <w:ind w:firstLine="0" w:firstLineChars="0"/>
        <w:jc w:val="center"/>
      </w:pPr>
      <w:r>
        <w:rPr>
          <w:rFonts w:hint="eastAsia"/>
        </w:rPr>
        <w:t>图</w:t>
      </w:r>
      <w:r>
        <w:t>3.</w:t>
      </w:r>
      <w:r>
        <w:rPr>
          <w:rFonts w:hint="eastAsia"/>
        </w:rPr>
        <w:t>3-</w:t>
      </w:r>
      <w:r>
        <w:t xml:space="preserve">5  </w:t>
      </w:r>
      <w:r>
        <w:rPr>
          <w:rFonts w:hint="eastAsia"/>
        </w:rPr>
        <w:t>厂区内污水处理站处理工艺流程示意图</w:t>
      </w:r>
    </w:p>
    <w:p w14:paraId="22A43ED2">
      <w:pPr>
        <w:ind w:firstLine="480"/>
      </w:pPr>
    </w:p>
    <w:p w14:paraId="16D2C56B">
      <w:pPr>
        <w:ind w:firstLine="480"/>
        <w:sectPr>
          <w:pgSz w:w="11910" w:h="16840"/>
          <w:pgMar w:top="1440" w:right="1800" w:bottom="1440" w:left="1800" w:header="877" w:footer="1196" w:gutter="0"/>
          <w:pgNumType w:fmt="decimal"/>
          <w:cols w:space="720" w:num="1"/>
        </w:sectPr>
      </w:pPr>
    </w:p>
    <w:p w14:paraId="4EB7229E">
      <w:pPr>
        <w:ind w:firstLine="480"/>
        <w:rPr>
          <w:rFonts w:hint="eastAsia"/>
        </w:rPr>
      </w:pPr>
      <w:r>
        <w:rPr>
          <w:rFonts w:hint="eastAsia"/>
        </w:rPr>
        <w:t>（3）已建项目废水排放情况</w:t>
      </w:r>
    </w:p>
    <w:p w14:paraId="7F2E0177">
      <w:pPr>
        <w:ind w:firstLine="480"/>
        <w:rPr>
          <w:rFonts w:hint="eastAsia"/>
        </w:rPr>
      </w:pPr>
      <w:r>
        <w:rPr>
          <w:rFonts w:hint="eastAsia"/>
        </w:rPr>
        <w:t>根据新乡化纤有限公司提供2023年厂区已建项目废水总排口在线数据（见附件8），现有工程废水排放情况见下表：</w:t>
      </w:r>
    </w:p>
    <w:p w14:paraId="2C253494">
      <w:pPr>
        <w:pStyle w:val="10"/>
        <w:bidi w:val="0"/>
        <w:rPr>
          <w:rFonts w:hint="eastAsia"/>
        </w:rPr>
      </w:pPr>
      <w:r>
        <w:t xml:space="preserve">表 </w:t>
      </w:r>
      <w:r>
        <w:fldChar w:fldCharType="begin"/>
      </w:r>
      <w:r>
        <w:instrText xml:space="preserve"> STYLEREF 2 \s </w:instrText>
      </w:r>
      <w:r>
        <w:fldChar w:fldCharType="separate"/>
      </w:r>
      <w:r>
        <w:t>3.3</w:t>
      </w:r>
      <w:r>
        <w:fldChar w:fldCharType="end"/>
      </w:r>
      <w:r>
        <w:rPr>
          <w:rFonts w:hint="eastAsia"/>
          <w:lang w:eastAsia="zh-CN"/>
        </w:rPr>
        <w:t>-</w:t>
      </w:r>
      <w:r>
        <w:fldChar w:fldCharType="begin"/>
      </w:r>
      <w:r>
        <w:instrText xml:space="preserve"> SEQ 表 \* ARABIC \s 2 </w:instrText>
      </w:r>
      <w:r>
        <w:fldChar w:fldCharType="separate"/>
      </w:r>
      <w:r>
        <w:t>3</w:t>
      </w:r>
      <w:r>
        <w:fldChar w:fldCharType="end"/>
      </w:r>
      <w:r>
        <w:rPr>
          <w:rFonts w:hint="eastAsia"/>
        </w:rPr>
        <w:t xml:space="preserve"> 厂区</w:t>
      </w:r>
      <w:r>
        <w:rPr>
          <w:rFonts w:hint="eastAsia"/>
          <w:lang w:val="en-US" w:eastAsia="zh-CN"/>
        </w:rPr>
        <w:t>废水</w:t>
      </w:r>
      <w:r>
        <w:rPr>
          <w:rFonts w:hint="eastAsia"/>
        </w:rPr>
        <w:t>总排口202</w:t>
      </w:r>
      <w:r>
        <w:rPr>
          <w:rFonts w:hint="eastAsia"/>
          <w:lang w:val="en-US" w:eastAsia="zh-CN"/>
        </w:rPr>
        <w:t>3</w:t>
      </w:r>
      <w:r>
        <w:rPr>
          <w:rFonts w:hint="eastAsia"/>
        </w:rPr>
        <w:t>年污染物排放情况在线监测数据</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6"/>
        <w:gridCol w:w="1551"/>
        <w:gridCol w:w="981"/>
        <w:gridCol w:w="981"/>
        <w:gridCol w:w="1120"/>
        <w:gridCol w:w="1035"/>
        <w:gridCol w:w="1316"/>
        <w:gridCol w:w="845"/>
        <w:gridCol w:w="1381"/>
        <w:gridCol w:w="825"/>
        <w:gridCol w:w="1316"/>
        <w:gridCol w:w="802"/>
        <w:gridCol w:w="1077"/>
      </w:tblGrid>
      <w:tr w14:paraId="71AEE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13"/>
            <w:noWrap w:val="0"/>
            <w:vAlign w:val="center"/>
          </w:tcPr>
          <w:p w14:paraId="33C983E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水污染源在线监测系统年统计表</w:t>
            </w:r>
          </w:p>
        </w:tc>
      </w:tr>
      <w:tr w14:paraId="50968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13"/>
            <w:noWrap w:val="0"/>
            <w:vAlign w:val="center"/>
          </w:tcPr>
          <w:p w14:paraId="7014BAC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排污单位：新乡化纤股份有限公司　　数据类型：年数据　　监控点：废水监控点　　时间：2023-01-01 00:00:00 至 2023-12-31 23:59:59</w:t>
            </w:r>
          </w:p>
        </w:tc>
      </w:tr>
      <w:tr w14:paraId="79F0B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vMerge w:val="restart"/>
            <w:noWrap/>
            <w:vAlign w:val="center"/>
          </w:tcPr>
          <w:p w14:paraId="6AEBC7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时间</w:t>
            </w:r>
          </w:p>
        </w:tc>
        <w:tc>
          <w:tcPr>
            <w:tcW w:w="547" w:type="pct"/>
            <w:noWrap/>
            <w:vAlign w:val="center"/>
          </w:tcPr>
          <w:p w14:paraId="112153D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流量</w:t>
            </w:r>
          </w:p>
        </w:tc>
        <w:tc>
          <w:tcPr>
            <w:tcW w:w="1087" w:type="pct"/>
            <w:gridSpan w:val="3"/>
            <w:noWrap/>
            <w:vAlign w:val="center"/>
          </w:tcPr>
          <w:p w14:paraId="25681B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pH</w:t>
            </w:r>
          </w:p>
        </w:tc>
        <w:tc>
          <w:tcPr>
            <w:tcW w:w="829" w:type="pct"/>
            <w:gridSpan w:val="2"/>
            <w:noWrap/>
            <w:vAlign w:val="center"/>
          </w:tcPr>
          <w:p w14:paraId="131D65A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化学需氧量(mg/L)</w:t>
            </w:r>
          </w:p>
        </w:tc>
        <w:tc>
          <w:tcPr>
            <w:tcW w:w="785" w:type="pct"/>
            <w:gridSpan w:val="2"/>
            <w:noWrap/>
            <w:vAlign w:val="center"/>
          </w:tcPr>
          <w:p w14:paraId="370B8D6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氨氮(mg/L)</w:t>
            </w:r>
          </w:p>
        </w:tc>
        <w:tc>
          <w:tcPr>
            <w:tcW w:w="755" w:type="pct"/>
            <w:gridSpan w:val="2"/>
            <w:noWrap/>
            <w:vAlign w:val="center"/>
          </w:tcPr>
          <w:p w14:paraId="50F8A8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总氮(mg/L)</w:t>
            </w:r>
          </w:p>
        </w:tc>
        <w:tc>
          <w:tcPr>
            <w:tcW w:w="663" w:type="pct"/>
            <w:gridSpan w:val="2"/>
            <w:noWrap/>
            <w:vAlign w:val="center"/>
          </w:tcPr>
          <w:p w14:paraId="7EAA3A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总磷(mg/L)</w:t>
            </w:r>
          </w:p>
        </w:tc>
      </w:tr>
      <w:tr w14:paraId="5FD08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vMerge w:val="continue"/>
            <w:noWrap w:val="0"/>
            <w:vAlign w:val="center"/>
          </w:tcPr>
          <w:p w14:paraId="71AA295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p>
        </w:tc>
        <w:tc>
          <w:tcPr>
            <w:tcW w:w="547" w:type="pct"/>
            <w:noWrap w:val="0"/>
            <w:vAlign w:val="center"/>
          </w:tcPr>
          <w:p w14:paraId="7A327BF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累计流量</w:t>
            </w:r>
          </w:p>
        </w:tc>
        <w:tc>
          <w:tcPr>
            <w:tcW w:w="346" w:type="pct"/>
            <w:noWrap w:val="0"/>
            <w:vAlign w:val="center"/>
          </w:tcPr>
          <w:p w14:paraId="54A356A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最小值</w:t>
            </w:r>
          </w:p>
        </w:tc>
        <w:tc>
          <w:tcPr>
            <w:tcW w:w="346" w:type="pct"/>
            <w:noWrap w:val="0"/>
            <w:vAlign w:val="center"/>
          </w:tcPr>
          <w:p w14:paraId="5F0302F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平均值</w:t>
            </w:r>
          </w:p>
        </w:tc>
        <w:tc>
          <w:tcPr>
            <w:tcW w:w="395" w:type="pct"/>
            <w:noWrap w:val="0"/>
            <w:vAlign w:val="center"/>
          </w:tcPr>
          <w:p w14:paraId="085A2A3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最大值</w:t>
            </w:r>
          </w:p>
        </w:tc>
        <w:tc>
          <w:tcPr>
            <w:tcW w:w="365" w:type="pct"/>
            <w:noWrap w:val="0"/>
            <w:vAlign w:val="center"/>
          </w:tcPr>
          <w:p w14:paraId="40A877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浓度</w:t>
            </w:r>
          </w:p>
        </w:tc>
        <w:tc>
          <w:tcPr>
            <w:tcW w:w="464" w:type="pct"/>
            <w:noWrap w:val="0"/>
            <w:vAlign w:val="center"/>
          </w:tcPr>
          <w:p w14:paraId="6225063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排放量(</w:t>
            </w:r>
            <w:r>
              <w:rPr>
                <w:rFonts w:hint="eastAsia"/>
                <w:b/>
                <w:bCs/>
                <w:u w:val="none"/>
              </w:rPr>
              <w:t>kg</w:t>
            </w:r>
            <w:r>
              <w:rPr>
                <w:b/>
                <w:bCs/>
                <w:u w:val="none"/>
              </w:rPr>
              <w:t>)</w:t>
            </w:r>
          </w:p>
        </w:tc>
        <w:tc>
          <w:tcPr>
            <w:tcW w:w="298" w:type="pct"/>
            <w:noWrap w:val="0"/>
            <w:vAlign w:val="center"/>
          </w:tcPr>
          <w:p w14:paraId="4B5721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浓度</w:t>
            </w:r>
          </w:p>
        </w:tc>
        <w:tc>
          <w:tcPr>
            <w:tcW w:w="487" w:type="pct"/>
            <w:noWrap w:val="0"/>
            <w:vAlign w:val="center"/>
          </w:tcPr>
          <w:p w14:paraId="0408055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排放量(</w:t>
            </w:r>
            <w:r>
              <w:rPr>
                <w:rFonts w:hint="eastAsia"/>
                <w:b/>
                <w:bCs/>
                <w:u w:val="none"/>
              </w:rPr>
              <w:t>kg</w:t>
            </w:r>
            <w:r>
              <w:rPr>
                <w:b/>
                <w:bCs/>
                <w:u w:val="none"/>
              </w:rPr>
              <w:t>)</w:t>
            </w:r>
          </w:p>
        </w:tc>
        <w:tc>
          <w:tcPr>
            <w:tcW w:w="291" w:type="pct"/>
            <w:noWrap w:val="0"/>
            <w:vAlign w:val="center"/>
          </w:tcPr>
          <w:p w14:paraId="34C1576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浓度</w:t>
            </w:r>
          </w:p>
        </w:tc>
        <w:tc>
          <w:tcPr>
            <w:tcW w:w="464" w:type="pct"/>
            <w:noWrap w:val="0"/>
            <w:vAlign w:val="center"/>
          </w:tcPr>
          <w:p w14:paraId="0E16F4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排放量(</w:t>
            </w:r>
            <w:r>
              <w:rPr>
                <w:rFonts w:hint="eastAsia"/>
                <w:b/>
                <w:bCs/>
                <w:u w:val="none"/>
              </w:rPr>
              <w:t>kg</w:t>
            </w:r>
            <w:r>
              <w:rPr>
                <w:b/>
                <w:bCs/>
                <w:u w:val="none"/>
              </w:rPr>
              <w:t>)</w:t>
            </w:r>
          </w:p>
        </w:tc>
        <w:tc>
          <w:tcPr>
            <w:tcW w:w="283" w:type="pct"/>
            <w:noWrap w:val="0"/>
            <w:vAlign w:val="center"/>
          </w:tcPr>
          <w:p w14:paraId="24A478C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浓度</w:t>
            </w:r>
          </w:p>
        </w:tc>
        <w:tc>
          <w:tcPr>
            <w:tcW w:w="380" w:type="pct"/>
            <w:noWrap w:val="0"/>
            <w:vAlign w:val="center"/>
          </w:tcPr>
          <w:p w14:paraId="5A0F6F6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排放量(</w:t>
            </w:r>
            <w:r>
              <w:rPr>
                <w:rFonts w:hint="eastAsia"/>
                <w:b/>
                <w:bCs/>
                <w:u w:val="none"/>
              </w:rPr>
              <w:t>kg</w:t>
            </w:r>
            <w:r>
              <w:rPr>
                <w:b/>
                <w:bCs/>
                <w:u w:val="none"/>
              </w:rPr>
              <w:t>)</w:t>
            </w:r>
          </w:p>
        </w:tc>
      </w:tr>
      <w:tr w14:paraId="059B7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71B8861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1月</w:t>
            </w:r>
          </w:p>
        </w:tc>
        <w:tc>
          <w:tcPr>
            <w:tcW w:w="1493" w:type="dxa"/>
            <w:noWrap w:val="0"/>
            <w:vAlign w:val="center"/>
          </w:tcPr>
          <w:p w14:paraId="15DE3E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899747.555</w:t>
            </w:r>
          </w:p>
        </w:tc>
        <w:tc>
          <w:tcPr>
            <w:tcW w:w="945" w:type="dxa"/>
            <w:noWrap w:val="0"/>
            <w:vAlign w:val="center"/>
          </w:tcPr>
          <w:p w14:paraId="09E2F13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6.724</w:t>
            </w:r>
          </w:p>
        </w:tc>
        <w:tc>
          <w:tcPr>
            <w:tcW w:w="945" w:type="dxa"/>
            <w:noWrap w:val="0"/>
            <w:vAlign w:val="center"/>
          </w:tcPr>
          <w:p w14:paraId="6633C1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7.167</w:t>
            </w:r>
          </w:p>
        </w:tc>
        <w:tc>
          <w:tcPr>
            <w:tcW w:w="1079" w:type="dxa"/>
            <w:noWrap w:val="0"/>
            <w:vAlign w:val="center"/>
          </w:tcPr>
          <w:p w14:paraId="604D7FD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7.932</w:t>
            </w:r>
          </w:p>
        </w:tc>
        <w:tc>
          <w:tcPr>
            <w:tcW w:w="997" w:type="dxa"/>
            <w:noWrap w:val="0"/>
            <w:vAlign w:val="center"/>
          </w:tcPr>
          <w:p w14:paraId="72876A7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82.619</w:t>
            </w:r>
          </w:p>
        </w:tc>
        <w:tc>
          <w:tcPr>
            <w:tcW w:w="1267" w:type="dxa"/>
            <w:noWrap w:val="0"/>
            <w:vAlign w:val="center"/>
          </w:tcPr>
          <w:p w14:paraId="3EF736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74336.806</w:t>
            </w:r>
          </w:p>
        </w:tc>
        <w:tc>
          <w:tcPr>
            <w:tcW w:w="814" w:type="dxa"/>
            <w:noWrap w:val="0"/>
            <w:vAlign w:val="center"/>
          </w:tcPr>
          <w:p w14:paraId="3EC47C3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2.6</w:t>
            </w:r>
          </w:p>
        </w:tc>
        <w:tc>
          <w:tcPr>
            <w:tcW w:w="1330" w:type="dxa"/>
            <w:noWrap w:val="0"/>
            <w:vAlign w:val="center"/>
          </w:tcPr>
          <w:p w14:paraId="4D6F3D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2292.5</w:t>
            </w:r>
          </w:p>
        </w:tc>
        <w:tc>
          <w:tcPr>
            <w:tcW w:w="795" w:type="dxa"/>
            <w:noWrap w:val="0"/>
            <w:vAlign w:val="center"/>
          </w:tcPr>
          <w:p w14:paraId="084D7FC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10.21</w:t>
            </w:r>
          </w:p>
        </w:tc>
        <w:tc>
          <w:tcPr>
            <w:tcW w:w="1267" w:type="dxa"/>
            <w:noWrap w:val="0"/>
            <w:vAlign w:val="center"/>
          </w:tcPr>
          <w:p w14:paraId="55438CA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9186.971</w:t>
            </w:r>
          </w:p>
        </w:tc>
        <w:tc>
          <w:tcPr>
            <w:tcW w:w="773" w:type="dxa"/>
            <w:noWrap w:val="0"/>
            <w:vAlign w:val="center"/>
          </w:tcPr>
          <w:p w14:paraId="0231B9D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0.109</w:t>
            </w:r>
          </w:p>
        </w:tc>
        <w:tc>
          <w:tcPr>
            <w:tcW w:w="1038" w:type="dxa"/>
            <w:noWrap w:val="0"/>
            <w:vAlign w:val="center"/>
          </w:tcPr>
          <w:p w14:paraId="43A91A8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98.27</w:t>
            </w:r>
          </w:p>
        </w:tc>
      </w:tr>
      <w:tr w14:paraId="4760E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58128FF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2月</w:t>
            </w:r>
          </w:p>
        </w:tc>
        <w:tc>
          <w:tcPr>
            <w:tcW w:w="1493" w:type="dxa"/>
            <w:noWrap w:val="0"/>
            <w:vAlign w:val="center"/>
          </w:tcPr>
          <w:p w14:paraId="1060AD7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838993.18</w:t>
            </w:r>
          </w:p>
        </w:tc>
        <w:tc>
          <w:tcPr>
            <w:tcW w:w="945" w:type="dxa"/>
            <w:noWrap w:val="0"/>
            <w:vAlign w:val="center"/>
          </w:tcPr>
          <w:p w14:paraId="038FF6A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6.768</w:t>
            </w:r>
          </w:p>
        </w:tc>
        <w:tc>
          <w:tcPr>
            <w:tcW w:w="945" w:type="dxa"/>
            <w:noWrap w:val="0"/>
            <w:vAlign w:val="center"/>
          </w:tcPr>
          <w:p w14:paraId="6CBD51B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7.375</w:t>
            </w:r>
          </w:p>
        </w:tc>
        <w:tc>
          <w:tcPr>
            <w:tcW w:w="1079" w:type="dxa"/>
            <w:noWrap w:val="0"/>
            <w:vAlign w:val="center"/>
          </w:tcPr>
          <w:p w14:paraId="4F99B0E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7.918</w:t>
            </w:r>
          </w:p>
        </w:tc>
        <w:tc>
          <w:tcPr>
            <w:tcW w:w="997" w:type="dxa"/>
            <w:noWrap w:val="0"/>
            <w:vAlign w:val="center"/>
          </w:tcPr>
          <w:p w14:paraId="04025FE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71.71</w:t>
            </w:r>
          </w:p>
        </w:tc>
        <w:tc>
          <w:tcPr>
            <w:tcW w:w="1267" w:type="dxa"/>
            <w:noWrap w:val="0"/>
            <w:vAlign w:val="center"/>
          </w:tcPr>
          <w:p w14:paraId="094F17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60164.542</w:t>
            </w:r>
          </w:p>
        </w:tc>
        <w:tc>
          <w:tcPr>
            <w:tcW w:w="814" w:type="dxa"/>
            <w:noWrap w:val="0"/>
            <w:vAlign w:val="center"/>
          </w:tcPr>
          <w:p w14:paraId="3E3A4A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3.0</w:t>
            </w:r>
          </w:p>
        </w:tc>
        <w:tc>
          <w:tcPr>
            <w:tcW w:w="1330" w:type="dxa"/>
            <w:noWrap w:val="0"/>
            <w:vAlign w:val="center"/>
          </w:tcPr>
          <w:p w14:paraId="1E9CF52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2543.2</w:t>
            </w:r>
          </w:p>
        </w:tc>
        <w:tc>
          <w:tcPr>
            <w:tcW w:w="795" w:type="dxa"/>
            <w:noWrap w:val="0"/>
            <w:vAlign w:val="center"/>
          </w:tcPr>
          <w:p w14:paraId="77B75FE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11.578</w:t>
            </w:r>
          </w:p>
        </w:tc>
        <w:tc>
          <w:tcPr>
            <w:tcW w:w="1267" w:type="dxa"/>
            <w:noWrap w:val="0"/>
            <w:vAlign w:val="center"/>
          </w:tcPr>
          <w:p w14:paraId="41508F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9714.487</w:t>
            </w:r>
          </w:p>
        </w:tc>
        <w:tc>
          <w:tcPr>
            <w:tcW w:w="773" w:type="dxa"/>
            <w:noWrap w:val="0"/>
            <w:vAlign w:val="center"/>
          </w:tcPr>
          <w:p w14:paraId="5D79A6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0.090</w:t>
            </w:r>
          </w:p>
        </w:tc>
        <w:tc>
          <w:tcPr>
            <w:tcW w:w="1038" w:type="dxa"/>
            <w:noWrap w:val="0"/>
            <w:vAlign w:val="center"/>
          </w:tcPr>
          <w:p w14:paraId="66B2BE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76.277</w:t>
            </w:r>
          </w:p>
        </w:tc>
      </w:tr>
      <w:tr w14:paraId="41431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50F839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3月</w:t>
            </w:r>
          </w:p>
        </w:tc>
        <w:tc>
          <w:tcPr>
            <w:tcW w:w="1493" w:type="dxa"/>
            <w:noWrap w:val="0"/>
            <w:vAlign w:val="center"/>
          </w:tcPr>
          <w:p w14:paraId="003239A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921115.638</w:t>
            </w:r>
          </w:p>
        </w:tc>
        <w:tc>
          <w:tcPr>
            <w:tcW w:w="945" w:type="dxa"/>
            <w:noWrap w:val="0"/>
            <w:vAlign w:val="center"/>
          </w:tcPr>
          <w:p w14:paraId="6EE9B9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6.928</w:t>
            </w:r>
          </w:p>
        </w:tc>
        <w:tc>
          <w:tcPr>
            <w:tcW w:w="945" w:type="dxa"/>
            <w:noWrap w:val="0"/>
            <w:vAlign w:val="center"/>
          </w:tcPr>
          <w:p w14:paraId="5CDA3F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7.605</w:t>
            </w:r>
          </w:p>
        </w:tc>
        <w:tc>
          <w:tcPr>
            <w:tcW w:w="1079" w:type="dxa"/>
            <w:noWrap w:val="0"/>
            <w:vAlign w:val="center"/>
          </w:tcPr>
          <w:p w14:paraId="2882D1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8.372</w:t>
            </w:r>
          </w:p>
        </w:tc>
        <w:tc>
          <w:tcPr>
            <w:tcW w:w="997" w:type="dxa"/>
            <w:noWrap w:val="0"/>
            <w:vAlign w:val="center"/>
          </w:tcPr>
          <w:p w14:paraId="44A3493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102.077</w:t>
            </w:r>
          </w:p>
        </w:tc>
        <w:tc>
          <w:tcPr>
            <w:tcW w:w="1267" w:type="dxa"/>
            <w:noWrap w:val="0"/>
            <w:vAlign w:val="center"/>
          </w:tcPr>
          <w:p w14:paraId="61F929F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94024.745</w:t>
            </w:r>
          </w:p>
        </w:tc>
        <w:tc>
          <w:tcPr>
            <w:tcW w:w="814" w:type="dxa"/>
            <w:noWrap w:val="0"/>
            <w:vAlign w:val="center"/>
          </w:tcPr>
          <w:p w14:paraId="18A144A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3.9</w:t>
            </w:r>
          </w:p>
        </w:tc>
        <w:tc>
          <w:tcPr>
            <w:tcW w:w="1330" w:type="dxa"/>
            <w:noWrap w:val="0"/>
            <w:vAlign w:val="center"/>
          </w:tcPr>
          <w:p w14:paraId="70E8E04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3578.5</w:t>
            </w:r>
          </w:p>
        </w:tc>
        <w:tc>
          <w:tcPr>
            <w:tcW w:w="795" w:type="dxa"/>
            <w:noWrap w:val="0"/>
            <w:vAlign w:val="center"/>
          </w:tcPr>
          <w:p w14:paraId="5BBF31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14.245</w:t>
            </w:r>
          </w:p>
        </w:tc>
        <w:tc>
          <w:tcPr>
            <w:tcW w:w="1267" w:type="dxa"/>
            <w:noWrap w:val="0"/>
            <w:vAlign w:val="center"/>
          </w:tcPr>
          <w:p w14:paraId="65433F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13121.614</w:t>
            </w:r>
          </w:p>
        </w:tc>
        <w:tc>
          <w:tcPr>
            <w:tcW w:w="773" w:type="dxa"/>
            <w:noWrap w:val="0"/>
            <w:vAlign w:val="center"/>
          </w:tcPr>
          <w:p w14:paraId="5FB5B42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0.085</w:t>
            </w:r>
          </w:p>
        </w:tc>
        <w:tc>
          <w:tcPr>
            <w:tcW w:w="1038" w:type="dxa"/>
            <w:noWrap w:val="0"/>
            <w:vAlign w:val="center"/>
          </w:tcPr>
          <w:p w14:paraId="62661B9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78.499</w:t>
            </w:r>
          </w:p>
        </w:tc>
      </w:tr>
      <w:tr w14:paraId="2E4DD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0E658A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4月</w:t>
            </w:r>
          </w:p>
        </w:tc>
        <w:tc>
          <w:tcPr>
            <w:tcW w:w="1493" w:type="dxa"/>
            <w:noWrap w:val="0"/>
            <w:vAlign w:val="center"/>
          </w:tcPr>
          <w:p w14:paraId="2A8BAE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962792.96</w:t>
            </w:r>
          </w:p>
        </w:tc>
        <w:tc>
          <w:tcPr>
            <w:tcW w:w="945" w:type="dxa"/>
            <w:noWrap w:val="0"/>
            <w:vAlign w:val="center"/>
          </w:tcPr>
          <w:p w14:paraId="4B6021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6.141</w:t>
            </w:r>
          </w:p>
        </w:tc>
        <w:tc>
          <w:tcPr>
            <w:tcW w:w="945" w:type="dxa"/>
            <w:noWrap w:val="0"/>
            <w:vAlign w:val="center"/>
          </w:tcPr>
          <w:p w14:paraId="525FD0B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7.403</w:t>
            </w:r>
          </w:p>
        </w:tc>
        <w:tc>
          <w:tcPr>
            <w:tcW w:w="1079" w:type="dxa"/>
            <w:noWrap w:val="0"/>
            <w:vAlign w:val="center"/>
          </w:tcPr>
          <w:p w14:paraId="742AA89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8.533</w:t>
            </w:r>
          </w:p>
        </w:tc>
        <w:tc>
          <w:tcPr>
            <w:tcW w:w="997" w:type="dxa"/>
            <w:noWrap w:val="0"/>
            <w:vAlign w:val="center"/>
          </w:tcPr>
          <w:p w14:paraId="24D41A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121.626</w:t>
            </w:r>
          </w:p>
        </w:tc>
        <w:tc>
          <w:tcPr>
            <w:tcW w:w="1267" w:type="dxa"/>
            <w:noWrap w:val="0"/>
            <w:vAlign w:val="center"/>
          </w:tcPr>
          <w:p w14:paraId="0C1E98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117101.221</w:t>
            </w:r>
          </w:p>
        </w:tc>
        <w:tc>
          <w:tcPr>
            <w:tcW w:w="814" w:type="dxa"/>
            <w:noWrap w:val="0"/>
            <w:vAlign w:val="center"/>
          </w:tcPr>
          <w:p w14:paraId="5509FF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3.2</w:t>
            </w:r>
          </w:p>
        </w:tc>
        <w:tc>
          <w:tcPr>
            <w:tcW w:w="1330" w:type="dxa"/>
            <w:noWrap w:val="0"/>
            <w:vAlign w:val="center"/>
          </w:tcPr>
          <w:p w14:paraId="320E92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3389.3</w:t>
            </w:r>
          </w:p>
        </w:tc>
        <w:tc>
          <w:tcPr>
            <w:tcW w:w="795" w:type="dxa"/>
            <w:noWrap w:val="0"/>
            <w:vAlign w:val="center"/>
          </w:tcPr>
          <w:p w14:paraId="6B7DF8F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17.786</w:t>
            </w:r>
          </w:p>
        </w:tc>
        <w:tc>
          <w:tcPr>
            <w:tcW w:w="1267" w:type="dxa"/>
            <w:noWrap w:val="0"/>
            <w:vAlign w:val="center"/>
          </w:tcPr>
          <w:p w14:paraId="67AC40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17124.447</w:t>
            </w:r>
          </w:p>
        </w:tc>
        <w:tc>
          <w:tcPr>
            <w:tcW w:w="773" w:type="dxa"/>
            <w:noWrap w:val="0"/>
            <w:vAlign w:val="center"/>
          </w:tcPr>
          <w:p w14:paraId="1C6F9DC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0.118</w:t>
            </w:r>
          </w:p>
        </w:tc>
        <w:tc>
          <w:tcPr>
            <w:tcW w:w="1038" w:type="dxa"/>
            <w:noWrap w:val="0"/>
            <w:vAlign w:val="center"/>
          </w:tcPr>
          <w:p w14:paraId="0FF0462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113.988</w:t>
            </w:r>
          </w:p>
        </w:tc>
      </w:tr>
      <w:tr w14:paraId="3F2CA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0F312E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5月</w:t>
            </w:r>
          </w:p>
        </w:tc>
        <w:tc>
          <w:tcPr>
            <w:tcW w:w="1493" w:type="dxa"/>
            <w:noWrap w:val="0"/>
            <w:vAlign w:val="center"/>
          </w:tcPr>
          <w:p w14:paraId="65B89F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904045.11</w:t>
            </w:r>
          </w:p>
        </w:tc>
        <w:tc>
          <w:tcPr>
            <w:tcW w:w="945" w:type="dxa"/>
            <w:noWrap w:val="0"/>
            <w:vAlign w:val="center"/>
          </w:tcPr>
          <w:p w14:paraId="7074449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6.471</w:t>
            </w:r>
          </w:p>
        </w:tc>
        <w:tc>
          <w:tcPr>
            <w:tcW w:w="945" w:type="dxa"/>
            <w:noWrap w:val="0"/>
            <w:vAlign w:val="center"/>
          </w:tcPr>
          <w:p w14:paraId="105BB4F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7.4</w:t>
            </w:r>
          </w:p>
        </w:tc>
        <w:tc>
          <w:tcPr>
            <w:tcW w:w="1079" w:type="dxa"/>
            <w:noWrap w:val="0"/>
            <w:vAlign w:val="center"/>
          </w:tcPr>
          <w:p w14:paraId="3303B52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9.145</w:t>
            </w:r>
          </w:p>
        </w:tc>
        <w:tc>
          <w:tcPr>
            <w:tcW w:w="997" w:type="dxa"/>
            <w:noWrap w:val="0"/>
            <w:vAlign w:val="center"/>
          </w:tcPr>
          <w:p w14:paraId="5C4AB5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108.405</w:t>
            </w:r>
          </w:p>
        </w:tc>
        <w:tc>
          <w:tcPr>
            <w:tcW w:w="1267" w:type="dxa"/>
            <w:noWrap w:val="0"/>
            <w:vAlign w:val="center"/>
          </w:tcPr>
          <w:p w14:paraId="0528A7F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98003.43</w:t>
            </w:r>
          </w:p>
        </w:tc>
        <w:tc>
          <w:tcPr>
            <w:tcW w:w="814" w:type="dxa"/>
            <w:noWrap w:val="0"/>
            <w:vAlign w:val="center"/>
          </w:tcPr>
          <w:p w14:paraId="1752935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2.8</w:t>
            </w:r>
          </w:p>
        </w:tc>
        <w:tc>
          <w:tcPr>
            <w:tcW w:w="1330" w:type="dxa"/>
            <w:noWrap w:val="0"/>
            <w:vAlign w:val="center"/>
          </w:tcPr>
          <w:p w14:paraId="0B7E5F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2860.2</w:t>
            </w:r>
          </w:p>
        </w:tc>
        <w:tc>
          <w:tcPr>
            <w:tcW w:w="795" w:type="dxa"/>
            <w:noWrap w:val="0"/>
            <w:vAlign w:val="center"/>
          </w:tcPr>
          <w:p w14:paraId="33B26DC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17.246</w:t>
            </w:r>
          </w:p>
        </w:tc>
        <w:tc>
          <w:tcPr>
            <w:tcW w:w="1267" w:type="dxa"/>
            <w:noWrap w:val="0"/>
            <w:vAlign w:val="center"/>
          </w:tcPr>
          <w:p w14:paraId="053EA6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15591.248</w:t>
            </w:r>
          </w:p>
        </w:tc>
        <w:tc>
          <w:tcPr>
            <w:tcW w:w="773" w:type="dxa"/>
            <w:noWrap w:val="0"/>
            <w:vAlign w:val="center"/>
          </w:tcPr>
          <w:p w14:paraId="7163449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0.081</w:t>
            </w:r>
          </w:p>
        </w:tc>
        <w:tc>
          <w:tcPr>
            <w:tcW w:w="1038" w:type="dxa"/>
            <w:noWrap w:val="0"/>
            <w:vAlign w:val="center"/>
          </w:tcPr>
          <w:p w14:paraId="701E7C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73.600</w:t>
            </w:r>
          </w:p>
        </w:tc>
      </w:tr>
      <w:tr w14:paraId="69257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552AE79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6月</w:t>
            </w:r>
          </w:p>
        </w:tc>
        <w:tc>
          <w:tcPr>
            <w:tcW w:w="1493" w:type="dxa"/>
            <w:noWrap w:val="0"/>
            <w:vAlign w:val="center"/>
          </w:tcPr>
          <w:p w14:paraId="2FCBC6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763503.16</w:t>
            </w:r>
          </w:p>
        </w:tc>
        <w:tc>
          <w:tcPr>
            <w:tcW w:w="945" w:type="dxa"/>
            <w:noWrap w:val="0"/>
            <w:vAlign w:val="center"/>
          </w:tcPr>
          <w:p w14:paraId="62A4AD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6.368</w:t>
            </w:r>
          </w:p>
        </w:tc>
        <w:tc>
          <w:tcPr>
            <w:tcW w:w="945" w:type="dxa"/>
            <w:noWrap w:val="0"/>
            <w:vAlign w:val="center"/>
          </w:tcPr>
          <w:p w14:paraId="7380071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7.477</w:t>
            </w:r>
          </w:p>
        </w:tc>
        <w:tc>
          <w:tcPr>
            <w:tcW w:w="1079" w:type="dxa"/>
            <w:noWrap w:val="0"/>
            <w:vAlign w:val="center"/>
          </w:tcPr>
          <w:p w14:paraId="0D1CC70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8.752</w:t>
            </w:r>
          </w:p>
        </w:tc>
        <w:tc>
          <w:tcPr>
            <w:tcW w:w="997" w:type="dxa"/>
            <w:noWrap w:val="0"/>
            <w:vAlign w:val="center"/>
          </w:tcPr>
          <w:p w14:paraId="358B8D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106.257</w:t>
            </w:r>
          </w:p>
        </w:tc>
        <w:tc>
          <w:tcPr>
            <w:tcW w:w="1267" w:type="dxa"/>
            <w:noWrap w:val="0"/>
            <w:vAlign w:val="center"/>
          </w:tcPr>
          <w:p w14:paraId="218034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81128.103</w:t>
            </w:r>
          </w:p>
        </w:tc>
        <w:tc>
          <w:tcPr>
            <w:tcW w:w="814" w:type="dxa"/>
            <w:noWrap w:val="0"/>
            <w:vAlign w:val="center"/>
          </w:tcPr>
          <w:p w14:paraId="449FFF2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2.6</w:t>
            </w:r>
          </w:p>
        </w:tc>
        <w:tc>
          <w:tcPr>
            <w:tcW w:w="1330" w:type="dxa"/>
            <w:noWrap w:val="0"/>
            <w:vAlign w:val="center"/>
          </w:tcPr>
          <w:p w14:paraId="68DE86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2199.6</w:t>
            </w:r>
          </w:p>
        </w:tc>
        <w:tc>
          <w:tcPr>
            <w:tcW w:w="795" w:type="dxa"/>
            <w:noWrap w:val="0"/>
            <w:vAlign w:val="center"/>
          </w:tcPr>
          <w:p w14:paraId="555784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16.507</w:t>
            </w:r>
          </w:p>
        </w:tc>
        <w:tc>
          <w:tcPr>
            <w:tcW w:w="1267" w:type="dxa"/>
            <w:noWrap w:val="0"/>
            <w:vAlign w:val="center"/>
          </w:tcPr>
          <w:p w14:paraId="7947BD0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12603.825</w:t>
            </w:r>
          </w:p>
        </w:tc>
        <w:tc>
          <w:tcPr>
            <w:tcW w:w="773" w:type="dxa"/>
            <w:noWrap w:val="0"/>
            <w:vAlign w:val="center"/>
          </w:tcPr>
          <w:p w14:paraId="575C94F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0.156</w:t>
            </w:r>
          </w:p>
        </w:tc>
        <w:tc>
          <w:tcPr>
            <w:tcW w:w="1038" w:type="dxa"/>
            <w:noWrap w:val="0"/>
            <w:vAlign w:val="center"/>
          </w:tcPr>
          <w:p w14:paraId="229F588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119.672</w:t>
            </w:r>
          </w:p>
        </w:tc>
      </w:tr>
      <w:tr w14:paraId="583C4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7996C5F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7月</w:t>
            </w:r>
          </w:p>
        </w:tc>
        <w:tc>
          <w:tcPr>
            <w:tcW w:w="1493" w:type="dxa"/>
            <w:noWrap w:val="0"/>
            <w:vAlign w:val="center"/>
          </w:tcPr>
          <w:p w14:paraId="4CF845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1033541.04</w:t>
            </w:r>
          </w:p>
        </w:tc>
        <w:tc>
          <w:tcPr>
            <w:tcW w:w="945" w:type="dxa"/>
            <w:noWrap w:val="0"/>
            <w:vAlign w:val="center"/>
          </w:tcPr>
          <w:p w14:paraId="01836A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6.64</w:t>
            </w:r>
          </w:p>
        </w:tc>
        <w:tc>
          <w:tcPr>
            <w:tcW w:w="945" w:type="dxa"/>
            <w:noWrap w:val="0"/>
            <w:vAlign w:val="center"/>
          </w:tcPr>
          <w:p w14:paraId="44DB24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7.632</w:t>
            </w:r>
          </w:p>
        </w:tc>
        <w:tc>
          <w:tcPr>
            <w:tcW w:w="1079" w:type="dxa"/>
            <w:noWrap w:val="0"/>
            <w:vAlign w:val="center"/>
          </w:tcPr>
          <w:p w14:paraId="36FD51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8.751</w:t>
            </w:r>
          </w:p>
        </w:tc>
        <w:tc>
          <w:tcPr>
            <w:tcW w:w="997" w:type="dxa"/>
            <w:noWrap w:val="0"/>
            <w:vAlign w:val="center"/>
          </w:tcPr>
          <w:p w14:paraId="65BA4D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69.76</w:t>
            </w:r>
          </w:p>
        </w:tc>
        <w:tc>
          <w:tcPr>
            <w:tcW w:w="1267" w:type="dxa"/>
            <w:noWrap w:val="0"/>
            <w:vAlign w:val="center"/>
          </w:tcPr>
          <w:p w14:paraId="45C0BB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72100.646</w:t>
            </w:r>
          </w:p>
        </w:tc>
        <w:tc>
          <w:tcPr>
            <w:tcW w:w="814" w:type="dxa"/>
            <w:noWrap w:val="0"/>
            <w:vAlign w:val="center"/>
          </w:tcPr>
          <w:p w14:paraId="5D65D3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2.2</w:t>
            </w:r>
          </w:p>
        </w:tc>
        <w:tc>
          <w:tcPr>
            <w:tcW w:w="1330" w:type="dxa"/>
            <w:noWrap w:val="0"/>
            <w:vAlign w:val="center"/>
          </w:tcPr>
          <w:p w14:paraId="4F3356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2313.1</w:t>
            </w:r>
          </w:p>
        </w:tc>
        <w:tc>
          <w:tcPr>
            <w:tcW w:w="795" w:type="dxa"/>
            <w:noWrap w:val="0"/>
            <w:vAlign w:val="center"/>
          </w:tcPr>
          <w:p w14:paraId="01986D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17.228</w:t>
            </w:r>
          </w:p>
        </w:tc>
        <w:tc>
          <w:tcPr>
            <w:tcW w:w="1267" w:type="dxa"/>
            <w:noWrap w:val="0"/>
            <w:vAlign w:val="center"/>
          </w:tcPr>
          <w:p w14:paraId="684104C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17806.647</w:t>
            </w:r>
          </w:p>
        </w:tc>
        <w:tc>
          <w:tcPr>
            <w:tcW w:w="773" w:type="dxa"/>
            <w:noWrap w:val="0"/>
            <w:vAlign w:val="center"/>
          </w:tcPr>
          <w:p w14:paraId="2A9CB5B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0.090</w:t>
            </w:r>
          </w:p>
        </w:tc>
        <w:tc>
          <w:tcPr>
            <w:tcW w:w="1038" w:type="dxa"/>
            <w:noWrap w:val="0"/>
            <w:vAlign w:val="center"/>
          </w:tcPr>
          <w:p w14:paraId="401A62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93.868</w:t>
            </w:r>
          </w:p>
        </w:tc>
      </w:tr>
      <w:tr w14:paraId="64084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434521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8月</w:t>
            </w:r>
          </w:p>
        </w:tc>
        <w:tc>
          <w:tcPr>
            <w:tcW w:w="1493" w:type="dxa"/>
            <w:noWrap w:val="0"/>
            <w:vAlign w:val="center"/>
          </w:tcPr>
          <w:p w14:paraId="62D2B4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949595.74</w:t>
            </w:r>
          </w:p>
        </w:tc>
        <w:tc>
          <w:tcPr>
            <w:tcW w:w="945" w:type="dxa"/>
            <w:noWrap w:val="0"/>
            <w:vAlign w:val="center"/>
          </w:tcPr>
          <w:p w14:paraId="1C2328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6.478</w:t>
            </w:r>
          </w:p>
        </w:tc>
        <w:tc>
          <w:tcPr>
            <w:tcW w:w="945" w:type="dxa"/>
            <w:noWrap w:val="0"/>
            <w:vAlign w:val="center"/>
          </w:tcPr>
          <w:p w14:paraId="08FB5C4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7.465</w:t>
            </w:r>
          </w:p>
        </w:tc>
        <w:tc>
          <w:tcPr>
            <w:tcW w:w="1079" w:type="dxa"/>
            <w:noWrap w:val="0"/>
            <w:vAlign w:val="center"/>
          </w:tcPr>
          <w:p w14:paraId="4BF0F9E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8.791</w:t>
            </w:r>
          </w:p>
        </w:tc>
        <w:tc>
          <w:tcPr>
            <w:tcW w:w="997" w:type="dxa"/>
            <w:noWrap w:val="0"/>
            <w:vAlign w:val="center"/>
          </w:tcPr>
          <w:p w14:paraId="7941BF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50.589</w:t>
            </w:r>
          </w:p>
        </w:tc>
        <w:tc>
          <w:tcPr>
            <w:tcW w:w="1267" w:type="dxa"/>
            <w:noWrap w:val="0"/>
            <w:vAlign w:val="center"/>
          </w:tcPr>
          <w:p w14:paraId="490EA6C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48039.159</w:t>
            </w:r>
          </w:p>
        </w:tc>
        <w:tc>
          <w:tcPr>
            <w:tcW w:w="814" w:type="dxa"/>
            <w:noWrap w:val="0"/>
            <w:vAlign w:val="center"/>
          </w:tcPr>
          <w:p w14:paraId="512C245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1.5</w:t>
            </w:r>
          </w:p>
        </w:tc>
        <w:tc>
          <w:tcPr>
            <w:tcW w:w="1330" w:type="dxa"/>
            <w:noWrap w:val="0"/>
            <w:vAlign w:val="center"/>
          </w:tcPr>
          <w:p w14:paraId="3939C0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1422.01</w:t>
            </w:r>
          </w:p>
        </w:tc>
        <w:tc>
          <w:tcPr>
            <w:tcW w:w="795" w:type="dxa"/>
            <w:noWrap w:val="0"/>
            <w:vAlign w:val="center"/>
          </w:tcPr>
          <w:p w14:paraId="62D4F7A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17.898</w:t>
            </w:r>
          </w:p>
        </w:tc>
        <w:tc>
          <w:tcPr>
            <w:tcW w:w="1267" w:type="dxa"/>
            <w:noWrap w:val="0"/>
            <w:vAlign w:val="center"/>
          </w:tcPr>
          <w:p w14:paraId="4650AE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16996.65</w:t>
            </w:r>
          </w:p>
        </w:tc>
        <w:tc>
          <w:tcPr>
            <w:tcW w:w="773" w:type="dxa"/>
            <w:noWrap w:val="0"/>
            <w:vAlign w:val="center"/>
          </w:tcPr>
          <w:p w14:paraId="0516FB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0.074</w:t>
            </w:r>
          </w:p>
        </w:tc>
        <w:tc>
          <w:tcPr>
            <w:tcW w:w="1038" w:type="dxa"/>
            <w:noWrap w:val="0"/>
            <w:vAlign w:val="center"/>
          </w:tcPr>
          <w:p w14:paraId="5AB45D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71.219</w:t>
            </w:r>
          </w:p>
        </w:tc>
      </w:tr>
      <w:tr w14:paraId="40D07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668E5C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9月</w:t>
            </w:r>
          </w:p>
        </w:tc>
        <w:tc>
          <w:tcPr>
            <w:tcW w:w="1493" w:type="dxa"/>
            <w:noWrap w:val="0"/>
            <w:vAlign w:val="center"/>
          </w:tcPr>
          <w:p w14:paraId="0C1CE3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912090.05</w:t>
            </w:r>
          </w:p>
        </w:tc>
        <w:tc>
          <w:tcPr>
            <w:tcW w:w="945" w:type="dxa"/>
            <w:noWrap w:val="0"/>
            <w:vAlign w:val="center"/>
          </w:tcPr>
          <w:p w14:paraId="3CB8E3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6.459</w:t>
            </w:r>
          </w:p>
        </w:tc>
        <w:tc>
          <w:tcPr>
            <w:tcW w:w="945" w:type="dxa"/>
            <w:noWrap w:val="0"/>
            <w:vAlign w:val="center"/>
          </w:tcPr>
          <w:p w14:paraId="493AB2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7.258</w:t>
            </w:r>
          </w:p>
        </w:tc>
        <w:tc>
          <w:tcPr>
            <w:tcW w:w="1079" w:type="dxa"/>
            <w:noWrap w:val="0"/>
            <w:vAlign w:val="center"/>
          </w:tcPr>
          <w:p w14:paraId="27142D6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8.805</w:t>
            </w:r>
          </w:p>
        </w:tc>
        <w:tc>
          <w:tcPr>
            <w:tcW w:w="997" w:type="dxa"/>
            <w:noWrap w:val="0"/>
            <w:vAlign w:val="center"/>
          </w:tcPr>
          <w:p w14:paraId="72A751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55.99</w:t>
            </w:r>
          </w:p>
        </w:tc>
        <w:tc>
          <w:tcPr>
            <w:tcW w:w="1267" w:type="dxa"/>
            <w:noWrap w:val="0"/>
            <w:vAlign w:val="center"/>
          </w:tcPr>
          <w:p w14:paraId="5898DD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51068.546</w:t>
            </w:r>
          </w:p>
        </w:tc>
        <w:tc>
          <w:tcPr>
            <w:tcW w:w="814" w:type="dxa"/>
            <w:noWrap w:val="0"/>
            <w:vAlign w:val="center"/>
          </w:tcPr>
          <w:p w14:paraId="440C5B1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0.9</w:t>
            </w:r>
          </w:p>
        </w:tc>
        <w:tc>
          <w:tcPr>
            <w:tcW w:w="1330" w:type="dxa"/>
            <w:noWrap w:val="0"/>
            <w:vAlign w:val="center"/>
          </w:tcPr>
          <w:p w14:paraId="75E56B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779.14</w:t>
            </w:r>
          </w:p>
        </w:tc>
        <w:tc>
          <w:tcPr>
            <w:tcW w:w="795" w:type="dxa"/>
            <w:noWrap w:val="0"/>
            <w:vAlign w:val="center"/>
          </w:tcPr>
          <w:p w14:paraId="623640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20.711</w:t>
            </w:r>
          </w:p>
        </w:tc>
        <w:tc>
          <w:tcPr>
            <w:tcW w:w="1267" w:type="dxa"/>
            <w:noWrap w:val="0"/>
            <w:vAlign w:val="center"/>
          </w:tcPr>
          <w:p w14:paraId="2C879A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18890.307</w:t>
            </w:r>
          </w:p>
        </w:tc>
        <w:tc>
          <w:tcPr>
            <w:tcW w:w="773" w:type="dxa"/>
            <w:noWrap w:val="0"/>
            <w:vAlign w:val="center"/>
          </w:tcPr>
          <w:p w14:paraId="2A712BE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0.097</w:t>
            </w:r>
          </w:p>
        </w:tc>
        <w:tc>
          <w:tcPr>
            <w:tcW w:w="1038" w:type="dxa"/>
            <w:noWrap w:val="0"/>
            <w:vAlign w:val="center"/>
          </w:tcPr>
          <w:p w14:paraId="5D6FF4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89.194</w:t>
            </w:r>
          </w:p>
        </w:tc>
      </w:tr>
      <w:tr w14:paraId="29FAA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75CE7A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10月</w:t>
            </w:r>
          </w:p>
        </w:tc>
        <w:tc>
          <w:tcPr>
            <w:tcW w:w="1493" w:type="dxa"/>
            <w:noWrap w:val="0"/>
            <w:vAlign w:val="center"/>
          </w:tcPr>
          <w:p w14:paraId="29F10D5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925238.83</w:t>
            </w:r>
          </w:p>
        </w:tc>
        <w:tc>
          <w:tcPr>
            <w:tcW w:w="945" w:type="dxa"/>
            <w:noWrap w:val="0"/>
            <w:vAlign w:val="center"/>
          </w:tcPr>
          <w:p w14:paraId="6DA154D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6.458</w:t>
            </w:r>
          </w:p>
        </w:tc>
        <w:tc>
          <w:tcPr>
            <w:tcW w:w="945" w:type="dxa"/>
            <w:noWrap w:val="0"/>
            <w:vAlign w:val="center"/>
          </w:tcPr>
          <w:p w14:paraId="554A903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7.552</w:t>
            </w:r>
          </w:p>
        </w:tc>
        <w:tc>
          <w:tcPr>
            <w:tcW w:w="1079" w:type="dxa"/>
            <w:noWrap w:val="0"/>
            <w:vAlign w:val="center"/>
          </w:tcPr>
          <w:p w14:paraId="4732238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8.888</w:t>
            </w:r>
          </w:p>
        </w:tc>
        <w:tc>
          <w:tcPr>
            <w:tcW w:w="997" w:type="dxa"/>
            <w:noWrap w:val="0"/>
            <w:vAlign w:val="center"/>
          </w:tcPr>
          <w:p w14:paraId="07A30A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65.568</w:t>
            </w:r>
          </w:p>
        </w:tc>
        <w:tc>
          <w:tcPr>
            <w:tcW w:w="1267" w:type="dxa"/>
            <w:noWrap w:val="0"/>
            <w:vAlign w:val="center"/>
          </w:tcPr>
          <w:p w14:paraId="4FA5E26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60666.35</w:t>
            </w:r>
          </w:p>
        </w:tc>
        <w:tc>
          <w:tcPr>
            <w:tcW w:w="814" w:type="dxa"/>
            <w:noWrap w:val="0"/>
            <w:vAlign w:val="center"/>
          </w:tcPr>
          <w:p w14:paraId="509EBA0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2.3</w:t>
            </w:r>
          </w:p>
        </w:tc>
        <w:tc>
          <w:tcPr>
            <w:tcW w:w="1330" w:type="dxa"/>
            <w:noWrap w:val="0"/>
            <w:vAlign w:val="center"/>
          </w:tcPr>
          <w:p w14:paraId="34E5C67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2161.789</w:t>
            </w:r>
          </w:p>
        </w:tc>
        <w:tc>
          <w:tcPr>
            <w:tcW w:w="795" w:type="dxa"/>
            <w:noWrap w:val="0"/>
            <w:vAlign w:val="center"/>
          </w:tcPr>
          <w:p w14:paraId="27FF37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20.369</w:t>
            </w:r>
          </w:p>
        </w:tc>
        <w:tc>
          <w:tcPr>
            <w:tcW w:w="1267" w:type="dxa"/>
            <w:noWrap w:val="0"/>
            <w:vAlign w:val="center"/>
          </w:tcPr>
          <w:p w14:paraId="7A9592C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18846.928</w:t>
            </w:r>
          </w:p>
        </w:tc>
        <w:tc>
          <w:tcPr>
            <w:tcW w:w="773" w:type="dxa"/>
            <w:noWrap w:val="0"/>
            <w:vAlign w:val="center"/>
          </w:tcPr>
          <w:p w14:paraId="6269DC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0.102</w:t>
            </w:r>
          </w:p>
        </w:tc>
        <w:tc>
          <w:tcPr>
            <w:tcW w:w="1038" w:type="dxa"/>
            <w:noWrap w:val="0"/>
            <w:vAlign w:val="center"/>
          </w:tcPr>
          <w:p w14:paraId="5AEA22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95.004</w:t>
            </w:r>
          </w:p>
        </w:tc>
      </w:tr>
      <w:tr w14:paraId="406C5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5562AAD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11月</w:t>
            </w:r>
          </w:p>
        </w:tc>
        <w:tc>
          <w:tcPr>
            <w:tcW w:w="1493" w:type="dxa"/>
            <w:noWrap w:val="0"/>
            <w:vAlign w:val="center"/>
          </w:tcPr>
          <w:p w14:paraId="5479A9D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932843.86</w:t>
            </w:r>
          </w:p>
        </w:tc>
        <w:tc>
          <w:tcPr>
            <w:tcW w:w="945" w:type="dxa"/>
            <w:noWrap w:val="0"/>
            <w:vAlign w:val="center"/>
          </w:tcPr>
          <w:p w14:paraId="18B5A8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6.575</w:t>
            </w:r>
          </w:p>
        </w:tc>
        <w:tc>
          <w:tcPr>
            <w:tcW w:w="945" w:type="dxa"/>
            <w:noWrap w:val="0"/>
            <w:vAlign w:val="center"/>
          </w:tcPr>
          <w:p w14:paraId="7702595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7.265</w:t>
            </w:r>
          </w:p>
        </w:tc>
        <w:tc>
          <w:tcPr>
            <w:tcW w:w="1079" w:type="dxa"/>
            <w:noWrap w:val="0"/>
            <w:vAlign w:val="center"/>
          </w:tcPr>
          <w:p w14:paraId="13AD92A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8.091</w:t>
            </w:r>
          </w:p>
        </w:tc>
        <w:tc>
          <w:tcPr>
            <w:tcW w:w="997" w:type="dxa"/>
            <w:noWrap w:val="0"/>
            <w:vAlign w:val="center"/>
          </w:tcPr>
          <w:p w14:paraId="4687E5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61.241</w:t>
            </w:r>
          </w:p>
        </w:tc>
        <w:tc>
          <w:tcPr>
            <w:tcW w:w="1267" w:type="dxa"/>
            <w:noWrap w:val="0"/>
            <w:vAlign w:val="center"/>
          </w:tcPr>
          <w:p w14:paraId="487B58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57128.559</w:t>
            </w:r>
          </w:p>
        </w:tc>
        <w:tc>
          <w:tcPr>
            <w:tcW w:w="814" w:type="dxa"/>
            <w:noWrap w:val="0"/>
            <w:vAlign w:val="center"/>
          </w:tcPr>
          <w:p w14:paraId="4AD3A40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2.3</w:t>
            </w:r>
          </w:p>
        </w:tc>
        <w:tc>
          <w:tcPr>
            <w:tcW w:w="1330" w:type="dxa"/>
            <w:noWrap w:val="0"/>
            <w:vAlign w:val="center"/>
          </w:tcPr>
          <w:p w14:paraId="2F2305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2170.183</w:t>
            </w:r>
          </w:p>
        </w:tc>
        <w:tc>
          <w:tcPr>
            <w:tcW w:w="795" w:type="dxa"/>
            <w:noWrap w:val="0"/>
            <w:vAlign w:val="center"/>
          </w:tcPr>
          <w:p w14:paraId="1468F3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19.941</w:t>
            </w:r>
          </w:p>
        </w:tc>
        <w:tc>
          <w:tcPr>
            <w:tcW w:w="1267" w:type="dxa"/>
            <w:noWrap w:val="0"/>
            <w:vAlign w:val="center"/>
          </w:tcPr>
          <w:p w14:paraId="2346E4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18602.606</w:t>
            </w:r>
          </w:p>
        </w:tc>
        <w:tc>
          <w:tcPr>
            <w:tcW w:w="773" w:type="dxa"/>
            <w:noWrap w:val="0"/>
            <w:vAlign w:val="center"/>
          </w:tcPr>
          <w:p w14:paraId="3CEE9F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0.091</w:t>
            </w:r>
          </w:p>
        </w:tc>
        <w:tc>
          <w:tcPr>
            <w:tcW w:w="1038" w:type="dxa"/>
            <w:noWrap w:val="0"/>
            <w:vAlign w:val="center"/>
          </w:tcPr>
          <w:p w14:paraId="10813D7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85.801</w:t>
            </w:r>
          </w:p>
        </w:tc>
      </w:tr>
      <w:tr w14:paraId="56C3E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1FF2DB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12月</w:t>
            </w:r>
          </w:p>
        </w:tc>
        <w:tc>
          <w:tcPr>
            <w:tcW w:w="1493" w:type="dxa"/>
            <w:noWrap w:val="0"/>
            <w:vAlign w:val="center"/>
          </w:tcPr>
          <w:p w14:paraId="647BA3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1077982.575</w:t>
            </w:r>
          </w:p>
        </w:tc>
        <w:tc>
          <w:tcPr>
            <w:tcW w:w="945" w:type="dxa"/>
            <w:noWrap w:val="0"/>
            <w:vAlign w:val="center"/>
          </w:tcPr>
          <w:p w14:paraId="1A87394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6.445</w:t>
            </w:r>
          </w:p>
        </w:tc>
        <w:tc>
          <w:tcPr>
            <w:tcW w:w="945" w:type="dxa"/>
            <w:noWrap w:val="0"/>
            <w:vAlign w:val="center"/>
          </w:tcPr>
          <w:p w14:paraId="460D60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7.487</w:t>
            </w:r>
          </w:p>
        </w:tc>
        <w:tc>
          <w:tcPr>
            <w:tcW w:w="1079" w:type="dxa"/>
            <w:noWrap w:val="0"/>
            <w:vAlign w:val="center"/>
          </w:tcPr>
          <w:p w14:paraId="57B2674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9.752</w:t>
            </w:r>
          </w:p>
        </w:tc>
        <w:tc>
          <w:tcPr>
            <w:tcW w:w="997" w:type="dxa"/>
            <w:noWrap w:val="0"/>
            <w:vAlign w:val="center"/>
          </w:tcPr>
          <w:p w14:paraId="7973045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81.789</w:t>
            </w:r>
          </w:p>
        </w:tc>
        <w:tc>
          <w:tcPr>
            <w:tcW w:w="1267" w:type="dxa"/>
            <w:noWrap w:val="0"/>
            <w:vAlign w:val="center"/>
          </w:tcPr>
          <w:p w14:paraId="504DB55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88167.293</w:t>
            </w:r>
          </w:p>
        </w:tc>
        <w:tc>
          <w:tcPr>
            <w:tcW w:w="814" w:type="dxa"/>
            <w:noWrap w:val="0"/>
            <w:vAlign w:val="center"/>
          </w:tcPr>
          <w:p w14:paraId="6D5A715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2.6</w:t>
            </w:r>
          </w:p>
        </w:tc>
        <w:tc>
          <w:tcPr>
            <w:tcW w:w="1330" w:type="dxa"/>
            <w:noWrap w:val="0"/>
            <w:vAlign w:val="center"/>
          </w:tcPr>
          <w:p w14:paraId="2C1D436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2740.41</w:t>
            </w:r>
          </w:p>
        </w:tc>
        <w:tc>
          <w:tcPr>
            <w:tcW w:w="795" w:type="dxa"/>
            <w:noWrap w:val="0"/>
            <w:vAlign w:val="center"/>
          </w:tcPr>
          <w:p w14:paraId="26C2C1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26.5</w:t>
            </w:r>
          </w:p>
        </w:tc>
        <w:tc>
          <w:tcPr>
            <w:tcW w:w="1267" w:type="dxa"/>
            <w:noWrap w:val="0"/>
            <w:vAlign w:val="center"/>
          </w:tcPr>
          <w:p w14:paraId="010026F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28567.264</w:t>
            </w:r>
          </w:p>
        </w:tc>
        <w:tc>
          <w:tcPr>
            <w:tcW w:w="773" w:type="dxa"/>
            <w:noWrap w:val="0"/>
            <w:vAlign w:val="center"/>
          </w:tcPr>
          <w:p w14:paraId="3A69A8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0.083</w:t>
            </w:r>
          </w:p>
        </w:tc>
        <w:tc>
          <w:tcPr>
            <w:tcW w:w="1038" w:type="dxa"/>
            <w:noWrap w:val="0"/>
            <w:vAlign w:val="center"/>
          </w:tcPr>
          <w:p w14:paraId="38D66D2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89.794</w:t>
            </w:r>
          </w:p>
        </w:tc>
      </w:tr>
      <w:tr w14:paraId="333F0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72B88DA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年均值</w:t>
            </w:r>
          </w:p>
        </w:tc>
        <w:tc>
          <w:tcPr>
            <w:tcW w:w="1493" w:type="dxa"/>
            <w:noWrap w:val="0"/>
            <w:vAlign w:val="center"/>
          </w:tcPr>
          <w:p w14:paraId="17FA57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945" w:type="dxa"/>
            <w:noWrap w:val="0"/>
            <w:vAlign w:val="center"/>
          </w:tcPr>
          <w:p w14:paraId="6E11B22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945" w:type="dxa"/>
            <w:noWrap w:val="0"/>
            <w:vAlign w:val="center"/>
          </w:tcPr>
          <w:p w14:paraId="3A56ACF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7.423</w:t>
            </w:r>
          </w:p>
        </w:tc>
        <w:tc>
          <w:tcPr>
            <w:tcW w:w="1079" w:type="dxa"/>
            <w:noWrap w:val="0"/>
            <w:vAlign w:val="center"/>
          </w:tcPr>
          <w:p w14:paraId="5B0E4E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997" w:type="dxa"/>
            <w:noWrap w:val="0"/>
            <w:vAlign w:val="center"/>
          </w:tcPr>
          <w:p w14:paraId="5C4B49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81.097</w:t>
            </w:r>
          </w:p>
        </w:tc>
        <w:tc>
          <w:tcPr>
            <w:tcW w:w="1267" w:type="dxa"/>
            <w:noWrap w:val="0"/>
            <w:vAlign w:val="center"/>
          </w:tcPr>
          <w:p w14:paraId="11EF50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814" w:type="dxa"/>
            <w:noWrap w:val="0"/>
            <w:vAlign w:val="center"/>
          </w:tcPr>
          <w:p w14:paraId="7384AE1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lang w:val="en-US" w:eastAsia="zh-CN"/>
              </w:rPr>
              <w:t>2.5</w:t>
            </w:r>
          </w:p>
        </w:tc>
        <w:tc>
          <w:tcPr>
            <w:tcW w:w="1330" w:type="dxa"/>
            <w:noWrap w:val="0"/>
            <w:vAlign w:val="center"/>
          </w:tcPr>
          <w:p w14:paraId="4F9B48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795" w:type="dxa"/>
            <w:noWrap w:val="0"/>
            <w:vAlign w:val="center"/>
          </w:tcPr>
          <w:p w14:paraId="6D0818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17.717</w:t>
            </w:r>
          </w:p>
        </w:tc>
        <w:tc>
          <w:tcPr>
            <w:tcW w:w="1267" w:type="dxa"/>
            <w:noWrap w:val="0"/>
            <w:vAlign w:val="center"/>
          </w:tcPr>
          <w:p w14:paraId="7F408AF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773" w:type="dxa"/>
            <w:noWrap w:val="0"/>
            <w:vAlign w:val="center"/>
          </w:tcPr>
          <w:p w14:paraId="296BA47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0.</w:t>
            </w:r>
            <w:r>
              <w:rPr>
                <w:rFonts w:hint="eastAsia"/>
                <w:b w:val="0"/>
                <w:bCs w:val="0"/>
                <w:u w:val="none"/>
                <w:lang w:val="en-US" w:eastAsia="zh-CN"/>
              </w:rPr>
              <w:t>098</w:t>
            </w:r>
          </w:p>
        </w:tc>
        <w:tc>
          <w:tcPr>
            <w:tcW w:w="1038" w:type="dxa"/>
            <w:noWrap w:val="0"/>
            <w:vAlign w:val="center"/>
          </w:tcPr>
          <w:p w14:paraId="68127A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r>
      <w:tr w14:paraId="0236A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7BD1D9F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总量</w:t>
            </w:r>
          </w:p>
        </w:tc>
        <w:tc>
          <w:tcPr>
            <w:tcW w:w="1493" w:type="dxa"/>
            <w:noWrap w:val="0"/>
            <w:vAlign w:val="center"/>
          </w:tcPr>
          <w:p w14:paraId="5B8C6C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11121489.698</w:t>
            </w:r>
          </w:p>
        </w:tc>
        <w:tc>
          <w:tcPr>
            <w:tcW w:w="945" w:type="dxa"/>
            <w:noWrap w:val="0"/>
            <w:vAlign w:val="center"/>
          </w:tcPr>
          <w:p w14:paraId="63D0AE1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945" w:type="dxa"/>
            <w:noWrap w:val="0"/>
            <w:vAlign w:val="center"/>
          </w:tcPr>
          <w:p w14:paraId="05A65A9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1079" w:type="dxa"/>
            <w:noWrap w:val="0"/>
            <w:vAlign w:val="center"/>
          </w:tcPr>
          <w:p w14:paraId="02E848D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997" w:type="dxa"/>
            <w:noWrap w:val="0"/>
            <w:vAlign w:val="center"/>
          </w:tcPr>
          <w:p w14:paraId="763FBD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1267" w:type="dxa"/>
            <w:noWrap w:val="0"/>
            <w:vAlign w:val="center"/>
          </w:tcPr>
          <w:p w14:paraId="4D3892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highlight w:val="yellow"/>
                <w:u w:val="none"/>
              </w:rPr>
            </w:pPr>
            <w:r>
              <w:rPr>
                <w:b w:val="0"/>
                <w:bCs w:val="0"/>
                <w:u w:val="none"/>
              </w:rPr>
              <w:t>901929.4</w:t>
            </w:r>
          </w:p>
        </w:tc>
        <w:tc>
          <w:tcPr>
            <w:tcW w:w="814" w:type="dxa"/>
            <w:noWrap w:val="0"/>
            <w:vAlign w:val="center"/>
          </w:tcPr>
          <w:p w14:paraId="057BB3B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highlight w:val="yellow"/>
                <w:u w:val="none"/>
              </w:rPr>
            </w:pPr>
          </w:p>
        </w:tc>
        <w:tc>
          <w:tcPr>
            <w:tcW w:w="1330" w:type="dxa"/>
            <w:noWrap w:val="0"/>
            <w:vAlign w:val="center"/>
          </w:tcPr>
          <w:p w14:paraId="656555E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highlight w:val="yellow"/>
                <w:u w:val="none"/>
              </w:rPr>
            </w:pPr>
            <w:r>
              <w:rPr>
                <w:rFonts w:hint="eastAsia"/>
                <w:b w:val="0"/>
                <w:bCs w:val="0"/>
                <w:u w:val="none"/>
                <w:lang w:val="en-US" w:eastAsia="zh-CN"/>
              </w:rPr>
              <w:t>28449.932</w:t>
            </w:r>
          </w:p>
        </w:tc>
        <w:tc>
          <w:tcPr>
            <w:tcW w:w="795" w:type="dxa"/>
            <w:noWrap w:val="0"/>
            <w:vAlign w:val="center"/>
          </w:tcPr>
          <w:p w14:paraId="0A6DA98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highlight w:val="yellow"/>
                <w:u w:val="none"/>
              </w:rPr>
            </w:pPr>
          </w:p>
        </w:tc>
        <w:tc>
          <w:tcPr>
            <w:tcW w:w="1267" w:type="dxa"/>
            <w:noWrap w:val="0"/>
            <w:vAlign w:val="center"/>
          </w:tcPr>
          <w:p w14:paraId="78C1F0F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highlight w:val="yellow"/>
                <w:u w:val="none"/>
              </w:rPr>
            </w:pPr>
            <w:r>
              <w:rPr>
                <w:b w:val="0"/>
                <w:bCs w:val="0"/>
                <w:u w:val="none"/>
              </w:rPr>
              <w:t>197052.994</w:t>
            </w:r>
          </w:p>
        </w:tc>
        <w:tc>
          <w:tcPr>
            <w:tcW w:w="773" w:type="dxa"/>
            <w:noWrap w:val="0"/>
            <w:vAlign w:val="center"/>
          </w:tcPr>
          <w:p w14:paraId="2430460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highlight w:val="yellow"/>
                <w:u w:val="none"/>
              </w:rPr>
            </w:pPr>
          </w:p>
        </w:tc>
        <w:tc>
          <w:tcPr>
            <w:tcW w:w="1038" w:type="dxa"/>
            <w:noWrap w:val="0"/>
            <w:vAlign w:val="center"/>
          </w:tcPr>
          <w:p w14:paraId="5C2978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highlight w:val="yellow"/>
                <w:u w:val="none"/>
              </w:rPr>
            </w:pPr>
            <w:r>
              <w:rPr>
                <w:rFonts w:hint="eastAsia"/>
                <w:b w:val="0"/>
                <w:bCs w:val="0"/>
                <w:u w:val="none"/>
                <w:lang w:val="en-US" w:eastAsia="zh-CN"/>
              </w:rPr>
              <w:t>1085.188</w:t>
            </w:r>
          </w:p>
        </w:tc>
      </w:tr>
      <w:tr w14:paraId="76121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34" w:type="pct"/>
            <w:noWrap w:val="0"/>
            <w:vAlign w:val="center"/>
          </w:tcPr>
          <w:p w14:paraId="1070731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许可排放限值</w:t>
            </w:r>
          </w:p>
        </w:tc>
        <w:tc>
          <w:tcPr>
            <w:tcW w:w="1493" w:type="dxa"/>
            <w:noWrap w:val="0"/>
            <w:vAlign w:val="center"/>
          </w:tcPr>
          <w:p w14:paraId="73F031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945" w:type="dxa"/>
            <w:noWrap w:val="0"/>
            <w:vAlign w:val="center"/>
          </w:tcPr>
          <w:p w14:paraId="005ACD7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945" w:type="dxa"/>
            <w:noWrap w:val="0"/>
            <w:vAlign w:val="center"/>
          </w:tcPr>
          <w:p w14:paraId="214119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rPr>
              <w:t>6~9</w:t>
            </w:r>
          </w:p>
        </w:tc>
        <w:tc>
          <w:tcPr>
            <w:tcW w:w="1079" w:type="dxa"/>
            <w:noWrap w:val="0"/>
            <w:vAlign w:val="center"/>
          </w:tcPr>
          <w:p w14:paraId="37F4C6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997" w:type="dxa"/>
            <w:noWrap w:val="0"/>
            <w:vAlign w:val="center"/>
          </w:tcPr>
          <w:p w14:paraId="7CA2167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rPr>
              <w:t>300</w:t>
            </w:r>
          </w:p>
        </w:tc>
        <w:tc>
          <w:tcPr>
            <w:tcW w:w="1267" w:type="dxa"/>
            <w:noWrap w:val="0"/>
            <w:vAlign w:val="center"/>
          </w:tcPr>
          <w:p w14:paraId="45924B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814" w:type="dxa"/>
            <w:noWrap w:val="0"/>
            <w:vAlign w:val="center"/>
          </w:tcPr>
          <w:p w14:paraId="41DBEF4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u w:val="none"/>
              </w:rPr>
              <w:t>15</w:t>
            </w:r>
          </w:p>
        </w:tc>
        <w:tc>
          <w:tcPr>
            <w:tcW w:w="1330" w:type="dxa"/>
            <w:noWrap w:val="0"/>
            <w:vAlign w:val="center"/>
          </w:tcPr>
          <w:p w14:paraId="214B63C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795" w:type="dxa"/>
            <w:noWrap w:val="0"/>
            <w:vAlign w:val="center"/>
          </w:tcPr>
          <w:p w14:paraId="4C0EAC6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highlight w:val="yellow"/>
                <w:u w:val="none"/>
              </w:rPr>
            </w:pPr>
          </w:p>
        </w:tc>
        <w:tc>
          <w:tcPr>
            <w:tcW w:w="1267" w:type="dxa"/>
            <w:noWrap w:val="0"/>
            <w:vAlign w:val="center"/>
          </w:tcPr>
          <w:p w14:paraId="0328E5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highlight w:val="yellow"/>
                <w:u w:val="none"/>
              </w:rPr>
            </w:pPr>
          </w:p>
        </w:tc>
        <w:tc>
          <w:tcPr>
            <w:tcW w:w="773" w:type="dxa"/>
            <w:noWrap w:val="0"/>
            <w:vAlign w:val="center"/>
          </w:tcPr>
          <w:p w14:paraId="6181B32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highlight w:val="yellow"/>
                <w:u w:val="none"/>
              </w:rPr>
            </w:pPr>
          </w:p>
        </w:tc>
        <w:tc>
          <w:tcPr>
            <w:tcW w:w="1038" w:type="dxa"/>
            <w:noWrap w:val="0"/>
            <w:vAlign w:val="center"/>
          </w:tcPr>
          <w:p w14:paraId="049AF64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highlight w:val="yellow"/>
                <w:u w:val="none"/>
              </w:rPr>
            </w:pPr>
          </w:p>
        </w:tc>
      </w:tr>
    </w:tbl>
    <w:p w14:paraId="415B870E">
      <w:pPr>
        <w:ind w:firstLine="480"/>
        <w:sectPr>
          <w:pgSz w:w="16840" w:h="11910" w:orient="landscape"/>
          <w:pgMar w:top="1800" w:right="1440" w:bottom="1800" w:left="1440" w:header="877" w:footer="1196" w:gutter="0"/>
          <w:pgNumType w:fmt="decimal"/>
          <w:cols w:space="720" w:num="1"/>
        </w:sectPr>
      </w:pPr>
    </w:p>
    <w:p w14:paraId="3DF7F864">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rPr>
      </w:pPr>
      <w:r>
        <w:rPr>
          <w:rFonts w:hint="eastAsia"/>
        </w:rPr>
        <w:t>由新乡化纤有限公司提供2023年厂区废水总排口在线数据（见附件8）可知，总排口污染物COD、NH</w:t>
      </w:r>
      <w:r>
        <w:rPr>
          <w:rFonts w:hint="eastAsia"/>
          <w:vertAlign w:val="subscript"/>
        </w:rPr>
        <w:t>3</w:t>
      </w:r>
      <w:r>
        <w:rPr>
          <w:rFonts w:hint="eastAsia"/>
        </w:rPr>
        <w:t>-N、TN、TP浓度能够满足《污水综合排放标准》（GB8978-1996）表4二级（化纤浆粕工业）、小店污水处理厂收水标准及与小店污水处理厂收水协议：COD300mg/L、NH</w:t>
      </w:r>
      <w:r>
        <w:rPr>
          <w:rFonts w:hint="eastAsia"/>
          <w:vertAlign w:val="subscript"/>
        </w:rPr>
        <w:t>3</w:t>
      </w:r>
      <w:r>
        <w:rPr>
          <w:rFonts w:hint="eastAsia"/>
        </w:rPr>
        <w:t>-N15mg/L、TP1.0mg/L、TN40mg/L的要求。</w:t>
      </w:r>
      <w:r>
        <w:rPr>
          <w:rFonts w:hint="eastAsia"/>
          <w:b/>
          <w:bCs/>
          <w:u w:val="single"/>
          <w:lang w:val="en-US" w:eastAsia="zh-CN"/>
        </w:rPr>
        <w:t>5月及12月出水存在pH最大值超标情况，经新乡化纤股份有限公司查阅当月数据，日均值未出现超标情况，仅某一时段数据超标，不具有代表性</w:t>
      </w:r>
      <w:r>
        <w:rPr>
          <w:b/>
          <w:bCs/>
          <w:u w:val="single"/>
        </w:rPr>
        <w:t>。</w:t>
      </w:r>
    </w:p>
    <w:p w14:paraId="5BF8F01C">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pPr>
      <w:r>
        <w:rPr>
          <w:rFonts w:hint="eastAsia"/>
        </w:rPr>
        <w:t>根据新乡化纤股份有限公式提供2023年12月例行监测报告（见附件5）数据，硫化物、锌排放情况见下表。</w:t>
      </w:r>
    </w:p>
    <w:p w14:paraId="2823D6C2">
      <w:pPr>
        <w:pStyle w:val="10"/>
        <w:bidi w:val="0"/>
      </w:pPr>
      <w:r>
        <w:t xml:space="preserve">表 </w:t>
      </w:r>
      <w:r>
        <w:fldChar w:fldCharType="begin"/>
      </w:r>
      <w:r>
        <w:instrText xml:space="preserve"> STYLEREF 2 \s </w:instrText>
      </w:r>
      <w:r>
        <w:fldChar w:fldCharType="separate"/>
      </w:r>
      <w:r>
        <w:t>3.3</w:t>
      </w:r>
      <w:r>
        <w:fldChar w:fldCharType="end"/>
      </w:r>
      <w:r>
        <w:rPr>
          <w:rFonts w:hint="eastAsia"/>
          <w:lang w:eastAsia="zh-CN"/>
        </w:rPr>
        <w:t>-</w:t>
      </w:r>
      <w:r>
        <w:fldChar w:fldCharType="begin"/>
      </w:r>
      <w:r>
        <w:instrText xml:space="preserve"> SEQ 表 \* ARABIC \s 2 </w:instrText>
      </w:r>
      <w:r>
        <w:fldChar w:fldCharType="separate"/>
      </w:r>
      <w:r>
        <w:t>4</w:t>
      </w:r>
      <w:r>
        <w:fldChar w:fldCharType="end"/>
      </w:r>
      <w:r>
        <w:rPr>
          <w:rFonts w:hint="eastAsia"/>
          <w:lang w:val="en-US" w:eastAsia="zh-CN"/>
        </w:rPr>
        <w:t xml:space="preserve"> 厂区污水处理站总排口监测数据</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5"/>
        <w:gridCol w:w="1752"/>
        <w:gridCol w:w="2760"/>
        <w:gridCol w:w="1603"/>
        <w:gridCol w:w="1753"/>
      </w:tblGrid>
      <w:tr w14:paraId="4519B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2" w:type="pct"/>
            <w:vAlign w:val="center"/>
          </w:tcPr>
          <w:p w14:paraId="1F74FC11">
            <w:pPr>
              <w:pStyle w:val="182"/>
              <w:rPr>
                <w:b/>
                <w:bCs/>
                <w:color w:val="auto"/>
              </w:rPr>
            </w:pPr>
            <w:r>
              <w:rPr>
                <w:rFonts w:hint="eastAsia"/>
                <w:b/>
                <w:bCs/>
                <w:color w:val="auto"/>
              </w:rPr>
              <w:t>监测点位</w:t>
            </w:r>
          </w:p>
        </w:tc>
        <w:tc>
          <w:tcPr>
            <w:tcW w:w="943" w:type="pct"/>
            <w:vAlign w:val="center"/>
          </w:tcPr>
          <w:p w14:paraId="75F9B2B2">
            <w:pPr>
              <w:pStyle w:val="182"/>
              <w:rPr>
                <w:b/>
                <w:bCs/>
                <w:color w:val="auto"/>
              </w:rPr>
            </w:pPr>
            <w:r>
              <w:rPr>
                <w:rFonts w:hint="eastAsia"/>
                <w:b/>
                <w:bCs/>
                <w:color w:val="auto"/>
              </w:rPr>
              <w:t>检测时间</w:t>
            </w:r>
          </w:p>
        </w:tc>
        <w:tc>
          <w:tcPr>
            <w:tcW w:w="1486" w:type="pct"/>
            <w:vAlign w:val="center"/>
          </w:tcPr>
          <w:p w14:paraId="6456A61C">
            <w:pPr>
              <w:pStyle w:val="182"/>
              <w:rPr>
                <w:b/>
                <w:bCs/>
                <w:color w:val="auto"/>
              </w:rPr>
            </w:pPr>
            <w:r>
              <w:rPr>
                <w:rFonts w:hint="eastAsia"/>
                <w:b/>
                <w:bCs/>
                <w:color w:val="auto"/>
              </w:rPr>
              <w:t>检测因子</w:t>
            </w:r>
          </w:p>
        </w:tc>
        <w:tc>
          <w:tcPr>
            <w:tcW w:w="863" w:type="pct"/>
            <w:vAlign w:val="center"/>
          </w:tcPr>
          <w:p w14:paraId="38BF3BFA">
            <w:pPr>
              <w:pStyle w:val="182"/>
              <w:rPr>
                <w:b/>
                <w:bCs/>
                <w:color w:val="auto"/>
              </w:rPr>
            </w:pPr>
            <w:r>
              <w:rPr>
                <w:rFonts w:hint="eastAsia"/>
                <w:b/>
                <w:bCs/>
                <w:color w:val="auto"/>
              </w:rPr>
              <w:t>单位</w:t>
            </w:r>
          </w:p>
        </w:tc>
        <w:tc>
          <w:tcPr>
            <w:tcW w:w="944" w:type="pct"/>
            <w:vAlign w:val="center"/>
          </w:tcPr>
          <w:p w14:paraId="0DE81071">
            <w:pPr>
              <w:pStyle w:val="182"/>
              <w:rPr>
                <w:b/>
                <w:bCs/>
                <w:color w:val="auto"/>
              </w:rPr>
            </w:pPr>
            <w:r>
              <w:rPr>
                <w:rFonts w:hint="eastAsia"/>
                <w:b/>
                <w:bCs/>
                <w:color w:val="auto"/>
              </w:rPr>
              <w:t>检测结果</w:t>
            </w:r>
          </w:p>
        </w:tc>
      </w:tr>
      <w:tr w14:paraId="1769D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2" w:type="pct"/>
            <w:vMerge w:val="restart"/>
            <w:vAlign w:val="center"/>
          </w:tcPr>
          <w:p w14:paraId="1F7A41E8">
            <w:pPr>
              <w:pStyle w:val="182"/>
              <w:rPr>
                <w:color w:val="auto"/>
              </w:rPr>
            </w:pPr>
            <w:r>
              <w:rPr>
                <w:rFonts w:hint="eastAsia"/>
                <w:color w:val="auto"/>
              </w:rPr>
              <w:t>污水总排口（DW</w:t>
            </w:r>
            <w:r>
              <w:rPr>
                <w:color w:val="auto"/>
              </w:rPr>
              <w:t>001</w:t>
            </w:r>
            <w:r>
              <w:rPr>
                <w:rFonts w:hint="eastAsia"/>
                <w:color w:val="auto"/>
              </w:rPr>
              <w:t>）</w:t>
            </w:r>
          </w:p>
        </w:tc>
        <w:tc>
          <w:tcPr>
            <w:tcW w:w="943" w:type="pct"/>
            <w:vMerge w:val="restart"/>
            <w:vAlign w:val="center"/>
          </w:tcPr>
          <w:p w14:paraId="06B77C64">
            <w:pPr>
              <w:pStyle w:val="182"/>
              <w:rPr>
                <w:color w:val="auto"/>
              </w:rPr>
            </w:pPr>
            <w:r>
              <w:rPr>
                <w:rFonts w:hint="eastAsia"/>
                <w:color w:val="auto"/>
              </w:rPr>
              <w:t>2</w:t>
            </w:r>
            <w:r>
              <w:rPr>
                <w:color w:val="auto"/>
              </w:rPr>
              <w:t>02</w:t>
            </w:r>
            <w:r>
              <w:rPr>
                <w:rFonts w:hint="eastAsia"/>
                <w:color w:val="auto"/>
              </w:rPr>
              <w:t>3.12.08</w:t>
            </w:r>
          </w:p>
        </w:tc>
        <w:tc>
          <w:tcPr>
            <w:tcW w:w="1486" w:type="pct"/>
            <w:vAlign w:val="center"/>
          </w:tcPr>
          <w:p w14:paraId="66D23B16">
            <w:pPr>
              <w:pStyle w:val="182"/>
              <w:rPr>
                <w:color w:val="auto"/>
              </w:rPr>
            </w:pPr>
            <w:r>
              <w:rPr>
                <w:rFonts w:hint="eastAsia"/>
                <w:color w:val="auto"/>
              </w:rPr>
              <w:t>pH</w:t>
            </w:r>
          </w:p>
        </w:tc>
        <w:tc>
          <w:tcPr>
            <w:tcW w:w="863" w:type="pct"/>
            <w:vAlign w:val="center"/>
          </w:tcPr>
          <w:p w14:paraId="2680DB78">
            <w:pPr>
              <w:pStyle w:val="182"/>
              <w:rPr>
                <w:color w:val="auto"/>
              </w:rPr>
            </w:pPr>
            <w:r>
              <w:rPr>
                <w:rFonts w:hint="eastAsia"/>
                <w:color w:val="auto"/>
              </w:rPr>
              <w:t>/</w:t>
            </w:r>
          </w:p>
        </w:tc>
        <w:tc>
          <w:tcPr>
            <w:tcW w:w="944" w:type="pct"/>
            <w:vAlign w:val="center"/>
          </w:tcPr>
          <w:p w14:paraId="61904C4C">
            <w:pPr>
              <w:pStyle w:val="182"/>
              <w:rPr>
                <w:color w:val="auto"/>
              </w:rPr>
            </w:pPr>
            <w:r>
              <w:rPr>
                <w:rFonts w:hint="eastAsia"/>
                <w:color w:val="auto"/>
              </w:rPr>
              <w:t>7.7</w:t>
            </w:r>
          </w:p>
        </w:tc>
      </w:tr>
      <w:tr w14:paraId="3D328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2" w:type="pct"/>
            <w:vMerge w:val="continue"/>
            <w:vAlign w:val="center"/>
          </w:tcPr>
          <w:p w14:paraId="4F0CB0C6">
            <w:pPr>
              <w:pStyle w:val="182"/>
              <w:rPr>
                <w:color w:val="auto"/>
              </w:rPr>
            </w:pPr>
          </w:p>
        </w:tc>
        <w:tc>
          <w:tcPr>
            <w:tcW w:w="943" w:type="pct"/>
            <w:vMerge w:val="continue"/>
            <w:vAlign w:val="center"/>
          </w:tcPr>
          <w:p w14:paraId="7D867C0A">
            <w:pPr>
              <w:pStyle w:val="182"/>
              <w:rPr>
                <w:color w:val="auto"/>
              </w:rPr>
            </w:pPr>
          </w:p>
        </w:tc>
        <w:tc>
          <w:tcPr>
            <w:tcW w:w="1486" w:type="pct"/>
            <w:vAlign w:val="center"/>
          </w:tcPr>
          <w:p w14:paraId="787FA190">
            <w:pPr>
              <w:pStyle w:val="182"/>
              <w:rPr>
                <w:color w:val="auto"/>
              </w:rPr>
            </w:pPr>
            <w:r>
              <w:rPr>
                <w:rFonts w:hint="eastAsia"/>
              </w:rPr>
              <w:t>BOD</w:t>
            </w:r>
            <w:r>
              <w:rPr>
                <w:rFonts w:hint="eastAsia"/>
                <w:vertAlign w:val="subscript"/>
              </w:rPr>
              <w:t>5</w:t>
            </w:r>
          </w:p>
        </w:tc>
        <w:tc>
          <w:tcPr>
            <w:tcW w:w="863" w:type="pct"/>
            <w:vAlign w:val="center"/>
          </w:tcPr>
          <w:p w14:paraId="5D68AA3B">
            <w:pPr>
              <w:pStyle w:val="182"/>
              <w:rPr>
                <w:color w:val="auto"/>
              </w:rPr>
            </w:pPr>
            <w:r>
              <w:rPr>
                <w:color w:val="auto"/>
              </w:rPr>
              <w:t>mg/L</w:t>
            </w:r>
          </w:p>
        </w:tc>
        <w:tc>
          <w:tcPr>
            <w:tcW w:w="944" w:type="pct"/>
            <w:vAlign w:val="center"/>
          </w:tcPr>
          <w:p w14:paraId="6C39F74B">
            <w:pPr>
              <w:pStyle w:val="182"/>
              <w:rPr>
                <w:rFonts w:hint="default" w:eastAsia="宋体"/>
                <w:color w:val="auto"/>
                <w:lang w:val="en-US" w:eastAsia="zh-CN"/>
              </w:rPr>
            </w:pPr>
            <w:r>
              <w:rPr>
                <w:rFonts w:hint="eastAsia"/>
                <w:color w:val="auto"/>
                <w:lang w:val="en-US" w:eastAsia="zh-CN"/>
              </w:rPr>
              <w:t>32.8</w:t>
            </w:r>
          </w:p>
        </w:tc>
      </w:tr>
      <w:tr w14:paraId="2B485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2" w:type="pct"/>
            <w:vMerge w:val="continue"/>
            <w:vAlign w:val="center"/>
          </w:tcPr>
          <w:p w14:paraId="26EF59B6">
            <w:pPr>
              <w:pStyle w:val="182"/>
              <w:rPr>
                <w:color w:val="auto"/>
              </w:rPr>
            </w:pPr>
          </w:p>
        </w:tc>
        <w:tc>
          <w:tcPr>
            <w:tcW w:w="943" w:type="pct"/>
            <w:vMerge w:val="continue"/>
            <w:vAlign w:val="center"/>
          </w:tcPr>
          <w:p w14:paraId="65F06D14">
            <w:pPr>
              <w:pStyle w:val="182"/>
              <w:rPr>
                <w:color w:val="auto"/>
              </w:rPr>
            </w:pPr>
          </w:p>
        </w:tc>
        <w:tc>
          <w:tcPr>
            <w:tcW w:w="1486" w:type="pct"/>
            <w:vAlign w:val="center"/>
          </w:tcPr>
          <w:p w14:paraId="3DC64C7A">
            <w:pPr>
              <w:pStyle w:val="182"/>
              <w:rPr>
                <w:rFonts w:hint="default" w:eastAsia="宋体"/>
                <w:color w:val="auto"/>
                <w:lang w:val="en-US" w:eastAsia="zh-CN"/>
              </w:rPr>
            </w:pPr>
            <w:r>
              <w:rPr>
                <w:rFonts w:hint="eastAsia"/>
                <w:color w:val="auto"/>
                <w:lang w:val="en-US" w:eastAsia="zh-CN"/>
              </w:rPr>
              <w:t>SS</w:t>
            </w:r>
          </w:p>
        </w:tc>
        <w:tc>
          <w:tcPr>
            <w:tcW w:w="863" w:type="pct"/>
            <w:vAlign w:val="center"/>
          </w:tcPr>
          <w:p w14:paraId="025A2696">
            <w:pPr>
              <w:pStyle w:val="182"/>
              <w:rPr>
                <w:color w:val="auto"/>
              </w:rPr>
            </w:pPr>
            <w:r>
              <w:rPr>
                <w:color w:val="auto"/>
              </w:rPr>
              <w:t>mg/L</w:t>
            </w:r>
          </w:p>
        </w:tc>
        <w:tc>
          <w:tcPr>
            <w:tcW w:w="944" w:type="pct"/>
            <w:vAlign w:val="center"/>
          </w:tcPr>
          <w:p w14:paraId="24B47E27">
            <w:pPr>
              <w:pStyle w:val="182"/>
              <w:rPr>
                <w:rFonts w:hint="default" w:eastAsia="宋体"/>
                <w:color w:val="auto"/>
                <w:lang w:val="en-US" w:eastAsia="zh-CN"/>
              </w:rPr>
            </w:pPr>
            <w:r>
              <w:rPr>
                <w:rFonts w:hint="eastAsia"/>
                <w:color w:val="auto"/>
                <w:lang w:val="en-US" w:eastAsia="zh-CN"/>
              </w:rPr>
              <w:t>88</w:t>
            </w:r>
          </w:p>
        </w:tc>
      </w:tr>
      <w:tr w14:paraId="6FA97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2" w:type="pct"/>
            <w:vMerge w:val="continue"/>
            <w:vAlign w:val="center"/>
          </w:tcPr>
          <w:p w14:paraId="1EFCF100">
            <w:pPr>
              <w:pStyle w:val="182"/>
              <w:rPr>
                <w:color w:val="auto"/>
              </w:rPr>
            </w:pPr>
          </w:p>
        </w:tc>
        <w:tc>
          <w:tcPr>
            <w:tcW w:w="943" w:type="pct"/>
            <w:vMerge w:val="continue"/>
            <w:vAlign w:val="center"/>
          </w:tcPr>
          <w:p w14:paraId="6D2CCC95">
            <w:pPr>
              <w:pStyle w:val="182"/>
              <w:rPr>
                <w:color w:val="auto"/>
              </w:rPr>
            </w:pPr>
          </w:p>
        </w:tc>
        <w:tc>
          <w:tcPr>
            <w:tcW w:w="1486" w:type="pct"/>
            <w:vAlign w:val="center"/>
          </w:tcPr>
          <w:p w14:paraId="58F9459C">
            <w:pPr>
              <w:pStyle w:val="182"/>
              <w:rPr>
                <w:color w:val="auto"/>
              </w:rPr>
            </w:pPr>
            <w:r>
              <w:rPr>
                <w:rFonts w:hint="eastAsia"/>
                <w:color w:val="auto"/>
              </w:rPr>
              <w:t>硫化物</w:t>
            </w:r>
          </w:p>
        </w:tc>
        <w:tc>
          <w:tcPr>
            <w:tcW w:w="863" w:type="pct"/>
            <w:vAlign w:val="center"/>
          </w:tcPr>
          <w:p w14:paraId="36C6164D">
            <w:pPr>
              <w:pStyle w:val="182"/>
              <w:rPr>
                <w:color w:val="auto"/>
              </w:rPr>
            </w:pPr>
            <w:r>
              <w:rPr>
                <w:color w:val="auto"/>
              </w:rPr>
              <w:t>mg/L</w:t>
            </w:r>
          </w:p>
        </w:tc>
        <w:tc>
          <w:tcPr>
            <w:tcW w:w="944" w:type="pct"/>
            <w:vAlign w:val="center"/>
          </w:tcPr>
          <w:p w14:paraId="5CFB58D6">
            <w:pPr>
              <w:pStyle w:val="182"/>
              <w:rPr>
                <w:color w:val="auto"/>
              </w:rPr>
            </w:pPr>
            <w:r>
              <w:rPr>
                <w:rFonts w:hint="eastAsia"/>
                <w:color w:val="auto"/>
              </w:rPr>
              <w:t>0.549</w:t>
            </w:r>
          </w:p>
        </w:tc>
      </w:tr>
      <w:tr w14:paraId="5B410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2" w:type="pct"/>
            <w:vMerge w:val="continue"/>
            <w:vAlign w:val="center"/>
          </w:tcPr>
          <w:p w14:paraId="18BB2532">
            <w:pPr>
              <w:pStyle w:val="182"/>
              <w:rPr>
                <w:color w:val="auto"/>
              </w:rPr>
            </w:pPr>
          </w:p>
        </w:tc>
        <w:tc>
          <w:tcPr>
            <w:tcW w:w="943" w:type="pct"/>
            <w:vMerge w:val="continue"/>
            <w:vAlign w:val="center"/>
          </w:tcPr>
          <w:p w14:paraId="0AAD7BD6">
            <w:pPr>
              <w:pStyle w:val="182"/>
              <w:rPr>
                <w:color w:val="auto"/>
              </w:rPr>
            </w:pPr>
          </w:p>
        </w:tc>
        <w:tc>
          <w:tcPr>
            <w:tcW w:w="1486" w:type="pct"/>
            <w:vAlign w:val="center"/>
          </w:tcPr>
          <w:p w14:paraId="780E9DF8">
            <w:pPr>
              <w:pStyle w:val="182"/>
              <w:rPr>
                <w:color w:val="auto"/>
              </w:rPr>
            </w:pPr>
            <w:r>
              <w:rPr>
                <w:rFonts w:hint="eastAsia"/>
                <w:color w:val="auto"/>
              </w:rPr>
              <w:t>锌</w:t>
            </w:r>
          </w:p>
        </w:tc>
        <w:tc>
          <w:tcPr>
            <w:tcW w:w="863" w:type="pct"/>
            <w:vAlign w:val="center"/>
          </w:tcPr>
          <w:p w14:paraId="1BE5B971">
            <w:pPr>
              <w:pStyle w:val="182"/>
              <w:rPr>
                <w:color w:val="auto"/>
              </w:rPr>
            </w:pPr>
            <w:r>
              <w:rPr>
                <w:color w:val="auto"/>
              </w:rPr>
              <w:t>mg/L</w:t>
            </w:r>
          </w:p>
        </w:tc>
        <w:tc>
          <w:tcPr>
            <w:tcW w:w="944" w:type="pct"/>
            <w:vAlign w:val="center"/>
          </w:tcPr>
          <w:p w14:paraId="06D9CBAE">
            <w:pPr>
              <w:pStyle w:val="182"/>
              <w:rPr>
                <w:color w:val="auto"/>
              </w:rPr>
            </w:pPr>
            <w:r>
              <w:rPr>
                <w:rFonts w:hint="eastAsia"/>
                <w:color w:val="auto"/>
              </w:rPr>
              <w:t>1.65</w:t>
            </w:r>
          </w:p>
        </w:tc>
      </w:tr>
    </w:tbl>
    <w:p w14:paraId="5E2FAF79">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rPr>
      </w:pPr>
      <w:r>
        <w:rPr>
          <w:rFonts w:hint="eastAsia"/>
        </w:rPr>
        <w:t>由上表可知，总排口主要污染物BOD</w:t>
      </w:r>
      <w:r>
        <w:rPr>
          <w:rFonts w:hint="eastAsia"/>
          <w:vertAlign w:val="subscript"/>
        </w:rPr>
        <w:t>5</w:t>
      </w:r>
      <w:r>
        <w:rPr>
          <w:rFonts w:hint="eastAsia"/>
        </w:rPr>
        <w:t>、SS、硫化物、总锌等均能够满足《污水综合排放标准》（GB8978-1996）表4二级（化纤浆粕工业）</w:t>
      </w:r>
      <w:r>
        <w:rPr>
          <w:rFonts w:ascii="Times New Roman" w:hAnsi="Times New Roman"/>
          <w:sz w:val="24"/>
          <w:szCs w:val="24"/>
        </w:rPr>
        <w:t>总锌5.0mg/L、</w:t>
      </w:r>
      <w:r>
        <w:rPr>
          <w:rFonts w:hint="eastAsia"/>
        </w:rPr>
        <w:t>SS 150mg/L和BOD</w:t>
      </w:r>
      <w:r>
        <w:rPr>
          <w:rFonts w:hint="eastAsia"/>
          <w:vertAlign w:val="subscript"/>
        </w:rPr>
        <w:t>5</w:t>
      </w:r>
      <w:r>
        <w:rPr>
          <w:rFonts w:hint="eastAsia"/>
        </w:rPr>
        <w:t xml:space="preserve"> 100mg/L的标准，同时满足排污许可证废水污染物最高允许排放浓度硫化物1.0mg/L的要求。</w:t>
      </w:r>
    </w:p>
    <w:p w14:paraId="663EB2FF">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baseline"/>
        <w:rPr>
          <w:rFonts w:hint="eastAsia" w:eastAsia="宋体"/>
          <w:bCs/>
          <w:szCs w:val="20"/>
          <w:lang w:val="en-US" w:eastAsia="zh-CN"/>
        </w:rPr>
      </w:pPr>
      <w:r>
        <w:rPr>
          <w:rFonts w:hint="eastAsia"/>
          <w:bCs/>
          <w:szCs w:val="20"/>
          <w:lang w:val="en-US" w:eastAsia="zh-CN"/>
        </w:rPr>
        <w:t>综上所述，新乡化纤股份有限公司现有工程废水</w:t>
      </w:r>
      <w:r>
        <w:rPr>
          <w:rFonts w:hint="eastAsia"/>
        </w:rPr>
        <w:t>总排口污染物COD、NH</w:t>
      </w:r>
      <w:r>
        <w:rPr>
          <w:rFonts w:hint="eastAsia"/>
          <w:vertAlign w:val="subscript"/>
        </w:rPr>
        <w:t>3</w:t>
      </w:r>
      <w:r>
        <w:rPr>
          <w:rFonts w:hint="eastAsia"/>
        </w:rPr>
        <w:t>-N、TN、TP</w:t>
      </w:r>
      <w:r>
        <w:rPr>
          <w:rFonts w:hint="eastAsia"/>
          <w:lang w:eastAsia="zh-CN"/>
        </w:rPr>
        <w:t>、</w:t>
      </w:r>
      <w:r>
        <w:rPr>
          <w:rFonts w:hint="eastAsia"/>
        </w:rPr>
        <w:t>BOD</w:t>
      </w:r>
      <w:r>
        <w:rPr>
          <w:rFonts w:hint="eastAsia"/>
          <w:vertAlign w:val="subscript"/>
        </w:rPr>
        <w:t>5</w:t>
      </w:r>
      <w:r>
        <w:rPr>
          <w:rFonts w:hint="eastAsia"/>
        </w:rPr>
        <w:t>、SS、硫化物、总锌</w:t>
      </w:r>
      <w:r>
        <w:rPr>
          <w:rFonts w:hint="eastAsia"/>
          <w:lang w:val="en-US" w:eastAsia="zh-CN"/>
        </w:rPr>
        <w:t>均能满足</w:t>
      </w:r>
      <w:r>
        <w:rPr>
          <w:rFonts w:hint="eastAsia"/>
        </w:rPr>
        <w:t>《污水综合排放标准》（GB8978-1996）表4二级（化纤浆粕工业）、小店污水处理厂收水标准及与小店污水处理厂收水协议：COD300mg/L、NH</w:t>
      </w:r>
      <w:r>
        <w:rPr>
          <w:rFonts w:hint="eastAsia"/>
          <w:vertAlign w:val="subscript"/>
        </w:rPr>
        <w:t>3</w:t>
      </w:r>
      <w:r>
        <w:rPr>
          <w:rFonts w:hint="eastAsia"/>
        </w:rPr>
        <w:t>-N15mg/L、TP1.0mg/L、TN40mg/L</w:t>
      </w:r>
      <w:r>
        <w:rPr>
          <w:rFonts w:hint="eastAsia"/>
          <w:lang w:eastAsia="zh-CN"/>
        </w:rPr>
        <w:t>、</w:t>
      </w:r>
      <w:r>
        <w:rPr>
          <w:rFonts w:ascii="Times New Roman" w:hAnsi="Times New Roman"/>
          <w:sz w:val="24"/>
          <w:szCs w:val="24"/>
        </w:rPr>
        <w:t>总锌5.0mg/L、</w:t>
      </w:r>
      <w:r>
        <w:rPr>
          <w:rFonts w:hint="eastAsia"/>
        </w:rPr>
        <w:t>SS 150mg/L和BOD</w:t>
      </w:r>
      <w:r>
        <w:rPr>
          <w:rFonts w:hint="eastAsia"/>
          <w:vertAlign w:val="subscript"/>
        </w:rPr>
        <w:t>5</w:t>
      </w:r>
      <w:r>
        <w:rPr>
          <w:rFonts w:hint="eastAsia"/>
        </w:rPr>
        <w:t xml:space="preserve"> 100mg/L的标准，同时满足排污许可证废水污染物最高允许排放浓度硫化物1.0mg/L的要求。</w:t>
      </w:r>
    </w:p>
    <w:p w14:paraId="37E34168">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rPr>
      </w:pPr>
      <w:r>
        <w:rPr>
          <w:rFonts w:hint="eastAsia"/>
        </w:rPr>
        <w:t>根据新乡化纤厂化验室对厂区污水处理站总排口废水监测结果，DMAC浓度为2.16mg/L~3.12mg/L，平均值为2.78 mg/L，满足前苏联（1975）水体中</w:t>
      </w:r>
      <w:r>
        <w:rPr>
          <w:rFonts w:hint="eastAsia" w:hAnsi="宋体"/>
        </w:rPr>
        <w:t>二甲基甲酰胺</w:t>
      </w:r>
      <w:r>
        <w:rPr>
          <w:rFonts w:hint="eastAsia"/>
        </w:rPr>
        <w:t>有害物质最高允许浓度10mg/L的标准。</w:t>
      </w:r>
    </w:p>
    <w:p w14:paraId="16391AE3">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eastAsia="宋体"/>
          <w:lang w:val="en-US" w:eastAsia="zh-CN"/>
        </w:rPr>
      </w:pPr>
      <w:r>
        <w:rPr>
          <w:rFonts w:hint="eastAsia"/>
          <w:lang w:val="en-US" w:eastAsia="zh-CN"/>
        </w:rPr>
        <w:t>根据</w:t>
      </w:r>
      <w:r>
        <w:rPr>
          <w:rFonts w:hint="eastAsia"/>
        </w:rPr>
        <w:t>新乡化纤有限公司提供厂区污水处理站总排口202</w:t>
      </w:r>
      <w:r>
        <w:rPr>
          <w:rFonts w:hint="eastAsia"/>
          <w:lang w:val="en-US" w:eastAsia="zh-CN"/>
        </w:rPr>
        <w:t>3</w:t>
      </w:r>
      <w:r>
        <w:rPr>
          <w:rFonts w:hint="eastAsia"/>
        </w:rPr>
        <w:t>年份</w:t>
      </w:r>
      <w:r>
        <w:rPr>
          <w:rFonts w:hint="eastAsia"/>
          <w:lang w:val="en-US" w:eastAsia="zh-CN"/>
        </w:rPr>
        <w:t>在线数据及</w:t>
      </w:r>
      <w:r>
        <w:rPr>
          <w:rFonts w:hint="eastAsia"/>
        </w:rPr>
        <w:t>新乡化纤股份有限公司提供的2</w:t>
      </w:r>
      <w:r>
        <w:t>02</w:t>
      </w:r>
      <w:r>
        <w:rPr>
          <w:rFonts w:hint="eastAsia"/>
        </w:rPr>
        <w:t>3年</w:t>
      </w:r>
      <w:r>
        <w:t>1</w:t>
      </w:r>
      <w:r>
        <w:rPr>
          <w:rFonts w:hint="eastAsia"/>
        </w:rPr>
        <w:t>2月检测报告</w:t>
      </w:r>
      <w:r>
        <w:rPr>
          <w:rFonts w:hint="eastAsia"/>
          <w:lang w:eastAsia="zh-CN"/>
        </w:rPr>
        <w:t>，</w:t>
      </w:r>
      <w:r>
        <w:rPr>
          <w:rFonts w:hint="eastAsia"/>
          <w:lang w:val="en-US" w:eastAsia="zh-CN"/>
        </w:rPr>
        <w:t>已建项目化纤厂新厂区出口水质见下表。</w:t>
      </w:r>
    </w:p>
    <w:p w14:paraId="3EA88852">
      <w:pPr>
        <w:pStyle w:val="10"/>
        <w:bidi w:val="0"/>
        <w:rPr>
          <w:rFonts w:hint="eastAsia"/>
          <w:lang w:val="en-US" w:eastAsia="zh-CN"/>
        </w:rPr>
      </w:pPr>
      <w:r>
        <w:t xml:space="preserve">表 </w:t>
      </w:r>
      <w:r>
        <w:fldChar w:fldCharType="begin"/>
      </w:r>
      <w:r>
        <w:instrText xml:space="preserve"> STYLEREF 2 \s </w:instrText>
      </w:r>
      <w:r>
        <w:fldChar w:fldCharType="separate"/>
      </w:r>
      <w:r>
        <w:t>3.3</w:t>
      </w:r>
      <w:r>
        <w:fldChar w:fldCharType="end"/>
      </w:r>
      <w:r>
        <w:rPr>
          <w:rFonts w:hint="eastAsia"/>
          <w:lang w:eastAsia="zh-CN"/>
        </w:rPr>
        <w:t>-</w:t>
      </w:r>
      <w:r>
        <w:fldChar w:fldCharType="begin"/>
      </w:r>
      <w:r>
        <w:instrText xml:space="preserve"> SEQ 表 \* ARABIC \s 2 </w:instrText>
      </w:r>
      <w:r>
        <w:fldChar w:fldCharType="separate"/>
      </w:r>
      <w:r>
        <w:t>5</w:t>
      </w:r>
      <w:r>
        <w:fldChar w:fldCharType="end"/>
      </w:r>
      <w:r>
        <w:rPr>
          <w:rFonts w:hint="eastAsia"/>
          <w:lang w:val="en-US" w:eastAsia="zh-CN"/>
        </w:rPr>
        <w:t xml:space="preserve"> 已建项目化纤厂新厂区出口水质     单位：mg/L</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916"/>
        <w:gridCol w:w="1609"/>
        <w:gridCol w:w="688"/>
        <w:gridCol w:w="1193"/>
        <w:gridCol w:w="1236"/>
        <w:gridCol w:w="1302"/>
        <w:gridCol w:w="962"/>
      </w:tblGrid>
      <w:tr w14:paraId="13012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745" w:type="pct"/>
            <w:vMerge w:val="restart"/>
            <w:vAlign w:val="center"/>
          </w:tcPr>
          <w:p w14:paraId="11AC7828">
            <w:pPr>
              <w:pStyle w:val="182"/>
              <w:rPr>
                <w:b/>
                <w:bCs/>
                <w:color w:val="auto"/>
              </w:rPr>
            </w:pPr>
            <w:r>
              <w:rPr>
                <w:rFonts w:hint="eastAsia"/>
                <w:b/>
                <w:bCs/>
                <w:color w:val="auto"/>
              </w:rPr>
              <w:t>污染源</w:t>
            </w:r>
          </w:p>
        </w:tc>
        <w:tc>
          <w:tcPr>
            <w:tcW w:w="4255" w:type="pct"/>
            <w:gridSpan w:val="7"/>
            <w:vAlign w:val="center"/>
          </w:tcPr>
          <w:p w14:paraId="479CD455">
            <w:pPr>
              <w:pStyle w:val="182"/>
              <w:rPr>
                <w:b/>
                <w:bCs/>
                <w:color w:val="auto"/>
              </w:rPr>
            </w:pPr>
            <w:r>
              <w:rPr>
                <w:rFonts w:hint="eastAsia"/>
                <w:b/>
                <w:bCs/>
                <w:color w:val="auto"/>
              </w:rPr>
              <w:t>产生浓度</w:t>
            </w:r>
          </w:p>
        </w:tc>
      </w:tr>
      <w:tr w14:paraId="59740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5" w:type="pct"/>
            <w:vMerge w:val="continue"/>
            <w:vAlign w:val="center"/>
          </w:tcPr>
          <w:p w14:paraId="3A24B3C2">
            <w:pPr>
              <w:pStyle w:val="182"/>
              <w:rPr>
                <w:b/>
                <w:bCs/>
                <w:color w:val="auto"/>
              </w:rPr>
            </w:pPr>
          </w:p>
        </w:tc>
        <w:tc>
          <w:tcPr>
            <w:tcW w:w="493" w:type="pct"/>
            <w:vAlign w:val="center"/>
          </w:tcPr>
          <w:p w14:paraId="499CEC2B">
            <w:pPr>
              <w:pStyle w:val="182"/>
              <w:rPr>
                <w:b/>
                <w:bCs/>
                <w:color w:val="auto"/>
              </w:rPr>
            </w:pPr>
            <w:r>
              <w:rPr>
                <w:b/>
                <w:bCs/>
                <w:color w:val="auto"/>
              </w:rPr>
              <w:t>pH</w:t>
            </w:r>
          </w:p>
        </w:tc>
        <w:tc>
          <w:tcPr>
            <w:tcW w:w="866" w:type="pct"/>
            <w:vAlign w:val="center"/>
          </w:tcPr>
          <w:p w14:paraId="06490CDE">
            <w:pPr>
              <w:pStyle w:val="182"/>
              <w:rPr>
                <w:b/>
                <w:bCs/>
                <w:color w:val="auto"/>
              </w:rPr>
            </w:pPr>
            <w:r>
              <w:rPr>
                <w:b/>
                <w:bCs/>
                <w:color w:val="auto"/>
              </w:rPr>
              <w:t>COD</w:t>
            </w:r>
          </w:p>
        </w:tc>
        <w:tc>
          <w:tcPr>
            <w:tcW w:w="370" w:type="pct"/>
            <w:vAlign w:val="center"/>
          </w:tcPr>
          <w:p w14:paraId="392B97A1">
            <w:pPr>
              <w:pStyle w:val="182"/>
              <w:rPr>
                <w:b/>
                <w:bCs/>
                <w:color w:val="auto"/>
              </w:rPr>
            </w:pPr>
            <w:r>
              <w:rPr>
                <w:b/>
                <w:bCs/>
                <w:color w:val="auto"/>
              </w:rPr>
              <w:t>SS</w:t>
            </w:r>
          </w:p>
        </w:tc>
        <w:tc>
          <w:tcPr>
            <w:tcW w:w="642" w:type="pct"/>
            <w:vAlign w:val="center"/>
          </w:tcPr>
          <w:p w14:paraId="06A11D45">
            <w:pPr>
              <w:pStyle w:val="182"/>
              <w:rPr>
                <w:b/>
                <w:bCs/>
                <w:color w:val="auto"/>
              </w:rPr>
            </w:pPr>
            <w:r>
              <w:rPr>
                <w:rFonts w:hint="eastAsia"/>
                <w:b/>
                <w:bCs/>
                <w:color w:val="auto"/>
              </w:rPr>
              <w:t>氨氮</w:t>
            </w:r>
          </w:p>
        </w:tc>
        <w:tc>
          <w:tcPr>
            <w:tcW w:w="665" w:type="pct"/>
            <w:vAlign w:val="center"/>
          </w:tcPr>
          <w:p w14:paraId="6E2B2138">
            <w:pPr>
              <w:pStyle w:val="182"/>
              <w:rPr>
                <w:b/>
                <w:bCs/>
                <w:color w:val="auto"/>
              </w:rPr>
            </w:pPr>
            <w:r>
              <w:rPr>
                <w:b/>
                <w:bCs/>
                <w:color w:val="auto"/>
              </w:rPr>
              <w:t>TN</w:t>
            </w:r>
          </w:p>
        </w:tc>
        <w:tc>
          <w:tcPr>
            <w:tcW w:w="701" w:type="pct"/>
            <w:vAlign w:val="center"/>
          </w:tcPr>
          <w:p w14:paraId="44D5C319">
            <w:pPr>
              <w:pStyle w:val="182"/>
              <w:rPr>
                <w:b/>
                <w:bCs/>
                <w:color w:val="auto"/>
              </w:rPr>
            </w:pPr>
            <w:r>
              <w:rPr>
                <w:rFonts w:hint="eastAsia"/>
                <w:b/>
                <w:bCs/>
                <w:color w:val="auto"/>
              </w:rPr>
              <w:t>TP</w:t>
            </w:r>
          </w:p>
        </w:tc>
        <w:tc>
          <w:tcPr>
            <w:tcW w:w="517" w:type="pct"/>
            <w:vAlign w:val="center"/>
          </w:tcPr>
          <w:p w14:paraId="566A74FE">
            <w:pPr>
              <w:pStyle w:val="182"/>
              <w:rPr>
                <w:rFonts w:hint="default" w:eastAsia="宋体"/>
                <w:b/>
                <w:bCs/>
                <w:color w:val="auto"/>
                <w:lang w:val="en-US" w:eastAsia="zh-CN"/>
              </w:rPr>
            </w:pPr>
            <w:r>
              <w:rPr>
                <w:rFonts w:hint="eastAsia"/>
                <w:b/>
                <w:bCs/>
                <w:color w:val="auto"/>
                <w:lang w:val="en-US" w:eastAsia="zh-CN"/>
              </w:rPr>
              <w:t>BOD</w:t>
            </w:r>
          </w:p>
        </w:tc>
      </w:tr>
      <w:tr w14:paraId="4A89C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5" w:type="pct"/>
            <w:vAlign w:val="center"/>
          </w:tcPr>
          <w:p w14:paraId="4119F303">
            <w:pPr>
              <w:pStyle w:val="182"/>
              <w:rPr>
                <w:color w:val="auto"/>
              </w:rPr>
            </w:pPr>
            <w:r>
              <w:rPr>
                <w:rFonts w:hint="eastAsia"/>
                <w:color w:val="auto"/>
              </w:rPr>
              <w:t>化纤厂新厂区总排口</w:t>
            </w:r>
          </w:p>
        </w:tc>
        <w:tc>
          <w:tcPr>
            <w:tcW w:w="493" w:type="pct"/>
            <w:vAlign w:val="center"/>
          </w:tcPr>
          <w:p w14:paraId="30940AD5">
            <w:pPr>
              <w:pStyle w:val="182"/>
              <w:rPr>
                <w:color w:val="auto"/>
              </w:rPr>
            </w:pPr>
            <w:r>
              <w:rPr>
                <w:rFonts w:hint="eastAsia"/>
                <w:color w:val="auto"/>
              </w:rPr>
              <w:t>7.7</w:t>
            </w:r>
          </w:p>
        </w:tc>
        <w:tc>
          <w:tcPr>
            <w:tcW w:w="866" w:type="pct"/>
            <w:vAlign w:val="center"/>
          </w:tcPr>
          <w:p w14:paraId="07A7815D">
            <w:pPr>
              <w:pStyle w:val="182"/>
              <w:rPr>
                <w:rFonts w:hint="default"/>
                <w:color w:val="auto"/>
                <w:lang w:val="en-US"/>
              </w:rPr>
            </w:pPr>
            <w:r>
              <w:rPr>
                <w:rFonts w:hint="eastAsia"/>
                <w:lang w:val="en-US" w:eastAsia="zh-CN"/>
              </w:rPr>
              <w:t>81.097</w:t>
            </w:r>
          </w:p>
        </w:tc>
        <w:tc>
          <w:tcPr>
            <w:tcW w:w="370" w:type="pct"/>
            <w:vAlign w:val="center"/>
          </w:tcPr>
          <w:p w14:paraId="42E6D3BA">
            <w:pPr>
              <w:pStyle w:val="182"/>
              <w:rPr>
                <w:rFonts w:hint="default" w:eastAsia="宋体"/>
                <w:color w:val="auto"/>
                <w:lang w:val="en-US" w:eastAsia="zh-CN"/>
              </w:rPr>
            </w:pPr>
            <w:r>
              <w:rPr>
                <w:rFonts w:hint="eastAsia"/>
                <w:color w:val="auto"/>
                <w:lang w:val="en-US" w:eastAsia="zh-CN"/>
              </w:rPr>
              <w:t>88</w:t>
            </w:r>
          </w:p>
        </w:tc>
        <w:tc>
          <w:tcPr>
            <w:tcW w:w="642" w:type="pct"/>
            <w:vAlign w:val="center"/>
          </w:tcPr>
          <w:p w14:paraId="5451148B">
            <w:pPr>
              <w:pStyle w:val="182"/>
              <w:rPr>
                <w:rFonts w:hint="default"/>
                <w:color w:val="auto"/>
                <w:lang w:val="en-US"/>
              </w:rPr>
            </w:pPr>
            <w:r>
              <w:rPr>
                <w:rFonts w:hint="eastAsia"/>
                <w:lang w:val="en-US" w:eastAsia="zh-CN"/>
              </w:rPr>
              <w:t>2.5</w:t>
            </w:r>
          </w:p>
        </w:tc>
        <w:tc>
          <w:tcPr>
            <w:tcW w:w="665" w:type="pct"/>
            <w:vAlign w:val="center"/>
          </w:tcPr>
          <w:p w14:paraId="25FA317D">
            <w:pPr>
              <w:pStyle w:val="182"/>
              <w:rPr>
                <w:rFonts w:hint="default"/>
                <w:color w:val="auto"/>
                <w:lang w:val="en-US"/>
              </w:rPr>
            </w:pPr>
            <w:r>
              <w:rPr>
                <w:rFonts w:hint="eastAsia"/>
                <w:lang w:val="en-US" w:eastAsia="zh-CN"/>
              </w:rPr>
              <w:t>17.717</w:t>
            </w:r>
          </w:p>
        </w:tc>
        <w:tc>
          <w:tcPr>
            <w:tcW w:w="701" w:type="pct"/>
            <w:vAlign w:val="center"/>
          </w:tcPr>
          <w:p w14:paraId="5D275CC3">
            <w:pPr>
              <w:pStyle w:val="182"/>
              <w:rPr>
                <w:rFonts w:hint="default"/>
                <w:color w:val="auto"/>
                <w:lang w:val="en-US"/>
              </w:rPr>
            </w:pPr>
            <w:r>
              <w:rPr>
                <w:rFonts w:hint="eastAsia"/>
                <w:lang w:val="en-US" w:eastAsia="zh-CN"/>
              </w:rPr>
              <w:t>0.098</w:t>
            </w:r>
          </w:p>
        </w:tc>
        <w:tc>
          <w:tcPr>
            <w:tcW w:w="517" w:type="pct"/>
            <w:vAlign w:val="center"/>
          </w:tcPr>
          <w:p w14:paraId="18A5A9BD">
            <w:pPr>
              <w:pStyle w:val="182"/>
              <w:rPr>
                <w:rFonts w:hint="default" w:eastAsia="宋体"/>
                <w:color w:val="auto"/>
                <w:lang w:val="en-US" w:eastAsia="zh-CN"/>
              </w:rPr>
            </w:pPr>
            <w:r>
              <w:rPr>
                <w:rFonts w:hint="eastAsia"/>
                <w:color w:val="auto"/>
                <w:lang w:val="en-US" w:eastAsia="zh-CN"/>
              </w:rPr>
              <w:t>32.8</w:t>
            </w:r>
          </w:p>
        </w:tc>
      </w:tr>
    </w:tbl>
    <w:p w14:paraId="4B935510">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baseline"/>
        <w:rPr>
          <w:bCs/>
          <w:kern w:val="0"/>
          <w:szCs w:val="20"/>
        </w:rPr>
      </w:pPr>
      <w:r>
        <w:rPr>
          <w:rFonts w:hint="eastAsia"/>
          <w:bCs/>
          <w:szCs w:val="20"/>
        </w:rPr>
        <w:t>根据</w:t>
      </w:r>
      <w:r>
        <w:rPr>
          <w:rFonts w:hint="eastAsia"/>
        </w:rPr>
        <w:t>厂区污水处理站总排口202</w:t>
      </w:r>
      <w:r>
        <w:rPr>
          <w:rFonts w:hint="eastAsia"/>
          <w:lang w:val="en-US" w:eastAsia="zh-CN"/>
        </w:rPr>
        <w:t>3年</w:t>
      </w:r>
      <w:r>
        <w:rPr>
          <w:rFonts w:hint="eastAsia"/>
        </w:rPr>
        <w:t>份</w:t>
      </w:r>
      <w:r>
        <w:rPr>
          <w:rFonts w:hint="eastAsia"/>
          <w:lang w:val="en-US" w:eastAsia="zh-CN"/>
        </w:rPr>
        <w:t>在线数据及</w:t>
      </w:r>
      <w:r>
        <w:rPr>
          <w:rFonts w:hint="eastAsia"/>
        </w:rPr>
        <w:t>新乡化纤股份有限公司提供的2</w:t>
      </w:r>
      <w:r>
        <w:t>02</w:t>
      </w:r>
      <w:r>
        <w:rPr>
          <w:rFonts w:hint="eastAsia"/>
        </w:rPr>
        <w:t>3年</w:t>
      </w:r>
      <w:r>
        <w:t>1</w:t>
      </w:r>
      <w:r>
        <w:rPr>
          <w:rFonts w:hint="eastAsia"/>
        </w:rPr>
        <w:t>2月检测报告</w:t>
      </w:r>
      <w:r>
        <w:rPr>
          <w:rFonts w:hint="eastAsia"/>
          <w:lang w:eastAsia="zh-CN"/>
        </w:rPr>
        <w:t>，</w:t>
      </w:r>
      <w:r>
        <w:rPr>
          <w:rFonts w:hint="eastAsia"/>
          <w:bCs/>
          <w:szCs w:val="20"/>
          <w:lang w:val="en-US" w:eastAsia="zh-CN"/>
        </w:rPr>
        <w:t>已建</w:t>
      </w:r>
      <w:r>
        <w:rPr>
          <w:rFonts w:hint="eastAsia"/>
          <w:bCs/>
          <w:szCs w:val="20"/>
        </w:rPr>
        <w:t>项目废水污染物实际排放量见下表：</w:t>
      </w:r>
    </w:p>
    <w:p w14:paraId="112CBCC6">
      <w:pPr>
        <w:pStyle w:val="10"/>
        <w:bidi w:val="0"/>
        <w:rPr>
          <w:rFonts w:hint="eastAsia"/>
          <w:lang w:val="en-US" w:eastAsia="zh-CN"/>
        </w:rPr>
      </w:pPr>
      <w:r>
        <w:t xml:space="preserve">表 </w:t>
      </w:r>
      <w:r>
        <w:fldChar w:fldCharType="begin"/>
      </w:r>
      <w:r>
        <w:instrText xml:space="preserve"> STYLEREF 2 \s </w:instrText>
      </w:r>
      <w:r>
        <w:fldChar w:fldCharType="separate"/>
      </w:r>
      <w:r>
        <w:t>3.3</w:t>
      </w:r>
      <w:r>
        <w:fldChar w:fldCharType="end"/>
      </w:r>
      <w:r>
        <w:rPr>
          <w:rFonts w:hint="eastAsia"/>
          <w:lang w:eastAsia="zh-CN"/>
        </w:rPr>
        <w:t>-</w:t>
      </w:r>
      <w:r>
        <w:fldChar w:fldCharType="begin"/>
      </w:r>
      <w:r>
        <w:instrText xml:space="preserve"> SEQ 表 \* ARABIC \s 2 </w:instrText>
      </w:r>
      <w:r>
        <w:fldChar w:fldCharType="separate"/>
      </w:r>
      <w:r>
        <w:t>6</w:t>
      </w:r>
      <w:r>
        <w:fldChar w:fldCharType="end"/>
      </w:r>
      <w:r>
        <w:rPr>
          <w:rFonts w:hint="eastAsia"/>
          <w:lang w:val="en-US" w:eastAsia="zh-CN"/>
        </w:rPr>
        <w:t xml:space="preserve"> 已建项目（含调试项目）废水污染物排放情况</w:t>
      </w:r>
    </w:p>
    <w:tbl>
      <w:tblPr>
        <w:tblStyle w:val="31"/>
        <w:tblW w:w="447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519"/>
        <w:gridCol w:w="6803"/>
      </w:tblGrid>
      <w:tr w14:paraId="16FA4C0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2" w:type="pct"/>
            <w:vMerge w:val="restart"/>
            <w:tcBorders>
              <w:tl2br w:val="nil"/>
              <w:tr2bl w:val="nil"/>
            </w:tcBorders>
            <w:vAlign w:val="center"/>
          </w:tcPr>
          <w:p w14:paraId="530F28BD">
            <w:pPr>
              <w:pStyle w:val="182"/>
              <w:rPr>
                <w:b/>
                <w:bCs/>
                <w:color w:val="auto"/>
              </w:rPr>
            </w:pPr>
            <w:r>
              <w:rPr>
                <w:rFonts w:hint="eastAsia"/>
                <w:b/>
                <w:bCs/>
                <w:color w:val="auto"/>
              </w:rPr>
              <w:t>污染物</w:t>
            </w:r>
          </w:p>
        </w:tc>
        <w:tc>
          <w:tcPr>
            <w:tcW w:w="4087" w:type="pct"/>
            <w:tcBorders>
              <w:right w:val="single" w:color="auto" w:sz="4" w:space="0"/>
              <w:tl2br w:val="nil"/>
              <w:tr2bl w:val="nil"/>
            </w:tcBorders>
            <w:vAlign w:val="center"/>
          </w:tcPr>
          <w:p w14:paraId="122655CD">
            <w:pPr>
              <w:pStyle w:val="182"/>
              <w:rPr>
                <w:rFonts w:hint="eastAsia"/>
                <w:b/>
                <w:bCs/>
                <w:color w:val="auto"/>
              </w:rPr>
            </w:pPr>
            <w:r>
              <w:rPr>
                <w:b/>
                <w:bCs/>
              </w:rPr>
              <w:t>已建项目（含</w:t>
            </w:r>
            <w:r>
              <w:rPr>
                <w:rFonts w:hint="eastAsia"/>
                <w:b/>
                <w:bCs/>
              </w:rPr>
              <w:t>调试</w:t>
            </w:r>
            <w:r>
              <w:rPr>
                <w:b/>
                <w:bCs/>
              </w:rPr>
              <w:t>项目）实际排放量</w:t>
            </w:r>
          </w:p>
        </w:tc>
      </w:tr>
      <w:tr w14:paraId="50850B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2" w:type="pct"/>
            <w:vMerge w:val="continue"/>
            <w:tcBorders>
              <w:tl2br w:val="nil"/>
              <w:tr2bl w:val="nil"/>
            </w:tcBorders>
            <w:vAlign w:val="center"/>
          </w:tcPr>
          <w:p w14:paraId="08592471">
            <w:pPr>
              <w:pStyle w:val="182"/>
              <w:rPr>
                <w:b/>
                <w:bCs/>
                <w:color w:val="auto"/>
              </w:rPr>
            </w:pPr>
          </w:p>
        </w:tc>
        <w:tc>
          <w:tcPr>
            <w:tcW w:w="4087" w:type="pct"/>
            <w:tcBorders>
              <w:tl2br w:val="nil"/>
              <w:tr2bl w:val="nil"/>
            </w:tcBorders>
            <w:vAlign w:val="center"/>
          </w:tcPr>
          <w:p w14:paraId="277C762B">
            <w:pPr>
              <w:pStyle w:val="182"/>
              <w:ind w:firstLine="0" w:firstLineChars="0"/>
              <w:rPr>
                <w:rFonts w:hint="default" w:eastAsia="宋体"/>
                <w:b/>
                <w:bCs/>
                <w:color w:val="auto"/>
                <w:lang w:val="en-US" w:eastAsia="zh-CN"/>
              </w:rPr>
            </w:pPr>
            <w:r>
              <w:rPr>
                <w:rFonts w:hint="eastAsia"/>
                <w:b/>
                <w:bCs/>
                <w:color w:val="auto"/>
              </w:rPr>
              <w:t>化纤厂新厂区总排口（</w:t>
            </w:r>
            <w:r>
              <w:rPr>
                <w:b/>
                <w:bCs/>
                <w:color w:val="auto"/>
                <w:sz w:val="24"/>
              </w:rPr>
              <w:t>t/a</w:t>
            </w:r>
            <w:r>
              <w:rPr>
                <w:rFonts w:hint="eastAsia"/>
                <w:b/>
                <w:bCs/>
                <w:color w:val="auto"/>
              </w:rPr>
              <w:t>）</w:t>
            </w:r>
          </w:p>
        </w:tc>
      </w:tr>
      <w:tr w14:paraId="70D6C4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2" w:type="pct"/>
            <w:tcBorders>
              <w:tl2br w:val="nil"/>
              <w:tr2bl w:val="nil"/>
            </w:tcBorders>
            <w:vAlign w:val="center"/>
          </w:tcPr>
          <w:p w14:paraId="29EA4792">
            <w:pPr>
              <w:pStyle w:val="182"/>
              <w:rPr>
                <w:color w:val="auto"/>
              </w:rPr>
            </w:pPr>
            <w:r>
              <w:rPr>
                <w:rFonts w:hint="eastAsia"/>
                <w:color w:val="auto"/>
              </w:rPr>
              <w:t>COD</w:t>
            </w:r>
          </w:p>
        </w:tc>
        <w:tc>
          <w:tcPr>
            <w:tcW w:w="4087" w:type="pct"/>
            <w:tcBorders>
              <w:tl2br w:val="nil"/>
              <w:tr2bl w:val="nil"/>
            </w:tcBorders>
            <w:shd w:val="clear" w:color="auto" w:fill="auto"/>
            <w:vAlign w:val="center"/>
          </w:tcPr>
          <w:p w14:paraId="1628344C">
            <w:pPr>
              <w:pStyle w:val="182"/>
              <w:ind w:firstLine="0" w:firstLineChars="0"/>
              <w:rPr>
                <w:rFonts w:hint="default" w:eastAsia="宋体"/>
                <w:color w:val="auto"/>
                <w:lang w:val="en-US" w:eastAsia="zh-CN"/>
              </w:rPr>
            </w:pPr>
            <w:r>
              <w:rPr>
                <w:rFonts w:hint="eastAsia"/>
                <w:color w:val="auto"/>
              </w:rPr>
              <w:t>901.9294</w:t>
            </w:r>
          </w:p>
        </w:tc>
      </w:tr>
      <w:tr w14:paraId="02C292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2" w:type="pct"/>
            <w:tcBorders>
              <w:tl2br w:val="nil"/>
              <w:tr2bl w:val="nil"/>
            </w:tcBorders>
            <w:vAlign w:val="center"/>
          </w:tcPr>
          <w:p w14:paraId="6B6F6A25">
            <w:pPr>
              <w:pStyle w:val="182"/>
              <w:rPr>
                <w:color w:val="auto"/>
              </w:rPr>
            </w:pPr>
            <w:r>
              <w:rPr>
                <w:rFonts w:hint="eastAsia"/>
                <w:color w:val="auto"/>
              </w:rPr>
              <w:t>NH</w:t>
            </w:r>
            <w:r>
              <w:rPr>
                <w:rFonts w:hint="eastAsia"/>
                <w:color w:val="auto"/>
                <w:vertAlign w:val="subscript"/>
              </w:rPr>
              <w:t>3</w:t>
            </w:r>
            <w:r>
              <w:rPr>
                <w:rFonts w:hint="eastAsia"/>
                <w:color w:val="auto"/>
              </w:rPr>
              <w:t>-N</w:t>
            </w:r>
          </w:p>
        </w:tc>
        <w:tc>
          <w:tcPr>
            <w:tcW w:w="6803" w:type="dxa"/>
            <w:tcBorders>
              <w:tl2br w:val="nil"/>
              <w:tr2bl w:val="nil"/>
            </w:tcBorders>
            <w:shd w:val="clear" w:color="auto" w:fill="auto"/>
            <w:vAlign w:val="center"/>
          </w:tcPr>
          <w:p w14:paraId="728FB283">
            <w:pPr>
              <w:pStyle w:val="182"/>
              <w:ind w:firstLine="0" w:firstLineChars="0"/>
              <w:rPr>
                <w:rFonts w:hint="default"/>
                <w:color w:val="auto"/>
                <w:lang w:val="en-US" w:eastAsia="zh-CN"/>
              </w:rPr>
            </w:pPr>
            <w:r>
              <w:rPr>
                <w:rFonts w:hint="eastAsia"/>
                <w:color w:val="auto"/>
                <w:lang w:val="en-US" w:eastAsia="zh-CN"/>
              </w:rPr>
              <w:t>28.4499</w:t>
            </w:r>
          </w:p>
        </w:tc>
      </w:tr>
      <w:tr w14:paraId="24889F6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2" w:type="pct"/>
            <w:tcBorders>
              <w:tl2br w:val="nil"/>
              <w:tr2bl w:val="nil"/>
            </w:tcBorders>
            <w:vAlign w:val="center"/>
          </w:tcPr>
          <w:p w14:paraId="05CBEF5A">
            <w:pPr>
              <w:pStyle w:val="182"/>
              <w:rPr>
                <w:color w:val="auto"/>
              </w:rPr>
            </w:pPr>
            <w:r>
              <w:rPr>
                <w:rFonts w:hint="eastAsia"/>
                <w:color w:val="auto"/>
              </w:rPr>
              <w:t>TN</w:t>
            </w:r>
          </w:p>
        </w:tc>
        <w:tc>
          <w:tcPr>
            <w:tcW w:w="6803" w:type="dxa"/>
            <w:tcBorders>
              <w:tl2br w:val="nil"/>
              <w:tr2bl w:val="nil"/>
            </w:tcBorders>
            <w:shd w:val="clear" w:color="auto" w:fill="auto"/>
            <w:vAlign w:val="center"/>
          </w:tcPr>
          <w:p w14:paraId="1088EA20">
            <w:pPr>
              <w:pStyle w:val="182"/>
              <w:ind w:firstLine="0" w:firstLineChars="0"/>
              <w:rPr>
                <w:rFonts w:hint="default"/>
                <w:color w:val="auto"/>
                <w:lang w:val="en-US" w:eastAsia="zh-CN"/>
              </w:rPr>
            </w:pPr>
            <w:r>
              <w:rPr>
                <w:rFonts w:hint="eastAsia"/>
                <w:color w:val="auto"/>
              </w:rPr>
              <w:t>197.0529</w:t>
            </w:r>
          </w:p>
        </w:tc>
      </w:tr>
      <w:tr w14:paraId="630450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2" w:type="pct"/>
            <w:tcBorders>
              <w:tl2br w:val="nil"/>
              <w:tr2bl w:val="nil"/>
            </w:tcBorders>
            <w:vAlign w:val="center"/>
          </w:tcPr>
          <w:p w14:paraId="1A824777">
            <w:pPr>
              <w:pStyle w:val="182"/>
              <w:rPr>
                <w:color w:val="auto"/>
              </w:rPr>
            </w:pPr>
            <w:r>
              <w:rPr>
                <w:rFonts w:hint="eastAsia"/>
                <w:color w:val="auto"/>
              </w:rPr>
              <w:t>TP</w:t>
            </w:r>
          </w:p>
        </w:tc>
        <w:tc>
          <w:tcPr>
            <w:tcW w:w="6803" w:type="dxa"/>
            <w:tcBorders>
              <w:tl2br w:val="nil"/>
              <w:tr2bl w:val="nil"/>
            </w:tcBorders>
            <w:shd w:val="clear" w:color="auto" w:fill="auto"/>
            <w:vAlign w:val="center"/>
          </w:tcPr>
          <w:p w14:paraId="5F3F2CA5">
            <w:pPr>
              <w:pStyle w:val="182"/>
              <w:ind w:firstLine="0" w:firstLineChars="0"/>
              <w:rPr>
                <w:rFonts w:hint="default"/>
                <w:color w:val="auto"/>
                <w:lang w:val="en-US" w:eastAsia="zh-CN"/>
              </w:rPr>
            </w:pPr>
            <w:r>
              <w:rPr>
                <w:rFonts w:hint="eastAsia"/>
                <w:color w:val="auto"/>
                <w:lang w:val="en-US" w:eastAsia="zh-CN"/>
              </w:rPr>
              <w:t>1.0851</w:t>
            </w:r>
          </w:p>
        </w:tc>
      </w:tr>
      <w:tr w14:paraId="6F45C6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2" w:type="pct"/>
            <w:tcBorders>
              <w:tl2br w:val="nil"/>
              <w:tr2bl w:val="nil"/>
            </w:tcBorders>
            <w:vAlign w:val="center"/>
          </w:tcPr>
          <w:p w14:paraId="79BE2D50">
            <w:pPr>
              <w:pStyle w:val="182"/>
              <w:rPr>
                <w:rFonts w:hint="eastAsia"/>
                <w:color w:val="auto"/>
              </w:rPr>
            </w:pPr>
            <w:r>
              <w:rPr>
                <w:rFonts w:hint="eastAsia"/>
                <w:color w:val="auto"/>
              </w:rPr>
              <w:t>锌</w:t>
            </w:r>
          </w:p>
        </w:tc>
        <w:tc>
          <w:tcPr>
            <w:tcW w:w="6803" w:type="dxa"/>
            <w:tcBorders>
              <w:tl2br w:val="nil"/>
              <w:tr2bl w:val="nil"/>
            </w:tcBorders>
            <w:shd w:val="clear" w:color="auto" w:fill="auto"/>
            <w:vAlign w:val="center"/>
          </w:tcPr>
          <w:p w14:paraId="6EFA02BB">
            <w:pPr>
              <w:pStyle w:val="182"/>
              <w:ind w:firstLine="0" w:firstLineChars="0"/>
              <w:rPr>
                <w:rFonts w:hint="eastAsia"/>
                <w:color w:val="auto"/>
                <w:lang w:val="en-US" w:eastAsia="zh-CN"/>
              </w:rPr>
            </w:pPr>
            <w:r>
              <w:rPr>
                <w:rFonts w:hint="eastAsia"/>
                <w:color w:val="auto"/>
                <w:lang w:val="en-US" w:eastAsia="zh-CN"/>
              </w:rPr>
              <w:t>18.3505</w:t>
            </w:r>
          </w:p>
        </w:tc>
      </w:tr>
      <w:tr w14:paraId="3BA6DB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2" w:type="pct"/>
            <w:tcBorders>
              <w:tl2br w:val="nil"/>
              <w:tr2bl w:val="nil"/>
            </w:tcBorders>
            <w:vAlign w:val="center"/>
          </w:tcPr>
          <w:p w14:paraId="3F3CC4BA">
            <w:pPr>
              <w:pStyle w:val="182"/>
              <w:rPr>
                <w:rFonts w:hint="eastAsia"/>
                <w:color w:val="auto"/>
              </w:rPr>
            </w:pPr>
            <w:r>
              <w:rPr>
                <w:rFonts w:hint="eastAsia"/>
                <w:color w:val="auto"/>
              </w:rPr>
              <w:t>硫化物</w:t>
            </w:r>
          </w:p>
        </w:tc>
        <w:tc>
          <w:tcPr>
            <w:tcW w:w="6803" w:type="dxa"/>
            <w:tcBorders>
              <w:tl2br w:val="nil"/>
              <w:tr2bl w:val="nil"/>
            </w:tcBorders>
            <w:shd w:val="clear" w:color="auto" w:fill="auto"/>
            <w:vAlign w:val="center"/>
          </w:tcPr>
          <w:p w14:paraId="3727A171">
            <w:pPr>
              <w:pStyle w:val="182"/>
              <w:ind w:firstLine="0" w:firstLineChars="0"/>
              <w:rPr>
                <w:rFonts w:hint="default"/>
                <w:color w:val="auto"/>
                <w:lang w:val="en-US" w:eastAsia="zh-CN"/>
              </w:rPr>
            </w:pPr>
            <w:r>
              <w:rPr>
                <w:rFonts w:hint="eastAsia"/>
                <w:color w:val="auto"/>
                <w:lang w:val="en-US" w:eastAsia="zh-CN"/>
              </w:rPr>
              <w:t>6.1057</w:t>
            </w:r>
          </w:p>
        </w:tc>
      </w:tr>
      <w:tr w14:paraId="63A6D2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2" w:type="pct"/>
            <w:tcBorders>
              <w:tl2br w:val="nil"/>
              <w:tr2bl w:val="nil"/>
            </w:tcBorders>
            <w:vAlign w:val="center"/>
          </w:tcPr>
          <w:p w14:paraId="28EDB413">
            <w:pPr>
              <w:pStyle w:val="182"/>
              <w:rPr>
                <w:rFonts w:hint="default"/>
                <w:color w:val="auto"/>
                <w:lang w:val="en-US" w:eastAsia="zh-CN"/>
              </w:rPr>
            </w:pPr>
            <w:r>
              <w:rPr>
                <w:rFonts w:hint="eastAsia"/>
                <w:color w:val="auto"/>
                <w:lang w:val="en-US" w:eastAsia="zh-CN"/>
              </w:rPr>
              <w:t>水量（万t/a）</w:t>
            </w:r>
          </w:p>
        </w:tc>
        <w:tc>
          <w:tcPr>
            <w:tcW w:w="4087" w:type="pct"/>
            <w:tcBorders>
              <w:tl2br w:val="nil"/>
              <w:tr2bl w:val="nil"/>
            </w:tcBorders>
            <w:shd w:val="clear" w:color="auto" w:fill="auto"/>
            <w:vAlign w:val="center"/>
          </w:tcPr>
          <w:p w14:paraId="697D8B96">
            <w:pPr>
              <w:pStyle w:val="182"/>
              <w:ind w:firstLine="0" w:firstLineChars="0"/>
              <w:rPr>
                <w:rFonts w:hint="default" w:eastAsia="宋体"/>
                <w:lang w:val="en-US" w:eastAsia="zh-CN"/>
              </w:rPr>
            </w:pPr>
            <w:r>
              <w:t>1112</w:t>
            </w:r>
            <w:r>
              <w:rPr>
                <w:rFonts w:hint="eastAsia"/>
              </w:rPr>
              <w:t>.</w:t>
            </w:r>
            <w:r>
              <w:t>1489</w:t>
            </w:r>
          </w:p>
        </w:tc>
      </w:tr>
    </w:tbl>
    <w:p w14:paraId="5892CA1F">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default" w:eastAsia="宋体"/>
          <w:b/>
          <w:bCs/>
          <w:sz w:val="21"/>
          <w:szCs w:val="21"/>
          <w:lang w:val="en-US" w:eastAsia="zh-CN"/>
        </w:rPr>
      </w:pPr>
    </w:p>
    <w:p w14:paraId="67491F01">
      <w:pPr>
        <w:pStyle w:val="6"/>
        <w:bidi w:val="0"/>
      </w:pPr>
      <w:r>
        <w:rPr>
          <w:rFonts w:hint="eastAsia"/>
        </w:rPr>
        <w:t>废气</w:t>
      </w:r>
    </w:p>
    <w:p w14:paraId="5651F94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cs="宋体"/>
          <w:sz w:val="24"/>
        </w:rPr>
      </w:pPr>
      <w:r>
        <w:rPr>
          <w:rFonts w:hint="eastAsia" w:cs="宋体"/>
          <w:sz w:val="24"/>
        </w:rPr>
        <w:t>项目厂区</w:t>
      </w:r>
      <w:r>
        <w:rPr>
          <w:rFonts w:hint="eastAsia"/>
          <w:lang w:val="en-US" w:eastAsia="zh-CN"/>
        </w:rPr>
        <w:t>已建项目</w:t>
      </w:r>
      <w:r>
        <w:rPr>
          <w:rFonts w:hint="eastAsia" w:cs="宋体"/>
          <w:sz w:val="24"/>
        </w:rPr>
        <w:t>主要废气污染物为锅炉废气、粘胶长丝生产期间产生的非甲烷总烃、</w:t>
      </w:r>
      <w:r>
        <w:rPr>
          <w:rFonts w:cs="宋体"/>
          <w:sz w:val="24"/>
        </w:rPr>
        <w:t>CS</w:t>
      </w:r>
      <w:r>
        <w:rPr>
          <w:rFonts w:cs="宋体"/>
          <w:sz w:val="24"/>
          <w:vertAlign w:val="subscript"/>
        </w:rPr>
        <w:t>2</w:t>
      </w:r>
      <w:r>
        <w:rPr>
          <w:rFonts w:cs="宋体"/>
          <w:sz w:val="24"/>
        </w:rPr>
        <w:t>和H</w:t>
      </w:r>
      <w:r>
        <w:rPr>
          <w:rFonts w:cs="宋体"/>
          <w:sz w:val="24"/>
          <w:vertAlign w:val="subscript"/>
        </w:rPr>
        <w:t>2</w:t>
      </w:r>
      <w:r>
        <w:rPr>
          <w:rFonts w:cs="宋体"/>
          <w:sz w:val="24"/>
        </w:rPr>
        <w:t>S废气以及氨纶纤维生产期间产生的非甲烷总烃（DMAC）废气。</w:t>
      </w:r>
    </w:p>
    <w:p w14:paraId="704876B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sz w:val="24"/>
        </w:rPr>
      </w:pPr>
      <w:r>
        <w:rPr>
          <w:rFonts w:hint="eastAsia" w:ascii="Times New Roman" w:hAnsi="Times New Roman" w:eastAsia="宋体" w:cs="宋体"/>
          <w:sz w:val="24"/>
        </w:rPr>
        <w:t>（1）锅炉废气</w:t>
      </w:r>
    </w:p>
    <w:p w14:paraId="438E385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sz w:val="24"/>
        </w:rPr>
      </w:pPr>
      <w:r>
        <w:rPr>
          <w:rFonts w:hint="eastAsia" w:ascii="Times New Roman" w:hAnsi="Times New Roman" w:eastAsia="宋体" w:cs="宋体"/>
          <w:sz w:val="24"/>
        </w:rPr>
        <w:t>该厂区现有已建成3台75t/h煤粉炉和2台170t/h煤粉炉蒸汽供应已建项目（粘胶长丝和氨纶纤维）和园区其他单位使用，1台360t/h煤粉炉在建。75t/h锅炉废气采用SNCR+SCR脱硝+电袋复合除尘+旋流板塔（废碱液）脱硫+脱硫除尘一体化装置进行治理，治理后经80m高烟囱排放；170t/h锅炉废气采用低氮燃烧+SCR脱硝+袋式除尘器+钠碱法湿式（废碱液）脱硫+湿式电除尘治理措施进行治理，尾气通过80m高烟囱排放。</w:t>
      </w:r>
    </w:p>
    <w:p w14:paraId="497452A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sz w:val="24"/>
        </w:rPr>
      </w:pPr>
      <w:r>
        <w:rPr>
          <w:rFonts w:hint="eastAsia" w:ascii="Times New Roman" w:hAnsi="Times New Roman" w:eastAsia="宋体" w:cs="宋体"/>
          <w:sz w:val="24"/>
        </w:rPr>
        <w:t>（2）工艺废气</w:t>
      </w:r>
    </w:p>
    <w:p w14:paraId="779B37D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sz w:val="24"/>
        </w:rPr>
      </w:pPr>
      <w:r>
        <w:rPr>
          <w:rFonts w:hint="eastAsia" w:ascii="Times New Roman" w:hAnsi="Times New Roman" w:eastAsia="宋体" w:cs="宋体"/>
          <w:sz w:val="24"/>
        </w:rPr>
        <w:t>已建项目产生的工艺废气主要有2种，含非甲烷总烃、CS2和H2S的工艺废气和含非甲烷总烃（DMAC）的工艺废气。</w:t>
      </w:r>
    </w:p>
    <w:p w14:paraId="0A6DDE0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sz w:val="24"/>
        </w:rPr>
      </w:pPr>
      <w:r>
        <w:rPr>
          <w:rFonts w:hint="eastAsia" w:ascii="Times New Roman" w:hAnsi="Times New Roman" w:eastAsia="宋体" w:cs="宋体"/>
          <w:sz w:val="24"/>
        </w:rPr>
        <w:t>①含CS2和H2S的工艺废气主要来自粘胶长丝工程，主要产生于原液黄化、纺丝、酸站等工段；含非甲烷总烃的废气主要来源于长丝的纺丝烘干工段。</w:t>
      </w:r>
    </w:p>
    <w:p w14:paraId="087084D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sz w:val="24"/>
        </w:rPr>
      </w:pPr>
      <w:r>
        <w:rPr>
          <w:rFonts w:hint="eastAsia" w:ascii="Times New Roman" w:hAnsi="Times New Roman" w:eastAsia="宋体" w:cs="宋体"/>
          <w:sz w:val="24"/>
        </w:rPr>
        <w:t>②含非甲烷总烃（DMAC）的工艺废气主要来自氨纶项目，主要产生于DMAC精制工序、纺丝工序、纺丝组件清洗工序以及纺丝、卷绕车间废气。</w:t>
      </w:r>
    </w:p>
    <w:p w14:paraId="3227053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sz w:val="24"/>
        </w:rPr>
        <w:sectPr>
          <w:pgSz w:w="11910" w:h="16840"/>
          <w:pgMar w:top="1701" w:right="1418" w:bottom="1701" w:left="1418" w:header="1134" w:footer="907" w:gutter="0"/>
          <w:pgNumType w:fmt="decimal"/>
          <w:cols w:space="720" w:num="1"/>
          <w:docGrid w:linePitch="286" w:charSpace="0"/>
        </w:sectPr>
      </w:pPr>
      <w:r>
        <w:rPr>
          <w:rFonts w:hint="eastAsia" w:ascii="Times New Roman" w:hAnsi="Times New Roman" w:eastAsia="宋体" w:cs="宋体"/>
          <w:sz w:val="24"/>
        </w:rPr>
        <w:t>本次评价的数据来源：</w:t>
      </w:r>
      <w:r>
        <w:rPr>
          <w:rFonts w:hint="eastAsia" w:ascii="Times New Roman" w:hAnsi="Times New Roman" w:eastAsia="宋体" w:cs="宋体"/>
          <w:sz w:val="24"/>
          <w:lang w:val="en-US" w:eastAsia="zh-CN"/>
        </w:rPr>
        <w:t>已建项目</w:t>
      </w:r>
      <w:r>
        <w:rPr>
          <w:rFonts w:hint="eastAsia" w:ascii="Times New Roman" w:hAnsi="Times New Roman" w:eastAsia="宋体" w:cs="宋体"/>
          <w:sz w:val="24"/>
        </w:rPr>
        <w:t>中锅炉</w:t>
      </w:r>
      <w:r>
        <w:rPr>
          <w:rFonts w:hint="eastAsia" w:ascii="Times New Roman" w:hAnsi="Times New Roman" w:eastAsia="宋体" w:cs="宋体"/>
          <w:sz w:val="24"/>
          <w:lang w:val="en-US" w:eastAsia="zh-CN"/>
        </w:rPr>
        <w:t>废气采用新乡化纤有限公司提供厂区在线监控</w:t>
      </w:r>
      <w:r>
        <w:rPr>
          <w:rFonts w:hint="default" w:ascii="Times New Roman" w:hAnsi="Times New Roman" w:eastAsia="宋体" w:cs="宋体"/>
          <w:sz w:val="24"/>
          <w:lang w:val="en-US" w:eastAsia="zh-CN"/>
        </w:rPr>
        <w:t>系统2023年全年数</w:t>
      </w:r>
      <w:r>
        <w:rPr>
          <w:rFonts w:hint="eastAsia" w:ascii="Times New Roman" w:hAnsi="Times New Roman" w:eastAsia="宋体" w:cs="宋体"/>
          <w:sz w:val="24"/>
          <w:lang w:val="en-US" w:eastAsia="zh-CN"/>
        </w:rPr>
        <w:t>据。</w:t>
      </w:r>
      <w:r>
        <w:rPr>
          <w:rFonts w:hint="eastAsia" w:ascii="Times New Roman" w:hAnsi="Times New Roman" w:eastAsia="宋体" w:cs="宋体"/>
          <w:sz w:val="24"/>
        </w:rPr>
        <w:t>灰库废气、粘胶长丝废气、年产2万吨生物质纤维素项目及年产一万吨新型纤维素长丝项目废气、厂区无组织废气采用新乡化纤2023年1~12月份的例行监测数据。</w:t>
      </w:r>
      <w:r>
        <w:rPr>
          <w:rFonts w:hint="eastAsia" w:ascii="Times New Roman" w:hAnsi="Times New Roman" w:eastAsia="宋体" w:cs="宋体"/>
          <w:sz w:val="24"/>
          <w:lang w:val="en-US" w:eastAsia="zh-CN"/>
        </w:rPr>
        <w:t>已建项目</w:t>
      </w:r>
      <w:r>
        <w:rPr>
          <w:rFonts w:hint="eastAsia" w:ascii="Times New Roman" w:hAnsi="Times New Roman" w:eastAsia="宋体" w:cs="宋体"/>
          <w:sz w:val="24"/>
        </w:rPr>
        <w:t>废气排放情况如下表所示。</w:t>
      </w:r>
      <w:r>
        <w:rPr>
          <w:rFonts w:hint="eastAsia" w:ascii="Times New Roman" w:hAnsi="Times New Roman" w:eastAsia="宋体" w:cs="宋体"/>
          <w:sz w:val="24"/>
          <w:lang w:val="en-US" w:eastAsia="zh-CN"/>
        </w:rPr>
        <w:t>已建项目</w:t>
      </w:r>
      <w:r>
        <w:rPr>
          <w:rFonts w:hint="eastAsia" w:ascii="Times New Roman" w:hAnsi="Times New Roman" w:eastAsia="宋体" w:cs="宋体"/>
          <w:sz w:val="24"/>
        </w:rPr>
        <w:t>废气排放情况如下表所示。</w:t>
      </w:r>
    </w:p>
    <w:p w14:paraId="472AA148">
      <w:pPr>
        <w:pStyle w:val="10"/>
        <w:bidi w:val="0"/>
        <w:rPr>
          <w:rFonts w:hint="eastAsia"/>
        </w:rPr>
      </w:pPr>
      <w:r>
        <w:t xml:space="preserve">表 </w:t>
      </w:r>
      <w:r>
        <w:fldChar w:fldCharType="begin"/>
      </w:r>
      <w:r>
        <w:instrText xml:space="preserve"> STYLEREF 2 \s </w:instrText>
      </w:r>
      <w:r>
        <w:fldChar w:fldCharType="separate"/>
      </w:r>
      <w:r>
        <w:t>3.3</w:t>
      </w:r>
      <w:r>
        <w:fldChar w:fldCharType="end"/>
      </w:r>
      <w:r>
        <w:rPr>
          <w:rFonts w:hint="eastAsia"/>
          <w:lang w:eastAsia="zh-CN"/>
        </w:rPr>
        <w:t>-</w:t>
      </w:r>
      <w:r>
        <w:fldChar w:fldCharType="begin"/>
      </w:r>
      <w:r>
        <w:instrText xml:space="preserve"> SEQ 表 \* ARABIC \s 2 </w:instrText>
      </w:r>
      <w:r>
        <w:fldChar w:fldCharType="separate"/>
      </w:r>
      <w:r>
        <w:t>7</w:t>
      </w:r>
      <w:r>
        <w:fldChar w:fldCharType="end"/>
      </w:r>
      <w:r>
        <w:rPr>
          <w:rFonts w:hint="eastAsia"/>
        </w:rPr>
        <w:t xml:space="preserve"> </w:t>
      </w:r>
      <w:r>
        <w:rPr>
          <w:rFonts w:hint="eastAsia"/>
          <w:lang w:val="en-US" w:eastAsia="zh-CN"/>
        </w:rPr>
        <w:t>已建项目锅炉</w:t>
      </w:r>
      <w:r>
        <w:rPr>
          <w:rFonts w:hint="eastAsia"/>
        </w:rPr>
        <w:t>废气</w:t>
      </w:r>
      <w:r>
        <w:rPr>
          <w:rFonts w:hint="eastAsia"/>
          <w:lang w:val="en-US" w:eastAsia="zh-CN"/>
        </w:rPr>
        <w:t>在线数据</w:t>
      </w:r>
      <w:r>
        <w:rPr>
          <w:rFonts w:hint="eastAsia"/>
        </w:rPr>
        <w:t>一览表</w:t>
      </w:r>
    </w:p>
    <w:tbl>
      <w:tblPr>
        <w:tblStyle w:val="31"/>
        <w:tblW w:w="1460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3"/>
        <w:gridCol w:w="1274"/>
        <w:gridCol w:w="1494"/>
        <w:gridCol w:w="871"/>
        <w:gridCol w:w="892"/>
        <w:gridCol w:w="912"/>
        <w:gridCol w:w="894"/>
        <w:gridCol w:w="893"/>
        <w:gridCol w:w="1004"/>
        <w:gridCol w:w="894"/>
        <w:gridCol w:w="893"/>
        <w:gridCol w:w="1004"/>
        <w:gridCol w:w="871"/>
        <w:gridCol w:w="912"/>
        <w:gridCol w:w="913"/>
      </w:tblGrid>
      <w:tr w14:paraId="422A16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4604" w:type="dxa"/>
            <w:gridSpan w:val="15"/>
            <w:tcBorders>
              <w:top w:val="single" w:color="000000" w:sz="4" w:space="0"/>
              <w:left w:val="single" w:color="000000" w:sz="4" w:space="0"/>
              <w:bottom w:val="single" w:color="000000" w:sz="4" w:space="0"/>
              <w:right w:val="single" w:color="000000" w:sz="4" w:space="0"/>
            </w:tcBorders>
            <w:noWrap w:val="0"/>
            <w:vAlign w:val="center"/>
          </w:tcPr>
          <w:p w14:paraId="164AECF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排污单位：新乡化纤股份有限公司　　数据类型：年数据　　监控点：1#75吨2#75吨燃煤锅炉废气出口　　时间：2023-01-01 00:00:00 至 2023-12-31 23:59:59</w:t>
            </w:r>
          </w:p>
        </w:tc>
      </w:tr>
      <w:tr w14:paraId="04C9C4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vMerge w:val="restart"/>
            <w:tcBorders>
              <w:top w:val="single" w:color="auto" w:sz="4" w:space="0"/>
              <w:left w:val="single" w:color="auto" w:sz="4" w:space="0"/>
              <w:right w:val="single" w:color="auto" w:sz="4" w:space="0"/>
            </w:tcBorders>
            <w:noWrap/>
            <w:vAlign w:val="center"/>
          </w:tcPr>
          <w:p w14:paraId="6938467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时间</w:t>
            </w:r>
          </w:p>
        </w:tc>
        <w:tc>
          <w:tcPr>
            <w:tcW w:w="2768" w:type="dxa"/>
            <w:gridSpan w:val="2"/>
            <w:tcBorders>
              <w:top w:val="single" w:color="auto" w:sz="4" w:space="0"/>
              <w:left w:val="single" w:color="auto" w:sz="4" w:space="0"/>
              <w:bottom w:val="single" w:color="auto" w:sz="4" w:space="0"/>
              <w:right w:val="single" w:color="auto" w:sz="4" w:space="0"/>
            </w:tcBorders>
            <w:noWrap/>
            <w:vAlign w:val="center"/>
          </w:tcPr>
          <w:p w14:paraId="76E4A92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流量(万标立方米)</w:t>
            </w:r>
          </w:p>
        </w:tc>
        <w:tc>
          <w:tcPr>
            <w:tcW w:w="2675" w:type="dxa"/>
            <w:gridSpan w:val="3"/>
            <w:tcBorders>
              <w:top w:val="nil"/>
              <w:left w:val="single" w:color="auto" w:sz="4" w:space="0"/>
              <w:bottom w:val="single" w:color="000000" w:sz="4" w:space="0"/>
              <w:right w:val="single" w:color="000000" w:sz="4" w:space="0"/>
            </w:tcBorders>
            <w:noWrap/>
            <w:vAlign w:val="center"/>
          </w:tcPr>
          <w:p w14:paraId="79C1160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颗粒物(毫克/立方米)</w:t>
            </w:r>
          </w:p>
        </w:tc>
        <w:tc>
          <w:tcPr>
            <w:tcW w:w="2791" w:type="dxa"/>
            <w:gridSpan w:val="3"/>
            <w:tcBorders>
              <w:top w:val="nil"/>
              <w:left w:val="nil"/>
              <w:bottom w:val="single" w:color="000000" w:sz="4" w:space="0"/>
              <w:right w:val="single" w:color="000000" w:sz="4" w:space="0"/>
            </w:tcBorders>
            <w:noWrap/>
            <w:vAlign w:val="center"/>
          </w:tcPr>
          <w:p w14:paraId="55575C0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二氧化硫(毫克/立方米)</w:t>
            </w:r>
          </w:p>
        </w:tc>
        <w:tc>
          <w:tcPr>
            <w:tcW w:w="2791" w:type="dxa"/>
            <w:gridSpan w:val="3"/>
            <w:tcBorders>
              <w:top w:val="nil"/>
              <w:left w:val="nil"/>
              <w:bottom w:val="single" w:color="000000" w:sz="4" w:space="0"/>
              <w:right w:val="single" w:color="000000" w:sz="4" w:space="0"/>
            </w:tcBorders>
            <w:noWrap/>
            <w:vAlign w:val="center"/>
          </w:tcPr>
          <w:p w14:paraId="134F114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氮氧化物(毫克/立方米)</w:t>
            </w:r>
          </w:p>
        </w:tc>
        <w:tc>
          <w:tcPr>
            <w:tcW w:w="2696" w:type="dxa"/>
            <w:gridSpan w:val="3"/>
            <w:tcBorders>
              <w:top w:val="nil"/>
              <w:left w:val="nil"/>
              <w:bottom w:val="single" w:color="000000" w:sz="4" w:space="0"/>
              <w:right w:val="single" w:color="000000" w:sz="4" w:space="0"/>
            </w:tcBorders>
            <w:noWrap/>
            <w:vAlign w:val="center"/>
          </w:tcPr>
          <w:p w14:paraId="36646E2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氨(毫克/立方米)</w:t>
            </w:r>
          </w:p>
        </w:tc>
      </w:tr>
      <w:tr w14:paraId="3B1DB0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vMerge w:val="continue"/>
            <w:tcBorders>
              <w:left w:val="single" w:color="auto" w:sz="4" w:space="0"/>
              <w:right w:val="single" w:color="auto" w:sz="4" w:space="0"/>
            </w:tcBorders>
            <w:noWrap/>
            <w:vAlign w:val="center"/>
          </w:tcPr>
          <w:p w14:paraId="124A32CC">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274" w:type="dxa"/>
            <w:vMerge w:val="restart"/>
            <w:tcBorders>
              <w:top w:val="single" w:color="auto" w:sz="4" w:space="0"/>
              <w:left w:val="single" w:color="000000" w:sz="4" w:space="0"/>
              <w:right w:val="single" w:color="auto" w:sz="4" w:space="0"/>
            </w:tcBorders>
            <w:noWrap w:val="0"/>
            <w:vAlign w:val="center"/>
          </w:tcPr>
          <w:p w14:paraId="37FBBB8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累计流量</w:t>
            </w:r>
          </w:p>
        </w:tc>
        <w:tc>
          <w:tcPr>
            <w:tcW w:w="1494" w:type="dxa"/>
            <w:vMerge w:val="restart"/>
            <w:tcBorders>
              <w:top w:val="single" w:color="auto" w:sz="4" w:space="0"/>
              <w:left w:val="single" w:color="auto" w:sz="4" w:space="0"/>
              <w:right w:val="single" w:color="000000" w:sz="4" w:space="0"/>
            </w:tcBorders>
            <w:noWrap w:val="0"/>
            <w:vAlign w:val="center"/>
          </w:tcPr>
          <w:p w14:paraId="7689868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累计修正流量</w:t>
            </w:r>
          </w:p>
        </w:tc>
        <w:tc>
          <w:tcPr>
            <w:tcW w:w="1763" w:type="dxa"/>
            <w:gridSpan w:val="2"/>
            <w:tcBorders>
              <w:top w:val="single" w:color="000000" w:sz="4" w:space="0"/>
              <w:left w:val="single" w:color="000000" w:sz="4" w:space="0"/>
              <w:bottom w:val="single" w:color="000000" w:sz="4" w:space="0"/>
              <w:right w:val="single" w:color="000000" w:sz="4" w:space="0"/>
            </w:tcBorders>
            <w:noWrap w:val="0"/>
            <w:vAlign w:val="center"/>
          </w:tcPr>
          <w:p w14:paraId="05CEEED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912" w:type="dxa"/>
            <w:vMerge w:val="restart"/>
            <w:tcBorders>
              <w:top w:val="single" w:color="000000" w:sz="4" w:space="0"/>
              <w:left w:val="single" w:color="000000" w:sz="4" w:space="0"/>
              <w:bottom w:val="single" w:color="000000" w:sz="4" w:space="0"/>
              <w:right w:val="single" w:color="000000" w:sz="4" w:space="0"/>
            </w:tcBorders>
            <w:noWrap w:val="0"/>
            <w:vAlign w:val="center"/>
          </w:tcPr>
          <w:p w14:paraId="5534D14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c>
          <w:tcPr>
            <w:tcW w:w="1787" w:type="dxa"/>
            <w:gridSpan w:val="2"/>
            <w:tcBorders>
              <w:top w:val="single" w:color="000000" w:sz="4" w:space="0"/>
              <w:left w:val="single" w:color="000000" w:sz="4" w:space="0"/>
              <w:bottom w:val="single" w:color="000000" w:sz="4" w:space="0"/>
              <w:right w:val="single" w:color="000000" w:sz="4" w:space="0"/>
            </w:tcBorders>
            <w:noWrap w:val="0"/>
            <w:vAlign w:val="center"/>
          </w:tcPr>
          <w:p w14:paraId="0B99ADB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1004" w:type="dxa"/>
            <w:vMerge w:val="restart"/>
            <w:tcBorders>
              <w:top w:val="single" w:color="000000" w:sz="4" w:space="0"/>
              <w:left w:val="single" w:color="000000" w:sz="4" w:space="0"/>
              <w:bottom w:val="single" w:color="000000" w:sz="4" w:space="0"/>
              <w:right w:val="single" w:color="000000" w:sz="4" w:space="0"/>
            </w:tcBorders>
            <w:noWrap w:val="0"/>
            <w:vAlign w:val="center"/>
          </w:tcPr>
          <w:p w14:paraId="0276756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c>
          <w:tcPr>
            <w:tcW w:w="1787" w:type="dxa"/>
            <w:gridSpan w:val="2"/>
            <w:tcBorders>
              <w:top w:val="single" w:color="000000" w:sz="4" w:space="0"/>
              <w:left w:val="single" w:color="000000" w:sz="4" w:space="0"/>
              <w:bottom w:val="single" w:color="000000" w:sz="4" w:space="0"/>
              <w:right w:val="single" w:color="000000" w:sz="4" w:space="0"/>
            </w:tcBorders>
            <w:noWrap w:val="0"/>
            <w:vAlign w:val="center"/>
          </w:tcPr>
          <w:p w14:paraId="3E1BCB8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1004" w:type="dxa"/>
            <w:vMerge w:val="restart"/>
            <w:tcBorders>
              <w:top w:val="single" w:color="000000" w:sz="4" w:space="0"/>
              <w:left w:val="single" w:color="000000" w:sz="4" w:space="0"/>
              <w:bottom w:val="single" w:color="000000" w:sz="4" w:space="0"/>
              <w:right w:val="single" w:color="000000" w:sz="4" w:space="0"/>
            </w:tcBorders>
            <w:noWrap w:val="0"/>
            <w:vAlign w:val="center"/>
          </w:tcPr>
          <w:p w14:paraId="4ECDAD3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c>
          <w:tcPr>
            <w:tcW w:w="1783" w:type="dxa"/>
            <w:gridSpan w:val="2"/>
            <w:tcBorders>
              <w:top w:val="single" w:color="000000" w:sz="4" w:space="0"/>
              <w:left w:val="single" w:color="000000" w:sz="4" w:space="0"/>
              <w:bottom w:val="single" w:color="000000" w:sz="4" w:space="0"/>
              <w:right w:val="single" w:color="000000" w:sz="4" w:space="0"/>
            </w:tcBorders>
            <w:noWrap w:val="0"/>
            <w:vAlign w:val="center"/>
          </w:tcPr>
          <w:p w14:paraId="712DAD4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913" w:type="dxa"/>
            <w:vMerge w:val="restart"/>
            <w:tcBorders>
              <w:top w:val="single" w:color="000000" w:sz="4" w:space="0"/>
              <w:left w:val="single" w:color="000000" w:sz="4" w:space="0"/>
              <w:bottom w:val="single" w:color="000000" w:sz="4" w:space="0"/>
              <w:right w:val="single" w:color="000000" w:sz="4" w:space="0"/>
            </w:tcBorders>
            <w:noWrap w:val="0"/>
            <w:vAlign w:val="center"/>
          </w:tcPr>
          <w:p w14:paraId="48BA869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r>
      <w:tr w14:paraId="66AC8E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vMerge w:val="continue"/>
            <w:tcBorders>
              <w:left w:val="single" w:color="auto" w:sz="4" w:space="0"/>
              <w:bottom w:val="single" w:color="auto" w:sz="4" w:space="0"/>
              <w:right w:val="single" w:color="auto" w:sz="4" w:space="0"/>
            </w:tcBorders>
            <w:noWrap/>
            <w:vAlign w:val="center"/>
          </w:tcPr>
          <w:p w14:paraId="60EE5C19">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274" w:type="dxa"/>
            <w:vMerge w:val="continue"/>
            <w:tcBorders>
              <w:top w:val="single" w:color="auto" w:sz="4" w:space="0"/>
              <w:left w:val="single" w:color="000000" w:sz="4" w:space="0"/>
              <w:bottom w:val="single" w:color="auto" w:sz="4" w:space="0"/>
              <w:right w:val="single" w:color="auto" w:sz="4" w:space="0"/>
            </w:tcBorders>
            <w:noWrap w:val="0"/>
            <w:vAlign w:val="center"/>
          </w:tcPr>
          <w:p w14:paraId="52E533CB">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494" w:type="dxa"/>
            <w:vMerge w:val="continue"/>
            <w:tcBorders>
              <w:top w:val="single" w:color="000000" w:sz="4" w:space="0"/>
              <w:left w:val="single" w:color="auto" w:sz="4" w:space="0"/>
              <w:bottom w:val="single" w:color="000000" w:sz="4" w:space="0"/>
              <w:right w:val="single" w:color="000000" w:sz="4" w:space="0"/>
            </w:tcBorders>
            <w:noWrap w:val="0"/>
            <w:vAlign w:val="center"/>
          </w:tcPr>
          <w:p w14:paraId="602D4CE4">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2455A13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7AD56BC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912" w:type="dxa"/>
            <w:vMerge w:val="continue"/>
            <w:tcBorders>
              <w:top w:val="single" w:color="000000" w:sz="4" w:space="0"/>
              <w:left w:val="single" w:color="000000" w:sz="4" w:space="0"/>
              <w:bottom w:val="single" w:color="000000" w:sz="4" w:space="0"/>
              <w:right w:val="single" w:color="000000" w:sz="4" w:space="0"/>
            </w:tcBorders>
            <w:noWrap w:val="0"/>
            <w:vAlign w:val="center"/>
          </w:tcPr>
          <w:p w14:paraId="6A59E25B">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4170C9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2C94AB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1004" w:type="dxa"/>
            <w:vMerge w:val="continue"/>
            <w:tcBorders>
              <w:top w:val="single" w:color="000000" w:sz="4" w:space="0"/>
              <w:left w:val="single" w:color="000000" w:sz="4" w:space="0"/>
              <w:bottom w:val="single" w:color="000000" w:sz="4" w:space="0"/>
              <w:right w:val="single" w:color="000000" w:sz="4" w:space="0"/>
            </w:tcBorders>
            <w:noWrap w:val="0"/>
            <w:vAlign w:val="center"/>
          </w:tcPr>
          <w:p w14:paraId="772A7408">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0879A9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921E30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100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51E321">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6980FE9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10555E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913" w:type="dxa"/>
            <w:vMerge w:val="continue"/>
            <w:tcBorders>
              <w:top w:val="single" w:color="000000" w:sz="4" w:space="0"/>
              <w:left w:val="single" w:color="000000" w:sz="4" w:space="0"/>
              <w:bottom w:val="single" w:color="000000" w:sz="4" w:space="0"/>
              <w:right w:val="single" w:color="000000" w:sz="4" w:space="0"/>
            </w:tcBorders>
            <w:noWrap w:val="0"/>
            <w:vAlign w:val="center"/>
          </w:tcPr>
          <w:p w14:paraId="0388D938">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r>
      <w:tr w14:paraId="3701D1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auto" w:sz="4" w:space="0"/>
              <w:left w:val="single" w:color="000000" w:sz="4" w:space="0"/>
              <w:bottom w:val="single" w:color="000000" w:sz="4" w:space="0"/>
              <w:right w:val="single" w:color="000000" w:sz="4" w:space="0"/>
            </w:tcBorders>
            <w:noWrap w:val="0"/>
            <w:vAlign w:val="center"/>
          </w:tcPr>
          <w:p w14:paraId="144A316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1月</w:t>
            </w:r>
          </w:p>
        </w:tc>
        <w:tc>
          <w:tcPr>
            <w:tcW w:w="1274" w:type="dxa"/>
            <w:tcBorders>
              <w:top w:val="single" w:color="auto" w:sz="4" w:space="0"/>
              <w:left w:val="single" w:color="000000" w:sz="4" w:space="0"/>
              <w:bottom w:val="single" w:color="000000" w:sz="4" w:space="0"/>
              <w:right w:val="single" w:color="000000" w:sz="4" w:space="0"/>
            </w:tcBorders>
            <w:noWrap w:val="0"/>
            <w:vAlign w:val="center"/>
          </w:tcPr>
          <w:p w14:paraId="0929103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10487.90075</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08D9CD7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10487.90075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408B00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1.319</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0BF5336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1.763</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0E774A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139.83</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878171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8.011</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4C1EEB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11.025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041323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801.11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483303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23.595</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FDEA50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31.363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B5010B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2503.09</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3C0BD4F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0.911</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54022D8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1.219</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5B2D199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0.01</w:t>
            </w:r>
          </w:p>
        </w:tc>
      </w:tr>
      <w:tr w14:paraId="4D588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69DCB36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232D175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10299.71913</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51C4C0C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10299.71913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B48CEB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0.907</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587FC20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1.187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1C573C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93.46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B8FCDE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9.525</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129D53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11.67</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AB08E8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990.38</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3FB98E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27.653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6F447C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34.762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DD55C0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2830.05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A0A82F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1.43</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8EDE1E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1.812</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1F9094E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0.15</w:t>
            </w:r>
          </w:p>
        </w:tc>
      </w:tr>
      <w:tr w14:paraId="711B22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D5B882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50E9065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10811.07008</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46DDBFA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10811.07008</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8C1B59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2.508</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1ABBB96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3.216</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32F65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320.29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3B8AD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3.767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BCED86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4.882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A9C2DA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470.8</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D69596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19.377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59314A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24.028</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E00596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2462.75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708C17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E85524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4.342</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5054FFF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0.13</w:t>
            </w:r>
          </w:p>
        </w:tc>
      </w:tr>
      <w:tr w14:paraId="1E5CF5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DB8AAA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single"/>
              </w:rPr>
            </w:pPr>
            <w:r>
              <w:rPr>
                <w:rFonts w:hint="default" w:ascii="Times New Roman" w:hAnsi="Times New Roman" w:eastAsia="宋体" w:cs="Times New Roman"/>
                <w:b/>
                <w:bCs/>
                <w:i w:val="0"/>
                <w:iCs w:val="0"/>
                <w:color w:val="auto"/>
                <w:kern w:val="0"/>
                <w:sz w:val="21"/>
                <w:szCs w:val="21"/>
                <w:u w:val="single"/>
                <w:lang w:val="en-US" w:eastAsia="zh-CN" w:bidi="ar"/>
              </w:rPr>
              <w:t>4月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70DD59F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single"/>
              </w:rPr>
            </w:pPr>
            <w:r>
              <w:rPr>
                <w:rFonts w:hint="default" w:ascii="Times New Roman" w:hAnsi="Times New Roman" w:eastAsia="宋体" w:cs="Times New Roman"/>
                <w:b/>
                <w:bCs/>
                <w:i w:val="0"/>
                <w:iCs w:val="0"/>
                <w:color w:val="auto"/>
                <w:kern w:val="0"/>
                <w:sz w:val="21"/>
                <w:szCs w:val="21"/>
                <w:u w:val="single"/>
                <w:lang w:val="en-US" w:eastAsia="zh-CN" w:bidi="ar"/>
              </w:rPr>
              <w:t>5036.27188</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315F83D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5036.27188</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6353AF0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1.88</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4628B80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9.192</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6D14C0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135.82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565E2D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0.977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8B4240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7.625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BC7E0C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65.45</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C90B8A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23.68*</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4796AD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27.69*</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3EBDE4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983.95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6D9050D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3.005*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04DA19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3.541*</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6BBA19C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0.12</w:t>
            </w:r>
          </w:p>
        </w:tc>
      </w:tr>
      <w:tr w14:paraId="787B13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0CE575F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single"/>
              </w:rPr>
            </w:pPr>
            <w:r>
              <w:rPr>
                <w:rFonts w:hint="default" w:ascii="Times New Roman" w:hAnsi="Times New Roman" w:eastAsia="宋体" w:cs="Times New Roman"/>
                <w:b/>
                <w:bCs/>
                <w:i w:val="0"/>
                <w:iCs w:val="0"/>
                <w:color w:val="auto"/>
                <w:kern w:val="0"/>
                <w:sz w:val="21"/>
                <w:szCs w:val="21"/>
                <w:u w:val="single"/>
                <w:lang w:val="en-US" w:eastAsia="zh-CN" w:bidi="ar"/>
              </w:rPr>
              <w:t>5月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674F98E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single"/>
              </w:rPr>
            </w:pPr>
            <w:r>
              <w:rPr>
                <w:rFonts w:hint="default" w:ascii="Times New Roman" w:hAnsi="Times New Roman" w:eastAsia="宋体" w:cs="Times New Roman"/>
                <w:b/>
                <w:bCs/>
                <w:i w:val="0"/>
                <w:iCs w:val="0"/>
                <w:color w:val="auto"/>
                <w:kern w:val="0"/>
                <w:sz w:val="21"/>
                <w:szCs w:val="21"/>
                <w:u w:val="single"/>
                <w:lang w:val="en-US" w:eastAsia="zh-CN" w:bidi="ar"/>
              </w:rPr>
              <w:t>8791.04676</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697AF78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8791.04676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3FF790D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3.467</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58DAF63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4.089</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E29864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294.8</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77C1D7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3.603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DEECEF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4.555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ECDE92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402.56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1470F1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23.37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0EF3B1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28.223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793275E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2082.4</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22449B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2.802</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06998C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3.466</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02CD1CC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0.24</w:t>
            </w:r>
          </w:p>
        </w:tc>
      </w:tr>
      <w:tr w14:paraId="59F35B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C307E7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single"/>
              </w:rPr>
            </w:pPr>
            <w:r>
              <w:rPr>
                <w:rFonts w:hint="default" w:ascii="Times New Roman" w:hAnsi="Times New Roman" w:eastAsia="宋体" w:cs="Times New Roman"/>
                <w:b/>
                <w:bCs/>
                <w:i w:val="0"/>
                <w:iCs w:val="0"/>
                <w:color w:val="auto"/>
                <w:kern w:val="0"/>
                <w:sz w:val="21"/>
                <w:szCs w:val="21"/>
                <w:u w:val="single"/>
                <w:lang w:val="en-US" w:eastAsia="zh-CN" w:bidi="ar"/>
              </w:rPr>
              <w:t>6月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044C82F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single"/>
              </w:rPr>
            </w:pPr>
            <w:r>
              <w:rPr>
                <w:rFonts w:hint="default" w:ascii="Times New Roman" w:hAnsi="Times New Roman" w:eastAsia="宋体" w:cs="Times New Roman"/>
                <w:b/>
                <w:bCs/>
                <w:i w:val="0"/>
                <w:iCs w:val="0"/>
                <w:color w:val="auto"/>
                <w:kern w:val="0"/>
                <w:sz w:val="21"/>
                <w:szCs w:val="21"/>
                <w:u w:val="single"/>
                <w:lang w:val="en-US" w:eastAsia="zh-CN" w:bidi="ar"/>
              </w:rPr>
              <w:t>8787.15275</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6F81541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8787.15275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36FE822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2.603</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4BBD671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3.322</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58F8E5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225.1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C1F635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7.263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6D7871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8.99</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45FDE4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621.45</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15C683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20.527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DD9158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25.889</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39C216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1788.33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6A5451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2.789</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C29BEC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3.45</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171A721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0.2</w:t>
            </w:r>
          </w:p>
        </w:tc>
      </w:tr>
      <w:tr w14:paraId="31E2D8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6840479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single"/>
              </w:rPr>
            </w:pPr>
            <w:r>
              <w:rPr>
                <w:rFonts w:hint="default" w:ascii="Times New Roman" w:hAnsi="Times New Roman" w:eastAsia="宋体" w:cs="Times New Roman"/>
                <w:b/>
                <w:bCs/>
                <w:i w:val="0"/>
                <w:iCs w:val="0"/>
                <w:color w:val="auto"/>
                <w:kern w:val="0"/>
                <w:sz w:val="21"/>
                <w:szCs w:val="21"/>
                <w:u w:val="single"/>
                <w:lang w:val="en-US" w:eastAsia="zh-CN" w:bidi="ar"/>
              </w:rPr>
              <w:t>7月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02852DA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single"/>
              </w:rPr>
            </w:pPr>
            <w:r>
              <w:rPr>
                <w:rFonts w:hint="default" w:ascii="Times New Roman" w:hAnsi="Times New Roman" w:eastAsia="宋体" w:cs="Times New Roman"/>
                <w:b/>
                <w:bCs/>
                <w:i w:val="0"/>
                <w:iCs w:val="0"/>
                <w:color w:val="auto"/>
                <w:kern w:val="0"/>
                <w:sz w:val="21"/>
                <w:szCs w:val="21"/>
                <w:u w:val="single"/>
                <w:lang w:val="en-US" w:eastAsia="zh-CN" w:bidi="ar"/>
              </w:rPr>
              <w:t>5949.78554</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45BB586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5949.78554</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9BC0BB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2.179*</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111C3DF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2.395*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629DB5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120.842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7069B7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9.555</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44CD86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19.453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332AD3C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716.952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C0C31B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25.962*</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475837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28.511*</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4CE7AE2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1437.331</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2E13266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1.308*</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231CB9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1.433*</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452208F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81.728</w:t>
            </w:r>
          </w:p>
        </w:tc>
      </w:tr>
      <w:tr w14:paraId="096E06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1E93092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single"/>
              </w:rPr>
            </w:pPr>
            <w:r>
              <w:rPr>
                <w:rFonts w:hint="default" w:ascii="Times New Roman" w:hAnsi="Times New Roman" w:eastAsia="宋体" w:cs="Times New Roman"/>
                <w:b/>
                <w:bCs/>
                <w:i w:val="0"/>
                <w:iCs w:val="0"/>
                <w:color w:val="auto"/>
                <w:kern w:val="0"/>
                <w:sz w:val="21"/>
                <w:szCs w:val="21"/>
                <w:u w:val="single"/>
                <w:lang w:val="en-US" w:eastAsia="zh-CN" w:bidi="ar"/>
              </w:rPr>
              <w:t>8月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62F4669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single"/>
              </w:rPr>
            </w:pPr>
            <w:r>
              <w:rPr>
                <w:rFonts w:hint="default" w:ascii="Times New Roman" w:hAnsi="Times New Roman" w:eastAsia="宋体" w:cs="Times New Roman"/>
                <w:b/>
                <w:bCs/>
                <w:i w:val="0"/>
                <w:iCs w:val="0"/>
                <w:color w:val="auto"/>
                <w:kern w:val="0"/>
                <w:sz w:val="21"/>
                <w:szCs w:val="21"/>
                <w:u w:val="single"/>
                <w:lang w:val="en-US" w:eastAsia="zh-CN" w:bidi="ar"/>
              </w:rPr>
              <w:t>3586.29573</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2B44493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3586.29573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6CD913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2.162*</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769FB34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2.53*</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504EFAF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53.334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DB7DFF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DE372D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20.959</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94C2CA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215.248</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8F3812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2.883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E49CE8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12.243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F19D96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428.83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63FA6B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1.847*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6F4C27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2.163*</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487CED6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76.816</w:t>
            </w:r>
          </w:p>
        </w:tc>
      </w:tr>
      <w:tr w14:paraId="01AB64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EE0590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9月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389C293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11099.17415</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1FC81D3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11099.17415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603EFFB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1.64*</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61980D9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2.271*</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7E43AC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185.548</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7F5570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9.306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0CB983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18.584</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639921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1195.16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29F14F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19.503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0A2E1A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30.395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7941D8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2533.308</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D2A92D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2.023*</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16129E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2.782*</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46E735B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236.55</w:t>
            </w:r>
          </w:p>
        </w:tc>
      </w:tr>
      <w:tr w14:paraId="183844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F6BF24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4D46285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6992.47029</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1EA113A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6992.47029</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05C981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1.314*</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2B3B188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2.061*</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7CBF91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93.657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ED0C3E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5.165</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8E5806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23.182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D78C6F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533.454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0A2CA8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9.841*</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3B18C62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31.355*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4457865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1261.724</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2797C7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1.879*</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9D3531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2.936*</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48E28D9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138.34</w:t>
            </w:r>
            <w:r>
              <w:rPr>
                <w:rFonts w:hint="eastAsia" w:ascii="Times New Roman" w:hAnsi="Times New Roman" w:eastAsia="宋体" w:cs="Times New Roman"/>
                <w:b/>
                <w:bCs/>
                <w:i w:val="0"/>
                <w:iCs w:val="0"/>
                <w:color w:val="000000"/>
                <w:kern w:val="0"/>
                <w:sz w:val="21"/>
                <w:szCs w:val="21"/>
                <w:u w:val="single"/>
                <w:lang w:val="en-US" w:eastAsia="zh-CN" w:bidi="ar"/>
              </w:rPr>
              <w:t>6</w:t>
            </w:r>
          </w:p>
        </w:tc>
      </w:tr>
      <w:tr w14:paraId="32A751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117F27E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11月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44737C5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8157.4252</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0F42B3E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8157.4252</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213CFA0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1.486</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11D162B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7.651</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4F0AC7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126.272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5D43C8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3.379</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4CB373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5.711</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CBB8A6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303.733</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79F10E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15.375</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BC8D91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31.209</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1043AC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1372.797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FEB24B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1.632*</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78843E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2.337*</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3756A2C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132.502</w:t>
            </w:r>
          </w:p>
        </w:tc>
      </w:tr>
      <w:tr w14:paraId="72CC63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08CC4D2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7560FEB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7139.49766</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69ACC66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7134.48123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C5A0FD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2.131</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30F0B84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2.694</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8E8104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150.772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CD55F5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6.732</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356E3B4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8.386</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4A4FA7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385.637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A5C4DD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20.407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A74DA4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25.844</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B17121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1390.563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9DCAB3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1.284</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BA5130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1.622</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1CE4A66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99.206</w:t>
            </w:r>
          </w:p>
        </w:tc>
      </w:tr>
      <w:tr w14:paraId="028A8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2B1D665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最大值</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42F8399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11099.17415</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289D7CF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11099.17415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678CD32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3.467</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3C500FB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9.192</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91F9B0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320.29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F9D256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9.555</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39AB75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23.182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40FEDBE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1195.16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42A50D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27.653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003AB2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34.762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AD3DDD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2830.05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978EA5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2.818</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69DA79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4.342</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46C1926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236.55</w:t>
            </w:r>
          </w:p>
        </w:tc>
      </w:tr>
      <w:tr w14:paraId="4D3460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69E0407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最小值</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71B72AE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3586.29573</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3FF5417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3586.29573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15FA37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0.907</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5B3F3DE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1.187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0A8A7A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53.334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09C387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0.977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0AF3BC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4.555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7AB84F5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65.45</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9BA825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2.883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C55FCB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12.243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A717E0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428.83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600002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0.911</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C2BC32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1.219</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1B95B6A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0.01</w:t>
            </w:r>
          </w:p>
        </w:tc>
      </w:tr>
      <w:tr w14:paraId="3FA5F9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15AC961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年排放总量(</w:t>
            </w:r>
            <w:r>
              <w:rPr>
                <w:rFonts w:hint="eastAsia" w:cs="Times New Roman"/>
                <w:b/>
                <w:bCs/>
                <w:i w:val="0"/>
                <w:iCs w:val="0"/>
                <w:color w:val="000000"/>
                <w:kern w:val="0"/>
                <w:sz w:val="21"/>
                <w:szCs w:val="21"/>
                <w:u w:val="single"/>
                <w:lang w:val="en-US" w:eastAsia="zh-CN" w:bidi="ar"/>
              </w:rPr>
              <w:t>t</w:t>
            </w:r>
            <w:r>
              <w:rPr>
                <w:rFonts w:hint="default" w:ascii="Times New Roman" w:hAnsi="Times New Roman" w:eastAsia="宋体" w:cs="Times New Roman"/>
                <w:b/>
                <w:bCs/>
                <w:i w:val="0"/>
                <w:iCs w:val="0"/>
                <w:color w:val="000000"/>
                <w:kern w:val="0"/>
                <w:sz w:val="21"/>
                <w:szCs w:val="21"/>
                <w:u w:val="single"/>
                <w:lang w:val="en-US" w:eastAsia="zh-CN" w:bidi="ar"/>
              </w:rPr>
              <w:t>)</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25A84AC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97137.80992</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3B8F2DD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97132.79349</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40CE758">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4DE6B71E">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A255EC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1.93972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DD9A667">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9A3DC19">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782790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6.70193</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555837E">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0D90D52">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9959F1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21.07512</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60BDB064">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5C871B54">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198D744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0.76599</w:t>
            </w:r>
          </w:p>
        </w:tc>
      </w:tr>
      <w:tr w14:paraId="73C03F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4604" w:type="dxa"/>
            <w:gridSpan w:val="15"/>
            <w:tcBorders>
              <w:top w:val="single" w:color="000000" w:sz="4" w:space="0"/>
              <w:left w:val="single" w:color="000000" w:sz="4" w:space="0"/>
              <w:bottom w:val="single" w:color="000000" w:sz="4" w:space="0"/>
              <w:right w:val="single" w:color="000000" w:sz="4" w:space="0"/>
            </w:tcBorders>
            <w:noWrap w:val="0"/>
            <w:vAlign w:val="center"/>
          </w:tcPr>
          <w:p w14:paraId="2F07ECE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排污单位：新乡化纤股份有限公司　　数据类型：年数据　　监控点：3#75吨燃煤锅炉废气出口　　时间：2023-01-01 00:00:00 至 2023-12-31 23:59:59</w:t>
            </w:r>
          </w:p>
        </w:tc>
      </w:tr>
      <w:tr w14:paraId="293D9F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vMerge w:val="restart"/>
            <w:tcBorders>
              <w:top w:val="single" w:color="auto" w:sz="4" w:space="0"/>
              <w:left w:val="single" w:color="auto" w:sz="4" w:space="0"/>
              <w:right w:val="single" w:color="auto" w:sz="4" w:space="0"/>
            </w:tcBorders>
            <w:noWrap/>
            <w:vAlign w:val="center"/>
          </w:tcPr>
          <w:p w14:paraId="4E050BA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时间</w:t>
            </w:r>
          </w:p>
        </w:tc>
        <w:tc>
          <w:tcPr>
            <w:tcW w:w="2768" w:type="dxa"/>
            <w:gridSpan w:val="2"/>
            <w:tcBorders>
              <w:top w:val="single" w:color="auto" w:sz="4" w:space="0"/>
              <w:left w:val="single" w:color="auto" w:sz="4" w:space="0"/>
              <w:bottom w:val="single" w:color="auto" w:sz="4" w:space="0"/>
              <w:right w:val="single" w:color="auto" w:sz="4" w:space="0"/>
            </w:tcBorders>
            <w:noWrap/>
            <w:vAlign w:val="center"/>
          </w:tcPr>
          <w:p w14:paraId="3679157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流量(万标立方米)</w:t>
            </w:r>
          </w:p>
        </w:tc>
        <w:tc>
          <w:tcPr>
            <w:tcW w:w="2675" w:type="dxa"/>
            <w:gridSpan w:val="3"/>
            <w:tcBorders>
              <w:top w:val="nil"/>
              <w:left w:val="single" w:color="auto" w:sz="4" w:space="0"/>
              <w:bottom w:val="single" w:color="000000" w:sz="4" w:space="0"/>
              <w:right w:val="single" w:color="000000" w:sz="4" w:space="0"/>
            </w:tcBorders>
            <w:noWrap/>
            <w:vAlign w:val="center"/>
          </w:tcPr>
          <w:p w14:paraId="1865CFA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颗粒物(毫克/立方米)</w:t>
            </w:r>
          </w:p>
        </w:tc>
        <w:tc>
          <w:tcPr>
            <w:tcW w:w="2791" w:type="dxa"/>
            <w:gridSpan w:val="3"/>
            <w:tcBorders>
              <w:top w:val="nil"/>
              <w:left w:val="nil"/>
              <w:bottom w:val="single" w:color="000000" w:sz="4" w:space="0"/>
              <w:right w:val="single" w:color="000000" w:sz="4" w:space="0"/>
            </w:tcBorders>
            <w:noWrap/>
            <w:vAlign w:val="center"/>
          </w:tcPr>
          <w:p w14:paraId="51FEA3A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二氧化硫(毫克/立方米)</w:t>
            </w:r>
          </w:p>
        </w:tc>
        <w:tc>
          <w:tcPr>
            <w:tcW w:w="2791" w:type="dxa"/>
            <w:gridSpan w:val="3"/>
            <w:tcBorders>
              <w:top w:val="nil"/>
              <w:left w:val="nil"/>
              <w:bottom w:val="single" w:color="000000" w:sz="4" w:space="0"/>
              <w:right w:val="single" w:color="000000" w:sz="4" w:space="0"/>
            </w:tcBorders>
            <w:noWrap/>
            <w:vAlign w:val="center"/>
          </w:tcPr>
          <w:p w14:paraId="0F9AA2B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氮氧化物(毫克/立方米)</w:t>
            </w:r>
          </w:p>
        </w:tc>
        <w:tc>
          <w:tcPr>
            <w:tcW w:w="2696" w:type="dxa"/>
            <w:gridSpan w:val="3"/>
            <w:tcBorders>
              <w:top w:val="nil"/>
              <w:left w:val="nil"/>
              <w:bottom w:val="single" w:color="000000" w:sz="4" w:space="0"/>
              <w:right w:val="single" w:color="000000" w:sz="4" w:space="0"/>
            </w:tcBorders>
            <w:noWrap/>
            <w:vAlign w:val="center"/>
          </w:tcPr>
          <w:p w14:paraId="0976A9B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氨(毫克/立方米)</w:t>
            </w:r>
          </w:p>
        </w:tc>
      </w:tr>
      <w:tr w14:paraId="76BD09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vMerge w:val="continue"/>
            <w:tcBorders>
              <w:left w:val="single" w:color="auto" w:sz="4" w:space="0"/>
              <w:right w:val="single" w:color="auto" w:sz="4" w:space="0"/>
            </w:tcBorders>
            <w:noWrap/>
            <w:vAlign w:val="center"/>
          </w:tcPr>
          <w:p w14:paraId="13D38DE9">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274" w:type="dxa"/>
            <w:vMerge w:val="restart"/>
            <w:tcBorders>
              <w:top w:val="single" w:color="auto" w:sz="4" w:space="0"/>
              <w:left w:val="single" w:color="000000" w:sz="4" w:space="0"/>
              <w:right w:val="single" w:color="auto" w:sz="4" w:space="0"/>
            </w:tcBorders>
            <w:noWrap w:val="0"/>
            <w:vAlign w:val="center"/>
          </w:tcPr>
          <w:p w14:paraId="6350401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累计流量</w:t>
            </w:r>
          </w:p>
        </w:tc>
        <w:tc>
          <w:tcPr>
            <w:tcW w:w="1494" w:type="dxa"/>
            <w:vMerge w:val="restart"/>
            <w:tcBorders>
              <w:top w:val="single" w:color="auto" w:sz="4" w:space="0"/>
              <w:left w:val="single" w:color="auto" w:sz="4" w:space="0"/>
              <w:right w:val="single" w:color="000000" w:sz="4" w:space="0"/>
            </w:tcBorders>
            <w:noWrap w:val="0"/>
            <w:vAlign w:val="center"/>
          </w:tcPr>
          <w:p w14:paraId="58E92F0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累计修正流量</w:t>
            </w:r>
          </w:p>
        </w:tc>
        <w:tc>
          <w:tcPr>
            <w:tcW w:w="1763" w:type="dxa"/>
            <w:gridSpan w:val="2"/>
            <w:tcBorders>
              <w:top w:val="single" w:color="000000" w:sz="4" w:space="0"/>
              <w:left w:val="single" w:color="000000" w:sz="4" w:space="0"/>
              <w:bottom w:val="single" w:color="000000" w:sz="4" w:space="0"/>
              <w:right w:val="single" w:color="000000" w:sz="4" w:space="0"/>
            </w:tcBorders>
            <w:noWrap w:val="0"/>
            <w:vAlign w:val="center"/>
          </w:tcPr>
          <w:p w14:paraId="4B7EE6A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912" w:type="dxa"/>
            <w:vMerge w:val="restart"/>
            <w:tcBorders>
              <w:top w:val="single" w:color="000000" w:sz="4" w:space="0"/>
              <w:left w:val="single" w:color="000000" w:sz="4" w:space="0"/>
              <w:bottom w:val="single" w:color="000000" w:sz="4" w:space="0"/>
              <w:right w:val="single" w:color="000000" w:sz="4" w:space="0"/>
            </w:tcBorders>
            <w:noWrap w:val="0"/>
            <w:vAlign w:val="center"/>
          </w:tcPr>
          <w:p w14:paraId="1FF8BFF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c>
          <w:tcPr>
            <w:tcW w:w="1787" w:type="dxa"/>
            <w:gridSpan w:val="2"/>
            <w:tcBorders>
              <w:top w:val="single" w:color="000000" w:sz="4" w:space="0"/>
              <w:left w:val="single" w:color="000000" w:sz="4" w:space="0"/>
              <w:bottom w:val="single" w:color="000000" w:sz="4" w:space="0"/>
              <w:right w:val="single" w:color="000000" w:sz="4" w:space="0"/>
            </w:tcBorders>
            <w:noWrap w:val="0"/>
            <w:vAlign w:val="center"/>
          </w:tcPr>
          <w:p w14:paraId="2203E36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1004" w:type="dxa"/>
            <w:vMerge w:val="restart"/>
            <w:tcBorders>
              <w:top w:val="single" w:color="000000" w:sz="4" w:space="0"/>
              <w:left w:val="single" w:color="000000" w:sz="4" w:space="0"/>
              <w:bottom w:val="single" w:color="000000" w:sz="4" w:space="0"/>
              <w:right w:val="single" w:color="000000" w:sz="4" w:space="0"/>
            </w:tcBorders>
            <w:noWrap w:val="0"/>
            <w:vAlign w:val="center"/>
          </w:tcPr>
          <w:p w14:paraId="5BC8512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c>
          <w:tcPr>
            <w:tcW w:w="1787" w:type="dxa"/>
            <w:gridSpan w:val="2"/>
            <w:tcBorders>
              <w:top w:val="single" w:color="000000" w:sz="4" w:space="0"/>
              <w:left w:val="single" w:color="000000" w:sz="4" w:space="0"/>
              <w:bottom w:val="single" w:color="000000" w:sz="4" w:space="0"/>
              <w:right w:val="single" w:color="000000" w:sz="4" w:space="0"/>
            </w:tcBorders>
            <w:noWrap w:val="0"/>
            <w:vAlign w:val="center"/>
          </w:tcPr>
          <w:p w14:paraId="37C16E9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1004" w:type="dxa"/>
            <w:vMerge w:val="restart"/>
            <w:tcBorders>
              <w:top w:val="single" w:color="000000" w:sz="4" w:space="0"/>
              <w:left w:val="single" w:color="000000" w:sz="4" w:space="0"/>
              <w:bottom w:val="single" w:color="000000" w:sz="4" w:space="0"/>
              <w:right w:val="single" w:color="000000" w:sz="4" w:space="0"/>
            </w:tcBorders>
            <w:noWrap w:val="0"/>
            <w:vAlign w:val="center"/>
          </w:tcPr>
          <w:p w14:paraId="01DFD04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c>
          <w:tcPr>
            <w:tcW w:w="1783" w:type="dxa"/>
            <w:gridSpan w:val="2"/>
            <w:tcBorders>
              <w:top w:val="single" w:color="000000" w:sz="4" w:space="0"/>
              <w:left w:val="single" w:color="000000" w:sz="4" w:space="0"/>
              <w:bottom w:val="single" w:color="000000" w:sz="4" w:space="0"/>
              <w:right w:val="single" w:color="000000" w:sz="4" w:space="0"/>
            </w:tcBorders>
            <w:noWrap w:val="0"/>
            <w:vAlign w:val="center"/>
          </w:tcPr>
          <w:p w14:paraId="4AC7620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913" w:type="dxa"/>
            <w:vMerge w:val="restart"/>
            <w:tcBorders>
              <w:top w:val="single" w:color="000000" w:sz="4" w:space="0"/>
              <w:left w:val="single" w:color="000000" w:sz="4" w:space="0"/>
              <w:bottom w:val="single" w:color="000000" w:sz="4" w:space="0"/>
              <w:right w:val="single" w:color="000000" w:sz="4" w:space="0"/>
            </w:tcBorders>
            <w:noWrap w:val="0"/>
            <w:vAlign w:val="center"/>
          </w:tcPr>
          <w:p w14:paraId="34ED077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r>
      <w:tr w14:paraId="238ABA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vMerge w:val="continue"/>
            <w:tcBorders>
              <w:left w:val="single" w:color="auto" w:sz="4" w:space="0"/>
              <w:bottom w:val="single" w:color="auto" w:sz="4" w:space="0"/>
              <w:right w:val="single" w:color="auto" w:sz="4" w:space="0"/>
            </w:tcBorders>
            <w:noWrap/>
            <w:vAlign w:val="center"/>
          </w:tcPr>
          <w:p w14:paraId="2C51BDFF">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274" w:type="dxa"/>
            <w:vMerge w:val="continue"/>
            <w:tcBorders>
              <w:top w:val="single" w:color="auto" w:sz="4" w:space="0"/>
              <w:left w:val="single" w:color="000000" w:sz="4" w:space="0"/>
              <w:bottom w:val="single" w:color="auto" w:sz="4" w:space="0"/>
              <w:right w:val="single" w:color="auto" w:sz="4" w:space="0"/>
            </w:tcBorders>
            <w:noWrap w:val="0"/>
            <w:vAlign w:val="center"/>
          </w:tcPr>
          <w:p w14:paraId="7943A391">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494" w:type="dxa"/>
            <w:vMerge w:val="continue"/>
            <w:tcBorders>
              <w:top w:val="single" w:color="auto" w:sz="4" w:space="0"/>
              <w:left w:val="single" w:color="auto" w:sz="4" w:space="0"/>
              <w:bottom w:val="single" w:color="auto" w:sz="4" w:space="0"/>
              <w:right w:val="single" w:color="000000" w:sz="4" w:space="0"/>
            </w:tcBorders>
            <w:noWrap w:val="0"/>
            <w:vAlign w:val="center"/>
          </w:tcPr>
          <w:p w14:paraId="665E5C1E">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7F7389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6B95AFA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912" w:type="dxa"/>
            <w:vMerge w:val="continue"/>
            <w:tcBorders>
              <w:top w:val="single" w:color="000000" w:sz="4" w:space="0"/>
              <w:left w:val="single" w:color="000000" w:sz="4" w:space="0"/>
              <w:bottom w:val="single" w:color="000000" w:sz="4" w:space="0"/>
              <w:right w:val="single" w:color="000000" w:sz="4" w:space="0"/>
            </w:tcBorders>
            <w:noWrap w:val="0"/>
            <w:vAlign w:val="center"/>
          </w:tcPr>
          <w:p w14:paraId="5CDD0574">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C73FD2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9C6FCB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100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767E196">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A1FCCE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3C53C7A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1004" w:type="dxa"/>
            <w:vMerge w:val="continue"/>
            <w:tcBorders>
              <w:top w:val="single" w:color="000000" w:sz="4" w:space="0"/>
              <w:left w:val="single" w:color="000000" w:sz="4" w:space="0"/>
              <w:bottom w:val="single" w:color="000000" w:sz="4" w:space="0"/>
              <w:right w:val="single" w:color="000000" w:sz="4" w:space="0"/>
            </w:tcBorders>
            <w:noWrap w:val="0"/>
            <w:vAlign w:val="center"/>
          </w:tcPr>
          <w:p w14:paraId="0FCB61AD">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332464C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C672AC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913"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25427B">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r>
      <w:tr w14:paraId="543362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auto" w:sz="4" w:space="0"/>
              <w:left w:val="single" w:color="000000" w:sz="4" w:space="0"/>
              <w:bottom w:val="single" w:color="000000" w:sz="4" w:space="0"/>
              <w:right w:val="single" w:color="000000" w:sz="4" w:space="0"/>
            </w:tcBorders>
            <w:noWrap w:val="0"/>
            <w:vAlign w:val="center"/>
          </w:tcPr>
          <w:p w14:paraId="60591DC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1月</w:t>
            </w:r>
          </w:p>
        </w:tc>
        <w:tc>
          <w:tcPr>
            <w:tcW w:w="1274" w:type="dxa"/>
            <w:tcBorders>
              <w:top w:val="single" w:color="auto" w:sz="4" w:space="0"/>
              <w:left w:val="single" w:color="000000" w:sz="4" w:space="0"/>
              <w:bottom w:val="single" w:color="000000" w:sz="4" w:space="0"/>
              <w:right w:val="single" w:color="000000" w:sz="4" w:space="0"/>
            </w:tcBorders>
            <w:noWrap w:val="0"/>
            <w:vAlign w:val="center"/>
          </w:tcPr>
          <w:p w14:paraId="138E6E0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7387.81447</w:t>
            </w:r>
          </w:p>
        </w:tc>
        <w:tc>
          <w:tcPr>
            <w:tcW w:w="1494" w:type="dxa"/>
            <w:tcBorders>
              <w:top w:val="single" w:color="auto" w:sz="4" w:space="0"/>
              <w:left w:val="single" w:color="000000" w:sz="4" w:space="0"/>
              <w:bottom w:val="single" w:color="000000" w:sz="4" w:space="0"/>
              <w:right w:val="single" w:color="000000" w:sz="4" w:space="0"/>
            </w:tcBorders>
            <w:noWrap w:val="0"/>
            <w:vAlign w:val="center"/>
          </w:tcPr>
          <w:p w14:paraId="0DABBA7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7387.81447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3DE25FF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2.651</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20D3B87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50312C4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195.7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1E798C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1.09</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5BFD98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45484D2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80.29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54C3E3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C8818C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4156DD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ADBE90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1.31</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57869CD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4D64A80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0.05</w:t>
            </w:r>
          </w:p>
        </w:tc>
      </w:tr>
      <w:tr w14:paraId="23D2A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523C815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0D5D641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8520.86826</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692406E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8520.86826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313F646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0.477</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3A3B275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0.135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51CF7B6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25.89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08BA1C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0.191</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30471D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0.144</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46C805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12.84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A09770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0.444</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E9A12A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0.577</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355F436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33.539</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D7A502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0.037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9F0E2A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0.012</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4A0D99E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w:t>
            </w:r>
          </w:p>
        </w:tc>
      </w:tr>
      <w:tr w14:paraId="744679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21F21F0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4F27B36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5929.99849</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6F5D27B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5929.99849</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4293BA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2.483</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1759A69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4.898</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CAB609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179.29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1240A8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4.558</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11AA46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8.172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66DDD0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329.55</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C9F8DE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15.273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424144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20.43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78162B4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1165.44</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2FC85FB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1.038</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67E6CC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3.145</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6AFC4ED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0.05</w:t>
            </w:r>
          </w:p>
        </w:tc>
      </w:tr>
      <w:tr w14:paraId="33552D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6A85F4E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4E5B834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4431.14884</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11CB77B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4431.14884</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660B35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2.803</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2F3D46A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9.376</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2AD2CC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170.21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5C104B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3.207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D9E96C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14.593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3B20F59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190.88</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82783E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14.708</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7C0F68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40.037</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DC1A61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925.51</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59395B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1.269</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3717BB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1.425</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0A80CFF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0.05</w:t>
            </w:r>
          </w:p>
        </w:tc>
      </w:tr>
      <w:tr w14:paraId="7C1200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1107E67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5月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3FE7FC5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5822.04893</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4DC6F23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5822.04893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F60DF1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2.955</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043B46E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5.432</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88EBB7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187.48</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6593EC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4.025</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DAEF68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12.596</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270350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241.13</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04B511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16.205</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D750CB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38.461</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CEEE9A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1079.55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F7D48F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1.015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6334B2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3.709</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76A65ED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0.01</w:t>
            </w:r>
          </w:p>
        </w:tc>
      </w:tr>
      <w:tr w14:paraId="08577B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32A718D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419A89A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6600.28491</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1C63672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6600.28491</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629B473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1.228</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643E53A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1.496</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54F8D1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82.74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6DA78E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10.655</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E1ABBA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12.626</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3A5EDFE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711.89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A9E496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21.538</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355C5F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25.169</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7CF173E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1413.86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72373C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0.796</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2C0318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0.944</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2DEF167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w:t>
            </w:r>
          </w:p>
        </w:tc>
      </w:tr>
      <w:tr w14:paraId="377C8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60E0921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7月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1C6AC4B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2489.15906</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14BC444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2489.15906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3D31EE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0.669</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3D2CF7A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0.183</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073B69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17.197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0F057D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0.971</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BF50C0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1.036</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A00E5F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23.221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06093C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2.752</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84CEEA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1.105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17A4D1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76.898</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07B716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0.91</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CB72DA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0.246</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69A5E65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23.039</w:t>
            </w:r>
          </w:p>
        </w:tc>
      </w:tr>
      <w:tr w14:paraId="00042C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6D738CB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8月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3F1887C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5308.68513</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6AE5C7B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5308.68513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289B0F7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1.126</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5786F26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2.502</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FDE10C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67.322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E433F3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11.926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3D0CA7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19.273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7D5882D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740.507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9B12BC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20.982</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414D19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30.635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169339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1355.548</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8D3409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1.385</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701262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1.374</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7FF9F66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82.822</w:t>
            </w:r>
          </w:p>
        </w:tc>
      </w:tr>
      <w:tr w14:paraId="74BCF7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0CAD3AF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9月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2196BB0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7140.16935</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60F1E0C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7140.16935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A5385E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1.521</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71B266A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2.179</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4771FC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117.426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E28665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15.217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BB10B5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19.068</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7ABCC2F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1198.022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3BD24A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27.546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B9A02E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31.835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735C453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2132.697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3E4F321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0.904</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93AF37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0.952</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51E7F03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68.05</w:t>
            </w:r>
          </w:p>
        </w:tc>
      </w:tr>
      <w:tr w14:paraId="7EF170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5E8B987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2607CEA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4551.84095</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5BFE2A9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3701.31031</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8D388E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1.514</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304E895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1.426</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5F70FB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76.975</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878EBF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8.629</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7D8E64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9.62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70B86B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499.161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448A97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20.313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F22DE8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22.579</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7C0C568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1195.942</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DD51E5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0.557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11935B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0.463</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19FF671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26.254</w:t>
            </w:r>
          </w:p>
        </w:tc>
      </w:tr>
      <w:tr w14:paraId="34FEDF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506218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11月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5AA0948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2876.8226</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40BD97B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688A82E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1.642</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63709C6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cs="Times New Roman"/>
                <w:b/>
                <w:bCs/>
                <w:i w:val="0"/>
                <w:iCs w:val="0"/>
                <w:color w:val="000000"/>
                <w:kern w:val="0"/>
                <w:sz w:val="21"/>
                <w:szCs w:val="21"/>
                <w:u w:val="single"/>
                <w:lang w:val="en-US" w:eastAsia="zh-CN" w:bidi="ar"/>
              </w:rPr>
              <w:t>/</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42BF5C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47.733</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FF0017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0.478</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151D9E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3.976</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28CAFF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12.826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194493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0.289</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4653E7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4.177</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D02E73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8.056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F6E2A3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0.423</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A20538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6.523</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70E01C1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12.116</w:t>
            </w:r>
          </w:p>
        </w:tc>
      </w:tr>
      <w:tr w14:paraId="39A46F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0D6332D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717FA2E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2912.27666</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7FF6DEF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360.84486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2BD661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4.686</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3470DF4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0.778</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8387DF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146.144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31A151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0.436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EC4BF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0.165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37ABD35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10.297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C86C96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3.012</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E696F2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2.824</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CEAF92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182.778</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FC4EED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0.324</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92B047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0.065</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08B3BAD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9.534</w:t>
            </w:r>
          </w:p>
        </w:tc>
      </w:tr>
      <w:tr w14:paraId="7BFC05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393A13A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最大值</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3E46E1A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8520.86826</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245BA62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8520.86826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CB4B9F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4.686</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709C1D2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9.376</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2573FF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195.7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E7012E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15.217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3E85558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19.273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BF5D91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1198.022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C0B6D1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27.546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06219B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40.037</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0D67EA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2132.697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221FF01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1.31</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56717F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6.523</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1914430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82.822</w:t>
            </w:r>
          </w:p>
        </w:tc>
      </w:tr>
      <w:tr w14:paraId="1052D9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312E6CF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最小值</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71203F4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2489.15906</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06260D8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360.84486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7C40DD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0.477</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1652FC5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1C8AD3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17.197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49A43F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0.191</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60F350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28C8C2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10.297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5168C1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E0F217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36C7B13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65B05EC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0.037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A93843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6BBD61D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w:t>
            </w:r>
          </w:p>
        </w:tc>
      </w:tr>
      <w:tr w14:paraId="14FDEE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887501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年排放总量(吨)</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463A71B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63971.11765</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4ADFA6D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57692.33261</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9460ECF">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02A1A9CC">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161C87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1.3141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C50CBA1">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AC12DDC">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4F132CB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4.05061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DC208F8">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37D92259">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F5B8BE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9.56981</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269FD0E">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C45B8C8">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379C3E9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0.22197</w:t>
            </w:r>
          </w:p>
        </w:tc>
      </w:tr>
      <w:tr w14:paraId="14C0A2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4604" w:type="dxa"/>
            <w:gridSpan w:val="15"/>
            <w:tcBorders>
              <w:top w:val="single" w:color="000000" w:sz="4" w:space="0"/>
              <w:left w:val="single" w:color="000000" w:sz="4" w:space="0"/>
              <w:bottom w:val="single" w:color="000000" w:sz="4" w:space="0"/>
              <w:right w:val="single" w:color="000000" w:sz="4" w:space="0"/>
            </w:tcBorders>
            <w:noWrap w:val="0"/>
            <w:vAlign w:val="center"/>
          </w:tcPr>
          <w:p w14:paraId="702EE3E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排污单位：新乡化纤股份有限公司　　数据类型：年数据　　监控点：4#170吨燃煤锅炉废气出口　　时间：2023-01-01 00:00:00 至 2023-12-31 23:59:59</w:t>
            </w:r>
          </w:p>
        </w:tc>
      </w:tr>
      <w:tr w14:paraId="4FA362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vMerge w:val="restart"/>
            <w:tcBorders>
              <w:top w:val="single" w:color="auto" w:sz="4" w:space="0"/>
              <w:left w:val="single" w:color="auto" w:sz="4" w:space="0"/>
              <w:right w:val="single" w:color="auto" w:sz="4" w:space="0"/>
            </w:tcBorders>
            <w:noWrap/>
            <w:vAlign w:val="center"/>
          </w:tcPr>
          <w:p w14:paraId="7164D25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时间</w:t>
            </w:r>
          </w:p>
        </w:tc>
        <w:tc>
          <w:tcPr>
            <w:tcW w:w="2768" w:type="dxa"/>
            <w:gridSpan w:val="2"/>
            <w:tcBorders>
              <w:top w:val="single" w:color="auto" w:sz="4" w:space="0"/>
              <w:left w:val="single" w:color="auto" w:sz="4" w:space="0"/>
              <w:bottom w:val="single" w:color="auto" w:sz="4" w:space="0"/>
              <w:right w:val="single" w:color="auto" w:sz="4" w:space="0"/>
            </w:tcBorders>
            <w:noWrap/>
            <w:vAlign w:val="center"/>
          </w:tcPr>
          <w:p w14:paraId="1F452E2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流量(万标立方米)</w:t>
            </w:r>
          </w:p>
        </w:tc>
        <w:tc>
          <w:tcPr>
            <w:tcW w:w="2675" w:type="dxa"/>
            <w:gridSpan w:val="3"/>
            <w:tcBorders>
              <w:top w:val="nil"/>
              <w:left w:val="single" w:color="auto" w:sz="4" w:space="0"/>
              <w:bottom w:val="single" w:color="000000" w:sz="4" w:space="0"/>
              <w:right w:val="single" w:color="000000" w:sz="4" w:space="0"/>
            </w:tcBorders>
            <w:noWrap/>
            <w:vAlign w:val="center"/>
          </w:tcPr>
          <w:p w14:paraId="7CBA4AA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颗粒物(毫克/立方米)</w:t>
            </w:r>
          </w:p>
        </w:tc>
        <w:tc>
          <w:tcPr>
            <w:tcW w:w="2791" w:type="dxa"/>
            <w:gridSpan w:val="3"/>
            <w:tcBorders>
              <w:top w:val="nil"/>
              <w:left w:val="nil"/>
              <w:bottom w:val="single" w:color="000000" w:sz="4" w:space="0"/>
              <w:right w:val="single" w:color="000000" w:sz="4" w:space="0"/>
            </w:tcBorders>
            <w:noWrap/>
            <w:vAlign w:val="center"/>
          </w:tcPr>
          <w:p w14:paraId="31DEE05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二氧化硫(毫克/立方米)</w:t>
            </w:r>
          </w:p>
        </w:tc>
        <w:tc>
          <w:tcPr>
            <w:tcW w:w="2791" w:type="dxa"/>
            <w:gridSpan w:val="3"/>
            <w:tcBorders>
              <w:top w:val="nil"/>
              <w:left w:val="nil"/>
              <w:bottom w:val="single" w:color="000000" w:sz="4" w:space="0"/>
              <w:right w:val="single" w:color="000000" w:sz="4" w:space="0"/>
            </w:tcBorders>
            <w:noWrap/>
            <w:vAlign w:val="center"/>
          </w:tcPr>
          <w:p w14:paraId="0B4792E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氮氧化物(毫克/立方米)</w:t>
            </w:r>
          </w:p>
        </w:tc>
        <w:tc>
          <w:tcPr>
            <w:tcW w:w="2696" w:type="dxa"/>
            <w:gridSpan w:val="3"/>
            <w:tcBorders>
              <w:top w:val="nil"/>
              <w:left w:val="nil"/>
              <w:bottom w:val="single" w:color="000000" w:sz="4" w:space="0"/>
              <w:right w:val="single" w:color="000000" w:sz="4" w:space="0"/>
            </w:tcBorders>
            <w:noWrap/>
            <w:vAlign w:val="center"/>
          </w:tcPr>
          <w:p w14:paraId="6985790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氨(毫克/立方米)</w:t>
            </w:r>
          </w:p>
        </w:tc>
      </w:tr>
      <w:tr w14:paraId="19D315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vMerge w:val="continue"/>
            <w:tcBorders>
              <w:left w:val="single" w:color="auto" w:sz="4" w:space="0"/>
              <w:right w:val="single" w:color="auto" w:sz="4" w:space="0"/>
            </w:tcBorders>
            <w:noWrap/>
            <w:vAlign w:val="center"/>
          </w:tcPr>
          <w:p w14:paraId="4A0D1838">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274" w:type="dxa"/>
            <w:vMerge w:val="restart"/>
            <w:tcBorders>
              <w:top w:val="single" w:color="auto" w:sz="4" w:space="0"/>
              <w:left w:val="single" w:color="000000" w:sz="4" w:space="0"/>
              <w:right w:val="single" w:color="auto" w:sz="4" w:space="0"/>
            </w:tcBorders>
            <w:noWrap w:val="0"/>
            <w:vAlign w:val="center"/>
          </w:tcPr>
          <w:p w14:paraId="787C9EA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累计流量</w:t>
            </w:r>
          </w:p>
        </w:tc>
        <w:tc>
          <w:tcPr>
            <w:tcW w:w="1494" w:type="dxa"/>
            <w:vMerge w:val="restart"/>
            <w:tcBorders>
              <w:top w:val="single" w:color="auto" w:sz="4" w:space="0"/>
              <w:left w:val="single" w:color="auto" w:sz="4" w:space="0"/>
              <w:right w:val="single" w:color="000000" w:sz="4" w:space="0"/>
            </w:tcBorders>
            <w:noWrap w:val="0"/>
            <w:vAlign w:val="center"/>
          </w:tcPr>
          <w:p w14:paraId="26054F3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累计修正流量</w:t>
            </w:r>
          </w:p>
        </w:tc>
        <w:tc>
          <w:tcPr>
            <w:tcW w:w="1763" w:type="dxa"/>
            <w:gridSpan w:val="2"/>
            <w:tcBorders>
              <w:top w:val="single" w:color="000000" w:sz="4" w:space="0"/>
              <w:left w:val="single" w:color="000000" w:sz="4" w:space="0"/>
              <w:bottom w:val="single" w:color="000000" w:sz="4" w:space="0"/>
              <w:right w:val="single" w:color="000000" w:sz="4" w:space="0"/>
            </w:tcBorders>
            <w:noWrap w:val="0"/>
            <w:vAlign w:val="center"/>
          </w:tcPr>
          <w:p w14:paraId="58012BF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912" w:type="dxa"/>
            <w:vMerge w:val="restart"/>
            <w:tcBorders>
              <w:top w:val="single" w:color="000000" w:sz="4" w:space="0"/>
              <w:left w:val="single" w:color="000000" w:sz="4" w:space="0"/>
              <w:bottom w:val="single" w:color="000000" w:sz="4" w:space="0"/>
              <w:right w:val="single" w:color="000000" w:sz="4" w:space="0"/>
            </w:tcBorders>
            <w:noWrap w:val="0"/>
            <w:vAlign w:val="center"/>
          </w:tcPr>
          <w:p w14:paraId="66DEE9D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c>
          <w:tcPr>
            <w:tcW w:w="1787" w:type="dxa"/>
            <w:gridSpan w:val="2"/>
            <w:tcBorders>
              <w:top w:val="single" w:color="000000" w:sz="4" w:space="0"/>
              <w:left w:val="single" w:color="000000" w:sz="4" w:space="0"/>
              <w:bottom w:val="single" w:color="000000" w:sz="4" w:space="0"/>
              <w:right w:val="single" w:color="000000" w:sz="4" w:space="0"/>
            </w:tcBorders>
            <w:noWrap w:val="0"/>
            <w:vAlign w:val="center"/>
          </w:tcPr>
          <w:p w14:paraId="244DC49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1004" w:type="dxa"/>
            <w:vMerge w:val="restart"/>
            <w:tcBorders>
              <w:top w:val="single" w:color="000000" w:sz="4" w:space="0"/>
              <w:left w:val="single" w:color="000000" w:sz="4" w:space="0"/>
              <w:bottom w:val="single" w:color="000000" w:sz="4" w:space="0"/>
              <w:right w:val="single" w:color="000000" w:sz="4" w:space="0"/>
            </w:tcBorders>
            <w:noWrap w:val="0"/>
            <w:vAlign w:val="center"/>
          </w:tcPr>
          <w:p w14:paraId="7E817FA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c>
          <w:tcPr>
            <w:tcW w:w="1787" w:type="dxa"/>
            <w:gridSpan w:val="2"/>
            <w:tcBorders>
              <w:top w:val="single" w:color="000000" w:sz="4" w:space="0"/>
              <w:left w:val="single" w:color="000000" w:sz="4" w:space="0"/>
              <w:bottom w:val="single" w:color="000000" w:sz="4" w:space="0"/>
              <w:right w:val="single" w:color="000000" w:sz="4" w:space="0"/>
            </w:tcBorders>
            <w:noWrap w:val="0"/>
            <w:vAlign w:val="center"/>
          </w:tcPr>
          <w:p w14:paraId="178E2AA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1004" w:type="dxa"/>
            <w:vMerge w:val="restart"/>
            <w:tcBorders>
              <w:top w:val="single" w:color="000000" w:sz="4" w:space="0"/>
              <w:left w:val="single" w:color="000000" w:sz="4" w:space="0"/>
              <w:bottom w:val="single" w:color="000000" w:sz="4" w:space="0"/>
              <w:right w:val="single" w:color="000000" w:sz="4" w:space="0"/>
            </w:tcBorders>
            <w:noWrap w:val="0"/>
            <w:vAlign w:val="center"/>
          </w:tcPr>
          <w:p w14:paraId="064193A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c>
          <w:tcPr>
            <w:tcW w:w="1783" w:type="dxa"/>
            <w:gridSpan w:val="2"/>
            <w:tcBorders>
              <w:top w:val="single" w:color="000000" w:sz="4" w:space="0"/>
              <w:left w:val="single" w:color="000000" w:sz="4" w:space="0"/>
              <w:bottom w:val="single" w:color="000000" w:sz="4" w:space="0"/>
              <w:right w:val="single" w:color="000000" w:sz="4" w:space="0"/>
            </w:tcBorders>
            <w:noWrap w:val="0"/>
            <w:vAlign w:val="center"/>
          </w:tcPr>
          <w:p w14:paraId="2C8AE86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913" w:type="dxa"/>
            <w:vMerge w:val="restart"/>
            <w:tcBorders>
              <w:top w:val="single" w:color="000000" w:sz="4" w:space="0"/>
              <w:left w:val="single" w:color="000000" w:sz="4" w:space="0"/>
              <w:bottom w:val="single" w:color="000000" w:sz="4" w:space="0"/>
              <w:right w:val="single" w:color="000000" w:sz="4" w:space="0"/>
            </w:tcBorders>
            <w:noWrap w:val="0"/>
            <w:vAlign w:val="center"/>
          </w:tcPr>
          <w:p w14:paraId="2D0F22C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r>
      <w:tr w14:paraId="6A40EB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vMerge w:val="continue"/>
            <w:tcBorders>
              <w:left w:val="single" w:color="auto" w:sz="4" w:space="0"/>
              <w:bottom w:val="single" w:color="auto" w:sz="4" w:space="0"/>
              <w:right w:val="single" w:color="auto" w:sz="4" w:space="0"/>
            </w:tcBorders>
            <w:noWrap/>
            <w:vAlign w:val="center"/>
          </w:tcPr>
          <w:p w14:paraId="2EBB9B21">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274" w:type="dxa"/>
            <w:vMerge w:val="continue"/>
            <w:tcBorders>
              <w:top w:val="single" w:color="auto" w:sz="4" w:space="0"/>
              <w:left w:val="single" w:color="000000" w:sz="4" w:space="0"/>
              <w:bottom w:val="single" w:color="auto" w:sz="4" w:space="0"/>
              <w:right w:val="single" w:color="auto" w:sz="4" w:space="0"/>
            </w:tcBorders>
            <w:noWrap w:val="0"/>
            <w:vAlign w:val="center"/>
          </w:tcPr>
          <w:p w14:paraId="763E25D2">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494" w:type="dxa"/>
            <w:vMerge w:val="continue"/>
            <w:tcBorders>
              <w:top w:val="single" w:color="auto" w:sz="4" w:space="0"/>
              <w:left w:val="single" w:color="auto" w:sz="4" w:space="0"/>
              <w:bottom w:val="single" w:color="auto" w:sz="4" w:space="0"/>
              <w:right w:val="single" w:color="000000" w:sz="4" w:space="0"/>
            </w:tcBorders>
            <w:noWrap w:val="0"/>
            <w:vAlign w:val="center"/>
          </w:tcPr>
          <w:p w14:paraId="4F1CD8E7">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A1081C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61DACDB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912" w:type="dxa"/>
            <w:vMerge w:val="continue"/>
            <w:tcBorders>
              <w:top w:val="single" w:color="000000" w:sz="4" w:space="0"/>
              <w:left w:val="single" w:color="000000" w:sz="4" w:space="0"/>
              <w:bottom w:val="single" w:color="000000" w:sz="4" w:space="0"/>
              <w:right w:val="single" w:color="000000" w:sz="4" w:space="0"/>
            </w:tcBorders>
            <w:noWrap w:val="0"/>
            <w:vAlign w:val="center"/>
          </w:tcPr>
          <w:p w14:paraId="5B055B75">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58EB5E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943011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100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2292F2">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9C0FBD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BEA486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100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8EEDCE0">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E037D5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961C2E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913" w:type="dxa"/>
            <w:vMerge w:val="continue"/>
            <w:tcBorders>
              <w:top w:val="single" w:color="000000" w:sz="4" w:space="0"/>
              <w:left w:val="single" w:color="000000" w:sz="4" w:space="0"/>
              <w:bottom w:val="single" w:color="000000" w:sz="4" w:space="0"/>
              <w:right w:val="single" w:color="000000" w:sz="4" w:space="0"/>
            </w:tcBorders>
            <w:noWrap w:val="0"/>
            <w:vAlign w:val="center"/>
          </w:tcPr>
          <w:p w14:paraId="294ED878">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r>
      <w:tr w14:paraId="5B606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auto" w:sz="4" w:space="0"/>
              <w:left w:val="single" w:color="000000" w:sz="4" w:space="0"/>
              <w:bottom w:val="single" w:color="000000" w:sz="4" w:space="0"/>
              <w:right w:val="single" w:color="000000" w:sz="4" w:space="0"/>
            </w:tcBorders>
            <w:noWrap w:val="0"/>
            <w:vAlign w:val="center"/>
          </w:tcPr>
          <w:p w14:paraId="0C71C6C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1月</w:t>
            </w:r>
          </w:p>
        </w:tc>
        <w:tc>
          <w:tcPr>
            <w:tcW w:w="1274" w:type="dxa"/>
            <w:tcBorders>
              <w:top w:val="single" w:color="auto" w:sz="4" w:space="0"/>
              <w:left w:val="single" w:color="000000" w:sz="4" w:space="0"/>
              <w:bottom w:val="single" w:color="000000" w:sz="4" w:space="0"/>
              <w:right w:val="single" w:color="000000" w:sz="4" w:space="0"/>
            </w:tcBorders>
            <w:noWrap w:val="0"/>
            <w:vAlign w:val="center"/>
          </w:tcPr>
          <w:p w14:paraId="0ECEC6C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11435.23123</w:t>
            </w:r>
          </w:p>
        </w:tc>
        <w:tc>
          <w:tcPr>
            <w:tcW w:w="1494" w:type="dxa"/>
            <w:tcBorders>
              <w:top w:val="single" w:color="auto" w:sz="4" w:space="0"/>
              <w:left w:val="single" w:color="000000" w:sz="4" w:space="0"/>
              <w:bottom w:val="single" w:color="000000" w:sz="4" w:space="0"/>
              <w:right w:val="single" w:color="000000" w:sz="4" w:space="0"/>
            </w:tcBorders>
            <w:noWrap w:val="0"/>
            <w:vAlign w:val="center"/>
          </w:tcPr>
          <w:p w14:paraId="2BEFEC5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11435.23123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5796DF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1.334</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5E1FB20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1.606</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5863A6E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149.21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741287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12.301</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3C3451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14.757</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1F35A0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1453.19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3BD934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27.478</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B1B852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32.974</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C687C2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3162.56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FF71FF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1.542</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8EC8D0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1.864</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053672D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0.15</w:t>
            </w:r>
          </w:p>
        </w:tc>
      </w:tr>
      <w:tr w14:paraId="6A5731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5AC9A83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0EAD5A1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10915.32258</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6FD21B6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10915.32258</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10F51F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1.152</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5811591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1.308</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95287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126.94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4E8A2A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11.468</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6D09E1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13.057</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711584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1258.76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1801BD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27.759</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B0863D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31.58</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ACC49E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3007.42</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D8B17E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37F3EF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1.71</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5EBA42C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0.19</w:t>
            </w:r>
          </w:p>
        </w:tc>
      </w:tr>
      <w:tr w14:paraId="22D374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85DC8B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3096118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13099.49283</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1801952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13099.49283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361B8D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1.194</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2160FFA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3.712</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902D69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160.33</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9A4059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11.506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BACF32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12.616</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F104EA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1768.2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8F377D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25.738</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7D0E1D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31.532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3478D7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3922.51</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6A7879E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1.782</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01C187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4.922</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13A99B2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0.26</w:t>
            </w:r>
          </w:p>
        </w:tc>
      </w:tr>
      <w:tr w14:paraId="619E0F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21D4DCC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702BD74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13996.91555</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79AEB15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13996.91555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56A573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0.838</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3439109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0.907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4D5BF3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117.35</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C6595F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19.348</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DF5B3A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20.905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30B27F4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2709.75</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726CFF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33.719</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D069F4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36.425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CE130B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4725.32</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C0F6AC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1.729</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5A3A8F2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1.865</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7500695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0.3</w:t>
            </w:r>
          </w:p>
        </w:tc>
      </w:tr>
      <w:tr w14:paraId="359C96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E05506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5月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7E37DE8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10853.78156</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3BE71BB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10853.78156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67450E1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1.067*</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1F5545D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1.149*</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EE2311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113.54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E58BB8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15.52</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444DBA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17.212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DE473A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2140.43</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891642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25.063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5AB0F8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29.747</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3ED3A5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3429.7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9933E5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1.807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5120A7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7.09</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48F540D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0.21</w:t>
            </w:r>
          </w:p>
        </w:tc>
      </w:tr>
      <w:tr w14:paraId="7703F5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5C65FA7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2C08674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4290.12173</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2974ADD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4290.12173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3765D37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1.33</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6843FDB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cs="Times New Roman"/>
                <w:b/>
                <w:bCs/>
                <w:i w:val="0"/>
                <w:iCs w:val="0"/>
                <w:color w:val="000000"/>
                <w:kern w:val="0"/>
                <w:sz w:val="21"/>
                <w:szCs w:val="21"/>
                <w:u w:val="single"/>
                <w:lang w:val="en-US" w:eastAsia="zh-CN" w:bidi="ar"/>
              </w:rPr>
              <w:t>/</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507260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61.041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E97570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0.372</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A94B5D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8.381</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70FF1B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40.684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F7F4BD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1.859</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5B2C5F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9.75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9ED93D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203.996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6AAABA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1.651</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E75BFF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cs="Times New Roman"/>
                <w:b/>
                <w:bCs/>
                <w:i w:val="0"/>
                <w:iCs w:val="0"/>
                <w:color w:val="000000"/>
                <w:kern w:val="0"/>
                <w:sz w:val="21"/>
                <w:szCs w:val="21"/>
                <w:u w:val="single"/>
                <w:lang w:val="en-US" w:eastAsia="zh-CN" w:bidi="ar"/>
              </w:rPr>
              <w:t>/</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54326B0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16.044</w:t>
            </w:r>
          </w:p>
        </w:tc>
      </w:tr>
      <w:tr w14:paraId="21FB45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6BAD6C3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7月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525ED09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14998.80195</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7D6FC3D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14998.80195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2EB717D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1.375</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670098B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1.324</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D756F7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205.001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6AC7A0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21.756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313CA0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20.94</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0A53DE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3287.892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A157B6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40.476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A3AFB0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38.949</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3F41E15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6086.533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494B86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2.185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E79B46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2.106</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4A5E308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322.834</w:t>
            </w:r>
          </w:p>
        </w:tc>
      </w:tr>
      <w:tr w14:paraId="63E043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116A99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8月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5E094C0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14749.04413</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2B11BA5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14749.04413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208F9C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1.006</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3147C92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1.568</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5F7840A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148.815</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158E99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23.271</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A6F9A6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23.095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0249BF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3585.834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BA7EA0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38.837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9C7297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39.788</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29B624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5973.006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A4F005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1.98</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5AB274F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3.414</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1AFFBD4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291.787</w:t>
            </w:r>
          </w:p>
        </w:tc>
      </w:tr>
      <w:tr w14:paraId="3B6FB1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682C5CD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9月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776759D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12583.81137</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6AEE054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12583.81137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401F20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1.113</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081C391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1.027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AD88BE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139.747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DE1014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27.6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C00284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25.458</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561F0E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3480.787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304FC6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43.184</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ED725D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39.829</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32BF09C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5448.191</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DABABB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1.757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007821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1.627</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76111F6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224.319</w:t>
            </w:r>
          </w:p>
        </w:tc>
      </w:tr>
      <w:tr w14:paraId="3F2D95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352631A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1D0C7FA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12313.2467</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7FA18C0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12313.2467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111278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0.937</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7242CE1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0.883</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CA1DE0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113.99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509767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25.531</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882AE2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23.982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FD1694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3158.089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52F5D8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41.497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F420E6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38.983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3936834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5114.903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5B0BCA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1.315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31D4F1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1.235</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07E96A5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160.5</w:t>
            </w:r>
          </w:p>
        </w:tc>
      </w:tr>
      <w:tr w14:paraId="249E9C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2F3B11F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11月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5866B25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11938.18945</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386E3AB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11938.18945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441D10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0.85</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0FB4CE0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0.793</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20B89A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101.807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BD657A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24.501</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51B4AC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22.82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ED6EE8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2935.312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F518BD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40.782</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7827F7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38.012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770D2B9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4881.185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64551A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0.967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B004E7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0.903</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00FA13C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114.459</w:t>
            </w:r>
          </w:p>
        </w:tc>
      </w:tr>
      <w:tr w14:paraId="00184E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1BC4F87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1811858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14193.04956</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1835AB0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14193.04956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95BAA7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1.307</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3B8BB30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1.227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5010A60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184.721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E33E83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23.052</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730349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21.669</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0150E1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3241.717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C1BDF1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41.121</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99FC67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38.606</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22E2E0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5830.683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8B3999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1.181</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1FD805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1.108</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4C772EB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168.542</w:t>
            </w:r>
          </w:p>
        </w:tc>
      </w:tr>
      <w:tr w14:paraId="1499BB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6AC2C28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最大值</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5C7B88D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14998.80195</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771C420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14998.80195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1DBEEF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1.375</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4B3F075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3.712</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CC602A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205.001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54B4F1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27.6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42E794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25.458</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5FAC99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3585.834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42C177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43.184</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74D614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39.829</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5C163C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6086.533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6E458A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2.185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C70E31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4.922</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7587A33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322.834</w:t>
            </w:r>
          </w:p>
        </w:tc>
      </w:tr>
      <w:tr w14:paraId="59F7C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2D3DC7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最小值</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00E0BD4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4290.12173</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3266098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4290.12173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8417B7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0.838</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7CA4383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0.793</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473E4F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61.041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6F5158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0.372</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1B087C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8.381</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D85862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40.684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241583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1.859</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918252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9.75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5AF0D7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203.996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F5C45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0.967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1FFF95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0.903</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30D5BF6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0.15</w:t>
            </w:r>
          </w:p>
        </w:tc>
      </w:tr>
      <w:tr w14:paraId="2E3BAC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041BF9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年排放总量(吨)</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3DFEE2A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145367.00864</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16B6CCA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145367.00864</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7F7FA58">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30154006">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8BD621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1.62249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CA9DA5C">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8605CCE">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45D7196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29.06064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640B7FD">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DC1FA8E">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A7C2BD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51.786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89B8647">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B7021EA">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38E8F1C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1.29959</w:t>
            </w:r>
          </w:p>
        </w:tc>
      </w:tr>
      <w:tr w14:paraId="7364FA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14604" w:type="dxa"/>
            <w:gridSpan w:val="15"/>
            <w:tcBorders>
              <w:top w:val="single" w:color="000000" w:sz="4" w:space="0"/>
              <w:left w:val="single" w:color="000000" w:sz="4" w:space="0"/>
              <w:bottom w:val="single" w:color="000000" w:sz="4" w:space="0"/>
              <w:right w:val="single" w:color="000000" w:sz="4" w:space="0"/>
            </w:tcBorders>
            <w:noWrap w:val="0"/>
            <w:vAlign w:val="center"/>
          </w:tcPr>
          <w:p w14:paraId="1458C83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排污单位：新乡化纤股份有限公司　　数据类型：年数据　　监控点：5#170吨燃煤锅炉废气出口　　时间：2023-01-01 00:00:00 至 2023-12-31 23:59:59</w:t>
            </w:r>
          </w:p>
        </w:tc>
      </w:tr>
      <w:tr w14:paraId="029809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auto" w:sz="4" w:space="0"/>
              <w:left w:val="single" w:color="auto" w:sz="4" w:space="0"/>
              <w:bottom w:val="single" w:color="auto" w:sz="4" w:space="0"/>
              <w:right w:val="single" w:color="auto" w:sz="4" w:space="0"/>
            </w:tcBorders>
            <w:noWrap/>
            <w:vAlign w:val="center"/>
          </w:tcPr>
          <w:p w14:paraId="684453D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时间</w:t>
            </w:r>
          </w:p>
        </w:tc>
        <w:tc>
          <w:tcPr>
            <w:tcW w:w="2768" w:type="dxa"/>
            <w:gridSpan w:val="2"/>
            <w:tcBorders>
              <w:top w:val="single" w:color="auto" w:sz="4" w:space="0"/>
              <w:left w:val="single" w:color="auto" w:sz="4" w:space="0"/>
              <w:bottom w:val="single" w:color="auto" w:sz="4" w:space="0"/>
              <w:right w:val="single" w:color="auto" w:sz="4" w:space="0"/>
            </w:tcBorders>
            <w:noWrap/>
            <w:vAlign w:val="center"/>
          </w:tcPr>
          <w:p w14:paraId="3D57A65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流量(万标立方米)</w:t>
            </w:r>
          </w:p>
        </w:tc>
        <w:tc>
          <w:tcPr>
            <w:tcW w:w="2675" w:type="dxa"/>
            <w:gridSpan w:val="3"/>
            <w:tcBorders>
              <w:top w:val="nil"/>
              <w:left w:val="single" w:color="auto" w:sz="4" w:space="0"/>
              <w:bottom w:val="single" w:color="000000" w:sz="4" w:space="0"/>
              <w:right w:val="single" w:color="000000" w:sz="4" w:space="0"/>
            </w:tcBorders>
            <w:noWrap/>
            <w:vAlign w:val="center"/>
          </w:tcPr>
          <w:p w14:paraId="74DF661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颗粒物(毫克/立方米)</w:t>
            </w:r>
          </w:p>
        </w:tc>
        <w:tc>
          <w:tcPr>
            <w:tcW w:w="2791" w:type="dxa"/>
            <w:gridSpan w:val="3"/>
            <w:tcBorders>
              <w:top w:val="nil"/>
              <w:left w:val="nil"/>
              <w:bottom w:val="single" w:color="000000" w:sz="4" w:space="0"/>
              <w:right w:val="single" w:color="000000" w:sz="4" w:space="0"/>
            </w:tcBorders>
            <w:noWrap/>
            <w:vAlign w:val="center"/>
          </w:tcPr>
          <w:p w14:paraId="57A1C49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二氧化硫(毫克/立方米)</w:t>
            </w:r>
          </w:p>
        </w:tc>
        <w:tc>
          <w:tcPr>
            <w:tcW w:w="2791" w:type="dxa"/>
            <w:gridSpan w:val="3"/>
            <w:tcBorders>
              <w:top w:val="nil"/>
              <w:left w:val="nil"/>
              <w:bottom w:val="single" w:color="000000" w:sz="4" w:space="0"/>
              <w:right w:val="single" w:color="000000" w:sz="4" w:space="0"/>
            </w:tcBorders>
            <w:noWrap/>
            <w:vAlign w:val="center"/>
          </w:tcPr>
          <w:p w14:paraId="5991A1D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氮氧化物(毫克/立方米)</w:t>
            </w:r>
          </w:p>
        </w:tc>
        <w:tc>
          <w:tcPr>
            <w:tcW w:w="2696" w:type="dxa"/>
            <w:gridSpan w:val="3"/>
            <w:tcBorders>
              <w:top w:val="nil"/>
              <w:left w:val="nil"/>
              <w:bottom w:val="single" w:color="000000" w:sz="4" w:space="0"/>
              <w:right w:val="single" w:color="000000" w:sz="4" w:space="0"/>
            </w:tcBorders>
            <w:noWrap/>
            <w:vAlign w:val="center"/>
          </w:tcPr>
          <w:p w14:paraId="508F97B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氨(毫克/立方米)</w:t>
            </w:r>
          </w:p>
        </w:tc>
      </w:tr>
      <w:tr w14:paraId="1DADE9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vMerge w:val="restart"/>
            <w:tcBorders>
              <w:top w:val="single" w:color="auto" w:sz="4" w:space="0"/>
              <w:left w:val="single" w:color="auto" w:sz="4" w:space="0"/>
              <w:right w:val="single" w:color="000000" w:sz="4" w:space="0"/>
            </w:tcBorders>
            <w:noWrap/>
            <w:vAlign w:val="center"/>
          </w:tcPr>
          <w:p w14:paraId="528C0EF8">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时间</w:t>
            </w:r>
          </w:p>
        </w:tc>
        <w:tc>
          <w:tcPr>
            <w:tcW w:w="1274" w:type="dxa"/>
            <w:vMerge w:val="restart"/>
            <w:tcBorders>
              <w:top w:val="single" w:color="auto" w:sz="4" w:space="0"/>
              <w:left w:val="single" w:color="000000" w:sz="4" w:space="0"/>
              <w:right w:val="single" w:color="auto" w:sz="4" w:space="0"/>
            </w:tcBorders>
            <w:noWrap w:val="0"/>
            <w:vAlign w:val="center"/>
          </w:tcPr>
          <w:p w14:paraId="3FF0722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累计流量</w:t>
            </w:r>
          </w:p>
        </w:tc>
        <w:tc>
          <w:tcPr>
            <w:tcW w:w="1494" w:type="dxa"/>
            <w:vMerge w:val="restart"/>
            <w:tcBorders>
              <w:top w:val="single" w:color="auto" w:sz="4" w:space="0"/>
              <w:left w:val="single" w:color="auto" w:sz="4" w:space="0"/>
              <w:right w:val="single" w:color="000000" w:sz="4" w:space="0"/>
            </w:tcBorders>
            <w:noWrap w:val="0"/>
            <w:vAlign w:val="center"/>
          </w:tcPr>
          <w:p w14:paraId="5C23498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累计修正流量</w:t>
            </w:r>
          </w:p>
        </w:tc>
        <w:tc>
          <w:tcPr>
            <w:tcW w:w="1763" w:type="dxa"/>
            <w:gridSpan w:val="2"/>
            <w:tcBorders>
              <w:top w:val="single" w:color="000000" w:sz="4" w:space="0"/>
              <w:left w:val="single" w:color="000000" w:sz="4" w:space="0"/>
              <w:bottom w:val="single" w:color="000000" w:sz="4" w:space="0"/>
              <w:right w:val="single" w:color="000000" w:sz="4" w:space="0"/>
            </w:tcBorders>
            <w:noWrap w:val="0"/>
            <w:vAlign w:val="center"/>
          </w:tcPr>
          <w:p w14:paraId="0DCEF53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912" w:type="dxa"/>
            <w:vMerge w:val="restart"/>
            <w:tcBorders>
              <w:top w:val="single" w:color="000000" w:sz="4" w:space="0"/>
              <w:left w:val="single" w:color="000000" w:sz="4" w:space="0"/>
              <w:bottom w:val="single" w:color="000000" w:sz="4" w:space="0"/>
              <w:right w:val="single" w:color="000000" w:sz="4" w:space="0"/>
            </w:tcBorders>
            <w:noWrap w:val="0"/>
            <w:vAlign w:val="center"/>
          </w:tcPr>
          <w:p w14:paraId="06AC444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c>
          <w:tcPr>
            <w:tcW w:w="1787" w:type="dxa"/>
            <w:gridSpan w:val="2"/>
            <w:tcBorders>
              <w:top w:val="single" w:color="000000" w:sz="4" w:space="0"/>
              <w:left w:val="single" w:color="000000" w:sz="4" w:space="0"/>
              <w:bottom w:val="single" w:color="000000" w:sz="4" w:space="0"/>
              <w:right w:val="single" w:color="000000" w:sz="4" w:space="0"/>
            </w:tcBorders>
            <w:noWrap w:val="0"/>
            <w:vAlign w:val="center"/>
          </w:tcPr>
          <w:p w14:paraId="687F1A4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1004" w:type="dxa"/>
            <w:vMerge w:val="restart"/>
            <w:tcBorders>
              <w:top w:val="single" w:color="000000" w:sz="4" w:space="0"/>
              <w:left w:val="single" w:color="000000" w:sz="4" w:space="0"/>
              <w:bottom w:val="single" w:color="000000" w:sz="4" w:space="0"/>
              <w:right w:val="single" w:color="000000" w:sz="4" w:space="0"/>
            </w:tcBorders>
            <w:noWrap w:val="0"/>
            <w:vAlign w:val="center"/>
          </w:tcPr>
          <w:p w14:paraId="18F8811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c>
          <w:tcPr>
            <w:tcW w:w="1787" w:type="dxa"/>
            <w:gridSpan w:val="2"/>
            <w:tcBorders>
              <w:top w:val="single" w:color="000000" w:sz="4" w:space="0"/>
              <w:left w:val="single" w:color="000000" w:sz="4" w:space="0"/>
              <w:bottom w:val="single" w:color="000000" w:sz="4" w:space="0"/>
              <w:right w:val="single" w:color="000000" w:sz="4" w:space="0"/>
            </w:tcBorders>
            <w:noWrap w:val="0"/>
            <w:vAlign w:val="center"/>
          </w:tcPr>
          <w:p w14:paraId="6D5961F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1004" w:type="dxa"/>
            <w:vMerge w:val="restart"/>
            <w:tcBorders>
              <w:top w:val="single" w:color="000000" w:sz="4" w:space="0"/>
              <w:left w:val="single" w:color="000000" w:sz="4" w:space="0"/>
              <w:bottom w:val="single" w:color="000000" w:sz="4" w:space="0"/>
              <w:right w:val="single" w:color="000000" w:sz="4" w:space="0"/>
            </w:tcBorders>
            <w:noWrap w:val="0"/>
            <w:vAlign w:val="center"/>
          </w:tcPr>
          <w:p w14:paraId="4A768B4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c>
          <w:tcPr>
            <w:tcW w:w="1783" w:type="dxa"/>
            <w:gridSpan w:val="2"/>
            <w:tcBorders>
              <w:top w:val="single" w:color="000000" w:sz="4" w:space="0"/>
              <w:left w:val="single" w:color="000000" w:sz="4" w:space="0"/>
              <w:bottom w:val="single" w:color="000000" w:sz="4" w:space="0"/>
              <w:right w:val="single" w:color="000000" w:sz="4" w:space="0"/>
            </w:tcBorders>
            <w:noWrap w:val="0"/>
            <w:vAlign w:val="center"/>
          </w:tcPr>
          <w:p w14:paraId="4DE7C47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浓度</w:t>
            </w:r>
          </w:p>
        </w:tc>
        <w:tc>
          <w:tcPr>
            <w:tcW w:w="913" w:type="dxa"/>
            <w:vMerge w:val="restart"/>
            <w:tcBorders>
              <w:top w:val="single" w:color="000000" w:sz="4" w:space="0"/>
              <w:left w:val="single" w:color="000000" w:sz="4" w:space="0"/>
              <w:bottom w:val="single" w:color="000000" w:sz="4" w:space="0"/>
              <w:right w:val="single" w:color="000000" w:sz="4" w:space="0"/>
            </w:tcBorders>
            <w:noWrap w:val="0"/>
            <w:vAlign w:val="center"/>
          </w:tcPr>
          <w:p w14:paraId="7C7CDD8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排放量(千克)</w:t>
            </w:r>
          </w:p>
        </w:tc>
      </w:tr>
      <w:tr w14:paraId="021267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vMerge w:val="continue"/>
            <w:tcBorders>
              <w:top w:val="single" w:color="auto" w:sz="4" w:space="0"/>
              <w:left w:val="single" w:color="auto" w:sz="4" w:space="0"/>
              <w:bottom w:val="single" w:color="auto" w:sz="4" w:space="0"/>
              <w:right w:val="single" w:color="000000" w:sz="4" w:space="0"/>
            </w:tcBorders>
            <w:noWrap/>
            <w:vAlign w:val="center"/>
          </w:tcPr>
          <w:p w14:paraId="4774F077">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274" w:type="dxa"/>
            <w:vMerge w:val="continue"/>
            <w:tcBorders>
              <w:top w:val="single" w:color="auto" w:sz="4" w:space="0"/>
              <w:left w:val="single" w:color="000000" w:sz="4" w:space="0"/>
              <w:bottom w:val="single" w:color="auto" w:sz="4" w:space="0"/>
              <w:right w:val="single" w:color="auto" w:sz="4" w:space="0"/>
            </w:tcBorders>
            <w:noWrap w:val="0"/>
            <w:vAlign w:val="center"/>
          </w:tcPr>
          <w:p w14:paraId="48B1B27A">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494" w:type="dxa"/>
            <w:vMerge w:val="continue"/>
            <w:tcBorders>
              <w:top w:val="single" w:color="auto" w:sz="4" w:space="0"/>
              <w:left w:val="single" w:color="auto" w:sz="4" w:space="0"/>
              <w:bottom w:val="single" w:color="auto" w:sz="4" w:space="0"/>
              <w:right w:val="single" w:color="000000" w:sz="4" w:space="0"/>
            </w:tcBorders>
            <w:noWrap w:val="0"/>
            <w:vAlign w:val="center"/>
          </w:tcPr>
          <w:p w14:paraId="3BF9906C">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956EE8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1263D94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912" w:type="dxa"/>
            <w:vMerge w:val="continue"/>
            <w:tcBorders>
              <w:top w:val="single" w:color="000000" w:sz="4" w:space="0"/>
              <w:left w:val="single" w:color="000000" w:sz="4" w:space="0"/>
              <w:bottom w:val="single" w:color="000000" w:sz="4" w:space="0"/>
              <w:right w:val="single" w:color="000000" w:sz="4" w:space="0"/>
            </w:tcBorders>
            <w:noWrap w:val="0"/>
            <w:vAlign w:val="center"/>
          </w:tcPr>
          <w:p w14:paraId="014A2DC3">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94A853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63C162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100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A0E9424">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BA3B43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8837AD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100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CAC829C">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25B8EAA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实测值</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5924B0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折算值</w:t>
            </w:r>
          </w:p>
        </w:tc>
        <w:tc>
          <w:tcPr>
            <w:tcW w:w="913" w:type="dxa"/>
            <w:vMerge w:val="continue"/>
            <w:tcBorders>
              <w:top w:val="single" w:color="000000" w:sz="4" w:space="0"/>
              <w:left w:val="single" w:color="000000" w:sz="4" w:space="0"/>
              <w:bottom w:val="single" w:color="000000" w:sz="4" w:space="0"/>
              <w:right w:val="single" w:color="000000" w:sz="4" w:space="0"/>
            </w:tcBorders>
            <w:noWrap w:val="0"/>
            <w:vAlign w:val="center"/>
          </w:tcPr>
          <w:p w14:paraId="264F9CA1">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r>
      <w:tr w14:paraId="3A9660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auto" w:sz="4" w:space="0"/>
              <w:left w:val="single" w:color="000000" w:sz="4" w:space="0"/>
              <w:bottom w:val="single" w:color="000000" w:sz="4" w:space="0"/>
              <w:right w:val="single" w:color="000000" w:sz="4" w:space="0"/>
            </w:tcBorders>
            <w:noWrap w:val="0"/>
            <w:vAlign w:val="center"/>
          </w:tcPr>
          <w:p w14:paraId="0767AC9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1月</w:t>
            </w:r>
          </w:p>
        </w:tc>
        <w:tc>
          <w:tcPr>
            <w:tcW w:w="1274" w:type="dxa"/>
            <w:tcBorders>
              <w:top w:val="single" w:color="auto" w:sz="4" w:space="0"/>
              <w:left w:val="single" w:color="000000" w:sz="4" w:space="0"/>
              <w:bottom w:val="single" w:color="000000" w:sz="4" w:space="0"/>
              <w:right w:val="single" w:color="000000" w:sz="4" w:space="0"/>
            </w:tcBorders>
            <w:noWrap w:val="0"/>
            <w:vAlign w:val="center"/>
          </w:tcPr>
          <w:p w14:paraId="7EABC0C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12657.66021</w:t>
            </w:r>
          </w:p>
        </w:tc>
        <w:tc>
          <w:tcPr>
            <w:tcW w:w="1494" w:type="dxa"/>
            <w:tcBorders>
              <w:top w:val="single" w:color="auto" w:sz="4" w:space="0"/>
              <w:left w:val="single" w:color="000000" w:sz="4" w:space="0"/>
              <w:bottom w:val="single" w:color="000000" w:sz="4" w:space="0"/>
              <w:right w:val="single" w:color="000000" w:sz="4" w:space="0"/>
            </w:tcBorders>
            <w:noWrap w:val="0"/>
            <w:vAlign w:val="center"/>
          </w:tcPr>
          <w:p w14:paraId="3E8603F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12657.66021</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2EEDDA6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1.923</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5152F19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1.954</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878394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240.25</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C9980F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15.139</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549D46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14.717</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DC1C7C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1914.96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183970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29.663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57BF1F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29.554</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E6F02C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3747.07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2F76D49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0.857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BEEE8A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0.951</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22AD2A2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0.06</w:t>
            </w:r>
          </w:p>
        </w:tc>
      </w:tr>
      <w:tr w14:paraId="3AAE70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55BD036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30E6E04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10999.56634</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33CC4B0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10999.56634</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F1EA24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2.17</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4286ACC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2.025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DD2715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238.14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CE14B7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16.963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3104BA6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15.722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4622BC1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1881.24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A64FF1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35.186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B838F9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32.665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7AB6261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3878.28</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B74161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0.615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8B79FD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0.573</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1443B2C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w:t>
            </w:r>
          </w:p>
        </w:tc>
      </w:tr>
      <w:tr w14:paraId="4682F0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5B29F9F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406253D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12069.76538</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30A5240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12069.76538</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DA0AE9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1.397*</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0FC0D95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1.324*</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FFBE49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221.299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954D11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9.443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38A332C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9.968</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44FF678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1315.95</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F50323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23.497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EC1A12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42.514</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E7EB8C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3307.47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2F0929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1.071</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781C43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1.057</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3E410F4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0.13</w:t>
            </w:r>
          </w:p>
        </w:tc>
      </w:tr>
      <w:tr w14:paraId="3898A9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684F74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0692F1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9813.73667</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642D1F2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9813.73667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6E0F754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0.773*</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0917DA5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0.8*</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381F98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58.58</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D8DCFC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10.616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DD2E44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32.113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14300A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1527.27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F0933A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32.13</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E7FD60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33.044</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6CE8E5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2385.99</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2A973E3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3.621</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6C5413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3.738</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11978DF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0.32</w:t>
            </w:r>
          </w:p>
        </w:tc>
      </w:tr>
      <w:tr w14:paraId="045F97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3D52A0F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5月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553043B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6519.30531</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7046F38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6519.30531</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39E28AF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1.015*</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34772CE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1.005*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900240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44.56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FB3EBC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7.558</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74972E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11.031</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E1A88E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868.11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91FF28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31.36*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40706D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30.935*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7FB97C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1360.32</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2A76709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2.817</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196718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2.776</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451D160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0.1</w:t>
            </w:r>
          </w:p>
        </w:tc>
      </w:tr>
      <w:tr w14:paraId="117E28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15E97B1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4EA28B2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17641.09523</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4F2E59D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17641.09523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3FA588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2.228</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1252099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2.241</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5A0343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398.922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253568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21.934</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FDCB2D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22.021</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716CB0D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3888.427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0689CBF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30.637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39FE13D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30.794</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40D4F0F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5416.073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40B145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3.115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3E3284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3.136</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3A3E90E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69.706</w:t>
            </w:r>
          </w:p>
        </w:tc>
      </w:tr>
      <w:tr w14:paraId="679478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5BC889C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7月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2F129AA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19032.48365</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3BF16E7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19032.48365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699D24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2.496</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3491628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2.621</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002779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476.123</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5526AD9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19.066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17E5A5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20.051</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FFDF83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3656.222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7064C2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30.56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309BFF4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32.103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8B856C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5808.567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3284E8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1.594</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6B3CB22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1.67</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2439B9F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307.814</w:t>
            </w:r>
          </w:p>
        </w:tc>
      </w:tr>
      <w:tr w14:paraId="2A7340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2111688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8月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478C8D0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19487.76562</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7FE8BCA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19487.76562</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3769E29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2.072</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72CB7BD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2.288</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FF59A2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404.239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C7ABCF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21.399</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398910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23.672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4D47D8E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4208.149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5BB662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29.337</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5F6B16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32.479</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6A50C53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5712.033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A53563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1.229</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071BE8C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1.359</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44B0557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241.599</w:t>
            </w:r>
          </w:p>
        </w:tc>
      </w:tr>
      <w:tr w14:paraId="6E5247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D1E3A2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9月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749AA64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6729.59105</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5A8DBBA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6729.59105</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6C231E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1.288*</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71614BF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1.515*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447601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83.11</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DCB07E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4.736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04E8768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10.383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561EF9E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771.696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4525AC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6.271</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DE3E75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24.678</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DCE9AB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1015.236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1DB0DD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1.448</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E7CD92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1.705</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3261974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86.662</w:t>
            </w:r>
          </w:p>
        </w:tc>
      </w:tr>
      <w:tr w14:paraId="201E02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479ECB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0521549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13180.73247</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4C750EE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13180.73247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7E0D0C5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1.412*</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10122A0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1.249*</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514AE6B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180.982</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45EFB8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20.263</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74ECE8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28.145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6698B3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3108.674</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6ADAFC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33.942*</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7B6C02E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eastAsia" w:ascii="Times New Roman" w:hAnsi="Times New Roman" w:eastAsia="宋体" w:cs="Times New Roman"/>
                <w:b/>
                <w:bCs/>
                <w:i w:val="0"/>
                <w:iCs w:val="0"/>
                <w:color w:val="000000"/>
                <w:kern w:val="0"/>
                <w:sz w:val="21"/>
                <w:szCs w:val="21"/>
                <w:u w:val="single"/>
                <w:lang w:val="en-US" w:eastAsia="zh-CN" w:bidi="ar"/>
              </w:rPr>
              <w:t>30.015*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0257878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4146.214</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76F9F3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1.596</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061244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1.412</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211BD57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202.838</w:t>
            </w:r>
          </w:p>
        </w:tc>
      </w:tr>
      <w:tr w14:paraId="3ABCE1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2FBB7D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11月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248A7E2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15239.84034</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4BE0BCB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14394.96601</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4F3BF6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1.387</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6F9BEBE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1.263</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38B5DF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211.677</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32479A0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26.746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2C1C314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24.335</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D69FE2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4083.755</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2001B90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28.68</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6F1789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26.036</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2C64A2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4326.272</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6C83431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1.227</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030571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1.115</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48A4423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189.865</w:t>
            </w:r>
          </w:p>
        </w:tc>
      </w:tr>
      <w:tr w14:paraId="5089D6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14E5710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12月</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34CB68C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15996.91153</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7A6C137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15996.91153</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7229E5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1.37</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4436489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1.285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1931742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219.15</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491AF76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20.976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14BD225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19.664</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F9E2B7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3328.716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CD5879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27.314</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3108AC4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25.572</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449E79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4372.754</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3D6EDA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1.086</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52E0F83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1.018</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2CA848C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173.194</w:t>
            </w:r>
          </w:p>
        </w:tc>
      </w:tr>
      <w:tr w14:paraId="325CC2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4B2C55AE">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最大值</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702EF37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19487.76562</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571AFC4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19487.76562</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0941D95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2.496</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4FA59BCB">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2.621</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E5D2A7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476.123</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F7D15A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26.746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F762C4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32.113</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834757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4208.149</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0D8614C">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35.186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4D620C3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42.514</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D9CD75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5808.567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5521845F">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3.115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7274182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3.738</w:t>
            </w:r>
            <w:r>
              <w:rPr>
                <w:rFonts w:hint="eastAsia" w:ascii="Times New Roman" w:hAnsi="Times New Roman" w:eastAsia="宋体" w:cs="Times New Roman"/>
                <w:b/>
                <w:bCs/>
                <w:i w:val="0"/>
                <w:iCs w:val="0"/>
                <w:color w:val="000000"/>
                <w:kern w:val="0"/>
                <w:sz w:val="21"/>
                <w:szCs w:val="21"/>
                <w:u w:val="single"/>
                <w:lang w:val="en-US" w:eastAsia="zh-CN" w:bidi="ar"/>
              </w:rPr>
              <w:t>*</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5E91A4B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kern w:val="0"/>
                <w:sz w:val="21"/>
                <w:szCs w:val="21"/>
                <w:u w:val="single"/>
                <w:lang w:val="en-US" w:eastAsia="zh-CN" w:bidi="ar"/>
              </w:rPr>
            </w:pPr>
            <w:r>
              <w:rPr>
                <w:rFonts w:hint="default" w:ascii="Times New Roman" w:hAnsi="Times New Roman" w:eastAsia="宋体" w:cs="Times New Roman"/>
                <w:b/>
                <w:bCs/>
                <w:i w:val="0"/>
                <w:iCs w:val="0"/>
                <w:color w:val="000000"/>
                <w:kern w:val="0"/>
                <w:sz w:val="21"/>
                <w:szCs w:val="21"/>
                <w:u w:val="single"/>
                <w:lang w:val="en-US" w:eastAsia="zh-CN" w:bidi="ar"/>
              </w:rPr>
              <w:t>307.814</w:t>
            </w:r>
          </w:p>
        </w:tc>
      </w:tr>
      <w:tr w14:paraId="2C981D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62EBF36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最小值</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7ADC9D3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6519.30531</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0814EA1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6519.30531</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1C3FE75">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0.34</w:t>
            </w: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0211683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1.263</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27901833">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44.56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658A4AC6">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4.736</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38507872">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9.968</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2E425800">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771.696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A95BC4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6.271</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F1FC158">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24.678</w:t>
            </w: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176A2DDD">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1015.236</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1C8C29E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0.615</w:t>
            </w: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AE9258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0.573</w:t>
            </w: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6054163A">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0</w:t>
            </w:r>
          </w:p>
        </w:tc>
      </w:tr>
      <w:tr w14:paraId="5B4E1A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883" w:type="dxa"/>
            <w:tcBorders>
              <w:top w:val="single" w:color="000000" w:sz="4" w:space="0"/>
              <w:left w:val="single" w:color="000000" w:sz="4" w:space="0"/>
              <w:bottom w:val="single" w:color="000000" w:sz="4" w:space="0"/>
              <w:right w:val="single" w:color="000000" w:sz="4" w:space="0"/>
            </w:tcBorders>
            <w:noWrap w:val="0"/>
            <w:vAlign w:val="center"/>
          </w:tcPr>
          <w:p w14:paraId="6FF953D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年排放总量(吨)</w:t>
            </w:r>
          </w:p>
        </w:tc>
        <w:tc>
          <w:tcPr>
            <w:tcW w:w="1274" w:type="dxa"/>
            <w:tcBorders>
              <w:top w:val="single" w:color="000000" w:sz="4" w:space="0"/>
              <w:left w:val="single" w:color="000000" w:sz="4" w:space="0"/>
              <w:bottom w:val="single" w:color="000000" w:sz="4" w:space="0"/>
              <w:right w:val="single" w:color="000000" w:sz="4" w:space="0"/>
            </w:tcBorders>
            <w:noWrap w:val="0"/>
            <w:vAlign w:val="center"/>
          </w:tcPr>
          <w:p w14:paraId="5F5D69F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159368.4538</w:t>
            </w:r>
          </w:p>
        </w:tc>
        <w:tc>
          <w:tcPr>
            <w:tcW w:w="1494" w:type="dxa"/>
            <w:tcBorders>
              <w:top w:val="single" w:color="000000" w:sz="4" w:space="0"/>
              <w:left w:val="single" w:color="000000" w:sz="4" w:space="0"/>
              <w:bottom w:val="single" w:color="000000" w:sz="4" w:space="0"/>
              <w:right w:val="single" w:color="000000" w:sz="4" w:space="0"/>
            </w:tcBorders>
            <w:noWrap w:val="0"/>
            <w:vAlign w:val="center"/>
          </w:tcPr>
          <w:p w14:paraId="5F012E89">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158523.57947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4C816FA6">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2" w:type="dxa"/>
            <w:tcBorders>
              <w:top w:val="single" w:color="000000" w:sz="4" w:space="0"/>
              <w:left w:val="single" w:color="000000" w:sz="4" w:space="0"/>
              <w:bottom w:val="single" w:color="000000" w:sz="4" w:space="0"/>
              <w:right w:val="single" w:color="000000" w:sz="4" w:space="0"/>
            </w:tcBorders>
            <w:noWrap w:val="0"/>
            <w:vAlign w:val="center"/>
          </w:tcPr>
          <w:p w14:paraId="7DEBA383">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46748C81">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2.77703</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7F3BFE0B">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618B96C1">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48AB5297">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30.55316</w:t>
            </w:r>
          </w:p>
        </w:tc>
        <w:tc>
          <w:tcPr>
            <w:tcW w:w="894" w:type="dxa"/>
            <w:tcBorders>
              <w:top w:val="single" w:color="000000" w:sz="4" w:space="0"/>
              <w:left w:val="single" w:color="000000" w:sz="4" w:space="0"/>
              <w:bottom w:val="single" w:color="000000" w:sz="4" w:space="0"/>
              <w:right w:val="single" w:color="000000" w:sz="4" w:space="0"/>
            </w:tcBorders>
            <w:noWrap w:val="0"/>
            <w:vAlign w:val="center"/>
          </w:tcPr>
          <w:p w14:paraId="1BDC43F0">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893" w:type="dxa"/>
            <w:tcBorders>
              <w:top w:val="single" w:color="000000" w:sz="4" w:space="0"/>
              <w:left w:val="single" w:color="000000" w:sz="4" w:space="0"/>
              <w:bottom w:val="single" w:color="000000" w:sz="4" w:space="0"/>
              <w:right w:val="single" w:color="000000" w:sz="4" w:space="0"/>
            </w:tcBorders>
            <w:noWrap w:val="0"/>
            <w:vAlign w:val="center"/>
          </w:tcPr>
          <w:p w14:paraId="546E01A9">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1004" w:type="dxa"/>
            <w:tcBorders>
              <w:top w:val="single" w:color="000000" w:sz="4" w:space="0"/>
              <w:left w:val="single" w:color="000000" w:sz="4" w:space="0"/>
              <w:bottom w:val="single" w:color="000000" w:sz="4" w:space="0"/>
              <w:right w:val="single" w:color="000000" w:sz="4" w:space="0"/>
            </w:tcBorders>
            <w:noWrap w:val="0"/>
            <w:vAlign w:val="center"/>
          </w:tcPr>
          <w:p w14:paraId="4C09B74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45.47627</w:t>
            </w:r>
          </w:p>
        </w:tc>
        <w:tc>
          <w:tcPr>
            <w:tcW w:w="871" w:type="dxa"/>
            <w:tcBorders>
              <w:top w:val="single" w:color="000000" w:sz="4" w:space="0"/>
              <w:left w:val="single" w:color="000000" w:sz="4" w:space="0"/>
              <w:bottom w:val="single" w:color="000000" w:sz="4" w:space="0"/>
              <w:right w:val="single" w:color="000000" w:sz="4" w:space="0"/>
            </w:tcBorders>
            <w:noWrap w:val="0"/>
            <w:vAlign w:val="center"/>
          </w:tcPr>
          <w:p w14:paraId="2CE7F389">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912" w:type="dxa"/>
            <w:tcBorders>
              <w:top w:val="single" w:color="000000" w:sz="4" w:space="0"/>
              <w:left w:val="single" w:color="000000" w:sz="4" w:space="0"/>
              <w:bottom w:val="single" w:color="000000" w:sz="4" w:space="0"/>
              <w:right w:val="single" w:color="000000" w:sz="4" w:space="0"/>
            </w:tcBorders>
            <w:noWrap w:val="0"/>
            <w:vAlign w:val="center"/>
          </w:tcPr>
          <w:p w14:paraId="3BED602F">
            <w:pPr>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
                <w:bCs/>
                <w:i w:val="0"/>
                <w:iCs w:val="0"/>
                <w:color w:val="000000"/>
                <w:sz w:val="21"/>
                <w:szCs w:val="21"/>
                <w:u w:val="single"/>
              </w:rPr>
            </w:pPr>
          </w:p>
        </w:tc>
        <w:tc>
          <w:tcPr>
            <w:tcW w:w="913" w:type="dxa"/>
            <w:tcBorders>
              <w:top w:val="single" w:color="000000" w:sz="4" w:space="0"/>
              <w:left w:val="single" w:color="000000" w:sz="4" w:space="0"/>
              <w:bottom w:val="single" w:color="000000" w:sz="4" w:space="0"/>
              <w:right w:val="single" w:color="000000" w:sz="4" w:space="0"/>
            </w:tcBorders>
            <w:noWrap w:val="0"/>
            <w:vAlign w:val="center"/>
          </w:tcPr>
          <w:p w14:paraId="64E54A94">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single"/>
              </w:rPr>
            </w:pPr>
            <w:r>
              <w:rPr>
                <w:rFonts w:hint="default" w:ascii="Times New Roman" w:hAnsi="Times New Roman" w:eastAsia="宋体" w:cs="Times New Roman"/>
                <w:b/>
                <w:bCs/>
                <w:i w:val="0"/>
                <w:iCs w:val="0"/>
                <w:color w:val="000000"/>
                <w:kern w:val="0"/>
                <w:sz w:val="21"/>
                <w:szCs w:val="21"/>
                <w:u w:val="single"/>
                <w:lang w:val="en-US" w:eastAsia="zh-CN" w:bidi="ar"/>
              </w:rPr>
              <w:t>1.27228</w:t>
            </w:r>
          </w:p>
        </w:tc>
      </w:tr>
    </w:tbl>
    <w:p w14:paraId="2A8434F2">
      <w:pPr>
        <w:ind w:left="0" w:leftChars="0" w:firstLine="0" w:firstLineChars="0"/>
        <w:rPr>
          <w:rFonts w:hint="default" w:eastAsia="宋体"/>
          <w:b/>
          <w:bCs/>
          <w:u w:val="single"/>
          <w:lang w:val="en-US" w:eastAsia="zh-CN"/>
        </w:rPr>
      </w:pPr>
      <w:r>
        <w:rPr>
          <w:rFonts w:hint="eastAsia"/>
          <w:b/>
          <w:bCs/>
          <w:u w:val="single"/>
          <w:lang w:val="en-US" w:eastAsia="zh-CN"/>
        </w:rPr>
        <w:t>备注：</w:t>
      </w:r>
      <w:r>
        <w:rPr>
          <w:rFonts w:hint="eastAsia"/>
          <w:b/>
          <w:bCs/>
          <w:u w:val="single"/>
        </w:rPr>
        <w:t>因月中有启停炉操作造成数据波动</w:t>
      </w:r>
      <w:r>
        <w:rPr>
          <w:rFonts w:hint="eastAsia"/>
          <w:b/>
          <w:bCs/>
          <w:u w:val="single"/>
          <w:lang w:val="en-US" w:eastAsia="zh-CN"/>
        </w:rPr>
        <w:t>以及停炉期间产生的无效数据过多</w:t>
      </w:r>
      <w:r>
        <w:rPr>
          <w:rFonts w:hint="eastAsia"/>
          <w:b/>
          <w:bCs/>
          <w:u w:val="single"/>
          <w:lang w:eastAsia="zh-CN"/>
        </w:rPr>
        <w:t>，</w:t>
      </w:r>
      <w:r>
        <w:rPr>
          <w:rFonts w:hint="eastAsia"/>
          <w:b/>
          <w:bCs/>
          <w:u w:val="single"/>
        </w:rPr>
        <w:t>带</w:t>
      </w:r>
      <w:r>
        <w:rPr>
          <w:rFonts w:hint="eastAsia"/>
          <w:b/>
          <w:bCs/>
          <w:u w:val="single"/>
          <w:lang w:val="en-US" w:eastAsia="zh-CN"/>
        </w:rPr>
        <w:t>*</w:t>
      </w:r>
      <w:r>
        <w:rPr>
          <w:rFonts w:hint="eastAsia"/>
          <w:b/>
          <w:bCs/>
          <w:u w:val="single"/>
        </w:rPr>
        <w:t>数据为</w:t>
      </w:r>
      <w:r>
        <w:rPr>
          <w:rFonts w:hint="eastAsia"/>
          <w:b/>
          <w:bCs/>
          <w:u w:val="single"/>
          <w:lang w:val="en-US" w:eastAsia="zh-CN"/>
        </w:rPr>
        <w:t>在线系统月平均</w:t>
      </w:r>
      <w:r>
        <w:rPr>
          <w:rFonts w:hint="eastAsia"/>
          <w:b/>
          <w:bCs/>
          <w:u w:val="single"/>
        </w:rPr>
        <w:t>修正值</w:t>
      </w:r>
      <w:r>
        <w:rPr>
          <w:rFonts w:hint="eastAsia"/>
          <w:b/>
          <w:bCs/>
          <w:u w:val="single"/>
          <w:lang w:val="en-US" w:eastAsia="zh-CN"/>
        </w:rPr>
        <w:t>数据</w:t>
      </w:r>
      <w:r>
        <w:rPr>
          <w:rFonts w:hint="eastAsia"/>
          <w:b/>
          <w:bCs/>
          <w:u w:val="single"/>
        </w:rPr>
        <w:t>；</w:t>
      </w:r>
      <w:r>
        <w:rPr>
          <w:rFonts w:hint="eastAsia"/>
          <w:b/>
          <w:bCs/>
          <w:u w:val="single"/>
          <w:lang w:eastAsia="zh-CN"/>
        </w:rPr>
        <w:t>“</w:t>
      </w:r>
      <w:r>
        <w:rPr>
          <w:rFonts w:hint="eastAsia"/>
          <w:b/>
          <w:bCs/>
          <w:u w:val="single"/>
          <w:lang w:val="en-US" w:eastAsia="zh-CN"/>
        </w:rPr>
        <w:t>/</w:t>
      </w:r>
      <w:r>
        <w:rPr>
          <w:rFonts w:hint="eastAsia"/>
          <w:b/>
          <w:bCs/>
          <w:u w:val="single"/>
          <w:lang w:eastAsia="zh-CN"/>
        </w:rPr>
        <w:t>”</w:t>
      </w:r>
      <w:r>
        <w:rPr>
          <w:rFonts w:hint="eastAsia"/>
          <w:b/>
          <w:bCs/>
          <w:u w:val="single"/>
        </w:rPr>
        <w:t>数据</w:t>
      </w:r>
      <w:r>
        <w:rPr>
          <w:rFonts w:hint="eastAsia"/>
          <w:b/>
          <w:bCs/>
          <w:u w:val="single"/>
          <w:lang w:val="en-US" w:eastAsia="zh-CN"/>
        </w:rPr>
        <w:t>为</w:t>
      </w:r>
      <w:r>
        <w:rPr>
          <w:rFonts w:hint="eastAsia"/>
          <w:b/>
          <w:bCs/>
          <w:u w:val="single"/>
        </w:rPr>
        <w:t>因当月整月停炉，</w:t>
      </w:r>
      <w:r>
        <w:rPr>
          <w:rFonts w:hint="eastAsia"/>
          <w:b/>
          <w:bCs/>
          <w:u w:val="single"/>
          <w:lang w:val="en-US" w:eastAsia="zh-CN"/>
        </w:rPr>
        <w:t>系统</w:t>
      </w:r>
      <w:r>
        <w:rPr>
          <w:rFonts w:hint="eastAsia"/>
          <w:b/>
          <w:bCs/>
          <w:u w:val="single"/>
        </w:rPr>
        <w:t>造成</w:t>
      </w:r>
      <w:r>
        <w:rPr>
          <w:rFonts w:hint="eastAsia"/>
          <w:b/>
          <w:bCs/>
          <w:u w:val="single"/>
          <w:lang w:val="en-US" w:eastAsia="zh-CN"/>
        </w:rPr>
        <w:t>月平均</w:t>
      </w:r>
      <w:r>
        <w:rPr>
          <w:rFonts w:hint="eastAsia"/>
          <w:b/>
          <w:bCs/>
          <w:u w:val="single"/>
        </w:rPr>
        <w:t>数据</w:t>
      </w:r>
      <w:r>
        <w:rPr>
          <w:rFonts w:hint="eastAsia"/>
          <w:b/>
          <w:bCs/>
          <w:u w:val="single"/>
          <w:lang w:val="en-US" w:eastAsia="zh-CN"/>
        </w:rPr>
        <w:t>为无效数据，且未产生修正值</w:t>
      </w:r>
      <w:r>
        <w:rPr>
          <w:rFonts w:hint="eastAsia"/>
          <w:b/>
          <w:bCs/>
          <w:u w:val="single"/>
          <w:lang w:eastAsia="zh-CN"/>
        </w:rPr>
        <w:t>。</w:t>
      </w:r>
    </w:p>
    <w:p w14:paraId="5296E367">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 xml:space="preserve">表 </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3.3</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8</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已建项目锅炉废气例行检测数据一览表</w:t>
      </w:r>
    </w:p>
    <w:tbl>
      <w:tblPr>
        <w:tblStyle w:val="31"/>
        <w:tblW w:w="5020"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2315"/>
        <w:gridCol w:w="1819"/>
        <w:gridCol w:w="1848"/>
        <w:gridCol w:w="3840"/>
        <w:gridCol w:w="1421"/>
        <w:gridCol w:w="1230"/>
        <w:gridCol w:w="1035"/>
      </w:tblGrid>
      <w:tr w14:paraId="455EBF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267940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p>
        </w:tc>
        <w:tc>
          <w:tcPr>
            <w:tcW w:w="4142" w:type="pct"/>
            <w:gridSpan w:val="6"/>
            <w:noWrap w:val="0"/>
            <w:vAlign w:val="center"/>
          </w:tcPr>
          <w:p w14:paraId="27B1B39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kern w:val="2"/>
                <w:u w:val="single"/>
              </w:rPr>
              <w:t>1#</w:t>
            </w:r>
            <w:r>
              <w:rPr>
                <w:rFonts w:hint="eastAsia"/>
                <w:b/>
                <w:bCs/>
                <w:kern w:val="2"/>
                <w:u w:val="single"/>
              </w:rPr>
              <w:t>、2</w:t>
            </w:r>
            <w:r>
              <w:rPr>
                <w:b/>
                <w:bCs/>
                <w:kern w:val="2"/>
                <w:u w:val="single"/>
              </w:rPr>
              <w:t>#</w:t>
            </w:r>
            <w:r>
              <w:rPr>
                <w:rFonts w:hint="eastAsia"/>
                <w:b/>
                <w:bCs/>
                <w:kern w:val="2"/>
                <w:u w:val="single"/>
              </w:rPr>
              <w:t xml:space="preserve"> </w:t>
            </w:r>
            <w:r>
              <w:rPr>
                <w:b/>
                <w:bCs/>
                <w:u w:val="single"/>
              </w:rPr>
              <w:t>75t/h煤粉炉烟囱DA00</w:t>
            </w:r>
            <w:r>
              <w:rPr>
                <w:rFonts w:hint="eastAsia"/>
                <w:b/>
                <w:bCs/>
                <w:u w:val="single"/>
              </w:rPr>
              <w:t>1</w:t>
            </w:r>
          </w:p>
        </w:tc>
      </w:tr>
      <w:tr w14:paraId="1D5949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857" w:type="pct"/>
            <w:noWrap w:val="0"/>
            <w:vAlign w:val="center"/>
          </w:tcPr>
          <w:p w14:paraId="0516E80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采样日期</w:t>
            </w:r>
          </w:p>
        </w:tc>
        <w:tc>
          <w:tcPr>
            <w:tcW w:w="4142" w:type="pct"/>
            <w:gridSpan w:val="6"/>
            <w:noWrap w:val="0"/>
            <w:vAlign w:val="center"/>
          </w:tcPr>
          <w:p w14:paraId="7C4BCE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202</w:t>
            </w:r>
            <w:r>
              <w:rPr>
                <w:rFonts w:hint="eastAsia"/>
                <w:b/>
                <w:bCs/>
                <w:u w:val="single"/>
              </w:rPr>
              <w:t>3</w:t>
            </w:r>
            <w:r>
              <w:rPr>
                <w:b/>
                <w:bCs/>
                <w:u w:val="single"/>
              </w:rPr>
              <w:t>.11.</w:t>
            </w:r>
            <w:r>
              <w:rPr>
                <w:rFonts w:hint="eastAsia"/>
                <w:b/>
                <w:bCs/>
                <w:u w:val="single"/>
              </w:rPr>
              <w:t>09</w:t>
            </w:r>
          </w:p>
        </w:tc>
      </w:tr>
      <w:tr w14:paraId="3D425B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40" w:hRule="atLeast"/>
          <w:jc w:val="center"/>
        </w:trPr>
        <w:tc>
          <w:tcPr>
            <w:tcW w:w="857" w:type="pct"/>
            <w:noWrap w:val="0"/>
            <w:vAlign w:val="center"/>
          </w:tcPr>
          <w:p w14:paraId="00812B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p>
        </w:tc>
        <w:tc>
          <w:tcPr>
            <w:tcW w:w="673" w:type="pct"/>
            <w:noWrap w:val="0"/>
            <w:vAlign w:val="center"/>
          </w:tcPr>
          <w:p w14:paraId="3F6FFFE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排放浓度（</w:t>
            </w:r>
            <w:r>
              <w:rPr>
                <w:b/>
                <w:bCs/>
                <w:u w:val="single"/>
              </w:rPr>
              <w:t>mg/m</w:t>
            </w:r>
            <w:r>
              <w:rPr>
                <w:b/>
                <w:bCs/>
                <w:u w:val="single"/>
                <w:vertAlign w:val="superscript"/>
              </w:rPr>
              <w:t>3</w:t>
            </w:r>
            <w:r>
              <w:rPr>
                <w:rFonts w:hint="eastAsia"/>
                <w:b/>
                <w:bCs/>
                <w:u w:val="single"/>
              </w:rPr>
              <w:t>）</w:t>
            </w:r>
          </w:p>
        </w:tc>
        <w:tc>
          <w:tcPr>
            <w:tcW w:w="684" w:type="pct"/>
            <w:noWrap w:val="0"/>
            <w:vAlign w:val="center"/>
          </w:tcPr>
          <w:p w14:paraId="17AEA5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排放速率（kg</w:t>
            </w:r>
            <w:r>
              <w:rPr>
                <w:b/>
                <w:bCs/>
                <w:u w:val="single"/>
              </w:rPr>
              <w:t>/h</w:t>
            </w:r>
            <w:r>
              <w:rPr>
                <w:rFonts w:hint="eastAsia"/>
                <w:b/>
                <w:bCs/>
                <w:u w:val="single"/>
              </w:rPr>
              <w:t>）</w:t>
            </w:r>
          </w:p>
        </w:tc>
        <w:tc>
          <w:tcPr>
            <w:tcW w:w="1421" w:type="pct"/>
            <w:noWrap w:val="0"/>
            <w:vAlign w:val="center"/>
          </w:tcPr>
          <w:p w14:paraId="2A10CDC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r>
              <w:rPr>
                <w:rFonts w:hint="eastAsia"/>
                <w:b/>
                <w:bCs/>
                <w:u w:val="single"/>
              </w:rPr>
              <w:t>执行标准</w:t>
            </w:r>
          </w:p>
        </w:tc>
        <w:tc>
          <w:tcPr>
            <w:tcW w:w="526" w:type="pct"/>
            <w:noWrap w:val="0"/>
            <w:vAlign w:val="center"/>
          </w:tcPr>
          <w:p w14:paraId="07D72D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许可排放浓度（</w:t>
            </w:r>
            <w:r>
              <w:rPr>
                <w:b/>
                <w:bCs/>
                <w:u w:val="single"/>
              </w:rPr>
              <w:t>mg/m</w:t>
            </w:r>
            <w:r>
              <w:rPr>
                <w:b/>
                <w:bCs/>
                <w:u w:val="single"/>
                <w:vertAlign w:val="superscript"/>
              </w:rPr>
              <w:t>3</w:t>
            </w:r>
            <w:r>
              <w:rPr>
                <w:rFonts w:hint="eastAsia"/>
                <w:b/>
                <w:bCs/>
                <w:u w:val="single"/>
              </w:rPr>
              <w:t>）</w:t>
            </w:r>
          </w:p>
        </w:tc>
        <w:tc>
          <w:tcPr>
            <w:tcW w:w="455" w:type="pct"/>
            <w:noWrap w:val="0"/>
            <w:vAlign w:val="center"/>
          </w:tcPr>
          <w:p w14:paraId="5AB1874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许可排放速率（kg</w:t>
            </w:r>
            <w:r>
              <w:rPr>
                <w:b/>
                <w:bCs/>
                <w:u w:val="single"/>
              </w:rPr>
              <w:t>/h</w:t>
            </w:r>
            <w:r>
              <w:rPr>
                <w:rFonts w:hint="eastAsia"/>
                <w:b/>
                <w:bCs/>
                <w:u w:val="single"/>
              </w:rPr>
              <w:t>）</w:t>
            </w:r>
          </w:p>
        </w:tc>
        <w:tc>
          <w:tcPr>
            <w:tcW w:w="383" w:type="pct"/>
            <w:noWrap w:val="0"/>
            <w:vAlign w:val="center"/>
          </w:tcPr>
          <w:p w14:paraId="02D5B1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达标情况</w:t>
            </w:r>
          </w:p>
        </w:tc>
      </w:tr>
      <w:tr w14:paraId="64EAA8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35F758D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汞及其化合物实测值</w:t>
            </w:r>
          </w:p>
        </w:tc>
        <w:tc>
          <w:tcPr>
            <w:tcW w:w="673" w:type="pct"/>
            <w:noWrap w:val="0"/>
            <w:vAlign w:val="center"/>
          </w:tcPr>
          <w:p w14:paraId="36B323C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ND</w:t>
            </w:r>
          </w:p>
        </w:tc>
        <w:tc>
          <w:tcPr>
            <w:tcW w:w="684" w:type="pct"/>
            <w:tcBorders>
              <w:top w:val="single" w:color="auto" w:sz="4" w:space="0"/>
            </w:tcBorders>
            <w:noWrap w:val="0"/>
            <w:vAlign w:val="center"/>
          </w:tcPr>
          <w:p w14:paraId="0C8D90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1421" w:type="pct"/>
            <w:vMerge w:val="restart"/>
            <w:tcBorders>
              <w:top w:val="single" w:color="auto" w:sz="4" w:space="0"/>
            </w:tcBorders>
            <w:noWrap w:val="0"/>
            <w:vAlign w:val="center"/>
          </w:tcPr>
          <w:p w14:paraId="1BA496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r>
              <w:rPr>
                <w:rFonts w:hint="eastAsia"/>
                <w:b/>
                <w:bCs/>
                <w:u w:val="single"/>
              </w:rPr>
              <w:t>燃煤电厂大气污染物排放标准</w:t>
            </w:r>
            <w:r>
              <w:rPr>
                <w:b/>
                <w:bCs/>
                <w:u w:val="single"/>
              </w:rPr>
              <w:t>DB41/1424-2017</w:t>
            </w:r>
          </w:p>
        </w:tc>
        <w:tc>
          <w:tcPr>
            <w:tcW w:w="526" w:type="pct"/>
            <w:noWrap w:val="0"/>
            <w:vAlign w:val="center"/>
          </w:tcPr>
          <w:p w14:paraId="6676F9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0.03</w:t>
            </w:r>
          </w:p>
        </w:tc>
        <w:tc>
          <w:tcPr>
            <w:tcW w:w="455" w:type="pct"/>
            <w:noWrap w:val="0"/>
            <w:vAlign w:val="center"/>
          </w:tcPr>
          <w:p w14:paraId="1A62EC4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383" w:type="pct"/>
            <w:noWrap w:val="0"/>
            <w:vAlign w:val="center"/>
          </w:tcPr>
          <w:p w14:paraId="0E5073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w:t>
            </w:r>
          </w:p>
        </w:tc>
      </w:tr>
      <w:tr w14:paraId="69A305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2FE8637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林格曼黑度*</w:t>
            </w:r>
          </w:p>
        </w:tc>
        <w:tc>
          <w:tcPr>
            <w:tcW w:w="673" w:type="pct"/>
            <w:noWrap w:val="0"/>
            <w:vAlign w:val="center"/>
          </w:tcPr>
          <w:p w14:paraId="710089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&lt;1</w:t>
            </w:r>
            <w:r>
              <w:rPr>
                <w:b/>
                <w:bCs/>
              </w:rPr>
              <w:t>级</w:t>
            </w:r>
          </w:p>
        </w:tc>
        <w:tc>
          <w:tcPr>
            <w:tcW w:w="684" w:type="pct"/>
            <w:noWrap w:val="0"/>
            <w:vAlign w:val="center"/>
          </w:tcPr>
          <w:p w14:paraId="298249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u w:val="single"/>
                <w:lang w:eastAsia="zh-CN"/>
              </w:rPr>
            </w:pPr>
            <w:r>
              <w:rPr>
                <w:rFonts w:hint="eastAsia" w:eastAsia="宋体"/>
                <w:b/>
                <w:bCs/>
                <w:u w:val="single"/>
                <w:lang w:val="en-US" w:eastAsia="zh-CN"/>
              </w:rPr>
              <w:t>/</w:t>
            </w:r>
          </w:p>
        </w:tc>
        <w:tc>
          <w:tcPr>
            <w:tcW w:w="1421" w:type="pct"/>
            <w:vMerge w:val="continue"/>
            <w:noWrap w:val="0"/>
            <w:vAlign w:val="center"/>
          </w:tcPr>
          <w:p w14:paraId="08DD82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p>
        </w:tc>
        <w:tc>
          <w:tcPr>
            <w:tcW w:w="526" w:type="pct"/>
            <w:noWrap w:val="0"/>
            <w:vAlign w:val="center"/>
          </w:tcPr>
          <w:p w14:paraId="2A65B2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1</w:t>
            </w:r>
          </w:p>
        </w:tc>
        <w:tc>
          <w:tcPr>
            <w:tcW w:w="455" w:type="pct"/>
            <w:noWrap w:val="0"/>
            <w:vAlign w:val="center"/>
          </w:tcPr>
          <w:p w14:paraId="078FE4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383" w:type="pct"/>
            <w:noWrap w:val="0"/>
            <w:vAlign w:val="center"/>
          </w:tcPr>
          <w:p w14:paraId="1A924A8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w:t>
            </w:r>
          </w:p>
        </w:tc>
      </w:tr>
      <w:tr w14:paraId="32EEA0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64C2209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p>
        </w:tc>
        <w:tc>
          <w:tcPr>
            <w:tcW w:w="4142" w:type="pct"/>
            <w:gridSpan w:val="6"/>
            <w:noWrap w:val="0"/>
            <w:vAlign w:val="center"/>
          </w:tcPr>
          <w:p w14:paraId="22F8BD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kern w:val="2"/>
                <w:u w:val="single"/>
              </w:rPr>
              <w:t>3</w:t>
            </w:r>
            <w:r>
              <w:rPr>
                <w:b/>
                <w:bCs/>
                <w:kern w:val="2"/>
                <w:u w:val="single"/>
              </w:rPr>
              <w:t>#</w:t>
            </w:r>
            <w:r>
              <w:rPr>
                <w:rFonts w:hint="eastAsia"/>
                <w:b/>
                <w:bCs/>
                <w:kern w:val="2"/>
                <w:u w:val="single"/>
              </w:rPr>
              <w:t xml:space="preserve"> </w:t>
            </w:r>
            <w:r>
              <w:rPr>
                <w:b/>
                <w:bCs/>
                <w:u w:val="single"/>
              </w:rPr>
              <w:t>75t/h煤粉炉</w:t>
            </w:r>
            <w:r>
              <w:rPr>
                <w:rFonts w:hint="eastAsia"/>
                <w:b/>
                <w:bCs/>
                <w:u w:val="single"/>
              </w:rPr>
              <w:t>2</w:t>
            </w:r>
            <w:r>
              <w:rPr>
                <w:b/>
                <w:bCs/>
                <w:u w:val="single"/>
              </w:rPr>
              <w:t>号烟囱DA00</w:t>
            </w:r>
            <w:r>
              <w:rPr>
                <w:rFonts w:hint="eastAsia"/>
                <w:b/>
                <w:bCs/>
                <w:u w:val="single"/>
              </w:rPr>
              <w:t>2</w:t>
            </w:r>
          </w:p>
        </w:tc>
      </w:tr>
      <w:tr w14:paraId="72758A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6643D28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采样日期</w:t>
            </w:r>
          </w:p>
        </w:tc>
        <w:tc>
          <w:tcPr>
            <w:tcW w:w="4142" w:type="pct"/>
            <w:gridSpan w:val="6"/>
            <w:noWrap w:val="0"/>
            <w:vAlign w:val="center"/>
          </w:tcPr>
          <w:p w14:paraId="3F2138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202</w:t>
            </w:r>
            <w:r>
              <w:rPr>
                <w:rFonts w:hint="eastAsia"/>
                <w:b/>
                <w:bCs/>
                <w:u w:val="single"/>
              </w:rPr>
              <w:t>3</w:t>
            </w:r>
            <w:r>
              <w:rPr>
                <w:b/>
                <w:bCs/>
                <w:u w:val="single"/>
              </w:rPr>
              <w:t>.</w:t>
            </w:r>
            <w:r>
              <w:rPr>
                <w:rFonts w:hint="eastAsia"/>
                <w:b/>
                <w:bCs/>
                <w:u w:val="single"/>
              </w:rPr>
              <w:t>03</w:t>
            </w:r>
            <w:r>
              <w:rPr>
                <w:b/>
                <w:bCs/>
                <w:u w:val="single"/>
              </w:rPr>
              <w:t>.</w:t>
            </w:r>
            <w:r>
              <w:rPr>
                <w:rFonts w:hint="eastAsia"/>
                <w:b/>
                <w:bCs/>
                <w:u w:val="single"/>
              </w:rPr>
              <w:t>16</w:t>
            </w:r>
          </w:p>
        </w:tc>
      </w:tr>
      <w:tr w14:paraId="6293A0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247A0F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p>
        </w:tc>
        <w:tc>
          <w:tcPr>
            <w:tcW w:w="673" w:type="pct"/>
            <w:noWrap w:val="0"/>
            <w:vAlign w:val="center"/>
          </w:tcPr>
          <w:p w14:paraId="515DC1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排放浓度（</w:t>
            </w:r>
            <w:r>
              <w:rPr>
                <w:b/>
                <w:bCs/>
                <w:u w:val="single"/>
              </w:rPr>
              <w:t>mg/m</w:t>
            </w:r>
            <w:r>
              <w:rPr>
                <w:b/>
                <w:bCs/>
                <w:u w:val="single"/>
                <w:vertAlign w:val="superscript"/>
              </w:rPr>
              <w:t>3</w:t>
            </w:r>
            <w:r>
              <w:rPr>
                <w:rFonts w:hint="eastAsia"/>
                <w:b/>
                <w:bCs/>
                <w:u w:val="single"/>
              </w:rPr>
              <w:t>）</w:t>
            </w:r>
          </w:p>
        </w:tc>
        <w:tc>
          <w:tcPr>
            <w:tcW w:w="684" w:type="pct"/>
            <w:noWrap w:val="0"/>
            <w:vAlign w:val="center"/>
          </w:tcPr>
          <w:p w14:paraId="6DB479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排放速率（kg</w:t>
            </w:r>
            <w:r>
              <w:rPr>
                <w:b/>
                <w:bCs/>
                <w:u w:val="single"/>
              </w:rPr>
              <w:t>/h</w:t>
            </w:r>
            <w:r>
              <w:rPr>
                <w:rFonts w:hint="eastAsia"/>
                <w:b/>
                <w:bCs/>
                <w:u w:val="single"/>
              </w:rPr>
              <w:t>）</w:t>
            </w:r>
          </w:p>
        </w:tc>
        <w:tc>
          <w:tcPr>
            <w:tcW w:w="1421" w:type="pct"/>
            <w:noWrap w:val="0"/>
            <w:vAlign w:val="center"/>
          </w:tcPr>
          <w:p w14:paraId="097879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r>
              <w:rPr>
                <w:rFonts w:hint="eastAsia"/>
                <w:b/>
                <w:bCs/>
                <w:u w:val="single"/>
              </w:rPr>
              <w:t>执行标准</w:t>
            </w:r>
          </w:p>
        </w:tc>
        <w:tc>
          <w:tcPr>
            <w:tcW w:w="526" w:type="pct"/>
            <w:noWrap w:val="0"/>
            <w:vAlign w:val="center"/>
          </w:tcPr>
          <w:p w14:paraId="514196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许可排放浓度（</w:t>
            </w:r>
            <w:r>
              <w:rPr>
                <w:b/>
                <w:bCs/>
                <w:u w:val="single"/>
              </w:rPr>
              <w:t>mg/m</w:t>
            </w:r>
            <w:r>
              <w:rPr>
                <w:b/>
                <w:bCs/>
                <w:u w:val="single"/>
                <w:vertAlign w:val="superscript"/>
              </w:rPr>
              <w:t>3</w:t>
            </w:r>
            <w:r>
              <w:rPr>
                <w:rFonts w:hint="eastAsia"/>
                <w:b/>
                <w:bCs/>
                <w:u w:val="single"/>
              </w:rPr>
              <w:t>）</w:t>
            </w:r>
          </w:p>
        </w:tc>
        <w:tc>
          <w:tcPr>
            <w:tcW w:w="455" w:type="pct"/>
            <w:noWrap w:val="0"/>
            <w:vAlign w:val="center"/>
          </w:tcPr>
          <w:p w14:paraId="0C10AD5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许可排放速率（kg</w:t>
            </w:r>
            <w:r>
              <w:rPr>
                <w:b/>
                <w:bCs/>
                <w:u w:val="single"/>
              </w:rPr>
              <w:t>/h</w:t>
            </w:r>
            <w:r>
              <w:rPr>
                <w:rFonts w:hint="eastAsia"/>
                <w:b/>
                <w:bCs/>
                <w:u w:val="single"/>
              </w:rPr>
              <w:t>）</w:t>
            </w:r>
          </w:p>
        </w:tc>
        <w:tc>
          <w:tcPr>
            <w:tcW w:w="383" w:type="pct"/>
            <w:noWrap w:val="0"/>
            <w:vAlign w:val="center"/>
          </w:tcPr>
          <w:p w14:paraId="389F36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达标情况</w:t>
            </w:r>
          </w:p>
        </w:tc>
      </w:tr>
      <w:tr w14:paraId="7DF86A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0FFCBF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汞及其化合物实测值</w:t>
            </w:r>
          </w:p>
        </w:tc>
        <w:tc>
          <w:tcPr>
            <w:tcW w:w="673" w:type="pct"/>
            <w:noWrap w:val="0"/>
            <w:vAlign w:val="center"/>
          </w:tcPr>
          <w:p w14:paraId="46C09C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ND</w:t>
            </w:r>
          </w:p>
        </w:tc>
        <w:tc>
          <w:tcPr>
            <w:tcW w:w="684" w:type="pct"/>
            <w:noWrap w:val="0"/>
            <w:vAlign w:val="center"/>
          </w:tcPr>
          <w:p w14:paraId="75F27F7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1421" w:type="pct"/>
            <w:vMerge w:val="restart"/>
            <w:tcBorders>
              <w:top w:val="single" w:color="auto" w:sz="4" w:space="0"/>
            </w:tcBorders>
            <w:noWrap w:val="0"/>
            <w:vAlign w:val="center"/>
          </w:tcPr>
          <w:p w14:paraId="1039F3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r>
              <w:rPr>
                <w:rFonts w:hint="eastAsia"/>
                <w:b/>
                <w:bCs/>
                <w:u w:val="single"/>
              </w:rPr>
              <w:t>燃煤电厂大气污染物排放标准</w:t>
            </w:r>
            <w:r>
              <w:rPr>
                <w:b/>
                <w:bCs/>
                <w:u w:val="single"/>
              </w:rPr>
              <w:t>DB41/1424-2017</w:t>
            </w:r>
          </w:p>
        </w:tc>
        <w:tc>
          <w:tcPr>
            <w:tcW w:w="526" w:type="pct"/>
            <w:noWrap w:val="0"/>
            <w:vAlign w:val="center"/>
          </w:tcPr>
          <w:p w14:paraId="3EA4279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0.03</w:t>
            </w:r>
          </w:p>
        </w:tc>
        <w:tc>
          <w:tcPr>
            <w:tcW w:w="455" w:type="pct"/>
            <w:noWrap w:val="0"/>
            <w:vAlign w:val="center"/>
          </w:tcPr>
          <w:p w14:paraId="36518EE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383" w:type="pct"/>
            <w:noWrap w:val="0"/>
            <w:vAlign w:val="center"/>
          </w:tcPr>
          <w:p w14:paraId="7FF069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w:t>
            </w:r>
          </w:p>
        </w:tc>
      </w:tr>
      <w:tr w14:paraId="479CB7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769544E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林格曼黑度*</w:t>
            </w:r>
          </w:p>
        </w:tc>
        <w:tc>
          <w:tcPr>
            <w:tcW w:w="673" w:type="pct"/>
            <w:noWrap w:val="0"/>
            <w:vAlign w:val="center"/>
          </w:tcPr>
          <w:p w14:paraId="7D4CB7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&lt;1</w:t>
            </w:r>
            <w:r>
              <w:rPr>
                <w:b/>
                <w:bCs/>
              </w:rPr>
              <w:t>级</w:t>
            </w:r>
          </w:p>
        </w:tc>
        <w:tc>
          <w:tcPr>
            <w:tcW w:w="684" w:type="pct"/>
            <w:noWrap w:val="0"/>
            <w:vAlign w:val="center"/>
          </w:tcPr>
          <w:p w14:paraId="09599E8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u w:val="single"/>
                <w:lang w:eastAsia="zh-CN"/>
              </w:rPr>
            </w:pPr>
            <w:r>
              <w:rPr>
                <w:rFonts w:hint="eastAsia" w:eastAsia="宋体"/>
                <w:b/>
                <w:bCs/>
                <w:u w:val="single"/>
                <w:lang w:val="en-US" w:eastAsia="zh-CN"/>
              </w:rPr>
              <w:t>/</w:t>
            </w:r>
          </w:p>
        </w:tc>
        <w:tc>
          <w:tcPr>
            <w:tcW w:w="1421" w:type="pct"/>
            <w:vMerge w:val="continue"/>
            <w:noWrap w:val="0"/>
            <w:vAlign w:val="center"/>
          </w:tcPr>
          <w:p w14:paraId="205D079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p>
        </w:tc>
        <w:tc>
          <w:tcPr>
            <w:tcW w:w="526" w:type="pct"/>
            <w:noWrap w:val="0"/>
            <w:vAlign w:val="center"/>
          </w:tcPr>
          <w:p w14:paraId="277DB6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1</w:t>
            </w:r>
          </w:p>
        </w:tc>
        <w:tc>
          <w:tcPr>
            <w:tcW w:w="455" w:type="pct"/>
            <w:noWrap w:val="0"/>
            <w:vAlign w:val="center"/>
          </w:tcPr>
          <w:p w14:paraId="539F8D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383" w:type="pct"/>
            <w:noWrap w:val="0"/>
            <w:vAlign w:val="center"/>
          </w:tcPr>
          <w:p w14:paraId="5A925B3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w:t>
            </w:r>
          </w:p>
        </w:tc>
      </w:tr>
      <w:tr w14:paraId="0E8D34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027B1C9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p>
        </w:tc>
        <w:tc>
          <w:tcPr>
            <w:tcW w:w="4142" w:type="pct"/>
            <w:gridSpan w:val="6"/>
            <w:noWrap w:val="0"/>
            <w:vAlign w:val="center"/>
          </w:tcPr>
          <w:p w14:paraId="7722FEB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kern w:val="2"/>
                <w:u w:val="single"/>
              </w:rPr>
              <w:t>4</w:t>
            </w:r>
            <w:r>
              <w:rPr>
                <w:b/>
                <w:bCs/>
                <w:kern w:val="2"/>
                <w:u w:val="single"/>
              </w:rPr>
              <w:t>#</w:t>
            </w:r>
            <w:r>
              <w:rPr>
                <w:rFonts w:hint="eastAsia"/>
                <w:b/>
                <w:bCs/>
                <w:kern w:val="2"/>
                <w:u w:val="single"/>
              </w:rPr>
              <w:t xml:space="preserve"> </w:t>
            </w:r>
            <w:r>
              <w:rPr>
                <w:rFonts w:hint="eastAsia"/>
                <w:b/>
                <w:bCs/>
                <w:u w:val="single"/>
              </w:rPr>
              <w:t>170</w:t>
            </w:r>
            <w:r>
              <w:rPr>
                <w:b/>
                <w:bCs/>
                <w:u w:val="single"/>
              </w:rPr>
              <w:t>t/h煤粉炉3号烟囱DA003</w:t>
            </w:r>
          </w:p>
        </w:tc>
      </w:tr>
      <w:tr w14:paraId="45C6CF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0" w:hRule="atLeast"/>
          <w:jc w:val="center"/>
        </w:trPr>
        <w:tc>
          <w:tcPr>
            <w:tcW w:w="857" w:type="pct"/>
            <w:noWrap w:val="0"/>
            <w:vAlign w:val="center"/>
          </w:tcPr>
          <w:p w14:paraId="229201A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采样日期</w:t>
            </w:r>
          </w:p>
        </w:tc>
        <w:tc>
          <w:tcPr>
            <w:tcW w:w="4142" w:type="pct"/>
            <w:gridSpan w:val="6"/>
            <w:noWrap w:val="0"/>
            <w:vAlign w:val="center"/>
          </w:tcPr>
          <w:p w14:paraId="5333584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202</w:t>
            </w:r>
            <w:r>
              <w:rPr>
                <w:rFonts w:hint="eastAsia"/>
                <w:b/>
                <w:bCs/>
                <w:u w:val="single"/>
              </w:rPr>
              <w:t>3</w:t>
            </w:r>
            <w:r>
              <w:rPr>
                <w:b/>
                <w:bCs/>
                <w:u w:val="single"/>
              </w:rPr>
              <w:t>.11.</w:t>
            </w:r>
            <w:r>
              <w:rPr>
                <w:rFonts w:hint="eastAsia"/>
                <w:b/>
                <w:bCs/>
                <w:u w:val="single"/>
              </w:rPr>
              <w:t>10</w:t>
            </w:r>
          </w:p>
        </w:tc>
      </w:tr>
      <w:tr w14:paraId="3139EB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1F8E333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p>
        </w:tc>
        <w:tc>
          <w:tcPr>
            <w:tcW w:w="673" w:type="pct"/>
            <w:noWrap w:val="0"/>
            <w:vAlign w:val="center"/>
          </w:tcPr>
          <w:p w14:paraId="302215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排放浓度（</w:t>
            </w:r>
            <w:r>
              <w:rPr>
                <w:b/>
                <w:bCs/>
                <w:u w:val="single"/>
              </w:rPr>
              <w:t>mg/m</w:t>
            </w:r>
            <w:r>
              <w:rPr>
                <w:b/>
                <w:bCs/>
                <w:u w:val="single"/>
                <w:vertAlign w:val="superscript"/>
              </w:rPr>
              <w:t>3</w:t>
            </w:r>
            <w:r>
              <w:rPr>
                <w:rFonts w:hint="eastAsia"/>
                <w:b/>
                <w:bCs/>
                <w:u w:val="single"/>
              </w:rPr>
              <w:t>）</w:t>
            </w:r>
          </w:p>
        </w:tc>
        <w:tc>
          <w:tcPr>
            <w:tcW w:w="684" w:type="pct"/>
            <w:noWrap w:val="0"/>
            <w:vAlign w:val="center"/>
          </w:tcPr>
          <w:p w14:paraId="395D39D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排放速率（kg</w:t>
            </w:r>
            <w:r>
              <w:rPr>
                <w:b/>
                <w:bCs/>
                <w:u w:val="single"/>
              </w:rPr>
              <w:t>/h</w:t>
            </w:r>
            <w:r>
              <w:rPr>
                <w:rFonts w:hint="eastAsia"/>
                <w:b/>
                <w:bCs/>
                <w:u w:val="single"/>
              </w:rPr>
              <w:t>）</w:t>
            </w:r>
          </w:p>
        </w:tc>
        <w:tc>
          <w:tcPr>
            <w:tcW w:w="1421" w:type="pct"/>
            <w:noWrap w:val="0"/>
            <w:vAlign w:val="center"/>
          </w:tcPr>
          <w:p w14:paraId="4E6C24C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r>
              <w:rPr>
                <w:rFonts w:hint="eastAsia"/>
                <w:b/>
                <w:bCs/>
                <w:u w:val="single"/>
              </w:rPr>
              <w:t>执行标准</w:t>
            </w:r>
          </w:p>
        </w:tc>
        <w:tc>
          <w:tcPr>
            <w:tcW w:w="526" w:type="pct"/>
            <w:noWrap w:val="0"/>
            <w:vAlign w:val="center"/>
          </w:tcPr>
          <w:p w14:paraId="632FF4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许可排放浓度（</w:t>
            </w:r>
            <w:r>
              <w:rPr>
                <w:b/>
                <w:bCs/>
                <w:u w:val="single"/>
              </w:rPr>
              <w:t>mg/m</w:t>
            </w:r>
            <w:r>
              <w:rPr>
                <w:b/>
                <w:bCs/>
                <w:u w:val="single"/>
                <w:vertAlign w:val="superscript"/>
              </w:rPr>
              <w:t>3</w:t>
            </w:r>
            <w:r>
              <w:rPr>
                <w:rFonts w:hint="eastAsia"/>
                <w:b/>
                <w:bCs/>
                <w:u w:val="single"/>
              </w:rPr>
              <w:t>）</w:t>
            </w:r>
          </w:p>
        </w:tc>
        <w:tc>
          <w:tcPr>
            <w:tcW w:w="455" w:type="pct"/>
            <w:noWrap w:val="0"/>
            <w:vAlign w:val="center"/>
          </w:tcPr>
          <w:p w14:paraId="460A9AE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许可排放速率（kg</w:t>
            </w:r>
            <w:r>
              <w:rPr>
                <w:b/>
                <w:bCs/>
                <w:u w:val="single"/>
              </w:rPr>
              <w:t>/h</w:t>
            </w:r>
            <w:r>
              <w:rPr>
                <w:rFonts w:hint="eastAsia"/>
                <w:b/>
                <w:bCs/>
                <w:u w:val="single"/>
              </w:rPr>
              <w:t>）</w:t>
            </w:r>
          </w:p>
        </w:tc>
        <w:tc>
          <w:tcPr>
            <w:tcW w:w="383" w:type="pct"/>
            <w:noWrap w:val="0"/>
            <w:vAlign w:val="center"/>
          </w:tcPr>
          <w:p w14:paraId="4E73B2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达标情况</w:t>
            </w:r>
          </w:p>
        </w:tc>
      </w:tr>
      <w:tr w14:paraId="0E61A1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628953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汞及其化合物实测值</w:t>
            </w:r>
          </w:p>
        </w:tc>
        <w:tc>
          <w:tcPr>
            <w:tcW w:w="673" w:type="pct"/>
            <w:noWrap w:val="0"/>
            <w:vAlign w:val="center"/>
          </w:tcPr>
          <w:p w14:paraId="6AEF27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ND</w:t>
            </w:r>
          </w:p>
        </w:tc>
        <w:tc>
          <w:tcPr>
            <w:tcW w:w="684" w:type="pct"/>
            <w:noWrap w:val="0"/>
            <w:vAlign w:val="center"/>
          </w:tcPr>
          <w:p w14:paraId="11F436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1421" w:type="pct"/>
            <w:vMerge w:val="restart"/>
            <w:tcBorders>
              <w:top w:val="single" w:color="auto" w:sz="4" w:space="0"/>
            </w:tcBorders>
            <w:noWrap w:val="0"/>
            <w:vAlign w:val="center"/>
          </w:tcPr>
          <w:p w14:paraId="1FEFB4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r>
              <w:rPr>
                <w:rFonts w:hint="eastAsia"/>
                <w:b/>
                <w:bCs/>
                <w:u w:val="single"/>
              </w:rPr>
              <w:t>燃煤电厂大气污染物排放标准</w:t>
            </w:r>
            <w:r>
              <w:rPr>
                <w:b/>
                <w:bCs/>
                <w:u w:val="single"/>
              </w:rPr>
              <w:t>DB41/1424-2017</w:t>
            </w:r>
          </w:p>
        </w:tc>
        <w:tc>
          <w:tcPr>
            <w:tcW w:w="526" w:type="pct"/>
            <w:noWrap w:val="0"/>
            <w:vAlign w:val="center"/>
          </w:tcPr>
          <w:p w14:paraId="341C192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0.03</w:t>
            </w:r>
          </w:p>
        </w:tc>
        <w:tc>
          <w:tcPr>
            <w:tcW w:w="455" w:type="pct"/>
            <w:noWrap w:val="0"/>
            <w:vAlign w:val="center"/>
          </w:tcPr>
          <w:p w14:paraId="3BB1A7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383" w:type="pct"/>
            <w:noWrap w:val="0"/>
            <w:vAlign w:val="center"/>
          </w:tcPr>
          <w:p w14:paraId="54C98E9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w:t>
            </w:r>
          </w:p>
        </w:tc>
      </w:tr>
      <w:tr w14:paraId="4341C6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0D858AD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林格曼黑度*</w:t>
            </w:r>
          </w:p>
        </w:tc>
        <w:tc>
          <w:tcPr>
            <w:tcW w:w="673" w:type="pct"/>
            <w:noWrap w:val="0"/>
            <w:vAlign w:val="center"/>
          </w:tcPr>
          <w:p w14:paraId="378FE5A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&lt;1级</w:t>
            </w:r>
          </w:p>
        </w:tc>
        <w:tc>
          <w:tcPr>
            <w:tcW w:w="684" w:type="pct"/>
            <w:noWrap w:val="0"/>
            <w:vAlign w:val="center"/>
          </w:tcPr>
          <w:p w14:paraId="537B6B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1421" w:type="pct"/>
            <w:vMerge w:val="continue"/>
            <w:tcBorders>
              <w:top w:val="single" w:color="auto" w:sz="4" w:space="0"/>
              <w:bottom w:val="single" w:color="auto" w:sz="4" w:space="0"/>
            </w:tcBorders>
            <w:noWrap w:val="0"/>
            <w:vAlign w:val="center"/>
          </w:tcPr>
          <w:p w14:paraId="0BC915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p>
        </w:tc>
        <w:tc>
          <w:tcPr>
            <w:tcW w:w="526" w:type="pct"/>
            <w:noWrap w:val="0"/>
            <w:vAlign w:val="center"/>
          </w:tcPr>
          <w:p w14:paraId="470FBC7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1</w:t>
            </w:r>
            <w:r>
              <w:rPr>
                <w:b/>
                <w:bCs/>
                <w:u w:val="single"/>
              </w:rPr>
              <w:t>级</w:t>
            </w:r>
          </w:p>
        </w:tc>
        <w:tc>
          <w:tcPr>
            <w:tcW w:w="455" w:type="pct"/>
            <w:noWrap w:val="0"/>
            <w:vAlign w:val="center"/>
          </w:tcPr>
          <w:p w14:paraId="1C77635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383" w:type="pct"/>
            <w:noWrap w:val="0"/>
            <w:vAlign w:val="center"/>
          </w:tcPr>
          <w:p w14:paraId="267A46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w:t>
            </w:r>
          </w:p>
        </w:tc>
      </w:tr>
      <w:tr w14:paraId="43635A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6ACD73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p>
        </w:tc>
        <w:tc>
          <w:tcPr>
            <w:tcW w:w="4142" w:type="pct"/>
            <w:gridSpan w:val="6"/>
            <w:noWrap w:val="0"/>
            <w:vAlign w:val="center"/>
          </w:tcPr>
          <w:p w14:paraId="7B95C48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kern w:val="2"/>
                <w:u w:val="single"/>
              </w:rPr>
              <w:t>5</w:t>
            </w:r>
            <w:r>
              <w:rPr>
                <w:b/>
                <w:bCs/>
                <w:kern w:val="2"/>
                <w:u w:val="single"/>
              </w:rPr>
              <w:t>#</w:t>
            </w:r>
            <w:r>
              <w:rPr>
                <w:rFonts w:hint="eastAsia"/>
                <w:b/>
                <w:bCs/>
                <w:kern w:val="2"/>
                <w:u w:val="single"/>
              </w:rPr>
              <w:t xml:space="preserve"> </w:t>
            </w:r>
            <w:r>
              <w:rPr>
                <w:b/>
                <w:bCs/>
                <w:kern w:val="2"/>
                <w:u w:val="single"/>
              </w:rPr>
              <w:t>170t/h</w:t>
            </w:r>
            <w:r>
              <w:rPr>
                <w:rFonts w:hint="eastAsia"/>
                <w:b/>
                <w:bCs/>
                <w:kern w:val="2"/>
                <w:u w:val="single"/>
              </w:rPr>
              <w:t>煤粉炉</w:t>
            </w:r>
            <w:r>
              <w:rPr>
                <w:b/>
                <w:bCs/>
                <w:u w:val="single"/>
              </w:rPr>
              <w:t>4号烟囱DA004</w:t>
            </w:r>
          </w:p>
        </w:tc>
      </w:tr>
      <w:tr w14:paraId="247A82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3B1C37E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采样日期</w:t>
            </w:r>
          </w:p>
        </w:tc>
        <w:tc>
          <w:tcPr>
            <w:tcW w:w="4142" w:type="pct"/>
            <w:gridSpan w:val="6"/>
            <w:noWrap w:val="0"/>
            <w:vAlign w:val="center"/>
          </w:tcPr>
          <w:p w14:paraId="3FD7BB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202</w:t>
            </w:r>
            <w:r>
              <w:rPr>
                <w:rFonts w:hint="eastAsia"/>
                <w:b/>
                <w:bCs/>
                <w:u w:val="single"/>
              </w:rPr>
              <w:t>3</w:t>
            </w:r>
            <w:r>
              <w:rPr>
                <w:b/>
                <w:bCs/>
                <w:u w:val="single"/>
              </w:rPr>
              <w:t>.11.</w:t>
            </w:r>
            <w:r>
              <w:rPr>
                <w:rFonts w:hint="eastAsia"/>
                <w:b/>
                <w:bCs/>
                <w:u w:val="single"/>
              </w:rPr>
              <w:t>15</w:t>
            </w:r>
          </w:p>
        </w:tc>
      </w:tr>
      <w:tr w14:paraId="689C0F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20DD5FB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p>
        </w:tc>
        <w:tc>
          <w:tcPr>
            <w:tcW w:w="673" w:type="pct"/>
            <w:noWrap w:val="0"/>
            <w:vAlign w:val="center"/>
          </w:tcPr>
          <w:p w14:paraId="49F8C9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排放浓度（</w:t>
            </w:r>
            <w:r>
              <w:rPr>
                <w:b/>
                <w:bCs/>
                <w:u w:val="single"/>
              </w:rPr>
              <w:t>mg/m</w:t>
            </w:r>
            <w:r>
              <w:rPr>
                <w:b/>
                <w:bCs/>
                <w:u w:val="single"/>
                <w:vertAlign w:val="superscript"/>
              </w:rPr>
              <w:t>3</w:t>
            </w:r>
            <w:r>
              <w:rPr>
                <w:rFonts w:hint="eastAsia"/>
                <w:b/>
                <w:bCs/>
                <w:u w:val="single"/>
              </w:rPr>
              <w:t>）</w:t>
            </w:r>
          </w:p>
        </w:tc>
        <w:tc>
          <w:tcPr>
            <w:tcW w:w="684" w:type="pct"/>
            <w:noWrap w:val="0"/>
            <w:vAlign w:val="center"/>
          </w:tcPr>
          <w:p w14:paraId="11450C4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排放速率（kg</w:t>
            </w:r>
            <w:r>
              <w:rPr>
                <w:b/>
                <w:bCs/>
                <w:u w:val="single"/>
              </w:rPr>
              <w:t>/h</w:t>
            </w:r>
            <w:r>
              <w:rPr>
                <w:rFonts w:hint="eastAsia"/>
                <w:b/>
                <w:bCs/>
                <w:u w:val="single"/>
              </w:rPr>
              <w:t>）</w:t>
            </w:r>
          </w:p>
        </w:tc>
        <w:tc>
          <w:tcPr>
            <w:tcW w:w="1421" w:type="pct"/>
            <w:noWrap w:val="0"/>
            <w:vAlign w:val="center"/>
          </w:tcPr>
          <w:p w14:paraId="60F990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r>
              <w:rPr>
                <w:rFonts w:hint="eastAsia"/>
                <w:b/>
                <w:bCs/>
                <w:u w:val="single"/>
              </w:rPr>
              <w:t>执行标准</w:t>
            </w:r>
          </w:p>
        </w:tc>
        <w:tc>
          <w:tcPr>
            <w:tcW w:w="526" w:type="pct"/>
            <w:noWrap w:val="0"/>
            <w:vAlign w:val="center"/>
          </w:tcPr>
          <w:p w14:paraId="17DA40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许可排放浓度（</w:t>
            </w:r>
            <w:r>
              <w:rPr>
                <w:b/>
                <w:bCs/>
                <w:u w:val="single"/>
              </w:rPr>
              <w:t>mg/m</w:t>
            </w:r>
            <w:r>
              <w:rPr>
                <w:b/>
                <w:bCs/>
                <w:u w:val="single"/>
                <w:vertAlign w:val="superscript"/>
              </w:rPr>
              <w:t>3</w:t>
            </w:r>
            <w:r>
              <w:rPr>
                <w:rFonts w:hint="eastAsia"/>
                <w:b/>
                <w:bCs/>
                <w:u w:val="single"/>
              </w:rPr>
              <w:t>）</w:t>
            </w:r>
          </w:p>
        </w:tc>
        <w:tc>
          <w:tcPr>
            <w:tcW w:w="455" w:type="pct"/>
            <w:noWrap w:val="0"/>
            <w:vAlign w:val="center"/>
          </w:tcPr>
          <w:p w14:paraId="77F3C4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许可排放速率（kg</w:t>
            </w:r>
            <w:r>
              <w:rPr>
                <w:b/>
                <w:bCs/>
                <w:u w:val="single"/>
              </w:rPr>
              <w:t>/h</w:t>
            </w:r>
            <w:r>
              <w:rPr>
                <w:rFonts w:hint="eastAsia"/>
                <w:b/>
                <w:bCs/>
                <w:u w:val="single"/>
              </w:rPr>
              <w:t>）</w:t>
            </w:r>
          </w:p>
        </w:tc>
        <w:tc>
          <w:tcPr>
            <w:tcW w:w="383" w:type="pct"/>
            <w:noWrap w:val="0"/>
            <w:vAlign w:val="center"/>
          </w:tcPr>
          <w:p w14:paraId="029A484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达标情况</w:t>
            </w:r>
          </w:p>
        </w:tc>
      </w:tr>
      <w:tr w14:paraId="588563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5D73375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汞及其化合物</w:t>
            </w:r>
          </w:p>
        </w:tc>
        <w:tc>
          <w:tcPr>
            <w:tcW w:w="673" w:type="pct"/>
            <w:noWrap w:val="0"/>
            <w:vAlign w:val="center"/>
          </w:tcPr>
          <w:p w14:paraId="3519EC5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ND</w:t>
            </w:r>
          </w:p>
        </w:tc>
        <w:tc>
          <w:tcPr>
            <w:tcW w:w="684" w:type="pct"/>
            <w:noWrap w:val="0"/>
            <w:vAlign w:val="center"/>
          </w:tcPr>
          <w:p w14:paraId="5285C20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1421" w:type="pct"/>
            <w:vMerge w:val="restart"/>
            <w:tcBorders>
              <w:top w:val="single" w:color="auto" w:sz="4" w:space="0"/>
            </w:tcBorders>
            <w:noWrap w:val="0"/>
            <w:vAlign w:val="center"/>
          </w:tcPr>
          <w:p w14:paraId="21B77E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r>
              <w:rPr>
                <w:rFonts w:hint="eastAsia"/>
                <w:b/>
                <w:bCs/>
                <w:u w:val="single"/>
              </w:rPr>
              <w:t>燃煤电厂大气污染物排放标准</w:t>
            </w:r>
            <w:r>
              <w:rPr>
                <w:b/>
                <w:bCs/>
                <w:u w:val="single"/>
              </w:rPr>
              <w:t>DB41/1424-2017</w:t>
            </w:r>
          </w:p>
        </w:tc>
        <w:tc>
          <w:tcPr>
            <w:tcW w:w="526" w:type="pct"/>
            <w:noWrap w:val="0"/>
            <w:vAlign w:val="center"/>
          </w:tcPr>
          <w:p w14:paraId="1EA278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0.03</w:t>
            </w:r>
          </w:p>
        </w:tc>
        <w:tc>
          <w:tcPr>
            <w:tcW w:w="455" w:type="pct"/>
            <w:noWrap w:val="0"/>
            <w:vAlign w:val="center"/>
          </w:tcPr>
          <w:p w14:paraId="6FC38BD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383" w:type="pct"/>
            <w:noWrap w:val="0"/>
            <w:vAlign w:val="center"/>
          </w:tcPr>
          <w:p w14:paraId="3FE145C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w:t>
            </w:r>
          </w:p>
        </w:tc>
      </w:tr>
      <w:tr w14:paraId="514C5F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7" w:type="pct"/>
            <w:noWrap w:val="0"/>
            <w:vAlign w:val="center"/>
          </w:tcPr>
          <w:p w14:paraId="6BA34D8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林格曼黑度*</w:t>
            </w:r>
          </w:p>
        </w:tc>
        <w:tc>
          <w:tcPr>
            <w:tcW w:w="673" w:type="pct"/>
            <w:noWrap w:val="0"/>
            <w:vAlign w:val="center"/>
          </w:tcPr>
          <w:p w14:paraId="6410F2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&lt;1级</w:t>
            </w:r>
          </w:p>
        </w:tc>
        <w:tc>
          <w:tcPr>
            <w:tcW w:w="684" w:type="pct"/>
            <w:noWrap w:val="0"/>
            <w:vAlign w:val="center"/>
          </w:tcPr>
          <w:p w14:paraId="7E9FA27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1421" w:type="pct"/>
            <w:vMerge w:val="continue"/>
            <w:tcBorders>
              <w:top w:val="single" w:color="auto" w:sz="4" w:space="0"/>
              <w:bottom w:val="single" w:color="auto" w:sz="4" w:space="0"/>
            </w:tcBorders>
            <w:noWrap w:val="0"/>
            <w:vAlign w:val="center"/>
          </w:tcPr>
          <w:p w14:paraId="27DCABD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p>
        </w:tc>
        <w:tc>
          <w:tcPr>
            <w:tcW w:w="526" w:type="pct"/>
            <w:noWrap w:val="0"/>
            <w:vAlign w:val="center"/>
          </w:tcPr>
          <w:p w14:paraId="6FB9BD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1</w:t>
            </w:r>
          </w:p>
        </w:tc>
        <w:tc>
          <w:tcPr>
            <w:tcW w:w="455" w:type="pct"/>
            <w:noWrap w:val="0"/>
            <w:vAlign w:val="center"/>
          </w:tcPr>
          <w:p w14:paraId="6611BF0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383" w:type="pct"/>
            <w:noWrap w:val="0"/>
            <w:vAlign w:val="center"/>
          </w:tcPr>
          <w:p w14:paraId="20BA149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w:t>
            </w:r>
          </w:p>
        </w:tc>
      </w:tr>
    </w:tbl>
    <w:p w14:paraId="2879FA5D">
      <w:pPr>
        <w:adjustRightInd w:val="0"/>
        <w:snapToGrid w:val="0"/>
        <w:spacing w:line="520" w:lineRule="exact"/>
        <w:ind w:firstLine="482" w:firstLineChars="200"/>
        <w:rPr>
          <w:rFonts w:hint="default" w:ascii="Times New Roman" w:hAnsi="Times New Roman" w:eastAsia="宋体" w:cs="Times New Roman"/>
          <w:b/>
          <w:bCs/>
          <w:sz w:val="24"/>
          <w:u w:val="single"/>
          <w:lang w:val="en-US" w:eastAsia="zh-CN"/>
        </w:rPr>
      </w:pPr>
      <w:r>
        <w:rPr>
          <w:rFonts w:hint="default" w:ascii="Times New Roman" w:hAnsi="Times New Roman" w:eastAsia="宋体" w:cs="Times New Roman"/>
          <w:b/>
          <w:bCs/>
          <w:sz w:val="24"/>
          <w:u w:val="single"/>
          <w:lang w:val="en-US" w:eastAsia="zh-CN"/>
        </w:rPr>
        <w:t>综上，</w:t>
      </w:r>
      <w:r>
        <w:rPr>
          <w:rFonts w:hint="eastAsia" w:ascii="Times New Roman" w:hAnsi="Times New Roman"/>
          <w:b/>
          <w:bCs/>
          <w:sz w:val="24"/>
          <w:u w:val="single"/>
        </w:rPr>
        <w:t>已建项目锅炉1#、2#</w:t>
      </w:r>
      <w:r>
        <w:rPr>
          <w:rFonts w:hint="eastAsia" w:ascii="Times New Roman" w:hAnsi="Times New Roman"/>
          <w:b/>
          <w:bCs/>
          <w:sz w:val="24"/>
          <w:u w:val="single"/>
          <w:lang w:eastAsia="zh-CN"/>
        </w:rPr>
        <w:t>、</w:t>
      </w:r>
      <w:r>
        <w:rPr>
          <w:rFonts w:hint="eastAsia" w:ascii="Times New Roman" w:hAnsi="Times New Roman"/>
          <w:b/>
          <w:bCs/>
          <w:sz w:val="24"/>
          <w:u w:val="single"/>
          <w:lang w:val="en-US" w:eastAsia="zh-CN"/>
        </w:rPr>
        <w:t>3#</w:t>
      </w:r>
      <w:r>
        <w:rPr>
          <w:rFonts w:hint="eastAsia" w:ascii="Times New Roman" w:hAnsi="Times New Roman"/>
          <w:b/>
          <w:bCs/>
          <w:sz w:val="24"/>
          <w:u w:val="single"/>
        </w:rPr>
        <w:t>75t/h煤粉炉</w:t>
      </w:r>
      <w:r>
        <w:rPr>
          <w:rFonts w:hint="eastAsia"/>
          <w:b/>
          <w:bCs/>
          <w:sz w:val="24"/>
          <w:u w:val="single"/>
          <w:lang w:val="en-US" w:eastAsia="zh-CN"/>
        </w:rPr>
        <w:t>废气污染物排放能够满足</w:t>
      </w:r>
      <w:r>
        <w:rPr>
          <w:rFonts w:hint="default" w:ascii="Times New Roman" w:hAnsi="Times New Roman" w:cs="Times New Roman"/>
          <w:b/>
          <w:bCs/>
          <w:sz w:val="24"/>
          <w:u w:val="single"/>
          <w:lang w:val="en-US" w:eastAsia="zh-CN"/>
        </w:rPr>
        <w:t>《燃煤电厂大气污染物排放标准》（DB41/1424—2017）颗粒物10mg/m</w:t>
      </w:r>
      <w:r>
        <w:rPr>
          <w:rFonts w:hint="default" w:ascii="Times New Roman" w:hAnsi="Times New Roman" w:cs="Times New Roman"/>
          <w:b/>
          <w:bCs/>
          <w:sz w:val="24"/>
          <w:u w:val="single"/>
          <w:vertAlign w:val="superscript"/>
          <w:lang w:val="en-US" w:eastAsia="zh-CN"/>
        </w:rPr>
        <w:t>3</w:t>
      </w:r>
      <w:r>
        <w:rPr>
          <w:rFonts w:hint="default" w:ascii="Times New Roman" w:hAnsi="Times New Roman" w:cs="Times New Roman"/>
          <w:b/>
          <w:bCs/>
          <w:sz w:val="24"/>
          <w:u w:val="single"/>
          <w:lang w:val="en-US" w:eastAsia="zh-CN"/>
        </w:rPr>
        <w:t>、SO</w:t>
      </w:r>
      <w:r>
        <w:rPr>
          <w:rFonts w:hint="default" w:ascii="Times New Roman" w:hAnsi="Times New Roman" w:cs="Times New Roman"/>
          <w:b/>
          <w:bCs/>
          <w:sz w:val="24"/>
          <w:u w:val="single"/>
          <w:vertAlign w:val="subscript"/>
          <w:lang w:val="en-US" w:eastAsia="zh-CN"/>
        </w:rPr>
        <w:t>2</w:t>
      </w:r>
      <w:r>
        <w:rPr>
          <w:rFonts w:hint="default" w:ascii="Times New Roman" w:hAnsi="Times New Roman" w:cs="Times New Roman"/>
          <w:b/>
          <w:bCs/>
          <w:sz w:val="24"/>
          <w:u w:val="single"/>
          <w:lang w:val="en-US" w:eastAsia="zh-CN"/>
        </w:rPr>
        <w:t xml:space="preserve"> 35mg/m</w:t>
      </w:r>
      <w:r>
        <w:rPr>
          <w:rFonts w:hint="default" w:ascii="Times New Roman" w:hAnsi="Times New Roman" w:cs="Times New Roman"/>
          <w:b/>
          <w:bCs/>
          <w:sz w:val="24"/>
          <w:u w:val="single"/>
          <w:vertAlign w:val="superscript"/>
          <w:lang w:val="en-US" w:eastAsia="zh-CN"/>
        </w:rPr>
        <w:t>3</w:t>
      </w:r>
      <w:r>
        <w:rPr>
          <w:rFonts w:hint="default" w:ascii="Times New Roman" w:hAnsi="Times New Roman" w:cs="Times New Roman"/>
          <w:b/>
          <w:bCs/>
          <w:sz w:val="24"/>
          <w:u w:val="single"/>
          <w:lang w:val="en-US" w:eastAsia="zh-CN"/>
        </w:rPr>
        <w:t>、NO</w:t>
      </w:r>
      <w:r>
        <w:rPr>
          <w:rFonts w:hint="default" w:ascii="Times New Roman" w:hAnsi="Times New Roman" w:cs="Times New Roman"/>
          <w:b/>
          <w:bCs/>
          <w:sz w:val="24"/>
          <w:u w:val="single"/>
          <w:vertAlign w:val="subscript"/>
          <w:lang w:val="en-US" w:eastAsia="zh-CN"/>
        </w:rPr>
        <w:t>X</w:t>
      </w:r>
      <w:r>
        <w:rPr>
          <w:rFonts w:hint="default" w:ascii="Times New Roman" w:hAnsi="Times New Roman" w:cs="Times New Roman"/>
          <w:b/>
          <w:bCs/>
          <w:sz w:val="24"/>
          <w:u w:val="single"/>
          <w:lang w:val="en-US" w:eastAsia="zh-CN"/>
        </w:rPr>
        <w:t>50mg/m</w:t>
      </w:r>
      <w:r>
        <w:rPr>
          <w:rFonts w:hint="default" w:ascii="Times New Roman" w:hAnsi="Times New Roman" w:cs="Times New Roman"/>
          <w:b/>
          <w:bCs/>
          <w:sz w:val="24"/>
          <w:u w:val="single"/>
          <w:vertAlign w:val="superscript"/>
          <w:lang w:val="en-US" w:eastAsia="zh-CN"/>
        </w:rPr>
        <w:t>3</w:t>
      </w:r>
      <w:r>
        <w:rPr>
          <w:rFonts w:hint="default" w:ascii="Times New Roman" w:hAnsi="Times New Roman" w:cs="Times New Roman"/>
          <w:b/>
          <w:bCs/>
          <w:sz w:val="24"/>
          <w:u w:val="single"/>
          <w:lang w:val="en-US" w:eastAsia="zh-CN"/>
        </w:rPr>
        <w:t>、汞及其化合物0.03mg/m</w:t>
      </w:r>
      <w:r>
        <w:rPr>
          <w:rFonts w:hint="default" w:ascii="Times New Roman" w:hAnsi="Times New Roman" w:cs="Times New Roman"/>
          <w:b/>
          <w:bCs/>
          <w:sz w:val="24"/>
          <w:u w:val="single"/>
          <w:vertAlign w:val="superscript"/>
          <w:lang w:val="en-US" w:eastAsia="zh-CN"/>
        </w:rPr>
        <w:t>3</w:t>
      </w:r>
      <w:r>
        <w:rPr>
          <w:rFonts w:hint="eastAsia" w:ascii="Times New Roman" w:hAnsi="Times New Roman" w:cs="Times New Roman"/>
          <w:b/>
          <w:bCs/>
          <w:sz w:val="24"/>
          <w:u w:val="single"/>
          <w:vertAlign w:val="baseline"/>
          <w:lang w:val="en-US" w:eastAsia="zh-CN"/>
        </w:rPr>
        <w:t>及《锅炉大气污染物排放标准》（GB13271-2014）林格曼黑度1</w:t>
      </w:r>
      <w:r>
        <w:rPr>
          <w:rFonts w:hint="eastAsia" w:ascii="Times New Roman" w:hAnsi="Times New Roman" w:cs="Times New Roman"/>
          <w:b/>
          <w:bCs/>
          <w:sz w:val="24"/>
          <w:u w:val="single"/>
          <w:lang w:val="en-US" w:eastAsia="zh-CN"/>
        </w:rPr>
        <w:t>级</w:t>
      </w:r>
      <w:r>
        <w:rPr>
          <w:rFonts w:hint="default" w:ascii="Times New Roman" w:hAnsi="Times New Roman" w:cs="Times New Roman"/>
          <w:b/>
          <w:bCs/>
          <w:sz w:val="24"/>
          <w:u w:val="single"/>
          <w:lang w:val="en-US" w:eastAsia="zh-CN"/>
        </w:rPr>
        <w:t>的要求</w:t>
      </w:r>
      <w:r>
        <w:rPr>
          <w:rFonts w:hint="eastAsia" w:ascii="Times New Roman" w:hAnsi="Times New Roman" w:cs="Times New Roman"/>
          <w:b/>
          <w:bCs/>
          <w:sz w:val="24"/>
          <w:u w:val="single"/>
          <w:lang w:val="en-US" w:eastAsia="zh-CN"/>
        </w:rPr>
        <w:t>，</w:t>
      </w:r>
      <w:r>
        <w:rPr>
          <w:rFonts w:hint="eastAsia" w:ascii="Times New Roman" w:hAnsi="Times New Roman"/>
          <w:b/>
          <w:bCs/>
          <w:sz w:val="24"/>
          <w:u w:val="single"/>
        </w:rPr>
        <w:t>锅炉</w:t>
      </w:r>
      <w:r>
        <w:rPr>
          <w:rFonts w:hint="eastAsia" w:ascii="Times New Roman" w:hAnsi="Times New Roman"/>
          <w:b/>
          <w:bCs/>
          <w:sz w:val="24"/>
          <w:u w:val="single"/>
          <w:lang w:val="en-US" w:eastAsia="zh-CN"/>
        </w:rPr>
        <w:t>4</w:t>
      </w:r>
      <w:r>
        <w:rPr>
          <w:rFonts w:hint="eastAsia" w:ascii="Times New Roman" w:hAnsi="Times New Roman"/>
          <w:b/>
          <w:bCs/>
          <w:sz w:val="24"/>
          <w:u w:val="single"/>
        </w:rPr>
        <w:t>#、</w:t>
      </w:r>
      <w:r>
        <w:rPr>
          <w:rFonts w:hint="eastAsia" w:ascii="Times New Roman" w:hAnsi="Times New Roman"/>
          <w:b/>
          <w:bCs/>
          <w:sz w:val="24"/>
          <w:u w:val="single"/>
          <w:lang w:val="en-US" w:eastAsia="zh-CN"/>
        </w:rPr>
        <w:t>5</w:t>
      </w:r>
      <w:r>
        <w:rPr>
          <w:rFonts w:hint="eastAsia" w:ascii="Times New Roman" w:hAnsi="Times New Roman"/>
          <w:b/>
          <w:bCs/>
          <w:sz w:val="24"/>
          <w:u w:val="single"/>
        </w:rPr>
        <w:t>#</w:t>
      </w:r>
      <w:r>
        <w:rPr>
          <w:rFonts w:hint="eastAsia" w:ascii="Times New Roman" w:hAnsi="Times New Roman"/>
          <w:b/>
          <w:bCs/>
          <w:sz w:val="24"/>
          <w:u w:val="single"/>
          <w:lang w:val="en-US" w:eastAsia="zh-CN"/>
        </w:rPr>
        <w:t>170</w:t>
      </w:r>
      <w:r>
        <w:rPr>
          <w:rFonts w:hint="eastAsia" w:ascii="Times New Roman" w:hAnsi="Times New Roman"/>
          <w:b/>
          <w:bCs/>
          <w:sz w:val="24"/>
          <w:u w:val="single"/>
        </w:rPr>
        <w:t>t/h煤粉炉</w:t>
      </w:r>
      <w:r>
        <w:rPr>
          <w:rFonts w:hint="eastAsia"/>
          <w:b/>
          <w:bCs/>
          <w:sz w:val="24"/>
          <w:u w:val="single"/>
          <w:lang w:val="en-US" w:eastAsia="zh-CN"/>
        </w:rPr>
        <w:t>废气污染物排放能够满足</w:t>
      </w:r>
      <w:r>
        <w:rPr>
          <w:rFonts w:hint="default" w:ascii="Times New Roman" w:hAnsi="Times New Roman" w:cs="Times New Roman"/>
          <w:b/>
          <w:bCs/>
          <w:sz w:val="24"/>
          <w:u w:val="single"/>
          <w:lang w:val="en-US" w:eastAsia="zh-CN"/>
        </w:rPr>
        <w:t>《燃煤电厂大气污染物排放标准》（DB41/1424—2017）颗粒物10mg/m</w:t>
      </w:r>
      <w:r>
        <w:rPr>
          <w:rFonts w:hint="default" w:ascii="Times New Roman" w:hAnsi="Times New Roman" w:cs="Times New Roman"/>
          <w:b/>
          <w:bCs/>
          <w:sz w:val="24"/>
          <w:u w:val="single"/>
          <w:vertAlign w:val="superscript"/>
          <w:lang w:val="en-US" w:eastAsia="zh-CN"/>
        </w:rPr>
        <w:t>3</w:t>
      </w:r>
      <w:r>
        <w:rPr>
          <w:rFonts w:hint="default" w:ascii="Times New Roman" w:hAnsi="Times New Roman" w:cs="Times New Roman"/>
          <w:b/>
          <w:bCs/>
          <w:sz w:val="24"/>
          <w:u w:val="single"/>
          <w:lang w:val="en-US" w:eastAsia="zh-CN"/>
        </w:rPr>
        <w:t>、SO</w:t>
      </w:r>
      <w:r>
        <w:rPr>
          <w:rFonts w:hint="default" w:ascii="Times New Roman" w:hAnsi="Times New Roman" w:cs="Times New Roman"/>
          <w:b/>
          <w:bCs/>
          <w:sz w:val="24"/>
          <w:u w:val="single"/>
          <w:vertAlign w:val="subscript"/>
          <w:lang w:val="en-US" w:eastAsia="zh-CN"/>
        </w:rPr>
        <w:t>2</w:t>
      </w:r>
      <w:r>
        <w:rPr>
          <w:rFonts w:hint="default" w:ascii="Times New Roman" w:hAnsi="Times New Roman" w:cs="Times New Roman"/>
          <w:b/>
          <w:bCs/>
          <w:sz w:val="24"/>
          <w:u w:val="single"/>
          <w:lang w:val="en-US" w:eastAsia="zh-CN"/>
        </w:rPr>
        <w:t xml:space="preserve"> 35mg/m</w:t>
      </w:r>
      <w:r>
        <w:rPr>
          <w:rFonts w:hint="default" w:ascii="Times New Roman" w:hAnsi="Times New Roman" w:cs="Times New Roman"/>
          <w:b/>
          <w:bCs/>
          <w:sz w:val="24"/>
          <w:u w:val="single"/>
          <w:vertAlign w:val="superscript"/>
          <w:lang w:val="en-US" w:eastAsia="zh-CN"/>
        </w:rPr>
        <w:t>3</w:t>
      </w:r>
      <w:r>
        <w:rPr>
          <w:rFonts w:hint="default" w:ascii="Times New Roman" w:hAnsi="Times New Roman" w:cs="Times New Roman"/>
          <w:b/>
          <w:bCs/>
          <w:sz w:val="24"/>
          <w:u w:val="single"/>
          <w:lang w:val="en-US" w:eastAsia="zh-CN"/>
        </w:rPr>
        <w:t>、NO</w:t>
      </w:r>
      <w:r>
        <w:rPr>
          <w:rFonts w:hint="default" w:ascii="Times New Roman" w:hAnsi="Times New Roman" w:cs="Times New Roman"/>
          <w:b/>
          <w:bCs/>
          <w:sz w:val="24"/>
          <w:u w:val="single"/>
          <w:vertAlign w:val="subscript"/>
          <w:lang w:val="en-US" w:eastAsia="zh-CN"/>
        </w:rPr>
        <w:t>X</w:t>
      </w:r>
      <w:r>
        <w:rPr>
          <w:rFonts w:hint="default" w:ascii="Times New Roman" w:hAnsi="Times New Roman" w:cs="Times New Roman"/>
          <w:b/>
          <w:bCs/>
          <w:sz w:val="24"/>
          <w:u w:val="single"/>
          <w:lang w:val="en-US" w:eastAsia="zh-CN"/>
        </w:rPr>
        <w:t>50mg/m</w:t>
      </w:r>
      <w:r>
        <w:rPr>
          <w:rFonts w:hint="default" w:ascii="Times New Roman" w:hAnsi="Times New Roman" w:cs="Times New Roman"/>
          <w:b/>
          <w:bCs/>
          <w:sz w:val="24"/>
          <w:u w:val="single"/>
          <w:vertAlign w:val="superscript"/>
          <w:lang w:val="en-US" w:eastAsia="zh-CN"/>
        </w:rPr>
        <w:t>3</w:t>
      </w:r>
      <w:r>
        <w:rPr>
          <w:rFonts w:hint="default" w:ascii="Times New Roman" w:hAnsi="Times New Roman" w:cs="Times New Roman"/>
          <w:b/>
          <w:bCs/>
          <w:sz w:val="24"/>
          <w:u w:val="single"/>
          <w:lang w:val="en-US" w:eastAsia="zh-CN"/>
        </w:rPr>
        <w:t>、汞及其化合物0.03mg/m</w:t>
      </w:r>
      <w:r>
        <w:rPr>
          <w:rFonts w:hint="default" w:ascii="Times New Roman" w:hAnsi="Times New Roman" w:cs="Times New Roman"/>
          <w:b/>
          <w:bCs/>
          <w:sz w:val="24"/>
          <w:u w:val="single"/>
          <w:vertAlign w:val="superscript"/>
          <w:lang w:val="en-US" w:eastAsia="zh-CN"/>
        </w:rPr>
        <w:t>3</w:t>
      </w:r>
      <w:r>
        <w:rPr>
          <w:rFonts w:hint="eastAsia" w:ascii="Times New Roman" w:hAnsi="Times New Roman" w:cs="Times New Roman"/>
          <w:b/>
          <w:bCs/>
          <w:sz w:val="24"/>
          <w:u w:val="single"/>
          <w:vertAlign w:val="baseline"/>
          <w:lang w:val="en-US" w:eastAsia="zh-CN"/>
        </w:rPr>
        <w:t>及《锅炉大气污染物排放标准》（GB13271-2014）林格曼黑度1级</w:t>
      </w:r>
      <w:r>
        <w:rPr>
          <w:rFonts w:hint="default" w:ascii="Times New Roman" w:hAnsi="Times New Roman" w:cs="Times New Roman"/>
          <w:b/>
          <w:bCs/>
          <w:sz w:val="24"/>
          <w:u w:val="single"/>
          <w:lang w:val="en-US" w:eastAsia="zh-CN"/>
        </w:rPr>
        <w:t>的要求</w:t>
      </w:r>
      <w:r>
        <w:rPr>
          <w:rFonts w:hint="eastAsia" w:ascii="Times New Roman" w:hAnsi="Times New Roman" w:cs="Times New Roman"/>
          <w:b/>
          <w:bCs/>
          <w:sz w:val="24"/>
          <w:u w:val="single"/>
          <w:lang w:val="en-US" w:eastAsia="zh-CN"/>
        </w:rPr>
        <w:t>，其中颗粒物执行《新乡化纤股份有限公司新建2×170t/h蒸汽锅炉项目环境报告书》批复中限值5</w:t>
      </w:r>
      <w:r>
        <w:rPr>
          <w:rFonts w:hint="default" w:ascii="Times New Roman" w:hAnsi="Times New Roman" w:cs="Times New Roman"/>
          <w:b/>
          <w:bCs/>
          <w:sz w:val="24"/>
          <w:u w:val="single"/>
          <w:lang w:val="en-US" w:eastAsia="zh-CN"/>
        </w:rPr>
        <w:t>mg/m</w:t>
      </w:r>
      <w:r>
        <w:rPr>
          <w:rFonts w:hint="default" w:ascii="Times New Roman" w:hAnsi="Times New Roman" w:cs="Times New Roman"/>
          <w:b/>
          <w:bCs/>
          <w:sz w:val="24"/>
          <w:u w:val="single"/>
          <w:vertAlign w:val="superscript"/>
          <w:lang w:val="en-US" w:eastAsia="zh-CN"/>
        </w:rPr>
        <w:t>3</w:t>
      </w:r>
      <w:r>
        <w:rPr>
          <w:rFonts w:hint="eastAsia" w:ascii="Times New Roman" w:hAnsi="Times New Roman" w:cs="Times New Roman"/>
          <w:b/>
          <w:bCs/>
          <w:sz w:val="24"/>
          <w:u w:val="single"/>
          <w:lang w:val="en-US" w:eastAsia="zh-CN"/>
        </w:rPr>
        <w:t>更严要求</w:t>
      </w:r>
      <w:r>
        <w:rPr>
          <w:rFonts w:hint="eastAsia" w:ascii="Times New Roman" w:hAnsi="Times New Roman" w:eastAsia="宋体" w:cs="Times New Roman"/>
          <w:b/>
          <w:bCs/>
          <w:sz w:val="24"/>
          <w:u w:val="single"/>
          <w:lang w:val="en-US" w:eastAsia="zh-CN"/>
        </w:rPr>
        <w:t>；已建项目锅炉废气中氨能够满足新乡市建材行业、燃煤锅炉深度治理方案中氨≤8.0mg/m</w:t>
      </w:r>
      <w:r>
        <w:rPr>
          <w:rFonts w:hint="eastAsia" w:ascii="Times New Roman" w:hAnsi="Times New Roman" w:eastAsia="宋体" w:cs="Times New Roman"/>
          <w:b/>
          <w:bCs/>
          <w:sz w:val="24"/>
          <w:u w:val="single"/>
          <w:vertAlign w:val="superscript"/>
          <w:lang w:val="en-US" w:eastAsia="zh-CN"/>
        </w:rPr>
        <w:t>3</w:t>
      </w:r>
      <w:r>
        <w:rPr>
          <w:rFonts w:hint="eastAsia" w:ascii="Times New Roman" w:hAnsi="Times New Roman" w:eastAsia="宋体" w:cs="Times New Roman"/>
          <w:b/>
          <w:bCs/>
          <w:sz w:val="24"/>
          <w:u w:val="single"/>
          <w:lang w:val="en-US" w:eastAsia="zh-CN"/>
        </w:rPr>
        <w:t>的要求</w:t>
      </w:r>
      <w:r>
        <w:rPr>
          <w:rFonts w:hint="default" w:ascii="Times New Roman" w:hAnsi="Times New Roman" w:eastAsia="宋体" w:cs="Times New Roman"/>
          <w:b/>
          <w:bCs/>
          <w:sz w:val="24"/>
          <w:u w:val="single"/>
          <w:lang w:val="en-US" w:eastAsia="zh-CN"/>
        </w:rPr>
        <w:t>。</w:t>
      </w:r>
    </w:p>
    <w:p w14:paraId="54BEDAB2">
      <w:pPr>
        <w:pStyle w:val="10"/>
        <w:bidi w:val="0"/>
        <w:rPr>
          <w:rFonts w:hint="eastAsia"/>
          <w:lang w:val="en-US" w:eastAsia="zh-CN"/>
        </w:rPr>
      </w:pPr>
      <w:r>
        <w:t xml:space="preserve">表 </w:t>
      </w:r>
      <w:r>
        <w:fldChar w:fldCharType="begin"/>
      </w:r>
      <w:r>
        <w:instrText xml:space="preserve"> STYLEREF 2 \s </w:instrText>
      </w:r>
      <w:r>
        <w:fldChar w:fldCharType="separate"/>
      </w:r>
      <w:r>
        <w:t>3.3</w:t>
      </w:r>
      <w:r>
        <w:fldChar w:fldCharType="end"/>
      </w:r>
      <w:r>
        <w:rPr>
          <w:rFonts w:hint="eastAsia"/>
          <w:lang w:eastAsia="zh-CN"/>
        </w:rPr>
        <w:t>-</w:t>
      </w:r>
      <w:r>
        <w:fldChar w:fldCharType="begin"/>
      </w:r>
      <w:r>
        <w:instrText xml:space="preserve"> SEQ 表 \* ARABIC \s 2 </w:instrText>
      </w:r>
      <w:r>
        <w:fldChar w:fldCharType="separate"/>
      </w:r>
      <w:r>
        <w:t>9</w:t>
      </w:r>
      <w:r>
        <w:fldChar w:fldCharType="end"/>
      </w:r>
      <w:r>
        <w:rPr>
          <w:rFonts w:hint="eastAsia"/>
          <w:lang w:val="en-US" w:eastAsia="zh-CN"/>
        </w:rPr>
        <w:t xml:space="preserve"> 已建项目例行监测数据一览表</w:t>
      </w:r>
    </w:p>
    <w:tbl>
      <w:tblPr>
        <w:tblStyle w:val="31"/>
        <w:tblW w:w="5010"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2313"/>
        <w:gridCol w:w="1815"/>
        <w:gridCol w:w="1845"/>
        <w:gridCol w:w="340"/>
        <w:gridCol w:w="3492"/>
        <w:gridCol w:w="1419"/>
        <w:gridCol w:w="1227"/>
        <w:gridCol w:w="1030"/>
      </w:tblGrid>
      <w:tr w14:paraId="7B88A9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66D6FD8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73C7039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灰库</w:t>
            </w:r>
            <w:r>
              <w:t>排气筒出口DA00</w:t>
            </w:r>
            <w:r>
              <w:rPr>
                <w:rFonts w:hint="eastAsia"/>
              </w:rPr>
              <w:t>5</w:t>
            </w:r>
          </w:p>
        </w:tc>
      </w:tr>
      <w:tr w14:paraId="31D71A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443817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773DBD5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.11.</w:t>
            </w:r>
            <w:r>
              <w:rPr>
                <w:rFonts w:hint="eastAsia"/>
              </w:rPr>
              <w:t>15</w:t>
            </w:r>
          </w:p>
        </w:tc>
      </w:tr>
      <w:tr w14:paraId="228E29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27706A6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5096135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143C363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4DF9E20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0847E2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648B6E3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1966A0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0E3AB0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3574F95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颗粒物</w:t>
            </w:r>
          </w:p>
        </w:tc>
        <w:tc>
          <w:tcPr>
            <w:tcW w:w="673" w:type="pct"/>
            <w:shd w:val="clear" w:color="auto" w:fill="auto"/>
            <w:noWrap w:val="0"/>
            <w:vAlign w:val="center"/>
          </w:tcPr>
          <w:p w14:paraId="67B61A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1.8~3.7</w:t>
            </w:r>
          </w:p>
        </w:tc>
        <w:tc>
          <w:tcPr>
            <w:tcW w:w="684" w:type="pct"/>
            <w:shd w:val="clear" w:color="auto" w:fill="auto"/>
            <w:noWrap w:val="0"/>
            <w:vAlign w:val="center"/>
          </w:tcPr>
          <w:p w14:paraId="1D6499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0.0056~0.0106</w:t>
            </w:r>
          </w:p>
        </w:tc>
        <w:tc>
          <w:tcPr>
            <w:tcW w:w="1421" w:type="pct"/>
            <w:gridSpan w:val="2"/>
            <w:shd w:val="clear" w:color="auto" w:fill="auto"/>
            <w:noWrap w:val="0"/>
            <w:vAlign w:val="center"/>
          </w:tcPr>
          <w:p w14:paraId="65D14B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新乡市生态环境局</w:t>
            </w:r>
            <w:r>
              <w:t>2020年7月31日印</w:t>
            </w:r>
          </w:p>
          <w:p w14:paraId="603224D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发《关于进一步规范工业企业颗粒物排放限制的通知》颗粒物排放标准</w:t>
            </w:r>
          </w:p>
        </w:tc>
        <w:tc>
          <w:tcPr>
            <w:tcW w:w="526" w:type="pct"/>
            <w:shd w:val="clear" w:color="auto" w:fill="auto"/>
            <w:noWrap w:val="0"/>
            <w:vAlign w:val="center"/>
          </w:tcPr>
          <w:p w14:paraId="13C4596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10</w:t>
            </w:r>
          </w:p>
        </w:tc>
        <w:tc>
          <w:tcPr>
            <w:tcW w:w="455" w:type="pct"/>
            <w:shd w:val="clear" w:color="auto" w:fill="auto"/>
            <w:noWrap w:val="0"/>
            <w:vAlign w:val="center"/>
          </w:tcPr>
          <w:p w14:paraId="09D3711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382" w:type="pct"/>
            <w:shd w:val="clear" w:color="auto" w:fill="auto"/>
            <w:noWrap w:val="0"/>
            <w:vAlign w:val="center"/>
          </w:tcPr>
          <w:p w14:paraId="74E15C4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75F9F7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45CB8DA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777550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新皮带1#除尘器</w:t>
            </w:r>
            <w:r>
              <w:t>排气筒出口DA0</w:t>
            </w:r>
            <w:r>
              <w:rPr>
                <w:rFonts w:hint="eastAsia"/>
              </w:rPr>
              <w:t>06</w:t>
            </w:r>
          </w:p>
        </w:tc>
      </w:tr>
      <w:tr w14:paraId="57B500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557B99C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1D23089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04</w:t>
            </w:r>
            <w:r>
              <w:t>.</w:t>
            </w:r>
            <w:r>
              <w:rPr>
                <w:rFonts w:hint="eastAsia"/>
              </w:rPr>
              <w:t>27</w:t>
            </w:r>
          </w:p>
        </w:tc>
      </w:tr>
      <w:tr w14:paraId="4E6B18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65539F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77B9FC8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52394CC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182258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0D0E86A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11DBF4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574E243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43EAAA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00F84FD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颗粒物</w:t>
            </w:r>
          </w:p>
        </w:tc>
        <w:tc>
          <w:tcPr>
            <w:tcW w:w="673" w:type="pct"/>
            <w:shd w:val="clear" w:color="auto" w:fill="auto"/>
            <w:noWrap w:val="0"/>
            <w:vAlign w:val="center"/>
          </w:tcPr>
          <w:p w14:paraId="059CB1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3.5~4.8</w:t>
            </w:r>
          </w:p>
        </w:tc>
        <w:tc>
          <w:tcPr>
            <w:tcW w:w="684" w:type="pct"/>
            <w:shd w:val="clear" w:color="auto" w:fill="auto"/>
            <w:noWrap w:val="0"/>
            <w:vAlign w:val="center"/>
          </w:tcPr>
          <w:p w14:paraId="0A0A0DF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0.0011~0.00145</w:t>
            </w:r>
          </w:p>
        </w:tc>
        <w:tc>
          <w:tcPr>
            <w:tcW w:w="1421" w:type="pct"/>
            <w:gridSpan w:val="2"/>
            <w:shd w:val="clear" w:color="auto" w:fill="auto"/>
            <w:noWrap w:val="0"/>
            <w:vAlign w:val="center"/>
          </w:tcPr>
          <w:p w14:paraId="4A3FF2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新乡市生态环境局</w:t>
            </w:r>
            <w:r>
              <w:t>2020年7月31日印</w:t>
            </w:r>
          </w:p>
          <w:p w14:paraId="015FA49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发《关于进一步规范工业企业颗粒物</w:t>
            </w:r>
          </w:p>
          <w:p w14:paraId="30A32B0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排放限制的通知》颗粒物排放标准</w:t>
            </w:r>
          </w:p>
        </w:tc>
        <w:tc>
          <w:tcPr>
            <w:tcW w:w="526" w:type="pct"/>
            <w:shd w:val="clear" w:color="auto" w:fill="auto"/>
            <w:noWrap w:val="0"/>
            <w:vAlign w:val="center"/>
          </w:tcPr>
          <w:p w14:paraId="5098DA6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10</w:t>
            </w:r>
          </w:p>
        </w:tc>
        <w:tc>
          <w:tcPr>
            <w:tcW w:w="455" w:type="pct"/>
            <w:shd w:val="clear" w:color="auto" w:fill="auto"/>
            <w:noWrap w:val="0"/>
            <w:vAlign w:val="center"/>
          </w:tcPr>
          <w:p w14:paraId="6C3E5D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382" w:type="pct"/>
            <w:shd w:val="clear" w:color="auto" w:fill="auto"/>
            <w:noWrap w:val="0"/>
            <w:vAlign w:val="center"/>
          </w:tcPr>
          <w:p w14:paraId="516A9C4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13597D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61DBD8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41E40E3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新皮带2#除尘器</w:t>
            </w:r>
            <w:r>
              <w:t>排气筒出口DA0</w:t>
            </w:r>
            <w:r>
              <w:rPr>
                <w:rFonts w:hint="eastAsia"/>
              </w:rPr>
              <w:t>07</w:t>
            </w:r>
          </w:p>
        </w:tc>
      </w:tr>
      <w:tr w14:paraId="73849DC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2FA7218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7D98500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04</w:t>
            </w:r>
            <w:r>
              <w:t>.</w:t>
            </w:r>
            <w:r>
              <w:rPr>
                <w:rFonts w:hint="eastAsia"/>
              </w:rPr>
              <w:t>27</w:t>
            </w:r>
          </w:p>
        </w:tc>
      </w:tr>
      <w:tr w14:paraId="3F6A60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4106538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712B315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810" w:type="pct"/>
            <w:gridSpan w:val="2"/>
            <w:shd w:val="clear" w:color="auto" w:fill="auto"/>
            <w:noWrap w:val="0"/>
            <w:vAlign w:val="center"/>
          </w:tcPr>
          <w:p w14:paraId="65AB238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295" w:type="pct"/>
            <w:shd w:val="clear" w:color="auto" w:fill="auto"/>
            <w:noWrap w:val="0"/>
            <w:vAlign w:val="center"/>
          </w:tcPr>
          <w:p w14:paraId="5E427EF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2C24865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23A7886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58C9F2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7068CC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01BB55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颗粒物</w:t>
            </w:r>
          </w:p>
        </w:tc>
        <w:tc>
          <w:tcPr>
            <w:tcW w:w="673" w:type="pct"/>
            <w:shd w:val="clear" w:color="auto" w:fill="auto"/>
            <w:noWrap w:val="0"/>
            <w:vAlign w:val="center"/>
          </w:tcPr>
          <w:p w14:paraId="75EC905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3.3~4.3</w:t>
            </w:r>
          </w:p>
        </w:tc>
        <w:tc>
          <w:tcPr>
            <w:tcW w:w="810" w:type="pct"/>
            <w:gridSpan w:val="2"/>
            <w:shd w:val="clear" w:color="auto" w:fill="auto"/>
            <w:noWrap w:val="0"/>
            <w:vAlign w:val="center"/>
          </w:tcPr>
          <w:p w14:paraId="4EA1C45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0.00186~0.00248</w:t>
            </w:r>
          </w:p>
        </w:tc>
        <w:tc>
          <w:tcPr>
            <w:tcW w:w="1295" w:type="pct"/>
            <w:shd w:val="clear" w:color="auto" w:fill="auto"/>
            <w:noWrap w:val="0"/>
            <w:vAlign w:val="center"/>
          </w:tcPr>
          <w:p w14:paraId="3224CA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新乡市生态环境局</w:t>
            </w:r>
            <w:r>
              <w:t>2020年7月31日印</w:t>
            </w:r>
          </w:p>
          <w:p w14:paraId="5700CA8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发《关于进一步规范工业企业颗粒物</w:t>
            </w:r>
          </w:p>
          <w:p w14:paraId="7A6CFE6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排放限制的通知》颗粒物排放标准</w:t>
            </w:r>
          </w:p>
        </w:tc>
        <w:tc>
          <w:tcPr>
            <w:tcW w:w="526" w:type="pct"/>
            <w:shd w:val="clear" w:color="auto" w:fill="auto"/>
            <w:noWrap w:val="0"/>
            <w:vAlign w:val="center"/>
          </w:tcPr>
          <w:p w14:paraId="29290C4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10</w:t>
            </w:r>
          </w:p>
        </w:tc>
        <w:tc>
          <w:tcPr>
            <w:tcW w:w="455" w:type="pct"/>
            <w:shd w:val="clear" w:color="auto" w:fill="auto"/>
            <w:noWrap w:val="0"/>
            <w:vAlign w:val="center"/>
          </w:tcPr>
          <w:p w14:paraId="4E4252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382" w:type="pct"/>
            <w:shd w:val="clear" w:color="auto" w:fill="auto"/>
            <w:noWrap w:val="0"/>
            <w:vAlign w:val="center"/>
          </w:tcPr>
          <w:p w14:paraId="6CFE69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084BCB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3BF6CB3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66892E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新皮带3#除尘器</w:t>
            </w:r>
            <w:r>
              <w:t>排气筒出口DA0</w:t>
            </w:r>
            <w:r>
              <w:rPr>
                <w:rFonts w:hint="eastAsia"/>
              </w:rPr>
              <w:t>08</w:t>
            </w:r>
          </w:p>
        </w:tc>
      </w:tr>
      <w:tr w14:paraId="1A8AB95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6D0EA4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6EFD8E6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04</w:t>
            </w:r>
            <w:r>
              <w:t>.</w:t>
            </w:r>
            <w:r>
              <w:rPr>
                <w:rFonts w:hint="eastAsia"/>
              </w:rPr>
              <w:t>28</w:t>
            </w:r>
          </w:p>
        </w:tc>
      </w:tr>
      <w:tr w14:paraId="3A0E7F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7418D7E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4ABDD12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810" w:type="pct"/>
            <w:gridSpan w:val="2"/>
            <w:shd w:val="clear" w:color="auto" w:fill="auto"/>
            <w:noWrap w:val="0"/>
            <w:vAlign w:val="center"/>
          </w:tcPr>
          <w:p w14:paraId="1F4FE09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295" w:type="pct"/>
            <w:shd w:val="clear" w:color="auto" w:fill="auto"/>
            <w:noWrap w:val="0"/>
            <w:vAlign w:val="center"/>
          </w:tcPr>
          <w:p w14:paraId="017F1BD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0E32FA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7C9FC4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7AD4813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237CCC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7E8173C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颗粒物</w:t>
            </w:r>
          </w:p>
        </w:tc>
        <w:tc>
          <w:tcPr>
            <w:tcW w:w="673" w:type="pct"/>
            <w:shd w:val="clear" w:color="auto" w:fill="auto"/>
            <w:noWrap w:val="0"/>
            <w:vAlign w:val="center"/>
          </w:tcPr>
          <w:p w14:paraId="7CDF6E7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3.8~4.3</w:t>
            </w:r>
          </w:p>
        </w:tc>
        <w:tc>
          <w:tcPr>
            <w:tcW w:w="684" w:type="pct"/>
            <w:shd w:val="clear" w:color="auto" w:fill="auto"/>
            <w:noWrap w:val="0"/>
            <w:vAlign w:val="center"/>
          </w:tcPr>
          <w:p w14:paraId="73915CA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0.000783~0.000972</w:t>
            </w:r>
          </w:p>
        </w:tc>
        <w:tc>
          <w:tcPr>
            <w:tcW w:w="1421" w:type="pct"/>
            <w:gridSpan w:val="2"/>
            <w:shd w:val="clear" w:color="auto" w:fill="auto"/>
            <w:noWrap w:val="0"/>
            <w:vAlign w:val="center"/>
          </w:tcPr>
          <w:p w14:paraId="3A356BC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新乡市生态环境局</w:t>
            </w:r>
            <w:r>
              <w:t>2020年7月31日印</w:t>
            </w:r>
          </w:p>
          <w:p w14:paraId="1E55602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发《关于进一步规范工业企业颗粒物</w:t>
            </w:r>
          </w:p>
          <w:p w14:paraId="7961012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排放限制的通知》颗粒物排放标准</w:t>
            </w:r>
          </w:p>
        </w:tc>
        <w:tc>
          <w:tcPr>
            <w:tcW w:w="526" w:type="pct"/>
            <w:shd w:val="clear" w:color="auto" w:fill="auto"/>
            <w:noWrap w:val="0"/>
            <w:vAlign w:val="center"/>
          </w:tcPr>
          <w:p w14:paraId="7D3881B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10</w:t>
            </w:r>
          </w:p>
        </w:tc>
        <w:tc>
          <w:tcPr>
            <w:tcW w:w="455" w:type="pct"/>
            <w:shd w:val="clear" w:color="auto" w:fill="auto"/>
            <w:noWrap w:val="0"/>
            <w:vAlign w:val="center"/>
          </w:tcPr>
          <w:p w14:paraId="489CA1F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382" w:type="pct"/>
            <w:shd w:val="clear" w:color="auto" w:fill="auto"/>
            <w:noWrap w:val="0"/>
            <w:vAlign w:val="center"/>
          </w:tcPr>
          <w:p w14:paraId="1432393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5A08D7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1E4969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5C511FA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除尘器</w:t>
            </w:r>
            <w:r>
              <w:t>排气筒出口DA0</w:t>
            </w:r>
            <w:r>
              <w:rPr>
                <w:rFonts w:hint="eastAsia"/>
              </w:rPr>
              <w:t>09</w:t>
            </w:r>
          </w:p>
        </w:tc>
      </w:tr>
      <w:tr w14:paraId="2E3589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7C4464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35649D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02</w:t>
            </w:r>
            <w:r>
              <w:t>.</w:t>
            </w:r>
            <w:r>
              <w:rPr>
                <w:rFonts w:hint="eastAsia"/>
              </w:rPr>
              <w:t>23</w:t>
            </w:r>
          </w:p>
        </w:tc>
      </w:tr>
      <w:tr w14:paraId="358600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037747A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0D2DFD1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53D4F3A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192862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7ECBE97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684550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36C726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6F64A9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055D69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颗粒物</w:t>
            </w:r>
          </w:p>
        </w:tc>
        <w:tc>
          <w:tcPr>
            <w:tcW w:w="673" w:type="pct"/>
            <w:shd w:val="clear" w:color="auto" w:fill="auto"/>
            <w:noWrap w:val="0"/>
            <w:vAlign w:val="center"/>
          </w:tcPr>
          <w:p w14:paraId="5A878E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2.0~3.0</w:t>
            </w:r>
          </w:p>
        </w:tc>
        <w:tc>
          <w:tcPr>
            <w:tcW w:w="684" w:type="pct"/>
            <w:shd w:val="clear" w:color="auto" w:fill="auto"/>
            <w:noWrap w:val="0"/>
            <w:vAlign w:val="center"/>
          </w:tcPr>
          <w:p w14:paraId="1AD3D2F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0.0006~0.000897</w:t>
            </w:r>
          </w:p>
        </w:tc>
        <w:tc>
          <w:tcPr>
            <w:tcW w:w="1421" w:type="pct"/>
            <w:gridSpan w:val="2"/>
            <w:shd w:val="clear" w:color="auto" w:fill="auto"/>
            <w:noWrap w:val="0"/>
            <w:vAlign w:val="center"/>
          </w:tcPr>
          <w:p w14:paraId="13F9978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新乡市生态环境局</w:t>
            </w:r>
            <w:r>
              <w:t>2020年7月31日印</w:t>
            </w:r>
          </w:p>
          <w:p w14:paraId="3EAB225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发《关于进一步规范工业企业颗粒物</w:t>
            </w:r>
          </w:p>
          <w:p w14:paraId="402D88B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排放限制的通知》颗粒物排放标准</w:t>
            </w:r>
          </w:p>
        </w:tc>
        <w:tc>
          <w:tcPr>
            <w:tcW w:w="526" w:type="pct"/>
            <w:shd w:val="clear" w:color="auto" w:fill="auto"/>
            <w:noWrap w:val="0"/>
            <w:vAlign w:val="center"/>
          </w:tcPr>
          <w:p w14:paraId="21707D6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10</w:t>
            </w:r>
          </w:p>
        </w:tc>
        <w:tc>
          <w:tcPr>
            <w:tcW w:w="455" w:type="pct"/>
            <w:shd w:val="clear" w:color="auto" w:fill="auto"/>
            <w:noWrap w:val="0"/>
            <w:vAlign w:val="center"/>
          </w:tcPr>
          <w:p w14:paraId="4584B2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382" w:type="pct"/>
            <w:shd w:val="clear" w:color="auto" w:fill="auto"/>
            <w:noWrap w:val="0"/>
            <w:vAlign w:val="center"/>
          </w:tcPr>
          <w:p w14:paraId="10CA3EC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0F1BB5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78BE7B2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5D365D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除尘器2#</w:t>
            </w:r>
            <w:r>
              <w:t>排气筒出口DA0</w:t>
            </w:r>
            <w:r>
              <w:rPr>
                <w:rFonts w:hint="eastAsia"/>
              </w:rPr>
              <w:t>10</w:t>
            </w:r>
          </w:p>
        </w:tc>
      </w:tr>
      <w:tr w14:paraId="00F383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4B001C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09B1B42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08</w:t>
            </w:r>
            <w:r>
              <w:t>.</w:t>
            </w:r>
            <w:r>
              <w:rPr>
                <w:rFonts w:hint="eastAsia"/>
              </w:rPr>
              <w:t>11</w:t>
            </w:r>
          </w:p>
        </w:tc>
      </w:tr>
      <w:tr w14:paraId="7EEB75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134AD3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1E21BD3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127195F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2AE00B5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5FF0796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6120E8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7080B5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51D97F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1CC860D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颗粒物</w:t>
            </w:r>
          </w:p>
        </w:tc>
        <w:tc>
          <w:tcPr>
            <w:tcW w:w="673" w:type="pct"/>
            <w:shd w:val="clear" w:color="auto" w:fill="auto"/>
            <w:noWrap w:val="0"/>
            <w:vAlign w:val="center"/>
          </w:tcPr>
          <w:p w14:paraId="097E092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2.4~3.8</w:t>
            </w:r>
          </w:p>
        </w:tc>
        <w:tc>
          <w:tcPr>
            <w:tcW w:w="684" w:type="pct"/>
            <w:shd w:val="clear" w:color="auto" w:fill="auto"/>
            <w:noWrap w:val="0"/>
            <w:vAlign w:val="center"/>
          </w:tcPr>
          <w:p w14:paraId="0338492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0.00168~0.00263</w:t>
            </w:r>
          </w:p>
        </w:tc>
        <w:tc>
          <w:tcPr>
            <w:tcW w:w="1421" w:type="pct"/>
            <w:gridSpan w:val="2"/>
            <w:shd w:val="clear" w:color="auto" w:fill="auto"/>
            <w:noWrap w:val="0"/>
            <w:vAlign w:val="center"/>
          </w:tcPr>
          <w:p w14:paraId="728D6FC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新乡市生态环境局</w:t>
            </w:r>
            <w:r>
              <w:t>2020年7月31日印</w:t>
            </w:r>
          </w:p>
          <w:p w14:paraId="6BA392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发《关于进一步规范工业企业颗粒物</w:t>
            </w:r>
          </w:p>
          <w:p w14:paraId="33683D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排放限制的通知》颗粒物排放标准</w:t>
            </w:r>
          </w:p>
        </w:tc>
        <w:tc>
          <w:tcPr>
            <w:tcW w:w="526" w:type="pct"/>
            <w:shd w:val="clear" w:color="auto" w:fill="auto"/>
            <w:noWrap w:val="0"/>
            <w:vAlign w:val="center"/>
          </w:tcPr>
          <w:p w14:paraId="60A37D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10</w:t>
            </w:r>
          </w:p>
        </w:tc>
        <w:tc>
          <w:tcPr>
            <w:tcW w:w="455" w:type="pct"/>
            <w:shd w:val="clear" w:color="auto" w:fill="auto"/>
            <w:noWrap w:val="0"/>
            <w:vAlign w:val="center"/>
          </w:tcPr>
          <w:p w14:paraId="5046C3F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382" w:type="pct"/>
            <w:shd w:val="clear" w:color="auto" w:fill="auto"/>
            <w:noWrap w:val="0"/>
            <w:vAlign w:val="center"/>
          </w:tcPr>
          <w:p w14:paraId="6A733F2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7729A0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22275A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5F1EC8F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灰库</w:t>
            </w:r>
            <w:r>
              <w:t>排气筒出口DA0</w:t>
            </w:r>
            <w:r>
              <w:rPr>
                <w:rFonts w:hint="eastAsia"/>
              </w:rPr>
              <w:t>11</w:t>
            </w:r>
          </w:p>
        </w:tc>
      </w:tr>
      <w:tr w14:paraId="0CEC32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29E9FEC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3CF6F9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.11.</w:t>
            </w:r>
            <w:r>
              <w:rPr>
                <w:rFonts w:hint="eastAsia"/>
              </w:rPr>
              <w:t>15</w:t>
            </w:r>
          </w:p>
        </w:tc>
      </w:tr>
      <w:tr w14:paraId="5C71061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35D1229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0A4C78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5E8844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722D7B3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24C2A2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25DEE0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749EA00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6A3DDB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6AA79E2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颗粒物</w:t>
            </w:r>
          </w:p>
        </w:tc>
        <w:tc>
          <w:tcPr>
            <w:tcW w:w="673" w:type="pct"/>
            <w:shd w:val="clear" w:color="auto" w:fill="auto"/>
            <w:noWrap w:val="0"/>
            <w:vAlign w:val="center"/>
          </w:tcPr>
          <w:p w14:paraId="27C69C3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2.0~3.1</w:t>
            </w:r>
          </w:p>
        </w:tc>
        <w:tc>
          <w:tcPr>
            <w:tcW w:w="684" w:type="pct"/>
            <w:shd w:val="clear" w:color="auto" w:fill="auto"/>
            <w:noWrap w:val="0"/>
            <w:vAlign w:val="center"/>
          </w:tcPr>
          <w:p w14:paraId="735B51E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0.00824~0.0128</w:t>
            </w:r>
          </w:p>
        </w:tc>
        <w:tc>
          <w:tcPr>
            <w:tcW w:w="1421" w:type="pct"/>
            <w:gridSpan w:val="2"/>
            <w:shd w:val="clear" w:color="auto" w:fill="auto"/>
            <w:noWrap w:val="0"/>
            <w:vAlign w:val="center"/>
          </w:tcPr>
          <w:p w14:paraId="3BD4C2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新乡市生态环境局</w:t>
            </w:r>
            <w:r>
              <w:t>2020年7月31日印</w:t>
            </w:r>
          </w:p>
          <w:p w14:paraId="62BC77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发《关于进一步规范工业企业颗粒物</w:t>
            </w:r>
          </w:p>
          <w:p w14:paraId="706A53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排放限制的通知》颗粒物排放标准</w:t>
            </w:r>
          </w:p>
        </w:tc>
        <w:tc>
          <w:tcPr>
            <w:tcW w:w="526" w:type="pct"/>
            <w:shd w:val="clear" w:color="auto" w:fill="auto"/>
            <w:noWrap w:val="0"/>
            <w:vAlign w:val="center"/>
          </w:tcPr>
          <w:p w14:paraId="74A88F2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10</w:t>
            </w:r>
          </w:p>
        </w:tc>
        <w:tc>
          <w:tcPr>
            <w:tcW w:w="455" w:type="pct"/>
            <w:shd w:val="clear" w:color="auto" w:fill="auto"/>
            <w:noWrap w:val="0"/>
            <w:vAlign w:val="center"/>
          </w:tcPr>
          <w:p w14:paraId="0990538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382" w:type="pct"/>
            <w:shd w:val="clear" w:color="auto" w:fill="auto"/>
            <w:noWrap w:val="0"/>
            <w:vAlign w:val="center"/>
          </w:tcPr>
          <w:p w14:paraId="6FB7958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52C842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3EF6AB7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677D9DC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除尘器</w:t>
            </w:r>
            <w:r>
              <w:t>排气筒出口DA0</w:t>
            </w:r>
            <w:r>
              <w:rPr>
                <w:rFonts w:hint="eastAsia"/>
              </w:rPr>
              <w:t>12</w:t>
            </w:r>
          </w:p>
        </w:tc>
      </w:tr>
      <w:tr w14:paraId="519A4C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6FE5AF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3640D49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11</w:t>
            </w:r>
            <w:r>
              <w:t>.</w:t>
            </w:r>
            <w:r>
              <w:rPr>
                <w:rFonts w:hint="eastAsia"/>
              </w:rPr>
              <w:t>13</w:t>
            </w:r>
          </w:p>
        </w:tc>
      </w:tr>
      <w:tr w14:paraId="7FE50BA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5001F15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4A382FC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0C6728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596C8A4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62B7CE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39317F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50223FF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2B9D25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498059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颗粒物</w:t>
            </w:r>
          </w:p>
        </w:tc>
        <w:tc>
          <w:tcPr>
            <w:tcW w:w="673" w:type="pct"/>
            <w:shd w:val="clear" w:color="auto" w:fill="auto"/>
            <w:noWrap w:val="0"/>
            <w:vAlign w:val="center"/>
          </w:tcPr>
          <w:p w14:paraId="63A51D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3.3~3.7</w:t>
            </w:r>
          </w:p>
        </w:tc>
        <w:tc>
          <w:tcPr>
            <w:tcW w:w="684" w:type="pct"/>
            <w:shd w:val="clear" w:color="auto" w:fill="auto"/>
            <w:noWrap w:val="0"/>
            <w:vAlign w:val="center"/>
          </w:tcPr>
          <w:p w14:paraId="528D0A0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0.000696~0.000755</w:t>
            </w:r>
          </w:p>
        </w:tc>
        <w:tc>
          <w:tcPr>
            <w:tcW w:w="1421" w:type="pct"/>
            <w:gridSpan w:val="2"/>
            <w:shd w:val="clear" w:color="auto" w:fill="auto"/>
            <w:noWrap w:val="0"/>
            <w:vAlign w:val="center"/>
          </w:tcPr>
          <w:p w14:paraId="0121E6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新乡市生态环境局</w:t>
            </w:r>
            <w:r>
              <w:t>2020年7月31日印</w:t>
            </w:r>
          </w:p>
          <w:p w14:paraId="2AB93B8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发《关于进一步规范工业企业颗粒物排放限制的通知》颗粒物排放标准</w:t>
            </w:r>
          </w:p>
        </w:tc>
        <w:tc>
          <w:tcPr>
            <w:tcW w:w="526" w:type="pct"/>
            <w:shd w:val="clear" w:color="auto" w:fill="auto"/>
            <w:noWrap w:val="0"/>
            <w:vAlign w:val="center"/>
          </w:tcPr>
          <w:p w14:paraId="592241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10</w:t>
            </w:r>
          </w:p>
        </w:tc>
        <w:tc>
          <w:tcPr>
            <w:tcW w:w="455" w:type="pct"/>
            <w:shd w:val="clear" w:color="auto" w:fill="auto"/>
            <w:noWrap w:val="0"/>
            <w:vAlign w:val="center"/>
          </w:tcPr>
          <w:p w14:paraId="0A1653C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382" w:type="pct"/>
            <w:shd w:val="clear" w:color="auto" w:fill="auto"/>
            <w:noWrap w:val="0"/>
            <w:vAlign w:val="center"/>
          </w:tcPr>
          <w:p w14:paraId="425C04B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1D34CC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45C0C1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3E088D2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粘胶长丝  一二车间排气筒</w:t>
            </w:r>
            <w:r>
              <w:t>DA0</w:t>
            </w:r>
            <w:r>
              <w:rPr>
                <w:rFonts w:hint="eastAsia"/>
              </w:rPr>
              <w:t>13</w:t>
            </w:r>
          </w:p>
        </w:tc>
      </w:tr>
      <w:tr w14:paraId="56E6EE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4059CDF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22A5E9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12</w:t>
            </w:r>
            <w:r>
              <w:t>.</w:t>
            </w:r>
            <w:r>
              <w:rPr>
                <w:rFonts w:hint="eastAsia"/>
              </w:rPr>
              <w:t>08</w:t>
            </w:r>
          </w:p>
        </w:tc>
      </w:tr>
      <w:tr w14:paraId="4D9677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74A9BC9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12C9E0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22A11BE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46DB64B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077D1D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551914F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360F15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27AA9C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33204D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硫化氢</w:t>
            </w:r>
          </w:p>
        </w:tc>
        <w:tc>
          <w:tcPr>
            <w:tcW w:w="673" w:type="pct"/>
            <w:shd w:val="clear" w:color="auto" w:fill="auto"/>
            <w:noWrap w:val="0"/>
            <w:vAlign w:val="center"/>
          </w:tcPr>
          <w:p w14:paraId="77E0D1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0.52~1.01</w:t>
            </w:r>
          </w:p>
        </w:tc>
        <w:tc>
          <w:tcPr>
            <w:tcW w:w="684" w:type="pct"/>
            <w:shd w:val="clear" w:color="auto" w:fill="auto"/>
            <w:noWrap w:val="0"/>
            <w:vAlign w:val="center"/>
          </w:tcPr>
          <w:p w14:paraId="112E978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0.173~0.348</w:t>
            </w:r>
          </w:p>
        </w:tc>
        <w:tc>
          <w:tcPr>
            <w:tcW w:w="1421" w:type="pct"/>
            <w:gridSpan w:val="2"/>
            <w:vMerge w:val="restart"/>
            <w:shd w:val="clear" w:color="auto" w:fill="auto"/>
            <w:noWrap w:val="0"/>
            <w:vAlign w:val="center"/>
          </w:tcPr>
          <w:p w14:paraId="5CB5F44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恶臭污染物排放标准</w:t>
            </w:r>
            <w:r>
              <w:t>GB 14554-93</w:t>
            </w:r>
          </w:p>
        </w:tc>
        <w:tc>
          <w:tcPr>
            <w:tcW w:w="526" w:type="pct"/>
            <w:shd w:val="clear" w:color="auto" w:fill="auto"/>
            <w:noWrap w:val="0"/>
            <w:vAlign w:val="center"/>
          </w:tcPr>
          <w:p w14:paraId="1F74E3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1227" w:type="dxa"/>
            <w:shd w:val="clear" w:color="auto" w:fill="auto"/>
            <w:noWrap w:val="0"/>
            <w:vAlign w:val="center"/>
          </w:tcPr>
          <w:p w14:paraId="03355BB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b/>
                <w:bCs/>
                <w:u w:val="single"/>
                <w:lang w:val="en-US" w:eastAsia="zh-CN"/>
              </w:rPr>
              <w:t>21</w:t>
            </w:r>
          </w:p>
        </w:tc>
        <w:tc>
          <w:tcPr>
            <w:tcW w:w="382" w:type="pct"/>
            <w:shd w:val="clear" w:color="auto" w:fill="auto"/>
            <w:noWrap w:val="0"/>
            <w:vAlign w:val="center"/>
          </w:tcPr>
          <w:p w14:paraId="129C810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04D765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040B49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二硫化碳</w:t>
            </w:r>
          </w:p>
        </w:tc>
        <w:tc>
          <w:tcPr>
            <w:tcW w:w="673" w:type="pct"/>
            <w:shd w:val="clear" w:color="auto" w:fill="auto"/>
            <w:noWrap w:val="0"/>
            <w:vAlign w:val="center"/>
          </w:tcPr>
          <w:p w14:paraId="29F986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13.8~21.6</w:t>
            </w:r>
          </w:p>
        </w:tc>
        <w:tc>
          <w:tcPr>
            <w:tcW w:w="684" w:type="pct"/>
            <w:shd w:val="clear" w:color="auto" w:fill="auto"/>
            <w:noWrap w:val="0"/>
            <w:vAlign w:val="center"/>
          </w:tcPr>
          <w:p w14:paraId="7B4F60C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4.27~7.45</w:t>
            </w:r>
          </w:p>
        </w:tc>
        <w:tc>
          <w:tcPr>
            <w:tcW w:w="1421" w:type="pct"/>
            <w:gridSpan w:val="2"/>
            <w:vMerge w:val="continue"/>
            <w:shd w:val="clear" w:color="auto" w:fill="auto"/>
            <w:noWrap w:val="0"/>
            <w:vAlign w:val="center"/>
          </w:tcPr>
          <w:p w14:paraId="1B351A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526" w:type="pct"/>
            <w:shd w:val="clear" w:color="auto" w:fill="auto"/>
            <w:noWrap w:val="0"/>
            <w:vAlign w:val="center"/>
          </w:tcPr>
          <w:p w14:paraId="45B222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1227" w:type="dxa"/>
            <w:shd w:val="clear" w:color="auto" w:fill="auto"/>
            <w:noWrap w:val="0"/>
            <w:vAlign w:val="center"/>
          </w:tcPr>
          <w:p w14:paraId="1D166A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b/>
                <w:bCs/>
                <w:u w:val="single"/>
                <w:lang w:val="en-US" w:eastAsia="zh-CN"/>
              </w:rPr>
              <w:t>97</w:t>
            </w:r>
          </w:p>
        </w:tc>
        <w:tc>
          <w:tcPr>
            <w:tcW w:w="382" w:type="pct"/>
            <w:shd w:val="clear" w:color="auto" w:fill="auto"/>
            <w:noWrap w:val="0"/>
            <w:vAlign w:val="center"/>
          </w:tcPr>
          <w:p w14:paraId="4CCD47F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1DDC9A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2590DF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2FF822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生物质纤维素项目 长丝五车间排气筒</w:t>
            </w:r>
            <w:r>
              <w:t>DA0</w:t>
            </w:r>
            <w:r>
              <w:rPr>
                <w:rFonts w:hint="eastAsia"/>
              </w:rPr>
              <w:t>14</w:t>
            </w:r>
          </w:p>
        </w:tc>
      </w:tr>
      <w:tr w14:paraId="515822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6849431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55542A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12</w:t>
            </w:r>
            <w:r>
              <w:t>.</w:t>
            </w:r>
            <w:r>
              <w:rPr>
                <w:rFonts w:hint="eastAsia"/>
              </w:rPr>
              <w:t>08</w:t>
            </w:r>
          </w:p>
        </w:tc>
      </w:tr>
      <w:tr w14:paraId="7C81B2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24DECF4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5A40BD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754C38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4DA663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59C8DE0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132187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2AA9EEF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139F29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0CE786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硫化氢</w:t>
            </w:r>
          </w:p>
        </w:tc>
        <w:tc>
          <w:tcPr>
            <w:tcW w:w="673" w:type="pct"/>
            <w:shd w:val="clear" w:color="auto" w:fill="auto"/>
            <w:noWrap w:val="0"/>
            <w:vAlign w:val="center"/>
          </w:tcPr>
          <w:p w14:paraId="78CBCD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3.1~3.33</w:t>
            </w:r>
          </w:p>
        </w:tc>
        <w:tc>
          <w:tcPr>
            <w:tcW w:w="684" w:type="pct"/>
            <w:shd w:val="clear" w:color="auto" w:fill="auto"/>
            <w:noWrap w:val="0"/>
            <w:vAlign w:val="center"/>
          </w:tcPr>
          <w:p w14:paraId="1738E7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1.77~2.07</w:t>
            </w:r>
          </w:p>
        </w:tc>
        <w:tc>
          <w:tcPr>
            <w:tcW w:w="1421" w:type="pct"/>
            <w:gridSpan w:val="2"/>
            <w:vMerge w:val="restart"/>
            <w:shd w:val="clear" w:color="auto" w:fill="auto"/>
            <w:noWrap w:val="0"/>
            <w:vAlign w:val="center"/>
          </w:tcPr>
          <w:p w14:paraId="1B65924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恶臭污染物排放标准</w:t>
            </w:r>
            <w:r>
              <w:t>GB 14554-93</w:t>
            </w:r>
          </w:p>
        </w:tc>
        <w:tc>
          <w:tcPr>
            <w:tcW w:w="526" w:type="pct"/>
            <w:shd w:val="clear" w:color="auto" w:fill="auto"/>
            <w:noWrap w:val="0"/>
            <w:vAlign w:val="center"/>
          </w:tcPr>
          <w:p w14:paraId="39C1C7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1227" w:type="dxa"/>
            <w:shd w:val="clear" w:color="auto" w:fill="auto"/>
            <w:noWrap w:val="0"/>
            <w:vAlign w:val="center"/>
          </w:tcPr>
          <w:p w14:paraId="6E3211B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b/>
                <w:bCs/>
                <w:u w:val="single"/>
                <w:lang w:val="en-US" w:eastAsia="zh-CN"/>
              </w:rPr>
              <w:t>21</w:t>
            </w:r>
          </w:p>
        </w:tc>
        <w:tc>
          <w:tcPr>
            <w:tcW w:w="382" w:type="pct"/>
            <w:shd w:val="clear" w:color="auto" w:fill="auto"/>
            <w:noWrap w:val="0"/>
            <w:vAlign w:val="center"/>
          </w:tcPr>
          <w:p w14:paraId="3BE592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16E59E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7E5A50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二硫化碳</w:t>
            </w:r>
          </w:p>
        </w:tc>
        <w:tc>
          <w:tcPr>
            <w:tcW w:w="673" w:type="pct"/>
            <w:shd w:val="clear" w:color="auto" w:fill="auto"/>
            <w:noWrap w:val="0"/>
            <w:vAlign w:val="center"/>
          </w:tcPr>
          <w:p w14:paraId="6844E23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7.93~13.8</w:t>
            </w:r>
          </w:p>
        </w:tc>
        <w:tc>
          <w:tcPr>
            <w:tcW w:w="684" w:type="pct"/>
            <w:shd w:val="clear" w:color="auto" w:fill="auto"/>
            <w:noWrap w:val="0"/>
            <w:vAlign w:val="center"/>
          </w:tcPr>
          <w:p w14:paraId="64E24A7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4.54~8.92</w:t>
            </w:r>
          </w:p>
        </w:tc>
        <w:tc>
          <w:tcPr>
            <w:tcW w:w="1421" w:type="pct"/>
            <w:gridSpan w:val="2"/>
            <w:vMerge w:val="continue"/>
            <w:shd w:val="clear" w:color="auto" w:fill="auto"/>
            <w:noWrap w:val="0"/>
            <w:vAlign w:val="center"/>
          </w:tcPr>
          <w:p w14:paraId="6D74749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526" w:type="pct"/>
            <w:shd w:val="clear" w:color="auto" w:fill="auto"/>
            <w:noWrap w:val="0"/>
            <w:vAlign w:val="center"/>
          </w:tcPr>
          <w:p w14:paraId="1DF866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1227" w:type="dxa"/>
            <w:shd w:val="clear" w:color="auto" w:fill="auto"/>
            <w:noWrap w:val="0"/>
            <w:vAlign w:val="center"/>
          </w:tcPr>
          <w:p w14:paraId="789048A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b/>
                <w:bCs/>
                <w:u w:val="single"/>
                <w:lang w:val="en-US" w:eastAsia="zh-CN"/>
              </w:rPr>
              <w:t>97</w:t>
            </w:r>
          </w:p>
        </w:tc>
        <w:tc>
          <w:tcPr>
            <w:tcW w:w="382" w:type="pct"/>
            <w:shd w:val="clear" w:color="auto" w:fill="auto"/>
            <w:noWrap w:val="0"/>
            <w:vAlign w:val="center"/>
          </w:tcPr>
          <w:p w14:paraId="20D5E95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565C99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6AAA4C9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47DE5C4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粘胶长丝  三四车间排气筒</w:t>
            </w:r>
            <w:r>
              <w:t>DA0</w:t>
            </w:r>
            <w:r>
              <w:rPr>
                <w:rFonts w:hint="eastAsia"/>
              </w:rPr>
              <w:t>16</w:t>
            </w:r>
          </w:p>
        </w:tc>
      </w:tr>
      <w:tr w14:paraId="3FB198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5E51A50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4F7684E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12</w:t>
            </w:r>
            <w:r>
              <w:t>.</w:t>
            </w:r>
            <w:r>
              <w:rPr>
                <w:rFonts w:hint="eastAsia"/>
              </w:rPr>
              <w:t>08</w:t>
            </w:r>
          </w:p>
        </w:tc>
      </w:tr>
      <w:tr w14:paraId="2FE58C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2D0F1FC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328F96E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49A180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4E10B5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41E824A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4626B65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39C3BCA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1EA4F9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12AAB3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硫化氢</w:t>
            </w:r>
          </w:p>
        </w:tc>
        <w:tc>
          <w:tcPr>
            <w:tcW w:w="673" w:type="pct"/>
            <w:shd w:val="clear" w:color="auto" w:fill="auto"/>
            <w:noWrap w:val="0"/>
            <w:vAlign w:val="center"/>
          </w:tcPr>
          <w:p w14:paraId="649917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0.31~2.37</w:t>
            </w:r>
          </w:p>
        </w:tc>
        <w:tc>
          <w:tcPr>
            <w:tcW w:w="684" w:type="pct"/>
            <w:shd w:val="clear" w:color="auto" w:fill="auto"/>
            <w:noWrap w:val="0"/>
            <w:vAlign w:val="center"/>
          </w:tcPr>
          <w:p w14:paraId="04F58D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0.183~1.52</w:t>
            </w:r>
          </w:p>
        </w:tc>
        <w:tc>
          <w:tcPr>
            <w:tcW w:w="1421" w:type="pct"/>
            <w:gridSpan w:val="2"/>
            <w:vMerge w:val="restart"/>
            <w:shd w:val="clear" w:color="auto" w:fill="auto"/>
            <w:noWrap w:val="0"/>
            <w:vAlign w:val="center"/>
          </w:tcPr>
          <w:p w14:paraId="4F2FCB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恶臭污染物排放标准</w:t>
            </w:r>
            <w:r>
              <w:t>GB 14554-93</w:t>
            </w:r>
          </w:p>
        </w:tc>
        <w:tc>
          <w:tcPr>
            <w:tcW w:w="526" w:type="pct"/>
            <w:shd w:val="clear" w:color="auto" w:fill="auto"/>
            <w:noWrap w:val="0"/>
            <w:vAlign w:val="center"/>
          </w:tcPr>
          <w:p w14:paraId="588FB2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1227" w:type="dxa"/>
            <w:shd w:val="clear" w:color="auto" w:fill="auto"/>
            <w:noWrap w:val="0"/>
            <w:vAlign w:val="center"/>
          </w:tcPr>
          <w:p w14:paraId="420705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b/>
                <w:bCs/>
                <w:u w:val="single"/>
                <w:lang w:val="en-US" w:eastAsia="zh-CN"/>
              </w:rPr>
              <w:t>21</w:t>
            </w:r>
          </w:p>
        </w:tc>
        <w:tc>
          <w:tcPr>
            <w:tcW w:w="382" w:type="pct"/>
            <w:shd w:val="clear" w:color="auto" w:fill="auto"/>
            <w:noWrap w:val="0"/>
            <w:vAlign w:val="center"/>
          </w:tcPr>
          <w:p w14:paraId="4F017C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5DFFF7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7E5718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二硫化碳</w:t>
            </w:r>
          </w:p>
        </w:tc>
        <w:tc>
          <w:tcPr>
            <w:tcW w:w="673" w:type="pct"/>
            <w:shd w:val="clear" w:color="auto" w:fill="auto"/>
            <w:noWrap w:val="0"/>
            <w:vAlign w:val="center"/>
          </w:tcPr>
          <w:p w14:paraId="4811CF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11.8~18.7</w:t>
            </w:r>
          </w:p>
        </w:tc>
        <w:tc>
          <w:tcPr>
            <w:tcW w:w="684" w:type="pct"/>
            <w:shd w:val="clear" w:color="auto" w:fill="auto"/>
            <w:noWrap w:val="0"/>
            <w:vAlign w:val="center"/>
          </w:tcPr>
          <w:p w14:paraId="0EC9FD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7.56~11.0</w:t>
            </w:r>
          </w:p>
        </w:tc>
        <w:tc>
          <w:tcPr>
            <w:tcW w:w="1421" w:type="pct"/>
            <w:gridSpan w:val="2"/>
            <w:vMerge w:val="continue"/>
            <w:shd w:val="clear" w:color="auto" w:fill="auto"/>
            <w:noWrap w:val="0"/>
            <w:vAlign w:val="center"/>
          </w:tcPr>
          <w:p w14:paraId="4D70A2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526" w:type="pct"/>
            <w:shd w:val="clear" w:color="auto" w:fill="auto"/>
            <w:noWrap w:val="0"/>
            <w:vAlign w:val="center"/>
          </w:tcPr>
          <w:p w14:paraId="3590DF5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1227" w:type="dxa"/>
            <w:shd w:val="clear" w:color="auto" w:fill="auto"/>
            <w:noWrap w:val="0"/>
            <w:vAlign w:val="center"/>
          </w:tcPr>
          <w:p w14:paraId="449737B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b/>
                <w:bCs/>
                <w:u w:val="single"/>
                <w:lang w:val="en-US" w:eastAsia="zh-CN"/>
              </w:rPr>
              <w:t>97</w:t>
            </w:r>
          </w:p>
        </w:tc>
        <w:tc>
          <w:tcPr>
            <w:tcW w:w="382" w:type="pct"/>
            <w:shd w:val="clear" w:color="auto" w:fill="auto"/>
            <w:noWrap w:val="0"/>
            <w:vAlign w:val="center"/>
          </w:tcPr>
          <w:p w14:paraId="68EADDC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2FF808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76F911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p>
        </w:tc>
        <w:tc>
          <w:tcPr>
            <w:tcW w:w="4141" w:type="pct"/>
            <w:gridSpan w:val="7"/>
            <w:shd w:val="clear" w:color="auto" w:fill="auto"/>
            <w:noWrap w:val="0"/>
            <w:vAlign w:val="center"/>
          </w:tcPr>
          <w:p w14:paraId="6DA696C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污水站排气筒</w:t>
            </w:r>
            <w:r>
              <w:rPr>
                <w:b/>
                <w:bCs/>
                <w:u w:val="single"/>
              </w:rPr>
              <w:t>DA0</w:t>
            </w:r>
            <w:r>
              <w:rPr>
                <w:rFonts w:hint="eastAsia"/>
                <w:b/>
                <w:bCs/>
                <w:u w:val="single"/>
              </w:rPr>
              <w:t>19</w:t>
            </w:r>
          </w:p>
        </w:tc>
      </w:tr>
      <w:tr w14:paraId="45591F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2E3054E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采样日期</w:t>
            </w:r>
          </w:p>
        </w:tc>
        <w:tc>
          <w:tcPr>
            <w:tcW w:w="4141" w:type="pct"/>
            <w:gridSpan w:val="7"/>
            <w:shd w:val="clear" w:color="auto" w:fill="auto"/>
            <w:noWrap w:val="0"/>
            <w:vAlign w:val="center"/>
          </w:tcPr>
          <w:p w14:paraId="03254D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202</w:t>
            </w:r>
            <w:r>
              <w:rPr>
                <w:rFonts w:hint="eastAsia"/>
                <w:b/>
                <w:bCs/>
                <w:u w:val="single"/>
              </w:rPr>
              <w:t>3</w:t>
            </w:r>
            <w:r>
              <w:rPr>
                <w:b/>
                <w:bCs/>
                <w:u w:val="single"/>
              </w:rPr>
              <w:t>.</w:t>
            </w:r>
            <w:r>
              <w:rPr>
                <w:rFonts w:hint="eastAsia"/>
                <w:b/>
                <w:bCs/>
                <w:u w:val="single"/>
              </w:rPr>
              <w:t>08</w:t>
            </w:r>
            <w:r>
              <w:rPr>
                <w:b/>
                <w:bCs/>
                <w:u w:val="single"/>
              </w:rPr>
              <w:t>.</w:t>
            </w:r>
            <w:r>
              <w:rPr>
                <w:rFonts w:hint="eastAsia"/>
                <w:b/>
                <w:bCs/>
                <w:u w:val="single"/>
              </w:rPr>
              <w:t>11</w:t>
            </w:r>
          </w:p>
        </w:tc>
      </w:tr>
      <w:tr w14:paraId="129F74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52F10CE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p>
        </w:tc>
        <w:tc>
          <w:tcPr>
            <w:tcW w:w="673" w:type="pct"/>
            <w:shd w:val="clear" w:color="auto" w:fill="auto"/>
            <w:noWrap w:val="0"/>
            <w:vAlign w:val="center"/>
          </w:tcPr>
          <w:p w14:paraId="2536F92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排放浓度（</w:t>
            </w:r>
            <w:r>
              <w:rPr>
                <w:b/>
                <w:bCs/>
                <w:u w:val="single"/>
              </w:rPr>
              <w:t>mg/m</w:t>
            </w:r>
            <w:r>
              <w:rPr>
                <w:b/>
                <w:bCs/>
                <w:u w:val="single"/>
                <w:vertAlign w:val="superscript"/>
              </w:rPr>
              <w:t>3</w:t>
            </w:r>
            <w:r>
              <w:rPr>
                <w:rFonts w:hint="eastAsia"/>
                <w:b/>
                <w:bCs/>
                <w:u w:val="single"/>
              </w:rPr>
              <w:t>）</w:t>
            </w:r>
          </w:p>
        </w:tc>
        <w:tc>
          <w:tcPr>
            <w:tcW w:w="684" w:type="pct"/>
            <w:shd w:val="clear" w:color="auto" w:fill="auto"/>
            <w:noWrap w:val="0"/>
            <w:vAlign w:val="center"/>
          </w:tcPr>
          <w:p w14:paraId="66DBABE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排放速率（kg</w:t>
            </w:r>
            <w:r>
              <w:rPr>
                <w:b/>
                <w:bCs/>
                <w:u w:val="single"/>
              </w:rPr>
              <w:t>/h</w:t>
            </w:r>
            <w:r>
              <w:rPr>
                <w:rFonts w:hint="eastAsia"/>
                <w:b/>
                <w:bCs/>
                <w:u w:val="single"/>
              </w:rPr>
              <w:t>）</w:t>
            </w:r>
          </w:p>
        </w:tc>
        <w:tc>
          <w:tcPr>
            <w:tcW w:w="1421" w:type="pct"/>
            <w:gridSpan w:val="2"/>
            <w:shd w:val="clear" w:color="auto" w:fill="auto"/>
            <w:noWrap w:val="0"/>
            <w:vAlign w:val="center"/>
          </w:tcPr>
          <w:p w14:paraId="733A36F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r>
              <w:rPr>
                <w:rFonts w:hint="eastAsia"/>
                <w:b/>
                <w:bCs/>
                <w:u w:val="single"/>
              </w:rPr>
              <w:t>执行标准</w:t>
            </w:r>
          </w:p>
        </w:tc>
        <w:tc>
          <w:tcPr>
            <w:tcW w:w="526" w:type="pct"/>
            <w:shd w:val="clear" w:color="auto" w:fill="auto"/>
            <w:noWrap w:val="0"/>
            <w:vAlign w:val="center"/>
          </w:tcPr>
          <w:p w14:paraId="111C368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许可排放浓度（</w:t>
            </w:r>
            <w:r>
              <w:rPr>
                <w:b/>
                <w:bCs/>
                <w:u w:val="single"/>
              </w:rPr>
              <w:t>mg/m</w:t>
            </w:r>
            <w:r>
              <w:rPr>
                <w:b/>
                <w:bCs/>
                <w:u w:val="single"/>
                <w:vertAlign w:val="superscript"/>
              </w:rPr>
              <w:t>3</w:t>
            </w:r>
            <w:r>
              <w:rPr>
                <w:rFonts w:hint="eastAsia"/>
                <w:b/>
                <w:bCs/>
                <w:u w:val="single"/>
              </w:rPr>
              <w:t>）</w:t>
            </w:r>
          </w:p>
        </w:tc>
        <w:tc>
          <w:tcPr>
            <w:tcW w:w="455" w:type="pct"/>
            <w:shd w:val="clear" w:color="auto" w:fill="auto"/>
            <w:noWrap w:val="0"/>
            <w:vAlign w:val="center"/>
          </w:tcPr>
          <w:p w14:paraId="14289AA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许可排放速率（kg</w:t>
            </w:r>
            <w:r>
              <w:rPr>
                <w:b/>
                <w:bCs/>
                <w:u w:val="single"/>
              </w:rPr>
              <w:t>/h</w:t>
            </w:r>
            <w:r>
              <w:rPr>
                <w:rFonts w:hint="eastAsia"/>
                <w:b/>
                <w:bCs/>
                <w:u w:val="single"/>
              </w:rPr>
              <w:t>）</w:t>
            </w:r>
          </w:p>
        </w:tc>
        <w:tc>
          <w:tcPr>
            <w:tcW w:w="382" w:type="pct"/>
            <w:shd w:val="clear" w:color="auto" w:fill="auto"/>
            <w:noWrap w:val="0"/>
            <w:vAlign w:val="center"/>
          </w:tcPr>
          <w:p w14:paraId="437B49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达标情况</w:t>
            </w:r>
          </w:p>
        </w:tc>
      </w:tr>
      <w:tr w14:paraId="69C2A3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0D4A3F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氨</w:t>
            </w:r>
          </w:p>
        </w:tc>
        <w:tc>
          <w:tcPr>
            <w:tcW w:w="673" w:type="pct"/>
            <w:shd w:val="clear" w:color="auto" w:fill="auto"/>
            <w:noWrap w:val="0"/>
            <w:vAlign w:val="center"/>
          </w:tcPr>
          <w:p w14:paraId="1E293BC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1.83~3.34</w:t>
            </w:r>
          </w:p>
        </w:tc>
        <w:tc>
          <w:tcPr>
            <w:tcW w:w="684" w:type="pct"/>
            <w:shd w:val="clear" w:color="auto" w:fill="auto"/>
            <w:noWrap w:val="0"/>
            <w:vAlign w:val="center"/>
          </w:tcPr>
          <w:p w14:paraId="1A56FA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0.215~0.538</w:t>
            </w:r>
          </w:p>
        </w:tc>
        <w:tc>
          <w:tcPr>
            <w:tcW w:w="1421" w:type="pct"/>
            <w:gridSpan w:val="2"/>
            <w:vMerge w:val="restart"/>
            <w:shd w:val="clear" w:color="auto" w:fill="auto"/>
            <w:noWrap w:val="0"/>
            <w:vAlign w:val="center"/>
          </w:tcPr>
          <w:p w14:paraId="4661390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r>
              <w:rPr>
                <w:rFonts w:hint="eastAsia"/>
                <w:b/>
                <w:bCs/>
                <w:u w:val="single"/>
              </w:rPr>
              <w:t>恶臭污染物排放标准</w:t>
            </w:r>
            <w:r>
              <w:rPr>
                <w:b/>
                <w:bCs/>
                <w:u w:val="single"/>
              </w:rPr>
              <w:t>GB 14554-93</w:t>
            </w:r>
          </w:p>
        </w:tc>
        <w:tc>
          <w:tcPr>
            <w:tcW w:w="526" w:type="pct"/>
            <w:shd w:val="clear" w:color="auto" w:fill="auto"/>
            <w:noWrap w:val="0"/>
            <w:vAlign w:val="center"/>
          </w:tcPr>
          <w:p w14:paraId="7B45C24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1227" w:type="dxa"/>
            <w:shd w:val="clear" w:color="auto" w:fill="auto"/>
            <w:noWrap w:val="0"/>
            <w:vAlign w:val="center"/>
          </w:tcPr>
          <w:p w14:paraId="62FB43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lang w:val="en-US" w:eastAsia="zh-CN"/>
              </w:rPr>
              <w:t>4.9</w:t>
            </w:r>
          </w:p>
        </w:tc>
        <w:tc>
          <w:tcPr>
            <w:tcW w:w="382" w:type="pct"/>
            <w:shd w:val="clear" w:color="auto" w:fill="auto"/>
            <w:noWrap w:val="0"/>
            <w:vAlign w:val="center"/>
          </w:tcPr>
          <w:p w14:paraId="7B53C4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w:t>
            </w:r>
          </w:p>
        </w:tc>
      </w:tr>
      <w:tr w14:paraId="3781FA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32C543A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硫化氢</w:t>
            </w:r>
          </w:p>
        </w:tc>
        <w:tc>
          <w:tcPr>
            <w:tcW w:w="673" w:type="pct"/>
            <w:shd w:val="clear" w:color="auto" w:fill="auto"/>
            <w:noWrap w:val="0"/>
            <w:vAlign w:val="center"/>
          </w:tcPr>
          <w:p w14:paraId="3787901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0.37~0.41</w:t>
            </w:r>
          </w:p>
        </w:tc>
        <w:tc>
          <w:tcPr>
            <w:tcW w:w="684" w:type="pct"/>
            <w:shd w:val="clear" w:color="auto" w:fill="auto"/>
            <w:noWrap w:val="0"/>
            <w:vAlign w:val="center"/>
          </w:tcPr>
          <w:p w14:paraId="4FEAC0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0.000865~0.000911</w:t>
            </w:r>
          </w:p>
        </w:tc>
        <w:tc>
          <w:tcPr>
            <w:tcW w:w="1421" w:type="pct"/>
            <w:gridSpan w:val="2"/>
            <w:vMerge w:val="continue"/>
            <w:shd w:val="clear" w:color="auto" w:fill="auto"/>
            <w:noWrap w:val="0"/>
            <w:vAlign w:val="center"/>
          </w:tcPr>
          <w:p w14:paraId="6D69B23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p>
        </w:tc>
        <w:tc>
          <w:tcPr>
            <w:tcW w:w="526" w:type="pct"/>
            <w:shd w:val="clear" w:color="auto" w:fill="auto"/>
            <w:noWrap w:val="0"/>
            <w:vAlign w:val="center"/>
          </w:tcPr>
          <w:p w14:paraId="2AF763B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1227" w:type="dxa"/>
            <w:shd w:val="clear" w:color="auto" w:fill="auto"/>
            <w:noWrap w:val="0"/>
            <w:vAlign w:val="center"/>
          </w:tcPr>
          <w:p w14:paraId="09578F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lang w:val="en-US" w:eastAsia="zh-CN"/>
              </w:rPr>
              <w:t>0.33</w:t>
            </w:r>
          </w:p>
        </w:tc>
        <w:tc>
          <w:tcPr>
            <w:tcW w:w="382" w:type="pct"/>
            <w:shd w:val="clear" w:color="auto" w:fill="auto"/>
            <w:noWrap w:val="0"/>
            <w:vAlign w:val="center"/>
          </w:tcPr>
          <w:p w14:paraId="002604E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w:t>
            </w:r>
          </w:p>
        </w:tc>
      </w:tr>
      <w:tr w14:paraId="0B97A3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5921E4E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非甲烷总烃</w:t>
            </w:r>
          </w:p>
        </w:tc>
        <w:tc>
          <w:tcPr>
            <w:tcW w:w="673" w:type="pct"/>
            <w:shd w:val="clear" w:color="auto" w:fill="auto"/>
            <w:noWrap w:val="0"/>
            <w:vAlign w:val="center"/>
          </w:tcPr>
          <w:p w14:paraId="6A1F30F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2.19~2.45</w:t>
            </w:r>
          </w:p>
        </w:tc>
        <w:tc>
          <w:tcPr>
            <w:tcW w:w="684" w:type="pct"/>
            <w:shd w:val="clear" w:color="auto" w:fill="auto"/>
            <w:noWrap w:val="0"/>
            <w:vAlign w:val="center"/>
          </w:tcPr>
          <w:p w14:paraId="0FED1AC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0.00487~0.00545</w:t>
            </w:r>
          </w:p>
        </w:tc>
        <w:tc>
          <w:tcPr>
            <w:tcW w:w="1421" w:type="pct"/>
            <w:gridSpan w:val="2"/>
            <w:shd w:val="clear" w:color="auto" w:fill="auto"/>
            <w:noWrap w:val="0"/>
            <w:vAlign w:val="center"/>
          </w:tcPr>
          <w:p w14:paraId="187F99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豫环攻坚办（</w:t>
            </w:r>
            <w:r>
              <w:rPr>
                <w:b/>
                <w:bCs/>
                <w:u w:val="single"/>
              </w:rPr>
              <w:t>2017</w:t>
            </w:r>
            <w:r>
              <w:rPr>
                <w:rFonts w:hint="eastAsia"/>
                <w:b/>
                <w:bCs/>
                <w:u w:val="single"/>
              </w:rPr>
              <w:t>）</w:t>
            </w:r>
            <w:r>
              <w:rPr>
                <w:b/>
                <w:bCs/>
                <w:u w:val="single"/>
              </w:rPr>
              <w:t>162号《关于全</w:t>
            </w:r>
          </w:p>
          <w:p w14:paraId="5A9AC29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省开展工业企业挥发性有机物专项治</w:t>
            </w:r>
          </w:p>
          <w:p w14:paraId="6558E2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r>
              <w:rPr>
                <w:rFonts w:hint="eastAsia"/>
                <w:b/>
                <w:bCs/>
                <w:u w:val="single"/>
              </w:rPr>
              <w:t>理工作中排放建议值的通知》</w:t>
            </w:r>
          </w:p>
        </w:tc>
        <w:tc>
          <w:tcPr>
            <w:tcW w:w="526" w:type="pct"/>
            <w:shd w:val="clear" w:color="auto" w:fill="auto"/>
            <w:noWrap w:val="0"/>
            <w:vAlign w:val="center"/>
          </w:tcPr>
          <w:p w14:paraId="13665A9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80</w:t>
            </w:r>
          </w:p>
        </w:tc>
        <w:tc>
          <w:tcPr>
            <w:tcW w:w="455" w:type="pct"/>
            <w:shd w:val="clear" w:color="auto" w:fill="auto"/>
            <w:noWrap w:val="0"/>
            <w:vAlign w:val="center"/>
          </w:tcPr>
          <w:p w14:paraId="0B2AC3D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w:t>
            </w:r>
          </w:p>
        </w:tc>
        <w:tc>
          <w:tcPr>
            <w:tcW w:w="382" w:type="pct"/>
            <w:shd w:val="clear" w:color="auto" w:fill="auto"/>
            <w:noWrap w:val="0"/>
            <w:vAlign w:val="center"/>
          </w:tcPr>
          <w:p w14:paraId="133AF42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达标</w:t>
            </w:r>
          </w:p>
        </w:tc>
      </w:tr>
      <w:tr w14:paraId="35A056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458CD8D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54D95B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氨纶项目 添加剂投料粉尘袋式除尘排气简P27</w:t>
            </w:r>
          </w:p>
        </w:tc>
      </w:tr>
      <w:tr w14:paraId="786A688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7EC64D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0EB3F1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12.03-04</w:t>
            </w:r>
          </w:p>
        </w:tc>
      </w:tr>
      <w:tr w14:paraId="197822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29119E8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65AEBD0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0C76E5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30EE9D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323B698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76EE422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7E0CDDB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19A6B8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06776E0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颗粒物</w:t>
            </w:r>
          </w:p>
        </w:tc>
        <w:tc>
          <w:tcPr>
            <w:tcW w:w="673" w:type="pct"/>
            <w:shd w:val="clear" w:color="auto" w:fill="auto"/>
            <w:noWrap w:val="0"/>
            <w:vAlign w:val="center"/>
          </w:tcPr>
          <w:p w14:paraId="2A8F622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3.9~4.5</w:t>
            </w:r>
          </w:p>
        </w:tc>
        <w:tc>
          <w:tcPr>
            <w:tcW w:w="684" w:type="pct"/>
            <w:shd w:val="clear" w:color="auto" w:fill="auto"/>
            <w:noWrap w:val="0"/>
            <w:vAlign w:val="center"/>
          </w:tcPr>
          <w:p w14:paraId="5ED8592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0.00661~0.00748</w:t>
            </w:r>
          </w:p>
        </w:tc>
        <w:tc>
          <w:tcPr>
            <w:tcW w:w="1421" w:type="pct"/>
            <w:gridSpan w:val="2"/>
            <w:shd w:val="clear" w:color="auto" w:fill="auto"/>
            <w:noWrap w:val="0"/>
            <w:vAlign w:val="center"/>
          </w:tcPr>
          <w:p w14:paraId="034CB6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新乡市生态环境局</w:t>
            </w:r>
            <w:r>
              <w:t>2020年7月31日印</w:t>
            </w:r>
          </w:p>
          <w:p w14:paraId="3484EC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发《关于进一步规范工业企业颗粒物排放限制的通知》颗粒物排放标准</w:t>
            </w:r>
          </w:p>
        </w:tc>
        <w:tc>
          <w:tcPr>
            <w:tcW w:w="526" w:type="pct"/>
            <w:shd w:val="clear" w:color="auto" w:fill="auto"/>
            <w:noWrap w:val="0"/>
            <w:vAlign w:val="center"/>
          </w:tcPr>
          <w:p w14:paraId="05B4236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10</w:t>
            </w:r>
          </w:p>
        </w:tc>
        <w:tc>
          <w:tcPr>
            <w:tcW w:w="455" w:type="pct"/>
            <w:shd w:val="clear" w:color="auto" w:fill="auto"/>
            <w:noWrap w:val="0"/>
            <w:vAlign w:val="center"/>
          </w:tcPr>
          <w:p w14:paraId="52485F0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382" w:type="pct"/>
            <w:shd w:val="clear" w:color="auto" w:fill="auto"/>
            <w:noWrap w:val="0"/>
            <w:vAlign w:val="center"/>
          </w:tcPr>
          <w:p w14:paraId="4F58DC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2DAC2F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630914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4D1833A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氨纶项目纺丝工艺废气三级喷淋系统(双氧水喷淋+稀硫酸喷淋+水喷淋)排气筒P28</w:t>
            </w:r>
          </w:p>
        </w:tc>
      </w:tr>
      <w:tr w14:paraId="28622B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515ADE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1E4E12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12.03-04</w:t>
            </w:r>
          </w:p>
        </w:tc>
      </w:tr>
      <w:tr w14:paraId="4ABA09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77CD8E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47A67A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4EA9B1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5AF828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00CC29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0E9229B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77EABE1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69E847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613B20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非甲烷总烃</w:t>
            </w:r>
          </w:p>
        </w:tc>
        <w:tc>
          <w:tcPr>
            <w:tcW w:w="673" w:type="pct"/>
            <w:shd w:val="clear" w:color="auto" w:fill="auto"/>
            <w:noWrap w:val="0"/>
            <w:vAlign w:val="center"/>
          </w:tcPr>
          <w:p w14:paraId="02F57B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9.1~10.1</w:t>
            </w:r>
          </w:p>
        </w:tc>
        <w:tc>
          <w:tcPr>
            <w:tcW w:w="684" w:type="pct"/>
            <w:shd w:val="clear" w:color="auto" w:fill="auto"/>
            <w:noWrap w:val="0"/>
            <w:vAlign w:val="center"/>
          </w:tcPr>
          <w:p w14:paraId="7EF3E3F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0.198~0.219</w:t>
            </w:r>
          </w:p>
        </w:tc>
        <w:tc>
          <w:tcPr>
            <w:tcW w:w="1421" w:type="pct"/>
            <w:gridSpan w:val="2"/>
            <w:shd w:val="clear" w:color="auto" w:fill="auto"/>
            <w:noWrap w:val="0"/>
            <w:vAlign w:val="center"/>
          </w:tcPr>
          <w:p w14:paraId="180490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豫环攻坚办（</w:t>
            </w:r>
            <w:r>
              <w:t>2017</w:t>
            </w:r>
            <w:r>
              <w:rPr>
                <w:rFonts w:hint="eastAsia"/>
              </w:rPr>
              <w:t>）</w:t>
            </w:r>
            <w:r>
              <w:t>162号《关于全</w:t>
            </w:r>
            <w:r>
              <w:rPr>
                <w:rFonts w:hint="eastAsia"/>
              </w:rPr>
              <w:t>省开展工业企业挥发性有机物专项治</w:t>
            </w:r>
          </w:p>
          <w:p w14:paraId="0431BE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理工作中排放建议值的通知》</w:t>
            </w:r>
          </w:p>
        </w:tc>
        <w:tc>
          <w:tcPr>
            <w:tcW w:w="526" w:type="pct"/>
            <w:shd w:val="clear" w:color="auto" w:fill="auto"/>
            <w:noWrap w:val="0"/>
            <w:vAlign w:val="center"/>
          </w:tcPr>
          <w:p w14:paraId="39960A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80</w:t>
            </w:r>
          </w:p>
        </w:tc>
        <w:tc>
          <w:tcPr>
            <w:tcW w:w="455" w:type="pct"/>
            <w:shd w:val="clear" w:color="auto" w:fill="auto"/>
            <w:noWrap w:val="0"/>
            <w:vAlign w:val="center"/>
          </w:tcPr>
          <w:p w14:paraId="3B21E9B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382" w:type="pct"/>
            <w:shd w:val="clear" w:color="auto" w:fill="auto"/>
            <w:noWrap w:val="0"/>
            <w:vAlign w:val="center"/>
          </w:tcPr>
          <w:p w14:paraId="01C3E4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02AA10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22633C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0BB92E7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氨纶项目纺丝、卷绕车间空调系箒答统自带二级水喷淋装置西侧排风口P29</w:t>
            </w:r>
          </w:p>
        </w:tc>
      </w:tr>
      <w:tr w14:paraId="60F3CF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08872B3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208573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12.03-04</w:t>
            </w:r>
          </w:p>
        </w:tc>
      </w:tr>
      <w:tr w14:paraId="74E0D6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47675B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5384553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7FC6D3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401852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3B0D86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2FA6D5F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05243F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696AAF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6D255C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非甲烷总烃</w:t>
            </w:r>
          </w:p>
        </w:tc>
        <w:tc>
          <w:tcPr>
            <w:tcW w:w="673" w:type="pct"/>
            <w:shd w:val="clear" w:color="auto" w:fill="auto"/>
            <w:noWrap w:val="0"/>
            <w:vAlign w:val="center"/>
          </w:tcPr>
          <w:p w14:paraId="31B0A8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0.25~0.31</w:t>
            </w:r>
          </w:p>
        </w:tc>
        <w:tc>
          <w:tcPr>
            <w:tcW w:w="684" w:type="pct"/>
            <w:shd w:val="clear" w:color="auto" w:fill="auto"/>
            <w:noWrap w:val="0"/>
            <w:vAlign w:val="center"/>
          </w:tcPr>
          <w:p w14:paraId="60F7D0A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0.171~0.218</w:t>
            </w:r>
          </w:p>
        </w:tc>
        <w:tc>
          <w:tcPr>
            <w:tcW w:w="1421" w:type="pct"/>
            <w:gridSpan w:val="2"/>
            <w:shd w:val="clear" w:color="auto" w:fill="auto"/>
            <w:noWrap w:val="0"/>
            <w:vAlign w:val="center"/>
          </w:tcPr>
          <w:p w14:paraId="19EA1CC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豫环攻坚办（</w:t>
            </w:r>
            <w:r>
              <w:t>2017</w:t>
            </w:r>
            <w:r>
              <w:rPr>
                <w:rFonts w:hint="eastAsia"/>
              </w:rPr>
              <w:t>）</w:t>
            </w:r>
            <w:r>
              <w:t>162号《关于全</w:t>
            </w:r>
            <w:r>
              <w:rPr>
                <w:rFonts w:hint="eastAsia"/>
              </w:rPr>
              <w:t>省开展工业企业挥发性有机物专项治</w:t>
            </w:r>
          </w:p>
          <w:p w14:paraId="1364E44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理工作中排放建议值的通知》</w:t>
            </w:r>
          </w:p>
        </w:tc>
        <w:tc>
          <w:tcPr>
            <w:tcW w:w="526" w:type="pct"/>
            <w:shd w:val="clear" w:color="auto" w:fill="auto"/>
            <w:noWrap w:val="0"/>
            <w:vAlign w:val="center"/>
          </w:tcPr>
          <w:p w14:paraId="4F2012D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80</w:t>
            </w:r>
          </w:p>
        </w:tc>
        <w:tc>
          <w:tcPr>
            <w:tcW w:w="455" w:type="pct"/>
            <w:shd w:val="clear" w:color="auto" w:fill="auto"/>
            <w:noWrap w:val="0"/>
            <w:vAlign w:val="center"/>
          </w:tcPr>
          <w:p w14:paraId="1D7CEE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382" w:type="pct"/>
            <w:shd w:val="clear" w:color="auto" w:fill="auto"/>
            <w:noWrap w:val="0"/>
            <w:vAlign w:val="center"/>
          </w:tcPr>
          <w:p w14:paraId="62EB62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11B6C9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0DB2CD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0A5D81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氨纶项目纺丝、卷绕车间空调系箒答统自带二级水喷淋装置西侧排风口P30</w:t>
            </w:r>
          </w:p>
        </w:tc>
      </w:tr>
      <w:tr w14:paraId="43988B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3BCA0A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0E802C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12.03-04</w:t>
            </w:r>
          </w:p>
        </w:tc>
      </w:tr>
      <w:tr w14:paraId="2FE23E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392D551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048D3BE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7A9E95A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2C996DD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3BD0D78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418C2D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4F3A8DD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5F557F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0682ED7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非甲烷总烃</w:t>
            </w:r>
          </w:p>
        </w:tc>
        <w:tc>
          <w:tcPr>
            <w:tcW w:w="673" w:type="pct"/>
            <w:shd w:val="clear" w:color="auto" w:fill="auto"/>
            <w:noWrap w:val="0"/>
            <w:vAlign w:val="center"/>
          </w:tcPr>
          <w:p w14:paraId="0DD94A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0.26~0.33</w:t>
            </w:r>
          </w:p>
        </w:tc>
        <w:tc>
          <w:tcPr>
            <w:tcW w:w="684" w:type="pct"/>
            <w:shd w:val="clear" w:color="auto" w:fill="auto"/>
            <w:noWrap w:val="0"/>
            <w:vAlign w:val="center"/>
          </w:tcPr>
          <w:p w14:paraId="3A85439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0.178~0.225</w:t>
            </w:r>
          </w:p>
        </w:tc>
        <w:tc>
          <w:tcPr>
            <w:tcW w:w="1421" w:type="pct"/>
            <w:gridSpan w:val="2"/>
            <w:shd w:val="clear" w:color="auto" w:fill="auto"/>
            <w:noWrap w:val="0"/>
            <w:vAlign w:val="center"/>
          </w:tcPr>
          <w:p w14:paraId="79985D4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豫环攻坚办（</w:t>
            </w:r>
            <w:r>
              <w:t>2017</w:t>
            </w:r>
            <w:r>
              <w:rPr>
                <w:rFonts w:hint="eastAsia"/>
              </w:rPr>
              <w:t>）</w:t>
            </w:r>
            <w:r>
              <w:t>162号《关于全</w:t>
            </w:r>
            <w:r>
              <w:rPr>
                <w:rFonts w:hint="eastAsia"/>
              </w:rPr>
              <w:t>省开展工业企业挥发性有机物专项治</w:t>
            </w:r>
          </w:p>
          <w:p w14:paraId="287798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理工作中排放建议值的通知》</w:t>
            </w:r>
          </w:p>
        </w:tc>
        <w:tc>
          <w:tcPr>
            <w:tcW w:w="526" w:type="pct"/>
            <w:shd w:val="clear" w:color="auto" w:fill="auto"/>
            <w:noWrap w:val="0"/>
            <w:vAlign w:val="center"/>
          </w:tcPr>
          <w:p w14:paraId="1B6064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80</w:t>
            </w:r>
          </w:p>
        </w:tc>
        <w:tc>
          <w:tcPr>
            <w:tcW w:w="455" w:type="pct"/>
            <w:shd w:val="clear" w:color="auto" w:fill="auto"/>
            <w:noWrap w:val="0"/>
            <w:vAlign w:val="center"/>
          </w:tcPr>
          <w:p w14:paraId="3B8B9D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382" w:type="pct"/>
            <w:shd w:val="clear" w:color="auto" w:fill="auto"/>
            <w:noWrap w:val="0"/>
            <w:vAlign w:val="center"/>
          </w:tcPr>
          <w:p w14:paraId="395C55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r w14:paraId="07188C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368ED7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p>
        </w:tc>
        <w:tc>
          <w:tcPr>
            <w:tcW w:w="4141" w:type="pct"/>
            <w:gridSpan w:val="7"/>
            <w:shd w:val="clear" w:color="auto" w:fill="auto"/>
            <w:noWrap w:val="0"/>
            <w:vAlign w:val="center"/>
          </w:tcPr>
          <w:p w14:paraId="6D645FD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氨纶项目DM万AC精制废气燃烧尾气80m高烟囱出P26(DA003)</w:t>
            </w:r>
          </w:p>
        </w:tc>
      </w:tr>
      <w:tr w14:paraId="1EAFAC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3A3957D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采样日期</w:t>
            </w:r>
          </w:p>
        </w:tc>
        <w:tc>
          <w:tcPr>
            <w:tcW w:w="4141" w:type="pct"/>
            <w:gridSpan w:val="7"/>
            <w:shd w:val="clear" w:color="auto" w:fill="auto"/>
            <w:noWrap w:val="0"/>
            <w:vAlign w:val="center"/>
          </w:tcPr>
          <w:p w14:paraId="10973C8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202</w:t>
            </w:r>
            <w:r>
              <w:rPr>
                <w:rFonts w:hint="eastAsia"/>
              </w:rPr>
              <w:t>3</w:t>
            </w:r>
            <w:r>
              <w:t>.</w:t>
            </w:r>
            <w:r>
              <w:rPr>
                <w:rFonts w:hint="eastAsia"/>
              </w:rPr>
              <w:t>12.03-04</w:t>
            </w:r>
          </w:p>
        </w:tc>
      </w:tr>
      <w:tr w14:paraId="60B054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70C2D0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673" w:type="pct"/>
            <w:shd w:val="clear" w:color="auto" w:fill="auto"/>
            <w:noWrap w:val="0"/>
            <w:vAlign w:val="center"/>
          </w:tcPr>
          <w:p w14:paraId="0EA8CC5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排放浓度（</w:t>
            </w:r>
            <w:r>
              <w:t>mg/m</w:t>
            </w:r>
            <w:r>
              <w:rPr>
                <w:vertAlign w:val="superscript"/>
              </w:rPr>
              <w:t>3</w:t>
            </w:r>
            <w:r>
              <w:rPr>
                <w:rFonts w:hint="eastAsia"/>
              </w:rPr>
              <w:t>）</w:t>
            </w:r>
          </w:p>
        </w:tc>
        <w:tc>
          <w:tcPr>
            <w:tcW w:w="684" w:type="pct"/>
            <w:shd w:val="clear" w:color="auto" w:fill="auto"/>
            <w:noWrap w:val="0"/>
            <w:vAlign w:val="center"/>
          </w:tcPr>
          <w:p w14:paraId="085BDE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排放速率（kg</w:t>
            </w:r>
            <w:r>
              <w:t>/h</w:t>
            </w:r>
            <w:r>
              <w:rPr>
                <w:rFonts w:hint="eastAsia"/>
              </w:rPr>
              <w:t>）</w:t>
            </w:r>
          </w:p>
        </w:tc>
        <w:tc>
          <w:tcPr>
            <w:tcW w:w="1421" w:type="pct"/>
            <w:gridSpan w:val="2"/>
            <w:shd w:val="clear" w:color="auto" w:fill="auto"/>
            <w:noWrap w:val="0"/>
            <w:vAlign w:val="center"/>
          </w:tcPr>
          <w:p w14:paraId="15D826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执行标准</w:t>
            </w:r>
          </w:p>
        </w:tc>
        <w:tc>
          <w:tcPr>
            <w:tcW w:w="526" w:type="pct"/>
            <w:shd w:val="clear" w:color="auto" w:fill="auto"/>
            <w:noWrap w:val="0"/>
            <w:vAlign w:val="center"/>
          </w:tcPr>
          <w:p w14:paraId="637A4B8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许可排放浓度（</w:t>
            </w:r>
            <w:r>
              <w:t>mg/m</w:t>
            </w:r>
            <w:r>
              <w:rPr>
                <w:vertAlign w:val="superscript"/>
              </w:rPr>
              <w:t>3</w:t>
            </w:r>
            <w:r>
              <w:rPr>
                <w:rFonts w:hint="eastAsia"/>
              </w:rPr>
              <w:t>）</w:t>
            </w:r>
          </w:p>
        </w:tc>
        <w:tc>
          <w:tcPr>
            <w:tcW w:w="455" w:type="pct"/>
            <w:shd w:val="clear" w:color="auto" w:fill="auto"/>
            <w:noWrap w:val="0"/>
            <w:vAlign w:val="center"/>
          </w:tcPr>
          <w:p w14:paraId="273BB1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许可排放速率（kg</w:t>
            </w:r>
            <w:r>
              <w:t>/h</w:t>
            </w:r>
            <w:r>
              <w:rPr>
                <w:rFonts w:hint="eastAsia"/>
              </w:rPr>
              <w:t>）</w:t>
            </w:r>
          </w:p>
        </w:tc>
        <w:tc>
          <w:tcPr>
            <w:tcW w:w="382" w:type="pct"/>
            <w:shd w:val="clear" w:color="auto" w:fill="auto"/>
            <w:noWrap w:val="0"/>
            <w:vAlign w:val="center"/>
          </w:tcPr>
          <w:p w14:paraId="2156D1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达标情况</w:t>
            </w:r>
          </w:p>
        </w:tc>
      </w:tr>
      <w:tr w14:paraId="09C38C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58" w:type="pct"/>
            <w:shd w:val="clear" w:color="auto" w:fill="auto"/>
            <w:noWrap w:val="0"/>
            <w:vAlign w:val="center"/>
          </w:tcPr>
          <w:p w14:paraId="0C7B5C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非甲烷总烃</w:t>
            </w:r>
          </w:p>
        </w:tc>
        <w:tc>
          <w:tcPr>
            <w:tcW w:w="673" w:type="pct"/>
            <w:shd w:val="clear" w:color="auto" w:fill="auto"/>
            <w:noWrap w:val="0"/>
            <w:vAlign w:val="center"/>
          </w:tcPr>
          <w:p w14:paraId="18C885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未检出</w:t>
            </w:r>
          </w:p>
        </w:tc>
        <w:tc>
          <w:tcPr>
            <w:tcW w:w="684" w:type="pct"/>
            <w:shd w:val="clear" w:color="auto" w:fill="auto"/>
            <w:noWrap w:val="0"/>
            <w:vAlign w:val="center"/>
          </w:tcPr>
          <w:p w14:paraId="591D0AC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1421" w:type="pct"/>
            <w:gridSpan w:val="2"/>
            <w:shd w:val="clear" w:color="auto" w:fill="auto"/>
            <w:noWrap w:val="0"/>
            <w:vAlign w:val="center"/>
          </w:tcPr>
          <w:p w14:paraId="0FBB8D0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豫环攻坚办（</w:t>
            </w:r>
            <w:r>
              <w:t>2017</w:t>
            </w:r>
            <w:r>
              <w:rPr>
                <w:rFonts w:hint="eastAsia"/>
              </w:rPr>
              <w:t>）</w:t>
            </w:r>
            <w:r>
              <w:t>162号《关于全</w:t>
            </w:r>
            <w:r>
              <w:rPr>
                <w:rFonts w:hint="eastAsia"/>
              </w:rPr>
              <w:t>省开展工业企业挥发性有机物专项治</w:t>
            </w:r>
          </w:p>
          <w:p w14:paraId="6FEE27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理工作中排放建议值的通知》</w:t>
            </w:r>
          </w:p>
        </w:tc>
        <w:tc>
          <w:tcPr>
            <w:tcW w:w="526" w:type="pct"/>
            <w:shd w:val="clear" w:color="auto" w:fill="auto"/>
            <w:noWrap w:val="0"/>
            <w:vAlign w:val="center"/>
          </w:tcPr>
          <w:p w14:paraId="7398C1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80</w:t>
            </w:r>
          </w:p>
        </w:tc>
        <w:tc>
          <w:tcPr>
            <w:tcW w:w="455" w:type="pct"/>
            <w:shd w:val="clear" w:color="auto" w:fill="auto"/>
            <w:noWrap w:val="0"/>
            <w:vAlign w:val="center"/>
          </w:tcPr>
          <w:p w14:paraId="27DAD7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382" w:type="pct"/>
            <w:shd w:val="clear" w:color="auto" w:fill="auto"/>
            <w:noWrap w:val="0"/>
            <w:vAlign w:val="center"/>
          </w:tcPr>
          <w:p w14:paraId="53BB29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达标</w:t>
            </w:r>
          </w:p>
        </w:tc>
      </w:tr>
    </w:tbl>
    <w:p w14:paraId="44DA1C75">
      <w:pPr>
        <w:pStyle w:val="10"/>
        <w:bidi w:val="0"/>
        <w:rPr>
          <w:lang w:val="en-US" w:eastAsia="zh-CN"/>
        </w:rPr>
      </w:pPr>
      <w:r>
        <w:t xml:space="preserve">表 </w:t>
      </w:r>
      <w:r>
        <w:fldChar w:fldCharType="begin"/>
      </w:r>
      <w:r>
        <w:instrText xml:space="preserve"> STYLEREF 2 \s </w:instrText>
      </w:r>
      <w:r>
        <w:fldChar w:fldCharType="separate"/>
      </w:r>
      <w:r>
        <w:t>3.3</w:t>
      </w:r>
      <w:r>
        <w:fldChar w:fldCharType="end"/>
      </w:r>
      <w:r>
        <w:rPr>
          <w:rFonts w:hint="eastAsia"/>
          <w:lang w:eastAsia="zh-CN"/>
        </w:rPr>
        <w:t>-</w:t>
      </w:r>
      <w:r>
        <w:fldChar w:fldCharType="begin"/>
      </w:r>
      <w:r>
        <w:instrText xml:space="preserve"> SEQ 表 \* ARABIC \s 2 </w:instrText>
      </w:r>
      <w:r>
        <w:fldChar w:fldCharType="separate"/>
      </w:r>
      <w:r>
        <w:t>10</w:t>
      </w:r>
      <w:r>
        <w:fldChar w:fldCharType="end"/>
      </w:r>
      <w:r>
        <w:rPr>
          <w:rFonts w:hint="eastAsia"/>
          <w:lang w:val="en-US" w:eastAsia="zh-CN"/>
        </w:rPr>
        <w:t xml:space="preserve"> 无组织废气检测结果一览表</w:t>
      </w:r>
    </w:p>
    <w:tbl>
      <w:tblPr>
        <w:tblStyle w:val="31"/>
        <w:tblW w:w="5000"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2359"/>
        <w:gridCol w:w="1865"/>
        <w:gridCol w:w="1846"/>
        <w:gridCol w:w="1846"/>
        <w:gridCol w:w="1846"/>
        <w:gridCol w:w="1846"/>
        <w:gridCol w:w="1846"/>
      </w:tblGrid>
      <w:tr w14:paraId="65B3C2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877" w:type="pct"/>
            <w:noWrap w:val="0"/>
            <w:vAlign w:val="center"/>
          </w:tcPr>
          <w:p w14:paraId="3D78A3CD">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color w:val="auto"/>
              </w:rPr>
            </w:pPr>
            <w:r>
              <w:rPr>
                <w:bCs/>
                <w:color w:val="auto"/>
              </w:rPr>
              <w:t>采样日期</w:t>
            </w:r>
          </w:p>
        </w:tc>
        <w:tc>
          <w:tcPr>
            <w:tcW w:w="693" w:type="pct"/>
            <w:noWrap w:val="0"/>
            <w:vAlign w:val="center"/>
          </w:tcPr>
          <w:p w14:paraId="0038C311">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color w:val="auto"/>
              </w:rPr>
            </w:pPr>
            <w:r>
              <w:rPr>
                <w:bCs/>
                <w:color w:val="auto"/>
              </w:rPr>
              <w:t>监测点位</w:t>
            </w:r>
          </w:p>
        </w:tc>
        <w:tc>
          <w:tcPr>
            <w:tcW w:w="686" w:type="pct"/>
            <w:noWrap w:val="0"/>
            <w:vAlign w:val="center"/>
          </w:tcPr>
          <w:p w14:paraId="7FB35866">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color w:val="auto"/>
              </w:rPr>
            </w:pPr>
            <w:r>
              <w:rPr>
                <w:bCs/>
                <w:color w:val="auto"/>
              </w:rPr>
              <w:t>颗粒物</w:t>
            </w:r>
            <w:r>
              <w:rPr>
                <w:rFonts w:hint="eastAsia"/>
                <w:bCs/>
                <w:color w:val="auto"/>
              </w:rPr>
              <w:t>(</w:t>
            </w:r>
            <w:r>
              <w:rPr>
                <w:bCs/>
                <w:color w:val="auto"/>
              </w:rPr>
              <w:t>mg/m</w:t>
            </w:r>
            <w:r>
              <w:rPr>
                <w:bCs/>
                <w:color w:val="auto"/>
                <w:vertAlign w:val="superscript"/>
              </w:rPr>
              <w:t>3</w:t>
            </w:r>
            <w:r>
              <w:rPr>
                <w:bCs/>
                <w:color w:val="auto"/>
              </w:rPr>
              <w:t>)</w:t>
            </w:r>
          </w:p>
        </w:tc>
        <w:tc>
          <w:tcPr>
            <w:tcW w:w="686" w:type="pct"/>
            <w:noWrap w:val="0"/>
            <w:vAlign w:val="center"/>
          </w:tcPr>
          <w:p w14:paraId="0C79D8C7">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color w:val="auto"/>
              </w:rPr>
            </w:pPr>
            <w:r>
              <w:rPr>
                <w:bCs/>
                <w:color w:val="auto"/>
              </w:rPr>
              <w:t>非甲烷总烃</w:t>
            </w:r>
          </w:p>
          <w:p w14:paraId="16202C8A">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color w:val="auto"/>
              </w:rPr>
            </w:pPr>
            <w:r>
              <w:rPr>
                <w:bCs/>
                <w:color w:val="auto"/>
              </w:rPr>
              <w:t>(mg/m</w:t>
            </w:r>
            <w:r>
              <w:rPr>
                <w:bCs/>
                <w:color w:val="auto"/>
                <w:vertAlign w:val="superscript"/>
              </w:rPr>
              <w:t>3</w:t>
            </w:r>
            <w:r>
              <w:rPr>
                <w:bCs/>
                <w:color w:val="auto"/>
              </w:rPr>
              <w:t>)</w:t>
            </w:r>
          </w:p>
        </w:tc>
        <w:tc>
          <w:tcPr>
            <w:tcW w:w="686" w:type="pct"/>
            <w:noWrap w:val="0"/>
            <w:vAlign w:val="center"/>
          </w:tcPr>
          <w:p w14:paraId="56729073">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color w:val="auto"/>
              </w:rPr>
            </w:pPr>
            <w:r>
              <w:rPr>
                <w:bCs/>
                <w:color w:val="auto"/>
              </w:rPr>
              <w:t>硫化氢</w:t>
            </w:r>
            <w:r>
              <w:rPr>
                <w:rFonts w:hint="eastAsia"/>
                <w:bCs/>
                <w:color w:val="auto"/>
              </w:rPr>
              <w:t>(</w:t>
            </w:r>
            <w:r>
              <w:rPr>
                <w:bCs/>
                <w:color w:val="auto"/>
              </w:rPr>
              <w:t>mg/m</w:t>
            </w:r>
            <w:r>
              <w:rPr>
                <w:bCs/>
                <w:color w:val="auto"/>
                <w:vertAlign w:val="superscript"/>
              </w:rPr>
              <w:t>3</w:t>
            </w:r>
            <w:r>
              <w:rPr>
                <w:bCs/>
                <w:color w:val="auto"/>
              </w:rPr>
              <w:t>)</w:t>
            </w:r>
          </w:p>
        </w:tc>
        <w:tc>
          <w:tcPr>
            <w:tcW w:w="686" w:type="pct"/>
            <w:noWrap w:val="0"/>
            <w:vAlign w:val="center"/>
          </w:tcPr>
          <w:p w14:paraId="6B62CFB1">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color w:val="auto"/>
              </w:rPr>
            </w:pPr>
            <w:r>
              <w:rPr>
                <w:bCs/>
                <w:color w:val="auto"/>
              </w:rPr>
              <w:t>二硫化碳</w:t>
            </w:r>
            <w:r>
              <w:rPr>
                <w:rFonts w:hint="eastAsia"/>
                <w:bCs/>
                <w:color w:val="auto"/>
              </w:rPr>
              <w:t>(</w:t>
            </w:r>
            <w:r>
              <w:rPr>
                <w:bCs/>
                <w:color w:val="auto"/>
              </w:rPr>
              <w:t>mg/m</w:t>
            </w:r>
            <w:r>
              <w:rPr>
                <w:bCs/>
                <w:color w:val="auto"/>
                <w:vertAlign w:val="superscript"/>
              </w:rPr>
              <w:t>3</w:t>
            </w:r>
            <w:r>
              <w:rPr>
                <w:bCs/>
                <w:color w:val="auto"/>
              </w:rPr>
              <w:t>)</w:t>
            </w:r>
          </w:p>
        </w:tc>
        <w:tc>
          <w:tcPr>
            <w:tcW w:w="686" w:type="pct"/>
            <w:noWrap w:val="0"/>
            <w:vAlign w:val="center"/>
          </w:tcPr>
          <w:p w14:paraId="4F20EE48">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color w:val="auto"/>
              </w:rPr>
            </w:pPr>
            <w:r>
              <w:rPr>
                <w:bCs/>
                <w:color w:val="auto"/>
              </w:rPr>
              <w:t>氨(mg/m</w:t>
            </w:r>
            <w:r>
              <w:rPr>
                <w:bCs/>
                <w:color w:val="auto"/>
                <w:vertAlign w:val="superscript"/>
              </w:rPr>
              <w:t>3</w:t>
            </w:r>
            <w:r>
              <w:rPr>
                <w:bCs/>
                <w:color w:val="auto"/>
              </w:rPr>
              <w:t>)</w:t>
            </w:r>
          </w:p>
        </w:tc>
      </w:tr>
      <w:tr w14:paraId="63C310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877" w:type="pct"/>
            <w:vMerge w:val="restart"/>
            <w:noWrap w:val="0"/>
            <w:vAlign w:val="center"/>
          </w:tcPr>
          <w:p w14:paraId="542E67BF">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2023.11.16~17</w:t>
            </w:r>
          </w:p>
        </w:tc>
        <w:tc>
          <w:tcPr>
            <w:tcW w:w="693" w:type="pct"/>
            <w:noWrap w:val="0"/>
            <w:vAlign w:val="center"/>
          </w:tcPr>
          <w:p w14:paraId="761F7203">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上风向</w:t>
            </w:r>
          </w:p>
        </w:tc>
        <w:tc>
          <w:tcPr>
            <w:tcW w:w="686" w:type="pct"/>
            <w:noWrap w:val="0"/>
            <w:vAlign w:val="center"/>
          </w:tcPr>
          <w:p w14:paraId="1039B8F5">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0.201~0.285</w:t>
            </w:r>
          </w:p>
        </w:tc>
        <w:tc>
          <w:tcPr>
            <w:tcW w:w="686" w:type="pct"/>
            <w:noWrap w:val="0"/>
            <w:vAlign w:val="center"/>
          </w:tcPr>
          <w:p w14:paraId="1D39ADCA">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0.58~0.65</w:t>
            </w:r>
          </w:p>
        </w:tc>
        <w:tc>
          <w:tcPr>
            <w:tcW w:w="686" w:type="pct"/>
            <w:noWrap w:val="0"/>
            <w:vAlign w:val="center"/>
          </w:tcPr>
          <w:p w14:paraId="07BE4140">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0.005~0.006</w:t>
            </w:r>
          </w:p>
        </w:tc>
        <w:tc>
          <w:tcPr>
            <w:tcW w:w="686" w:type="pct"/>
            <w:noWrap w:val="0"/>
            <w:vAlign w:val="center"/>
          </w:tcPr>
          <w:p w14:paraId="297282DB">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0.03~0.06</w:t>
            </w:r>
          </w:p>
        </w:tc>
        <w:tc>
          <w:tcPr>
            <w:tcW w:w="686" w:type="pct"/>
            <w:noWrap w:val="0"/>
            <w:vAlign w:val="center"/>
          </w:tcPr>
          <w:p w14:paraId="1CD4AD6B">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0.218~0.235</w:t>
            </w:r>
          </w:p>
        </w:tc>
      </w:tr>
      <w:tr w14:paraId="277D4A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877" w:type="pct"/>
            <w:vMerge w:val="continue"/>
            <w:noWrap w:val="0"/>
            <w:vAlign w:val="center"/>
          </w:tcPr>
          <w:p w14:paraId="33BB5DB3">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p>
        </w:tc>
        <w:tc>
          <w:tcPr>
            <w:tcW w:w="693" w:type="pct"/>
            <w:noWrap w:val="0"/>
            <w:vAlign w:val="center"/>
          </w:tcPr>
          <w:p w14:paraId="0A6F22E4">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下风向</w:t>
            </w:r>
          </w:p>
        </w:tc>
        <w:tc>
          <w:tcPr>
            <w:tcW w:w="686" w:type="pct"/>
            <w:noWrap w:val="0"/>
            <w:vAlign w:val="center"/>
          </w:tcPr>
          <w:p w14:paraId="70DC75C6">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0.234~0.452</w:t>
            </w:r>
          </w:p>
        </w:tc>
        <w:tc>
          <w:tcPr>
            <w:tcW w:w="686" w:type="pct"/>
            <w:noWrap w:val="0"/>
            <w:vAlign w:val="center"/>
          </w:tcPr>
          <w:p w14:paraId="7B19854E">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1.58~1.92</w:t>
            </w:r>
          </w:p>
        </w:tc>
        <w:tc>
          <w:tcPr>
            <w:tcW w:w="686" w:type="pct"/>
            <w:noWrap w:val="0"/>
            <w:vAlign w:val="center"/>
          </w:tcPr>
          <w:p w14:paraId="57DA34DD">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0.007~0.023</w:t>
            </w:r>
          </w:p>
        </w:tc>
        <w:tc>
          <w:tcPr>
            <w:tcW w:w="686" w:type="pct"/>
            <w:noWrap w:val="0"/>
            <w:vAlign w:val="center"/>
          </w:tcPr>
          <w:p w14:paraId="6A812028">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0.22~0.29</w:t>
            </w:r>
          </w:p>
        </w:tc>
        <w:tc>
          <w:tcPr>
            <w:tcW w:w="686" w:type="pct"/>
            <w:noWrap w:val="0"/>
            <w:vAlign w:val="center"/>
          </w:tcPr>
          <w:p w14:paraId="24C10698">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0.223~1.4</w:t>
            </w:r>
          </w:p>
        </w:tc>
      </w:tr>
      <w:tr w14:paraId="47F0DD7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570" w:type="pct"/>
            <w:gridSpan w:val="2"/>
            <w:noWrap w:val="0"/>
            <w:vAlign w:val="center"/>
          </w:tcPr>
          <w:p w14:paraId="175E9D10">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排放标准</w:t>
            </w:r>
          </w:p>
        </w:tc>
        <w:tc>
          <w:tcPr>
            <w:tcW w:w="686" w:type="pct"/>
            <w:noWrap w:val="0"/>
            <w:vAlign w:val="center"/>
          </w:tcPr>
          <w:p w14:paraId="5A376061">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auto"/>
              </w:rPr>
            </w:pPr>
            <w:r>
              <w:rPr>
                <w:rFonts w:hint="eastAsia"/>
                <w:color w:val="auto"/>
              </w:rPr>
              <w:t>《新乡市生态环境局关于进一步规范工业企业颗粒物排放限制的通知》要求</w:t>
            </w:r>
          </w:p>
          <w:p w14:paraId="3F5BA0DD">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厂界颗粒物排放浓度不高于0.5mg/m</w:t>
            </w:r>
            <w:r>
              <w:rPr>
                <w:rFonts w:hint="eastAsia"/>
                <w:color w:val="auto"/>
                <w:vertAlign w:val="superscript"/>
              </w:rPr>
              <w:t>3</w:t>
            </w:r>
          </w:p>
        </w:tc>
        <w:tc>
          <w:tcPr>
            <w:tcW w:w="686" w:type="pct"/>
            <w:noWrap w:val="0"/>
            <w:vAlign w:val="center"/>
          </w:tcPr>
          <w:p w14:paraId="7F3770D6">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豫环攻坚办（2017）162号《关于全省开展工业企业挥发性有机物专项治理工作中排放建议值的通知》非甲达标烷总烃厂界建议排浓度2.0mg/m</w:t>
            </w:r>
            <w:r>
              <w:rPr>
                <w:rFonts w:hint="eastAsia"/>
                <w:color w:val="auto"/>
                <w:vertAlign w:val="superscript"/>
              </w:rPr>
              <w:t>3</w:t>
            </w:r>
          </w:p>
        </w:tc>
        <w:tc>
          <w:tcPr>
            <w:tcW w:w="686" w:type="pct"/>
            <w:noWrap w:val="0"/>
            <w:vAlign w:val="center"/>
          </w:tcPr>
          <w:p w14:paraId="771F6407">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恶臭污染物排放标准GB 14554-93</w:t>
            </w:r>
            <w:r>
              <w:rPr>
                <w:rFonts w:hint="eastAsia"/>
                <w:color w:val="auto"/>
                <w:lang w:val="en-US" w:eastAsia="zh-CN"/>
              </w:rPr>
              <w:t>硫化氢厂界</w:t>
            </w:r>
            <w:r>
              <w:rPr>
                <w:rFonts w:hint="eastAsia"/>
                <w:color w:val="auto"/>
              </w:rPr>
              <w:t>0.06mg/m</w:t>
            </w:r>
            <w:r>
              <w:rPr>
                <w:rFonts w:hint="eastAsia"/>
                <w:color w:val="auto"/>
                <w:vertAlign w:val="superscript"/>
              </w:rPr>
              <w:t>3</w:t>
            </w:r>
          </w:p>
        </w:tc>
        <w:tc>
          <w:tcPr>
            <w:tcW w:w="686" w:type="pct"/>
            <w:noWrap w:val="0"/>
            <w:vAlign w:val="center"/>
          </w:tcPr>
          <w:p w14:paraId="0345D9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rPr>
            </w:pPr>
            <w:r>
              <w:rPr>
                <w:rFonts w:hint="default" w:ascii="Times New Roman" w:hAnsi="Times New Roman" w:cs="Times New Roman"/>
                <w:color w:val="auto"/>
              </w:rPr>
              <w:t>恶臭污染物排放标准GB 14554-93</w:t>
            </w:r>
            <w:r>
              <w:rPr>
                <w:rFonts w:hint="eastAsia" w:ascii="Times New Roman" w:hAnsi="Times New Roman" w:cs="Times New Roman"/>
                <w:color w:val="auto"/>
                <w:lang w:val="en-US" w:eastAsia="zh-CN"/>
              </w:rPr>
              <w:t>二硫化碳</w:t>
            </w:r>
            <w:r>
              <w:rPr>
                <w:rFonts w:hint="default" w:ascii="Times New Roman" w:hAnsi="Times New Roman" w:cs="Times New Roman"/>
                <w:color w:val="auto"/>
                <w:lang w:val="en-US" w:eastAsia="zh-CN"/>
              </w:rPr>
              <w:t>厂界3</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686" w:type="pct"/>
            <w:noWrap w:val="0"/>
            <w:vAlign w:val="center"/>
          </w:tcPr>
          <w:p w14:paraId="7B36E2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color w:val="auto"/>
              </w:rPr>
            </w:pPr>
            <w:r>
              <w:rPr>
                <w:rFonts w:hint="default" w:ascii="Times New Roman" w:hAnsi="Times New Roman" w:cs="Times New Roman"/>
                <w:color w:val="auto"/>
              </w:rPr>
              <w:t>恶臭污染物排放标准GB 14554-93</w:t>
            </w:r>
            <w:r>
              <w:rPr>
                <w:rFonts w:hint="eastAsia" w:ascii="Times New Roman" w:hAnsi="Times New Roman" w:cs="Times New Roman"/>
                <w:color w:val="auto"/>
                <w:lang w:val="en-US" w:eastAsia="zh-CN"/>
              </w:rPr>
              <w:t>氨</w:t>
            </w:r>
            <w:r>
              <w:rPr>
                <w:rFonts w:hint="default" w:ascii="Times New Roman" w:hAnsi="Times New Roman" w:cs="Times New Roman"/>
                <w:color w:val="auto"/>
                <w:lang w:val="en-US" w:eastAsia="zh-CN"/>
              </w:rPr>
              <w:t>厂界1.5</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r>
      <w:tr w14:paraId="70E725C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570" w:type="pct"/>
            <w:gridSpan w:val="2"/>
            <w:noWrap w:val="0"/>
            <w:vAlign w:val="center"/>
          </w:tcPr>
          <w:p w14:paraId="037E97A6">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达标情况</w:t>
            </w:r>
          </w:p>
        </w:tc>
        <w:tc>
          <w:tcPr>
            <w:tcW w:w="686" w:type="pct"/>
            <w:noWrap w:val="0"/>
            <w:vAlign w:val="center"/>
          </w:tcPr>
          <w:p w14:paraId="75C8A6EC">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eastAsia="宋体"/>
                <w:color w:val="auto"/>
                <w:lang w:val="en-US" w:eastAsia="zh-CN"/>
              </w:rPr>
            </w:pPr>
            <w:r>
              <w:rPr>
                <w:rFonts w:hint="eastAsia"/>
                <w:color w:val="auto"/>
                <w:lang w:val="en-US" w:eastAsia="zh-CN"/>
              </w:rPr>
              <w:t>达标</w:t>
            </w:r>
          </w:p>
        </w:tc>
        <w:tc>
          <w:tcPr>
            <w:tcW w:w="686" w:type="pct"/>
            <w:noWrap w:val="0"/>
            <w:vAlign w:val="center"/>
          </w:tcPr>
          <w:p w14:paraId="4648E2D4">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达标</w:t>
            </w:r>
          </w:p>
        </w:tc>
        <w:tc>
          <w:tcPr>
            <w:tcW w:w="686" w:type="pct"/>
            <w:noWrap w:val="0"/>
            <w:vAlign w:val="center"/>
          </w:tcPr>
          <w:p w14:paraId="37311EBD">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达标</w:t>
            </w:r>
          </w:p>
        </w:tc>
        <w:tc>
          <w:tcPr>
            <w:tcW w:w="686" w:type="pct"/>
            <w:noWrap w:val="0"/>
            <w:vAlign w:val="center"/>
          </w:tcPr>
          <w:p w14:paraId="558EFAE3">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达标</w:t>
            </w:r>
          </w:p>
        </w:tc>
        <w:tc>
          <w:tcPr>
            <w:tcW w:w="686" w:type="pct"/>
            <w:noWrap w:val="0"/>
            <w:vAlign w:val="center"/>
          </w:tcPr>
          <w:p w14:paraId="761E73FE">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color w:val="auto"/>
              </w:rPr>
            </w:pPr>
            <w:r>
              <w:rPr>
                <w:rFonts w:hint="eastAsia"/>
                <w:color w:val="auto"/>
              </w:rPr>
              <w:t>达标</w:t>
            </w:r>
          </w:p>
        </w:tc>
      </w:tr>
    </w:tbl>
    <w:p w14:paraId="0BDD4CF2">
      <w:pPr>
        <w:adjustRightInd w:val="0"/>
        <w:snapToGrid w:val="0"/>
        <w:spacing w:line="520" w:lineRule="exact"/>
        <w:rPr>
          <w:rFonts w:ascii="Times New Roman" w:hAnsi="Times New Roman"/>
          <w:sz w:val="24"/>
        </w:rPr>
        <w:sectPr>
          <w:pgSz w:w="16840" w:h="11910" w:orient="landscape"/>
          <w:pgMar w:top="1418" w:right="1701" w:bottom="1418" w:left="1701" w:header="1134" w:footer="907" w:gutter="0"/>
          <w:pgNumType w:fmt="decimal"/>
          <w:cols w:space="720" w:num="1"/>
          <w:docGrid w:linePitch="286" w:charSpace="0"/>
        </w:sectPr>
      </w:pPr>
    </w:p>
    <w:p w14:paraId="6F109B17">
      <w:pPr>
        <w:adjustRightInd w:val="0"/>
        <w:snapToGrid w:val="0"/>
        <w:spacing w:line="520" w:lineRule="exact"/>
        <w:ind w:firstLine="482" w:firstLineChars="200"/>
        <w:rPr>
          <w:rFonts w:hint="eastAsia" w:ascii="Times New Roman" w:hAnsi="Times New Roman"/>
          <w:b/>
          <w:bCs/>
          <w:sz w:val="24"/>
          <w:u w:val="single"/>
          <w:lang w:val="en-US" w:eastAsia="zh-CN"/>
        </w:rPr>
      </w:pPr>
      <w:r>
        <w:rPr>
          <w:rFonts w:ascii="Times New Roman" w:hAnsi="Times New Roman"/>
          <w:b/>
          <w:bCs/>
          <w:sz w:val="24"/>
          <w:u w:val="single"/>
        </w:rPr>
        <w:t>由上表可知粘胶长丝项目</w:t>
      </w:r>
      <w:r>
        <w:rPr>
          <w:rFonts w:hint="eastAsia" w:ascii="Times New Roman" w:hAnsi="Times New Roman"/>
          <w:b/>
          <w:bCs/>
          <w:sz w:val="24"/>
          <w:u w:val="single"/>
          <w:lang w:val="en-US" w:eastAsia="zh-CN"/>
        </w:rPr>
        <w:t>及</w:t>
      </w:r>
      <w:r>
        <w:rPr>
          <w:rFonts w:hint="eastAsia" w:ascii="Times New Roman" w:hAnsi="Times New Roman" w:eastAsia="宋体" w:cs="Times New Roman"/>
          <w:b/>
          <w:bCs/>
          <w:sz w:val="24"/>
          <w:u w:val="single"/>
          <w:lang w:val="en-US" w:eastAsia="zh-CN"/>
        </w:rPr>
        <w:t>生</w:t>
      </w:r>
      <w:r>
        <w:rPr>
          <w:rFonts w:ascii="Times New Roman" w:hAnsi="Times New Roman"/>
          <w:b/>
          <w:bCs/>
          <w:sz w:val="24"/>
          <w:u w:val="single"/>
        </w:rPr>
        <w:t>物质纤维素</w:t>
      </w:r>
      <w:r>
        <w:rPr>
          <w:rFonts w:hint="eastAsia" w:ascii="Times New Roman" w:hAnsi="Times New Roman"/>
          <w:b/>
          <w:bCs/>
          <w:sz w:val="24"/>
          <w:u w:val="single"/>
        </w:rPr>
        <w:t>项目</w:t>
      </w:r>
      <w:r>
        <w:rPr>
          <w:rFonts w:ascii="Times New Roman" w:hAnsi="Times New Roman"/>
          <w:b/>
          <w:bCs/>
          <w:sz w:val="24"/>
          <w:u w:val="single"/>
        </w:rPr>
        <w:t>废气</w:t>
      </w:r>
      <w:r>
        <w:rPr>
          <w:rFonts w:hint="eastAsia" w:ascii="Times New Roman" w:hAnsi="Times New Roman"/>
          <w:b/>
          <w:bCs/>
          <w:sz w:val="24"/>
          <w:u w:val="single"/>
          <w:lang w:val="en-US" w:eastAsia="zh-CN"/>
        </w:rPr>
        <w:t>污染物硫化氢、二硫化碳均能满</w:t>
      </w:r>
      <w:r>
        <w:rPr>
          <w:rFonts w:hint="eastAsia" w:ascii="Times New Roman" w:hAnsi="Times New Roman" w:eastAsia="宋体" w:cs="Times New Roman"/>
          <w:b/>
          <w:bCs/>
          <w:sz w:val="24"/>
          <w:u w:val="single"/>
          <w:lang w:val="en-US" w:eastAsia="zh-CN"/>
        </w:rPr>
        <w:t>足</w:t>
      </w:r>
      <w:r>
        <w:rPr>
          <w:rFonts w:hint="eastAsia" w:ascii="Times New Roman" w:hAnsi="Times New Roman"/>
          <w:b/>
          <w:bCs/>
          <w:sz w:val="24"/>
          <w:u w:val="single"/>
          <w:lang w:val="en-US" w:eastAsia="zh-CN"/>
        </w:rPr>
        <w:t>《</w:t>
      </w:r>
      <w:r>
        <w:rPr>
          <w:rFonts w:hint="eastAsia" w:ascii="Times New Roman" w:hAnsi="Times New Roman" w:eastAsia="宋体" w:cs="Times New Roman"/>
          <w:b/>
          <w:bCs/>
          <w:sz w:val="24"/>
          <w:u w:val="single"/>
          <w:lang w:val="en-US" w:eastAsia="zh-CN"/>
        </w:rPr>
        <w:t>恶臭污染物排放标准</w:t>
      </w:r>
      <w:r>
        <w:rPr>
          <w:rFonts w:hint="eastAsia" w:ascii="Times New Roman" w:hAnsi="Times New Roman"/>
          <w:b/>
          <w:bCs/>
          <w:sz w:val="24"/>
          <w:u w:val="single"/>
          <w:lang w:val="en-US" w:eastAsia="zh-CN"/>
        </w:rPr>
        <w:t>》（</w:t>
      </w:r>
      <w:r>
        <w:rPr>
          <w:rFonts w:hint="eastAsia" w:ascii="Times New Roman" w:hAnsi="Times New Roman" w:eastAsia="宋体" w:cs="Times New Roman"/>
          <w:b/>
          <w:bCs/>
          <w:sz w:val="24"/>
          <w:u w:val="single"/>
          <w:lang w:val="en-US" w:eastAsia="zh-CN"/>
        </w:rPr>
        <w:t>GB 14554-93</w:t>
      </w:r>
      <w:r>
        <w:rPr>
          <w:rFonts w:hint="eastAsia" w:ascii="Times New Roman" w:hAnsi="Times New Roman"/>
          <w:b/>
          <w:bCs/>
          <w:sz w:val="24"/>
          <w:u w:val="single"/>
          <w:lang w:val="en-US" w:eastAsia="zh-CN"/>
        </w:rPr>
        <w:t>）</w:t>
      </w:r>
      <w:r>
        <w:rPr>
          <w:rFonts w:hint="eastAsia" w:ascii="Times New Roman" w:hAnsi="Times New Roman" w:eastAsia="宋体" w:cs="Times New Roman"/>
          <w:b/>
          <w:bCs/>
          <w:sz w:val="24"/>
          <w:u w:val="single"/>
          <w:lang w:val="en-US" w:eastAsia="zh-CN"/>
        </w:rPr>
        <w:t>许可排放速率硫化氢21kg/h、二硫化碳97kg/h，</w:t>
      </w:r>
      <w:r>
        <w:rPr>
          <w:rFonts w:hint="eastAsia" w:ascii="Times New Roman" w:hAnsi="Times New Roman"/>
          <w:b/>
          <w:bCs/>
          <w:sz w:val="24"/>
          <w:u w:val="single"/>
          <w:lang w:val="en-US" w:eastAsia="zh-CN"/>
        </w:rPr>
        <w:t>非甲烷总烃</w:t>
      </w:r>
      <w:r>
        <w:rPr>
          <w:rFonts w:ascii="Times New Roman" w:hAnsi="Times New Roman"/>
          <w:b/>
          <w:bCs/>
          <w:sz w:val="24"/>
          <w:u w:val="single"/>
        </w:rPr>
        <w:t>均</w:t>
      </w:r>
      <w:r>
        <w:rPr>
          <w:rFonts w:hint="eastAsia" w:ascii="Times New Roman" w:hAnsi="Times New Roman"/>
          <w:b/>
          <w:bCs/>
          <w:sz w:val="24"/>
          <w:u w:val="single"/>
          <w:lang w:val="en-US" w:eastAsia="zh-CN"/>
        </w:rPr>
        <w:t>能满足豫环攻坚办（2017）162号《关于全省开展工业企业挥发性有机物专项治理工作中排放建议值的通知》许可排放浓度80mg/m</w:t>
      </w:r>
      <w:r>
        <w:rPr>
          <w:rFonts w:hint="eastAsia" w:ascii="Times New Roman" w:hAnsi="Times New Roman"/>
          <w:b/>
          <w:bCs/>
          <w:sz w:val="24"/>
          <w:u w:val="single"/>
          <w:vertAlign w:val="superscript"/>
          <w:lang w:val="en-US" w:eastAsia="zh-CN"/>
        </w:rPr>
        <w:t>3</w:t>
      </w:r>
      <w:r>
        <w:rPr>
          <w:rFonts w:hint="eastAsia" w:ascii="Times New Roman" w:hAnsi="Times New Roman"/>
          <w:b/>
          <w:bCs/>
          <w:sz w:val="24"/>
          <w:u w:val="single"/>
          <w:vertAlign w:val="baseline"/>
          <w:lang w:val="en-US" w:eastAsia="zh-CN"/>
        </w:rPr>
        <w:t>；</w:t>
      </w:r>
      <w:r>
        <w:rPr>
          <w:rFonts w:ascii="Times New Roman" w:hAnsi="Times New Roman"/>
          <w:b/>
          <w:bCs/>
          <w:sz w:val="24"/>
          <w:u w:val="single"/>
        </w:rPr>
        <w:t>氨纶项目废气</w:t>
      </w:r>
      <w:r>
        <w:rPr>
          <w:rFonts w:hint="eastAsia" w:ascii="Times New Roman" w:hAnsi="Times New Roman"/>
          <w:b/>
          <w:bCs/>
          <w:sz w:val="24"/>
          <w:u w:val="single"/>
          <w:lang w:val="en-US" w:eastAsia="zh-CN"/>
        </w:rPr>
        <w:t>非甲烷总烃</w:t>
      </w:r>
      <w:r>
        <w:rPr>
          <w:rFonts w:ascii="Times New Roman" w:hAnsi="Times New Roman"/>
          <w:b/>
          <w:bCs/>
          <w:sz w:val="24"/>
          <w:u w:val="single"/>
        </w:rPr>
        <w:t>均</w:t>
      </w:r>
      <w:r>
        <w:rPr>
          <w:rFonts w:hint="eastAsia" w:ascii="Times New Roman" w:hAnsi="Times New Roman"/>
          <w:b/>
          <w:bCs/>
          <w:sz w:val="24"/>
          <w:u w:val="single"/>
          <w:lang w:val="en-US" w:eastAsia="zh-CN"/>
        </w:rPr>
        <w:t>能满足豫环攻坚办（2017）162号《关于全省开展工业企业挥发性有机物专项治理工作中排放建议值的通知》许可排放浓度80mg/m</w:t>
      </w:r>
      <w:r>
        <w:rPr>
          <w:rFonts w:hint="eastAsia" w:ascii="Times New Roman" w:hAnsi="Times New Roman"/>
          <w:b/>
          <w:bCs/>
          <w:sz w:val="24"/>
          <w:u w:val="single"/>
          <w:vertAlign w:val="superscript"/>
          <w:lang w:val="en-US" w:eastAsia="zh-CN"/>
        </w:rPr>
        <w:t>3</w:t>
      </w:r>
      <w:r>
        <w:rPr>
          <w:rFonts w:hint="eastAsia" w:ascii="Times New Roman" w:hAnsi="Times New Roman"/>
          <w:b/>
          <w:bCs/>
          <w:sz w:val="24"/>
          <w:u w:val="single"/>
          <w:vertAlign w:val="baseline"/>
          <w:lang w:val="en-US" w:eastAsia="zh-CN"/>
        </w:rPr>
        <w:t>，破碎系统及灰库等辅助设施颗粒物均能满足新乡市生态环境局2020年7月31日印发《关于进一步规范工业企业颗粒物排放限制的通知》颗粒物10</w:t>
      </w:r>
      <w:r>
        <w:rPr>
          <w:rFonts w:hint="eastAsia" w:ascii="Times New Roman" w:hAnsi="Times New Roman"/>
          <w:b/>
          <w:bCs/>
          <w:sz w:val="24"/>
          <w:u w:val="single"/>
          <w:lang w:val="en-US" w:eastAsia="zh-CN"/>
        </w:rPr>
        <w:t>mg/m</w:t>
      </w:r>
      <w:r>
        <w:rPr>
          <w:rFonts w:hint="eastAsia" w:ascii="Times New Roman" w:hAnsi="Times New Roman"/>
          <w:b/>
          <w:bCs/>
          <w:sz w:val="24"/>
          <w:u w:val="single"/>
          <w:vertAlign w:val="superscript"/>
          <w:lang w:val="en-US" w:eastAsia="zh-CN"/>
        </w:rPr>
        <w:t>3</w:t>
      </w:r>
      <w:r>
        <w:rPr>
          <w:rFonts w:hint="eastAsia" w:ascii="Times New Roman" w:hAnsi="Times New Roman"/>
          <w:b/>
          <w:bCs/>
          <w:sz w:val="24"/>
          <w:u w:val="single"/>
          <w:vertAlign w:val="baseline"/>
          <w:lang w:val="en-US" w:eastAsia="zh-CN"/>
        </w:rPr>
        <w:t>排放标准</w:t>
      </w:r>
      <w:r>
        <w:rPr>
          <w:rFonts w:hint="eastAsia" w:ascii="Times New Roman" w:hAnsi="Times New Roman"/>
          <w:b/>
          <w:bCs/>
          <w:sz w:val="24"/>
          <w:u w:val="single"/>
          <w:lang w:val="en-US" w:eastAsia="zh-CN"/>
        </w:rPr>
        <w:t>；污水处理站</w:t>
      </w:r>
      <w:r>
        <w:rPr>
          <w:rFonts w:ascii="Times New Roman" w:hAnsi="Times New Roman"/>
          <w:b/>
          <w:bCs/>
          <w:sz w:val="24"/>
          <w:u w:val="single"/>
        </w:rPr>
        <w:t>废气</w:t>
      </w:r>
      <w:r>
        <w:rPr>
          <w:rFonts w:hint="eastAsia" w:ascii="Times New Roman" w:hAnsi="Times New Roman"/>
          <w:b/>
          <w:bCs/>
          <w:sz w:val="24"/>
          <w:u w:val="single"/>
          <w:lang w:val="en-US" w:eastAsia="zh-CN"/>
        </w:rPr>
        <w:t>污染物硫化氢、氨均能满</w:t>
      </w:r>
      <w:r>
        <w:rPr>
          <w:rFonts w:hint="eastAsia" w:ascii="Times New Roman" w:hAnsi="Times New Roman" w:eastAsia="宋体" w:cs="Times New Roman"/>
          <w:b/>
          <w:bCs/>
          <w:sz w:val="24"/>
          <w:u w:val="single"/>
          <w:lang w:val="en-US" w:eastAsia="zh-CN"/>
        </w:rPr>
        <w:t>足</w:t>
      </w:r>
      <w:r>
        <w:rPr>
          <w:rFonts w:hint="eastAsia" w:ascii="Times New Roman" w:hAnsi="Times New Roman"/>
          <w:b/>
          <w:bCs/>
          <w:sz w:val="24"/>
          <w:u w:val="single"/>
          <w:lang w:val="en-US" w:eastAsia="zh-CN"/>
        </w:rPr>
        <w:t>《</w:t>
      </w:r>
      <w:r>
        <w:rPr>
          <w:rFonts w:hint="eastAsia" w:ascii="Times New Roman" w:hAnsi="Times New Roman" w:eastAsia="宋体" w:cs="Times New Roman"/>
          <w:b/>
          <w:bCs/>
          <w:sz w:val="24"/>
          <w:u w:val="single"/>
          <w:lang w:val="en-US" w:eastAsia="zh-CN"/>
        </w:rPr>
        <w:t>恶臭污染物排放标准</w:t>
      </w:r>
      <w:r>
        <w:rPr>
          <w:rFonts w:hint="eastAsia" w:ascii="Times New Roman" w:hAnsi="Times New Roman"/>
          <w:b/>
          <w:bCs/>
          <w:sz w:val="24"/>
          <w:u w:val="single"/>
          <w:lang w:val="en-US" w:eastAsia="zh-CN"/>
        </w:rPr>
        <w:t>》（</w:t>
      </w:r>
      <w:r>
        <w:rPr>
          <w:rFonts w:hint="eastAsia" w:ascii="Times New Roman" w:hAnsi="Times New Roman" w:eastAsia="宋体" w:cs="Times New Roman"/>
          <w:b/>
          <w:bCs/>
          <w:sz w:val="24"/>
          <w:u w:val="single"/>
          <w:lang w:val="en-US" w:eastAsia="zh-CN"/>
        </w:rPr>
        <w:t>GB 14554-93</w:t>
      </w:r>
      <w:r>
        <w:rPr>
          <w:rFonts w:hint="eastAsia" w:ascii="Times New Roman" w:hAnsi="Times New Roman"/>
          <w:b/>
          <w:bCs/>
          <w:sz w:val="24"/>
          <w:u w:val="single"/>
          <w:lang w:val="en-US" w:eastAsia="zh-CN"/>
        </w:rPr>
        <w:t>）</w:t>
      </w:r>
      <w:r>
        <w:rPr>
          <w:rFonts w:hint="eastAsia" w:ascii="Times New Roman" w:hAnsi="Times New Roman" w:eastAsia="宋体" w:cs="Times New Roman"/>
          <w:b/>
          <w:bCs/>
          <w:sz w:val="24"/>
          <w:u w:val="single"/>
          <w:lang w:val="en-US" w:eastAsia="zh-CN"/>
        </w:rPr>
        <w:t>许可排放速率硫化氢0.33kg/h、氨4.9kg/h</w:t>
      </w:r>
      <w:r>
        <w:rPr>
          <w:rFonts w:ascii="Times New Roman" w:hAnsi="Times New Roman"/>
          <w:b/>
          <w:bCs/>
          <w:sz w:val="24"/>
          <w:u w:val="single"/>
        </w:rPr>
        <w:t>。</w:t>
      </w:r>
      <w:r>
        <w:rPr>
          <w:rFonts w:hint="eastAsia" w:ascii="Times New Roman" w:hAnsi="Times New Roman"/>
          <w:b/>
          <w:bCs/>
          <w:sz w:val="24"/>
          <w:u w:val="single"/>
          <w:lang w:val="en-US" w:eastAsia="zh-CN"/>
        </w:rPr>
        <w:t>污染物厂界浓度均能满足相应排放标准。</w:t>
      </w:r>
    </w:p>
    <w:p w14:paraId="3D8B2EDF">
      <w:pPr>
        <w:adjustRightInd w:val="0"/>
        <w:snapToGrid w:val="0"/>
        <w:spacing w:line="520" w:lineRule="exact"/>
        <w:ind w:firstLine="482" w:firstLineChars="200"/>
        <w:rPr>
          <w:rFonts w:hint="eastAsia" w:ascii="Times New Roman" w:hAnsi="Times New Roman"/>
          <w:sz w:val="24"/>
        </w:rPr>
      </w:pPr>
      <w:r>
        <w:rPr>
          <w:rFonts w:hint="eastAsia" w:ascii="Times New Roman" w:hAnsi="Times New Roman"/>
          <w:b/>
          <w:bCs/>
          <w:sz w:val="24"/>
          <w:u w:val="single"/>
          <w:lang w:val="en-US" w:eastAsia="zh-CN"/>
        </w:rPr>
        <w:t>综上所述，已建项目废气均能达到排放标准。</w:t>
      </w:r>
    </w:p>
    <w:p w14:paraId="5C32D7A1">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b/>
          <w:bCs/>
          <w:sz w:val="24"/>
          <w:u w:val="single"/>
        </w:rPr>
      </w:pPr>
      <w:r>
        <w:rPr>
          <w:rFonts w:hint="eastAsia" w:ascii="Times New Roman" w:hAnsi="Times New Roman"/>
          <w:b/>
          <w:bCs/>
          <w:sz w:val="24"/>
          <w:u w:val="single"/>
        </w:rPr>
        <w:t>根据企业</w:t>
      </w:r>
      <w:r>
        <w:rPr>
          <w:rFonts w:ascii="Times New Roman" w:hAnsi="Times New Roman"/>
          <w:b/>
          <w:bCs/>
          <w:sz w:val="24"/>
          <w:u w:val="single"/>
        </w:rPr>
        <w:t>2023年排污许可证执行年报</w:t>
      </w:r>
      <w:r>
        <w:rPr>
          <w:rFonts w:hint="eastAsia"/>
          <w:b/>
          <w:bCs/>
          <w:sz w:val="24"/>
          <w:u w:val="single"/>
          <w:lang w:val="en-US" w:eastAsia="zh-CN"/>
        </w:rPr>
        <w:t>及</w:t>
      </w:r>
      <w:r>
        <w:rPr>
          <w:rFonts w:hint="eastAsia"/>
          <w:b/>
          <w:bCs/>
          <w:szCs w:val="20"/>
          <w:u w:val="single"/>
          <w:lang w:val="en-US" w:eastAsia="zh-CN"/>
        </w:rPr>
        <w:t>例行检测</w:t>
      </w:r>
      <w:r>
        <w:rPr>
          <w:rFonts w:ascii="Times New Roman" w:hAnsi="Times New Roman"/>
          <w:b/>
          <w:bCs/>
          <w:sz w:val="24"/>
          <w:u w:val="single"/>
        </w:rPr>
        <w:t>，新厂区已建工程废气污染物排放见下表。</w:t>
      </w:r>
    </w:p>
    <w:p w14:paraId="1A843332">
      <w:pPr>
        <w:pStyle w:val="10"/>
        <w:bidi w:val="0"/>
        <w:rPr>
          <w:b/>
          <w:bCs/>
          <w:u w:val="single"/>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3.3</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11</w:t>
      </w:r>
      <w:r>
        <w:rPr>
          <w:b/>
          <w:bCs/>
          <w:u w:val="single"/>
        </w:rPr>
        <w:fldChar w:fldCharType="end"/>
      </w:r>
      <w:r>
        <w:rPr>
          <w:rFonts w:hint="eastAsia"/>
          <w:b/>
          <w:bCs/>
          <w:u w:val="single"/>
          <w:lang w:val="en-US" w:eastAsia="zh-CN"/>
        </w:rPr>
        <w:t xml:space="preserve"> 新厂区项目废气污染物排放汇总</w:t>
      </w:r>
    </w:p>
    <w:tbl>
      <w:tblPr>
        <w:tblStyle w:val="31"/>
        <w:tblW w:w="4994"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008"/>
        <w:gridCol w:w="2215"/>
        <w:gridCol w:w="948"/>
        <w:gridCol w:w="4145"/>
      </w:tblGrid>
      <w:tr w14:paraId="49F75D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70" w:hRule="atLeast"/>
          <w:jc w:val="center"/>
        </w:trPr>
        <w:tc>
          <w:tcPr>
            <w:tcW w:w="606" w:type="pct"/>
            <w:tcBorders>
              <w:right w:val="single" w:color="auto" w:sz="4" w:space="0"/>
            </w:tcBorders>
            <w:noWrap w:val="0"/>
            <w:vAlign w:val="center"/>
          </w:tcPr>
          <w:p w14:paraId="3A778E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sz w:val="21"/>
                <w:szCs w:val="21"/>
                <w:u w:val="single"/>
              </w:rPr>
            </w:pPr>
            <w:r>
              <w:rPr>
                <w:b/>
                <w:bCs/>
                <w:sz w:val="21"/>
                <w:szCs w:val="21"/>
                <w:u w:val="single"/>
              </w:rPr>
              <w:t>类别</w:t>
            </w:r>
          </w:p>
        </w:tc>
        <w:tc>
          <w:tcPr>
            <w:tcW w:w="1331" w:type="pct"/>
            <w:tcBorders>
              <w:left w:val="single" w:color="auto" w:sz="4" w:space="0"/>
              <w:right w:val="single" w:color="auto" w:sz="4" w:space="0"/>
            </w:tcBorders>
            <w:noWrap w:val="0"/>
            <w:vAlign w:val="center"/>
          </w:tcPr>
          <w:p w14:paraId="0C3841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sz w:val="21"/>
                <w:szCs w:val="21"/>
                <w:u w:val="single"/>
              </w:rPr>
            </w:pPr>
            <w:r>
              <w:rPr>
                <w:b/>
                <w:bCs/>
                <w:sz w:val="21"/>
                <w:szCs w:val="21"/>
                <w:u w:val="single"/>
              </w:rPr>
              <w:t>污染物</w:t>
            </w:r>
          </w:p>
        </w:tc>
        <w:tc>
          <w:tcPr>
            <w:tcW w:w="570" w:type="pct"/>
            <w:tcBorders>
              <w:left w:val="single" w:color="auto" w:sz="4" w:space="0"/>
            </w:tcBorders>
            <w:noWrap w:val="0"/>
            <w:vAlign w:val="center"/>
          </w:tcPr>
          <w:p w14:paraId="6D518AA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sz w:val="21"/>
                <w:szCs w:val="21"/>
                <w:u w:val="single"/>
              </w:rPr>
            </w:pPr>
            <w:r>
              <w:rPr>
                <w:rFonts w:hint="eastAsia"/>
                <w:b/>
                <w:bCs/>
                <w:sz w:val="21"/>
                <w:szCs w:val="21"/>
                <w:u w:val="single"/>
              </w:rPr>
              <w:t>单位</w:t>
            </w:r>
          </w:p>
        </w:tc>
        <w:tc>
          <w:tcPr>
            <w:tcW w:w="2491" w:type="pct"/>
            <w:noWrap w:val="0"/>
            <w:vAlign w:val="center"/>
          </w:tcPr>
          <w:p w14:paraId="06F114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sz w:val="21"/>
                <w:szCs w:val="21"/>
                <w:u w:val="single"/>
              </w:rPr>
            </w:pPr>
            <w:r>
              <w:rPr>
                <w:rFonts w:hint="eastAsia"/>
                <w:b/>
                <w:bCs/>
                <w:sz w:val="21"/>
                <w:szCs w:val="21"/>
                <w:u w:val="single"/>
              </w:rPr>
              <w:t>已建</w:t>
            </w:r>
            <w:r>
              <w:rPr>
                <w:rFonts w:hint="eastAsia"/>
                <w:b/>
                <w:bCs/>
                <w:sz w:val="21"/>
                <w:szCs w:val="21"/>
                <w:u w:val="single"/>
                <w:lang w:val="en-US" w:eastAsia="zh-CN"/>
              </w:rPr>
              <w:t>项目</w:t>
            </w:r>
            <w:r>
              <w:rPr>
                <w:rFonts w:hint="eastAsia" w:eastAsia="宋体"/>
                <w:b/>
                <w:bCs/>
                <w:sz w:val="21"/>
                <w:szCs w:val="21"/>
                <w:u w:val="single"/>
                <w:lang w:val="en-US" w:eastAsia="zh-CN"/>
              </w:rPr>
              <w:t>实际</w:t>
            </w:r>
            <w:r>
              <w:rPr>
                <w:rFonts w:hint="eastAsia"/>
                <w:b/>
                <w:bCs/>
                <w:sz w:val="21"/>
                <w:szCs w:val="21"/>
                <w:u w:val="single"/>
              </w:rPr>
              <w:t>排放量</w:t>
            </w:r>
          </w:p>
        </w:tc>
      </w:tr>
      <w:tr w14:paraId="4B30E5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6" w:type="pct"/>
            <w:vMerge w:val="restart"/>
            <w:noWrap w:val="0"/>
            <w:vAlign w:val="center"/>
          </w:tcPr>
          <w:p w14:paraId="7011FD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sz w:val="21"/>
                <w:szCs w:val="21"/>
                <w:u w:val="single"/>
              </w:rPr>
            </w:pPr>
            <w:r>
              <w:rPr>
                <w:b/>
                <w:bCs/>
                <w:sz w:val="21"/>
                <w:szCs w:val="21"/>
                <w:u w:val="single"/>
              </w:rPr>
              <w:t>废气</w:t>
            </w:r>
          </w:p>
        </w:tc>
        <w:tc>
          <w:tcPr>
            <w:tcW w:w="1331" w:type="pct"/>
            <w:noWrap w:val="0"/>
            <w:vAlign w:val="center"/>
          </w:tcPr>
          <w:p w14:paraId="6A16B65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颗粒物</w:t>
            </w:r>
          </w:p>
        </w:tc>
        <w:tc>
          <w:tcPr>
            <w:tcW w:w="570" w:type="pct"/>
            <w:noWrap w:val="0"/>
            <w:vAlign w:val="center"/>
          </w:tcPr>
          <w:p w14:paraId="14CE75E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t/a</w:t>
            </w:r>
          </w:p>
        </w:tc>
        <w:tc>
          <w:tcPr>
            <w:tcW w:w="4145" w:type="dxa"/>
            <w:noWrap w:val="0"/>
            <w:vAlign w:val="center"/>
          </w:tcPr>
          <w:p w14:paraId="342A5DA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b/>
                <w:bCs/>
                <w:sz w:val="21"/>
                <w:szCs w:val="21"/>
                <w:u w:val="single"/>
                <w:lang w:val="en-US" w:eastAsia="zh-CN"/>
              </w:rPr>
            </w:pPr>
            <w:r>
              <w:rPr>
                <w:rFonts w:hint="eastAsia"/>
                <w:b/>
                <w:bCs/>
                <w:sz w:val="21"/>
                <w:szCs w:val="21"/>
                <w:u w:val="single"/>
              </w:rPr>
              <w:t>10.589</w:t>
            </w:r>
          </w:p>
        </w:tc>
      </w:tr>
      <w:tr w14:paraId="68325E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6" w:type="pct"/>
            <w:vMerge w:val="continue"/>
            <w:noWrap w:val="0"/>
            <w:vAlign w:val="center"/>
          </w:tcPr>
          <w:p w14:paraId="3C228E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sz w:val="21"/>
                <w:szCs w:val="21"/>
                <w:u w:val="single"/>
              </w:rPr>
            </w:pPr>
          </w:p>
        </w:tc>
        <w:tc>
          <w:tcPr>
            <w:tcW w:w="1331" w:type="pct"/>
            <w:noWrap w:val="0"/>
            <w:vAlign w:val="center"/>
          </w:tcPr>
          <w:p w14:paraId="3C27BEE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SO</w:t>
            </w:r>
            <w:r>
              <w:rPr>
                <w:rFonts w:hint="eastAsia"/>
                <w:b/>
                <w:bCs/>
                <w:sz w:val="21"/>
                <w:szCs w:val="21"/>
                <w:u w:val="single"/>
                <w:vertAlign w:val="subscript"/>
              </w:rPr>
              <w:t>2</w:t>
            </w:r>
          </w:p>
        </w:tc>
        <w:tc>
          <w:tcPr>
            <w:tcW w:w="570" w:type="pct"/>
            <w:noWrap w:val="0"/>
            <w:vAlign w:val="center"/>
          </w:tcPr>
          <w:p w14:paraId="6A78648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t/a</w:t>
            </w:r>
          </w:p>
        </w:tc>
        <w:tc>
          <w:tcPr>
            <w:tcW w:w="4145" w:type="dxa"/>
            <w:noWrap w:val="0"/>
            <w:vAlign w:val="center"/>
          </w:tcPr>
          <w:p w14:paraId="1D25ACD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lang w:val="en-US" w:eastAsia="zh-CN"/>
              </w:rPr>
              <w:t>70.37</w:t>
            </w:r>
          </w:p>
        </w:tc>
      </w:tr>
      <w:tr w14:paraId="2A3DB5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6" w:type="pct"/>
            <w:vMerge w:val="continue"/>
            <w:noWrap w:val="0"/>
            <w:vAlign w:val="center"/>
          </w:tcPr>
          <w:p w14:paraId="4C9B62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sz w:val="21"/>
                <w:szCs w:val="21"/>
                <w:u w:val="single"/>
              </w:rPr>
            </w:pPr>
          </w:p>
        </w:tc>
        <w:tc>
          <w:tcPr>
            <w:tcW w:w="1331" w:type="pct"/>
            <w:noWrap w:val="0"/>
            <w:vAlign w:val="center"/>
          </w:tcPr>
          <w:p w14:paraId="415F0F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NOx</w:t>
            </w:r>
          </w:p>
        </w:tc>
        <w:tc>
          <w:tcPr>
            <w:tcW w:w="570" w:type="pct"/>
            <w:noWrap w:val="0"/>
            <w:vAlign w:val="center"/>
          </w:tcPr>
          <w:p w14:paraId="7ACD79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t/a</w:t>
            </w:r>
          </w:p>
        </w:tc>
        <w:tc>
          <w:tcPr>
            <w:tcW w:w="4145" w:type="dxa"/>
            <w:noWrap w:val="0"/>
            <w:vAlign w:val="center"/>
          </w:tcPr>
          <w:p w14:paraId="452E8B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lang w:val="en-US" w:eastAsia="zh-CN"/>
              </w:rPr>
              <w:t>127.9072</w:t>
            </w:r>
          </w:p>
        </w:tc>
      </w:tr>
      <w:tr w14:paraId="6CB2DD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6" w:type="pct"/>
            <w:vMerge w:val="continue"/>
            <w:noWrap w:val="0"/>
            <w:vAlign w:val="center"/>
          </w:tcPr>
          <w:p w14:paraId="29C45E1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sz w:val="21"/>
                <w:szCs w:val="21"/>
                <w:u w:val="single"/>
              </w:rPr>
            </w:pPr>
          </w:p>
        </w:tc>
        <w:tc>
          <w:tcPr>
            <w:tcW w:w="1331" w:type="pct"/>
            <w:noWrap w:val="0"/>
            <w:vAlign w:val="center"/>
          </w:tcPr>
          <w:p w14:paraId="615D30D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汞及其化合物</w:t>
            </w:r>
          </w:p>
        </w:tc>
        <w:tc>
          <w:tcPr>
            <w:tcW w:w="570" w:type="pct"/>
            <w:noWrap w:val="0"/>
            <w:vAlign w:val="center"/>
          </w:tcPr>
          <w:p w14:paraId="74FEF13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t/a</w:t>
            </w:r>
          </w:p>
        </w:tc>
        <w:tc>
          <w:tcPr>
            <w:tcW w:w="4145" w:type="dxa"/>
            <w:noWrap w:val="0"/>
            <w:vAlign w:val="center"/>
          </w:tcPr>
          <w:p w14:paraId="0C80E08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0.0015</w:t>
            </w:r>
          </w:p>
        </w:tc>
      </w:tr>
      <w:tr w14:paraId="54EE7B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6" w:type="pct"/>
            <w:vMerge w:val="continue"/>
            <w:noWrap w:val="0"/>
            <w:vAlign w:val="center"/>
          </w:tcPr>
          <w:p w14:paraId="04E9D9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sz w:val="21"/>
                <w:szCs w:val="21"/>
                <w:u w:val="single"/>
              </w:rPr>
            </w:pPr>
          </w:p>
        </w:tc>
        <w:tc>
          <w:tcPr>
            <w:tcW w:w="1331" w:type="pct"/>
            <w:noWrap w:val="0"/>
            <w:vAlign w:val="center"/>
          </w:tcPr>
          <w:p w14:paraId="561705E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氨</w:t>
            </w:r>
          </w:p>
        </w:tc>
        <w:tc>
          <w:tcPr>
            <w:tcW w:w="570" w:type="pct"/>
            <w:noWrap w:val="0"/>
            <w:vAlign w:val="center"/>
          </w:tcPr>
          <w:p w14:paraId="07EB49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t/a</w:t>
            </w:r>
          </w:p>
        </w:tc>
        <w:tc>
          <w:tcPr>
            <w:tcW w:w="4145" w:type="dxa"/>
            <w:noWrap w:val="0"/>
            <w:vAlign w:val="center"/>
          </w:tcPr>
          <w:p w14:paraId="397A73A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lang w:val="en-US" w:eastAsia="zh-CN"/>
              </w:rPr>
              <w:t>7.82</w:t>
            </w:r>
          </w:p>
        </w:tc>
      </w:tr>
      <w:tr w14:paraId="1666DA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6" w:type="pct"/>
            <w:vMerge w:val="continue"/>
            <w:noWrap w:val="0"/>
            <w:vAlign w:val="center"/>
          </w:tcPr>
          <w:p w14:paraId="6ADA30D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sz w:val="21"/>
                <w:szCs w:val="21"/>
                <w:u w:val="single"/>
              </w:rPr>
            </w:pPr>
          </w:p>
        </w:tc>
        <w:tc>
          <w:tcPr>
            <w:tcW w:w="1331" w:type="pct"/>
            <w:noWrap w:val="0"/>
            <w:vAlign w:val="center"/>
          </w:tcPr>
          <w:p w14:paraId="5171FE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lang w:val="en-US" w:eastAsia="zh-CN"/>
              </w:rPr>
            </w:pPr>
            <w:r>
              <w:rPr>
                <w:rFonts w:hint="eastAsia"/>
                <w:b/>
                <w:bCs/>
                <w:sz w:val="21"/>
                <w:szCs w:val="21"/>
                <w:u w:val="single"/>
              </w:rPr>
              <w:t>H</w:t>
            </w:r>
            <w:r>
              <w:rPr>
                <w:rFonts w:hint="eastAsia"/>
                <w:b/>
                <w:bCs/>
                <w:sz w:val="21"/>
                <w:szCs w:val="21"/>
                <w:u w:val="single"/>
                <w:vertAlign w:val="subscript"/>
              </w:rPr>
              <w:t>2</w:t>
            </w:r>
            <w:r>
              <w:rPr>
                <w:rFonts w:hint="eastAsia"/>
                <w:b/>
                <w:bCs/>
                <w:sz w:val="21"/>
                <w:szCs w:val="21"/>
                <w:u w:val="single"/>
              </w:rPr>
              <w:t>S</w:t>
            </w:r>
          </w:p>
        </w:tc>
        <w:tc>
          <w:tcPr>
            <w:tcW w:w="570" w:type="pct"/>
            <w:noWrap w:val="0"/>
            <w:vAlign w:val="center"/>
          </w:tcPr>
          <w:p w14:paraId="6DC4A41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t/a</w:t>
            </w:r>
          </w:p>
        </w:tc>
        <w:tc>
          <w:tcPr>
            <w:tcW w:w="4145" w:type="dxa"/>
            <w:noWrap w:val="0"/>
            <w:vAlign w:val="center"/>
          </w:tcPr>
          <w:p w14:paraId="47F3250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lang w:val="en-US" w:eastAsia="zh-CN"/>
              </w:rPr>
            </w:pPr>
            <w:r>
              <w:rPr>
                <w:rFonts w:hint="eastAsia"/>
                <w:b/>
                <w:bCs/>
                <w:sz w:val="21"/>
                <w:szCs w:val="21"/>
                <w:u w:val="single"/>
                <w:lang w:val="en-US" w:eastAsia="zh-CN"/>
              </w:rPr>
              <w:t>31.2</w:t>
            </w:r>
          </w:p>
        </w:tc>
      </w:tr>
      <w:tr w14:paraId="5020A1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6" w:type="pct"/>
            <w:vMerge w:val="continue"/>
            <w:noWrap w:val="0"/>
            <w:vAlign w:val="center"/>
          </w:tcPr>
          <w:p w14:paraId="1951C7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sz w:val="21"/>
                <w:szCs w:val="21"/>
                <w:u w:val="single"/>
              </w:rPr>
            </w:pPr>
          </w:p>
        </w:tc>
        <w:tc>
          <w:tcPr>
            <w:tcW w:w="1331" w:type="pct"/>
            <w:noWrap w:val="0"/>
            <w:vAlign w:val="center"/>
          </w:tcPr>
          <w:p w14:paraId="5F099E3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lang w:val="en-US" w:eastAsia="zh-CN"/>
              </w:rPr>
            </w:pPr>
            <w:r>
              <w:rPr>
                <w:rFonts w:hint="eastAsia"/>
                <w:b/>
                <w:bCs/>
                <w:sz w:val="21"/>
                <w:szCs w:val="21"/>
                <w:u w:val="single"/>
              </w:rPr>
              <w:t>CS</w:t>
            </w:r>
            <w:r>
              <w:rPr>
                <w:rFonts w:hint="eastAsia"/>
                <w:b/>
                <w:bCs/>
                <w:sz w:val="21"/>
                <w:szCs w:val="21"/>
                <w:u w:val="single"/>
                <w:vertAlign w:val="subscript"/>
              </w:rPr>
              <w:t>2</w:t>
            </w:r>
          </w:p>
        </w:tc>
        <w:tc>
          <w:tcPr>
            <w:tcW w:w="570" w:type="pct"/>
            <w:noWrap w:val="0"/>
            <w:vAlign w:val="center"/>
          </w:tcPr>
          <w:p w14:paraId="262F6AD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t/a</w:t>
            </w:r>
          </w:p>
        </w:tc>
        <w:tc>
          <w:tcPr>
            <w:tcW w:w="4145" w:type="dxa"/>
            <w:noWrap w:val="0"/>
            <w:vAlign w:val="center"/>
          </w:tcPr>
          <w:p w14:paraId="02F59B9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lang w:val="en-US" w:eastAsia="zh-CN"/>
              </w:rPr>
            </w:pPr>
            <w:r>
              <w:rPr>
                <w:rFonts w:hint="eastAsia"/>
                <w:b/>
                <w:bCs/>
                <w:sz w:val="21"/>
                <w:szCs w:val="21"/>
                <w:u w:val="single"/>
                <w:lang w:val="en-US" w:eastAsia="zh-CN"/>
              </w:rPr>
              <w:t>216.77</w:t>
            </w:r>
          </w:p>
        </w:tc>
      </w:tr>
      <w:tr w14:paraId="2F380B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606" w:type="pct"/>
            <w:vMerge w:val="continue"/>
            <w:noWrap w:val="0"/>
            <w:vAlign w:val="center"/>
          </w:tcPr>
          <w:p w14:paraId="47CA08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sz w:val="21"/>
                <w:szCs w:val="21"/>
                <w:u w:val="single"/>
              </w:rPr>
            </w:pPr>
          </w:p>
        </w:tc>
        <w:tc>
          <w:tcPr>
            <w:tcW w:w="1331" w:type="pct"/>
            <w:noWrap w:val="0"/>
            <w:vAlign w:val="center"/>
          </w:tcPr>
          <w:p w14:paraId="00E057C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非甲烷总烃</w:t>
            </w:r>
          </w:p>
        </w:tc>
        <w:tc>
          <w:tcPr>
            <w:tcW w:w="570" w:type="pct"/>
            <w:noWrap w:val="0"/>
            <w:vAlign w:val="center"/>
          </w:tcPr>
          <w:p w14:paraId="3A9B5B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sz w:val="21"/>
                <w:szCs w:val="21"/>
                <w:u w:val="single"/>
              </w:rPr>
            </w:pPr>
            <w:r>
              <w:rPr>
                <w:rFonts w:hint="eastAsia"/>
                <w:b/>
                <w:bCs/>
                <w:sz w:val="21"/>
                <w:szCs w:val="21"/>
                <w:u w:val="single"/>
              </w:rPr>
              <w:t>t/a</w:t>
            </w:r>
          </w:p>
        </w:tc>
        <w:tc>
          <w:tcPr>
            <w:tcW w:w="4145" w:type="dxa"/>
            <w:noWrap w:val="0"/>
            <w:vAlign w:val="center"/>
          </w:tcPr>
          <w:p w14:paraId="2F0B43C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b/>
                <w:bCs/>
                <w:sz w:val="21"/>
                <w:szCs w:val="21"/>
                <w:u w:val="single"/>
                <w:lang w:val="en-US" w:eastAsia="zh-CN"/>
              </w:rPr>
            </w:pPr>
            <w:r>
              <w:rPr>
                <w:rFonts w:hint="eastAsia"/>
                <w:b/>
                <w:bCs/>
                <w:sz w:val="21"/>
                <w:szCs w:val="21"/>
                <w:u w:val="single"/>
                <w:lang w:val="en-US" w:eastAsia="zh-CN"/>
              </w:rPr>
              <w:t>49.83</w:t>
            </w:r>
          </w:p>
        </w:tc>
      </w:tr>
    </w:tbl>
    <w:p w14:paraId="3E2497FA">
      <w:pPr>
        <w:pStyle w:val="182"/>
        <w:rPr>
          <w:color w:val="auto"/>
        </w:rPr>
      </w:pPr>
    </w:p>
    <w:p w14:paraId="79C2076E">
      <w:pPr>
        <w:pStyle w:val="182"/>
        <w:rPr>
          <w:color w:val="auto"/>
        </w:rPr>
        <w:sectPr>
          <w:pgSz w:w="11910" w:h="16840"/>
          <w:pgMar w:top="1440" w:right="1800" w:bottom="1440" w:left="1800" w:header="877" w:footer="1196" w:gutter="0"/>
          <w:pgNumType w:fmt="decimal"/>
          <w:cols w:space="720" w:num="1"/>
        </w:sectPr>
      </w:pPr>
    </w:p>
    <w:p w14:paraId="3A128023">
      <w:pPr>
        <w:pStyle w:val="6"/>
        <w:ind w:firstLine="482"/>
      </w:pPr>
      <w:r>
        <w:rPr>
          <w:rFonts w:hint="eastAsia"/>
        </w:rPr>
        <w:t>固体废物</w:t>
      </w:r>
    </w:p>
    <w:p w14:paraId="27932C8F">
      <w:pPr>
        <w:ind w:firstLine="480"/>
      </w:pPr>
      <w:r>
        <w:rPr>
          <w:rFonts w:hint="eastAsia"/>
        </w:rPr>
        <w:t>厂区已建工程固废产生及处理处置情况见</w:t>
      </w:r>
      <w:r>
        <w:rPr>
          <w:rFonts w:hint="eastAsia"/>
          <w:lang w:val="en-US" w:eastAsia="zh-CN"/>
        </w:rPr>
        <w:t>下表</w:t>
      </w:r>
      <w:r>
        <w:rPr>
          <w:rFonts w:hint="eastAsia"/>
        </w:rPr>
        <w:t>。</w:t>
      </w:r>
    </w:p>
    <w:p w14:paraId="68E1AE41">
      <w:pPr>
        <w:pStyle w:val="10"/>
        <w:bidi w:val="0"/>
        <w:rPr>
          <w:lang w:val="en-US" w:eastAsia="zh-CN"/>
        </w:rPr>
      </w:pPr>
      <w:r>
        <w:t xml:space="preserve">表 </w:t>
      </w:r>
      <w:r>
        <w:fldChar w:fldCharType="begin"/>
      </w:r>
      <w:r>
        <w:instrText xml:space="preserve"> STYLEREF 2 \s </w:instrText>
      </w:r>
      <w:r>
        <w:fldChar w:fldCharType="separate"/>
      </w:r>
      <w:r>
        <w:t>3.3</w:t>
      </w:r>
      <w:r>
        <w:fldChar w:fldCharType="end"/>
      </w:r>
      <w:r>
        <w:rPr>
          <w:rFonts w:hint="eastAsia"/>
          <w:lang w:eastAsia="zh-CN"/>
        </w:rPr>
        <w:t>-</w:t>
      </w:r>
      <w:r>
        <w:fldChar w:fldCharType="begin"/>
      </w:r>
      <w:r>
        <w:instrText xml:space="preserve"> SEQ 表 \* ARABIC \s 2 </w:instrText>
      </w:r>
      <w:r>
        <w:fldChar w:fldCharType="separate"/>
      </w:r>
      <w:r>
        <w:t>12</w:t>
      </w:r>
      <w:r>
        <w:fldChar w:fldCharType="end"/>
      </w:r>
      <w:r>
        <w:rPr>
          <w:rFonts w:hint="eastAsia"/>
          <w:lang w:val="en-US" w:eastAsia="zh-CN"/>
        </w:rPr>
        <w:t xml:space="preserve">  已建工程全厂固废产生情况及处置措施一览表</w:t>
      </w:r>
    </w:p>
    <w:tbl>
      <w:tblPr>
        <w:tblStyle w:val="31"/>
        <w:tblW w:w="5015"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146"/>
        <w:gridCol w:w="1260"/>
        <w:gridCol w:w="1114"/>
        <w:gridCol w:w="1534"/>
        <w:gridCol w:w="979"/>
        <w:gridCol w:w="979"/>
        <w:gridCol w:w="697"/>
        <w:gridCol w:w="1120"/>
        <w:gridCol w:w="976"/>
        <w:gridCol w:w="731"/>
        <w:gridCol w:w="614"/>
        <w:gridCol w:w="2146"/>
      </w:tblGrid>
      <w:tr w14:paraId="2EAC4F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01" w:hRule="atLeast"/>
          <w:tblHeader/>
          <w:jc w:val="center"/>
        </w:trPr>
        <w:tc>
          <w:tcPr>
            <w:tcW w:w="431" w:type="pct"/>
            <w:noWrap w:val="0"/>
            <w:vAlign w:val="center"/>
          </w:tcPr>
          <w:p w14:paraId="79562D97">
            <w:pPr>
              <w:pStyle w:val="182"/>
              <w:rPr>
                <w:b/>
                <w:bCs/>
                <w:color w:val="auto"/>
              </w:rPr>
            </w:pPr>
            <w:r>
              <w:rPr>
                <w:b/>
                <w:bCs/>
                <w:color w:val="auto"/>
              </w:rPr>
              <w:t>产生工序及装置</w:t>
            </w:r>
          </w:p>
        </w:tc>
        <w:tc>
          <w:tcPr>
            <w:tcW w:w="474" w:type="pct"/>
            <w:noWrap w:val="0"/>
            <w:vAlign w:val="center"/>
          </w:tcPr>
          <w:p w14:paraId="79AC7339">
            <w:pPr>
              <w:pStyle w:val="182"/>
              <w:rPr>
                <w:b/>
                <w:bCs/>
                <w:color w:val="auto"/>
              </w:rPr>
            </w:pPr>
            <w:r>
              <w:rPr>
                <w:b/>
                <w:bCs/>
                <w:color w:val="auto"/>
              </w:rPr>
              <w:t>污染物名称</w:t>
            </w:r>
          </w:p>
        </w:tc>
        <w:tc>
          <w:tcPr>
            <w:tcW w:w="419" w:type="pct"/>
            <w:noWrap w:val="0"/>
            <w:vAlign w:val="center"/>
          </w:tcPr>
          <w:p w14:paraId="30B750B7">
            <w:pPr>
              <w:pStyle w:val="182"/>
              <w:rPr>
                <w:b/>
                <w:bCs/>
                <w:color w:val="auto"/>
              </w:rPr>
            </w:pPr>
            <w:r>
              <w:rPr>
                <w:b/>
                <w:bCs/>
                <w:color w:val="auto"/>
              </w:rPr>
              <w:t>废物类别</w:t>
            </w:r>
          </w:p>
        </w:tc>
        <w:tc>
          <w:tcPr>
            <w:tcW w:w="577" w:type="pct"/>
            <w:noWrap w:val="0"/>
            <w:vAlign w:val="center"/>
          </w:tcPr>
          <w:p w14:paraId="7017329C">
            <w:pPr>
              <w:pStyle w:val="182"/>
              <w:rPr>
                <w:rFonts w:hint="default" w:eastAsia="宋体"/>
                <w:b/>
                <w:bCs/>
                <w:color w:val="auto"/>
                <w:lang w:val="en-US" w:eastAsia="zh-CN"/>
              </w:rPr>
            </w:pPr>
            <w:r>
              <w:rPr>
                <w:b/>
                <w:bCs/>
                <w:color w:val="auto"/>
              </w:rPr>
              <w:t>废物代码</w:t>
            </w:r>
          </w:p>
        </w:tc>
        <w:tc>
          <w:tcPr>
            <w:tcW w:w="368" w:type="pct"/>
            <w:noWrap w:val="0"/>
            <w:vAlign w:val="center"/>
          </w:tcPr>
          <w:p w14:paraId="5F40D043">
            <w:pPr>
              <w:pStyle w:val="182"/>
              <w:rPr>
                <w:b/>
                <w:bCs/>
                <w:color w:val="auto"/>
              </w:rPr>
            </w:pPr>
            <w:r>
              <w:rPr>
                <w:b/>
                <w:bCs/>
                <w:color w:val="auto"/>
              </w:rPr>
              <w:t>产生量</w:t>
            </w:r>
          </w:p>
          <w:p w14:paraId="1B19E72F">
            <w:pPr>
              <w:pStyle w:val="182"/>
              <w:rPr>
                <w:b/>
                <w:bCs/>
                <w:color w:val="auto"/>
              </w:rPr>
            </w:pPr>
            <w:r>
              <w:rPr>
                <w:b/>
                <w:bCs/>
                <w:color w:val="auto"/>
              </w:rPr>
              <w:t>（t/a）</w:t>
            </w:r>
          </w:p>
        </w:tc>
        <w:tc>
          <w:tcPr>
            <w:tcW w:w="368" w:type="pct"/>
            <w:noWrap w:val="0"/>
            <w:vAlign w:val="center"/>
          </w:tcPr>
          <w:p w14:paraId="5BB8C781">
            <w:pPr>
              <w:pStyle w:val="182"/>
              <w:rPr>
                <w:b/>
                <w:bCs/>
                <w:color w:val="auto"/>
              </w:rPr>
            </w:pPr>
            <w:r>
              <w:rPr>
                <w:b/>
                <w:bCs/>
                <w:color w:val="auto"/>
              </w:rPr>
              <w:t>固废性质</w:t>
            </w:r>
          </w:p>
        </w:tc>
        <w:tc>
          <w:tcPr>
            <w:tcW w:w="262" w:type="pct"/>
            <w:noWrap w:val="0"/>
            <w:vAlign w:val="center"/>
          </w:tcPr>
          <w:p w14:paraId="719B8547">
            <w:pPr>
              <w:pStyle w:val="182"/>
              <w:rPr>
                <w:b/>
                <w:bCs/>
                <w:color w:val="auto"/>
              </w:rPr>
            </w:pPr>
            <w:r>
              <w:rPr>
                <w:b/>
                <w:bCs/>
                <w:color w:val="auto"/>
              </w:rPr>
              <w:t>形态</w:t>
            </w:r>
          </w:p>
        </w:tc>
        <w:tc>
          <w:tcPr>
            <w:tcW w:w="421" w:type="pct"/>
            <w:noWrap w:val="0"/>
            <w:vAlign w:val="center"/>
          </w:tcPr>
          <w:p w14:paraId="647CB3AB">
            <w:pPr>
              <w:pStyle w:val="182"/>
              <w:rPr>
                <w:b/>
                <w:bCs/>
                <w:color w:val="auto"/>
              </w:rPr>
            </w:pPr>
            <w:r>
              <w:rPr>
                <w:b/>
                <w:bCs/>
                <w:color w:val="auto"/>
              </w:rPr>
              <w:t>主要成分</w:t>
            </w:r>
          </w:p>
        </w:tc>
        <w:tc>
          <w:tcPr>
            <w:tcW w:w="367" w:type="pct"/>
            <w:noWrap w:val="0"/>
            <w:vAlign w:val="center"/>
          </w:tcPr>
          <w:p w14:paraId="1AF072EF">
            <w:pPr>
              <w:pStyle w:val="182"/>
              <w:rPr>
                <w:b/>
                <w:bCs/>
                <w:color w:val="auto"/>
              </w:rPr>
            </w:pPr>
            <w:r>
              <w:rPr>
                <w:b/>
                <w:bCs/>
                <w:color w:val="auto"/>
              </w:rPr>
              <w:t>有害成分</w:t>
            </w:r>
          </w:p>
        </w:tc>
        <w:tc>
          <w:tcPr>
            <w:tcW w:w="275" w:type="pct"/>
            <w:noWrap w:val="0"/>
            <w:vAlign w:val="center"/>
          </w:tcPr>
          <w:p w14:paraId="2AA3541C">
            <w:pPr>
              <w:pStyle w:val="182"/>
              <w:rPr>
                <w:b/>
                <w:bCs/>
                <w:color w:val="auto"/>
              </w:rPr>
            </w:pPr>
            <w:r>
              <w:rPr>
                <w:b/>
                <w:bCs/>
                <w:color w:val="auto"/>
              </w:rPr>
              <w:t>产废周期</w:t>
            </w:r>
          </w:p>
        </w:tc>
        <w:tc>
          <w:tcPr>
            <w:tcW w:w="231" w:type="pct"/>
            <w:noWrap w:val="0"/>
            <w:vAlign w:val="center"/>
          </w:tcPr>
          <w:p w14:paraId="378EDC51">
            <w:pPr>
              <w:pStyle w:val="182"/>
              <w:rPr>
                <w:b/>
                <w:bCs/>
                <w:color w:val="auto"/>
              </w:rPr>
            </w:pPr>
            <w:r>
              <w:rPr>
                <w:b/>
                <w:bCs/>
                <w:color w:val="auto"/>
              </w:rPr>
              <w:t>危险特性</w:t>
            </w:r>
          </w:p>
        </w:tc>
        <w:tc>
          <w:tcPr>
            <w:tcW w:w="807" w:type="pct"/>
            <w:noWrap w:val="0"/>
            <w:vAlign w:val="center"/>
          </w:tcPr>
          <w:p w14:paraId="2E02433A">
            <w:pPr>
              <w:pStyle w:val="182"/>
              <w:rPr>
                <w:b/>
                <w:bCs/>
                <w:color w:val="auto"/>
              </w:rPr>
            </w:pPr>
            <w:r>
              <w:rPr>
                <w:b/>
                <w:bCs/>
                <w:color w:val="auto"/>
              </w:rPr>
              <w:t>污染防治措施</w:t>
            </w:r>
          </w:p>
        </w:tc>
      </w:tr>
      <w:tr w14:paraId="039C72D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49" w:hRule="atLeast"/>
          <w:jc w:val="center"/>
        </w:trPr>
        <w:tc>
          <w:tcPr>
            <w:tcW w:w="431" w:type="pct"/>
            <w:noWrap w:val="0"/>
            <w:vAlign w:val="center"/>
          </w:tcPr>
          <w:p w14:paraId="10097C56">
            <w:pPr>
              <w:pStyle w:val="182"/>
              <w:rPr>
                <w:color w:val="auto"/>
              </w:rPr>
            </w:pPr>
            <w:r>
              <w:rPr>
                <w:color w:val="auto"/>
              </w:rPr>
              <w:t>DMAC回收</w:t>
            </w:r>
          </w:p>
        </w:tc>
        <w:tc>
          <w:tcPr>
            <w:tcW w:w="474" w:type="pct"/>
            <w:noWrap w:val="0"/>
            <w:vAlign w:val="center"/>
          </w:tcPr>
          <w:p w14:paraId="09E30108">
            <w:pPr>
              <w:pStyle w:val="182"/>
              <w:rPr>
                <w:color w:val="auto"/>
              </w:rPr>
            </w:pPr>
            <w:r>
              <w:rPr>
                <w:color w:val="auto"/>
              </w:rPr>
              <w:t>蒸馏残渣</w:t>
            </w:r>
          </w:p>
        </w:tc>
        <w:tc>
          <w:tcPr>
            <w:tcW w:w="419" w:type="pct"/>
            <w:noWrap w:val="0"/>
            <w:vAlign w:val="center"/>
          </w:tcPr>
          <w:p w14:paraId="5A6847CE">
            <w:pPr>
              <w:pStyle w:val="182"/>
              <w:rPr>
                <w:color w:val="auto"/>
              </w:rPr>
            </w:pPr>
            <w:r>
              <w:rPr>
                <w:color w:val="auto"/>
              </w:rPr>
              <w:t>HW11精</w:t>
            </w:r>
          </w:p>
          <w:p w14:paraId="5D0FC5B8">
            <w:pPr>
              <w:pStyle w:val="182"/>
              <w:rPr>
                <w:color w:val="auto"/>
              </w:rPr>
            </w:pPr>
            <w:r>
              <w:rPr>
                <w:color w:val="auto"/>
              </w:rPr>
              <w:t>（蒸）馏残渣</w:t>
            </w:r>
          </w:p>
        </w:tc>
        <w:tc>
          <w:tcPr>
            <w:tcW w:w="577" w:type="pct"/>
            <w:noWrap w:val="0"/>
            <w:vAlign w:val="center"/>
          </w:tcPr>
          <w:p w14:paraId="4634D682">
            <w:pPr>
              <w:pStyle w:val="182"/>
              <w:rPr>
                <w:color w:val="auto"/>
              </w:rPr>
            </w:pPr>
            <w:r>
              <w:rPr>
                <w:color w:val="auto"/>
              </w:rPr>
              <w:t>900-</w:t>
            </w:r>
            <w:r>
              <w:rPr>
                <w:rFonts w:hint="eastAsia"/>
                <w:color w:val="auto"/>
              </w:rPr>
              <w:t>404</w:t>
            </w:r>
            <w:r>
              <w:rPr>
                <w:color w:val="auto"/>
              </w:rPr>
              <w:t>-</w:t>
            </w:r>
            <w:r>
              <w:rPr>
                <w:rFonts w:hint="eastAsia"/>
                <w:color w:val="auto"/>
              </w:rPr>
              <w:t>06</w:t>
            </w:r>
          </w:p>
        </w:tc>
        <w:tc>
          <w:tcPr>
            <w:tcW w:w="368" w:type="pct"/>
            <w:noWrap w:val="0"/>
            <w:vAlign w:val="center"/>
          </w:tcPr>
          <w:p w14:paraId="28C26786">
            <w:pPr>
              <w:pStyle w:val="182"/>
              <w:rPr>
                <w:rFonts w:hint="default" w:eastAsia="宋体"/>
                <w:color w:val="auto"/>
                <w:lang w:val="en-US" w:eastAsia="zh-CN"/>
              </w:rPr>
            </w:pPr>
            <w:r>
              <w:rPr>
                <w:rFonts w:hint="eastAsia"/>
                <w:color w:val="auto"/>
                <w:lang w:val="en-US" w:eastAsia="zh-CN"/>
              </w:rPr>
              <w:t>2642.196</w:t>
            </w:r>
          </w:p>
        </w:tc>
        <w:tc>
          <w:tcPr>
            <w:tcW w:w="368" w:type="pct"/>
            <w:noWrap w:val="0"/>
            <w:vAlign w:val="center"/>
          </w:tcPr>
          <w:p w14:paraId="5E48DA61">
            <w:pPr>
              <w:pStyle w:val="182"/>
              <w:rPr>
                <w:color w:val="auto"/>
              </w:rPr>
            </w:pPr>
            <w:r>
              <w:rPr>
                <w:color w:val="auto"/>
              </w:rPr>
              <w:t>危险废物</w:t>
            </w:r>
          </w:p>
        </w:tc>
        <w:tc>
          <w:tcPr>
            <w:tcW w:w="262" w:type="pct"/>
            <w:noWrap w:val="0"/>
            <w:vAlign w:val="center"/>
          </w:tcPr>
          <w:p w14:paraId="26F6DE2D">
            <w:pPr>
              <w:pStyle w:val="182"/>
              <w:rPr>
                <w:color w:val="auto"/>
              </w:rPr>
            </w:pPr>
            <w:r>
              <w:rPr>
                <w:color w:val="auto"/>
              </w:rPr>
              <w:t>液态</w:t>
            </w:r>
          </w:p>
        </w:tc>
        <w:tc>
          <w:tcPr>
            <w:tcW w:w="421" w:type="pct"/>
            <w:noWrap w:val="0"/>
            <w:vAlign w:val="center"/>
          </w:tcPr>
          <w:p w14:paraId="55346D5F">
            <w:pPr>
              <w:pStyle w:val="182"/>
              <w:rPr>
                <w:color w:val="auto"/>
              </w:rPr>
            </w:pPr>
            <w:r>
              <w:rPr>
                <w:color w:val="auto"/>
              </w:rPr>
              <w:t>DMAC等</w:t>
            </w:r>
          </w:p>
        </w:tc>
        <w:tc>
          <w:tcPr>
            <w:tcW w:w="367" w:type="pct"/>
            <w:noWrap w:val="0"/>
            <w:vAlign w:val="center"/>
          </w:tcPr>
          <w:p w14:paraId="22C725E4">
            <w:pPr>
              <w:pStyle w:val="182"/>
              <w:rPr>
                <w:color w:val="auto"/>
              </w:rPr>
            </w:pPr>
            <w:r>
              <w:rPr>
                <w:color w:val="auto"/>
              </w:rPr>
              <w:t>DMAC等</w:t>
            </w:r>
          </w:p>
        </w:tc>
        <w:tc>
          <w:tcPr>
            <w:tcW w:w="275" w:type="pct"/>
            <w:noWrap w:val="0"/>
            <w:vAlign w:val="center"/>
          </w:tcPr>
          <w:p w14:paraId="48F0D2C2">
            <w:pPr>
              <w:pStyle w:val="182"/>
              <w:rPr>
                <w:color w:val="auto"/>
              </w:rPr>
            </w:pPr>
            <w:r>
              <w:rPr>
                <w:color w:val="auto"/>
              </w:rPr>
              <w:t>1d</w:t>
            </w:r>
          </w:p>
        </w:tc>
        <w:tc>
          <w:tcPr>
            <w:tcW w:w="231" w:type="pct"/>
            <w:noWrap w:val="0"/>
            <w:vAlign w:val="center"/>
          </w:tcPr>
          <w:p w14:paraId="1913D2E5">
            <w:pPr>
              <w:pStyle w:val="182"/>
              <w:rPr>
                <w:color w:val="auto"/>
              </w:rPr>
            </w:pPr>
            <w:r>
              <w:rPr>
                <w:color w:val="auto"/>
              </w:rPr>
              <w:t>T</w:t>
            </w:r>
          </w:p>
        </w:tc>
        <w:tc>
          <w:tcPr>
            <w:tcW w:w="807" w:type="pct"/>
            <w:noWrap w:val="0"/>
            <w:vAlign w:val="center"/>
          </w:tcPr>
          <w:p w14:paraId="5B2B2668">
            <w:pPr>
              <w:pStyle w:val="182"/>
              <w:rPr>
                <w:color w:val="auto"/>
              </w:rPr>
            </w:pPr>
            <w:r>
              <w:rPr>
                <w:color w:val="auto"/>
              </w:rPr>
              <w:t>危废暂存间贮存，</w:t>
            </w:r>
            <w:r>
              <w:rPr>
                <w:rFonts w:hint="eastAsia"/>
                <w:color w:val="auto"/>
              </w:rPr>
              <w:t>定期交有相关危险废物处理资质的单位处置</w:t>
            </w:r>
          </w:p>
        </w:tc>
      </w:tr>
      <w:tr w14:paraId="6DB10D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3" w:hRule="atLeast"/>
          <w:jc w:val="center"/>
        </w:trPr>
        <w:tc>
          <w:tcPr>
            <w:tcW w:w="431" w:type="pct"/>
            <w:noWrap w:val="0"/>
            <w:vAlign w:val="center"/>
          </w:tcPr>
          <w:p w14:paraId="379B5CD7">
            <w:pPr>
              <w:pStyle w:val="182"/>
              <w:rPr>
                <w:color w:val="auto"/>
              </w:rPr>
            </w:pPr>
            <w:r>
              <w:rPr>
                <w:color w:val="auto"/>
              </w:rPr>
              <w:t>废气处理</w:t>
            </w:r>
          </w:p>
        </w:tc>
        <w:tc>
          <w:tcPr>
            <w:tcW w:w="474" w:type="pct"/>
            <w:noWrap w:val="0"/>
            <w:vAlign w:val="center"/>
          </w:tcPr>
          <w:p w14:paraId="15CDD587">
            <w:pPr>
              <w:pStyle w:val="182"/>
              <w:rPr>
                <w:color w:val="auto"/>
              </w:rPr>
            </w:pPr>
            <w:r>
              <w:rPr>
                <w:color w:val="auto"/>
              </w:rPr>
              <w:t>废活性炭</w:t>
            </w:r>
          </w:p>
        </w:tc>
        <w:tc>
          <w:tcPr>
            <w:tcW w:w="419" w:type="pct"/>
            <w:noWrap w:val="0"/>
            <w:vAlign w:val="center"/>
          </w:tcPr>
          <w:p w14:paraId="14155690">
            <w:pPr>
              <w:pStyle w:val="182"/>
              <w:rPr>
                <w:color w:val="auto"/>
              </w:rPr>
            </w:pPr>
            <w:r>
              <w:rPr>
                <w:color w:val="auto"/>
              </w:rPr>
              <w:t>HW49</w:t>
            </w:r>
          </w:p>
          <w:p w14:paraId="159CADC4">
            <w:pPr>
              <w:pStyle w:val="182"/>
              <w:rPr>
                <w:color w:val="auto"/>
              </w:rPr>
            </w:pPr>
            <w:r>
              <w:rPr>
                <w:color w:val="auto"/>
              </w:rPr>
              <w:t>其他废物</w:t>
            </w:r>
          </w:p>
        </w:tc>
        <w:tc>
          <w:tcPr>
            <w:tcW w:w="577" w:type="pct"/>
            <w:noWrap w:val="0"/>
            <w:vAlign w:val="center"/>
          </w:tcPr>
          <w:p w14:paraId="198C4640">
            <w:pPr>
              <w:pStyle w:val="182"/>
              <w:rPr>
                <w:color w:val="auto"/>
              </w:rPr>
            </w:pPr>
            <w:r>
              <w:rPr>
                <w:color w:val="auto"/>
              </w:rPr>
              <w:t>900-041-49</w:t>
            </w:r>
          </w:p>
        </w:tc>
        <w:tc>
          <w:tcPr>
            <w:tcW w:w="368" w:type="pct"/>
            <w:noWrap w:val="0"/>
            <w:vAlign w:val="center"/>
          </w:tcPr>
          <w:p w14:paraId="2774B924">
            <w:pPr>
              <w:pStyle w:val="182"/>
              <w:rPr>
                <w:rFonts w:hint="default" w:eastAsia="宋体"/>
                <w:color w:val="auto"/>
                <w:lang w:val="en-US" w:eastAsia="zh-CN"/>
              </w:rPr>
            </w:pPr>
            <w:r>
              <w:rPr>
                <w:rFonts w:hint="eastAsia"/>
                <w:color w:val="auto"/>
                <w:lang w:val="en-US" w:eastAsia="zh-CN"/>
              </w:rPr>
              <w:t>60</w:t>
            </w:r>
          </w:p>
        </w:tc>
        <w:tc>
          <w:tcPr>
            <w:tcW w:w="368" w:type="pct"/>
            <w:noWrap w:val="0"/>
            <w:vAlign w:val="center"/>
          </w:tcPr>
          <w:p w14:paraId="07BE49B1">
            <w:pPr>
              <w:pStyle w:val="182"/>
              <w:rPr>
                <w:color w:val="auto"/>
              </w:rPr>
            </w:pPr>
            <w:r>
              <w:rPr>
                <w:color w:val="auto"/>
              </w:rPr>
              <w:t>危险废物</w:t>
            </w:r>
          </w:p>
        </w:tc>
        <w:tc>
          <w:tcPr>
            <w:tcW w:w="262" w:type="pct"/>
            <w:noWrap w:val="0"/>
            <w:vAlign w:val="center"/>
          </w:tcPr>
          <w:p w14:paraId="4E218941">
            <w:pPr>
              <w:pStyle w:val="182"/>
              <w:rPr>
                <w:color w:val="auto"/>
              </w:rPr>
            </w:pPr>
            <w:r>
              <w:rPr>
                <w:color w:val="auto"/>
              </w:rPr>
              <w:t>固态</w:t>
            </w:r>
          </w:p>
        </w:tc>
        <w:tc>
          <w:tcPr>
            <w:tcW w:w="421" w:type="pct"/>
            <w:noWrap w:val="0"/>
            <w:vAlign w:val="center"/>
          </w:tcPr>
          <w:p w14:paraId="521BDED3">
            <w:pPr>
              <w:pStyle w:val="182"/>
              <w:rPr>
                <w:color w:val="auto"/>
              </w:rPr>
            </w:pPr>
            <w:r>
              <w:rPr>
                <w:color w:val="auto"/>
              </w:rPr>
              <w:t>活性炭、有机物等</w:t>
            </w:r>
          </w:p>
        </w:tc>
        <w:tc>
          <w:tcPr>
            <w:tcW w:w="367" w:type="pct"/>
            <w:noWrap w:val="0"/>
            <w:vAlign w:val="center"/>
          </w:tcPr>
          <w:p w14:paraId="54C0EA69">
            <w:pPr>
              <w:pStyle w:val="182"/>
              <w:rPr>
                <w:color w:val="auto"/>
              </w:rPr>
            </w:pPr>
            <w:r>
              <w:rPr>
                <w:color w:val="auto"/>
              </w:rPr>
              <w:t>活性炭、有机物等</w:t>
            </w:r>
          </w:p>
        </w:tc>
        <w:tc>
          <w:tcPr>
            <w:tcW w:w="275" w:type="pct"/>
            <w:noWrap w:val="0"/>
            <w:vAlign w:val="center"/>
          </w:tcPr>
          <w:p w14:paraId="71EC8258">
            <w:pPr>
              <w:pStyle w:val="182"/>
              <w:rPr>
                <w:color w:val="auto"/>
              </w:rPr>
            </w:pPr>
            <w:r>
              <w:rPr>
                <w:color w:val="auto"/>
              </w:rPr>
              <w:t>1a</w:t>
            </w:r>
          </w:p>
        </w:tc>
        <w:tc>
          <w:tcPr>
            <w:tcW w:w="231" w:type="pct"/>
            <w:noWrap w:val="0"/>
            <w:vAlign w:val="center"/>
          </w:tcPr>
          <w:p w14:paraId="65D03362">
            <w:pPr>
              <w:pStyle w:val="182"/>
              <w:rPr>
                <w:color w:val="auto"/>
              </w:rPr>
            </w:pPr>
            <w:r>
              <w:rPr>
                <w:color w:val="auto"/>
              </w:rPr>
              <w:t>T</w:t>
            </w:r>
          </w:p>
        </w:tc>
        <w:tc>
          <w:tcPr>
            <w:tcW w:w="807" w:type="pct"/>
            <w:noWrap w:val="0"/>
            <w:vAlign w:val="center"/>
          </w:tcPr>
          <w:p w14:paraId="01466371">
            <w:pPr>
              <w:pStyle w:val="182"/>
              <w:rPr>
                <w:color w:val="auto"/>
              </w:rPr>
            </w:pPr>
            <w:r>
              <w:rPr>
                <w:color w:val="auto"/>
              </w:rPr>
              <w:t>危废暂存间贮存，</w:t>
            </w:r>
            <w:r>
              <w:rPr>
                <w:rFonts w:hint="eastAsia"/>
                <w:color w:val="auto"/>
              </w:rPr>
              <w:t>定期交有相关危险废物处理资质的单位处置</w:t>
            </w:r>
          </w:p>
        </w:tc>
      </w:tr>
      <w:tr w14:paraId="06D63CF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3" w:hRule="atLeast"/>
          <w:jc w:val="center"/>
        </w:trPr>
        <w:tc>
          <w:tcPr>
            <w:tcW w:w="431" w:type="pct"/>
            <w:noWrap w:val="0"/>
            <w:vAlign w:val="center"/>
          </w:tcPr>
          <w:p w14:paraId="7D31F6F8">
            <w:pPr>
              <w:pStyle w:val="182"/>
              <w:rPr>
                <w:color w:val="auto"/>
              </w:rPr>
            </w:pPr>
            <w:r>
              <w:rPr>
                <w:color w:val="auto"/>
              </w:rPr>
              <w:t>氨纶生产</w:t>
            </w:r>
          </w:p>
        </w:tc>
        <w:tc>
          <w:tcPr>
            <w:tcW w:w="474" w:type="pct"/>
            <w:noWrap w:val="0"/>
            <w:vAlign w:val="center"/>
          </w:tcPr>
          <w:p w14:paraId="25BA8BAC">
            <w:pPr>
              <w:pStyle w:val="182"/>
              <w:rPr>
                <w:color w:val="auto"/>
              </w:rPr>
            </w:pPr>
            <w:r>
              <w:rPr>
                <w:rFonts w:hint="eastAsia"/>
                <w:color w:val="auto"/>
              </w:rPr>
              <w:t>废包装桶</w:t>
            </w:r>
          </w:p>
        </w:tc>
        <w:tc>
          <w:tcPr>
            <w:tcW w:w="419" w:type="pct"/>
            <w:noWrap w:val="0"/>
            <w:vAlign w:val="center"/>
          </w:tcPr>
          <w:p w14:paraId="2FA9E51B">
            <w:pPr>
              <w:pStyle w:val="182"/>
              <w:rPr>
                <w:color w:val="auto"/>
              </w:rPr>
            </w:pPr>
            <w:r>
              <w:rPr>
                <w:color w:val="auto"/>
              </w:rPr>
              <w:t>HW49</w:t>
            </w:r>
          </w:p>
          <w:p w14:paraId="757B40CE">
            <w:pPr>
              <w:pStyle w:val="182"/>
              <w:rPr>
                <w:color w:val="auto"/>
              </w:rPr>
            </w:pPr>
            <w:r>
              <w:rPr>
                <w:color w:val="auto"/>
              </w:rPr>
              <w:t>其他废物</w:t>
            </w:r>
          </w:p>
        </w:tc>
        <w:tc>
          <w:tcPr>
            <w:tcW w:w="577" w:type="pct"/>
            <w:noWrap w:val="0"/>
            <w:vAlign w:val="center"/>
          </w:tcPr>
          <w:p w14:paraId="514090B8">
            <w:pPr>
              <w:pStyle w:val="182"/>
              <w:rPr>
                <w:color w:val="auto"/>
              </w:rPr>
            </w:pPr>
            <w:r>
              <w:rPr>
                <w:rFonts w:hint="eastAsia"/>
                <w:color w:val="auto"/>
              </w:rPr>
              <w:t>900-041-49</w:t>
            </w:r>
          </w:p>
        </w:tc>
        <w:tc>
          <w:tcPr>
            <w:tcW w:w="368" w:type="pct"/>
            <w:noWrap w:val="0"/>
            <w:vAlign w:val="center"/>
          </w:tcPr>
          <w:p w14:paraId="3B34A475">
            <w:pPr>
              <w:pStyle w:val="182"/>
              <w:rPr>
                <w:rFonts w:hint="default" w:eastAsia="宋体"/>
                <w:color w:val="auto"/>
                <w:lang w:val="en-US" w:eastAsia="zh-CN"/>
              </w:rPr>
            </w:pPr>
            <w:r>
              <w:rPr>
                <w:rFonts w:hint="eastAsia"/>
                <w:color w:val="auto"/>
                <w:lang w:val="en-US" w:eastAsia="zh-CN"/>
              </w:rPr>
              <w:t>119.6</w:t>
            </w:r>
          </w:p>
        </w:tc>
        <w:tc>
          <w:tcPr>
            <w:tcW w:w="368" w:type="pct"/>
            <w:noWrap w:val="0"/>
            <w:vAlign w:val="center"/>
          </w:tcPr>
          <w:p w14:paraId="56921375">
            <w:pPr>
              <w:pStyle w:val="182"/>
              <w:rPr>
                <w:color w:val="auto"/>
              </w:rPr>
            </w:pPr>
            <w:r>
              <w:rPr>
                <w:color w:val="auto"/>
              </w:rPr>
              <w:t>危险废物</w:t>
            </w:r>
          </w:p>
        </w:tc>
        <w:tc>
          <w:tcPr>
            <w:tcW w:w="262" w:type="pct"/>
            <w:noWrap w:val="0"/>
            <w:vAlign w:val="center"/>
          </w:tcPr>
          <w:p w14:paraId="4FC9C0D7">
            <w:pPr>
              <w:pStyle w:val="182"/>
              <w:rPr>
                <w:color w:val="auto"/>
              </w:rPr>
            </w:pPr>
            <w:r>
              <w:rPr>
                <w:color w:val="auto"/>
              </w:rPr>
              <w:t>固态</w:t>
            </w:r>
          </w:p>
        </w:tc>
        <w:tc>
          <w:tcPr>
            <w:tcW w:w="421" w:type="pct"/>
            <w:noWrap w:val="0"/>
            <w:vAlign w:val="center"/>
          </w:tcPr>
          <w:p w14:paraId="36AEE773">
            <w:pPr>
              <w:pStyle w:val="182"/>
              <w:rPr>
                <w:color w:val="auto"/>
              </w:rPr>
            </w:pPr>
            <w:r>
              <w:rPr>
                <w:spacing w:val="-6"/>
              </w:rPr>
              <w:t>原料（丙二胺、</w:t>
            </w:r>
            <w:r>
              <w:rPr>
                <w:spacing w:val="-18"/>
              </w:rPr>
              <w:t>油剂）</w:t>
            </w:r>
          </w:p>
        </w:tc>
        <w:tc>
          <w:tcPr>
            <w:tcW w:w="367" w:type="pct"/>
            <w:noWrap w:val="0"/>
            <w:vAlign w:val="center"/>
          </w:tcPr>
          <w:p w14:paraId="6EF880AC">
            <w:pPr>
              <w:pStyle w:val="182"/>
              <w:rPr>
                <w:color w:val="auto"/>
              </w:rPr>
            </w:pPr>
            <w:r>
              <w:rPr>
                <w:spacing w:val="-6"/>
              </w:rPr>
              <w:t>丙二胺、</w:t>
            </w:r>
            <w:r>
              <w:rPr>
                <w:spacing w:val="-18"/>
              </w:rPr>
              <w:t>油剂）</w:t>
            </w:r>
          </w:p>
        </w:tc>
        <w:tc>
          <w:tcPr>
            <w:tcW w:w="275" w:type="pct"/>
            <w:noWrap w:val="0"/>
            <w:vAlign w:val="center"/>
          </w:tcPr>
          <w:p w14:paraId="499B481D">
            <w:pPr>
              <w:pStyle w:val="182"/>
              <w:rPr>
                <w:color w:val="auto"/>
              </w:rPr>
            </w:pPr>
            <w:r>
              <w:rPr>
                <w:color w:val="auto"/>
              </w:rPr>
              <w:t>1a</w:t>
            </w:r>
          </w:p>
        </w:tc>
        <w:tc>
          <w:tcPr>
            <w:tcW w:w="231" w:type="pct"/>
            <w:noWrap w:val="0"/>
            <w:vAlign w:val="center"/>
          </w:tcPr>
          <w:p w14:paraId="2EBE6040">
            <w:pPr>
              <w:pStyle w:val="182"/>
              <w:rPr>
                <w:color w:val="auto"/>
              </w:rPr>
            </w:pPr>
            <w:r>
              <w:rPr>
                <w:color w:val="auto"/>
              </w:rPr>
              <w:t>T</w:t>
            </w:r>
          </w:p>
        </w:tc>
        <w:tc>
          <w:tcPr>
            <w:tcW w:w="807" w:type="pct"/>
            <w:noWrap w:val="0"/>
            <w:vAlign w:val="center"/>
          </w:tcPr>
          <w:p w14:paraId="4F72C777">
            <w:pPr>
              <w:pStyle w:val="182"/>
              <w:rPr>
                <w:color w:val="auto"/>
              </w:rPr>
            </w:pPr>
            <w:r>
              <w:rPr>
                <w:color w:val="auto"/>
              </w:rPr>
              <w:t>危废暂存间贮存，</w:t>
            </w:r>
            <w:r>
              <w:rPr>
                <w:rFonts w:hint="eastAsia"/>
                <w:color w:val="auto"/>
              </w:rPr>
              <w:t>定期交有相关危险废物处理资质的单位处置</w:t>
            </w:r>
          </w:p>
        </w:tc>
      </w:tr>
      <w:tr w14:paraId="70EE4D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2" w:hRule="atLeast"/>
          <w:jc w:val="center"/>
        </w:trPr>
        <w:tc>
          <w:tcPr>
            <w:tcW w:w="431" w:type="pct"/>
            <w:noWrap w:val="0"/>
            <w:vAlign w:val="center"/>
          </w:tcPr>
          <w:p w14:paraId="16BC142D">
            <w:pPr>
              <w:pStyle w:val="182"/>
              <w:rPr>
                <w:color w:val="auto"/>
              </w:rPr>
            </w:pPr>
            <w:r>
              <w:rPr>
                <w:color w:val="auto"/>
              </w:rPr>
              <w:t>锅炉废气治理措施</w:t>
            </w:r>
          </w:p>
        </w:tc>
        <w:tc>
          <w:tcPr>
            <w:tcW w:w="474" w:type="pct"/>
            <w:noWrap w:val="0"/>
            <w:vAlign w:val="center"/>
          </w:tcPr>
          <w:p w14:paraId="4BB6A456">
            <w:pPr>
              <w:pStyle w:val="182"/>
              <w:rPr>
                <w:color w:val="auto"/>
              </w:rPr>
            </w:pPr>
            <w:r>
              <w:rPr>
                <w:color w:val="auto"/>
              </w:rPr>
              <w:t>脱硝废催化剂</w:t>
            </w:r>
          </w:p>
        </w:tc>
        <w:tc>
          <w:tcPr>
            <w:tcW w:w="419" w:type="pct"/>
            <w:noWrap w:val="0"/>
            <w:vAlign w:val="center"/>
          </w:tcPr>
          <w:p w14:paraId="5DA33F3C">
            <w:pPr>
              <w:pStyle w:val="182"/>
              <w:rPr>
                <w:color w:val="auto"/>
              </w:rPr>
            </w:pPr>
            <w:r>
              <w:rPr>
                <w:color w:val="auto"/>
              </w:rPr>
              <w:t>HW50</w:t>
            </w:r>
          </w:p>
          <w:p w14:paraId="2714901F">
            <w:pPr>
              <w:pStyle w:val="182"/>
              <w:rPr>
                <w:color w:val="auto"/>
              </w:rPr>
            </w:pPr>
            <w:r>
              <w:rPr>
                <w:color w:val="auto"/>
              </w:rPr>
              <w:t>废催化剂</w:t>
            </w:r>
          </w:p>
        </w:tc>
        <w:tc>
          <w:tcPr>
            <w:tcW w:w="577" w:type="pct"/>
            <w:noWrap w:val="0"/>
            <w:vAlign w:val="center"/>
          </w:tcPr>
          <w:p w14:paraId="3BC38128">
            <w:pPr>
              <w:pStyle w:val="182"/>
              <w:rPr>
                <w:color w:val="auto"/>
              </w:rPr>
            </w:pPr>
            <w:r>
              <w:rPr>
                <w:color w:val="auto"/>
              </w:rPr>
              <w:t>772-007-50</w:t>
            </w:r>
          </w:p>
        </w:tc>
        <w:tc>
          <w:tcPr>
            <w:tcW w:w="368" w:type="pct"/>
            <w:noWrap w:val="0"/>
            <w:vAlign w:val="center"/>
          </w:tcPr>
          <w:p w14:paraId="08F70E3B">
            <w:pPr>
              <w:pStyle w:val="182"/>
              <w:rPr>
                <w:color w:val="auto"/>
              </w:rPr>
            </w:pPr>
            <w:r>
              <w:rPr>
                <w:color w:val="auto"/>
              </w:rPr>
              <w:t>20.16</w:t>
            </w:r>
          </w:p>
        </w:tc>
        <w:tc>
          <w:tcPr>
            <w:tcW w:w="368" w:type="pct"/>
            <w:noWrap w:val="0"/>
            <w:vAlign w:val="center"/>
          </w:tcPr>
          <w:p w14:paraId="6EDC79C9">
            <w:pPr>
              <w:pStyle w:val="182"/>
              <w:rPr>
                <w:color w:val="auto"/>
              </w:rPr>
            </w:pPr>
            <w:r>
              <w:rPr>
                <w:color w:val="auto"/>
              </w:rPr>
              <w:t>危险废物</w:t>
            </w:r>
          </w:p>
        </w:tc>
        <w:tc>
          <w:tcPr>
            <w:tcW w:w="262" w:type="pct"/>
            <w:noWrap w:val="0"/>
            <w:vAlign w:val="center"/>
          </w:tcPr>
          <w:p w14:paraId="09184190">
            <w:pPr>
              <w:pStyle w:val="182"/>
              <w:rPr>
                <w:color w:val="auto"/>
              </w:rPr>
            </w:pPr>
            <w:r>
              <w:rPr>
                <w:color w:val="auto"/>
              </w:rPr>
              <w:t>固态</w:t>
            </w:r>
          </w:p>
        </w:tc>
        <w:tc>
          <w:tcPr>
            <w:tcW w:w="421" w:type="pct"/>
            <w:noWrap w:val="0"/>
            <w:vAlign w:val="center"/>
          </w:tcPr>
          <w:p w14:paraId="6AA75FA1">
            <w:pPr>
              <w:pStyle w:val="182"/>
              <w:rPr>
                <w:color w:val="auto"/>
              </w:rPr>
            </w:pPr>
            <w:r>
              <w:rPr>
                <w:color w:val="auto"/>
              </w:rPr>
              <w:t>废钒钛系催化剂</w:t>
            </w:r>
          </w:p>
        </w:tc>
        <w:tc>
          <w:tcPr>
            <w:tcW w:w="367" w:type="pct"/>
            <w:noWrap w:val="0"/>
            <w:vAlign w:val="center"/>
          </w:tcPr>
          <w:p w14:paraId="2303274B">
            <w:pPr>
              <w:pStyle w:val="182"/>
              <w:rPr>
                <w:color w:val="auto"/>
              </w:rPr>
            </w:pPr>
            <w:r>
              <w:rPr>
                <w:color w:val="auto"/>
              </w:rPr>
              <w:t>废钒钛系催化剂</w:t>
            </w:r>
          </w:p>
        </w:tc>
        <w:tc>
          <w:tcPr>
            <w:tcW w:w="275" w:type="pct"/>
            <w:noWrap w:val="0"/>
            <w:vAlign w:val="center"/>
          </w:tcPr>
          <w:p w14:paraId="46376111">
            <w:pPr>
              <w:pStyle w:val="182"/>
              <w:rPr>
                <w:color w:val="auto"/>
              </w:rPr>
            </w:pPr>
            <w:r>
              <w:rPr>
                <w:color w:val="auto"/>
              </w:rPr>
              <w:t>2a</w:t>
            </w:r>
          </w:p>
        </w:tc>
        <w:tc>
          <w:tcPr>
            <w:tcW w:w="231" w:type="pct"/>
            <w:noWrap w:val="0"/>
            <w:vAlign w:val="center"/>
          </w:tcPr>
          <w:p w14:paraId="097E4280">
            <w:pPr>
              <w:pStyle w:val="182"/>
              <w:rPr>
                <w:color w:val="auto"/>
              </w:rPr>
            </w:pPr>
            <w:r>
              <w:rPr>
                <w:color w:val="auto"/>
              </w:rPr>
              <w:t>T</w:t>
            </w:r>
          </w:p>
        </w:tc>
        <w:tc>
          <w:tcPr>
            <w:tcW w:w="807" w:type="pct"/>
            <w:noWrap w:val="0"/>
            <w:vAlign w:val="center"/>
          </w:tcPr>
          <w:p w14:paraId="6FBAEB2C">
            <w:pPr>
              <w:pStyle w:val="182"/>
              <w:rPr>
                <w:color w:val="auto"/>
              </w:rPr>
            </w:pPr>
            <w:r>
              <w:rPr>
                <w:color w:val="auto"/>
              </w:rPr>
              <w:t>危废暂存间贮存，定期交</w:t>
            </w:r>
            <w:r>
              <w:rPr>
                <w:rFonts w:hint="eastAsia"/>
                <w:color w:val="auto"/>
              </w:rPr>
              <w:t>有相关危险废物处理资质的单位处置</w:t>
            </w:r>
          </w:p>
        </w:tc>
      </w:tr>
      <w:tr w14:paraId="351E77C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8" w:hRule="atLeast"/>
          <w:jc w:val="center"/>
        </w:trPr>
        <w:tc>
          <w:tcPr>
            <w:tcW w:w="431" w:type="pct"/>
            <w:noWrap w:val="0"/>
            <w:vAlign w:val="center"/>
          </w:tcPr>
          <w:p w14:paraId="30589876">
            <w:pPr>
              <w:pStyle w:val="182"/>
              <w:rPr>
                <w:color w:val="auto"/>
              </w:rPr>
            </w:pPr>
            <w:r>
              <w:rPr>
                <w:color w:val="auto"/>
              </w:rPr>
              <w:t>污水处理</w:t>
            </w:r>
          </w:p>
        </w:tc>
        <w:tc>
          <w:tcPr>
            <w:tcW w:w="474" w:type="pct"/>
            <w:noWrap w:val="0"/>
            <w:vAlign w:val="center"/>
          </w:tcPr>
          <w:p w14:paraId="30ABC3AC">
            <w:pPr>
              <w:pStyle w:val="182"/>
              <w:rPr>
                <w:color w:val="auto"/>
              </w:rPr>
            </w:pPr>
            <w:r>
              <w:rPr>
                <w:color w:val="auto"/>
              </w:rPr>
              <w:t>污水站污泥</w:t>
            </w:r>
          </w:p>
        </w:tc>
        <w:tc>
          <w:tcPr>
            <w:tcW w:w="419" w:type="pct"/>
            <w:noWrap w:val="0"/>
            <w:vAlign w:val="center"/>
          </w:tcPr>
          <w:p w14:paraId="1A4F47C1">
            <w:pPr>
              <w:pStyle w:val="182"/>
              <w:rPr>
                <w:rFonts w:hint="default" w:eastAsia="宋体"/>
                <w:b/>
                <w:bCs/>
                <w:color w:val="auto"/>
                <w:u w:val="single"/>
                <w:lang w:val="en-US" w:eastAsia="zh-CN"/>
              </w:rPr>
            </w:pPr>
            <w:r>
              <w:rPr>
                <w:rFonts w:hint="eastAsia"/>
                <w:b/>
                <w:bCs/>
                <w:color w:val="auto"/>
                <w:u w:val="single"/>
                <w:lang w:val="en-US" w:eastAsia="zh-CN"/>
              </w:rPr>
              <w:t>SW污泥</w:t>
            </w:r>
          </w:p>
        </w:tc>
        <w:tc>
          <w:tcPr>
            <w:tcW w:w="577" w:type="pct"/>
            <w:noWrap w:val="0"/>
            <w:vAlign w:val="center"/>
          </w:tcPr>
          <w:p w14:paraId="4F0CA474">
            <w:pPr>
              <w:pStyle w:val="182"/>
              <w:rPr>
                <w:b/>
                <w:bCs/>
                <w:color w:val="auto"/>
                <w:u w:val="single"/>
              </w:rPr>
            </w:pPr>
            <w:r>
              <w:rPr>
                <w:rFonts w:hint="eastAsia"/>
                <w:b/>
                <w:bCs/>
                <w:color w:val="auto"/>
                <w:u w:val="single"/>
              </w:rPr>
              <w:t>900-099-S07</w:t>
            </w:r>
          </w:p>
        </w:tc>
        <w:tc>
          <w:tcPr>
            <w:tcW w:w="368" w:type="pct"/>
            <w:noWrap w:val="0"/>
            <w:vAlign w:val="center"/>
          </w:tcPr>
          <w:p w14:paraId="1B8C1195">
            <w:pPr>
              <w:pStyle w:val="182"/>
              <w:rPr>
                <w:color w:val="auto"/>
              </w:rPr>
            </w:pPr>
            <w:r>
              <w:rPr>
                <w:color w:val="auto"/>
              </w:rPr>
              <w:t>4590</w:t>
            </w:r>
          </w:p>
        </w:tc>
        <w:tc>
          <w:tcPr>
            <w:tcW w:w="368" w:type="pct"/>
            <w:noWrap w:val="0"/>
            <w:vAlign w:val="center"/>
          </w:tcPr>
          <w:p w14:paraId="22ACAFCB">
            <w:pPr>
              <w:pStyle w:val="182"/>
              <w:rPr>
                <w:color w:val="auto"/>
              </w:rPr>
            </w:pPr>
            <w:r>
              <w:rPr>
                <w:color w:val="auto"/>
              </w:rPr>
              <w:t>一般固废</w:t>
            </w:r>
          </w:p>
        </w:tc>
        <w:tc>
          <w:tcPr>
            <w:tcW w:w="262" w:type="pct"/>
            <w:noWrap w:val="0"/>
            <w:vAlign w:val="center"/>
          </w:tcPr>
          <w:p w14:paraId="15746E7A">
            <w:pPr>
              <w:pStyle w:val="182"/>
              <w:rPr>
                <w:color w:val="auto"/>
              </w:rPr>
            </w:pPr>
            <w:r>
              <w:rPr>
                <w:color w:val="auto"/>
              </w:rPr>
              <w:t>固态</w:t>
            </w:r>
          </w:p>
        </w:tc>
        <w:tc>
          <w:tcPr>
            <w:tcW w:w="421" w:type="pct"/>
            <w:noWrap w:val="0"/>
            <w:vAlign w:val="center"/>
          </w:tcPr>
          <w:p w14:paraId="60C15677">
            <w:pPr>
              <w:pStyle w:val="182"/>
              <w:rPr>
                <w:color w:val="auto"/>
              </w:rPr>
            </w:pPr>
            <w:r>
              <w:rPr>
                <w:color w:val="auto"/>
              </w:rPr>
              <w:t>污泥</w:t>
            </w:r>
          </w:p>
        </w:tc>
        <w:tc>
          <w:tcPr>
            <w:tcW w:w="367" w:type="pct"/>
            <w:noWrap w:val="0"/>
            <w:vAlign w:val="center"/>
          </w:tcPr>
          <w:p w14:paraId="1A67433D">
            <w:pPr>
              <w:pStyle w:val="182"/>
              <w:rPr>
                <w:color w:val="auto"/>
              </w:rPr>
            </w:pPr>
            <w:r>
              <w:rPr>
                <w:color w:val="auto"/>
              </w:rPr>
              <w:t>/</w:t>
            </w:r>
          </w:p>
        </w:tc>
        <w:tc>
          <w:tcPr>
            <w:tcW w:w="275" w:type="pct"/>
            <w:noWrap w:val="0"/>
            <w:vAlign w:val="center"/>
          </w:tcPr>
          <w:p w14:paraId="4AECDE20">
            <w:pPr>
              <w:pStyle w:val="182"/>
              <w:rPr>
                <w:color w:val="auto"/>
              </w:rPr>
            </w:pPr>
            <w:r>
              <w:rPr>
                <w:color w:val="auto"/>
              </w:rPr>
              <w:t>7d</w:t>
            </w:r>
          </w:p>
        </w:tc>
        <w:tc>
          <w:tcPr>
            <w:tcW w:w="231" w:type="pct"/>
            <w:noWrap w:val="0"/>
            <w:vAlign w:val="center"/>
          </w:tcPr>
          <w:p w14:paraId="3D35D9D9">
            <w:pPr>
              <w:pStyle w:val="182"/>
              <w:rPr>
                <w:color w:val="auto"/>
              </w:rPr>
            </w:pPr>
            <w:r>
              <w:rPr>
                <w:color w:val="auto"/>
              </w:rPr>
              <w:t>/</w:t>
            </w:r>
          </w:p>
        </w:tc>
        <w:tc>
          <w:tcPr>
            <w:tcW w:w="807" w:type="pct"/>
            <w:noWrap w:val="0"/>
            <w:vAlign w:val="center"/>
          </w:tcPr>
          <w:p w14:paraId="00EC7269">
            <w:pPr>
              <w:pStyle w:val="182"/>
              <w:rPr>
                <w:color w:val="auto"/>
              </w:rPr>
            </w:pPr>
            <w:r>
              <w:rPr>
                <w:rFonts w:hint="eastAsia" w:ascii="Times New Roman" w:hAnsi="Times New Roman" w:eastAsia="宋体" w:cs="Times New Roman"/>
                <w:b w:val="0"/>
                <w:bCs w:val="0"/>
                <w:sz w:val="21"/>
                <w:szCs w:val="18"/>
                <w:u w:val="none"/>
                <w:lang w:val="en-US" w:eastAsia="zh-CN"/>
              </w:rPr>
              <w:t>原环评批复处理方式为送到垃圾填埋场处置，由于垃圾填埋场封场，后送入建材厂综合利用，近期由于建材厂产能大量萎缩，无法满足处置要求，污泥在厂区一般固废暂存处暂存。目前新乡化纤股份有限公司与山西晟鼎再生资源有限公司签订污泥处置协议，现有工程污泥全权交由该公司进行处置（协议见附件11）。</w:t>
            </w:r>
          </w:p>
        </w:tc>
      </w:tr>
      <w:tr w14:paraId="6F3C81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8" w:hRule="atLeast"/>
          <w:jc w:val="center"/>
        </w:trPr>
        <w:tc>
          <w:tcPr>
            <w:tcW w:w="431" w:type="pct"/>
            <w:noWrap w:val="0"/>
            <w:vAlign w:val="center"/>
          </w:tcPr>
          <w:p w14:paraId="3C1733D4">
            <w:pPr>
              <w:pStyle w:val="182"/>
              <w:rPr>
                <w:color w:val="auto"/>
              </w:rPr>
            </w:pPr>
            <w:r>
              <w:rPr>
                <w:color w:val="auto"/>
              </w:rPr>
              <w:t>锅炉</w:t>
            </w:r>
          </w:p>
        </w:tc>
        <w:tc>
          <w:tcPr>
            <w:tcW w:w="474" w:type="pct"/>
            <w:noWrap w:val="0"/>
            <w:vAlign w:val="center"/>
          </w:tcPr>
          <w:p w14:paraId="6A420872">
            <w:pPr>
              <w:pStyle w:val="182"/>
              <w:rPr>
                <w:color w:val="auto"/>
              </w:rPr>
            </w:pPr>
            <w:r>
              <w:rPr>
                <w:color w:val="auto"/>
              </w:rPr>
              <w:t>灰渣</w:t>
            </w:r>
          </w:p>
        </w:tc>
        <w:tc>
          <w:tcPr>
            <w:tcW w:w="419" w:type="pct"/>
            <w:noWrap w:val="0"/>
            <w:vAlign w:val="center"/>
          </w:tcPr>
          <w:p w14:paraId="3D39C3C3">
            <w:pPr>
              <w:pStyle w:val="182"/>
              <w:rPr>
                <w:b/>
                <w:bCs/>
                <w:color w:val="auto"/>
                <w:u w:val="single"/>
              </w:rPr>
            </w:pPr>
            <w:r>
              <w:rPr>
                <w:rFonts w:hint="eastAsia"/>
                <w:b/>
                <w:bCs/>
                <w:color w:val="auto"/>
                <w:u w:val="single"/>
              </w:rPr>
              <w:t>SW03炉渣</w:t>
            </w:r>
          </w:p>
        </w:tc>
        <w:tc>
          <w:tcPr>
            <w:tcW w:w="577" w:type="pct"/>
            <w:noWrap w:val="0"/>
            <w:vAlign w:val="center"/>
          </w:tcPr>
          <w:p w14:paraId="66D2BC2A">
            <w:pPr>
              <w:pStyle w:val="182"/>
              <w:rPr>
                <w:b/>
                <w:bCs/>
                <w:color w:val="auto"/>
                <w:u w:val="single"/>
              </w:rPr>
            </w:pPr>
            <w:r>
              <w:rPr>
                <w:rFonts w:hint="eastAsia"/>
                <w:b/>
                <w:bCs/>
                <w:color w:val="auto"/>
                <w:u w:val="single"/>
                <w:lang w:val="en-US" w:eastAsia="zh-CN"/>
              </w:rPr>
              <w:t>9</w:t>
            </w:r>
            <w:r>
              <w:rPr>
                <w:rFonts w:hint="eastAsia"/>
                <w:b/>
                <w:bCs/>
                <w:color w:val="auto"/>
                <w:u w:val="single"/>
              </w:rPr>
              <w:t>00-001-S03</w:t>
            </w:r>
          </w:p>
        </w:tc>
        <w:tc>
          <w:tcPr>
            <w:tcW w:w="368" w:type="pct"/>
            <w:noWrap w:val="0"/>
            <w:vAlign w:val="center"/>
          </w:tcPr>
          <w:p w14:paraId="447C5866">
            <w:pPr>
              <w:pStyle w:val="182"/>
              <w:rPr>
                <w:color w:val="auto"/>
              </w:rPr>
            </w:pPr>
            <w:r>
              <w:rPr>
                <w:color w:val="auto"/>
              </w:rPr>
              <w:t>28890</w:t>
            </w:r>
          </w:p>
        </w:tc>
        <w:tc>
          <w:tcPr>
            <w:tcW w:w="368" w:type="pct"/>
            <w:noWrap w:val="0"/>
            <w:vAlign w:val="center"/>
          </w:tcPr>
          <w:p w14:paraId="5425ADE7">
            <w:pPr>
              <w:pStyle w:val="182"/>
              <w:rPr>
                <w:color w:val="auto"/>
              </w:rPr>
            </w:pPr>
            <w:r>
              <w:rPr>
                <w:color w:val="auto"/>
              </w:rPr>
              <w:t>一般固废</w:t>
            </w:r>
          </w:p>
        </w:tc>
        <w:tc>
          <w:tcPr>
            <w:tcW w:w="262" w:type="pct"/>
            <w:noWrap w:val="0"/>
            <w:vAlign w:val="center"/>
          </w:tcPr>
          <w:p w14:paraId="309DD203">
            <w:pPr>
              <w:pStyle w:val="182"/>
              <w:rPr>
                <w:color w:val="auto"/>
              </w:rPr>
            </w:pPr>
            <w:r>
              <w:rPr>
                <w:color w:val="auto"/>
              </w:rPr>
              <w:t>固态</w:t>
            </w:r>
          </w:p>
        </w:tc>
        <w:tc>
          <w:tcPr>
            <w:tcW w:w="421" w:type="pct"/>
            <w:noWrap w:val="0"/>
            <w:vAlign w:val="center"/>
          </w:tcPr>
          <w:p w14:paraId="24C39D8A">
            <w:pPr>
              <w:pStyle w:val="182"/>
              <w:rPr>
                <w:color w:val="auto"/>
              </w:rPr>
            </w:pPr>
            <w:r>
              <w:rPr>
                <w:color w:val="auto"/>
              </w:rPr>
              <w:t>灰渣</w:t>
            </w:r>
          </w:p>
        </w:tc>
        <w:tc>
          <w:tcPr>
            <w:tcW w:w="367" w:type="pct"/>
            <w:noWrap w:val="0"/>
            <w:vAlign w:val="center"/>
          </w:tcPr>
          <w:p w14:paraId="507B1C3F">
            <w:pPr>
              <w:pStyle w:val="182"/>
              <w:rPr>
                <w:color w:val="auto"/>
              </w:rPr>
            </w:pPr>
            <w:r>
              <w:rPr>
                <w:color w:val="auto"/>
              </w:rPr>
              <w:t>/</w:t>
            </w:r>
          </w:p>
        </w:tc>
        <w:tc>
          <w:tcPr>
            <w:tcW w:w="275" w:type="pct"/>
            <w:noWrap w:val="0"/>
            <w:vAlign w:val="center"/>
          </w:tcPr>
          <w:p w14:paraId="428C7355">
            <w:pPr>
              <w:pStyle w:val="182"/>
              <w:rPr>
                <w:color w:val="auto"/>
              </w:rPr>
            </w:pPr>
            <w:r>
              <w:rPr>
                <w:color w:val="auto"/>
              </w:rPr>
              <w:t>1d</w:t>
            </w:r>
          </w:p>
        </w:tc>
        <w:tc>
          <w:tcPr>
            <w:tcW w:w="231" w:type="pct"/>
            <w:noWrap w:val="0"/>
            <w:vAlign w:val="center"/>
          </w:tcPr>
          <w:p w14:paraId="18EDDBDD">
            <w:pPr>
              <w:pStyle w:val="182"/>
              <w:rPr>
                <w:color w:val="auto"/>
              </w:rPr>
            </w:pPr>
            <w:r>
              <w:rPr>
                <w:color w:val="auto"/>
              </w:rPr>
              <w:t>/</w:t>
            </w:r>
          </w:p>
        </w:tc>
        <w:tc>
          <w:tcPr>
            <w:tcW w:w="807" w:type="pct"/>
            <w:noWrap w:val="0"/>
            <w:vAlign w:val="center"/>
          </w:tcPr>
          <w:p w14:paraId="24D7B805">
            <w:pPr>
              <w:pStyle w:val="182"/>
              <w:rPr>
                <w:color w:val="auto"/>
              </w:rPr>
            </w:pPr>
            <w:r>
              <w:rPr>
                <w:color w:val="auto"/>
              </w:rPr>
              <w:t>作为建材出售</w:t>
            </w:r>
          </w:p>
        </w:tc>
      </w:tr>
      <w:tr w14:paraId="60AF37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80" w:hRule="atLeast"/>
          <w:jc w:val="center"/>
        </w:trPr>
        <w:tc>
          <w:tcPr>
            <w:tcW w:w="431" w:type="pct"/>
            <w:noWrap w:val="0"/>
            <w:vAlign w:val="center"/>
          </w:tcPr>
          <w:p w14:paraId="53BFBC91">
            <w:pPr>
              <w:pStyle w:val="182"/>
              <w:rPr>
                <w:color w:val="auto"/>
              </w:rPr>
            </w:pPr>
            <w:r>
              <w:rPr>
                <w:color w:val="auto"/>
              </w:rPr>
              <w:t>制氮系统</w:t>
            </w:r>
          </w:p>
        </w:tc>
        <w:tc>
          <w:tcPr>
            <w:tcW w:w="474" w:type="pct"/>
            <w:noWrap w:val="0"/>
            <w:vAlign w:val="center"/>
          </w:tcPr>
          <w:p w14:paraId="4476DE95">
            <w:pPr>
              <w:pStyle w:val="182"/>
              <w:rPr>
                <w:color w:val="auto"/>
              </w:rPr>
            </w:pPr>
            <w:r>
              <w:rPr>
                <w:color w:val="auto"/>
              </w:rPr>
              <w:t>废分子筛</w:t>
            </w:r>
          </w:p>
        </w:tc>
        <w:tc>
          <w:tcPr>
            <w:tcW w:w="419" w:type="pct"/>
            <w:noWrap w:val="0"/>
            <w:vAlign w:val="center"/>
          </w:tcPr>
          <w:p w14:paraId="240AF0F1">
            <w:pPr>
              <w:pStyle w:val="182"/>
              <w:rPr>
                <w:b/>
                <w:bCs/>
                <w:color w:val="auto"/>
                <w:u w:val="single"/>
              </w:rPr>
            </w:pPr>
            <w:r>
              <w:rPr>
                <w:rFonts w:hint="eastAsia"/>
                <w:b/>
                <w:bCs/>
                <w:color w:val="auto"/>
                <w:u w:val="single"/>
              </w:rPr>
              <w:t>SW59其他工业固体废物</w:t>
            </w:r>
          </w:p>
        </w:tc>
        <w:tc>
          <w:tcPr>
            <w:tcW w:w="577" w:type="pct"/>
            <w:noWrap w:val="0"/>
            <w:vAlign w:val="center"/>
          </w:tcPr>
          <w:p w14:paraId="41489724">
            <w:pPr>
              <w:pStyle w:val="182"/>
              <w:rPr>
                <w:b/>
                <w:bCs/>
                <w:color w:val="auto"/>
                <w:u w:val="single"/>
              </w:rPr>
            </w:pPr>
            <w:r>
              <w:rPr>
                <w:rFonts w:hint="eastAsia"/>
                <w:b/>
                <w:bCs/>
                <w:color w:val="auto"/>
                <w:u w:val="single"/>
              </w:rPr>
              <w:t>900-005-S59</w:t>
            </w:r>
          </w:p>
        </w:tc>
        <w:tc>
          <w:tcPr>
            <w:tcW w:w="368" w:type="pct"/>
            <w:noWrap w:val="0"/>
            <w:vAlign w:val="center"/>
          </w:tcPr>
          <w:p w14:paraId="13C8D8A9">
            <w:pPr>
              <w:pStyle w:val="182"/>
              <w:rPr>
                <w:color w:val="auto"/>
              </w:rPr>
            </w:pPr>
            <w:r>
              <w:rPr>
                <w:rFonts w:hint="eastAsia"/>
                <w:color w:val="auto"/>
                <w:lang w:val="en-US" w:eastAsia="zh-CN"/>
              </w:rPr>
              <w:t>3.8</w:t>
            </w:r>
            <w:r>
              <w:rPr>
                <w:color w:val="auto"/>
              </w:rPr>
              <w:t>t</w:t>
            </w:r>
            <w:r>
              <w:rPr>
                <w:rFonts w:hint="eastAsia"/>
                <w:color w:val="auto"/>
              </w:rPr>
              <w:t>/</w:t>
            </w:r>
            <w:r>
              <w:rPr>
                <w:color w:val="auto"/>
              </w:rPr>
              <w:t>每5年</w:t>
            </w:r>
          </w:p>
        </w:tc>
        <w:tc>
          <w:tcPr>
            <w:tcW w:w="368" w:type="pct"/>
            <w:noWrap w:val="0"/>
            <w:vAlign w:val="center"/>
          </w:tcPr>
          <w:p w14:paraId="1E63234A">
            <w:pPr>
              <w:pStyle w:val="182"/>
              <w:rPr>
                <w:color w:val="auto"/>
              </w:rPr>
            </w:pPr>
            <w:r>
              <w:rPr>
                <w:color w:val="auto"/>
              </w:rPr>
              <w:t>一般固废</w:t>
            </w:r>
          </w:p>
        </w:tc>
        <w:tc>
          <w:tcPr>
            <w:tcW w:w="262" w:type="pct"/>
            <w:noWrap w:val="0"/>
            <w:vAlign w:val="center"/>
          </w:tcPr>
          <w:p w14:paraId="24723C93">
            <w:pPr>
              <w:pStyle w:val="182"/>
              <w:rPr>
                <w:color w:val="auto"/>
              </w:rPr>
            </w:pPr>
            <w:r>
              <w:rPr>
                <w:color w:val="auto"/>
              </w:rPr>
              <w:t>固态</w:t>
            </w:r>
          </w:p>
        </w:tc>
        <w:tc>
          <w:tcPr>
            <w:tcW w:w="421" w:type="pct"/>
            <w:noWrap w:val="0"/>
            <w:vAlign w:val="center"/>
          </w:tcPr>
          <w:p w14:paraId="4F65624B">
            <w:pPr>
              <w:pStyle w:val="182"/>
              <w:rPr>
                <w:color w:val="auto"/>
              </w:rPr>
            </w:pPr>
            <w:r>
              <w:rPr>
                <w:color w:val="auto"/>
              </w:rPr>
              <w:t>/</w:t>
            </w:r>
          </w:p>
        </w:tc>
        <w:tc>
          <w:tcPr>
            <w:tcW w:w="367" w:type="pct"/>
            <w:noWrap w:val="0"/>
            <w:vAlign w:val="center"/>
          </w:tcPr>
          <w:p w14:paraId="7EC24D71">
            <w:pPr>
              <w:pStyle w:val="182"/>
              <w:rPr>
                <w:color w:val="auto"/>
              </w:rPr>
            </w:pPr>
            <w:r>
              <w:rPr>
                <w:color w:val="auto"/>
              </w:rPr>
              <w:t>/</w:t>
            </w:r>
          </w:p>
        </w:tc>
        <w:tc>
          <w:tcPr>
            <w:tcW w:w="275" w:type="pct"/>
            <w:noWrap w:val="0"/>
            <w:vAlign w:val="center"/>
          </w:tcPr>
          <w:p w14:paraId="16E9A34F">
            <w:pPr>
              <w:pStyle w:val="182"/>
              <w:rPr>
                <w:color w:val="auto"/>
              </w:rPr>
            </w:pPr>
            <w:r>
              <w:rPr>
                <w:color w:val="auto"/>
              </w:rPr>
              <w:t>/</w:t>
            </w:r>
          </w:p>
        </w:tc>
        <w:tc>
          <w:tcPr>
            <w:tcW w:w="231" w:type="pct"/>
            <w:noWrap w:val="0"/>
            <w:vAlign w:val="center"/>
          </w:tcPr>
          <w:p w14:paraId="41DF78D5">
            <w:pPr>
              <w:pStyle w:val="182"/>
              <w:rPr>
                <w:color w:val="auto"/>
              </w:rPr>
            </w:pPr>
            <w:r>
              <w:rPr>
                <w:color w:val="auto"/>
              </w:rPr>
              <w:t>/</w:t>
            </w:r>
          </w:p>
        </w:tc>
        <w:tc>
          <w:tcPr>
            <w:tcW w:w="807" w:type="pct"/>
            <w:noWrap w:val="0"/>
            <w:vAlign w:val="center"/>
          </w:tcPr>
          <w:p w14:paraId="63849431">
            <w:pPr>
              <w:pStyle w:val="182"/>
              <w:rPr>
                <w:color w:val="auto"/>
              </w:rPr>
            </w:pPr>
            <w:r>
              <w:rPr>
                <w:color w:val="auto"/>
              </w:rPr>
              <w:t>由生产厂家回收</w:t>
            </w:r>
          </w:p>
        </w:tc>
      </w:tr>
      <w:tr w14:paraId="5241A6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7" w:hRule="atLeast"/>
          <w:jc w:val="center"/>
        </w:trPr>
        <w:tc>
          <w:tcPr>
            <w:tcW w:w="431" w:type="pct"/>
            <w:noWrap w:val="0"/>
            <w:vAlign w:val="center"/>
          </w:tcPr>
          <w:p w14:paraId="4974F43C">
            <w:pPr>
              <w:pStyle w:val="182"/>
              <w:rPr>
                <w:color w:val="auto"/>
              </w:rPr>
            </w:pPr>
            <w:r>
              <w:rPr>
                <w:color w:val="auto"/>
              </w:rPr>
              <w:t>长丝生产</w:t>
            </w:r>
          </w:p>
        </w:tc>
        <w:tc>
          <w:tcPr>
            <w:tcW w:w="474" w:type="pct"/>
            <w:noWrap w:val="0"/>
            <w:vAlign w:val="center"/>
          </w:tcPr>
          <w:p w14:paraId="3D461A00">
            <w:pPr>
              <w:pStyle w:val="182"/>
              <w:rPr>
                <w:color w:val="auto"/>
              </w:rPr>
            </w:pPr>
            <w:r>
              <w:rPr>
                <w:color w:val="auto"/>
              </w:rPr>
              <w:t>废丝</w:t>
            </w:r>
          </w:p>
        </w:tc>
        <w:tc>
          <w:tcPr>
            <w:tcW w:w="419" w:type="pct"/>
            <w:noWrap w:val="0"/>
            <w:vAlign w:val="center"/>
          </w:tcPr>
          <w:p w14:paraId="157DED92">
            <w:pPr>
              <w:pStyle w:val="182"/>
              <w:rPr>
                <w:b/>
                <w:bCs/>
                <w:color w:val="auto"/>
                <w:u w:val="single"/>
              </w:rPr>
            </w:pPr>
            <w:r>
              <w:rPr>
                <w:rFonts w:hint="eastAsia"/>
                <w:b/>
                <w:bCs/>
                <w:color w:val="auto"/>
                <w:u w:val="single"/>
                <w:lang w:val="en-US" w:eastAsia="zh-CN"/>
              </w:rPr>
              <w:t>S</w:t>
            </w:r>
            <w:r>
              <w:rPr>
                <w:rFonts w:hint="eastAsia"/>
                <w:b/>
                <w:bCs/>
                <w:color w:val="auto"/>
                <w:u w:val="single"/>
              </w:rPr>
              <w:t>W14纺织皮革业废物</w:t>
            </w:r>
          </w:p>
        </w:tc>
        <w:tc>
          <w:tcPr>
            <w:tcW w:w="577" w:type="pct"/>
            <w:noWrap w:val="0"/>
            <w:vAlign w:val="center"/>
          </w:tcPr>
          <w:p w14:paraId="4FF99B55">
            <w:pPr>
              <w:pStyle w:val="182"/>
              <w:rPr>
                <w:b/>
                <w:bCs/>
                <w:color w:val="auto"/>
                <w:u w:val="single"/>
              </w:rPr>
            </w:pPr>
            <w:r>
              <w:rPr>
                <w:rFonts w:hint="eastAsia"/>
                <w:b/>
                <w:bCs/>
                <w:color w:val="auto"/>
                <w:u w:val="single"/>
              </w:rPr>
              <w:t>181-001-S14</w:t>
            </w:r>
          </w:p>
        </w:tc>
        <w:tc>
          <w:tcPr>
            <w:tcW w:w="368" w:type="pct"/>
            <w:noWrap w:val="0"/>
            <w:vAlign w:val="center"/>
          </w:tcPr>
          <w:p w14:paraId="41C1F457">
            <w:pPr>
              <w:pStyle w:val="182"/>
              <w:rPr>
                <w:rFonts w:hint="default" w:eastAsia="宋体"/>
                <w:color w:val="auto"/>
                <w:lang w:val="en-US" w:eastAsia="zh-CN"/>
              </w:rPr>
            </w:pPr>
            <w:r>
              <w:rPr>
                <w:rFonts w:hint="eastAsia"/>
                <w:color w:val="auto"/>
                <w:lang w:val="en-US" w:eastAsia="zh-CN"/>
              </w:rPr>
              <w:t>970</w:t>
            </w:r>
          </w:p>
        </w:tc>
        <w:tc>
          <w:tcPr>
            <w:tcW w:w="368" w:type="pct"/>
            <w:noWrap w:val="0"/>
            <w:vAlign w:val="center"/>
          </w:tcPr>
          <w:p w14:paraId="7349B030">
            <w:pPr>
              <w:pStyle w:val="182"/>
              <w:rPr>
                <w:color w:val="auto"/>
              </w:rPr>
            </w:pPr>
            <w:r>
              <w:rPr>
                <w:color w:val="auto"/>
              </w:rPr>
              <w:t>一般固废</w:t>
            </w:r>
          </w:p>
        </w:tc>
        <w:tc>
          <w:tcPr>
            <w:tcW w:w="262" w:type="pct"/>
            <w:noWrap w:val="0"/>
            <w:vAlign w:val="center"/>
          </w:tcPr>
          <w:p w14:paraId="33C1AC0D">
            <w:pPr>
              <w:pStyle w:val="182"/>
              <w:rPr>
                <w:color w:val="auto"/>
              </w:rPr>
            </w:pPr>
            <w:r>
              <w:rPr>
                <w:color w:val="auto"/>
              </w:rPr>
              <w:t>固态</w:t>
            </w:r>
          </w:p>
        </w:tc>
        <w:tc>
          <w:tcPr>
            <w:tcW w:w="421" w:type="pct"/>
            <w:noWrap w:val="0"/>
            <w:vAlign w:val="center"/>
          </w:tcPr>
          <w:p w14:paraId="4F9CA690">
            <w:pPr>
              <w:pStyle w:val="182"/>
              <w:rPr>
                <w:color w:val="auto"/>
              </w:rPr>
            </w:pPr>
            <w:r>
              <w:rPr>
                <w:color w:val="auto"/>
              </w:rPr>
              <w:t>/</w:t>
            </w:r>
          </w:p>
        </w:tc>
        <w:tc>
          <w:tcPr>
            <w:tcW w:w="367" w:type="pct"/>
            <w:noWrap w:val="0"/>
            <w:vAlign w:val="center"/>
          </w:tcPr>
          <w:p w14:paraId="75DAE94C">
            <w:pPr>
              <w:pStyle w:val="182"/>
              <w:rPr>
                <w:color w:val="auto"/>
              </w:rPr>
            </w:pPr>
            <w:r>
              <w:rPr>
                <w:color w:val="auto"/>
              </w:rPr>
              <w:t>/</w:t>
            </w:r>
          </w:p>
        </w:tc>
        <w:tc>
          <w:tcPr>
            <w:tcW w:w="275" w:type="pct"/>
            <w:noWrap w:val="0"/>
            <w:vAlign w:val="center"/>
          </w:tcPr>
          <w:p w14:paraId="08D687B5">
            <w:pPr>
              <w:pStyle w:val="182"/>
              <w:rPr>
                <w:color w:val="auto"/>
              </w:rPr>
            </w:pPr>
            <w:r>
              <w:rPr>
                <w:color w:val="auto"/>
              </w:rPr>
              <w:t>/</w:t>
            </w:r>
          </w:p>
        </w:tc>
        <w:tc>
          <w:tcPr>
            <w:tcW w:w="231" w:type="pct"/>
            <w:noWrap w:val="0"/>
            <w:vAlign w:val="center"/>
          </w:tcPr>
          <w:p w14:paraId="45E84C5E">
            <w:pPr>
              <w:pStyle w:val="182"/>
              <w:rPr>
                <w:color w:val="auto"/>
              </w:rPr>
            </w:pPr>
            <w:r>
              <w:rPr>
                <w:color w:val="auto"/>
              </w:rPr>
              <w:t>/</w:t>
            </w:r>
          </w:p>
        </w:tc>
        <w:tc>
          <w:tcPr>
            <w:tcW w:w="807" w:type="pct"/>
            <w:noWrap w:val="0"/>
            <w:vAlign w:val="center"/>
          </w:tcPr>
          <w:p w14:paraId="3727E4AF">
            <w:pPr>
              <w:pStyle w:val="182"/>
              <w:rPr>
                <w:color w:val="auto"/>
              </w:rPr>
            </w:pPr>
            <w:r>
              <w:rPr>
                <w:color w:val="auto"/>
              </w:rPr>
              <w:t>直接出售</w:t>
            </w:r>
          </w:p>
        </w:tc>
      </w:tr>
      <w:tr w14:paraId="0A15BA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2" w:hRule="atLeast"/>
          <w:jc w:val="center"/>
        </w:trPr>
        <w:tc>
          <w:tcPr>
            <w:tcW w:w="431" w:type="pct"/>
            <w:noWrap w:val="0"/>
            <w:vAlign w:val="center"/>
          </w:tcPr>
          <w:p w14:paraId="5F1F2F70">
            <w:pPr>
              <w:pStyle w:val="182"/>
              <w:rPr>
                <w:color w:val="auto"/>
              </w:rPr>
            </w:pPr>
            <w:r>
              <w:rPr>
                <w:color w:val="auto"/>
              </w:rPr>
              <w:t>氨纶生产</w:t>
            </w:r>
          </w:p>
        </w:tc>
        <w:tc>
          <w:tcPr>
            <w:tcW w:w="474" w:type="pct"/>
            <w:noWrap w:val="0"/>
            <w:vAlign w:val="center"/>
          </w:tcPr>
          <w:p w14:paraId="19E531A4">
            <w:pPr>
              <w:pStyle w:val="182"/>
              <w:rPr>
                <w:color w:val="auto"/>
              </w:rPr>
            </w:pPr>
            <w:r>
              <w:rPr>
                <w:color w:val="auto"/>
              </w:rPr>
              <w:t>废丝</w:t>
            </w:r>
          </w:p>
        </w:tc>
        <w:tc>
          <w:tcPr>
            <w:tcW w:w="1114" w:type="dxa"/>
            <w:noWrap w:val="0"/>
            <w:vAlign w:val="center"/>
          </w:tcPr>
          <w:p w14:paraId="6063D88E">
            <w:pPr>
              <w:pStyle w:val="182"/>
              <w:ind w:firstLine="0" w:firstLineChars="0"/>
              <w:rPr>
                <w:b/>
                <w:bCs/>
                <w:color w:val="auto"/>
                <w:u w:val="single"/>
              </w:rPr>
            </w:pPr>
            <w:r>
              <w:rPr>
                <w:rFonts w:hint="eastAsia"/>
                <w:b/>
                <w:bCs/>
                <w:color w:val="auto"/>
                <w:u w:val="single"/>
                <w:lang w:val="en-US" w:eastAsia="zh-CN"/>
              </w:rPr>
              <w:t>S</w:t>
            </w:r>
            <w:r>
              <w:rPr>
                <w:rFonts w:hint="eastAsia"/>
                <w:b/>
                <w:bCs/>
                <w:color w:val="auto"/>
                <w:u w:val="single"/>
              </w:rPr>
              <w:t>W14纺织皮革业废物</w:t>
            </w:r>
          </w:p>
        </w:tc>
        <w:tc>
          <w:tcPr>
            <w:tcW w:w="1534" w:type="dxa"/>
            <w:noWrap w:val="0"/>
            <w:vAlign w:val="center"/>
          </w:tcPr>
          <w:p w14:paraId="08286922">
            <w:pPr>
              <w:pStyle w:val="182"/>
              <w:ind w:firstLine="0" w:firstLineChars="0"/>
              <w:rPr>
                <w:b/>
                <w:bCs/>
                <w:color w:val="auto"/>
                <w:u w:val="single"/>
              </w:rPr>
            </w:pPr>
            <w:r>
              <w:rPr>
                <w:rFonts w:hint="eastAsia"/>
                <w:b/>
                <w:bCs/>
                <w:color w:val="auto"/>
                <w:u w:val="single"/>
              </w:rPr>
              <w:t>181-001-S14</w:t>
            </w:r>
          </w:p>
        </w:tc>
        <w:tc>
          <w:tcPr>
            <w:tcW w:w="368" w:type="pct"/>
            <w:noWrap w:val="0"/>
            <w:vAlign w:val="center"/>
          </w:tcPr>
          <w:p w14:paraId="7D336633">
            <w:pPr>
              <w:pStyle w:val="182"/>
              <w:rPr>
                <w:color w:val="auto"/>
              </w:rPr>
            </w:pPr>
            <w:r>
              <w:rPr>
                <w:rFonts w:hint="eastAsia"/>
                <w:color w:val="auto"/>
                <w:lang w:val="en-US" w:eastAsia="zh-CN"/>
              </w:rPr>
              <w:t>1708.8</w:t>
            </w:r>
          </w:p>
        </w:tc>
        <w:tc>
          <w:tcPr>
            <w:tcW w:w="368" w:type="pct"/>
            <w:noWrap w:val="0"/>
            <w:vAlign w:val="center"/>
          </w:tcPr>
          <w:p w14:paraId="481B28FF">
            <w:pPr>
              <w:pStyle w:val="182"/>
              <w:rPr>
                <w:color w:val="auto"/>
              </w:rPr>
            </w:pPr>
            <w:r>
              <w:rPr>
                <w:color w:val="auto"/>
              </w:rPr>
              <w:t>一般固废</w:t>
            </w:r>
          </w:p>
        </w:tc>
        <w:tc>
          <w:tcPr>
            <w:tcW w:w="262" w:type="pct"/>
            <w:noWrap w:val="0"/>
            <w:vAlign w:val="center"/>
          </w:tcPr>
          <w:p w14:paraId="08A3E6F5">
            <w:pPr>
              <w:pStyle w:val="182"/>
              <w:rPr>
                <w:color w:val="auto"/>
              </w:rPr>
            </w:pPr>
            <w:r>
              <w:rPr>
                <w:color w:val="auto"/>
              </w:rPr>
              <w:t>固态</w:t>
            </w:r>
          </w:p>
        </w:tc>
        <w:tc>
          <w:tcPr>
            <w:tcW w:w="421" w:type="pct"/>
            <w:noWrap w:val="0"/>
            <w:vAlign w:val="center"/>
          </w:tcPr>
          <w:p w14:paraId="04592EB5">
            <w:pPr>
              <w:pStyle w:val="182"/>
              <w:rPr>
                <w:color w:val="auto"/>
              </w:rPr>
            </w:pPr>
            <w:r>
              <w:rPr>
                <w:color w:val="auto"/>
              </w:rPr>
              <w:t>/</w:t>
            </w:r>
          </w:p>
        </w:tc>
        <w:tc>
          <w:tcPr>
            <w:tcW w:w="367" w:type="pct"/>
            <w:noWrap w:val="0"/>
            <w:vAlign w:val="center"/>
          </w:tcPr>
          <w:p w14:paraId="49D05377">
            <w:pPr>
              <w:pStyle w:val="182"/>
              <w:rPr>
                <w:color w:val="auto"/>
              </w:rPr>
            </w:pPr>
            <w:r>
              <w:rPr>
                <w:color w:val="auto"/>
              </w:rPr>
              <w:t>/</w:t>
            </w:r>
          </w:p>
        </w:tc>
        <w:tc>
          <w:tcPr>
            <w:tcW w:w="275" w:type="pct"/>
            <w:noWrap w:val="0"/>
            <w:vAlign w:val="center"/>
          </w:tcPr>
          <w:p w14:paraId="3C77EDD9">
            <w:pPr>
              <w:pStyle w:val="182"/>
              <w:rPr>
                <w:color w:val="auto"/>
              </w:rPr>
            </w:pPr>
            <w:r>
              <w:rPr>
                <w:color w:val="auto"/>
              </w:rPr>
              <w:t>/</w:t>
            </w:r>
          </w:p>
        </w:tc>
        <w:tc>
          <w:tcPr>
            <w:tcW w:w="231" w:type="pct"/>
            <w:noWrap w:val="0"/>
            <w:vAlign w:val="center"/>
          </w:tcPr>
          <w:p w14:paraId="0282991C">
            <w:pPr>
              <w:pStyle w:val="182"/>
              <w:rPr>
                <w:color w:val="auto"/>
              </w:rPr>
            </w:pPr>
            <w:r>
              <w:rPr>
                <w:color w:val="auto"/>
              </w:rPr>
              <w:t>/</w:t>
            </w:r>
          </w:p>
        </w:tc>
        <w:tc>
          <w:tcPr>
            <w:tcW w:w="807" w:type="pct"/>
            <w:noWrap w:val="0"/>
            <w:vAlign w:val="center"/>
          </w:tcPr>
          <w:p w14:paraId="1095E9FD">
            <w:pPr>
              <w:pStyle w:val="182"/>
              <w:rPr>
                <w:color w:val="auto"/>
              </w:rPr>
            </w:pPr>
            <w:r>
              <w:rPr>
                <w:color w:val="auto"/>
              </w:rPr>
              <w:t>作为原料生产再生氨纶</w:t>
            </w:r>
          </w:p>
        </w:tc>
      </w:tr>
      <w:tr w14:paraId="77EAD5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2" w:hRule="atLeast"/>
          <w:jc w:val="center"/>
        </w:trPr>
        <w:tc>
          <w:tcPr>
            <w:tcW w:w="431" w:type="pct"/>
            <w:noWrap w:val="0"/>
            <w:vAlign w:val="center"/>
          </w:tcPr>
          <w:p w14:paraId="55A8BA81">
            <w:pPr>
              <w:pStyle w:val="182"/>
              <w:rPr>
                <w:rFonts w:hint="eastAsia" w:eastAsia="宋体"/>
                <w:color w:val="auto"/>
                <w:lang w:eastAsia="zh-CN"/>
              </w:rPr>
            </w:pPr>
            <w:r>
              <w:rPr>
                <w:rFonts w:hint="eastAsia"/>
                <w:color w:val="auto"/>
                <w:lang w:val="en-US" w:eastAsia="zh-CN"/>
              </w:rPr>
              <w:t>组件清洗</w:t>
            </w:r>
          </w:p>
        </w:tc>
        <w:tc>
          <w:tcPr>
            <w:tcW w:w="474" w:type="pct"/>
            <w:noWrap w:val="0"/>
            <w:vAlign w:val="center"/>
          </w:tcPr>
          <w:p w14:paraId="7DE098A7">
            <w:pPr>
              <w:pStyle w:val="182"/>
              <w:rPr>
                <w:color w:val="auto"/>
              </w:rPr>
            </w:pPr>
            <w:r>
              <w:rPr>
                <w:color w:val="auto"/>
              </w:rPr>
              <w:t>废微孔滤器</w:t>
            </w:r>
          </w:p>
        </w:tc>
        <w:tc>
          <w:tcPr>
            <w:tcW w:w="419" w:type="pct"/>
            <w:noWrap w:val="0"/>
            <w:vAlign w:val="center"/>
          </w:tcPr>
          <w:p w14:paraId="7A90D143">
            <w:pPr>
              <w:pStyle w:val="182"/>
              <w:rPr>
                <w:b/>
                <w:bCs/>
                <w:color w:val="auto"/>
                <w:u w:val="single"/>
              </w:rPr>
            </w:pPr>
            <w:r>
              <w:rPr>
                <w:rFonts w:hint="eastAsia"/>
                <w:b/>
                <w:bCs/>
                <w:color w:val="auto"/>
                <w:u w:val="single"/>
              </w:rPr>
              <w:t>SW59其他工业固体废物</w:t>
            </w:r>
          </w:p>
        </w:tc>
        <w:tc>
          <w:tcPr>
            <w:tcW w:w="577" w:type="pct"/>
            <w:noWrap w:val="0"/>
            <w:vAlign w:val="center"/>
          </w:tcPr>
          <w:p w14:paraId="47AD4A28">
            <w:pPr>
              <w:pStyle w:val="182"/>
              <w:rPr>
                <w:b/>
                <w:bCs/>
                <w:color w:val="auto"/>
                <w:u w:val="single"/>
              </w:rPr>
            </w:pPr>
            <w:r>
              <w:rPr>
                <w:rFonts w:hint="eastAsia"/>
                <w:b/>
                <w:bCs/>
                <w:color w:val="auto"/>
                <w:u w:val="single"/>
              </w:rPr>
              <w:t>900-009-S59</w:t>
            </w:r>
          </w:p>
        </w:tc>
        <w:tc>
          <w:tcPr>
            <w:tcW w:w="368" w:type="pct"/>
            <w:noWrap w:val="0"/>
            <w:vAlign w:val="center"/>
          </w:tcPr>
          <w:p w14:paraId="3349E6EE">
            <w:pPr>
              <w:pStyle w:val="182"/>
              <w:rPr>
                <w:rFonts w:hint="default" w:eastAsia="宋体"/>
                <w:color w:val="auto"/>
                <w:lang w:val="en-US" w:eastAsia="zh-CN"/>
              </w:rPr>
            </w:pPr>
            <w:r>
              <w:rPr>
                <w:rFonts w:hint="eastAsia" w:eastAsia="宋体"/>
                <w:spacing w:val="-6"/>
                <w:lang w:val="en-US" w:eastAsia="zh-CN"/>
              </w:rPr>
              <w:t>1.3</w:t>
            </w:r>
          </w:p>
        </w:tc>
        <w:tc>
          <w:tcPr>
            <w:tcW w:w="368" w:type="pct"/>
            <w:noWrap w:val="0"/>
            <w:vAlign w:val="center"/>
          </w:tcPr>
          <w:p w14:paraId="02EE26FC">
            <w:pPr>
              <w:pStyle w:val="182"/>
              <w:rPr>
                <w:color w:val="auto"/>
              </w:rPr>
            </w:pPr>
            <w:r>
              <w:rPr>
                <w:color w:val="auto"/>
              </w:rPr>
              <w:t>一般固废</w:t>
            </w:r>
          </w:p>
        </w:tc>
        <w:tc>
          <w:tcPr>
            <w:tcW w:w="262" w:type="pct"/>
            <w:noWrap w:val="0"/>
            <w:vAlign w:val="center"/>
          </w:tcPr>
          <w:p w14:paraId="62CB6E65">
            <w:pPr>
              <w:pStyle w:val="182"/>
              <w:rPr>
                <w:color w:val="auto"/>
              </w:rPr>
            </w:pPr>
            <w:r>
              <w:rPr>
                <w:color w:val="auto"/>
              </w:rPr>
              <w:t>固态</w:t>
            </w:r>
          </w:p>
        </w:tc>
        <w:tc>
          <w:tcPr>
            <w:tcW w:w="421" w:type="pct"/>
            <w:noWrap w:val="0"/>
            <w:vAlign w:val="center"/>
          </w:tcPr>
          <w:p w14:paraId="7F4BF4D4">
            <w:pPr>
              <w:pStyle w:val="182"/>
              <w:rPr>
                <w:color w:val="auto"/>
              </w:rPr>
            </w:pPr>
            <w:r>
              <w:rPr>
                <w:color w:val="auto"/>
              </w:rPr>
              <w:t>/</w:t>
            </w:r>
          </w:p>
        </w:tc>
        <w:tc>
          <w:tcPr>
            <w:tcW w:w="367" w:type="pct"/>
            <w:noWrap w:val="0"/>
            <w:vAlign w:val="center"/>
          </w:tcPr>
          <w:p w14:paraId="2B7D40DB">
            <w:pPr>
              <w:pStyle w:val="182"/>
              <w:rPr>
                <w:color w:val="auto"/>
              </w:rPr>
            </w:pPr>
            <w:r>
              <w:rPr>
                <w:color w:val="auto"/>
              </w:rPr>
              <w:t>/</w:t>
            </w:r>
          </w:p>
        </w:tc>
        <w:tc>
          <w:tcPr>
            <w:tcW w:w="275" w:type="pct"/>
            <w:noWrap w:val="0"/>
            <w:vAlign w:val="center"/>
          </w:tcPr>
          <w:p w14:paraId="7DE10C9C">
            <w:pPr>
              <w:pStyle w:val="182"/>
              <w:rPr>
                <w:color w:val="auto"/>
              </w:rPr>
            </w:pPr>
            <w:r>
              <w:rPr>
                <w:color w:val="auto"/>
              </w:rPr>
              <w:t>/</w:t>
            </w:r>
          </w:p>
        </w:tc>
        <w:tc>
          <w:tcPr>
            <w:tcW w:w="231" w:type="pct"/>
            <w:noWrap w:val="0"/>
            <w:vAlign w:val="center"/>
          </w:tcPr>
          <w:p w14:paraId="70022D2B">
            <w:pPr>
              <w:pStyle w:val="182"/>
              <w:rPr>
                <w:color w:val="auto"/>
              </w:rPr>
            </w:pPr>
            <w:r>
              <w:rPr>
                <w:color w:val="auto"/>
              </w:rPr>
              <w:t>/</w:t>
            </w:r>
          </w:p>
        </w:tc>
        <w:tc>
          <w:tcPr>
            <w:tcW w:w="807" w:type="pct"/>
            <w:noWrap w:val="0"/>
            <w:vAlign w:val="center"/>
          </w:tcPr>
          <w:p w14:paraId="0CBD8626">
            <w:pPr>
              <w:pStyle w:val="182"/>
              <w:rPr>
                <w:rFonts w:hint="default" w:eastAsia="宋体"/>
                <w:color w:val="auto"/>
                <w:lang w:val="en-US" w:eastAsia="zh-CN"/>
              </w:rPr>
            </w:pPr>
            <w:r>
              <w:rPr>
                <w:rFonts w:hint="eastAsia"/>
                <w:color w:val="auto"/>
                <w:lang w:val="en-US" w:eastAsia="zh-CN"/>
              </w:rPr>
              <w:t>原环评处置方式为</w:t>
            </w:r>
            <w:r>
              <w:rPr>
                <w:color w:val="auto"/>
              </w:rPr>
              <w:t>送往垃圾填埋场</w:t>
            </w:r>
            <w:r>
              <w:rPr>
                <w:rFonts w:hint="eastAsia"/>
                <w:color w:val="auto"/>
                <w:lang w:eastAsia="zh-CN"/>
              </w:rPr>
              <w:t>，</w:t>
            </w:r>
            <w:r>
              <w:rPr>
                <w:rFonts w:hint="eastAsia"/>
                <w:color w:val="auto"/>
                <w:lang w:val="en-US" w:eastAsia="zh-CN"/>
              </w:rPr>
              <w:t>已建项目为厂家回收处理。</w:t>
            </w:r>
          </w:p>
        </w:tc>
      </w:tr>
    </w:tbl>
    <w:p w14:paraId="6540C52C">
      <w:pPr>
        <w:adjustRightInd w:val="0"/>
        <w:snapToGrid w:val="0"/>
        <w:spacing w:line="520" w:lineRule="exact"/>
        <w:ind w:firstLine="482" w:firstLineChars="200"/>
        <w:rPr>
          <w:rFonts w:hint="eastAsia"/>
          <w:b/>
          <w:bCs/>
          <w:color w:val="auto"/>
          <w:u w:val="single"/>
          <w:lang w:val="en-US" w:eastAsia="zh-CN"/>
        </w:rPr>
      </w:pPr>
      <w:r>
        <w:rPr>
          <w:rFonts w:hint="eastAsia" w:cs="Times New Roman"/>
          <w:b/>
          <w:bCs/>
          <w:sz w:val="24"/>
          <w:u w:val="single"/>
          <w:lang w:val="en-US" w:eastAsia="zh-CN"/>
        </w:rPr>
        <w:t>一般固废：现有工程</w:t>
      </w:r>
      <w:r>
        <w:rPr>
          <w:rFonts w:hint="eastAsia" w:ascii="Times New Roman" w:hAnsi="Times New Roman" w:eastAsia="宋体" w:cs="Times New Roman"/>
          <w:b/>
          <w:bCs/>
          <w:sz w:val="24"/>
          <w:u w:val="single"/>
          <w:lang w:val="en-US" w:eastAsia="zh-CN"/>
        </w:rPr>
        <w:t>厂区内</w:t>
      </w:r>
      <w:r>
        <w:rPr>
          <w:rFonts w:hint="eastAsia" w:cs="Times New Roman"/>
          <w:b/>
          <w:bCs/>
          <w:sz w:val="24"/>
          <w:u w:val="single"/>
          <w:lang w:val="en-US" w:eastAsia="zh-CN"/>
        </w:rPr>
        <w:t>一般固废间按照</w:t>
      </w:r>
      <w:r>
        <w:rPr>
          <w:rFonts w:hint="eastAsia"/>
          <w:b/>
          <w:bCs/>
          <w:color w:val="auto"/>
          <w:u w:val="single"/>
        </w:rPr>
        <w:t>《一般工业固体废物贮存和填埋污染控制标准》（GB18599-</w:t>
      </w:r>
      <w:r>
        <w:rPr>
          <w:b/>
          <w:bCs/>
          <w:color w:val="auto"/>
          <w:u w:val="single"/>
        </w:rPr>
        <w:t>2020</w:t>
      </w:r>
      <w:r>
        <w:rPr>
          <w:rFonts w:hint="eastAsia"/>
          <w:b/>
          <w:bCs/>
          <w:color w:val="auto"/>
          <w:u w:val="single"/>
        </w:rPr>
        <w:t>）的相关要求进行建设，暂存间地面已硬化，并且有防渗、防风、防晒、防雨淋措施。</w:t>
      </w:r>
      <w:r>
        <w:rPr>
          <w:rFonts w:hint="eastAsia"/>
          <w:b/>
          <w:bCs/>
          <w:color w:val="auto"/>
          <w:u w:val="single"/>
          <w:lang w:val="en-US" w:eastAsia="zh-CN"/>
        </w:rPr>
        <w:t>一般固废定期回用或妥善处置。</w:t>
      </w:r>
    </w:p>
    <w:p w14:paraId="33DA061A">
      <w:pPr>
        <w:adjustRightInd w:val="0"/>
        <w:snapToGrid w:val="0"/>
        <w:spacing w:line="520" w:lineRule="exact"/>
        <w:ind w:firstLine="482" w:firstLineChars="200"/>
        <w:rPr>
          <w:rFonts w:hint="default" w:ascii="Times New Roman" w:hAnsi="Times New Roman" w:eastAsia="宋体" w:cs="Times New Roman"/>
          <w:b/>
          <w:bCs/>
          <w:sz w:val="24"/>
          <w:u w:val="single"/>
          <w:lang w:val="en-US" w:eastAsia="zh-CN"/>
        </w:rPr>
      </w:pPr>
      <w:r>
        <w:rPr>
          <w:rFonts w:hint="eastAsia"/>
          <w:b/>
          <w:bCs/>
          <w:color w:val="auto"/>
          <w:u w:val="single"/>
          <w:lang w:val="en-US" w:eastAsia="zh-CN"/>
        </w:rPr>
        <w:t>危险废物：</w:t>
      </w:r>
      <w:r>
        <w:rPr>
          <w:rFonts w:hint="eastAsia" w:ascii="Times New Roman" w:hAnsi="Times New Roman" w:eastAsia="宋体" w:cs="Times New Roman"/>
          <w:b/>
          <w:bCs/>
          <w:sz w:val="24"/>
          <w:u w:val="single"/>
          <w:lang w:val="en-US" w:eastAsia="zh-CN"/>
        </w:rPr>
        <w:t>现有工程厂区内危废暂存间地面已进行硬化防渗处理，并且有防风、防雨及防渗的“三防”措施；危险废物的贮存已严格按照《危险废物贮存污染控制标准》（GB 18597-2023）中相关规定进行；在危废的转移处置过程中，严格按照《中华人民共和国固体废物污染环境防治法》和《危险废物转移联单管理办法》有关规定执行。为了避免危险固废在厂区贮存过程中对环境的影响，现有工程已将其全部装入密闭容器中后临时存放于危废储存间内，定期送至有资质的危废处理单位（生产厂家）安全处置。</w:t>
      </w:r>
    </w:p>
    <w:p w14:paraId="62D964FB">
      <w:pPr>
        <w:ind w:firstLine="480"/>
        <w:sectPr>
          <w:pgSz w:w="16840" w:h="11910" w:orient="landscape"/>
          <w:pgMar w:top="1440" w:right="1800" w:bottom="1440" w:left="1800" w:header="877" w:footer="1196" w:gutter="0"/>
          <w:pgNumType w:fmt="decimal"/>
          <w:cols w:space="720" w:num="1"/>
        </w:sectPr>
      </w:pPr>
      <w:r>
        <w:rPr>
          <w:rFonts w:hint="eastAsia" w:ascii="Times New Roman" w:hAnsi="Times New Roman" w:eastAsia="宋体" w:cs="Times New Roman"/>
          <w:b/>
          <w:bCs/>
          <w:sz w:val="24"/>
          <w:u w:val="single"/>
          <w:lang w:val="en-US" w:eastAsia="zh-CN"/>
        </w:rPr>
        <w:t>现有工程固废均能实现综合利用和安全处置。</w:t>
      </w:r>
    </w:p>
    <w:p w14:paraId="6B365401">
      <w:pPr>
        <w:pStyle w:val="6"/>
        <w:bidi w:val="0"/>
      </w:pPr>
      <w:r>
        <w:rPr>
          <w:rFonts w:hint="eastAsia"/>
        </w:rPr>
        <w:t>噪声</w:t>
      </w:r>
    </w:p>
    <w:p w14:paraId="4706647C">
      <w:pPr>
        <w:ind w:firstLine="480"/>
      </w:pPr>
      <w:r>
        <w:rPr>
          <w:rFonts w:hint="eastAsia"/>
        </w:rPr>
        <w:t>已建项目噪声源主要为纺丝机、真空泵等，噪声源强为80-95dB(A)。为了减轻噪声污染，已建项目采取选用低噪声设备，并采取厂房隔声、吸声、消声、基础减震等措施。</w:t>
      </w:r>
    </w:p>
    <w:p w14:paraId="2988D0A9">
      <w:pPr>
        <w:ind w:firstLine="480"/>
        <w:rPr>
          <w:b/>
          <w:bCs/>
        </w:rPr>
      </w:pPr>
      <w:r>
        <w:rPr>
          <w:rFonts w:hint="eastAsia" w:ascii="Times New Roman" w:hAnsi="Times New Roman" w:cs="Times New Roman"/>
          <w:color w:val="auto"/>
          <w:highlight w:val="none"/>
        </w:rPr>
        <w:t>新乡化纤股份有限公司</w:t>
      </w:r>
      <w:r>
        <w:rPr>
          <w:rFonts w:ascii="Times New Roman" w:hAnsi="Times New Roman" w:cs="Times New Roman"/>
          <w:color w:val="auto"/>
          <w:highlight w:val="none"/>
        </w:rPr>
        <w:t>委托</w:t>
      </w:r>
      <w:r>
        <w:rPr>
          <w:rFonts w:hint="eastAsia" w:ascii="Times New Roman" w:hAnsi="Times New Roman" w:cs="Times New Roman"/>
          <w:color w:val="auto"/>
          <w:highlight w:val="none"/>
        </w:rPr>
        <w:t>洛阳市绿源环保技术有限公司</w:t>
      </w:r>
      <w:r>
        <w:rPr>
          <w:rFonts w:ascii="Times New Roman" w:hAnsi="Times New Roman" w:cs="Times New Roman"/>
          <w:color w:val="auto"/>
          <w:highlight w:val="none"/>
        </w:rPr>
        <w:t>202</w:t>
      </w:r>
      <w:r>
        <w:rPr>
          <w:rFonts w:hint="eastAsia" w:ascii="Times New Roman" w:hAnsi="Times New Roman" w:cs="Times New Roman"/>
          <w:color w:val="auto"/>
          <w:highlight w:val="none"/>
          <w:lang w:val="en-US" w:eastAsia="zh-CN"/>
        </w:rPr>
        <w:t>4</w:t>
      </w:r>
      <w:r>
        <w:rPr>
          <w:rFonts w:ascii="Times New Roman" w:hAnsi="Times New Roman" w:cs="Times New Roman"/>
          <w:color w:val="auto"/>
          <w:highlight w:val="none"/>
        </w:rPr>
        <w:t>年</w:t>
      </w:r>
      <w:r>
        <w:rPr>
          <w:rFonts w:hint="eastAsia" w:ascii="Times New Roman" w:hAnsi="Times New Roman" w:cs="Times New Roman"/>
          <w:color w:val="auto"/>
          <w:highlight w:val="none"/>
          <w:lang w:val="en-US" w:eastAsia="zh-CN"/>
        </w:rPr>
        <w:t>4</w:t>
      </w:r>
      <w:r>
        <w:rPr>
          <w:rFonts w:ascii="Times New Roman" w:hAnsi="Times New Roman" w:cs="Times New Roman"/>
          <w:color w:val="auto"/>
          <w:highlight w:val="none"/>
        </w:rPr>
        <w:t>月</w:t>
      </w:r>
      <w:r>
        <w:rPr>
          <w:rFonts w:hint="eastAsia" w:ascii="Times New Roman" w:hAnsi="Times New Roman" w:cs="Times New Roman"/>
          <w:color w:val="auto"/>
          <w:highlight w:val="none"/>
          <w:lang w:val="en-US" w:eastAsia="zh-CN"/>
        </w:rPr>
        <w:t>7-8</w:t>
      </w:r>
      <w:r>
        <w:rPr>
          <w:rFonts w:ascii="Times New Roman" w:hAnsi="Times New Roman" w:cs="Times New Roman"/>
          <w:color w:val="auto"/>
          <w:highlight w:val="none"/>
        </w:rPr>
        <w:t>日</w:t>
      </w:r>
      <w:r>
        <w:rPr>
          <w:color w:val="auto"/>
          <w:highlight w:val="none"/>
        </w:rPr>
        <w:t>对企业厂界噪声</w:t>
      </w:r>
      <w:r>
        <w:rPr>
          <w:rFonts w:hint="eastAsia"/>
          <w:color w:val="auto"/>
          <w:highlight w:val="none"/>
        </w:rPr>
        <w:t>现状</w:t>
      </w:r>
      <w:r>
        <w:rPr>
          <w:color w:val="auto"/>
          <w:highlight w:val="none"/>
        </w:rPr>
        <w:t>进行了监测。</w:t>
      </w:r>
      <w:r>
        <w:rPr>
          <w:rFonts w:hint="eastAsia"/>
        </w:rPr>
        <w:t>已建项目各厂界噪声排放情况详见</w:t>
      </w:r>
      <w:r>
        <w:rPr>
          <w:rFonts w:hint="eastAsia"/>
          <w:lang w:val="en-US" w:eastAsia="zh-CN"/>
        </w:rPr>
        <w:t>下表</w:t>
      </w:r>
      <w:r>
        <w:rPr>
          <w:rFonts w:hint="eastAsia"/>
        </w:rPr>
        <w:t>。</w:t>
      </w:r>
    </w:p>
    <w:p w14:paraId="26513F28">
      <w:pPr>
        <w:pStyle w:val="10"/>
        <w:bidi w:val="0"/>
      </w:pPr>
      <w:r>
        <w:t xml:space="preserve">表 </w:t>
      </w:r>
      <w:r>
        <w:fldChar w:fldCharType="begin"/>
      </w:r>
      <w:r>
        <w:instrText xml:space="preserve"> STYLEREF 2 \s </w:instrText>
      </w:r>
      <w:r>
        <w:fldChar w:fldCharType="separate"/>
      </w:r>
      <w:r>
        <w:t>3.3</w:t>
      </w:r>
      <w:r>
        <w:fldChar w:fldCharType="end"/>
      </w:r>
      <w:r>
        <w:rPr>
          <w:rFonts w:hint="eastAsia"/>
          <w:lang w:eastAsia="zh-CN"/>
        </w:rPr>
        <w:t>-</w:t>
      </w:r>
      <w:r>
        <w:fldChar w:fldCharType="begin"/>
      </w:r>
      <w:r>
        <w:instrText xml:space="preserve"> SEQ 表 \* ARABIC \s 2 </w:instrText>
      </w:r>
      <w:r>
        <w:fldChar w:fldCharType="separate"/>
      </w:r>
      <w:r>
        <w:t>13</w:t>
      </w:r>
      <w:r>
        <w:fldChar w:fldCharType="end"/>
      </w:r>
      <w:r>
        <w:rPr>
          <w:rFonts w:hint="eastAsia"/>
        </w:rPr>
        <w:t xml:space="preserve"> 厂界噪声监测结果</w:t>
      </w:r>
    </w:p>
    <w:tbl>
      <w:tblPr>
        <w:tblStyle w:val="31"/>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379"/>
        <w:gridCol w:w="1988"/>
        <w:gridCol w:w="2491"/>
        <w:gridCol w:w="2665"/>
      </w:tblGrid>
      <w:tr w14:paraId="440943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09" w:type="pct"/>
            <w:vMerge w:val="restart"/>
            <w:tcBorders>
              <w:tl2br w:val="nil"/>
              <w:tr2bl w:val="nil"/>
            </w:tcBorders>
            <w:vAlign w:val="center"/>
          </w:tcPr>
          <w:p w14:paraId="1DE39208">
            <w:pPr>
              <w:pStyle w:val="182"/>
              <w:rPr>
                <w:color w:val="auto"/>
              </w:rPr>
            </w:pPr>
            <w:r>
              <w:rPr>
                <w:color w:val="auto"/>
              </w:rPr>
              <w:t>采样时间</w:t>
            </w:r>
          </w:p>
        </w:tc>
        <w:tc>
          <w:tcPr>
            <w:tcW w:w="1165" w:type="pct"/>
            <w:vMerge w:val="restart"/>
            <w:tcBorders>
              <w:tl2br w:val="nil"/>
              <w:tr2bl w:val="nil"/>
            </w:tcBorders>
            <w:vAlign w:val="center"/>
          </w:tcPr>
          <w:p w14:paraId="63EDCBAC">
            <w:pPr>
              <w:pStyle w:val="182"/>
              <w:rPr>
                <w:color w:val="auto"/>
              </w:rPr>
            </w:pPr>
            <w:r>
              <w:rPr>
                <w:color w:val="auto"/>
              </w:rPr>
              <w:t>采样点位</w:t>
            </w:r>
          </w:p>
        </w:tc>
        <w:tc>
          <w:tcPr>
            <w:tcW w:w="3024" w:type="pct"/>
            <w:gridSpan w:val="2"/>
            <w:tcBorders>
              <w:tl2br w:val="nil"/>
              <w:tr2bl w:val="nil"/>
            </w:tcBorders>
            <w:vAlign w:val="center"/>
          </w:tcPr>
          <w:p w14:paraId="03F66936">
            <w:pPr>
              <w:pStyle w:val="182"/>
              <w:rPr>
                <w:color w:val="auto"/>
              </w:rPr>
            </w:pPr>
            <w:r>
              <w:rPr>
                <w:color w:val="auto"/>
              </w:rPr>
              <w:t>监测结果Leq [dB（A）]</w:t>
            </w:r>
          </w:p>
        </w:tc>
      </w:tr>
      <w:tr w14:paraId="772908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09" w:type="pct"/>
            <w:vMerge w:val="continue"/>
            <w:tcBorders>
              <w:tl2br w:val="nil"/>
              <w:tr2bl w:val="nil"/>
            </w:tcBorders>
            <w:vAlign w:val="center"/>
          </w:tcPr>
          <w:p w14:paraId="37D2C7F4">
            <w:pPr>
              <w:pStyle w:val="182"/>
              <w:rPr>
                <w:color w:val="auto"/>
              </w:rPr>
            </w:pPr>
          </w:p>
        </w:tc>
        <w:tc>
          <w:tcPr>
            <w:tcW w:w="1165" w:type="pct"/>
            <w:vMerge w:val="continue"/>
            <w:tcBorders>
              <w:tl2br w:val="nil"/>
              <w:tr2bl w:val="nil"/>
            </w:tcBorders>
            <w:vAlign w:val="center"/>
          </w:tcPr>
          <w:p w14:paraId="67F7225D">
            <w:pPr>
              <w:pStyle w:val="182"/>
              <w:rPr>
                <w:color w:val="auto"/>
              </w:rPr>
            </w:pPr>
          </w:p>
        </w:tc>
        <w:tc>
          <w:tcPr>
            <w:tcW w:w="1461" w:type="pct"/>
            <w:tcBorders>
              <w:tl2br w:val="nil"/>
              <w:tr2bl w:val="nil"/>
            </w:tcBorders>
            <w:vAlign w:val="center"/>
          </w:tcPr>
          <w:p w14:paraId="5FEBC17F">
            <w:pPr>
              <w:pStyle w:val="182"/>
              <w:rPr>
                <w:color w:val="auto"/>
              </w:rPr>
            </w:pPr>
            <w:r>
              <w:rPr>
                <w:color w:val="auto"/>
              </w:rPr>
              <w:t>昼间</w:t>
            </w:r>
          </w:p>
        </w:tc>
        <w:tc>
          <w:tcPr>
            <w:tcW w:w="1562" w:type="pct"/>
            <w:tcBorders>
              <w:tl2br w:val="nil"/>
              <w:tr2bl w:val="nil"/>
            </w:tcBorders>
            <w:vAlign w:val="center"/>
          </w:tcPr>
          <w:p w14:paraId="5A1B8B71">
            <w:pPr>
              <w:pStyle w:val="182"/>
              <w:rPr>
                <w:color w:val="auto"/>
              </w:rPr>
            </w:pPr>
            <w:r>
              <w:rPr>
                <w:color w:val="auto"/>
              </w:rPr>
              <w:t>夜间</w:t>
            </w:r>
          </w:p>
        </w:tc>
      </w:tr>
      <w:tr w14:paraId="0E83C1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79" w:type="dxa"/>
            <w:vMerge w:val="restart"/>
            <w:tcBorders>
              <w:tl2br w:val="nil"/>
              <w:tr2bl w:val="nil"/>
            </w:tcBorders>
            <w:vAlign w:val="center"/>
          </w:tcPr>
          <w:p w14:paraId="0E2BDF4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highlight w:val="none"/>
                <w:lang w:val="en-US" w:eastAsia="zh-CN"/>
              </w:rPr>
              <w:t>2024.04.07</w:t>
            </w:r>
          </w:p>
        </w:tc>
        <w:tc>
          <w:tcPr>
            <w:tcW w:w="1988" w:type="dxa"/>
            <w:tcBorders>
              <w:tl2br w:val="nil"/>
              <w:tr2bl w:val="nil"/>
            </w:tcBorders>
            <w:vAlign w:val="center"/>
          </w:tcPr>
          <w:p w14:paraId="3F62C55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东厂界</w:t>
            </w:r>
          </w:p>
        </w:tc>
        <w:tc>
          <w:tcPr>
            <w:tcW w:w="2491" w:type="dxa"/>
            <w:tcBorders>
              <w:tl2br w:val="nil"/>
              <w:tr2bl w:val="nil"/>
            </w:tcBorders>
            <w:vAlign w:val="center"/>
          </w:tcPr>
          <w:p w14:paraId="3461AF2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53</w:t>
            </w:r>
          </w:p>
        </w:tc>
        <w:tc>
          <w:tcPr>
            <w:tcW w:w="2665" w:type="dxa"/>
            <w:tcBorders>
              <w:tl2br w:val="nil"/>
              <w:tr2bl w:val="nil"/>
            </w:tcBorders>
            <w:vAlign w:val="center"/>
          </w:tcPr>
          <w:p w14:paraId="38D223B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45</w:t>
            </w:r>
          </w:p>
        </w:tc>
      </w:tr>
      <w:tr w14:paraId="008282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79" w:type="dxa"/>
            <w:vMerge w:val="continue"/>
            <w:tcBorders>
              <w:tl2br w:val="nil"/>
              <w:tr2bl w:val="nil"/>
            </w:tcBorders>
            <w:vAlign w:val="center"/>
          </w:tcPr>
          <w:p w14:paraId="3BC83FE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p>
        </w:tc>
        <w:tc>
          <w:tcPr>
            <w:tcW w:w="1988" w:type="dxa"/>
            <w:tcBorders>
              <w:tl2br w:val="nil"/>
              <w:tr2bl w:val="nil"/>
            </w:tcBorders>
            <w:vAlign w:val="center"/>
          </w:tcPr>
          <w:p w14:paraId="568B008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南厂界</w:t>
            </w:r>
          </w:p>
        </w:tc>
        <w:tc>
          <w:tcPr>
            <w:tcW w:w="2491" w:type="dxa"/>
            <w:tcBorders>
              <w:tl2br w:val="nil"/>
              <w:tr2bl w:val="nil"/>
            </w:tcBorders>
            <w:vAlign w:val="center"/>
          </w:tcPr>
          <w:p w14:paraId="16646AF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52</w:t>
            </w:r>
          </w:p>
        </w:tc>
        <w:tc>
          <w:tcPr>
            <w:tcW w:w="2665" w:type="dxa"/>
            <w:tcBorders>
              <w:tl2br w:val="nil"/>
              <w:tr2bl w:val="nil"/>
            </w:tcBorders>
            <w:vAlign w:val="center"/>
          </w:tcPr>
          <w:p w14:paraId="53CB5CA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44</w:t>
            </w:r>
          </w:p>
        </w:tc>
      </w:tr>
      <w:tr w14:paraId="641B8B6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79" w:type="dxa"/>
            <w:vMerge w:val="continue"/>
            <w:tcBorders>
              <w:tl2br w:val="nil"/>
              <w:tr2bl w:val="nil"/>
            </w:tcBorders>
            <w:vAlign w:val="center"/>
          </w:tcPr>
          <w:p w14:paraId="4BB1824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p>
        </w:tc>
        <w:tc>
          <w:tcPr>
            <w:tcW w:w="1988" w:type="dxa"/>
            <w:tcBorders>
              <w:tl2br w:val="nil"/>
              <w:tr2bl w:val="nil"/>
            </w:tcBorders>
            <w:vAlign w:val="center"/>
          </w:tcPr>
          <w:p w14:paraId="59BCE62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ascii="Times New Roman" w:hAnsi="Times New Roman" w:eastAsia="宋体" w:cs="Times New Roman"/>
                <w:color w:val="auto"/>
                <w:sz w:val="21"/>
                <w:szCs w:val="21"/>
                <w:lang w:val="en-US" w:eastAsia="zh-CN"/>
              </w:rPr>
              <w:t>西</w:t>
            </w:r>
            <w:r>
              <w:rPr>
                <w:rFonts w:hint="default" w:ascii="Times New Roman" w:hAnsi="Times New Roman" w:eastAsia="宋体" w:cs="Times New Roman"/>
                <w:color w:val="auto"/>
                <w:sz w:val="21"/>
                <w:szCs w:val="21"/>
                <w:lang w:val="en-US" w:eastAsia="zh-CN"/>
              </w:rPr>
              <w:t>厂界</w:t>
            </w:r>
          </w:p>
        </w:tc>
        <w:tc>
          <w:tcPr>
            <w:tcW w:w="2491" w:type="dxa"/>
            <w:tcBorders>
              <w:tl2br w:val="nil"/>
              <w:tr2bl w:val="nil"/>
            </w:tcBorders>
            <w:vAlign w:val="center"/>
          </w:tcPr>
          <w:p w14:paraId="5682578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highlight w:val="none"/>
                <w:lang w:val="en-US" w:eastAsia="zh-CN"/>
              </w:rPr>
              <w:t>51</w:t>
            </w:r>
          </w:p>
        </w:tc>
        <w:tc>
          <w:tcPr>
            <w:tcW w:w="2665" w:type="dxa"/>
            <w:tcBorders>
              <w:tl2br w:val="nil"/>
              <w:tr2bl w:val="nil"/>
            </w:tcBorders>
            <w:vAlign w:val="center"/>
          </w:tcPr>
          <w:p w14:paraId="6E7E287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highlight w:val="none"/>
                <w:lang w:val="en-US" w:eastAsia="zh-CN"/>
              </w:rPr>
              <w:t>42</w:t>
            </w:r>
          </w:p>
        </w:tc>
      </w:tr>
      <w:tr w14:paraId="48F384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79" w:type="dxa"/>
            <w:vMerge w:val="continue"/>
            <w:tcBorders>
              <w:tl2br w:val="nil"/>
              <w:tr2bl w:val="nil"/>
            </w:tcBorders>
            <w:vAlign w:val="center"/>
          </w:tcPr>
          <w:p w14:paraId="5CA29A3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p>
        </w:tc>
        <w:tc>
          <w:tcPr>
            <w:tcW w:w="1988" w:type="dxa"/>
            <w:tcBorders>
              <w:tl2br w:val="nil"/>
              <w:tr2bl w:val="nil"/>
            </w:tcBorders>
            <w:vAlign w:val="center"/>
          </w:tcPr>
          <w:p w14:paraId="372EBFE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北厂界</w:t>
            </w:r>
          </w:p>
        </w:tc>
        <w:tc>
          <w:tcPr>
            <w:tcW w:w="2491" w:type="dxa"/>
            <w:tcBorders>
              <w:tl2br w:val="nil"/>
              <w:tr2bl w:val="nil"/>
            </w:tcBorders>
            <w:vAlign w:val="center"/>
          </w:tcPr>
          <w:p w14:paraId="11427A0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52</w:t>
            </w:r>
          </w:p>
        </w:tc>
        <w:tc>
          <w:tcPr>
            <w:tcW w:w="2665" w:type="dxa"/>
            <w:tcBorders>
              <w:tl2br w:val="nil"/>
              <w:tr2bl w:val="nil"/>
            </w:tcBorders>
            <w:vAlign w:val="center"/>
          </w:tcPr>
          <w:p w14:paraId="66637BD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45</w:t>
            </w:r>
          </w:p>
        </w:tc>
      </w:tr>
      <w:tr w14:paraId="2EDAE56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79" w:type="dxa"/>
            <w:vMerge w:val="restart"/>
            <w:tcBorders>
              <w:tl2br w:val="nil"/>
              <w:tr2bl w:val="nil"/>
            </w:tcBorders>
            <w:vAlign w:val="center"/>
          </w:tcPr>
          <w:p w14:paraId="4A640F4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highlight w:val="none"/>
                <w:lang w:val="en-US" w:eastAsia="zh-CN"/>
              </w:rPr>
              <w:t>2024.04.08</w:t>
            </w:r>
          </w:p>
        </w:tc>
        <w:tc>
          <w:tcPr>
            <w:tcW w:w="1988" w:type="dxa"/>
            <w:tcBorders>
              <w:tl2br w:val="nil"/>
              <w:tr2bl w:val="nil"/>
            </w:tcBorders>
            <w:vAlign w:val="center"/>
          </w:tcPr>
          <w:p w14:paraId="69D553A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东厂界</w:t>
            </w:r>
          </w:p>
        </w:tc>
        <w:tc>
          <w:tcPr>
            <w:tcW w:w="2491" w:type="dxa"/>
            <w:tcBorders>
              <w:tl2br w:val="nil"/>
              <w:tr2bl w:val="nil"/>
            </w:tcBorders>
            <w:vAlign w:val="center"/>
          </w:tcPr>
          <w:p w14:paraId="68087E3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52</w:t>
            </w:r>
          </w:p>
        </w:tc>
        <w:tc>
          <w:tcPr>
            <w:tcW w:w="2665" w:type="dxa"/>
            <w:tcBorders>
              <w:tl2br w:val="nil"/>
              <w:tr2bl w:val="nil"/>
            </w:tcBorders>
            <w:vAlign w:val="center"/>
          </w:tcPr>
          <w:p w14:paraId="74FACB8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43</w:t>
            </w:r>
          </w:p>
        </w:tc>
      </w:tr>
      <w:tr w14:paraId="6ED3F5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79" w:type="dxa"/>
            <w:vMerge w:val="continue"/>
            <w:tcBorders>
              <w:tl2br w:val="nil"/>
              <w:tr2bl w:val="nil"/>
            </w:tcBorders>
            <w:vAlign w:val="center"/>
          </w:tcPr>
          <w:p w14:paraId="0DAB433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p>
        </w:tc>
        <w:tc>
          <w:tcPr>
            <w:tcW w:w="1988" w:type="dxa"/>
            <w:tcBorders>
              <w:tl2br w:val="nil"/>
              <w:tr2bl w:val="nil"/>
            </w:tcBorders>
            <w:vAlign w:val="center"/>
          </w:tcPr>
          <w:p w14:paraId="4B714C9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南厂界</w:t>
            </w:r>
          </w:p>
        </w:tc>
        <w:tc>
          <w:tcPr>
            <w:tcW w:w="2491" w:type="dxa"/>
            <w:tcBorders>
              <w:tl2br w:val="nil"/>
              <w:tr2bl w:val="nil"/>
            </w:tcBorders>
            <w:vAlign w:val="center"/>
          </w:tcPr>
          <w:p w14:paraId="1EE7C9A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51</w:t>
            </w:r>
          </w:p>
        </w:tc>
        <w:tc>
          <w:tcPr>
            <w:tcW w:w="2665" w:type="dxa"/>
            <w:tcBorders>
              <w:tl2br w:val="nil"/>
              <w:tr2bl w:val="nil"/>
            </w:tcBorders>
            <w:vAlign w:val="center"/>
          </w:tcPr>
          <w:p w14:paraId="377FCAA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45</w:t>
            </w:r>
          </w:p>
        </w:tc>
      </w:tr>
      <w:tr w14:paraId="17F9FBD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79" w:type="dxa"/>
            <w:vMerge w:val="continue"/>
            <w:tcBorders>
              <w:tl2br w:val="nil"/>
              <w:tr2bl w:val="nil"/>
            </w:tcBorders>
            <w:vAlign w:val="center"/>
          </w:tcPr>
          <w:p w14:paraId="1B846E9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p>
        </w:tc>
        <w:tc>
          <w:tcPr>
            <w:tcW w:w="1988" w:type="dxa"/>
            <w:tcBorders>
              <w:tl2br w:val="nil"/>
              <w:tr2bl w:val="nil"/>
            </w:tcBorders>
            <w:vAlign w:val="center"/>
          </w:tcPr>
          <w:p w14:paraId="6107D53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ascii="Times New Roman" w:hAnsi="Times New Roman" w:eastAsia="宋体" w:cs="Times New Roman"/>
                <w:color w:val="auto"/>
                <w:sz w:val="21"/>
                <w:szCs w:val="21"/>
                <w:lang w:val="en-US" w:eastAsia="zh-CN"/>
              </w:rPr>
              <w:t>西</w:t>
            </w:r>
            <w:r>
              <w:rPr>
                <w:rFonts w:hint="default" w:ascii="Times New Roman" w:hAnsi="Times New Roman" w:eastAsia="宋体" w:cs="Times New Roman"/>
                <w:color w:val="auto"/>
                <w:sz w:val="21"/>
                <w:szCs w:val="21"/>
                <w:lang w:val="en-US" w:eastAsia="zh-CN"/>
              </w:rPr>
              <w:t>厂界</w:t>
            </w:r>
          </w:p>
        </w:tc>
        <w:tc>
          <w:tcPr>
            <w:tcW w:w="2491" w:type="dxa"/>
            <w:tcBorders>
              <w:tl2br w:val="nil"/>
              <w:tr2bl w:val="nil"/>
            </w:tcBorders>
            <w:vAlign w:val="center"/>
          </w:tcPr>
          <w:p w14:paraId="50ACF91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highlight w:val="none"/>
                <w:lang w:val="en-US" w:eastAsia="zh-CN"/>
              </w:rPr>
              <w:t>50</w:t>
            </w:r>
          </w:p>
        </w:tc>
        <w:tc>
          <w:tcPr>
            <w:tcW w:w="2665" w:type="dxa"/>
            <w:tcBorders>
              <w:tl2br w:val="nil"/>
              <w:tr2bl w:val="nil"/>
            </w:tcBorders>
            <w:vAlign w:val="center"/>
          </w:tcPr>
          <w:p w14:paraId="6D2A7DE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highlight w:val="none"/>
                <w:lang w:val="en-US" w:eastAsia="zh-CN"/>
              </w:rPr>
              <w:t>43</w:t>
            </w:r>
          </w:p>
        </w:tc>
      </w:tr>
      <w:tr w14:paraId="5C8D5A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79" w:type="dxa"/>
            <w:vMerge w:val="continue"/>
            <w:tcBorders>
              <w:tl2br w:val="nil"/>
              <w:tr2bl w:val="nil"/>
            </w:tcBorders>
            <w:vAlign w:val="center"/>
          </w:tcPr>
          <w:p w14:paraId="429FEF5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p>
        </w:tc>
        <w:tc>
          <w:tcPr>
            <w:tcW w:w="1988" w:type="dxa"/>
            <w:tcBorders>
              <w:tl2br w:val="nil"/>
              <w:tr2bl w:val="nil"/>
            </w:tcBorders>
            <w:vAlign w:val="center"/>
          </w:tcPr>
          <w:p w14:paraId="4BA705B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北厂界</w:t>
            </w:r>
          </w:p>
        </w:tc>
        <w:tc>
          <w:tcPr>
            <w:tcW w:w="2491" w:type="dxa"/>
            <w:tcBorders>
              <w:tl2br w:val="nil"/>
              <w:tr2bl w:val="nil"/>
            </w:tcBorders>
            <w:vAlign w:val="center"/>
          </w:tcPr>
          <w:p w14:paraId="75FF1F1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51</w:t>
            </w:r>
          </w:p>
        </w:tc>
        <w:tc>
          <w:tcPr>
            <w:tcW w:w="2665" w:type="dxa"/>
            <w:tcBorders>
              <w:tl2br w:val="nil"/>
              <w:tr2bl w:val="nil"/>
            </w:tcBorders>
            <w:vAlign w:val="center"/>
          </w:tcPr>
          <w:p w14:paraId="16C3D84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rPr>
            </w:pPr>
            <w:r>
              <w:rPr>
                <w:rFonts w:hint="eastAsia" w:cs="Times New Roman"/>
                <w:color w:val="auto"/>
                <w:sz w:val="21"/>
                <w:szCs w:val="21"/>
                <w:lang w:val="en-US" w:eastAsia="zh-CN"/>
              </w:rPr>
              <w:t>46</w:t>
            </w:r>
          </w:p>
        </w:tc>
      </w:tr>
      <w:tr w14:paraId="5848164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975" w:type="pct"/>
            <w:gridSpan w:val="2"/>
            <w:tcBorders>
              <w:tl2br w:val="nil"/>
              <w:tr2bl w:val="nil"/>
            </w:tcBorders>
            <w:vAlign w:val="center"/>
          </w:tcPr>
          <w:p w14:paraId="09E59A70">
            <w:pPr>
              <w:pStyle w:val="182"/>
              <w:rPr>
                <w:color w:val="auto"/>
              </w:rPr>
            </w:pPr>
            <w:r>
              <w:rPr>
                <w:rFonts w:hint="eastAsia"/>
                <w:color w:val="auto"/>
              </w:rPr>
              <w:t>标准值</w:t>
            </w:r>
          </w:p>
        </w:tc>
        <w:tc>
          <w:tcPr>
            <w:tcW w:w="1461" w:type="pct"/>
            <w:tcBorders>
              <w:tl2br w:val="nil"/>
              <w:tr2bl w:val="nil"/>
            </w:tcBorders>
            <w:vAlign w:val="center"/>
          </w:tcPr>
          <w:p w14:paraId="327B656C">
            <w:pPr>
              <w:pStyle w:val="182"/>
              <w:rPr>
                <w:color w:val="auto"/>
              </w:rPr>
            </w:pPr>
            <w:r>
              <w:rPr>
                <w:rFonts w:hint="eastAsia"/>
                <w:color w:val="auto"/>
              </w:rPr>
              <w:t>65</w:t>
            </w:r>
          </w:p>
        </w:tc>
        <w:tc>
          <w:tcPr>
            <w:tcW w:w="1562" w:type="pct"/>
            <w:tcBorders>
              <w:tl2br w:val="nil"/>
              <w:tr2bl w:val="nil"/>
            </w:tcBorders>
            <w:vAlign w:val="center"/>
          </w:tcPr>
          <w:p w14:paraId="4535C53E">
            <w:pPr>
              <w:pStyle w:val="182"/>
              <w:rPr>
                <w:color w:val="auto"/>
              </w:rPr>
            </w:pPr>
            <w:r>
              <w:rPr>
                <w:rFonts w:hint="eastAsia"/>
                <w:color w:val="auto"/>
              </w:rPr>
              <w:t>55</w:t>
            </w:r>
          </w:p>
        </w:tc>
      </w:tr>
    </w:tbl>
    <w:p w14:paraId="433B398C">
      <w:pPr>
        <w:ind w:firstLine="480"/>
      </w:pPr>
      <w:r>
        <w:rPr>
          <w:rFonts w:hint="eastAsia"/>
        </w:rPr>
        <w:t>由上表可知，四厂界处的噪声为：昼间</w:t>
      </w:r>
      <w:r>
        <w:rPr>
          <w:rFonts w:hint="eastAsia"/>
          <w:lang w:val="en-US" w:eastAsia="zh-CN"/>
        </w:rPr>
        <w:t>50</w:t>
      </w:r>
      <w:r>
        <w:rPr>
          <w:rFonts w:hint="eastAsia"/>
        </w:rPr>
        <w:t>～5</w:t>
      </w:r>
      <w:r>
        <w:rPr>
          <w:rFonts w:hint="eastAsia"/>
          <w:lang w:val="en-US" w:eastAsia="zh-CN"/>
        </w:rPr>
        <w:t>3</w:t>
      </w:r>
      <w:r>
        <w:rPr>
          <w:rFonts w:hint="eastAsia"/>
        </w:rPr>
        <w:t>dB（A）之间、夜间4</w:t>
      </w:r>
      <w:r>
        <w:rPr>
          <w:rFonts w:hint="eastAsia"/>
          <w:lang w:val="en-US" w:eastAsia="zh-CN"/>
        </w:rPr>
        <w:t>2</w:t>
      </w:r>
      <w:r>
        <w:rPr>
          <w:rFonts w:hint="eastAsia"/>
        </w:rPr>
        <w:t>～4</w:t>
      </w:r>
      <w:r>
        <w:t>6</w:t>
      </w:r>
      <w:r>
        <w:rPr>
          <w:rFonts w:hint="eastAsia"/>
        </w:rPr>
        <w:t>dB（A）之间，能够达到《工业企业厂界环境噪声排放标准》（GB12348-2008）3类昼间65dB(A)、夜间55dB(A)的标准限值要求。</w:t>
      </w:r>
    </w:p>
    <w:p w14:paraId="13F8925D">
      <w:pPr>
        <w:pStyle w:val="5"/>
        <w:bidi w:val="0"/>
      </w:pPr>
      <w:r>
        <w:rPr>
          <w:rFonts w:hint="eastAsia"/>
        </w:rPr>
        <w:t>已建工程三废排放情况</w:t>
      </w:r>
    </w:p>
    <w:p w14:paraId="2A86F50A">
      <w:pPr>
        <w:ind w:firstLine="480"/>
        <w:rPr>
          <w:bCs/>
        </w:rPr>
      </w:pPr>
      <w:r>
        <w:rPr>
          <w:rFonts w:ascii="Times New Roman" w:hAnsi="Times New Roman" w:cs="Times New Roman"/>
        </w:rPr>
        <w:t>根据在线监测数据、例行监测数据2023年排污许可证执行年报，</w:t>
      </w:r>
      <w:r>
        <w:rPr>
          <w:rFonts w:hint="eastAsia"/>
          <w:bCs/>
        </w:rPr>
        <w:t>企业已建工程“三废”排</w:t>
      </w:r>
      <w:r>
        <w:rPr>
          <w:rFonts w:hint="eastAsia"/>
          <w:bCs/>
          <w:lang w:val="en-US" w:eastAsia="zh-CN"/>
        </w:rPr>
        <w:t>入外环境</w:t>
      </w:r>
      <w:r>
        <w:rPr>
          <w:rFonts w:hint="eastAsia"/>
          <w:bCs/>
        </w:rPr>
        <w:t>情况见下表。</w:t>
      </w:r>
    </w:p>
    <w:p w14:paraId="4381E2D7">
      <w:pPr>
        <w:pStyle w:val="10"/>
        <w:bidi w:val="0"/>
        <w:rPr>
          <w:rFonts w:hint="eastAsia"/>
        </w:rPr>
      </w:pPr>
      <w:r>
        <w:t xml:space="preserve">表 </w:t>
      </w:r>
      <w:r>
        <w:fldChar w:fldCharType="begin"/>
      </w:r>
      <w:r>
        <w:instrText xml:space="preserve"> STYLEREF 2 \s </w:instrText>
      </w:r>
      <w:r>
        <w:fldChar w:fldCharType="separate"/>
      </w:r>
      <w:r>
        <w:t>3.3</w:t>
      </w:r>
      <w:r>
        <w:fldChar w:fldCharType="end"/>
      </w:r>
      <w:r>
        <w:rPr>
          <w:rFonts w:hint="eastAsia"/>
          <w:lang w:eastAsia="zh-CN"/>
        </w:rPr>
        <w:t>-</w:t>
      </w:r>
      <w:r>
        <w:fldChar w:fldCharType="begin"/>
      </w:r>
      <w:r>
        <w:instrText xml:space="preserve"> SEQ 表 \* ARABIC \s 2 </w:instrText>
      </w:r>
      <w:r>
        <w:fldChar w:fldCharType="separate"/>
      </w:r>
      <w:r>
        <w:t>14</w:t>
      </w:r>
      <w:r>
        <w:fldChar w:fldCharType="end"/>
      </w:r>
      <w:r>
        <w:rPr>
          <w:rFonts w:hint="eastAsia"/>
        </w:rPr>
        <w:t xml:space="preserve"> 新厂区已建</w:t>
      </w:r>
      <w:r>
        <w:rPr>
          <w:rFonts w:hint="eastAsia"/>
          <w:lang w:val="en-US" w:eastAsia="zh-CN"/>
        </w:rPr>
        <w:t>项目</w:t>
      </w:r>
      <w:r>
        <w:rPr>
          <w:rFonts w:hint="eastAsia"/>
        </w:rPr>
        <w:t>污染物产排汇总</w:t>
      </w:r>
    </w:p>
    <w:tbl>
      <w:tblPr>
        <w:tblStyle w:val="31"/>
        <w:tblW w:w="4948"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425"/>
        <w:gridCol w:w="793"/>
        <w:gridCol w:w="2060"/>
        <w:gridCol w:w="1247"/>
        <w:gridCol w:w="1927"/>
        <w:gridCol w:w="1984"/>
      </w:tblGrid>
      <w:tr w14:paraId="498C62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942" w:type="pct"/>
            <w:gridSpan w:val="3"/>
            <w:tcBorders>
              <w:tl2br w:val="nil"/>
              <w:tr2bl w:val="nil"/>
            </w:tcBorders>
            <w:shd w:val="clear" w:color="auto" w:fill="auto"/>
            <w:vAlign w:val="center"/>
          </w:tcPr>
          <w:p w14:paraId="7630366A">
            <w:pPr>
              <w:pStyle w:val="182"/>
              <w:rPr>
                <w:b/>
                <w:bCs w:val="0"/>
              </w:rPr>
            </w:pPr>
            <w:r>
              <w:rPr>
                <w:rFonts w:hint="eastAsia"/>
                <w:b/>
                <w:bCs w:val="0"/>
              </w:rPr>
              <w:t>污染物</w:t>
            </w:r>
          </w:p>
        </w:tc>
        <w:tc>
          <w:tcPr>
            <w:tcW w:w="739" w:type="pct"/>
            <w:tcBorders>
              <w:tl2br w:val="nil"/>
              <w:tr2bl w:val="nil"/>
            </w:tcBorders>
            <w:shd w:val="clear" w:color="auto" w:fill="auto"/>
            <w:vAlign w:val="center"/>
          </w:tcPr>
          <w:p w14:paraId="0D218CA2">
            <w:pPr>
              <w:pStyle w:val="182"/>
              <w:rPr>
                <w:b/>
                <w:bCs w:val="0"/>
              </w:rPr>
            </w:pPr>
            <w:r>
              <w:rPr>
                <w:rFonts w:hint="eastAsia"/>
                <w:b/>
                <w:bCs w:val="0"/>
              </w:rPr>
              <w:t>单位</w:t>
            </w:r>
          </w:p>
        </w:tc>
        <w:tc>
          <w:tcPr>
            <w:tcW w:w="1142" w:type="pct"/>
            <w:tcBorders>
              <w:tl2br w:val="nil"/>
              <w:tr2bl w:val="nil"/>
            </w:tcBorders>
            <w:shd w:val="clear" w:color="auto" w:fill="auto"/>
            <w:vAlign w:val="center"/>
          </w:tcPr>
          <w:p w14:paraId="523DB114">
            <w:pPr>
              <w:pStyle w:val="182"/>
              <w:rPr>
                <w:b/>
                <w:bCs w:val="0"/>
              </w:rPr>
            </w:pPr>
            <w:r>
              <w:rPr>
                <w:b/>
                <w:bCs w:val="0"/>
              </w:rPr>
              <w:t>已建项目实际排放量</w:t>
            </w:r>
          </w:p>
        </w:tc>
        <w:tc>
          <w:tcPr>
            <w:tcW w:w="1175" w:type="pct"/>
            <w:tcBorders>
              <w:tl2br w:val="nil"/>
              <w:tr2bl w:val="nil"/>
            </w:tcBorders>
            <w:shd w:val="clear" w:color="auto" w:fill="auto"/>
            <w:vAlign w:val="center"/>
          </w:tcPr>
          <w:p w14:paraId="042B21D7">
            <w:pPr>
              <w:pStyle w:val="182"/>
              <w:ind w:firstLine="0" w:firstLineChars="0"/>
              <w:rPr>
                <w:rFonts w:hint="eastAsia"/>
                <w:b/>
                <w:bCs w:val="0"/>
              </w:rPr>
            </w:pPr>
            <w:r>
              <w:rPr>
                <w:b/>
                <w:bCs w:val="0"/>
              </w:rPr>
              <w:t>2023年许可排放量</w:t>
            </w:r>
          </w:p>
        </w:tc>
      </w:tr>
      <w:tr w14:paraId="75020A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restart"/>
            <w:tcBorders>
              <w:tl2br w:val="nil"/>
              <w:tr2bl w:val="nil"/>
            </w:tcBorders>
            <w:shd w:val="clear" w:color="auto" w:fill="auto"/>
            <w:vAlign w:val="center"/>
          </w:tcPr>
          <w:p w14:paraId="0685521A">
            <w:pPr>
              <w:pStyle w:val="182"/>
              <w:rPr>
                <w:bCs/>
              </w:rPr>
            </w:pPr>
            <w:r>
              <w:rPr>
                <w:rFonts w:hint="eastAsia"/>
                <w:bCs/>
              </w:rPr>
              <w:t>废水</w:t>
            </w:r>
          </w:p>
        </w:tc>
        <w:tc>
          <w:tcPr>
            <w:tcW w:w="470" w:type="pct"/>
            <w:vMerge w:val="restart"/>
            <w:tcBorders>
              <w:tl2br w:val="nil"/>
              <w:tr2bl w:val="nil"/>
            </w:tcBorders>
            <w:shd w:val="clear" w:color="auto" w:fill="auto"/>
            <w:vAlign w:val="center"/>
          </w:tcPr>
          <w:p w14:paraId="3B23B34C">
            <w:pPr>
              <w:pStyle w:val="182"/>
              <w:rPr>
                <w:bCs/>
              </w:rPr>
            </w:pPr>
            <w:r>
              <w:rPr>
                <w:rFonts w:hint="eastAsia"/>
                <w:bCs/>
              </w:rPr>
              <w:t>生产废水</w:t>
            </w:r>
          </w:p>
        </w:tc>
        <w:tc>
          <w:tcPr>
            <w:tcW w:w="1220" w:type="pct"/>
            <w:tcBorders>
              <w:tl2br w:val="nil"/>
              <w:tr2bl w:val="nil"/>
            </w:tcBorders>
            <w:shd w:val="clear" w:color="auto" w:fill="auto"/>
            <w:vAlign w:val="center"/>
          </w:tcPr>
          <w:p w14:paraId="0582C4F6">
            <w:pPr>
              <w:pStyle w:val="182"/>
              <w:ind w:firstLine="0" w:firstLineChars="0"/>
              <w:rPr>
                <w:bCs/>
              </w:rPr>
            </w:pPr>
            <w:r>
              <w:rPr>
                <w:rFonts w:hint="eastAsia"/>
                <w:color w:val="auto"/>
              </w:rPr>
              <w:t>COD</w:t>
            </w:r>
          </w:p>
        </w:tc>
        <w:tc>
          <w:tcPr>
            <w:tcW w:w="739" w:type="pct"/>
            <w:tcBorders>
              <w:tl2br w:val="nil"/>
              <w:tr2bl w:val="nil"/>
            </w:tcBorders>
            <w:shd w:val="clear" w:color="auto" w:fill="auto"/>
            <w:vAlign w:val="center"/>
          </w:tcPr>
          <w:p w14:paraId="026AF504">
            <w:pPr>
              <w:pStyle w:val="182"/>
              <w:rPr>
                <w:bCs/>
              </w:rPr>
            </w:pPr>
            <w:r>
              <w:rPr>
                <w:rFonts w:hint="eastAsia"/>
                <w:bCs/>
                <w:lang w:val="en-US" w:eastAsia="zh-CN"/>
              </w:rPr>
              <w:t>t/a</w:t>
            </w:r>
          </w:p>
        </w:tc>
        <w:tc>
          <w:tcPr>
            <w:tcW w:w="1927" w:type="dxa"/>
            <w:tcBorders>
              <w:tl2br w:val="nil"/>
              <w:tr2bl w:val="nil"/>
            </w:tcBorders>
            <w:shd w:val="clear" w:color="auto" w:fill="auto"/>
            <w:vAlign w:val="center"/>
          </w:tcPr>
          <w:p w14:paraId="09181390">
            <w:pPr>
              <w:pStyle w:val="182"/>
              <w:ind w:firstLine="0" w:firstLineChars="0"/>
              <w:rPr>
                <w:b w:val="0"/>
                <w:bCs w:val="0"/>
                <w:color w:val="auto"/>
                <w:u w:val="none"/>
              </w:rPr>
            </w:pPr>
            <w:r>
              <w:rPr>
                <w:rFonts w:hint="eastAsia"/>
                <w:b w:val="0"/>
                <w:bCs w:val="0"/>
                <w:color w:val="auto"/>
                <w:highlight w:val="none"/>
                <w:u w:val="none"/>
              </w:rPr>
              <w:t>901.9294</w:t>
            </w:r>
          </w:p>
        </w:tc>
        <w:tc>
          <w:tcPr>
            <w:tcW w:w="1984" w:type="dxa"/>
            <w:tcBorders>
              <w:tl2br w:val="nil"/>
              <w:tr2bl w:val="nil"/>
            </w:tcBorders>
            <w:shd w:val="clear" w:color="auto" w:fill="auto"/>
            <w:vAlign w:val="center"/>
          </w:tcPr>
          <w:p w14:paraId="3B6C184B">
            <w:pPr>
              <w:pStyle w:val="182"/>
              <w:ind w:firstLine="0" w:firstLineChars="0"/>
              <w:rPr>
                <w:rFonts w:hint="eastAsia"/>
                <w:color w:val="auto"/>
              </w:rPr>
            </w:pPr>
            <w:r>
              <w:t>1143.0868</w:t>
            </w:r>
          </w:p>
        </w:tc>
      </w:tr>
      <w:tr w14:paraId="1B3479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17C3C6A5">
            <w:pPr>
              <w:pStyle w:val="182"/>
              <w:rPr>
                <w:bCs/>
              </w:rPr>
            </w:pPr>
          </w:p>
        </w:tc>
        <w:tc>
          <w:tcPr>
            <w:tcW w:w="470" w:type="pct"/>
            <w:vMerge w:val="continue"/>
            <w:tcBorders>
              <w:tl2br w:val="nil"/>
              <w:tr2bl w:val="nil"/>
            </w:tcBorders>
            <w:shd w:val="clear" w:color="auto" w:fill="auto"/>
            <w:vAlign w:val="center"/>
          </w:tcPr>
          <w:p w14:paraId="20634E02">
            <w:pPr>
              <w:pStyle w:val="182"/>
              <w:rPr>
                <w:bCs/>
              </w:rPr>
            </w:pPr>
          </w:p>
        </w:tc>
        <w:tc>
          <w:tcPr>
            <w:tcW w:w="1220" w:type="pct"/>
            <w:tcBorders>
              <w:tl2br w:val="nil"/>
              <w:tr2bl w:val="nil"/>
            </w:tcBorders>
            <w:shd w:val="clear" w:color="auto" w:fill="auto"/>
            <w:vAlign w:val="center"/>
          </w:tcPr>
          <w:p w14:paraId="7C6E00F4">
            <w:pPr>
              <w:pStyle w:val="182"/>
              <w:ind w:firstLine="0" w:firstLineChars="0"/>
              <w:rPr>
                <w:bCs/>
              </w:rPr>
            </w:pPr>
            <w:r>
              <w:rPr>
                <w:rFonts w:hint="eastAsia"/>
                <w:color w:val="auto"/>
              </w:rPr>
              <w:t>NH</w:t>
            </w:r>
            <w:r>
              <w:rPr>
                <w:rFonts w:hint="eastAsia"/>
                <w:color w:val="auto"/>
                <w:vertAlign w:val="subscript"/>
              </w:rPr>
              <w:t>3</w:t>
            </w:r>
            <w:r>
              <w:rPr>
                <w:rFonts w:hint="eastAsia"/>
                <w:color w:val="auto"/>
              </w:rPr>
              <w:t>-N</w:t>
            </w:r>
          </w:p>
        </w:tc>
        <w:tc>
          <w:tcPr>
            <w:tcW w:w="739" w:type="pct"/>
            <w:tcBorders>
              <w:tl2br w:val="nil"/>
              <w:tr2bl w:val="nil"/>
            </w:tcBorders>
            <w:shd w:val="clear" w:color="auto" w:fill="auto"/>
            <w:vAlign w:val="center"/>
          </w:tcPr>
          <w:p w14:paraId="219F36B0">
            <w:pPr>
              <w:pStyle w:val="182"/>
              <w:rPr>
                <w:bCs/>
              </w:rPr>
            </w:pPr>
            <w:r>
              <w:rPr>
                <w:rFonts w:hint="eastAsia"/>
                <w:bCs/>
                <w:lang w:val="en-US" w:eastAsia="zh-CN"/>
              </w:rPr>
              <w:t>t/a</w:t>
            </w:r>
          </w:p>
        </w:tc>
        <w:tc>
          <w:tcPr>
            <w:tcW w:w="1927" w:type="dxa"/>
            <w:tcBorders>
              <w:tl2br w:val="nil"/>
              <w:tr2bl w:val="nil"/>
            </w:tcBorders>
            <w:shd w:val="clear" w:color="auto" w:fill="auto"/>
            <w:vAlign w:val="center"/>
          </w:tcPr>
          <w:p w14:paraId="54CD0BC8">
            <w:pPr>
              <w:pStyle w:val="182"/>
              <w:ind w:firstLine="0" w:firstLineChars="0"/>
              <w:rPr>
                <w:b w:val="0"/>
                <w:bCs w:val="0"/>
                <w:color w:val="auto"/>
                <w:u w:val="none"/>
              </w:rPr>
            </w:pPr>
            <w:r>
              <w:rPr>
                <w:rFonts w:hint="eastAsia"/>
                <w:b w:val="0"/>
                <w:bCs w:val="0"/>
                <w:highlight w:val="none"/>
                <w:u w:val="none"/>
                <w:lang w:val="en-US" w:eastAsia="zh-CN"/>
              </w:rPr>
              <w:t>28.4499</w:t>
            </w:r>
          </w:p>
        </w:tc>
        <w:tc>
          <w:tcPr>
            <w:tcW w:w="1984" w:type="dxa"/>
            <w:tcBorders>
              <w:tl2br w:val="nil"/>
              <w:tr2bl w:val="nil"/>
            </w:tcBorders>
            <w:shd w:val="clear" w:color="auto" w:fill="auto"/>
            <w:vAlign w:val="center"/>
          </w:tcPr>
          <w:p w14:paraId="65E40242">
            <w:pPr>
              <w:pStyle w:val="182"/>
              <w:ind w:firstLine="0" w:firstLineChars="0"/>
              <w:rPr>
                <w:rFonts w:hint="eastAsia"/>
                <w:color w:val="auto"/>
              </w:rPr>
            </w:pPr>
            <w:r>
              <w:t>47.2675</w:t>
            </w:r>
          </w:p>
        </w:tc>
      </w:tr>
      <w:tr w14:paraId="143609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193332E3">
            <w:pPr>
              <w:pStyle w:val="182"/>
              <w:rPr>
                <w:bCs/>
              </w:rPr>
            </w:pPr>
          </w:p>
        </w:tc>
        <w:tc>
          <w:tcPr>
            <w:tcW w:w="470" w:type="pct"/>
            <w:vMerge w:val="continue"/>
            <w:tcBorders>
              <w:tl2br w:val="nil"/>
              <w:tr2bl w:val="nil"/>
            </w:tcBorders>
            <w:shd w:val="clear" w:color="auto" w:fill="auto"/>
            <w:vAlign w:val="center"/>
          </w:tcPr>
          <w:p w14:paraId="00F24935">
            <w:pPr>
              <w:pStyle w:val="182"/>
              <w:rPr>
                <w:bCs/>
              </w:rPr>
            </w:pPr>
          </w:p>
        </w:tc>
        <w:tc>
          <w:tcPr>
            <w:tcW w:w="1220" w:type="pct"/>
            <w:tcBorders>
              <w:tl2br w:val="nil"/>
              <w:tr2bl w:val="nil"/>
            </w:tcBorders>
            <w:shd w:val="clear" w:color="auto" w:fill="auto"/>
            <w:vAlign w:val="center"/>
          </w:tcPr>
          <w:p w14:paraId="35C87141">
            <w:pPr>
              <w:pStyle w:val="182"/>
              <w:ind w:firstLine="0" w:firstLineChars="0"/>
              <w:rPr>
                <w:bCs/>
              </w:rPr>
            </w:pPr>
            <w:r>
              <w:rPr>
                <w:rFonts w:hint="eastAsia"/>
                <w:color w:val="auto"/>
              </w:rPr>
              <w:t>TN</w:t>
            </w:r>
          </w:p>
        </w:tc>
        <w:tc>
          <w:tcPr>
            <w:tcW w:w="739" w:type="pct"/>
            <w:tcBorders>
              <w:tl2br w:val="nil"/>
              <w:tr2bl w:val="nil"/>
            </w:tcBorders>
            <w:shd w:val="clear" w:color="auto" w:fill="auto"/>
            <w:vAlign w:val="center"/>
          </w:tcPr>
          <w:p w14:paraId="11B7DB49">
            <w:pPr>
              <w:pStyle w:val="182"/>
              <w:rPr>
                <w:bCs/>
              </w:rPr>
            </w:pPr>
            <w:r>
              <w:rPr>
                <w:rFonts w:hint="eastAsia"/>
                <w:bCs/>
                <w:lang w:val="en-US" w:eastAsia="zh-CN"/>
              </w:rPr>
              <w:t>t/a</w:t>
            </w:r>
          </w:p>
        </w:tc>
        <w:tc>
          <w:tcPr>
            <w:tcW w:w="1927" w:type="dxa"/>
            <w:tcBorders>
              <w:tl2br w:val="nil"/>
              <w:tr2bl w:val="nil"/>
            </w:tcBorders>
            <w:shd w:val="clear" w:color="auto" w:fill="auto"/>
            <w:vAlign w:val="center"/>
          </w:tcPr>
          <w:p w14:paraId="0C540B20">
            <w:pPr>
              <w:pStyle w:val="182"/>
              <w:ind w:firstLine="0" w:firstLineChars="0"/>
              <w:rPr>
                <w:b w:val="0"/>
                <w:bCs w:val="0"/>
                <w:color w:val="auto"/>
                <w:u w:val="none"/>
              </w:rPr>
            </w:pPr>
            <w:r>
              <w:rPr>
                <w:rFonts w:hint="eastAsia"/>
                <w:b w:val="0"/>
                <w:bCs w:val="0"/>
                <w:color w:val="auto"/>
                <w:highlight w:val="none"/>
                <w:u w:val="none"/>
              </w:rPr>
              <w:t>197.0529</w:t>
            </w:r>
          </w:p>
        </w:tc>
        <w:tc>
          <w:tcPr>
            <w:tcW w:w="1984" w:type="dxa"/>
            <w:tcBorders>
              <w:tl2br w:val="nil"/>
              <w:tr2bl w:val="nil"/>
            </w:tcBorders>
            <w:shd w:val="clear" w:color="auto" w:fill="auto"/>
            <w:vAlign w:val="center"/>
          </w:tcPr>
          <w:p w14:paraId="71D7539F">
            <w:pPr>
              <w:pStyle w:val="182"/>
              <w:ind w:firstLine="0" w:firstLineChars="0"/>
              <w:rPr>
                <w:rFonts w:hint="eastAsia"/>
                <w:color w:val="auto"/>
              </w:rPr>
            </w:pPr>
            <w:r>
              <w:t>/</w:t>
            </w:r>
          </w:p>
        </w:tc>
      </w:tr>
      <w:tr w14:paraId="32DE626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392B1AF3">
            <w:pPr>
              <w:pStyle w:val="182"/>
              <w:rPr>
                <w:bCs/>
              </w:rPr>
            </w:pPr>
          </w:p>
        </w:tc>
        <w:tc>
          <w:tcPr>
            <w:tcW w:w="470" w:type="pct"/>
            <w:vMerge w:val="continue"/>
            <w:tcBorders>
              <w:tl2br w:val="nil"/>
              <w:tr2bl w:val="nil"/>
            </w:tcBorders>
            <w:shd w:val="clear" w:color="auto" w:fill="auto"/>
            <w:vAlign w:val="center"/>
          </w:tcPr>
          <w:p w14:paraId="442B4250">
            <w:pPr>
              <w:pStyle w:val="182"/>
              <w:rPr>
                <w:bCs/>
              </w:rPr>
            </w:pPr>
          </w:p>
        </w:tc>
        <w:tc>
          <w:tcPr>
            <w:tcW w:w="1220" w:type="pct"/>
            <w:tcBorders>
              <w:tl2br w:val="nil"/>
              <w:tr2bl w:val="nil"/>
            </w:tcBorders>
            <w:shd w:val="clear" w:color="auto" w:fill="auto"/>
            <w:vAlign w:val="center"/>
          </w:tcPr>
          <w:p w14:paraId="1EAA0397">
            <w:pPr>
              <w:pStyle w:val="182"/>
              <w:ind w:firstLine="0" w:firstLineChars="0"/>
              <w:rPr>
                <w:bCs/>
              </w:rPr>
            </w:pPr>
            <w:r>
              <w:rPr>
                <w:rFonts w:hint="eastAsia"/>
                <w:color w:val="auto"/>
              </w:rPr>
              <w:t>TP</w:t>
            </w:r>
          </w:p>
        </w:tc>
        <w:tc>
          <w:tcPr>
            <w:tcW w:w="739" w:type="pct"/>
            <w:tcBorders>
              <w:tl2br w:val="nil"/>
              <w:tr2bl w:val="nil"/>
            </w:tcBorders>
            <w:shd w:val="clear" w:color="auto" w:fill="auto"/>
            <w:vAlign w:val="center"/>
          </w:tcPr>
          <w:p w14:paraId="3AE6E779">
            <w:pPr>
              <w:pStyle w:val="182"/>
              <w:rPr>
                <w:bCs/>
              </w:rPr>
            </w:pPr>
            <w:r>
              <w:rPr>
                <w:rFonts w:hint="eastAsia"/>
                <w:bCs/>
                <w:lang w:val="en-US" w:eastAsia="zh-CN"/>
              </w:rPr>
              <w:t>t/a</w:t>
            </w:r>
          </w:p>
        </w:tc>
        <w:tc>
          <w:tcPr>
            <w:tcW w:w="1927" w:type="dxa"/>
            <w:tcBorders>
              <w:tl2br w:val="nil"/>
              <w:tr2bl w:val="nil"/>
            </w:tcBorders>
            <w:shd w:val="clear" w:color="auto" w:fill="auto"/>
            <w:vAlign w:val="center"/>
          </w:tcPr>
          <w:p w14:paraId="1141B260">
            <w:pPr>
              <w:pStyle w:val="182"/>
              <w:ind w:firstLine="0" w:firstLineChars="0"/>
              <w:rPr>
                <w:b w:val="0"/>
                <w:bCs w:val="0"/>
                <w:color w:val="auto"/>
                <w:u w:val="none"/>
              </w:rPr>
            </w:pPr>
            <w:r>
              <w:rPr>
                <w:rFonts w:hint="eastAsia"/>
                <w:b w:val="0"/>
                <w:bCs w:val="0"/>
                <w:highlight w:val="none"/>
                <w:u w:val="none"/>
                <w:lang w:val="en-US" w:eastAsia="zh-CN"/>
              </w:rPr>
              <w:t>1.0851</w:t>
            </w:r>
          </w:p>
        </w:tc>
        <w:tc>
          <w:tcPr>
            <w:tcW w:w="1984" w:type="dxa"/>
            <w:tcBorders>
              <w:tl2br w:val="nil"/>
              <w:tr2bl w:val="nil"/>
            </w:tcBorders>
            <w:shd w:val="clear" w:color="auto" w:fill="auto"/>
            <w:vAlign w:val="center"/>
          </w:tcPr>
          <w:p w14:paraId="1BD466EE">
            <w:pPr>
              <w:pStyle w:val="182"/>
              <w:ind w:firstLine="0" w:firstLineChars="0"/>
              <w:rPr>
                <w:rFonts w:hint="eastAsia"/>
                <w:color w:val="auto"/>
              </w:rPr>
            </w:pPr>
            <w:r>
              <w:t>1.2698</w:t>
            </w:r>
          </w:p>
        </w:tc>
      </w:tr>
      <w:tr w14:paraId="0C4BF3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071FCAD1">
            <w:pPr>
              <w:pStyle w:val="182"/>
              <w:rPr>
                <w:bCs/>
              </w:rPr>
            </w:pPr>
          </w:p>
        </w:tc>
        <w:tc>
          <w:tcPr>
            <w:tcW w:w="470" w:type="pct"/>
            <w:vMerge w:val="continue"/>
            <w:tcBorders>
              <w:tl2br w:val="nil"/>
              <w:tr2bl w:val="nil"/>
            </w:tcBorders>
            <w:shd w:val="clear" w:color="auto" w:fill="auto"/>
            <w:vAlign w:val="center"/>
          </w:tcPr>
          <w:p w14:paraId="4152E89C">
            <w:pPr>
              <w:pStyle w:val="182"/>
              <w:rPr>
                <w:bCs/>
              </w:rPr>
            </w:pPr>
          </w:p>
        </w:tc>
        <w:tc>
          <w:tcPr>
            <w:tcW w:w="1220" w:type="pct"/>
            <w:tcBorders>
              <w:tl2br w:val="nil"/>
              <w:tr2bl w:val="nil"/>
            </w:tcBorders>
            <w:shd w:val="clear" w:color="auto" w:fill="auto"/>
            <w:vAlign w:val="center"/>
          </w:tcPr>
          <w:p w14:paraId="1D522E57">
            <w:pPr>
              <w:pStyle w:val="182"/>
              <w:ind w:firstLine="0" w:firstLineChars="0"/>
              <w:rPr>
                <w:rFonts w:hint="eastAsia"/>
                <w:color w:val="auto"/>
              </w:rPr>
            </w:pPr>
            <w:r>
              <w:rPr>
                <w:rFonts w:hint="eastAsia"/>
                <w:color w:val="auto"/>
              </w:rPr>
              <w:t>锌</w:t>
            </w:r>
          </w:p>
        </w:tc>
        <w:tc>
          <w:tcPr>
            <w:tcW w:w="739" w:type="pct"/>
            <w:tcBorders>
              <w:tl2br w:val="nil"/>
              <w:tr2bl w:val="nil"/>
            </w:tcBorders>
            <w:shd w:val="clear" w:color="auto" w:fill="auto"/>
            <w:vAlign w:val="center"/>
          </w:tcPr>
          <w:p w14:paraId="5AB7901E">
            <w:pPr>
              <w:pStyle w:val="182"/>
              <w:rPr>
                <w:rFonts w:hint="eastAsia"/>
                <w:bCs/>
                <w:lang w:val="en-US" w:eastAsia="zh-CN"/>
              </w:rPr>
            </w:pPr>
            <w:r>
              <w:rPr>
                <w:rFonts w:hint="eastAsia"/>
                <w:bCs/>
                <w:lang w:val="en-US" w:eastAsia="zh-CN"/>
              </w:rPr>
              <w:t>t/a</w:t>
            </w:r>
          </w:p>
        </w:tc>
        <w:tc>
          <w:tcPr>
            <w:tcW w:w="1927" w:type="dxa"/>
            <w:tcBorders>
              <w:tl2br w:val="nil"/>
              <w:tr2bl w:val="nil"/>
            </w:tcBorders>
            <w:shd w:val="clear" w:color="auto" w:fill="auto"/>
            <w:vAlign w:val="center"/>
          </w:tcPr>
          <w:p w14:paraId="4C33E4AC">
            <w:pPr>
              <w:pStyle w:val="182"/>
              <w:ind w:firstLine="0" w:firstLineChars="0"/>
              <w:rPr>
                <w:rFonts w:hint="eastAsia"/>
                <w:b w:val="0"/>
                <w:bCs w:val="0"/>
                <w:u w:val="none"/>
                <w:lang w:val="en-US" w:eastAsia="zh-CN"/>
              </w:rPr>
            </w:pPr>
            <w:r>
              <w:rPr>
                <w:rFonts w:hint="eastAsia"/>
                <w:b w:val="0"/>
                <w:bCs w:val="0"/>
                <w:color w:val="auto"/>
                <w:highlight w:val="none"/>
                <w:u w:val="none"/>
                <w:lang w:val="en-US" w:eastAsia="zh-CN"/>
              </w:rPr>
              <w:t>18.3505</w:t>
            </w:r>
          </w:p>
        </w:tc>
        <w:tc>
          <w:tcPr>
            <w:tcW w:w="1175" w:type="pct"/>
            <w:tcBorders>
              <w:tl2br w:val="nil"/>
              <w:tr2bl w:val="nil"/>
            </w:tcBorders>
            <w:shd w:val="clear" w:color="auto" w:fill="auto"/>
            <w:vAlign w:val="center"/>
          </w:tcPr>
          <w:p w14:paraId="000CB03D">
            <w:pPr>
              <w:pStyle w:val="182"/>
              <w:ind w:firstLine="0" w:firstLineChars="0"/>
              <w:rPr>
                <w:rFonts w:hint="eastAsia" w:eastAsia="宋体"/>
                <w:color w:val="auto"/>
                <w:lang w:val="en-US" w:eastAsia="zh-CN"/>
              </w:rPr>
            </w:pPr>
            <w:r>
              <w:rPr>
                <w:rFonts w:hint="eastAsia"/>
                <w:lang w:val="en-US" w:eastAsia="zh-CN"/>
              </w:rPr>
              <w:t>/</w:t>
            </w:r>
          </w:p>
        </w:tc>
      </w:tr>
      <w:tr w14:paraId="070655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157FB120">
            <w:pPr>
              <w:pStyle w:val="182"/>
              <w:rPr>
                <w:bCs/>
              </w:rPr>
            </w:pPr>
          </w:p>
        </w:tc>
        <w:tc>
          <w:tcPr>
            <w:tcW w:w="470" w:type="pct"/>
            <w:vMerge w:val="continue"/>
            <w:tcBorders>
              <w:tl2br w:val="nil"/>
              <w:tr2bl w:val="nil"/>
            </w:tcBorders>
            <w:shd w:val="clear" w:color="auto" w:fill="auto"/>
            <w:vAlign w:val="center"/>
          </w:tcPr>
          <w:p w14:paraId="53069B6E">
            <w:pPr>
              <w:pStyle w:val="182"/>
              <w:rPr>
                <w:bCs/>
              </w:rPr>
            </w:pPr>
          </w:p>
        </w:tc>
        <w:tc>
          <w:tcPr>
            <w:tcW w:w="1220" w:type="pct"/>
            <w:tcBorders>
              <w:tl2br w:val="nil"/>
              <w:tr2bl w:val="nil"/>
            </w:tcBorders>
            <w:shd w:val="clear" w:color="auto" w:fill="auto"/>
            <w:vAlign w:val="center"/>
          </w:tcPr>
          <w:p w14:paraId="284202FB">
            <w:pPr>
              <w:pStyle w:val="182"/>
              <w:ind w:firstLine="0" w:firstLineChars="0"/>
              <w:rPr>
                <w:rFonts w:hint="eastAsia"/>
                <w:color w:val="auto"/>
              </w:rPr>
            </w:pPr>
            <w:r>
              <w:rPr>
                <w:rFonts w:hint="eastAsia"/>
                <w:color w:val="auto"/>
              </w:rPr>
              <w:t>硫化物</w:t>
            </w:r>
          </w:p>
        </w:tc>
        <w:tc>
          <w:tcPr>
            <w:tcW w:w="739" w:type="pct"/>
            <w:tcBorders>
              <w:tl2br w:val="nil"/>
              <w:tr2bl w:val="nil"/>
            </w:tcBorders>
            <w:shd w:val="clear" w:color="auto" w:fill="auto"/>
            <w:vAlign w:val="center"/>
          </w:tcPr>
          <w:p w14:paraId="2FAC5803">
            <w:pPr>
              <w:pStyle w:val="182"/>
              <w:rPr>
                <w:rFonts w:hint="eastAsia"/>
                <w:bCs/>
                <w:lang w:val="en-US" w:eastAsia="zh-CN"/>
              </w:rPr>
            </w:pPr>
            <w:r>
              <w:rPr>
                <w:rFonts w:hint="eastAsia"/>
                <w:bCs/>
                <w:lang w:val="en-US" w:eastAsia="zh-CN"/>
              </w:rPr>
              <w:t>t/a</w:t>
            </w:r>
          </w:p>
        </w:tc>
        <w:tc>
          <w:tcPr>
            <w:tcW w:w="1927" w:type="dxa"/>
            <w:tcBorders>
              <w:tl2br w:val="nil"/>
              <w:tr2bl w:val="nil"/>
            </w:tcBorders>
            <w:shd w:val="clear" w:color="auto" w:fill="auto"/>
            <w:vAlign w:val="center"/>
          </w:tcPr>
          <w:p w14:paraId="2CCA5572">
            <w:pPr>
              <w:pStyle w:val="182"/>
              <w:ind w:firstLine="0" w:firstLineChars="0"/>
              <w:rPr>
                <w:rFonts w:hint="eastAsia"/>
                <w:b w:val="0"/>
                <w:bCs w:val="0"/>
                <w:u w:val="none"/>
                <w:lang w:val="en-US" w:eastAsia="zh-CN"/>
              </w:rPr>
            </w:pPr>
            <w:r>
              <w:rPr>
                <w:rFonts w:hint="eastAsia"/>
                <w:b w:val="0"/>
                <w:bCs w:val="0"/>
                <w:color w:val="auto"/>
                <w:highlight w:val="none"/>
                <w:u w:val="none"/>
                <w:lang w:val="en-US" w:eastAsia="zh-CN"/>
              </w:rPr>
              <w:t>6.1057</w:t>
            </w:r>
          </w:p>
        </w:tc>
        <w:tc>
          <w:tcPr>
            <w:tcW w:w="1175" w:type="pct"/>
            <w:tcBorders>
              <w:tl2br w:val="nil"/>
              <w:tr2bl w:val="nil"/>
            </w:tcBorders>
            <w:shd w:val="clear" w:color="auto" w:fill="auto"/>
            <w:vAlign w:val="center"/>
          </w:tcPr>
          <w:p w14:paraId="0BE3FC5F">
            <w:pPr>
              <w:pStyle w:val="182"/>
              <w:ind w:firstLine="0" w:firstLineChars="0"/>
              <w:rPr>
                <w:rFonts w:hint="eastAsia"/>
                <w:color w:val="auto"/>
                <w:lang w:val="en-US" w:eastAsia="zh-CN"/>
              </w:rPr>
            </w:pPr>
            <w:r>
              <w:t>/</w:t>
            </w:r>
          </w:p>
        </w:tc>
      </w:tr>
      <w:tr w14:paraId="7342A4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664EA792">
            <w:pPr>
              <w:pStyle w:val="182"/>
              <w:rPr>
                <w:bCs/>
              </w:rPr>
            </w:pPr>
          </w:p>
        </w:tc>
        <w:tc>
          <w:tcPr>
            <w:tcW w:w="470" w:type="pct"/>
            <w:vMerge w:val="continue"/>
            <w:tcBorders>
              <w:tl2br w:val="nil"/>
              <w:tr2bl w:val="nil"/>
            </w:tcBorders>
            <w:shd w:val="clear" w:color="auto" w:fill="auto"/>
            <w:vAlign w:val="center"/>
          </w:tcPr>
          <w:p w14:paraId="7DB46C17">
            <w:pPr>
              <w:pStyle w:val="182"/>
              <w:rPr>
                <w:bCs/>
              </w:rPr>
            </w:pPr>
          </w:p>
        </w:tc>
        <w:tc>
          <w:tcPr>
            <w:tcW w:w="1220" w:type="pct"/>
            <w:tcBorders>
              <w:tl2br w:val="nil"/>
              <w:tr2bl w:val="nil"/>
            </w:tcBorders>
            <w:shd w:val="clear" w:color="auto" w:fill="auto"/>
            <w:vAlign w:val="center"/>
          </w:tcPr>
          <w:p w14:paraId="60862795">
            <w:pPr>
              <w:pStyle w:val="182"/>
              <w:ind w:firstLine="0" w:firstLineChars="0"/>
              <w:rPr>
                <w:rFonts w:hint="eastAsia"/>
                <w:bCs/>
              </w:rPr>
            </w:pPr>
            <w:r>
              <w:rPr>
                <w:rFonts w:hint="eastAsia"/>
                <w:color w:val="auto"/>
                <w:lang w:val="en-US" w:eastAsia="zh-CN"/>
              </w:rPr>
              <w:t>水量</w:t>
            </w:r>
          </w:p>
        </w:tc>
        <w:tc>
          <w:tcPr>
            <w:tcW w:w="739" w:type="pct"/>
            <w:tcBorders>
              <w:tl2br w:val="nil"/>
              <w:tr2bl w:val="nil"/>
            </w:tcBorders>
            <w:shd w:val="clear" w:color="auto" w:fill="auto"/>
            <w:vAlign w:val="center"/>
          </w:tcPr>
          <w:p w14:paraId="3781FBA1">
            <w:pPr>
              <w:pStyle w:val="182"/>
              <w:rPr>
                <w:bCs/>
              </w:rPr>
            </w:pPr>
            <w:r>
              <w:rPr>
                <w:rFonts w:hint="eastAsia"/>
                <w:bCs/>
                <w:lang w:val="en-US" w:eastAsia="zh-CN"/>
              </w:rPr>
              <w:t>（万t/a）</w:t>
            </w:r>
          </w:p>
        </w:tc>
        <w:tc>
          <w:tcPr>
            <w:tcW w:w="1142" w:type="pct"/>
            <w:tcBorders>
              <w:tl2br w:val="nil"/>
              <w:tr2bl w:val="nil"/>
            </w:tcBorders>
            <w:shd w:val="clear" w:color="auto" w:fill="auto"/>
            <w:vAlign w:val="center"/>
          </w:tcPr>
          <w:p w14:paraId="28D160FB">
            <w:pPr>
              <w:pStyle w:val="182"/>
              <w:ind w:firstLine="0" w:firstLineChars="0"/>
              <w:rPr>
                <w:rFonts w:hint="eastAsia"/>
                <w:b w:val="0"/>
                <w:bCs w:val="0"/>
                <w:u w:val="none"/>
              </w:rPr>
            </w:pPr>
            <w:r>
              <w:rPr>
                <w:b w:val="0"/>
                <w:bCs w:val="0"/>
                <w:u w:val="none"/>
              </w:rPr>
              <w:t>1112</w:t>
            </w:r>
            <w:r>
              <w:rPr>
                <w:rFonts w:hint="eastAsia"/>
                <w:b w:val="0"/>
                <w:bCs w:val="0"/>
                <w:u w:val="none"/>
              </w:rPr>
              <w:t>.</w:t>
            </w:r>
            <w:r>
              <w:rPr>
                <w:b w:val="0"/>
                <w:bCs w:val="0"/>
                <w:u w:val="none"/>
              </w:rPr>
              <w:t>1489</w:t>
            </w:r>
          </w:p>
        </w:tc>
        <w:tc>
          <w:tcPr>
            <w:tcW w:w="1175" w:type="pct"/>
            <w:tcBorders>
              <w:tl2br w:val="nil"/>
              <w:tr2bl w:val="nil"/>
            </w:tcBorders>
            <w:shd w:val="clear" w:color="auto" w:fill="auto"/>
            <w:vAlign w:val="center"/>
          </w:tcPr>
          <w:p w14:paraId="7E3E8089">
            <w:pPr>
              <w:pStyle w:val="182"/>
              <w:ind w:firstLine="0" w:firstLineChars="0"/>
            </w:pPr>
            <w:r>
              <w:t>/</w:t>
            </w:r>
          </w:p>
        </w:tc>
      </w:tr>
      <w:tr w14:paraId="60303D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restart"/>
            <w:tcBorders>
              <w:tl2br w:val="nil"/>
              <w:tr2bl w:val="nil"/>
            </w:tcBorders>
            <w:shd w:val="clear" w:color="auto" w:fill="auto"/>
            <w:vAlign w:val="center"/>
          </w:tcPr>
          <w:p w14:paraId="0F716528">
            <w:pPr>
              <w:pStyle w:val="182"/>
              <w:rPr>
                <w:bCs/>
              </w:rPr>
            </w:pPr>
            <w:r>
              <w:rPr>
                <w:rFonts w:hint="eastAsia"/>
                <w:bCs/>
              </w:rPr>
              <w:t>废气</w:t>
            </w:r>
          </w:p>
        </w:tc>
        <w:tc>
          <w:tcPr>
            <w:tcW w:w="470" w:type="pct"/>
            <w:vMerge w:val="restart"/>
            <w:tcBorders>
              <w:tl2br w:val="nil"/>
              <w:tr2bl w:val="nil"/>
            </w:tcBorders>
            <w:shd w:val="clear" w:color="auto" w:fill="auto"/>
            <w:vAlign w:val="center"/>
          </w:tcPr>
          <w:p w14:paraId="6964C3ED">
            <w:pPr>
              <w:pStyle w:val="182"/>
              <w:rPr>
                <w:bCs/>
              </w:rPr>
            </w:pPr>
            <w:r>
              <w:rPr>
                <w:rFonts w:hint="eastAsia"/>
                <w:bCs/>
              </w:rPr>
              <w:t>有组织废气</w:t>
            </w:r>
          </w:p>
        </w:tc>
        <w:tc>
          <w:tcPr>
            <w:tcW w:w="1220" w:type="pct"/>
            <w:tcBorders>
              <w:tl2br w:val="nil"/>
              <w:tr2bl w:val="nil"/>
            </w:tcBorders>
            <w:shd w:val="clear" w:color="auto" w:fill="auto"/>
            <w:vAlign w:val="center"/>
          </w:tcPr>
          <w:p w14:paraId="37118F7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rPr>
              <w:t>颗粒物</w:t>
            </w:r>
          </w:p>
        </w:tc>
        <w:tc>
          <w:tcPr>
            <w:tcW w:w="739" w:type="pct"/>
            <w:tcBorders>
              <w:tl2br w:val="nil"/>
              <w:tr2bl w:val="nil"/>
            </w:tcBorders>
            <w:shd w:val="clear" w:color="auto" w:fill="auto"/>
            <w:vAlign w:val="center"/>
          </w:tcPr>
          <w:p w14:paraId="306D1F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rPr>
              <w:t>t/a</w:t>
            </w:r>
          </w:p>
        </w:tc>
        <w:tc>
          <w:tcPr>
            <w:tcW w:w="1927" w:type="dxa"/>
            <w:tcBorders>
              <w:tl2br w:val="nil"/>
              <w:tr2bl w:val="nil"/>
            </w:tcBorders>
            <w:shd w:val="clear" w:color="auto" w:fill="auto"/>
            <w:vAlign w:val="center"/>
          </w:tcPr>
          <w:p w14:paraId="159CEFC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val="0"/>
                <w:bCs w:val="0"/>
                <w:highlight w:val="none"/>
                <w:u w:val="none"/>
              </w:rPr>
              <w:t>10.589</w:t>
            </w:r>
          </w:p>
        </w:tc>
        <w:tc>
          <w:tcPr>
            <w:tcW w:w="1175" w:type="pct"/>
            <w:tcBorders>
              <w:tl2br w:val="nil"/>
              <w:tr2bl w:val="nil"/>
            </w:tcBorders>
            <w:shd w:val="clear" w:color="auto" w:fill="auto"/>
            <w:vAlign w:val="center"/>
          </w:tcPr>
          <w:p w14:paraId="0D79357A">
            <w:pPr>
              <w:pStyle w:val="182"/>
              <w:ind w:firstLine="0" w:firstLineChars="0"/>
              <w:rPr>
                <w:rFonts w:hint="eastAsia"/>
              </w:rPr>
            </w:pPr>
            <w:r>
              <w:t>21.7931</w:t>
            </w:r>
          </w:p>
        </w:tc>
      </w:tr>
      <w:tr w14:paraId="28CBE3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45F40D50">
            <w:pPr>
              <w:pStyle w:val="182"/>
              <w:rPr>
                <w:bCs/>
              </w:rPr>
            </w:pPr>
          </w:p>
        </w:tc>
        <w:tc>
          <w:tcPr>
            <w:tcW w:w="470" w:type="pct"/>
            <w:vMerge w:val="continue"/>
            <w:tcBorders>
              <w:tl2br w:val="nil"/>
              <w:tr2bl w:val="nil"/>
            </w:tcBorders>
            <w:shd w:val="clear" w:color="auto" w:fill="auto"/>
            <w:vAlign w:val="center"/>
          </w:tcPr>
          <w:p w14:paraId="06C069F1">
            <w:pPr>
              <w:pStyle w:val="182"/>
              <w:rPr>
                <w:bCs/>
              </w:rPr>
            </w:pPr>
          </w:p>
        </w:tc>
        <w:tc>
          <w:tcPr>
            <w:tcW w:w="1220" w:type="pct"/>
            <w:tcBorders>
              <w:tl2br w:val="nil"/>
              <w:tr2bl w:val="nil"/>
            </w:tcBorders>
            <w:shd w:val="clear" w:color="auto" w:fill="auto"/>
            <w:vAlign w:val="center"/>
          </w:tcPr>
          <w:p w14:paraId="5436D5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rPr>
              <w:t>SO</w:t>
            </w:r>
            <w:r>
              <w:rPr>
                <w:rFonts w:hint="eastAsia"/>
                <w:vertAlign w:val="subscript"/>
              </w:rPr>
              <w:t>2</w:t>
            </w:r>
          </w:p>
        </w:tc>
        <w:tc>
          <w:tcPr>
            <w:tcW w:w="739" w:type="pct"/>
            <w:tcBorders>
              <w:tl2br w:val="nil"/>
              <w:tr2bl w:val="nil"/>
            </w:tcBorders>
            <w:shd w:val="clear" w:color="auto" w:fill="auto"/>
            <w:noWrap/>
            <w:vAlign w:val="center"/>
          </w:tcPr>
          <w:p w14:paraId="7A1CBDC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rPr>
              <w:t>t/a</w:t>
            </w:r>
          </w:p>
        </w:tc>
        <w:tc>
          <w:tcPr>
            <w:tcW w:w="1927" w:type="dxa"/>
            <w:tcBorders>
              <w:tl2br w:val="nil"/>
              <w:tr2bl w:val="nil"/>
            </w:tcBorders>
            <w:shd w:val="clear" w:color="auto" w:fill="auto"/>
            <w:noWrap/>
            <w:vAlign w:val="center"/>
          </w:tcPr>
          <w:p w14:paraId="63B885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val="0"/>
                <w:bCs w:val="0"/>
                <w:u w:val="none"/>
                <w:lang w:val="en-US" w:eastAsia="zh-CN"/>
              </w:rPr>
            </w:pPr>
            <w:r>
              <w:rPr>
                <w:rFonts w:hint="eastAsia" w:eastAsia="宋体"/>
                <w:b w:val="0"/>
                <w:bCs w:val="0"/>
                <w:highlight w:val="none"/>
                <w:u w:val="none"/>
                <w:lang w:val="en-US" w:eastAsia="zh-CN"/>
              </w:rPr>
              <w:t>70.37</w:t>
            </w:r>
          </w:p>
        </w:tc>
        <w:tc>
          <w:tcPr>
            <w:tcW w:w="1175" w:type="pct"/>
            <w:tcBorders>
              <w:tl2br w:val="nil"/>
              <w:tr2bl w:val="nil"/>
            </w:tcBorders>
            <w:shd w:val="clear" w:color="auto" w:fill="auto"/>
            <w:noWrap/>
            <w:vAlign w:val="center"/>
          </w:tcPr>
          <w:p w14:paraId="618636DB">
            <w:pPr>
              <w:pStyle w:val="182"/>
              <w:ind w:firstLine="0" w:firstLineChars="0"/>
              <w:rPr>
                <w:rFonts w:hint="eastAsia"/>
              </w:rPr>
            </w:pPr>
            <w:r>
              <w:t>117.67</w:t>
            </w:r>
          </w:p>
        </w:tc>
      </w:tr>
      <w:tr w14:paraId="4B2702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00CB4CD5">
            <w:pPr>
              <w:pStyle w:val="182"/>
              <w:rPr>
                <w:bCs/>
              </w:rPr>
            </w:pPr>
          </w:p>
        </w:tc>
        <w:tc>
          <w:tcPr>
            <w:tcW w:w="470" w:type="pct"/>
            <w:vMerge w:val="continue"/>
            <w:tcBorders>
              <w:tl2br w:val="nil"/>
              <w:tr2bl w:val="nil"/>
            </w:tcBorders>
            <w:shd w:val="clear" w:color="auto" w:fill="auto"/>
            <w:vAlign w:val="center"/>
          </w:tcPr>
          <w:p w14:paraId="5FD00127">
            <w:pPr>
              <w:pStyle w:val="182"/>
              <w:rPr>
                <w:bCs/>
              </w:rPr>
            </w:pPr>
          </w:p>
        </w:tc>
        <w:tc>
          <w:tcPr>
            <w:tcW w:w="1220" w:type="pct"/>
            <w:tcBorders>
              <w:tl2br w:val="nil"/>
              <w:tr2bl w:val="nil"/>
            </w:tcBorders>
            <w:shd w:val="clear" w:color="auto" w:fill="auto"/>
            <w:vAlign w:val="center"/>
          </w:tcPr>
          <w:p w14:paraId="36AEAA7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rPr>
              <w:t>NOx</w:t>
            </w:r>
          </w:p>
        </w:tc>
        <w:tc>
          <w:tcPr>
            <w:tcW w:w="739" w:type="pct"/>
            <w:tcBorders>
              <w:tl2br w:val="nil"/>
              <w:tr2bl w:val="nil"/>
            </w:tcBorders>
            <w:shd w:val="clear" w:color="auto" w:fill="auto"/>
            <w:noWrap/>
            <w:vAlign w:val="center"/>
          </w:tcPr>
          <w:p w14:paraId="3373F3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rPr>
              <w:t>t/a</w:t>
            </w:r>
          </w:p>
        </w:tc>
        <w:tc>
          <w:tcPr>
            <w:tcW w:w="1927" w:type="dxa"/>
            <w:tcBorders>
              <w:tl2br w:val="nil"/>
              <w:tr2bl w:val="nil"/>
            </w:tcBorders>
            <w:shd w:val="clear" w:color="auto" w:fill="auto"/>
            <w:noWrap/>
            <w:vAlign w:val="center"/>
          </w:tcPr>
          <w:p w14:paraId="15B164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val="0"/>
                <w:bCs w:val="0"/>
                <w:u w:val="none"/>
                <w:lang w:val="en-US" w:eastAsia="zh-CN"/>
              </w:rPr>
            </w:pPr>
            <w:r>
              <w:rPr>
                <w:rFonts w:hint="eastAsia" w:eastAsia="宋体"/>
                <w:b w:val="0"/>
                <w:bCs w:val="0"/>
                <w:highlight w:val="none"/>
                <w:u w:val="none"/>
                <w:lang w:val="en-US" w:eastAsia="zh-CN"/>
              </w:rPr>
              <w:t>127.9072</w:t>
            </w:r>
          </w:p>
        </w:tc>
        <w:tc>
          <w:tcPr>
            <w:tcW w:w="1175" w:type="pct"/>
            <w:tcBorders>
              <w:tl2br w:val="nil"/>
              <w:tr2bl w:val="nil"/>
            </w:tcBorders>
            <w:shd w:val="clear" w:color="auto" w:fill="auto"/>
            <w:noWrap/>
            <w:vAlign w:val="center"/>
          </w:tcPr>
          <w:p w14:paraId="22B7F5FD">
            <w:pPr>
              <w:pStyle w:val="182"/>
              <w:ind w:firstLine="0" w:firstLineChars="0"/>
              <w:rPr>
                <w:rFonts w:hint="eastAsia"/>
              </w:rPr>
            </w:pPr>
            <w:r>
              <w:t>163.3773</w:t>
            </w:r>
          </w:p>
        </w:tc>
      </w:tr>
      <w:tr w14:paraId="3A82E0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15F4C6BA">
            <w:pPr>
              <w:pStyle w:val="182"/>
              <w:rPr>
                <w:bCs/>
              </w:rPr>
            </w:pPr>
          </w:p>
        </w:tc>
        <w:tc>
          <w:tcPr>
            <w:tcW w:w="470" w:type="pct"/>
            <w:vMerge w:val="continue"/>
            <w:tcBorders>
              <w:tl2br w:val="nil"/>
              <w:tr2bl w:val="nil"/>
            </w:tcBorders>
            <w:shd w:val="clear" w:color="auto" w:fill="auto"/>
            <w:vAlign w:val="center"/>
          </w:tcPr>
          <w:p w14:paraId="5C099999">
            <w:pPr>
              <w:pStyle w:val="182"/>
              <w:rPr>
                <w:bCs/>
              </w:rPr>
            </w:pPr>
          </w:p>
        </w:tc>
        <w:tc>
          <w:tcPr>
            <w:tcW w:w="1220" w:type="pct"/>
            <w:tcBorders>
              <w:tl2br w:val="nil"/>
              <w:tr2bl w:val="nil"/>
            </w:tcBorders>
            <w:shd w:val="clear" w:color="auto" w:fill="auto"/>
            <w:vAlign w:val="center"/>
          </w:tcPr>
          <w:p w14:paraId="39F071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rPr>
              <w:t>汞及其化合物</w:t>
            </w:r>
          </w:p>
        </w:tc>
        <w:tc>
          <w:tcPr>
            <w:tcW w:w="739" w:type="pct"/>
            <w:tcBorders>
              <w:tl2br w:val="nil"/>
              <w:tr2bl w:val="nil"/>
            </w:tcBorders>
            <w:shd w:val="clear" w:color="auto" w:fill="auto"/>
            <w:noWrap/>
            <w:vAlign w:val="center"/>
          </w:tcPr>
          <w:p w14:paraId="6EB4E2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rPr>
              <w:t>t/a</w:t>
            </w:r>
          </w:p>
        </w:tc>
        <w:tc>
          <w:tcPr>
            <w:tcW w:w="1927" w:type="dxa"/>
            <w:tcBorders>
              <w:tl2br w:val="nil"/>
              <w:tr2bl w:val="nil"/>
            </w:tcBorders>
            <w:shd w:val="clear" w:color="auto" w:fill="auto"/>
            <w:noWrap/>
            <w:vAlign w:val="center"/>
          </w:tcPr>
          <w:p w14:paraId="58FED8F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val="0"/>
                <w:bCs w:val="0"/>
                <w:u w:val="none"/>
              </w:rPr>
            </w:pPr>
            <w:r>
              <w:rPr>
                <w:rFonts w:hint="eastAsia"/>
                <w:b w:val="0"/>
                <w:bCs w:val="0"/>
                <w:highlight w:val="none"/>
                <w:u w:val="none"/>
              </w:rPr>
              <w:t>0.0015</w:t>
            </w:r>
          </w:p>
        </w:tc>
        <w:tc>
          <w:tcPr>
            <w:tcW w:w="1175" w:type="pct"/>
            <w:tcBorders>
              <w:tl2br w:val="nil"/>
              <w:tr2bl w:val="nil"/>
            </w:tcBorders>
            <w:shd w:val="clear" w:color="auto" w:fill="auto"/>
            <w:noWrap/>
            <w:vAlign w:val="center"/>
          </w:tcPr>
          <w:p w14:paraId="2F9645E1">
            <w:pPr>
              <w:pStyle w:val="182"/>
              <w:ind w:firstLine="0" w:firstLineChars="0"/>
              <w:rPr>
                <w:rFonts w:hint="eastAsia"/>
              </w:rPr>
            </w:pPr>
            <w:r>
              <w:t>/</w:t>
            </w:r>
          </w:p>
        </w:tc>
      </w:tr>
      <w:tr w14:paraId="02FA88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726AF012">
            <w:pPr>
              <w:pStyle w:val="182"/>
              <w:rPr>
                <w:bCs/>
              </w:rPr>
            </w:pPr>
          </w:p>
        </w:tc>
        <w:tc>
          <w:tcPr>
            <w:tcW w:w="470" w:type="pct"/>
            <w:vMerge w:val="continue"/>
            <w:tcBorders>
              <w:tl2br w:val="nil"/>
              <w:tr2bl w:val="nil"/>
            </w:tcBorders>
            <w:shd w:val="clear" w:color="auto" w:fill="auto"/>
            <w:vAlign w:val="center"/>
          </w:tcPr>
          <w:p w14:paraId="39E2F3BA">
            <w:pPr>
              <w:pStyle w:val="182"/>
              <w:rPr>
                <w:bCs/>
              </w:rPr>
            </w:pPr>
          </w:p>
        </w:tc>
        <w:tc>
          <w:tcPr>
            <w:tcW w:w="1220" w:type="pct"/>
            <w:tcBorders>
              <w:tl2br w:val="nil"/>
              <w:tr2bl w:val="nil"/>
            </w:tcBorders>
            <w:shd w:val="clear" w:color="auto" w:fill="auto"/>
            <w:vAlign w:val="center"/>
          </w:tcPr>
          <w:p w14:paraId="11CB9A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rPr>
              <w:t>氨</w:t>
            </w:r>
          </w:p>
        </w:tc>
        <w:tc>
          <w:tcPr>
            <w:tcW w:w="739" w:type="pct"/>
            <w:tcBorders>
              <w:tl2br w:val="nil"/>
              <w:tr2bl w:val="nil"/>
            </w:tcBorders>
            <w:shd w:val="clear" w:color="auto" w:fill="auto"/>
            <w:noWrap/>
            <w:vAlign w:val="center"/>
          </w:tcPr>
          <w:p w14:paraId="5D85D5E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rPr>
              <w:t>t/a</w:t>
            </w:r>
          </w:p>
        </w:tc>
        <w:tc>
          <w:tcPr>
            <w:tcW w:w="1927" w:type="dxa"/>
            <w:tcBorders>
              <w:tl2br w:val="nil"/>
              <w:tr2bl w:val="nil"/>
            </w:tcBorders>
            <w:shd w:val="clear" w:color="auto" w:fill="auto"/>
            <w:noWrap/>
            <w:vAlign w:val="center"/>
          </w:tcPr>
          <w:p w14:paraId="5341BBF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val="0"/>
                <w:bCs w:val="0"/>
                <w:u w:val="none"/>
                <w:lang w:val="en-US" w:eastAsia="zh-CN"/>
              </w:rPr>
            </w:pPr>
            <w:r>
              <w:rPr>
                <w:rFonts w:hint="eastAsia" w:eastAsia="宋体"/>
                <w:b w:val="0"/>
                <w:bCs w:val="0"/>
                <w:highlight w:val="none"/>
                <w:u w:val="none"/>
                <w:lang w:val="en-US" w:eastAsia="zh-CN"/>
              </w:rPr>
              <w:t>7.82</w:t>
            </w:r>
          </w:p>
        </w:tc>
        <w:tc>
          <w:tcPr>
            <w:tcW w:w="1175" w:type="pct"/>
            <w:tcBorders>
              <w:tl2br w:val="nil"/>
              <w:tr2bl w:val="nil"/>
            </w:tcBorders>
            <w:shd w:val="clear" w:color="auto" w:fill="auto"/>
            <w:noWrap/>
            <w:vAlign w:val="center"/>
          </w:tcPr>
          <w:p w14:paraId="709ACAC6">
            <w:pPr>
              <w:pStyle w:val="182"/>
              <w:ind w:firstLine="0" w:firstLineChars="0"/>
              <w:rPr>
                <w:rFonts w:hint="eastAsia"/>
              </w:rPr>
            </w:pPr>
            <w:r>
              <w:t>/</w:t>
            </w:r>
          </w:p>
        </w:tc>
      </w:tr>
      <w:tr w14:paraId="048196B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057A6741">
            <w:pPr>
              <w:pStyle w:val="182"/>
              <w:rPr>
                <w:bCs/>
              </w:rPr>
            </w:pPr>
          </w:p>
        </w:tc>
        <w:tc>
          <w:tcPr>
            <w:tcW w:w="470" w:type="pct"/>
            <w:vMerge w:val="continue"/>
            <w:tcBorders>
              <w:tl2br w:val="nil"/>
              <w:tr2bl w:val="nil"/>
            </w:tcBorders>
            <w:shd w:val="clear" w:color="auto" w:fill="auto"/>
            <w:vAlign w:val="center"/>
          </w:tcPr>
          <w:p w14:paraId="50BA00AE">
            <w:pPr>
              <w:pStyle w:val="182"/>
              <w:rPr>
                <w:bCs/>
              </w:rPr>
            </w:pPr>
          </w:p>
        </w:tc>
        <w:tc>
          <w:tcPr>
            <w:tcW w:w="1220" w:type="pct"/>
            <w:tcBorders>
              <w:tl2br w:val="nil"/>
              <w:tr2bl w:val="nil"/>
            </w:tcBorders>
            <w:shd w:val="clear" w:color="auto" w:fill="auto"/>
            <w:vAlign w:val="center"/>
          </w:tcPr>
          <w:p w14:paraId="7185F85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lang w:val="en-US" w:eastAsia="zh-CN"/>
              </w:rPr>
            </w:pPr>
            <w:r>
              <w:rPr>
                <w:rFonts w:hint="eastAsia"/>
              </w:rPr>
              <w:t>H</w:t>
            </w:r>
            <w:r>
              <w:rPr>
                <w:rFonts w:hint="eastAsia"/>
                <w:vertAlign w:val="subscript"/>
              </w:rPr>
              <w:t>2</w:t>
            </w:r>
            <w:r>
              <w:rPr>
                <w:rFonts w:hint="eastAsia"/>
              </w:rPr>
              <w:t>S</w:t>
            </w:r>
          </w:p>
        </w:tc>
        <w:tc>
          <w:tcPr>
            <w:tcW w:w="739" w:type="pct"/>
            <w:tcBorders>
              <w:tl2br w:val="nil"/>
              <w:tr2bl w:val="nil"/>
            </w:tcBorders>
            <w:shd w:val="clear" w:color="auto" w:fill="auto"/>
            <w:noWrap/>
            <w:vAlign w:val="center"/>
          </w:tcPr>
          <w:p w14:paraId="5FE7AFE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t/a</w:t>
            </w:r>
          </w:p>
        </w:tc>
        <w:tc>
          <w:tcPr>
            <w:tcW w:w="1927" w:type="dxa"/>
            <w:tcBorders>
              <w:tl2br w:val="nil"/>
              <w:tr2bl w:val="nil"/>
            </w:tcBorders>
            <w:shd w:val="clear" w:color="auto" w:fill="auto"/>
            <w:noWrap/>
            <w:vAlign w:val="center"/>
          </w:tcPr>
          <w:p w14:paraId="7C4F71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val="0"/>
                <w:bCs w:val="0"/>
                <w:u w:val="none"/>
                <w:lang w:val="en-US" w:eastAsia="zh-CN"/>
              </w:rPr>
            </w:pPr>
            <w:r>
              <w:rPr>
                <w:rFonts w:hint="eastAsia" w:eastAsia="宋体"/>
                <w:b w:val="0"/>
                <w:bCs w:val="0"/>
                <w:highlight w:val="none"/>
                <w:u w:val="none"/>
                <w:lang w:val="en-US" w:eastAsia="zh-CN"/>
              </w:rPr>
              <w:t>31.2</w:t>
            </w:r>
          </w:p>
        </w:tc>
        <w:tc>
          <w:tcPr>
            <w:tcW w:w="1175" w:type="pct"/>
            <w:tcBorders>
              <w:tl2br w:val="nil"/>
              <w:tr2bl w:val="nil"/>
            </w:tcBorders>
            <w:shd w:val="clear" w:color="auto" w:fill="auto"/>
            <w:noWrap/>
            <w:vAlign w:val="center"/>
          </w:tcPr>
          <w:p w14:paraId="71D7CC73">
            <w:pPr>
              <w:pStyle w:val="182"/>
              <w:ind w:firstLine="0" w:firstLineChars="0"/>
              <w:rPr>
                <w:rFonts w:hint="eastAsia"/>
              </w:rPr>
            </w:pPr>
            <w:r>
              <w:t>/</w:t>
            </w:r>
          </w:p>
        </w:tc>
      </w:tr>
      <w:tr w14:paraId="14B3FF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1ABABA5C">
            <w:pPr>
              <w:pStyle w:val="182"/>
              <w:rPr>
                <w:bCs/>
              </w:rPr>
            </w:pPr>
          </w:p>
        </w:tc>
        <w:tc>
          <w:tcPr>
            <w:tcW w:w="470" w:type="pct"/>
            <w:vMerge w:val="continue"/>
            <w:tcBorders>
              <w:tl2br w:val="nil"/>
              <w:tr2bl w:val="nil"/>
            </w:tcBorders>
            <w:shd w:val="clear" w:color="auto" w:fill="auto"/>
            <w:vAlign w:val="center"/>
          </w:tcPr>
          <w:p w14:paraId="107E05BE">
            <w:pPr>
              <w:pStyle w:val="182"/>
              <w:rPr>
                <w:bCs/>
              </w:rPr>
            </w:pPr>
          </w:p>
        </w:tc>
        <w:tc>
          <w:tcPr>
            <w:tcW w:w="1220" w:type="pct"/>
            <w:tcBorders>
              <w:tl2br w:val="nil"/>
              <w:tr2bl w:val="nil"/>
            </w:tcBorders>
            <w:shd w:val="clear" w:color="auto" w:fill="auto"/>
            <w:vAlign w:val="center"/>
          </w:tcPr>
          <w:p w14:paraId="4061669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lang w:val="en-US" w:eastAsia="zh-CN"/>
              </w:rPr>
            </w:pPr>
            <w:r>
              <w:rPr>
                <w:rFonts w:hint="eastAsia"/>
              </w:rPr>
              <w:t>CS</w:t>
            </w:r>
            <w:r>
              <w:rPr>
                <w:rFonts w:hint="eastAsia"/>
                <w:vertAlign w:val="subscript"/>
              </w:rPr>
              <w:t>2</w:t>
            </w:r>
          </w:p>
        </w:tc>
        <w:tc>
          <w:tcPr>
            <w:tcW w:w="739" w:type="pct"/>
            <w:tcBorders>
              <w:tl2br w:val="nil"/>
              <w:tr2bl w:val="nil"/>
            </w:tcBorders>
            <w:shd w:val="clear" w:color="auto" w:fill="auto"/>
            <w:noWrap/>
            <w:vAlign w:val="center"/>
          </w:tcPr>
          <w:p w14:paraId="2FE418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t/a</w:t>
            </w:r>
          </w:p>
        </w:tc>
        <w:tc>
          <w:tcPr>
            <w:tcW w:w="1927" w:type="dxa"/>
            <w:tcBorders>
              <w:tl2br w:val="nil"/>
              <w:tr2bl w:val="nil"/>
            </w:tcBorders>
            <w:shd w:val="clear" w:color="auto" w:fill="auto"/>
            <w:noWrap/>
            <w:vAlign w:val="center"/>
          </w:tcPr>
          <w:p w14:paraId="6B4577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val="0"/>
                <w:bCs w:val="0"/>
                <w:u w:val="none"/>
                <w:lang w:val="en-US" w:eastAsia="zh-CN"/>
              </w:rPr>
            </w:pPr>
            <w:r>
              <w:rPr>
                <w:rFonts w:hint="eastAsia" w:eastAsia="宋体"/>
                <w:b w:val="0"/>
                <w:bCs w:val="0"/>
                <w:highlight w:val="none"/>
                <w:u w:val="none"/>
                <w:lang w:val="en-US" w:eastAsia="zh-CN"/>
              </w:rPr>
              <w:t>216.77</w:t>
            </w:r>
          </w:p>
        </w:tc>
        <w:tc>
          <w:tcPr>
            <w:tcW w:w="1175" w:type="pct"/>
            <w:tcBorders>
              <w:tl2br w:val="nil"/>
              <w:tr2bl w:val="nil"/>
            </w:tcBorders>
            <w:shd w:val="clear" w:color="auto" w:fill="auto"/>
            <w:noWrap/>
            <w:vAlign w:val="center"/>
          </w:tcPr>
          <w:p w14:paraId="1219319A">
            <w:pPr>
              <w:pStyle w:val="182"/>
              <w:ind w:firstLine="0" w:firstLineChars="0"/>
              <w:rPr>
                <w:rFonts w:hint="eastAsia"/>
              </w:rPr>
            </w:pPr>
            <w:r>
              <w:t>/</w:t>
            </w:r>
          </w:p>
        </w:tc>
      </w:tr>
      <w:tr w14:paraId="3185F8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41D94516">
            <w:pPr>
              <w:pStyle w:val="182"/>
              <w:rPr>
                <w:bCs/>
              </w:rPr>
            </w:pPr>
          </w:p>
        </w:tc>
        <w:tc>
          <w:tcPr>
            <w:tcW w:w="470" w:type="pct"/>
            <w:vMerge w:val="continue"/>
            <w:tcBorders>
              <w:tl2br w:val="nil"/>
              <w:tr2bl w:val="nil"/>
            </w:tcBorders>
            <w:shd w:val="clear" w:color="auto" w:fill="auto"/>
            <w:vAlign w:val="center"/>
          </w:tcPr>
          <w:p w14:paraId="5D097B75">
            <w:pPr>
              <w:pStyle w:val="182"/>
              <w:rPr>
                <w:bCs/>
              </w:rPr>
            </w:pPr>
          </w:p>
        </w:tc>
        <w:tc>
          <w:tcPr>
            <w:tcW w:w="1220" w:type="pct"/>
            <w:tcBorders>
              <w:tl2br w:val="nil"/>
              <w:tr2bl w:val="nil"/>
            </w:tcBorders>
            <w:shd w:val="clear" w:color="auto" w:fill="auto"/>
            <w:vAlign w:val="center"/>
          </w:tcPr>
          <w:p w14:paraId="1210940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rPr>
              <w:t>非甲烷总烃</w:t>
            </w:r>
          </w:p>
        </w:tc>
        <w:tc>
          <w:tcPr>
            <w:tcW w:w="739" w:type="pct"/>
            <w:tcBorders>
              <w:tl2br w:val="nil"/>
              <w:tr2bl w:val="nil"/>
            </w:tcBorders>
            <w:shd w:val="clear" w:color="auto" w:fill="auto"/>
            <w:vAlign w:val="center"/>
          </w:tcPr>
          <w:p w14:paraId="74D72A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rPr>
              <w:t>t/a</w:t>
            </w:r>
          </w:p>
        </w:tc>
        <w:tc>
          <w:tcPr>
            <w:tcW w:w="1927" w:type="dxa"/>
            <w:tcBorders>
              <w:tl2br w:val="nil"/>
              <w:tr2bl w:val="nil"/>
            </w:tcBorders>
            <w:shd w:val="clear" w:color="auto" w:fill="auto"/>
            <w:vAlign w:val="center"/>
          </w:tcPr>
          <w:p w14:paraId="622794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val="0"/>
                <w:bCs w:val="0"/>
                <w:u w:val="none"/>
                <w:lang w:val="en-US" w:eastAsia="zh-CN"/>
              </w:rPr>
            </w:pPr>
            <w:r>
              <w:rPr>
                <w:rFonts w:hint="eastAsia" w:eastAsia="宋体"/>
                <w:b w:val="0"/>
                <w:bCs w:val="0"/>
                <w:highlight w:val="none"/>
                <w:u w:val="none"/>
                <w:lang w:val="en-US" w:eastAsia="zh-CN"/>
              </w:rPr>
              <w:t>49.83</w:t>
            </w:r>
          </w:p>
        </w:tc>
        <w:tc>
          <w:tcPr>
            <w:tcW w:w="1175" w:type="pct"/>
            <w:tcBorders>
              <w:tl2br w:val="nil"/>
              <w:tr2bl w:val="nil"/>
            </w:tcBorders>
            <w:shd w:val="clear" w:color="auto" w:fill="auto"/>
            <w:vAlign w:val="center"/>
          </w:tcPr>
          <w:p w14:paraId="5C59022C">
            <w:pPr>
              <w:pStyle w:val="182"/>
              <w:ind w:firstLine="0" w:firstLineChars="0"/>
              <w:rPr>
                <w:rFonts w:hint="eastAsia"/>
              </w:rPr>
            </w:pPr>
            <w:r>
              <w:t>64.9715</w:t>
            </w:r>
          </w:p>
        </w:tc>
      </w:tr>
      <w:tr w14:paraId="1D2710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restart"/>
            <w:tcBorders>
              <w:tl2br w:val="nil"/>
              <w:tr2bl w:val="nil"/>
            </w:tcBorders>
            <w:shd w:val="clear" w:color="auto" w:fill="auto"/>
            <w:vAlign w:val="center"/>
          </w:tcPr>
          <w:p w14:paraId="05C4AADE">
            <w:pPr>
              <w:pStyle w:val="182"/>
              <w:rPr>
                <w:bCs/>
              </w:rPr>
            </w:pPr>
            <w:r>
              <w:rPr>
                <w:bCs/>
              </w:rPr>
              <w:t>固废</w:t>
            </w:r>
          </w:p>
        </w:tc>
        <w:tc>
          <w:tcPr>
            <w:tcW w:w="470" w:type="pct"/>
            <w:tcBorders>
              <w:tl2br w:val="nil"/>
              <w:tr2bl w:val="nil"/>
            </w:tcBorders>
            <w:shd w:val="clear" w:color="auto" w:fill="auto"/>
            <w:vAlign w:val="center"/>
          </w:tcPr>
          <w:p w14:paraId="0B1F90B3">
            <w:pPr>
              <w:pStyle w:val="182"/>
              <w:rPr>
                <w:bCs/>
              </w:rPr>
            </w:pPr>
            <w:r>
              <w:rPr>
                <w:rFonts w:hint="eastAsia"/>
                <w:bCs/>
              </w:rPr>
              <w:t>一般固废</w:t>
            </w:r>
          </w:p>
        </w:tc>
        <w:tc>
          <w:tcPr>
            <w:tcW w:w="1220" w:type="pct"/>
            <w:tcBorders>
              <w:tl2br w:val="nil"/>
              <w:tr2bl w:val="nil"/>
            </w:tcBorders>
            <w:shd w:val="clear" w:color="auto" w:fill="auto"/>
            <w:vAlign w:val="center"/>
          </w:tcPr>
          <w:p w14:paraId="5C3A42C3">
            <w:pPr>
              <w:pStyle w:val="182"/>
              <w:rPr>
                <w:bCs/>
              </w:rPr>
            </w:pPr>
            <w:r>
              <w:rPr>
                <w:bCs/>
              </w:rPr>
              <w:t>t/a</w:t>
            </w:r>
          </w:p>
        </w:tc>
        <w:tc>
          <w:tcPr>
            <w:tcW w:w="739" w:type="pct"/>
            <w:tcBorders>
              <w:tl2br w:val="nil"/>
              <w:tr2bl w:val="nil"/>
            </w:tcBorders>
            <w:shd w:val="clear" w:color="auto" w:fill="auto"/>
            <w:vAlign w:val="center"/>
          </w:tcPr>
          <w:p w14:paraId="59BBE317">
            <w:pPr>
              <w:pStyle w:val="182"/>
              <w:rPr>
                <w:bCs/>
              </w:rPr>
            </w:pPr>
            <w:r>
              <w:rPr>
                <w:bCs/>
              </w:rPr>
              <w:t>t/a</w:t>
            </w:r>
          </w:p>
        </w:tc>
        <w:tc>
          <w:tcPr>
            <w:tcW w:w="1142" w:type="pct"/>
            <w:tcBorders>
              <w:tl2br w:val="nil"/>
              <w:tr2bl w:val="nil"/>
            </w:tcBorders>
            <w:shd w:val="clear" w:color="auto" w:fill="auto"/>
            <w:vAlign w:val="center"/>
          </w:tcPr>
          <w:p w14:paraId="686F983D">
            <w:pPr>
              <w:pStyle w:val="182"/>
              <w:rPr>
                <w:bCs/>
              </w:rPr>
            </w:pPr>
            <w:r>
              <w:rPr>
                <w:bCs/>
              </w:rPr>
              <w:t>0（排入环境）</w:t>
            </w:r>
          </w:p>
        </w:tc>
        <w:tc>
          <w:tcPr>
            <w:tcW w:w="1175" w:type="pct"/>
            <w:tcBorders>
              <w:tl2br w:val="nil"/>
              <w:tr2bl w:val="nil"/>
            </w:tcBorders>
            <w:shd w:val="clear" w:color="auto" w:fill="auto"/>
            <w:vAlign w:val="center"/>
          </w:tcPr>
          <w:p w14:paraId="4E27BDF8">
            <w:pPr>
              <w:pStyle w:val="182"/>
              <w:rPr>
                <w:rFonts w:hint="eastAsia" w:eastAsia="宋体"/>
                <w:bCs/>
                <w:lang w:val="en-US" w:eastAsia="zh-CN"/>
              </w:rPr>
            </w:pPr>
            <w:r>
              <w:rPr>
                <w:rFonts w:hint="eastAsia"/>
                <w:bCs/>
                <w:lang w:val="en-US" w:eastAsia="zh-CN"/>
              </w:rPr>
              <w:t>/</w:t>
            </w:r>
          </w:p>
        </w:tc>
      </w:tr>
      <w:tr w14:paraId="585EA5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1" w:type="pct"/>
            <w:vMerge w:val="continue"/>
            <w:tcBorders>
              <w:tl2br w:val="nil"/>
              <w:tr2bl w:val="nil"/>
            </w:tcBorders>
            <w:shd w:val="clear" w:color="auto" w:fill="auto"/>
            <w:vAlign w:val="center"/>
          </w:tcPr>
          <w:p w14:paraId="5185CEAD">
            <w:pPr>
              <w:pStyle w:val="182"/>
              <w:rPr>
                <w:bCs/>
              </w:rPr>
            </w:pPr>
          </w:p>
        </w:tc>
        <w:tc>
          <w:tcPr>
            <w:tcW w:w="470" w:type="pct"/>
            <w:tcBorders>
              <w:tl2br w:val="nil"/>
              <w:tr2bl w:val="nil"/>
            </w:tcBorders>
            <w:shd w:val="clear" w:color="auto" w:fill="auto"/>
            <w:vAlign w:val="center"/>
          </w:tcPr>
          <w:p w14:paraId="23A82BD1">
            <w:pPr>
              <w:pStyle w:val="182"/>
              <w:rPr>
                <w:bCs/>
              </w:rPr>
            </w:pPr>
            <w:r>
              <w:rPr>
                <w:bCs/>
              </w:rPr>
              <w:t>危险废物</w:t>
            </w:r>
          </w:p>
        </w:tc>
        <w:tc>
          <w:tcPr>
            <w:tcW w:w="1220" w:type="pct"/>
            <w:tcBorders>
              <w:tl2br w:val="nil"/>
              <w:tr2bl w:val="nil"/>
            </w:tcBorders>
            <w:shd w:val="clear" w:color="auto" w:fill="auto"/>
            <w:vAlign w:val="center"/>
          </w:tcPr>
          <w:p w14:paraId="0ADFF52A">
            <w:pPr>
              <w:pStyle w:val="182"/>
              <w:rPr>
                <w:bCs/>
              </w:rPr>
            </w:pPr>
            <w:r>
              <w:rPr>
                <w:bCs/>
              </w:rPr>
              <w:t>t/a</w:t>
            </w:r>
          </w:p>
        </w:tc>
        <w:tc>
          <w:tcPr>
            <w:tcW w:w="739" w:type="pct"/>
            <w:tcBorders>
              <w:tl2br w:val="nil"/>
              <w:tr2bl w:val="nil"/>
            </w:tcBorders>
            <w:shd w:val="clear" w:color="auto" w:fill="auto"/>
            <w:vAlign w:val="center"/>
          </w:tcPr>
          <w:p w14:paraId="396F3BF3">
            <w:pPr>
              <w:pStyle w:val="182"/>
              <w:rPr>
                <w:bCs/>
              </w:rPr>
            </w:pPr>
            <w:r>
              <w:rPr>
                <w:bCs/>
              </w:rPr>
              <w:t>t/a</w:t>
            </w:r>
          </w:p>
        </w:tc>
        <w:tc>
          <w:tcPr>
            <w:tcW w:w="1142" w:type="pct"/>
            <w:tcBorders>
              <w:tl2br w:val="nil"/>
              <w:tr2bl w:val="nil"/>
            </w:tcBorders>
            <w:shd w:val="clear" w:color="auto" w:fill="auto"/>
            <w:vAlign w:val="center"/>
          </w:tcPr>
          <w:p w14:paraId="7C7EAA2E">
            <w:pPr>
              <w:pStyle w:val="182"/>
              <w:rPr>
                <w:bCs/>
              </w:rPr>
            </w:pPr>
            <w:r>
              <w:rPr>
                <w:bCs/>
              </w:rPr>
              <w:t>0（排入环境）</w:t>
            </w:r>
          </w:p>
        </w:tc>
        <w:tc>
          <w:tcPr>
            <w:tcW w:w="1175" w:type="pct"/>
            <w:tcBorders>
              <w:tl2br w:val="nil"/>
              <w:tr2bl w:val="nil"/>
            </w:tcBorders>
            <w:shd w:val="clear" w:color="auto" w:fill="auto"/>
            <w:vAlign w:val="center"/>
          </w:tcPr>
          <w:p w14:paraId="14C9F26D">
            <w:pPr>
              <w:pStyle w:val="182"/>
              <w:rPr>
                <w:rFonts w:hint="eastAsia" w:eastAsia="宋体"/>
                <w:bCs/>
                <w:lang w:val="en-US" w:eastAsia="zh-CN"/>
              </w:rPr>
            </w:pPr>
            <w:r>
              <w:rPr>
                <w:rFonts w:hint="eastAsia"/>
                <w:bCs/>
                <w:lang w:val="en-US" w:eastAsia="zh-CN"/>
              </w:rPr>
              <w:t>/</w:t>
            </w:r>
          </w:p>
        </w:tc>
      </w:tr>
    </w:tbl>
    <w:p w14:paraId="2FCBB9D4">
      <w:pPr>
        <w:ind w:firstLine="480"/>
        <w:rPr>
          <w:rFonts w:hint="eastAsia"/>
          <w:bCs/>
          <w:lang w:val="en-US" w:eastAsia="zh-CN"/>
        </w:rPr>
      </w:pPr>
      <w:r>
        <w:rPr>
          <w:rFonts w:hint="eastAsia"/>
          <w:bCs/>
          <w:lang w:val="en-US" w:eastAsia="zh-CN"/>
        </w:rPr>
        <w:t>由上表可知，企业已建项目2023年污染物排放量符合企业现行排污许可证许可排放量要求。</w:t>
      </w:r>
    </w:p>
    <w:p w14:paraId="23D0FBA4">
      <w:pPr>
        <w:pStyle w:val="10"/>
        <w:bidi w:val="0"/>
      </w:pPr>
      <w:r>
        <w:t xml:space="preserve">表 </w:t>
      </w:r>
      <w:r>
        <w:fldChar w:fldCharType="begin"/>
      </w:r>
      <w:r>
        <w:instrText xml:space="preserve"> STYLEREF 2 \s </w:instrText>
      </w:r>
      <w:r>
        <w:fldChar w:fldCharType="separate"/>
      </w:r>
      <w:r>
        <w:t>3.3</w:t>
      </w:r>
      <w:r>
        <w:fldChar w:fldCharType="end"/>
      </w:r>
      <w:r>
        <w:rPr>
          <w:rFonts w:hint="eastAsia"/>
          <w:lang w:eastAsia="zh-CN"/>
        </w:rPr>
        <w:t>-</w:t>
      </w:r>
      <w:r>
        <w:fldChar w:fldCharType="begin"/>
      </w:r>
      <w:r>
        <w:instrText xml:space="preserve"> SEQ 表 \* ARABIC \s 2 </w:instrText>
      </w:r>
      <w:r>
        <w:fldChar w:fldCharType="separate"/>
      </w:r>
      <w:r>
        <w:t>15</w:t>
      </w:r>
      <w:r>
        <w:fldChar w:fldCharType="end"/>
      </w:r>
      <w:r>
        <w:rPr>
          <w:rFonts w:hint="eastAsia"/>
        </w:rPr>
        <w:t xml:space="preserve"> 企业台账管理情况表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8"/>
        <w:gridCol w:w="6177"/>
        <w:gridCol w:w="1168"/>
      </w:tblGrid>
      <w:tr w14:paraId="60E42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6463DA8A">
            <w:pPr>
              <w:pStyle w:val="182"/>
              <w:rPr>
                <w:bCs/>
                <w:color w:val="auto"/>
              </w:rPr>
            </w:pPr>
            <w:r>
              <w:rPr>
                <w:rFonts w:hint="eastAsia"/>
                <w:bCs/>
                <w:color w:val="auto"/>
              </w:rPr>
              <w:t>序号</w:t>
            </w:r>
          </w:p>
        </w:tc>
        <w:tc>
          <w:tcPr>
            <w:tcW w:w="3623" w:type="pct"/>
            <w:vAlign w:val="center"/>
          </w:tcPr>
          <w:p w14:paraId="7F29B921">
            <w:pPr>
              <w:pStyle w:val="182"/>
              <w:rPr>
                <w:bCs/>
                <w:color w:val="auto"/>
              </w:rPr>
            </w:pPr>
            <w:r>
              <w:rPr>
                <w:rFonts w:hint="eastAsia"/>
                <w:bCs/>
                <w:color w:val="auto"/>
              </w:rPr>
              <w:t>记录内容</w:t>
            </w:r>
          </w:p>
        </w:tc>
        <w:tc>
          <w:tcPr>
            <w:tcW w:w="685" w:type="pct"/>
            <w:vAlign w:val="center"/>
          </w:tcPr>
          <w:p w14:paraId="53686BAD">
            <w:pPr>
              <w:pStyle w:val="182"/>
              <w:rPr>
                <w:bCs/>
                <w:color w:val="auto"/>
              </w:rPr>
            </w:pPr>
            <w:r>
              <w:rPr>
                <w:rFonts w:hint="eastAsia"/>
                <w:bCs/>
                <w:color w:val="auto"/>
              </w:rPr>
              <w:t>是否完整</w:t>
            </w:r>
          </w:p>
        </w:tc>
      </w:tr>
      <w:tr w14:paraId="6D89B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016372F3">
            <w:pPr>
              <w:pStyle w:val="182"/>
              <w:rPr>
                <w:bCs/>
                <w:color w:val="auto"/>
              </w:rPr>
            </w:pPr>
            <w:r>
              <w:rPr>
                <w:rFonts w:hint="eastAsia"/>
                <w:bCs/>
                <w:color w:val="auto"/>
              </w:rPr>
              <w:t>1</w:t>
            </w:r>
          </w:p>
        </w:tc>
        <w:tc>
          <w:tcPr>
            <w:tcW w:w="3623" w:type="pct"/>
            <w:vAlign w:val="center"/>
          </w:tcPr>
          <w:p w14:paraId="35E63EC4">
            <w:pPr>
              <w:pStyle w:val="182"/>
              <w:rPr>
                <w:bCs/>
                <w:color w:val="auto"/>
              </w:rPr>
            </w:pPr>
            <w:r>
              <w:rPr>
                <w:bCs/>
                <w:color w:val="auto"/>
              </w:rPr>
              <w:t>机组启停报告、信息公开情况、污水异常来水、处置记录</w:t>
            </w:r>
          </w:p>
        </w:tc>
        <w:tc>
          <w:tcPr>
            <w:tcW w:w="685" w:type="pct"/>
            <w:vAlign w:val="center"/>
          </w:tcPr>
          <w:p w14:paraId="7C871418">
            <w:pPr>
              <w:pStyle w:val="182"/>
              <w:rPr>
                <w:bCs/>
                <w:color w:val="auto"/>
              </w:rPr>
            </w:pPr>
            <w:r>
              <w:rPr>
                <w:rFonts w:hint="eastAsia"/>
                <w:bCs/>
                <w:color w:val="auto"/>
              </w:rPr>
              <w:t>是</w:t>
            </w:r>
          </w:p>
        </w:tc>
      </w:tr>
      <w:tr w14:paraId="5ECBB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2973E92A">
            <w:pPr>
              <w:pStyle w:val="182"/>
              <w:rPr>
                <w:bCs/>
                <w:color w:val="auto"/>
              </w:rPr>
            </w:pPr>
            <w:r>
              <w:rPr>
                <w:rFonts w:hint="eastAsia"/>
                <w:bCs/>
                <w:color w:val="auto"/>
              </w:rPr>
              <w:t>2</w:t>
            </w:r>
          </w:p>
        </w:tc>
        <w:tc>
          <w:tcPr>
            <w:tcW w:w="3623" w:type="pct"/>
            <w:vAlign w:val="center"/>
          </w:tcPr>
          <w:p w14:paraId="6313B20C">
            <w:pPr>
              <w:pStyle w:val="182"/>
              <w:rPr>
                <w:bCs/>
                <w:color w:val="auto"/>
              </w:rPr>
            </w:pPr>
            <w:r>
              <w:rPr>
                <w:bCs/>
                <w:color w:val="auto"/>
              </w:rPr>
              <w:t>废水环保设施运行参数及排放情况</w:t>
            </w:r>
            <w:r>
              <w:rPr>
                <w:rFonts w:hint="eastAsia"/>
                <w:bCs/>
                <w:color w:val="auto"/>
              </w:rPr>
              <w:t>：</w:t>
            </w:r>
            <w:r>
              <w:rPr>
                <w:bCs/>
                <w:color w:val="auto"/>
              </w:rPr>
              <w:t>废水处理能力、进水水质、运行参数、废水排放去向、排放量、回用量、污泥产生量及运行费用</w:t>
            </w:r>
          </w:p>
        </w:tc>
        <w:tc>
          <w:tcPr>
            <w:tcW w:w="685" w:type="pct"/>
            <w:vAlign w:val="center"/>
          </w:tcPr>
          <w:p w14:paraId="03B5A6F5">
            <w:pPr>
              <w:pStyle w:val="182"/>
              <w:rPr>
                <w:bCs/>
                <w:color w:val="auto"/>
              </w:rPr>
            </w:pPr>
            <w:r>
              <w:rPr>
                <w:rFonts w:hint="eastAsia"/>
                <w:bCs/>
                <w:color w:val="auto"/>
              </w:rPr>
              <w:t>是</w:t>
            </w:r>
          </w:p>
        </w:tc>
      </w:tr>
      <w:tr w14:paraId="231E2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4D8C5B37">
            <w:pPr>
              <w:pStyle w:val="182"/>
              <w:rPr>
                <w:bCs/>
                <w:color w:val="auto"/>
              </w:rPr>
            </w:pPr>
            <w:r>
              <w:rPr>
                <w:rFonts w:hint="eastAsia"/>
                <w:bCs/>
                <w:color w:val="auto"/>
              </w:rPr>
              <w:t>3</w:t>
            </w:r>
          </w:p>
        </w:tc>
        <w:tc>
          <w:tcPr>
            <w:tcW w:w="3623" w:type="pct"/>
            <w:vAlign w:val="center"/>
          </w:tcPr>
          <w:p w14:paraId="5BB5CA69">
            <w:pPr>
              <w:pStyle w:val="182"/>
              <w:rPr>
                <w:bCs/>
                <w:color w:val="auto"/>
              </w:rPr>
            </w:pPr>
            <w:r>
              <w:rPr>
                <w:bCs/>
                <w:color w:val="auto"/>
              </w:rPr>
              <w:t>无组织废气治理设施</w:t>
            </w:r>
            <w:r>
              <w:rPr>
                <w:rFonts w:hint="eastAsia"/>
                <w:bCs/>
                <w:color w:val="auto"/>
              </w:rPr>
              <w:t>：</w:t>
            </w:r>
            <w:r>
              <w:rPr>
                <w:bCs/>
                <w:color w:val="auto"/>
              </w:rPr>
              <w:t>原辅料储罐、物料输送等相应的运行、维护、管理等记录</w:t>
            </w:r>
          </w:p>
        </w:tc>
        <w:tc>
          <w:tcPr>
            <w:tcW w:w="685" w:type="pct"/>
            <w:vAlign w:val="center"/>
          </w:tcPr>
          <w:p w14:paraId="3110CBF1">
            <w:pPr>
              <w:pStyle w:val="182"/>
              <w:rPr>
                <w:bCs/>
                <w:color w:val="auto"/>
              </w:rPr>
            </w:pPr>
            <w:r>
              <w:rPr>
                <w:rFonts w:hint="eastAsia"/>
                <w:bCs/>
                <w:color w:val="auto"/>
              </w:rPr>
              <w:t>是</w:t>
            </w:r>
          </w:p>
        </w:tc>
      </w:tr>
      <w:tr w14:paraId="29BE4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407C28E3">
            <w:pPr>
              <w:pStyle w:val="182"/>
              <w:rPr>
                <w:bCs/>
                <w:color w:val="auto"/>
              </w:rPr>
            </w:pPr>
            <w:r>
              <w:rPr>
                <w:rFonts w:hint="eastAsia"/>
                <w:bCs/>
                <w:color w:val="auto"/>
              </w:rPr>
              <w:t>4</w:t>
            </w:r>
          </w:p>
        </w:tc>
        <w:tc>
          <w:tcPr>
            <w:tcW w:w="3623" w:type="pct"/>
            <w:vAlign w:val="center"/>
          </w:tcPr>
          <w:p w14:paraId="42F2FC4D">
            <w:pPr>
              <w:pStyle w:val="182"/>
              <w:rPr>
                <w:bCs/>
                <w:color w:val="auto"/>
              </w:rPr>
            </w:pPr>
            <w:r>
              <w:rPr>
                <w:bCs/>
                <w:color w:val="auto"/>
              </w:rPr>
              <w:t>企业名称、法人、组织机构代码、地址等基础信息</w:t>
            </w:r>
          </w:p>
        </w:tc>
        <w:tc>
          <w:tcPr>
            <w:tcW w:w="685" w:type="pct"/>
            <w:vAlign w:val="center"/>
          </w:tcPr>
          <w:p w14:paraId="4923638A">
            <w:pPr>
              <w:pStyle w:val="182"/>
              <w:rPr>
                <w:bCs/>
                <w:color w:val="auto"/>
              </w:rPr>
            </w:pPr>
            <w:r>
              <w:rPr>
                <w:rFonts w:hint="eastAsia"/>
                <w:bCs/>
                <w:color w:val="auto"/>
              </w:rPr>
              <w:t>是</w:t>
            </w:r>
          </w:p>
        </w:tc>
      </w:tr>
      <w:tr w14:paraId="675D4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1DB2948E">
            <w:pPr>
              <w:pStyle w:val="182"/>
              <w:rPr>
                <w:bCs/>
                <w:color w:val="auto"/>
              </w:rPr>
            </w:pPr>
            <w:r>
              <w:rPr>
                <w:rFonts w:hint="eastAsia"/>
                <w:bCs/>
                <w:color w:val="auto"/>
              </w:rPr>
              <w:t>5</w:t>
            </w:r>
          </w:p>
        </w:tc>
        <w:tc>
          <w:tcPr>
            <w:tcW w:w="3623" w:type="pct"/>
            <w:vAlign w:val="center"/>
          </w:tcPr>
          <w:p w14:paraId="72E666BD">
            <w:pPr>
              <w:pStyle w:val="182"/>
              <w:rPr>
                <w:bCs/>
                <w:color w:val="auto"/>
              </w:rPr>
            </w:pPr>
            <w:r>
              <w:rPr>
                <w:bCs/>
                <w:color w:val="auto"/>
              </w:rPr>
              <w:t>烟气、挥发性有机物和污水在线监测运维报表自动监控设备记录包括自动监控设备的运行维护记录。</w:t>
            </w:r>
          </w:p>
        </w:tc>
        <w:tc>
          <w:tcPr>
            <w:tcW w:w="685" w:type="pct"/>
            <w:vAlign w:val="center"/>
          </w:tcPr>
          <w:p w14:paraId="3F9970F3">
            <w:pPr>
              <w:pStyle w:val="182"/>
              <w:rPr>
                <w:bCs/>
                <w:color w:val="auto"/>
              </w:rPr>
            </w:pPr>
            <w:r>
              <w:rPr>
                <w:rFonts w:hint="eastAsia"/>
                <w:bCs/>
                <w:color w:val="auto"/>
              </w:rPr>
              <w:t>是</w:t>
            </w:r>
          </w:p>
        </w:tc>
      </w:tr>
      <w:tr w14:paraId="60CB2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1F6695CD">
            <w:pPr>
              <w:pStyle w:val="182"/>
              <w:rPr>
                <w:bCs/>
                <w:color w:val="auto"/>
              </w:rPr>
            </w:pPr>
            <w:r>
              <w:rPr>
                <w:rFonts w:hint="eastAsia"/>
                <w:bCs/>
                <w:color w:val="auto"/>
              </w:rPr>
              <w:t>6</w:t>
            </w:r>
          </w:p>
        </w:tc>
        <w:tc>
          <w:tcPr>
            <w:tcW w:w="3623" w:type="pct"/>
            <w:vAlign w:val="center"/>
          </w:tcPr>
          <w:p w14:paraId="7396B0E5">
            <w:pPr>
              <w:pStyle w:val="182"/>
              <w:rPr>
                <w:bCs/>
                <w:color w:val="auto"/>
              </w:rPr>
            </w:pPr>
            <w:r>
              <w:rPr>
                <w:bCs/>
                <w:color w:val="auto"/>
              </w:rPr>
              <w:t>手工监测记录</w:t>
            </w:r>
            <w:r>
              <w:rPr>
                <w:rFonts w:hint="eastAsia"/>
                <w:bCs/>
                <w:color w:val="auto"/>
              </w:rPr>
              <w:t>：</w:t>
            </w:r>
            <w:r>
              <w:rPr>
                <w:bCs/>
                <w:color w:val="auto"/>
              </w:rPr>
              <w:t>检测日期、采样及测定方法、监测结果手工监测记录包括采样记录、样品保存和交接记录、样品分析记录和质控记录等。</w:t>
            </w:r>
          </w:p>
        </w:tc>
        <w:tc>
          <w:tcPr>
            <w:tcW w:w="685" w:type="pct"/>
            <w:vAlign w:val="center"/>
          </w:tcPr>
          <w:p w14:paraId="3A4300E8">
            <w:pPr>
              <w:pStyle w:val="182"/>
              <w:rPr>
                <w:bCs/>
                <w:color w:val="auto"/>
              </w:rPr>
            </w:pPr>
            <w:r>
              <w:rPr>
                <w:rFonts w:hint="eastAsia"/>
                <w:bCs/>
                <w:color w:val="auto"/>
              </w:rPr>
              <w:t>是</w:t>
            </w:r>
          </w:p>
        </w:tc>
      </w:tr>
      <w:tr w14:paraId="71023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1BB3F3F6">
            <w:pPr>
              <w:pStyle w:val="182"/>
              <w:rPr>
                <w:bCs/>
                <w:color w:val="auto"/>
              </w:rPr>
            </w:pPr>
            <w:r>
              <w:rPr>
                <w:rFonts w:hint="eastAsia"/>
                <w:bCs/>
                <w:color w:val="auto"/>
              </w:rPr>
              <w:t>7</w:t>
            </w:r>
          </w:p>
        </w:tc>
        <w:tc>
          <w:tcPr>
            <w:tcW w:w="3623" w:type="pct"/>
            <w:vAlign w:val="center"/>
          </w:tcPr>
          <w:p w14:paraId="330215FE">
            <w:pPr>
              <w:pStyle w:val="182"/>
              <w:rPr>
                <w:bCs/>
                <w:color w:val="auto"/>
              </w:rPr>
            </w:pPr>
            <w:r>
              <w:rPr>
                <w:bCs/>
                <w:color w:val="auto"/>
              </w:rPr>
              <w:t>自动监测</w:t>
            </w:r>
            <w:r>
              <w:rPr>
                <w:rFonts w:hint="eastAsia"/>
                <w:bCs/>
                <w:color w:val="auto"/>
              </w:rPr>
              <w:t>：</w:t>
            </w:r>
            <w:r>
              <w:rPr>
                <w:bCs/>
                <w:color w:val="auto"/>
              </w:rPr>
              <w:t>自动监测及辅助设备运行状况、系统校准、校验记录、定期比对检测记录、维护保养记录、是否故障、故障维修记录、巡检日期</w:t>
            </w:r>
          </w:p>
        </w:tc>
        <w:tc>
          <w:tcPr>
            <w:tcW w:w="685" w:type="pct"/>
            <w:vAlign w:val="center"/>
          </w:tcPr>
          <w:p w14:paraId="5A34D79C">
            <w:pPr>
              <w:pStyle w:val="182"/>
              <w:rPr>
                <w:bCs/>
                <w:color w:val="auto"/>
              </w:rPr>
            </w:pPr>
            <w:r>
              <w:rPr>
                <w:rFonts w:hint="eastAsia"/>
                <w:bCs/>
                <w:color w:val="auto"/>
              </w:rPr>
              <w:t>是</w:t>
            </w:r>
          </w:p>
        </w:tc>
      </w:tr>
      <w:tr w14:paraId="665D5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78C048A5">
            <w:pPr>
              <w:pStyle w:val="182"/>
              <w:rPr>
                <w:bCs/>
                <w:color w:val="auto"/>
              </w:rPr>
            </w:pPr>
            <w:r>
              <w:rPr>
                <w:rFonts w:hint="eastAsia"/>
                <w:bCs/>
                <w:color w:val="auto"/>
              </w:rPr>
              <w:t>8</w:t>
            </w:r>
          </w:p>
        </w:tc>
        <w:tc>
          <w:tcPr>
            <w:tcW w:w="3623" w:type="pct"/>
            <w:vAlign w:val="center"/>
          </w:tcPr>
          <w:p w14:paraId="12AA9539">
            <w:pPr>
              <w:pStyle w:val="182"/>
              <w:rPr>
                <w:bCs/>
                <w:color w:val="auto"/>
              </w:rPr>
            </w:pPr>
            <w:r>
              <w:rPr>
                <w:bCs/>
                <w:color w:val="auto"/>
              </w:rPr>
              <w:t>污染物治理设施及污染物排放的相关主要运行参数</w:t>
            </w:r>
          </w:p>
        </w:tc>
        <w:tc>
          <w:tcPr>
            <w:tcW w:w="685" w:type="pct"/>
            <w:vAlign w:val="center"/>
          </w:tcPr>
          <w:p w14:paraId="29DD90DD">
            <w:pPr>
              <w:pStyle w:val="182"/>
              <w:rPr>
                <w:bCs/>
                <w:color w:val="auto"/>
              </w:rPr>
            </w:pPr>
            <w:r>
              <w:rPr>
                <w:rFonts w:hint="eastAsia"/>
                <w:bCs/>
                <w:color w:val="auto"/>
              </w:rPr>
              <w:t>是</w:t>
            </w:r>
          </w:p>
        </w:tc>
      </w:tr>
      <w:tr w14:paraId="32968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5D181EB8">
            <w:pPr>
              <w:pStyle w:val="182"/>
              <w:rPr>
                <w:bCs/>
                <w:color w:val="auto"/>
              </w:rPr>
            </w:pPr>
            <w:r>
              <w:rPr>
                <w:rFonts w:hint="eastAsia"/>
                <w:bCs/>
                <w:color w:val="auto"/>
              </w:rPr>
              <w:t>9</w:t>
            </w:r>
          </w:p>
        </w:tc>
        <w:tc>
          <w:tcPr>
            <w:tcW w:w="3623" w:type="pct"/>
            <w:vAlign w:val="center"/>
          </w:tcPr>
          <w:p w14:paraId="530DC7E5">
            <w:pPr>
              <w:pStyle w:val="182"/>
              <w:rPr>
                <w:bCs/>
                <w:color w:val="auto"/>
              </w:rPr>
            </w:pPr>
            <w:r>
              <w:rPr>
                <w:bCs/>
                <w:color w:val="auto"/>
              </w:rPr>
              <w:t>设备运行校验关键参数</w:t>
            </w:r>
            <w:r>
              <w:rPr>
                <w:rFonts w:hint="eastAsia"/>
                <w:bCs/>
                <w:color w:val="auto"/>
              </w:rPr>
              <w:t>（</w:t>
            </w:r>
            <w:r>
              <w:rPr>
                <w:bCs/>
                <w:color w:val="auto"/>
              </w:rPr>
              <w:t>DCS曲线</w:t>
            </w:r>
            <w:r>
              <w:rPr>
                <w:rFonts w:hint="eastAsia"/>
                <w:bCs/>
                <w:color w:val="auto"/>
              </w:rPr>
              <w:t>）：</w:t>
            </w:r>
            <w:r>
              <w:rPr>
                <w:bCs/>
                <w:color w:val="auto"/>
              </w:rPr>
              <w:t>机组负荷、烟气量等</w:t>
            </w:r>
          </w:p>
        </w:tc>
        <w:tc>
          <w:tcPr>
            <w:tcW w:w="685" w:type="pct"/>
            <w:vAlign w:val="center"/>
          </w:tcPr>
          <w:p w14:paraId="2ECFD794">
            <w:pPr>
              <w:pStyle w:val="182"/>
              <w:rPr>
                <w:bCs/>
                <w:color w:val="auto"/>
              </w:rPr>
            </w:pPr>
            <w:r>
              <w:rPr>
                <w:rFonts w:hint="eastAsia"/>
                <w:bCs/>
                <w:color w:val="auto"/>
              </w:rPr>
              <w:t>是</w:t>
            </w:r>
          </w:p>
        </w:tc>
      </w:tr>
      <w:tr w14:paraId="5AD0B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60D1D876">
            <w:pPr>
              <w:pStyle w:val="182"/>
              <w:rPr>
                <w:bCs/>
                <w:color w:val="auto"/>
              </w:rPr>
            </w:pPr>
            <w:r>
              <w:rPr>
                <w:rFonts w:hint="eastAsia"/>
                <w:bCs/>
                <w:color w:val="auto"/>
              </w:rPr>
              <w:t>10</w:t>
            </w:r>
          </w:p>
        </w:tc>
        <w:tc>
          <w:tcPr>
            <w:tcW w:w="3623" w:type="pct"/>
            <w:vAlign w:val="center"/>
          </w:tcPr>
          <w:p w14:paraId="6291B459">
            <w:pPr>
              <w:pStyle w:val="182"/>
              <w:rPr>
                <w:bCs/>
                <w:color w:val="auto"/>
              </w:rPr>
            </w:pPr>
            <w:r>
              <w:rPr>
                <w:bCs/>
                <w:color w:val="auto"/>
              </w:rPr>
              <w:t>有组织废气环保设施运行参数、排放情况，包括</w:t>
            </w:r>
            <w:r>
              <w:rPr>
                <w:rFonts w:hint="eastAsia"/>
                <w:bCs/>
                <w:color w:val="auto"/>
              </w:rPr>
              <w:t>：</w:t>
            </w:r>
            <w:r>
              <w:rPr>
                <w:bCs/>
                <w:color w:val="auto"/>
              </w:rPr>
              <w:t>废气处理能力、运行参数、排放量、脱硫脱硝药剂使用量及运行费用</w:t>
            </w:r>
          </w:p>
        </w:tc>
        <w:tc>
          <w:tcPr>
            <w:tcW w:w="685" w:type="pct"/>
            <w:vAlign w:val="center"/>
          </w:tcPr>
          <w:p w14:paraId="663686FF">
            <w:pPr>
              <w:pStyle w:val="182"/>
              <w:rPr>
                <w:bCs/>
                <w:color w:val="auto"/>
              </w:rPr>
            </w:pPr>
            <w:r>
              <w:rPr>
                <w:rFonts w:hint="eastAsia"/>
                <w:bCs/>
                <w:color w:val="auto"/>
              </w:rPr>
              <w:t>是</w:t>
            </w:r>
          </w:p>
        </w:tc>
      </w:tr>
      <w:tr w14:paraId="32581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3D481717">
            <w:pPr>
              <w:pStyle w:val="182"/>
              <w:rPr>
                <w:bCs/>
                <w:color w:val="auto"/>
              </w:rPr>
            </w:pPr>
            <w:r>
              <w:rPr>
                <w:rFonts w:hint="eastAsia"/>
                <w:bCs/>
                <w:color w:val="auto"/>
              </w:rPr>
              <w:t>11</w:t>
            </w:r>
          </w:p>
        </w:tc>
        <w:tc>
          <w:tcPr>
            <w:tcW w:w="3623" w:type="pct"/>
            <w:vAlign w:val="center"/>
          </w:tcPr>
          <w:p w14:paraId="02DCED67">
            <w:pPr>
              <w:pStyle w:val="182"/>
              <w:rPr>
                <w:bCs/>
                <w:color w:val="auto"/>
              </w:rPr>
            </w:pPr>
            <w:r>
              <w:rPr>
                <w:bCs/>
                <w:color w:val="auto"/>
              </w:rPr>
              <w:t>煤质分析综合报表</w:t>
            </w:r>
            <w:r>
              <w:rPr>
                <w:rFonts w:hint="eastAsia"/>
                <w:bCs/>
                <w:color w:val="auto"/>
              </w:rPr>
              <w:t>：</w:t>
            </w:r>
            <w:r>
              <w:rPr>
                <w:bCs/>
                <w:color w:val="auto"/>
              </w:rPr>
              <w:t>收到基灰分、干燥无灰基挥发分、收到基含硫、低位发热量</w:t>
            </w:r>
          </w:p>
        </w:tc>
        <w:tc>
          <w:tcPr>
            <w:tcW w:w="685" w:type="pct"/>
            <w:vAlign w:val="center"/>
          </w:tcPr>
          <w:p w14:paraId="55036432">
            <w:pPr>
              <w:pStyle w:val="182"/>
              <w:rPr>
                <w:bCs/>
                <w:color w:val="auto"/>
              </w:rPr>
            </w:pPr>
            <w:r>
              <w:rPr>
                <w:rFonts w:hint="eastAsia"/>
                <w:bCs/>
                <w:color w:val="auto"/>
              </w:rPr>
              <w:t>是</w:t>
            </w:r>
          </w:p>
        </w:tc>
      </w:tr>
      <w:tr w14:paraId="3A6CF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7949C636">
            <w:pPr>
              <w:pStyle w:val="182"/>
              <w:rPr>
                <w:bCs/>
                <w:color w:val="auto"/>
              </w:rPr>
            </w:pPr>
            <w:r>
              <w:rPr>
                <w:rFonts w:hint="eastAsia"/>
                <w:bCs/>
                <w:color w:val="auto"/>
              </w:rPr>
              <w:t>12</w:t>
            </w:r>
          </w:p>
        </w:tc>
        <w:tc>
          <w:tcPr>
            <w:tcW w:w="3623" w:type="pct"/>
            <w:vAlign w:val="center"/>
          </w:tcPr>
          <w:p w14:paraId="182A75DA">
            <w:pPr>
              <w:pStyle w:val="182"/>
              <w:rPr>
                <w:bCs/>
                <w:color w:val="auto"/>
              </w:rPr>
            </w:pPr>
            <w:r>
              <w:rPr>
                <w:bCs/>
                <w:color w:val="auto"/>
              </w:rPr>
              <w:t>企业、生产设施、治理设施的名称、工艺等各项基本信息、主要产品原辅材料及燃料信息</w:t>
            </w:r>
          </w:p>
        </w:tc>
        <w:tc>
          <w:tcPr>
            <w:tcW w:w="685" w:type="pct"/>
            <w:vAlign w:val="center"/>
          </w:tcPr>
          <w:p w14:paraId="5225ABCC">
            <w:pPr>
              <w:pStyle w:val="182"/>
              <w:rPr>
                <w:bCs/>
                <w:color w:val="auto"/>
              </w:rPr>
            </w:pPr>
            <w:r>
              <w:rPr>
                <w:rFonts w:hint="eastAsia"/>
                <w:bCs/>
                <w:color w:val="auto"/>
              </w:rPr>
              <w:t>是</w:t>
            </w:r>
          </w:p>
        </w:tc>
      </w:tr>
      <w:tr w14:paraId="26F0C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0674ADD4">
            <w:pPr>
              <w:pStyle w:val="182"/>
              <w:rPr>
                <w:bCs/>
                <w:color w:val="auto"/>
              </w:rPr>
            </w:pPr>
            <w:r>
              <w:rPr>
                <w:rFonts w:hint="eastAsia"/>
                <w:bCs/>
                <w:color w:val="auto"/>
              </w:rPr>
              <w:t>13</w:t>
            </w:r>
          </w:p>
        </w:tc>
        <w:tc>
          <w:tcPr>
            <w:tcW w:w="3623" w:type="pct"/>
            <w:vAlign w:val="center"/>
          </w:tcPr>
          <w:p w14:paraId="30ACF669">
            <w:pPr>
              <w:pStyle w:val="182"/>
              <w:rPr>
                <w:bCs/>
                <w:color w:val="auto"/>
              </w:rPr>
            </w:pPr>
            <w:r>
              <w:rPr>
                <w:bCs/>
                <w:color w:val="auto"/>
              </w:rPr>
              <w:t>工业固废产生量、转移量、综合利用量，固废管理台账</w:t>
            </w:r>
            <w:r>
              <w:rPr>
                <w:rFonts w:hint="eastAsia"/>
                <w:bCs/>
                <w:color w:val="auto"/>
              </w:rPr>
              <w:t>；</w:t>
            </w:r>
            <w:r>
              <w:rPr>
                <w:bCs/>
                <w:color w:val="auto"/>
              </w:rPr>
              <w:t>危险废物产生、处置量，危废管理台账、危废转移联单等</w:t>
            </w:r>
          </w:p>
        </w:tc>
        <w:tc>
          <w:tcPr>
            <w:tcW w:w="685" w:type="pct"/>
            <w:vAlign w:val="center"/>
          </w:tcPr>
          <w:p w14:paraId="0FCD5967">
            <w:pPr>
              <w:pStyle w:val="182"/>
              <w:rPr>
                <w:bCs/>
                <w:color w:val="auto"/>
              </w:rPr>
            </w:pPr>
            <w:r>
              <w:rPr>
                <w:rFonts w:hint="eastAsia"/>
                <w:bCs/>
                <w:color w:val="auto"/>
              </w:rPr>
              <w:t>是</w:t>
            </w:r>
          </w:p>
        </w:tc>
      </w:tr>
      <w:tr w14:paraId="0A349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57A51946">
            <w:pPr>
              <w:pStyle w:val="182"/>
              <w:rPr>
                <w:bCs/>
                <w:color w:val="auto"/>
              </w:rPr>
            </w:pPr>
            <w:r>
              <w:rPr>
                <w:rFonts w:hint="eastAsia"/>
                <w:bCs/>
                <w:color w:val="auto"/>
              </w:rPr>
              <w:t>14</w:t>
            </w:r>
          </w:p>
        </w:tc>
        <w:tc>
          <w:tcPr>
            <w:tcW w:w="3623" w:type="pct"/>
            <w:vAlign w:val="center"/>
          </w:tcPr>
          <w:p w14:paraId="19D853E7">
            <w:pPr>
              <w:pStyle w:val="182"/>
              <w:rPr>
                <w:bCs/>
                <w:color w:val="auto"/>
              </w:rPr>
            </w:pPr>
            <w:r>
              <w:rPr>
                <w:bCs/>
                <w:color w:val="auto"/>
              </w:rPr>
              <w:t>生产设施开停工、检维修情况</w:t>
            </w:r>
          </w:p>
        </w:tc>
        <w:tc>
          <w:tcPr>
            <w:tcW w:w="685" w:type="pct"/>
            <w:vAlign w:val="center"/>
          </w:tcPr>
          <w:p w14:paraId="11CCAC4E">
            <w:pPr>
              <w:pStyle w:val="182"/>
              <w:rPr>
                <w:bCs/>
                <w:color w:val="auto"/>
              </w:rPr>
            </w:pPr>
            <w:r>
              <w:rPr>
                <w:rFonts w:hint="eastAsia"/>
                <w:bCs/>
                <w:color w:val="auto"/>
              </w:rPr>
              <w:t>是</w:t>
            </w:r>
          </w:p>
        </w:tc>
      </w:tr>
      <w:tr w14:paraId="5308A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72DB4FB0">
            <w:pPr>
              <w:pStyle w:val="182"/>
              <w:rPr>
                <w:bCs/>
                <w:color w:val="auto"/>
              </w:rPr>
            </w:pPr>
            <w:r>
              <w:rPr>
                <w:rFonts w:hint="eastAsia"/>
                <w:bCs/>
                <w:color w:val="auto"/>
              </w:rPr>
              <w:t>15</w:t>
            </w:r>
          </w:p>
        </w:tc>
        <w:tc>
          <w:tcPr>
            <w:tcW w:w="3623" w:type="pct"/>
            <w:vAlign w:val="center"/>
          </w:tcPr>
          <w:p w14:paraId="430002F2">
            <w:pPr>
              <w:pStyle w:val="182"/>
              <w:rPr>
                <w:bCs/>
                <w:color w:val="auto"/>
              </w:rPr>
            </w:pPr>
            <w:r>
              <w:rPr>
                <w:bCs/>
                <w:color w:val="auto"/>
              </w:rPr>
              <w:t>机组生产报表</w:t>
            </w:r>
            <w:r>
              <w:rPr>
                <w:rFonts w:hint="eastAsia"/>
                <w:bCs/>
                <w:color w:val="auto"/>
              </w:rPr>
              <w:t>：</w:t>
            </w:r>
            <w:r>
              <w:rPr>
                <w:bCs/>
                <w:color w:val="auto"/>
              </w:rPr>
              <w:t>用煤量、发电量、产气量</w:t>
            </w:r>
            <w:r>
              <w:rPr>
                <w:rFonts w:hint="eastAsia"/>
                <w:bCs/>
                <w:color w:val="auto"/>
              </w:rPr>
              <w:t>；</w:t>
            </w:r>
            <w:r>
              <w:rPr>
                <w:bCs/>
                <w:color w:val="auto"/>
              </w:rPr>
              <w:t>污水处理厂每日排水量、COD、氨氮、总磷、总氮检测数据</w:t>
            </w:r>
          </w:p>
        </w:tc>
        <w:tc>
          <w:tcPr>
            <w:tcW w:w="685" w:type="pct"/>
            <w:vAlign w:val="center"/>
          </w:tcPr>
          <w:p w14:paraId="1CDCC6B3">
            <w:pPr>
              <w:pStyle w:val="182"/>
              <w:rPr>
                <w:bCs/>
                <w:color w:val="auto"/>
              </w:rPr>
            </w:pPr>
            <w:r>
              <w:rPr>
                <w:rFonts w:hint="eastAsia"/>
                <w:bCs/>
                <w:color w:val="auto"/>
              </w:rPr>
              <w:t>是</w:t>
            </w:r>
          </w:p>
        </w:tc>
      </w:tr>
      <w:tr w14:paraId="2FB0E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7E95CBC8">
            <w:pPr>
              <w:pStyle w:val="182"/>
              <w:rPr>
                <w:bCs/>
                <w:color w:val="auto"/>
              </w:rPr>
            </w:pPr>
            <w:r>
              <w:rPr>
                <w:rFonts w:hint="eastAsia"/>
                <w:bCs/>
                <w:color w:val="auto"/>
              </w:rPr>
              <w:t>16</w:t>
            </w:r>
          </w:p>
        </w:tc>
        <w:tc>
          <w:tcPr>
            <w:tcW w:w="3623" w:type="pct"/>
            <w:vAlign w:val="center"/>
          </w:tcPr>
          <w:p w14:paraId="4E94E665">
            <w:pPr>
              <w:pStyle w:val="182"/>
              <w:rPr>
                <w:bCs/>
                <w:color w:val="auto"/>
              </w:rPr>
            </w:pPr>
            <w:r>
              <w:rPr>
                <w:bCs/>
                <w:color w:val="auto"/>
              </w:rPr>
              <w:t>大气有组织排放口林格曼黑度监测记录</w:t>
            </w:r>
          </w:p>
        </w:tc>
        <w:tc>
          <w:tcPr>
            <w:tcW w:w="685" w:type="pct"/>
            <w:vAlign w:val="center"/>
          </w:tcPr>
          <w:p w14:paraId="1BB3927F">
            <w:pPr>
              <w:pStyle w:val="182"/>
              <w:rPr>
                <w:bCs/>
                <w:color w:val="auto"/>
              </w:rPr>
            </w:pPr>
            <w:r>
              <w:rPr>
                <w:rFonts w:hint="eastAsia"/>
                <w:bCs/>
                <w:color w:val="auto"/>
              </w:rPr>
              <w:t>是</w:t>
            </w:r>
          </w:p>
        </w:tc>
      </w:tr>
      <w:tr w14:paraId="11258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pct"/>
            <w:vAlign w:val="center"/>
          </w:tcPr>
          <w:p w14:paraId="3F2BF60E">
            <w:pPr>
              <w:pStyle w:val="182"/>
              <w:rPr>
                <w:bCs/>
                <w:color w:val="auto"/>
              </w:rPr>
            </w:pPr>
            <w:r>
              <w:rPr>
                <w:rFonts w:hint="eastAsia"/>
                <w:bCs/>
                <w:color w:val="auto"/>
              </w:rPr>
              <w:t>17</w:t>
            </w:r>
          </w:p>
        </w:tc>
        <w:tc>
          <w:tcPr>
            <w:tcW w:w="3623" w:type="pct"/>
            <w:vAlign w:val="center"/>
          </w:tcPr>
          <w:p w14:paraId="7F81E93A">
            <w:pPr>
              <w:pStyle w:val="182"/>
              <w:rPr>
                <w:bCs/>
                <w:color w:val="auto"/>
              </w:rPr>
            </w:pPr>
            <w:r>
              <w:rPr>
                <w:bCs/>
                <w:color w:val="auto"/>
              </w:rPr>
              <w:t>脱硫、脱硝、污水治理设备设施运行、故障、维护记录</w:t>
            </w:r>
          </w:p>
        </w:tc>
        <w:tc>
          <w:tcPr>
            <w:tcW w:w="685" w:type="pct"/>
            <w:vAlign w:val="center"/>
          </w:tcPr>
          <w:p w14:paraId="7FF89C83">
            <w:pPr>
              <w:pStyle w:val="182"/>
              <w:rPr>
                <w:bCs/>
                <w:color w:val="auto"/>
              </w:rPr>
            </w:pPr>
            <w:r>
              <w:rPr>
                <w:rFonts w:hint="eastAsia"/>
                <w:bCs/>
                <w:color w:val="auto"/>
              </w:rPr>
              <w:t>是</w:t>
            </w:r>
          </w:p>
        </w:tc>
      </w:tr>
    </w:tbl>
    <w:p w14:paraId="1519D1C6">
      <w:pPr>
        <w:pStyle w:val="3"/>
      </w:pPr>
      <w:bookmarkStart w:id="157" w:name="_Toc13131"/>
      <w:r>
        <w:rPr>
          <w:rFonts w:hint="eastAsia"/>
        </w:rPr>
        <w:t>在建</w:t>
      </w:r>
      <w:r>
        <w:rPr>
          <w:rFonts w:hint="eastAsia"/>
          <w:lang w:val="en-US" w:eastAsia="zh-CN"/>
        </w:rPr>
        <w:t>及拟建</w:t>
      </w:r>
      <w:r>
        <w:rPr>
          <w:rFonts w:hint="eastAsia"/>
        </w:rPr>
        <w:t>工程分析</w:t>
      </w:r>
      <w:bookmarkEnd w:id="157"/>
    </w:p>
    <w:p w14:paraId="7A6F8604">
      <w:pPr>
        <w:pStyle w:val="5"/>
        <w:bidi w:val="0"/>
      </w:pPr>
      <w:r>
        <w:rPr>
          <w:rFonts w:hint="eastAsia"/>
        </w:rPr>
        <w:t>在建及拟建工程概况</w:t>
      </w:r>
    </w:p>
    <w:p w14:paraId="4F324092">
      <w:pPr>
        <w:ind w:firstLine="480"/>
      </w:pPr>
      <w:r>
        <w:rPr>
          <w:rFonts w:hint="eastAsia"/>
        </w:rPr>
        <w:t>在建及拟建</w:t>
      </w:r>
      <w:r>
        <w:t>工程基本</w:t>
      </w:r>
      <w:r>
        <w:rPr>
          <w:rFonts w:hint="eastAsia"/>
        </w:rPr>
        <w:t>情况详见</w:t>
      </w:r>
      <w:r>
        <w:rPr>
          <w:rFonts w:hint="eastAsia"/>
          <w:lang w:val="en-US" w:eastAsia="zh-CN"/>
        </w:rPr>
        <w:t>下表</w:t>
      </w:r>
      <w:r>
        <w:rPr>
          <w:rFonts w:hint="eastAsia"/>
        </w:rPr>
        <w:t>。</w:t>
      </w:r>
    </w:p>
    <w:p w14:paraId="3BF31AFE">
      <w:pPr>
        <w:pStyle w:val="10"/>
        <w:bidi w:val="0"/>
        <w:rPr>
          <w:rFonts w:hint="eastAsia"/>
        </w:rPr>
      </w:pPr>
      <w:r>
        <w:t xml:space="preserve">表 </w:t>
      </w:r>
      <w:r>
        <w:fldChar w:fldCharType="begin"/>
      </w:r>
      <w:r>
        <w:instrText xml:space="preserve"> STYLEREF 2 \s </w:instrText>
      </w:r>
      <w:r>
        <w:fldChar w:fldCharType="separate"/>
      </w:r>
      <w:r>
        <w:t>3.4</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rPr>
        <w:t xml:space="preserve"> 在建</w:t>
      </w:r>
      <w:r>
        <w:rPr>
          <w:rFonts w:hint="eastAsia"/>
          <w:lang w:val="en-US" w:eastAsia="zh-CN"/>
        </w:rPr>
        <w:t>及拟建</w:t>
      </w:r>
      <w:r>
        <w:rPr>
          <w:rFonts w:hint="eastAsia"/>
        </w:rPr>
        <w:t>工程基本情况一览表</w:t>
      </w:r>
    </w:p>
    <w:tbl>
      <w:tblPr>
        <w:tblStyle w:val="31"/>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03"/>
        <w:gridCol w:w="776"/>
        <w:gridCol w:w="506"/>
        <w:gridCol w:w="1797"/>
        <w:gridCol w:w="891"/>
        <w:gridCol w:w="4145"/>
      </w:tblGrid>
      <w:tr w14:paraId="6867754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54" w:hRule="atLeast"/>
          <w:jc w:val="center"/>
        </w:trPr>
        <w:tc>
          <w:tcPr>
            <w:tcW w:w="236" w:type="pct"/>
            <w:tcBorders>
              <w:tl2br w:val="nil"/>
              <w:tr2bl w:val="nil"/>
            </w:tcBorders>
            <w:vAlign w:val="center"/>
          </w:tcPr>
          <w:p w14:paraId="26A45B24">
            <w:pPr>
              <w:pStyle w:val="182"/>
              <w:rPr>
                <w:b/>
                <w:bCs/>
                <w:color w:val="auto"/>
              </w:rPr>
            </w:pPr>
            <w:r>
              <w:rPr>
                <w:b/>
                <w:bCs/>
                <w:color w:val="auto"/>
              </w:rPr>
              <w:t>序号</w:t>
            </w:r>
          </w:p>
        </w:tc>
        <w:tc>
          <w:tcPr>
            <w:tcW w:w="455" w:type="pct"/>
            <w:tcBorders>
              <w:tl2br w:val="nil"/>
              <w:tr2bl w:val="nil"/>
            </w:tcBorders>
            <w:vAlign w:val="center"/>
          </w:tcPr>
          <w:p w14:paraId="410D35DE">
            <w:pPr>
              <w:pStyle w:val="182"/>
              <w:rPr>
                <w:b/>
                <w:bCs/>
                <w:color w:val="auto"/>
              </w:rPr>
            </w:pPr>
            <w:r>
              <w:rPr>
                <w:b/>
                <w:bCs/>
                <w:color w:val="auto"/>
              </w:rPr>
              <w:t>工程类别</w:t>
            </w:r>
          </w:p>
        </w:tc>
        <w:tc>
          <w:tcPr>
            <w:tcW w:w="1351" w:type="pct"/>
            <w:gridSpan w:val="2"/>
            <w:tcBorders>
              <w:tl2br w:val="nil"/>
              <w:tr2bl w:val="nil"/>
            </w:tcBorders>
            <w:vAlign w:val="center"/>
          </w:tcPr>
          <w:p w14:paraId="09C7FA48">
            <w:pPr>
              <w:pStyle w:val="182"/>
              <w:rPr>
                <w:b/>
                <w:bCs/>
                <w:color w:val="auto"/>
              </w:rPr>
            </w:pPr>
            <w:r>
              <w:rPr>
                <w:b/>
                <w:bCs/>
                <w:color w:val="auto"/>
              </w:rPr>
              <w:t>工程名称</w:t>
            </w:r>
          </w:p>
        </w:tc>
        <w:tc>
          <w:tcPr>
            <w:tcW w:w="2956" w:type="pct"/>
            <w:gridSpan w:val="2"/>
            <w:tcBorders>
              <w:tl2br w:val="nil"/>
              <w:tr2bl w:val="nil"/>
            </w:tcBorders>
            <w:vAlign w:val="center"/>
          </w:tcPr>
          <w:p w14:paraId="12094C4B">
            <w:pPr>
              <w:pStyle w:val="182"/>
              <w:rPr>
                <w:b/>
                <w:bCs/>
                <w:color w:val="auto"/>
              </w:rPr>
            </w:pPr>
            <w:r>
              <w:rPr>
                <w:b/>
                <w:bCs/>
                <w:color w:val="auto"/>
              </w:rPr>
              <w:t>内容</w:t>
            </w:r>
          </w:p>
        </w:tc>
      </w:tr>
      <w:tr w14:paraId="0F2D32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restart"/>
            <w:tcBorders>
              <w:tl2br w:val="nil"/>
              <w:tr2bl w:val="nil"/>
            </w:tcBorders>
            <w:vAlign w:val="center"/>
          </w:tcPr>
          <w:p w14:paraId="51F45417">
            <w:pPr>
              <w:pStyle w:val="182"/>
              <w:rPr>
                <w:color w:val="auto"/>
              </w:rPr>
            </w:pPr>
            <w:r>
              <w:rPr>
                <w:rFonts w:hint="eastAsia"/>
                <w:color w:val="auto"/>
              </w:rPr>
              <w:t>1</w:t>
            </w:r>
          </w:p>
        </w:tc>
        <w:tc>
          <w:tcPr>
            <w:tcW w:w="455" w:type="pct"/>
            <w:vMerge w:val="restart"/>
            <w:tcBorders>
              <w:tl2br w:val="nil"/>
              <w:tr2bl w:val="nil"/>
            </w:tcBorders>
            <w:vAlign w:val="center"/>
          </w:tcPr>
          <w:p w14:paraId="08EB0401">
            <w:pPr>
              <w:pStyle w:val="182"/>
              <w:rPr>
                <w:color w:val="auto"/>
              </w:rPr>
            </w:pPr>
            <w:r>
              <w:rPr>
                <w:rFonts w:hint="eastAsia"/>
                <w:color w:val="auto"/>
              </w:rPr>
              <w:t>主体工程</w:t>
            </w:r>
          </w:p>
        </w:tc>
        <w:tc>
          <w:tcPr>
            <w:tcW w:w="1351" w:type="pct"/>
            <w:gridSpan w:val="2"/>
            <w:tcBorders>
              <w:tl2br w:val="nil"/>
              <w:tr2bl w:val="nil"/>
            </w:tcBorders>
            <w:vAlign w:val="center"/>
          </w:tcPr>
          <w:p w14:paraId="03D69C91">
            <w:pPr>
              <w:pStyle w:val="182"/>
              <w:rPr>
                <w:color w:val="auto"/>
              </w:rPr>
            </w:pPr>
            <w:r>
              <w:rPr>
                <w:rFonts w:hint="eastAsia"/>
                <w:color w:val="auto"/>
              </w:rPr>
              <w:t>年产2×2万吨超细旦氨纶纤维项目（年产3×2万吨超细旦氨纶纤维项目二期三期工程）（三期）</w:t>
            </w:r>
          </w:p>
        </w:tc>
        <w:tc>
          <w:tcPr>
            <w:tcW w:w="2956" w:type="pct"/>
            <w:gridSpan w:val="2"/>
            <w:tcBorders>
              <w:tl2br w:val="nil"/>
              <w:tr2bl w:val="nil"/>
            </w:tcBorders>
            <w:vAlign w:val="center"/>
          </w:tcPr>
          <w:p w14:paraId="2265001F">
            <w:pPr>
              <w:pStyle w:val="182"/>
              <w:rPr>
                <w:color w:val="auto"/>
              </w:rPr>
            </w:pPr>
            <w:r>
              <w:rPr>
                <w:rFonts w:hint="eastAsia"/>
                <w:color w:val="auto"/>
              </w:rPr>
              <w:t>氨纶主车间1座，PTMG罐区、DMAC罐区、精制区、化工库均依托现有</w:t>
            </w:r>
          </w:p>
        </w:tc>
      </w:tr>
      <w:tr w14:paraId="6A273C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61C28972">
            <w:pPr>
              <w:pStyle w:val="182"/>
              <w:rPr>
                <w:color w:val="auto"/>
              </w:rPr>
            </w:pPr>
          </w:p>
        </w:tc>
        <w:tc>
          <w:tcPr>
            <w:tcW w:w="455" w:type="pct"/>
            <w:vMerge w:val="continue"/>
            <w:tcBorders>
              <w:tl2br w:val="nil"/>
              <w:tr2bl w:val="nil"/>
            </w:tcBorders>
            <w:vAlign w:val="center"/>
          </w:tcPr>
          <w:p w14:paraId="67B3A5B7">
            <w:pPr>
              <w:pStyle w:val="182"/>
              <w:rPr>
                <w:color w:val="auto"/>
              </w:rPr>
            </w:pPr>
          </w:p>
        </w:tc>
        <w:tc>
          <w:tcPr>
            <w:tcW w:w="1351" w:type="pct"/>
            <w:gridSpan w:val="2"/>
            <w:tcBorders>
              <w:tl2br w:val="nil"/>
              <w:tr2bl w:val="nil"/>
            </w:tcBorders>
            <w:vAlign w:val="center"/>
          </w:tcPr>
          <w:p w14:paraId="7CE34631">
            <w:pPr>
              <w:pStyle w:val="182"/>
              <w:rPr>
                <w:color w:val="auto"/>
              </w:rPr>
            </w:pPr>
            <w:r>
              <w:rPr>
                <w:color w:val="auto"/>
              </w:rPr>
              <w:t>1×360t/h锅炉及2×B25MW热电联产项目（建设中）</w:t>
            </w:r>
          </w:p>
        </w:tc>
        <w:tc>
          <w:tcPr>
            <w:tcW w:w="2956" w:type="pct"/>
            <w:gridSpan w:val="2"/>
            <w:tcBorders>
              <w:tl2br w:val="nil"/>
              <w:tr2bl w:val="nil"/>
            </w:tcBorders>
            <w:vAlign w:val="center"/>
          </w:tcPr>
          <w:p w14:paraId="1BDBF420">
            <w:pPr>
              <w:pStyle w:val="182"/>
              <w:rPr>
                <w:color w:val="auto"/>
              </w:rPr>
            </w:pPr>
            <w:r>
              <w:rPr>
                <w:color w:val="auto"/>
              </w:rPr>
              <w:t>1×360t/h高温高压煤粉锅炉，背压式汽轮发电机组2×B25MW，煤库1座，燃煤输送系统1套</w:t>
            </w:r>
          </w:p>
        </w:tc>
      </w:tr>
      <w:tr w14:paraId="32FBD1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2EF480C8">
            <w:pPr>
              <w:pStyle w:val="182"/>
              <w:rPr>
                <w:color w:val="auto"/>
              </w:rPr>
            </w:pPr>
          </w:p>
        </w:tc>
        <w:tc>
          <w:tcPr>
            <w:tcW w:w="455" w:type="pct"/>
            <w:vMerge w:val="continue"/>
            <w:tcBorders>
              <w:tl2br w:val="nil"/>
              <w:tr2bl w:val="nil"/>
            </w:tcBorders>
            <w:vAlign w:val="center"/>
          </w:tcPr>
          <w:p w14:paraId="289CCCD4">
            <w:pPr>
              <w:pStyle w:val="182"/>
              <w:rPr>
                <w:color w:val="auto"/>
              </w:rPr>
            </w:pPr>
          </w:p>
        </w:tc>
        <w:tc>
          <w:tcPr>
            <w:tcW w:w="1351" w:type="pct"/>
            <w:gridSpan w:val="2"/>
            <w:tcBorders>
              <w:tl2br w:val="nil"/>
              <w:tr2bl w:val="nil"/>
            </w:tcBorders>
            <w:vAlign w:val="center"/>
          </w:tcPr>
          <w:p w14:paraId="2736368A">
            <w:pPr>
              <w:pStyle w:val="182"/>
              <w:ind w:firstLine="0" w:firstLineChars="0"/>
              <w:rPr>
                <w:color w:val="auto"/>
              </w:rPr>
            </w:pPr>
            <w:r>
              <w:rPr>
                <w:rFonts w:hint="eastAsia"/>
                <w:color w:val="auto"/>
              </w:rPr>
              <w:t>年产5000吨菌草生物质纤维产业化研发中试项目</w:t>
            </w:r>
          </w:p>
        </w:tc>
        <w:tc>
          <w:tcPr>
            <w:tcW w:w="2956" w:type="pct"/>
            <w:gridSpan w:val="2"/>
            <w:tcBorders>
              <w:tl2br w:val="nil"/>
              <w:tr2bl w:val="nil"/>
            </w:tcBorders>
            <w:vAlign w:val="center"/>
          </w:tcPr>
          <w:p w14:paraId="2C459393">
            <w:pPr>
              <w:pStyle w:val="182"/>
              <w:ind w:firstLine="0" w:firstLineChars="0"/>
              <w:rPr>
                <w:color w:val="auto"/>
              </w:rPr>
            </w:pPr>
            <w:r>
              <w:rPr>
                <w:rFonts w:hint="eastAsia"/>
                <w:color w:val="auto"/>
              </w:rPr>
              <w:t>备料系统、制浆系统、木质素回收系统、仓储系统</w:t>
            </w:r>
          </w:p>
        </w:tc>
      </w:tr>
      <w:tr w14:paraId="72F6C5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1BC06ECB">
            <w:pPr>
              <w:pStyle w:val="182"/>
              <w:rPr>
                <w:color w:val="auto"/>
              </w:rPr>
            </w:pPr>
          </w:p>
        </w:tc>
        <w:tc>
          <w:tcPr>
            <w:tcW w:w="455" w:type="pct"/>
            <w:vMerge w:val="continue"/>
            <w:tcBorders>
              <w:tl2br w:val="nil"/>
              <w:tr2bl w:val="nil"/>
            </w:tcBorders>
            <w:vAlign w:val="center"/>
          </w:tcPr>
          <w:p w14:paraId="11EA2939">
            <w:pPr>
              <w:pStyle w:val="182"/>
              <w:rPr>
                <w:color w:val="auto"/>
              </w:rPr>
            </w:pPr>
          </w:p>
        </w:tc>
        <w:tc>
          <w:tcPr>
            <w:tcW w:w="1351" w:type="pct"/>
            <w:gridSpan w:val="2"/>
            <w:tcBorders>
              <w:tl2br w:val="nil"/>
              <w:tr2bl w:val="nil"/>
            </w:tcBorders>
            <w:vAlign w:val="center"/>
          </w:tcPr>
          <w:p w14:paraId="3B737DCD">
            <w:pPr>
              <w:pStyle w:val="182"/>
              <w:ind w:firstLine="0" w:firstLineChars="0"/>
              <w:rPr>
                <w:rFonts w:hint="eastAsia"/>
                <w:color w:val="auto"/>
              </w:rPr>
            </w:pPr>
            <w:r>
              <w:rPr>
                <w:color w:val="auto"/>
              </w:rPr>
              <w:t>年产1000吨离子液体法再生纤维素纤维（首赛尔纤维）中试研发项目</w:t>
            </w:r>
          </w:p>
        </w:tc>
        <w:tc>
          <w:tcPr>
            <w:tcW w:w="2956" w:type="pct"/>
            <w:gridSpan w:val="2"/>
            <w:tcBorders>
              <w:tl2br w:val="nil"/>
              <w:tr2bl w:val="nil"/>
            </w:tcBorders>
            <w:vAlign w:val="center"/>
          </w:tcPr>
          <w:p w14:paraId="00BD687F">
            <w:pPr>
              <w:pStyle w:val="182"/>
              <w:ind w:firstLine="0" w:firstLineChars="0"/>
              <w:rPr>
                <w:rFonts w:hint="default" w:eastAsia="宋体"/>
                <w:color w:val="auto"/>
                <w:lang w:val="en-US" w:eastAsia="zh-CN"/>
              </w:rPr>
            </w:pPr>
            <w:r>
              <w:rPr>
                <w:rFonts w:hint="eastAsia"/>
                <w:color w:val="auto"/>
                <w:lang w:val="en-US" w:eastAsia="zh-CN"/>
              </w:rPr>
              <w:t>浆粕粉碎系统、溶液制备系统、溶液回收系统</w:t>
            </w:r>
          </w:p>
        </w:tc>
      </w:tr>
      <w:tr w14:paraId="4882AC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tcBorders>
              <w:tl2br w:val="nil"/>
              <w:tr2bl w:val="nil"/>
            </w:tcBorders>
            <w:vAlign w:val="center"/>
          </w:tcPr>
          <w:p w14:paraId="66782543">
            <w:pPr>
              <w:pStyle w:val="182"/>
              <w:rPr>
                <w:color w:val="auto"/>
              </w:rPr>
            </w:pPr>
            <w:r>
              <w:rPr>
                <w:rFonts w:hint="eastAsia"/>
                <w:color w:val="auto"/>
              </w:rPr>
              <w:t>2</w:t>
            </w:r>
          </w:p>
        </w:tc>
        <w:tc>
          <w:tcPr>
            <w:tcW w:w="455" w:type="pct"/>
            <w:tcBorders>
              <w:tl2br w:val="nil"/>
              <w:tr2bl w:val="nil"/>
            </w:tcBorders>
            <w:vAlign w:val="center"/>
          </w:tcPr>
          <w:p w14:paraId="05D83D6A">
            <w:pPr>
              <w:pStyle w:val="182"/>
              <w:rPr>
                <w:color w:val="auto"/>
              </w:rPr>
            </w:pPr>
            <w:r>
              <w:rPr>
                <w:rFonts w:hint="eastAsia"/>
                <w:color w:val="auto"/>
              </w:rPr>
              <w:t>建设地点</w:t>
            </w:r>
          </w:p>
        </w:tc>
        <w:tc>
          <w:tcPr>
            <w:tcW w:w="4307" w:type="pct"/>
            <w:gridSpan w:val="4"/>
            <w:tcBorders>
              <w:tl2br w:val="nil"/>
              <w:tr2bl w:val="nil"/>
            </w:tcBorders>
            <w:vAlign w:val="center"/>
          </w:tcPr>
          <w:p w14:paraId="741760A2">
            <w:pPr>
              <w:pStyle w:val="182"/>
              <w:rPr>
                <w:color w:val="auto"/>
              </w:rPr>
            </w:pPr>
            <w:r>
              <w:rPr>
                <w:rFonts w:hint="eastAsia"/>
                <w:color w:val="auto"/>
              </w:rPr>
              <w:t>新乡经济技术开发区新长北线南侧新乡化纤现有厂区</w:t>
            </w:r>
          </w:p>
        </w:tc>
      </w:tr>
      <w:tr w14:paraId="7B4CBB4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tcBorders>
              <w:tl2br w:val="nil"/>
              <w:tr2bl w:val="nil"/>
            </w:tcBorders>
            <w:vAlign w:val="center"/>
          </w:tcPr>
          <w:p w14:paraId="030ECCEA">
            <w:pPr>
              <w:pStyle w:val="182"/>
              <w:rPr>
                <w:color w:val="auto"/>
              </w:rPr>
            </w:pPr>
            <w:r>
              <w:rPr>
                <w:rFonts w:hint="eastAsia"/>
                <w:color w:val="auto"/>
              </w:rPr>
              <w:t>3</w:t>
            </w:r>
          </w:p>
        </w:tc>
        <w:tc>
          <w:tcPr>
            <w:tcW w:w="455" w:type="pct"/>
            <w:tcBorders>
              <w:tl2br w:val="nil"/>
              <w:tr2bl w:val="nil"/>
            </w:tcBorders>
            <w:vAlign w:val="center"/>
          </w:tcPr>
          <w:p w14:paraId="325C8593">
            <w:pPr>
              <w:pStyle w:val="182"/>
              <w:rPr>
                <w:color w:val="auto"/>
              </w:rPr>
            </w:pPr>
            <w:r>
              <w:rPr>
                <w:rFonts w:hint="eastAsia"/>
                <w:color w:val="auto"/>
              </w:rPr>
              <w:t>工作制度</w:t>
            </w:r>
          </w:p>
        </w:tc>
        <w:tc>
          <w:tcPr>
            <w:tcW w:w="4307" w:type="pct"/>
            <w:gridSpan w:val="4"/>
            <w:tcBorders>
              <w:tl2br w:val="nil"/>
              <w:tr2bl w:val="nil"/>
            </w:tcBorders>
            <w:vAlign w:val="center"/>
          </w:tcPr>
          <w:p w14:paraId="32B7D9F0">
            <w:pPr>
              <w:pStyle w:val="182"/>
              <w:rPr>
                <w:color w:val="auto"/>
              </w:rPr>
            </w:pPr>
            <w:r>
              <w:rPr>
                <w:rFonts w:hint="eastAsia"/>
                <w:color w:val="auto"/>
              </w:rPr>
              <w:t>年工作330天，四班三运转工作制</w:t>
            </w:r>
          </w:p>
        </w:tc>
      </w:tr>
      <w:tr w14:paraId="3442AC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restart"/>
            <w:tcBorders>
              <w:tl2br w:val="nil"/>
              <w:tr2bl w:val="nil"/>
            </w:tcBorders>
            <w:vAlign w:val="center"/>
          </w:tcPr>
          <w:p w14:paraId="49AC6378">
            <w:pPr>
              <w:pStyle w:val="182"/>
              <w:rPr>
                <w:color w:val="auto"/>
              </w:rPr>
            </w:pPr>
            <w:r>
              <w:rPr>
                <w:rFonts w:hint="eastAsia"/>
                <w:color w:val="auto"/>
              </w:rPr>
              <w:t>4</w:t>
            </w:r>
          </w:p>
        </w:tc>
        <w:tc>
          <w:tcPr>
            <w:tcW w:w="455" w:type="pct"/>
            <w:vMerge w:val="restart"/>
            <w:tcBorders>
              <w:tl2br w:val="nil"/>
              <w:tr2bl w:val="nil"/>
            </w:tcBorders>
            <w:vAlign w:val="center"/>
          </w:tcPr>
          <w:p w14:paraId="3A2531F3">
            <w:pPr>
              <w:pStyle w:val="182"/>
              <w:rPr>
                <w:color w:val="auto"/>
              </w:rPr>
            </w:pPr>
            <w:r>
              <w:rPr>
                <w:rFonts w:hint="eastAsia"/>
                <w:color w:val="auto"/>
              </w:rPr>
              <w:t>公用工程</w:t>
            </w:r>
          </w:p>
        </w:tc>
        <w:tc>
          <w:tcPr>
            <w:tcW w:w="1351" w:type="pct"/>
            <w:gridSpan w:val="2"/>
            <w:tcBorders>
              <w:tl2br w:val="nil"/>
              <w:tr2bl w:val="nil"/>
            </w:tcBorders>
            <w:vAlign w:val="center"/>
          </w:tcPr>
          <w:p w14:paraId="23CDC42F">
            <w:pPr>
              <w:pStyle w:val="182"/>
              <w:rPr>
                <w:color w:val="auto"/>
              </w:rPr>
            </w:pPr>
            <w:r>
              <w:rPr>
                <w:rFonts w:hint="eastAsia"/>
                <w:color w:val="auto"/>
              </w:rPr>
              <w:t>供热/蒸汽</w:t>
            </w:r>
          </w:p>
        </w:tc>
        <w:tc>
          <w:tcPr>
            <w:tcW w:w="2956" w:type="pct"/>
            <w:gridSpan w:val="2"/>
            <w:tcBorders>
              <w:tl2br w:val="nil"/>
              <w:tr2bl w:val="nil"/>
            </w:tcBorders>
            <w:vAlign w:val="center"/>
          </w:tcPr>
          <w:p w14:paraId="2A57F6E9">
            <w:pPr>
              <w:pStyle w:val="182"/>
              <w:rPr>
                <w:rFonts w:hint="eastAsia" w:eastAsia="宋体"/>
                <w:color w:val="auto"/>
                <w:lang w:val="en-US" w:eastAsia="zh-CN"/>
              </w:rPr>
            </w:pPr>
            <w:r>
              <w:rPr>
                <w:rFonts w:hint="eastAsia"/>
                <w:color w:val="auto"/>
              </w:rPr>
              <w:t>由新乡化纤股份有限公司新厂区2台170t/h锅炉+1台75t/h锅炉提供</w:t>
            </w:r>
            <w:r>
              <w:rPr>
                <w:rFonts w:hint="eastAsia"/>
                <w:color w:val="auto"/>
                <w:lang w:eastAsia="zh-CN"/>
              </w:rPr>
              <w:t>，</w:t>
            </w:r>
            <w:r>
              <w:rPr>
                <w:rFonts w:hint="eastAsia"/>
                <w:color w:val="auto"/>
                <w:lang w:val="en-US" w:eastAsia="zh-CN"/>
              </w:rPr>
              <w:t>由</w:t>
            </w:r>
            <w:r>
              <w:rPr>
                <w:bCs/>
                <w:color w:val="auto"/>
              </w:rPr>
              <w:t>360t/h锅炉供</w:t>
            </w:r>
            <w:r>
              <w:rPr>
                <w:rFonts w:hint="eastAsia"/>
                <w:bCs/>
                <w:color w:val="auto"/>
                <w:lang w:val="en-US" w:eastAsia="zh-CN"/>
              </w:rPr>
              <w:t>给</w:t>
            </w:r>
          </w:p>
        </w:tc>
      </w:tr>
      <w:tr w14:paraId="18E9FE3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6A988EBE">
            <w:pPr>
              <w:pStyle w:val="182"/>
              <w:rPr>
                <w:color w:val="auto"/>
              </w:rPr>
            </w:pPr>
          </w:p>
        </w:tc>
        <w:tc>
          <w:tcPr>
            <w:tcW w:w="455" w:type="pct"/>
            <w:vMerge w:val="continue"/>
            <w:tcBorders>
              <w:tl2br w:val="nil"/>
              <w:tr2bl w:val="nil"/>
            </w:tcBorders>
            <w:vAlign w:val="center"/>
          </w:tcPr>
          <w:p w14:paraId="6F2F248E">
            <w:pPr>
              <w:pStyle w:val="182"/>
              <w:rPr>
                <w:color w:val="auto"/>
              </w:rPr>
            </w:pPr>
          </w:p>
        </w:tc>
        <w:tc>
          <w:tcPr>
            <w:tcW w:w="1351" w:type="pct"/>
            <w:gridSpan w:val="2"/>
            <w:tcBorders>
              <w:tl2br w:val="nil"/>
              <w:tr2bl w:val="nil"/>
            </w:tcBorders>
            <w:vAlign w:val="center"/>
          </w:tcPr>
          <w:p w14:paraId="56DE4DC5">
            <w:pPr>
              <w:pStyle w:val="182"/>
              <w:rPr>
                <w:color w:val="auto"/>
              </w:rPr>
            </w:pPr>
            <w:r>
              <w:rPr>
                <w:rFonts w:hint="eastAsia"/>
                <w:color w:val="auto"/>
              </w:rPr>
              <w:t>供水</w:t>
            </w:r>
          </w:p>
        </w:tc>
        <w:tc>
          <w:tcPr>
            <w:tcW w:w="2956" w:type="pct"/>
            <w:gridSpan w:val="2"/>
            <w:tcBorders>
              <w:tl2br w:val="nil"/>
              <w:tr2bl w:val="nil"/>
            </w:tcBorders>
            <w:vAlign w:val="center"/>
          </w:tcPr>
          <w:p w14:paraId="560AC019">
            <w:pPr>
              <w:pStyle w:val="182"/>
              <w:rPr>
                <w:color w:val="auto"/>
              </w:rPr>
            </w:pPr>
            <w:r>
              <w:rPr>
                <w:rFonts w:hint="eastAsia"/>
                <w:color w:val="auto"/>
              </w:rPr>
              <w:t>市政管网</w:t>
            </w:r>
          </w:p>
        </w:tc>
      </w:tr>
      <w:tr w14:paraId="21F00D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5BC5DE56">
            <w:pPr>
              <w:pStyle w:val="182"/>
              <w:rPr>
                <w:color w:val="auto"/>
              </w:rPr>
            </w:pPr>
          </w:p>
        </w:tc>
        <w:tc>
          <w:tcPr>
            <w:tcW w:w="455" w:type="pct"/>
            <w:vMerge w:val="continue"/>
            <w:tcBorders>
              <w:tl2br w:val="nil"/>
              <w:tr2bl w:val="nil"/>
            </w:tcBorders>
            <w:vAlign w:val="center"/>
          </w:tcPr>
          <w:p w14:paraId="5B4CC51A">
            <w:pPr>
              <w:pStyle w:val="182"/>
              <w:rPr>
                <w:color w:val="auto"/>
              </w:rPr>
            </w:pPr>
          </w:p>
        </w:tc>
        <w:tc>
          <w:tcPr>
            <w:tcW w:w="1351" w:type="pct"/>
            <w:gridSpan w:val="2"/>
            <w:tcBorders>
              <w:tl2br w:val="nil"/>
              <w:tr2bl w:val="nil"/>
            </w:tcBorders>
            <w:vAlign w:val="center"/>
          </w:tcPr>
          <w:p w14:paraId="755C4886">
            <w:pPr>
              <w:pStyle w:val="182"/>
              <w:rPr>
                <w:color w:val="auto"/>
              </w:rPr>
            </w:pPr>
            <w:r>
              <w:rPr>
                <w:rFonts w:hint="eastAsia"/>
                <w:color w:val="auto"/>
              </w:rPr>
              <w:t>排水</w:t>
            </w:r>
          </w:p>
        </w:tc>
        <w:tc>
          <w:tcPr>
            <w:tcW w:w="2956" w:type="pct"/>
            <w:gridSpan w:val="2"/>
            <w:tcBorders>
              <w:tl2br w:val="nil"/>
              <w:tr2bl w:val="nil"/>
            </w:tcBorders>
            <w:vAlign w:val="center"/>
          </w:tcPr>
          <w:p w14:paraId="6D557910">
            <w:pPr>
              <w:pStyle w:val="182"/>
              <w:rPr>
                <w:color w:val="auto"/>
              </w:rPr>
            </w:pPr>
            <w:r>
              <w:rPr>
                <w:rFonts w:hint="eastAsia"/>
                <w:color w:val="auto"/>
              </w:rPr>
              <w:t>厂区废水经现有厂区污水处理站（处理规模3</w:t>
            </w:r>
            <w:r>
              <w:rPr>
                <w:color w:val="auto"/>
              </w:rPr>
              <w:t>.8</w:t>
            </w:r>
            <w:r>
              <w:rPr>
                <w:rFonts w:hint="eastAsia"/>
                <w:color w:val="auto"/>
              </w:rPr>
              <w:t>万t</w:t>
            </w:r>
            <w:r>
              <w:rPr>
                <w:color w:val="auto"/>
              </w:rPr>
              <w:t>/d</w:t>
            </w:r>
            <w:r>
              <w:rPr>
                <w:rFonts w:hint="eastAsia"/>
                <w:color w:val="auto"/>
              </w:rPr>
              <w:t>）处理达标后通过污水管网排入小店污水处理厂进行处理，污水处理厂尾水排入大沙河</w:t>
            </w:r>
          </w:p>
        </w:tc>
      </w:tr>
      <w:tr w14:paraId="3A50C1A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1D64EABB">
            <w:pPr>
              <w:pStyle w:val="182"/>
              <w:rPr>
                <w:color w:val="auto"/>
              </w:rPr>
            </w:pPr>
          </w:p>
        </w:tc>
        <w:tc>
          <w:tcPr>
            <w:tcW w:w="455" w:type="pct"/>
            <w:vMerge w:val="continue"/>
            <w:tcBorders>
              <w:tl2br w:val="nil"/>
              <w:tr2bl w:val="nil"/>
            </w:tcBorders>
            <w:vAlign w:val="center"/>
          </w:tcPr>
          <w:p w14:paraId="28EBB7C5">
            <w:pPr>
              <w:pStyle w:val="182"/>
              <w:rPr>
                <w:color w:val="auto"/>
              </w:rPr>
            </w:pPr>
          </w:p>
        </w:tc>
        <w:tc>
          <w:tcPr>
            <w:tcW w:w="1351" w:type="pct"/>
            <w:gridSpan w:val="2"/>
            <w:tcBorders>
              <w:tl2br w:val="nil"/>
              <w:tr2bl w:val="nil"/>
            </w:tcBorders>
            <w:vAlign w:val="center"/>
          </w:tcPr>
          <w:p w14:paraId="2DF874B0">
            <w:pPr>
              <w:pStyle w:val="182"/>
              <w:rPr>
                <w:color w:val="auto"/>
              </w:rPr>
            </w:pPr>
            <w:r>
              <w:rPr>
                <w:rFonts w:hint="eastAsia"/>
                <w:color w:val="auto"/>
              </w:rPr>
              <w:t>供电</w:t>
            </w:r>
          </w:p>
        </w:tc>
        <w:tc>
          <w:tcPr>
            <w:tcW w:w="2956" w:type="pct"/>
            <w:gridSpan w:val="2"/>
            <w:tcBorders>
              <w:tl2br w:val="nil"/>
              <w:tr2bl w:val="nil"/>
            </w:tcBorders>
            <w:vAlign w:val="center"/>
          </w:tcPr>
          <w:p w14:paraId="55DFB1BA">
            <w:pPr>
              <w:pStyle w:val="182"/>
              <w:rPr>
                <w:color w:val="auto"/>
              </w:rPr>
            </w:pPr>
            <w:r>
              <w:rPr>
                <w:rFonts w:hint="eastAsia"/>
                <w:color w:val="auto"/>
              </w:rPr>
              <w:t>由园区统一供给，厂内配套变压器</w:t>
            </w:r>
          </w:p>
        </w:tc>
      </w:tr>
      <w:tr w14:paraId="142668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5C6E30C9">
            <w:pPr>
              <w:pStyle w:val="182"/>
              <w:rPr>
                <w:color w:val="auto"/>
              </w:rPr>
            </w:pPr>
          </w:p>
        </w:tc>
        <w:tc>
          <w:tcPr>
            <w:tcW w:w="455" w:type="pct"/>
            <w:vMerge w:val="continue"/>
            <w:tcBorders>
              <w:tl2br w:val="nil"/>
              <w:tr2bl w:val="nil"/>
            </w:tcBorders>
            <w:vAlign w:val="center"/>
          </w:tcPr>
          <w:p w14:paraId="69EEDF64">
            <w:pPr>
              <w:pStyle w:val="182"/>
              <w:rPr>
                <w:color w:val="auto"/>
              </w:rPr>
            </w:pPr>
          </w:p>
        </w:tc>
        <w:tc>
          <w:tcPr>
            <w:tcW w:w="1351" w:type="pct"/>
            <w:gridSpan w:val="2"/>
            <w:tcBorders>
              <w:tl2br w:val="nil"/>
              <w:tr2bl w:val="nil"/>
            </w:tcBorders>
            <w:vAlign w:val="center"/>
          </w:tcPr>
          <w:p w14:paraId="3BF8CF7D">
            <w:pPr>
              <w:pStyle w:val="182"/>
              <w:rPr>
                <w:color w:val="auto"/>
              </w:rPr>
            </w:pPr>
            <w:r>
              <w:rPr>
                <w:rFonts w:hint="eastAsia"/>
                <w:color w:val="auto"/>
              </w:rPr>
              <w:t>脱盐水</w:t>
            </w:r>
          </w:p>
        </w:tc>
        <w:tc>
          <w:tcPr>
            <w:tcW w:w="2956" w:type="pct"/>
            <w:gridSpan w:val="2"/>
            <w:tcBorders>
              <w:tl2br w:val="nil"/>
              <w:tr2bl w:val="nil"/>
            </w:tcBorders>
            <w:vAlign w:val="center"/>
          </w:tcPr>
          <w:p w14:paraId="167CE080">
            <w:pPr>
              <w:pStyle w:val="182"/>
              <w:rPr>
                <w:color w:val="auto"/>
              </w:rPr>
            </w:pPr>
            <w:r>
              <w:rPr>
                <w:rFonts w:hint="eastAsia"/>
                <w:color w:val="auto"/>
              </w:rPr>
              <w:t>厂区建设有1座总制备能力为800m</w:t>
            </w:r>
            <w:r>
              <w:rPr>
                <w:rFonts w:hint="eastAsia"/>
                <w:color w:val="auto"/>
                <w:vertAlign w:val="superscript"/>
              </w:rPr>
              <w:t>3</w:t>
            </w:r>
            <w:r>
              <w:rPr>
                <w:rFonts w:hint="eastAsia"/>
                <w:color w:val="auto"/>
              </w:rPr>
              <w:t>/h的脱盐水供水站，脱盐水供水站为全厂项目提供脱盐水</w:t>
            </w:r>
          </w:p>
        </w:tc>
      </w:tr>
      <w:tr w14:paraId="0DBB35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090616C1">
            <w:pPr>
              <w:pStyle w:val="182"/>
              <w:rPr>
                <w:color w:val="auto"/>
              </w:rPr>
            </w:pPr>
          </w:p>
        </w:tc>
        <w:tc>
          <w:tcPr>
            <w:tcW w:w="455" w:type="pct"/>
            <w:vMerge w:val="continue"/>
            <w:tcBorders>
              <w:tl2br w:val="nil"/>
              <w:tr2bl w:val="nil"/>
            </w:tcBorders>
            <w:vAlign w:val="center"/>
          </w:tcPr>
          <w:p w14:paraId="2757E0C5">
            <w:pPr>
              <w:pStyle w:val="182"/>
              <w:rPr>
                <w:color w:val="auto"/>
              </w:rPr>
            </w:pPr>
          </w:p>
        </w:tc>
        <w:tc>
          <w:tcPr>
            <w:tcW w:w="1351" w:type="pct"/>
            <w:gridSpan w:val="2"/>
            <w:tcBorders>
              <w:tl2br w:val="nil"/>
              <w:tr2bl w:val="nil"/>
            </w:tcBorders>
            <w:vAlign w:val="center"/>
          </w:tcPr>
          <w:p w14:paraId="08C79330">
            <w:pPr>
              <w:pStyle w:val="182"/>
              <w:rPr>
                <w:color w:val="auto"/>
              </w:rPr>
            </w:pPr>
            <w:r>
              <w:rPr>
                <w:rFonts w:hint="eastAsia"/>
                <w:color w:val="auto"/>
              </w:rPr>
              <w:t>污水处理站</w:t>
            </w:r>
          </w:p>
        </w:tc>
        <w:tc>
          <w:tcPr>
            <w:tcW w:w="2956" w:type="pct"/>
            <w:gridSpan w:val="2"/>
            <w:tcBorders>
              <w:tl2br w:val="nil"/>
              <w:tr2bl w:val="nil"/>
            </w:tcBorders>
            <w:vAlign w:val="center"/>
          </w:tcPr>
          <w:p w14:paraId="1801865A">
            <w:pPr>
              <w:pStyle w:val="182"/>
              <w:rPr>
                <w:color w:val="auto"/>
              </w:rPr>
            </w:pPr>
            <w:r>
              <w:rPr>
                <w:rFonts w:hint="eastAsia"/>
                <w:color w:val="auto"/>
              </w:rPr>
              <w:t>设计规模3</w:t>
            </w:r>
            <w:r>
              <w:rPr>
                <w:color w:val="auto"/>
              </w:rPr>
              <w:t>.8</w:t>
            </w:r>
            <w:r>
              <w:rPr>
                <w:rFonts w:hint="eastAsia"/>
                <w:color w:val="auto"/>
              </w:rPr>
              <w:t>万t</w:t>
            </w:r>
            <w:r>
              <w:rPr>
                <w:color w:val="auto"/>
              </w:rPr>
              <w:t>/d</w:t>
            </w:r>
            <w:r>
              <w:rPr>
                <w:rFonts w:hint="eastAsia"/>
                <w:color w:val="auto"/>
              </w:rPr>
              <w:t>，处理工艺为“中和廊道+沉淀池+pH调节池”</w:t>
            </w:r>
          </w:p>
        </w:tc>
      </w:tr>
      <w:tr w14:paraId="1094E4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restart"/>
            <w:tcBorders>
              <w:tl2br w:val="nil"/>
              <w:tr2bl w:val="nil"/>
            </w:tcBorders>
            <w:vAlign w:val="center"/>
          </w:tcPr>
          <w:p w14:paraId="0FB5477B">
            <w:pPr>
              <w:pStyle w:val="182"/>
              <w:rPr>
                <w:color w:val="auto"/>
              </w:rPr>
            </w:pPr>
            <w:r>
              <w:rPr>
                <w:rFonts w:hint="eastAsia"/>
                <w:color w:val="auto"/>
              </w:rPr>
              <w:t>5</w:t>
            </w:r>
          </w:p>
        </w:tc>
        <w:tc>
          <w:tcPr>
            <w:tcW w:w="455" w:type="pct"/>
            <w:vMerge w:val="restart"/>
            <w:tcBorders>
              <w:tl2br w:val="nil"/>
              <w:tr2bl w:val="nil"/>
            </w:tcBorders>
            <w:vAlign w:val="center"/>
          </w:tcPr>
          <w:p w14:paraId="635B8E0D">
            <w:pPr>
              <w:pStyle w:val="182"/>
              <w:rPr>
                <w:color w:val="auto"/>
              </w:rPr>
            </w:pPr>
            <w:r>
              <w:rPr>
                <w:color w:val="auto"/>
              </w:rPr>
              <w:t>环保工程</w:t>
            </w:r>
          </w:p>
        </w:tc>
        <w:tc>
          <w:tcPr>
            <w:tcW w:w="297" w:type="pct"/>
            <w:vMerge w:val="restart"/>
            <w:tcBorders>
              <w:tl2br w:val="nil"/>
              <w:tr2bl w:val="nil"/>
            </w:tcBorders>
            <w:vAlign w:val="center"/>
          </w:tcPr>
          <w:p w14:paraId="56927832">
            <w:pPr>
              <w:pStyle w:val="182"/>
              <w:rPr>
                <w:color w:val="auto"/>
              </w:rPr>
            </w:pPr>
            <w:r>
              <w:rPr>
                <w:rFonts w:hint="eastAsia"/>
                <w:color w:val="auto"/>
              </w:rPr>
              <w:t>废气治理设施</w:t>
            </w:r>
          </w:p>
        </w:tc>
        <w:tc>
          <w:tcPr>
            <w:tcW w:w="1054" w:type="pct"/>
            <w:vMerge w:val="restart"/>
            <w:tcBorders>
              <w:tl2br w:val="nil"/>
              <w:tr2bl w:val="nil"/>
            </w:tcBorders>
            <w:vAlign w:val="center"/>
          </w:tcPr>
          <w:p w14:paraId="0CCA3EAE">
            <w:pPr>
              <w:pStyle w:val="182"/>
              <w:rPr>
                <w:color w:val="auto"/>
              </w:rPr>
            </w:pPr>
            <w:r>
              <w:rPr>
                <w:rFonts w:hint="eastAsia"/>
                <w:color w:val="auto"/>
              </w:rPr>
              <w:t>年产2×2万吨超细旦氨纶纤维项目（年产3×2万吨超细旦氨纶纤维项目二期三期工程）（三期）</w:t>
            </w:r>
          </w:p>
        </w:tc>
        <w:tc>
          <w:tcPr>
            <w:tcW w:w="2956" w:type="pct"/>
            <w:gridSpan w:val="2"/>
            <w:tcBorders>
              <w:tl2br w:val="nil"/>
              <w:tr2bl w:val="nil"/>
            </w:tcBorders>
            <w:vAlign w:val="center"/>
          </w:tcPr>
          <w:p w14:paraId="333EEBCC">
            <w:pPr>
              <w:pStyle w:val="182"/>
              <w:rPr>
                <w:color w:val="auto"/>
              </w:rPr>
            </w:pPr>
            <w:r>
              <w:rPr>
                <w:rFonts w:hint="eastAsia"/>
                <w:color w:val="auto"/>
              </w:rPr>
              <w:t>DMAC精制（真空泵尾气）：经170t/h燃煤锅炉</w:t>
            </w:r>
          </w:p>
          <w:p w14:paraId="6CB89F36">
            <w:pPr>
              <w:pStyle w:val="182"/>
              <w:rPr>
                <w:color w:val="auto"/>
              </w:rPr>
            </w:pPr>
            <w:r>
              <w:rPr>
                <w:rFonts w:hint="eastAsia"/>
                <w:color w:val="auto"/>
              </w:rPr>
              <w:t>炉膛燃烧处理后经80m高3#排气筒排放。</w:t>
            </w:r>
          </w:p>
        </w:tc>
      </w:tr>
      <w:tr w14:paraId="3E55DE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119D6F4E">
            <w:pPr>
              <w:pStyle w:val="182"/>
              <w:rPr>
                <w:color w:val="auto"/>
              </w:rPr>
            </w:pPr>
          </w:p>
        </w:tc>
        <w:tc>
          <w:tcPr>
            <w:tcW w:w="455" w:type="pct"/>
            <w:vMerge w:val="continue"/>
            <w:tcBorders>
              <w:tl2br w:val="nil"/>
              <w:tr2bl w:val="nil"/>
            </w:tcBorders>
            <w:vAlign w:val="center"/>
          </w:tcPr>
          <w:p w14:paraId="7321A94E">
            <w:pPr>
              <w:pStyle w:val="182"/>
              <w:rPr>
                <w:color w:val="auto"/>
              </w:rPr>
            </w:pPr>
          </w:p>
        </w:tc>
        <w:tc>
          <w:tcPr>
            <w:tcW w:w="297" w:type="pct"/>
            <w:vMerge w:val="continue"/>
            <w:tcBorders>
              <w:tl2br w:val="nil"/>
              <w:tr2bl w:val="nil"/>
            </w:tcBorders>
            <w:vAlign w:val="center"/>
          </w:tcPr>
          <w:p w14:paraId="144B2C18">
            <w:pPr>
              <w:pStyle w:val="182"/>
              <w:rPr>
                <w:color w:val="auto"/>
              </w:rPr>
            </w:pPr>
          </w:p>
        </w:tc>
        <w:tc>
          <w:tcPr>
            <w:tcW w:w="1054" w:type="pct"/>
            <w:vMerge w:val="continue"/>
            <w:tcBorders>
              <w:tl2br w:val="nil"/>
              <w:tr2bl w:val="nil"/>
            </w:tcBorders>
            <w:vAlign w:val="center"/>
          </w:tcPr>
          <w:p w14:paraId="3F6B7699">
            <w:pPr>
              <w:pStyle w:val="182"/>
              <w:rPr>
                <w:color w:val="auto"/>
              </w:rPr>
            </w:pPr>
          </w:p>
        </w:tc>
        <w:tc>
          <w:tcPr>
            <w:tcW w:w="2956" w:type="pct"/>
            <w:gridSpan w:val="2"/>
            <w:tcBorders>
              <w:tl2br w:val="nil"/>
              <w:tr2bl w:val="nil"/>
            </w:tcBorders>
            <w:vAlign w:val="center"/>
          </w:tcPr>
          <w:p w14:paraId="46AE8F68">
            <w:pPr>
              <w:pStyle w:val="182"/>
              <w:rPr>
                <w:color w:val="auto"/>
              </w:rPr>
            </w:pPr>
            <w:r>
              <w:rPr>
                <w:rFonts w:hint="eastAsia"/>
                <w:color w:val="auto"/>
              </w:rPr>
              <w:t>纺丝工艺废气：经二级水喷淋（ABS系统）后引入三级喷淋系统“双氧水喷淋+硫酸喷淋+水喷淋”处理后，经30m高11#排气筒排放</w:t>
            </w:r>
          </w:p>
        </w:tc>
      </w:tr>
      <w:tr w14:paraId="2CCB2A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54" w:hRule="atLeast"/>
          <w:jc w:val="center"/>
        </w:trPr>
        <w:tc>
          <w:tcPr>
            <w:tcW w:w="236" w:type="pct"/>
            <w:vMerge w:val="continue"/>
            <w:tcBorders>
              <w:tl2br w:val="nil"/>
              <w:tr2bl w:val="nil"/>
            </w:tcBorders>
            <w:vAlign w:val="center"/>
          </w:tcPr>
          <w:p w14:paraId="05C476B5">
            <w:pPr>
              <w:pStyle w:val="182"/>
              <w:rPr>
                <w:color w:val="auto"/>
              </w:rPr>
            </w:pPr>
          </w:p>
        </w:tc>
        <w:tc>
          <w:tcPr>
            <w:tcW w:w="455" w:type="pct"/>
            <w:vMerge w:val="continue"/>
            <w:tcBorders>
              <w:tl2br w:val="nil"/>
              <w:tr2bl w:val="nil"/>
            </w:tcBorders>
            <w:vAlign w:val="center"/>
          </w:tcPr>
          <w:p w14:paraId="5E75B6FD">
            <w:pPr>
              <w:pStyle w:val="182"/>
              <w:rPr>
                <w:color w:val="auto"/>
              </w:rPr>
            </w:pPr>
          </w:p>
        </w:tc>
        <w:tc>
          <w:tcPr>
            <w:tcW w:w="297" w:type="pct"/>
            <w:vMerge w:val="continue"/>
            <w:tcBorders>
              <w:tl2br w:val="nil"/>
              <w:tr2bl w:val="nil"/>
            </w:tcBorders>
            <w:vAlign w:val="center"/>
          </w:tcPr>
          <w:p w14:paraId="6CC65C44">
            <w:pPr>
              <w:pStyle w:val="182"/>
              <w:rPr>
                <w:color w:val="auto"/>
              </w:rPr>
            </w:pPr>
          </w:p>
        </w:tc>
        <w:tc>
          <w:tcPr>
            <w:tcW w:w="1054" w:type="pct"/>
            <w:vMerge w:val="continue"/>
            <w:tcBorders>
              <w:tl2br w:val="nil"/>
              <w:tr2bl w:val="nil"/>
            </w:tcBorders>
            <w:vAlign w:val="center"/>
          </w:tcPr>
          <w:p w14:paraId="3049CAA3">
            <w:pPr>
              <w:pStyle w:val="182"/>
              <w:rPr>
                <w:color w:val="auto"/>
              </w:rPr>
            </w:pPr>
          </w:p>
        </w:tc>
        <w:tc>
          <w:tcPr>
            <w:tcW w:w="2956" w:type="pct"/>
            <w:gridSpan w:val="2"/>
            <w:tcBorders>
              <w:tl2br w:val="nil"/>
              <w:tr2bl w:val="nil"/>
            </w:tcBorders>
            <w:vAlign w:val="center"/>
          </w:tcPr>
          <w:p w14:paraId="3552561A">
            <w:pPr>
              <w:pStyle w:val="182"/>
              <w:rPr>
                <w:color w:val="auto"/>
              </w:rPr>
            </w:pPr>
            <w:r>
              <w:rPr>
                <w:rFonts w:hint="eastAsia"/>
                <w:color w:val="auto"/>
              </w:rPr>
              <w:t>纺丝、卷绕车间废气：收集后经水喷淋处理后经27m高14#排气筒排放。</w:t>
            </w:r>
          </w:p>
        </w:tc>
      </w:tr>
      <w:tr w14:paraId="2797FFB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38268722">
            <w:pPr>
              <w:pStyle w:val="182"/>
              <w:rPr>
                <w:color w:val="auto"/>
              </w:rPr>
            </w:pPr>
          </w:p>
        </w:tc>
        <w:tc>
          <w:tcPr>
            <w:tcW w:w="455" w:type="pct"/>
            <w:vMerge w:val="continue"/>
            <w:tcBorders>
              <w:tl2br w:val="nil"/>
              <w:tr2bl w:val="nil"/>
            </w:tcBorders>
            <w:vAlign w:val="center"/>
          </w:tcPr>
          <w:p w14:paraId="065DFE8D">
            <w:pPr>
              <w:pStyle w:val="182"/>
              <w:rPr>
                <w:color w:val="auto"/>
              </w:rPr>
            </w:pPr>
          </w:p>
        </w:tc>
        <w:tc>
          <w:tcPr>
            <w:tcW w:w="297" w:type="pct"/>
            <w:vMerge w:val="continue"/>
            <w:tcBorders>
              <w:tl2br w:val="nil"/>
              <w:tr2bl w:val="nil"/>
            </w:tcBorders>
            <w:vAlign w:val="center"/>
          </w:tcPr>
          <w:p w14:paraId="49EEAAA9">
            <w:pPr>
              <w:pStyle w:val="182"/>
              <w:rPr>
                <w:color w:val="auto"/>
              </w:rPr>
            </w:pPr>
          </w:p>
        </w:tc>
        <w:tc>
          <w:tcPr>
            <w:tcW w:w="1054" w:type="pct"/>
            <w:vMerge w:val="continue"/>
            <w:tcBorders>
              <w:tl2br w:val="nil"/>
              <w:tr2bl w:val="nil"/>
            </w:tcBorders>
            <w:vAlign w:val="center"/>
          </w:tcPr>
          <w:p w14:paraId="2BFEE964">
            <w:pPr>
              <w:pStyle w:val="182"/>
              <w:rPr>
                <w:color w:val="auto"/>
              </w:rPr>
            </w:pPr>
          </w:p>
        </w:tc>
        <w:tc>
          <w:tcPr>
            <w:tcW w:w="2956" w:type="pct"/>
            <w:gridSpan w:val="2"/>
            <w:tcBorders>
              <w:tl2br w:val="nil"/>
              <w:tr2bl w:val="nil"/>
            </w:tcBorders>
            <w:vAlign w:val="center"/>
          </w:tcPr>
          <w:p w14:paraId="6B70952D">
            <w:pPr>
              <w:pStyle w:val="182"/>
              <w:rPr>
                <w:color w:val="auto"/>
              </w:rPr>
            </w:pPr>
            <w:r>
              <w:rPr>
                <w:rFonts w:hint="eastAsia"/>
                <w:color w:val="auto"/>
              </w:rPr>
              <w:t>组件清洗废气：经三级喷淋系统“双氧水喷淋+硫酸喷淋+水喷淋”处理后，经30m高15#排气筒排放</w:t>
            </w:r>
          </w:p>
        </w:tc>
      </w:tr>
      <w:tr w14:paraId="2C4D19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351C6028">
            <w:pPr>
              <w:pStyle w:val="182"/>
              <w:rPr>
                <w:color w:val="auto"/>
              </w:rPr>
            </w:pPr>
          </w:p>
        </w:tc>
        <w:tc>
          <w:tcPr>
            <w:tcW w:w="455" w:type="pct"/>
            <w:vMerge w:val="continue"/>
            <w:tcBorders>
              <w:tl2br w:val="nil"/>
              <w:tr2bl w:val="nil"/>
            </w:tcBorders>
            <w:vAlign w:val="center"/>
          </w:tcPr>
          <w:p w14:paraId="3BA810A4">
            <w:pPr>
              <w:pStyle w:val="182"/>
              <w:rPr>
                <w:color w:val="auto"/>
              </w:rPr>
            </w:pPr>
          </w:p>
        </w:tc>
        <w:tc>
          <w:tcPr>
            <w:tcW w:w="297" w:type="pct"/>
            <w:vMerge w:val="continue"/>
            <w:tcBorders>
              <w:tl2br w:val="nil"/>
              <w:tr2bl w:val="nil"/>
            </w:tcBorders>
            <w:vAlign w:val="center"/>
          </w:tcPr>
          <w:p w14:paraId="5C7982E4">
            <w:pPr>
              <w:pStyle w:val="182"/>
              <w:rPr>
                <w:color w:val="auto"/>
              </w:rPr>
            </w:pPr>
          </w:p>
        </w:tc>
        <w:tc>
          <w:tcPr>
            <w:tcW w:w="1054" w:type="pct"/>
            <w:vMerge w:val="restart"/>
            <w:tcBorders>
              <w:tl2br w:val="nil"/>
              <w:tr2bl w:val="nil"/>
            </w:tcBorders>
            <w:vAlign w:val="center"/>
          </w:tcPr>
          <w:p w14:paraId="5CED8AA6">
            <w:pPr>
              <w:pStyle w:val="182"/>
              <w:rPr>
                <w:color w:val="auto"/>
              </w:rPr>
            </w:pPr>
            <w:r>
              <w:rPr>
                <w:rFonts w:hint="eastAsia"/>
                <w:color w:val="auto"/>
              </w:rPr>
              <w:t>1×360t/h锅炉及2×B25MW热电联产项目</w:t>
            </w:r>
          </w:p>
        </w:tc>
        <w:tc>
          <w:tcPr>
            <w:tcW w:w="2956" w:type="pct"/>
            <w:gridSpan w:val="2"/>
            <w:tcBorders>
              <w:tl2br w:val="nil"/>
              <w:tr2bl w:val="nil"/>
            </w:tcBorders>
            <w:vAlign w:val="center"/>
          </w:tcPr>
          <w:p w14:paraId="3145C4D9">
            <w:pPr>
              <w:pStyle w:val="182"/>
              <w:rPr>
                <w:color w:val="auto"/>
              </w:rPr>
            </w:pPr>
            <w:r>
              <w:rPr>
                <w:rFonts w:hint="eastAsia"/>
                <w:color w:val="auto"/>
              </w:rPr>
              <w:t>锅炉废气：低氮燃烧+SCR脱硝+电袋复合除尘+钠碱法湿式脱硫+湿式电除尘+58m高2</w:t>
            </w:r>
            <w:r>
              <w:rPr>
                <w:color w:val="auto"/>
              </w:rPr>
              <w:t>9</w:t>
            </w:r>
            <w:r>
              <w:rPr>
                <w:rFonts w:hint="eastAsia"/>
                <w:color w:val="auto"/>
              </w:rPr>
              <w:t>#排气筒</w:t>
            </w:r>
          </w:p>
        </w:tc>
      </w:tr>
      <w:tr w14:paraId="55EC75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5A5E87C0">
            <w:pPr>
              <w:pStyle w:val="182"/>
              <w:rPr>
                <w:color w:val="auto"/>
              </w:rPr>
            </w:pPr>
          </w:p>
        </w:tc>
        <w:tc>
          <w:tcPr>
            <w:tcW w:w="455" w:type="pct"/>
            <w:vMerge w:val="continue"/>
            <w:tcBorders>
              <w:tl2br w:val="nil"/>
              <w:tr2bl w:val="nil"/>
            </w:tcBorders>
            <w:vAlign w:val="center"/>
          </w:tcPr>
          <w:p w14:paraId="67B41591">
            <w:pPr>
              <w:pStyle w:val="182"/>
              <w:rPr>
                <w:color w:val="auto"/>
              </w:rPr>
            </w:pPr>
          </w:p>
        </w:tc>
        <w:tc>
          <w:tcPr>
            <w:tcW w:w="297" w:type="pct"/>
            <w:vMerge w:val="continue"/>
            <w:tcBorders>
              <w:tl2br w:val="nil"/>
              <w:tr2bl w:val="nil"/>
            </w:tcBorders>
            <w:vAlign w:val="center"/>
          </w:tcPr>
          <w:p w14:paraId="7C096E7B">
            <w:pPr>
              <w:pStyle w:val="182"/>
              <w:rPr>
                <w:color w:val="auto"/>
              </w:rPr>
            </w:pPr>
          </w:p>
        </w:tc>
        <w:tc>
          <w:tcPr>
            <w:tcW w:w="1054" w:type="pct"/>
            <w:vMerge w:val="continue"/>
            <w:tcBorders>
              <w:tl2br w:val="nil"/>
              <w:tr2bl w:val="nil"/>
            </w:tcBorders>
            <w:vAlign w:val="center"/>
          </w:tcPr>
          <w:p w14:paraId="0915425A">
            <w:pPr>
              <w:pStyle w:val="182"/>
              <w:rPr>
                <w:color w:val="auto"/>
              </w:rPr>
            </w:pPr>
          </w:p>
        </w:tc>
        <w:tc>
          <w:tcPr>
            <w:tcW w:w="2956" w:type="pct"/>
            <w:gridSpan w:val="2"/>
            <w:tcBorders>
              <w:tl2br w:val="nil"/>
              <w:tr2bl w:val="nil"/>
            </w:tcBorders>
            <w:vAlign w:val="center"/>
          </w:tcPr>
          <w:p w14:paraId="64EFEA4A">
            <w:pPr>
              <w:pStyle w:val="182"/>
              <w:rPr>
                <w:color w:val="auto"/>
              </w:rPr>
            </w:pPr>
            <w:r>
              <w:rPr>
                <w:rFonts w:hint="eastAsia"/>
                <w:color w:val="auto"/>
              </w:rPr>
              <w:t>醇基燃料储罐：引入现有170t/h锅炉燃烧后经80m高3#、4#排气筒排放</w:t>
            </w:r>
          </w:p>
        </w:tc>
      </w:tr>
      <w:tr w14:paraId="250AE4F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351F6CC1">
            <w:pPr>
              <w:pStyle w:val="182"/>
              <w:rPr>
                <w:color w:val="auto"/>
              </w:rPr>
            </w:pPr>
          </w:p>
        </w:tc>
        <w:tc>
          <w:tcPr>
            <w:tcW w:w="455" w:type="pct"/>
            <w:vMerge w:val="continue"/>
            <w:tcBorders>
              <w:tl2br w:val="nil"/>
              <w:tr2bl w:val="nil"/>
            </w:tcBorders>
            <w:vAlign w:val="center"/>
          </w:tcPr>
          <w:p w14:paraId="6B00FDBC">
            <w:pPr>
              <w:pStyle w:val="182"/>
              <w:rPr>
                <w:color w:val="auto"/>
              </w:rPr>
            </w:pPr>
          </w:p>
        </w:tc>
        <w:tc>
          <w:tcPr>
            <w:tcW w:w="297" w:type="pct"/>
            <w:vMerge w:val="continue"/>
            <w:tcBorders>
              <w:tl2br w:val="nil"/>
              <w:tr2bl w:val="nil"/>
            </w:tcBorders>
            <w:vAlign w:val="center"/>
          </w:tcPr>
          <w:p w14:paraId="27B9B7B8">
            <w:pPr>
              <w:pStyle w:val="182"/>
              <w:rPr>
                <w:color w:val="auto"/>
              </w:rPr>
            </w:pPr>
          </w:p>
        </w:tc>
        <w:tc>
          <w:tcPr>
            <w:tcW w:w="1054" w:type="pct"/>
            <w:vMerge w:val="continue"/>
            <w:tcBorders>
              <w:tl2br w:val="nil"/>
              <w:tr2bl w:val="nil"/>
            </w:tcBorders>
            <w:vAlign w:val="center"/>
          </w:tcPr>
          <w:p w14:paraId="552F2C6C">
            <w:pPr>
              <w:pStyle w:val="182"/>
              <w:rPr>
                <w:color w:val="auto"/>
              </w:rPr>
            </w:pPr>
          </w:p>
        </w:tc>
        <w:tc>
          <w:tcPr>
            <w:tcW w:w="2956" w:type="pct"/>
            <w:gridSpan w:val="2"/>
            <w:tcBorders>
              <w:tl2br w:val="nil"/>
              <w:tr2bl w:val="nil"/>
            </w:tcBorders>
            <w:vAlign w:val="center"/>
          </w:tcPr>
          <w:p w14:paraId="22CA7F6C">
            <w:pPr>
              <w:pStyle w:val="182"/>
              <w:rPr>
                <w:color w:val="auto"/>
              </w:rPr>
            </w:pPr>
            <w:r>
              <w:rPr>
                <w:rFonts w:hint="eastAsia"/>
                <w:color w:val="auto"/>
              </w:rPr>
              <w:t>碎煤机室废气：袋式除尘器处理+15m高排气筒3</w:t>
            </w:r>
            <w:r>
              <w:rPr>
                <w:color w:val="auto"/>
              </w:rPr>
              <w:t>0</w:t>
            </w:r>
            <w:r>
              <w:rPr>
                <w:rFonts w:hint="eastAsia"/>
                <w:color w:val="auto"/>
              </w:rPr>
              <w:t>#排放</w:t>
            </w:r>
          </w:p>
        </w:tc>
      </w:tr>
      <w:tr w14:paraId="4919E80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0AC4D308">
            <w:pPr>
              <w:pStyle w:val="182"/>
              <w:rPr>
                <w:color w:val="auto"/>
              </w:rPr>
            </w:pPr>
          </w:p>
        </w:tc>
        <w:tc>
          <w:tcPr>
            <w:tcW w:w="455" w:type="pct"/>
            <w:vMerge w:val="continue"/>
            <w:tcBorders>
              <w:tl2br w:val="nil"/>
              <w:tr2bl w:val="nil"/>
            </w:tcBorders>
            <w:vAlign w:val="center"/>
          </w:tcPr>
          <w:p w14:paraId="0CFD11F3">
            <w:pPr>
              <w:pStyle w:val="182"/>
              <w:rPr>
                <w:color w:val="auto"/>
              </w:rPr>
            </w:pPr>
          </w:p>
        </w:tc>
        <w:tc>
          <w:tcPr>
            <w:tcW w:w="297" w:type="pct"/>
            <w:vMerge w:val="continue"/>
            <w:tcBorders>
              <w:tl2br w:val="nil"/>
              <w:tr2bl w:val="nil"/>
            </w:tcBorders>
            <w:vAlign w:val="center"/>
          </w:tcPr>
          <w:p w14:paraId="25BD755D">
            <w:pPr>
              <w:pStyle w:val="182"/>
              <w:rPr>
                <w:color w:val="auto"/>
              </w:rPr>
            </w:pPr>
          </w:p>
        </w:tc>
        <w:tc>
          <w:tcPr>
            <w:tcW w:w="1054" w:type="pct"/>
            <w:vMerge w:val="continue"/>
            <w:tcBorders>
              <w:tl2br w:val="nil"/>
              <w:tr2bl w:val="nil"/>
            </w:tcBorders>
            <w:vAlign w:val="center"/>
          </w:tcPr>
          <w:p w14:paraId="4FA91F51">
            <w:pPr>
              <w:pStyle w:val="182"/>
              <w:rPr>
                <w:color w:val="auto"/>
              </w:rPr>
            </w:pPr>
          </w:p>
        </w:tc>
        <w:tc>
          <w:tcPr>
            <w:tcW w:w="2956" w:type="pct"/>
            <w:gridSpan w:val="2"/>
            <w:tcBorders>
              <w:tl2br w:val="nil"/>
              <w:tr2bl w:val="nil"/>
            </w:tcBorders>
            <w:vAlign w:val="center"/>
          </w:tcPr>
          <w:p w14:paraId="5FB28CE0">
            <w:pPr>
              <w:pStyle w:val="182"/>
              <w:rPr>
                <w:color w:val="auto"/>
              </w:rPr>
            </w:pPr>
            <w:r>
              <w:rPr>
                <w:rFonts w:hint="eastAsia"/>
                <w:color w:val="auto"/>
              </w:rPr>
              <w:t>灰库：袋式除尘器+高于仓顶3m排气筒3</w:t>
            </w:r>
            <w:r>
              <w:rPr>
                <w:color w:val="auto"/>
              </w:rPr>
              <w:t>1</w:t>
            </w:r>
            <w:r>
              <w:rPr>
                <w:rFonts w:hint="eastAsia"/>
                <w:color w:val="auto"/>
              </w:rPr>
              <w:t>#排放</w:t>
            </w:r>
          </w:p>
        </w:tc>
      </w:tr>
      <w:tr w14:paraId="1206E75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6F4E8452">
            <w:pPr>
              <w:pStyle w:val="182"/>
              <w:rPr>
                <w:color w:val="auto"/>
              </w:rPr>
            </w:pPr>
          </w:p>
        </w:tc>
        <w:tc>
          <w:tcPr>
            <w:tcW w:w="455" w:type="pct"/>
            <w:vMerge w:val="continue"/>
            <w:tcBorders>
              <w:tl2br w:val="nil"/>
              <w:tr2bl w:val="nil"/>
            </w:tcBorders>
            <w:vAlign w:val="center"/>
          </w:tcPr>
          <w:p w14:paraId="4A3E72D3">
            <w:pPr>
              <w:pStyle w:val="182"/>
              <w:rPr>
                <w:color w:val="auto"/>
              </w:rPr>
            </w:pPr>
          </w:p>
        </w:tc>
        <w:tc>
          <w:tcPr>
            <w:tcW w:w="297" w:type="pct"/>
            <w:vMerge w:val="continue"/>
            <w:tcBorders>
              <w:tl2br w:val="nil"/>
              <w:tr2bl w:val="nil"/>
            </w:tcBorders>
            <w:vAlign w:val="center"/>
          </w:tcPr>
          <w:p w14:paraId="1D913979">
            <w:pPr>
              <w:pStyle w:val="182"/>
              <w:rPr>
                <w:color w:val="auto"/>
              </w:rPr>
            </w:pPr>
          </w:p>
        </w:tc>
        <w:tc>
          <w:tcPr>
            <w:tcW w:w="1054" w:type="pct"/>
            <w:vMerge w:val="continue"/>
            <w:tcBorders>
              <w:tl2br w:val="nil"/>
              <w:tr2bl w:val="nil"/>
            </w:tcBorders>
            <w:vAlign w:val="center"/>
          </w:tcPr>
          <w:p w14:paraId="6E3FFF75">
            <w:pPr>
              <w:pStyle w:val="182"/>
              <w:rPr>
                <w:color w:val="auto"/>
              </w:rPr>
            </w:pPr>
          </w:p>
        </w:tc>
        <w:tc>
          <w:tcPr>
            <w:tcW w:w="2956" w:type="pct"/>
            <w:gridSpan w:val="2"/>
            <w:tcBorders>
              <w:tl2br w:val="nil"/>
              <w:tr2bl w:val="nil"/>
            </w:tcBorders>
            <w:vAlign w:val="center"/>
          </w:tcPr>
          <w:p w14:paraId="01486D16">
            <w:pPr>
              <w:pStyle w:val="182"/>
              <w:rPr>
                <w:color w:val="auto"/>
              </w:rPr>
            </w:pPr>
            <w:r>
              <w:rPr>
                <w:rFonts w:hint="eastAsia"/>
                <w:color w:val="auto"/>
              </w:rPr>
              <w:t>渣库：袋式除尘器+高于仓顶3m排气筒3</w:t>
            </w:r>
            <w:r>
              <w:rPr>
                <w:color w:val="auto"/>
              </w:rPr>
              <w:t>2</w:t>
            </w:r>
            <w:r>
              <w:rPr>
                <w:rFonts w:hint="eastAsia"/>
                <w:color w:val="auto"/>
              </w:rPr>
              <w:t>#排放</w:t>
            </w:r>
          </w:p>
        </w:tc>
      </w:tr>
      <w:tr w14:paraId="324FC76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6481A3C9">
            <w:pPr>
              <w:pStyle w:val="182"/>
              <w:rPr>
                <w:color w:val="auto"/>
              </w:rPr>
            </w:pPr>
          </w:p>
        </w:tc>
        <w:tc>
          <w:tcPr>
            <w:tcW w:w="455" w:type="pct"/>
            <w:vMerge w:val="continue"/>
            <w:tcBorders>
              <w:tl2br w:val="nil"/>
              <w:tr2bl w:val="nil"/>
            </w:tcBorders>
            <w:vAlign w:val="center"/>
          </w:tcPr>
          <w:p w14:paraId="2DD9128B">
            <w:pPr>
              <w:pStyle w:val="182"/>
              <w:rPr>
                <w:color w:val="auto"/>
              </w:rPr>
            </w:pPr>
          </w:p>
        </w:tc>
        <w:tc>
          <w:tcPr>
            <w:tcW w:w="297" w:type="pct"/>
            <w:vMerge w:val="continue"/>
            <w:tcBorders>
              <w:tl2br w:val="nil"/>
              <w:tr2bl w:val="nil"/>
            </w:tcBorders>
            <w:vAlign w:val="center"/>
          </w:tcPr>
          <w:p w14:paraId="60E7BB11">
            <w:pPr>
              <w:pStyle w:val="182"/>
              <w:rPr>
                <w:color w:val="auto"/>
              </w:rPr>
            </w:pPr>
          </w:p>
        </w:tc>
        <w:tc>
          <w:tcPr>
            <w:tcW w:w="1054" w:type="pct"/>
            <w:vMerge w:val="continue"/>
            <w:tcBorders>
              <w:tl2br w:val="nil"/>
              <w:tr2bl w:val="nil"/>
            </w:tcBorders>
            <w:vAlign w:val="center"/>
          </w:tcPr>
          <w:p w14:paraId="586E5F58">
            <w:pPr>
              <w:pStyle w:val="182"/>
              <w:rPr>
                <w:color w:val="auto"/>
              </w:rPr>
            </w:pPr>
          </w:p>
        </w:tc>
        <w:tc>
          <w:tcPr>
            <w:tcW w:w="2956" w:type="pct"/>
            <w:gridSpan w:val="2"/>
            <w:tcBorders>
              <w:tl2br w:val="nil"/>
              <w:tr2bl w:val="nil"/>
            </w:tcBorders>
            <w:vAlign w:val="center"/>
          </w:tcPr>
          <w:p w14:paraId="18B78C8B">
            <w:pPr>
              <w:pStyle w:val="182"/>
              <w:rPr>
                <w:color w:val="auto"/>
              </w:rPr>
            </w:pPr>
            <w:r>
              <w:rPr>
                <w:rFonts w:hint="eastAsia"/>
                <w:color w:val="auto"/>
              </w:rPr>
              <w:t>受煤坑（地下煤斗下料）：袋式除尘器处理+15m高排气筒3</w:t>
            </w:r>
            <w:r>
              <w:rPr>
                <w:color w:val="auto"/>
              </w:rPr>
              <w:t>3</w:t>
            </w:r>
            <w:r>
              <w:rPr>
                <w:rFonts w:hint="eastAsia"/>
                <w:color w:val="auto"/>
              </w:rPr>
              <w:t>#排放</w:t>
            </w:r>
          </w:p>
        </w:tc>
      </w:tr>
      <w:tr w14:paraId="2B4643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66CE78FE">
            <w:pPr>
              <w:pStyle w:val="182"/>
              <w:rPr>
                <w:color w:val="auto"/>
              </w:rPr>
            </w:pPr>
          </w:p>
        </w:tc>
        <w:tc>
          <w:tcPr>
            <w:tcW w:w="455" w:type="pct"/>
            <w:vMerge w:val="continue"/>
            <w:tcBorders>
              <w:tl2br w:val="nil"/>
              <w:tr2bl w:val="nil"/>
            </w:tcBorders>
            <w:vAlign w:val="center"/>
          </w:tcPr>
          <w:p w14:paraId="1B2C8CDB">
            <w:pPr>
              <w:pStyle w:val="182"/>
              <w:rPr>
                <w:color w:val="auto"/>
              </w:rPr>
            </w:pPr>
          </w:p>
        </w:tc>
        <w:tc>
          <w:tcPr>
            <w:tcW w:w="297" w:type="pct"/>
            <w:vMerge w:val="continue"/>
            <w:tcBorders>
              <w:tl2br w:val="nil"/>
              <w:tr2bl w:val="nil"/>
            </w:tcBorders>
            <w:vAlign w:val="center"/>
          </w:tcPr>
          <w:p w14:paraId="1EB16980">
            <w:pPr>
              <w:pStyle w:val="182"/>
              <w:rPr>
                <w:color w:val="auto"/>
              </w:rPr>
            </w:pPr>
          </w:p>
        </w:tc>
        <w:tc>
          <w:tcPr>
            <w:tcW w:w="1054" w:type="pct"/>
            <w:vMerge w:val="continue"/>
            <w:tcBorders>
              <w:tl2br w:val="nil"/>
              <w:tr2bl w:val="nil"/>
            </w:tcBorders>
            <w:vAlign w:val="center"/>
          </w:tcPr>
          <w:p w14:paraId="5B97C216">
            <w:pPr>
              <w:pStyle w:val="182"/>
              <w:rPr>
                <w:color w:val="auto"/>
              </w:rPr>
            </w:pPr>
          </w:p>
        </w:tc>
        <w:tc>
          <w:tcPr>
            <w:tcW w:w="2956" w:type="pct"/>
            <w:gridSpan w:val="2"/>
            <w:tcBorders>
              <w:tl2br w:val="nil"/>
              <w:tr2bl w:val="nil"/>
            </w:tcBorders>
            <w:vAlign w:val="center"/>
          </w:tcPr>
          <w:p w14:paraId="387698A9">
            <w:pPr>
              <w:pStyle w:val="182"/>
              <w:rPr>
                <w:color w:val="auto"/>
              </w:rPr>
            </w:pPr>
            <w:r>
              <w:rPr>
                <w:rFonts w:hint="eastAsia"/>
                <w:color w:val="auto"/>
              </w:rPr>
              <w:t>原煤仓（皮带输送出口）：收集后经袋式除尘器处理+33m</w:t>
            </w:r>
          </w:p>
          <w:p w14:paraId="3076BBCF">
            <w:pPr>
              <w:pStyle w:val="182"/>
              <w:rPr>
                <w:color w:val="auto"/>
              </w:rPr>
            </w:pPr>
            <w:r>
              <w:rPr>
                <w:rFonts w:hint="eastAsia"/>
                <w:color w:val="auto"/>
              </w:rPr>
              <w:t>排气筒（高于仓顶3m）3</w:t>
            </w:r>
            <w:r>
              <w:rPr>
                <w:color w:val="auto"/>
              </w:rPr>
              <w:t>4</w:t>
            </w:r>
            <w:r>
              <w:rPr>
                <w:rFonts w:hint="eastAsia"/>
                <w:color w:val="auto"/>
              </w:rPr>
              <w:t>#排放</w:t>
            </w:r>
          </w:p>
        </w:tc>
      </w:tr>
      <w:tr w14:paraId="3DD825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527FA073">
            <w:pPr>
              <w:pStyle w:val="182"/>
              <w:rPr>
                <w:color w:val="auto"/>
              </w:rPr>
            </w:pPr>
          </w:p>
        </w:tc>
        <w:tc>
          <w:tcPr>
            <w:tcW w:w="455" w:type="pct"/>
            <w:vMerge w:val="continue"/>
            <w:tcBorders>
              <w:tl2br w:val="nil"/>
              <w:tr2bl w:val="nil"/>
            </w:tcBorders>
            <w:vAlign w:val="center"/>
          </w:tcPr>
          <w:p w14:paraId="25EA651D">
            <w:pPr>
              <w:pStyle w:val="182"/>
              <w:rPr>
                <w:color w:val="auto"/>
              </w:rPr>
            </w:pPr>
          </w:p>
        </w:tc>
        <w:tc>
          <w:tcPr>
            <w:tcW w:w="297" w:type="pct"/>
            <w:vMerge w:val="continue"/>
            <w:tcBorders>
              <w:tl2br w:val="nil"/>
              <w:tr2bl w:val="nil"/>
            </w:tcBorders>
            <w:vAlign w:val="center"/>
          </w:tcPr>
          <w:p w14:paraId="01C26E74">
            <w:pPr>
              <w:pStyle w:val="182"/>
              <w:rPr>
                <w:color w:val="auto"/>
              </w:rPr>
            </w:pPr>
          </w:p>
        </w:tc>
        <w:tc>
          <w:tcPr>
            <w:tcW w:w="1054" w:type="pct"/>
            <w:vMerge w:val="restart"/>
            <w:tcBorders>
              <w:tl2br w:val="nil"/>
              <w:tr2bl w:val="nil"/>
            </w:tcBorders>
            <w:vAlign w:val="center"/>
          </w:tcPr>
          <w:p w14:paraId="3D143DF0">
            <w:pPr>
              <w:pStyle w:val="182"/>
              <w:ind w:firstLine="0" w:firstLineChars="0"/>
              <w:rPr>
                <w:color w:val="auto"/>
              </w:rPr>
            </w:pPr>
            <w:r>
              <w:rPr>
                <w:rFonts w:hint="eastAsia"/>
                <w:color w:val="auto"/>
              </w:rPr>
              <w:t>年产5000吨菌草生物质纤维产业化研发中试项目</w:t>
            </w:r>
          </w:p>
        </w:tc>
        <w:tc>
          <w:tcPr>
            <w:tcW w:w="2956" w:type="pct"/>
            <w:gridSpan w:val="2"/>
            <w:tcBorders>
              <w:tl2br w:val="nil"/>
              <w:tr2bl w:val="nil"/>
            </w:tcBorders>
            <w:vAlign w:val="center"/>
          </w:tcPr>
          <w:p w14:paraId="37A2B41B">
            <w:pPr>
              <w:pStyle w:val="182"/>
              <w:ind w:firstLine="0" w:firstLineChars="0"/>
              <w:rPr>
                <w:rFonts w:hint="eastAsia"/>
                <w:color w:val="auto"/>
              </w:rPr>
            </w:pPr>
            <w:r>
              <w:rPr>
                <w:rFonts w:hint="eastAsia"/>
                <w:color w:val="auto"/>
              </w:rPr>
              <w:t>木质素干燥：袋式除尘器</w:t>
            </w:r>
          </w:p>
        </w:tc>
      </w:tr>
      <w:tr w14:paraId="6322E4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56C76E00">
            <w:pPr>
              <w:pStyle w:val="182"/>
              <w:rPr>
                <w:color w:val="auto"/>
              </w:rPr>
            </w:pPr>
          </w:p>
        </w:tc>
        <w:tc>
          <w:tcPr>
            <w:tcW w:w="455" w:type="pct"/>
            <w:vMerge w:val="continue"/>
            <w:tcBorders>
              <w:tl2br w:val="nil"/>
              <w:tr2bl w:val="nil"/>
            </w:tcBorders>
            <w:vAlign w:val="center"/>
          </w:tcPr>
          <w:p w14:paraId="605B1ECD">
            <w:pPr>
              <w:pStyle w:val="182"/>
              <w:rPr>
                <w:color w:val="auto"/>
              </w:rPr>
            </w:pPr>
          </w:p>
        </w:tc>
        <w:tc>
          <w:tcPr>
            <w:tcW w:w="297" w:type="pct"/>
            <w:vMerge w:val="continue"/>
            <w:tcBorders>
              <w:tl2br w:val="nil"/>
              <w:tr2bl w:val="nil"/>
            </w:tcBorders>
            <w:vAlign w:val="center"/>
          </w:tcPr>
          <w:p w14:paraId="0134A56B">
            <w:pPr>
              <w:pStyle w:val="182"/>
              <w:rPr>
                <w:color w:val="auto"/>
              </w:rPr>
            </w:pPr>
          </w:p>
        </w:tc>
        <w:tc>
          <w:tcPr>
            <w:tcW w:w="1054" w:type="pct"/>
            <w:vMerge w:val="continue"/>
            <w:tcBorders>
              <w:tl2br w:val="nil"/>
              <w:tr2bl w:val="nil"/>
            </w:tcBorders>
            <w:vAlign w:val="center"/>
          </w:tcPr>
          <w:p w14:paraId="49CB2A46">
            <w:pPr>
              <w:pStyle w:val="182"/>
              <w:ind w:firstLine="0" w:firstLineChars="0"/>
              <w:rPr>
                <w:color w:val="auto"/>
              </w:rPr>
            </w:pPr>
          </w:p>
        </w:tc>
        <w:tc>
          <w:tcPr>
            <w:tcW w:w="2956" w:type="pct"/>
            <w:gridSpan w:val="2"/>
            <w:tcBorders>
              <w:tl2br w:val="nil"/>
              <w:tr2bl w:val="nil"/>
            </w:tcBorders>
            <w:vAlign w:val="center"/>
          </w:tcPr>
          <w:p w14:paraId="4E0F34DB">
            <w:pPr>
              <w:pStyle w:val="182"/>
              <w:rPr>
                <w:color w:val="auto"/>
              </w:rPr>
            </w:pPr>
            <w:r>
              <w:rPr>
                <w:rFonts w:hint="eastAsia"/>
                <w:color w:val="auto"/>
              </w:rPr>
              <w:t>菌草堆料库扬尘：料库密闭，洒水抑尘；木质素混合物收集、分装；</w:t>
            </w:r>
          </w:p>
          <w:p w14:paraId="56551080">
            <w:pPr>
              <w:pStyle w:val="182"/>
              <w:ind w:firstLine="0" w:firstLineChars="0"/>
              <w:rPr>
                <w:rFonts w:hint="eastAsia"/>
                <w:color w:val="auto"/>
              </w:rPr>
            </w:pPr>
            <w:r>
              <w:rPr>
                <w:rFonts w:hint="eastAsia"/>
                <w:color w:val="auto"/>
              </w:rPr>
              <w:t>蒸煮废气：通过在设备顶部配套的管道风机抽至五效蒸发器进行回收利用。</w:t>
            </w:r>
          </w:p>
        </w:tc>
      </w:tr>
      <w:tr w14:paraId="01DCA6B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67040571">
            <w:pPr>
              <w:pStyle w:val="182"/>
              <w:rPr>
                <w:color w:val="auto"/>
              </w:rPr>
            </w:pPr>
          </w:p>
        </w:tc>
        <w:tc>
          <w:tcPr>
            <w:tcW w:w="455" w:type="pct"/>
            <w:vMerge w:val="continue"/>
            <w:tcBorders>
              <w:tl2br w:val="nil"/>
              <w:tr2bl w:val="nil"/>
            </w:tcBorders>
            <w:vAlign w:val="center"/>
          </w:tcPr>
          <w:p w14:paraId="429B69AA">
            <w:pPr>
              <w:pStyle w:val="182"/>
              <w:rPr>
                <w:color w:val="auto"/>
              </w:rPr>
            </w:pPr>
          </w:p>
        </w:tc>
        <w:tc>
          <w:tcPr>
            <w:tcW w:w="297" w:type="pct"/>
            <w:vMerge w:val="continue"/>
            <w:tcBorders>
              <w:tl2br w:val="nil"/>
              <w:tr2bl w:val="nil"/>
            </w:tcBorders>
            <w:vAlign w:val="center"/>
          </w:tcPr>
          <w:p w14:paraId="7CC2EC09">
            <w:pPr>
              <w:pStyle w:val="182"/>
              <w:rPr>
                <w:color w:val="auto"/>
              </w:rPr>
            </w:pPr>
          </w:p>
        </w:tc>
        <w:tc>
          <w:tcPr>
            <w:tcW w:w="1054" w:type="pct"/>
            <w:vMerge w:val="restart"/>
            <w:tcBorders>
              <w:tl2br w:val="nil"/>
              <w:tr2bl w:val="nil"/>
            </w:tcBorders>
            <w:vAlign w:val="center"/>
          </w:tcPr>
          <w:p w14:paraId="11290B08">
            <w:pPr>
              <w:pStyle w:val="182"/>
              <w:ind w:firstLine="0" w:firstLineChars="0"/>
              <w:rPr>
                <w:color w:val="auto"/>
              </w:rPr>
            </w:pPr>
            <w:r>
              <w:rPr>
                <w:color w:val="auto"/>
              </w:rPr>
              <w:t>新乡化纤股份有限公司年产1000吨离子液体法再生纤维素纤维（首赛尔纤维）中试研发项目</w:t>
            </w:r>
          </w:p>
        </w:tc>
        <w:tc>
          <w:tcPr>
            <w:tcW w:w="2956" w:type="pct"/>
            <w:gridSpan w:val="2"/>
            <w:tcBorders>
              <w:tl2br w:val="nil"/>
              <w:tr2bl w:val="nil"/>
            </w:tcBorders>
            <w:vAlign w:val="center"/>
          </w:tcPr>
          <w:p w14:paraId="35316EFE">
            <w:pPr>
              <w:pStyle w:val="182"/>
              <w:ind w:firstLine="0" w:firstLineChars="0"/>
              <w:rPr>
                <w:rFonts w:hint="eastAsia"/>
                <w:bCs/>
                <w:color w:val="auto"/>
              </w:rPr>
            </w:pPr>
            <w:r>
              <w:rPr>
                <w:bCs/>
                <w:color w:val="auto"/>
              </w:rPr>
              <w:t>浆粕</w:t>
            </w:r>
            <w:r>
              <w:rPr>
                <w:rFonts w:hint="eastAsia"/>
                <w:bCs/>
                <w:color w:val="auto"/>
                <w:lang w:val="en-US" w:eastAsia="zh-CN"/>
              </w:rPr>
              <w:t>粉碎</w:t>
            </w:r>
            <w:r>
              <w:rPr>
                <w:bCs/>
                <w:color w:val="auto"/>
              </w:rPr>
              <w:t>工序：脉冲袋式除尘器</w:t>
            </w:r>
            <w:r>
              <w:rPr>
                <w:rFonts w:hint="eastAsia"/>
                <w:bCs/>
                <w:color w:val="auto"/>
              </w:rPr>
              <w:t>1套</w:t>
            </w:r>
          </w:p>
        </w:tc>
      </w:tr>
      <w:tr w14:paraId="10EE52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7085AEC2">
            <w:pPr>
              <w:pStyle w:val="182"/>
              <w:rPr>
                <w:color w:val="auto"/>
              </w:rPr>
            </w:pPr>
          </w:p>
        </w:tc>
        <w:tc>
          <w:tcPr>
            <w:tcW w:w="455" w:type="pct"/>
            <w:vMerge w:val="continue"/>
            <w:tcBorders>
              <w:tl2br w:val="nil"/>
              <w:tr2bl w:val="nil"/>
            </w:tcBorders>
            <w:vAlign w:val="center"/>
          </w:tcPr>
          <w:p w14:paraId="742546E2">
            <w:pPr>
              <w:pStyle w:val="182"/>
              <w:rPr>
                <w:color w:val="auto"/>
              </w:rPr>
            </w:pPr>
          </w:p>
        </w:tc>
        <w:tc>
          <w:tcPr>
            <w:tcW w:w="297" w:type="pct"/>
            <w:vMerge w:val="continue"/>
            <w:tcBorders>
              <w:tl2br w:val="nil"/>
              <w:tr2bl w:val="nil"/>
            </w:tcBorders>
            <w:vAlign w:val="center"/>
          </w:tcPr>
          <w:p w14:paraId="46ECA45D">
            <w:pPr>
              <w:pStyle w:val="182"/>
              <w:rPr>
                <w:color w:val="auto"/>
              </w:rPr>
            </w:pPr>
          </w:p>
        </w:tc>
        <w:tc>
          <w:tcPr>
            <w:tcW w:w="1054" w:type="pct"/>
            <w:vMerge w:val="continue"/>
            <w:tcBorders>
              <w:tl2br w:val="nil"/>
              <w:tr2bl w:val="nil"/>
            </w:tcBorders>
            <w:vAlign w:val="center"/>
          </w:tcPr>
          <w:p w14:paraId="04FFB163">
            <w:pPr>
              <w:pStyle w:val="182"/>
              <w:ind w:firstLine="0" w:firstLineChars="0"/>
              <w:rPr>
                <w:color w:val="auto"/>
              </w:rPr>
            </w:pPr>
          </w:p>
        </w:tc>
        <w:tc>
          <w:tcPr>
            <w:tcW w:w="2956" w:type="pct"/>
            <w:gridSpan w:val="2"/>
            <w:tcBorders>
              <w:tl2br w:val="nil"/>
              <w:tr2bl w:val="nil"/>
            </w:tcBorders>
            <w:vAlign w:val="center"/>
          </w:tcPr>
          <w:p w14:paraId="700D9CE3">
            <w:pPr>
              <w:pStyle w:val="182"/>
              <w:ind w:firstLine="0" w:firstLineChars="0"/>
              <w:rPr>
                <w:bCs/>
                <w:color w:val="auto"/>
              </w:rPr>
            </w:pPr>
            <w:r>
              <w:rPr>
                <w:rFonts w:hint="eastAsia"/>
                <w:bCs/>
                <w:color w:val="auto"/>
                <w:lang w:val="en-US" w:eastAsia="zh-CN"/>
              </w:rPr>
              <w:t>上油烘干工序：活性炭吸附设施1套</w:t>
            </w:r>
          </w:p>
        </w:tc>
      </w:tr>
      <w:tr w14:paraId="7412259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0DA9F6F9">
            <w:pPr>
              <w:pStyle w:val="182"/>
              <w:rPr>
                <w:color w:val="auto"/>
              </w:rPr>
            </w:pPr>
          </w:p>
        </w:tc>
        <w:tc>
          <w:tcPr>
            <w:tcW w:w="455" w:type="pct"/>
            <w:vMerge w:val="continue"/>
            <w:tcBorders>
              <w:tl2br w:val="nil"/>
              <w:tr2bl w:val="nil"/>
            </w:tcBorders>
            <w:vAlign w:val="center"/>
          </w:tcPr>
          <w:p w14:paraId="32566A9C">
            <w:pPr>
              <w:pStyle w:val="182"/>
              <w:rPr>
                <w:color w:val="auto"/>
              </w:rPr>
            </w:pPr>
          </w:p>
        </w:tc>
        <w:tc>
          <w:tcPr>
            <w:tcW w:w="1351" w:type="pct"/>
            <w:gridSpan w:val="2"/>
            <w:tcBorders>
              <w:tl2br w:val="nil"/>
              <w:tr2bl w:val="nil"/>
            </w:tcBorders>
            <w:vAlign w:val="center"/>
          </w:tcPr>
          <w:p w14:paraId="32A4B16E">
            <w:pPr>
              <w:pStyle w:val="182"/>
              <w:rPr>
                <w:color w:val="auto"/>
              </w:rPr>
            </w:pPr>
            <w:r>
              <w:rPr>
                <w:rFonts w:hint="eastAsia"/>
                <w:color w:val="auto"/>
              </w:rPr>
              <w:t>废水</w:t>
            </w:r>
          </w:p>
          <w:p w14:paraId="4D1DB3F1">
            <w:pPr>
              <w:pStyle w:val="182"/>
              <w:rPr>
                <w:color w:val="auto"/>
              </w:rPr>
            </w:pPr>
            <w:r>
              <w:rPr>
                <w:rFonts w:hint="eastAsia"/>
                <w:color w:val="auto"/>
              </w:rPr>
              <w:t>治理</w:t>
            </w:r>
          </w:p>
        </w:tc>
        <w:tc>
          <w:tcPr>
            <w:tcW w:w="2956" w:type="pct"/>
            <w:gridSpan w:val="2"/>
            <w:tcBorders>
              <w:tl2br w:val="nil"/>
              <w:tr2bl w:val="nil"/>
            </w:tcBorders>
            <w:vAlign w:val="center"/>
          </w:tcPr>
          <w:p w14:paraId="2B4371B4">
            <w:pPr>
              <w:pStyle w:val="182"/>
              <w:rPr>
                <w:color w:val="auto"/>
              </w:rPr>
            </w:pPr>
            <w:r>
              <w:rPr>
                <w:rFonts w:hint="eastAsia"/>
                <w:color w:val="auto"/>
              </w:rPr>
              <w:t>现有废水通过分质分类进行处理，根据水质不同污水处理站分为四个单元，其中（1）粘胶废水－生活污水处理单元（6000m</w:t>
            </w:r>
            <w:r>
              <w:rPr>
                <w:rFonts w:hint="eastAsia"/>
                <w:color w:val="auto"/>
                <w:vertAlign w:val="superscript"/>
              </w:rPr>
              <w:t>3</w:t>
            </w:r>
            <w:r>
              <w:rPr>
                <w:rFonts w:hint="eastAsia"/>
                <w:color w:val="auto"/>
              </w:rPr>
              <w:t>/d）要处理粘胶废水、生活污水以及锅炉脱硫除尘废水，主要处理工艺为“酸化（仅粘胶废水需要）+调节+中和+沉淀+氧化沟+二沉池”处理工艺；（2）长丝酸性废水处理一区（19000m</w:t>
            </w:r>
            <w:r>
              <w:rPr>
                <w:rFonts w:hint="eastAsia"/>
                <w:color w:val="auto"/>
                <w:vertAlign w:val="superscript"/>
              </w:rPr>
              <w:t>3</w:t>
            </w:r>
            <w:r>
              <w:rPr>
                <w:rFonts w:hint="eastAsia"/>
                <w:color w:val="auto"/>
              </w:rPr>
              <w:t>/d）：主要处理长丝的酸性废水，主要处理工艺为“中和－沉淀-pH调节”；（3）绿纤、氨纶废水处理单元（3000m</w:t>
            </w:r>
            <w:r>
              <w:rPr>
                <w:rFonts w:hint="eastAsia"/>
                <w:color w:val="auto"/>
                <w:vertAlign w:val="superscript"/>
              </w:rPr>
              <w:t>3</w:t>
            </w:r>
            <w:r>
              <w:rPr>
                <w:rFonts w:hint="eastAsia"/>
                <w:color w:val="auto"/>
              </w:rPr>
              <w:t>/d）：该单元主要处理氨纶和中纺院的绿色纤维生产期间产生的废水，处理工艺为“</w:t>
            </w:r>
            <w:r>
              <w:rPr>
                <w:rFonts w:hint="eastAsia"/>
                <w:color w:val="auto"/>
                <w:lang w:eastAsia="zh-CN"/>
              </w:rPr>
              <w:t>调节+混合池+沉淀+水解酸化+氧化沟+二沉池</w:t>
            </w:r>
            <w:r>
              <w:rPr>
                <w:rFonts w:hint="eastAsia"/>
                <w:color w:val="auto"/>
              </w:rPr>
              <w:t>”；（4）长丝酸性废水处理二区（10000m</w:t>
            </w:r>
            <w:r>
              <w:rPr>
                <w:rFonts w:hint="eastAsia"/>
                <w:color w:val="auto"/>
                <w:vertAlign w:val="superscript"/>
              </w:rPr>
              <w:t>3</w:t>
            </w:r>
            <w:r>
              <w:rPr>
                <w:rFonts w:hint="eastAsia"/>
                <w:color w:val="auto"/>
              </w:rPr>
              <w:t>/d）：主要处理长丝酸性废水，主要处理工艺为“中和-沉淀-pH调节”。全厂废水经处理达标混合后外排进入园区污水管网，最终排入小店污水处理厂。</w:t>
            </w:r>
          </w:p>
        </w:tc>
      </w:tr>
      <w:tr w14:paraId="6E8DFD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794959F1">
            <w:pPr>
              <w:pStyle w:val="182"/>
              <w:rPr>
                <w:color w:val="auto"/>
              </w:rPr>
            </w:pPr>
          </w:p>
        </w:tc>
        <w:tc>
          <w:tcPr>
            <w:tcW w:w="455" w:type="pct"/>
            <w:vMerge w:val="continue"/>
            <w:tcBorders>
              <w:tl2br w:val="nil"/>
              <w:tr2bl w:val="nil"/>
            </w:tcBorders>
            <w:vAlign w:val="center"/>
          </w:tcPr>
          <w:p w14:paraId="4EB78711">
            <w:pPr>
              <w:pStyle w:val="182"/>
              <w:rPr>
                <w:color w:val="auto"/>
              </w:rPr>
            </w:pPr>
          </w:p>
        </w:tc>
        <w:tc>
          <w:tcPr>
            <w:tcW w:w="1351" w:type="pct"/>
            <w:gridSpan w:val="2"/>
            <w:vMerge w:val="restart"/>
            <w:tcBorders>
              <w:tl2br w:val="nil"/>
              <w:tr2bl w:val="nil"/>
            </w:tcBorders>
            <w:vAlign w:val="center"/>
          </w:tcPr>
          <w:p w14:paraId="3070E2C8">
            <w:pPr>
              <w:pStyle w:val="182"/>
              <w:rPr>
                <w:b w:val="0"/>
                <w:bCs w:val="0"/>
                <w:color w:val="auto"/>
              </w:rPr>
            </w:pPr>
            <w:r>
              <w:rPr>
                <w:rFonts w:hint="eastAsia"/>
                <w:b w:val="0"/>
                <w:bCs w:val="0"/>
                <w:color w:val="auto"/>
              </w:rPr>
              <w:t>固体废物</w:t>
            </w:r>
          </w:p>
        </w:tc>
        <w:tc>
          <w:tcPr>
            <w:tcW w:w="523" w:type="pct"/>
            <w:tcBorders>
              <w:tl2br w:val="nil"/>
              <w:tr2bl w:val="nil"/>
            </w:tcBorders>
            <w:vAlign w:val="center"/>
          </w:tcPr>
          <w:p w14:paraId="15EE434D">
            <w:pPr>
              <w:pStyle w:val="182"/>
              <w:rPr>
                <w:rFonts w:hint="eastAsia"/>
                <w:color w:val="auto"/>
              </w:rPr>
            </w:pPr>
            <w:r>
              <w:rPr>
                <w:rFonts w:hint="eastAsia"/>
                <w:color w:val="auto"/>
              </w:rPr>
              <w:t>危险废物</w:t>
            </w:r>
          </w:p>
        </w:tc>
        <w:tc>
          <w:tcPr>
            <w:tcW w:w="4145" w:type="dxa"/>
            <w:tcBorders>
              <w:tl2br w:val="nil"/>
              <w:tr2bl w:val="nil"/>
            </w:tcBorders>
            <w:vAlign w:val="center"/>
          </w:tcPr>
          <w:p w14:paraId="5686291E">
            <w:pPr>
              <w:pStyle w:val="182"/>
              <w:ind w:firstLine="0" w:firstLineChars="0"/>
              <w:rPr>
                <w:rFonts w:hint="eastAsia"/>
                <w:color w:val="auto"/>
              </w:rPr>
            </w:pPr>
            <w:r>
              <w:rPr>
                <w:rFonts w:hint="eastAsia"/>
                <w:b/>
                <w:bCs/>
                <w:u w:val="single"/>
              </w:rPr>
              <w:t>厂区</w:t>
            </w:r>
            <w:r>
              <w:rPr>
                <w:rFonts w:hint="eastAsia"/>
                <w:b/>
                <w:bCs/>
                <w:u w:val="single"/>
                <w:lang w:val="en-US" w:eastAsia="zh-CN"/>
              </w:rPr>
              <w:t>现有</w:t>
            </w:r>
            <w:r>
              <w:rPr>
                <w:rFonts w:hint="eastAsia"/>
                <w:b/>
                <w:bCs/>
                <w:u w:val="single"/>
              </w:rPr>
              <w:t>危险废物暂存间</w:t>
            </w:r>
            <w:r>
              <w:rPr>
                <w:rFonts w:hint="eastAsia"/>
                <w:b/>
                <w:bCs/>
                <w:u w:val="single"/>
                <w:lang w:eastAsia="zh-CN"/>
              </w:rPr>
              <w:t>，</w:t>
            </w:r>
            <w:r>
              <w:rPr>
                <w:rFonts w:hint="eastAsia"/>
                <w:b/>
                <w:bCs/>
                <w:u w:val="single"/>
                <w:lang w:val="en-US" w:eastAsia="zh-CN"/>
              </w:rPr>
              <w:t>编号TS001面积288平方米</w:t>
            </w:r>
          </w:p>
        </w:tc>
      </w:tr>
      <w:tr w14:paraId="1056F57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36" w:type="pct"/>
            <w:vMerge w:val="continue"/>
            <w:tcBorders>
              <w:tl2br w:val="nil"/>
              <w:tr2bl w:val="nil"/>
            </w:tcBorders>
            <w:vAlign w:val="center"/>
          </w:tcPr>
          <w:p w14:paraId="31DBBD18">
            <w:pPr>
              <w:pStyle w:val="182"/>
              <w:rPr>
                <w:color w:val="auto"/>
              </w:rPr>
            </w:pPr>
          </w:p>
        </w:tc>
        <w:tc>
          <w:tcPr>
            <w:tcW w:w="455" w:type="pct"/>
            <w:vMerge w:val="continue"/>
            <w:tcBorders>
              <w:tl2br w:val="nil"/>
              <w:tr2bl w:val="nil"/>
            </w:tcBorders>
            <w:vAlign w:val="center"/>
          </w:tcPr>
          <w:p w14:paraId="35B718DA">
            <w:pPr>
              <w:pStyle w:val="182"/>
              <w:rPr>
                <w:color w:val="auto"/>
              </w:rPr>
            </w:pPr>
          </w:p>
        </w:tc>
        <w:tc>
          <w:tcPr>
            <w:tcW w:w="1351" w:type="pct"/>
            <w:gridSpan w:val="2"/>
            <w:vMerge w:val="continue"/>
            <w:tcBorders>
              <w:tl2br w:val="nil"/>
              <w:tr2bl w:val="nil"/>
            </w:tcBorders>
            <w:vAlign w:val="center"/>
          </w:tcPr>
          <w:p w14:paraId="73EABC82">
            <w:pPr>
              <w:pStyle w:val="182"/>
              <w:rPr>
                <w:b w:val="0"/>
                <w:bCs w:val="0"/>
                <w:color w:val="auto"/>
              </w:rPr>
            </w:pPr>
          </w:p>
        </w:tc>
        <w:tc>
          <w:tcPr>
            <w:tcW w:w="523" w:type="pct"/>
            <w:tcBorders>
              <w:tl2br w:val="nil"/>
              <w:tr2bl w:val="nil"/>
            </w:tcBorders>
            <w:vAlign w:val="center"/>
          </w:tcPr>
          <w:p w14:paraId="131CE5A9">
            <w:pPr>
              <w:pStyle w:val="182"/>
              <w:rPr>
                <w:rFonts w:hint="eastAsia"/>
                <w:color w:val="auto"/>
              </w:rPr>
            </w:pPr>
            <w:r>
              <w:rPr>
                <w:rFonts w:hint="eastAsia"/>
                <w:color w:val="auto"/>
              </w:rPr>
              <w:t>一般废物</w:t>
            </w:r>
          </w:p>
        </w:tc>
        <w:tc>
          <w:tcPr>
            <w:tcW w:w="4145" w:type="dxa"/>
            <w:tcBorders>
              <w:tl2br w:val="nil"/>
              <w:tr2bl w:val="nil"/>
            </w:tcBorders>
            <w:vAlign w:val="center"/>
          </w:tcPr>
          <w:p w14:paraId="61F81EBE">
            <w:pPr>
              <w:pStyle w:val="182"/>
              <w:ind w:firstLine="0" w:firstLineChars="0"/>
              <w:rPr>
                <w:rFonts w:hint="eastAsia"/>
                <w:color w:val="auto"/>
              </w:rPr>
            </w:pPr>
            <w:r>
              <w:rPr>
                <w:rFonts w:hint="eastAsia"/>
                <w:b/>
                <w:bCs/>
                <w:u w:val="single"/>
              </w:rPr>
              <w:t>厂区</w:t>
            </w:r>
            <w:r>
              <w:rPr>
                <w:rFonts w:hint="eastAsia"/>
                <w:b/>
                <w:bCs/>
                <w:u w:val="single"/>
                <w:lang w:val="en-US" w:eastAsia="zh-CN"/>
              </w:rPr>
              <w:t>现有</w:t>
            </w:r>
            <w:r>
              <w:rPr>
                <w:rFonts w:hint="eastAsia"/>
                <w:b/>
                <w:bCs/>
                <w:u w:val="single"/>
              </w:rPr>
              <w:t>一般固废暂存间1座</w:t>
            </w:r>
            <w:r>
              <w:rPr>
                <w:rFonts w:hint="eastAsia"/>
                <w:b/>
                <w:bCs/>
                <w:u w:val="single"/>
                <w:lang w:eastAsia="zh-CN"/>
              </w:rPr>
              <w:t>，</w:t>
            </w:r>
            <w:r>
              <w:rPr>
                <w:rFonts w:hint="eastAsia"/>
                <w:b/>
                <w:bCs/>
                <w:u w:val="single"/>
                <w:lang w:val="en-US" w:eastAsia="zh-CN"/>
              </w:rPr>
              <w:t>编号TS004面积500平方米</w:t>
            </w:r>
          </w:p>
        </w:tc>
      </w:tr>
    </w:tbl>
    <w:p w14:paraId="6DEE2D83">
      <w:pPr>
        <w:pStyle w:val="5"/>
        <w:bidi w:val="0"/>
      </w:pPr>
      <w:r>
        <w:rPr>
          <w:rFonts w:hint="eastAsia"/>
        </w:rPr>
        <w:t>在建</w:t>
      </w:r>
      <w:r>
        <w:rPr>
          <w:rFonts w:hint="eastAsia"/>
          <w:lang w:val="en-US" w:eastAsia="zh-CN"/>
        </w:rPr>
        <w:t>及拟建</w:t>
      </w:r>
      <w:r>
        <w:rPr>
          <w:rFonts w:hint="eastAsia"/>
        </w:rPr>
        <w:t>工程主要生产设备</w:t>
      </w:r>
    </w:p>
    <w:p w14:paraId="4ABF8B12">
      <w:pPr>
        <w:ind w:firstLine="480"/>
      </w:pPr>
      <w:r>
        <w:rPr>
          <w:rFonts w:hint="eastAsia"/>
        </w:rPr>
        <w:t>在建</w:t>
      </w:r>
      <w:r>
        <w:rPr>
          <w:rFonts w:hint="eastAsia"/>
          <w:lang w:val="en-US" w:eastAsia="zh-CN"/>
        </w:rPr>
        <w:t>及拟建</w:t>
      </w:r>
      <w:r>
        <w:rPr>
          <w:rFonts w:hint="eastAsia"/>
        </w:rPr>
        <w:t>工程主要生产设备见</w:t>
      </w:r>
      <w:r>
        <w:rPr>
          <w:rFonts w:hint="eastAsia"/>
          <w:lang w:val="en-US" w:eastAsia="zh-CN"/>
        </w:rPr>
        <w:t>下表</w:t>
      </w:r>
      <w:r>
        <w:rPr>
          <w:rFonts w:hint="eastAsia"/>
        </w:rPr>
        <w:t>。</w:t>
      </w:r>
    </w:p>
    <w:p w14:paraId="769F4070">
      <w:pPr>
        <w:pStyle w:val="10"/>
        <w:bidi w:val="0"/>
      </w:pPr>
      <w:r>
        <w:t xml:space="preserve">表 </w:t>
      </w:r>
      <w:r>
        <w:fldChar w:fldCharType="begin"/>
      </w:r>
      <w:r>
        <w:instrText xml:space="preserve"> STYLEREF 2 \s </w:instrText>
      </w:r>
      <w:r>
        <w:fldChar w:fldCharType="separate"/>
      </w:r>
      <w:r>
        <w:t>3.4</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rPr>
          <w:rFonts w:hint="eastAsia"/>
        </w:rPr>
        <w:t xml:space="preserve"> 在建</w:t>
      </w:r>
      <w:r>
        <w:rPr>
          <w:rFonts w:hint="eastAsia"/>
          <w:lang w:val="en-US" w:eastAsia="zh-CN"/>
        </w:rPr>
        <w:t>及拟建</w:t>
      </w:r>
      <w:r>
        <w:rPr>
          <w:rFonts w:hint="eastAsia"/>
        </w:rPr>
        <w:t>工程主要生产设备一览表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2747"/>
        <w:gridCol w:w="4158"/>
        <w:gridCol w:w="1084"/>
      </w:tblGrid>
      <w:tr w14:paraId="151EF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12" w:type="pct"/>
            <w:vAlign w:val="center"/>
          </w:tcPr>
          <w:p w14:paraId="3601EA2B">
            <w:pPr>
              <w:pStyle w:val="182"/>
              <w:rPr>
                <w:b/>
                <w:bCs/>
                <w:color w:val="auto"/>
              </w:rPr>
            </w:pPr>
            <w:r>
              <w:rPr>
                <w:rFonts w:hint="eastAsia"/>
                <w:b/>
                <w:bCs/>
                <w:color w:val="auto"/>
              </w:rPr>
              <w:t>序号</w:t>
            </w:r>
          </w:p>
        </w:tc>
        <w:tc>
          <w:tcPr>
            <w:tcW w:w="1612" w:type="pct"/>
            <w:vAlign w:val="center"/>
          </w:tcPr>
          <w:p w14:paraId="4C7F0106">
            <w:pPr>
              <w:pStyle w:val="182"/>
              <w:rPr>
                <w:b/>
                <w:bCs/>
                <w:color w:val="auto"/>
              </w:rPr>
            </w:pPr>
            <w:r>
              <w:rPr>
                <w:rFonts w:hint="eastAsia"/>
                <w:b/>
                <w:bCs/>
                <w:color w:val="auto"/>
              </w:rPr>
              <w:t>设备名称</w:t>
            </w:r>
          </w:p>
        </w:tc>
        <w:tc>
          <w:tcPr>
            <w:tcW w:w="2440" w:type="pct"/>
            <w:vAlign w:val="center"/>
          </w:tcPr>
          <w:p w14:paraId="37E3BA2D">
            <w:pPr>
              <w:pStyle w:val="182"/>
              <w:rPr>
                <w:b/>
                <w:bCs/>
                <w:color w:val="auto"/>
              </w:rPr>
            </w:pPr>
            <w:r>
              <w:rPr>
                <w:rFonts w:hint="eastAsia"/>
                <w:b/>
                <w:bCs/>
                <w:color w:val="auto"/>
              </w:rPr>
              <w:t>规格型号</w:t>
            </w:r>
          </w:p>
        </w:tc>
        <w:tc>
          <w:tcPr>
            <w:tcW w:w="634" w:type="pct"/>
            <w:vAlign w:val="center"/>
          </w:tcPr>
          <w:p w14:paraId="080F2F3E">
            <w:pPr>
              <w:pStyle w:val="182"/>
              <w:rPr>
                <w:b/>
                <w:bCs/>
                <w:color w:val="auto"/>
              </w:rPr>
            </w:pPr>
            <w:r>
              <w:rPr>
                <w:rFonts w:hint="eastAsia"/>
                <w:b/>
                <w:bCs/>
                <w:color w:val="auto"/>
              </w:rPr>
              <w:t>数量</w:t>
            </w:r>
          </w:p>
          <w:p w14:paraId="08B398C2">
            <w:pPr>
              <w:pStyle w:val="182"/>
              <w:rPr>
                <w:b/>
                <w:bCs/>
                <w:color w:val="auto"/>
              </w:rPr>
            </w:pPr>
            <w:r>
              <w:rPr>
                <w:rFonts w:hint="eastAsia"/>
                <w:b/>
                <w:bCs/>
                <w:color w:val="auto"/>
              </w:rPr>
              <w:t>（台/套）</w:t>
            </w:r>
          </w:p>
        </w:tc>
      </w:tr>
      <w:tr w14:paraId="58D6F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099DE957">
            <w:pPr>
              <w:pStyle w:val="182"/>
              <w:rPr>
                <w:b/>
                <w:color w:val="auto"/>
              </w:rPr>
            </w:pPr>
            <w:r>
              <w:rPr>
                <w:rFonts w:hint="eastAsia"/>
                <w:b/>
                <w:color w:val="auto"/>
              </w:rPr>
              <w:t>1、年产2×2万吨超细旦氨纶纤维项目（年产3×2万吨超细旦氨纶纤维项目二期三期工程）（三期）</w:t>
            </w:r>
          </w:p>
        </w:tc>
      </w:tr>
      <w:tr w14:paraId="12073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9B83E64">
            <w:pPr>
              <w:pStyle w:val="182"/>
              <w:rPr>
                <w:color w:val="auto"/>
              </w:rPr>
            </w:pPr>
            <w:r>
              <w:rPr>
                <w:rFonts w:hint="eastAsia"/>
                <w:color w:val="auto"/>
              </w:rPr>
              <w:t>1</w:t>
            </w:r>
          </w:p>
        </w:tc>
        <w:tc>
          <w:tcPr>
            <w:tcW w:w="1612" w:type="pct"/>
            <w:vAlign w:val="center"/>
          </w:tcPr>
          <w:p w14:paraId="518476E0">
            <w:pPr>
              <w:pStyle w:val="182"/>
              <w:rPr>
                <w:color w:val="auto"/>
              </w:rPr>
            </w:pPr>
            <w:r>
              <w:rPr>
                <w:rFonts w:hint="eastAsia"/>
                <w:color w:val="auto"/>
              </w:rPr>
              <w:t>液态MDI存储罐</w:t>
            </w:r>
          </w:p>
        </w:tc>
        <w:tc>
          <w:tcPr>
            <w:tcW w:w="2440" w:type="pct"/>
            <w:vAlign w:val="center"/>
          </w:tcPr>
          <w:p w14:paraId="30C90006">
            <w:pPr>
              <w:pStyle w:val="182"/>
              <w:rPr>
                <w:color w:val="auto"/>
              </w:rPr>
            </w:pPr>
            <w:r>
              <w:rPr>
                <w:rFonts w:hint="eastAsia"/>
                <w:color w:val="auto"/>
              </w:rPr>
              <w:t>30m</w:t>
            </w:r>
            <w:r>
              <w:rPr>
                <w:rFonts w:hint="eastAsia"/>
                <w:color w:val="auto"/>
                <w:vertAlign w:val="superscript"/>
              </w:rPr>
              <w:t>3</w:t>
            </w:r>
          </w:p>
        </w:tc>
        <w:tc>
          <w:tcPr>
            <w:tcW w:w="634" w:type="pct"/>
            <w:vAlign w:val="center"/>
          </w:tcPr>
          <w:p w14:paraId="1E38E661">
            <w:pPr>
              <w:pStyle w:val="182"/>
              <w:rPr>
                <w:color w:val="auto"/>
              </w:rPr>
            </w:pPr>
            <w:r>
              <w:rPr>
                <w:rFonts w:hint="eastAsia"/>
                <w:color w:val="auto"/>
              </w:rPr>
              <w:t>2</w:t>
            </w:r>
          </w:p>
        </w:tc>
      </w:tr>
      <w:tr w14:paraId="1EB6B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restart"/>
            <w:vAlign w:val="center"/>
          </w:tcPr>
          <w:p w14:paraId="7751B043">
            <w:pPr>
              <w:pStyle w:val="182"/>
              <w:rPr>
                <w:color w:val="auto"/>
              </w:rPr>
            </w:pPr>
            <w:r>
              <w:rPr>
                <w:rFonts w:hint="eastAsia"/>
                <w:color w:val="auto"/>
              </w:rPr>
              <w:t>2</w:t>
            </w:r>
          </w:p>
        </w:tc>
        <w:tc>
          <w:tcPr>
            <w:tcW w:w="1612" w:type="pct"/>
            <w:vMerge w:val="restart"/>
            <w:vAlign w:val="center"/>
          </w:tcPr>
          <w:p w14:paraId="4CF997C9">
            <w:pPr>
              <w:pStyle w:val="182"/>
              <w:rPr>
                <w:color w:val="auto"/>
              </w:rPr>
            </w:pPr>
            <w:r>
              <w:rPr>
                <w:rFonts w:hint="eastAsia"/>
                <w:color w:val="auto"/>
              </w:rPr>
              <w:t>液态PTMG 存储罐</w:t>
            </w:r>
          </w:p>
        </w:tc>
        <w:tc>
          <w:tcPr>
            <w:tcW w:w="2440" w:type="pct"/>
            <w:vAlign w:val="center"/>
          </w:tcPr>
          <w:p w14:paraId="0D327C2D">
            <w:pPr>
              <w:pStyle w:val="182"/>
              <w:rPr>
                <w:color w:val="auto"/>
              </w:rPr>
            </w:pPr>
            <w:r>
              <w:rPr>
                <w:rFonts w:hint="eastAsia"/>
                <w:color w:val="auto"/>
              </w:rPr>
              <w:t>500m</w:t>
            </w:r>
            <w:r>
              <w:rPr>
                <w:rFonts w:hint="eastAsia"/>
                <w:color w:val="auto"/>
                <w:vertAlign w:val="superscript"/>
              </w:rPr>
              <w:t>3</w:t>
            </w:r>
          </w:p>
        </w:tc>
        <w:tc>
          <w:tcPr>
            <w:tcW w:w="634" w:type="pct"/>
            <w:vAlign w:val="center"/>
          </w:tcPr>
          <w:p w14:paraId="18F3BEBB">
            <w:pPr>
              <w:pStyle w:val="182"/>
              <w:rPr>
                <w:color w:val="auto"/>
              </w:rPr>
            </w:pPr>
            <w:r>
              <w:rPr>
                <w:rFonts w:hint="eastAsia"/>
                <w:color w:val="auto"/>
              </w:rPr>
              <w:t>3</w:t>
            </w:r>
          </w:p>
        </w:tc>
      </w:tr>
      <w:tr w14:paraId="6F506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Merge w:val="continue"/>
            <w:vAlign w:val="center"/>
          </w:tcPr>
          <w:p w14:paraId="6D61F0A9">
            <w:pPr>
              <w:pStyle w:val="182"/>
              <w:rPr>
                <w:color w:val="auto"/>
              </w:rPr>
            </w:pPr>
          </w:p>
        </w:tc>
        <w:tc>
          <w:tcPr>
            <w:tcW w:w="1612" w:type="pct"/>
            <w:vMerge w:val="continue"/>
            <w:vAlign w:val="center"/>
          </w:tcPr>
          <w:p w14:paraId="48E23409">
            <w:pPr>
              <w:pStyle w:val="182"/>
              <w:rPr>
                <w:color w:val="auto"/>
              </w:rPr>
            </w:pPr>
          </w:p>
        </w:tc>
        <w:tc>
          <w:tcPr>
            <w:tcW w:w="2440" w:type="pct"/>
            <w:vAlign w:val="center"/>
          </w:tcPr>
          <w:p w14:paraId="0AFAC906">
            <w:pPr>
              <w:pStyle w:val="182"/>
              <w:rPr>
                <w:color w:val="auto"/>
              </w:rPr>
            </w:pPr>
            <w:r>
              <w:rPr>
                <w:rFonts w:hint="eastAsia"/>
                <w:color w:val="auto"/>
              </w:rPr>
              <w:t>200m</w:t>
            </w:r>
            <w:r>
              <w:rPr>
                <w:rFonts w:hint="eastAsia"/>
                <w:color w:val="auto"/>
                <w:vertAlign w:val="superscript"/>
              </w:rPr>
              <w:t>3</w:t>
            </w:r>
          </w:p>
        </w:tc>
        <w:tc>
          <w:tcPr>
            <w:tcW w:w="634" w:type="pct"/>
            <w:vAlign w:val="center"/>
          </w:tcPr>
          <w:p w14:paraId="78A0B91C">
            <w:pPr>
              <w:pStyle w:val="182"/>
              <w:rPr>
                <w:color w:val="auto"/>
              </w:rPr>
            </w:pPr>
            <w:r>
              <w:rPr>
                <w:rFonts w:hint="eastAsia"/>
                <w:color w:val="auto"/>
              </w:rPr>
              <w:t>3</w:t>
            </w:r>
          </w:p>
        </w:tc>
      </w:tr>
      <w:tr w14:paraId="65B48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501DA68B">
            <w:pPr>
              <w:pStyle w:val="182"/>
              <w:rPr>
                <w:color w:val="auto"/>
              </w:rPr>
            </w:pPr>
            <w:r>
              <w:rPr>
                <w:rFonts w:hint="eastAsia"/>
                <w:color w:val="auto"/>
              </w:rPr>
              <w:t>3</w:t>
            </w:r>
          </w:p>
        </w:tc>
        <w:tc>
          <w:tcPr>
            <w:tcW w:w="1612" w:type="pct"/>
            <w:vAlign w:val="center"/>
          </w:tcPr>
          <w:p w14:paraId="12E27C94">
            <w:pPr>
              <w:pStyle w:val="182"/>
              <w:rPr>
                <w:color w:val="auto"/>
              </w:rPr>
            </w:pPr>
            <w:r>
              <w:rPr>
                <w:rFonts w:hint="eastAsia"/>
                <w:color w:val="auto"/>
              </w:rPr>
              <w:t>DMAC存储罐</w:t>
            </w:r>
          </w:p>
        </w:tc>
        <w:tc>
          <w:tcPr>
            <w:tcW w:w="2440" w:type="pct"/>
            <w:vAlign w:val="center"/>
          </w:tcPr>
          <w:p w14:paraId="6F44B6A6">
            <w:pPr>
              <w:pStyle w:val="182"/>
              <w:rPr>
                <w:color w:val="auto"/>
              </w:rPr>
            </w:pPr>
            <w:r>
              <w:rPr>
                <w:rFonts w:hint="eastAsia"/>
                <w:color w:val="auto"/>
              </w:rPr>
              <w:t>1000m</w:t>
            </w:r>
            <w:r>
              <w:rPr>
                <w:rFonts w:hint="eastAsia"/>
                <w:color w:val="auto"/>
                <w:vertAlign w:val="superscript"/>
              </w:rPr>
              <w:t>3</w:t>
            </w:r>
          </w:p>
        </w:tc>
        <w:tc>
          <w:tcPr>
            <w:tcW w:w="634" w:type="pct"/>
            <w:vAlign w:val="center"/>
          </w:tcPr>
          <w:p w14:paraId="77D84DDF">
            <w:pPr>
              <w:pStyle w:val="182"/>
              <w:rPr>
                <w:color w:val="auto"/>
              </w:rPr>
            </w:pPr>
            <w:r>
              <w:rPr>
                <w:rFonts w:hint="eastAsia"/>
                <w:color w:val="auto"/>
              </w:rPr>
              <w:t>4</w:t>
            </w:r>
          </w:p>
        </w:tc>
      </w:tr>
      <w:tr w14:paraId="7B9CC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45FE2E81">
            <w:pPr>
              <w:pStyle w:val="182"/>
              <w:rPr>
                <w:color w:val="auto"/>
              </w:rPr>
            </w:pPr>
            <w:r>
              <w:rPr>
                <w:rFonts w:hint="eastAsia"/>
                <w:color w:val="auto"/>
              </w:rPr>
              <w:t>4</w:t>
            </w:r>
          </w:p>
        </w:tc>
        <w:tc>
          <w:tcPr>
            <w:tcW w:w="1612" w:type="pct"/>
            <w:vAlign w:val="center"/>
          </w:tcPr>
          <w:p w14:paraId="5F14425C">
            <w:pPr>
              <w:pStyle w:val="182"/>
              <w:rPr>
                <w:color w:val="auto"/>
              </w:rPr>
            </w:pPr>
            <w:r>
              <w:rPr>
                <w:rFonts w:hint="eastAsia"/>
                <w:color w:val="auto"/>
              </w:rPr>
              <w:t>预聚合反应器</w:t>
            </w:r>
          </w:p>
        </w:tc>
        <w:tc>
          <w:tcPr>
            <w:tcW w:w="2440" w:type="pct"/>
            <w:vAlign w:val="center"/>
          </w:tcPr>
          <w:p w14:paraId="1335A727">
            <w:pPr>
              <w:pStyle w:val="182"/>
              <w:rPr>
                <w:color w:val="auto"/>
              </w:rPr>
            </w:pPr>
            <w:r>
              <w:rPr>
                <w:color w:val="auto"/>
              </w:rPr>
              <w:t>/</w:t>
            </w:r>
          </w:p>
        </w:tc>
        <w:tc>
          <w:tcPr>
            <w:tcW w:w="634" w:type="pct"/>
            <w:vAlign w:val="center"/>
          </w:tcPr>
          <w:p w14:paraId="30B08C51">
            <w:pPr>
              <w:pStyle w:val="182"/>
              <w:rPr>
                <w:color w:val="auto"/>
              </w:rPr>
            </w:pPr>
            <w:r>
              <w:rPr>
                <w:rFonts w:hint="eastAsia"/>
                <w:color w:val="auto"/>
              </w:rPr>
              <w:t>3</w:t>
            </w:r>
          </w:p>
        </w:tc>
      </w:tr>
      <w:tr w14:paraId="65C4E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4AC10F1A">
            <w:pPr>
              <w:pStyle w:val="182"/>
              <w:rPr>
                <w:color w:val="auto"/>
              </w:rPr>
            </w:pPr>
            <w:r>
              <w:rPr>
                <w:rFonts w:hint="eastAsia"/>
                <w:color w:val="auto"/>
              </w:rPr>
              <w:t>5</w:t>
            </w:r>
          </w:p>
        </w:tc>
        <w:tc>
          <w:tcPr>
            <w:tcW w:w="1612" w:type="pct"/>
            <w:vAlign w:val="center"/>
          </w:tcPr>
          <w:p w14:paraId="4B085DA1">
            <w:pPr>
              <w:pStyle w:val="182"/>
              <w:rPr>
                <w:color w:val="auto"/>
              </w:rPr>
            </w:pPr>
            <w:r>
              <w:rPr>
                <w:rFonts w:hint="eastAsia"/>
                <w:color w:val="auto"/>
              </w:rPr>
              <w:t>混合胺供给罐</w:t>
            </w:r>
          </w:p>
        </w:tc>
        <w:tc>
          <w:tcPr>
            <w:tcW w:w="2440" w:type="pct"/>
            <w:vAlign w:val="center"/>
          </w:tcPr>
          <w:p w14:paraId="55B2ABAB">
            <w:pPr>
              <w:pStyle w:val="182"/>
              <w:rPr>
                <w:color w:val="auto"/>
              </w:rPr>
            </w:pPr>
            <w:r>
              <w:rPr>
                <w:rFonts w:hint="eastAsia"/>
                <w:color w:val="auto"/>
              </w:rPr>
              <w:t>3m</w:t>
            </w:r>
            <w:r>
              <w:rPr>
                <w:rFonts w:hint="eastAsia"/>
                <w:color w:val="auto"/>
                <w:vertAlign w:val="superscript"/>
              </w:rPr>
              <w:t>3</w:t>
            </w:r>
          </w:p>
        </w:tc>
        <w:tc>
          <w:tcPr>
            <w:tcW w:w="634" w:type="pct"/>
            <w:vAlign w:val="center"/>
          </w:tcPr>
          <w:p w14:paraId="729B2DEB">
            <w:pPr>
              <w:pStyle w:val="182"/>
              <w:rPr>
                <w:color w:val="auto"/>
              </w:rPr>
            </w:pPr>
            <w:r>
              <w:rPr>
                <w:rFonts w:hint="eastAsia"/>
                <w:color w:val="auto"/>
              </w:rPr>
              <w:t>3</w:t>
            </w:r>
          </w:p>
        </w:tc>
      </w:tr>
      <w:tr w14:paraId="3AB01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75E79A8">
            <w:pPr>
              <w:pStyle w:val="182"/>
              <w:rPr>
                <w:color w:val="auto"/>
              </w:rPr>
            </w:pPr>
            <w:r>
              <w:rPr>
                <w:rFonts w:hint="eastAsia"/>
                <w:color w:val="auto"/>
              </w:rPr>
              <w:t>6</w:t>
            </w:r>
          </w:p>
        </w:tc>
        <w:tc>
          <w:tcPr>
            <w:tcW w:w="1612" w:type="pct"/>
            <w:vAlign w:val="center"/>
          </w:tcPr>
          <w:p w14:paraId="68B91CBC">
            <w:pPr>
              <w:pStyle w:val="182"/>
              <w:rPr>
                <w:color w:val="auto"/>
              </w:rPr>
            </w:pPr>
            <w:r>
              <w:rPr>
                <w:rFonts w:hint="eastAsia"/>
                <w:color w:val="auto"/>
              </w:rPr>
              <w:t>聚合反应器</w:t>
            </w:r>
          </w:p>
        </w:tc>
        <w:tc>
          <w:tcPr>
            <w:tcW w:w="2440" w:type="pct"/>
            <w:vAlign w:val="bottom"/>
          </w:tcPr>
          <w:p w14:paraId="678E7214">
            <w:pPr>
              <w:pStyle w:val="182"/>
              <w:rPr>
                <w:color w:val="auto"/>
              </w:rPr>
            </w:pPr>
            <w:r>
              <w:rPr>
                <w:rFonts w:hint="eastAsia"/>
                <w:color w:val="auto"/>
              </w:rPr>
              <w:t>/</w:t>
            </w:r>
          </w:p>
        </w:tc>
        <w:tc>
          <w:tcPr>
            <w:tcW w:w="634" w:type="pct"/>
            <w:vAlign w:val="center"/>
          </w:tcPr>
          <w:p w14:paraId="09CAB83A">
            <w:pPr>
              <w:pStyle w:val="182"/>
              <w:rPr>
                <w:color w:val="auto"/>
              </w:rPr>
            </w:pPr>
            <w:r>
              <w:rPr>
                <w:rFonts w:hint="eastAsia"/>
                <w:color w:val="auto"/>
              </w:rPr>
              <w:t>3</w:t>
            </w:r>
          </w:p>
        </w:tc>
      </w:tr>
      <w:tr w14:paraId="5E290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E958B51">
            <w:pPr>
              <w:pStyle w:val="182"/>
              <w:rPr>
                <w:color w:val="auto"/>
              </w:rPr>
            </w:pPr>
            <w:r>
              <w:rPr>
                <w:rFonts w:hint="eastAsia"/>
                <w:color w:val="auto"/>
              </w:rPr>
              <w:t>7</w:t>
            </w:r>
          </w:p>
        </w:tc>
        <w:tc>
          <w:tcPr>
            <w:tcW w:w="1612" w:type="pct"/>
            <w:vAlign w:val="center"/>
          </w:tcPr>
          <w:p w14:paraId="00140D69">
            <w:pPr>
              <w:pStyle w:val="182"/>
              <w:rPr>
                <w:color w:val="auto"/>
              </w:rPr>
            </w:pPr>
            <w:r>
              <w:rPr>
                <w:rFonts w:hint="eastAsia"/>
                <w:color w:val="auto"/>
              </w:rPr>
              <w:t>添加剂调配罐</w:t>
            </w:r>
          </w:p>
        </w:tc>
        <w:tc>
          <w:tcPr>
            <w:tcW w:w="2440" w:type="pct"/>
            <w:vAlign w:val="bottom"/>
          </w:tcPr>
          <w:p w14:paraId="4F3209D8">
            <w:pPr>
              <w:pStyle w:val="182"/>
              <w:rPr>
                <w:color w:val="auto"/>
              </w:rPr>
            </w:pPr>
            <w:r>
              <w:rPr>
                <w:rFonts w:hint="eastAsia"/>
                <w:color w:val="auto"/>
              </w:rPr>
              <w:t>3m</w:t>
            </w:r>
            <w:r>
              <w:rPr>
                <w:rFonts w:hint="eastAsia"/>
                <w:color w:val="auto"/>
                <w:vertAlign w:val="superscript"/>
              </w:rPr>
              <w:t>3</w:t>
            </w:r>
          </w:p>
        </w:tc>
        <w:tc>
          <w:tcPr>
            <w:tcW w:w="634" w:type="pct"/>
            <w:vAlign w:val="center"/>
          </w:tcPr>
          <w:p w14:paraId="093F53F1">
            <w:pPr>
              <w:pStyle w:val="182"/>
              <w:rPr>
                <w:color w:val="auto"/>
              </w:rPr>
            </w:pPr>
            <w:r>
              <w:rPr>
                <w:rFonts w:hint="eastAsia"/>
                <w:color w:val="auto"/>
              </w:rPr>
              <w:t>3</w:t>
            </w:r>
          </w:p>
        </w:tc>
      </w:tr>
      <w:tr w14:paraId="4FC7E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6B6CA002">
            <w:pPr>
              <w:pStyle w:val="182"/>
              <w:rPr>
                <w:color w:val="auto"/>
              </w:rPr>
            </w:pPr>
            <w:r>
              <w:rPr>
                <w:rFonts w:hint="eastAsia"/>
                <w:color w:val="auto"/>
              </w:rPr>
              <w:t>8</w:t>
            </w:r>
          </w:p>
        </w:tc>
        <w:tc>
          <w:tcPr>
            <w:tcW w:w="1612" w:type="pct"/>
            <w:vAlign w:val="center"/>
          </w:tcPr>
          <w:p w14:paraId="03D0DFAD">
            <w:pPr>
              <w:pStyle w:val="182"/>
              <w:rPr>
                <w:color w:val="auto"/>
              </w:rPr>
            </w:pPr>
            <w:r>
              <w:rPr>
                <w:rFonts w:hint="eastAsia"/>
                <w:color w:val="auto"/>
              </w:rPr>
              <w:t>聚合物混合器</w:t>
            </w:r>
          </w:p>
        </w:tc>
        <w:tc>
          <w:tcPr>
            <w:tcW w:w="2440" w:type="pct"/>
            <w:vAlign w:val="bottom"/>
          </w:tcPr>
          <w:p w14:paraId="3FE44F35">
            <w:pPr>
              <w:pStyle w:val="182"/>
              <w:rPr>
                <w:color w:val="auto"/>
              </w:rPr>
            </w:pPr>
            <w:r>
              <w:rPr>
                <w:rFonts w:hint="eastAsia"/>
                <w:color w:val="auto"/>
              </w:rPr>
              <w:t>/</w:t>
            </w:r>
          </w:p>
        </w:tc>
        <w:tc>
          <w:tcPr>
            <w:tcW w:w="634" w:type="pct"/>
            <w:vAlign w:val="center"/>
          </w:tcPr>
          <w:p w14:paraId="1522AC5F">
            <w:pPr>
              <w:pStyle w:val="182"/>
              <w:rPr>
                <w:color w:val="auto"/>
              </w:rPr>
            </w:pPr>
            <w:r>
              <w:rPr>
                <w:rFonts w:hint="eastAsia"/>
                <w:color w:val="auto"/>
              </w:rPr>
              <w:t>3</w:t>
            </w:r>
          </w:p>
        </w:tc>
      </w:tr>
      <w:tr w14:paraId="25C3B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08C9BA96">
            <w:pPr>
              <w:pStyle w:val="182"/>
              <w:rPr>
                <w:color w:val="auto"/>
              </w:rPr>
            </w:pPr>
            <w:r>
              <w:rPr>
                <w:rFonts w:hint="eastAsia"/>
                <w:color w:val="auto"/>
              </w:rPr>
              <w:t>9</w:t>
            </w:r>
          </w:p>
        </w:tc>
        <w:tc>
          <w:tcPr>
            <w:tcW w:w="1612" w:type="pct"/>
            <w:vAlign w:val="center"/>
          </w:tcPr>
          <w:p w14:paraId="410793CA">
            <w:pPr>
              <w:pStyle w:val="182"/>
              <w:rPr>
                <w:color w:val="auto"/>
              </w:rPr>
            </w:pPr>
            <w:r>
              <w:rPr>
                <w:rFonts w:hint="eastAsia"/>
                <w:color w:val="auto"/>
              </w:rPr>
              <w:t>原液储罐</w:t>
            </w:r>
          </w:p>
        </w:tc>
        <w:tc>
          <w:tcPr>
            <w:tcW w:w="2440" w:type="pct"/>
            <w:vAlign w:val="bottom"/>
          </w:tcPr>
          <w:p w14:paraId="4BC2A929">
            <w:pPr>
              <w:pStyle w:val="182"/>
              <w:rPr>
                <w:color w:val="auto"/>
              </w:rPr>
            </w:pPr>
            <w:r>
              <w:rPr>
                <w:rFonts w:hint="eastAsia"/>
                <w:color w:val="auto"/>
              </w:rPr>
              <w:t>ST26.0</w:t>
            </w:r>
          </w:p>
        </w:tc>
        <w:tc>
          <w:tcPr>
            <w:tcW w:w="634" w:type="pct"/>
            <w:vAlign w:val="center"/>
          </w:tcPr>
          <w:p w14:paraId="49775FE8">
            <w:pPr>
              <w:pStyle w:val="182"/>
              <w:rPr>
                <w:color w:val="auto"/>
              </w:rPr>
            </w:pPr>
            <w:r>
              <w:rPr>
                <w:rFonts w:hint="eastAsia"/>
                <w:color w:val="auto"/>
              </w:rPr>
              <w:t>3</w:t>
            </w:r>
          </w:p>
        </w:tc>
      </w:tr>
      <w:tr w14:paraId="4A032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D15E1C1">
            <w:pPr>
              <w:pStyle w:val="182"/>
              <w:rPr>
                <w:color w:val="auto"/>
              </w:rPr>
            </w:pPr>
            <w:r>
              <w:rPr>
                <w:rFonts w:hint="eastAsia"/>
                <w:color w:val="auto"/>
              </w:rPr>
              <w:t>10</w:t>
            </w:r>
          </w:p>
        </w:tc>
        <w:tc>
          <w:tcPr>
            <w:tcW w:w="1612" w:type="pct"/>
            <w:vAlign w:val="center"/>
          </w:tcPr>
          <w:p w14:paraId="7A1A06AA">
            <w:pPr>
              <w:pStyle w:val="182"/>
              <w:rPr>
                <w:color w:val="auto"/>
              </w:rPr>
            </w:pPr>
            <w:r>
              <w:rPr>
                <w:rFonts w:hint="eastAsia"/>
                <w:color w:val="auto"/>
              </w:rPr>
              <w:t>纺丝甬道</w:t>
            </w:r>
          </w:p>
        </w:tc>
        <w:tc>
          <w:tcPr>
            <w:tcW w:w="2440" w:type="pct"/>
            <w:vAlign w:val="bottom"/>
          </w:tcPr>
          <w:p w14:paraId="1A414DDF">
            <w:pPr>
              <w:pStyle w:val="182"/>
              <w:rPr>
                <w:color w:val="auto"/>
              </w:rPr>
            </w:pPr>
            <w:r>
              <w:rPr>
                <w:rFonts w:hint="eastAsia"/>
                <w:color w:val="auto"/>
              </w:rPr>
              <w:t>64E专用</w:t>
            </w:r>
          </w:p>
        </w:tc>
        <w:tc>
          <w:tcPr>
            <w:tcW w:w="634" w:type="pct"/>
            <w:vAlign w:val="center"/>
          </w:tcPr>
          <w:p w14:paraId="5A72ECB5">
            <w:pPr>
              <w:pStyle w:val="182"/>
              <w:rPr>
                <w:color w:val="auto"/>
              </w:rPr>
            </w:pPr>
            <w:r>
              <w:rPr>
                <w:rFonts w:hint="eastAsia"/>
                <w:color w:val="auto"/>
              </w:rPr>
              <w:t>252</w:t>
            </w:r>
          </w:p>
        </w:tc>
      </w:tr>
      <w:tr w14:paraId="5CB82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3617A416">
            <w:pPr>
              <w:pStyle w:val="182"/>
              <w:rPr>
                <w:color w:val="auto"/>
              </w:rPr>
            </w:pPr>
            <w:r>
              <w:rPr>
                <w:rFonts w:hint="eastAsia"/>
                <w:color w:val="auto"/>
              </w:rPr>
              <w:t>11</w:t>
            </w:r>
          </w:p>
        </w:tc>
        <w:tc>
          <w:tcPr>
            <w:tcW w:w="1612" w:type="pct"/>
            <w:vAlign w:val="center"/>
          </w:tcPr>
          <w:p w14:paraId="1A921380">
            <w:pPr>
              <w:pStyle w:val="182"/>
              <w:rPr>
                <w:color w:val="auto"/>
              </w:rPr>
            </w:pPr>
            <w:r>
              <w:rPr>
                <w:rFonts w:hint="eastAsia"/>
                <w:color w:val="auto"/>
              </w:rPr>
              <w:t>纺丝组件</w:t>
            </w:r>
          </w:p>
        </w:tc>
        <w:tc>
          <w:tcPr>
            <w:tcW w:w="2440" w:type="pct"/>
            <w:vAlign w:val="bottom"/>
          </w:tcPr>
          <w:p w14:paraId="30367346">
            <w:pPr>
              <w:pStyle w:val="182"/>
              <w:rPr>
                <w:color w:val="auto"/>
              </w:rPr>
            </w:pPr>
            <w:r>
              <w:rPr>
                <w:rFonts w:hint="eastAsia"/>
                <w:color w:val="auto"/>
              </w:rPr>
              <w:t>喷丝板、过滤网等</w:t>
            </w:r>
          </w:p>
        </w:tc>
        <w:tc>
          <w:tcPr>
            <w:tcW w:w="634" w:type="pct"/>
            <w:vAlign w:val="center"/>
          </w:tcPr>
          <w:p w14:paraId="75E8C522">
            <w:pPr>
              <w:pStyle w:val="182"/>
              <w:rPr>
                <w:color w:val="auto"/>
              </w:rPr>
            </w:pPr>
            <w:r>
              <w:rPr>
                <w:rFonts w:hint="eastAsia"/>
                <w:color w:val="auto"/>
              </w:rPr>
              <w:t>252</w:t>
            </w:r>
          </w:p>
        </w:tc>
      </w:tr>
      <w:tr w14:paraId="1227F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608D1E4">
            <w:pPr>
              <w:pStyle w:val="182"/>
              <w:rPr>
                <w:color w:val="auto"/>
              </w:rPr>
            </w:pPr>
            <w:r>
              <w:rPr>
                <w:rFonts w:hint="eastAsia"/>
                <w:color w:val="auto"/>
              </w:rPr>
              <w:t>12</w:t>
            </w:r>
          </w:p>
        </w:tc>
        <w:tc>
          <w:tcPr>
            <w:tcW w:w="1612" w:type="pct"/>
            <w:vAlign w:val="center"/>
          </w:tcPr>
          <w:p w14:paraId="563FD03D">
            <w:pPr>
              <w:pStyle w:val="182"/>
              <w:rPr>
                <w:color w:val="auto"/>
              </w:rPr>
            </w:pPr>
            <w:r>
              <w:rPr>
                <w:rFonts w:hint="eastAsia"/>
                <w:color w:val="auto"/>
              </w:rPr>
              <w:t>导丝机构</w:t>
            </w:r>
          </w:p>
        </w:tc>
        <w:tc>
          <w:tcPr>
            <w:tcW w:w="2440" w:type="pct"/>
            <w:vAlign w:val="bottom"/>
          </w:tcPr>
          <w:p w14:paraId="05C9AFC7">
            <w:pPr>
              <w:pStyle w:val="182"/>
              <w:rPr>
                <w:color w:val="auto"/>
              </w:rPr>
            </w:pPr>
            <w:r>
              <w:rPr>
                <w:rFonts w:hint="eastAsia"/>
                <w:color w:val="auto"/>
              </w:rPr>
              <w:t>GR-1，GR-2，GR-3</w:t>
            </w:r>
          </w:p>
        </w:tc>
        <w:tc>
          <w:tcPr>
            <w:tcW w:w="634" w:type="pct"/>
            <w:vAlign w:val="center"/>
          </w:tcPr>
          <w:p w14:paraId="7F9B751A">
            <w:pPr>
              <w:pStyle w:val="182"/>
              <w:rPr>
                <w:color w:val="auto"/>
              </w:rPr>
            </w:pPr>
            <w:r>
              <w:rPr>
                <w:rFonts w:hint="eastAsia"/>
                <w:color w:val="auto"/>
              </w:rPr>
              <w:t>252</w:t>
            </w:r>
          </w:p>
        </w:tc>
      </w:tr>
      <w:tr w14:paraId="2E35B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2449628">
            <w:pPr>
              <w:pStyle w:val="182"/>
              <w:rPr>
                <w:color w:val="auto"/>
              </w:rPr>
            </w:pPr>
            <w:r>
              <w:rPr>
                <w:rFonts w:hint="eastAsia"/>
                <w:color w:val="auto"/>
              </w:rPr>
              <w:t>13</w:t>
            </w:r>
          </w:p>
        </w:tc>
        <w:tc>
          <w:tcPr>
            <w:tcW w:w="1612" w:type="pct"/>
            <w:vAlign w:val="center"/>
          </w:tcPr>
          <w:p w14:paraId="7F3F9577">
            <w:pPr>
              <w:pStyle w:val="182"/>
              <w:rPr>
                <w:color w:val="auto"/>
              </w:rPr>
            </w:pPr>
            <w:r>
              <w:rPr>
                <w:rFonts w:hint="eastAsia"/>
                <w:color w:val="auto"/>
              </w:rPr>
              <w:t>卷绕头</w:t>
            </w:r>
          </w:p>
        </w:tc>
        <w:tc>
          <w:tcPr>
            <w:tcW w:w="2440" w:type="pct"/>
            <w:vAlign w:val="bottom"/>
          </w:tcPr>
          <w:p w14:paraId="2518C5DD">
            <w:pPr>
              <w:pStyle w:val="182"/>
              <w:rPr>
                <w:color w:val="auto"/>
              </w:rPr>
            </w:pPr>
            <w:r>
              <w:rPr>
                <w:rFonts w:hint="eastAsia"/>
                <w:color w:val="auto"/>
              </w:rPr>
              <w:t>WAW-101</w:t>
            </w:r>
          </w:p>
        </w:tc>
        <w:tc>
          <w:tcPr>
            <w:tcW w:w="634" w:type="pct"/>
            <w:vAlign w:val="center"/>
          </w:tcPr>
          <w:p w14:paraId="61A2E3BC">
            <w:pPr>
              <w:pStyle w:val="182"/>
              <w:rPr>
                <w:color w:val="auto"/>
              </w:rPr>
            </w:pPr>
            <w:r>
              <w:rPr>
                <w:rFonts w:hint="eastAsia"/>
                <w:color w:val="auto"/>
              </w:rPr>
              <w:t>756</w:t>
            </w:r>
          </w:p>
        </w:tc>
      </w:tr>
      <w:tr w14:paraId="51FEA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09A9A294">
            <w:pPr>
              <w:pStyle w:val="182"/>
              <w:rPr>
                <w:color w:val="auto"/>
              </w:rPr>
            </w:pPr>
            <w:r>
              <w:rPr>
                <w:rFonts w:hint="eastAsia"/>
                <w:color w:val="auto"/>
              </w:rPr>
              <w:t>14</w:t>
            </w:r>
          </w:p>
        </w:tc>
        <w:tc>
          <w:tcPr>
            <w:tcW w:w="1612" w:type="pct"/>
            <w:vAlign w:val="center"/>
          </w:tcPr>
          <w:p w14:paraId="2A9EDC25">
            <w:pPr>
              <w:pStyle w:val="182"/>
              <w:rPr>
                <w:color w:val="auto"/>
              </w:rPr>
            </w:pPr>
            <w:r>
              <w:rPr>
                <w:rFonts w:hint="eastAsia"/>
                <w:color w:val="auto"/>
              </w:rPr>
              <w:t>SM 系统</w:t>
            </w:r>
          </w:p>
        </w:tc>
        <w:tc>
          <w:tcPr>
            <w:tcW w:w="2440" w:type="pct"/>
            <w:vAlign w:val="bottom"/>
          </w:tcPr>
          <w:p w14:paraId="1CFB5DF5">
            <w:pPr>
              <w:pStyle w:val="182"/>
              <w:rPr>
                <w:color w:val="auto"/>
              </w:rPr>
            </w:pPr>
            <w:r>
              <w:rPr>
                <w:rFonts w:hint="eastAsia"/>
                <w:color w:val="auto"/>
              </w:rPr>
              <w:t>/</w:t>
            </w:r>
          </w:p>
        </w:tc>
        <w:tc>
          <w:tcPr>
            <w:tcW w:w="634" w:type="pct"/>
            <w:vAlign w:val="center"/>
          </w:tcPr>
          <w:p w14:paraId="19E335DD">
            <w:pPr>
              <w:pStyle w:val="182"/>
              <w:rPr>
                <w:color w:val="auto"/>
              </w:rPr>
            </w:pPr>
            <w:r>
              <w:rPr>
                <w:rFonts w:hint="eastAsia"/>
                <w:color w:val="auto"/>
              </w:rPr>
              <w:t>7</w:t>
            </w:r>
          </w:p>
        </w:tc>
      </w:tr>
      <w:tr w14:paraId="5E2D4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087409A6">
            <w:pPr>
              <w:pStyle w:val="182"/>
              <w:rPr>
                <w:color w:val="auto"/>
              </w:rPr>
            </w:pPr>
            <w:r>
              <w:rPr>
                <w:rFonts w:hint="eastAsia"/>
                <w:color w:val="auto"/>
              </w:rPr>
              <w:t>15</w:t>
            </w:r>
          </w:p>
        </w:tc>
        <w:tc>
          <w:tcPr>
            <w:tcW w:w="1612" w:type="pct"/>
            <w:vAlign w:val="center"/>
          </w:tcPr>
          <w:p w14:paraId="4B14587B">
            <w:pPr>
              <w:pStyle w:val="182"/>
              <w:rPr>
                <w:color w:val="auto"/>
              </w:rPr>
            </w:pPr>
            <w:r>
              <w:rPr>
                <w:rFonts w:hint="eastAsia"/>
                <w:color w:val="auto"/>
              </w:rPr>
              <w:t>分级设备</w:t>
            </w:r>
          </w:p>
        </w:tc>
        <w:tc>
          <w:tcPr>
            <w:tcW w:w="2440" w:type="pct"/>
            <w:vAlign w:val="bottom"/>
          </w:tcPr>
          <w:p w14:paraId="782F0A01">
            <w:pPr>
              <w:pStyle w:val="182"/>
              <w:rPr>
                <w:color w:val="auto"/>
              </w:rPr>
            </w:pPr>
            <w:r>
              <w:rPr>
                <w:rFonts w:hint="eastAsia"/>
                <w:color w:val="auto"/>
              </w:rPr>
              <w:t>/</w:t>
            </w:r>
          </w:p>
        </w:tc>
        <w:tc>
          <w:tcPr>
            <w:tcW w:w="634" w:type="pct"/>
            <w:vAlign w:val="center"/>
          </w:tcPr>
          <w:p w14:paraId="713FEDF9">
            <w:pPr>
              <w:pStyle w:val="182"/>
              <w:rPr>
                <w:color w:val="auto"/>
              </w:rPr>
            </w:pPr>
            <w:r>
              <w:rPr>
                <w:rFonts w:hint="eastAsia"/>
                <w:color w:val="auto"/>
              </w:rPr>
              <w:t>3</w:t>
            </w:r>
          </w:p>
        </w:tc>
      </w:tr>
      <w:tr w14:paraId="39FC4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D48812F">
            <w:pPr>
              <w:pStyle w:val="182"/>
              <w:rPr>
                <w:color w:val="auto"/>
              </w:rPr>
            </w:pPr>
            <w:r>
              <w:rPr>
                <w:rFonts w:hint="eastAsia"/>
                <w:color w:val="auto"/>
              </w:rPr>
              <w:t>16</w:t>
            </w:r>
          </w:p>
        </w:tc>
        <w:tc>
          <w:tcPr>
            <w:tcW w:w="1612" w:type="pct"/>
            <w:vAlign w:val="center"/>
          </w:tcPr>
          <w:p w14:paraId="2AF42163">
            <w:pPr>
              <w:pStyle w:val="182"/>
              <w:rPr>
                <w:color w:val="auto"/>
              </w:rPr>
            </w:pPr>
            <w:r>
              <w:rPr>
                <w:rFonts w:hint="eastAsia"/>
                <w:color w:val="auto"/>
              </w:rPr>
              <w:t>溶剂精制系统</w:t>
            </w:r>
          </w:p>
        </w:tc>
        <w:tc>
          <w:tcPr>
            <w:tcW w:w="2440" w:type="pct"/>
            <w:vAlign w:val="bottom"/>
          </w:tcPr>
          <w:p w14:paraId="751D3C1A">
            <w:pPr>
              <w:pStyle w:val="182"/>
              <w:rPr>
                <w:color w:val="auto"/>
              </w:rPr>
            </w:pPr>
            <w:r>
              <w:rPr>
                <w:rFonts w:hint="eastAsia"/>
                <w:color w:val="auto"/>
              </w:rPr>
              <w:t>含3个精馏塔和1个DMAC回收装置</w:t>
            </w:r>
          </w:p>
        </w:tc>
        <w:tc>
          <w:tcPr>
            <w:tcW w:w="634" w:type="pct"/>
            <w:vAlign w:val="center"/>
          </w:tcPr>
          <w:p w14:paraId="08BF0E27">
            <w:pPr>
              <w:pStyle w:val="182"/>
              <w:rPr>
                <w:color w:val="auto"/>
              </w:rPr>
            </w:pPr>
            <w:r>
              <w:rPr>
                <w:rFonts w:hint="eastAsia"/>
                <w:color w:val="auto"/>
              </w:rPr>
              <w:t>1</w:t>
            </w:r>
          </w:p>
        </w:tc>
      </w:tr>
      <w:tr w14:paraId="6F53B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08D73322">
            <w:pPr>
              <w:pStyle w:val="182"/>
              <w:rPr>
                <w:color w:val="auto"/>
              </w:rPr>
            </w:pPr>
            <w:r>
              <w:rPr>
                <w:rFonts w:hint="eastAsia"/>
                <w:color w:val="auto"/>
              </w:rPr>
              <w:t>17</w:t>
            </w:r>
          </w:p>
        </w:tc>
        <w:tc>
          <w:tcPr>
            <w:tcW w:w="1612" w:type="pct"/>
            <w:vAlign w:val="center"/>
          </w:tcPr>
          <w:p w14:paraId="07B587FA">
            <w:pPr>
              <w:pStyle w:val="182"/>
              <w:rPr>
                <w:color w:val="auto"/>
              </w:rPr>
            </w:pPr>
            <w:r>
              <w:rPr>
                <w:rFonts w:hint="eastAsia"/>
                <w:color w:val="auto"/>
              </w:rPr>
              <w:t>超声波清洗机</w:t>
            </w:r>
          </w:p>
        </w:tc>
        <w:tc>
          <w:tcPr>
            <w:tcW w:w="2440" w:type="pct"/>
            <w:vAlign w:val="bottom"/>
          </w:tcPr>
          <w:p w14:paraId="68FD152A">
            <w:pPr>
              <w:pStyle w:val="182"/>
              <w:rPr>
                <w:color w:val="auto"/>
              </w:rPr>
            </w:pPr>
            <w:r>
              <w:rPr>
                <w:rFonts w:hint="eastAsia"/>
                <w:color w:val="auto"/>
              </w:rPr>
              <w:t>ATLAS-3015</w:t>
            </w:r>
          </w:p>
        </w:tc>
        <w:tc>
          <w:tcPr>
            <w:tcW w:w="634" w:type="pct"/>
            <w:vAlign w:val="center"/>
          </w:tcPr>
          <w:p w14:paraId="07007360">
            <w:pPr>
              <w:pStyle w:val="182"/>
              <w:rPr>
                <w:color w:val="auto"/>
              </w:rPr>
            </w:pPr>
            <w:r>
              <w:rPr>
                <w:rFonts w:hint="eastAsia"/>
                <w:color w:val="auto"/>
              </w:rPr>
              <w:t>4</w:t>
            </w:r>
          </w:p>
        </w:tc>
      </w:tr>
      <w:tr w14:paraId="18C03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5FF9857F">
            <w:pPr>
              <w:pStyle w:val="182"/>
              <w:rPr>
                <w:color w:val="auto"/>
              </w:rPr>
            </w:pPr>
            <w:r>
              <w:rPr>
                <w:rFonts w:hint="eastAsia"/>
                <w:color w:val="auto"/>
              </w:rPr>
              <w:t>18</w:t>
            </w:r>
          </w:p>
        </w:tc>
        <w:tc>
          <w:tcPr>
            <w:tcW w:w="1612" w:type="pct"/>
            <w:vAlign w:val="center"/>
          </w:tcPr>
          <w:p w14:paraId="522F6125">
            <w:pPr>
              <w:pStyle w:val="182"/>
              <w:rPr>
                <w:color w:val="auto"/>
              </w:rPr>
            </w:pPr>
            <w:r>
              <w:rPr>
                <w:rFonts w:hint="eastAsia"/>
                <w:color w:val="auto"/>
              </w:rPr>
              <w:t>DCS 控制系统</w:t>
            </w:r>
          </w:p>
        </w:tc>
        <w:tc>
          <w:tcPr>
            <w:tcW w:w="2440" w:type="pct"/>
            <w:vAlign w:val="bottom"/>
          </w:tcPr>
          <w:p w14:paraId="7FAB66D0">
            <w:pPr>
              <w:pStyle w:val="182"/>
              <w:rPr>
                <w:color w:val="auto"/>
              </w:rPr>
            </w:pPr>
            <w:r>
              <w:rPr>
                <w:rFonts w:hint="eastAsia"/>
                <w:color w:val="auto"/>
              </w:rPr>
              <w:t>/</w:t>
            </w:r>
          </w:p>
        </w:tc>
        <w:tc>
          <w:tcPr>
            <w:tcW w:w="634" w:type="pct"/>
            <w:vAlign w:val="center"/>
          </w:tcPr>
          <w:p w14:paraId="58D8740B">
            <w:pPr>
              <w:pStyle w:val="182"/>
              <w:rPr>
                <w:color w:val="auto"/>
              </w:rPr>
            </w:pPr>
            <w:r>
              <w:rPr>
                <w:rFonts w:hint="eastAsia"/>
                <w:color w:val="auto"/>
              </w:rPr>
              <w:t>1</w:t>
            </w:r>
          </w:p>
        </w:tc>
      </w:tr>
      <w:tr w14:paraId="6CC72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53E96650">
            <w:pPr>
              <w:pStyle w:val="182"/>
              <w:rPr>
                <w:color w:val="auto"/>
              </w:rPr>
            </w:pPr>
            <w:r>
              <w:rPr>
                <w:rFonts w:hint="eastAsia"/>
                <w:color w:val="auto"/>
              </w:rPr>
              <w:t>19</w:t>
            </w:r>
          </w:p>
        </w:tc>
        <w:tc>
          <w:tcPr>
            <w:tcW w:w="1612" w:type="pct"/>
            <w:vAlign w:val="center"/>
          </w:tcPr>
          <w:p w14:paraId="530239A1">
            <w:pPr>
              <w:pStyle w:val="182"/>
              <w:rPr>
                <w:color w:val="auto"/>
              </w:rPr>
            </w:pPr>
            <w:r>
              <w:rPr>
                <w:rFonts w:hint="eastAsia"/>
                <w:color w:val="auto"/>
              </w:rPr>
              <w:t>制氮系统</w:t>
            </w:r>
          </w:p>
        </w:tc>
        <w:tc>
          <w:tcPr>
            <w:tcW w:w="2440" w:type="pct"/>
            <w:vAlign w:val="bottom"/>
          </w:tcPr>
          <w:p w14:paraId="235129F2">
            <w:pPr>
              <w:pStyle w:val="182"/>
              <w:rPr>
                <w:color w:val="auto"/>
              </w:rPr>
            </w:pPr>
            <w:r>
              <w:rPr>
                <w:rFonts w:hint="eastAsia"/>
                <w:color w:val="auto"/>
              </w:rPr>
              <w:t>/</w:t>
            </w:r>
          </w:p>
        </w:tc>
        <w:tc>
          <w:tcPr>
            <w:tcW w:w="634" w:type="pct"/>
            <w:vAlign w:val="center"/>
          </w:tcPr>
          <w:p w14:paraId="6D6AEAA7">
            <w:pPr>
              <w:pStyle w:val="182"/>
              <w:rPr>
                <w:color w:val="auto"/>
              </w:rPr>
            </w:pPr>
            <w:r>
              <w:rPr>
                <w:rFonts w:hint="eastAsia"/>
                <w:color w:val="auto"/>
              </w:rPr>
              <w:t>1</w:t>
            </w:r>
          </w:p>
        </w:tc>
      </w:tr>
      <w:tr w14:paraId="51464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BBF4A1E">
            <w:pPr>
              <w:pStyle w:val="182"/>
              <w:rPr>
                <w:color w:val="auto"/>
              </w:rPr>
            </w:pPr>
            <w:r>
              <w:rPr>
                <w:rFonts w:hint="eastAsia"/>
                <w:color w:val="auto"/>
              </w:rPr>
              <w:t>20</w:t>
            </w:r>
          </w:p>
        </w:tc>
        <w:tc>
          <w:tcPr>
            <w:tcW w:w="1612" w:type="pct"/>
            <w:vAlign w:val="center"/>
          </w:tcPr>
          <w:p w14:paraId="18A6241D">
            <w:pPr>
              <w:pStyle w:val="182"/>
              <w:rPr>
                <w:color w:val="auto"/>
              </w:rPr>
            </w:pPr>
            <w:r>
              <w:rPr>
                <w:rFonts w:hint="eastAsia"/>
                <w:color w:val="auto"/>
              </w:rPr>
              <w:t>冷媒系统</w:t>
            </w:r>
          </w:p>
        </w:tc>
        <w:tc>
          <w:tcPr>
            <w:tcW w:w="2440" w:type="pct"/>
            <w:vAlign w:val="bottom"/>
          </w:tcPr>
          <w:p w14:paraId="06BA3B49">
            <w:pPr>
              <w:pStyle w:val="182"/>
              <w:rPr>
                <w:color w:val="auto"/>
              </w:rPr>
            </w:pPr>
            <w:r>
              <w:rPr>
                <w:rFonts w:hint="eastAsia"/>
                <w:color w:val="auto"/>
              </w:rPr>
              <w:t>/</w:t>
            </w:r>
          </w:p>
        </w:tc>
        <w:tc>
          <w:tcPr>
            <w:tcW w:w="634" w:type="pct"/>
            <w:vAlign w:val="center"/>
          </w:tcPr>
          <w:p w14:paraId="1CADD48C">
            <w:pPr>
              <w:pStyle w:val="182"/>
              <w:rPr>
                <w:color w:val="auto"/>
              </w:rPr>
            </w:pPr>
            <w:r>
              <w:rPr>
                <w:rFonts w:hint="eastAsia"/>
                <w:color w:val="auto"/>
              </w:rPr>
              <w:t>1</w:t>
            </w:r>
          </w:p>
        </w:tc>
      </w:tr>
      <w:tr w14:paraId="30995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3B901385">
            <w:pPr>
              <w:pStyle w:val="182"/>
              <w:rPr>
                <w:b/>
                <w:color w:val="auto"/>
              </w:rPr>
            </w:pPr>
            <w:r>
              <w:rPr>
                <w:rFonts w:hint="eastAsia"/>
                <w:b/>
                <w:color w:val="auto"/>
                <w:lang w:val="en-US" w:eastAsia="zh-CN"/>
              </w:rPr>
              <w:t>2</w:t>
            </w:r>
            <w:r>
              <w:rPr>
                <w:rFonts w:hint="eastAsia"/>
                <w:b/>
                <w:color w:val="auto"/>
              </w:rPr>
              <w:t>、1×360t/h锅炉及2×B25MW热电联产项目</w:t>
            </w:r>
          </w:p>
        </w:tc>
      </w:tr>
      <w:tr w14:paraId="787C1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F4B6BD5">
            <w:pPr>
              <w:pStyle w:val="182"/>
              <w:rPr>
                <w:color w:val="auto"/>
              </w:rPr>
            </w:pPr>
            <w:r>
              <w:rPr>
                <w:rFonts w:hint="eastAsia"/>
                <w:color w:val="auto"/>
              </w:rPr>
              <w:t>1</w:t>
            </w:r>
          </w:p>
        </w:tc>
        <w:tc>
          <w:tcPr>
            <w:tcW w:w="1612" w:type="pct"/>
            <w:vAlign w:val="center"/>
          </w:tcPr>
          <w:p w14:paraId="671AD645">
            <w:pPr>
              <w:pStyle w:val="182"/>
              <w:rPr>
                <w:color w:val="auto"/>
              </w:rPr>
            </w:pPr>
            <w:r>
              <w:rPr>
                <w:rFonts w:hint="eastAsia"/>
                <w:color w:val="auto"/>
              </w:rPr>
              <w:t>锅炉</w:t>
            </w:r>
          </w:p>
        </w:tc>
        <w:tc>
          <w:tcPr>
            <w:tcW w:w="2440" w:type="pct"/>
            <w:vAlign w:val="center"/>
          </w:tcPr>
          <w:p w14:paraId="5DF63204">
            <w:pPr>
              <w:pStyle w:val="182"/>
              <w:rPr>
                <w:color w:val="auto"/>
              </w:rPr>
            </w:pPr>
            <w:r>
              <w:rPr>
                <w:rFonts w:hint="eastAsia"/>
                <w:color w:val="auto"/>
              </w:rPr>
              <w:t>360t/h 高温高压煤粉锅炉</w:t>
            </w:r>
          </w:p>
        </w:tc>
        <w:tc>
          <w:tcPr>
            <w:tcW w:w="634" w:type="pct"/>
            <w:vAlign w:val="center"/>
          </w:tcPr>
          <w:p w14:paraId="632BF0BA">
            <w:pPr>
              <w:pStyle w:val="182"/>
              <w:rPr>
                <w:color w:val="auto"/>
              </w:rPr>
            </w:pPr>
            <w:r>
              <w:rPr>
                <w:rFonts w:hint="eastAsia"/>
                <w:color w:val="auto"/>
              </w:rPr>
              <w:t>1</w:t>
            </w:r>
          </w:p>
        </w:tc>
      </w:tr>
      <w:tr w14:paraId="733CC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6724FA96">
            <w:pPr>
              <w:pStyle w:val="182"/>
              <w:rPr>
                <w:color w:val="auto"/>
              </w:rPr>
            </w:pPr>
            <w:r>
              <w:rPr>
                <w:rFonts w:hint="eastAsia"/>
                <w:color w:val="auto"/>
              </w:rPr>
              <w:t>2</w:t>
            </w:r>
          </w:p>
        </w:tc>
        <w:tc>
          <w:tcPr>
            <w:tcW w:w="1612" w:type="pct"/>
            <w:vAlign w:val="center"/>
          </w:tcPr>
          <w:p w14:paraId="5FDE5118">
            <w:pPr>
              <w:pStyle w:val="182"/>
              <w:rPr>
                <w:color w:val="auto"/>
              </w:rPr>
            </w:pPr>
            <w:r>
              <w:rPr>
                <w:rFonts w:hint="eastAsia"/>
                <w:color w:val="auto"/>
              </w:rPr>
              <w:t>汽轮机</w:t>
            </w:r>
          </w:p>
        </w:tc>
        <w:tc>
          <w:tcPr>
            <w:tcW w:w="2440" w:type="pct"/>
            <w:vAlign w:val="center"/>
          </w:tcPr>
          <w:p w14:paraId="102A7B3D">
            <w:pPr>
              <w:pStyle w:val="182"/>
              <w:rPr>
                <w:color w:val="auto"/>
              </w:rPr>
            </w:pPr>
            <w:r>
              <w:rPr>
                <w:color w:val="auto"/>
              </w:rPr>
              <w:t>B25-8.83/0.785</w:t>
            </w:r>
          </w:p>
        </w:tc>
        <w:tc>
          <w:tcPr>
            <w:tcW w:w="634" w:type="pct"/>
            <w:vAlign w:val="center"/>
          </w:tcPr>
          <w:p w14:paraId="26108814">
            <w:pPr>
              <w:pStyle w:val="182"/>
              <w:rPr>
                <w:color w:val="auto"/>
              </w:rPr>
            </w:pPr>
            <w:r>
              <w:rPr>
                <w:rFonts w:hint="eastAsia"/>
                <w:color w:val="auto"/>
              </w:rPr>
              <w:t>2</w:t>
            </w:r>
          </w:p>
        </w:tc>
      </w:tr>
      <w:tr w14:paraId="416EE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F4D6C0A">
            <w:pPr>
              <w:pStyle w:val="182"/>
              <w:rPr>
                <w:color w:val="auto"/>
              </w:rPr>
            </w:pPr>
            <w:r>
              <w:rPr>
                <w:rFonts w:hint="eastAsia"/>
                <w:color w:val="auto"/>
              </w:rPr>
              <w:t>3</w:t>
            </w:r>
          </w:p>
        </w:tc>
        <w:tc>
          <w:tcPr>
            <w:tcW w:w="1612" w:type="pct"/>
            <w:vAlign w:val="center"/>
          </w:tcPr>
          <w:p w14:paraId="52BF5FCE">
            <w:pPr>
              <w:pStyle w:val="182"/>
              <w:rPr>
                <w:color w:val="auto"/>
              </w:rPr>
            </w:pPr>
            <w:r>
              <w:rPr>
                <w:rFonts w:hint="eastAsia"/>
                <w:color w:val="auto"/>
              </w:rPr>
              <w:t>发电机</w:t>
            </w:r>
          </w:p>
        </w:tc>
        <w:tc>
          <w:tcPr>
            <w:tcW w:w="2440" w:type="pct"/>
            <w:vAlign w:val="center"/>
          </w:tcPr>
          <w:p w14:paraId="24CD0A6F">
            <w:pPr>
              <w:pStyle w:val="182"/>
              <w:rPr>
                <w:color w:val="auto"/>
              </w:rPr>
            </w:pPr>
            <w:r>
              <w:rPr>
                <w:color w:val="auto"/>
              </w:rPr>
              <w:t>QF-30-2</w:t>
            </w:r>
          </w:p>
        </w:tc>
        <w:tc>
          <w:tcPr>
            <w:tcW w:w="634" w:type="pct"/>
            <w:vAlign w:val="center"/>
          </w:tcPr>
          <w:p w14:paraId="27F3D483">
            <w:pPr>
              <w:pStyle w:val="182"/>
              <w:rPr>
                <w:color w:val="auto"/>
              </w:rPr>
            </w:pPr>
            <w:r>
              <w:rPr>
                <w:rFonts w:hint="eastAsia"/>
                <w:color w:val="auto"/>
              </w:rPr>
              <w:t>2</w:t>
            </w:r>
          </w:p>
        </w:tc>
      </w:tr>
      <w:tr w14:paraId="52789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37A5285C">
            <w:pPr>
              <w:pStyle w:val="182"/>
              <w:rPr>
                <w:b/>
                <w:color w:val="auto"/>
              </w:rPr>
            </w:pPr>
            <w:bookmarkStart w:id="158" w:name="_Hlk96009283"/>
            <w:r>
              <w:rPr>
                <w:rFonts w:hint="eastAsia"/>
                <w:b/>
                <w:color w:val="auto"/>
                <w:lang w:val="en-US" w:eastAsia="zh-CN"/>
              </w:rPr>
              <w:t>3</w:t>
            </w:r>
            <w:r>
              <w:rPr>
                <w:rFonts w:hint="eastAsia"/>
                <w:b/>
                <w:color w:val="auto"/>
              </w:rPr>
              <w:t>、年产5000吨菌草生物质纤维产业化研发中试项目</w:t>
            </w:r>
          </w:p>
        </w:tc>
      </w:tr>
      <w:tr w14:paraId="6047F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6EE8CDB">
            <w:pPr>
              <w:pStyle w:val="182"/>
              <w:rPr>
                <w:color w:val="auto"/>
              </w:rPr>
            </w:pPr>
            <w:r>
              <w:rPr>
                <w:color w:val="auto"/>
              </w:rPr>
              <w:t>1</w:t>
            </w:r>
          </w:p>
        </w:tc>
        <w:tc>
          <w:tcPr>
            <w:tcW w:w="1612" w:type="pct"/>
            <w:vAlign w:val="center"/>
          </w:tcPr>
          <w:p w14:paraId="1CBE4171">
            <w:pPr>
              <w:pStyle w:val="182"/>
              <w:rPr>
                <w:color w:val="auto"/>
              </w:rPr>
            </w:pPr>
            <w:r>
              <w:rPr>
                <w:color w:val="auto"/>
              </w:rPr>
              <w:t>出料皮带输送机</w:t>
            </w:r>
          </w:p>
        </w:tc>
        <w:tc>
          <w:tcPr>
            <w:tcW w:w="2440" w:type="pct"/>
            <w:vAlign w:val="center"/>
          </w:tcPr>
          <w:p w14:paraId="3667E030">
            <w:pPr>
              <w:pStyle w:val="182"/>
              <w:rPr>
                <w:color w:val="auto"/>
              </w:rPr>
            </w:pPr>
            <w:r>
              <w:rPr>
                <w:color w:val="auto"/>
              </w:rPr>
              <w:t>LY1103，B=1200mm，水平段，L=4976mm</w:t>
            </w:r>
          </w:p>
        </w:tc>
        <w:tc>
          <w:tcPr>
            <w:tcW w:w="634" w:type="pct"/>
            <w:vAlign w:val="center"/>
          </w:tcPr>
          <w:p w14:paraId="68921E45">
            <w:pPr>
              <w:pStyle w:val="182"/>
              <w:rPr>
                <w:color w:val="auto"/>
              </w:rPr>
            </w:pPr>
            <w:r>
              <w:rPr>
                <w:color w:val="auto"/>
              </w:rPr>
              <w:t>1</w:t>
            </w:r>
          </w:p>
        </w:tc>
      </w:tr>
      <w:tr w14:paraId="25445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4E1A32E7">
            <w:pPr>
              <w:pStyle w:val="182"/>
              <w:rPr>
                <w:color w:val="auto"/>
              </w:rPr>
            </w:pPr>
            <w:r>
              <w:rPr>
                <w:color w:val="auto"/>
              </w:rPr>
              <w:t>2</w:t>
            </w:r>
          </w:p>
        </w:tc>
        <w:tc>
          <w:tcPr>
            <w:tcW w:w="1612" w:type="pct"/>
            <w:vAlign w:val="center"/>
          </w:tcPr>
          <w:p w14:paraId="34AF1B5C">
            <w:pPr>
              <w:pStyle w:val="182"/>
              <w:rPr>
                <w:color w:val="auto"/>
              </w:rPr>
            </w:pPr>
            <w:r>
              <w:rPr>
                <w:color w:val="auto"/>
              </w:rPr>
              <w:t>出料皮带输送机</w:t>
            </w:r>
          </w:p>
        </w:tc>
        <w:tc>
          <w:tcPr>
            <w:tcW w:w="2440" w:type="pct"/>
            <w:vAlign w:val="center"/>
          </w:tcPr>
          <w:p w14:paraId="1BA4CDA5">
            <w:pPr>
              <w:pStyle w:val="182"/>
              <w:rPr>
                <w:color w:val="auto"/>
              </w:rPr>
            </w:pPr>
            <w:r>
              <w:rPr>
                <w:color w:val="auto"/>
              </w:rPr>
              <w:t>LY1103，B=1200mm，倾斜段：L=13913mm（α=17°）</w:t>
            </w:r>
          </w:p>
        </w:tc>
        <w:tc>
          <w:tcPr>
            <w:tcW w:w="634" w:type="pct"/>
            <w:vAlign w:val="center"/>
          </w:tcPr>
          <w:p w14:paraId="441D5DD3">
            <w:pPr>
              <w:pStyle w:val="182"/>
              <w:rPr>
                <w:color w:val="auto"/>
              </w:rPr>
            </w:pPr>
            <w:r>
              <w:rPr>
                <w:color w:val="auto"/>
              </w:rPr>
              <w:t>1</w:t>
            </w:r>
          </w:p>
        </w:tc>
      </w:tr>
      <w:tr w14:paraId="16A50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5A9B7B42">
            <w:pPr>
              <w:pStyle w:val="182"/>
              <w:rPr>
                <w:color w:val="auto"/>
              </w:rPr>
            </w:pPr>
            <w:r>
              <w:rPr>
                <w:color w:val="auto"/>
              </w:rPr>
              <w:t>3</w:t>
            </w:r>
          </w:p>
        </w:tc>
        <w:tc>
          <w:tcPr>
            <w:tcW w:w="1612" w:type="pct"/>
            <w:vAlign w:val="center"/>
          </w:tcPr>
          <w:p w14:paraId="13E442D0">
            <w:pPr>
              <w:pStyle w:val="182"/>
              <w:rPr>
                <w:color w:val="auto"/>
              </w:rPr>
            </w:pPr>
            <w:r>
              <w:rPr>
                <w:color w:val="auto"/>
              </w:rPr>
              <w:t>圆锥筛</w:t>
            </w:r>
          </w:p>
        </w:tc>
        <w:tc>
          <w:tcPr>
            <w:tcW w:w="2440" w:type="pct"/>
            <w:vAlign w:val="center"/>
          </w:tcPr>
          <w:p w14:paraId="1022A7FD">
            <w:pPr>
              <w:pStyle w:val="182"/>
              <w:rPr>
                <w:color w:val="auto"/>
              </w:rPr>
            </w:pPr>
          </w:p>
        </w:tc>
        <w:tc>
          <w:tcPr>
            <w:tcW w:w="634" w:type="pct"/>
            <w:vAlign w:val="center"/>
          </w:tcPr>
          <w:p w14:paraId="4F557E85">
            <w:pPr>
              <w:pStyle w:val="182"/>
              <w:rPr>
                <w:color w:val="auto"/>
              </w:rPr>
            </w:pPr>
            <w:r>
              <w:rPr>
                <w:color w:val="auto"/>
              </w:rPr>
              <w:t>2</w:t>
            </w:r>
          </w:p>
        </w:tc>
      </w:tr>
      <w:tr w14:paraId="09E03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53696EB9">
            <w:pPr>
              <w:pStyle w:val="182"/>
              <w:rPr>
                <w:color w:val="auto"/>
              </w:rPr>
            </w:pPr>
            <w:r>
              <w:rPr>
                <w:color w:val="auto"/>
              </w:rPr>
              <w:t>4</w:t>
            </w:r>
          </w:p>
        </w:tc>
        <w:tc>
          <w:tcPr>
            <w:tcW w:w="1612" w:type="pct"/>
            <w:vAlign w:val="center"/>
          </w:tcPr>
          <w:p w14:paraId="17A85D87">
            <w:pPr>
              <w:pStyle w:val="182"/>
              <w:rPr>
                <w:color w:val="auto"/>
              </w:rPr>
            </w:pPr>
            <w:r>
              <w:rPr>
                <w:color w:val="auto"/>
              </w:rPr>
              <w:t>汇总皮带输送机</w:t>
            </w:r>
          </w:p>
        </w:tc>
        <w:tc>
          <w:tcPr>
            <w:tcW w:w="2440" w:type="pct"/>
            <w:vAlign w:val="center"/>
          </w:tcPr>
          <w:p w14:paraId="0B1CEE8D">
            <w:pPr>
              <w:pStyle w:val="182"/>
              <w:rPr>
                <w:color w:val="auto"/>
              </w:rPr>
            </w:pPr>
            <w:r>
              <w:rPr>
                <w:color w:val="auto"/>
              </w:rPr>
              <w:t>LY1106，B=1400mm，水平，L=16000mm</w:t>
            </w:r>
          </w:p>
        </w:tc>
        <w:tc>
          <w:tcPr>
            <w:tcW w:w="634" w:type="pct"/>
            <w:vAlign w:val="center"/>
          </w:tcPr>
          <w:p w14:paraId="5DDC6D8B">
            <w:pPr>
              <w:pStyle w:val="182"/>
              <w:rPr>
                <w:color w:val="auto"/>
              </w:rPr>
            </w:pPr>
            <w:r>
              <w:rPr>
                <w:color w:val="auto"/>
              </w:rPr>
              <w:t>1</w:t>
            </w:r>
          </w:p>
        </w:tc>
      </w:tr>
      <w:tr w14:paraId="4215A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39034489">
            <w:pPr>
              <w:pStyle w:val="182"/>
              <w:rPr>
                <w:color w:val="auto"/>
              </w:rPr>
            </w:pPr>
            <w:r>
              <w:rPr>
                <w:color w:val="auto"/>
              </w:rPr>
              <w:t>5</w:t>
            </w:r>
          </w:p>
        </w:tc>
        <w:tc>
          <w:tcPr>
            <w:tcW w:w="1612" w:type="pct"/>
            <w:vAlign w:val="center"/>
          </w:tcPr>
          <w:p w14:paraId="734ED69D">
            <w:pPr>
              <w:pStyle w:val="182"/>
              <w:rPr>
                <w:color w:val="auto"/>
              </w:rPr>
            </w:pPr>
            <w:r>
              <w:rPr>
                <w:color w:val="auto"/>
              </w:rPr>
              <w:t>栈桥链板输送机</w:t>
            </w:r>
          </w:p>
        </w:tc>
        <w:tc>
          <w:tcPr>
            <w:tcW w:w="2440" w:type="pct"/>
            <w:vAlign w:val="center"/>
          </w:tcPr>
          <w:p w14:paraId="7ADA3FDA">
            <w:pPr>
              <w:pStyle w:val="182"/>
              <w:rPr>
                <w:color w:val="auto"/>
              </w:rPr>
            </w:pPr>
            <w:r>
              <w:rPr>
                <w:color w:val="auto"/>
              </w:rPr>
              <w:t>B=2275mm，α=30°，L=34500mm</w:t>
            </w:r>
          </w:p>
        </w:tc>
        <w:tc>
          <w:tcPr>
            <w:tcW w:w="634" w:type="pct"/>
            <w:vAlign w:val="center"/>
          </w:tcPr>
          <w:p w14:paraId="4705590F">
            <w:pPr>
              <w:pStyle w:val="182"/>
              <w:rPr>
                <w:color w:val="auto"/>
              </w:rPr>
            </w:pPr>
            <w:r>
              <w:rPr>
                <w:color w:val="auto"/>
              </w:rPr>
              <w:t>1</w:t>
            </w:r>
          </w:p>
        </w:tc>
      </w:tr>
      <w:tr w14:paraId="75A3F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89BCE46">
            <w:pPr>
              <w:pStyle w:val="182"/>
              <w:rPr>
                <w:color w:val="auto"/>
              </w:rPr>
            </w:pPr>
            <w:r>
              <w:rPr>
                <w:color w:val="auto"/>
              </w:rPr>
              <w:t>6</w:t>
            </w:r>
          </w:p>
        </w:tc>
        <w:tc>
          <w:tcPr>
            <w:tcW w:w="1612" w:type="pct"/>
            <w:vAlign w:val="center"/>
          </w:tcPr>
          <w:p w14:paraId="03F6EC16">
            <w:pPr>
              <w:pStyle w:val="182"/>
              <w:rPr>
                <w:color w:val="auto"/>
              </w:rPr>
            </w:pPr>
            <w:r>
              <w:rPr>
                <w:color w:val="auto"/>
              </w:rPr>
              <w:t>栈桥链板输送机</w:t>
            </w:r>
          </w:p>
        </w:tc>
        <w:tc>
          <w:tcPr>
            <w:tcW w:w="2440" w:type="pct"/>
            <w:vAlign w:val="center"/>
          </w:tcPr>
          <w:p w14:paraId="75ADF70C">
            <w:pPr>
              <w:pStyle w:val="182"/>
              <w:rPr>
                <w:color w:val="auto"/>
              </w:rPr>
            </w:pPr>
            <w:r>
              <w:rPr>
                <w:color w:val="auto"/>
              </w:rPr>
              <w:t>B=2275mm，α=30°，L=24264mm</w:t>
            </w:r>
          </w:p>
        </w:tc>
        <w:tc>
          <w:tcPr>
            <w:tcW w:w="634" w:type="pct"/>
            <w:vAlign w:val="center"/>
          </w:tcPr>
          <w:p w14:paraId="09E4D663">
            <w:pPr>
              <w:pStyle w:val="182"/>
              <w:rPr>
                <w:color w:val="auto"/>
              </w:rPr>
            </w:pPr>
            <w:r>
              <w:rPr>
                <w:color w:val="auto"/>
              </w:rPr>
              <w:t>1</w:t>
            </w:r>
          </w:p>
        </w:tc>
      </w:tr>
      <w:tr w14:paraId="4BE15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6D398BE">
            <w:pPr>
              <w:pStyle w:val="182"/>
              <w:rPr>
                <w:color w:val="auto"/>
              </w:rPr>
            </w:pPr>
            <w:r>
              <w:rPr>
                <w:rFonts w:hint="eastAsia"/>
                <w:color w:val="auto"/>
              </w:rPr>
              <w:t>7</w:t>
            </w:r>
          </w:p>
        </w:tc>
        <w:tc>
          <w:tcPr>
            <w:tcW w:w="1612" w:type="pct"/>
            <w:vAlign w:val="center"/>
          </w:tcPr>
          <w:p w14:paraId="1D47FE9D">
            <w:pPr>
              <w:pStyle w:val="182"/>
              <w:rPr>
                <w:color w:val="auto"/>
              </w:rPr>
            </w:pPr>
            <w:r>
              <w:rPr>
                <w:color w:val="auto"/>
              </w:rPr>
              <w:t>清洗机</w:t>
            </w:r>
          </w:p>
        </w:tc>
        <w:tc>
          <w:tcPr>
            <w:tcW w:w="2440" w:type="pct"/>
            <w:vAlign w:val="center"/>
          </w:tcPr>
          <w:p w14:paraId="5D379439">
            <w:pPr>
              <w:pStyle w:val="182"/>
              <w:rPr>
                <w:color w:val="auto"/>
              </w:rPr>
            </w:pPr>
            <w:r>
              <w:rPr>
                <w:color w:val="auto"/>
              </w:rPr>
              <w:t>Ø2000</w:t>
            </w:r>
          </w:p>
        </w:tc>
        <w:tc>
          <w:tcPr>
            <w:tcW w:w="634" w:type="pct"/>
            <w:vAlign w:val="center"/>
          </w:tcPr>
          <w:p w14:paraId="248ED6A7">
            <w:pPr>
              <w:pStyle w:val="182"/>
              <w:rPr>
                <w:color w:val="auto"/>
              </w:rPr>
            </w:pPr>
            <w:r>
              <w:rPr>
                <w:color w:val="auto"/>
              </w:rPr>
              <w:t>1</w:t>
            </w:r>
          </w:p>
        </w:tc>
      </w:tr>
      <w:tr w14:paraId="6648D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EC91652">
            <w:pPr>
              <w:pStyle w:val="182"/>
              <w:rPr>
                <w:color w:val="auto"/>
              </w:rPr>
            </w:pPr>
            <w:r>
              <w:rPr>
                <w:rFonts w:hint="eastAsia"/>
                <w:color w:val="auto"/>
              </w:rPr>
              <w:t>8</w:t>
            </w:r>
          </w:p>
        </w:tc>
        <w:tc>
          <w:tcPr>
            <w:tcW w:w="1612" w:type="pct"/>
            <w:vAlign w:val="center"/>
          </w:tcPr>
          <w:p w14:paraId="030D7C83">
            <w:pPr>
              <w:pStyle w:val="182"/>
              <w:rPr>
                <w:color w:val="auto"/>
              </w:rPr>
            </w:pPr>
            <w:r>
              <w:rPr>
                <w:color w:val="auto"/>
              </w:rPr>
              <w:t>料仓</w:t>
            </w:r>
          </w:p>
        </w:tc>
        <w:tc>
          <w:tcPr>
            <w:tcW w:w="2440" w:type="pct"/>
            <w:vAlign w:val="center"/>
          </w:tcPr>
          <w:p w14:paraId="6CDC04ED">
            <w:pPr>
              <w:pStyle w:val="182"/>
              <w:rPr>
                <w:color w:val="auto"/>
              </w:rPr>
            </w:pPr>
            <w:r>
              <w:rPr>
                <w:color w:val="auto"/>
              </w:rPr>
              <w:t>BLC1，V：30m</w:t>
            </w:r>
            <w:r>
              <w:rPr>
                <w:color w:val="auto"/>
                <w:vertAlign w:val="superscript"/>
              </w:rPr>
              <w:t>3</w:t>
            </w:r>
            <w:r>
              <w:rPr>
                <w:color w:val="auto"/>
              </w:rPr>
              <w:t>；处理量：40m</w:t>
            </w:r>
            <w:r>
              <w:rPr>
                <w:color w:val="auto"/>
                <w:vertAlign w:val="superscript"/>
              </w:rPr>
              <w:t>3</w:t>
            </w:r>
            <w:r>
              <w:rPr>
                <w:color w:val="auto"/>
              </w:rPr>
              <w:t>/h；厚度：10mm；材质：Q235</w:t>
            </w:r>
          </w:p>
        </w:tc>
        <w:tc>
          <w:tcPr>
            <w:tcW w:w="634" w:type="pct"/>
            <w:vAlign w:val="center"/>
          </w:tcPr>
          <w:p w14:paraId="53F2691D">
            <w:pPr>
              <w:pStyle w:val="182"/>
              <w:rPr>
                <w:color w:val="auto"/>
              </w:rPr>
            </w:pPr>
            <w:r>
              <w:rPr>
                <w:color w:val="auto"/>
              </w:rPr>
              <w:t>1</w:t>
            </w:r>
          </w:p>
        </w:tc>
      </w:tr>
      <w:tr w14:paraId="2024C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E368C26">
            <w:pPr>
              <w:pStyle w:val="182"/>
              <w:rPr>
                <w:color w:val="auto"/>
              </w:rPr>
            </w:pPr>
            <w:r>
              <w:rPr>
                <w:rFonts w:hint="eastAsia"/>
                <w:color w:val="auto"/>
              </w:rPr>
              <w:t>9</w:t>
            </w:r>
          </w:p>
        </w:tc>
        <w:tc>
          <w:tcPr>
            <w:tcW w:w="1612" w:type="pct"/>
            <w:vAlign w:val="center"/>
          </w:tcPr>
          <w:p w14:paraId="05F14F22">
            <w:pPr>
              <w:pStyle w:val="182"/>
              <w:rPr>
                <w:color w:val="auto"/>
              </w:rPr>
            </w:pPr>
            <w:r>
              <w:rPr>
                <w:color w:val="auto"/>
              </w:rPr>
              <w:t>拨料辊</w:t>
            </w:r>
          </w:p>
        </w:tc>
        <w:tc>
          <w:tcPr>
            <w:tcW w:w="2440" w:type="pct"/>
            <w:vAlign w:val="center"/>
          </w:tcPr>
          <w:p w14:paraId="3D81F0E1">
            <w:pPr>
              <w:pStyle w:val="182"/>
              <w:rPr>
                <w:color w:val="auto"/>
              </w:rPr>
            </w:pPr>
            <w:r>
              <w:rPr>
                <w:color w:val="auto"/>
              </w:rPr>
              <w:t>Ø114，材质：Q235；传动链轮：45#；链条：16A</w:t>
            </w:r>
          </w:p>
        </w:tc>
        <w:tc>
          <w:tcPr>
            <w:tcW w:w="634" w:type="pct"/>
            <w:vAlign w:val="center"/>
          </w:tcPr>
          <w:p w14:paraId="366F9F52">
            <w:pPr>
              <w:pStyle w:val="182"/>
              <w:rPr>
                <w:color w:val="auto"/>
              </w:rPr>
            </w:pPr>
            <w:r>
              <w:rPr>
                <w:color w:val="auto"/>
              </w:rPr>
              <w:t>8</w:t>
            </w:r>
          </w:p>
        </w:tc>
      </w:tr>
      <w:tr w14:paraId="1BB64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3CA88234">
            <w:pPr>
              <w:pStyle w:val="182"/>
              <w:rPr>
                <w:color w:val="auto"/>
              </w:rPr>
            </w:pPr>
            <w:r>
              <w:rPr>
                <w:color w:val="auto"/>
              </w:rPr>
              <w:t>1</w:t>
            </w:r>
            <w:r>
              <w:rPr>
                <w:rFonts w:hint="eastAsia"/>
                <w:color w:val="auto"/>
              </w:rPr>
              <w:t>0</w:t>
            </w:r>
          </w:p>
        </w:tc>
        <w:tc>
          <w:tcPr>
            <w:tcW w:w="1612" w:type="pct"/>
            <w:vAlign w:val="center"/>
          </w:tcPr>
          <w:p w14:paraId="07FFDB84">
            <w:pPr>
              <w:pStyle w:val="182"/>
              <w:rPr>
                <w:color w:val="auto"/>
              </w:rPr>
            </w:pPr>
            <w:r>
              <w:rPr>
                <w:color w:val="auto"/>
              </w:rPr>
              <w:t>销鼓计量器</w:t>
            </w:r>
          </w:p>
        </w:tc>
        <w:tc>
          <w:tcPr>
            <w:tcW w:w="2440" w:type="pct"/>
            <w:vAlign w:val="center"/>
          </w:tcPr>
          <w:p w14:paraId="5C38F59F">
            <w:pPr>
              <w:pStyle w:val="182"/>
              <w:rPr>
                <w:color w:val="auto"/>
              </w:rPr>
            </w:pPr>
            <w:r>
              <w:rPr>
                <w:color w:val="auto"/>
              </w:rPr>
              <w:t>14"</w:t>
            </w:r>
          </w:p>
        </w:tc>
        <w:tc>
          <w:tcPr>
            <w:tcW w:w="634" w:type="pct"/>
            <w:vAlign w:val="center"/>
          </w:tcPr>
          <w:p w14:paraId="15285056">
            <w:pPr>
              <w:pStyle w:val="182"/>
              <w:rPr>
                <w:color w:val="auto"/>
              </w:rPr>
            </w:pPr>
            <w:r>
              <w:rPr>
                <w:color w:val="auto"/>
              </w:rPr>
              <w:t>1</w:t>
            </w:r>
          </w:p>
        </w:tc>
      </w:tr>
      <w:tr w14:paraId="184E3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6B559A0B">
            <w:pPr>
              <w:pStyle w:val="182"/>
              <w:rPr>
                <w:color w:val="auto"/>
              </w:rPr>
            </w:pPr>
            <w:r>
              <w:rPr>
                <w:color w:val="auto"/>
              </w:rPr>
              <w:t>1</w:t>
            </w:r>
            <w:r>
              <w:rPr>
                <w:rFonts w:hint="eastAsia"/>
                <w:color w:val="auto"/>
              </w:rPr>
              <w:t>1</w:t>
            </w:r>
          </w:p>
        </w:tc>
        <w:tc>
          <w:tcPr>
            <w:tcW w:w="1612" w:type="pct"/>
            <w:vAlign w:val="center"/>
          </w:tcPr>
          <w:p w14:paraId="1760AB46">
            <w:pPr>
              <w:pStyle w:val="182"/>
              <w:rPr>
                <w:color w:val="auto"/>
              </w:rPr>
            </w:pPr>
            <w:r>
              <w:rPr>
                <w:rFonts w:hint="eastAsia"/>
                <w:color w:val="auto"/>
              </w:rPr>
              <w:t>立式蒸锅</w:t>
            </w:r>
          </w:p>
        </w:tc>
        <w:tc>
          <w:tcPr>
            <w:tcW w:w="2440" w:type="pct"/>
            <w:vAlign w:val="center"/>
          </w:tcPr>
          <w:p w14:paraId="162BF1E5">
            <w:pPr>
              <w:pStyle w:val="182"/>
              <w:rPr>
                <w:b w:val="0"/>
                <w:bCs w:val="0"/>
                <w:color w:val="auto"/>
                <w:u w:val="none"/>
              </w:rPr>
            </w:pPr>
            <w:r>
              <w:rPr>
                <w:b w:val="0"/>
                <w:bCs w:val="0"/>
                <w:color w:val="auto"/>
                <w:u w:val="none"/>
              </w:rPr>
              <w:t>ZJG1</w:t>
            </w:r>
            <w:r>
              <w:rPr>
                <w:rFonts w:hint="eastAsia"/>
                <w:b w:val="0"/>
                <w:bCs w:val="0"/>
                <w:color w:val="auto"/>
                <w:u w:val="none"/>
              </w:rPr>
              <w:t>，100m</w:t>
            </w:r>
            <w:r>
              <w:rPr>
                <w:rFonts w:hint="eastAsia"/>
                <w:b w:val="0"/>
                <w:bCs w:val="0"/>
                <w:color w:val="auto"/>
                <w:u w:val="none"/>
                <w:vertAlign w:val="superscript"/>
              </w:rPr>
              <w:t>3</w:t>
            </w:r>
            <w:r>
              <w:rPr>
                <w:rFonts w:hint="eastAsia"/>
                <w:b w:val="0"/>
                <w:bCs w:val="0"/>
                <w:color w:val="auto"/>
                <w:u w:val="none"/>
              </w:rPr>
              <w:t>/台，用碱浓度53±2g/l，液比1：3.0-3.5</w:t>
            </w:r>
          </w:p>
        </w:tc>
        <w:tc>
          <w:tcPr>
            <w:tcW w:w="634" w:type="pct"/>
            <w:vAlign w:val="center"/>
          </w:tcPr>
          <w:p w14:paraId="05634E5B">
            <w:pPr>
              <w:pStyle w:val="182"/>
              <w:rPr>
                <w:b w:val="0"/>
                <w:bCs w:val="0"/>
                <w:color w:val="auto"/>
                <w:u w:val="none"/>
              </w:rPr>
            </w:pPr>
            <w:r>
              <w:rPr>
                <w:b w:val="0"/>
                <w:bCs w:val="0"/>
                <w:color w:val="auto"/>
                <w:u w:val="none"/>
              </w:rPr>
              <w:t>4</w:t>
            </w:r>
          </w:p>
        </w:tc>
      </w:tr>
      <w:tr w14:paraId="636F1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629298F9">
            <w:pPr>
              <w:pStyle w:val="182"/>
              <w:rPr>
                <w:color w:val="auto"/>
              </w:rPr>
            </w:pPr>
            <w:r>
              <w:rPr>
                <w:color w:val="auto"/>
              </w:rPr>
              <w:t>1</w:t>
            </w:r>
            <w:r>
              <w:rPr>
                <w:rFonts w:hint="eastAsia"/>
                <w:color w:val="auto"/>
              </w:rPr>
              <w:t>2</w:t>
            </w:r>
          </w:p>
        </w:tc>
        <w:tc>
          <w:tcPr>
            <w:tcW w:w="1612" w:type="pct"/>
            <w:vAlign w:val="center"/>
          </w:tcPr>
          <w:p w14:paraId="2D6D1A93">
            <w:pPr>
              <w:pStyle w:val="182"/>
              <w:rPr>
                <w:color w:val="auto"/>
              </w:rPr>
            </w:pPr>
            <w:r>
              <w:rPr>
                <w:color w:val="auto"/>
              </w:rPr>
              <w:t>碱液加热器</w:t>
            </w:r>
          </w:p>
        </w:tc>
        <w:tc>
          <w:tcPr>
            <w:tcW w:w="2440" w:type="pct"/>
            <w:vAlign w:val="center"/>
          </w:tcPr>
          <w:p w14:paraId="26566125">
            <w:pPr>
              <w:pStyle w:val="182"/>
              <w:rPr>
                <w:color w:val="auto"/>
              </w:rPr>
            </w:pPr>
            <w:r>
              <w:rPr>
                <w:color w:val="auto"/>
              </w:rPr>
              <w:t>ZJG1-2，加热面积；40m</w:t>
            </w:r>
            <w:r>
              <w:rPr>
                <w:color w:val="auto"/>
                <w:vertAlign w:val="superscript"/>
              </w:rPr>
              <w:t>2</w:t>
            </w:r>
          </w:p>
        </w:tc>
        <w:tc>
          <w:tcPr>
            <w:tcW w:w="634" w:type="pct"/>
            <w:vAlign w:val="center"/>
          </w:tcPr>
          <w:p w14:paraId="2740E134">
            <w:pPr>
              <w:pStyle w:val="182"/>
              <w:rPr>
                <w:color w:val="auto"/>
              </w:rPr>
            </w:pPr>
            <w:r>
              <w:rPr>
                <w:color w:val="auto"/>
              </w:rPr>
              <w:t>4</w:t>
            </w:r>
          </w:p>
        </w:tc>
      </w:tr>
      <w:tr w14:paraId="033FA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35AB865">
            <w:pPr>
              <w:pStyle w:val="182"/>
              <w:rPr>
                <w:color w:val="auto"/>
              </w:rPr>
            </w:pPr>
            <w:r>
              <w:rPr>
                <w:color w:val="auto"/>
              </w:rPr>
              <w:t>1</w:t>
            </w:r>
            <w:r>
              <w:rPr>
                <w:rFonts w:hint="eastAsia"/>
                <w:color w:val="auto"/>
              </w:rPr>
              <w:t>3</w:t>
            </w:r>
          </w:p>
        </w:tc>
        <w:tc>
          <w:tcPr>
            <w:tcW w:w="1612" w:type="pct"/>
            <w:vAlign w:val="center"/>
          </w:tcPr>
          <w:p w14:paraId="271E6239">
            <w:pPr>
              <w:pStyle w:val="182"/>
              <w:rPr>
                <w:color w:val="auto"/>
              </w:rPr>
            </w:pPr>
            <w:r>
              <w:rPr>
                <w:color w:val="auto"/>
              </w:rPr>
              <w:t>碱液循环泵</w:t>
            </w:r>
          </w:p>
        </w:tc>
        <w:tc>
          <w:tcPr>
            <w:tcW w:w="2440" w:type="pct"/>
            <w:vAlign w:val="center"/>
          </w:tcPr>
          <w:p w14:paraId="6CB6318A">
            <w:pPr>
              <w:pStyle w:val="182"/>
              <w:rPr>
                <w:color w:val="auto"/>
              </w:rPr>
            </w:pPr>
            <w:r>
              <w:rPr>
                <w:color w:val="auto"/>
              </w:rPr>
              <w:t>ZBY21，Ø200</w:t>
            </w:r>
          </w:p>
        </w:tc>
        <w:tc>
          <w:tcPr>
            <w:tcW w:w="634" w:type="pct"/>
            <w:vAlign w:val="center"/>
          </w:tcPr>
          <w:p w14:paraId="427E4752">
            <w:pPr>
              <w:pStyle w:val="182"/>
              <w:rPr>
                <w:color w:val="auto"/>
              </w:rPr>
            </w:pPr>
            <w:r>
              <w:rPr>
                <w:color w:val="auto"/>
              </w:rPr>
              <w:t>4</w:t>
            </w:r>
          </w:p>
        </w:tc>
      </w:tr>
      <w:tr w14:paraId="661AD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CBDC1E3">
            <w:pPr>
              <w:pStyle w:val="182"/>
              <w:rPr>
                <w:color w:val="auto"/>
              </w:rPr>
            </w:pPr>
            <w:r>
              <w:rPr>
                <w:color w:val="auto"/>
              </w:rPr>
              <w:t>1</w:t>
            </w:r>
            <w:r>
              <w:rPr>
                <w:rFonts w:hint="eastAsia"/>
                <w:color w:val="auto"/>
              </w:rPr>
              <w:t>4</w:t>
            </w:r>
          </w:p>
        </w:tc>
        <w:tc>
          <w:tcPr>
            <w:tcW w:w="1612" w:type="pct"/>
            <w:vAlign w:val="center"/>
          </w:tcPr>
          <w:p w14:paraId="33D0307C">
            <w:pPr>
              <w:pStyle w:val="182"/>
              <w:rPr>
                <w:color w:val="auto"/>
              </w:rPr>
            </w:pPr>
            <w:r>
              <w:rPr>
                <w:color w:val="auto"/>
              </w:rPr>
              <w:t>碱液计量槽</w:t>
            </w:r>
          </w:p>
        </w:tc>
        <w:tc>
          <w:tcPr>
            <w:tcW w:w="2440" w:type="pct"/>
            <w:vAlign w:val="center"/>
          </w:tcPr>
          <w:p w14:paraId="263C31B5">
            <w:pPr>
              <w:pStyle w:val="182"/>
              <w:rPr>
                <w:color w:val="auto"/>
              </w:rPr>
            </w:pPr>
            <w:r>
              <w:rPr>
                <w:color w:val="auto"/>
              </w:rPr>
              <w:t>容积20m</w:t>
            </w:r>
            <w:r>
              <w:rPr>
                <w:color w:val="auto"/>
                <w:vertAlign w:val="superscript"/>
              </w:rPr>
              <w:t>3</w:t>
            </w:r>
            <w:r>
              <w:rPr>
                <w:color w:val="auto"/>
              </w:rPr>
              <w:t>；φ2800x3500mm，材质：碳钢</w:t>
            </w:r>
          </w:p>
        </w:tc>
        <w:tc>
          <w:tcPr>
            <w:tcW w:w="634" w:type="pct"/>
            <w:vAlign w:val="center"/>
          </w:tcPr>
          <w:p w14:paraId="37B57C8D">
            <w:pPr>
              <w:pStyle w:val="182"/>
              <w:rPr>
                <w:color w:val="auto"/>
              </w:rPr>
            </w:pPr>
            <w:r>
              <w:rPr>
                <w:color w:val="auto"/>
              </w:rPr>
              <w:t>1</w:t>
            </w:r>
          </w:p>
        </w:tc>
      </w:tr>
      <w:tr w14:paraId="68AEC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01B21D5">
            <w:pPr>
              <w:pStyle w:val="182"/>
              <w:rPr>
                <w:color w:val="auto"/>
              </w:rPr>
            </w:pPr>
            <w:r>
              <w:rPr>
                <w:rFonts w:hint="eastAsia"/>
                <w:color w:val="auto"/>
              </w:rPr>
              <w:t>15</w:t>
            </w:r>
          </w:p>
        </w:tc>
        <w:tc>
          <w:tcPr>
            <w:tcW w:w="1612" w:type="pct"/>
            <w:vAlign w:val="center"/>
          </w:tcPr>
          <w:p w14:paraId="6F7A6397">
            <w:pPr>
              <w:pStyle w:val="182"/>
              <w:rPr>
                <w:color w:val="auto"/>
              </w:rPr>
            </w:pPr>
            <w:r>
              <w:rPr>
                <w:color w:val="auto"/>
              </w:rPr>
              <w:t>卸料阀</w:t>
            </w:r>
          </w:p>
        </w:tc>
        <w:tc>
          <w:tcPr>
            <w:tcW w:w="2440" w:type="pct"/>
            <w:vAlign w:val="center"/>
          </w:tcPr>
          <w:p w14:paraId="50F6BBFD">
            <w:pPr>
              <w:pStyle w:val="182"/>
              <w:rPr>
                <w:color w:val="auto"/>
              </w:rPr>
            </w:pPr>
            <w:r>
              <w:rPr>
                <w:color w:val="auto"/>
              </w:rPr>
              <w:t>Q647Y-16P，Ø200</w:t>
            </w:r>
          </w:p>
        </w:tc>
        <w:tc>
          <w:tcPr>
            <w:tcW w:w="634" w:type="pct"/>
            <w:vAlign w:val="center"/>
          </w:tcPr>
          <w:p w14:paraId="60948DF5">
            <w:pPr>
              <w:pStyle w:val="182"/>
              <w:rPr>
                <w:color w:val="auto"/>
              </w:rPr>
            </w:pPr>
            <w:r>
              <w:rPr>
                <w:color w:val="auto"/>
              </w:rPr>
              <w:t>1</w:t>
            </w:r>
          </w:p>
        </w:tc>
      </w:tr>
      <w:tr w14:paraId="22FFD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33941145">
            <w:pPr>
              <w:pStyle w:val="182"/>
              <w:rPr>
                <w:color w:val="auto"/>
              </w:rPr>
            </w:pPr>
            <w:r>
              <w:rPr>
                <w:rFonts w:hint="eastAsia"/>
                <w:color w:val="auto"/>
              </w:rPr>
              <w:t>16</w:t>
            </w:r>
          </w:p>
        </w:tc>
        <w:tc>
          <w:tcPr>
            <w:tcW w:w="1612" w:type="pct"/>
            <w:vAlign w:val="center"/>
          </w:tcPr>
          <w:p w14:paraId="0D1CA50D">
            <w:pPr>
              <w:pStyle w:val="182"/>
              <w:rPr>
                <w:color w:val="auto"/>
              </w:rPr>
            </w:pPr>
            <w:r>
              <w:rPr>
                <w:color w:val="auto"/>
              </w:rPr>
              <w:t>喷放锅</w:t>
            </w:r>
          </w:p>
        </w:tc>
        <w:tc>
          <w:tcPr>
            <w:tcW w:w="2440" w:type="pct"/>
            <w:vAlign w:val="center"/>
          </w:tcPr>
          <w:p w14:paraId="479F13AF">
            <w:pPr>
              <w:pStyle w:val="182"/>
              <w:rPr>
                <w:color w:val="auto"/>
              </w:rPr>
            </w:pPr>
            <w:r>
              <w:rPr>
                <w:color w:val="auto"/>
              </w:rPr>
              <w:t>ZJP，150m</w:t>
            </w:r>
            <w:r>
              <w:rPr>
                <w:color w:val="auto"/>
                <w:vertAlign w:val="superscript"/>
              </w:rPr>
              <w:t>3</w:t>
            </w:r>
          </w:p>
        </w:tc>
        <w:tc>
          <w:tcPr>
            <w:tcW w:w="634" w:type="pct"/>
            <w:vAlign w:val="center"/>
          </w:tcPr>
          <w:p w14:paraId="7E3B9B05">
            <w:pPr>
              <w:pStyle w:val="182"/>
              <w:rPr>
                <w:color w:val="auto"/>
              </w:rPr>
            </w:pPr>
            <w:r>
              <w:rPr>
                <w:color w:val="auto"/>
              </w:rPr>
              <w:t>1</w:t>
            </w:r>
          </w:p>
        </w:tc>
      </w:tr>
      <w:tr w14:paraId="09062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60DE5256">
            <w:pPr>
              <w:pStyle w:val="182"/>
              <w:rPr>
                <w:color w:val="auto"/>
              </w:rPr>
            </w:pPr>
            <w:r>
              <w:rPr>
                <w:rFonts w:hint="eastAsia"/>
                <w:color w:val="auto"/>
              </w:rPr>
              <w:t>17</w:t>
            </w:r>
          </w:p>
        </w:tc>
        <w:tc>
          <w:tcPr>
            <w:tcW w:w="1612" w:type="pct"/>
            <w:vAlign w:val="center"/>
          </w:tcPr>
          <w:p w14:paraId="18A9B7D5">
            <w:pPr>
              <w:pStyle w:val="182"/>
              <w:rPr>
                <w:color w:val="auto"/>
              </w:rPr>
            </w:pPr>
            <w:r>
              <w:rPr>
                <w:color w:val="auto"/>
              </w:rPr>
              <w:t>药液泵</w:t>
            </w:r>
          </w:p>
        </w:tc>
        <w:tc>
          <w:tcPr>
            <w:tcW w:w="2440" w:type="pct"/>
            <w:vAlign w:val="center"/>
          </w:tcPr>
          <w:p w14:paraId="465ED4D4">
            <w:pPr>
              <w:pStyle w:val="182"/>
              <w:rPr>
                <w:color w:val="auto"/>
              </w:rPr>
            </w:pPr>
            <w:r>
              <w:rPr>
                <w:color w:val="auto"/>
              </w:rPr>
              <w:t>IJ100-80-160D，Q=90m</w:t>
            </w:r>
            <w:r>
              <w:rPr>
                <w:color w:val="auto"/>
                <w:vertAlign w:val="superscript"/>
              </w:rPr>
              <w:t>3</w:t>
            </w:r>
            <w:r>
              <w:rPr>
                <w:color w:val="auto"/>
              </w:rPr>
              <w:t>/h，H=32m</w:t>
            </w:r>
          </w:p>
        </w:tc>
        <w:tc>
          <w:tcPr>
            <w:tcW w:w="634" w:type="pct"/>
            <w:vAlign w:val="center"/>
          </w:tcPr>
          <w:p w14:paraId="65D310D4">
            <w:pPr>
              <w:pStyle w:val="182"/>
              <w:rPr>
                <w:color w:val="auto"/>
              </w:rPr>
            </w:pPr>
            <w:r>
              <w:rPr>
                <w:color w:val="auto"/>
              </w:rPr>
              <w:t>2</w:t>
            </w:r>
          </w:p>
        </w:tc>
      </w:tr>
      <w:tr w14:paraId="5EA97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6682414D">
            <w:pPr>
              <w:pStyle w:val="182"/>
              <w:tabs>
                <w:tab w:val="center" w:pos="361"/>
                <w:tab w:val="left" w:pos="484"/>
              </w:tabs>
              <w:rPr>
                <w:color w:val="auto"/>
              </w:rPr>
            </w:pPr>
            <w:r>
              <w:rPr>
                <w:rFonts w:hint="eastAsia"/>
                <w:color w:val="auto"/>
              </w:rPr>
              <w:t>18</w:t>
            </w:r>
          </w:p>
        </w:tc>
        <w:tc>
          <w:tcPr>
            <w:tcW w:w="1612" w:type="pct"/>
            <w:vAlign w:val="center"/>
          </w:tcPr>
          <w:p w14:paraId="13518ED6">
            <w:pPr>
              <w:pStyle w:val="182"/>
              <w:rPr>
                <w:color w:val="auto"/>
              </w:rPr>
            </w:pPr>
            <w:r>
              <w:rPr>
                <w:color w:val="auto"/>
              </w:rPr>
              <w:t>碱液储存槽</w:t>
            </w:r>
          </w:p>
        </w:tc>
        <w:tc>
          <w:tcPr>
            <w:tcW w:w="2440" w:type="pct"/>
            <w:vAlign w:val="center"/>
          </w:tcPr>
          <w:p w14:paraId="39923B4B">
            <w:pPr>
              <w:pStyle w:val="182"/>
              <w:rPr>
                <w:color w:val="auto"/>
              </w:rPr>
            </w:pPr>
            <w:r>
              <w:rPr>
                <w:color w:val="auto"/>
              </w:rPr>
              <w:t>容积：200m</w:t>
            </w:r>
            <w:r>
              <w:rPr>
                <w:color w:val="auto"/>
                <w:vertAlign w:val="superscript"/>
              </w:rPr>
              <w:t>3</w:t>
            </w:r>
            <w:r>
              <w:rPr>
                <w:color w:val="auto"/>
              </w:rPr>
              <w:t>，φ6000x7500mm，材质：碳钢</w:t>
            </w:r>
          </w:p>
        </w:tc>
        <w:tc>
          <w:tcPr>
            <w:tcW w:w="634" w:type="pct"/>
            <w:vAlign w:val="center"/>
          </w:tcPr>
          <w:p w14:paraId="0A229637">
            <w:pPr>
              <w:pStyle w:val="182"/>
              <w:rPr>
                <w:color w:val="auto"/>
              </w:rPr>
            </w:pPr>
            <w:r>
              <w:rPr>
                <w:color w:val="auto"/>
              </w:rPr>
              <w:t>1</w:t>
            </w:r>
          </w:p>
        </w:tc>
      </w:tr>
      <w:tr w14:paraId="63796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50C4852E">
            <w:pPr>
              <w:pStyle w:val="182"/>
              <w:rPr>
                <w:color w:val="auto"/>
              </w:rPr>
            </w:pPr>
            <w:r>
              <w:rPr>
                <w:rFonts w:hint="eastAsia"/>
                <w:color w:val="auto"/>
              </w:rPr>
              <w:t>19</w:t>
            </w:r>
          </w:p>
        </w:tc>
        <w:tc>
          <w:tcPr>
            <w:tcW w:w="1612" w:type="pct"/>
            <w:vAlign w:val="center"/>
          </w:tcPr>
          <w:p w14:paraId="36362291">
            <w:pPr>
              <w:pStyle w:val="182"/>
              <w:rPr>
                <w:color w:val="auto"/>
              </w:rPr>
            </w:pPr>
            <w:r>
              <w:rPr>
                <w:color w:val="auto"/>
              </w:rPr>
              <w:t>碱液泵</w:t>
            </w:r>
          </w:p>
        </w:tc>
        <w:tc>
          <w:tcPr>
            <w:tcW w:w="2440" w:type="pct"/>
            <w:vAlign w:val="center"/>
          </w:tcPr>
          <w:p w14:paraId="41B3314F">
            <w:pPr>
              <w:pStyle w:val="182"/>
              <w:rPr>
                <w:color w:val="auto"/>
              </w:rPr>
            </w:pPr>
            <w:r>
              <w:rPr>
                <w:color w:val="auto"/>
              </w:rPr>
              <w:t>IJ100-80-125D，Q=100m</w:t>
            </w:r>
            <w:r>
              <w:rPr>
                <w:color w:val="auto"/>
                <w:vertAlign w:val="superscript"/>
              </w:rPr>
              <w:t>3</w:t>
            </w:r>
            <w:r>
              <w:rPr>
                <w:color w:val="auto"/>
              </w:rPr>
              <w:t>/h，H=20m</w:t>
            </w:r>
          </w:p>
        </w:tc>
        <w:tc>
          <w:tcPr>
            <w:tcW w:w="634" w:type="pct"/>
            <w:vAlign w:val="center"/>
          </w:tcPr>
          <w:p w14:paraId="24D8BE66">
            <w:pPr>
              <w:pStyle w:val="182"/>
              <w:rPr>
                <w:color w:val="auto"/>
              </w:rPr>
            </w:pPr>
            <w:r>
              <w:rPr>
                <w:color w:val="auto"/>
              </w:rPr>
              <w:t>2</w:t>
            </w:r>
          </w:p>
        </w:tc>
      </w:tr>
      <w:tr w14:paraId="6C1D5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08FDEC4A">
            <w:pPr>
              <w:pStyle w:val="182"/>
              <w:rPr>
                <w:color w:val="auto"/>
              </w:rPr>
            </w:pPr>
            <w:r>
              <w:rPr>
                <w:rFonts w:hint="eastAsia"/>
                <w:color w:val="auto"/>
              </w:rPr>
              <w:t>20</w:t>
            </w:r>
          </w:p>
        </w:tc>
        <w:tc>
          <w:tcPr>
            <w:tcW w:w="1612" w:type="pct"/>
            <w:vAlign w:val="center"/>
          </w:tcPr>
          <w:p w14:paraId="604AF6B2">
            <w:pPr>
              <w:pStyle w:val="182"/>
              <w:rPr>
                <w:color w:val="auto"/>
              </w:rPr>
            </w:pPr>
            <w:r>
              <w:rPr>
                <w:color w:val="auto"/>
              </w:rPr>
              <w:t>黑液计量槽</w:t>
            </w:r>
          </w:p>
        </w:tc>
        <w:tc>
          <w:tcPr>
            <w:tcW w:w="2440" w:type="pct"/>
            <w:vAlign w:val="center"/>
          </w:tcPr>
          <w:p w14:paraId="0FBA14E6">
            <w:pPr>
              <w:pStyle w:val="182"/>
              <w:rPr>
                <w:color w:val="auto"/>
              </w:rPr>
            </w:pPr>
            <w:r>
              <w:rPr>
                <w:color w:val="auto"/>
              </w:rPr>
              <w:t>容积：75m</w:t>
            </w:r>
            <w:r>
              <w:rPr>
                <w:color w:val="auto"/>
                <w:vertAlign w:val="superscript"/>
              </w:rPr>
              <w:t>3</w:t>
            </w:r>
            <w:r>
              <w:rPr>
                <w:color w:val="auto"/>
              </w:rPr>
              <w:t>，φ4000x6000mm，材质：碳钢</w:t>
            </w:r>
          </w:p>
        </w:tc>
        <w:tc>
          <w:tcPr>
            <w:tcW w:w="634" w:type="pct"/>
            <w:vAlign w:val="center"/>
          </w:tcPr>
          <w:p w14:paraId="0A114E03">
            <w:pPr>
              <w:pStyle w:val="182"/>
              <w:rPr>
                <w:color w:val="auto"/>
              </w:rPr>
            </w:pPr>
            <w:r>
              <w:rPr>
                <w:color w:val="auto"/>
              </w:rPr>
              <w:t>1</w:t>
            </w:r>
          </w:p>
        </w:tc>
      </w:tr>
      <w:tr w14:paraId="3FD27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3A06A96E">
            <w:pPr>
              <w:pStyle w:val="182"/>
              <w:rPr>
                <w:color w:val="auto"/>
              </w:rPr>
            </w:pPr>
            <w:r>
              <w:rPr>
                <w:rFonts w:hint="eastAsia"/>
                <w:color w:val="auto"/>
              </w:rPr>
              <w:t>21</w:t>
            </w:r>
          </w:p>
        </w:tc>
        <w:tc>
          <w:tcPr>
            <w:tcW w:w="1612" w:type="pct"/>
            <w:vAlign w:val="center"/>
          </w:tcPr>
          <w:p w14:paraId="3486FFBB">
            <w:pPr>
              <w:pStyle w:val="182"/>
              <w:rPr>
                <w:color w:val="auto"/>
              </w:rPr>
            </w:pPr>
            <w:r>
              <w:rPr>
                <w:color w:val="auto"/>
              </w:rPr>
              <w:t>高压黑液泵</w:t>
            </w:r>
          </w:p>
        </w:tc>
        <w:tc>
          <w:tcPr>
            <w:tcW w:w="2440" w:type="pct"/>
            <w:vAlign w:val="center"/>
          </w:tcPr>
          <w:p w14:paraId="2CA13CB7">
            <w:pPr>
              <w:pStyle w:val="182"/>
              <w:rPr>
                <w:color w:val="auto"/>
              </w:rPr>
            </w:pPr>
            <w:r>
              <w:rPr>
                <w:color w:val="auto"/>
              </w:rPr>
              <w:t>IJ100-65-315，Q=120m</w:t>
            </w:r>
            <w:r>
              <w:rPr>
                <w:color w:val="auto"/>
                <w:vertAlign w:val="superscript"/>
              </w:rPr>
              <w:t>3</w:t>
            </w:r>
            <w:r>
              <w:rPr>
                <w:color w:val="auto"/>
              </w:rPr>
              <w:t>/h，H=105m</w:t>
            </w:r>
          </w:p>
        </w:tc>
        <w:tc>
          <w:tcPr>
            <w:tcW w:w="634" w:type="pct"/>
            <w:vAlign w:val="center"/>
          </w:tcPr>
          <w:p w14:paraId="7009842E">
            <w:pPr>
              <w:pStyle w:val="182"/>
              <w:rPr>
                <w:color w:val="auto"/>
              </w:rPr>
            </w:pPr>
            <w:r>
              <w:rPr>
                <w:color w:val="auto"/>
              </w:rPr>
              <w:t>2</w:t>
            </w:r>
          </w:p>
        </w:tc>
      </w:tr>
      <w:tr w14:paraId="36143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517ED893">
            <w:pPr>
              <w:pStyle w:val="182"/>
              <w:rPr>
                <w:color w:val="auto"/>
              </w:rPr>
            </w:pPr>
            <w:r>
              <w:rPr>
                <w:rFonts w:hint="eastAsia"/>
                <w:color w:val="auto"/>
              </w:rPr>
              <w:t>22</w:t>
            </w:r>
          </w:p>
        </w:tc>
        <w:tc>
          <w:tcPr>
            <w:tcW w:w="1612" w:type="pct"/>
            <w:vAlign w:val="center"/>
          </w:tcPr>
          <w:p w14:paraId="6E4D62D6">
            <w:pPr>
              <w:pStyle w:val="182"/>
              <w:rPr>
                <w:color w:val="auto"/>
              </w:rPr>
            </w:pPr>
            <w:r>
              <w:rPr>
                <w:color w:val="auto"/>
              </w:rPr>
              <w:t>黑液泵</w:t>
            </w:r>
          </w:p>
        </w:tc>
        <w:tc>
          <w:tcPr>
            <w:tcW w:w="2440" w:type="pct"/>
            <w:vAlign w:val="center"/>
          </w:tcPr>
          <w:p w14:paraId="078EE8F9">
            <w:pPr>
              <w:pStyle w:val="182"/>
              <w:rPr>
                <w:color w:val="auto"/>
              </w:rPr>
            </w:pPr>
            <w:r>
              <w:rPr>
                <w:color w:val="auto"/>
              </w:rPr>
              <w:t>IJ100-80-125D，Q=100m</w:t>
            </w:r>
            <w:r>
              <w:rPr>
                <w:color w:val="auto"/>
                <w:vertAlign w:val="superscript"/>
              </w:rPr>
              <w:t>3</w:t>
            </w:r>
            <w:r>
              <w:rPr>
                <w:color w:val="auto"/>
              </w:rPr>
              <w:t>/h，H=20m</w:t>
            </w:r>
          </w:p>
        </w:tc>
        <w:tc>
          <w:tcPr>
            <w:tcW w:w="634" w:type="pct"/>
            <w:vAlign w:val="center"/>
          </w:tcPr>
          <w:p w14:paraId="7CAB9B67">
            <w:pPr>
              <w:pStyle w:val="182"/>
              <w:rPr>
                <w:color w:val="auto"/>
              </w:rPr>
            </w:pPr>
            <w:r>
              <w:rPr>
                <w:color w:val="auto"/>
              </w:rPr>
              <w:t>1</w:t>
            </w:r>
          </w:p>
        </w:tc>
      </w:tr>
      <w:tr w14:paraId="69875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6655139F">
            <w:pPr>
              <w:pStyle w:val="182"/>
              <w:rPr>
                <w:color w:val="auto"/>
              </w:rPr>
            </w:pPr>
            <w:r>
              <w:rPr>
                <w:rFonts w:hint="eastAsia"/>
                <w:color w:val="auto"/>
              </w:rPr>
              <w:t>23</w:t>
            </w:r>
          </w:p>
        </w:tc>
        <w:tc>
          <w:tcPr>
            <w:tcW w:w="1612" w:type="pct"/>
            <w:vAlign w:val="center"/>
          </w:tcPr>
          <w:p w14:paraId="6BE9921B">
            <w:pPr>
              <w:pStyle w:val="182"/>
              <w:rPr>
                <w:color w:val="auto"/>
              </w:rPr>
            </w:pPr>
            <w:r>
              <w:rPr>
                <w:color w:val="auto"/>
              </w:rPr>
              <w:t>稀黑液换热器</w:t>
            </w:r>
          </w:p>
        </w:tc>
        <w:tc>
          <w:tcPr>
            <w:tcW w:w="2440" w:type="pct"/>
            <w:vAlign w:val="center"/>
          </w:tcPr>
          <w:p w14:paraId="559EFCC5">
            <w:pPr>
              <w:pStyle w:val="182"/>
              <w:rPr>
                <w:color w:val="auto"/>
              </w:rPr>
            </w:pPr>
            <w:r>
              <w:rPr>
                <w:color w:val="auto"/>
              </w:rPr>
              <w:t>换热面积280m²；材质：碳钢</w:t>
            </w:r>
          </w:p>
        </w:tc>
        <w:tc>
          <w:tcPr>
            <w:tcW w:w="634" w:type="pct"/>
            <w:vAlign w:val="center"/>
          </w:tcPr>
          <w:p w14:paraId="370B281E">
            <w:pPr>
              <w:pStyle w:val="182"/>
              <w:rPr>
                <w:color w:val="auto"/>
              </w:rPr>
            </w:pPr>
            <w:r>
              <w:rPr>
                <w:color w:val="auto"/>
              </w:rPr>
              <w:t>1</w:t>
            </w:r>
          </w:p>
        </w:tc>
      </w:tr>
      <w:tr w14:paraId="04E68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811BE66">
            <w:pPr>
              <w:pStyle w:val="182"/>
              <w:rPr>
                <w:color w:val="auto"/>
              </w:rPr>
            </w:pPr>
            <w:r>
              <w:rPr>
                <w:rFonts w:hint="eastAsia"/>
                <w:color w:val="auto"/>
              </w:rPr>
              <w:t>24</w:t>
            </w:r>
          </w:p>
        </w:tc>
        <w:tc>
          <w:tcPr>
            <w:tcW w:w="1612" w:type="pct"/>
            <w:vAlign w:val="center"/>
          </w:tcPr>
          <w:p w14:paraId="2E0F2F04">
            <w:pPr>
              <w:pStyle w:val="182"/>
              <w:rPr>
                <w:color w:val="auto"/>
              </w:rPr>
            </w:pPr>
            <w:r>
              <w:rPr>
                <w:color w:val="auto"/>
              </w:rPr>
              <w:t>清水泵</w:t>
            </w:r>
          </w:p>
        </w:tc>
        <w:tc>
          <w:tcPr>
            <w:tcW w:w="2440" w:type="pct"/>
            <w:vAlign w:val="center"/>
          </w:tcPr>
          <w:p w14:paraId="59165B25">
            <w:pPr>
              <w:pStyle w:val="182"/>
              <w:rPr>
                <w:color w:val="auto"/>
              </w:rPr>
            </w:pPr>
            <w:r>
              <w:rPr>
                <w:color w:val="auto"/>
              </w:rPr>
              <w:t>IJ100-80-160，Q=100m</w:t>
            </w:r>
            <w:r>
              <w:rPr>
                <w:color w:val="auto"/>
                <w:vertAlign w:val="superscript"/>
              </w:rPr>
              <w:t>3</w:t>
            </w:r>
            <w:r>
              <w:rPr>
                <w:color w:val="auto"/>
              </w:rPr>
              <w:t>/h，H=32m</w:t>
            </w:r>
          </w:p>
        </w:tc>
        <w:tc>
          <w:tcPr>
            <w:tcW w:w="634" w:type="pct"/>
            <w:vAlign w:val="center"/>
          </w:tcPr>
          <w:p w14:paraId="0A9B3219">
            <w:pPr>
              <w:pStyle w:val="182"/>
              <w:rPr>
                <w:color w:val="auto"/>
              </w:rPr>
            </w:pPr>
            <w:r>
              <w:rPr>
                <w:color w:val="auto"/>
              </w:rPr>
              <w:t>1</w:t>
            </w:r>
          </w:p>
        </w:tc>
      </w:tr>
      <w:tr w14:paraId="7EA74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0782E1FD">
            <w:pPr>
              <w:pStyle w:val="182"/>
              <w:rPr>
                <w:color w:val="auto"/>
              </w:rPr>
            </w:pPr>
            <w:r>
              <w:rPr>
                <w:rFonts w:hint="eastAsia"/>
                <w:color w:val="auto"/>
              </w:rPr>
              <w:t>25</w:t>
            </w:r>
          </w:p>
        </w:tc>
        <w:tc>
          <w:tcPr>
            <w:tcW w:w="1612" w:type="pct"/>
            <w:vAlign w:val="center"/>
          </w:tcPr>
          <w:p w14:paraId="59DC62E5">
            <w:pPr>
              <w:pStyle w:val="182"/>
              <w:rPr>
                <w:color w:val="auto"/>
              </w:rPr>
            </w:pPr>
            <w:r>
              <w:rPr>
                <w:color w:val="auto"/>
              </w:rPr>
              <w:t>润滑油泵</w:t>
            </w:r>
          </w:p>
        </w:tc>
        <w:tc>
          <w:tcPr>
            <w:tcW w:w="2440" w:type="pct"/>
            <w:vAlign w:val="center"/>
          </w:tcPr>
          <w:p w14:paraId="6B08C7BB">
            <w:pPr>
              <w:pStyle w:val="182"/>
              <w:rPr>
                <w:color w:val="auto"/>
              </w:rPr>
            </w:pPr>
          </w:p>
        </w:tc>
        <w:tc>
          <w:tcPr>
            <w:tcW w:w="634" w:type="pct"/>
            <w:vAlign w:val="center"/>
          </w:tcPr>
          <w:p w14:paraId="31AFF060">
            <w:pPr>
              <w:pStyle w:val="182"/>
              <w:rPr>
                <w:color w:val="auto"/>
              </w:rPr>
            </w:pPr>
            <w:r>
              <w:rPr>
                <w:color w:val="auto"/>
              </w:rPr>
              <w:t>1</w:t>
            </w:r>
          </w:p>
        </w:tc>
      </w:tr>
      <w:tr w14:paraId="41D32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8095050">
            <w:pPr>
              <w:pStyle w:val="182"/>
              <w:rPr>
                <w:color w:val="auto"/>
              </w:rPr>
            </w:pPr>
            <w:r>
              <w:rPr>
                <w:rFonts w:hint="eastAsia"/>
                <w:color w:val="auto"/>
              </w:rPr>
              <w:t>26</w:t>
            </w:r>
          </w:p>
        </w:tc>
        <w:tc>
          <w:tcPr>
            <w:tcW w:w="1612" w:type="pct"/>
            <w:vAlign w:val="center"/>
          </w:tcPr>
          <w:p w14:paraId="28FD0413">
            <w:pPr>
              <w:pStyle w:val="182"/>
              <w:rPr>
                <w:color w:val="auto"/>
              </w:rPr>
            </w:pPr>
            <w:r>
              <w:rPr>
                <w:color w:val="auto"/>
              </w:rPr>
              <w:t>碱液泵</w:t>
            </w:r>
          </w:p>
        </w:tc>
        <w:tc>
          <w:tcPr>
            <w:tcW w:w="2440" w:type="pct"/>
            <w:vAlign w:val="center"/>
          </w:tcPr>
          <w:p w14:paraId="23E90B3D">
            <w:pPr>
              <w:pStyle w:val="182"/>
              <w:rPr>
                <w:color w:val="auto"/>
              </w:rPr>
            </w:pPr>
            <w:r>
              <w:rPr>
                <w:color w:val="auto"/>
              </w:rPr>
              <w:t>Q=100m³/h，H=20m</w:t>
            </w:r>
          </w:p>
        </w:tc>
        <w:tc>
          <w:tcPr>
            <w:tcW w:w="634" w:type="pct"/>
            <w:vAlign w:val="center"/>
          </w:tcPr>
          <w:p w14:paraId="14B4290D">
            <w:pPr>
              <w:pStyle w:val="182"/>
              <w:rPr>
                <w:color w:val="auto"/>
              </w:rPr>
            </w:pPr>
            <w:r>
              <w:rPr>
                <w:color w:val="auto"/>
              </w:rPr>
              <w:t>2</w:t>
            </w:r>
          </w:p>
        </w:tc>
      </w:tr>
      <w:tr w14:paraId="62C10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43DDFFC0">
            <w:pPr>
              <w:pStyle w:val="182"/>
              <w:rPr>
                <w:color w:val="auto"/>
              </w:rPr>
            </w:pPr>
            <w:r>
              <w:rPr>
                <w:rFonts w:hint="eastAsia"/>
                <w:color w:val="auto"/>
              </w:rPr>
              <w:t>27</w:t>
            </w:r>
          </w:p>
        </w:tc>
        <w:tc>
          <w:tcPr>
            <w:tcW w:w="1612" w:type="pct"/>
            <w:vAlign w:val="center"/>
          </w:tcPr>
          <w:p w14:paraId="1CC4527E">
            <w:pPr>
              <w:pStyle w:val="182"/>
              <w:rPr>
                <w:color w:val="auto"/>
              </w:rPr>
            </w:pPr>
            <w:r>
              <w:rPr>
                <w:rFonts w:hint="eastAsia"/>
                <w:color w:val="auto"/>
              </w:rPr>
              <w:t>挤浆机</w:t>
            </w:r>
          </w:p>
        </w:tc>
        <w:tc>
          <w:tcPr>
            <w:tcW w:w="2440" w:type="pct"/>
            <w:vAlign w:val="center"/>
          </w:tcPr>
          <w:p w14:paraId="3964161F">
            <w:pPr>
              <w:pStyle w:val="182"/>
              <w:rPr>
                <w:color w:val="auto"/>
              </w:rPr>
            </w:pPr>
            <w:r>
              <w:rPr>
                <w:color w:val="auto"/>
              </w:rPr>
              <w:t>SJ928，2820mm</w:t>
            </w:r>
          </w:p>
        </w:tc>
        <w:tc>
          <w:tcPr>
            <w:tcW w:w="634" w:type="pct"/>
            <w:vAlign w:val="center"/>
          </w:tcPr>
          <w:p w14:paraId="0C8E71F7">
            <w:pPr>
              <w:pStyle w:val="182"/>
              <w:rPr>
                <w:color w:val="auto"/>
              </w:rPr>
            </w:pPr>
            <w:r>
              <w:rPr>
                <w:color w:val="auto"/>
              </w:rPr>
              <w:t>1</w:t>
            </w:r>
          </w:p>
        </w:tc>
      </w:tr>
      <w:tr w14:paraId="16885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3FE88CAF">
            <w:pPr>
              <w:pStyle w:val="182"/>
              <w:rPr>
                <w:color w:val="auto"/>
              </w:rPr>
            </w:pPr>
            <w:r>
              <w:rPr>
                <w:rFonts w:hint="eastAsia"/>
                <w:color w:val="auto"/>
              </w:rPr>
              <w:t>28</w:t>
            </w:r>
          </w:p>
        </w:tc>
        <w:tc>
          <w:tcPr>
            <w:tcW w:w="1612" w:type="pct"/>
            <w:vAlign w:val="center"/>
          </w:tcPr>
          <w:p w14:paraId="5D9D4246">
            <w:pPr>
              <w:pStyle w:val="182"/>
              <w:rPr>
                <w:color w:val="auto"/>
              </w:rPr>
            </w:pPr>
            <w:r>
              <w:rPr>
                <w:color w:val="auto"/>
              </w:rPr>
              <w:t>真空洗浆机</w:t>
            </w:r>
          </w:p>
        </w:tc>
        <w:tc>
          <w:tcPr>
            <w:tcW w:w="2440" w:type="pct"/>
            <w:vAlign w:val="center"/>
          </w:tcPr>
          <w:p w14:paraId="5A061434">
            <w:pPr>
              <w:pStyle w:val="182"/>
              <w:rPr>
                <w:color w:val="auto"/>
              </w:rPr>
            </w:pPr>
            <w:r>
              <w:rPr>
                <w:color w:val="auto"/>
              </w:rPr>
              <w:t>ZNK110，600mm</w:t>
            </w:r>
          </w:p>
        </w:tc>
        <w:tc>
          <w:tcPr>
            <w:tcW w:w="634" w:type="pct"/>
            <w:vAlign w:val="center"/>
          </w:tcPr>
          <w:p w14:paraId="236BB18A">
            <w:pPr>
              <w:pStyle w:val="182"/>
              <w:rPr>
                <w:color w:val="auto"/>
              </w:rPr>
            </w:pPr>
            <w:r>
              <w:rPr>
                <w:color w:val="auto"/>
              </w:rPr>
              <w:t>8</w:t>
            </w:r>
          </w:p>
        </w:tc>
      </w:tr>
      <w:tr w14:paraId="07CC4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F907801">
            <w:pPr>
              <w:pStyle w:val="182"/>
              <w:rPr>
                <w:color w:val="auto"/>
              </w:rPr>
            </w:pPr>
            <w:r>
              <w:rPr>
                <w:rFonts w:hint="eastAsia"/>
                <w:color w:val="auto"/>
              </w:rPr>
              <w:t>29</w:t>
            </w:r>
          </w:p>
        </w:tc>
        <w:tc>
          <w:tcPr>
            <w:tcW w:w="1612" w:type="pct"/>
            <w:vAlign w:val="center"/>
          </w:tcPr>
          <w:p w14:paraId="7C3E2867">
            <w:pPr>
              <w:pStyle w:val="182"/>
              <w:rPr>
                <w:color w:val="auto"/>
              </w:rPr>
            </w:pPr>
            <w:r>
              <w:rPr>
                <w:color w:val="auto"/>
              </w:rPr>
              <w:t>螺旋输送机</w:t>
            </w:r>
          </w:p>
        </w:tc>
        <w:tc>
          <w:tcPr>
            <w:tcW w:w="2440" w:type="pct"/>
            <w:vAlign w:val="center"/>
          </w:tcPr>
          <w:p w14:paraId="00F39A0A">
            <w:pPr>
              <w:pStyle w:val="182"/>
              <w:rPr>
                <w:color w:val="auto"/>
              </w:rPr>
            </w:pPr>
            <w:r>
              <w:rPr>
                <w:color w:val="auto"/>
              </w:rPr>
              <w:t>AMDL-I 1200</w:t>
            </w:r>
          </w:p>
        </w:tc>
        <w:tc>
          <w:tcPr>
            <w:tcW w:w="634" w:type="pct"/>
            <w:vAlign w:val="center"/>
          </w:tcPr>
          <w:p w14:paraId="7877FFF5">
            <w:pPr>
              <w:pStyle w:val="182"/>
              <w:rPr>
                <w:color w:val="auto"/>
              </w:rPr>
            </w:pPr>
            <w:r>
              <w:rPr>
                <w:color w:val="auto"/>
              </w:rPr>
              <w:t>6</w:t>
            </w:r>
          </w:p>
        </w:tc>
      </w:tr>
      <w:tr w14:paraId="51D8B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3738D5DF">
            <w:pPr>
              <w:pStyle w:val="182"/>
              <w:rPr>
                <w:color w:val="auto"/>
              </w:rPr>
            </w:pPr>
            <w:r>
              <w:rPr>
                <w:rFonts w:hint="eastAsia"/>
                <w:color w:val="auto"/>
              </w:rPr>
              <w:t>30</w:t>
            </w:r>
          </w:p>
        </w:tc>
        <w:tc>
          <w:tcPr>
            <w:tcW w:w="1612" w:type="pct"/>
            <w:vAlign w:val="center"/>
          </w:tcPr>
          <w:p w14:paraId="36A03389">
            <w:pPr>
              <w:pStyle w:val="182"/>
              <w:rPr>
                <w:color w:val="auto"/>
              </w:rPr>
            </w:pPr>
            <w:r>
              <w:rPr>
                <w:color w:val="auto"/>
              </w:rPr>
              <w:t>升流塔</w:t>
            </w:r>
          </w:p>
        </w:tc>
        <w:tc>
          <w:tcPr>
            <w:tcW w:w="2440" w:type="pct"/>
            <w:vAlign w:val="center"/>
          </w:tcPr>
          <w:p w14:paraId="02F84AFF">
            <w:pPr>
              <w:pStyle w:val="182"/>
              <w:rPr>
                <w:rFonts w:hint="eastAsia" w:eastAsia="宋体"/>
                <w:color w:val="auto"/>
                <w:lang w:val="en-US" w:eastAsia="zh-CN"/>
              </w:rPr>
            </w:pPr>
            <w:r>
              <w:rPr>
                <w:rFonts w:hint="eastAsia"/>
                <w:color w:val="auto"/>
                <w:lang w:val="en-US" w:eastAsia="zh-CN"/>
              </w:rPr>
              <w:t>/</w:t>
            </w:r>
          </w:p>
        </w:tc>
        <w:tc>
          <w:tcPr>
            <w:tcW w:w="634" w:type="pct"/>
            <w:vAlign w:val="center"/>
          </w:tcPr>
          <w:p w14:paraId="357DF6FF">
            <w:pPr>
              <w:pStyle w:val="182"/>
              <w:rPr>
                <w:color w:val="auto"/>
              </w:rPr>
            </w:pPr>
            <w:r>
              <w:rPr>
                <w:color w:val="auto"/>
              </w:rPr>
              <w:t>5</w:t>
            </w:r>
          </w:p>
        </w:tc>
      </w:tr>
      <w:tr w14:paraId="04C22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208B5C7">
            <w:pPr>
              <w:pStyle w:val="182"/>
              <w:rPr>
                <w:color w:val="auto"/>
              </w:rPr>
            </w:pPr>
            <w:r>
              <w:rPr>
                <w:rFonts w:hint="eastAsia"/>
                <w:color w:val="auto"/>
              </w:rPr>
              <w:t>31</w:t>
            </w:r>
          </w:p>
        </w:tc>
        <w:tc>
          <w:tcPr>
            <w:tcW w:w="1612" w:type="pct"/>
            <w:vAlign w:val="center"/>
          </w:tcPr>
          <w:p w14:paraId="2C269189">
            <w:pPr>
              <w:pStyle w:val="182"/>
              <w:rPr>
                <w:color w:val="auto"/>
              </w:rPr>
            </w:pPr>
            <w:r>
              <w:rPr>
                <w:color w:val="auto"/>
              </w:rPr>
              <w:t>降流塔</w:t>
            </w:r>
          </w:p>
        </w:tc>
        <w:tc>
          <w:tcPr>
            <w:tcW w:w="2440" w:type="pct"/>
            <w:vAlign w:val="center"/>
          </w:tcPr>
          <w:p w14:paraId="28B6872E">
            <w:pPr>
              <w:pStyle w:val="182"/>
              <w:rPr>
                <w:rFonts w:hint="eastAsia" w:eastAsia="宋体"/>
                <w:color w:val="auto"/>
                <w:lang w:val="en-US" w:eastAsia="zh-CN"/>
              </w:rPr>
            </w:pPr>
            <w:r>
              <w:rPr>
                <w:rFonts w:hint="eastAsia"/>
                <w:color w:val="auto"/>
                <w:lang w:val="en-US" w:eastAsia="zh-CN"/>
              </w:rPr>
              <w:t>/</w:t>
            </w:r>
          </w:p>
        </w:tc>
        <w:tc>
          <w:tcPr>
            <w:tcW w:w="634" w:type="pct"/>
            <w:vAlign w:val="center"/>
          </w:tcPr>
          <w:p w14:paraId="54B25FEA">
            <w:pPr>
              <w:pStyle w:val="182"/>
              <w:rPr>
                <w:color w:val="auto"/>
              </w:rPr>
            </w:pPr>
            <w:r>
              <w:rPr>
                <w:color w:val="auto"/>
              </w:rPr>
              <w:t>2</w:t>
            </w:r>
          </w:p>
        </w:tc>
      </w:tr>
      <w:tr w14:paraId="1E5CE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42A5B3F0">
            <w:pPr>
              <w:pStyle w:val="182"/>
              <w:rPr>
                <w:color w:val="auto"/>
              </w:rPr>
            </w:pPr>
            <w:r>
              <w:rPr>
                <w:rFonts w:hint="eastAsia"/>
                <w:color w:val="auto"/>
              </w:rPr>
              <w:t>32</w:t>
            </w:r>
          </w:p>
        </w:tc>
        <w:tc>
          <w:tcPr>
            <w:tcW w:w="1612" w:type="pct"/>
            <w:vAlign w:val="center"/>
          </w:tcPr>
          <w:p w14:paraId="6BF4D326">
            <w:pPr>
              <w:pStyle w:val="182"/>
              <w:rPr>
                <w:color w:val="auto"/>
              </w:rPr>
            </w:pPr>
            <w:r>
              <w:rPr>
                <w:color w:val="auto"/>
              </w:rPr>
              <w:t>浆泵</w:t>
            </w:r>
          </w:p>
        </w:tc>
        <w:tc>
          <w:tcPr>
            <w:tcW w:w="2440" w:type="pct"/>
            <w:vAlign w:val="center"/>
          </w:tcPr>
          <w:p w14:paraId="7709B5D3">
            <w:pPr>
              <w:pStyle w:val="182"/>
              <w:rPr>
                <w:rFonts w:hint="eastAsia" w:eastAsia="宋体"/>
                <w:color w:val="auto"/>
                <w:lang w:val="en-US" w:eastAsia="zh-CN"/>
              </w:rPr>
            </w:pPr>
            <w:r>
              <w:rPr>
                <w:rFonts w:hint="eastAsia"/>
                <w:color w:val="auto"/>
                <w:lang w:val="en-US" w:eastAsia="zh-CN"/>
              </w:rPr>
              <w:t>/</w:t>
            </w:r>
          </w:p>
        </w:tc>
        <w:tc>
          <w:tcPr>
            <w:tcW w:w="634" w:type="pct"/>
            <w:vAlign w:val="center"/>
          </w:tcPr>
          <w:p w14:paraId="5878F7A5">
            <w:pPr>
              <w:pStyle w:val="182"/>
              <w:rPr>
                <w:color w:val="auto"/>
              </w:rPr>
            </w:pPr>
            <w:r>
              <w:rPr>
                <w:color w:val="auto"/>
              </w:rPr>
              <w:t>16</w:t>
            </w:r>
          </w:p>
        </w:tc>
      </w:tr>
      <w:tr w14:paraId="12251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4F2B7F35">
            <w:pPr>
              <w:pStyle w:val="182"/>
              <w:rPr>
                <w:color w:val="auto"/>
              </w:rPr>
            </w:pPr>
            <w:r>
              <w:rPr>
                <w:rFonts w:hint="eastAsia"/>
                <w:color w:val="auto"/>
              </w:rPr>
              <w:t>33</w:t>
            </w:r>
          </w:p>
        </w:tc>
        <w:tc>
          <w:tcPr>
            <w:tcW w:w="1612" w:type="pct"/>
            <w:vAlign w:val="center"/>
          </w:tcPr>
          <w:p w14:paraId="606D021E">
            <w:pPr>
              <w:pStyle w:val="182"/>
              <w:rPr>
                <w:color w:val="auto"/>
              </w:rPr>
            </w:pPr>
            <w:r>
              <w:rPr>
                <w:color w:val="auto"/>
              </w:rPr>
              <w:t>混合器</w:t>
            </w:r>
          </w:p>
        </w:tc>
        <w:tc>
          <w:tcPr>
            <w:tcW w:w="2440" w:type="pct"/>
            <w:vAlign w:val="center"/>
          </w:tcPr>
          <w:p w14:paraId="52FF176C">
            <w:pPr>
              <w:pStyle w:val="182"/>
              <w:rPr>
                <w:rFonts w:hint="eastAsia" w:eastAsia="宋体"/>
                <w:color w:val="auto"/>
                <w:lang w:val="en-US" w:eastAsia="zh-CN"/>
              </w:rPr>
            </w:pPr>
            <w:r>
              <w:rPr>
                <w:rFonts w:hint="eastAsia"/>
                <w:color w:val="auto"/>
                <w:lang w:val="en-US" w:eastAsia="zh-CN"/>
              </w:rPr>
              <w:t>/</w:t>
            </w:r>
          </w:p>
        </w:tc>
        <w:tc>
          <w:tcPr>
            <w:tcW w:w="634" w:type="pct"/>
            <w:vAlign w:val="center"/>
          </w:tcPr>
          <w:p w14:paraId="64E857E8">
            <w:pPr>
              <w:pStyle w:val="182"/>
              <w:rPr>
                <w:color w:val="auto"/>
              </w:rPr>
            </w:pPr>
            <w:r>
              <w:rPr>
                <w:color w:val="auto"/>
              </w:rPr>
              <w:t>15</w:t>
            </w:r>
          </w:p>
        </w:tc>
      </w:tr>
      <w:tr w14:paraId="3A370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B04C1D7">
            <w:pPr>
              <w:pStyle w:val="182"/>
              <w:rPr>
                <w:color w:val="auto"/>
              </w:rPr>
            </w:pPr>
            <w:r>
              <w:rPr>
                <w:rFonts w:hint="eastAsia"/>
                <w:color w:val="auto"/>
              </w:rPr>
              <w:t>34</w:t>
            </w:r>
          </w:p>
        </w:tc>
        <w:tc>
          <w:tcPr>
            <w:tcW w:w="1612" w:type="pct"/>
            <w:vAlign w:val="center"/>
          </w:tcPr>
          <w:p w14:paraId="1D9C916F">
            <w:pPr>
              <w:pStyle w:val="182"/>
              <w:rPr>
                <w:color w:val="auto"/>
              </w:rPr>
            </w:pPr>
            <w:r>
              <w:rPr>
                <w:color w:val="auto"/>
              </w:rPr>
              <w:t>磨浆机</w:t>
            </w:r>
          </w:p>
        </w:tc>
        <w:tc>
          <w:tcPr>
            <w:tcW w:w="2440" w:type="pct"/>
            <w:vAlign w:val="center"/>
          </w:tcPr>
          <w:p w14:paraId="5B572002">
            <w:pPr>
              <w:pStyle w:val="182"/>
              <w:rPr>
                <w:rFonts w:hint="eastAsia" w:eastAsia="宋体"/>
                <w:color w:val="auto"/>
                <w:lang w:val="en-US" w:eastAsia="zh-CN"/>
              </w:rPr>
            </w:pPr>
            <w:r>
              <w:rPr>
                <w:rFonts w:hint="eastAsia"/>
                <w:color w:val="auto"/>
                <w:lang w:val="en-US" w:eastAsia="zh-CN"/>
              </w:rPr>
              <w:t>/</w:t>
            </w:r>
          </w:p>
        </w:tc>
        <w:tc>
          <w:tcPr>
            <w:tcW w:w="634" w:type="pct"/>
            <w:vAlign w:val="center"/>
          </w:tcPr>
          <w:p w14:paraId="4D1DC63B">
            <w:pPr>
              <w:pStyle w:val="182"/>
              <w:rPr>
                <w:color w:val="auto"/>
              </w:rPr>
            </w:pPr>
            <w:r>
              <w:rPr>
                <w:color w:val="auto"/>
              </w:rPr>
              <w:t>3</w:t>
            </w:r>
          </w:p>
        </w:tc>
      </w:tr>
      <w:tr w14:paraId="230AF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33FF67B2">
            <w:pPr>
              <w:pStyle w:val="182"/>
              <w:rPr>
                <w:color w:val="auto"/>
              </w:rPr>
            </w:pPr>
            <w:r>
              <w:rPr>
                <w:rFonts w:hint="eastAsia"/>
                <w:color w:val="auto"/>
              </w:rPr>
              <w:t>35</w:t>
            </w:r>
          </w:p>
        </w:tc>
        <w:tc>
          <w:tcPr>
            <w:tcW w:w="1612" w:type="pct"/>
            <w:vAlign w:val="center"/>
          </w:tcPr>
          <w:p w14:paraId="255368E8">
            <w:pPr>
              <w:pStyle w:val="182"/>
              <w:rPr>
                <w:color w:val="auto"/>
              </w:rPr>
            </w:pPr>
            <w:r>
              <w:rPr>
                <w:color w:val="auto"/>
              </w:rPr>
              <w:t>除砂器</w:t>
            </w:r>
          </w:p>
        </w:tc>
        <w:tc>
          <w:tcPr>
            <w:tcW w:w="2440" w:type="pct"/>
            <w:vAlign w:val="center"/>
          </w:tcPr>
          <w:p w14:paraId="2F63B5FB">
            <w:pPr>
              <w:pStyle w:val="182"/>
              <w:rPr>
                <w:rFonts w:hint="eastAsia" w:eastAsia="宋体"/>
                <w:color w:val="auto"/>
                <w:lang w:val="en-US" w:eastAsia="zh-CN"/>
              </w:rPr>
            </w:pPr>
            <w:r>
              <w:rPr>
                <w:rFonts w:hint="eastAsia"/>
                <w:color w:val="auto"/>
                <w:lang w:val="en-US" w:eastAsia="zh-CN"/>
              </w:rPr>
              <w:t>/</w:t>
            </w:r>
          </w:p>
        </w:tc>
        <w:tc>
          <w:tcPr>
            <w:tcW w:w="634" w:type="pct"/>
            <w:vAlign w:val="center"/>
          </w:tcPr>
          <w:p w14:paraId="2B7B29B8">
            <w:pPr>
              <w:pStyle w:val="182"/>
              <w:rPr>
                <w:color w:val="auto"/>
              </w:rPr>
            </w:pPr>
            <w:r>
              <w:rPr>
                <w:color w:val="auto"/>
              </w:rPr>
              <w:t>1</w:t>
            </w:r>
          </w:p>
        </w:tc>
      </w:tr>
      <w:tr w14:paraId="630B4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417D17C">
            <w:pPr>
              <w:pStyle w:val="182"/>
              <w:rPr>
                <w:color w:val="auto"/>
              </w:rPr>
            </w:pPr>
            <w:r>
              <w:rPr>
                <w:rFonts w:hint="eastAsia"/>
                <w:color w:val="auto"/>
              </w:rPr>
              <w:t>36</w:t>
            </w:r>
          </w:p>
        </w:tc>
        <w:tc>
          <w:tcPr>
            <w:tcW w:w="1612" w:type="pct"/>
            <w:vAlign w:val="center"/>
          </w:tcPr>
          <w:p w14:paraId="283811D8">
            <w:pPr>
              <w:pStyle w:val="182"/>
              <w:rPr>
                <w:color w:val="auto"/>
              </w:rPr>
            </w:pPr>
            <w:r>
              <w:rPr>
                <w:color w:val="auto"/>
              </w:rPr>
              <w:t>抄浆机</w:t>
            </w:r>
          </w:p>
        </w:tc>
        <w:tc>
          <w:tcPr>
            <w:tcW w:w="2440" w:type="pct"/>
            <w:vAlign w:val="center"/>
          </w:tcPr>
          <w:p w14:paraId="1892A028">
            <w:pPr>
              <w:pStyle w:val="182"/>
              <w:rPr>
                <w:color w:val="auto"/>
              </w:rPr>
            </w:pPr>
            <w:r>
              <w:rPr>
                <w:rFonts w:hint="eastAsia"/>
                <w:color w:val="auto"/>
              </w:rPr>
              <w:t>长网多缸浆板机，日产60t/d；</w:t>
            </w:r>
          </w:p>
          <w:p w14:paraId="4882E39F">
            <w:pPr>
              <w:pStyle w:val="182"/>
              <w:rPr>
                <w:color w:val="auto"/>
              </w:rPr>
            </w:pPr>
            <w:r>
              <w:rPr>
                <w:rFonts w:hint="eastAsia"/>
                <w:color w:val="auto"/>
              </w:rPr>
              <w:t>工艺参数：上网浆浓1.0%—1.2%，压榨压力0.2-0.4mpa，烘缸汽压0.2-0.3mpa，浆板水分10%</w:t>
            </w:r>
          </w:p>
        </w:tc>
        <w:tc>
          <w:tcPr>
            <w:tcW w:w="634" w:type="pct"/>
            <w:vAlign w:val="center"/>
          </w:tcPr>
          <w:p w14:paraId="34525205">
            <w:pPr>
              <w:pStyle w:val="182"/>
              <w:rPr>
                <w:color w:val="auto"/>
              </w:rPr>
            </w:pPr>
            <w:r>
              <w:rPr>
                <w:b/>
                <w:bCs/>
                <w:color w:val="auto"/>
                <w:u w:val="single"/>
              </w:rPr>
              <w:t>1</w:t>
            </w:r>
          </w:p>
        </w:tc>
      </w:tr>
      <w:tr w14:paraId="3C594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A4CBF22">
            <w:pPr>
              <w:pStyle w:val="182"/>
              <w:rPr>
                <w:color w:val="auto"/>
              </w:rPr>
            </w:pPr>
            <w:r>
              <w:rPr>
                <w:rFonts w:hint="eastAsia"/>
                <w:color w:val="auto"/>
              </w:rPr>
              <w:t>37</w:t>
            </w:r>
          </w:p>
        </w:tc>
        <w:tc>
          <w:tcPr>
            <w:tcW w:w="1612" w:type="pct"/>
            <w:vAlign w:val="center"/>
          </w:tcPr>
          <w:p w14:paraId="13BA249B">
            <w:pPr>
              <w:pStyle w:val="182"/>
              <w:rPr>
                <w:color w:val="auto"/>
              </w:rPr>
            </w:pPr>
            <w:r>
              <w:rPr>
                <w:color w:val="auto"/>
              </w:rPr>
              <w:t>打包机</w:t>
            </w:r>
          </w:p>
        </w:tc>
        <w:tc>
          <w:tcPr>
            <w:tcW w:w="2440" w:type="pct"/>
            <w:vAlign w:val="center"/>
          </w:tcPr>
          <w:p w14:paraId="227F10EF">
            <w:pPr>
              <w:pStyle w:val="182"/>
              <w:rPr>
                <w:color w:val="auto"/>
              </w:rPr>
            </w:pPr>
          </w:p>
        </w:tc>
        <w:tc>
          <w:tcPr>
            <w:tcW w:w="634" w:type="pct"/>
            <w:vAlign w:val="center"/>
          </w:tcPr>
          <w:p w14:paraId="63F7A963">
            <w:pPr>
              <w:pStyle w:val="182"/>
              <w:rPr>
                <w:color w:val="auto"/>
              </w:rPr>
            </w:pPr>
            <w:r>
              <w:rPr>
                <w:color w:val="auto"/>
              </w:rPr>
              <w:t>1</w:t>
            </w:r>
          </w:p>
        </w:tc>
      </w:tr>
      <w:tr w14:paraId="17A2C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4A5E1D66">
            <w:pPr>
              <w:pStyle w:val="182"/>
              <w:rPr>
                <w:color w:val="auto"/>
              </w:rPr>
            </w:pPr>
            <w:r>
              <w:rPr>
                <w:rFonts w:hint="eastAsia"/>
                <w:color w:val="auto"/>
              </w:rPr>
              <w:t>37</w:t>
            </w:r>
          </w:p>
        </w:tc>
        <w:tc>
          <w:tcPr>
            <w:tcW w:w="1612" w:type="pct"/>
            <w:vAlign w:val="center"/>
          </w:tcPr>
          <w:p w14:paraId="31CB7D08">
            <w:pPr>
              <w:pStyle w:val="182"/>
              <w:rPr>
                <w:color w:val="auto"/>
              </w:rPr>
            </w:pPr>
            <w:r>
              <w:rPr>
                <w:color w:val="auto"/>
              </w:rPr>
              <w:t>稀黑液槽</w:t>
            </w:r>
          </w:p>
        </w:tc>
        <w:tc>
          <w:tcPr>
            <w:tcW w:w="2440" w:type="pct"/>
            <w:vAlign w:val="center"/>
          </w:tcPr>
          <w:p w14:paraId="7A5DA2E8">
            <w:pPr>
              <w:pStyle w:val="182"/>
              <w:rPr>
                <w:color w:val="auto"/>
              </w:rPr>
            </w:pPr>
            <w:r>
              <w:rPr>
                <w:color w:val="auto"/>
              </w:rPr>
              <w:t>Φ7000×9000mm，V=340m</w:t>
            </w:r>
            <w:r>
              <w:rPr>
                <w:color w:val="auto"/>
                <w:vertAlign w:val="superscript"/>
              </w:rPr>
              <w:t>3</w:t>
            </w:r>
            <w:r>
              <w:rPr>
                <w:color w:val="auto"/>
              </w:rPr>
              <w:t>，材质：碳钢，常压</w:t>
            </w:r>
          </w:p>
        </w:tc>
        <w:tc>
          <w:tcPr>
            <w:tcW w:w="634" w:type="pct"/>
            <w:vAlign w:val="center"/>
          </w:tcPr>
          <w:p w14:paraId="6C30F5F3">
            <w:pPr>
              <w:pStyle w:val="182"/>
              <w:rPr>
                <w:color w:val="auto"/>
              </w:rPr>
            </w:pPr>
            <w:r>
              <w:rPr>
                <w:color w:val="auto"/>
              </w:rPr>
              <w:t>3</w:t>
            </w:r>
          </w:p>
        </w:tc>
      </w:tr>
      <w:tr w14:paraId="5F6A8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AFC7093">
            <w:pPr>
              <w:pStyle w:val="182"/>
              <w:rPr>
                <w:color w:val="auto"/>
              </w:rPr>
            </w:pPr>
            <w:r>
              <w:rPr>
                <w:rFonts w:hint="eastAsia"/>
                <w:color w:val="auto"/>
              </w:rPr>
              <w:t>38</w:t>
            </w:r>
          </w:p>
        </w:tc>
        <w:tc>
          <w:tcPr>
            <w:tcW w:w="1612" w:type="pct"/>
            <w:vAlign w:val="center"/>
          </w:tcPr>
          <w:p w14:paraId="7869D10A">
            <w:pPr>
              <w:pStyle w:val="182"/>
              <w:rPr>
                <w:color w:val="auto"/>
              </w:rPr>
            </w:pPr>
            <w:r>
              <w:rPr>
                <w:color w:val="auto"/>
              </w:rPr>
              <w:t>稀黑液泵</w:t>
            </w:r>
          </w:p>
        </w:tc>
        <w:tc>
          <w:tcPr>
            <w:tcW w:w="2440" w:type="pct"/>
            <w:vAlign w:val="center"/>
          </w:tcPr>
          <w:p w14:paraId="33A2DD90">
            <w:pPr>
              <w:pStyle w:val="182"/>
              <w:rPr>
                <w:color w:val="auto"/>
              </w:rPr>
            </w:pPr>
            <w:r>
              <w:rPr>
                <w:color w:val="auto"/>
              </w:rPr>
              <w:t>Q=100m</w:t>
            </w:r>
            <w:r>
              <w:rPr>
                <w:color w:val="auto"/>
                <w:vertAlign w:val="superscript"/>
              </w:rPr>
              <w:t>3</w:t>
            </w:r>
            <w:r>
              <w:rPr>
                <w:color w:val="auto"/>
              </w:rPr>
              <w:t>/h</w:t>
            </w:r>
            <w:r>
              <w:rPr>
                <w:rFonts w:hint="eastAsia"/>
                <w:color w:val="auto"/>
              </w:rPr>
              <w:t>，</w:t>
            </w:r>
            <w:r>
              <w:rPr>
                <w:color w:val="auto"/>
              </w:rPr>
              <w:t>H=13m，过流部件材质：SS304</w:t>
            </w:r>
          </w:p>
        </w:tc>
        <w:tc>
          <w:tcPr>
            <w:tcW w:w="634" w:type="pct"/>
            <w:vAlign w:val="center"/>
          </w:tcPr>
          <w:p w14:paraId="79814EDE">
            <w:pPr>
              <w:pStyle w:val="182"/>
              <w:rPr>
                <w:color w:val="auto"/>
              </w:rPr>
            </w:pPr>
            <w:r>
              <w:rPr>
                <w:color w:val="auto"/>
              </w:rPr>
              <w:t>2</w:t>
            </w:r>
          </w:p>
        </w:tc>
      </w:tr>
      <w:tr w14:paraId="0767A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062F604">
            <w:pPr>
              <w:pStyle w:val="182"/>
              <w:rPr>
                <w:color w:val="auto"/>
              </w:rPr>
            </w:pPr>
            <w:r>
              <w:rPr>
                <w:rFonts w:hint="eastAsia"/>
                <w:color w:val="auto"/>
              </w:rPr>
              <w:t>39</w:t>
            </w:r>
          </w:p>
        </w:tc>
        <w:tc>
          <w:tcPr>
            <w:tcW w:w="1612" w:type="pct"/>
            <w:vAlign w:val="center"/>
          </w:tcPr>
          <w:p w14:paraId="528AB845">
            <w:pPr>
              <w:pStyle w:val="182"/>
              <w:rPr>
                <w:color w:val="auto"/>
              </w:rPr>
            </w:pPr>
            <w:r>
              <w:rPr>
                <w:color w:val="auto"/>
              </w:rPr>
              <w:t>1-2#半浓黑液槽</w:t>
            </w:r>
          </w:p>
        </w:tc>
        <w:tc>
          <w:tcPr>
            <w:tcW w:w="2440" w:type="pct"/>
            <w:vAlign w:val="center"/>
          </w:tcPr>
          <w:p w14:paraId="5F64B431">
            <w:pPr>
              <w:pStyle w:val="182"/>
              <w:rPr>
                <w:color w:val="auto"/>
              </w:rPr>
            </w:pPr>
            <w:r>
              <w:rPr>
                <w:color w:val="auto"/>
              </w:rPr>
              <w:t>Φ6000×9000mm，V=254m</w:t>
            </w:r>
            <w:r>
              <w:rPr>
                <w:color w:val="auto"/>
                <w:vertAlign w:val="superscript"/>
              </w:rPr>
              <w:t>3</w:t>
            </w:r>
            <w:r>
              <w:rPr>
                <w:color w:val="auto"/>
              </w:rPr>
              <w:t>，材质：碳钢，常压</w:t>
            </w:r>
          </w:p>
        </w:tc>
        <w:tc>
          <w:tcPr>
            <w:tcW w:w="634" w:type="pct"/>
            <w:vAlign w:val="center"/>
          </w:tcPr>
          <w:p w14:paraId="7C61A6B5">
            <w:pPr>
              <w:pStyle w:val="182"/>
              <w:rPr>
                <w:color w:val="auto"/>
              </w:rPr>
            </w:pPr>
            <w:r>
              <w:rPr>
                <w:color w:val="auto"/>
              </w:rPr>
              <w:t>2</w:t>
            </w:r>
          </w:p>
        </w:tc>
      </w:tr>
      <w:tr w14:paraId="36C3D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39157DE">
            <w:pPr>
              <w:pStyle w:val="182"/>
              <w:rPr>
                <w:color w:val="auto"/>
              </w:rPr>
            </w:pPr>
            <w:r>
              <w:rPr>
                <w:rFonts w:hint="eastAsia"/>
                <w:color w:val="auto"/>
              </w:rPr>
              <w:t>40</w:t>
            </w:r>
          </w:p>
        </w:tc>
        <w:tc>
          <w:tcPr>
            <w:tcW w:w="1612" w:type="pct"/>
            <w:vAlign w:val="center"/>
          </w:tcPr>
          <w:p w14:paraId="256E921D">
            <w:pPr>
              <w:pStyle w:val="182"/>
              <w:rPr>
                <w:color w:val="auto"/>
              </w:rPr>
            </w:pPr>
            <w:r>
              <w:rPr>
                <w:color w:val="auto"/>
              </w:rPr>
              <w:t>半浓黑液泵</w:t>
            </w:r>
          </w:p>
        </w:tc>
        <w:tc>
          <w:tcPr>
            <w:tcW w:w="2440" w:type="pct"/>
            <w:vAlign w:val="center"/>
          </w:tcPr>
          <w:p w14:paraId="3F6A8E2D">
            <w:pPr>
              <w:pStyle w:val="182"/>
              <w:rPr>
                <w:color w:val="auto"/>
              </w:rPr>
            </w:pPr>
            <w:r>
              <w:rPr>
                <w:color w:val="auto"/>
              </w:rPr>
              <w:t>Q=30m</w:t>
            </w:r>
            <w:r>
              <w:rPr>
                <w:color w:val="auto"/>
                <w:vertAlign w:val="superscript"/>
              </w:rPr>
              <w:t>3</w:t>
            </w:r>
            <w:r>
              <w:rPr>
                <w:color w:val="auto"/>
              </w:rPr>
              <w:t>/h</w:t>
            </w:r>
            <w:r>
              <w:rPr>
                <w:rFonts w:hint="eastAsia"/>
                <w:color w:val="auto"/>
              </w:rPr>
              <w:t>，</w:t>
            </w:r>
            <w:r>
              <w:rPr>
                <w:color w:val="auto"/>
              </w:rPr>
              <w:t>H=11m，过流部件材质：SS304</w:t>
            </w:r>
          </w:p>
        </w:tc>
        <w:tc>
          <w:tcPr>
            <w:tcW w:w="634" w:type="pct"/>
            <w:vAlign w:val="center"/>
          </w:tcPr>
          <w:p w14:paraId="3CE35B3A">
            <w:pPr>
              <w:pStyle w:val="182"/>
              <w:rPr>
                <w:color w:val="auto"/>
              </w:rPr>
            </w:pPr>
            <w:r>
              <w:rPr>
                <w:color w:val="auto"/>
              </w:rPr>
              <w:t>2</w:t>
            </w:r>
          </w:p>
        </w:tc>
      </w:tr>
      <w:tr w14:paraId="27DDE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EEAE8E5">
            <w:pPr>
              <w:pStyle w:val="182"/>
              <w:rPr>
                <w:color w:val="auto"/>
              </w:rPr>
            </w:pPr>
            <w:r>
              <w:rPr>
                <w:rFonts w:hint="eastAsia"/>
                <w:color w:val="auto"/>
              </w:rPr>
              <w:t>41</w:t>
            </w:r>
          </w:p>
        </w:tc>
        <w:tc>
          <w:tcPr>
            <w:tcW w:w="1612" w:type="pct"/>
            <w:vAlign w:val="center"/>
          </w:tcPr>
          <w:p w14:paraId="43D413F0">
            <w:pPr>
              <w:pStyle w:val="182"/>
              <w:rPr>
                <w:color w:val="auto"/>
              </w:rPr>
            </w:pPr>
            <w:r>
              <w:rPr>
                <w:color w:val="auto"/>
              </w:rPr>
              <w:t>Ⅰ-Ⅴ效板式蒸发器</w:t>
            </w:r>
          </w:p>
        </w:tc>
        <w:tc>
          <w:tcPr>
            <w:tcW w:w="2440" w:type="pct"/>
            <w:vAlign w:val="center"/>
          </w:tcPr>
          <w:p w14:paraId="1AF0125E">
            <w:pPr>
              <w:pStyle w:val="182"/>
              <w:rPr>
                <w:color w:val="auto"/>
              </w:rPr>
            </w:pPr>
            <w:r>
              <w:rPr>
                <w:color w:val="auto"/>
              </w:rPr>
              <w:t>Ø2800×9500mm，加热面积856m</w:t>
            </w:r>
            <w:r>
              <w:rPr>
                <w:color w:val="auto"/>
                <w:vertAlign w:val="superscript"/>
              </w:rPr>
              <w:t>2</w:t>
            </w:r>
          </w:p>
        </w:tc>
        <w:tc>
          <w:tcPr>
            <w:tcW w:w="634" w:type="pct"/>
            <w:vAlign w:val="center"/>
          </w:tcPr>
          <w:p w14:paraId="1FE53472">
            <w:pPr>
              <w:pStyle w:val="182"/>
              <w:rPr>
                <w:color w:val="auto"/>
              </w:rPr>
            </w:pPr>
            <w:r>
              <w:rPr>
                <w:color w:val="auto"/>
              </w:rPr>
              <w:t>5</w:t>
            </w:r>
          </w:p>
        </w:tc>
      </w:tr>
      <w:tr w14:paraId="21D12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0C5AB238">
            <w:pPr>
              <w:pStyle w:val="182"/>
              <w:rPr>
                <w:color w:val="auto"/>
              </w:rPr>
            </w:pPr>
            <w:r>
              <w:rPr>
                <w:rFonts w:hint="eastAsia"/>
                <w:color w:val="auto"/>
              </w:rPr>
              <w:t>42</w:t>
            </w:r>
          </w:p>
        </w:tc>
        <w:tc>
          <w:tcPr>
            <w:tcW w:w="1612" w:type="pct"/>
            <w:vAlign w:val="center"/>
          </w:tcPr>
          <w:p w14:paraId="1A3275CF">
            <w:pPr>
              <w:pStyle w:val="182"/>
              <w:rPr>
                <w:color w:val="auto"/>
              </w:rPr>
            </w:pPr>
            <w:r>
              <w:rPr>
                <w:color w:val="auto"/>
              </w:rPr>
              <w:t>板式降膜冷凝器</w:t>
            </w:r>
          </w:p>
        </w:tc>
        <w:tc>
          <w:tcPr>
            <w:tcW w:w="2440" w:type="pct"/>
            <w:vAlign w:val="center"/>
          </w:tcPr>
          <w:p w14:paraId="60D08EC6">
            <w:pPr>
              <w:pStyle w:val="182"/>
              <w:rPr>
                <w:color w:val="auto"/>
              </w:rPr>
            </w:pPr>
            <w:r>
              <w:rPr>
                <w:color w:val="auto"/>
              </w:rPr>
              <w:t>Ø2200×8900mm，换热面积440m</w:t>
            </w:r>
            <w:r>
              <w:rPr>
                <w:color w:val="auto"/>
                <w:vertAlign w:val="superscript"/>
              </w:rPr>
              <w:t>2</w:t>
            </w:r>
          </w:p>
        </w:tc>
        <w:tc>
          <w:tcPr>
            <w:tcW w:w="634" w:type="pct"/>
            <w:vAlign w:val="center"/>
          </w:tcPr>
          <w:p w14:paraId="419DD704">
            <w:pPr>
              <w:pStyle w:val="182"/>
              <w:rPr>
                <w:color w:val="auto"/>
              </w:rPr>
            </w:pPr>
            <w:r>
              <w:rPr>
                <w:color w:val="auto"/>
              </w:rPr>
              <w:t>1</w:t>
            </w:r>
          </w:p>
        </w:tc>
      </w:tr>
      <w:tr w14:paraId="6D6D5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D38D6B8">
            <w:pPr>
              <w:pStyle w:val="182"/>
              <w:rPr>
                <w:color w:val="auto"/>
              </w:rPr>
            </w:pPr>
            <w:r>
              <w:rPr>
                <w:rFonts w:hint="eastAsia"/>
                <w:color w:val="auto"/>
              </w:rPr>
              <w:t>43</w:t>
            </w:r>
          </w:p>
        </w:tc>
        <w:tc>
          <w:tcPr>
            <w:tcW w:w="1612" w:type="pct"/>
            <w:vAlign w:val="center"/>
          </w:tcPr>
          <w:p w14:paraId="5376D0DD">
            <w:pPr>
              <w:pStyle w:val="182"/>
              <w:rPr>
                <w:color w:val="auto"/>
              </w:rPr>
            </w:pPr>
            <w:r>
              <w:rPr>
                <w:color w:val="auto"/>
              </w:rPr>
              <w:t>Ⅰ效黑液循环泵</w:t>
            </w:r>
          </w:p>
        </w:tc>
        <w:tc>
          <w:tcPr>
            <w:tcW w:w="2440" w:type="pct"/>
            <w:vAlign w:val="center"/>
          </w:tcPr>
          <w:p w14:paraId="3014A506">
            <w:pPr>
              <w:pStyle w:val="182"/>
              <w:rPr>
                <w:color w:val="auto"/>
              </w:rPr>
            </w:pPr>
            <w:r>
              <w:rPr>
                <w:color w:val="auto"/>
              </w:rPr>
              <w:t>Q=900m</w:t>
            </w:r>
            <w:r>
              <w:rPr>
                <w:color w:val="auto"/>
                <w:vertAlign w:val="superscript"/>
              </w:rPr>
              <w:t>3</w:t>
            </w:r>
            <w:r>
              <w:rPr>
                <w:color w:val="auto"/>
              </w:rPr>
              <w:t>/h，H=11m，过流部件材质：SS304</w:t>
            </w:r>
          </w:p>
        </w:tc>
        <w:tc>
          <w:tcPr>
            <w:tcW w:w="634" w:type="pct"/>
            <w:vAlign w:val="center"/>
          </w:tcPr>
          <w:p w14:paraId="2CAD3A6E">
            <w:pPr>
              <w:pStyle w:val="182"/>
              <w:rPr>
                <w:color w:val="auto"/>
              </w:rPr>
            </w:pPr>
            <w:r>
              <w:rPr>
                <w:color w:val="auto"/>
              </w:rPr>
              <w:t>1</w:t>
            </w:r>
          </w:p>
        </w:tc>
      </w:tr>
      <w:tr w14:paraId="1EFC1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5FD9ED8">
            <w:pPr>
              <w:pStyle w:val="182"/>
              <w:rPr>
                <w:color w:val="auto"/>
              </w:rPr>
            </w:pPr>
            <w:r>
              <w:rPr>
                <w:rFonts w:hint="eastAsia"/>
                <w:color w:val="auto"/>
              </w:rPr>
              <w:t>44</w:t>
            </w:r>
          </w:p>
        </w:tc>
        <w:tc>
          <w:tcPr>
            <w:tcW w:w="1612" w:type="pct"/>
            <w:vAlign w:val="center"/>
          </w:tcPr>
          <w:p w14:paraId="550CF3A1">
            <w:pPr>
              <w:pStyle w:val="182"/>
              <w:rPr>
                <w:color w:val="auto"/>
              </w:rPr>
            </w:pPr>
            <w:r>
              <w:rPr>
                <w:color w:val="auto"/>
              </w:rPr>
              <w:t>Ⅱ效黑液循环泵</w:t>
            </w:r>
          </w:p>
        </w:tc>
        <w:tc>
          <w:tcPr>
            <w:tcW w:w="2440" w:type="pct"/>
            <w:vAlign w:val="center"/>
          </w:tcPr>
          <w:p w14:paraId="57E78BB5">
            <w:pPr>
              <w:pStyle w:val="182"/>
              <w:rPr>
                <w:color w:val="auto"/>
              </w:rPr>
            </w:pPr>
            <w:r>
              <w:rPr>
                <w:color w:val="auto"/>
              </w:rPr>
              <w:t>Q=580m</w:t>
            </w:r>
            <w:r>
              <w:rPr>
                <w:color w:val="auto"/>
                <w:vertAlign w:val="superscript"/>
              </w:rPr>
              <w:t>3</w:t>
            </w:r>
            <w:r>
              <w:rPr>
                <w:color w:val="auto"/>
              </w:rPr>
              <w:t>/h，H=11m，过流部件材质：SS304</w:t>
            </w:r>
          </w:p>
        </w:tc>
        <w:tc>
          <w:tcPr>
            <w:tcW w:w="634" w:type="pct"/>
            <w:vAlign w:val="center"/>
          </w:tcPr>
          <w:p w14:paraId="586FF2FF">
            <w:pPr>
              <w:pStyle w:val="182"/>
              <w:rPr>
                <w:color w:val="auto"/>
              </w:rPr>
            </w:pPr>
            <w:r>
              <w:rPr>
                <w:color w:val="auto"/>
              </w:rPr>
              <w:t>1</w:t>
            </w:r>
          </w:p>
        </w:tc>
      </w:tr>
      <w:tr w14:paraId="62314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5CF1C271">
            <w:pPr>
              <w:pStyle w:val="182"/>
              <w:rPr>
                <w:color w:val="auto"/>
              </w:rPr>
            </w:pPr>
            <w:r>
              <w:rPr>
                <w:rFonts w:hint="eastAsia"/>
                <w:color w:val="auto"/>
              </w:rPr>
              <w:t>45</w:t>
            </w:r>
          </w:p>
        </w:tc>
        <w:tc>
          <w:tcPr>
            <w:tcW w:w="1612" w:type="pct"/>
            <w:vAlign w:val="center"/>
          </w:tcPr>
          <w:p w14:paraId="2B31938B">
            <w:pPr>
              <w:pStyle w:val="182"/>
              <w:rPr>
                <w:color w:val="auto"/>
              </w:rPr>
            </w:pPr>
            <w:r>
              <w:rPr>
                <w:color w:val="auto"/>
              </w:rPr>
              <w:t>Ⅲ效黑液循环泵</w:t>
            </w:r>
          </w:p>
        </w:tc>
        <w:tc>
          <w:tcPr>
            <w:tcW w:w="2440" w:type="pct"/>
            <w:vAlign w:val="center"/>
          </w:tcPr>
          <w:p w14:paraId="1EC0CC57">
            <w:pPr>
              <w:pStyle w:val="182"/>
              <w:rPr>
                <w:color w:val="auto"/>
              </w:rPr>
            </w:pPr>
            <w:r>
              <w:rPr>
                <w:color w:val="auto"/>
              </w:rPr>
              <w:t>Q=520m</w:t>
            </w:r>
            <w:r>
              <w:rPr>
                <w:color w:val="auto"/>
                <w:vertAlign w:val="superscript"/>
              </w:rPr>
              <w:t>3</w:t>
            </w:r>
            <w:r>
              <w:rPr>
                <w:color w:val="auto"/>
              </w:rPr>
              <w:t>/h，H=11m，过流部件材质：SS304</w:t>
            </w:r>
          </w:p>
        </w:tc>
        <w:tc>
          <w:tcPr>
            <w:tcW w:w="634" w:type="pct"/>
            <w:vAlign w:val="center"/>
          </w:tcPr>
          <w:p w14:paraId="661E0183">
            <w:pPr>
              <w:pStyle w:val="182"/>
              <w:rPr>
                <w:color w:val="auto"/>
              </w:rPr>
            </w:pPr>
            <w:r>
              <w:rPr>
                <w:color w:val="auto"/>
              </w:rPr>
              <w:t>1</w:t>
            </w:r>
          </w:p>
        </w:tc>
      </w:tr>
      <w:tr w14:paraId="60366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A9358FD">
            <w:pPr>
              <w:pStyle w:val="182"/>
              <w:rPr>
                <w:color w:val="auto"/>
              </w:rPr>
            </w:pPr>
            <w:r>
              <w:rPr>
                <w:rFonts w:hint="eastAsia"/>
                <w:color w:val="auto"/>
              </w:rPr>
              <w:t>46</w:t>
            </w:r>
          </w:p>
        </w:tc>
        <w:tc>
          <w:tcPr>
            <w:tcW w:w="1612" w:type="pct"/>
            <w:vAlign w:val="center"/>
          </w:tcPr>
          <w:p w14:paraId="4A103C0B">
            <w:pPr>
              <w:pStyle w:val="182"/>
              <w:rPr>
                <w:color w:val="auto"/>
              </w:rPr>
            </w:pPr>
            <w:r>
              <w:rPr>
                <w:color w:val="auto"/>
              </w:rPr>
              <w:t>Ⅳ效黑液循环泵</w:t>
            </w:r>
          </w:p>
        </w:tc>
        <w:tc>
          <w:tcPr>
            <w:tcW w:w="2440" w:type="pct"/>
            <w:vAlign w:val="center"/>
          </w:tcPr>
          <w:p w14:paraId="7D8F0337">
            <w:pPr>
              <w:pStyle w:val="182"/>
              <w:rPr>
                <w:color w:val="auto"/>
              </w:rPr>
            </w:pPr>
            <w:r>
              <w:rPr>
                <w:color w:val="auto"/>
              </w:rPr>
              <w:t>Q=520m</w:t>
            </w:r>
            <w:r>
              <w:rPr>
                <w:color w:val="auto"/>
                <w:vertAlign w:val="superscript"/>
              </w:rPr>
              <w:t>3</w:t>
            </w:r>
            <w:r>
              <w:rPr>
                <w:color w:val="auto"/>
              </w:rPr>
              <w:t>/h，H=11m，过流部件材质：SS304</w:t>
            </w:r>
          </w:p>
        </w:tc>
        <w:tc>
          <w:tcPr>
            <w:tcW w:w="634" w:type="pct"/>
            <w:vAlign w:val="center"/>
          </w:tcPr>
          <w:p w14:paraId="6410F5E3">
            <w:pPr>
              <w:pStyle w:val="182"/>
              <w:rPr>
                <w:color w:val="auto"/>
              </w:rPr>
            </w:pPr>
            <w:r>
              <w:rPr>
                <w:color w:val="auto"/>
              </w:rPr>
              <w:t>1</w:t>
            </w:r>
          </w:p>
        </w:tc>
      </w:tr>
      <w:tr w14:paraId="51F71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4E1D01DB">
            <w:pPr>
              <w:pStyle w:val="182"/>
              <w:rPr>
                <w:color w:val="auto"/>
              </w:rPr>
            </w:pPr>
            <w:r>
              <w:rPr>
                <w:rFonts w:hint="eastAsia"/>
                <w:color w:val="auto"/>
              </w:rPr>
              <w:t>47</w:t>
            </w:r>
          </w:p>
        </w:tc>
        <w:tc>
          <w:tcPr>
            <w:tcW w:w="1612" w:type="pct"/>
            <w:vAlign w:val="center"/>
          </w:tcPr>
          <w:p w14:paraId="649BF6FB">
            <w:pPr>
              <w:pStyle w:val="182"/>
              <w:rPr>
                <w:color w:val="auto"/>
              </w:rPr>
            </w:pPr>
            <w:r>
              <w:rPr>
                <w:color w:val="auto"/>
              </w:rPr>
              <w:t>Ⅴ效黑液循环泵</w:t>
            </w:r>
          </w:p>
        </w:tc>
        <w:tc>
          <w:tcPr>
            <w:tcW w:w="2440" w:type="pct"/>
            <w:vAlign w:val="center"/>
          </w:tcPr>
          <w:p w14:paraId="0CCD023D">
            <w:pPr>
              <w:pStyle w:val="182"/>
              <w:rPr>
                <w:color w:val="auto"/>
              </w:rPr>
            </w:pPr>
            <w:r>
              <w:rPr>
                <w:color w:val="auto"/>
              </w:rPr>
              <w:t>Q=520m</w:t>
            </w:r>
            <w:r>
              <w:rPr>
                <w:color w:val="auto"/>
                <w:vertAlign w:val="superscript"/>
              </w:rPr>
              <w:t>3</w:t>
            </w:r>
            <w:r>
              <w:rPr>
                <w:color w:val="auto"/>
              </w:rPr>
              <w:t>/h，H=11m，过流部件材质：SS304</w:t>
            </w:r>
          </w:p>
        </w:tc>
        <w:tc>
          <w:tcPr>
            <w:tcW w:w="634" w:type="pct"/>
            <w:vAlign w:val="center"/>
          </w:tcPr>
          <w:p w14:paraId="431F333F">
            <w:pPr>
              <w:pStyle w:val="182"/>
              <w:rPr>
                <w:color w:val="auto"/>
              </w:rPr>
            </w:pPr>
            <w:r>
              <w:rPr>
                <w:color w:val="auto"/>
              </w:rPr>
              <w:t>1</w:t>
            </w:r>
          </w:p>
        </w:tc>
      </w:tr>
      <w:tr w14:paraId="50F59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3A420C82">
            <w:pPr>
              <w:pStyle w:val="182"/>
              <w:rPr>
                <w:color w:val="auto"/>
              </w:rPr>
            </w:pPr>
            <w:r>
              <w:rPr>
                <w:rFonts w:hint="eastAsia"/>
                <w:color w:val="auto"/>
              </w:rPr>
              <w:t>48</w:t>
            </w:r>
          </w:p>
        </w:tc>
        <w:tc>
          <w:tcPr>
            <w:tcW w:w="1612" w:type="pct"/>
            <w:vAlign w:val="center"/>
          </w:tcPr>
          <w:p w14:paraId="72F9D9E0">
            <w:pPr>
              <w:pStyle w:val="182"/>
              <w:rPr>
                <w:color w:val="auto"/>
              </w:rPr>
            </w:pPr>
            <w:r>
              <w:rPr>
                <w:color w:val="auto"/>
              </w:rPr>
              <w:t>浓黑液闪蒸罐</w:t>
            </w:r>
          </w:p>
        </w:tc>
        <w:tc>
          <w:tcPr>
            <w:tcW w:w="2440" w:type="pct"/>
            <w:vAlign w:val="center"/>
          </w:tcPr>
          <w:p w14:paraId="7256C1C7">
            <w:pPr>
              <w:pStyle w:val="182"/>
              <w:rPr>
                <w:color w:val="auto"/>
              </w:rPr>
            </w:pPr>
            <w:r>
              <w:rPr>
                <w:color w:val="auto"/>
              </w:rPr>
              <w:t>Φ800×1000mm，材质：SS304</w:t>
            </w:r>
          </w:p>
        </w:tc>
        <w:tc>
          <w:tcPr>
            <w:tcW w:w="634" w:type="pct"/>
            <w:vAlign w:val="center"/>
          </w:tcPr>
          <w:p w14:paraId="183C0AB9">
            <w:pPr>
              <w:pStyle w:val="182"/>
              <w:rPr>
                <w:b/>
                <w:bCs/>
                <w:color w:val="auto"/>
                <w:u w:val="single"/>
              </w:rPr>
            </w:pPr>
            <w:r>
              <w:rPr>
                <w:color w:val="auto"/>
              </w:rPr>
              <w:t>1</w:t>
            </w:r>
          </w:p>
        </w:tc>
      </w:tr>
      <w:tr w14:paraId="307DA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E78BC86">
            <w:pPr>
              <w:pStyle w:val="182"/>
              <w:rPr>
                <w:color w:val="auto"/>
              </w:rPr>
            </w:pPr>
            <w:r>
              <w:rPr>
                <w:rFonts w:hint="eastAsia"/>
                <w:color w:val="auto"/>
              </w:rPr>
              <w:t>49</w:t>
            </w:r>
          </w:p>
        </w:tc>
        <w:tc>
          <w:tcPr>
            <w:tcW w:w="1612" w:type="pct"/>
            <w:vAlign w:val="center"/>
          </w:tcPr>
          <w:p w14:paraId="4CBB93DF">
            <w:pPr>
              <w:pStyle w:val="182"/>
              <w:rPr>
                <w:color w:val="auto"/>
              </w:rPr>
            </w:pPr>
            <w:r>
              <w:rPr>
                <w:color w:val="auto"/>
              </w:rPr>
              <w:t>出Ⅰ效浓黑液泵</w:t>
            </w:r>
          </w:p>
        </w:tc>
        <w:tc>
          <w:tcPr>
            <w:tcW w:w="2440" w:type="pct"/>
            <w:vAlign w:val="center"/>
          </w:tcPr>
          <w:p w14:paraId="7E09D07D">
            <w:pPr>
              <w:pStyle w:val="182"/>
              <w:rPr>
                <w:color w:val="auto"/>
              </w:rPr>
            </w:pPr>
            <w:r>
              <w:rPr>
                <w:color w:val="auto"/>
              </w:rPr>
              <w:t>Q=30m</w:t>
            </w:r>
            <w:r>
              <w:rPr>
                <w:color w:val="auto"/>
                <w:vertAlign w:val="superscript"/>
              </w:rPr>
              <w:t>3</w:t>
            </w:r>
            <w:r>
              <w:rPr>
                <w:color w:val="auto"/>
              </w:rPr>
              <w:t>/h，H=11m，过流部件材质：SS304</w:t>
            </w:r>
          </w:p>
        </w:tc>
        <w:tc>
          <w:tcPr>
            <w:tcW w:w="634" w:type="pct"/>
            <w:vAlign w:val="center"/>
          </w:tcPr>
          <w:p w14:paraId="55832DF1">
            <w:pPr>
              <w:pStyle w:val="182"/>
              <w:rPr>
                <w:b/>
                <w:bCs/>
                <w:color w:val="auto"/>
                <w:u w:val="single"/>
              </w:rPr>
            </w:pPr>
            <w:r>
              <w:rPr>
                <w:color w:val="auto"/>
              </w:rPr>
              <w:t>2</w:t>
            </w:r>
          </w:p>
        </w:tc>
      </w:tr>
      <w:tr w14:paraId="23F46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417D3FA9">
            <w:pPr>
              <w:pStyle w:val="182"/>
              <w:rPr>
                <w:color w:val="auto"/>
              </w:rPr>
            </w:pPr>
            <w:r>
              <w:rPr>
                <w:rFonts w:hint="eastAsia"/>
                <w:color w:val="auto"/>
              </w:rPr>
              <w:t>50</w:t>
            </w:r>
          </w:p>
        </w:tc>
        <w:tc>
          <w:tcPr>
            <w:tcW w:w="1612" w:type="pct"/>
            <w:vAlign w:val="center"/>
          </w:tcPr>
          <w:p w14:paraId="61456EC3">
            <w:pPr>
              <w:pStyle w:val="182"/>
              <w:rPr>
                <w:color w:val="auto"/>
              </w:rPr>
            </w:pPr>
            <w:r>
              <w:rPr>
                <w:color w:val="auto"/>
              </w:rPr>
              <w:t>清冷凝水闪蒸罐</w:t>
            </w:r>
          </w:p>
        </w:tc>
        <w:tc>
          <w:tcPr>
            <w:tcW w:w="2440" w:type="pct"/>
            <w:vAlign w:val="center"/>
          </w:tcPr>
          <w:p w14:paraId="11CB5444">
            <w:pPr>
              <w:pStyle w:val="182"/>
              <w:rPr>
                <w:color w:val="auto"/>
              </w:rPr>
            </w:pPr>
            <w:r>
              <w:rPr>
                <w:color w:val="auto"/>
              </w:rPr>
              <w:t>Φ800×1000mm，材质：Q235-A</w:t>
            </w:r>
          </w:p>
        </w:tc>
        <w:tc>
          <w:tcPr>
            <w:tcW w:w="634" w:type="pct"/>
            <w:vAlign w:val="center"/>
          </w:tcPr>
          <w:p w14:paraId="10610838">
            <w:pPr>
              <w:pStyle w:val="182"/>
              <w:rPr>
                <w:b/>
                <w:bCs/>
                <w:color w:val="auto"/>
                <w:u w:val="single"/>
              </w:rPr>
            </w:pPr>
            <w:r>
              <w:rPr>
                <w:color w:val="auto"/>
              </w:rPr>
              <w:t>1</w:t>
            </w:r>
          </w:p>
        </w:tc>
      </w:tr>
      <w:tr w14:paraId="133DA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FB6B7DA">
            <w:pPr>
              <w:pStyle w:val="182"/>
              <w:rPr>
                <w:color w:val="auto"/>
              </w:rPr>
            </w:pPr>
            <w:r>
              <w:rPr>
                <w:rFonts w:hint="eastAsia"/>
                <w:color w:val="auto"/>
              </w:rPr>
              <w:t>51</w:t>
            </w:r>
          </w:p>
        </w:tc>
        <w:tc>
          <w:tcPr>
            <w:tcW w:w="1612" w:type="pct"/>
            <w:vAlign w:val="center"/>
          </w:tcPr>
          <w:p w14:paraId="74781844">
            <w:pPr>
              <w:pStyle w:val="182"/>
              <w:rPr>
                <w:color w:val="auto"/>
              </w:rPr>
            </w:pPr>
            <w:r>
              <w:rPr>
                <w:color w:val="auto"/>
              </w:rPr>
              <w:t>清冷凝水泵</w:t>
            </w:r>
          </w:p>
        </w:tc>
        <w:tc>
          <w:tcPr>
            <w:tcW w:w="2440" w:type="pct"/>
            <w:vAlign w:val="center"/>
          </w:tcPr>
          <w:p w14:paraId="496645C2">
            <w:pPr>
              <w:pStyle w:val="182"/>
              <w:rPr>
                <w:color w:val="auto"/>
              </w:rPr>
            </w:pPr>
            <w:r>
              <w:rPr>
                <w:color w:val="auto"/>
              </w:rPr>
              <w:t>Q=25m</w:t>
            </w:r>
            <w:r>
              <w:rPr>
                <w:color w:val="auto"/>
                <w:vertAlign w:val="superscript"/>
              </w:rPr>
              <w:t>3</w:t>
            </w:r>
            <w:r>
              <w:rPr>
                <w:color w:val="auto"/>
              </w:rPr>
              <w:t>/h，H=30m，过流部件材质：SS304</w:t>
            </w:r>
          </w:p>
        </w:tc>
        <w:tc>
          <w:tcPr>
            <w:tcW w:w="634" w:type="pct"/>
            <w:vAlign w:val="center"/>
          </w:tcPr>
          <w:p w14:paraId="3953D7E8">
            <w:pPr>
              <w:pStyle w:val="182"/>
              <w:rPr>
                <w:b/>
                <w:bCs/>
                <w:color w:val="auto"/>
                <w:u w:val="single"/>
              </w:rPr>
            </w:pPr>
            <w:r>
              <w:rPr>
                <w:color w:val="auto"/>
              </w:rPr>
              <w:t>2</w:t>
            </w:r>
          </w:p>
        </w:tc>
      </w:tr>
      <w:tr w14:paraId="54105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05032FFB">
            <w:pPr>
              <w:pStyle w:val="182"/>
              <w:rPr>
                <w:color w:val="auto"/>
              </w:rPr>
            </w:pPr>
            <w:r>
              <w:rPr>
                <w:rFonts w:hint="eastAsia"/>
                <w:color w:val="auto"/>
              </w:rPr>
              <w:t>52</w:t>
            </w:r>
          </w:p>
        </w:tc>
        <w:tc>
          <w:tcPr>
            <w:tcW w:w="1612" w:type="pct"/>
            <w:vAlign w:val="center"/>
          </w:tcPr>
          <w:p w14:paraId="3DF6A196">
            <w:pPr>
              <w:pStyle w:val="182"/>
              <w:rPr>
                <w:color w:val="auto"/>
              </w:rPr>
            </w:pPr>
            <w:r>
              <w:rPr>
                <w:color w:val="auto"/>
              </w:rPr>
              <w:t>污冷凝水闪蒸罐</w:t>
            </w:r>
          </w:p>
        </w:tc>
        <w:tc>
          <w:tcPr>
            <w:tcW w:w="2440" w:type="pct"/>
            <w:vAlign w:val="center"/>
          </w:tcPr>
          <w:p w14:paraId="008CA944">
            <w:pPr>
              <w:pStyle w:val="182"/>
              <w:rPr>
                <w:color w:val="auto"/>
              </w:rPr>
            </w:pPr>
            <w:r>
              <w:rPr>
                <w:color w:val="auto"/>
              </w:rPr>
              <w:t>Φ600×900mm，材质：Q235-A</w:t>
            </w:r>
          </w:p>
        </w:tc>
        <w:tc>
          <w:tcPr>
            <w:tcW w:w="634" w:type="pct"/>
            <w:vAlign w:val="center"/>
          </w:tcPr>
          <w:p w14:paraId="21C68847">
            <w:pPr>
              <w:pStyle w:val="182"/>
              <w:rPr>
                <w:b/>
                <w:bCs/>
                <w:color w:val="auto"/>
                <w:u w:val="single"/>
              </w:rPr>
            </w:pPr>
            <w:r>
              <w:rPr>
                <w:color w:val="auto"/>
              </w:rPr>
              <w:t>4</w:t>
            </w:r>
          </w:p>
        </w:tc>
      </w:tr>
      <w:tr w14:paraId="164FA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9CA38CB">
            <w:pPr>
              <w:pStyle w:val="182"/>
              <w:rPr>
                <w:color w:val="auto"/>
              </w:rPr>
            </w:pPr>
            <w:r>
              <w:rPr>
                <w:rFonts w:hint="eastAsia"/>
                <w:color w:val="auto"/>
              </w:rPr>
              <w:t>53</w:t>
            </w:r>
          </w:p>
        </w:tc>
        <w:tc>
          <w:tcPr>
            <w:tcW w:w="1612" w:type="pct"/>
            <w:vAlign w:val="center"/>
          </w:tcPr>
          <w:p w14:paraId="70606D59">
            <w:pPr>
              <w:pStyle w:val="182"/>
              <w:rPr>
                <w:color w:val="auto"/>
              </w:rPr>
            </w:pPr>
            <w:r>
              <w:rPr>
                <w:color w:val="auto"/>
              </w:rPr>
              <w:t>污冷凝水泵</w:t>
            </w:r>
          </w:p>
        </w:tc>
        <w:tc>
          <w:tcPr>
            <w:tcW w:w="2440" w:type="pct"/>
            <w:vAlign w:val="center"/>
          </w:tcPr>
          <w:p w14:paraId="447B3F27">
            <w:pPr>
              <w:pStyle w:val="182"/>
              <w:rPr>
                <w:color w:val="auto"/>
              </w:rPr>
            </w:pPr>
            <w:r>
              <w:rPr>
                <w:color w:val="auto"/>
              </w:rPr>
              <w:t>Q=80m</w:t>
            </w:r>
            <w:r>
              <w:rPr>
                <w:color w:val="auto"/>
                <w:vertAlign w:val="superscript"/>
              </w:rPr>
              <w:t>3</w:t>
            </w:r>
            <w:r>
              <w:rPr>
                <w:color w:val="auto"/>
              </w:rPr>
              <w:t>/h，H=30m，过流部件材质：SS304</w:t>
            </w:r>
          </w:p>
        </w:tc>
        <w:tc>
          <w:tcPr>
            <w:tcW w:w="634" w:type="pct"/>
            <w:vAlign w:val="center"/>
          </w:tcPr>
          <w:p w14:paraId="7420A84C">
            <w:pPr>
              <w:pStyle w:val="182"/>
              <w:rPr>
                <w:b/>
                <w:bCs/>
                <w:color w:val="auto"/>
                <w:u w:val="single"/>
              </w:rPr>
            </w:pPr>
            <w:r>
              <w:rPr>
                <w:color w:val="auto"/>
              </w:rPr>
              <w:t>2</w:t>
            </w:r>
          </w:p>
        </w:tc>
      </w:tr>
      <w:tr w14:paraId="323F7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6724CE9C">
            <w:pPr>
              <w:pStyle w:val="182"/>
              <w:rPr>
                <w:color w:val="auto"/>
              </w:rPr>
            </w:pPr>
            <w:r>
              <w:rPr>
                <w:rFonts w:hint="eastAsia"/>
                <w:color w:val="auto"/>
              </w:rPr>
              <w:t>54</w:t>
            </w:r>
          </w:p>
        </w:tc>
        <w:tc>
          <w:tcPr>
            <w:tcW w:w="1612" w:type="pct"/>
            <w:vAlign w:val="center"/>
          </w:tcPr>
          <w:p w14:paraId="6A126040">
            <w:pPr>
              <w:pStyle w:val="182"/>
              <w:rPr>
                <w:color w:val="auto"/>
              </w:rPr>
            </w:pPr>
            <w:r>
              <w:rPr>
                <w:color w:val="auto"/>
              </w:rPr>
              <w:t>水环式真空泵</w:t>
            </w:r>
          </w:p>
        </w:tc>
        <w:tc>
          <w:tcPr>
            <w:tcW w:w="2440" w:type="pct"/>
            <w:vAlign w:val="center"/>
          </w:tcPr>
          <w:p w14:paraId="37FEB5A4">
            <w:pPr>
              <w:pStyle w:val="182"/>
              <w:rPr>
                <w:color w:val="auto"/>
              </w:rPr>
            </w:pPr>
            <w:r>
              <w:rPr>
                <w:color w:val="auto"/>
              </w:rPr>
              <w:t>Q=8m</w:t>
            </w:r>
            <w:r>
              <w:rPr>
                <w:color w:val="auto"/>
                <w:vertAlign w:val="superscript"/>
              </w:rPr>
              <w:t>3</w:t>
            </w:r>
            <w:r>
              <w:rPr>
                <w:color w:val="auto"/>
              </w:rPr>
              <w:t>/min，最大真空度：0.7-0.8，碳钢</w:t>
            </w:r>
          </w:p>
        </w:tc>
        <w:tc>
          <w:tcPr>
            <w:tcW w:w="634" w:type="pct"/>
            <w:vAlign w:val="center"/>
          </w:tcPr>
          <w:p w14:paraId="6F72AD73">
            <w:pPr>
              <w:pStyle w:val="182"/>
              <w:rPr>
                <w:b/>
                <w:bCs/>
                <w:color w:val="auto"/>
                <w:u w:val="single"/>
              </w:rPr>
            </w:pPr>
            <w:r>
              <w:rPr>
                <w:color w:val="auto"/>
              </w:rPr>
              <w:t>2</w:t>
            </w:r>
          </w:p>
        </w:tc>
      </w:tr>
      <w:tr w14:paraId="649B8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286E58A">
            <w:pPr>
              <w:pStyle w:val="182"/>
              <w:rPr>
                <w:color w:val="auto"/>
              </w:rPr>
            </w:pPr>
            <w:r>
              <w:rPr>
                <w:rFonts w:hint="eastAsia"/>
                <w:color w:val="auto"/>
              </w:rPr>
              <w:t>55</w:t>
            </w:r>
          </w:p>
        </w:tc>
        <w:tc>
          <w:tcPr>
            <w:tcW w:w="1612" w:type="pct"/>
            <w:vAlign w:val="center"/>
          </w:tcPr>
          <w:p w14:paraId="1D5F470E">
            <w:pPr>
              <w:pStyle w:val="182"/>
              <w:rPr>
                <w:color w:val="auto"/>
              </w:rPr>
            </w:pPr>
            <w:r>
              <w:rPr>
                <w:color w:val="auto"/>
              </w:rPr>
              <w:t>1#、2#浓黑液槽</w:t>
            </w:r>
          </w:p>
        </w:tc>
        <w:tc>
          <w:tcPr>
            <w:tcW w:w="2440" w:type="pct"/>
            <w:vAlign w:val="center"/>
          </w:tcPr>
          <w:p w14:paraId="749B902A">
            <w:pPr>
              <w:pStyle w:val="182"/>
              <w:rPr>
                <w:color w:val="auto"/>
              </w:rPr>
            </w:pPr>
            <w:r>
              <w:rPr>
                <w:color w:val="auto"/>
              </w:rPr>
              <w:t>Φ4000×6000mm，V=75m</w:t>
            </w:r>
            <w:r>
              <w:rPr>
                <w:color w:val="auto"/>
                <w:vertAlign w:val="superscript"/>
              </w:rPr>
              <w:t>3</w:t>
            </w:r>
            <w:r>
              <w:rPr>
                <w:color w:val="auto"/>
              </w:rPr>
              <w:t>，材质：碳钢内衬不锈钢，常压</w:t>
            </w:r>
          </w:p>
        </w:tc>
        <w:tc>
          <w:tcPr>
            <w:tcW w:w="634" w:type="pct"/>
            <w:vAlign w:val="center"/>
          </w:tcPr>
          <w:p w14:paraId="509968B3">
            <w:pPr>
              <w:pStyle w:val="182"/>
              <w:rPr>
                <w:b/>
                <w:bCs/>
                <w:color w:val="auto"/>
                <w:u w:val="single"/>
              </w:rPr>
            </w:pPr>
            <w:r>
              <w:rPr>
                <w:color w:val="auto"/>
              </w:rPr>
              <w:t>2</w:t>
            </w:r>
          </w:p>
        </w:tc>
      </w:tr>
      <w:tr w14:paraId="67698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E1DA77B">
            <w:pPr>
              <w:pStyle w:val="182"/>
              <w:rPr>
                <w:color w:val="auto"/>
              </w:rPr>
            </w:pPr>
            <w:r>
              <w:rPr>
                <w:rFonts w:hint="eastAsia"/>
                <w:color w:val="auto"/>
              </w:rPr>
              <w:t>56</w:t>
            </w:r>
          </w:p>
        </w:tc>
        <w:tc>
          <w:tcPr>
            <w:tcW w:w="1612" w:type="pct"/>
            <w:vAlign w:val="center"/>
          </w:tcPr>
          <w:p w14:paraId="2DBBAD77">
            <w:pPr>
              <w:pStyle w:val="182"/>
              <w:rPr>
                <w:color w:val="auto"/>
              </w:rPr>
            </w:pPr>
            <w:r>
              <w:rPr>
                <w:color w:val="auto"/>
              </w:rPr>
              <w:t>浓黑液泵</w:t>
            </w:r>
          </w:p>
        </w:tc>
        <w:tc>
          <w:tcPr>
            <w:tcW w:w="2440" w:type="pct"/>
            <w:vAlign w:val="center"/>
          </w:tcPr>
          <w:p w14:paraId="44DBE0F1">
            <w:pPr>
              <w:pStyle w:val="182"/>
              <w:rPr>
                <w:color w:val="auto"/>
              </w:rPr>
            </w:pPr>
            <w:r>
              <w:rPr>
                <w:color w:val="auto"/>
              </w:rPr>
              <w:t>Q=20m</w:t>
            </w:r>
            <w:r>
              <w:rPr>
                <w:color w:val="auto"/>
                <w:vertAlign w:val="superscript"/>
              </w:rPr>
              <w:t>3</w:t>
            </w:r>
            <w:r>
              <w:rPr>
                <w:color w:val="auto"/>
              </w:rPr>
              <w:t>/h，H=36m，过流部件材质：SS304</w:t>
            </w:r>
          </w:p>
        </w:tc>
        <w:tc>
          <w:tcPr>
            <w:tcW w:w="634" w:type="pct"/>
            <w:vAlign w:val="center"/>
          </w:tcPr>
          <w:p w14:paraId="75DCE6AC">
            <w:pPr>
              <w:pStyle w:val="182"/>
              <w:rPr>
                <w:b/>
                <w:bCs/>
                <w:color w:val="auto"/>
                <w:u w:val="single"/>
              </w:rPr>
            </w:pPr>
            <w:r>
              <w:rPr>
                <w:color w:val="auto"/>
              </w:rPr>
              <w:t>2</w:t>
            </w:r>
          </w:p>
        </w:tc>
      </w:tr>
      <w:tr w14:paraId="298DC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034863A6">
            <w:pPr>
              <w:pStyle w:val="182"/>
              <w:rPr>
                <w:color w:val="auto"/>
              </w:rPr>
            </w:pPr>
            <w:r>
              <w:rPr>
                <w:rFonts w:hint="eastAsia"/>
                <w:color w:val="auto"/>
              </w:rPr>
              <w:t>57</w:t>
            </w:r>
          </w:p>
        </w:tc>
        <w:tc>
          <w:tcPr>
            <w:tcW w:w="1612" w:type="pct"/>
            <w:vAlign w:val="center"/>
          </w:tcPr>
          <w:p w14:paraId="5EF348FD">
            <w:pPr>
              <w:pStyle w:val="182"/>
              <w:rPr>
                <w:color w:val="auto"/>
              </w:rPr>
            </w:pPr>
            <w:r>
              <w:rPr>
                <w:color w:val="auto"/>
              </w:rPr>
              <w:t>碱液槽</w:t>
            </w:r>
          </w:p>
        </w:tc>
        <w:tc>
          <w:tcPr>
            <w:tcW w:w="2440" w:type="pct"/>
            <w:vAlign w:val="center"/>
          </w:tcPr>
          <w:p w14:paraId="119C5A5D">
            <w:pPr>
              <w:pStyle w:val="182"/>
              <w:rPr>
                <w:color w:val="auto"/>
              </w:rPr>
            </w:pPr>
            <w:r>
              <w:rPr>
                <w:color w:val="auto"/>
              </w:rPr>
              <w:t>Φ4000×4500mm，V=46m</w:t>
            </w:r>
            <w:r>
              <w:rPr>
                <w:color w:val="auto"/>
                <w:vertAlign w:val="superscript"/>
              </w:rPr>
              <w:t>3</w:t>
            </w:r>
            <w:r>
              <w:rPr>
                <w:color w:val="auto"/>
              </w:rPr>
              <w:t>，材质：碳钢，常压</w:t>
            </w:r>
          </w:p>
        </w:tc>
        <w:tc>
          <w:tcPr>
            <w:tcW w:w="634" w:type="pct"/>
            <w:vAlign w:val="center"/>
          </w:tcPr>
          <w:p w14:paraId="53A2A7F6">
            <w:pPr>
              <w:pStyle w:val="182"/>
              <w:rPr>
                <w:b/>
                <w:bCs/>
                <w:color w:val="auto"/>
                <w:u w:val="single"/>
              </w:rPr>
            </w:pPr>
            <w:r>
              <w:rPr>
                <w:color w:val="auto"/>
              </w:rPr>
              <w:t>1</w:t>
            </w:r>
          </w:p>
        </w:tc>
      </w:tr>
      <w:tr w14:paraId="71AC8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B445603">
            <w:pPr>
              <w:pStyle w:val="182"/>
              <w:rPr>
                <w:color w:val="auto"/>
              </w:rPr>
            </w:pPr>
            <w:r>
              <w:rPr>
                <w:rFonts w:hint="eastAsia"/>
                <w:color w:val="auto"/>
              </w:rPr>
              <w:t>58</w:t>
            </w:r>
          </w:p>
        </w:tc>
        <w:tc>
          <w:tcPr>
            <w:tcW w:w="1612" w:type="pct"/>
            <w:vAlign w:val="center"/>
          </w:tcPr>
          <w:p w14:paraId="1109BC3B">
            <w:pPr>
              <w:pStyle w:val="182"/>
              <w:rPr>
                <w:color w:val="auto"/>
              </w:rPr>
            </w:pPr>
            <w:r>
              <w:rPr>
                <w:color w:val="auto"/>
              </w:rPr>
              <w:t>出Ⅱ效黑液泵</w:t>
            </w:r>
          </w:p>
        </w:tc>
        <w:tc>
          <w:tcPr>
            <w:tcW w:w="2440" w:type="pct"/>
            <w:vAlign w:val="center"/>
          </w:tcPr>
          <w:p w14:paraId="0FAB107D">
            <w:pPr>
              <w:pStyle w:val="182"/>
              <w:rPr>
                <w:color w:val="auto"/>
              </w:rPr>
            </w:pPr>
            <w:r>
              <w:rPr>
                <w:color w:val="auto"/>
              </w:rPr>
              <w:t>Q=40m</w:t>
            </w:r>
            <w:r>
              <w:rPr>
                <w:color w:val="auto"/>
                <w:vertAlign w:val="superscript"/>
              </w:rPr>
              <w:t>3</w:t>
            </w:r>
            <w:r>
              <w:rPr>
                <w:color w:val="auto"/>
              </w:rPr>
              <w:t>/h，H=11m，过流部件材质：SS304</w:t>
            </w:r>
          </w:p>
        </w:tc>
        <w:tc>
          <w:tcPr>
            <w:tcW w:w="634" w:type="pct"/>
            <w:vAlign w:val="center"/>
          </w:tcPr>
          <w:p w14:paraId="06E7BB84">
            <w:pPr>
              <w:pStyle w:val="182"/>
              <w:rPr>
                <w:b/>
                <w:bCs/>
                <w:color w:val="auto"/>
                <w:u w:val="single"/>
              </w:rPr>
            </w:pPr>
            <w:r>
              <w:rPr>
                <w:color w:val="auto"/>
              </w:rPr>
              <w:t>2</w:t>
            </w:r>
          </w:p>
        </w:tc>
      </w:tr>
      <w:tr w14:paraId="4EF2C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4322FA73">
            <w:pPr>
              <w:pStyle w:val="182"/>
              <w:rPr>
                <w:color w:val="auto"/>
              </w:rPr>
            </w:pPr>
            <w:r>
              <w:rPr>
                <w:rFonts w:hint="eastAsia"/>
                <w:color w:val="auto"/>
              </w:rPr>
              <w:t>59</w:t>
            </w:r>
          </w:p>
        </w:tc>
        <w:tc>
          <w:tcPr>
            <w:tcW w:w="1612" w:type="pct"/>
            <w:vAlign w:val="center"/>
          </w:tcPr>
          <w:p w14:paraId="278F74A9">
            <w:pPr>
              <w:pStyle w:val="182"/>
              <w:rPr>
                <w:color w:val="auto"/>
              </w:rPr>
            </w:pPr>
            <w:r>
              <w:rPr>
                <w:color w:val="auto"/>
              </w:rPr>
              <w:t>出Ⅲ效黑液泵</w:t>
            </w:r>
          </w:p>
        </w:tc>
        <w:tc>
          <w:tcPr>
            <w:tcW w:w="2440" w:type="pct"/>
            <w:vAlign w:val="center"/>
          </w:tcPr>
          <w:p w14:paraId="5B24AC38">
            <w:pPr>
              <w:pStyle w:val="182"/>
              <w:rPr>
                <w:color w:val="auto"/>
              </w:rPr>
            </w:pPr>
            <w:r>
              <w:rPr>
                <w:color w:val="auto"/>
              </w:rPr>
              <w:t>Q=50m</w:t>
            </w:r>
            <w:r>
              <w:rPr>
                <w:color w:val="auto"/>
                <w:vertAlign w:val="superscript"/>
              </w:rPr>
              <w:t>3</w:t>
            </w:r>
            <w:r>
              <w:rPr>
                <w:color w:val="auto"/>
              </w:rPr>
              <w:t>/h，H=11m，过流部件材质：SS304</w:t>
            </w:r>
          </w:p>
        </w:tc>
        <w:tc>
          <w:tcPr>
            <w:tcW w:w="634" w:type="pct"/>
            <w:vAlign w:val="center"/>
          </w:tcPr>
          <w:p w14:paraId="64BA629C">
            <w:pPr>
              <w:pStyle w:val="182"/>
              <w:rPr>
                <w:b/>
                <w:bCs/>
                <w:color w:val="auto"/>
                <w:u w:val="single"/>
              </w:rPr>
            </w:pPr>
            <w:r>
              <w:rPr>
                <w:color w:val="auto"/>
              </w:rPr>
              <w:t>2</w:t>
            </w:r>
          </w:p>
        </w:tc>
      </w:tr>
      <w:tr w14:paraId="16773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57763F2">
            <w:pPr>
              <w:pStyle w:val="182"/>
              <w:rPr>
                <w:color w:val="auto"/>
              </w:rPr>
            </w:pPr>
            <w:r>
              <w:rPr>
                <w:rFonts w:hint="eastAsia"/>
                <w:color w:val="auto"/>
              </w:rPr>
              <w:t>60</w:t>
            </w:r>
          </w:p>
        </w:tc>
        <w:tc>
          <w:tcPr>
            <w:tcW w:w="1612" w:type="pct"/>
            <w:vAlign w:val="center"/>
          </w:tcPr>
          <w:p w14:paraId="391E1A83">
            <w:pPr>
              <w:pStyle w:val="182"/>
              <w:rPr>
                <w:color w:val="auto"/>
              </w:rPr>
            </w:pPr>
            <w:r>
              <w:rPr>
                <w:color w:val="auto"/>
              </w:rPr>
              <w:t>ⅠⅡ效固液分离器</w:t>
            </w:r>
          </w:p>
        </w:tc>
        <w:tc>
          <w:tcPr>
            <w:tcW w:w="2440" w:type="pct"/>
            <w:vAlign w:val="center"/>
          </w:tcPr>
          <w:p w14:paraId="6E450CC4">
            <w:pPr>
              <w:pStyle w:val="182"/>
              <w:rPr>
                <w:color w:val="auto"/>
              </w:rPr>
            </w:pPr>
            <w:r>
              <w:rPr>
                <w:color w:val="auto"/>
              </w:rPr>
              <w:t>DN400mm，SS304</w:t>
            </w:r>
          </w:p>
        </w:tc>
        <w:tc>
          <w:tcPr>
            <w:tcW w:w="634" w:type="pct"/>
            <w:vAlign w:val="center"/>
          </w:tcPr>
          <w:p w14:paraId="3B96675C">
            <w:pPr>
              <w:pStyle w:val="182"/>
              <w:rPr>
                <w:b/>
                <w:bCs/>
                <w:color w:val="auto"/>
                <w:u w:val="single"/>
              </w:rPr>
            </w:pPr>
            <w:r>
              <w:rPr>
                <w:color w:val="auto"/>
              </w:rPr>
              <w:t>2</w:t>
            </w:r>
          </w:p>
        </w:tc>
      </w:tr>
      <w:tr w14:paraId="530D8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0064CD06">
            <w:pPr>
              <w:pStyle w:val="182"/>
              <w:rPr>
                <w:color w:val="auto"/>
              </w:rPr>
            </w:pPr>
            <w:r>
              <w:rPr>
                <w:rFonts w:hint="eastAsia"/>
                <w:color w:val="auto"/>
              </w:rPr>
              <w:t>61</w:t>
            </w:r>
          </w:p>
        </w:tc>
        <w:tc>
          <w:tcPr>
            <w:tcW w:w="1612" w:type="pct"/>
            <w:vAlign w:val="center"/>
          </w:tcPr>
          <w:p w14:paraId="223FDC9A">
            <w:pPr>
              <w:pStyle w:val="182"/>
              <w:rPr>
                <w:color w:val="auto"/>
              </w:rPr>
            </w:pPr>
            <w:r>
              <w:rPr>
                <w:color w:val="auto"/>
              </w:rPr>
              <w:t>污冷凝水槽</w:t>
            </w:r>
          </w:p>
        </w:tc>
        <w:tc>
          <w:tcPr>
            <w:tcW w:w="2440" w:type="pct"/>
            <w:vAlign w:val="center"/>
          </w:tcPr>
          <w:p w14:paraId="50BCC3D4">
            <w:pPr>
              <w:pStyle w:val="182"/>
              <w:rPr>
                <w:color w:val="auto"/>
              </w:rPr>
            </w:pPr>
            <w:r>
              <w:rPr>
                <w:color w:val="auto"/>
              </w:rPr>
              <w:t>Φ2200×3500mm，V=12m</w:t>
            </w:r>
            <w:r>
              <w:rPr>
                <w:color w:val="auto"/>
                <w:vertAlign w:val="superscript"/>
              </w:rPr>
              <w:t>3</w:t>
            </w:r>
            <w:r>
              <w:rPr>
                <w:color w:val="auto"/>
              </w:rPr>
              <w:t>，材质：碳钢，常压</w:t>
            </w:r>
          </w:p>
        </w:tc>
        <w:tc>
          <w:tcPr>
            <w:tcW w:w="634" w:type="pct"/>
            <w:vAlign w:val="center"/>
          </w:tcPr>
          <w:p w14:paraId="34229F87">
            <w:pPr>
              <w:pStyle w:val="182"/>
              <w:rPr>
                <w:b/>
                <w:bCs/>
                <w:color w:val="auto"/>
                <w:u w:val="single"/>
              </w:rPr>
            </w:pPr>
            <w:r>
              <w:rPr>
                <w:color w:val="auto"/>
              </w:rPr>
              <w:t>1</w:t>
            </w:r>
          </w:p>
        </w:tc>
      </w:tr>
      <w:tr w14:paraId="6F5AE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026C0E6">
            <w:pPr>
              <w:pStyle w:val="182"/>
              <w:rPr>
                <w:color w:val="auto"/>
              </w:rPr>
            </w:pPr>
            <w:r>
              <w:rPr>
                <w:rFonts w:hint="eastAsia"/>
                <w:color w:val="auto"/>
              </w:rPr>
              <w:t>62</w:t>
            </w:r>
          </w:p>
        </w:tc>
        <w:tc>
          <w:tcPr>
            <w:tcW w:w="1612" w:type="pct"/>
            <w:vAlign w:val="center"/>
          </w:tcPr>
          <w:p w14:paraId="5A554E7C">
            <w:pPr>
              <w:pStyle w:val="182"/>
              <w:rPr>
                <w:color w:val="auto"/>
              </w:rPr>
            </w:pPr>
            <w:r>
              <w:rPr>
                <w:color w:val="auto"/>
              </w:rPr>
              <w:t>污冷凝水泵</w:t>
            </w:r>
          </w:p>
        </w:tc>
        <w:tc>
          <w:tcPr>
            <w:tcW w:w="2440" w:type="pct"/>
            <w:vAlign w:val="center"/>
          </w:tcPr>
          <w:p w14:paraId="3A7669FA">
            <w:pPr>
              <w:pStyle w:val="182"/>
              <w:rPr>
                <w:color w:val="auto"/>
              </w:rPr>
            </w:pPr>
            <w:r>
              <w:rPr>
                <w:color w:val="auto"/>
              </w:rPr>
              <w:t>Q=50m</w:t>
            </w:r>
            <w:r>
              <w:rPr>
                <w:color w:val="auto"/>
                <w:vertAlign w:val="superscript"/>
              </w:rPr>
              <w:t>3</w:t>
            </w:r>
            <w:r>
              <w:rPr>
                <w:color w:val="auto"/>
              </w:rPr>
              <w:t>/h，H=30m，过流部件材质：SS304</w:t>
            </w:r>
          </w:p>
        </w:tc>
        <w:tc>
          <w:tcPr>
            <w:tcW w:w="634" w:type="pct"/>
            <w:vAlign w:val="center"/>
          </w:tcPr>
          <w:p w14:paraId="4623FA0A">
            <w:pPr>
              <w:pStyle w:val="182"/>
              <w:rPr>
                <w:b/>
                <w:bCs/>
                <w:color w:val="auto"/>
                <w:u w:val="single"/>
              </w:rPr>
            </w:pPr>
            <w:r>
              <w:rPr>
                <w:color w:val="auto"/>
              </w:rPr>
              <w:t>2</w:t>
            </w:r>
          </w:p>
        </w:tc>
      </w:tr>
      <w:tr w14:paraId="36F5C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7167823">
            <w:pPr>
              <w:pStyle w:val="182"/>
              <w:rPr>
                <w:color w:val="auto"/>
              </w:rPr>
            </w:pPr>
            <w:r>
              <w:rPr>
                <w:rFonts w:hint="eastAsia"/>
                <w:color w:val="auto"/>
              </w:rPr>
              <w:t>63</w:t>
            </w:r>
          </w:p>
        </w:tc>
        <w:tc>
          <w:tcPr>
            <w:tcW w:w="1612" w:type="pct"/>
            <w:vAlign w:val="center"/>
          </w:tcPr>
          <w:p w14:paraId="5AA99C1A">
            <w:pPr>
              <w:pStyle w:val="182"/>
              <w:rPr>
                <w:color w:val="auto"/>
              </w:rPr>
            </w:pPr>
            <w:r>
              <w:rPr>
                <w:color w:val="auto"/>
              </w:rPr>
              <w:t>蒸馏水泵</w:t>
            </w:r>
          </w:p>
        </w:tc>
        <w:tc>
          <w:tcPr>
            <w:tcW w:w="2440" w:type="pct"/>
            <w:vAlign w:val="center"/>
          </w:tcPr>
          <w:p w14:paraId="27745B14">
            <w:pPr>
              <w:pStyle w:val="182"/>
              <w:rPr>
                <w:color w:val="auto"/>
              </w:rPr>
            </w:pPr>
            <w:r>
              <w:rPr>
                <w:color w:val="auto"/>
              </w:rPr>
              <w:t>Q=45m</w:t>
            </w:r>
            <w:r>
              <w:rPr>
                <w:color w:val="auto"/>
                <w:vertAlign w:val="superscript"/>
              </w:rPr>
              <w:t>3</w:t>
            </w:r>
            <w:r>
              <w:rPr>
                <w:color w:val="auto"/>
              </w:rPr>
              <w:t>/h，H=24m，过流部件材质：SS304</w:t>
            </w:r>
          </w:p>
        </w:tc>
        <w:tc>
          <w:tcPr>
            <w:tcW w:w="634" w:type="pct"/>
            <w:vAlign w:val="center"/>
          </w:tcPr>
          <w:p w14:paraId="1BF3D74E">
            <w:pPr>
              <w:pStyle w:val="182"/>
              <w:rPr>
                <w:b/>
                <w:bCs/>
                <w:color w:val="auto"/>
                <w:u w:val="single"/>
              </w:rPr>
            </w:pPr>
            <w:r>
              <w:rPr>
                <w:color w:val="auto"/>
              </w:rPr>
              <w:t>1</w:t>
            </w:r>
          </w:p>
        </w:tc>
      </w:tr>
      <w:tr w14:paraId="1F354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7C49505">
            <w:pPr>
              <w:pStyle w:val="182"/>
              <w:rPr>
                <w:color w:val="auto"/>
              </w:rPr>
            </w:pPr>
            <w:r>
              <w:rPr>
                <w:rFonts w:hint="eastAsia"/>
                <w:color w:val="auto"/>
              </w:rPr>
              <w:t>64</w:t>
            </w:r>
          </w:p>
        </w:tc>
        <w:tc>
          <w:tcPr>
            <w:tcW w:w="1612" w:type="pct"/>
            <w:vAlign w:val="center"/>
          </w:tcPr>
          <w:p w14:paraId="51C2E0D0">
            <w:pPr>
              <w:pStyle w:val="182"/>
              <w:rPr>
                <w:color w:val="auto"/>
              </w:rPr>
            </w:pPr>
            <w:r>
              <w:rPr>
                <w:color w:val="auto"/>
              </w:rPr>
              <w:t>蒸发进校泵</w:t>
            </w:r>
          </w:p>
        </w:tc>
        <w:tc>
          <w:tcPr>
            <w:tcW w:w="2440" w:type="pct"/>
            <w:vAlign w:val="center"/>
          </w:tcPr>
          <w:p w14:paraId="619A5817">
            <w:pPr>
              <w:pStyle w:val="182"/>
              <w:rPr>
                <w:color w:val="auto"/>
              </w:rPr>
            </w:pPr>
            <w:r>
              <w:rPr>
                <w:color w:val="auto"/>
              </w:rPr>
              <w:t>YE3-132S1-2</w:t>
            </w:r>
          </w:p>
        </w:tc>
        <w:tc>
          <w:tcPr>
            <w:tcW w:w="634" w:type="pct"/>
            <w:vAlign w:val="center"/>
          </w:tcPr>
          <w:p w14:paraId="114428FA">
            <w:pPr>
              <w:pStyle w:val="182"/>
              <w:rPr>
                <w:b/>
                <w:bCs/>
                <w:color w:val="auto"/>
                <w:u w:val="single"/>
              </w:rPr>
            </w:pPr>
            <w:r>
              <w:rPr>
                <w:color w:val="auto"/>
              </w:rPr>
              <w:t>1</w:t>
            </w:r>
          </w:p>
        </w:tc>
      </w:tr>
      <w:tr w14:paraId="2702E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454D793D">
            <w:pPr>
              <w:pStyle w:val="182"/>
              <w:rPr>
                <w:color w:val="auto"/>
              </w:rPr>
            </w:pPr>
            <w:r>
              <w:rPr>
                <w:rFonts w:hint="eastAsia"/>
                <w:color w:val="auto"/>
              </w:rPr>
              <w:t>65</w:t>
            </w:r>
          </w:p>
        </w:tc>
        <w:tc>
          <w:tcPr>
            <w:tcW w:w="1612" w:type="pct"/>
            <w:vAlign w:val="center"/>
          </w:tcPr>
          <w:p w14:paraId="48A67B60">
            <w:pPr>
              <w:pStyle w:val="182"/>
              <w:rPr>
                <w:color w:val="auto"/>
              </w:rPr>
            </w:pPr>
            <w:r>
              <w:rPr>
                <w:color w:val="auto"/>
              </w:rPr>
              <w:t>蒸发出料泵</w:t>
            </w:r>
          </w:p>
        </w:tc>
        <w:tc>
          <w:tcPr>
            <w:tcW w:w="2440" w:type="pct"/>
            <w:vAlign w:val="center"/>
          </w:tcPr>
          <w:p w14:paraId="593B7351">
            <w:pPr>
              <w:pStyle w:val="182"/>
              <w:rPr>
                <w:color w:val="auto"/>
              </w:rPr>
            </w:pPr>
            <w:r>
              <w:rPr>
                <w:color w:val="auto"/>
              </w:rPr>
              <w:t>YE3-132S1-2</w:t>
            </w:r>
          </w:p>
        </w:tc>
        <w:tc>
          <w:tcPr>
            <w:tcW w:w="634" w:type="pct"/>
            <w:vAlign w:val="center"/>
          </w:tcPr>
          <w:p w14:paraId="229B6DBC">
            <w:pPr>
              <w:pStyle w:val="182"/>
              <w:rPr>
                <w:b/>
                <w:bCs/>
                <w:color w:val="auto"/>
                <w:u w:val="single"/>
              </w:rPr>
            </w:pPr>
            <w:r>
              <w:rPr>
                <w:color w:val="auto"/>
              </w:rPr>
              <w:t>1</w:t>
            </w:r>
          </w:p>
        </w:tc>
      </w:tr>
      <w:tr w14:paraId="28EFE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9CF93FC">
            <w:pPr>
              <w:pStyle w:val="182"/>
              <w:rPr>
                <w:color w:val="auto"/>
              </w:rPr>
            </w:pPr>
            <w:r>
              <w:rPr>
                <w:rFonts w:hint="eastAsia"/>
                <w:color w:val="auto"/>
              </w:rPr>
              <w:t>66</w:t>
            </w:r>
          </w:p>
        </w:tc>
        <w:tc>
          <w:tcPr>
            <w:tcW w:w="1612" w:type="pct"/>
            <w:vAlign w:val="center"/>
          </w:tcPr>
          <w:p w14:paraId="266891B6">
            <w:pPr>
              <w:pStyle w:val="182"/>
              <w:rPr>
                <w:color w:val="auto"/>
              </w:rPr>
            </w:pPr>
            <w:r>
              <w:rPr>
                <w:color w:val="auto"/>
              </w:rPr>
              <w:t>木质素上料泵</w:t>
            </w:r>
          </w:p>
        </w:tc>
        <w:tc>
          <w:tcPr>
            <w:tcW w:w="2440" w:type="pct"/>
            <w:vAlign w:val="center"/>
          </w:tcPr>
          <w:p w14:paraId="7C28903C">
            <w:pPr>
              <w:pStyle w:val="182"/>
              <w:rPr>
                <w:color w:val="auto"/>
              </w:rPr>
            </w:pPr>
            <w:r>
              <w:rPr>
                <w:color w:val="auto"/>
              </w:rPr>
              <w:t>G50-IAJST-4CJ383</w:t>
            </w:r>
          </w:p>
        </w:tc>
        <w:tc>
          <w:tcPr>
            <w:tcW w:w="634" w:type="pct"/>
            <w:vAlign w:val="center"/>
          </w:tcPr>
          <w:p w14:paraId="41D0F8A8">
            <w:pPr>
              <w:pStyle w:val="182"/>
              <w:rPr>
                <w:b/>
                <w:bCs/>
                <w:color w:val="auto"/>
                <w:u w:val="single"/>
              </w:rPr>
            </w:pPr>
            <w:r>
              <w:rPr>
                <w:rFonts w:hint="eastAsia"/>
                <w:color w:val="auto"/>
              </w:rPr>
              <w:t>1</w:t>
            </w:r>
          </w:p>
        </w:tc>
      </w:tr>
      <w:tr w14:paraId="20E40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327938C1">
            <w:pPr>
              <w:pStyle w:val="182"/>
              <w:rPr>
                <w:color w:val="auto"/>
              </w:rPr>
            </w:pPr>
            <w:r>
              <w:rPr>
                <w:rFonts w:hint="eastAsia"/>
                <w:color w:val="auto"/>
              </w:rPr>
              <w:t>67</w:t>
            </w:r>
          </w:p>
        </w:tc>
        <w:tc>
          <w:tcPr>
            <w:tcW w:w="1612" w:type="pct"/>
            <w:vAlign w:val="center"/>
          </w:tcPr>
          <w:p w14:paraId="23999144">
            <w:pPr>
              <w:pStyle w:val="182"/>
              <w:rPr>
                <w:color w:val="auto"/>
              </w:rPr>
            </w:pPr>
            <w:r>
              <w:rPr>
                <w:color w:val="auto"/>
              </w:rPr>
              <w:t>热风</w:t>
            </w:r>
            <w:r>
              <w:rPr>
                <w:rFonts w:hint="eastAsia"/>
                <w:color w:val="auto"/>
              </w:rPr>
              <w:t>换</w:t>
            </w:r>
            <w:r>
              <w:rPr>
                <w:color w:val="auto"/>
              </w:rPr>
              <w:t>热器</w:t>
            </w:r>
          </w:p>
        </w:tc>
        <w:tc>
          <w:tcPr>
            <w:tcW w:w="2440" w:type="pct"/>
            <w:vAlign w:val="center"/>
          </w:tcPr>
          <w:p w14:paraId="08952897">
            <w:pPr>
              <w:pStyle w:val="182"/>
              <w:rPr>
                <w:color w:val="auto"/>
              </w:rPr>
            </w:pPr>
            <w:r>
              <w:rPr>
                <w:color w:val="auto"/>
              </w:rPr>
              <w:t>BRS-380</w:t>
            </w:r>
          </w:p>
        </w:tc>
        <w:tc>
          <w:tcPr>
            <w:tcW w:w="634" w:type="pct"/>
            <w:vAlign w:val="center"/>
          </w:tcPr>
          <w:p w14:paraId="32E5520A">
            <w:pPr>
              <w:pStyle w:val="182"/>
              <w:rPr>
                <w:b/>
                <w:bCs/>
                <w:color w:val="auto"/>
                <w:u w:val="single"/>
              </w:rPr>
            </w:pPr>
            <w:r>
              <w:rPr>
                <w:color w:val="auto"/>
              </w:rPr>
              <w:t>1</w:t>
            </w:r>
          </w:p>
        </w:tc>
      </w:tr>
      <w:tr w14:paraId="7104D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2A87614A">
            <w:pPr>
              <w:pStyle w:val="182"/>
              <w:rPr>
                <w:color w:val="auto"/>
              </w:rPr>
            </w:pPr>
            <w:r>
              <w:rPr>
                <w:rFonts w:hint="eastAsia"/>
                <w:color w:val="auto"/>
              </w:rPr>
              <w:t>68</w:t>
            </w:r>
          </w:p>
        </w:tc>
        <w:tc>
          <w:tcPr>
            <w:tcW w:w="1612" w:type="pct"/>
            <w:vAlign w:val="center"/>
          </w:tcPr>
          <w:p w14:paraId="5ECD9E98">
            <w:pPr>
              <w:pStyle w:val="182"/>
              <w:rPr>
                <w:color w:val="auto"/>
              </w:rPr>
            </w:pPr>
            <w:r>
              <w:rPr>
                <w:color w:val="auto"/>
              </w:rPr>
              <w:t>干燥塔</w:t>
            </w:r>
          </w:p>
        </w:tc>
        <w:tc>
          <w:tcPr>
            <w:tcW w:w="2440" w:type="pct"/>
            <w:vAlign w:val="center"/>
          </w:tcPr>
          <w:p w14:paraId="34FE7B45">
            <w:pPr>
              <w:pStyle w:val="182"/>
              <w:rPr>
                <w:rFonts w:hint="eastAsia" w:eastAsia="宋体"/>
                <w:color w:val="auto"/>
                <w:lang w:val="en-US" w:eastAsia="zh-CN"/>
              </w:rPr>
            </w:pPr>
            <w:r>
              <w:rPr>
                <w:rFonts w:hint="eastAsia"/>
                <w:color w:val="auto"/>
                <w:lang w:val="en-US" w:eastAsia="zh-CN"/>
              </w:rPr>
              <w:t>/</w:t>
            </w:r>
          </w:p>
        </w:tc>
        <w:tc>
          <w:tcPr>
            <w:tcW w:w="634" w:type="pct"/>
            <w:vAlign w:val="center"/>
          </w:tcPr>
          <w:p w14:paraId="3586D17A">
            <w:pPr>
              <w:pStyle w:val="182"/>
              <w:rPr>
                <w:b/>
                <w:bCs/>
                <w:color w:val="auto"/>
                <w:u w:val="single"/>
              </w:rPr>
            </w:pPr>
            <w:r>
              <w:rPr>
                <w:color w:val="auto"/>
              </w:rPr>
              <w:t>1</w:t>
            </w:r>
          </w:p>
        </w:tc>
      </w:tr>
      <w:tr w14:paraId="4E9F3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7BB04B80">
            <w:pPr>
              <w:pStyle w:val="182"/>
              <w:rPr>
                <w:color w:val="auto"/>
              </w:rPr>
            </w:pPr>
            <w:r>
              <w:rPr>
                <w:rFonts w:hint="eastAsia"/>
                <w:color w:val="auto"/>
              </w:rPr>
              <w:t>69</w:t>
            </w:r>
          </w:p>
        </w:tc>
        <w:tc>
          <w:tcPr>
            <w:tcW w:w="1612" w:type="pct"/>
            <w:vAlign w:val="center"/>
          </w:tcPr>
          <w:p w14:paraId="576E20ED">
            <w:pPr>
              <w:pStyle w:val="182"/>
              <w:rPr>
                <w:color w:val="auto"/>
              </w:rPr>
            </w:pPr>
            <w:r>
              <w:rPr>
                <w:color w:val="auto"/>
              </w:rPr>
              <w:t>干燥雾化器</w:t>
            </w:r>
          </w:p>
        </w:tc>
        <w:tc>
          <w:tcPr>
            <w:tcW w:w="2440" w:type="pct"/>
            <w:vAlign w:val="center"/>
          </w:tcPr>
          <w:p w14:paraId="03A60041">
            <w:pPr>
              <w:pStyle w:val="182"/>
              <w:rPr>
                <w:rFonts w:hint="eastAsia" w:eastAsia="宋体"/>
                <w:color w:val="auto"/>
                <w:lang w:val="en-US" w:eastAsia="zh-CN"/>
              </w:rPr>
            </w:pPr>
            <w:r>
              <w:rPr>
                <w:rFonts w:hint="eastAsia"/>
                <w:color w:val="auto"/>
                <w:lang w:val="en-US" w:eastAsia="zh-CN"/>
              </w:rPr>
              <w:t>/</w:t>
            </w:r>
          </w:p>
        </w:tc>
        <w:tc>
          <w:tcPr>
            <w:tcW w:w="634" w:type="pct"/>
            <w:vAlign w:val="center"/>
          </w:tcPr>
          <w:p w14:paraId="78167B3C">
            <w:pPr>
              <w:pStyle w:val="182"/>
              <w:rPr>
                <w:b/>
                <w:bCs/>
                <w:color w:val="auto"/>
                <w:u w:val="single"/>
              </w:rPr>
            </w:pPr>
            <w:r>
              <w:rPr>
                <w:color w:val="auto"/>
              </w:rPr>
              <w:t>1</w:t>
            </w:r>
          </w:p>
        </w:tc>
      </w:tr>
      <w:tr w14:paraId="5D2E3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48FE42AD">
            <w:pPr>
              <w:pStyle w:val="182"/>
              <w:rPr>
                <w:color w:val="auto"/>
              </w:rPr>
            </w:pPr>
            <w:r>
              <w:rPr>
                <w:rFonts w:hint="eastAsia"/>
                <w:color w:val="auto"/>
              </w:rPr>
              <w:t>70</w:t>
            </w:r>
          </w:p>
        </w:tc>
        <w:tc>
          <w:tcPr>
            <w:tcW w:w="1612" w:type="pct"/>
            <w:vAlign w:val="center"/>
          </w:tcPr>
          <w:p w14:paraId="4A6F809F">
            <w:pPr>
              <w:pStyle w:val="182"/>
              <w:rPr>
                <w:color w:val="auto"/>
              </w:rPr>
            </w:pPr>
            <w:r>
              <w:rPr>
                <w:color w:val="auto"/>
              </w:rPr>
              <w:t>引风机</w:t>
            </w:r>
          </w:p>
        </w:tc>
        <w:tc>
          <w:tcPr>
            <w:tcW w:w="2440" w:type="pct"/>
            <w:vAlign w:val="center"/>
          </w:tcPr>
          <w:p w14:paraId="1627A2E0">
            <w:pPr>
              <w:pStyle w:val="182"/>
              <w:rPr>
                <w:color w:val="auto"/>
              </w:rPr>
            </w:pPr>
            <w:r>
              <w:rPr>
                <w:color w:val="auto"/>
              </w:rPr>
              <w:t>4-73-12D</w:t>
            </w:r>
          </w:p>
        </w:tc>
        <w:tc>
          <w:tcPr>
            <w:tcW w:w="634" w:type="pct"/>
            <w:vAlign w:val="center"/>
          </w:tcPr>
          <w:p w14:paraId="2D054071">
            <w:pPr>
              <w:pStyle w:val="182"/>
              <w:rPr>
                <w:b/>
                <w:bCs/>
                <w:color w:val="auto"/>
                <w:u w:val="single"/>
              </w:rPr>
            </w:pPr>
            <w:r>
              <w:rPr>
                <w:color w:val="auto"/>
              </w:rPr>
              <w:t>1</w:t>
            </w:r>
          </w:p>
        </w:tc>
      </w:tr>
      <w:tr w14:paraId="69192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 w:type="pct"/>
            <w:vAlign w:val="center"/>
          </w:tcPr>
          <w:p w14:paraId="123A3DA5">
            <w:pPr>
              <w:pStyle w:val="182"/>
              <w:rPr>
                <w:color w:val="auto"/>
              </w:rPr>
            </w:pPr>
            <w:r>
              <w:rPr>
                <w:rFonts w:hint="eastAsia"/>
                <w:color w:val="auto"/>
              </w:rPr>
              <w:t>71</w:t>
            </w:r>
          </w:p>
        </w:tc>
        <w:tc>
          <w:tcPr>
            <w:tcW w:w="1612" w:type="pct"/>
            <w:vAlign w:val="center"/>
          </w:tcPr>
          <w:p w14:paraId="39A05254">
            <w:pPr>
              <w:pStyle w:val="182"/>
              <w:rPr>
                <w:color w:val="auto"/>
              </w:rPr>
            </w:pPr>
            <w:r>
              <w:rPr>
                <w:color w:val="auto"/>
              </w:rPr>
              <w:t>回流风机</w:t>
            </w:r>
          </w:p>
        </w:tc>
        <w:tc>
          <w:tcPr>
            <w:tcW w:w="2440" w:type="pct"/>
            <w:vAlign w:val="center"/>
          </w:tcPr>
          <w:p w14:paraId="221941F3">
            <w:pPr>
              <w:pStyle w:val="182"/>
              <w:rPr>
                <w:color w:val="auto"/>
              </w:rPr>
            </w:pPr>
            <w:r>
              <w:rPr>
                <w:color w:val="auto"/>
              </w:rPr>
              <w:t>9-19-9D</w:t>
            </w:r>
          </w:p>
        </w:tc>
        <w:tc>
          <w:tcPr>
            <w:tcW w:w="634" w:type="pct"/>
            <w:vAlign w:val="center"/>
          </w:tcPr>
          <w:p w14:paraId="789660B9">
            <w:pPr>
              <w:pStyle w:val="182"/>
              <w:rPr>
                <w:b/>
                <w:bCs/>
                <w:color w:val="auto"/>
                <w:u w:val="single"/>
              </w:rPr>
            </w:pPr>
            <w:r>
              <w:rPr>
                <w:color w:val="auto"/>
              </w:rPr>
              <w:t>1</w:t>
            </w:r>
          </w:p>
        </w:tc>
      </w:tr>
    </w:tbl>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1"/>
        <w:gridCol w:w="2753"/>
        <w:gridCol w:w="4151"/>
        <w:gridCol w:w="1098"/>
      </w:tblGrid>
      <w:tr w14:paraId="7061B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10A72A7A">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序号</w:t>
            </w:r>
          </w:p>
        </w:tc>
        <w:tc>
          <w:tcPr>
            <w:tcW w:w="1615" w:type="pct"/>
            <w:noWrap w:val="0"/>
            <w:vAlign w:val="center"/>
          </w:tcPr>
          <w:p w14:paraId="0FD88204">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设备名称</w:t>
            </w:r>
          </w:p>
        </w:tc>
        <w:tc>
          <w:tcPr>
            <w:tcW w:w="2435" w:type="pct"/>
            <w:noWrap w:val="0"/>
            <w:vAlign w:val="center"/>
          </w:tcPr>
          <w:p w14:paraId="3996ED86">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规格型号</w:t>
            </w:r>
          </w:p>
        </w:tc>
        <w:tc>
          <w:tcPr>
            <w:tcW w:w="642" w:type="pct"/>
            <w:noWrap w:val="0"/>
            <w:vAlign w:val="center"/>
          </w:tcPr>
          <w:p w14:paraId="03E5F279">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数量</w:t>
            </w:r>
          </w:p>
        </w:tc>
      </w:tr>
      <w:tr w14:paraId="64D0B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000" w:type="pct"/>
            <w:gridSpan w:val="4"/>
            <w:noWrap w:val="0"/>
            <w:vAlign w:val="center"/>
          </w:tcPr>
          <w:p w14:paraId="7B00E4F6">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hint="eastAsia"/>
                <w:b/>
                <w:bCs/>
                <w:color w:val="auto"/>
                <w:sz w:val="21"/>
                <w:szCs w:val="21"/>
                <w:lang w:val="en-US" w:eastAsia="zh-CN"/>
              </w:rPr>
              <w:t>4、</w:t>
            </w:r>
            <w:r>
              <w:rPr>
                <w:b/>
                <w:bCs/>
                <w:color w:val="auto"/>
                <w:sz w:val="21"/>
                <w:szCs w:val="21"/>
              </w:rPr>
              <w:t>年产1000吨离子液体法再生纤维素纤维（首赛尔纤维）中试研发项目</w:t>
            </w:r>
          </w:p>
        </w:tc>
      </w:tr>
      <w:tr w14:paraId="36313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noWrap w:val="0"/>
            <w:vAlign w:val="center"/>
          </w:tcPr>
          <w:p w14:paraId="0F0E5A1E">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（一）纺丝</w:t>
            </w:r>
          </w:p>
        </w:tc>
      </w:tr>
      <w:tr w14:paraId="78952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1C1D504C">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w:t>
            </w:r>
          </w:p>
        </w:tc>
        <w:tc>
          <w:tcPr>
            <w:tcW w:w="1615" w:type="pct"/>
            <w:noWrap w:val="0"/>
            <w:vAlign w:val="center"/>
          </w:tcPr>
          <w:p w14:paraId="3F602249">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纺丝机</w:t>
            </w:r>
          </w:p>
        </w:tc>
        <w:tc>
          <w:tcPr>
            <w:tcW w:w="2435" w:type="pct"/>
            <w:noWrap w:val="0"/>
            <w:vAlign w:val="center"/>
          </w:tcPr>
          <w:p w14:paraId="0AC77ABE">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LZLXF-2024  纺速 120m/min</w:t>
            </w:r>
          </w:p>
        </w:tc>
        <w:tc>
          <w:tcPr>
            <w:tcW w:w="642" w:type="pct"/>
            <w:noWrap w:val="0"/>
            <w:vAlign w:val="center"/>
          </w:tcPr>
          <w:p w14:paraId="398C77E7">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24 台</w:t>
            </w:r>
          </w:p>
        </w:tc>
      </w:tr>
      <w:tr w14:paraId="68DA6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40B7C63F">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2</w:t>
            </w:r>
          </w:p>
        </w:tc>
        <w:tc>
          <w:tcPr>
            <w:tcW w:w="1615" w:type="pct"/>
            <w:noWrap w:val="0"/>
            <w:vAlign w:val="center"/>
          </w:tcPr>
          <w:p w14:paraId="220881FA">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卷绕装置</w:t>
            </w:r>
          </w:p>
        </w:tc>
        <w:tc>
          <w:tcPr>
            <w:tcW w:w="2435" w:type="pct"/>
            <w:noWrap w:val="0"/>
            <w:vAlign w:val="center"/>
          </w:tcPr>
          <w:p w14:paraId="3D2A702A">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JR-03-00</w:t>
            </w:r>
          </w:p>
        </w:tc>
        <w:tc>
          <w:tcPr>
            <w:tcW w:w="642" w:type="pct"/>
            <w:noWrap w:val="0"/>
            <w:vAlign w:val="center"/>
          </w:tcPr>
          <w:p w14:paraId="4507473C">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24 台</w:t>
            </w:r>
          </w:p>
        </w:tc>
      </w:tr>
      <w:tr w14:paraId="66767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86586C7">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3</w:t>
            </w:r>
          </w:p>
        </w:tc>
        <w:tc>
          <w:tcPr>
            <w:tcW w:w="1615" w:type="pct"/>
            <w:noWrap w:val="0"/>
            <w:vAlign w:val="center"/>
          </w:tcPr>
          <w:p w14:paraId="56C50DF0">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伺服横动装置</w:t>
            </w:r>
          </w:p>
        </w:tc>
        <w:tc>
          <w:tcPr>
            <w:tcW w:w="2435" w:type="pct"/>
            <w:noWrap w:val="0"/>
            <w:vAlign w:val="center"/>
          </w:tcPr>
          <w:p w14:paraId="59939B66">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JR-001</w:t>
            </w:r>
          </w:p>
        </w:tc>
        <w:tc>
          <w:tcPr>
            <w:tcW w:w="642" w:type="pct"/>
            <w:noWrap w:val="0"/>
            <w:vAlign w:val="center"/>
          </w:tcPr>
          <w:p w14:paraId="4734A71C">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24 台</w:t>
            </w:r>
          </w:p>
        </w:tc>
      </w:tr>
      <w:tr w14:paraId="57035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1E4F5CAE">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4</w:t>
            </w:r>
          </w:p>
        </w:tc>
        <w:tc>
          <w:tcPr>
            <w:tcW w:w="1615" w:type="pct"/>
            <w:noWrap w:val="0"/>
            <w:vAlign w:val="center"/>
          </w:tcPr>
          <w:p w14:paraId="4566B2AF">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超声波</w:t>
            </w:r>
          </w:p>
        </w:tc>
        <w:tc>
          <w:tcPr>
            <w:tcW w:w="2435" w:type="pct"/>
            <w:noWrap w:val="0"/>
            <w:vAlign w:val="center"/>
          </w:tcPr>
          <w:p w14:paraId="190FBDB8">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USC-1500S  1kw</w:t>
            </w:r>
          </w:p>
        </w:tc>
        <w:tc>
          <w:tcPr>
            <w:tcW w:w="642" w:type="pct"/>
            <w:noWrap w:val="0"/>
            <w:vAlign w:val="center"/>
          </w:tcPr>
          <w:p w14:paraId="02EEE236">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 台</w:t>
            </w:r>
          </w:p>
        </w:tc>
      </w:tr>
      <w:tr w14:paraId="4B3D9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6AC4BB5">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5</w:t>
            </w:r>
          </w:p>
        </w:tc>
        <w:tc>
          <w:tcPr>
            <w:tcW w:w="1615" w:type="pct"/>
            <w:noWrap w:val="0"/>
            <w:vAlign w:val="center"/>
          </w:tcPr>
          <w:p w14:paraId="3A86C64E">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显微镜</w:t>
            </w:r>
          </w:p>
        </w:tc>
        <w:tc>
          <w:tcPr>
            <w:tcW w:w="2435" w:type="pct"/>
            <w:noWrap w:val="0"/>
            <w:vAlign w:val="center"/>
          </w:tcPr>
          <w:p w14:paraId="405C002A">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XTS20</w:t>
            </w:r>
          </w:p>
        </w:tc>
        <w:tc>
          <w:tcPr>
            <w:tcW w:w="642" w:type="pct"/>
            <w:noWrap w:val="0"/>
            <w:vAlign w:val="center"/>
          </w:tcPr>
          <w:p w14:paraId="5A04E4CA">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 台</w:t>
            </w:r>
          </w:p>
        </w:tc>
      </w:tr>
      <w:tr w14:paraId="4FE79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6D74E96F">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6</w:t>
            </w:r>
          </w:p>
        </w:tc>
        <w:tc>
          <w:tcPr>
            <w:tcW w:w="1615" w:type="pct"/>
            <w:noWrap w:val="0"/>
            <w:vAlign w:val="center"/>
          </w:tcPr>
          <w:p w14:paraId="7682616D">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落丝车</w:t>
            </w:r>
          </w:p>
        </w:tc>
        <w:tc>
          <w:tcPr>
            <w:tcW w:w="2435" w:type="pct"/>
            <w:noWrap w:val="0"/>
            <w:vAlign w:val="center"/>
          </w:tcPr>
          <w:p w14:paraId="3A983B6B">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LSCA-01</w:t>
            </w:r>
          </w:p>
        </w:tc>
        <w:tc>
          <w:tcPr>
            <w:tcW w:w="642" w:type="pct"/>
            <w:noWrap w:val="0"/>
            <w:vAlign w:val="center"/>
          </w:tcPr>
          <w:p w14:paraId="4EC03E87">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6 辆</w:t>
            </w:r>
          </w:p>
        </w:tc>
      </w:tr>
      <w:tr w14:paraId="19E00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4D602BDB">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7</w:t>
            </w:r>
          </w:p>
        </w:tc>
        <w:tc>
          <w:tcPr>
            <w:tcW w:w="1615" w:type="pct"/>
            <w:noWrap w:val="0"/>
            <w:vAlign w:val="center"/>
          </w:tcPr>
          <w:p w14:paraId="097CA1B1">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保温水槽</w:t>
            </w:r>
          </w:p>
        </w:tc>
        <w:tc>
          <w:tcPr>
            <w:tcW w:w="2435" w:type="pct"/>
            <w:noWrap w:val="0"/>
            <w:vAlign w:val="center"/>
          </w:tcPr>
          <w:p w14:paraId="6E903893">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LZYBD-011</w:t>
            </w:r>
          </w:p>
        </w:tc>
        <w:tc>
          <w:tcPr>
            <w:tcW w:w="642" w:type="pct"/>
            <w:noWrap w:val="0"/>
            <w:vAlign w:val="center"/>
          </w:tcPr>
          <w:p w14:paraId="4148C41C">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 个</w:t>
            </w:r>
          </w:p>
        </w:tc>
      </w:tr>
      <w:tr w14:paraId="1B323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D7E5F67">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8</w:t>
            </w:r>
          </w:p>
        </w:tc>
        <w:tc>
          <w:tcPr>
            <w:tcW w:w="1615" w:type="pct"/>
            <w:noWrap w:val="0"/>
            <w:vAlign w:val="center"/>
          </w:tcPr>
          <w:p w14:paraId="0121E70B">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保温水泵</w:t>
            </w:r>
          </w:p>
        </w:tc>
        <w:tc>
          <w:tcPr>
            <w:tcW w:w="2435" w:type="pct"/>
            <w:noWrap w:val="0"/>
            <w:vAlign w:val="center"/>
          </w:tcPr>
          <w:p w14:paraId="19AB098A">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CQB50-32-125P  3kw</w:t>
            </w:r>
          </w:p>
        </w:tc>
        <w:tc>
          <w:tcPr>
            <w:tcW w:w="642" w:type="pct"/>
            <w:noWrap w:val="0"/>
            <w:vAlign w:val="center"/>
          </w:tcPr>
          <w:p w14:paraId="7368358C">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2 台</w:t>
            </w:r>
          </w:p>
        </w:tc>
      </w:tr>
      <w:tr w14:paraId="60198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noWrap w:val="0"/>
            <w:vAlign w:val="center"/>
          </w:tcPr>
          <w:p w14:paraId="4E98083E">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（二）制胶</w:t>
            </w:r>
          </w:p>
        </w:tc>
      </w:tr>
      <w:tr w14:paraId="5705F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F4B89D2">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w:t>
            </w:r>
          </w:p>
        </w:tc>
        <w:tc>
          <w:tcPr>
            <w:tcW w:w="1615" w:type="pct"/>
            <w:noWrap w:val="0"/>
            <w:vAlign w:val="center"/>
          </w:tcPr>
          <w:p w14:paraId="6968DEAD">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切粕机</w:t>
            </w:r>
          </w:p>
        </w:tc>
        <w:tc>
          <w:tcPr>
            <w:tcW w:w="2435" w:type="pct"/>
            <w:noWrap w:val="0"/>
            <w:vAlign w:val="center"/>
          </w:tcPr>
          <w:p w14:paraId="22C4FDEB">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1900*1250*1200</w:t>
            </w:r>
          </w:p>
        </w:tc>
        <w:tc>
          <w:tcPr>
            <w:tcW w:w="642" w:type="pct"/>
            <w:noWrap w:val="0"/>
            <w:vAlign w:val="center"/>
          </w:tcPr>
          <w:p w14:paraId="7F224F79">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 台</w:t>
            </w:r>
          </w:p>
        </w:tc>
      </w:tr>
      <w:tr w14:paraId="4B442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A6F1E76">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2</w:t>
            </w:r>
          </w:p>
        </w:tc>
        <w:tc>
          <w:tcPr>
            <w:tcW w:w="1615" w:type="pct"/>
            <w:noWrap w:val="0"/>
            <w:vAlign w:val="center"/>
          </w:tcPr>
          <w:p w14:paraId="175C499F">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除尘器</w:t>
            </w:r>
          </w:p>
        </w:tc>
        <w:tc>
          <w:tcPr>
            <w:tcW w:w="2435" w:type="pct"/>
            <w:noWrap w:val="0"/>
            <w:vAlign w:val="center"/>
          </w:tcPr>
          <w:p w14:paraId="5CA655FC">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MCF30-A</w:t>
            </w:r>
          </w:p>
        </w:tc>
        <w:tc>
          <w:tcPr>
            <w:tcW w:w="642" w:type="pct"/>
            <w:noWrap w:val="0"/>
            <w:vAlign w:val="center"/>
          </w:tcPr>
          <w:p w14:paraId="7D57C6F5">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 套</w:t>
            </w:r>
          </w:p>
        </w:tc>
      </w:tr>
      <w:tr w14:paraId="22918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9B2ED21">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3</w:t>
            </w:r>
          </w:p>
        </w:tc>
        <w:tc>
          <w:tcPr>
            <w:tcW w:w="1615" w:type="pct"/>
            <w:noWrap w:val="0"/>
            <w:vAlign w:val="center"/>
          </w:tcPr>
          <w:p w14:paraId="598E5006">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称量装置</w:t>
            </w:r>
          </w:p>
        </w:tc>
        <w:tc>
          <w:tcPr>
            <w:tcW w:w="2435" w:type="pct"/>
            <w:noWrap w:val="0"/>
            <w:vAlign w:val="center"/>
          </w:tcPr>
          <w:p w14:paraId="6FD8139A">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5T</w:t>
            </w:r>
          </w:p>
        </w:tc>
        <w:tc>
          <w:tcPr>
            <w:tcW w:w="642" w:type="pct"/>
            <w:noWrap w:val="0"/>
            <w:vAlign w:val="center"/>
          </w:tcPr>
          <w:p w14:paraId="683E7CA1">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 套</w:t>
            </w:r>
          </w:p>
        </w:tc>
      </w:tr>
      <w:tr w14:paraId="0A38E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01CD4226">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4</w:t>
            </w:r>
          </w:p>
        </w:tc>
        <w:tc>
          <w:tcPr>
            <w:tcW w:w="1615" w:type="pct"/>
            <w:noWrap w:val="0"/>
            <w:vAlign w:val="center"/>
          </w:tcPr>
          <w:p w14:paraId="6E691778">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调配高位槽</w:t>
            </w:r>
          </w:p>
        </w:tc>
        <w:tc>
          <w:tcPr>
            <w:tcW w:w="2435" w:type="pct"/>
            <w:noWrap w:val="0"/>
            <w:vAlign w:val="center"/>
          </w:tcPr>
          <w:p w14:paraId="658411DF">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HX20-60 V=15m</w:t>
            </w:r>
            <w:r>
              <w:rPr>
                <w:rFonts w:ascii="Times New Roman" w:hAnsi="Times New Roman"/>
                <w:b w:val="0"/>
                <w:bCs/>
                <w:sz w:val="21"/>
                <w:szCs w:val="21"/>
                <w:u w:val="none"/>
                <w:vertAlign w:val="superscript"/>
              </w:rPr>
              <w:t>3</w:t>
            </w:r>
          </w:p>
        </w:tc>
        <w:tc>
          <w:tcPr>
            <w:tcW w:w="642" w:type="pct"/>
            <w:noWrap w:val="0"/>
            <w:vAlign w:val="center"/>
          </w:tcPr>
          <w:p w14:paraId="1896D644">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2 个</w:t>
            </w:r>
          </w:p>
        </w:tc>
      </w:tr>
      <w:tr w14:paraId="3ED42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8D3D874">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5</w:t>
            </w:r>
          </w:p>
        </w:tc>
        <w:tc>
          <w:tcPr>
            <w:tcW w:w="1615" w:type="pct"/>
            <w:noWrap w:val="0"/>
            <w:vAlign w:val="center"/>
          </w:tcPr>
          <w:p w14:paraId="611CE00A">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调配计量罐</w:t>
            </w:r>
          </w:p>
        </w:tc>
        <w:tc>
          <w:tcPr>
            <w:tcW w:w="2435" w:type="pct"/>
            <w:noWrap w:val="0"/>
            <w:vAlign w:val="center"/>
          </w:tcPr>
          <w:p w14:paraId="2F000D55">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HX20-61 V=15 m</w:t>
            </w:r>
            <w:r>
              <w:rPr>
                <w:rFonts w:ascii="Times New Roman" w:hAnsi="Times New Roman"/>
                <w:b w:val="0"/>
                <w:bCs/>
                <w:sz w:val="21"/>
                <w:szCs w:val="21"/>
                <w:u w:val="none"/>
                <w:vertAlign w:val="superscript"/>
              </w:rPr>
              <w:t>3</w:t>
            </w:r>
          </w:p>
        </w:tc>
        <w:tc>
          <w:tcPr>
            <w:tcW w:w="642" w:type="pct"/>
            <w:noWrap w:val="0"/>
            <w:vAlign w:val="center"/>
          </w:tcPr>
          <w:p w14:paraId="7D7E6356">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2 个</w:t>
            </w:r>
          </w:p>
        </w:tc>
      </w:tr>
      <w:tr w14:paraId="1CF66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93F1E25">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6</w:t>
            </w:r>
          </w:p>
        </w:tc>
        <w:tc>
          <w:tcPr>
            <w:tcW w:w="1615" w:type="pct"/>
            <w:noWrap w:val="0"/>
            <w:vAlign w:val="center"/>
          </w:tcPr>
          <w:p w14:paraId="245FC6F5">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溶胀机</w:t>
            </w:r>
          </w:p>
        </w:tc>
        <w:tc>
          <w:tcPr>
            <w:tcW w:w="2435" w:type="pct"/>
            <w:noWrap w:val="0"/>
            <w:vAlign w:val="center"/>
          </w:tcPr>
          <w:p w14:paraId="24F10587">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HX20-62 V=25 m</w:t>
            </w:r>
            <w:r>
              <w:rPr>
                <w:rFonts w:ascii="Times New Roman" w:hAnsi="Times New Roman"/>
                <w:b w:val="0"/>
                <w:bCs/>
                <w:sz w:val="21"/>
                <w:szCs w:val="21"/>
                <w:u w:val="none"/>
                <w:vertAlign w:val="superscript"/>
              </w:rPr>
              <w:t>3</w:t>
            </w:r>
          </w:p>
        </w:tc>
        <w:tc>
          <w:tcPr>
            <w:tcW w:w="642" w:type="pct"/>
            <w:noWrap w:val="0"/>
            <w:vAlign w:val="center"/>
          </w:tcPr>
          <w:p w14:paraId="3ADFFD82">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 台</w:t>
            </w:r>
          </w:p>
        </w:tc>
      </w:tr>
      <w:tr w14:paraId="72AF9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6868D1F7">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7</w:t>
            </w:r>
          </w:p>
        </w:tc>
        <w:tc>
          <w:tcPr>
            <w:tcW w:w="1615" w:type="pct"/>
            <w:noWrap w:val="0"/>
            <w:vAlign w:val="center"/>
          </w:tcPr>
          <w:p w14:paraId="6C4295EF">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溶解机</w:t>
            </w:r>
          </w:p>
        </w:tc>
        <w:tc>
          <w:tcPr>
            <w:tcW w:w="2435" w:type="pct"/>
            <w:noWrap w:val="0"/>
            <w:vAlign w:val="center"/>
          </w:tcPr>
          <w:p w14:paraId="344210EA">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HX20-63 V=25 m</w:t>
            </w:r>
            <w:r>
              <w:rPr>
                <w:rFonts w:ascii="Times New Roman" w:hAnsi="Times New Roman"/>
                <w:b w:val="0"/>
                <w:bCs/>
                <w:sz w:val="21"/>
                <w:szCs w:val="21"/>
                <w:u w:val="none"/>
                <w:vertAlign w:val="superscript"/>
              </w:rPr>
              <w:t>3</w:t>
            </w:r>
          </w:p>
        </w:tc>
        <w:tc>
          <w:tcPr>
            <w:tcW w:w="642" w:type="pct"/>
            <w:noWrap w:val="0"/>
            <w:vAlign w:val="center"/>
          </w:tcPr>
          <w:p w14:paraId="4650A786">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3 台</w:t>
            </w:r>
          </w:p>
        </w:tc>
      </w:tr>
      <w:tr w14:paraId="7938E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1244790E">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8</w:t>
            </w:r>
          </w:p>
        </w:tc>
        <w:tc>
          <w:tcPr>
            <w:tcW w:w="1615" w:type="pct"/>
            <w:noWrap w:val="0"/>
            <w:vAlign w:val="center"/>
          </w:tcPr>
          <w:p w14:paraId="04F92F28">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熔体泵</w:t>
            </w:r>
          </w:p>
        </w:tc>
        <w:tc>
          <w:tcPr>
            <w:tcW w:w="2435" w:type="pct"/>
            <w:noWrap w:val="0"/>
            <w:vAlign w:val="center"/>
          </w:tcPr>
          <w:p w14:paraId="2BDBC8D9">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D5-315CC 18.5kw</w:t>
            </w:r>
          </w:p>
        </w:tc>
        <w:tc>
          <w:tcPr>
            <w:tcW w:w="642" w:type="pct"/>
            <w:noWrap w:val="0"/>
            <w:vAlign w:val="center"/>
          </w:tcPr>
          <w:p w14:paraId="147D85F9">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6 台</w:t>
            </w:r>
          </w:p>
        </w:tc>
      </w:tr>
      <w:tr w14:paraId="0A911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008477AD">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9</w:t>
            </w:r>
          </w:p>
        </w:tc>
        <w:tc>
          <w:tcPr>
            <w:tcW w:w="1615" w:type="pct"/>
            <w:noWrap w:val="0"/>
            <w:vAlign w:val="center"/>
          </w:tcPr>
          <w:p w14:paraId="01FF81EC">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储胶罐</w:t>
            </w:r>
          </w:p>
        </w:tc>
        <w:tc>
          <w:tcPr>
            <w:tcW w:w="2435" w:type="pct"/>
            <w:noWrap w:val="0"/>
            <w:vAlign w:val="center"/>
          </w:tcPr>
          <w:p w14:paraId="73124357">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HX20-64</w:t>
            </w:r>
          </w:p>
        </w:tc>
        <w:tc>
          <w:tcPr>
            <w:tcW w:w="642" w:type="pct"/>
            <w:noWrap w:val="0"/>
            <w:vAlign w:val="center"/>
          </w:tcPr>
          <w:p w14:paraId="06CD1894">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 个</w:t>
            </w:r>
          </w:p>
        </w:tc>
      </w:tr>
      <w:tr w14:paraId="0BDFF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2F33C670">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10</w:t>
            </w:r>
          </w:p>
        </w:tc>
        <w:tc>
          <w:tcPr>
            <w:tcW w:w="1615" w:type="pct"/>
            <w:noWrap w:val="0"/>
            <w:vAlign w:val="center"/>
          </w:tcPr>
          <w:p w14:paraId="02507E39">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一道过滤器</w:t>
            </w:r>
          </w:p>
        </w:tc>
        <w:tc>
          <w:tcPr>
            <w:tcW w:w="2435" w:type="pct"/>
            <w:noWrap w:val="0"/>
            <w:vAlign w:val="center"/>
          </w:tcPr>
          <w:p w14:paraId="5ADCA93A">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CBF370-68A 过滤面积 6 m</w:t>
            </w:r>
            <w:r>
              <w:rPr>
                <w:rFonts w:ascii="Times New Roman" w:hAnsi="Times New Roman"/>
                <w:b w:val="0"/>
                <w:bCs/>
                <w:sz w:val="21"/>
                <w:szCs w:val="21"/>
                <w:u w:val="none"/>
                <w:vertAlign w:val="superscript"/>
              </w:rPr>
              <w:t>2</w:t>
            </w:r>
          </w:p>
        </w:tc>
        <w:tc>
          <w:tcPr>
            <w:tcW w:w="642" w:type="pct"/>
            <w:noWrap w:val="0"/>
            <w:vAlign w:val="center"/>
          </w:tcPr>
          <w:p w14:paraId="3840D9DA">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 台</w:t>
            </w:r>
          </w:p>
        </w:tc>
      </w:tr>
      <w:tr w14:paraId="767B6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F8C409E">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11</w:t>
            </w:r>
          </w:p>
        </w:tc>
        <w:tc>
          <w:tcPr>
            <w:tcW w:w="1615" w:type="pct"/>
            <w:noWrap w:val="0"/>
            <w:vAlign w:val="center"/>
          </w:tcPr>
          <w:p w14:paraId="766A2DFA">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二道过滤器</w:t>
            </w:r>
          </w:p>
        </w:tc>
        <w:tc>
          <w:tcPr>
            <w:tcW w:w="2435" w:type="pct"/>
            <w:noWrap w:val="0"/>
            <w:vAlign w:val="center"/>
          </w:tcPr>
          <w:p w14:paraId="1D299618">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PT2T-12B8019-WX-00 过滤 面积 12 m</w:t>
            </w:r>
            <w:r>
              <w:rPr>
                <w:rFonts w:ascii="Times New Roman" w:hAnsi="Times New Roman"/>
                <w:b w:val="0"/>
                <w:bCs/>
                <w:sz w:val="21"/>
                <w:szCs w:val="21"/>
                <w:u w:val="none"/>
                <w:vertAlign w:val="superscript"/>
              </w:rPr>
              <w:t>2</w:t>
            </w:r>
          </w:p>
        </w:tc>
        <w:tc>
          <w:tcPr>
            <w:tcW w:w="642" w:type="pct"/>
            <w:noWrap w:val="0"/>
            <w:vAlign w:val="center"/>
          </w:tcPr>
          <w:p w14:paraId="083FCBF9">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 台</w:t>
            </w:r>
          </w:p>
        </w:tc>
      </w:tr>
      <w:tr w14:paraId="7EAEA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4B2AF57F">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12</w:t>
            </w:r>
          </w:p>
        </w:tc>
        <w:tc>
          <w:tcPr>
            <w:tcW w:w="1615" w:type="pct"/>
            <w:noWrap w:val="0"/>
            <w:vAlign w:val="center"/>
          </w:tcPr>
          <w:p w14:paraId="6A5A3F91">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电动葫芦</w:t>
            </w:r>
          </w:p>
        </w:tc>
        <w:tc>
          <w:tcPr>
            <w:tcW w:w="2435" w:type="pct"/>
            <w:noWrap w:val="0"/>
            <w:vAlign w:val="center"/>
          </w:tcPr>
          <w:p w14:paraId="1DC4812B">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2T-6m</w:t>
            </w:r>
          </w:p>
        </w:tc>
        <w:tc>
          <w:tcPr>
            <w:tcW w:w="642" w:type="pct"/>
            <w:noWrap w:val="0"/>
            <w:vAlign w:val="center"/>
          </w:tcPr>
          <w:p w14:paraId="3CA87CC4">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4 套</w:t>
            </w:r>
          </w:p>
        </w:tc>
      </w:tr>
      <w:tr w14:paraId="611DF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402BF97E">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13</w:t>
            </w:r>
          </w:p>
        </w:tc>
        <w:tc>
          <w:tcPr>
            <w:tcW w:w="1615" w:type="pct"/>
            <w:noWrap w:val="0"/>
            <w:vAlign w:val="center"/>
          </w:tcPr>
          <w:p w14:paraId="6A25F250">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脱泡桶</w:t>
            </w:r>
          </w:p>
        </w:tc>
        <w:tc>
          <w:tcPr>
            <w:tcW w:w="2435" w:type="pct"/>
            <w:noWrap w:val="0"/>
            <w:vAlign w:val="center"/>
          </w:tcPr>
          <w:p w14:paraId="08F9A0C4">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HX20-66 V=6 m</w:t>
            </w:r>
            <w:r>
              <w:rPr>
                <w:rFonts w:ascii="Times New Roman" w:hAnsi="Times New Roman"/>
                <w:b w:val="0"/>
                <w:bCs/>
                <w:sz w:val="21"/>
                <w:szCs w:val="21"/>
                <w:u w:val="none"/>
                <w:vertAlign w:val="superscript"/>
              </w:rPr>
              <w:t>3</w:t>
            </w:r>
          </w:p>
        </w:tc>
        <w:tc>
          <w:tcPr>
            <w:tcW w:w="642" w:type="pct"/>
            <w:noWrap w:val="0"/>
            <w:vAlign w:val="center"/>
          </w:tcPr>
          <w:p w14:paraId="22F22237">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2 个</w:t>
            </w:r>
          </w:p>
        </w:tc>
      </w:tr>
      <w:tr w14:paraId="2EC08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16C5E1C0">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14</w:t>
            </w:r>
          </w:p>
        </w:tc>
        <w:tc>
          <w:tcPr>
            <w:tcW w:w="1615" w:type="pct"/>
            <w:noWrap w:val="0"/>
            <w:vAlign w:val="center"/>
          </w:tcPr>
          <w:p w14:paraId="1FDC2D4B">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液压车</w:t>
            </w:r>
          </w:p>
        </w:tc>
        <w:tc>
          <w:tcPr>
            <w:tcW w:w="2435" w:type="pct"/>
            <w:noWrap w:val="0"/>
            <w:vAlign w:val="center"/>
          </w:tcPr>
          <w:p w14:paraId="65AFD130">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CBY-3T</w:t>
            </w:r>
          </w:p>
        </w:tc>
        <w:tc>
          <w:tcPr>
            <w:tcW w:w="642" w:type="pct"/>
            <w:noWrap w:val="0"/>
            <w:vAlign w:val="center"/>
          </w:tcPr>
          <w:p w14:paraId="7D831D34">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4 辆</w:t>
            </w:r>
          </w:p>
        </w:tc>
      </w:tr>
      <w:tr w14:paraId="37231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45C8E3E7">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15</w:t>
            </w:r>
          </w:p>
        </w:tc>
        <w:tc>
          <w:tcPr>
            <w:tcW w:w="1615" w:type="pct"/>
            <w:noWrap w:val="0"/>
            <w:vAlign w:val="center"/>
          </w:tcPr>
          <w:p w14:paraId="0544336F">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中间桶</w:t>
            </w:r>
          </w:p>
        </w:tc>
        <w:tc>
          <w:tcPr>
            <w:tcW w:w="2435" w:type="pct"/>
            <w:noWrap w:val="0"/>
            <w:vAlign w:val="center"/>
          </w:tcPr>
          <w:p w14:paraId="07254E69">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HX20-67 V=10 m</w:t>
            </w:r>
            <w:r>
              <w:rPr>
                <w:rFonts w:ascii="Times New Roman" w:hAnsi="Times New Roman"/>
                <w:b w:val="0"/>
                <w:bCs/>
                <w:sz w:val="21"/>
                <w:szCs w:val="21"/>
                <w:u w:val="none"/>
                <w:vertAlign w:val="superscript"/>
              </w:rPr>
              <w:t>3</w:t>
            </w:r>
          </w:p>
        </w:tc>
        <w:tc>
          <w:tcPr>
            <w:tcW w:w="642" w:type="pct"/>
            <w:noWrap w:val="0"/>
            <w:vAlign w:val="center"/>
          </w:tcPr>
          <w:p w14:paraId="65EC7CC3">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 个</w:t>
            </w:r>
          </w:p>
        </w:tc>
      </w:tr>
      <w:tr w14:paraId="536E8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62FDDCAD">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16</w:t>
            </w:r>
          </w:p>
        </w:tc>
        <w:tc>
          <w:tcPr>
            <w:tcW w:w="1615" w:type="pct"/>
            <w:noWrap w:val="0"/>
            <w:vAlign w:val="center"/>
          </w:tcPr>
          <w:p w14:paraId="5EB1CFA4">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缓冲桶</w:t>
            </w:r>
          </w:p>
        </w:tc>
        <w:tc>
          <w:tcPr>
            <w:tcW w:w="2435" w:type="pct"/>
            <w:noWrap w:val="0"/>
            <w:vAlign w:val="center"/>
          </w:tcPr>
          <w:p w14:paraId="3C28934D">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HX20-68 V=10 m</w:t>
            </w:r>
            <w:r>
              <w:rPr>
                <w:rFonts w:ascii="Times New Roman" w:hAnsi="Times New Roman"/>
                <w:b w:val="0"/>
                <w:bCs/>
                <w:sz w:val="21"/>
                <w:szCs w:val="21"/>
                <w:u w:val="none"/>
                <w:vertAlign w:val="superscript"/>
              </w:rPr>
              <w:t>3</w:t>
            </w:r>
          </w:p>
        </w:tc>
        <w:tc>
          <w:tcPr>
            <w:tcW w:w="642" w:type="pct"/>
            <w:noWrap w:val="0"/>
            <w:vAlign w:val="center"/>
          </w:tcPr>
          <w:p w14:paraId="1C4515B5">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 个</w:t>
            </w:r>
          </w:p>
        </w:tc>
      </w:tr>
      <w:tr w14:paraId="5A42D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6C33A531">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17</w:t>
            </w:r>
          </w:p>
        </w:tc>
        <w:tc>
          <w:tcPr>
            <w:tcW w:w="1615" w:type="pct"/>
            <w:noWrap w:val="0"/>
            <w:vAlign w:val="center"/>
          </w:tcPr>
          <w:p w14:paraId="5F44063B">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纺丝桶</w:t>
            </w:r>
          </w:p>
        </w:tc>
        <w:tc>
          <w:tcPr>
            <w:tcW w:w="2435" w:type="pct"/>
            <w:noWrap w:val="0"/>
            <w:vAlign w:val="center"/>
          </w:tcPr>
          <w:p w14:paraId="23F085A0">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HX20-69 V=10 m</w:t>
            </w:r>
            <w:r>
              <w:rPr>
                <w:rFonts w:ascii="Times New Roman" w:hAnsi="Times New Roman"/>
                <w:b w:val="0"/>
                <w:bCs/>
                <w:sz w:val="21"/>
                <w:szCs w:val="21"/>
                <w:u w:val="none"/>
                <w:vertAlign w:val="superscript"/>
              </w:rPr>
              <w:t>3</w:t>
            </w:r>
          </w:p>
        </w:tc>
        <w:tc>
          <w:tcPr>
            <w:tcW w:w="642" w:type="pct"/>
            <w:noWrap w:val="0"/>
            <w:vAlign w:val="center"/>
          </w:tcPr>
          <w:p w14:paraId="7C896270">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 个</w:t>
            </w:r>
          </w:p>
        </w:tc>
      </w:tr>
      <w:tr w14:paraId="045A9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147C7FE">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18</w:t>
            </w:r>
          </w:p>
        </w:tc>
        <w:tc>
          <w:tcPr>
            <w:tcW w:w="1615" w:type="pct"/>
            <w:noWrap w:val="0"/>
            <w:vAlign w:val="center"/>
          </w:tcPr>
          <w:p w14:paraId="722C3CFC">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保温水槽</w:t>
            </w:r>
          </w:p>
        </w:tc>
        <w:tc>
          <w:tcPr>
            <w:tcW w:w="2435" w:type="pct"/>
            <w:noWrap w:val="0"/>
            <w:vAlign w:val="center"/>
          </w:tcPr>
          <w:p w14:paraId="1FC190EF">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LZYBD-011</w:t>
            </w:r>
          </w:p>
        </w:tc>
        <w:tc>
          <w:tcPr>
            <w:tcW w:w="642" w:type="pct"/>
            <w:noWrap w:val="0"/>
            <w:vAlign w:val="center"/>
          </w:tcPr>
          <w:p w14:paraId="2DCE15C8">
            <w:pPr>
              <w:keepNext w:val="0"/>
              <w:keepLines w:val="0"/>
              <w:pageBreakBefore w:val="0"/>
              <w:widowControl w:val="0"/>
              <w:wordWrap/>
              <w:topLinePunct w:val="0"/>
              <w:bidi w:val="0"/>
              <w:adjustRightInd w:val="0"/>
              <w:snapToGrid w:val="0"/>
              <w:spacing w:line="240" w:lineRule="auto"/>
              <w:ind w:firstLine="0" w:firstLineChars="0"/>
              <w:jc w:val="center"/>
              <w:textAlignment w:val="auto"/>
              <w:rPr>
                <w:rFonts w:ascii="Times New Roman" w:hAnsi="Times New Roman"/>
                <w:b w:val="0"/>
                <w:bCs/>
                <w:sz w:val="21"/>
                <w:szCs w:val="21"/>
                <w:u w:val="none"/>
              </w:rPr>
            </w:pPr>
            <w:r>
              <w:rPr>
                <w:rFonts w:ascii="Times New Roman" w:hAnsi="Times New Roman"/>
                <w:b w:val="0"/>
                <w:bCs/>
                <w:sz w:val="21"/>
                <w:szCs w:val="21"/>
                <w:u w:val="none"/>
              </w:rPr>
              <w:t>2 个</w:t>
            </w:r>
          </w:p>
        </w:tc>
      </w:tr>
      <w:tr w14:paraId="37F56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exact"/>
          <w:jc w:val="center"/>
        </w:trPr>
        <w:tc>
          <w:tcPr>
            <w:tcW w:w="306" w:type="pct"/>
            <w:noWrap w:val="0"/>
            <w:vAlign w:val="center"/>
          </w:tcPr>
          <w:p w14:paraId="4DF8B7C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19</w:t>
            </w:r>
          </w:p>
        </w:tc>
        <w:tc>
          <w:tcPr>
            <w:tcW w:w="1615" w:type="pct"/>
            <w:noWrap w:val="0"/>
            <w:vAlign w:val="center"/>
          </w:tcPr>
          <w:p w14:paraId="32FB919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保温水泵</w:t>
            </w:r>
          </w:p>
        </w:tc>
        <w:tc>
          <w:tcPr>
            <w:tcW w:w="2435" w:type="pct"/>
            <w:noWrap w:val="0"/>
            <w:vAlign w:val="center"/>
          </w:tcPr>
          <w:p w14:paraId="3264B55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CQB50-32-125P</w:t>
            </w:r>
            <w:r>
              <w:rPr>
                <w:rFonts w:ascii="Times New Roman" w:hAnsi="Times New Roman"/>
                <w:b w:val="0"/>
                <w:bCs/>
                <w:spacing w:val="103"/>
                <w:kern w:val="0"/>
                <w:sz w:val="21"/>
                <w:szCs w:val="21"/>
                <w:u w:val="none"/>
              </w:rPr>
              <w:t xml:space="preserve"> </w:t>
            </w:r>
            <w:r>
              <w:rPr>
                <w:rFonts w:ascii="Times New Roman" w:hAnsi="Times New Roman"/>
                <w:b w:val="0"/>
                <w:bCs/>
                <w:kern w:val="0"/>
                <w:sz w:val="21"/>
                <w:szCs w:val="21"/>
                <w:u w:val="none"/>
              </w:rPr>
              <w:t>3kw</w:t>
            </w:r>
          </w:p>
        </w:tc>
        <w:tc>
          <w:tcPr>
            <w:tcW w:w="642" w:type="pct"/>
            <w:noWrap w:val="0"/>
            <w:vAlign w:val="center"/>
          </w:tcPr>
          <w:p w14:paraId="5C3B2BC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4</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156CA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3D221C5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20</w:t>
            </w:r>
          </w:p>
        </w:tc>
        <w:tc>
          <w:tcPr>
            <w:tcW w:w="1615" w:type="pct"/>
            <w:noWrap w:val="0"/>
            <w:vAlign w:val="center"/>
          </w:tcPr>
          <w:p w14:paraId="3A8E26A1">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真空泵系统</w:t>
            </w:r>
          </w:p>
        </w:tc>
        <w:tc>
          <w:tcPr>
            <w:tcW w:w="2435" w:type="pct"/>
            <w:noWrap w:val="0"/>
            <w:vAlign w:val="center"/>
          </w:tcPr>
          <w:p w14:paraId="197BC4D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2BW6121B</w:t>
            </w:r>
          </w:p>
        </w:tc>
        <w:tc>
          <w:tcPr>
            <w:tcW w:w="642" w:type="pct"/>
            <w:noWrap w:val="0"/>
            <w:vAlign w:val="center"/>
          </w:tcPr>
          <w:p w14:paraId="40453C94">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套</w:t>
            </w:r>
          </w:p>
        </w:tc>
      </w:tr>
      <w:tr w14:paraId="0D254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exact"/>
          <w:jc w:val="center"/>
        </w:trPr>
        <w:tc>
          <w:tcPr>
            <w:tcW w:w="5000" w:type="pct"/>
            <w:gridSpan w:val="4"/>
            <w:noWrap w:val="0"/>
            <w:vAlign w:val="center"/>
          </w:tcPr>
          <w:p w14:paraId="5977B24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（三）凝固浴、回收</w:t>
            </w:r>
          </w:p>
        </w:tc>
      </w:tr>
      <w:tr w14:paraId="57EC0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6E14D8A4">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w w:val="99"/>
                <w:kern w:val="0"/>
                <w:sz w:val="21"/>
                <w:szCs w:val="21"/>
                <w:u w:val="none"/>
              </w:rPr>
              <w:t>1</w:t>
            </w:r>
          </w:p>
        </w:tc>
        <w:tc>
          <w:tcPr>
            <w:tcW w:w="1615" w:type="pct"/>
            <w:noWrap w:val="0"/>
            <w:vAlign w:val="center"/>
          </w:tcPr>
          <w:p w14:paraId="40AF10F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离子液储罐</w:t>
            </w:r>
          </w:p>
        </w:tc>
        <w:tc>
          <w:tcPr>
            <w:tcW w:w="2435" w:type="pct"/>
            <w:noWrap w:val="0"/>
            <w:vAlign w:val="center"/>
          </w:tcPr>
          <w:p w14:paraId="20621CC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V=15</w:t>
            </w:r>
            <w:r>
              <w:rPr>
                <w:rFonts w:ascii="Times New Roman" w:hAnsi="Times New Roman"/>
                <w:b w:val="0"/>
                <w:bCs/>
                <w:sz w:val="21"/>
                <w:szCs w:val="21"/>
                <w:u w:val="none"/>
              </w:rPr>
              <w:t>m</w:t>
            </w:r>
            <w:r>
              <w:rPr>
                <w:rFonts w:ascii="Times New Roman" w:hAnsi="Times New Roman"/>
                <w:b w:val="0"/>
                <w:bCs/>
                <w:sz w:val="21"/>
                <w:szCs w:val="21"/>
                <w:u w:val="none"/>
                <w:vertAlign w:val="superscript"/>
              </w:rPr>
              <w:t>3</w:t>
            </w:r>
          </w:p>
        </w:tc>
        <w:tc>
          <w:tcPr>
            <w:tcW w:w="642" w:type="pct"/>
            <w:noWrap w:val="0"/>
            <w:vAlign w:val="center"/>
          </w:tcPr>
          <w:p w14:paraId="3CA24174">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个</w:t>
            </w:r>
          </w:p>
        </w:tc>
      </w:tr>
      <w:tr w14:paraId="6EFAC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394E857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w w:val="99"/>
                <w:kern w:val="0"/>
                <w:sz w:val="21"/>
                <w:szCs w:val="21"/>
                <w:u w:val="none"/>
              </w:rPr>
              <w:t>2</w:t>
            </w:r>
          </w:p>
        </w:tc>
        <w:tc>
          <w:tcPr>
            <w:tcW w:w="1615" w:type="pct"/>
            <w:noWrap w:val="0"/>
            <w:vAlign w:val="center"/>
          </w:tcPr>
          <w:p w14:paraId="0219A764">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输送泵</w:t>
            </w:r>
          </w:p>
        </w:tc>
        <w:tc>
          <w:tcPr>
            <w:tcW w:w="2435" w:type="pct"/>
            <w:noWrap w:val="0"/>
            <w:vAlign w:val="center"/>
          </w:tcPr>
          <w:p w14:paraId="1ECBE1F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CQB50-32-125P</w:t>
            </w:r>
          </w:p>
        </w:tc>
        <w:tc>
          <w:tcPr>
            <w:tcW w:w="642" w:type="pct"/>
            <w:noWrap w:val="0"/>
            <w:vAlign w:val="center"/>
          </w:tcPr>
          <w:p w14:paraId="13E30A60">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118AD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1909D67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w w:val="99"/>
                <w:kern w:val="0"/>
                <w:sz w:val="21"/>
                <w:szCs w:val="21"/>
                <w:u w:val="none"/>
              </w:rPr>
              <w:t>3</w:t>
            </w:r>
          </w:p>
        </w:tc>
        <w:tc>
          <w:tcPr>
            <w:tcW w:w="1615" w:type="pct"/>
            <w:noWrap w:val="0"/>
            <w:vAlign w:val="center"/>
          </w:tcPr>
          <w:p w14:paraId="0562250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凝固浴地槽</w:t>
            </w:r>
          </w:p>
        </w:tc>
        <w:tc>
          <w:tcPr>
            <w:tcW w:w="2435" w:type="pct"/>
            <w:noWrap w:val="0"/>
            <w:vAlign w:val="center"/>
          </w:tcPr>
          <w:p w14:paraId="57EBC7B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V=48</w:t>
            </w:r>
            <w:r>
              <w:rPr>
                <w:rFonts w:ascii="Times New Roman" w:hAnsi="Times New Roman"/>
                <w:b w:val="0"/>
                <w:bCs/>
                <w:sz w:val="21"/>
                <w:szCs w:val="21"/>
                <w:u w:val="none"/>
              </w:rPr>
              <w:t>m</w:t>
            </w:r>
            <w:r>
              <w:rPr>
                <w:rFonts w:ascii="Times New Roman" w:hAnsi="Times New Roman"/>
                <w:b w:val="0"/>
                <w:bCs/>
                <w:sz w:val="21"/>
                <w:szCs w:val="21"/>
                <w:u w:val="none"/>
                <w:vertAlign w:val="superscript"/>
              </w:rPr>
              <w:t>3</w:t>
            </w:r>
          </w:p>
        </w:tc>
        <w:tc>
          <w:tcPr>
            <w:tcW w:w="642" w:type="pct"/>
            <w:noWrap w:val="0"/>
            <w:vAlign w:val="center"/>
          </w:tcPr>
          <w:p w14:paraId="6F6205D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个</w:t>
            </w:r>
          </w:p>
        </w:tc>
      </w:tr>
      <w:tr w14:paraId="6B7D7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239FDEE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w w:val="99"/>
                <w:kern w:val="0"/>
                <w:sz w:val="21"/>
                <w:szCs w:val="21"/>
                <w:u w:val="none"/>
              </w:rPr>
              <w:t>4</w:t>
            </w:r>
          </w:p>
        </w:tc>
        <w:tc>
          <w:tcPr>
            <w:tcW w:w="1615" w:type="pct"/>
            <w:noWrap w:val="0"/>
            <w:vAlign w:val="center"/>
          </w:tcPr>
          <w:p w14:paraId="6452A15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板式换热器</w:t>
            </w:r>
          </w:p>
        </w:tc>
        <w:tc>
          <w:tcPr>
            <w:tcW w:w="2435" w:type="pct"/>
            <w:noWrap w:val="0"/>
            <w:vAlign w:val="center"/>
          </w:tcPr>
          <w:p w14:paraId="7243BDA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SH352-M10-212</w:t>
            </w:r>
          </w:p>
        </w:tc>
        <w:tc>
          <w:tcPr>
            <w:tcW w:w="642" w:type="pct"/>
            <w:noWrap w:val="0"/>
            <w:vAlign w:val="center"/>
          </w:tcPr>
          <w:p w14:paraId="73E5642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5</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4F2FF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74786B6A">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w w:val="99"/>
                <w:kern w:val="0"/>
                <w:sz w:val="21"/>
                <w:szCs w:val="21"/>
                <w:u w:val="none"/>
              </w:rPr>
              <w:t>5</w:t>
            </w:r>
          </w:p>
        </w:tc>
        <w:tc>
          <w:tcPr>
            <w:tcW w:w="1615" w:type="pct"/>
            <w:noWrap w:val="0"/>
            <w:vAlign w:val="center"/>
          </w:tcPr>
          <w:p w14:paraId="39CB979A">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循环泵</w:t>
            </w:r>
          </w:p>
        </w:tc>
        <w:tc>
          <w:tcPr>
            <w:tcW w:w="2435" w:type="pct"/>
            <w:noWrap w:val="0"/>
            <w:vAlign w:val="center"/>
          </w:tcPr>
          <w:p w14:paraId="5CDEFBC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KQSN350-M17S</w:t>
            </w:r>
          </w:p>
        </w:tc>
        <w:tc>
          <w:tcPr>
            <w:tcW w:w="642" w:type="pct"/>
            <w:noWrap w:val="0"/>
            <w:vAlign w:val="center"/>
          </w:tcPr>
          <w:p w14:paraId="1691ABF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3</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1AE22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7D922F2A">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w w:val="99"/>
                <w:kern w:val="0"/>
                <w:sz w:val="21"/>
                <w:szCs w:val="21"/>
                <w:u w:val="none"/>
              </w:rPr>
              <w:t>6</w:t>
            </w:r>
          </w:p>
        </w:tc>
        <w:tc>
          <w:tcPr>
            <w:tcW w:w="1615" w:type="pct"/>
            <w:noWrap w:val="0"/>
            <w:vAlign w:val="center"/>
          </w:tcPr>
          <w:p w14:paraId="7294363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过滤器</w:t>
            </w:r>
          </w:p>
        </w:tc>
        <w:tc>
          <w:tcPr>
            <w:tcW w:w="2435" w:type="pct"/>
            <w:noWrap w:val="0"/>
            <w:vAlign w:val="center"/>
          </w:tcPr>
          <w:p w14:paraId="134C51D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CVBM-0224-304-F350P16</w:t>
            </w:r>
          </w:p>
        </w:tc>
        <w:tc>
          <w:tcPr>
            <w:tcW w:w="642" w:type="pct"/>
            <w:noWrap w:val="0"/>
            <w:vAlign w:val="center"/>
          </w:tcPr>
          <w:p w14:paraId="600C0DE0">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5</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27F6C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3A5F68D0">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w w:val="99"/>
                <w:kern w:val="0"/>
                <w:sz w:val="21"/>
                <w:szCs w:val="21"/>
                <w:u w:val="none"/>
              </w:rPr>
              <w:t>7</w:t>
            </w:r>
          </w:p>
        </w:tc>
        <w:tc>
          <w:tcPr>
            <w:tcW w:w="1615" w:type="pct"/>
            <w:noWrap w:val="0"/>
            <w:vAlign w:val="center"/>
          </w:tcPr>
          <w:p w14:paraId="6CAB626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高位槽</w:t>
            </w:r>
          </w:p>
        </w:tc>
        <w:tc>
          <w:tcPr>
            <w:tcW w:w="2435" w:type="pct"/>
            <w:noWrap w:val="0"/>
            <w:vAlign w:val="center"/>
          </w:tcPr>
          <w:p w14:paraId="4679016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V=20</w:t>
            </w:r>
            <w:r>
              <w:rPr>
                <w:rFonts w:ascii="Times New Roman" w:hAnsi="Times New Roman"/>
                <w:b w:val="0"/>
                <w:bCs/>
                <w:sz w:val="21"/>
                <w:szCs w:val="21"/>
                <w:u w:val="none"/>
              </w:rPr>
              <w:t xml:space="preserve"> m</w:t>
            </w:r>
            <w:r>
              <w:rPr>
                <w:rFonts w:ascii="Times New Roman" w:hAnsi="Times New Roman"/>
                <w:b w:val="0"/>
                <w:bCs/>
                <w:sz w:val="21"/>
                <w:szCs w:val="21"/>
                <w:u w:val="none"/>
                <w:vertAlign w:val="superscript"/>
              </w:rPr>
              <w:t>3</w:t>
            </w:r>
          </w:p>
        </w:tc>
        <w:tc>
          <w:tcPr>
            <w:tcW w:w="642" w:type="pct"/>
            <w:noWrap w:val="0"/>
            <w:vAlign w:val="center"/>
          </w:tcPr>
          <w:p w14:paraId="335F3C8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个</w:t>
            </w:r>
          </w:p>
        </w:tc>
      </w:tr>
      <w:tr w14:paraId="7BDBD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2E2A5DE1">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w w:val="99"/>
                <w:kern w:val="0"/>
                <w:sz w:val="21"/>
                <w:szCs w:val="21"/>
                <w:u w:val="none"/>
              </w:rPr>
              <w:t>8</w:t>
            </w:r>
          </w:p>
        </w:tc>
        <w:tc>
          <w:tcPr>
            <w:tcW w:w="1615" w:type="pct"/>
            <w:noWrap w:val="0"/>
            <w:vAlign w:val="center"/>
          </w:tcPr>
          <w:p w14:paraId="1A5FBF1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回流槽</w:t>
            </w:r>
          </w:p>
        </w:tc>
        <w:tc>
          <w:tcPr>
            <w:tcW w:w="2435" w:type="pct"/>
            <w:noWrap w:val="0"/>
            <w:vAlign w:val="center"/>
          </w:tcPr>
          <w:p w14:paraId="1AF374A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V=10</w:t>
            </w:r>
            <w:r>
              <w:rPr>
                <w:rFonts w:ascii="Times New Roman" w:hAnsi="Times New Roman"/>
                <w:b w:val="0"/>
                <w:bCs/>
                <w:sz w:val="21"/>
                <w:szCs w:val="21"/>
                <w:u w:val="none"/>
              </w:rPr>
              <w:t xml:space="preserve"> m</w:t>
            </w:r>
            <w:r>
              <w:rPr>
                <w:rFonts w:ascii="Times New Roman" w:hAnsi="Times New Roman"/>
                <w:b w:val="0"/>
                <w:bCs/>
                <w:sz w:val="21"/>
                <w:szCs w:val="21"/>
                <w:u w:val="none"/>
                <w:vertAlign w:val="superscript"/>
              </w:rPr>
              <w:t>3</w:t>
            </w:r>
          </w:p>
        </w:tc>
        <w:tc>
          <w:tcPr>
            <w:tcW w:w="642" w:type="pct"/>
            <w:noWrap w:val="0"/>
            <w:vAlign w:val="center"/>
          </w:tcPr>
          <w:p w14:paraId="7D65920E">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7</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个</w:t>
            </w:r>
          </w:p>
        </w:tc>
      </w:tr>
      <w:tr w14:paraId="1C96A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2254BB3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w w:val="99"/>
                <w:kern w:val="0"/>
                <w:sz w:val="21"/>
                <w:szCs w:val="21"/>
                <w:u w:val="none"/>
              </w:rPr>
              <w:t>9</w:t>
            </w:r>
          </w:p>
        </w:tc>
        <w:tc>
          <w:tcPr>
            <w:tcW w:w="1615" w:type="pct"/>
            <w:noWrap w:val="0"/>
            <w:vAlign w:val="center"/>
          </w:tcPr>
          <w:p w14:paraId="6FD36DC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输送泵</w:t>
            </w:r>
          </w:p>
        </w:tc>
        <w:tc>
          <w:tcPr>
            <w:tcW w:w="2435" w:type="pct"/>
            <w:noWrap w:val="0"/>
            <w:vAlign w:val="center"/>
          </w:tcPr>
          <w:p w14:paraId="1987B78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QWH65-106B-II</w:t>
            </w:r>
          </w:p>
        </w:tc>
        <w:tc>
          <w:tcPr>
            <w:tcW w:w="642" w:type="pct"/>
            <w:noWrap w:val="0"/>
            <w:vAlign w:val="center"/>
          </w:tcPr>
          <w:p w14:paraId="22290B0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6</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5777B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0AAF82B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10</w:t>
            </w:r>
          </w:p>
        </w:tc>
        <w:tc>
          <w:tcPr>
            <w:tcW w:w="1615" w:type="pct"/>
            <w:noWrap w:val="0"/>
            <w:vAlign w:val="center"/>
          </w:tcPr>
          <w:p w14:paraId="704680E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MVR蒸发装置</w:t>
            </w:r>
          </w:p>
        </w:tc>
        <w:tc>
          <w:tcPr>
            <w:tcW w:w="2435" w:type="pct"/>
            <w:noWrap w:val="0"/>
            <w:vAlign w:val="center"/>
          </w:tcPr>
          <w:p w14:paraId="320B0EB4">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处理量</w:t>
            </w:r>
            <w:r>
              <w:rPr>
                <w:rFonts w:ascii="Times New Roman" w:hAnsi="Times New Roman"/>
                <w:b w:val="0"/>
                <w:bCs/>
                <w:spacing w:val="-55"/>
                <w:kern w:val="0"/>
                <w:sz w:val="21"/>
                <w:szCs w:val="21"/>
                <w:u w:val="none"/>
              </w:rPr>
              <w:t xml:space="preserve"> </w:t>
            </w:r>
            <w:r>
              <w:rPr>
                <w:rFonts w:hint="eastAsia" w:ascii="Times New Roman" w:hAnsi="Times New Roman"/>
                <w:b w:val="0"/>
                <w:bCs/>
                <w:kern w:val="0"/>
                <w:sz w:val="21"/>
                <w:szCs w:val="21"/>
                <w:u w:val="none"/>
              </w:rPr>
              <w:t>20</w:t>
            </w:r>
            <w:r>
              <w:rPr>
                <w:rFonts w:ascii="Times New Roman" w:hAnsi="Times New Roman"/>
                <w:b w:val="0"/>
                <w:bCs/>
                <w:kern w:val="0"/>
                <w:sz w:val="21"/>
                <w:szCs w:val="21"/>
                <w:u w:val="none"/>
              </w:rPr>
              <w:t>t/h</w:t>
            </w:r>
          </w:p>
        </w:tc>
        <w:tc>
          <w:tcPr>
            <w:tcW w:w="642" w:type="pct"/>
            <w:noWrap w:val="0"/>
            <w:vAlign w:val="center"/>
          </w:tcPr>
          <w:p w14:paraId="6A35C7B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套</w:t>
            </w:r>
          </w:p>
        </w:tc>
      </w:tr>
      <w:tr w14:paraId="7FB8D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009F7421">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11</w:t>
            </w:r>
          </w:p>
        </w:tc>
        <w:tc>
          <w:tcPr>
            <w:tcW w:w="1615" w:type="pct"/>
            <w:noWrap w:val="0"/>
            <w:vAlign w:val="center"/>
          </w:tcPr>
          <w:p w14:paraId="37066A2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浓缩液罐</w:t>
            </w:r>
          </w:p>
        </w:tc>
        <w:tc>
          <w:tcPr>
            <w:tcW w:w="2435" w:type="pct"/>
            <w:noWrap w:val="0"/>
            <w:vAlign w:val="center"/>
          </w:tcPr>
          <w:p w14:paraId="6CBF565D">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V=15</w:t>
            </w:r>
            <w:r>
              <w:rPr>
                <w:rFonts w:ascii="Times New Roman" w:hAnsi="Times New Roman"/>
                <w:b w:val="0"/>
                <w:bCs/>
                <w:sz w:val="21"/>
                <w:szCs w:val="21"/>
                <w:u w:val="none"/>
              </w:rPr>
              <w:t>m</w:t>
            </w:r>
            <w:r>
              <w:rPr>
                <w:rFonts w:ascii="Times New Roman" w:hAnsi="Times New Roman"/>
                <w:b w:val="0"/>
                <w:bCs/>
                <w:sz w:val="21"/>
                <w:szCs w:val="21"/>
                <w:u w:val="none"/>
                <w:vertAlign w:val="superscript"/>
              </w:rPr>
              <w:t>3</w:t>
            </w:r>
          </w:p>
        </w:tc>
        <w:tc>
          <w:tcPr>
            <w:tcW w:w="642" w:type="pct"/>
            <w:noWrap w:val="0"/>
            <w:vAlign w:val="center"/>
          </w:tcPr>
          <w:p w14:paraId="528CE18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4</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5989A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25565BA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12</w:t>
            </w:r>
          </w:p>
        </w:tc>
        <w:tc>
          <w:tcPr>
            <w:tcW w:w="1615" w:type="pct"/>
            <w:noWrap w:val="0"/>
            <w:vAlign w:val="center"/>
          </w:tcPr>
          <w:p w14:paraId="1A3DFA2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输送泵</w:t>
            </w:r>
          </w:p>
        </w:tc>
        <w:tc>
          <w:tcPr>
            <w:tcW w:w="2435" w:type="pct"/>
            <w:noWrap w:val="0"/>
            <w:vAlign w:val="center"/>
          </w:tcPr>
          <w:p w14:paraId="3C10CFA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KQWH65-160(I)B-II</w:t>
            </w:r>
          </w:p>
        </w:tc>
        <w:tc>
          <w:tcPr>
            <w:tcW w:w="642" w:type="pct"/>
            <w:noWrap w:val="0"/>
            <w:vAlign w:val="center"/>
          </w:tcPr>
          <w:p w14:paraId="0995CAF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70826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19FCC44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13</w:t>
            </w:r>
          </w:p>
        </w:tc>
        <w:tc>
          <w:tcPr>
            <w:tcW w:w="1615" w:type="pct"/>
            <w:noWrap w:val="0"/>
            <w:vAlign w:val="center"/>
          </w:tcPr>
          <w:p w14:paraId="37604E8A">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过滤器</w:t>
            </w:r>
          </w:p>
        </w:tc>
        <w:tc>
          <w:tcPr>
            <w:tcW w:w="2435" w:type="pct"/>
            <w:noWrap w:val="0"/>
            <w:vAlign w:val="center"/>
          </w:tcPr>
          <w:p w14:paraId="6D46D7E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CVCD-40104-304-F125P16</w:t>
            </w:r>
          </w:p>
        </w:tc>
        <w:tc>
          <w:tcPr>
            <w:tcW w:w="642" w:type="pct"/>
            <w:noWrap w:val="0"/>
            <w:vAlign w:val="center"/>
          </w:tcPr>
          <w:p w14:paraId="538382D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3</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52761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21A662C1">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14</w:t>
            </w:r>
          </w:p>
        </w:tc>
        <w:tc>
          <w:tcPr>
            <w:tcW w:w="1615" w:type="pct"/>
            <w:noWrap w:val="0"/>
            <w:vAlign w:val="center"/>
          </w:tcPr>
          <w:p w14:paraId="24C0B3B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压滤机</w:t>
            </w:r>
          </w:p>
        </w:tc>
        <w:tc>
          <w:tcPr>
            <w:tcW w:w="2435" w:type="pct"/>
            <w:noWrap w:val="0"/>
            <w:vAlign w:val="center"/>
          </w:tcPr>
          <w:p w14:paraId="2B30C86D">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1300</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目</w:t>
            </w:r>
          </w:p>
        </w:tc>
        <w:tc>
          <w:tcPr>
            <w:tcW w:w="642" w:type="pct"/>
            <w:noWrap w:val="0"/>
            <w:vAlign w:val="center"/>
          </w:tcPr>
          <w:p w14:paraId="52EE9651">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6E969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13F2BBD0">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15</w:t>
            </w:r>
          </w:p>
        </w:tc>
        <w:tc>
          <w:tcPr>
            <w:tcW w:w="1615" w:type="pct"/>
            <w:noWrap w:val="0"/>
            <w:vAlign w:val="center"/>
          </w:tcPr>
          <w:p w14:paraId="74E03C3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储料罐</w:t>
            </w:r>
          </w:p>
        </w:tc>
        <w:tc>
          <w:tcPr>
            <w:tcW w:w="2435" w:type="pct"/>
            <w:noWrap w:val="0"/>
            <w:vAlign w:val="center"/>
          </w:tcPr>
          <w:p w14:paraId="3E67AB4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V=20</w:t>
            </w:r>
            <w:r>
              <w:rPr>
                <w:rFonts w:ascii="Times New Roman" w:hAnsi="Times New Roman"/>
                <w:b w:val="0"/>
                <w:bCs/>
                <w:sz w:val="21"/>
                <w:szCs w:val="21"/>
                <w:u w:val="none"/>
              </w:rPr>
              <w:t>m</w:t>
            </w:r>
            <w:r>
              <w:rPr>
                <w:rFonts w:ascii="Times New Roman" w:hAnsi="Times New Roman"/>
                <w:b w:val="0"/>
                <w:bCs/>
                <w:sz w:val="21"/>
                <w:szCs w:val="21"/>
                <w:u w:val="none"/>
                <w:vertAlign w:val="superscript"/>
              </w:rPr>
              <w:t>3</w:t>
            </w:r>
          </w:p>
        </w:tc>
        <w:tc>
          <w:tcPr>
            <w:tcW w:w="642" w:type="pct"/>
            <w:noWrap w:val="0"/>
            <w:vAlign w:val="center"/>
          </w:tcPr>
          <w:p w14:paraId="62F3092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个</w:t>
            </w:r>
          </w:p>
        </w:tc>
      </w:tr>
      <w:tr w14:paraId="447E0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5A5F16F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16</w:t>
            </w:r>
          </w:p>
        </w:tc>
        <w:tc>
          <w:tcPr>
            <w:tcW w:w="1615" w:type="pct"/>
            <w:noWrap w:val="0"/>
            <w:vAlign w:val="center"/>
          </w:tcPr>
          <w:p w14:paraId="7B0999E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输送泵</w:t>
            </w:r>
          </w:p>
        </w:tc>
        <w:tc>
          <w:tcPr>
            <w:tcW w:w="2435" w:type="pct"/>
            <w:noWrap w:val="0"/>
            <w:vAlign w:val="center"/>
          </w:tcPr>
          <w:p w14:paraId="410B949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QWH65-106B-II</w:t>
            </w:r>
          </w:p>
        </w:tc>
        <w:tc>
          <w:tcPr>
            <w:tcW w:w="642" w:type="pct"/>
            <w:noWrap w:val="0"/>
            <w:vAlign w:val="center"/>
          </w:tcPr>
          <w:p w14:paraId="1E99E25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186AE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5F41E4C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17</w:t>
            </w:r>
          </w:p>
        </w:tc>
        <w:tc>
          <w:tcPr>
            <w:tcW w:w="1615" w:type="pct"/>
            <w:noWrap w:val="0"/>
            <w:vAlign w:val="center"/>
          </w:tcPr>
          <w:p w14:paraId="549B2ED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调配罐</w:t>
            </w:r>
          </w:p>
        </w:tc>
        <w:tc>
          <w:tcPr>
            <w:tcW w:w="2435" w:type="pct"/>
            <w:noWrap w:val="0"/>
            <w:vAlign w:val="center"/>
          </w:tcPr>
          <w:p w14:paraId="2BC4419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V=15</w:t>
            </w:r>
            <w:r>
              <w:rPr>
                <w:rFonts w:ascii="Times New Roman" w:hAnsi="Times New Roman"/>
                <w:b w:val="0"/>
                <w:bCs/>
                <w:sz w:val="21"/>
                <w:szCs w:val="21"/>
                <w:u w:val="none"/>
              </w:rPr>
              <w:t xml:space="preserve"> m</w:t>
            </w:r>
            <w:r>
              <w:rPr>
                <w:rFonts w:ascii="Times New Roman" w:hAnsi="Times New Roman"/>
                <w:b w:val="0"/>
                <w:bCs/>
                <w:sz w:val="21"/>
                <w:szCs w:val="21"/>
                <w:u w:val="none"/>
                <w:vertAlign w:val="superscript"/>
              </w:rPr>
              <w:t>3</w:t>
            </w:r>
          </w:p>
        </w:tc>
        <w:tc>
          <w:tcPr>
            <w:tcW w:w="642" w:type="pct"/>
            <w:noWrap w:val="0"/>
            <w:vAlign w:val="center"/>
          </w:tcPr>
          <w:p w14:paraId="36BC406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个</w:t>
            </w:r>
          </w:p>
        </w:tc>
      </w:tr>
      <w:tr w14:paraId="084B0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622177FA">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18</w:t>
            </w:r>
          </w:p>
        </w:tc>
        <w:tc>
          <w:tcPr>
            <w:tcW w:w="1615" w:type="pct"/>
            <w:noWrap w:val="0"/>
            <w:vAlign w:val="center"/>
          </w:tcPr>
          <w:p w14:paraId="6381A4F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输送泵</w:t>
            </w:r>
          </w:p>
        </w:tc>
        <w:tc>
          <w:tcPr>
            <w:tcW w:w="2435" w:type="pct"/>
            <w:noWrap w:val="0"/>
            <w:vAlign w:val="center"/>
          </w:tcPr>
          <w:p w14:paraId="7B2F6BA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QWH65-106B-II</w:t>
            </w:r>
            <w:r>
              <w:rPr>
                <w:rFonts w:ascii="Times New Roman" w:hAnsi="Times New Roman"/>
                <w:b w:val="0"/>
                <w:bCs/>
                <w:spacing w:val="104"/>
                <w:kern w:val="0"/>
                <w:sz w:val="21"/>
                <w:szCs w:val="21"/>
                <w:u w:val="none"/>
              </w:rPr>
              <w:t xml:space="preserve"> </w:t>
            </w:r>
            <w:r>
              <w:rPr>
                <w:rFonts w:ascii="Times New Roman" w:hAnsi="Times New Roman"/>
                <w:b w:val="0"/>
                <w:bCs/>
                <w:kern w:val="0"/>
                <w:sz w:val="21"/>
                <w:szCs w:val="21"/>
                <w:u w:val="none"/>
              </w:rPr>
              <w:t>3KW</w:t>
            </w:r>
          </w:p>
        </w:tc>
        <w:tc>
          <w:tcPr>
            <w:tcW w:w="642" w:type="pct"/>
            <w:noWrap w:val="0"/>
            <w:vAlign w:val="center"/>
          </w:tcPr>
          <w:p w14:paraId="379A069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5238C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5C01D91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19</w:t>
            </w:r>
          </w:p>
        </w:tc>
        <w:tc>
          <w:tcPr>
            <w:tcW w:w="1615" w:type="pct"/>
            <w:noWrap w:val="0"/>
            <w:vAlign w:val="center"/>
          </w:tcPr>
          <w:p w14:paraId="62C2929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絮凝罐</w:t>
            </w:r>
          </w:p>
        </w:tc>
        <w:tc>
          <w:tcPr>
            <w:tcW w:w="2435" w:type="pct"/>
            <w:noWrap w:val="0"/>
            <w:vAlign w:val="center"/>
          </w:tcPr>
          <w:p w14:paraId="14C0C7F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V=15</w:t>
            </w:r>
            <w:r>
              <w:rPr>
                <w:rFonts w:ascii="Times New Roman" w:hAnsi="Times New Roman"/>
                <w:b w:val="0"/>
                <w:bCs/>
                <w:sz w:val="21"/>
                <w:szCs w:val="21"/>
                <w:u w:val="none"/>
              </w:rPr>
              <w:t xml:space="preserve"> m</w:t>
            </w:r>
            <w:r>
              <w:rPr>
                <w:rFonts w:ascii="Times New Roman" w:hAnsi="Times New Roman"/>
                <w:b w:val="0"/>
                <w:bCs/>
                <w:sz w:val="21"/>
                <w:szCs w:val="21"/>
                <w:u w:val="none"/>
                <w:vertAlign w:val="superscript"/>
              </w:rPr>
              <w:t>3</w:t>
            </w:r>
          </w:p>
        </w:tc>
        <w:tc>
          <w:tcPr>
            <w:tcW w:w="642" w:type="pct"/>
            <w:noWrap w:val="0"/>
            <w:vAlign w:val="center"/>
          </w:tcPr>
          <w:p w14:paraId="0FD61FB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4</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个</w:t>
            </w:r>
          </w:p>
        </w:tc>
      </w:tr>
      <w:tr w14:paraId="4D449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4BABBEF1">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20</w:t>
            </w:r>
          </w:p>
        </w:tc>
        <w:tc>
          <w:tcPr>
            <w:tcW w:w="1615" w:type="pct"/>
            <w:noWrap w:val="0"/>
            <w:vAlign w:val="center"/>
          </w:tcPr>
          <w:p w14:paraId="227C8AA1">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输送泵</w:t>
            </w:r>
          </w:p>
        </w:tc>
        <w:tc>
          <w:tcPr>
            <w:tcW w:w="2435" w:type="pct"/>
            <w:noWrap w:val="0"/>
            <w:vAlign w:val="center"/>
          </w:tcPr>
          <w:p w14:paraId="4D9C070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QWH65-106B-II</w:t>
            </w:r>
            <w:r>
              <w:rPr>
                <w:rFonts w:ascii="Times New Roman" w:hAnsi="Times New Roman"/>
                <w:b w:val="0"/>
                <w:bCs/>
                <w:spacing w:val="104"/>
                <w:kern w:val="0"/>
                <w:sz w:val="21"/>
                <w:szCs w:val="21"/>
                <w:u w:val="none"/>
              </w:rPr>
              <w:t xml:space="preserve"> </w:t>
            </w:r>
            <w:r>
              <w:rPr>
                <w:rFonts w:ascii="Times New Roman" w:hAnsi="Times New Roman"/>
                <w:b w:val="0"/>
                <w:bCs/>
                <w:kern w:val="0"/>
                <w:sz w:val="21"/>
                <w:szCs w:val="21"/>
                <w:u w:val="none"/>
              </w:rPr>
              <w:t>3KW</w:t>
            </w:r>
          </w:p>
        </w:tc>
        <w:tc>
          <w:tcPr>
            <w:tcW w:w="642" w:type="pct"/>
            <w:noWrap w:val="0"/>
            <w:vAlign w:val="center"/>
          </w:tcPr>
          <w:p w14:paraId="5CF2CCC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4</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59A76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5FA275FD">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21</w:t>
            </w:r>
          </w:p>
        </w:tc>
        <w:tc>
          <w:tcPr>
            <w:tcW w:w="1615" w:type="pct"/>
            <w:noWrap w:val="0"/>
            <w:vAlign w:val="center"/>
          </w:tcPr>
          <w:p w14:paraId="08D5F96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储料槽</w:t>
            </w:r>
          </w:p>
        </w:tc>
        <w:tc>
          <w:tcPr>
            <w:tcW w:w="2435" w:type="pct"/>
            <w:noWrap w:val="0"/>
            <w:vAlign w:val="center"/>
          </w:tcPr>
          <w:p w14:paraId="2C5BCB3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V=15</w:t>
            </w:r>
            <w:r>
              <w:rPr>
                <w:rFonts w:ascii="Times New Roman" w:hAnsi="Times New Roman"/>
                <w:b w:val="0"/>
                <w:bCs/>
                <w:sz w:val="21"/>
                <w:szCs w:val="21"/>
                <w:u w:val="none"/>
              </w:rPr>
              <w:t xml:space="preserve"> m</w:t>
            </w:r>
            <w:r>
              <w:rPr>
                <w:rFonts w:ascii="Times New Roman" w:hAnsi="Times New Roman"/>
                <w:b w:val="0"/>
                <w:bCs/>
                <w:sz w:val="21"/>
                <w:szCs w:val="21"/>
                <w:u w:val="none"/>
                <w:vertAlign w:val="superscript"/>
              </w:rPr>
              <w:t>3</w:t>
            </w:r>
          </w:p>
        </w:tc>
        <w:tc>
          <w:tcPr>
            <w:tcW w:w="642" w:type="pct"/>
            <w:noWrap w:val="0"/>
            <w:vAlign w:val="center"/>
          </w:tcPr>
          <w:p w14:paraId="56EC898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3</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个</w:t>
            </w:r>
          </w:p>
        </w:tc>
      </w:tr>
      <w:tr w14:paraId="67781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342D755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22</w:t>
            </w:r>
          </w:p>
        </w:tc>
        <w:tc>
          <w:tcPr>
            <w:tcW w:w="1615" w:type="pct"/>
            <w:noWrap w:val="0"/>
            <w:vAlign w:val="center"/>
          </w:tcPr>
          <w:p w14:paraId="00DD8FC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输送泵</w:t>
            </w:r>
          </w:p>
        </w:tc>
        <w:tc>
          <w:tcPr>
            <w:tcW w:w="2435" w:type="pct"/>
            <w:noWrap w:val="0"/>
            <w:vAlign w:val="center"/>
          </w:tcPr>
          <w:p w14:paraId="7D34F19A">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QWH65-106B-II</w:t>
            </w:r>
            <w:r>
              <w:rPr>
                <w:rFonts w:ascii="Times New Roman" w:hAnsi="Times New Roman"/>
                <w:b w:val="0"/>
                <w:bCs/>
                <w:spacing w:val="104"/>
                <w:kern w:val="0"/>
                <w:sz w:val="21"/>
                <w:szCs w:val="21"/>
                <w:u w:val="none"/>
              </w:rPr>
              <w:t xml:space="preserve"> </w:t>
            </w:r>
            <w:r>
              <w:rPr>
                <w:rFonts w:ascii="Times New Roman" w:hAnsi="Times New Roman"/>
                <w:b w:val="0"/>
                <w:bCs/>
                <w:kern w:val="0"/>
                <w:sz w:val="21"/>
                <w:szCs w:val="21"/>
                <w:u w:val="none"/>
              </w:rPr>
              <w:t>3KW</w:t>
            </w:r>
          </w:p>
        </w:tc>
        <w:tc>
          <w:tcPr>
            <w:tcW w:w="642" w:type="pct"/>
            <w:noWrap w:val="0"/>
            <w:vAlign w:val="center"/>
          </w:tcPr>
          <w:p w14:paraId="083EBD8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4</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76292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202308B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23</w:t>
            </w:r>
          </w:p>
        </w:tc>
        <w:tc>
          <w:tcPr>
            <w:tcW w:w="1615" w:type="pct"/>
            <w:noWrap w:val="0"/>
            <w:vAlign w:val="center"/>
          </w:tcPr>
          <w:p w14:paraId="1E3D712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水洗槽</w:t>
            </w:r>
          </w:p>
        </w:tc>
        <w:tc>
          <w:tcPr>
            <w:tcW w:w="2435" w:type="pct"/>
            <w:noWrap w:val="0"/>
            <w:vAlign w:val="center"/>
          </w:tcPr>
          <w:p w14:paraId="0442584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V=10</w:t>
            </w:r>
            <w:r>
              <w:rPr>
                <w:rFonts w:ascii="Times New Roman" w:hAnsi="Times New Roman"/>
                <w:b w:val="0"/>
                <w:bCs/>
                <w:sz w:val="21"/>
                <w:szCs w:val="21"/>
                <w:u w:val="none"/>
              </w:rPr>
              <w:t xml:space="preserve"> m</w:t>
            </w:r>
            <w:r>
              <w:rPr>
                <w:rFonts w:ascii="Times New Roman" w:hAnsi="Times New Roman"/>
                <w:b w:val="0"/>
                <w:bCs/>
                <w:sz w:val="21"/>
                <w:szCs w:val="21"/>
                <w:u w:val="none"/>
                <w:vertAlign w:val="superscript"/>
              </w:rPr>
              <w:t>3</w:t>
            </w:r>
          </w:p>
        </w:tc>
        <w:tc>
          <w:tcPr>
            <w:tcW w:w="642" w:type="pct"/>
            <w:noWrap w:val="0"/>
            <w:vAlign w:val="center"/>
          </w:tcPr>
          <w:p w14:paraId="29A2865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6</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个</w:t>
            </w:r>
          </w:p>
        </w:tc>
      </w:tr>
      <w:tr w14:paraId="03EF9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306" w:type="pct"/>
            <w:noWrap w:val="0"/>
            <w:vAlign w:val="center"/>
          </w:tcPr>
          <w:p w14:paraId="0D75F06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24</w:t>
            </w:r>
          </w:p>
        </w:tc>
        <w:tc>
          <w:tcPr>
            <w:tcW w:w="1615" w:type="pct"/>
            <w:noWrap w:val="0"/>
            <w:vAlign w:val="center"/>
          </w:tcPr>
          <w:p w14:paraId="3C0346F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水洗泵</w:t>
            </w:r>
          </w:p>
        </w:tc>
        <w:tc>
          <w:tcPr>
            <w:tcW w:w="2435" w:type="pct"/>
            <w:noWrap w:val="0"/>
            <w:vAlign w:val="center"/>
          </w:tcPr>
          <w:p w14:paraId="5E472B8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CBQ32-20-160P 2.2KW</w:t>
            </w:r>
          </w:p>
        </w:tc>
        <w:tc>
          <w:tcPr>
            <w:tcW w:w="642" w:type="pct"/>
            <w:noWrap w:val="0"/>
            <w:vAlign w:val="center"/>
          </w:tcPr>
          <w:p w14:paraId="3DCCD91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6</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台</w:t>
            </w:r>
          </w:p>
        </w:tc>
      </w:tr>
      <w:tr w14:paraId="7D035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exact"/>
          <w:jc w:val="center"/>
        </w:trPr>
        <w:tc>
          <w:tcPr>
            <w:tcW w:w="306" w:type="pct"/>
            <w:noWrap w:val="0"/>
            <w:vAlign w:val="center"/>
          </w:tcPr>
          <w:p w14:paraId="1F6D994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25</w:t>
            </w:r>
          </w:p>
        </w:tc>
        <w:tc>
          <w:tcPr>
            <w:tcW w:w="1615" w:type="pct"/>
            <w:noWrap w:val="0"/>
            <w:vAlign w:val="center"/>
          </w:tcPr>
          <w:p w14:paraId="2F1AFF9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RO</w:t>
            </w:r>
            <w:r>
              <w:rPr>
                <w:rFonts w:ascii="Times New Roman" w:hAnsi="Times New Roman"/>
                <w:b w:val="0"/>
                <w:bCs/>
                <w:spacing w:val="-54"/>
                <w:kern w:val="0"/>
                <w:sz w:val="21"/>
                <w:szCs w:val="21"/>
                <w:u w:val="none"/>
              </w:rPr>
              <w:t xml:space="preserve"> </w:t>
            </w:r>
            <w:r>
              <w:rPr>
                <w:rFonts w:hint="eastAsia" w:ascii="Times New Roman" w:hAnsi="Times New Roman"/>
                <w:b w:val="0"/>
                <w:bCs/>
                <w:kern w:val="0"/>
                <w:sz w:val="21"/>
                <w:szCs w:val="21"/>
                <w:u w:val="none"/>
              </w:rPr>
              <w:t>装置</w:t>
            </w:r>
          </w:p>
        </w:tc>
        <w:tc>
          <w:tcPr>
            <w:tcW w:w="2435" w:type="pct"/>
            <w:noWrap w:val="0"/>
            <w:vAlign w:val="center"/>
          </w:tcPr>
          <w:p w14:paraId="69AEC20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15</w:t>
            </w:r>
            <w:r>
              <w:rPr>
                <w:rFonts w:ascii="Times New Roman" w:hAnsi="Times New Roman"/>
                <w:b w:val="0"/>
                <w:bCs/>
                <w:sz w:val="21"/>
                <w:szCs w:val="21"/>
                <w:u w:val="none"/>
              </w:rPr>
              <w:t xml:space="preserve"> m</w:t>
            </w:r>
            <w:r>
              <w:rPr>
                <w:rFonts w:ascii="Times New Roman" w:hAnsi="Times New Roman"/>
                <w:b w:val="0"/>
                <w:bCs/>
                <w:sz w:val="21"/>
                <w:szCs w:val="21"/>
                <w:u w:val="none"/>
                <w:vertAlign w:val="superscript"/>
              </w:rPr>
              <w:t>3</w:t>
            </w:r>
            <w:r>
              <w:rPr>
                <w:rFonts w:ascii="Times New Roman" w:hAnsi="Times New Roman"/>
                <w:b w:val="0"/>
                <w:bCs/>
                <w:kern w:val="0"/>
                <w:sz w:val="21"/>
                <w:szCs w:val="21"/>
                <w:u w:val="none"/>
              </w:rPr>
              <w:t xml:space="preserve">/h </w:t>
            </w:r>
          </w:p>
        </w:tc>
        <w:tc>
          <w:tcPr>
            <w:tcW w:w="642" w:type="pct"/>
            <w:noWrap w:val="0"/>
            <w:vAlign w:val="center"/>
          </w:tcPr>
          <w:p w14:paraId="2B6557ED">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w:t>
            </w:r>
            <w:r>
              <w:rPr>
                <w:rFonts w:ascii="Times New Roman" w:hAnsi="Times New Roman"/>
                <w:b w:val="0"/>
                <w:bCs/>
                <w:spacing w:val="-55"/>
                <w:kern w:val="0"/>
                <w:sz w:val="21"/>
                <w:szCs w:val="21"/>
                <w:u w:val="none"/>
              </w:rPr>
              <w:t xml:space="preserve"> </w:t>
            </w:r>
            <w:r>
              <w:rPr>
                <w:rFonts w:ascii="Times New Roman" w:hAnsi="Times New Roman"/>
                <w:b w:val="0"/>
                <w:bCs/>
                <w:kern w:val="0"/>
                <w:sz w:val="21"/>
                <w:szCs w:val="21"/>
                <w:u w:val="none"/>
              </w:rPr>
              <w:t>套</w:t>
            </w:r>
          </w:p>
        </w:tc>
      </w:tr>
      <w:tr w14:paraId="55A11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795F508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w:t>
            </w:r>
            <w:r>
              <w:rPr>
                <w:rFonts w:hint="eastAsia" w:ascii="Times New Roman" w:hAnsi="Times New Roman"/>
                <w:b w:val="0"/>
                <w:bCs/>
                <w:kern w:val="0"/>
                <w:sz w:val="21"/>
                <w:szCs w:val="21"/>
                <w:u w:val="none"/>
              </w:rPr>
              <w:t>6</w:t>
            </w:r>
          </w:p>
        </w:tc>
        <w:tc>
          <w:tcPr>
            <w:tcW w:w="1615" w:type="pct"/>
            <w:noWrap w:val="0"/>
            <w:vAlign w:val="center"/>
          </w:tcPr>
          <w:p w14:paraId="5E0689C6">
            <w:pPr>
              <w:pStyle w:val="13"/>
              <w:keepNext w:val="0"/>
              <w:keepLines w:val="0"/>
              <w:pageBreakBefore w:val="0"/>
              <w:widowControl w:val="0"/>
              <w:kinsoku w:val="0"/>
              <w:wordWrap/>
              <w:overflowPunct w:val="0"/>
              <w:topLinePunct w:val="0"/>
              <w:bidi w:val="0"/>
              <w:adjustRightInd w:val="0"/>
              <w:snapToGrid w:val="0"/>
              <w:spacing w:after="0" w:line="240" w:lineRule="auto"/>
              <w:ind w:firstLine="0" w:firstLineChars="0"/>
              <w:jc w:val="center"/>
              <w:textAlignment w:val="auto"/>
              <w:rPr>
                <w:b w:val="0"/>
                <w:bCs/>
                <w:kern w:val="0"/>
                <w:sz w:val="21"/>
                <w:szCs w:val="21"/>
                <w:u w:val="none"/>
              </w:rPr>
            </w:pPr>
            <w:r>
              <w:rPr>
                <w:b w:val="0"/>
                <w:bCs/>
                <w:kern w:val="0"/>
                <w:sz w:val="21"/>
                <w:szCs w:val="21"/>
                <w:u w:val="none"/>
              </w:rPr>
              <w:t>循环冷却水系统</w:t>
            </w:r>
          </w:p>
        </w:tc>
        <w:tc>
          <w:tcPr>
            <w:tcW w:w="2435" w:type="pct"/>
            <w:noWrap w:val="0"/>
            <w:vAlign w:val="center"/>
          </w:tcPr>
          <w:p w14:paraId="56CDBDE2">
            <w:pPr>
              <w:pStyle w:val="13"/>
              <w:keepNext w:val="0"/>
              <w:keepLines w:val="0"/>
              <w:pageBreakBefore w:val="0"/>
              <w:widowControl w:val="0"/>
              <w:kinsoku w:val="0"/>
              <w:wordWrap/>
              <w:overflowPunct w:val="0"/>
              <w:topLinePunct w:val="0"/>
              <w:bidi w:val="0"/>
              <w:adjustRightInd w:val="0"/>
              <w:snapToGrid w:val="0"/>
              <w:spacing w:after="0" w:line="240" w:lineRule="auto"/>
              <w:ind w:firstLine="0" w:firstLineChars="0"/>
              <w:jc w:val="center"/>
              <w:textAlignment w:val="auto"/>
              <w:rPr>
                <w:b w:val="0"/>
                <w:bCs/>
                <w:kern w:val="0"/>
                <w:sz w:val="21"/>
                <w:szCs w:val="21"/>
                <w:u w:val="none"/>
              </w:rPr>
            </w:pPr>
            <w:r>
              <w:rPr>
                <w:b w:val="0"/>
                <w:bCs/>
                <w:kern w:val="0"/>
                <w:sz w:val="21"/>
                <w:szCs w:val="21"/>
                <w:u w:val="none"/>
              </w:rPr>
              <w:t>HX20-64-000</w:t>
            </w:r>
          </w:p>
        </w:tc>
        <w:tc>
          <w:tcPr>
            <w:tcW w:w="642" w:type="pct"/>
            <w:noWrap w:val="0"/>
            <w:vAlign w:val="center"/>
          </w:tcPr>
          <w:p w14:paraId="71619440">
            <w:pPr>
              <w:pStyle w:val="13"/>
              <w:keepNext w:val="0"/>
              <w:keepLines w:val="0"/>
              <w:pageBreakBefore w:val="0"/>
              <w:widowControl w:val="0"/>
              <w:kinsoku w:val="0"/>
              <w:wordWrap/>
              <w:overflowPunct w:val="0"/>
              <w:topLinePunct w:val="0"/>
              <w:bidi w:val="0"/>
              <w:adjustRightInd w:val="0"/>
              <w:snapToGrid w:val="0"/>
              <w:spacing w:after="0" w:line="240" w:lineRule="auto"/>
              <w:ind w:firstLine="0" w:firstLineChars="0"/>
              <w:jc w:val="center"/>
              <w:textAlignment w:val="auto"/>
              <w:rPr>
                <w:b w:val="0"/>
                <w:bCs/>
                <w:kern w:val="0"/>
                <w:sz w:val="21"/>
                <w:szCs w:val="21"/>
                <w:u w:val="none"/>
              </w:rPr>
            </w:pPr>
            <w:r>
              <w:rPr>
                <w:b w:val="0"/>
                <w:bCs/>
                <w:kern w:val="0"/>
                <w:sz w:val="21"/>
                <w:szCs w:val="21"/>
                <w:u w:val="none"/>
              </w:rPr>
              <w:t>1 套</w:t>
            </w:r>
          </w:p>
        </w:tc>
      </w:tr>
      <w:tr w14:paraId="573F3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noWrap w:val="0"/>
            <w:vAlign w:val="center"/>
          </w:tcPr>
          <w:p w14:paraId="2D9362F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（四）成品</w:t>
            </w:r>
          </w:p>
        </w:tc>
      </w:tr>
      <w:tr w14:paraId="5E765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4ABC818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w:t>
            </w:r>
          </w:p>
        </w:tc>
        <w:tc>
          <w:tcPr>
            <w:tcW w:w="1615" w:type="pct"/>
            <w:noWrap w:val="0"/>
            <w:vAlign w:val="center"/>
          </w:tcPr>
          <w:p w14:paraId="07B8EBA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测长仪</w:t>
            </w:r>
          </w:p>
        </w:tc>
        <w:tc>
          <w:tcPr>
            <w:tcW w:w="2435" w:type="pct"/>
            <w:noWrap w:val="0"/>
            <w:vAlign w:val="center"/>
          </w:tcPr>
          <w:p w14:paraId="3D5CE99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YG086-10</w:t>
            </w:r>
          </w:p>
        </w:tc>
        <w:tc>
          <w:tcPr>
            <w:tcW w:w="642" w:type="pct"/>
            <w:noWrap w:val="0"/>
            <w:vAlign w:val="center"/>
          </w:tcPr>
          <w:p w14:paraId="0B6EC54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 台</w:t>
            </w:r>
          </w:p>
        </w:tc>
      </w:tr>
      <w:tr w14:paraId="3EA09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A128A3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w:t>
            </w:r>
          </w:p>
        </w:tc>
        <w:tc>
          <w:tcPr>
            <w:tcW w:w="1615" w:type="pct"/>
            <w:noWrap w:val="0"/>
            <w:vAlign w:val="center"/>
          </w:tcPr>
          <w:p w14:paraId="72FD1C9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转运车</w:t>
            </w:r>
          </w:p>
        </w:tc>
        <w:tc>
          <w:tcPr>
            <w:tcW w:w="2435" w:type="pct"/>
            <w:noWrap w:val="0"/>
            <w:vAlign w:val="center"/>
          </w:tcPr>
          <w:p w14:paraId="61DE86ED">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LC-00</w:t>
            </w:r>
          </w:p>
        </w:tc>
        <w:tc>
          <w:tcPr>
            <w:tcW w:w="642" w:type="pct"/>
            <w:noWrap w:val="0"/>
            <w:vAlign w:val="center"/>
          </w:tcPr>
          <w:p w14:paraId="6740B6A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 辆</w:t>
            </w:r>
          </w:p>
        </w:tc>
      </w:tr>
      <w:tr w14:paraId="1D93C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49DFF06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3</w:t>
            </w:r>
          </w:p>
        </w:tc>
        <w:tc>
          <w:tcPr>
            <w:tcW w:w="1615" w:type="pct"/>
            <w:noWrap w:val="0"/>
            <w:vAlign w:val="center"/>
          </w:tcPr>
          <w:p w14:paraId="3579B22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皮带运输机</w:t>
            </w:r>
          </w:p>
        </w:tc>
        <w:tc>
          <w:tcPr>
            <w:tcW w:w="2435" w:type="pct"/>
            <w:noWrap w:val="0"/>
            <w:vAlign w:val="center"/>
          </w:tcPr>
          <w:p w14:paraId="38D97D2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TD500-8m</w:t>
            </w:r>
          </w:p>
        </w:tc>
        <w:tc>
          <w:tcPr>
            <w:tcW w:w="642" w:type="pct"/>
            <w:noWrap w:val="0"/>
            <w:vAlign w:val="center"/>
          </w:tcPr>
          <w:p w14:paraId="2C321A9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 套</w:t>
            </w:r>
          </w:p>
        </w:tc>
      </w:tr>
      <w:tr w14:paraId="7CDC6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0B6DB940">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4</w:t>
            </w:r>
          </w:p>
        </w:tc>
        <w:tc>
          <w:tcPr>
            <w:tcW w:w="1615" w:type="pct"/>
            <w:noWrap w:val="0"/>
            <w:vAlign w:val="center"/>
          </w:tcPr>
          <w:p w14:paraId="6EC8103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电子秤</w:t>
            </w:r>
          </w:p>
        </w:tc>
        <w:tc>
          <w:tcPr>
            <w:tcW w:w="2435" w:type="pct"/>
            <w:noWrap w:val="0"/>
            <w:vAlign w:val="center"/>
          </w:tcPr>
          <w:p w14:paraId="728BAE8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30kg 精度1g</w:t>
            </w:r>
          </w:p>
        </w:tc>
        <w:tc>
          <w:tcPr>
            <w:tcW w:w="642" w:type="pct"/>
            <w:noWrap w:val="0"/>
            <w:vAlign w:val="center"/>
          </w:tcPr>
          <w:p w14:paraId="4C02496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4 台</w:t>
            </w:r>
          </w:p>
        </w:tc>
      </w:tr>
      <w:tr w14:paraId="23334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BAB600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5</w:t>
            </w:r>
          </w:p>
        </w:tc>
        <w:tc>
          <w:tcPr>
            <w:tcW w:w="1615" w:type="pct"/>
            <w:noWrap w:val="0"/>
            <w:vAlign w:val="center"/>
          </w:tcPr>
          <w:p w14:paraId="5BFC63B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唛头系统</w:t>
            </w:r>
          </w:p>
        </w:tc>
        <w:tc>
          <w:tcPr>
            <w:tcW w:w="2435" w:type="pct"/>
            <w:noWrap w:val="0"/>
            <w:vAlign w:val="center"/>
          </w:tcPr>
          <w:p w14:paraId="3F2F19AA">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HA18001</w:t>
            </w:r>
          </w:p>
        </w:tc>
        <w:tc>
          <w:tcPr>
            <w:tcW w:w="642" w:type="pct"/>
            <w:noWrap w:val="0"/>
            <w:vAlign w:val="center"/>
          </w:tcPr>
          <w:p w14:paraId="559F1F74">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 套</w:t>
            </w:r>
          </w:p>
        </w:tc>
      </w:tr>
      <w:tr w14:paraId="61E2E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6C3D7F4">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6</w:t>
            </w:r>
          </w:p>
        </w:tc>
        <w:tc>
          <w:tcPr>
            <w:tcW w:w="1615" w:type="pct"/>
            <w:noWrap w:val="0"/>
            <w:vAlign w:val="center"/>
          </w:tcPr>
          <w:p w14:paraId="024E5BA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打包装置</w:t>
            </w:r>
          </w:p>
        </w:tc>
        <w:tc>
          <w:tcPr>
            <w:tcW w:w="2435" w:type="pct"/>
            <w:noWrap w:val="0"/>
            <w:vAlign w:val="center"/>
          </w:tcPr>
          <w:p w14:paraId="10EDDCC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MH-102A</w:t>
            </w:r>
          </w:p>
        </w:tc>
        <w:tc>
          <w:tcPr>
            <w:tcW w:w="642" w:type="pct"/>
            <w:noWrap w:val="0"/>
            <w:vAlign w:val="center"/>
          </w:tcPr>
          <w:p w14:paraId="754FBDD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 台</w:t>
            </w:r>
          </w:p>
        </w:tc>
      </w:tr>
      <w:tr w14:paraId="42DAD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3662FA5D">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7</w:t>
            </w:r>
          </w:p>
        </w:tc>
        <w:tc>
          <w:tcPr>
            <w:tcW w:w="1615" w:type="pct"/>
            <w:noWrap w:val="0"/>
            <w:vAlign w:val="center"/>
          </w:tcPr>
          <w:p w14:paraId="6452B09D">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电动叉车</w:t>
            </w:r>
          </w:p>
        </w:tc>
        <w:tc>
          <w:tcPr>
            <w:tcW w:w="2435" w:type="pct"/>
            <w:noWrap w:val="0"/>
            <w:vAlign w:val="center"/>
          </w:tcPr>
          <w:p w14:paraId="52246944">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CPD25H-C4E</w:t>
            </w:r>
          </w:p>
        </w:tc>
        <w:tc>
          <w:tcPr>
            <w:tcW w:w="642" w:type="pct"/>
            <w:noWrap w:val="0"/>
            <w:vAlign w:val="center"/>
          </w:tcPr>
          <w:p w14:paraId="6C6423B0">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 辆</w:t>
            </w:r>
          </w:p>
        </w:tc>
      </w:tr>
      <w:tr w14:paraId="79DC9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75B1237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8</w:t>
            </w:r>
          </w:p>
        </w:tc>
        <w:tc>
          <w:tcPr>
            <w:tcW w:w="1615" w:type="pct"/>
            <w:noWrap w:val="0"/>
            <w:vAlign w:val="center"/>
          </w:tcPr>
          <w:p w14:paraId="70213E3A">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强伸仪</w:t>
            </w:r>
          </w:p>
        </w:tc>
        <w:tc>
          <w:tcPr>
            <w:tcW w:w="2435" w:type="pct"/>
            <w:noWrap w:val="0"/>
            <w:vAlign w:val="center"/>
          </w:tcPr>
          <w:p w14:paraId="4853621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XQ-1A</w:t>
            </w:r>
          </w:p>
        </w:tc>
        <w:tc>
          <w:tcPr>
            <w:tcW w:w="642" w:type="pct"/>
            <w:noWrap w:val="0"/>
            <w:vAlign w:val="center"/>
          </w:tcPr>
          <w:p w14:paraId="10344FA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 台</w:t>
            </w:r>
          </w:p>
        </w:tc>
      </w:tr>
      <w:tr w14:paraId="052EB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noWrap w:val="0"/>
            <w:vAlign w:val="center"/>
          </w:tcPr>
          <w:p w14:paraId="51B9F51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w:t>
            </w:r>
            <w:r>
              <w:rPr>
                <w:rFonts w:hint="eastAsia" w:ascii="Times New Roman" w:hAnsi="Times New Roman"/>
                <w:b w:val="0"/>
                <w:bCs/>
                <w:kern w:val="0"/>
                <w:sz w:val="21"/>
                <w:szCs w:val="21"/>
                <w:u w:val="none"/>
              </w:rPr>
              <w:t>五</w:t>
            </w:r>
            <w:r>
              <w:rPr>
                <w:rFonts w:ascii="Times New Roman" w:hAnsi="Times New Roman"/>
                <w:b w:val="0"/>
                <w:bCs/>
                <w:kern w:val="0"/>
                <w:sz w:val="21"/>
                <w:szCs w:val="21"/>
                <w:u w:val="none"/>
              </w:rPr>
              <w:t>）冷冻水系统</w:t>
            </w:r>
          </w:p>
        </w:tc>
      </w:tr>
      <w:tr w14:paraId="2943B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60525DE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1</w:t>
            </w:r>
          </w:p>
        </w:tc>
        <w:tc>
          <w:tcPr>
            <w:tcW w:w="1615" w:type="pct"/>
            <w:noWrap w:val="0"/>
            <w:vAlign w:val="center"/>
          </w:tcPr>
          <w:p w14:paraId="3A6E124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hint="eastAsia" w:ascii="Times New Roman" w:hAnsi="Times New Roman"/>
                <w:b w:val="0"/>
                <w:bCs/>
                <w:kern w:val="0"/>
                <w:sz w:val="21"/>
                <w:szCs w:val="21"/>
                <w:u w:val="none"/>
              </w:rPr>
              <w:t>溴化锂机组</w:t>
            </w:r>
          </w:p>
        </w:tc>
        <w:tc>
          <w:tcPr>
            <w:tcW w:w="2435" w:type="pct"/>
            <w:noWrap w:val="0"/>
            <w:vAlign w:val="center"/>
          </w:tcPr>
          <w:p w14:paraId="6E6DEB3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制冷</w:t>
            </w:r>
          </w:p>
        </w:tc>
        <w:tc>
          <w:tcPr>
            <w:tcW w:w="642" w:type="pct"/>
            <w:noWrap w:val="0"/>
            <w:vAlign w:val="center"/>
          </w:tcPr>
          <w:p w14:paraId="1EF99E7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hint="eastAsia" w:ascii="Times New Roman" w:hAnsi="Times New Roman"/>
                <w:b w:val="0"/>
                <w:bCs/>
                <w:kern w:val="0"/>
                <w:sz w:val="21"/>
                <w:szCs w:val="21"/>
                <w:u w:val="none"/>
              </w:rPr>
              <w:t>1</w:t>
            </w:r>
            <w:r>
              <w:rPr>
                <w:rFonts w:ascii="Times New Roman" w:hAnsi="Times New Roman"/>
                <w:b w:val="0"/>
                <w:bCs/>
                <w:kern w:val="0"/>
                <w:sz w:val="21"/>
                <w:szCs w:val="21"/>
                <w:u w:val="none"/>
              </w:rPr>
              <w:t xml:space="preserve"> 台</w:t>
            </w:r>
          </w:p>
        </w:tc>
      </w:tr>
      <w:tr w14:paraId="24210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1DFBCF5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w:t>
            </w:r>
          </w:p>
        </w:tc>
        <w:tc>
          <w:tcPr>
            <w:tcW w:w="1615" w:type="pct"/>
            <w:noWrap w:val="0"/>
            <w:vAlign w:val="center"/>
          </w:tcPr>
          <w:p w14:paraId="7B08FCE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冷冻水泵</w:t>
            </w:r>
          </w:p>
        </w:tc>
        <w:tc>
          <w:tcPr>
            <w:tcW w:w="2435" w:type="pct"/>
            <w:noWrap w:val="0"/>
            <w:vAlign w:val="center"/>
          </w:tcPr>
          <w:p w14:paraId="6624ADE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流量 800</w:t>
            </w:r>
            <w:r>
              <w:rPr>
                <w:rFonts w:ascii="Times New Roman" w:hAnsi="Times New Roman"/>
                <w:b w:val="0"/>
                <w:bCs/>
                <w:sz w:val="21"/>
                <w:szCs w:val="21"/>
                <w:u w:val="none"/>
              </w:rPr>
              <w:t xml:space="preserve"> m</w:t>
            </w:r>
            <w:r>
              <w:rPr>
                <w:rFonts w:ascii="Times New Roman" w:hAnsi="Times New Roman"/>
                <w:b w:val="0"/>
                <w:bCs/>
                <w:sz w:val="21"/>
                <w:szCs w:val="21"/>
                <w:u w:val="none"/>
                <w:vertAlign w:val="superscript"/>
              </w:rPr>
              <w:t>3</w:t>
            </w:r>
            <w:r>
              <w:rPr>
                <w:rFonts w:ascii="Times New Roman" w:hAnsi="Times New Roman"/>
                <w:b w:val="0"/>
                <w:bCs/>
                <w:kern w:val="0"/>
                <w:sz w:val="21"/>
                <w:szCs w:val="21"/>
                <w:u w:val="none"/>
              </w:rPr>
              <w:t>/h，程 36 米</w:t>
            </w:r>
          </w:p>
        </w:tc>
        <w:tc>
          <w:tcPr>
            <w:tcW w:w="642" w:type="pct"/>
            <w:noWrap w:val="0"/>
            <w:vAlign w:val="center"/>
          </w:tcPr>
          <w:p w14:paraId="16718C2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 台</w:t>
            </w:r>
          </w:p>
        </w:tc>
      </w:tr>
      <w:tr w14:paraId="4B6D7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5E7A202E">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3</w:t>
            </w:r>
          </w:p>
        </w:tc>
        <w:tc>
          <w:tcPr>
            <w:tcW w:w="1615" w:type="pct"/>
            <w:noWrap w:val="0"/>
            <w:vAlign w:val="center"/>
          </w:tcPr>
          <w:p w14:paraId="44E4FF0D">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冷却水泵</w:t>
            </w:r>
          </w:p>
        </w:tc>
        <w:tc>
          <w:tcPr>
            <w:tcW w:w="2435" w:type="pct"/>
            <w:noWrap w:val="0"/>
            <w:vAlign w:val="center"/>
          </w:tcPr>
          <w:p w14:paraId="5D40AE1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流量 1423</w:t>
            </w:r>
            <w:r>
              <w:rPr>
                <w:rFonts w:ascii="Times New Roman" w:hAnsi="Times New Roman"/>
                <w:b w:val="0"/>
                <w:bCs/>
                <w:sz w:val="21"/>
                <w:szCs w:val="21"/>
                <w:u w:val="none"/>
              </w:rPr>
              <w:t xml:space="preserve"> m</w:t>
            </w:r>
            <w:r>
              <w:rPr>
                <w:rFonts w:ascii="Times New Roman" w:hAnsi="Times New Roman"/>
                <w:b w:val="0"/>
                <w:bCs/>
                <w:sz w:val="21"/>
                <w:szCs w:val="21"/>
                <w:u w:val="none"/>
                <w:vertAlign w:val="superscript"/>
              </w:rPr>
              <w:t>3</w:t>
            </w:r>
            <w:r>
              <w:rPr>
                <w:rFonts w:ascii="Times New Roman" w:hAnsi="Times New Roman"/>
                <w:b w:val="0"/>
                <w:bCs/>
                <w:kern w:val="0"/>
                <w:sz w:val="21"/>
                <w:szCs w:val="21"/>
                <w:u w:val="none"/>
              </w:rPr>
              <w:t>/h，程 28 米</w:t>
            </w:r>
          </w:p>
        </w:tc>
        <w:tc>
          <w:tcPr>
            <w:tcW w:w="642" w:type="pct"/>
            <w:noWrap w:val="0"/>
            <w:vAlign w:val="center"/>
          </w:tcPr>
          <w:p w14:paraId="2AF004D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 台</w:t>
            </w:r>
          </w:p>
        </w:tc>
      </w:tr>
      <w:tr w14:paraId="6A341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noWrap w:val="0"/>
            <w:vAlign w:val="center"/>
          </w:tcPr>
          <w:p w14:paraId="385D7DB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4</w:t>
            </w:r>
          </w:p>
        </w:tc>
        <w:tc>
          <w:tcPr>
            <w:tcW w:w="1615" w:type="pct"/>
            <w:noWrap w:val="0"/>
            <w:vAlign w:val="center"/>
          </w:tcPr>
          <w:p w14:paraId="1D588B9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冷却塔</w:t>
            </w:r>
          </w:p>
        </w:tc>
        <w:tc>
          <w:tcPr>
            <w:tcW w:w="2435" w:type="pct"/>
            <w:noWrap w:val="0"/>
            <w:vAlign w:val="center"/>
          </w:tcPr>
          <w:p w14:paraId="0B919CAD">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DFNL-1200</w:t>
            </w:r>
          </w:p>
        </w:tc>
        <w:tc>
          <w:tcPr>
            <w:tcW w:w="642" w:type="pct"/>
            <w:noWrap w:val="0"/>
            <w:vAlign w:val="center"/>
          </w:tcPr>
          <w:p w14:paraId="6E1FC00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val="0"/>
                <w:bCs/>
                <w:kern w:val="0"/>
                <w:sz w:val="21"/>
                <w:szCs w:val="21"/>
                <w:u w:val="none"/>
              </w:rPr>
            </w:pPr>
            <w:r>
              <w:rPr>
                <w:rFonts w:ascii="Times New Roman" w:hAnsi="Times New Roman"/>
                <w:b w:val="0"/>
                <w:bCs/>
                <w:kern w:val="0"/>
                <w:sz w:val="21"/>
                <w:szCs w:val="21"/>
                <w:u w:val="none"/>
              </w:rPr>
              <w:t>2 台</w:t>
            </w:r>
          </w:p>
        </w:tc>
      </w:tr>
    </w:tbl>
    <w:p w14:paraId="482278C7">
      <w:pPr>
        <w:pStyle w:val="5"/>
        <w:bidi w:val="0"/>
      </w:pPr>
      <w:r>
        <w:rPr>
          <w:rFonts w:hint="eastAsia"/>
        </w:rPr>
        <w:t>在建</w:t>
      </w:r>
      <w:r>
        <w:rPr>
          <w:rFonts w:hint="eastAsia"/>
          <w:lang w:val="en-US" w:eastAsia="zh-CN"/>
        </w:rPr>
        <w:t>及拟建</w:t>
      </w:r>
      <w:r>
        <w:rPr>
          <w:rFonts w:hint="eastAsia"/>
        </w:rPr>
        <w:t>工程生产工艺</w:t>
      </w:r>
    </w:p>
    <w:bookmarkEnd w:id="158"/>
    <w:p w14:paraId="46D87432">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rPr>
      </w:pPr>
      <w:r>
        <w:rPr>
          <w:rFonts w:hint="eastAsia" w:ascii="Times New Roman" w:hAnsi="Times New Roman" w:cs="Times New Roman"/>
        </w:rPr>
        <w:t>菌草项目工艺流程：本项目以菌</w:t>
      </w:r>
      <w:r>
        <w:rPr>
          <w:rFonts w:hint="eastAsia"/>
        </w:rPr>
        <w:t>草为原料，采用碱法制浆，菌草经过水力除杂、蒸煮、挤浆、洗浆、漂白、打浆、抄浆后得到菌草纤维素（浆粕），在蒸煮和挤浆过程中产生的黑液经五效蒸发、中和、干燥后生产木质素混合物。菌草纤维素（浆粕）再经黄化、纺丝加工后得到菌草纤维产品。</w:t>
      </w:r>
    </w:p>
    <w:p w14:paraId="23CA2658">
      <w:pPr>
        <w:pStyle w:val="101"/>
        <w:spacing w:line="240" w:lineRule="auto"/>
        <w:ind w:firstLine="0" w:firstLineChars="0"/>
        <w:jc w:val="center"/>
        <w:rPr>
          <w:rFonts w:hint="eastAsia"/>
        </w:rPr>
      </w:pPr>
      <w:r>
        <w:drawing>
          <wp:inline distT="0" distB="0" distL="114300" distR="114300">
            <wp:extent cx="5737225" cy="4034790"/>
            <wp:effectExtent l="0" t="0" r="15875" b="3810"/>
            <wp:docPr id="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7"/>
                    <pic:cNvPicPr>
                      <a:picLocks noChangeAspect="1"/>
                    </pic:cNvPicPr>
                  </pic:nvPicPr>
                  <pic:blipFill>
                    <a:blip r:embed="rId46"/>
                    <a:stretch>
                      <a:fillRect/>
                    </a:stretch>
                  </pic:blipFill>
                  <pic:spPr>
                    <a:xfrm>
                      <a:off x="0" y="0"/>
                      <a:ext cx="5737225" cy="4034790"/>
                    </a:xfrm>
                    <a:prstGeom prst="rect">
                      <a:avLst/>
                    </a:prstGeom>
                    <a:noFill/>
                    <a:ln>
                      <a:noFill/>
                    </a:ln>
                  </pic:spPr>
                </pic:pic>
              </a:graphicData>
            </a:graphic>
          </wp:inline>
        </w:drawing>
      </w:r>
    </w:p>
    <w:p w14:paraId="74BD8D5B">
      <w:pPr>
        <w:pStyle w:val="181"/>
        <w:bidi w:val="0"/>
        <w:ind w:left="0" w:leftChars="0" w:firstLine="0" w:firstLineChars="0"/>
        <w:jc w:val="center"/>
        <w:rPr>
          <w:rFonts w:hint="default" w:eastAsia="宋体"/>
          <w:color w:val="auto"/>
          <w:u w:val="none"/>
          <w:lang w:val="en-US" w:eastAsia="zh-CN"/>
        </w:rPr>
      </w:pPr>
      <w:r>
        <w:rPr>
          <w:rFonts w:hint="eastAsia"/>
          <w:color w:val="auto"/>
          <w:u w:val="none"/>
        </w:rPr>
        <w:t>图3</w:t>
      </w:r>
      <w:r>
        <w:rPr>
          <w:color w:val="auto"/>
          <w:u w:val="none"/>
        </w:rPr>
        <w:t>.</w:t>
      </w:r>
      <w:r>
        <w:rPr>
          <w:rFonts w:hint="eastAsia"/>
          <w:color w:val="auto"/>
          <w:u w:val="none"/>
          <w:lang w:val="en-US" w:eastAsia="zh-CN"/>
        </w:rPr>
        <w:t>4</w:t>
      </w:r>
      <w:r>
        <w:rPr>
          <w:rFonts w:hint="eastAsia"/>
          <w:color w:val="auto"/>
          <w:u w:val="none"/>
        </w:rPr>
        <w:t>-</w:t>
      </w:r>
      <w:r>
        <w:rPr>
          <w:color w:val="auto"/>
          <w:u w:val="none"/>
        </w:rPr>
        <w:t xml:space="preserve">1  </w:t>
      </w:r>
      <w:r>
        <w:rPr>
          <w:rFonts w:hint="eastAsia"/>
          <w:color w:val="auto"/>
          <w:u w:val="none"/>
        </w:rPr>
        <w:t>菌草纤维生产工艺及产污环节流程图</w:t>
      </w:r>
    </w:p>
    <w:p w14:paraId="29F02940">
      <w:pPr>
        <w:pStyle w:val="101"/>
        <w:rPr>
          <w:rFonts w:hint="eastAsia"/>
        </w:rPr>
      </w:pPr>
    </w:p>
    <w:p w14:paraId="0C276EF1">
      <w:pPr>
        <w:pStyle w:val="101"/>
        <w:spacing w:line="240" w:lineRule="auto"/>
        <w:ind w:firstLine="0" w:firstLineChars="0"/>
        <w:jc w:val="center"/>
        <w:rPr>
          <w:rFonts w:hint="eastAsia" w:ascii="Times New Roman" w:hAnsi="Times New Roman" w:cs="Times New Roman"/>
          <w:kern w:val="0"/>
          <w:szCs w:val="20"/>
        </w:rPr>
      </w:pPr>
      <w:r>
        <w:rPr>
          <w:rFonts w:ascii="Times New Roman" w:hAnsi="Times New Roman" w:cs="Times New Roman"/>
          <w:kern w:val="0"/>
          <w:szCs w:val="20"/>
        </w:rPr>
        <w:drawing>
          <wp:inline distT="0" distB="0" distL="114300" distR="114300">
            <wp:extent cx="5671185" cy="4350385"/>
            <wp:effectExtent l="0" t="0" r="0" b="0"/>
            <wp:docPr id="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
                    <pic:cNvPicPr>
                      <a:picLocks noChangeAspect="1"/>
                    </pic:cNvPicPr>
                  </pic:nvPicPr>
                  <pic:blipFill>
                    <a:blip r:embed="rId47"/>
                    <a:stretch>
                      <a:fillRect/>
                    </a:stretch>
                  </pic:blipFill>
                  <pic:spPr>
                    <a:xfrm>
                      <a:off x="0" y="0"/>
                      <a:ext cx="5671185" cy="4350385"/>
                    </a:xfrm>
                    <a:prstGeom prst="rect">
                      <a:avLst/>
                    </a:prstGeom>
                    <a:noFill/>
                    <a:ln>
                      <a:noFill/>
                    </a:ln>
                  </pic:spPr>
                </pic:pic>
              </a:graphicData>
            </a:graphic>
          </wp:inline>
        </w:drawing>
      </w:r>
    </w:p>
    <w:p w14:paraId="6AE54FD3">
      <w:pPr>
        <w:pStyle w:val="181"/>
        <w:bidi w:val="0"/>
        <w:ind w:left="0" w:leftChars="0" w:firstLine="0" w:firstLineChars="0"/>
        <w:jc w:val="center"/>
        <w:rPr>
          <w:rFonts w:hint="eastAsia"/>
          <w:color w:val="auto"/>
          <w:u w:val="none"/>
        </w:rPr>
      </w:pPr>
      <w:r>
        <w:rPr>
          <w:rFonts w:hint="eastAsia"/>
          <w:color w:val="auto"/>
          <w:u w:val="none"/>
        </w:rPr>
        <w:t>图3</w:t>
      </w:r>
      <w:r>
        <w:rPr>
          <w:color w:val="auto"/>
          <w:u w:val="none"/>
        </w:rPr>
        <w:t>.</w:t>
      </w:r>
      <w:r>
        <w:rPr>
          <w:rFonts w:hint="eastAsia"/>
          <w:color w:val="auto"/>
          <w:u w:val="none"/>
          <w:lang w:val="en-US" w:eastAsia="zh-CN"/>
        </w:rPr>
        <w:t>4</w:t>
      </w:r>
      <w:r>
        <w:rPr>
          <w:rFonts w:hint="eastAsia"/>
          <w:color w:val="auto"/>
          <w:u w:val="none"/>
        </w:rPr>
        <w:t>-</w:t>
      </w:r>
      <w:r>
        <w:rPr>
          <w:rFonts w:hint="eastAsia"/>
          <w:color w:val="auto"/>
          <w:u w:val="none"/>
          <w:lang w:val="en-US" w:eastAsia="zh-CN"/>
        </w:rPr>
        <w:t>2</w:t>
      </w:r>
      <w:r>
        <w:rPr>
          <w:color w:val="auto"/>
          <w:u w:val="none"/>
        </w:rPr>
        <w:t xml:space="preserve">  </w:t>
      </w:r>
      <w:r>
        <w:rPr>
          <w:rFonts w:hint="eastAsia"/>
          <w:color w:val="auto"/>
          <w:u w:val="none"/>
        </w:rPr>
        <w:t>360t/h锅炉项目工艺及产污环节流程图</w:t>
      </w:r>
    </w:p>
    <w:p w14:paraId="5025B5A6">
      <w:pPr>
        <w:ind w:firstLine="480"/>
        <w:rPr>
          <w:rFonts w:hint="eastAsia"/>
        </w:rPr>
      </w:pPr>
    </w:p>
    <w:p w14:paraId="23E90ACB">
      <w:pPr>
        <w:ind w:left="0" w:leftChars="0" w:firstLine="0" w:firstLineChars="0"/>
        <w:rPr>
          <w:rFonts w:hint="default"/>
          <w:lang w:val="en-US" w:eastAsia="zh-CN"/>
        </w:rPr>
      </w:pPr>
      <w:r>
        <w:pict>
          <v:group id="画布 3" o:spid="_x0000_s2159" o:spt="203" style="height:635pt;width:423.35pt;" coordorigin="1838,1699" coordsize="8467,12700" editas="canvas">
            <o:lock v:ext="edit"/>
            <v:shape id="画布 3" o:spid="_x0000_s2160" o:spt="75" type="#_x0000_t75" style="position:absolute;left:1838;top:1699;height:12700;width:8467;" filled="f" stroked="t" coordsize="21600,21600">
              <v:fill on="f" focussize="0,0"/>
              <v:stroke weight="0.25pt" color="#000000" joinstyle="miter"/>
              <v:imagedata o:title=""/>
              <o:lock v:ext="edit" aspectratio="t"/>
            </v:shape>
            <v:shape id="Text Box 625" o:spid="_x0000_s2161" o:spt="202" type="#_x0000_t202" style="position:absolute;left:4357;top:1699;height:398;width:856;"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vhvMcA&#10;AADiAAAADwAAAGRycy9kb3ducmV2LnhtbESPy4rCMBSG94LvEI7gRjRVa9VqlHHAwa2XBzg2x7bY&#10;nJQmY+vbTxbCLH/+G99235lKvKhxpWUF00kEgjizuuRcwe16HK9AOI+ssbJMCt7kYL/r97aYatvy&#10;mV4Xn4swwi5FBYX3dSqlywoy6Ca2Jg7ewzYGfZBNLnWDbRg3lZxFUSINlhweCqzpu6Dsefk1Ch6n&#10;drRYt/cff1ue4+SA5fJu30oNB93XBoSnzv+HP+2TVrCax7MkmscBIiAFHJC7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74bzHAAAA4gAAAA8AAAAAAAAAAAAAAAAAmAIAAGRy&#10;cy9kb3ducmV2LnhtbFBLBQYAAAAABAAEAPUAAACMAwAAAAA=&#10;">
              <v:path/>
              <v:fill on="t" color2="#FFFFFF" focussize="0,0"/>
              <v:stroke on="f"/>
              <v:imagedata o:title=""/>
              <o:lock v:ext="edit" aspectratio="f"/>
              <v:textbox>
                <w:txbxContent>
                  <w:p w14:paraId="0EB217C0">
                    <w:pPr>
                      <w:keepNext w:val="0"/>
                      <w:keepLines w:val="0"/>
                      <w:pageBreakBefore w:val="0"/>
                      <w:widowControl w:val="0"/>
                      <w:kinsoku/>
                      <w:wordWrap/>
                      <w:overflowPunct/>
                      <w:topLinePunct w:val="0"/>
                      <w:bidi w:val="0"/>
                      <w:adjustRightInd w:val="0"/>
                      <w:snapToGrid w:val="0"/>
                      <w:ind w:firstLine="0" w:firstLineChars="0"/>
                      <w:jc w:val="center"/>
                      <w:textAlignment w:val="auto"/>
                      <w:rPr>
                        <w:color w:val="0000CC"/>
                        <w:sz w:val="18"/>
                        <w:szCs w:val="18"/>
                      </w:rPr>
                    </w:pPr>
                    <w:r>
                      <w:rPr>
                        <w:rFonts w:hint="eastAsia"/>
                        <w:color w:val="0000CC"/>
                        <w:sz w:val="18"/>
                        <w:szCs w:val="18"/>
                      </w:rPr>
                      <w:t>浆粕</w:t>
                    </w:r>
                  </w:p>
                </w:txbxContent>
              </v:textbox>
            </v:shape>
            <v:shape id="Text Box 626" o:spid="_x0000_s2162" o:spt="202" type="#_x0000_t202" style="position:absolute;left:4236;top:2457;height:510;width:1095;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cfIccA&#10;AADjAAAADwAAAGRycy9kb3ducmV2LnhtbERPTUsDMRC9C/0PYQRvNqvSUtamZWkRvFSwiuchme6u&#10;biYhidvtv+8cBA9zmPc1b9bbyQ9qpJT7wAYe5hUoYhtcz62Bz4+X+xWoXJAdDoHJwIUybDezmzXW&#10;Lpz5ncZjaZWEcK7RQFdKrLXOtiOPeR4isXCnkDwWWVOrXcKzhPtBP1bVUnvsWS50GGnXkf05/noD&#10;h+awq97S6Jv4dfoeMFq7j9mYu9upeQZVaCr/4j/3q5P6y9XiaSEjpeUnAUB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3HyHHAAAA4wAAAA8AAAAAAAAAAAAAAAAAmAIAAGRy&#10;cy9kb3ducmV2LnhtbFBLBQYAAAAABAAEAPUAAACMAwAAAAA=&#10;">
              <v:path/>
              <v:fill on="t" color2="#FFFFFF" focussize="0,0"/>
              <v:stroke color="#000000" joinstyle="miter"/>
              <v:imagedata o:title=""/>
              <o:lock v:ext="edit" aspectratio="f"/>
              <v:textbox>
                <w:txbxContent>
                  <w:p w14:paraId="26C86370">
                    <w:pPr>
                      <w:adjustRightInd w:val="0"/>
                      <w:snapToGrid w:val="0"/>
                      <w:ind w:left="0" w:leftChars="0" w:firstLine="0" w:firstLineChars="0"/>
                      <w:jc w:val="center"/>
                      <w:rPr>
                        <w:sz w:val="18"/>
                        <w:szCs w:val="18"/>
                      </w:rPr>
                    </w:pPr>
                    <w:r>
                      <w:rPr>
                        <w:rFonts w:hint="eastAsia"/>
                        <w:sz w:val="18"/>
                        <w:szCs w:val="18"/>
                        <w:lang w:val="en-US" w:eastAsia="zh-CN"/>
                      </w:rPr>
                      <w:t>粉碎</w:t>
                    </w:r>
                  </w:p>
                </w:txbxContent>
              </v:textbox>
            </v:shape>
            <v:shape id="AutoShape 627" o:spid="_x0000_s2163" o:spt="32" type="#_x0000_t32" style="position:absolute;left:4784;top:2097;flip:x;height:360;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Tdi8gAAADiAAAADwAAAGRycy9kb3ducmV2LnhtbESPQWsCMRSE74X+h/AKvdXsioqsRmkF&#10;QXqRaqEeH5vnbnDzsmziZv33RhB6HGbmG2a5Hmwjeuq8cawgH2UgiEunDVcKfo/bjzkIH5A1No5J&#10;wY08rFevL0sstIv8Q/0hVCJB2BeooA6hLaT0ZU0W/ci1xMk7u85iSLKrpO4wJrht5DjLZtKi4bRQ&#10;Y0ubmsrL4WoVmLg3fbvbxK/vv5PXkcxt6oxS72/D5wJEoCH8h5/tnVYwm+TZfDyd5PC4lO6AXN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0Tdi8gAAADiAAAADwAAAAAA&#10;AAAAAAAAAAChAgAAZHJzL2Rvd25yZXYueG1sUEsFBgAAAAAEAAQA+QAAAJYDAAAAAA==&#10;">
              <v:path arrowok="t"/>
              <v:fill on="f" focussize="0,0"/>
              <v:stroke color="#000000" endarrow="block"/>
              <v:imagedata o:title=""/>
              <o:lock v:ext="edit" aspectratio="f"/>
            </v:shape>
            <v:shape id="Text Box 628" o:spid="_x0000_s2164" o:spt="202" type="#_x0000_t202" style="position:absolute;left:4235;top:3642;height:510;width:109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44cwA&#10;AADjAAAADwAAAGRycy9kb3ducmV2LnhtbESPQU/DMAyF70j7D5GRuCCWdoytK8smhAQaNxiIXa3G&#10;a6s1TklCV/49PiBxtN/ze5/X29F1aqAQW88G8mkGirjytuXawMf7000BKiZki51nMvBDEbabycUa&#10;S+vP/EbDPtVKQjiWaKBJqS+1jlVDDuPU98SiHX1wmGQMtbYBzxLuOj3LsoV22LI0NNjTY0PVaf/t&#10;DBTz3XCIL7evn9Xi2K3S9XJ4/grGXF2OD/egEo3p3/x3vbOCP8uL/K5YzgVafpIF6M0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T44cwAAADjAAAADwAAAAAAAAAAAAAAAACY&#10;AgAAZHJzL2Rvd25yZXYueG1sUEsFBgAAAAAEAAQA9QAAAJEDAAAAAA==&#10;">
              <v:path/>
              <v:fill on="t" color2="#FFFFFF" focussize="0,0"/>
              <v:stroke color="#000000" joinstyle="miter"/>
              <v:imagedata o:title=""/>
              <o:lock v:ext="edit" aspectratio="f"/>
              <v:textbox>
                <w:txbxContent>
                  <w:p w14:paraId="31D1368D">
                    <w:pPr>
                      <w:ind w:left="0" w:leftChars="0" w:firstLine="0" w:firstLineChars="0"/>
                      <w:jc w:val="center"/>
                      <w:rPr>
                        <w:sz w:val="18"/>
                        <w:szCs w:val="18"/>
                      </w:rPr>
                    </w:pPr>
                    <w:r>
                      <w:rPr>
                        <w:rFonts w:hint="eastAsia"/>
                        <w:sz w:val="18"/>
                        <w:szCs w:val="18"/>
                      </w:rPr>
                      <w:t>溶解</w:t>
                    </w:r>
                  </w:p>
                </w:txbxContent>
              </v:textbox>
            </v:shape>
            <v:shape id="AutoShape 629" o:spid="_x0000_s2165" o:spt="32" type="#_x0000_t32" style="position:absolute;left:4782;top:2967;height:675;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N7+QOygAAAOIAAAAPAAAA&#10;AAAAAAAAAAAAAKECAABkcnMvZG93bnJldi54bWxQSwUGAAAAAAQABAD5AAAAmAMAAAAA&#10;">
              <v:path arrowok="t"/>
              <v:fill on="f" focussize="0,0"/>
              <v:stroke color="#000000" endarrow="block"/>
              <v:imagedata o:title=""/>
              <o:lock v:ext="edit" aspectratio="f"/>
            </v:shape>
            <v:shape id="Text Box 630" o:spid="_x0000_s2166" o:spt="202" type="#_x0000_t202" style="position:absolute;left:4234;top:4827;height:510;width:109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VQrMkA&#10;AADjAAAADwAAAGRycy9kb3ducmV2LnhtbERPX0/CMBB/N/E7NGfCi5EOhmxMCiEkGHxTNPp6WY9t&#10;cb3Otoz57SmJiY/3+3/L9WBa0ZPzjWUFk3ECgri0uuFKwcf77iEH4QOyxtYyKfglD+vV7c0SC23P&#10;/Eb9IVQihrAvUEEdQldI6cuaDPqx7Ygjd7TOYIinq6R2eI7hppXTJJlLgw3Hhho72tZUfh9ORkE+&#10;2/df/iV9/Sznx3YR7rP++ccpNbobNk8gAg3hX/zn3us4P51kaT7LHhdw/SkCIF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hVQrMkAAADjAAAADwAAAAAAAAAAAAAAAACYAgAA&#10;ZHJzL2Rvd25yZXYueG1sUEsFBgAAAAAEAAQA9QAAAI4DAAAAAA==&#10;">
              <v:path/>
              <v:fill on="t" color2="#FFFFFF" focussize="0,0"/>
              <v:stroke color="#000000" joinstyle="miter"/>
              <v:imagedata o:title=""/>
              <o:lock v:ext="edit" aspectratio="f"/>
              <v:textbox>
                <w:txbxContent>
                  <w:p w14:paraId="43AC529E">
                    <w:pPr>
                      <w:ind w:left="0" w:leftChars="0" w:firstLine="0" w:firstLineChars="0"/>
                      <w:jc w:val="center"/>
                      <w:rPr>
                        <w:sz w:val="18"/>
                        <w:szCs w:val="18"/>
                      </w:rPr>
                    </w:pPr>
                    <w:r>
                      <w:rPr>
                        <w:rFonts w:hint="eastAsia"/>
                        <w:sz w:val="18"/>
                        <w:szCs w:val="18"/>
                      </w:rPr>
                      <w:t>脱泡</w:t>
                    </w:r>
                  </w:p>
                </w:txbxContent>
              </v:textbox>
            </v:shape>
            <v:shape id="AutoShape 631" o:spid="_x0000_s2167" o:spt="32" type="#_x0000_t32" style="position:absolute;left:4781;top:4152;height:675;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BfgA+ssAAADiAAAADwAA&#10;AAAAAAAAAAAAAAChAgAAZHJzL2Rvd25yZXYueG1sUEsFBgAAAAAEAAQA+QAAAJkDAAAAAA==&#10;">
              <v:path arrowok="t"/>
              <v:fill on="f" focussize="0,0"/>
              <v:stroke color="#000000" endarrow="block"/>
              <v:imagedata o:title=""/>
              <o:lock v:ext="edit" aspectratio="f"/>
            </v:shape>
            <v:shape id="Text Box 632" o:spid="_x0000_s2168" o:spt="202" type="#_x0000_t202" style="position:absolute;left:4238;top:6012;height:510;width:109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3WMwA&#10;AADjAAAADwAAAGRycy9kb3ducmV2LnhtbESPT0/DMAzF70h8h8hIXBBL2diflmUTQgKN2zam7Wo1&#10;XlvROCUJXfn2+IDE0fbze++3XA+uVT2F2Hg28DDKQBGX3jZcGTh8vN4vQMWEbLH1TAZ+KMJ6dX21&#10;xML6C++o36dKiQnHAg3UKXWF1rGsyWEc+Y5YbmcfHCYZQ6VtwIuYu1aPs2ymHTYsCTV29FJT+bn/&#10;dgYWj5v+FN8n22M5O7d5upv3b1/BmNub4fkJVKIh/Yv/vjdW6k/z8TTPJrlQCJMsQK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eru3WMwAAADjAAAADwAAAAAAAAAAAAAAAACY&#10;AgAAZHJzL2Rvd25yZXYueG1sUEsFBgAAAAAEAAQA9QAAAJEDAAAAAA==&#10;">
              <v:path/>
              <v:fill on="t" color2="#FFFFFF" focussize="0,0"/>
              <v:stroke color="#000000" joinstyle="miter"/>
              <v:imagedata o:title=""/>
              <o:lock v:ext="edit" aspectratio="f"/>
              <v:textbox>
                <w:txbxContent>
                  <w:p w14:paraId="7A270792">
                    <w:pPr>
                      <w:ind w:left="0" w:leftChars="0" w:firstLine="0" w:firstLineChars="0"/>
                      <w:jc w:val="center"/>
                      <w:rPr>
                        <w:sz w:val="18"/>
                        <w:szCs w:val="18"/>
                      </w:rPr>
                    </w:pPr>
                    <w:r>
                      <w:rPr>
                        <w:rFonts w:hint="eastAsia"/>
                        <w:sz w:val="18"/>
                        <w:szCs w:val="18"/>
                      </w:rPr>
                      <w:t>过滤</w:t>
                    </w:r>
                  </w:p>
                </w:txbxContent>
              </v:textbox>
            </v:shape>
            <v:shape id="AutoShape 633" o:spid="_x0000_s2169" o:spt="32" type="#_x0000_t32" style="position:absolute;left:4785;top:5337;height:675;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aNnMkAAADjAAAADwAAAGRycy9kb3ducmV2LnhtbERPX2vCMBB/H+w7hBv4NlPF2VmNMgaK&#10;OPYwlaJvR3Nry5pLSaLWfXojDPZ4v/83W3SmEWdyvrasYNBPQBAXVtdcKtjvls+vIHxA1thYJgVX&#10;8rCYPz7MMNP2wl903oZSxBD2GSqoQmgzKX1RkUHfty1x5L6tMxji6UqpHV5iuGnkMEnG0mDNsaHC&#10;lt4rKn62J6Pg8DE55df8kzb5YLI5ojP+d7dSqvfUvU1BBOrCv/jPvdZx/ihNXsajYZrC/acIgJz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WjZzJAAAA4wAAAA8AAAAA&#10;AAAAAAAAAAAAoQIAAGRycy9kb3ducmV2LnhtbFBLBQYAAAAABAAEAPkAAACXAwAAAAA=&#10;">
              <v:path arrowok="t"/>
              <v:fill on="f" focussize="0,0"/>
              <v:stroke color="#000000" endarrow="block"/>
              <v:imagedata o:title=""/>
              <o:lock v:ext="edit" aspectratio="f"/>
            </v:shape>
            <v:shape id="Text Box 634" o:spid="_x0000_s2170" o:spt="202" type="#_x0000_t202" style="position:absolute;left:4239;top:7182;height:510;width:109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5Lf8gA&#10;AADiAAAADwAAAGRycy9kb3ducmV2LnhtbERPy2rCQBTdF/yH4RbclDrxQTTRUURosbs2Fd1eMtck&#10;NHMnzkxj+vedRaHLw3lvdoNpRU/ON5YVTCcJCOLS6oYrBafPl+cVCB+QNbaWScEPedhtRw8bzLW9&#10;8wf1RahEDGGfo4I6hC6X0pc1GfQT2xFH7mqdwRChq6R2eI/hppWzJEmlwYZjQ40dHWoqv4pvo2C1&#10;OPYX/zZ/P5fptc3C07J/vTmlxo/Dfg0i0BD+xX/uo1aQLbNkMZ+lcXO8FO+A3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jkt/yAAAAOIAAAAPAAAAAAAAAAAAAAAAAJgCAABk&#10;cnMvZG93bnJldi54bWxQSwUGAAAAAAQABAD1AAAAjQMAAAAA&#10;">
              <v:path/>
              <v:fill on="t" color2="#FFFFFF" focussize="0,0"/>
              <v:stroke color="#000000" joinstyle="miter"/>
              <v:imagedata o:title=""/>
              <o:lock v:ext="edit" aspectratio="f"/>
              <v:textbox>
                <w:txbxContent>
                  <w:p w14:paraId="349105C6">
                    <w:pPr>
                      <w:ind w:left="0" w:leftChars="0" w:firstLine="0" w:firstLineChars="0"/>
                      <w:jc w:val="center"/>
                      <w:rPr>
                        <w:sz w:val="18"/>
                        <w:szCs w:val="18"/>
                      </w:rPr>
                    </w:pPr>
                    <w:r>
                      <w:rPr>
                        <w:rFonts w:hint="eastAsia"/>
                        <w:sz w:val="18"/>
                        <w:szCs w:val="18"/>
                      </w:rPr>
                      <w:t>纺丝</w:t>
                    </w:r>
                  </w:p>
                </w:txbxContent>
              </v:textbox>
            </v:shape>
            <v:shape id="AutoShape 635" o:spid="_x0000_s2171" o:spt="32" type="#_x0000_t32" style="position:absolute;left:4786;top:6507;height:675;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0eYckAAADjAAAADwAAAGRycy9kb3ducmV2LnhtbERPX0vDMBB/F/wO4YS9ubQO6lqXFhE2&#10;ZOLDNin6djRnW2wuJcm2zk9vBMHH+/2/VTWZQZzI+d6ygnSegCBurO65VfB2WN8uQfiArHGwTAou&#10;5KEqr69WWGh75h2d9qEVMYR9gQq6EMZCSt90ZNDP7UgcuU/rDIZ4ulZqh+cYbgZ5lySZNNhzbOhw&#10;pKeOmq/90Sh4f8mP9aV+pW2d5tsPdMZ/HzZKzW6mxwcQgabwL/5zP+s4f5ncZ4s8S3P4/SkCIM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1dHmHJAAAA4wAAAA8AAAAA&#10;AAAAAAAAAAAAoQIAAGRycy9kb3ducmV2LnhtbFBLBQYAAAAABAAEAPkAAACXAwAAAAA=&#10;">
              <v:path arrowok="t"/>
              <v:fill on="f" focussize="0,0"/>
              <v:stroke color="#000000" endarrow="block"/>
              <v:imagedata o:title=""/>
              <o:lock v:ext="edit" aspectratio="f"/>
            </v:shape>
            <v:shape id="Text Box 636" o:spid="_x0000_s2172" o:spt="202" type="#_x0000_t202" style="position:absolute;left:4257;top:13092;height:510;width:109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dMfsgA&#10;AADjAAAADwAAAGRycy9kb3ducmV2LnhtbERPX0/CMBB/J/E7NEfii4FOh4MNCjEmGnxTIPp6WY9t&#10;cb3Oto757SmJCY/3+3+rzWBa0ZPzjWUF99MEBHFpdcOVgsP+ZbIA4QOyxtYyKfgjD5v1zWiFhbYn&#10;/qB+FyoRQ9gXqKAOoSuk9GVNBv3UdsSRO1pnMMTTVVI7PMVw08qHJMmkwYZjQ40dPddUfu9+jYLF&#10;bNt/+bf0/bPMjm0e7ub9649T6nY8PC1BBBrCVfzv3uo4P82z9DGfZTlcfooAyPU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x0x+yAAAAOMAAAAPAAAAAAAAAAAAAAAAAJgCAABk&#10;cnMvZG93bnJldi54bWxQSwUGAAAAAAQABAD1AAAAjQMAAAAA&#10;">
              <v:path/>
              <v:fill on="t" color2="#FFFFFF" focussize="0,0"/>
              <v:stroke color="#000000" joinstyle="miter"/>
              <v:imagedata o:title=""/>
              <o:lock v:ext="edit" aspectratio="f"/>
              <v:textbox>
                <w:txbxContent>
                  <w:p w14:paraId="2822BA37">
                    <w:pPr>
                      <w:ind w:left="0" w:leftChars="0" w:firstLine="0" w:firstLineChars="0"/>
                      <w:jc w:val="center"/>
                      <w:rPr>
                        <w:sz w:val="18"/>
                        <w:szCs w:val="18"/>
                      </w:rPr>
                    </w:pPr>
                    <w:r>
                      <w:rPr>
                        <w:rFonts w:hint="eastAsia"/>
                        <w:sz w:val="18"/>
                        <w:szCs w:val="18"/>
                      </w:rPr>
                      <w:t>成筒</w:t>
                    </w:r>
                  </w:p>
                </w:txbxContent>
              </v:textbox>
            </v:shape>
            <v:shape id="AutoShape 637" o:spid="_x0000_s2173" o:spt="32" type="#_x0000_t32" style="position:absolute;left:4804;top:12417;height:675;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A4/t3ssAAADiAAAADwAA&#10;AAAAAAAAAAAAAAChAgAAZHJzL2Rvd25yZXYueG1sUEsFBgAAAAAEAAQA+QAAAJkDAAAAAA==&#10;">
              <v:path arrowok="t"/>
              <v:fill on="f" focussize="0,0"/>
              <v:stroke color="#000000" endarrow="block"/>
              <v:imagedata o:title=""/>
              <o:lock v:ext="edit" aspectratio="f"/>
            </v:shape>
            <v:shape id="Text Box 638" o:spid="_x0000_s2174" o:spt="202" type="#_x0000_t202" style="position:absolute;left:4372;top:13935;height:435;width:841;"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aI4sUA&#10;AADiAAAADwAAAGRycy9kb3ducmV2LnhtbERPy4rCMBTdC/MP4QpuRNMR2047RlFhBrc+PuDaXNti&#10;c1OaaOvfTxbCLA/nvdoMphFP6lxtWcHnPAJBXFhdc6ngcv6ZfYFwHlljY5kUvMjBZv0xWmGubc9H&#10;ep58KUIIuxwVVN63uZSuqMigm9uWOHA32xn0AXal1B32Idw0chFFiTRYc2iosKV9RcX99DAKbod+&#10;Gmf99ddf0uMy2WGdXu1Lqcl42H6D8DT4f/HbfdAKsiSNkyzOwuZwKd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ojixQAAAOIAAAAPAAAAAAAAAAAAAAAAAJgCAABkcnMv&#10;ZG93bnJldi54bWxQSwUGAAAAAAQABAD1AAAAigMAAAAA&#10;">
              <v:path/>
              <v:fill on="t" color2="#FFFFFF" focussize="0,0"/>
              <v:stroke on="f"/>
              <v:imagedata o:title=""/>
              <o:lock v:ext="edit" aspectratio="f"/>
              <v:textbox>
                <w:txbxContent>
                  <w:p w14:paraId="703A1DDF">
                    <w:pPr>
                      <w:ind w:left="0" w:leftChars="0" w:firstLine="0" w:firstLineChars="0"/>
                      <w:jc w:val="center"/>
                      <w:rPr>
                        <w:color w:val="0000CC"/>
                        <w:sz w:val="18"/>
                        <w:szCs w:val="18"/>
                      </w:rPr>
                    </w:pPr>
                    <w:r>
                      <w:rPr>
                        <w:rFonts w:hint="eastAsia"/>
                        <w:color w:val="0000CC"/>
                        <w:sz w:val="18"/>
                        <w:szCs w:val="18"/>
                      </w:rPr>
                      <w:t>产品</w:t>
                    </w:r>
                  </w:p>
                </w:txbxContent>
              </v:textbox>
            </v:shape>
            <v:shape id="AutoShape 639" o:spid="_x0000_s2175" o:spt="32" type="#_x0000_t32" style="position:absolute;left:4784;top:13602;height:388;width:2;"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c+TlpcsAAADhAAAADwAA&#10;AAAAAAAAAAAAAAChAgAAZHJzL2Rvd25yZXYueG1sUEsFBgAAAAAEAAQA+QAAAJkDAAAAAA==&#10;">
              <v:path arrowok="t"/>
              <v:fill on="f" focussize="0,0"/>
              <v:stroke color="#000000" endarrow="block"/>
              <v:imagedata o:title=""/>
              <o:lock v:ext="edit" aspectratio="f"/>
            </v:shape>
            <v:shape id="Text Box 640" o:spid="_x0000_s2177" o:spt="202" type="#_x0000_t202" style="position:absolute;left:4240;top:10722;height:510;width:109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IA98kA&#10;AADjAAAADwAAAGRycy9kb3ducmV2LnhtbERPS2vCQBC+F/oflhG8FN3EWB/RVYpgsbdWpb0O2TEJ&#10;zc6mu2tM/323UOhxvvest71pREfO15YVpOMEBHFhdc2lgvNpP1qA8AFZY2OZFHyTh+3m/m6NubY3&#10;fqPuGEoRQ9jnqKAKoc2l9EVFBv3YtsSRu1hnMMTTlVI7vMVw08hJksykwZpjQ4Ut7SoqPo9Xo2Ax&#10;PXQf/iV7fS9ml2YZHubd85dTajjon1YgAvXhX/znPug4/zFdpkmWTabw+1MEQG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RIA98kAAADjAAAADwAAAAAAAAAAAAAAAACYAgAA&#10;ZHJzL2Rvd25yZXYueG1sUEsFBgAAAAAEAAQA9QAAAI4DAAAAAA==&#10;">
              <v:path/>
              <v:fill on="t" color2="#FFFFFF" focussize="0,0"/>
              <v:stroke color="#000000" joinstyle="miter"/>
              <v:imagedata o:title=""/>
              <o:lock v:ext="edit" aspectratio="f"/>
              <v:textbox>
                <w:txbxContent>
                  <w:p w14:paraId="3FCFA568">
                    <w:pPr>
                      <w:ind w:left="0" w:leftChars="0" w:firstLine="0" w:firstLineChars="0"/>
                      <w:jc w:val="center"/>
                      <w:rPr>
                        <w:sz w:val="18"/>
                        <w:szCs w:val="18"/>
                      </w:rPr>
                    </w:pPr>
                    <w:r>
                      <w:rPr>
                        <w:rFonts w:hint="eastAsia"/>
                        <w:sz w:val="18"/>
                        <w:szCs w:val="18"/>
                      </w:rPr>
                      <w:t>上油</w:t>
                    </w:r>
                  </w:p>
                </w:txbxContent>
              </v:textbox>
            </v:shape>
            <v:shape id="AutoShape 641" o:spid="_x0000_s2178" o:spt="32" type="#_x0000_t32" style="position:absolute;left:4787;top:10047;height:675;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KAB2q3MAAAA4gAAAA8A&#10;AAAAAAAAAAAAAAAAoQIAAGRycy9kb3ducmV2LnhtbFBLBQYAAAAABAAEAPkAAACaAwAAAAA=&#10;">
              <v:path arrowok="t"/>
              <v:fill on="f" focussize="0,0"/>
              <v:stroke color="#000000" endarrow="block"/>
              <v:imagedata o:title=""/>
              <o:lock v:ext="edit" aspectratio="f"/>
            </v:shape>
            <v:shape id="Text Box 642" o:spid="_x0000_s2179" o:spt="202" type="#_x0000_t202" style="position:absolute;left:4233;top:8367;height:510;width:109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gxFcsA&#10;AADiAAAADwAAAGRycy9kb3ducmV2LnhtbESPQWvCQBSE74X+h+UVeil10yZGTV1FCoq9tba010f2&#10;mYRm38bdbYz/3hWEHoeZ+YaZLwfTip6cbywreBolIIhLqxuuFHx9rh+nIHxA1thaJgUn8rBc3N7M&#10;sdD2yB/U70IlIoR9gQrqELpCSl/WZNCPbEccvb11BkOUrpLa4THCTSufkySXBhuOCzV29FpT+bv7&#10;Mwqm2bb/8W/p+3eZ79tZeJj0m4NT6v5uWL2ACDSE//C1vdUK0vF4MkvzLIPLpXgH5OIM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GDEVywAAAOIAAAAPAAAAAAAAAAAAAAAAAJgC&#10;AABkcnMvZG93bnJldi54bWxQSwUGAAAAAAQABAD1AAAAkAMAAAAA&#10;">
              <v:path/>
              <v:fill on="t" color2="#FFFFFF" focussize="0,0"/>
              <v:stroke color="#000000" joinstyle="miter"/>
              <v:imagedata o:title=""/>
              <o:lock v:ext="edit" aspectratio="f"/>
              <v:textbox>
                <w:txbxContent>
                  <w:p w14:paraId="119EB7A2">
                    <w:pPr>
                      <w:ind w:left="0" w:leftChars="0" w:firstLine="0" w:firstLineChars="0"/>
                      <w:jc w:val="center"/>
                      <w:rPr>
                        <w:sz w:val="18"/>
                        <w:szCs w:val="18"/>
                      </w:rPr>
                    </w:pPr>
                    <w:r>
                      <w:rPr>
                        <w:rFonts w:hint="eastAsia"/>
                        <w:sz w:val="18"/>
                        <w:szCs w:val="18"/>
                      </w:rPr>
                      <w:t>凝固浴</w:t>
                    </w:r>
                  </w:p>
                </w:txbxContent>
              </v:textbox>
            </v:shape>
            <v:shape id="AutoShape 643" o:spid="_x0000_s2180" o:spt="32" type="#_x0000_t32" style="position:absolute;left:4780;top:7692;height:675;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s9Q9zygAAAOMAAAAPAAAA&#10;AAAAAAAAAAAAAKECAABkcnMvZG93bnJldi54bWxQSwUGAAAAAAQABAD5AAAAmAMAAAAA&#10;">
              <v:path arrowok="t"/>
              <v:fill on="f" focussize="0,0"/>
              <v:stroke color="#000000" endarrow="block"/>
              <v:imagedata o:title=""/>
              <o:lock v:ext="edit" aspectratio="f"/>
            </v:shape>
            <v:shape id="Text Box 644" o:spid="_x0000_s2181" o:spt="202" type="#_x0000_t202" style="position:absolute;left:4234;top:9537;height:510;width:109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HVMMwA&#10;AADjAAAADwAAAGRycy9kb3ducmV2LnhtbESPQWvCQBSE74X+h+UVvBTdqGk0qasUocXeWhV7fWSf&#10;STD7Nt3dxvTfdwuFHoeZ+YZZbQbTip6cbywrmE4SEMSl1Q1XCo6H5/EShA/IGlvLpOCbPGzWtzcr&#10;LLS98jv1+1CJCGFfoII6hK6Q0pc1GfQT2xFH72ydwRClq6R2eI1w08pZkmTSYMNxocaOtjWVl/2X&#10;UbBMd/2Hf52/ncrs3ObhftG/fDqlRnfD0yOIQEP4D/+1d1rBLEmzPJ8vHlL4/RT/gFz/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KHVMMwAAADjAAAADwAAAAAAAAAAAAAAAACY&#10;AgAAZHJzL2Rvd25yZXYueG1sUEsFBgAAAAAEAAQA9QAAAJEDAAAAAA==&#10;">
              <v:path/>
              <v:fill on="t" color2="#FFFFFF" focussize="0,0"/>
              <v:stroke color="#000000" joinstyle="miter"/>
              <v:imagedata o:title=""/>
              <o:lock v:ext="edit" aspectratio="f"/>
              <v:textbox>
                <w:txbxContent>
                  <w:p w14:paraId="5DE3EF3E">
                    <w:pPr>
                      <w:ind w:left="0" w:leftChars="0" w:firstLine="0" w:firstLineChars="0"/>
                      <w:jc w:val="center"/>
                      <w:rPr>
                        <w:sz w:val="18"/>
                        <w:szCs w:val="18"/>
                      </w:rPr>
                    </w:pPr>
                    <w:r>
                      <w:rPr>
                        <w:rFonts w:hint="eastAsia"/>
                        <w:sz w:val="18"/>
                        <w:szCs w:val="18"/>
                      </w:rPr>
                      <w:t>水洗</w:t>
                    </w:r>
                  </w:p>
                </w:txbxContent>
              </v:textbox>
            </v:shape>
            <v:shape id="AutoShape 645" o:spid="_x0000_s2182" o:spt="32" type="#_x0000_t32" style="position:absolute;left:4814;top:8878;height:675;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ESr7PssAAADjAAAADwAA&#10;AAAAAAAAAAAAAAChAgAAZHJzL2Rvd25yZXYueG1sUEsFBgAAAAAEAAQA+QAAAJkDAAAAAA==&#10;">
              <v:path arrowok="t"/>
              <v:fill on="f" focussize="0,0"/>
              <v:stroke color="#000000" endarrow="block"/>
              <v:imagedata o:title=""/>
              <o:lock v:ext="edit" aspectratio="f"/>
            </v:shape>
            <v:shape id="Text Box 646" o:spid="_x0000_s2183" o:spt="202" type="#_x0000_t202" style="position:absolute;left:4232;top:11907;height:510;width:109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9lQMkA&#10;AADjAAAADwAAAGRycy9kb3ducmV2LnhtbERPX0/CMBB/J/E7NGfCi5EOpmxMCjEkEHhTNPp6WY9t&#10;cb3Otoz57a2JCY/3+3/L9WBa0ZPzjWUF00kCgri0uuFKwfvb9j4H4QOyxtYyKfghD+vVzWiJhbYX&#10;fqX+GCoRQ9gXqKAOoSuk9GVNBv3EdsSRO1lnMMTTVVI7vMRw08pZksylwYZjQ40dbWoqv45noyB/&#10;2Pef/pC+fJTzU7sId1m/+3ZKjW+H5ycQgYZwFf+79zrOT9J0keXZ9BH+fooA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79lQMkAAADjAAAADwAAAAAAAAAAAAAAAACYAgAA&#10;ZHJzL2Rvd25yZXYueG1sUEsFBgAAAAAEAAQA9QAAAI4DAAAAAA==&#10;">
              <v:path/>
              <v:fill on="t" color2="#FFFFFF" focussize="0,0"/>
              <v:stroke color="#000000" joinstyle="miter"/>
              <v:imagedata o:title=""/>
              <o:lock v:ext="edit" aspectratio="f"/>
              <v:textbox>
                <w:txbxContent>
                  <w:p w14:paraId="1860922E">
                    <w:pPr>
                      <w:ind w:left="0" w:leftChars="0" w:firstLine="0" w:firstLineChars="0"/>
                      <w:jc w:val="center"/>
                      <w:rPr>
                        <w:sz w:val="18"/>
                        <w:szCs w:val="18"/>
                      </w:rPr>
                    </w:pPr>
                    <w:r>
                      <w:rPr>
                        <w:rFonts w:hint="eastAsia"/>
                        <w:sz w:val="18"/>
                        <w:szCs w:val="18"/>
                      </w:rPr>
                      <w:t>干燥</w:t>
                    </w:r>
                  </w:p>
                </w:txbxContent>
              </v:textbox>
            </v:shape>
            <v:shape id="AutoShape 647" o:spid="_x0000_s2184" o:spt="32" type="#_x0000_t32" style="position:absolute;left:4779;top:11232;height:675;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IS02WcsAAADiAAAADwAA&#10;AAAAAAAAAAAAAAChAgAAZHJzL2Rvd25yZXYueG1sUEsFBgAAAAAEAAQA+QAAAJkDAAAAAA==&#10;">
              <v:path arrowok="t"/>
              <v:fill on="f" focussize="0,0"/>
              <v:stroke color="#000000" endarrow="block"/>
              <v:imagedata o:title=""/>
              <o:lock v:ext="edit" aspectratio="f"/>
            </v:shape>
            <v:shape id="Text Box 648" o:spid="_x0000_s2185" o:spt="202" type="#_x0000_t202" style="position:absolute;left:5951;top:6012;height:548;width:811;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Kk2McA&#10;AADjAAAADwAAAGRycy9kb3ducmV2LnhtbERPX2vCMBB/H/gdwg18GZqqVF1nKkMQRLaHqR/g1pxN&#10;aXMpTVbrtzeDwR7v9/8228E2oqfOV44VzKYJCOLC6YpLBZfzfrIG4QOyxsYxKbiTh20+etpgpt2N&#10;v6g/hVLEEPYZKjAhtJmUvjBk0U9dSxy5q+sshnh2pdQd3mK4beQ8SZbSYsWxwWBLO0NFffqxCl5M&#10;m3x+XA/fe70sTH30uLL9Uanx8/D+BiLQEP7Ff+6DjvMX8/Q1XS3SFH5/igDI/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ipNjHAAAA4wAAAA8AAAAAAAAAAAAAAAAAmAIAAGRy&#10;cy9kb3ducmV2LnhtbFBLBQYAAAAABAAEAPUAAACMAwAAAAA=&#10;">
              <v:path/>
              <v:fill on="f" focussize="0,0"/>
              <v:stroke on="f"/>
              <v:imagedata o:title=""/>
              <o:lock v:ext="edit" aspectratio="f"/>
              <v:textbox>
                <w:txbxContent>
                  <w:p w14:paraId="7318596F">
                    <w:pPr>
                      <w:ind w:left="1440" w:hanging="1440" w:hangingChars="800"/>
                      <w:rPr>
                        <w:color w:val="0000CC"/>
                        <w:sz w:val="18"/>
                        <w:szCs w:val="18"/>
                      </w:rPr>
                    </w:pPr>
                    <w:r>
                      <w:rPr>
                        <w:rFonts w:hint="eastAsia"/>
                        <w:color w:val="0000CC"/>
                        <w:sz w:val="18"/>
                        <w:szCs w:val="18"/>
                      </w:rPr>
                      <w:t>滤渣</w:t>
                    </w:r>
                  </w:p>
                  <w:p w14:paraId="228A481B">
                    <w:pPr>
                      <w:pStyle w:val="154"/>
                      <w:ind w:firstLine="180"/>
                      <w:rPr>
                        <w:sz w:val="18"/>
                        <w:szCs w:val="18"/>
                      </w:rPr>
                    </w:pPr>
                  </w:p>
                </w:txbxContent>
              </v:textbox>
            </v:shape>
            <v:shape id="Text Box 654" o:spid="_x0000_s2186" o:spt="202" type="#_x0000_t202" style="position:absolute;left:6007;top:8396;height:803;width:1035;"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s3WskA&#10;AADjAAAADwAAAGRycy9kb3ducmV2LnhtbERPX0/CMBB/N/E7NEfii5EO2ZANCjEmGnxTNPB6WY9t&#10;cb3Oto7x7SkJiY/3+3/L9WBa0ZPzjWUFk3ECgri0uuFKwffX68MchA/IGlvLpOBEHtar25slFtoe&#10;+ZP6bahEDGFfoII6hK6Q0pc1GfRj2xFH7mCdwRBPV0nt8BjDTSsfk2QmDTYcG2rs6KWm8mf7ZxTM&#10;002/9+/Tj105O7R5uH/q336dUnej4XkBItAQ/sVX90bH+WmWpdM8yydw+SkCIFd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vs3WskAAADjAAAADwAAAAAAAAAAAAAAAACYAgAA&#10;ZHJzL2Rvd25yZXYueG1sUEsFBgAAAAAEAAQA9QAAAI4DAAAAAA==&#10;">
              <v:path/>
              <v:fill on="t" color2="#FFFFFF" focussize="0,0"/>
              <v:stroke color="#000000" joinstyle="miter"/>
              <v:imagedata o:title=""/>
              <o:lock v:ext="edit" aspectratio="f"/>
              <v:textbox>
                <w:txbxContent>
                  <w:p w14:paraId="7B9BFE3C">
                    <w:pPr>
                      <w:ind w:left="0" w:leftChars="0" w:firstLine="0" w:firstLineChars="0"/>
                      <w:rPr>
                        <w:sz w:val="18"/>
                        <w:szCs w:val="18"/>
                      </w:rPr>
                    </w:pPr>
                    <w:r>
                      <w:rPr>
                        <w:rFonts w:hint="eastAsia"/>
                        <w:sz w:val="18"/>
                        <w:szCs w:val="18"/>
                        <w:lang w:val="en-US" w:eastAsia="zh-CN"/>
                      </w:rPr>
                      <w:t>气浮、</w:t>
                    </w:r>
                    <w:r>
                      <w:rPr>
                        <w:rFonts w:hint="eastAsia"/>
                        <w:sz w:val="18"/>
                        <w:szCs w:val="18"/>
                      </w:rPr>
                      <w:t>过滤</w:t>
                    </w:r>
                  </w:p>
                </w:txbxContent>
              </v:textbox>
            </v:shape>
            <v:shape id="AutoShape 659" o:spid="_x0000_s2187" o:spt="32" type="#_x0000_t32" style="position:absolute;left:6660;top:10017;height:496;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Sh4ckAAADjAAAADwAAAGRycy9kb3ducmV2LnhtbERPX0vDMBB/F/wO4QTfXFJRa+uyMQRF&#10;JnvYJkXfjuZsy5pLSbKt89MbQdjj/f7fdD7aXhzIh86xhmyiQBDXznTcaPjYvtw8gggR2WDvmDSc&#10;KMB8dnkxxdK4I6/psImNSCEcStTQxjiUUoa6JYth4gbixH07bzGm0zfSeDymcNvLW6UepMWOU0OL&#10;Az23VO82e6vh873YV6dqRcsqK5Zf6G342b5qfX01Lp5ARBrjWfzvfjNpfq5Ukef32R38/ZQAkL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pkoeHJAAAA4wAAAA8AAAAA&#10;AAAAAAAAAAAAoQIAAGRycy9kb3ducmV2LnhtbFBLBQYAAAAABAAEAPkAAACXAwAAAAA=&#10;">
              <v:path arrowok="t"/>
              <v:fill on="f" focussize="0,0"/>
              <v:stroke color="#000000" endarrow="block"/>
              <v:imagedata o:title=""/>
              <o:lock v:ext="edit" aspectratio="f"/>
            </v:shape>
            <v:shape id="AutoShape 660" o:spid="_x0000_s2188" o:spt="32" type="#_x0000_t32" style="position:absolute;left:5327;top:8571;flip:y;height:6;width:607;" filled="f" stroked="t" coordsize="21600,21600">
              <v:path arrowok="t"/>
              <v:fill on="f" focussize="0,0"/>
              <v:stroke color="#000000" endarrow="block"/>
              <v:imagedata o:title=""/>
              <o:lock v:ext="edit" aspectratio="f"/>
            </v:shape>
            <v:shape id="AutoShape 1211" o:spid="_x0000_s2189" o:spt="32" type="#_x0000_t32" style="position:absolute;left:3458;top:3896;height:1;width:738;"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h9MkAAADjAAAADwAAAGRycy9kb3ducmV2LnhtbERPX2vCMBB/H+w7hBv4NtOKytoZZQwm&#10;4vBBHUXfjubWljWXkkSt+/TLQPDxfv9vtuhNK87kfGNZQTpMQBCXVjdcKfjafzy/gPABWWNrmRRc&#10;ycNi/vgww1zbC2/pvAuViCHsc1RQh9DlUvqyJoN+aDviyH1bZzDE01VSO7zEcNPKUZJMpcGGY0ON&#10;Hb3XVP7sTkbB4TM7FddiQ+sizdZHdMb/7pdKDZ76t1cQgfpwF9/cKx3np9lokmbT8Rj+f4oAyP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mAofTJAAAA4wAAAA8AAAAA&#10;AAAAAAAAAAAAoQIAAGRycy9kb3ducmV2LnhtbFBLBQYAAAAABAAEAPkAAACXAwAAAAA=&#10;">
              <v:path arrowok="t"/>
              <v:fill on="f" focussize="0,0"/>
              <v:stroke color="#000000" endarrow="block"/>
              <v:imagedata o:title=""/>
              <o:lock v:ext="edit" aspectratio="f"/>
            </v:shape>
            <v:shape id="Text Box 1212" o:spid="_x0000_s2190" o:spt="202" type="#_x0000_t202" style="position:absolute;left:2744;top:3537;height:480;width:1254;"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HwMYA&#10;AADjAAAADwAAAGRycy9kb3ducmV2LnhtbERPyWrDMBC9F/oPYgq9NVLSrI6VEFoKOTU0G+Q2WOOF&#10;WCNjqbHz91Wh0OO8fdJ1b2txo9ZXjjUMBwoEceZMxYWG4+HjZQ7CB2SDtWPScCcP69XjQ4qJcR1/&#10;0W0fChFD2CeooQyhSaT0WUkW/cA1xJHLXWsxxLMtpGmxi+G2liOlptJixbGhxIbeSsqu+2+r4fSZ&#10;X85jtSve7aTpXK8k24XU+vmp3yxBBOrDv/jPvTVx/ut0rhbjyWwEvz9FA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HwMYAAADjAAAADwAAAAAAAAAAAAAAAACYAgAAZHJz&#10;L2Rvd25yZXYueG1sUEsFBgAAAAAEAAQA9QAAAIsDAAAAAA==&#10;">
              <v:path/>
              <v:fill on="f" focussize="0,0"/>
              <v:stroke on="f"/>
              <v:imagedata o:title=""/>
              <o:lock v:ext="edit" aspectratio="f"/>
              <v:textbox>
                <w:txbxContent>
                  <w:p w14:paraId="2EB2D5B7">
                    <w:pPr>
                      <w:ind w:left="0" w:leftChars="0" w:firstLine="0" w:firstLineChars="0"/>
                      <w:jc w:val="both"/>
                      <w:rPr>
                        <w:color w:val="0000CC"/>
                        <w:sz w:val="18"/>
                        <w:szCs w:val="18"/>
                      </w:rPr>
                    </w:pPr>
                    <w:r>
                      <w:rPr>
                        <w:rFonts w:hint="eastAsia"/>
                        <w:color w:val="0000CC"/>
                        <w:sz w:val="18"/>
                        <w:szCs w:val="18"/>
                      </w:rPr>
                      <w:t>蒸汽保温</w:t>
                    </w:r>
                  </w:p>
                </w:txbxContent>
              </v:textbox>
            </v:shape>
            <v:shape id="AutoShape 1214" o:spid="_x0000_s2191" o:spt="32" type="#_x0000_t32" style="position:absolute;left:5356;top:6253;height:1;width:738;"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SJzkl8sAAADiAAAADwAA&#10;AAAAAAAAAAAAAAChAgAAZHJzL2Rvd25yZXYueG1sUEsFBgAAAAAEAAQA+QAAAJkDAAAAAA==&#10;">
              <v:path arrowok="t"/>
              <v:fill on="f" focussize="0,0"/>
              <v:stroke color="#000000" endarrow="block"/>
              <v:imagedata o:title=""/>
              <o:lock v:ext="edit" aspectratio="f"/>
            </v:shape>
            <v:shape id="Text Box 1215" o:spid="_x0000_s2192" o:spt="202" type="#_x0000_t202" style="position:absolute;left:2783;top:10572;height:495;width:1098;"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bIjskA&#10;AADiAAAADwAAAGRycy9kb3ducmV2LnhtbESPzWrDMBCE74W8g9hAbo0U0ya2GyWUlkJPKfmF3BZr&#10;Y5taK2Mpsfv2UaHQ4zAz3zDL9WAbcaPO1441zKYKBHHhTM2lhsP+4zEF4QOywcYxafghD+vV6GGJ&#10;uXE9b+m2C6WIEPY5aqhCaHMpfVGRRT91LXH0Lq6zGKLsSmk67CPcNjJRai4t1hwXKmzpraLie3e1&#10;Go6by/n0pL7Kd/vc9m5Qkm0mtZ6Mh9cXEIGG8B/+a38aDUm2SNJZls7h91K8A3J1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MbIjskAAADiAAAADwAAAAAAAAAAAAAAAACYAgAA&#10;ZHJzL2Rvd25yZXYueG1sUEsFBgAAAAAEAAQA9QAAAI4DAAAAAA==&#10;">
              <v:path/>
              <v:fill on="f" focussize="0,0"/>
              <v:stroke on="f"/>
              <v:imagedata o:title=""/>
              <o:lock v:ext="edit" aspectratio="f"/>
              <v:textbox>
                <w:txbxContent>
                  <w:p w14:paraId="3A30B994">
                    <w:pPr>
                      <w:jc w:val="left"/>
                      <w:rPr>
                        <w:color w:val="0000CC"/>
                        <w:sz w:val="18"/>
                        <w:szCs w:val="18"/>
                      </w:rPr>
                    </w:pPr>
                    <w:r>
                      <w:rPr>
                        <w:rFonts w:hint="eastAsia"/>
                        <w:color w:val="0000CC"/>
                        <w:sz w:val="18"/>
                        <w:szCs w:val="18"/>
                      </w:rPr>
                      <w:t>纺丝油剂</w:t>
                    </w:r>
                  </w:p>
                </w:txbxContent>
              </v:textbox>
            </v:shape>
            <v:shape id="AutoShape 1216" o:spid="_x0000_s2193" o:spt="32" type="#_x0000_t32" style="position:absolute;left:3494;top:10917;height:1;width:738;"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tfBMoAAADiAAAADwAAAGRycy9kb3ducmV2LnhtbESPzWrCQBSF90LfYbgFdzqJipjoKEVo&#10;KUoX1RLa3SVzTUIzd8LMqLFP7ywKLg/nj2+16U0rLuR8Y1lBOk5AEJdWN1wp+Dq+jhYgfEDW2Fom&#10;BTfysFk/DVaYa3vlT7ocQiXiCPscFdQhdLmUvqzJoB/bjjh6J+sMhihdJbXDaxw3rZwkyVwabDg+&#10;1NjRtqby93A2Cr732bm4FR+0K9Js94PO+L/jm1LD5/5lCSJQHx7h//a7VrBIZ9l8mswiRESKOCDX&#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Q618EygAAAOIAAAAPAAAA&#10;AAAAAAAAAAAAAKECAABkcnMvZG93bnJldi54bWxQSwUGAAAAAAQABAD5AAAAmAMAAAAA&#10;">
              <v:path arrowok="t"/>
              <v:fill on="f" focussize="0,0"/>
              <v:stroke color="#000000" endarrow="block"/>
              <v:imagedata o:title=""/>
              <o:lock v:ext="edit" aspectratio="f"/>
            </v:shape>
            <v:shape id="Text Box 1217" o:spid="_x0000_s2194" o:spt="202" type="#_x0000_t202" style="position:absolute;left:5864;top:13096;height:404;width:894;"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dWfccA&#10;AADjAAAADwAAAGRycy9kb3ducmV2LnhtbERPS2vCQBC+C/0PyxR6q7sNxkfqKkURPFVMq+BtyI5J&#10;aHY2ZLcm/ffdQsHjfO9ZrgfbiBt1vnas4WWsQBAXztRcavj82D3PQfiAbLBxTBp+yMN69TBaYmZc&#10;z0e65aEUMYR9hhqqENpMSl9UZNGPXUscuavrLIZ4dqU0HfYx3DYyUWoqLdYcGypsaVNR8ZV/Ww2n&#10;9+vlPFGHcmvTtneDkmwXUuunx+HtFUSgIdzF/+69ifOTeZImEzVL4e+nCI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nVn3HAAAA4wAAAA8AAAAAAAAAAAAAAAAAmAIAAGRy&#10;cy9kb3ducmV2LnhtbFBLBQYAAAAABAAEAPUAAACMAwAAAAA=&#10;">
              <v:path/>
              <v:fill on="f" focussize="0,0"/>
              <v:stroke on="f"/>
              <v:imagedata o:title=""/>
              <o:lock v:ext="edit" aspectratio="f"/>
              <v:textbox>
                <w:txbxContent>
                  <w:p w14:paraId="644B313D">
                    <w:pPr>
                      <w:ind w:left="0" w:leftChars="0" w:firstLine="0" w:firstLineChars="0"/>
                      <w:jc w:val="center"/>
                      <w:rPr>
                        <w:color w:val="0000CC"/>
                        <w:sz w:val="18"/>
                        <w:szCs w:val="18"/>
                      </w:rPr>
                    </w:pPr>
                    <w:r>
                      <w:rPr>
                        <w:rFonts w:hint="eastAsia"/>
                        <w:color w:val="0000CC"/>
                        <w:sz w:val="18"/>
                        <w:szCs w:val="18"/>
                      </w:rPr>
                      <w:t>废丝</w:t>
                    </w:r>
                  </w:p>
                </w:txbxContent>
              </v:textbox>
            </v:shape>
            <v:shape id="AutoShape 1218" o:spid="_x0000_s2195" o:spt="32" type="#_x0000_t32" style="position:absolute;left:5370;top:13346;height:1;width:738;"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6QWskAAADjAAAADwAAAGRycy9kb3ducmV2LnhtbERPX2vCMBB/H+w7hBvsbaYOF2w1yhhs&#10;DMce1FHm29GcbbG5lCRq3adfBgMf7/f/5svBduJEPrSONYxHGQjiypmWaw1f29eHKYgQkQ12jknD&#10;hQIsF7c3cyyMO/OaTptYixTCoUANTYx9IWWoGrIYRq4nTtzeeYsxnb6WxuM5hdtOPmaZkhZbTg0N&#10;9vTSUHXYHK2G74/8WF7KT1qV43y1Q2/Dz/ZN6/u74XkGItIQr+J/97tJ8ydPSqlcZRP4+ykBIB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BekFrJAAAA4wAAAA8AAAAA&#10;AAAAAAAAAAAAoQIAAGRycy9kb3ducmV2LnhtbFBLBQYAAAAABAAEAPkAAACXAwAAAAA=&#10;">
              <v:path arrowok="t"/>
              <v:fill on="f" focussize="0,0"/>
              <v:stroke color="#000000" endarrow="block"/>
              <v:imagedata o:title=""/>
              <o:lock v:ext="edit" aspectratio="f"/>
            </v:shape>
            <v:shape id="Text Box 1220" o:spid="_x0000_s2196" o:spt="202" type="#_x0000_t202" style="position:absolute;left:5951;top:11899;height:456;width:1063;"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lTyskA&#10;AADjAAAADwAAAGRycy9kb3ducmV2LnhtbESPT2vCQBTE70K/w/IKveluQ5Qa3UipFHqyaFvB2yP7&#10;8odm34bsatJv7xYEj8PM/IZZb0bbigv1vnGs4XmmQBAXzjRcafj+ep++gPAB2WDrmDT8kYdN/jBZ&#10;Y2bcwHu6HEIlIoR9hhrqELpMSl/UZNHPXEccvdL1FkOUfSVNj0OE21YmSi2kxYbjQo0dvdVU/B7O&#10;VsPPrjwdU/VZbe28G9yoJNul1PrpcXxdgQg0hnv41v4wGhKVqjRR82QB/5/iH5D5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QlTyskAAADjAAAADwAAAAAAAAAAAAAAAACYAgAA&#10;ZHJzL2Rvd25yZXYueG1sUEsFBgAAAAAEAAQA9QAAAI4DAAAAAA==&#10;">
              <v:path/>
              <v:fill on="f" focussize="0,0"/>
              <v:stroke on="f"/>
              <v:imagedata o:title=""/>
              <o:lock v:ext="edit" aspectratio="f"/>
              <v:textbox>
                <w:txbxContent>
                  <w:p w14:paraId="4DA75DD0">
                    <w:pPr>
                      <w:rPr>
                        <w:color w:val="0000CC"/>
                        <w:sz w:val="18"/>
                        <w:szCs w:val="18"/>
                      </w:rPr>
                    </w:pPr>
                    <w:r>
                      <w:rPr>
                        <w:rFonts w:hint="eastAsia"/>
                        <w:color w:val="0000CC"/>
                        <w:sz w:val="18"/>
                        <w:szCs w:val="18"/>
                      </w:rPr>
                      <w:t>废气</w:t>
                    </w:r>
                  </w:p>
                </w:txbxContent>
              </v:textbox>
            </v:shape>
            <v:shape id="AutoShape 1221" o:spid="_x0000_s2197" o:spt="32" type="#_x0000_t32" style="position:absolute;left:5335;top:12138;height:1;width:738;"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UtjckAAADjAAAADwAAAGRycy9kb3ducmV2LnhtbERPX2vCMBB/H/gdwgm+zbQTO+2MIgPH&#10;cPgwHWV7O5pbW2wuJYla/fTLYLDH+/2/xao3rTiT841lBek4AUFcWt1wpeDjsLmfgfABWWNrmRRc&#10;ycNqObhbYK7thd/pvA+ViCHsc1RQh9DlUvqyJoN+bDviyH1bZzDE01VSO7zEcNPKhyTJpMGGY0ON&#10;HT3XVB73J6Pg821+Kq7FjrZFOt9+oTP+dnhRajTs108gAvXhX/znftVx/ixNp5PHSZbB708RALn8&#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XVLY3JAAAA4wAAAA8AAAAA&#10;AAAAAAAAAAAAoQIAAGRycy9kb3ducmV2LnhtbFBLBQYAAAAABAAEAPkAAACXAwAAAAA=&#10;">
              <v:path arrowok="t"/>
              <v:fill on="f" focussize="0,0"/>
              <v:stroke color="#000000" endarrow="block"/>
              <v:imagedata o:title=""/>
              <o:lock v:ext="edit" aspectratio="f"/>
            </v:shape>
            <v:shape id="AutoShape 1230" o:spid="_x0000_s2198" o:spt="33" type="#_x0000_t33" style="position:absolute;left:4440;top:4787;flip:y;height:2680;width:4460;rotation:5898240f;" o:connectortype="elbow"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TMNccAAADjAAAADwAAAGRycy9kb3ducmV2LnhtbERPX2vCMBB/H/gdwgl7m4kORbpGGW6D&#10;wfBhVbCPR3Ntis2lNFG7b78MhD3e7//l29F14kpDaD1rmM8UCOLKm5YbDcfDx9MaRIjIBjvPpOGH&#10;Amw3k4ccM+Nv/E3XIjYihXDIUIONsc+kDJUlh2Hme+LE1X5wGNM5NNIMeEvhrpMLpVbSYcupwWJP&#10;O0vVubg4DV++lLUv7a5+s6dwDpd3c9oftX6cjq8vICKN8V98d3+aNH/5rNR6NV8s4e+nBID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xMw1xwAAAOMAAAAPAAAAAAAA&#10;AAAAAAAAAKECAABkcnMvZG93bnJldi54bWxQSwUGAAAAAAQABAD5AAAAlQMAAAAA&#10;">
              <v:path arrowok="t"/>
              <v:fill on="f" focussize="0,0"/>
              <v:stroke color="#000000" joinstyle="miter" endarrow="block"/>
              <v:imagedata o:title=""/>
              <o:lock v:ext="edit" aspectratio="f"/>
            </v:shape>
            <v:shape id="Text Box 1231" o:spid="_x0000_s2199" o:spt="202" type="#_x0000_t202" style="position:absolute;left:5970;top:3566;height:480;width:229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CKU8cA&#10;AADjAAAADwAAAGRycy9kb3ducmV2LnhtbERPX2vCMBB/H/gdwgm+zURdt1qNMhTBp8mcDvZ2NGdb&#10;1lxKE2337c1gsMf7/b/lure1uFHrK8caJmMFgjh3puJCw+lj95iC8AHZYO2YNPyQh/Vq8LDEzLiO&#10;3+l2DIWIIewz1FCG0GRS+rwki37sGuLIXVxrMcSzLaRpsYvhtpZTpZ6lxYpjQ4kNbUrKv49Xq+H8&#10;dvn6fFKHYmuTpnO9kmznUuvRsH9dgAjUh3/xn3tv4vxJOkuSZJq+wO9PEQC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wilPHAAAA4wAAAA8AAAAAAAAAAAAAAAAAmAIAAGRy&#10;cy9kb3ducmV2LnhtbFBLBQYAAAAABAAEAPUAAACMAwAAAAA=&#10;">
              <v:path/>
              <v:fill on="f" focussize="0,0"/>
              <v:stroke on="f"/>
              <v:imagedata o:title=""/>
              <o:lock v:ext="edit" aspectratio="f"/>
              <v:textbox>
                <w:txbxContent>
                  <w:p w14:paraId="5A5100BF">
                    <w:pPr>
                      <w:jc w:val="center"/>
                      <w:rPr>
                        <w:color w:val="0000CC"/>
                        <w:sz w:val="18"/>
                        <w:szCs w:val="18"/>
                      </w:rPr>
                    </w:pPr>
                    <w:r>
                      <w:rPr>
                        <w:rFonts w:hint="eastAsia"/>
                        <w:color w:val="0000CC"/>
                        <w:sz w:val="18"/>
                        <w:szCs w:val="18"/>
                      </w:rPr>
                      <w:t>回收离子液</w:t>
                    </w:r>
                  </w:p>
                </w:txbxContent>
              </v:textbox>
            </v:shape>
            <v:shape id="AutoShape 660" o:spid="_x0000_s2200" o:spt="32" type="#_x0000_t32" style="position:absolute;left:5326;top:9769;height:0;width:949;"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NUOzhjMAAAA4wAAAA8A&#10;AAAAAAAAAAAAAAAAoQIAAGRycy9kb3ducmV2LnhtbFBLBQYAAAAABAAEAPkAAACaAwAAAAA=&#10;">
              <v:path arrowok="t"/>
              <v:fill on="f" focussize="0,0"/>
              <v:stroke color="#000000" endarrow="block"/>
              <v:imagedata o:title=""/>
              <o:lock v:ext="edit" aspectratio="f"/>
            </v:shape>
            <v:shape id="AutoShape 1211" o:spid="_x0000_s2201" o:spt="32" type="#_x0000_t32" style="position:absolute;left:5345;top:2711;height:1;width:738;"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PWGx2ygAAAOIAAAAPAAAA&#10;AAAAAAAAAAAAAKECAABkcnMvZG93bnJldi54bWxQSwUGAAAAAAQABAD5AAAAmAMAAAAA&#10;">
              <v:path arrowok="t"/>
              <v:fill on="f" focussize="0,0"/>
              <v:stroke color="#000000" endarrow="block"/>
              <v:imagedata o:title=""/>
              <o:lock v:ext="edit" aspectratio="f"/>
            </v:shape>
            <v:shape id="Text Box 1212" o:spid="_x0000_s2202" o:spt="202" type="#_x0000_t202" style="position:absolute;left:6001;top:2457;height:510;width:689;"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zuccA&#10;AADhAAAADwAAAGRycy9kb3ducmV2LnhtbESPT2vCQBTE70K/w/IKvelurRFNXaW0CJ4s/gVvj+wz&#10;Cc2+DdnVxG/vCgWPw8z8hpktOluJKzW+dKzhfaBAEGfOlJxr2O+W/QkIH5ANVo5Jw408LOYvvRmm&#10;xrW8oes25CJC2KeooQihTqX0WUEW/cDVxNE7u8ZiiLLJpWmwjXBbyaFSY2mx5LhQYE3fBWV/24vV&#10;cFifT8eR+s1/bFK3rlOS7VRq/fbafX2CCNSFZ/i/vTIakslYJepjCI9H8Q3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87nHAAAA4QAAAA8AAAAAAAAAAAAAAAAAmAIAAGRy&#10;cy9kb3ducmV2LnhtbFBLBQYAAAAABAAEAPUAAACMAwAAAAA=&#10;">
              <v:path/>
              <v:fill on="f" focussize="0,0"/>
              <v:stroke on="f"/>
              <v:imagedata o:title=""/>
              <o:lock v:ext="edit" aspectratio="f"/>
              <v:textbox>
                <w:txbxContent>
                  <w:p w14:paraId="2764ACE2">
                    <w:pPr>
                      <w:ind w:left="0" w:leftChars="0" w:firstLine="0" w:firstLineChars="0"/>
                      <w:jc w:val="center"/>
                      <w:rPr>
                        <w:color w:val="0000CC"/>
                        <w:sz w:val="18"/>
                        <w:szCs w:val="18"/>
                      </w:rPr>
                    </w:pPr>
                    <w:r>
                      <w:rPr>
                        <w:rFonts w:hint="eastAsia"/>
                        <w:color w:val="0000CC"/>
                        <w:sz w:val="18"/>
                        <w:szCs w:val="18"/>
                      </w:rPr>
                      <w:t>废气</w:t>
                    </w:r>
                  </w:p>
                </w:txbxContent>
              </v:textbox>
            </v:shape>
            <v:shape id="文本框 36" o:spid="_x0000_s2203" o:spt="202" type="#_x0000_t202" style="position:absolute;left:7559;top:8357;height:420;width:902;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80p8sA&#10;AADjAAAADwAAAGRycy9kb3ducmV2LnhtbERPX2vCMBB/H+w7hBvsZWiqqNjOKDoYThmbVmE+ns3Z&#10;1jWX0mTafftlMNjj/f7fZNaaSlyocaVlBb1uBII4s7rkXMF+99wZg3AeWWNlmRR8k4PZ9PZmgom2&#10;V97SJfW5CCHsElRQeF8nUrqsIIOua2viwJ1sY9CHs8mlbvAawk0l+1E0kgZLDg0F1vRUUPaZfhkF&#10;x/eP9fntlC7q5UYODouHlVm+rpS6v2vnjyA8tf5f/Od+0WH+YBgPe/04HsHvTwEAOf0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p3zSnywAAAOMAAAAPAAAAAAAAAAAAAAAAAJgC&#10;AABkcnMvZG93bnJldi54bWxQSwUGAAAAAAQABAD1AAAAkAMAAAAA&#10;">
              <v:path/>
              <v:fill on="t" color2="#FFFFFF" focussize="0,0"/>
              <v:stroke weight="0.5pt" color="#000000" joinstyle="miter"/>
              <v:imagedata o:title=""/>
              <o:lock v:ext="edit" aspectratio="f"/>
              <v:textbox inset="0mm,1mm,0mm,1mm">
                <w:txbxContent>
                  <w:p w14:paraId="3FC76D07">
                    <w:pPr>
                      <w:pStyle w:val="26"/>
                      <w:spacing w:before="0" w:beforeAutospacing="0" w:after="0" w:afterAutospacing="0"/>
                      <w:ind w:left="0" w:leftChars="0" w:firstLine="0" w:firstLineChars="0"/>
                      <w:jc w:val="center"/>
                      <w:rPr>
                        <w:sz w:val="18"/>
                        <w:szCs w:val="18"/>
                      </w:rPr>
                    </w:pPr>
                    <w:r>
                      <w:rPr>
                        <w:rFonts w:hint="eastAsia" w:ascii="Times New Roman"/>
                        <w:kern w:val="2"/>
                        <w:sz w:val="18"/>
                        <w:szCs w:val="18"/>
                      </w:rPr>
                      <w:t>MVR</w:t>
                    </w:r>
                  </w:p>
                </w:txbxContent>
              </v:textbox>
            </v:shape>
            <v:shape id="直接箭头连接符 458" o:spid="_x0000_s2204" o:spt="32" type="#_x0000_t32" style="position:absolute;left:7017;top:8583;height:0;width:542;"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CMB5WygAAAOIAAAAPAAAA&#10;AAAAAAAAAAAAAKECAABkcnMvZG93bnJldi54bWxQSwUGAAAAAAQABAD5AAAAmAMAAAAA&#10;">
              <v:path arrowok="t"/>
              <v:fill on="f" focussize="0,0"/>
              <v:stroke color="#000000" endarrow="block"/>
              <v:imagedata o:title=""/>
              <o:lock v:ext="edit" aspectratio="f"/>
            </v:shape>
            <v:shape id="Text Box 654" o:spid="_x0000_s2205" o:spt="202" type="#_x0000_t202" style="position:absolute;left:6269;top:9537;height:484;width:73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HffMsA&#10;AADiAAAADwAAAGRycy9kb3ducmV2LnhtbESPT2vCQBTE74V+h+UJvRTd+C+x0VVKoaK3VsVeH9ln&#10;Epp9m+5uY/rtu4WCx2FmfsOsNr1pREfO15YVjEcJCOLC6ppLBafj63ABwgdkjY1lUvBDHjbr+7sV&#10;5tpe+Z26QyhFhLDPUUEVQptL6YuKDPqRbYmjd7HOYIjSlVI7vEa4aeQkSVJpsOa4UGFLLxUVn4dv&#10;o2Ax23Uffj99OxfppXkKj1m3/XJKPQz65yWIQH24hf/bO60gnWTjdJ7N5vB3Kd4Buf4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xgd98ywAAAOIAAAAPAAAAAAAAAAAAAAAAAJgC&#10;AABkcnMvZG93bnJldi54bWxQSwUGAAAAAAQABAD1AAAAkAMAAAAA&#10;">
              <v:path/>
              <v:fill on="t" color2="#FFFFFF" focussize="0,0"/>
              <v:stroke color="#000000" joinstyle="miter"/>
              <v:imagedata o:title=""/>
              <o:lock v:ext="edit" aspectratio="f"/>
              <v:textbox>
                <w:txbxContent>
                  <w:p w14:paraId="0A92FAEB">
                    <w:pPr>
                      <w:ind w:left="0" w:leftChars="0" w:firstLine="0" w:firstLineChars="0"/>
                      <w:jc w:val="center"/>
                      <w:rPr>
                        <w:sz w:val="18"/>
                        <w:szCs w:val="18"/>
                      </w:rPr>
                    </w:pPr>
                    <w:r>
                      <w:rPr>
                        <w:rFonts w:hint="eastAsia"/>
                        <w:sz w:val="18"/>
                        <w:szCs w:val="18"/>
                      </w:rPr>
                      <w:t>过滤</w:t>
                    </w:r>
                  </w:p>
                </w:txbxContent>
              </v:textbox>
            </v:shape>
            <v:shape id="AutoShape 659" o:spid="_x0000_s2206" o:spt="32" type="#_x0000_t32" style="position:absolute;left:6643;top:7871;height:496;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lqNjd8sAAADjAAAADwAA&#10;AAAAAAAAAAAAAAChAgAAZHJzL2Rvd25yZXYueG1sUEsFBgAAAAAEAAQA+QAAAJkDAAAAAA==&#10;">
              <v:path arrowok="t"/>
              <v:fill on="f" focussize="0,0"/>
              <v:stroke color="#000000" startarrow="block"/>
              <v:imagedata o:title=""/>
              <o:lock v:ext="edit" aspectratio="f"/>
            </v:shape>
            <v:shape id="Text Box 1213" o:spid="_x0000_s2207" o:spt="202" type="#_x0000_t202" style="position:absolute;left:6314;top:7579;height:465;width:73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K6EcoA&#10;AADjAAAADwAAAGRycy9kb3ducmV2LnhtbESPQU/CQBCF7yb+h82YcJNdRKAWFkIwJp4kIpB4m3SH&#10;trE723RXWv+9czDxODNv3nvfajP4Rl2pi3VgC5OxAUVcBFdzaeH48XKfgYoJ2WETmCz8UITN+vZm&#10;hbkLPb/T9ZBKJSYcc7RQpdTmWseiIo9xHFpiuV1C5zHJ2JXaddiLuW/0gzFz7bFmSaiwpV1Fxdfh&#10;21s4vV0+z49mXz77WduHwWj2T9ra0d2wXYJKNKR/8d/3q5P6ZraYzk2WCYUwyQL0+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eCuhHKAAAA4wAAAA8AAAAAAAAAAAAAAAAAmAIA&#10;AGRycy9kb3ducmV2LnhtbFBLBQYAAAAABAAEAPUAAACPAwAAAAA=&#10;">
              <v:path/>
              <v:fill on="f" focussize="0,0"/>
              <v:stroke on="f"/>
              <v:imagedata o:title=""/>
              <o:lock v:ext="edit" aspectratio="f"/>
              <v:textbox>
                <w:txbxContent>
                  <w:p w14:paraId="4C51F05A">
                    <w:pPr>
                      <w:pStyle w:val="154"/>
                      <w:ind w:firstLine="0" w:firstLineChars="0"/>
                      <w:rPr>
                        <w:sz w:val="18"/>
                        <w:szCs w:val="18"/>
                      </w:rPr>
                    </w:pPr>
                    <w:r>
                      <w:rPr>
                        <w:rFonts w:hint="eastAsia" w:cs="Times New Roman"/>
                        <w:color w:val="0000CC"/>
                        <w:sz w:val="18"/>
                        <w:szCs w:val="18"/>
                      </w:rPr>
                      <w:t>滤渣</w:t>
                    </w:r>
                  </w:p>
                  <w:p w14:paraId="7F3FE9F1">
                    <w:pPr>
                      <w:jc w:val="center"/>
                      <w:rPr>
                        <w:color w:val="0000CC"/>
                        <w:sz w:val="18"/>
                        <w:szCs w:val="18"/>
                      </w:rPr>
                    </w:pPr>
                  </w:p>
                  <w:p w14:paraId="7B7A38DF">
                    <w:pPr>
                      <w:ind w:firstLine="360"/>
                      <w:rPr>
                        <w:sz w:val="18"/>
                        <w:szCs w:val="18"/>
                      </w:rPr>
                    </w:pPr>
                  </w:p>
                </w:txbxContent>
              </v:textbox>
            </v:shape>
            <v:shape id="AutoShape 94" o:spid="_x0000_s2208" o:spt="33" type="#_x0000_t33" style="position:absolute;left:6999;top:8777;flip:y;height:1002;width:1011;" o:connectortype="elbow"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yx8gAAADhAAAADwAAAGRycy9kb3ducmV2LnhtbESPzW7CMBCE70h9B2sr9QYOiRpowCCE&#10;iuiRnz7AKl7iiHgd2S6kb48rVeI4mplvNMv1YDtxIx9axwqmkwwEce10y42C7/NuPAcRIrLGzjEp&#10;+KUA69XLaImVdnc+0u0UG5EgHCpUYGLsKylDbchimLieOHkX5y3GJH0jtcd7gttO5llWSostpwWD&#10;PW0N1dfTj1WwKWa7Y+33RTDbQ5kP+bW/tJ9Kvb0OmwWISEN8hv/bX1rBvJhl7x9lAX+P0huQqw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eyx8gAAADhAAAADwAAAAAA&#10;AAAAAAAAAAChAgAAZHJzL2Rvd25yZXYueG1sUEsFBgAAAAAEAAQA+QAAAJYDAAAAAA==&#10;">
              <v:path arrowok="t"/>
              <v:fill on="f" focussize="0,0"/>
              <v:stroke color="#000000" joinstyle="miter" endarrow="block"/>
              <v:imagedata o:title=""/>
              <o:lock v:ext="edit" aspectratio="f"/>
            </v:shape>
            <v:shape id="Text Box 1213" o:spid="_x0000_s2209" o:spt="202" type="#_x0000_t202" style="position:absolute;left:6329;top:10377;height:465;width:73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L8vckA&#10;AADiAAAADwAAAGRycy9kb3ducmV2LnhtbESPQWvCQBSE74X+h+UVvNXdVhuS1FVKRfBkUVvB2yP7&#10;TEKzb0N2NfHfu4WCx2FmvmFmi8E24kKdrx1reBkrEMSFMzWXGr73q+cUhA/IBhvHpOFKHhbzx4cZ&#10;5sb1vKXLLpQiQtjnqKEKoc2l9EVFFv3YtcTRO7nOYoiyK6XpsI9w28hXpRJpsea4UGFLnxUVv7uz&#10;1fCzOR0PU/VVLu1b27tBSbaZ1Hr0NHy8gwg0hHv4v702GiZJliVpmmbwdyneAT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PL8vckAAADiAAAADwAAAAAAAAAAAAAAAACYAgAA&#10;ZHJzL2Rvd25yZXYueG1sUEsFBgAAAAAEAAQA9QAAAI4DAAAAAA==&#10;">
              <v:path/>
              <v:fill on="f" focussize="0,0"/>
              <v:stroke on="f"/>
              <v:imagedata o:title=""/>
              <o:lock v:ext="edit" aspectratio="f"/>
              <v:textbox>
                <w:txbxContent>
                  <w:p w14:paraId="5F39926D">
                    <w:pPr>
                      <w:pStyle w:val="154"/>
                      <w:ind w:firstLine="0" w:firstLineChars="0"/>
                      <w:rPr>
                        <w:sz w:val="18"/>
                        <w:szCs w:val="18"/>
                      </w:rPr>
                    </w:pPr>
                    <w:r>
                      <w:rPr>
                        <w:rFonts w:hint="eastAsia" w:cs="Times New Roman"/>
                        <w:color w:val="0000CC"/>
                        <w:sz w:val="18"/>
                        <w:szCs w:val="18"/>
                      </w:rPr>
                      <w:t>滤渣</w:t>
                    </w:r>
                  </w:p>
                  <w:p w14:paraId="466A7E69">
                    <w:pPr>
                      <w:jc w:val="center"/>
                      <w:rPr>
                        <w:color w:val="0000CC"/>
                        <w:sz w:val="18"/>
                        <w:szCs w:val="18"/>
                      </w:rPr>
                    </w:pPr>
                  </w:p>
                  <w:p w14:paraId="157836F6">
                    <w:pPr>
                      <w:ind w:firstLine="360"/>
                      <w:rPr>
                        <w:sz w:val="18"/>
                        <w:szCs w:val="18"/>
                      </w:rPr>
                    </w:pPr>
                  </w:p>
                </w:txbxContent>
              </v:textbox>
            </v:shape>
            <v:shape id="文本框 36" o:spid="_x0000_s2210" o:spt="202" type="#_x0000_t202" style="position:absolute;left:9017;top:8366;height:420;width:902;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ij1s4A&#10;AADiAAAADwAAAGRycy9kb3ducmV2LnhtbESPQUvDQBSE74L/YXmCF2k3DbZNY7fFClIrYtsotMdn&#10;9jVJzb4N2bWN/94VBI/DzHzDTOedqcWJWldZVjDoRyCIc6srLhS8vz32EhDOI2usLZOCb3Iwn11e&#10;TDHV9sxbOmW+EAHCLkUFpfdNKqXLSzLo+rYhDt7BtgZ9kG0hdYvnADe1jKNoJA1WHBZKbOihpPwz&#10;+zIKPta75+PrIVs0y4283S9uVmb5slLq+qq7vwPhqfP/4b/2k1YwnsRxMkyGI/i9FO6AnP0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BOeKPWzgAAAOIAAAAPAAAAAAAAAAAAAAAA&#10;AJgCAABkcnMvZG93bnJldi54bWxQSwUGAAAAAAQABAD1AAAAkwMAAAAA&#10;">
              <v:path/>
              <v:fill on="t" color2="#FFFFFF" focussize="0,0"/>
              <v:stroke weight="0.5pt" color="#000000" joinstyle="miter"/>
              <v:imagedata o:title=""/>
              <o:lock v:ext="edit" aspectratio="f"/>
              <v:textbox inset="0mm,1mm,0mm,1mm">
                <w:txbxContent>
                  <w:p w14:paraId="5EF7D073">
                    <w:pPr>
                      <w:pStyle w:val="26"/>
                      <w:spacing w:before="0" w:beforeAutospacing="0" w:after="0" w:afterAutospacing="0"/>
                      <w:ind w:left="0" w:leftChars="0" w:firstLine="0" w:firstLineChars="0"/>
                      <w:jc w:val="center"/>
                      <w:rPr>
                        <w:sz w:val="18"/>
                        <w:szCs w:val="18"/>
                      </w:rPr>
                    </w:pPr>
                    <w:r>
                      <w:rPr>
                        <w:rFonts w:hint="eastAsia" w:ascii="Times New Roman"/>
                        <w:kern w:val="2"/>
                        <w:sz w:val="18"/>
                        <w:szCs w:val="18"/>
                      </w:rPr>
                      <w:t>反渗透</w:t>
                    </w:r>
                  </w:p>
                </w:txbxContent>
              </v:textbox>
            </v:shape>
            <v:shape id="直接箭头连接符 458" o:spid="_x0000_s2211" o:spt="32" type="#_x0000_t32" style="position:absolute;left:8461;top:8592;height:0;width:542;"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i2M9RMsAAADhAAAADwAA&#10;AAAAAAAAAAAAAAChAgAAZHJzL2Rvd25yZXYueG1sUEsFBgAAAAAEAAQA+QAAAJkDAAAAAA==&#10;">
              <v:path arrowok="t"/>
              <v:fill on="f" focussize="0,0"/>
              <v:stroke color="#000000" endarrow="block"/>
              <v:imagedata o:title=""/>
              <o:lock v:ext="edit" aspectratio="f"/>
            </v:shape>
            <v:shape id="AutoShape 659" o:spid="_x0000_s2212" o:spt="32" type="#_x0000_t32" style="position:absolute;left:9525;top:7871;height:496;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Tci8kAAADiAAAADwAAAGRycy9kb3ducmV2LnhtbESPy2rCQBSG9wXfYThCN1InJt6IjiIS&#10;wUUXXrro8pA5TYKZMyEz0fTtHaHQ5c9/41tve1OLO7WusqxgMo5AEOdWV1wo+LoePpYgnEfWWFsm&#10;Bb/kYLsZvK0x1fbBZ7pffCHCCLsUFZTeN6mULi/JoBvbhjh4P7Y16INsC6lbfIRxU8s4iubSYMXh&#10;ocSG9iXlt0tnXr+jjvR3dhpl/nCMu32++MyWSr0P+90KhKfe/4f/2ketIE4WsySZTgNEQAo4IDd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n03IvJAAAA4gAAAA8AAAAA&#10;AAAAAAAAAAAAoQIAAGRycy9kb3ducmV2LnhtbFBLBQYAAAAABAAEAPkAAACXAwAAAAA=&#10;">
              <v:path arrowok="t"/>
              <v:fill on="f" focussize="0,0"/>
              <v:stroke color="#000000" startarrow="block"/>
              <v:imagedata o:title=""/>
              <o:lock v:ext="edit" aspectratio="f"/>
            </v:shape>
            <v:shape id="Text Box 1213" o:spid="_x0000_s2213" o:spt="202" type="#_x0000_t202" style="position:absolute;left:8738;top:7504;height:464;width:1248;"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qGbscA&#10;AADjAAAADwAAAGRycy9kb3ducmV2LnhtbERPX2vCMBB/H+w7hBN8m4mudbMaRTYGPk3mdODb0Zxt&#10;WXMpTbT12xthsMf7/b/Fqre1uFDrK8caxiMFgjh3puJCw/774+kVhA/IBmvHpOFKHlbLx4cFZsZ1&#10;/EWXXShEDGGfoYYyhCaT0uclWfQj1xBH7uRaiyGebSFNi10Mt7WcKDWVFiuODSU29FZS/rs7Ww2H&#10;z9PxJ1Hb4t2mTed6JdnOpNbDQb+egwjUh3/xn3tj4vxUJbN0mjy/wP2nCI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6hm7HAAAA4wAAAA8AAAAAAAAAAAAAAAAAmAIAAGRy&#10;cy9kb3ducmV2LnhtbFBLBQYAAAAABAAEAPUAAACMAwAAAAA=&#10;">
              <v:path/>
              <v:fill on="f" focussize="0,0"/>
              <v:stroke on="f"/>
              <v:imagedata o:title=""/>
              <o:lock v:ext="edit" aspectratio="f"/>
              <v:textbox>
                <w:txbxContent>
                  <w:p w14:paraId="158544DB">
                    <w:pPr>
                      <w:pStyle w:val="154"/>
                      <w:ind w:firstLine="0" w:firstLineChars="0"/>
                      <w:rPr>
                        <w:sz w:val="18"/>
                        <w:szCs w:val="18"/>
                      </w:rPr>
                    </w:pPr>
                    <w:r>
                      <w:rPr>
                        <w:rFonts w:hint="eastAsia" w:cs="Times New Roman"/>
                        <w:color w:val="0000CC"/>
                        <w:sz w:val="18"/>
                        <w:szCs w:val="18"/>
                      </w:rPr>
                      <w:t>清液去水洗</w:t>
                    </w:r>
                  </w:p>
                  <w:p w14:paraId="39750B38">
                    <w:pPr>
                      <w:jc w:val="center"/>
                      <w:rPr>
                        <w:color w:val="0000CC"/>
                        <w:sz w:val="18"/>
                        <w:szCs w:val="18"/>
                      </w:rPr>
                    </w:pPr>
                  </w:p>
                  <w:p w14:paraId="26DD8AB4">
                    <w:pPr>
                      <w:ind w:firstLine="360"/>
                      <w:jc w:val="center"/>
                      <w:rPr>
                        <w:sz w:val="18"/>
                        <w:szCs w:val="18"/>
                      </w:rPr>
                    </w:pPr>
                  </w:p>
                </w:txbxContent>
              </v:textbox>
            </v:shape>
            <v:shape id="AutoShape 659" o:spid="_x0000_s2214" o:spt="32" type="#_x0000_t32" style="position:absolute;left:9520;top:8784;height:496;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DeQJ76zQAAAOIAAAAP&#10;AAAAAAAAAAAAAAAAAKECAABkcnMvZG93bnJldi54bWxQSwUGAAAAAAQABAD5AAAAmwMAAAAA&#10;">
              <v:path arrowok="t"/>
              <v:fill on="f" focussize="0,0"/>
              <v:stroke color="#000000" endarrow="block"/>
              <v:imagedata o:title=""/>
              <o:lock v:ext="edit" aspectratio="f"/>
            </v:shape>
            <v:shape id="Text Box 1213" o:spid="_x0000_s2215" o:spt="202" type="#_x0000_t202" style="position:absolute;left:9017;top:9143;height:877;width:902;"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kfXcoA&#10;AADjAAAADwAAAGRycy9kb3ducmV2LnhtbESPQWvCQBCF70L/wzKF3upuYxVNXUUsQk8taiv0NmTH&#10;JDQ7G7KrSf9951DwOPPevPfNcj34Rl2pi3VgC09jA4q4CK7m0sLncfc4BxUTssMmMFn4pQjr1d1o&#10;ibkLPe/pekilkhCOOVqoUmpzrWNRkcc4Di2xaOfQeUwydqV2HfYS7hudGTPTHmuWhgpb2lZU/Bwu&#10;3sLX+/n79Gw+ylc/bfswGM1+oa19uB82L6ASDelm/r9+c4I/mc4nJssygZafZAF69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N5H13KAAAA4wAAAA8AAAAAAAAAAAAAAAAAmAIA&#10;AGRycy9kb3ducmV2LnhtbFBLBQYAAAAABAAEAPUAAACPAwAAAAA=&#10;">
              <v:path/>
              <v:fill on="f" focussize="0,0"/>
              <v:stroke on="f"/>
              <v:imagedata o:title=""/>
              <o:lock v:ext="edit" aspectratio="f"/>
              <v:textbox>
                <w:txbxContent>
                  <w:p w14:paraId="5180B6A6">
                    <w:pPr>
                      <w:pStyle w:val="154"/>
                      <w:ind w:firstLine="0" w:firstLineChars="0"/>
                      <w:rPr>
                        <w:sz w:val="18"/>
                        <w:szCs w:val="18"/>
                      </w:rPr>
                    </w:pPr>
                    <w:r>
                      <w:rPr>
                        <w:rFonts w:hint="eastAsia" w:cs="Times New Roman"/>
                        <w:color w:val="0000CC"/>
                        <w:sz w:val="18"/>
                        <w:szCs w:val="18"/>
                      </w:rPr>
                      <w:t>浓液去污水站</w:t>
                    </w:r>
                  </w:p>
                  <w:p w14:paraId="66387C44">
                    <w:pPr>
                      <w:jc w:val="center"/>
                      <w:rPr>
                        <w:color w:val="0000CC"/>
                        <w:sz w:val="18"/>
                        <w:szCs w:val="18"/>
                      </w:rPr>
                    </w:pPr>
                  </w:p>
                  <w:p w14:paraId="515D424E">
                    <w:pPr>
                      <w:ind w:firstLine="360"/>
                      <w:rPr>
                        <w:sz w:val="18"/>
                        <w:szCs w:val="18"/>
                      </w:rPr>
                    </w:pPr>
                  </w:p>
                </w:txbxContent>
              </v:textbox>
            </v:shape>
            <v:shape id="Text Box 1215" o:spid="_x0000_s2216" o:spt="202" type="#_x0000_t202" style="position:absolute;left:3038;top:11794;height:495;width:716;"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il78oA&#10;AADjAAAADwAAAGRycy9kb3ducmV2LnhtbESPT0/DMAzF70h8h8hIu7GEdWyjLJvQEBInpv2VuFmN&#10;11Y0TtWEtXx7fEDiaL/n935ergffqCt1sQ5s4WFsQBEXwdVcWjge3u4XoGJCdtgEJgs/FGG9ur1Z&#10;Yu5Czzu67lOpJIRjjhaqlNpc61hU5DGOQ0ss2iV0HpOMXaldh72E+0ZPjJlpjzVLQ4UtbSoqvvbf&#10;3sLp4/J5nppt+eof2z4MRrN/0taO7oaXZ1CJhvRv/rt+d4KfzTOTTcxUoOUnWYBe/Q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r4pe/KAAAA4wAAAA8AAAAAAAAAAAAAAAAAmAIA&#10;AGRycy9kb3ducmV2LnhtbFBLBQYAAAAABAAEAPUAAACPAwAAAAA=&#10;">
              <v:path/>
              <v:fill on="f" focussize="0,0"/>
              <v:stroke on="f"/>
              <v:imagedata o:title=""/>
              <o:lock v:ext="edit" aspectratio="f"/>
              <v:textbox>
                <w:txbxContent>
                  <w:p w14:paraId="4FB5D2D2">
                    <w:pPr>
                      <w:jc w:val="left"/>
                      <w:rPr>
                        <w:color w:val="0000CC"/>
                        <w:sz w:val="18"/>
                        <w:szCs w:val="18"/>
                      </w:rPr>
                    </w:pPr>
                    <w:r>
                      <w:rPr>
                        <w:rFonts w:hint="eastAsia"/>
                        <w:color w:val="0000CC"/>
                        <w:sz w:val="18"/>
                        <w:szCs w:val="18"/>
                      </w:rPr>
                      <w:t>蒸汽</w:t>
                    </w:r>
                  </w:p>
                </w:txbxContent>
              </v:textbox>
            </v:shape>
            <v:shape id="AutoShape 1216" o:spid="_x0000_s2217" o:spt="32" type="#_x0000_t32" style="position:absolute;left:3502;top:12139;height:1;width:738;"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OUcRvssAAADjAAAADwAA&#10;AAAAAAAAAAAAAAChAgAAZHJzL2Rvd25yZXYueG1sUEsFBgAAAAAEAAQA+QAAAJkDAAAAAA==&#10;">
              <v:path arrowok="t"/>
              <v:fill on="f" focussize="0,0"/>
              <v:stroke color="#000000" endarrow="block"/>
              <v:imagedata o:title=""/>
              <o:lock v:ext="edit" aspectratio="f"/>
            </v:shape>
            <v:shape id="Text Box 1215" o:spid="_x0000_s2220" o:spt="202" type="#_x0000_t202" style="position:absolute;left:2318;top:8275;height:495;width:1563;"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v3p8kA&#10;AADiAAAADwAAAGRycy9kb3ducmV2LnhtbESPT2vCQBTE74V+h+UVvNVdNUpMXUVaCj1Z/Au9PbLP&#10;JJh9G7KrSb99Vyh4HGbmN8xi1dta3Kj1lWMNo6ECQZw7U3Gh4bD/fE1B+IBssHZMGn7Jw2r5/LTA&#10;zLiOt3TbhUJECPsMNZQhNJmUPi/Joh+6hjh6Z9daDFG2hTQtdhFuazlWaiYtVhwXSmzovaT8srta&#10;DcfN+eeUqO/iw06bzvVKsp1LrQcv/foNRKA+PML/7S+jYTZJkjSdThK4X4p3QC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fv3p8kAAADiAAAADwAAAAAAAAAAAAAAAACYAgAA&#10;ZHJzL2Rvd25yZXYueG1sUEsFBgAAAAAEAAQA9QAAAI4DAAAAAA==&#10;">
              <v:path/>
              <v:fill on="f" focussize="0,0"/>
              <v:stroke on="f"/>
              <v:imagedata o:title=""/>
              <o:lock v:ext="edit" aspectratio="f"/>
              <v:textbox>
                <w:txbxContent>
                  <w:p w14:paraId="06D6FDB4">
                    <w:pPr>
                      <w:jc w:val="left"/>
                      <w:rPr>
                        <w:color w:val="0000CC"/>
                        <w:sz w:val="18"/>
                        <w:szCs w:val="18"/>
                      </w:rPr>
                    </w:pPr>
                    <w:r>
                      <w:rPr>
                        <w:rFonts w:hint="eastAsia"/>
                        <w:color w:val="0000CC"/>
                        <w:sz w:val="18"/>
                        <w:szCs w:val="18"/>
                      </w:rPr>
                      <w:t>循环冷却水降温</w:t>
                    </w:r>
                  </w:p>
                </w:txbxContent>
              </v:textbox>
            </v:shape>
            <v:shape id="AutoShape 1216" o:spid="_x0000_s2221" o:spt="32" type="#_x0000_t32" style="position:absolute;left:3458;top:8636;height:1;width:738;"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KgP2JzMAAAA4wAAAA8A&#10;AAAAAAAAAAAAAAAAoQIAAGRycy9kb3ducmV2LnhtbFBLBQYAAAAABAAEAPkAAACaAwAAAAA=&#10;">
              <v:path arrowok="t"/>
              <v:fill on="f" focussize="0,0"/>
              <v:stroke color="#000000" endarrow="block"/>
              <v:imagedata o:title=""/>
              <o:lock v:ext="edit" aspectratio="f"/>
            </v:shape>
            <v:shape id="Text Box 648" o:spid="_x0000_s2222" o:spt="202" type="#_x0000_t202" style="position:absolute;left:5965;top:7144;height:548;width:811;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Kk2McA&#10;AADjAAAADwAAAGRycy9kb3ducmV2LnhtbERPX2vCMBB/H/gdwg18GZqqVF1nKkMQRLaHqR/g1pxN&#10;aXMpTVbrtzeDwR7v9/8228E2oqfOV44VzKYJCOLC6YpLBZfzfrIG4QOyxsYxKbiTh20+etpgpt2N&#10;v6g/hVLEEPYZKjAhtJmUvjBk0U9dSxy5q+sshnh2pdQd3mK4beQ8SZbSYsWxwWBLO0NFffqxCl5M&#10;m3x+XA/fe70sTH30uLL9Uanx8/D+BiLQEP7Ff+6DjvMX8/Q1XS3SFH5/igDI/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ipNjHAAAA4wAAAA8AAAAAAAAAAAAAAAAAmAIAAGRy&#10;cy9kb3ducmV2LnhtbFBLBQYAAAAABAAEAPUAAACMAwAAAAA=&#10;">
              <v:path/>
              <v:fill on="f" focussize="0,0"/>
              <v:stroke on="f"/>
              <v:imagedata o:title=""/>
              <o:lock v:ext="edit" aspectratio="f"/>
              <v:textbox>
                <w:txbxContent>
                  <w:p w14:paraId="6ACE182F">
                    <w:pPr>
                      <w:ind w:left="1440" w:hanging="1440" w:hangingChars="800"/>
                      <w:rPr>
                        <w:color w:val="0000CC"/>
                        <w:sz w:val="18"/>
                        <w:szCs w:val="18"/>
                      </w:rPr>
                    </w:pPr>
                    <w:r>
                      <w:rPr>
                        <w:rFonts w:hint="eastAsia"/>
                        <w:color w:val="0000CC"/>
                        <w:sz w:val="18"/>
                        <w:szCs w:val="18"/>
                      </w:rPr>
                      <w:t>废水</w:t>
                    </w:r>
                  </w:p>
                  <w:p w14:paraId="2C7702A5">
                    <w:pPr>
                      <w:pStyle w:val="154"/>
                      <w:ind w:firstLine="180"/>
                      <w:rPr>
                        <w:sz w:val="18"/>
                        <w:szCs w:val="18"/>
                      </w:rPr>
                    </w:pPr>
                  </w:p>
                </w:txbxContent>
              </v:textbox>
            </v:shape>
            <v:shape id="AutoShape 1214" o:spid="_x0000_s2223" o:spt="32" type="#_x0000_t32" style="position:absolute;left:5370;top:7340;height:1;width:738;"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SJzkl8sAAADiAAAADwAA&#10;AAAAAAAAAAAAAAChAgAAZHJzL2Rvd25yZXYueG1sUEsFBgAAAAAEAAQA+QAAAJkDAAAAAA==&#10;">
              <v:path arrowok="t"/>
              <v:fill on="f" focussize="0,0"/>
              <v:stroke color="#000000" endarrow="block"/>
              <v:imagedata o:title=""/>
              <o:lock v:ext="edit" aspectratio="f"/>
            </v:shape>
            <w10:wrap type="none"/>
            <w10:anchorlock/>
          </v:group>
        </w:pict>
      </w:r>
    </w:p>
    <w:p w14:paraId="69A01A03">
      <w:pPr>
        <w:pStyle w:val="181"/>
        <w:bidi w:val="0"/>
        <w:ind w:left="0" w:leftChars="0" w:firstLine="0" w:firstLineChars="0"/>
        <w:jc w:val="center"/>
        <w:rPr>
          <w:rFonts w:hint="eastAsia"/>
          <w:color w:val="auto"/>
          <w:u w:val="none"/>
        </w:rPr>
      </w:pPr>
      <w:r>
        <w:rPr>
          <w:rFonts w:hint="eastAsia"/>
          <w:color w:val="auto"/>
          <w:u w:val="none"/>
        </w:rPr>
        <w:t>图3</w:t>
      </w:r>
      <w:r>
        <w:rPr>
          <w:color w:val="auto"/>
          <w:u w:val="none"/>
        </w:rPr>
        <w:t>.</w:t>
      </w:r>
      <w:r>
        <w:rPr>
          <w:rFonts w:hint="eastAsia"/>
          <w:color w:val="auto"/>
          <w:u w:val="none"/>
          <w:lang w:val="en-US" w:eastAsia="zh-CN"/>
        </w:rPr>
        <w:t>4</w:t>
      </w:r>
      <w:r>
        <w:rPr>
          <w:rFonts w:hint="eastAsia"/>
          <w:color w:val="auto"/>
          <w:u w:val="none"/>
        </w:rPr>
        <w:t>-</w:t>
      </w:r>
      <w:r>
        <w:rPr>
          <w:rFonts w:hint="eastAsia"/>
          <w:color w:val="auto"/>
          <w:u w:val="none"/>
          <w:lang w:val="en-US" w:eastAsia="zh-CN"/>
        </w:rPr>
        <w:t>3</w:t>
      </w:r>
      <w:r>
        <w:rPr>
          <w:color w:val="auto"/>
          <w:u w:val="none"/>
        </w:rPr>
        <w:t xml:space="preserve">  </w:t>
      </w:r>
      <w:r>
        <w:rPr>
          <w:rFonts w:hint="eastAsia"/>
          <w:color w:val="auto"/>
          <w:u w:val="none"/>
        </w:rPr>
        <w:t>离子液体法再生纤维素纤维（首赛尔纤维）项目工艺及产污环节流程图</w:t>
      </w:r>
    </w:p>
    <w:p w14:paraId="1DBC0B6F">
      <w:pPr>
        <w:rPr>
          <w:rFonts w:hint="default"/>
          <w:lang w:val="en-US" w:eastAsia="zh-CN"/>
        </w:rPr>
      </w:pPr>
    </w:p>
    <w:p w14:paraId="7A9448FA">
      <w:pPr>
        <w:pStyle w:val="5"/>
        <w:bidi w:val="0"/>
      </w:pPr>
      <w:r>
        <w:rPr>
          <w:rFonts w:hint="eastAsia"/>
        </w:rPr>
        <w:t>污染物排放达标情况</w:t>
      </w:r>
    </w:p>
    <w:p w14:paraId="129F7483">
      <w:pPr>
        <w:pStyle w:val="6"/>
        <w:bidi w:val="0"/>
      </w:pPr>
      <w:r>
        <w:rPr>
          <w:rFonts w:hint="eastAsia"/>
        </w:rPr>
        <w:t>废气</w:t>
      </w:r>
    </w:p>
    <w:p w14:paraId="02B40E74">
      <w:pPr>
        <w:ind w:firstLine="480"/>
      </w:pPr>
      <w:r>
        <w:t>依据建设单位提供资料及在建</w:t>
      </w:r>
      <w:r>
        <w:rPr>
          <w:rFonts w:hint="eastAsia"/>
          <w:lang w:val="en-US" w:eastAsia="zh-CN"/>
        </w:rPr>
        <w:t>及拟建</w:t>
      </w:r>
      <w:r>
        <w:t>工程已批复的环评文件，在建</w:t>
      </w:r>
      <w:r>
        <w:rPr>
          <w:rFonts w:hint="eastAsia"/>
          <w:lang w:val="en-US" w:eastAsia="zh-CN"/>
        </w:rPr>
        <w:t>及拟建</w:t>
      </w:r>
      <w:r>
        <w:t>工程废气产生及排放情况见</w:t>
      </w:r>
      <w:r>
        <w:rPr>
          <w:rFonts w:hint="eastAsia"/>
          <w:lang w:val="en-US" w:eastAsia="zh-CN"/>
        </w:rPr>
        <w:t>下表</w:t>
      </w:r>
      <w:r>
        <w:t>。</w:t>
      </w:r>
    </w:p>
    <w:p w14:paraId="0032B487">
      <w:pPr>
        <w:pStyle w:val="10"/>
        <w:bidi w:val="0"/>
        <w:rPr>
          <w:rFonts w:hint="eastAsia"/>
          <w:lang w:val="en-US" w:eastAsia="zh-CN"/>
        </w:rPr>
      </w:pPr>
      <w:r>
        <w:t xml:space="preserve">表 </w:t>
      </w:r>
      <w:r>
        <w:fldChar w:fldCharType="begin"/>
      </w:r>
      <w:r>
        <w:instrText xml:space="preserve"> STYLEREF 2 \s </w:instrText>
      </w:r>
      <w:r>
        <w:fldChar w:fldCharType="separate"/>
      </w:r>
      <w:r>
        <w:t>3.4</w:t>
      </w:r>
      <w:r>
        <w:fldChar w:fldCharType="end"/>
      </w:r>
      <w:r>
        <w:rPr>
          <w:rFonts w:hint="eastAsia"/>
          <w:lang w:eastAsia="zh-CN"/>
        </w:rPr>
        <w:t>-</w:t>
      </w:r>
      <w:r>
        <w:fldChar w:fldCharType="begin"/>
      </w:r>
      <w:r>
        <w:instrText xml:space="preserve"> SEQ 表 \* ARABIC \s 2 </w:instrText>
      </w:r>
      <w:r>
        <w:fldChar w:fldCharType="separate"/>
      </w:r>
      <w:r>
        <w:t>3</w:t>
      </w:r>
      <w:r>
        <w:fldChar w:fldCharType="end"/>
      </w:r>
      <w:r>
        <w:rPr>
          <w:rFonts w:hint="eastAsia"/>
          <w:lang w:val="en-US" w:eastAsia="zh-CN"/>
        </w:rPr>
        <w:t>拟建年产2×2万吨超细旦氨纶纤维项目废气污染物排放情况一览表</w:t>
      </w:r>
    </w:p>
    <w:tbl>
      <w:tblPr>
        <w:tblStyle w:val="31"/>
        <w:tblW w:w="5000"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840"/>
        <w:gridCol w:w="647"/>
        <w:gridCol w:w="690"/>
        <w:gridCol w:w="827"/>
        <w:gridCol w:w="784"/>
        <w:gridCol w:w="3233"/>
        <w:gridCol w:w="1302"/>
      </w:tblGrid>
      <w:tr w14:paraId="3A2621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blHeader/>
          <w:jc w:val="center"/>
        </w:trPr>
        <w:tc>
          <w:tcPr>
            <w:tcW w:w="508" w:type="pct"/>
            <w:vMerge w:val="restart"/>
            <w:noWrap w:val="0"/>
            <w:vAlign w:val="center"/>
          </w:tcPr>
          <w:p w14:paraId="791890F2">
            <w:pPr>
              <w:pStyle w:val="182"/>
              <w:rPr>
                <w:b/>
                <w:color w:val="auto"/>
              </w:rPr>
            </w:pPr>
            <w:r>
              <w:rPr>
                <w:b/>
                <w:color w:val="auto"/>
              </w:rPr>
              <w:t>污染源</w:t>
            </w:r>
          </w:p>
        </w:tc>
        <w:tc>
          <w:tcPr>
            <w:tcW w:w="370" w:type="pct"/>
            <w:vMerge w:val="restart"/>
            <w:noWrap w:val="0"/>
            <w:vAlign w:val="center"/>
          </w:tcPr>
          <w:p w14:paraId="294D1EE8">
            <w:pPr>
              <w:pStyle w:val="182"/>
              <w:rPr>
                <w:b/>
                <w:color w:val="auto"/>
              </w:rPr>
            </w:pPr>
            <w:r>
              <w:rPr>
                <w:b/>
                <w:color w:val="auto"/>
              </w:rPr>
              <w:t>污染物</w:t>
            </w:r>
          </w:p>
        </w:tc>
        <w:tc>
          <w:tcPr>
            <w:tcW w:w="918" w:type="pct"/>
            <w:gridSpan w:val="2"/>
            <w:noWrap w:val="0"/>
            <w:vAlign w:val="center"/>
          </w:tcPr>
          <w:p w14:paraId="35659F0C">
            <w:pPr>
              <w:pStyle w:val="182"/>
              <w:rPr>
                <w:b/>
                <w:color w:val="auto"/>
              </w:rPr>
            </w:pPr>
            <w:r>
              <w:rPr>
                <w:b/>
                <w:color w:val="auto"/>
              </w:rPr>
              <w:t>产生源强</w:t>
            </w:r>
          </w:p>
        </w:tc>
        <w:tc>
          <w:tcPr>
            <w:tcW w:w="474" w:type="pct"/>
            <w:noWrap w:val="0"/>
            <w:vAlign w:val="center"/>
          </w:tcPr>
          <w:p w14:paraId="0142D6C0">
            <w:pPr>
              <w:pStyle w:val="182"/>
              <w:rPr>
                <w:b/>
                <w:color w:val="auto"/>
              </w:rPr>
            </w:pPr>
            <w:r>
              <w:rPr>
                <w:b/>
                <w:color w:val="auto"/>
              </w:rPr>
              <w:t>排放</w:t>
            </w:r>
            <w:r>
              <w:rPr>
                <w:rFonts w:hint="eastAsia"/>
                <w:b/>
                <w:color w:val="auto"/>
              </w:rPr>
              <w:t>浓度</w:t>
            </w:r>
          </w:p>
        </w:tc>
        <w:tc>
          <w:tcPr>
            <w:tcW w:w="1945" w:type="pct"/>
            <w:vMerge w:val="restart"/>
            <w:noWrap w:val="0"/>
            <w:vAlign w:val="center"/>
          </w:tcPr>
          <w:p w14:paraId="11DF3681">
            <w:pPr>
              <w:pStyle w:val="182"/>
              <w:rPr>
                <w:b/>
                <w:color w:val="auto"/>
              </w:rPr>
            </w:pPr>
            <w:r>
              <w:rPr>
                <w:b/>
                <w:color w:val="auto"/>
              </w:rPr>
              <w:t>处理措施</w:t>
            </w:r>
          </w:p>
        </w:tc>
        <w:tc>
          <w:tcPr>
            <w:tcW w:w="785" w:type="pct"/>
            <w:vMerge w:val="restart"/>
            <w:noWrap w:val="0"/>
            <w:vAlign w:val="center"/>
          </w:tcPr>
          <w:p w14:paraId="5CC13AA6">
            <w:pPr>
              <w:pStyle w:val="182"/>
              <w:rPr>
                <w:b/>
                <w:color w:val="auto"/>
              </w:rPr>
            </w:pPr>
            <w:r>
              <w:rPr>
                <w:b/>
                <w:color w:val="auto"/>
              </w:rPr>
              <w:t>标准要求</w:t>
            </w:r>
          </w:p>
        </w:tc>
      </w:tr>
      <w:tr w14:paraId="5FA0BB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blHeader/>
          <w:jc w:val="center"/>
        </w:trPr>
        <w:tc>
          <w:tcPr>
            <w:tcW w:w="508" w:type="pct"/>
            <w:vMerge w:val="continue"/>
            <w:noWrap w:val="0"/>
            <w:vAlign w:val="center"/>
          </w:tcPr>
          <w:p w14:paraId="2222FAF4">
            <w:pPr>
              <w:pStyle w:val="182"/>
              <w:rPr>
                <w:color w:val="auto"/>
              </w:rPr>
            </w:pPr>
          </w:p>
        </w:tc>
        <w:tc>
          <w:tcPr>
            <w:tcW w:w="370" w:type="pct"/>
            <w:vMerge w:val="continue"/>
            <w:noWrap w:val="0"/>
            <w:vAlign w:val="center"/>
          </w:tcPr>
          <w:p w14:paraId="49676D66">
            <w:pPr>
              <w:pStyle w:val="182"/>
              <w:rPr>
                <w:color w:val="auto"/>
              </w:rPr>
            </w:pPr>
          </w:p>
        </w:tc>
        <w:tc>
          <w:tcPr>
            <w:tcW w:w="418" w:type="pct"/>
            <w:noWrap w:val="0"/>
            <w:vAlign w:val="center"/>
          </w:tcPr>
          <w:p w14:paraId="49497D99">
            <w:pPr>
              <w:pStyle w:val="182"/>
              <w:rPr>
                <w:b/>
                <w:color w:val="auto"/>
              </w:rPr>
            </w:pPr>
            <w:r>
              <w:rPr>
                <w:b/>
                <w:color w:val="auto"/>
              </w:rPr>
              <w:t>mg/m</w:t>
            </w:r>
            <w:r>
              <w:rPr>
                <w:b/>
                <w:color w:val="auto"/>
                <w:vertAlign w:val="superscript"/>
              </w:rPr>
              <w:t>3</w:t>
            </w:r>
          </w:p>
        </w:tc>
        <w:tc>
          <w:tcPr>
            <w:tcW w:w="500" w:type="pct"/>
            <w:noWrap w:val="0"/>
            <w:vAlign w:val="center"/>
          </w:tcPr>
          <w:p w14:paraId="7F3986BE">
            <w:pPr>
              <w:pStyle w:val="182"/>
              <w:rPr>
                <w:b/>
                <w:color w:val="auto"/>
              </w:rPr>
            </w:pPr>
            <w:r>
              <w:rPr>
                <w:b/>
                <w:color w:val="auto"/>
              </w:rPr>
              <w:t>kg/h</w:t>
            </w:r>
          </w:p>
        </w:tc>
        <w:tc>
          <w:tcPr>
            <w:tcW w:w="474" w:type="pct"/>
            <w:noWrap w:val="0"/>
            <w:vAlign w:val="center"/>
          </w:tcPr>
          <w:p w14:paraId="25DB2369">
            <w:pPr>
              <w:pStyle w:val="182"/>
              <w:rPr>
                <w:b/>
                <w:color w:val="auto"/>
              </w:rPr>
            </w:pPr>
            <w:r>
              <w:rPr>
                <w:b/>
                <w:color w:val="auto"/>
              </w:rPr>
              <w:t>mg/m</w:t>
            </w:r>
            <w:r>
              <w:rPr>
                <w:b/>
                <w:color w:val="auto"/>
                <w:vertAlign w:val="superscript"/>
              </w:rPr>
              <w:t>3</w:t>
            </w:r>
          </w:p>
        </w:tc>
        <w:tc>
          <w:tcPr>
            <w:tcW w:w="1945" w:type="pct"/>
            <w:vMerge w:val="continue"/>
            <w:noWrap w:val="0"/>
            <w:vAlign w:val="center"/>
          </w:tcPr>
          <w:p w14:paraId="322BA58D">
            <w:pPr>
              <w:pStyle w:val="182"/>
              <w:rPr>
                <w:color w:val="auto"/>
              </w:rPr>
            </w:pPr>
          </w:p>
        </w:tc>
        <w:tc>
          <w:tcPr>
            <w:tcW w:w="785" w:type="pct"/>
            <w:vMerge w:val="continue"/>
            <w:noWrap w:val="0"/>
            <w:vAlign w:val="center"/>
          </w:tcPr>
          <w:p w14:paraId="7D2FEC3A">
            <w:pPr>
              <w:pStyle w:val="182"/>
              <w:rPr>
                <w:color w:val="auto"/>
              </w:rPr>
            </w:pPr>
          </w:p>
        </w:tc>
      </w:tr>
      <w:tr w14:paraId="6290FF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5000" w:type="pct"/>
            <w:gridSpan w:val="7"/>
            <w:noWrap w:val="0"/>
            <w:vAlign w:val="center"/>
          </w:tcPr>
          <w:p w14:paraId="18954A52">
            <w:pPr>
              <w:pStyle w:val="182"/>
              <w:rPr>
                <w:color w:val="auto"/>
              </w:rPr>
            </w:pPr>
            <w:r>
              <w:rPr>
                <w:color w:val="auto"/>
              </w:rPr>
              <w:t>年产2×2万吨超细旦氨纶纤维项目（年产3×2万吨超细旦氨纶纤维项目二期三期工程）（三期）</w:t>
            </w:r>
          </w:p>
        </w:tc>
      </w:tr>
      <w:tr w14:paraId="5D9676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508" w:type="pct"/>
            <w:noWrap w:val="0"/>
            <w:vAlign w:val="center"/>
          </w:tcPr>
          <w:p w14:paraId="3F8A8B5D">
            <w:pPr>
              <w:pStyle w:val="182"/>
              <w:rPr>
                <w:color w:val="auto"/>
              </w:rPr>
            </w:pPr>
            <w:r>
              <w:rPr>
                <w:color w:val="auto"/>
              </w:rPr>
              <w:t>DMAC精</w:t>
            </w:r>
          </w:p>
          <w:p w14:paraId="62E7D0A6">
            <w:pPr>
              <w:pStyle w:val="182"/>
              <w:rPr>
                <w:color w:val="auto"/>
              </w:rPr>
            </w:pPr>
            <w:r>
              <w:rPr>
                <w:color w:val="auto"/>
              </w:rPr>
              <w:t>制回收系统尾气</w:t>
            </w:r>
          </w:p>
        </w:tc>
        <w:tc>
          <w:tcPr>
            <w:tcW w:w="370" w:type="pct"/>
            <w:noWrap w:val="0"/>
            <w:vAlign w:val="center"/>
          </w:tcPr>
          <w:p w14:paraId="11F45B92">
            <w:pPr>
              <w:pStyle w:val="182"/>
              <w:rPr>
                <w:color w:val="auto"/>
              </w:rPr>
            </w:pPr>
            <w:r>
              <w:rPr>
                <w:color w:val="auto"/>
              </w:rPr>
              <w:t>DMAC</w:t>
            </w:r>
          </w:p>
        </w:tc>
        <w:tc>
          <w:tcPr>
            <w:tcW w:w="418" w:type="pct"/>
            <w:noWrap w:val="0"/>
            <w:vAlign w:val="center"/>
          </w:tcPr>
          <w:p w14:paraId="75DB909C">
            <w:pPr>
              <w:pStyle w:val="182"/>
              <w:rPr>
                <w:color w:val="auto"/>
              </w:rPr>
            </w:pPr>
            <w:r>
              <w:rPr>
                <w:color w:val="auto"/>
              </w:rPr>
              <w:t>416</w:t>
            </w:r>
          </w:p>
        </w:tc>
        <w:tc>
          <w:tcPr>
            <w:tcW w:w="500" w:type="pct"/>
            <w:noWrap w:val="0"/>
            <w:vAlign w:val="center"/>
          </w:tcPr>
          <w:p w14:paraId="75F3A244">
            <w:pPr>
              <w:pStyle w:val="182"/>
              <w:rPr>
                <w:color w:val="auto"/>
              </w:rPr>
            </w:pPr>
            <w:r>
              <w:rPr>
                <w:color w:val="auto"/>
              </w:rPr>
              <w:t>1.664</w:t>
            </w:r>
          </w:p>
        </w:tc>
        <w:tc>
          <w:tcPr>
            <w:tcW w:w="474" w:type="pct"/>
            <w:noWrap w:val="0"/>
            <w:vAlign w:val="center"/>
          </w:tcPr>
          <w:p w14:paraId="4601AD87">
            <w:pPr>
              <w:pStyle w:val="182"/>
              <w:rPr>
                <w:color w:val="auto"/>
              </w:rPr>
            </w:pPr>
            <w:r>
              <w:rPr>
                <w:color w:val="auto"/>
              </w:rPr>
              <w:t>8.32</w:t>
            </w:r>
          </w:p>
        </w:tc>
        <w:tc>
          <w:tcPr>
            <w:tcW w:w="1945" w:type="pct"/>
            <w:tcBorders>
              <w:bottom w:val="single" w:color="auto" w:sz="4" w:space="0"/>
            </w:tcBorders>
            <w:noWrap w:val="0"/>
            <w:vAlign w:val="center"/>
          </w:tcPr>
          <w:p w14:paraId="11B9B967">
            <w:pPr>
              <w:pStyle w:val="182"/>
              <w:rPr>
                <w:color w:val="auto"/>
              </w:rPr>
            </w:pPr>
            <w:r>
              <w:rPr>
                <w:color w:val="auto"/>
              </w:rPr>
              <w:t>DMAC精制废气经管道引入170t/h燃煤锅炉炉膛燃烧处理后经80m高3#排气筒排放</w:t>
            </w:r>
          </w:p>
        </w:tc>
        <w:tc>
          <w:tcPr>
            <w:tcW w:w="785" w:type="pct"/>
            <w:vMerge w:val="restart"/>
            <w:noWrap w:val="0"/>
            <w:vAlign w:val="center"/>
          </w:tcPr>
          <w:p w14:paraId="7D371057">
            <w:pPr>
              <w:pStyle w:val="182"/>
              <w:rPr>
                <w:color w:val="auto"/>
              </w:rPr>
            </w:pPr>
            <w:r>
              <w:rPr>
                <w:color w:val="auto"/>
              </w:rPr>
              <w:t>非甲烷总烃80mg/m</w:t>
            </w:r>
            <w:r>
              <w:rPr>
                <w:color w:val="auto"/>
                <w:vertAlign w:val="superscript"/>
              </w:rPr>
              <w:t>3</w:t>
            </w:r>
          </w:p>
        </w:tc>
      </w:tr>
      <w:tr w14:paraId="5B345F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508" w:type="pct"/>
            <w:noWrap w:val="0"/>
            <w:vAlign w:val="center"/>
          </w:tcPr>
          <w:p w14:paraId="1F111AB0">
            <w:pPr>
              <w:pStyle w:val="182"/>
              <w:rPr>
                <w:color w:val="auto"/>
              </w:rPr>
            </w:pPr>
            <w:r>
              <w:rPr>
                <w:color w:val="auto"/>
              </w:rPr>
              <w:t>纺丝工艺废气</w:t>
            </w:r>
          </w:p>
        </w:tc>
        <w:tc>
          <w:tcPr>
            <w:tcW w:w="370" w:type="pct"/>
            <w:noWrap w:val="0"/>
            <w:vAlign w:val="center"/>
          </w:tcPr>
          <w:p w14:paraId="2F12BDCD">
            <w:pPr>
              <w:pStyle w:val="182"/>
              <w:rPr>
                <w:color w:val="auto"/>
              </w:rPr>
            </w:pPr>
            <w:r>
              <w:rPr>
                <w:color w:val="auto"/>
              </w:rPr>
              <w:t>DMAC</w:t>
            </w:r>
          </w:p>
        </w:tc>
        <w:tc>
          <w:tcPr>
            <w:tcW w:w="418" w:type="pct"/>
            <w:noWrap w:val="0"/>
            <w:vAlign w:val="center"/>
          </w:tcPr>
          <w:p w14:paraId="17CD1DCB">
            <w:pPr>
              <w:pStyle w:val="182"/>
              <w:rPr>
                <w:color w:val="auto"/>
              </w:rPr>
            </w:pPr>
            <w:r>
              <w:rPr>
                <w:color w:val="auto"/>
              </w:rPr>
              <w:t>500</w:t>
            </w:r>
          </w:p>
        </w:tc>
        <w:tc>
          <w:tcPr>
            <w:tcW w:w="500" w:type="pct"/>
            <w:noWrap w:val="0"/>
            <w:vAlign w:val="center"/>
          </w:tcPr>
          <w:p w14:paraId="0721949B">
            <w:pPr>
              <w:pStyle w:val="182"/>
              <w:rPr>
                <w:color w:val="auto"/>
              </w:rPr>
            </w:pPr>
            <w:r>
              <w:rPr>
                <w:color w:val="auto"/>
              </w:rPr>
              <w:t>10</w:t>
            </w:r>
          </w:p>
        </w:tc>
        <w:tc>
          <w:tcPr>
            <w:tcW w:w="474" w:type="pct"/>
            <w:vMerge w:val="restart"/>
            <w:noWrap w:val="0"/>
            <w:vAlign w:val="center"/>
          </w:tcPr>
          <w:p w14:paraId="14FBB622">
            <w:pPr>
              <w:pStyle w:val="182"/>
              <w:rPr>
                <w:color w:val="auto"/>
              </w:rPr>
            </w:pPr>
            <w:r>
              <w:rPr>
                <w:color w:val="auto"/>
              </w:rPr>
              <w:t>26.6</w:t>
            </w:r>
          </w:p>
        </w:tc>
        <w:tc>
          <w:tcPr>
            <w:tcW w:w="1945" w:type="pct"/>
            <w:vMerge w:val="restart"/>
            <w:tcBorders>
              <w:top w:val="single" w:color="auto" w:sz="4" w:space="0"/>
            </w:tcBorders>
            <w:noWrap w:val="0"/>
            <w:vAlign w:val="center"/>
          </w:tcPr>
          <w:p w14:paraId="2DDBA1F3">
            <w:pPr>
              <w:pStyle w:val="182"/>
              <w:rPr>
                <w:color w:val="auto"/>
              </w:rPr>
            </w:pPr>
            <w:r>
              <w:rPr>
                <w:color w:val="auto"/>
              </w:rPr>
              <w:t>纺丝工艺废气和组件清洗废气经三级喷淋处理后经30m高排气筒排放</w:t>
            </w:r>
          </w:p>
        </w:tc>
        <w:tc>
          <w:tcPr>
            <w:tcW w:w="785" w:type="pct"/>
            <w:vMerge w:val="continue"/>
            <w:noWrap w:val="0"/>
            <w:vAlign w:val="center"/>
          </w:tcPr>
          <w:p w14:paraId="73ED85B0">
            <w:pPr>
              <w:pStyle w:val="182"/>
              <w:rPr>
                <w:color w:val="auto"/>
              </w:rPr>
            </w:pPr>
          </w:p>
        </w:tc>
      </w:tr>
      <w:tr w14:paraId="7EAF0A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508" w:type="pct"/>
            <w:noWrap w:val="0"/>
            <w:vAlign w:val="center"/>
          </w:tcPr>
          <w:p w14:paraId="2A7A9205">
            <w:pPr>
              <w:pStyle w:val="182"/>
              <w:rPr>
                <w:color w:val="auto"/>
              </w:rPr>
            </w:pPr>
            <w:r>
              <w:rPr>
                <w:color w:val="auto"/>
              </w:rPr>
              <w:t>组件清洗</w:t>
            </w:r>
          </w:p>
        </w:tc>
        <w:tc>
          <w:tcPr>
            <w:tcW w:w="370" w:type="pct"/>
            <w:noWrap w:val="0"/>
            <w:vAlign w:val="center"/>
          </w:tcPr>
          <w:p w14:paraId="36498725">
            <w:pPr>
              <w:pStyle w:val="182"/>
              <w:rPr>
                <w:color w:val="auto"/>
              </w:rPr>
            </w:pPr>
            <w:r>
              <w:rPr>
                <w:color w:val="auto"/>
              </w:rPr>
              <w:t>DMAC</w:t>
            </w:r>
          </w:p>
        </w:tc>
        <w:tc>
          <w:tcPr>
            <w:tcW w:w="418" w:type="pct"/>
            <w:noWrap w:val="0"/>
            <w:vAlign w:val="center"/>
          </w:tcPr>
          <w:p w14:paraId="42CC48EB">
            <w:pPr>
              <w:pStyle w:val="182"/>
              <w:rPr>
                <w:color w:val="auto"/>
              </w:rPr>
            </w:pPr>
            <w:r>
              <w:rPr>
                <w:color w:val="auto"/>
              </w:rPr>
              <w:t>312.5</w:t>
            </w:r>
          </w:p>
        </w:tc>
        <w:tc>
          <w:tcPr>
            <w:tcW w:w="500" w:type="pct"/>
            <w:noWrap w:val="0"/>
            <w:vAlign w:val="center"/>
          </w:tcPr>
          <w:p w14:paraId="669C0257">
            <w:pPr>
              <w:pStyle w:val="182"/>
              <w:rPr>
                <w:color w:val="auto"/>
              </w:rPr>
            </w:pPr>
            <w:r>
              <w:rPr>
                <w:color w:val="auto"/>
              </w:rPr>
              <w:t>0.625</w:t>
            </w:r>
          </w:p>
        </w:tc>
        <w:tc>
          <w:tcPr>
            <w:tcW w:w="474" w:type="pct"/>
            <w:vMerge w:val="continue"/>
            <w:noWrap w:val="0"/>
            <w:vAlign w:val="center"/>
          </w:tcPr>
          <w:p w14:paraId="62440CFE">
            <w:pPr>
              <w:pStyle w:val="182"/>
              <w:rPr>
                <w:color w:val="auto"/>
              </w:rPr>
            </w:pPr>
          </w:p>
        </w:tc>
        <w:tc>
          <w:tcPr>
            <w:tcW w:w="1945" w:type="pct"/>
            <w:vMerge w:val="continue"/>
            <w:noWrap w:val="0"/>
            <w:vAlign w:val="center"/>
          </w:tcPr>
          <w:p w14:paraId="45E56417">
            <w:pPr>
              <w:pStyle w:val="182"/>
              <w:rPr>
                <w:color w:val="auto"/>
              </w:rPr>
            </w:pPr>
          </w:p>
        </w:tc>
        <w:tc>
          <w:tcPr>
            <w:tcW w:w="785" w:type="pct"/>
            <w:vMerge w:val="continue"/>
            <w:noWrap w:val="0"/>
            <w:vAlign w:val="center"/>
          </w:tcPr>
          <w:p w14:paraId="7FE6E98A">
            <w:pPr>
              <w:pStyle w:val="182"/>
              <w:rPr>
                <w:color w:val="auto"/>
              </w:rPr>
            </w:pPr>
          </w:p>
        </w:tc>
      </w:tr>
      <w:tr w14:paraId="1B1637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508" w:type="pct"/>
            <w:noWrap w:val="0"/>
            <w:vAlign w:val="center"/>
          </w:tcPr>
          <w:p w14:paraId="4677F828">
            <w:pPr>
              <w:pStyle w:val="182"/>
              <w:rPr>
                <w:color w:val="auto"/>
              </w:rPr>
            </w:pPr>
            <w:r>
              <w:rPr>
                <w:color w:val="auto"/>
              </w:rPr>
              <w:t>纺丝卷绕车间</w:t>
            </w:r>
          </w:p>
        </w:tc>
        <w:tc>
          <w:tcPr>
            <w:tcW w:w="370" w:type="pct"/>
            <w:noWrap w:val="0"/>
            <w:vAlign w:val="center"/>
          </w:tcPr>
          <w:p w14:paraId="09624555">
            <w:pPr>
              <w:pStyle w:val="182"/>
              <w:rPr>
                <w:color w:val="auto"/>
              </w:rPr>
            </w:pPr>
            <w:r>
              <w:rPr>
                <w:color w:val="auto"/>
              </w:rPr>
              <w:t>DMAC</w:t>
            </w:r>
          </w:p>
        </w:tc>
        <w:tc>
          <w:tcPr>
            <w:tcW w:w="418" w:type="pct"/>
            <w:noWrap w:val="0"/>
            <w:vAlign w:val="center"/>
          </w:tcPr>
          <w:p w14:paraId="130F3F4B">
            <w:pPr>
              <w:pStyle w:val="182"/>
              <w:rPr>
                <w:color w:val="auto"/>
              </w:rPr>
            </w:pPr>
            <w:r>
              <w:rPr>
                <w:color w:val="auto"/>
              </w:rPr>
              <w:t>58</w:t>
            </w:r>
          </w:p>
        </w:tc>
        <w:tc>
          <w:tcPr>
            <w:tcW w:w="500" w:type="pct"/>
            <w:noWrap w:val="0"/>
            <w:vAlign w:val="center"/>
          </w:tcPr>
          <w:p w14:paraId="0CEFD61A">
            <w:pPr>
              <w:pStyle w:val="182"/>
              <w:rPr>
                <w:color w:val="auto"/>
              </w:rPr>
            </w:pPr>
            <w:r>
              <w:rPr>
                <w:color w:val="auto"/>
              </w:rPr>
              <w:t>5.8</w:t>
            </w:r>
          </w:p>
        </w:tc>
        <w:tc>
          <w:tcPr>
            <w:tcW w:w="474" w:type="pct"/>
            <w:noWrap w:val="0"/>
            <w:vAlign w:val="center"/>
          </w:tcPr>
          <w:p w14:paraId="2BDE5BB7">
            <w:pPr>
              <w:pStyle w:val="182"/>
              <w:rPr>
                <w:color w:val="auto"/>
              </w:rPr>
            </w:pPr>
            <w:r>
              <w:rPr>
                <w:color w:val="auto"/>
              </w:rPr>
              <w:t>11.6</w:t>
            </w:r>
          </w:p>
        </w:tc>
        <w:tc>
          <w:tcPr>
            <w:tcW w:w="1945" w:type="pct"/>
            <w:noWrap w:val="0"/>
            <w:vAlign w:val="center"/>
          </w:tcPr>
          <w:p w14:paraId="3230E878">
            <w:pPr>
              <w:pStyle w:val="182"/>
              <w:rPr>
                <w:color w:val="auto"/>
              </w:rPr>
            </w:pPr>
            <w:r>
              <w:rPr>
                <w:color w:val="auto"/>
              </w:rPr>
              <w:t>经水喷淋后经27m排气筒排放</w:t>
            </w:r>
          </w:p>
        </w:tc>
        <w:tc>
          <w:tcPr>
            <w:tcW w:w="785" w:type="pct"/>
            <w:vMerge w:val="continue"/>
            <w:noWrap w:val="0"/>
            <w:vAlign w:val="center"/>
          </w:tcPr>
          <w:p w14:paraId="020E09CD">
            <w:pPr>
              <w:pStyle w:val="182"/>
              <w:rPr>
                <w:color w:val="auto"/>
              </w:rPr>
            </w:pPr>
          </w:p>
        </w:tc>
      </w:tr>
    </w:tbl>
    <w:p w14:paraId="44983EE4">
      <w:pPr>
        <w:pStyle w:val="10"/>
        <w:bidi w:val="0"/>
        <w:rPr>
          <w:rFonts w:hint="eastAsia"/>
          <w:lang w:val="en-US" w:eastAsia="zh-CN"/>
        </w:rPr>
      </w:pPr>
      <w:r>
        <w:t xml:space="preserve">表 </w:t>
      </w:r>
      <w:r>
        <w:fldChar w:fldCharType="begin"/>
      </w:r>
      <w:r>
        <w:instrText xml:space="preserve"> STYLEREF 2 \s </w:instrText>
      </w:r>
      <w:r>
        <w:fldChar w:fldCharType="separate"/>
      </w:r>
      <w:r>
        <w:t>3.4</w:t>
      </w:r>
      <w:r>
        <w:fldChar w:fldCharType="end"/>
      </w:r>
      <w:r>
        <w:rPr>
          <w:rFonts w:hint="eastAsia"/>
          <w:lang w:eastAsia="zh-CN"/>
        </w:rPr>
        <w:t>-</w:t>
      </w:r>
      <w:r>
        <w:fldChar w:fldCharType="begin"/>
      </w:r>
      <w:r>
        <w:instrText xml:space="preserve"> SEQ 表 \* ARABIC \s 2 </w:instrText>
      </w:r>
      <w:r>
        <w:fldChar w:fldCharType="separate"/>
      </w:r>
      <w:r>
        <w:t>4</w:t>
      </w:r>
      <w:r>
        <w:fldChar w:fldCharType="end"/>
      </w:r>
      <w:r>
        <w:rPr>
          <w:rFonts w:hint="eastAsia"/>
          <w:lang w:val="en-US" w:eastAsia="zh-CN"/>
        </w:rPr>
        <w:t xml:space="preserve"> 在建360t/h锅炉项目废气污染物产排情况一览表</w:t>
      </w:r>
    </w:p>
    <w:tbl>
      <w:tblPr>
        <w:tblStyle w:val="31"/>
        <w:tblW w:w="4916"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108" w:type="dxa"/>
          <w:bottom w:w="0" w:type="dxa"/>
          <w:right w:w="108" w:type="dxa"/>
        </w:tblCellMar>
      </w:tblPr>
      <w:tblGrid>
        <w:gridCol w:w="808"/>
        <w:gridCol w:w="702"/>
        <w:gridCol w:w="1490"/>
        <w:gridCol w:w="1051"/>
        <w:gridCol w:w="1126"/>
        <w:gridCol w:w="1190"/>
        <w:gridCol w:w="1317"/>
        <w:gridCol w:w="696"/>
      </w:tblGrid>
      <w:tr w14:paraId="17ACB7F1">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tblHeader/>
          <w:jc w:val="center"/>
        </w:trPr>
        <w:tc>
          <w:tcPr>
            <w:tcW w:w="482" w:type="pct"/>
            <w:vMerge w:val="restart"/>
            <w:shd w:val="clear" w:color="auto" w:fill="auto"/>
            <w:noWrap w:val="0"/>
            <w:vAlign w:val="center"/>
          </w:tcPr>
          <w:p w14:paraId="32B890C5">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r>
              <w:rPr>
                <w:rFonts w:ascii="Times New Roman" w:hAnsi="Times New Roman" w:cs="Times New Roman"/>
              </w:rPr>
              <w:t>污染源</w:t>
            </w:r>
          </w:p>
        </w:tc>
        <w:tc>
          <w:tcPr>
            <w:tcW w:w="419" w:type="pct"/>
            <w:vMerge w:val="restart"/>
            <w:shd w:val="clear" w:color="auto" w:fill="auto"/>
            <w:noWrap w:val="0"/>
            <w:vAlign w:val="center"/>
          </w:tcPr>
          <w:p w14:paraId="3CA259FD">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r>
              <w:rPr>
                <w:rFonts w:ascii="Times New Roman" w:hAnsi="Times New Roman" w:cs="Times New Roman"/>
              </w:rPr>
              <w:t>污染物</w:t>
            </w:r>
          </w:p>
        </w:tc>
        <w:tc>
          <w:tcPr>
            <w:tcW w:w="889" w:type="pct"/>
            <w:tcBorders>
              <w:right w:val="single" w:color="auto" w:sz="4" w:space="0"/>
            </w:tcBorders>
            <w:shd w:val="clear" w:color="auto" w:fill="auto"/>
            <w:noWrap w:val="0"/>
            <w:vAlign w:val="center"/>
          </w:tcPr>
          <w:p w14:paraId="274E9361">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r>
              <w:rPr>
                <w:rFonts w:ascii="Times New Roman" w:hAnsi="Times New Roman" w:cs="Times New Roman"/>
              </w:rPr>
              <w:t>治理措施</w:t>
            </w:r>
          </w:p>
        </w:tc>
        <w:tc>
          <w:tcPr>
            <w:tcW w:w="2795" w:type="pct"/>
            <w:gridSpan w:val="4"/>
            <w:shd w:val="clear" w:color="auto" w:fill="auto"/>
            <w:noWrap w:val="0"/>
            <w:vAlign w:val="center"/>
          </w:tcPr>
          <w:p w14:paraId="5C360BCA">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r>
              <w:rPr>
                <w:rFonts w:ascii="Times New Roman" w:hAnsi="Times New Roman" w:cs="Times New Roman"/>
              </w:rPr>
              <w:t>污染物排放</w:t>
            </w:r>
          </w:p>
        </w:tc>
        <w:tc>
          <w:tcPr>
            <w:tcW w:w="415" w:type="pct"/>
            <w:vMerge w:val="restart"/>
            <w:shd w:val="clear" w:color="auto" w:fill="auto"/>
            <w:noWrap w:val="0"/>
            <w:vAlign w:val="center"/>
          </w:tcPr>
          <w:p w14:paraId="6E40C34D">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r>
              <w:rPr>
                <w:rFonts w:ascii="Times New Roman" w:hAnsi="Times New Roman" w:cs="Times New Roman"/>
              </w:rPr>
              <w:t>排放时间</w:t>
            </w:r>
          </w:p>
        </w:tc>
      </w:tr>
      <w:tr w14:paraId="1862E935">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tblHeader/>
          <w:jc w:val="center"/>
        </w:trPr>
        <w:tc>
          <w:tcPr>
            <w:tcW w:w="482" w:type="pct"/>
            <w:vMerge w:val="continue"/>
            <w:shd w:val="clear" w:color="auto" w:fill="auto"/>
            <w:noWrap w:val="0"/>
            <w:vAlign w:val="center"/>
          </w:tcPr>
          <w:p w14:paraId="139E7EF8">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p>
        </w:tc>
        <w:tc>
          <w:tcPr>
            <w:tcW w:w="419" w:type="pct"/>
            <w:vMerge w:val="continue"/>
            <w:shd w:val="clear" w:color="auto" w:fill="auto"/>
            <w:noWrap w:val="0"/>
            <w:vAlign w:val="center"/>
          </w:tcPr>
          <w:p w14:paraId="3577B2BA">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p>
        </w:tc>
        <w:tc>
          <w:tcPr>
            <w:tcW w:w="889" w:type="pct"/>
            <w:shd w:val="clear" w:color="auto" w:fill="auto"/>
            <w:noWrap w:val="0"/>
            <w:vAlign w:val="center"/>
          </w:tcPr>
          <w:p w14:paraId="44E98B95">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r>
              <w:rPr>
                <w:rFonts w:ascii="Times New Roman" w:hAnsi="Times New Roman" w:cs="Times New Roman"/>
              </w:rPr>
              <w:t>工艺</w:t>
            </w:r>
          </w:p>
        </w:tc>
        <w:tc>
          <w:tcPr>
            <w:tcW w:w="627" w:type="pct"/>
            <w:shd w:val="clear" w:color="auto" w:fill="auto"/>
            <w:noWrap w:val="0"/>
            <w:vAlign w:val="center"/>
          </w:tcPr>
          <w:p w14:paraId="1D92357E">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r>
              <w:rPr>
                <w:rFonts w:ascii="Times New Roman" w:hAnsi="Times New Roman" w:cs="Times New Roman"/>
              </w:rPr>
              <w:t>烟气量(m</w:t>
            </w:r>
            <w:r>
              <w:rPr>
                <w:rFonts w:ascii="Times New Roman" w:hAnsi="Times New Roman" w:cs="Times New Roman"/>
                <w:vertAlign w:val="superscript"/>
              </w:rPr>
              <w:t>3</w:t>
            </w:r>
            <w:r>
              <w:rPr>
                <w:rFonts w:ascii="Times New Roman" w:hAnsi="Times New Roman" w:cs="Times New Roman"/>
              </w:rPr>
              <w:t>/h)</w:t>
            </w:r>
          </w:p>
        </w:tc>
        <w:tc>
          <w:tcPr>
            <w:tcW w:w="672" w:type="pct"/>
            <w:shd w:val="clear" w:color="auto" w:fill="auto"/>
            <w:noWrap w:val="0"/>
            <w:vAlign w:val="center"/>
          </w:tcPr>
          <w:p w14:paraId="4E57CE4B">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r>
              <w:rPr>
                <w:rFonts w:ascii="Times New Roman" w:hAnsi="Times New Roman" w:cs="Times New Roman"/>
              </w:rPr>
              <w:t>浓度(mg/m</w:t>
            </w:r>
            <w:r>
              <w:rPr>
                <w:rFonts w:ascii="Times New Roman" w:hAnsi="Times New Roman" w:cs="Times New Roman"/>
                <w:vertAlign w:val="superscript"/>
              </w:rPr>
              <w:t>3</w:t>
            </w:r>
            <w:r>
              <w:rPr>
                <w:rFonts w:ascii="Times New Roman" w:hAnsi="Times New Roman" w:cs="Times New Roman"/>
              </w:rPr>
              <w:t>)</w:t>
            </w:r>
          </w:p>
        </w:tc>
        <w:tc>
          <w:tcPr>
            <w:tcW w:w="710" w:type="pct"/>
            <w:shd w:val="clear" w:color="auto" w:fill="auto"/>
            <w:noWrap w:val="0"/>
            <w:vAlign w:val="center"/>
          </w:tcPr>
          <w:p w14:paraId="307B01D4">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r>
              <w:rPr>
                <w:rFonts w:ascii="Times New Roman" w:hAnsi="Times New Roman" w:cs="Times New Roman"/>
              </w:rPr>
              <w:t>排放</w:t>
            </w:r>
          </w:p>
          <w:p w14:paraId="2D6821B3">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r>
              <w:rPr>
                <w:rFonts w:ascii="Times New Roman" w:hAnsi="Times New Roman" w:cs="Times New Roman"/>
              </w:rPr>
              <w:t>速率(kg/h)</w:t>
            </w:r>
          </w:p>
        </w:tc>
        <w:tc>
          <w:tcPr>
            <w:tcW w:w="786" w:type="pct"/>
            <w:shd w:val="clear" w:color="auto" w:fill="auto"/>
            <w:noWrap w:val="0"/>
            <w:vAlign w:val="center"/>
          </w:tcPr>
          <w:p w14:paraId="2A6107B8">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r>
              <w:rPr>
                <w:rFonts w:ascii="Times New Roman" w:hAnsi="Times New Roman" w:cs="Times New Roman"/>
              </w:rPr>
              <w:t>排放量(t/a)</w:t>
            </w:r>
          </w:p>
        </w:tc>
        <w:tc>
          <w:tcPr>
            <w:tcW w:w="415" w:type="pct"/>
            <w:vMerge w:val="continue"/>
            <w:noWrap w:val="0"/>
            <w:vAlign w:val="center"/>
          </w:tcPr>
          <w:p w14:paraId="71C180E2">
            <w:pPr>
              <w:pStyle w:val="93"/>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cs="Times New Roman"/>
              </w:rPr>
            </w:pPr>
          </w:p>
        </w:tc>
      </w:tr>
      <w:tr w14:paraId="1B6F0FC4">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482" w:type="pct"/>
            <w:vMerge w:val="restart"/>
            <w:shd w:val="clear" w:color="auto" w:fill="auto"/>
            <w:noWrap w:val="0"/>
            <w:vAlign w:val="center"/>
          </w:tcPr>
          <w:p w14:paraId="639E7E8B">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锅炉</w:t>
            </w:r>
          </w:p>
        </w:tc>
        <w:tc>
          <w:tcPr>
            <w:tcW w:w="419" w:type="pct"/>
            <w:shd w:val="clear" w:color="auto" w:fill="auto"/>
            <w:noWrap w:val="0"/>
            <w:vAlign w:val="center"/>
          </w:tcPr>
          <w:p w14:paraId="19EDB0D6">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烟尘</w:t>
            </w:r>
          </w:p>
        </w:tc>
        <w:tc>
          <w:tcPr>
            <w:tcW w:w="889" w:type="pct"/>
            <w:shd w:val="clear" w:color="auto" w:fill="auto"/>
            <w:noWrap w:val="0"/>
            <w:vAlign w:val="center"/>
          </w:tcPr>
          <w:p w14:paraId="654CC814">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电袋除尘+湿式脱硫附带除尘+湿式电除尘</w:t>
            </w:r>
          </w:p>
        </w:tc>
        <w:tc>
          <w:tcPr>
            <w:tcW w:w="627" w:type="pct"/>
            <w:vMerge w:val="restart"/>
            <w:shd w:val="clear" w:color="auto" w:fill="auto"/>
            <w:noWrap w:val="0"/>
            <w:vAlign w:val="center"/>
          </w:tcPr>
          <w:p w14:paraId="51FEDD5D">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440000</w:t>
            </w:r>
          </w:p>
        </w:tc>
        <w:tc>
          <w:tcPr>
            <w:tcW w:w="672" w:type="pct"/>
            <w:shd w:val="clear" w:color="auto" w:fill="auto"/>
            <w:noWrap w:val="0"/>
            <w:vAlign w:val="center"/>
          </w:tcPr>
          <w:p w14:paraId="13280BBC">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8.07</w:t>
            </w:r>
          </w:p>
        </w:tc>
        <w:tc>
          <w:tcPr>
            <w:tcW w:w="710" w:type="pct"/>
            <w:shd w:val="clear" w:color="auto" w:fill="auto"/>
            <w:noWrap w:val="0"/>
            <w:vAlign w:val="center"/>
          </w:tcPr>
          <w:p w14:paraId="34189605">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3.549</w:t>
            </w:r>
          </w:p>
        </w:tc>
        <w:tc>
          <w:tcPr>
            <w:tcW w:w="786" w:type="pct"/>
            <w:shd w:val="clear" w:color="auto" w:fill="auto"/>
            <w:noWrap w:val="0"/>
            <w:vAlign w:val="center"/>
          </w:tcPr>
          <w:p w14:paraId="7AE3696E">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25.5517</w:t>
            </w:r>
          </w:p>
        </w:tc>
        <w:tc>
          <w:tcPr>
            <w:tcW w:w="415" w:type="pct"/>
            <w:shd w:val="clear" w:color="auto" w:fill="auto"/>
            <w:noWrap w:val="0"/>
            <w:vAlign w:val="center"/>
          </w:tcPr>
          <w:p w14:paraId="64B92C4E">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7200</w:t>
            </w:r>
          </w:p>
        </w:tc>
      </w:tr>
      <w:tr w14:paraId="25FEBFC5">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482" w:type="pct"/>
            <w:vMerge w:val="continue"/>
            <w:shd w:val="clear" w:color="auto" w:fill="auto"/>
            <w:noWrap w:val="0"/>
            <w:vAlign w:val="center"/>
          </w:tcPr>
          <w:p w14:paraId="1FE18792">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p>
        </w:tc>
        <w:tc>
          <w:tcPr>
            <w:tcW w:w="419" w:type="pct"/>
            <w:shd w:val="clear" w:color="auto" w:fill="auto"/>
            <w:noWrap w:val="0"/>
            <w:vAlign w:val="center"/>
          </w:tcPr>
          <w:p w14:paraId="00BAF6BE">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SO</w:t>
            </w:r>
            <w:r>
              <w:rPr>
                <w:rFonts w:ascii="Times New Roman" w:hAnsi="Times New Roman"/>
                <w:vertAlign w:val="subscript"/>
              </w:rPr>
              <w:t>2</w:t>
            </w:r>
          </w:p>
        </w:tc>
        <w:tc>
          <w:tcPr>
            <w:tcW w:w="889" w:type="pct"/>
            <w:shd w:val="clear" w:color="auto" w:fill="auto"/>
            <w:noWrap w:val="0"/>
            <w:vAlign w:val="center"/>
          </w:tcPr>
          <w:p w14:paraId="3B6B9FFA">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钠碱法湿式脱硫</w:t>
            </w:r>
          </w:p>
        </w:tc>
        <w:tc>
          <w:tcPr>
            <w:tcW w:w="627" w:type="pct"/>
            <w:vMerge w:val="continue"/>
            <w:shd w:val="clear" w:color="auto" w:fill="auto"/>
            <w:noWrap w:val="0"/>
            <w:vAlign w:val="center"/>
          </w:tcPr>
          <w:p w14:paraId="59661249">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p>
        </w:tc>
        <w:tc>
          <w:tcPr>
            <w:tcW w:w="672" w:type="pct"/>
            <w:shd w:val="clear" w:color="auto" w:fill="auto"/>
            <w:noWrap w:val="0"/>
            <w:vAlign w:val="center"/>
          </w:tcPr>
          <w:p w14:paraId="4875AC65">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34.64</w:t>
            </w:r>
          </w:p>
        </w:tc>
        <w:tc>
          <w:tcPr>
            <w:tcW w:w="710" w:type="pct"/>
            <w:shd w:val="clear" w:color="auto" w:fill="auto"/>
            <w:noWrap w:val="0"/>
            <w:vAlign w:val="center"/>
          </w:tcPr>
          <w:p w14:paraId="7B5269B9">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15.241</w:t>
            </w:r>
          </w:p>
        </w:tc>
        <w:tc>
          <w:tcPr>
            <w:tcW w:w="786" w:type="pct"/>
            <w:shd w:val="clear" w:color="auto" w:fill="auto"/>
            <w:noWrap w:val="0"/>
            <w:vAlign w:val="center"/>
          </w:tcPr>
          <w:p w14:paraId="4E30B4F7">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109.7349</w:t>
            </w:r>
          </w:p>
        </w:tc>
        <w:tc>
          <w:tcPr>
            <w:tcW w:w="415" w:type="pct"/>
            <w:shd w:val="clear" w:color="auto" w:fill="auto"/>
            <w:noWrap w:val="0"/>
            <w:vAlign w:val="center"/>
          </w:tcPr>
          <w:p w14:paraId="26D8F129">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7200</w:t>
            </w:r>
          </w:p>
        </w:tc>
      </w:tr>
      <w:tr w14:paraId="1E941585">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482" w:type="pct"/>
            <w:vMerge w:val="continue"/>
            <w:shd w:val="clear" w:color="auto" w:fill="auto"/>
            <w:noWrap w:val="0"/>
            <w:vAlign w:val="center"/>
          </w:tcPr>
          <w:p w14:paraId="70B77B29">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p>
        </w:tc>
        <w:tc>
          <w:tcPr>
            <w:tcW w:w="419" w:type="pct"/>
            <w:shd w:val="clear" w:color="auto" w:fill="auto"/>
            <w:noWrap w:val="0"/>
            <w:vAlign w:val="center"/>
          </w:tcPr>
          <w:p w14:paraId="4D2F8A89">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NO</w:t>
            </w:r>
            <w:r>
              <w:rPr>
                <w:rFonts w:ascii="Times New Roman" w:hAnsi="Times New Roman"/>
                <w:vertAlign w:val="subscript"/>
              </w:rPr>
              <w:t>X</w:t>
            </w:r>
          </w:p>
        </w:tc>
        <w:tc>
          <w:tcPr>
            <w:tcW w:w="889" w:type="pct"/>
            <w:shd w:val="clear" w:color="auto" w:fill="auto"/>
            <w:noWrap w:val="0"/>
            <w:vAlign w:val="center"/>
          </w:tcPr>
          <w:p w14:paraId="396960A1">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低氮燃烧+SCR脱硝</w:t>
            </w:r>
          </w:p>
        </w:tc>
        <w:tc>
          <w:tcPr>
            <w:tcW w:w="627" w:type="pct"/>
            <w:vMerge w:val="continue"/>
            <w:shd w:val="clear" w:color="auto" w:fill="auto"/>
            <w:noWrap w:val="0"/>
            <w:vAlign w:val="center"/>
          </w:tcPr>
          <w:p w14:paraId="2284C712">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p>
        </w:tc>
        <w:tc>
          <w:tcPr>
            <w:tcW w:w="672" w:type="pct"/>
            <w:shd w:val="clear" w:color="auto" w:fill="auto"/>
            <w:noWrap w:val="0"/>
            <w:vAlign w:val="center"/>
          </w:tcPr>
          <w:p w14:paraId="104B3100">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45</w:t>
            </w:r>
          </w:p>
        </w:tc>
        <w:tc>
          <w:tcPr>
            <w:tcW w:w="710" w:type="pct"/>
            <w:shd w:val="clear" w:color="auto" w:fill="auto"/>
            <w:noWrap w:val="0"/>
            <w:vAlign w:val="center"/>
          </w:tcPr>
          <w:p w14:paraId="1BC89110">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19.8</w:t>
            </w:r>
          </w:p>
        </w:tc>
        <w:tc>
          <w:tcPr>
            <w:tcW w:w="786" w:type="pct"/>
            <w:shd w:val="clear" w:color="auto" w:fill="auto"/>
            <w:noWrap w:val="0"/>
            <w:vAlign w:val="center"/>
          </w:tcPr>
          <w:p w14:paraId="24744228">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142.56</w:t>
            </w:r>
          </w:p>
        </w:tc>
        <w:tc>
          <w:tcPr>
            <w:tcW w:w="415" w:type="pct"/>
            <w:shd w:val="clear" w:color="auto" w:fill="auto"/>
            <w:noWrap w:val="0"/>
            <w:vAlign w:val="center"/>
          </w:tcPr>
          <w:p w14:paraId="38082696">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7200</w:t>
            </w:r>
          </w:p>
        </w:tc>
      </w:tr>
      <w:tr w14:paraId="0FA9B013">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482" w:type="pct"/>
            <w:vMerge w:val="continue"/>
            <w:shd w:val="clear" w:color="auto" w:fill="auto"/>
            <w:noWrap w:val="0"/>
            <w:vAlign w:val="center"/>
          </w:tcPr>
          <w:p w14:paraId="0B16DF88">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p>
        </w:tc>
        <w:tc>
          <w:tcPr>
            <w:tcW w:w="419" w:type="pct"/>
            <w:shd w:val="clear" w:color="auto" w:fill="auto"/>
            <w:noWrap w:val="0"/>
            <w:vAlign w:val="center"/>
          </w:tcPr>
          <w:p w14:paraId="5D032B23">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汞及其化合物</w:t>
            </w:r>
          </w:p>
        </w:tc>
        <w:tc>
          <w:tcPr>
            <w:tcW w:w="889" w:type="pct"/>
            <w:shd w:val="clear" w:color="auto" w:fill="auto"/>
            <w:noWrap w:val="0"/>
            <w:vAlign w:val="center"/>
          </w:tcPr>
          <w:p w14:paraId="3F7048C6">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脱硝、除尘和脱硫协同脱除</w:t>
            </w:r>
          </w:p>
        </w:tc>
        <w:tc>
          <w:tcPr>
            <w:tcW w:w="627" w:type="pct"/>
            <w:vMerge w:val="continue"/>
            <w:shd w:val="clear" w:color="auto" w:fill="auto"/>
            <w:noWrap w:val="0"/>
            <w:vAlign w:val="center"/>
          </w:tcPr>
          <w:p w14:paraId="39E5A1CC">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p>
        </w:tc>
        <w:tc>
          <w:tcPr>
            <w:tcW w:w="672" w:type="pct"/>
            <w:shd w:val="clear" w:color="auto" w:fill="auto"/>
            <w:noWrap w:val="0"/>
            <w:vAlign w:val="center"/>
          </w:tcPr>
          <w:p w14:paraId="689BA231">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0.0032</w:t>
            </w:r>
          </w:p>
        </w:tc>
        <w:tc>
          <w:tcPr>
            <w:tcW w:w="710" w:type="pct"/>
            <w:shd w:val="clear" w:color="auto" w:fill="auto"/>
            <w:noWrap w:val="0"/>
            <w:vAlign w:val="center"/>
          </w:tcPr>
          <w:p w14:paraId="3E48D195">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0.0014</w:t>
            </w:r>
          </w:p>
        </w:tc>
        <w:tc>
          <w:tcPr>
            <w:tcW w:w="786" w:type="pct"/>
            <w:shd w:val="clear" w:color="auto" w:fill="auto"/>
            <w:noWrap w:val="0"/>
            <w:vAlign w:val="center"/>
          </w:tcPr>
          <w:p w14:paraId="0E198E0A">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0.0100</w:t>
            </w:r>
          </w:p>
        </w:tc>
        <w:tc>
          <w:tcPr>
            <w:tcW w:w="415" w:type="pct"/>
            <w:shd w:val="clear" w:color="auto" w:fill="auto"/>
            <w:noWrap w:val="0"/>
            <w:vAlign w:val="center"/>
          </w:tcPr>
          <w:p w14:paraId="4906A774">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7200</w:t>
            </w:r>
          </w:p>
        </w:tc>
      </w:tr>
      <w:tr w14:paraId="5101755A">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482" w:type="pct"/>
            <w:vMerge w:val="continue"/>
            <w:shd w:val="clear" w:color="auto" w:fill="auto"/>
            <w:noWrap w:val="0"/>
            <w:vAlign w:val="center"/>
          </w:tcPr>
          <w:p w14:paraId="052EEA4A">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p>
        </w:tc>
        <w:tc>
          <w:tcPr>
            <w:tcW w:w="419" w:type="pct"/>
            <w:shd w:val="clear" w:color="auto" w:fill="auto"/>
            <w:noWrap w:val="0"/>
            <w:vAlign w:val="center"/>
          </w:tcPr>
          <w:p w14:paraId="1BBD02F6">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逃逸氨</w:t>
            </w:r>
          </w:p>
        </w:tc>
        <w:tc>
          <w:tcPr>
            <w:tcW w:w="889" w:type="pct"/>
            <w:shd w:val="clear" w:color="auto" w:fill="auto"/>
            <w:noWrap w:val="0"/>
            <w:vAlign w:val="center"/>
          </w:tcPr>
          <w:p w14:paraId="147717B7">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w:t>
            </w:r>
          </w:p>
        </w:tc>
        <w:tc>
          <w:tcPr>
            <w:tcW w:w="627" w:type="pct"/>
            <w:vMerge w:val="continue"/>
            <w:shd w:val="clear" w:color="auto" w:fill="auto"/>
            <w:noWrap w:val="0"/>
            <w:vAlign w:val="center"/>
          </w:tcPr>
          <w:p w14:paraId="6A1D1232">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p>
        </w:tc>
        <w:tc>
          <w:tcPr>
            <w:tcW w:w="672" w:type="pct"/>
            <w:shd w:val="clear" w:color="auto" w:fill="auto"/>
            <w:noWrap w:val="0"/>
            <w:vAlign w:val="center"/>
          </w:tcPr>
          <w:p w14:paraId="680D37F5">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4</w:t>
            </w:r>
          </w:p>
        </w:tc>
        <w:tc>
          <w:tcPr>
            <w:tcW w:w="710" w:type="pct"/>
            <w:shd w:val="clear" w:color="auto" w:fill="auto"/>
            <w:noWrap w:val="0"/>
            <w:vAlign w:val="center"/>
          </w:tcPr>
          <w:p w14:paraId="35B211C8">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1.76</w:t>
            </w:r>
          </w:p>
        </w:tc>
        <w:tc>
          <w:tcPr>
            <w:tcW w:w="786" w:type="pct"/>
            <w:shd w:val="clear" w:color="auto" w:fill="auto"/>
            <w:noWrap w:val="0"/>
            <w:vAlign w:val="center"/>
          </w:tcPr>
          <w:p w14:paraId="02E7CFBE">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12.672</w:t>
            </w:r>
          </w:p>
        </w:tc>
        <w:tc>
          <w:tcPr>
            <w:tcW w:w="415" w:type="pct"/>
            <w:shd w:val="clear" w:color="auto" w:fill="auto"/>
            <w:noWrap w:val="0"/>
            <w:vAlign w:val="center"/>
          </w:tcPr>
          <w:p w14:paraId="4B042848">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7200</w:t>
            </w:r>
          </w:p>
        </w:tc>
      </w:tr>
      <w:tr w14:paraId="3642C6FC">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482" w:type="pct"/>
            <w:shd w:val="clear" w:color="auto" w:fill="auto"/>
            <w:noWrap w:val="0"/>
            <w:vAlign w:val="center"/>
          </w:tcPr>
          <w:p w14:paraId="12415EA8">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碎煤机</w:t>
            </w:r>
          </w:p>
        </w:tc>
        <w:tc>
          <w:tcPr>
            <w:tcW w:w="419" w:type="pct"/>
            <w:shd w:val="clear" w:color="auto" w:fill="auto"/>
            <w:noWrap w:val="0"/>
            <w:vAlign w:val="center"/>
          </w:tcPr>
          <w:p w14:paraId="7A80F4FB">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粉尘</w:t>
            </w:r>
          </w:p>
        </w:tc>
        <w:tc>
          <w:tcPr>
            <w:tcW w:w="889" w:type="pct"/>
            <w:shd w:val="clear" w:color="auto" w:fill="auto"/>
            <w:noWrap w:val="0"/>
            <w:vAlign w:val="center"/>
          </w:tcPr>
          <w:p w14:paraId="73619BFA">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袋式除尘器</w:t>
            </w:r>
          </w:p>
        </w:tc>
        <w:tc>
          <w:tcPr>
            <w:tcW w:w="627" w:type="pct"/>
            <w:shd w:val="clear" w:color="auto" w:fill="auto"/>
            <w:noWrap w:val="0"/>
            <w:vAlign w:val="center"/>
          </w:tcPr>
          <w:p w14:paraId="4733C454">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6000</w:t>
            </w:r>
          </w:p>
        </w:tc>
        <w:tc>
          <w:tcPr>
            <w:tcW w:w="672" w:type="pct"/>
            <w:shd w:val="clear" w:color="auto" w:fill="auto"/>
            <w:noWrap w:val="0"/>
            <w:vAlign w:val="center"/>
          </w:tcPr>
          <w:p w14:paraId="7083A566">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9.2</w:t>
            </w:r>
          </w:p>
        </w:tc>
        <w:tc>
          <w:tcPr>
            <w:tcW w:w="710" w:type="pct"/>
            <w:shd w:val="clear" w:color="auto" w:fill="auto"/>
            <w:noWrap w:val="0"/>
            <w:vAlign w:val="center"/>
          </w:tcPr>
          <w:p w14:paraId="1369B787">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0.055</w:t>
            </w:r>
          </w:p>
        </w:tc>
        <w:tc>
          <w:tcPr>
            <w:tcW w:w="786" w:type="pct"/>
            <w:shd w:val="clear" w:color="auto" w:fill="auto"/>
            <w:noWrap w:val="0"/>
            <w:vAlign w:val="center"/>
          </w:tcPr>
          <w:p w14:paraId="370A4A7A">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0.3974</w:t>
            </w:r>
          </w:p>
        </w:tc>
        <w:tc>
          <w:tcPr>
            <w:tcW w:w="415" w:type="pct"/>
            <w:shd w:val="clear" w:color="auto" w:fill="auto"/>
            <w:noWrap w:val="0"/>
            <w:vAlign w:val="center"/>
          </w:tcPr>
          <w:p w14:paraId="5C3661E2">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7200</w:t>
            </w:r>
          </w:p>
        </w:tc>
      </w:tr>
      <w:tr w14:paraId="3162B554">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482" w:type="pct"/>
            <w:shd w:val="clear" w:color="auto" w:fill="auto"/>
            <w:noWrap w:val="0"/>
            <w:vAlign w:val="center"/>
          </w:tcPr>
          <w:p w14:paraId="29FD77D7">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灰库</w:t>
            </w:r>
          </w:p>
        </w:tc>
        <w:tc>
          <w:tcPr>
            <w:tcW w:w="419" w:type="pct"/>
            <w:shd w:val="clear" w:color="auto" w:fill="auto"/>
            <w:noWrap w:val="0"/>
            <w:vAlign w:val="center"/>
          </w:tcPr>
          <w:p w14:paraId="7CAE1BB3">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粉尘</w:t>
            </w:r>
          </w:p>
        </w:tc>
        <w:tc>
          <w:tcPr>
            <w:tcW w:w="889" w:type="pct"/>
            <w:shd w:val="clear" w:color="auto" w:fill="auto"/>
            <w:noWrap w:val="0"/>
            <w:vAlign w:val="center"/>
          </w:tcPr>
          <w:p w14:paraId="13DB3ED6">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袋式除尘器</w:t>
            </w:r>
          </w:p>
        </w:tc>
        <w:tc>
          <w:tcPr>
            <w:tcW w:w="627" w:type="pct"/>
            <w:shd w:val="clear" w:color="auto" w:fill="auto"/>
            <w:noWrap w:val="0"/>
            <w:vAlign w:val="center"/>
          </w:tcPr>
          <w:p w14:paraId="42772A9E">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50000</w:t>
            </w:r>
          </w:p>
        </w:tc>
        <w:tc>
          <w:tcPr>
            <w:tcW w:w="672" w:type="pct"/>
            <w:shd w:val="clear" w:color="auto" w:fill="auto"/>
            <w:noWrap w:val="0"/>
            <w:vAlign w:val="center"/>
          </w:tcPr>
          <w:p w14:paraId="6E7196C1">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8.34</w:t>
            </w:r>
          </w:p>
        </w:tc>
        <w:tc>
          <w:tcPr>
            <w:tcW w:w="710" w:type="pct"/>
            <w:shd w:val="clear" w:color="auto" w:fill="auto"/>
            <w:noWrap w:val="0"/>
            <w:vAlign w:val="center"/>
          </w:tcPr>
          <w:p w14:paraId="5ECDC6E1">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0.417</w:t>
            </w:r>
          </w:p>
        </w:tc>
        <w:tc>
          <w:tcPr>
            <w:tcW w:w="786" w:type="pct"/>
            <w:shd w:val="clear" w:color="auto" w:fill="auto"/>
            <w:noWrap w:val="0"/>
            <w:vAlign w:val="center"/>
          </w:tcPr>
          <w:p w14:paraId="2C99ADA8">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3.0024</w:t>
            </w:r>
          </w:p>
        </w:tc>
        <w:tc>
          <w:tcPr>
            <w:tcW w:w="415" w:type="pct"/>
            <w:shd w:val="clear" w:color="auto" w:fill="auto"/>
            <w:noWrap w:val="0"/>
            <w:vAlign w:val="center"/>
          </w:tcPr>
          <w:p w14:paraId="7F53D634">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7200</w:t>
            </w:r>
          </w:p>
        </w:tc>
      </w:tr>
      <w:tr w14:paraId="41C058C0">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482" w:type="pct"/>
            <w:shd w:val="clear" w:color="auto" w:fill="auto"/>
            <w:noWrap w:val="0"/>
            <w:vAlign w:val="center"/>
          </w:tcPr>
          <w:p w14:paraId="043117FF">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渣仓</w:t>
            </w:r>
          </w:p>
        </w:tc>
        <w:tc>
          <w:tcPr>
            <w:tcW w:w="419" w:type="pct"/>
            <w:shd w:val="clear" w:color="auto" w:fill="auto"/>
            <w:noWrap w:val="0"/>
            <w:vAlign w:val="center"/>
          </w:tcPr>
          <w:p w14:paraId="01A0541B">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粉尘</w:t>
            </w:r>
          </w:p>
        </w:tc>
        <w:tc>
          <w:tcPr>
            <w:tcW w:w="889" w:type="pct"/>
            <w:shd w:val="clear" w:color="auto" w:fill="auto"/>
            <w:noWrap w:val="0"/>
            <w:vAlign w:val="center"/>
          </w:tcPr>
          <w:p w14:paraId="143D594C">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袋式除尘器</w:t>
            </w:r>
          </w:p>
        </w:tc>
        <w:tc>
          <w:tcPr>
            <w:tcW w:w="627" w:type="pct"/>
            <w:shd w:val="clear" w:color="auto" w:fill="auto"/>
            <w:noWrap w:val="0"/>
            <w:vAlign w:val="center"/>
          </w:tcPr>
          <w:p w14:paraId="5BA0BEAF">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4000</w:t>
            </w:r>
          </w:p>
        </w:tc>
        <w:tc>
          <w:tcPr>
            <w:tcW w:w="672" w:type="pct"/>
            <w:shd w:val="clear" w:color="auto" w:fill="auto"/>
            <w:noWrap w:val="0"/>
            <w:vAlign w:val="center"/>
          </w:tcPr>
          <w:p w14:paraId="6E3AE064">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7.5</w:t>
            </w:r>
          </w:p>
        </w:tc>
        <w:tc>
          <w:tcPr>
            <w:tcW w:w="710" w:type="pct"/>
            <w:shd w:val="clear" w:color="auto" w:fill="auto"/>
            <w:noWrap w:val="0"/>
            <w:vAlign w:val="center"/>
          </w:tcPr>
          <w:p w14:paraId="43330273">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0.03</w:t>
            </w:r>
          </w:p>
        </w:tc>
        <w:tc>
          <w:tcPr>
            <w:tcW w:w="786" w:type="pct"/>
            <w:shd w:val="clear" w:color="auto" w:fill="auto"/>
            <w:noWrap w:val="0"/>
            <w:vAlign w:val="center"/>
          </w:tcPr>
          <w:p w14:paraId="4347721C">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0.216</w:t>
            </w:r>
          </w:p>
        </w:tc>
        <w:tc>
          <w:tcPr>
            <w:tcW w:w="415" w:type="pct"/>
            <w:shd w:val="clear" w:color="auto" w:fill="auto"/>
            <w:noWrap w:val="0"/>
            <w:vAlign w:val="center"/>
          </w:tcPr>
          <w:p w14:paraId="3833149B">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7200</w:t>
            </w:r>
          </w:p>
        </w:tc>
      </w:tr>
      <w:tr w14:paraId="015D6105">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482" w:type="pct"/>
            <w:shd w:val="clear" w:color="auto" w:fill="auto"/>
            <w:noWrap w:val="0"/>
            <w:vAlign w:val="center"/>
          </w:tcPr>
          <w:p w14:paraId="352FBB1D">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受煤坑</w:t>
            </w:r>
          </w:p>
        </w:tc>
        <w:tc>
          <w:tcPr>
            <w:tcW w:w="419" w:type="pct"/>
            <w:shd w:val="clear" w:color="auto" w:fill="auto"/>
            <w:noWrap w:val="0"/>
            <w:vAlign w:val="center"/>
          </w:tcPr>
          <w:p w14:paraId="42F30BDF">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粉尘</w:t>
            </w:r>
          </w:p>
        </w:tc>
        <w:tc>
          <w:tcPr>
            <w:tcW w:w="889" w:type="pct"/>
            <w:shd w:val="clear" w:color="auto" w:fill="auto"/>
            <w:noWrap w:val="0"/>
            <w:vAlign w:val="center"/>
          </w:tcPr>
          <w:p w14:paraId="1DBBB451">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袋式除尘器</w:t>
            </w:r>
          </w:p>
        </w:tc>
        <w:tc>
          <w:tcPr>
            <w:tcW w:w="627" w:type="pct"/>
            <w:shd w:val="clear" w:color="auto" w:fill="auto"/>
            <w:noWrap w:val="0"/>
            <w:vAlign w:val="center"/>
          </w:tcPr>
          <w:p w14:paraId="1B6DD3BA">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6000</w:t>
            </w:r>
          </w:p>
        </w:tc>
        <w:tc>
          <w:tcPr>
            <w:tcW w:w="672" w:type="pct"/>
            <w:shd w:val="clear" w:color="auto" w:fill="auto"/>
            <w:noWrap w:val="0"/>
            <w:vAlign w:val="center"/>
          </w:tcPr>
          <w:p w14:paraId="156F5365">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7.36</w:t>
            </w:r>
          </w:p>
        </w:tc>
        <w:tc>
          <w:tcPr>
            <w:tcW w:w="710" w:type="pct"/>
            <w:shd w:val="clear" w:color="auto" w:fill="auto"/>
            <w:noWrap w:val="0"/>
            <w:vAlign w:val="center"/>
          </w:tcPr>
          <w:p w14:paraId="3FC9DE22">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0.044</w:t>
            </w:r>
          </w:p>
        </w:tc>
        <w:tc>
          <w:tcPr>
            <w:tcW w:w="786" w:type="pct"/>
            <w:shd w:val="clear" w:color="auto" w:fill="auto"/>
            <w:noWrap w:val="0"/>
            <w:vAlign w:val="center"/>
          </w:tcPr>
          <w:p w14:paraId="0846A337">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0.318</w:t>
            </w:r>
          </w:p>
        </w:tc>
        <w:tc>
          <w:tcPr>
            <w:tcW w:w="415" w:type="pct"/>
            <w:shd w:val="clear" w:color="auto" w:fill="auto"/>
            <w:noWrap w:val="0"/>
            <w:vAlign w:val="center"/>
          </w:tcPr>
          <w:p w14:paraId="01A48A6B">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7200</w:t>
            </w:r>
          </w:p>
        </w:tc>
      </w:tr>
      <w:tr w14:paraId="5665F5F9">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482" w:type="pct"/>
            <w:shd w:val="clear" w:color="auto" w:fill="auto"/>
            <w:noWrap w:val="0"/>
            <w:vAlign w:val="center"/>
          </w:tcPr>
          <w:p w14:paraId="38A74968">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原煤仓</w:t>
            </w:r>
          </w:p>
        </w:tc>
        <w:tc>
          <w:tcPr>
            <w:tcW w:w="419" w:type="pct"/>
            <w:shd w:val="clear" w:color="auto" w:fill="auto"/>
            <w:noWrap w:val="0"/>
            <w:vAlign w:val="center"/>
          </w:tcPr>
          <w:p w14:paraId="31E96F96">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粉尘</w:t>
            </w:r>
          </w:p>
        </w:tc>
        <w:tc>
          <w:tcPr>
            <w:tcW w:w="889" w:type="pct"/>
            <w:shd w:val="clear" w:color="auto" w:fill="auto"/>
            <w:noWrap w:val="0"/>
            <w:vAlign w:val="center"/>
          </w:tcPr>
          <w:p w14:paraId="54BF5C88">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袋式除尘器</w:t>
            </w:r>
          </w:p>
        </w:tc>
        <w:tc>
          <w:tcPr>
            <w:tcW w:w="627" w:type="pct"/>
            <w:shd w:val="clear" w:color="auto" w:fill="auto"/>
            <w:noWrap w:val="0"/>
            <w:vAlign w:val="center"/>
          </w:tcPr>
          <w:p w14:paraId="259C3696">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12000</w:t>
            </w:r>
          </w:p>
        </w:tc>
        <w:tc>
          <w:tcPr>
            <w:tcW w:w="672" w:type="pct"/>
            <w:shd w:val="clear" w:color="auto" w:fill="auto"/>
            <w:noWrap w:val="0"/>
            <w:vAlign w:val="center"/>
          </w:tcPr>
          <w:p w14:paraId="7F48C3E0">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9.2</w:t>
            </w:r>
          </w:p>
        </w:tc>
        <w:tc>
          <w:tcPr>
            <w:tcW w:w="710" w:type="pct"/>
            <w:shd w:val="clear" w:color="auto" w:fill="auto"/>
            <w:noWrap w:val="0"/>
            <w:vAlign w:val="center"/>
          </w:tcPr>
          <w:p w14:paraId="50C68278">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0.1104</w:t>
            </w:r>
          </w:p>
        </w:tc>
        <w:tc>
          <w:tcPr>
            <w:tcW w:w="786" w:type="pct"/>
            <w:shd w:val="clear" w:color="auto" w:fill="auto"/>
            <w:noWrap w:val="0"/>
            <w:vAlign w:val="center"/>
          </w:tcPr>
          <w:p w14:paraId="46D9F81D">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0.7949</w:t>
            </w:r>
          </w:p>
        </w:tc>
        <w:tc>
          <w:tcPr>
            <w:tcW w:w="415" w:type="pct"/>
            <w:shd w:val="clear" w:color="auto" w:fill="auto"/>
            <w:noWrap w:val="0"/>
            <w:vAlign w:val="center"/>
          </w:tcPr>
          <w:p w14:paraId="5BD53175">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7200</w:t>
            </w:r>
          </w:p>
        </w:tc>
      </w:tr>
      <w:tr w14:paraId="17253B54">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482" w:type="pct"/>
            <w:shd w:val="clear" w:color="auto" w:fill="auto"/>
            <w:noWrap w:val="0"/>
            <w:vAlign w:val="center"/>
          </w:tcPr>
          <w:p w14:paraId="04857ABC">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醇基燃料储罐</w:t>
            </w:r>
          </w:p>
        </w:tc>
        <w:tc>
          <w:tcPr>
            <w:tcW w:w="419" w:type="pct"/>
            <w:shd w:val="clear" w:color="auto" w:fill="auto"/>
            <w:noWrap w:val="0"/>
            <w:vAlign w:val="center"/>
          </w:tcPr>
          <w:p w14:paraId="048A6F5C">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非甲烷总烃</w:t>
            </w:r>
          </w:p>
        </w:tc>
        <w:tc>
          <w:tcPr>
            <w:tcW w:w="889" w:type="pct"/>
            <w:shd w:val="clear" w:color="auto" w:fill="auto"/>
            <w:noWrap w:val="0"/>
            <w:vAlign w:val="center"/>
          </w:tcPr>
          <w:p w14:paraId="0CF28C2D">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锅炉燃烧</w:t>
            </w:r>
          </w:p>
        </w:tc>
        <w:tc>
          <w:tcPr>
            <w:tcW w:w="627" w:type="pct"/>
            <w:shd w:val="clear" w:color="auto" w:fill="auto"/>
            <w:noWrap w:val="0"/>
            <w:vAlign w:val="center"/>
          </w:tcPr>
          <w:p w14:paraId="25793B5C">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w:t>
            </w:r>
          </w:p>
        </w:tc>
        <w:tc>
          <w:tcPr>
            <w:tcW w:w="672" w:type="pct"/>
            <w:shd w:val="clear" w:color="auto" w:fill="auto"/>
            <w:noWrap w:val="0"/>
            <w:vAlign w:val="center"/>
          </w:tcPr>
          <w:p w14:paraId="4AAB755C">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w:t>
            </w:r>
          </w:p>
        </w:tc>
        <w:tc>
          <w:tcPr>
            <w:tcW w:w="710" w:type="pct"/>
            <w:shd w:val="clear" w:color="auto" w:fill="auto"/>
            <w:noWrap w:val="0"/>
            <w:vAlign w:val="center"/>
          </w:tcPr>
          <w:p w14:paraId="2C0A3039">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0.00007</w:t>
            </w:r>
          </w:p>
        </w:tc>
        <w:tc>
          <w:tcPr>
            <w:tcW w:w="786" w:type="pct"/>
            <w:shd w:val="clear" w:color="auto" w:fill="auto"/>
            <w:noWrap w:val="0"/>
            <w:vAlign w:val="center"/>
          </w:tcPr>
          <w:p w14:paraId="381FE0F0">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0.0006</w:t>
            </w:r>
          </w:p>
        </w:tc>
        <w:tc>
          <w:tcPr>
            <w:tcW w:w="415" w:type="pct"/>
            <w:shd w:val="clear" w:color="auto" w:fill="auto"/>
            <w:noWrap w:val="0"/>
            <w:vAlign w:val="center"/>
          </w:tcPr>
          <w:p w14:paraId="6DD33EEB">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8760</w:t>
            </w:r>
          </w:p>
        </w:tc>
      </w:tr>
      <w:tr w14:paraId="003384FA">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482" w:type="pct"/>
            <w:shd w:val="clear" w:color="auto" w:fill="auto"/>
            <w:noWrap w:val="0"/>
            <w:vAlign w:val="center"/>
          </w:tcPr>
          <w:p w14:paraId="78AB6D25">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煤库及皮带输送机</w:t>
            </w:r>
          </w:p>
        </w:tc>
        <w:tc>
          <w:tcPr>
            <w:tcW w:w="419" w:type="pct"/>
            <w:shd w:val="clear" w:color="auto" w:fill="auto"/>
            <w:noWrap w:val="0"/>
            <w:vAlign w:val="center"/>
          </w:tcPr>
          <w:p w14:paraId="4F2B2AAE">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粉尘</w:t>
            </w:r>
          </w:p>
        </w:tc>
        <w:tc>
          <w:tcPr>
            <w:tcW w:w="889" w:type="pct"/>
            <w:shd w:val="clear" w:color="auto" w:fill="auto"/>
            <w:noWrap w:val="0"/>
            <w:vAlign w:val="center"/>
          </w:tcPr>
          <w:p w14:paraId="3AEA8E93">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全封闭式储煤场+喷雾洒水降尘+密闭皮带输送</w:t>
            </w:r>
          </w:p>
        </w:tc>
        <w:tc>
          <w:tcPr>
            <w:tcW w:w="627" w:type="pct"/>
            <w:shd w:val="clear" w:color="auto" w:fill="auto"/>
            <w:noWrap w:val="0"/>
            <w:vAlign w:val="center"/>
          </w:tcPr>
          <w:p w14:paraId="588EE6AB">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w:t>
            </w:r>
          </w:p>
        </w:tc>
        <w:tc>
          <w:tcPr>
            <w:tcW w:w="672" w:type="pct"/>
            <w:shd w:val="clear" w:color="auto" w:fill="auto"/>
            <w:noWrap w:val="0"/>
            <w:vAlign w:val="center"/>
          </w:tcPr>
          <w:p w14:paraId="65B94010">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w:t>
            </w:r>
          </w:p>
        </w:tc>
        <w:tc>
          <w:tcPr>
            <w:tcW w:w="710" w:type="pct"/>
            <w:shd w:val="clear" w:color="auto" w:fill="auto"/>
            <w:noWrap w:val="0"/>
            <w:vAlign w:val="center"/>
          </w:tcPr>
          <w:p w14:paraId="44EFF2BE">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0.210</w:t>
            </w:r>
          </w:p>
        </w:tc>
        <w:tc>
          <w:tcPr>
            <w:tcW w:w="786" w:type="pct"/>
            <w:shd w:val="clear" w:color="auto" w:fill="auto"/>
            <w:noWrap w:val="0"/>
            <w:vAlign w:val="center"/>
          </w:tcPr>
          <w:p w14:paraId="1E296EE6">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1.51</w:t>
            </w:r>
          </w:p>
        </w:tc>
        <w:tc>
          <w:tcPr>
            <w:tcW w:w="415" w:type="pct"/>
            <w:shd w:val="clear" w:color="auto" w:fill="auto"/>
            <w:noWrap w:val="0"/>
            <w:vAlign w:val="center"/>
          </w:tcPr>
          <w:p w14:paraId="32E65FEE">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7200</w:t>
            </w:r>
          </w:p>
        </w:tc>
      </w:tr>
      <w:tr w14:paraId="2FE16849">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25" w:hRule="atLeast"/>
          <w:jc w:val="center"/>
        </w:trPr>
        <w:tc>
          <w:tcPr>
            <w:tcW w:w="482" w:type="pct"/>
            <w:shd w:val="clear" w:color="auto" w:fill="auto"/>
            <w:noWrap w:val="0"/>
            <w:vAlign w:val="center"/>
          </w:tcPr>
          <w:p w14:paraId="0AC2CA32">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氨水储罐</w:t>
            </w:r>
          </w:p>
        </w:tc>
        <w:tc>
          <w:tcPr>
            <w:tcW w:w="419" w:type="pct"/>
            <w:shd w:val="clear" w:color="auto" w:fill="auto"/>
            <w:noWrap w:val="0"/>
            <w:vAlign w:val="center"/>
          </w:tcPr>
          <w:p w14:paraId="00B223E5">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氨</w:t>
            </w:r>
          </w:p>
        </w:tc>
        <w:tc>
          <w:tcPr>
            <w:tcW w:w="889" w:type="pct"/>
            <w:shd w:val="clear" w:color="auto" w:fill="auto"/>
            <w:noWrap w:val="0"/>
            <w:vAlign w:val="center"/>
          </w:tcPr>
          <w:p w14:paraId="1B1F7A5D">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w:t>
            </w:r>
          </w:p>
        </w:tc>
        <w:tc>
          <w:tcPr>
            <w:tcW w:w="627" w:type="pct"/>
            <w:shd w:val="clear" w:color="auto" w:fill="auto"/>
            <w:noWrap w:val="0"/>
            <w:vAlign w:val="center"/>
          </w:tcPr>
          <w:p w14:paraId="75EC4846">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w:t>
            </w:r>
          </w:p>
        </w:tc>
        <w:tc>
          <w:tcPr>
            <w:tcW w:w="672" w:type="pct"/>
            <w:shd w:val="clear" w:color="auto" w:fill="auto"/>
            <w:noWrap w:val="0"/>
            <w:vAlign w:val="center"/>
          </w:tcPr>
          <w:p w14:paraId="4F276E6A">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w:t>
            </w:r>
          </w:p>
        </w:tc>
        <w:tc>
          <w:tcPr>
            <w:tcW w:w="710" w:type="pct"/>
            <w:shd w:val="clear" w:color="auto" w:fill="auto"/>
            <w:noWrap w:val="0"/>
            <w:vAlign w:val="center"/>
          </w:tcPr>
          <w:p w14:paraId="3518DE55">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0.018</w:t>
            </w:r>
          </w:p>
        </w:tc>
        <w:tc>
          <w:tcPr>
            <w:tcW w:w="786" w:type="pct"/>
            <w:shd w:val="clear" w:color="auto" w:fill="auto"/>
            <w:noWrap w:val="0"/>
            <w:vAlign w:val="center"/>
          </w:tcPr>
          <w:p w14:paraId="0687603B">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0.1570</w:t>
            </w:r>
          </w:p>
        </w:tc>
        <w:tc>
          <w:tcPr>
            <w:tcW w:w="415" w:type="pct"/>
            <w:shd w:val="clear" w:color="auto" w:fill="auto"/>
            <w:noWrap w:val="0"/>
            <w:vAlign w:val="center"/>
          </w:tcPr>
          <w:p w14:paraId="6DA8AE0E">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ascii="Times New Roman" w:hAnsi="Times New Roman"/>
              </w:rPr>
            </w:pPr>
            <w:r>
              <w:rPr>
                <w:rFonts w:ascii="Times New Roman" w:hAnsi="Times New Roman"/>
              </w:rPr>
              <w:t>8760</w:t>
            </w:r>
          </w:p>
        </w:tc>
      </w:tr>
    </w:tbl>
    <w:p w14:paraId="05A88976">
      <w:pPr>
        <w:pStyle w:val="10"/>
        <w:bidi w:val="0"/>
        <w:rPr>
          <w:rFonts w:hint="eastAsia"/>
          <w:lang w:val="en-US" w:eastAsia="zh-CN"/>
        </w:rPr>
      </w:pPr>
      <w:r>
        <w:t xml:space="preserve">表 </w:t>
      </w:r>
      <w:r>
        <w:fldChar w:fldCharType="begin"/>
      </w:r>
      <w:r>
        <w:instrText xml:space="preserve"> STYLEREF 2 \s </w:instrText>
      </w:r>
      <w:r>
        <w:fldChar w:fldCharType="separate"/>
      </w:r>
      <w:r>
        <w:t>3.4</w:t>
      </w:r>
      <w:r>
        <w:fldChar w:fldCharType="end"/>
      </w:r>
      <w:r>
        <w:rPr>
          <w:rFonts w:hint="eastAsia"/>
          <w:lang w:eastAsia="zh-CN"/>
        </w:rPr>
        <w:t>-</w:t>
      </w:r>
      <w:r>
        <w:fldChar w:fldCharType="begin"/>
      </w:r>
      <w:r>
        <w:instrText xml:space="preserve"> SEQ 表 \* ARABIC \s 2 </w:instrText>
      </w:r>
      <w:r>
        <w:fldChar w:fldCharType="separate"/>
      </w:r>
      <w:r>
        <w:t>5</w:t>
      </w:r>
      <w:r>
        <w:fldChar w:fldCharType="end"/>
      </w:r>
      <w:r>
        <w:rPr>
          <w:rFonts w:hint="eastAsia"/>
          <w:lang w:val="en-US" w:eastAsia="zh-CN"/>
        </w:rPr>
        <w:t xml:space="preserve"> 在建年产5000吨菌草生物质纤维产业化研发中试项目废气污染物排放情况一览表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4"/>
        <w:gridCol w:w="636"/>
        <w:gridCol w:w="486"/>
        <w:gridCol w:w="1216"/>
        <w:gridCol w:w="2153"/>
        <w:gridCol w:w="1036"/>
        <w:gridCol w:w="1220"/>
        <w:gridCol w:w="1262"/>
      </w:tblGrid>
      <w:tr w14:paraId="28AA2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09" w:type="pct"/>
            <w:vMerge w:val="restart"/>
            <w:shd w:val="clear" w:color="auto" w:fill="auto"/>
            <w:noWrap w:val="0"/>
            <w:vAlign w:val="center"/>
          </w:tcPr>
          <w:p w14:paraId="1D62A463">
            <w:pPr>
              <w:pStyle w:val="182"/>
              <w:rPr>
                <w:b/>
                <w:bCs/>
                <w:color w:val="auto"/>
              </w:rPr>
            </w:pPr>
            <w:r>
              <w:rPr>
                <w:b/>
                <w:bCs/>
                <w:color w:val="auto"/>
              </w:rPr>
              <w:t>位置</w:t>
            </w:r>
          </w:p>
        </w:tc>
        <w:tc>
          <w:tcPr>
            <w:tcW w:w="476" w:type="pct"/>
            <w:vMerge w:val="restart"/>
            <w:shd w:val="clear" w:color="auto" w:fill="auto"/>
            <w:noWrap w:val="0"/>
            <w:vAlign w:val="center"/>
          </w:tcPr>
          <w:p w14:paraId="2E0335F9">
            <w:pPr>
              <w:pStyle w:val="182"/>
              <w:rPr>
                <w:b/>
                <w:bCs/>
                <w:color w:val="auto"/>
              </w:rPr>
            </w:pPr>
            <w:r>
              <w:rPr>
                <w:b/>
                <w:bCs/>
                <w:color w:val="auto"/>
              </w:rPr>
              <w:t>产污环节</w:t>
            </w:r>
          </w:p>
        </w:tc>
        <w:tc>
          <w:tcPr>
            <w:tcW w:w="397" w:type="pct"/>
            <w:vMerge w:val="restart"/>
            <w:shd w:val="clear" w:color="auto" w:fill="auto"/>
            <w:noWrap w:val="0"/>
            <w:vAlign w:val="center"/>
          </w:tcPr>
          <w:p w14:paraId="48AFCF91">
            <w:pPr>
              <w:pStyle w:val="182"/>
              <w:rPr>
                <w:b/>
                <w:bCs/>
                <w:color w:val="auto"/>
              </w:rPr>
            </w:pPr>
            <w:r>
              <w:rPr>
                <w:b/>
                <w:bCs/>
                <w:color w:val="auto"/>
              </w:rPr>
              <w:t>污染物</w:t>
            </w:r>
          </w:p>
        </w:tc>
        <w:tc>
          <w:tcPr>
            <w:tcW w:w="821" w:type="pct"/>
            <w:vMerge w:val="restart"/>
            <w:shd w:val="clear" w:color="auto" w:fill="auto"/>
            <w:noWrap w:val="0"/>
            <w:vAlign w:val="center"/>
          </w:tcPr>
          <w:p w14:paraId="4D5B768E">
            <w:pPr>
              <w:pStyle w:val="182"/>
              <w:rPr>
                <w:b/>
                <w:bCs/>
                <w:color w:val="auto"/>
              </w:rPr>
            </w:pPr>
            <w:r>
              <w:rPr>
                <w:b/>
                <w:bCs/>
                <w:color w:val="auto"/>
              </w:rPr>
              <w:t>主要污染防治措施</w:t>
            </w:r>
          </w:p>
        </w:tc>
        <w:tc>
          <w:tcPr>
            <w:tcW w:w="2402" w:type="pct"/>
            <w:gridSpan w:val="3"/>
            <w:shd w:val="clear" w:color="auto" w:fill="auto"/>
            <w:noWrap w:val="0"/>
            <w:vAlign w:val="center"/>
          </w:tcPr>
          <w:p w14:paraId="4FD4A64C">
            <w:pPr>
              <w:pStyle w:val="182"/>
              <w:rPr>
                <w:b/>
                <w:bCs/>
                <w:color w:val="auto"/>
              </w:rPr>
            </w:pPr>
            <w:r>
              <w:rPr>
                <w:b/>
                <w:bCs/>
                <w:color w:val="auto"/>
              </w:rPr>
              <w:t>国家或地方污染物排放标准</w:t>
            </w:r>
          </w:p>
        </w:tc>
        <w:tc>
          <w:tcPr>
            <w:tcW w:w="495" w:type="pct"/>
            <w:vMerge w:val="restart"/>
            <w:shd w:val="clear" w:color="auto" w:fill="auto"/>
            <w:noWrap w:val="0"/>
            <w:vAlign w:val="center"/>
          </w:tcPr>
          <w:p w14:paraId="56D01FF8">
            <w:pPr>
              <w:pStyle w:val="182"/>
              <w:rPr>
                <w:b/>
                <w:bCs/>
                <w:color w:val="auto"/>
              </w:rPr>
            </w:pPr>
            <w:r>
              <w:rPr>
                <w:b/>
                <w:bCs/>
                <w:color w:val="auto"/>
              </w:rPr>
              <w:t>年排放量</w:t>
            </w:r>
          </w:p>
        </w:tc>
      </w:tr>
      <w:tr w14:paraId="5CC37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09" w:type="pct"/>
            <w:vMerge w:val="continue"/>
            <w:shd w:val="clear" w:color="auto" w:fill="auto"/>
            <w:noWrap w:val="0"/>
            <w:vAlign w:val="center"/>
          </w:tcPr>
          <w:p w14:paraId="1E6CEF45">
            <w:pPr>
              <w:pStyle w:val="182"/>
              <w:rPr>
                <w:bCs/>
                <w:color w:val="auto"/>
              </w:rPr>
            </w:pPr>
          </w:p>
        </w:tc>
        <w:tc>
          <w:tcPr>
            <w:tcW w:w="476" w:type="pct"/>
            <w:vMerge w:val="continue"/>
            <w:shd w:val="clear" w:color="auto" w:fill="auto"/>
            <w:noWrap w:val="0"/>
            <w:vAlign w:val="center"/>
          </w:tcPr>
          <w:p w14:paraId="24EDA59E">
            <w:pPr>
              <w:pStyle w:val="182"/>
              <w:rPr>
                <w:bCs/>
                <w:color w:val="auto"/>
              </w:rPr>
            </w:pPr>
          </w:p>
        </w:tc>
        <w:tc>
          <w:tcPr>
            <w:tcW w:w="397" w:type="pct"/>
            <w:vMerge w:val="continue"/>
            <w:shd w:val="clear" w:color="auto" w:fill="auto"/>
            <w:noWrap w:val="0"/>
            <w:vAlign w:val="center"/>
          </w:tcPr>
          <w:p w14:paraId="0B36B404">
            <w:pPr>
              <w:pStyle w:val="182"/>
              <w:rPr>
                <w:bCs/>
                <w:color w:val="auto"/>
              </w:rPr>
            </w:pPr>
          </w:p>
        </w:tc>
        <w:tc>
          <w:tcPr>
            <w:tcW w:w="821" w:type="pct"/>
            <w:vMerge w:val="continue"/>
            <w:shd w:val="clear" w:color="auto" w:fill="auto"/>
            <w:noWrap w:val="0"/>
            <w:vAlign w:val="center"/>
          </w:tcPr>
          <w:p w14:paraId="4F6C157B">
            <w:pPr>
              <w:pStyle w:val="182"/>
              <w:rPr>
                <w:bCs/>
                <w:color w:val="auto"/>
              </w:rPr>
            </w:pPr>
          </w:p>
        </w:tc>
        <w:tc>
          <w:tcPr>
            <w:tcW w:w="1111" w:type="pct"/>
            <w:shd w:val="clear" w:color="auto" w:fill="auto"/>
            <w:noWrap w:val="0"/>
            <w:vAlign w:val="center"/>
          </w:tcPr>
          <w:p w14:paraId="58029412">
            <w:pPr>
              <w:pStyle w:val="182"/>
              <w:rPr>
                <w:b/>
                <w:bCs/>
                <w:color w:val="auto"/>
              </w:rPr>
            </w:pPr>
            <w:r>
              <w:rPr>
                <w:b/>
                <w:bCs/>
                <w:color w:val="auto"/>
              </w:rPr>
              <w:t>标准名称</w:t>
            </w:r>
          </w:p>
        </w:tc>
        <w:tc>
          <w:tcPr>
            <w:tcW w:w="618" w:type="pct"/>
            <w:shd w:val="clear" w:color="auto" w:fill="auto"/>
            <w:noWrap w:val="0"/>
            <w:vAlign w:val="center"/>
          </w:tcPr>
          <w:p w14:paraId="7A4B8D2C">
            <w:pPr>
              <w:pStyle w:val="182"/>
              <w:rPr>
                <w:b/>
                <w:bCs/>
                <w:color w:val="auto"/>
              </w:rPr>
            </w:pPr>
            <w:r>
              <w:rPr>
                <w:rFonts w:hint="eastAsia"/>
                <w:b/>
                <w:bCs/>
                <w:color w:val="auto"/>
              </w:rPr>
              <w:t>排放速率（kg/h）</w:t>
            </w:r>
          </w:p>
        </w:tc>
        <w:tc>
          <w:tcPr>
            <w:tcW w:w="673" w:type="pct"/>
            <w:shd w:val="clear" w:color="auto" w:fill="auto"/>
            <w:noWrap w:val="0"/>
            <w:vAlign w:val="center"/>
          </w:tcPr>
          <w:p w14:paraId="03B0FE24">
            <w:pPr>
              <w:pStyle w:val="182"/>
              <w:rPr>
                <w:b/>
                <w:bCs/>
                <w:color w:val="auto"/>
              </w:rPr>
            </w:pPr>
            <w:r>
              <w:rPr>
                <w:b/>
                <w:bCs/>
                <w:color w:val="auto"/>
              </w:rPr>
              <w:t>浓度</w:t>
            </w:r>
            <w:r>
              <w:rPr>
                <w:rFonts w:hint="eastAsia"/>
                <w:b/>
                <w:bCs/>
                <w:color w:val="auto"/>
              </w:rPr>
              <w:t>限值</w:t>
            </w:r>
            <w:r>
              <w:rPr>
                <w:b/>
                <w:bCs/>
                <w:color w:val="auto"/>
              </w:rPr>
              <w:t>（mg/m</w:t>
            </w:r>
            <w:r>
              <w:rPr>
                <w:b/>
                <w:bCs/>
                <w:color w:val="auto"/>
                <w:vertAlign w:val="superscript"/>
              </w:rPr>
              <w:t>3</w:t>
            </w:r>
            <w:r>
              <w:rPr>
                <w:b/>
                <w:bCs/>
                <w:color w:val="auto"/>
              </w:rPr>
              <w:t>）</w:t>
            </w:r>
          </w:p>
        </w:tc>
        <w:tc>
          <w:tcPr>
            <w:tcW w:w="495" w:type="pct"/>
            <w:vMerge w:val="continue"/>
            <w:shd w:val="clear" w:color="auto" w:fill="auto"/>
            <w:noWrap w:val="0"/>
            <w:vAlign w:val="center"/>
          </w:tcPr>
          <w:p w14:paraId="6B7FBB08">
            <w:pPr>
              <w:pStyle w:val="182"/>
              <w:rPr>
                <w:b/>
                <w:bCs/>
                <w:color w:val="auto"/>
              </w:rPr>
            </w:pPr>
          </w:p>
        </w:tc>
      </w:tr>
      <w:tr w14:paraId="5B477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9" w:type="pct"/>
            <w:shd w:val="clear" w:color="auto" w:fill="auto"/>
            <w:noWrap w:val="0"/>
            <w:vAlign w:val="center"/>
          </w:tcPr>
          <w:p w14:paraId="0FAE07B0">
            <w:pPr>
              <w:pStyle w:val="182"/>
              <w:rPr>
                <w:bCs/>
                <w:color w:val="auto"/>
              </w:rPr>
            </w:pPr>
            <w:r>
              <w:rPr>
                <w:rFonts w:hint="eastAsia"/>
                <w:bCs/>
                <w:color w:val="auto"/>
              </w:rPr>
              <w:t>菌草堆料库</w:t>
            </w:r>
          </w:p>
        </w:tc>
        <w:tc>
          <w:tcPr>
            <w:tcW w:w="476" w:type="pct"/>
            <w:shd w:val="clear" w:color="auto" w:fill="auto"/>
            <w:noWrap w:val="0"/>
            <w:vAlign w:val="center"/>
          </w:tcPr>
          <w:p w14:paraId="4AB159F4">
            <w:pPr>
              <w:pStyle w:val="182"/>
              <w:rPr>
                <w:bCs/>
                <w:color w:val="auto"/>
              </w:rPr>
            </w:pPr>
            <w:r>
              <w:rPr>
                <w:bCs/>
                <w:color w:val="auto"/>
              </w:rPr>
              <w:t>装卸、存储</w:t>
            </w:r>
          </w:p>
        </w:tc>
        <w:tc>
          <w:tcPr>
            <w:tcW w:w="397" w:type="pct"/>
            <w:shd w:val="clear" w:color="auto" w:fill="auto"/>
            <w:noWrap w:val="0"/>
            <w:vAlign w:val="center"/>
          </w:tcPr>
          <w:p w14:paraId="61D1B84A">
            <w:pPr>
              <w:pStyle w:val="182"/>
              <w:rPr>
                <w:bCs/>
                <w:color w:val="auto"/>
              </w:rPr>
            </w:pPr>
            <w:r>
              <w:rPr>
                <w:rFonts w:hint="eastAsia"/>
                <w:bCs/>
                <w:color w:val="auto"/>
              </w:rPr>
              <w:t>无组织颗粒物</w:t>
            </w:r>
          </w:p>
        </w:tc>
        <w:tc>
          <w:tcPr>
            <w:tcW w:w="821" w:type="pct"/>
            <w:shd w:val="clear" w:color="auto" w:fill="auto"/>
            <w:noWrap w:val="0"/>
            <w:vAlign w:val="center"/>
          </w:tcPr>
          <w:p w14:paraId="4DFE7ECA">
            <w:pPr>
              <w:pStyle w:val="182"/>
              <w:rPr>
                <w:bCs/>
                <w:color w:val="auto"/>
              </w:rPr>
            </w:pPr>
            <w:r>
              <w:rPr>
                <w:bCs/>
                <w:color w:val="auto"/>
              </w:rPr>
              <w:t>全封闭式原料库，</w:t>
            </w:r>
            <w:r>
              <w:rPr>
                <w:rFonts w:hint="eastAsia"/>
                <w:bCs/>
                <w:color w:val="auto"/>
              </w:rPr>
              <w:t>设置</w:t>
            </w:r>
            <w:r>
              <w:rPr>
                <w:bCs/>
                <w:color w:val="auto"/>
              </w:rPr>
              <w:t>雾化喷淋装置，地面硬化</w:t>
            </w:r>
          </w:p>
        </w:tc>
        <w:tc>
          <w:tcPr>
            <w:tcW w:w="1111" w:type="pct"/>
            <w:vMerge w:val="restart"/>
            <w:shd w:val="clear" w:color="auto" w:fill="auto"/>
            <w:noWrap w:val="0"/>
            <w:vAlign w:val="center"/>
          </w:tcPr>
          <w:p w14:paraId="172160DA">
            <w:pPr>
              <w:pStyle w:val="182"/>
              <w:rPr>
                <w:bCs/>
                <w:color w:val="auto"/>
              </w:rPr>
            </w:pPr>
            <w:r>
              <w:rPr>
                <w:bCs/>
                <w:color w:val="auto"/>
              </w:rPr>
              <w:t>《大气污染物综合排放标准》（GB16297-1996）</w:t>
            </w:r>
            <w:r>
              <w:rPr>
                <w:rFonts w:hint="eastAsia"/>
                <w:bCs/>
                <w:color w:val="auto"/>
              </w:rPr>
              <w:t>；</w:t>
            </w:r>
            <w:r>
              <w:rPr>
                <w:bCs/>
                <w:color w:val="auto"/>
              </w:rPr>
              <w:t>《新乡市生态环境局关于进一步规范工业企业颗粒物排放限值的通知》</w:t>
            </w:r>
          </w:p>
          <w:p w14:paraId="57BF060E">
            <w:pPr>
              <w:pStyle w:val="182"/>
              <w:rPr>
                <w:bCs/>
                <w:color w:val="auto"/>
              </w:rPr>
            </w:pPr>
          </w:p>
        </w:tc>
        <w:tc>
          <w:tcPr>
            <w:tcW w:w="618" w:type="pct"/>
            <w:shd w:val="clear" w:color="auto" w:fill="auto"/>
            <w:noWrap w:val="0"/>
            <w:vAlign w:val="center"/>
          </w:tcPr>
          <w:p w14:paraId="684E83FE">
            <w:pPr>
              <w:pStyle w:val="182"/>
              <w:rPr>
                <w:bCs/>
                <w:color w:val="auto"/>
              </w:rPr>
            </w:pPr>
            <w:r>
              <w:rPr>
                <w:rFonts w:hint="eastAsia"/>
                <w:bCs/>
                <w:color w:val="auto"/>
              </w:rPr>
              <w:t>/</w:t>
            </w:r>
          </w:p>
        </w:tc>
        <w:tc>
          <w:tcPr>
            <w:tcW w:w="673" w:type="pct"/>
            <w:shd w:val="clear" w:color="auto" w:fill="auto"/>
            <w:noWrap w:val="0"/>
            <w:vAlign w:val="center"/>
          </w:tcPr>
          <w:p w14:paraId="4F0E19B5">
            <w:pPr>
              <w:pStyle w:val="182"/>
              <w:rPr>
                <w:bCs/>
                <w:color w:val="auto"/>
              </w:rPr>
            </w:pPr>
            <w:r>
              <w:rPr>
                <w:bCs/>
                <w:color w:val="auto"/>
              </w:rPr>
              <w:t>1.0</w:t>
            </w:r>
          </w:p>
        </w:tc>
        <w:tc>
          <w:tcPr>
            <w:tcW w:w="495" w:type="pct"/>
            <w:shd w:val="clear" w:color="auto" w:fill="auto"/>
            <w:noWrap w:val="0"/>
            <w:vAlign w:val="center"/>
          </w:tcPr>
          <w:p w14:paraId="000CC90A">
            <w:pPr>
              <w:pStyle w:val="182"/>
              <w:rPr>
                <w:bCs/>
                <w:color w:val="auto"/>
              </w:rPr>
            </w:pPr>
            <w:r>
              <w:rPr>
                <w:rFonts w:hint="eastAsia"/>
                <w:bCs/>
                <w:color w:val="auto"/>
              </w:rPr>
              <w:t>0.1t/a</w:t>
            </w:r>
          </w:p>
        </w:tc>
      </w:tr>
      <w:tr w14:paraId="5A0AE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1" w:hRule="atLeast"/>
          <w:jc w:val="center"/>
        </w:trPr>
        <w:tc>
          <w:tcPr>
            <w:tcW w:w="409" w:type="pct"/>
            <w:shd w:val="clear" w:color="auto" w:fill="auto"/>
            <w:noWrap w:val="0"/>
            <w:vAlign w:val="center"/>
          </w:tcPr>
          <w:p w14:paraId="6D1F48E8">
            <w:pPr>
              <w:pStyle w:val="182"/>
              <w:rPr>
                <w:bCs/>
                <w:color w:val="auto"/>
              </w:rPr>
            </w:pPr>
            <w:r>
              <w:rPr>
                <w:rFonts w:hint="eastAsia"/>
                <w:bCs/>
                <w:color w:val="auto"/>
              </w:rPr>
              <w:t>酸站</w:t>
            </w:r>
          </w:p>
        </w:tc>
        <w:tc>
          <w:tcPr>
            <w:tcW w:w="476" w:type="pct"/>
            <w:shd w:val="clear" w:color="auto" w:fill="auto"/>
            <w:noWrap w:val="0"/>
            <w:vAlign w:val="center"/>
          </w:tcPr>
          <w:p w14:paraId="28638B3F">
            <w:pPr>
              <w:pStyle w:val="182"/>
              <w:rPr>
                <w:bCs/>
                <w:color w:val="auto"/>
              </w:rPr>
            </w:pPr>
            <w:r>
              <w:rPr>
                <w:rFonts w:hint="eastAsia"/>
                <w:bCs/>
                <w:color w:val="auto"/>
              </w:rPr>
              <w:t>大呼吸</w:t>
            </w:r>
          </w:p>
        </w:tc>
        <w:tc>
          <w:tcPr>
            <w:tcW w:w="397" w:type="pct"/>
            <w:shd w:val="clear" w:color="auto" w:fill="auto"/>
            <w:noWrap w:val="0"/>
            <w:vAlign w:val="center"/>
          </w:tcPr>
          <w:p w14:paraId="1926CDBE">
            <w:pPr>
              <w:pStyle w:val="182"/>
              <w:rPr>
                <w:bCs/>
                <w:color w:val="auto"/>
              </w:rPr>
            </w:pPr>
            <w:r>
              <w:rPr>
                <w:rFonts w:hint="eastAsia"/>
                <w:bCs/>
                <w:color w:val="auto"/>
              </w:rPr>
              <w:t>硫酸雾</w:t>
            </w:r>
          </w:p>
        </w:tc>
        <w:tc>
          <w:tcPr>
            <w:tcW w:w="821" w:type="pct"/>
            <w:shd w:val="clear" w:color="auto" w:fill="auto"/>
            <w:noWrap w:val="0"/>
            <w:vAlign w:val="center"/>
          </w:tcPr>
          <w:p w14:paraId="15E1BF07">
            <w:pPr>
              <w:pStyle w:val="182"/>
              <w:rPr>
                <w:bCs/>
                <w:color w:val="auto"/>
              </w:rPr>
            </w:pPr>
            <w:r>
              <w:rPr>
                <w:rFonts w:hint="eastAsia"/>
                <w:bCs/>
                <w:color w:val="auto"/>
              </w:rPr>
              <w:t>依托酸站处理设施（NaCO</w:t>
            </w:r>
            <w:r>
              <w:rPr>
                <w:rFonts w:hint="eastAsia"/>
                <w:bCs/>
                <w:color w:val="auto"/>
                <w:vertAlign w:val="subscript"/>
              </w:rPr>
              <w:t>3</w:t>
            </w:r>
            <w:r>
              <w:rPr>
                <w:rFonts w:hint="eastAsia"/>
                <w:bCs/>
                <w:color w:val="auto"/>
              </w:rPr>
              <w:t>喷淋装置+活性炭吸附处理）</w:t>
            </w:r>
          </w:p>
        </w:tc>
        <w:tc>
          <w:tcPr>
            <w:tcW w:w="1111" w:type="pct"/>
            <w:vMerge w:val="continue"/>
            <w:shd w:val="clear" w:color="auto" w:fill="auto"/>
            <w:noWrap w:val="0"/>
            <w:vAlign w:val="center"/>
          </w:tcPr>
          <w:p w14:paraId="4B5D9623">
            <w:pPr>
              <w:pStyle w:val="182"/>
              <w:rPr>
                <w:bCs/>
                <w:color w:val="auto"/>
              </w:rPr>
            </w:pPr>
          </w:p>
        </w:tc>
        <w:tc>
          <w:tcPr>
            <w:tcW w:w="618" w:type="pct"/>
            <w:shd w:val="clear" w:color="auto" w:fill="auto"/>
            <w:noWrap w:val="0"/>
            <w:vAlign w:val="center"/>
          </w:tcPr>
          <w:p w14:paraId="49D8D4FF">
            <w:pPr>
              <w:pStyle w:val="182"/>
              <w:rPr>
                <w:bCs/>
                <w:color w:val="auto"/>
              </w:rPr>
            </w:pPr>
            <w:r>
              <w:rPr>
                <w:rFonts w:hint="eastAsia"/>
                <w:bCs/>
                <w:color w:val="auto"/>
              </w:rPr>
              <w:t>/</w:t>
            </w:r>
          </w:p>
        </w:tc>
        <w:tc>
          <w:tcPr>
            <w:tcW w:w="673" w:type="pct"/>
            <w:shd w:val="clear" w:color="auto" w:fill="auto"/>
            <w:noWrap w:val="0"/>
            <w:vAlign w:val="center"/>
          </w:tcPr>
          <w:p w14:paraId="0A0B6C9A">
            <w:pPr>
              <w:pStyle w:val="182"/>
              <w:rPr>
                <w:bCs/>
                <w:color w:val="auto"/>
              </w:rPr>
            </w:pPr>
            <w:r>
              <w:rPr>
                <w:rFonts w:hint="eastAsia"/>
                <w:bCs/>
                <w:color w:val="auto"/>
              </w:rPr>
              <w:t>1.2</w:t>
            </w:r>
          </w:p>
        </w:tc>
        <w:tc>
          <w:tcPr>
            <w:tcW w:w="495" w:type="pct"/>
            <w:shd w:val="clear" w:color="auto" w:fill="auto"/>
            <w:noWrap w:val="0"/>
            <w:vAlign w:val="center"/>
          </w:tcPr>
          <w:p w14:paraId="778B7A5D">
            <w:pPr>
              <w:pStyle w:val="182"/>
              <w:rPr>
                <w:bCs/>
                <w:color w:val="auto"/>
              </w:rPr>
            </w:pPr>
            <w:r>
              <w:rPr>
                <w:rFonts w:hint="eastAsia"/>
                <w:bCs/>
                <w:color w:val="auto"/>
              </w:rPr>
              <w:t>0.00061kg/a</w:t>
            </w:r>
          </w:p>
        </w:tc>
      </w:tr>
      <w:tr w14:paraId="1D7B7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9" w:type="pct"/>
            <w:shd w:val="clear" w:color="auto" w:fill="auto"/>
            <w:noWrap w:val="0"/>
            <w:vAlign w:val="center"/>
          </w:tcPr>
          <w:p w14:paraId="79B3D425">
            <w:pPr>
              <w:pStyle w:val="182"/>
              <w:rPr>
                <w:bCs/>
                <w:color w:val="auto"/>
              </w:rPr>
            </w:pPr>
            <w:r>
              <w:rPr>
                <w:rFonts w:hint="eastAsia"/>
                <w:bCs/>
                <w:color w:val="auto"/>
              </w:rPr>
              <w:t>木质素混合物烘干</w:t>
            </w:r>
          </w:p>
        </w:tc>
        <w:tc>
          <w:tcPr>
            <w:tcW w:w="476" w:type="pct"/>
            <w:shd w:val="clear" w:color="auto" w:fill="auto"/>
            <w:noWrap w:val="0"/>
            <w:vAlign w:val="center"/>
          </w:tcPr>
          <w:p w14:paraId="7D3D1BC9">
            <w:pPr>
              <w:pStyle w:val="182"/>
              <w:rPr>
                <w:bCs/>
                <w:color w:val="auto"/>
              </w:rPr>
            </w:pPr>
            <w:r>
              <w:rPr>
                <w:rFonts w:hint="eastAsia"/>
                <w:bCs/>
                <w:color w:val="auto"/>
              </w:rPr>
              <w:t>干燥废气</w:t>
            </w:r>
          </w:p>
        </w:tc>
        <w:tc>
          <w:tcPr>
            <w:tcW w:w="397" w:type="pct"/>
            <w:shd w:val="clear" w:color="auto" w:fill="auto"/>
            <w:noWrap w:val="0"/>
            <w:vAlign w:val="center"/>
          </w:tcPr>
          <w:p w14:paraId="49AA1EFD">
            <w:pPr>
              <w:pStyle w:val="182"/>
              <w:rPr>
                <w:bCs/>
                <w:color w:val="auto"/>
              </w:rPr>
            </w:pPr>
            <w:r>
              <w:rPr>
                <w:rFonts w:hint="eastAsia"/>
                <w:bCs/>
                <w:color w:val="auto"/>
              </w:rPr>
              <w:t>有组织颗粒物</w:t>
            </w:r>
          </w:p>
        </w:tc>
        <w:tc>
          <w:tcPr>
            <w:tcW w:w="821" w:type="pct"/>
            <w:shd w:val="clear" w:color="auto" w:fill="auto"/>
            <w:noWrap w:val="0"/>
            <w:vAlign w:val="center"/>
          </w:tcPr>
          <w:p w14:paraId="37D81B1B">
            <w:pPr>
              <w:pStyle w:val="182"/>
              <w:rPr>
                <w:bCs/>
                <w:color w:val="auto"/>
              </w:rPr>
            </w:pPr>
            <w:r>
              <w:rPr>
                <w:rFonts w:hint="eastAsia"/>
                <w:bCs/>
                <w:color w:val="auto"/>
              </w:rPr>
              <w:t>袋式除尘、洒水降尘</w:t>
            </w:r>
          </w:p>
        </w:tc>
        <w:tc>
          <w:tcPr>
            <w:tcW w:w="1111" w:type="pct"/>
            <w:vMerge w:val="continue"/>
            <w:shd w:val="clear" w:color="auto" w:fill="auto"/>
            <w:noWrap w:val="0"/>
            <w:vAlign w:val="center"/>
          </w:tcPr>
          <w:p w14:paraId="4DC458CE">
            <w:pPr>
              <w:pStyle w:val="182"/>
              <w:rPr>
                <w:bCs/>
                <w:color w:val="auto"/>
              </w:rPr>
            </w:pPr>
          </w:p>
        </w:tc>
        <w:tc>
          <w:tcPr>
            <w:tcW w:w="618" w:type="pct"/>
            <w:shd w:val="clear" w:color="auto" w:fill="auto"/>
            <w:noWrap w:val="0"/>
            <w:vAlign w:val="center"/>
          </w:tcPr>
          <w:p w14:paraId="2F4765F6">
            <w:pPr>
              <w:pStyle w:val="182"/>
              <w:rPr>
                <w:bCs/>
                <w:color w:val="auto"/>
              </w:rPr>
            </w:pPr>
            <w:r>
              <w:rPr>
                <w:rFonts w:hint="eastAsia"/>
                <w:bCs/>
                <w:color w:val="auto"/>
              </w:rPr>
              <w:t>3.5（15m）</w:t>
            </w:r>
          </w:p>
        </w:tc>
        <w:tc>
          <w:tcPr>
            <w:tcW w:w="673" w:type="pct"/>
            <w:shd w:val="clear" w:color="auto" w:fill="auto"/>
            <w:noWrap w:val="0"/>
            <w:vAlign w:val="center"/>
          </w:tcPr>
          <w:p w14:paraId="16E0F3F5">
            <w:pPr>
              <w:pStyle w:val="182"/>
              <w:rPr>
                <w:bCs/>
                <w:color w:val="auto"/>
              </w:rPr>
            </w:pPr>
            <w:r>
              <w:rPr>
                <w:rFonts w:hint="eastAsia"/>
                <w:bCs/>
                <w:color w:val="auto"/>
              </w:rPr>
              <w:t>10</w:t>
            </w:r>
          </w:p>
        </w:tc>
        <w:tc>
          <w:tcPr>
            <w:tcW w:w="495" w:type="pct"/>
            <w:shd w:val="clear" w:color="auto" w:fill="auto"/>
            <w:noWrap w:val="0"/>
            <w:vAlign w:val="center"/>
          </w:tcPr>
          <w:p w14:paraId="1651AFDB">
            <w:pPr>
              <w:pStyle w:val="182"/>
              <w:rPr>
                <w:bCs/>
                <w:color w:val="auto"/>
              </w:rPr>
            </w:pPr>
            <w:r>
              <w:rPr>
                <w:rFonts w:hint="eastAsia"/>
                <w:bCs/>
                <w:color w:val="auto"/>
              </w:rPr>
              <w:t>0.706</w:t>
            </w:r>
            <w:r>
              <w:rPr>
                <w:bCs/>
                <w:color w:val="auto"/>
              </w:rPr>
              <w:t>t/a</w:t>
            </w:r>
          </w:p>
        </w:tc>
      </w:tr>
      <w:tr w14:paraId="58B8C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9" w:type="pct"/>
            <w:shd w:val="clear" w:color="auto" w:fill="auto"/>
            <w:noWrap w:val="0"/>
            <w:vAlign w:val="center"/>
          </w:tcPr>
          <w:p w14:paraId="022FEF0A">
            <w:pPr>
              <w:pStyle w:val="182"/>
              <w:rPr>
                <w:bCs/>
                <w:color w:val="auto"/>
              </w:rPr>
            </w:pPr>
            <w:r>
              <w:rPr>
                <w:rFonts w:hint="eastAsia"/>
                <w:bCs/>
                <w:color w:val="auto"/>
              </w:rPr>
              <w:t>木质素混合物烘干</w:t>
            </w:r>
          </w:p>
        </w:tc>
        <w:tc>
          <w:tcPr>
            <w:tcW w:w="476" w:type="pct"/>
            <w:shd w:val="clear" w:color="auto" w:fill="auto"/>
            <w:noWrap w:val="0"/>
            <w:vAlign w:val="center"/>
          </w:tcPr>
          <w:p w14:paraId="26DBBD2E">
            <w:pPr>
              <w:pStyle w:val="182"/>
              <w:rPr>
                <w:bCs/>
                <w:color w:val="auto"/>
              </w:rPr>
            </w:pPr>
            <w:r>
              <w:rPr>
                <w:rFonts w:hint="eastAsia"/>
                <w:bCs/>
                <w:color w:val="auto"/>
              </w:rPr>
              <w:t>收集、分装</w:t>
            </w:r>
          </w:p>
        </w:tc>
        <w:tc>
          <w:tcPr>
            <w:tcW w:w="397" w:type="pct"/>
            <w:shd w:val="clear" w:color="auto" w:fill="auto"/>
            <w:noWrap w:val="0"/>
            <w:vAlign w:val="center"/>
          </w:tcPr>
          <w:p w14:paraId="38F62A60">
            <w:pPr>
              <w:pStyle w:val="182"/>
              <w:rPr>
                <w:bCs/>
                <w:color w:val="auto"/>
              </w:rPr>
            </w:pPr>
            <w:r>
              <w:rPr>
                <w:rFonts w:hint="eastAsia"/>
                <w:bCs/>
                <w:color w:val="auto"/>
              </w:rPr>
              <w:t>无组织颗粒物</w:t>
            </w:r>
          </w:p>
        </w:tc>
        <w:tc>
          <w:tcPr>
            <w:tcW w:w="821" w:type="pct"/>
            <w:shd w:val="clear" w:color="auto" w:fill="auto"/>
            <w:noWrap w:val="0"/>
            <w:vAlign w:val="center"/>
          </w:tcPr>
          <w:p w14:paraId="6B084190">
            <w:pPr>
              <w:pStyle w:val="182"/>
              <w:rPr>
                <w:bCs/>
                <w:color w:val="auto"/>
              </w:rPr>
            </w:pPr>
            <w:r>
              <w:rPr>
                <w:rFonts w:hint="eastAsia"/>
                <w:bCs/>
                <w:color w:val="auto"/>
              </w:rPr>
              <w:t>封闭车间，地面硬化</w:t>
            </w:r>
          </w:p>
        </w:tc>
        <w:tc>
          <w:tcPr>
            <w:tcW w:w="1111" w:type="pct"/>
            <w:vMerge w:val="continue"/>
            <w:shd w:val="clear" w:color="auto" w:fill="auto"/>
            <w:noWrap w:val="0"/>
            <w:vAlign w:val="center"/>
          </w:tcPr>
          <w:p w14:paraId="31087997">
            <w:pPr>
              <w:pStyle w:val="182"/>
              <w:rPr>
                <w:bCs/>
                <w:color w:val="auto"/>
              </w:rPr>
            </w:pPr>
          </w:p>
        </w:tc>
        <w:tc>
          <w:tcPr>
            <w:tcW w:w="618" w:type="pct"/>
            <w:shd w:val="clear" w:color="auto" w:fill="auto"/>
            <w:noWrap w:val="0"/>
            <w:vAlign w:val="center"/>
          </w:tcPr>
          <w:p w14:paraId="1A84A3A7">
            <w:pPr>
              <w:pStyle w:val="182"/>
              <w:rPr>
                <w:bCs/>
                <w:color w:val="auto"/>
              </w:rPr>
            </w:pPr>
            <w:r>
              <w:rPr>
                <w:rFonts w:hint="eastAsia"/>
                <w:bCs/>
                <w:color w:val="auto"/>
              </w:rPr>
              <w:t>/</w:t>
            </w:r>
          </w:p>
        </w:tc>
        <w:tc>
          <w:tcPr>
            <w:tcW w:w="673" w:type="pct"/>
            <w:shd w:val="clear" w:color="auto" w:fill="auto"/>
            <w:noWrap w:val="0"/>
            <w:vAlign w:val="center"/>
          </w:tcPr>
          <w:p w14:paraId="0C425FB6">
            <w:pPr>
              <w:pStyle w:val="182"/>
              <w:rPr>
                <w:bCs/>
                <w:color w:val="auto"/>
              </w:rPr>
            </w:pPr>
            <w:r>
              <w:rPr>
                <w:rFonts w:hint="eastAsia"/>
                <w:bCs/>
                <w:color w:val="auto"/>
              </w:rPr>
              <w:t>1.0</w:t>
            </w:r>
          </w:p>
        </w:tc>
        <w:tc>
          <w:tcPr>
            <w:tcW w:w="495" w:type="pct"/>
            <w:shd w:val="clear" w:color="auto" w:fill="auto"/>
            <w:noWrap w:val="0"/>
            <w:vAlign w:val="center"/>
          </w:tcPr>
          <w:p w14:paraId="7CC0DC02">
            <w:pPr>
              <w:pStyle w:val="182"/>
              <w:rPr>
                <w:bCs/>
                <w:color w:val="auto"/>
              </w:rPr>
            </w:pPr>
            <w:r>
              <w:rPr>
                <w:rFonts w:hint="eastAsia"/>
                <w:bCs/>
                <w:color w:val="auto"/>
              </w:rPr>
              <w:t>0.035</w:t>
            </w:r>
            <w:r>
              <w:rPr>
                <w:bCs/>
                <w:color w:val="auto"/>
              </w:rPr>
              <w:t>t/a</w:t>
            </w:r>
          </w:p>
        </w:tc>
      </w:tr>
    </w:tbl>
    <w:p w14:paraId="6C8A8063">
      <w:pPr>
        <w:pStyle w:val="10"/>
        <w:bidi w:val="0"/>
      </w:pPr>
      <w:r>
        <w:t xml:space="preserve">表 </w:t>
      </w:r>
      <w:r>
        <w:fldChar w:fldCharType="begin"/>
      </w:r>
      <w:r>
        <w:instrText xml:space="preserve"> STYLEREF 2 \s </w:instrText>
      </w:r>
      <w:r>
        <w:fldChar w:fldCharType="separate"/>
      </w:r>
      <w:r>
        <w:t>3.4</w:t>
      </w:r>
      <w:r>
        <w:fldChar w:fldCharType="end"/>
      </w:r>
      <w:r>
        <w:rPr>
          <w:rFonts w:hint="eastAsia"/>
          <w:lang w:eastAsia="zh-CN"/>
        </w:rPr>
        <w:t>-</w:t>
      </w:r>
      <w:r>
        <w:fldChar w:fldCharType="begin"/>
      </w:r>
      <w:r>
        <w:instrText xml:space="preserve"> SEQ 表 \* ARABIC \s 2 </w:instrText>
      </w:r>
      <w:r>
        <w:fldChar w:fldCharType="separate"/>
      </w:r>
      <w:r>
        <w:t>6</w:t>
      </w:r>
      <w:r>
        <w:fldChar w:fldCharType="end"/>
      </w:r>
      <w:r>
        <w:rPr>
          <w:rFonts w:hint="eastAsia"/>
          <w:lang w:val="en-US" w:eastAsia="zh-CN"/>
        </w:rPr>
        <w:t xml:space="preserve"> 拟建</w:t>
      </w:r>
      <w:r>
        <w:rPr>
          <w:rFonts w:hint="eastAsia"/>
          <w:color w:val="auto"/>
          <w:u w:val="none"/>
        </w:rPr>
        <w:t>离子液体法再生纤维素纤维（首赛尔纤维）项目</w:t>
      </w:r>
      <w:r>
        <w:rPr>
          <w:rFonts w:hint="eastAsia"/>
          <w:lang w:val="en-US" w:eastAsia="zh-CN"/>
        </w:rPr>
        <w:t>废气污染物排放情况一览表</w:t>
      </w:r>
    </w:p>
    <w:tbl>
      <w:tblPr>
        <w:tblStyle w:val="31"/>
        <w:tblW w:w="87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7"/>
        <w:gridCol w:w="1247"/>
        <w:gridCol w:w="1247"/>
        <w:gridCol w:w="1247"/>
        <w:gridCol w:w="1247"/>
        <w:gridCol w:w="1247"/>
        <w:gridCol w:w="1247"/>
      </w:tblGrid>
      <w:tr w14:paraId="69B5D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noWrap w:val="0"/>
            <w:vAlign w:val="center"/>
          </w:tcPr>
          <w:p w14:paraId="7388EA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产污环节</w:t>
            </w:r>
          </w:p>
        </w:tc>
        <w:tc>
          <w:tcPr>
            <w:tcW w:w="1247" w:type="dxa"/>
            <w:noWrap w:val="0"/>
            <w:vAlign w:val="center"/>
          </w:tcPr>
          <w:p w14:paraId="61EFA1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污染物</w:t>
            </w:r>
          </w:p>
        </w:tc>
        <w:tc>
          <w:tcPr>
            <w:tcW w:w="1247" w:type="dxa"/>
            <w:noWrap w:val="0"/>
            <w:vAlign w:val="center"/>
          </w:tcPr>
          <w:p w14:paraId="565E9E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rPr>
            </w:pPr>
            <w:r>
              <w:rPr>
                <w:rFonts w:hint="eastAsia"/>
              </w:rPr>
              <w:t>治理措施</w:t>
            </w:r>
          </w:p>
        </w:tc>
        <w:tc>
          <w:tcPr>
            <w:tcW w:w="1247" w:type="dxa"/>
            <w:noWrap w:val="0"/>
            <w:vAlign w:val="center"/>
          </w:tcPr>
          <w:p w14:paraId="0F0AB78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排放浓度mg/m</w:t>
            </w:r>
            <w:r>
              <w:rPr>
                <w:vertAlign w:val="superscript"/>
              </w:rPr>
              <w:t>3</w:t>
            </w:r>
          </w:p>
        </w:tc>
        <w:tc>
          <w:tcPr>
            <w:tcW w:w="1247" w:type="dxa"/>
            <w:noWrap w:val="0"/>
            <w:vAlign w:val="center"/>
          </w:tcPr>
          <w:p w14:paraId="3D566AC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排放速率kg/h</w:t>
            </w:r>
          </w:p>
        </w:tc>
        <w:tc>
          <w:tcPr>
            <w:tcW w:w="1247" w:type="dxa"/>
            <w:noWrap w:val="0"/>
            <w:vAlign w:val="center"/>
          </w:tcPr>
          <w:p w14:paraId="7BFE600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排放量t/a</w:t>
            </w:r>
          </w:p>
        </w:tc>
        <w:tc>
          <w:tcPr>
            <w:tcW w:w="1247" w:type="dxa"/>
            <w:noWrap w:val="0"/>
            <w:vAlign w:val="center"/>
          </w:tcPr>
          <w:p w14:paraId="4137929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eastAsia="宋体"/>
                <w:lang w:val="en-US" w:eastAsia="zh-CN"/>
              </w:rPr>
            </w:pPr>
            <w:r>
              <w:rPr>
                <w:rFonts w:hint="eastAsia" w:eastAsia="宋体"/>
                <w:lang w:val="en-US" w:eastAsia="zh-CN"/>
              </w:rPr>
              <w:t>排放时间</w:t>
            </w:r>
          </w:p>
        </w:tc>
      </w:tr>
      <w:tr w14:paraId="1D0F7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noWrap w:val="0"/>
            <w:vAlign w:val="center"/>
          </w:tcPr>
          <w:p w14:paraId="75B506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rPr>
            </w:pPr>
            <w:r>
              <w:t>切粕机</w:t>
            </w:r>
          </w:p>
        </w:tc>
        <w:tc>
          <w:tcPr>
            <w:tcW w:w="1247" w:type="dxa"/>
            <w:noWrap w:val="0"/>
            <w:vAlign w:val="center"/>
          </w:tcPr>
          <w:p w14:paraId="186992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rPr>
            </w:pPr>
            <w:r>
              <w:rPr>
                <w:rFonts w:hint="eastAsia"/>
              </w:rPr>
              <w:t>颗粒物</w:t>
            </w:r>
          </w:p>
        </w:tc>
        <w:tc>
          <w:tcPr>
            <w:tcW w:w="1247" w:type="dxa"/>
            <w:noWrap w:val="0"/>
            <w:vAlign w:val="center"/>
          </w:tcPr>
          <w:p w14:paraId="621D7E2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rPr>
            </w:pPr>
            <w:r>
              <w:rPr>
                <w:rFonts w:hint="eastAsia"/>
              </w:rPr>
              <w:t>脉冲袋式除尘器，</w:t>
            </w:r>
            <w:r>
              <w:t>风量5000m</w:t>
            </w:r>
            <w:r>
              <w:rPr>
                <w:vertAlign w:val="superscript"/>
              </w:rPr>
              <w:t>3</w:t>
            </w:r>
            <w:r>
              <w:rPr>
                <w:rFonts w:hint="eastAsia"/>
              </w:rPr>
              <w:t>，去除率≥</w:t>
            </w:r>
            <w:r>
              <w:t>99%</w:t>
            </w:r>
          </w:p>
        </w:tc>
        <w:tc>
          <w:tcPr>
            <w:tcW w:w="1247" w:type="dxa"/>
            <w:noWrap w:val="0"/>
            <w:vAlign w:val="center"/>
          </w:tcPr>
          <w:p w14:paraId="116D4D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bCs/>
              </w:rPr>
              <w:t>6.96</w:t>
            </w:r>
          </w:p>
        </w:tc>
        <w:tc>
          <w:tcPr>
            <w:tcW w:w="1247" w:type="dxa"/>
            <w:noWrap w:val="0"/>
            <w:vAlign w:val="center"/>
          </w:tcPr>
          <w:p w14:paraId="68B54DA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bCs/>
              </w:rPr>
              <w:t>0.0348</w:t>
            </w:r>
          </w:p>
        </w:tc>
        <w:tc>
          <w:tcPr>
            <w:tcW w:w="1247" w:type="dxa"/>
            <w:noWrap w:val="0"/>
            <w:vAlign w:val="center"/>
          </w:tcPr>
          <w:p w14:paraId="03EC49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Cs/>
              </w:rPr>
            </w:pPr>
            <w:r>
              <w:rPr>
                <w:rFonts w:hint="eastAsia"/>
                <w:bCs/>
              </w:rPr>
              <w:t>0.046</w:t>
            </w:r>
          </w:p>
        </w:tc>
        <w:tc>
          <w:tcPr>
            <w:tcW w:w="1247" w:type="dxa"/>
            <w:noWrap w:val="0"/>
            <w:vAlign w:val="center"/>
          </w:tcPr>
          <w:p w14:paraId="048B4B2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Cs/>
                <w:lang w:val="en-US" w:eastAsia="zh-CN"/>
              </w:rPr>
            </w:pPr>
            <w:r>
              <w:rPr>
                <w:rFonts w:hint="eastAsia" w:eastAsia="宋体"/>
                <w:bCs/>
                <w:lang w:val="en-US" w:eastAsia="zh-CN"/>
              </w:rPr>
              <w:t>1320h</w:t>
            </w:r>
          </w:p>
        </w:tc>
      </w:tr>
      <w:tr w14:paraId="6488B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noWrap w:val="0"/>
            <w:vAlign w:val="center"/>
          </w:tcPr>
          <w:p w14:paraId="18D867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lang w:val="en-US" w:eastAsia="zh-CN"/>
              </w:rPr>
              <w:t>上油干燥</w:t>
            </w:r>
          </w:p>
        </w:tc>
        <w:tc>
          <w:tcPr>
            <w:tcW w:w="1247" w:type="dxa"/>
            <w:noWrap w:val="0"/>
            <w:vAlign w:val="center"/>
          </w:tcPr>
          <w:p w14:paraId="6448C4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rPr>
            </w:pPr>
            <w:r>
              <w:rPr>
                <w:rFonts w:hint="eastAsia"/>
                <w:lang w:val="en-US" w:eastAsia="zh-CN"/>
              </w:rPr>
              <w:t>非甲烷总烃</w:t>
            </w:r>
          </w:p>
        </w:tc>
        <w:tc>
          <w:tcPr>
            <w:tcW w:w="1247" w:type="dxa"/>
            <w:noWrap w:val="0"/>
            <w:vAlign w:val="center"/>
          </w:tcPr>
          <w:p w14:paraId="16968A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rPr>
            </w:pPr>
            <w:r>
              <w:rPr>
                <w:rFonts w:hint="eastAsia"/>
                <w:lang w:val="en-US" w:eastAsia="zh-CN"/>
              </w:rPr>
              <w:t>活性炭吸附</w:t>
            </w:r>
            <w:r>
              <w:rPr>
                <w:rFonts w:hint="eastAsia"/>
              </w:rPr>
              <w:t>，</w:t>
            </w:r>
            <w:r>
              <w:t>风量</w:t>
            </w:r>
            <w:r>
              <w:rPr>
                <w:rFonts w:hint="eastAsia"/>
                <w:lang w:val="en-US" w:eastAsia="zh-CN"/>
              </w:rPr>
              <w:t>20000</w:t>
            </w:r>
            <w:r>
              <w:t>m</w:t>
            </w:r>
            <w:r>
              <w:rPr>
                <w:vertAlign w:val="superscript"/>
              </w:rPr>
              <w:t>3</w:t>
            </w:r>
            <w:r>
              <w:rPr>
                <w:rFonts w:hint="eastAsia"/>
              </w:rPr>
              <w:t>，去除率≥</w:t>
            </w:r>
            <w:r>
              <w:rPr>
                <w:rFonts w:hint="eastAsia"/>
                <w:lang w:val="en-US" w:eastAsia="zh-CN"/>
              </w:rPr>
              <w:t>85</w:t>
            </w:r>
            <w:r>
              <w:t>%</w:t>
            </w:r>
          </w:p>
        </w:tc>
        <w:tc>
          <w:tcPr>
            <w:tcW w:w="1247" w:type="dxa"/>
            <w:noWrap w:val="0"/>
            <w:vAlign w:val="center"/>
          </w:tcPr>
          <w:p w14:paraId="79BF650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Cs/>
              </w:rPr>
            </w:pPr>
            <w:r>
              <w:rPr>
                <w:rFonts w:hint="eastAsia" w:ascii="Times New Roman" w:hAnsi="Times New Roman" w:eastAsia="宋体" w:cs="Times New Roman"/>
                <w:lang w:val="en-US" w:eastAsia="zh-CN"/>
              </w:rPr>
              <w:t>0.525</w:t>
            </w:r>
          </w:p>
        </w:tc>
        <w:tc>
          <w:tcPr>
            <w:tcW w:w="1247" w:type="dxa"/>
            <w:noWrap w:val="0"/>
            <w:vAlign w:val="center"/>
          </w:tcPr>
          <w:p w14:paraId="6E3607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Cs/>
              </w:rPr>
            </w:pPr>
            <w:r>
              <w:rPr>
                <w:rFonts w:hint="eastAsia" w:ascii="Times New Roman" w:hAnsi="Times New Roman" w:eastAsia="宋体" w:cs="Times New Roman"/>
                <w:lang w:val="en-US" w:eastAsia="zh-CN"/>
              </w:rPr>
              <w:t>0.0105</w:t>
            </w:r>
          </w:p>
        </w:tc>
        <w:tc>
          <w:tcPr>
            <w:tcW w:w="1247" w:type="dxa"/>
            <w:noWrap w:val="0"/>
            <w:vAlign w:val="center"/>
          </w:tcPr>
          <w:p w14:paraId="16BE3EA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Cs/>
              </w:rPr>
            </w:pPr>
            <w:r>
              <w:rPr>
                <w:rFonts w:hint="eastAsia" w:ascii="Times New Roman" w:hAnsi="Times New Roman" w:eastAsia="宋体" w:cs="Times New Roman"/>
                <w:lang w:val="en-US" w:eastAsia="zh-CN"/>
              </w:rPr>
              <w:t>0.0832</w:t>
            </w:r>
          </w:p>
        </w:tc>
        <w:tc>
          <w:tcPr>
            <w:tcW w:w="1247" w:type="dxa"/>
            <w:noWrap w:val="0"/>
            <w:vAlign w:val="center"/>
          </w:tcPr>
          <w:p w14:paraId="584B77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lang w:val="en-US" w:eastAsia="zh-CN"/>
              </w:rPr>
            </w:pPr>
            <w:r>
              <w:rPr>
                <w:rFonts w:hint="eastAsia" w:eastAsia="宋体" w:cs="Times New Roman"/>
                <w:lang w:val="en-US" w:eastAsia="zh-CN"/>
              </w:rPr>
              <w:t>7920h</w:t>
            </w:r>
          </w:p>
        </w:tc>
      </w:tr>
    </w:tbl>
    <w:p w14:paraId="6548E34A">
      <w:pPr>
        <w:pStyle w:val="10"/>
        <w:bidi w:val="0"/>
      </w:pPr>
    </w:p>
    <w:p w14:paraId="0CEA6E6C">
      <w:pPr>
        <w:pStyle w:val="10"/>
        <w:bidi w:val="0"/>
        <w:rPr>
          <w:rFonts w:hint="eastAsia"/>
          <w:lang w:val="en-US" w:eastAsia="zh-CN"/>
        </w:rPr>
      </w:pPr>
      <w:r>
        <w:t xml:space="preserve">表 </w:t>
      </w:r>
      <w:r>
        <w:fldChar w:fldCharType="begin"/>
      </w:r>
      <w:r>
        <w:instrText xml:space="preserve"> STYLEREF 2 \s </w:instrText>
      </w:r>
      <w:r>
        <w:fldChar w:fldCharType="separate"/>
      </w:r>
      <w:r>
        <w:t>3.4</w:t>
      </w:r>
      <w:r>
        <w:fldChar w:fldCharType="end"/>
      </w:r>
      <w:r>
        <w:rPr>
          <w:rFonts w:hint="eastAsia"/>
          <w:lang w:eastAsia="zh-CN"/>
        </w:rPr>
        <w:t>-</w:t>
      </w:r>
      <w:r>
        <w:fldChar w:fldCharType="begin"/>
      </w:r>
      <w:r>
        <w:instrText xml:space="preserve"> SEQ 表 \* ARABIC \s 2 </w:instrText>
      </w:r>
      <w:r>
        <w:fldChar w:fldCharType="separate"/>
      </w:r>
      <w:r>
        <w:t>7</w:t>
      </w:r>
      <w:r>
        <w:fldChar w:fldCharType="end"/>
      </w:r>
      <w:r>
        <w:rPr>
          <w:rFonts w:hint="eastAsia"/>
          <w:lang w:val="en-US" w:eastAsia="zh-CN"/>
        </w:rPr>
        <w:t xml:space="preserve"> 新厂区在建及拟建工程废气排放汇总表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2461"/>
        <w:gridCol w:w="1740"/>
        <w:gridCol w:w="1800"/>
        <w:gridCol w:w="1799"/>
      </w:tblGrid>
      <w:tr w14:paraId="23590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blHeader/>
          <w:jc w:val="center"/>
        </w:trPr>
        <w:tc>
          <w:tcPr>
            <w:tcW w:w="2889" w:type="pct"/>
            <w:gridSpan w:val="3"/>
            <w:shd w:val="clear" w:color="auto" w:fill="auto"/>
            <w:noWrap w:val="0"/>
            <w:vAlign w:val="center"/>
          </w:tcPr>
          <w:p w14:paraId="58C06EED">
            <w:pPr>
              <w:pStyle w:val="182"/>
              <w:rPr>
                <w:b/>
              </w:rPr>
            </w:pPr>
            <w:r>
              <w:rPr>
                <w:b/>
              </w:rPr>
              <w:t>污染物</w:t>
            </w:r>
          </w:p>
        </w:tc>
        <w:tc>
          <w:tcPr>
            <w:tcW w:w="1056" w:type="pct"/>
            <w:shd w:val="clear" w:color="auto" w:fill="auto"/>
            <w:noWrap w:val="0"/>
            <w:vAlign w:val="center"/>
          </w:tcPr>
          <w:p w14:paraId="7B65B75B">
            <w:pPr>
              <w:pStyle w:val="182"/>
              <w:rPr>
                <w:b/>
              </w:rPr>
            </w:pPr>
            <w:r>
              <w:rPr>
                <w:rFonts w:hint="eastAsia"/>
                <w:b/>
              </w:rPr>
              <w:t>单位</w:t>
            </w:r>
          </w:p>
        </w:tc>
        <w:tc>
          <w:tcPr>
            <w:tcW w:w="1055" w:type="pct"/>
            <w:shd w:val="clear" w:color="auto" w:fill="auto"/>
            <w:noWrap w:val="0"/>
            <w:vAlign w:val="center"/>
          </w:tcPr>
          <w:p w14:paraId="684FB150">
            <w:pPr>
              <w:pStyle w:val="182"/>
              <w:rPr>
                <w:b/>
              </w:rPr>
            </w:pPr>
            <w:r>
              <w:rPr>
                <w:b/>
              </w:rPr>
              <w:t>在建</w:t>
            </w:r>
            <w:r>
              <w:rPr>
                <w:rFonts w:hint="eastAsia"/>
                <w:b/>
                <w:lang w:val="en-US" w:eastAsia="zh-CN"/>
              </w:rPr>
              <w:t>及拟建</w:t>
            </w:r>
            <w:r>
              <w:rPr>
                <w:b/>
              </w:rPr>
              <w:t>工程排放量</w:t>
            </w:r>
          </w:p>
        </w:tc>
      </w:tr>
      <w:tr w14:paraId="57C98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4" w:type="pct"/>
            <w:vMerge w:val="restart"/>
            <w:shd w:val="clear" w:color="auto" w:fill="auto"/>
            <w:noWrap w:val="0"/>
            <w:vAlign w:val="center"/>
          </w:tcPr>
          <w:p w14:paraId="42B55E3B">
            <w:pPr>
              <w:pStyle w:val="182"/>
            </w:pPr>
            <w:r>
              <w:t>废气</w:t>
            </w:r>
          </w:p>
        </w:tc>
        <w:tc>
          <w:tcPr>
            <w:tcW w:w="1444" w:type="pct"/>
            <w:vMerge w:val="restart"/>
            <w:shd w:val="clear" w:color="auto" w:fill="auto"/>
            <w:noWrap w:val="0"/>
            <w:vAlign w:val="center"/>
          </w:tcPr>
          <w:p w14:paraId="0312198A">
            <w:pPr>
              <w:pStyle w:val="182"/>
            </w:pPr>
            <w:r>
              <w:rPr>
                <w:rFonts w:hint="eastAsia"/>
              </w:rPr>
              <w:t>有组织废气</w:t>
            </w:r>
          </w:p>
        </w:tc>
        <w:tc>
          <w:tcPr>
            <w:tcW w:w="1021" w:type="pct"/>
            <w:shd w:val="clear" w:color="auto" w:fill="auto"/>
            <w:noWrap w:val="0"/>
            <w:vAlign w:val="center"/>
          </w:tcPr>
          <w:p w14:paraId="43012B32">
            <w:pPr>
              <w:pStyle w:val="182"/>
            </w:pPr>
            <w:r>
              <w:t>颗粒物</w:t>
            </w:r>
          </w:p>
        </w:tc>
        <w:tc>
          <w:tcPr>
            <w:tcW w:w="1056" w:type="pct"/>
            <w:shd w:val="clear" w:color="auto" w:fill="auto"/>
            <w:noWrap w:val="0"/>
            <w:vAlign w:val="center"/>
          </w:tcPr>
          <w:p w14:paraId="110A6499">
            <w:pPr>
              <w:pStyle w:val="182"/>
            </w:pPr>
            <w:r>
              <w:t>t/a</w:t>
            </w:r>
          </w:p>
        </w:tc>
        <w:tc>
          <w:tcPr>
            <w:tcW w:w="1055" w:type="pct"/>
            <w:shd w:val="clear" w:color="auto" w:fill="auto"/>
            <w:noWrap w:val="0"/>
            <w:vAlign w:val="center"/>
          </w:tcPr>
          <w:p w14:paraId="403F9C5F">
            <w:pPr>
              <w:pStyle w:val="182"/>
            </w:pPr>
            <w:r>
              <w:rPr>
                <w:rFonts w:hint="eastAsia"/>
              </w:rPr>
              <w:t>29.6</w:t>
            </w:r>
            <w:r>
              <w:rPr>
                <w:rFonts w:hint="eastAsia"/>
                <w:lang w:val="en-US" w:eastAsia="zh-CN"/>
              </w:rPr>
              <w:t>88</w:t>
            </w:r>
            <w:r>
              <w:rPr>
                <w:rFonts w:hint="eastAsia"/>
              </w:rPr>
              <w:t>2</w:t>
            </w:r>
          </w:p>
        </w:tc>
      </w:tr>
      <w:tr w14:paraId="08E41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4" w:type="pct"/>
            <w:vMerge w:val="continue"/>
            <w:shd w:val="clear" w:color="auto" w:fill="auto"/>
            <w:noWrap w:val="0"/>
            <w:vAlign w:val="center"/>
          </w:tcPr>
          <w:p w14:paraId="7C8F3AAF">
            <w:pPr>
              <w:pStyle w:val="182"/>
            </w:pPr>
          </w:p>
        </w:tc>
        <w:tc>
          <w:tcPr>
            <w:tcW w:w="1444" w:type="pct"/>
            <w:vMerge w:val="continue"/>
            <w:shd w:val="clear" w:color="auto" w:fill="auto"/>
            <w:noWrap w:val="0"/>
            <w:vAlign w:val="center"/>
          </w:tcPr>
          <w:p w14:paraId="66B6F0CE">
            <w:pPr>
              <w:pStyle w:val="182"/>
            </w:pPr>
          </w:p>
        </w:tc>
        <w:tc>
          <w:tcPr>
            <w:tcW w:w="1021" w:type="pct"/>
            <w:shd w:val="clear" w:color="auto" w:fill="auto"/>
            <w:noWrap w:val="0"/>
            <w:vAlign w:val="center"/>
          </w:tcPr>
          <w:p w14:paraId="626615B3">
            <w:pPr>
              <w:pStyle w:val="182"/>
            </w:pPr>
            <w:r>
              <w:t>SO</w:t>
            </w:r>
            <w:r>
              <w:rPr>
                <w:vertAlign w:val="subscript"/>
              </w:rPr>
              <w:t>2</w:t>
            </w:r>
          </w:p>
        </w:tc>
        <w:tc>
          <w:tcPr>
            <w:tcW w:w="1056" w:type="pct"/>
            <w:shd w:val="clear" w:color="auto" w:fill="auto"/>
            <w:noWrap w:val="0"/>
            <w:vAlign w:val="center"/>
          </w:tcPr>
          <w:p w14:paraId="63C1D626">
            <w:pPr>
              <w:pStyle w:val="182"/>
            </w:pPr>
            <w:r>
              <w:t>t/a</w:t>
            </w:r>
          </w:p>
        </w:tc>
        <w:tc>
          <w:tcPr>
            <w:tcW w:w="1055" w:type="pct"/>
            <w:shd w:val="clear" w:color="auto" w:fill="auto"/>
            <w:noWrap w:val="0"/>
            <w:vAlign w:val="center"/>
          </w:tcPr>
          <w:p w14:paraId="3B2860F6">
            <w:pPr>
              <w:pStyle w:val="182"/>
            </w:pPr>
            <w:r>
              <w:t>93.51</w:t>
            </w:r>
            <w:r>
              <w:rPr>
                <w:rFonts w:hint="eastAsia"/>
              </w:rPr>
              <w:t>61</w:t>
            </w:r>
          </w:p>
        </w:tc>
      </w:tr>
      <w:tr w14:paraId="6BAB9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4" w:type="pct"/>
            <w:vMerge w:val="continue"/>
            <w:shd w:val="clear" w:color="auto" w:fill="auto"/>
            <w:noWrap w:val="0"/>
            <w:vAlign w:val="center"/>
          </w:tcPr>
          <w:p w14:paraId="2B0BC24D">
            <w:pPr>
              <w:pStyle w:val="182"/>
            </w:pPr>
          </w:p>
        </w:tc>
        <w:tc>
          <w:tcPr>
            <w:tcW w:w="1444" w:type="pct"/>
            <w:vMerge w:val="continue"/>
            <w:shd w:val="clear" w:color="auto" w:fill="auto"/>
            <w:noWrap w:val="0"/>
            <w:vAlign w:val="center"/>
          </w:tcPr>
          <w:p w14:paraId="42DDB1A4">
            <w:pPr>
              <w:pStyle w:val="182"/>
            </w:pPr>
          </w:p>
        </w:tc>
        <w:tc>
          <w:tcPr>
            <w:tcW w:w="1021" w:type="pct"/>
            <w:shd w:val="clear" w:color="auto" w:fill="auto"/>
            <w:noWrap w:val="0"/>
            <w:vAlign w:val="center"/>
          </w:tcPr>
          <w:p w14:paraId="3EAD783D">
            <w:pPr>
              <w:pStyle w:val="182"/>
            </w:pPr>
            <w:r>
              <w:t>NOx</w:t>
            </w:r>
          </w:p>
        </w:tc>
        <w:tc>
          <w:tcPr>
            <w:tcW w:w="1056" w:type="pct"/>
            <w:shd w:val="clear" w:color="auto" w:fill="auto"/>
            <w:noWrap w:val="0"/>
            <w:vAlign w:val="center"/>
          </w:tcPr>
          <w:p w14:paraId="767B69A5">
            <w:pPr>
              <w:pStyle w:val="182"/>
            </w:pPr>
            <w:r>
              <w:t>t/a</w:t>
            </w:r>
          </w:p>
        </w:tc>
        <w:tc>
          <w:tcPr>
            <w:tcW w:w="1055" w:type="pct"/>
            <w:shd w:val="clear" w:color="auto" w:fill="auto"/>
            <w:noWrap w:val="0"/>
            <w:vAlign w:val="center"/>
          </w:tcPr>
          <w:p w14:paraId="6C0FDD0B">
            <w:pPr>
              <w:pStyle w:val="182"/>
            </w:pPr>
            <w:r>
              <w:rPr>
                <w:rFonts w:hint="eastAsia"/>
              </w:rPr>
              <w:t>103.0393</w:t>
            </w:r>
          </w:p>
        </w:tc>
      </w:tr>
      <w:tr w14:paraId="6E695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4" w:type="pct"/>
            <w:vMerge w:val="continue"/>
            <w:shd w:val="clear" w:color="auto" w:fill="auto"/>
            <w:noWrap w:val="0"/>
            <w:vAlign w:val="center"/>
          </w:tcPr>
          <w:p w14:paraId="657BD11D">
            <w:pPr>
              <w:pStyle w:val="182"/>
            </w:pPr>
          </w:p>
        </w:tc>
        <w:tc>
          <w:tcPr>
            <w:tcW w:w="1444" w:type="pct"/>
            <w:vMerge w:val="continue"/>
            <w:shd w:val="clear" w:color="auto" w:fill="auto"/>
            <w:noWrap w:val="0"/>
            <w:vAlign w:val="center"/>
          </w:tcPr>
          <w:p w14:paraId="65011EF6">
            <w:pPr>
              <w:pStyle w:val="182"/>
            </w:pPr>
          </w:p>
        </w:tc>
        <w:tc>
          <w:tcPr>
            <w:tcW w:w="1021" w:type="pct"/>
            <w:shd w:val="clear" w:color="auto" w:fill="auto"/>
            <w:noWrap w:val="0"/>
            <w:vAlign w:val="center"/>
          </w:tcPr>
          <w:p w14:paraId="4728101C">
            <w:pPr>
              <w:pStyle w:val="182"/>
            </w:pPr>
            <w:r>
              <w:rPr>
                <w:rFonts w:hint="eastAsia"/>
              </w:rPr>
              <w:t>VOCs</w:t>
            </w:r>
          </w:p>
        </w:tc>
        <w:tc>
          <w:tcPr>
            <w:tcW w:w="1056" w:type="pct"/>
            <w:shd w:val="clear" w:color="auto" w:fill="auto"/>
            <w:noWrap w:val="0"/>
            <w:vAlign w:val="center"/>
          </w:tcPr>
          <w:p w14:paraId="28DEAE75">
            <w:pPr>
              <w:pStyle w:val="182"/>
            </w:pPr>
            <w:r>
              <w:t>t/a</w:t>
            </w:r>
          </w:p>
        </w:tc>
        <w:tc>
          <w:tcPr>
            <w:tcW w:w="1055" w:type="pct"/>
            <w:shd w:val="clear" w:color="auto" w:fill="auto"/>
            <w:noWrap w:val="0"/>
            <w:vAlign w:val="center"/>
          </w:tcPr>
          <w:p w14:paraId="2F559F35">
            <w:pPr>
              <w:pStyle w:val="182"/>
              <w:rPr>
                <w:rFonts w:hint="default" w:eastAsia="宋体"/>
                <w:lang w:val="en-US" w:eastAsia="zh-CN"/>
              </w:rPr>
            </w:pPr>
            <w:r>
              <w:rPr>
                <w:rFonts w:hint="eastAsia"/>
              </w:rPr>
              <w:t>14.</w:t>
            </w:r>
            <w:r>
              <w:rPr>
                <w:rFonts w:hint="eastAsia"/>
                <w:lang w:val="en-US" w:eastAsia="zh-CN"/>
              </w:rPr>
              <w:t>9484</w:t>
            </w:r>
          </w:p>
        </w:tc>
      </w:tr>
      <w:tr w14:paraId="6C38E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4" w:type="pct"/>
            <w:vMerge w:val="continue"/>
            <w:shd w:val="clear" w:color="auto" w:fill="auto"/>
            <w:noWrap w:val="0"/>
            <w:vAlign w:val="center"/>
          </w:tcPr>
          <w:p w14:paraId="1BE055E3">
            <w:pPr>
              <w:pStyle w:val="182"/>
            </w:pPr>
          </w:p>
        </w:tc>
        <w:tc>
          <w:tcPr>
            <w:tcW w:w="1444" w:type="pct"/>
            <w:vMerge w:val="continue"/>
            <w:shd w:val="clear" w:color="auto" w:fill="auto"/>
            <w:noWrap w:val="0"/>
            <w:vAlign w:val="center"/>
          </w:tcPr>
          <w:p w14:paraId="4FAA91A4">
            <w:pPr>
              <w:pStyle w:val="182"/>
            </w:pPr>
          </w:p>
        </w:tc>
        <w:tc>
          <w:tcPr>
            <w:tcW w:w="1021" w:type="pct"/>
            <w:shd w:val="clear" w:color="auto" w:fill="auto"/>
            <w:noWrap w:val="0"/>
            <w:vAlign w:val="center"/>
          </w:tcPr>
          <w:p w14:paraId="63A21006">
            <w:pPr>
              <w:pStyle w:val="182"/>
            </w:pPr>
            <w:r>
              <w:t>Hg</w:t>
            </w:r>
          </w:p>
        </w:tc>
        <w:tc>
          <w:tcPr>
            <w:tcW w:w="1056" w:type="pct"/>
            <w:shd w:val="clear" w:color="auto" w:fill="auto"/>
            <w:noWrap w:val="0"/>
            <w:vAlign w:val="center"/>
          </w:tcPr>
          <w:p w14:paraId="4926D6C1">
            <w:pPr>
              <w:pStyle w:val="182"/>
            </w:pPr>
            <w:r>
              <w:t>t/a</w:t>
            </w:r>
          </w:p>
        </w:tc>
        <w:tc>
          <w:tcPr>
            <w:tcW w:w="1055" w:type="pct"/>
            <w:shd w:val="clear" w:color="auto" w:fill="auto"/>
            <w:noWrap w:val="0"/>
            <w:vAlign w:val="center"/>
          </w:tcPr>
          <w:p w14:paraId="6035EE66">
            <w:pPr>
              <w:pStyle w:val="182"/>
            </w:pPr>
            <w:r>
              <w:t>0.00</w:t>
            </w:r>
            <w:r>
              <w:rPr>
                <w:rFonts w:hint="eastAsia"/>
              </w:rPr>
              <w:t>9</w:t>
            </w:r>
            <w:r>
              <w:t>5</w:t>
            </w:r>
          </w:p>
        </w:tc>
      </w:tr>
      <w:tr w14:paraId="4C40F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4" w:type="pct"/>
            <w:vMerge w:val="continue"/>
            <w:shd w:val="clear" w:color="auto" w:fill="auto"/>
            <w:noWrap w:val="0"/>
            <w:vAlign w:val="center"/>
          </w:tcPr>
          <w:p w14:paraId="324DDBCF">
            <w:pPr>
              <w:pStyle w:val="182"/>
            </w:pPr>
          </w:p>
        </w:tc>
        <w:tc>
          <w:tcPr>
            <w:tcW w:w="1444" w:type="pct"/>
            <w:vMerge w:val="continue"/>
            <w:shd w:val="clear" w:color="auto" w:fill="auto"/>
            <w:noWrap w:val="0"/>
            <w:vAlign w:val="center"/>
          </w:tcPr>
          <w:p w14:paraId="034EC909">
            <w:pPr>
              <w:pStyle w:val="182"/>
            </w:pPr>
          </w:p>
        </w:tc>
        <w:tc>
          <w:tcPr>
            <w:tcW w:w="1021" w:type="pct"/>
            <w:shd w:val="clear" w:color="auto" w:fill="auto"/>
            <w:noWrap w:val="0"/>
            <w:vAlign w:val="center"/>
          </w:tcPr>
          <w:p w14:paraId="55017E77">
            <w:pPr>
              <w:pStyle w:val="182"/>
            </w:pPr>
            <w:r>
              <w:rPr>
                <w:rFonts w:hint="eastAsia"/>
              </w:rPr>
              <w:t>氨</w:t>
            </w:r>
          </w:p>
        </w:tc>
        <w:tc>
          <w:tcPr>
            <w:tcW w:w="1056" w:type="pct"/>
            <w:shd w:val="clear" w:color="auto" w:fill="auto"/>
            <w:noWrap w:val="0"/>
            <w:vAlign w:val="center"/>
          </w:tcPr>
          <w:p w14:paraId="66414E5E">
            <w:pPr>
              <w:pStyle w:val="182"/>
            </w:pPr>
            <w:r>
              <w:t>t/a</w:t>
            </w:r>
          </w:p>
        </w:tc>
        <w:tc>
          <w:tcPr>
            <w:tcW w:w="1055" w:type="pct"/>
            <w:shd w:val="clear" w:color="auto" w:fill="auto"/>
            <w:noWrap w:val="0"/>
            <w:vAlign w:val="center"/>
          </w:tcPr>
          <w:p w14:paraId="0A56457E">
            <w:pPr>
              <w:pStyle w:val="182"/>
            </w:pPr>
            <w:r>
              <w:rPr>
                <w:rFonts w:hint="eastAsia"/>
              </w:rPr>
              <w:t>12.829</w:t>
            </w:r>
          </w:p>
        </w:tc>
      </w:tr>
      <w:tr w14:paraId="37424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4" w:type="pct"/>
            <w:vMerge w:val="continue"/>
            <w:shd w:val="clear" w:color="auto" w:fill="auto"/>
            <w:noWrap w:val="0"/>
            <w:vAlign w:val="center"/>
          </w:tcPr>
          <w:p w14:paraId="356CDCDE">
            <w:pPr>
              <w:pStyle w:val="182"/>
            </w:pPr>
          </w:p>
        </w:tc>
        <w:tc>
          <w:tcPr>
            <w:tcW w:w="1444" w:type="pct"/>
            <w:vMerge w:val="continue"/>
            <w:shd w:val="clear" w:color="auto" w:fill="auto"/>
            <w:noWrap w:val="0"/>
            <w:vAlign w:val="center"/>
          </w:tcPr>
          <w:p w14:paraId="1C6E3F9D">
            <w:pPr>
              <w:pStyle w:val="182"/>
            </w:pPr>
          </w:p>
        </w:tc>
        <w:tc>
          <w:tcPr>
            <w:tcW w:w="1021" w:type="pct"/>
            <w:shd w:val="clear" w:color="auto" w:fill="auto"/>
            <w:noWrap w:val="0"/>
            <w:vAlign w:val="center"/>
          </w:tcPr>
          <w:p w14:paraId="2A4051EA">
            <w:pPr>
              <w:pStyle w:val="182"/>
            </w:pPr>
            <w:r>
              <w:rPr>
                <w:rFonts w:hint="eastAsia"/>
              </w:rPr>
              <w:t>硫酸雾</w:t>
            </w:r>
          </w:p>
        </w:tc>
        <w:tc>
          <w:tcPr>
            <w:tcW w:w="1056" w:type="pct"/>
            <w:shd w:val="clear" w:color="auto" w:fill="auto"/>
            <w:noWrap w:val="0"/>
            <w:vAlign w:val="center"/>
          </w:tcPr>
          <w:p w14:paraId="2C50E671">
            <w:pPr>
              <w:pStyle w:val="182"/>
            </w:pPr>
            <w:r>
              <w:rPr>
                <w:rFonts w:hint="eastAsia"/>
                <w:bCs/>
                <w:color w:val="auto"/>
              </w:rPr>
              <w:t>kg/a</w:t>
            </w:r>
          </w:p>
        </w:tc>
        <w:tc>
          <w:tcPr>
            <w:tcW w:w="1055" w:type="pct"/>
            <w:shd w:val="clear" w:color="auto" w:fill="auto"/>
            <w:noWrap w:val="0"/>
            <w:vAlign w:val="center"/>
          </w:tcPr>
          <w:p w14:paraId="613C7A7D">
            <w:pPr>
              <w:pStyle w:val="182"/>
            </w:pPr>
            <w:r>
              <w:rPr>
                <w:rFonts w:hint="eastAsia"/>
                <w:bCs/>
                <w:color w:val="auto"/>
              </w:rPr>
              <w:t>0.00061</w:t>
            </w:r>
          </w:p>
        </w:tc>
      </w:tr>
    </w:tbl>
    <w:p w14:paraId="669437E4">
      <w:pPr>
        <w:pStyle w:val="6"/>
        <w:bidi w:val="0"/>
      </w:pPr>
      <w:r>
        <w:rPr>
          <w:rFonts w:hint="eastAsia"/>
        </w:rPr>
        <w:t>废水</w:t>
      </w:r>
    </w:p>
    <w:p w14:paraId="7FE2CEB1">
      <w:pPr>
        <w:pStyle w:val="101"/>
        <w:spacing w:line="240" w:lineRule="auto"/>
        <w:rPr>
          <w:rFonts w:hint="eastAsia" w:ascii="Times New Roman" w:hAnsi="Times New Roman" w:cs="Times New Roman"/>
        </w:rPr>
      </w:pPr>
      <w:r>
        <w:rPr>
          <w:rFonts w:hint="eastAsia"/>
        </w:rPr>
        <w:t>根据已经批复的在建</w:t>
      </w:r>
      <w:r>
        <w:rPr>
          <w:rFonts w:hint="eastAsia"/>
          <w:lang w:val="en-US" w:eastAsia="zh-CN"/>
        </w:rPr>
        <w:t>及拟建</w:t>
      </w:r>
      <w:r>
        <w:rPr>
          <w:rFonts w:hint="eastAsia"/>
        </w:rPr>
        <w:t>项目环评文件，在建</w:t>
      </w:r>
      <w:r>
        <w:rPr>
          <w:rFonts w:hint="eastAsia"/>
          <w:lang w:val="en-US" w:eastAsia="zh-CN"/>
        </w:rPr>
        <w:t>及拟建</w:t>
      </w:r>
      <w:r>
        <w:rPr>
          <w:rFonts w:hint="eastAsia" w:ascii="Times New Roman" w:hAnsi="Times New Roman" w:cs="Times New Roman"/>
        </w:rPr>
        <w:t>工程水平衡见下图。</w:t>
      </w:r>
    </w:p>
    <w:p w14:paraId="5E22D268">
      <w:pPr>
        <w:pStyle w:val="181"/>
        <w:bidi w:val="0"/>
        <w:ind w:left="0" w:leftChars="0" w:firstLine="0" w:firstLineChars="0"/>
        <w:jc w:val="center"/>
        <w:rPr>
          <w:rFonts w:hint="default" w:eastAsia="宋体"/>
          <w:color w:val="auto"/>
          <w:u w:val="none"/>
          <w:lang w:val="en-US" w:eastAsia="zh-CN"/>
        </w:rPr>
      </w:pPr>
      <w:r>
        <w:rPr>
          <w:rFonts w:ascii="Times New Roman" w:hAnsi="Times New Roman" w:cs="Times New Roman"/>
        </w:rPr>
        <w:pict>
          <v:group id="画布 2438" o:spid="_x0000_s2051" o:spt="203" style="height:393.1pt;width:445.5pt;" coordorigin="1565,2796" coordsize="8910,7862" editas="canvas">
            <o:lock v:ext="edit"/>
            <v:shape id="画布 2438" o:spid="_x0000_s2052" o:spt="75" type="#_x0000_t75" style="position:absolute;left:1565;top:2796;height:7862;width:8910;" filled="f" stroked="t" coordsize="21600,21600">
              <v:fill on="f" focussize="0,0"/>
              <v:stroke color="#000000" joinstyle="miter"/>
              <v:imagedata o:title=""/>
              <o:lock v:ext="edit" rotation="t" aspectratio="t"/>
            </v:shape>
            <v:shape id="文本框 31" o:spid="_x0000_s2053" o:spt="202" type="#_x0000_t202" style="position:absolute;left:2581;top:9243;height:435;width:6755;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ty8UA&#10;AADdAAAADwAAAGRycy9kb3ducmV2LnhtbESPQWvCQBCF7wX/wzJCb3VjQdHUVbRQkIqHquB1mp0m&#10;qdnZsLs18d87B6G3N8ybb95brHrXqCuFWHs2MB5loIgLb2suDZyOHy8zUDEhW2w8k4EbRVgtB08L&#10;zK3v+Iuuh1QqgXDM0UCVUptrHYuKHMaRb4ll9+ODwyRjKLUN2AncNfo1y6baYc3yocKW3isqLoc/&#10;J5TPy7n+HZ9nu26+8dOQvsPe7Yx5HvbrN1CJ+vRvflxvrcTPJpJf2ogEv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i3LxQAAAN0AAAAPAAAAAAAAAAAAAAAAAJgCAABkcnMv&#10;ZG93bnJldi54bWxQSwUGAAAAAAQABAD1AAAAigMAAAAA&#10;">
              <v:path/>
              <v:fill on="f" focussize="0,0"/>
              <v:stroke on="f" weight="0.5pt"/>
              <v:imagedata o:title=""/>
              <o:lock v:ext="edit" aspectratio="f"/>
              <v:textbox inset="1mm,1mm,1mm,1mm">
                <w:txbxContent>
                  <w:p w14:paraId="310B0A28">
                    <w:pPr>
                      <w:pStyle w:val="111"/>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r>
                      <w:rPr>
                        <w:rFonts w:hint="eastAsia"/>
                      </w:rPr>
                      <w:t xml:space="preserve"> </w:t>
                    </w:r>
                    <w:r>
                      <w:t xml:space="preserve"> 在建工程水平衡图    单位：</w:t>
                    </w:r>
                    <w:r>
                      <w:rPr>
                        <w:kern w:val="0"/>
                      </w:rPr>
                      <w:t>m</w:t>
                    </w:r>
                    <w:r>
                      <w:rPr>
                        <w:kern w:val="0"/>
                        <w:vertAlign w:val="superscript"/>
                      </w:rPr>
                      <w:t>3</w:t>
                    </w:r>
                    <w:r>
                      <w:rPr>
                        <w:kern w:val="0"/>
                      </w:rPr>
                      <w:t>/d</w:t>
                    </w:r>
                    <w:r>
                      <w:t xml:space="preserve">     </w:t>
                    </w:r>
                  </w:p>
                  <w:p w14:paraId="3154D48F">
                    <w:pPr>
                      <w:pStyle w:val="111"/>
                      <w:rPr>
                        <w:sz w:val="18"/>
                        <w:szCs w:val="18"/>
                        <w:vertAlign w:val="subscript"/>
                      </w:rPr>
                    </w:pPr>
                  </w:p>
                  <w:p w14:paraId="57DD6DE5">
                    <w:pPr>
                      <w:ind w:firstLine="360"/>
                      <w:jc w:val="center"/>
                      <w:rPr>
                        <w:sz w:val="18"/>
                        <w:szCs w:val="18"/>
                        <w:vertAlign w:val="subscript"/>
                      </w:rPr>
                    </w:pPr>
                  </w:p>
                  <w:p w14:paraId="1B167F43">
                    <w:pPr>
                      <w:ind w:firstLine="360"/>
                      <w:jc w:val="center"/>
                      <w:rPr>
                        <w:sz w:val="18"/>
                        <w:szCs w:val="18"/>
                        <w:vertAlign w:val="subscript"/>
                      </w:rPr>
                    </w:pPr>
                  </w:p>
                  <w:p w14:paraId="3508C747">
                    <w:pPr>
                      <w:ind w:firstLine="360"/>
                      <w:jc w:val="center"/>
                      <w:rPr>
                        <w:sz w:val="18"/>
                        <w:szCs w:val="18"/>
                        <w:vertAlign w:val="subscript"/>
                      </w:rPr>
                    </w:pPr>
                    <w:r>
                      <w:rPr>
                        <w:rFonts w:hint="eastAsia"/>
                        <w:sz w:val="18"/>
                        <w:szCs w:val="18"/>
                      </w:rPr>
                      <w:t>废滤芯</w:t>
                    </w:r>
                    <w:r>
                      <w:rPr>
                        <w:sz w:val="18"/>
                        <w:szCs w:val="18"/>
                      </w:rPr>
                      <w:t>S</w:t>
                    </w:r>
                    <w:r>
                      <w:rPr>
                        <w:rFonts w:hint="eastAsia"/>
                        <w:sz w:val="18"/>
                        <w:szCs w:val="18"/>
                        <w:vertAlign w:val="subscript"/>
                      </w:rPr>
                      <w:t>5</w:t>
                    </w:r>
                  </w:p>
                  <w:p w14:paraId="01291A2F">
                    <w:pPr>
                      <w:ind w:firstLine="360"/>
                      <w:rPr>
                        <w:sz w:val="18"/>
                        <w:szCs w:val="18"/>
                      </w:rPr>
                    </w:pPr>
                    <w:r>
                      <w:rPr>
                        <w:rFonts w:hint="eastAsia"/>
                        <w:sz w:val="18"/>
                        <w:szCs w:val="18"/>
                      </w:rPr>
                      <w:t>设备噪声N</w:t>
                    </w:r>
                  </w:p>
                  <w:p w14:paraId="1C435245">
                    <w:pPr>
                      <w:ind w:firstLine="360"/>
                      <w:jc w:val="center"/>
                      <w:rPr>
                        <w:sz w:val="18"/>
                        <w:szCs w:val="18"/>
                      </w:rPr>
                    </w:pPr>
                  </w:p>
                </w:txbxContent>
              </v:textbox>
            </v:shape>
            <v:shape id="文本框 1412" o:spid="_x0000_s2057" o:spt="202" type="#_x0000_t202" style="position:absolute;left:9104;top:9532;height:861;width:589;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HpsEA&#10;AADdAAAADwAAAGRycy9kb3ducmV2LnhtbERP24rCMBB9X/Afwgi+ramCF6pRRFnYhQVZ9QPGZGyK&#10;zaQ0se3+/UYQ9m0O5zrrbe8q0VITSs8KJuMMBLH2puRCweX88b4EESKywcozKfilANvN4G2NufEd&#10;/1B7ioVIIRxyVGBjrHMpg7bkMIx9TZy4m28cxgSbQpoGuxTuKjnNsrl0WHJqsFjT3pK+nx5OwWL/&#10;Fb7bLpytd3yorlI/jk4rNRr2uxWISH38F7/cnybNz2YLeH6TTpC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qR6bBAAAA3QAAAA8AAAAAAAAAAAAAAAAAmAIAAGRycy9kb3du&#10;cmV2LnhtbFBLBQYAAAAABAAEAPUAAACGAwAAAAA=&#10;">
              <v:path/>
              <v:fill on="t" color2="#FFFFFF" focussize="0,0"/>
              <v:stroke weight="0.5pt" color="#000000" joinstyle="miter"/>
              <v:imagedata o:title=""/>
              <o:lock v:ext="edit" aspectratio="f"/>
              <v:textbox inset="0mm,0mm,0mm,0mm">
                <w:txbxContent>
                  <w:p w14:paraId="7141CA7A">
                    <w:pPr>
                      <w:ind w:left="0" w:leftChars="0" w:firstLine="0" w:firstLineChars="0"/>
                      <w:jc w:val="both"/>
                      <w:rPr>
                        <w:sz w:val="18"/>
                        <w:szCs w:val="18"/>
                      </w:rPr>
                    </w:pPr>
                    <w:r>
                      <w:rPr>
                        <w:rFonts w:hint="eastAsia"/>
                        <w:sz w:val="18"/>
                        <w:szCs w:val="18"/>
                        <w:lang w:val="en-US" w:eastAsia="zh-CN"/>
                      </w:rPr>
                      <w:t>污</w:t>
                    </w:r>
                    <w:r>
                      <w:rPr>
                        <w:rFonts w:hint="eastAsia"/>
                        <w:sz w:val="18"/>
                        <w:szCs w:val="18"/>
                      </w:rPr>
                      <w:t>水站</w:t>
                    </w:r>
                  </w:p>
                </w:txbxContent>
              </v:textbox>
            </v:shape>
            <v:line id="直接连接符 6" o:spid="_x0000_s2058" o:spt="20" style="position:absolute;left:2531;top:3444;flip:x y;height:5442;width:43;" filled="f" stroked="t" coordsize="21600,21600">
              <v:path arrowok="t"/>
              <v:fill on="f" focussize="0,0"/>
              <v:stroke color="#000000"/>
              <v:imagedata o:title=""/>
              <o:lock v:ext="edit" aspectratio="f"/>
            </v:line>
            <v:line id="直接连接符 9" o:spid="_x0000_s2059" o:spt="20" style="position:absolute;left:1698;top:3443;flip:x;height:1;width:833;"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J1WsMAAADcAAAADwAAAGRycy9kb3ducmV2LnhtbERPz2vCMBS+C/4P4Q12EU0nMrRrKjIY&#10;7OBlTire3pq3prR5qUmm3X9vDoMdP77fxXa0vbiSD61jBU+LDARx7XTLjYLj59t8DSJEZI29Y1Lw&#10;SwG25XRSYK7djT/oeoiNSCEcclRgYhxyKUNtyGJYuIE4cd/OW4wJ+kZqj7cUbnu5zLJnabHl1GBw&#10;oFdDdXf4sQrkej+7+N3Xqqu602ljqroaznulHh/G3QuISGP8F/+537WC5SbNT2fSEZD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ydVrDAAAA3AAAAA8AAAAAAAAAAAAA&#10;AAAAoQIAAGRycy9kb3ducmV2LnhtbFBLBQYAAAAABAAEAPkAAACRAwAAAAA=&#10;">
              <v:path arrowok="t"/>
              <v:fill on="f" focussize="0,0"/>
              <v:stroke color="#000000"/>
              <v:imagedata o:title=""/>
              <o:lock v:ext="edit" aspectratio="f"/>
            </v:line>
            <v:shape id="文本框 391" o:spid="_x0000_s2060" o:spt="202" type="#_x0000_t202" style="position:absolute;left:1608;top:3091;height:335;width:1802;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DDFMQA&#10;AADcAAAADwAAAGRycy9kb3ducmV2LnhtbESP0WrCQBRE3wv+w3IF3+omClJSVykFbRQsqP2AS/aa&#10;jcneDdltTP++Kwg+DjNzhlmuB9uInjpfOVaQThMQxIXTFZcKfs6b1zcQPiBrbByTgj/ysF6NXpaY&#10;aXfjI/WnUIoIYZ+hAhNCm0npC0MW/dS1xNG7uM5iiLIrpe7wFuG2kbMkWUiLFccFgy19Girq069V&#10;sK0u6fm7r8vW1Luv7T4/XPNrUGoyHj7eQQQawjP8aOdawTydw/1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wwxTEAAAA3AAAAA8AAAAAAAAAAAAAAAAAmAIAAGRycy9k&#10;b3ducmV2LnhtbFBLBQYAAAAABAAEAPUAAACJAwAAAAA=&#10;">
              <v:path/>
              <v:fill on="f" focussize="0,0"/>
              <v:stroke on="f" weight="0.5pt"/>
              <v:imagedata o:title=""/>
              <o:lock v:ext="edit" aspectratio="f"/>
              <v:textbox inset="0mm,0mm,0mm,0mm">
                <w:txbxContent>
                  <w:p w14:paraId="49CF7166">
                    <w:pPr>
                      <w:ind w:firstLine="180" w:firstLineChars="100"/>
                      <w:rPr>
                        <w:rFonts w:hint="default" w:eastAsia="宋体"/>
                        <w:color w:val="000000"/>
                        <w:sz w:val="18"/>
                        <w:szCs w:val="18"/>
                        <w:lang w:val="en-US" w:eastAsia="zh-CN"/>
                      </w:rPr>
                    </w:pPr>
                    <w:r>
                      <w:rPr>
                        <w:rFonts w:hint="eastAsia"/>
                        <w:color w:val="000000"/>
                        <w:sz w:val="18"/>
                        <w:szCs w:val="18"/>
                      </w:rPr>
                      <w:t>新鲜水</w:t>
                    </w:r>
                    <w:r>
                      <w:rPr>
                        <w:rFonts w:hint="eastAsia"/>
                        <w:color w:val="000000"/>
                        <w:sz w:val="18"/>
                        <w:szCs w:val="18"/>
                        <w:lang w:val="en-US" w:eastAsia="zh-CN"/>
                      </w:rPr>
                      <w:t>3925.81</w:t>
                    </w:r>
                  </w:p>
                </w:txbxContent>
              </v:textbox>
            </v:shape>
            <v:line id="直接连接符 6" o:spid="_x0000_s2061" o:spt="20" style="position:absolute;left:8308;top:4344;flip:x y;height:5616;width:43;" filled="f" stroked="t" coordsize="21600,21600">
              <v:path arrowok="t"/>
              <v:fill on="f" focussize="0,0"/>
              <v:stroke color="#000000"/>
              <v:imagedata o:title=""/>
              <o:lock v:ext="edit" aspectratio="f"/>
            </v:line>
            <v:shape id="文本框 106" o:spid="_x0000_s2067" o:spt="202" type="#_x0000_t202" style="position:absolute;left:3821;top:4148;height:602;width:1965;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V3qcMA&#10;AADcAAAADwAAAGRycy9kb3ducmV2LnhtbESP0WoCMRRE34X+Q7gF3zTbFrWsRimWgoIgaj/gmlw3&#10;i5ubZRN3t3/fCIKPw8ycYRar3lWipSaUnhW8jTMQxNqbkgsFv6ef0SeIEJENVp5JwR8FWC1fBgvM&#10;je/4QO0xFiJBOOSowMZY51IGbclhGPuaOHkX3ziMSTaFNA12Ce4q+Z5lU+mw5LRgsaa1JX093pyC&#10;2Xobdm0XTtY7/q7OUt/2Tis1fO2/5iAi9fEZfrQ3RsHkYwb3M+k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V3qcMAAADcAAAADwAAAAAAAAAAAAAAAACYAgAAZHJzL2Rv&#10;d25yZXYueG1sUEsFBgAAAAAEAAQA9QAAAIgDAAAAAA==&#10;">
              <v:path/>
              <v:fill on="t" color2="#FFFFFF" focussize="0,0"/>
              <v:stroke weight="0.5pt" color="#000000" joinstyle="miter"/>
              <v:imagedata o:title=""/>
              <o:lock v:ext="edit" aspectratio="f"/>
              <v:textbox inset="0mm,0mm,0mm,0mm">
                <w:txbxContent>
                  <w:p w14:paraId="71FB8F41">
                    <w:pPr>
                      <w:ind w:left="0" w:leftChars="0" w:firstLine="0" w:firstLineChars="0"/>
                      <w:jc w:val="both"/>
                      <w:rPr>
                        <w:sz w:val="18"/>
                        <w:szCs w:val="18"/>
                      </w:rPr>
                    </w:pPr>
                    <w:r>
                      <w:rPr>
                        <w:rFonts w:hint="eastAsia"/>
                        <w:sz w:val="18"/>
                        <w:szCs w:val="18"/>
                      </w:rPr>
                      <w:t>在建年产 3x2万吨超柔软氨纶纤维项目(三期)</w:t>
                    </w:r>
                  </w:p>
                  <w:p w14:paraId="22D4F4F3">
                    <w:pPr>
                      <w:jc w:val="center"/>
                      <w:rPr>
                        <w:sz w:val="18"/>
                        <w:szCs w:val="18"/>
                      </w:rPr>
                    </w:pPr>
                  </w:p>
                </w:txbxContent>
              </v:textbox>
            </v:shape>
            <v:shape id="直接箭头连接符 107" o:spid="_x0000_s2068" o:spt="32" type="#_x0000_t32" style="position:absolute;left:5799;top:4343;height:1;width:2496;"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pENsIAAADcAAAADwAAAGRycy9kb3ducmV2LnhtbERPz2vCMBS+C/4P4QneZupEmdUoIkxE&#10;8TAdZd4ezVtb1ryUJGr1rzeHgceP7/d82ZpaXMn5yrKC4SABQZxbXXGh4Pv0+fYBwgdkjbVlUnAn&#10;D8tFtzPHVNsbf9H1GAoRQ9inqKAMoUml9HlJBv3ANsSR+7XOYIjQFVI7vMVwU8v3JJlIgxXHhhIb&#10;WpeU/x0vRsHPfnrJ7tmBdtlwujujM/5x2ijV77WrGYhAbXiJ/91brWA8imvjmXgE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CpENsIAAADcAAAADwAAAAAAAAAAAAAA&#10;AAChAgAAZHJzL2Rvd25yZXYueG1sUEsFBgAAAAAEAAQA+QAAAJADAAAAAA==&#10;">
              <v:path arrowok="t"/>
              <v:fill on="f" focussize="0,0"/>
              <v:stroke color="#000000" endarrow="block"/>
              <v:imagedata o:title=""/>
              <o:lock v:ext="edit" aspectratio="f"/>
            </v:shape>
            <v:shape id="文本框 391" o:spid="_x0000_s2069" o:spt="202" type="#_x0000_t202" style="position:absolute;left:6439;top:4020;height:436;width:752;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ZqZsUA&#10;AADcAAAADwAAAGRycy9kb3ducmV2LnhtbESP0WrCQBRE3wv9h+UKfdONLRYbXaUUqrGgoPYDLtlr&#10;NiZ7N2S3Mf69Kwh9HGbmDDNf9rYWHbW+dKxgPEpAEOdOl1wo+D1+D6cgfEDWWDsmBVfysFw8P80x&#10;1e7Ce+oOoRARwj5FBSaEJpXS54Ys+pFriKN3cq3FEGVbSN3iJcJtLV+T5F1aLDkuGGzoy1BeHf6s&#10;glV5Gh93XVU0ptqsVz/Z9pydg1Ivg/5zBiJQH/7Dj3amFUzePuB+Jh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ZmpmxQAAANwAAAAPAAAAAAAAAAAAAAAAAJgCAABkcnMv&#10;ZG93bnJldi54bWxQSwUGAAAAAAQABAD1AAAAigMAAAAA&#10;">
              <v:path/>
              <v:fill on="f" focussize="0,0"/>
              <v:stroke on="f" weight="0.5pt"/>
              <v:imagedata o:title=""/>
              <o:lock v:ext="edit" aspectratio="f"/>
              <v:textbox inset="0mm,0mm,0mm,0mm">
                <w:txbxContent>
                  <w:p w14:paraId="6CEB1296">
                    <w:pPr>
                      <w:jc w:val="center"/>
                      <w:rPr>
                        <w:color w:val="000000"/>
                        <w:sz w:val="18"/>
                        <w:szCs w:val="18"/>
                      </w:rPr>
                    </w:pPr>
                    <w:r>
                      <w:rPr>
                        <w:rFonts w:hint="eastAsia"/>
                        <w:color w:val="000000"/>
                        <w:sz w:val="18"/>
                        <w:szCs w:val="18"/>
                      </w:rPr>
                      <w:t>94</w:t>
                    </w:r>
                  </w:p>
                </w:txbxContent>
              </v:textbox>
            </v:shape>
            <v:shape id="文本框 391" o:spid="_x0000_s2070" o:spt="202" type="#_x0000_t202" style="position:absolute;left:2581;top:4020;height:465;width:99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qwhsIA&#10;AADcAAAADwAAAGRycy9kb3ducmV2LnhtbERP3WrCMBS+F3yHcITd2VSZY1SjyGBdHWww3QMcmmNT&#10;25yUJrbd2y8Xg11+fP+7w2RbMVDva8cKVkkKgrh0uuZKwffldfkMwgdkja1jUvBDHg77+WyHmXYj&#10;f9FwDpWIIewzVGBC6DIpfWnIok9cRxy5q+sthgj7SuoexxhuW7lO0ydpsebYYLCjF0Nlc75bBXl9&#10;XV0+h6bqTHN6y9+Lj1txC0o9LKbjFkSgKfyL/9yFVrB5jPPjmXgE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WrCGwgAAANwAAAAPAAAAAAAAAAAAAAAAAJgCAABkcnMvZG93&#10;bnJldi54bWxQSwUGAAAAAAQABAD1AAAAhwMAAAAA&#10;">
              <v:path/>
              <v:fill on="f" focussize="0,0"/>
              <v:stroke on="f" weight="0.5pt"/>
              <v:imagedata o:title=""/>
              <o:lock v:ext="edit" aspectratio="f"/>
              <v:textbox inset="0mm,0mm,0mm,0mm">
                <w:txbxContent>
                  <w:p w14:paraId="04FE2107">
                    <w:pPr>
                      <w:jc w:val="center"/>
                      <w:rPr>
                        <w:color w:val="000000"/>
                        <w:sz w:val="18"/>
                        <w:szCs w:val="18"/>
                      </w:rPr>
                    </w:pPr>
                    <w:r>
                      <w:rPr>
                        <w:rFonts w:hint="eastAsia"/>
                        <w:color w:val="000000"/>
                        <w:sz w:val="18"/>
                        <w:szCs w:val="18"/>
                      </w:rPr>
                      <w:t>154</w:t>
                    </w:r>
                  </w:p>
                </w:txbxContent>
              </v:textbox>
            </v:shape>
            <v:shape id="文本框 391" o:spid="_x0000_s2071" o:spt="202" type="#_x0000_t202" style="position:absolute;left:5327;top:3698;height:322;width:752;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YVHcUA&#10;AADcAAAADwAAAGRycy9kb3ducmV2LnhtbESP0WrCQBRE3wX/YbmFvjWbSFskdZUiaNOCgtoPuGSv&#10;2Zjs3ZDdxvTvuwXBx2FmzjCL1WhbMVDva8cKsiQFQVw6XXOl4Pu0eZqD8AFZY+uYFPySh9VyOllg&#10;rt2VDzQcQyUihH2OCkwIXS6lLw1Z9InriKN3dr3FEGVfSd3jNcJtK2dp+iot1hwXDHa0NlQ2xx+r&#10;YFufs9N+aKrONJ8f269idykuQanHh/H9DUSgMdzDt3ahFbw8Z/B/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hUdxQAAANwAAAAPAAAAAAAAAAAAAAAAAJgCAABkcnMv&#10;ZG93bnJldi54bWxQSwUGAAAAAAQABAD1AAAAigMAAAAA&#10;">
              <v:path/>
              <v:fill on="f" focussize="0,0"/>
              <v:stroke on="f" weight="0.5pt"/>
              <v:imagedata o:title=""/>
              <o:lock v:ext="edit" aspectratio="f"/>
              <v:textbox inset="0mm,0mm,0mm,0mm">
                <w:txbxContent>
                  <w:p w14:paraId="3FF1CFD6">
                    <w:pPr>
                      <w:jc w:val="center"/>
                      <w:rPr>
                        <w:color w:val="000000"/>
                        <w:sz w:val="18"/>
                        <w:szCs w:val="18"/>
                      </w:rPr>
                    </w:pPr>
                    <w:r>
                      <w:rPr>
                        <w:rFonts w:hint="eastAsia"/>
                        <w:color w:val="000000"/>
                        <w:sz w:val="18"/>
                        <w:szCs w:val="18"/>
                      </w:rPr>
                      <w:t>60</w:t>
                    </w:r>
                  </w:p>
                </w:txbxContent>
              </v:textbox>
            </v:shape>
            <v:shape id="任意多边形 2165" o:spid="_x0000_s2072" style="position:absolute;left:5176;top:3994;height:154;width:423;v-text-anchor:middle;" filled="f" o:bwmode="auto" stroked="t" coordsize="371475,125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GAMYA&#10;AADcAAAADwAAAGRycy9kb3ducmV2LnhtbESPX0vDMBTF3wd+h3AF37bUojK6pcUJwnDCdDrY3i7N&#10;tak2N7WJbf32iyDs8XD+/DjLYrSN6KnztWMF17MEBHHpdM2Vgve3x+kchA/IGhvHpOCXPBT5xWSJ&#10;mXYDv1K/C5WII+wzVGBCaDMpfWnIop+5ljh6H66zGKLsKqk7HOK4bWSaJHfSYs2RYLClB0Pl1+7H&#10;RojfHj/3L6unQ7oJ68H47er7uVfq6nK8X4AINIZz+L+91gpub1L4OxOPgMx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GAMYAAADcAAAADwAAAAAAAAAAAAAAAACYAgAAZHJz&#10;L2Rvd25yZXYueG1sUEsFBgAAAAAEAAQA9QAAAIsDAAAAAA==&#10;" path="m0,125281c31562,112656,72166,95333,104775,87181c117475,84006,130288,81252,142875,77656c152529,74898,161418,68549,171450,68131c238067,65355,304800,0,371475,0e">
              <v:path arrowok="t" o:connecttype="custom" o:connectlocs="0,76578;54853,53289;74800,47467;89760,41645;194479,0" o:connectangles="0,0,0,0,0"/>
              <v:fill on="f" focussize="0,0"/>
              <v:stroke color="#000000" joinstyle="round" dashstyle="dash" endarrow="block"/>
              <v:imagedata o:title=""/>
              <o:lock v:ext="edit" aspectratio="f"/>
              <v:textbox inset="0mm,0mm,0mm,0mm"/>
            </v:shape>
            <v:shape id="AutoShape 1185" o:spid="_x0000_s2073" o:spt="32" type="#_x0000_t32" style="position:absolute;left:2514;top:4343;height:1;width:1305;"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ilOsYAAADcAAAADwAAAGRycy9kb3ducmV2LnhtbESPQWvCQBSE70L/w/IEb3WjtqKpq4ig&#10;iKWHxhLa2yP7TEKzb8PuqrG/vlsoeBxm5htmsepMIy7kfG1ZwWiYgCAurK65VPBx3D7OQPiArLGx&#10;TApu5GG1fOgtMNX2yu90yUIpIoR9igqqENpUSl9UZNAPbUscvZN1BkOUrpTa4TXCTSPHSTKVBmuO&#10;CxW2tKmo+M7ORsHn6/yc3/I3OuSj+eELnfE/x51Sg363fgERqAv38H97rxU8P03g70w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IpTrGAAAA3AAAAA8AAAAAAAAA&#10;AAAAAAAAoQIAAGRycy9kb3ducmV2LnhtbFBLBQYAAAAABAAEAPkAAACUAwAAAAA=&#10;">
              <v:path arrowok="t"/>
              <v:fill on="f" focussize="0,0"/>
              <v:stroke color="#000000" endarrow="block"/>
              <v:imagedata o:title=""/>
              <o:lock v:ext="edit" aspectratio="f"/>
            </v:shape>
            <v:shape id="文本框 106" o:spid="_x0000_s2074" o:spt="202" type="#_x0000_t202" style="position:absolute;left:3836;top:5746;height:589;width:1965;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UGe78A&#10;AADcAAAADwAAAGRycy9kb3ducmV2LnhtbERPy4rCMBTdC/5DuIK7MXXAGalGEWVAYUB8fMA1uTbF&#10;5qY0sa1/P1kMuDyc93Ldu0q01ITSs4LpJANBrL0puVBwvfx8zEGEiGyw8kwKXhRgvRoOlpgb3/GJ&#10;2nMsRArhkKMCG2OdSxm0JYdh4mvixN194zAm2BTSNNilcFfJzyz7kg5LTg0Wa9pa0o/z0yn43h7C&#10;b9uFi/WOd9VN6ufRaaXGo36zABGpj2/xv3tvFMxmaW06k46AXP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ZQZ7vwAAANwAAAAPAAAAAAAAAAAAAAAAAJgCAABkcnMvZG93bnJl&#10;di54bWxQSwUGAAAAAAQABAD1AAAAhAMAAAAA&#10;">
              <v:path/>
              <v:fill on="t" color2="#FFFFFF" focussize="0,0"/>
              <v:stroke weight="0.5pt" color="#000000" joinstyle="miter"/>
              <v:imagedata o:title=""/>
              <o:lock v:ext="edit" aspectratio="f"/>
              <v:textbox inset="0mm,0mm,0mm,0mm">
                <w:txbxContent>
                  <w:p w14:paraId="67150D8B">
                    <w:pPr>
                      <w:ind w:left="0" w:leftChars="0" w:firstLine="0" w:firstLineChars="0"/>
                    </w:pPr>
                    <w:r>
                      <w:rPr>
                        <w:rFonts w:hint="eastAsia"/>
                        <w:sz w:val="18"/>
                        <w:szCs w:val="18"/>
                      </w:rPr>
                      <w:t>在建1×360t/h锅炉及2×B25MW热电联产项目</w:t>
                    </w:r>
                  </w:p>
                </w:txbxContent>
              </v:textbox>
            </v:shape>
            <v:shape id="直接箭头连接符 107" o:spid="_x0000_s2075" o:spt="32" type="#_x0000_t32" style="position:absolute;left:5797;top:5941;height:1;width:2496;"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kEDcUAAADcAAAADwAAAGRycy9kb3ducmV2LnhtbESPQWvCQBSE74L/YXmCN90oKE10lVKo&#10;iOKhWkJ7e2SfSWj2bdhdNfbXdwWhx2FmvmGW68404krO15YVTMYJCOLC6ppLBZ+n99ELCB+QNTaW&#10;ScGdPKxX/d4SM21v/EHXYyhFhLDPUEEVQptJ6YuKDPqxbYmjd7bOYIjSlVI7vEW4aeQ0SebSYM1x&#10;ocKW3ioqfo4Xo+Brn17ye36gXT5Jd9/ojP89bZQaDrrXBYhAXfgPP9tbrWA2S+FxJh4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kEDcUAAADcAAAADwAAAAAAAAAA&#10;AAAAAAChAgAAZHJzL2Rvd25yZXYueG1sUEsFBgAAAAAEAAQA+QAAAJMDAAAAAA==&#10;">
              <v:path arrowok="t"/>
              <v:fill on="f" focussize="0,0"/>
              <v:stroke color="#000000" endarrow="block"/>
              <v:imagedata o:title=""/>
              <o:lock v:ext="edit" aspectratio="f"/>
            </v:shape>
            <v:shape id="文本框 391" o:spid="_x0000_s2076" o:spt="202" type="#_x0000_t202" style="position:absolute;left:6469;top:5633;height:450;width:752;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s5sIA&#10;AADcAAAADwAAAGRycy9kb3ducmV2LnhtbERP3WrCMBS+H/gO4Qx2t6YdKKNrlDGw6wQH0z3AoTk2&#10;tc1JaWLt3n65ELz8+P6LzWx7MdHoW8cKsiQFQVw73XKj4Pe4fX4F4QOyxt4xKfgjD5v14qHAXLsr&#10;/9B0CI2IIexzVGBCGHIpfW3Iok/cQBy5kxsthgjHRuoRrzHc9vIlTVfSYsuxweBAH4bq7nCxCsr2&#10;lB2/p64ZTPf1We6q/bk6B6WeHuf3NxCB5nAX39yVVrBcxfnxTDwC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7+zmwgAAANwAAAAPAAAAAAAAAAAAAAAAAJgCAABkcnMvZG93&#10;bnJldi54bWxQSwUGAAAAAAQABAD1AAAAhwMAAAAA&#10;">
              <v:path/>
              <v:fill on="f" focussize="0,0"/>
              <v:stroke on="f" weight="0.5pt"/>
              <v:imagedata o:title=""/>
              <o:lock v:ext="edit" aspectratio="f"/>
              <v:textbox inset="0mm,0mm,0mm,0mm">
                <w:txbxContent>
                  <w:p w14:paraId="557B2D4A">
                    <w:pPr>
                      <w:jc w:val="center"/>
                      <w:rPr>
                        <w:color w:val="000000"/>
                        <w:sz w:val="18"/>
                        <w:szCs w:val="18"/>
                      </w:rPr>
                    </w:pPr>
                    <w:r>
                      <w:rPr>
                        <w:rFonts w:hint="eastAsia"/>
                        <w:color w:val="000000"/>
                        <w:sz w:val="18"/>
                        <w:szCs w:val="18"/>
                      </w:rPr>
                      <w:t>80</w:t>
                    </w:r>
                  </w:p>
                </w:txbxContent>
              </v:textbox>
            </v:shape>
            <v:shape id="文本框 391" o:spid="_x0000_s2077" o:spt="202" type="#_x0000_t202" style="position:absolute;left:2596;top:5618;height:465;width:99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NJfcUA&#10;AADcAAAADwAAAGRycy9kb3ducmV2LnhtbESP3WrCQBSE7wu+w3KE3tVNhEqJriKCGgst+PMAh+wx&#10;G5M9G7JrjG/fLRR6OczMN8xiNdhG9NT5yrGCdJKAIC6crrhUcDlv3z5A+ICssXFMCp7kYbUcvSww&#10;0+7BR+pPoRQRwj5DBSaENpPSF4Ys+olriaN3dZ3FEGVXSt3hI8JtI6dJMpMWK44LBlvaGCrq090q&#10;2FXX9Pzd12Vr6sN+95l/3fJbUOp1PKznIAIN4T/81861gvdZCr9n4h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o0l9xQAAANwAAAAPAAAAAAAAAAAAAAAAAJgCAABkcnMv&#10;ZG93bnJldi54bWxQSwUGAAAAAAQABAD1AAAAigMAAAAA&#10;">
              <v:path/>
              <v:fill on="f" focussize="0,0"/>
              <v:stroke on="f" weight="0.5pt"/>
              <v:imagedata o:title=""/>
              <o:lock v:ext="edit" aspectratio="f"/>
              <v:textbox inset="0mm,0mm,0mm,0mm">
                <w:txbxContent>
                  <w:p w14:paraId="059509DD">
                    <w:pPr>
                      <w:jc w:val="center"/>
                      <w:rPr>
                        <w:color w:val="000000"/>
                        <w:sz w:val="18"/>
                        <w:szCs w:val="18"/>
                      </w:rPr>
                    </w:pPr>
                    <w:r>
                      <w:rPr>
                        <w:rFonts w:hint="eastAsia"/>
                        <w:color w:val="000000"/>
                        <w:sz w:val="18"/>
                        <w:szCs w:val="18"/>
                      </w:rPr>
                      <w:t>2122.93</w:t>
                    </w:r>
                  </w:p>
                </w:txbxContent>
              </v:textbox>
            </v:shape>
            <v:shape id="文本框 391" o:spid="_x0000_s2078" o:spt="202" type="#_x0000_t202" style="position:absolute;left:5342;top:5296;height:322;width:752;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HXCsQA&#10;AADcAAAADwAAAGRycy9kb3ducmV2LnhtbESP0WrCQBRE3wv+w3IF3+pGQSnRVURQ04KFaj/gkr1m&#10;Y7J3Q3aN6d93BcHHYWbOMMt1b2vRUetLxwom4wQEce50yYWC3/Pu/QOED8gaa8ek4I88rFeDtyWm&#10;2t35h7pTKESEsE9RgQmhSaX0uSGLfuwa4uhdXGsxRNkWUrd4j3Bby2mSzKXFkuOCwYa2hvLqdLMK&#10;9uVlcv7uqqIx1edh/5Udr9k1KDUa9psFiEB9eIWf7UwrmM2n8Dg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x1wrEAAAA3AAAAA8AAAAAAAAAAAAAAAAAmAIAAGRycy9k&#10;b3ducmV2LnhtbFBLBQYAAAAABAAEAPUAAACJAwAAAAA=&#10;">
              <v:path/>
              <v:fill on="f" focussize="0,0"/>
              <v:stroke on="f" weight="0.5pt"/>
              <v:imagedata o:title=""/>
              <o:lock v:ext="edit" aspectratio="f"/>
              <v:textbox inset="0mm,0mm,0mm,0mm">
                <w:txbxContent>
                  <w:p w14:paraId="552A0928">
                    <w:pPr>
                      <w:jc w:val="center"/>
                      <w:rPr>
                        <w:color w:val="000000"/>
                        <w:sz w:val="18"/>
                        <w:szCs w:val="18"/>
                      </w:rPr>
                    </w:pPr>
                    <w:r>
                      <w:rPr>
                        <w:rFonts w:hint="eastAsia"/>
                        <w:color w:val="000000"/>
                        <w:sz w:val="18"/>
                        <w:szCs w:val="18"/>
                      </w:rPr>
                      <w:t>1537</w:t>
                    </w:r>
                    <w:r>
                      <w:rPr>
                        <w:color w:val="000000"/>
                        <w:sz w:val="18"/>
                        <w:szCs w:val="18"/>
                      </w:rPr>
                      <w:t>.93</w:t>
                    </w:r>
                  </w:p>
                </w:txbxContent>
              </v:textbox>
            </v:shape>
            <v:shape id="任意多边形 2165" o:spid="_x0000_s2079" style="position:absolute;left:5191;top:5592;height:154;width:423;v-text-anchor:middle;" filled="f" o:bwmode="auto" stroked="t" coordsize="371475,125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1/+8YA&#10;AADcAAAADwAAAGRycy9kb3ducmV2LnhtbESPXWvCMBSG7wf7D+EMdjfTKYpUo8zBQObAjyno3aE5&#10;Nt2ak9rEtvv3ZjDY5cv78fBO550tRUO1LxwreO4lIIgzpwvOFew/357GIHxA1lg6JgU/5GE+u7+b&#10;Yqpdy1tqdiEXcYR9igpMCFUqpc8MWfQ9VxFH7+xqiyHKOpe6xjaO21L2k2QkLRYcCQYrejWUfe+u&#10;NkL8+vR12Czej/1VWLbGrxeXj0apx4fuZQIiUBf+w3/tpVYwHA3g90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1/+8YAAADcAAAADwAAAAAAAAAAAAAAAACYAgAAZHJz&#10;L2Rvd25yZXYueG1sUEsFBgAAAAAEAAQA9QAAAIsDAAAAAA==&#10;" path="m0,125281c31562,112656,72166,95333,104775,87181c117475,84006,130288,81252,142875,77656c152529,74898,161418,68549,171450,68131c238067,65355,304800,0,371475,0e">
              <v:path arrowok="t" o:connecttype="custom" o:connectlocs="0,76578;54853,53289;74800,47467;89760,41645;194479,0" o:connectangles="0,0,0,0,0"/>
              <v:fill on="f" focussize="0,0"/>
              <v:stroke color="#000000" joinstyle="round" dashstyle="dash" endarrow="block"/>
              <v:imagedata o:title=""/>
              <o:lock v:ext="edit" aspectratio="f"/>
              <v:textbox inset="0mm,0mm,0mm,0mm"/>
            </v:shape>
            <v:shape id="AutoShape 1185" o:spid="_x0000_s2080" o:spt="32" type="#_x0000_t32" style="position:absolute;left:2529;top:5941;height:1;width:1305;"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RhLsYAAADcAAAADwAAAGRycy9kb3ducmV2LnhtbESPQWvCQBSE7wX/w/KE3urG0orGbEQK&#10;LcXSQ1WC3h7ZZxLMvg27q8b+elco9DjMzDdMtuhNK87kfGNZwXiUgCAurW64UrDdvD9NQfiArLG1&#10;TAqu5GGRDx4yTLW98A+d16ESEcI+RQV1CF0qpS9rMuhHtiOO3sE6gyFKV0nt8BLhppXPSTKRBhuO&#10;CzV29FZTeVyfjILd1+xUXItvWhXj2WqPzvjfzYdSj8N+OQcRqA//4b/2p1bwOnmB+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7UYS7GAAAA3AAAAA8AAAAAAAAA&#10;AAAAAAAAoQIAAGRycy9kb3ducmV2LnhtbFBLBQYAAAAABAAEAPkAAACUAwAAAAA=&#10;">
              <v:path arrowok="t"/>
              <v:fill on="f" focussize="0,0"/>
              <v:stroke color="#000000" endarrow="block"/>
              <v:imagedata o:title=""/>
              <o:lock v:ext="edit" aspectratio="f"/>
            </v:shape>
            <v:shape id="文本框 106" o:spid="_x0000_s2081" o:spt="202" type="#_x0000_t202" style="position:absolute;left:3851;top:7410;height:602;width:1965;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hjWMIA&#10;AADcAAAADwAAAGRycy9kb3ducmV2LnhtbESP3WoCMRSE74W+QziF3mm2BX9YjSKWQgVB1D7AaXLc&#10;LG5Olk3cXd/eCIKXw8x8wyxWvatES00oPSv4HGUgiLU3JRcK/k4/wxmIEJENVp5JwY0CrJZvgwXm&#10;xnd8oPYYC5EgHHJUYGOscymDtuQwjHxNnLyzbxzGJJtCmga7BHeV/MqyiXRYclqwWNPGkr4cr07B&#10;dLMNu7YLJ+sdf1f/Ul/3Tiv18d6v5yAi9fEVfrZ/jYLxZAyPM+k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CGNYwgAAANwAAAAPAAAAAAAAAAAAAAAAAJgCAABkcnMvZG93&#10;bnJldi54bWxQSwUGAAAAAAQABAD1AAAAhwMAAAAA&#10;">
              <v:path/>
              <v:fill on="t" color2="#FFFFFF" focussize="0,0"/>
              <v:stroke weight="0.5pt" color="#000000" joinstyle="miter"/>
              <v:imagedata o:title=""/>
              <o:lock v:ext="edit" aspectratio="f"/>
              <v:textbox inset="0mm,0mm,0mm,0mm">
                <w:txbxContent>
                  <w:p w14:paraId="2A4AE8AB">
                    <w:pPr>
                      <w:ind w:left="0" w:leftChars="0" w:firstLine="0" w:firstLineChars="0"/>
                      <w:rPr>
                        <w:sz w:val="18"/>
                        <w:szCs w:val="18"/>
                      </w:rPr>
                    </w:pPr>
                    <w:r>
                      <w:rPr>
                        <w:rFonts w:hint="eastAsia"/>
                        <w:sz w:val="18"/>
                        <w:szCs w:val="18"/>
                      </w:rPr>
                      <w:t>在建菌草生物质纤维产业化研发中试项目</w:t>
                    </w:r>
                  </w:p>
                </w:txbxContent>
              </v:textbox>
            </v:shape>
            <v:shape id="直接箭头连接符 107" o:spid="_x0000_s2082" o:spt="32" type="#_x0000_t32" style="position:absolute;left:5812;top:7605;height:1;width:2496;"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pawsUAAADcAAAADwAAAGRycy9kb3ducmV2LnhtbESPQWvCQBSE74L/YXlCb7qx0FCjq0ih&#10;pVg8VEvQ2yP7TILZt2F31eivdwWhx2FmvmFmi8404kzO15YVjEcJCOLC6ppLBX/bz+E7CB+QNTaW&#10;ScGVPCzm/d4MM20v/EvnTShFhLDPUEEVQptJ6YuKDPqRbYmjd7DOYIjSlVI7vES4aeRrkqTSYM1x&#10;ocKWPioqjpuTUbD7mZzya76mVT6erPbojL9tv5R6GXTLKYhAXfgPP9vfWsFbmsLjTDwCc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UpawsUAAADcAAAADwAAAAAAAAAA&#10;AAAAAAChAgAAZHJzL2Rvd25yZXYueG1sUEsFBgAAAAAEAAQA+QAAAJMDAAAAAA==&#10;">
              <v:path arrowok="t"/>
              <v:fill on="f" focussize="0,0"/>
              <v:stroke color="#000000" endarrow="block"/>
              <v:imagedata o:title=""/>
              <o:lock v:ext="edit" aspectratio="f"/>
            </v:shape>
            <v:shape id="文本框 391" o:spid="_x0000_s2083" o:spt="202" type="#_x0000_t202" style="position:absolute;left:6469;top:7268;height:450;width:752;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Z0ksUA&#10;AADcAAAADwAAAGRycy9kb3ducmV2LnhtbESP0WrCQBRE3wv+w3KFvtWNglaiq4igpkILVT/gkr1m&#10;Y7J3Q3aN6d93hUIfh5k5wyzXva1FR60vHSsYjxIQxLnTJRcKLufd2xyED8gaa8ek4Ic8rFeDlyWm&#10;2j34m7pTKESEsE9RgQmhSaX0uSGLfuQa4uhdXWsxRNkWUrf4iHBby0mSzKTFkuOCwYa2hvLqdLcK&#10;9uV1fP7qqqIx1cdhf8w+b9ktKPU67DcLEIH68B/+a2dawXT2Ds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nSSxQAAANwAAAAPAAAAAAAAAAAAAAAAAJgCAABkcnMv&#10;ZG93bnJldi54bWxQSwUGAAAAAAQABAD1AAAAigMAAAAA&#10;">
              <v:path/>
              <v:fill on="f" focussize="0,0"/>
              <v:stroke on="f" weight="0.5pt"/>
              <v:imagedata o:title=""/>
              <o:lock v:ext="edit" aspectratio="f"/>
              <v:textbox inset="0mm,0mm,0mm,0mm">
                <w:txbxContent>
                  <w:p w14:paraId="28AB2BDF">
                    <w:pPr>
                      <w:ind w:left="0" w:leftChars="0" w:firstLine="0" w:firstLineChars="0"/>
                      <w:jc w:val="both"/>
                      <w:rPr>
                        <w:color w:val="000000"/>
                        <w:sz w:val="18"/>
                        <w:szCs w:val="18"/>
                      </w:rPr>
                    </w:pPr>
                    <w:r>
                      <w:rPr>
                        <w:rFonts w:hint="eastAsia"/>
                        <w:color w:val="000000"/>
                        <w:sz w:val="18"/>
                        <w:szCs w:val="18"/>
                      </w:rPr>
                      <w:t>947.73</w:t>
                    </w:r>
                  </w:p>
                </w:txbxContent>
              </v:textbox>
            </v:shape>
            <v:shape id="文本框 391" o:spid="_x0000_s2084" o:spt="202" type="#_x0000_t202" style="position:absolute;left:2611;top:7357;height:465;width:99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ng4MIA&#10;AADcAAAADwAAAGRycy9kb3ducmV2LnhtbERP3WrCMBS+H/gO4Qx2t6YdKKNrlDGw6wQH0z3AoTk2&#10;tc1JaWLt3n65ELz8+P6LzWx7MdHoW8cKsiQFQVw73XKj4Pe4fX4F4QOyxt4xKfgjD5v14qHAXLsr&#10;/9B0CI2IIexzVGBCGHIpfW3Iok/cQBy5kxsthgjHRuoRrzHc9vIlTVfSYsuxweBAH4bq7nCxCsr2&#10;lB2/p64ZTPf1We6q/bk6B6WeHuf3NxCB5nAX39yVVrBcxbXxTDwC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eDgwgAAANwAAAAPAAAAAAAAAAAAAAAAAJgCAABkcnMvZG93&#10;bnJldi54bWxQSwUGAAAAAAQABAD1AAAAhwMAAAAA&#10;">
              <v:path/>
              <v:fill on="f" focussize="0,0"/>
              <v:stroke on="f" weight="0.5pt"/>
              <v:imagedata o:title=""/>
              <o:lock v:ext="edit" aspectratio="f"/>
              <v:textbox inset="0mm,0mm,0mm,0mm">
                <w:txbxContent>
                  <w:p w14:paraId="5DC241E3">
                    <w:pPr>
                      <w:jc w:val="center"/>
                      <w:rPr>
                        <w:color w:val="000000"/>
                        <w:sz w:val="18"/>
                        <w:szCs w:val="18"/>
                      </w:rPr>
                    </w:pPr>
                    <w:r>
                      <w:rPr>
                        <w:rFonts w:hint="eastAsia"/>
                        <w:color w:val="000000"/>
                        <w:sz w:val="18"/>
                        <w:szCs w:val="18"/>
                      </w:rPr>
                      <w:t>987.76</w:t>
                    </w:r>
                  </w:p>
                  <w:p w14:paraId="56E7F289">
                    <w:pPr>
                      <w:jc w:val="center"/>
                      <w:rPr>
                        <w:color w:val="000000"/>
                        <w:sz w:val="18"/>
                        <w:szCs w:val="18"/>
                      </w:rPr>
                    </w:pPr>
                  </w:p>
                </w:txbxContent>
              </v:textbox>
            </v:shape>
            <v:shape id="文本框 391" o:spid="_x0000_s2085" o:spt="202" type="#_x0000_t202" style="position:absolute;left:5357;top:7028;height:322;width:752;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VFe8UA&#10;AADcAAAADwAAAGRycy9kb3ducmV2LnhtbESP0WrCQBRE3wv+w3KFvtWNglKjq4igpkILVT/gkr1m&#10;Y7J3Q3aN6d93hUIfh5k5wyzXva1FR60vHSsYjxIQxLnTJRcKLufd2zsIH5A11o5JwQ95WK8GL0tM&#10;tXvwN3WnUIgIYZ+iAhNCk0rpc0MW/cg1xNG7utZiiLItpG7xEeG2lpMkmUmLJccFgw1tDeXV6W4V&#10;7Mvr+PzVVUVjqo/D/ph93rJbUOp12G8WIAL14T/81860gulsDs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1UV7xQAAANwAAAAPAAAAAAAAAAAAAAAAAJgCAABkcnMv&#10;ZG93bnJldi54bWxQSwUGAAAAAAQABAD1AAAAigMAAAAA&#10;">
              <v:path/>
              <v:fill on="f" focussize="0,0"/>
              <v:stroke on="f" weight="0.5pt"/>
              <v:imagedata o:title=""/>
              <o:lock v:ext="edit" aspectratio="f"/>
              <v:textbox inset="0mm,0mm,0mm,0mm">
                <w:txbxContent>
                  <w:p w14:paraId="25231C9C">
                    <w:pPr>
                      <w:jc w:val="center"/>
                      <w:rPr>
                        <w:color w:val="000000"/>
                        <w:sz w:val="18"/>
                        <w:szCs w:val="18"/>
                      </w:rPr>
                    </w:pPr>
                    <w:r>
                      <w:rPr>
                        <w:rFonts w:hint="eastAsia"/>
                        <w:color w:val="000000"/>
                        <w:sz w:val="18"/>
                        <w:szCs w:val="18"/>
                      </w:rPr>
                      <w:t>40.03</w:t>
                    </w:r>
                  </w:p>
                </w:txbxContent>
              </v:textbox>
            </v:shape>
            <v:shape id="任意多边形 2165" o:spid="_x0000_s2086" style="position:absolute;left:5206;top:7256;height:154;width:423;v-text-anchor:middle;" filled="f" o:bwmode="auto" stroked="t" coordsize="371475,125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Z3UcQA&#10;AADcAAAADwAAAGRycy9kb3ducmV2LnhtbERPTUvDQBC9C/6HZQRvdmNBK7Hb0gpC0UJrVWhvQ3aa&#10;jWZnY3ZN0n/fOQgeH+97Oh98rTpqYxXYwO0oA0VcBFtxaeDj/fnmAVRMyBbrwGTgRBHms8uLKeY2&#10;9PxG3S6VSkI45mjApdTkWsfCkcc4Cg2xcMfQekwC21LbFnsJ97UeZ9m99lixNDhs6MlR8b379VIS&#10;N4evz+3yZT9+Tavexc3yZ90Zc301LB5BJRrSv/jPvbIG7iYyX87IEdCz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d1HEAAAA3AAAAA8AAAAAAAAAAAAAAAAAmAIAAGRycy9k&#10;b3ducmV2LnhtbFBLBQYAAAAABAAEAPUAAACJAwAAAAA=&#10;" path="m0,125281c31562,112656,72166,95333,104775,87181c117475,84006,130288,81252,142875,77656c152529,74898,161418,68549,171450,68131c238067,65355,304800,0,371475,0e">
              <v:path arrowok="t" o:connecttype="custom" o:connectlocs="0,76578;54853,53289;74800,47467;89760,41645;194479,0" o:connectangles="0,0,0,0,0"/>
              <v:fill on="f" focussize="0,0"/>
              <v:stroke color="#000000" joinstyle="round" dashstyle="dash" endarrow="block"/>
              <v:imagedata o:title=""/>
              <o:lock v:ext="edit" aspectratio="f"/>
              <v:textbox inset="0mm,0mm,0mm,0mm"/>
            </v:shape>
            <v:shape id="AutoShape 1185" o:spid="_x0000_s2087" o:spt="32" type="#_x0000_t32" style="position:absolute;left:2544;top:7605;height:1;width:1305;"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3pUa8YAAADcAAAADwAAAGRycy9kb3ducmV2LnhtbESPT2vCQBTE7wW/w/KE3uomBVuNriJC&#10;pVh68A9Bb4/sMwlm34bdVWM/fbdQ8DjMzG+Y6bwzjbiS87VlBekgAUFcWF1zqWC/+3gZgfABWWNj&#10;mRTcycN81nuaYqbtjTd03YZSRAj7DBVUIbSZlL6oyKAf2JY4eifrDIYoXSm1w1uEm0a+JsmbNFhz&#10;XKiwpWVFxXl7MQoOX+NLfs+/aZ2n4/URnfE/u5VSz/1uMQERqAuP8H/7UysYvqfwdyYe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6VGvGAAAA3AAAAA8AAAAAAAAA&#10;AAAAAAAAoQIAAGRycy9kb3ducmV2LnhtbFBLBQYAAAAABAAEAPkAAACUAwAAAAA=&#10;">
              <v:path arrowok="t"/>
              <v:fill on="f" focussize="0,0"/>
              <v:stroke color="#000000" endarrow="block"/>
              <v:imagedata o:title=""/>
              <o:lock v:ext="edit" aspectratio="f"/>
            </v:shape>
            <v:shape id="AutoShape 1185" o:spid="_x0000_s2089" o:spt="32" type="#_x0000_t32" style="position:absolute;left:8351;top:9953;height:1;width:769;"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iJfcYAAADcAAAADwAAAGRycy9kb3ducmV2LnhtbESPQWvCQBSE74X+h+UVvNWNFsVEVxHB&#10;IpYe1BLq7ZF9TUKzb8PuqtFf3y0IHoeZ+YaZLTrTiDM5X1tWMOgnIIgLq2suFXwd1q8TED4ga2ws&#10;k4IreVjMn59mmGl74R2d96EUEcI+QwVVCG0mpS8qMuj7tiWO3o91BkOUrpTa4SXCTSOHSTKWBmuO&#10;CxW2tKqo+N2fjILvj/SUX/NP2uaDdHtEZ/zt8K5U76VbTkEE6sIjfG9vtIJR+gb/Z+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oiX3GAAAA3AAAAA8AAAAAAAAA&#10;AAAAAAAAoQIAAGRycy9kb3ducmV2LnhtbFBLBQYAAAAABAAEAPkAAACUAwAAAAA=&#10;">
              <v:path arrowok="t"/>
              <v:fill on="f" focussize="0,0"/>
              <v:stroke color="#000000" endarrow="block"/>
              <v:imagedata o:title=""/>
              <o:lock v:ext="edit" aspectratio="f"/>
            </v:shape>
            <v:shape id="文本框 1412" o:spid="_x0000_s2090" o:spt="202" type="#_x0000_t202" style="position:absolute;left:10005;top:9547;height:795;width:426;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0Tf8MA&#10;AADcAAAADwAAAGRycy9kb3ducmV2LnhtbESP0WoCMRRE3wv9h3ALvtVsC9q6GqUogoJQ1H7ANblu&#10;lm5ulk3cXf/eCIKPw8ycYWaL3lWipSaUnhV8DDMQxNqbkgsFf8f1+zeIEJENVp5JwZUCLOavLzPM&#10;je94T+0hFiJBOOSowMZY51IGbclhGPqaOHln3ziMSTaFNA12Ce4q+ZllY+mw5LRgsaalJf1/uDgF&#10;X8tt2LVdOFrveFWdpL78Oq3U4K3/mYKI1Mdn+NHeGAWjyQjuZ9IR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0Tf8MAAADcAAAADwAAAAAAAAAAAAAAAACYAgAAZHJzL2Rv&#10;d25yZXYueG1sUEsFBgAAAAAEAAQA9QAAAIgDAAAAAA==&#10;">
              <v:path/>
              <v:fill on="t" color2="#FFFFFF" focussize="0,0"/>
              <v:stroke weight="0.5pt" color="#000000" joinstyle="miter"/>
              <v:imagedata o:title=""/>
              <o:lock v:ext="edit" aspectratio="f"/>
              <v:textbox inset="0mm,0mm,0mm,0mm">
                <w:txbxContent>
                  <w:p w14:paraId="0A662B12">
                    <w:pPr>
                      <w:ind w:left="0" w:leftChars="0" w:firstLine="0" w:firstLineChars="0"/>
                      <w:jc w:val="both"/>
                      <w:rPr>
                        <w:sz w:val="18"/>
                        <w:szCs w:val="18"/>
                      </w:rPr>
                    </w:pPr>
                    <w:r>
                      <w:rPr>
                        <w:rFonts w:hint="eastAsia"/>
                        <w:sz w:val="18"/>
                        <w:szCs w:val="18"/>
                      </w:rPr>
                      <w:t>总排口</w:t>
                    </w:r>
                  </w:p>
                </w:txbxContent>
              </v:textbox>
            </v:shape>
            <v:shape id="AutoShape 1185" o:spid="_x0000_s2091" o:spt="32" type="#_x0000_t32" style="position:absolute;left:9727;top:9956;flip:y;height:16;width:278;" filled="f" stroked="t" coordsize="21600,21600">
              <v:path arrowok="t"/>
              <v:fill on="f" focussize="0,0"/>
              <v:stroke color="#000000" endarrow="block"/>
              <v:imagedata o:title=""/>
              <o:lock v:ext="edit" aspectratio="f"/>
            </v:shape>
            <v:shape id="文本框 391" o:spid="_x0000_s2092" o:spt="202" type="#_x0000_t202" style="position:absolute;left:8378;top:9531;height:480;width:723;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nd/MIA&#10;AADcAAAADwAAAGRycy9kb3ducmV2LnhtbERP3WrCMBS+H/gO4Qx2t6YdIqNrlDGw6wQH0z3AoTk2&#10;tc1JaWLt3n65ELz8+P6LzWx7MdHoW8cKsiQFQVw73XKj4Pe4fX4F4QOyxt4xKfgjD5v14qHAXLsr&#10;/9B0CI2IIexzVGBCGHIpfW3Iok/cQBy5kxsthgjHRuoRrzHc9vIlTVfSYsuxweBAH4bq7nCxCsr2&#10;lB2/p64ZTPf1We6q/bk6B6WeHuf3NxCB5nAX39yVVrBaxrXxTDwC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Cd38wgAAANwAAAAPAAAAAAAAAAAAAAAAAJgCAABkcnMvZG93&#10;bnJldi54bWxQSwUGAAAAAAQABAD1AAAAhwMAAAAA&#10;">
              <v:path/>
              <v:fill on="f" focussize="0,0"/>
              <v:stroke on="f" weight="0.5pt"/>
              <v:imagedata o:title=""/>
              <o:lock v:ext="edit" aspectratio="f"/>
              <v:textbox inset="0mm,0mm,0mm,0mm">
                <w:txbxContent>
                  <w:p w14:paraId="239C1C76">
                    <w:pPr>
                      <w:ind w:left="0" w:leftChars="0" w:firstLine="0" w:firstLineChars="0"/>
                      <w:jc w:val="both"/>
                      <w:rPr>
                        <w:rFonts w:hint="default" w:eastAsia="宋体"/>
                        <w:color w:val="000000"/>
                        <w:sz w:val="18"/>
                        <w:szCs w:val="18"/>
                        <w:lang w:val="en-US" w:eastAsia="zh-CN"/>
                      </w:rPr>
                    </w:pPr>
                    <w:r>
                      <w:rPr>
                        <w:rFonts w:hint="eastAsia"/>
                        <w:color w:val="000000"/>
                        <w:sz w:val="18"/>
                        <w:szCs w:val="18"/>
                        <w:lang w:val="en-US" w:eastAsia="zh-CN"/>
                      </w:rPr>
                      <w:t>1234.04</w:t>
                    </w:r>
                  </w:p>
                </w:txbxContent>
              </v:textbox>
            </v:shape>
            <v:shape id="_x0000_s2093" o:spid="_x0000_s2093" o:spt="35" type="#_x0000_t35" style="position:absolute;left:4819;top:6031;flip:x;height:250;width:982;" filled="f" stroked="t" coordsize="21600,21600" adj="-7897,52618">
              <v:path arrowok="t"/>
              <v:fill on="f" focussize="0,0"/>
              <v:stroke color="#000000" joinstyle="miter" endarrow="block"/>
              <v:imagedata o:title=""/>
              <o:lock v:ext="edit" aspectratio="f"/>
            </v:shape>
            <v:shape id="文本框 391" o:spid="_x0000_s2094" o:spt="202" type="#_x0000_t202" style="position:absolute;left:5176;top:6349;height:322;width:752;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HXCsQA&#10;AADcAAAADwAAAGRycy9kb3ducmV2LnhtbESP0WrCQBRE3wv+w3IF3+pGQSnRVURQ04KFaj/gkr1m&#10;Y7J3Q3aN6d93BcHHYWbOMMt1b2vRUetLxwom4wQEce50yYWC3/Pu/QOED8gaa8ek4I88rFeDtyWm&#10;2t35h7pTKESEsE9RgQmhSaX0uSGLfuwa4uhdXGsxRNkWUrd4j3Bby2mSzKXFkuOCwYa2hvLqdLMK&#10;9uVlcv7uqqIx1edh/5Udr9k1KDUa9psFiEB9eIWf7UwrmM2n8Dg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x1wrEAAAA3AAAAA8AAAAAAAAAAAAAAAAAmAIAAGRycy9k&#10;b3ducmV2LnhtbFBLBQYAAAAABAAEAPUAAACJAwAAAAA=&#10;">
              <v:path/>
              <v:fill on="f" focussize="0,0"/>
              <v:stroke on="f" weight="0.5pt"/>
              <v:imagedata o:title=""/>
              <o:lock v:ext="edit" aspectratio="f"/>
              <v:textbox inset="0mm,0mm,0mm,0mm">
                <w:txbxContent>
                  <w:p w14:paraId="4B8F18FC">
                    <w:pPr>
                      <w:jc w:val="center"/>
                      <w:rPr>
                        <w:color w:val="000000"/>
                        <w:sz w:val="18"/>
                        <w:szCs w:val="18"/>
                      </w:rPr>
                    </w:pPr>
                    <w:r>
                      <w:rPr>
                        <w:rFonts w:hint="eastAsia"/>
                        <w:color w:val="000000"/>
                        <w:sz w:val="18"/>
                        <w:szCs w:val="18"/>
                      </w:rPr>
                      <w:t>5529</w:t>
                    </w:r>
                  </w:p>
                </w:txbxContent>
              </v:textbox>
            </v:shape>
            <v:shape id="文本框 391" o:spid="_x0000_s2095" o:spt="202" type="#_x0000_t202" style="position:absolute;left:3732;top:5244;height:374;width:1372;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HXCsQA&#10;AADcAAAADwAAAGRycy9kb3ducmV2LnhtbESP0WrCQBRE3wv+w3IF3+pGQSnRVURQ04KFaj/gkr1m&#10;Y7J3Q3aN6d93BcHHYWbOMMt1b2vRUetLxwom4wQEce50yYWC3/Pu/QOED8gaa8ek4I88rFeDtyWm&#10;2t35h7pTKESEsE9RgQmhSaX0uSGLfuwa4uhdXGsxRNkWUrd4j3Bby2mSzKXFkuOCwYa2hvLqdLMK&#10;9uVlcv7uqqIx1edh/5Udr9k1KDUa9psFiEB9eIWf7UwrmM2n8Dg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x1wrEAAAA3AAAAA8AAAAAAAAAAAAAAAAAmAIAAGRycy9k&#10;b3ducmV2LnhtbFBLBQYAAAAABAAEAPUAAACJAwAAAAA=&#10;">
              <v:path/>
              <v:fill on="f" focussize="0,0"/>
              <v:stroke on="f" weight="0.5pt"/>
              <v:imagedata o:title=""/>
              <o:lock v:ext="edit" aspectratio="f"/>
              <v:textbox inset="0mm,0mm,0mm,0mm">
                <w:txbxContent>
                  <w:p w14:paraId="067BB5F5">
                    <w:pPr>
                      <w:jc w:val="center"/>
                      <w:rPr>
                        <w:color w:val="000000"/>
                        <w:sz w:val="18"/>
                        <w:szCs w:val="18"/>
                      </w:rPr>
                    </w:pPr>
                    <w:r>
                      <w:rPr>
                        <w:rFonts w:hint="eastAsia"/>
                        <w:color w:val="000000"/>
                        <w:sz w:val="18"/>
                        <w:szCs w:val="18"/>
                      </w:rPr>
                      <w:t>灰渣调湿505</w:t>
                    </w:r>
                  </w:p>
                </w:txbxContent>
              </v:textbox>
            </v:shape>
            <v:shape id="_x0000_s2096" o:spid="_x0000_s2096" o:spt="32" type="#_x0000_t32" style="position:absolute;left:4416;top:5457;flip:y;height:289;width:1;" filled="f" stroked="t" coordsize="21600,21600">
              <v:path arrowok="t"/>
              <v:fill on="f" focussize="0,0"/>
              <v:stroke color="#000000" endarrow="block"/>
              <v:imagedata o:title=""/>
              <o:lock v:ext="edit" aspectratio="f"/>
            </v:shape>
            <v:shape id="文本框 106" o:spid="_x0000_s2224" o:spt="202" type="#_x0000_t202" style="position:absolute;left:3896;top:8730;height:600;width:1960;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hjWMIA&#10;AADcAAAADwAAAGRycy9kb3ducmV2LnhtbESP3WoCMRSE74W+QziF3mm2BX9YjSKWQgVB1D7AaXLc&#10;LG5Olk3cXd/eCIKXw8x8wyxWvatES00oPSv4HGUgiLU3JRcK/k4/wxmIEJENVp5JwY0CrJZvgwXm&#10;xnd8oPYYC5EgHHJUYGOscymDtuQwjHxNnLyzbxzGJJtCmga7BHeV/MqyiXRYclqwWNPGkr4cr07B&#10;dLMNu7YLJ+sdf1f/Ul/3Tiv18d6v5yAi9fEVfrZ/jYLxZAyPM+k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CGNYwgAAANwAAAAPAAAAAAAAAAAAAAAAAJgCAABkcnMvZG93&#10;bnJldi54bWxQSwUGAAAAAAQABAD1AAAAhwMAAAAA&#10;">
              <v:path/>
              <v:fill on="t" color2="#FFFFFF" focussize="0,0"/>
              <v:stroke weight="0.5pt" color="#000000" joinstyle="miter"/>
              <v:imagedata o:title=""/>
              <o:lock v:ext="edit" aspectratio="f"/>
              <v:textbox inset="0mm,0mm,0mm,0mm">
                <w:txbxContent>
                  <w:p w14:paraId="70DF9600">
                    <w:pPr>
                      <w:ind w:left="0" w:leftChars="0" w:firstLine="0" w:firstLineChars="0"/>
                      <w:rPr>
                        <w:rFonts w:hint="eastAsia"/>
                        <w:sz w:val="18"/>
                        <w:szCs w:val="18"/>
                      </w:rPr>
                    </w:pPr>
                    <w:r>
                      <w:rPr>
                        <w:rFonts w:hint="eastAsia"/>
                        <w:sz w:val="18"/>
                        <w:szCs w:val="18"/>
                      </w:rPr>
                      <w:t>离子液体法再生纤维素纤维（首赛尔纤维）项目</w:t>
                    </w:r>
                  </w:p>
                </w:txbxContent>
              </v:textbox>
            </v:shape>
            <v:shape id="直接箭头连接符 107" o:spid="_x0000_s2225" o:spt="32" type="#_x0000_t32" style="position:absolute;left:5871;top:9308;height:0;width:248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pawsUAAADcAAAADwAAAGRycy9kb3ducmV2LnhtbESPQWvCQBSE74L/YXlCb7qx0FCjq0ih&#10;pVg8VEvQ2yP7TILZt2F31eivdwWhx2FmvmFmi8404kzO15YVjEcJCOLC6ppLBX/bz+E7CB+QNTaW&#10;ScGVPCzm/d4MM20v/EvnTShFhLDPUEEVQptJ6YuKDPqRbYmjd7DOYIjSlVI7vES4aeRrkqTSYM1x&#10;ocKWPioqjpuTUbD7mZzya76mVT6erPbojL9tv5R6GXTLKYhAXfgPP9vfWsFbmsLjTDwCc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UpawsUAAADcAAAADwAAAAAAAAAA&#10;AAAAAAChAgAAZHJzL2Rvd25yZXYueG1sUEsFBgAAAAAEAAQA+QAAAJMDAAAAAA==&#10;">
              <v:path arrowok="t"/>
              <v:fill on="f" focussize="0,0"/>
              <v:stroke color="#000000" endarrow="block"/>
              <v:imagedata o:title=""/>
              <o:lock v:ext="edit" aspectratio="f"/>
            </v:shape>
            <v:shape id="任意多边形 2165" o:spid="_x0000_s2226" style="position:absolute;left:5256;top:8570;height:140;width:420;v-text-anchor:middle;" filled="f" o:bwmode="auto" stroked="t" coordsize="371475,125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Z3UcQA&#10;AADcAAAADwAAAGRycy9kb3ducmV2LnhtbERPTUvDQBC9C/6HZQRvdmNBK7Hb0gpC0UJrVWhvQ3aa&#10;jWZnY3ZN0n/fOQgeH+97Oh98rTpqYxXYwO0oA0VcBFtxaeDj/fnmAVRMyBbrwGTgRBHms8uLKeY2&#10;9PxG3S6VSkI45mjApdTkWsfCkcc4Cg2xcMfQekwC21LbFnsJ97UeZ9m99lixNDhs6MlR8b379VIS&#10;N4evz+3yZT9+Tavexc3yZ90Zc301LB5BJRrSv/jPvbIG7iYyX87IEdCz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d1HEAAAA3AAAAA8AAAAAAAAAAAAAAAAAmAIAAGRycy9k&#10;b3ducmV2LnhtbFBLBQYAAAAABAAEAPUAAACJAwAAAAA=&#10;" path="m0,125281c31562,112656,72166,95333,104775,87181c117475,84006,130288,81252,142875,77656c152529,74898,161418,68549,171450,68131c238067,65355,304800,0,371475,0e">
              <v:path arrowok="t" o:connecttype="custom" o:connectlocs="0,76578;54853,53289;74800,47467;89760,41645;194479,0" o:connectangles="0,0,0,0,0"/>
              <v:fill on="f" focussize="0,0"/>
              <v:stroke color="#000000" joinstyle="round" dashstyle="dash" endarrow="block"/>
              <v:imagedata o:title=""/>
              <o:lock v:ext="edit" aspectratio="f"/>
              <v:textbox inset="0mm,0mm,0mm,0mm"/>
            </v:shape>
            <v:shape id="AutoShape 1185" o:spid="_x0000_s2227" o:spt="32" type="#_x0000_t32" style="position:absolute;left:2576;top:8930;height:0;width:130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3pUa8YAAADcAAAADwAAAGRycy9kb3ducmV2LnhtbESPT2vCQBTE7wW/w/KE3uomBVuNriJC&#10;pVh68A9Bb4/sMwlm34bdVWM/fbdQ8DjMzG+Y6bwzjbiS87VlBekgAUFcWF1zqWC/+3gZgfABWWNj&#10;mRTcycN81nuaYqbtjTd03YZSRAj7DBVUIbSZlL6oyKAf2JY4eifrDIYoXSm1w1uEm0a+JsmbNFhz&#10;XKiwpWVFxXl7MQoOX+NLfs+/aZ2n4/URnfE/u5VSz/1uMQERqAuP8H/7UysYvqfwdyYe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6VGvGAAAA3AAAAA8AAAAAAAAA&#10;AAAAAAAAoQIAAGRycy9kb3ducmV2LnhtbFBLBQYAAAAABAAEAPkAAACUAwAAAAA=&#10;">
              <v:path arrowok="t"/>
              <v:fill on="f" focussize="0,0"/>
              <v:stroke color="#000000" endarrow="block"/>
              <v:imagedata o:title=""/>
              <o:lock v:ext="edit" aspectratio="f"/>
            </v:shape>
            <v:shape id="文本框 391" o:spid="_x0000_s2228" o:spt="202" type="#_x0000_t202" style="position:absolute;left:5692;top:8336;height:320;width:74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VFe8UA&#10;AADcAAAADwAAAGRycy9kb3ducmV2LnhtbESP0WrCQBRE3wv+w3KFvtWNglKjq4igpkILVT/gkr1m&#10;Y7J3Q3aN6d93hUIfh5k5wyzXva1FR60vHSsYjxIQxLnTJRcKLufd2zsIH5A11o5JwQ95WK8GL0tM&#10;tXvwN3WnUIgIYZ+iAhNCk0rpc0MW/cg1xNG7utZiiLItpG7xEeG2lpMkmUmLJccFgw1tDeXV6W4V&#10;7Mvr+PzVVUVjqo/D/ph93rJbUOp12G8WIAL14T/81860gulsDs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1UV7xQAAANwAAAAPAAAAAAAAAAAAAAAAAJgCAABkcnMv&#10;ZG93bnJldi54bWxQSwUGAAAAAAQABAD1AAAAigMAAAAA&#10;">
              <v:path/>
              <v:fill on="f" focussize="0,0"/>
              <v:stroke on="f" weight="0.5pt"/>
              <v:imagedata o:title=""/>
              <o:lock v:ext="edit" aspectratio="f"/>
              <v:textbox inset="0mm,0mm,0mm,0mm">
                <w:txbxContent>
                  <w:p w14:paraId="6B18A182">
                    <w:pPr>
                      <w:ind w:left="0" w:leftChars="0" w:firstLine="0" w:firstLineChars="0"/>
                      <w:jc w:val="both"/>
                      <w:rPr>
                        <w:rFonts w:hint="default" w:eastAsia="宋体"/>
                        <w:color w:val="000000"/>
                        <w:sz w:val="18"/>
                        <w:szCs w:val="18"/>
                        <w:lang w:val="en-US" w:eastAsia="zh-CN"/>
                      </w:rPr>
                    </w:pPr>
                    <w:r>
                      <w:rPr>
                        <w:rFonts w:hint="eastAsia"/>
                        <w:color w:val="000000"/>
                        <w:sz w:val="18"/>
                        <w:szCs w:val="18"/>
                        <w:lang w:val="en-US" w:eastAsia="zh-CN"/>
                      </w:rPr>
                      <w:t>324.13</w:t>
                    </w:r>
                  </w:p>
                </w:txbxContent>
              </v:textbox>
            </v:shape>
            <v:shape id="文本框 391" o:spid="_x0000_s2229" o:spt="202" type="#_x0000_t202" style="position:absolute;left:6582;top:8613;height:440;width:74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Z0ksUA&#10;AADcAAAADwAAAGRycy9kb3ducmV2LnhtbESP0WrCQBRE3wv+w3KFvtWNglaiq4igpkILVT/gkr1m&#10;Y7J3Q3aN6d93hUIfh5k5wyzXva1FR60vHSsYjxIQxLnTJRcKLufd2xyED8gaa8ek4Ic8rFeDlyWm&#10;2j34m7pTKESEsE9RgQmhSaX0uSGLfuQa4uhdXWsxRNkWUrf4iHBby0mSzKTFkuOCwYa2hvLqdLcK&#10;9uV1fP7qqqIx1cdhf8w+b9ktKPU67DcLEIH68B/+a2dawXT2Ds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nSSxQAAANwAAAAPAAAAAAAAAAAAAAAAAJgCAABkcnMv&#10;ZG93bnJldi54bWxQSwUGAAAAAAQABAD1AAAAigMAAAAA&#10;">
              <v:path/>
              <v:fill on="f" focussize="0,0"/>
              <v:stroke on="f" weight="0.5pt"/>
              <v:imagedata o:title=""/>
              <o:lock v:ext="edit" aspectratio="f"/>
              <v:textbox inset="0mm,0mm,0mm,0mm">
                <w:txbxContent>
                  <w:p w14:paraId="10CDCFEB">
                    <w:pPr>
                      <w:ind w:left="0" w:leftChars="0" w:firstLine="0" w:firstLineChars="0"/>
                      <w:jc w:val="both"/>
                      <w:rPr>
                        <w:rFonts w:hint="default" w:eastAsia="宋体"/>
                        <w:color w:val="000000"/>
                        <w:sz w:val="18"/>
                        <w:szCs w:val="18"/>
                        <w:lang w:val="en-US" w:eastAsia="zh-CN"/>
                      </w:rPr>
                    </w:pPr>
                    <w:r>
                      <w:rPr>
                        <w:rFonts w:hint="eastAsia"/>
                        <w:color w:val="000000"/>
                        <w:sz w:val="18"/>
                        <w:szCs w:val="18"/>
                        <w:lang w:val="en-US" w:eastAsia="zh-CN"/>
                      </w:rPr>
                      <w:t>224.68</w:t>
                    </w:r>
                  </w:p>
                </w:txbxContent>
              </v:textbox>
            </v:shape>
            <v:shape id="文本框 391" o:spid="_x0000_s2230" o:spt="202" type="#_x0000_t202" style="position:absolute;left:2751;top:8640;height:460;width:98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ng4MIA&#10;AADcAAAADwAAAGRycy9kb3ducmV2LnhtbERP3WrCMBS+H/gO4Qx2t6YdKKNrlDGw6wQH0z3AoTk2&#10;tc1JaWLt3n65ELz8+P6LzWx7MdHoW8cKsiQFQVw73XKj4Pe4fX4F4QOyxt4xKfgjD5v14qHAXLsr&#10;/9B0CI2IIexzVGBCGHIpfW3Iok/cQBy5kxsthgjHRuoRrzHc9vIlTVfSYsuxweBAH4bq7nCxCsr2&#10;lB2/p64ZTPf1We6q/bk6B6WeHuf3NxCB5nAX39yVVrBcxbXxTDwC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eDgwgAAANwAAAAPAAAAAAAAAAAAAAAAAJgCAABkcnMvZG93&#10;bnJldi54bWxQSwUGAAAAAAQABAD1AAAAhwMAAAAA&#10;">
              <v:path/>
              <v:fill on="f" focussize="0,0"/>
              <v:stroke on="f" weight="0.5pt"/>
              <v:imagedata o:title=""/>
              <o:lock v:ext="edit" aspectratio="f"/>
              <v:textbox inset="0mm,0mm,0mm,0mm">
                <w:txbxContent>
                  <w:p w14:paraId="12F8D97E">
                    <w:pPr>
                      <w:jc w:val="center"/>
                      <w:rPr>
                        <w:rFonts w:hint="default" w:eastAsia="宋体"/>
                        <w:color w:val="000000"/>
                        <w:sz w:val="18"/>
                        <w:szCs w:val="18"/>
                        <w:lang w:val="en-US" w:eastAsia="zh-CN"/>
                      </w:rPr>
                    </w:pPr>
                    <w:r>
                      <w:rPr>
                        <w:rFonts w:hint="eastAsia"/>
                        <w:color w:val="000000"/>
                        <w:sz w:val="18"/>
                        <w:szCs w:val="18"/>
                        <w:lang w:val="en-US" w:eastAsia="zh-CN"/>
                      </w:rPr>
                      <w:t>661.12</w:t>
                    </w:r>
                  </w:p>
                </w:txbxContent>
              </v:textbox>
            </v:shape>
            <v:shape id="直接箭头连接符 107" o:spid="_x0000_s2541" o:spt="32" type="#_x0000_t32" style="position:absolute;left:5896;top:8841;flip:y;height:34;width:4349;" filled="f" stroked="t" coordsize="21600,21600">
              <v:path arrowok="t"/>
              <v:fill on="f" focussize="0,0"/>
              <v:stroke color="#000000" dashstyle="1 1" endcap="square" endarrow="block"/>
              <v:imagedata o:title=""/>
              <o:lock v:ext="edit" aspectratio="f"/>
            </v:shape>
            <v:shape id="直接箭头连接符 107" o:spid="_x0000_s2542" o:spt="32" type="#_x0000_t32" style="position:absolute;left:10201;top:8856;height:691;width:17;" filled="f" stroked="t" coordsize="21600,21600">
              <v:path arrowok="t"/>
              <v:fill on="f" focussize="0,0"/>
              <v:stroke color="#000000" dashstyle="1 1" endcap="square" endarrow="block"/>
              <v:imagedata o:title=""/>
              <o:lock v:ext="edit" aspectratio="f"/>
            </v:shape>
            <v:shape id="文本框 391" o:spid="_x0000_s2543" o:spt="202" type="#_x0000_t202" style="position:absolute;left:6551;top:8962;height:440;width:740;v-text-anchor:middle;"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Z0ksUA&#10;AADcAAAADwAAAGRycy9kb3ducmV2LnhtbESP0WrCQBRE3wv+w3KFvtWNglaiq4igpkILVT/gkr1m&#10;Y7J3Q3aN6d93hUIfh5k5wyzXva1FR60vHSsYjxIQxLnTJRcKLufd2xyED8gaa8ek4Ic8rFeDlyWm&#10;2j34m7pTKESEsE9RgQmhSaX0uSGLfuQa4uhdXWsxRNkWUrf4iHBby0mSzKTFkuOCwYa2hvLqdLcK&#10;9uV1fP7qqqIx1cdhf8w+b9ktKPU67DcLEIH68B/+a2dawXT2Ds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nSSxQAAANwAAAAPAAAAAAAAAAAAAAAAAJgCAABkcnMv&#10;ZG93bnJldi54bWxQSwUGAAAAAAQABAD1AAAAigMAAAAA&#10;">
              <v:path/>
              <v:fill on="f" focussize="0,0"/>
              <v:stroke on="f" weight="0.5pt"/>
              <v:imagedata o:title=""/>
              <o:lock v:ext="edit" aspectratio="f"/>
              <v:textbox inset="0mm,0mm,0mm,0mm">
                <w:txbxContent>
                  <w:p w14:paraId="6542BD9A">
                    <w:pPr>
                      <w:ind w:left="0" w:leftChars="0" w:firstLine="0" w:firstLineChars="0"/>
                      <w:jc w:val="both"/>
                      <w:rPr>
                        <w:rFonts w:hint="default" w:eastAsia="宋体"/>
                        <w:color w:val="000000"/>
                        <w:sz w:val="18"/>
                        <w:szCs w:val="18"/>
                        <w:lang w:val="en-US" w:eastAsia="zh-CN"/>
                      </w:rPr>
                    </w:pPr>
                    <w:r>
                      <w:rPr>
                        <w:rFonts w:hint="eastAsia"/>
                        <w:color w:val="000000"/>
                        <w:sz w:val="18"/>
                        <w:szCs w:val="18"/>
                        <w:lang w:val="en-US" w:eastAsia="zh-CN"/>
                      </w:rPr>
                      <w:t>112.31</w:t>
                    </w:r>
                  </w:p>
                </w:txbxContent>
              </v:textbox>
            </v:shape>
            <w10:wrap type="none"/>
            <w10:anchorlock/>
          </v:group>
        </w:pict>
      </w:r>
      <w:r>
        <w:rPr>
          <w:rFonts w:hint="eastAsia"/>
          <w:color w:val="auto"/>
          <w:u w:val="none"/>
        </w:rPr>
        <w:t>图3</w:t>
      </w:r>
      <w:r>
        <w:rPr>
          <w:color w:val="auto"/>
          <w:u w:val="none"/>
        </w:rPr>
        <w:t>.</w:t>
      </w:r>
      <w:r>
        <w:rPr>
          <w:rFonts w:hint="eastAsia"/>
          <w:color w:val="auto"/>
          <w:u w:val="none"/>
          <w:lang w:val="en-US" w:eastAsia="zh-CN"/>
        </w:rPr>
        <w:t>4</w:t>
      </w:r>
      <w:r>
        <w:rPr>
          <w:rFonts w:hint="eastAsia"/>
          <w:color w:val="auto"/>
          <w:u w:val="none"/>
        </w:rPr>
        <w:t>-</w:t>
      </w:r>
      <w:r>
        <w:rPr>
          <w:rFonts w:hint="eastAsia"/>
          <w:color w:val="auto"/>
          <w:u w:val="none"/>
          <w:lang w:val="en-US" w:eastAsia="zh-CN"/>
        </w:rPr>
        <w:t>4</w:t>
      </w:r>
      <w:r>
        <w:rPr>
          <w:color w:val="auto"/>
          <w:u w:val="none"/>
        </w:rPr>
        <w:t xml:space="preserve">  </w:t>
      </w:r>
      <w:r>
        <w:rPr>
          <w:rFonts w:hint="eastAsia"/>
          <w:color w:val="auto"/>
          <w:u w:val="none"/>
          <w:lang w:val="en-US" w:eastAsia="zh-CN"/>
        </w:rPr>
        <w:t>在建及拟建工程水平衡</w:t>
      </w:r>
      <w:r>
        <w:rPr>
          <w:rFonts w:hint="eastAsia"/>
          <w:color w:val="auto"/>
          <w:u w:val="none"/>
        </w:rPr>
        <w:t>图</w:t>
      </w:r>
    </w:p>
    <w:p w14:paraId="0EAEE491">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baseline"/>
        <w:rPr>
          <w:bCs/>
          <w:kern w:val="0"/>
          <w:szCs w:val="20"/>
        </w:rPr>
      </w:pPr>
      <w:r>
        <w:rPr>
          <w:rFonts w:ascii="Times New Roman" w:hAnsi="Times New Roman" w:cs="Times New Roman"/>
        </w:rPr>
        <w:t>根据在建</w:t>
      </w:r>
      <w:r>
        <w:rPr>
          <w:rFonts w:hint="eastAsia" w:cs="Times New Roman"/>
          <w:lang w:val="en-US" w:eastAsia="zh-CN"/>
        </w:rPr>
        <w:t>及拟建</w:t>
      </w:r>
      <w:r>
        <w:rPr>
          <w:rFonts w:ascii="Times New Roman" w:hAnsi="Times New Roman" w:cs="Times New Roman"/>
        </w:rPr>
        <w:t>项目的环评文件，在建</w:t>
      </w:r>
      <w:r>
        <w:rPr>
          <w:rFonts w:hint="eastAsia" w:cs="Times New Roman"/>
          <w:lang w:val="en-US" w:eastAsia="zh-CN"/>
        </w:rPr>
        <w:t>及拟建</w:t>
      </w:r>
      <w:r>
        <w:rPr>
          <w:rFonts w:ascii="Times New Roman" w:hAnsi="Times New Roman" w:cs="Times New Roman"/>
        </w:rPr>
        <w:t>项目外排废水共</w:t>
      </w:r>
      <w:r>
        <w:rPr>
          <w:rFonts w:hint="eastAsia" w:cs="Times New Roman"/>
          <w:color w:val="000000"/>
          <w:lang w:val="en-US" w:eastAsia="zh-CN"/>
        </w:rPr>
        <w:t>1458.72</w:t>
      </w:r>
      <w:r>
        <w:rPr>
          <w:rFonts w:ascii="Times New Roman" w:hAnsi="Times New Roman" w:cs="Times New Roman"/>
          <w:color w:val="000000"/>
        </w:rPr>
        <w:t>m</w:t>
      </w:r>
      <w:r>
        <w:rPr>
          <w:rFonts w:ascii="Times New Roman" w:hAnsi="Times New Roman" w:cs="Times New Roman"/>
          <w:color w:val="000000"/>
          <w:vertAlign w:val="superscript"/>
        </w:rPr>
        <w:t>3</w:t>
      </w:r>
      <w:r>
        <w:rPr>
          <w:rFonts w:ascii="Times New Roman" w:hAnsi="Times New Roman" w:cs="Times New Roman"/>
          <w:color w:val="000000"/>
        </w:rPr>
        <w:t>/d。</w:t>
      </w:r>
      <w:r>
        <w:rPr>
          <w:rFonts w:hint="eastAsia" w:cs="Times New Roman"/>
          <w:color w:val="000000"/>
          <w:lang w:val="en-US" w:eastAsia="zh-CN"/>
        </w:rPr>
        <w:t>其中清下水224.68</w:t>
      </w:r>
      <w:r>
        <w:rPr>
          <w:rFonts w:ascii="Times New Roman" w:hAnsi="Times New Roman" w:cs="Times New Roman"/>
          <w:color w:val="000000"/>
        </w:rPr>
        <w:t>m</w:t>
      </w:r>
      <w:r>
        <w:rPr>
          <w:rFonts w:ascii="Times New Roman" w:hAnsi="Times New Roman" w:cs="Times New Roman"/>
          <w:color w:val="000000"/>
          <w:vertAlign w:val="superscript"/>
        </w:rPr>
        <w:t>3</w:t>
      </w:r>
      <w:r>
        <w:rPr>
          <w:rFonts w:ascii="Times New Roman" w:hAnsi="Times New Roman" w:cs="Times New Roman"/>
          <w:color w:val="000000"/>
        </w:rPr>
        <w:t>/d</w:t>
      </w:r>
      <w:r>
        <w:rPr>
          <w:rFonts w:hint="eastAsia" w:cs="Times New Roman"/>
          <w:color w:val="000000"/>
          <w:lang w:val="en-US" w:eastAsia="zh-CN"/>
        </w:rPr>
        <w:t>进入厂区废水总排口，其中废水1234.04</w:t>
      </w:r>
      <w:r>
        <w:rPr>
          <w:rFonts w:ascii="Times New Roman" w:hAnsi="Times New Roman" w:cs="Times New Roman"/>
          <w:color w:val="000000"/>
        </w:rPr>
        <w:t>m</w:t>
      </w:r>
      <w:r>
        <w:rPr>
          <w:rFonts w:ascii="Times New Roman" w:hAnsi="Times New Roman" w:cs="Times New Roman"/>
          <w:color w:val="000000"/>
          <w:vertAlign w:val="superscript"/>
        </w:rPr>
        <w:t>3</w:t>
      </w:r>
      <w:r>
        <w:rPr>
          <w:rFonts w:ascii="Times New Roman" w:hAnsi="Times New Roman" w:cs="Times New Roman"/>
          <w:color w:val="000000"/>
        </w:rPr>
        <w:t>/d</w:t>
      </w:r>
      <w:r>
        <w:rPr>
          <w:rFonts w:hint="eastAsia" w:cs="Times New Roman"/>
          <w:color w:val="000000"/>
          <w:lang w:val="en-US" w:eastAsia="zh-CN"/>
        </w:rPr>
        <w:t>排入厂区污水站处理后进入厂区废水总排口</w:t>
      </w:r>
      <w:r>
        <w:rPr>
          <w:rFonts w:ascii="Times New Roman" w:hAnsi="Times New Roman" w:cs="Times New Roman"/>
          <w:color w:val="000000"/>
        </w:rPr>
        <w:t>。</w:t>
      </w:r>
      <w:r>
        <w:rPr>
          <w:rFonts w:hint="eastAsia" w:cs="Times New Roman"/>
          <w:color w:val="000000"/>
          <w:lang w:val="en-US" w:eastAsia="zh-CN"/>
        </w:rPr>
        <w:t>根据</w:t>
      </w:r>
      <w:r>
        <w:rPr>
          <w:rFonts w:ascii="Times New Roman" w:hAnsi="Times New Roman" w:cs="Times New Roman"/>
        </w:rPr>
        <w:t>在建</w:t>
      </w:r>
      <w:r>
        <w:rPr>
          <w:rFonts w:hint="eastAsia" w:cs="Times New Roman"/>
          <w:lang w:val="en-US" w:eastAsia="zh-CN"/>
        </w:rPr>
        <w:t>及拟建</w:t>
      </w:r>
      <w:r>
        <w:rPr>
          <w:rFonts w:ascii="Times New Roman" w:hAnsi="Times New Roman" w:cs="Times New Roman"/>
        </w:rPr>
        <w:t>项目</w:t>
      </w:r>
      <w:r>
        <w:rPr>
          <w:rFonts w:hint="eastAsia" w:cs="Times New Roman"/>
          <w:lang w:val="en-US" w:eastAsia="zh-CN"/>
        </w:rPr>
        <w:t>环评报告</w:t>
      </w:r>
      <w:r>
        <w:rPr>
          <w:rFonts w:hint="eastAsia"/>
        </w:rPr>
        <w:t>，在建</w:t>
      </w:r>
      <w:r>
        <w:rPr>
          <w:rFonts w:hint="eastAsia"/>
          <w:lang w:val="en-US" w:eastAsia="zh-CN"/>
        </w:rPr>
        <w:t>及拟建</w:t>
      </w:r>
      <w:r>
        <w:rPr>
          <w:rFonts w:hint="eastAsia"/>
        </w:rPr>
        <w:t>工程水污染物排放情况见下表</w:t>
      </w:r>
      <w:r>
        <w:t>。</w:t>
      </w:r>
    </w:p>
    <w:p w14:paraId="28592969">
      <w:pPr>
        <w:pStyle w:val="10"/>
        <w:bidi w:val="0"/>
        <w:rPr>
          <w:rFonts w:hint="eastAsia"/>
          <w:lang w:val="en-US" w:eastAsia="zh-CN"/>
        </w:rPr>
      </w:pPr>
      <w:r>
        <w:t xml:space="preserve">表 </w:t>
      </w:r>
      <w:r>
        <w:fldChar w:fldCharType="begin"/>
      </w:r>
      <w:r>
        <w:instrText xml:space="preserve"> STYLEREF 2 \s </w:instrText>
      </w:r>
      <w:r>
        <w:fldChar w:fldCharType="separate"/>
      </w:r>
      <w:r>
        <w:t>3.4</w:t>
      </w:r>
      <w:r>
        <w:fldChar w:fldCharType="end"/>
      </w:r>
      <w:r>
        <w:rPr>
          <w:rFonts w:hint="eastAsia"/>
          <w:lang w:eastAsia="zh-CN"/>
        </w:rPr>
        <w:t>-</w:t>
      </w:r>
      <w:r>
        <w:fldChar w:fldCharType="begin"/>
      </w:r>
      <w:r>
        <w:instrText xml:space="preserve"> SEQ 表 \* ARABIC \s 2 </w:instrText>
      </w:r>
      <w:r>
        <w:fldChar w:fldCharType="separate"/>
      </w:r>
      <w:r>
        <w:t>8</w:t>
      </w:r>
      <w:r>
        <w:fldChar w:fldCharType="end"/>
      </w:r>
      <w:r>
        <w:rPr>
          <w:rFonts w:hint="eastAsia"/>
          <w:lang w:val="en-US" w:eastAsia="zh-CN"/>
        </w:rPr>
        <w:t xml:space="preserve">  在建</w:t>
      </w:r>
      <w:r>
        <w:rPr>
          <w:rFonts w:hint="eastAsia" w:cs="Times New Roman"/>
          <w:lang w:val="en-US" w:eastAsia="zh-CN"/>
        </w:rPr>
        <w:t>及拟建</w:t>
      </w:r>
      <w:r>
        <w:rPr>
          <w:rFonts w:hint="eastAsia"/>
          <w:lang w:val="en-US" w:eastAsia="zh-CN"/>
        </w:rPr>
        <w:t>工程废水污染物排放情况</w:t>
      </w:r>
    </w:p>
    <w:tbl>
      <w:tblPr>
        <w:tblStyle w:val="31"/>
        <w:tblW w:w="4797"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636"/>
        <w:gridCol w:w="1871"/>
        <w:gridCol w:w="2835"/>
        <w:gridCol w:w="2835"/>
      </w:tblGrid>
      <w:tr w14:paraId="3A8CAC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blHeader/>
        </w:trPr>
        <w:tc>
          <w:tcPr>
            <w:tcW w:w="1532" w:type="pct"/>
            <w:gridSpan w:val="2"/>
            <w:shd w:val="clear" w:color="auto" w:fill="auto"/>
            <w:noWrap w:val="0"/>
            <w:vAlign w:val="center"/>
          </w:tcPr>
          <w:p w14:paraId="4A9CB8A4">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
                <w:bCs/>
              </w:rPr>
            </w:pPr>
            <w:r>
              <w:rPr>
                <w:b/>
                <w:bCs/>
              </w:rPr>
              <w:t>污染物</w:t>
            </w:r>
          </w:p>
        </w:tc>
        <w:tc>
          <w:tcPr>
            <w:tcW w:w="1733" w:type="pct"/>
            <w:noWrap w:val="0"/>
            <w:vAlign w:val="center"/>
          </w:tcPr>
          <w:p w14:paraId="740B8C07">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
                <w:bCs/>
              </w:rPr>
            </w:pPr>
            <w:r>
              <w:rPr>
                <w:b/>
                <w:bCs/>
              </w:rPr>
              <w:t>单位</w:t>
            </w:r>
          </w:p>
        </w:tc>
        <w:tc>
          <w:tcPr>
            <w:tcW w:w="1733" w:type="pct"/>
            <w:noWrap w:val="0"/>
            <w:vAlign w:val="center"/>
          </w:tcPr>
          <w:p w14:paraId="113D8E61">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
                <w:bCs/>
              </w:rPr>
            </w:pPr>
            <w:r>
              <w:rPr>
                <w:b/>
                <w:bCs/>
              </w:rPr>
              <w:t>在建</w:t>
            </w:r>
            <w:r>
              <w:rPr>
                <w:rFonts w:hint="eastAsia"/>
                <w:b/>
                <w:bCs/>
                <w:lang w:val="en-US" w:eastAsia="zh-CN"/>
              </w:rPr>
              <w:t>及拟建</w:t>
            </w:r>
            <w:r>
              <w:rPr>
                <w:b/>
                <w:bCs/>
              </w:rPr>
              <w:t>工程排放量</w:t>
            </w:r>
          </w:p>
        </w:tc>
      </w:tr>
      <w:tr w14:paraId="69C576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388" w:type="pct"/>
            <w:vMerge w:val="restart"/>
            <w:shd w:val="clear" w:color="auto" w:fill="auto"/>
            <w:noWrap w:val="0"/>
            <w:vAlign w:val="center"/>
          </w:tcPr>
          <w:p w14:paraId="2108907F">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eastAsia="宋体"/>
                <w:bCs/>
                <w:lang w:eastAsia="zh-CN"/>
              </w:rPr>
            </w:pPr>
            <w:r>
              <w:rPr>
                <w:bCs/>
              </w:rPr>
              <w:t>废水</w:t>
            </w:r>
            <w:r>
              <w:rPr>
                <w:rFonts w:hint="eastAsia"/>
                <w:bCs/>
                <w:lang w:eastAsia="zh-CN"/>
              </w:rPr>
              <w:t>（</w:t>
            </w:r>
            <w:r>
              <w:rPr>
                <w:rFonts w:hint="eastAsia"/>
                <w:bCs/>
              </w:rPr>
              <w:t>总排口</w:t>
            </w:r>
            <w:r>
              <w:rPr>
                <w:rFonts w:hint="eastAsia"/>
                <w:bCs/>
                <w:lang w:eastAsia="zh-CN"/>
              </w:rPr>
              <w:t>）</w:t>
            </w:r>
          </w:p>
        </w:tc>
        <w:tc>
          <w:tcPr>
            <w:tcW w:w="1144" w:type="pct"/>
            <w:shd w:val="clear" w:color="auto" w:fill="auto"/>
            <w:noWrap w:val="0"/>
            <w:vAlign w:val="center"/>
          </w:tcPr>
          <w:p w14:paraId="50CAEB4E">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rPr>
            </w:pPr>
            <w:r>
              <w:rPr>
                <w:bCs/>
              </w:rPr>
              <w:t>废水量</w:t>
            </w:r>
          </w:p>
        </w:tc>
        <w:tc>
          <w:tcPr>
            <w:tcW w:w="1733" w:type="pct"/>
            <w:noWrap w:val="0"/>
            <w:vAlign w:val="center"/>
          </w:tcPr>
          <w:p w14:paraId="75273A03">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rPr>
            </w:pPr>
            <w:r>
              <w:rPr>
                <w:bCs/>
              </w:rPr>
              <w:t>t/a</w:t>
            </w:r>
          </w:p>
        </w:tc>
        <w:tc>
          <w:tcPr>
            <w:tcW w:w="1733" w:type="pct"/>
            <w:noWrap w:val="0"/>
            <w:vAlign w:val="center"/>
          </w:tcPr>
          <w:p w14:paraId="1F8129F2">
            <w:pPr>
              <w:pStyle w:val="182"/>
              <w:ind w:firstLine="0" w:firstLineChars="0"/>
              <w:rPr>
                <w:rFonts w:hint="default" w:eastAsia="宋体"/>
                <w:bCs/>
                <w:lang w:val="en-US" w:eastAsia="zh-CN"/>
              </w:rPr>
            </w:pPr>
            <w:r>
              <w:rPr>
                <w:rFonts w:hint="eastAsia"/>
                <w:bCs/>
                <w:lang w:val="en-US" w:eastAsia="zh-CN"/>
              </w:rPr>
              <w:t>481377.6</w:t>
            </w:r>
          </w:p>
        </w:tc>
      </w:tr>
      <w:tr w14:paraId="554396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388" w:type="pct"/>
            <w:vMerge w:val="continue"/>
            <w:shd w:val="clear" w:color="auto" w:fill="auto"/>
            <w:noWrap w:val="0"/>
            <w:vAlign w:val="center"/>
          </w:tcPr>
          <w:p w14:paraId="1D1D6181">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rPr>
            </w:pPr>
          </w:p>
        </w:tc>
        <w:tc>
          <w:tcPr>
            <w:tcW w:w="1144" w:type="pct"/>
            <w:shd w:val="clear" w:color="auto" w:fill="auto"/>
            <w:noWrap w:val="0"/>
            <w:vAlign w:val="center"/>
          </w:tcPr>
          <w:p w14:paraId="32A757ED">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rPr>
            </w:pPr>
            <w:r>
              <w:rPr>
                <w:bCs/>
              </w:rPr>
              <w:t>COD</w:t>
            </w:r>
          </w:p>
        </w:tc>
        <w:tc>
          <w:tcPr>
            <w:tcW w:w="1733" w:type="pct"/>
            <w:noWrap w:val="0"/>
            <w:vAlign w:val="center"/>
          </w:tcPr>
          <w:p w14:paraId="00A227FA">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rPr>
            </w:pPr>
            <w:r>
              <w:t>mg/L</w:t>
            </w:r>
          </w:p>
        </w:tc>
        <w:tc>
          <w:tcPr>
            <w:tcW w:w="2835" w:type="dxa"/>
            <w:noWrap w:val="0"/>
            <w:vAlign w:val="center"/>
          </w:tcPr>
          <w:p w14:paraId="20B206E9">
            <w:pPr>
              <w:pStyle w:val="182"/>
              <w:ind w:firstLine="0" w:firstLineChars="0"/>
              <w:rPr>
                <w:rFonts w:hint="eastAsia"/>
                <w:bCs/>
                <w:lang w:val="en-US" w:eastAsia="zh-CN"/>
              </w:rPr>
            </w:pPr>
            <w:r>
              <w:rPr>
                <w:rFonts w:hint="eastAsia"/>
                <w:bCs/>
                <w:lang w:val="en-US" w:eastAsia="zh-CN"/>
              </w:rPr>
              <w:t>39.0842</w:t>
            </w:r>
          </w:p>
        </w:tc>
      </w:tr>
      <w:tr w14:paraId="61E8A7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388" w:type="pct"/>
            <w:vMerge w:val="continue"/>
            <w:shd w:val="clear" w:color="auto" w:fill="auto"/>
            <w:noWrap w:val="0"/>
            <w:vAlign w:val="center"/>
          </w:tcPr>
          <w:p w14:paraId="2E483E22">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rPr>
            </w:pPr>
          </w:p>
        </w:tc>
        <w:tc>
          <w:tcPr>
            <w:tcW w:w="1144" w:type="pct"/>
            <w:shd w:val="clear" w:color="auto" w:fill="auto"/>
            <w:noWrap w:val="0"/>
            <w:vAlign w:val="center"/>
          </w:tcPr>
          <w:p w14:paraId="256A00FA">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rPr>
            </w:pPr>
            <w:r>
              <w:rPr>
                <w:bCs/>
              </w:rPr>
              <w:t>NH</w:t>
            </w:r>
            <w:r>
              <w:rPr>
                <w:bCs/>
                <w:vertAlign w:val="subscript"/>
              </w:rPr>
              <w:t>3</w:t>
            </w:r>
            <w:r>
              <w:rPr>
                <w:bCs/>
              </w:rPr>
              <w:t>-N</w:t>
            </w:r>
          </w:p>
        </w:tc>
        <w:tc>
          <w:tcPr>
            <w:tcW w:w="1733" w:type="pct"/>
            <w:noWrap w:val="0"/>
            <w:vAlign w:val="center"/>
          </w:tcPr>
          <w:p w14:paraId="4FB037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rPr>
            </w:pPr>
            <w:r>
              <w:rPr>
                <w:rFonts w:ascii="Times New Roman" w:hAnsi="Times New Roman"/>
              </w:rPr>
              <w:t>mg/L</w:t>
            </w:r>
          </w:p>
        </w:tc>
        <w:tc>
          <w:tcPr>
            <w:tcW w:w="2835" w:type="dxa"/>
            <w:noWrap w:val="0"/>
            <w:vAlign w:val="center"/>
          </w:tcPr>
          <w:p w14:paraId="4AB6916A">
            <w:pPr>
              <w:pStyle w:val="182"/>
              <w:ind w:firstLine="0" w:firstLineChars="0"/>
              <w:rPr>
                <w:rFonts w:hint="eastAsia"/>
                <w:bCs/>
                <w:lang w:val="en-US" w:eastAsia="zh-CN"/>
              </w:rPr>
            </w:pPr>
            <w:r>
              <w:rPr>
                <w:rFonts w:hint="eastAsia"/>
                <w:bCs/>
                <w:lang w:val="en-US" w:eastAsia="zh-CN"/>
              </w:rPr>
              <w:t>1.2045</w:t>
            </w:r>
          </w:p>
        </w:tc>
      </w:tr>
      <w:tr w14:paraId="6E7948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388" w:type="pct"/>
            <w:vMerge w:val="continue"/>
            <w:shd w:val="clear" w:color="auto" w:fill="auto"/>
            <w:noWrap w:val="0"/>
            <w:vAlign w:val="center"/>
          </w:tcPr>
          <w:p w14:paraId="472E7E51">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rPr>
            </w:pPr>
          </w:p>
        </w:tc>
        <w:tc>
          <w:tcPr>
            <w:tcW w:w="1144" w:type="pct"/>
            <w:shd w:val="clear" w:color="auto" w:fill="auto"/>
            <w:noWrap w:val="0"/>
            <w:vAlign w:val="center"/>
          </w:tcPr>
          <w:p w14:paraId="1222533F">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rPr>
            </w:pPr>
            <w:r>
              <w:rPr>
                <w:bCs/>
              </w:rPr>
              <w:t>TN</w:t>
            </w:r>
          </w:p>
        </w:tc>
        <w:tc>
          <w:tcPr>
            <w:tcW w:w="1733" w:type="pct"/>
            <w:noWrap w:val="0"/>
            <w:vAlign w:val="center"/>
          </w:tcPr>
          <w:p w14:paraId="2F80B0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rPr>
            </w:pPr>
            <w:r>
              <w:rPr>
                <w:rFonts w:ascii="Times New Roman" w:hAnsi="Times New Roman"/>
              </w:rPr>
              <w:t>mg/L</w:t>
            </w:r>
          </w:p>
        </w:tc>
        <w:tc>
          <w:tcPr>
            <w:tcW w:w="2835" w:type="dxa"/>
            <w:noWrap w:val="0"/>
            <w:vAlign w:val="center"/>
          </w:tcPr>
          <w:p w14:paraId="5CD6323E">
            <w:pPr>
              <w:pStyle w:val="182"/>
              <w:ind w:firstLine="0" w:firstLineChars="0"/>
              <w:rPr>
                <w:rFonts w:hint="eastAsia"/>
                <w:bCs/>
                <w:lang w:val="en-US" w:eastAsia="zh-CN"/>
              </w:rPr>
            </w:pPr>
            <w:r>
              <w:rPr>
                <w:rFonts w:hint="eastAsia"/>
                <w:bCs/>
                <w:lang w:val="en-US" w:eastAsia="zh-CN"/>
              </w:rPr>
              <w:t>8.5255</w:t>
            </w:r>
          </w:p>
        </w:tc>
      </w:tr>
      <w:tr w14:paraId="04F163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388" w:type="pct"/>
            <w:vMerge w:val="continue"/>
            <w:shd w:val="clear" w:color="auto" w:fill="auto"/>
            <w:noWrap w:val="0"/>
            <w:vAlign w:val="center"/>
          </w:tcPr>
          <w:p w14:paraId="2570B1AF">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rPr>
            </w:pPr>
          </w:p>
        </w:tc>
        <w:tc>
          <w:tcPr>
            <w:tcW w:w="1144" w:type="pct"/>
            <w:shd w:val="clear" w:color="auto" w:fill="auto"/>
            <w:noWrap w:val="0"/>
            <w:vAlign w:val="center"/>
          </w:tcPr>
          <w:p w14:paraId="16015CEC">
            <w:pPr>
              <w:pStyle w:val="18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bCs/>
              </w:rPr>
            </w:pPr>
            <w:r>
              <w:rPr>
                <w:bCs/>
              </w:rPr>
              <w:t>TP</w:t>
            </w:r>
          </w:p>
        </w:tc>
        <w:tc>
          <w:tcPr>
            <w:tcW w:w="1733" w:type="pct"/>
            <w:noWrap w:val="0"/>
            <w:vAlign w:val="center"/>
          </w:tcPr>
          <w:p w14:paraId="0884AE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rPr>
            </w:pPr>
            <w:r>
              <w:rPr>
                <w:rFonts w:ascii="Times New Roman" w:hAnsi="Times New Roman"/>
              </w:rPr>
              <w:t>mg/L</w:t>
            </w:r>
          </w:p>
        </w:tc>
        <w:tc>
          <w:tcPr>
            <w:tcW w:w="2835" w:type="dxa"/>
            <w:noWrap w:val="0"/>
            <w:vAlign w:val="center"/>
          </w:tcPr>
          <w:p w14:paraId="64363009">
            <w:pPr>
              <w:pStyle w:val="182"/>
              <w:ind w:firstLine="0" w:firstLineChars="0"/>
              <w:rPr>
                <w:rFonts w:hint="eastAsia"/>
                <w:bCs/>
                <w:lang w:val="en-US" w:eastAsia="zh-CN"/>
              </w:rPr>
            </w:pPr>
            <w:r>
              <w:rPr>
                <w:rFonts w:hint="eastAsia"/>
                <w:bCs/>
                <w:lang w:val="en-US" w:eastAsia="zh-CN"/>
              </w:rPr>
              <w:t>0.0485</w:t>
            </w:r>
          </w:p>
        </w:tc>
      </w:tr>
    </w:tbl>
    <w:p w14:paraId="3EC91900">
      <w:pPr>
        <w:pStyle w:val="101"/>
        <w:rPr>
          <w:rFonts w:hint="eastAsia" w:ascii="Times New Roman" w:hAnsi="Times New Roman" w:eastAsia="宋体" w:cs="Times New Roman"/>
          <w:lang w:val="en-US" w:eastAsia="zh-CN"/>
        </w:rPr>
      </w:pPr>
    </w:p>
    <w:p w14:paraId="13F890D6">
      <w:pPr>
        <w:pStyle w:val="6"/>
        <w:bidi w:val="0"/>
      </w:pPr>
      <w:r>
        <w:rPr>
          <w:rFonts w:hint="eastAsia"/>
        </w:rPr>
        <w:t>噪声</w:t>
      </w:r>
    </w:p>
    <w:p w14:paraId="65A00B21">
      <w:pPr>
        <w:ind w:firstLine="480"/>
      </w:pPr>
      <w:r>
        <w:rPr>
          <w:rFonts w:hint="eastAsia"/>
        </w:rPr>
        <w:t>依据在建</w:t>
      </w:r>
      <w:r>
        <w:rPr>
          <w:rFonts w:hint="eastAsia"/>
          <w:lang w:val="en-US" w:eastAsia="zh-CN"/>
        </w:rPr>
        <w:t>及拟建</w:t>
      </w:r>
      <w:r>
        <w:rPr>
          <w:rFonts w:hint="eastAsia"/>
        </w:rPr>
        <w:t>工程环评文件，在建</w:t>
      </w:r>
      <w:r>
        <w:rPr>
          <w:rFonts w:hint="eastAsia"/>
          <w:lang w:val="en-US" w:eastAsia="zh-CN"/>
        </w:rPr>
        <w:t>及拟建</w:t>
      </w:r>
      <w:r>
        <w:rPr>
          <w:rFonts w:hint="eastAsia"/>
        </w:rPr>
        <w:t>工程高噪声设备主要为纺丝机、真空泵等，噪声源强为80-95dB(A)。公司设计设备底座采用设橡胶减振垫，再经厂房隔音、距离衰减，预测厂界噪声均能达到《工业企业厂界环境噪声排放标准》（GB12348-2008）中3类区昼间65dB(A)、夜间55dB(A)的要求。</w:t>
      </w:r>
    </w:p>
    <w:p w14:paraId="4E590A1F">
      <w:pPr>
        <w:pStyle w:val="6"/>
        <w:bidi w:val="0"/>
      </w:pPr>
      <w:r>
        <w:rPr>
          <w:rFonts w:hint="eastAsia"/>
        </w:rPr>
        <w:t>固废</w:t>
      </w:r>
    </w:p>
    <w:p w14:paraId="3B3CCEBD">
      <w:pPr>
        <w:ind w:firstLine="480"/>
      </w:pPr>
      <w:r>
        <w:rPr>
          <w:rFonts w:hint="eastAsia"/>
        </w:rPr>
        <w:t>依据在建</w:t>
      </w:r>
      <w:r>
        <w:rPr>
          <w:rFonts w:hint="eastAsia"/>
          <w:lang w:val="en-US" w:eastAsia="zh-CN"/>
        </w:rPr>
        <w:t>及拟建</w:t>
      </w:r>
      <w:r>
        <w:rPr>
          <w:rFonts w:hint="eastAsia"/>
        </w:rPr>
        <w:t>工程环评，在建</w:t>
      </w:r>
      <w:r>
        <w:rPr>
          <w:rFonts w:hint="eastAsia"/>
          <w:lang w:val="en-US" w:eastAsia="zh-CN"/>
        </w:rPr>
        <w:t>及拟建</w:t>
      </w:r>
      <w:r>
        <w:rPr>
          <w:rFonts w:hint="eastAsia"/>
        </w:rPr>
        <w:t>工程固废产生及处理处置情况见</w:t>
      </w:r>
      <w:r>
        <w:rPr>
          <w:rFonts w:hint="eastAsia"/>
          <w:lang w:val="en-US" w:eastAsia="zh-CN"/>
        </w:rPr>
        <w:t>下表</w:t>
      </w:r>
      <w:r>
        <w:rPr>
          <w:rFonts w:hint="eastAsia"/>
        </w:rPr>
        <w:t>。</w:t>
      </w:r>
    </w:p>
    <w:p w14:paraId="267F8221">
      <w:pPr>
        <w:ind w:firstLine="480"/>
        <w:sectPr>
          <w:footerReference r:id="rId11" w:type="default"/>
          <w:pgSz w:w="11907" w:h="16840"/>
          <w:pgMar w:top="1440" w:right="1800" w:bottom="1440" w:left="1800" w:header="907" w:footer="907" w:gutter="0"/>
          <w:pgNumType w:fmt="decimal"/>
          <w:cols w:space="720" w:num="1"/>
          <w:docGrid w:linePitch="380" w:charSpace="0"/>
        </w:sectPr>
      </w:pPr>
    </w:p>
    <w:p w14:paraId="26871FF7">
      <w:pPr>
        <w:pStyle w:val="10"/>
        <w:bidi w:val="0"/>
        <w:rPr>
          <w:rFonts w:hint="eastAsia"/>
          <w:lang w:val="en-US" w:eastAsia="zh-CN"/>
        </w:rPr>
      </w:pPr>
      <w:r>
        <w:t xml:space="preserve">表 </w:t>
      </w:r>
      <w:r>
        <w:fldChar w:fldCharType="begin"/>
      </w:r>
      <w:r>
        <w:instrText xml:space="preserve"> STYLEREF 2 \s </w:instrText>
      </w:r>
      <w:r>
        <w:fldChar w:fldCharType="separate"/>
      </w:r>
      <w:r>
        <w:t>3.4</w:t>
      </w:r>
      <w:r>
        <w:fldChar w:fldCharType="end"/>
      </w:r>
      <w:r>
        <w:rPr>
          <w:rFonts w:hint="eastAsia"/>
          <w:lang w:eastAsia="zh-CN"/>
        </w:rPr>
        <w:t>-</w:t>
      </w:r>
      <w:r>
        <w:fldChar w:fldCharType="begin"/>
      </w:r>
      <w:r>
        <w:instrText xml:space="preserve"> SEQ 表 \* ARABIC \s 2 </w:instrText>
      </w:r>
      <w:r>
        <w:fldChar w:fldCharType="separate"/>
      </w:r>
      <w:r>
        <w:t>9</w:t>
      </w:r>
      <w:r>
        <w:fldChar w:fldCharType="end"/>
      </w:r>
      <w:r>
        <w:rPr>
          <w:rFonts w:hint="eastAsia"/>
          <w:lang w:val="en-US" w:eastAsia="zh-CN"/>
        </w:rPr>
        <w:t xml:space="preserve"> 在建及拟建工程固废产生情况及处置措施</w:t>
      </w:r>
    </w:p>
    <w:tbl>
      <w:tblPr>
        <w:tblStyle w:val="31"/>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505"/>
        <w:gridCol w:w="1229"/>
        <w:gridCol w:w="1483"/>
        <w:gridCol w:w="1569"/>
        <w:gridCol w:w="864"/>
        <w:gridCol w:w="1233"/>
        <w:gridCol w:w="1390"/>
        <w:gridCol w:w="3471"/>
      </w:tblGrid>
      <w:tr w14:paraId="6E681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58" w:type="pct"/>
            <w:noWrap w:val="0"/>
            <w:vAlign w:val="center"/>
          </w:tcPr>
          <w:p w14:paraId="55D23753">
            <w:pPr>
              <w:pStyle w:val="182"/>
              <w:rPr>
                <w:color w:val="auto"/>
              </w:rPr>
            </w:pPr>
            <w:r>
              <w:rPr>
                <w:color w:val="auto"/>
              </w:rPr>
              <w:t>序号</w:t>
            </w:r>
          </w:p>
        </w:tc>
        <w:tc>
          <w:tcPr>
            <w:tcW w:w="559" w:type="pct"/>
            <w:noWrap w:val="0"/>
            <w:vAlign w:val="center"/>
          </w:tcPr>
          <w:p w14:paraId="27F6B9E2">
            <w:pPr>
              <w:pStyle w:val="182"/>
              <w:rPr>
                <w:color w:val="auto"/>
              </w:rPr>
            </w:pPr>
            <w:r>
              <w:rPr>
                <w:color w:val="auto"/>
              </w:rPr>
              <w:t>污染物名称</w:t>
            </w:r>
          </w:p>
        </w:tc>
        <w:tc>
          <w:tcPr>
            <w:tcW w:w="457" w:type="pct"/>
            <w:noWrap w:val="0"/>
            <w:vAlign w:val="center"/>
          </w:tcPr>
          <w:p w14:paraId="2730D184">
            <w:pPr>
              <w:pStyle w:val="182"/>
              <w:rPr>
                <w:color w:val="auto"/>
              </w:rPr>
            </w:pPr>
            <w:r>
              <w:rPr>
                <w:color w:val="auto"/>
              </w:rPr>
              <w:t>危险废物类别</w:t>
            </w:r>
          </w:p>
        </w:tc>
        <w:tc>
          <w:tcPr>
            <w:tcW w:w="551" w:type="pct"/>
            <w:noWrap w:val="0"/>
            <w:vAlign w:val="center"/>
          </w:tcPr>
          <w:p w14:paraId="54648768">
            <w:pPr>
              <w:pStyle w:val="182"/>
              <w:rPr>
                <w:color w:val="auto"/>
              </w:rPr>
            </w:pPr>
            <w:r>
              <w:rPr>
                <w:color w:val="auto"/>
              </w:rPr>
              <w:t>危险废物代码</w:t>
            </w:r>
          </w:p>
        </w:tc>
        <w:tc>
          <w:tcPr>
            <w:tcW w:w="583" w:type="pct"/>
            <w:noWrap w:val="0"/>
            <w:vAlign w:val="center"/>
          </w:tcPr>
          <w:p w14:paraId="26EA639E">
            <w:pPr>
              <w:pStyle w:val="182"/>
              <w:rPr>
                <w:color w:val="auto"/>
              </w:rPr>
            </w:pPr>
            <w:r>
              <w:rPr>
                <w:color w:val="auto"/>
              </w:rPr>
              <w:t>固废性质</w:t>
            </w:r>
          </w:p>
        </w:tc>
        <w:tc>
          <w:tcPr>
            <w:tcW w:w="321" w:type="pct"/>
            <w:noWrap w:val="0"/>
            <w:vAlign w:val="center"/>
          </w:tcPr>
          <w:p w14:paraId="4A5240B1">
            <w:pPr>
              <w:pStyle w:val="182"/>
              <w:rPr>
                <w:color w:val="auto"/>
              </w:rPr>
            </w:pPr>
            <w:r>
              <w:rPr>
                <w:rFonts w:hint="eastAsia"/>
                <w:color w:val="auto"/>
              </w:rPr>
              <w:t>形态</w:t>
            </w:r>
          </w:p>
        </w:tc>
        <w:tc>
          <w:tcPr>
            <w:tcW w:w="458" w:type="pct"/>
            <w:noWrap w:val="0"/>
            <w:vAlign w:val="center"/>
          </w:tcPr>
          <w:p w14:paraId="1F21C43F">
            <w:pPr>
              <w:pStyle w:val="182"/>
              <w:rPr>
                <w:color w:val="auto"/>
              </w:rPr>
            </w:pPr>
            <w:r>
              <w:rPr>
                <w:color w:val="auto"/>
              </w:rPr>
              <w:t>产生量（t/a）</w:t>
            </w:r>
          </w:p>
        </w:tc>
        <w:tc>
          <w:tcPr>
            <w:tcW w:w="517" w:type="pct"/>
            <w:noWrap w:val="0"/>
            <w:vAlign w:val="center"/>
          </w:tcPr>
          <w:p w14:paraId="51F21C1D">
            <w:pPr>
              <w:pStyle w:val="182"/>
              <w:rPr>
                <w:color w:val="auto"/>
              </w:rPr>
            </w:pPr>
            <w:r>
              <w:rPr>
                <w:color w:val="auto"/>
              </w:rPr>
              <w:t>产生位置</w:t>
            </w:r>
          </w:p>
        </w:tc>
        <w:tc>
          <w:tcPr>
            <w:tcW w:w="1291" w:type="pct"/>
            <w:noWrap w:val="0"/>
            <w:vAlign w:val="center"/>
          </w:tcPr>
          <w:p w14:paraId="42BE299C">
            <w:pPr>
              <w:pStyle w:val="182"/>
              <w:rPr>
                <w:color w:val="auto"/>
              </w:rPr>
            </w:pPr>
            <w:r>
              <w:rPr>
                <w:color w:val="auto"/>
              </w:rPr>
              <w:t>处置措施</w:t>
            </w:r>
          </w:p>
        </w:tc>
      </w:tr>
      <w:tr w14:paraId="12FAE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55DEC552">
            <w:pPr>
              <w:pStyle w:val="182"/>
              <w:rPr>
                <w:color w:val="auto"/>
              </w:rPr>
            </w:pPr>
            <w:r>
              <w:rPr>
                <w:color w:val="auto"/>
              </w:rPr>
              <w:t>1</w:t>
            </w:r>
          </w:p>
        </w:tc>
        <w:tc>
          <w:tcPr>
            <w:tcW w:w="559" w:type="pct"/>
            <w:noWrap w:val="0"/>
            <w:vAlign w:val="center"/>
          </w:tcPr>
          <w:p w14:paraId="363A3336">
            <w:pPr>
              <w:pStyle w:val="182"/>
              <w:rPr>
                <w:color w:val="auto"/>
              </w:rPr>
            </w:pPr>
            <w:r>
              <w:rPr>
                <w:color w:val="auto"/>
              </w:rPr>
              <w:t>废丝（氨纶）</w:t>
            </w:r>
          </w:p>
        </w:tc>
        <w:tc>
          <w:tcPr>
            <w:tcW w:w="1229" w:type="dxa"/>
            <w:noWrap w:val="0"/>
            <w:vAlign w:val="center"/>
          </w:tcPr>
          <w:p w14:paraId="12E86F6D">
            <w:pPr>
              <w:pStyle w:val="182"/>
              <w:ind w:firstLine="0" w:firstLineChars="0"/>
              <w:rPr>
                <w:b/>
                <w:bCs/>
                <w:color w:val="auto"/>
                <w:u w:val="single"/>
              </w:rPr>
            </w:pPr>
            <w:r>
              <w:rPr>
                <w:rFonts w:hint="eastAsia"/>
                <w:b/>
                <w:bCs/>
                <w:color w:val="auto"/>
                <w:u w:val="single"/>
                <w:lang w:val="en-US" w:eastAsia="zh-CN"/>
              </w:rPr>
              <w:t>S</w:t>
            </w:r>
            <w:r>
              <w:rPr>
                <w:rFonts w:hint="eastAsia"/>
                <w:b/>
                <w:bCs/>
                <w:color w:val="auto"/>
                <w:u w:val="single"/>
              </w:rPr>
              <w:t>W14纺织皮革业废物</w:t>
            </w:r>
          </w:p>
        </w:tc>
        <w:tc>
          <w:tcPr>
            <w:tcW w:w="1483" w:type="dxa"/>
            <w:noWrap w:val="0"/>
            <w:vAlign w:val="center"/>
          </w:tcPr>
          <w:p w14:paraId="40C42B04">
            <w:pPr>
              <w:pStyle w:val="182"/>
              <w:ind w:firstLine="0" w:firstLineChars="0"/>
              <w:rPr>
                <w:b/>
                <w:bCs/>
                <w:color w:val="auto"/>
                <w:u w:val="single"/>
              </w:rPr>
            </w:pPr>
            <w:r>
              <w:rPr>
                <w:rFonts w:hint="eastAsia"/>
                <w:b/>
                <w:bCs/>
                <w:color w:val="auto"/>
                <w:u w:val="single"/>
              </w:rPr>
              <w:t>181-001-S14</w:t>
            </w:r>
          </w:p>
        </w:tc>
        <w:tc>
          <w:tcPr>
            <w:tcW w:w="583" w:type="pct"/>
            <w:noWrap w:val="0"/>
            <w:vAlign w:val="center"/>
          </w:tcPr>
          <w:p w14:paraId="75395A71">
            <w:pPr>
              <w:pStyle w:val="182"/>
              <w:rPr>
                <w:color w:val="auto"/>
              </w:rPr>
            </w:pPr>
            <w:r>
              <w:rPr>
                <w:color w:val="auto"/>
              </w:rPr>
              <w:t>一般固废</w:t>
            </w:r>
          </w:p>
        </w:tc>
        <w:tc>
          <w:tcPr>
            <w:tcW w:w="321" w:type="pct"/>
            <w:noWrap w:val="0"/>
            <w:vAlign w:val="center"/>
          </w:tcPr>
          <w:p w14:paraId="114A628B">
            <w:pPr>
              <w:pStyle w:val="182"/>
              <w:rPr>
                <w:color w:val="auto"/>
              </w:rPr>
            </w:pPr>
            <w:r>
              <w:rPr>
                <w:rFonts w:hint="eastAsia"/>
                <w:color w:val="auto"/>
              </w:rPr>
              <w:t>固态</w:t>
            </w:r>
          </w:p>
        </w:tc>
        <w:tc>
          <w:tcPr>
            <w:tcW w:w="458" w:type="pct"/>
            <w:noWrap w:val="0"/>
            <w:vAlign w:val="center"/>
          </w:tcPr>
          <w:p w14:paraId="30BD18F9">
            <w:pPr>
              <w:pStyle w:val="182"/>
              <w:rPr>
                <w:rFonts w:hint="default" w:eastAsia="宋体"/>
                <w:color w:val="auto"/>
                <w:lang w:val="en-US" w:eastAsia="zh-CN"/>
              </w:rPr>
            </w:pPr>
            <w:r>
              <w:rPr>
                <w:rFonts w:hint="eastAsia"/>
                <w:color w:val="auto"/>
                <w:lang w:val="en-US" w:eastAsia="zh-CN"/>
              </w:rPr>
              <w:t>419.2</w:t>
            </w:r>
          </w:p>
        </w:tc>
        <w:tc>
          <w:tcPr>
            <w:tcW w:w="517" w:type="pct"/>
            <w:noWrap w:val="0"/>
            <w:vAlign w:val="center"/>
          </w:tcPr>
          <w:p w14:paraId="33C27DCA">
            <w:pPr>
              <w:pStyle w:val="182"/>
              <w:rPr>
                <w:color w:val="auto"/>
              </w:rPr>
            </w:pPr>
            <w:r>
              <w:rPr>
                <w:color w:val="auto"/>
              </w:rPr>
              <w:t>卷绕及分级包装工段</w:t>
            </w:r>
          </w:p>
        </w:tc>
        <w:tc>
          <w:tcPr>
            <w:tcW w:w="1291" w:type="pct"/>
            <w:noWrap w:val="0"/>
            <w:vAlign w:val="center"/>
          </w:tcPr>
          <w:p w14:paraId="155CF966">
            <w:pPr>
              <w:pStyle w:val="182"/>
              <w:rPr>
                <w:color w:val="auto"/>
              </w:rPr>
            </w:pPr>
            <w:r>
              <w:rPr>
                <w:color w:val="auto"/>
              </w:rPr>
              <w:t>作为原料回用于生产再生氨纶</w:t>
            </w:r>
          </w:p>
        </w:tc>
      </w:tr>
      <w:tr w14:paraId="04DD1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703135D3">
            <w:pPr>
              <w:pStyle w:val="182"/>
              <w:rPr>
                <w:color w:val="auto"/>
              </w:rPr>
            </w:pPr>
            <w:r>
              <w:rPr>
                <w:color w:val="auto"/>
              </w:rPr>
              <w:t>2</w:t>
            </w:r>
          </w:p>
        </w:tc>
        <w:tc>
          <w:tcPr>
            <w:tcW w:w="559" w:type="pct"/>
            <w:noWrap w:val="0"/>
            <w:vAlign w:val="center"/>
          </w:tcPr>
          <w:p w14:paraId="7FDCF321">
            <w:pPr>
              <w:pStyle w:val="182"/>
              <w:rPr>
                <w:color w:val="auto"/>
              </w:rPr>
            </w:pPr>
            <w:r>
              <w:rPr>
                <w:color w:val="auto"/>
              </w:rPr>
              <w:t>废分子筛</w:t>
            </w:r>
          </w:p>
        </w:tc>
        <w:tc>
          <w:tcPr>
            <w:tcW w:w="1229" w:type="dxa"/>
            <w:noWrap w:val="0"/>
            <w:vAlign w:val="center"/>
          </w:tcPr>
          <w:p w14:paraId="112382AF">
            <w:pPr>
              <w:pStyle w:val="182"/>
              <w:ind w:firstLine="0" w:firstLineChars="0"/>
              <w:rPr>
                <w:b/>
                <w:bCs/>
                <w:color w:val="auto"/>
                <w:u w:val="single"/>
              </w:rPr>
            </w:pPr>
            <w:r>
              <w:rPr>
                <w:rFonts w:hint="eastAsia"/>
                <w:b/>
                <w:bCs/>
                <w:color w:val="auto"/>
                <w:u w:val="single"/>
              </w:rPr>
              <w:t>SW03炉渣</w:t>
            </w:r>
          </w:p>
        </w:tc>
        <w:tc>
          <w:tcPr>
            <w:tcW w:w="1483" w:type="dxa"/>
            <w:noWrap w:val="0"/>
            <w:vAlign w:val="center"/>
          </w:tcPr>
          <w:p w14:paraId="3DE61815">
            <w:pPr>
              <w:pStyle w:val="182"/>
              <w:ind w:firstLine="0" w:firstLineChars="0"/>
              <w:rPr>
                <w:b/>
                <w:bCs/>
                <w:color w:val="auto"/>
                <w:u w:val="single"/>
              </w:rPr>
            </w:pPr>
            <w:r>
              <w:rPr>
                <w:rFonts w:hint="eastAsia"/>
                <w:b/>
                <w:bCs/>
                <w:color w:val="auto"/>
                <w:u w:val="single"/>
                <w:lang w:val="en-US" w:eastAsia="zh-CN"/>
              </w:rPr>
              <w:t>9</w:t>
            </w:r>
            <w:r>
              <w:rPr>
                <w:rFonts w:hint="eastAsia"/>
                <w:b/>
                <w:bCs/>
                <w:color w:val="auto"/>
                <w:u w:val="single"/>
              </w:rPr>
              <w:t>00-001-S03</w:t>
            </w:r>
          </w:p>
        </w:tc>
        <w:tc>
          <w:tcPr>
            <w:tcW w:w="583" w:type="pct"/>
            <w:noWrap w:val="0"/>
            <w:vAlign w:val="center"/>
          </w:tcPr>
          <w:p w14:paraId="4AA454F3">
            <w:pPr>
              <w:pStyle w:val="182"/>
              <w:rPr>
                <w:color w:val="auto"/>
              </w:rPr>
            </w:pPr>
            <w:r>
              <w:rPr>
                <w:color w:val="auto"/>
              </w:rPr>
              <w:t>一般固废</w:t>
            </w:r>
          </w:p>
        </w:tc>
        <w:tc>
          <w:tcPr>
            <w:tcW w:w="321" w:type="pct"/>
            <w:noWrap w:val="0"/>
            <w:vAlign w:val="center"/>
          </w:tcPr>
          <w:p w14:paraId="0EFB692B">
            <w:pPr>
              <w:pStyle w:val="182"/>
              <w:rPr>
                <w:color w:val="auto"/>
              </w:rPr>
            </w:pPr>
            <w:r>
              <w:rPr>
                <w:rFonts w:hint="eastAsia"/>
                <w:color w:val="auto"/>
              </w:rPr>
              <w:t>固态</w:t>
            </w:r>
          </w:p>
        </w:tc>
        <w:tc>
          <w:tcPr>
            <w:tcW w:w="458" w:type="pct"/>
            <w:noWrap w:val="0"/>
            <w:vAlign w:val="center"/>
          </w:tcPr>
          <w:p w14:paraId="01A26E29">
            <w:pPr>
              <w:pStyle w:val="182"/>
              <w:rPr>
                <w:color w:val="auto"/>
              </w:rPr>
            </w:pPr>
            <w:r>
              <w:rPr>
                <w:rFonts w:hint="eastAsia"/>
                <w:color w:val="auto"/>
                <w:lang w:val="en-US" w:eastAsia="zh-CN"/>
              </w:rPr>
              <w:t>1</w:t>
            </w:r>
            <w:r>
              <w:rPr>
                <w:color w:val="auto"/>
              </w:rPr>
              <w:t>t每次，约5年更换一次</w:t>
            </w:r>
          </w:p>
        </w:tc>
        <w:tc>
          <w:tcPr>
            <w:tcW w:w="517" w:type="pct"/>
            <w:noWrap w:val="0"/>
            <w:vAlign w:val="center"/>
          </w:tcPr>
          <w:p w14:paraId="13F057D4">
            <w:pPr>
              <w:pStyle w:val="182"/>
              <w:rPr>
                <w:color w:val="auto"/>
              </w:rPr>
            </w:pPr>
            <w:r>
              <w:rPr>
                <w:color w:val="auto"/>
              </w:rPr>
              <w:t>制氮系统</w:t>
            </w:r>
          </w:p>
        </w:tc>
        <w:tc>
          <w:tcPr>
            <w:tcW w:w="1291" w:type="pct"/>
            <w:noWrap w:val="0"/>
            <w:vAlign w:val="center"/>
          </w:tcPr>
          <w:p w14:paraId="1E62DCCC">
            <w:pPr>
              <w:pStyle w:val="182"/>
              <w:rPr>
                <w:color w:val="auto"/>
              </w:rPr>
            </w:pPr>
            <w:r>
              <w:rPr>
                <w:color w:val="auto"/>
              </w:rPr>
              <w:t>由生产厂家回收</w:t>
            </w:r>
          </w:p>
        </w:tc>
      </w:tr>
      <w:tr w14:paraId="64CF3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6BB69F1D">
            <w:pPr>
              <w:pStyle w:val="182"/>
              <w:rPr>
                <w:color w:val="auto"/>
              </w:rPr>
            </w:pPr>
            <w:r>
              <w:rPr>
                <w:rFonts w:hint="eastAsia"/>
                <w:color w:val="auto"/>
              </w:rPr>
              <w:t>3</w:t>
            </w:r>
          </w:p>
        </w:tc>
        <w:tc>
          <w:tcPr>
            <w:tcW w:w="559" w:type="pct"/>
            <w:noWrap w:val="0"/>
            <w:vAlign w:val="center"/>
          </w:tcPr>
          <w:p w14:paraId="62FD3BDE">
            <w:pPr>
              <w:pStyle w:val="182"/>
              <w:rPr>
                <w:color w:val="auto"/>
              </w:rPr>
            </w:pPr>
            <w:r>
              <w:rPr>
                <w:rFonts w:hint="eastAsia"/>
                <w:color w:val="auto"/>
              </w:rPr>
              <w:t>菌草未煮解滤渣</w:t>
            </w:r>
          </w:p>
        </w:tc>
        <w:tc>
          <w:tcPr>
            <w:tcW w:w="1229" w:type="dxa"/>
            <w:noWrap w:val="0"/>
            <w:vAlign w:val="center"/>
          </w:tcPr>
          <w:p w14:paraId="5A02229E">
            <w:pPr>
              <w:pStyle w:val="182"/>
              <w:ind w:firstLine="0" w:firstLineChars="0"/>
              <w:rPr>
                <w:rFonts w:hint="eastAsia"/>
                <w:b/>
                <w:bCs/>
                <w:color w:val="auto"/>
                <w:u w:val="single"/>
              </w:rPr>
            </w:pPr>
            <w:r>
              <w:rPr>
                <w:rFonts w:hint="eastAsia"/>
                <w:b/>
                <w:bCs/>
                <w:color w:val="auto"/>
                <w:u w:val="single"/>
              </w:rPr>
              <w:t>SW16</w:t>
            </w:r>
          </w:p>
          <w:p w14:paraId="1FF2A7AE">
            <w:pPr>
              <w:pStyle w:val="182"/>
              <w:ind w:firstLine="0" w:firstLineChars="0"/>
              <w:rPr>
                <w:b/>
                <w:bCs/>
                <w:color w:val="auto"/>
                <w:u w:val="single"/>
              </w:rPr>
            </w:pPr>
            <w:r>
              <w:rPr>
                <w:rFonts w:hint="eastAsia"/>
                <w:b/>
                <w:bCs/>
                <w:color w:val="auto"/>
                <w:u w:val="single"/>
              </w:rPr>
              <w:t>化工废物</w:t>
            </w:r>
          </w:p>
        </w:tc>
        <w:tc>
          <w:tcPr>
            <w:tcW w:w="1483" w:type="dxa"/>
            <w:noWrap w:val="0"/>
            <w:vAlign w:val="center"/>
          </w:tcPr>
          <w:p w14:paraId="2B308EFE">
            <w:pPr>
              <w:pStyle w:val="182"/>
              <w:ind w:firstLine="0" w:firstLineChars="0"/>
              <w:rPr>
                <w:b/>
                <w:bCs/>
                <w:color w:val="auto"/>
                <w:u w:val="single"/>
              </w:rPr>
            </w:pPr>
            <w:r>
              <w:rPr>
                <w:rFonts w:hint="eastAsia"/>
                <w:b/>
                <w:bCs/>
                <w:color w:val="auto"/>
                <w:u w:val="single"/>
                <w:lang w:val="en-US" w:eastAsia="zh-CN"/>
              </w:rPr>
              <w:t>2</w:t>
            </w:r>
            <w:r>
              <w:rPr>
                <w:rFonts w:hint="eastAsia"/>
                <w:b/>
                <w:bCs/>
                <w:color w:val="auto"/>
                <w:u w:val="single"/>
              </w:rPr>
              <w:t xml:space="preserve">54-001-S16 </w:t>
            </w:r>
          </w:p>
        </w:tc>
        <w:tc>
          <w:tcPr>
            <w:tcW w:w="583" w:type="pct"/>
            <w:noWrap w:val="0"/>
            <w:vAlign w:val="center"/>
          </w:tcPr>
          <w:p w14:paraId="7321460D">
            <w:pPr>
              <w:pStyle w:val="182"/>
              <w:rPr>
                <w:color w:val="auto"/>
              </w:rPr>
            </w:pPr>
            <w:r>
              <w:rPr>
                <w:color w:val="auto"/>
              </w:rPr>
              <w:t>一般固废</w:t>
            </w:r>
          </w:p>
        </w:tc>
        <w:tc>
          <w:tcPr>
            <w:tcW w:w="321" w:type="pct"/>
            <w:noWrap w:val="0"/>
            <w:vAlign w:val="center"/>
          </w:tcPr>
          <w:p w14:paraId="7F73977F">
            <w:pPr>
              <w:pStyle w:val="182"/>
              <w:rPr>
                <w:color w:val="auto"/>
              </w:rPr>
            </w:pPr>
            <w:r>
              <w:rPr>
                <w:rFonts w:hint="eastAsia"/>
                <w:color w:val="auto"/>
              </w:rPr>
              <w:t>固态</w:t>
            </w:r>
          </w:p>
        </w:tc>
        <w:tc>
          <w:tcPr>
            <w:tcW w:w="458" w:type="pct"/>
            <w:noWrap w:val="0"/>
            <w:vAlign w:val="center"/>
          </w:tcPr>
          <w:p w14:paraId="122A7561">
            <w:pPr>
              <w:pStyle w:val="182"/>
              <w:rPr>
                <w:color w:val="auto"/>
              </w:rPr>
            </w:pPr>
            <w:r>
              <w:rPr>
                <w:rFonts w:hint="eastAsia"/>
                <w:color w:val="auto"/>
              </w:rPr>
              <w:t>500</w:t>
            </w:r>
          </w:p>
        </w:tc>
        <w:tc>
          <w:tcPr>
            <w:tcW w:w="517" w:type="pct"/>
            <w:noWrap w:val="0"/>
            <w:vAlign w:val="center"/>
          </w:tcPr>
          <w:p w14:paraId="0DBC7D5D">
            <w:pPr>
              <w:pStyle w:val="182"/>
              <w:rPr>
                <w:color w:val="auto"/>
              </w:rPr>
            </w:pPr>
            <w:r>
              <w:rPr>
                <w:rFonts w:hint="eastAsia"/>
                <w:color w:val="auto"/>
              </w:rPr>
              <w:t>煮解</w:t>
            </w:r>
          </w:p>
        </w:tc>
        <w:tc>
          <w:tcPr>
            <w:tcW w:w="1291" w:type="pct"/>
            <w:noWrap w:val="0"/>
            <w:vAlign w:val="center"/>
          </w:tcPr>
          <w:p w14:paraId="69BD240F">
            <w:pPr>
              <w:pStyle w:val="182"/>
              <w:rPr>
                <w:color w:val="auto"/>
              </w:rPr>
            </w:pPr>
            <w:r>
              <w:rPr>
                <w:rFonts w:hint="eastAsia"/>
                <w:color w:val="auto"/>
              </w:rPr>
              <w:t>送厂区锅炉燃烧</w:t>
            </w:r>
          </w:p>
        </w:tc>
      </w:tr>
      <w:tr w14:paraId="763DE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006E6019">
            <w:pPr>
              <w:pStyle w:val="182"/>
              <w:rPr>
                <w:color w:val="auto"/>
              </w:rPr>
            </w:pPr>
            <w:r>
              <w:rPr>
                <w:color w:val="auto"/>
              </w:rPr>
              <w:t>4</w:t>
            </w:r>
          </w:p>
        </w:tc>
        <w:tc>
          <w:tcPr>
            <w:tcW w:w="559" w:type="pct"/>
            <w:noWrap w:val="0"/>
            <w:vAlign w:val="center"/>
          </w:tcPr>
          <w:p w14:paraId="55183D8E">
            <w:pPr>
              <w:pStyle w:val="182"/>
              <w:rPr>
                <w:color w:val="auto"/>
              </w:rPr>
            </w:pPr>
            <w:r>
              <w:rPr>
                <w:color w:val="auto"/>
              </w:rPr>
              <w:t>废微孔滤器</w:t>
            </w:r>
          </w:p>
        </w:tc>
        <w:tc>
          <w:tcPr>
            <w:tcW w:w="1229" w:type="dxa"/>
            <w:noWrap w:val="0"/>
            <w:vAlign w:val="center"/>
          </w:tcPr>
          <w:p w14:paraId="79FEBB48">
            <w:pPr>
              <w:pStyle w:val="182"/>
              <w:ind w:firstLine="0" w:firstLineChars="0"/>
              <w:rPr>
                <w:b/>
                <w:bCs/>
                <w:color w:val="auto"/>
                <w:u w:val="single"/>
              </w:rPr>
            </w:pPr>
            <w:r>
              <w:rPr>
                <w:rFonts w:hint="eastAsia"/>
                <w:b/>
                <w:bCs/>
                <w:color w:val="auto"/>
                <w:u w:val="single"/>
              </w:rPr>
              <w:t>SW59其他工业固体废物</w:t>
            </w:r>
          </w:p>
        </w:tc>
        <w:tc>
          <w:tcPr>
            <w:tcW w:w="1483" w:type="dxa"/>
            <w:noWrap w:val="0"/>
            <w:vAlign w:val="center"/>
          </w:tcPr>
          <w:p w14:paraId="1CB567A1">
            <w:pPr>
              <w:pStyle w:val="182"/>
              <w:ind w:firstLine="0" w:firstLineChars="0"/>
              <w:rPr>
                <w:b/>
                <w:bCs/>
                <w:color w:val="auto"/>
                <w:u w:val="single"/>
              </w:rPr>
            </w:pPr>
            <w:r>
              <w:rPr>
                <w:rFonts w:hint="eastAsia"/>
                <w:b/>
                <w:bCs/>
                <w:color w:val="auto"/>
                <w:u w:val="single"/>
              </w:rPr>
              <w:t>900-009-S59</w:t>
            </w:r>
          </w:p>
        </w:tc>
        <w:tc>
          <w:tcPr>
            <w:tcW w:w="583" w:type="pct"/>
            <w:noWrap w:val="0"/>
            <w:vAlign w:val="center"/>
          </w:tcPr>
          <w:p w14:paraId="1D63230F">
            <w:pPr>
              <w:pStyle w:val="182"/>
              <w:rPr>
                <w:color w:val="auto"/>
              </w:rPr>
            </w:pPr>
            <w:r>
              <w:rPr>
                <w:color w:val="auto"/>
              </w:rPr>
              <w:t>一般固废</w:t>
            </w:r>
          </w:p>
        </w:tc>
        <w:tc>
          <w:tcPr>
            <w:tcW w:w="321" w:type="pct"/>
            <w:noWrap w:val="0"/>
            <w:vAlign w:val="center"/>
          </w:tcPr>
          <w:p w14:paraId="292F9BF2">
            <w:pPr>
              <w:pStyle w:val="182"/>
              <w:rPr>
                <w:color w:val="auto"/>
              </w:rPr>
            </w:pPr>
            <w:r>
              <w:rPr>
                <w:rFonts w:hint="eastAsia"/>
                <w:color w:val="auto"/>
              </w:rPr>
              <w:t>固态</w:t>
            </w:r>
          </w:p>
        </w:tc>
        <w:tc>
          <w:tcPr>
            <w:tcW w:w="458" w:type="pct"/>
            <w:noWrap w:val="0"/>
            <w:vAlign w:val="center"/>
          </w:tcPr>
          <w:p w14:paraId="732FF70F">
            <w:pPr>
              <w:pStyle w:val="182"/>
              <w:rPr>
                <w:rFonts w:hint="default" w:eastAsia="宋体"/>
                <w:color w:val="auto"/>
                <w:lang w:val="en-US" w:eastAsia="zh-CN"/>
              </w:rPr>
            </w:pPr>
            <w:r>
              <w:rPr>
                <w:rFonts w:hint="eastAsia"/>
                <w:color w:val="auto"/>
                <w:lang w:val="en-US" w:eastAsia="zh-CN"/>
              </w:rPr>
              <w:t>0.8</w:t>
            </w:r>
          </w:p>
        </w:tc>
        <w:tc>
          <w:tcPr>
            <w:tcW w:w="517" w:type="pct"/>
            <w:noWrap w:val="0"/>
            <w:vAlign w:val="center"/>
          </w:tcPr>
          <w:p w14:paraId="1FAFC637">
            <w:pPr>
              <w:pStyle w:val="182"/>
              <w:rPr>
                <w:color w:val="auto"/>
              </w:rPr>
            </w:pPr>
            <w:r>
              <w:rPr>
                <w:color w:val="auto"/>
              </w:rPr>
              <w:t>组件清洗过程</w:t>
            </w:r>
          </w:p>
        </w:tc>
        <w:tc>
          <w:tcPr>
            <w:tcW w:w="1291" w:type="pct"/>
            <w:noWrap w:val="0"/>
            <w:vAlign w:val="center"/>
          </w:tcPr>
          <w:p w14:paraId="15847694">
            <w:pPr>
              <w:pStyle w:val="182"/>
              <w:rPr>
                <w:color w:val="auto"/>
              </w:rPr>
            </w:pPr>
            <w:r>
              <w:rPr>
                <w:rFonts w:hint="eastAsia"/>
                <w:color w:val="auto"/>
                <w:lang w:val="en-US" w:eastAsia="zh-CN"/>
              </w:rPr>
              <w:t>原环评处置方式为</w:t>
            </w:r>
            <w:r>
              <w:rPr>
                <w:color w:val="auto"/>
              </w:rPr>
              <w:t>送往垃圾填埋场</w:t>
            </w:r>
            <w:r>
              <w:rPr>
                <w:rFonts w:hint="eastAsia"/>
                <w:color w:val="auto"/>
                <w:lang w:eastAsia="zh-CN"/>
              </w:rPr>
              <w:t>，</w:t>
            </w:r>
            <w:r>
              <w:rPr>
                <w:rFonts w:hint="eastAsia"/>
                <w:color w:val="auto"/>
                <w:lang w:val="en-US" w:eastAsia="zh-CN"/>
              </w:rPr>
              <w:t>已建项目为厂家回收处理，在建项目建成后产生的固废也拟交厂家回收</w:t>
            </w:r>
          </w:p>
        </w:tc>
      </w:tr>
      <w:tr w14:paraId="45A6B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58" w:type="pct"/>
            <w:noWrap w:val="0"/>
            <w:vAlign w:val="center"/>
          </w:tcPr>
          <w:p w14:paraId="7FB8845F">
            <w:pPr>
              <w:pStyle w:val="182"/>
              <w:rPr>
                <w:rFonts w:hint="eastAsia" w:eastAsia="宋体"/>
                <w:color w:val="auto"/>
                <w:lang w:eastAsia="zh-CN"/>
              </w:rPr>
            </w:pPr>
            <w:r>
              <w:rPr>
                <w:rFonts w:hint="eastAsia"/>
                <w:color w:val="auto"/>
                <w:lang w:val="en-US" w:eastAsia="zh-CN"/>
              </w:rPr>
              <w:t>5</w:t>
            </w:r>
          </w:p>
        </w:tc>
        <w:tc>
          <w:tcPr>
            <w:tcW w:w="559" w:type="pct"/>
            <w:noWrap w:val="0"/>
            <w:vAlign w:val="center"/>
          </w:tcPr>
          <w:p w14:paraId="489970AD">
            <w:pPr>
              <w:pStyle w:val="182"/>
              <w:rPr>
                <w:color w:val="auto"/>
              </w:rPr>
            </w:pPr>
            <w:r>
              <w:rPr>
                <w:color w:val="auto"/>
              </w:rPr>
              <w:t>污水站污泥</w:t>
            </w:r>
          </w:p>
        </w:tc>
        <w:tc>
          <w:tcPr>
            <w:tcW w:w="1229" w:type="dxa"/>
            <w:noWrap w:val="0"/>
            <w:vAlign w:val="center"/>
          </w:tcPr>
          <w:p w14:paraId="736192F9">
            <w:pPr>
              <w:pStyle w:val="182"/>
              <w:ind w:firstLine="0" w:firstLineChars="0"/>
              <w:rPr>
                <w:b/>
                <w:bCs/>
                <w:color w:val="auto"/>
                <w:u w:val="single"/>
              </w:rPr>
            </w:pPr>
            <w:r>
              <w:rPr>
                <w:rFonts w:hint="eastAsia"/>
                <w:b/>
                <w:bCs/>
                <w:color w:val="auto"/>
                <w:u w:val="single"/>
                <w:lang w:val="en-US" w:eastAsia="zh-CN"/>
              </w:rPr>
              <w:t>SW07污泥</w:t>
            </w:r>
          </w:p>
        </w:tc>
        <w:tc>
          <w:tcPr>
            <w:tcW w:w="1483" w:type="dxa"/>
            <w:noWrap w:val="0"/>
            <w:vAlign w:val="center"/>
          </w:tcPr>
          <w:p w14:paraId="0FCD7645">
            <w:pPr>
              <w:pStyle w:val="182"/>
              <w:ind w:firstLine="0" w:firstLineChars="0"/>
              <w:rPr>
                <w:b/>
                <w:bCs/>
                <w:color w:val="auto"/>
                <w:u w:val="single"/>
              </w:rPr>
            </w:pPr>
            <w:r>
              <w:rPr>
                <w:rFonts w:hint="eastAsia"/>
                <w:b/>
                <w:bCs/>
                <w:color w:val="auto"/>
                <w:u w:val="single"/>
              </w:rPr>
              <w:t>900-099-S07</w:t>
            </w:r>
          </w:p>
        </w:tc>
        <w:tc>
          <w:tcPr>
            <w:tcW w:w="583" w:type="pct"/>
            <w:noWrap w:val="0"/>
            <w:vAlign w:val="center"/>
          </w:tcPr>
          <w:p w14:paraId="1A6549F6">
            <w:pPr>
              <w:pStyle w:val="182"/>
              <w:rPr>
                <w:color w:val="auto"/>
              </w:rPr>
            </w:pPr>
            <w:r>
              <w:rPr>
                <w:color w:val="auto"/>
              </w:rPr>
              <w:t>一般固废</w:t>
            </w:r>
          </w:p>
        </w:tc>
        <w:tc>
          <w:tcPr>
            <w:tcW w:w="321" w:type="pct"/>
            <w:noWrap w:val="0"/>
            <w:vAlign w:val="center"/>
          </w:tcPr>
          <w:p w14:paraId="10D75C84">
            <w:pPr>
              <w:pStyle w:val="182"/>
              <w:rPr>
                <w:color w:val="auto"/>
              </w:rPr>
            </w:pPr>
            <w:r>
              <w:rPr>
                <w:rFonts w:hint="eastAsia"/>
                <w:color w:val="auto"/>
              </w:rPr>
              <w:t>固态</w:t>
            </w:r>
          </w:p>
        </w:tc>
        <w:tc>
          <w:tcPr>
            <w:tcW w:w="458" w:type="pct"/>
            <w:noWrap w:val="0"/>
            <w:vAlign w:val="center"/>
          </w:tcPr>
          <w:p w14:paraId="1DB73B20">
            <w:pPr>
              <w:pStyle w:val="182"/>
              <w:rPr>
                <w:rFonts w:hint="default" w:eastAsia="宋体"/>
                <w:color w:val="auto"/>
                <w:lang w:val="en-US" w:eastAsia="zh-CN"/>
              </w:rPr>
            </w:pPr>
            <w:r>
              <w:rPr>
                <w:rFonts w:hint="eastAsia"/>
                <w:color w:val="auto"/>
                <w:lang w:val="en-US" w:eastAsia="zh-CN"/>
              </w:rPr>
              <w:t>735.75</w:t>
            </w:r>
          </w:p>
        </w:tc>
        <w:tc>
          <w:tcPr>
            <w:tcW w:w="517" w:type="pct"/>
            <w:noWrap w:val="0"/>
            <w:vAlign w:val="center"/>
          </w:tcPr>
          <w:p w14:paraId="11154C03">
            <w:pPr>
              <w:pStyle w:val="182"/>
              <w:rPr>
                <w:color w:val="auto"/>
              </w:rPr>
            </w:pPr>
            <w:r>
              <w:rPr>
                <w:color w:val="auto"/>
              </w:rPr>
              <w:t>污水处理</w:t>
            </w:r>
          </w:p>
        </w:tc>
        <w:tc>
          <w:tcPr>
            <w:tcW w:w="1291" w:type="pct"/>
            <w:noWrap w:val="0"/>
            <w:vAlign w:val="center"/>
          </w:tcPr>
          <w:p w14:paraId="3B01A640">
            <w:pPr>
              <w:pStyle w:val="182"/>
              <w:rPr>
                <w:rFonts w:hint="default" w:eastAsia="宋体"/>
                <w:lang w:val="en-US" w:eastAsia="zh-CN"/>
              </w:rPr>
            </w:pPr>
            <w:r>
              <w:rPr>
                <w:rFonts w:hint="eastAsia" w:ascii="Times New Roman" w:hAnsi="Times New Roman" w:eastAsia="宋体" w:cs="Times New Roman"/>
                <w:b w:val="0"/>
                <w:bCs w:val="0"/>
                <w:sz w:val="21"/>
                <w:szCs w:val="18"/>
                <w:u w:val="none"/>
                <w:lang w:val="en-US" w:eastAsia="zh-CN"/>
              </w:rPr>
              <w:t>原环评批复处理方式为送到垃圾填埋场处置，由于垃圾填埋场封场。目前新乡化纤股份有限公司与山西晟鼎再生资源有限公司签订污泥处置协议，在建项目建成后污泥全权交由该公司进行处置（协议见附件11）。</w:t>
            </w:r>
          </w:p>
        </w:tc>
      </w:tr>
      <w:tr w14:paraId="5C18C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666381AF">
            <w:pPr>
              <w:pStyle w:val="182"/>
              <w:rPr>
                <w:rFonts w:hint="eastAsia" w:eastAsia="宋体"/>
                <w:color w:val="auto"/>
                <w:lang w:eastAsia="zh-CN"/>
              </w:rPr>
            </w:pPr>
            <w:r>
              <w:rPr>
                <w:rFonts w:hint="eastAsia"/>
                <w:color w:val="auto"/>
                <w:lang w:val="en-US" w:eastAsia="zh-CN"/>
              </w:rPr>
              <w:t>6</w:t>
            </w:r>
          </w:p>
        </w:tc>
        <w:tc>
          <w:tcPr>
            <w:tcW w:w="559" w:type="pct"/>
            <w:noWrap w:val="0"/>
            <w:vAlign w:val="center"/>
          </w:tcPr>
          <w:p w14:paraId="00B90244">
            <w:pPr>
              <w:pStyle w:val="182"/>
              <w:rPr>
                <w:color w:val="auto"/>
              </w:rPr>
            </w:pPr>
            <w:r>
              <w:rPr>
                <w:color w:val="auto"/>
              </w:rPr>
              <w:t>灰渣</w:t>
            </w:r>
          </w:p>
        </w:tc>
        <w:tc>
          <w:tcPr>
            <w:tcW w:w="1229" w:type="dxa"/>
            <w:noWrap w:val="0"/>
            <w:vAlign w:val="center"/>
          </w:tcPr>
          <w:p w14:paraId="1CBF2C39">
            <w:pPr>
              <w:pStyle w:val="182"/>
              <w:ind w:firstLine="0" w:firstLineChars="0"/>
              <w:rPr>
                <w:b/>
                <w:bCs/>
                <w:color w:val="auto"/>
                <w:u w:val="single"/>
              </w:rPr>
            </w:pPr>
            <w:r>
              <w:rPr>
                <w:rFonts w:hint="eastAsia"/>
                <w:b/>
                <w:bCs/>
                <w:color w:val="auto"/>
                <w:u w:val="single"/>
              </w:rPr>
              <w:t>SW03炉渣</w:t>
            </w:r>
          </w:p>
        </w:tc>
        <w:tc>
          <w:tcPr>
            <w:tcW w:w="1483" w:type="dxa"/>
            <w:noWrap w:val="0"/>
            <w:vAlign w:val="center"/>
          </w:tcPr>
          <w:p w14:paraId="5775395D">
            <w:pPr>
              <w:pStyle w:val="182"/>
              <w:ind w:firstLine="0" w:firstLineChars="0"/>
              <w:rPr>
                <w:b/>
                <w:bCs/>
                <w:color w:val="auto"/>
                <w:u w:val="single"/>
              </w:rPr>
            </w:pPr>
            <w:r>
              <w:rPr>
                <w:rFonts w:hint="eastAsia"/>
                <w:b/>
                <w:bCs/>
                <w:color w:val="auto"/>
                <w:u w:val="single"/>
                <w:lang w:val="en-US" w:eastAsia="zh-CN"/>
              </w:rPr>
              <w:t>9</w:t>
            </w:r>
            <w:r>
              <w:rPr>
                <w:rFonts w:hint="eastAsia"/>
                <w:b/>
                <w:bCs/>
                <w:color w:val="auto"/>
                <w:u w:val="single"/>
              </w:rPr>
              <w:t>00-001-S03</w:t>
            </w:r>
          </w:p>
        </w:tc>
        <w:tc>
          <w:tcPr>
            <w:tcW w:w="583" w:type="pct"/>
            <w:noWrap w:val="0"/>
            <w:vAlign w:val="center"/>
          </w:tcPr>
          <w:p w14:paraId="3AD2E304">
            <w:pPr>
              <w:pStyle w:val="182"/>
              <w:rPr>
                <w:color w:val="auto"/>
              </w:rPr>
            </w:pPr>
            <w:r>
              <w:rPr>
                <w:color w:val="auto"/>
              </w:rPr>
              <w:t>一般固废</w:t>
            </w:r>
          </w:p>
        </w:tc>
        <w:tc>
          <w:tcPr>
            <w:tcW w:w="321" w:type="pct"/>
            <w:noWrap w:val="0"/>
            <w:vAlign w:val="center"/>
          </w:tcPr>
          <w:p w14:paraId="346D9F09">
            <w:pPr>
              <w:pStyle w:val="182"/>
              <w:rPr>
                <w:color w:val="auto"/>
              </w:rPr>
            </w:pPr>
            <w:r>
              <w:rPr>
                <w:rFonts w:hint="eastAsia"/>
                <w:color w:val="auto"/>
              </w:rPr>
              <w:t>固态</w:t>
            </w:r>
          </w:p>
        </w:tc>
        <w:tc>
          <w:tcPr>
            <w:tcW w:w="458" w:type="pct"/>
            <w:noWrap w:val="0"/>
            <w:vAlign w:val="center"/>
          </w:tcPr>
          <w:p w14:paraId="5AB9C3F3">
            <w:pPr>
              <w:pStyle w:val="182"/>
              <w:rPr>
                <w:rFonts w:hint="default" w:eastAsia="宋体"/>
                <w:color w:val="auto"/>
                <w:lang w:val="en-US" w:eastAsia="zh-CN"/>
              </w:rPr>
            </w:pPr>
            <w:r>
              <w:rPr>
                <w:rFonts w:hint="eastAsia"/>
                <w:color w:val="auto"/>
                <w:lang w:val="en-US" w:eastAsia="zh-CN"/>
              </w:rPr>
              <w:t>111162.7</w:t>
            </w:r>
          </w:p>
        </w:tc>
        <w:tc>
          <w:tcPr>
            <w:tcW w:w="517" w:type="pct"/>
            <w:noWrap w:val="0"/>
            <w:vAlign w:val="center"/>
          </w:tcPr>
          <w:p w14:paraId="77BD139F">
            <w:pPr>
              <w:pStyle w:val="182"/>
              <w:rPr>
                <w:color w:val="auto"/>
              </w:rPr>
            </w:pPr>
            <w:r>
              <w:rPr>
                <w:color w:val="auto"/>
              </w:rPr>
              <w:t>锅炉</w:t>
            </w:r>
          </w:p>
        </w:tc>
        <w:tc>
          <w:tcPr>
            <w:tcW w:w="1291" w:type="pct"/>
            <w:noWrap w:val="0"/>
            <w:vAlign w:val="center"/>
          </w:tcPr>
          <w:p w14:paraId="47E763D7">
            <w:pPr>
              <w:pStyle w:val="182"/>
            </w:pPr>
            <w:r>
              <w:t>作为建材出售</w:t>
            </w:r>
          </w:p>
        </w:tc>
      </w:tr>
      <w:tr w14:paraId="7E78C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25E6A5F1">
            <w:pPr>
              <w:pStyle w:val="182"/>
              <w:rPr>
                <w:rFonts w:hint="default"/>
                <w:color w:val="auto"/>
                <w:lang w:val="en-US" w:eastAsia="zh-CN"/>
              </w:rPr>
            </w:pPr>
            <w:r>
              <w:rPr>
                <w:rFonts w:hint="eastAsia"/>
                <w:color w:val="auto"/>
                <w:lang w:val="en-US" w:eastAsia="zh-CN"/>
              </w:rPr>
              <w:t>7</w:t>
            </w:r>
          </w:p>
        </w:tc>
        <w:tc>
          <w:tcPr>
            <w:tcW w:w="559" w:type="pct"/>
            <w:noWrap w:val="0"/>
            <w:vAlign w:val="center"/>
          </w:tcPr>
          <w:p w14:paraId="7BEAF3C5">
            <w:pPr>
              <w:pStyle w:val="182"/>
              <w:ind w:firstLine="0" w:firstLineChars="0"/>
              <w:rPr>
                <w:rFonts w:hint="default"/>
                <w:color w:val="auto"/>
                <w:lang w:val="en-US"/>
              </w:rPr>
            </w:pPr>
            <w:r>
              <w:rPr>
                <w:rFonts w:hint="eastAsia"/>
                <w:color w:val="auto"/>
                <w:lang w:val="en-US" w:eastAsia="zh-CN"/>
              </w:rPr>
              <w:t>废丝及颗粒物（离子液）</w:t>
            </w:r>
          </w:p>
        </w:tc>
        <w:tc>
          <w:tcPr>
            <w:tcW w:w="1229" w:type="dxa"/>
            <w:noWrap w:val="0"/>
            <w:vAlign w:val="center"/>
          </w:tcPr>
          <w:p w14:paraId="2A26D973">
            <w:pPr>
              <w:pStyle w:val="182"/>
              <w:ind w:firstLine="0" w:firstLineChars="0"/>
              <w:rPr>
                <w:rFonts w:hint="eastAsia" w:ascii="Times New Roman" w:hAnsi="Times New Roman" w:eastAsia="宋体" w:cs="Times New Roman"/>
                <w:b/>
                <w:bCs/>
                <w:color w:val="auto"/>
                <w:u w:val="single"/>
              </w:rPr>
            </w:pPr>
            <w:r>
              <w:rPr>
                <w:rFonts w:hint="eastAsia" w:ascii="Times New Roman" w:hAnsi="Times New Roman" w:eastAsia="宋体" w:cs="Times New Roman"/>
                <w:b/>
                <w:bCs/>
                <w:color w:val="auto"/>
                <w:u w:val="single"/>
                <w:lang w:val="en-US" w:eastAsia="zh-CN"/>
              </w:rPr>
              <w:t>S</w:t>
            </w:r>
            <w:r>
              <w:rPr>
                <w:rFonts w:hint="eastAsia" w:ascii="Times New Roman" w:hAnsi="Times New Roman" w:eastAsia="宋体" w:cs="Times New Roman"/>
                <w:b/>
                <w:bCs/>
                <w:color w:val="auto"/>
                <w:u w:val="single"/>
              </w:rPr>
              <w:t>W14纺织皮革业废物</w:t>
            </w:r>
          </w:p>
        </w:tc>
        <w:tc>
          <w:tcPr>
            <w:tcW w:w="1483" w:type="dxa"/>
            <w:noWrap w:val="0"/>
            <w:vAlign w:val="center"/>
          </w:tcPr>
          <w:p w14:paraId="1C1B6230">
            <w:pPr>
              <w:pStyle w:val="182"/>
              <w:ind w:firstLine="0" w:firstLineChars="0"/>
              <w:rPr>
                <w:rFonts w:hint="eastAsia" w:ascii="Times New Roman" w:hAnsi="Times New Roman" w:eastAsia="宋体" w:cs="Times New Roman"/>
                <w:b/>
                <w:bCs/>
                <w:color w:val="auto"/>
                <w:u w:val="single"/>
              </w:rPr>
            </w:pPr>
            <w:r>
              <w:rPr>
                <w:rFonts w:hint="eastAsia" w:ascii="Times New Roman" w:hAnsi="Times New Roman" w:eastAsia="宋体" w:cs="Times New Roman"/>
                <w:b/>
                <w:bCs/>
                <w:color w:val="auto"/>
                <w:u w:val="single"/>
              </w:rPr>
              <w:t>181-001-S14</w:t>
            </w:r>
          </w:p>
        </w:tc>
        <w:tc>
          <w:tcPr>
            <w:tcW w:w="583" w:type="pct"/>
            <w:noWrap w:val="0"/>
            <w:vAlign w:val="center"/>
          </w:tcPr>
          <w:p w14:paraId="5C5B0080">
            <w:pPr>
              <w:pStyle w:val="182"/>
              <w:ind w:firstLine="0" w:firstLineChars="0"/>
              <w:rPr>
                <w:color w:val="auto"/>
              </w:rPr>
            </w:pPr>
            <w:r>
              <w:rPr>
                <w:color w:val="auto"/>
              </w:rPr>
              <w:t>一般固废</w:t>
            </w:r>
          </w:p>
        </w:tc>
        <w:tc>
          <w:tcPr>
            <w:tcW w:w="321" w:type="pct"/>
            <w:noWrap w:val="0"/>
            <w:vAlign w:val="center"/>
          </w:tcPr>
          <w:p w14:paraId="6FE45148">
            <w:pPr>
              <w:pStyle w:val="182"/>
              <w:ind w:firstLine="0" w:firstLineChars="0"/>
              <w:rPr>
                <w:rFonts w:hint="eastAsia"/>
                <w:color w:val="auto"/>
              </w:rPr>
            </w:pPr>
            <w:r>
              <w:rPr>
                <w:rFonts w:hint="eastAsia"/>
                <w:color w:val="auto"/>
              </w:rPr>
              <w:t>固态</w:t>
            </w:r>
          </w:p>
        </w:tc>
        <w:tc>
          <w:tcPr>
            <w:tcW w:w="458" w:type="pct"/>
            <w:noWrap w:val="0"/>
            <w:vAlign w:val="center"/>
          </w:tcPr>
          <w:p w14:paraId="5D3D7430">
            <w:pPr>
              <w:pStyle w:val="182"/>
              <w:ind w:firstLine="0" w:firstLineChars="0"/>
              <w:rPr>
                <w:rFonts w:hint="default" w:eastAsia="宋体"/>
                <w:color w:val="auto"/>
                <w:lang w:val="en-US" w:eastAsia="zh-CN"/>
              </w:rPr>
            </w:pPr>
            <w:r>
              <w:rPr>
                <w:rFonts w:hint="eastAsia"/>
                <w:color w:val="auto"/>
                <w:lang w:val="en-US" w:eastAsia="zh-CN"/>
              </w:rPr>
              <w:t>5.71</w:t>
            </w:r>
          </w:p>
        </w:tc>
        <w:tc>
          <w:tcPr>
            <w:tcW w:w="517" w:type="pct"/>
            <w:noWrap w:val="0"/>
            <w:vAlign w:val="center"/>
          </w:tcPr>
          <w:p w14:paraId="52DAFC8E">
            <w:pPr>
              <w:pStyle w:val="182"/>
              <w:ind w:firstLine="0" w:firstLineChars="0"/>
              <w:rPr>
                <w:rFonts w:hint="default"/>
                <w:color w:val="auto"/>
                <w:lang w:val="en-US"/>
              </w:rPr>
            </w:pPr>
            <w:r>
              <w:rPr>
                <w:rFonts w:hint="eastAsia"/>
                <w:color w:val="auto"/>
                <w:lang w:val="en-US" w:eastAsia="zh-CN"/>
              </w:rPr>
              <w:t>离子液破碎及纺丝</w:t>
            </w:r>
          </w:p>
        </w:tc>
        <w:tc>
          <w:tcPr>
            <w:tcW w:w="1291" w:type="pct"/>
            <w:noWrap w:val="0"/>
            <w:vAlign w:val="center"/>
          </w:tcPr>
          <w:p w14:paraId="4B4D36B0">
            <w:pPr>
              <w:pStyle w:val="182"/>
              <w:ind w:firstLine="0" w:firstLineChars="0"/>
              <w:rPr>
                <w:rFonts w:hint="eastAsia" w:eastAsia="宋体"/>
                <w:lang w:eastAsia="zh-CN"/>
              </w:rPr>
            </w:pPr>
            <w:r>
              <w:rPr>
                <w:rFonts w:hint="eastAsia"/>
                <w:color w:val="auto"/>
                <w:lang w:val="en-US" w:eastAsia="zh-CN"/>
              </w:rPr>
              <w:t>一般固废间</w:t>
            </w:r>
            <w:r>
              <w:rPr>
                <w:rFonts w:hint="eastAsia"/>
                <w:color w:val="auto"/>
              </w:rPr>
              <w:t>暂存</w:t>
            </w:r>
            <w:r>
              <w:rPr>
                <w:color w:val="auto"/>
              </w:rPr>
              <w:t>，定期</w:t>
            </w:r>
            <w:r>
              <w:rPr>
                <w:rFonts w:hint="eastAsia"/>
                <w:color w:val="auto"/>
                <w:lang w:val="en-US" w:eastAsia="zh-CN"/>
              </w:rPr>
              <w:t>回用离子液项目生产</w:t>
            </w:r>
          </w:p>
        </w:tc>
      </w:tr>
      <w:tr w14:paraId="306AF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73150324">
            <w:pPr>
              <w:pStyle w:val="182"/>
              <w:rPr>
                <w:rFonts w:hint="default"/>
                <w:color w:val="auto"/>
                <w:lang w:val="en-US" w:eastAsia="zh-CN"/>
              </w:rPr>
            </w:pPr>
            <w:r>
              <w:rPr>
                <w:rFonts w:hint="eastAsia"/>
                <w:color w:val="auto"/>
                <w:lang w:val="en-US" w:eastAsia="zh-CN"/>
              </w:rPr>
              <w:t>8</w:t>
            </w:r>
          </w:p>
        </w:tc>
        <w:tc>
          <w:tcPr>
            <w:tcW w:w="559" w:type="pct"/>
            <w:noWrap w:val="0"/>
            <w:vAlign w:val="center"/>
          </w:tcPr>
          <w:p w14:paraId="2EBA1B93">
            <w:pPr>
              <w:pStyle w:val="182"/>
              <w:ind w:firstLine="0" w:firstLineChars="0"/>
              <w:rPr>
                <w:color w:val="auto"/>
              </w:rPr>
            </w:pPr>
            <w:r>
              <w:rPr>
                <w:rFonts w:hint="eastAsia"/>
                <w:color w:val="auto"/>
                <w:lang w:val="en-US" w:eastAsia="zh-CN"/>
              </w:rPr>
              <w:t>废弃离子液</w:t>
            </w:r>
            <w:r>
              <w:rPr>
                <w:color w:val="auto"/>
              </w:rPr>
              <w:t>包装桶</w:t>
            </w:r>
          </w:p>
        </w:tc>
        <w:tc>
          <w:tcPr>
            <w:tcW w:w="457" w:type="pct"/>
            <w:noWrap w:val="0"/>
            <w:vAlign w:val="center"/>
          </w:tcPr>
          <w:p w14:paraId="70021B4A">
            <w:pPr>
              <w:pStyle w:val="182"/>
              <w:ind w:firstLine="0" w:firstLineChars="0"/>
              <w:rPr>
                <w:rFonts w:hint="eastAsia" w:ascii="Times New Roman" w:hAnsi="Times New Roman" w:eastAsia="宋体" w:cs="Times New Roman"/>
                <w:b/>
                <w:bCs/>
                <w:color w:val="auto"/>
                <w:u w:val="single"/>
              </w:rPr>
            </w:pPr>
            <w:r>
              <w:rPr>
                <w:rFonts w:hint="eastAsia" w:ascii="Times New Roman" w:hAnsi="Times New Roman" w:eastAsia="宋体" w:cs="Times New Roman"/>
                <w:b/>
                <w:bCs/>
                <w:color w:val="auto"/>
                <w:u w:val="single"/>
              </w:rPr>
              <w:t>SW62可回收物</w:t>
            </w:r>
          </w:p>
        </w:tc>
        <w:tc>
          <w:tcPr>
            <w:tcW w:w="551" w:type="pct"/>
            <w:noWrap w:val="0"/>
            <w:vAlign w:val="center"/>
          </w:tcPr>
          <w:p w14:paraId="317DD3D8">
            <w:pPr>
              <w:pStyle w:val="182"/>
              <w:ind w:firstLine="0" w:firstLineChars="0"/>
              <w:rPr>
                <w:rFonts w:hint="eastAsia" w:ascii="Times New Roman" w:hAnsi="Times New Roman" w:eastAsia="宋体" w:cs="Times New Roman"/>
                <w:b/>
                <w:bCs/>
                <w:color w:val="auto"/>
                <w:u w:val="single"/>
              </w:rPr>
            </w:pPr>
            <w:r>
              <w:rPr>
                <w:rFonts w:hint="eastAsia" w:ascii="Times New Roman" w:hAnsi="Times New Roman" w:eastAsia="宋体" w:cs="Times New Roman"/>
                <w:b/>
                <w:bCs/>
                <w:color w:val="auto"/>
                <w:u w:val="single"/>
              </w:rPr>
              <w:t>900-002-S62</w:t>
            </w:r>
          </w:p>
        </w:tc>
        <w:tc>
          <w:tcPr>
            <w:tcW w:w="583" w:type="pct"/>
            <w:noWrap w:val="0"/>
            <w:vAlign w:val="center"/>
          </w:tcPr>
          <w:p w14:paraId="6A0C4A55">
            <w:pPr>
              <w:pStyle w:val="182"/>
              <w:ind w:firstLine="0" w:firstLineChars="0"/>
              <w:rPr>
                <w:color w:val="auto"/>
              </w:rPr>
            </w:pPr>
            <w:r>
              <w:rPr>
                <w:color w:val="auto"/>
              </w:rPr>
              <w:t>一般固废</w:t>
            </w:r>
          </w:p>
        </w:tc>
        <w:tc>
          <w:tcPr>
            <w:tcW w:w="321" w:type="pct"/>
            <w:noWrap w:val="0"/>
            <w:vAlign w:val="center"/>
          </w:tcPr>
          <w:p w14:paraId="61451ED3">
            <w:pPr>
              <w:pStyle w:val="182"/>
              <w:ind w:firstLine="0" w:firstLineChars="0"/>
              <w:rPr>
                <w:rFonts w:hint="eastAsia"/>
                <w:color w:val="auto"/>
              </w:rPr>
            </w:pPr>
            <w:r>
              <w:rPr>
                <w:rFonts w:hint="eastAsia"/>
                <w:color w:val="auto"/>
              </w:rPr>
              <w:t>固态</w:t>
            </w:r>
          </w:p>
        </w:tc>
        <w:tc>
          <w:tcPr>
            <w:tcW w:w="458" w:type="pct"/>
            <w:noWrap w:val="0"/>
            <w:vAlign w:val="center"/>
          </w:tcPr>
          <w:p w14:paraId="31DF81E5">
            <w:pPr>
              <w:pStyle w:val="182"/>
              <w:ind w:firstLine="0" w:firstLineChars="0"/>
              <w:rPr>
                <w:rFonts w:hint="eastAsia"/>
                <w:color w:val="auto"/>
                <w:lang w:val="en-US" w:eastAsia="zh-CN"/>
              </w:rPr>
            </w:pPr>
            <w:r>
              <w:rPr>
                <w:rFonts w:hint="eastAsia"/>
                <w:color w:val="auto"/>
              </w:rPr>
              <w:t>2.8</w:t>
            </w:r>
            <w:r>
              <w:rPr>
                <w:color w:val="auto"/>
              </w:rPr>
              <w:t>7</w:t>
            </w:r>
            <w:r>
              <w:rPr>
                <w:rFonts w:hint="eastAsia"/>
                <w:color w:val="auto"/>
              </w:rPr>
              <w:t>2</w:t>
            </w:r>
            <w:r>
              <w:rPr>
                <w:color w:val="auto"/>
              </w:rPr>
              <w:t>5</w:t>
            </w:r>
          </w:p>
        </w:tc>
        <w:tc>
          <w:tcPr>
            <w:tcW w:w="517" w:type="pct"/>
            <w:noWrap w:val="0"/>
            <w:vAlign w:val="center"/>
          </w:tcPr>
          <w:p w14:paraId="3B360F97">
            <w:pPr>
              <w:pStyle w:val="182"/>
              <w:ind w:firstLine="0" w:firstLineChars="0"/>
              <w:rPr>
                <w:color w:val="auto"/>
              </w:rPr>
            </w:pPr>
            <w:r>
              <w:rPr>
                <w:rFonts w:hint="eastAsia"/>
                <w:color w:val="auto"/>
                <w:lang w:val="en-US" w:eastAsia="zh-CN"/>
              </w:rPr>
              <w:t>离子液原料</w:t>
            </w:r>
          </w:p>
        </w:tc>
        <w:tc>
          <w:tcPr>
            <w:tcW w:w="1291" w:type="pct"/>
            <w:noWrap w:val="0"/>
            <w:vAlign w:val="center"/>
          </w:tcPr>
          <w:p w14:paraId="55A976E8">
            <w:pPr>
              <w:pStyle w:val="182"/>
              <w:ind w:firstLine="0" w:firstLineChars="0"/>
            </w:pPr>
            <w:r>
              <w:rPr>
                <w:rFonts w:hint="eastAsia"/>
                <w:color w:val="auto"/>
                <w:lang w:val="en-US" w:eastAsia="zh-CN"/>
              </w:rPr>
              <w:t>一般固废间</w:t>
            </w:r>
            <w:r>
              <w:rPr>
                <w:rFonts w:hint="eastAsia"/>
                <w:color w:val="auto"/>
              </w:rPr>
              <w:t>暂存</w:t>
            </w:r>
            <w:r>
              <w:rPr>
                <w:color w:val="auto"/>
              </w:rPr>
              <w:t>，定期交由</w:t>
            </w:r>
            <w:r>
              <w:rPr>
                <w:rFonts w:hint="eastAsia"/>
                <w:color w:val="auto"/>
                <w:lang w:val="en-US" w:eastAsia="zh-CN"/>
              </w:rPr>
              <w:t>离子液厂家回收</w:t>
            </w:r>
          </w:p>
        </w:tc>
      </w:tr>
      <w:tr w14:paraId="17BB7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066B62FE">
            <w:pPr>
              <w:pStyle w:val="182"/>
              <w:rPr>
                <w:rFonts w:hint="default"/>
                <w:color w:val="auto"/>
                <w:lang w:val="en-US" w:eastAsia="zh-CN"/>
              </w:rPr>
            </w:pPr>
            <w:r>
              <w:rPr>
                <w:rFonts w:hint="eastAsia"/>
                <w:color w:val="auto"/>
                <w:lang w:val="en-US" w:eastAsia="zh-CN"/>
              </w:rPr>
              <w:t>9</w:t>
            </w:r>
          </w:p>
        </w:tc>
        <w:tc>
          <w:tcPr>
            <w:tcW w:w="559" w:type="pct"/>
            <w:noWrap w:val="0"/>
            <w:vAlign w:val="center"/>
          </w:tcPr>
          <w:p w14:paraId="3772F837">
            <w:pPr>
              <w:pStyle w:val="182"/>
              <w:ind w:firstLine="0" w:firstLineChars="0"/>
              <w:rPr>
                <w:color w:val="auto"/>
              </w:rPr>
            </w:pPr>
            <w:r>
              <w:rPr>
                <w:color w:val="auto"/>
              </w:rPr>
              <w:t>废滤渣</w:t>
            </w:r>
          </w:p>
        </w:tc>
        <w:tc>
          <w:tcPr>
            <w:tcW w:w="457" w:type="pct"/>
            <w:noWrap w:val="0"/>
            <w:vAlign w:val="center"/>
          </w:tcPr>
          <w:p w14:paraId="0918F036">
            <w:pPr>
              <w:pStyle w:val="182"/>
              <w:ind w:firstLine="0" w:firstLineChars="0"/>
              <w:rPr>
                <w:rFonts w:hint="eastAsia" w:ascii="Times New Roman" w:hAnsi="Times New Roman" w:eastAsia="宋体" w:cs="Times New Roman"/>
                <w:b/>
                <w:bCs/>
                <w:color w:val="auto"/>
                <w:u w:val="single"/>
              </w:rPr>
            </w:pPr>
            <w:r>
              <w:rPr>
                <w:rFonts w:hint="eastAsia" w:ascii="Times New Roman" w:hAnsi="Times New Roman" w:eastAsia="宋体" w:cs="Times New Roman"/>
                <w:b/>
                <w:bCs/>
                <w:color w:val="auto"/>
                <w:u w:val="single"/>
              </w:rPr>
              <w:t>SW16</w:t>
            </w:r>
          </w:p>
          <w:p w14:paraId="57CD90FE">
            <w:pPr>
              <w:pStyle w:val="182"/>
              <w:ind w:firstLine="0" w:firstLineChars="0"/>
              <w:rPr>
                <w:rFonts w:hint="eastAsia" w:ascii="Times New Roman" w:hAnsi="Times New Roman" w:eastAsia="宋体" w:cs="Times New Roman"/>
                <w:b/>
                <w:bCs/>
                <w:color w:val="auto"/>
                <w:u w:val="single"/>
              </w:rPr>
            </w:pPr>
            <w:r>
              <w:rPr>
                <w:rFonts w:hint="eastAsia" w:ascii="Times New Roman" w:hAnsi="Times New Roman" w:eastAsia="宋体" w:cs="Times New Roman"/>
                <w:b/>
                <w:bCs/>
                <w:color w:val="auto"/>
                <w:u w:val="single"/>
              </w:rPr>
              <w:t>化工废物</w:t>
            </w:r>
          </w:p>
        </w:tc>
        <w:tc>
          <w:tcPr>
            <w:tcW w:w="551" w:type="pct"/>
            <w:noWrap w:val="0"/>
            <w:vAlign w:val="center"/>
          </w:tcPr>
          <w:p w14:paraId="4F00A74B">
            <w:pPr>
              <w:pStyle w:val="182"/>
              <w:ind w:firstLine="0" w:firstLineChars="0"/>
              <w:rPr>
                <w:rFonts w:hint="eastAsia" w:ascii="Times New Roman" w:hAnsi="Times New Roman" w:eastAsia="宋体" w:cs="Times New Roman"/>
                <w:b/>
                <w:bCs/>
                <w:color w:val="auto"/>
                <w:u w:val="single"/>
              </w:rPr>
            </w:pPr>
            <w:r>
              <w:rPr>
                <w:rFonts w:hint="eastAsia" w:ascii="Times New Roman" w:hAnsi="Times New Roman" w:eastAsia="宋体" w:cs="Times New Roman"/>
                <w:b/>
                <w:bCs/>
                <w:color w:val="auto"/>
                <w:u w:val="single"/>
              </w:rPr>
              <w:t>254-002-S16</w:t>
            </w:r>
          </w:p>
        </w:tc>
        <w:tc>
          <w:tcPr>
            <w:tcW w:w="583" w:type="pct"/>
            <w:noWrap w:val="0"/>
            <w:vAlign w:val="center"/>
          </w:tcPr>
          <w:p w14:paraId="4ADC0D24">
            <w:pPr>
              <w:pStyle w:val="182"/>
              <w:ind w:firstLine="0" w:firstLineChars="0"/>
              <w:rPr>
                <w:color w:val="auto"/>
              </w:rPr>
            </w:pPr>
            <w:r>
              <w:rPr>
                <w:color w:val="auto"/>
              </w:rPr>
              <w:t>一般固废</w:t>
            </w:r>
          </w:p>
        </w:tc>
        <w:tc>
          <w:tcPr>
            <w:tcW w:w="321" w:type="pct"/>
            <w:noWrap w:val="0"/>
            <w:vAlign w:val="center"/>
          </w:tcPr>
          <w:p w14:paraId="3BC13ED5">
            <w:pPr>
              <w:pStyle w:val="182"/>
              <w:ind w:firstLine="0" w:firstLineChars="0"/>
              <w:rPr>
                <w:rFonts w:hint="eastAsia"/>
                <w:color w:val="auto"/>
              </w:rPr>
            </w:pPr>
            <w:r>
              <w:rPr>
                <w:rFonts w:hint="eastAsia"/>
                <w:color w:val="auto"/>
              </w:rPr>
              <w:t>固态</w:t>
            </w:r>
          </w:p>
        </w:tc>
        <w:tc>
          <w:tcPr>
            <w:tcW w:w="458" w:type="pct"/>
            <w:noWrap w:val="0"/>
            <w:vAlign w:val="center"/>
          </w:tcPr>
          <w:p w14:paraId="3B2A8CD7">
            <w:pPr>
              <w:pStyle w:val="182"/>
              <w:ind w:firstLine="0" w:firstLineChars="0"/>
              <w:rPr>
                <w:rFonts w:hint="eastAsia"/>
                <w:color w:val="auto"/>
                <w:lang w:val="en-US" w:eastAsia="zh-CN"/>
              </w:rPr>
            </w:pPr>
            <w:r>
              <w:rPr>
                <w:rFonts w:hint="eastAsia"/>
                <w:color w:val="auto"/>
                <w:lang w:val="en-US" w:eastAsia="zh-CN"/>
              </w:rPr>
              <w:t>159.4456</w:t>
            </w:r>
          </w:p>
        </w:tc>
        <w:tc>
          <w:tcPr>
            <w:tcW w:w="517" w:type="pct"/>
            <w:noWrap w:val="0"/>
            <w:vAlign w:val="center"/>
          </w:tcPr>
          <w:p w14:paraId="55878AB6">
            <w:pPr>
              <w:pStyle w:val="182"/>
              <w:ind w:firstLine="0" w:firstLineChars="0"/>
              <w:rPr>
                <w:color w:val="auto"/>
              </w:rPr>
            </w:pPr>
            <w:r>
              <w:rPr>
                <w:rFonts w:hint="eastAsia"/>
                <w:color w:val="auto"/>
                <w:lang w:val="en-US" w:eastAsia="zh-CN"/>
              </w:rPr>
              <w:t>离子液过滤</w:t>
            </w:r>
          </w:p>
        </w:tc>
        <w:tc>
          <w:tcPr>
            <w:tcW w:w="1291" w:type="pct"/>
            <w:noWrap w:val="0"/>
            <w:vAlign w:val="center"/>
          </w:tcPr>
          <w:p w14:paraId="6DAAA88F">
            <w:pPr>
              <w:pStyle w:val="182"/>
              <w:ind w:firstLine="0" w:firstLineChars="0"/>
            </w:pPr>
            <w:r>
              <w:rPr>
                <w:rFonts w:hint="eastAsia"/>
                <w:color w:val="auto"/>
                <w:lang w:val="en-US" w:eastAsia="zh-CN"/>
              </w:rPr>
              <w:t>一般固废间</w:t>
            </w:r>
            <w:r>
              <w:rPr>
                <w:rFonts w:hint="eastAsia"/>
                <w:color w:val="auto"/>
              </w:rPr>
              <w:t>暂存</w:t>
            </w:r>
            <w:r>
              <w:rPr>
                <w:color w:val="auto"/>
              </w:rPr>
              <w:t>，定期交由</w:t>
            </w:r>
            <w:r>
              <w:rPr>
                <w:rFonts w:hint="eastAsia"/>
                <w:color w:val="auto"/>
                <w:lang w:val="en-US" w:eastAsia="zh-CN"/>
              </w:rPr>
              <w:t>离子液厂家回收</w:t>
            </w:r>
          </w:p>
        </w:tc>
      </w:tr>
      <w:tr w14:paraId="1FBBC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3EBC009E">
            <w:pPr>
              <w:pStyle w:val="182"/>
              <w:rPr>
                <w:rFonts w:hint="default"/>
                <w:color w:val="auto"/>
                <w:lang w:val="en-US" w:eastAsia="zh-CN"/>
              </w:rPr>
            </w:pPr>
            <w:r>
              <w:rPr>
                <w:rFonts w:hint="eastAsia"/>
                <w:color w:val="auto"/>
                <w:lang w:val="en-US" w:eastAsia="zh-CN"/>
              </w:rPr>
              <w:t>10</w:t>
            </w:r>
          </w:p>
        </w:tc>
        <w:tc>
          <w:tcPr>
            <w:tcW w:w="559" w:type="pct"/>
            <w:noWrap w:val="0"/>
            <w:vAlign w:val="center"/>
          </w:tcPr>
          <w:p w14:paraId="3F9BDD85">
            <w:pPr>
              <w:pStyle w:val="182"/>
              <w:ind w:firstLine="0" w:firstLineChars="0"/>
              <w:rPr>
                <w:rFonts w:hint="eastAsia" w:eastAsia="宋体"/>
                <w:color w:val="auto"/>
                <w:lang w:val="en-US" w:eastAsia="zh-CN"/>
              </w:rPr>
            </w:pPr>
            <w:r>
              <w:rPr>
                <w:rFonts w:hint="eastAsia"/>
                <w:color w:val="auto"/>
                <w:lang w:val="en-US" w:eastAsia="zh-CN"/>
              </w:rPr>
              <w:t>废滤芯</w:t>
            </w:r>
          </w:p>
        </w:tc>
        <w:tc>
          <w:tcPr>
            <w:tcW w:w="1229" w:type="dxa"/>
            <w:noWrap w:val="0"/>
            <w:vAlign w:val="center"/>
          </w:tcPr>
          <w:p w14:paraId="6CDF71A3">
            <w:pPr>
              <w:pStyle w:val="182"/>
              <w:ind w:firstLine="0" w:firstLineChars="0"/>
              <w:rPr>
                <w:rFonts w:hint="eastAsia"/>
                <w:b/>
                <w:bCs/>
                <w:color w:val="auto"/>
                <w:u w:val="single"/>
              </w:rPr>
            </w:pPr>
            <w:r>
              <w:rPr>
                <w:rFonts w:hint="eastAsia"/>
                <w:b/>
                <w:bCs/>
                <w:color w:val="auto"/>
                <w:u w:val="single"/>
              </w:rPr>
              <w:t>SW59其他工业固体废物</w:t>
            </w:r>
          </w:p>
        </w:tc>
        <w:tc>
          <w:tcPr>
            <w:tcW w:w="1483" w:type="dxa"/>
            <w:noWrap w:val="0"/>
            <w:vAlign w:val="center"/>
          </w:tcPr>
          <w:p w14:paraId="0E71653B">
            <w:pPr>
              <w:pStyle w:val="182"/>
              <w:ind w:firstLine="0" w:firstLineChars="0"/>
              <w:rPr>
                <w:rFonts w:hint="eastAsia"/>
                <w:b/>
                <w:bCs/>
                <w:color w:val="auto"/>
                <w:u w:val="single"/>
              </w:rPr>
            </w:pPr>
            <w:r>
              <w:rPr>
                <w:rFonts w:hint="eastAsia"/>
                <w:b/>
                <w:bCs/>
                <w:color w:val="auto"/>
                <w:u w:val="single"/>
              </w:rPr>
              <w:t>900-009-S59</w:t>
            </w:r>
          </w:p>
        </w:tc>
        <w:tc>
          <w:tcPr>
            <w:tcW w:w="1569" w:type="dxa"/>
            <w:noWrap w:val="0"/>
            <w:vAlign w:val="center"/>
          </w:tcPr>
          <w:p w14:paraId="6FA64B04">
            <w:pPr>
              <w:pStyle w:val="182"/>
              <w:ind w:firstLine="0" w:firstLineChars="0"/>
              <w:rPr>
                <w:color w:val="auto"/>
              </w:rPr>
            </w:pPr>
            <w:r>
              <w:rPr>
                <w:color w:val="auto"/>
              </w:rPr>
              <w:t>一般固废</w:t>
            </w:r>
          </w:p>
        </w:tc>
        <w:tc>
          <w:tcPr>
            <w:tcW w:w="864" w:type="dxa"/>
            <w:noWrap w:val="0"/>
            <w:vAlign w:val="center"/>
          </w:tcPr>
          <w:p w14:paraId="6120597E">
            <w:pPr>
              <w:pStyle w:val="182"/>
              <w:ind w:firstLine="0" w:firstLineChars="0"/>
              <w:rPr>
                <w:rFonts w:hint="eastAsia"/>
                <w:color w:val="auto"/>
              </w:rPr>
            </w:pPr>
            <w:r>
              <w:rPr>
                <w:rFonts w:hint="eastAsia"/>
                <w:color w:val="auto"/>
              </w:rPr>
              <w:t>固态</w:t>
            </w:r>
          </w:p>
        </w:tc>
        <w:tc>
          <w:tcPr>
            <w:tcW w:w="1233" w:type="dxa"/>
            <w:noWrap w:val="0"/>
            <w:vAlign w:val="center"/>
          </w:tcPr>
          <w:p w14:paraId="4128689D">
            <w:pPr>
              <w:pStyle w:val="182"/>
              <w:ind w:firstLine="0" w:firstLineChars="0"/>
              <w:rPr>
                <w:rFonts w:hint="default"/>
                <w:color w:val="auto"/>
                <w:lang w:val="en-US" w:eastAsia="zh-CN"/>
              </w:rPr>
            </w:pPr>
            <w:r>
              <w:rPr>
                <w:rFonts w:hint="eastAsia"/>
                <w:color w:val="auto"/>
                <w:lang w:val="en-US" w:eastAsia="zh-CN"/>
              </w:rPr>
              <w:t>1.7</w:t>
            </w:r>
          </w:p>
        </w:tc>
        <w:tc>
          <w:tcPr>
            <w:tcW w:w="1390" w:type="dxa"/>
            <w:noWrap w:val="0"/>
            <w:vAlign w:val="center"/>
          </w:tcPr>
          <w:p w14:paraId="531EDCEF">
            <w:pPr>
              <w:pStyle w:val="182"/>
              <w:ind w:firstLine="0" w:firstLineChars="0"/>
              <w:rPr>
                <w:rFonts w:hint="eastAsia"/>
                <w:color w:val="auto"/>
                <w:lang w:val="en-US" w:eastAsia="zh-CN"/>
              </w:rPr>
            </w:pPr>
            <w:r>
              <w:rPr>
                <w:rFonts w:hint="eastAsia"/>
                <w:color w:val="auto"/>
                <w:lang w:val="en-US" w:eastAsia="zh-CN"/>
              </w:rPr>
              <w:t>离子液过滤</w:t>
            </w:r>
          </w:p>
        </w:tc>
        <w:tc>
          <w:tcPr>
            <w:tcW w:w="1291" w:type="pct"/>
            <w:noWrap w:val="0"/>
            <w:vAlign w:val="center"/>
          </w:tcPr>
          <w:p w14:paraId="13B1E513">
            <w:pPr>
              <w:pStyle w:val="182"/>
              <w:ind w:firstLine="0" w:firstLineChars="0"/>
              <w:rPr>
                <w:rFonts w:hint="eastAsia"/>
                <w:color w:val="auto"/>
                <w:lang w:val="en-US" w:eastAsia="zh-CN"/>
              </w:rPr>
            </w:pPr>
            <w:r>
              <w:rPr>
                <w:rFonts w:hint="eastAsia"/>
                <w:b w:val="0"/>
                <w:bCs w:val="0"/>
                <w:u w:val="none"/>
                <w:lang w:val="en-US" w:eastAsia="zh-CN"/>
              </w:rPr>
              <w:t>一般固废间</w:t>
            </w:r>
            <w:r>
              <w:rPr>
                <w:rFonts w:hint="eastAsia"/>
                <w:b w:val="0"/>
                <w:bCs w:val="0"/>
                <w:color w:val="auto"/>
                <w:u w:val="none"/>
              </w:rPr>
              <w:t>暂存</w:t>
            </w:r>
            <w:r>
              <w:rPr>
                <w:b w:val="0"/>
                <w:bCs w:val="0"/>
                <w:u w:val="none"/>
              </w:rPr>
              <w:t>，定期交由</w:t>
            </w:r>
            <w:r>
              <w:rPr>
                <w:rFonts w:hint="eastAsia"/>
                <w:b w:val="0"/>
                <w:bCs w:val="0"/>
                <w:u w:val="none"/>
                <w:lang w:val="en-US" w:eastAsia="zh-CN"/>
              </w:rPr>
              <w:t>滤芯厂家回收</w:t>
            </w:r>
          </w:p>
        </w:tc>
      </w:tr>
      <w:tr w14:paraId="2926E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55BD5DFB">
            <w:pPr>
              <w:pStyle w:val="182"/>
              <w:rPr>
                <w:rFonts w:hint="default" w:eastAsia="宋体"/>
                <w:color w:val="auto"/>
                <w:lang w:val="en-US" w:eastAsia="zh-CN"/>
              </w:rPr>
            </w:pPr>
            <w:r>
              <w:rPr>
                <w:rFonts w:hint="eastAsia"/>
                <w:color w:val="auto"/>
                <w:lang w:val="en-US" w:eastAsia="zh-CN"/>
              </w:rPr>
              <w:t>11</w:t>
            </w:r>
          </w:p>
        </w:tc>
        <w:tc>
          <w:tcPr>
            <w:tcW w:w="559" w:type="pct"/>
            <w:noWrap w:val="0"/>
            <w:vAlign w:val="center"/>
          </w:tcPr>
          <w:p w14:paraId="64D321FA">
            <w:pPr>
              <w:pStyle w:val="182"/>
              <w:rPr>
                <w:color w:val="auto"/>
              </w:rPr>
            </w:pPr>
            <w:r>
              <w:rPr>
                <w:color w:val="auto"/>
              </w:rPr>
              <w:t>蒸馏残渣</w:t>
            </w:r>
          </w:p>
        </w:tc>
        <w:tc>
          <w:tcPr>
            <w:tcW w:w="457" w:type="pct"/>
            <w:noWrap w:val="0"/>
            <w:vAlign w:val="center"/>
          </w:tcPr>
          <w:p w14:paraId="00859917">
            <w:pPr>
              <w:pStyle w:val="182"/>
              <w:rPr>
                <w:color w:val="auto"/>
              </w:rPr>
            </w:pPr>
            <w:r>
              <w:rPr>
                <w:color w:val="auto"/>
              </w:rPr>
              <w:t>HW11精</w:t>
            </w:r>
          </w:p>
          <w:p w14:paraId="348D9432">
            <w:pPr>
              <w:pStyle w:val="182"/>
              <w:rPr>
                <w:color w:val="auto"/>
              </w:rPr>
            </w:pPr>
            <w:r>
              <w:rPr>
                <w:color w:val="auto"/>
              </w:rPr>
              <w:t>（蒸）馏残渣</w:t>
            </w:r>
          </w:p>
        </w:tc>
        <w:tc>
          <w:tcPr>
            <w:tcW w:w="551" w:type="pct"/>
            <w:noWrap w:val="0"/>
            <w:vAlign w:val="center"/>
          </w:tcPr>
          <w:p w14:paraId="4EF147B5">
            <w:pPr>
              <w:pStyle w:val="182"/>
              <w:rPr>
                <w:color w:val="auto"/>
              </w:rPr>
            </w:pPr>
            <w:r>
              <w:rPr>
                <w:color w:val="auto"/>
              </w:rPr>
              <w:t>900-</w:t>
            </w:r>
            <w:r>
              <w:rPr>
                <w:rFonts w:hint="eastAsia"/>
                <w:color w:val="auto"/>
              </w:rPr>
              <w:t>404</w:t>
            </w:r>
            <w:r>
              <w:rPr>
                <w:color w:val="auto"/>
              </w:rPr>
              <w:t>-</w:t>
            </w:r>
            <w:r>
              <w:rPr>
                <w:rFonts w:hint="eastAsia"/>
                <w:color w:val="auto"/>
              </w:rPr>
              <w:t>06</w:t>
            </w:r>
          </w:p>
        </w:tc>
        <w:tc>
          <w:tcPr>
            <w:tcW w:w="583" w:type="pct"/>
            <w:noWrap w:val="0"/>
            <w:vAlign w:val="center"/>
          </w:tcPr>
          <w:p w14:paraId="52E6A980">
            <w:pPr>
              <w:pStyle w:val="182"/>
              <w:rPr>
                <w:color w:val="auto"/>
              </w:rPr>
            </w:pPr>
            <w:r>
              <w:rPr>
                <w:color w:val="auto"/>
              </w:rPr>
              <w:t>危险固废</w:t>
            </w:r>
          </w:p>
        </w:tc>
        <w:tc>
          <w:tcPr>
            <w:tcW w:w="321" w:type="pct"/>
            <w:noWrap w:val="0"/>
            <w:vAlign w:val="center"/>
          </w:tcPr>
          <w:p w14:paraId="0ADE6CC5">
            <w:pPr>
              <w:pStyle w:val="182"/>
              <w:rPr>
                <w:color w:val="auto"/>
              </w:rPr>
            </w:pPr>
            <w:r>
              <w:rPr>
                <w:rFonts w:hint="eastAsia"/>
                <w:color w:val="auto"/>
              </w:rPr>
              <w:t>液态</w:t>
            </w:r>
          </w:p>
        </w:tc>
        <w:tc>
          <w:tcPr>
            <w:tcW w:w="458" w:type="pct"/>
            <w:noWrap w:val="0"/>
            <w:vAlign w:val="center"/>
          </w:tcPr>
          <w:p w14:paraId="27F1FD90">
            <w:pPr>
              <w:pStyle w:val="182"/>
              <w:rPr>
                <w:rFonts w:hint="default" w:eastAsia="宋体"/>
                <w:color w:val="auto"/>
                <w:lang w:val="en-US" w:eastAsia="zh-CN"/>
              </w:rPr>
            </w:pPr>
            <w:r>
              <w:rPr>
                <w:rFonts w:hint="eastAsia"/>
                <w:color w:val="auto"/>
                <w:lang w:val="en-US" w:eastAsia="zh-CN"/>
              </w:rPr>
              <w:t>579.656</w:t>
            </w:r>
          </w:p>
        </w:tc>
        <w:tc>
          <w:tcPr>
            <w:tcW w:w="517" w:type="pct"/>
            <w:noWrap w:val="0"/>
            <w:vAlign w:val="center"/>
          </w:tcPr>
          <w:p w14:paraId="687B3D98">
            <w:pPr>
              <w:pStyle w:val="182"/>
              <w:rPr>
                <w:color w:val="auto"/>
              </w:rPr>
            </w:pPr>
            <w:r>
              <w:rPr>
                <w:color w:val="auto"/>
              </w:rPr>
              <w:t>精制系统DMAC回收装置</w:t>
            </w:r>
          </w:p>
        </w:tc>
        <w:tc>
          <w:tcPr>
            <w:tcW w:w="1291" w:type="pct"/>
            <w:noWrap w:val="0"/>
            <w:vAlign w:val="center"/>
          </w:tcPr>
          <w:p w14:paraId="4A102515">
            <w:pPr>
              <w:pStyle w:val="182"/>
            </w:pPr>
            <w:r>
              <w:t>交由</w:t>
            </w:r>
            <w:r>
              <w:rPr>
                <w:rFonts w:hint="eastAsia"/>
              </w:rPr>
              <w:t>安阳中丹环保科技有限公司</w:t>
            </w:r>
            <w:r>
              <w:t>处置</w:t>
            </w:r>
          </w:p>
        </w:tc>
      </w:tr>
      <w:tr w14:paraId="3DADE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3AA32BEC">
            <w:pPr>
              <w:pStyle w:val="182"/>
              <w:rPr>
                <w:rFonts w:hint="default" w:eastAsia="宋体"/>
                <w:color w:val="auto"/>
                <w:lang w:val="en-US" w:eastAsia="zh-CN"/>
              </w:rPr>
            </w:pPr>
            <w:r>
              <w:rPr>
                <w:rFonts w:hint="eastAsia"/>
                <w:color w:val="auto"/>
                <w:lang w:val="en-US" w:eastAsia="zh-CN"/>
              </w:rPr>
              <w:t>12</w:t>
            </w:r>
          </w:p>
        </w:tc>
        <w:tc>
          <w:tcPr>
            <w:tcW w:w="559" w:type="pct"/>
            <w:noWrap w:val="0"/>
            <w:vAlign w:val="center"/>
          </w:tcPr>
          <w:p w14:paraId="0C5A3F7B">
            <w:pPr>
              <w:pStyle w:val="182"/>
              <w:rPr>
                <w:color w:val="auto"/>
              </w:rPr>
            </w:pPr>
            <w:r>
              <w:rPr>
                <w:color w:val="auto"/>
              </w:rPr>
              <w:t>脱硝废催化剂</w:t>
            </w:r>
          </w:p>
        </w:tc>
        <w:tc>
          <w:tcPr>
            <w:tcW w:w="457" w:type="pct"/>
            <w:noWrap w:val="0"/>
            <w:vAlign w:val="center"/>
          </w:tcPr>
          <w:p w14:paraId="01A70B53">
            <w:pPr>
              <w:pStyle w:val="182"/>
              <w:rPr>
                <w:color w:val="auto"/>
              </w:rPr>
            </w:pPr>
            <w:r>
              <w:rPr>
                <w:color w:val="auto"/>
              </w:rPr>
              <w:t>HW50</w:t>
            </w:r>
          </w:p>
          <w:p w14:paraId="0D7C1FE6">
            <w:pPr>
              <w:pStyle w:val="182"/>
              <w:rPr>
                <w:color w:val="auto"/>
              </w:rPr>
            </w:pPr>
            <w:r>
              <w:rPr>
                <w:color w:val="auto"/>
              </w:rPr>
              <w:t>废催化剂</w:t>
            </w:r>
          </w:p>
        </w:tc>
        <w:tc>
          <w:tcPr>
            <w:tcW w:w="551" w:type="pct"/>
            <w:noWrap w:val="0"/>
            <w:vAlign w:val="center"/>
          </w:tcPr>
          <w:p w14:paraId="7F15D67C">
            <w:pPr>
              <w:pStyle w:val="182"/>
              <w:rPr>
                <w:color w:val="auto"/>
              </w:rPr>
            </w:pPr>
            <w:r>
              <w:rPr>
                <w:color w:val="auto"/>
              </w:rPr>
              <w:t>772-007-50</w:t>
            </w:r>
          </w:p>
        </w:tc>
        <w:tc>
          <w:tcPr>
            <w:tcW w:w="583" w:type="pct"/>
            <w:noWrap w:val="0"/>
            <w:vAlign w:val="center"/>
          </w:tcPr>
          <w:p w14:paraId="10605A88">
            <w:pPr>
              <w:pStyle w:val="182"/>
              <w:rPr>
                <w:color w:val="auto"/>
              </w:rPr>
            </w:pPr>
            <w:r>
              <w:rPr>
                <w:color w:val="auto"/>
              </w:rPr>
              <w:t>危险废物</w:t>
            </w:r>
          </w:p>
        </w:tc>
        <w:tc>
          <w:tcPr>
            <w:tcW w:w="321" w:type="pct"/>
            <w:noWrap w:val="0"/>
            <w:vAlign w:val="center"/>
          </w:tcPr>
          <w:p w14:paraId="23F9A077">
            <w:pPr>
              <w:pStyle w:val="182"/>
              <w:rPr>
                <w:color w:val="auto"/>
              </w:rPr>
            </w:pPr>
            <w:r>
              <w:rPr>
                <w:rFonts w:hint="eastAsia"/>
                <w:color w:val="auto"/>
              </w:rPr>
              <w:t>固态</w:t>
            </w:r>
          </w:p>
        </w:tc>
        <w:tc>
          <w:tcPr>
            <w:tcW w:w="458" w:type="pct"/>
            <w:noWrap w:val="0"/>
            <w:vAlign w:val="center"/>
          </w:tcPr>
          <w:p w14:paraId="0DD8EF6C">
            <w:pPr>
              <w:pStyle w:val="182"/>
              <w:rPr>
                <w:color w:val="auto"/>
              </w:rPr>
            </w:pPr>
            <w:r>
              <w:rPr>
                <w:rFonts w:hint="eastAsia"/>
                <w:color w:val="auto"/>
                <w:lang w:val="en-US" w:eastAsia="zh-CN"/>
              </w:rPr>
              <w:t>3</w:t>
            </w:r>
          </w:p>
        </w:tc>
        <w:tc>
          <w:tcPr>
            <w:tcW w:w="517" w:type="pct"/>
            <w:noWrap w:val="0"/>
            <w:vAlign w:val="center"/>
          </w:tcPr>
          <w:p w14:paraId="730F6686">
            <w:pPr>
              <w:pStyle w:val="182"/>
              <w:rPr>
                <w:color w:val="auto"/>
              </w:rPr>
            </w:pPr>
            <w:r>
              <w:rPr>
                <w:color w:val="auto"/>
              </w:rPr>
              <w:t>锅炉废气治理设施</w:t>
            </w:r>
          </w:p>
        </w:tc>
        <w:tc>
          <w:tcPr>
            <w:tcW w:w="1291" w:type="pct"/>
            <w:noWrap w:val="0"/>
            <w:vAlign w:val="center"/>
          </w:tcPr>
          <w:p w14:paraId="07F7CBFF">
            <w:pPr>
              <w:pStyle w:val="182"/>
            </w:pPr>
            <w:r>
              <w:t>危废暂存间贮存，定期交由</w:t>
            </w:r>
            <w:r>
              <w:rPr>
                <w:rFonts w:hint="eastAsia"/>
              </w:rPr>
              <w:t>河南省格林沃特环保科技有限公司处理处置</w:t>
            </w:r>
          </w:p>
        </w:tc>
      </w:tr>
      <w:tr w14:paraId="46B17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1CF6D207">
            <w:pPr>
              <w:pStyle w:val="182"/>
              <w:rPr>
                <w:rFonts w:hint="default" w:eastAsia="宋体"/>
                <w:color w:val="auto"/>
                <w:lang w:val="en-US" w:eastAsia="zh-CN"/>
              </w:rPr>
            </w:pPr>
            <w:r>
              <w:rPr>
                <w:rFonts w:hint="eastAsia"/>
                <w:color w:val="auto"/>
                <w:lang w:val="en-US" w:eastAsia="zh-CN"/>
              </w:rPr>
              <w:t>13</w:t>
            </w:r>
          </w:p>
        </w:tc>
        <w:tc>
          <w:tcPr>
            <w:tcW w:w="559" w:type="pct"/>
            <w:noWrap w:val="0"/>
            <w:vAlign w:val="center"/>
          </w:tcPr>
          <w:p w14:paraId="7BD8D17B">
            <w:pPr>
              <w:pStyle w:val="182"/>
              <w:rPr>
                <w:color w:val="auto"/>
              </w:rPr>
            </w:pPr>
            <w:r>
              <w:rPr>
                <w:color w:val="auto"/>
              </w:rPr>
              <w:t>废包装桶</w:t>
            </w:r>
          </w:p>
        </w:tc>
        <w:tc>
          <w:tcPr>
            <w:tcW w:w="457" w:type="pct"/>
            <w:noWrap w:val="0"/>
            <w:vAlign w:val="center"/>
          </w:tcPr>
          <w:p w14:paraId="39CBA969">
            <w:pPr>
              <w:pStyle w:val="182"/>
              <w:rPr>
                <w:color w:val="auto"/>
              </w:rPr>
            </w:pPr>
            <w:r>
              <w:rPr>
                <w:rFonts w:hint="eastAsia"/>
                <w:color w:val="auto"/>
              </w:rPr>
              <w:t>HW49</w:t>
            </w:r>
          </w:p>
        </w:tc>
        <w:tc>
          <w:tcPr>
            <w:tcW w:w="551" w:type="pct"/>
            <w:noWrap w:val="0"/>
            <w:vAlign w:val="center"/>
          </w:tcPr>
          <w:p w14:paraId="7BE95C5C">
            <w:pPr>
              <w:pStyle w:val="182"/>
              <w:rPr>
                <w:color w:val="auto"/>
              </w:rPr>
            </w:pPr>
            <w:r>
              <w:rPr>
                <w:color w:val="auto"/>
              </w:rPr>
              <w:t>900-041-49</w:t>
            </w:r>
          </w:p>
        </w:tc>
        <w:tc>
          <w:tcPr>
            <w:tcW w:w="583" w:type="pct"/>
            <w:noWrap w:val="0"/>
            <w:vAlign w:val="center"/>
          </w:tcPr>
          <w:p w14:paraId="14E1CB80">
            <w:pPr>
              <w:pStyle w:val="182"/>
              <w:rPr>
                <w:color w:val="auto"/>
              </w:rPr>
            </w:pPr>
            <w:r>
              <w:rPr>
                <w:color w:val="auto"/>
              </w:rPr>
              <w:t>危险废物</w:t>
            </w:r>
          </w:p>
        </w:tc>
        <w:tc>
          <w:tcPr>
            <w:tcW w:w="321" w:type="pct"/>
            <w:noWrap w:val="0"/>
            <w:vAlign w:val="center"/>
          </w:tcPr>
          <w:p w14:paraId="79223443">
            <w:pPr>
              <w:pStyle w:val="182"/>
              <w:rPr>
                <w:color w:val="auto"/>
              </w:rPr>
            </w:pPr>
            <w:r>
              <w:rPr>
                <w:rFonts w:hint="eastAsia"/>
                <w:color w:val="auto"/>
              </w:rPr>
              <w:t>固态</w:t>
            </w:r>
          </w:p>
        </w:tc>
        <w:tc>
          <w:tcPr>
            <w:tcW w:w="458" w:type="pct"/>
            <w:noWrap w:val="0"/>
            <w:vAlign w:val="center"/>
          </w:tcPr>
          <w:p w14:paraId="19E1D8C4">
            <w:pPr>
              <w:pStyle w:val="182"/>
              <w:rPr>
                <w:rFonts w:hint="default" w:eastAsia="宋体"/>
                <w:color w:val="auto"/>
                <w:lang w:val="en-US" w:eastAsia="zh-CN"/>
              </w:rPr>
            </w:pPr>
            <w:r>
              <w:rPr>
                <w:rFonts w:hint="eastAsia"/>
                <w:color w:val="auto"/>
                <w:lang w:val="en-US" w:eastAsia="zh-CN"/>
              </w:rPr>
              <w:t>33.6</w:t>
            </w:r>
          </w:p>
        </w:tc>
        <w:tc>
          <w:tcPr>
            <w:tcW w:w="517" w:type="pct"/>
            <w:noWrap w:val="0"/>
            <w:vAlign w:val="center"/>
          </w:tcPr>
          <w:p w14:paraId="394980A1">
            <w:pPr>
              <w:pStyle w:val="182"/>
              <w:rPr>
                <w:color w:val="auto"/>
              </w:rPr>
            </w:pPr>
            <w:r>
              <w:rPr>
                <w:color w:val="auto"/>
              </w:rPr>
              <w:t>原料包装</w:t>
            </w:r>
          </w:p>
        </w:tc>
        <w:tc>
          <w:tcPr>
            <w:tcW w:w="1291" w:type="pct"/>
            <w:noWrap w:val="0"/>
            <w:vAlign w:val="center"/>
          </w:tcPr>
          <w:p w14:paraId="19610E06">
            <w:pPr>
              <w:pStyle w:val="182"/>
            </w:pPr>
            <w:r>
              <w:t>危废暂存间贮存，送原厂家回收或定期交由</w:t>
            </w:r>
            <w:r>
              <w:rPr>
                <w:rFonts w:hint="eastAsia"/>
              </w:rPr>
              <w:t>安阳中丹环保科技有限公司</w:t>
            </w:r>
            <w:r>
              <w:t>处置</w:t>
            </w:r>
          </w:p>
        </w:tc>
      </w:tr>
    </w:tbl>
    <w:p w14:paraId="5444CB93">
      <w:pPr>
        <w:pStyle w:val="10"/>
        <w:bidi w:val="0"/>
      </w:pPr>
      <w:r>
        <w:t xml:space="preserve">表 </w:t>
      </w:r>
      <w:r>
        <w:fldChar w:fldCharType="begin"/>
      </w:r>
      <w:r>
        <w:instrText xml:space="preserve"> STYLEREF 2 \s </w:instrText>
      </w:r>
      <w:r>
        <w:fldChar w:fldCharType="separate"/>
      </w:r>
      <w:r>
        <w:t>3.4</w:t>
      </w:r>
      <w:r>
        <w:fldChar w:fldCharType="end"/>
      </w:r>
      <w:r>
        <w:rPr>
          <w:rFonts w:hint="eastAsia"/>
          <w:lang w:eastAsia="zh-CN"/>
        </w:rPr>
        <w:t>-</w:t>
      </w:r>
      <w:r>
        <w:fldChar w:fldCharType="begin"/>
      </w:r>
      <w:r>
        <w:instrText xml:space="preserve"> SEQ 表 \* ARABIC \s 2 </w:instrText>
      </w:r>
      <w:r>
        <w:fldChar w:fldCharType="separate"/>
      </w:r>
      <w:r>
        <w:t>10</w:t>
      </w:r>
      <w:r>
        <w:fldChar w:fldCharType="end"/>
      </w:r>
      <w:r>
        <w:rPr>
          <w:rFonts w:hint="eastAsia"/>
          <w:lang w:val="en-US" w:eastAsia="zh-CN"/>
        </w:rPr>
        <w:t xml:space="preserve"> 在建及拟建工程建成后全厂固废产生情况及处置措施</w:t>
      </w:r>
    </w:p>
    <w:tbl>
      <w:tblPr>
        <w:tblStyle w:val="31"/>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505"/>
        <w:gridCol w:w="1229"/>
        <w:gridCol w:w="1483"/>
        <w:gridCol w:w="1569"/>
        <w:gridCol w:w="864"/>
        <w:gridCol w:w="1233"/>
        <w:gridCol w:w="1390"/>
        <w:gridCol w:w="3471"/>
      </w:tblGrid>
      <w:tr w14:paraId="194FA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31F94008">
            <w:pPr>
              <w:pStyle w:val="182"/>
              <w:rPr>
                <w:color w:val="auto"/>
              </w:rPr>
            </w:pPr>
            <w:r>
              <w:rPr>
                <w:color w:val="auto"/>
              </w:rPr>
              <w:t>序号</w:t>
            </w:r>
          </w:p>
        </w:tc>
        <w:tc>
          <w:tcPr>
            <w:tcW w:w="559" w:type="pct"/>
            <w:noWrap w:val="0"/>
            <w:vAlign w:val="center"/>
          </w:tcPr>
          <w:p w14:paraId="516F4974">
            <w:pPr>
              <w:pStyle w:val="182"/>
              <w:rPr>
                <w:color w:val="auto"/>
              </w:rPr>
            </w:pPr>
            <w:r>
              <w:rPr>
                <w:color w:val="auto"/>
              </w:rPr>
              <w:t>污染物名称</w:t>
            </w:r>
          </w:p>
        </w:tc>
        <w:tc>
          <w:tcPr>
            <w:tcW w:w="457" w:type="pct"/>
            <w:noWrap w:val="0"/>
            <w:vAlign w:val="center"/>
          </w:tcPr>
          <w:p w14:paraId="3EAC4782">
            <w:pPr>
              <w:pStyle w:val="182"/>
              <w:rPr>
                <w:color w:val="auto"/>
              </w:rPr>
            </w:pPr>
            <w:r>
              <w:rPr>
                <w:color w:val="auto"/>
              </w:rPr>
              <w:t>危险废物类别</w:t>
            </w:r>
          </w:p>
        </w:tc>
        <w:tc>
          <w:tcPr>
            <w:tcW w:w="551" w:type="pct"/>
            <w:noWrap w:val="0"/>
            <w:vAlign w:val="center"/>
          </w:tcPr>
          <w:p w14:paraId="4F696835">
            <w:pPr>
              <w:pStyle w:val="182"/>
              <w:rPr>
                <w:color w:val="auto"/>
              </w:rPr>
            </w:pPr>
            <w:r>
              <w:rPr>
                <w:color w:val="auto"/>
              </w:rPr>
              <w:t>危险废物代码</w:t>
            </w:r>
          </w:p>
        </w:tc>
        <w:tc>
          <w:tcPr>
            <w:tcW w:w="583" w:type="pct"/>
            <w:noWrap w:val="0"/>
            <w:vAlign w:val="center"/>
          </w:tcPr>
          <w:p w14:paraId="737244D1">
            <w:pPr>
              <w:pStyle w:val="182"/>
              <w:rPr>
                <w:color w:val="auto"/>
              </w:rPr>
            </w:pPr>
            <w:r>
              <w:rPr>
                <w:color w:val="auto"/>
              </w:rPr>
              <w:t>固废性质</w:t>
            </w:r>
          </w:p>
        </w:tc>
        <w:tc>
          <w:tcPr>
            <w:tcW w:w="321" w:type="pct"/>
            <w:noWrap w:val="0"/>
            <w:vAlign w:val="center"/>
          </w:tcPr>
          <w:p w14:paraId="60907DA9">
            <w:pPr>
              <w:pStyle w:val="182"/>
              <w:rPr>
                <w:color w:val="auto"/>
              </w:rPr>
            </w:pPr>
            <w:r>
              <w:rPr>
                <w:rFonts w:hint="eastAsia"/>
                <w:color w:val="auto"/>
              </w:rPr>
              <w:t>形态</w:t>
            </w:r>
          </w:p>
        </w:tc>
        <w:tc>
          <w:tcPr>
            <w:tcW w:w="458" w:type="pct"/>
            <w:noWrap w:val="0"/>
            <w:vAlign w:val="center"/>
          </w:tcPr>
          <w:p w14:paraId="23191E09">
            <w:pPr>
              <w:pStyle w:val="182"/>
              <w:rPr>
                <w:color w:val="auto"/>
              </w:rPr>
            </w:pPr>
            <w:r>
              <w:rPr>
                <w:color w:val="auto"/>
              </w:rPr>
              <w:t>产生量（t/a）</w:t>
            </w:r>
          </w:p>
        </w:tc>
        <w:tc>
          <w:tcPr>
            <w:tcW w:w="517" w:type="pct"/>
            <w:noWrap w:val="0"/>
            <w:vAlign w:val="center"/>
          </w:tcPr>
          <w:p w14:paraId="6A12291C">
            <w:pPr>
              <w:pStyle w:val="182"/>
              <w:rPr>
                <w:color w:val="auto"/>
              </w:rPr>
            </w:pPr>
            <w:r>
              <w:rPr>
                <w:color w:val="auto"/>
              </w:rPr>
              <w:t>产生位置</w:t>
            </w:r>
          </w:p>
        </w:tc>
        <w:tc>
          <w:tcPr>
            <w:tcW w:w="1291" w:type="pct"/>
            <w:noWrap w:val="0"/>
            <w:vAlign w:val="center"/>
          </w:tcPr>
          <w:p w14:paraId="04F4FEDC">
            <w:pPr>
              <w:pStyle w:val="182"/>
              <w:rPr>
                <w:color w:val="auto"/>
              </w:rPr>
            </w:pPr>
            <w:r>
              <w:rPr>
                <w:color w:val="auto"/>
              </w:rPr>
              <w:t>处置措施</w:t>
            </w:r>
          </w:p>
        </w:tc>
      </w:tr>
      <w:tr w14:paraId="2B0C3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46989517">
            <w:pPr>
              <w:pStyle w:val="182"/>
              <w:rPr>
                <w:color w:val="auto"/>
              </w:rPr>
            </w:pPr>
            <w:r>
              <w:rPr>
                <w:color w:val="auto"/>
              </w:rPr>
              <w:t>1</w:t>
            </w:r>
          </w:p>
        </w:tc>
        <w:tc>
          <w:tcPr>
            <w:tcW w:w="559" w:type="pct"/>
            <w:noWrap w:val="0"/>
            <w:vAlign w:val="center"/>
          </w:tcPr>
          <w:p w14:paraId="1BD1BA41">
            <w:pPr>
              <w:pStyle w:val="182"/>
              <w:rPr>
                <w:color w:val="auto"/>
              </w:rPr>
            </w:pPr>
            <w:r>
              <w:rPr>
                <w:color w:val="auto"/>
              </w:rPr>
              <w:t>废丝（氨纶）</w:t>
            </w:r>
          </w:p>
        </w:tc>
        <w:tc>
          <w:tcPr>
            <w:tcW w:w="1229" w:type="dxa"/>
            <w:noWrap w:val="0"/>
            <w:vAlign w:val="center"/>
          </w:tcPr>
          <w:p w14:paraId="3B81F2BC">
            <w:pPr>
              <w:pStyle w:val="182"/>
              <w:ind w:firstLine="0" w:firstLineChars="0"/>
              <w:rPr>
                <w:color w:val="auto"/>
              </w:rPr>
            </w:pPr>
            <w:r>
              <w:rPr>
                <w:rFonts w:hint="eastAsia"/>
                <w:b/>
                <w:bCs/>
                <w:color w:val="auto"/>
                <w:u w:val="single"/>
                <w:lang w:val="en-US" w:eastAsia="zh-CN"/>
              </w:rPr>
              <w:t>S</w:t>
            </w:r>
            <w:r>
              <w:rPr>
                <w:rFonts w:hint="eastAsia"/>
                <w:b/>
                <w:bCs/>
                <w:color w:val="auto"/>
                <w:u w:val="single"/>
              </w:rPr>
              <w:t>W14纺织皮革业废物</w:t>
            </w:r>
          </w:p>
        </w:tc>
        <w:tc>
          <w:tcPr>
            <w:tcW w:w="1483" w:type="dxa"/>
            <w:noWrap w:val="0"/>
            <w:vAlign w:val="center"/>
          </w:tcPr>
          <w:p w14:paraId="6376F03D">
            <w:pPr>
              <w:pStyle w:val="182"/>
              <w:ind w:firstLine="0" w:firstLineChars="0"/>
              <w:rPr>
                <w:color w:val="auto"/>
              </w:rPr>
            </w:pPr>
            <w:r>
              <w:rPr>
                <w:rFonts w:hint="eastAsia"/>
                <w:b/>
                <w:bCs/>
                <w:color w:val="auto"/>
                <w:u w:val="single"/>
              </w:rPr>
              <w:t>181-001-S14</w:t>
            </w:r>
          </w:p>
        </w:tc>
        <w:tc>
          <w:tcPr>
            <w:tcW w:w="583" w:type="pct"/>
            <w:noWrap w:val="0"/>
            <w:vAlign w:val="center"/>
          </w:tcPr>
          <w:p w14:paraId="08490A09">
            <w:pPr>
              <w:pStyle w:val="182"/>
              <w:rPr>
                <w:color w:val="auto"/>
              </w:rPr>
            </w:pPr>
            <w:r>
              <w:rPr>
                <w:color w:val="auto"/>
              </w:rPr>
              <w:t>一般固废</w:t>
            </w:r>
          </w:p>
        </w:tc>
        <w:tc>
          <w:tcPr>
            <w:tcW w:w="321" w:type="pct"/>
            <w:noWrap w:val="0"/>
            <w:vAlign w:val="center"/>
          </w:tcPr>
          <w:p w14:paraId="6DBE6F3C">
            <w:pPr>
              <w:pStyle w:val="182"/>
              <w:rPr>
                <w:color w:val="auto"/>
              </w:rPr>
            </w:pPr>
            <w:r>
              <w:rPr>
                <w:rFonts w:hint="eastAsia"/>
                <w:color w:val="auto"/>
              </w:rPr>
              <w:t>固态</w:t>
            </w:r>
          </w:p>
        </w:tc>
        <w:tc>
          <w:tcPr>
            <w:tcW w:w="458" w:type="pct"/>
            <w:noWrap w:val="0"/>
            <w:vAlign w:val="center"/>
          </w:tcPr>
          <w:p w14:paraId="148EA6E1">
            <w:pPr>
              <w:pStyle w:val="182"/>
              <w:rPr>
                <w:color w:val="auto"/>
              </w:rPr>
            </w:pPr>
            <w:r>
              <w:rPr>
                <w:color w:val="auto"/>
              </w:rPr>
              <w:t>2128</w:t>
            </w:r>
          </w:p>
        </w:tc>
        <w:tc>
          <w:tcPr>
            <w:tcW w:w="517" w:type="pct"/>
            <w:noWrap w:val="0"/>
            <w:vAlign w:val="center"/>
          </w:tcPr>
          <w:p w14:paraId="2755F60F">
            <w:pPr>
              <w:pStyle w:val="182"/>
              <w:rPr>
                <w:color w:val="auto"/>
              </w:rPr>
            </w:pPr>
            <w:r>
              <w:rPr>
                <w:color w:val="auto"/>
              </w:rPr>
              <w:t>卷绕及分级包装工段</w:t>
            </w:r>
          </w:p>
        </w:tc>
        <w:tc>
          <w:tcPr>
            <w:tcW w:w="1291" w:type="pct"/>
            <w:noWrap w:val="0"/>
            <w:vAlign w:val="center"/>
          </w:tcPr>
          <w:p w14:paraId="5E4B6BAB">
            <w:pPr>
              <w:pStyle w:val="182"/>
              <w:rPr>
                <w:color w:val="auto"/>
              </w:rPr>
            </w:pPr>
            <w:r>
              <w:rPr>
                <w:color w:val="auto"/>
              </w:rPr>
              <w:t>作为原料回用于生产再生氨纶</w:t>
            </w:r>
          </w:p>
        </w:tc>
      </w:tr>
      <w:tr w14:paraId="581A5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165E6357">
            <w:pPr>
              <w:pStyle w:val="182"/>
              <w:rPr>
                <w:color w:val="auto"/>
              </w:rPr>
            </w:pPr>
            <w:r>
              <w:rPr>
                <w:color w:val="auto"/>
              </w:rPr>
              <w:t>2</w:t>
            </w:r>
          </w:p>
        </w:tc>
        <w:tc>
          <w:tcPr>
            <w:tcW w:w="559" w:type="pct"/>
            <w:noWrap w:val="0"/>
            <w:vAlign w:val="center"/>
          </w:tcPr>
          <w:p w14:paraId="18159817">
            <w:pPr>
              <w:pStyle w:val="182"/>
              <w:rPr>
                <w:color w:val="auto"/>
              </w:rPr>
            </w:pPr>
            <w:r>
              <w:rPr>
                <w:color w:val="auto"/>
              </w:rPr>
              <w:t>废分子筛</w:t>
            </w:r>
          </w:p>
        </w:tc>
        <w:tc>
          <w:tcPr>
            <w:tcW w:w="1229" w:type="dxa"/>
            <w:noWrap w:val="0"/>
            <w:vAlign w:val="center"/>
          </w:tcPr>
          <w:p w14:paraId="6B49C116">
            <w:pPr>
              <w:pStyle w:val="182"/>
              <w:ind w:firstLine="0" w:firstLineChars="0"/>
              <w:rPr>
                <w:color w:val="auto"/>
              </w:rPr>
            </w:pPr>
            <w:r>
              <w:rPr>
                <w:rFonts w:hint="eastAsia"/>
                <w:b/>
                <w:bCs/>
                <w:color w:val="auto"/>
                <w:u w:val="single"/>
              </w:rPr>
              <w:t>SW03炉渣</w:t>
            </w:r>
          </w:p>
        </w:tc>
        <w:tc>
          <w:tcPr>
            <w:tcW w:w="1483" w:type="dxa"/>
            <w:noWrap w:val="0"/>
            <w:vAlign w:val="center"/>
          </w:tcPr>
          <w:p w14:paraId="12AF534E">
            <w:pPr>
              <w:pStyle w:val="182"/>
              <w:ind w:firstLine="0" w:firstLineChars="0"/>
              <w:rPr>
                <w:color w:val="auto"/>
              </w:rPr>
            </w:pPr>
            <w:r>
              <w:rPr>
                <w:rFonts w:hint="eastAsia"/>
                <w:b/>
                <w:bCs/>
                <w:color w:val="auto"/>
                <w:u w:val="single"/>
                <w:lang w:val="en-US" w:eastAsia="zh-CN"/>
              </w:rPr>
              <w:t>9</w:t>
            </w:r>
            <w:r>
              <w:rPr>
                <w:rFonts w:hint="eastAsia"/>
                <w:b/>
                <w:bCs/>
                <w:color w:val="auto"/>
                <w:u w:val="single"/>
              </w:rPr>
              <w:t>00-001-S03</w:t>
            </w:r>
          </w:p>
        </w:tc>
        <w:tc>
          <w:tcPr>
            <w:tcW w:w="583" w:type="pct"/>
            <w:noWrap w:val="0"/>
            <w:vAlign w:val="center"/>
          </w:tcPr>
          <w:p w14:paraId="11ABC998">
            <w:pPr>
              <w:pStyle w:val="182"/>
              <w:rPr>
                <w:color w:val="auto"/>
              </w:rPr>
            </w:pPr>
            <w:r>
              <w:rPr>
                <w:color w:val="auto"/>
              </w:rPr>
              <w:t>一般固废</w:t>
            </w:r>
          </w:p>
        </w:tc>
        <w:tc>
          <w:tcPr>
            <w:tcW w:w="321" w:type="pct"/>
            <w:noWrap w:val="0"/>
            <w:vAlign w:val="center"/>
          </w:tcPr>
          <w:p w14:paraId="01B28466">
            <w:pPr>
              <w:pStyle w:val="182"/>
              <w:rPr>
                <w:color w:val="auto"/>
              </w:rPr>
            </w:pPr>
            <w:r>
              <w:rPr>
                <w:rFonts w:hint="eastAsia"/>
                <w:color w:val="auto"/>
              </w:rPr>
              <w:t>固态</w:t>
            </w:r>
          </w:p>
        </w:tc>
        <w:tc>
          <w:tcPr>
            <w:tcW w:w="458" w:type="pct"/>
            <w:noWrap w:val="0"/>
            <w:vAlign w:val="center"/>
          </w:tcPr>
          <w:p w14:paraId="28FF4E8D">
            <w:pPr>
              <w:pStyle w:val="182"/>
              <w:rPr>
                <w:color w:val="auto"/>
              </w:rPr>
            </w:pPr>
            <w:r>
              <w:rPr>
                <w:rFonts w:hint="eastAsia"/>
                <w:color w:val="auto"/>
                <w:lang w:val="en-US" w:eastAsia="zh-CN"/>
              </w:rPr>
              <w:t>4</w:t>
            </w:r>
            <w:r>
              <w:rPr>
                <w:color w:val="auto"/>
              </w:rPr>
              <w:t>.8t每次，约5年更换一次</w:t>
            </w:r>
          </w:p>
        </w:tc>
        <w:tc>
          <w:tcPr>
            <w:tcW w:w="517" w:type="pct"/>
            <w:noWrap w:val="0"/>
            <w:vAlign w:val="center"/>
          </w:tcPr>
          <w:p w14:paraId="05BA2358">
            <w:pPr>
              <w:pStyle w:val="182"/>
              <w:rPr>
                <w:color w:val="auto"/>
              </w:rPr>
            </w:pPr>
            <w:r>
              <w:rPr>
                <w:color w:val="auto"/>
              </w:rPr>
              <w:t>制氮系统</w:t>
            </w:r>
          </w:p>
        </w:tc>
        <w:tc>
          <w:tcPr>
            <w:tcW w:w="1291" w:type="pct"/>
            <w:noWrap w:val="0"/>
            <w:vAlign w:val="center"/>
          </w:tcPr>
          <w:p w14:paraId="76F6256A">
            <w:pPr>
              <w:pStyle w:val="182"/>
              <w:rPr>
                <w:color w:val="auto"/>
              </w:rPr>
            </w:pPr>
            <w:r>
              <w:rPr>
                <w:color w:val="auto"/>
              </w:rPr>
              <w:t>由生产厂家回收</w:t>
            </w:r>
          </w:p>
        </w:tc>
      </w:tr>
      <w:tr w14:paraId="02B0D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1660FFDE">
            <w:pPr>
              <w:pStyle w:val="182"/>
              <w:rPr>
                <w:color w:val="auto"/>
              </w:rPr>
            </w:pPr>
            <w:r>
              <w:rPr>
                <w:rFonts w:hint="eastAsia"/>
                <w:color w:val="auto"/>
              </w:rPr>
              <w:t>3</w:t>
            </w:r>
          </w:p>
        </w:tc>
        <w:tc>
          <w:tcPr>
            <w:tcW w:w="559" w:type="pct"/>
            <w:noWrap w:val="0"/>
            <w:vAlign w:val="center"/>
          </w:tcPr>
          <w:p w14:paraId="2E8961FB">
            <w:pPr>
              <w:pStyle w:val="182"/>
              <w:rPr>
                <w:color w:val="auto"/>
              </w:rPr>
            </w:pPr>
            <w:r>
              <w:rPr>
                <w:rFonts w:hint="eastAsia"/>
                <w:color w:val="auto"/>
              </w:rPr>
              <w:t>菌草未煮解滤渣</w:t>
            </w:r>
          </w:p>
        </w:tc>
        <w:tc>
          <w:tcPr>
            <w:tcW w:w="1229" w:type="dxa"/>
            <w:noWrap w:val="0"/>
            <w:vAlign w:val="center"/>
          </w:tcPr>
          <w:p w14:paraId="09F10A13">
            <w:pPr>
              <w:pStyle w:val="182"/>
              <w:ind w:firstLine="0" w:firstLineChars="0"/>
              <w:rPr>
                <w:rFonts w:hint="eastAsia"/>
                <w:b/>
                <w:bCs/>
                <w:color w:val="auto"/>
                <w:u w:val="single"/>
              </w:rPr>
            </w:pPr>
            <w:r>
              <w:rPr>
                <w:rFonts w:hint="eastAsia"/>
                <w:b/>
                <w:bCs/>
                <w:color w:val="auto"/>
                <w:u w:val="single"/>
              </w:rPr>
              <w:t>SW16</w:t>
            </w:r>
          </w:p>
          <w:p w14:paraId="3C37B4A1">
            <w:pPr>
              <w:pStyle w:val="182"/>
              <w:ind w:firstLine="0" w:firstLineChars="0"/>
              <w:rPr>
                <w:color w:val="auto"/>
              </w:rPr>
            </w:pPr>
            <w:r>
              <w:rPr>
                <w:rFonts w:hint="eastAsia"/>
                <w:b/>
                <w:bCs/>
                <w:color w:val="auto"/>
                <w:u w:val="single"/>
              </w:rPr>
              <w:t>化工废物</w:t>
            </w:r>
          </w:p>
        </w:tc>
        <w:tc>
          <w:tcPr>
            <w:tcW w:w="1483" w:type="dxa"/>
            <w:noWrap w:val="0"/>
            <w:vAlign w:val="center"/>
          </w:tcPr>
          <w:p w14:paraId="5DAD87EC">
            <w:pPr>
              <w:pStyle w:val="182"/>
              <w:ind w:firstLine="0" w:firstLineChars="0"/>
              <w:rPr>
                <w:color w:val="auto"/>
              </w:rPr>
            </w:pPr>
            <w:r>
              <w:rPr>
                <w:rFonts w:hint="eastAsia"/>
                <w:b/>
                <w:bCs/>
                <w:color w:val="auto"/>
                <w:u w:val="single"/>
                <w:lang w:val="en-US" w:eastAsia="zh-CN"/>
              </w:rPr>
              <w:t>2</w:t>
            </w:r>
            <w:r>
              <w:rPr>
                <w:rFonts w:hint="eastAsia"/>
                <w:b/>
                <w:bCs/>
                <w:color w:val="auto"/>
                <w:u w:val="single"/>
              </w:rPr>
              <w:t xml:space="preserve">54-001-S16 </w:t>
            </w:r>
          </w:p>
        </w:tc>
        <w:tc>
          <w:tcPr>
            <w:tcW w:w="583" w:type="pct"/>
            <w:noWrap w:val="0"/>
            <w:vAlign w:val="center"/>
          </w:tcPr>
          <w:p w14:paraId="26F9AF05">
            <w:pPr>
              <w:pStyle w:val="182"/>
              <w:rPr>
                <w:color w:val="auto"/>
              </w:rPr>
            </w:pPr>
            <w:r>
              <w:rPr>
                <w:color w:val="auto"/>
              </w:rPr>
              <w:t>一般固废</w:t>
            </w:r>
          </w:p>
        </w:tc>
        <w:tc>
          <w:tcPr>
            <w:tcW w:w="321" w:type="pct"/>
            <w:noWrap w:val="0"/>
            <w:vAlign w:val="center"/>
          </w:tcPr>
          <w:p w14:paraId="3B28CC0D">
            <w:pPr>
              <w:pStyle w:val="182"/>
              <w:rPr>
                <w:color w:val="auto"/>
              </w:rPr>
            </w:pPr>
            <w:r>
              <w:rPr>
                <w:rFonts w:hint="eastAsia"/>
                <w:color w:val="auto"/>
              </w:rPr>
              <w:t>固态</w:t>
            </w:r>
          </w:p>
        </w:tc>
        <w:tc>
          <w:tcPr>
            <w:tcW w:w="458" w:type="pct"/>
            <w:noWrap w:val="0"/>
            <w:vAlign w:val="center"/>
          </w:tcPr>
          <w:p w14:paraId="1AF5C1CC">
            <w:pPr>
              <w:pStyle w:val="182"/>
              <w:rPr>
                <w:color w:val="auto"/>
              </w:rPr>
            </w:pPr>
            <w:r>
              <w:rPr>
                <w:rFonts w:hint="eastAsia"/>
                <w:color w:val="auto"/>
              </w:rPr>
              <w:t>500</w:t>
            </w:r>
          </w:p>
        </w:tc>
        <w:tc>
          <w:tcPr>
            <w:tcW w:w="517" w:type="pct"/>
            <w:noWrap w:val="0"/>
            <w:vAlign w:val="center"/>
          </w:tcPr>
          <w:p w14:paraId="184DBC87">
            <w:pPr>
              <w:pStyle w:val="182"/>
              <w:rPr>
                <w:color w:val="auto"/>
              </w:rPr>
            </w:pPr>
            <w:r>
              <w:rPr>
                <w:rFonts w:hint="eastAsia"/>
                <w:color w:val="auto"/>
              </w:rPr>
              <w:t>煮解</w:t>
            </w:r>
          </w:p>
        </w:tc>
        <w:tc>
          <w:tcPr>
            <w:tcW w:w="1291" w:type="pct"/>
            <w:noWrap w:val="0"/>
            <w:vAlign w:val="center"/>
          </w:tcPr>
          <w:p w14:paraId="3B2723BC">
            <w:pPr>
              <w:pStyle w:val="182"/>
              <w:rPr>
                <w:color w:val="auto"/>
              </w:rPr>
            </w:pPr>
            <w:r>
              <w:rPr>
                <w:rFonts w:hint="eastAsia"/>
                <w:color w:val="auto"/>
              </w:rPr>
              <w:t>送厂区锅炉燃烧</w:t>
            </w:r>
          </w:p>
        </w:tc>
      </w:tr>
      <w:tr w14:paraId="46ABA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34F85E74">
            <w:pPr>
              <w:pStyle w:val="182"/>
              <w:rPr>
                <w:color w:val="auto"/>
              </w:rPr>
            </w:pPr>
            <w:r>
              <w:rPr>
                <w:color w:val="auto"/>
              </w:rPr>
              <w:t>4</w:t>
            </w:r>
          </w:p>
        </w:tc>
        <w:tc>
          <w:tcPr>
            <w:tcW w:w="559" w:type="pct"/>
            <w:noWrap w:val="0"/>
            <w:vAlign w:val="center"/>
          </w:tcPr>
          <w:p w14:paraId="411AE020">
            <w:pPr>
              <w:pStyle w:val="182"/>
              <w:rPr>
                <w:color w:val="auto"/>
              </w:rPr>
            </w:pPr>
            <w:r>
              <w:rPr>
                <w:color w:val="auto"/>
              </w:rPr>
              <w:t>废微孔滤器</w:t>
            </w:r>
          </w:p>
        </w:tc>
        <w:tc>
          <w:tcPr>
            <w:tcW w:w="1229" w:type="dxa"/>
            <w:noWrap w:val="0"/>
            <w:vAlign w:val="center"/>
          </w:tcPr>
          <w:p w14:paraId="27A01705">
            <w:pPr>
              <w:pStyle w:val="182"/>
              <w:ind w:firstLine="0" w:firstLineChars="0"/>
              <w:rPr>
                <w:color w:val="auto"/>
              </w:rPr>
            </w:pPr>
            <w:r>
              <w:rPr>
                <w:rFonts w:hint="eastAsia"/>
                <w:b/>
                <w:bCs/>
                <w:color w:val="auto"/>
                <w:u w:val="single"/>
              </w:rPr>
              <w:t>SW59其他工业固体废物</w:t>
            </w:r>
          </w:p>
        </w:tc>
        <w:tc>
          <w:tcPr>
            <w:tcW w:w="1483" w:type="dxa"/>
            <w:noWrap w:val="0"/>
            <w:vAlign w:val="center"/>
          </w:tcPr>
          <w:p w14:paraId="08D68B4E">
            <w:pPr>
              <w:pStyle w:val="182"/>
              <w:ind w:firstLine="0" w:firstLineChars="0"/>
              <w:rPr>
                <w:color w:val="auto"/>
              </w:rPr>
            </w:pPr>
            <w:r>
              <w:rPr>
                <w:rFonts w:hint="eastAsia"/>
                <w:b/>
                <w:bCs/>
                <w:color w:val="auto"/>
                <w:u w:val="single"/>
              </w:rPr>
              <w:t>900-009-S59</w:t>
            </w:r>
          </w:p>
        </w:tc>
        <w:tc>
          <w:tcPr>
            <w:tcW w:w="583" w:type="pct"/>
            <w:noWrap w:val="0"/>
            <w:vAlign w:val="center"/>
          </w:tcPr>
          <w:p w14:paraId="0E91A2A4">
            <w:pPr>
              <w:pStyle w:val="182"/>
              <w:rPr>
                <w:color w:val="auto"/>
              </w:rPr>
            </w:pPr>
            <w:r>
              <w:rPr>
                <w:color w:val="auto"/>
              </w:rPr>
              <w:t>一般固废</w:t>
            </w:r>
          </w:p>
        </w:tc>
        <w:tc>
          <w:tcPr>
            <w:tcW w:w="321" w:type="pct"/>
            <w:noWrap w:val="0"/>
            <w:vAlign w:val="center"/>
          </w:tcPr>
          <w:p w14:paraId="2791229F">
            <w:pPr>
              <w:pStyle w:val="182"/>
              <w:rPr>
                <w:color w:val="auto"/>
              </w:rPr>
            </w:pPr>
            <w:r>
              <w:rPr>
                <w:rFonts w:hint="eastAsia"/>
                <w:color w:val="auto"/>
              </w:rPr>
              <w:t>固态</w:t>
            </w:r>
          </w:p>
        </w:tc>
        <w:tc>
          <w:tcPr>
            <w:tcW w:w="458" w:type="pct"/>
            <w:noWrap w:val="0"/>
            <w:vAlign w:val="center"/>
          </w:tcPr>
          <w:p w14:paraId="45C79174">
            <w:pPr>
              <w:pStyle w:val="182"/>
              <w:rPr>
                <w:color w:val="auto"/>
              </w:rPr>
            </w:pPr>
            <w:r>
              <w:rPr>
                <w:color w:val="auto"/>
              </w:rPr>
              <w:t>2.1</w:t>
            </w:r>
          </w:p>
        </w:tc>
        <w:tc>
          <w:tcPr>
            <w:tcW w:w="517" w:type="pct"/>
            <w:noWrap w:val="0"/>
            <w:vAlign w:val="center"/>
          </w:tcPr>
          <w:p w14:paraId="48971AA3">
            <w:pPr>
              <w:pStyle w:val="182"/>
              <w:rPr>
                <w:color w:val="auto"/>
              </w:rPr>
            </w:pPr>
            <w:r>
              <w:rPr>
                <w:color w:val="auto"/>
              </w:rPr>
              <w:t>组件清洗过程</w:t>
            </w:r>
          </w:p>
        </w:tc>
        <w:tc>
          <w:tcPr>
            <w:tcW w:w="1291" w:type="pct"/>
            <w:noWrap w:val="0"/>
            <w:vAlign w:val="center"/>
          </w:tcPr>
          <w:p w14:paraId="4B0D9849">
            <w:pPr>
              <w:pStyle w:val="182"/>
              <w:rPr>
                <w:rFonts w:hint="default" w:eastAsia="宋体"/>
                <w:color w:val="auto"/>
                <w:lang w:val="en-US" w:eastAsia="zh-CN"/>
              </w:rPr>
            </w:pPr>
            <w:r>
              <w:rPr>
                <w:rFonts w:hint="eastAsia"/>
                <w:color w:val="auto"/>
                <w:lang w:val="en-US" w:eastAsia="zh-CN"/>
              </w:rPr>
              <w:t>原环评处置方式为</w:t>
            </w:r>
            <w:r>
              <w:rPr>
                <w:color w:val="auto"/>
              </w:rPr>
              <w:t>送往垃圾填埋场</w:t>
            </w:r>
            <w:r>
              <w:rPr>
                <w:rFonts w:hint="eastAsia"/>
                <w:color w:val="auto"/>
                <w:lang w:eastAsia="zh-CN"/>
              </w:rPr>
              <w:t>，</w:t>
            </w:r>
            <w:r>
              <w:rPr>
                <w:rFonts w:hint="eastAsia"/>
                <w:color w:val="auto"/>
                <w:lang w:val="en-US" w:eastAsia="zh-CN"/>
              </w:rPr>
              <w:t>已建项目为厂家回收处理，在建项目建成后产生的固废也拟交厂家回收</w:t>
            </w:r>
          </w:p>
        </w:tc>
      </w:tr>
      <w:tr w14:paraId="506A4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52FB3AC6">
            <w:pPr>
              <w:pStyle w:val="182"/>
              <w:rPr>
                <w:color w:val="auto"/>
              </w:rPr>
            </w:pPr>
            <w:r>
              <w:rPr>
                <w:color w:val="auto"/>
              </w:rPr>
              <w:t>5</w:t>
            </w:r>
          </w:p>
        </w:tc>
        <w:tc>
          <w:tcPr>
            <w:tcW w:w="559" w:type="pct"/>
            <w:noWrap w:val="0"/>
            <w:vAlign w:val="center"/>
          </w:tcPr>
          <w:p w14:paraId="52F3D767">
            <w:pPr>
              <w:pStyle w:val="182"/>
              <w:rPr>
                <w:color w:val="auto"/>
              </w:rPr>
            </w:pPr>
            <w:r>
              <w:rPr>
                <w:color w:val="auto"/>
              </w:rPr>
              <w:t>废丝（长丝）</w:t>
            </w:r>
          </w:p>
        </w:tc>
        <w:tc>
          <w:tcPr>
            <w:tcW w:w="1229" w:type="dxa"/>
            <w:noWrap w:val="0"/>
            <w:vAlign w:val="center"/>
          </w:tcPr>
          <w:p w14:paraId="274CE6CE">
            <w:pPr>
              <w:pStyle w:val="182"/>
              <w:ind w:firstLine="0" w:firstLineChars="0"/>
              <w:rPr>
                <w:color w:val="auto"/>
              </w:rPr>
            </w:pPr>
            <w:r>
              <w:rPr>
                <w:rFonts w:hint="eastAsia"/>
                <w:b/>
                <w:bCs/>
                <w:color w:val="auto"/>
                <w:u w:val="single"/>
                <w:lang w:val="en-US" w:eastAsia="zh-CN"/>
              </w:rPr>
              <w:t>S</w:t>
            </w:r>
            <w:r>
              <w:rPr>
                <w:rFonts w:hint="eastAsia"/>
                <w:b/>
                <w:bCs/>
                <w:color w:val="auto"/>
                <w:u w:val="single"/>
              </w:rPr>
              <w:t>W14纺织皮革业废物</w:t>
            </w:r>
          </w:p>
        </w:tc>
        <w:tc>
          <w:tcPr>
            <w:tcW w:w="1483" w:type="dxa"/>
            <w:noWrap w:val="0"/>
            <w:vAlign w:val="center"/>
          </w:tcPr>
          <w:p w14:paraId="741B4F66">
            <w:pPr>
              <w:pStyle w:val="182"/>
              <w:ind w:firstLine="0" w:firstLineChars="0"/>
              <w:rPr>
                <w:color w:val="auto"/>
              </w:rPr>
            </w:pPr>
            <w:r>
              <w:rPr>
                <w:rFonts w:hint="eastAsia"/>
                <w:b/>
                <w:bCs/>
                <w:color w:val="auto"/>
                <w:u w:val="single"/>
              </w:rPr>
              <w:t>181-001-S14</w:t>
            </w:r>
          </w:p>
        </w:tc>
        <w:tc>
          <w:tcPr>
            <w:tcW w:w="583" w:type="pct"/>
            <w:noWrap w:val="0"/>
            <w:vAlign w:val="center"/>
          </w:tcPr>
          <w:p w14:paraId="267AED0D">
            <w:pPr>
              <w:pStyle w:val="182"/>
              <w:rPr>
                <w:color w:val="auto"/>
              </w:rPr>
            </w:pPr>
            <w:r>
              <w:rPr>
                <w:color w:val="auto"/>
              </w:rPr>
              <w:t>一般固废</w:t>
            </w:r>
          </w:p>
        </w:tc>
        <w:tc>
          <w:tcPr>
            <w:tcW w:w="321" w:type="pct"/>
            <w:noWrap w:val="0"/>
            <w:vAlign w:val="center"/>
          </w:tcPr>
          <w:p w14:paraId="47152586">
            <w:pPr>
              <w:pStyle w:val="182"/>
              <w:rPr>
                <w:color w:val="auto"/>
              </w:rPr>
            </w:pPr>
            <w:r>
              <w:rPr>
                <w:rFonts w:hint="eastAsia"/>
                <w:color w:val="auto"/>
              </w:rPr>
              <w:t>固态</w:t>
            </w:r>
          </w:p>
        </w:tc>
        <w:tc>
          <w:tcPr>
            <w:tcW w:w="458" w:type="pct"/>
            <w:noWrap w:val="0"/>
            <w:vAlign w:val="center"/>
          </w:tcPr>
          <w:p w14:paraId="5A98F8CA">
            <w:pPr>
              <w:pStyle w:val="182"/>
              <w:rPr>
                <w:rFonts w:hint="default" w:eastAsia="宋体"/>
                <w:color w:val="auto"/>
                <w:lang w:val="en-US" w:eastAsia="zh-CN"/>
              </w:rPr>
            </w:pPr>
            <w:r>
              <w:rPr>
                <w:rFonts w:hint="eastAsia"/>
                <w:color w:val="auto"/>
                <w:lang w:val="en-US" w:eastAsia="zh-CN"/>
              </w:rPr>
              <w:t>970</w:t>
            </w:r>
          </w:p>
        </w:tc>
        <w:tc>
          <w:tcPr>
            <w:tcW w:w="517" w:type="pct"/>
            <w:noWrap w:val="0"/>
            <w:vAlign w:val="center"/>
          </w:tcPr>
          <w:p w14:paraId="0D95364D">
            <w:pPr>
              <w:pStyle w:val="182"/>
              <w:rPr>
                <w:color w:val="auto"/>
              </w:rPr>
            </w:pPr>
            <w:r>
              <w:rPr>
                <w:color w:val="auto"/>
              </w:rPr>
              <w:t>长丝生产</w:t>
            </w:r>
          </w:p>
        </w:tc>
        <w:tc>
          <w:tcPr>
            <w:tcW w:w="1291" w:type="pct"/>
            <w:noWrap w:val="0"/>
            <w:vAlign w:val="center"/>
          </w:tcPr>
          <w:p w14:paraId="785E52DD">
            <w:pPr>
              <w:pStyle w:val="182"/>
              <w:rPr>
                <w:color w:val="auto"/>
              </w:rPr>
            </w:pPr>
            <w:r>
              <w:rPr>
                <w:color w:val="auto"/>
              </w:rPr>
              <w:t>直接出售</w:t>
            </w:r>
          </w:p>
        </w:tc>
      </w:tr>
      <w:tr w14:paraId="178C5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58" w:type="pct"/>
            <w:noWrap w:val="0"/>
            <w:vAlign w:val="center"/>
          </w:tcPr>
          <w:p w14:paraId="77109D4F">
            <w:pPr>
              <w:pStyle w:val="182"/>
              <w:rPr>
                <w:color w:val="auto"/>
              </w:rPr>
            </w:pPr>
            <w:r>
              <w:rPr>
                <w:color w:val="auto"/>
              </w:rPr>
              <w:t>6</w:t>
            </w:r>
          </w:p>
        </w:tc>
        <w:tc>
          <w:tcPr>
            <w:tcW w:w="559" w:type="pct"/>
            <w:noWrap w:val="0"/>
            <w:vAlign w:val="center"/>
          </w:tcPr>
          <w:p w14:paraId="7233DC16">
            <w:pPr>
              <w:pStyle w:val="182"/>
              <w:rPr>
                <w:color w:val="auto"/>
              </w:rPr>
            </w:pPr>
            <w:r>
              <w:rPr>
                <w:color w:val="auto"/>
              </w:rPr>
              <w:t>污水站污泥</w:t>
            </w:r>
          </w:p>
        </w:tc>
        <w:tc>
          <w:tcPr>
            <w:tcW w:w="1229" w:type="dxa"/>
            <w:noWrap w:val="0"/>
            <w:vAlign w:val="center"/>
          </w:tcPr>
          <w:p w14:paraId="224D889F">
            <w:pPr>
              <w:pStyle w:val="182"/>
              <w:ind w:firstLine="0" w:firstLineChars="0"/>
              <w:rPr>
                <w:color w:val="auto"/>
              </w:rPr>
            </w:pPr>
            <w:r>
              <w:rPr>
                <w:rFonts w:hint="eastAsia"/>
                <w:b/>
                <w:bCs/>
                <w:color w:val="auto"/>
                <w:u w:val="single"/>
              </w:rPr>
              <w:t>SW59其他工业固体废物</w:t>
            </w:r>
          </w:p>
        </w:tc>
        <w:tc>
          <w:tcPr>
            <w:tcW w:w="1483" w:type="dxa"/>
            <w:noWrap w:val="0"/>
            <w:vAlign w:val="center"/>
          </w:tcPr>
          <w:p w14:paraId="3FE14D0B">
            <w:pPr>
              <w:pStyle w:val="182"/>
              <w:ind w:firstLine="0" w:firstLineChars="0"/>
              <w:rPr>
                <w:color w:val="auto"/>
              </w:rPr>
            </w:pPr>
            <w:r>
              <w:rPr>
                <w:rFonts w:hint="eastAsia"/>
                <w:b/>
                <w:bCs/>
                <w:color w:val="auto"/>
                <w:u w:val="single"/>
              </w:rPr>
              <w:t>900-009-S59</w:t>
            </w:r>
          </w:p>
        </w:tc>
        <w:tc>
          <w:tcPr>
            <w:tcW w:w="583" w:type="pct"/>
            <w:noWrap w:val="0"/>
            <w:vAlign w:val="center"/>
          </w:tcPr>
          <w:p w14:paraId="6E70D64C">
            <w:pPr>
              <w:pStyle w:val="182"/>
              <w:rPr>
                <w:color w:val="auto"/>
              </w:rPr>
            </w:pPr>
            <w:r>
              <w:rPr>
                <w:color w:val="auto"/>
              </w:rPr>
              <w:t>一般固废</w:t>
            </w:r>
          </w:p>
        </w:tc>
        <w:tc>
          <w:tcPr>
            <w:tcW w:w="321" w:type="pct"/>
            <w:noWrap w:val="0"/>
            <w:vAlign w:val="center"/>
          </w:tcPr>
          <w:p w14:paraId="78D5DCCC">
            <w:pPr>
              <w:pStyle w:val="182"/>
              <w:rPr>
                <w:color w:val="auto"/>
              </w:rPr>
            </w:pPr>
            <w:r>
              <w:rPr>
                <w:rFonts w:hint="eastAsia"/>
                <w:color w:val="auto"/>
              </w:rPr>
              <w:t>固态</w:t>
            </w:r>
          </w:p>
        </w:tc>
        <w:tc>
          <w:tcPr>
            <w:tcW w:w="458" w:type="pct"/>
            <w:noWrap w:val="0"/>
            <w:vAlign w:val="center"/>
          </w:tcPr>
          <w:p w14:paraId="62394F05">
            <w:pPr>
              <w:pStyle w:val="182"/>
              <w:rPr>
                <w:rFonts w:hint="default" w:eastAsia="宋体"/>
                <w:color w:val="auto"/>
                <w:lang w:val="en-US" w:eastAsia="zh-CN"/>
              </w:rPr>
            </w:pPr>
            <w:r>
              <w:rPr>
                <w:color w:val="auto"/>
              </w:rPr>
              <w:t>5</w:t>
            </w:r>
            <w:r>
              <w:rPr>
                <w:rFonts w:hint="eastAsia"/>
                <w:color w:val="auto"/>
              </w:rPr>
              <w:t>3</w:t>
            </w:r>
            <w:r>
              <w:rPr>
                <w:rFonts w:hint="eastAsia"/>
                <w:color w:val="auto"/>
                <w:lang w:val="en-US" w:eastAsia="zh-CN"/>
              </w:rPr>
              <w:t>25.75</w:t>
            </w:r>
          </w:p>
        </w:tc>
        <w:tc>
          <w:tcPr>
            <w:tcW w:w="517" w:type="pct"/>
            <w:noWrap w:val="0"/>
            <w:vAlign w:val="center"/>
          </w:tcPr>
          <w:p w14:paraId="111FD8EF">
            <w:pPr>
              <w:pStyle w:val="182"/>
              <w:rPr>
                <w:color w:val="auto"/>
              </w:rPr>
            </w:pPr>
            <w:r>
              <w:rPr>
                <w:color w:val="auto"/>
              </w:rPr>
              <w:t>污水处理</w:t>
            </w:r>
          </w:p>
        </w:tc>
        <w:tc>
          <w:tcPr>
            <w:tcW w:w="1291" w:type="pct"/>
            <w:noWrap w:val="0"/>
            <w:vAlign w:val="center"/>
          </w:tcPr>
          <w:p w14:paraId="7D4249F2">
            <w:pPr>
              <w:pStyle w:val="182"/>
              <w:rPr>
                <w:rFonts w:hint="default" w:eastAsia="宋体"/>
                <w:lang w:val="en-US" w:eastAsia="zh-CN"/>
              </w:rPr>
            </w:pPr>
            <w:r>
              <w:rPr>
                <w:rFonts w:hint="eastAsia" w:ascii="Times New Roman" w:hAnsi="Times New Roman" w:eastAsia="宋体" w:cs="Times New Roman"/>
                <w:b w:val="0"/>
                <w:bCs w:val="0"/>
                <w:sz w:val="21"/>
                <w:szCs w:val="18"/>
                <w:u w:val="none"/>
                <w:lang w:val="en-US" w:eastAsia="zh-CN"/>
              </w:rPr>
              <w:t>原环评批复处理方式为送到垃圾填埋场处置，由于垃圾填埋场封场，后送入建材厂综合利用，近期由于建材厂产能大量萎缩，无法满足处置要求，污泥在厂区一般固废暂存处暂存。目前新乡化纤股份有限公司与山西晟鼎再生资源有限公司签订污泥处置协议，现有工程污泥全权交由该公司进行处置（协议见附件11）。</w:t>
            </w:r>
          </w:p>
        </w:tc>
      </w:tr>
      <w:tr w14:paraId="123E2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6CD3CB76">
            <w:pPr>
              <w:pStyle w:val="182"/>
              <w:rPr>
                <w:color w:val="auto"/>
              </w:rPr>
            </w:pPr>
            <w:r>
              <w:rPr>
                <w:color w:val="auto"/>
              </w:rPr>
              <w:t>7</w:t>
            </w:r>
          </w:p>
        </w:tc>
        <w:tc>
          <w:tcPr>
            <w:tcW w:w="559" w:type="pct"/>
            <w:noWrap w:val="0"/>
            <w:vAlign w:val="center"/>
          </w:tcPr>
          <w:p w14:paraId="57C8DE18">
            <w:pPr>
              <w:pStyle w:val="182"/>
              <w:rPr>
                <w:color w:val="auto"/>
              </w:rPr>
            </w:pPr>
            <w:r>
              <w:rPr>
                <w:color w:val="auto"/>
              </w:rPr>
              <w:t>灰渣</w:t>
            </w:r>
          </w:p>
        </w:tc>
        <w:tc>
          <w:tcPr>
            <w:tcW w:w="1229" w:type="dxa"/>
            <w:noWrap w:val="0"/>
            <w:vAlign w:val="center"/>
          </w:tcPr>
          <w:p w14:paraId="1E1B5436">
            <w:pPr>
              <w:pStyle w:val="182"/>
              <w:ind w:firstLine="0" w:firstLineChars="0"/>
              <w:rPr>
                <w:color w:val="auto"/>
              </w:rPr>
            </w:pPr>
            <w:r>
              <w:rPr>
                <w:rFonts w:hint="eastAsia"/>
                <w:b/>
                <w:bCs/>
                <w:color w:val="auto"/>
                <w:u w:val="single"/>
                <w:lang w:val="en-US" w:eastAsia="zh-CN"/>
              </w:rPr>
              <w:t>SW07污泥</w:t>
            </w:r>
          </w:p>
        </w:tc>
        <w:tc>
          <w:tcPr>
            <w:tcW w:w="1483" w:type="dxa"/>
            <w:noWrap w:val="0"/>
            <w:vAlign w:val="center"/>
          </w:tcPr>
          <w:p w14:paraId="2A697A46">
            <w:pPr>
              <w:pStyle w:val="182"/>
              <w:ind w:firstLine="0" w:firstLineChars="0"/>
              <w:rPr>
                <w:color w:val="auto"/>
              </w:rPr>
            </w:pPr>
            <w:r>
              <w:rPr>
                <w:rFonts w:hint="eastAsia"/>
                <w:b/>
                <w:bCs/>
                <w:color w:val="auto"/>
                <w:u w:val="single"/>
              </w:rPr>
              <w:t>900-099-S07</w:t>
            </w:r>
          </w:p>
        </w:tc>
        <w:tc>
          <w:tcPr>
            <w:tcW w:w="583" w:type="pct"/>
            <w:noWrap w:val="0"/>
            <w:vAlign w:val="center"/>
          </w:tcPr>
          <w:p w14:paraId="5E0B2A00">
            <w:pPr>
              <w:pStyle w:val="182"/>
              <w:rPr>
                <w:color w:val="auto"/>
              </w:rPr>
            </w:pPr>
            <w:r>
              <w:rPr>
                <w:color w:val="auto"/>
              </w:rPr>
              <w:t>一般固废</w:t>
            </w:r>
          </w:p>
        </w:tc>
        <w:tc>
          <w:tcPr>
            <w:tcW w:w="321" w:type="pct"/>
            <w:noWrap w:val="0"/>
            <w:vAlign w:val="center"/>
          </w:tcPr>
          <w:p w14:paraId="22D0232E">
            <w:pPr>
              <w:pStyle w:val="182"/>
              <w:rPr>
                <w:color w:val="auto"/>
              </w:rPr>
            </w:pPr>
            <w:r>
              <w:rPr>
                <w:rFonts w:hint="eastAsia"/>
                <w:color w:val="auto"/>
              </w:rPr>
              <w:t>固态</w:t>
            </w:r>
          </w:p>
        </w:tc>
        <w:tc>
          <w:tcPr>
            <w:tcW w:w="458" w:type="pct"/>
            <w:noWrap w:val="0"/>
            <w:vAlign w:val="center"/>
          </w:tcPr>
          <w:p w14:paraId="29435E52">
            <w:pPr>
              <w:pStyle w:val="182"/>
              <w:rPr>
                <w:color w:val="auto"/>
              </w:rPr>
            </w:pPr>
            <w:r>
              <w:rPr>
                <w:color w:val="auto"/>
              </w:rPr>
              <w:t>140052.7</w:t>
            </w:r>
          </w:p>
        </w:tc>
        <w:tc>
          <w:tcPr>
            <w:tcW w:w="517" w:type="pct"/>
            <w:noWrap w:val="0"/>
            <w:vAlign w:val="center"/>
          </w:tcPr>
          <w:p w14:paraId="2D850954">
            <w:pPr>
              <w:pStyle w:val="182"/>
              <w:rPr>
                <w:color w:val="auto"/>
              </w:rPr>
            </w:pPr>
            <w:r>
              <w:rPr>
                <w:color w:val="auto"/>
              </w:rPr>
              <w:t>锅炉</w:t>
            </w:r>
          </w:p>
        </w:tc>
        <w:tc>
          <w:tcPr>
            <w:tcW w:w="1291" w:type="pct"/>
            <w:noWrap w:val="0"/>
            <w:vAlign w:val="center"/>
          </w:tcPr>
          <w:p w14:paraId="1B3F0F75">
            <w:pPr>
              <w:pStyle w:val="182"/>
            </w:pPr>
            <w:r>
              <w:t>作为建材出售</w:t>
            </w:r>
          </w:p>
        </w:tc>
      </w:tr>
      <w:tr w14:paraId="46351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50BAB964">
            <w:pPr>
              <w:pStyle w:val="182"/>
              <w:rPr>
                <w:rFonts w:hint="eastAsia" w:eastAsia="宋体"/>
                <w:color w:val="auto"/>
                <w:lang w:val="en-US" w:eastAsia="zh-CN"/>
              </w:rPr>
            </w:pPr>
            <w:r>
              <w:rPr>
                <w:rFonts w:hint="eastAsia"/>
                <w:color w:val="auto"/>
                <w:lang w:val="en-US" w:eastAsia="zh-CN"/>
              </w:rPr>
              <w:t>8</w:t>
            </w:r>
          </w:p>
        </w:tc>
        <w:tc>
          <w:tcPr>
            <w:tcW w:w="1527" w:type="dxa"/>
            <w:noWrap w:val="0"/>
            <w:vAlign w:val="center"/>
          </w:tcPr>
          <w:p w14:paraId="4A76385B">
            <w:pPr>
              <w:pStyle w:val="182"/>
              <w:ind w:firstLine="0" w:firstLineChars="0"/>
              <w:rPr>
                <w:color w:val="auto"/>
              </w:rPr>
            </w:pPr>
            <w:r>
              <w:rPr>
                <w:rFonts w:hint="eastAsia"/>
                <w:color w:val="auto"/>
                <w:lang w:val="en-US" w:eastAsia="zh-CN"/>
              </w:rPr>
              <w:t>废丝及颗粒物（离子液）</w:t>
            </w:r>
          </w:p>
        </w:tc>
        <w:tc>
          <w:tcPr>
            <w:tcW w:w="1247" w:type="dxa"/>
            <w:noWrap w:val="0"/>
            <w:vAlign w:val="center"/>
          </w:tcPr>
          <w:p w14:paraId="2C21EC59">
            <w:pPr>
              <w:pStyle w:val="182"/>
              <w:ind w:firstLine="0" w:firstLineChars="0"/>
              <w:rPr>
                <w:rFonts w:hint="eastAsia"/>
                <w:color w:val="auto"/>
              </w:rPr>
            </w:pPr>
            <w:r>
              <w:rPr>
                <w:rFonts w:hint="eastAsia"/>
                <w:b/>
                <w:bCs/>
                <w:color w:val="auto"/>
                <w:u w:val="single"/>
              </w:rPr>
              <w:t>SW03炉渣</w:t>
            </w:r>
          </w:p>
        </w:tc>
        <w:tc>
          <w:tcPr>
            <w:tcW w:w="1505" w:type="dxa"/>
            <w:noWrap w:val="0"/>
            <w:vAlign w:val="center"/>
          </w:tcPr>
          <w:p w14:paraId="1CD1EB88">
            <w:pPr>
              <w:pStyle w:val="182"/>
              <w:ind w:firstLine="0" w:firstLineChars="0"/>
              <w:rPr>
                <w:rFonts w:hint="eastAsia"/>
                <w:color w:val="auto"/>
              </w:rPr>
            </w:pPr>
            <w:r>
              <w:rPr>
                <w:rFonts w:hint="eastAsia"/>
                <w:b/>
                <w:bCs/>
                <w:color w:val="auto"/>
                <w:u w:val="single"/>
                <w:lang w:val="en-US" w:eastAsia="zh-CN"/>
              </w:rPr>
              <w:t>9</w:t>
            </w:r>
            <w:r>
              <w:rPr>
                <w:rFonts w:hint="eastAsia"/>
                <w:b/>
                <w:bCs/>
                <w:color w:val="auto"/>
                <w:u w:val="single"/>
              </w:rPr>
              <w:t>00-001-S03</w:t>
            </w:r>
          </w:p>
        </w:tc>
        <w:tc>
          <w:tcPr>
            <w:tcW w:w="1592" w:type="dxa"/>
            <w:noWrap w:val="0"/>
            <w:vAlign w:val="center"/>
          </w:tcPr>
          <w:p w14:paraId="04B3C959">
            <w:pPr>
              <w:pStyle w:val="182"/>
              <w:ind w:firstLine="0" w:firstLineChars="0"/>
              <w:rPr>
                <w:color w:val="auto"/>
              </w:rPr>
            </w:pPr>
            <w:r>
              <w:rPr>
                <w:color w:val="auto"/>
              </w:rPr>
              <w:t>一般固废</w:t>
            </w:r>
          </w:p>
        </w:tc>
        <w:tc>
          <w:tcPr>
            <w:tcW w:w="877" w:type="dxa"/>
            <w:noWrap w:val="0"/>
            <w:vAlign w:val="center"/>
          </w:tcPr>
          <w:p w14:paraId="6301C4E6">
            <w:pPr>
              <w:pStyle w:val="182"/>
              <w:ind w:firstLine="0" w:firstLineChars="0"/>
              <w:rPr>
                <w:rFonts w:hint="eastAsia"/>
                <w:color w:val="auto"/>
              </w:rPr>
            </w:pPr>
            <w:r>
              <w:rPr>
                <w:rFonts w:hint="eastAsia"/>
                <w:color w:val="auto"/>
              </w:rPr>
              <w:t>固态</w:t>
            </w:r>
          </w:p>
        </w:tc>
        <w:tc>
          <w:tcPr>
            <w:tcW w:w="1251" w:type="dxa"/>
            <w:noWrap w:val="0"/>
            <w:vAlign w:val="center"/>
          </w:tcPr>
          <w:p w14:paraId="201119F5">
            <w:pPr>
              <w:pStyle w:val="182"/>
              <w:ind w:firstLine="0" w:firstLineChars="0"/>
              <w:rPr>
                <w:color w:val="auto"/>
              </w:rPr>
            </w:pPr>
            <w:r>
              <w:rPr>
                <w:rFonts w:hint="eastAsia"/>
                <w:color w:val="auto"/>
                <w:lang w:val="en-US" w:eastAsia="zh-CN"/>
              </w:rPr>
              <w:t>5.71</w:t>
            </w:r>
          </w:p>
        </w:tc>
        <w:tc>
          <w:tcPr>
            <w:tcW w:w="1410" w:type="dxa"/>
            <w:noWrap w:val="0"/>
            <w:vAlign w:val="center"/>
          </w:tcPr>
          <w:p w14:paraId="44B000BB">
            <w:pPr>
              <w:pStyle w:val="182"/>
              <w:ind w:firstLine="0" w:firstLineChars="0"/>
              <w:rPr>
                <w:color w:val="auto"/>
              </w:rPr>
            </w:pPr>
            <w:r>
              <w:rPr>
                <w:rFonts w:hint="eastAsia"/>
                <w:color w:val="auto"/>
                <w:lang w:val="en-US" w:eastAsia="zh-CN"/>
              </w:rPr>
              <w:t>离子液破碎及纺丝</w:t>
            </w:r>
          </w:p>
        </w:tc>
        <w:tc>
          <w:tcPr>
            <w:tcW w:w="3522" w:type="dxa"/>
            <w:noWrap w:val="0"/>
            <w:vAlign w:val="center"/>
          </w:tcPr>
          <w:p w14:paraId="38B3E6D7">
            <w:pPr>
              <w:pStyle w:val="182"/>
              <w:ind w:firstLine="0" w:firstLineChars="0"/>
            </w:pPr>
            <w:r>
              <w:rPr>
                <w:rFonts w:hint="eastAsia"/>
                <w:color w:val="auto"/>
                <w:lang w:val="en-US" w:eastAsia="zh-CN"/>
              </w:rPr>
              <w:t>一般固废间</w:t>
            </w:r>
            <w:r>
              <w:rPr>
                <w:rFonts w:hint="eastAsia"/>
                <w:color w:val="auto"/>
              </w:rPr>
              <w:t>暂存</w:t>
            </w:r>
            <w:r>
              <w:rPr>
                <w:color w:val="auto"/>
              </w:rPr>
              <w:t>，定期</w:t>
            </w:r>
            <w:r>
              <w:rPr>
                <w:rFonts w:hint="eastAsia"/>
                <w:color w:val="auto"/>
                <w:lang w:val="en-US" w:eastAsia="zh-CN"/>
              </w:rPr>
              <w:t>回用离子液项目生产</w:t>
            </w:r>
          </w:p>
        </w:tc>
      </w:tr>
      <w:tr w14:paraId="0DF8A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5A032B07">
            <w:pPr>
              <w:pStyle w:val="182"/>
              <w:rPr>
                <w:rFonts w:hint="eastAsia" w:eastAsia="宋体"/>
                <w:color w:val="auto"/>
                <w:lang w:val="en-US" w:eastAsia="zh-CN"/>
              </w:rPr>
            </w:pPr>
            <w:r>
              <w:rPr>
                <w:rFonts w:hint="eastAsia"/>
                <w:color w:val="auto"/>
                <w:lang w:val="en-US" w:eastAsia="zh-CN"/>
              </w:rPr>
              <w:t>9</w:t>
            </w:r>
          </w:p>
        </w:tc>
        <w:tc>
          <w:tcPr>
            <w:tcW w:w="1527" w:type="dxa"/>
            <w:noWrap w:val="0"/>
            <w:vAlign w:val="center"/>
          </w:tcPr>
          <w:p w14:paraId="7E4BB479">
            <w:pPr>
              <w:pStyle w:val="182"/>
              <w:ind w:firstLine="0" w:firstLineChars="0"/>
              <w:rPr>
                <w:color w:val="auto"/>
              </w:rPr>
            </w:pPr>
            <w:r>
              <w:rPr>
                <w:rFonts w:hint="eastAsia"/>
                <w:color w:val="auto"/>
                <w:lang w:val="en-US" w:eastAsia="zh-CN"/>
              </w:rPr>
              <w:t>废弃离子液</w:t>
            </w:r>
            <w:r>
              <w:rPr>
                <w:color w:val="auto"/>
              </w:rPr>
              <w:t>包装桶</w:t>
            </w:r>
          </w:p>
        </w:tc>
        <w:tc>
          <w:tcPr>
            <w:tcW w:w="1247" w:type="dxa"/>
            <w:noWrap w:val="0"/>
            <w:vAlign w:val="center"/>
          </w:tcPr>
          <w:p w14:paraId="7F0EE028">
            <w:pPr>
              <w:pStyle w:val="182"/>
              <w:ind w:firstLine="0" w:firstLineChars="0"/>
              <w:rPr>
                <w:rFonts w:hint="eastAsia"/>
                <w:color w:val="auto"/>
              </w:rPr>
            </w:pPr>
            <w:r>
              <w:rPr>
                <w:rFonts w:hint="eastAsia" w:ascii="Times New Roman" w:hAnsi="Times New Roman" w:eastAsia="宋体" w:cs="Times New Roman"/>
                <w:b/>
                <w:bCs/>
                <w:color w:val="auto"/>
                <w:u w:val="single"/>
                <w:lang w:val="en-US" w:eastAsia="zh-CN"/>
              </w:rPr>
              <w:t>S</w:t>
            </w:r>
            <w:r>
              <w:rPr>
                <w:rFonts w:hint="eastAsia" w:ascii="Times New Roman" w:hAnsi="Times New Roman" w:eastAsia="宋体" w:cs="Times New Roman"/>
                <w:b/>
                <w:bCs/>
                <w:color w:val="auto"/>
                <w:u w:val="single"/>
              </w:rPr>
              <w:t>W14纺织皮革业废物</w:t>
            </w:r>
          </w:p>
        </w:tc>
        <w:tc>
          <w:tcPr>
            <w:tcW w:w="1505" w:type="dxa"/>
            <w:noWrap w:val="0"/>
            <w:vAlign w:val="center"/>
          </w:tcPr>
          <w:p w14:paraId="4C69470A">
            <w:pPr>
              <w:pStyle w:val="182"/>
              <w:ind w:firstLine="0" w:firstLineChars="0"/>
              <w:rPr>
                <w:rFonts w:hint="eastAsia"/>
                <w:color w:val="auto"/>
              </w:rPr>
            </w:pPr>
            <w:r>
              <w:rPr>
                <w:rFonts w:hint="eastAsia" w:ascii="Times New Roman" w:hAnsi="Times New Roman" w:eastAsia="宋体" w:cs="Times New Roman"/>
                <w:b/>
                <w:bCs/>
                <w:color w:val="auto"/>
                <w:u w:val="single"/>
              </w:rPr>
              <w:t>181-001-S14</w:t>
            </w:r>
          </w:p>
        </w:tc>
        <w:tc>
          <w:tcPr>
            <w:tcW w:w="1592" w:type="dxa"/>
            <w:noWrap w:val="0"/>
            <w:vAlign w:val="center"/>
          </w:tcPr>
          <w:p w14:paraId="688A3C73">
            <w:pPr>
              <w:pStyle w:val="182"/>
              <w:ind w:firstLine="0" w:firstLineChars="0"/>
              <w:rPr>
                <w:color w:val="auto"/>
              </w:rPr>
            </w:pPr>
            <w:r>
              <w:rPr>
                <w:color w:val="auto"/>
              </w:rPr>
              <w:t>一般固废</w:t>
            </w:r>
          </w:p>
        </w:tc>
        <w:tc>
          <w:tcPr>
            <w:tcW w:w="877" w:type="dxa"/>
            <w:noWrap w:val="0"/>
            <w:vAlign w:val="center"/>
          </w:tcPr>
          <w:p w14:paraId="13E90390">
            <w:pPr>
              <w:pStyle w:val="182"/>
              <w:ind w:firstLine="0" w:firstLineChars="0"/>
              <w:rPr>
                <w:rFonts w:hint="eastAsia"/>
                <w:color w:val="auto"/>
              </w:rPr>
            </w:pPr>
            <w:r>
              <w:rPr>
                <w:rFonts w:hint="eastAsia"/>
                <w:color w:val="auto"/>
              </w:rPr>
              <w:t>固态</w:t>
            </w:r>
          </w:p>
        </w:tc>
        <w:tc>
          <w:tcPr>
            <w:tcW w:w="1251" w:type="dxa"/>
            <w:noWrap w:val="0"/>
            <w:vAlign w:val="center"/>
          </w:tcPr>
          <w:p w14:paraId="7A544000">
            <w:pPr>
              <w:pStyle w:val="182"/>
              <w:ind w:firstLine="0" w:firstLineChars="0"/>
              <w:rPr>
                <w:color w:val="auto"/>
              </w:rPr>
            </w:pPr>
            <w:r>
              <w:rPr>
                <w:rFonts w:hint="eastAsia"/>
                <w:color w:val="auto"/>
              </w:rPr>
              <w:t>2.8</w:t>
            </w:r>
            <w:r>
              <w:rPr>
                <w:color w:val="auto"/>
              </w:rPr>
              <w:t>7</w:t>
            </w:r>
            <w:r>
              <w:rPr>
                <w:rFonts w:hint="eastAsia"/>
                <w:color w:val="auto"/>
              </w:rPr>
              <w:t>2</w:t>
            </w:r>
            <w:r>
              <w:rPr>
                <w:color w:val="auto"/>
              </w:rPr>
              <w:t>5</w:t>
            </w:r>
          </w:p>
        </w:tc>
        <w:tc>
          <w:tcPr>
            <w:tcW w:w="1410" w:type="dxa"/>
            <w:noWrap w:val="0"/>
            <w:vAlign w:val="center"/>
          </w:tcPr>
          <w:p w14:paraId="3DAA1056">
            <w:pPr>
              <w:pStyle w:val="182"/>
              <w:ind w:firstLine="0" w:firstLineChars="0"/>
              <w:rPr>
                <w:color w:val="auto"/>
              </w:rPr>
            </w:pPr>
            <w:r>
              <w:rPr>
                <w:rFonts w:hint="eastAsia"/>
                <w:color w:val="auto"/>
                <w:lang w:val="en-US" w:eastAsia="zh-CN"/>
              </w:rPr>
              <w:t>离子液原料</w:t>
            </w:r>
          </w:p>
        </w:tc>
        <w:tc>
          <w:tcPr>
            <w:tcW w:w="3522" w:type="dxa"/>
            <w:noWrap w:val="0"/>
            <w:vAlign w:val="center"/>
          </w:tcPr>
          <w:p w14:paraId="35205DD9">
            <w:pPr>
              <w:pStyle w:val="182"/>
              <w:ind w:firstLine="0" w:firstLineChars="0"/>
            </w:pPr>
            <w:r>
              <w:rPr>
                <w:rFonts w:hint="eastAsia"/>
                <w:color w:val="auto"/>
                <w:lang w:val="en-US" w:eastAsia="zh-CN"/>
              </w:rPr>
              <w:t>一般固废间</w:t>
            </w:r>
            <w:r>
              <w:rPr>
                <w:rFonts w:hint="eastAsia"/>
                <w:color w:val="auto"/>
              </w:rPr>
              <w:t>暂存</w:t>
            </w:r>
            <w:r>
              <w:rPr>
                <w:color w:val="auto"/>
              </w:rPr>
              <w:t>，定期交由</w:t>
            </w:r>
            <w:r>
              <w:rPr>
                <w:rFonts w:hint="eastAsia"/>
                <w:color w:val="auto"/>
                <w:lang w:val="en-US" w:eastAsia="zh-CN"/>
              </w:rPr>
              <w:t>离子液厂家回收</w:t>
            </w:r>
          </w:p>
        </w:tc>
      </w:tr>
      <w:tr w14:paraId="6BCAF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4E387D81">
            <w:pPr>
              <w:pStyle w:val="182"/>
              <w:rPr>
                <w:rFonts w:hint="default" w:eastAsia="宋体"/>
                <w:color w:val="auto"/>
                <w:lang w:val="en-US" w:eastAsia="zh-CN"/>
              </w:rPr>
            </w:pPr>
            <w:r>
              <w:rPr>
                <w:rFonts w:hint="eastAsia"/>
                <w:color w:val="auto"/>
                <w:lang w:val="en-US" w:eastAsia="zh-CN"/>
              </w:rPr>
              <w:t>10</w:t>
            </w:r>
          </w:p>
        </w:tc>
        <w:tc>
          <w:tcPr>
            <w:tcW w:w="1527" w:type="dxa"/>
            <w:noWrap w:val="0"/>
            <w:vAlign w:val="center"/>
          </w:tcPr>
          <w:p w14:paraId="0D872033">
            <w:pPr>
              <w:pStyle w:val="182"/>
              <w:ind w:firstLine="0" w:firstLineChars="0"/>
              <w:rPr>
                <w:color w:val="auto"/>
              </w:rPr>
            </w:pPr>
            <w:r>
              <w:rPr>
                <w:color w:val="auto"/>
              </w:rPr>
              <w:t>废滤渣</w:t>
            </w:r>
          </w:p>
        </w:tc>
        <w:tc>
          <w:tcPr>
            <w:tcW w:w="1247" w:type="dxa"/>
            <w:noWrap w:val="0"/>
            <w:vAlign w:val="center"/>
          </w:tcPr>
          <w:p w14:paraId="1BD0F0E3">
            <w:pPr>
              <w:pStyle w:val="182"/>
              <w:ind w:firstLine="0" w:firstLineChars="0"/>
              <w:rPr>
                <w:rFonts w:hint="eastAsia"/>
                <w:color w:val="auto"/>
              </w:rPr>
            </w:pPr>
            <w:r>
              <w:rPr>
                <w:rFonts w:hint="eastAsia" w:ascii="Times New Roman" w:hAnsi="Times New Roman" w:eastAsia="宋体" w:cs="Times New Roman"/>
                <w:b/>
                <w:bCs/>
                <w:color w:val="auto"/>
                <w:u w:val="single"/>
              </w:rPr>
              <w:t>SW62可回收物</w:t>
            </w:r>
          </w:p>
        </w:tc>
        <w:tc>
          <w:tcPr>
            <w:tcW w:w="1505" w:type="dxa"/>
            <w:noWrap w:val="0"/>
            <w:vAlign w:val="center"/>
          </w:tcPr>
          <w:p w14:paraId="47F75892">
            <w:pPr>
              <w:pStyle w:val="182"/>
              <w:ind w:firstLine="0" w:firstLineChars="0"/>
              <w:rPr>
                <w:rFonts w:hint="eastAsia"/>
                <w:color w:val="auto"/>
              </w:rPr>
            </w:pPr>
            <w:r>
              <w:rPr>
                <w:rFonts w:hint="eastAsia" w:ascii="Times New Roman" w:hAnsi="Times New Roman" w:eastAsia="宋体" w:cs="Times New Roman"/>
                <w:b/>
                <w:bCs/>
                <w:color w:val="auto"/>
                <w:u w:val="single"/>
              </w:rPr>
              <w:t>900-002-S62</w:t>
            </w:r>
          </w:p>
        </w:tc>
        <w:tc>
          <w:tcPr>
            <w:tcW w:w="1592" w:type="dxa"/>
            <w:noWrap w:val="0"/>
            <w:vAlign w:val="center"/>
          </w:tcPr>
          <w:p w14:paraId="454096A1">
            <w:pPr>
              <w:pStyle w:val="182"/>
              <w:ind w:firstLine="0" w:firstLineChars="0"/>
              <w:rPr>
                <w:color w:val="auto"/>
              </w:rPr>
            </w:pPr>
            <w:r>
              <w:rPr>
                <w:color w:val="auto"/>
              </w:rPr>
              <w:t>一般固废</w:t>
            </w:r>
          </w:p>
        </w:tc>
        <w:tc>
          <w:tcPr>
            <w:tcW w:w="877" w:type="dxa"/>
            <w:noWrap w:val="0"/>
            <w:vAlign w:val="center"/>
          </w:tcPr>
          <w:p w14:paraId="69BF1128">
            <w:pPr>
              <w:pStyle w:val="182"/>
              <w:ind w:firstLine="0" w:firstLineChars="0"/>
              <w:rPr>
                <w:rFonts w:hint="eastAsia"/>
                <w:color w:val="auto"/>
              </w:rPr>
            </w:pPr>
            <w:r>
              <w:rPr>
                <w:rFonts w:hint="eastAsia"/>
                <w:color w:val="auto"/>
              </w:rPr>
              <w:t>固态</w:t>
            </w:r>
          </w:p>
        </w:tc>
        <w:tc>
          <w:tcPr>
            <w:tcW w:w="1251" w:type="dxa"/>
            <w:noWrap w:val="0"/>
            <w:vAlign w:val="center"/>
          </w:tcPr>
          <w:p w14:paraId="3210581C">
            <w:pPr>
              <w:pStyle w:val="182"/>
              <w:ind w:firstLine="0" w:firstLineChars="0"/>
              <w:rPr>
                <w:color w:val="auto"/>
              </w:rPr>
            </w:pPr>
            <w:r>
              <w:rPr>
                <w:rFonts w:hint="eastAsia"/>
                <w:color w:val="auto"/>
                <w:lang w:val="en-US" w:eastAsia="zh-CN"/>
              </w:rPr>
              <w:t>159.4456</w:t>
            </w:r>
          </w:p>
        </w:tc>
        <w:tc>
          <w:tcPr>
            <w:tcW w:w="1410" w:type="dxa"/>
            <w:noWrap w:val="0"/>
            <w:vAlign w:val="center"/>
          </w:tcPr>
          <w:p w14:paraId="182024A4">
            <w:pPr>
              <w:pStyle w:val="182"/>
              <w:ind w:firstLine="0" w:firstLineChars="0"/>
              <w:rPr>
                <w:color w:val="auto"/>
              </w:rPr>
            </w:pPr>
            <w:r>
              <w:rPr>
                <w:rFonts w:hint="eastAsia"/>
                <w:color w:val="auto"/>
                <w:lang w:val="en-US" w:eastAsia="zh-CN"/>
              </w:rPr>
              <w:t>离子液过滤</w:t>
            </w:r>
          </w:p>
        </w:tc>
        <w:tc>
          <w:tcPr>
            <w:tcW w:w="3522" w:type="dxa"/>
            <w:noWrap w:val="0"/>
            <w:vAlign w:val="center"/>
          </w:tcPr>
          <w:p w14:paraId="07E9A115">
            <w:pPr>
              <w:pStyle w:val="182"/>
              <w:ind w:firstLine="0" w:firstLineChars="0"/>
            </w:pPr>
            <w:r>
              <w:rPr>
                <w:rFonts w:hint="eastAsia"/>
                <w:color w:val="auto"/>
                <w:lang w:val="en-US" w:eastAsia="zh-CN"/>
              </w:rPr>
              <w:t>一般固废间</w:t>
            </w:r>
            <w:r>
              <w:rPr>
                <w:rFonts w:hint="eastAsia"/>
                <w:color w:val="auto"/>
              </w:rPr>
              <w:t>暂存</w:t>
            </w:r>
            <w:r>
              <w:rPr>
                <w:color w:val="auto"/>
              </w:rPr>
              <w:t>，定期交由</w:t>
            </w:r>
            <w:r>
              <w:rPr>
                <w:rFonts w:hint="eastAsia"/>
                <w:color w:val="auto"/>
                <w:lang w:val="en-US" w:eastAsia="zh-CN"/>
              </w:rPr>
              <w:t>离子液厂家回收</w:t>
            </w:r>
          </w:p>
        </w:tc>
      </w:tr>
      <w:tr w14:paraId="18661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4902B00A">
            <w:pPr>
              <w:pStyle w:val="182"/>
              <w:rPr>
                <w:rFonts w:hint="default" w:eastAsia="宋体"/>
                <w:color w:val="auto"/>
                <w:lang w:val="en-US" w:eastAsia="zh-CN"/>
              </w:rPr>
            </w:pPr>
            <w:r>
              <w:rPr>
                <w:rFonts w:hint="eastAsia"/>
                <w:color w:val="auto"/>
                <w:lang w:val="en-US" w:eastAsia="zh-CN"/>
              </w:rPr>
              <w:t>11</w:t>
            </w:r>
          </w:p>
        </w:tc>
        <w:tc>
          <w:tcPr>
            <w:tcW w:w="1527" w:type="dxa"/>
            <w:noWrap w:val="0"/>
            <w:vAlign w:val="center"/>
          </w:tcPr>
          <w:p w14:paraId="487C8D47">
            <w:pPr>
              <w:pStyle w:val="182"/>
              <w:ind w:firstLine="0" w:firstLineChars="0"/>
              <w:rPr>
                <w:color w:val="auto"/>
              </w:rPr>
            </w:pPr>
            <w:r>
              <w:rPr>
                <w:rFonts w:hint="eastAsia"/>
                <w:color w:val="auto"/>
                <w:lang w:val="en-US" w:eastAsia="zh-CN"/>
              </w:rPr>
              <w:t>废滤芯</w:t>
            </w:r>
          </w:p>
        </w:tc>
        <w:tc>
          <w:tcPr>
            <w:tcW w:w="1247" w:type="dxa"/>
            <w:noWrap w:val="0"/>
            <w:vAlign w:val="center"/>
          </w:tcPr>
          <w:p w14:paraId="62458937">
            <w:pPr>
              <w:pStyle w:val="182"/>
              <w:ind w:firstLine="0" w:firstLineChars="0"/>
              <w:rPr>
                <w:rFonts w:hint="eastAsia" w:ascii="Times New Roman" w:hAnsi="Times New Roman" w:eastAsia="宋体" w:cs="Times New Roman"/>
                <w:b/>
                <w:bCs/>
                <w:color w:val="auto"/>
                <w:u w:val="single"/>
              </w:rPr>
            </w:pPr>
            <w:r>
              <w:rPr>
                <w:rFonts w:hint="eastAsia" w:ascii="Times New Roman" w:hAnsi="Times New Roman" w:eastAsia="宋体" w:cs="Times New Roman"/>
                <w:b/>
                <w:bCs/>
                <w:color w:val="auto"/>
                <w:u w:val="single"/>
              </w:rPr>
              <w:t>SW16</w:t>
            </w:r>
          </w:p>
          <w:p w14:paraId="57617714">
            <w:pPr>
              <w:pStyle w:val="182"/>
              <w:ind w:firstLine="0" w:firstLineChars="0"/>
              <w:rPr>
                <w:rFonts w:hint="eastAsia"/>
                <w:color w:val="auto"/>
              </w:rPr>
            </w:pPr>
            <w:r>
              <w:rPr>
                <w:rFonts w:hint="eastAsia" w:ascii="Times New Roman" w:hAnsi="Times New Roman" w:eastAsia="宋体" w:cs="Times New Roman"/>
                <w:b/>
                <w:bCs/>
                <w:color w:val="auto"/>
                <w:u w:val="single"/>
              </w:rPr>
              <w:t>化工废物</w:t>
            </w:r>
          </w:p>
        </w:tc>
        <w:tc>
          <w:tcPr>
            <w:tcW w:w="1505" w:type="dxa"/>
            <w:noWrap w:val="0"/>
            <w:vAlign w:val="center"/>
          </w:tcPr>
          <w:p w14:paraId="5C2D2278">
            <w:pPr>
              <w:pStyle w:val="182"/>
              <w:ind w:firstLine="0" w:firstLineChars="0"/>
              <w:rPr>
                <w:rFonts w:hint="eastAsia"/>
                <w:color w:val="auto"/>
              </w:rPr>
            </w:pPr>
            <w:r>
              <w:rPr>
                <w:rFonts w:hint="eastAsia" w:ascii="Times New Roman" w:hAnsi="Times New Roman" w:eastAsia="宋体" w:cs="Times New Roman"/>
                <w:b/>
                <w:bCs/>
                <w:color w:val="auto"/>
                <w:u w:val="single"/>
              </w:rPr>
              <w:t>254-002-S16</w:t>
            </w:r>
          </w:p>
        </w:tc>
        <w:tc>
          <w:tcPr>
            <w:tcW w:w="1592" w:type="dxa"/>
            <w:noWrap w:val="0"/>
            <w:vAlign w:val="center"/>
          </w:tcPr>
          <w:p w14:paraId="5D80AF49">
            <w:pPr>
              <w:pStyle w:val="182"/>
              <w:ind w:firstLine="0" w:firstLineChars="0"/>
              <w:rPr>
                <w:color w:val="auto"/>
              </w:rPr>
            </w:pPr>
            <w:r>
              <w:rPr>
                <w:color w:val="auto"/>
              </w:rPr>
              <w:t>一般固废</w:t>
            </w:r>
          </w:p>
        </w:tc>
        <w:tc>
          <w:tcPr>
            <w:tcW w:w="877" w:type="dxa"/>
            <w:noWrap w:val="0"/>
            <w:vAlign w:val="center"/>
          </w:tcPr>
          <w:p w14:paraId="32996D38">
            <w:pPr>
              <w:pStyle w:val="182"/>
              <w:ind w:firstLine="0" w:firstLineChars="0"/>
              <w:rPr>
                <w:rFonts w:hint="eastAsia"/>
                <w:color w:val="auto"/>
              </w:rPr>
            </w:pPr>
            <w:r>
              <w:rPr>
                <w:rFonts w:hint="eastAsia"/>
                <w:color w:val="auto"/>
              </w:rPr>
              <w:t>固态</w:t>
            </w:r>
          </w:p>
        </w:tc>
        <w:tc>
          <w:tcPr>
            <w:tcW w:w="1251" w:type="dxa"/>
            <w:noWrap w:val="0"/>
            <w:vAlign w:val="center"/>
          </w:tcPr>
          <w:p w14:paraId="50506993">
            <w:pPr>
              <w:pStyle w:val="182"/>
              <w:ind w:firstLine="0" w:firstLineChars="0"/>
              <w:rPr>
                <w:color w:val="auto"/>
              </w:rPr>
            </w:pPr>
            <w:r>
              <w:rPr>
                <w:rFonts w:hint="eastAsia"/>
                <w:color w:val="auto"/>
                <w:lang w:val="en-US" w:eastAsia="zh-CN"/>
              </w:rPr>
              <w:t>1.7</w:t>
            </w:r>
          </w:p>
        </w:tc>
        <w:tc>
          <w:tcPr>
            <w:tcW w:w="1410" w:type="dxa"/>
            <w:noWrap w:val="0"/>
            <w:vAlign w:val="center"/>
          </w:tcPr>
          <w:p w14:paraId="6324F251">
            <w:pPr>
              <w:pStyle w:val="182"/>
              <w:ind w:firstLine="0" w:firstLineChars="0"/>
              <w:rPr>
                <w:color w:val="auto"/>
              </w:rPr>
            </w:pPr>
            <w:r>
              <w:rPr>
                <w:rFonts w:hint="eastAsia"/>
                <w:color w:val="auto"/>
                <w:lang w:val="en-US" w:eastAsia="zh-CN"/>
              </w:rPr>
              <w:t>离子液过滤</w:t>
            </w:r>
          </w:p>
        </w:tc>
        <w:tc>
          <w:tcPr>
            <w:tcW w:w="3522" w:type="dxa"/>
            <w:noWrap w:val="0"/>
            <w:vAlign w:val="center"/>
          </w:tcPr>
          <w:p w14:paraId="30003B8E">
            <w:pPr>
              <w:pStyle w:val="182"/>
              <w:ind w:firstLine="0" w:firstLineChars="0"/>
            </w:pPr>
            <w:r>
              <w:rPr>
                <w:rFonts w:hint="eastAsia"/>
                <w:b w:val="0"/>
                <w:bCs w:val="0"/>
                <w:u w:val="none"/>
                <w:lang w:val="en-US" w:eastAsia="zh-CN"/>
              </w:rPr>
              <w:t>一般固废间</w:t>
            </w:r>
            <w:r>
              <w:rPr>
                <w:rFonts w:hint="eastAsia"/>
                <w:b w:val="0"/>
                <w:bCs w:val="0"/>
                <w:color w:val="auto"/>
                <w:u w:val="none"/>
              </w:rPr>
              <w:t>暂存</w:t>
            </w:r>
            <w:r>
              <w:rPr>
                <w:b w:val="0"/>
                <w:bCs w:val="0"/>
                <w:u w:val="none"/>
              </w:rPr>
              <w:t>，定期交由</w:t>
            </w:r>
            <w:r>
              <w:rPr>
                <w:rFonts w:hint="eastAsia"/>
                <w:b w:val="0"/>
                <w:bCs w:val="0"/>
                <w:u w:val="none"/>
                <w:lang w:val="en-US" w:eastAsia="zh-CN"/>
              </w:rPr>
              <w:t>滤芯厂家回收</w:t>
            </w:r>
          </w:p>
        </w:tc>
      </w:tr>
      <w:tr w14:paraId="093E3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43FC19E5">
            <w:pPr>
              <w:pStyle w:val="182"/>
              <w:rPr>
                <w:rFonts w:hint="default" w:eastAsia="宋体"/>
                <w:color w:val="auto"/>
                <w:lang w:val="en-US" w:eastAsia="zh-CN"/>
              </w:rPr>
            </w:pPr>
            <w:r>
              <w:rPr>
                <w:rFonts w:hint="eastAsia"/>
                <w:color w:val="auto"/>
                <w:lang w:val="en-US" w:eastAsia="zh-CN"/>
              </w:rPr>
              <w:t>12</w:t>
            </w:r>
          </w:p>
        </w:tc>
        <w:tc>
          <w:tcPr>
            <w:tcW w:w="559" w:type="pct"/>
            <w:noWrap w:val="0"/>
            <w:vAlign w:val="center"/>
          </w:tcPr>
          <w:p w14:paraId="662AC458">
            <w:pPr>
              <w:pStyle w:val="182"/>
              <w:rPr>
                <w:color w:val="auto"/>
              </w:rPr>
            </w:pPr>
            <w:r>
              <w:rPr>
                <w:color w:val="auto"/>
              </w:rPr>
              <w:t>废活性炭</w:t>
            </w:r>
          </w:p>
        </w:tc>
        <w:tc>
          <w:tcPr>
            <w:tcW w:w="457" w:type="pct"/>
            <w:noWrap w:val="0"/>
            <w:vAlign w:val="center"/>
          </w:tcPr>
          <w:p w14:paraId="593CD905">
            <w:pPr>
              <w:pStyle w:val="182"/>
              <w:rPr>
                <w:color w:val="auto"/>
              </w:rPr>
            </w:pPr>
            <w:r>
              <w:rPr>
                <w:color w:val="auto"/>
              </w:rPr>
              <w:t>HW49</w:t>
            </w:r>
          </w:p>
          <w:p w14:paraId="18A673FE">
            <w:pPr>
              <w:pStyle w:val="182"/>
              <w:rPr>
                <w:color w:val="auto"/>
              </w:rPr>
            </w:pPr>
            <w:r>
              <w:rPr>
                <w:color w:val="auto"/>
              </w:rPr>
              <w:t>其他废物</w:t>
            </w:r>
          </w:p>
        </w:tc>
        <w:tc>
          <w:tcPr>
            <w:tcW w:w="551" w:type="pct"/>
            <w:noWrap w:val="0"/>
            <w:vAlign w:val="center"/>
          </w:tcPr>
          <w:p w14:paraId="176D3306">
            <w:pPr>
              <w:pStyle w:val="182"/>
              <w:rPr>
                <w:color w:val="auto"/>
              </w:rPr>
            </w:pPr>
            <w:r>
              <w:rPr>
                <w:color w:val="auto"/>
              </w:rPr>
              <w:t>900-041-49</w:t>
            </w:r>
          </w:p>
        </w:tc>
        <w:tc>
          <w:tcPr>
            <w:tcW w:w="583" w:type="pct"/>
            <w:noWrap w:val="0"/>
            <w:vAlign w:val="center"/>
          </w:tcPr>
          <w:p w14:paraId="707800F1">
            <w:pPr>
              <w:pStyle w:val="182"/>
              <w:rPr>
                <w:color w:val="auto"/>
              </w:rPr>
            </w:pPr>
            <w:r>
              <w:rPr>
                <w:color w:val="auto"/>
              </w:rPr>
              <w:t>危险废物</w:t>
            </w:r>
          </w:p>
        </w:tc>
        <w:tc>
          <w:tcPr>
            <w:tcW w:w="321" w:type="pct"/>
            <w:noWrap w:val="0"/>
            <w:vAlign w:val="center"/>
          </w:tcPr>
          <w:p w14:paraId="6CE738AA">
            <w:pPr>
              <w:pStyle w:val="182"/>
              <w:rPr>
                <w:color w:val="auto"/>
              </w:rPr>
            </w:pPr>
            <w:r>
              <w:rPr>
                <w:rFonts w:hint="eastAsia"/>
                <w:color w:val="auto"/>
              </w:rPr>
              <w:t>固态</w:t>
            </w:r>
          </w:p>
        </w:tc>
        <w:tc>
          <w:tcPr>
            <w:tcW w:w="458" w:type="pct"/>
            <w:noWrap w:val="0"/>
            <w:vAlign w:val="center"/>
          </w:tcPr>
          <w:p w14:paraId="7068CE1E">
            <w:pPr>
              <w:pStyle w:val="182"/>
              <w:rPr>
                <w:color w:val="auto"/>
              </w:rPr>
            </w:pPr>
            <w:r>
              <w:rPr>
                <w:color w:val="auto"/>
              </w:rPr>
              <w:t>60</w:t>
            </w:r>
          </w:p>
        </w:tc>
        <w:tc>
          <w:tcPr>
            <w:tcW w:w="517" w:type="pct"/>
            <w:noWrap w:val="0"/>
            <w:vAlign w:val="center"/>
          </w:tcPr>
          <w:p w14:paraId="5822D105">
            <w:pPr>
              <w:pStyle w:val="182"/>
              <w:rPr>
                <w:color w:val="auto"/>
              </w:rPr>
            </w:pPr>
            <w:r>
              <w:rPr>
                <w:color w:val="auto"/>
              </w:rPr>
              <w:t>废气处理</w:t>
            </w:r>
          </w:p>
        </w:tc>
        <w:tc>
          <w:tcPr>
            <w:tcW w:w="1291" w:type="pct"/>
            <w:noWrap w:val="0"/>
            <w:vAlign w:val="center"/>
          </w:tcPr>
          <w:p w14:paraId="02E148FA">
            <w:pPr>
              <w:pStyle w:val="182"/>
            </w:pPr>
            <w:r>
              <w:t>危废暂存间贮存，定期交由</w:t>
            </w:r>
            <w:r>
              <w:rPr>
                <w:rFonts w:hint="eastAsia"/>
              </w:rPr>
              <w:t>安阳中丹环保科技有限公司</w:t>
            </w:r>
            <w:r>
              <w:t>处置</w:t>
            </w:r>
          </w:p>
        </w:tc>
      </w:tr>
      <w:tr w14:paraId="5FDF1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0B1EC7AF">
            <w:pPr>
              <w:pStyle w:val="182"/>
              <w:rPr>
                <w:rFonts w:hint="default" w:eastAsia="宋体"/>
                <w:color w:val="auto"/>
                <w:lang w:val="en-US" w:eastAsia="zh-CN"/>
              </w:rPr>
            </w:pPr>
            <w:r>
              <w:rPr>
                <w:rFonts w:hint="eastAsia"/>
                <w:color w:val="auto"/>
                <w:lang w:val="en-US" w:eastAsia="zh-CN"/>
              </w:rPr>
              <w:t>13</w:t>
            </w:r>
          </w:p>
        </w:tc>
        <w:tc>
          <w:tcPr>
            <w:tcW w:w="559" w:type="pct"/>
            <w:noWrap w:val="0"/>
            <w:vAlign w:val="center"/>
          </w:tcPr>
          <w:p w14:paraId="1A979FE9">
            <w:pPr>
              <w:pStyle w:val="182"/>
              <w:rPr>
                <w:color w:val="auto"/>
              </w:rPr>
            </w:pPr>
            <w:r>
              <w:rPr>
                <w:color w:val="auto"/>
              </w:rPr>
              <w:t>蒸馏残渣</w:t>
            </w:r>
          </w:p>
        </w:tc>
        <w:tc>
          <w:tcPr>
            <w:tcW w:w="457" w:type="pct"/>
            <w:noWrap w:val="0"/>
            <w:vAlign w:val="center"/>
          </w:tcPr>
          <w:p w14:paraId="1ABB95A5">
            <w:pPr>
              <w:pStyle w:val="182"/>
              <w:rPr>
                <w:color w:val="auto"/>
              </w:rPr>
            </w:pPr>
            <w:r>
              <w:rPr>
                <w:color w:val="auto"/>
              </w:rPr>
              <w:t>HW11精</w:t>
            </w:r>
          </w:p>
          <w:p w14:paraId="610901B9">
            <w:pPr>
              <w:pStyle w:val="182"/>
              <w:rPr>
                <w:color w:val="auto"/>
              </w:rPr>
            </w:pPr>
            <w:r>
              <w:rPr>
                <w:color w:val="auto"/>
              </w:rPr>
              <w:t>（蒸）馏残渣</w:t>
            </w:r>
          </w:p>
        </w:tc>
        <w:tc>
          <w:tcPr>
            <w:tcW w:w="551" w:type="pct"/>
            <w:noWrap w:val="0"/>
            <w:vAlign w:val="center"/>
          </w:tcPr>
          <w:p w14:paraId="1C371CF6">
            <w:pPr>
              <w:pStyle w:val="182"/>
              <w:rPr>
                <w:color w:val="auto"/>
              </w:rPr>
            </w:pPr>
            <w:r>
              <w:rPr>
                <w:color w:val="auto"/>
              </w:rPr>
              <w:t>900-</w:t>
            </w:r>
            <w:r>
              <w:rPr>
                <w:rFonts w:hint="eastAsia"/>
                <w:color w:val="auto"/>
              </w:rPr>
              <w:t>404</w:t>
            </w:r>
            <w:r>
              <w:rPr>
                <w:color w:val="auto"/>
              </w:rPr>
              <w:t>-</w:t>
            </w:r>
            <w:r>
              <w:rPr>
                <w:rFonts w:hint="eastAsia"/>
                <w:color w:val="auto"/>
              </w:rPr>
              <w:t>06</w:t>
            </w:r>
          </w:p>
        </w:tc>
        <w:tc>
          <w:tcPr>
            <w:tcW w:w="583" w:type="pct"/>
            <w:noWrap w:val="0"/>
            <w:vAlign w:val="center"/>
          </w:tcPr>
          <w:p w14:paraId="45F29236">
            <w:pPr>
              <w:pStyle w:val="182"/>
              <w:rPr>
                <w:color w:val="auto"/>
              </w:rPr>
            </w:pPr>
            <w:r>
              <w:rPr>
                <w:color w:val="auto"/>
              </w:rPr>
              <w:t>危险固废</w:t>
            </w:r>
          </w:p>
        </w:tc>
        <w:tc>
          <w:tcPr>
            <w:tcW w:w="321" w:type="pct"/>
            <w:noWrap w:val="0"/>
            <w:vAlign w:val="center"/>
          </w:tcPr>
          <w:p w14:paraId="0133B178">
            <w:pPr>
              <w:pStyle w:val="182"/>
              <w:rPr>
                <w:color w:val="auto"/>
              </w:rPr>
            </w:pPr>
            <w:r>
              <w:rPr>
                <w:rFonts w:hint="eastAsia"/>
                <w:color w:val="auto"/>
              </w:rPr>
              <w:t>液态</w:t>
            </w:r>
          </w:p>
        </w:tc>
        <w:tc>
          <w:tcPr>
            <w:tcW w:w="458" w:type="pct"/>
            <w:noWrap w:val="0"/>
            <w:vAlign w:val="center"/>
          </w:tcPr>
          <w:p w14:paraId="23322E61">
            <w:pPr>
              <w:pStyle w:val="182"/>
              <w:rPr>
                <w:rFonts w:hint="default" w:eastAsia="宋体"/>
                <w:color w:val="auto"/>
                <w:lang w:val="en-US" w:eastAsia="zh-CN"/>
              </w:rPr>
            </w:pPr>
            <w:r>
              <w:rPr>
                <w:rFonts w:hint="eastAsia"/>
                <w:color w:val="auto"/>
                <w:lang w:val="en-US" w:eastAsia="zh-CN"/>
              </w:rPr>
              <w:t>3221.852</w:t>
            </w:r>
          </w:p>
        </w:tc>
        <w:tc>
          <w:tcPr>
            <w:tcW w:w="517" w:type="pct"/>
            <w:noWrap w:val="0"/>
            <w:vAlign w:val="center"/>
          </w:tcPr>
          <w:p w14:paraId="20679BE7">
            <w:pPr>
              <w:pStyle w:val="182"/>
              <w:rPr>
                <w:color w:val="auto"/>
              </w:rPr>
            </w:pPr>
            <w:r>
              <w:rPr>
                <w:color w:val="auto"/>
              </w:rPr>
              <w:t>精制系统DMAC回收装置</w:t>
            </w:r>
          </w:p>
        </w:tc>
        <w:tc>
          <w:tcPr>
            <w:tcW w:w="1291" w:type="pct"/>
            <w:noWrap w:val="0"/>
            <w:vAlign w:val="center"/>
          </w:tcPr>
          <w:p w14:paraId="5BAD7694">
            <w:pPr>
              <w:pStyle w:val="182"/>
            </w:pPr>
            <w:r>
              <w:t>交由</w:t>
            </w:r>
            <w:r>
              <w:rPr>
                <w:rFonts w:hint="eastAsia"/>
              </w:rPr>
              <w:t>安阳中丹环保科技有限公司</w:t>
            </w:r>
            <w:r>
              <w:t>处置</w:t>
            </w:r>
          </w:p>
        </w:tc>
      </w:tr>
      <w:tr w14:paraId="5B54D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7EA27540">
            <w:pPr>
              <w:pStyle w:val="182"/>
              <w:rPr>
                <w:rFonts w:hint="eastAsia" w:eastAsia="宋体"/>
                <w:color w:val="auto"/>
                <w:lang w:eastAsia="zh-CN"/>
              </w:rPr>
            </w:pPr>
            <w:r>
              <w:rPr>
                <w:color w:val="auto"/>
              </w:rPr>
              <w:t>1</w:t>
            </w:r>
            <w:r>
              <w:rPr>
                <w:rFonts w:hint="eastAsia"/>
                <w:color w:val="auto"/>
                <w:lang w:val="en-US" w:eastAsia="zh-CN"/>
              </w:rPr>
              <w:t>4</w:t>
            </w:r>
          </w:p>
        </w:tc>
        <w:tc>
          <w:tcPr>
            <w:tcW w:w="559" w:type="pct"/>
            <w:noWrap w:val="0"/>
            <w:vAlign w:val="center"/>
          </w:tcPr>
          <w:p w14:paraId="0E949C8B">
            <w:pPr>
              <w:pStyle w:val="182"/>
              <w:rPr>
                <w:color w:val="auto"/>
              </w:rPr>
            </w:pPr>
            <w:r>
              <w:rPr>
                <w:color w:val="auto"/>
              </w:rPr>
              <w:t>脱硝废催化剂</w:t>
            </w:r>
          </w:p>
        </w:tc>
        <w:tc>
          <w:tcPr>
            <w:tcW w:w="457" w:type="pct"/>
            <w:noWrap w:val="0"/>
            <w:vAlign w:val="center"/>
          </w:tcPr>
          <w:p w14:paraId="7E68000F">
            <w:pPr>
              <w:pStyle w:val="182"/>
              <w:rPr>
                <w:color w:val="auto"/>
              </w:rPr>
            </w:pPr>
            <w:r>
              <w:rPr>
                <w:color w:val="auto"/>
              </w:rPr>
              <w:t>HW50</w:t>
            </w:r>
          </w:p>
          <w:p w14:paraId="71AF3DA9">
            <w:pPr>
              <w:pStyle w:val="182"/>
              <w:rPr>
                <w:color w:val="auto"/>
              </w:rPr>
            </w:pPr>
            <w:r>
              <w:rPr>
                <w:color w:val="auto"/>
              </w:rPr>
              <w:t>废催化剂</w:t>
            </w:r>
          </w:p>
        </w:tc>
        <w:tc>
          <w:tcPr>
            <w:tcW w:w="551" w:type="pct"/>
            <w:noWrap w:val="0"/>
            <w:vAlign w:val="center"/>
          </w:tcPr>
          <w:p w14:paraId="73DA3DE6">
            <w:pPr>
              <w:pStyle w:val="182"/>
              <w:rPr>
                <w:color w:val="auto"/>
              </w:rPr>
            </w:pPr>
            <w:r>
              <w:rPr>
                <w:color w:val="auto"/>
              </w:rPr>
              <w:t>772-007-50</w:t>
            </w:r>
          </w:p>
        </w:tc>
        <w:tc>
          <w:tcPr>
            <w:tcW w:w="583" w:type="pct"/>
            <w:noWrap w:val="0"/>
            <w:vAlign w:val="center"/>
          </w:tcPr>
          <w:p w14:paraId="5DEA1701">
            <w:pPr>
              <w:pStyle w:val="182"/>
              <w:rPr>
                <w:color w:val="auto"/>
              </w:rPr>
            </w:pPr>
            <w:r>
              <w:rPr>
                <w:color w:val="auto"/>
              </w:rPr>
              <w:t>危险废物</w:t>
            </w:r>
          </w:p>
        </w:tc>
        <w:tc>
          <w:tcPr>
            <w:tcW w:w="321" w:type="pct"/>
            <w:noWrap w:val="0"/>
            <w:vAlign w:val="center"/>
          </w:tcPr>
          <w:p w14:paraId="212F022B">
            <w:pPr>
              <w:pStyle w:val="182"/>
              <w:rPr>
                <w:color w:val="auto"/>
              </w:rPr>
            </w:pPr>
            <w:r>
              <w:rPr>
                <w:rFonts w:hint="eastAsia"/>
                <w:color w:val="auto"/>
              </w:rPr>
              <w:t>固态</w:t>
            </w:r>
          </w:p>
        </w:tc>
        <w:tc>
          <w:tcPr>
            <w:tcW w:w="458" w:type="pct"/>
            <w:noWrap w:val="0"/>
            <w:vAlign w:val="center"/>
          </w:tcPr>
          <w:p w14:paraId="40F07D34">
            <w:pPr>
              <w:pStyle w:val="182"/>
              <w:rPr>
                <w:color w:val="auto"/>
              </w:rPr>
            </w:pPr>
            <w:r>
              <w:rPr>
                <w:color w:val="auto"/>
              </w:rPr>
              <w:t>2</w:t>
            </w:r>
            <w:r>
              <w:rPr>
                <w:rFonts w:hint="eastAsia"/>
                <w:color w:val="auto"/>
                <w:lang w:val="en-US" w:eastAsia="zh-CN"/>
              </w:rPr>
              <w:t>3</w:t>
            </w:r>
            <w:r>
              <w:rPr>
                <w:color w:val="auto"/>
              </w:rPr>
              <w:t>.16</w:t>
            </w:r>
          </w:p>
        </w:tc>
        <w:tc>
          <w:tcPr>
            <w:tcW w:w="517" w:type="pct"/>
            <w:noWrap w:val="0"/>
            <w:vAlign w:val="center"/>
          </w:tcPr>
          <w:p w14:paraId="08DEF066">
            <w:pPr>
              <w:pStyle w:val="182"/>
              <w:rPr>
                <w:color w:val="auto"/>
              </w:rPr>
            </w:pPr>
            <w:r>
              <w:rPr>
                <w:color w:val="auto"/>
              </w:rPr>
              <w:t>锅炉废气治理设施</w:t>
            </w:r>
          </w:p>
        </w:tc>
        <w:tc>
          <w:tcPr>
            <w:tcW w:w="1291" w:type="pct"/>
            <w:noWrap w:val="0"/>
            <w:vAlign w:val="center"/>
          </w:tcPr>
          <w:p w14:paraId="09661ABD">
            <w:pPr>
              <w:pStyle w:val="182"/>
            </w:pPr>
            <w:r>
              <w:t>危废暂存间贮存，定期交由</w:t>
            </w:r>
            <w:r>
              <w:rPr>
                <w:rFonts w:hint="eastAsia"/>
              </w:rPr>
              <w:t>河南省格林沃特环保科技有限公司处理处置</w:t>
            </w:r>
          </w:p>
        </w:tc>
      </w:tr>
      <w:tr w14:paraId="7D873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8" w:type="pct"/>
            <w:noWrap w:val="0"/>
            <w:vAlign w:val="center"/>
          </w:tcPr>
          <w:p w14:paraId="3F132814">
            <w:pPr>
              <w:pStyle w:val="182"/>
              <w:rPr>
                <w:rFonts w:hint="eastAsia" w:eastAsia="宋体"/>
                <w:color w:val="auto"/>
                <w:lang w:eastAsia="zh-CN"/>
              </w:rPr>
            </w:pPr>
            <w:r>
              <w:rPr>
                <w:color w:val="auto"/>
              </w:rPr>
              <w:t>1</w:t>
            </w:r>
            <w:r>
              <w:rPr>
                <w:rFonts w:hint="eastAsia"/>
                <w:color w:val="auto"/>
                <w:lang w:val="en-US" w:eastAsia="zh-CN"/>
              </w:rPr>
              <w:t>5</w:t>
            </w:r>
          </w:p>
        </w:tc>
        <w:tc>
          <w:tcPr>
            <w:tcW w:w="559" w:type="pct"/>
            <w:noWrap w:val="0"/>
            <w:vAlign w:val="center"/>
          </w:tcPr>
          <w:p w14:paraId="76F19B84">
            <w:pPr>
              <w:pStyle w:val="182"/>
              <w:rPr>
                <w:color w:val="auto"/>
              </w:rPr>
            </w:pPr>
            <w:r>
              <w:rPr>
                <w:color w:val="auto"/>
              </w:rPr>
              <w:t>废包装桶</w:t>
            </w:r>
          </w:p>
        </w:tc>
        <w:tc>
          <w:tcPr>
            <w:tcW w:w="457" w:type="pct"/>
            <w:noWrap w:val="0"/>
            <w:vAlign w:val="center"/>
          </w:tcPr>
          <w:p w14:paraId="3D8A6FD9">
            <w:pPr>
              <w:pStyle w:val="182"/>
              <w:rPr>
                <w:color w:val="auto"/>
              </w:rPr>
            </w:pPr>
            <w:r>
              <w:rPr>
                <w:rFonts w:hint="eastAsia"/>
                <w:color w:val="auto"/>
              </w:rPr>
              <w:t>HW49</w:t>
            </w:r>
          </w:p>
        </w:tc>
        <w:tc>
          <w:tcPr>
            <w:tcW w:w="551" w:type="pct"/>
            <w:noWrap w:val="0"/>
            <w:vAlign w:val="center"/>
          </w:tcPr>
          <w:p w14:paraId="575C1C21">
            <w:pPr>
              <w:pStyle w:val="182"/>
              <w:rPr>
                <w:color w:val="auto"/>
              </w:rPr>
            </w:pPr>
            <w:r>
              <w:rPr>
                <w:color w:val="auto"/>
              </w:rPr>
              <w:t>900-041-49</w:t>
            </w:r>
          </w:p>
        </w:tc>
        <w:tc>
          <w:tcPr>
            <w:tcW w:w="583" w:type="pct"/>
            <w:noWrap w:val="0"/>
            <w:vAlign w:val="center"/>
          </w:tcPr>
          <w:p w14:paraId="7CCFE967">
            <w:pPr>
              <w:pStyle w:val="182"/>
              <w:rPr>
                <w:color w:val="auto"/>
              </w:rPr>
            </w:pPr>
            <w:r>
              <w:rPr>
                <w:color w:val="auto"/>
              </w:rPr>
              <w:t>危险废物</w:t>
            </w:r>
          </w:p>
        </w:tc>
        <w:tc>
          <w:tcPr>
            <w:tcW w:w="321" w:type="pct"/>
            <w:noWrap w:val="0"/>
            <w:vAlign w:val="center"/>
          </w:tcPr>
          <w:p w14:paraId="29EA0E68">
            <w:pPr>
              <w:pStyle w:val="182"/>
              <w:rPr>
                <w:color w:val="auto"/>
              </w:rPr>
            </w:pPr>
            <w:r>
              <w:rPr>
                <w:rFonts w:hint="eastAsia"/>
                <w:color w:val="auto"/>
              </w:rPr>
              <w:t>固态</w:t>
            </w:r>
          </w:p>
        </w:tc>
        <w:tc>
          <w:tcPr>
            <w:tcW w:w="458" w:type="pct"/>
            <w:noWrap w:val="0"/>
            <w:vAlign w:val="center"/>
          </w:tcPr>
          <w:p w14:paraId="73254FEE">
            <w:pPr>
              <w:pStyle w:val="182"/>
              <w:rPr>
                <w:rFonts w:hint="default" w:eastAsia="宋体"/>
                <w:color w:val="auto"/>
                <w:lang w:val="en-US" w:eastAsia="zh-CN"/>
              </w:rPr>
            </w:pPr>
            <w:r>
              <w:rPr>
                <w:rFonts w:hint="eastAsia"/>
                <w:color w:val="auto"/>
                <w:lang w:val="en-US" w:eastAsia="zh-CN"/>
              </w:rPr>
              <w:t>153.2</w:t>
            </w:r>
          </w:p>
        </w:tc>
        <w:tc>
          <w:tcPr>
            <w:tcW w:w="517" w:type="pct"/>
            <w:noWrap w:val="0"/>
            <w:vAlign w:val="center"/>
          </w:tcPr>
          <w:p w14:paraId="12512941">
            <w:pPr>
              <w:pStyle w:val="182"/>
              <w:rPr>
                <w:color w:val="auto"/>
              </w:rPr>
            </w:pPr>
            <w:r>
              <w:rPr>
                <w:color w:val="auto"/>
              </w:rPr>
              <w:t>原料包装</w:t>
            </w:r>
          </w:p>
        </w:tc>
        <w:tc>
          <w:tcPr>
            <w:tcW w:w="1291" w:type="pct"/>
            <w:noWrap w:val="0"/>
            <w:vAlign w:val="center"/>
          </w:tcPr>
          <w:p w14:paraId="0380158E">
            <w:pPr>
              <w:pStyle w:val="182"/>
            </w:pPr>
            <w:r>
              <w:t>危废暂存间贮存，送原厂家回收或定期交由</w:t>
            </w:r>
            <w:r>
              <w:rPr>
                <w:rFonts w:hint="eastAsia"/>
              </w:rPr>
              <w:t>安阳中丹环保科技有限公司</w:t>
            </w:r>
            <w:r>
              <w:t>处置</w:t>
            </w:r>
          </w:p>
        </w:tc>
      </w:tr>
    </w:tbl>
    <w:p w14:paraId="58B3CC7C">
      <w:pPr>
        <w:pStyle w:val="182"/>
        <w:rPr>
          <w:b/>
          <w:bCs/>
          <w:color w:val="auto"/>
          <w:u w:val="single"/>
        </w:rPr>
      </w:pPr>
    </w:p>
    <w:p w14:paraId="740362DC">
      <w:pPr>
        <w:pStyle w:val="182"/>
        <w:rPr>
          <w:color w:val="auto"/>
        </w:rPr>
      </w:pPr>
    </w:p>
    <w:p w14:paraId="214B6E0C">
      <w:pPr>
        <w:pStyle w:val="182"/>
        <w:rPr>
          <w:color w:val="auto"/>
        </w:rPr>
        <w:sectPr>
          <w:pgSz w:w="16840" w:h="11907" w:orient="landscape"/>
          <w:pgMar w:top="1440" w:right="1800" w:bottom="1440" w:left="1800" w:header="907" w:footer="907" w:gutter="0"/>
          <w:pgNumType w:fmt="decimal"/>
          <w:cols w:space="720" w:num="1"/>
          <w:docGrid w:linePitch="380" w:charSpace="0"/>
        </w:sectPr>
      </w:pPr>
    </w:p>
    <w:p w14:paraId="1FCCBFE7">
      <w:pPr>
        <w:pStyle w:val="3"/>
      </w:pPr>
      <w:bookmarkStart w:id="159" w:name="_Toc24169"/>
      <w:bookmarkStart w:id="160" w:name="_Toc106552517"/>
      <w:r>
        <w:rPr>
          <w:rFonts w:hint="eastAsia"/>
        </w:rPr>
        <w:t>已建工程及在建</w:t>
      </w:r>
      <w:r>
        <w:rPr>
          <w:rFonts w:hint="eastAsia"/>
          <w:lang w:eastAsia="zh-CN"/>
        </w:rPr>
        <w:t>、</w:t>
      </w:r>
      <w:r>
        <w:rPr>
          <w:rFonts w:hint="eastAsia"/>
          <w:lang w:val="en-US" w:eastAsia="zh-CN"/>
        </w:rPr>
        <w:t>拟建</w:t>
      </w:r>
      <w:r>
        <w:rPr>
          <w:rFonts w:hint="eastAsia"/>
        </w:rPr>
        <w:t>工程污染物排放量汇总</w:t>
      </w:r>
      <w:bookmarkEnd w:id="159"/>
      <w:bookmarkEnd w:id="160"/>
    </w:p>
    <w:p w14:paraId="1CC49B1F">
      <w:pPr>
        <w:pStyle w:val="101"/>
      </w:pPr>
      <w:r>
        <w:t>企业现有工程（已建项目</w:t>
      </w:r>
      <w:r>
        <w:rPr>
          <w:rFonts w:hint="eastAsia"/>
        </w:rPr>
        <w:t>+</w:t>
      </w:r>
      <w:r>
        <w:t>在建</w:t>
      </w:r>
      <w:r>
        <w:rPr>
          <w:rFonts w:hint="eastAsia"/>
          <w:lang w:eastAsia="zh-CN"/>
        </w:rPr>
        <w:t>、</w:t>
      </w:r>
      <w:r>
        <w:rPr>
          <w:rFonts w:hint="eastAsia"/>
          <w:lang w:val="en-US" w:eastAsia="zh-CN"/>
        </w:rPr>
        <w:t>拟建</w:t>
      </w:r>
      <w:r>
        <w:t>项目）水平衡见</w:t>
      </w:r>
      <w:r>
        <w:rPr>
          <w:rFonts w:hint="eastAsia"/>
          <w:lang w:val="en-US" w:eastAsia="zh-CN"/>
        </w:rPr>
        <w:t>下图</w:t>
      </w:r>
      <w:r>
        <w:rPr>
          <w:rFonts w:hint="eastAsia"/>
        </w:rPr>
        <w:t>。</w:t>
      </w:r>
    </w:p>
    <w:p w14:paraId="51598B21">
      <w:pPr>
        <w:ind w:firstLine="480"/>
        <w:rPr>
          <w:rFonts w:hint="eastAsia" w:eastAsia="宋体"/>
          <w:bCs/>
          <w:lang w:eastAsia="zh-CN"/>
        </w:rPr>
      </w:pPr>
      <w:r>
        <w:rPr>
          <w:rFonts w:hint="eastAsia" w:eastAsia="宋体"/>
          <w:bCs/>
          <w:lang w:eastAsia="zh-CN"/>
        </w:rPr>
        <w:object>
          <v:shape id="_x0000_i1028" o:spt="75" type="#_x0000_t75" style="height:459.75pt;width:367.5pt;" o:ole="t" filled="f" o:preferrelative="t" stroked="f" coordsize="21600,21600">
            <v:path/>
            <v:fill on="f" focussize="0,0"/>
            <v:stroke on="f"/>
            <v:imagedata r:id="rId49" o:title=""/>
            <o:lock v:ext="edit" aspectratio="t"/>
            <w10:wrap type="none"/>
            <w10:anchorlock/>
          </v:shape>
          <o:OLEObject Type="Embed" ProgID="Visio.Drawing.15" ShapeID="_x0000_i1028" DrawAspect="Content" ObjectID="_1468075728" r:id="rId48">
            <o:LockedField>false</o:LockedField>
          </o:OLEObject>
        </w:object>
      </w:r>
    </w:p>
    <w:p w14:paraId="29C193A7">
      <w:pPr>
        <w:pStyle w:val="181"/>
        <w:bidi w:val="0"/>
        <w:ind w:left="0" w:leftChars="0" w:firstLine="0" w:firstLineChars="0"/>
        <w:jc w:val="center"/>
        <w:rPr>
          <w:rFonts w:hint="eastAsia" w:eastAsia="宋体"/>
          <w:bCs/>
          <w:lang w:eastAsia="zh-CN"/>
        </w:rPr>
      </w:pPr>
      <w:r>
        <w:rPr>
          <w:rFonts w:hint="eastAsia"/>
          <w:color w:val="auto"/>
          <w:u w:val="none"/>
        </w:rPr>
        <w:t>图3</w:t>
      </w:r>
      <w:r>
        <w:rPr>
          <w:color w:val="auto"/>
          <w:u w:val="none"/>
        </w:rPr>
        <w:t>.</w:t>
      </w:r>
      <w:r>
        <w:rPr>
          <w:rFonts w:hint="eastAsia"/>
          <w:color w:val="auto"/>
          <w:u w:val="none"/>
          <w:lang w:val="en-US" w:eastAsia="zh-CN"/>
        </w:rPr>
        <w:t>5</w:t>
      </w:r>
      <w:r>
        <w:rPr>
          <w:rFonts w:hint="eastAsia"/>
          <w:color w:val="auto"/>
          <w:u w:val="none"/>
        </w:rPr>
        <w:t>-</w:t>
      </w:r>
      <w:r>
        <w:rPr>
          <w:rFonts w:hint="eastAsia"/>
          <w:color w:val="auto"/>
          <w:u w:val="none"/>
          <w:lang w:val="en-US" w:eastAsia="zh-CN"/>
        </w:rPr>
        <w:t>1</w:t>
      </w:r>
      <w:r>
        <w:rPr>
          <w:color w:val="auto"/>
          <w:u w:val="none"/>
        </w:rPr>
        <w:t xml:space="preserve">  </w:t>
      </w:r>
      <w:r>
        <w:rPr>
          <w:rFonts w:hint="eastAsia"/>
          <w:color w:val="auto"/>
          <w:u w:val="none"/>
          <w:lang w:val="en-US" w:eastAsia="zh-CN"/>
        </w:rPr>
        <w:t>全厂已建+在建、拟建工程水平衡</w:t>
      </w:r>
      <w:r>
        <w:rPr>
          <w:rFonts w:hint="eastAsia"/>
          <w:color w:val="auto"/>
          <w:u w:val="none"/>
        </w:rPr>
        <w:t>图</w:t>
      </w:r>
      <w:r>
        <w:rPr>
          <w:rFonts w:hint="eastAsia"/>
          <w:color w:val="auto"/>
          <w:u w:val="none"/>
          <w:lang w:eastAsia="zh-CN"/>
        </w:rPr>
        <w:t>（</w:t>
      </w:r>
      <w:r>
        <w:rPr>
          <w:rFonts w:hint="eastAsia"/>
          <w:color w:val="auto"/>
          <w:u w:val="none"/>
          <w:lang w:val="en-US" w:eastAsia="zh-CN"/>
        </w:rPr>
        <w:t>单位t/d</w:t>
      </w:r>
      <w:r>
        <w:rPr>
          <w:rFonts w:hint="eastAsia"/>
          <w:color w:val="auto"/>
          <w:u w:val="none"/>
          <w:lang w:eastAsia="zh-CN"/>
        </w:rPr>
        <w:t>）</w:t>
      </w:r>
    </w:p>
    <w:p w14:paraId="63215800">
      <w:pPr>
        <w:ind w:firstLine="480"/>
        <w:rPr>
          <w:bCs/>
        </w:rPr>
      </w:pPr>
      <w:r>
        <w:rPr>
          <w:bCs/>
        </w:rPr>
        <w:t>企业已建工程和在建工程污染物情况汇总见下表</w:t>
      </w:r>
      <w:r>
        <w:rPr>
          <w:rFonts w:hint="eastAsia"/>
          <w:bCs/>
        </w:rPr>
        <w:t>。</w:t>
      </w:r>
    </w:p>
    <w:p w14:paraId="53626FD0">
      <w:pPr>
        <w:pStyle w:val="10"/>
        <w:bidi w:val="0"/>
        <w:rPr>
          <w:rFonts w:hint="eastAsia"/>
          <w:lang w:val="en-US" w:eastAsia="zh-CN"/>
        </w:rPr>
      </w:pPr>
      <w:r>
        <w:t xml:space="preserve">表 </w:t>
      </w:r>
      <w:r>
        <w:fldChar w:fldCharType="begin"/>
      </w:r>
      <w:r>
        <w:instrText xml:space="preserve"> STYLEREF 2 \s </w:instrText>
      </w:r>
      <w:r>
        <w:fldChar w:fldCharType="separate"/>
      </w:r>
      <w:r>
        <w:t>3.5</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现有工程（已建+在建、拟建）工程污染物情况汇总表</w:t>
      </w:r>
    </w:p>
    <w:tbl>
      <w:tblPr>
        <w:tblStyle w:val="31"/>
        <w:tblW w:w="4814"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108" w:type="dxa"/>
          <w:bottom w:w="0" w:type="dxa"/>
          <w:right w:w="108" w:type="dxa"/>
        </w:tblCellMar>
      </w:tblPr>
      <w:tblGrid>
        <w:gridCol w:w="492"/>
        <w:gridCol w:w="694"/>
        <w:gridCol w:w="1404"/>
        <w:gridCol w:w="977"/>
        <w:gridCol w:w="1701"/>
        <w:gridCol w:w="1701"/>
        <w:gridCol w:w="1701"/>
      </w:tblGrid>
      <w:tr w14:paraId="06D67F9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10" w:hRule="atLeast"/>
          <w:jc w:val="center"/>
        </w:trPr>
        <w:tc>
          <w:tcPr>
            <w:tcW w:w="1493" w:type="pct"/>
            <w:gridSpan w:val="3"/>
            <w:tcBorders>
              <w:tl2br w:val="nil"/>
              <w:tr2bl w:val="nil"/>
            </w:tcBorders>
            <w:shd w:val="clear" w:color="auto" w:fill="auto"/>
            <w:vAlign w:val="center"/>
          </w:tcPr>
          <w:p w14:paraId="3DB3397A">
            <w:pPr>
              <w:pStyle w:val="182"/>
              <w:rPr>
                <w:b/>
                <w:bCs w:val="0"/>
                <w:u w:val="single"/>
              </w:rPr>
            </w:pPr>
            <w:r>
              <w:rPr>
                <w:rFonts w:hint="eastAsia"/>
                <w:b/>
                <w:bCs w:val="0"/>
                <w:u w:val="single"/>
              </w:rPr>
              <w:t>污染物</w:t>
            </w:r>
          </w:p>
        </w:tc>
        <w:tc>
          <w:tcPr>
            <w:tcW w:w="563" w:type="pct"/>
            <w:tcBorders>
              <w:tl2br w:val="nil"/>
              <w:tr2bl w:val="nil"/>
            </w:tcBorders>
            <w:shd w:val="clear" w:color="auto" w:fill="auto"/>
            <w:vAlign w:val="center"/>
          </w:tcPr>
          <w:p w14:paraId="1ED741EE">
            <w:pPr>
              <w:pStyle w:val="182"/>
              <w:rPr>
                <w:b/>
                <w:bCs w:val="0"/>
                <w:u w:val="single"/>
              </w:rPr>
            </w:pPr>
            <w:r>
              <w:rPr>
                <w:rFonts w:hint="eastAsia"/>
                <w:b/>
                <w:bCs w:val="0"/>
                <w:u w:val="single"/>
              </w:rPr>
              <w:t>单位</w:t>
            </w:r>
          </w:p>
        </w:tc>
        <w:tc>
          <w:tcPr>
            <w:tcW w:w="980" w:type="pct"/>
            <w:tcBorders>
              <w:tl2br w:val="nil"/>
              <w:tr2bl w:val="nil"/>
            </w:tcBorders>
            <w:shd w:val="clear" w:color="auto" w:fill="auto"/>
            <w:vAlign w:val="center"/>
          </w:tcPr>
          <w:p w14:paraId="46B656B3">
            <w:pPr>
              <w:pStyle w:val="182"/>
              <w:rPr>
                <w:b/>
                <w:bCs w:val="0"/>
                <w:u w:val="single"/>
              </w:rPr>
            </w:pPr>
            <w:r>
              <w:rPr>
                <w:b/>
                <w:bCs w:val="0"/>
                <w:u w:val="single"/>
              </w:rPr>
              <w:t>已建项目实际排放量</w:t>
            </w:r>
          </w:p>
        </w:tc>
        <w:tc>
          <w:tcPr>
            <w:tcW w:w="980" w:type="pct"/>
            <w:tcBorders>
              <w:tl2br w:val="nil"/>
              <w:tr2bl w:val="nil"/>
            </w:tcBorders>
            <w:shd w:val="clear" w:color="auto" w:fill="auto"/>
            <w:vAlign w:val="center"/>
          </w:tcPr>
          <w:p w14:paraId="7735C100">
            <w:pPr>
              <w:pStyle w:val="182"/>
              <w:rPr>
                <w:b/>
                <w:bCs w:val="0"/>
                <w:u w:val="single"/>
              </w:rPr>
            </w:pPr>
            <w:r>
              <w:rPr>
                <w:rFonts w:hint="eastAsia"/>
                <w:b/>
                <w:bCs w:val="0"/>
                <w:u w:val="single"/>
              </w:rPr>
              <w:t>在建</w:t>
            </w:r>
            <w:r>
              <w:rPr>
                <w:rFonts w:hint="eastAsia"/>
                <w:b/>
                <w:bCs w:val="0"/>
                <w:u w:val="single"/>
                <w:lang w:val="en-US" w:eastAsia="zh-CN"/>
              </w:rPr>
              <w:t>及拟建</w:t>
            </w:r>
            <w:r>
              <w:rPr>
                <w:rFonts w:hint="eastAsia"/>
                <w:b/>
                <w:bCs w:val="0"/>
                <w:u w:val="single"/>
              </w:rPr>
              <w:t>工程</w:t>
            </w:r>
          </w:p>
        </w:tc>
        <w:tc>
          <w:tcPr>
            <w:tcW w:w="980" w:type="pct"/>
            <w:tcBorders>
              <w:tl2br w:val="nil"/>
              <w:tr2bl w:val="nil"/>
            </w:tcBorders>
            <w:shd w:val="clear" w:color="auto" w:fill="auto"/>
            <w:vAlign w:val="center"/>
          </w:tcPr>
          <w:p w14:paraId="26E1BB47">
            <w:pPr>
              <w:pStyle w:val="182"/>
              <w:rPr>
                <w:rFonts w:hint="eastAsia" w:eastAsia="宋体"/>
                <w:b/>
                <w:bCs w:val="0"/>
                <w:u w:val="single"/>
                <w:lang w:val="en-US" w:eastAsia="zh-CN"/>
              </w:rPr>
            </w:pPr>
            <w:r>
              <w:rPr>
                <w:b/>
                <w:bCs w:val="0"/>
                <w:u w:val="single"/>
              </w:rPr>
              <w:t>已建</w:t>
            </w:r>
            <w:r>
              <w:rPr>
                <w:rFonts w:hint="eastAsia"/>
                <w:b/>
                <w:bCs w:val="0"/>
                <w:u w:val="single"/>
              </w:rPr>
              <w:t>+在建</w:t>
            </w:r>
            <w:r>
              <w:rPr>
                <w:rFonts w:hint="eastAsia"/>
                <w:b/>
                <w:bCs w:val="0"/>
                <w:u w:val="single"/>
                <w:lang w:val="en-US" w:eastAsia="zh-CN"/>
              </w:rPr>
              <w:t>及拟建</w:t>
            </w:r>
          </w:p>
        </w:tc>
      </w:tr>
      <w:tr w14:paraId="6FA4790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restart"/>
            <w:tcBorders>
              <w:tl2br w:val="nil"/>
              <w:tr2bl w:val="nil"/>
            </w:tcBorders>
            <w:shd w:val="clear" w:color="auto" w:fill="auto"/>
            <w:vAlign w:val="center"/>
          </w:tcPr>
          <w:p w14:paraId="07BB0DE7">
            <w:pPr>
              <w:pStyle w:val="182"/>
              <w:rPr>
                <w:b/>
                <w:bCs w:val="0"/>
                <w:u w:val="single"/>
              </w:rPr>
            </w:pPr>
            <w:r>
              <w:rPr>
                <w:rFonts w:hint="eastAsia"/>
                <w:b/>
                <w:bCs w:val="0"/>
                <w:u w:val="single"/>
              </w:rPr>
              <w:t>废水</w:t>
            </w:r>
          </w:p>
        </w:tc>
        <w:tc>
          <w:tcPr>
            <w:tcW w:w="400" w:type="pct"/>
            <w:vMerge w:val="restart"/>
            <w:tcBorders>
              <w:tl2br w:val="nil"/>
              <w:tr2bl w:val="nil"/>
            </w:tcBorders>
            <w:shd w:val="clear" w:color="auto" w:fill="auto"/>
            <w:vAlign w:val="center"/>
          </w:tcPr>
          <w:p w14:paraId="5896759D">
            <w:pPr>
              <w:pStyle w:val="182"/>
              <w:rPr>
                <w:b/>
                <w:bCs w:val="0"/>
                <w:u w:val="single"/>
              </w:rPr>
            </w:pPr>
            <w:r>
              <w:rPr>
                <w:rFonts w:hint="eastAsia"/>
                <w:b/>
                <w:bCs w:val="0"/>
                <w:u w:val="single"/>
              </w:rPr>
              <w:t>生产废水</w:t>
            </w:r>
          </w:p>
        </w:tc>
        <w:tc>
          <w:tcPr>
            <w:tcW w:w="808" w:type="pct"/>
            <w:tcBorders>
              <w:tl2br w:val="nil"/>
              <w:tr2bl w:val="nil"/>
            </w:tcBorders>
            <w:shd w:val="clear" w:color="auto" w:fill="auto"/>
            <w:vAlign w:val="center"/>
          </w:tcPr>
          <w:p w14:paraId="4E2AAEF1">
            <w:pPr>
              <w:widowControl/>
              <w:spacing w:line="240" w:lineRule="auto"/>
              <w:ind w:firstLine="0" w:firstLineChars="0"/>
              <w:jc w:val="center"/>
              <w:textAlignment w:val="center"/>
              <w:rPr>
                <w:b/>
                <w:bCs w:val="0"/>
                <w:u w:val="single"/>
              </w:rPr>
            </w:pPr>
            <w:r>
              <w:rPr>
                <w:b/>
                <w:bCs w:val="0"/>
                <w:color w:val="000000"/>
                <w:kern w:val="0"/>
                <w:sz w:val="21"/>
                <w:szCs w:val="21"/>
                <w:u w:val="single"/>
                <w:lang w:bidi="ar"/>
              </w:rPr>
              <w:t>COD</w:t>
            </w:r>
          </w:p>
        </w:tc>
        <w:tc>
          <w:tcPr>
            <w:tcW w:w="563" w:type="pct"/>
            <w:tcBorders>
              <w:tl2br w:val="nil"/>
              <w:tr2bl w:val="nil"/>
            </w:tcBorders>
            <w:shd w:val="clear" w:color="auto" w:fill="auto"/>
            <w:vAlign w:val="center"/>
          </w:tcPr>
          <w:p w14:paraId="466B44BD">
            <w:pPr>
              <w:pStyle w:val="182"/>
              <w:ind w:firstLine="0" w:firstLineChars="0"/>
              <w:rPr>
                <w:b/>
                <w:bCs w:val="0"/>
                <w:u w:val="single"/>
              </w:rPr>
            </w:pPr>
            <w:r>
              <w:rPr>
                <w:rFonts w:hint="eastAsia"/>
                <w:b/>
                <w:bCs w:val="0"/>
                <w:u w:val="single"/>
                <w:lang w:val="en-US" w:eastAsia="zh-CN"/>
              </w:rPr>
              <w:t>t/a</w:t>
            </w:r>
          </w:p>
        </w:tc>
        <w:tc>
          <w:tcPr>
            <w:tcW w:w="1701" w:type="dxa"/>
            <w:tcBorders>
              <w:tl2br w:val="nil"/>
              <w:tr2bl w:val="nil"/>
            </w:tcBorders>
            <w:shd w:val="clear" w:color="auto" w:fill="auto"/>
            <w:vAlign w:val="center"/>
          </w:tcPr>
          <w:p w14:paraId="4B3EAA79">
            <w:pPr>
              <w:pStyle w:val="182"/>
              <w:ind w:firstLine="0" w:firstLineChars="0"/>
              <w:rPr>
                <w:rFonts w:hint="eastAsia"/>
                <w:b/>
                <w:bCs w:val="0"/>
                <w:color w:val="auto"/>
                <w:highlight w:val="none"/>
                <w:u w:val="single"/>
              </w:rPr>
            </w:pPr>
            <w:r>
              <w:rPr>
                <w:rFonts w:hint="eastAsia"/>
                <w:b/>
                <w:bCs w:val="0"/>
                <w:color w:val="auto"/>
                <w:highlight w:val="none"/>
                <w:u w:val="single"/>
              </w:rPr>
              <w:t>901.9294</w:t>
            </w:r>
          </w:p>
        </w:tc>
        <w:tc>
          <w:tcPr>
            <w:tcW w:w="1701" w:type="dxa"/>
            <w:tcBorders>
              <w:tl2br w:val="nil"/>
              <w:tr2bl w:val="nil"/>
            </w:tcBorders>
            <w:shd w:val="clear" w:color="auto" w:fill="auto"/>
            <w:vAlign w:val="center"/>
          </w:tcPr>
          <w:p w14:paraId="585BFEF5">
            <w:pPr>
              <w:pStyle w:val="182"/>
              <w:ind w:firstLine="0" w:firstLineChars="0"/>
              <w:rPr>
                <w:rFonts w:hint="eastAsia"/>
                <w:b/>
                <w:bCs w:val="0"/>
                <w:color w:val="auto"/>
                <w:highlight w:val="none"/>
                <w:u w:val="single"/>
                <w:lang w:val="en-US" w:eastAsia="zh-CN"/>
              </w:rPr>
            </w:pPr>
            <w:r>
              <w:rPr>
                <w:rFonts w:hint="eastAsia"/>
                <w:b/>
                <w:bCs w:val="0"/>
                <w:u w:val="single"/>
                <w:lang w:val="en-US" w:eastAsia="zh-CN"/>
              </w:rPr>
              <w:t>39.0842</w:t>
            </w:r>
          </w:p>
        </w:tc>
        <w:tc>
          <w:tcPr>
            <w:tcW w:w="1701" w:type="dxa"/>
            <w:tcBorders>
              <w:tl2br w:val="nil"/>
              <w:tr2bl w:val="nil"/>
            </w:tcBorders>
            <w:shd w:val="clear" w:color="auto" w:fill="auto"/>
            <w:vAlign w:val="center"/>
          </w:tcPr>
          <w:p w14:paraId="1F584DB8">
            <w:pPr>
              <w:pStyle w:val="182"/>
              <w:ind w:firstLine="0" w:firstLineChars="0"/>
              <w:rPr>
                <w:rFonts w:hint="eastAsia"/>
                <w:b/>
                <w:bCs w:val="0"/>
                <w:u w:val="single"/>
                <w:lang w:val="en-US" w:eastAsia="zh-CN"/>
              </w:rPr>
            </w:pPr>
            <w:r>
              <w:rPr>
                <w:rFonts w:hint="eastAsia"/>
                <w:b/>
                <w:bCs w:val="0"/>
                <w:u w:val="single"/>
                <w:lang w:val="en-US" w:eastAsia="zh-CN"/>
              </w:rPr>
              <w:t>941.0136</w:t>
            </w:r>
          </w:p>
        </w:tc>
      </w:tr>
      <w:tr w14:paraId="05F87EB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3306D7F1">
            <w:pPr>
              <w:pStyle w:val="182"/>
              <w:rPr>
                <w:b/>
                <w:bCs w:val="0"/>
                <w:u w:val="single"/>
              </w:rPr>
            </w:pPr>
          </w:p>
        </w:tc>
        <w:tc>
          <w:tcPr>
            <w:tcW w:w="400" w:type="pct"/>
            <w:vMerge w:val="continue"/>
            <w:tcBorders>
              <w:tl2br w:val="nil"/>
              <w:tr2bl w:val="nil"/>
            </w:tcBorders>
            <w:shd w:val="clear" w:color="auto" w:fill="auto"/>
            <w:vAlign w:val="center"/>
          </w:tcPr>
          <w:p w14:paraId="580321D6">
            <w:pPr>
              <w:pStyle w:val="182"/>
              <w:rPr>
                <w:b/>
                <w:bCs w:val="0"/>
                <w:u w:val="single"/>
              </w:rPr>
            </w:pPr>
          </w:p>
        </w:tc>
        <w:tc>
          <w:tcPr>
            <w:tcW w:w="808" w:type="pct"/>
            <w:tcBorders>
              <w:tl2br w:val="nil"/>
              <w:tr2bl w:val="nil"/>
            </w:tcBorders>
            <w:shd w:val="clear" w:color="auto" w:fill="auto"/>
            <w:vAlign w:val="center"/>
          </w:tcPr>
          <w:p w14:paraId="6F8CD092">
            <w:pPr>
              <w:widowControl/>
              <w:spacing w:line="240" w:lineRule="auto"/>
              <w:ind w:firstLine="0" w:firstLineChars="0"/>
              <w:jc w:val="center"/>
              <w:textAlignment w:val="center"/>
              <w:rPr>
                <w:b/>
                <w:bCs w:val="0"/>
                <w:u w:val="single"/>
              </w:rPr>
            </w:pPr>
            <w:r>
              <w:rPr>
                <w:b/>
                <w:bCs w:val="0"/>
                <w:color w:val="000000"/>
                <w:kern w:val="0"/>
                <w:sz w:val="21"/>
                <w:szCs w:val="21"/>
                <w:u w:val="single"/>
                <w:lang w:bidi="ar"/>
              </w:rPr>
              <w:t>NH</w:t>
            </w:r>
            <w:r>
              <w:rPr>
                <w:b/>
                <w:bCs w:val="0"/>
                <w:color w:val="000000"/>
                <w:kern w:val="0"/>
                <w:sz w:val="21"/>
                <w:szCs w:val="21"/>
                <w:u w:val="single"/>
                <w:vertAlign w:val="subscript"/>
                <w:lang w:bidi="ar"/>
              </w:rPr>
              <w:t>3</w:t>
            </w:r>
            <w:r>
              <w:rPr>
                <w:b/>
                <w:bCs w:val="0"/>
                <w:color w:val="000000"/>
                <w:kern w:val="0"/>
                <w:sz w:val="21"/>
                <w:szCs w:val="21"/>
                <w:u w:val="single"/>
                <w:lang w:bidi="ar"/>
              </w:rPr>
              <w:t>-N</w:t>
            </w:r>
          </w:p>
        </w:tc>
        <w:tc>
          <w:tcPr>
            <w:tcW w:w="563" w:type="pct"/>
            <w:tcBorders>
              <w:tl2br w:val="nil"/>
              <w:tr2bl w:val="nil"/>
            </w:tcBorders>
            <w:shd w:val="clear" w:color="auto" w:fill="auto"/>
            <w:vAlign w:val="center"/>
          </w:tcPr>
          <w:p w14:paraId="7B01A4EC">
            <w:pPr>
              <w:pStyle w:val="182"/>
              <w:ind w:firstLine="0" w:firstLineChars="0"/>
              <w:rPr>
                <w:b/>
                <w:bCs w:val="0"/>
                <w:u w:val="single"/>
              </w:rPr>
            </w:pPr>
            <w:r>
              <w:rPr>
                <w:rFonts w:hint="eastAsia"/>
                <w:b/>
                <w:bCs w:val="0"/>
                <w:u w:val="single"/>
                <w:lang w:val="en-US" w:eastAsia="zh-CN"/>
              </w:rPr>
              <w:t>t/a</w:t>
            </w:r>
          </w:p>
        </w:tc>
        <w:tc>
          <w:tcPr>
            <w:tcW w:w="1701" w:type="dxa"/>
            <w:tcBorders>
              <w:tl2br w:val="nil"/>
              <w:tr2bl w:val="nil"/>
            </w:tcBorders>
            <w:shd w:val="clear" w:color="auto" w:fill="auto"/>
            <w:vAlign w:val="center"/>
          </w:tcPr>
          <w:p w14:paraId="6773B151">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28.4499</w:t>
            </w:r>
          </w:p>
        </w:tc>
        <w:tc>
          <w:tcPr>
            <w:tcW w:w="1701" w:type="dxa"/>
            <w:tcBorders>
              <w:tl2br w:val="nil"/>
              <w:tr2bl w:val="nil"/>
            </w:tcBorders>
            <w:shd w:val="clear" w:color="auto" w:fill="auto"/>
            <w:vAlign w:val="center"/>
          </w:tcPr>
          <w:p w14:paraId="7571FC22">
            <w:pPr>
              <w:pStyle w:val="182"/>
              <w:ind w:firstLine="0" w:firstLineChars="0"/>
              <w:rPr>
                <w:rFonts w:hint="eastAsia"/>
                <w:b/>
                <w:bCs w:val="0"/>
                <w:color w:val="auto"/>
                <w:highlight w:val="none"/>
                <w:u w:val="single"/>
                <w:lang w:val="en-US" w:eastAsia="zh-CN"/>
              </w:rPr>
            </w:pPr>
            <w:r>
              <w:rPr>
                <w:rFonts w:hint="eastAsia"/>
                <w:b/>
                <w:bCs w:val="0"/>
                <w:u w:val="single"/>
                <w:lang w:val="en-US" w:eastAsia="zh-CN"/>
              </w:rPr>
              <w:t>1.2045</w:t>
            </w:r>
          </w:p>
        </w:tc>
        <w:tc>
          <w:tcPr>
            <w:tcW w:w="1701" w:type="dxa"/>
            <w:tcBorders>
              <w:tl2br w:val="nil"/>
              <w:tr2bl w:val="nil"/>
            </w:tcBorders>
            <w:shd w:val="clear" w:color="auto" w:fill="auto"/>
            <w:vAlign w:val="center"/>
          </w:tcPr>
          <w:p w14:paraId="6CF0A4A7">
            <w:pPr>
              <w:pStyle w:val="182"/>
              <w:ind w:firstLine="0" w:firstLineChars="0"/>
              <w:rPr>
                <w:rFonts w:hint="eastAsia"/>
                <w:b/>
                <w:bCs w:val="0"/>
                <w:u w:val="single"/>
                <w:lang w:val="en-US" w:eastAsia="zh-CN"/>
              </w:rPr>
            </w:pPr>
            <w:r>
              <w:rPr>
                <w:rFonts w:hint="eastAsia"/>
                <w:b/>
                <w:bCs w:val="0"/>
                <w:u w:val="single"/>
                <w:lang w:val="en-US" w:eastAsia="zh-CN"/>
              </w:rPr>
              <w:t>29.6544</w:t>
            </w:r>
          </w:p>
        </w:tc>
      </w:tr>
      <w:tr w14:paraId="09D3B61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36933273">
            <w:pPr>
              <w:pStyle w:val="182"/>
              <w:rPr>
                <w:b/>
                <w:bCs w:val="0"/>
                <w:u w:val="single"/>
              </w:rPr>
            </w:pPr>
          </w:p>
        </w:tc>
        <w:tc>
          <w:tcPr>
            <w:tcW w:w="400" w:type="pct"/>
            <w:vMerge w:val="continue"/>
            <w:tcBorders>
              <w:tl2br w:val="nil"/>
              <w:tr2bl w:val="nil"/>
            </w:tcBorders>
            <w:shd w:val="clear" w:color="auto" w:fill="auto"/>
            <w:vAlign w:val="center"/>
          </w:tcPr>
          <w:p w14:paraId="6720090B">
            <w:pPr>
              <w:pStyle w:val="182"/>
              <w:rPr>
                <w:b/>
                <w:bCs w:val="0"/>
                <w:u w:val="single"/>
              </w:rPr>
            </w:pPr>
          </w:p>
        </w:tc>
        <w:tc>
          <w:tcPr>
            <w:tcW w:w="808" w:type="pct"/>
            <w:tcBorders>
              <w:tl2br w:val="nil"/>
              <w:tr2bl w:val="nil"/>
            </w:tcBorders>
            <w:shd w:val="clear" w:color="auto" w:fill="auto"/>
            <w:vAlign w:val="center"/>
          </w:tcPr>
          <w:p w14:paraId="4467ABFD">
            <w:pPr>
              <w:widowControl/>
              <w:spacing w:line="240" w:lineRule="auto"/>
              <w:ind w:firstLine="0" w:firstLineChars="0"/>
              <w:jc w:val="center"/>
              <w:textAlignment w:val="center"/>
              <w:rPr>
                <w:b/>
                <w:bCs w:val="0"/>
                <w:u w:val="single"/>
              </w:rPr>
            </w:pPr>
            <w:r>
              <w:rPr>
                <w:b/>
                <w:bCs w:val="0"/>
                <w:color w:val="000000"/>
                <w:kern w:val="0"/>
                <w:sz w:val="21"/>
                <w:szCs w:val="21"/>
                <w:u w:val="single"/>
                <w:lang w:bidi="ar"/>
              </w:rPr>
              <w:t>TN</w:t>
            </w:r>
          </w:p>
        </w:tc>
        <w:tc>
          <w:tcPr>
            <w:tcW w:w="563" w:type="pct"/>
            <w:tcBorders>
              <w:tl2br w:val="nil"/>
              <w:tr2bl w:val="nil"/>
            </w:tcBorders>
            <w:shd w:val="clear" w:color="auto" w:fill="auto"/>
            <w:vAlign w:val="center"/>
          </w:tcPr>
          <w:p w14:paraId="168F67DB">
            <w:pPr>
              <w:pStyle w:val="182"/>
              <w:ind w:firstLine="0" w:firstLineChars="0"/>
              <w:rPr>
                <w:b/>
                <w:bCs w:val="0"/>
                <w:u w:val="single"/>
              </w:rPr>
            </w:pPr>
            <w:r>
              <w:rPr>
                <w:rFonts w:hint="eastAsia"/>
                <w:b/>
                <w:bCs w:val="0"/>
                <w:u w:val="single"/>
                <w:lang w:val="en-US" w:eastAsia="zh-CN"/>
              </w:rPr>
              <w:t>t/a</w:t>
            </w:r>
          </w:p>
        </w:tc>
        <w:tc>
          <w:tcPr>
            <w:tcW w:w="1701" w:type="dxa"/>
            <w:tcBorders>
              <w:tl2br w:val="nil"/>
              <w:tr2bl w:val="nil"/>
            </w:tcBorders>
            <w:shd w:val="clear" w:color="auto" w:fill="auto"/>
            <w:vAlign w:val="center"/>
          </w:tcPr>
          <w:p w14:paraId="1CA40ED5">
            <w:pPr>
              <w:pStyle w:val="182"/>
              <w:ind w:firstLine="0" w:firstLineChars="0"/>
              <w:rPr>
                <w:rFonts w:hint="eastAsia"/>
                <w:b/>
                <w:bCs w:val="0"/>
                <w:color w:val="auto"/>
                <w:highlight w:val="none"/>
                <w:u w:val="single"/>
              </w:rPr>
            </w:pPr>
            <w:r>
              <w:rPr>
                <w:rFonts w:hint="eastAsia"/>
                <w:b/>
                <w:bCs w:val="0"/>
                <w:color w:val="auto"/>
                <w:highlight w:val="none"/>
                <w:u w:val="single"/>
              </w:rPr>
              <w:t>197.0529</w:t>
            </w:r>
          </w:p>
        </w:tc>
        <w:tc>
          <w:tcPr>
            <w:tcW w:w="1701" w:type="dxa"/>
            <w:tcBorders>
              <w:tl2br w:val="nil"/>
              <w:tr2bl w:val="nil"/>
            </w:tcBorders>
            <w:shd w:val="clear" w:color="auto" w:fill="auto"/>
            <w:vAlign w:val="center"/>
          </w:tcPr>
          <w:p w14:paraId="590DF8EA">
            <w:pPr>
              <w:pStyle w:val="182"/>
              <w:ind w:firstLine="0" w:firstLineChars="0"/>
              <w:rPr>
                <w:rFonts w:hint="eastAsia"/>
                <w:b/>
                <w:bCs w:val="0"/>
                <w:color w:val="auto"/>
                <w:highlight w:val="none"/>
                <w:u w:val="single"/>
                <w:lang w:val="en-US" w:eastAsia="zh-CN"/>
              </w:rPr>
            </w:pPr>
            <w:r>
              <w:rPr>
                <w:rFonts w:hint="eastAsia"/>
                <w:b/>
                <w:bCs w:val="0"/>
                <w:u w:val="single"/>
                <w:lang w:val="en-US" w:eastAsia="zh-CN"/>
              </w:rPr>
              <w:t>8.5255</w:t>
            </w:r>
          </w:p>
        </w:tc>
        <w:tc>
          <w:tcPr>
            <w:tcW w:w="1701" w:type="dxa"/>
            <w:tcBorders>
              <w:tl2br w:val="nil"/>
              <w:tr2bl w:val="nil"/>
            </w:tcBorders>
            <w:shd w:val="clear" w:color="auto" w:fill="auto"/>
            <w:vAlign w:val="center"/>
          </w:tcPr>
          <w:p w14:paraId="5F0D6ECA">
            <w:pPr>
              <w:pStyle w:val="182"/>
              <w:ind w:firstLine="0" w:firstLineChars="0"/>
              <w:rPr>
                <w:rFonts w:hint="eastAsia"/>
                <w:b/>
                <w:bCs w:val="0"/>
                <w:u w:val="single"/>
                <w:lang w:val="en-US" w:eastAsia="zh-CN"/>
              </w:rPr>
            </w:pPr>
            <w:r>
              <w:rPr>
                <w:rFonts w:hint="eastAsia"/>
                <w:b/>
                <w:bCs w:val="0"/>
                <w:u w:val="single"/>
                <w:lang w:val="en-US" w:eastAsia="zh-CN"/>
              </w:rPr>
              <w:t>205.5784</w:t>
            </w:r>
          </w:p>
        </w:tc>
      </w:tr>
      <w:tr w14:paraId="34C5BDC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200B4B6F">
            <w:pPr>
              <w:pStyle w:val="182"/>
              <w:rPr>
                <w:b/>
                <w:bCs w:val="0"/>
                <w:u w:val="single"/>
              </w:rPr>
            </w:pPr>
          </w:p>
        </w:tc>
        <w:tc>
          <w:tcPr>
            <w:tcW w:w="400" w:type="pct"/>
            <w:vMerge w:val="continue"/>
            <w:tcBorders>
              <w:tl2br w:val="nil"/>
              <w:tr2bl w:val="nil"/>
            </w:tcBorders>
            <w:shd w:val="clear" w:color="auto" w:fill="auto"/>
            <w:vAlign w:val="center"/>
          </w:tcPr>
          <w:p w14:paraId="30D41A9B">
            <w:pPr>
              <w:pStyle w:val="182"/>
              <w:rPr>
                <w:b/>
                <w:bCs w:val="0"/>
                <w:u w:val="single"/>
              </w:rPr>
            </w:pPr>
          </w:p>
        </w:tc>
        <w:tc>
          <w:tcPr>
            <w:tcW w:w="808" w:type="pct"/>
            <w:tcBorders>
              <w:tl2br w:val="nil"/>
              <w:tr2bl w:val="nil"/>
            </w:tcBorders>
            <w:shd w:val="clear" w:color="auto" w:fill="auto"/>
            <w:vAlign w:val="center"/>
          </w:tcPr>
          <w:p w14:paraId="474EA283">
            <w:pPr>
              <w:widowControl/>
              <w:spacing w:line="240" w:lineRule="auto"/>
              <w:ind w:firstLine="0" w:firstLineChars="0"/>
              <w:jc w:val="center"/>
              <w:textAlignment w:val="center"/>
              <w:rPr>
                <w:b/>
                <w:bCs w:val="0"/>
                <w:u w:val="single"/>
              </w:rPr>
            </w:pPr>
            <w:r>
              <w:rPr>
                <w:b/>
                <w:bCs w:val="0"/>
                <w:color w:val="000000"/>
                <w:kern w:val="0"/>
                <w:sz w:val="21"/>
                <w:szCs w:val="21"/>
                <w:u w:val="single"/>
                <w:lang w:bidi="ar"/>
              </w:rPr>
              <w:t>TP</w:t>
            </w:r>
          </w:p>
        </w:tc>
        <w:tc>
          <w:tcPr>
            <w:tcW w:w="563" w:type="pct"/>
            <w:tcBorders>
              <w:tl2br w:val="nil"/>
              <w:tr2bl w:val="nil"/>
            </w:tcBorders>
            <w:shd w:val="clear" w:color="auto" w:fill="auto"/>
            <w:vAlign w:val="center"/>
          </w:tcPr>
          <w:p w14:paraId="0BB510E3">
            <w:pPr>
              <w:pStyle w:val="182"/>
              <w:ind w:firstLine="0" w:firstLineChars="0"/>
              <w:rPr>
                <w:b/>
                <w:bCs w:val="0"/>
                <w:u w:val="single"/>
              </w:rPr>
            </w:pPr>
            <w:r>
              <w:rPr>
                <w:rFonts w:hint="eastAsia"/>
                <w:b/>
                <w:bCs w:val="0"/>
                <w:u w:val="single"/>
                <w:lang w:val="en-US" w:eastAsia="zh-CN"/>
              </w:rPr>
              <w:t>t/a</w:t>
            </w:r>
          </w:p>
        </w:tc>
        <w:tc>
          <w:tcPr>
            <w:tcW w:w="1701" w:type="dxa"/>
            <w:tcBorders>
              <w:tl2br w:val="nil"/>
              <w:tr2bl w:val="nil"/>
            </w:tcBorders>
            <w:shd w:val="clear" w:color="auto" w:fill="auto"/>
            <w:vAlign w:val="center"/>
          </w:tcPr>
          <w:p w14:paraId="2534D4A2">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1.0851</w:t>
            </w:r>
          </w:p>
        </w:tc>
        <w:tc>
          <w:tcPr>
            <w:tcW w:w="1701" w:type="dxa"/>
            <w:tcBorders>
              <w:tl2br w:val="nil"/>
              <w:tr2bl w:val="nil"/>
            </w:tcBorders>
            <w:shd w:val="clear" w:color="auto" w:fill="auto"/>
            <w:vAlign w:val="center"/>
          </w:tcPr>
          <w:p w14:paraId="1A83F777">
            <w:pPr>
              <w:pStyle w:val="182"/>
              <w:ind w:firstLine="0" w:firstLineChars="0"/>
              <w:rPr>
                <w:rFonts w:hint="eastAsia"/>
                <w:b/>
                <w:bCs w:val="0"/>
                <w:color w:val="auto"/>
                <w:highlight w:val="none"/>
                <w:u w:val="single"/>
                <w:lang w:val="en-US" w:eastAsia="zh-CN"/>
              </w:rPr>
            </w:pPr>
            <w:r>
              <w:rPr>
                <w:rFonts w:hint="eastAsia"/>
                <w:b/>
                <w:bCs w:val="0"/>
                <w:u w:val="single"/>
                <w:lang w:val="en-US" w:eastAsia="zh-CN"/>
              </w:rPr>
              <w:t>0.0485</w:t>
            </w:r>
          </w:p>
        </w:tc>
        <w:tc>
          <w:tcPr>
            <w:tcW w:w="1701" w:type="dxa"/>
            <w:tcBorders>
              <w:tl2br w:val="nil"/>
              <w:tr2bl w:val="nil"/>
            </w:tcBorders>
            <w:shd w:val="clear" w:color="auto" w:fill="auto"/>
            <w:vAlign w:val="center"/>
          </w:tcPr>
          <w:p w14:paraId="77F17439">
            <w:pPr>
              <w:pStyle w:val="182"/>
              <w:ind w:firstLine="0" w:firstLineChars="0"/>
              <w:rPr>
                <w:rFonts w:hint="eastAsia"/>
                <w:b/>
                <w:bCs w:val="0"/>
                <w:u w:val="single"/>
                <w:lang w:val="en-US" w:eastAsia="zh-CN"/>
              </w:rPr>
            </w:pPr>
            <w:r>
              <w:rPr>
                <w:rFonts w:hint="eastAsia"/>
                <w:b/>
                <w:bCs w:val="0"/>
                <w:u w:val="single"/>
                <w:lang w:val="en-US" w:eastAsia="zh-CN"/>
              </w:rPr>
              <w:t>1.1336</w:t>
            </w:r>
          </w:p>
        </w:tc>
      </w:tr>
      <w:tr w14:paraId="013ECC7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71E805B3">
            <w:pPr>
              <w:pStyle w:val="182"/>
              <w:rPr>
                <w:b/>
                <w:bCs w:val="0"/>
                <w:u w:val="single"/>
              </w:rPr>
            </w:pPr>
          </w:p>
        </w:tc>
        <w:tc>
          <w:tcPr>
            <w:tcW w:w="400" w:type="pct"/>
            <w:vMerge w:val="continue"/>
            <w:tcBorders>
              <w:tl2br w:val="nil"/>
              <w:tr2bl w:val="nil"/>
            </w:tcBorders>
            <w:shd w:val="clear" w:color="auto" w:fill="auto"/>
            <w:vAlign w:val="center"/>
          </w:tcPr>
          <w:p w14:paraId="536FD1AD">
            <w:pPr>
              <w:pStyle w:val="182"/>
              <w:rPr>
                <w:b/>
                <w:bCs w:val="0"/>
                <w:u w:val="single"/>
              </w:rPr>
            </w:pPr>
          </w:p>
        </w:tc>
        <w:tc>
          <w:tcPr>
            <w:tcW w:w="808" w:type="pct"/>
            <w:tcBorders>
              <w:tl2br w:val="nil"/>
              <w:tr2bl w:val="nil"/>
            </w:tcBorders>
            <w:shd w:val="clear" w:color="auto" w:fill="auto"/>
            <w:vAlign w:val="center"/>
          </w:tcPr>
          <w:p w14:paraId="0BA1D1AF">
            <w:pPr>
              <w:pStyle w:val="182"/>
              <w:ind w:firstLine="0" w:firstLineChars="0"/>
              <w:rPr>
                <w:b/>
                <w:bCs w:val="0"/>
                <w:color w:val="000000"/>
                <w:kern w:val="0"/>
                <w:sz w:val="21"/>
                <w:szCs w:val="21"/>
                <w:u w:val="single"/>
                <w:lang w:bidi="ar"/>
              </w:rPr>
            </w:pPr>
            <w:r>
              <w:rPr>
                <w:rFonts w:hint="eastAsia"/>
                <w:b/>
                <w:bCs w:val="0"/>
                <w:color w:val="auto"/>
                <w:u w:val="single"/>
              </w:rPr>
              <w:t>锌</w:t>
            </w:r>
          </w:p>
        </w:tc>
        <w:tc>
          <w:tcPr>
            <w:tcW w:w="563" w:type="pct"/>
            <w:tcBorders>
              <w:tl2br w:val="nil"/>
              <w:tr2bl w:val="nil"/>
            </w:tcBorders>
            <w:shd w:val="clear" w:color="auto" w:fill="auto"/>
            <w:vAlign w:val="center"/>
          </w:tcPr>
          <w:p w14:paraId="5D95454A">
            <w:pPr>
              <w:pStyle w:val="182"/>
              <w:ind w:firstLine="0" w:firstLineChars="0"/>
              <w:rPr>
                <w:rFonts w:hint="eastAsia"/>
                <w:b/>
                <w:bCs w:val="0"/>
                <w:u w:val="single"/>
                <w:lang w:val="en-US" w:eastAsia="zh-CN"/>
              </w:rPr>
            </w:pPr>
            <w:r>
              <w:rPr>
                <w:rFonts w:hint="eastAsia"/>
                <w:b/>
                <w:bCs w:val="0"/>
                <w:u w:val="single"/>
                <w:lang w:val="en-US" w:eastAsia="zh-CN"/>
              </w:rPr>
              <w:t>t/a</w:t>
            </w:r>
          </w:p>
        </w:tc>
        <w:tc>
          <w:tcPr>
            <w:tcW w:w="1701" w:type="dxa"/>
            <w:tcBorders>
              <w:tl2br w:val="nil"/>
              <w:tr2bl w:val="nil"/>
            </w:tcBorders>
            <w:shd w:val="clear" w:color="auto" w:fill="auto"/>
            <w:vAlign w:val="center"/>
          </w:tcPr>
          <w:p w14:paraId="6B2AD5E5">
            <w:pPr>
              <w:pStyle w:val="182"/>
              <w:ind w:firstLine="0" w:firstLineChars="0"/>
              <w:rPr>
                <w:rFonts w:hint="eastAsia"/>
                <w:b/>
                <w:bCs w:val="0"/>
                <w:color w:val="auto"/>
                <w:highlight w:val="none"/>
                <w:u w:val="single"/>
                <w:lang w:val="en-US" w:eastAsia="zh-CN"/>
              </w:rPr>
            </w:pPr>
            <w:r>
              <w:rPr>
                <w:rFonts w:hint="eastAsia"/>
                <w:b/>
                <w:bCs w:val="0"/>
                <w:color w:val="auto"/>
                <w:highlight w:val="none"/>
                <w:u w:val="single"/>
                <w:lang w:val="en-US" w:eastAsia="zh-CN"/>
              </w:rPr>
              <w:t>18.3505</w:t>
            </w:r>
          </w:p>
        </w:tc>
        <w:tc>
          <w:tcPr>
            <w:tcW w:w="1701" w:type="dxa"/>
            <w:tcBorders>
              <w:tl2br w:val="nil"/>
              <w:tr2bl w:val="nil"/>
            </w:tcBorders>
            <w:shd w:val="clear" w:color="auto" w:fill="auto"/>
            <w:vAlign w:val="center"/>
          </w:tcPr>
          <w:p w14:paraId="44D01E4F">
            <w:pPr>
              <w:pStyle w:val="182"/>
              <w:ind w:firstLine="0" w:firstLineChars="0"/>
              <w:rPr>
                <w:rFonts w:hint="default"/>
                <w:b/>
                <w:bCs w:val="0"/>
                <w:color w:val="auto"/>
                <w:highlight w:val="none"/>
                <w:u w:val="single"/>
                <w:lang w:val="en-US" w:eastAsia="zh-CN"/>
              </w:rPr>
            </w:pPr>
            <w:r>
              <w:rPr>
                <w:rFonts w:hint="eastAsia"/>
                <w:b/>
                <w:bCs w:val="0"/>
                <w:color w:val="auto"/>
                <w:highlight w:val="none"/>
                <w:u w:val="single"/>
                <w:lang w:val="en-US" w:eastAsia="zh-CN"/>
              </w:rPr>
              <w:t>0</w:t>
            </w:r>
          </w:p>
        </w:tc>
        <w:tc>
          <w:tcPr>
            <w:tcW w:w="1701" w:type="dxa"/>
            <w:tcBorders>
              <w:tl2br w:val="nil"/>
              <w:tr2bl w:val="nil"/>
            </w:tcBorders>
            <w:shd w:val="clear" w:color="auto" w:fill="auto"/>
            <w:vAlign w:val="center"/>
          </w:tcPr>
          <w:p w14:paraId="018F7FDC">
            <w:pPr>
              <w:pStyle w:val="182"/>
              <w:ind w:firstLine="0" w:firstLineChars="0"/>
              <w:rPr>
                <w:rFonts w:hint="eastAsia"/>
                <w:b/>
                <w:bCs w:val="0"/>
                <w:color w:val="auto"/>
                <w:highlight w:val="none"/>
                <w:u w:val="single"/>
                <w:lang w:val="en-US" w:eastAsia="zh-CN"/>
              </w:rPr>
            </w:pPr>
            <w:r>
              <w:rPr>
                <w:rFonts w:hint="eastAsia"/>
                <w:b/>
                <w:bCs w:val="0"/>
                <w:color w:val="auto"/>
                <w:highlight w:val="none"/>
                <w:u w:val="single"/>
                <w:lang w:val="en-US" w:eastAsia="zh-CN"/>
              </w:rPr>
              <w:t>18.3505</w:t>
            </w:r>
          </w:p>
        </w:tc>
      </w:tr>
      <w:tr w14:paraId="10E3C43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58E58008">
            <w:pPr>
              <w:pStyle w:val="182"/>
              <w:rPr>
                <w:b/>
                <w:bCs w:val="0"/>
                <w:u w:val="single"/>
              </w:rPr>
            </w:pPr>
          </w:p>
        </w:tc>
        <w:tc>
          <w:tcPr>
            <w:tcW w:w="400" w:type="pct"/>
            <w:vMerge w:val="continue"/>
            <w:tcBorders>
              <w:tl2br w:val="nil"/>
              <w:tr2bl w:val="nil"/>
            </w:tcBorders>
            <w:shd w:val="clear" w:color="auto" w:fill="auto"/>
            <w:vAlign w:val="center"/>
          </w:tcPr>
          <w:p w14:paraId="3BC58558">
            <w:pPr>
              <w:pStyle w:val="182"/>
              <w:rPr>
                <w:b/>
                <w:bCs w:val="0"/>
                <w:u w:val="single"/>
              </w:rPr>
            </w:pPr>
          </w:p>
        </w:tc>
        <w:tc>
          <w:tcPr>
            <w:tcW w:w="808" w:type="pct"/>
            <w:tcBorders>
              <w:tl2br w:val="nil"/>
              <w:tr2bl w:val="nil"/>
            </w:tcBorders>
            <w:shd w:val="clear" w:color="auto" w:fill="auto"/>
            <w:vAlign w:val="center"/>
          </w:tcPr>
          <w:p w14:paraId="476B0F2D">
            <w:pPr>
              <w:pStyle w:val="182"/>
              <w:ind w:firstLine="0" w:firstLineChars="0"/>
              <w:rPr>
                <w:b/>
                <w:bCs w:val="0"/>
                <w:color w:val="000000"/>
                <w:kern w:val="0"/>
                <w:sz w:val="21"/>
                <w:szCs w:val="21"/>
                <w:u w:val="single"/>
                <w:lang w:bidi="ar"/>
              </w:rPr>
            </w:pPr>
            <w:r>
              <w:rPr>
                <w:rFonts w:hint="eastAsia"/>
                <w:b/>
                <w:bCs w:val="0"/>
                <w:color w:val="auto"/>
                <w:u w:val="single"/>
              </w:rPr>
              <w:t>硫化物</w:t>
            </w:r>
          </w:p>
        </w:tc>
        <w:tc>
          <w:tcPr>
            <w:tcW w:w="563" w:type="pct"/>
            <w:tcBorders>
              <w:tl2br w:val="nil"/>
              <w:tr2bl w:val="nil"/>
            </w:tcBorders>
            <w:shd w:val="clear" w:color="auto" w:fill="auto"/>
            <w:vAlign w:val="center"/>
          </w:tcPr>
          <w:p w14:paraId="08C34E14">
            <w:pPr>
              <w:pStyle w:val="182"/>
              <w:ind w:firstLine="0" w:firstLineChars="0"/>
              <w:rPr>
                <w:rFonts w:hint="eastAsia"/>
                <w:b/>
                <w:bCs w:val="0"/>
                <w:u w:val="single"/>
                <w:lang w:val="en-US" w:eastAsia="zh-CN"/>
              </w:rPr>
            </w:pPr>
            <w:r>
              <w:rPr>
                <w:rFonts w:hint="eastAsia"/>
                <w:b/>
                <w:bCs w:val="0"/>
                <w:u w:val="single"/>
                <w:lang w:val="en-US" w:eastAsia="zh-CN"/>
              </w:rPr>
              <w:t>t/a</w:t>
            </w:r>
          </w:p>
        </w:tc>
        <w:tc>
          <w:tcPr>
            <w:tcW w:w="1701" w:type="dxa"/>
            <w:tcBorders>
              <w:tl2br w:val="nil"/>
              <w:tr2bl w:val="nil"/>
            </w:tcBorders>
            <w:shd w:val="clear" w:color="auto" w:fill="auto"/>
            <w:vAlign w:val="center"/>
          </w:tcPr>
          <w:p w14:paraId="70FB4DAF">
            <w:pPr>
              <w:pStyle w:val="182"/>
              <w:ind w:firstLine="0" w:firstLineChars="0"/>
              <w:rPr>
                <w:rFonts w:hint="eastAsia"/>
                <w:b/>
                <w:bCs w:val="0"/>
                <w:color w:val="auto"/>
                <w:highlight w:val="none"/>
                <w:u w:val="single"/>
                <w:lang w:val="en-US" w:eastAsia="zh-CN"/>
              </w:rPr>
            </w:pPr>
            <w:r>
              <w:rPr>
                <w:rFonts w:hint="eastAsia"/>
                <w:b/>
                <w:bCs w:val="0"/>
                <w:color w:val="auto"/>
                <w:highlight w:val="none"/>
                <w:u w:val="single"/>
                <w:lang w:val="en-US" w:eastAsia="zh-CN"/>
              </w:rPr>
              <w:t>6.1057</w:t>
            </w:r>
          </w:p>
        </w:tc>
        <w:tc>
          <w:tcPr>
            <w:tcW w:w="1701" w:type="dxa"/>
            <w:tcBorders>
              <w:tl2br w:val="nil"/>
              <w:tr2bl w:val="nil"/>
            </w:tcBorders>
            <w:shd w:val="clear" w:color="auto" w:fill="auto"/>
            <w:vAlign w:val="center"/>
          </w:tcPr>
          <w:p w14:paraId="20242A89">
            <w:pPr>
              <w:pStyle w:val="182"/>
              <w:ind w:firstLine="0" w:firstLineChars="0"/>
              <w:rPr>
                <w:rFonts w:hint="default"/>
                <w:b/>
                <w:bCs w:val="0"/>
                <w:color w:val="auto"/>
                <w:highlight w:val="none"/>
                <w:u w:val="single"/>
                <w:lang w:val="en-US" w:eastAsia="zh-CN"/>
              </w:rPr>
            </w:pPr>
            <w:r>
              <w:rPr>
                <w:rFonts w:hint="eastAsia"/>
                <w:b/>
                <w:bCs w:val="0"/>
                <w:color w:val="auto"/>
                <w:highlight w:val="none"/>
                <w:u w:val="single"/>
                <w:lang w:val="en-US" w:eastAsia="zh-CN"/>
              </w:rPr>
              <w:t>0</w:t>
            </w:r>
          </w:p>
        </w:tc>
        <w:tc>
          <w:tcPr>
            <w:tcW w:w="1701" w:type="dxa"/>
            <w:tcBorders>
              <w:tl2br w:val="nil"/>
              <w:tr2bl w:val="nil"/>
            </w:tcBorders>
            <w:shd w:val="clear" w:color="auto" w:fill="auto"/>
            <w:vAlign w:val="center"/>
          </w:tcPr>
          <w:p w14:paraId="7AD32520">
            <w:pPr>
              <w:pStyle w:val="182"/>
              <w:ind w:firstLine="0" w:firstLineChars="0"/>
              <w:rPr>
                <w:rFonts w:hint="eastAsia"/>
                <w:b/>
                <w:bCs w:val="0"/>
                <w:color w:val="auto"/>
                <w:highlight w:val="none"/>
                <w:u w:val="single"/>
                <w:lang w:val="en-US" w:eastAsia="zh-CN"/>
              </w:rPr>
            </w:pPr>
            <w:r>
              <w:rPr>
                <w:rFonts w:hint="eastAsia"/>
                <w:b/>
                <w:bCs w:val="0"/>
                <w:color w:val="auto"/>
                <w:highlight w:val="none"/>
                <w:u w:val="single"/>
                <w:lang w:val="en-US" w:eastAsia="zh-CN"/>
              </w:rPr>
              <w:t>6.1057</w:t>
            </w:r>
          </w:p>
        </w:tc>
      </w:tr>
      <w:tr w14:paraId="441FAF9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5C867722">
            <w:pPr>
              <w:pStyle w:val="182"/>
              <w:rPr>
                <w:b/>
                <w:bCs w:val="0"/>
                <w:u w:val="single"/>
              </w:rPr>
            </w:pPr>
          </w:p>
        </w:tc>
        <w:tc>
          <w:tcPr>
            <w:tcW w:w="400" w:type="pct"/>
            <w:vMerge w:val="continue"/>
            <w:tcBorders>
              <w:tl2br w:val="nil"/>
              <w:tr2bl w:val="nil"/>
            </w:tcBorders>
            <w:shd w:val="clear" w:color="auto" w:fill="auto"/>
            <w:vAlign w:val="center"/>
          </w:tcPr>
          <w:p w14:paraId="21058D89">
            <w:pPr>
              <w:pStyle w:val="182"/>
              <w:rPr>
                <w:b/>
                <w:bCs w:val="0"/>
                <w:u w:val="single"/>
              </w:rPr>
            </w:pPr>
          </w:p>
        </w:tc>
        <w:tc>
          <w:tcPr>
            <w:tcW w:w="808" w:type="pct"/>
            <w:tcBorders>
              <w:tl2br w:val="nil"/>
              <w:tr2bl w:val="nil"/>
            </w:tcBorders>
            <w:shd w:val="clear" w:color="auto" w:fill="auto"/>
            <w:vAlign w:val="center"/>
          </w:tcPr>
          <w:p w14:paraId="3A716F09">
            <w:pPr>
              <w:pStyle w:val="182"/>
              <w:ind w:firstLine="0" w:firstLineChars="0"/>
              <w:rPr>
                <w:b/>
                <w:bCs w:val="0"/>
                <w:color w:val="000000"/>
                <w:kern w:val="0"/>
                <w:sz w:val="21"/>
                <w:szCs w:val="21"/>
                <w:u w:val="single"/>
                <w:lang w:bidi="ar"/>
              </w:rPr>
            </w:pPr>
            <w:r>
              <w:rPr>
                <w:rFonts w:hint="eastAsia"/>
                <w:b/>
                <w:bCs w:val="0"/>
                <w:color w:val="auto"/>
                <w:u w:val="single"/>
                <w:lang w:val="en-US" w:eastAsia="zh-CN"/>
              </w:rPr>
              <w:t>水量</w:t>
            </w:r>
          </w:p>
        </w:tc>
        <w:tc>
          <w:tcPr>
            <w:tcW w:w="563" w:type="pct"/>
            <w:tcBorders>
              <w:tl2br w:val="nil"/>
              <w:tr2bl w:val="nil"/>
            </w:tcBorders>
            <w:shd w:val="clear" w:color="auto" w:fill="auto"/>
            <w:vAlign w:val="center"/>
          </w:tcPr>
          <w:p w14:paraId="70CCFF27">
            <w:pPr>
              <w:pStyle w:val="182"/>
              <w:ind w:firstLine="0" w:firstLineChars="0"/>
              <w:rPr>
                <w:b/>
                <w:bCs w:val="0"/>
                <w:u w:val="single"/>
              </w:rPr>
            </w:pPr>
            <w:r>
              <w:rPr>
                <w:rFonts w:hint="eastAsia"/>
                <w:b/>
                <w:bCs w:val="0"/>
                <w:u w:val="single"/>
                <w:lang w:val="en-US" w:eastAsia="zh-CN"/>
              </w:rPr>
              <w:t>（万t/a）</w:t>
            </w:r>
          </w:p>
        </w:tc>
        <w:tc>
          <w:tcPr>
            <w:tcW w:w="1701" w:type="dxa"/>
            <w:tcBorders>
              <w:tl2br w:val="nil"/>
              <w:tr2bl w:val="nil"/>
            </w:tcBorders>
            <w:shd w:val="clear" w:color="auto" w:fill="auto"/>
            <w:vAlign w:val="center"/>
          </w:tcPr>
          <w:p w14:paraId="3249A691">
            <w:pPr>
              <w:pStyle w:val="182"/>
              <w:ind w:firstLine="0" w:firstLineChars="0"/>
              <w:rPr>
                <w:rFonts w:hint="eastAsia"/>
                <w:b/>
                <w:bCs w:val="0"/>
                <w:color w:val="auto"/>
                <w:highlight w:val="none"/>
                <w:u w:val="single"/>
                <w:lang w:val="en-US" w:eastAsia="zh-CN"/>
              </w:rPr>
            </w:pPr>
            <w:r>
              <w:rPr>
                <w:rFonts w:hint="eastAsia"/>
                <w:b/>
                <w:bCs w:val="0"/>
                <w:color w:val="auto"/>
                <w:highlight w:val="none"/>
                <w:u w:val="single"/>
              </w:rPr>
              <w:t>1112.1489</w:t>
            </w:r>
          </w:p>
        </w:tc>
        <w:tc>
          <w:tcPr>
            <w:tcW w:w="1701" w:type="dxa"/>
            <w:tcBorders>
              <w:tl2br w:val="nil"/>
              <w:tr2bl w:val="nil"/>
            </w:tcBorders>
            <w:shd w:val="clear" w:color="auto" w:fill="auto"/>
            <w:vAlign w:val="center"/>
          </w:tcPr>
          <w:p w14:paraId="102E6D30">
            <w:pPr>
              <w:pStyle w:val="182"/>
              <w:ind w:firstLine="0" w:firstLineChars="0"/>
              <w:rPr>
                <w:rFonts w:hint="default"/>
                <w:b/>
                <w:bCs w:val="0"/>
                <w:color w:val="auto"/>
                <w:highlight w:val="none"/>
                <w:u w:val="single"/>
                <w:lang w:val="en-US" w:eastAsia="zh-CN"/>
              </w:rPr>
            </w:pPr>
            <w:r>
              <w:rPr>
                <w:rFonts w:hint="eastAsia"/>
                <w:b/>
                <w:bCs w:val="0"/>
                <w:color w:val="auto"/>
                <w:highlight w:val="none"/>
                <w:u w:val="single"/>
                <w:lang w:val="en-US" w:eastAsia="zh-CN"/>
              </w:rPr>
              <w:t>48.1377</w:t>
            </w:r>
          </w:p>
        </w:tc>
        <w:tc>
          <w:tcPr>
            <w:tcW w:w="1701" w:type="dxa"/>
            <w:tcBorders>
              <w:tl2br w:val="nil"/>
              <w:tr2bl w:val="nil"/>
            </w:tcBorders>
            <w:shd w:val="clear" w:color="auto" w:fill="auto"/>
            <w:vAlign w:val="center"/>
          </w:tcPr>
          <w:p w14:paraId="0114F9A5">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1160.2866</w:t>
            </w:r>
          </w:p>
        </w:tc>
      </w:tr>
      <w:tr w14:paraId="07F3493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restart"/>
            <w:tcBorders>
              <w:tl2br w:val="nil"/>
              <w:tr2bl w:val="nil"/>
            </w:tcBorders>
            <w:shd w:val="clear" w:color="auto" w:fill="auto"/>
            <w:vAlign w:val="center"/>
          </w:tcPr>
          <w:p w14:paraId="7D7AD723">
            <w:pPr>
              <w:pStyle w:val="182"/>
              <w:rPr>
                <w:b/>
                <w:bCs w:val="0"/>
                <w:u w:val="single"/>
              </w:rPr>
            </w:pPr>
            <w:r>
              <w:rPr>
                <w:rFonts w:hint="eastAsia"/>
                <w:b/>
                <w:bCs w:val="0"/>
                <w:u w:val="single"/>
              </w:rPr>
              <w:t>废气</w:t>
            </w:r>
          </w:p>
        </w:tc>
        <w:tc>
          <w:tcPr>
            <w:tcW w:w="400" w:type="pct"/>
            <w:vMerge w:val="restart"/>
            <w:tcBorders>
              <w:tl2br w:val="nil"/>
              <w:tr2bl w:val="nil"/>
            </w:tcBorders>
            <w:shd w:val="clear" w:color="auto" w:fill="auto"/>
            <w:vAlign w:val="center"/>
          </w:tcPr>
          <w:p w14:paraId="3B656E3C">
            <w:pPr>
              <w:pStyle w:val="182"/>
              <w:rPr>
                <w:b/>
                <w:bCs w:val="0"/>
                <w:u w:val="single"/>
              </w:rPr>
            </w:pPr>
            <w:r>
              <w:rPr>
                <w:rFonts w:hint="eastAsia"/>
                <w:b/>
                <w:bCs w:val="0"/>
                <w:u w:val="single"/>
              </w:rPr>
              <w:t>有组织废气</w:t>
            </w:r>
          </w:p>
        </w:tc>
        <w:tc>
          <w:tcPr>
            <w:tcW w:w="808" w:type="pct"/>
            <w:tcBorders>
              <w:tl2br w:val="nil"/>
              <w:tr2bl w:val="nil"/>
            </w:tcBorders>
            <w:shd w:val="clear" w:color="auto" w:fill="auto"/>
            <w:vAlign w:val="center"/>
          </w:tcPr>
          <w:p w14:paraId="60C986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b/>
                <w:bCs w:val="0"/>
                <w:u w:val="single"/>
              </w:rPr>
              <w:t>颗粒物</w:t>
            </w:r>
          </w:p>
        </w:tc>
        <w:tc>
          <w:tcPr>
            <w:tcW w:w="563" w:type="pct"/>
            <w:tcBorders>
              <w:tl2br w:val="nil"/>
              <w:tr2bl w:val="nil"/>
            </w:tcBorders>
            <w:shd w:val="clear" w:color="auto" w:fill="auto"/>
            <w:vAlign w:val="center"/>
          </w:tcPr>
          <w:p w14:paraId="06F30E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b/>
                <w:bCs w:val="0"/>
                <w:u w:val="single"/>
              </w:rPr>
              <w:t>t/a</w:t>
            </w:r>
          </w:p>
        </w:tc>
        <w:tc>
          <w:tcPr>
            <w:tcW w:w="1701" w:type="dxa"/>
            <w:tcBorders>
              <w:tl2br w:val="nil"/>
              <w:tr2bl w:val="nil"/>
            </w:tcBorders>
            <w:shd w:val="clear" w:color="auto" w:fill="auto"/>
            <w:vAlign w:val="center"/>
          </w:tcPr>
          <w:p w14:paraId="0A9C1DBF">
            <w:pPr>
              <w:pStyle w:val="182"/>
              <w:ind w:firstLine="0" w:firstLineChars="0"/>
              <w:rPr>
                <w:rFonts w:hint="eastAsia"/>
                <w:b/>
                <w:bCs w:val="0"/>
                <w:color w:val="auto"/>
                <w:highlight w:val="none"/>
                <w:u w:val="single"/>
              </w:rPr>
            </w:pPr>
            <w:r>
              <w:rPr>
                <w:rFonts w:hint="eastAsia"/>
                <w:b/>
                <w:bCs w:val="0"/>
                <w:color w:val="auto"/>
                <w:highlight w:val="none"/>
                <w:u w:val="single"/>
              </w:rPr>
              <w:t>10.589</w:t>
            </w:r>
          </w:p>
        </w:tc>
        <w:tc>
          <w:tcPr>
            <w:tcW w:w="1701" w:type="dxa"/>
            <w:tcBorders>
              <w:tl2br w:val="nil"/>
              <w:tr2bl w:val="nil"/>
            </w:tcBorders>
            <w:shd w:val="clear" w:color="auto" w:fill="auto"/>
            <w:vAlign w:val="center"/>
          </w:tcPr>
          <w:p w14:paraId="4A57DD77">
            <w:pPr>
              <w:pStyle w:val="182"/>
              <w:ind w:firstLine="0" w:firstLineChars="0"/>
              <w:rPr>
                <w:rFonts w:hint="default"/>
                <w:b/>
                <w:bCs w:val="0"/>
                <w:color w:val="auto"/>
                <w:highlight w:val="none"/>
                <w:u w:val="single"/>
                <w:lang w:val="en-US"/>
              </w:rPr>
            </w:pPr>
            <w:r>
              <w:rPr>
                <w:rFonts w:hint="eastAsia"/>
                <w:b/>
                <w:bCs w:val="0"/>
                <w:color w:val="auto"/>
                <w:highlight w:val="none"/>
                <w:u w:val="single"/>
                <w:lang w:val="en-US" w:eastAsia="zh-CN"/>
              </w:rPr>
              <w:t>29.6882</w:t>
            </w:r>
          </w:p>
        </w:tc>
        <w:tc>
          <w:tcPr>
            <w:tcW w:w="1701" w:type="dxa"/>
            <w:tcBorders>
              <w:tl2br w:val="nil"/>
              <w:tr2bl w:val="nil"/>
            </w:tcBorders>
            <w:shd w:val="clear" w:color="auto" w:fill="auto"/>
            <w:vAlign w:val="center"/>
          </w:tcPr>
          <w:p w14:paraId="25A98300">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40.2772</w:t>
            </w:r>
          </w:p>
        </w:tc>
      </w:tr>
      <w:tr w14:paraId="5ECB242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28C80E77">
            <w:pPr>
              <w:pStyle w:val="182"/>
              <w:rPr>
                <w:b/>
                <w:bCs w:val="0"/>
                <w:u w:val="single"/>
              </w:rPr>
            </w:pPr>
          </w:p>
        </w:tc>
        <w:tc>
          <w:tcPr>
            <w:tcW w:w="400" w:type="pct"/>
            <w:vMerge w:val="continue"/>
            <w:tcBorders>
              <w:tl2br w:val="nil"/>
              <w:tr2bl w:val="nil"/>
            </w:tcBorders>
            <w:shd w:val="clear" w:color="auto" w:fill="auto"/>
            <w:vAlign w:val="center"/>
          </w:tcPr>
          <w:p w14:paraId="675ED245">
            <w:pPr>
              <w:pStyle w:val="182"/>
              <w:rPr>
                <w:b/>
                <w:bCs w:val="0"/>
                <w:u w:val="single"/>
              </w:rPr>
            </w:pPr>
          </w:p>
        </w:tc>
        <w:tc>
          <w:tcPr>
            <w:tcW w:w="808" w:type="pct"/>
            <w:tcBorders>
              <w:tl2br w:val="nil"/>
              <w:tr2bl w:val="nil"/>
            </w:tcBorders>
            <w:shd w:val="clear" w:color="auto" w:fill="auto"/>
            <w:vAlign w:val="center"/>
          </w:tcPr>
          <w:p w14:paraId="123992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b/>
                <w:bCs w:val="0"/>
                <w:u w:val="single"/>
              </w:rPr>
              <w:t>SO</w:t>
            </w:r>
            <w:r>
              <w:rPr>
                <w:b/>
                <w:bCs w:val="0"/>
                <w:u w:val="single"/>
                <w:vertAlign w:val="subscript"/>
              </w:rPr>
              <w:t>2</w:t>
            </w:r>
          </w:p>
        </w:tc>
        <w:tc>
          <w:tcPr>
            <w:tcW w:w="563" w:type="pct"/>
            <w:tcBorders>
              <w:tl2br w:val="nil"/>
              <w:tr2bl w:val="nil"/>
            </w:tcBorders>
            <w:shd w:val="clear" w:color="auto" w:fill="auto"/>
            <w:noWrap/>
            <w:vAlign w:val="center"/>
          </w:tcPr>
          <w:p w14:paraId="3B5313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b/>
                <w:bCs w:val="0"/>
                <w:u w:val="single"/>
              </w:rPr>
              <w:t>t/a</w:t>
            </w:r>
          </w:p>
        </w:tc>
        <w:tc>
          <w:tcPr>
            <w:tcW w:w="1701" w:type="dxa"/>
            <w:tcBorders>
              <w:tl2br w:val="nil"/>
              <w:tr2bl w:val="nil"/>
            </w:tcBorders>
            <w:shd w:val="clear" w:color="auto" w:fill="auto"/>
            <w:noWrap/>
            <w:vAlign w:val="center"/>
          </w:tcPr>
          <w:p w14:paraId="3C6F2D25">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70.37</w:t>
            </w:r>
          </w:p>
        </w:tc>
        <w:tc>
          <w:tcPr>
            <w:tcW w:w="1701" w:type="dxa"/>
            <w:tcBorders>
              <w:tl2br w:val="nil"/>
              <w:tr2bl w:val="nil"/>
            </w:tcBorders>
            <w:shd w:val="clear" w:color="auto" w:fill="auto"/>
            <w:vAlign w:val="center"/>
          </w:tcPr>
          <w:p w14:paraId="04AE093E">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93.5161</w:t>
            </w:r>
          </w:p>
        </w:tc>
        <w:tc>
          <w:tcPr>
            <w:tcW w:w="1701" w:type="dxa"/>
            <w:tcBorders>
              <w:tl2br w:val="nil"/>
              <w:tr2bl w:val="nil"/>
            </w:tcBorders>
            <w:shd w:val="clear" w:color="auto" w:fill="auto"/>
            <w:vAlign w:val="center"/>
          </w:tcPr>
          <w:p w14:paraId="60DCEE48">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163.8861</w:t>
            </w:r>
          </w:p>
        </w:tc>
      </w:tr>
      <w:tr w14:paraId="2FED202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27D10DE3">
            <w:pPr>
              <w:pStyle w:val="182"/>
              <w:rPr>
                <w:b/>
                <w:bCs w:val="0"/>
                <w:u w:val="single"/>
              </w:rPr>
            </w:pPr>
          </w:p>
        </w:tc>
        <w:tc>
          <w:tcPr>
            <w:tcW w:w="400" w:type="pct"/>
            <w:vMerge w:val="continue"/>
            <w:tcBorders>
              <w:tl2br w:val="nil"/>
              <w:tr2bl w:val="nil"/>
            </w:tcBorders>
            <w:shd w:val="clear" w:color="auto" w:fill="auto"/>
            <w:vAlign w:val="center"/>
          </w:tcPr>
          <w:p w14:paraId="6450C5B1">
            <w:pPr>
              <w:pStyle w:val="182"/>
              <w:rPr>
                <w:b/>
                <w:bCs w:val="0"/>
                <w:u w:val="single"/>
              </w:rPr>
            </w:pPr>
          </w:p>
        </w:tc>
        <w:tc>
          <w:tcPr>
            <w:tcW w:w="808" w:type="pct"/>
            <w:tcBorders>
              <w:tl2br w:val="nil"/>
              <w:tr2bl w:val="nil"/>
            </w:tcBorders>
            <w:shd w:val="clear" w:color="auto" w:fill="auto"/>
            <w:vAlign w:val="center"/>
          </w:tcPr>
          <w:p w14:paraId="0057C5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b/>
                <w:bCs w:val="0"/>
                <w:u w:val="single"/>
              </w:rPr>
              <w:t>NOx</w:t>
            </w:r>
          </w:p>
        </w:tc>
        <w:tc>
          <w:tcPr>
            <w:tcW w:w="563" w:type="pct"/>
            <w:tcBorders>
              <w:tl2br w:val="nil"/>
              <w:tr2bl w:val="nil"/>
            </w:tcBorders>
            <w:shd w:val="clear" w:color="auto" w:fill="auto"/>
            <w:noWrap/>
            <w:vAlign w:val="center"/>
          </w:tcPr>
          <w:p w14:paraId="79B23D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b/>
                <w:bCs w:val="0"/>
                <w:u w:val="single"/>
              </w:rPr>
              <w:t>t/a</w:t>
            </w:r>
          </w:p>
        </w:tc>
        <w:tc>
          <w:tcPr>
            <w:tcW w:w="1701" w:type="dxa"/>
            <w:tcBorders>
              <w:tl2br w:val="nil"/>
              <w:tr2bl w:val="nil"/>
            </w:tcBorders>
            <w:shd w:val="clear" w:color="auto" w:fill="auto"/>
            <w:noWrap/>
            <w:vAlign w:val="center"/>
          </w:tcPr>
          <w:p w14:paraId="5D4E8CF2">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127.9072</w:t>
            </w:r>
          </w:p>
        </w:tc>
        <w:tc>
          <w:tcPr>
            <w:tcW w:w="1701" w:type="dxa"/>
            <w:tcBorders>
              <w:tl2br w:val="nil"/>
              <w:tr2bl w:val="nil"/>
            </w:tcBorders>
            <w:shd w:val="clear" w:color="auto" w:fill="auto"/>
            <w:vAlign w:val="center"/>
          </w:tcPr>
          <w:p w14:paraId="2A6F49D9">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103.0393</w:t>
            </w:r>
          </w:p>
        </w:tc>
        <w:tc>
          <w:tcPr>
            <w:tcW w:w="1701" w:type="dxa"/>
            <w:tcBorders>
              <w:tl2br w:val="nil"/>
              <w:tr2bl w:val="nil"/>
            </w:tcBorders>
            <w:shd w:val="clear" w:color="auto" w:fill="auto"/>
            <w:vAlign w:val="center"/>
          </w:tcPr>
          <w:p w14:paraId="2D074123">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230.9465</w:t>
            </w:r>
          </w:p>
        </w:tc>
      </w:tr>
      <w:tr w14:paraId="2A3F263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3A6D043A">
            <w:pPr>
              <w:pStyle w:val="182"/>
              <w:rPr>
                <w:b/>
                <w:bCs w:val="0"/>
                <w:u w:val="single"/>
              </w:rPr>
            </w:pPr>
          </w:p>
        </w:tc>
        <w:tc>
          <w:tcPr>
            <w:tcW w:w="400" w:type="pct"/>
            <w:vMerge w:val="continue"/>
            <w:tcBorders>
              <w:tl2br w:val="nil"/>
              <w:tr2bl w:val="nil"/>
            </w:tcBorders>
            <w:shd w:val="clear" w:color="auto" w:fill="auto"/>
            <w:vAlign w:val="center"/>
          </w:tcPr>
          <w:p w14:paraId="3BFABE37">
            <w:pPr>
              <w:pStyle w:val="182"/>
              <w:rPr>
                <w:b/>
                <w:bCs w:val="0"/>
                <w:u w:val="single"/>
              </w:rPr>
            </w:pPr>
          </w:p>
        </w:tc>
        <w:tc>
          <w:tcPr>
            <w:tcW w:w="808" w:type="pct"/>
            <w:tcBorders>
              <w:tl2br w:val="nil"/>
              <w:tr2bl w:val="nil"/>
            </w:tcBorders>
            <w:shd w:val="clear" w:color="auto" w:fill="auto"/>
            <w:vAlign w:val="center"/>
          </w:tcPr>
          <w:p w14:paraId="31AE16DD">
            <w:pPr>
              <w:pStyle w:val="182"/>
              <w:ind w:firstLine="0" w:firstLineChars="0"/>
              <w:rPr>
                <w:b/>
                <w:bCs w:val="0"/>
                <w:color w:val="000000"/>
                <w:kern w:val="0"/>
                <w:sz w:val="21"/>
                <w:szCs w:val="21"/>
                <w:u w:val="single"/>
                <w:lang w:bidi="ar"/>
              </w:rPr>
            </w:pPr>
            <w:r>
              <w:rPr>
                <w:rFonts w:hint="eastAsia"/>
                <w:b/>
                <w:bCs w:val="0"/>
                <w:u w:val="single"/>
                <w:lang w:val="en-US" w:eastAsia="zh-CN"/>
              </w:rPr>
              <w:t>汞及其化合物</w:t>
            </w:r>
          </w:p>
        </w:tc>
        <w:tc>
          <w:tcPr>
            <w:tcW w:w="563" w:type="pct"/>
            <w:tcBorders>
              <w:tl2br w:val="nil"/>
              <w:tr2bl w:val="nil"/>
            </w:tcBorders>
            <w:shd w:val="clear" w:color="auto" w:fill="auto"/>
            <w:noWrap/>
            <w:vAlign w:val="center"/>
          </w:tcPr>
          <w:p w14:paraId="22C13B07">
            <w:pPr>
              <w:pStyle w:val="182"/>
              <w:ind w:firstLine="0" w:firstLineChars="0"/>
              <w:rPr>
                <w:b/>
                <w:bCs w:val="0"/>
                <w:u w:val="single"/>
              </w:rPr>
            </w:pPr>
            <w:r>
              <w:rPr>
                <w:b/>
                <w:bCs w:val="0"/>
                <w:u w:val="single"/>
              </w:rPr>
              <w:t>t/a</w:t>
            </w:r>
          </w:p>
        </w:tc>
        <w:tc>
          <w:tcPr>
            <w:tcW w:w="1701" w:type="dxa"/>
            <w:tcBorders>
              <w:tl2br w:val="nil"/>
              <w:tr2bl w:val="nil"/>
            </w:tcBorders>
            <w:shd w:val="clear" w:color="auto" w:fill="auto"/>
            <w:noWrap/>
            <w:vAlign w:val="center"/>
          </w:tcPr>
          <w:p w14:paraId="31529F08">
            <w:pPr>
              <w:pStyle w:val="182"/>
              <w:ind w:firstLine="0" w:firstLineChars="0"/>
              <w:rPr>
                <w:rFonts w:hint="eastAsia"/>
                <w:b/>
                <w:bCs w:val="0"/>
                <w:color w:val="auto"/>
                <w:highlight w:val="none"/>
                <w:u w:val="single"/>
              </w:rPr>
            </w:pPr>
            <w:r>
              <w:rPr>
                <w:rFonts w:hint="eastAsia"/>
                <w:b/>
                <w:bCs w:val="0"/>
                <w:color w:val="auto"/>
                <w:highlight w:val="none"/>
                <w:u w:val="single"/>
              </w:rPr>
              <w:t>0.0015</w:t>
            </w:r>
          </w:p>
        </w:tc>
        <w:tc>
          <w:tcPr>
            <w:tcW w:w="1701" w:type="dxa"/>
            <w:tcBorders>
              <w:tl2br w:val="nil"/>
              <w:tr2bl w:val="nil"/>
            </w:tcBorders>
            <w:shd w:val="clear" w:color="auto" w:fill="auto"/>
            <w:vAlign w:val="center"/>
          </w:tcPr>
          <w:p w14:paraId="36C58884">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0.0095</w:t>
            </w:r>
          </w:p>
        </w:tc>
        <w:tc>
          <w:tcPr>
            <w:tcW w:w="1701" w:type="dxa"/>
            <w:tcBorders>
              <w:tl2br w:val="nil"/>
              <w:tr2bl w:val="nil"/>
            </w:tcBorders>
            <w:shd w:val="clear" w:color="auto" w:fill="auto"/>
            <w:vAlign w:val="center"/>
          </w:tcPr>
          <w:p w14:paraId="2F67A46D">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0.011</w:t>
            </w:r>
          </w:p>
        </w:tc>
      </w:tr>
      <w:tr w14:paraId="452425B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2B191006">
            <w:pPr>
              <w:pStyle w:val="182"/>
              <w:rPr>
                <w:b/>
                <w:bCs w:val="0"/>
                <w:u w:val="single"/>
              </w:rPr>
            </w:pPr>
          </w:p>
        </w:tc>
        <w:tc>
          <w:tcPr>
            <w:tcW w:w="400" w:type="pct"/>
            <w:vMerge w:val="continue"/>
            <w:tcBorders>
              <w:tl2br w:val="nil"/>
              <w:tr2bl w:val="nil"/>
            </w:tcBorders>
            <w:shd w:val="clear" w:color="auto" w:fill="auto"/>
            <w:vAlign w:val="center"/>
          </w:tcPr>
          <w:p w14:paraId="5E2E64D1">
            <w:pPr>
              <w:pStyle w:val="182"/>
              <w:rPr>
                <w:b/>
                <w:bCs w:val="0"/>
                <w:u w:val="single"/>
              </w:rPr>
            </w:pPr>
          </w:p>
        </w:tc>
        <w:tc>
          <w:tcPr>
            <w:tcW w:w="808" w:type="pct"/>
            <w:tcBorders>
              <w:tl2br w:val="nil"/>
              <w:tr2bl w:val="nil"/>
            </w:tcBorders>
            <w:shd w:val="clear" w:color="auto" w:fill="auto"/>
            <w:vAlign w:val="center"/>
          </w:tcPr>
          <w:p w14:paraId="169D3663">
            <w:pPr>
              <w:pStyle w:val="182"/>
              <w:ind w:firstLine="0" w:firstLineChars="0"/>
              <w:rPr>
                <w:b/>
                <w:bCs w:val="0"/>
                <w:color w:val="000000"/>
                <w:kern w:val="0"/>
                <w:sz w:val="21"/>
                <w:szCs w:val="21"/>
                <w:u w:val="single"/>
                <w:lang w:bidi="ar"/>
              </w:rPr>
            </w:pPr>
            <w:r>
              <w:rPr>
                <w:rFonts w:hint="eastAsia"/>
                <w:b/>
                <w:bCs w:val="0"/>
                <w:u w:val="single"/>
                <w:lang w:val="en-US" w:eastAsia="zh-CN"/>
              </w:rPr>
              <w:t>氨</w:t>
            </w:r>
          </w:p>
        </w:tc>
        <w:tc>
          <w:tcPr>
            <w:tcW w:w="563" w:type="pct"/>
            <w:tcBorders>
              <w:tl2br w:val="nil"/>
              <w:tr2bl w:val="nil"/>
            </w:tcBorders>
            <w:shd w:val="clear" w:color="auto" w:fill="auto"/>
            <w:noWrap/>
            <w:vAlign w:val="center"/>
          </w:tcPr>
          <w:p w14:paraId="75829FC4">
            <w:pPr>
              <w:pStyle w:val="182"/>
              <w:bidi w:val="0"/>
              <w:ind w:firstLine="0" w:firstLineChars="0"/>
              <w:rPr>
                <w:b/>
                <w:bCs w:val="0"/>
                <w:u w:val="single"/>
              </w:rPr>
            </w:pPr>
            <w:r>
              <w:rPr>
                <w:b/>
                <w:bCs w:val="0"/>
                <w:u w:val="single"/>
              </w:rPr>
              <w:t>t/a</w:t>
            </w:r>
          </w:p>
        </w:tc>
        <w:tc>
          <w:tcPr>
            <w:tcW w:w="1701" w:type="dxa"/>
            <w:tcBorders>
              <w:tl2br w:val="nil"/>
              <w:tr2bl w:val="nil"/>
            </w:tcBorders>
            <w:shd w:val="clear" w:color="auto" w:fill="auto"/>
            <w:noWrap/>
            <w:vAlign w:val="center"/>
          </w:tcPr>
          <w:p w14:paraId="3F1F6AD6">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7.82</w:t>
            </w:r>
          </w:p>
        </w:tc>
        <w:tc>
          <w:tcPr>
            <w:tcW w:w="1701" w:type="dxa"/>
            <w:tcBorders>
              <w:tl2br w:val="nil"/>
              <w:tr2bl w:val="nil"/>
            </w:tcBorders>
            <w:shd w:val="clear" w:color="auto" w:fill="auto"/>
            <w:vAlign w:val="center"/>
          </w:tcPr>
          <w:p w14:paraId="28C344F7">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12.829</w:t>
            </w:r>
          </w:p>
        </w:tc>
        <w:tc>
          <w:tcPr>
            <w:tcW w:w="1701" w:type="dxa"/>
            <w:tcBorders>
              <w:tl2br w:val="nil"/>
              <w:tr2bl w:val="nil"/>
            </w:tcBorders>
            <w:shd w:val="clear" w:color="auto" w:fill="auto"/>
            <w:vAlign w:val="center"/>
          </w:tcPr>
          <w:p w14:paraId="510DD2BC">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20.649</w:t>
            </w:r>
          </w:p>
        </w:tc>
      </w:tr>
      <w:tr w14:paraId="532BEEA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0715541E">
            <w:pPr>
              <w:pStyle w:val="182"/>
              <w:rPr>
                <w:b/>
                <w:bCs w:val="0"/>
                <w:u w:val="single"/>
              </w:rPr>
            </w:pPr>
          </w:p>
        </w:tc>
        <w:tc>
          <w:tcPr>
            <w:tcW w:w="400" w:type="pct"/>
            <w:vMerge w:val="continue"/>
            <w:tcBorders>
              <w:tl2br w:val="nil"/>
              <w:tr2bl w:val="nil"/>
            </w:tcBorders>
            <w:shd w:val="clear" w:color="auto" w:fill="auto"/>
            <w:vAlign w:val="center"/>
          </w:tcPr>
          <w:p w14:paraId="59B75542">
            <w:pPr>
              <w:pStyle w:val="182"/>
              <w:rPr>
                <w:b/>
                <w:bCs w:val="0"/>
                <w:u w:val="single"/>
              </w:rPr>
            </w:pPr>
          </w:p>
        </w:tc>
        <w:tc>
          <w:tcPr>
            <w:tcW w:w="808" w:type="pct"/>
            <w:tcBorders>
              <w:tl2br w:val="nil"/>
              <w:tr2bl w:val="nil"/>
            </w:tcBorders>
            <w:shd w:val="clear" w:color="auto" w:fill="auto"/>
            <w:vAlign w:val="center"/>
          </w:tcPr>
          <w:p w14:paraId="030FCDF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val="0"/>
                <w:u w:val="single"/>
                <w:lang w:val="en-US" w:eastAsia="zh-CN"/>
              </w:rPr>
            </w:pPr>
            <w:r>
              <w:rPr>
                <w:rFonts w:hint="eastAsia"/>
                <w:b/>
                <w:bCs w:val="0"/>
                <w:u w:val="single"/>
              </w:rPr>
              <w:t>H</w:t>
            </w:r>
            <w:r>
              <w:rPr>
                <w:rFonts w:hint="eastAsia"/>
                <w:b/>
                <w:bCs w:val="0"/>
                <w:u w:val="single"/>
                <w:vertAlign w:val="subscript"/>
              </w:rPr>
              <w:t>2</w:t>
            </w:r>
            <w:r>
              <w:rPr>
                <w:rFonts w:hint="eastAsia"/>
                <w:b/>
                <w:bCs w:val="0"/>
                <w:u w:val="single"/>
              </w:rPr>
              <w:t>S</w:t>
            </w:r>
          </w:p>
        </w:tc>
        <w:tc>
          <w:tcPr>
            <w:tcW w:w="563" w:type="pct"/>
            <w:tcBorders>
              <w:tl2br w:val="nil"/>
              <w:tr2bl w:val="nil"/>
            </w:tcBorders>
            <w:shd w:val="clear" w:color="auto" w:fill="auto"/>
            <w:noWrap/>
            <w:vAlign w:val="center"/>
          </w:tcPr>
          <w:p w14:paraId="1D860D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rFonts w:hint="eastAsia"/>
                <w:b/>
                <w:bCs w:val="0"/>
                <w:u w:val="single"/>
              </w:rPr>
              <w:t>t/a</w:t>
            </w:r>
          </w:p>
        </w:tc>
        <w:tc>
          <w:tcPr>
            <w:tcW w:w="1701" w:type="dxa"/>
            <w:tcBorders>
              <w:tl2br w:val="nil"/>
              <w:tr2bl w:val="nil"/>
            </w:tcBorders>
            <w:shd w:val="clear" w:color="auto" w:fill="auto"/>
            <w:noWrap/>
            <w:vAlign w:val="center"/>
          </w:tcPr>
          <w:p w14:paraId="4139D78F">
            <w:pPr>
              <w:pStyle w:val="182"/>
              <w:ind w:firstLine="0" w:firstLineChars="0"/>
              <w:rPr>
                <w:rFonts w:hint="eastAsia"/>
                <w:b/>
                <w:bCs w:val="0"/>
                <w:color w:val="auto"/>
                <w:highlight w:val="none"/>
                <w:u w:val="single"/>
                <w:lang w:val="en-US" w:eastAsia="zh-CN"/>
              </w:rPr>
            </w:pPr>
            <w:r>
              <w:rPr>
                <w:rFonts w:hint="eastAsia"/>
                <w:b/>
                <w:bCs w:val="0"/>
                <w:color w:val="auto"/>
                <w:highlight w:val="none"/>
                <w:u w:val="single"/>
                <w:lang w:val="en-US" w:eastAsia="zh-CN"/>
              </w:rPr>
              <w:t>31.2</w:t>
            </w:r>
          </w:p>
        </w:tc>
        <w:tc>
          <w:tcPr>
            <w:tcW w:w="1701" w:type="dxa"/>
            <w:tcBorders>
              <w:tl2br w:val="nil"/>
              <w:tr2bl w:val="nil"/>
            </w:tcBorders>
            <w:shd w:val="clear" w:color="auto" w:fill="auto"/>
            <w:vAlign w:val="center"/>
          </w:tcPr>
          <w:p w14:paraId="79613EA1">
            <w:pPr>
              <w:pStyle w:val="182"/>
              <w:ind w:firstLine="0" w:firstLineChars="0"/>
              <w:rPr>
                <w:rFonts w:hint="eastAsia"/>
                <w:b/>
                <w:bCs w:val="0"/>
                <w:color w:val="auto"/>
                <w:highlight w:val="none"/>
                <w:u w:val="single"/>
                <w:lang w:val="en-US" w:eastAsia="zh-CN"/>
              </w:rPr>
            </w:pPr>
            <w:r>
              <w:rPr>
                <w:rFonts w:hint="eastAsia"/>
                <w:b/>
                <w:bCs w:val="0"/>
                <w:color w:val="auto"/>
                <w:highlight w:val="none"/>
                <w:u w:val="single"/>
                <w:lang w:val="en-US" w:eastAsia="zh-CN"/>
              </w:rPr>
              <w:t>0</w:t>
            </w:r>
          </w:p>
        </w:tc>
        <w:tc>
          <w:tcPr>
            <w:tcW w:w="1701" w:type="dxa"/>
            <w:tcBorders>
              <w:tl2br w:val="nil"/>
              <w:tr2bl w:val="nil"/>
            </w:tcBorders>
            <w:shd w:val="clear" w:color="auto" w:fill="auto"/>
            <w:vAlign w:val="center"/>
          </w:tcPr>
          <w:p w14:paraId="20A9987B">
            <w:pPr>
              <w:pStyle w:val="182"/>
              <w:ind w:firstLine="0" w:firstLineChars="0"/>
              <w:rPr>
                <w:rFonts w:hint="eastAsia"/>
                <w:b/>
                <w:bCs w:val="0"/>
                <w:color w:val="auto"/>
                <w:highlight w:val="none"/>
                <w:u w:val="single"/>
                <w:lang w:val="en-US" w:eastAsia="zh-CN"/>
              </w:rPr>
            </w:pPr>
            <w:r>
              <w:rPr>
                <w:rFonts w:hint="eastAsia"/>
                <w:b/>
                <w:bCs w:val="0"/>
                <w:color w:val="auto"/>
                <w:highlight w:val="none"/>
                <w:u w:val="single"/>
                <w:lang w:val="en-US" w:eastAsia="zh-CN"/>
              </w:rPr>
              <w:t>31.2</w:t>
            </w:r>
          </w:p>
        </w:tc>
      </w:tr>
      <w:tr w14:paraId="264EC02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753F3E70">
            <w:pPr>
              <w:pStyle w:val="182"/>
              <w:rPr>
                <w:b/>
                <w:bCs w:val="0"/>
                <w:u w:val="single"/>
              </w:rPr>
            </w:pPr>
          </w:p>
        </w:tc>
        <w:tc>
          <w:tcPr>
            <w:tcW w:w="400" w:type="pct"/>
            <w:vMerge w:val="continue"/>
            <w:tcBorders>
              <w:tl2br w:val="nil"/>
              <w:tr2bl w:val="nil"/>
            </w:tcBorders>
            <w:shd w:val="clear" w:color="auto" w:fill="auto"/>
            <w:vAlign w:val="center"/>
          </w:tcPr>
          <w:p w14:paraId="684129F3">
            <w:pPr>
              <w:pStyle w:val="182"/>
              <w:rPr>
                <w:b/>
                <w:bCs w:val="0"/>
                <w:u w:val="single"/>
              </w:rPr>
            </w:pPr>
          </w:p>
        </w:tc>
        <w:tc>
          <w:tcPr>
            <w:tcW w:w="808" w:type="pct"/>
            <w:tcBorders>
              <w:tl2br w:val="nil"/>
              <w:tr2bl w:val="nil"/>
            </w:tcBorders>
            <w:shd w:val="clear" w:color="auto" w:fill="auto"/>
            <w:vAlign w:val="center"/>
          </w:tcPr>
          <w:p w14:paraId="19C3F0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val="0"/>
                <w:u w:val="single"/>
                <w:lang w:val="en-US" w:eastAsia="zh-CN"/>
              </w:rPr>
            </w:pPr>
            <w:r>
              <w:rPr>
                <w:rFonts w:hint="eastAsia"/>
                <w:b/>
                <w:bCs w:val="0"/>
                <w:u w:val="single"/>
              </w:rPr>
              <w:t>CS</w:t>
            </w:r>
            <w:r>
              <w:rPr>
                <w:rFonts w:hint="eastAsia"/>
                <w:b/>
                <w:bCs w:val="0"/>
                <w:u w:val="single"/>
                <w:vertAlign w:val="subscript"/>
              </w:rPr>
              <w:t>2</w:t>
            </w:r>
          </w:p>
        </w:tc>
        <w:tc>
          <w:tcPr>
            <w:tcW w:w="563" w:type="pct"/>
            <w:tcBorders>
              <w:tl2br w:val="nil"/>
              <w:tr2bl w:val="nil"/>
            </w:tcBorders>
            <w:shd w:val="clear" w:color="auto" w:fill="auto"/>
            <w:noWrap/>
            <w:vAlign w:val="center"/>
          </w:tcPr>
          <w:p w14:paraId="3F619CD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rFonts w:hint="eastAsia"/>
                <w:b/>
                <w:bCs w:val="0"/>
                <w:u w:val="single"/>
              </w:rPr>
              <w:t>t/a</w:t>
            </w:r>
          </w:p>
        </w:tc>
        <w:tc>
          <w:tcPr>
            <w:tcW w:w="1701" w:type="dxa"/>
            <w:tcBorders>
              <w:tl2br w:val="nil"/>
              <w:tr2bl w:val="nil"/>
            </w:tcBorders>
            <w:shd w:val="clear" w:color="auto" w:fill="auto"/>
            <w:noWrap/>
            <w:vAlign w:val="center"/>
          </w:tcPr>
          <w:p w14:paraId="3D0D80E5">
            <w:pPr>
              <w:pStyle w:val="182"/>
              <w:ind w:firstLine="0" w:firstLineChars="0"/>
              <w:rPr>
                <w:rFonts w:hint="eastAsia"/>
                <w:b/>
                <w:bCs w:val="0"/>
                <w:color w:val="auto"/>
                <w:highlight w:val="none"/>
                <w:u w:val="single"/>
                <w:lang w:val="en-US" w:eastAsia="zh-CN"/>
              </w:rPr>
            </w:pPr>
            <w:r>
              <w:rPr>
                <w:rFonts w:hint="eastAsia"/>
                <w:b/>
                <w:bCs w:val="0"/>
                <w:color w:val="auto"/>
                <w:highlight w:val="none"/>
                <w:u w:val="single"/>
                <w:lang w:val="en-US" w:eastAsia="zh-CN"/>
              </w:rPr>
              <w:t>216.77</w:t>
            </w:r>
          </w:p>
        </w:tc>
        <w:tc>
          <w:tcPr>
            <w:tcW w:w="1701" w:type="dxa"/>
            <w:tcBorders>
              <w:tl2br w:val="nil"/>
              <w:tr2bl w:val="nil"/>
            </w:tcBorders>
            <w:shd w:val="clear" w:color="auto" w:fill="auto"/>
            <w:vAlign w:val="center"/>
          </w:tcPr>
          <w:p w14:paraId="36AEFB78">
            <w:pPr>
              <w:pStyle w:val="182"/>
              <w:ind w:firstLine="0" w:firstLineChars="0"/>
              <w:rPr>
                <w:rFonts w:hint="eastAsia"/>
                <w:b/>
                <w:bCs w:val="0"/>
                <w:color w:val="auto"/>
                <w:highlight w:val="none"/>
                <w:u w:val="single"/>
                <w:lang w:val="en-US" w:eastAsia="zh-CN"/>
              </w:rPr>
            </w:pPr>
            <w:r>
              <w:rPr>
                <w:rFonts w:hint="eastAsia"/>
                <w:b/>
                <w:bCs w:val="0"/>
                <w:color w:val="auto"/>
                <w:highlight w:val="none"/>
                <w:u w:val="single"/>
                <w:lang w:val="en-US" w:eastAsia="zh-CN"/>
              </w:rPr>
              <w:t>0</w:t>
            </w:r>
          </w:p>
        </w:tc>
        <w:tc>
          <w:tcPr>
            <w:tcW w:w="1701" w:type="dxa"/>
            <w:tcBorders>
              <w:tl2br w:val="nil"/>
              <w:tr2bl w:val="nil"/>
            </w:tcBorders>
            <w:shd w:val="clear" w:color="auto" w:fill="auto"/>
            <w:vAlign w:val="center"/>
          </w:tcPr>
          <w:p w14:paraId="5E0129D7">
            <w:pPr>
              <w:pStyle w:val="182"/>
              <w:ind w:firstLine="0" w:firstLineChars="0"/>
              <w:rPr>
                <w:rFonts w:hint="eastAsia"/>
                <w:b/>
                <w:bCs w:val="0"/>
                <w:color w:val="auto"/>
                <w:highlight w:val="none"/>
                <w:u w:val="single"/>
                <w:lang w:val="en-US" w:eastAsia="zh-CN"/>
              </w:rPr>
            </w:pPr>
            <w:r>
              <w:rPr>
                <w:rFonts w:hint="eastAsia"/>
                <w:b/>
                <w:bCs w:val="0"/>
                <w:color w:val="auto"/>
                <w:highlight w:val="none"/>
                <w:u w:val="single"/>
                <w:lang w:val="en-US" w:eastAsia="zh-CN"/>
              </w:rPr>
              <w:t>216.77</w:t>
            </w:r>
          </w:p>
        </w:tc>
      </w:tr>
      <w:tr w14:paraId="3157D84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3A53154A">
            <w:pPr>
              <w:pStyle w:val="182"/>
              <w:rPr>
                <w:b/>
                <w:bCs w:val="0"/>
                <w:u w:val="single"/>
              </w:rPr>
            </w:pPr>
          </w:p>
        </w:tc>
        <w:tc>
          <w:tcPr>
            <w:tcW w:w="400" w:type="pct"/>
            <w:vMerge w:val="continue"/>
            <w:tcBorders>
              <w:tl2br w:val="nil"/>
              <w:tr2bl w:val="nil"/>
            </w:tcBorders>
            <w:shd w:val="clear" w:color="auto" w:fill="auto"/>
            <w:vAlign w:val="center"/>
          </w:tcPr>
          <w:p w14:paraId="6F6EA602">
            <w:pPr>
              <w:pStyle w:val="182"/>
              <w:rPr>
                <w:b/>
                <w:bCs w:val="0"/>
                <w:u w:val="single"/>
              </w:rPr>
            </w:pPr>
          </w:p>
        </w:tc>
        <w:tc>
          <w:tcPr>
            <w:tcW w:w="808" w:type="pct"/>
            <w:tcBorders>
              <w:tl2br w:val="nil"/>
              <w:tr2bl w:val="nil"/>
            </w:tcBorders>
            <w:shd w:val="clear" w:color="auto" w:fill="auto"/>
            <w:vAlign w:val="center"/>
          </w:tcPr>
          <w:p w14:paraId="7EE126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rFonts w:hint="eastAsia"/>
                <w:b/>
                <w:bCs w:val="0"/>
                <w:u w:val="single"/>
              </w:rPr>
              <w:t>VOCs</w:t>
            </w:r>
          </w:p>
        </w:tc>
        <w:tc>
          <w:tcPr>
            <w:tcW w:w="563" w:type="pct"/>
            <w:tcBorders>
              <w:tl2br w:val="nil"/>
              <w:tr2bl w:val="nil"/>
            </w:tcBorders>
            <w:shd w:val="clear" w:color="auto" w:fill="auto"/>
            <w:vAlign w:val="center"/>
          </w:tcPr>
          <w:p w14:paraId="3E5B098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b/>
                <w:bCs w:val="0"/>
                <w:u w:val="single"/>
              </w:rPr>
              <w:t>t/a</w:t>
            </w:r>
          </w:p>
        </w:tc>
        <w:tc>
          <w:tcPr>
            <w:tcW w:w="1701" w:type="dxa"/>
            <w:tcBorders>
              <w:tl2br w:val="nil"/>
              <w:tr2bl w:val="nil"/>
            </w:tcBorders>
            <w:shd w:val="clear" w:color="auto" w:fill="auto"/>
            <w:vAlign w:val="center"/>
          </w:tcPr>
          <w:p w14:paraId="7A51F36D">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49.83</w:t>
            </w:r>
          </w:p>
        </w:tc>
        <w:tc>
          <w:tcPr>
            <w:tcW w:w="1701" w:type="dxa"/>
            <w:tcBorders>
              <w:tl2br w:val="nil"/>
              <w:tr2bl w:val="nil"/>
            </w:tcBorders>
            <w:shd w:val="clear" w:color="auto" w:fill="auto"/>
            <w:vAlign w:val="center"/>
          </w:tcPr>
          <w:p w14:paraId="62EC4993">
            <w:pPr>
              <w:pStyle w:val="182"/>
              <w:ind w:firstLine="0" w:firstLineChars="0"/>
              <w:rPr>
                <w:rFonts w:hint="default"/>
                <w:b/>
                <w:bCs w:val="0"/>
                <w:color w:val="auto"/>
                <w:highlight w:val="none"/>
                <w:u w:val="single"/>
                <w:lang w:val="en-US"/>
              </w:rPr>
            </w:pPr>
            <w:r>
              <w:rPr>
                <w:rFonts w:hint="eastAsia"/>
                <w:b/>
                <w:bCs w:val="0"/>
                <w:color w:val="auto"/>
                <w:highlight w:val="none"/>
                <w:u w:val="single"/>
                <w:lang w:val="en-US" w:eastAsia="zh-CN"/>
              </w:rPr>
              <w:t>14.9484</w:t>
            </w:r>
          </w:p>
        </w:tc>
        <w:tc>
          <w:tcPr>
            <w:tcW w:w="1701" w:type="dxa"/>
            <w:tcBorders>
              <w:tl2br w:val="nil"/>
              <w:tr2bl w:val="nil"/>
            </w:tcBorders>
            <w:shd w:val="clear" w:color="auto" w:fill="auto"/>
            <w:vAlign w:val="center"/>
          </w:tcPr>
          <w:p w14:paraId="47E30284">
            <w:pPr>
              <w:pStyle w:val="182"/>
              <w:ind w:firstLine="0" w:firstLineChars="0"/>
              <w:rPr>
                <w:rFonts w:hint="eastAsia"/>
                <w:b/>
                <w:bCs w:val="0"/>
                <w:color w:val="auto"/>
                <w:highlight w:val="none"/>
                <w:u w:val="single"/>
              </w:rPr>
            </w:pPr>
            <w:r>
              <w:rPr>
                <w:rFonts w:hint="eastAsia"/>
                <w:b/>
                <w:bCs w:val="0"/>
                <w:color w:val="auto"/>
                <w:highlight w:val="none"/>
                <w:u w:val="single"/>
                <w:lang w:val="en-US" w:eastAsia="zh-CN"/>
              </w:rPr>
              <w:t>64.7784</w:t>
            </w:r>
          </w:p>
        </w:tc>
      </w:tr>
      <w:tr w14:paraId="66AC73B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restart"/>
            <w:tcBorders>
              <w:tl2br w:val="nil"/>
              <w:tr2bl w:val="nil"/>
            </w:tcBorders>
            <w:shd w:val="clear" w:color="auto" w:fill="auto"/>
            <w:vAlign w:val="center"/>
          </w:tcPr>
          <w:p w14:paraId="46FE4BAB">
            <w:pPr>
              <w:pStyle w:val="182"/>
              <w:rPr>
                <w:b/>
                <w:bCs w:val="0"/>
                <w:u w:val="single"/>
              </w:rPr>
            </w:pPr>
            <w:r>
              <w:rPr>
                <w:rFonts w:hint="eastAsia"/>
                <w:b/>
                <w:bCs w:val="0"/>
                <w:u w:val="single"/>
              </w:rPr>
              <w:t>固体废物</w:t>
            </w:r>
          </w:p>
        </w:tc>
        <w:tc>
          <w:tcPr>
            <w:tcW w:w="1208" w:type="pct"/>
            <w:gridSpan w:val="2"/>
            <w:tcBorders>
              <w:tl2br w:val="nil"/>
              <w:tr2bl w:val="nil"/>
            </w:tcBorders>
            <w:shd w:val="clear" w:color="auto" w:fill="auto"/>
            <w:vAlign w:val="center"/>
          </w:tcPr>
          <w:p w14:paraId="59491C0A">
            <w:pPr>
              <w:pStyle w:val="182"/>
              <w:rPr>
                <w:b/>
                <w:bCs w:val="0"/>
                <w:u w:val="single"/>
              </w:rPr>
            </w:pPr>
            <w:r>
              <w:rPr>
                <w:rFonts w:hint="eastAsia"/>
                <w:b/>
                <w:bCs w:val="0"/>
                <w:u w:val="single"/>
              </w:rPr>
              <w:t>一般固废</w:t>
            </w:r>
          </w:p>
        </w:tc>
        <w:tc>
          <w:tcPr>
            <w:tcW w:w="563" w:type="pct"/>
            <w:tcBorders>
              <w:tl2br w:val="nil"/>
              <w:tr2bl w:val="nil"/>
            </w:tcBorders>
            <w:shd w:val="clear" w:color="auto" w:fill="auto"/>
            <w:vAlign w:val="center"/>
          </w:tcPr>
          <w:p w14:paraId="14BFE78B">
            <w:pPr>
              <w:pStyle w:val="182"/>
              <w:rPr>
                <w:b/>
                <w:bCs w:val="0"/>
                <w:u w:val="single"/>
              </w:rPr>
            </w:pPr>
            <w:r>
              <w:rPr>
                <w:b/>
                <w:bCs w:val="0"/>
                <w:u w:val="single"/>
              </w:rPr>
              <w:t>t/a</w:t>
            </w:r>
          </w:p>
        </w:tc>
        <w:tc>
          <w:tcPr>
            <w:tcW w:w="980" w:type="pct"/>
            <w:tcBorders>
              <w:tl2br w:val="nil"/>
              <w:tr2bl w:val="nil"/>
            </w:tcBorders>
            <w:shd w:val="clear" w:color="auto" w:fill="auto"/>
            <w:vAlign w:val="center"/>
          </w:tcPr>
          <w:p w14:paraId="7E94FC12">
            <w:pPr>
              <w:pStyle w:val="182"/>
              <w:rPr>
                <w:b/>
                <w:bCs w:val="0"/>
                <w:u w:val="single"/>
              </w:rPr>
            </w:pPr>
            <w:r>
              <w:rPr>
                <w:b/>
                <w:bCs w:val="0"/>
                <w:u w:val="single"/>
              </w:rPr>
              <w:t>0（排入环境）</w:t>
            </w:r>
          </w:p>
        </w:tc>
        <w:tc>
          <w:tcPr>
            <w:tcW w:w="980" w:type="pct"/>
            <w:tcBorders>
              <w:tl2br w:val="nil"/>
              <w:tr2bl w:val="nil"/>
            </w:tcBorders>
            <w:shd w:val="clear" w:color="auto" w:fill="auto"/>
            <w:vAlign w:val="center"/>
          </w:tcPr>
          <w:p w14:paraId="25050E66">
            <w:pPr>
              <w:pStyle w:val="182"/>
              <w:rPr>
                <w:b/>
                <w:bCs w:val="0"/>
                <w:u w:val="single"/>
              </w:rPr>
            </w:pPr>
            <w:r>
              <w:rPr>
                <w:b/>
                <w:bCs w:val="0"/>
                <w:u w:val="single"/>
              </w:rPr>
              <w:t>0（排入环境）</w:t>
            </w:r>
          </w:p>
        </w:tc>
        <w:tc>
          <w:tcPr>
            <w:tcW w:w="980" w:type="pct"/>
            <w:tcBorders>
              <w:tl2br w:val="nil"/>
              <w:tr2bl w:val="nil"/>
            </w:tcBorders>
            <w:shd w:val="clear" w:color="auto" w:fill="auto"/>
            <w:vAlign w:val="center"/>
          </w:tcPr>
          <w:p w14:paraId="11E3FF04">
            <w:pPr>
              <w:pStyle w:val="182"/>
              <w:ind w:firstLine="0" w:firstLineChars="0"/>
              <w:rPr>
                <w:rFonts w:hint="eastAsia" w:ascii="Times New Roman" w:hAnsi="Times New Roman" w:cs="Times New Roman"/>
                <w:b/>
                <w:bCs w:val="0"/>
                <w:u w:val="single"/>
                <w:lang w:val="en-US" w:eastAsia="zh-CN"/>
              </w:rPr>
            </w:pPr>
            <w:r>
              <w:rPr>
                <w:rFonts w:hint="eastAsia" w:ascii="Times New Roman" w:hAnsi="Times New Roman" w:cs="Times New Roman"/>
                <w:b/>
                <w:bCs w:val="0"/>
                <w:u w:val="single"/>
                <w:lang w:val="en-US" w:eastAsia="zh-CN"/>
              </w:rPr>
              <w:t>/</w:t>
            </w:r>
          </w:p>
        </w:tc>
      </w:tr>
      <w:tr w14:paraId="397D3AE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hRule="atLeast"/>
          <w:jc w:val="center"/>
        </w:trPr>
        <w:tc>
          <w:tcPr>
            <w:tcW w:w="284" w:type="pct"/>
            <w:vMerge w:val="continue"/>
            <w:tcBorders>
              <w:tl2br w:val="nil"/>
              <w:tr2bl w:val="nil"/>
            </w:tcBorders>
            <w:shd w:val="clear" w:color="auto" w:fill="auto"/>
            <w:vAlign w:val="center"/>
          </w:tcPr>
          <w:p w14:paraId="26E30288">
            <w:pPr>
              <w:pStyle w:val="182"/>
              <w:rPr>
                <w:b/>
                <w:bCs w:val="0"/>
                <w:u w:val="single"/>
              </w:rPr>
            </w:pPr>
          </w:p>
        </w:tc>
        <w:tc>
          <w:tcPr>
            <w:tcW w:w="1208" w:type="pct"/>
            <w:gridSpan w:val="2"/>
            <w:tcBorders>
              <w:tl2br w:val="nil"/>
              <w:tr2bl w:val="nil"/>
            </w:tcBorders>
            <w:shd w:val="clear" w:color="auto" w:fill="auto"/>
            <w:vAlign w:val="center"/>
          </w:tcPr>
          <w:p w14:paraId="4F9F695E">
            <w:pPr>
              <w:pStyle w:val="182"/>
              <w:rPr>
                <w:b/>
                <w:bCs w:val="0"/>
                <w:u w:val="single"/>
              </w:rPr>
            </w:pPr>
            <w:r>
              <w:rPr>
                <w:b/>
                <w:bCs w:val="0"/>
                <w:u w:val="single"/>
              </w:rPr>
              <w:t>危险废物</w:t>
            </w:r>
          </w:p>
        </w:tc>
        <w:tc>
          <w:tcPr>
            <w:tcW w:w="563" w:type="pct"/>
            <w:tcBorders>
              <w:tl2br w:val="nil"/>
              <w:tr2bl w:val="nil"/>
            </w:tcBorders>
            <w:shd w:val="clear" w:color="auto" w:fill="auto"/>
            <w:vAlign w:val="center"/>
          </w:tcPr>
          <w:p w14:paraId="61748962">
            <w:pPr>
              <w:pStyle w:val="182"/>
              <w:rPr>
                <w:b/>
                <w:bCs w:val="0"/>
                <w:u w:val="single"/>
              </w:rPr>
            </w:pPr>
            <w:r>
              <w:rPr>
                <w:b/>
                <w:bCs w:val="0"/>
                <w:u w:val="single"/>
              </w:rPr>
              <w:t>t/a</w:t>
            </w:r>
          </w:p>
        </w:tc>
        <w:tc>
          <w:tcPr>
            <w:tcW w:w="980" w:type="pct"/>
            <w:tcBorders>
              <w:tl2br w:val="nil"/>
              <w:tr2bl w:val="nil"/>
            </w:tcBorders>
            <w:shd w:val="clear" w:color="auto" w:fill="auto"/>
            <w:vAlign w:val="center"/>
          </w:tcPr>
          <w:p w14:paraId="26C08425">
            <w:pPr>
              <w:pStyle w:val="182"/>
              <w:rPr>
                <w:b/>
                <w:bCs w:val="0"/>
                <w:u w:val="single"/>
              </w:rPr>
            </w:pPr>
            <w:r>
              <w:rPr>
                <w:b/>
                <w:bCs w:val="0"/>
                <w:u w:val="single"/>
              </w:rPr>
              <w:t>0（排入环境）</w:t>
            </w:r>
          </w:p>
        </w:tc>
        <w:tc>
          <w:tcPr>
            <w:tcW w:w="980" w:type="pct"/>
            <w:tcBorders>
              <w:tl2br w:val="nil"/>
              <w:tr2bl w:val="nil"/>
            </w:tcBorders>
            <w:shd w:val="clear" w:color="auto" w:fill="auto"/>
            <w:vAlign w:val="center"/>
          </w:tcPr>
          <w:p w14:paraId="44DD2811">
            <w:pPr>
              <w:pStyle w:val="182"/>
              <w:rPr>
                <w:b/>
                <w:bCs w:val="0"/>
                <w:u w:val="single"/>
              </w:rPr>
            </w:pPr>
            <w:r>
              <w:rPr>
                <w:b/>
                <w:bCs w:val="0"/>
                <w:u w:val="single"/>
              </w:rPr>
              <w:t>0（排入环境）</w:t>
            </w:r>
          </w:p>
        </w:tc>
        <w:tc>
          <w:tcPr>
            <w:tcW w:w="980" w:type="pct"/>
            <w:tcBorders>
              <w:tl2br w:val="nil"/>
              <w:tr2bl w:val="nil"/>
            </w:tcBorders>
            <w:shd w:val="clear" w:color="auto" w:fill="auto"/>
            <w:vAlign w:val="center"/>
          </w:tcPr>
          <w:p w14:paraId="2C21411B">
            <w:pPr>
              <w:pStyle w:val="182"/>
              <w:ind w:firstLine="0" w:firstLineChars="0"/>
              <w:rPr>
                <w:rFonts w:hint="eastAsia" w:ascii="Times New Roman" w:hAnsi="Times New Roman" w:cs="Times New Roman"/>
                <w:b/>
                <w:bCs w:val="0"/>
                <w:u w:val="single"/>
                <w:lang w:val="en-US" w:eastAsia="zh-CN"/>
              </w:rPr>
            </w:pPr>
            <w:r>
              <w:rPr>
                <w:rFonts w:hint="eastAsia" w:ascii="Times New Roman" w:hAnsi="Times New Roman" w:cs="Times New Roman"/>
                <w:b/>
                <w:bCs w:val="0"/>
                <w:u w:val="single"/>
                <w:lang w:val="en-US" w:eastAsia="zh-CN"/>
              </w:rPr>
              <w:t>/</w:t>
            </w:r>
          </w:p>
        </w:tc>
      </w:tr>
    </w:tbl>
    <w:p w14:paraId="0757B63D">
      <w:pPr>
        <w:pStyle w:val="3"/>
        <w:bidi w:val="0"/>
        <w:rPr>
          <w:rFonts w:hint="eastAsia"/>
          <w:color w:val="auto"/>
          <w:lang w:val="en-US" w:eastAsia="zh-CN"/>
        </w:rPr>
      </w:pPr>
      <w:bookmarkStart w:id="161" w:name="_Toc19712"/>
      <w:r>
        <w:rPr>
          <w:rFonts w:hint="eastAsia"/>
          <w:color w:val="auto"/>
          <w:lang w:val="en-US" w:eastAsia="zh-CN"/>
        </w:rPr>
        <w:t>现有工程应急预案开展情况</w:t>
      </w:r>
      <w:bookmarkEnd w:id="161"/>
    </w:p>
    <w:p w14:paraId="0294964A">
      <w:pPr>
        <w:rPr>
          <w:rFonts w:hint="eastAsia"/>
          <w:b/>
          <w:bCs/>
          <w:color w:val="auto"/>
          <w:u w:val="single"/>
        </w:rPr>
      </w:pPr>
      <w:r>
        <w:rPr>
          <w:rFonts w:hint="eastAsia"/>
          <w:b/>
          <w:bCs/>
          <w:color w:val="auto"/>
          <w:u w:val="single"/>
        </w:rPr>
        <w:t>新乡化纤股份有限公司已制定《新乡化纤股份有限公司（新区）突发环境事件应急预案》，并在经开区环境管理部门备案，从二〇二三年九月起在新厂区范围内正式实施。</w:t>
      </w:r>
    </w:p>
    <w:p w14:paraId="6F42C6CF">
      <w:pPr>
        <w:pStyle w:val="5"/>
        <w:rPr>
          <w:rFonts w:hint="eastAsia"/>
          <w:b/>
          <w:bCs/>
          <w:color w:val="auto"/>
          <w:u w:val="none"/>
        </w:rPr>
      </w:pPr>
      <w:r>
        <w:rPr>
          <w:rFonts w:hint="eastAsia"/>
          <w:b/>
          <w:bCs/>
          <w:color w:val="auto"/>
          <w:u w:val="none"/>
          <w:lang w:val="en-US" w:eastAsia="zh-CN"/>
        </w:rPr>
        <w:t>企业</w:t>
      </w:r>
      <w:r>
        <w:rPr>
          <w:rFonts w:hint="eastAsia"/>
          <w:b/>
          <w:bCs/>
          <w:color w:val="auto"/>
          <w:u w:val="none"/>
        </w:rPr>
        <w:t>应急预案体系</w:t>
      </w:r>
    </w:p>
    <w:p w14:paraId="5B70022A">
      <w:pPr>
        <w:pStyle w:val="101"/>
        <w:rPr>
          <w:b/>
          <w:bCs/>
          <w:u w:val="single"/>
        </w:rPr>
      </w:pPr>
      <w:r>
        <w:rPr>
          <w:rFonts w:hint="eastAsia"/>
          <w:b/>
          <w:bCs/>
          <w:u w:val="single"/>
        </w:rPr>
        <w:t>新乡化纤股份有限公司发生需要启动一级响应的突发环境事件，及时通报经开区政府、新乡经开区应急和生态环境局，当新乡经开区应急和生态环境局应急人员到达后，移交指挥权，配合新乡经开区应急和生态环境局做好现场处置工作。</w:t>
      </w:r>
    </w:p>
    <w:p w14:paraId="04EAE6E7">
      <w:pPr>
        <w:pStyle w:val="101"/>
        <w:rPr>
          <w:b/>
          <w:bCs/>
          <w:u w:val="single"/>
        </w:rPr>
      </w:pPr>
      <w:r>
        <w:rPr>
          <w:rFonts w:hint="eastAsia"/>
          <w:b/>
          <w:bCs/>
          <w:u w:val="single"/>
        </w:rPr>
        <w:t>企业应急预案体系见下图。</w:t>
      </w:r>
    </w:p>
    <w:p w14:paraId="1600609E">
      <w:pPr>
        <w:pStyle w:val="30"/>
        <w:ind w:left="0" w:leftChars="0" w:firstLine="0" w:firstLineChars="0"/>
        <w:rPr>
          <w:color w:val="auto"/>
        </w:rPr>
      </w:pPr>
      <w:r>
        <w:drawing>
          <wp:inline distT="0" distB="0" distL="114300" distR="114300">
            <wp:extent cx="5271135" cy="3601720"/>
            <wp:effectExtent l="0" t="0" r="5715" b="17780"/>
            <wp:docPr id="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4"/>
                    <pic:cNvPicPr>
                      <a:picLocks noChangeAspect="1"/>
                    </pic:cNvPicPr>
                  </pic:nvPicPr>
                  <pic:blipFill>
                    <a:blip r:embed="rId50"/>
                    <a:stretch>
                      <a:fillRect/>
                    </a:stretch>
                  </pic:blipFill>
                  <pic:spPr>
                    <a:xfrm>
                      <a:off x="0" y="0"/>
                      <a:ext cx="5271135" cy="3601720"/>
                    </a:xfrm>
                    <a:prstGeom prst="rect">
                      <a:avLst/>
                    </a:prstGeom>
                    <a:noFill/>
                    <a:ln>
                      <a:noFill/>
                    </a:ln>
                  </pic:spPr>
                </pic:pic>
              </a:graphicData>
            </a:graphic>
          </wp:inline>
        </w:drawing>
      </w:r>
    </w:p>
    <w:p w14:paraId="57B1801D">
      <w:pPr>
        <w:pStyle w:val="181"/>
        <w:jc w:val="center"/>
        <w:rPr>
          <w:rFonts w:hint="eastAsia"/>
          <w:color w:val="auto"/>
          <w:lang w:val="en-US" w:eastAsia="zh-CN"/>
        </w:rPr>
      </w:pPr>
      <w:r>
        <w:rPr>
          <w:rFonts w:hint="eastAsia"/>
          <w:color w:val="auto"/>
        </w:rPr>
        <w:t>图</w:t>
      </w:r>
      <w:r>
        <w:rPr>
          <w:rFonts w:hint="eastAsia"/>
          <w:color w:val="auto"/>
          <w:lang w:val="en-US" w:eastAsia="zh-CN"/>
        </w:rPr>
        <w:t xml:space="preserve">3.6-1 </w:t>
      </w:r>
      <w:r>
        <w:rPr>
          <w:rFonts w:hint="eastAsia"/>
          <w:color w:val="auto"/>
        </w:rPr>
        <w:t>企业应急预案体系图</w:t>
      </w:r>
    </w:p>
    <w:p w14:paraId="1CB09DA3">
      <w:pPr>
        <w:pStyle w:val="5"/>
        <w:bidi w:val="0"/>
        <w:rPr>
          <w:rFonts w:hint="eastAsia"/>
          <w:color w:val="auto"/>
          <w:lang w:val="en-US" w:eastAsia="zh-CN"/>
        </w:rPr>
      </w:pPr>
      <w:r>
        <w:rPr>
          <w:rFonts w:hint="eastAsia"/>
          <w:color w:val="auto"/>
          <w:lang w:val="en-US" w:eastAsia="zh-CN"/>
        </w:rPr>
        <w:t>企业现有风险防范措施</w:t>
      </w:r>
    </w:p>
    <w:p w14:paraId="7F80EA5B">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b/>
          <w:bCs/>
          <w:u w:val="single"/>
          <w:lang w:val="zh-CN"/>
        </w:rPr>
      </w:pPr>
      <w:r>
        <w:rPr>
          <w:rFonts w:hint="eastAsia"/>
          <w:b/>
          <w:bCs/>
          <w:u w:val="single"/>
        </w:rPr>
        <w:t>节选应急预案部分内容。</w:t>
      </w:r>
    </w:p>
    <w:p w14:paraId="745ECC65">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eastAsia="宋体"/>
          <w:b/>
          <w:bCs/>
          <w:u w:val="single"/>
          <w:lang w:val="zh-CN" w:eastAsia="zh-CN"/>
        </w:rPr>
      </w:pPr>
      <w:r>
        <w:rPr>
          <w:rFonts w:hint="eastAsia"/>
          <w:b/>
          <w:bCs/>
          <w:u w:val="single"/>
          <w:lang w:val="zh-CN"/>
        </w:rPr>
        <w:t>“</w:t>
      </w:r>
      <w:r>
        <w:rPr>
          <w:b/>
          <w:bCs/>
          <w:u w:val="single"/>
          <w:lang w:val="zh-CN"/>
        </w:rPr>
        <w:t>6、</w:t>
      </w:r>
      <w:r>
        <w:rPr>
          <w:rFonts w:hint="eastAsia"/>
          <w:b/>
          <w:bCs/>
          <w:u w:val="single"/>
          <w:lang w:val="en-US" w:eastAsia="zh-CN"/>
        </w:rPr>
        <w:t>应急和响应措施</w:t>
      </w:r>
    </w:p>
    <w:p w14:paraId="32905739">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6.1 分级响应机制</w:t>
      </w:r>
    </w:p>
    <w:p w14:paraId="2C2F08CD">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b/>
          <w:bCs/>
          <w:u w:val="single"/>
          <w:lang w:val="zh-CN"/>
        </w:rPr>
      </w:pPr>
      <w:r>
        <w:rPr>
          <w:rFonts w:hint="eastAsia"/>
          <w:b/>
          <w:bCs/>
          <w:u w:val="single"/>
          <w:lang w:val="zh-CN"/>
        </w:rPr>
        <w:t>按照企业突发环境事件的可控性、严重程度和影响范围以及突发环境事件的分级情况，将企业突发环境事件的应急响应分为三级，相应级别由高到低分别为一级-社会级响应（重大突发环境事件）、二级-公司级响应（较大突发环境事件）、三级-车间级响应（一般突发环境事件）。</w:t>
      </w:r>
    </w:p>
    <w:p w14:paraId="134324CC">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b/>
          <w:bCs/>
          <w:u w:val="single"/>
          <w:lang w:val="zh-CN"/>
        </w:rPr>
      </w:pPr>
      <w:r>
        <w:rPr>
          <w:rFonts w:hint="eastAsia"/>
          <w:b/>
          <w:bCs/>
          <w:u w:val="single"/>
          <w:lang w:val="zh-CN"/>
        </w:rPr>
        <w:t>……</w:t>
      </w:r>
    </w:p>
    <w:p w14:paraId="73166C0D">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6.2 应急响应程序</w:t>
      </w:r>
    </w:p>
    <w:p w14:paraId="448AA96D">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b/>
          <w:bCs/>
          <w:u w:val="single"/>
          <w:lang w:val="zh-CN"/>
        </w:rPr>
      </w:pPr>
      <w:r>
        <w:rPr>
          <w:rFonts w:hint="eastAsia"/>
          <w:b/>
          <w:bCs/>
          <w:u w:val="single"/>
          <w:lang w:val="zh-CN"/>
        </w:rPr>
        <w:t>事故发生后，现场人员应立即向应急值班室报警。应急值班室接到报警后，立即报告给应急领导小组。应急领导小组根据事故大小和发展势态分别执行相应的响应程序。</w:t>
      </w:r>
    </w:p>
    <w:p w14:paraId="501AC2E4">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b/>
          <w:bCs/>
          <w:u w:val="single"/>
          <w:lang w:val="zh-CN"/>
        </w:rPr>
      </w:pPr>
      <w:r>
        <w:rPr>
          <w:rFonts w:hint="eastAsia"/>
          <w:b/>
          <w:bCs/>
          <w:u w:val="single"/>
          <w:lang w:val="zh-CN"/>
        </w:rPr>
        <w:t>……</w:t>
      </w:r>
    </w:p>
    <w:p w14:paraId="37106605">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6.4 现场应急处置流程</w:t>
      </w:r>
    </w:p>
    <w:p w14:paraId="5EF7A3DC">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根据事故发生后确定的应急响应等级，依照具体事故情景给出应急相应启动的条件，具体如下：</w:t>
      </w:r>
    </w:p>
    <w:p w14:paraId="46480DE5">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6.4.1 环境风险物质泄漏应对措施</w:t>
      </w:r>
    </w:p>
    <w:p w14:paraId="76527A1D">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因储存区有些风险物质具有毒性和易燃易爆性，故大量泄漏后会引起区域大气污染及可能引起火灾、爆炸事故。事故时基本应对原则为首先转移和救助现场受伤人员，然后协助安全应急人员查找泄漏位置，设法控制污染源继续泄漏，并将破损储罐内物质转移至备用储罐。随后对泄漏的物料采取措施控制污染物向环境中扩散，事件控制后对遗留在环境中的污染物进行清除。若事故影响超出厂界范围，则立刻请求经开区政府、环保和消防等部门救援。</w:t>
      </w:r>
    </w:p>
    <w:p w14:paraId="07BD39EC">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6.4.2 废水处理与排放系统异常应对措施</w:t>
      </w:r>
    </w:p>
    <w:p w14:paraId="17AAC746">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若废水治理发生异常，导致超标废水外排。发生事故时首先排查处理不达标原因，若出现大量废水泄漏，应立即启动应急事故池。</w:t>
      </w:r>
    </w:p>
    <w:p w14:paraId="37721102">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6.4.3 废气治理设施非正常运行事故应急处置措施</w:t>
      </w:r>
    </w:p>
    <w:p w14:paraId="60055091">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基本应对措施为立刻尽快停止相关产污工序，并采取措施堵进行维修，设备运行正常前不得恢复生产。</w:t>
      </w:r>
    </w:p>
    <w:p w14:paraId="6C80E657">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6.4.4 火灾、爆炸事故应急处置措施</w:t>
      </w:r>
    </w:p>
    <w:p w14:paraId="0E060E73">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本项目可能导致火灾、爆炸事件的情景为：</w:t>
      </w:r>
    </w:p>
    <w:p w14:paraId="7F5029EB">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（1）风险物质的泄漏造成的火灾、爆炸事件；</w:t>
      </w:r>
    </w:p>
    <w:p w14:paraId="6980A7CE">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（2）自然灾害或人为造成的其他类型火灾，及随之可能引发的爆炸事件。</w:t>
      </w:r>
    </w:p>
    <w:p w14:paraId="5F617AAF">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火灾爆炸事故中热辐射、冲击波和抛射物等直接危害对环境的影响范围一般不超过厂界；因火灾、爆炸造成的风险物质及燃烧产生的伴生/次生物质可能会造成外部环境影响和人员伤害。发生火灾、爆炸事件时，基本应对原则为首先转移和救助现场受伤人员，并立刻请求经开区政府、环保及消防等部门救援。</w:t>
      </w:r>
    </w:p>
    <w:p w14:paraId="7C4E935A">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（3）消防废水泄漏：本项目发生应急事故可能存在使用大量消防水，处理后消防废水应进入应急事故池，当发生消防废水泄漏事件。</w:t>
      </w:r>
    </w:p>
    <w:p w14:paraId="7CF3C860">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u w:val="single"/>
          <w:lang w:val="zh-CN"/>
        </w:rPr>
      </w:pPr>
      <w:r>
        <w:rPr>
          <w:rFonts w:hint="eastAsia"/>
          <w:b/>
          <w:bCs/>
          <w:u w:val="single"/>
          <w:lang w:val="zh-CN"/>
        </w:rPr>
        <w:t>……</w:t>
      </w:r>
    </w:p>
    <w:p w14:paraId="7D94A5E4">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b/>
          <w:bCs/>
          <w:u w:val="single"/>
          <w:lang w:val="zh-CN"/>
        </w:rPr>
      </w:pPr>
      <w:r>
        <w:rPr>
          <w:rFonts w:hint="eastAsia"/>
          <w:b/>
          <w:bCs/>
          <w:u w:val="single"/>
          <w:lang w:val="zh-CN"/>
        </w:rPr>
        <w:t>综上，企业制定有严格的风险防范措施及应急预案，且每年组织一次综合演练。详细记录演练实施过程，包括演练实施时间、实施地点、参加人员、演练内容等。</w:t>
      </w:r>
    </w:p>
    <w:p w14:paraId="1C6B31FF">
      <w:pPr>
        <w:rPr>
          <w:rFonts w:hint="eastAsia"/>
          <w:b/>
          <w:bCs/>
          <w:color w:val="auto"/>
          <w:u w:val="single"/>
          <w:lang w:val="zh-CN" w:eastAsia="zh-CN"/>
        </w:rPr>
      </w:pPr>
      <w:r>
        <w:rPr>
          <w:rFonts w:hint="eastAsia"/>
          <w:b/>
          <w:bCs/>
          <w:color w:val="auto"/>
          <w:u w:val="single"/>
          <w:lang w:val="zh-CN" w:eastAsia="zh-CN"/>
        </w:rPr>
        <w:t>现有罐区围堰，应急事故池见下图：</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40"/>
        <w:gridCol w:w="4665"/>
      </w:tblGrid>
      <w:tr w14:paraId="4AAD0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12" w:type="dxa"/>
            <w:noWrap w:val="0"/>
            <w:vAlign w:val="top"/>
          </w:tcPr>
          <w:p w14:paraId="725FBDEE">
            <w:pPr>
              <w:pStyle w:val="10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drawing>
                <wp:inline distT="0" distB="0" distL="114300" distR="114300">
                  <wp:extent cx="2616200" cy="1973580"/>
                  <wp:effectExtent l="0" t="0" r="12700" b="7620"/>
                  <wp:docPr id="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2"/>
                          <pic:cNvPicPr>
                            <a:picLocks noChangeAspect="1"/>
                          </pic:cNvPicPr>
                        </pic:nvPicPr>
                        <pic:blipFill>
                          <a:blip r:embed="rId51"/>
                          <a:srcRect t="14485" r="15121"/>
                          <a:stretch>
                            <a:fillRect/>
                          </a:stretch>
                        </pic:blipFill>
                        <pic:spPr>
                          <a:xfrm>
                            <a:off x="0" y="0"/>
                            <a:ext cx="2616200" cy="1973580"/>
                          </a:xfrm>
                          <a:prstGeom prst="rect">
                            <a:avLst/>
                          </a:prstGeom>
                          <a:noFill/>
                          <a:ln>
                            <a:noFill/>
                          </a:ln>
                        </pic:spPr>
                      </pic:pic>
                    </a:graphicData>
                  </a:graphic>
                </wp:inline>
              </w:drawing>
            </w:r>
          </w:p>
          <w:p w14:paraId="2272C4CA">
            <w:pPr>
              <w:keepNext w:val="0"/>
              <w:keepLines w:val="0"/>
              <w:pageBreakBefore w:val="0"/>
              <w:widowControl w:val="0"/>
              <w:tabs>
                <w:tab w:val="left" w:pos="1457"/>
              </w:tabs>
              <w:kinsoku/>
              <w:wordWrap/>
              <w:overflowPunct/>
              <w:topLinePunct w:val="0"/>
              <w:autoSpaceDE/>
              <w:autoSpaceDN/>
              <w:bidi w:val="0"/>
              <w:adjustRightInd w:val="0"/>
              <w:snapToGrid w:val="0"/>
              <w:spacing w:line="240" w:lineRule="auto"/>
              <w:ind w:firstLine="0" w:firstLineChars="0"/>
              <w:jc w:val="center"/>
              <w:textAlignment w:val="auto"/>
              <w:rPr>
                <w:rFonts w:hint="eastAsia"/>
                <w:lang w:val="zh-CN"/>
              </w:rPr>
            </w:pPr>
            <w:r>
              <w:rPr>
                <w:rFonts w:hint="eastAsia"/>
              </w:rPr>
              <w:t>二硫化碳</w:t>
            </w:r>
            <w:r>
              <w:t>罐区</w:t>
            </w:r>
          </w:p>
        </w:tc>
        <w:tc>
          <w:tcPr>
            <w:tcW w:w="4314" w:type="dxa"/>
            <w:noWrap w:val="0"/>
            <w:vAlign w:val="top"/>
          </w:tcPr>
          <w:p w14:paraId="6351CB86">
            <w:pPr>
              <w:pStyle w:val="101"/>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sz w:val="21"/>
                <w:lang w:val="zh-CN"/>
              </w:rPr>
            </w:pPr>
            <w:r>
              <w:rPr>
                <w:sz w:val="21"/>
                <w:lang w:val="zh-CN"/>
              </w:rPr>
              <w:drawing>
                <wp:inline distT="0" distB="0" distL="114300" distR="114300">
                  <wp:extent cx="2599690" cy="1949450"/>
                  <wp:effectExtent l="0" t="0" r="10160" b="12700"/>
                  <wp:docPr id="60" name="图片 23" descr="b5c73ae3f0368bb41bbfd930b03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3" descr="b5c73ae3f0368bb41bbfd930b033873"/>
                          <pic:cNvPicPr>
                            <a:picLocks noChangeAspect="1"/>
                          </pic:cNvPicPr>
                        </pic:nvPicPr>
                        <pic:blipFill>
                          <a:blip r:embed="rId52"/>
                          <a:stretch>
                            <a:fillRect/>
                          </a:stretch>
                        </pic:blipFill>
                        <pic:spPr>
                          <a:xfrm>
                            <a:off x="0" y="0"/>
                            <a:ext cx="2599690" cy="1949450"/>
                          </a:xfrm>
                          <a:prstGeom prst="rect">
                            <a:avLst/>
                          </a:prstGeom>
                          <a:noFill/>
                          <a:ln>
                            <a:noFill/>
                          </a:ln>
                        </pic:spPr>
                      </pic:pic>
                    </a:graphicData>
                  </a:graphic>
                </wp:inline>
              </w:drawing>
            </w:r>
          </w:p>
          <w:p w14:paraId="6E45B316">
            <w:pPr>
              <w:keepNext w:val="0"/>
              <w:keepLines w:val="0"/>
              <w:pageBreakBefore w:val="0"/>
              <w:widowControl w:val="0"/>
              <w:tabs>
                <w:tab w:val="left" w:pos="1457"/>
              </w:tabs>
              <w:kinsoku/>
              <w:wordWrap/>
              <w:overflowPunct/>
              <w:topLinePunct w:val="0"/>
              <w:autoSpaceDE/>
              <w:autoSpaceDN/>
              <w:bidi w:val="0"/>
              <w:adjustRightInd w:val="0"/>
              <w:snapToGrid w:val="0"/>
              <w:spacing w:line="240" w:lineRule="auto"/>
              <w:ind w:firstLine="0" w:firstLineChars="0"/>
              <w:textAlignment w:val="auto"/>
              <w:rPr>
                <w:rFonts w:hint="eastAsia"/>
                <w:lang w:val="zh-CN"/>
              </w:rPr>
            </w:pPr>
            <w:r>
              <w:rPr>
                <w:lang w:val="zh-CN"/>
              </w:rPr>
              <w:tab/>
            </w:r>
            <w:r>
              <w:rPr>
                <w:rFonts w:hint="eastAsia"/>
              </w:rPr>
              <w:t>PTMG</w:t>
            </w:r>
            <w:r>
              <w:t>罐区</w:t>
            </w:r>
          </w:p>
        </w:tc>
      </w:tr>
      <w:tr w14:paraId="5AFC5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6" w:hRule="atLeast"/>
        </w:trPr>
        <w:tc>
          <w:tcPr>
            <w:tcW w:w="4212" w:type="dxa"/>
            <w:noWrap w:val="0"/>
            <w:vAlign w:val="top"/>
          </w:tcPr>
          <w:p w14:paraId="6C080A0B">
            <w:pPr>
              <w:pStyle w:val="10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lang w:val="zh-CN"/>
              </w:rPr>
            </w:pPr>
            <w:r>
              <w:rPr>
                <w:sz w:val="21"/>
                <w:lang w:val="zh-CN"/>
              </w:rPr>
              <w:drawing>
                <wp:inline distT="0" distB="0" distL="114300" distR="114300">
                  <wp:extent cx="2648585" cy="2156460"/>
                  <wp:effectExtent l="0" t="0" r="18415" b="15240"/>
                  <wp:docPr id="74" name="图片 24" descr="6d2b40d3456702e4f455ac2589db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4" descr="6d2b40d3456702e4f455ac2589db480"/>
                          <pic:cNvPicPr>
                            <a:picLocks noChangeAspect="1"/>
                          </pic:cNvPicPr>
                        </pic:nvPicPr>
                        <pic:blipFill>
                          <a:blip r:embed="rId53"/>
                          <a:srcRect r="8110"/>
                          <a:stretch>
                            <a:fillRect/>
                          </a:stretch>
                        </pic:blipFill>
                        <pic:spPr>
                          <a:xfrm>
                            <a:off x="0" y="0"/>
                            <a:ext cx="2648585" cy="2156460"/>
                          </a:xfrm>
                          <a:prstGeom prst="rect">
                            <a:avLst/>
                          </a:prstGeom>
                          <a:noFill/>
                          <a:ln>
                            <a:noFill/>
                          </a:ln>
                        </pic:spPr>
                      </pic:pic>
                    </a:graphicData>
                  </a:graphic>
                </wp:inline>
              </w:drawing>
            </w:r>
            <w:r>
              <w:rPr>
                <w:rFonts w:hint="eastAsia"/>
                <w:sz w:val="21"/>
                <w:lang w:val="zh-CN"/>
              </w:rPr>
              <w:t>烧碱罐区</w:t>
            </w:r>
          </w:p>
        </w:tc>
        <w:tc>
          <w:tcPr>
            <w:tcW w:w="4314" w:type="dxa"/>
            <w:noWrap w:val="0"/>
            <w:vAlign w:val="top"/>
          </w:tcPr>
          <w:p w14:paraId="329005C0">
            <w:pPr>
              <w:pStyle w:val="101"/>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lang w:val="zh-CN"/>
              </w:rPr>
            </w:pPr>
            <w:r>
              <w:rPr>
                <w:lang w:val="zh-CN"/>
              </w:rPr>
              <w:drawing>
                <wp:inline distT="0" distB="0" distL="114300" distR="114300">
                  <wp:extent cx="2875915" cy="2156460"/>
                  <wp:effectExtent l="0" t="0" r="635" b="15240"/>
                  <wp:docPr id="73" name="图片 25" descr="bc1565c2013dd2faa535a269adf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5" descr="bc1565c2013dd2faa535a269adf5075"/>
                          <pic:cNvPicPr>
                            <a:picLocks noChangeAspect="1"/>
                          </pic:cNvPicPr>
                        </pic:nvPicPr>
                        <pic:blipFill>
                          <a:blip r:embed="rId54"/>
                          <a:stretch>
                            <a:fillRect/>
                          </a:stretch>
                        </pic:blipFill>
                        <pic:spPr>
                          <a:xfrm>
                            <a:off x="0" y="0"/>
                            <a:ext cx="2875915" cy="2156460"/>
                          </a:xfrm>
                          <a:prstGeom prst="rect">
                            <a:avLst/>
                          </a:prstGeom>
                          <a:noFill/>
                          <a:ln>
                            <a:noFill/>
                          </a:ln>
                        </pic:spPr>
                      </pic:pic>
                    </a:graphicData>
                  </a:graphic>
                </wp:inline>
              </w:drawing>
            </w:r>
          </w:p>
          <w:p w14:paraId="35194693">
            <w:pPr>
              <w:pStyle w:val="10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lang w:val="zh-CN"/>
              </w:rPr>
            </w:pPr>
            <w:r>
              <w:rPr>
                <w:rFonts w:hint="eastAsia"/>
                <w:sz w:val="21"/>
                <w:lang w:val="zh-CN"/>
              </w:rPr>
              <w:t>氨水罐区</w:t>
            </w:r>
          </w:p>
        </w:tc>
      </w:tr>
      <w:tr w14:paraId="69A1D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0" w:hRule="atLeast"/>
        </w:trPr>
        <w:tc>
          <w:tcPr>
            <w:tcW w:w="4212" w:type="dxa"/>
            <w:noWrap w:val="0"/>
            <w:vAlign w:val="top"/>
          </w:tcPr>
          <w:p w14:paraId="541C8E8C">
            <w:pPr>
              <w:pStyle w:val="101"/>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lang w:val="zh-CN"/>
              </w:rPr>
            </w:pPr>
            <w:r>
              <w:rPr>
                <w:lang w:val="zh-CN"/>
              </w:rPr>
              <w:drawing>
                <wp:inline distT="0" distB="0" distL="114300" distR="114300">
                  <wp:extent cx="2534920" cy="1851660"/>
                  <wp:effectExtent l="0" t="0" r="17780" b="15240"/>
                  <wp:docPr id="75" name="图片 26" descr="9b633865f9ce81520898411265f4c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6" descr="9b633865f9ce81520898411265f4cd4"/>
                          <pic:cNvPicPr>
                            <a:picLocks noChangeAspect="1"/>
                          </pic:cNvPicPr>
                        </pic:nvPicPr>
                        <pic:blipFill>
                          <a:blip r:embed="rId55"/>
                          <a:stretch>
                            <a:fillRect/>
                          </a:stretch>
                        </pic:blipFill>
                        <pic:spPr>
                          <a:xfrm>
                            <a:off x="0" y="0"/>
                            <a:ext cx="2534920" cy="1851660"/>
                          </a:xfrm>
                          <a:prstGeom prst="rect">
                            <a:avLst/>
                          </a:prstGeom>
                          <a:noFill/>
                          <a:ln>
                            <a:noFill/>
                          </a:ln>
                        </pic:spPr>
                      </pic:pic>
                    </a:graphicData>
                  </a:graphic>
                </wp:inline>
              </w:drawing>
            </w:r>
          </w:p>
          <w:p w14:paraId="7D0379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lang w:val="zh-CN"/>
              </w:rPr>
            </w:pPr>
            <w:r>
              <w:rPr>
                <w:rFonts w:hint="eastAsia"/>
                <w:lang w:val="zh-CN"/>
              </w:rPr>
              <w:t>硫酸罐区</w:t>
            </w:r>
          </w:p>
        </w:tc>
        <w:tc>
          <w:tcPr>
            <w:tcW w:w="4314" w:type="dxa"/>
            <w:noWrap w:val="0"/>
            <w:vAlign w:val="top"/>
          </w:tcPr>
          <w:p w14:paraId="0CD05B5F">
            <w:pPr>
              <w:pStyle w:val="101"/>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pPr>
            <w:r>
              <w:drawing>
                <wp:inline distT="0" distB="0" distL="114300" distR="114300">
                  <wp:extent cx="2669540" cy="1850390"/>
                  <wp:effectExtent l="0" t="0" r="16510" b="16510"/>
                  <wp:docPr id="53" name="图片 27" descr="91ab25f658de5f046c2d3b8ed308a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7" descr="91ab25f658de5f046c2d3b8ed308a73"/>
                          <pic:cNvPicPr>
                            <a:picLocks noChangeAspect="1"/>
                          </pic:cNvPicPr>
                        </pic:nvPicPr>
                        <pic:blipFill>
                          <a:blip r:embed="rId56"/>
                          <a:stretch>
                            <a:fillRect/>
                          </a:stretch>
                        </pic:blipFill>
                        <pic:spPr>
                          <a:xfrm>
                            <a:off x="0" y="0"/>
                            <a:ext cx="2669540" cy="1850390"/>
                          </a:xfrm>
                          <a:prstGeom prst="rect">
                            <a:avLst/>
                          </a:prstGeom>
                          <a:noFill/>
                          <a:ln>
                            <a:noFill/>
                          </a:ln>
                        </pic:spPr>
                      </pic:pic>
                    </a:graphicData>
                  </a:graphic>
                </wp:inline>
              </w:drawing>
            </w:r>
          </w:p>
          <w:p w14:paraId="2EAF7F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lang w:val="zh-CN"/>
              </w:rPr>
            </w:pPr>
            <w:r>
              <w:rPr>
                <w:rFonts w:hint="eastAsia"/>
                <w:lang w:val="zh-CN"/>
              </w:rPr>
              <w:t>应急事故池</w:t>
            </w:r>
          </w:p>
        </w:tc>
      </w:tr>
    </w:tbl>
    <w:p w14:paraId="61C69ED2">
      <w:pPr>
        <w:jc w:val="center"/>
        <w:rPr>
          <w:rFonts w:hint="default"/>
          <w:b/>
          <w:bCs/>
          <w:color w:val="auto"/>
          <w:u w:val="none"/>
          <w:lang w:val="en-US" w:eastAsia="zh-CN"/>
        </w:rPr>
      </w:pPr>
      <w:r>
        <w:rPr>
          <w:rFonts w:hint="eastAsia"/>
          <w:b/>
          <w:bCs/>
        </w:rPr>
        <w:t xml:space="preserve">图 </w:t>
      </w:r>
      <w:r>
        <w:rPr>
          <w:rFonts w:hint="eastAsia"/>
          <w:b/>
          <w:bCs/>
          <w:lang w:val="en-US" w:eastAsia="zh-CN"/>
        </w:rPr>
        <w:t>3.6-2</w:t>
      </w:r>
      <w:r>
        <w:rPr>
          <w:rFonts w:hint="eastAsia"/>
          <w:b/>
          <w:bCs/>
          <w:color w:val="auto"/>
          <w:u w:val="none"/>
          <w:lang w:val="en-US" w:eastAsia="zh-CN"/>
        </w:rPr>
        <w:t>现有</w:t>
      </w:r>
      <w:r>
        <w:rPr>
          <w:rFonts w:hint="eastAsia"/>
          <w:b/>
          <w:bCs/>
        </w:rPr>
        <w:t>工程应急设施</w:t>
      </w:r>
      <w:r>
        <w:rPr>
          <w:b/>
          <w:bCs/>
        </w:rPr>
        <w:t>现状</w:t>
      </w:r>
    </w:p>
    <w:p w14:paraId="2F9FA126">
      <w:pPr>
        <w:pStyle w:val="3"/>
        <w:bidi w:val="0"/>
        <w:rPr>
          <w:color w:val="auto"/>
        </w:rPr>
      </w:pPr>
      <w:bookmarkStart w:id="162" w:name="_Toc4954"/>
      <w:r>
        <w:rPr>
          <w:rFonts w:hint="eastAsia"/>
          <w:color w:val="auto"/>
        </w:rPr>
        <w:t>现有工程存在的环保问题及整改措施</w:t>
      </w:r>
      <w:bookmarkEnd w:id="162"/>
    </w:p>
    <w:p w14:paraId="57D9FE01">
      <w:pPr>
        <w:rPr>
          <w:rFonts w:hint="eastAsia"/>
          <w:b w:val="0"/>
          <w:bCs w:val="0"/>
          <w:color w:val="auto"/>
          <w:u w:val="none"/>
          <w:lang w:val="en-US" w:eastAsia="zh-CN"/>
        </w:rPr>
      </w:pPr>
      <w:r>
        <w:rPr>
          <w:rFonts w:hint="eastAsia"/>
          <w:b w:val="0"/>
          <w:bCs w:val="0"/>
          <w:color w:val="auto"/>
          <w:u w:val="none"/>
          <w:lang w:val="en-US" w:eastAsia="zh-CN"/>
        </w:rPr>
        <w:t>根据现场查看以及分析，新乡化纤股份有限公司新厂区现场存在的环保问题及整改措施如下：</w:t>
      </w:r>
    </w:p>
    <w:p w14:paraId="5A1E9B2A">
      <w:pPr>
        <w:rPr>
          <w:rFonts w:hint="eastAsia"/>
          <w:b w:val="0"/>
          <w:bCs w:val="0"/>
          <w:color w:val="auto"/>
          <w:u w:val="none"/>
          <w:lang w:val="en-US" w:eastAsia="zh-CN"/>
        </w:rPr>
      </w:pPr>
      <w:r>
        <w:rPr>
          <w:rFonts w:hint="eastAsia"/>
          <w:b w:val="0"/>
          <w:bCs w:val="0"/>
          <w:color w:val="auto"/>
          <w:u w:val="none"/>
          <w:lang w:val="en-US" w:eastAsia="zh-CN"/>
        </w:rPr>
        <w:t>根据现场踏勘调查，现有工程存在问题见下表：</w:t>
      </w:r>
    </w:p>
    <w:p w14:paraId="0A7C8116">
      <w:pPr>
        <w:rPr>
          <w:rFonts w:hint="eastAsia"/>
          <w:b w:val="0"/>
          <w:bCs w:val="0"/>
          <w:color w:val="auto"/>
          <w:u w:val="none"/>
          <w:lang w:val="en-US" w:eastAsia="zh-CN"/>
        </w:rPr>
      </w:pPr>
      <w:r>
        <w:rPr>
          <w:rFonts w:hint="eastAsia"/>
          <w:b w:val="0"/>
          <w:bCs w:val="0"/>
          <w:color w:val="auto"/>
          <w:u w:val="none"/>
          <w:lang w:val="en-US" w:eastAsia="zh-CN"/>
        </w:rPr>
        <w:t>（1）脱盐水站盐酸储罐围堰高度不满足要求，不足以容纳单个盐酸储罐泄漏量，详见下图：</w:t>
      </w:r>
    </w:p>
    <w:p w14:paraId="742FF52F">
      <w:pPr>
        <w:pStyle w:val="101"/>
        <w:spacing w:line="240" w:lineRule="auto"/>
        <w:ind w:firstLine="0" w:firstLineChars="0"/>
        <w:jc w:val="both"/>
        <w:rPr>
          <w:rFonts w:hint="eastAsia"/>
        </w:rPr>
      </w:pPr>
      <w:r>
        <w:drawing>
          <wp:inline distT="0" distB="0" distL="114300" distR="114300">
            <wp:extent cx="5322570" cy="3248025"/>
            <wp:effectExtent l="0" t="0" r="11430" b="9525"/>
            <wp:docPr id="129" name="图片 22" descr="70d3253852a887f92344393e890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2" descr="70d3253852a887f92344393e8901806"/>
                    <pic:cNvPicPr>
                      <a:picLocks noChangeAspect="1"/>
                    </pic:cNvPicPr>
                  </pic:nvPicPr>
                  <pic:blipFill>
                    <a:blip r:embed="rId57"/>
                    <a:srcRect t="6914" b="11604"/>
                    <a:stretch>
                      <a:fillRect/>
                    </a:stretch>
                  </pic:blipFill>
                  <pic:spPr>
                    <a:xfrm>
                      <a:off x="0" y="0"/>
                      <a:ext cx="5322570" cy="3248025"/>
                    </a:xfrm>
                    <a:prstGeom prst="rect">
                      <a:avLst/>
                    </a:prstGeom>
                    <a:noFill/>
                    <a:ln>
                      <a:noFill/>
                    </a:ln>
                  </pic:spPr>
                </pic:pic>
              </a:graphicData>
            </a:graphic>
          </wp:inline>
        </w:drawing>
      </w:r>
    </w:p>
    <w:p w14:paraId="2E45DC59">
      <w:pPr>
        <w:pStyle w:val="181"/>
        <w:bidi w:val="0"/>
        <w:ind w:left="0" w:leftChars="0" w:firstLine="0" w:firstLineChars="0"/>
        <w:jc w:val="center"/>
        <w:rPr>
          <w:rFonts w:hint="eastAsia"/>
          <w:color w:val="auto"/>
          <w:u w:val="none"/>
          <w:lang w:val="en-US" w:eastAsia="zh-CN"/>
        </w:rPr>
      </w:pPr>
      <w:r>
        <w:rPr>
          <w:rFonts w:hint="eastAsia"/>
          <w:color w:val="auto"/>
          <w:u w:val="none"/>
          <w:lang w:val="en-US" w:eastAsia="zh-CN"/>
        </w:rPr>
        <w:t xml:space="preserve">图 </w:t>
      </w:r>
      <w:r>
        <w:rPr>
          <w:rFonts w:hint="eastAsia"/>
          <w:color w:val="auto"/>
          <w:u w:val="none"/>
          <w:lang w:val="en-US" w:eastAsia="zh-CN"/>
        </w:rPr>
        <w:fldChar w:fldCharType="begin"/>
      </w:r>
      <w:r>
        <w:rPr>
          <w:rFonts w:hint="eastAsia"/>
          <w:color w:val="auto"/>
          <w:u w:val="none"/>
          <w:lang w:val="en-US" w:eastAsia="zh-CN"/>
        </w:rPr>
        <w:instrText xml:space="preserve"> STYLEREF 2 \s </w:instrText>
      </w:r>
      <w:r>
        <w:rPr>
          <w:rFonts w:hint="eastAsia"/>
          <w:color w:val="auto"/>
          <w:u w:val="none"/>
          <w:lang w:val="en-US" w:eastAsia="zh-CN"/>
        </w:rPr>
        <w:fldChar w:fldCharType="separate"/>
      </w:r>
      <w:r>
        <w:rPr>
          <w:rFonts w:hint="eastAsia"/>
          <w:color w:val="auto"/>
          <w:u w:val="none"/>
          <w:lang w:val="en-US" w:eastAsia="zh-CN"/>
        </w:rPr>
        <w:t>3.7</w:t>
      </w:r>
      <w:r>
        <w:rPr>
          <w:rFonts w:hint="eastAsia"/>
          <w:color w:val="auto"/>
          <w:u w:val="none"/>
          <w:lang w:val="en-US" w:eastAsia="zh-CN"/>
        </w:rPr>
        <w:fldChar w:fldCharType="end"/>
      </w:r>
      <w:r>
        <w:rPr>
          <w:rFonts w:hint="eastAsia"/>
          <w:color w:val="auto"/>
          <w:u w:val="none"/>
          <w:lang w:val="en-US" w:eastAsia="zh-CN"/>
        </w:rPr>
        <w:noBreakHyphen/>
      </w:r>
      <w:r>
        <w:rPr>
          <w:rFonts w:hint="eastAsia"/>
          <w:color w:val="auto"/>
          <w:u w:val="none"/>
          <w:lang w:val="en-US" w:eastAsia="zh-CN"/>
        </w:rPr>
        <w:fldChar w:fldCharType="begin"/>
      </w:r>
      <w:r>
        <w:rPr>
          <w:rFonts w:hint="eastAsia"/>
          <w:color w:val="auto"/>
          <w:u w:val="none"/>
          <w:lang w:val="en-US" w:eastAsia="zh-CN"/>
        </w:rPr>
        <w:instrText xml:space="preserve"> SEQ 图 \* ARABIC \s 2 </w:instrText>
      </w:r>
      <w:r>
        <w:rPr>
          <w:rFonts w:hint="eastAsia"/>
          <w:color w:val="auto"/>
          <w:u w:val="none"/>
          <w:lang w:val="en-US" w:eastAsia="zh-CN"/>
        </w:rPr>
        <w:fldChar w:fldCharType="separate"/>
      </w:r>
      <w:r>
        <w:rPr>
          <w:rFonts w:hint="eastAsia"/>
          <w:color w:val="auto"/>
          <w:u w:val="none"/>
          <w:lang w:val="en-US" w:eastAsia="zh-CN"/>
        </w:rPr>
        <w:t>1</w:t>
      </w:r>
      <w:r>
        <w:rPr>
          <w:rFonts w:hint="eastAsia"/>
          <w:color w:val="auto"/>
          <w:u w:val="none"/>
          <w:lang w:val="en-US" w:eastAsia="zh-CN"/>
        </w:rPr>
        <w:fldChar w:fldCharType="end"/>
      </w:r>
      <w:r>
        <w:rPr>
          <w:rFonts w:hint="eastAsia"/>
          <w:color w:val="auto"/>
          <w:u w:val="none"/>
          <w:lang w:val="en-US" w:eastAsia="zh-CN"/>
        </w:rPr>
        <w:t xml:space="preserve"> 脱盐水站盐酸罐区围堰现状</w:t>
      </w:r>
    </w:p>
    <w:p w14:paraId="17165623">
      <w:pPr>
        <w:rPr>
          <w:rFonts w:hint="eastAsia"/>
          <w:b w:val="0"/>
          <w:bCs w:val="0"/>
          <w:color w:val="auto"/>
          <w:u w:val="none"/>
          <w:lang w:val="en-US" w:eastAsia="zh-CN"/>
        </w:rPr>
      </w:pPr>
      <w:r>
        <w:rPr>
          <w:rFonts w:hint="eastAsia"/>
          <w:b w:val="0"/>
          <w:bCs w:val="0"/>
          <w:color w:val="auto"/>
          <w:u w:val="none"/>
          <w:lang w:val="en-US" w:eastAsia="zh-CN"/>
        </w:rPr>
        <w:t>（2）厂区应急事故池雨水过多，应及时排出，留出空间应对事故发生，详见下图：</w:t>
      </w:r>
    </w:p>
    <w:p w14:paraId="37D731D1">
      <w:pPr>
        <w:pStyle w:val="101"/>
        <w:spacing w:line="240" w:lineRule="auto"/>
        <w:ind w:left="0" w:leftChars="0" w:firstLine="0" w:firstLineChars="0"/>
        <w:rPr>
          <w:rFonts w:hint="eastAsia"/>
        </w:rPr>
      </w:pPr>
      <w:r>
        <w:rPr>
          <w:rFonts w:hint="default"/>
          <w:b w:val="0"/>
          <w:bCs w:val="0"/>
          <w:color w:val="auto"/>
          <w:u w:val="none"/>
          <w:lang w:val="en-US" w:eastAsia="zh-CN"/>
        </w:rPr>
        <w:drawing>
          <wp:inline distT="0" distB="0" distL="114300" distR="114300">
            <wp:extent cx="5428615" cy="3366770"/>
            <wp:effectExtent l="0" t="0" r="635" b="5080"/>
            <wp:docPr id="131" name="图片 131" descr="91ab25f658de5f046c2d3b8ed308a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91ab25f658de5f046c2d3b8ed308a73"/>
                    <pic:cNvPicPr>
                      <a:picLocks noChangeAspect="1"/>
                    </pic:cNvPicPr>
                  </pic:nvPicPr>
                  <pic:blipFill>
                    <a:blip r:embed="rId56"/>
                    <a:stretch>
                      <a:fillRect/>
                    </a:stretch>
                  </pic:blipFill>
                  <pic:spPr>
                    <a:xfrm>
                      <a:off x="0" y="0"/>
                      <a:ext cx="5428615" cy="3366770"/>
                    </a:xfrm>
                    <a:prstGeom prst="rect">
                      <a:avLst/>
                    </a:prstGeom>
                  </pic:spPr>
                </pic:pic>
              </a:graphicData>
            </a:graphic>
          </wp:inline>
        </w:drawing>
      </w:r>
    </w:p>
    <w:p w14:paraId="3C144B1C">
      <w:pPr>
        <w:pStyle w:val="181"/>
        <w:bidi w:val="0"/>
        <w:ind w:left="0" w:leftChars="0" w:firstLine="0" w:firstLineChars="0"/>
        <w:jc w:val="center"/>
        <w:rPr>
          <w:rFonts w:hint="eastAsia"/>
          <w:color w:val="auto"/>
          <w:u w:val="none"/>
          <w:lang w:val="en-US" w:eastAsia="zh-CN"/>
        </w:rPr>
      </w:pPr>
      <w:r>
        <w:rPr>
          <w:rFonts w:hint="eastAsia"/>
          <w:color w:val="auto"/>
          <w:u w:val="none"/>
          <w:lang w:val="en-US" w:eastAsia="zh-CN"/>
        </w:rPr>
        <w:t xml:space="preserve">图 </w:t>
      </w:r>
      <w:r>
        <w:rPr>
          <w:rFonts w:hint="eastAsia"/>
          <w:color w:val="auto"/>
          <w:u w:val="none"/>
          <w:lang w:val="en-US" w:eastAsia="zh-CN"/>
        </w:rPr>
        <w:fldChar w:fldCharType="begin"/>
      </w:r>
      <w:r>
        <w:rPr>
          <w:rFonts w:hint="eastAsia"/>
          <w:color w:val="auto"/>
          <w:u w:val="none"/>
          <w:lang w:val="en-US" w:eastAsia="zh-CN"/>
        </w:rPr>
        <w:instrText xml:space="preserve"> STYLEREF 2 \s </w:instrText>
      </w:r>
      <w:r>
        <w:rPr>
          <w:rFonts w:hint="eastAsia"/>
          <w:color w:val="auto"/>
          <w:u w:val="none"/>
          <w:lang w:val="en-US" w:eastAsia="zh-CN"/>
        </w:rPr>
        <w:fldChar w:fldCharType="separate"/>
      </w:r>
      <w:r>
        <w:rPr>
          <w:rFonts w:hint="eastAsia"/>
          <w:color w:val="auto"/>
          <w:u w:val="none"/>
          <w:lang w:val="en-US" w:eastAsia="zh-CN"/>
        </w:rPr>
        <w:t>3.7</w:t>
      </w:r>
      <w:r>
        <w:rPr>
          <w:rFonts w:hint="eastAsia"/>
          <w:color w:val="auto"/>
          <w:u w:val="none"/>
          <w:lang w:val="en-US" w:eastAsia="zh-CN"/>
        </w:rPr>
        <w:fldChar w:fldCharType="end"/>
      </w:r>
      <w:r>
        <w:rPr>
          <w:rFonts w:hint="eastAsia"/>
          <w:color w:val="auto"/>
          <w:u w:val="none"/>
          <w:lang w:val="en-US" w:eastAsia="zh-CN"/>
        </w:rPr>
        <w:noBreakHyphen/>
      </w:r>
      <w:r>
        <w:rPr>
          <w:rFonts w:hint="eastAsia"/>
          <w:color w:val="auto"/>
          <w:u w:val="none"/>
          <w:lang w:val="en-US" w:eastAsia="zh-CN"/>
        </w:rPr>
        <w:fldChar w:fldCharType="begin"/>
      </w:r>
      <w:r>
        <w:rPr>
          <w:rFonts w:hint="eastAsia"/>
          <w:color w:val="auto"/>
          <w:u w:val="none"/>
          <w:lang w:val="en-US" w:eastAsia="zh-CN"/>
        </w:rPr>
        <w:instrText xml:space="preserve"> SEQ 图 \* ARABIC \s 2 </w:instrText>
      </w:r>
      <w:r>
        <w:rPr>
          <w:rFonts w:hint="eastAsia"/>
          <w:color w:val="auto"/>
          <w:u w:val="none"/>
          <w:lang w:val="en-US" w:eastAsia="zh-CN"/>
        </w:rPr>
        <w:fldChar w:fldCharType="separate"/>
      </w:r>
      <w:r>
        <w:rPr>
          <w:rFonts w:hint="eastAsia"/>
          <w:color w:val="auto"/>
          <w:u w:val="none"/>
          <w:lang w:val="en-US" w:eastAsia="zh-CN"/>
        </w:rPr>
        <w:t>2</w:t>
      </w:r>
      <w:r>
        <w:rPr>
          <w:rFonts w:hint="eastAsia"/>
          <w:color w:val="auto"/>
          <w:u w:val="none"/>
          <w:lang w:val="en-US" w:eastAsia="zh-CN"/>
        </w:rPr>
        <w:fldChar w:fldCharType="end"/>
      </w:r>
      <w:r>
        <w:rPr>
          <w:rFonts w:hint="eastAsia"/>
          <w:color w:val="auto"/>
          <w:u w:val="none"/>
          <w:lang w:val="en-US" w:eastAsia="zh-CN"/>
        </w:rPr>
        <w:t xml:space="preserve"> 现有应急事故池现状</w:t>
      </w:r>
    </w:p>
    <w:p w14:paraId="2EBDD918">
      <w:pPr>
        <w:pStyle w:val="101"/>
        <w:rPr>
          <w:rFonts w:hint="eastAsia"/>
        </w:rPr>
      </w:pPr>
      <w:r>
        <w:rPr>
          <w:rFonts w:hint="eastAsia"/>
        </w:rPr>
        <w:t>综合以上分析，现有工程存在问题汇总及整改措施如下：</w:t>
      </w:r>
    </w:p>
    <w:p w14:paraId="51340275">
      <w:pPr>
        <w:pStyle w:val="10"/>
        <w:bidi w:val="0"/>
        <w:rPr>
          <w:rFonts w:hint="default"/>
          <w:lang w:val="en-US" w:eastAsia="zh-CN"/>
        </w:rPr>
      </w:pPr>
      <w:r>
        <w:t xml:space="preserve">表 </w:t>
      </w:r>
      <w:r>
        <w:fldChar w:fldCharType="begin"/>
      </w:r>
      <w:r>
        <w:instrText xml:space="preserve"> STYLEREF 2 \s </w:instrText>
      </w:r>
      <w:r>
        <w:fldChar w:fldCharType="separate"/>
      </w:r>
      <w:r>
        <w:t>3.7</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rPr>
        <w:t xml:space="preserve"> 现有工程存在问题</w:t>
      </w:r>
      <w:r>
        <w:rPr>
          <w:rFonts w:hint="eastAsia"/>
          <w:lang w:val="en-US" w:eastAsia="zh-CN"/>
        </w:rPr>
        <w:t>及整改措施</w:t>
      </w:r>
    </w:p>
    <w:tbl>
      <w:tblPr>
        <w:tblStyle w:val="31"/>
        <w:tblW w:w="4998"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442"/>
        <w:gridCol w:w="2804"/>
        <w:gridCol w:w="3942"/>
        <w:gridCol w:w="1813"/>
      </w:tblGrid>
      <w:tr w14:paraId="71BD79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blHeader/>
          <w:jc w:val="center"/>
        </w:trPr>
        <w:tc>
          <w:tcPr>
            <w:tcW w:w="246" w:type="pct"/>
            <w:tcBorders>
              <w:left w:val="single" w:color="auto" w:sz="4" w:space="0"/>
            </w:tcBorders>
            <w:shd w:val="clear" w:color="auto" w:fill="auto"/>
            <w:noWrap w:val="0"/>
            <w:vAlign w:val="center"/>
          </w:tcPr>
          <w:p w14:paraId="39ACF04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b/>
              </w:rPr>
              <w:t>序号</w:t>
            </w:r>
          </w:p>
        </w:tc>
        <w:tc>
          <w:tcPr>
            <w:tcW w:w="2804" w:type="dxa"/>
            <w:shd w:val="clear" w:color="auto" w:fill="auto"/>
            <w:noWrap w:val="0"/>
            <w:vAlign w:val="center"/>
          </w:tcPr>
          <w:p w14:paraId="243A495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b/>
                <w:bCs/>
                <w:u w:val="single"/>
              </w:rPr>
              <w:t>存在问题</w:t>
            </w:r>
          </w:p>
        </w:tc>
        <w:tc>
          <w:tcPr>
            <w:tcW w:w="3942" w:type="dxa"/>
            <w:tcBorders>
              <w:right w:val="single" w:color="auto" w:sz="4" w:space="0"/>
            </w:tcBorders>
            <w:noWrap w:val="0"/>
            <w:vAlign w:val="center"/>
          </w:tcPr>
          <w:p w14:paraId="4BF52AF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b/>
                <w:bCs/>
                <w:u w:val="single"/>
              </w:rPr>
              <w:t>整改措施</w:t>
            </w:r>
          </w:p>
        </w:tc>
        <w:tc>
          <w:tcPr>
            <w:tcW w:w="1813" w:type="dxa"/>
            <w:tcBorders>
              <w:right w:val="single" w:color="auto" w:sz="4" w:space="0"/>
            </w:tcBorders>
            <w:noWrap w:val="0"/>
            <w:vAlign w:val="center"/>
          </w:tcPr>
          <w:p w14:paraId="274382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hint="eastAsia"/>
                <w:b/>
                <w:bCs/>
                <w:u w:val="single"/>
                <w:lang w:val="en-US" w:eastAsia="zh-CN"/>
              </w:rPr>
              <w:t>存在问题整改时间</w:t>
            </w:r>
          </w:p>
        </w:tc>
      </w:tr>
      <w:tr w14:paraId="1FEBAE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246" w:type="pct"/>
            <w:tcBorders>
              <w:left w:val="single" w:color="auto" w:sz="4" w:space="0"/>
            </w:tcBorders>
            <w:shd w:val="clear" w:color="auto" w:fill="auto"/>
            <w:noWrap w:val="0"/>
            <w:vAlign w:val="center"/>
          </w:tcPr>
          <w:p w14:paraId="062D05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1</w:t>
            </w:r>
          </w:p>
        </w:tc>
        <w:tc>
          <w:tcPr>
            <w:tcW w:w="2804" w:type="dxa"/>
            <w:shd w:val="clear" w:color="auto" w:fill="auto"/>
            <w:noWrap w:val="0"/>
            <w:vAlign w:val="center"/>
          </w:tcPr>
          <w:p w14:paraId="4364103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b/>
                <w:bCs/>
                <w:u w:val="single"/>
              </w:rPr>
              <w:t>脱盐水站盐酸储罐围堰高度不满足要求，不不足以容纳单个盐酸储罐泄漏量</w:t>
            </w:r>
          </w:p>
        </w:tc>
        <w:tc>
          <w:tcPr>
            <w:tcW w:w="3942" w:type="dxa"/>
            <w:tcBorders>
              <w:right w:val="single" w:color="auto" w:sz="4" w:space="0"/>
            </w:tcBorders>
            <w:noWrap w:val="0"/>
            <w:vAlign w:val="center"/>
          </w:tcPr>
          <w:p w14:paraId="1CF67D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color w:val="000000"/>
              </w:rPr>
            </w:pPr>
            <w:r>
              <w:rPr>
                <w:b/>
                <w:bCs/>
                <w:color w:val="000000"/>
                <w:u w:val="single"/>
              </w:rPr>
              <w:t>围堰高度应大于</w:t>
            </w:r>
            <w:r>
              <w:rPr>
                <w:rFonts w:hint="eastAsia"/>
                <w:b/>
                <w:bCs/>
                <w:color w:val="000000"/>
                <w:u w:val="single"/>
              </w:rPr>
              <w:t>150mm，收纳容积大于15m</w:t>
            </w:r>
            <w:r>
              <w:rPr>
                <w:rFonts w:hint="eastAsia"/>
                <w:b/>
                <w:bCs/>
                <w:color w:val="000000"/>
                <w:u w:val="single"/>
                <w:vertAlign w:val="superscript"/>
              </w:rPr>
              <w:t>3</w:t>
            </w:r>
          </w:p>
        </w:tc>
        <w:tc>
          <w:tcPr>
            <w:tcW w:w="1813" w:type="dxa"/>
            <w:tcBorders>
              <w:right w:val="single" w:color="auto" w:sz="4" w:space="0"/>
            </w:tcBorders>
            <w:noWrap w:val="0"/>
            <w:vAlign w:val="center"/>
          </w:tcPr>
          <w:p w14:paraId="7159D52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color w:val="000000"/>
              </w:rPr>
            </w:pPr>
            <w:r>
              <w:rPr>
                <w:rFonts w:hint="eastAsia"/>
                <w:b/>
                <w:bCs/>
                <w:color w:val="000000"/>
                <w:u w:val="single"/>
                <w:lang w:val="en-US" w:eastAsia="zh-CN"/>
              </w:rPr>
              <w:t>企业已安排进行整改，1个月内将整改完成</w:t>
            </w:r>
          </w:p>
        </w:tc>
      </w:tr>
      <w:tr w14:paraId="586F85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246" w:type="pct"/>
            <w:tcBorders>
              <w:left w:val="single" w:color="auto" w:sz="4" w:space="0"/>
            </w:tcBorders>
            <w:shd w:val="clear" w:color="auto" w:fill="auto"/>
            <w:noWrap w:val="0"/>
            <w:vAlign w:val="center"/>
          </w:tcPr>
          <w:p w14:paraId="550687A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2</w:t>
            </w:r>
          </w:p>
        </w:tc>
        <w:tc>
          <w:tcPr>
            <w:tcW w:w="2804" w:type="dxa"/>
            <w:shd w:val="clear" w:color="auto" w:fill="auto"/>
            <w:noWrap w:val="0"/>
            <w:vAlign w:val="center"/>
          </w:tcPr>
          <w:p w14:paraId="511C27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b/>
                <w:bCs/>
                <w:u w:val="single"/>
              </w:rPr>
              <w:t>厂区应急事故池内雨水未及时排出</w:t>
            </w:r>
          </w:p>
        </w:tc>
        <w:tc>
          <w:tcPr>
            <w:tcW w:w="3942" w:type="dxa"/>
            <w:tcBorders>
              <w:right w:val="single" w:color="auto" w:sz="4" w:space="0"/>
            </w:tcBorders>
            <w:noWrap w:val="0"/>
            <w:vAlign w:val="center"/>
          </w:tcPr>
          <w:p w14:paraId="6EF0AC9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color w:val="000000"/>
                <w:lang w:val="en-US" w:eastAsia="zh-CN"/>
              </w:rPr>
            </w:pPr>
            <w:r>
              <w:rPr>
                <w:rFonts w:hint="eastAsia"/>
                <w:b/>
                <w:bCs/>
                <w:u w:val="single"/>
              </w:rPr>
              <w:t>事故池内雨水</w:t>
            </w:r>
            <w:r>
              <w:rPr>
                <w:rFonts w:hint="eastAsia"/>
                <w:b/>
                <w:bCs/>
                <w:u w:val="single"/>
                <w:lang w:val="en-US" w:eastAsia="zh-CN"/>
              </w:rPr>
              <w:t>分批次排入厂区污水处理站处理</w:t>
            </w:r>
            <w:r>
              <w:rPr>
                <w:rFonts w:hint="eastAsia"/>
                <w:b/>
                <w:bCs/>
                <w:u w:val="single"/>
              </w:rPr>
              <w:t>，保持空置状态</w:t>
            </w:r>
          </w:p>
        </w:tc>
        <w:tc>
          <w:tcPr>
            <w:tcW w:w="1813" w:type="dxa"/>
            <w:tcBorders>
              <w:right w:val="single" w:color="auto" w:sz="4" w:space="0"/>
            </w:tcBorders>
            <w:noWrap w:val="0"/>
            <w:vAlign w:val="center"/>
          </w:tcPr>
          <w:p w14:paraId="3C305A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val="0"/>
                <w:bCs w:val="0"/>
                <w:color w:val="auto"/>
                <w:u w:val="none"/>
                <w:lang w:val="en-US" w:eastAsia="zh-CN"/>
              </w:rPr>
            </w:pPr>
            <w:r>
              <w:rPr>
                <w:rFonts w:hint="eastAsia"/>
                <w:b/>
                <w:bCs/>
                <w:color w:val="000000"/>
                <w:u w:val="single"/>
                <w:lang w:val="en-US" w:eastAsia="zh-CN"/>
              </w:rPr>
              <w:t>企业已安排进行整改，1个月内将整改完成</w:t>
            </w:r>
          </w:p>
        </w:tc>
      </w:tr>
    </w:tbl>
    <w:p w14:paraId="2B482304">
      <w:pPr>
        <w:pStyle w:val="2"/>
        <w:bidi w:val="0"/>
      </w:pPr>
      <w:bookmarkStart w:id="163" w:name="_Toc9242"/>
      <w:r>
        <w:rPr>
          <w:rFonts w:hint="eastAsia"/>
        </w:rPr>
        <w:t>本项目工程分析</w:t>
      </w:r>
      <w:bookmarkEnd w:id="163"/>
    </w:p>
    <w:p w14:paraId="05EF6804">
      <w:pPr>
        <w:pStyle w:val="3"/>
        <w:bidi w:val="0"/>
      </w:pPr>
      <w:bookmarkStart w:id="164" w:name="_Toc14306"/>
      <w:r>
        <w:rPr>
          <w:rFonts w:hint="eastAsia"/>
        </w:rPr>
        <w:t>项目基本情况</w:t>
      </w:r>
      <w:bookmarkEnd w:id="164"/>
    </w:p>
    <w:p w14:paraId="0ADA0A8E">
      <w:pPr>
        <w:pStyle w:val="5"/>
        <w:bidi w:val="0"/>
        <w:rPr>
          <w:rFonts w:hint="default"/>
          <w:color w:val="auto"/>
          <w:lang w:val="en-US" w:eastAsia="zh-CN"/>
        </w:rPr>
      </w:pPr>
      <w:r>
        <w:rPr>
          <w:rFonts w:hint="eastAsia"/>
          <w:color w:val="auto"/>
        </w:rPr>
        <w:t>项目</w:t>
      </w:r>
      <w:r>
        <w:rPr>
          <w:rFonts w:hint="eastAsia"/>
          <w:color w:val="auto"/>
          <w:lang w:val="en-US" w:eastAsia="zh-CN"/>
        </w:rPr>
        <w:t>小试</w:t>
      </w:r>
    </w:p>
    <w:p w14:paraId="017974BC">
      <w:pPr>
        <w:pStyle w:val="6"/>
        <w:bidi w:val="0"/>
        <w:rPr>
          <w:rFonts w:hint="default"/>
          <w:lang w:val="en-US" w:eastAsia="zh-CN"/>
        </w:rPr>
      </w:pPr>
      <w:r>
        <w:rPr>
          <w:rFonts w:hint="eastAsia"/>
          <w:lang w:val="en-US" w:eastAsia="zh-CN"/>
        </w:rPr>
        <w:t>项目小试概况</w:t>
      </w:r>
    </w:p>
    <w:p w14:paraId="021EB2C8">
      <w:pPr>
        <w:bidi w:val="0"/>
        <w:rPr>
          <w:rFonts w:hint="eastAsia"/>
          <w:b/>
          <w:bCs/>
          <w:color w:val="auto"/>
          <w:u w:val="single"/>
          <w:lang w:val="en-US" w:eastAsia="zh-CN"/>
        </w:rPr>
      </w:pPr>
      <w:r>
        <w:rPr>
          <w:rFonts w:hint="eastAsia"/>
          <w:b/>
          <w:bCs/>
          <w:color w:val="auto"/>
          <w:u w:val="single"/>
          <w:lang w:val="en-US" w:eastAsia="zh-CN"/>
        </w:rPr>
        <w:t>小试由新乡化纤股份有限公司与西南交通大学合作，摒弃了传统的溶解体系，利用绿色新型DT复合溶剂对浆粕在温和条件下进行溶解和再生。后与中国纺织工业联合会合作，使用以酒店回收布草为代表的废旧棉纺织品为原料，进一步深入研发，实现了DT溶剂体系下废旧棉纺织品中纤维素的直接溶解和再生，最终实现了废旧棉纺织品的循环再使用</w:t>
      </w:r>
    </w:p>
    <w:p w14:paraId="2541977D">
      <w:pPr>
        <w:bidi w:val="0"/>
        <w:rPr>
          <w:rFonts w:hint="eastAsia"/>
          <w:b/>
          <w:bCs/>
          <w:color w:val="auto"/>
          <w:u w:val="single"/>
          <w:lang w:val="en-US" w:eastAsia="zh-CN"/>
        </w:rPr>
      </w:pPr>
      <w:r>
        <w:rPr>
          <w:rFonts w:hint="eastAsia"/>
          <w:b/>
          <w:bCs/>
          <w:color w:val="auto"/>
          <w:u w:val="single"/>
          <w:lang w:val="en-US" w:eastAsia="zh-CN"/>
        </w:rPr>
        <w:t>*</w:t>
      </w:r>
    </w:p>
    <w:p w14:paraId="75A160F5">
      <w:pPr>
        <w:bidi w:val="0"/>
        <w:rPr>
          <w:rFonts w:hint="default"/>
          <w:b/>
          <w:bCs/>
          <w:color w:val="auto"/>
          <w:u w:val="single"/>
          <w:lang w:val="en-US" w:eastAsia="zh-CN"/>
        </w:rPr>
      </w:pPr>
      <w:r>
        <w:rPr>
          <w:rFonts w:hint="eastAsia"/>
          <w:b/>
          <w:bCs/>
          <w:color w:val="auto"/>
          <w:u w:val="single"/>
          <w:lang w:val="en-US" w:eastAsia="zh-CN"/>
        </w:rPr>
        <w:t>*</w:t>
      </w:r>
    </w:p>
    <w:p w14:paraId="75CACFFA">
      <w:pPr>
        <w:bidi w:val="0"/>
        <w:rPr>
          <w:rFonts w:hint="eastAsia"/>
          <w:b/>
          <w:bCs/>
          <w:color w:val="auto"/>
          <w:u w:val="single"/>
          <w:lang w:val="en-US" w:eastAsia="zh-CN"/>
        </w:rPr>
      </w:pPr>
      <w:r>
        <w:rPr>
          <w:rFonts w:hint="eastAsia"/>
          <w:b/>
          <w:bCs/>
          <w:color w:val="auto"/>
          <w:u w:val="single"/>
          <w:lang w:val="en-US" w:eastAsia="zh-CN"/>
        </w:rPr>
        <w:t>*</w:t>
      </w:r>
    </w:p>
    <w:p w14:paraId="4A3F9406">
      <w:pPr>
        <w:bidi w:val="0"/>
        <w:rPr>
          <w:rFonts w:hint="default"/>
          <w:b/>
          <w:bCs/>
          <w:color w:val="auto"/>
          <w:u w:val="single"/>
          <w:lang w:val="en-US" w:eastAsia="zh-CN"/>
        </w:rPr>
      </w:pPr>
      <w:r>
        <w:rPr>
          <w:rFonts w:hint="eastAsia"/>
          <w:b/>
          <w:bCs/>
          <w:color w:val="auto"/>
          <w:u w:val="single"/>
          <w:lang w:val="en-US" w:eastAsia="zh-CN"/>
        </w:rPr>
        <w:t>*</w:t>
      </w:r>
    </w:p>
    <w:p w14:paraId="16A3B29F">
      <w:pPr>
        <w:bidi w:val="0"/>
        <w:rPr>
          <w:rFonts w:hint="eastAsia"/>
          <w:b/>
          <w:bCs/>
          <w:color w:val="auto"/>
          <w:u w:val="single"/>
          <w:lang w:val="en-US" w:eastAsia="zh-CN"/>
        </w:rPr>
      </w:pPr>
      <w:r>
        <w:rPr>
          <w:rFonts w:hint="eastAsia"/>
          <w:b/>
          <w:bCs/>
          <w:color w:val="auto"/>
          <w:u w:val="single"/>
          <w:lang w:val="en-US" w:eastAsia="zh-CN"/>
        </w:rPr>
        <w:t>*</w:t>
      </w:r>
    </w:p>
    <w:p w14:paraId="01A85A82">
      <w:pPr>
        <w:bidi w:val="0"/>
        <w:rPr>
          <w:rFonts w:hint="default"/>
          <w:b/>
          <w:bCs/>
          <w:color w:val="auto"/>
          <w:u w:val="single"/>
          <w:lang w:val="en-US" w:eastAsia="zh-CN"/>
        </w:rPr>
      </w:pPr>
      <w:r>
        <w:rPr>
          <w:rFonts w:hint="eastAsia"/>
          <w:b/>
          <w:bCs/>
          <w:color w:val="auto"/>
          <w:u w:val="single"/>
          <w:lang w:val="en-US" w:eastAsia="zh-CN"/>
        </w:rPr>
        <w:t>*</w:t>
      </w:r>
    </w:p>
    <w:p w14:paraId="284A2A3A">
      <w:pPr>
        <w:bidi w:val="0"/>
        <w:rPr>
          <w:rFonts w:hint="eastAsia"/>
          <w:b/>
          <w:bCs/>
          <w:color w:val="auto"/>
          <w:u w:val="single"/>
          <w:lang w:val="en-US" w:eastAsia="zh-CN"/>
        </w:rPr>
      </w:pPr>
      <w:r>
        <w:rPr>
          <w:rFonts w:hint="eastAsia"/>
          <w:b/>
          <w:bCs/>
          <w:color w:val="auto"/>
          <w:u w:val="single"/>
          <w:lang w:val="en-US" w:eastAsia="zh-CN"/>
        </w:rPr>
        <w:t>*</w:t>
      </w:r>
    </w:p>
    <w:p w14:paraId="55B59F47">
      <w:pPr>
        <w:bidi w:val="0"/>
        <w:rPr>
          <w:rFonts w:hint="default"/>
          <w:b/>
          <w:bCs/>
          <w:color w:val="auto"/>
          <w:u w:val="single"/>
          <w:lang w:val="en-US" w:eastAsia="zh-CN"/>
        </w:rPr>
      </w:pPr>
      <w:r>
        <w:rPr>
          <w:rFonts w:hint="eastAsia"/>
          <w:b/>
          <w:bCs/>
          <w:color w:val="auto"/>
          <w:u w:val="single"/>
          <w:lang w:val="en-US" w:eastAsia="zh-CN"/>
        </w:rPr>
        <w:t>*</w:t>
      </w:r>
    </w:p>
    <w:p w14:paraId="6B4F79C1">
      <w:pPr>
        <w:bidi w:val="0"/>
        <w:rPr>
          <w:rFonts w:hint="eastAsia"/>
          <w:b/>
          <w:bCs/>
          <w:color w:val="auto"/>
          <w:u w:val="single"/>
          <w:lang w:val="en-US" w:eastAsia="zh-CN"/>
        </w:rPr>
      </w:pPr>
      <w:r>
        <w:rPr>
          <w:rFonts w:hint="eastAsia"/>
          <w:b/>
          <w:bCs/>
          <w:color w:val="auto"/>
          <w:u w:val="single"/>
          <w:lang w:val="en-US" w:eastAsia="zh-CN"/>
        </w:rPr>
        <w:t>*</w:t>
      </w:r>
    </w:p>
    <w:p w14:paraId="3DB88712">
      <w:pPr>
        <w:bidi w:val="0"/>
        <w:rPr>
          <w:rFonts w:hint="default"/>
          <w:b/>
          <w:bCs/>
          <w:color w:val="auto"/>
          <w:u w:val="single"/>
          <w:lang w:val="en-US" w:eastAsia="zh-CN"/>
        </w:rPr>
      </w:pPr>
      <w:r>
        <w:rPr>
          <w:rFonts w:hint="eastAsia"/>
          <w:b/>
          <w:bCs/>
          <w:color w:val="auto"/>
          <w:u w:val="single"/>
          <w:lang w:val="en-US" w:eastAsia="zh-CN"/>
        </w:rPr>
        <w:t>*</w:t>
      </w:r>
    </w:p>
    <w:p w14:paraId="566FCD2B">
      <w:pPr>
        <w:bidi w:val="0"/>
        <w:rPr>
          <w:rFonts w:hint="eastAsia"/>
          <w:b/>
          <w:bCs/>
          <w:color w:val="auto"/>
          <w:u w:val="single"/>
          <w:lang w:val="en-US" w:eastAsia="zh-CN"/>
        </w:rPr>
      </w:pPr>
      <w:r>
        <w:rPr>
          <w:rFonts w:hint="eastAsia"/>
          <w:b/>
          <w:bCs/>
          <w:color w:val="auto"/>
          <w:u w:val="single"/>
          <w:lang w:val="en-US" w:eastAsia="zh-CN"/>
        </w:rPr>
        <w:t>*</w:t>
      </w:r>
    </w:p>
    <w:p w14:paraId="1268CDEA">
      <w:pPr>
        <w:bidi w:val="0"/>
        <w:rPr>
          <w:rFonts w:hint="default"/>
          <w:b/>
          <w:bCs/>
          <w:color w:val="auto"/>
          <w:u w:val="single"/>
          <w:lang w:val="en-US" w:eastAsia="zh-CN"/>
        </w:rPr>
      </w:pPr>
      <w:r>
        <w:rPr>
          <w:rFonts w:hint="eastAsia"/>
          <w:b/>
          <w:bCs/>
          <w:color w:val="auto"/>
          <w:u w:val="single"/>
          <w:lang w:val="en-US" w:eastAsia="zh-CN"/>
        </w:rPr>
        <w:t>*</w:t>
      </w:r>
    </w:p>
    <w:p w14:paraId="384A9358">
      <w:pPr>
        <w:bidi w:val="0"/>
        <w:rPr>
          <w:rFonts w:hint="eastAsia"/>
          <w:b/>
          <w:bCs/>
          <w:color w:val="auto"/>
          <w:u w:val="single"/>
          <w:lang w:val="en-US" w:eastAsia="zh-CN"/>
        </w:rPr>
      </w:pPr>
      <w:r>
        <w:rPr>
          <w:rFonts w:hint="eastAsia"/>
          <w:b/>
          <w:bCs/>
          <w:color w:val="auto"/>
          <w:u w:val="single"/>
          <w:lang w:val="en-US" w:eastAsia="zh-CN"/>
        </w:rPr>
        <w:t>*</w:t>
      </w:r>
    </w:p>
    <w:p w14:paraId="52625986">
      <w:pPr>
        <w:bidi w:val="0"/>
        <w:rPr>
          <w:rFonts w:hint="default"/>
          <w:b/>
          <w:bCs/>
          <w:color w:val="auto"/>
          <w:u w:val="single"/>
          <w:lang w:val="en-US" w:eastAsia="zh-CN"/>
        </w:rPr>
      </w:pPr>
      <w:r>
        <w:rPr>
          <w:rFonts w:hint="eastAsia"/>
          <w:b/>
          <w:bCs/>
          <w:color w:val="auto"/>
          <w:u w:val="single"/>
          <w:lang w:val="en-US" w:eastAsia="zh-CN"/>
        </w:rPr>
        <w:t>*</w:t>
      </w:r>
    </w:p>
    <w:p w14:paraId="135D06F6">
      <w:pPr>
        <w:bidi w:val="0"/>
        <w:rPr>
          <w:rFonts w:hint="eastAsia"/>
          <w:b/>
          <w:bCs/>
          <w:color w:val="auto"/>
          <w:u w:val="single"/>
          <w:lang w:val="en-US" w:eastAsia="zh-CN"/>
        </w:rPr>
      </w:pPr>
      <w:r>
        <w:rPr>
          <w:rFonts w:hint="eastAsia"/>
          <w:b/>
          <w:bCs/>
          <w:color w:val="auto"/>
          <w:u w:val="single"/>
          <w:lang w:val="en-US" w:eastAsia="zh-CN"/>
        </w:rPr>
        <w:t>*</w:t>
      </w:r>
    </w:p>
    <w:p w14:paraId="5452AFA0">
      <w:pPr>
        <w:bidi w:val="0"/>
        <w:rPr>
          <w:rFonts w:hint="default"/>
          <w:b/>
          <w:bCs/>
          <w:color w:val="auto"/>
          <w:u w:val="single"/>
          <w:lang w:val="en-US" w:eastAsia="zh-CN"/>
        </w:rPr>
      </w:pPr>
      <w:r>
        <w:rPr>
          <w:rFonts w:hint="eastAsia"/>
          <w:b/>
          <w:bCs/>
          <w:color w:val="auto"/>
          <w:u w:val="single"/>
          <w:lang w:val="en-US" w:eastAsia="zh-CN"/>
        </w:rPr>
        <w:t>*</w:t>
      </w:r>
    </w:p>
    <w:p w14:paraId="23BFEC91">
      <w:pPr>
        <w:bidi w:val="0"/>
        <w:rPr>
          <w:rFonts w:hint="eastAsia"/>
          <w:b/>
          <w:bCs/>
          <w:color w:val="auto"/>
          <w:u w:val="single"/>
          <w:lang w:val="en-US" w:eastAsia="zh-CN"/>
        </w:rPr>
      </w:pPr>
      <w:r>
        <w:rPr>
          <w:rFonts w:hint="eastAsia"/>
          <w:b/>
          <w:bCs/>
          <w:color w:val="auto"/>
          <w:u w:val="single"/>
          <w:lang w:val="en-US" w:eastAsia="zh-CN"/>
        </w:rPr>
        <w:t>*</w:t>
      </w:r>
    </w:p>
    <w:p w14:paraId="4029D4B9">
      <w:pPr>
        <w:bidi w:val="0"/>
        <w:rPr>
          <w:rFonts w:hint="default"/>
          <w:b/>
          <w:bCs/>
          <w:color w:val="auto"/>
          <w:u w:val="single"/>
          <w:lang w:val="en-US" w:eastAsia="zh-CN"/>
        </w:rPr>
      </w:pPr>
      <w:r>
        <w:rPr>
          <w:rFonts w:hint="eastAsia"/>
          <w:b/>
          <w:bCs/>
          <w:color w:val="auto"/>
          <w:u w:val="single"/>
          <w:lang w:val="en-US" w:eastAsia="zh-CN"/>
        </w:rPr>
        <w:t>*</w:t>
      </w:r>
    </w:p>
    <w:p w14:paraId="5AFD793C">
      <w:pPr>
        <w:bidi w:val="0"/>
        <w:rPr>
          <w:rFonts w:hint="eastAsia"/>
          <w:b/>
          <w:bCs/>
          <w:color w:val="auto"/>
          <w:u w:val="single"/>
          <w:lang w:val="en-US" w:eastAsia="zh-CN"/>
        </w:rPr>
      </w:pPr>
      <w:r>
        <w:rPr>
          <w:rFonts w:hint="eastAsia"/>
          <w:b/>
          <w:bCs/>
          <w:color w:val="auto"/>
          <w:u w:val="single"/>
          <w:lang w:val="en-US" w:eastAsia="zh-CN"/>
        </w:rPr>
        <w:t>*</w:t>
      </w:r>
    </w:p>
    <w:p w14:paraId="4DD07742">
      <w:pPr>
        <w:bidi w:val="0"/>
        <w:rPr>
          <w:rFonts w:hint="default"/>
          <w:b/>
          <w:bCs/>
          <w:color w:val="auto"/>
          <w:u w:val="single"/>
          <w:lang w:val="en-US" w:eastAsia="zh-CN"/>
        </w:rPr>
      </w:pPr>
      <w:r>
        <w:rPr>
          <w:rFonts w:hint="eastAsia"/>
          <w:b/>
          <w:bCs/>
          <w:color w:val="auto"/>
          <w:u w:val="single"/>
          <w:lang w:val="en-US" w:eastAsia="zh-CN"/>
        </w:rPr>
        <w:t>*</w:t>
      </w:r>
    </w:p>
    <w:p w14:paraId="0D17445B">
      <w:pPr>
        <w:bidi w:val="0"/>
        <w:rPr>
          <w:rFonts w:hint="eastAsia"/>
          <w:b/>
          <w:bCs/>
          <w:color w:val="auto"/>
          <w:u w:val="single"/>
          <w:lang w:val="en-US" w:eastAsia="zh-CN"/>
        </w:rPr>
      </w:pPr>
      <w:r>
        <w:rPr>
          <w:rFonts w:hint="eastAsia"/>
          <w:b/>
          <w:bCs/>
          <w:color w:val="auto"/>
          <w:u w:val="single"/>
          <w:lang w:val="en-US" w:eastAsia="zh-CN"/>
        </w:rPr>
        <w:t>*</w:t>
      </w:r>
    </w:p>
    <w:p w14:paraId="3C27E5C8">
      <w:pPr>
        <w:bidi w:val="0"/>
        <w:rPr>
          <w:rFonts w:hint="default"/>
          <w:b/>
          <w:bCs/>
          <w:color w:val="auto"/>
          <w:u w:val="single"/>
          <w:lang w:val="en-US" w:eastAsia="zh-CN"/>
        </w:rPr>
      </w:pPr>
      <w:r>
        <w:rPr>
          <w:rFonts w:hint="eastAsia"/>
          <w:b/>
          <w:bCs/>
          <w:color w:val="auto"/>
          <w:u w:val="single"/>
          <w:lang w:val="en-US" w:eastAsia="zh-CN"/>
        </w:rPr>
        <w:t>*</w:t>
      </w:r>
    </w:p>
    <w:p w14:paraId="6A658384">
      <w:pPr>
        <w:bidi w:val="0"/>
        <w:rPr>
          <w:rFonts w:hint="eastAsia"/>
          <w:b/>
          <w:bCs/>
          <w:color w:val="auto"/>
          <w:u w:val="single"/>
          <w:lang w:val="en-US" w:eastAsia="zh-CN"/>
        </w:rPr>
      </w:pPr>
      <w:r>
        <w:rPr>
          <w:rFonts w:hint="eastAsia"/>
          <w:b/>
          <w:bCs/>
          <w:color w:val="auto"/>
          <w:u w:val="single"/>
          <w:lang w:val="en-US" w:eastAsia="zh-CN"/>
        </w:rPr>
        <w:t>*</w:t>
      </w:r>
    </w:p>
    <w:p w14:paraId="7372DD27">
      <w:pPr>
        <w:bidi w:val="0"/>
        <w:rPr>
          <w:rFonts w:hint="default"/>
          <w:b/>
          <w:bCs/>
          <w:color w:val="auto"/>
          <w:u w:val="single"/>
          <w:lang w:val="en-US" w:eastAsia="zh-CN"/>
        </w:rPr>
      </w:pPr>
      <w:r>
        <w:rPr>
          <w:rFonts w:hint="eastAsia"/>
          <w:b/>
          <w:bCs/>
          <w:color w:val="auto"/>
          <w:u w:val="single"/>
          <w:lang w:val="en-US" w:eastAsia="zh-CN"/>
        </w:rPr>
        <w:t>*</w:t>
      </w:r>
    </w:p>
    <w:p w14:paraId="7852226B">
      <w:pPr>
        <w:bidi w:val="0"/>
        <w:rPr>
          <w:rFonts w:hint="eastAsia"/>
          <w:b/>
          <w:bCs/>
          <w:color w:val="auto"/>
          <w:u w:val="single"/>
          <w:lang w:val="en-US" w:eastAsia="zh-CN"/>
        </w:rPr>
      </w:pPr>
      <w:r>
        <w:rPr>
          <w:rFonts w:hint="eastAsia"/>
          <w:b/>
          <w:bCs/>
          <w:color w:val="auto"/>
          <w:u w:val="single"/>
          <w:lang w:val="en-US" w:eastAsia="zh-CN"/>
        </w:rPr>
        <w:t>*</w:t>
      </w:r>
    </w:p>
    <w:p w14:paraId="7075B6CD">
      <w:pPr>
        <w:bidi w:val="0"/>
        <w:rPr>
          <w:rFonts w:hint="default"/>
          <w:b/>
          <w:bCs/>
          <w:color w:val="auto"/>
          <w:u w:val="single"/>
          <w:lang w:val="en-US" w:eastAsia="zh-CN"/>
        </w:rPr>
      </w:pPr>
      <w:r>
        <w:rPr>
          <w:rFonts w:hint="eastAsia"/>
          <w:b/>
          <w:bCs/>
          <w:color w:val="auto"/>
          <w:u w:val="single"/>
          <w:lang w:val="en-US" w:eastAsia="zh-CN"/>
        </w:rPr>
        <w:t>*</w:t>
      </w:r>
    </w:p>
    <w:p w14:paraId="2B1E8C12">
      <w:pPr>
        <w:bidi w:val="0"/>
        <w:rPr>
          <w:rFonts w:hint="eastAsia"/>
          <w:b/>
          <w:bCs/>
          <w:color w:val="auto"/>
          <w:u w:val="single"/>
          <w:lang w:val="en-US" w:eastAsia="zh-CN"/>
        </w:rPr>
      </w:pPr>
      <w:r>
        <w:rPr>
          <w:rFonts w:hint="eastAsia"/>
          <w:b/>
          <w:bCs/>
          <w:color w:val="auto"/>
          <w:u w:val="single"/>
          <w:lang w:val="en-US" w:eastAsia="zh-CN"/>
        </w:rPr>
        <w:t>。</w:t>
      </w:r>
    </w:p>
    <w:p w14:paraId="2CC08A0D">
      <w:pPr>
        <w:pStyle w:val="6"/>
        <w:bidi w:val="0"/>
        <w:rPr>
          <w:rFonts w:hint="eastAsia"/>
          <w:color w:val="auto"/>
        </w:rPr>
      </w:pPr>
      <w:r>
        <w:rPr>
          <w:rFonts w:hint="eastAsia"/>
          <w:color w:val="auto"/>
          <w:lang w:val="en-US" w:eastAsia="zh-CN"/>
        </w:rPr>
        <w:t>项目小试工艺流程</w:t>
      </w:r>
    </w:p>
    <w:p w14:paraId="50BA4302">
      <w:pPr>
        <w:bidi w:val="0"/>
        <w:rPr>
          <w:rFonts w:hint="eastAsia"/>
          <w:b/>
          <w:bCs/>
          <w:color w:val="auto"/>
          <w:u w:val="single"/>
          <w:lang w:val="en-US" w:eastAsia="zh-CN"/>
        </w:rPr>
      </w:pPr>
      <w:r>
        <w:rPr>
          <w:rFonts w:hint="eastAsia"/>
          <w:b/>
          <w:bCs/>
          <w:color w:val="auto"/>
          <w:u w:val="single"/>
          <w:lang w:val="en-US" w:eastAsia="zh-CN"/>
        </w:rPr>
        <w:t>*</w:t>
      </w:r>
    </w:p>
    <w:p w14:paraId="68253034">
      <w:pPr>
        <w:bidi w:val="0"/>
        <w:rPr>
          <w:rFonts w:hint="default"/>
          <w:b/>
          <w:bCs/>
          <w:color w:val="auto"/>
          <w:u w:val="single"/>
          <w:lang w:val="en-US" w:eastAsia="zh-CN"/>
        </w:rPr>
      </w:pPr>
      <w:r>
        <w:rPr>
          <w:rFonts w:hint="eastAsia"/>
          <w:b/>
          <w:bCs/>
          <w:color w:val="auto"/>
          <w:u w:val="single"/>
          <w:lang w:val="en-US" w:eastAsia="zh-CN"/>
        </w:rPr>
        <w:t>*</w:t>
      </w:r>
    </w:p>
    <w:p w14:paraId="3E93EDB0">
      <w:pPr>
        <w:bidi w:val="0"/>
        <w:rPr>
          <w:rFonts w:hint="eastAsia"/>
          <w:b/>
          <w:bCs/>
          <w:color w:val="auto"/>
          <w:u w:val="single"/>
          <w:lang w:val="en-US" w:eastAsia="zh-CN"/>
        </w:rPr>
      </w:pPr>
      <w:r>
        <w:rPr>
          <w:rFonts w:hint="eastAsia"/>
          <w:b/>
          <w:bCs/>
          <w:color w:val="auto"/>
          <w:u w:val="single"/>
          <w:lang w:val="en-US" w:eastAsia="zh-CN"/>
        </w:rPr>
        <w:t>*</w:t>
      </w:r>
    </w:p>
    <w:p w14:paraId="26A1DE81">
      <w:pPr>
        <w:bidi w:val="0"/>
        <w:rPr>
          <w:rFonts w:hint="default"/>
          <w:b/>
          <w:bCs/>
          <w:color w:val="auto"/>
          <w:u w:val="single"/>
          <w:lang w:val="en-US" w:eastAsia="zh-CN"/>
        </w:rPr>
      </w:pPr>
      <w:r>
        <w:rPr>
          <w:rFonts w:hint="eastAsia"/>
          <w:b/>
          <w:bCs/>
          <w:color w:val="auto"/>
          <w:u w:val="single"/>
          <w:lang w:val="en-US" w:eastAsia="zh-CN"/>
        </w:rPr>
        <w:t>*</w:t>
      </w:r>
    </w:p>
    <w:p w14:paraId="11BF7FCD">
      <w:pPr>
        <w:bidi w:val="0"/>
        <w:rPr>
          <w:rFonts w:hint="eastAsia"/>
          <w:b/>
          <w:bCs/>
          <w:color w:val="auto"/>
          <w:u w:val="single"/>
          <w:lang w:val="en-US" w:eastAsia="zh-CN"/>
        </w:rPr>
      </w:pPr>
      <w:r>
        <w:rPr>
          <w:rFonts w:hint="eastAsia"/>
          <w:b/>
          <w:bCs/>
          <w:color w:val="auto"/>
          <w:u w:val="single"/>
          <w:lang w:val="en-US" w:eastAsia="zh-CN"/>
        </w:rPr>
        <w:t>*</w:t>
      </w:r>
    </w:p>
    <w:p w14:paraId="55644D19">
      <w:pPr>
        <w:bidi w:val="0"/>
        <w:rPr>
          <w:rFonts w:hint="default"/>
          <w:b/>
          <w:bCs/>
          <w:color w:val="auto"/>
          <w:u w:val="single"/>
          <w:lang w:val="en-US" w:eastAsia="zh-CN"/>
        </w:rPr>
      </w:pPr>
      <w:r>
        <w:rPr>
          <w:rFonts w:hint="eastAsia"/>
          <w:b/>
          <w:bCs/>
          <w:color w:val="auto"/>
          <w:u w:val="single"/>
          <w:lang w:val="en-US" w:eastAsia="zh-CN"/>
        </w:rPr>
        <w:t>*</w:t>
      </w:r>
    </w:p>
    <w:p w14:paraId="308C6EA7">
      <w:pPr>
        <w:bidi w:val="0"/>
        <w:rPr>
          <w:rFonts w:hint="eastAsia"/>
          <w:b/>
          <w:bCs/>
          <w:color w:val="auto"/>
          <w:u w:val="single"/>
          <w:lang w:val="en-US" w:eastAsia="zh-CN"/>
        </w:rPr>
      </w:pPr>
      <w:r>
        <w:rPr>
          <w:rFonts w:hint="eastAsia"/>
          <w:b/>
          <w:bCs/>
          <w:color w:val="auto"/>
          <w:u w:val="single"/>
          <w:lang w:val="en-US" w:eastAsia="zh-CN"/>
        </w:rPr>
        <w:t>*</w:t>
      </w:r>
    </w:p>
    <w:p w14:paraId="3226B681">
      <w:pPr>
        <w:bidi w:val="0"/>
        <w:rPr>
          <w:rFonts w:hint="default"/>
          <w:b/>
          <w:bCs/>
          <w:color w:val="auto"/>
          <w:u w:val="single"/>
          <w:lang w:val="en-US" w:eastAsia="zh-CN"/>
        </w:rPr>
      </w:pPr>
      <w:r>
        <w:rPr>
          <w:rFonts w:hint="eastAsia"/>
          <w:b/>
          <w:bCs/>
          <w:color w:val="auto"/>
          <w:u w:val="single"/>
          <w:lang w:val="en-US" w:eastAsia="zh-CN"/>
        </w:rPr>
        <w:t>*</w:t>
      </w:r>
    </w:p>
    <w:p w14:paraId="28491CAB">
      <w:pPr>
        <w:bidi w:val="0"/>
        <w:rPr>
          <w:rFonts w:hint="eastAsia"/>
          <w:b/>
          <w:bCs/>
          <w:color w:val="auto"/>
          <w:u w:val="single"/>
          <w:lang w:val="en-US" w:eastAsia="zh-CN"/>
        </w:rPr>
      </w:pPr>
      <w:r>
        <w:rPr>
          <w:rFonts w:hint="eastAsia"/>
          <w:b/>
          <w:bCs/>
          <w:color w:val="auto"/>
          <w:u w:val="single"/>
          <w:lang w:val="en-US" w:eastAsia="zh-CN"/>
        </w:rPr>
        <w:t>*</w:t>
      </w:r>
    </w:p>
    <w:p w14:paraId="758F47AF">
      <w:pPr>
        <w:bidi w:val="0"/>
        <w:rPr>
          <w:rFonts w:hint="default"/>
          <w:b/>
          <w:bCs/>
          <w:color w:val="auto"/>
          <w:u w:val="single"/>
          <w:lang w:val="en-US" w:eastAsia="zh-CN"/>
        </w:rPr>
      </w:pPr>
      <w:r>
        <w:rPr>
          <w:rFonts w:hint="eastAsia"/>
          <w:b/>
          <w:bCs/>
          <w:color w:val="auto"/>
          <w:u w:val="single"/>
          <w:lang w:val="en-US" w:eastAsia="zh-CN"/>
        </w:rPr>
        <w:t>*</w:t>
      </w:r>
    </w:p>
    <w:p w14:paraId="65D0F431">
      <w:pPr>
        <w:bidi w:val="0"/>
        <w:rPr>
          <w:rFonts w:hint="eastAsia"/>
          <w:b/>
          <w:bCs/>
          <w:color w:val="auto"/>
          <w:u w:val="single"/>
          <w:lang w:val="en-US" w:eastAsia="zh-CN"/>
        </w:rPr>
      </w:pPr>
      <w:r>
        <w:rPr>
          <w:rFonts w:hint="eastAsia"/>
          <w:b/>
          <w:bCs/>
          <w:color w:val="auto"/>
          <w:u w:val="single"/>
          <w:lang w:val="en-US" w:eastAsia="zh-CN"/>
        </w:rPr>
        <w:t>*</w:t>
      </w:r>
    </w:p>
    <w:p w14:paraId="3FE1983B">
      <w:pPr>
        <w:bidi w:val="0"/>
        <w:rPr>
          <w:rFonts w:hint="default"/>
          <w:b/>
          <w:bCs/>
          <w:color w:val="auto"/>
          <w:u w:val="single"/>
          <w:lang w:val="en-US" w:eastAsia="zh-CN"/>
        </w:rPr>
      </w:pPr>
      <w:r>
        <w:rPr>
          <w:rFonts w:hint="eastAsia"/>
          <w:b/>
          <w:bCs/>
          <w:color w:val="auto"/>
          <w:u w:val="single"/>
          <w:lang w:val="en-US" w:eastAsia="zh-CN"/>
        </w:rPr>
        <w:t>*</w:t>
      </w:r>
    </w:p>
    <w:p w14:paraId="03CFA600">
      <w:pPr>
        <w:bidi w:val="0"/>
        <w:rPr>
          <w:rFonts w:hint="eastAsia"/>
          <w:b/>
          <w:bCs/>
          <w:color w:val="auto"/>
          <w:u w:val="single"/>
          <w:lang w:val="en-US" w:eastAsia="zh-CN"/>
        </w:rPr>
      </w:pPr>
      <w:r>
        <w:rPr>
          <w:rFonts w:hint="eastAsia"/>
          <w:b/>
          <w:bCs/>
          <w:color w:val="auto"/>
          <w:u w:val="single"/>
          <w:lang w:val="en-US" w:eastAsia="zh-CN"/>
        </w:rPr>
        <w:t>*</w:t>
      </w:r>
    </w:p>
    <w:p w14:paraId="5363169D">
      <w:pPr>
        <w:bidi w:val="0"/>
        <w:rPr>
          <w:rFonts w:hint="default"/>
          <w:b/>
          <w:bCs/>
          <w:color w:val="auto"/>
          <w:u w:val="single"/>
          <w:lang w:val="en-US" w:eastAsia="zh-CN"/>
        </w:rPr>
      </w:pPr>
      <w:r>
        <w:rPr>
          <w:rFonts w:hint="eastAsia"/>
          <w:b/>
          <w:bCs/>
          <w:color w:val="auto"/>
          <w:u w:val="single"/>
          <w:lang w:val="en-US" w:eastAsia="zh-CN"/>
        </w:rPr>
        <w:t>*</w:t>
      </w:r>
    </w:p>
    <w:p w14:paraId="5E2A6662">
      <w:pPr>
        <w:bidi w:val="0"/>
        <w:rPr>
          <w:rFonts w:hint="eastAsia"/>
          <w:b/>
          <w:bCs/>
          <w:color w:val="auto"/>
          <w:u w:val="single"/>
          <w:lang w:val="en-US" w:eastAsia="zh-CN"/>
        </w:rPr>
      </w:pPr>
      <w:r>
        <w:rPr>
          <w:rFonts w:hint="eastAsia"/>
          <w:b/>
          <w:bCs/>
          <w:color w:val="auto"/>
          <w:u w:val="single"/>
          <w:lang w:val="en-US" w:eastAsia="zh-CN"/>
        </w:rPr>
        <w:t>*</w:t>
      </w:r>
    </w:p>
    <w:p w14:paraId="2C5111F2">
      <w:pPr>
        <w:bidi w:val="0"/>
        <w:rPr>
          <w:rFonts w:hint="default"/>
          <w:b/>
          <w:bCs/>
          <w:color w:val="auto"/>
          <w:u w:val="single"/>
          <w:lang w:val="en-US" w:eastAsia="zh-CN"/>
        </w:rPr>
      </w:pPr>
      <w:r>
        <w:rPr>
          <w:rFonts w:hint="eastAsia"/>
          <w:b/>
          <w:bCs/>
          <w:color w:val="auto"/>
          <w:u w:val="single"/>
          <w:lang w:val="en-US" w:eastAsia="zh-CN"/>
        </w:rPr>
        <w:t>*</w:t>
      </w:r>
    </w:p>
    <w:p w14:paraId="20FF2B13">
      <w:pPr>
        <w:bidi w:val="0"/>
        <w:rPr>
          <w:rFonts w:hint="eastAsia"/>
          <w:b/>
          <w:bCs/>
          <w:color w:val="auto"/>
          <w:u w:val="single"/>
          <w:lang w:val="en-US" w:eastAsia="zh-CN"/>
        </w:rPr>
      </w:pPr>
      <w:r>
        <w:rPr>
          <w:rFonts w:hint="eastAsia"/>
          <w:b/>
          <w:bCs/>
          <w:color w:val="auto"/>
          <w:u w:val="single"/>
          <w:lang w:val="en-US" w:eastAsia="zh-CN"/>
        </w:rPr>
        <w:t>*</w:t>
      </w:r>
    </w:p>
    <w:p w14:paraId="0A9BCCDD">
      <w:pPr>
        <w:bidi w:val="0"/>
        <w:rPr>
          <w:rFonts w:hint="default"/>
          <w:b/>
          <w:bCs/>
          <w:color w:val="auto"/>
          <w:u w:val="single"/>
          <w:lang w:val="en-US" w:eastAsia="zh-CN"/>
        </w:rPr>
      </w:pPr>
      <w:r>
        <w:rPr>
          <w:rFonts w:hint="eastAsia"/>
          <w:b/>
          <w:bCs/>
          <w:color w:val="auto"/>
          <w:u w:val="single"/>
          <w:lang w:val="en-US" w:eastAsia="zh-CN"/>
        </w:rPr>
        <w:t>*</w:t>
      </w:r>
    </w:p>
    <w:p w14:paraId="7A205EDA">
      <w:pPr>
        <w:bidi w:val="0"/>
        <w:rPr>
          <w:rFonts w:hint="eastAsia"/>
          <w:b/>
          <w:bCs/>
          <w:color w:val="auto"/>
          <w:u w:val="single"/>
          <w:lang w:val="en-US" w:eastAsia="zh-CN"/>
        </w:rPr>
      </w:pPr>
      <w:r>
        <w:rPr>
          <w:rFonts w:hint="eastAsia"/>
          <w:b/>
          <w:bCs/>
          <w:color w:val="auto"/>
          <w:u w:val="single"/>
          <w:lang w:val="en-US" w:eastAsia="zh-CN"/>
        </w:rPr>
        <w:t>*</w:t>
      </w:r>
    </w:p>
    <w:p w14:paraId="0B24381E">
      <w:pPr>
        <w:bidi w:val="0"/>
        <w:rPr>
          <w:rFonts w:hint="default"/>
          <w:b/>
          <w:bCs/>
          <w:color w:val="auto"/>
          <w:u w:val="single"/>
          <w:lang w:val="en-US" w:eastAsia="zh-CN"/>
        </w:rPr>
      </w:pPr>
      <w:r>
        <w:rPr>
          <w:rFonts w:hint="eastAsia"/>
          <w:b/>
          <w:bCs/>
          <w:color w:val="auto"/>
          <w:u w:val="single"/>
          <w:lang w:val="en-US" w:eastAsia="zh-CN"/>
        </w:rPr>
        <w:t>*</w:t>
      </w:r>
    </w:p>
    <w:p w14:paraId="0479A61B">
      <w:pPr>
        <w:bidi w:val="0"/>
        <w:rPr>
          <w:rFonts w:hint="eastAsia"/>
          <w:b/>
          <w:bCs/>
          <w:color w:val="auto"/>
          <w:u w:val="single"/>
          <w:lang w:val="en-US" w:eastAsia="zh-CN"/>
        </w:rPr>
      </w:pPr>
      <w:r>
        <w:rPr>
          <w:rFonts w:hint="eastAsia"/>
          <w:b/>
          <w:bCs/>
          <w:color w:val="auto"/>
          <w:u w:val="single"/>
          <w:lang w:val="en-US" w:eastAsia="zh-CN"/>
        </w:rPr>
        <w:t>*</w:t>
      </w:r>
    </w:p>
    <w:p w14:paraId="7D3E6D7A">
      <w:pPr>
        <w:bidi w:val="0"/>
        <w:rPr>
          <w:rFonts w:hint="default"/>
          <w:b/>
          <w:bCs/>
          <w:color w:val="auto"/>
          <w:u w:val="single"/>
          <w:lang w:val="en-US" w:eastAsia="zh-CN"/>
        </w:rPr>
      </w:pPr>
      <w:r>
        <w:rPr>
          <w:rFonts w:hint="eastAsia"/>
          <w:b/>
          <w:bCs/>
          <w:color w:val="auto"/>
          <w:u w:val="single"/>
          <w:lang w:val="en-US" w:eastAsia="zh-CN"/>
        </w:rPr>
        <w:t>*</w:t>
      </w:r>
    </w:p>
    <w:p w14:paraId="40F9E87D">
      <w:pPr>
        <w:bidi w:val="0"/>
        <w:rPr>
          <w:rFonts w:hint="eastAsia"/>
          <w:b/>
          <w:bCs/>
          <w:color w:val="auto"/>
          <w:u w:val="single"/>
          <w:lang w:val="en-US" w:eastAsia="zh-CN"/>
        </w:rPr>
      </w:pPr>
      <w:r>
        <w:rPr>
          <w:rFonts w:hint="eastAsia"/>
          <w:b/>
          <w:bCs/>
          <w:color w:val="auto"/>
          <w:u w:val="single"/>
          <w:lang w:val="en-US" w:eastAsia="zh-CN"/>
        </w:rPr>
        <w:t>*</w:t>
      </w:r>
    </w:p>
    <w:p w14:paraId="35F58A4A">
      <w:pPr>
        <w:bidi w:val="0"/>
        <w:rPr>
          <w:rFonts w:hint="default"/>
          <w:b/>
          <w:bCs/>
          <w:color w:val="auto"/>
          <w:u w:val="single"/>
          <w:lang w:val="en-US" w:eastAsia="zh-CN"/>
        </w:rPr>
      </w:pPr>
      <w:r>
        <w:rPr>
          <w:rFonts w:hint="eastAsia"/>
          <w:b/>
          <w:bCs/>
          <w:color w:val="auto"/>
          <w:u w:val="single"/>
          <w:lang w:val="en-US" w:eastAsia="zh-CN"/>
        </w:rPr>
        <w:t>*</w:t>
      </w:r>
    </w:p>
    <w:p w14:paraId="7A4E3A86">
      <w:pPr>
        <w:bidi w:val="0"/>
        <w:rPr>
          <w:rFonts w:hint="eastAsia"/>
          <w:b/>
          <w:bCs/>
          <w:color w:val="auto"/>
          <w:u w:val="single"/>
          <w:lang w:val="en-US" w:eastAsia="zh-CN"/>
        </w:rPr>
      </w:pPr>
      <w:r>
        <w:rPr>
          <w:rFonts w:hint="eastAsia"/>
          <w:b/>
          <w:bCs/>
          <w:color w:val="auto"/>
          <w:u w:val="single"/>
          <w:lang w:val="en-US" w:eastAsia="zh-CN"/>
        </w:rPr>
        <w:t>*</w:t>
      </w:r>
    </w:p>
    <w:p w14:paraId="0AE65AB5">
      <w:pPr>
        <w:bidi w:val="0"/>
        <w:rPr>
          <w:rFonts w:hint="default"/>
          <w:b/>
          <w:bCs/>
          <w:color w:val="auto"/>
          <w:u w:val="single"/>
          <w:lang w:val="en-US" w:eastAsia="zh-CN"/>
        </w:rPr>
      </w:pPr>
      <w:r>
        <w:rPr>
          <w:rFonts w:hint="eastAsia"/>
          <w:b/>
          <w:bCs/>
          <w:color w:val="auto"/>
          <w:u w:val="single"/>
          <w:lang w:val="en-US" w:eastAsia="zh-CN"/>
        </w:rPr>
        <w:t>*</w:t>
      </w:r>
    </w:p>
    <w:p w14:paraId="144AB3EF">
      <w:pPr>
        <w:bidi w:val="0"/>
        <w:rPr>
          <w:rFonts w:hint="eastAsia"/>
          <w:b/>
          <w:bCs/>
          <w:color w:val="auto"/>
          <w:u w:val="single"/>
          <w:lang w:val="en-US" w:eastAsia="zh-CN"/>
        </w:rPr>
      </w:pPr>
      <w:r>
        <w:rPr>
          <w:rFonts w:hint="eastAsia"/>
          <w:b/>
          <w:bCs/>
          <w:color w:val="auto"/>
          <w:u w:val="single"/>
          <w:lang w:val="en-US" w:eastAsia="zh-CN"/>
        </w:rPr>
        <w:t>。</w:t>
      </w:r>
    </w:p>
    <w:p w14:paraId="4F9A95D9">
      <w:pPr>
        <w:bidi w:val="0"/>
        <w:rPr>
          <w:rFonts w:hint="default"/>
          <w:color w:val="auto"/>
          <w:lang w:val="en-US" w:eastAsia="zh-CN"/>
        </w:rPr>
      </w:pPr>
    </w:p>
    <w:p w14:paraId="130B0175">
      <w:pPr>
        <w:pStyle w:val="6"/>
        <w:bidi w:val="0"/>
        <w:rPr>
          <w:rFonts w:hint="eastAsia"/>
          <w:lang w:val="en-US" w:eastAsia="zh-CN"/>
        </w:rPr>
      </w:pPr>
      <w:r>
        <w:rPr>
          <w:rFonts w:hint="eastAsia"/>
        </w:rPr>
        <w:t>项目</w:t>
      </w:r>
      <w:r>
        <w:rPr>
          <w:rFonts w:hint="eastAsia"/>
          <w:lang w:val="en-US" w:eastAsia="zh-CN"/>
        </w:rPr>
        <w:t>小试产排污情况</w:t>
      </w:r>
    </w:p>
    <w:p w14:paraId="07A07676">
      <w:pPr>
        <w:bidi w:val="0"/>
        <w:rPr>
          <w:rFonts w:hint="eastAsia"/>
          <w:b/>
          <w:bCs/>
          <w:color w:val="auto"/>
          <w:u w:val="single"/>
          <w:lang w:val="en-US" w:eastAsia="zh-CN"/>
        </w:rPr>
      </w:pPr>
      <w:r>
        <w:rPr>
          <w:rFonts w:hint="eastAsia"/>
          <w:b/>
          <w:bCs/>
          <w:color w:val="auto"/>
          <w:u w:val="single"/>
          <w:lang w:val="en-US" w:eastAsia="zh-CN"/>
        </w:rPr>
        <w:t>*</w:t>
      </w:r>
    </w:p>
    <w:p w14:paraId="5C3197AF">
      <w:pPr>
        <w:bidi w:val="0"/>
        <w:rPr>
          <w:rFonts w:hint="default"/>
          <w:b/>
          <w:bCs/>
          <w:color w:val="auto"/>
          <w:u w:val="single"/>
          <w:lang w:val="en-US" w:eastAsia="zh-CN"/>
        </w:rPr>
      </w:pPr>
      <w:r>
        <w:rPr>
          <w:rFonts w:hint="eastAsia"/>
          <w:b/>
          <w:bCs/>
          <w:color w:val="auto"/>
          <w:u w:val="single"/>
          <w:lang w:val="en-US" w:eastAsia="zh-CN"/>
        </w:rPr>
        <w:t>*</w:t>
      </w:r>
    </w:p>
    <w:p w14:paraId="05C41483">
      <w:pPr>
        <w:bidi w:val="0"/>
        <w:rPr>
          <w:rFonts w:hint="eastAsia"/>
          <w:b/>
          <w:bCs/>
          <w:color w:val="auto"/>
          <w:u w:val="single"/>
          <w:lang w:val="en-US" w:eastAsia="zh-CN"/>
        </w:rPr>
      </w:pPr>
      <w:r>
        <w:rPr>
          <w:rFonts w:hint="eastAsia"/>
          <w:b/>
          <w:bCs/>
          <w:color w:val="auto"/>
          <w:u w:val="single"/>
          <w:lang w:val="en-US" w:eastAsia="zh-CN"/>
        </w:rPr>
        <w:t>*</w:t>
      </w:r>
    </w:p>
    <w:p w14:paraId="56B29039">
      <w:pPr>
        <w:bidi w:val="0"/>
        <w:rPr>
          <w:rFonts w:hint="default"/>
          <w:b/>
          <w:bCs/>
          <w:color w:val="auto"/>
          <w:u w:val="single"/>
          <w:lang w:val="en-US" w:eastAsia="zh-CN"/>
        </w:rPr>
      </w:pPr>
      <w:r>
        <w:rPr>
          <w:rFonts w:hint="eastAsia"/>
          <w:b/>
          <w:bCs/>
          <w:color w:val="auto"/>
          <w:u w:val="single"/>
          <w:lang w:val="en-US" w:eastAsia="zh-CN"/>
        </w:rPr>
        <w:t>*</w:t>
      </w:r>
    </w:p>
    <w:p w14:paraId="49094AA0">
      <w:pPr>
        <w:bidi w:val="0"/>
        <w:rPr>
          <w:rFonts w:hint="eastAsia"/>
          <w:b/>
          <w:bCs/>
          <w:color w:val="auto"/>
          <w:u w:val="single"/>
          <w:lang w:val="en-US" w:eastAsia="zh-CN"/>
        </w:rPr>
      </w:pPr>
      <w:r>
        <w:rPr>
          <w:rFonts w:hint="eastAsia"/>
          <w:b/>
          <w:bCs/>
          <w:color w:val="auto"/>
          <w:u w:val="single"/>
          <w:lang w:val="en-US" w:eastAsia="zh-CN"/>
        </w:rPr>
        <w:t>*</w:t>
      </w:r>
    </w:p>
    <w:p w14:paraId="6312D5A0">
      <w:pPr>
        <w:bidi w:val="0"/>
        <w:rPr>
          <w:rFonts w:hint="default"/>
          <w:b/>
          <w:bCs/>
          <w:color w:val="auto"/>
          <w:u w:val="single"/>
          <w:lang w:val="en-US" w:eastAsia="zh-CN"/>
        </w:rPr>
      </w:pPr>
      <w:r>
        <w:rPr>
          <w:rFonts w:hint="eastAsia"/>
          <w:b/>
          <w:bCs/>
          <w:color w:val="auto"/>
          <w:u w:val="single"/>
          <w:lang w:val="en-US" w:eastAsia="zh-CN"/>
        </w:rPr>
        <w:t>*</w:t>
      </w:r>
    </w:p>
    <w:p w14:paraId="1075FB0B">
      <w:pPr>
        <w:bidi w:val="0"/>
        <w:rPr>
          <w:rFonts w:hint="eastAsia"/>
          <w:b/>
          <w:bCs/>
          <w:color w:val="auto"/>
          <w:u w:val="single"/>
          <w:lang w:val="en-US" w:eastAsia="zh-CN"/>
        </w:rPr>
      </w:pPr>
      <w:r>
        <w:rPr>
          <w:rFonts w:hint="eastAsia"/>
          <w:b/>
          <w:bCs/>
          <w:color w:val="auto"/>
          <w:u w:val="single"/>
          <w:lang w:val="en-US" w:eastAsia="zh-CN"/>
        </w:rPr>
        <w:t>*</w:t>
      </w:r>
    </w:p>
    <w:p w14:paraId="7942859B">
      <w:pPr>
        <w:bidi w:val="0"/>
        <w:rPr>
          <w:rFonts w:hint="default"/>
          <w:b/>
          <w:bCs/>
          <w:color w:val="auto"/>
          <w:u w:val="single"/>
          <w:lang w:val="en-US" w:eastAsia="zh-CN"/>
        </w:rPr>
      </w:pPr>
      <w:r>
        <w:rPr>
          <w:rFonts w:hint="eastAsia"/>
          <w:b/>
          <w:bCs/>
          <w:color w:val="auto"/>
          <w:u w:val="single"/>
          <w:lang w:val="en-US" w:eastAsia="zh-CN"/>
        </w:rPr>
        <w:t>*</w:t>
      </w:r>
    </w:p>
    <w:p w14:paraId="4B49ACD9">
      <w:pPr>
        <w:bidi w:val="0"/>
        <w:rPr>
          <w:rFonts w:hint="eastAsia"/>
          <w:b/>
          <w:bCs/>
          <w:color w:val="auto"/>
          <w:u w:val="single"/>
          <w:lang w:val="en-US" w:eastAsia="zh-CN"/>
        </w:rPr>
      </w:pPr>
      <w:r>
        <w:rPr>
          <w:rFonts w:hint="eastAsia"/>
          <w:b/>
          <w:bCs/>
          <w:color w:val="auto"/>
          <w:u w:val="single"/>
          <w:lang w:val="en-US" w:eastAsia="zh-CN"/>
        </w:rPr>
        <w:t>*</w:t>
      </w:r>
    </w:p>
    <w:p w14:paraId="370F778D">
      <w:pPr>
        <w:bidi w:val="0"/>
        <w:rPr>
          <w:rFonts w:hint="default"/>
          <w:b/>
          <w:bCs/>
          <w:color w:val="auto"/>
          <w:u w:val="single"/>
          <w:lang w:val="en-US" w:eastAsia="zh-CN"/>
        </w:rPr>
      </w:pPr>
      <w:r>
        <w:rPr>
          <w:rFonts w:hint="eastAsia"/>
          <w:b/>
          <w:bCs/>
          <w:color w:val="auto"/>
          <w:u w:val="single"/>
          <w:lang w:val="en-US" w:eastAsia="zh-CN"/>
        </w:rPr>
        <w:t>*</w:t>
      </w:r>
    </w:p>
    <w:p w14:paraId="76CCED60">
      <w:pPr>
        <w:bidi w:val="0"/>
        <w:rPr>
          <w:rFonts w:hint="eastAsia"/>
          <w:b/>
          <w:bCs/>
          <w:color w:val="auto"/>
          <w:u w:val="single"/>
          <w:lang w:val="en-US" w:eastAsia="zh-CN"/>
        </w:rPr>
      </w:pPr>
      <w:r>
        <w:rPr>
          <w:rFonts w:hint="eastAsia"/>
          <w:b/>
          <w:bCs/>
          <w:color w:val="auto"/>
          <w:u w:val="single"/>
          <w:lang w:val="en-US" w:eastAsia="zh-CN"/>
        </w:rPr>
        <w:t>*</w:t>
      </w:r>
    </w:p>
    <w:p w14:paraId="31D2313D">
      <w:pPr>
        <w:bidi w:val="0"/>
        <w:rPr>
          <w:rFonts w:hint="default"/>
          <w:b/>
          <w:bCs/>
          <w:color w:val="auto"/>
          <w:u w:val="single"/>
          <w:lang w:val="en-US" w:eastAsia="zh-CN"/>
        </w:rPr>
      </w:pPr>
      <w:r>
        <w:rPr>
          <w:rFonts w:hint="eastAsia"/>
          <w:b/>
          <w:bCs/>
          <w:color w:val="auto"/>
          <w:u w:val="single"/>
          <w:lang w:val="en-US" w:eastAsia="zh-CN"/>
        </w:rPr>
        <w:t>*</w:t>
      </w:r>
    </w:p>
    <w:p w14:paraId="303A0F57">
      <w:pPr>
        <w:bidi w:val="0"/>
        <w:rPr>
          <w:rFonts w:hint="eastAsia"/>
          <w:b/>
          <w:bCs/>
          <w:color w:val="auto"/>
          <w:u w:val="single"/>
          <w:lang w:val="en-US" w:eastAsia="zh-CN"/>
        </w:rPr>
      </w:pPr>
      <w:r>
        <w:rPr>
          <w:rFonts w:hint="eastAsia"/>
          <w:b/>
          <w:bCs/>
          <w:color w:val="auto"/>
          <w:u w:val="single"/>
          <w:lang w:val="en-US" w:eastAsia="zh-CN"/>
        </w:rPr>
        <w:t>*</w:t>
      </w:r>
    </w:p>
    <w:p w14:paraId="01B7CAC4">
      <w:pPr>
        <w:bidi w:val="0"/>
        <w:rPr>
          <w:rFonts w:hint="default"/>
          <w:b/>
          <w:bCs/>
          <w:color w:val="auto"/>
          <w:u w:val="single"/>
          <w:lang w:val="en-US" w:eastAsia="zh-CN"/>
        </w:rPr>
      </w:pPr>
      <w:r>
        <w:rPr>
          <w:rFonts w:hint="eastAsia"/>
          <w:b/>
          <w:bCs/>
          <w:color w:val="auto"/>
          <w:u w:val="single"/>
          <w:lang w:val="en-US" w:eastAsia="zh-CN"/>
        </w:rPr>
        <w:t>*</w:t>
      </w:r>
    </w:p>
    <w:p w14:paraId="4C37FF9C">
      <w:pPr>
        <w:bidi w:val="0"/>
        <w:rPr>
          <w:rFonts w:hint="eastAsia"/>
          <w:b/>
          <w:bCs/>
          <w:color w:val="auto"/>
          <w:u w:val="single"/>
          <w:lang w:val="en-US" w:eastAsia="zh-CN"/>
        </w:rPr>
      </w:pPr>
      <w:r>
        <w:rPr>
          <w:rFonts w:hint="eastAsia"/>
          <w:b/>
          <w:bCs/>
          <w:color w:val="auto"/>
          <w:u w:val="single"/>
          <w:lang w:val="en-US" w:eastAsia="zh-CN"/>
        </w:rPr>
        <w:t>*</w:t>
      </w:r>
    </w:p>
    <w:p w14:paraId="5BE81B14">
      <w:pPr>
        <w:bidi w:val="0"/>
        <w:rPr>
          <w:rFonts w:hint="default"/>
          <w:b/>
          <w:bCs/>
          <w:color w:val="auto"/>
          <w:u w:val="single"/>
          <w:lang w:val="en-US" w:eastAsia="zh-CN"/>
        </w:rPr>
      </w:pPr>
      <w:r>
        <w:rPr>
          <w:rFonts w:hint="eastAsia"/>
          <w:b/>
          <w:bCs/>
          <w:color w:val="auto"/>
          <w:u w:val="single"/>
          <w:lang w:val="en-US" w:eastAsia="zh-CN"/>
        </w:rPr>
        <w:t>*</w:t>
      </w:r>
    </w:p>
    <w:p w14:paraId="4FA40B60">
      <w:pPr>
        <w:bidi w:val="0"/>
        <w:rPr>
          <w:rFonts w:hint="eastAsia"/>
          <w:b/>
          <w:bCs/>
          <w:color w:val="auto"/>
          <w:u w:val="single"/>
          <w:lang w:val="en-US" w:eastAsia="zh-CN"/>
        </w:rPr>
      </w:pPr>
      <w:r>
        <w:rPr>
          <w:rFonts w:hint="eastAsia"/>
          <w:b/>
          <w:bCs/>
          <w:color w:val="auto"/>
          <w:u w:val="single"/>
          <w:lang w:val="en-US" w:eastAsia="zh-CN"/>
        </w:rPr>
        <w:t>*</w:t>
      </w:r>
    </w:p>
    <w:p w14:paraId="764B990D">
      <w:pPr>
        <w:bidi w:val="0"/>
        <w:rPr>
          <w:rFonts w:hint="default"/>
          <w:b/>
          <w:bCs/>
          <w:color w:val="auto"/>
          <w:u w:val="single"/>
          <w:lang w:val="en-US" w:eastAsia="zh-CN"/>
        </w:rPr>
      </w:pPr>
      <w:r>
        <w:rPr>
          <w:rFonts w:hint="eastAsia"/>
          <w:b/>
          <w:bCs/>
          <w:color w:val="auto"/>
          <w:u w:val="single"/>
          <w:lang w:val="en-US" w:eastAsia="zh-CN"/>
        </w:rPr>
        <w:t>*</w:t>
      </w:r>
    </w:p>
    <w:p w14:paraId="2394AD77">
      <w:pPr>
        <w:bidi w:val="0"/>
        <w:rPr>
          <w:rFonts w:hint="eastAsia"/>
          <w:b/>
          <w:bCs/>
          <w:color w:val="auto"/>
          <w:u w:val="single"/>
          <w:lang w:val="en-US" w:eastAsia="zh-CN"/>
        </w:rPr>
      </w:pPr>
      <w:r>
        <w:rPr>
          <w:rFonts w:hint="eastAsia"/>
          <w:b/>
          <w:bCs/>
          <w:color w:val="auto"/>
          <w:u w:val="single"/>
          <w:lang w:val="en-US" w:eastAsia="zh-CN"/>
        </w:rPr>
        <w:t>*</w:t>
      </w:r>
    </w:p>
    <w:p w14:paraId="01E660EA">
      <w:pPr>
        <w:bidi w:val="0"/>
        <w:rPr>
          <w:rFonts w:hint="default"/>
          <w:b/>
          <w:bCs/>
          <w:color w:val="auto"/>
          <w:u w:val="single"/>
          <w:lang w:val="en-US" w:eastAsia="zh-CN"/>
        </w:rPr>
      </w:pPr>
      <w:r>
        <w:rPr>
          <w:rFonts w:hint="eastAsia"/>
          <w:b/>
          <w:bCs/>
          <w:color w:val="auto"/>
          <w:u w:val="single"/>
          <w:lang w:val="en-US" w:eastAsia="zh-CN"/>
        </w:rPr>
        <w:t>*</w:t>
      </w:r>
    </w:p>
    <w:p w14:paraId="5D06BE54">
      <w:pPr>
        <w:bidi w:val="0"/>
        <w:rPr>
          <w:rFonts w:hint="eastAsia"/>
          <w:b/>
          <w:bCs/>
          <w:color w:val="auto"/>
          <w:u w:val="single"/>
          <w:lang w:val="en-US" w:eastAsia="zh-CN"/>
        </w:rPr>
      </w:pPr>
      <w:r>
        <w:rPr>
          <w:rFonts w:hint="eastAsia"/>
          <w:b/>
          <w:bCs/>
          <w:color w:val="auto"/>
          <w:u w:val="single"/>
          <w:lang w:val="en-US" w:eastAsia="zh-CN"/>
        </w:rPr>
        <w:t>*</w:t>
      </w:r>
    </w:p>
    <w:p w14:paraId="14F72E7D">
      <w:pPr>
        <w:bidi w:val="0"/>
        <w:rPr>
          <w:rFonts w:hint="default"/>
          <w:b/>
          <w:bCs/>
          <w:color w:val="auto"/>
          <w:u w:val="single"/>
          <w:lang w:val="en-US" w:eastAsia="zh-CN"/>
        </w:rPr>
      </w:pPr>
      <w:r>
        <w:rPr>
          <w:rFonts w:hint="eastAsia"/>
          <w:b/>
          <w:bCs/>
          <w:color w:val="auto"/>
          <w:u w:val="single"/>
          <w:lang w:val="en-US" w:eastAsia="zh-CN"/>
        </w:rPr>
        <w:t>*</w:t>
      </w:r>
    </w:p>
    <w:p w14:paraId="7B898861">
      <w:pPr>
        <w:bidi w:val="0"/>
        <w:rPr>
          <w:rFonts w:hint="eastAsia"/>
          <w:b/>
          <w:bCs/>
          <w:color w:val="auto"/>
          <w:u w:val="single"/>
          <w:lang w:val="en-US" w:eastAsia="zh-CN"/>
        </w:rPr>
      </w:pPr>
      <w:r>
        <w:rPr>
          <w:rFonts w:hint="eastAsia"/>
          <w:b/>
          <w:bCs/>
          <w:color w:val="auto"/>
          <w:u w:val="single"/>
          <w:lang w:val="en-US" w:eastAsia="zh-CN"/>
        </w:rPr>
        <w:t>*</w:t>
      </w:r>
    </w:p>
    <w:p w14:paraId="1BFD7C37">
      <w:pPr>
        <w:bidi w:val="0"/>
        <w:rPr>
          <w:rFonts w:hint="default"/>
          <w:b/>
          <w:bCs/>
          <w:color w:val="auto"/>
          <w:u w:val="single"/>
          <w:lang w:val="en-US" w:eastAsia="zh-CN"/>
        </w:rPr>
      </w:pPr>
      <w:r>
        <w:rPr>
          <w:rFonts w:hint="eastAsia"/>
          <w:b/>
          <w:bCs/>
          <w:color w:val="auto"/>
          <w:u w:val="single"/>
          <w:lang w:val="en-US" w:eastAsia="zh-CN"/>
        </w:rPr>
        <w:t>*</w:t>
      </w:r>
    </w:p>
    <w:p w14:paraId="4EDDAAA7">
      <w:pPr>
        <w:bidi w:val="0"/>
        <w:rPr>
          <w:rFonts w:hint="eastAsia"/>
          <w:b/>
          <w:bCs/>
          <w:color w:val="auto"/>
          <w:u w:val="single"/>
          <w:lang w:val="en-US" w:eastAsia="zh-CN"/>
        </w:rPr>
      </w:pPr>
      <w:r>
        <w:rPr>
          <w:rFonts w:hint="eastAsia"/>
          <w:b/>
          <w:bCs/>
          <w:color w:val="auto"/>
          <w:u w:val="single"/>
          <w:lang w:val="en-US" w:eastAsia="zh-CN"/>
        </w:rPr>
        <w:t>*</w:t>
      </w:r>
    </w:p>
    <w:p w14:paraId="733C05EB">
      <w:pPr>
        <w:bidi w:val="0"/>
        <w:rPr>
          <w:rFonts w:hint="default"/>
          <w:b/>
          <w:bCs/>
          <w:color w:val="auto"/>
          <w:u w:val="single"/>
          <w:lang w:val="en-US" w:eastAsia="zh-CN"/>
        </w:rPr>
      </w:pPr>
      <w:r>
        <w:rPr>
          <w:rFonts w:hint="eastAsia"/>
          <w:b/>
          <w:bCs/>
          <w:color w:val="auto"/>
          <w:u w:val="single"/>
          <w:lang w:val="en-US" w:eastAsia="zh-CN"/>
        </w:rPr>
        <w:t>*</w:t>
      </w:r>
    </w:p>
    <w:p w14:paraId="407B0CAC">
      <w:pPr>
        <w:bidi w:val="0"/>
        <w:rPr>
          <w:rFonts w:hint="eastAsia"/>
          <w:b/>
          <w:bCs/>
          <w:color w:val="auto"/>
          <w:u w:val="single"/>
          <w:lang w:val="en-US" w:eastAsia="zh-CN"/>
        </w:rPr>
      </w:pPr>
      <w:r>
        <w:rPr>
          <w:rFonts w:hint="eastAsia"/>
          <w:b/>
          <w:bCs/>
          <w:color w:val="auto"/>
          <w:u w:val="single"/>
          <w:lang w:val="en-US" w:eastAsia="zh-CN"/>
        </w:rPr>
        <w:t>。</w:t>
      </w:r>
    </w:p>
    <w:p w14:paraId="4CD1601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spacing w:val="0"/>
          <w:kern w:val="2"/>
          <w:sz w:val="24"/>
          <w:szCs w:val="24"/>
          <w:u w:val="single"/>
          <w:lang w:val="en-US" w:eastAsia="zh-CN"/>
        </w:rPr>
      </w:pPr>
    </w:p>
    <w:p w14:paraId="2F5005CF">
      <w:pPr>
        <w:pStyle w:val="5"/>
        <w:bidi w:val="0"/>
        <w:rPr>
          <w:rFonts w:hint="default"/>
          <w:lang w:val="en-US" w:eastAsia="zh-CN"/>
        </w:rPr>
      </w:pPr>
      <w:r>
        <w:rPr>
          <w:rFonts w:hint="eastAsia"/>
          <w:lang w:val="en-US" w:eastAsia="zh-CN"/>
        </w:rPr>
        <w:t>中试方案</w:t>
      </w:r>
    </w:p>
    <w:p w14:paraId="316263F9">
      <w:pPr>
        <w:bidi w:val="0"/>
        <w:rPr>
          <w:rFonts w:hint="eastAsia"/>
          <w:b w:val="0"/>
          <w:bCs w:val="0"/>
          <w:color w:val="auto"/>
          <w:u w:val="none"/>
          <w:lang w:val="en-US" w:eastAsia="zh-CN"/>
        </w:rPr>
      </w:pPr>
      <w:r>
        <w:rPr>
          <w:rFonts w:hint="eastAsia"/>
          <w:b/>
          <w:bCs/>
          <w:color w:val="auto"/>
          <w:u w:val="single"/>
          <w:lang w:val="en-US" w:eastAsia="zh-CN"/>
        </w:rPr>
        <w:t>（1）中试目的</w:t>
      </w:r>
    </w:p>
    <w:p w14:paraId="0EE257FE">
      <w:pPr>
        <w:bidi w:val="0"/>
        <w:rPr>
          <w:rFonts w:hint="default"/>
          <w:b/>
          <w:bCs/>
          <w:color w:val="auto"/>
          <w:u w:val="single"/>
          <w:lang w:val="en-US" w:eastAsia="zh-CN"/>
        </w:rPr>
      </w:pPr>
      <w:r>
        <w:rPr>
          <w:rFonts w:hint="default"/>
          <w:b/>
          <w:bCs/>
          <w:color w:val="auto"/>
          <w:u w:val="single"/>
          <w:lang w:val="en-US" w:eastAsia="zh-CN"/>
        </w:rPr>
        <w:t>①在中等规模化生产中，进一步优化生产环节和工艺参数</w:t>
      </w:r>
      <w:r>
        <w:rPr>
          <w:rFonts w:hint="eastAsia"/>
          <w:b/>
          <w:bCs/>
          <w:color w:val="auto"/>
          <w:u w:val="single"/>
          <w:lang w:val="en-US" w:eastAsia="zh-CN"/>
        </w:rPr>
        <w:t>，达到节能降耗的目的</w:t>
      </w:r>
      <w:r>
        <w:rPr>
          <w:rFonts w:hint="default"/>
          <w:b/>
          <w:bCs/>
          <w:color w:val="auto"/>
          <w:u w:val="single"/>
          <w:lang w:val="en-US" w:eastAsia="zh-CN"/>
        </w:rPr>
        <w:t>，实现从</w:t>
      </w:r>
      <w:r>
        <w:rPr>
          <w:rFonts w:hint="eastAsia"/>
          <w:b/>
          <w:bCs/>
          <w:color w:val="auto"/>
          <w:u w:val="single"/>
          <w:lang w:val="en-US" w:eastAsia="zh-CN"/>
        </w:rPr>
        <w:t>废旧棉纺织品</w:t>
      </w:r>
      <w:r>
        <w:rPr>
          <w:rFonts w:hint="default"/>
          <w:b/>
          <w:bCs/>
          <w:color w:val="auto"/>
          <w:u w:val="single"/>
          <w:lang w:val="en-US" w:eastAsia="zh-CN"/>
        </w:rPr>
        <w:t>到纤维素纤维的连续化生产，验证工艺生产稳定性；</w:t>
      </w:r>
    </w:p>
    <w:p w14:paraId="6056A916">
      <w:pPr>
        <w:bidi w:val="0"/>
        <w:rPr>
          <w:rFonts w:hint="default"/>
          <w:b/>
          <w:bCs/>
          <w:color w:val="auto"/>
          <w:u w:val="single"/>
          <w:lang w:val="en-US" w:eastAsia="zh-CN"/>
        </w:rPr>
      </w:pPr>
      <w:r>
        <w:rPr>
          <w:rFonts w:hint="default"/>
          <w:b/>
          <w:bCs/>
          <w:color w:val="auto"/>
          <w:u w:val="single"/>
          <w:lang w:val="en-US" w:eastAsia="zh-CN"/>
        </w:rPr>
        <w:t>②为大规模化生产做准备</w:t>
      </w:r>
      <w:r>
        <w:rPr>
          <w:rFonts w:hint="eastAsia"/>
          <w:b/>
          <w:bCs/>
          <w:color w:val="auto"/>
          <w:u w:val="single"/>
          <w:lang w:val="en-US" w:eastAsia="zh-CN"/>
        </w:rPr>
        <w:t>，采用与大规模生产相同的生产制度进行调试</w:t>
      </w:r>
      <w:r>
        <w:rPr>
          <w:rFonts w:hint="default"/>
          <w:b/>
          <w:bCs/>
          <w:color w:val="auto"/>
          <w:u w:val="single"/>
          <w:lang w:val="en-US" w:eastAsia="zh-CN"/>
        </w:rPr>
        <w:t>，包括</w:t>
      </w:r>
      <w:r>
        <w:rPr>
          <w:rFonts w:hint="eastAsia"/>
          <w:b/>
          <w:bCs/>
          <w:color w:val="auto"/>
          <w:u w:val="single"/>
          <w:lang w:val="en-US" w:eastAsia="zh-CN"/>
        </w:rPr>
        <w:t>调整</w:t>
      </w:r>
      <w:r>
        <w:rPr>
          <w:rFonts w:hint="default"/>
          <w:b/>
          <w:bCs/>
          <w:color w:val="auto"/>
          <w:u w:val="single"/>
          <w:lang w:val="en-US" w:eastAsia="zh-CN"/>
        </w:rPr>
        <w:t>设备、电仪、公用工程等</w:t>
      </w:r>
      <w:r>
        <w:rPr>
          <w:rFonts w:hint="eastAsia"/>
          <w:b/>
          <w:bCs/>
          <w:color w:val="auto"/>
          <w:u w:val="single"/>
          <w:lang w:val="en-US" w:eastAsia="zh-CN"/>
        </w:rPr>
        <w:t>的参数</w:t>
      </w:r>
      <w:r>
        <w:rPr>
          <w:rFonts w:hint="default"/>
          <w:b/>
          <w:bCs/>
          <w:color w:val="auto"/>
          <w:u w:val="single"/>
          <w:lang w:val="en-US" w:eastAsia="zh-CN"/>
        </w:rPr>
        <w:t>；</w:t>
      </w:r>
    </w:p>
    <w:p w14:paraId="59415BF6">
      <w:pPr>
        <w:bidi w:val="0"/>
        <w:rPr>
          <w:rFonts w:hint="default"/>
          <w:b/>
          <w:bCs/>
          <w:color w:val="auto"/>
          <w:u w:val="single"/>
          <w:lang w:val="en-US" w:eastAsia="zh-CN"/>
        </w:rPr>
      </w:pPr>
      <w:r>
        <w:rPr>
          <w:rFonts w:hint="default"/>
          <w:b/>
          <w:bCs/>
          <w:color w:val="auto"/>
          <w:u w:val="single"/>
          <w:lang w:val="en-US" w:eastAsia="zh-CN"/>
        </w:rPr>
        <w:t>③进一步确定从</w:t>
      </w:r>
      <w:r>
        <w:rPr>
          <w:rFonts w:hint="eastAsia"/>
          <w:b/>
          <w:bCs/>
          <w:color w:val="auto"/>
          <w:u w:val="single"/>
          <w:lang w:val="en-US" w:eastAsia="zh-CN"/>
        </w:rPr>
        <w:t>废旧棉纺织品</w:t>
      </w:r>
      <w:r>
        <w:rPr>
          <w:rFonts w:hint="default"/>
          <w:b/>
          <w:bCs/>
          <w:color w:val="auto"/>
          <w:u w:val="single"/>
          <w:lang w:val="en-US" w:eastAsia="zh-CN"/>
        </w:rPr>
        <w:t>到纤维素纤维的原辅材料的消耗量</w:t>
      </w:r>
      <w:r>
        <w:rPr>
          <w:rFonts w:hint="eastAsia"/>
          <w:b/>
          <w:bCs/>
          <w:color w:val="auto"/>
          <w:u w:val="single"/>
          <w:lang w:val="en-US" w:eastAsia="zh-CN"/>
        </w:rPr>
        <w:t>；</w:t>
      </w:r>
    </w:p>
    <w:p w14:paraId="64475370">
      <w:pPr>
        <w:bidi w:val="0"/>
        <w:rPr>
          <w:rFonts w:hint="eastAsia"/>
          <w:b/>
          <w:bCs/>
          <w:color w:val="auto"/>
          <w:u w:val="single"/>
          <w:lang w:val="en-US" w:eastAsia="zh-CN"/>
        </w:rPr>
      </w:pPr>
      <w:r>
        <w:rPr>
          <w:rFonts w:hint="default"/>
          <w:b/>
          <w:bCs/>
          <w:color w:val="auto"/>
          <w:u w:val="single"/>
          <w:lang w:val="en-US" w:eastAsia="zh-CN"/>
        </w:rPr>
        <w:t>④再生纤维素纤维，实现了</w:t>
      </w:r>
      <w:r>
        <w:rPr>
          <w:rFonts w:hint="eastAsia"/>
          <w:b/>
          <w:bCs/>
          <w:color w:val="auto"/>
          <w:u w:val="single"/>
          <w:lang w:val="en-US" w:eastAsia="zh-CN"/>
        </w:rPr>
        <w:t>废旧棉纺织品</w:t>
      </w:r>
      <w:r>
        <w:rPr>
          <w:rFonts w:hint="default"/>
          <w:b/>
          <w:bCs/>
          <w:color w:val="auto"/>
          <w:u w:val="single"/>
          <w:lang w:val="en-US" w:eastAsia="zh-CN"/>
        </w:rPr>
        <w:t>循环再生、变废为宝，为行业绿色低碳发展开拓新路径</w:t>
      </w:r>
      <w:r>
        <w:rPr>
          <w:rFonts w:hint="eastAsia"/>
          <w:b/>
          <w:bCs/>
          <w:color w:val="auto"/>
          <w:u w:val="single"/>
          <w:lang w:val="en-US" w:eastAsia="zh-CN"/>
        </w:rPr>
        <w:t>。</w:t>
      </w:r>
    </w:p>
    <w:p w14:paraId="0C5C55C8">
      <w:pPr>
        <w:bidi w:val="0"/>
        <w:rPr>
          <w:rFonts w:hint="eastAsia"/>
          <w:b w:val="0"/>
          <w:bCs w:val="0"/>
          <w:color w:val="auto"/>
          <w:u w:val="none"/>
          <w:lang w:val="en-US" w:eastAsia="zh-CN"/>
        </w:rPr>
      </w:pPr>
      <w:r>
        <w:rPr>
          <w:rFonts w:hint="eastAsia"/>
          <w:b/>
          <w:bCs/>
          <w:i w:val="0"/>
          <w:iCs w:val="0"/>
          <w:color w:val="auto"/>
          <w:u w:val="single"/>
          <w:lang w:val="en-US" w:eastAsia="zh-CN"/>
        </w:rPr>
        <w:t>⑤在小试的基础上开展中试项目，</w:t>
      </w:r>
      <w:r>
        <w:rPr>
          <w:rFonts w:hint="eastAsia"/>
          <w:b/>
          <w:bCs/>
          <w:i w:val="0"/>
          <w:iCs w:val="0"/>
          <w:color w:val="auto"/>
          <w:u w:val="single"/>
        </w:rPr>
        <w:t>确定工艺的稳定性</w:t>
      </w:r>
      <w:r>
        <w:rPr>
          <w:rFonts w:hint="eastAsia"/>
          <w:b/>
          <w:bCs/>
          <w:i w:val="0"/>
          <w:iCs w:val="0"/>
          <w:color w:val="auto"/>
          <w:u w:val="single"/>
          <w:lang w:eastAsia="zh-CN"/>
        </w:rPr>
        <w:t>，</w:t>
      </w:r>
      <w:r>
        <w:rPr>
          <w:rFonts w:hint="eastAsia"/>
          <w:b/>
          <w:bCs/>
          <w:i w:val="0"/>
          <w:iCs w:val="0"/>
          <w:color w:val="auto"/>
          <w:u w:val="single"/>
        </w:rPr>
        <w:t>探索并优化各项工程化参数</w:t>
      </w:r>
      <w:r>
        <w:rPr>
          <w:rFonts w:hint="eastAsia"/>
          <w:b/>
          <w:bCs/>
          <w:i w:val="0"/>
          <w:iCs w:val="0"/>
          <w:color w:val="auto"/>
          <w:u w:val="single"/>
          <w:lang w:eastAsia="zh-CN"/>
        </w:rPr>
        <w:t>，</w:t>
      </w:r>
      <w:r>
        <w:rPr>
          <w:rFonts w:hint="eastAsia"/>
          <w:b/>
          <w:bCs/>
          <w:i w:val="0"/>
          <w:iCs w:val="0"/>
          <w:color w:val="auto"/>
          <w:u w:val="single"/>
          <w:lang w:val="en-US" w:eastAsia="zh-CN"/>
        </w:rPr>
        <w:t>项目不添加助剂</w:t>
      </w:r>
      <w:r>
        <w:rPr>
          <w:rFonts w:hint="eastAsia"/>
          <w:b/>
          <w:bCs/>
          <w:i w:val="0"/>
          <w:iCs w:val="0"/>
          <w:color w:val="auto"/>
          <w:u w:val="single"/>
        </w:rPr>
        <w:t>。</w:t>
      </w:r>
      <w:r>
        <w:rPr>
          <w:rFonts w:hint="eastAsia"/>
          <w:b/>
          <w:bCs/>
          <w:i w:val="0"/>
          <w:iCs w:val="0"/>
          <w:color w:val="auto"/>
          <w:u w:val="single"/>
          <w:lang w:val="en-US" w:eastAsia="zh-CN"/>
        </w:rPr>
        <w:t>项目依据小试过程中的实际情况，充分考虑废旧棉纺织品来源的差异性，在保守的情况下进行原材料用量的核算</w:t>
      </w:r>
      <w:r>
        <w:rPr>
          <w:rFonts w:hint="eastAsia"/>
          <w:b/>
          <w:bCs/>
          <w:i w:val="0"/>
          <w:iCs w:val="0"/>
          <w:color w:val="auto"/>
          <w:u w:val="single"/>
        </w:rPr>
        <w:t>。</w:t>
      </w:r>
    </w:p>
    <w:p w14:paraId="143F8602">
      <w:pPr>
        <w:bidi w:val="0"/>
        <w:rPr>
          <w:rFonts w:hint="eastAsia"/>
          <w:b w:val="0"/>
          <w:bCs w:val="0"/>
          <w:color w:val="auto"/>
          <w:u w:val="none"/>
          <w:lang w:val="en-US" w:eastAsia="zh-CN"/>
        </w:rPr>
      </w:pPr>
      <w:r>
        <w:rPr>
          <w:rFonts w:hint="eastAsia"/>
          <w:b w:val="0"/>
          <w:bCs w:val="0"/>
          <w:color w:val="auto"/>
          <w:u w:val="none"/>
          <w:lang w:val="en-US" w:eastAsia="zh-CN"/>
        </w:rPr>
        <w:t>（2）产品合格标准及检验方法</w:t>
      </w:r>
    </w:p>
    <w:p w14:paraId="72B8C119">
      <w:pPr>
        <w:bidi w:val="0"/>
        <w:rPr>
          <w:rFonts w:hint="eastAsia"/>
          <w:b w:val="0"/>
          <w:bCs w:val="0"/>
          <w:color w:val="auto"/>
          <w:u w:val="none"/>
          <w:lang w:val="en-US" w:eastAsia="zh-CN"/>
        </w:rPr>
      </w:pPr>
      <w:r>
        <w:rPr>
          <w:rFonts w:hint="eastAsia"/>
          <w:b w:val="0"/>
          <w:bCs w:val="0"/>
          <w:color w:val="auto"/>
          <w:u w:val="none"/>
          <w:lang w:val="en-US" w:eastAsia="zh-CN"/>
        </w:rPr>
        <w:t>新乡化纤股份有限公司生产技术处制定连</w:t>
      </w:r>
      <w:r>
        <w:rPr>
          <w:rFonts w:hint="default"/>
          <w:b w:val="0"/>
          <w:bCs w:val="0"/>
          <w:color w:val="auto"/>
          <w:u w:val="none"/>
          <w:lang w:val="en-US" w:eastAsia="zh-CN"/>
        </w:rPr>
        <w:t>续纺粘胶长丝</w:t>
      </w:r>
      <w:r>
        <w:rPr>
          <w:rFonts w:hint="eastAsia"/>
          <w:b w:val="0"/>
          <w:bCs w:val="0"/>
          <w:color w:val="auto"/>
          <w:u w:val="none"/>
          <w:lang w:val="en-US" w:eastAsia="zh-CN"/>
        </w:rPr>
        <w:t>企业标准（</w:t>
      </w:r>
      <w:r>
        <w:rPr>
          <w:rFonts w:hint="default"/>
          <w:b w:val="0"/>
          <w:bCs w:val="0"/>
          <w:color w:val="auto"/>
          <w:u w:val="none"/>
          <w:lang w:val="en-US" w:eastAsia="zh-CN"/>
        </w:rPr>
        <w:t>QB/XX J30—2019</w:t>
      </w:r>
      <w:r>
        <w:rPr>
          <w:rFonts w:hint="eastAsia"/>
          <w:b w:val="0"/>
          <w:bCs w:val="0"/>
          <w:color w:val="auto"/>
          <w:u w:val="none"/>
          <w:lang w:val="en-US" w:eastAsia="zh-CN"/>
        </w:rPr>
        <w:t>），详见下表：</w:t>
      </w:r>
    </w:p>
    <w:p w14:paraId="071C1731">
      <w:pPr>
        <w:pStyle w:val="101"/>
        <w:spacing w:line="240" w:lineRule="auto"/>
        <w:ind w:firstLine="0" w:firstLineChars="0"/>
        <w:rPr>
          <w:rFonts w:hint="eastAsia"/>
        </w:rPr>
      </w:pPr>
      <w:r>
        <w:drawing>
          <wp:inline distT="0" distB="0" distL="114300" distR="114300">
            <wp:extent cx="5421630" cy="5613400"/>
            <wp:effectExtent l="0" t="0" r="7620" b="6350"/>
            <wp:docPr id="153" name="图片 25" descr="264d75920f7057039f220a37bbffc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5" descr="264d75920f7057039f220a37bbffcdb"/>
                    <pic:cNvPicPr>
                      <a:picLocks noChangeAspect="1"/>
                    </pic:cNvPicPr>
                  </pic:nvPicPr>
                  <pic:blipFill>
                    <a:blip r:embed="rId58"/>
                    <a:srcRect l="3340" r="4999"/>
                    <a:stretch>
                      <a:fillRect/>
                    </a:stretch>
                  </pic:blipFill>
                  <pic:spPr>
                    <a:xfrm>
                      <a:off x="0" y="0"/>
                      <a:ext cx="5421630" cy="5613400"/>
                    </a:xfrm>
                    <a:prstGeom prst="rect">
                      <a:avLst/>
                    </a:prstGeom>
                    <a:noFill/>
                    <a:ln>
                      <a:noFill/>
                    </a:ln>
                  </pic:spPr>
                </pic:pic>
              </a:graphicData>
            </a:graphic>
          </wp:inline>
        </w:drawing>
      </w:r>
    </w:p>
    <w:p w14:paraId="2BA88CAA">
      <w:pPr>
        <w:bidi w:val="0"/>
        <w:rPr>
          <w:rFonts w:hint="eastAsia"/>
          <w:b w:val="0"/>
          <w:bCs w:val="0"/>
          <w:color w:val="auto"/>
          <w:u w:val="none"/>
          <w:lang w:val="en-US" w:eastAsia="zh-CN"/>
        </w:rPr>
      </w:pPr>
      <w:r>
        <w:rPr>
          <w:rFonts w:hint="eastAsia"/>
          <w:b w:val="0"/>
          <w:bCs w:val="0"/>
          <w:color w:val="auto"/>
          <w:u w:val="none"/>
          <w:lang w:val="en-US" w:eastAsia="zh-CN"/>
        </w:rPr>
        <w:t>检验方法：</w:t>
      </w:r>
    </w:p>
    <w:p w14:paraId="686452A3">
      <w:pPr>
        <w:bidi w:val="0"/>
        <w:rPr>
          <w:rFonts w:hint="eastAsia"/>
          <w:b w:val="0"/>
          <w:bCs w:val="0"/>
          <w:color w:val="auto"/>
          <w:u w:val="none"/>
          <w:lang w:val="en-US" w:eastAsia="zh-CN"/>
        </w:rPr>
      </w:pPr>
      <w:r>
        <w:rPr>
          <w:rFonts w:hint="eastAsia"/>
          <w:b w:val="0"/>
          <w:bCs w:val="0"/>
          <w:color w:val="auto"/>
          <w:u w:val="none"/>
          <w:lang w:val="en-US" w:eastAsia="zh-CN"/>
        </w:rPr>
        <w:t>GB/T 6502  化学纤维  长丝取样方法</w:t>
      </w:r>
    </w:p>
    <w:p w14:paraId="15FB9C38">
      <w:pPr>
        <w:bidi w:val="0"/>
        <w:rPr>
          <w:rFonts w:hint="eastAsia"/>
          <w:b w:val="0"/>
          <w:bCs w:val="0"/>
          <w:color w:val="auto"/>
          <w:u w:val="none"/>
          <w:lang w:val="en-US" w:eastAsia="zh-CN"/>
        </w:rPr>
      </w:pPr>
      <w:r>
        <w:rPr>
          <w:rFonts w:hint="eastAsia"/>
          <w:b w:val="0"/>
          <w:bCs w:val="0"/>
          <w:color w:val="auto"/>
          <w:u w:val="none"/>
          <w:lang w:val="en-US" w:eastAsia="zh-CN"/>
        </w:rPr>
        <w:t>GB/T 6503  化学纤维  长丝回潮率试验方法</w:t>
      </w:r>
    </w:p>
    <w:p w14:paraId="458578FC">
      <w:pPr>
        <w:bidi w:val="0"/>
        <w:rPr>
          <w:rFonts w:hint="eastAsia"/>
          <w:b w:val="0"/>
          <w:bCs w:val="0"/>
          <w:color w:val="auto"/>
          <w:u w:val="none"/>
          <w:lang w:val="en-US" w:eastAsia="zh-CN"/>
        </w:rPr>
      </w:pPr>
      <w:r>
        <w:rPr>
          <w:rFonts w:hint="eastAsia"/>
          <w:b w:val="0"/>
          <w:bCs w:val="0"/>
          <w:color w:val="auto"/>
          <w:u w:val="none"/>
          <w:lang w:val="en-US" w:eastAsia="zh-CN"/>
        </w:rPr>
        <w:t>GB/T 6504  化学纤维  长丝含油率试验方法</w:t>
      </w:r>
    </w:p>
    <w:p w14:paraId="6C9397BC">
      <w:pPr>
        <w:bidi w:val="0"/>
        <w:rPr>
          <w:rFonts w:hint="eastAsia"/>
          <w:b w:val="0"/>
          <w:bCs w:val="0"/>
          <w:color w:val="auto"/>
          <w:u w:val="none"/>
          <w:lang w:val="en-US" w:eastAsia="zh-CN"/>
        </w:rPr>
      </w:pPr>
      <w:r>
        <w:rPr>
          <w:rFonts w:hint="eastAsia"/>
          <w:b w:val="0"/>
          <w:bCs w:val="0"/>
          <w:color w:val="auto"/>
          <w:u w:val="none"/>
          <w:lang w:val="en-US" w:eastAsia="zh-CN"/>
        </w:rPr>
        <w:t>GB/T 12490  纺织品耐家庭和商业洗涤色牢度试验方法</w:t>
      </w:r>
    </w:p>
    <w:p w14:paraId="2C41E28A">
      <w:pPr>
        <w:bidi w:val="0"/>
        <w:rPr>
          <w:rFonts w:hint="eastAsia"/>
          <w:b w:val="0"/>
          <w:bCs w:val="0"/>
          <w:color w:val="auto"/>
          <w:u w:val="none"/>
          <w:lang w:val="en-US" w:eastAsia="zh-CN"/>
        </w:rPr>
      </w:pPr>
      <w:r>
        <w:rPr>
          <w:rFonts w:hint="eastAsia"/>
          <w:b w:val="0"/>
          <w:bCs w:val="0"/>
          <w:color w:val="auto"/>
          <w:u w:val="none"/>
          <w:lang w:val="en-US" w:eastAsia="zh-CN"/>
        </w:rPr>
        <w:t xml:space="preserve">GB/T 14343  化学纤维  长丝线密度和单丝根数试验方法 </w:t>
      </w:r>
    </w:p>
    <w:p w14:paraId="5BC4C78E">
      <w:pPr>
        <w:bidi w:val="0"/>
        <w:rPr>
          <w:rFonts w:hint="eastAsia"/>
          <w:b w:val="0"/>
          <w:bCs w:val="0"/>
          <w:color w:val="auto"/>
          <w:u w:val="none"/>
          <w:lang w:val="en-US" w:eastAsia="zh-CN"/>
        </w:rPr>
      </w:pPr>
      <w:r>
        <w:rPr>
          <w:rFonts w:hint="eastAsia"/>
          <w:b w:val="0"/>
          <w:bCs w:val="0"/>
          <w:color w:val="auto"/>
          <w:u w:val="none"/>
          <w:lang w:val="en-US" w:eastAsia="zh-CN"/>
        </w:rPr>
        <w:t xml:space="preserve">GB/T 14344  化学纤维  长丝拉伸性能试验方法 </w:t>
      </w:r>
    </w:p>
    <w:p w14:paraId="125F8F93">
      <w:pPr>
        <w:bidi w:val="0"/>
        <w:rPr>
          <w:rFonts w:hint="eastAsia"/>
          <w:b w:val="0"/>
          <w:bCs w:val="0"/>
          <w:color w:val="auto"/>
          <w:u w:val="none"/>
          <w:lang w:val="en-US" w:eastAsia="zh-CN"/>
        </w:rPr>
      </w:pPr>
      <w:r>
        <w:rPr>
          <w:rFonts w:hint="eastAsia"/>
          <w:b w:val="0"/>
          <w:bCs w:val="0"/>
          <w:color w:val="auto"/>
          <w:u w:val="none"/>
          <w:lang w:val="en-US" w:eastAsia="zh-CN"/>
        </w:rPr>
        <w:t>GB/T 14345  化学纤维  长丝捻度试验方法</w:t>
      </w:r>
    </w:p>
    <w:p w14:paraId="60926F8D">
      <w:pPr>
        <w:bidi w:val="0"/>
        <w:rPr>
          <w:rFonts w:hint="eastAsia"/>
          <w:b w:val="0"/>
          <w:bCs w:val="0"/>
          <w:color w:val="auto"/>
          <w:u w:val="none"/>
          <w:lang w:val="en-US" w:eastAsia="zh-CN"/>
        </w:rPr>
      </w:pPr>
      <w:r>
        <w:rPr>
          <w:rFonts w:hint="eastAsia"/>
          <w:b w:val="0"/>
          <w:bCs w:val="0"/>
          <w:color w:val="auto"/>
          <w:u w:val="none"/>
          <w:lang w:val="en-US" w:eastAsia="zh-CN"/>
        </w:rPr>
        <w:t>检验使用电子天平、分光光度计等设备，检验过程有少量清洗废水产生。</w:t>
      </w:r>
    </w:p>
    <w:p w14:paraId="446E6F1B">
      <w:pPr>
        <w:bidi w:val="0"/>
        <w:rPr>
          <w:rFonts w:hint="default"/>
          <w:b w:val="0"/>
          <w:bCs w:val="0"/>
          <w:color w:val="auto"/>
          <w:u w:val="none"/>
          <w:lang w:val="en-US" w:eastAsia="zh-CN"/>
        </w:rPr>
      </w:pPr>
      <w:r>
        <w:rPr>
          <w:rFonts w:hint="eastAsia"/>
          <w:b w:val="0"/>
          <w:bCs w:val="0"/>
          <w:color w:val="auto"/>
          <w:u w:val="none"/>
          <w:lang w:val="en-US" w:eastAsia="zh-CN"/>
        </w:rPr>
        <w:t>（3）中试规模</w:t>
      </w:r>
    </w:p>
    <w:p w14:paraId="5576B98C">
      <w:pPr>
        <w:bidi w:val="0"/>
        <w:rPr>
          <w:rFonts w:hint="default"/>
          <w:b w:val="0"/>
          <w:bCs w:val="0"/>
          <w:color w:val="auto"/>
          <w:u w:val="none"/>
          <w:lang w:val="en-US" w:eastAsia="zh-CN"/>
        </w:rPr>
      </w:pPr>
      <w:r>
        <w:rPr>
          <w:rFonts w:hint="default"/>
          <w:b w:val="0"/>
          <w:bCs w:val="0"/>
          <w:color w:val="auto"/>
          <w:u w:val="none"/>
          <w:lang w:val="en-US" w:eastAsia="zh-CN"/>
        </w:rPr>
        <w:t>本项目建设规模为年产1000吨DT</w:t>
      </w:r>
      <w:r>
        <w:rPr>
          <w:rFonts w:hint="eastAsia"/>
          <w:b w:val="0"/>
          <w:bCs w:val="0"/>
          <w:color w:val="auto"/>
          <w:u w:val="none"/>
          <w:lang w:val="en-US" w:eastAsia="zh-CN"/>
        </w:rPr>
        <w:t>溶剂法</w:t>
      </w:r>
      <w:r>
        <w:rPr>
          <w:rFonts w:hint="default"/>
          <w:b w:val="0"/>
          <w:bCs w:val="0"/>
          <w:color w:val="auto"/>
          <w:u w:val="none"/>
          <w:lang w:val="en-US" w:eastAsia="zh-CN"/>
        </w:rPr>
        <w:t>再生纤维素纤维，主要产品为</w:t>
      </w:r>
      <w:r>
        <w:rPr>
          <w:rFonts w:hint="eastAsia"/>
          <w:b w:val="0"/>
          <w:bCs w:val="0"/>
          <w:color w:val="auto"/>
          <w:u w:val="none"/>
          <w:lang w:val="en-US" w:eastAsia="zh-CN"/>
        </w:rPr>
        <w:t>纤维素纤维</w:t>
      </w:r>
      <w:r>
        <w:rPr>
          <w:rFonts w:hint="default"/>
          <w:b w:val="0"/>
          <w:bCs w:val="0"/>
          <w:color w:val="auto"/>
          <w:u w:val="none"/>
          <w:lang w:val="en-US" w:eastAsia="zh-CN"/>
        </w:rPr>
        <w:t>。根据检验结果产品分为A级品、B级品，</w:t>
      </w:r>
      <w:r>
        <w:rPr>
          <w:rFonts w:hint="eastAsia"/>
          <w:b w:val="0"/>
          <w:bCs w:val="0"/>
          <w:color w:val="auto"/>
          <w:u w:val="none"/>
          <w:lang w:val="en-US" w:eastAsia="zh-CN"/>
        </w:rPr>
        <w:t>不同规格产品价值不同</w:t>
      </w:r>
      <w:r>
        <w:rPr>
          <w:rFonts w:hint="default"/>
          <w:b w:val="0"/>
          <w:bCs w:val="0"/>
          <w:color w:val="auto"/>
          <w:u w:val="none"/>
          <w:lang w:val="en-US" w:eastAsia="zh-CN"/>
        </w:rPr>
        <w:t>。</w:t>
      </w:r>
    </w:p>
    <w:p w14:paraId="08674492">
      <w:pPr>
        <w:numPr>
          <w:ilvl w:val="0"/>
          <w:numId w:val="0"/>
        </w:numPr>
        <w:bidi w:val="0"/>
        <w:ind w:left="0" w:leftChars="0" w:firstLine="480" w:firstLineChars="200"/>
        <w:rPr>
          <w:rFonts w:hint="eastAsia"/>
          <w:b w:val="0"/>
          <w:bCs w:val="0"/>
          <w:color w:val="auto"/>
          <w:u w:val="none"/>
          <w:lang w:val="en-US" w:eastAsia="zh-CN"/>
        </w:rPr>
      </w:pPr>
      <w:r>
        <w:rPr>
          <w:rFonts w:hint="eastAsia" w:ascii="Times New Roman" w:hAnsi="Times New Roman" w:eastAsia="宋体" w:cs="Times New Roman"/>
          <w:b w:val="0"/>
          <w:bCs w:val="0"/>
          <w:color w:val="auto"/>
          <w:kern w:val="2"/>
          <w:sz w:val="24"/>
          <w:szCs w:val="24"/>
          <w:lang w:val="en-US" w:eastAsia="zh-CN" w:bidi="ar-SA"/>
        </w:rPr>
        <w:t>（</w:t>
      </w:r>
      <w:r>
        <w:rPr>
          <w:rFonts w:hint="eastAsia" w:cs="Times New Roman"/>
          <w:b w:val="0"/>
          <w:bCs w:val="0"/>
          <w:color w:val="auto"/>
          <w:kern w:val="2"/>
          <w:sz w:val="24"/>
          <w:szCs w:val="24"/>
          <w:lang w:val="en-US" w:eastAsia="zh-CN" w:bidi="ar-SA"/>
        </w:rPr>
        <w:t>4</w:t>
      </w:r>
      <w:r>
        <w:rPr>
          <w:rFonts w:hint="eastAsia" w:ascii="Times New Roman" w:hAnsi="Times New Roman" w:eastAsia="宋体" w:cs="Times New Roman"/>
          <w:b w:val="0"/>
          <w:bCs w:val="0"/>
          <w:color w:val="auto"/>
          <w:kern w:val="2"/>
          <w:sz w:val="24"/>
          <w:szCs w:val="24"/>
          <w:lang w:val="en-US" w:eastAsia="zh-CN" w:bidi="ar-SA"/>
        </w:rPr>
        <w:t>）</w:t>
      </w:r>
      <w:r>
        <w:rPr>
          <w:rFonts w:hint="eastAsia"/>
          <w:b w:val="0"/>
          <w:bCs w:val="0"/>
          <w:color w:val="auto"/>
          <w:u w:val="none"/>
          <w:lang w:val="en-US" w:eastAsia="zh-CN"/>
        </w:rPr>
        <w:t>中试期限</w:t>
      </w:r>
    </w:p>
    <w:p w14:paraId="7630BC78">
      <w:pPr>
        <w:bidi w:val="0"/>
        <w:rPr>
          <w:rFonts w:hint="eastAsia"/>
          <w:b/>
          <w:bCs/>
          <w:color w:val="auto"/>
          <w:u w:val="single"/>
          <w:lang w:val="en-US" w:eastAsia="zh-CN"/>
        </w:rPr>
      </w:pPr>
      <w:r>
        <w:rPr>
          <w:rFonts w:hint="eastAsia"/>
          <w:b/>
          <w:bCs/>
          <w:color w:val="auto"/>
          <w:u w:val="single"/>
          <w:lang w:val="en-US" w:eastAsia="zh-CN"/>
        </w:rPr>
        <w:t>具体根据中试测试的结果与各项参数确定。</w:t>
      </w:r>
    </w:p>
    <w:p w14:paraId="1E9EC3A4">
      <w:pPr>
        <w:numPr>
          <w:ilvl w:val="0"/>
          <w:numId w:val="0"/>
        </w:numPr>
        <w:bidi w:val="0"/>
        <w:ind w:left="0" w:leftChars="0" w:firstLine="482" w:firstLineChars="200"/>
        <w:rPr>
          <w:rFonts w:hint="eastAsia"/>
          <w:b/>
          <w:bCs/>
          <w:color w:val="auto"/>
          <w:u w:val="single"/>
          <w:lang w:val="en-US" w:eastAsia="zh-CN"/>
        </w:rPr>
      </w:pPr>
      <w:r>
        <w:rPr>
          <w:rFonts w:hint="eastAsia" w:ascii="Times New Roman" w:hAnsi="Times New Roman" w:eastAsia="宋体" w:cs="Times New Roman"/>
          <w:b/>
          <w:bCs/>
          <w:color w:val="auto"/>
          <w:kern w:val="2"/>
          <w:sz w:val="24"/>
          <w:szCs w:val="24"/>
          <w:u w:val="single"/>
          <w:lang w:val="en-US" w:eastAsia="zh-CN" w:bidi="ar-SA"/>
        </w:rPr>
        <w:t>（</w:t>
      </w:r>
      <w:r>
        <w:rPr>
          <w:rFonts w:hint="eastAsia" w:cs="Times New Roman"/>
          <w:b/>
          <w:bCs/>
          <w:color w:val="auto"/>
          <w:kern w:val="2"/>
          <w:sz w:val="24"/>
          <w:szCs w:val="24"/>
          <w:u w:val="single"/>
          <w:lang w:val="en-US" w:eastAsia="zh-CN" w:bidi="ar-SA"/>
        </w:rPr>
        <w:t>5</w:t>
      </w:r>
      <w:r>
        <w:rPr>
          <w:rFonts w:hint="eastAsia" w:ascii="Times New Roman" w:hAnsi="Times New Roman" w:eastAsia="宋体" w:cs="Times New Roman"/>
          <w:b/>
          <w:bCs/>
          <w:color w:val="auto"/>
          <w:kern w:val="2"/>
          <w:sz w:val="24"/>
          <w:szCs w:val="24"/>
          <w:u w:val="single"/>
          <w:lang w:val="en-US" w:eastAsia="zh-CN" w:bidi="ar-SA"/>
        </w:rPr>
        <w:t>）</w:t>
      </w:r>
      <w:r>
        <w:rPr>
          <w:rFonts w:hint="eastAsia"/>
          <w:b/>
          <w:bCs/>
          <w:color w:val="auto"/>
          <w:u w:val="single"/>
          <w:lang w:val="en-US" w:eastAsia="zh-CN"/>
        </w:rPr>
        <w:t>中试方案</w:t>
      </w:r>
    </w:p>
    <w:p w14:paraId="5AEFC28A">
      <w:pPr>
        <w:bidi w:val="0"/>
        <w:rPr>
          <w:rFonts w:hint="eastAsia"/>
          <w:b/>
          <w:bCs/>
          <w:color w:val="auto"/>
          <w:u w:val="single"/>
          <w:lang w:val="en-US" w:eastAsia="zh-CN"/>
        </w:rPr>
      </w:pPr>
      <w:r>
        <w:rPr>
          <w:rFonts w:hint="eastAsia"/>
          <w:b/>
          <w:bCs/>
          <w:color w:val="auto"/>
          <w:u w:val="single"/>
          <w:lang w:val="en-US" w:eastAsia="zh-CN"/>
        </w:rPr>
        <w:t>*</w:t>
      </w:r>
    </w:p>
    <w:p w14:paraId="668AB03C">
      <w:pPr>
        <w:bidi w:val="0"/>
        <w:rPr>
          <w:rFonts w:hint="default"/>
          <w:b/>
          <w:bCs/>
          <w:color w:val="auto"/>
          <w:u w:val="single"/>
          <w:lang w:val="en-US" w:eastAsia="zh-CN"/>
        </w:rPr>
      </w:pPr>
      <w:r>
        <w:rPr>
          <w:rFonts w:hint="eastAsia"/>
          <w:b/>
          <w:bCs/>
          <w:color w:val="auto"/>
          <w:u w:val="single"/>
          <w:lang w:val="en-US" w:eastAsia="zh-CN"/>
        </w:rPr>
        <w:t>*</w:t>
      </w:r>
    </w:p>
    <w:p w14:paraId="6337F7FA">
      <w:pPr>
        <w:bidi w:val="0"/>
        <w:rPr>
          <w:rFonts w:hint="eastAsia"/>
          <w:b/>
          <w:bCs/>
          <w:color w:val="auto"/>
          <w:u w:val="single"/>
          <w:lang w:val="en-US" w:eastAsia="zh-CN"/>
        </w:rPr>
      </w:pPr>
      <w:r>
        <w:rPr>
          <w:rFonts w:hint="eastAsia"/>
          <w:b/>
          <w:bCs/>
          <w:color w:val="auto"/>
          <w:u w:val="single"/>
          <w:lang w:val="en-US" w:eastAsia="zh-CN"/>
        </w:rPr>
        <w:t>*</w:t>
      </w:r>
    </w:p>
    <w:p w14:paraId="2756DCB9">
      <w:pPr>
        <w:bidi w:val="0"/>
        <w:rPr>
          <w:rFonts w:hint="default"/>
          <w:b/>
          <w:bCs/>
          <w:color w:val="auto"/>
          <w:u w:val="single"/>
          <w:lang w:val="en-US" w:eastAsia="zh-CN"/>
        </w:rPr>
      </w:pPr>
      <w:r>
        <w:rPr>
          <w:rFonts w:hint="eastAsia"/>
          <w:b/>
          <w:bCs/>
          <w:color w:val="auto"/>
          <w:u w:val="single"/>
          <w:lang w:val="en-US" w:eastAsia="zh-CN"/>
        </w:rPr>
        <w:t>*</w:t>
      </w:r>
    </w:p>
    <w:p w14:paraId="57F175F4">
      <w:pPr>
        <w:bidi w:val="0"/>
        <w:rPr>
          <w:rFonts w:hint="eastAsia"/>
          <w:b/>
          <w:bCs/>
          <w:color w:val="auto"/>
          <w:u w:val="single"/>
          <w:lang w:val="en-US" w:eastAsia="zh-CN"/>
        </w:rPr>
      </w:pPr>
      <w:r>
        <w:rPr>
          <w:rFonts w:hint="eastAsia"/>
          <w:b/>
          <w:bCs/>
          <w:color w:val="auto"/>
          <w:u w:val="single"/>
          <w:lang w:val="en-US" w:eastAsia="zh-CN"/>
        </w:rPr>
        <w:t>*</w:t>
      </w:r>
    </w:p>
    <w:p w14:paraId="750FA50B">
      <w:pPr>
        <w:bidi w:val="0"/>
        <w:rPr>
          <w:rFonts w:hint="default"/>
          <w:b/>
          <w:bCs/>
          <w:color w:val="auto"/>
          <w:u w:val="single"/>
          <w:lang w:val="en-US" w:eastAsia="zh-CN"/>
        </w:rPr>
      </w:pPr>
      <w:r>
        <w:rPr>
          <w:rFonts w:hint="eastAsia"/>
          <w:b/>
          <w:bCs/>
          <w:color w:val="auto"/>
          <w:u w:val="single"/>
          <w:lang w:val="en-US" w:eastAsia="zh-CN"/>
        </w:rPr>
        <w:t>*</w:t>
      </w:r>
    </w:p>
    <w:p w14:paraId="128B660F">
      <w:pPr>
        <w:bidi w:val="0"/>
        <w:rPr>
          <w:rFonts w:hint="eastAsia"/>
          <w:b/>
          <w:bCs/>
          <w:color w:val="auto"/>
          <w:u w:val="single"/>
          <w:lang w:val="en-US" w:eastAsia="zh-CN"/>
        </w:rPr>
      </w:pPr>
      <w:r>
        <w:rPr>
          <w:rFonts w:hint="eastAsia"/>
          <w:b/>
          <w:bCs/>
          <w:color w:val="auto"/>
          <w:u w:val="single"/>
          <w:lang w:val="en-US" w:eastAsia="zh-CN"/>
        </w:rPr>
        <w:t>*</w:t>
      </w:r>
    </w:p>
    <w:p w14:paraId="37A41863">
      <w:pPr>
        <w:bidi w:val="0"/>
        <w:rPr>
          <w:rFonts w:hint="default"/>
          <w:b/>
          <w:bCs/>
          <w:color w:val="auto"/>
          <w:u w:val="single"/>
          <w:lang w:val="en-US" w:eastAsia="zh-CN"/>
        </w:rPr>
      </w:pPr>
      <w:r>
        <w:rPr>
          <w:rFonts w:hint="eastAsia"/>
          <w:b/>
          <w:bCs/>
          <w:color w:val="auto"/>
          <w:u w:val="single"/>
          <w:lang w:val="en-US" w:eastAsia="zh-CN"/>
        </w:rPr>
        <w:t>*</w:t>
      </w:r>
    </w:p>
    <w:p w14:paraId="069A4216">
      <w:pPr>
        <w:bidi w:val="0"/>
        <w:rPr>
          <w:rFonts w:hint="eastAsia"/>
          <w:b/>
          <w:bCs/>
          <w:color w:val="auto"/>
          <w:u w:val="single"/>
          <w:lang w:val="en-US" w:eastAsia="zh-CN"/>
        </w:rPr>
      </w:pPr>
      <w:r>
        <w:rPr>
          <w:rFonts w:hint="eastAsia"/>
          <w:b/>
          <w:bCs/>
          <w:color w:val="auto"/>
          <w:u w:val="single"/>
          <w:lang w:val="en-US" w:eastAsia="zh-CN"/>
        </w:rPr>
        <w:t>*</w:t>
      </w:r>
    </w:p>
    <w:p w14:paraId="58443EED">
      <w:pPr>
        <w:bidi w:val="0"/>
        <w:rPr>
          <w:rFonts w:hint="default"/>
          <w:b/>
          <w:bCs/>
          <w:color w:val="auto"/>
          <w:u w:val="single"/>
          <w:lang w:val="en-US" w:eastAsia="zh-CN"/>
        </w:rPr>
      </w:pPr>
      <w:r>
        <w:rPr>
          <w:rFonts w:hint="eastAsia"/>
          <w:b/>
          <w:bCs/>
          <w:color w:val="auto"/>
          <w:u w:val="single"/>
          <w:lang w:val="en-US" w:eastAsia="zh-CN"/>
        </w:rPr>
        <w:t>*</w:t>
      </w:r>
    </w:p>
    <w:p w14:paraId="4564A7DB">
      <w:pPr>
        <w:bidi w:val="0"/>
        <w:rPr>
          <w:rFonts w:hint="eastAsia"/>
          <w:b/>
          <w:bCs/>
          <w:color w:val="auto"/>
          <w:u w:val="single"/>
          <w:lang w:val="en-US" w:eastAsia="zh-CN"/>
        </w:rPr>
      </w:pPr>
      <w:r>
        <w:rPr>
          <w:rFonts w:hint="eastAsia"/>
          <w:b/>
          <w:bCs/>
          <w:color w:val="auto"/>
          <w:u w:val="single"/>
          <w:lang w:val="en-US" w:eastAsia="zh-CN"/>
        </w:rPr>
        <w:t>*</w:t>
      </w:r>
    </w:p>
    <w:p w14:paraId="01714308">
      <w:pPr>
        <w:bidi w:val="0"/>
        <w:rPr>
          <w:rFonts w:hint="default"/>
          <w:b/>
          <w:bCs/>
          <w:color w:val="auto"/>
          <w:u w:val="single"/>
          <w:lang w:val="en-US" w:eastAsia="zh-CN"/>
        </w:rPr>
      </w:pPr>
      <w:r>
        <w:rPr>
          <w:rFonts w:hint="eastAsia"/>
          <w:b/>
          <w:bCs/>
          <w:color w:val="auto"/>
          <w:u w:val="single"/>
          <w:lang w:val="en-US" w:eastAsia="zh-CN"/>
        </w:rPr>
        <w:t>*</w:t>
      </w:r>
    </w:p>
    <w:p w14:paraId="4AAC2E59">
      <w:pPr>
        <w:bidi w:val="0"/>
        <w:rPr>
          <w:rFonts w:hint="eastAsia"/>
          <w:b/>
          <w:bCs/>
          <w:color w:val="auto"/>
          <w:u w:val="single"/>
          <w:lang w:val="en-US" w:eastAsia="zh-CN"/>
        </w:rPr>
      </w:pPr>
      <w:r>
        <w:rPr>
          <w:rFonts w:hint="eastAsia"/>
          <w:b/>
          <w:bCs/>
          <w:color w:val="auto"/>
          <w:u w:val="single"/>
          <w:lang w:val="en-US" w:eastAsia="zh-CN"/>
        </w:rPr>
        <w:t>*</w:t>
      </w:r>
    </w:p>
    <w:p w14:paraId="1BEF7B20">
      <w:pPr>
        <w:bidi w:val="0"/>
        <w:rPr>
          <w:rFonts w:hint="default"/>
          <w:b/>
          <w:bCs/>
          <w:color w:val="auto"/>
          <w:u w:val="single"/>
          <w:lang w:val="en-US" w:eastAsia="zh-CN"/>
        </w:rPr>
      </w:pPr>
      <w:r>
        <w:rPr>
          <w:rFonts w:hint="eastAsia"/>
          <w:b/>
          <w:bCs/>
          <w:color w:val="auto"/>
          <w:u w:val="single"/>
          <w:lang w:val="en-US" w:eastAsia="zh-CN"/>
        </w:rPr>
        <w:t>*</w:t>
      </w:r>
    </w:p>
    <w:p w14:paraId="34AC4472">
      <w:pPr>
        <w:bidi w:val="0"/>
        <w:rPr>
          <w:rFonts w:hint="eastAsia"/>
          <w:b/>
          <w:bCs/>
          <w:color w:val="auto"/>
          <w:u w:val="single"/>
          <w:lang w:val="en-US" w:eastAsia="zh-CN"/>
        </w:rPr>
      </w:pPr>
      <w:r>
        <w:rPr>
          <w:rFonts w:hint="eastAsia"/>
          <w:b/>
          <w:bCs/>
          <w:color w:val="auto"/>
          <w:u w:val="single"/>
          <w:lang w:val="en-US" w:eastAsia="zh-CN"/>
        </w:rPr>
        <w:t>*</w:t>
      </w:r>
    </w:p>
    <w:p w14:paraId="2B710BBB">
      <w:pPr>
        <w:bidi w:val="0"/>
        <w:rPr>
          <w:rFonts w:hint="default"/>
          <w:b/>
          <w:bCs/>
          <w:color w:val="auto"/>
          <w:u w:val="single"/>
          <w:lang w:val="en-US" w:eastAsia="zh-CN"/>
        </w:rPr>
      </w:pPr>
      <w:r>
        <w:rPr>
          <w:rFonts w:hint="eastAsia"/>
          <w:b/>
          <w:bCs/>
          <w:color w:val="auto"/>
          <w:u w:val="single"/>
          <w:lang w:val="en-US" w:eastAsia="zh-CN"/>
        </w:rPr>
        <w:t>*</w:t>
      </w:r>
    </w:p>
    <w:p w14:paraId="2B97A606">
      <w:pPr>
        <w:bidi w:val="0"/>
        <w:rPr>
          <w:rFonts w:hint="eastAsia"/>
          <w:b/>
          <w:bCs/>
          <w:color w:val="auto"/>
          <w:u w:val="single"/>
          <w:lang w:val="en-US" w:eastAsia="zh-CN"/>
        </w:rPr>
      </w:pPr>
      <w:r>
        <w:rPr>
          <w:rFonts w:hint="eastAsia"/>
          <w:b/>
          <w:bCs/>
          <w:color w:val="auto"/>
          <w:u w:val="single"/>
          <w:lang w:val="en-US" w:eastAsia="zh-CN"/>
        </w:rPr>
        <w:t>*</w:t>
      </w:r>
    </w:p>
    <w:p w14:paraId="46432E55">
      <w:pPr>
        <w:bidi w:val="0"/>
        <w:rPr>
          <w:rFonts w:hint="default"/>
          <w:b/>
          <w:bCs/>
          <w:color w:val="auto"/>
          <w:u w:val="single"/>
          <w:lang w:val="en-US" w:eastAsia="zh-CN"/>
        </w:rPr>
      </w:pPr>
      <w:r>
        <w:rPr>
          <w:rFonts w:hint="eastAsia"/>
          <w:b/>
          <w:bCs/>
          <w:color w:val="auto"/>
          <w:u w:val="single"/>
          <w:lang w:val="en-US" w:eastAsia="zh-CN"/>
        </w:rPr>
        <w:t>*</w:t>
      </w:r>
    </w:p>
    <w:p w14:paraId="296C09F9">
      <w:pPr>
        <w:bidi w:val="0"/>
        <w:rPr>
          <w:rFonts w:hint="eastAsia"/>
          <w:b/>
          <w:bCs/>
          <w:color w:val="auto"/>
          <w:u w:val="single"/>
          <w:lang w:val="en-US" w:eastAsia="zh-CN"/>
        </w:rPr>
      </w:pPr>
      <w:r>
        <w:rPr>
          <w:rFonts w:hint="eastAsia"/>
          <w:b/>
          <w:bCs/>
          <w:color w:val="auto"/>
          <w:u w:val="single"/>
          <w:lang w:val="en-US" w:eastAsia="zh-CN"/>
        </w:rPr>
        <w:t>*</w:t>
      </w:r>
    </w:p>
    <w:p w14:paraId="68ECCF34">
      <w:pPr>
        <w:bidi w:val="0"/>
        <w:rPr>
          <w:rFonts w:hint="default"/>
          <w:b/>
          <w:bCs/>
          <w:color w:val="auto"/>
          <w:u w:val="single"/>
          <w:lang w:val="en-US" w:eastAsia="zh-CN"/>
        </w:rPr>
      </w:pPr>
      <w:r>
        <w:rPr>
          <w:rFonts w:hint="eastAsia"/>
          <w:b/>
          <w:bCs/>
          <w:color w:val="auto"/>
          <w:u w:val="single"/>
          <w:lang w:val="en-US" w:eastAsia="zh-CN"/>
        </w:rPr>
        <w:t>*</w:t>
      </w:r>
    </w:p>
    <w:p w14:paraId="1C2DDE31">
      <w:pPr>
        <w:bidi w:val="0"/>
        <w:rPr>
          <w:rFonts w:hint="eastAsia"/>
          <w:b/>
          <w:bCs/>
          <w:color w:val="auto"/>
          <w:u w:val="single"/>
          <w:lang w:val="en-US" w:eastAsia="zh-CN"/>
        </w:rPr>
      </w:pPr>
      <w:r>
        <w:rPr>
          <w:rFonts w:hint="eastAsia"/>
          <w:b/>
          <w:bCs/>
          <w:color w:val="auto"/>
          <w:u w:val="single"/>
          <w:lang w:val="en-US" w:eastAsia="zh-CN"/>
        </w:rPr>
        <w:t>*</w:t>
      </w:r>
    </w:p>
    <w:p w14:paraId="04D2A4BB">
      <w:pPr>
        <w:bidi w:val="0"/>
        <w:rPr>
          <w:rFonts w:hint="default"/>
          <w:b/>
          <w:bCs/>
          <w:color w:val="auto"/>
          <w:u w:val="single"/>
          <w:lang w:val="en-US" w:eastAsia="zh-CN"/>
        </w:rPr>
      </w:pPr>
      <w:r>
        <w:rPr>
          <w:rFonts w:hint="eastAsia"/>
          <w:b/>
          <w:bCs/>
          <w:color w:val="auto"/>
          <w:u w:val="single"/>
          <w:lang w:val="en-US" w:eastAsia="zh-CN"/>
        </w:rPr>
        <w:t>*</w:t>
      </w:r>
    </w:p>
    <w:p w14:paraId="145524E4">
      <w:pPr>
        <w:bidi w:val="0"/>
        <w:rPr>
          <w:rFonts w:hint="eastAsia"/>
          <w:b/>
          <w:bCs/>
          <w:color w:val="auto"/>
          <w:u w:val="single"/>
          <w:lang w:val="en-US" w:eastAsia="zh-CN"/>
        </w:rPr>
      </w:pPr>
      <w:r>
        <w:rPr>
          <w:rFonts w:hint="eastAsia"/>
          <w:b/>
          <w:bCs/>
          <w:color w:val="auto"/>
          <w:u w:val="single"/>
          <w:lang w:val="en-US" w:eastAsia="zh-CN"/>
        </w:rPr>
        <w:t>*</w:t>
      </w:r>
    </w:p>
    <w:p w14:paraId="62BFCCEC">
      <w:pPr>
        <w:bidi w:val="0"/>
        <w:rPr>
          <w:rFonts w:hint="default"/>
          <w:b/>
          <w:bCs/>
          <w:color w:val="auto"/>
          <w:u w:val="single"/>
          <w:lang w:val="en-US" w:eastAsia="zh-CN"/>
        </w:rPr>
      </w:pPr>
      <w:r>
        <w:rPr>
          <w:rFonts w:hint="eastAsia"/>
          <w:b/>
          <w:bCs/>
          <w:color w:val="auto"/>
          <w:u w:val="single"/>
          <w:lang w:val="en-US" w:eastAsia="zh-CN"/>
        </w:rPr>
        <w:t>*</w:t>
      </w:r>
    </w:p>
    <w:p w14:paraId="67306DF3">
      <w:pPr>
        <w:bidi w:val="0"/>
        <w:rPr>
          <w:rFonts w:hint="eastAsia"/>
          <w:b/>
          <w:bCs/>
          <w:color w:val="auto"/>
          <w:u w:val="single"/>
          <w:lang w:val="en-US" w:eastAsia="zh-CN"/>
        </w:rPr>
      </w:pPr>
      <w:r>
        <w:rPr>
          <w:rFonts w:hint="eastAsia"/>
          <w:b/>
          <w:bCs/>
          <w:color w:val="auto"/>
          <w:u w:val="single"/>
          <w:lang w:val="en-US" w:eastAsia="zh-CN"/>
        </w:rPr>
        <w:t>*</w:t>
      </w:r>
    </w:p>
    <w:p w14:paraId="0CC099A3">
      <w:pPr>
        <w:bidi w:val="0"/>
        <w:rPr>
          <w:rFonts w:hint="default"/>
          <w:b/>
          <w:bCs/>
          <w:color w:val="auto"/>
          <w:u w:val="single"/>
          <w:lang w:val="en-US" w:eastAsia="zh-CN"/>
        </w:rPr>
      </w:pPr>
      <w:r>
        <w:rPr>
          <w:rFonts w:hint="eastAsia"/>
          <w:b/>
          <w:bCs/>
          <w:color w:val="auto"/>
          <w:u w:val="single"/>
          <w:lang w:val="en-US" w:eastAsia="zh-CN"/>
        </w:rPr>
        <w:t>*</w:t>
      </w:r>
    </w:p>
    <w:p w14:paraId="2C5747D6">
      <w:pPr>
        <w:bidi w:val="0"/>
        <w:rPr>
          <w:rFonts w:hint="eastAsia"/>
          <w:b/>
          <w:bCs/>
          <w:color w:val="auto"/>
          <w:u w:val="single"/>
          <w:lang w:val="en-US" w:eastAsia="zh-CN"/>
        </w:rPr>
      </w:pPr>
      <w:r>
        <w:rPr>
          <w:rFonts w:hint="eastAsia"/>
          <w:b/>
          <w:bCs/>
          <w:color w:val="auto"/>
          <w:u w:val="single"/>
          <w:lang w:val="en-US" w:eastAsia="zh-CN"/>
        </w:rPr>
        <w:t>。</w:t>
      </w:r>
    </w:p>
    <w:p w14:paraId="1E07FF69">
      <w:pPr>
        <w:pStyle w:val="5"/>
        <w:bidi w:val="0"/>
        <w:rPr>
          <w:rFonts w:hint="eastAsia"/>
          <w:lang w:val="en-US" w:eastAsia="zh-CN"/>
        </w:rPr>
      </w:pPr>
      <w:r>
        <w:rPr>
          <w:rFonts w:hint="eastAsia"/>
          <w:lang w:val="en-US" w:eastAsia="zh-CN"/>
        </w:rPr>
        <w:t>项目组成</w:t>
      </w:r>
    </w:p>
    <w:p w14:paraId="0C54A0FB">
      <w:pPr>
        <w:bidi w:val="0"/>
        <w:rPr>
          <w:color w:val="auto"/>
        </w:rPr>
      </w:pPr>
      <w:r>
        <w:rPr>
          <w:rFonts w:hint="eastAsia"/>
          <w:color w:val="auto"/>
        </w:rPr>
        <w:t>本项目基本情况见下表：</w:t>
      </w:r>
    </w:p>
    <w:p w14:paraId="120DD50E">
      <w:pPr>
        <w:pStyle w:val="10"/>
        <w:bidi w:val="0"/>
        <w:rPr>
          <w:color w:val="auto"/>
        </w:rPr>
      </w:pPr>
      <w:r>
        <w:t xml:space="preserve">表 </w:t>
      </w:r>
      <w:r>
        <w:fldChar w:fldCharType="begin"/>
      </w:r>
      <w:r>
        <w:instrText xml:space="preserve"> STYLEREF 2 \s </w:instrText>
      </w:r>
      <w:r>
        <w:fldChar w:fldCharType="separate"/>
      </w:r>
      <w:r>
        <w:t>4.1</w:t>
      </w:r>
      <w:r>
        <w:fldChar w:fldCharType="end"/>
      </w:r>
      <w:r>
        <w:rPr>
          <w:rFonts w:hint="eastAsia"/>
          <w:lang w:eastAsia="zh-CN"/>
        </w:rPr>
        <w:t>-</w:t>
      </w:r>
      <w:r>
        <w:fldChar w:fldCharType="begin"/>
      </w:r>
      <w:r>
        <w:instrText xml:space="preserve"> SEQ 表 \* ARABIC \s 2 </w:instrText>
      </w:r>
      <w:r>
        <w:fldChar w:fldCharType="separate"/>
      </w:r>
      <w:r>
        <w:t>4</w:t>
      </w:r>
      <w:r>
        <w:fldChar w:fldCharType="end"/>
      </w:r>
      <w:r>
        <w:rPr>
          <w:color w:val="auto"/>
        </w:rPr>
        <w:t xml:space="preserve"> </w:t>
      </w:r>
      <w:r>
        <w:rPr>
          <w:rFonts w:hint="eastAsia"/>
          <w:color w:val="auto"/>
          <w:lang w:val="en-US" w:eastAsia="zh-CN"/>
        </w:rPr>
        <w:t>本</w:t>
      </w:r>
      <w:r>
        <w:rPr>
          <w:rFonts w:hint="eastAsia"/>
          <w:color w:val="auto"/>
        </w:rPr>
        <w:t>项目基本情况表</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559"/>
        <w:gridCol w:w="6515"/>
      </w:tblGrid>
      <w:tr w14:paraId="331A3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3CA081F1">
            <w:pPr>
              <w:pStyle w:val="182"/>
              <w:bidi w:val="0"/>
              <w:rPr>
                <w:b/>
                <w:bCs/>
                <w:color w:val="auto"/>
              </w:rPr>
            </w:pPr>
            <w:r>
              <w:rPr>
                <w:rFonts w:hint="eastAsia"/>
                <w:b/>
                <w:bCs/>
                <w:color w:val="auto"/>
              </w:rPr>
              <w:t>序号</w:t>
            </w:r>
          </w:p>
        </w:tc>
        <w:tc>
          <w:tcPr>
            <w:tcW w:w="1559" w:type="dxa"/>
            <w:vAlign w:val="center"/>
          </w:tcPr>
          <w:p w14:paraId="2CE3050D">
            <w:pPr>
              <w:pStyle w:val="182"/>
              <w:bidi w:val="0"/>
              <w:rPr>
                <w:b/>
                <w:bCs/>
                <w:color w:val="auto"/>
              </w:rPr>
            </w:pPr>
            <w:r>
              <w:rPr>
                <w:rFonts w:hint="eastAsia"/>
                <w:b/>
                <w:bCs/>
                <w:color w:val="auto"/>
              </w:rPr>
              <w:t>项目</w:t>
            </w:r>
          </w:p>
        </w:tc>
        <w:tc>
          <w:tcPr>
            <w:tcW w:w="6515" w:type="dxa"/>
            <w:vAlign w:val="center"/>
          </w:tcPr>
          <w:p w14:paraId="21CA2C9A">
            <w:pPr>
              <w:pStyle w:val="182"/>
              <w:bidi w:val="0"/>
              <w:rPr>
                <w:b/>
                <w:bCs/>
                <w:color w:val="auto"/>
              </w:rPr>
            </w:pPr>
            <w:r>
              <w:rPr>
                <w:rFonts w:hint="eastAsia"/>
                <w:b/>
                <w:bCs/>
                <w:color w:val="auto"/>
              </w:rPr>
              <w:t>内容</w:t>
            </w:r>
          </w:p>
        </w:tc>
      </w:tr>
      <w:tr w14:paraId="5824D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2282CFAF">
            <w:pPr>
              <w:pStyle w:val="182"/>
              <w:bidi w:val="0"/>
              <w:rPr>
                <w:color w:val="auto"/>
              </w:rPr>
            </w:pPr>
            <w:r>
              <w:rPr>
                <w:color w:val="auto"/>
              </w:rPr>
              <w:t>1</w:t>
            </w:r>
          </w:p>
        </w:tc>
        <w:tc>
          <w:tcPr>
            <w:tcW w:w="1559" w:type="dxa"/>
            <w:vAlign w:val="center"/>
          </w:tcPr>
          <w:p w14:paraId="43E9B1CA">
            <w:pPr>
              <w:pStyle w:val="182"/>
              <w:bidi w:val="0"/>
              <w:rPr>
                <w:color w:val="auto"/>
              </w:rPr>
            </w:pPr>
            <w:r>
              <w:rPr>
                <w:rFonts w:hint="eastAsia"/>
                <w:color w:val="auto"/>
              </w:rPr>
              <w:t>项目名称</w:t>
            </w:r>
          </w:p>
        </w:tc>
        <w:tc>
          <w:tcPr>
            <w:tcW w:w="6515" w:type="dxa"/>
            <w:vAlign w:val="center"/>
          </w:tcPr>
          <w:p w14:paraId="0B19D8E4">
            <w:pPr>
              <w:pStyle w:val="182"/>
              <w:bidi w:val="0"/>
              <w:rPr>
                <w:rFonts w:hint="eastAsia" w:eastAsia="宋体"/>
                <w:color w:val="auto"/>
                <w:lang w:eastAsia="zh-CN"/>
              </w:rPr>
            </w:pPr>
            <w:r>
              <w:rPr>
                <w:rFonts w:hint="eastAsia"/>
                <w:color w:val="auto"/>
                <w:lang w:eastAsia="zh-CN"/>
              </w:rPr>
              <w:t>年产1000吨DT溶剂法再生纤维素纤维中试研发项目</w:t>
            </w:r>
          </w:p>
        </w:tc>
      </w:tr>
      <w:tr w14:paraId="4C1BA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10DBB654">
            <w:pPr>
              <w:pStyle w:val="182"/>
              <w:bidi w:val="0"/>
              <w:rPr>
                <w:color w:val="auto"/>
              </w:rPr>
            </w:pPr>
            <w:r>
              <w:rPr>
                <w:color w:val="auto"/>
              </w:rPr>
              <w:t>2</w:t>
            </w:r>
          </w:p>
        </w:tc>
        <w:tc>
          <w:tcPr>
            <w:tcW w:w="1559" w:type="dxa"/>
            <w:vAlign w:val="center"/>
          </w:tcPr>
          <w:p w14:paraId="01808B10">
            <w:pPr>
              <w:pStyle w:val="182"/>
              <w:bidi w:val="0"/>
              <w:rPr>
                <w:color w:val="auto"/>
              </w:rPr>
            </w:pPr>
            <w:r>
              <w:rPr>
                <w:rFonts w:hint="eastAsia"/>
                <w:color w:val="auto"/>
              </w:rPr>
              <w:t>建设单位</w:t>
            </w:r>
          </w:p>
        </w:tc>
        <w:tc>
          <w:tcPr>
            <w:tcW w:w="6515" w:type="dxa"/>
            <w:vAlign w:val="center"/>
          </w:tcPr>
          <w:p w14:paraId="477EA296">
            <w:pPr>
              <w:pStyle w:val="182"/>
              <w:bidi w:val="0"/>
              <w:rPr>
                <w:color w:val="auto"/>
              </w:rPr>
            </w:pPr>
            <w:r>
              <w:rPr>
                <w:rFonts w:hint="eastAsia"/>
                <w:color w:val="auto"/>
              </w:rPr>
              <w:t>新乡化纤股份有限公司</w:t>
            </w:r>
          </w:p>
        </w:tc>
      </w:tr>
      <w:tr w14:paraId="3B23D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67E9428B">
            <w:pPr>
              <w:pStyle w:val="182"/>
              <w:bidi w:val="0"/>
              <w:rPr>
                <w:color w:val="auto"/>
              </w:rPr>
            </w:pPr>
            <w:r>
              <w:rPr>
                <w:color w:val="auto"/>
              </w:rPr>
              <w:t>3</w:t>
            </w:r>
          </w:p>
        </w:tc>
        <w:tc>
          <w:tcPr>
            <w:tcW w:w="1559" w:type="dxa"/>
            <w:vAlign w:val="center"/>
          </w:tcPr>
          <w:p w14:paraId="71A4C82A">
            <w:pPr>
              <w:pStyle w:val="182"/>
              <w:bidi w:val="0"/>
              <w:rPr>
                <w:color w:val="auto"/>
              </w:rPr>
            </w:pPr>
            <w:r>
              <w:rPr>
                <w:rFonts w:hint="eastAsia"/>
                <w:color w:val="auto"/>
              </w:rPr>
              <w:t>建设地点</w:t>
            </w:r>
          </w:p>
        </w:tc>
        <w:tc>
          <w:tcPr>
            <w:tcW w:w="6515" w:type="dxa"/>
            <w:vAlign w:val="center"/>
          </w:tcPr>
          <w:p w14:paraId="65E94BDD">
            <w:pPr>
              <w:pStyle w:val="182"/>
              <w:bidi w:val="0"/>
              <w:rPr>
                <w:color w:val="auto"/>
              </w:rPr>
            </w:pPr>
            <w:r>
              <w:rPr>
                <w:rFonts w:hint="eastAsia"/>
                <w:color w:val="auto"/>
              </w:rPr>
              <w:t>新乡经济技术开发区新长北路南侧</w:t>
            </w:r>
          </w:p>
        </w:tc>
      </w:tr>
      <w:tr w14:paraId="766D1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75C35582">
            <w:pPr>
              <w:pStyle w:val="182"/>
              <w:bidi w:val="0"/>
              <w:rPr>
                <w:color w:val="auto"/>
              </w:rPr>
            </w:pPr>
            <w:r>
              <w:rPr>
                <w:color w:val="auto"/>
              </w:rPr>
              <w:t>4</w:t>
            </w:r>
          </w:p>
        </w:tc>
        <w:tc>
          <w:tcPr>
            <w:tcW w:w="1559" w:type="dxa"/>
            <w:vAlign w:val="center"/>
          </w:tcPr>
          <w:p w14:paraId="4E6C7648">
            <w:pPr>
              <w:pStyle w:val="182"/>
              <w:bidi w:val="0"/>
              <w:rPr>
                <w:color w:val="auto"/>
              </w:rPr>
            </w:pPr>
            <w:r>
              <w:rPr>
                <w:rFonts w:hint="eastAsia"/>
                <w:color w:val="auto"/>
              </w:rPr>
              <w:t>法人</w:t>
            </w:r>
          </w:p>
        </w:tc>
        <w:tc>
          <w:tcPr>
            <w:tcW w:w="6515" w:type="dxa"/>
            <w:vAlign w:val="center"/>
          </w:tcPr>
          <w:p w14:paraId="7BB66929">
            <w:pPr>
              <w:pStyle w:val="182"/>
              <w:bidi w:val="0"/>
              <w:rPr>
                <w:color w:val="auto"/>
              </w:rPr>
            </w:pPr>
            <w:r>
              <w:rPr>
                <w:rFonts w:hint="eastAsia"/>
                <w:color w:val="auto"/>
              </w:rPr>
              <w:t>邵长金</w:t>
            </w:r>
          </w:p>
        </w:tc>
      </w:tr>
      <w:tr w14:paraId="0B5F1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64A33577">
            <w:pPr>
              <w:pStyle w:val="182"/>
              <w:bidi w:val="0"/>
              <w:rPr>
                <w:color w:val="auto"/>
              </w:rPr>
            </w:pPr>
            <w:r>
              <w:rPr>
                <w:color w:val="auto"/>
              </w:rPr>
              <w:t>5</w:t>
            </w:r>
          </w:p>
        </w:tc>
        <w:tc>
          <w:tcPr>
            <w:tcW w:w="1559" w:type="dxa"/>
            <w:vAlign w:val="center"/>
          </w:tcPr>
          <w:p w14:paraId="32E13DBA">
            <w:pPr>
              <w:pStyle w:val="182"/>
              <w:bidi w:val="0"/>
              <w:rPr>
                <w:color w:val="auto"/>
              </w:rPr>
            </w:pPr>
            <w:r>
              <w:rPr>
                <w:rFonts w:hint="eastAsia"/>
                <w:color w:val="auto"/>
              </w:rPr>
              <w:t>总投资</w:t>
            </w:r>
          </w:p>
        </w:tc>
        <w:tc>
          <w:tcPr>
            <w:tcW w:w="6515" w:type="dxa"/>
            <w:vAlign w:val="center"/>
          </w:tcPr>
          <w:p w14:paraId="50932A1B">
            <w:pPr>
              <w:pStyle w:val="182"/>
              <w:bidi w:val="0"/>
              <w:rPr>
                <w:color w:val="auto"/>
              </w:rPr>
            </w:pPr>
            <w:r>
              <w:rPr>
                <w:rFonts w:hint="eastAsia"/>
                <w:color w:val="auto"/>
                <w:lang w:val="en-US" w:eastAsia="zh-CN"/>
              </w:rPr>
              <w:t>6400</w:t>
            </w:r>
            <w:r>
              <w:rPr>
                <w:rFonts w:hint="eastAsia"/>
                <w:color w:val="auto"/>
              </w:rPr>
              <w:t>万元</w:t>
            </w:r>
          </w:p>
        </w:tc>
      </w:tr>
      <w:tr w14:paraId="64C50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5AB6D7F7">
            <w:pPr>
              <w:pStyle w:val="182"/>
              <w:bidi w:val="0"/>
              <w:rPr>
                <w:color w:val="auto"/>
              </w:rPr>
            </w:pPr>
            <w:r>
              <w:rPr>
                <w:color w:val="auto"/>
              </w:rPr>
              <w:t>7</w:t>
            </w:r>
          </w:p>
        </w:tc>
        <w:tc>
          <w:tcPr>
            <w:tcW w:w="1559" w:type="dxa"/>
            <w:vAlign w:val="center"/>
          </w:tcPr>
          <w:p w14:paraId="09231F1B">
            <w:pPr>
              <w:pStyle w:val="182"/>
              <w:bidi w:val="0"/>
              <w:rPr>
                <w:color w:val="auto"/>
              </w:rPr>
            </w:pPr>
            <w:r>
              <w:rPr>
                <w:rFonts w:hint="eastAsia"/>
                <w:color w:val="auto"/>
              </w:rPr>
              <w:t>建设周期</w:t>
            </w:r>
          </w:p>
        </w:tc>
        <w:tc>
          <w:tcPr>
            <w:tcW w:w="6515" w:type="dxa"/>
            <w:vAlign w:val="center"/>
          </w:tcPr>
          <w:p w14:paraId="1262FFFE">
            <w:pPr>
              <w:pStyle w:val="182"/>
              <w:bidi w:val="0"/>
              <w:rPr>
                <w:color w:val="auto"/>
              </w:rPr>
            </w:pPr>
            <w:r>
              <w:rPr>
                <w:rFonts w:hint="eastAsia"/>
                <w:color w:val="auto"/>
              </w:rPr>
              <w:t>1</w:t>
            </w:r>
            <w:r>
              <w:rPr>
                <w:rFonts w:hint="eastAsia"/>
                <w:color w:val="auto"/>
                <w:lang w:val="en-US" w:eastAsia="zh-CN"/>
              </w:rPr>
              <w:t>2</w:t>
            </w:r>
            <w:r>
              <w:rPr>
                <w:rFonts w:hint="eastAsia"/>
                <w:color w:val="auto"/>
              </w:rPr>
              <w:t>个月</w:t>
            </w:r>
          </w:p>
        </w:tc>
      </w:tr>
      <w:tr w14:paraId="7DFD7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61920982">
            <w:pPr>
              <w:pStyle w:val="182"/>
              <w:bidi w:val="0"/>
              <w:rPr>
                <w:color w:val="auto"/>
              </w:rPr>
            </w:pPr>
            <w:r>
              <w:rPr>
                <w:color w:val="auto"/>
              </w:rPr>
              <w:t>8</w:t>
            </w:r>
          </w:p>
        </w:tc>
        <w:tc>
          <w:tcPr>
            <w:tcW w:w="1559" w:type="dxa"/>
            <w:vAlign w:val="center"/>
          </w:tcPr>
          <w:p w14:paraId="2F939022">
            <w:pPr>
              <w:pStyle w:val="182"/>
              <w:bidi w:val="0"/>
              <w:rPr>
                <w:color w:val="auto"/>
              </w:rPr>
            </w:pPr>
            <w:r>
              <w:rPr>
                <w:rFonts w:hint="eastAsia"/>
                <w:color w:val="auto"/>
              </w:rPr>
              <w:t>占地面积</w:t>
            </w:r>
          </w:p>
        </w:tc>
        <w:tc>
          <w:tcPr>
            <w:tcW w:w="6515" w:type="dxa"/>
            <w:vAlign w:val="center"/>
          </w:tcPr>
          <w:p w14:paraId="3E539227">
            <w:pPr>
              <w:pStyle w:val="182"/>
              <w:bidi w:val="0"/>
              <w:rPr>
                <w:color w:val="auto"/>
              </w:rPr>
            </w:pPr>
            <w:r>
              <w:rPr>
                <w:color w:val="auto"/>
              </w:rPr>
              <w:t>总占地</w:t>
            </w:r>
            <w:r>
              <w:rPr>
                <w:rFonts w:hint="eastAsia"/>
                <w:color w:val="auto"/>
              </w:rPr>
              <w:t>35100</w:t>
            </w:r>
            <w:r>
              <w:rPr>
                <w:color w:val="auto"/>
              </w:rPr>
              <w:t xml:space="preserve"> m</w:t>
            </w:r>
            <w:r>
              <w:rPr>
                <w:color w:val="auto"/>
                <w:vertAlign w:val="superscript"/>
              </w:rPr>
              <w:t>2</w:t>
            </w:r>
            <w:r>
              <w:rPr>
                <w:color w:val="auto"/>
              </w:rPr>
              <w:t>，项目车间占地13000m</w:t>
            </w:r>
            <w:r>
              <w:rPr>
                <w:color w:val="auto"/>
                <w:vertAlign w:val="superscript"/>
              </w:rPr>
              <w:t>2</w:t>
            </w:r>
            <w:r>
              <w:rPr>
                <w:rFonts w:hint="eastAsia"/>
                <w:color w:val="auto"/>
              </w:rPr>
              <w:t>（合</w:t>
            </w:r>
            <w:r>
              <w:rPr>
                <w:rFonts w:hint="eastAsia"/>
                <w:color w:val="auto"/>
                <w:lang w:val="en-US" w:eastAsia="zh-CN"/>
              </w:rPr>
              <w:t>19.5</w:t>
            </w:r>
            <w:r>
              <w:rPr>
                <w:rFonts w:hint="eastAsia"/>
                <w:color w:val="auto"/>
              </w:rPr>
              <w:t>亩）</w:t>
            </w:r>
          </w:p>
        </w:tc>
      </w:tr>
      <w:tr w14:paraId="602B0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1EA5E2AF">
            <w:pPr>
              <w:pStyle w:val="182"/>
              <w:bidi w:val="0"/>
              <w:rPr>
                <w:color w:val="auto"/>
              </w:rPr>
            </w:pPr>
            <w:r>
              <w:rPr>
                <w:color w:val="auto"/>
              </w:rPr>
              <w:t>9</w:t>
            </w:r>
          </w:p>
        </w:tc>
        <w:tc>
          <w:tcPr>
            <w:tcW w:w="1559" w:type="dxa"/>
            <w:vAlign w:val="center"/>
          </w:tcPr>
          <w:p w14:paraId="0B136E05">
            <w:pPr>
              <w:pStyle w:val="182"/>
              <w:bidi w:val="0"/>
              <w:rPr>
                <w:color w:val="auto"/>
              </w:rPr>
            </w:pPr>
            <w:r>
              <w:rPr>
                <w:rFonts w:hint="eastAsia"/>
                <w:color w:val="auto"/>
              </w:rPr>
              <w:t>职工人数</w:t>
            </w:r>
          </w:p>
        </w:tc>
        <w:tc>
          <w:tcPr>
            <w:tcW w:w="6515" w:type="dxa"/>
            <w:vAlign w:val="center"/>
          </w:tcPr>
          <w:p w14:paraId="1A2FA8EB">
            <w:pPr>
              <w:pStyle w:val="182"/>
              <w:bidi w:val="0"/>
              <w:rPr>
                <w:color w:val="auto"/>
              </w:rPr>
            </w:pPr>
            <w:r>
              <w:rPr>
                <w:rFonts w:hint="eastAsia"/>
                <w:color w:val="auto"/>
              </w:rPr>
              <w:t>本项目劳动定员</w:t>
            </w:r>
            <w:r>
              <w:rPr>
                <w:rFonts w:hint="eastAsia"/>
                <w:color w:val="auto"/>
                <w:lang w:val="en-US" w:eastAsia="zh-CN"/>
              </w:rPr>
              <w:t>30人，从现有员工中调配</w:t>
            </w:r>
          </w:p>
        </w:tc>
      </w:tr>
      <w:tr w14:paraId="21B22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7870E4C6">
            <w:pPr>
              <w:pStyle w:val="182"/>
              <w:bidi w:val="0"/>
              <w:rPr>
                <w:color w:val="auto"/>
              </w:rPr>
            </w:pPr>
            <w:r>
              <w:rPr>
                <w:color w:val="auto"/>
              </w:rPr>
              <w:t>10</w:t>
            </w:r>
          </w:p>
        </w:tc>
        <w:tc>
          <w:tcPr>
            <w:tcW w:w="1559" w:type="dxa"/>
            <w:vAlign w:val="center"/>
          </w:tcPr>
          <w:p w14:paraId="3E952696">
            <w:pPr>
              <w:pStyle w:val="182"/>
              <w:bidi w:val="0"/>
              <w:rPr>
                <w:color w:val="auto"/>
              </w:rPr>
            </w:pPr>
            <w:r>
              <w:rPr>
                <w:rFonts w:hint="eastAsia"/>
                <w:color w:val="auto"/>
              </w:rPr>
              <w:t>生产制度</w:t>
            </w:r>
          </w:p>
        </w:tc>
        <w:tc>
          <w:tcPr>
            <w:tcW w:w="6515" w:type="dxa"/>
            <w:vAlign w:val="center"/>
          </w:tcPr>
          <w:p w14:paraId="3A8C66D8">
            <w:pPr>
              <w:pStyle w:val="182"/>
              <w:bidi w:val="0"/>
              <w:rPr>
                <w:rFonts w:hint="default" w:eastAsia="宋体"/>
                <w:color w:val="auto"/>
                <w:lang w:val="en-US" w:eastAsia="zh-CN"/>
              </w:rPr>
            </w:pPr>
            <w:r>
              <w:rPr>
                <w:rFonts w:hint="eastAsia"/>
                <w:b/>
                <w:bCs/>
                <w:color w:val="auto"/>
                <w:u w:val="single"/>
              </w:rPr>
              <w:t>年工作时间3</w:t>
            </w:r>
            <w:r>
              <w:rPr>
                <w:b/>
                <w:bCs/>
                <w:color w:val="auto"/>
                <w:u w:val="single"/>
              </w:rPr>
              <w:t>30</w:t>
            </w:r>
            <w:r>
              <w:rPr>
                <w:rFonts w:hint="eastAsia"/>
                <w:b/>
                <w:bCs/>
                <w:color w:val="auto"/>
                <w:u w:val="single"/>
              </w:rPr>
              <w:t>天，每天3班，每班8小时</w:t>
            </w:r>
            <w:r>
              <w:rPr>
                <w:rFonts w:hint="eastAsia"/>
                <w:b/>
                <w:bCs/>
                <w:color w:val="auto"/>
                <w:u w:val="single"/>
                <w:lang w:eastAsia="zh-CN"/>
              </w:rPr>
              <w:t>，</w:t>
            </w:r>
            <w:r>
              <w:rPr>
                <w:rFonts w:hint="eastAsia"/>
                <w:b/>
                <w:bCs/>
                <w:color w:val="auto"/>
                <w:u w:val="single"/>
                <w:lang w:val="en-US" w:eastAsia="zh-CN"/>
              </w:rPr>
              <w:t>采用连续生产制度</w:t>
            </w:r>
          </w:p>
        </w:tc>
      </w:tr>
      <w:tr w14:paraId="5C9BA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00BC2477">
            <w:pPr>
              <w:pStyle w:val="182"/>
              <w:bidi w:val="0"/>
              <w:rPr>
                <w:color w:val="auto"/>
              </w:rPr>
            </w:pPr>
            <w:r>
              <w:rPr>
                <w:color w:val="auto"/>
              </w:rPr>
              <w:t>11</w:t>
            </w:r>
          </w:p>
        </w:tc>
        <w:tc>
          <w:tcPr>
            <w:tcW w:w="1559" w:type="dxa"/>
            <w:vAlign w:val="center"/>
          </w:tcPr>
          <w:p w14:paraId="765B6393">
            <w:pPr>
              <w:pStyle w:val="182"/>
              <w:bidi w:val="0"/>
              <w:rPr>
                <w:color w:val="auto"/>
              </w:rPr>
            </w:pPr>
            <w:r>
              <w:rPr>
                <w:rFonts w:hint="eastAsia"/>
                <w:color w:val="auto"/>
              </w:rPr>
              <w:t>供水</w:t>
            </w:r>
          </w:p>
        </w:tc>
        <w:tc>
          <w:tcPr>
            <w:tcW w:w="6515" w:type="dxa"/>
            <w:vAlign w:val="center"/>
          </w:tcPr>
          <w:p w14:paraId="0CB71562">
            <w:pPr>
              <w:pStyle w:val="182"/>
              <w:bidi w:val="0"/>
              <w:rPr>
                <w:color w:val="auto"/>
              </w:rPr>
            </w:pPr>
            <w:r>
              <w:rPr>
                <w:rFonts w:hint="eastAsia"/>
                <w:color w:val="auto"/>
              </w:rPr>
              <w:t>由新乡市兴鹭水务供水</w:t>
            </w:r>
          </w:p>
        </w:tc>
      </w:tr>
      <w:tr w14:paraId="23133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vAlign w:val="center"/>
          </w:tcPr>
          <w:p w14:paraId="1C24DF23">
            <w:pPr>
              <w:pStyle w:val="182"/>
              <w:bidi w:val="0"/>
              <w:rPr>
                <w:color w:val="auto"/>
              </w:rPr>
            </w:pPr>
            <w:r>
              <w:rPr>
                <w:color w:val="auto"/>
              </w:rPr>
              <w:t>12</w:t>
            </w:r>
          </w:p>
        </w:tc>
        <w:tc>
          <w:tcPr>
            <w:tcW w:w="1559" w:type="dxa"/>
            <w:vAlign w:val="center"/>
          </w:tcPr>
          <w:p w14:paraId="2711EBA9">
            <w:pPr>
              <w:pStyle w:val="182"/>
              <w:bidi w:val="0"/>
              <w:rPr>
                <w:color w:val="auto"/>
              </w:rPr>
            </w:pPr>
            <w:r>
              <w:rPr>
                <w:rFonts w:hint="eastAsia"/>
                <w:color w:val="auto"/>
              </w:rPr>
              <w:t>排水去向</w:t>
            </w:r>
          </w:p>
        </w:tc>
        <w:tc>
          <w:tcPr>
            <w:tcW w:w="6515" w:type="dxa"/>
            <w:vAlign w:val="center"/>
          </w:tcPr>
          <w:p w14:paraId="59465DC2">
            <w:pPr>
              <w:pStyle w:val="182"/>
              <w:bidi w:val="0"/>
              <w:rPr>
                <w:color w:val="auto"/>
              </w:rPr>
            </w:pPr>
            <w:r>
              <w:rPr>
                <w:rFonts w:hint="eastAsia"/>
                <w:b w:val="0"/>
                <w:bCs w:val="0"/>
                <w:i w:val="0"/>
                <w:iCs w:val="0"/>
                <w:color w:val="auto"/>
                <w:u w:val="none"/>
              </w:rPr>
              <w:t>依托厂区现有3.8万t/d污水处理站</w:t>
            </w:r>
            <w:r>
              <w:rPr>
                <w:rFonts w:hint="eastAsia"/>
                <w:b w:val="0"/>
                <w:bCs w:val="0"/>
                <w:i w:val="0"/>
                <w:iCs w:val="0"/>
                <w:color w:val="auto"/>
                <w:u w:val="none"/>
                <w:lang w:val="en-US" w:eastAsia="zh-CN"/>
              </w:rPr>
              <w:t>中的氨纶废水处理单元处理后</w:t>
            </w:r>
            <w:r>
              <w:rPr>
                <w:rFonts w:hint="eastAsia"/>
                <w:color w:val="auto"/>
              </w:rPr>
              <w:t>，排入新乡市小店污水处理厂，最终排入大沙河。</w:t>
            </w:r>
          </w:p>
        </w:tc>
      </w:tr>
    </w:tbl>
    <w:p w14:paraId="21BAB36C">
      <w:pPr>
        <w:bidi w:val="0"/>
        <w:rPr>
          <w:rFonts w:hint="eastAsia"/>
          <w:color w:val="auto"/>
        </w:rPr>
      </w:pPr>
      <w:r>
        <w:rPr>
          <w:rFonts w:hint="eastAsia"/>
          <w:color w:val="auto"/>
        </w:rPr>
        <w:t>本项目组成及依托情况</w:t>
      </w:r>
      <w:r>
        <w:rPr>
          <w:rFonts w:hint="eastAsia"/>
          <w:color w:val="auto"/>
          <w:lang w:val="en-US" w:eastAsia="zh-CN"/>
        </w:rPr>
        <w:t>见下表</w:t>
      </w:r>
      <w:r>
        <w:rPr>
          <w:rFonts w:hint="eastAsia"/>
          <w:color w:val="auto"/>
        </w:rPr>
        <w:t>。</w:t>
      </w:r>
    </w:p>
    <w:p w14:paraId="62D58AB4">
      <w:pPr>
        <w:pStyle w:val="10"/>
        <w:bidi w:val="0"/>
        <w:ind w:firstLine="0"/>
        <w:rPr>
          <w:color w:val="auto"/>
        </w:rPr>
      </w:pPr>
      <w:r>
        <w:t xml:space="preserve">表 </w:t>
      </w:r>
      <w:r>
        <w:fldChar w:fldCharType="begin"/>
      </w:r>
      <w:r>
        <w:instrText xml:space="preserve"> STYLEREF 2 \s </w:instrText>
      </w:r>
      <w:r>
        <w:fldChar w:fldCharType="separate"/>
      </w:r>
      <w:r>
        <w:t>4.1</w:t>
      </w:r>
      <w:r>
        <w:fldChar w:fldCharType="end"/>
      </w:r>
      <w:r>
        <w:rPr>
          <w:rFonts w:hint="eastAsia"/>
          <w:lang w:eastAsia="zh-CN"/>
        </w:rPr>
        <w:t>-</w:t>
      </w:r>
      <w:r>
        <w:fldChar w:fldCharType="begin"/>
      </w:r>
      <w:r>
        <w:instrText xml:space="preserve"> SEQ 表 \* ARABIC \s 2 </w:instrText>
      </w:r>
      <w:r>
        <w:fldChar w:fldCharType="separate"/>
      </w:r>
      <w:r>
        <w:t>5</w:t>
      </w:r>
      <w:r>
        <w:fldChar w:fldCharType="end"/>
      </w:r>
      <w:r>
        <w:rPr>
          <w:color w:val="auto"/>
        </w:rPr>
        <w:t xml:space="preserve"> </w:t>
      </w:r>
      <w:r>
        <w:rPr>
          <w:rFonts w:hint="eastAsia"/>
          <w:color w:val="auto"/>
        </w:rPr>
        <w:t>项目建设内容一览表</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001"/>
        <w:gridCol w:w="1328"/>
        <w:gridCol w:w="4805"/>
        <w:gridCol w:w="940"/>
      </w:tblGrid>
      <w:tr w14:paraId="6B391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14:paraId="5F4B3BA1">
            <w:pPr>
              <w:pStyle w:val="182"/>
              <w:bidi w:val="0"/>
              <w:rPr>
                <w:b/>
                <w:bCs/>
                <w:color w:val="auto"/>
              </w:rPr>
            </w:pPr>
            <w:r>
              <w:rPr>
                <w:b/>
                <w:bCs/>
                <w:color w:val="auto"/>
              </w:rPr>
              <w:t>项目</w:t>
            </w:r>
          </w:p>
        </w:tc>
        <w:tc>
          <w:tcPr>
            <w:tcW w:w="1001" w:type="dxa"/>
            <w:vAlign w:val="center"/>
          </w:tcPr>
          <w:p w14:paraId="17973A3A">
            <w:pPr>
              <w:pStyle w:val="182"/>
              <w:bidi w:val="0"/>
              <w:rPr>
                <w:b/>
                <w:bCs/>
                <w:color w:val="auto"/>
              </w:rPr>
            </w:pPr>
            <w:r>
              <w:rPr>
                <w:rFonts w:hint="eastAsia"/>
                <w:b/>
                <w:bCs/>
                <w:color w:val="auto"/>
              </w:rPr>
              <w:t>名称</w:t>
            </w:r>
          </w:p>
        </w:tc>
        <w:tc>
          <w:tcPr>
            <w:tcW w:w="1328" w:type="dxa"/>
            <w:vAlign w:val="center"/>
          </w:tcPr>
          <w:p w14:paraId="6C00A661">
            <w:pPr>
              <w:pStyle w:val="182"/>
              <w:bidi w:val="0"/>
              <w:rPr>
                <w:b/>
                <w:bCs/>
                <w:color w:val="auto"/>
              </w:rPr>
            </w:pPr>
            <w:r>
              <w:rPr>
                <w:b/>
                <w:bCs/>
                <w:color w:val="auto"/>
              </w:rPr>
              <w:t>建设内容</w:t>
            </w:r>
          </w:p>
        </w:tc>
        <w:tc>
          <w:tcPr>
            <w:tcW w:w="4805" w:type="dxa"/>
            <w:vAlign w:val="center"/>
          </w:tcPr>
          <w:p w14:paraId="282747F0">
            <w:pPr>
              <w:pStyle w:val="182"/>
              <w:bidi w:val="0"/>
              <w:rPr>
                <w:b/>
                <w:bCs/>
                <w:color w:val="auto"/>
              </w:rPr>
            </w:pPr>
            <w:r>
              <w:rPr>
                <w:b/>
                <w:bCs/>
                <w:color w:val="auto"/>
              </w:rPr>
              <w:t>数量、规模</w:t>
            </w:r>
          </w:p>
        </w:tc>
        <w:tc>
          <w:tcPr>
            <w:tcW w:w="940" w:type="dxa"/>
            <w:vAlign w:val="center"/>
          </w:tcPr>
          <w:p w14:paraId="0D093491">
            <w:pPr>
              <w:pStyle w:val="182"/>
              <w:bidi w:val="0"/>
              <w:rPr>
                <w:b/>
                <w:bCs/>
                <w:color w:val="auto"/>
              </w:rPr>
            </w:pPr>
            <w:r>
              <w:rPr>
                <w:b/>
                <w:bCs/>
                <w:color w:val="auto"/>
              </w:rPr>
              <w:t>备注</w:t>
            </w:r>
          </w:p>
        </w:tc>
      </w:tr>
      <w:tr w14:paraId="7C330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14:paraId="04BFB7BA">
            <w:pPr>
              <w:pStyle w:val="182"/>
              <w:bidi w:val="0"/>
              <w:rPr>
                <w:color w:val="auto"/>
              </w:rPr>
            </w:pPr>
            <w:bookmarkStart w:id="165" w:name="_Hlk120387030"/>
            <w:r>
              <w:rPr>
                <w:color w:val="auto"/>
              </w:rPr>
              <w:t>主体工程</w:t>
            </w:r>
          </w:p>
        </w:tc>
        <w:tc>
          <w:tcPr>
            <w:tcW w:w="1001" w:type="dxa"/>
            <w:vAlign w:val="center"/>
          </w:tcPr>
          <w:p w14:paraId="2EE31D52">
            <w:pPr>
              <w:pStyle w:val="182"/>
              <w:bidi w:val="0"/>
              <w:rPr>
                <w:rFonts w:hint="eastAsia" w:eastAsia="宋体"/>
                <w:color w:val="auto"/>
                <w:lang w:eastAsia="zh-CN"/>
              </w:rPr>
            </w:pPr>
            <w:r>
              <w:rPr>
                <w:rFonts w:hint="eastAsia"/>
                <w:color w:val="auto"/>
                <w:lang w:val="en-US" w:eastAsia="zh-CN"/>
              </w:rPr>
              <w:t>主体厂房</w:t>
            </w:r>
          </w:p>
        </w:tc>
        <w:tc>
          <w:tcPr>
            <w:tcW w:w="1328" w:type="dxa"/>
            <w:vAlign w:val="center"/>
          </w:tcPr>
          <w:p w14:paraId="271A0E4A">
            <w:pPr>
              <w:pStyle w:val="182"/>
              <w:bidi w:val="0"/>
              <w:rPr>
                <w:rFonts w:hint="default" w:eastAsia="宋体"/>
                <w:color w:val="auto"/>
                <w:lang w:val="en-US" w:eastAsia="zh-CN"/>
              </w:rPr>
            </w:pPr>
            <w:r>
              <w:rPr>
                <w:rFonts w:hint="eastAsia"/>
                <w:color w:val="auto"/>
                <w:lang w:val="en-US" w:eastAsia="zh-CN"/>
              </w:rPr>
              <w:t>生产车间</w:t>
            </w:r>
          </w:p>
        </w:tc>
        <w:tc>
          <w:tcPr>
            <w:tcW w:w="4805" w:type="dxa"/>
            <w:vAlign w:val="center"/>
          </w:tcPr>
          <w:p w14:paraId="496A6E10">
            <w:pPr>
              <w:bidi w:val="0"/>
              <w:ind w:firstLine="482" w:firstLineChars="200"/>
              <w:rPr>
                <w:rFonts w:hint="eastAsia" w:eastAsia="宋体"/>
                <w:color w:val="auto"/>
                <w:lang w:eastAsia="zh-CN"/>
              </w:rPr>
            </w:pPr>
            <w:r>
              <w:rPr>
                <w:rFonts w:hint="eastAsia"/>
                <w:b/>
                <w:bCs/>
                <w:color w:val="auto"/>
                <w:u w:val="single"/>
                <w:lang w:val="en-US" w:eastAsia="zh-CN"/>
              </w:rPr>
              <w:t>*</w:t>
            </w:r>
          </w:p>
        </w:tc>
        <w:tc>
          <w:tcPr>
            <w:tcW w:w="940" w:type="dxa"/>
            <w:vAlign w:val="center"/>
          </w:tcPr>
          <w:p w14:paraId="7E0FA6F3">
            <w:pPr>
              <w:pStyle w:val="182"/>
              <w:bidi w:val="0"/>
              <w:rPr>
                <w:rFonts w:hint="default" w:eastAsia="宋体"/>
                <w:color w:val="auto"/>
                <w:lang w:val="en-US" w:eastAsia="zh-CN"/>
              </w:rPr>
            </w:pPr>
            <w:r>
              <w:rPr>
                <w:rFonts w:hint="eastAsia"/>
                <w:color w:val="auto"/>
                <w:lang w:val="en-US" w:eastAsia="zh-CN"/>
              </w:rPr>
              <w:t>依托离子液项目厂房</w:t>
            </w:r>
          </w:p>
        </w:tc>
      </w:tr>
      <w:bookmarkEnd w:id="165"/>
      <w:tr w14:paraId="17A5E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restart"/>
            <w:vAlign w:val="center"/>
          </w:tcPr>
          <w:p w14:paraId="6D69684C">
            <w:pPr>
              <w:pStyle w:val="182"/>
              <w:bidi w:val="0"/>
              <w:rPr>
                <w:color w:val="auto"/>
              </w:rPr>
            </w:pPr>
            <w:r>
              <w:rPr>
                <w:rFonts w:hint="eastAsia"/>
                <w:color w:val="auto"/>
              </w:rPr>
              <w:t>辅助工程</w:t>
            </w:r>
          </w:p>
        </w:tc>
        <w:tc>
          <w:tcPr>
            <w:tcW w:w="2329" w:type="dxa"/>
            <w:gridSpan w:val="2"/>
            <w:vAlign w:val="center"/>
          </w:tcPr>
          <w:p w14:paraId="2CFC05D0">
            <w:pPr>
              <w:pStyle w:val="182"/>
              <w:bidi w:val="0"/>
              <w:rPr>
                <w:rFonts w:hint="eastAsia" w:eastAsia="宋体"/>
                <w:color w:val="auto"/>
                <w:lang w:eastAsia="zh-CN"/>
              </w:rPr>
            </w:pPr>
            <w:r>
              <w:rPr>
                <w:rFonts w:hint="eastAsia"/>
                <w:color w:val="auto"/>
                <w:lang w:val="en-US" w:eastAsia="zh-CN"/>
              </w:rPr>
              <w:t>动力站</w:t>
            </w:r>
          </w:p>
        </w:tc>
        <w:tc>
          <w:tcPr>
            <w:tcW w:w="4805" w:type="dxa"/>
            <w:vAlign w:val="center"/>
          </w:tcPr>
          <w:p w14:paraId="1707B60F">
            <w:pPr>
              <w:bidi w:val="0"/>
              <w:ind w:firstLine="482" w:firstLineChars="200"/>
              <w:rPr>
                <w:color w:val="auto"/>
              </w:rPr>
            </w:pPr>
            <w:r>
              <w:rPr>
                <w:rFonts w:hint="eastAsia"/>
                <w:b/>
                <w:bCs/>
                <w:color w:val="auto"/>
                <w:u w:val="single"/>
                <w:lang w:val="en-US" w:eastAsia="zh-CN"/>
              </w:rPr>
              <w:t>*</w:t>
            </w:r>
          </w:p>
        </w:tc>
        <w:tc>
          <w:tcPr>
            <w:tcW w:w="940" w:type="dxa"/>
            <w:vAlign w:val="center"/>
          </w:tcPr>
          <w:p w14:paraId="73C7530F">
            <w:pPr>
              <w:bidi w:val="0"/>
              <w:ind w:firstLine="482" w:firstLineChars="200"/>
              <w:rPr>
                <w:color w:val="auto"/>
              </w:rPr>
            </w:pPr>
            <w:r>
              <w:rPr>
                <w:rFonts w:hint="eastAsia"/>
                <w:b/>
                <w:bCs/>
                <w:color w:val="auto"/>
                <w:u w:val="single"/>
                <w:lang w:val="en-US" w:eastAsia="zh-CN"/>
              </w:rPr>
              <w:t>*</w:t>
            </w:r>
          </w:p>
        </w:tc>
      </w:tr>
      <w:tr w14:paraId="502E5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14:paraId="49CA59AF">
            <w:pPr>
              <w:pStyle w:val="182"/>
              <w:bidi w:val="0"/>
              <w:rPr>
                <w:rFonts w:hint="eastAsia"/>
                <w:color w:val="auto"/>
              </w:rPr>
            </w:pPr>
          </w:p>
        </w:tc>
        <w:tc>
          <w:tcPr>
            <w:tcW w:w="2329" w:type="dxa"/>
            <w:gridSpan w:val="2"/>
            <w:vAlign w:val="center"/>
          </w:tcPr>
          <w:p w14:paraId="1664FEFC">
            <w:pPr>
              <w:pStyle w:val="182"/>
              <w:bidi w:val="0"/>
              <w:rPr>
                <w:rFonts w:hint="eastAsia"/>
                <w:color w:val="auto"/>
                <w:lang w:val="en-US" w:eastAsia="zh-CN"/>
              </w:rPr>
            </w:pPr>
            <w:r>
              <w:rPr>
                <w:rFonts w:hint="eastAsia"/>
                <w:color w:val="auto"/>
                <w:lang w:val="en-US" w:eastAsia="zh-CN"/>
              </w:rPr>
              <w:t>冷却塔水池</w:t>
            </w:r>
          </w:p>
        </w:tc>
        <w:tc>
          <w:tcPr>
            <w:tcW w:w="4805" w:type="dxa"/>
            <w:vAlign w:val="center"/>
          </w:tcPr>
          <w:p w14:paraId="0C303C16">
            <w:pPr>
              <w:bidi w:val="0"/>
              <w:ind w:firstLine="482" w:firstLineChars="200"/>
              <w:rPr>
                <w:rFonts w:hint="default" w:eastAsia="宋体"/>
                <w:color w:val="auto"/>
                <w:lang w:val="en-US" w:eastAsia="zh-CN"/>
              </w:rPr>
            </w:pPr>
            <w:r>
              <w:rPr>
                <w:rFonts w:hint="eastAsia"/>
                <w:b/>
                <w:bCs/>
                <w:color w:val="auto"/>
                <w:u w:val="single"/>
                <w:lang w:val="en-US" w:eastAsia="zh-CN"/>
              </w:rPr>
              <w:t>*</w:t>
            </w:r>
          </w:p>
        </w:tc>
        <w:tc>
          <w:tcPr>
            <w:tcW w:w="940" w:type="dxa"/>
            <w:vAlign w:val="center"/>
          </w:tcPr>
          <w:p w14:paraId="4F75D7A6">
            <w:pPr>
              <w:bidi w:val="0"/>
              <w:ind w:firstLine="482" w:firstLineChars="200"/>
              <w:rPr>
                <w:rFonts w:hint="eastAsia"/>
                <w:color w:val="auto"/>
              </w:rPr>
            </w:pPr>
            <w:r>
              <w:rPr>
                <w:rFonts w:hint="eastAsia"/>
                <w:b/>
                <w:bCs/>
                <w:color w:val="auto"/>
                <w:u w:val="single"/>
                <w:lang w:val="en-US" w:eastAsia="zh-CN"/>
              </w:rPr>
              <w:t>*</w:t>
            </w:r>
          </w:p>
        </w:tc>
      </w:tr>
      <w:tr w14:paraId="280BF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14:paraId="18DFD42F">
            <w:pPr>
              <w:pStyle w:val="182"/>
              <w:bidi w:val="0"/>
              <w:rPr>
                <w:rFonts w:hint="eastAsia"/>
                <w:color w:val="auto"/>
              </w:rPr>
            </w:pPr>
          </w:p>
        </w:tc>
        <w:tc>
          <w:tcPr>
            <w:tcW w:w="2329" w:type="dxa"/>
            <w:gridSpan w:val="2"/>
            <w:vAlign w:val="center"/>
          </w:tcPr>
          <w:p w14:paraId="4F5AC93A">
            <w:pPr>
              <w:pStyle w:val="182"/>
              <w:bidi w:val="0"/>
              <w:rPr>
                <w:rFonts w:hint="default"/>
                <w:b/>
                <w:bCs/>
                <w:color w:val="auto"/>
                <w:u w:val="single"/>
                <w:lang w:val="en-US" w:eastAsia="zh-CN"/>
              </w:rPr>
            </w:pPr>
            <w:r>
              <w:rPr>
                <w:rFonts w:hint="eastAsia"/>
                <w:b/>
                <w:bCs/>
                <w:color w:val="auto"/>
                <w:u w:val="single"/>
                <w:lang w:val="en-US" w:eastAsia="zh-CN"/>
              </w:rPr>
              <w:t>仓库</w:t>
            </w:r>
          </w:p>
        </w:tc>
        <w:tc>
          <w:tcPr>
            <w:tcW w:w="4805" w:type="dxa"/>
            <w:vAlign w:val="center"/>
          </w:tcPr>
          <w:p w14:paraId="6BD6D5B3">
            <w:pPr>
              <w:bidi w:val="0"/>
              <w:ind w:firstLine="482" w:firstLineChars="200"/>
              <w:rPr>
                <w:rFonts w:hint="eastAsia"/>
                <w:b/>
                <w:bCs/>
                <w:color w:val="auto"/>
                <w:u w:val="single"/>
                <w:lang w:val="en-US" w:eastAsia="zh-CN"/>
              </w:rPr>
            </w:pPr>
            <w:r>
              <w:rPr>
                <w:rFonts w:hint="eastAsia"/>
                <w:b/>
                <w:bCs/>
                <w:color w:val="auto"/>
                <w:u w:val="single"/>
                <w:lang w:val="en-US" w:eastAsia="zh-CN"/>
              </w:rPr>
              <w:t>*</w:t>
            </w:r>
          </w:p>
        </w:tc>
        <w:tc>
          <w:tcPr>
            <w:tcW w:w="940" w:type="dxa"/>
            <w:vAlign w:val="center"/>
          </w:tcPr>
          <w:p w14:paraId="3CECD189">
            <w:pPr>
              <w:bidi w:val="0"/>
              <w:ind w:firstLine="482" w:firstLineChars="200"/>
              <w:rPr>
                <w:rFonts w:hint="eastAsia"/>
                <w:b/>
                <w:bCs/>
                <w:color w:val="auto"/>
                <w:u w:val="single"/>
              </w:rPr>
            </w:pPr>
            <w:r>
              <w:rPr>
                <w:rFonts w:hint="eastAsia"/>
                <w:b/>
                <w:bCs/>
                <w:color w:val="auto"/>
                <w:u w:val="single"/>
                <w:lang w:val="en-US" w:eastAsia="zh-CN"/>
              </w:rPr>
              <w:t>*</w:t>
            </w:r>
          </w:p>
        </w:tc>
      </w:tr>
      <w:tr w14:paraId="41719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restart"/>
            <w:vAlign w:val="center"/>
          </w:tcPr>
          <w:p w14:paraId="04DB180E">
            <w:pPr>
              <w:pStyle w:val="182"/>
              <w:bidi w:val="0"/>
              <w:rPr>
                <w:b w:val="0"/>
                <w:bCs w:val="0"/>
                <w:color w:val="auto"/>
                <w:u w:val="none"/>
              </w:rPr>
            </w:pPr>
            <w:r>
              <w:rPr>
                <w:rFonts w:hint="eastAsia"/>
                <w:b w:val="0"/>
                <w:bCs w:val="0"/>
                <w:color w:val="auto"/>
                <w:u w:val="none"/>
              </w:rPr>
              <w:t>公用工程</w:t>
            </w:r>
          </w:p>
        </w:tc>
        <w:tc>
          <w:tcPr>
            <w:tcW w:w="2329" w:type="dxa"/>
            <w:gridSpan w:val="2"/>
            <w:vAlign w:val="center"/>
          </w:tcPr>
          <w:p w14:paraId="5F62B03A">
            <w:pPr>
              <w:pStyle w:val="182"/>
              <w:bidi w:val="0"/>
              <w:rPr>
                <w:b w:val="0"/>
                <w:bCs w:val="0"/>
                <w:color w:val="auto"/>
                <w:u w:val="none"/>
              </w:rPr>
            </w:pPr>
            <w:r>
              <w:rPr>
                <w:rFonts w:hint="eastAsia"/>
                <w:b w:val="0"/>
                <w:bCs w:val="0"/>
                <w:color w:val="auto"/>
                <w:u w:val="none"/>
              </w:rPr>
              <w:t>给水</w:t>
            </w:r>
          </w:p>
        </w:tc>
        <w:tc>
          <w:tcPr>
            <w:tcW w:w="4805" w:type="dxa"/>
            <w:vAlign w:val="center"/>
          </w:tcPr>
          <w:p w14:paraId="58E27EC4">
            <w:pPr>
              <w:bidi w:val="0"/>
              <w:ind w:firstLine="482" w:firstLineChars="200"/>
              <w:rPr>
                <w:b w:val="0"/>
                <w:bCs w:val="0"/>
                <w:color w:val="auto"/>
                <w:u w:val="none"/>
              </w:rPr>
            </w:pPr>
            <w:r>
              <w:rPr>
                <w:rFonts w:hint="eastAsia"/>
                <w:b/>
                <w:bCs/>
                <w:color w:val="auto"/>
                <w:u w:val="single"/>
                <w:lang w:val="en-US" w:eastAsia="zh-CN"/>
              </w:rPr>
              <w:t>*</w:t>
            </w:r>
          </w:p>
        </w:tc>
        <w:tc>
          <w:tcPr>
            <w:tcW w:w="940" w:type="dxa"/>
            <w:vMerge w:val="restart"/>
            <w:vAlign w:val="center"/>
          </w:tcPr>
          <w:p w14:paraId="442E37EE">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76EFBB0C">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4A95BC51">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31429C71">
            <w:pPr>
              <w:bidi w:val="0"/>
              <w:ind w:firstLine="482" w:firstLineChars="200"/>
            </w:pPr>
            <w:r>
              <w:rPr>
                <w:rFonts w:hint="eastAsia"/>
                <w:b/>
                <w:bCs/>
                <w:color w:val="auto"/>
                <w:u w:val="single"/>
                <w:lang w:val="en-US" w:eastAsia="zh-CN"/>
              </w:rPr>
              <w:t>*</w:t>
            </w:r>
          </w:p>
        </w:tc>
      </w:tr>
      <w:tr w14:paraId="5CECD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14:paraId="1FBD2AAD">
            <w:pPr>
              <w:pStyle w:val="182"/>
              <w:bidi w:val="0"/>
              <w:rPr>
                <w:b w:val="0"/>
                <w:bCs w:val="0"/>
                <w:color w:val="auto"/>
                <w:u w:val="none"/>
              </w:rPr>
            </w:pPr>
          </w:p>
        </w:tc>
        <w:tc>
          <w:tcPr>
            <w:tcW w:w="2329" w:type="dxa"/>
            <w:gridSpan w:val="2"/>
            <w:vAlign w:val="center"/>
          </w:tcPr>
          <w:p w14:paraId="350B06F7">
            <w:pPr>
              <w:pStyle w:val="182"/>
              <w:bidi w:val="0"/>
              <w:rPr>
                <w:b w:val="0"/>
                <w:bCs w:val="0"/>
                <w:i w:val="0"/>
                <w:iCs w:val="0"/>
                <w:color w:val="auto"/>
                <w:u w:val="none"/>
              </w:rPr>
            </w:pPr>
            <w:r>
              <w:rPr>
                <w:rFonts w:hint="eastAsia"/>
                <w:b w:val="0"/>
                <w:bCs w:val="0"/>
                <w:i w:val="0"/>
                <w:iCs w:val="0"/>
                <w:color w:val="auto"/>
                <w:u w:val="none"/>
              </w:rPr>
              <w:t>排水</w:t>
            </w:r>
          </w:p>
        </w:tc>
        <w:tc>
          <w:tcPr>
            <w:tcW w:w="4805" w:type="dxa"/>
            <w:vAlign w:val="center"/>
          </w:tcPr>
          <w:p w14:paraId="51009917">
            <w:pPr>
              <w:bidi w:val="0"/>
              <w:ind w:firstLine="482" w:firstLineChars="200"/>
              <w:rPr>
                <w:rFonts w:hint="eastAsia" w:eastAsia="宋体"/>
                <w:b w:val="0"/>
                <w:bCs w:val="0"/>
                <w:i w:val="0"/>
                <w:iCs w:val="0"/>
                <w:color w:val="auto"/>
                <w:u w:val="none"/>
                <w:lang w:val="en-US" w:eastAsia="zh-CN"/>
              </w:rPr>
            </w:pPr>
            <w:r>
              <w:rPr>
                <w:rFonts w:hint="eastAsia"/>
                <w:b/>
                <w:bCs/>
                <w:color w:val="auto"/>
                <w:u w:val="single"/>
                <w:lang w:val="en-US" w:eastAsia="zh-CN"/>
              </w:rPr>
              <w:t>*</w:t>
            </w:r>
          </w:p>
        </w:tc>
        <w:tc>
          <w:tcPr>
            <w:tcW w:w="940" w:type="dxa"/>
            <w:vMerge w:val="continue"/>
            <w:vAlign w:val="center"/>
          </w:tcPr>
          <w:p w14:paraId="7152F83B">
            <w:pPr>
              <w:pStyle w:val="182"/>
              <w:bidi w:val="0"/>
              <w:rPr>
                <w:rFonts w:hint="eastAsia" w:eastAsia="宋体"/>
                <w:color w:val="auto"/>
                <w:lang w:val="en-US" w:eastAsia="zh-CN"/>
              </w:rPr>
            </w:pPr>
          </w:p>
        </w:tc>
      </w:tr>
      <w:tr w14:paraId="05A27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14:paraId="04CA4FF6">
            <w:pPr>
              <w:pStyle w:val="182"/>
              <w:bidi w:val="0"/>
              <w:rPr>
                <w:b w:val="0"/>
                <w:bCs w:val="0"/>
                <w:color w:val="auto"/>
                <w:u w:val="none"/>
              </w:rPr>
            </w:pPr>
          </w:p>
        </w:tc>
        <w:tc>
          <w:tcPr>
            <w:tcW w:w="2329" w:type="dxa"/>
            <w:gridSpan w:val="2"/>
            <w:vAlign w:val="center"/>
          </w:tcPr>
          <w:p w14:paraId="6F5B77EB">
            <w:pPr>
              <w:pStyle w:val="182"/>
              <w:bidi w:val="0"/>
              <w:rPr>
                <w:b w:val="0"/>
                <w:bCs w:val="0"/>
                <w:i w:val="0"/>
                <w:iCs w:val="0"/>
                <w:color w:val="auto"/>
                <w:u w:val="none"/>
              </w:rPr>
            </w:pPr>
            <w:r>
              <w:rPr>
                <w:rFonts w:hint="eastAsia"/>
                <w:b w:val="0"/>
                <w:bCs w:val="0"/>
                <w:i w:val="0"/>
                <w:iCs w:val="0"/>
                <w:color w:val="auto"/>
                <w:u w:val="none"/>
              </w:rPr>
              <w:t>供电</w:t>
            </w:r>
          </w:p>
        </w:tc>
        <w:tc>
          <w:tcPr>
            <w:tcW w:w="4805" w:type="dxa"/>
            <w:vAlign w:val="center"/>
          </w:tcPr>
          <w:p w14:paraId="3D9C9AB0">
            <w:pPr>
              <w:bidi w:val="0"/>
              <w:ind w:firstLine="482" w:firstLineChars="200"/>
              <w:rPr>
                <w:b w:val="0"/>
                <w:bCs w:val="0"/>
                <w:i w:val="0"/>
                <w:iCs w:val="0"/>
                <w:color w:val="auto"/>
                <w:u w:val="none"/>
              </w:rPr>
            </w:pPr>
            <w:r>
              <w:rPr>
                <w:rFonts w:hint="eastAsia"/>
                <w:b/>
                <w:bCs/>
                <w:color w:val="auto"/>
                <w:u w:val="single"/>
                <w:lang w:val="en-US" w:eastAsia="zh-CN"/>
              </w:rPr>
              <w:t>*</w:t>
            </w:r>
          </w:p>
        </w:tc>
        <w:tc>
          <w:tcPr>
            <w:tcW w:w="940" w:type="dxa"/>
            <w:vMerge w:val="continue"/>
            <w:vAlign w:val="center"/>
          </w:tcPr>
          <w:p w14:paraId="69CA81AC">
            <w:pPr>
              <w:pStyle w:val="182"/>
              <w:bidi w:val="0"/>
              <w:rPr>
                <w:color w:val="auto"/>
              </w:rPr>
            </w:pPr>
          </w:p>
        </w:tc>
      </w:tr>
      <w:tr w14:paraId="5067F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14:paraId="10F11A33">
            <w:pPr>
              <w:pStyle w:val="182"/>
              <w:bidi w:val="0"/>
              <w:rPr>
                <w:b/>
                <w:bCs/>
                <w:color w:val="auto"/>
                <w:u w:val="single"/>
              </w:rPr>
            </w:pPr>
          </w:p>
        </w:tc>
        <w:tc>
          <w:tcPr>
            <w:tcW w:w="2329" w:type="dxa"/>
            <w:gridSpan w:val="2"/>
            <w:vAlign w:val="center"/>
          </w:tcPr>
          <w:p w14:paraId="30EB5863">
            <w:pPr>
              <w:pStyle w:val="182"/>
              <w:bidi w:val="0"/>
              <w:rPr>
                <w:b w:val="0"/>
                <w:bCs w:val="0"/>
                <w:i w:val="0"/>
                <w:iCs w:val="0"/>
                <w:color w:val="auto"/>
                <w:u w:val="single"/>
              </w:rPr>
            </w:pPr>
            <w:r>
              <w:rPr>
                <w:rFonts w:hint="eastAsia"/>
                <w:b w:val="0"/>
                <w:bCs w:val="0"/>
                <w:i w:val="0"/>
                <w:iCs w:val="0"/>
                <w:color w:val="auto"/>
                <w:u w:val="none"/>
              </w:rPr>
              <w:t>供热</w:t>
            </w:r>
          </w:p>
        </w:tc>
        <w:tc>
          <w:tcPr>
            <w:tcW w:w="4805" w:type="dxa"/>
            <w:vAlign w:val="center"/>
          </w:tcPr>
          <w:p w14:paraId="497A388A">
            <w:pPr>
              <w:bidi w:val="0"/>
              <w:ind w:firstLine="482" w:firstLineChars="200"/>
              <w:rPr>
                <w:b w:val="0"/>
                <w:bCs w:val="0"/>
                <w:i w:val="0"/>
                <w:iCs w:val="0"/>
                <w:color w:val="auto"/>
                <w:u w:val="none"/>
              </w:rPr>
            </w:pPr>
            <w:r>
              <w:rPr>
                <w:rFonts w:hint="eastAsia"/>
                <w:b/>
                <w:bCs/>
                <w:color w:val="auto"/>
                <w:u w:val="single"/>
                <w:lang w:val="en-US" w:eastAsia="zh-CN"/>
              </w:rPr>
              <w:t>*</w:t>
            </w:r>
          </w:p>
        </w:tc>
        <w:tc>
          <w:tcPr>
            <w:tcW w:w="940" w:type="dxa"/>
            <w:vMerge w:val="continue"/>
            <w:vAlign w:val="center"/>
          </w:tcPr>
          <w:p w14:paraId="75BF1E8D">
            <w:pPr>
              <w:pStyle w:val="182"/>
              <w:bidi w:val="0"/>
              <w:rPr>
                <w:color w:val="auto"/>
              </w:rPr>
            </w:pPr>
          </w:p>
        </w:tc>
      </w:tr>
      <w:tr w14:paraId="3B1B2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704" w:type="dxa"/>
            <w:vMerge w:val="restart"/>
            <w:vAlign w:val="center"/>
          </w:tcPr>
          <w:p w14:paraId="122EAFFB">
            <w:pPr>
              <w:pStyle w:val="182"/>
              <w:bidi w:val="0"/>
              <w:rPr>
                <w:color w:val="auto"/>
              </w:rPr>
            </w:pPr>
            <w:r>
              <w:rPr>
                <w:rFonts w:hint="eastAsia"/>
                <w:color w:val="auto"/>
              </w:rPr>
              <w:t>环保工程</w:t>
            </w:r>
          </w:p>
        </w:tc>
        <w:tc>
          <w:tcPr>
            <w:tcW w:w="1001" w:type="dxa"/>
            <w:vMerge w:val="restart"/>
            <w:vAlign w:val="center"/>
          </w:tcPr>
          <w:p w14:paraId="4D2C801C">
            <w:pPr>
              <w:pStyle w:val="182"/>
              <w:bidi w:val="0"/>
              <w:rPr>
                <w:color w:val="auto"/>
              </w:rPr>
            </w:pPr>
            <w:r>
              <w:rPr>
                <w:rFonts w:hint="eastAsia"/>
                <w:color w:val="auto"/>
              </w:rPr>
              <w:t>废气处理设施</w:t>
            </w:r>
          </w:p>
        </w:tc>
        <w:tc>
          <w:tcPr>
            <w:tcW w:w="1328" w:type="dxa"/>
            <w:vMerge w:val="restart"/>
            <w:vAlign w:val="center"/>
          </w:tcPr>
          <w:p w14:paraId="4A825F49">
            <w:pPr>
              <w:pStyle w:val="182"/>
              <w:bidi w:val="0"/>
              <w:rPr>
                <w:b/>
                <w:bCs/>
                <w:color w:val="auto"/>
                <w:u w:val="single"/>
              </w:rPr>
            </w:pPr>
            <w:r>
              <w:rPr>
                <w:rFonts w:hint="eastAsia"/>
                <w:b w:val="0"/>
                <w:bCs w:val="0"/>
                <w:color w:val="auto"/>
                <w:u w:val="none"/>
              </w:rPr>
              <w:t>有组织废气</w:t>
            </w:r>
          </w:p>
        </w:tc>
        <w:tc>
          <w:tcPr>
            <w:tcW w:w="4805" w:type="dxa"/>
            <w:vAlign w:val="center"/>
          </w:tcPr>
          <w:p w14:paraId="03EE5A6A">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c>
          <w:tcPr>
            <w:tcW w:w="940" w:type="dxa"/>
            <w:vMerge w:val="restart"/>
            <w:vAlign w:val="center"/>
          </w:tcPr>
          <w:p w14:paraId="0E9D9C06">
            <w:pPr>
              <w:pStyle w:val="182"/>
              <w:bidi w:val="0"/>
              <w:rPr>
                <w:color w:val="auto"/>
              </w:rPr>
            </w:pPr>
            <w:r>
              <w:rPr>
                <w:rFonts w:hint="eastAsia"/>
                <w:color w:val="auto"/>
              </w:rPr>
              <w:t>新建</w:t>
            </w:r>
          </w:p>
        </w:tc>
      </w:tr>
      <w:tr w14:paraId="65CE5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7" w:hRule="atLeast"/>
          <w:jc w:val="center"/>
        </w:trPr>
        <w:tc>
          <w:tcPr>
            <w:tcW w:w="704" w:type="dxa"/>
            <w:vMerge w:val="continue"/>
            <w:vAlign w:val="center"/>
          </w:tcPr>
          <w:p w14:paraId="158D3055">
            <w:pPr>
              <w:pStyle w:val="182"/>
              <w:bidi w:val="0"/>
              <w:rPr>
                <w:rFonts w:hint="eastAsia"/>
                <w:color w:val="auto"/>
              </w:rPr>
            </w:pPr>
            <w:bookmarkStart w:id="166" w:name="_Hlk121065671"/>
          </w:p>
        </w:tc>
        <w:tc>
          <w:tcPr>
            <w:tcW w:w="1001" w:type="dxa"/>
            <w:vMerge w:val="continue"/>
            <w:vAlign w:val="center"/>
          </w:tcPr>
          <w:p w14:paraId="40F0B1E6">
            <w:pPr>
              <w:pStyle w:val="182"/>
              <w:bidi w:val="0"/>
              <w:rPr>
                <w:rFonts w:hint="eastAsia"/>
                <w:color w:val="auto"/>
              </w:rPr>
            </w:pPr>
          </w:p>
        </w:tc>
        <w:tc>
          <w:tcPr>
            <w:tcW w:w="1328" w:type="dxa"/>
            <w:vMerge w:val="continue"/>
            <w:vAlign w:val="center"/>
          </w:tcPr>
          <w:p w14:paraId="38A23CF9">
            <w:pPr>
              <w:pStyle w:val="182"/>
              <w:bidi w:val="0"/>
              <w:rPr>
                <w:rFonts w:hint="eastAsia"/>
                <w:b w:val="0"/>
                <w:bCs w:val="0"/>
                <w:color w:val="auto"/>
                <w:u w:val="none"/>
              </w:rPr>
            </w:pPr>
          </w:p>
        </w:tc>
        <w:tc>
          <w:tcPr>
            <w:tcW w:w="4805" w:type="dxa"/>
            <w:vAlign w:val="center"/>
          </w:tcPr>
          <w:p w14:paraId="30215981">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940" w:type="dxa"/>
            <w:vMerge w:val="continue"/>
            <w:vAlign w:val="center"/>
          </w:tcPr>
          <w:p w14:paraId="07FF111F">
            <w:pPr>
              <w:pStyle w:val="182"/>
              <w:bidi w:val="0"/>
              <w:rPr>
                <w:color w:val="auto"/>
              </w:rPr>
            </w:pPr>
          </w:p>
        </w:tc>
      </w:tr>
      <w:tr w14:paraId="092A9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704" w:type="dxa"/>
            <w:vMerge w:val="continue"/>
            <w:vAlign w:val="center"/>
          </w:tcPr>
          <w:p w14:paraId="61AE671F">
            <w:pPr>
              <w:pStyle w:val="182"/>
              <w:bidi w:val="0"/>
              <w:rPr>
                <w:rFonts w:hint="eastAsia"/>
                <w:color w:val="auto"/>
              </w:rPr>
            </w:pPr>
          </w:p>
        </w:tc>
        <w:tc>
          <w:tcPr>
            <w:tcW w:w="1001" w:type="dxa"/>
            <w:vMerge w:val="continue"/>
            <w:vAlign w:val="center"/>
          </w:tcPr>
          <w:p w14:paraId="5C9BEEEE">
            <w:pPr>
              <w:pStyle w:val="182"/>
              <w:bidi w:val="0"/>
              <w:rPr>
                <w:rFonts w:hint="eastAsia"/>
                <w:color w:val="auto"/>
              </w:rPr>
            </w:pPr>
          </w:p>
        </w:tc>
        <w:tc>
          <w:tcPr>
            <w:tcW w:w="1328" w:type="dxa"/>
            <w:vAlign w:val="center"/>
          </w:tcPr>
          <w:p w14:paraId="32F3C353">
            <w:pPr>
              <w:pStyle w:val="182"/>
              <w:bidi w:val="0"/>
              <w:rPr>
                <w:rFonts w:hint="eastAsia" w:eastAsia="宋体"/>
                <w:b/>
                <w:bCs/>
                <w:color w:val="auto"/>
                <w:u w:val="single"/>
                <w:lang w:val="en-US" w:eastAsia="zh-CN"/>
              </w:rPr>
            </w:pPr>
            <w:r>
              <w:rPr>
                <w:rFonts w:hint="eastAsia"/>
                <w:b/>
                <w:bCs/>
                <w:color w:val="auto"/>
                <w:u w:val="single"/>
                <w:lang w:val="en-US" w:eastAsia="zh-CN"/>
              </w:rPr>
              <w:t>无组织废气</w:t>
            </w:r>
          </w:p>
        </w:tc>
        <w:tc>
          <w:tcPr>
            <w:tcW w:w="4805" w:type="dxa"/>
            <w:vAlign w:val="center"/>
          </w:tcPr>
          <w:p w14:paraId="62FCCAEE">
            <w:pPr>
              <w:bidi w:val="0"/>
              <w:ind w:firstLine="482" w:firstLineChars="200"/>
              <w:rPr>
                <w:rFonts w:hint="default"/>
                <w:b/>
                <w:bCs/>
                <w:color w:val="auto"/>
                <w:u w:val="single"/>
                <w:lang w:val="en-US" w:eastAsia="zh-CN"/>
              </w:rPr>
            </w:pPr>
            <w:r>
              <w:rPr>
                <w:rFonts w:hint="eastAsia"/>
                <w:b/>
                <w:bCs/>
                <w:color w:val="auto"/>
                <w:u w:val="single"/>
                <w:lang w:val="en-US" w:eastAsia="zh-CN"/>
              </w:rPr>
              <w:t>*</w:t>
            </w:r>
          </w:p>
        </w:tc>
        <w:tc>
          <w:tcPr>
            <w:tcW w:w="940" w:type="dxa"/>
            <w:vAlign w:val="center"/>
          </w:tcPr>
          <w:p w14:paraId="36554E70">
            <w:pPr>
              <w:pStyle w:val="182"/>
              <w:bidi w:val="0"/>
              <w:rPr>
                <w:b/>
                <w:bCs/>
                <w:color w:val="auto"/>
                <w:u w:val="single"/>
              </w:rPr>
            </w:pPr>
            <w:r>
              <w:rPr>
                <w:rFonts w:hint="eastAsia"/>
                <w:b/>
                <w:bCs/>
                <w:color w:val="auto"/>
                <w:u w:val="single"/>
              </w:rPr>
              <w:t>新建</w:t>
            </w:r>
          </w:p>
        </w:tc>
      </w:tr>
      <w:bookmarkEnd w:id="166"/>
      <w:tr w14:paraId="40625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14:paraId="0CF916F9">
            <w:pPr>
              <w:pStyle w:val="182"/>
              <w:bidi w:val="0"/>
              <w:rPr>
                <w:color w:val="auto"/>
              </w:rPr>
            </w:pPr>
          </w:p>
        </w:tc>
        <w:tc>
          <w:tcPr>
            <w:tcW w:w="2329" w:type="dxa"/>
            <w:gridSpan w:val="2"/>
            <w:vAlign w:val="center"/>
          </w:tcPr>
          <w:p w14:paraId="52BEF571">
            <w:pPr>
              <w:pStyle w:val="182"/>
              <w:bidi w:val="0"/>
              <w:rPr>
                <w:b w:val="0"/>
                <w:bCs w:val="0"/>
                <w:color w:val="auto"/>
                <w:u w:val="none"/>
              </w:rPr>
            </w:pPr>
            <w:r>
              <w:rPr>
                <w:b w:val="0"/>
                <w:bCs w:val="0"/>
                <w:color w:val="auto"/>
                <w:u w:val="none"/>
              </w:rPr>
              <w:t>废水收集处理设施</w:t>
            </w:r>
          </w:p>
        </w:tc>
        <w:tc>
          <w:tcPr>
            <w:tcW w:w="4805" w:type="dxa"/>
            <w:vAlign w:val="center"/>
          </w:tcPr>
          <w:p w14:paraId="0075CE15">
            <w:pPr>
              <w:bidi w:val="0"/>
              <w:ind w:firstLine="482" w:firstLineChars="200"/>
              <w:rPr>
                <w:b w:val="0"/>
                <w:bCs w:val="0"/>
                <w:color w:val="auto"/>
                <w:u w:val="none"/>
              </w:rPr>
            </w:pPr>
            <w:r>
              <w:rPr>
                <w:rFonts w:hint="eastAsia"/>
                <w:b/>
                <w:bCs/>
                <w:color w:val="auto"/>
                <w:u w:val="single"/>
                <w:lang w:val="en-US" w:eastAsia="zh-CN"/>
              </w:rPr>
              <w:t>*</w:t>
            </w:r>
          </w:p>
        </w:tc>
        <w:tc>
          <w:tcPr>
            <w:tcW w:w="940" w:type="dxa"/>
            <w:vAlign w:val="center"/>
          </w:tcPr>
          <w:p w14:paraId="52DEBC63">
            <w:pPr>
              <w:bidi w:val="0"/>
              <w:ind w:firstLine="482" w:firstLineChars="200"/>
              <w:rPr>
                <w:b w:val="0"/>
                <w:bCs w:val="0"/>
                <w:color w:val="auto"/>
                <w:u w:val="none"/>
              </w:rPr>
            </w:pPr>
            <w:r>
              <w:rPr>
                <w:rFonts w:hint="eastAsia"/>
                <w:b/>
                <w:bCs/>
                <w:color w:val="auto"/>
                <w:u w:val="single"/>
                <w:lang w:val="en-US" w:eastAsia="zh-CN"/>
              </w:rPr>
              <w:t>*</w:t>
            </w:r>
          </w:p>
        </w:tc>
      </w:tr>
      <w:tr w14:paraId="0417B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14:paraId="48E45665">
            <w:pPr>
              <w:pStyle w:val="182"/>
              <w:bidi w:val="0"/>
              <w:rPr>
                <w:color w:val="auto"/>
              </w:rPr>
            </w:pPr>
          </w:p>
        </w:tc>
        <w:tc>
          <w:tcPr>
            <w:tcW w:w="2329" w:type="dxa"/>
            <w:gridSpan w:val="2"/>
            <w:vAlign w:val="center"/>
          </w:tcPr>
          <w:p w14:paraId="1FF9D04B">
            <w:pPr>
              <w:pStyle w:val="182"/>
              <w:bidi w:val="0"/>
              <w:rPr>
                <w:color w:val="auto"/>
              </w:rPr>
            </w:pPr>
            <w:r>
              <w:rPr>
                <w:color w:val="auto"/>
              </w:rPr>
              <w:t>噪声污染防治措施</w:t>
            </w:r>
          </w:p>
        </w:tc>
        <w:tc>
          <w:tcPr>
            <w:tcW w:w="4805" w:type="dxa"/>
            <w:vAlign w:val="center"/>
          </w:tcPr>
          <w:p w14:paraId="17003FE2">
            <w:pPr>
              <w:bidi w:val="0"/>
              <w:ind w:firstLine="482" w:firstLineChars="200"/>
              <w:rPr>
                <w:color w:val="auto"/>
              </w:rPr>
            </w:pPr>
            <w:r>
              <w:rPr>
                <w:rFonts w:hint="eastAsia"/>
                <w:b/>
                <w:bCs/>
                <w:color w:val="auto"/>
                <w:u w:val="single"/>
                <w:lang w:val="en-US" w:eastAsia="zh-CN"/>
              </w:rPr>
              <w:t>*</w:t>
            </w:r>
          </w:p>
        </w:tc>
        <w:tc>
          <w:tcPr>
            <w:tcW w:w="940" w:type="dxa"/>
            <w:vAlign w:val="center"/>
          </w:tcPr>
          <w:p w14:paraId="5F66E4BE">
            <w:pPr>
              <w:bidi w:val="0"/>
              <w:ind w:firstLine="482" w:firstLineChars="200"/>
              <w:rPr>
                <w:color w:val="auto"/>
              </w:rPr>
            </w:pPr>
            <w:r>
              <w:rPr>
                <w:rFonts w:hint="eastAsia"/>
                <w:b/>
                <w:bCs/>
                <w:color w:val="auto"/>
                <w:u w:val="single"/>
                <w:lang w:val="en-US" w:eastAsia="zh-CN"/>
              </w:rPr>
              <w:t>*</w:t>
            </w:r>
          </w:p>
        </w:tc>
      </w:tr>
      <w:tr w14:paraId="4E77F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14:paraId="0BE3A830">
            <w:pPr>
              <w:pStyle w:val="182"/>
              <w:bidi w:val="0"/>
              <w:rPr>
                <w:color w:val="auto"/>
              </w:rPr>
            </w:pPr>
          </w:p>
        </w:tc>
        <w:tc>
          <w:tcPr>
            <w:tcW w:w="1001" w:type="dxa"/>
            <w:vMerge w:val="restart"/>
            <w:vAlign w:val="center"/>
          </w:tcPr>
          <w:p w14:paraId="56CBEF00">
            <w:pPr>
              <w:pStyle w:val="182"/>
              <w:bidi w:val="0"/>
              <w:rPr>
                <w:b w:val="0"/>
                <w:bCs w:val="0"/>
                <w:color w:val="auto"/>
                <w:u w:val="none"/>
              </w:rPr>
            </w:pPr>
            <w:r>
              <w:rPr>
                <w:b w:val="0"/>
                <w:bCs w:val="0"/>
                <w:color w:val="auto"/>
                <w:u w:val="none"/>
              </w:rPr>
              <w:t>固体废物</w:t>
            </w:r>
          </w:p>
        </w:tc>
        <w:tc>
          <w:tcPr>
            <w:tcW w:w="1328" w:type="dxa"/>
            <w:vAlign w:val="center"/>
          </w:tcPr>
          <w:p w14:paraId="6A65C3DD">
            <w:pPr>
              <w:pStyle w:val="182"/>
              <w:bidi w:val="0"/>
              <w:rPr>
                <w:b w:val="0"/>
                <w:bCs w:val="0"/>
                <w:color w:val="auto"/>
                <w:u w:val="none"/>
              </w:rPr>
            </w:pPr>
            <w:r>
              <w:rPr>
                <w:rFonts w:hint="eastAsia"/>
                <w:b w:val="0"/>
                <w:bCs w:val="0"/>
                <w:color w:val="auto"/>
                <w:u w:val="none"/>
              </w:rPr>
              <w:t>一般固废</w:t>
            </w:r>
          </w:p>
        </w:tc>
        <w:tc>
          <w:tcPr>
            <w:tcW w:w="4805" w:type="dxa"/>
            <w:vAlign w:val="center"/>
          </w:tcPr>
          <w:p w14:paraId="21FF420C">
            <w:pPr>
              <w:bidi w:val="0"/>
              <w:ind w:firstLine="482" w:firstLineChars="200"/>
              <w:rPr>
                <w:b/>
                <w:bCs w:val="0"/>
                <w:color w:val="auto"/>
                <w:u w:val="single"/>
              </w:rPr>
            </w:pPr>
            <w:r>
              <w:rPr>
                <w:rFonts w:hint="eastAsia"/>
                <w:b/>
                <w:bCs/>
                <w:color w:val="auto"/>
                <w:u w:val="single"/>
                <w:lang w:val="en-US" w:eastAsia="zh-CN"/>
              </w:rPr>
              <w:t>*</w:t>
            </w:r>
          </w:p>
        </w:tc>
        <w:tc>
          <w:tcPr>
            <w:tcW w:w="940" w:type="dxa"/>
            <w:vAlign w:val="center"/>
          </w:tcPr>
          <w:p w14:paraId="16E93D5C">
            <w:pPr>
              <w:pStyle w:val="182"/>
              <w:bidi w:val="0"/>
              <w:rPr>
                <w:b/>
                <w:bCs w:val="0"/>
                <w:color w:val="auto"/>
                <w:u w:val="single"/>
              </w:rPr>
            </w:pPr>
            <w:r>
              <w:rPr>
                <w:rFonts w:hint="eastAsia"/>
                <w:b/>
                <w:bCs w:val="0"/>
                <w:color w:val="auto"/>
                <w:u w:val="single"/>
              </w:rPr>
              <w:t>依托现有</w:t>
            </w:r>
          </w:p>
        </w:tc>
      </w:tr>
      <w:tr w14:paraId="20073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Merge w:val="continue"/>
            <w:vAlign w:val="center"/>
          </w:tcPr>
          <w:p w14:paraId="327D2E6A">
            <w:pPr>
              <w:pStyle w:val="182"/>
              <w:bidi w:val="0"/>
              <w:rPr>
                <w:color w:val="auto"/>
              </w:rPr>
            </w:pPr>
          </w:p>
        </w:tc>
        <w:tc>
          <w:tcPr>
            <w:tcW w:w="1001" w:type="dxa"/>
            <w:vMerge w:val="continue"/>
            <w:vAlign w:val="center"/>
          </w:tcPr>
          <w:p w14:paraId="3445B703">
            <w:pPr>
              <w:pStyle w:val="182"/>
              <w:bidi w:val="0"/>
              <w:rPr>
                <w:b w:val="0"/>
                <w:bCs w:val="0"/>
                <w:color w:val="auto"/>
                <w:u w:val="none"/>
              </w:rPr>
            </w:pPr>
          </w:p>
        </w:tc>
        <w:tc>
          <w:tcPr>
            <w:tcW w:w="1328" w:type="dxa"/>
            <w:vAlign w:val="center"/>
          </w:tcPr>
          <w:p w14:paraId="1C4E2121">
            <w:pPr>
              <w:pStyle w:val="182"/>
              <w:bidi w:val="0"/>
              <w:rPr>
                <w:b w:val="0"/>
                <w:bCs w:val="0"/>
                <w:color w:val="auto"/>
                <w:u w:val="none"/>
              </w:rPr>
            </w:pPr>
            <w:r>
              <w:rPr>
                <w:rFonts w:hint="eastAsia"/>
                <w:b w:val="0"/>
                <w:bCs w:val="0"/>
                <w:color w:val="auto"/>
                <w:u w:val="none"/>
              </w:rPr>
              <w:t>危险废物</w:t>
            </w:r>
          </w:p>
        </w:tc>
        <w:tc>
          <w:tcPr>
            <w:tcW w:w="4805" w:type="dxa"/>
            <w:vAlign w:val="center"/>
          </w:tcPr>
          <w:p w14:paraId="15C59E1A">
            <w:pPr>
              <w:bidi w:val="0"/>
              <w:ind w:firstLine="482" w:firstLineChars="200"/>
              <w:rPr>
                <w:b/>
                <w:bCs w:val="0"/>
                <w:color w:val="auto"/>
                <w:u w:val="single"/>
              </w:rPr>
            </w:pPr>
            <w:r>
              <w:rPr>
                <w:rFonts w:hint="eastAsia"/>
                <w:b/>
                <w:bCs/>
                <w:color w:val="auto"/>
                <w:u w:val="single"/>
                <w:lang w:val="en-US" w:eastAsia="zh-CN"/>
              </w:rPr>
              <w:t>*</w:t>
            </w:r>
          </w:p>
        </w:tc>
        <w:tc>
          <w:tcPr>
            <w:tcW w:w="940" w:type="dxa"/>
            <w:vAlign w:val="center"/>
          </w:tcPr>
          <w:p w14:paraId="21603179">
            <w:pPr>
              <w:pStyle w:val="182"/>
              <w:bidi w:val="0"/>
              <w:rPr>
                <w:b/>
                <w:bCs w:val="0"/>
                <w:color w:val="auto"/>
                <w:u w:val="single"/>
              </w:rPr>
            </w:pPr>
            <w:r>
              <w:rPr>
                <w:rFonts w:hint="eastAsia"/>
                <w:b/>
                <w:bCs w:val="0"/>
                <w:color w:val="auto"/>
                <w:u w:val="single"/>
              </w:rPr>
              <w:t>依托现有</w:t>
            </w:r>
          </w:p>
        </w:tc>
      </w:tr>
    </w:tbl>
    <w:p w14:paraId="0B044C2D">
      <w:pPr>
        <w:pStyle w:val="5"/>
        <w:bidi w:val="0"/>
        <w:rPr>
          <w:color w:val="auto"/>
        </w:rPr>
      </w:pPr>
      <w:r>
        <w:rPr>
          <w:rFonts w:hint="eastAsia"/>
          <w:color w:val="auto"/>
        </w:rPr>
        <w:t>项目平面布置</w:t>
      </w:r>
    </w:p>
    <w:p w14:paraId="42CB4597">
      <w:pPr>
        <w:bidi w:val="0"/>
        <w:rPr>
          <w:color w:val="auto"/>
        </w:rPr>
      </w:pPr>
      <w:r>
        <w:rPr>
          <w:rFonts w:hint="eastAsia"/>
          <w:color w:val="auto"/>
        </w:rPr>
        <w:t>本项目</w:t>
      </w:r>
      <w:r>
        <w:rPr>
          <w:rFonts w:hint="eastAsia"/>
          <w:color w:val="auto"/>
          <w:lang w:val="en-US" w:eastAsia="zh-CN"/>
        </w:rPr>
        <w:t>依托离子液项目厂房</w:t>
      </w:r>
      <w:r>
        <w:rPr>
          <w:rFonts w:hint="eastAsia"/>
          <w:color w:val="auto"/>
        </w:rPr>
        <w:t>，</w:t>
      </w:r>
      <w:r>
        <w:rPr>
          <w:rFonts w:hint="eastAsia"/>
          <w:color w:val="auto"/>
          <w:lang w:val="en-US" w:eastAsia="zh-CN"/>
        </w:rPr>
        <w:t>本项目生产采用竖向布置原则，因地制宜，充分利用地形地质条件，合理改造地形，满足用地要求</w:t>
      </w:r>
      <w:r>
        <w:rPr>
          <w:rFonts w:hint="eastAsia"/>
          <w:color w:val="auto"/>
        </w:rPr>
        <w:t>，充分利用现有公用工程。</w:t>
      </w:r>
    </w:p>
    <w:p w14:paraId="2F832ED0">
      <w:pPr>
        <w:bidi w:val="0"/>
        <w:rPr>
          <w:color w:val="auto"/>
        </w:rPr>
      </w:pPr>
      <w:r>
        <w:rPr>
          <w:rFonts w:hint="eastAsia"/>
          <w:color w:val="auto"/>
        </w:rPr>
        <w:t>本项目占地面积</w:t>
      </w:r>
      <w:r>
        <w:rPr>
          <w:rFonts w:hint="eastAsia"/>
          <w:color w:val="auto"/>
          <w:lang w:val="en-US" w:eastAsia="zh-CN"/>
        </w:rPr>
        <w:t>13000</w:t>
      </w:r>
      <w:r>
        <w:rPr>
          <w:rFonts w:hint="eastAsia"/>
          <w:color w:val="auto"/>
        </w:rPr>
        <w:t>m</w:t>
      </w:r>
      <w:r>
        <w:rPr>
          <w:rFonts w:hint="eastAsia"/>
          <w:color w:val="auto"/>
          <w:vertAlign w:val="superscript"/>
        </w:rPr>
        <w:t>2</w:t>
      </w:r>
      <w:r>
        <w:rPr>
          <w:rFonts w:hint="eastAsia"/>
          <w:color w:val="auto"/>
        </w:rPr>
        <w:t>（合</w:t>
      </w:r>
      <w:r>
        <w:rPr>
          <w:rFonts w:hint="eastAsia"/>
          <w:color w:val="auto"/>
          <w:lang w:val="en-US" w:eastAsia="zh-CN"/>
        </w:rPr>
        <w:t>19.5</w:t>
      </w:r>
      <w:r>
        <w:rPr>
          <w:rFonts w:hint="eastAsia"/>
          <w:color w:val="auto"/>
        </w:rPr>
        <w:t>亩）。本工程建筑面积24833.4平方米；</w:t>
      </w:r>
      <w:r>
        <w:rPr>
          <w:rFonts w:hint="eastAsia"/>
          <w:color w:val="auto"/>
          <w:lang w:val="en-US" w:eastAsia="zh-CN"/>
        </w:rPr>
        <w:t>其中DT溶剂纺丝生产线占地面积8000</w:t>
      </w:r>
      <w:r>
        <w:rPr>
          <w:color w:val="auto"/>
        </w:rPr>
        <w:t>m</w:t>
      </w:r>
      <w:r>
        <w:rPr>
          <w:color w:val="auto"/>
          <w:vertAlign w:val="superscript"/>
        </w:rPr>
        <w:t>2</w:t>
      </w:r>
      <w:r>
        <w:rPr>
          <w:rFonts w:hint="eastAsia"/>
          <w:color w:val="auto"/>
          <w:lang w:val="en-US" w:eastAsia="zh-CN"/>
        </w:rPr>
        <w:t>，1层主要布置办公室、中控室、精密室、操作室、卫生间，间层主要为办公室，2层主要为离子液纺丝生产线和DT溶剂纺丝生产线和分级间。本工程为钢筋混凝土框架结构建筑。建筑高度15.5米，局部高度为17.9米，每层层高7米。</w:t>
      </w:r>
      <w:r>
        <w:rPr>
          <w:rFonts w:hint="eastAsia"/>
          <w:color w:val="auto"/>
        </w:rPr>
        <w:t>厂区总图布局规整，满足工艺要求，节约用地。厂区内各建筑物之间留有足够的安全防火间距。</w:t>
      </w:r>
    </w:p>
    <w:p w14:paraId="53B9D389">
      <w:pPr>
        <w:bidi w:val="0"/>
        <w:rPr>
          <w:color w:val="auto"/>
        </w:rPr>
      </w:pPr>
      <w:r>
        <w:rPr>
          <w:rFonts w:hint="eastAsia"/>
          <w:color w:val="auto"/>
        </w:rPr>
        <w:t>厂区平面布置整齐、有序，避免了管路迂回造成的能源输送能耗；变电所等动力车间设置等靠近负荷中心，有利于减少输送损耗；道路设计通畅，利于物资的运输。厂区内物流路径合理，减少折返和运输距离，物流、人流相对独立，物流运输、能源输送布置合理。有利于过程节能、方便作业、提高生产效率、减少工序和产品单耗。</w:t>
      </w:r>
    </w:p>
    <w:p w14:paraId="10920919">
      <w:pPr>
        <w:bidi w:val="0"/>
        <w:rPr>
          <w:rFonts w:hint="eastAsia" w:eastAsia="宋体"/>
          <w:color w:val="auto"/>
          <w:lang w:eastAsia="zh-CN"/>
        </w:rPr>
      </w:pPr>
      <w:r>
        <w:rPr>
          <w:rFonts w:hint="eastAsia"/>
          <w:color w:val="auto"/>
        </w:rPr>
        <w:t>本项目新建主要道路原则上平行于主要建筑物，呈正交和环状布置。道路采用混凝土水泥路面，</w:t>
      </w:r>
      <w:r>
        <w:rPr>
          <w:rFonts w:hint="eastAsia"/>
          <w:color w:val="auto"/>
          <w:lang w:val="en-US" w:eastAsia="zh-CN"/>
        </w:rPr>
        <w:t>主干道宽9m，次干道宽6m</w:t>
      </w:r>
      <w:r>
        <w:rPr>
          <w:rFonts w:hint="eastAsia"/>
          <w:color w:val="auto"/>
        </w:rPr>
        <w:t>。本工程充分利用厂区空地进行绿化；在道路两边种植绿篱及常青乔木，在建筑物四周及零星空地上种植草坪及四季花卉，并与原有厂区绿化相协调</w:t>
      </w:r>
      <w:r>
        <w:rPr>
          <w:rFonts w:hint="eastAsia"/>
          <w:color w:val="auto"/>
          <w:lang w:eastAsia="zh-CN"/>
        </w:rPr>
        <w:t>。</w:t>
      </w:r>
    </w:p>
    <w:p w14:paraId="3A9BE51E">
      <w:pPr>
        <w:bidi w:val="0"/>
        <w:rPr>
          <w:color w:val="auto"/>
        </w:rPr>
      </w:pPr>
      <w:r>
        <w:rPr>
          <w:rFonts w:hint="eastAsia"/>
          <w:color w:val="auto"/>
        </w:rPr>
        <w:t>综上可得，本项目总平面布置合理。本项目总图运输主要技术经济指标见</w:t>
      </w:r>
      <w:r>
        <w:rPr>
          <w:rFonts w:hint="eastAsia"/>
          <w:color w:val="auto"/>
          <w:lang w:val="en-US" w:eastAsia="zh-CN"/>
        </w:rPr>
        <w:t>下表</w:t>
      </w:r>
      <w:r>
        <w:rPr>
          <w:rFonts w:hint="eastAsia"/>
          <w:color w:val="auto"/>
        </w:rPr>
        <w:t>。</w:t>
      </w:r>
    </w:p>
    <w:p w14:paraId="6DF547E1">
      <w:pPr>
        <w:pStyle w:val="10"/>
        <w:rPr>
          <w:color w:val="auto"/>
        </w:rPr>
      </w:pPr>
      <w:r>
        <w:t xml:space="preserve">表 </w:t>
      </w:r>
      <w:r>
        <w:fldChar w:fldCharType="begin"/>
      </w:r>
      <w:r>
        <w:instrText xml:space="preserve"> STYLEREF 2 \s </w:instrText>
      </w:r>
      <w:r>
        <w:fldChar w:fldCharType="separate"/>
      </w:r>
      <w:r>
        <w:t>4.1</w:t>
      </w:r>
      <w:r>
        <w:fldChar w:fldCharType="end"/>
      </w:r>
      <w:r>
        <w:rPr>
          <w:rFonts w:hint="eastAsia"/>
          <w:lang w:eastAsia="zh-CN"/>
        </w:rPr>
        <w:t>-</w:t>
      </w:r>
      <w:r>
        <w:fldChar w:fldCharType="begin"/>
      </w:r>
      <w:r>
        <w:instrText xml:space="preserve"> SEQ 表 \* ARABIC \s 2 </w:instrText>
      </w:r>
      <w:r>
        <w:fldChar w:fldCharType="separate"/>
      </w:r>
      <w:r>
        <w:t>6</w:t>
      </w:r>
      <w:r>
        <w:fldChar w:fldCharType="end"/>
      </w:r>
      <w:r>
        <w:rPr>
          <w:rFonts w:hint="eastAsia"/>
          <w:lang w:val="en-US" w:eastAsia="zh-CN"/>
        </w:rPr>
        <w:t xml:space="preserve"> </w:t>
      </w:r>
      <w:r>
        <w:rPr>
          <w:color w:val="auto"/>
        </w:rPr>
        <w:t>总平面</w:t>
      </w:r>
      <w:r>
        <w:rPr>
          <w:rFonts w:hint="eastAsia" w:ascii="Times New Roman" w:hAnsi="Times New Roman" w:eastAsia="宋体"/>
          <w:color w:val="auto"/>
        </w:rPr>
        <w:t>主要</w:t>
      </w:r>
      <w:r>
        <w:rPr>
          <w:color w:val="auto"/>
        </w:rPr>
        <w:t>技术指标表</w:t>
      </w:r>
    </w:p>
    <w:tbl>
      <w:tblPr>
        <w:tblStyle w:val="3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3681"/>
        <w:gridCol w:w="1365"/>
        <w:gridCol w:w="1599"/>
        <w:gridCol w:w="1376"/>
      </w:tblGrid>
      <w:tr w14:paraId="6F5BC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14:paraId="6B907480">
            <w:pPr>
              <w:pStyle w:val="182"/>
              <w:bidi w:val="0"/>
              <w:rPr>
                <w:b/>
                <w:bCs/>
                <w:color w:val="auto"/>
              </w:rPr>
            </w:pPr>
            <w:r>
              <w:rPr>
                <w:b/>
                <w:bCs/>
                <w:color w:val="auto"/>
              </w:rPr>
              <w:t>序号</w:t>
            </w:r>
          </w:p>
        </w:tc>
        <w:tc>
          <w:tcPr>
            <w:tcW w:w="2044" w:type="pct"/>
            <w:tcBorders>
              <w:top w:val="single" w:color="auto" w:sz="4" w:space="0"/>
              <w:left w:val="single" w:color="auto" w:sz="4" w:space="0"/>
              <w:bottom w:val="single" w:color="auto" w:sz="4" w:space="0"/>
              <w:right w:val="single" w:color="auto" w:sz="4" w:space="0"/>
            </w:tcBorders>
            <w:vAlign w:val="center"/>
          </w:tcPr>
          <w:p w14:paraId="3457EF35">
            <w:pPr>
              <w:pStyle w:val="182"/>
              <w:bidi w:val="0"/>
              <w:rPr>
                <w:b/>
                <w:bCs/>
                <w:color w:val="auto"/>
              </w:rPr>
            </w:pPr>
            <w:r>
              <w:rPr>
                <w:b/>
                <w:bCs/>
                <w:color w:val="auto"/>
              </w:rPr>
              <w:t>项目</w:t>
            </w:r>
          </w:p>
        </w:tc>
        <w:tc>
          <w:tcPr>
            <w:tcW w:w="758" w:type="pct"/>
            <w:tcBorders>
              <w:top w:val="single" w:color="auto" w:sz="4" w:space="0"/>
              <w:left w:val="single" w:color="auto" w:sz="4" w:space="0"/>
              <w:bottom w:val="single" w:color="auto" w:sz="4" w:space="0"/>
              <w:right w:val="single" w:color="auto" w:sz="4" w:space="0"/>
            </w:tcBorders>
            <w:vAlign w:val="center"/>
          </w:tcPr>
          <w:p w14:paraId="5ECAC8BE">
            <w:pPr>
              <w:pStyle w:val="182"/>
              <w:bidi w:val="0"/>
              <w:rPr>
                <w:b/>
                <w:bCs/>
                <w:color w:val="auto"/>
              </w:rPr>
            </w:pPr>
            <w:r>
              <w:rPr>
                <w:b/>
                <w:bCs/>
                <w:color w:val="auto"/>
              </w:rPr>
              <w:t>单位</w:t>
            </w:r>
          </w:p>
        </w:tc>
        <w:tc>
          <w:tcPr>
            <w:tcW w:w="888" w:type="pct"/>
            <w:tcBorders>
              <w:top w:val="single" w:color="auto" w:sz="4" w:space="0"/>
              <w:left w:val="single" w:color="auto" w:sz="4" w:space="0"/>
              <w:bottom w:val="single" w:color="auto" w:sz="4" w:space="0"/>
              <w:right w:val="single" w:color="auto" w:sz="4" w:space="0"/>
            </w:tcBorders>
            <w:vAlign w:val="center"/>
          </w:tcPr>
          <w:p w14:paraId="34B5BCB8">
            <w:pPr>
              <w:pStyle w:val="182"/>
              <w:bidi w:val="0"/>
              <w:rPr>
                <w:b/>
                <w:bCs/>
                <w:color w:val="auto"/>
              </w:rPr>
            </w:pPr>
            <w:r>
              <w:rPr>
                <w:b/>
                <w:bCs/>
                <w:color w:val="auto"/>
              </w:rPr>
              <w:t>指标</w:t>
            </w:r>
          </w:p>
        </w:tc>
        <w:tc>
          <w:tcPr>
            <w:tcW w:w="764" w:type="pct"/>
            <w:tcBorders>
              <w:top w:val="single" w:color="auto" w:sz="4" w:space="0"/>
              <w:left w:val="single" w:color="auto" w:sz="4" w:space="0"/>
              <w:bottom w:val="single" w:color="auto" w:sz="4" w:space="0"/>
              <w:right w:val="single" w:color="auto" w:sz="4" w:space="0"/>
            </w:tcBorders>
            <w:vAlign w:val="center"/>
          </w:tcPr>
          <w:p w14:paraId="4152376C">
            <w:pPr>
              <w:pStyle w:val="182"/>
              <w:bidi w:val="0"/>
              <w:rPr>
                <w:b/>
                <w:bCs/>
                <w:color w:val="auto"/>
              </w:rPr>
            </w:pPr>
            <w:r>
              <w:rPr>
                <w:b/>
                <w:bCs/>
                <w:color w:val="auto"/>
              </w:rPr>
              <w:t>备注</w:t>
            </w:r>
          </w:p>
        </w:tc>
      </w:tr>
      <w:tr w14:paraId="62575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14:paraId="3CAE2D8A">
            <w:pPr>
              <w:pStyle w:val="182"/>
              <w:bidi w:val="0"/>
              <w:rPr>
                <w:color w:val="auto"/>
              </w:rPr>
            </w:pPr>
            <w:r>
              <w:rPr>
                <w:color w:val="auto"/>
              </w:rPr>
              <w:t>1</w:t>
            </w:r>
          </w:p>
        </w:tc>
        <w:tc>
          <w:tcPr>
            <w:tcW w:w="2044" w:type="pct"/>
            <w:tcBorders>
              <w:top w:val="single" w:color="auto" w:sz="4" w:space="0"/>
              <w:left w:val="single" w:color="auto" w:sz="4" w:space="0"/>
              <w:bottom w:val="single" w:color="auto" w:sz="4" w:space="0"/>
              <w:right w:val="single" w:color="auto" w:sz="4" w:space="0"/>
            </w:tcBorders>
            <w:vAlign w:val="center"/>
          </w:tcPr>
          <w:p w14:paraId="58CF591E">
            <w:pPr>
              <w:pStyle w:val="182"/>
              <w:bidi w:val="0"/>
              <w:rPr>
                <w:color w:val="auto"/>
              </w:rPr>
            </w:pPr>
            <w:r>
              <w:rPr>
                <w:color w:val="auto"/>
              </w:rPr>
              <w:t>本项目总用地面积</w:t>
            </w:r>
          </w:p>
        </w:tc>
        <w:tc>
          <w:tcPr>
            <w:tcW w:w="758" w:type="pct"/>
            <w:tcBorders>
              <w:top w:val="single" w:color="auto" w:sz="4" w:space="0"/>
              <w:left w:val="single" w:color="auto" w:sz="4" w:space="0"/>
              <w:bottom w:val="single" w:color="auto" w:sz="4" w:space="0"/>
              <w:right w:val="single" w:color="auto" w:sz="4" w:space="0"/>
            </w:tcBorders>
            <w:vAlign w:val="center"/>
          </w:tcPr>
          <w:p w14:paraId="78EDF094">
            <w:pPr>
              <w:pStyle w:val="182"/>
              <w:bidi w:val="0"/>
              <w:rPr>
                <w:color w:val="auto"/>
              </w:rPr>
            </w:pPr>
            <w:r>
              <w:rPr>
                <w:color w:val="auto"/>
              </w:rPr>
              <w:t>m</w:t>
            </w:r>
            <w:r>
              <w:rPr>
                <w:color w:val="auto"/>
                <w:vertAlign w:val="superscript"/>
              </w:rPr>
              <w:t>2</w:t>
            </w:r>
          </w:p>
        </w:tc>
        <w:tc>
          <w:tcPr>
            <w:tcW w:w="888" w:type="pct"/>
            <w:tcBorders>
              <w:top w:val="single" w:color="auto" w:sz="4" w:space="0"/>
              <w:left w:val="single" w:color="auto" w:sz="4" w:space="0"/>
              <w:bottom w:val="single" w:color="auto" w:sz="4" w:space="0"/>
              <w:right w:val="single" w:color="auto" w:sz="4" w:space="0"/>
            </w:tcBorders>
            <w:vAlign w:val="center"/>
          </w:tcPr>
          <w:p w14:paraId="208DC8EB">
            <w:pPr>
              <w:pStyle w:val="182"/>
              <w:bidi w:val="0"/>
              <w:rPr>
                <w:rFonts w:hint="default" w:eastAsia="宋体"/>
                <w:color w:val="auto"/>
                <w:lang w:val="en-US" w:eastAsia="zh-CN"/>
              </w:rPr>
            </w:pPr>
            <w:r>
              <w:rPr>
                <w:rFonts w:hint="eastAsia"/>
                <w:color w:val="auto"/>
                <w:lang w:val="en-US" w:eastAsia="zh-CN"/>
              </w:rPr>
              <w:t>13000</w:t>
            </w:r>
          </w:p>
        </w:tc>
        <w:tc>
          <w:tcPr>
            <w:tcW w:w="764" w:type="pct"/>
            <w:tcBorders>
              <w:top w:val="single" w:color="auto" w:sz="4" w:space="0"/>
              <w:left w:val="single" w:color="auto" w:sz="4" w:space="0"/>
              <w:bottom w:val="single" w:color="auto" w:sz="4" w:space="0"/>
              <w:right w:val="single" w:color="auto" w:sz="4" w:space="0"/>
            </w:tcBorders>
            <w:vAlign w:val="center"/>
          </w:tcPr>
          <w:p w14:paraId="5F357892">
            <w:pPr>
              <w:pStyle w:val="182"/>
              <w:bidi w:val="0"/>
              <w:rPr>
                <w:color w:val="auto"/>
              </w:rPr>
            </w:pPr>
            <w:r>
              <w:rPr>
                <w:color w:val="auto"/>
              </w:rPr>
              <w:t>合</w:t>
            </w:r>
            <w:r>
              <w:rPr>
                <w:rFonts w:hint="eastAsia"/>
                <w:color w:val="auto"/>
                <w:lang w:val="en-US" w:eastAsia="zh-CN"/>
              </w:rPr>
              <w:t>19.5</w:t>
            </w:r>
            <w:r>
              <w:rPr>
                <w:color w:val="auto"/>
              </w:rPr>
              <w:t>亩</w:t>
            </w:r>
          </w:p>
        </w:tc>
      </w:tr>
      <w:tr w14:paraId="63F87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14:paraId="2A348949">
            <w:pPr>
              <w:pStyle w:val="182"/>
              <w:bidi w:val="0"/>
              <w:rPr>
                <w:color w:val="auto"/>
              </w:rPr>
            </w:pPr>
            <w:r>
              <w:rPr>
                <w:color w:val="auto"/>
              </w:rPr>
              <w:t>2</w:t>
            </w:r>
          </w:p>
        </w:tc>
        <w:tc>
          <w:tcPr>
            <w:tcW w:w="2044" w:type="pct"/>
            <w:tcBorders>
              <w:top w:val="single" w:color="auto" w:sz="4" w:space="0"/>
              <w:left w:val="single" w:color="auto" w:sz="4" w:space="0"/>
              <w:bottom w:val="single" w:color="auto" w:sz="4" w:space="0"/>
              <w:right w:val="single" w:color="auto" w:sz="4" w:space="0"/>
            </w:tcBorders>
            <w:vAlign w:val="center"/>
          </w:tcPr>
          <w:p w14:paraId="2D11BDE9">
            <w:pPr>
              <w:pStyle w:val="182"/>
              <w:bidi w:val="0"/>
              <w:rPr>
                <w:color w:val="auto"/>
              </w:rPr>
            </w:pPr>
            <w:r>
              <w:rPr>
                <w:color w:val="auto"/>
              </w:rPr>
              <w:t>建（构）筑物占地面积</w:t>
            </w:r>
          </w:p>
        </w:tc>
        <w:tc>
          <w:tcPr>
            <w:tcW w:w="758" w:type="pct"/>
            <w:tcBorders>
              <w:top w:val="single" w:color="auto" w:sz="4" w:space="0"/>
              <w:left w:val="single" w:color="auto" w:sz="4" w:space="0"/>
              <w:bottom w:val="single" w:color="auto" w:sz="4" w:space="0"/>
              <w:right w:val="single" w:color="auto" w:sz="4" w:space="0"/>
            </w:tcBorders>
            <w:vAlign w:val="center"/>
          </w:tcPr>
          <w:p w14:paraId="4BD893EC">
            <w:pPr>
              <w:pStyle w:val="182"/>
              <w:bidi w:val="0"/>
              <w:rPr>
                <w:color w:val="auto"/>
              </w:rPr>
            </w:pPr>
            <w:r>
              <w:rPr>
                <w:color w:val="auto"/>
              </w:rPr>
              <w:t>m</w:t>
            </w:r>
            <w:r>
              <w:rPr>
                <w:color w:val="auto"/>
                <w:vertAlign w:val="superscript"/>
              </w:rPr>
              <w:t>2</w:t>
            </w:r>
          </w:p>
        </w:tc>
        <w:tc>
          <w:tcPr>
            <w:tcW w:w="888" w:type="pct"/>
            <w:tcBorders>
              <w:top w:val="single" w:color="auto" w:sz="4" w:space="0"/>
              <w:left w:val="single" w:color="auto" w:sz="4" w:space="0"/>
              <w:bottom w:val="single" w:color="auto" w:sz="4" w:space="0"/>
              <w:right w:val="single" w:color="auto" w:sz="4" w:space="0"/>
            </w:tcBorders>
            <w:vAlign w:val="center"/>
          </w:tcPr>
          <w:p w14:paraId="61D48D4B">
            <w:pPr>
              <w:pStyle w:val="182"/>
              <w:bidi w:val="0"/>
              <w:rPr>
                <w:rFonts w:hint="default" w:eastAsia="宋体"/>
                <w:color w:val="auto"/>
                <w:lang w:val="en-US" w:eastAsia="zh-CN"/>
              </w:rPr>
            </w:pPr>
            <w:r>
              <w:rPr>
                <w:rFonts w:hint="eastAsia"/>
                <w:color w:val="auto"/>
                <w:lang w:val="en-US" w:eastAsia="zh-CN"/>
              </w:rPr>
              <w:t>7020</w:t>
            </w:r>
          </w:p>
        </w:tc>
        <w:tc>
          <w:tcPr>
            <w:tcW w:w="764" w:type="pct"/>
            <w:tcBorders>
              <w:top w:val="single" w:color="auto" w:sz="4" w:space="0"/>
              <w:left w:val="single" w:color="auto" w:sz="4" w:space="0"/>
              <w:bottom w:val="single" w:color="auto" w:sz="4" w:space="0"/>
              <w:right w:val="single" w:color="auto" w:sz="4" w:space="0"/>
            </w:tcBorders>
            <w:vAlign w:val="center"/>
          </w:tcPr>
          <w:p w14:paraId="00E73FA5">
            <w:pPr>
              <w:pStyle w:val="182"/>
              <w:bidi w:val="0"/>
              <w:rPr>
                <w:color w:val="auto"/>
              </w:rPr>
            </w:pPr>
          </w:p>
        </w:tc>
      </w:tr>
      <w:tr w14:paraId="39F71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14:paraId="15D398F8">
            <w:pPr>
              <w:pStyle w:val="182"/>
              <w:bidi w:val="0"/>
              <w:rPr>
                <w:color w:val="auto"/>
              </w:rPr>
            </w:pPr>
            <w:r>
              <w:rPr>
                <w:color w:val="auto"/>
              </w:rPr>
              <w:t>3</w:t>
            </w:r>
          </w:p>
        </w:tc>
        <w:tc>
          <w:tcPr>
            <w:tcW w:w="2044" w:type="pct"/>
            <w:tcBorders>
              <w:top w:val="single" w:color="auto" w:sz="4" w:space="0"/>
              <w:left w:val="single" w:color="auto" w:sz="4" w:space="0"/>
              <w:bottom w:val="single" w:color="auto" w:sz="4" w:space="0"/>
              <w:right w:val="single" w:color="auto" w:sz="4" w:space="0"/>
            </w:tcBorders>
            <w:vAlign w:val="center"/>
          </w:tcPr>
          <w:p w14:paraId="5F75D488">
            <w:pPr>
              <w:pStyle w:val="182"/>
              <w:bidi w:val="0"/>
              <w:rPr>
                <w:color w:val="auto"/>
              </w:rPr>
            </w:pPr>
            <w:r>
              <w:rPr>
                <w:color w:val="auto"/>
              </w:rPr>
              <w:t>建（构）筑物建筑面积</w:t>
            </w:r>
          </w:p>
        </w:tc>
        <w:tc>
          <w:tcPr>
            <w:tcW w:w="758" w:type="pct"/>
            <w:tcBorders>
              <w:top w:val="single" w:color="auto" w:sz="4" w:space="0"/>
              <w:left w:val="single" w:color="auto" w:sz="4" w:space="0"/>
              <w:bottom w:val="single" w:color="auto" w:sz="4" w:space="0"/>
              <w:right w:val="single" w:color="auto" w:sz="4" w:space="0"/>
            </w:tcBorders>
            <w:vAlign w:val="center"/>
          </w:tcPr>
          <w:p w14:paraId="391A566D">
            <w:pPr>
              <w:pStyle w:val="182"/>
              <w:bidi w:val="0"/>
              <w:rPr>
                <w:color w:val="auto"/>
              </w:rPr>
            </w:pPr>
            <w:r>
              <w:rPr>
                <w:color w:val="auto"/>
              </w:rPr>
              <w:t>m</w:t>
            </w:r>
            <w:r>
              <w:rPr>
                <w:color w:val="auto"/>
                <w:vertAlign w:val="superscript"/>
              </w:rPr>
              <w:t>2</w:t>
            </w:r>
          </w:p>
        </w:tc>
        <w:tc>
          <w:tcPr>
            <w:tcW w:w="888" w:type="pct"/>
            <w:tcBorders>
              <w:top w:val="single" w:color="auto" w:sz="4" w:space="0"/>
              <w:left w:val="single" w:color="auto" w:sz="4" w:space="0"/>
              <w:bottom w:val="single" w:color="auto" w:sz="4" w:space="0"/>
              <w:right w:val="single" w:color="auto" w:sz="4" w:space="0"/>
            </w:tcBorders>
            <w:vAlign w:val="center"/>
          </w:tcPr>
          <w:p w14:paraId="2B4BDBD7">
            <w:pPr>
              <w:pStyle w:val="182"/>
              <w:bidi w:val="0"/>
              <w:rPr>
                <w:rFonts w:hint="default" w:eastAsia="宋体"/>
                <w:color w:val="auto"/>
                <w:lang w:val="en-US" w:eastAsia="zh-CN"/>
              </w:rPr>
            </w:pPr>
            <w:r>
              <w:rPr>
                <w:rFonts w:hint="eastAsia"/>
                <w:color w:val="auto"/>
                <w:lang w:val="en-US" w:eastAsia="zh-CN"/>
              </w:rPr>
              <w:t>24833.4</w:t>
            </w:r>
          </w:p>
        </w:tc>
        <w:tc>
          <w:tcPr>
            <w:tcW w:w="764" w:type="pct"/>
            <w:tcBorders>
              <w:top w:val="single" w:color="auto" w:sz="4" w:space="0"/>
              <w:left w:val="single" w:color="auto" w:sz="4" w:space="0"/>
              <w:bottom w:val="single" w:color="auto" w:sz="4" w:space="0"/>
              <w:right w:val="single" w:color="auto" w:sz="4" w:space="0"/>
            </w:tcBorders>
            <w:vAlign w:val="center"/>
          </w:tcPr>
          <w:p w14:paraId="701B75BF">
            <w:pPr>
              <w:pStyle w:val="182"/>
              <w:bidi w:val="0"/>
              <w:rPr>
                <w:color w:val="auto"/>
              </w:rPr>
            </w:pPr>
          </w:p>
        </w:tc>
      </w:tr>
      <w:tr w14:paraId="2FBA7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14:paraId="2B56B2A6">
            <w:pPr>
              <w:pStyle w:val="182"/>
              <w:bidi w:val="0"/>
              <w:rPr>
                <w:color w:val="auto"/>
              </w:rPr>
            </w:pPr>
            <w:r>
              <w:rPr>
                <w:color w:val="auto"/>
              </w:rPr>
              <w:t>4</w:t>
            </w:r>
          </w:p>
        </w:tc>
        <w:tc>
          <w:tcPr>
            <w:tcW w:w="2044" w:type="pct"/>
            <w:tcBorders>
              <w:top w:val="single" w:color="auto" w:sz="4" w:space="0"/>
              <w:left w:val="single" w:color="auto" w:sz="4" w:space="0"/>
              <w:bottom w:val="single" w:color="auto" w:sz="4" w:space="0"/>
              <w:right w:val="single" w:color="auto" w:sz="4" w:space="0"/>
            </w:tcBorders>
            <w:vAlign w:val="center"/>
          </w:tcPr>
          <w:p w14:paraId="4D1F97F0">
            <w:pPr>
              <w:pStyle w:val="182"/>
              <w:bidi w:val="0"/>
              <w:rPr>
                <w:color w:val="auto"/>
              </w:rPr>
            </w:pPr>
            <w:r>
              <w:rPr>
                <w:color w:val="auto"/>
              </w:rPr>
              <w:t>道路及硬化地面占地面积</w:t>
            </w:r>
          </w:p>
        </w:tc>
        <w:tc>
          <w:tcPr>
            <w:tcW w:w="758" w:type="pct"/>
            <w:tcBorders>
              <w:top w:val="single" w:color="auto" w:sz="4" w:space="0"/>
              <w:left w:val="single" w:color="auto" w:sz="4" w:space="0"/>
              <w:bottom w:val="single" w:color="auto" w:sz="4" w:space="0"/>
              <w:right w:val="single" w:color="auto" w:sz="4" w:space="0"/>
            </w:tcBorders>
            <w:vAlign w:val="center"/>
          </w:tcPr>
          <w:p w14:paraId="3C5278FC">
            <w:pPr>
              <w:pStyle w:val="182"/>
              <w:bidi w:val="0"/>
              <w:rPr>
                <w:color w:val="auto"/>
              </w:rPr>
            </w:pPr>
            <w:r>
              <w:rPr>
                <w:color w:val="auto"/>
              </w:rPr>
              <w:t>m</w:t>
            </w:r>
            <w:r>
              <w:rPr>
                <w:color w:val="auto"/>
                <w:vertAlign w:val="superscript"/>
              </w:rPr>
              <w:t>2</w:t>
            </w:r>
          </w:p>
        </w:tc>
        <w:tc>
          <w:tcPr>
            <w:tcW w:w="888" w:type="pct"/>
            <w:tcBorders>
              <w:top w:val="single" w:color="auto" w:sz="4" w:space="0"/>
              <w:left w:val="single" w:color="auto" w:sz="4" w:space="0"/>
              <w:bottom w:val="single" w:color="auto" w:sz="4" w:space="0"/>
              <w:right w:val="single" w:color="auto" w:sz="4" w:space="0"/>
            </w:tcBorders>
            <w:vAlign w:val="center"/>
          </w:tcPr>
          <w:p w14:paraId="59D57DD2">
            <w:pPr>
              <w:pStyle w:val="182"/>
              <w:bidi w:val="0"/>
              <w:rPr>
                <w:rFonts w:hint="default" w:eastAsia="宋体"/>
                <w:color w:val="auto"/>
                <w:lang w:val="en-US" w:eastAsia="zh-CN"/>
              </w:rPr>
            </w:pPr>
            <w:r>
              <w:rPr>
                <w:rFonts w:hint="eastAsia"/>
                <w:color w:val="auto"/>
                <w:lang w:val="en-US" w:eastAsia="zh-CN"/>
              </w:rPr>
              <w:t>800</w:t>
            </w:r>
          </w:p>
        </w:tc>
        <w:tc>
          <w:tcPr>
            <w:tcW w:w="764" w:type="pct"/>
            <w:tcBorders>
              <w:top w:val="single" w:color="auto" w:sz="4" w:space="0"/>
              <w:left w:val="single" w:color="auto" w:sz="4" w:space="0"/>
              <w:bottom w:val="single" w:color="auto" w:sz="4" w:space="0"/>
              <w:right w:val="single" w:color="auto" w:sz="4" w:space="0"/>
            </w:tcBorders>
            <w:vAlign w:val="center"/>
          </w:tcPr>
          <w:p w14:paraId="65D1CDE8">
            <w:pPr>
              <w:pStyle w:val="182"/>
              <w:bidi w:val="0"/>
              <w:rPr>
                <w:color w:val="auto"/>
              </w:rPr>
            </w:pPr>
          </w:p>
        </w:tc>
      </w:tr>
      <w:tr w14:paraId="1319B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14:paraId="6B392D3C">
            <w:pPr>
              <w:pStyle w:val="182"/>
              <w:bidi w:val="0"/>
              <w:rPr>
                <w:color w:val="auto"/>
              </w:rPr>
            </w:pPr>
            <w:r>
              <w:rPr>
                <w:color w:val="auto"/>
              </w:rPr>
              <w:t>5</w:t>
            </w:r>
          </w:p>
        </w:tc>
        <w:tc>
          <w:tcPr>
            <w:tcW w:w="2044" w:type="pct"/>
            <w:tcBorders>
              <w:top w:val="single" w:color="auto" w:sz="4" w:space="0"/>
              <w:left w:val="single" w:color="auto" w:sz="4" w:space="0"/>
              <w:bottom w:val="single" w:color="auto" w:sz="4" w:space="0"/>
              <w:right w:val="single" w:color="auto" w:sz="4" w:space="0"/>
            </w:tcBorders>
            <w:vAlign w:val="center"/>
          </w:tcPr>
          <w:p w14:paraId="0D42565D">
            <w:pPr>
              <w:pStyle w:val="182"/>
              <w:bidi w:val="0"/>
              <w:rPr>
                <w:rFonts w:hint="eastAsia" w:eastAsia="宋体"/>
                <w:color w:val="auto"/>
                <w:lang w:eastAsia="zh-CN"/>
              </w:rPr>
            </w:pPr>
            <w:r>
              <w:rPr>
                <w:color w:val="auto"/>
              </w:rPr>
              <w:t>建筑</w:t>
            </w:r>
            <w:r>
              <w:rPr>
                <w:rFonts w:hint="eastAsia"/>
                <w:color w:val="auto"/>
                <w:lang w:val="en-US" w:eastAsia="zh-CN"/>
              </w:rPr>
              <w:t>密度</w:t>
            </w:r>
          </w:p>
        </w:tc>
        <w:tc>
          <w:tcPr>
            <w:tcW w:w="758" w:type="pct"/>
            <w:tcBorders>
              <w:top w:val="single" w:color="auto" w:sz="4" w:space="0"/>
              <w:left w:val="single" w:color="auto" w:sz="4" w:space="0"/>
              <w:bottom w:val="single" w:color="auto" w:sz="4" w:space="0"/>
              <w:right w:val="single" w:color="auto" w:sz="4" w:space="0"/>
            </w:tcBorders>
            <w:vAlign w:val="center"/>
          </w:tcPr>
          <w:p w14:paraId="21247A15">
            <w:pPr>
              <w:pStyle w:val="182"/>
              <w:bidi w:val="0"/>
              <w:rPr>
                <w:color w:val="auto"/>
              </w:rPr>
            </w:pPr>
            <w:r>
              <w:rPr>
                <w:color w:val="auto"/>
              </w:rPr>
              <w:t>%</w:t>
            </w:r>
          </w:p>
        </w:tc>
        <w:tc>
          <w:tcPr>
            <w:tcW w:w="888" w:type="pct"/>
            <w:tcBorders>
              <w:top w:val="single" w:color="auto" w:sz="4" w:space="0"/>
              <w:left w:val="single" w:color="auto" w:sz="4" w:space="0"/>
              <w:bottom w:val="single" w:color="auto" w:sz="4" w:space="0"/>
              <w:right w:val="single" w:color="auto" w:sz="4" w:space="0"/>
            </w:tcBorders>
            <w:vAlign w:val="center"/>
          </w:tcPr>
          <w:p w14:paraId="7C23F702">
            <w:pPr>
              <w:pStyle w:val="182"/>
              <w:bidi w:val="0"/>
              <w:rPr>
                <w:rFonts w:hint="default" w:eastAsia="宋体"/>
                <w:color w:val="auto"/>
                <w:lang w:val="en-US" w:eastAsia="zh-CN"/>
              </w:rPr>
            </w:pPr>
            <w:r>
              <w:rPr>
                <w:rFonts w:hint="eastAsia"/>
                <w:color w:val="auto"/>
                <w:lang w:val="en-US" w:eastAsia="zh-CN"/>
              </w:rPr>
              <w:t>54</w:t>
            </w:r>
          </w:p>
        </w:tc>
        <w:tc>
          <w:tcPr>
            <w:tcW w:w="764" w:type="pct"/>
            <w:tcBorders>
              <w:top w:val="single" w:color="auto" w:sz="4" w:space="0"/>
              <w:left w:val="single" w:color="auto" w:sz="4" w:space="0"/>
              <w:bottom w:val="single" w:color="auto" w:sz="4" w:space="0"/>
              <w:right w:val="single" w:color="auto" w:sz="4" w:space="0"/>
            </w:tcBorders>
            <w:vAlign w:val="center"/>
          </w:tcPr>
          <w:p w14:paraId="7896753F">
            <w:pPr>
              <w:pStyle w:val="182"/>
              <w:bidi w:val="0"/>
              <w:rPr>
                <w:color w:val="auto"/>
              </w:rPr>
            </w:pPr>
          </w:p>
        </w:tc>
      </w:tr>
      <w:tr w14:paraId="15836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14:paraId="24E478D4">
            <w:pPr>
              <w:pStyle w:val="182"/>
              <w:bidi w:val="0"/>
              <w:rPr>
                <w:rFonts w:hint="eastAsia" w:eastAsia="宋体"/>
                <w:color w:val="auto"/>
                <w:lang w:eastAsia="zh-CN"/>
              </w:rPr>
            </w:pPr>
            <w:r>
              <w:rPr>
                <w:rFonts w:hint="eastAsia"/>
                <w:color w:val="auto"/>
                <w:lang w:val="en-US" w:eastAsia="zh-CN"/>
              </w:rPr>
              <w:t>6</w:t>
            </w:r>
          </w:p>
        </w:tc>
        <w:tc>
          <w:tcPr>
            <w:tcW w:w="2044" w:type="pct"/>
            <w:tcBorders>
              <w:top w:val="single" w:color="auto" w:sz="4" w:space="0"/>
              <w:left w:val="single" w:color="auto" w:sz="4" w:space="0"/>
              <w:bottom w:val="single" w:color="auto" w:sz="4" w:space="0"/>
              <w:right w:val="single" w:color="auto" w:sz="4" w:space="0"/>
            </w:tcBorders>
            <w:vAlign w:val="center"/>
          </w:tcPr>
          <w:p w14:paraId="40850BE7">
            <w:pPr>
              <w:pStyle w:val="182"/>
              <w:bidi w:val="0"/>
              <w:rPr>
                <w:color w:val="auto"/>
              </w:rPr>
            </w:pPr>
            <w:r>
              <w:rPr>
                <w:color w:val="auto"/>
              </w:rPr>
              <w:t>绿化面积</w:t>
            </w:r>
          </w:p>
        </w:tc>
        <w:tc>
          <w:tcPr>
            <w:tcW w:w="758" w:type="pct"/>
            <w:tcBorders>
              <w:top w:val="single" w:color="auto" w:sz="4" w:space="0"/>
              <w:left w:val="single" w:color="auto" w:sz="4" w:space="0"/>
              <w:bottom w:val="single" w:color="auto" w:sz="4" w:space="0"/>
              <w:right w:val="single" w:color="auto" w:sz="4" w:space="0"/>
            </w:tcBorders>
            <w:vAlign w:val="center"/>
          </w:tcPr>
          <w:p w14:paraId="5BD81CE6">
            <w:pPr>
              <w:pStyle w:val="182"/>
              <w:bidi w:val="0"/>
              <w:rPr>
                <w:color w:val="auto"/>
              </w:rPr>
            </w:pPr>
            <w:r>
              <w:rPr>
                <w:color w:val="auto"/>
              </w:rPr>
              <w:t>m</w:t>
            </w:r>
            <w:r>
              <w:rPr>
                <w:color w:val="auto"/>
                <w:vertAlign w:val="superscript"/>
              </w:rPr>
              <w:t>2</w:t>
            </w:r>
          </w:p>
        </w:tc>
        <w:tc>
          <w:tcPr>
            <w:tcW w:w="888" w:type="pct"/>
            <w:tcBorders>
              <w:top w:val="single" w:color="auto" w:sz="4" w:space="0"/>
              <w:left w:val="single" w:color="auto" w:sz="4" w:space="0"/>
              <w:bottom w:val="single" w:color="auto" w:sz="4" w:space="0"/>
              <w:right w:val="single" w:color="auto" w:sz="4" w:space="0"/>
            </w:tcBorders>
            <w:vAlign w:val="center"/>
          </w:tcPr>
          <w:p w14:paraId="3D0C4343">
            <w:pPr>
              <w:pStyle w:val="182"/>
              <w:bidi w:val="0"/>
              <w:rPr>
                <w:rFonts w:hint="default" w:eastAsia="宋体"/>
                <w:color w:val="auto"/>
                <w:lang w:val="en-US" w:eastAsia="zh-CN"/>
              </w:rPr>
            </w:pPr>
            <w:r>
              <w:rPr>
                <w:rFonts w:hint="eastAsia"/>
                <w:color w:val="auto"/>
                <w:lang w:val="en-US" w:eastAsia="zh-CN"/>
              </w:rPr>
              <w:t>500</w:t>
            </w:r>
          </w:p>
        </w:tc>
        <w:tc>
          <w:tcPr>
            <w:tcW w:w="764" w:type="pct"/>
            <w:tcBorders>
              <w:top w:val="single" w:color="auto" w:sz="4" w:space="0"/>
              <w:left w:val="single" w:color="auto" w:sz="4" w:space="0"/>
              <w:bottom w:val="single" w:color="auto" w:sz="4" w:space="0"/>
              <w:right w:val="single" w:color="auto" w:sz="4" w:space="0"/>
            </w:tcBorders>
            <w:vAlign w:val="center"/>
          </w:tcPr>
          <w:p w14:paraId="4923B717">
            <w:pPr>
              <w:pStyle w:val="182"/>
              <w:bidi w:val="0"/>
              <w:rPr>
                <w:color w:val="auto"/>
              </w:rPr>
            </w:pPr>
          </w:p>
        </w:tc>
      </w:tr>
      <w:tr w14:paraId="4F9F0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4" w:type="pct"/>
            <w:tcBorders>
              <w:top w:val="single" w:color="auto" w:sz="4" w:space="0"/>
              <w:left w:val="single" w:color="auto" w:sz="4" w:space="0"/>
              <w:bottom w:val="single" w:color="auto" w:sz="4" w:space="0"/>
              <w:right w:val="single" w:color="auto" w:sz="4" w:space="0"/>
            </w:tcBorders>
            <w:vAlign w:val="center"/>
          </w:tcPr>
          <w:p w14:paraId="69375BAA">
            <w:pPr>
              <w:pStyle w:val="182"/>
              <w:bidi w:val="0"/>
              <w:rPr>
                <w:rFonts w:hint="eastAsia" w:eastAsia="宋体"/>
                <w:color w:val="auto"/>
                <w:lang w:eastAsia="zh-CN"/>
              </w:rPr>
            </w:pPr>
            <w:r>
              <w:rPr>
                <w:rFonts w:hint="eastAsia"/>
                <w:color w:val="auto"/>
                <w:lang w:val="en-US" w:eastAsia="zh-CN"/>
              </w:rPr>
              <w:t>7</w:t>
            </w:r>
          </w:p>
        </w:tc>
        <w:tc>
          <w:tcPr>
            <w:tcW w:w="2044" w:type="pct"/>
            <w:tcBorders>
              <w:top w:val="single" w:color="auto" w:sz="4" w:space="0"/>
              <w:left w:val="single" w:color="auto" w:sz="4" w:space="0"/>
              <w:bottom w:val="single" w:color="auto" w:sz="4" w:space="0"/>
              <w:right w:val="single" w:color="auto" w:sz="4" w:space="0"/>
            </w:tcBorders>
            <w:vAlign w:val="center"/>
          </w:tcPr>
          <w:p w14:paraId="7BB88F65">
            <w:pPr>
              <w:pStyle w:val="182"/>
              <w:bidi w:val="0"/>
              <w:rPr>
                <w:color w:val="auto"/>
              </w:rPr>
            </w:pPr>
            <w:r>
              <w:rPr>
                <w:color w:val="auto"/>
              </w:rPr>
              <w:t>绿化率</w:t>
            </w:r>
          </w:p>
        </w:tc>
        <w:tc>
          <w:tcPr>
            <w:tcW w:w="758" w:type="pct"/>
            <w:tcBorders>
              <w:top w:val="single" w:color="auto" w:sz="4" w:space="0"/>
              <w:left w:val="single" w:color="auto" w:sz="4" w:space="0"/>
              <w:bottom w:val="single" w:color="auto" w:sz="4" w:space="0"/>
              <w:right w:val="single" w:color="auto" w:sz="4" w:space="0"/>
            </w:tcBorders>
            <w:vAlign w:val="center"/>
          </w:tcPr>
          <w:p w14:paraId="49D07C38">
            <w:pPr>
              <w:pStyle w:val="182"/>
              <w:bidi w:val="0"/>
              <w:rPr>
                <w:color w:val="auto"/>
              </w:rPr>
            </w:pPr>
            <w:r>
              <w:rPr>
                <w:rFonts w:hint="eastAsia"/>
                <w:color w:val="auto"/>
              </w:rPr>
              <w:t>%</w:t>
            </w:r>
          </w:p>
        </w:tc>
        <w:tc>
          <w:tcPr>
            <w:tcW w:w="888" w:type="pct"/>
            <w:tcBorders>
              <w:top w:val="single" w:color="auto" w:sz="4" w:space="0"/>
              <w:left w:val="single" w:color="auto" w:sz="4" w:space="0"/>
              <w:bottom w:val="single" w:color="auto" w:sz="4" w:space="0"/>
              <w:right w:val="single" w:color="auto" w:sz="4" w:space="0"/>
            </w:tcBorders>
            <w:vAlign w:val="center"/>
          </w:tcPr>
          <w:p w14:paraId="597283C2">
            <w:pPr>
              <w:pStyle w:val="182"/>
              <w:bidi w:val="0"/>
              <w:rPr>
                <w:rFonts w:hint="default" w:eastAsia="宋体"/>
                <w:color w:val="auto"/>
                <w:lang w:val="en-US" w:eastAsia="zh-CN"/>
              </w:rPr>
            </w:pPr>
            <w:r>
              <w:rPr>
                <w:rFonts w:hint="eastAsia"/>
                <w:color w:val="auto"/>
                <w:lang w:val="en-US" w:eastAsia="zh-CN"/>
              </w:rPr>
              <w:t>3.85</w:t>
            </w:r>
          </w:p>
        </w:tc>
        <w:tc>
          <w:tcPr>
            <w:tcW w:w="764" w:type="pct"/>
            <w:tcBorders>
              <w:top w:val="single" w:color="auto" w:sz="4" w:space="0"/>
              <w:left w:val="single" w:color="auto" w:sz="4" w:space="0"/>
              <w:bottom w:val="single" w:color="auto" w:sz="4" w:space="0"/>
              <w:right w:val="single" w:color="auto" w:sz="4" w:space="0"/>
            </w:tcBorders>
            <w:vAlign w:val="center"/>
          </w:tcPr>
          <w:p w14:paraId="1B8B21E8">
            <w:pPr>
              <w:pStyle w:val="182"/>
              <w:bidi w:val="0"/>
              <w:rPr>
                <w:color w:val="auto"/>
              </w:rPr>
            </w:pPr>
          </w:p>
        </w:tc>
      </w:tr>
    </w:tbl>
    <w:p w14:paraId="621EE187">
      <w:pPr>
        <w:pStyle w:val="5"/>
        <w:bidi w:val="0"/>
        <w:rPr>
          <w:color w:val="auto"/>
        </w:rPr>
      </w:pPr>
      <w:r>
        <w:rPr>
          <w:rFonts w:hint="eastAsia"/>
          <w:color w:val="auto"/>
        </w:rPr>
        <w:t>产品类型及规模</w:t>
      </w:r>
    </w:p>
    <w:p w14:paraId="5694C23C">
      <w:pPr>
        <w:bidi w:val="0"/>
        <w:rPr>
          <w:color w:val="auto"/>
        </w:rPr>
      </w:pPr>
      <w:r>
        <w:rPr>
          <w:rFonts w:hint="eastAsia"/>
          <w:color w:val="auto"/>
        </w:rPr>
        <w:t>本项目主要产品为</w:t>
      </w:r>
      <w:r>
        <w:rPr>
          <w:rFonts w:hint="eastAsia"/>
          <w:color w:val="auto"/>
          <w:lang w:val="en-US" w:eastAsia="zh-CN"/>
        </w:rPr>
        <w:t>再生</w:t>
      </w:r>
      <w:r>
        <w:rPr>
          <w:rFonts w:hint="eastAsia"/>
          <w:color w:val="auto"/>
        </w:rPr>
        <w:t>纤维素纤维。产品方案详见</w:t>
      </w:r>
      <w:r>
        <w:rPr>
          <w:rFonts w:hint="eastAsia"/>
          <w:color w:val="auto"/>
          <w:lang w:val="en-US" w:eastAsia="zh-CN"/>
        </w:rPr>
        <w:t>下表</w:t>
      </w:r>
      <w:r>
        <w:rPr>
          <w:rFonts w:hint="eastAsia"/>
          <w:color w:val="auto"/>
        </w:rPr>
        <w:t>。</w:t>
      </w:r>
    </w:p>
    <w:p w14:paraId="3999B25D">
      <w:pPr>
        <w:pStyle w:val="10"/>
        <w:bidi w:val="0"/>
        <w:ind w:firstLine="0"/>
        <w:rPr>
          <w:rFonts w:hint="eastAsia" w:ascii="Times New Roman" w:hAnsi="Times New Roman" w:eastAsia="宋体"/>
          <w:color w:val="auto"/>
        </w:rPr>
      </w:pPr>
      <w:r>
        <w:t xml:space="preserve">表 </w:t>
      </w:r>
      <w:r>
        <w:fldChar w:fldCharType="begin"/>
      </w:r>
      <w:r>
        <w:instrText xml:space="preserve"> STYLEREF 2 \s </w:instrText>
      </w:r>
      <w:r>
        <w:fldChar w:fldCharType="separate"/>
      </w:r>
      <w:r>
        <w:t>4.1</w:t>
      </w:r>
      <w:r>
        <w:fldChar w:fldCharType="end"/>
      </w:r>
      <w:r>
        <w:rPr>
          <w:rFonts w:hint="eastAsia"/>
          <w:lang w:eastAsia="zh-CN"/>
        </w:rPr>
        <w:t>-</w:t>
      </w:r>
      <w:r>
        <w:fldChar w:fldCharType="begin"/>
      </w:r>
      <w:r>
        <w:instrText xml:space="preserve"> SEQ 表 \* ARABIC \s 2 </w:instrText>
      </w:r>
      <w:r>
        <w:fldChar w:fldCharType="separate"/>
      </w:r>
      <w:r>
        <w:t>7</w:t>
      </w:r>
      <w:r>
        <w:fldChar w:fldCharType="end"/>
      </w:r>
      <w:r>
        <w:rPr>
          <w:rFonts w:hint="eastAsia" w:ascii="Times New Roman" w:hAnsi="Times New Roman" w:eastAsia="宋体"/>
          <w:color w:val="auto"/>
          <w:lang w:val="en-US" w:eastAsia="zh-CN"/>
        </w:rPr>
        <w:t xml:space="preserve"> </w:t>
      </w:r>
      <w:r>
        <w:rPr>
          <w:rFonts w:hint="eastAsia" w:ascii="Times New Roman" w:hAnsi="Times New Roman" w:eastAsia="宋体"/>
          <w:color w:val="auto"/>
        </w:rPr>
        <w:t>产品方案表</w:t>
      </w:r>
    </w:p>
    <w:tbl>
      <w:tblPr>
        <w:tblStyle w:val="3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3"/>
        <w:gridCol w:w="2404"/>
        <w:gridCol w:w="1496"/>
        <w:gridCol w:w="1648"/>
        <w:gridCol w:w="2449"/>
      </w:tblGrid>
      <w:tr w14:paraId="749A1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7" w:type="pct"/>
            <w:vAlign w:val="center"/>
          </w:tcPr>
          <w:p w14:paraId="676A9612">
            <w:pPr>
              <w:pStyle w:val="182"/>
              <w:bidi w:val="0"/>
              <w:rPr>
                <w:b/>
                <w:bCs/>
                <w:color w:val="auto"/>
              </w:rPr>
            </w:pPr>
            <w:r>
              <w:rPr>
                <w:b/>
                <w:bCs/>
                <w:color w:val="auto"/>
              </w:rPr>
              <w:t>序号</w:t>
            </w:r>
          </w:p>
        </w:tc>
        <w:tc>
          <w:tcPr>
            <w:tcW w:w="1335" w:type="pct"/>
            <w:vAlign w:val="center"/>
          </w:tcPr>
          <w:p w14:paraId="56873700">
            <w:pPr>
              <w:pStyle w:val="182"/>
              <w:bidi w:val="0"/>
              <w:rPr>
                <w:b/>
                <w:bCs/>
                <w:color w:val="auto"/>
              </w:rPr>
            </w:pPr>
            <w:r>
              <w:rPr>
                <w:b/>
                <w:bCs/>
                <w:color w:val="auto"/>
              </w:rPr>
              <w:t>名称</w:t>
            </w:r>
          </w:p>
        </w:tc>
        <w:tc>
          <w:tcPr>
            <w:tcW w:w="831" w:type="pct"/>
            <w:vAlign w:val="center"/>
          </w:tcPr>
          <w:p w14:paraId="7C82F821">
            <w:pPr>
              <w:pStyle w:val="182"/>
              <w:bidi w:val="0"/>
              <w:rPr>
                <w:b/>
                <w:bCs/>
                <w:color w:val="auto"/>
              </w:rPr>
            </w:pPr>
            <w:r>
              <w:rPr>
                <w:b/>
                <w:bCs/>
                <w:color w:val="auto"/>
              </w:rPr>
              <w:t>单位</w:t>
            </w:r>
          </w:p>
        </w:tc>
        <w:tc>
          <w:tcPr>
            <w:tcW w:w="915" w:type="pct"/>
            <w:vAlign w:val="center"/>
          </w:tcPr>
          <w:p w14:paraId="1C0BF5F4">
            <w:pPr>
              <w:pStyle w:val="182"/>
              <w:bidi w:val="0"/>
              <w:rPr>
                <w:b/>
                <w:bCs/>
                <w:color w:val="auto"/>
              </w:rPr>
            </w:pPr>
            <w:r>
              <w:rPr>
                <w:b/>
                <w:bCs/>
                <w:color w:val="auto"/>
              </w:rPr>
              <w:t>产量</w:t>
            </w:r>
          </w:p>
        </w:tc>
        <w:tc>
          <w:tcPr>
            <w:tcW w:w="1360" w:type="pct"/>
            <w:vAlign w:val="center"/>
          </w:tcPr>
          <w:p w14:paraId="6B9920C8">
            <w:pPr>
              <w:pStyle w:val="182"/>
              <w:bidi w:val="0"/>
              <w:rPr>
                <w:b/>
                <w:bCs/>
                <w:color w:val="auto"/>
              </w:rPr>
            </w:pPr>
            <w:r>
              <w:rPr>
                <w:b/>
                <w:bCs/>
                <w:color w:val="auto"/>
              </w:rPr>
              <w:t>备注</w:t>
            </w:r>
          </w:p>
        </w:tc>
      </w:tr>
      <w:tr w14:paraId="0D17E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trPr>
        <w:tc>
          <w:tcPr>
            <w:tcW w:w="557" w:type="pct"/>
            <w:vAlign w:val="center"/>
          </w:tcPr>
          <w:p w14:paraId="7CE31799">
            <w:pPr>
              <w:pStyle w:val="182"/>
              <w:bidi w:val="0"/>
              <w:rPr>
                <w:color w:val="auto"/>
              </w:rPr>
            </w:pPr>
            <w:r>
              <w:rPr>
                <w:color w:val="auto"/>
              </w:rPr>
              <w:t>1</w:t>
            </w:r>
          </w:p>
        </w:tc>
        <w:tc>
          <w:tcPr>
            <w:tcW w:w="1335" w:type="pct"/>
            <w:vAlign w:val="center"/>
          </w:tcPr>
          <w:p w14:paraId="2A720C69">
            <w:pPr>
              <w:pStyle w:val="182"/>
              <w:bidi w:val="0"/>
              <w:rPr>
                <w:color w:val="auto"/>
              </w:rPr>
            </w:pPr>
            <w:r>
              <w:rPr>
                <w:rFonts w:hint="eastAsia"/>
                <w:color w:val="auto"/>
                <w:lang w:val="en-US" w:eastAsia="zh-CN"/>
              </w:rPr>
              <w:t>再生</w:t>
            </w:r>
            <w:r>
              <w:rPr>
                <w:color w:val="auto"/>
              </w:rPr>
              <w:t>纤维素纤维</w:t>
            </w:r>
          </w:p>
        </w:tc>
        <w:tc>
          <w:tcPr>
            <w:tcW w:w="831" w:type="pct"/>
            <w:vAlign w:val="center"/>
          </w:tcPr>
          <w:p w14:paraId="1A1F08FD">
            <w:pPr>
              <w:pStyle w:val="182"/>
              <w:bidi w:val="0"/>
              <w:rPr>
                <w:color w:val="auto"/>
              </w:rPr>
            </w:pPr>
            <w:r>
              <w:rPr>
                <w:color w:val="auto"/>
              </w:rPr>
              <w:t>吨</w:t>
            </w:r>
          </w:p>
        </w:tc>
        <w:tc>
          <w:tcPr>
            <w:tcW w:w="915" w:type="pct"/>
            <w:vAlign w:val="center"/>
          </w:tcPr>
          <w:p w14:paraId="17C9CEF4">
            <w:pPr>
              <w:pStyle w:val="182"/>
              <w:bidi w:val="0"/>
              <w:rPr>
                <w:rFonts w:hint="default" w:eastAsia="宋体"/>
                <w:color w:val="auto"/>
                <w:lang w:val="en-US" w:eastAsia="zh-CN"/>
              </w:rPr>
            </w:pPr>
            <w:r>
              <w:rPr>
                <w:rFonts w:hint="eastAsia"/>
                <w:color w:val="auto"/>
                <w:lang w:val="en-US" w:eastAsia="zh-CN"/>
              </w:rPr>
              <w:t>1000</w:t>
            </w:r>
          </w:p>
        </w:tc>
        <w:tc>
          <w:tcPr>
            <w:tcW w:w="1360" w:type="pct"/>
            <w:vAlign w:val="center"/>
          </w:tcPr>
          <w:p w14:paraId="5784AADD">
            <w:pPr>
              <w:pStyle w:val="182"/>
              <w:bidi w:val="0"/>
              <w:rPr>
                <w:rFonts w:hint="default"/>
                <w:color w:val="auto"/>
                <w:lang w:val="en-US"/>
              </w:rPr>
            </w:pPr>
            <w:r>
              <w:rPr>
                <w:rFonts w:hint="eastAsia"/>
                <w:color w:val="auto"/>
                <w:lang w:val="en-US" w:eastAsia="zh-CN"/>
              </w:rPr>
              <w:t>自用</w:t>
            </w:r>
          </w:p>
        </w:tc>
      </w:tr>
    </w:tbl>
    <w:p w14:paraId="5FE58A42">
      <w:pPr>
        <w:pStyle w:val="5"/>
        <w:bidi w:val="0"/>
        <w:rPr>
          <w:color w:val="auto"/>
        </w:rPr>
      </w:pPr>
      <w:r>
        <w:rPr>
          <w:rFonts w:hint="eastAsia"/>
          <w:color w:val="auto"/>
        </w:rPr>
        <w:t>主要原辅材料及能源消耗</w:t>
      </w:r>
    </w:p>
    <w:p w14:paraId="10D5C126">
      <w:pPr>
        <w:pStyle w:val="6"/>
        <w:bidi w:val="0"/>
        <w:rPr>
          <w:rFonts w:hint="eastAsia"/>
        </w:rPr>
      </w:pPr>
      <w:r>
        <w:rPr>
          <w:rFonts w:hint="eastAsia"/>
        </w:rPr>
        <w:t>原辅材料及能源消耗量</w:t>
      </w:r>
    </w:p>
    <w:p w14:paraId="2CEC1902">
      <w:pPr>
        <w:bidi w:val="0"/>
        <w:rPr>
          <w:rFonts w:hint="eastAsia" w:eastAsia="宋体"/>
          <w:color w:val="auto"/>
          <w:lang w:val="en-US" w:eastAsia="zh-CN"/>
        </w:rPr>
      </w:pPr>
      <w:r>
        <w:rPr>
          <w:rFonts w:hint="eastAsia"/>
          <w:color w:val="auto"/>
        </w:rPr>
        <w:t>原辅材料及能源消耗量</w:t>
      </w:r>
      <w:r>
        <w:rPr>
          <w:rFonts w:hint="eastAsia"/>
          <w:color w:val="auto"/>
          <w:lang w:val="en-US" w:eastAsia="zh-CN"/>
        </w:rPr>
        <w:t>见下表。</w:t>
      </w:r>
    </w:p>
    <w:p w14:paraId="58929261">
      <w:pPr>
        <w:pStyle w:val="10"/>
        <w:bidi w:val="0"/>
        <w:ind w:firstLine="0"/>
        <w:rPr>
          <w:rFonts w:hint="eastAsia" w:ascii="Times New Roman" w:hAnsi="Times New Roman" w:eastAsia="宋体"/>
          <w:color w:val="auto"/>
        </w:rPr>
      </w:pPr>
      <w:r>
        <w:t xml:space="preserve">表 </w:t>
      </w:r>
      <w:r>
        <w:fldChar w:fldCharType="begin"/>
      </w:r>
      <w:r>
        <w:instrText xml:space="preserve"> STYLEREF 2 \s </w:instrText>
      </w:r>
      <w:r>
        <w:fldChar w:fldCharType="separate"/>
      </w:r>
      <w:r>
        <w:t>4.1</w:t>
      </w:r>
      <w:r>
        <w:fldChar w:fldCharType="end"/>
      </w:r>
      <w:r>
        <w:rPr>
          <w:rFonts w:hint="eastAsia"/>
          <w:lang w:eastAsia="zh-CN"/>
        </w:rPr>
        <w:t>-</w:t>
      </w:r>
      <w:r>
        <w:fldChar w:fldCharType="begin"/>
      </w:r>
      <w:r>
        <w:instrText xml:space="preserve"> SEQ 表 \* ARABIC \s 2 </w:instrText>
      </w:r>
      <w:r>
        <w:fldChar w:fldCharType="separate"/>
      </w:r>
      <w:r>
        <w:t>8</w:t>
      </w:r>
      <w:r>
        <w:fldChar w:fldCharType="end"/>
      </w:r>
      <w:r>
        <w:rPr>
          <w:rFonts w:hint="eastAsia" w:ascii="Times New Roman" w:hAnsi="Times New Roman" w:eastAsia="宋体"/>
          <w:color w:val="auto"/>
          <w:lang w:val="en-US" w:eastAsia="zh-CN"/>
        </w:rPr>
        <w:t xml:space="preserve"> </w:t>
      </w:r>
      <w:r>
        <w:rPr>
          <w:rFonts w:hint="eastAsia" w:ascii="Times New Roman" w:hAnsi="Times New Roman" w:eastAsia="宋体"/>
          <w:color w:val="auto"/>
        </w:rPr>
        <w:t xml:space="preserve"> 工程原辅材料及能源消耗一览表</w:t>
      </w:r>
    </w:p>
    <w:tbl>
      <w:tblPr>
        <w:tblStyle w:val="3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447"/>
        <w:gridCol w:w="816"/>
        <w:gridCol w:w="1393"/>
        <w:gridCol w:w="1393"/>
        <w:gridCol w:w="816"/>
        <w:gridCol w:w="1341"/>
        <w:gridCol w:w="1368"/>
      </w:tblGrid>
      <w:tr w14:paraId="377C5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6" w:type="pct"/>
            <w:vAlign w:val="center"/>
          </w:tcPr>
          <w:p w14:paraId="32ED9F92">
            <w:pPr>
              <w:pStyle w:val="182"/>
              <w:bidi w:val="0"/>
              <w:rPr>
                <w:b w:val="0"/>
                <w:bCs w:val="0"/>
                <w:color w:val="auto"/>
                <w:u w:val="none"/>
              </w:rPr>
            </w:pPr>
            <w:r>
              <w:rPr>
                <w:rFonts w:hint="eastAsia"/>
                <w:b w:val="0"/>
                <w:bCs w:val="0"/>
                <w:color w:val="auto"/>
                <w:u w:val="none"/>
              </w:rPr>
              <w:t>序号</w:t>
            </w:r>
          </w:p>
        </w:tc>
        <w:tc>
          <w:tcPr>
            <w:tcW w:w="821" w:type="pct"/>
            <w:vAlign w:val="center"/>
          </w:tcPr>
          <w:p w14:paraId="7F0C48BE">
            <w:pPr>
              <w:pStyle w:val="182"/>
              <w:bidi w:val="0"/>
              <w:rPr>
                <w:b w:val="0"/>
                <w:bCs w:val="0"/>
                <w:color w:val="auto"/>
                <w:u w:val="none"/>
              </w:rPr>
            </w:pPr>
            <w:r>
              <w:rPr>
                <w:rFonts w:hint="eastAsia"/>
                <w:b w:val="0"/>
                <w:bCs w:val="0"/>
                <w:color w:val="auto"/>
                <w:u w:val="none"/>
              </w:rPr>
              <w:t>名称</w:t>
            </w:r>
          </w:p>
        </w:tc>
        <w:tc>
          <w:tcPr>
            <w:tcW w:w="347" w:type="pct"/>
            <w:vAlign w:val="center"/>
          </w:tcPr>
          <w:p w14:paraId="48E2E672">
            <w:pPr>
              <w:pStyle w:val="182"/>
              <w:bidi w:val="0"/>
              <w:rPr>
                <w:b w:val="0"/>
                <w:bCs w:val="0"/>
                <w:color w:val="auto"/>
                <w:u w:val="none"/>
              </w:rPr>
            </w:pPr>
            <w:r>
              <w:rPr>
                <w:rFonts w:hint="eastAsia"/>
                <w:b w:val="0"/>
                <w:bCs w:val="0"/>
                <w:color w:val="auto"/>
                <w:u w:val="none"/>
              </w:rPr>
              <w:t>单位</w:t>
            </w:r>
          </w:p>
        </w:tc>
        <w:tc>
          <w:tcPr>
            <w:tcW w:w="791" w:type="pct"/>
            <w:vAlign w:val="center"/>
          </w:tcPr>
          <w:p w14:paraId="3BE0EB49">
            <w:pPr>
              <w:pStyle w:val="182"/>
              <w:bidi w:val="0"/>
              <w:rPr>
                <w:b w:val="0"/>
                <w:bCs w:val="0"/>
                <w:color w:val="auto"/>
                <w:u w:val="none"/>
              </w:rPr>
            </w:pPr>
            <w:r>
              <w:rPr>
                <w:rFonts w:hint="eastAsia"/>
                <w:b w:val="0"/>
                <w:bCs w:val="0"/>
                <w:color w:val="auto"/>
                <w:u w:val="none"/>
              </w:rPr>
              <w:t>吨产品消耗</w:t>
            </w:r>
          </w:p>
        </w:tc>
        <w:tc>
          <w:tcPr>
            <w:tcW w:w="791" w:type="pct"/>
            <w:vAlign w:val="center"/>
          </w:tcPr>
          <w:p w14:paraId="47C86B8D">
            <w:pPr>
              <w:pStyle w:val="182"/>
              <w:bidi w:val="0"/>
              <w:rPr>
                <w:b w:val="0"/>
                <w:bCs w:val="0"/>
                <w:color w:val="auto"/>
                <w:u w:val="none"/>
              </w:rPr>
            </w:pPr>
            <w:r>
              <w:rPr>
                <w:rFonts w:hint="eastAsia"/>
                <w:b w:val="0"/>
                <w:bCs w:val="0"/>
                <w:color w:val="auto"/>
                <w:u w:val="none"/>
              </w:rPr>
              <w:t>年用量</w:t>
            </w:r>
          </w:p>
        </w:tc>
        <w:tc>
          <w:tcPr>
            <w:tcW w:w="456" w:type="pct"/>
            <w:vAlign w:val="center"/>
          </w:tcPr>
          <w:p w14:paraId="15AD81EC">
            <w:pPr>
              <w:pStyle w:val="182"/>
              <w:bidi w:val="0"/>
              <w:rPr>
                <w:rFonts w:hint="eastAsia"/>
                <w:b w:val="0"/>
                <w:bCs w:val="0"/>
                <w:color w:val="auto"/>
                <w:u w:val="none"/>
                <w:lang w:val="en-US" w:eastAsia="zh-CN"/>
              </w:rPr>
            </w:pPr>
            <w:r>
              <w:rPr>
                <w:rFonts w:hint="eastAsia"/>
                <w:b w:val="0"/>
                <w:bCs w:val="0"/>
                <w:color w:val="auto"/>
                <w:u w:val="none"/>
                <w:lang w:val="en-US" w:eastAsia="zh-CN"/>
              </w:rPr>
              <w:t>来源</w:t>
            </w:r>
          </w:p>
        </w:tc>
        <w:tc>
          <w:tcPr>
            <w:tcW w:w="777" w:type="pct"/>
            <w:vAlign w:val="center"/>
          </w:tcPr>
          <w:p w14:paraId="5EC93139">
            <w:pPr>
              <w:pStyle w:val="182"/>
              <w:bidi w:val="0"/>
              <w:rPr>
                <w:rFonts w:hint="eastAsia"/>
                <w:b w:val="0"/>
                <w:bCs w:val="0"/>
                <w:color w:val="auto"/>
                <w:u w:val="none"/>
                <w:lang w:val="en-US" w:eastAsia="zh-CN"/>
              </w:rPr>
            </w:pPr>
            <w:r>
              <w:rPr>
                <w:rFonts w:hint="eastAsia"/>
                <w:b w:val="0"/>
                <w:bCs w:val="0"/>
                <w:color w:val="auto"/>
                <w:u w:val="none"/>
                <w:lang w:val="en-US" w:eastAsia="zh-CN"/>
              </w:rPr>
              <w:t>最大储存量（t）</w:t>
            </w:r>
          </w:p>
        </w:tc>
        <w:tc>
          <w:tcPr>
            <w:tcW w:w="777" w:type="pct"/>
            <w:vAlign w:val="center"/>
          </w:tcPr>
          <w:p w14:paraId="7075E254">
            <w:pPr>
              <w:pStyle w:val="182"/>
              <w:bidi w:val="0"/>
              <w:rPr>
                <w:rFonts w:hint="default"/>
                <w:b w:val="0"/>
                <w:bCs w:val="0"/>
                <w:color w:val="auto"/>
                <w:u w:val="none"/>
                <w:lang w:val="en-US" w:eastAsia="zh-CN"/>
              </w:rPr>
            </w:pPr>
            <w:r>
              <w:rPr>
                <w:rFonts w:hint="eastAsia"/>
                <w:b w:val="0"/>
                <w:bCs w:val="0"/>
                <w:color w:val="auto"/>
                <w:u w:val="none"/>
                <w:lang w:val="en-US" w:eastAsia="zh-CN"/>
              </w:rPr>
              <w:t>包装方式</w:t>
            </w:r>
          </w:p>
        </w:tc>
      </w:tr>
      <w:tr w14:paraId="6B345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6" w:type="pct"/>
            <w:vAlign w:val="center"/>
          </w:tcPr>
          <w:p w14:paraId="6E55FD92">
            <w:pPr>
              <w:pStyle w:val="182"/>
              <w:bidi w:val="0"/>
              <w:rPr>
                <w:b w:val="0"/>
                <w:bCs w:val="0"/>
                <w:color w:val="auto"/>
                <w:u w:val="none"/>
              </w:rPr>
            </w:pPr>
            <w:r>
              <w:rPr>
                <w:rFonts w:hint="eastAsia"/>
                <w:b w:val="0"/>
                <w:bCs w:val="0"/>
                <w:color w:val="auto"/>
                <w:u w:val="none"/>
              </w:rPr>
              <w:t>1</w:t>
            </w:r>
          </w:p>
        </w:tc>
        <w:tc>
          <w:tcPr>
            <w:tcW w:w="821" w:type="pct"/>
            <w:vAlign w:val="center"/>
          </w:tcPr>
          <w:p w14:paraId="73EB2058">
            <w:pPr>
              <w:bidi w:val="0"/>
              <w:ind w:firstLine="482" w:firstLineChars="200"/>
              <w:rPr>
                <w:rFonts w:hint="eastAsia" w:eastAsia="宋体"/>
                <w:b w:val="0"/>
                <w:bCs w:val="0"/>
                <w:color w:val="auto"/>
                <w:u w:val="none"/>
                <w:lang w:eastAsia="zh-CN"/>
              </w:rPr>
            </w:pPr>
            <w:r>
              <w:rPr>
                <w:rFonts w:hint="eastAsia"/>
                <w:b/>
                <w:bCs/>
                <w:color w:val="auto"/>
                <w:u w:val="single"/>
                <w:lang w:val="en-US" w:eastAsia="zh-CN"/>
              </w:rPr>
              <w:t>*</w:t>
            </w:r>
          </w:p>
        </w:tc>
        <w:tc>
          <w:tcPr>
            <w:tcW w:w="347" w:type="pct"/>
            <w:vAlign w:val="center"/>
          </w:tcPr>
          <w:p w14:paraId="74C84B20">
            <w:pPr>
              <w:bidi w:val="0"/>
              <w:ind w:firstLine="482" w:firstLineChars="200"/>
              <w:rPr>
                <w:b w:val="0"/>
                <w:bCs w:val="0"/>
                <w:color w:val="auto"/>
                <w:u w:val="none"/>
              </w:rPr>
            </w:pPr>
            <w:r>
              <w:rPr>
                <w:rFonts w:hint="eastAsia"/>
                <w:b/>
                <w:bCs/>
                <w:color w:val="auto"/>
                <w:u w:val="single"/>
                <w:lang w:val="en-US" w:eastAsia="zh-CN"/>
              </w:rPr>
              <w:t>*</w:t>
            </w:r>
          </w:p>
        </w:tc>
        <w:tc>
          <w:tcPr>
            <w:tcW w:w="791" w:type="pct"/>
            <w:vAlign w:val="center"/>
          </w:tcPr>
          <w:p w14:paraId="7634D61E">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791" w:type="pct"/>
            <w:vAlign w:val="center"/>
          </w:tcPr>
          <w:p w14:paraId="468133B9">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456" w:type="pct"/>
            <w:vAlign w:val="center"/>
          </w:tcPr>
          <w:p w14:paraId="06363EA6">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777" w:type="pct"/>
            <w:vAlign w:val="center"/>
          </w:tcPr>
          <w:p w14:paraId="3843139B">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77" w:type="pct"/>
            <w:vAlign w:val="center"/>
          </w:tcPr>
          <w:p w14:paraId="2F5A2E3E">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r>
      <w:tr w14:paraId="02458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6" w:type="pct"/>
            <w:vAlign w:val="center"/>
          </w:tcPr>
          <w:p w14:paraId="4A16C37B">
            <w:pPr>
              <w:pStyle w:val="182"/>
              <w:bidi w:val="0"/>
              <w:rPr>
                <w:b w:val="0"/>
                <w:bCs w:val="0"/>
                <w:color w:val="auto"/>
                <w:u w:val="none"/>
              </w:rPr>
            </w:pPr>
            <w:r>
              <w:rPr>
                <w:rFonts w:hint="eastAsia"/>
                <w:b w:val="0"/>
                <w:bCs w:val="0"/>
                <w:color w:val="auto"/>
                <w:u w:val="none"/>
              </w:rPr>
              <w:t>2</w:t>
            </w:r>
          </w:p>
        </w:tc>
        <w:tc>
          <w:tcPr>
            <w:tcW w:w="821" w:type="pct"/>
            <w:vAlign w:val="center"/>
          </w:tcPr>
          <w:p w14:paraId="70997F72">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347" w:type="pct"/>
            <w:vAlign w:val="center"/>
          </w:tcPr>
          <w:p w14:paraId="69DB477D">
            <w:pPr>
              <w:bidi w:val="0"/>
              <w:ind w:firstLine="482" w:firstLineChars="200"/>
              <w:rPr>
                <w:b w:val="0"/>
                <w:bCs w:val="0"/>
                <w:color w:val="auto"/>
                <w:u w:val="none"/>
              </w:rPr>
            </w:pPr>
            <w:r>
              <w:rPr>
                <w:rFonts w:hint="eastAsia"/>
                <w:b/>
                <w:bCs/>
                <w:color w:val="auto"/>
                <w:u w:val="single"/>
                <w:lang w:val="en-US" w:eastAsia="zh-CN"/>
              </w:rPr>
              <w:t>*</w:t>
            </w:r>
          </w:p>
        </w:tc>
        <w:tc>
          <w:tcPr>
            <w:tcW w:w="791" w:type="pct"/>
            <w:vAlign w:val="center"/>
          </w:tcPr>
          <w:p w14:paraId="431E5623">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791" w:type="pct"/>
            <w:vAlign w:val="center"/>
          </w:tcPr>
          <w:p w14:paraId="34A4DF7D">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456" w:type="pct"/>
            <w:vAlign w:val="center"/>
          </w:tcPr>
          <w:p w14:paraId="27C7CED1">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77" w:type="pct"/>
            <w:vAlign w:val="center"/>
          </w:tcPr>
          <w:p w14:paraId="12E9CC14">
            <w:pPr>
              <w:keepNext w:val="0"/>
              <w:keepLines w:val="0"/>
              <w:widowControl/>
              <w:suppressLineNumbers w:val="0"/>
              <w:bidi w:val="0"/>
              <w:ind w:firstLine="482" w:firstLineChars="200"/>
              <w:jc w:val="center"/>
              <w:textAlignment w:val="auto"/>
              <w:rPr>
                <w:rFonts w:hint="default"/>
                <w:b w:val="0"/>
                <w:bCs w:val="0"/>
                <w:color w:val="auto"/>
                <w:u w:val="none"/>
                <w:lang w:val="en-US" w:eastAsia="zh-CN"/>
              </w:rPr>
            </w:pPr>
            <w:r>
              <w:rPr>
                <w:rFonts w:hint="eastAsia"/>
                <w:b/>
                <w:bCs/>
                <w:color w:val="auto"/>
                <w:u w:val="single"/>
                <w:lang w:val="en-US" w:eastAsia="zh-CN"/>
              </w:rPr>
              <w:t>*</w:t>
            </w:r>
          </w:p>
        </w:tc>
        <w:tc>
          <w:tcPr>
            <w:tcW w:w="777" w:type="pct"/>
            <w:vAlign w:val="center"/>
          </w:tcPr>
          <w:p w14:paraId="7117FA03">
            <w:pPr>
              <w:keepNext w:val="0"/>
              <w:keepLines w:val="0"/>
              <w:widowControl/>
              <w:suppressLineNumbers w:val="0"/>
              <w:bidi w:val="0"/>
              <w:ind w:firstLine="482" w:firstLineChars="200"/>
              <w:jc w:val="center"/>
              <w:textAlignment w:val="auto"/>
              <w:rPr>
                <w:rFonts w:hint="default"/>
                <w:b w:val="0"/>
                <w:bCs w:val="0"/>
                <w:color w:val="auto"/>
                <w:u w:val="none"/>
                <w:lang w:val="en-US" w:eastAsia="zh-CN"/>
              </w:rPr>
            </w:pPr>
            <w:r>
              <w:rPr>
                <w:rFonts w:hint="eastAsia"/>
                <w:b/>
                <w:bCs/>
                <w:color w:val="auto"/>
                <w:u w:val="single"/>
                <w:lang w:val="en-US" w:eastAsia="zh-CN"/>
              </w:rPr>
              <w:t>*</w:t>
            </w:r>
          </w:p>
        </w:tc>
      </w:tr>
      <w:tr w14:paraId="44205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6" w:type="pct"/>
            <w:vAlign w:val="center"/>
          </w:tcPr>
          <w:p w14:paraId="5215E408">
            <w:pPr>
              <w:pStyle w:val="182"/>
              <w:bidi w:val="0"/>
              <w:jc w:val="center"/>
              <w:rPr>
                <w:b w:val="0"/>
                <w:bCs w:val="0"/>
                <w:color w:val="auto"/>
                <w:u w:val="none"/>
              </w:rPr>
            </w:pPr>
            <w:r>
              <w:rPr>
                <w:rFonts w:hint="eastAsia"/>
                <w:b w:val="0"/>
                <w:bCs w:val="0"/>
                <w:color w:val="auto"/>
                <w:u w:val="none"/>
              </w:rPr>
              <w:t>3</w:t>
            </w:r>
          </w:p>
        </w:tc>
        <w:tc>
          <w:tcPr>
            <w:tcW w:w="821" w:type="pct"/>
            <w:vAlign w:val="center"/>
          </w:tcPr>
          <w:p w14:paraId="486BB7F3">
            <w:pPr>
              <w:bidi w:val="0"/>
              <w:ind w:firstLine="482" w:firstLineChars="200"/>
              <w:jc w:val="center"/>
              <w:rPr>
                <w:rFonts w:hint="eastAsia" w:eastAsia="宋体"/>
                <w:b w:val="0"/>
                <w:bCs w:val="0"/>
                <w:color w:val="auto"/>
                <w:u w:val="none"/>
                <w:lang w:val="en-US" w:eastAsia="zh-CN"/>
              </w:rPr>
            </w:pPr>
            <w:r>
              <w:rPr>
                <w:rFonts w:hint="eastAsia"/>
                <w:b/>
                <w:bCs/>
                <w:color w:val="auto"/>
                <w:u w:val="single"/>
                <w:lang w:val="en-US" w:eastAsia="zh-CN"/>
              </w:rPr>
              <w:t>*</w:t>
            </w:r>
          </w:p>
        </w:tc>
        <w:tc>
          <w:tcPr>
            <w:tcW w:w="347" w:type="pct"/>
            <w:vAlign w:val="center"/>
          </w:tcPr>
          <w:p w14:paraId="613B3EAC">
            <w:pPr>
              <w:bidi w:val="0"/>
              <w:ind w:firstLine="482" w:firstLineChars="200"/>
              <w:jc w:val="center"/>
              <w:rPr>
                <w:b w:val="0"/>
                <w:bCs w:val="0"/>
                <w:color w:val="auto"/>
                <w:u w:val="none"/>
              </w:rPr>
            </w:pPr>
            <w:r>
              <w:rPr>
                <w:rFonts w:hint="eastAsia"/>
                <w:b/>
                <w:bCs/>
                <w:color w:val="auto"/>
                <w:u w:val="single"/>
                <w:lang w:val="en-US" w:eastAsia="zh-CN"/>
              </w:rPr>
              <w:t>*</w:t>
            </w:r>
          </w:p>
        </w:tc>
        <w:tc>
          <w:tcPr>
            <w:tcW w:w="791" w:type="pct"/>
            <w:vAlign w:val="center"/>
          </w:tcPr>
          <w:p w14:paraId="47452C2A">
            <w:pPr>
              <w:keepNext w:val="0"/>
              <w:keepLines w:val="0"/>
              <w:widowControl/>
              <w:suppressLineNumbers w:val="0"/>
              <w:bidi w:val="0"/>
              <w:ind w:firstLine="482" w:firstLineChars="200"/>
              <w:jc w:val="center"/>
              <w:textAlignment w:val="auto"/>
              <w:rPr>
                <w:rFonts w:hint="default"/>
                <w:b w:val="0"/>
                <w:bCs w:val="0"/>
                <w:color w:val="auto"/>
                <w:u w:val="none"/>
                <w:lang w:val="en-US" w:eastAsia="zh-CN"/>
              </w:rPr>
            </w:pPr>
            <w:r>
              <w:rPr>
                <w:rFonts w:hint="eastAsia"/>
                <w:b/>
                <w:bCs/>
                <w:color w:val="auto"/>
                <w:u w:val="single"/>
                <w:lang w:val="en-US" w:eastAsia="zh-CN"/>
              </w:rPr>
              <w:t>*</w:t>
            </w:r>
          </w:p>
        </w:tc>
        <w:tc>
          <w:tcPr>
            <w:tcW w:w="791" w:type="pct"/>
            <w:vAlign w:val="center"/>
          </w:tcPr>
          <w:p w14:paraId="018342C5">
            <w:pPr>
              <w:keepNext w:val="0"/>
              <w:keepLines w:val="0"/>
              <w:widowControl/>
              <w:suppressLineNumbers w:val="0"/>
              <w:bidi w:val="0"/>
              <w:ind w:firstLine="482" w:firstLineChars="200"/>
              <w:jc w:val="center"/>
              <w:textAlignment w:val="auto"/>
              <w:rPr>
                <w:rFonts w:hint="default"/>
                <w:b w:val="0"/>
                <w:bCs w:val="0"/>
                <w:color w:val="auto"/>
                <w:u w:val="none"/>
                <w:lang w:val="en-US" w:eastAsia="zh-CN"/>
              </w:rPr>
            </w:pPr>
            <w:r>
              <w:rPr>
                <w:rFonts w:hint="eastAsia"/>
                <w:b/>
                <w:bCs/>
                <w:color w:val="auto"/>
                <w:u w:val="single"/>
                <w:lang w:val="en-US" w:eastAsia="zh-CN"/>
              </w:rPr>
              <w:t>*</w:t>
            </w:r>
          </w:p>
        </w:tc>
        <w:tc>
          <w:tcPr>
            <w:tcW w:w="456" w:type="pct"/>
            <w:vAlign w:val="center"/>
          </w:tcPr>
          <w:p w14:paraId="159CD2ED">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77" w:type="pct"/>
            <w:vAlign w:val="center"/>
          </w:tcPr>
          <w:p w14:paraId="27351B8B">
            <w:pPr>
              <w:keepNext w:val="0"/>
              <w:keepLines w:val="0"/>
              <w:widowControl/>
              <w:suppressLineNumbers w:val="0"/>
              <w:bidi w:val="0"/>
              <w:ind w:firstLine="482" w:firstLineChars="200"/>
              <w:jc w:val="center"/>
              <w:textAlignment w:val="auto"/>
              <w:rPr>
                <w:rFonts w:hint="default"/>
                <w:b w:val="0"/>
                <w:bCs w:val="0"/>
                <w:color w:val="auto"/>
                <w:u w:val="none"/>
                <w:lang w:val="en-US" w:eastAsia="zh-CN"/>
              </w:rPr>
            </w:pPr>
            <w:r>
              <w:rPr>
                <w:rFonts w:hint="eastAsia"/>
                <w:b/>
                <w:bCs/>
                <w:color w:val="auto"/>
                <w:u w:val="single"/>
                <w:lang w:val="en-US" w:eastAsia="zh-CN"/>
              </w:rPr>
              <w:t>*</w:t>
            </w:r>
          </w:p>
        </w:tc>
        <w:tc>
          <w:tcPr>
            <w:tcW w:w="777" w:type="pct"/>
            <w:vAlign w:val="center"/>
          </w:tcPr>
          <w:p w14:paraId="0A0F9320">
            <w:pPr>
              <w:keepNext w:val="0"/>
              <w:keepLines w:val="0"/>
              <w:widowControl/>
              <w:suppressLineNumbers w:val="0"/>
              <w:bidi w:val="0"/>
              <w:ind w:firstLine="482" w:firstLineChars="200"/>
              <w:jc w:val="center"/>
              <w:textAlignment w:val="auto"/>
              <w:rPr>
                <w:rFonts w:hint="default"/>
                <w:b w:val="0"/>
                <w:bCs w:val="0"/>
                <w:color w:val="auto"/>
                <w:u w:val="none"/>
                <w:lang w:val="en-US" w:eastAsia="zh-CN"/>
              </w:rPr>
            </w:pPr>
            <w:r>
              <w:rPr>
                <w:rFonts w:hint="eastAsia"/>
                <w:b/>
                <w:bCs/>
                <w:color w:val="auto"/>
                <w:u w:val="single"/>
                <w:lang w:val="en-US" w:eastAsia="zh-CN"/>
              </w:rPr>
              <w:t>*</w:t>
            </w:r>
          </w:p>
        </w:tc>
      </w:tr>
      <w:tr w14:paraId="06194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6" w:type="pct"/>
            <w:vAlign w:val="center"/>
          </w:tcPr>
          <w:p w14:paraId="204128F5">
            <w:pPr>
              <w:pStyle w:val="182"/>
              <w:bidi w:val="0"/>
              <w:rPr>
                <w:rFonts w:hint="eastAsia"/>
                <w:b w:val="0"/>
                <w:bCs w:val="0"/>
                <w:color w:val="auto"/>
                <w:u w:val="none"/>
                <w:lang w:val="en-US" w:eastAsia="zh-CN"/>
              </w:rPr>
            </w:pPr>
            <w:r>
              <w:rPr>
                <w:rFonts w:hint="eastAsia"/>
                <w:b w:val="0"/>
                <w:bCs w:val="0"/>
                <w:color w:val="auto"/>
                <w:u w:val="none"/>
                <w:lang w:val="en-US" w:eastAsia="zh-CN"/>
              </w:rPr>
              <w:t>4</w:t>
            </w:r>
          </w:p>
        </w:tc>
        <w:tc>
          <w:tcPr>
            <w:tcW w:w="821" w:type="pct"/>
            <w:vAlign w:val="center"/>
          </w:tcPr>
          <w:p w14:paraId="40037A13">
            <w:pPr>
              <w:bidi w:val="0"/>
              <w:ind w:firstLine="482" w:firstLineChars="200"/>
              <w:rPr>
                <w:rFonts w:hint="default"/>
                <w:b w:val="0"/>
                <w:bCs w:val="0"/>
                <w:color w:val="auto"/>
                <w:u w:val="none"/>
                <w:lang w:val="en-US"/>
              </w:rPr>
            </w:pPr>
            <w:r>
              <w:rPr>
                <w:rFonts w:hint="eastAsia"/>
                <w:b/>
                <w:bCs/>
                <w:color w:val="auto"/>
                <w:u w:val="single"/>
                <w:lang w:val="en-US" w:eastAsia="zh-CN"/>
              </w:rPr>
              <w:t>*</w:t>
            </w:r>
          </w:p>
        </w:tc>
        <w:tc>
          <w:tcPr>
            <w:tcW w:w="347" w:type="pct"/>
            <w:vAlign w:val="center"/>
          </w:tcPr>
          <w:p w14:paraId="29722D94">
            <w:pPr>
              <w:bidi w:val="0"/>
              <w:ind w:firstLine="482" w:firstLineChars="200"/>
              <w:rPr>
                <w:b w:val="0"/>
                <w:bCs w:val="0"/>
                <w:color w:val="auto"/>
                <w:u w:val="none"/>
              </w:rPr>
            </w:pPr>
            <w:r>
              <w:rPr>
                <w:rFonts w:hint="eastAsia"/>
                <w:b/>
                <w:bCs/>
                <w:color w:val="auto"/>
                <w:u w:val="single"/>
                <w:lang w:val="en-US" w:eastAsia="zh-CN"/>
              </w:rPr>
              <w:t>*</w:t>
            </w:r>
          </w:p>
        </w:tc>
        <w:tc>
          <w:tcPr>
            <w:tcW w:w="791" w:type="pct"/>
            <w:vAlign w:val="center"/>
          </w:tcPr>
          <w:p w14:paraId="39A4B87F">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791" w:type="pct"/>
            <w:vAlign w:val="center"/>
          </w:tcPr>
          <w:p w14:paraId="6E407E10">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456" w:type="pct"/>
            <w:vAlign w:val="center"/>
          </w:tcPr>
          <w:p w14:paraId="22F335B8">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777" w:type="pct"/>
            <w:vAlign w:val="center"/>
          </w:tcPr>
          <w:p w14:paraId="167D6A2A">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77" w:type="pct"/>
            <w:vAlign w:val="center"/>
          </w:tcPr>
          <w:p w14:paraId="1E8659FD">
            <w:pPr>
              <w:keepNext w:val="0"/>
              <w:keepLines w:val="0"/>
              <w:widowControl/>
              <w:suppressLineNumbers w:val="0"/>
              <w:bidi w:val="0"/>
              <w:ind w:firstLine="482" w:firstLineChars="200"/>
              <w:jc w:val="center"/>
              <w:textAlignment w:val="auto"/>
              <w:rPr>
                <w:rFonts w:hint="default"/>
                <w:b w:val="0"/>
                <w:bCs w:val="0"/>
                <w:color w:val="auto"/>
                <w:u w:val="none"/>
                <w:lang w:val="en-US" w:eastAsia="zh-CN"/>
              </w:rPr>
            </w:pPr>
            <w:r>
              <w:rPr>
                <w:rFonts w:hint="eastAsia"/>
                <w:b/>
                <w:bCs/>
                <w:color w:val="auto"/>
                <w:u w:val="single"/>
                <w:lang w:val="en-US" w:eastAsia="zh-CN"/>
              </w:rPr>
              <w:t>*</w:t>
            </w:r>
          </w:p>
        </w:tc>
      </w:tr>
      <w:tr w14:paraId="3F4E0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6" w:type="pct"/>
            <w:vAlign w:val="center"/>
          </w:tcPr>
          <w:p w14:paraId="10E396E9">
            <w:pPr>
              <w:pStyle w:val="182"/>
              <w:bidi w:val="0"/>
              <w:rPr>
                <w:rFonts w:hint="default"/>
                <w:b w:val="0"/>
                <w:bCs w:val="0"/>
                <w:color w:val="auto"/>
                <w:u w:val="none"/>
                <w:lang w:val="en-US" w:eastAsia="zh-CN"/>
              </w:rPr>
            </w:pPr>
            <w:r>
              <w:rPr>
                <w:rFonts w:hint="eastAsia"/>
                <w:b w:val="0"/>
                <w:bCs w:val="0"/>
                <w:color w:val="auto"/>
                <w:u w:val="none"/>
                <w:lang w:val="en-US" w:eastAsia="zh-CN"/>
              </w:rPr>
              <w:t>5</w:t>
            </w:r>
          </w:p>
        </w:tc>
        <w:tc>
          <w:tcPr>
            <w:tcW w:w="821" w:type="pct"/>
            <w:vAlign w:val="center"/>
          </w:tcPr>
          <w:p w14:paraId="0B73B609">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347" w:type="pct"/>
            <w:vAlign w:val="center"/>
          </w:tcPr>
          <w:p w14:paraId="1469DAAF">
            <w:pPr>
              <w:bidi w:val="0"/>
              <w:ind w:firstLine="482" w:firstLineChars="200"/>
              <w:rPr>
                <w:rFonts w:hint="eastAsia"/>
                <w:b w:val="0"/>
                <w:bCs w:val="0"/>
                <w:color w:val="auto"/>
                <w:u w:val="none"/>
              </w:rPr>
            </w:pPr>
            <w:r>
              <w:rPr>
                <w:rFonts w:hint="eastAsia"/>
                <w:b/>
                <w:bCs/>
                <w:color w:val="auto"/>
                <w:u w:val="single"/>
                <w:lang w:val="en-US" w:eastAsia="zh-CN"/>
              </w:rPr>
              <w:t>*</w:t>
            </w:r>
          </w:p>
        </w:tc>
        <w:tc>
          <w:tcPr>
            <w:tcW w:w="791" w:type="pct"/>
            <w:vAlign w:val="center"/>
          </w:tcPr>
          <w:p w14:paraId="1AEA919B">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791" w:type="pct"/>
            <w:vAlign w:val="center"/>
          </w:tcPr>
          <w:p w14:paraId="6ABF1F73">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456" w:type="pct"/>
            <w:vAlign w:val="center"/>
          </w:tcPr>
          <w:p w14:paraId="70A26FAA">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777" w:type="pct"/>
            <w:vAlign w:val="center"/>
          </w:tcPr>
          <w:p w14:paraId="4DC426AB">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77" w:type="pct"/>
            <w:vAlign w:val="center"/>
          </w:tcPr>
          <w:p w14:paraId="178D92E1">
            <w:pPr>
              <w:keepNext w:val="0"/>
              <w:keepLines w:val="0"/>
              <w:widowControl/>
              <w:suppressLineNumbers w:val="0"/>
              <w:bidi w:val="0"/>
              <w:ind w:firstLine="482" w:firstLineChars="200"/>
              <w:jc w:val="center"/>
              <w:textAlignment w:val="auto"/>
              <w:rPr>
                <w:rFonts w:hint="eastAsia"/>
                <w:b w:val="0"/>
                <w:bCs w:val="0"/>
                <w:color w:val="auto"/>
                <w:u w:val="none"/>
                <w:lang w:val="en-US" w:eastAsia="zh-CN"/>
              </w:rPr>
            </w:pPr>
            <w:r>
              <w:rPr>
                <w:rFonts w:hint="eastAsia"/>
                <w:b/>
                <w:bCs/>
                <w:color w:val="auto"/>
                <w:u w:val="single"/>
                <w:lang w:val="en-US" w:eastAsia="zh-CN"/>
              </w:rPr>
              <w:t>*</w:t>
            </w:r>
          </w:p>
        </w:tc>
      </w:tr>
      <w:tr w14:paraId="0867B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6" w:type="pct"/>
            <w:vAlign w:val="center"/>
          </w:tcPr>
          <w:p w14:paraId="0309FFB0">
            <w:pPr>
              <w:pStyle w:val="182"/>
              <w:bidi w:val="0"/>
              <w:rPr>
                <w:rFonts w:hint="default"/>
                <w:b w:val="0"/>
                <w:bCs w:val="0"/>
                <w:color w:val="auto"/>
                <w:u w:val="none"/>
                <w:lang w:val="en-US" w:eastAsia="zh-CN"/>
              </w:rPr>
            </w:pPr>
            <w:r>
              <w:rPr>
                <w:rFonts w:hint="eastAsia"/>
                <w:b w:val="0"/>
                <w:bCs w:val="0"/>
                <w:color w:val="auto"/>
                <w:u w:val="none"/>
                <w:lang w:val="en-US" w:eastAsia="zh-CN"/>
              </w:rPr>
              <w:t>6</w:t>
            </w:r>
          </w:p>
        </w:tc>
        <w:tc>
          <w:tcPr>
            <w:tcW w:w="821" w:type="pct"/>
            <w:vAlign w:val="center"/>
          </w:tcPr>
          <w:p w14:paraId="6E5AB117">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347" w:type="pct"/>
            <w:vAlign w:val="center"/>
          </w:tcPr>
          <w:p w14:paraId="04148A9A">
            <w:pPr>
              <w:bidi w:val="0"/>
              <w:ind w:firstLine="482" w:firstLineChars="200"/>
              <w:rPr>
                <w:rFonts w:hint="eastAsia"/>
                <w:b w:val="0"/>
                <w:bCs w:val="0"/>
                <w:color w:val="auto"/>
                <w:u w:val="none"/>
              </w:rPr>
            </w:pPr>
            <w:r>
              <w:rPr>
                <w:rFonts w:hint="eastAsia"/>
                <w:b/>
                <w:bCs/>
                <w:color w:val="auto"/>
                <w:u w:val="single"/>
                <w:lang w:val="en-US" w:eastAsia="zh-CN"/>
              </w:rPr>
              <w:t>*</w:t>
            </w:r>
          </w:p>
        </w:tc>
        <w:tc>
          <w:tcPr>
            <w:tcW w:w="791" w:type="pct"/>
            <w:vAlign w:val="center"/>
          </w:tcPr>
          <w:p w14:paraId="0ABC5BAC">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791" w:type="pct"/>
            <w:vAlign w:val="center"/>
          </w:tcPr>
          <w:p w14:paraId="7262813A">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456" w:type="pct"/>
            <w:vAlign w:val="center"/>
          </w:tcPr>
          <w:p w14:paraId="341AB814">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777" w:type="pct"/>
            <w:vAlign w:val="center"/>
          </w:tcPr>
          <w:p w14:paraId="4C1ED812">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77" w:type="pct"/>
            <w:vAlign w:val="center"/>
          </w:tcPr>
          <w:p w14:paraId="15652A2D">
            <w:pPr>
              <w:keepNext w:val="0"/>
              <w:keepLines w:val="0"/>
              <w:widowControl/>
              <w:suppressLineNumbers w:val="0"/>
              <w:bidi w:val="0"/>
              <w:ind w:firstLine="482" w:firstLineChars="200"/>
              <w:jc w:val="center"/>
              <w:textAlignment w:val="auto"/>
              <w:rPr>
                <w:rFonts w:hint="eastAsia"/>
                <w:b w:val="0"/>
                <w:bCs w:val="0"/>
                <w:color w:val="auto"/>
                <w:u w:val="none"/>
                <w:lang w:val="en-US" w:eastAsia="zh-CN"/>
              </w:rPr>
            </w:pPr>
            <w:r>
              <w:rPr>
                <w:rFonts w:hint="eastAsia"/>
                <w:b/>
                <w:bCs/>
                <w:color w:val="auto"/>
                <w:u w:val="single"/>
                <w:lang w:val="en-US" w:eastAsia="zh-CN"/>
              </w:rPr>
              <w:t>*</w:t>
            </w:r>
          </w:p>
        </w:tc>
      </w:tr>
      <w:tr w14:paraId="7C8F2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Align w:val="center"/>
          </w:tcPr>
          <w:p w14:paraId="602AA775">
            <w:pPr>
              <w:pStyle w:val="182"/>
              <w:bidi w:val="0"/>
              <w:ind w:firstLine="0" w:firstLineChars="0"/>
              <w:rPr>
                <w:rFonts w:hint="eastAsia"/>
                <w:b w:val="0"/>
                <w:bCs w:val="0"/>
                <w:color w:val="auto"/>
                <w:u w:val="none"/>
                <w:lang w:val="en-US" w:eastAsia="zh-CN"/>
              </w:rPr>
            </w:pPr>
            <w:r>
              <w:rPr>
                <w:rFonts w:hint="eastAsia"/>
                <w:b w:val="0"/>
                <w:bCs w:val="0"/>
                <w:color w:val="auto"/>
                <w:u w:val="none"/>
                <w:lang w:val="en-US" w:eastAsia="zh-CN"/>
              </w:rPr>
              <w:t>7</w:t>
            </w:r>
          </w:p>
        </w:tc>
        <w:tc>
          <w:tcPr>
            <w:tcW w:w="821" w:type="pct"/>
            <w:vAlign w:val="center"/>
          </w:tcPr>
          <w:p w14:paraId="3C2CC4EE">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347" w:type="pct"/>
            <w:vAlign w:val="center"/>
          </w:tcPr>
          <w:p w14:paraId="37C45DCD">
            <w:pPr>
              <w:bidi w:val="0"/>
              <w:ind w:firstLine="482" w:firstLineChars="200"/>
              <w:rPr>
                <w:rFonts w:hint="eastAsia" w:eastAsia="宋体"/>
                <w:b w:val="0"/>
                <w:bCs w:val="0"/>
                <w:color w:val="auto"/>
                <w:u w:val="none"/>
                <w:lang w:val="en-US" w:eastAsia="zh-CN"/>
              </w:rPr>
            </w:pPr>
            <w:r>
              <w:rPr>
                <w:rFonts w:hint="eastAsia"/>
                <w:b/>
                <w:bCs/>
                <w:color w:val="auto"/>
                <w:u w:val="single"/>
                <w:lang w:val="en-US" w:eastAsia="zh-CN"/>
              </w:rPr>
              <w:t>*</w:t>
            </w:r>
          </w:p>
        </w:tc>
        <w:tc>
          <w:tcPr>
            <w:tcW w:w="791" w:type="pct"/>
            <w:vAlign w:val="center"/>
          </w:tcPr>
          <w:p w14:paraId="7671F8FF">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91" w:type="pct"/>
            <w:vAlign w:val="center"/>
          </w:tcPr>
          <w:p w14:paraId="17FBA82F">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821" w:type="dxa"/>
            <w:vAlign w:val="center"/>
          </w:tcPr>
          <w:p w14:paraId="03DA846E">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400" w:type="dxa"/>
            <w:vAlign w:val="center"/>
          </w:tcPr>
          <w:p w14:paraId="12C90EBE">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777" w:type="pct"/>
            <w:vAlign w:val="center"/>
          </w:tcPr>
          <w:p w14:paraId="05CDEC55">
            <w:pPr>
              <w:keepNext w:val="0"/>
              <w:keepLines w:val="0"/>
              <w:widowControl/>
              <w:suppressLineNumbers w:val="0"/>
              <w:bidi w:val="0"/>
              <w:ind w:firstLine="482" w:firstLineChars="200"/>
              <w:jc w:val="center"/>
              <w:textAlignment w:val="auto"/>
              <w:rPr>
                <w:rFonts w:hint="default"/>
                <w:b w:val="0"/>
                <w:bCs w:val="0"/>
                <w:color w:val="auto"/>
                <w:u w:val="none"/>
                <w:lang w:val="en-US" w:eastAsia="zh-CN"/>
              </w:rPr>
            </w:pPr>
            <w:r>
              <w:rPr>
                <w:rFonts w:hint="eastAsia"/>
                <w:b/>
                <w:bCs/>
                <w:color w:val="auto"/>
                <w:u w:val="single"/>
                <w:lang w:val="en-US" w:eastAsia="zh-CN"/>
              </w:rPr>
              <w:t>*</w:t>
            </w:r>
          </w:p>
        </w:tc>
      </w:tr>
      <w:tr w14:paraId="02BE0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Align w:val="center"/>
          </w:tcPr>
          <w:p w14:paraId="476FD314">
            <w:pPr>
              <w:pStyle w:val="182"/>
              <w:bidi w:val="0"/>
              <w:ind w:firstLine="0" w:firstLineChars="0"/>
              <w:rPr>
                <w:rFonts w:hint="eastAsia"/>
                <w:b w:val="0"/>
                <w:bCs w:val="0"/>
                <w:color w:val="auto"/>
                <w:u w:val="none"/>
                <w:lang w:val="en-US" w:eastAsia="zh-CN"/>
              </w:rPr>
            </w:pPr>
            <w:r>
              <w:rPr>
                <w:rFonts w:hint="eastAsia"/>
                <w:b w:val="0"/>
                <w:bCs w:val="0"/>
                <w:color w:val="auto"/>
                <w:u w:val="none"/>
                <w:lang w:val="en-US" w:eastAsia="zh-CN"/>
              </w:rPr>
              <w:t>8</w:t>
            </w:r>
          </w:p>
        </w:tc>
        <w:tc>
          <w:tcPr>
            <w:tcW w:w="821" w:type="pct"/>
            <w:vAlign w:val="center"/>
          </w:tcPr>
          <w:p w14:paraId="3E61128F">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347" w:type="pct"/>
            <w:vAlign w:val="center"/>
          </w:tcPr>
          <w:p w14:paraId="0C8CDEEA">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791" w:type="pct"/>
            <w:vAlign w:val="center"/>
          </w:tcPr>
          <w:p w14:paraId="709856DD">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91" w:type="pct"/>
            <w:vAlign w:val="center"/>
          </w:tcPr>
          <w:p w14:paraId="013D9F3A">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456" w:type="pct"/>
            <w:vAlign w:val="center"/>
          </w:tcPr>
          <w:p w14:paraId="79C9BED7">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777" w:type="pct"/>
            <w:vAlign w:val="center"/>
          </w:tcPr>
          <w:p w14:paraId="1729A82C">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77" w:type="pct"/>
            <w:vAlign w:val="center"/>
          </w:tcPr>
          <w:p w14:paraId="7D93AAEF">
            <w:pPr>
              <w:keepNext w:val="0"/>
              <w:keepLines w:val="0"/>
              <w:widowControl/>
              <w:suppressLineNumbers w:val="0"/>
              <w:bidi w:val="0"/>
              <w:ind w:firstLine="482" w:firstLineChars="200"/>
              <w:jc w:val="center"/>
              <w:textAlignment w:val="auto"/>
              <w:rPr>
                <w:rFonts w:hint="default"/>
                <w:b w:val="0"/>
                <w:bCs w:val="0"/>
                <w:color w:val="auto"/>
                <w:u w:val="none"/>
                <w:lang w:val="en-US" w:eastAsia="zh-CN"/>
              </w:rPr>
            </w:pPr>
            <w:r>
              <w:rPr>
                <w:rFonts w:hint="eastAsia"/>
                <w:b/>
                <w:bCs/>
                <w:color w:val="auto"/>
                <w:u w:val="single"/>
                <w:lang w:val="en-US" w:eastAsia="zh-CN"/>
              </w:rPr>
              <w:t>*</w:t>
            </w:r>
          </w:p>
        </w:tc>
      </w:tr>
      <w:tr w14:paraId="464EF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dxa"/>
            <w:vAlign w:val="center"/>
          </w:tcPr>
          <w:p w14:paraId="3BD0CABE">
            <w:pPr>
              <w:pStyle w:val="182"/>
              <w:bidi w:val="0"/>
              <w:ind w:firstLine="0" w:firstLineChars="0"/>
              <w:rPr>
                <w:rFonts w:hint="eastAsia"/>
                <w:b w:val="0"/>
                <w:bCs w:val="0"/>
                <w:color w:val="auto"/>
                <w:u w:val="none"/>
                <w:lang w:val="en-US" w:eastAsia="zh-CN"/>
              </w:rPr>
            </w:pPr>
            <w:r>
              <w:rPr>
                <w:rFonts w:hint="eastAsia"/>
                <w:b w:val="0"/>
                <w:bCs w:val="0"/>
                <w:color w:val="auto"/>
                <w:u w:val="none"/>
                <w:lang w:val="en-US" w:eastAsia="zh-CN"/>
              </w:rPr>
              <w:t>9</w:t>
            </w:r>
          </w:p>
        </w:tc>
        <w:tc>
          <w:tcPr>
            <w:tcW w:w="821" w:type="pct"/>
            <w:vAlign w:val="center"/>
          </w:tcPr>
          <w:p w14:paraId="300BA34B">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347" w:type="pct"/>
            <w:vAlign w:val="center"/>
          </w:tcPr>
          <w:p w14:paraId="1A553AB0">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791" w:type="pct"/>
            <w:vAlign w:val="center"/>
          </w:tcPr>
          <w:p w14:paraId="2E8994C9">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791" w:type="pct"/>
            <w:vAlign w:val="center"/>
          </w:tcPr>
          <w:p w14:paraId="0E6CB2F0">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456" w:type="pct"/>
            <w:vAlign w:val="center"/>
          </w:tcPr>
          <w:p w14:paraId="7A8DC2E9">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777" w:type="pct"/>
            <w:vAlign w:val="center"/>
          </w:tcPr>
          <w:p w14:paraId="5134A485">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77" w:type="pct"/>
            <w:vAlign w:val="center"/>
          </w:tcPr>
          <w:p w14:paraId="5EB43E97">
            <w:pPr>
              <w:keepNext w:val="0"/>
              <w:keepLines w:val="0"/>
              <w:widowControl/>
              <w:suppressLineNumbers w:val="0"/>
              <w:bidi w:val="0"/>
              <w:ind w:firstLine="482" w:firstLineChars="200"/>
              <w:jc w:val="center"/>
              <w:textAlignment w:val="auto"/>
              <w:rPr>
                <w:rFonts w:hint="default"/>
                <w:b w:val="0"/>
                <w:bCs w:val="0"/>
                <w:color w:val="auto"/>
                <w:u w:val="none"/>
                <w:lang w:val="en-US" w:eastAsia="zh-CN"/>
              </w:rPr>
            </w:pPr>
            <w:r>
              <w:rPr>
                <w:rFonts w:hint="eastAsia"/>
                <w:b/>
                <w:bCs/>
                <w:color w:val="auto"/>
                <w:u w:val="single"/>
                <w:lang w:val="en-US" w:eastAsia="zh-CN"/>
              </w:rPr>
              <w:t>*</w:t>
            </w:r>
          </w:p>
        </w:tc>
      </w:tr>
      <w:tr w14:paraId="33CD8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6" w:type="pct"/>
            <w:vAlign w:val="center"/>
          </w:tcPr>
          <w:p w14:paraId="72109F15">
            <w:pPr>
              <w:pStyle w:val="182"/>
              <w:bidi w:val="0"/>
              <w:rPr>
                <w:rFonts w:hint="default"/>
                <w:b w:val="0"/>
                <w:bCs w:val="0"/>
                <w:color w:val="auto"/>
                <w:u w:val="none"/>
                <w:lang w:val="en-US" w:eastAsia="zh-CN"/>
              </w:rPr>
            </w:pPr>
            <w:r>
              <w:rPr>
                <w:rFonts w:hint="eastAsia"/>
                <w:b w:val="0"/>
                <w:bCs w:val="0"/>
                <w:color w:val="auto"/>
                <w:u w:val="none"/>
                <w:lang w:val="en-US" w:eastAsia="zh-CN"/>
              </w:rPr>
              <w:t>10</w:t>
            </w:r>
          </w:p>
        </w:tc>
        <w:tc>
          <w:tcPr>
            <w:tcW w:w="821" w:type="pct"/>
            <w:vAlign w:val="center"/>
          </w:tcPr>
          <w:p w14:paraId="1F8867B1">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347" w:type="pct"/>
            <w:vAlign w:val="center"/>
          </w:tcPr>
          <w:p w14:paraId="0086C377">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91" w:type="pct"/>
            <w:vAlign w:val="center"/>
          </w:tcPr>
          <w:p w14:paraId="1748C40A">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91" w:type="pct"/>
            <w:vAlign w:val="center"/>
          </w:tcPr>
          <w:p w14:paraId="14643719">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456" w:type="pct"/>
            <w:vAlign w:val="center"/>
          </w:tcPr>
          <w:p w14:paraId="27D2066E">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77" w:type="pct"/>
            <w:vAlign w:val="center"/>
          </w:tcPr>
          <w:p w14:paraId="33E3FAEE">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77" w:type="pct"/>
            <w:vAlign w:val="center"/>
          </w:tcPr>
          <w:p w14:paraId="4E9AA83D">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r>
    </w:tbl>
    <w:p w14:paraId="6FC8C131">
      <w:pPr>
        <w:pStyle w:val="6"/>
        <w:bidi w:val="0"/>
      </w:pPr>
      <w:r>
        <w:rPr>
          <w:rFonts w:hint="eastAsia"/>
        </w:rPr>
        <w:t>原辅材料的理化性质</w:t>
      </w:r>
    </w:p>
    <w:p w14:paraId="64B5D60A">
      <w:pPr>
        <w:bidi w:val="0"/>
        <w:rPr>
          <w:rFonts w:hint="eastAsia"/>
          <w:color w:val="auto"/>
          <w:lang w:val="en-US" w:eastAsia="zh-CN"/>
        </w:rPr>
      </w:pPr>
      <w:r>
        <w:rPr>
          <w:rFonts w:hint="eastAsia"/>
          <w:color w:val="auto"/>
          <w:lang w:val="en-US" w:eastAsia="zh-CN"/>
        </w:rPr>
        <w:t>1）废旧棉纺织品</w:t>
      </w:r>
    </w:p>
    <w:p w14:paraId="055521EE">
      <w:pPr>
        <w:bidi w:val="0"/>
        <w:rPr>
          <w:rFonts w:hint="default"/>
          <w:color w:val="auto"/>
          <w:lang w:val="en-US" w:eastAsia="zh-CN"/>
        </w:rPr>
      </w:pPr>
      <w:r>
        <w:rPr>
          <w:rFonts w:hint="eastAsia"/>
          <w:color w:val="auto"/>
          <w:lang w:val="en-US" w:eastAsia="zh-CN"/>
        </w:rPr>
        <w:t>以棉纤维为主体的废旧纺织品，本项目所以用的废旧棉纺织品来源于酒店，原料质量比较稳定。纤维素可达到97.84%，剩余为灰分等杂质。</w:t>
      </w:r>
    </w:p>
    <w:p w14:paraId="7B2CEB65">
      <w:pPr>
        <w:bidi w:val="0"/>
        <w:rPr>
          <w:rFonts w:hint="eastAsia"/>
          <w:color w:val="auto"/>
          <w:lang w:val="en-US" w:eastAsia="zh-CN"/>
        </w:rPr>
      </w:pPr>
      <w:r>
        <w:rPr>
          <w:rFonts w:hint="eastAsia"/>
          <w:color w:val="auto"/>
          <w:lang w:val="en-US" w:eastAsia="zh-CN"/>
        </w:rPr>
        <w:t>2）纤维素浆粕</w:t>
      </w:r>
    </w:p>
    <w:p w14:paraId="7CF6F09D">
      <w:pPr>
        <w:bidi w:val="0"/>
        <w:rPr>
          <w:rFonts w:hint="eastAsia"/>
          <w:color w:val="auto"/>
          <w:lang w:val="en-US" w:eastAsia="zh-CN"/>
        </w:rPr>
      </w:pPr>
      <w:r>
        <w:rPr>
          <w:rFonts w:hint="eastAsia"/>
          <w:color w:val="auto"/>
          <w:lang w:val="en-US" w:eastAsia="zh-CN"/>
        </w:rPr>
        <w:t>本项目使用的纤维素浆粕由木材制造而成。其纤维素浆粕的成分如下。</w:t>
      </w:r>
    </w:p>
    <w:p w14:paraId="68902B03">
      <w:pPr>
        <w:pStyle w:val="10"/>
        <w:bidi w:val="0"/>
        <w:rPr>
          <w:rFonts w:hint="eastAsia"/>
          <w:lang w:val="en-US" w:eastAsia="zh-CN"/>
        </w:rPr>
      </w:pPr>
      <w:r>
        <w:t xml:space="preserve">表 </w:t>
      </w:r>
      <w:r>
        <w:fldChar w:fldCharType="begin"/>
      </w:r>
      <w:r>
        <w:instrText xml:space="preserve"> STYLEREF 2 \s </w:instrText>
      </w:r>
      <w:r>
        <w:fldChar w:fldCharType="separate"/>
      </w:r>
      <w:r>
        <w:t>4.1</w:t>
      </w:r>
      <w:r>
        <w:fldChar w:fldCharType="end"/>
      </w:r>
      <w:r>
        <w:rPr>
          <w:rFonts w:hint="eastAsia"/>
          <w:lang w:eastAsia="zh-CN"/>
        </w:rPr>
        <w:t>-</w:t>
      </w:r>
      <w:r>
        <w:fldChar w:fldCharType="begin"/>
      </w:r>
      <w:r>
        <w:instrText xml:space="preserve"> SEQ 表 \* ARABIC \s 2 </w:instrText>
      </w:r>
      <w:r>
        <w:fldChar w:fldCharType="separate"/>
      </w:r>
      <w:r>
        <w:t>9</w:t>
      </w:r>
      <w:r>
        <w:fldChar w:fldCharType="end"/>
      </w:r>
      <w:r>
        <w:rPr>
          <w:rFonts w:hint="eastAsia"/>
          <w:lang w:val="en-US" w:eastAsia="zh-CN"/>
        </w:rPr>
        <w:t xml:space="preserve"> 本项目浆粕成分一览表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4738"/>
        <w:gridCol w:w="3404"/>
      </w:tblGrid>
      <w:tr w14:paraId="4DF9E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479" w:type="pct"/>
            <w:noWrap w:val="0"/>
            <w:vAlign w:val="center"/>
          </w:tcPr>
          <w:p w14:paraId="7D7F6264">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kern w:val="0"/>
                <w:sz w:val="21"/>
                <w:szCs w:val="21"/>
              </w:rPr>
            </w:pPr>
            <w:r>
              <w:rPr>
                <w:rFonts w:ascii="Times New Roman" w:hAnsi="Times New Roman"/>
                <w:b/>
                <w:kern w:val="0"/>
                <w:sz w:val="21"/>
                <w:szCs w:val="21"/>
              </w:rPr>
              <w:t>序号</w:t>
            </w:r>
          </w:p>
        </w:tc>
        <w:tc>
          <w:tcPr>
            <w:tcW w:w="2631" w:type="pct"/>
            <w:noWrap w:val="0"/>
            <w:vAlign w:val="center"/>
          </w:tcPr>
          <w:p w14:paraId="26FE339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kern w:val="0"/>
                <w:sz w:val="21"/>
                <w:szCs w:val="21"/>
              </w:rPr>
            </w:pPr>
            <w:bookmarkStart w:id="167" w:name="4.1.3.主要原材料规格及消耗"/>
            <w:bookmarkEnd w:id="167"/>
            <w:r>
              <w:rPr>
                <w:rFonts w:ascii="Times New Roman" w:hAnsi="Times New Roman"/>
                <w:b/>
                <w:kern w:val="0"/>
                <w:sz w:val="21"/>
                <w:szCs w:val="21"/>
              </w:rPr>
              <w:t>检测项目</w:t>
            </w:r>
          </w:p>
        </w:tc>
        <w:tc>
          <w:tcPr>
            <w:tcW w:w="1890" w:type="pct"/>
            <w:noWrap w:val="0"/>
            <w:vAlign w:val="center"/>
          </w:tcPr>
          <w:p w14:paraId="4A359A9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kern w:val="0"/>
                <w:sz w:val="21"/>
                <w:szCs w:val="21"/>
              </w:rPr>
            </w:pPr>
            <w:r>
              <w:rPr>
                <w:rFonts w:ascii="Times New Roman" w:hAnsi="Times New Roman"/>
                <w:b/>
                <w:kern w:val="0"/>
                <w:sz w:val="21"/>
                <w:szCs w:val="21"/>
              </w:rPr>
              <w:t>测试数值</w:t>
            </w:r>
          </w:p>
        </w:tc>
      </w:tr>
      <w:tr w14:paraId="3A1B2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5A458E71">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1</w:t>
            </w:r>
          </w:p>
        </w:tc>
        <w:tc>
          <w:tcPr>
            <w:tcW w:w="2631" w:type="pct"/>
            <w:noWrap w:val="0"/>
            <w:vAlign w:val="center"/>
          </w:tcPr>
          <w:p w14:paraId="0DF0AE3E">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粘度</w:t>
            </w:r>
          </w:p>
        </w:tc>
        <w:tc>
          <w:tcPr>
            <w:tcW w:w="1890" w:type="pct"/>
            <w:noWrap w:val="0"/>
            <w:vAlign w:val="center"/>
          </w:tcPr>
          <w:p w14:paraId="011B81B0">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17.8CP</w:t>
            </w:r>
          </w:p>
        </w:tc>
      </w:tr>
      <w:tr w14:paraId="15370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7887C11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2</w:t>
            </w:r>
          </w:p>
        </w:tc>
        <w:tc>
          <w:tcPr>
            <w:tcW w:w="2631" w:type="pct"/>
            <w:noWrap w:val="0"/>
            <w:vAlign w:val="center"/>
          </w:tcPr>
          <w:p w14:paraId="340C0BF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ISO</w:t>
            </w:r>
            <w:r>
              <w:rPr>
                <w:rFonts w:ascii="Times New Roman" w:hAnsi="Times New Roman"/>
                <w:spacing w:val="-55"/>
                <w:kern w:val="0"/>
                <w:sz w:val="21"/>
                <w:szCs w:val="21"/>
              </w:rPr>
              <w:t xml:space="preserve"> </w:t>
            </w:r>
            <w:r>
              <w:rPr>
                <w:rFonts w:ascii="Times New Roman" w:hAnsi="Times New Roman"/>
                <w:kern w:val="0"/>
                <w:sz w:val="21"/>
                <w:szCs w:val="21"/>
              </w:rPr>
              <w:t>亮度</w:t>
            </w:r>
          </w:p>
        </w:tc>
        <w:tc>
          <w:tcPr>
            <w:tcW w:w="1890" w:type="pct"/>
            <w:noWrap w:val="0"/>
            <w:vAlign w:val="center"/>
          </w:tcPr>
          <w:p w14:paraId="5DC3881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92.30%</w:t>
            </w:r>
          </w:p>
        </w:tc>
      </w:tr>
      <w:tr w14:paraId="4287B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355840DE">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3</w:t>
            </w:r>
          </w:p>
        </w:tc>
        <w:tc>
          <w:tcPr>
            <w:tcW w:w="2631" w:type="pct"/>
            <w:noWrap w:val="0"/>
            <w:vAlign w:val="center"/>
          </w:tcPr>
          <w:p w14:paraId="5905B8A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S18</w:t>
            </w:r>
          </w:p>
        </w:tc>
        <w:tc>
          <w:tcPr>
            <w:tcW w:w="1890" w:type="pct"/>
            <w:noWrap w:val="0"/>
            <w:vAlign w:val="center"/>
          </w:tcPr>
          <w:p w14:paraId="5F3ECE0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4.40%</w:t>
            </w:r>
          </w:p>
        </w:tc>
      </w:tr>
      <w:tr w14:paraId="6A5CE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7756008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4</w:t>
            </w:r>
          </w:p>
        </w:tc>
        <w:tc>
          <w:tcPr>
            <w:tcW w:w="2631" w:type="pct"/>
            <w:noWrap w:val="0"/>
            <w:vAlign w:val="center"/>
          </w:tcPr>
          <w:p w14:paraId="2A380280">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R18</w:t>
            </w:r>
          </w:p>
        </w:tc>
        <w:tc>
          <w:tcPr>
            <w:tcW w:w="1890" w:type="pct"/>
            <w:noWrap w:val="0"/>
            <w:vAlign w:val="center"/>
          </w:tcPr>
          <w:p w14:paraId="4E887C7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95.60%</w:t>
            </w:r>
          </w:p>
        </w:tc>
      </w:tr>
      <w:tr w14:paraId="2690D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35192D1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5</w:t>
            </w:r>
          </w:p>
        </w:tc>
        <w:tc>
          <w:tcPr>
            <w:tcW w:w="2631" w:type="pct"/>
            <w:noWrap w:val="0"/>
            <w:vAlign w:val="center"/>
          </w:tcPr>
          <w:p w14:paraId="7240D39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S10～S18</w:t>
            </w:r>
          </w:p>
        </w:tc>
        <w:tc>
          <w:tcPr>
            <w:tcW w:w="1890" w:type="pct"/>
            <w:noWrap w:val="0"/>
            <w:vAlign w:val="center"/>
          </w:tcPr>
          <w:p w14:paraId="092ABED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3.60%</w:t>
            </w:r>
          </w:p>
        </w:tc>
      </w:tr>
      <w:tr w14:paraId="47D8A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18AF900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6</w:t>
            </w:r>
          </w:p>
        </w:tc>
        <w:tc>
          <w:tcPr>
            <w:tcW w:w="2631" w:type="pct"/>
            <w:noWrap w:val="0"/>
            <w:vAlign w:val="center"/>
          </w:tcPr>
          <w:p w14:paraId="0912A34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甲种纤维素</w:t>
            </w:r>
          </w:p>
        </w:tc>
        <w:tc>
          <w:tcPr>
            <w:tcW w:w="1890" w:type="pct"/>
            <w:noWrap w:val="0"/>
            <w:vAlign w:val="center"/>
          </w:tcPr>
          <w:p w14:paraId="5A38CE8E">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9</w:t>
            </w:r>
            <w:r>
              <w:rPr>
                <w:rFonts w:hint="eastAsia" w:ascii="Times New Roman" w:hAnsi="Times New Roman"/>
                <w:kern w:val="0"/>
                <w:sz w:val="21"/>
                <w:szCs w:val="21"/>
              </w:rPr>
              <w:t>1.6</w:t>
            </w:r>
            <w:r>
              <w:rPr>
                <w:rFonts w:hint="eastAsia"/>
                <w:kern w:val="0"/>
                <w:sz w:val="21"/>
                <w:szCs w:val="21"/>
                <w:lang w:val="en-US" w:eastAsia="zh-CN"/>
              </w:rPr>
              <w:t>0</w:t>
            </w:r>
            <w:r>
              <w:rPr>
                <w:rFonts w:ascii="Times New Roman" w:hAnsi="Times New Roman"/>
                <w:kern w:val="0"/>
                <w:sz w:val="21"/>
                <w:szCs w:val="21"/>
              </w:rPr>
              <w:t>%</w:t>
            </w:r>
          </w:p>
        </w:tc>
      </w:tr>
      <w:tr w14:paraId="1E2E4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396EDCC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7</w:t>
            </w:r>
          </w:p>
        </w:tc>
        <w:tc>
          <w:tcPr>
            <w:tcW w:w="2631" w:type="pct"/>
            <w:noWrap w:val="0"/>
            <w:vAlign w:val="center"/>
          </w:tcPr>
          <w:p w14:paraId="6C20AF7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灰份</w:t>
            </w:r>
          </w:p>
        </w:tc>
        <w:tc>
          <w:tcPr>
            <w:tcW w:w="1890" w:type="pct"/>
            <w:noWrap w:val="0"/>
            <w:vAlign w:val="center"/>
          </w:tcPr>
          <w:p w14:paraId="6C5835F4">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0.06%</w:t>
            </w:r>
          </w:p>
        </w:tc>
      </w:tr>
      <w:tr w14:paraId="331BC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33F6C9CE">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8</w:t>
            </w:r>
          </w:p>
        </w:tc>
        <w:tc>
          <w:tcPr>
            <w:tcW w:w="2631" w:type="pct"/>
            <w:noWrap w:val="0"/>
            <w:vAlign w:val="center"/>
          </w:tcPr>
          <w:p w14:paraId="196FA21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铁含量</w:t>
            </w:r>
          </w:p>
        </w:tc>
        <w:tc>
          <w:tcPr>
            <w:tcW w:w="1890" w:type="pct"/>
            <w:noWrap w:val="0"/>
            <w:vAlign w:val="center"/>
          </w:tcPr>
          <w:p w14:paraId="1EC4237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2.8mg/Kg</w:t>
            </w:r>
          </w:p>
        </w:tc>
      </w:tr>
      <w:tr w14:paraId="4B863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456F79F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9</w:t>
            </w:r>
          </w:p>
        </w:tc>
        <w:tc>
          <w:tcPr>
            <w:tcW w:w="2631" w:type="pct"/>
            <w:noWrap w:val="0"/>
            <w:vAlign w:val="center"/>
          </w:tcPr>
          <w:p w14:paraId="51E5E7E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钙含量</w:t>
            </w:r>
          </w:p>
        </w:tc>
        <w:tc>
          <w:tcPr>
            <w:tcW w:w="1890" w:type="pct"/>
            <w:noWrap w:val="0"/>
            <w:vAlign w:val="center"/>
          </w:tcPr>
          <w:p w14:paraId="09D91F5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0.01%</w:t>
            </w:r>
          </w:p>
        </w:tc>
      </w:tr>
      <w:tr w14:paraId="1F543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5865886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10</w:t>
            </w:r>
          </w:p>
        </w:tc>
        <w:tc>
          <w:tcPr>
            <w:tcW w:w="2631" w:type="pct"/>
            <w:noWrap w:val="0"/>
            <w:vAlign w:val="center"/>
          </w:tcPr>
          <w:p w14:paraId="693F022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硅含量</w:t>
            </w:r>
          </w:p>
        </w:tc>
        <w:tc>
          <w:tcPr>
            <w:tcW w:w="1890" w:type="pct"/>
            <w:noWrap w:val="0"/>
            <w:vAlign w:val="center"/>
          </w:tcPr>
          <w:p w14:paraId="6C5C633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0.01%</w:t>
            </w:r>
          </w:p>
        </w:tc>
      </w:tr>
      <w:tr w14:paraId="06865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0C9F0DC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11</w:t>
            </w:r>
          </w:p>
        </w:tc>
        <w:tc>
          <w:tcPr>
            <w:tcW w:w="2631" w:type="pct"/>
            <w:noWrap w:val="0"/>
            <w:vAlign w:val="center"/>
          </w:tcPr>
          <w:p w14:paraId="47700DE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铜含量</w:t>
            </w:r>
          </w:p>
        </w:tc>
        <w:tc>
          <w:tcPr>
            <w:tcW w:w="1890" w:type="pct"/>
            <w:noWrap w:val="0"/>
            <w:vAlign w:val="center"/>
          </w:tcPr>
          <w:p w14:paraId="7958649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0.5mg/Kg</w:t>
            </w:r>
          </w:p>
        </w:tc>
      </w:tr>
      <w:tr w14:paraId="5B4B1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04ABE57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12</w:t>
            </w:r>
          </w:p>
        </w:tc>
        <w:tc>
          <w:tcPr>
            <w:tcW w:w="2631" w:type="pct"/>
            <w:noWrap w:val="0"/>
            <w:vAlign w:val="center"/>
          </w:tcPr>
          <w:p w14:paraId="78F271F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钠含量</w:t>
            </w:r>
          </w:p>
        </w:tc>
        <w:tc>
          <w:tcPr>
            <w:tcW w:w="1890" w:type="pct"/>
            <w:noWrap w:val="0"/>
            <w:vAlign w:val="center"/>
          </w:tcPr>
          <w:p w14:paraId="6B9D1124">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0.09%</w:t>
            </w:r>
          </w:p>
        </w:tc>
      </w:tr>
      <w:tr w14:paraId="0A2AD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4E99976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13</w:t>
            </w:r>
          </w:p>
        </w:tc>
        <w:tc>
          <w:tcPr>
            <w:tcW w:w="2631" w:type="pct"/>
            <w:noWrap w:val="0"/>
            <w:vAlign w:val="center"/>
          </w:tcPr>
          <w:p w14:paraId="2A525C2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锰含量</w:t>
            </w:r>
          </w:p>
        </w:tc>
        <w:tc>
          <w:tcPr>
            <w:tcW w:w="1890" w:type="pct"/>
            <w:noWrap w:val="0"/>
            <w:vAlign w:val="center"/>
          </w:tcPr>
          <w:p w14:paraId="47A229B0">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0.1mg/Kg</w:t>
            </w:r>
          </w:p>
        </w:tc>
      </w:tr>
    </w:tbl>
    <w:p w14:paraId="29DF49B7">
      <w:pPr>
        <w:bidi w:val="0"/>
        <w:rPr>
          <w:rFonts w:hint="eastAsia"/>
          <w:color w:val="auto"/>
          <w:lang w:val="en-US" w:eastAsia="zh-CN"/>
        </w:rPr>
      </w:pPr>
    </w:p>
    <w:p w14:paraId="406F0400">
      <w:pPr>
        <w:bidi w:val="0"/>
        <w:rPr>
          <w:rFonts w:hint="eastAsia"/>
          <w:color w:val="auto"/>
          <w:lang w:val="en-US" w:eastAsia="zh-CN"/>
        </w:rPr>
      </w:pPr>
      <w:r>
        <w:rPr>
          <w:rFonts w:hint="eastAsia"/>
          <w:color w:val="auto"/>
          <w:lang w:val="en-US" w:eastAsia="zh-CN"/>
        </w:rPr>
        <w:t>3）二甲基亚砜（DMSO）（D溶剂）</w:t>
      </w:r>
    </w:p>
    <w:p w14:paraId="2720BB2A">
      <w:pPr>
        <w:rPr>
          <w:rFonts w:hint="eastAsia"/>
          <w:b w:val="0"/>
          <w:bCs w:val="0"/>
          <w:color w:val="auto"/>
          <w:u w:val="none"/>
          <w:lang w:val="en-US" w:eastAsia="zh-CN"/>
        </w:rPr>
      </w:pPr>
    </w:p>
    <w:p w14:paraId="3256B54C">
      <w:pPr>
        <w:pStyle w:val="10"/>
        <w:bidi w:val="0"/>
      </w:pPr>
      <w:r>
        <w:t xml:space="preserve">表 </w:t>
      </w:r>
      <w:r>
        <w:fldChar w:fldCharType="begin"/>
      </w:r>
      <w:r>
        <w:instrText xml:space="preserve"> STYLEREF 2 \s </w:instrText>
      </w:r>
      <w:r>
        <w:fldChar w:fldCharType="separate"/>
      </w:r>
      <w:r>
        <w:t>4.1</w:t>
      </w:r>
      <w:r>
        <w:fldChar w:fldCharType="end"/>
      </w:r>
      <w:r>
        <w:rPr>
          <w:rFonts w:hint="eastAsia"/>
          <w:lang w:eastAsia="zh-CN"/>
        </w:rPr>
        <w:t>-</w:t>
      </w:r>
      <w:r>
        <w:fldChar w:fldCharType="begin"/>
      </w:r>
      <w:r>
        <w:instrText xml:space="preserve"> SEQ 表 \* ARABIC \s 2 </w:instrText>
      </w:r>
      <w:r>
        <w:fldChar w:fldCharType="separate"/>
      </w:r>
      <w:r>
        <w:t>10</w:t>
      </w:r>
      <w:r>
        <w:fldChar w:fldCharType="end"/>
      </w:r>
      <w:r>
        <w:rPr>
          <w:rFonts w:hint="eastAsia"/>
          <w:lang w:val="en-US" w:eastAsia="zh-CN"/>
        </w:rPr>
        <w:t xml:space="preserve">  二甲基亚砜</w:t>
      </w:r>
      <w:r>
        <w:t>的理化性质及危险特性表</w:t>
      </w:r>
    </w:p>
    <w:tbl>
      <w:tblPr>
        <w:tblStyle w:val="31"/>
        <w:tblW w:w="4689"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672"/>
        <w:gridCol w:w="1136"/>
        <w:gridCol w:w="992"/>
        <w:gridCol w:w="935"/>
        <w:gridCol w:w="812"/>
        <w:gridCol w:w="1039"/>
        <w:gridCol w:w="717"/>
        <w:gridCol w:w="394"/>
        <w:gridCol w:w="321"/>
        <w:gridCol w:w="423"/>
        <w:gridCol w:w="454"/>
        <w:gridCol w:w="550"/>
      </w:tblGrid>
      <w:tr w14:paraId="10FA464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restart"/>
            <w:vAlign w:val="center"/>
          </w:tcPr>
          <w:p w14:paraId="19E1CE4D">
            <w:pPr>
              <w:pStyle w:val="182"/>
              <w:bidi w:val="0"/>
              <w:rPr>
                <w:color w:val="auto"/>
              </w:rPr>
            </w:pPr>
            <w:r>
              <w:rPr>
                <w:rFonts w:hint="eastAsia"/>
                <w:color w:val="auto"/>
              </w:rPr>
              <w:t>标</w:t>
            </w:r>
          </w:p>
          <w:p w14:paraId="33360EDC">
            <w:pPr>
              <w:pStyle w:val="182"/>
              <w:bidi w:val="0"/>
              <w:rPr>
                <w:color w:val="auto"/>
              </w:rPr>
            </w:pPr>
            <w:r>
              <w:rPr>
                <w:rFonts w:hint="eastAsia"/>
                <w:color w:val="auto"/>
              </w:rPr>
              <w:t>识</w:t>
            </w:r>
          </w:p>
        </w:tc>
        <w:tc>
          <w:tcPr>
            <w:tcW w:w="672" w:type="pct"/>
            <w:vAlign w:val="center"/>
          </w:tcPr>
          <w:p w14:paraId="6B219F49">
            <w:pPr>
              <w:bidi w:val="0"/>
              <w:ind w:firstLine="482" w:firstLineChars="200"/>
              <w:rPr>
                <w:color w:val="auto"/>
              </w:rPr>
            </w:pPr>
            <w:r>
              <w:rPr>
                <w:rFonts w:hint="eastAsia"/>
                <w:b/>
                <w:bCs/>
                <w:color w:val="auto"/>
                <w:u w:val="single"/>
                <w:lang w:val="en-US" w:eastAsia="zh-CN"/>
              </w:rPr>
              <w:t>*</w:t>
            </w:r>
          </w:p>
        </w:tc>
        <w:tc>
          <w:tcPr>
            <w:tcW w:w="587" w:type="pct"/>
            <w:vAlign w:val="center"/>
          </w:tcPr>
          <w:p w14:paraId="4963E0EB">
            <w:pPr>
              <w:bidi w:val="0"/>
              <w:ind w:firstLine="482" w:firstLineChars="200"/>
              <w:rPr>
                <w:rFonts w:hint="eastAsia" w:eastAsia="宋体"/>
                <w:color w:val="auto"/>
                <w:lang w:eastAsia="zh-CN"/>
              </w:rPr>
            </w:pPr>
            <w:r>
              <w:rPr>
                <w:rFonts w:hint="eastAsia"/>
                <w:b/>
                <w:bCs/>
                <w:color w:val="auto"/>
                <w:u w:val="single"/>
                <w:lang w:val="en-US" w:eastAsia="zh-CN"/>
              </w:rPr>
              <w:t>*</w:t>
            </w:r>
          </w:p>
        </w:tc>
        <w:tc>
          <w:tcPr>
            <w:tcW w:w="553" w:type="pct"/>
            <w:vAlign w:val="center"/>
          </w:tcPr>
          <w:p w14:paraId="098E2F86">
            <w:pPr>
              <w:bidi w:val="0"/>
              <w:ind w:firstLine="482" w:firstLineChars="200"/>
              <w:rPr>
                <w:color w:val="auto"/>
              </w:rPr>
            </w:pPr>
            <w:r>
              <w:rPr>
                <w:rFonts w:hint="eastAsia"/>
                <w:b/>
                <w:bCs/>
                <w:color w:val="auto"/>
                <w:u w:val="single"/>
                <w:lang w:val="en-US" w:eastAsia="zh-CN"/>
              </w:rPr>
              <w:t>*</w:t>
            </w:r>
          </w:p>
        </w:tc>
        <w:tc>
          <w:tcPr>
            <w:tcW w:w="1095" w:type="pct"/>
            <w:gridSpan w:val="2"/>
            <w:vAlign w:val="center"/>
          </w:tcPr>
          <w:p w14:paraId="2F1C60D6">
            <w:pPr>
              <w:bidi w:val="0"/>
              <w:ind w:firstLine="482" w:firstLineChars="200"/>
              <w:rPr>
                <w:color w:val="auto"/>
              </w:rPr>
            </w:pPr>
            <w:r>
              <w:rPr>
                <w:rFonts w:hint="eastAsia"/>
                <w:b/>
                <w:bCs/>
                <w:color w:val="auto"/>
                <w:u w:val="single"/>
                <w:lang w:val="en-US" w:eastAsia="zh-CN"/>
              </w:rPr>
              <w:t>*</w:t>
            </w:r>
          </w:p>
        </w:tc>
        <w:tc>
          <w:tcPr>
            <w:tcW w:w="1098" w:type="pct"/>
            <w:gridSpan w:val="4"/>
            <w:vAlign w:val="center"/>
          </w:tcPr>
          <w:p w14:paraId="0E01650E">
            <w:pPr>
              <w:bidi w:val="0"/>
              <w:ind w:firstLine="482" w:firstLineChars="200"/>
              <w:rPr>
                <w:color w:val="auto"/>
              </w:rPr>
            </w:pPr>
            <w:r>
              <w:rPr>
                <w:rFonts w:hint="eastAsia"/>
                <w:b/>
                <w:bCs/>
                <w:color w:val="auto"/>
                <w:u w:val="single"/>
                <w:lang w:val="en-US" w:eastAsia="zh-CN"/>
              </w:rPr>
              <w:t>*</w:t>
            </w:r>
          </w:p>
        </w:tc>
        <w:tc>
          <w:tcPr>
            <w:tcW w:w="594" w:type="pct"/>
            <w:gridSpan w:val="2"/>
            <w:vAlign w:val="center"/>
          </w:tcPr>
          <w:p w14:paraId="31E48D1A">
            <w:pPr>
              <w:bidi w:val="0"/>
              <w:ind w:firstLine="482" w:firstLineChars="200"/>
              <w:rPr>
                <w:rFonts w:hint="eastAsia" w:eastAsia="宋体"/>
                <w:color w:val="auto"/>
                <w:lang w:eastAsia="zh-CN"/>
              </w:rPr>
            </w:pPr>
            <w:r>
              <w:rPr>
                <w:rFonts w:hint="eastAsia"/>
                <w:b/>
                <w:bCs/>
                <w:color w:val="auto"/>
                <w:u w:val="single"/>
                <w:lang w:val="en-US" w:eastAsia="zh-CN"/>
              </w:rPr>
              <w:t>*</w:t>
            </w:r>
          </w:p>
        </w:tc>
      </w:tr>
      <w:tr w14:paraId="3CDBAFA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054B1753">
            <w:pPr>
              <w:pStyle w:val="182"/>
              <w:bidi w:val="0"/>
              <w:rPr>
                <w:color w:val="auto"/>
              </w:rPr>
            </w:pPr>
          </w:p>
        </w:tc>
        <w:tc>
          <w:tcPr>
            <w:tcW w:w="672" w:type="pct"/>
            <w:vAlign w:val="center"/>
          </w:tcPr>
          <w:p w14:paraId="06F10650">
            <w:pPr>
              <w:bidi w:val="0"/>
              <w:ind w:firstLine="482" w:firstLineChars="200"/>
              <w:rPr>
                <w:color w:val="auto"/>
              </w:rPr>
            </w:pPr>
            <w:r>
              <w:rPr>
                <w:rFonts w:hint="eastAsia"/>
                <w:b/>
                <w:bCs/>
                <w:color w:val="auto"/>
                <w:u w:val="single"/>
                <w:lang w:val="en-US" w:eastAsia="zh-CN"/>
              </w:rPr>
              <w:t>*</w:t>
            </w:r>
          </w:p>
        </w:tc>
        <w:tc>
          <w:tcPr>
            <w:tcW w:w="587" w:type="pct"/>
            <w:vAlign w:val="center"/>
          </w:tcPr>
          <w:p w14:paraId="16DFCF5C">
            <w:pPr>
              <w:bidi w:val="0"/>
              <w:ind w:firstLine="482" w:firstLineChars="200"/>
              <w:rPr>
                <w:rFonts w:hint="default" w:eastAsia="宋体"/>
                <w:color w:val="auto"/>
                <w:lang w:val="en-US" w:eastAsia="zh-CN"/>
              </w:rPr>
            </w:pPr>
            <w:r>
              <w:rPr>
                <w:rFonts w:hint="eastAsia"/>
                <w:b/>
                <w:bCs/>
                <w:color w:val="auto"/>
                <w:u w:val="single"/>
                <w:lang w:val="en-US" w:eastAsia="zh-CN"/>
              </w:rPr>
              <w:t>*</w:t>
            </w:r>
          </w:p>
        </w:tc>
        <w:tc>
          <w:tcPr>
            <w:tcW w:w="553" w:type="pct"/>
            <w:vAlign w:val="center"/>
          </w:tcPr>
          <w:p w14:paraId="61037FC4">
            <w:pPr>
              <w:bidi w:val="0"/>
              <w:ind w:firstLine="482" w:firstLineChars="200"/>
              <w:rPr>
                <w:color w:val="auto"/>
              </w:rPr>
            </w:pPr>
            <w:r>
              <w:rPr>
                <w:rFonts w:hint="eastAsia"/>
                <w:b/>
                <w:bCs/>
                <w:color w:val="auto"/>
                <w:u w:val="single"/>
                <w:lang w:val="en-US" w:eastAsia="zh-CN"/>
              </w:rPr>
              <w:t>*</w:t>
            </w:r>
          </w:p>
        </w:tc>
        <w:tc>
          <w:tcPr>
            <w:tcW w:w="480" w:type="pct"/>
            <w:vAlign w:val="center"/>
          </w:tcPr>
          <w:p w14:paraId="5811DA63">
            <w:pPr>
              <w:bidi w:val="0"/>
              <w:ind w:firstLine="482" w:firstLineChars="200"/>
              <w:rPr>
                <w:rFonts w:hint="default" w:eastAsia="宋体"/>
                <w:color w:val="auto"/>
                <w:lang w:val="en-US" w:eastAsia="zh-CN"/>
              </w:rPr>
            </w:pPr>
            <w:r>
              <w:rPr>
                <w:rFonts w:hint="eastAsia"/>
                <w:b/>
                <w:bCs/>
                <w:color w:val="auto"/>
                <w:u w:val="single"/>
                <w:lang w:val="en-US" w:eastAsia="zh-CN"/>
              </w:rPr>
              <w:t>*</w:t>
            </w:r>
          </w:p>
        </w:tc>
        <w:tc>
          <w:tcPr>
            <w:tcW w:w="615" w:type="pct"/>
            <w:vAlign w:val="center"/>
          </w:tcPr>
          <w:p w14:paraId="5B182659">
            <w:pPr>
              <w:bidi w:val="0"/>
              <w:ind w:firstLine="482" w:firstLineChars="200"/>
              <w:rPr>
                <w:color w:val="auto"/>
              </w:rPr>
            </w:pPr>
            <w:r>
              <w:rPr>
                <w:rFonts w:hint="eastAsia"/>
                <w:b/>
                <w:bCs/>
                <w:color w:val="auto"/>
                <w:u w:val="single"/>
                <w:lang w:val="en-US" w:eastAsia="zh-CN"/>
              </w:rPr>
              <w:t>*</w:t>
            </w:r>
          </w:p>
        </w:tc>
        <w:tc>
          <w:tcPr>
            <w:tcW w:w="424" w:type="pct"/>
            <w:vAlign w:val="center"/>
          </w:tcPr>
          <w:p w14:paraId="51B9348A">
            <w:pPr>
              <w:bidi w:val="0"/>
              <w:ind w:firstLine="482" w:firstLineChars="200"/>
              <w:rPr>
                <w:rFonts w:hint="eastAsia" w:eastAsia="宋体"/>
                <w:color w:val="auto"/>
                <w:lang w:eastAsia="zh-CN"/>
              </w:rPr>
            </w:pPr>
            <w:r>
              <w:rPr>
                <w:rFonts w:hint="eastAsia"/>
                <w:b/>
                <w:bCs/>
                <w:color w:val="auto"/>
                <w:u w:val="single"/>
                <w:lang w:val="en-US" w:eastAsia="zh-CN"/>
              </w:rPr>
              <w:t>*</w:t>
            </w:r>
          </w:p>
        </w:tc>
        <w:tc>
          <w:tcPr>
            <w:tcW w:w="673" w:type="pct"/>
            <w:gridSpan w:val="3"/>
            <w:vAlign w:val="center"/>
          </w:tcPr>
          <w:p w14:paraId="431FB668">
            <w:pPr>
              <w:bidi w:val="0"/>
              <w:ind w:firstLine="482" w:firstLineChars="200"/>
              <w:rPr>
                <w:color w:val="auto"/>
              </w:rPr>
            </w:pPr>
            <w:r>
              <w:rPr>
                <w:rFonts w:hint="eastAsia"/>
                <w:b/>
                <w:bCs/>
                <w:color w:val="auto"/>
                <w:u w:val="single"/>
                <w:lang w:val="en-US" w:eastAsia="zh-CN"/>
              </w:rPr>
              <w:t>*</w:t>
            </w:r>
          </w:p>
        </w:tc>
        <w:tc>
          <w:tcPr>
            <w:tcW w:w="594" w:type="pct"/>
            <w:gridSpan w:val="2"/>
            <w:vAlign w:val="center"/>
          </w:tcPr>
          <w:p w14:paraId="162E0852">
            <w:pPr>
              <w:bidi w:val="0"/>
              <w:ind w:firstLine="482" w:firstLineChars="200"/>
              <w:rPr>
                <w:color w:val="auto"/>
              </w:rPr>
            </w:pPr>
            <w:r>
              <w:rPr>
                <w:rFonts w:hint="eastAsia"/>
                <w:b/>
                <w:bCs/>
                <w:color w:val="auto"/>
                <w:u w:val="single"/>
                <w:lang w:val="en-US" w:eastAsia="zh-CN"/>
              </w:rPr>
              <w:t>*</w:t>
            </w:r>
          </w:p>
        </w:tc>
      </w:tr>
      <w:tr w14:paraId="3ED7AD1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restart"/>
            <w:vAlign w:val="center"/>
          </w:tcPr>
          <w:p w14:paraId="673C44A2">
            <w:pPr>
              <w:pStyle w:val="182"/>
              <w:bidi w:val="0"/>
              <w:rPr>
                <w:color w:val="auto"/>
              </w:rPr>
            </w:pPr>
            <w:r>
              <w:rPr>
                <w:rFonts w:hint="eastAsia"/>
                <w:color w:val="auto"/>
              </w:rPr>
              <w:t>理</w:t>
            </w:r>
          </w:p>
          <w:p w14:paraId="4CE1BBBA">
            <w:pPr>
              <w:pStyle w:val="182"/>
              <w:bidi w:val="0"/>
              <w:rPr>
                <w:color w:val="auto"/>
              </w:rPr>
            </w:pPr>
            <w:r>
              <w:rPr>
                <w:rFonts w:hint="eastAsia"/>
                <w:color w:val="auto"/>
              </w:rPr>
              <w:t>化</w:t>
            </w:r>
          </w:p>
          <w:p w14:paraId="731DF497">
            <w:pPr>
              <w:pStyle w:val="182"/>
              <w:bidi w:val="0"/>
              <w:rPr>
                <w:color w:val="auto"/>
              </w:rPr>
            </w:pPr>
            <w:r>
              <w:rPr>
                <w:rFonts w:hint="eastAsia"/>
                <w:color w:val="auto"/>
              </w:rPr>
              <w:t>性</w:t>
            </w:r>
          </w:p>
          <w:p w14:paraId="6637F966">
            <w:pPr>
              <w:pStyle w:val="182"/>
              <w:bidi w:val="0"/>
              <w:rPr>
                <w:color w:val="auto"/>
              </w:rPr>
            </w:pPr>
            <w:r>
              <w:rPr>
                <w:rFonts w:hint="eastAsia"/>
                <w:color w:val="auto"/>
              </w:rPr>
              <w:t>质</w:t>
            </w:r>
          </w:p>
        </w:tc>
        <w:tc>
          <w:tcPr>
            <w:tcW w:w="672" w:type="pct"/>
            <w:vAlign w:val="center"/>
          </w:tcPr>
          <w:p w14:paraId="5A118D40">
            <w:pPr>
              <w:bidi w:val="0"/>
              <w:ind w:firstLine="482" w:firstLineChars="200"/>
              <w:rPr>
                <w:color w:val="auto"/>
              </w:rPr>
            </w:pPr>
            <w:r>
              <w:rPr>
                <w:rFonts w:hint="eastAsia"/>
                <w:b/>
                <w:bCs/>
                <w:color w:val="auto"/>
                <w:u w:val="single"/>
                <w:lang w:val="en-US" w:eastAsia="zh-CN"/>
              </w:rPr>
              <w:t>*</w:t>
            </w:r>
          </w:p>
        </w:tc>
        <w:tc>
          <w:tcPr>
            <w:tcW w:w="3929" w:type="pct"/>
            <w:gridSpan w:val="10"/>
            <w:vAlign w:val="center"/>
          </w:tcPr>
          <w:p w14:paraId="73D487E2">
            <w:pPr>
              <w:bidi w:val="0"/>
              <w:ind w:firstLine="482" w:firstLineChars="200"/>
              <w:rPr>
                <w:color w:val="auto"/>
              </w:rPr>
            </w:pPr>
            <w:r>
              <w:rPr>
                <w:rFonts w:hint="eastAsia"/>
                <w:b/>
                <w:bCs/>
                <w:color w:val="auto"/>
                <w:u w:val="single"/>
                <w:lang w:val="en-US" w:eastAsia="zh-CN"/>
              </w:rPr>
              <w:t>*</w:t>
            </w:r>
          </w:p>
        </w:tc>
      </w:tr>
      <w:tr w14:paraId="7432C2C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61BB1C56">
            <w:pPr>
              <w:pStyle w:val="182"/>
              <w:bidi w:val="0"/>
              <w:rPr>
                <w:color w:val="auto"/>
              </w:rPr>
            </w:pPr>
          </w:p>
        </w:tc>
        <w:tc>
          <w:tcPr>
            <w:tcW w:w="672" w:type="pct"/>
            <w:vAlign w:val="center"/>
          </w:tcPr>
          <w:p w14:paraId="2F06E3FE">
            <w:pPr>
              <w:bidi w:val="0"/>
              <w:ind w:firstLine="482" w:firstLineChars="200"/>
              <w:rPr>
                <w:color w:val="auto"/>
              </w:rPr>
            </w:pPr>
            <w:r>
              <w:rPr>
                <w:rFonts w:hint="eastAsia"/>
                <w:b/>
                <w:bCs/>
                <w:color w:val="auto"/>
                <w:u w:val="single"/>
                <w:lang w:val="en-US" w:eastAsia="zh-CN"/>
              </w:rPr>
              <w:t>*</w:t>
            </w:r>
          </w:p>
        </w:tc>
        <w:tc>
          <w:tcPr>
            <w:tcW w:w="1621" w:type="pct"/>
            <w:gridSpan w:val="3"/>
            <w:vAlign w:val="center"/>
          </w:tcPr>
          <w:p w14:paraId="6ADA9871">
            <w:pPr>
              <w:bidi w:val="0"/>
              <w:ind w:firstLine="482" w:firstLineChars="200"/>
              <w:rPr>
                <w:rFonts w:hint="default" w:eastAsia="宋体"/>
                <w:color w:val="auto"/>
                <w:lang w:val="en-US" w:eastAsia="zh-CN"/>
              </w:rPr>
            </w:pPr>
            <w:r>
              <w:rPr>
                <w:rFonts w:hint="eastAsia"/>
                <w:b/>
                <w:bCs/>
                <w:color w:val="auto"/>
                <w:u w:val="single"/>
                <w:lang w:val="en-US" w:eastAsia="zh-CN"/>
              </w:rPr>
              <w:t>*</w:t>
            </w:r>
          </w:p>
        </w:tc>
        <w:tc>
          <w:tcPr>
            <w:tcW w:w="1462" w:type="pct"/>
            <w:gridSpan w:val="4"/>
            <w:vAlign w:val="center"/>
          </w:tcPr>
          <w:p w14:paraId="5BE9901F">
            <w:pPr>
              <w:bidi w:val="0"/>
              <w:ind w:firstLine="482" w:firstLineChars="200"/>
              <w:rPr>
                <w:color w:val="auto"/>
              </w:rPr>
            </w:pPr>
            <w:r>
              <w:rPr>
                <w:rFonts w:hint="eastAsia"/>
                <w:b/>
                <w:bCs/>
                <w:color w:val="auto"/>
                <w:u w:val="single"/>
                <w:lang w:val="en-US" w:eastAsia="zh-CN"/>
              </w:rPr>
              <w:t>*</w:t>
            </w:r>
          </w:p>
        </w:tc>
        <w:tc>
          <w:tcPr>
            <w:tcW w:w="844" w:type="pct"/>
            <w:gridSpan w:val="3"/>
            <w:vAlign w:val="center"/>
          </w:tcPr>
          <w:p w14:paraId="50480AF3">
            <w:pPr>
              <w:bidi w:val="0"/>
              <w:ind w:firstLine="482" w:firstLineChars="200"/>
              <w:rPr>
                <w:color w:val="auto"/>
              </w:rPr>
            </w:pPr>
            <w:r>
              <w:rPr>
                <w:rFonts w:hint="eastAsia"/>
                <w:b/>
                <w:bCs/>
                <w:color w:val="auto"/>
                <w:u w:val="single"/>
                <w:lang w:val="en-US" w:eastAsia="zh-CN"/>
              </w:rPr>
              <w:t>*</w:t>
            </w:r>
          </w:p>
        </w:tc>
      </w:tr>
      <w:tr w14:paraId="44393FE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59069FEE">
            <w:pPr>
              <w:pStyle w:val="182"/>
              <w:bidi w:val="0"/>
              <w:rPr>
                <w:color w:val="auto"/>
              </w:rPr>
            </w:pPr>
          </w:p>
        </w:tc>
        <w:tc>
          <w:tcPr>
            <w:tcW w:w="672" w:type="pct"/>
            <w:vAlign w:val="center"/>
          </w:tcPr>
          <w:p w14:paraId="00647A52">
            <w:pPr>
              <w:bidi w:val="0"/>
              <w:ind w:firstLine="482" w:firstLineChars="200"/>
              <w:rPr>
                <w:color w:val="auto"/>
              </w:rPr>
            </w:pPr>
            <w:r>
              <w:rPr>
                <w:rFonts w:hint="eastAsia"/>
                <w:b/>
                <w:bCs/>
                <w:color w:val="auto"/>
                <w:u w:val="single"/>
                <w:lang w:val="en-US" w:eastAsia="zh-CN"/>
              </w:rPr>
              <w:t>*</w:t>
            </w:r>
          </w:p>
        </w:tc>
        <w:tc>
          <w:tcPr>
            <w:tcW w:w="1621" w:type="pct"/>
            <w:gridSpan w:val="3"/>
            <w:vAlign w:val="center"/>
          </w:tcPr>
          <w:p w14:paraId="23D00DBE">
            <w:pPr>
              <w:bidi w:val="0"/>
              <w:ind w:firstLine="482" w:firstLineChars="200"/>
              <w:rPr>
                <w:rFonts w:hint="default" w:eastAsia="宋体"/>
                <w:color w:val="auto"/>
                <w:lang w:val="en-US" w:eastAsia="zh-CN"/>
              </w:rPr>
            </w:pPr>
            <w:r>
              <w:rPr>
                <w:rFonts w:hint="eastAsia"/>
                <w:b/>
                <w:bCs/>
                <w:color w:val="auto"/>
                <w:u w:val="single"/>
                <w:lang w:val="en-US" w:eastAsia="zh-CN"/>
              </w:rPr>
              <w:t>*</w:t>
            </w:r>
          </w:p>
        </w:tc>
        <w:tc>
          <w:tcPr>
            <w:tcW w:w="1462" w:type="pct"/>
            <w:gridSpan w:val="4"/>
            <w:vAlign w:val="center"/>
          </w:tcPr>
          <w:p w14:paraId="1D02FE41">
            <w:pPr>
              <w:bidi w:val="0"/>
              <w:ind w:firstLine="482" w:firstLineChars="200"/>
              <w:rPr>
                <w:color w:val="auto"/>
              </w:rPr>
            </w:pPr>
            <w:r>
              <w:rPr>
                <w:rFonts w:hint="eastAsia"/>
                <w:b/>
                <w:bCs/>
                <w:color w:val="auto"/>
                <w:u w:val="single"/>
                <w:lang w:val="en-US" w:eastAsia="zh-CN"/>
              </w:rPr>
              <w:t>*</w:t>
            </w:r>
          </w:p>
        </w:tc>
        <w:tc>
          <w:tcPr>
            <w:tcW w:w="844" w:type="pct"/>
            <w:gridSpan w:val="3"/>
            <w:vAlign w:val="center"/>
          </w:tcPr>
          <w:p w14:paraId="16792DB4">
            <w:pPr>
              <w:bidi w:val="0"/>
              <w:ind w:firstLine="482" w:firstLineChars="200"/>
              <w:rPr>
                <w:rFonts w:hint="default" w:eastAsia="宋体"/>
                <w:color w:val="auto"/>
                <w:lang w:val="en-US" w:eastAsia="zh-CN"/>
              </w:rPr>
            </w:pPr>
            <w:r>
              <w:rPr>
                <w:rFonts w:hint="eastAsia"/>
                <w:b/>
                <w:bCs/>
                <w:color w:val="auto"/>
                <w:u w:val="single"/>
                <w:lang w:val="en-US" w:eastAsia="zh-CN"/>
              </w:rPr>
              <w:t>*</w:t>
            </w:r>
          </w:p>
        </w:tc>
      </w:tr>
      <w:tr w14:paraId="0915962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7CFBA6B2">
            <w:pPr>
              <w:pStyle w:val="182"/>
              <w:bidi w:val="0"/>
              <w:rPr>
                <w:color w:val="auto"/>
              </w:rPr>
            </w:pPr>
          </w:p>
        </w:tc>
        <w:tc>
          <w:tcPr>
            <w:tcW w:w="672" w:type="pct"/>
            <w:vAlign w:val="center"/>
          </w:tcPr>
          <w:p w14:paraId="10A5C094">
            <w:pPr>
              <w:bidi w:val="0"/>
              <w:ind w:firstLine="482" w:firstLineChars="200"/>
              <w:rPr>
                <w:color w:val="auto"/>
              </w:rPr>
            </w:pPr>
            <w:r>
              <w:rPr>
                <w:rFonts w:hint="eastAsia"/>
                <w:b/>
                <w:bCs/>
                <w:color w:val="auto"/>
                <w:u w:val="single"/>
                <w:lang w:val="en-US" w:eastAsia="zh-CN"/>
              </w:rPr>
              <w:t>*</w:t>
            </w:r>
          </w:p>
        </w:tc>
        <w:tc>
          <w:tcPr>
            <w:tcW w:w="1621" w:type="pct"/>
            <w:gridSpan w:val="3"/>
            <w:vAlign w:val="center"/>
          </w:tcPr>
          <w:p w14:paraId="5C35AFD1">
            <w:pPr>
              <w:bidi w:val="0"/>
              <w:ind w:firstLine="482" w:firstLineChars="200"/>
              <w:rPr>
                <w:rFonts w:hint="default" w:eastAsia="宋体"/>
                <w:color w:val="auto"/>
                <w:lang w:val="en-US" w:eastAsia="zh-CN"/>
              </w:rPr>
            </w:pPr>
            <w:r>
              <w:rPr>
                <w:rFonts w:hint="eastAsia"/>
                <w:b/>
                <w:bCs/>
                <w:color w:val="auto"/>
                <w:u w:val="single"/>
                <w:lang w:val="en-US" w:eastAsia="zh-CN"/>
              </w:rPr>
              <w:t>*</w:t>
            </w:r>
          </w:p>
        </w:tc>
        <w:tc>
          <w:tcPr>
            <w:tcW w:w="1462" w:type="pct"/>
            <w:gridSpan w:val="4"/>
            <w:vAlign w:val="center"/>
          </w:tcPr>
          <w:p w14:paraId="090D5167">
            <w:pPr>
              <w:bidi w:val="0"/>
              <w:ind w:firstLine="482" w:firstLineChars="200"/>
              <w:rPr>
                <w:color w:val="auto"/>
              </w:rPr>
            </w:pPr>
            <w:r>
              <w:rPr>
                <w:rFonts w:hint="eastAsia"/>
                <w:b/>
                <w:bCs/>
                <w:color w:val="auto"/>
                <w:u w:val="single"/>
                <w:lang w:val="en-US" w:eastAsia="zh-CN"/>
              </w:rPr>
              <w:t>*</w:t>
            </w:r>
          </w:p>
        </w:tc>
        <w:tc>
          <w:tcPr>
            <w:tcW w:w="844" w:type="pct"/>
            <w:gridSpan w:val="3"/>
            <w:vAlign w:val="center"/>
          </w:tcPr>
          <w:p w14:paraId="44795A64">
            <w:pPr>
              <w:bidi w:val="0"/>
              <w:ind w:firstLine="482" w:firstLineChars="200"/>
              <w:rPr>
                <w:rFonts w:hint="default" w:eastAsia="宋体"/>
                <w:color w:val="auto"/>
                <w:lang w:val="en-US" w:eastAsia="zh-CN"/>
              </w:rPr>
            </w:pPr>
            <w:r>
              <w:rPr>
                <w:rFonts w:hint="eastAsia"/>
                <w:b/>
                <w:bCs/>
                <w:color w:val="auto"/>
                <w:u w:val="single"/>
                <w:lang w:val="en-US" w:eastAsia="zh-CN"/>
              </w:rPr>
              <w:t>*</w:t>
            </w:r>
          </w:p>
        </w:tc>
      </w:tr>
      <w:tr w14:paraId="02E858A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0C5202B0">
            <w:pPr>
              <w:pStyle w:val="182"/>
              <w:bidi w:val="0"/>
              <w:rPr>
                <w:color w:val="auto"/>
              </w:rPr>
            </w:pPr>
          </w:p>
        </w:tc>
        <w:tc>
          <w:tcPr>
            <w:tcW w:w="672" w:type="pct"/>
            <w:vAlign w:val="center"/>
          </w:tcPr>
          <w:p w14:paraId="13460003">
            <w:pPr>
              <w:bidi w:val="0"/>
              <w:ind w:firstLine="482" w:firstLineChars="200"/>
              <w:rPr>
                <w:color w:val="auto"/>
              </w:rPr>
            </w:pPr>
            <w:r>
              <w:rPr>
                <w:rFonts w:hint="eastAsia"/>
                <w:b/>
                <w:bCs/>
                <w:color w:val="auto"/>
                <w:u w:val="single"/>
                <w:lang w:val="en-US" w:eastAsia="zh-CN"/>
              </w:rPr>
              <w:t>*</w:t>
            </w:r>
          </w:p>
        </w:tc>
        <w:tc>
          <w:tcPr>
            <w:tcW w:w="3929" w:type="pct"/>
            <w:gridSpan w:val="10"/>
            <w:vAlign w:val="center"/>
          </w:tcPr>
          <w:p w14:paraId="449DD8C1">
            <w:pPr>
              <w:bidi w:val="0"/>
              <w:ind w:firstLine="482" w:firstLineChars="200"/>
              <w:rPr>
                <w:color w:val="auto"/>
              </w:rPr>
            </w:pPr>
            <w:r>
              <w:rPr>
                <w:rFonts w:hint="eastAsia"/>
                <w:b/>
                <w:bCs/>
                <w:color w:val="auto"/>
                <w:u w:val="single"/>
                <w:lang w:val="en-US" w:eastAsia="zh-CN"/>
              </w:rPr>
              <w:t>*</w:t>
            </w:r>
          </w:p>
        </w:tc>
      </w:tr>
      <w:tr w14:paraId="414A8E1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restart"/>
            <w:vAlign w:val="center"/>
          </w:tcPr>
          <w:p w14:paraId="30E8297D">
            <w:pPr>
              <w:pStyle w:val="182"/>
              <w:bidi w:val="0"/>
              <w:rPr>
                <w:color w:val="auto"/>
              </w:rPr>
            </w:pPr>
            <w:r>
              <w:rPr>
                <w:rFonts w:hint="eastAsia"/>
                <w:color w:val="auto"/>
              </w:rPr>
              <w:t>燃</w:t>
            </w:r>
          </w:p>
          <w:p w14:paraId="2820CCEA">
            <w:pPr>
              <w:pStyle w:val="182"/>
              <w:bidi w:val="0"/>
              <w:rPr>
                <w:color w:val="auto"/>
              </w:rPr>
            </w:pPr>
            <w:r>
              <w:rPr>
                <w:rFonts w:hint="eastAsia"/>
                <w:color w:val="auto"/>
              </w:rPr>
              <w:t>烧</w:t>
            </w:r>
          </w:p>
          <w:p w14:paraId="55B39A2C">
            <w:pPr>
              <w:pStyle w:val="182"/>
              <w:bidi w:val="0"/>
              <w:rPr>
                <w:color w:val="auto"/>
              </w:rPr>
            </w:pPr>
            <w:r>
              <w:rPr>
                <w:rFonts w:hint="eastAsia"/>
                <w:color w:val="auto"/>
              </w:rPr>
              <w:t>爆</w:t>
            </w:r>
          </w:p>
          <w:p w14:paraId="11E65E27">
            <w:pPr>
              <w:pStyle w:val="182"/>
              <w:bidi w:val="0"/>
              <w:rPr>
                <w:color w:val="auto"/>
              </w:rPr>
            </w:pPr>
            <w:r>
              <w:rPr>
                <w:rFonts w:hint="eastAsia"/>
                <w:color w:val="auto"/>
              </w:rPr>
              <w:t>炸</w:t>
            </w:r>
          </w:p>
          <w:p w14:paraId="3D5205D2">
            <w:pPr>
              <w:pStyle w:val="182"/>
              <w:bidi w:val="0"/>
              <w:rPr>
                <w:color w:val="auto"/>
              </w:rPr>
            </w:pPr>
            <w:r>
              <w:rPr>
                <w:rFonts w:hint="eastAsia"/>
                <w:color w:val="auto"/>
              </w:rPr>
              <w:t>危</w:t>
            </w:r>
          </w:p>
          <w:p w14:paraId="0A29EF59">
            <w:pPr>
              <w:pStyle w:val="182"/>
              <w:bidi w:val="0"/>
              <w:rPr>
                <w:color w:val="auto"/>
              </w:rPr>
            </w:pPr>
            <w:r>
              <w:rPr>
                <w:rFonts w:hint="eastAsia"/>
                <w:color w:val="auto"/>
              </w:rPr>
              <w:t>险</w:t>
            </w:r>
          </w:p>
          <w:p w14:paraId="5B20E782">
            <w:pPr>
              <w:pStyle w:val="182"/>
              <w:bidi w:val="0"/>
              <w:rPr>
                <w:color w:val="auto"/>
              </w:rPr>
            </w:pPr>
            <w:r>
              <w:rPr>
                <w:rFonts w:hint="eastAsia"/>
                <w:color w:val="auto"/>
              </w:rPr>
              <w:t>性</w:t>
            </w:r>
          </w:p>
        </w:tc>
        <w:tc>
          <w:tcPr>
            <w:tcW w:w="672" w:type="pct"/>
            <w:vAlign w:val="center"/>
          </w:tcPr>
          <w:p w14:paraId="3CCA61A5">
            <w:pPr>
              <w:bidi w:val="0"/>
              <w:ind w:firstLine="482" w:firstLineChars="200"/>
              <w:rPr>
                <w:color w:val="auto"/>
              </w:rPr>
            </w:pPr>
            <w:r>
              <w:rPr>
                <w:rFonts w:hint="eastAsia"/>
                <w:b/>
                <w:bCs/>
                <w:color w:val="auto"/>
                <w:u w:val="single"/>
                <w:lang w:val="en-US" w:eastAsia="zh-CN"/>
              </w:rPr>
              <w:t>*</w:t>
            </w:r>
          </w:p>
        </w:tc>
        <w:tc>
          <w:tcPr>
            <w:tcW w:w="1621" w:type="pct"/>
            <w:gridSpan w:val="3"/>
            <w:vAlign w:val="center"/>
          </w:tcPr>
          <w:p w14:paraId="11CC3D7A">
            <w:pPr>
              <w:bidi w:val="0"/>
              <w:ind w:firstLine="482" w:firstLineChars="200"/>
              <w:rPr>
                <w:color w:val="auto"/>
              </w:rPr>
            </w:pPr>
            <w:r>
              <w:rPr>
                <w:rFonts w:hint="eastAsia"/>
                <w:b/>
                <w:bCs/>
                <w:color w:val="auto"/>
                <w:u w:val="single"/>
                <w:lang w:val="en-US" w:eastAsia="zh-CN"/>
              </w:rPr>
              <w:t>*</w:t>
            </w:r>
          </w:p>
        </w:tc>
        <w:tc>
          <w:tcPr>
            <w:tcW w:w="1462" w:type="pct"/>
            <w:gridSpan w:val="4"/>
            <w:vAlign w:val="center"/>
          </w:tcPr>
          <w:p w14:paraId="67A87D85">
            <w:pPr>
              <w:bidi w:val="0"/>
              <w:ind w:firstLine="482" w:firstLineChars="200"/>
              <w:rPr>
                <w:color w:val="auto"/>
              </w:rPr>
            </w:pPr>
            <w:r>
              <w:rPr>
                <w:rFonts w:hint="eastAsia"/>
                <w:b/>
                <w:bCs/>
                <w:color w:val="auto"/>
                <w:u w:val="single"/>
                <w:lang w:val="en-US" w:eastAsia="zh-CN"/>
              </w:rPr>
              <w:t>*</w:t>
            </w:r>
          </w:p>
        </w:tc>
        <w:tc>
          <w:tcPr>
            <w:tcW w:w="844" w:type="pct"/>
            <w:gridSpan w:val="3"/>
            <w:vAlign w:val="center"/>
          </w:tcPr>
          <w:p w14:paraId="4C80A292">
            <w:pPr>
              <w:bidi w:val="0"/>
              <w:ind w:firstLine="482" w:firstLineChars="200"/>
              <w:rPr>
                <w:rFonts w:hint="default" w:eastAsia="宋体"/>
                <w:color w:val="auto"/>
                <w:lang w:val="en-US" w:eastAsia="zh-CN"/>
              </w:rPr>
            </w:pPr>
            <w:r>
              <w:rPr>
                <w:rFonts w:hint="eastAsia"/>
                <w:b/>
                <w:bCs/>
                <w:color w:val="auto"/>
                <w:u w:val="single"/>
                <w:lang w:val="en-US" w:eastAsia="zh-CN"/>
              </w:rPr>
              <w:t>*</w:t>
            </w:r>
          </w:p>
        </w:tc>
      </w:tr>
      <w:tr w14:paraId="4CAAB88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458D45F0">
            <w:pPr>
              <w:pStyle w:val="182"/>
              <w:bidi w:val="0"/>
              <w:rPr>
                <w:color w:val="auto"/>
              </w:rPr>
            </w:pPr>
          </w:p>
        </w:tc>
        <w:tc>
          <w:tcPr>
            <w:tcW w:w="672" w:type="pct"/>
            <w:vAlign w:val="center"/>
          </w:tcPr>
          <w:p w14:paraId="19EEFDD6">
            <w:pPr>
              <w:bidi w:val="0"/>
              <w:ind w:firstLine="482" w:firstLineChars="200"/>
              <w:rPr>
                <w:color w:val="auto"/>
              </w:rPr>
            </w:pPr>
            <w:r>
              <w:rPr>
                <w:rFonts w:hint="eastAsia"/>
                <w:b/>
                <w:bCs/>
                <w:color w:val="auto"/>
                <w:u w:val="single"/>
                <w:lang w:val="en-US" w:eastAsia="zh-CN"/>
              </w:rPr>
              <w:t>*</w:t>
            </w:r>
          </w:p>
        </w:tc>
        <w:tc>
          <w:tcPr>
            <w:tcW w:w="3929" w:type="pct"/>
            <w:gridSpan w:val="10"/>
            <w:vAlign w:val="center"/>
          </w:tcPr>
          <w:p w14:paraId="04D4B27C">
            <w:pPr>
              <w:bidi w:val="0"/>
              <w:ind w:firstLine="482" w:firstLineChars="200"/>
              <w:rPr>
                <w:color w:val="auto"/>
              </w:rPr>
            </w:pPr>
            <w:r>
              <w:rPr>
                <w:rFonts w:hint="eastAsia"/>
                <w:b/>
                <w:bCs/>
                <w:color w:val="auto"/>
                <w:u w:val="single"/>
                <w:lang w:val="en-US" w:eastAsia="zh-CN"/>
              </w:rPr>
              <w:t>*</w:t>
            </w:r>
          </w:p>
        </w:tc>
      </w:tr>
      <w:tr w14:paraId="357DC85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07CA8E55">
            <w:pPr>
              <w:pStyle w:val="182"/>
              <w:bidi w:val="0"/>
              <w:rPr>
                <w:color w:val="auto"/>
              </w:rPr>
            </w:pPr>
          </w:p>
        </w:tc>
        <w:tc>
          <w:tcPr>
            <w:tcW w:w="672" w:type="pct"/>
            <w:vAlign w:val="center"/>
          </w:tcPr>
          <w:p w14:paraId="30E42425">
            <w:pPr>
              <w:bidi w:val="0"/>
              <w:ind w:firstLine="482" w:firstLineChars="200"/>
              <w:rPr>
                <w:color w:val="auto"/>
              </w:rPr>
            </w:pPr>
            <w:r>
              <w:rPr>
                <w:rFonts w:hint="eastAsia"/>
                <w:b/>
                <w:bCs/>
                <w:color w:val="auto"/>
                <w:u w:val="single"/>
                <w:lang w:val="en-US" w:eastAsia="zh-CN"/>
              </w:rPr>
              <w:t>*</w:t>
            </w:r>
          </w:p>
        </w:tc>
        <w:tc>
          <w:tcPr>
            <w:tcW w:w="3929" w:type="pct"/>
            <w:gridSpan w:val="10"/>
            <w:vAlign w:val="center"/>
          </w:tcPr>
          <w:p w14:paraId="790CE36B">
            <w:pPr>
              <w:bidi w:val="0"/>
              <w:ind w:firstLine="482" w:firstLineChars="200"/>
              <w:rPr>
                <w:color w:val="auto"/>
              </w:rPr>
            </w:pPr>
            <w:r>
              <w:rPr>
                <w:rFonts w:hint="eastAsia"/>
                <w:b/>
                <w:bCs/>
                <w:color w:val="auto"/>
                <w:u w:val="single"/>
                <w:lang w:val="en-US" w:eastAsia="zh-CN"/>
              </w:rPr>
              <w:t>*</w:t>
            </w:r>
          </w:p>
        </w:tc>
      </w:tr>
      <w:tr w14:paraId="44585C8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527EDCF3">
            <w:pPr>
              <w:pStyle w:val="182"/>
              <w:bidi w:val="0"/>
              <w:rPr>
                <w:color w:val="auto"/>
              </w:rPr>
            </w:pPr>
          </w:p>
        </w:tc>
        <w:tc>
          <w:tcPr>
            <w:tcW w:w="672" w:type="pct"/>
            <w:vAlign w:val="center"/>
          </w:tcPr>
          <w:p w14:paraId="5E981C6F">
            <w:pPr>
              <w:bidi w:val="0"/>
              <w:ind w:firstLine="482" w:firstLineChars="200"/>
              <w:rPr>
                <w:color w:val="auto"/>
              </w:rPr>
            </w:pPr>
            <w:r>
              <w:rPr>
                <w:rFonts w:hint="eastAsia"/>
                <w:b/>
                <w:bCs/>
                <w:color w:val="auto"/>
                <w:u w:val="single"/>
                <w:lang w:val="en-US" w:eastAsia="zh-CN"/>
              </w:rPr>
              <w:t>*</w:t>
            </w:r>
          </w:p>
        </w:tc>
        <w:tc>
          <w:tcPr>
            <w:tcW w:w="2894" w:type="pct"/>
            <w:gridSpan w:val="6"/>
            <w:vAlign w:val="center"/>
          </w:tcPr>
          <w:p w14:paraId="686C3407">
            <w:pPr>
              <w:bidi w:val="0"/>
              <w:ind w:firstLine="482" w:firstLineChars="200"/>
              <w:rPr>
                <w:color w:val="auto"/>
              </w:rPr>
            </w:pPr>
            <w:r>
              <w:rPr>
                <w:rFonts w:hint="eastAsia"/>
                <w:b/>
                <w:bCs/>
                <w:color w:val="auto"/>
                <w:u w:val="single"/>
                <w:lang w:val="en-US" w:eastAsia="zh-CN"/>
              </w:rPr>
              <w:t>*</w:t>
            </w:r>
          </w:p>
        </w:tc>
        <w:tc>
          <w:tcPr>
            <w:tcW w:w="709" w:type="pct"/>
            <w:gridSpan w:val="3"/>
            <w:vAlign w:val="center"/>
          </w:tcPr>
          <w:p w14:paraId="2CD23E0B">
            <w:pPr>
              <w:bidi w:val="0"/>
              <w:ind w:firstLine="482" w:firstLineChars="200"/>
              <w:rPr>
                <w:color w:val="auto"/>
              </w:rPr>
            </w:pPr>
            <w:r>
              <w:rPr>
                <w:rFonts w:hint="eastAsia"/>
                <w:b/>
                <w:bCs/>
                <w:color w:val="auto"/>
                <w:u w:val="single"/>
                <w:lang w:val="en-US" w:eastAsia="zh-CN"/>
              </w:rPr>
              <w:t>*</w:t>
            </w:r>
          </w:p>
        </w:tc>
        <w:tc>
          <w:tcPr>
            <w:tcW w:w="325" w:type="pct"/>
            <w:vAlign w:val="center"/>
          </w:tcPr>
          <w:p w14:paraId="77A056B9">
            <w:pPr>
              <w:bidi w:val="0"/>
              <w:ind w:firstLine="482" w:firstLineChars="200"/>
              <w:rPr>
                <w:color w:val="auto"/>
              </w:rPr>
            </w:pPr>
            <w:r>
              <w:rPr>
                <w:rFonts w:hint="eastAsia"/>
                <w:b/>
                <w:bCs/>
                <w:color w:val="auto"/>
                <w:u w:val="single"/>
                <w:lang w:val="en-US" w:eastAsia="zh-CN"/>
              </w:rPr>
              <w:t>*</w:t>
            </w:r>
          </w:p>
        </w:tc>
      </w:tr>
      <w:tr w14:paraId="444A23A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60622F84">
            <w:pPr>
              <w:pStyle w:val="182"/>
              <w:bidi w:val="0"/>
              <w:rPr>
                <w:color w:val="auto"/>
              </w:rPr>
            </w:pPr>
          </w:p>
        </w:tc>
        <w:tc>
          <w:tcPr>
            <w:tcW w:w="672" w:type="pct"/>
            <w:vAlign w:val="center"/>
          </w:tcPr>
          <w:p w14:paraId="073A65F4">
            <w:pPr>
              <w:bidi w:val="0"/>
              <w:ind w:firstLine="482" w:firstLineChars="200"/>
              <w:rPr>
                <w:color w:val="auto"/>
              </w:rPr>
            </w:pPr>
            <w:r>
              <w:rPr>
                <w:rFonts w:hint="eastAsia"/>
                <w:b/>
                <w:bCs/>
                <w:color w:val="auto"/>
                <w:u w:val="single"/>
                <w:lang w:val="en-US" w:eastAsia="zh-CN"/>
              </w:rPr>
              <w:t>*</w:t>
            </w:r>
          </w:p>
        </w:tc>
        <w:tc>
          <w:tcPr>
            <w:tcW w:w="2894" w:type="pct"/>
            <w:gridSpan w:val="6"/>
            <w:vAlign w:val="center"/>
          </w:tcPr>
          <w:p w14:paraId="2BE3E4C7">
            <w:pPr>
              <w:bidi w:val="0"/>
              <w:ind w:firstLine="482" w:firstLineChars="200"/>
              <w:rPr>
                <w:color w:val="auto"/>
              </w:rPr>
            </w:pPr>
            <w:r>
              <w:rPr>
                <w:rFonts w:hint="eastAsia"/>
                <w:b/>
                <w:bCs/>
                <w:color w:val="auto"/>
                <w:u w:val="single"/>
                <w:lang w:val="en-US" w:eastAsia="zh-CN"/>
              </w:rPr>
              <w:t>*</w:t>
            </w:r>
          </w:p>
        </w:tc>
        <w:tc>
          <w:tcPr>
            <w:tcW w:w="709" w:type="pct"/>
            <w:gridSpan w:val="3"/>
            <w:vAlign w:val="center"/>
          </w:tcPr>
          <w:p w14:paraId="449223B3">
            <w:pPr>
              <w:bidi w:val="0"/>
              <w:ind w:firstLine="482" w:firstLineChars="200"/>
              <w:rPr>
                <w:color w:val="auto"/>
              </w:rPr>
            </w:pPr>
            <w:r>
              <w:rPr>
                <w:rFonts w:hint="eastAsia"/>
                <w:b/>
                <w:bCs/>
                <w:color w:val="auto"/>
                <w:u w:val="single"/>
                <w:lang w:val="en-US" w:eastAsia="zh-CN"/>
              </w:rPr>
              <w:t>*</w:t>
            </w:r>
          </w:p>
        </w:tc>
        <w:tc>
          <w:tcPr>
            <w:tcW w:w="325" w:type="pct"/>
            <w:vAlign w:val="center"/>
          </w:tcPr>
          <w:p w14:paraId="4529FB46">
            <w:pPr>
              <w:bidi w:val="0"/>
              <w:ind w:firstLine="482" w:firstLineChars="200"/>
              <w:rPr>
                <w:color w:val="auto"/>
              </w:rPr>
            </w:pPr>
            <w:r>
              <w:rPr>
                <w:rFonts w:hint="eastAsia"/>
                <w:b/>
                <w:bCs/>
                <w:color w:val="auto"/>
                <w:u w:val="single"/>
                <w:lang w:val="en-US" w:eastAsia="zh-CN"/>
              </w:rPr>
              <w:t>*</w:t>
            </w:r>
          </w:p>
        </w:tc>
      </w:tr>
      <w:tr w14:paraId="7C9E730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restart"/>
            <w:vAlign w:val="center"/>
          </w:tcPr>
          <w:p w14:paraId="1E957CD7">
            <w:pPr>
              <w:pStyle w:val="182"/>
              <w:bidi w:val="0"/>
              <w:rPr>
                <w:color w:val="auto"/>
              </w:rPr>
            </w:pPr>
            <w:r>
              <w:rPr>
                <w:rFonts w:hint="eastAsia"/>
                <w:color w:val="auto"/>
              </w:rPr>
              <w:t>毒性及健康危害</w:t>
            </w:r>
          </w:p>
        </w:tc>
        <w:tc>
          <w:tcPr>
            <w:tcW w:w="672" w:type="pct"/>
            <w:vAlign w:val="center"/>
          </w:tcPr>
          <w:p w14:paraId="7298674A">
            <w:pPr>
              <w:bidi w:val="0"/>
              <w:ind w:firstLine="482" w:firstLineChars="200"/>
              <w:rPr>
                <w:color w:val="auto"/>
              </w:rPr>
            </w:pPr>
            <w:r>
              <w:rPr>
                <w:rFonts w:hint="eastAsia"/>
                <w:b/>
                <w:bCs/>
                <w:color w:val="auto"/>
                <w:u w:val="single"/>
                <w:lang w:val="en-US" w:eastAsia="zh-CN"/>
              </w:rPr>
              <w:t>*</w:t>
            </w:r>
          </w:p>
        </w:tc>
        <w:tc>
          <w:tcPr>
            <w:tcW w:w="3929" w:type="pct"/>
            <w:gridSpan w:val="10"/>
            <w:vAlign w:val="center"/>
          </w:tcPr>
          <w:p w14:paraId="4D46B539">
            <w:pPr>
              <w:bidi w:val="0"/>
              <w:ind w:firstLine="482" w:firstLineChars="200"/>
              <w:rPr>
                <w:rFonts w:hint="default" w:eastAsia="宋体"/>
                <w:color w:val="auto"/>
                <w:lang w:val="en-US" w:eastAsia="zh-CN"/>
              </w:rPr>
            </w:pPr>
            <w:r>
              <w:rPr>
                <w:rFonts w:hint="eastAsia"/>
                <w:b/>
                <w:bCs/>
                <w:color w:val="auto"/>
                <w:u w:val="single"/>
                <w:lang w:val="en-US" w:eastAsia="zh-CN"/>
              </w:rPr>
              <w:t>*</w:t>
            </w:r>
          </w:p>
        </w:tc>
      </w:tr>
      <w:tr w14:paraId="7E742C4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386" w:hRule="atLeast"/>
          <w:jc w:val="center"/>
        </w:trPr>
        <w:tc>
          <w:tcPr>
            <w:tcW w:w="397" w:type="pct"/>
            <w:vMerge w:val="continue"/>
            <w:vAlign w:val="center"/>
          </w:tcPr>
          <w:p w14:paraId="696C27AA">
            <w:pPr>
              <w:pStyle w:val="182"/>
              <w:bidi w:val="0"/>
              <w:rPr>
                <w:color w:val="auto"/>
              </w:rPr>
            </w:pPr>
          </w:p>
        </w:tc>
        <w:tc>
          <w:tcPr>
            <w:tcW w:w="672" w:type="pct"/>
            <w:vAlign w:val="center"/>
          </w:tcPr>
          <w:p w14:paraId="11A3448E">
            <w:pPr>
              <w:bidi w:val="0"/>
              <w:ind w:firstLine="482" w:firstLineChars="200"/>
              <w:rPr>
                <w:color w:val="auto"/>
              </w:rPr>
            </w:pPr>
            <w:r>
              <w:rPr>
                <w:rFonts w:hint="eastAsia"/>
                <w:b/>
                <w:bCs/>
                <w:color w:val="auto"/>
                <w:u w:val="single"/>
                <w:lang w:val="en-US" w:eastAsia="zh-CN"/>
              </w:rPr>
              <w:t>*</w:t>
            </w:r>
          </w:p>
        </w:tc>
        <w:tc>
          <w:tcPr>
            <w:tcW w:w="3929" w:type="pct"/>
            <w:gridSpan w:val="10"/>
            <w:vAlign w:val="center"/>
          </w:tcPr>
          <w:p w14:paraId="6BB2162C">
            <w:pPr>
              <w:bidi w:val="0"/>
              <w:ind w:firstLine="482" w:firstLineChars="200"/>
              <w:rPr>
                <w:color w:val="auto"/>
              </w:rPr>
            </w:pPr>
            <w:r>
              <w:rPr>
                <w:rFonts w:hint="eastAsia"/>
                <w:b/>
                <w:bCs/>
                <w:color w:val="auto"/>
                <w:u w:val="single"/>
                <w:lang w:val="en-US" w:eastAsia="zh-CN"/>
              </w:rPr>
              <w:t>*</w:t>
            </w:r>
          </w:p>
        </w:tc>
      </w:tr>
      <w:tr w14:paraId="2A35F46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Align w:val="center"/>
          </w:tcPr>
          <w:p w14:paraId="4A8E16E3">
            <w:pPr>
              <w:pStyle w:val="182"/>
              <w:bidi w:val="0"/>
              <w:rPr>
                <w:color w:val="auto"/>
              </w:rPr>
            </w:pPr>
            <w:r>
              <w:rPr>
                <w:rFonts w:hint="eastAsia"/>
                <w:color w:val="auto"/>
              </w:rPr>
              <w:t>急救</w:t>
            </w:r>
          </w:p>
        </w:tc>
        <w:tc>
          <w:tcPr>
            <w:tcW w:w="4602" w:type="pct"/>
            <w:gridSpan w:val="11"/>
            <w:vAlign w:val="center"/>
          </w:tcPr>
          <w:p w14:paraId="2E831D4F">
            <w:pPr>
              <w:bidi w:val="0"/>
              <w:ind w:firstLine="482" w:firstLineChars="200"/>
              <w:rPr>
                <w:color w:val="auto"/>
              </w:rPr>
            </w:pPr>
            <w:r>
              <w:rPr>
                <w:rFonts w:hint="eastAsia"/>
                <w:b/>
                <w:bCs/>
                <w:color w:val="auto"/>
                <w:u w:val="single"/>
                <w:lang w:val="en-US" w:eastAsia="zh-CN"/>
              </w:rPr>
              <w:t>*</w:t>
            </w:r>
          </w:p>
        </w:tc>
      </w:tr>
      <w:tr w14:paraId="6362EAC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Align w:val="center"/>
          </w:tcPr>
          <w:p w14:paraId="2783AE91">
            <w:pPr>
              <w:pStyle w:val="182"/>
              <w:bidi w:val="0"/>
              <w:rPr>
                <w:color w:val="auto"/>
              </w:rPr>
            </w:pPr>
            <w:r>
              <w:rPr>
                <w:rFonts w:hint="eastAsia"/>
                <w:color w:val="auto"/>
              </w:rPr>
              <w:t>防护</w:t>
            </w:r>
          </w:p>
        </w:tc>
        <w:tc>
          <w:tcPr>
            <w:tcW w:w="4602" w:type="pct"/>
            <w:gridSpan w:val="11"/>
            <w:vAlign w:val="center"/>
          </w:tcPr>
          <w:p w14:paraId="3D0856B0">
            <w:pPr>
              <w:bidi w:val="0"/>
              <w:ind w:firstLine="482" w:firstLineChars="200"/>
              <w:rPr>
                <w:color w:val="auto"/>
              </w:rPr>
            </w:pPr>
            <w:r>
              <w:rPr>
                <w:rFonts w:hint="eastAsia"/>
                <w:b/>
                <w:bCs/>
                <w:color w:val="auto"/>
                <w:u w:val="single"/>
                <w:lang w:val="en-US" w:eastAsia="zh-CN"/>
              </w:rPr>
              <w:t>*</w:t>
            </w:r>
          </w:p>
        </w:tc>
      </w:tr>
      <w:tr w14:paraId="2CB86FA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Align w:val="center"/>
          </w:tcPr>
          <w:p w14:paraId="5D25C15B">
            <w:pPr>
              <w:pStyle w:val="182"/>
              <w:bidi w:val="0"/>
              <w:rPr>
                <w:color w:val="auto"/>
              </w:rPr>
            </w:pPr>
            <w:r>
              <w:rPr>
                <w:rFonts w:hint="eastAsia"/>
                <w:color w:val="auto"/>
              </w:rPr>
              <w:t>泄漏处理</w:t>
            </w:r>
          </w:p>
        </w:tc>
        <w:tc>
          <w:tcPr>
            <w:tcW w:w="4602" w:type="pct"/>
            <w:gridSpan w:val="11"/>
            <w:vAlign w:val="center"/>
          </w:tcPr>
          <w:p w14:paraId="46D9DF25">
            <w:pPr>
              <w:bidi w:val="0"/>
              <w:ind w:firstLine="482" w:firstLineChars="200"/>
              <w:rPr>
                <w:color w:val="auto"/>
              </w:rPr>
            </w:pPr>
            <w:r>
              <w:rPr>
                <w:rFonts w:hint="eastAsia"/>
                <w:b/>
                <w:bCs/>
                <w:color w:val="auto"/>
                <w:u w:val="single"/>
                <w:lang w:val="en-US" w:eastAsia="zh-CN"/>
              </w:rPr>
              <w:t>*</w:t>
            </w:r>
          </w:p>
        </w:tc>
      </w:tr>
      <w:tr w14:paraId="75693B6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Align w:val="center"/>
          </w:tcPr>
          <w:p w14:paraId="62F99BB9">
            <w:pPr>
              <w:pStyle w:val="182"/>
              <w:bidi w:val="0"/>
              <w:rPr>
                <w:color w:val="auto"/>
              </w:rPr>
            </w:pPr>
            <w:r>
              <w:rPr>
                <w:rFonts w:hint="eastAsia"/>
                <w:color w:val="auto"/>
              </w:rPr>
              <w:t>储运</w:t>
            </w:r>
          </w:p>
        </w:tc>
        <w:tc>
          <w:tcPr>
            <w:tcW w:w="4602" w:type="pct"/>
            <w:gridSpan w:val="11"/>
            <w:vAlign w:val="center"/>
          </w:tcPr>
          <w:p w14:paraId="0D2E8363">
            <w:pPr>
              <w:bidi w:val="0"/>
              <w:ind w:firstLine="482" w:firstLineChars="200"/>
              <w:rPr>
                <w:color w:val="auto"/>
              </w:rPr>
            </w:pPr>
            <w:r>
              <w:rPr>
                <w:rFonts w:hint="eastAsia"/>
                <w:b/>
                <w:bCs/>
                <w:color w:val="auto"/>
                <w:u w:val="single"/>
                <w:lang w:val="en-US" w:eastAsia="zh-CN"/>
              </w:rPr>
              <w:t>*</w:t>
            </w:r>
          </w:p>
        </w:tc>
      </w:tr>
    </w:tbl>
    <w:p w14:paraId="595EB5DC">
      <w:pPr>
        <w:bidi w:val="0"/>
        <w:rPr>
          <w:rFonts w:hint="eastAsia"/>
          <w:b w:val="0"/>
          <w:bCs w:val="0"/>
          <w:color w:val="auto"/>
          <w:u w:val="none"/>
          <w:lang w:val="en-US" w:eastAsia="zh-CN"/>
        </w:rPr>
      </w:pPr>
      <w:r>
        <w:rPr>
          <w:rFonts w:hint="eastAsia"/>
          <w:color w:val="auto"/>
          <w:lang w:val="en-US" w:eastAsia="zh-CN"/>
        </w:rPr>
        <w:t>4）</w:t>
      </w:r>
      <w:r>
        <w:rPr>
          <w:rFonts w:hint="eastAsia"/>
          <w:b w:val="0"/>
          <w:bCs w:val="0"/>
          <w:color w:val="auto"/>
          <w:u w:val="none"/>
          <w:lang w:val="en-US" w:eastAsia="zh-CN"/>
        </w:rPr>
        <w:t>季铵盐类离子液</w:t>
      </w:r>
      <w:r>
        <w:rPr>
          <w:rFonts w:hint="eastAsia"/>
          <w:color w:val="auto"/>
          <w:lang w:val="en-US" w:eastAsia="zh-CN"/>
        </w:rPr>
        <w:t>（T溶剂）</w:t>
      </w:r>
    </w:p>
    <w:p w14:paraId="4B611C1C">
      <w:pPr>
        <w:pStyle w:val="10"/>
        <w:bidi w:val="0"/>
        <w:rPr>
          <w:rFonts w:hint="eastAsia"/>
          <w:b/>
          <w:bCs/>
          <w:color w:val="auto"/>
          <w:u w:val="single"/>
          <w:lang w:val="en-US" w:eastAsia="zh-CN"/>
        </w:rPr>
      </w:pPr>
      <w:r>
        <w:rPr>
          <w:rFonts w:hint="eastAsia"/>
          <w:b/>
          <w:bCs/>
          <w:color w:val="auto"/>
          <w:u w:val="single"/>
          <w:lang w:val="en-US" w:eastAsia="zh-CN"/>
        </w:rPr>
        <w:t>*</w:t>
      </w:r>
    </w:p>
    <w:p w14:paraId="3BCA9312">
      <w:pPr>
        <w:pStyle w:val="10"/>
        <w:bidi w:val="0"/>
        <w:rPr>
          <w:b/>
          <w:bCs/>
          <w:u w:val="single"/>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4.1</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11</w:t>
      </w:r>
      <w:r>
        <w:rPr>
          <w:b/>
          <w:bCs/>
          <w:u w:val="single"/>
        </w:rPr>
        <w:fldChar w:fldCharType="end"/>
      </w:r>
      <w:r>
        <w:rPr>
          <w:rFonts w:hint="eastAsia"/>
          <w:b/>
          <w:bCs/>
          <w:u w:val="single"/>
          <w:lang w:val="en-US" w:eastAsia="zh-CN"/>
        </w:rPr>
        <w:t xml:space="preserve"> 季铵盐类离子液</w:t>
      </w:r>
      <w:r>
        <w:rPr>
          <w:b/>
          <w:bCs/>
          <w:u w:val="single"/>
        </w:rPr>
        <w:t>的理化性质及危险特性表</w:t>
      </w:r>
    </w:p>
    <w:tbl>
      <w:tblPr>
        <w:tblStyle w:val="31"/>
        <w:tblW w:w="4689"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672"/>
        <w:gridCol w:w="1136"/>
        <w:gridCol w:w="992"/>
        <w:gridCol w:w="935"/>
        <w:gridCol w:w="812"/>
        <w:gridCol w:w="1039"/>
        <w:gridCol w:w="717"/>
        <w:gridCol w:w="715"/>
        <w:gridCol w:w="495"/>
        <w:gridCol w:w="932"/>
      </w:tblGrid>
      <w:tr w14:paraId="53179AF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restart"/>
            <w:vAlign w:val="center"/>
          </w:tcPr>
          <w:p w14:paraId="24E82A39">
            <w:pPr>
              <w:pStyle w:val="182"/>
              <w:bidi w:val="0"/>
              <w:rPr>
                <w:b/>
                <w:bCs/>
                <w:color w:val="auto"/>
                <w:u w:val="single"/>
              </w:rPr>
            </w:pPr>
            <w:r>
              <w:rPr>
                <w:rFonts w:hint="eastAsia"/>
                <w:b/>
                <w:bCs/>
                <w:color w:val="auto"/>
                <w:u w:val="single"/>
              </w:rPr>
              <w:t>标</w:t>
            </w:r>
          </w:p>
          <w:p w14:paraId="501A360A">
            <w:pPr>
              <w:pStyle w:val="182"/>
              <w:bidi w:val="0"/>
              <w:rPr>
                <w:b/>
                <w:bCs/>
                <w:color w:val="auto"/>
                <w:u w:val="single"/>
              </w:rPr>
            </w:pPr>
            <w:r>
              <w:rPr>
                <w:rFonts w:hint="eastAsia"/>
                <w:b/>
                <w:bCs/>
                <w:color w:val="auto"/>
                <w:u w:val="single"/>
              </w:rPr>
              <w:t>识</w:t>
            </w:r>
          </w:p>
        </w:tc>
        <w:tc>
          <w:tcPr>
            <w:tcW w:w="672" w:type="pct"/>
            <w:vAlign w:val="center"/>
          </w:tcPr>
          <w:p w14:paraId="79B3A062">
            <w:pPr>
              <w:bidi w:val="0"/>
              <w:ind w:firstLine="482" w:firstLineChars="200"/>
              <w:rPr>
                <w:b/>
                <w:bCs/>
                <w:color w:val="auto"/>
                <w:u w:val="single"/>
              </w:rPr>
            </w:pPr>
            <w:r>
              <w:rPr>
                <w:rFonts w:hint="eastAsia"/>
                <w:b/>
                <w:bCs/>
                <w:color w:val="auto"/>
                <w:u w:val="single"/>
                <w:lang w:val="en-US" w:eastAsia="zh-CN"/>
              </w:rPr>
              <w:t>*</w:t>
            </w:r>
          </w:p>
        </w:tc>
        <w:tc>
          <w:tcPr>
            <w:tcW w:w="587" w:type="pct"/>
            <w:vAlign w:val="center"/>
          </w:tcPr>
          <w:p w14:paraId="5AFD33F6">
            <w:pPr>
              <w:bidi w:val="0"/>
              <w:ind w:firstLine="482" w:firstLineChars="200"/>
              <w:rPr>
                <w:rFonts w:hint="eastAsia" w:eastAsia="宋体"/>
                <w:b/>
                <w:bCs/>
                <w:color w:val="auto"/>
                <w:u w:val="single"/>
                <w:lang w:eastAsia="zh-CN"/>
              </w:rPr>
            </w:pPr>
            <w:r>
              <w:rPr>
                <w:rFonts w:hint="eastAsia"/>
                <w:b/>
                <w:bCs/>
                <w:color w:val="auto"/>
                <w:u w:val="single"/>
                <w:lang w:val="en-US" w:eastAsia="zh-CN"/>
              </w:rPr>
              <w:t>*</w:t>
            </w:r>
          </w:p>
        </w:tc>
        <w:tc>
          <w:tcPr>
            <w:tcW w:w="553" w:type="pct"/>
            <w:vAlign w:val="center"/>
          </w:tcPr>
          <w:p w14:paraId="6D07DD46">
            <w:pPr>
              <w:bidi w:val="0"/>
              <w:ind w:firstLine="482" w:firstLineChars="200"/>
              <w:rPr>
                <w:b/>
                <w:bCs/>
                <w:color w:val="auto"/>
                <w:u w:val="single"/>
              </w:rPr>
            </w:pPr>
            <w:r>
              <w:rPr>
                <w:rFonts w:hint="eastAsia"/>
                <w:b/>
                <w:bCs/>
                <w:color w:val="auto"/>
                <w:u w:val="single"/>
                <w:lang w:val="en-US" w:eastAsia="zh-CN"/>
              </w:rPr>
              <w:t>*</w:t>
            </w:r>
          </w:p>
        </w:tc>
        <w:tc>
          <w:tcPr>
            <w:tcW w:w="1095" w:type="pct"/>
            <w:gridSpan w:val="2"/>
            <w:vAlign w:val="center"/>
          </w:tcPr>
          <w:p w14:paraId="44A03F66">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c>
          <w:tcPr>
            <w:tcW w:w="1140" w:type="pct"/>
            <w:gridSpan w:val="3"/>
            <w:vAlign w:val="center"/>
          </w:tcPr>
          <w:p w14:paraId="1A4C5987">
            <w:pPr>
              <w:bidi w:val="0"/>
              <w:ind w:firstLine="482" w:firstLineChars="200"/>
              <w:rPr>
                <w:b/>
                <w:bCs/>
                <w:color w:val="auto"/>
                <w:u w:val="single"/>
              </w:rPr>
            </w:pPr>
            <w:r>
              <w:rPr>
                <w:rFonts w:hint="eastAsia"/>
                <w:b/>
                <w:bCs/>
                <w:color w:val="auto"/>
                <w:u w:val="single"/>
                <w:lang w:val="en-US" w:eastAsia="zh-CN"/>
              </w:rPr>
              <w:t>*</w:t>
            </w:r>
          </w:p>
        </w:tc>
        <w:tc>
          <w:tcPr>
            <w:tcW w:w="551" w:type="pct"/>
            <w:vAlign w:val="center"/>
          </w:tcPr>
          <w:p w14:paraId="333AAEB8">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r>
      <w:tr w14:paraId="2EAE3A9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177C6940">
            <w:pPr>
              <w:pStyle w:val="182"/>
              <w:bidi w:val="0"/>
              <w:rPr>
                <w:b/>
                <w:bCs/>
                <w:color w:val="auto"/>
                <w:u w:val="single"/>
              </w:rPr>
            </w:pPr>
          </w:p>
        </w:tc>
        <w:tc>
          <w:tcPr>
            <w:tcW w:w="672" w:type="pct"/>
            <w:vAlign w:val="center"/>
          </w:tcPr>
          <w:p w14:paraId="1FDD0E8D">
            <w:pPr>
              <w:bidi w:val="0"/>
              <w:ind w:firstLine="482" w:firstLineChars="200"/>
              <w:rPr>
                <w:b/>
                <w:bCs/>
                <w:color w:val="auto"/>
                <w:u w:val="single"/>
              </w:rPr>
            </w:pPr>
            <w:r>
              <w:rPr>
                <w:rFonts w:hint="eastAsia"/>
                <w:b/>
                <w:bCs/>
                <w:color w:val="auto"/>
                <w:u w:val="single"/>
                <w:lang w:val="en-US" w:eastAsia="zh-CN"/>
              </w:rPr>
              <w:t>*</w:t>
            </w:r>
          </w:p>
        </w:tc>
        <w:tc>
          <w:tcPr>
            <w:tcW w:w="587" w:type="pct"/>
            <w:vAlign w:val="center"/>
          </w:tcPr>
          <w:p w14:paraId="1E4860CC">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c>
          <w:tcPr>
            <w:tcW w:w="553" w:type="pct"/>
            <w:vAlign w:val="center"/>
          </w:tcPr>
          <w:p w14:paraId="3893A45B">
            <w:pPr>
              <w:bidi w:val="0"/>
              <w:ind w:firstLine="482" w:firstLineChars="200"/>
              <w:rPr>
                <w:b/>
                <w:bCs/>
                <w:color w:val="auto"/>
                <w:u w:val="single"/>
              </w:rPr>
            </w:pPr>
            <w:r>
              <w:rPr>
                <w:rFonts w:hint="eastAsia"/>
                <w:b/>
                <w:bCs/>
                <w:color w:val="auto"/>
                <w:u w:val="single"/>
                <w:lang w:val="en-US" w:eastAsia="zh-CN"/>
              </w:rPr>
              <w:t>*</w:t>
            </w:r>
          </w:p>
        </w:tc>
        <w:tc>
          <w:tcPr>
            <w:tcW w:w="480" w:type="pct"/>
            <w:vAlign w:val="center"/>
          </w:tcPr>
          <w:p w14:paraId="1AE9D2BE">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c>
          <w:tcPr>
            <w:tcW w:w="615" w:type="pct"/>
            <w:vAlign w:val="center"/>
          </w:tcPr>
          <w:p w14:paraId="33107986">
            <w:pPr>
              <w:bidi w:val="0"/>
              <w:ind w:firstLine="482" w:firstLineChars="200"/>
              <w:rPr>
                <w:b/>
                <w:bCs/>
                <w:color w:val="auto"/>
                <w:u w:val="single"/>
              </w:rPr>
            </w:pPr>
            <w:r>
              <w:rPr>
                <w:rFonts w:hint="eastAsia"/>
                <w:b/>
                <w:bCs/>
                <w:color w:val="auto"/>
                <w:u w:val="single"/>
                <w:lang w:val="en-US" w:eastAsia="zh-CN"/>
              </w:rPr>
              <w:t>*</w:t>
            </w:r>
          </w:p>
        </w:tc>
        <w:tc>
          <w:tcPr>
            <w:tcW w:w="424" w:type="pct"/>
            <w:vAlign w:val="center"/>
          </w:tcPr>
          <w:p w14:paraId="6B99100F">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c>
          <w:tcPr>
            <w:tcW w:w="716" w:type="pct"/>
            <w:gridSpan w:val="2"/>
            <w:vAlign w:val="center"/>
          </w:tcPr>
          <w:p w14:paraId="5C709929">
            <w:pPr>
              <w:bidi w:val="0"/>
              <w:ind w:firstLine="482" w:firstLineChars="200"/>
              <w:rPr>
                <w:b/>
                <w:bCs/>
                <w:color w:val="auto"/>
                <w:u w:val="single"/>
              </w:rPr>
            </w:pPr>
            <w:r>
              <w:rPr>
                <w:rFonts w:hint="eastAsia"/>
                <w:b/>
                <w:bCs/>
                <w:color w:val="auto"/>
                <w:u w:val="single"/>
                <w:lang w:val="en-US" w:eastAsia="zh-CN"/>
              </w:rPr>
              <w:t>*</w:t>
            </w:r>
          </w:p>
        </w:tc>
        <w:tc>
          <w:tcPr>
            <w:tcW w:w="551" w:type="pct"/>
            <w:vAlign w:val="center"/>
          </w:tcPr>
          <w:p w14:paraId="272EE39C">
            <w:pPr>
              <w:bidi w:val="0"/>
              <w:ind w:firstLine="482" w:firstLineChars="200"/>
              <w:rPr>
                <w:rFonts w:hint="eastAsia" w:eastAsia="宋体"/>
                <w:b/>
                <w:bCs/>
                <w:color w:val="auto"/>
                <w:u w:val="single"/>
                <w:lang w:val="en-US" w:eastAsia="zh-CN"/>
              </w:rPr>
            </w:pPr>
            <w:r>
              <w:rPr>
                <w:rFonts w:hint="eastAsia"/>
                <w:b/>
                <w:bCs/>
                <w:color w:val="auto"/>
                <w:u w:val="single"/>
                <w:lang w:val="en-US" w:eastAsia="zh-CN"/>
              </w:rPr>
              <w:t>*</w:t>
            </w:r>
          </w:p>
        </w:tc>
      </w:tr>
      <w:tr w14:paraId="0ED9F6D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441CDAAC">
            <w:pPr>
              <w:pStyle w:val="182"/>
              <w:bidi w:val="0"/>
              <w:rPr>
                <w:b/>
                <w:bCs/>
                <w:color w:val="auto"/>
                <w:u w:val="single"/>
              </w:rPr>
            </w:pPr>
          </w:p>
        </w:tc>
        <w:tc>
          <w:tcPr>
            <w:tcW w:w="672" w:type="pct"/>
            <w:vAlign w:val="center"/>
          </w:tcPr>
          <w:p w14:paraId="5471EE92">
            <w:pPr>
              <w:bidi w:val="0"/>
              <w:ind w:firstLine="482" w:firstLineChars="200"/>
              <w:rPr>
                <w:b/>
                <w:bCs/>
                <w:color w:val="auto"/>
                <w:u w:val="single"/>
              </w:rPr>
            </w:pPr>
            <w:r>
              <w:rPr>
                <w:rFonts w:hint="eastAsia"/>
                <w:b/>
                <w:bCs/>
                <w:color w:val="auto"/>
                <w:u w:val="single"/>
                <w:lang w:val="en-US" w:eastAsia="zh-CN"/>
              </w:rPr>
              <w:t>*</w:t>
            </w:r>
          </w:p>
        </w:tc>
        <w:tc>
          <w:tcPr>
            <w:tcW w:w="3929" w:type="pct"/>
            <w:gridSpan w:val="8"/>
            <w:vAlign w:val="center"/>
          </w:tcPr>
          <w:p w14:paraId="574948BB">
            <w:pPr>
              <w:bidi w:val="0"/>
              <w:ind w:firstLine="482" w:firstLineChars="200"/>
              <w:rPr>
                <w:rFonts w:hint="eastAsia" w:eastAsia="宋体"/>
                <w:b/>
                <w:bCs/>
                <w:color w:val="auto"/>
                <w:u w:val="single"/>
                <w:lang w:eastAsia="zh-CN"/>
              </w:rPr>
            </w:pPr>
            <w:r>
              <w:rPr>
                <w:rFonts w:hint="eastAsia"/>
                <w:b/>
                <w:bCs/>
                <w:color w:val="auto"/>
                <w:u w:val="single"/>
                <w:lang w:val="en-US" w:eastAsia="zh-CN"/>
              </w:rPr>
              <w:t>*</w:t>
            </w:r>
          </w:p>
        </w:tc>
      </w:tr>
      <w:tr w14:paraId="5EDA48F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restart"/>
            <w:vAlign w:val="center"/>
          </w:tcPr>
          <w:p w14:paraId="3406623F">
            <w:pPr>
              <w:pStyle w:val="182"/>
              <w:bidi w:val="0"/>
              <w:rPr>
                <w:b/>
                <w:bCs/>
                <w:color w:val="auto"/>
                <w:u w:val="single"/>
              </w:rPr>
            </w:pPr>
            <w:r>
              <w:rPr>
                <w:rFonts w:hint="eastAsia"/>
                <w:b/>
                <w:bCs/>
                <w:color w:val="auto"/>
                <w:u w:val="single"/>
              </w:rPr>
              <w:t>理</w:t>
            </w:r>
          </w:p>
          <w:p w14:paraId="153B6A6A">
            <w:pPr>
              <w:pStyle w:val="182"/>
              <w:bidi w:val="0"/>
              <w:rPr>
                <w:b/>
                <w:bCs/>
                <w:color w:val="auto"/>
                <w:u w:val="single"/>
              </w:rPr>
            </w:pPr>
            <w:r>
              <w:rPr>
                <w:rFonts w:hint="eastAsia"/>
                <w:b/>
                <w:bCs/>
                <w:color w:val="auto"/>
                <w:u w:val="single"/>
              </w:rPr>
              <w:t>化</w:t>
            </w:r>
          </w:p>
          <w:p w14:paraId="460088F1">
            <w:pPr>
              <w:pStyle w:val="182"/>
              <w:bidi w:val="0"/>
              <w:rPr>
                <w:b/>
                <w:bCs/>
                <w:color w:val="auto"/>
                <w:u w:val="single"/>
              </w:rPr>
            </w:pPr>
            <w:r>
              <w:rPr>
                <w:rFonts w:hint="eastAsia"/>
                <w:b/>
                <w:bCs/>
                <w:color w:val="auto"/>
                <w:u w:val="single"/>
              </w:rPr>
              <w:t>性</w:t>
            </w:r>
          </w:p>
          <w:p w14:paraId="3F651BA4">
            <w:pPr>
              <w:pStyle w:val="182"/>
              <w:bidi w:val="0"/>
              <w:rPr>
                <w:b/>
                <w:bCs/>
                <w:color w:val="auto"/>
                <w:u w:val="single"/>
              </w:rPr>
            </w:pPr>
            <w:r>
              <w:rPr>
                <w:rFonts w:hint="eastAsia"/>
                <w:b/>
                <w:bCs/>
                <w:color w:val="auto"/>
                <w:u w:val="single"/>
              </w:rPr>
              <w:t>质</w:t>
            </w:r>
          </w:p>
        </w:tc>
        <w:tc>
          <w:tcPr>
            <w:tcW w:w="672" w:type="pct"/>
            <w:vAlign w:val="center"/>
          </w:tcPr>
          <w:p w14:paraId="5CF0CB1B">
            <w:pPr>
              <w:bidi w:val="0"/>
              <w:ind w:firstLine="482" w:firstLineChars="200"/>
              <w:rPr>
                <w:b/>
                <w:bCs/>
                <w:color w:val="auto"/>
                <w:u w:val="single"/>
              </w:rPr>
            </w:pPr>
            <w:r>
              <w:rPr>
                <w:rFonts w:hint="eastAsia"/>
                <w:b/>
                <w:bCs/>
                <w:color w:val="auto"/>
                <w:u w:val="single"/>
                <w:lang w:val="en-US" w:eastAsia="zh-CN"/>
              </w:rPr>
              <w:t>*</w:t>
            </w:r>
          </w:p>
        </w:tc>
        <w:tc>
          <w:tcPr>
            <w:tcW w:w="3929" w:type="pct"/>
            <w:gridSpan w:val="8"/>
            <w:vAlign w:val="center"/>
          </w:tcPr>
          <w:p w14:paraId="211DBF17">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r>
      <w:tr w14:paraId="228F1FF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6360457B">
            <w:pPr>
              <w:pStyle w:val="182"/>
              <w:bidi w:val="0"/>
              <w:rPr>
                <w:b/>
                <w:bCs/>
                <w:color w:val="auto"/>
                <w:u w:val="single"/>
              </w:rPr>
            </w:pPr>
          </w:p>
        </w:tc>
        <w:tc>
          <w:tcPr>
            <w:tcW w:w="672" w:type="pct"/>
            <w:vAlign w:val="center"/>
          </w:tcPr>
          <w:p w14:paraId="42A5E7D0">
            <w:pPr>
              <w:bidi w:val="0"/>
              <w:ind w:firstLine="482" w:firstLineChars="200"/>
              <w:rPr>
                <w:b/>
                <w:bCs/>
                <w:color w:val="auto"/>
                <w:u w:val="single"/>
              </w:rPr>
            </w:pPr>
            <w:r>
              <w:rPr>
                <w:rFonts w:hint="eastAsia"/>
                <w:b/>
                <w:bCs/>
                <w:color w:val="auto"/>
                <w:u w:val="single"/>
                <w:lang w:val="en-US" w:eastAsia="zh-CN"/>
              </w:rPr>
              <w:t>*</w:t>
            </w:r>
          </w:p>
        </w:tc>
        <w:tc>
          <w:tcPr>
            <w:tcW w:w="1621" w:type="pct"/>
            <w:gridSpan w:val="3"/>
            <w:vAlign w:val="center"/>
          </w:tcPr>
          <w:p w14:paraId="0A7AF098">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c>
          <w:tcPr>
            <w:tcW w:w="1462" w:type="pct"/>
            <w:gridSpan w:val="3"/>
            <w:vAlign w:val="center"/>
          </w:tcPr>
          <w:p w14:paraId="1DEC76DB">
            <w:pPr>
              <w:bidi w:val="0"/>
              <w:ind w:firstLine="482" w:firstLineChars="200"/>
              <w:rPr>
                <w:b/>
                <w:bCs/>
                <w:color w:val="auto"/>
                <w:u w:val="single"/>
              </w:rPr>
            </w:pPr>
            <w:r>
              <w:rPr>
                <w:rFonts w:hint="eastAsia"/>
                <w:b/>
                <w:bCs/>
                <w:color w:val="auto"/>
                <w:u w:val="single"/>
                <w:lang w:val="en-US" w:eastAsia="zh-CN"/>
              </w:rPr>
              <w:t>*</w:t>
            </w:r>
          </w:p>
        </w:tc>
        <w:tc>
          <w:tcPr>
            <w:tcW w:w="844" w:type="pct"/>
            <w:gridSpan w:val="2"/>
            <w:vAlign w:val="center"/>
          </w:tcPr>
          <w:p w14:paraId="14C3AD7F">
            <w:pPr>
              <w:bidi w:val="0"/>
              <w:ind w:firstLine="482" w:firstLineChars="200"/>
              <w:rPr>
                <w:b/>
                <w:bCs/>
                <w:color w:val="auto"/>
                <w:u w:val="single"/>
              </w:rPr>
            </w:pPr>
            <w:r>
              <w:rPr>
                <w:rFonts w:hint="eastAsia"/>
                <w:b/>
                <w:bCs/>
                <w:color w:val="auto"/>
                <w:u w:val="single"/>
                <w:lang w:val="en-US" w:eastAsia="zh-CN"/>
              </w:rPr>
              <w:t>*</w:t>
            </w:r>
          </w:p>
        </w:tc>
      </w:tr>
      <w:tr w14:paraId="76E9A24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7E68521F">
            <w:pPr>
              <w:pStyle w:val="182"/>
              <w:bidi w:val="0"/>
              <w:rPr>
                <w:b/>
                <w:bCs/>
                <w:color w:val="auto"/>
                <w:u w:val="single"/>
              </w:rPr>
            </w:pPr>
          </w:p>
        </w:tc>
        <w:tc>
          <w:tcPr>
            <w:tcW w:w="672" w:type="pct"/>
            <w:vAlign w:val="center"/>
          </w:tcPr>
          <w:p w14:paraId="625D2B4D">
            <w:pPr>
              <w:bidi w:val="0"/>
              <w:ind w:firstLine="482" w:firstLineChars="200"/>
              <w:rPr>
                <w:b/>
                <w:bCs/>
                <w:color w:val="auto"/>
                <w:u w:val="single"/>
              </w:rPr>
            </w:pPr>
            <w:r>
              <w:rPr>
                <w:rFonts w:hint="eastAsia"/>
                <w:b/>
                <w:bCs/>
                <w:color w:val="auto"/>
                <w:u w:val="single"/>
                <w:lang w:val="en-US" w:eastAsia="zh-CN"/>
              </w:rPr>
              <w:t>*</w:t>
            </w:r>
          </w:p>
        </w:tc>
        <w:tc>
          <w:tcPr>
            <w:tcW w:w="1621" w:type="pct"/>
            <w:gridSpan w:val="3"/>
            <w:vAlign w:val="center"/>
          </w:tcPr>
          <w:p w14:paraId="33FB1893">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c>
          <w:tcPr>
            <w:tcW w:w="1462" w:type="pct"/>
            <w:gridSpan w:val="3"/>
            <w:vAlign w:val="center"/>
          </w:tcPr>
          <w:p w14:paraId="18F9F30B">
            <w:pPr>
              <w:bidi w:val="0"/>
              <w:ind w:firstLine="482" w:firstLineChars="200"/>
              <w:rPr>
                <w:b/>
                <w:bCs/>
                <w:color w:val="auto"/>
                <w:u w:val="single"/>
              </w:rPr>
            </w:pPr>
            <w:r>
              <w:rPr>
                <w:rFonts w:hint="eastAsia"/>
                <w:b/>
                <w:bCs/>
                <w:color w:val="auto"/>
                <w:u w:val="single"/>
                <w:lang w:val="en-US" w:eastAsia="zh-CN"/>
              </w:rPr>
              <w:t>*</w:t>
            </w:r>
          </w:p>
        </w:tc>
        <w:tc>
          <w:tcPr>
            <w:tcW w:w="844" w:type="pct"/>
            <w:gridSpan w:val="2"/>
            <w:vAlign w:val="center"/>
          </w:tcPr>
          <w:p w14:paraId="0485AF5F">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r>
      <w:tr w14:paraId="31E08E8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4F1ECCBB">
            <w:pPr>
              <w:pStyle w:val="182"/>
              <w:bidi w:val="0"/>
              <w:rPr>
                <w:b/>
                <w:bCs/>
                <w:color w:val="auto"/>
                <w:u w:val="single"/>
              </w:rPr>
            </w:pPr>
          </w:p>
        </w:tc>
        <w:tc>
          <w:tcPr>
            <w:tcW w:w="672" w:type="pct"/>
            <w:vAlign w:val="center"/>
          </w:tcPr>
          <w:p w14:paraId="7F383807">
            <w:pPr>
              <w:bidi w:val="0"/>
              <w:ind w:firstLine="482" w:firstLineChars="200"/>
              <w:rPr>
                <w:b/>
                <w:bCs/>
                <w:color w:val="auto"/>
                <w:u w:val="single"/>
              </w:rPr>
            </w:pPr>
            <w:r>
              <w:rPr>
                <w:rFonts w:hint="eastAsia"/>
                <w:b/>
                <w:bCs/>
                <w:color w:val="auto"/>
                <w:u w:val="single"/>
                <w:lang w:val="en-US" w:eastAsia="zh-CN"/>
              </w:rPr>
              <w:t>*</w:t>
            </w:r>
          </w:p>
        </w:tc>
        <w:tc>
          <w:tcPr>
            <w:tcW w:w="1621" w:type="pct"/>
            <w:gridSpan w:val="3"/>
            <w:vAlign w:val="center"/>
          </w:tcPr>
          <w:p w14:paraId="2157AE58">
            <w:pPr>
              <w:bidi w:val="0"/>
              <w:ind w:firstLine="482" w:firstLineChars="200"/>
              <w:rPr>
                <w:rFonts w:hint="eastAsia" w:eastAsia="宋体"/>
                <w:b/>
                <w:bCs/>
                <w:color w:val="auto"/>
                <w:u w:val="single"/>
                <w:lang w:eastAsia="zh-CN"/>
              </w:rPr>
            </w:pPr>
            <w:r>
              <w:rPr>
                <w:rFonts w:hint="eastAsia"/>
                <w:b/>
                <w:bCs/>
                <w:color w:val="auto"/>
                <w:u w:val="single"/>
                <w:lang w:val="en-US" w:eastAsia="zh-CN"/>
              </w:rPr>
              <w:t>*</w:t>
            </w:r>
          </w:p>
        </w:tc>
        <w:tc>
          <w:tcPr>
            <w:tcW w:w="1462" w:type="pct"/>
            <w:gridSpan w:val="3"/>
            <w:vAlign w:val="center"/>
          </w:tcPr>
          <w:p w14:paraId="0D4B4922">
            <w:pPr>
              <w:bidi w:val="0"/>
              <w:ind w:firstLine="482" w:firstLineChars="200"/>
              <w:rPr>
                <w:b/>
                <w:bCs/>
                <w:color w:val="auto"/>
                <w:u w:val="single"/>
              </w:rPr>
            </w:pPr>
            <w:r>
              <w:rPr>
                <w:rFonts w:hint="eastAsia"/>
                <w:b/>
                <w:bCs/>
                <w:color w:val="auto"/>
                <w:u w:val="single"/>
                <w:lang w:val="en-US" w:eastAsia="zh-CN"/>
              </w:rPr>
              <w:t>*</w:t>
            </w:r>
          </w:p>
        </w:tc>
        <w:tc>
          <w:tcPr>
            <w:tcW w:w="844" w:type="pct"/>
            <w:gridSpan w:val="2"/>
            <w:vAlign w:val="center"/>
          </w:tcPr>
          <w:p w14:paraId="6C9429E7">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r>
      <w:tr w14:paraId="442E679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continue"/>
            <w:vAlign w:val="center"/>
          </w:tcPr>
          <w:p w14:paraId="0316E5C1">
            <w:pPr>
              <w:pStyle w:val="182"/>
              <w:bidi w:val="0"/>
              <w:rPr>
                <w:b/>
                <w:bCs/>
                <w:color w:val="auto"/>
                <w:u w:val="single"/>
              </w:rPr>
            </w:pPr>
          </w:p>
        </w:tc>
        <w:tc>
          <w:tcPr>
            <w:tcW w:w="672" w:type="pct"/>
            <w:vAlign w:val="center"/>
          </w:tcPr>
          <w:p w14:paraId="17B0AE36">
            <w:pPr>
              <w:bidi w:val="0"/>
              <w:ind w:firstLine="482" w:firstLineChars="200"/>
              <w:rPr>
                <w:b/>
                <w:bCs/>
                <w:color w:val="auto"/>
                <w:u w:val="single"/>
              </w:rPr>
            </w:pPr>
            <w:r>
              <w:rPr>
                <w:rFonts w:hint="eastAsia"/>
                <w:b/>
                <w:bCs/>
                <w:color w:val="auto"/>
                <w:u w:val="single"/>
                <w:lang w:val="en-US" w:eastAsia="zh-CN"/>
              </w:rPr>
              <w:t>*</w:t>
            </w:r>
          </w:p>
        </w:tc>
        <w:tc>
          <w:tcPr>
            <w:tcW w:w="3929" w:type="pct"/>
            <w:gridSpan w:val="8"/>
            <w:vAlign w:val="center"/>
          </w:tcPr>
          <w:p w14:paraId="42912382">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r>
      <w:tr w14:paraId="7B21B9A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Align w:val="center"/>
          </w:tcPr>
          <w:p w14:paraId="3BDF193B">
            <w:pPr>
              <w:pStyle w:val="182"/>
              <w:bidi w:val="0"/>
              <w:rPr>
                <w:b/>
                <w:bCs/>
                <w:color w:val="auto"/>
                <w:u w:val="single"/>
              </w:rPr>
            </w:pPr>
            <w:r>
              <w:rPr>
                <w:rFonts w:hint="eastAsia"/>
                <w:b/>
                <w:bCs/>
                <w:color w:val="auto"/>
                <w:u w:val="single"/>
              </w:rPr>
              <w:t>危</w:t>
            </w:r>
          </w:p>
          <w:p w14:paraId="2232DC5E">
            <w:pPr>
              <w:pStyle w:val="182"/>
              <w:bidi w:val="0"/>
              <w:rPr>
                <w:b/>
                <w:bCs/>
                <w:color w:val="auto"/>
                <w:u w:val="single"/>
              </w:rPr>
            </w:pPr>
            <w:r>
              <w:rPr>
                <w:rFonts w:hint="eastAsia"/>
                <w:b/>
                <w:bCs/>
                <w:color w:val="auto"/>
                <w:u w:val="single"/>
              </w:rPr>
              <w:t>险</w:t>
            </w:r>
          </w:p>
          <w:p w14:paraId="23BC9069">
            <w:pPr>
              <w:pStyle w:val="182"/>
              <w:bidi w:val="0"/>
              <w:rPr>
                <w:b/>
                <w:bCs/>
                <w:color w:val="auto"/>
                <w:u w:val="single"/>
              </w:rPr>
            </w:pPr>
            <w:r>
              <w:rPr>
                <w:rFonts w:hint="eastAsia"/>
                <w:b/>
                <w:bCs/>
                <w:color w:val="auto"/>
                <w:u w:val="single"/>
              </w:rPr>
              <w:t>性</w:t>
            </w:r>
          </w:p>
        </w:tc>
        <w:tc>
          <w:tcPr>
            <w:tcW w:w="672" w:type="pct"/>
            <w:vAlign w:val="center"/>
          </w:tcPr>
          <w:p w14:paraId="45B197BB">
            <w:pPr>
              <w:bidi w:val="0"/>
              <w:ind w:firstLine="482" w:firstLineChars="200"/>
              <w:rPr>
                <w:b/>
                <w:bCs/>
                <w:color w:val="auto"/>
                <w:u w:val="single"/>
              </w:rPr>
            </w:pPr>
            <w:r>
              <w:rPr>
                <w:rFonts w:hint="eastAsia"/>
                <w:b/>
                <w:bCs/>
                <w:color w:val="auto"/>
                <w:u w:val="single"/>
                <w:lang w:val="en-US" w:eastAsia="zh-CN"/>
              </w:rPr>
              <w:t>*</w:t>
            </w:r>
          </w:p>
        </w:tc>
        <w:tc>
          <w:tcPr>
            <w:tcW w:w="1621" w:type="pct"/>
            <w:gridSpan w:val="3"/>
            <w:vAlign w:val="center"/>
          </w:tcPr>
          <w:p w14:paraId="18081987">
            <w:pPr>
              <w:bidi w:val="0"/>
              <w:ind w:firstLine="482" w:firstLineChars="200"/>
              <w:rPr>
                <w:b/>
                <w:bCs/>
                <w:color w:val="auto"/>
                <w:u w:val="single"/>
              </w:rPr>
            </w:pPr>
            <w:r>
              <w:rPr>
                <w:rFonts w:hint="eastAsia"/>
                <w:b/>
                <w:bCs/>
                <w:color w:val="auto"/>
                <w:u w:val="single"/>
                <w:lang w:val="en-US" w:eastAsia="zh-CN"/>
              </w:rPr>
              <w:t>*</w:t>
            </w:r>
          </w:p>
        </w:tc>
        <w:tc>
          <w:tcPr>
            <w:tcW w:w="1462" w:type="pct"/>
            <w:gridSpan w:val="3"/>
            <w:vAlign w:val="center"/>
          </w:tcPr>
          <w:p w14:paraId="305575FB">
            <w:pPr>
              <w:bidi w:val="0"/>
              <w:ind w:firstLine="482" w:firstLineChars="200"/>
              <w:rPr>
                <w:b/>
                <w:bCs/>
                <w:color w:val="auto"/>
                <w:u w:val="single"/>
              </w:rPr>
            </w:pPr>
            <w:r>
              <w:rPr>
                <w:rFonts w:hint="eastAsia"/>
                <w:b/>
                <w:bCs/>
                <w:color w:val="auto"/>
                <w:u w:val="single"/>
                <w:lang w:val="en-US" w:eastAsia="zh-CN"/>
              </w:rPr>
              <w:t>*</w:t>
            </w:r>
          </w:p>
        </w:tc>
        <w:tc>
          <w:tcPr>
            <w:tcW w:w="844" w:type="pct"/>
            <w:gridSpan w:val="2"/>
            <w:vAlign w:val="center"/>
          </w:tcPr>
          <w:p w14:paraId="25E25878">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r>
      <w:tr w14:paraId="697E2EA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Merge w:val="restart"/>
            <w:vAlign w:val="center"/>
          </w:tcPr>
          <w:p w14:paraId="582CDD82">
            <w:pPr>
              <w:pStyle w:val="182"/>
              <w:bidi w:val="0"/>
              <w:rPr>
                <w:b/>
                <w:bCs/>
                <w:color w:val="auto"/>
                <w:u w:val="single"/>
              </w:rPr>
            </w:pPr>
            <w:r>
              <w:rPr>
                <w:rFonts w:hint="eastAsia"/>
                <w:b/>
                <w:bCs/>
                <w:color w:val="auto"/>
                <w:u w:val="single"/>
              </w:rPr>
              <w:t>毒性及健康危害</w:t>
            </w:r>
          </w:p>
        </w:tc>
        <w:tc>
          <w:tcPr>
            <w:tcW w:w="672" w:type="pct"/>
            <w:vAlign w:val="center"/>
          </w:tcPr>
          <w:p w14:paraId="65130040">
            <w:pPr>
              <w:bidi w:val="0"/>
              <w:ind w:firstLine="482" w:firstLineChars="200"/>
              <w:rPr>
                <w:b/>
                <w:bCs/>
                <w:color w:val="auto"/>
                <w:u w:val="single"/>
              </w:rPr>
            </w:pPr>
            <w:r>
              <w:rPr>
                <w:rFonts w:hint="eastAsia"/>
                <w:b/>
                <w:bCs/>
                <w:color w:val="auto"/>
                <w:u w:val="single"/>
                <w:lang w:val="en-US" w:eastAsia="zh-CN"/>
              </w:rPr>
              <w:t>*</w:t>
            </w:r>
          </w:p>
        </w:tc>
        <w:tc>
          <w:tcPr>
            <w:tcW w:w="3929" w:type="pct"/>
            <w:gridSpan w:val="8"/>
            <w:vAlign w:val="center"/>
          </w:tcPr>
          <w:p w14:paraId="16C93714">
            <w:pPr>
              <w:bidi w:val="0"/>
              <w:ind w:firstLine="482" w:firstLineChars="200"/>
              <w:rPr>
                <w:rFonts w:hint="eastAsia" w:eastAsia="宋体"/>
                <w:b/>
                <w:bCs/>
                <w:color w:val="auto"/>
                <w:u w:val="single"/>
                <w:lang w:val="en-US" w:eastAsia="zh-CN"/>
              </w:rPr>
            </w:pPr>
            <w:r>
              <w:rPr>
                <w:rFonts w:hint="eastAsia"/>
                <w:b/>
                <w:bCs/>
                <w:color w:val="auto"/>
                <w:u w:val="single"/>
                <w:lang w:val="en-US" w:eastAsia="zh-CN"/>
              </w:rPr>
              <w:t>*</w:t>
            </w:r>
          </w:p>
        </w:tc>
      </w:tr>
      <w:tr w14:paraId="2E9120F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386" w:hRule="atLeast"/>
          <w:jc w:val="center"/>
        </w:trPr>
        <w:tc>
          <w:tcPr>
            <w:tcW w:w="397" w:type="pct"/>
            <w:vMerge w:val="continue"/>
            <w:vAlign w:val="center"/>
          </w:tcPr>
          <w:p w14:paraId="60A9DDAD">
            <w:pPr>
              <w:pStyle w:val="182"/>
              <w:bidi w:val="0"/>
              <w:rPr>
                <w:b/>
                <w:bCs/>
                <w:color w:val="auto"/>
                <w:u w:val="single"/>
              </w:rPr>
            </w:pPr>
          </w:p>
        </w:tc>
        <w:tc>
          <w:tcPr>
            <w:tcW w:w="672" w:type="pct"/>
            <w:vAlign w:val="center"/>
          </w:tcPr>
          <w:p w14:paraId="4D33FE5A">
            <w:pPr>
              <w:bidi w:val="0"/>
              <w:ind w:firstLine="482" w:firstLineChars="200"/>
              <w:rPr>
                <w:b/>
                <w:bCs/>
                <w:color w:val="auto"/>
                <w:u w:val="single"/>
              </w:rPr>
            </w:pPr>
            <w:r>
              <w:rPr>
                <w:rFonts w:hint="eastAsia"/>
                <w:b/>
                <w:bCs/>
                <w:color w:val="auto"/>
                <w:u w:val="single"/>
                <w:lang w:val="en-US" w:eastAsia="zh-CN"/>
              </w:rPr>
              <w:t>*</w:t>
            </w:r>
          </w:p>
        </w:tc>
        <w:tc>
          <w:tcPr>
            <w:tcW w:w="3929" w:type="pct"/>
            <w:gridSpan w:val="8"/>
            <w:vAlign w:val="center"/>
          </w:tcPr>
          <w:p w14:paraId="61BD58E5">
            <w:pPr>
              <w:bidi w:val="0"/>
              <w:ind w:firstLine="482" w:firstLineChars="200"/>
              <w:rPr>
                <w:b/>
                <w:bCs/>
                <w:color w:val="auto"/>
                <w:u w:val="single"/>
              </w:rPr>
            </w:pPr>
            <w:r>
              <w:rPr>
                <w:rFonts w:hint="eastAsia"/>
                <w:b/>
                <w:bCs/>
                <w:color w:val="auto"/>
                <w:u w:val="single"/>
                <w:lang w:val="en-US" w:eastAsia="zh-CN"/>
              </w:rPr>
              <w:t>*</w:t>
            </w:r>
          </w:p>
        </w:tc>
      </w:tr>
      <w:tr w14:paraId="036FCC8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Align w:val="center"/>
          </w:tcPr>
          <w:p w14:paraId="42D136EA">
            <w:pPr>
              <w:pStyle w:val="182"/>
              <w:bidi w:val="0"/>
              <w:rPr>
                <w:b/>
                <w:bCs/>
                <w:color w:val="auto"/>
                <w:u w:val="single"/>
              </w:rPr>
            </w:pPr>
            <w:r>
              <w:rPr>
                <w:rFonts w:hint="eastAsia"/>
                <w:b/>
                <w:bCs/>
                <w:color w:val="auto"/>
                <w:u w:val="single"/>
              </w:rPr>
              <w:t>急救</w:t>
            </w:r>
          </w:p>
        </w:tc>
        <w:tc>
          <w:tcPr>
            <w:tcW w:w="4602" w:type="pct"/>
            <w:gridSpan w:val="9"/>
            <w:vAlign w:val="center"/>
          </w:tcPr>
          <w:p w14:paraId="752D5433">
            <w:pPr>
              <w:bidi w:val="0"/>
              <w:ind w:firstLine="482" w:firstLineChars="200"/>
              <w:rPr>
                <w:b/>
                <w:bCs/>
                <w:color w:val="auto"/>
                <w:u w:val="single"/>
              </w:rPr>
            </w:pPr>
            <w:r>
              <w:rPr>
                <w:rFonts w:hint="eastAsia"/>
                <w:b/>
                <w:bCs/>
                <w:color w:val="auto"/>
                <w:u w:val="single"/>
                <w:lang w:val="en-US" w:eastAsia="zh-CN"/>
              </w:rPr>
              <w:t>*</w:t>
            </w:r>
          </w:p>
        </w:tc>
      </w:tr>
      <w:tr w14:paraId="6D79C6D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Align w:val="center"/>
          </w:tcPr>
          <w:p w14:paraId="059A80D9">
            <w:pPr>
              <w:pStyle w:val="182"/>
              <w:bidi w:val="0"/>
              <w:rPr>
                <w:b/>
                <w:bCs/>
                <w:color w:val="auto"/>
                <w:u w:val="single"/>
              </w:rPr>
            </w:pPr>
            <w:r>
              <w:rPr>
                <w:rFonts w:hint="eastAsia"/>
                <w:b/>
                <w:bCs/>
                <w:color w:val="auto"/>
                <w:u w:val="single"/>
              </w:rPr>
              <w:t>防护</w:t>
            </w:r>
          </w:p>
        </w:tc>
        <w:tc>
          <w:tcPr>
            <w:tcW w:w="4602" w:type="pct"/>
            <w:gridSpan w:val="9"/>
            <w:vAlign w:val="center"/>
          </w:tcPr>
          <w:p w14:paraId="6E3B7948">
            <w:pPr>
              <w:bidi w:val="0"/>
              <w:ind w:firstLine="482" w:firstLineChars="200"/>
              <w:rPr>
                <w:rFonts w:hint="eastAsia" w:eastAsia="宋体"/>
                <w:b/>
                <w:bCs/>
                <w:color w:val="auto"/>
                <w:u w:val="single"/>
                <w:lang w:val="en-US" w:eastAsia="zh-CN"/>
              </w:rPr>
            </w:pPr>
            <w:r>
              <w:rPr>
                <w:rFonts w:hint="eastAsia"/>
                <w:b/>
                <w:bCs/>
                <w:color w:val="auto"/>
                <w:u w:val="single"/>
                <w:lang w:val="en-US" w:eastAsia="zh-CN"/>
              </w:rPr>
              <w:t>*</w:t>
            </w:r>
          </w:p>
        </w:tc>
      </w:tr>
      <w:tr w14:paraId="1FC59A7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Align w:val="center"/>
          </w:tcPr>
          <w:p w14:paraId="77017C33">
            <w:pPr>
              <w:pStyle w:val="182"/>
              <w:bidi w:val="0"/>
              <w:rPr>
                <w:rFonts w:hint="default"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泄漏处理</w:t>
            </w:r>
          </w:p>
        </w:tc>
        <w:tc>
          <w:tcPr>
            <w:tcW w:w="4602" w:type="pct"/>
            <w:gridSpan w:val="9"/>
            <w:vAlign w:val="center"/>
          </w:tcPr>
          <w:p w14:paraId="089494FF">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r>
      <w:tr w14:paraId="4E7CCCE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397" w:type="pct"/>
            <w:vAlign w:val="center"/>
          </w:tcPr>
          <w:p w14:paraId="406FC4D0">
            <w:pPr>
              <w:pStyle w:val="182"/>
              <w:bidi w:val="0"/>
              <w:rPr>
                <w:b/>
                <w:bCs/>
                <w:color w:val="auto"/>
                <w:u w:val="single"/>
              </w:rPr>
            </w:pPr>
            <w:r>
              <w:rPr>
                <w:rFonts w:hint="eastAsia"/>
                <w:b/>
                <w:bCs/>
                <w:color w:val="auto"/>
                <w:u w:val="single"/>
              </w:rPr>
              <w:t>储运</w:t>
            </w:r>
          </w:p>
        </w:tc>
        <w:tc>
          <w:tcPr>
            <w:tcW w:w="4602" w:type="pct"/>
            <w:gridSpan w:val="9"/>
            <w:vAlign w:val="center"/>
          </w:tcPr>
          <w:p w14:paraId="6E5DF7C0">
            <w:pPr>
              <w:bidi w:val="0"/>
              <w:ind w:firstLine="482" w:firstLineChars="200"/>
              <w:rPr>
                <w:b/>
                <w:bCs/>
                <w:color w:val="auto"/>
                <w:u w:val="single"/>
              </w:rPr>
            </w:pPr>
            <w:r>
              <w:rPr>
                <w:rFonts w:hint="eastAsia"/>
                <w:b/>
                <w:bCs/>
                <w:color w:val="auto"/>
                <w:u w:val="single"/>
                <w:lang w:val="en-US" w:eastAsia="zh-CN"/>
              </w:rPr>
              <w:t>*</w:t>
            </w:r>
          </w:p>
        </w:tc>
      </w:tr>
    </w:tbl>
    <w:p w14:paraId="09C175C7">
      <w:pPr>
        <w:numPr>
          <w:ilvl w:val="0"/>
          <w:numId w:val="0"/>
        </w:numPr>
        <w:bidi w:val="0"/>
        <w:ind w:firstLine="480" w:firstLineChars="200"/>
        <w:rPr>
          <w:rFonts w:hint="eastAsia"/>
          <w:color w:val="auto"/>
          <w:lang w:val="en-US" w:eastAsia="zh-CN"/>
        </w:rPr>
      </w:pPr>
      <w:r>
        <w:rPr>
          <w:rFonts w:hint="eastAsia" w:cs="Times New Roman"/>
          <w:color w:val="auto"/>
          <w:kern w:val="2"/>
          <w:sz w:val="24"/>
          <w:szCs w:val="24"/>
          <w:lang w:val="en-US" w:eastAsia="zh-CN" w:bidi="ar-SA"/>
        </w:rPr>
        <w:t>5</w:t>
      </w:r>
      <w:r>
        <w:rPr>
          <w:rFonts w:hint="eastAsia" w:ascii="Times New Roman" w:hAnsi="Times New Roman" w:eastAsia="宋体" w:cs="Times New Roman"/>
          <w:color w:val="auto"/>
          <w:kern w:val="2"/>
          <w:sz w:val="24"/>
          <w:szCs w:val="24"/>
          <w:lang w:val="en-US" w:eastAsia="zh-CN" w:bidi="ar-SA"/>
        </w:rPr>
        <w:t>）</w:t>
      </w:r>
      <w:r>
        <w:rPr>
          <w:rFonts w:hint="eastAsia" w:cs="Times New Roman"/>
          <w:color w:val="auto"/>
          <w:kern w:val="2"/>
          <w:sz w:val="24"/>
          <w:szCs w:val="24"/>
          <w:lang w:val="en-US" w:eastAsia="zh-CN" w:bidi="ar-SA"/>
        </w:rPr>
        <w:t>纺丝</w:t>
      </w:r>
      <w:r>
        <w:rPr>
          <w:rFonts w:hint="eastAsia"/>
          <w:color w:val="auto"/>
          <w:lang w:val="en-US" w:eastAsia="zh-CN"/>
        </w:rPr>
        <w:t>油剂</w:t>
      </w:r>
    </w:p>
    <w:p w14:paraId="1170A046">
      <w:pPr>
        <w:rPr>
          <w:rFonts w:hint="default" w:eastAsia="宋体"/>
          <w:lang w:val="en-US" w:eastAsia="zh-CN"/>
        </w:rPr>
      </w:pPr>
      <w:r>
        <w:rPr>
          <w:rFonts w:hint="eastAsia"/>
          <w:lang w:val="en-US" w:eastAsia="zh-CN"/>
        </w:rPr>
        <w:t>油剂成分为浆料和油组成，该油剂沸点较高，不易挥发。油剂成分见下表。</w:t>
      </w:r>
    </w:p>
    <w:p w14:paraId="57CA4154">
      <w:pPr>
        <w:pStyle w:val="10"/>
        <w:bidi w:val="0"/>
      </w:pPr>
      <w:r>
        <w:t xml:space="preserve">表 </w:t>
      </w:r>
      <w:r>
        <w:fldChar w:fldCharType="begin"/>
      </w:r>
      <w:r>
        <w:instrText xml:space="preserve"> STYLEREF 2 \s </w:instrText>
      </w:r>
      <w:r>
        <w:fldChar w:fldCharType="separate"/>
      </w:r>
      <w:r>
        <w:t>4.1</w:t>
      </w:r>
      <w:r>
        <w:fldChar w:fldCharType="end"/>
      </w:r>
      <w:r>
        <w:rPr>
          <w:rFonts w:hint="eastAsia"/>
          <w:lang w:eastAsia="zh-CN"/>
        </w:rPr>
        <w:t>-</w:t>
      </w:r>
      <w:r>
        <w:fldChar w:fldCharType="begin"/>
      </w:r>
      <w:r>
        <w:instrText xml:space="preserve"> SEQ 表 \* ARABIC \s 2 </w:instrText>
      </w:r>
      <w:r>
        <w:fldChar w:fldCharType="separate"/>
      </w:r>
      <w:r>
        <w:t>12</w:t>
      </w:r>
      <w:r>
        <w:fldChar w:fldCharType="end"/>
      </w:r>
      <w:r>
        <w:t xml:space="preserve"> </w:t>
      </w:r>
      <w:r>
        <w:rPr>
          <w:rFonts w:hint="eastAsia"/>
          <w:lang w:val="en-US" w:eastAsia="zh-CN"/>
        </w:rPr>
        <w:t>油剂成分</w:t>
      </w:r>
      <w:r>
        <w:rPr>
          <w:rFonts w:hint="eastAsia"/>
        </w:rPr>
        <w:t>表</w:t>
      </w:r>
    </w:p>
    <w:tbl>
      <w:tblPr>
        <w:tblStyle w:val="31"/>
        <w:tblW w:w="473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
        <w:gridCol w:w="2896"/>
        <w:gridCol w:w="2207"/>
        <w:gridCol w:w="2522"/>
      </w:tblGrid>
      <w:tr w14:paraId="05356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noWrap w:val="0"/>
            <w:vAlign w:val="center"/>
          </w:tcPr>
          <w:p w14:paraId="3B404DBE">
            <w:pPr>
              <w:pStyle w:val="182"/>
              <w:rPr>
                <w:b/>
                <w:bCs/>
                <w:color w:val="auto"/>
              </w:rPr>
            </w:pPr>
            <w:r>
              <w:rPr>
                <w:b/>
                <w:bCs/>
                <w:color w:val="auto"/>
              </w:rPr>
              <w:t>序号</w:t>
            </w:r>
          </w:p>
        </w:tc>
        <w:tc>
          <w:tcPr>
            <w:tcW w:w="1697" w:type="pct"/>
            <w:noWrap w:val="0"/>
            <w:vAlign w:val="center"/>
          </w:tcPr>
          <w:p w14:paraId="666EC3AE">
            <w:pPr>
              <w:pStyle w:val="182"/>
              <w:rPr>
                <w:b/>
                <w:bCs/>
                <w:color w:val="auto"/>
              </w:rPr>
            </w:pPr>
            <w:r>
              <w:rPr>
                <w:b/>
                <w:bCs/>
                <w:color w:val="auto"/>
              </w:rPr>
              <w:t>成分</w:t>
            </w:r>
          </w:p>
        </w:tc>
        <w:tc>
          <w:tcPr>
            <w:tcW w:w="1293" w:type="pct"/>
            <w:noWrap w:val="0"/>
            <w:vAlign w:val="center"/>
          </w:tcPr>
          <w:p w14:paraId="42A36986">
            <w:pPr>
              <w:pStyle w:val="182"/>
              <w:rPr>
                <w:b/>
                <w:bCs/>
                <w:color w:val="auto"/>
              </w:rPr>
            </w:pPr>
            <w:r>
              <w:rPr>
                <w:b/>
                <w:bCs/>
                <w:color w:val="auto"/>
              </w:rPr>
              <w:t>CAS号</w:t>
            </w:r>
          </w:p>
        </w:tc>
        <w:tc>
          <w:tcPr>
            <w:tcW w:w="1477" w:type="pct"/>
            <w:noWrap w:val="0"/>
            <w:vAlign w:val="center"/>
          </w:tcPr>
          <w:p w14:paraId="0C379190">
            <w:pPr>
              <w:pStyle w:val="182"/>
              <w:rPr>
                <w:b/>
                <w:bCs/>
                <w:color w:val="auto"/>
              </w:rPr>
            </w:pPr>
            <w:r>
              <w:rPr>
                <w:b/>
                <w:bCs/>
                <w:color w:val="auto"/>
              </w:rPr>
              <w:t>含量</w:t>
            </w:r>
          </w:p>
        </w:tc>
      </w:tr>
      <w:tr w14:paraId="073A0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noWrap w:val="0"/>
            <w:vAlign w:val="center"/>
          </w:tcPr>
          <w:p w14:paraId="2BD947CA">
            <w:pPr>
              <w:pStyle w:val="182"/>
              <w:rPr>
                <w:bCs/>
                <w:color w:val="auto"/>
              </w:rPr>
            </w:pPr>
            <w:r>
              <w:rPr>
                <w:bCs/>
                <w:color w:val="auto"/>
              </w:rPr>
              <w:t>1</w:t>
            </w:r>
          </w:p>
        </w:tc>
        <w:tc>
          <w:tcPr>
            <w:tcW w:w="1697" w:type="pct"/>
            <w:noWrap w:val="0"/>
            <w:vAlign w:val="center"/>
          </w:tcPr>
          <w:p w14:paraId="3955DF37">
            <w:pPr>
              <w:bidi w:val="0"/>
              <w:ind w:firstLine="482" w:firstLineChars="200"/>
              <w:rPr>
                <w:bCs/>
                <w:color w:val="auto"/>
              </w:rPr>
            </w:pPr>
            <w:r>
              <w:rPr>
                <w:rFonts w:hint="eastAsia"/>
                <w:b/>
                <w:bCs/>
                <w:color w:val="auto"/>
                <w:u w:val="single"/>
                <w:lang w:val="en-US" w:eastAsia="zh-CN"/>
              </w:rPr>
              <w:t>*</w:t>
            </w:r>
          </w:p>
        </w:tc>
        <w:tc>
          <w:tcPr>
            <w:tcW w:w="1293" w:type="pct"/>
            <w:noWrap w:val="0"/>
            <w:vAlign w:val="center"/>
          </w:tcPr>
          <w:p w14:paraId="56DF7862">
            <w:pPr>
              <w:bidi w:val="0"/>
              <w:ind w:firstLine="482" w:firstLineChars="200"/>
              <w:rPr>
                <w:bCs/>
                <w:color w:val="auto"/>
              </w:rPr>
            </w:pPr>
            <w:r>
              <w:rPr>
                <w:rFonts w:hint="eastAsia"/>
                <w:b/>
                <w:bCs/>
                <w:color w:val="auto"/>
                <w:u w:val="single"/>
                <w:lang w:val="en-US" w:eastAsia="zh-CN"/>
              </w:rPr>
              <w:t>*</w:t>
            </w:r>
          </w:p>
        </w:tc>
        <w:tc>
          <w:tcPr>
            <w:tcW w:w="1477" w:type="pct"/>
            <w:noWrap w:val="0"/>
            <w:vAlign w:val="center"/>
          </w:tcPr>
          <w:p w14:paraId="72B94601">
            <w:pPr>
              <w:bidi w:val="0"/>
              <w:ind w:firstLine="482" w:firstLineChars="200"/>
              <w:rPr>
                <w:bCs/>
                <w:color w:val="auto"/>
              </w:rPr>
            </w:pPr>
            <w:r>
              <w:rPr>
                <w:rFonts w:hint="eastAsia"/>
                <w:b/>
                <w:bCs/>
                <w:color w:val="auto"/>
                <w:u w:val="single"/>
                <w:lang w:val="en-US" w:eastAsia="zh-CN"/>
              </w:rPr>
              <w:t>*</w:t>
            </w:r>
          </w:p>
        </w:tc>
      </w:tr>
      <w:tr w14:paraId="1A151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noWrap w:val="0"/>
            <w:vAlign w:val="center"/>
          </w:tcPr>
          <w:p w14:paraId="0184FA67">
            <w:pPr>
              <w:pStyle w:val="182"/>
              <w:rPr>
                <w:bCs/>
                <w:color w:val="auto"/>
              </w:rPr>
            </w:pPr>
            <w:r>
              <w:rPr>
                <w:bCs/>
                <w:color w:val="auto"/>
              </w:rPr>
              <w:t>2</w:t>
            </w:r>
          </w:p>
        </w:tc>
        <w:tc>
          <w:tcPr>
            <w:tcW w:w="1697" w:type="pct"/>
            <w:noWrap w:val="0"/>
            <w:vAlign w:val="center"/>
          </w:tcPr>
          <w:p w14:paraId="5D8D2353">
            <w:pPr>
              <w:bidi w:val="0"/>
              <w:ind w:firstLine="482" w:firstLineChars="200"/>
              <w:rPr>
                <w:bCs/>
                <w:color w:val="auto"/>
              </w:rPr>
            </w:pPr>
            <w:r>
              <w:rPr>
                <w:rFonts w:hint="eastAsia"/>
                <w:b/>
                <w:bCs/>
                <w:color w:val="auto"/>
                <w:u w:val="single"/>
                <w:lang w:val="en-US" w:eastAsia="zh-CN"/>
              </w:rPr>
              <w:t>*</w:t>
            </w:r>
          </w:p>
        </w:tc>
        <w:tc>
          <w:tcPr>
            <w:tcW w:w="1293" w:type="pct"/>
            <w:noWrap w:val="0"/>
            <w:vAlign w:val="center"/>
          </w:tcPr>
          <w:p w14:paraId="3D5F0672">
            <w:pPr>
              <w:bidi w:val="0"/>
              <w:ind w:firstLine="482" w:firstLineChars="200"/>
              <w:rPr>
                <w:bCs/>
                <w:color w:val="auto"/>
              </w:rPr>
            </w:pPr>
            <w:r>
              <w:rPr>
                <w:rFonts w:hint="eastAsia"/>
                <w:b/>
                <w:bCs/>
                <w:color w:val="auto"/>
                <w:u w:val="single"/>
                <w:lang w:val="en-US" w:eastAsia="zh-CN"/>
              </w:rPr>
              <w:t>*</w:t>
            </w:r>
          </w:p>
        </w:tc>
        <w:tc>
          <w:tcPr>
            <w:tcW w:w="1477" w:type="pct"/>
            <w:noWrap w:val="0"/>
            <w:vAlign w:val="center"/>
          </w:tcPr>
          <w:p w14:paraId="62F0610F">
            <w:pPr>
              <w:bidi w:val="0"/>
              <w:ind w:firstLine="482" w:firstLineChars="200"/>
              <w:rPr>
                <w:bCs/>
                <w:color w:val="auto"/>
              </w:rPr>
            </w:pPr>
            <w:r>
              <w:rPr>
                <w:rFonts w:hint="eastAsia"/>
                <w:b/>
                <w:bCs/>
                <w:color w:val="auto"/>
                <w:u w:val="single"/>
                <w:lang w:val="en-US" w:eastAsia="zh-CN"/>
              </w:rPr>
              <w:t>*</w:t>
            </w:r>
          </w:p>
        </w:tc>
      </w:tr>
      <w:tr w14:paraId="5DF99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noWrap w:val="0"/>
            <w:vAlign w:val="center"/>
          </w:tcPr>
          <w:p w14:paraId="0ABC418B">
            <w:pPr>
              <w:pStyle w:val="182"/>
              <w:rPr>
                <w:bCs/>
                <w:color w:val="auto"/>
              </w:rPr>
            </w:pPr>
            <w:r>
              <w:rPr>
                <w:bCs/>
                <w:color w:val="auto"/>
              </w:rPr>
              <w:t>3</w:t>
            </w:r>
          </w:p>
        </w:tc>
        <w:tc>
          <w:tcPr>
            <w:tcW w:w="1697" w:type="pct"/>
            <w:noWrap w:val="0"/>
            <w:vAlign w:val="center"/>
          </w:tcPr>
          <w:p w14:paraId="753572B5">
            <w:pPr>
              <w:bidi w:val="0"/>
              <w:ind w:firstLine="482" w:firstLineChars="200"/>
              <w:rPr>
                <w:bCs/>
                <w:color w:val="auto"/>
              </w:rPr>
            </w:pPr>
            <w:r>
              <w:rPr>
                <w:rFonts w:hint="eastAsia"/>
                <w:b/>
                <w:bCs/>
                <w:color w:val="auto"/>
                <w:u w:val="single"/>
                <w:lang w:val="en-US" w:eastAsia="zh-CN"/>
              </w:rPr>
              <w:t>*</w:t>
            </w:r>
          </w:p>
        </w:tc>
        <w:tc>
          <w:tcPr>
            <w:tcW w:w="1293" w:type="pct"/>
            <w:noWrap w:val="0"/>
            <w:vAlign w:val="center"/>
          </w:tcPr>
          <w:p w14:paraId="24DA49BB">
            <w:pPr>
              <w:bidi w:val="0"/>
              <w:ind w:firstLine="482" w:firstLineChars="200"/>
              <w:rPr>
                <w:bCs/>
                <w:color w:val="auto"/>
              </w:rPr>
            </w:pPr>
            <w:r>
              <w:rPr>
                <w:rFonts w:hint="eastAsia"/>
                <w:b/>
                <w:bCs/>
                <w:color w:val="auto"/>
                <w:u w:val="single"/>
                <w:lang w:val="en-US" w:eastAsia="zh-CN"/>
              </w:rPr>
              <w:t>*</w:t>
            </w:r>
          </w:p>
        </w:tc>
        <w:tc>
          <w:tcPr>
            <w:tcW w:w="1477" w:type="pct"/>
            <w:noWrap w:val="0"/>
            <w:vAlign w:val="center"/>
          </w:tcPr>
          <w:p w14:paraId="46B10447">
            <w:pPr>
              <w:widowControl/>
              <w:bidi w:val="0"/>
              <w:ind w:firstLine="482" w:firstLineChars="200"/>
              <w:rPr>
                <w:bCs/>
                <w:color w:val="auto"/>
              </w:rPr>
            </w:pPr>
            <w:r>
              <w:rPr>
                <w:rFonts w:hint="eastAsia"/>
                <w:b/>
                <w:bCs/>
                <w:color w:val="auto"/>
                <w:u w:val="single"/>
                <w:lang w:val="en-US" w:eastAsia="zh-CN"/>
              </w:rPr>
              <w:t>*</w:t>
            </w:r>
          </w:p>
        </w:tc>
      </w:tr>
      <w:tr w14:paraId="32477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noWrap w:val="0"/>
            <w:vAlign w:val="center"/>
          </w:tcPr>
          <w:p w14:paraId="3FC6EEA8">
            <w:pPr>
              <w:pStyle w:val="182"/>
              <w:rPr>
                <w:bCs/>
                <w:color w:val="auto"/>
              </w:rPr>
            </w:pPr>
            <w:r>
              <w:rPr>
                <w:bCs/>
                <w:color w:val="auto"/>
              </w:rPr>
              <w:t>4</w:t>
            </w:r>
          </w:p>
        </w:tc>
        <w:tc>
          <w:tcPr>
            <w:tcW w:w="1697" w:type="pct"/>
            <w:noWrap w:val="0"/>
            <w:vAlign w:val="center"/>
          </w:tcPr>
          <w:p w14:paraId="2E7619FD">
            <w:pPr>
              <w:bidi w:val="0"/>
              <w:ind w:firstLine="482" w:firstLineChars="200"/>
              <w:rPr>
                <w:bCs/>
                <w:color w:val="auto"/>
              </w:rPr>
            </w:pPr>
            <w:r>
              <w:rPr>
                <w:rFonts w:hint="eastAsia"/>
                <w:b/>
                <w:bCs/>
                <w:color w:val="auto"/>
                <w:u w:val="single"/>
                <w:lang w:val="en-US" w:eastAsia="zh-CN"/>
              </w:rPr>
              <w:t>*</w:t>
            </w:r>
          </w:p>
        </w:tc>
        <w:tc>
          <w:tcPr>
            <w:tcW w:w="1293" w:type="pct"/>
            <w:noWrap w:val="0"/>
            <w:vAlign w:val="center"/>
          </w:tcPr>
          <w:p w14:paraId="337D2B6E">
            <w:pPr>
              <w:bidi w:val="0"/>
              <w:ind w:firstLine="482" w:firstLineChars="200"/>
              <w:rPr>
                <w:bCs/>
                <w:color w:val="auto"/>
              </w:rPr>
            </w:pPr>
            <w:r>
              <w:rPr>
                <w:rFonts w:hint="eastAsia"/>
                <w:b/>
                <w:bCs/>
                <w:color w:val="auto"/>
                <w:u w:val="single"/>
                <w:lang w:val="en-US" w:eastAsia="zh-CN"/>
              </w:rPr>
              <w:t>*</w:t>
            </w:r>
          </w:p>
        </w:tc>
        <w:tc>
          <w:tcPr>
            <w:tcW w:w="1477" w:type="pct"/>
            <w:noWrap w:val="0"/>
            <w:vAlign w:val="center"/>
          </w:tcPr>
          <w:p w14:paraId="25BF8CDC">
            <w:pPr>
              <w:widowControl/>
              <w:bidi w:val="0"/>
              <w:ind w:firstLine="482" w:firstLineChars="200"/>
              <w:rPr>
                <w:bCs/>
                <w:color w:val="auto"/>
              </w:rPr>
            </w:pPr>
            <w:r>
              <w:rPr>
                <w:rFonts w:hint="eastAsia"/>
                <w:b/>
                <w:bCs/>
                <w:color w:val="auto"/>
                <w:u w:val="single"/>
                <w:lang w:val="en-US" w:eastAsia="zh-CN"/>
              </w:rPr>
              <w:t>*</w:t>
            </w:r>
          </w:p>
        </w:tc>
      </w:tr>
    </w:tbl>
    <w:p w14:paraId="62D674B1">
      <w:pPr>
        <w:rPr>
          <w:rFonts w:hint="eastAsia"/>
          <w:b w:val="0"/>
          <w:bCs w:val="0"/>
          <w:color w:val="auto"/>
          <w:u w:val="none"/>
          <w:lang w:val="en-US" w:eastAsia="zh-CN"/>
        </w:rPr>
      </w:pPr>
    </w:p>
    <w:p w14:paraId="1FE17A61">
      <w:pPr>
        <w:rPr>
          <w:rFonts w:hint="eastAsia"/>
          <w:b w:val="0"/>
          <w:bCs w:val="0"/>
          <w:color w:val="auto"/>
          <w:u w:val="none"/>
          <w:lang w:val="en-US" w:eastAsia="zh-CN"/>
        </w:rPr>
      </w:pPr>
      <w:r>
        <w:rPr>
          <w:rFonts w:hint="eastAsia"/>
          <w:b w:val="0"/>
          <w:bCs w:val="0"/>
          <w:color w:val="auto"/>
          <w:u w:val="none"/>
          <w:lang w:val="en-US" w:eastAsia="zh-CN"/>
        </w:rPr>
        <w:t>白油</w:t>
      </w:r>
      <w:r>
        <w:rPr>
          <w:rFonts w:hint="eastAsia"/>
          <w:b w:val="0"/>
          <w:bCs w:val="0"/>
          <w:color w:val="auto"/>
          <w:u w:val="none"/>
        </w:rPr>
        <w:t>物理性质</w:t>
      </w:r>
      <w:r>
        <w:rPr>
          <w:rFonts w:hint="eastAsia"/>
          <w:b w:val="0"/>
          <w:bCs w:val="0"/>
          <w:color w:val="auto"/>
          <w:u w:val="none"/>
          <w:lang w:val="en-US" w:eastAsia="zh-CN"/>
        </w:rPr>
        <w:t>下表。</w:t>
      </w:r>
    </w:p>
    <w:p w14:paraId="035E5006">
      <w:pPr>
        <w:pStyle w:val="10"/>
        <w:bidi w:val="0"/>
        <w:rPr>
          <w:color w:val="auto"/>
        </w:rPr>
      </w:pPr>
      <w:r>
        <w:t xml:space="preserve">表 </w:t>
      </w:r>
      <w:r>
        <w:fldChar w:fldCharType="begin"/>
      </w:r>
      <w:r>
        <w:instrText xml:space="preserve"> STYLEREF 2 \s </w:instrText>
      </w:r>
      <w:r>
        <w:fldChar w:fldCharType="separate"/>
      </w:r>
      <w:r>
        <w:t>4.1</w:t>
      </w:r>
      <w:r>
        <w:fldChar w:fldCharType="end"/>
      </w:r>
      <w:r>
        <w:rPr>
          <w:rFonts w:hint="eastAsia"/>
          <w:lang w:eastAsia="zh-CN"/>
        </w:rPr>
        <w:t>-</w:t>
      </w:r>
      <w:r>
        <w:fldChar w:fldCharType="begin"/>
      </w:r>
      <w:r>
        <w:instrText xml:space="preserve"> SEQ 表 \* ARABIC \s 2 </w:instrText>
      </w:r>
      <w:r>
        <w:fldChar w:fldCharType="separate"/>
      </w:r>
      <w:r>
        <w:t>13</w:t>
      </w:r>
      <w:r>
        <w:fldChar w:fldCharType="end"/>
      </w:r>
      <w:r>
        <w:t xml:space="preserve"> </w:t>
      </w:r>
      <w:r>
        <w:rPr>
          <w:rFonts w:hint="eastAsia"/>
          <w:lang w:val="en-US" w:eastAsia="zh-CN"/>
        </w:rPr>
        <w:t>白油物理性质表</w:t>
      </w:r>
    </w:p>
    <w:tbl>
      <w:tblPr>
        <w:tblStyle w:val="31"/>
        <w:tblW w:w="47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5"/>
        <w:gridCol w:w="7143"/>
      </w:tblGrid>
      <w:tr w14:paraId="091C8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shd w:val="clear" w:color="auto" w:fill="auto"/>
            <w:noWrap w:val="0"/>
            <w:vAlign w:val="center"/>
          </w:tcPr>
          <w:p w14:paraId="6C1FD1ED">
            <w:pPr>
              <w:pStyle w:val="182"/>
            </w:pPr>
            <w:r>
              <w:t>中文名</w:t>
            </w:r>
          </w:p>
        </w:tc>
        <w:tc>
          <w:tcPr>
            <w:tcW w:w="4187" w:type="pct"/>
            <w:shd w:val="clear" w:color="auto" w:fill="auto"/>
            <w:noWrap w:val="0"/>
            <w:vAlign w:val="center"/>
          </w:tcPr>
          <w:p w14:paraId="59CCA73F">
            <w:pPr>
              <w:pStyle w:val="182"/>
            </w:pPr>
            <w:r>
              <w:fldChar w:fldCharType="begin"/>
            </w:r>
            <w:r>
              <w:instrText xml:space="preserve"> HYPERLINK "https://www.chembk.com/cn/chem/%E7%A1%85%E6%B2%B9" </w:instrText>
            </w:r>
            <w:r>
              <w:fldChar w:fldCharType="separate"/>
            </w:r>
            <w:r>
              <w:t>白油</w:t>
            </w:r>
            <w:r>
              <w:fldChar w:fldCharType="end"/>
            </w:r>
          </w:p>
        </w:tc>
      </w:tr>
      <w:tr w14:paraId="54CC2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shd w:val="clear" w:color="auto" w:fill="auto"/>
            <w:noWrap w:val="0"/>
            <w:vAlign w:val="center"/>
          </w:tcPr>
          <w:p w14:paraId="4539333C">
            <w:pPr>
              <w:pStyle w:val="182"/>
            </w:pPr>
            <w:r>
              <w:t>CAS</w:t>
            </w:r>
          </w:p>
        </w:tc>
        <w:tc>
          <w:tcPr>
            <w:tcW w:w="4187" w:type="pct"/>
            <w:shd w:val="clear" w:color="auto" w:fill="auto"/>
            <w:noWrap w:val="0"/>
            <w:vAlign w:val="center"/>
          </w:tcPr>
          <w:p w14:paraId="365F481A">
            <w:pPr>
              <w:bidi w:val="0"/>
              <w:ind w:firstLine="482" w:firstLineChars="200"/>
            </w:pPr>
            <w:r>
              <w:rPr>
                <w:rFonts w:hint="eastAsia"/>
                <w:b/>
                <w:bCs/>
                <w:color w:val="auto"/>
                <w:u w:val="single"/>
                <w:lang w:val="en-US" w:eastAsia="zh-CN"/>
              </w:rPr>
              <w:t>*</w:t>
            </w:r>
          </w:p>
        </w:tc>
      </w:tr>
      <w:tr w14:paraId="4C6FE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shd w:val="clear" w:color="auto" w:fill="auto"/>
            <w:noWrap w:val="0"/>
            <w:vAlign w:val="center"/>
          </w:tcPr>
          <w:p w14:paraId="33895708">
            <w:pPr>
              <w:pStyle w:val="182"/>
            </w:pPr>
            <w:r>
              <w:t>外观</w:t>
            </w:r>
          </w:p>
        </w:tc>
        <w:tc>
          <w:tcPr>
            <w:tcW w:w="4187" w:type="pct"/>
            <w:shd w:val="clear" w:color="auto" w:fill="auto"/>
            <w:noWrap w:val="0"/>
            <w:vAlign w:val="center"/>
          </w:tcPr>
          <w:p w14:paraId="51E47E5A">
            <w:pPr>
              <w:bidi w:val="0"/>
              <w:ind w:firstLine="482" w:firstLineChars="200"/>
            </w:pPr>
            <w:r>
              <w:rPr>
                <w:rFonts w:hint="eastAsia"/>
                <w:b/>
                <w:bCs/>
                <w:color w:val="auto"/>
                <w:u w:val="single"/>
                <w:lang w:val="en-US" w:eastAsia="zh-CN"/>
              </w:rPr>
              <w:t>*</w:t>
            </w:r>
          </w:p>
        </w:tc>
      </w:tr>
      <w:tr w14:paraId="0B897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shd w:val="clear" w:color="auto" w:fill="auto"/>
            <w:noWrap w:val="0"/>
            <w:vAlign w:val="center"/>
          </w:tcPr>
          <w:p w14:paraId="1EF7233B">
            <w:pPr>
              <w:pStyle w:val="182"/>
            </w:pPr>
            <w:r>
              <w:t>相对密度</w:t>
            </w:r>
          </w:p>
        </w:tc>
        <w:tc>
          <w:tcPr>
            <w:tcW w:w="4187" w:type="pct"/>
            <w:shd w:val="clear" w:color="auto" w:fill="auto"/>
            <w:noWrap w:val="0"/>
            <w:vAlign w:val="center"/>
          </w:tcPr>
          <w:p w14:paraId="3FD9C861">
            <w:pPr>
              <w:bidi w:val="0"/>
              <w:ind w:firstLine="482" w:firstLineChars="200"/>
            </w:pPr>
            <w:r>
              <w:rPr>
                <w:rFonts w:hint="eastAsia"/>
                <w:b/>
                <w:bCs/>
                <w:color w:val="auto"/>
                <w:u w:val="single"/>
                <w:lang w:val="en-US" w:eastAsia="zh-CN"/>
              </w:rPr>
              <w:t>*</w:t>
            </w:r>
          </w:p>
        </w:tc>
      </w:tr>
      <w:tr w14:paraId="227FE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shd w:val="clear" w:color="auto" w:fill="auto"/>
            <w:noWrap w:val="0"/>
            <w:vAlign w:val="center"/>
          </w:tcPr>
          <w:p w14:paraId="71D0A0BB">
            <w:pPr>
              <w:pStyle w:val="182"/>
            </w:pPr>
            <w:r>
              <w:t>熔点</w:t>
            </w:r>
          </w:p>
        </w:tc>
        <w:tc>
          <w:tcPr>
            <w:tcW w:w="4187" w:type="pct"/>
            <w:shd w:val="clear" w:color="auto" w:fill="auto"/>
            <w:noWrap w:val="0"/>
            <w:vAlign w:val="center"/>
          </w:tcPr>
          <w:p w14:paraId="181FD535">
            <w:pPr>
              <w:bidi w:val="0"/>
              <w:ind w:firstLine="482" w:firstLineChars="200"/>
            </w:pPr>
            <w:r>
              <w:rPr>
                <w:rFonts w:hint="eastAsia"/>
                <w:b/>
                <w:bCs/>
                <w:color w:val="auto"/>
                <w:u w:val="single"/>
                <w:lang w:val="en-US" w:eastAsia="zh-CN"/>
              </w:rPr>
              <w:t>*</w:t>
            </w:r>
          </w:p>
        </w:tc>
      </w:tr>
      <w:tr w14:paraId="6B692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shd w:val="clear" w:color="auto" w:fill="auto"/>
            <w:noWrap w:val="0"/>
            <w:vAlign w:val="center"/>
          </w:tcPr>
          <w:p w14:paraId="527DCD6C">
            <w:pPr>
              <w:pStyle w:val="182"/>
            </w:pPr>
            <w:r>
              <w:t>沸点</w:t>
            </w:r>
          </w:p>
        </w:tc>
        <w:tc>
          <w:tcPr>
            <w:tcW w:w="4187" w:type="pct"/>
            <w:shd w:val="clear" w:color="auto" w:fill="auto"/>
            <w:noWrap w:val="0"/>
            <w:vAlign w:val="center"/>
          </w:tcPr>
          <w:p w14:paraId="26C99435">
            <w:pPr>
              <w:bidi w:val="0"/>
              <w:ind w:firstLine="482" w:firstLineChars="200"/>
            </w:pPr>
            <w:r>
              <w:rPr>
                <w:rFonts w:hint="eastAsia"/>
                <w:b/>
                <w:bCs/>
                <w:color w:val="auto"/>
                <w:u w:val="single"/>
                <w:lang w:val="en-US" w:eastAsia="zh-CN"/>
              </w:rPr>
              <w:t>*</w:t>
            </w:r>
          </w:p>
        </w:tc>
      </w:tr>
      <w:tr w14:paraId="5E73E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shd w:val="clear" w:color="auto" w:fill="auto"/>
            <w:noWrap w:val="0"/>
            <w:vAlign w:val="center"/>
          </w:tcPr>
          <w:p w14:paraId="736C788A">
            <w:pPr>
              <w:pStyle w:val="182"/>
            </w:pPr>
            <w:r>
              <w:t>闪点</w:t>
            </w:r>
          </w:p>
        </w:tc>
        <w:tc>
          <w:tcPr>
            <w:tcW w:w="4187" w:type="pct"/>
            <w:shd w:val="clear" w:color="auto" w:fill="auto"/>
            <w:noWrap w:val="0"/>
            <w:vAlign w:val="center"/>
          </w:tcPr>
          <w:p w14:paraId="7A6F099B">
            <w:pPr>
              <w:bidi w:val="0"/>
              <w:ind w:firstLine="482" w:firstLineChars="200"/>
            </w:pPr>
            <w:r>
              <w:rPr>
                <w:rFonts w:hint="eastAsia"/>
                <w:b/>
                <w:bCs/>
                <w:color w:val="auto"/>
                <w:u w:val="single"/>
                <w:lang w:val="en-US" w:eastAsia="zh-CN"/>
              </w:rPr>
              <w:t>*</w:t>
            </w:r>
          </w:p>
        </w:tc>
      </w:tr>
      <w:tr w14:paraId="66408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shd w:val="clear" w:color="auto" w:fill="auto"/>
            <w:noWrap w:val="0"/>
            <w:vAlign w:val="center"/>
          </w:tcPr>
          <w:p w14:paraId="28F778A6">
            <w:pPr>
              <w:pStyle w:val="182"/>
            </w:pPr>
            <w:r>
              <w:t>水溶性</w:t>
            </w:r>
          </w:p>
        </w:tc>
        <w:tc>
          <w:tcPr>
            <w:tcW w:w="4187" w:type="pct"/>
            <w:shd w:val="clear" w:color="auto" w:fill="auto"/>
            <w:noWrap w:val="0"/>
            <w:vAlign w:val="center"/>
          </w:tcPr>
          <w:p w14:paraId="23FECCA1">
            <w:pPr>
              <w:bidi w:val="0"/>
              <w:ind w:firstLine="482" w:firstLineChars="200"/>
            </w:pPr>
            <w:r>
              <w:rPr>
                <w:rFonts w:hint="eastAsia"/>
                <w:b/>
                <w:bCs/>
                <w:color w:val="auto"/>
                <w:u w:val="single"/>
                <w:lang w:val="en-US" w:eastAsia="zh-CN"/>
              </w:rPr>
              <w:t>*</w:t>
            </w:r>
          </w:p>
        </w:tc>
      </w:tr>
      <w:tr w14:paraId="10923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shd w:val="clear" w:color="auto" w:fill="auto"/>
            <w:noWrap w:val="0"/>
            <w:vAlign w:val="center"/>
          </w:tcPr>
          <w:p w14:paraId="35C514CB">
            <w:pPr>
              <w:pStyle w:val="182"/>
            </w:pPr>
            <w:r>
              <w:t>溶解度</w:t>
            </w:r>
          </w:p>
        </w:tc>
        <w:tc>
          <w:tcPr>
            <w:tcW w:w="4187" w:type="pct"/>
            <w:shd w:val="clear" w:color="auto" w:fill="auto"/>
            <w:noWrap w:val="0"/>
            <w:vAlign w:val="center"/>
          </w:tcPr>
          <w:p w14:paraId="2CD739F8">
            <w:pPr>
              <w:bidi w:val="0"/>
              <w:ind w:firstLine="482" w:firstLineChars="200"/>
            </w:pPr>
            <w:r>
              <w:rPr>
                <w:rFonts w:hint="eastAsia"/>
                <w:b/>
                <w:bCs/>
                <w:color w:val="auto"/>
                <w:u w:val="single"/>
                <w:lang w:val="en-US" w:eastAsia="zh-CN"/>
              </w:rPr>
              <w:t>*</w:t>
            </w:r>
          </w:p>
        </w:tc>
      </w:tr>
      <w:tr w14:paraId="2C64B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shd w:val="clear" w:color="auto" w:fill="auto"/>
            <w:noWrap w:val="0"/>
            <w:vAlign w:val="center"/>
          </w:tcPr>
          <w:p w14:paraId="6822A1AF">
            <w:pPr>
              <w:pStyle w:val="182"/>
            </w:pPr>
            <w:r>
              <w:t>毒性</w:t>
            </w:r>
          </w:p>
        </w:tc>
        <w:tc>
          <w:tcPr>
            <w:tcW w:w="4187" w:type="pct"/>
            <w:shd w:val="clear" w:color="auto" w:fill="auto"/>
            <w:noWrap w:val="0"/>
            <w:vAlign w:val="center"/>
          </w:tcPr>
          <w:p w14:paraId="2D6CF4C0">
            <w:pPr>
              <w:bidi w:val="0"/>
              <w:ind w:firstLine="482" w:firstLineChars="200"/>
            </w:pPr>
            <w:r>
              <w:rPr>
                <w:rFonts w:hint="eastAsia"/>
                <w:b/>
                <w:bCs/>
                <w:color w:val="auto"/>
                <w:u w:val="single"/>
                <w:lang w:val="en-US" w:eastAsia="zh-CN"/>
              </w:rPr>
              <w:t>*</w:t>
            </w:r>
          </w:p>
        </w:tc>
      </w:tr>
      <w:tr w14:paraId="1DCE8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shd w:val="clear" w:color="auto" w:fill="auto"/>
            <w:noWrap w:val="0"/>
            <w:vAlign w:val="center"/>
          </w:tcPr>
          <w:p w14:paraId="646B314D">
            <w:pPr>
              <w:pStyle w:val="182"/>
            </w:pPr>
            <w:r>
              <w:t>风险术语</w:t>
            </w:r>
          </w:p>
        </w:tc>
        <w:tc>
          <w:tcPr>
            <w:tcW w:w="4187" w:type="pct"/>
            <w:shd w:val="clear" w:color="auto" w:fill="auto"/>
            <w:noWrap w:val="0"/>
            <w:vAlign w:val="center"/>
          </w:tcPr>
          <w:p w14:paraId="54931F36">
            <w:pPr>
              <w:bidi w:val="0"/>
              <w:ind w:firstLine="482" w:firstLineChars="200"/>
            </w:pPr>
            <w:r>
              <w:rPr>
                <w:rFonts w:hint="eastAsia"/>
                <w:b/>
                <w:bCs/>
                <w:color w:val="auto"/>
                <w:u w:val="single"/>
                <w:lang w:val="en-US" w:eastAsia="zh-CN"/>
              </w:rPr>
              <w:t>*</w:t>
            </w:r>
          </w:p>
        </w:tc>
      </w:tr>
      <w:tr w14:paraId="76E9A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2" w:type="pct"/>
            <w:shd w:val="clear" w:color="auto" w:fill="auto"/>
            <w:noWrap w:val="0"/>
            <w:vAlign w:val="center"/>
          </w:tcPr>
          <w:p w14:paraId="0A6ED59B">
            <w:pPr>
              <w:pStyle w:val="182"/>
            </w:pPr>
            <w:r>
              <w:rPr>
                <w:rFonts w:hint="eastAsia"/>
              </w:rPr>
              <w:t>注意事项</w:t>
            </w:r>
          </w:p>
        </w:tc>
        <w:tc>
          <w:tcPr>
            <w:tcW w:w="4187" w:type="pct"/>
            <w:shd w:val="clear" w:color="auto" w:fill="auto"/>
            <w:noWrap w:val="0"/>
            <w:vAlign w:val="center"/>
          </w:tcPr>
          <w:p w14:paraId="6BE0EF54">
            <w:pPr>
              <w:bidi w:val="0"/>
              <w:ind w:firstLine="482" w:firstLineChars="200"/>
            </w:pPr>
            <w:r>
              <w:rPr>
                <w:rFonts w:hint="eastAsia"/>
                <w:b/>
                <w:bCs/>
                <w:color w:val="auto"/>
                <w:u w:val="single"/>
                <w:lang w:val="en-US" w:eastAsia="zh-CN"/>
              </w:rPr>
              <w:t>*</w:t>
            </w:r>
          </w:p>
        </w:tc>
      </w:tr>
    </w:tbl>
    <w:p w14:paraId="7B84B7E0">
      <w:pPr>
        <w:pStyle w:val="5"/>
        <w:bidi w:val="0"/>
        <w:rPr>
          <w:color w:val="auto"/>
        </w:rPr>
      </w:pPr>
      <w:r>
        <w:rPr>
          <w:rFonts w:hint="eastAsia"/>
          <w:color w:val="auto"/>
        </w:rPr>
        <w:t>生产设备</w:t>
      </w:r>
    </w:p>
    <w:p w14:paraId="7394B96D">
      <w:pPr>
        <w:spacing w:line="520" w:lineRule="exact"/>
        <w:ind w:firstLine="480" w:firstLineChars="200"/>
        <w:rPr>
          <w:color w:val="auto"/>
        </w:rPr>
      </w:pPr>
      <w:r>
        <w:rPr>
          <w:rFonts w:hint="eastAsia"/>
          <w:color w:val="auto"/>
        </w:rPr>
        <w:t>本项目主要生产设备见</w:t>
      </w:r>
      <w:r>
        <w:rPr>
          <w:rFonts w:hint="eastAsia"/>
          <w:color w:val="auto"/>
          <w:lang w:val="en-US" w:eastAsia="zh-CN"/>
        </w:rPr>
        <w:t>下表</w:t>
      </w:r>
      <w:r>
        <w:rPr>
          <w:rFonts w:hint="eastAsia"/>
          <w:color w:val="auto"/>
        </w:rPr>
        <w:t>。</w:t>
      </w:r>
    </w:p>
    <w:p w14:paraId="0CEC91B9">
      <w:pPr>
        <w:pStyle w:val="10"/>
        <w:bidi w:val="0"/>
      </w:pPr>
      <w:r>
        <w:t xml:space="preserve">表 </w:t>
      </w:r>
      <w:r>
        <w:fldChar w:fldCharType="begin"/>
      </w:r>
      <w:r>
        <w:instrText xml:space="preserve"> STYLEREF 2 \s </w:instrText>
      </w:r>
      <w:r>
        <w:fldChar w:fldCharType="separate"/>
      </w:r>
      <w:r>
        <w:t>4.1</w:t>
      </w:r>
      <w:r>
        <w:fldChar w:fldCharType="end"/>
      </w:r>
      <w:r>
        <w:rPr>
          <w:rFonts w:hint="eastAsia"/>
          <w:lang w:eastAsia="zh-CN"/>
        </w:rPr>
        <w:t>-</w:t>
      </w:r>
      <w:r>
        <w:fldChar w:fldCharType="begin"/>
      </w:r>
      <w:r>
        <w:instrText xml:space="preserve"> SEQ 表 \* ARABIC \s 2 </w:instrText>
      </w:r>
      <w:r>
        <w:fldChar w:fldCharType="separate"/>
      </w:r>
      <w:r>
        <w:t>14</w:t>
      </w:r>
      <w:r>
        <w:fldChar w:fldCharType="end"/>
      </w:r>
      <w:r>
        <w:rPr>
          <w:rFonts w:hint="eastAsia"/>
          <w:lang w:val="en-US" w:eastAsia="zh-CN"/>
        </w:rPr>
        <w:t xml:space="preserve"> </w:t>
      </w:r>
      <w:r>
        <w:t>主要生产设备一览表</w:t>
      </w:r>
    </w:p>
    <w:tbl>
      <w:tblPr>
        <w:tblStyle w:val="31"/>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20"/>
        <w:gridCol w:w="708"/>
        <w:gridCol w:w="1354"/>
        <w:gridCol w:w="4102"/>
        <w:gridCol w:w="903"/>
        <w:gridCol w:w="1118"/>
      </w:tblGrid>
      <w:tr w14:paraId="44A037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6" w:hRule="atLeast"/>
          <w:jc w:val="center"/>
        </w:trPr>
        <w:tc>
          <w:tcPr>
            <w:tcW w:w="455" w:type="pct"/>
            <w:vAlign w:val="center"/>
          </w:tcPr>
          <w:p w14:paraId="1212BE32">
            <w:pPr>
              <w:pStyle w:val="182"/>
              <w:bidi w:val="0"/>
              <w:rPr>
                <w:b/>
                <w:bCs/>
                <w:color w:val="auto"/>
              </w:rPr>
            </w:pPr>
            <w:r>
              <w:rPr>
                <w:b/>
                <w:bCs/>
                <w:color w:val="auto"/>
              </w:rPr>
              <w:t>序号</w:t>
            </w:r>
          </w:p>
        </w:tc>
        <w:tc>
          <w:tcPr>
            <w:tcW w:w="1144" w:type="pct"/>
            <w:gridSpan w:val="2"/>
            <w:vAlign w:val="center"/>
          </w:tcPr>
          <w:p w14:paraId="693670A8">
            <w:pPr>
              <w:pStyle w:val="182"/>
              <w:bidi w:val="0"/>
              <w:rPr>
                <w:b/>
                <w:bCs/>
                <w:color w:val="auto"/>
              </w:rPr>
            </w:pPr>
            <w:r>
              <w:rPr>
                <w:b/>
                <w:bCs/>
                <w:color w:val="auto"/>
              </w:rPr>
              <w:t>名称</w:t>
            </w:r>
          </w:p>
        </w:tc>
        <w:tc>
          <w:tcPr>
            <w:tcW w:w="2277" w:type="pct"/>
            <w:vAlign w:val="center"/>
          </w:tcPr>
          <w:p w14:paraId="6F8F29F6">
            <w:pPr>
              <w:pStyle w:val="182"/>
              <w:bidi w:val="0"/>
              <w:rPr>
                <w:b/>
                <w:bCs/>
                <w:color w:val="auto"/>
              </w:rPr>
            </w:pPr>
            <w:r>
              <w:rPr>
                <w:b/>
                <w:bCs/>
                <w:color w:val="auto"/>
              </w:rPr>
              <w:t>型号</w:t>
            </w:r>
          </w:p>
        </w:tc>
        <w:tc>
          <w:tcPr>
            <w:tcW w:w="501" w:type="pct"/>
            <w:vAlign w:val="center"/>
          </w:tcPr>
          <w:p w14:paraId="2B74B3AC">
            <w:pPr>
              <w:pStyle w:val="182"/>
              <w:bidi w:val="0"/>
              <w:rPr>
                <w:b/>
                <w:bCs/>
                <w:color w:val="auto"/>
              </w:rPr>
            </w:pPr>
            <w:r>
              <w:rPr>
                <w:b/>
                <w:bCs/>
                <w:color w:val="auto"/>
              </w:rPr>
              <w:t>数量</w:t>
            </w:r>
          </w:p>
        </w:tc>
        <w:tc>
          <w:tcPr>
            <w:tcW w:w="620" w:type="pct"/>
            <w:vAlign w:val="center"/>
          </w:tcPr>
          <w:p w14:paraId="15AD7CB6">
            <w:pPr>
              <w:pStyle w:val="182"/>
              <w:bidi w:val="0"/>
              <w:rPr>
                <w:b/>
                <w:bCs/>
                <w:color w:val="auto"/>
              </w:rPr>
            </w:pPr>
            <w:r>
              <w:rPr>
                <w:b/>
                <w:bCs/>
                <w:color w:val="auto"/>
              </w:rPr>
              <w:t>备注</w:t>
            </w:r>
          </w:p>
        </w:tc>
      </w:tr>
      <w:tr w14:paraId="42F6C1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6" w:hRule="atLeast"/>
          <w:jc w:val="center"/>
        </w:trPr>
        <w:tc>
          <w:tcPr>
            <w:tcW w:w="5000" w:type="pct"/>
            <w:gridSpan w:val="6"/>
            <w:vAlign w:val="center"/>
          </w:tcPr>
          <w:p w14:paraId="530666C5">
            <w:pPr>
              <w:pStyle w:val="182"/>
              <w:bidi w:val="0"/>
              <w:rPr>
                <w:color w:val="auto"/>
              </w:rPr>
            </w:pPr>
            <w:r>
              <w:rPr>
                <w:rFonts w:hint="eastAsia"/>
                <w:color w:val="auto"/>
              </w:rPr>
              <w:t>原料预处理系统</w:t>
            </w:r>
          </w:p>
        </w:tc>
      </w:tr>
      <w:tr w14:paraId="7CEC6A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30DAD6D5">
            <w:pPr>
              <w:pStyle w:val="182"/>
              <w:bidi w:val="0"/>
              <w:rPr>
                <w:color w:val="auto"/>
              </w:rPr>
            </w:pPr>
            <w:r>
              <w:rPr>
                <w:color w:val="auto"/>
              </w:rPr>
              <w:t>1</w:t>
            </w:r>
          </w:p>
        </w:tc>
        <w:tc>
          <w:tcPr>
            <w:tcW w:w="1144" w:type="pct"/>
            <w:gridSpan w:val="2"/>
            <w:vAlign w:val="center"/>
          </w:tcPr>
          <w:p w14:paraId="46E336AA">
            <w:pPr>
              <w:pStyle w:val="182"/>
              <w:bidi w:val="0"/>
              <w:rPr>
                <w:color w:val="auto"/>
              </w:rPr>
            </w:pPr>
            <w:r>
              <w:rPr>
                <w:color w:val="auto"/>
              </w:rPr>
              <w:t>粉碎系统</w:t>
            </w:r>
          </w:p>
        </w:tc>
        <w:tc>
          <w:tcPr>
            <w:tcW w:w="2277" w:type="pct"/>
            <w:vAlign w:val="center"/>
          </w:tcPr>
          <w:p w14:paraId="67F19E5F">
            <w:pPr>
              <w:pStyle w:val="182"/>
              <w:bidi w:val="0"/>
              <w:rPr>
                <w:color w:val="auto"/>
              </w:rPr>
            </w:pPr>
            <w:r>
              <w:rPr>
                <w:color w:val="auto"/>
              </w:rPr>
              <w:t>BC24-1</w:t>
            </w:r>
            <w:r>
              <w:rPr>
                <w:rFonts w:hint="eastAsia"/>
                <w:color w:val="auto"/>
                <w:lang w:eastAsia="zh-CN"/>
              </w:rPr>
              <w:t>，</w:t>
            </w:r>
            <w:r>
              <w:rPr>
                <w:color w:val="auto"/>
              </w:rPr>
              <w:t>500kg/h</w:t>
            </w:r>
          </w:p>
        </w:tc>
        <w:tc>
          <w:tcPr>
            <w:tcW w:w="501" w:type="pct"/>
            <w:vAlign w:val="center"/>
          </w:tcPr>
          <w:p w14:paraId="7F7358C8">
            <w:pPr>
              <w:pStyle w:val="182"/>
              <w:bidi w:val="0"/>
              <w:rPr>
                <w:color w:val="auto"/>
              </w:rPr>
            </w:pPr>
            <w:r>
              <w:rPr>
                <w:color w:val="auto"/>
              </w:rPr>
              <w:t>1套</w:t>
            </w:r>
          </w:p>
        </w:tc>
        <w:tc>
          <w:tcPr>
            <w:tcW w:w="620" w:type="pct"/>
            <w:vAlign w:val="center"/>
          </w:tcPr>
          <w:p w14:paraId="3E05326A">
            <w:pPr>
              <w:pStyle w:val="182"/>
              <w:bidi w:val="0"/>
              <w:rPr>
                <w:color w:val="auto"/>
              </w:rPr>
            </w:pPr>
          </w:p>
        </w:tc>
      </w:tr>
      <w:tr w14:paraId="40515E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2E959227">
            <w:pPr>
              <w:pStyle w:val="182"/>
              <w:bidi w:val="0"/>
              <w:rPr>
                <w:color w:val="auto"/>
              </w:rPr>
            </w:pPr>
            <w:r>
              <w:rPr>
                <w:color w:val="auto"/>
              </w:rPr>
              <w:t>2</w:t>
            </w:r>
          </w:p>
        </w:tc>
        <w:tc>
          <w:tcPr>
            <w:tcW w:w="1144" w:type="pct"/>
            <w:gridSpan w:val="2"/>
            <w:vAlign w:val="center"/>
          </w:tcPr>
          <w:p w14:paraId="318B28CA">
            <w:pPr>
              <w:pStyle w:val="182"/>
              <w:bidi w:val="0"/>
              <w:rPr>
                <w:color w:val="auto"/>
              </w:rPr>
            </w:pPr>
            <w:r>
              <w:rPr>
                <w:color w:val="auto"/>
              </w:rPr>
              <w:t>料仓系统</w:t>
            </w:r>
          </w:p>
        </w:tc>
        <w:tc>
          <w:tcPr>
            <w:tcW w:w="2277" w:type="pct"/>
            <w:vAlign w:val="center"/>
          </w:tcPr>
          <w:p w14:paraId="3245D9BC">
            <w:pPr>
              <w:pStyle w:val="182"/>
              <w:bidi w:val="0"/>
              <w:rPr>
                <w:rFonts w:hint="eastAsia" w:eastAsia="宋体"/>
                <w:color w:val="auto"/>
                <w:lang w:eastAsia="zh-CN"/>
              </w:rPr>
            </w:pPr>
            <w:r>
              <w:rPr>
                <w:color w:val="auto"/>
              </w:rPr>
              <w:t>HX23-51</w:t>
            </w:r>
            <w:r>
              <w:rPr>
                <w:rFonts w:hint="eastAsia"/>
                <w:color w:val="auto"/>
                <w:lang w:eastAsia="zh-CN"/>
              </w:rPr>
              <w:t>，</w:t>
            </w:r>
            <w:r>
              <w:rPr>
                <w:color w:val="auto"/>
              </w:rPr>
              <w:t>20m</w:t>
            </w:r>
            <w:r>
              <w:rPr>
                <w:rFonts w:hint="eastAsia"/>
                <w:color w:val="auto"/>
                <w:vertAlign w:val="superscript"/>
                <w:lang w:val="en-US" w:eastAsia="zh-CN"/>
              </w:rPr>
              <w:t>3</w:t>
            </w:r>
          </w:p>
        </w:tc>
        <w:tc>
          <w:tcPr>
            <w:tcW w:w="501" w:type="pct"/>
            <w:vAlign w:val="center"/>
          </w:tcPr>
          <w:p w14:paraId="1560C822">
            <w:pPr>
              <w:pStyle w:val="182"/>
              <w:bidi w:val="0"/>
              <w:rPr>
                <w:color w:val="auto"/>
              </w:rPr>
            </w:pPr>
            <w:r>
              <w:rPr>
                <w:color w:val="auto"/>
              </w:rPr>
              <w:t>1套</w:t>
            </w:r>
          </w:p>
        </w:tc>
        <w:tc>
          <w:tcPr>
            <w:tcW w:w="620" w:type="pct"/>
            <w:vAlign w:val="center"/>
          </w:tcPr>
          <w:p w14:paraId="3C674153">
            <w:pPr>
              <w:pStyle w:val="182"/>
              <w:bidi w:val="0"/>
              <w:rPr>
                <w:color w:val="auto"/>
              </w:rPr>
            </w:pPr>
          </w:p>
        </w:tc>
      </w:tr>
      <w:tr w14:paraId="748D5C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5000" w:type="pct"/>
            <w:gridSpan w:val="6"/>
            <w:vAlign w:val="center"/>
          </w:tcPr>
          <w:p w14:paraId="0A1B2D20">
            <w:pPr>
              <w:pStyle w:val="182"/>
              <w:bidi w:val="0"/>
              <w:rPr>
                <w:color w:val="auto"/>
              </w:rPr>
            </w:pPr>
            <w:r>
              <w:rPr>
                <w:spacing w:val="7"/>
              </w:rPr>
              <w:t>原液制备系统</w:t>
            </w:r>
          </w:p>
        </w:tc>
      </w:tr>
      <w:tr w14:paraId="39B217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436E988D">
            <w:pPr>
              <w:pStyle w:val="182"/>
              <w:bidi w:val="0"/>
              <w:ind w:firstLine="0" w:firstLineChars="0"/>
              <w:rPr>
                <w:rFonts w:hint="eastAsia" w:eastAsia="宋体"/>
                <w:color w:val="auto"/>
                <w:lang w:val="en-US" w:eastAsia="zh-CN"/>
              </w:rPr>
            </w:pPr>
            <w:r>
              <w:rPr>
                <w:rFonts w:hint="eastAsia"/>
                <w:color w:val="auto"/>
                <w:lang w:val="en-US" w:eastAsia="zh-CN"/>
              </w:rPr>
              <w:t>1</w:t>
            </w:r>
          </w:p>
        </w:tc>
        <w:tc>
          <w:tcPr>
            <w:tcW w:w="1144" w:type="pct"/>
            <w:gridSpan w:val="2"/>
            <w:vAlign w:val="center"/>
          </w:tcPr>
          <w:p w14:paraId="13EC221D">
            <w:pPr>
              <w:pStyle w:val="182"/>
              <w:bidi w:val="0"/>
              <w:rPr>
                <w:color w:val="auto"/>
              </w:rPr>
            </w:pPr>
            <w:r>
              <w:rPr>
                <w:color w:val="auto"/>
              </w:rPr>
              <w:t>计量罐</w:t>
            </w:r>
          </w:p>
        </w:tc>
        <w:tc>
          <w:tcPr>
            <w:tcW w:w="2277" w:type="pct"/>
            <w:vAlign w:val="center"/>
          </w:tcPr>
          <w:p w14:paraId="5759A5DF">
            <w:pPr>
              <w:pStyle w:val="182"/>
              <w:bidi w:val="0"/>
              <w:rPr>
                <w:rFonts w:hint="default" w:eastAsia="宋体"/>
                <w:b/>
                <w:bCs/>
                <w:color w:val="auto"/>
                <w:u w:val="single"/>
                <w:lang w:val="en-US" w:eastAsia="zh-CN"/>
              </w:rPr>
            </w:pPr>
            <w:r>
              <w:rPr>
                <w:b/>
                <w:bCs/>
                <w:color w:val="auto"/>
                <w:u w:val="single"/>
              </w:rPr>
              <w:t>HX23-50</w:t>
            </w:r>
            <w:r>
              <w:rPr>
                <w:rFonts w:hint="eastAsia"/>
                <w:b/>
                <w:bCs/>
                <w:color w:val="auto"/>
                <w:u w:val="single"/>
                <w:lang w:eastAsia="zh-CN"/>
              </w:rPr>
              <w:t>；</w:t>
            </w:r>
            <w:r>
              <w:rPr>
                <w:rFonts w:hint="eastAsia"/>
                <w:b/>
                <w:bCs/>
                <w:color w:val="auto"/>
                <w:u w:val="single"/>
                <w:lang w:val="en-US" w:eastAsia="zh-CN"/>
              </w:rPr>
              <w:t>V=4m</w:t>
            </w:r>
            <w:r>
              <w:rPr>
                <w:rFonts w:hint="eastAsia"/>
                <w:b/>
                <w:bCs/>
                <w:color w:val="auto"/>
                <w:u w:val="single"/>
                <w:vertAlign w:val="superscript"/>
                <w:lang w:val="en-US" w:eastAsia="zh-CN"/>
              </w:rPr>
              <w:t>3</w:t>
            </w:r>
          </w:p>
        </w:tc>
        <w:tc>
          <w:tcPr>
            <w:tcW w:w="501" w:type="pct"/>
            <w:vAlign w:val="center"/>
          </w:tcPr>
          <w:p w14:paraId="4891E949">
            <w:pPr>
              <w:pStyle w:val="182"/>
              <w:bidi w:val="0"/>
              <w:rPr>
                <w:color w:val="auto"/>
              </w:rPr>
            </w:pPr>
            <w:r>
              <w:rPr>
                <w:color w:val="auto"/>
              </w:rPr>
              <w:t>2个</w:t>
            </w:r>
          </w:p>
        </w:tc>
        <w:tc>
          <w:tcPr>
            <w:tcW w:w="620" w:type="pct"/>
            <w:vAlign w:val="center"/>
          </w:tcPr>
          <w:p w14:paraId="0CD31F59">
            <w:pPr>
              <w:pStyle w:val="182"/>
              <w:bidi w:val="0"/>
              <w:rPr>
                <w:color w:val="auto"/>
              </w:rPr>
            </w:pPr>
          </w:p>
        </w:tc>
      </w:tr>
      <w:tr w14:paraId="346001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6890BC53">
            <w:pPr>
              <w:pStyle w:val="182"/>
              <w:bidi w:val="0"/>
              <w:ind w:firstLine="0" w:firstLineChars="0"/>
              <w:rPr>
                <w:rFonts w:hint="default" w:eastAsia="宋体"/>
                <w:color w:val="auto"/>
                <w:lang w:val="en-US" w:eastAsia="zh-CN"/>
              </w:rPr>
            </w:pPr>
            <w:r>
              <w:rPr>
                <w:rFonts w:hint="eastAsia"/>
                <w:color w:val="auto"/>
                <w:lang w:val="en-US" w:eastAsia="zh-CN"/>
              </w:rPr>
              <w:t>2</w:t>
            </w:r>
          </w:p>
        </w:tc>
        <w:tc>
          <w:tcPr>
            <w:tcW w:w="1144" w:type="pct"/>
            <w:gridSpan w:val="2"/>
            <w:vAlign w:val="center"/>
          </w:tcPr>
          <w:p w14:paraId="5C337204">
            <w:pPr>
              <w:pStyle w:val="182"/>
              <w:bidi w:val="0"/>
              <w:rPr>
                <w:color w:val="auto"/>
              </w:rPr>
            </w:pPr>
            <w:r>
              <w:rPr>
                <w:color w:val="auto"/>
              </w:rPr>
              <w:t>溶解机</w:t>
            </w:r>
          </w:p>
        </w:tc>
        <w:tc>
          <w:tcPr>
            <w:tcW w:w="2277" w:type="pct"/>
            <w:vAlign w:val="center"/>
          </w:tcPr>
          <w:p w14:paraId="68358EC1">
            <w:pPr>
              <w:pStyle w:val="182"/>
              <w:bidi w:val="0"/>
              <w:rPr>
                <w:b/>
                <w:bCs/>
                <w:color w:val="auto"/>
                <w:u w:val="single"/>
              </w:rPr>
            </w:pPr>
            <w:r>
              <w:rPr>
                <w:b/>
                <w:bCs/>
                <w:color w:val="auto"/>
                <w:u w:val="single"/>
              </w:rPr>
              <w:t>HX23-52</w:t>
            </w:r>
            <w:r>
              <w:rPr>
                <w:rFonts w:hint="eastAsia"/>
                <w:b/>
                <w:bCs/>
                <w:color w:val="auto"/>
                <w:u w:val="single"/>
                <w:lang w:eastAsia="zh-CN"/>
              </w:rPr>
              <w:t>；</w:t>
            </w:r>
            <w:r>
              <w:rPr>
                <w:rFonts w:hint="eastAsia"/>
                <w:b/>
                <w:bCs/>
                <w:color w:val="auto"/>
                <w:u w:val="single"/>
                <w:lang w:val="en-US" w:eastAsia="zh-CN"/>
              </w:rPr>
              <w:t>V=9m</w:t>
            </w:r>
            <w:r>
              <w:rPr>
                <w:rFonts w:hint="eastAsia"/>
                <w:b/>
                <w:bCs/>
                <w:color w:val="auto"/>
                <w:u w:val="single"/>
                <w:vertAlign w:val="superscript"/>
                <w:lang w:val="en-US" w:eastAsia="zh-CN"/>
              </w:rPr>
              <w:t>3</w:t>
            </w:r>
          </w:p>
        </w:tc>
        <w:tc>
          <w:tcPr>
            <w:tcW w:w="501" w:type="pct"/>
            <w:vAlign w:val="center"/>
          </w:tcPr>
          <w:p w14:paraId="502B4DE0">
            <w:pPr>
              <w:pStyle w:val="182"/>
              <w:bidi w:val="0"/>
              <w:rPr>
                <w:color w:val="auto"/>
              </w:rPr>
            </w:pPr>
            <w:r>
              <w:rPr>
                <w:color w:val="auto"/>
              </w:rPr>
              <w:t>3台</w:t>
            </w:r>
          </w:p>
        </w:tc>
        <w:tc>
          <w:tcPr>
            <w:tcW w:w="620" w:type="pct"/>
            <w:vAlign w:val="center"/>
          </w:tcPr>
          <w:p w14:paraId="453BF9A1">
            <w:pPr>
              <w:pStyle w:val="182"/>
              <w:bidi w:val="0"/>
              <w:rPr>
                <w:color w:val="auto"/>
              </w:rPr>
            </w:pPr>
          </w:p>
        </w:tc>
      </w:tr>
      <w:tr w14:paraId="2F9DB6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5F0CCAA6">
            <w:pPr>
              <w:pStyle w:val="182"/>
              <w:bidi w:val="0"/>
              <w:ind w:firstLine="0" w:firstLineChars="0"/>
              <w:rPr>
                <w:rFonts w:hint="eastAsia" w:eastAsia="宋体"/>
                <w:color w:val="auto"/>
                <w:lang w:val="en-US" w:eastAsia="zh-CN"/>
              </w:rPr>
            </w:pPr>
            <w:r>
              <w:rPr>
                <w:rFonts w:hint="eastAsia"/>
                <w:color w:val="auto"/>
                <w:lang w:val="en-US" w:eastAsia="zh-CN"/>
              </w:rPr>
              <w:t>3</w:t>
            </w:r>
          </w:p>
        </w:tc>
        <w:tc>
          <w:tcPr>
            <w:tcW w:w="1144" w:type="pct"/>
            <w:gridSpan w:val="2"/>
            <w:vAlign w:val="center"/>
          </w:tcPr>
          <w:p w14:paraId="5C76E067">
            <w:pPr>
              <w:pStyle w:val="182"/>
              <w:bidi w:val="0"/>
              <w:rPr>
                <w:color w:val="auto"/>
              </w:rPr>
            </w:pPr>
            <w:r>
              <w:rPr>
                <w:color w:val="auto"/>
              </w:rPr>
              <w:t>混合桶</w:t>
            </w:r>
          </w:p>
        </w:tc>
        <w:tc>
          <w:tcPr>
            <w:tcW w:w="2277" w:type="pct"/>
            <w:vAlign w:val="center"/>
          </w:tcPr>
          <w:p w14:paraId="5FAC6304">
            <w:pPr>
              <w:pStyle w:val="182"/>
              <w:bidi w:val="0"/>
              <w:rPr>
                <w:b/>
                <w:bCs/>
                <w:color w:val="auto"/>
                <w:u w:val="single"/>
              </w:rPr>
            </w:pPr>
            <w:r>
              <w:rPr>
                <w:b/>
                <w:bCs/>
                <w:color w:val="auto"/>
                <w:u w:val="single"/>
              </w:rPr>
              <w:t>HX23-53</w:t>
            </w:r>
            <w:r>
              <w:rPr>
                <w:rFonts w:hint="eastAsia"/>
                <w:b/>
                <w:bCs/>
                <w:color w:val="auto"/>
                <w:u w:val="single"/>
                <w:lang w:eastAsia="zh-CN"/>
              </w:rPr>
              <w:t>；</w:t>
            </w:r>
            <w:r>
              <w:rPr>
                <w:rFonts w:hint="eastAsia"/>
                <w:b/>
                <w:bCs/>
                <w:color w:val="auto"/>
                <w:u w:val="single"/>
                <w:lang w:val="en-US" w:eastAsia="zh-CN"/>
              </w:rPr>
              <w:t>V=18m</w:t>
            </w:r>
            <w:r>
              <w:rPr>
                <w:rFonts w:hint="eastAsia"/>
                <w:b/>
                <w:bCs/>
                <w:color w:val="auto"/>
                <w:u w:val="single"/>
                <w:vertAlign w:val="superscript"/>
                <w:lang w:val="en-US" w:eastAsia="zh-CN"/>
              </w:rPr>
              <w:t>3</w:t>
            </w:r>
          </w:p>
        </w:tc>
        <w:tc>
          <w:tcPr>
            <w:tcW w:w="501" w:type="pct"/>
            <w:vAlign w:val="center"/>
          </w:tcPr>
          <w:p w14:paraId="4F0DE064">
            <w:pPr>
              <w:pStyle w:val="182"/>
              <w:bidi w:val="0"/>
              <w:rPr>
                <w:color w:val="auto"/>
              </w:rPr>
            </w:pPr>
            <w:r>
              <w:rPr>
                <w:color w:val="auto"/>
              </w:rPr>
              <w:t>1个</w:t>
            </w:r>
          </w:p>
        </w:tc>
        <w:tc>
          <w:tcPr>
            <w:tcW w:w="620" w:type="pct"/>
            <w:vAlign w:val="center"/>
          </w:tcPr>
          <w:p w14:paraId="4B605B05">
            <w:pPr>
              <w:pStyle w:val="182"/>
              <w:bidi w:val="0"/>
              <w:rPr>
                <w:color w:val="auto"/>
              </w:rPr>
            </w:pPr>
          </w:p>
        </w:tc>
      </w:tr>
      <w:tr w14:paraId="72EFC4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2A1D89ED">
            <w:pPr>
              <w:pStyle w:val="182"/>
              <w:bidi w:val="0"/>
              <w:ind w:firstLine="0" w:firstLineChars="0"/>
              <w:rPr>
                <w:rFonts w:hint="default" w:eastAsia="宋体"/>
                <w:color w:val="auto"/>
                <w:lang w:val="en-US" w:eastAsia="zh-CN"/>
              </w:rPr>
            </w:pPr>
            <w:bookmarkStart w:id="168" w:name="_Hlk119851268"/>
            <w:r>
              <w:rPr>
                <w:rFonts w:hint="eastAsia"/>
                <w:color w:val="auto"/>
                <w:lang w:val="en-US" w:eastAsia="zh-CN"/>
              </w:rPr>
              <w:t>4</w:t>
            </w:r>
          </w:p>
        </w:tc>
        <w:tc>
          <w:tcPr>
            <w:tcW w:w="1144" w:type="pct"/>
            <w:gridSpan w:val="2"/>
            <w:vAlign w:val="center"/>
          </w:tcPr>
          <w:p w14:paraId="75DFBE30">
            <w:pPr>
              <w:pStyle w:val="182"/>
              <w:bidi w:val="0"/>
              <w:rPr>
                <w:color w:val="auto"/>
              </w:rPr>
            </w:pPr>
            <w:r>
              <w:rPr>
                <w:color w:val="auto"/>
              </w:rPr>
              <w:t>中间桶</w:t>
            </w:r>
          </w:p>
        </w:tc>
        <w:tc>
          <w:tcPr>
            <w:tcW w:w="2277" w:type="pct"/>
            <w:vAlign w:val="center"/>
          </w:tcPr>
          <w:p w14:paraId="7F987737">
            <w:pPr>
              <w:pStyle w:val="182"/>
              <w:bidi w:val="0"/>
              <w:rPr>
                <w:b/>
                <w:bCs/>
                <w:color w:val="auto"/>
                <w:u w:val="single"/>
              </w:rPr>
            </w:pPr>
            <w:r>
              <w:rPr>
                <w:b/>
                <w:bCs/>
                <w:color w:val="auto"/>
                <w:u w:val="single"/>
              </w:rPr>
              <w:t>HX23-54</w:t>
            </w:r>
            <w:r>
              <w:rPr>
                <w:rFonts w:hint="eastAsia"/>
                <w:b/>
                <w:bCs/>
                <w:color w:val="auto"/>
                <w:u w:val="single"/>
                <w:lang w:eastAsia="zh-CN"/>
              </w:rPr>
              <w:t>；</w:t>
            </w:r>
            <w:r>
              <w:rPr>
                <w:rFonts w:hint="eastAsia"/>
                <w:b/>
                <w:bCs/>
                <w:color w:val="auto"/>
                <w:u w:val="single"/>
                <w:lang w:val="en-US" w:eastAsia="zh-CN"/>
              </w:rPr>
              <w:t>V=6m</w:t>
            </w:r>
            <w:r>
              <w:rPr>
                <w:rFonts w:hint="eastAsia"/>
                <w:b/>
                <w:bCs/>
                <w:color w:val="auto"/>
                <w:u w:val="single"/>
                <w:vertAlign w:val="superscript"/>
                <w:lang w:val="en-US" w:eastAsia="zh-CN"/>
              </w:rPr>
              <w:t>3</w:t>
            </w:r>
          </w:p>
        </w:tc>
        <w:tc>
          <w:tcPr>
            <w:tcW w:w="501" w:type="pct"/>
            <w:vAlign w:val="center"/>
          </w:tcPr>
          <w:p w14:paraId="128EE302">
            <w:pPr>
              <w:pStyle w:val="182"/>
              <w:bidi w:val="0"/>
              <w:rPr>
                <w:color w:val="auto"/>
              </w:rPr>
            </w:pPr>
            <w:r>
              <w:rPr>
                <w:color w:val="auto"/>
              </w:rPr>
              <w:t>4个</w:t>
            </w:r>
          </w:p>
        </w:tc>
        <w:tc>
          <w:tcPr>
            <w:tcW w:w="620" w:type="pct"/>
            <w:vAlign w:val="center"/>
          </w:tcPr>
          <w:p w14:paraId="28441A33">
            <w:pPr>
              <w:pStyle w:val="182"/>
              <w:bidi w:val="0"/>
              <w:rPr>
                <w:color w:val="auto"/>
              </w:rPr>
            </w:pPr>
          </w:p>
        </w:tc>
      </w:tr>
      <w:tr w14:paraId="09FE65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5E235121">
            <w:pPr>
              <w:pStyle w:val="182"/>
              <w:bidi w:val="0"/>
              <w:ind w:firstLine="0" w:firstLineChars="0"/>
              <w:rPr>
                <w:rFonts w:hint="default" w:eastAsia="宋体"/>
                <w:color w:val="auto"/>
                <w:lang w:val="en-US" w:eastAsia="zh-CN"/>
              </w:rPr>
            </w:pPr>
            <w:r>
              <w:rPr>
                <w:rFonts w:hint="eastAsia"/>
                <w:color w:val="auto"/>
                <w:lang w:val="en-US" w:eastAsia="zh-CN"/>
              </w:rPr>
              <w:t>5</w:t>
            </w:r>
          </w:p>
        </w:tc>
        <w:tc>
          <w:tcPr>
            <w:tcW w:w="1144" w:type="pct"/>
            <w:gridSpan w:val="2"/>
            <w:vAlign w:val="center"/>
          </w:tcPr>
          <w:p w14:paraId="08E31EC1">
            <w:pPr>
              <w:pStyle w:val="182"/>
              <w:bidi w:val="0"/>
              <w:rPr>
                <w:color w:val="auto"/>
              </w:rPr>
            </w:pPr>
            <w:r>
              <w:rPr>
                <w:color w:val="auto"/>
              </w:rPr>
              <w:t>脱泡桶</w:t>
            </w:r>
          </w:p>
        </w:tc>
        <w:tc>
          <w:tcPr>
            <w:tcW w:w="2277" w:type="pct"/>
            <w:vAlign w:val="center"/>
          </w:tcPr>
          <w:p w14:paraId="29E4EE06">
            <w:pPr>
              <w:pStyle w:val="182"/>
              <w:bidi w:val="0"/>
              <w:rPr>
                <w:b/>
                <w:bCs/>
                <w:color w:val="auto"/>
                <w:u w:val="single"/>
              </w:rPr>
            </w:pPr>
            <w:r>
              <w:rPr>
                <w:b/>
                <w:bCs/>
                <w:color w:val="auto"/>
                <w:u w:val="single"/>
              </w:rPr>
              <w:t>HX23-55</w:t>
            </w:r>
            <w:r>
              <w:rPr>
                <w:rFonts w:hint="eastAsia"/>
                <w:b/>
                <w:bCs/>
                <w:color w:val="auto"/>
                <w:u w:val="single"/>
                <w:lang w:eastAsia="zh-CN"/>
              </w:rPr>
              <w:t>；</w:t>
            </w:r>
            <w:r>
              <w:rPr>
                <w:rFonts w:hint="eastAsia"/>
                <w:b/>
                <w:bCs/>
                <w:color w:val="auto"/>
                <w:u w:val="single"/>
                <w:lang w:val="en-US" w:eastAsia="zh-CN"/>
              </w:rPr>
              <w:t>V=5m</w:t>
            </w:r>
            <w:r>
              <w:rPr>
                <w:rFonts w:hint="eastAsia"/>
                <w:b/>
                <w:bCs/>
                <w:color w:val="auto"/>
                <w:u w:val="single"/>
                <w:vertAlign w:val="superscript"/>
                <w:lang w:val="en-US" w:eastAsia="zh-CN"/>
              </w:rPr>
              <w:t>3</w:t>
            </w:r>
          </w:p>
        </w:tc>
        <w:tc>
          <w:tcPr>
            <w:tcW w:w="501" w:type="pct"/>
            <w:vAlign w:val="center"/>
          </w:tcPr>
          <w:p w14:paraId="29DA22DC">
            <w:pPr>
              <w:pStyle w:val="182"/>
              <w:bidi w:val="0"/>
              <w:rPr>
                <w:color w:val="auto"/>
              </w:rPr>
            </w:pPr>
            <w:r>
              <w:rPr>
                <w:color w:val="auto"/>
              </w:rPr>
              <w:t>1个</w:t>
            </w:r>
          </w:p>
        </w:tc>
        <w:tc>
          <w:tcPr>
            <w:tcW w:w="620" w:type="pct"/>
            <w:vAlign w:val="center"/>
          </w:tcPr>
          <w:p w14:paraId="2D05256D">
            <w:pPr>
              <w:pStyle w:val="182"/>
              <w:bidi w:val="0"/>
              <w:rPr>
                <w:color w:val="auto"/>
              </w:rPr>
            </w:pPr>
          </w:p>
        </w:tc>
      </w:tr>
      <w:tr w14:paraId="53A456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33B87B1D">
            <w:pPr>
              <w:pStyle w:val="182"/>
              <w:bidi w:val="0"/>
              <w:ind w:firstLine="0" w:firstLineChars="0"/>
              <w:rPr>
                <w:rFonts w:hint="default" w:eastAsia="宋体"/>
                <w:color w:val="auto"/>
                <w:lang w:val="en-US" w:eastAsia="zh-CN"/>
              </w:rPr>
            </w:pPr>
            <w:r>
              <w:rPr>
                <w:rFonts w:hint="eastAsia"/>
                <w:color w:val="auto"/>
                <w:lang w:val="en-US" w:eastAsia="zh-CN"/>
              </w:rPr>
              <w:t>6</w:t>
            </w:r>
          </w:p>
        </w:tc>
        <w:tc>
          <w:tcPr>
            <w:tcW w:w="1144" w:type="pct"/>
            <w:gridSpan w:val="2"/>
            <w:vAlign w:val="center"/>
          </w:tcPr>
          <w:p w14:paraId="5BC5A6DC">
            <w:pPr>
              <w:pStyle w:val="182"/>
              <w:bidi w:val="0"/>
              <w:rPr>
                <w:color w:val="auto"/>
              </w:rPr>
            </w:pPr>
            <w:r>
              <w:rPr>
                <w:color w:val="auto"/>
              </w:rPr>
              <w:t>纺丝桶</w:t>
            </w:r>
          </w:p>
        </w:tc>
        <w:tc>
          <w:tcPr>
            <w:tcW w:w="2277" w:type="pct"/>
            <w:vAlign w:val="center"/>
          </w:tcPr>
          <w:p w14:paraId="4DE4476B">
            <w:pPr>
              <w:pStyle w:val="182"/>
              <w:bidi w:val="0"/>
              <w:rPr>
                <w:b/>
                <w:bCs/>
                <w:color w:val="auto"/>
                <w:u w:val="single"/>
              </w:rPr>
            </w:pPr>
            <w:r>
              <w:rPr>
                <w:b/>
                <w:bCs/>
                <w:color w:val="auto"/>
                <w:u w:val="single"/>
              </w:rPr>
              <w:t>HX23-56</w:t>
            </w:r>
            <w:r>
              <w:rPr>
                <w:rFonts w:hint="eastAsia"/>
                <w:b/>
                <w:bCs/>
                <w:color w:val="auto"/>
                <w:u w:val="single"/>
                <w:lang w:eastAsia="zh-CN"/>
              </w:rPr>
              <w:t>；</w:t>
            </w:r>
            <w:r>
              <w:rPr>
                <w:rFonts w:hint="eastAsia"/>
                <w:b/>
                <w:bCs/>
                <w:color w:val="auto"/>
                <w:u w:val="single"/>
                <w:lang w:val="en-US" w:eastAsia="zh-CN"/>
              </w:rPr>
              <w:t>V=6m</w:t>
            </w:r>
            <w:r>
              <w:rPr>
                <w:rFonts w:hint="eastAsia"/>
                <w:b/>
                <w:bCs/>
                <w:color w:val="auto"/>
                <w:u w:val="single"/>
                <w:vertAlign w:val="superscript"/>
                <w:lang w:val="en-US" w:eastAsia="zh-CN"/>
              </w:rPr>
              <w:t>3</w:t>
            </w:r>
          </w:p>
        </w:tc>
        <w:tc>
          <w:tcPr>
            <w:tcW w:w="501" w:type="pct"/>
            <w:vAlign w:val="center"/>
          </w:tcPr>
          <w:p w14:paraId="747F1021">
            <w:pPr>
              <w:pStyle w:val="182"/>
              <w:bidi w:val="0"/>
              <w:rPr>
                <w:color w:val="auto"/>
              </w:rPr>
            </w:pPr>
            <w:r>
              <w:rPr>
                <w:color w:val="auto"/>
              </w:rPr>
              <w:t>1个</w:t>
            </w:r>
          </w:p>
        </w:tc>
        <w:tc>
          <w:tcPr>
            <w:tcW w:w="620" w:type="pct"/>
            <w:vAlign w:val="center"/>
          </w:tcPr>
          <w:p w14:paraId="524035C9">
            <w:pPr>
              <w:pStyle w:val="182"/>
              <w:bidi w:val="0"/>
              <w:rPr>
                <w:color w:val="auto"/>
              </w:rPr>
            </w:pPr>
          </w:p>
        </w:tc>
      </w:tr>
      <w:tr w14:paraId="7BAE3E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5000" w:type="pct"/>
            <w:gridSpan w:val="6"/>
            <w:vAlign w:val="center"/>
          </w:tcPr>
          <w:p w14:paraId="15416795">
            <w:pPr>
              <w:pStyle w:val="182"/>
              <w:bidi w:val="0"/>
              <w:rPr>
                <w:color w:val="auto"/>
              </w:rPr>
            </w:pPr>
            <w:r>
              <w:rPr>
                <w:spacing w:val="8"/>
              </w:rPr>
              <w:t>原液过滤和输送系统</w:t>
            </w:r>
          </w:p>
        </w:tc>
      </w:tr>
      <w:bookmarkEnd w:id="168"/>
      <w:tr w14:paraId="2236AF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3A764AD4">
            <w:pPr>
              <w:pStyle w:val="182"/>
              <w:bidi w:val="0"/>
              <w:ind w:firstLine="0" w:firstLineChars="0"/>
              <w:rPr>
                <w:rFonts w:hint="default" w:eastAsia="宋体"/>
                <w:b/>
                <w:bCs/>
                <w:color w:val="auto"/>
                <w:u w:val="single"/>
                <w:lang w:val="en-US" w:eastAsia="zh-CN"/>
              </w:rPr>
            </w:pPr>
            <w:r>
              <w:rPr>
                <w:rFonts w:hint="eastAsia"/>
                <w:color w:val="auto"/>
                <w:lang w:val="en-US" w:eastAsia="zh-CN"/>
              </w:rPr>
              <w:t>1</w:t>
            </w:r>
          </w:p>
        </w:tc>
        <w:tc>
          <w:tcPr>
            <w:tcW w:w="1144" w:type="pct"/>
            <w:gridSpan w:val="2"/>
            <w:vAlign w:val="center"/>
          </w:tcPr>
          <w:p w14:paraId="611A621F">
            <w:pPr>
              <w:pStyle w:val="182"/>
              <w:bidi w:val="0"/>
              <w:rPr>
                <w:color w:val="auto"/>
              </w:rPr>
            </w:pPr>
            <w:r>
              <w:rPr>
                <w:color w:val="auto"/>
              </w:rPr>
              <w:t>KK滤机</w:t>
            </w:r>
          </w:p>
        </w:tc>
        <w:tc>
          <w:tcPr>
            <w:tcW w:w="2277" w:type="pct"/>
            <w:vAlign w:val="center"/>
          </w:tcPr>
          <w:p w14:paraId="07C4421D">
            <w:pPr>
              <w:pStyle w:val="182"/>
              <w:bidi w:val="0"/>
              <w:rPr>
                <w:rFonts w:hint="default"/>
                <w:color w:val="auto"/>
                <w:lang w:val="en-US" w:eastAsia="zh-CN"/>
              </w:rPr>
            </w:pPr>
            <w:r>
              <w:rPr>
                <w:color w:val="auto"/>
              </w:rPr>
              <w:t>1.7m</w:t>
            </w:r>
            <w:r>
              <w:rPr>
                <w:rFonts w:hint="eastAsia"/>
                <w:color w:val="auto"/>
                <w:vertAlign w:val="superscript"/>
                <w:lang w:val="en-US" w:eastAsia="zh-CN"/>
              </w:rPr>
              <w:t>2</w:t>
            </w:r>
          </w:p>
        </w:tc>
        <w:tc>
          <w:tcPr>
            <w:tcW w:w="501" w:type="pct"/>
            <w:vAlign w:val="center"/>
          </w:tcPr>
          <w:p w14:paraId="45931C98">
            <w:pPr>
              <w:pStyle w:val="182"/>
              <w:bidi w:val="0"/>
              <w:rPr>
                <w:color w:val="auto"/>
              </w:rPr>
            </w:pPr>
            <w:r>
              <w:rPr>
                <w:color w:val="auto"/>
              </w:rPr>
              <w:t>8套</w:t>
            </w:r>
          </w:p>
        </w:tc>
        <w:tc>
          <w:tcPr>
            <w:tcW w:w="620" w:type="pct"/>
            <w:vAlign w:val="center"/>
          </w:tcPr>
          <w:p w14:paraId="0E5DE81D">
            <w:pPr>
              <w:pStyle w:val="182"/>
              <w:bidi w:val="0"/>
              <w:rPr>
                <w:rFonts w:hint="default" w:eastAsia="宋体"/>
                <w:color w:val="auto"/>
                <w:lang w:val="en-US" w:eastAsia="zh-CN"/>
              </w:rPr>
            </w:pPr>
            <w:r>
              <w:rPr>
                <w:rFonts w:hint="eastAsia"/>
                <w:b/>
                <w:bCs/>
                <w:color w:val="auto"/>
                <w:u w:val="single"/>
                <w:lang w:val="en-US" w:eastAsia="zh-CN"/>
              </w:rPr>
              <w:t>6用2备</w:t>
            </w:r>
          </w:p>
        </w:tc>
      </w:tr>
      <w:tr w14:paraId="309C3A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4853C831">
            <w:pPr>
              <w:pStyle w:val="182"/>
              <w:bidi w:val="0"/>
              <w:ind w:firstLine="0" w:firstLineChars="0"/>
              <w:rPr>
                <w:rFonts w:hint="default" w:eastAsia="宋体"/>
                <w:color w:val="auto"/>
                <w:lang w:val="en-US" w:eastAsia="zh-CN"/>
              </w:rPr>
            </w:pPr>
            <w:r>
              <w:rPr>
                <w:rFonts w:hint="eastAsia"/>
                <w:color w:val="auto"/>
                <w:lang w:val="en-US" w:eastAsia="zh-CN"/>
              </w:rPr>
              <w:t>2</w:t>
            </w:r>
          </w:p>
        </w:tc>
        <w:tc>
          <w:tcPr>
            <w:tcW w:w="1144" w:type="pct"/>
            <w:gridSpan w:val="2"/>
            <w:vAlign w:val="center"/>
          </w:tcPr>
          <w:p w14:paraId="40ACA7FB">
            <w:pPr>
              <w:pStyle w:val="182"/>
              <w:bidi w:val="0"/>
              <w:rPr>
                <w:color w:val="auto"/>
              </w:rPr>
            </w:pPr>
            <w:r>
              <w:rPr>
                <w:color w:val="auto"/>
              </w:rPr>
              <w:t>溶解出料泵</w:t>
            </w:r>
          </w:p>
        </w:tc>
        <w:tc>
          <w:tcPr>
            <w:tcW w:w="2277" w:type="pct"/>
            <w:vAlign w:val="center"/>
          </w:tcPr>
          <w:p w14:paraId="721F0822">
            <w:pPr>
              <w:pStyle w:val="182"/>
              <w:bidi w:val="0"/>
              <w:rPr>
                <w:color w:val="auto"/>
              </w:rPr>
            </w:pPr>
            <w:r>
              <w:rPr>
                <w:color w:val="auto"/>
              </w:rPr>
              <w:t>75TLS6-25C</w:t>
            </w:r>
          </w:p>
        </w:tc>
        <w:tc>
          <w:tcPr>
            <w:tcW w:w="501" w:type="pct"/>
            <w:vAlign w:val="center"/>
          </w:tcPr>
          <w:p w14:paraId="101F7DE0">
            <w:pPr>
              <w:pStyle w:val="182"/>
              <w:bidi w:val="0"/>
              <w:rPr>
                <w:color w:val="auto"/>
              </w:rPr>
            </w:pPr>
            <w:r>
              <w:rPr>
                <w:color w:val="auto"/>
              </w:rPr>
              <w:t>3台</w:t>
            </w:r>
          </w:p>
        </w:tc>
        <w:tc>
          <w:tcPr>
            <w:tcW w:w="620" w:type="pct"/>
            <w:vAlign w:val="center"/>
          </w:tcPr>
          <w:p w14:paraId="716C9F31">
            <w:pPr>
              <w:pStyle w:val="182"/>
              <w:bidi w:val="0"/>
              <w:rPr>
                <w:color w:val="auto"/>
              </w:rPr>
            </w:pPr>
          </w:p>
        </w:tc>
      </w:tr>
      <w:tr w14:paraId="65AE9E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2C683575">
            <w:pPr>
              <w:pStyle w:val="182"/>
              <w:bidi w:val="0"/>
              <w:ind w:firstLine="0" w:firstLineChars="0"/>
              <w:rPr>
                <w:rFonts w:hint="eastAsia" w:eastAsia="宋体"/>
                <w:color w:val="auto"/>
                <w:lang w:val="en-US" w:eastAsia="zh-CN"/>
              </w:rPr>
            </w:pPr>
            <w:r>
              <w:rPr>
                <w:rFonts w:hint="eastAsia"/>
                <w:color w:val="auto"/>
                <w:lang w:val="en-US" w:eastAsia="zh-CN"/>
              </w:rPr>
              <w:t>3</w:t>
            </w:r>
          </w:p>
        </w:tc>
        <w:tc>
          <w:tcPr>
            <w:tcW w:w="1144" w:type="pct"/>
            <w:gridSpan w:val="2"/>
            <w:vAlign w:val="center"/>
          </w:tcPr>
          <w:p w14:paraId="18042510">
            <w:pPr>
              <w:pStyle w:val="182"/>
              <w:bidi w:val="0"/>
              <w:rPr>
                <w:color w:val="auto"/>
              </w:rPr>
            </w:pPr>
            <w:r>
              <w:rPr>
                <w:color w:val="auto"/>
              </w:rPr>
              <w:t>双螺杆泵</w:t>
            </w:r>
          </w:p>
        </w:tc>
        <w:tc>
          <w:tcPr>
            <w:tcW w:w="2277" w:type="pct"/>
            <w:vAlign w:val="center"/>
          </w:tcPr>
          <w:p w14:paraId="34805EAC">
            <w:pPr>
              <w:pStyle w:val="182"/>
              <w:bidi w:val="0"/>
              <w:rPr>
                <w:color w:val="auto"/>
              </w:rPr>
            </w:pPr>
            <w:r>
              <w:rPr>
                <w:color w:val="auto"/>
              </w:rPr>
              <w:t>WXB75-24</w:t>
            </w:r>
          </w:p>
        </w:tc>
        <w:tc>
          <w:tcPr>
            <w:tcW w:w="501" w:type="pct"/>
            <w:vAlign w:val="center"/>
          </w:tcPr>
          <w:p w14:paraId="2B6F1DCB">
            <w:pPr>
              <w:pStyle w:val="182"/>
              <w:bidi w:val="0"/>
              <w:rPr>
                <w:color w:val="auto"/>
              </w:rPr>
            </w:pPr>
            <w:r>
              <w:rPr>
                <w:color w:val="auto"/>
              </w:rPr>
              <w:t>2台</w:t>
            </w:r>
          </w:p>
        </w:tc>
        <w:tc>
          <w:tcPr>
            <w:tcW w:w="620" w:type="pct"/>
            <w:vAlign w:val="center"/>
          </w:tcPr>
          <w:p w14:paraId="54CF4467">
            <w:pPr>
              <w:pStyle w:val="182"/>
              <w:bidi w:val="0"/>
              <w:rPr>
                <w:color w:val="auto"/>
              </w:rPr>
            </w:pPr>
          </w:p>
        </w:tc>
      </w:tr>
      <w:tr w14:paraId="0AEBF5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2723C723">
            <w:pPr>
              <w:pStyle w:val="182"/>
              <w:bidi w:val="0"/>
              <w:ind w:firstLine="0" w:firstLineChars="0"/>
              <w:rPr>
                <w:rFonts w:hint="eastAsia" w:eastAsia="宋体"/>
                <w:color w:val="auto"/>
                <w:lang w:val="en-US" w:eastAsia="zh-CN"/>
              </w:rPr>
            </w:pPr>
            <w:r>
              <w:rPr>
                <w:rFonts w:hint="eastAsia"/>
                <w:color w:val="auto"/>
                <w:lang w:val="en-US" w:eastAsia="zh-CN"/>
              </w:rPr>
              <w:t>4</w:t>
            </w:r>
          </w:p>
        </w:tc>
        <w:tc>
          <w:tcPr>
            <w:tcW w:w="1144" w:type="pct"/>
            <w:gridSpan w:val="2"/>
            <w:vAlign w:val="center"/>
          </w:tcPr>
          <w:p w14:paraId="357A1BF8">
            <w:pPr>
              <w:pStyle w:val="182"/>
              <w:bidi w:val="0"/>
              <w:rPr>
                <w:color w:val="auto"/>
              </w:rPr>
            </w:pPr>
            <w:r>
              <w:rPr>
                <w:color w:val="auto"/>
              </w:rPr>
              <w:t>过胶泵</w:t>
            </w:r>
          </w:p>
        </w:tc>
        <w:tc>
          <w:tcPr>
            <w:tcW w:w="2277" w:type="pct"/>
            <w:vAlign w:val="center"/>
          </w:tcPr>
          <w:p w14:paraId="1ACA1371">
            <w:pPr>
              <w:pStyle w:val="182"/>
              <w:bidi w:val="0"/>
              <w:rPr>
                <w:color w:val="auto"/>
              </w:rPr>
            </w:pPr>
            <w:r>
              <w:rPr>
                <w:color w:val="auto"/>
              </w:rPr>
              <w:t>40TLS10-3.5C</w:t>
            </w:r>
          </w:p>
        </w:tc>
        <w:tc>
          <w:tcPr>
            <w:tcW w:w="501" w:type="pct"/>
            <w:vAlign w:val="center"/>
          </w:tcPr>
          <w:p w14:paraId="4E3B44BA">
            <w:pPr>
              <w:pStyle w:val="182"/>
              <w:bidi w:val="0"/>
              <w:rPr>
                <w:color w:val="auto"/>
              </w:rPr>
            </w:pPr>
            <w:r>
              <w:rPr>
                <w:color w:val="auto"/>
              </w:rPr>
              <w:t>6台</w:t>
            </w:r>
          </w:p>
        </w:tc>
        <w:tc>
          <w:tcPr>
            <w:tcW w:w="620" w:type="pct"/>
            <w:vAlign w:val="center"/>
          </w:tcPr>
          <w:p w14:paraId="397F786B">
            <w:pPr>
              <w:pStyle w:val="182"/>
              <w:bidi w:val="0"/>
              <w:rPr>
                <w:color w:val="auto"/>
              </w:rPr>
            </w:pPr>
          </w:p>
        </w:tc>
      </w:tr>
      <w:tr w14:paraId="1DFE0E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1F129FA9">
            <w:pPr>
              <w:pStyle w:val="182"/>
              <w:bidi w:val="0"/>
              <w:ind w:firstLine="0" w:firstLineChars="0"/>
              <w:rPr>
                <w:rFonts w:hint="eastAsia" w:eastAsia="宋体"/>
                <w:color w:val="auto"/>
                <w:lang w:val="en-US" w:eastAsia="zh-CN"/>
              </w:rPr>
            </w:pPr>
            <w:r>
              <w:rPr>
                <w:rFonts w:hint="eastAsia"/>
                <w:color w:val="auto"/>
                <w:lang w:val="en-US" w:eastAsia="zh-CN"/>
              </w:rPr>
              <w:t>5</w:t>
            </w:r>
          </w:p>
        </w:tc>
        <w:tc>
          <w:tcPr>
            <w:tcW w:w="1144" w:type="pct"/>
            <w:gridSpan w:val="2"/>
            <w:vAlign w:val="center"/>
          </w:tcPr>
          <w:p w14:paraId="44750482">
            <w:pPr>
              <w:pStyle w:val="182"/>
              <w:bidi w:val="0"/>
              <w:rPr>
                <w:color w:val="auto"/>
              </w:rPr>
            </w:pPr>
            <w:r>
              <w:rPr>
                <w:color w:val="auto"/>
              </w:rPr>
              <w:t>电动葫芦</w:t>
            </w:r>
          </w:p>
        </w:tc>
        <w:tc>
          <w:tcPr>
            <w:tcW w:w="2277" w:type="pct"/>
            <w:vAlign w:val="center"/>
          </w:tcPr>
          <w:p w14:paraId="1121A2BC">
            <w:pPr>
              <w:pStyle w:val="182"/>
              <w:bidi w:val="0"/>
              <w:rPr>
                <w:color w:val="auto"/>
              </w:rPr>
            </w:pPr>
            <w:r>
              <w:rPr>
                <w:color w:val="auto"/>
              </w:rPr>
              <w:t>2T-6m</w:t>
            </w:r>
          </w:p>
        </w:tc>
        <w:tc>
          <w:tcPr>
            <w:tcW w:w="501" w:type="pct"/>
            <w:vAlign w:val="center"/>
          </w:tcPr>
          <w:p w14:paraId="20B03A0C">
            <w:pPr>
              <w:pStyle w:val="182"/>
              <w:bidi w:val="0"/>
              <w:rPr>
                <w:color w:val="auto"/>
              </w:rPr>
            </w:pPr>
            <w:r>
              <w:rPr>
                <w:color w:val="auto"/>
              </w:rPr>
              <w:t>4套</w:t>
            </w:r>
          </w:p>
        </w:tc>
        <w:tc>
          <w:tcPr>
            <w:tcW w:w="620" w:type="pct"/>
            <w:vAlign w:val="center"/>
          </w:tcPr>
          <w:p w14:paraId="1362599A">
            <w:pPr>
              <w:pStyle w:val="182"/>
              <w:bidi w:val="0"/>
              <w:rPr>
                <w:color w:val="auto"/>
              </w:rPr>
            </w:pPr>
          </w:p>
        </w:tc>
      </w:tr>
      <w:tr w14:paraId="396E61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33F0A4C3">
            <w:pPr>
              <w:pStyle w:val="182"/>
              <w:bidi w:val="0"/>
              <w:ind w:firstLine="0" w:firstLineChars="0"/>
              <w:rPr>
                <w:rFonts w:hint="default" w:eastAsia="宋体"/>
                <w:color w:val="auto"/>
                <w:lang w:val="en-US" w:eastAsia="zh-CN"/>
              </w:rPr>
            </w:pPr>
            <w:r>
              <w:rPr>
                <w:rFonts w:hint="eastAsia"/>
                <w:color w:val="auto"/>
                <w:lang w:val="en-US" w:eastAsia="zh-CN"/>
              </w:rPr>
              <w:t>6</w:t>
            </w:r>
          </w:p>
        </w:tc>
        <w:tc>
          <w:tcPr>
            <w:tcW w:w="1144" w:type="pct"/>
            <w:gridSpan w:val="2"/>
            <w:vAlign w:val="center"/>
          </w:tcPr>
          <w:p w14:paraId="79005E92">
            <w:pPr>
              <w:pStyle w:val="182"/>
              <w:bidi w:val="0"/>
              <w:rPr>
                <w:color w:val="auto"/>
              </w:rPr>
            </w:pPr>
            <w:r>
              <w:rPr>
                <w:color w:val="auto"/>
              </w:rPr>
              <w:t>液压车</w:t>
            </w:r>
          </w:p>
        </w:tc>
        <w:tc>
          <w:tcPr>
            <w:tcW w:w="2277" w:type="pct"/>
            <w:vAlign w:val="center"/>
          </w:tcPr>
          <w:p w14:paraId="1D519630">
            <w:pPr>
              <w:pStyle w:val="182"/>
              <w:bidi w:val="0"/>
              <w:rPr>
                <w:color w:val="auto"/>
              </w:rPr>
            </w:pPr>
            <w:r>
              <w:rPr>
                <w:color w:val="auto"/>
              </w:rPr>
              <w:t>CBY-3T</w:t>
            </w:r>
          </w:p>
        </w:tc>
        <w:tc>
          <w:tcPr>
            <w:tcW w:w="501" w:type="pct"/>
            <w:vAlign w:val="center"/>
          </w:tcPr>
          <w:p w14:paraId="6CB7FD8D">
            <w:pPr>
              <w:pStyle w:val="182"/>
              <w:bidi w:val="0"/>
              <w:rPr>
                <w:color w:val="auto"/>
              </w:rPr>
            </w:pPr>
            <w:r>
              <w:rPr>
                <w:color w:val="auto"/>
              </w:rPr>
              <w:t>4辆</w:t>
            </w:r>
          </w:p>
        </w:tc>
        <w:tc>
          <w:tcPr>
            <w:tcW w:w="620" w:type="pct"/>
            <w:vAlign w:val="center"/>
          </w:tcPr>
          <w:p w14:paraId="7E6F41A5">
            <w:pPr>
              <w:pStyle w:val="182"/>
              <w:bidi w:val="0"/>
              <w:rPr>
                <w:color w:val="auto"/>
              </w:rPr>
            </w:pPr>
          </w:p>
        </w:tc>
      </w:tr>
      <w:tr w14:paraId="5B5738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5000" w:type="pct"/>
            <w:gridSpan w:val="6"/>
            <w:vAlign w:val="center"/>
          </w:tcPr>
          <w:p w14:paraId="4A0679A6">
            <w:pPr>
              <w:pStyle w:val="182"/>
              <w:bidi w:val="0"/>
              <w:rPr>
                <w:color w:val="auto"/>
              </w:rPr>
            </w:pPr>
            <w:r>
              <w:rPr>
                <w:spacing w:val="6"/>
              </w:rPr>
              <w:t>纺丝系统</w:t>
            </w:r>
          </w:p>
        </w:tc>
      </w:tr>
      <w:tr w14:paraId="7D8F14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3D54C5BA">
            <w:pPr>
              <w:pStyle w:val="182"/>
              <w:bidi w:val="0"/>
              <w:ind w:firstLine="0" w:firstLineChars="0"/>
              <w:rPr>
                <w:rFonts w:hint="default" w:eastAsia="宋体"/>
                <w:color w:val="auto"/>
                <w:lang w:val="en-US" w:eastAsia="zh-CN"/>
              </w:rPr>
            </w:pPr>
            <w:r>
              <w:rPr>
                <w:rFonts w:hint="eastAsia"/>
                <w:color w:val="auto"/>
                <w:lang w:val="en-US" w:eastAsia="zh-CN"/>
              </w:rPr>
              <w:t>1</w:t>
            </w:r>
          </w:p>
        </w:tc>
        <w:tc>
          <w:tcPr>
            <w:tcW w:w="1144" w:type="pct"/>
            <w:gridSpan w:val="2"/>
            <w:vAlign w:val="center"/>
          </w:tcPr>
          <w:p w14:paraId="37EB4A28">
            <w:pPr>
              <w:pStyle w:val="182"/>
              <w:bidi w:val="0"/>
              <w:rPr>
                <w:color w:val="auto"/>
              </w:rPr>
            </w:pPr>
            <w:r>
              <w:rPr>
                <w:color w:val="auto"/>
              </w:rPr>
              <w:t>原液输送泵</w:t>
            </w:r>
          </w:p>
        </w:tc>
        <w:tc>
          <w:tcPr>
            <w:tcW w:w="2277" w:type="pct"/>
            <w:vAlign w:val="center"/>
          </w:tcPr>
          <w:p w14:paraId="1DE08911">
            <w:pPr>
              <w:pStyle w:val="182"/>
              <w:bidi w:val="0"/>
              <w:rPr>
                <w:color w:val="auto"/>
              </w:rPr>
            </w:pPr>
            <w:r>
              <w:rPr>
                <w:color w:val="auto"/>
              </w:rPr>
              <w:t>WXB75-24</w:t>
            </w:r>
          </w:p>
        </w:tc>
        <w:tc>
          <w:tcPr>
            <w:tcW w:w="501" w:type="pct"/>
            <w:vAlign w:val="center"/>
          </w:tcPr>
          <w:p w14:paraId="4949F288">
            <w:pPr>
              <w:pStyle w:val="182"/>
              <w:bidi w:val="0"/>
              <w:rPr>
                <w:color w:val="auto"/>
              </w:rPr>
            </w:pPr>
            <w:r>
              <w:rPr>
                <w:color w:val="auto"/>
              </w:rPr>
              <w:t>1台</w:t>
            </w:r>
          </w:p>
        </w:tc>
        <w:tc>
          <w:tcPr>
            <w:tcW w:w="620" w:type="pct"/>
            <w:vAlign w:val="center"/>
          </w:tcPr>
          <w:p w14:paraId="0A6FC31B">
            <w:pPr>
              <w:pStyle w:val="182"/>
              <w:bidi w:val="0"/>
              <w:rPr>
                <w:color w:val="auto"/>
              </w:rPr>
            </w:pPr>
          </w:p>
        </w:tc>
      </w:tr>
      <w:tr w14:paraId="17EFDD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5B8B9906">
            <w:pPr>
              <w:pStyle w:val="182"/>
              <w:bidi w:val="0"/>
              <w:ind w:firstLine="0" w:firstLineChars="0"/>
              <w:rPr>
                <w:rFonts w:hint="default" w:eastAsia="宋体"/>
                <w:color w:val="auto"/>
                <w:lang w:val="en-US" w:eastAsia="zh-CN"/>
              </w:rPr>
            </w:pPr>
            <w:r>
              <w:rPr>
                <w:rFonts w:hint="eastAsia"/>
                <w:color w:val="auto"/>
                <w:lang w:val="en-US" w:eastAsia="zh-CN"/>
              </w:rPr>
              <w:t>2</w:t>
            </w:r>
          </w:p>
        </w:tc>
        <w:tc>
          <w:tcPr>
            <w:tcW w:w="1144" w:type="pct"/>
            <w:gridSpan w:val="2"/>
            <w:vAlign w:val="center"/>
          </w:tcPr>
          <w:p w14:paraId="5F1A10CB">
            <w:pPr>
              <w:pStyle w:val="182"/>
              <w:bidi w:val="0"/>
              <w:rPr>
                <w:color w:val="auto"/>
              </w:rPr>
            </w:pPr>
            <w:r>
              <w:rPr>
                <w:color w:val="auto"/>
              </w:rPr>
              <w:t>连续纺丝机</w:t>
            </w:r>
          </w:p>
        </w:tc>
        <w:tc>
          <w:tcPr>
            <w:tcW w:w="2277" w:type="pct"/>
            <w:vAlign w:val="center"/>
          </w:tcPr>
          <w:p w14:paraId="09B08105">
            <w:pPr>
              <w:pStyle w:val="182"/>
              <w:bidi w:val="0"/>
              <w:rPr>
                <w:color w:val="auto"/>
              </w:rPr>
            </w:pPr>
            <w:r>
              <w:rPr>
                <w:color w:val="auto"/>
              </w:rPr>
              <w:t>2</w:t>
            </w:r>
            <w:r>
              <w:rPr>
                <w:rFonts w:hint="eastAsia"/>
                <w:color w:val="auto"/>
                <w:lang w:val="en-US" w:eastAsia="zh-CN"/>
              </w:rPr>
              <w:t>4</w:t>
            </w:r>
            <w:r>
              <w:rPr>
                <w:color w:val="auto"/>
              </w:rPr>
              <w:t>区</w:t>
            </w:r>
          </w:p>
        </w:tc>
        <w:tc>
          <w:tcPr>
            <w:tcW w:w="501" w:type="pct"/>
            <w:vAlign w:val="center"/>
          </w:tcPr>
          <w:p w14:paraId="58052DE7">
            <w:pPr>
              <w:pStyle w:val="182"/>
              <w:bidi w:val="0"/>
              <w:rPr>
                <w:color w:val="auto"/>
              </w:rPr>
            </w:pPr>
            <w:r>
              <w:rPr>
                <w:color w:val="auto"/>
              </w:rPr>
              <w:t>16套</w:t>
            </w:r>
          </w:p>
        </w:tc>
        <w:tc>
          <w:tcPr>
            <w:tcW w:w="620" w:type="pct"/>
            <w:vAlign w:val="center"/>
          </w:tcPr>
          <w:p w14:paraId="0524E828">
            <w:pPr>
              <w:pStyle w:val="182"/>
              <w:bidi w:val="0"/>
              <w:rPr>
                <w:color w:val="auto"/>
              </w:rPr>
            </w:pPr>
          </w:p>
        </w:tc>
      </w:tr>
      <w:tr w14:paraId="1B4B46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12DBF218">
            <w:pPr>
              <w:pStyle w:val="182"/>
              <w:bidi w:val="0"/>
              <w:ind w:firstLine="0" w:firstLineChars="0"/>
              <w:rPr>
                <w:rFonts w:hint="eastAsia" w:eastAsia="宋体"/>
                <w:color w:val="auto"/>
                <w:lang w:val="en-US" w:eastAsia="zh-CN"/>
              </w:rPr>
            </w:pPr>
            <w:r>
              <w:rPr>
                <w:rFonts w:hint="eastAsia"/>
                <w:color w:val="auto"/>
                <w:lang w:val="en-US" w:eastAsia="zh-CN"/>
              </w:rPr>
              <w:t>3</w:t>
            </w:r>
          </w:p>
        </w:tc>
        <w:tc>
          <w:tcPr>
            <w:tcW w:w="1144" w:type="pct"/>
            <w:gridSpan w:val="2"/>
            <w:vAlign w:val="center"/>
          </w:tcPr>
          <w:p w14:paraId="503C6965">
            <w:pPr>
              <w:pStyle w:val="182"/>
              <w:bidi w:val="0"/>
              <w:rPr>
                <w:color w:val="auto"/>
              </w:rPr>
            </w:pPr>
            <w:r>
              <w:rPr>
                <w:color w:val="auto"/>
              </w:rPr>
              <w:t>落丝车</w:t>
            </w:r>
          </w:p>
        </w:tc>
        <w:tc>
          <w:tcPr>
            <w:tcW w:w="2277" w:type="pct"/>
            <w:vAlign w:val="center"/>
          </w:tcPr>
          <w:p w14:paraId="4D68AD2A">
            <w:pPr>
              <w:pStyle w:val="182"/>
              <w:bidi w:val="0"/>
              <w:rPr>
                <w:color w:val="auto"/>
              </w:rPr>
            </w:pPr>
            <w:r>
              <w:rPr>
                <w:color w:val="auto"/>
              </w:rPr>
              <w:t>LSCA-01</w:t>
            </w:r>
          </w:p>
        </w:tc>
        <w:tc>
          <w:tcPr>
            <w:tcW w:w="501" w:type="pct"/>
            <w:vAlign w:val="center"/>
          </w:tcPr>
          <w:p w14:paraId="68D8624B">
            <w:pPr>
              <w:pStyle w:val="182"/>
              <w:bidi w:val="0"/>
              <w:rPr>
                <w:color w:val="auto"/>
              </w:rPr>
            </w:pPr>
            <w:r>
              <w:rPr>
                <w:color w:val="auto"/>
              </w:rPr>
              <w:t>6辆</w:t>
            </w:r>
          </w:p>
        </w:tc>
        <w:tc>
          <w:tcPr>
            <w:tcW w:w="620" w:type="pct"/>
            <w:vAlign w:val="center"/>
          </w:tcPr>
          <w:p w14:paraId="099BCF82">
            <w:pPr>
              <w:pStyle w:val="182"/>
              <w:bidi w:val="0"/>
              <w:rPr>
                <w:color w:val="auto"/>
              </w:rPr>
            </w:pPr>
          </w:p>
        </w:tc>
      </w:tr>
      <w:tr w14:paraId="7E40EE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2AEA0AA9">
            <w:pPr>
              <w:pStyle w:val="182"/>
              <w:bidi w:val="0"/>
              <w:ind w:firstLine="0" w:firstLineChars="0"/>
              <w:rPr>
                <w:rFonts w:hint="eastAsia" w:eastAsia="宋体"/>
                <w:color w:val="auto"/>
                <w:lang w:val="en-US" w:eastAsia="zh-CN"/>
              </w:rPr>
            </w:pPr>
            <w:r>
              <w:rPr>
                <w:rFonts w:hint="eastAsia"/>
                <w:color w:val="auto"/>
                <w:lang w:val="en-US" w:eastAsia="zh-CN"/>
              </w:rPr>
              <w:t>4</w:t>
            </w:r>
          </w:p>
        </w:tc>
        <w:tc>
          <w:tcPr>
            <w:tcW w:w="1144" w:type="pct"/>
            <w:gridSpan w:val="2"/>
            <w:vAlign w:val="center"/>
          </w:tcPr>
          <w:p w14:paraId="0CC40D8B">
            <w:pPr>
              <w:pStyle w:val="182"/>
              <w:bidi w:val="0"/>
              <w:rPr>
                <w:color w:val="auto"/>
              </w:rPr>
            </w:pPr>
            <w:r>
              <w:rPr>
                <w:color w:val="auto"/>
              </w:rPr>
              <w:t>保温水槽</w:t>
            </w:r>
          </w:p>
        </w:tc>
        <w:tc>
          <w:tcPr>
            <w:tcW w:w="2277" w:type="pct"/>
            <w:vAlign w:val="center"/>
          </w:tcPr>
          <w:p w14:paraId="7E97BDCF">
            <w:pPr>
              <w:pStyle w:val="182"/>
              <w:bidi w:val="0"/>
              <w:rPr>
                <w:color w:val="auto"/>
              </w:rPr>
            </w:pPr>
            <w:r>
              <w:rPr>
                <w:color w:val="auto"/>
              </w:rPr>
              <w:t>LZYBD-011</w:t>
            </w:r>
          </w:p>
        </w:tc>
        <w:tc>
          <w:tcPr>
            <w:tcW w:w="501" w:type="pct"/>
            <w:vAlign w:val="center"/>
          </w:tcPr>
          <w:p w14:paraId="4F64CD15">
            <w:pPr>
              <w:pStyle w:val="182"/>
              <w:bidi w:val="0"/>
              <w:rPr>
                <w:color w:val="auto"/>
              </w:rPr>
            </w:pPr>
            <w:r>
              <w:rPr>
                <w:color w:val="auto"/>
              </w:rPr>
              <w:t>1个</w:t>
            </w:r>
          </w:p>
        </w:tc>
        <w:tc>
          <w:tcPr>
            <w:tcW w:w="620" w:type="pct"/>
            <w:vAlign w:val="center"/>
          </w:tcPr>
          <w:p w14:paraId="7888481C">
            <w:pPr>
              <w:pStyle w:val="182"/>
              <w:bidi w:val="0"/>
              <w:rPr>
                <w:color w:val="auto"/>
              </w:rPr>
            </w:pPr>
          </w:p>
        </w:tc>
      </w:tr>
      <w:tr w14:paraId="0B2F20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28E5784D">
            <w:pPr>
              <w:pStyle w:val="182"/>
              <w:bidi w:val="0"/>
              <w:ind w:firstLine="0" w:firstLineChars="0"/>
              <w:rPr>
                <w:rFonts w:hint="eastAsia" w:eastAsia="宋体"/>
                <w:color w:val="auto"/>
                <w:lang w:val="en-US" w:eastAsia="zh-CN"/>
              </w:rPr>
            </w:pPr>
            <w:r>
              <w:rPr>
                <w:rFonts w:hint="eastAsia"/>
                <w:color w:val="auto"/>
                <w:lang w:val="en-US" w:eastAsia="zh-CN"/>
              </w:rPr>
              <w:t>5</w:t>
            </w:r>
          </w:p>
        </w:tc>
        <w:tc>
          <w:tcPr>
            <w:tcW w:w="1144" w:type="pct"/>
            <w:gridSpan w:val="2"/>
            <w:vAlign w:val="center"/>
          </w:tcPr>
          <w:p w14:paraId="19127BA8">
            <w:pPr>
              <w:pStyle w:val="182"/>
              <w:bidi w:val="0"/>
              <w:rPr>
                <w:color w:val="auto"/>
              </w:rPr>
            </w:pPr>
            <w:r>
              <w:rPr>
                <w:color w:val="auto"/>
              </w:rPr>
              <w:t>保温水泵</w:t>
            </w:r>
          </w:p>
        </w:tc>
        <w:tc>
          <w:tcPr>
            <w:tcW w:w="2277" w:type="pct"/>
            <w:vAlign w:val="center"/>
          </w:tcPr>
          <w:p w14:paraId="5BE6B1F1">
            <w:pPr>
              <w:pStyle w:val="182"/>
              <w:bidi w:val="0"/>
              <w:rPr>
                <w:color w:val="auto"/>
              </w:rPr>
            </w:pPr>
            <w:r>
              <w:rPr>
                <w:color w:val="auto"/>
              </w:rPr>
              <w:t>CQB50-32-125P3kw</w:t>
            </w:r>
          </w:p>
        </w:tc>
        <w:tc>
          <w:tcPr>
            <w:tcW w:w="501" w:type="pct"/>
            <w:vAlign w:val="center"/>
          </w:tcPr>
          <w:p w14:paraId="40610241">
            <w:pPr>
              <w:pStyle w:val="182"/>
              <w:bidi w:val="0"/>
              <w:rPr>
                <w:color w:val="auto"/>
              </w:rPr>
            </w:pPr>
            <w:r>
              <w:rPr>
                <w:color w:val="auto"/>
              </w:rPr>
              <w:t>2台</w:t>
            </w:r>
          </w:p>
        </w:tc>
        <w:tc>
          <w:tcPr>
            <w:tcW w:w="620" w:type="pct"/>
            <w:vAlign w:val="center"/>
          </w:tcPr>
          <w:p w14:paraId="1504FDA6">
            <w:pPr>
              <w:pStyle w:val="182"/>
              <w:bidi w:val="0"/>
              <w:rPr>
                <w:color w:val="auto"/>
              </w:rPr>
            </w:pPr>
          </w:p>
        </w:tc>
      </w:tr>
      <w:tr w14:paraId="77D942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5000" w:type="pct"/>
            <w:gridSpan w:val="6"/>
            <w:vAlign w:val="center"/>
          </w:tcPr>
          <w:p w14:paraId="3A2B7CA8">
            <w:pPr>
              <w:pStyle w:val="182"/>
              <w:bidi w:val="0"/>
              <w:rPr>
                <w:color w:val="auto"/>
              </w:rPr>
            </w:pPr>
            <w:r>
              <w:rPr>
                <w:spacing w:val="8"/>
              </w:rPr>
              <w:t>凝固浴、回收</w:t>
            </w:r>
          </w:p>
        </w:tc>
      </w:tr>
      <w:tr w14:paraId="7FF62F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7B1612D4">
            <w:pPr>
              <w:pStyle w:val="182"/>
              <w:bidi w:val="0"/>
              <w:ind w:firstLine="0" w:firstLineChars="0"/>
              <w:rPr>
                <w:rFonts w:hint="eastAsia" w:eastAsia="宋体"/>
                <w:color w:val="auto"/>
                <w:lang w:val="en-US" w:eastAsia="zh-CN"/>
              </w:rPr>
            </w:pPr>
            <w:r>
              <w:rPr>
                <w:rFonts w:hint="eastAsia"/>
                <w:color w:val="auto"/>
                <w:lang w:val="en-US" w:eastAsia="zh-CN"/>
              </w:rPr>
              <w:t>1</w:t>
            </w:r>
          </w:p>
        </w:tc>
        <w:tc>
          <w:tcPr>
            <w:tcW w:w="1144" w:type="pct"/>
            <w:gridSpan w:val="2"/>
            <w:vAlign w:val="center"/>
          </w:tcPr>
          <w:p w14:paraId="0B2E884A">
            <w:pPr>
              <w:pStyle w:val="182"/>
              <w:bidi w:val="0"/>
              <w:rPr>
                <w:color w:val="auto"/>
              </w:rPr>
            </w:pPr>
            <w:r>
              <w:rPr>
                <w:color w:val="auto"/>
              </w:rPr>
              <w:t>凝固浴储罐</w:t>
            </w:r>
          </w:p>
        </w:tc>
        <w:tc>
          <w:tcPr>
            <w:tcW w:w="2277" w:type="pct"/>
            <w:vAlign w:val="center"/>
          </w:tcPr>
          <w:p w14:paraId="561E2139">
            <w:pPr>
              <w:pStyle w:val="182"/>
              <w:bidi w:val="0"/>
              <w:rPr>
                <w:color w:val="auto"/>
              </w:rPr>
            </w:pPr>
            <w:r>
              <w:rPr>
                <w:color w:val="auto"/>
              </w:rPr>
              <w:t>V=15m</w:t>
            </w:r>
            <w:r>
              <w:rPr>
                <w:rFonts w:hint="eastAsia"/>
                <w:color w:val="auto"/>
                <w:vertAlign w:val="superscript"/>
                <w:lang w:val="en-US" w:eastAsia="zh-CN"/>
              </w:rPr>
              <w:t>3</w:t>
            </w:r>
          </w:p>
        </w:tc>
        <w:tc>
          <w:tcPr>
            <w:tcW w:w="501" w:type="pct"/>
            <w:vAlign w:val="center"/>
          </w:tcPr>
          <w:p w14:paraId="10D59247">
            <w:pPr>
              <w:pStyle w:val="182"/>
              <w:bidi w:val="0"/>
              <w:rPr>
                <w:color w:val="auto"/>
              </w:rPr>
            </w:pPr>
            <w:r>
              <w:rPr>
                <w:color w:val="auto"/>
              </w:rPr>
              <w:t>2个</w:t>
            </w:r>
          </w:p>
        </w:tc>
        <w:tc>
          <w:tcPr>
            <w:tcW w:w="620" w:type="pct"/>
            <w:vAlign w:val="center"/>
          </w:tcPr>
          <w:p w14:paraId="0D5D0200">
            <w:pPr>
              <w:pStyle w:val="182"/>
              <w:bidi w:val="0"/>
              <w:rPr>
                <w:color w:val="auto"/>
              </w:rPr>
            </w:pPr>
          </w:p>
        </w:tc>
      </w:tr>
      <w:tr w14:paraId="089947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02C23422">
            <w:pPr>
              <w:pStyle w:val="182"/>
              <w:bidi w:val="0"/>
              <w:ind w:firstLine="0" w:firstLineChars="0"/>
              <w:rPr>
                <w:rFonts w:hint="default" w:eastAsia="宋体"/>
                <w:color w:val="auto"/>
                <w:lang w:val="en-US" w:eastAsia="zh-CN"/>
              </w:rPr>
            </w:pPr>
            <w:r>
              <w:rPr>
                <w:rFonts w:hint="eastAsia"/>
                <w:color w:val="auto"/>
                <w:lang w:val="en-US" w:eastAsia="zh-CN"/>
              </w:rPr>
              <w:t>2</w:t>
            </w:r>
          </w:p>
        </w:tc>
        <w:tc>
          <w:tcPr>
            <w:tcW w:w="1144" w:type="pct"/>
            <w:gridSpan w:val="2"/>
            <w:vAlign w:val="center"/>
          </w:tcPr>
          <w:p w14:paraId="3E8748FE">
            <w:pPr>
              <w:pStyle w:val="182"/>
              <w:bidi w:val="0"/>
              <w:rPr>
                <w:color w:val="auto"/>
              </w:rPr>
            </w:pPr>
            <w:r>
              <w:rPr>
                <w:color w:val="auto"/>
              </w:rPr>
              <w:t>凝固浴输送和循环泵</w:t>
            </w:r>
          </w:p>
        </w:tc>
        <w:tc>
          <w:tcPr>
            <w:tcW w:w="2277" w:type="pct"/>
            <w:vAlign w:val="center"/>
          </w:tcPr>
          <w:p w14:paraId="3A839DF7">
            <w:pPr>
              <w:pStyle w:val="182"/>
              <w:bidi w:val="0"/>
              <w:rPr>
                <w:color w:val="auto"/>
              </w:rPr>
            </w:pPr>
            <w:r>
              <w:rPr>
                <w:color w:val="auto"/>
              </w:rPr>
              <w:t>CQB50-32-125P</w:t>
            </w:r>
          </w:p>
        </w:tc>
        <w:tc>
          <w:tcPr>
            <w:tcW w:w="501" w:type="pct"/>
            <w:vAlign w:val="center"/>
          </w:tcPr>
          <w:p w14:paraId="0C8D22AA">
            <w:pPr>
              <w:pStyle w:val="182"/>
              <w:bidi w:val="0"/>
              <w:rPr>
                <w:color w:val="auto"/>
              </w:rPr>
            </w:pPr>
            <w:r>
              <w:rPr>
                <w:color w:val="auto"/>
              </w:rPr>
              <w:t>4套</w:t>
            </w:r>
          </w:p>
        </w:tc>
        <w:tc>
          <w:tcPr>
            <w:tcW w:w="620" w:type="pct"/>
            <w:vAlign w:val="center"/>
          </w:tcPr>
          <w:p w14:paraId="3CB04AB0">
            <w:pPr>
              <w:pStyle w:val="182"/>
              <w:bidi w:val="0"/>
              <w:rPr>
                <w:color w:val="auto"/>
              </w:rPr>
            </w:pPr>
          </w:p>
        </w:tc>
      </w:tr>
      <w:tr w14:paraId="1B22F7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0A66118C">
            <w:pPr>
              <w:pStyle w:val="182"/>
              <w:bidi w:val="0"/>
              <w:ind w:firstLine="0" w:firstLineChars="0"/>
              <w:rPr>
                <w:rFonts w:hint="default" w:eastAsia="宋体"/>
                <w:color w:val="auto"/>
                <w:lang w:val="en-US" w:eastAsia="zh-CN"/>
              </w:rPr>
            </w:pPr>
            <w:r>
              <w:rPr>
                <w:rFonts w:hint="eastAsia"/>
                <w:color w:val="auto"/>
                <w:lang w:val="en-US" w:eastAsia="zh-CN"/>
              </w:rPr>
              <w:t>3</w:t>
            </w:r>
          </w:p>
        </w:tc>
        <w:tc>
          <w:tcPr>
            <w:tcW w:w="1144" w:type="pct"/>
            <w:gridSpan w:val="2"/>
            <w:vAlign w:val="center"/>
          </w:tcPr>
          <w:p w14:paraId="000913A2">
            <w:pPr>
              <w:pStyle w:val="182"/>
              <w:bidi w:val="0"/>
              <w:rPr>
                <w:color w:val="auto"/>
              </w:rPr>
            </w:pPr>
            <w:r>
              <w:rPr>
                <w:color w:val="auto"/>
              </w:rPr>
              <w:t>凝固浴过滤器</w:t>
            </w:r>
          </w:p>
        </w:tc>
        <w:tc>
          <w:tcPr>
            <w:tcW w:w="2277" w:type="pct"/>
            <w:vAlign w:val="center"/>
          </w:tcPr>
          <w:p w14:paraId="398334AF">
            <w:pPr>
              <w:pStyle w:val="182"/>
              <w:bidi w:val="0"/>
              <w:rPr>
                <w:color w:val="auto"/>
              </w:rPr>
            </w:pPr>
            <w:r>
              <w:rPr>
                <w:color w:val="auto"/>
              </w:rPr>
              <w:t>CVBM-0224-304-F350P16</w:t>
            </w:r>
          </w:p>
        </w:tc>
        <w:tc>
          <w:tcPr>
            <w:tcW w:w="501" w:type="pct"/>
            <w:vAlign w:val="center"/>
          </w:tcPr>
          <w:p w14:paraId="25155026">
            <w:pPr>
              <w:pStyle w:val="182"/>
              <w:bidi w:val="0"/>
              <w:rPr>
                <w:color w:val="auto"/>
              </w:rPr>
            </w:pPr>
            <w:r>
              <w:rPr>
                <w:color w:val="auto"/>
              </w:rPr>
              <w:t>2套</w:t>
            </w:r>
          </w:p>
        </w:tc>
        <w:tc>
          <w:tcPr>
            <w:tcW w:w="620" w:type="pct"/>
            <w:vAlign w:val="center"/>
          </w:tcPr>
          <w:p w14:paraId="7ED2393A">
            <w:pPr>
              <w:pStyle w:val="182"/>
              <w:bidi w:val="0"/>
              <w:rPr>
                <w:color w:val="auto"/>
              </w:rPr>
            </w:pPr>
          </w:p>
        </w:tc>
      </w:tr>
      <w:tr w14:paraId="05B882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466530F1">
            <w:pPr>
              <w:pStyle w:val="182"/>
              <w:bidi w:val="0"/>
              <w:ind w:firstLine="0" w:firstLineChars="0"/>
              <w:rPr>
                <w:rFonts w:hint="default" w:eastAsia="宋体"/>
                <w:color w:val="auto"/>
                <w:lang w:val="en-US" w:eastAsia="zh-CN"/>
              </w:rPr>
            </w:pPr>
            <w:r>
              <w:rPr>
                <w:rFonts w:hint="eastAsia"/>
                <w:color w:val="auto"/>
                <w:lang w:val="en-US" w:eastAsia="zh-CN"/>
              </w:rPr>
              <w:t>4</w:t>
            </w:r>
          </w:p>
        </w:tc>
        <w:tc>
          <w:tcPr>
            <w:tcW w:w="1144" w:type="pct"/>
            <w:gridSpan w:val="2"/>
            <w:vAlign w:val="center"/>
          </w:tcPr>
          <w:p w14:paraId="2ADA185F">
            <w:pPr>
              <w:pStyle w:val="182"/>
              <w:bidi w:val="0"/>
              <w:rPr>
                <w:rFonts w:hint="default"/>
                <w:color w:val="auto"/>
                <w:lang w:val="en-US" w:eastAsia="zh-CN"/>
              </w:rPr>
            </w:pPr>
            <w:r>
              <w:rPr>
                <w:color w:val="auto"/>
              </w:rPr>
              <w:t>凝固浴</w:t>
            </w:r>
            <w:r>
              <w:rPr>
                <w:rFonts w:hint="eastAsia"/>
                <w:color w:val="auto"/>
                <w:lang w:val="en-US" w:eastAsia="zh-CN"/>
              </w:rPr>
              <w:t>低位</w:t>
            </w:r>
            <w:r>
              <w:rPr>
                <w:color w:val="auto"/>
              </w:rPr>
              <w:t>槽</w:t>
            </w:r>
          </w:p>
        </w:tc>
        <w:tc>
          <w:tcPr>
            <w:tcW w:w="2277" w:type="pct"/>
            <w:vAlign w:val="center"/>
          </w:tcPr>
          <w:p w14:paraId="65724562">
            <w:pPr>
              <w:pStyle w:val="182"/>
              <w:bidi w:val="0"/>
              <w:rPr>
                <w:color w:val="auto"/>
              </w:rPr>
            </w:pPr>
            <w:r>
              <w:rPr>
                <w:color w:val="auto"/>
              </w:rPr>
              <w:t>V=48m</w:t>
            </w:r>
            <w:r>
              <w:rPr>
                <w:rFonts w:hint="eastAsia"/>
                <w:color w:val="auto"/>
                <w:vertAlign w:val="superscript"/>
                <w:lang w:val="en-US" w:eastAsia="zh-CN"/>
              </w:rPr>
              <w:t>3</w:t>
            </w:r>
          </w:p>
        </w:tc>
        <w:tc>
          <w:tcPr>
            <w:tcW w:w="501" w:type="pct"/>
            <w:vAlign w:val="center"/>
          </w:tcPr>
          <w:p w14:paraId="3EB35733">
            <w:pPr>
              <w:pStyle w:val="182"/>
              <w:bidi w:val="0"/>
              <w:rPr>
                <w:color w:val="auto"/>
              </w:rPr>
            </w:pPr>
            <w:r>
              <w:rPr>
                <w:color w:val="auto"/>
              </w:rPr>
              <w:t>1个</w:t>
            </w:r>
          </w:p>
        </w:tc>
        <w:tc>
          <w:tcPr>
            <w:tcW w:w="620" w:type="pct"/>
            <w:vAlign w:val="center"/>
          </w:tcPr>
          <w:p w14:paraId="29EF69A4">
            <w:pPr>
              <w:pStyle w:val="182"/>
              <w:bidi w:val="0"/>
              <w:rPr>
                <w:color w:val="auto"/>
              </w:rPr>
            </w:pPr>
          </w:p>
        </w:tc>
      </w:tr>
      <w:tr w14:paraId="4B4F3E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2A16F839">
            <w:pPr>
              <w:pStyle w:val="182"/>
              <w:bidi w:val="0"/>
              <w:ind w:firstLine="0" w:firstLineChars="0"/>
              <w:rPr>
                <w:rFonts w:hint="default" w:eastAsia="宋体"/>
                <w:color w:val="auto"/>
                <w:lang w:val="en-US" w:eastAsia="zh-CN"/>
              </w:rPr>
            </w:pPr>
            <w:r>
              <w:rPr>
                <w:rFonts w:hint="eastAsia"/>
                <w:color w:val="auto"/>
                <w:lang w:val="en-US" w:eastAsia="zh-CN"/>
              </w:rPr>
              <w:t>5</w:t>
            </w:r>
          </w:p>
        </w:tc>
        <w:tc>
          <w:tcPr>
            <w:tcW w:w="1144" w:type="pct"/>
            <w:gridSpan w:val="2"/>
            <w:vAlign w:val="center"/>
          </w:tcPr>
          <w:p w14:paraId="0B1B4310">
            <w:pPr>
              <w:pStyle w:val="182"/>
              <w:bidi w:val="0"/>
              <w:rPr>
                <w:color w:val="auto"/>
              </w:rPr>
            </w:pPr>
            <w:r>
              <w:rPr>
                <w:color w:val="auto"/>
              </w:rPr>
              <w:t>凝固浴换热器</w:t>
            </w:r>
          </w:p>
        </w:tc>
        <w:tc>
          <w:tcPr>
            <w:tcW w:w="2277" w:type="pct"/>
            <w:vAlign w:val="center"/>
          </w:tcPr>
          <w:p w14:paraId="0AD7F4AA">
            <w:pPr>
              <w:pStyle w:val="182"/>
              <w:bidi w:val="0"/>
              <w:rPr>
                <w:color w:val="auto"/>
              </w:rPr>
            </w:pPr>
            <w:r>
              <w:rPr>
                <w:color w:val="auto"/>
              </w:rPr>
              <w:t>SH352-M10-212</w:t>
            </w:r>
          </w:p>
        </w:tc>
        <w:tc>
          <w:tcPr>
            <w:tcW w:w="501" w:type="pct"/>
            <w:vAlign w:val="center"/>
          </w:tcPr>
          <w:p w14:paraId="19CBCFF0">
            <w:pPr>
              <w:pStyle w:val="182"/>
              <w:bidi w:val="0"/>
              <w:rPr>
                <w:color w:val="auto"/>
              </w:rPr>
            </w:pPr>
            <w:r>
              <w:rPr>
                <w:color w:val="auto"/>
              </w:rPr>
              <w:t>1套</w:t>
            </w:r>
          </w:p>
        </w:tc>
        <w:tc>
          <w:tcPr>
            <w:tcW w:w="620" w:type="pct"/>
            <w:vAlign w:val="center"/>
          </w:tcPr>
          <w:p w14:paraId="182F2F44">
            <w:pPr>
              <w:pStyle w:val="182"/>
              <w:bidi w:val="0"/>
              <w:rPr>
                <w:color w:val="auto"/>
              </w:rPr>
            </w:pPr>
          </w:p>
        </w:tc>
      </w:tr>
      <w:tr w14:paraId="25D63C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Merge w:val="restart"/>
            <w:vAlign w:val="center"/>
          </w:tcPr>
          <w:p w14:paraId="457229E3">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6</w:t>
            </w:r>
          </w:p>
        </w:tc>
        <w:tc>
          <w:tcPr>
            <w:tcW w:w="393" w:type="pct"/>
            <w:vMerge w:val="restart"/>
            <w:tcBorders>
              <w:right w:val="single" w:color="auto" w:sz="4" w:space="0"/>
            </w:tcBorders>
            <w:vAlign w:val="center"/>
          </w:tcPr>
          <w:p w14:paraId="372D526F">
            <w:pPr>
              <w:pStyle w:val="182"/>
              <w:bidi w:val="0"/>
              <w:rPr>
                <w:rFonts w:hint="eastAsia" w:eastAsia="宋体"/>
                <w:b/>
                <w:bCs/>
                <w:color w:val="auto"/>
                <w:u w:val="single"/>
                <w:lang w:eastAsia="zh-CN"/>
              </w:rPr>
            </w:pPr>
            <w:r>
              <w:rPr>
                <w:rFonts w:hint="eastAsia"/>
                <w:b/>
                <w:bCs/>
                <w:color w:val="auto"/>
                <w:u w:val="single"/>
                <w:lang w:val="en-US" w:eastAsia="zh-CN"/>
              </w:rPr>
              <w:t>蒸发回收系统</w:t>
            </w:r>
          </w:p>
        </w:tc>
        <w:tc>
          <w:tcPr>
            <w:tcW w:w="751" w:type="pct"/>
            <w:tcBorders>
              <w:left w:val="single" w:color="auto" w:sz="4" w:space="0"/>
            </w:tcBorders>
            <w:vAlign w:val="center"/>
          </w:tcPr>
          <w:p w14:paraId="72D34374">
            <w:pPr>
              <w:pStyle w:val="182"/>
              <w:bidi w:val="0"/>
              <w:rPr>
                <w:rFonts w:hint="default" w:eastAsia="宋体"/>
                <w:b/>
                <w:bCs/>
                <w:color w:val="auto"/>
                <w:u w:val="single"/>
                <w:lang w:val="en-US" w:eastAsia="zh-CN"/>
              </w:rPr>
            </w:pPr>
            <w:r>
              <w:rPr>
                <w:rFonts w:hint="eastAsia"/>
                <w:b/>
                <w:bCs/>
                <w:color w:val="auto"/>
                <w:u w:val="single"/>
                <w:lang w:val="en-US" w:eastAsia="zh-CN"/>
              </w:rPr>
              <w:t>MVR</w:t>
            </w:r>
          </w:p>
        </w:tc>
        <w:tc>
          <w:tcPr>
            <w:tcW w:w="2277" w:type="pct"/>
            <w:vAlign w:val="center"/>
          </w:tcPr>
          <w:p w14:paraId="2553D92A">
            <w:pPr>
              <w:pStyle w:val="182"/>
              <w:bidi w:val="0"/>
              <w:rPr>
                <w:b/>
                <w:bCs/>
                <w:color w:val="auto"/>
                <w:u w:val="single"/>
              </w:rPr>
            </w:pPr>
            <w:r>
              <w:rPr>
                <w:b/>
                <w:bCs/>
                <w:color w:val="auto"/>
                <w:u w:val="single"/>
              </w:rPr>
              <w:t>蒸发</w:t>
            </w:r>
            <w:r>
              <w:rPr>
                <w:rFonts w:hint="eastAsia"/>
                <w:b/>
                <w:bCs/>
                <w:color w:val="auto"/>
                <w:u w:val="single"/>
                <w:lang w:val="en-US" w:eastAsia="zh-CN"/>
              </w:rPr>
              <w:t>22</w:t>
            </w:r>
            <w:r>
              <w:rPr>
                <w:b/>
                <w:bCs/>
                <w:color w:val="auto"/>
                <w:u w:val="single"/>
              </w:rPr>
              <w:t>t/h</w:t>
            </w:r>
          </w:p>
        </w:tc>
        <w:tc>
          <w:tcPr>
            <w:tcW w:w="501" w:type="pct"/>
            <w:vAlign w:val="center"/>
          </w:tcPr>
          <w:p w14:paraId="56313E0B">
            <w:pPr>
              <w:pStyle w:val="182"/>
              <w:bidi w:val="0"/>
              <w:rPr>
                <w:b/>
                <w:bCs/>
                <w:color w:val="auto"/>
                <w:u w:val="single"/>
              </w:rPr>
            </w:pPr>
            <w:r>
              <w:rPr>
                <w:b/>
                <w:bCs/>
                <w:color w:val="auto"/>
                <w:u w:val="single"/>
              </w:rPr>
              <w:t>1套</w:t>
            </w:r>
          </w:p>
        </w:tc>
        <w:tc>
          <w:tcPr>
            <w:tcW w:w="620" w:type="pct"/>
            <w:vAlign w:val="center"/>
          </w:tcPr>
          <w:p w14:paraId="492799BD">
            <w:pPr>
              <w:pStyle w:val="182"/>
              <w:bidi w:val="0"/>
              <w:rPr>
                <w:color w:val="auto"/>
              </w:rPr>
            </w:pPr>
          </w:p>
        </w:tc>
      </w:tr>
      <w:tr w14:paraId="0EC3DE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Merge w:val="continue"/>
            <w:vAlign w:val="center"/>
          </w:tcPr>
          <w:p w14:paraId="2697BB14">
            <w:pPr>
              <w:pStyle w:val="182"/>
              <w:bidi w:val="0"/>
              <w:ind w:firstLine="0" w:firstLineChars="0"/>
              <w:rPr>
                <w:rFonts w:hint="eastAsia"/>
                <w:b/>
                <w:bCs/>
                <w:color w:val="auto"/>
                <w:u w:val="single"/>
                <w:lang w:val="en-US" w:eastAsia="zh-CN"/>
              </w:rPr>
            </w:pPr>
          </w:p>
        </w:tc>
        <w:tc>
          <w:tcPr>
            <w:tcW w:w="393" w:type="pct"/>
            <w:vMerge w:val="continue"/>
            <w:tcBorders>
              <w:right w:val="single" w:color="auto" w:sz="4" w:space="0"/>
            </w:tcBorders>
            <w:vAlign w:val="center"/>
          </w:tcPr>
          <w:p w14:paraId="1DD4A7DD">
            <w:pPr>
              <w:pStyle w:val="182"/>
              <w:bidi w:val="0"/>
              <w:rPr>
                <w:b/>
                <w:bCs/>
                <w:color w:val="auto"/>
                <w:u w:val="single"/>
              </w:rPr>
            </w:pPr>
          </w:p>
        </w:tc>
        <w:tc>
          <w:tcPr>
            <w:tcW w:w="751" w:type="pct"/>
            <w:tcBorders>
              <w:left w:val="single" w:color="auto" w:sz="4" w:space="0"/>
            </w:tcBorders>
            <w:vAlign w:val="center"/>
          </w:tcPr>
          <w:p w14:paraId="729428A9">
            <w:pPr>
              <w:pStyle w:val="182"/>
              <w:bidi w:val="0"/>
              <w:rPr>
                <w:rFonts w:hint="eastAsia" w:eastAsia="宋体"/>
                <w:b/>
                <w:bCs/>
                <w:color w:val="auto"/>
                <w:u w:val="single"/>
                <w:lang w:val="en-US" w:eastAsia="zh-CN"/>
              </w:rPr>
            </w:pPr>
            <w:r>
              <w:rPr>
                <w:rFonts w:hint="eastAsia"/>
                <w:b/>
                <w:bCs/>
                <w:color w:val="auto"/>
                <w:u w:val="single"/>
                <w:lang w:val="en-US" w:eastAsia="zh-CN"/>
              </w:rPr>
              <w:t>精馏装置</w:t>
            </w:r>
          </w:p>
        </w:tc>
        <w:tc>
          <w:tcPr>
            <w:tcW w:w="2277" w:type="pct"/>
            <w:vAlign w:val="center"/>
          </w:tcPr>
          <w:p w14:paraId="654DBB7B">
            <w:pPr>
              <w:pStyle w:val="182"/>
              <w:bidi w:val="0"/>
              <w:rPr>
                <w:rFonts w:hint="default" w:eastAsia="宋体"/>
                <w:b/>
                <w:bCs/>
                <w:color w:val="auto"/>
                <w:u w:val="single"/>
                <w:lang w:val="en-US" w:eastAsia="zh-CN"/>
              </w:rPr>
            </w:pPr>
            <w:r>
              <w:rPr>
                <w:b/>
                <w:bCs/>
                <w:color w:val="auto"/>
                <w:u w:val="single"/>
              </w:rPr>
              <w:t>蒸发</w:t>
            </w:r>
            <w:r>
              <w:rPr>
                <w:rFonts w:hint="eastAsia"/>
                <w:b/>
                <w:bCs/>
                <w:color w:val="auto"/>
                <w:u w:val="single"/>
                <w:lang w:val="en-US" w:eastAsia="zh-CN"/>
              </w:rPr>
              <w:t>6t/h</w:t>
            </w:r>
          </w:p>
        </w:tc>
        <w:tc>
          <w:tcPr>
            <w:tcW w:w="501" w:type="pct"/>
            <w:vAlign w:val="center"/>
          </w:tcPr>
          <w:p w14:paraId="1206EA48">
            <w:pPr>
              <w:pStyle w:val="182"/>
              <w:bidi w:val="0"/>
              <w:rPr>
                <w:b/>
                <w:bCs/>
                <w:color w:val="auto"/>
                <w:u w:val="single"/>
              </w:rPr>
            </w:pPr>
            <w:r>
              <w:rPr>
                <w:b/>
                <w:bCs/>
                <w:color w:val="auto"/>
                <w:u w:val="single"/>
              </w:rPr>
              <w:t>1套</w:t>
            </w:r>
          </w:p>
        </w:tc>
        <w:tc>
          <w:tcPr>
            <w:tcW w:w="620" w:type="pct"/>
            <w:vAlign w:val="center"/>
          </w:tcPr>
          <w:p w14:paraId="320DC912">
            <w:pPr>
              <w:pStyle w:val="182"/>
              <w:bidi w:val="0"/>
              <w:rPr>
                <w:color w:val="auto"/>
              </w:rPr>
            </w:pPr>
          </w:p>
        </w:tc>
      </w:tr>
      <w:tr w14:paraId="4CABE0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6E1A78B1">
            <w:pPr>
              <w:pStyle w:val="182"/>
              <w:bidi w:val="0"/>
              <w:ind w:firstLine="0" w:firstLineChars="0"/>
              <w:rPr>
                <w:rFonts w:hint="default" w:eastAsia="宋体"/>
                <w:color w:val="auto"/>
                <w:lang w:val="en-US" w:eastAsia="zh-CN"/>
              </w:rPr>
            </w:pPr>
            <w:r>
              <w:rPr>
                <w:rFonts w:hint="eastAsia"/>
                <w:color w:val="auto"/>
                <w:lang w:val="en-US" w:eastAsia="zh-CN"/>
              </w:rPr>
              <w:t>7</w:t>
            </w:r>
          </w:p>
        </w:tc>
        <w:tc>
          <w:tcPr>
            <w:tcW w:w="1144" w:type="pct"/>
            <w:gridSpan w:val="2"/>
            <w:vAlign w:val="center"/>
          </w:tcPr>
          <w:p w14:paraId="61ADF332">
            <w:pPr>
              <w:pStyle w:val="182"/>
              <w:bidi w:val="0"/>
              <w:rPr>
                <w:color w:val="auto"/>
              </w:rPr>
            </w:pPr>
            <w:r>
              <w:rPr>
                <w:color w:val="auto"/>
              </w:rPr>
              <w:t>浓缩液储罐</w:t>
            </w:r>
          </w:p>
        </w:tc>
        <w:tc>
          <w:tcPr>
            <w:tcW w:w="2277" w:type="pct"/>
            <w:vAlign w:val="center"/>
          </w:tcPr>
          <w:p w14:paraId="0237D566">
            <w:pPr>
              <w:pStyle w:val="182"/>
              <w:bidi w:val="0"/>
              <w:rPr>
                <w:color w:val="auto"/>
              </w:rPr>
            </w:pPr>
            <w:r>
              <w:rPr>
                <w:color w:val="auto"/>
              </w:rPr>
              <w:t>V=15m</w:t>
            </w:r>
            <w:r>
              <w:rPr>
                <w:rFonts w:hint="eastAsia"/>
                <w:color w:val="auto"/>
                <w:vertAlign w:val="superscript"/>
                <w:lang w:val="en-US" w:eastAsia="zh-CN"/>
              </w:rPr>
              <w:t>3</w:t>
            </w:r>
          </w:p>
        </w:tc>
        <w:tc>
          <w:tcPr>
            <w:tcW w:w="501" w:type="pct"/>
            <w:vAlign w:val="center"/>
          </w:tcPr>
          <w:p w14:paraId="19C85F59">
            <w:pPr>
              <w:pStyle w:val="182"/>
              <w:bidi w:val="0"/>
              <w:rPr>
                <w:color w:val="auto"/>
              </w:rPr>
            </w:pPr>
            <w:r>
              <w:rPr>
                <w:color w:val="auto"/>
              </w:rPr>
              <w:t>2个</w:t>
            </w:r>
          </w:p>
        </w:tc>
        <w:tc>
          <w:tcPr>
            <w:tcW w:w="620" w:type="pct"/>
            <w:vAlign w:val="center"/>
          </w:tcPr>
          <w:p w14:paraId="3C6EE0C3">
            <w:pPr>
              <w:pStyle w:val="182"/>
              <w:bidi w:val="0"/>
              <w:rPr>
                <w:color w:val="auto"/>
              </w:rPr>
            </w:pPr>
          </w:p>
        </w:tc>
      </w:tr>
      <w:tr w14:paraId="43A844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07F18D7C">
            <w:pPr>
              <w:pStyle w:val="182"/>
              <w:bidi w:val="0"/>
              <w:ind w:firstLine="0" w:firstLineChars="0"/>
              <w:rPr>
                <w:rFonts w:hint="default" w:eastAsia="宋体"/>
                <w:color w:val="auto"/>
                <w:lang w:val="en-US" w:eastAsia="zh-CN"/>
              </w:rPr>
            </w:pPr>
            <w:r>
              <w:rPr>
                <w:rFonts w:hint="eastAsia"/>
                <w:color w:val="auto"/>
                <w:lang w:val="en-US" w:eastAsia="zh-CN"/>
              </w:rPr>
              <w:t>8</w:t>
            </w:r>
          </w:p>
        </w:tc>
        <w:tc>
          <w:tcPr>
            <w:tcW w:w="1144" w:type="pct"/>
            <w:gridSpan w:val="2"/>
            <w:vAlign w:val="center"/>
          </w:tcPr>
          <w:p w14:paraId="2B2CBC59">
            <w:pPr>
              <w:pStyle w:val="182"/>
              <w:bidi w:val="0"/>
              <w:rPr>
                <w:color w:val="auto"/>
              </w:rPr>
            </w:pPr>
            <w:r>
              <w:rPr>
                <w:color w:val="auto"/>
              </w:rPr>
              <w:t>浓缩液输送泵</w:t>
            </w:r>
          </w:p>
        </w:tc>
        <w:tc>
          <w:tcPr>
            <w:tcW w:w="2277" w:type="pct"/>
            <w:vAlign w:val="center"/>
          </w:tcPr>
          <w:p w14:paraId="500EDEE0">
            <w:pPr>
              <w:pStyle w:val="182"/>
              <w:bidi w:val="0"/>
              <w:rPr>
                <w:color w:val="auto"/>
              </w:rPr>
            </w:pPr>
            <w:r>
              <w:rPr>
                <w:color w:val="auto"/>
              </w:rPr>
              <w:t>KQWH65-160(I)B-II3KW</w:t>
            </w:r>
          </w:p>
        </w:tc>
        <w:tc>
          <w:tcPr>
            <w:tcW w:w="501" w:type="pct"/>
            <w:vAlign w:val="center"/>
          </w:tcPr>
          <w:p w14:paraId="0296266F">
            <w:pPr>
              <w:pStyle w:val="182"/>
              <w:bidi w:val="0"/>
              <w:rPr>
                <w:color w:val="auto"/>
              </w:rPr>
            </w:pPr>
            <w:r>
              <w:rPr>
                <w:color w:val="auto"/>
              </w:rPr>
              <w:t>2台</w:t>
            </w:r>
          </w:p>
        </w:tc>
        <w:tc>
          <w:tcPr>
            <w:tcW w:w="620" w:type="pct"/>
            <w:vAlign w:val="center"/>
          </w:tcPr>
          <w:p w14:paraId="53D3F4E2">
            <w:pPr>
              <w:pStyle w:val="182"/>
              <w:bidi w:val="0"/>
              <w:rPr>
                <w:color w:val="auto"/>
              </w:rPr>
            </w:pPr>
          </w:p>
        </w:tc>
      </w:tr>
      <w:tr w14:paraId="69DD5E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55" w:type="pct"/>
            <w:vAlign w:val="center"/>
          </w:tcPr>
          <w:p w14:paraId="5EC78A92">
            <w:pPr>
              <w:pStyle w:val="182"/>
              <w:bidi w:val="0"/>
              <w:ind w:firstLine="0" w:firstLineChars="0"/>
              <w:rPr>
                <w:rFonts w:hint="default" w:eastAsia="宋体"/>
                <w:color w:val="auto"/>
                <w:lang w:val="en-US" w:eastAsia="zh-CN"/>
              </w:rPr>
            </w:pPr>
            <w:r>
              <w:rPr>
                <w:rFonts w:hint="eastAsia"/>
                <w:color w:val="auto"/>
                <w:lang w:val="en-US" w:eastAsia="zh-CN"/>
              </w:rPr>
              <w:t>9</w:t>
            </w:r>
          </w:p>
        </w:tc>
        <w:tc>
          <w:tcPr>
            <w:tcW w:w="1144" w:type="pct"/>
            <w:gridSpan w:val="2"/>
            <w:vAlign w:val="center"/>
          </w:tcPr>
          <w:p w14:paraId="07C1F72A">
            <w:pPr>
              <w:pStyle w:val="182"/>
              <w:bidi w:val="0"/>
              <w:rPr>
                <w:color w:val="auto"/>
              </w:rPr>
            </w:pPr>
            <w:r>
              <w:rPr>
                <w:color w:val="auto"/>
              </w:rPr>
              <w:t>浓缩液过滤器</w:t>
            </w:r>
          </w:p>
        </w:tc>
        <w:tc>
          <w:tcPr>
            <w:tcW w:w="2277" w:type="pct"/>
            <w:vAlign w:val="center"/>
          </w:tcPr>
          <w:p w14:paraId="007BEF76">
            <w:pPr>
              <w:pStyle w:val="182"/>
              <w:bidi w:val="0"/>
              <w:rPr>
                <w:color w:val="auto"/>
              </w:rPr>
            </w:pPr>
            <w:r>
              <w:rPr>
                <w:color w:val="auto"/>
              </w:rPr>
              <w:t>CVCD-40104-304-F125P16</w:t>
            </w:r>
          </w:p>
        </w:tc>
        <w:tc>
          <w:tcPr>
            <w:tcW w:w="501" w:type="pct"/>
            <w:vAlign w:val="center"/>
          </w:tcPr>
          <w:p w14:paraId="22EA4379">
            <w:pPr>
              <w:pStyle w:val="182"/>
              <w:bidi w:val="0"/>
              <w:rPr>
                <w:color w:val="auto"/>
              </w:rPr>
            </w:pPr>
            <w:r>
              <w:rPr>
                <w:color w:val="auto"/>
              </w:rPr>
              <w:t>2套</w:t>
            </w:r>
          </w:p>
        </w:tc>
        <w:tc>
          <w:tcPr>
            <w:tcW w:w="620" w:type="pct"/>
            <w:vAlign w:val="center"/>
          </w:tcPr>
          <w:p w14:paraId="32A562CE">
            <w:pPr>
              <w:pStyle w:val="182"/>
              <w:bidi w:val="0"/>
              <w:rPr>
                <w:color w:val="auto"/>
              </w:rPr>
            </w:pPr>
          </w:p>
        </w:tc>
      </w:tr>
      <w:tr w14:paraId="0B2273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40C2B835">
            <w:pPr>
              <w:pStyle w:val="182"/>
              <w:bidi w:val="0"/>
              <w:ind w:firstLine="0" w:firstLineChars="0"/>
              <w:rPr>
                <w:rFonts w:hint="default" w:eastAsia="宋体"/>
                <w:color w:val="auto"/>
                <w:lang w:val="en-US" w:eastAsia="zh-CN"/>
              </w:rPr>
            </w:pPr>
            <w:r>
              <w:rPr>
                <w:rFonts w:hint="eastAsia"/>
                <w:color w:val="auto"/>
                <w:lang w:val="en-US" w:eastAsia="zh-CN"/>
              </w:rPr>
              <w:t>10</w:t>
            </w:r>
          </w:p>
        </w:tc>
        <w:tc>
          <w:tcPr>
            <w:tcW w:w="1144" w:type="pct"/>
            <w:gridSpan w:val="2"/>
            <w:vAlign w:val="center"/>
          </w:tcPr>
          <w:p w14:paraId="318EE1D7">
            <w:pPr>
              <w:pStyle w:val="182"/>
              <w:bidi w:val="0"/>
              <w:rPr>
                <w:color w:val="auto"/>
              </w:rPr>
            </w:pPr>
            <w:r>
              <w:rPr>
                <w:color w:val="auto"/>
              </w:rPr>
              <w:t>储料罐</w:t>
            </w:r>
          </w:p>
        </w:tc>
        <w:tc>
          <w:tcPr>
            <w:tcW w:w="2277" w:type="pct"/>
            <w:vAlign w:val="center"/>
          </w:tcPr>
          <w:p w14:paraId="58E83CC0">
            <w:pPr>
              <w:pStyle w:val="182"/>
              <w:bidi w:val="0"/>
              <w:rPr>
                <w:color w:val="auto"/>
              </w:rPr>
            </w:pPr>
            <w:r>
              <w:rPr>
                <w:color w:val="auto"/>
              </w:rPr>
              <w:t>V=20m</w:t>
            </w:r>
            <w:r>
              <w:rPr>
                <w:rFonts w:hint="eastAsia"/>
                <w:color w:val="auto"/>
                <w:vertAlign w:val="superscript"/>
                <w:lang w:val="en-US" w:eastAsia="zh-CN"/>
              </w:rPr>
              <w:t>3</w:t>
            </w:r>
          </w:p>
        </w:tc>
        <w:tc>
          <w:tcPr>
            <w:tcW w:w="501" w:type="pct"/>
            <w:vAlign w:val="center"/>
          </w:tcPr>
          <w:p w14:paraId="54963A6F">
            <w:pPr>
              <w:pStyle w:val="182"/>
              <w:bidi w:val="0"/>
              <w:rPr>
                <w:color w:val="auto"/>
              </w:rPr>
            </w:pPr>
            <w:r>
              <w:rPr>
                <w:color w:val="auto"/>
              </w:rPr>
              <w:t>1个</w:t>
            </w:r>
          </w:p>
        </w:tc>
        <w:tc>
          <w:tcPr>
            <w:tcW w:w="620" w:type="pct"/>
            <w:vAlign w:val="center"/>
          </w:tcPr>
          <w:p w14:paraId="5C5AEA82">
            <w:pPr>
              <w:pStyle w:val="182"/>
              <w:bidi w:val="0"/>
              <w:rPr>
                <w:color w:val="auto"/>
              </w:rPr>
            </w:pPr>
          </w:p>
        </w:tc>
      </w:tr>
      <w:tr w14:paraId="3D2F36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1C810389">
            <w:pPr>
              <w:pStyle w:val="182"/>
              <w:bidi w:val="0"/>
              <w:ind w:firstLine="0" w:firstLineChars="0"/>
              <w:rPr>
                <w:rFonts w:hint="default" w:eastAsia="宋体"/>
                <w:color w:val="auto"/>
                <w:lang w:val="en-US" w:eastAsia="zh-CN"/>
              </w:rPr>
            </w:pPr>
            <w:r>
              <w:rPr>
                <w:rFonts w:hint="eastAsia"/>
                <w:color w:val="auto"/>
                <w:lang w:val="en-US" w:eastAsia="zh-CN"/>
              </w:rPr>
              <w:t>11</w:t>
            </w:r>
          </w:p>
        </w:tc>
        <w:tc>
          <w:tcPr>
            <w:tcW w:w="1144" w:type="pct"/>
            <w:gridSpan w:val="2"/>
            <w:vAlign w:val="center"/>
          </w:tcPr>
          <w:p w14:paraId="1260B72B">
            <w:pPr>
              <w:pStyle w:val="182"/>
              <w:bidi w:val="0"/>
              <w:rPr>
                <w:color w:val="auto"/>
              </w:rPr>
            </w:pPr>
            <w:r>
              <w:rPr>
                <w:color w:val="auto"/>
              </w:rPr>
              <w:t>输送泵</w:t>
            </w:r>
          </w:p>
        </w:tc>
        <w:tc>
          <w:tcPr>
            <w:tcW w:w="2277" w:type="pct"/>
            <w:vAlign w:val="center"/>
          </w:tcPr>
          <w:p w14:paraId="2EF0D202">
            <w:pPr>
              <w:pStyle w:val="182"/>
              <w:bidi w:val="0"/>
              <w:rPr>
                <w:color w:val="auto"/>
              </w:rPr>
            </w:pPr>
            <w:r>
              <w:rPr>
                <w:color w:val="auto"/>
              </w:rPr>
              <w:t>QWH65-106B-II3KW</w:t>
            </w:r>
          </w:p>
        </w:tc>
        <w:tc>
          <w:tcPr>
            <w:tcW w:w="501" w:type="pct"/>
            <w:vAlign w:val="center"/>
          </w:tcPr>
          <w:p w14:paraId="67A9AAD1">
            <w:pPr>
              <w:pStyle w:val="182"/>
              <w:bidi w:val="0"/>
              <w:rPr>
                <w:color w:val="auto"/>
              </w:rPr>
            </w:pPr>
            <w:r>
              <w:rPr>
                <w:color w:val="auto"/>
              </w:rPr>
              <w:t>1个</w:t>
            </w:r>
          </w:p>
        </w:tc>
        <w:tc>
          <w:tcPr>
            <w:tcW w:w="620" w:type="pct"/>
            <w:vAlign w:val="center"/>
          </w:tcPr>
          <w:p w14:paraId="2A41575C">
            <w:pPr>
              <w:pStyle w:val="182"/>
              <w:bidi w:val="0"/>
              <w:rPr>
                <w:color w:val="auto"/>
              </w:rPr>
            </w:pPr>
          </w:p>
        </w:tc>
      </w:tr>
      <w:tr w14:paraId="71FC37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2400276F">
            <w:pPr>
              <w:pStyle w:val="182"/>
              <w:bidi w:val="0"/>
              <w:ind w:firstLine="0" w:firstLineChars="0"/>
              <w:rPr>
                <w:rFonts w:hint="default" w:eastAsia="宋体"/>
                <w:color w:val="auto"/>
                <w:lang w:val="en-US" w:eastAsia="zh-CN"/>
              </w:rPr>
            </w:pPr>
            <w:r>
              <w:rPr>
                <w:rFonts w:hint="eastAsia"/>
                <w:color w:val="auto"/>
                <w:lang w:val="en-US" w:eastAsia="zh-CN"/>
              </w:rPr>
              <w:t>12</w:t>
            </w:r>
          </w:p>
        </w:tc>
        <w:tc>
          <w:tcPr>
            <w:tcW w:w="1144" w:type="pct"/>
            <w:gridSpan w:val="2"/>
            <w:vAlign w:val="center"/>
          </w:tcPr>
          <w:p w14:paraId="6A6648C9">
            <w:pPr>
              <w:pStyle w:val="182"/>
              <w:bidi w:val="0"/>
              <w:rPr>
                <w:color w:val="auto"/>
              </w:rPr>
            </w:pPr>
            <w:r>
              <w:rPr>
                <w:color w:val="auto"/>
              </w:rPr>
              <w:t>凝固浴絮凝罐</w:t>
            </w:r>
          </w:p>
        </w:tc>
        <w:tc>
          <w:tcPr>
            <w:tcW w:w="2277" w:type="pct"/>
            <w:vAlign w:val="center"/>
          </w:tcPr>
          <w:p w14:paraId="245B41A0">
            <w:pPr>
              <w:pStyle w:val="182"/>
              <w:bidi w:val="0"/>
              <w:rPr>
                <w:color w:val="auto"/>
              </w:rPr>
            </w:pPr>
            <w:r>
              <w:rPr>
                <w:color w:val="auto"/>
              </w:rPr>
              <w:t>V=15m</w:t>
            </w:r>
            <w:r>
              <w:rPr>
                <w:rFonts w:hint="eastAsia"/>
                <w:color w:val="auto"/>
                <w:vertAlign w:val="superscript"/>
                <w:lang w:val="en-US" w:eastAsia="zh-CN"/>
              </w:rPr>
              <w:t>3</w:t>
            </w:r>
          </w:p>
        </w:tc>
        <w:tc>
          <w:tcPr>
            <w:tcW w:w="501" w:type="pct"/>
            <w:vAlign w:val="center"/>
          </w:tcPr>
          <w:p w14:paraId="7B9C4C62">
            <w:pPr>
              <w:pStyle w:val="182"/>
              <w:bidi w:val="0"/>
              <w:rPr>
                <w:color w:val="auto"/>
              </w:rPr>
            </w:pPr>
            <w:r>
              <w:rPr>
                <w:color w:val="auto"/>
              </w:rPr>
              <w:t>4个</w:t>
            </w:r>
          </w:p>
        </w:tc>
        <w:tc>
          <w:tcPr>
            <w:tcW w:w="620" w:type="pct"/>
            <w:vAlign w:val="center"/>
          </w:tcPr>
          <w:p w14:paraId="02C23D6B">
            <w:pPr>
              <w:pStyle w:val="182"/>
              <w:bidi w:val="0"/>
              <w:rPr>
                <w:color w:val="auto"/>
              </w:rPr>
            </w:pPr>
          </w:p>
        </w:tc>
      </w:tr>
      <w:tr w14:paraId="28B42E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0E6424D6">
            <w:pPr>
              <w:pStyle w:val="182"/>
              <w:bidi w:val="0"/>
              <w:ind w:firstLine="0" w:firstLineChars="0"/>
              <w:rPr>
                <w:rFonts w:hint="default" w:eastAsia="宋体"/>
                <w:b/>
                <w:bCs/>
                <w:color w:val="auto"/>
                <w:u w:val="single"/>
                <w:lang w:val="en-US" w:eastAsia="zh-CN"/>
              </w:rPr>
            </w:pPr>
            <w:r>
              <w:rPr>
                <w:rFonts w:hint="eastAsia"/>
                <w:b w:val="0"/>
                <w:bCs w:val="0"/>
                <w:color w:val="auto"/>
                <w:u w:val="none"/>
                <w:lang w:val="en-US" w:eastAsia="zh-CN"/>
              </w:rPr>
              <w:t>13</w:t>
            </w:r>
          </w:p>
        </w:tc>
        <w:tc>
          <w:tcPr>
            <w:tcW w:w="1144" w:type="pct"/>
            <w:gridSpan w:val="2"/>
            <w:vAlign w:val="center"/>
          </w:tcPr>
          <w:p w14:paraId="1F12847F">
            <w:pPr>
              <w:pStyle w:val="182"/>
              <w:bidi w:val="0"/>
              <w:rPr>
                <w:color w:val="auto"/>
              </w:rPr>
            </w:pPr>
            <w:r>
              <w:rPr>
                <w:color w:val="auto"/>
              </w:rPr>
              <w:t>输送泵</w:t>
            </w:r>
          </w:p>
        </w:tc>
        <w:tc>
          <w:tcPr>
            <w:tcW w:w="2277" w:type="pct"/>
            <w:vAlign w:val="center"/>
          </w:tcPr>
          <w:p w14:paraId="3436948D">
            <w:pPr>
              <w:pStyle w:val="182"/>
              <w:bidi w:val="0"/>
              <w:rPr>
                <w:rFonts w:hint="eastAsia"/>
                <w:color w:val="auto"/>
                <w:lang w:eastAsia="zh-CN"/>
              </w:rPr>
            </w:pPr>
            <w:r>
              <w:rPr>
                <w:color w:val="auto"/>
              </w:rPr>
              <w:t>QWH65-106B-II3KW</w:t>
            </w:r>
          </w:p>
        </w:tc>
        <w:tc>
          <w:tcPr>
            <w:tcW w:w="501" w:type="pct"/>
            <w:vAlign w:val="center"/>
          </w:tcPr>
          <w:p w14:paraId="4E7B996A">
            <w:pPr>
              <w:pStyle w:val="182"/>
              <w:bidi w:val="0"/>
              <w:rPr>
                <w:color w:val="auto"/>
              </w:rPr>
            </w:pPr>
            <w:r>
              <w:rPr>
                <w:color w:val="auto"/>
              </w:rPr>
              <w:t>2台</w:t>
            </w:r>
          </w:p>
        </w:tc>
        <w:tc>
          <w:tcPr>
            <w:tcW w:w="620" w:type="pct"/>
            <w:vAlign w:val="center"/>
          </w:tcPr>
          <w:p w14:paraId="1C0E2F83">
            <w:pPr>
              <w:pStyle w:val="182"/>
              <w:bidi w:val="0"/>
              <w:rPr>
                <w:color w:val="auto"/>
              </w:rPr>
            </w:pPr>
          </w:p>
        </w:tc>
      </w:tr>
      <w:tr w14:paraId="56DF0D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0F595DB1">
            <w:pPr>
              <w:pStyle w:val="182"/>
              <w:bidi w:val="0"/>
              <w:ind w:firstLine="0" w:firstLineChars="0"/>
              <w:rPr>
                <w:rFonts w:hint="default" w:eastAsia="宋体"/>
                <w:color w:val="auto"/>
                <w:lang w:val="en-US" w:eastAsia="zh-CN"/>
              </w:rPr>
            </w:pPr>
            <w:r>
              <w:rPr>
                <w:rFonts w:hint="eastAsia"/>
                <w:color w:val="auto"/>
                <w:lang w:val="en-US" w:eastAsia="zh-CN"/>
              </w:rPr>
              <w:t>14</w:t>
            </w:r>
          </w:p>
        </w:tc>
        <w:tc>
          <w:tcPr>
            <w:tcW w:w="1144" w:type="pct"/>
            <w:gridSpan w:val="2"/>
            <w:vAlign w:val="center"/>
          </w:tcPr>
          <w:p w14:paraId="4269A506">
            <w:pPr>
              <w:pStyle w:val="182"/>
              <w:bidi w:val="0"/>
              <w:rPr>
                <w:color w:val="auto"/>
              </w:rPr>
            </w:pPr>
            <w:r>
              <w:rPr>
                <w:color w:val="auto"/>
              </w:rPr>
              <w:t>过滤器</w:t>
            </w:r>
          </w:p>
        </w:tc>
        <w:tc>
          <w:tcPr>
            <w:tcW w:w="2277" w:type="pct"/>
            <w:vAlign w:val="center"/>
          </w:tcPr>
          <w:p w14:paraId="76B27DDD">
            <w:pPr>
              <w:pStyle w:val="182"/>
              <w:bidi w:val="0"/>
              <w:rPr>
                <w:color w:val="auto"/>
              </w:rPr>
            </w:pPr>
            <w:r>
              <w:rPr>
                <w:color w:val="auto"/>
              </w:rPr>
              <w:t>CVCD-40104-304-F125P16</w:t>
            </w:r>
          </w:p>
        </w:tc>
        <w:tc>
          <w:tcPr>
            <w:tcW w:w="501" w:type="pct"/>
            <w:vAlign w:val="center"/>
          </w:tcPr>
          <w:p w14:paraId="7619E2A3">
            <w:pPr>
              <w:pStyle w:val="182"/>
              <w:bidi w:val="0"/>
              <w:rPr>
                <w:color w:val="auto"/>
              </w:rPr>
            </w:pPr>
            <w:r>
              <w:rPr>
                <w:color w:val="auto"/>
              </w:rPr>
              <w:t>2套</w:t>
            </w:r>
          </w:p>
        </w:tc>
        <w:tc>
          <w:tcPr>
            <w:tcW w:w="620" w:type="pct"/>
            <w:vAlign w:val="center"/>
          </w:tcPr>
          <w:p w14:paraId="055F2975">
            <w:pPr>
              <w:pStyle w:val="182"/>
              <w:bidi w:val="0"/>
              <w:rPr>
                <w:color w:val="auto"/>
              </w:rPr>
            </w:pPr>
          </w:p>
        </w:tc>
      </w:tr>
      <w:tr w14:paraId="28E8F8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7206928B">
            <w:pPr>
              <w:pStyle w:val="182"/>
              <w:bidi w:val="0"/>
              <w:ind w:firstLine="0" w:firstLineChars="0"/>
              <w:rPr>
                <w:rFonts w:hint="default" w:eastAsia="宋体"/>
                <w:color w:val="auto"/>
                <w:lang w:val="en-US" w:eastAsia="zh-CN"/>
              </w:rPr>
            </w:pPr>
            <w:r>
              <w:rPr>
                <w:rFonts w:hint="eastAsia"/>
                <w:color w:val="auto"/>
                <w:lang w:val="en-US" w:eastAsia="zh-CN"/>
              </w:rPr>
              <w:t>15</w:t>
            </w:r>
          </w:p>
        </w:tc>
        <w:tc>
          <w:tcPr>
            <w:tcW w:w="1144" w:type="pct"/>
            <w:gridSpan w:val="2"/>
            <w:vAlign w:val="center"/>
          </w:tcPr>
          <w:p w14:paraId="57DA0BC0">
            <w:pPr>
              <w:pStyle w:val="182"/>
              <w:bidi w:val="0"/>
              <w:rPr>
                <w:color w:val="auto"/>
              </w:rPr>
            </w:pPr>
            <w:r>
              <w:rPr>
                <w:color w:val="auto"/>
              </w:rPr>
              <w:t>循环冷却水系统</w:t>
            </w:r>
          </w:p>
        </w:tc>
        <w:tc>
          <w:tcPr>
            <w:tcW w:w="2277" w:type="pct"/>
            <w:vAlign w:val="center"/>
          </w:tcPr>
          <w:p w14:paraId="7073B4EA">
            <w:pPr>
              <w:pStyle w:val="182"/>
              <w:bidi w:val="0"/>
              <w:rPr>
                <w:color w:val="auto"/>
              </w:rPr>
            </w:pPr>
            <w:r>
              <w:rPr>
                <w:color w:val="auto"/>
              </w:rPr>
              <w:t>HX20-64-000</w:t>
            </w:r>
          </w:p>
        </w:tc>
        <w:tc>
          <w:tcPr>
            <w:tcW w:w="501" w:type="pct"/>
            <w:vAlign w:val="center"/>
          </w:tcPr>
          <w:p w14:paraId="024FAF0E">
            <w:pPr>
              <w:pStyle w:val="182"/>
              <w:bidi w:val="0"/>
              <w:rPr>
                <w:color w:val="auto"/>
              </w:rPr>
            </w:pPr>
            <w:r>
              <w:rPr>
                <w:color w:val="auto"/>
              </w:rPr>
              <w:t>1套</w:t>
            </w:r>
          </w:p>
        </w:tc>
        <w:tc>
          <w:tcPr>
            <w:tcW w:w="620" w:type="pct"/>
            <w:vAlign w:val="center"/>
          </w:tcPr>
          <w:p w14:paraId="44FB23A5">
            <w:pPr>
              <w:pStyle w:val="182"/>
              <w:bidi w:val="0"/>
              <w:rPr>
                <w:color w:val="auto"/>
              </w:rPr>
            </w:pPr>
          </w:p>
        </w:tc>
      </w:tr>
      <w:tr w14:paraId="7D8EB0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5000" w:type="pct"/>
            <w:gridSpan w:val="6"/>
            <w:vAlign w:val="center"/>
          </w:tcPr>
          <w:p w14:paraId="07BED3AD">
            <w:pPr>
              <w:pStyle w:val="182"/>
              <w:bidi w:val="0"/>
              <w:rPr>
                <w:color w:val="auto"/>
              </w:rPr>
            </w:pPr>
            <w:r>
              <w:rPr>
                <w:color w:val="auto"/>
              </w:rPr>
              <w:t>成品</w:t>
            </w:r>
          </w:p>
        </w:tc>
      </w:tr>
      <w:tr w14:paraId="18CAD9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5E211390">
            <w:pPr>
              <w:pStyle w:val="182"/>
              <w:bidi w:val="0"/>
              <w:ind w:firstLine="0" w:firstLineChars="0"/>
              <w:rPr>
                <w:color w:val="auto"/>
              </w:rPr>
            </w:pPr>
            <w:r>
              <w:rPr>
                <w:rFonts w:hint="eastAsia"/>
                <w:color w:val="auto"/>
                <w:lang w:val="en-US" w:eastAsia="zh-CN"/>
              </w:rPr>
              <w:t>1</w:t>
            </w:r>
          </w:p>
        </w:tc>
        <w:tc>
          <w:tcPr>
            <w:tcW w:w="1144" w:type="pct"/>
            <w:gridSpan w:val="2"/>
            <w:vAlign w:val="center"/>
          </w:tcPr>
          <w:p w14:paraId="7E8911BD">
            <w:pPr>
              <w:pStyle w:val="182"/>
              <w:bidi w:val="0"/>
              <w:rPr>
                <w:color w:val="auto"/>
              </w:rPr>
            </w:pPr>
            <w:r>
              <w:rPr>
                <w:color w:val="auto"/>
              </w:rPr>
              <w:t>测长仪</w:t>
            </w:r>
          </w:p>
        </w:tc>
        <w:tc>
          <w:tcPr>
            <w:tcW w:w="2277" w:type="pct"/>
            <w:vAlign w:val="center"/>
          </w:tcPr>
          <w:p w14:paraId="7510D522">
            <w:pPr>
              <w:pStyle w:val="182"/>
              <w:bidi w:val="0"/>
              <w:rPr>
                <w:color w:val="auto"/>
              </w:rPr>
            </w:pPr>
            <w:r>
              <w:rPr>
                <w:color w:val="auto"/>
              </w:rPr>
              <w:t>YG086-10</w:t>
            </w:r>
          </w:p>
        </w:tc>
        <w:tc>
          <w:tcPr>
            <w:tcW w:w="501" w:type="pct"/>
            <w:vAlign w:val="center"/>
          </w:tcPr>
          <w:p w14:paraId="51D1DCD2">
            <w:pPr>
              <w:pStyle w:val="182"/>
              <w:bidi w:val="0"/>
              <w:rPr>
                <w:color w:val="auto"/>
              </w:rPr>
            </w:pPr>
            <w:r>
              <w:rPr>
                <w:color w:val="auto"/>
              </w:rPr>
              <w:t>2台</w:t>
            </w:r>
          </w:p>
        </w:tc>
        <w:tc>
          <w:tcPr>
            <w:tcW w:w="620" w:type="pct"/>
            <w:vAlign w:val="center"/>
          </w:tcPr>
          <w:p w14:paraId="7438376A">
            <w:pPr>
              <w:pStyle w:val="182"/>
              <w:bidi w:val="0"/>
              <w:rPr>
                <w:color w:val="auto"/>
              </w:rPr>
            </w:pPr>
          </w:p>
        </w:tc>
      </w:tr>
      <w:tr w14:paraId="4036E5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69E38D8C">
            <w:pPr>
              <w:pStyle w:val="182"/>
              <w:bidi w:val="0"/>
              <w:ind w:firstLine="0" w:firstLineChars="0"/>
              <w:rPr>
                <w:color w:val="auto"/>
              </w:rPr>
            </w:pPr>
            <w:r>
              <w:rPr>
                <w:rFonts w:hint="eastAsia"/>
                <w:color w:val="auto"/>
                <w:lang w:val="en-US" w:eastAsia="zh-CN"/>
              </w:rPr>
              <w:t>2</w:t>
            </w:r>
          </w:p>
        </w:tc>
        <w:tc>
          <w:tcPr>
            <w:tcW w:w="1144" w:type="pct"/>
            <w:gridSpan w:val="2"/>
            <w:vAlign w:val="center"/>
          </w:tcPr>
          <w:p w14:paraId="22BEA6FB">
            <w:pPr>
              <w:pStyle w:val="182"/>
              <w:bidi w:val="0"/>
              <w:rPr>
                <w:color w:val="auto"/>
              </w:rPr>
            </w:pPr>
            <w:r>
              <w:rPr>
                <w:color w:val="auto"/>
              </w:rPr>
              <w:t>转运车</w:t>
            </w:r>
          </w:p>
        </w:tc>
        <w:tc>
          <w:tcPr>
            <w:tcW w:w="2277" w:type="pct"/>
            <w:vAlign w:val="center"/>
          </w:tcPr>
          <w:p w14:paraId="1961E026">
            <w:pPr>
              <w:pStyle w:val="182"/>
              <w:bidi w:val="0"/>
              <w:rPr>
                <w:color w:val="auto"/>
              </w:rPr>
            </w:pPr>
            <w:r>
              <w:rPr>
                <w:color w:val="auto"/>
              </w:rPr>
              <w:t>LC-00</w:t>
            </w:r>
          </w:p>
        </w:tc>
        <w:tc>
          <w:tcPr>
            <w:tcW w:w="501" w:type="pct"/>
            <w:vAlign w:val="center"/>
          </w:tcPr>
          <w:p w14:paraId="0066FB6B">
            <w:pPr>
              <w:pStyle w:val="182"/>
              <w:bidi w:val="0"/>
              <w:rPr>
                <w:color w:val="auto"/>
              </w:rPr>
            </w:pPr>
            <w:r>
              <w:rPr>
                <w:color w:val="auto"/>
              </w:rPr>
              <w:t>1辆</w:t>
            </w:r>
          </w:p>
        </w:tc>
        <w:tc>
          <w:tcPr>
            <w:tcW w:w="620" w:type="pct"/>
            <w:vAlign w:val="center"/>
          </w:tcPr>
          <w:p w14:paraId="2C59990F">
            <w:pPr>
              <w:pStyle w:val="182"/>
              <w:bidi w:val="0"/>
              <w:rPr>
                <w:color w:val="auto"/>
              </w:rPr>
            </w:pPr>
          </w:p>
        </w:tc>
      </w:tr>
      <w:tr w14:paraId="5DE5A7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75581CBB">
            <w:pPr>
              <w:pStyle w:val="182"/>
              <w:bidi w:val="0"/>
              <w:ind w:firstLine="0" w:firstLineChars="0"/>
              <w:rPr>
                <w:color w:val="auto"/>
              </w:rPr>
            </w:pPr>
            <w:r>
              <w:rPr>
                <w:rFonts w:hint="eastAsia"/>
                <w:color w:val="auto"/>
                <w:lang w:val="en-US" w:eastAsia="zh-CN"/>
              </w:rPr>
              <w:t>3</w:t>
            </w:r>
          </w:p>
        </w:tc>
        <w:tc>
          <w:tcPr>
            <w:tcW w:w="1144" w:type="pct"/>
            <w:gridSpan w:val="2"/>
            <w:vAlign w:val="center"/>
          </w:tcPr>
          <w:p w14:paraId="792C2087">
            <w:pPr>
              <w:pStyle w:val="182"/>
              <w:bidi w:val="0"/>
              <w:rPr>
                <w:color w:val="auto"/>
              </w:rPr>
            </w:pPr>
            <w:r>
              <w:rPr>
                <w:color w:val="auto"/>
              </w:rPr>
              <w:t>皮带运输机</w:t>
            </w:r>
          </w:p>
        </w:tc>
        <w:tc>
          <w:tcPr>
            <w:tcW w:w="2277" w:type="pct"/>
            <w:vAlign w:val="center"/>
          </w:tcPr>
          <w:p w14:paraId="57A90C6A">
            <w:pPr>
              <w:pStyle w:val="182"/>
              <w:bidi w:val="0"/>
              <w:rPr>
                <w:color w:val="auto"/>
              </w:rPr>
            </w:pPr>
            <w:r>
              <w:rPr>
                <w:color w:val="auto"/>
              </w:rPr>
              <w:t>TD500-8m</w:t>
            </w:r>
          </w:p>
        </w:tc>
        <w:tc>
          <w:tcPr>
            <w:tcW w:w="501" w:type="pct"/>
            <w:vAlign w:val="center"/>
          </w:tcPr>
          <w:p w14:paraId="6DFE5B3A">
            <w:pPr>
              <w:pStyle w:val="182"/>
              <w:bidi w:val="0"/>
              <w:rPr>
                <w:color w:val="auto"/>
              </w:rPr>
            </w:pPr>
            <w:r>
              <w:rPr>
                <w:color w:val="auto"/>
              </w:rPr>
              <w:t>1套</w:t>
            </w:r>
          </w:p>
        </w:tc>
        <w:tc>
          <w:tcPr>
            <w:tcW w:w="620" w:type="pct"/>
            <w:vAlign w:val="center"/>
          </w:tcPr>
          <w:p w14:paraId="3ADC6212">
            <w:pPr>
              <w:pStyle w:val="182"/>
              <w:bidi w:val="0"/>
              <w:rPr>
                <w:color w:val="auto"/>
              </w:rPr>
            </w:pPr>
          </w:p>
        </w:tc>
      </w:tr>
      <w:tr w14:paraId="31E5DD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45A750FF">
            <w:pPr>
              <w:pStyle w:val="182"/>
              <w:bidi w:val="0"/>
              <w:ind w:firstLine="0" w:firstLineChars="0"/>
              <w:rPr>
                <w:color w:val="auto"/>
              </w:rPr>
            </w:pPr>
            <w:r>
              <w:rPr>
                <w:rFonts w:hint="eastAsia"/>
                <w:color w:val="auto"/>
                <w:lang w:val="en-US" w:eastAsia="zh-CN"/>
              </w:rPr>
              <w:t>4</w:t>
            </w:r>
          </w:p>
        </w:tc>
        <w:tc>
          <w:tcPr>
            <w:tcW w:w="1144" w:type="pct"/>
            <w:gridSpan w:val="2"/>
            <w:vAlign w:val="center"/>
          </w:tcPr>
          <w:p w14:paraId="25C93BEB">
            <w:pPr>
              <w:pStyle w:val="182"/>
              <w:bidi w:val="0"/>
              <w:rPr>
                <w:color w:val="auto"/>
              </w:rPr>
            </w:pPr>
            <w:r>
              <w:rPr>
                <w:color w:val="auto"/>
              </w:rPr>
              <w:t>电子天平</w:t>
            </w:r>
          </w:p>
        </w:tc>
        <w:tc>
          <w:tcPr>
            <w:tcW w:w="2277" w:type="pct"/>
            <w:vAlign w:val="center"/>
          </w:tcPr>
          <w:p w14:paraId="0E074600">
            <w:pPr>
              <w:pStyle w:val="182"/>
              <w:bidi w:val="0"/>
              <w:rPr>
                <w:color w:val="auto"/>
              </w:rPr>
            </w:pPr>
            <w:r>
              <w:rPr>
                <w:color w:val="auto"/>
              </w:rPr>
              <w:t>2011F145-11</w:t>
            </w:r>
          </w:p>
        </w:tc>
        <w:tc>
          <w:tcPr>
            <w:tcW w:w="501" w:type="pct"/>
            <w:vAlign w:val="center"/>
          </w:tcPr>
          <w:p w14:paraId="68672BF1">
            <w:pPr>
              <w:pStyle w:val="182"/>
              <w:bidi w:val="0"/>
              <w:rPr>
                <w:color w:val="auto"/>
              </w:rPr>
            </w:pPr>
            <w:r>
              <w:rPr>
                <w:color w:val="auto"/>
              </w:rPr>
              <w:t>2台</w:t>
            </w:r>
          </w:p>
        </w:tc>
        <w:tc>
          <w:tcPr>
            <w:tcW w:w="620" w:type="pct"/>
            <w:vAlign w:val="center"/>
          </w:tcPr>
          <w:p w14:paraId="1DBCB162">
            <w:pPr>
              <w:pStyle w:val="182"/>
              <w:bidi w:val="0"/>
              <w:rPr>
                <w:color w:val="auto"/>
              </w:rPr>
            </w:pPr>
          </w:p>
        </w:tc>
      </w:tr>
      <w:tr w14:paraId="02484F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22116E0F">
            <w:pPr>
              <w:pStyle w:val="182"/>
              <w:bidi w:val="0"/>
              <w:ind w:firstLine="0" w:firstLineChars="0"/>
              <w:rPr>
                <w:color w:val="auto"/>
              </w:rPr>
            </w:pPr>
            <w:r>
              <w:rPr>
                <w:rFonts w:hint="eastAsia"/>
                <w:color w:val="auto"/>
                <w:lang w:val="en-US" w:eastAsia="zh-CN"/>
              </w:rPr>
              <w:t>5</w:t>
            </w:r>
          </w:p>
        </w:tc>
        <w:tc>
          <w:tcPr>
            <w:tcW w:w="1144" w:type="pct"/>
            <w:gridSpan w:val="2"/>
            <w:vAlign w:val="center"/>
          </w:tcPr>
          <w:p w14:paraId="35327168">
            <w:pPr>
              <w:pStyle w:val="182"/>
              <w:bidi w:val="0"/>
              <w:rPr>
                <w:color w:val="auto"/>
              </w:rPr>
            </w:pPr>
            <w:r>
              <w:rPr>
                <w:color w:val="auto"/>
              </w:rPr>
              <w:t>电子秤</w:t>
            </w:r>
          </w:p>
        </w:tc>
        <w:tc>
          <w:tcPr>
            <w:tcW w:w="2277" w:type="pct"/>
            <w:vAlign w:val="center"/>
          </w:tcPr>
          <w:p w14:paraId="29D151C6">
            <w:pPr>
              <w:pStyle w:val="182"/>
              <w:bidi w:val="0"/>
              <w:rPr>
                <w:color w:val="auto"/>
              </w:rPr>
            </w:pPr>
            <w:r>
              <w:rPr>
                <w:color w:val="auto"/>
              </w:rPr>
              <w:t>XK3100</w:t>
            </w:r>
          </w:p>
        </w:tc>
        <w:tc>
          <w:tcPr>
            <w:tcW w:w="501" w:type="pct"/>
            <w:vAlign w:val="center"/>
          </w:tcPr>
          <w:p w14:paraId="3DFD3DF8">
            <w:pPr>
              <w:pStyle w:val="182"/>
              <w:bidi w:val="0"/>
              <w:rPr>
                <w:color w:val="auto"/>
              </w:rPr>
            </w:pPr>
            <w:r>
              <w:rPr>
                <w:color w:val="auto"/>
              </w:rPr>
              <w:t>2台</w:t>
            </w:r>
          </w:p>
        </w:tc>
        <w:tc>
          <w:tcPr>
            <w:tcW w:w="620" w:type="pct"/>
            <w:vAlign w:val="center"/>
          </w:tcPr>
          <w:p w14:paraId="33D56378">
            <w:pPr>
              <w:pStyle w:val="182"/>
              <w:bidi w:val="0"/>
              <w:rPr>
                <w:color w:val="auto"/>
              </w:rPr>
            </w:pPr>
          </w:p>
        </w:tc>
      </w:tr>
      <w:tr w14:paraId="7D1AE3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6FD9D126">
            <w:pPr>
              <w:pStyle w:val="182"/>
              <w:bidi w:val="0"/>
              <w:ind w:firstLine="0" w:firstLineChars="0"/>
              <w:rPr>
                <w:color w:val="auto"/>
              </w:rPr>
            </w:pPr>
            <w:r>
              <w:rPr>
                <w:rFonts w:hint="eastAsia"/>
                <w:color w:val="auto"/>
                <w:lang w:val="en-US" w:eastAsia="zh-CN"/>
              </w:rPr>
              <w:t>6</w:t>
            </w:r>
          </w:p>
        </w:tc>
        <w:tc>
          <w:tcPr>
            <w:tcW w:w="1144" w:type="pct"/>
            <w:gridSpan w:val="2"/>
            <w:vAlign w:val="center"/>
          </w:tcPr>
          <w:p w14:paraId="51D1E742">
            <w:pPr>
              <w:pStyle w:val="182"/>
              <w:bidi w:val="0"/>
              <w:rPr>
                <w:color w:val="auto"/>
              </w:rPr>
            </w:pPr>
            <w:r>
              <w:rPr>
                <w:color w:val="auto"/>
              </w:rPr>
              <w:t>唛头系统</w:t>
            </w:r>
          </w:p>
        </w:tc>
        <w:tc>
          <w:tcPr>
            <w:tcW w:w="2277" w:type="pct"/>
            <w:vAlign w:val="center"/>
          </w:tcPr>
          <w:p w14:paraId="0F566AC4">
            <w:pPr>
              <w:pStyle w:val="182"/>
              <w:bidi w:val="0"/>
              <w:rPr>
                <w:color w:val="auto"/>
              </w:rPr>
            </w:pPr>
            <w:r>
              <w:rPr>
                <w:color w:val="auto"/>
              </w:rPr>
              <w:t>HA18001</w:t>
            </w:r>
          </w:p>
        </w:tc>
        <w:tc>
          <w:tcPr>
            <w:tcW w:w="501" w:type="pct"/>
            <w:vAlign w:val="center"/>
          </w:tcPr>
          <w:p w14:paraId="1106AAAB">
            <w:pPr>
              <w:pStyle w:val="182"/>
              <w:bidi w:val="0"/>
              <w:rPr>
                <w:color w:val="auto"/>
              </w:rPr>
            </w:pPr>
            <w:r>
              <w:rPr>
                <w:color w:val="auto"/>
              </w:rPr>
              <w:t>1套</w:t>
            </w:r>
          </w:p>
        </w:tc>
        <w:tc>
          <w:tcPr>
            <w:tcW w:w="620" w:type="pct"/>
            <w:vAlign w:val="center"/>
          </w:tcPr>
          <w:p w14:paraId="3B3C0BC4">
            <w:pPr>
              <w:pStyle w:val="182"/>
              <w:bidi w:val="0"/>
              <w:rPr>
                <w:color w:val="auto"/>
              </w:rPr>
            </w:pPr>
          </w:p>
        </w:tc>
      </w:tr>
      <w:tr w14:paraId="70F5CB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42353EFD">
            <w:pPr>
              <w:pStyle w:val="182"/>
              <w:bidi w:val="0"/>
              <w:ind w:firstLine="0" w:firstLineChars="0"/>
              <w:rPr>
                <w:color w:val="auto"/>
              </w:rPr>
            </w:pPr>
            <w:r>
              <w:rPr>
                <w:rFonts w:hint="eastAsia"/>
                <w:color w:val="auto"/>
                <w:lang w:val="en-US" w:eastAsia="zh-CN"/>
              </w:rPr>
              <w:t>7</w:t>
            </w:r>
          </w:p>
        </w:tc>
        <w:tc>
          <w:tcPr>
            <w:tcW w:w="1144" w:type="pct"/>
            <w:gridSpan w:val="2"/>
            <w:vAlign w:val="center"/>
          </w:tcPr>
          <w:p w14:paraId="466577DD">
            <w:pPr>
              <w:pStyle w:val="182"/>
              <w:bidi w:val="0"/>
              <w:rPr>
                <w:color w:val="auto"/>
              </w:rPr>
            </w:pPr>
            <w:r>
              <w:rPr>
                <w:color w:val="auto"/>
              </w:rPr>
              <w:t>打包装置</w:t>
            </w:r>
          </w:p>
        </w:tc>
        <w:tc>
          <w:tcPr>
            <w:tcW w:w="2277" w:type="pct"/>
            <w:vAlign w:val="center"/>
          </w:tcPr>
          <w:p w14:paraId="4A12D122">
            <w:pPr>
              <w:pStyle w:val="182"/>
              <w:bidi w:val="0"/>
              <w:rPr>
                <w:color w:val="auto"/>
              </w:rPr>
            </w:pPr>
            <w:r>
              <w:rPr>
                <w:color w:val="auto"/>
              </w:rPr>
              <w:t>MH-102A</w:t>
            </w:r>
          </w:p>
        </w:tc>
        <w:tc>
          <w:tcPr>
            <w:tcW w:w="501" w:type="pct"/>
            <w:vAlign w:val="center"/>
          </w:tcPr>
          <w:p w14:paraId="7E76DB7D">
            <w:pPr>
              <w:pStyle w:val="182"/>
              <w:bidi w:val="0"/>
              <w:rPr>
                <w:color w:val="auto"/>
              </w:rPr>
            </w:pPr>
            <w:r>
              <w:rPr>
                <w:color w:val="auto"/>
              </w:rPr>
              <w:t>1台</w:t>
            </w:r>
          </w:p>
        </w:tc>
        <w:tc>
          <w:tcPr>
            <w:tcW w:w="620" w:type="pct"/>
            <w:vAlign w:val="center"/>
          </w:tcPr>
          <w:p w14:paraId="6A4CA55D">
            <w:pPr>
              <w:pStyle w:val="182"/>
              <w:bidi w:val="0"/>
              <w:rPr>
                <w:color w:val="auto"/>
              </w:rPr>
            </w:pPr>
          </w:p>
        </w:tc>
      </w:tr>
      <w:tr w14:paraId="08E9CC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6A45A7C6">
            <w:pPr>
              <w:pStyle w:val="182"/>
              <w:bidi w:val="0"/>
              <w:ind w:firstLine="0" w:firstLineChars="0"/>
              <w:rPr>
                <w:color w:val="auto"/>
              </w:rPr>
            </w:pPr>
            <w:r>
              <w:rPr>
                <w:rFonts w:hint="eastAsia"/>
                <w:color w:val="auto"/>
                <w:lang w:val="en-US" w:eastAsia="zh-CN"/>
              </w:rPr>
              <w:t>8</w:t>
            </w:r>
          </w:p>
        </w:tc>
        <w:tc>
          <w:tcPr>
            <w:tcW w:w="1144" w:type="pct"/>
            <w:gridSpan w:val="2"/>
            <w:vAlign w:val="center"/>
          </w:tcPr>
          <w:p w14:paraId="693DAA82">
            <w:pPr>
              <w:pStyle w:val="182"/>
              <w:bidi w:val="0"/>
              <w:rPr>
                <w:color w:val="auto"/>
              </w:rPr>
            </w:pPr>
            <w:r>
              <w:rPr>
                <w:color w:val="auto"/>
              </w:rPr>
              <w:t>电动叉车</w:t>
            </w:r>
          </w:p>
        </w:tc>
        <w:tc>
          <w:tcPr>
            <w:tcW w:w="2277" w:type="pct"/>
            <w:vAlign w:val="center"/>
          </w:tcPr>
          <w:p w14:paraId="788AD5D2">
            <w:pPr>
              <w:pStyle w:val="182"/>
              <w:bidi w:val="0"/>
              <w:rPr>
                <w:color w:val="auto"/>
              </w:rPr>
            </w:pPr>
            <w:r>
              <w:rPr>
                <w:color w:val="auto"/>
              </w:rPr>
              <w:t>CPD25H-C4E</w:t>
            </w:r>
          </w:p>
        </w:tc>
        <w:tc>
          <w:tcPr>
            <w:tcW w:w="501" w:type="pct"/>
            <w:vAlign w:val="center"/>
          </w:tcPr>
          <w:p w14:paraId="4A8B9E2A">
            <w:pPr>
              <w:pStyle w:val="182"/>
              <w:bidi w:val="0"/>
              <w:rPr>
                <w:color w:val="auto"/>
              </w:rPr>
            </w:pPr>
            <w:r>
              <w:rPr>
                <w:color w:val="auto"/>
              </w:rPr>
              <w:t>1辆</w:t>
            </w:r>
          </w:p>
        </w:tc>
        <w:tc>
          <w:tcPr>
            <w:tcW w:w="620" w:type="pct"/>
            <w:vAlign w:val="center"/>
          </w:tcPr>
          <w:p w14:paraId="5F85C193">
            <w:pPr>
              <w:pStyle w:val="182"/>
              <w:bidi w:val="0"/>
              <w:rPr>
                <w:color w:val="auto"/>
              </w:rPr>
            </w:pPr>
          </w:p>
        </w:tc>
      </w:tr>
      <w:tr w14:paraId="504E0C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0BB14904">
            <w:pPr>
              <w:pStyle w:val="182"/>
              <w:bidi w:val="0"/>
              <w:ind w:firstLine="0" w:firstLineChars="0"/>
              <w:rPr>
                <w:color w:val="auto"/>
              </w:rPr>
            </w:pPr>
            <w:r>
              <w:rPr>
                <w:rFonts w:hint="eastAsia"/>
                <w:color w:val="auto"/>
                <w:lang w:val="en-US" w:eastAsia="zh-CN"/>
              </w:rPr>
              <w:t>9</w:t>
            </w:r>
          </w:p>
        </w:tc>
        <w:tc>
          <w:tcPr>
            <w:tcW w:w="1144" w:type="pct"/>
            <w:gridSpan w:val="2"/>
            <w:vAlign w:val="center"/>
          </w:tcPr>
          <w:p w14:paraId="65F70066">
            <w:pPr>
              <w:pStyle w:val="182"/>
              <w:bidi w:val="0"/>
              <w:rPr>
                <w:color w:val="auto"/>
              </w:rPr>
            </w:pPr>
            <w:r>
              <w:rPr>
                <w:color w:val="auto"/>
              </w:rPr>
              <w:t>强伸仪</w:t>
            </w:r>
          </w:p>
        </w:tc>
        <w:tc>
          <w:tcPr>
            <w:tcW w:w="2277" w:type="pct"/>
            <w:vAlign w:val="center"/>
          </w:tcPr>
          <w:p w14:paraId="0CA101E7">
            <w:pPr>
              <w:pStyle w:val="182"/>
              <w:bidi w:val="0"/>
              <w:rPr>
                <w:color w:val="auto"/>
              </w:rPr>
            </w:pPr>
            <w:r>
              <w:rPr>
                <w:color w:val="auto"/>
              </w:rPr>
              <w:t>XQ-1A</w:t>
            </w:r>
          </w:p>
        </w:tc>
        <w:tc>
          <w:tcPr>
            <w:tcW w:w="501" w:type="pct"/>
            <w:vAlign w:val="center"/>
          </w:tcPr>
          <w:p w14:paraId="1B8F8C50">
            <w:pPr>
              <w:pStyle w:val="182"/>
              <w:bidi w:val="0"/>
              <w:rPr>
                <w:color w:val="auto"/>
              </w:rPr>
            </w:pPr>
            <w:r>
              <w:rPr>
                <w:color w:val="auto"/>
              </w:rPr>
              <w:t>2台</w:t>
            </w:r>
          </w:p>
        </w:tc>
        <w:tc>
          <w:tcPr>
            <w:tcW w:w="620" w:type="pct"/>
            <w:vAlign w:val="center"/>
          </w:tcPr>
          <w:p w14:paraId="75A0ED2A">
            <w:pPr>
              <w:pStyle w:val="182"/>
              <w:bidi w:val="0"/>
              <w:rPr>
                <w:color w:val="auto"/>
              </w:rPr>
            </w:pPr>
          </w:p>
        </w:tc>
      </w:tr>
      <w:tr w14:paraId="7048CE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5000" w:type="pct"/>
            <w:gridSpan w:val="6"/>
            <w:vAlign w:val="center"/>
          </w:tcPr>
          <w:p w14:paraId="112C0DF1">
            <w:pPr>
              <w:pStyle w:val="182"/>
              <w:bidi w:val="0"/>
              <w:rPr>
                <w:color w:val="auto"/>
              </w:rPr>
            </w:pPr>
            <w:r>
              <w:rPr>
                <w:rFonts w:hint="eastAsia"/>
                <w:color w:val="auto"/>
                <w:lang w:val="en-US" w:eastAsia="zh-CN"/>
              </w:rPr>
              <w:t>冷却</w:t>
            </w:r>
            <w:r>
              <w:rPr>
                <w:color w:val="auto"/>
              </w:rPr>
              <w:t>系统</w:t>
            </w:r>
          </w:p>
        </w:tc>
      </w:tr>
      <w:tr w14:paraId="30EBA3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76B4CF7F">
            <w:pPr>
              <w:pStyle w:val="182"/>
              <w:bidi w:val="0"/>
              <w:ind w:firstLine="0" w:firstLineChars="0"/>
              <w:rPr>
                <w:color w:val="auto"/>
              </w:rPr>
            </w:pPr>
            <w:r>
              <w:rPr>
                <w:rFonts w:hint="eastAsia"/>
                <w:color w:val="auto"/>
                <w:lang w:val="en-US" w:eastAsia="zh-CN"/>
              </w:rPr>
              <w:t>1</w:t>
            </w:r>
          </w:p>
        </w:tc>
        <w:tc>
          <w:tcPr>
            <w:tcW w:w="1144" w:type="pct"/>
            <w:gridSpan w:val="2"/>
            <w:vAlign w:val="center"/>
          </w:tcPr>
          <w:p w14:paraId="6877075B">
            <w:pPr>
              <w:pStyle w:val="182"/>
              <w:bidi w:val="0"/>
              <w:rPr>
                <w:color w:val="auto"/>
              </w:rPr>
            </w:pPr>
            <w:r>
              <w:rPr>
                <w:rFonts w:hint="eastAsia"/>
                <w:color w:val="auto"/>
              </w:rPr>
              <w:t>溴化锂机组</w:t>
            </w:r>
          </w:p>
        </w:tc>
        <w:tc>
          <w:tcPr>
            <w:tcW w:w="2277" w:type="pct"/>
            <w:vAlign w:val="center"/>
          </w:tcPr>
          <w:p w14:paraId="7178EDF8">
            <w:pPr>
              <w:pStyle w:val="182"/>
              <w:bidi w:val="0"/>
              <w:rPr>
                <w:color w:val="auto"/>
              </w:rPr>
            </w:pPr>
            <w:r>
              <w:rPr>
                <w:color w:val="auto"/>
              </w:rPr>
              <w:t>制冷</w:t>
            </w:r>
            <w:r>
              <w:rPr>
                <w:rFonts w:hint="eastAsia"/>
                <w:color w:val="auto"/>
              </w:rPr>
              <w:t>8985kw</w:t>
            </w:r>
          </w:p>
        </w:tc>
        <w:tc>
          <w:tcPr>
            <w:tcW w:w="501" w:type="pct"/>
            <w:vAlign w:val="center"/>
          </w:tcPr>
          <w:p w14:paraId="381AE941">
            <w:pPr>
              <w:pStyle w:val="182"/>
              <w:bidi w:val="0"/>
              <w:rPr>
                <w:rFonts w:hint="default" w:eastAsia="宋体"/>
                <w:color w:val="auto"/>
                <w:lang w:val="en-US" w:eastAsia="zh-CN"/>
              </w:rPr>
            </w:pPr>
            <w:r>
              <w:rPr>
                <w:rFonts w:hint="eastAsia"/>
                <w:color w:val="auto"/>
                <w:lang w:val="en-US" w:eastAsia="zh-CN"/>
              </w:rPr>
              <w:t>1组</w:t>
            </w:r>
          </w:p>
        </w:tc>
        <w:tc>
          <w:tcPr>
            <w:tcW w:w="620" w:type="pct"/>
            <w:vAlign w:val="center"/>
          </w:tcPr>
          <w:p w14:paraId="5C4BFAC2">
            <w:pPr>
              <w:pStyle w:val="182"/>
              <w:bidi w:val="0"/>
              <w:ind w:firstLine="0" w:firstLineChars="0"/>
              <w:rPr>
                <w:color w:val="auto"/>
              </w:rPr>
            </w:pPr>
          </w:p>
        </w:tc>
      </w:tr>
      <w:tr w14:paraId="7C8677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11653797">
            <w:pPr>
              <w:pStyle w:val="182"/>
              <w:bidi w:val="0"/>
              <w:ind w:firstLine="0" w:firstLineChars="0"/>
              <w:rPr>
                <w:color w:val="auto"/>
              </w:rPr>
            </w:pPr>
            <w:r>
              <w:rPr>
                <w:rFonts w:hint="eastAsia"/>
                <w:color w:val="auto"/>
                <w:lang w:val="en-US" w:eastAsia="zh-CN"/>
              </w:rPr>
              <w:t>2</w:t>
            </w:r>
          </w:p>
        </w:tc>
        <w:tc>
          <w:tcPr>
            <w:tcW w:w="1144" w:type="pct"/>
            <w:gridSpan w:val="2"/>
            <w:vAlign w:val="center"/>
          </w:tcPr>
          <w:p w14:paraId="7125B76B">
            <w:pPr>
              <w:pStyle w:val="182"/>
              <w:bidi w:val="0"/>
              <w:rPr>
                <w:color w:val="auto"/>
              </w:rPr>
            </w:pPr>
            <w:r>
              <w:rPr>
                <w:color w:val="auto"/>
              </w:rPr>
              <w:t>冷冻水泵</w:t>
            </w:r>
          </w:p>
        </w:tc>
        <w:tc>
          <w:tcPr>
            <w:tcW w:w="2277" w:type="pct"/>
            <w:vAlign w:val="center"/>
          </w:tcPr>
          <w:p w14:paraId="2DA56A53">
            <w:pPr>
              <w:pStyle w:val="182"/>
              <w:bidi w:val="0"/>
              <w:rPr>
                <w:color w:val="auto"/>
              </w:rPr>
            </w:pPr>
            <w:r>
              <w:rPr>
                <w:color w:val="auto"/>
              </w:rPr>
              <w:t>流量800m</w:t>
            </w:r>
            <w:r>
              <w:rPr>
                <w:rFonts w:hint="eastAsia"/>
                <w:color w:val="auto"/>
                <w:vertAlign w:val="superscript"/>
                <w:lang w:val="en-US" w:eastAsia="zh-CN"/>
              </w:rPr>
              <w:t>3</w:t>
            </w:r>
            <w:r>
              <w:rPr>
                <w:color w:val="auto"/>
              </w:rPr>
              <w:t>/h，</w:t>
            </w:r>
            <w:r>
              <w:rPr>
                <w:rFonts w:hint="eastAsia"/>
                <w:color w:val="auto"/>
                <w:lang w:val="en-US" w:eastAsia="zh-CN"/>
              </w:rPr>
              <w:t>扬</w:t>
            </w:r>
            <w:r>
              <w:rPr>
                <w:color w:val="auto"/>
              </w:rPr>
              <w:t>程36米</w:t>
            </w:r>
          </w:p>
        </w:tc>
        <w:tc>
          <w:tcPr>
            <w:tcW w:w="501" w:type="pct"/>
            <w:vAlign w:val="center"/>
          </w:tcPr>
          <w:p w14:paraId="175BB525">
            <w:pPr>
              <w:pStyle w:val="182"/>
              <w:bidi w:val="0"/>
              <w:rPr>
                <w:color w:val="auto"/>
              </w:rPr>
            </w:pPr>
            <w:r>
              <w:rPr>
                <w:color w:val="auto"/>
              </w:rPr>
              <w:t>2台</w:t>
            </w:r>
          </w:p>
        </w:tc>
        <w:tc>
          <w:tcPr>
            <w:tcW w:w="620" w:type="pct"/>
            <w:vAlign w:val="center"/>
          </w:tcPr>
          <w:p w14:paraId="790BECC7">
            <w:pPr>
              <w:pStyle w:val="182"/>
              <w:bidi w:val="0"/>
              <w:ind w:firstLine="0" w:firstLineChars="0"/>
              <w:rPr>
                <w:color w:val="auto"/>
              </w:rPr>
            </w:pPr>
          </w:p>
        </w:tc>
      </w:tr>
      <w:tr w14:paraId="6809A4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0A7A9A5A">
            <w:pPr>
              <w:pStyle w:val="182"/>
              <w:bidi w:val="0"/>
              <w:ind w:firstLine="0" w:firstLineChars="0"/>
              <w:rPr>
                <w:color w:val="auto"/>
              </w:rPr>
            </w:pPr>
            <w:r>
              <w:rPr>
                <w:rFonts w:hint="eastAsia"/>
                <w:color w:val="auto"/>
                <w:lang w:val="en-US" w:eastAsia="zh-CN"/>
              </w:rPr>
              <w:t>3</w:t>
            </w:r>
          </w:p>
        </w:tc>
        <w:tc>
          <w:tcPr>
            <w:tcW w:w="1144" w:type="pct"/>
            <w:gridSpan w:val="2"/>
            <w:vAlign w:val="center"/>
          </w:tcPr>
          <w:p w14:paraId="01B329D5">
            <w:pPr>
              <w:pStyle w:val="182"/>
              <w:bidi w:val="0"/>
              <w:rPr>
                <w:color w:val="auto"/>
              </w:rPr>
            </w:pPr>
            <w:r>
              <w:rPr>
                <w:color w:val="auto"/>
              </w:rPr>
              <w:t>冷却水泵</w:t>
            </w:r>
          </w:p>
        </w:tc>
        <w:tc>
          <w:tcPr>
            <w:tcW w:w="2277" w:type="pct"/>
            <w:vAlign w:val="center"/>
          </w:tcPr>
          <w:p w14:paraId="18AEF9ED">
            <w:pPr>
              <w:pStyle w:val="182"/>
              <w:bidi w:val="0"/>
              <w:rPr>
                <w:color w:val="auto"/>
              </w:rPr>
            </w:pPr>
            <w:r>
              <w:rPr>
                <w:color w:val="auto"/>
              </w:rPr>
              <w:t>流量1423m</w:t>
            </w:r>
            <w:r>
              <w:rPr>
                <w:rFonts w:hint="eastAsia"/>
                <w:color w:val="auto"/>
                <w:vertAlign w:val="superscript"/>
                <w:lang w:val="en-US" w:eastAsia="zh-CN"/>
              </w:rPr>
              <w:t>3</w:t>
            </w:r>
            <w:r>
              <w:rPr>
                <w:color w:val="auto"/>
              </w:rPr>
              <w:t>/h，</w:t>
            </w:r>
            <w:r>
              <w:rPr>
                <w:rFonts w:hint="eastAsia"/>
                <w:color w:val="auto"/>
                <w:lang w:val="en-US" w:eastAsia="zh-CN"/>
              </w:rPr>
              <w:t>扬</w:t>
            </w:r>
            <w:r>
              <w:rPr>
                <w:color w:val="auto"/>
              </w:rPr>
              <w:t>程28米</w:t>
            </w:r>
          </w:p>
        </w:tc>
        <w:tc>
          <w:tcPr>
            <w:tcW w:w="501" w:type="pct"/>
            <w:vAlign w:val="center"/>
          </w:tcPr>
          <w:p w14:paraId="5D4B64B7">
            <w:pPr>
              <w:pStyle w:val="182"/>
              <w:bidi w:val="0"/>
              <w:rPr>
                <w:color w:val="auto"/>
              </w:rPr>
            </w:pPr>
            <w:r>
              <w:rPr>
                <w:color w:val="auto"/>
              </w:rPr>
              <w:t>2台</w:t>
            </w:r>
          </w:p>
        </w:tc>
        <w:tc>
          <w:tcPr>
            <w:tcW w:w="620" w:type="pct"/>
            <w:vAlign w:val="center"/>
          </w:tcPr>
          <w:p w14:paraId="02F273C5">
            <w:pPr>
              <w:pStyle w:val="182"/>
              <w:bidi w:val="0"/>
              <w:ind w:firstLine="0" w:firstLineChars="0"/>
              <w:rPr>
                <w:color w:val="auto"/>
              </w:rPr>
            </w:pPr>
          </w:p>
        </w:tc>
      </w:tr>
      <w:tr w14:paraId="4B25D9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455" w:type="pct"/>
            <w:vAlign w:val="center"/>
          </w:tcPr>
          <w:p w14:paraId="676ABEC6">
            <w:pPr>
              <w:pStyle w:val="182"/>
              <w:bidi w:val="0"/>
              <w:ind w:firstLine="0" w:firstLineChars="0"/>
              <w:rPr>
                <w:color w:val="auto"/>
              </w:rPr>
            </w:pPr>
            <w:r>
              <w:rPr>
                <w:rFonts w:hint="eastAsia"/>
                <w:color w:val="auto"/>
                <w:lang w:val="en-US" w:eastAsia="zh-CN"/>
              </w:rPr>
              <w:t>4</w:t>
            </w:r>
          </w:p>
        </w:tc>
        <w:tc>
          <w:tcPr>
            <w:tcW w:w="1144" w:type="pct"/>
            <w:gridSpan w:val="2"/>
            <w:vAlign w:val="center"/>
          </w:tcPr>
          <w:p w14:paraId="7B4080E0">
            <w:pPr>
              <w:pStyle w:val="182"/>
              <w:bidi w:val="0"/>
              <w:rPr>
                <w:color w:val="auto"/>
              </w:rPr>
            </w:pPr>
            <w:r>
              <w:rPr>
                <w:color w:val="auto"/>
              </w:rPr>
              <w:t>冷却塔</w:t>
            </w:r>
          </w:p>
        </w:tc>
        <w:tc>
          <w:tcPr>
            <w:tcW w:w="2277" w:type="pct"/>
            <w:vAlign w:val="center"/>
          </w:tcPr>
          <w:p w14:paraId="4457CDF9">
            <w:pPr>
              <w:pStyle w:val="182"/>
              <w:bidi w:val="0"/>
              <w:rPr>
                <w:color w:val="auto"/>
              </w:rPr>
            </w:pPr>
            <w:r>
              <w:rPr>
                <w:color w:val="auto"/>
              </w:rPr>
              <w:t>DFNL-1200</w:t>
            </w:r>
          </w:p>
        </w:tc>
        <w:tc>
          <w:tcPr>
            <w:tcW w:w="501" w:type="pct"/>
            <w:vAlign w:val="center"/>
          </w:tcPr>
          <w:p w14:paraId="57C10F41">
            <w:pPr>
              <w:pStyle w:val="182"/>
              <w:bidi w:val="0"/>
              <w:rPr>
                <w:color w:val="auto"/>
              </w:rPr>
            </w:pPr>
            <w:r>
              <w:rPr>
                <w:color w:val="auto"/>
              </w:rPr>
              <w:t>2台</w:t>
            </w:r>
          </w:p>
        </w:tc>
        <w:tc>
          <w:tcPr>
            <w:tcW w:w="620" w:type="pct"/>
            <w:vAlign w:val="center"/>
          </w:tcPr>
          <w:p w14:paraId="4D234CDF">
            <w:pPr>
              <w:pStyle w:val="182"/>
              <w:bidi w:val="0"/>
              <w:ind w:firstLine="0" w:firstLineChars="0"/>
              <w:rPr>
                <w:color w:val="auto"/>
              </w:rPr>
            </w:pPr>
          </w:p>
        </w:tc>
      </w:tr>
    </w:tbl>
    <w:p w14:paraId="651E9D4E">
      <w:pPr>
        <w:pStyle w:val="101"/>
        <w:rPr>
          <w:rFonts w:hint="eastAsia"/>
          <w:b/>
          <w:bCs/>
          <w:u w:val="single"/>
          <w:lang w:val="en-US" w:eastAsia="zh-CN"/>
        </w:rPr>
      </w:pPr>
      <w:r>
        <w:rPr>
          <w:rFonts w:hint="eastAsia"/>
          <w:b/>
          <w:bCs/>
          <w:u w:val="single"/>
          <w:lang w:val="en-US" w:eastAsia="zh-CN"/>
        </w:rPr>
        <w:t>设备与本次中试规模的匹配性分析：</w:t>
      </w:r>
    </w:p>
    <w:p w14:paraId="71624428">
      <w:pPr>
        <w:bidi w:val="0"/>
        <w:rPr>
          <w:rFonts w:hint="eastAsia"/>
          <w:b/>
          <w:bCs/>
          <w:color w:val="auto"/>
          <w:u w:val="single"/>
          <w:lang w:val="en-US" w:eastAsia="zh-CN"/>
        </w:rPr>
      </w:pPr>
      <w:r>
        <w:rPr>
          <w:rFonts w:hint="eastAsia"/>
          <w:b/>
          <w:bCs/>
          <w:color w:val="auto"/>
          <w:u w:val="single"/>
          <w:lang w:val="en-US" w:eastAsia="zh-CN"/>
        </w:rPr>
        <w:t>*</w:t>
      </w:r>
    </w:p>
    <w:p w14:paraId="3593EC3D">
      <w:pPr>
        <w:bidi w:val="0"/>
        <w:rPr>
          <w:rFonts w:hint="default"/>
          <w:b/>
          <w:bCs/>
          <w:color w:val="auto"/>
          <w:u w:val="single"/>
          <w:lang w:val="en-US" w:eastAsia="zh-CN"/>
        </w:rPr>
      </w:pPr>
      <w:r>
        <w:rPr>
          <w:rFonts w:hint="eastAsia"/>
          <w:b/>
          <w:bCs/>
          <w:color w:val="auto"/>
          <w:u w:val="single"/>
          <w:lang w:val="en-US" w:eastAsia="zh-CN"/>
        </w:rPr>
        <w:t>*</w:t>
      </w:r>
    </w:p>
    <w:p w14:paraId="1289E549">
      <w:pPr>
        <w:bidi w:val="0"/>
        <w:rPr>
          <w:rFonts w:hint="eastAsia"/>
          <w:b/>
          <w:bCs/>
          <w:color w:val="auto"/>
          <w:u w:val="single"/>
          <w:lang w:val="en-US" w:eastAsia="zh-CN"/>
        </w:rPr>
      </w:pPr>
      <w:r>
        <w:rPr>
          <w:rFonts w:hint="eastAsia"/>
          <w:b/>
          <w:bCs/>
          <w:color w:val="auto"/>
          <w:u w:val="single"/>
          <w:lang w:val="en-US" w:eastAsia="zh-CN"/>
        </w:rPr>
        <w:t>*</w:t>
      </w:r>
    </w:p>
    <w:p w14:paraId="10629F80">
      <w:pPr>
        <w:bidi w:val="0"/>
        <w:rPr>
          <w:rFonts w:hint="default"/>
          <w:b/>
          <w:bCs/>
          <w:color w:val="auto"/>
          <w:u w:val="single"/>
          <w:lang w:val="en-US" w:eastAsia="zh-CN"/>
        </w:rPr>
      </w:pPr>
      <w:r>
        <w:rPr>
          <w:rFonts w:hint="eastAsia"/>
          <w:b/>
          <w:bCs/>
          <w:color w:val="auto"/>
          <w:u w:val="single"/>
          <w:lang w:val="en-US" w:eastAsia="zh-CN"/>
        </w:rPr>
        <w:t>*</w:t>
      </w:r>
    </w:p>
    <w:p w14:paraId="74B85D15">
      <w:pPr>
        <w:bidi w:val="0"/>
        <w:rPr>
          <w:rFonts w:hint="eastAsia"/>
          <w:b/>
          <w:bCs/>
          <w:color w:val="auto"/>
          <w:u w:val="single"/>
          <w:lang w:val="en-US" w:eastAsia="zh-CN"/>
        </w:rPr>
      </w:pPr>
      <w:r>
        <w:rPr>
          <w:rFonts w:hint="eastAsia"/>
          <w:b/>
          <w:bCs/>
          <w:color w:val="auto"/>
          <w:u w:val="single"/>
          <w:lang w:val="en-US" w:eastAsia="zh-CN"/>
        </w:rPr>
        <w:t>*</w:t>
      </w:r>
    </w:p>
    <w:p w14:paraId="04DA282C">
      <w:pPr>
        <w:bidi w:val="0"/>
        <w:rPr>
          <w:rFonts w:hint="default"/>
          <w:b/>
          <w:bCs/>
          <w:color w:val="auto"/>
          <w:u w:val="single"/>
          <w:lang w:val="en-US" w:eastAsia="zh-CN"/>
        </w:rPr>
      </w:pPr>
      <w:r>
        <w:rPr>
          <w:rFonts w:hint="eastAsia"/>
          <w:b/>
          <w:bCs/>
          <w:color w:val="auto"/>
          <w:u w:val="single"/>
          <w:lang w:val="en-US" w:eastAsia="zh-CN"/>
        </w:rPr>
        <w:t>*</w:t>
      </w:r>
    </w:p>
    <w:p w14:paraId="60DB9AD9">
      <w:pPr>
        <w:bidi w:val="0"/>
        <w:rPr>
          <w:rFonts w:hint="eastAsia"/>
          <w:b/>
          <w:bCs/>
          <w:color w:val="auto"/>
          <w:u w:val="single"/>
          <w:lang w:val="en-US" w:eastAsia="zh-CN"/>
        </w:rPr>
      </w:pPr>
      <w:r>
        <w:rPr>
          <w:rFonts w:hint="eastAsia"/>
          <w:b/>
          <w:bCs/>
          <w:color w:val="auto"/>
          <w:u w:val="single"/>
          <w:lang w:val="en-US" w:eastAsia="zh-CN"/>
        </w:rPr>
        <w:t>*</w:t>
      </w:r>
    </w:p>
    <w:p w14:paraId="53AA0DE1">
      <w:pPr>
        <w:bidi w:val="0"/>
        <w:rPr>
          <w:rFonts w:hint="default"/>
          <w:b/>
          <w:bCs/>
          <w:color w:val="auto"/>
          <w:u w:val="single"/>
          <w:lang w:val="en-US" w:eastAsia="zh-CN"/>
        </w:rPr>
      </w:pPr>
      <w:r>
        <w:rPr>
          <w:rFonts w:hint="eastAsia"/>
          <w:b/>
          <w:bCs/>
          <w:color w:val="auto"/>
          <w:u w:val="single"/>
          <w:lang w:val="en-US" w:eastAsia="zh-CN"/>
        </w:rPr>
        <w:t>*</w:t>
      </w:r>
    </w:p>
    <w:p w14:paraId="6E5A83E9">
      <w:pPr>
        <w:bidi w:val="0"/>
        <w:rPr>
          <w:rFonts w:hint="eastAsia"/>
          <w:b/>
          <w:bCs/>
          <w:color w:val="auto"/>
          <w:u w:val="single"/>
          <w:lang w:val="en-US" w:eastAsia="zh-CN"/>
        </w:rPr>
      </w:pPr>
      <w:r>
        <w:rPr>
          <w:rFonts w:hint="eastAsia"/>
          <w:b/>
          <w:bCs/>
          <w:color w:val="auto"/>
          <w:u w:val="single"/>
          <w:lang w:val="en-US" w:eastAsia="zh-CN"/>
        </w:rPr>
        <w:t>*</w:t>
      </w:r>
    </w:p>
    <w:p w14:paraId="3BEE44FE">
      <w:pPr>
        <w:bidi w:val="0"/>
        <w:rPr>
          <w:rFonts w:hint="default"/>
          <w:b/>
          <w:bCs/>
          <w:color w:val="auto"/>
          <w:u w:val="single"/>
          <w:lang w:val="en-US" w:eastAsia="zh-CN"/>
        </w:rPr>
      </w:pPr>
      <w:r>
        <w:rPr>
          <w:rFonts w:hint="eastAsia"/>
          <w:b/>
          <w:bCs/>
          <w:color w:val="auto"/>
          <w:u w:val="single"/>
          <w:lang w:val="en-US" w:eastAsia="zh-CN"/>
        </w:rPr>
        <w:t>*</w:t>
      </w:r>
    </w:p>
    <w:p w14:paraId="5F7A5141">
      <w:pPr>
        <w:bidi w:val="0"/>
        <w:rPr>
          <w:rFonts w:hint="eastAsia"/>
          <w:b/>
          <w:bCs/>
          <w:color w:val="auto"/>
          <w:u w:val="single"/>
          <w:lang w:val="en-US" w:eastAsia="zh-CN"/>
        </w:rPr>
      </w:pPr>
      <w:r>
        <w:rPr>
          <w:rFonts w:hint="eastAsia"/>
          <w:b/>
          <w:bCs/>
          <w:color w:val="auto"/>
          <w:u w:val="single"/>
          <w:lang w:val="en-US" w:eastAsia="zh-CN"/>
        </w:rPr>
        <w:t>*</w:t>
      </w:r>
    </w:p>
    <w:p w14:paraId="13B2F054">
      <w:pPr>
        <w:bidi w:val="0"/>
        <w:rPr>
          <w:rFonts w:hint="default"/>
          <w:b/>
          <w:bCs/>
          <w:color w:val="auto"/>
          <w:u w:val="single"/>
          <w:lang w:val="en-US" w:eastAsia="zh-CN"/>
        </w:rPr>
      </w:pPr>
      <w:r>
        <w:rPr>
          <w:rFonts w:hint="eastAsia"/>
          <w:b/>
          <w:bCs/>
          <w:color w:val="auto"/>
          <w:u w:val="single"/>
          <w:lang w:val="en-US" w:eastAsia="zh-CN"/>
        </w:rPr>
        <w:t>*</w:t>
      </w:r>
    </w:p>
    <w:p w14:paraId="2FDE9518">
      <w:pPr>
        <w:bidi w:val="0"/>
        <w:rPr>
          <w:rFonts w:hint="eastAsia"/>
          <w:b/>
          <w:bCs/>
          <w:color w:val="auto"/>
          <w:u w:val="single"/>
          <w:lang w:val="en-US" w:eastAsia="zh-CN"/>
        </w:rPr>
      </w:pPr>
      <w:r>
        <w:rPr>
          <w:rFonts w:hint="eastAsia"/>
          <w:b/>
          <w:bCs/>
          <w:color w:val="auto"/>
          <w:u w:val="single"/>
          <w:lang w:val="en-US" w:eastAsia="zh-CN"/>
        </w:rPr>
        <w:t>*</w:t>
      </w:r>
    </w:p>
    <w:p w14:paraId="6EF39922">
      <w:pPr>
        <w:bidi w:val="0"/>
        <w:rPr>
          <w:rFonts w:hint="default"/>
          <w:b/>
          <w:bCs/>
          <w:color w:val="auto"/>
          <w:u w:val="single"/>
          <w:lang w:val="en-US" w:eastAsia="zh-CN"/>
        </w:rPr>
      </w:pPr>
      <w:r>
        <w:rPr>
          <w:rFonts w:hint="eastAsia"/>
          <w:b/>
          <w:bCs/>
          <w:color w:val="auto"/>
          <w:u w:val="single"/>
          <w:lang w:val="en-US" w:eastAsia="zh-CN"/>
        </w:rPr>
        <w:t>*</w:t>
      </w:r>
    </w:p>
    <w:p w14:paraId="11F20373">
      <w:pPr>
        <w:bidi w:val="0"/>
        <w:rPr>
          <w:rFonts w:hint="eastAsia"/>
          <w:b/>
          <w:bCs/>
          <w:color w:val="auto"/>
          <w:u w:val="single"/>
          <w:lang w:val="en-US" w:eastAsia="zh-CN"/>
        </w:rPr>
      </w:pPr>
      <w:r>
        <w:rPr>
          <w:rFonts w:hint="eastAsia"/>
          <w:b/>
          <w:bCs/>
          <w:color w:val="auto"/>
          <w:u w:val="single"/>
          <w:lang w:val="en-US" w:eastAsia="zh-CN"/>
        </w:rPr>
        <w:t>*</w:t>
      </w:r>
    </w:p>
    <w:p w14:paraId="52C2A3FC">
      <w:pPr>
        <w:bidi w:val="0"/>
        <w:rPr>
          <w:rFonts w:hint="default"/>
          <w:b/>
          <w:bCs/>
          <w:color w:val="auto"/>
          <w:u w:val="single"/>
          <w:lang w:val="en-US" w:eastAsia="zh-CN"/>
        </w:rPr>
      </w:pPr>
      <w:r>
        <w:rPr>
          <w:rFonts w:hint="eastAsia"/>
          <w:b/>
          <w:bCs/>
          <w:color w:val="auto"/>
          <w:u w:val="single"/>
          <w:lang w:val="en-US" w:eastAsia="zh-CN"/>
        </w:rPr>
        <w:t>*</w:t>
      </w:r>
    </w:p>
    <w:p w14:paraId="24911A39">
      <w:pPr>
        <w:bidi w:val="0"/>
        <w:rPr>
          <w:rFonts w:hint="eastAsia"/>
          <w:b/>
          <w:bCs/>
          <w:color w:val="auto"/>
          <w:u w:val="single"/>
          <w:lang w:val="en-US" w:eastAsia="zh-CN"/>
        </w:rPr>
      </w:pPr>
      <w:r>
        <w:rPr>
          <w:rFonts w:hint="eastAsia"/>
          <w:b/>
          <w:bCs/>
          <w:color w:val="auto"/>
          <w:u w:val="single"/>
          <w:lang w:val="en-US" w:eastAsia="zh-CN"/>
        </w:rPr>
        <w:t>*</w:t>
      </w:r>
    </w:p>
    <w:p w14:paraId="25CFB1B6">
      <w:pPr>
        <w:bidi w:val="0"/>
        <w:rPr>
          <w:rFonts w:hint="default"/>
          <w:b/>
          <w:bCs/>
          <w:color w:val="auto"/>
          <w:u w:val="single"/>
          <w:lang w:val="en-US" w:eastAsia="zh-CN"/>
        </w:rPr>
      </w:pPr>
      <w:r>
        <w:rPr>
          <w:rFonts w:hint="eastAsia"/>
          <w:b/>
          <w:bCs/>
          <w:color w:val="auto"/>
          <w:u w:val="single"/>
          <w:lang w:val="en-US" w:eastAsia="zh-CN"/>
        </w:rPr>
        <w:t>*</w:t>
      </w:r>
    </w:p>
    <w:p w14:paraId="57AA458F">
      <w:pPr>
        <w:bidi w:val="0"/>
        <w:rPr>
          <w:rFonts w:hint="eastAsia"/>
          <w:b/>
          <w:bCs/>
          <w:color w:val="auto"/>
          <w:u w:val="single"/>
          <w:lang w:val="en-US" w:eastAsia="zh-CN"/>
        </w:rPr>
      </w:pPr>
      <w:r>
        <w:rPr>
          <w:rFonts w:hint="eastAsia"/>
          <w:b/>
          <w:bCs/>
          <w:color w:val="auto"/>
          <w:u w:val="single"/>
          <w:lang w:val="en-US" w:eastAsia="zh-CN"/>
        </w:rPr>
        <w:t>*</w:t>
      </w:r>
    </w:p>
    <w:p w14:paraId="2A3C06C2">
      <w:pPr>
        <w:bidi w:val="0"/>
        <w:rPr>
          <w:rFonts w:hint="default"/>
          <w:b/>
          <w:bCs/>
          <w:color w:val="auto"/>
          <w:u w:val="single"/>
          <w:lang w:val="en-US" w:eastAsia="zh-CN"/>
        </w:rPr>
      </w:pPr>
      <w:r>
        <w:rPr>
          <w:rFonts w:hint="eastAsia"/>
          <w:b/>
          <w:bCs/>
          <w:color w:val="auto"/>
          <w:u w:val="single"/>
          <w:lang w:val="en-US" w:eastAsia="zh-CN"/>
        </w:rPr>
        <w:t>*</w:t>
      </w:r>
    </w:p>
    <w:p w14:paraId="5F1E1CD0">
      <w:pPr>
        <w:bidi w:val="0"/>
        <w:rPr>
          <w:rFonts w:hint="eastAsia"/>
          <w:b/>
          <w:bCs/>
          <w:color w:val="auto"/>
          <w:u w:val="single"/>
          <w:lang w:val="en-US" w:eastAsia="zh-CN"/>
        </w:rPr>
      </w:pPr>
      <w:r>
        <w:rPr>
          <w:rFonts w:hint="eastAsia"/>
          <w:b/>
          <w:bCs/>
          <w:color w:val="auto"/>
          <w:u w:val="single"/>
          <w:lang w:val="en-US" w:eastAsia="zh-CN"/>
        </w:rPr>
        <w:t>*</w:t>
      </w:r>
    </w:p>
    <w:p w14:paraId="05F15294">
      <w:pPr>
        <w:bidi w:val="0"/>
        <w:rPr>
          <w:rFonts w:hint="default"/>
          <w:b/>
          <w:bCs/>
          <w:color w:val="auto"/>
          <w:u w:val="single"/>
          <w:lang w:val="en-US" w:eastAsia="zh-CN"/>
        </w:rPr>
      </w:pPr>
      <w:r>
        <w:rPr>
          <w:rFonts w:hint="eastAsia"/>
          <w:b/>
          <w:bCs/>
          <w:color w:val="auto"/>
          <w:u w:val="single"/>
          <w:lang w:val="en-US" w:eastAsia="zh-CN"/>
        </w:rPr>
        <w:t>*</w:t>
      </w:r>
    </w:p>
    <w:p w14:paraId="076C728B">
      <w:pPr>
        <w:bidi w:val="0"/>
        <w:rPr>
          <w:rFonts w:hint="eastAsia"/>
          <w:b/>
          <w:bCs/>
          <w:color w:val="auto"/>
          <w:u w:val="single"/>
          <w:lang w:val="en-US" w:eastAsia="zh-CN"/>
        </w:rPr>
      </w:pPr>
      <w:r>
        <w:rPr>
          <w:rFonts w:hint="eastAsia"/>
          <w:b/>
          <w:bCs/>
          <w:color w:val="auto"/>
          <w:u w:val="single"/>
          <w:lang w:val="en-US" w:eastAsia="zh-CN"/>
        </w:rPr>
        <w:t>*</w:t>
      </w:r>
    </w:p>
    <w:p w14:paraId="3DE58731">
      <w:pPr>
        <w:bidi w:val="0"/>
        <w:rPr>
          <w:rFonts w:hint="default"/>
          <w:b/>
          <w:bCs/>
          <w:color w:val="auto"/>
          <w:u w:val="single"/>
          <w:lang w:val="en-US" w:eastAsia="zh-CN"/>
        </w:rPr>
      </w:pPr>
      <w:r>
        <w:rPr>
          <w:rFonts w:hint="eastAsia"/>
          <w:b/>
          <w:bCs/>
          <w:color w:val="auto"/>
          <w:u w:val="single"/>
          <w:lang w:val="en-US" w:eastAsia="zh-CN"/>
        </w:rPr>
        <w:t>*</w:t>
      </w:r>
    </w:p>
    <w:p w14:paraId="73664567">
      <w:pPr>
        <w:bidi w:val="0"/>
        <w:rPr>
          <w:rFonts w:hint="eastAsia"/>
          <w:b/>
          <w:bCs/>
          <w:color w:val="auto"/>
          <w:u w:val="single"/>
          <w:lang w:val="en-US" w:eastAsia="zh-CN"/>
        </w:rPr>
      </w:pPr>
      <w:r>
        <w:rPr>
          <w:rFonts w:hint="eastAsia"/>
          <w:b/>
          <w:bCs/>
          <w:color w:val="auto"/>
          <w:u w:val="single"/>
          <w:lang w:val="en-US" w:eastAsia="zh-CN"/>
        </w:rPr>
        <w:t>*</w:t>
      </w:r>
    </w:p>
    <w:p w14:paraId="129F2162">
      <w:pPr>
        <w:bidi w:val="0"/>
        <w:rPr>
          <w:rFonts w:hint="default"/>
          <w:b/>
          <w:bCs/>
          <w:color w:val="auto"/>
          <w:u w:val="single"/>
          <w:lang w:val="en-US" w:eastAsia="zh-CN"/>
        </w:rPr>
      </w:pPr>
      <w:r>
        <w:rPr>
          <w:rFonts w:hint="eastAsia"/>
          <w:b/>
          <w:bCs/>
          <w:color w:val="auto"/>
          <w:u w:val="single"/>
          <w:lang w:val="en-US" w:eastAsia="zh-CN"/>
        </w:rPr>
        <w:t>*</w:t>
      </w:r>
    </w:p>
    <w:p w14:paraId="4E57E658">
      <w:pPr>
        <w:bidi w:val="0"/>
        <w:rPr>
          <w:rFonts w:hint="eastAsia"/>
          <w:b/>
          <w:bCs/>
          <w:color w:val="auto"/>
          <w:u w:val="single"/>
          <w:lang w:val="en-US" w:eastAsia="zh-CN"/>
        </w:rPr>
      </w:pPr>
      <w:r>
        <w:rPr>
          <w:rFonts w:hint="eastAsia"/>
          <w:b/>
          <w:bCs/>
          <w:color w:val="auto"/>
          <w:u w:val="single"/>
          <w:lang w:val="en-US" w:eastAsia="zh-CN"/>
        </w:rPr>
        <w:t>。</w:t>
      </w:r>
    </w:p>
    <w:p w14:paraId="38EFC34E">
      <w:pPr>
        <w:pStyle w:val="101"/>
        <w:rPr>
          <w:rFonts w:hint="default"/>
          <w:b/>
          <w:bCs/>
          <w:u w:val="single"/>
          <w:lang w:val="en-US" w:eastAsia="zh-CN"/>
        </w:rPr>
      </w:pPr>
    </w:p>
    <w:p w14:paraId="5A8068B1">
      <w:pPr>
        <w:pStyle w:val="5"/>
        <w:bidi w:val="0"/>
        <w:rPr>
          <w:color w:val="auto"/>
        </w:rPr>
      </w:pPr>
      <w:r>
        <w:rPr>
          <w:rFonts w:hint="eastAsia"/>
          <w:color w:val="auto"/>
        </w:rPr>
        <w:t>公用工程</w:t>
      </w:r>
    </w:p>
    <w:p w14:paraId="5F73DC26">
      <w:pPr>
        <w:pStyle w:val="6"/>
        <w:bidi w:val="0"/>
        <w:rPr>
          <w:rFonts w:hint="default"/>
          <w:lang w:val="en-US" w:eastAsia="zh-CN"/>
        </w:rPr>
      </w:pPr>
      <w:r>
        <w:rPr>
          <w:rFonts w:hint="eastAsia"/>
          <w:lang w:val="en-US" w:eastAsia="zh-CN"/>
        </w:rPr>
        <w:t>供水及排水</w:t>
      </w:r>
    </w:p>
    <w:p w14:paraId="1D36CE2D">
      <w:pPr>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auto"/>
        </w:rPr>
      </w:pPr>
      <w:r>
        <w:rPr>
          <w:color w:val="auto"/>
        </w:rPr>
        <w:t>新乡市化纤股份有限公司由新乡市兴鹭水务有限公司供水，兴鹭水务设计供水规模为10万吨/日，一期规模为5万吨/日，原水输水管路全长26公里。水厂采用</w:t>
      </w:r>
      <w:r>
        <w:rPr>
          <w:rFonts w:hint="eastAsia"/>
          <w:color w:val="auto"/>
          <w:lang w:eastAsia="zh-CN"/>
        </w:rPr>
        <w:t>“</w:t>
      </w:r>
      <w:r>
        <w:rPr>
          <w:color w:val="auto"/>
        </w:rPr>
        <w:t>折板反应+平流沉淀+V型滤池</w:t>
      </w:r>
      <w:r>
        <w:rPr>
          <w:rFonts w:hint="eastAsia"/>
          <w:color w:val="auto"/>
          <w:lang w:eastAsia="zh-CN"/>
        </w:rPr>
        <w:t>”</w:t>
      </w:r>
      <w:r>
        <w:rPr>
          <w:color w:val="auto"/>
        </w:rPr>
        <w:t>的处理工艺，一期供水工程已于2023年11月投入运行。</w:t>
      </w:r>
    </w:p>
    <w:p w14:paraId="27C6E7C6">
      <w:pPr>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auto"/>
        </w:rPr>
      </w:pPr>
      <w:r>
        <w:rPr>
          <w:color w:val="auto"/>
        </w:rPr>
        <w:t>本项目从新乡化纤股份有限公司现有供水管网接入，供给本项目室外消防用水、生产和生活用水等，由于本项目用水量小，现有公司供水能力完全能够满足本项目的需求，无需增加全厂的供水设备。室外消火栓布置在环状消防管网上。</w:t>
      </w:r>
    </w:p>
    <w:p w14:paraId="63AC0328">
      <w:pPr>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auto"/>
        </w:rPr>
      </w:pPr>
      <w:r>
        <w:rPr>
          <w:color w:val="auto"/>
        </w:rPr>
        <w:t>公司供水系统分脱盐水、软水、生活、生产、消防给水系统和冷冻循环水系统。</w:t>
      </w:r>
    </w:p>
    <w:p w14:paraId="3AAB1590">
      <w:pPr>
        <w:keepNext w:val="0"/>
        <w:keepLines w:val="0"/>
        <w:pageBreakBefore w:val="0"/>
        <w:widowControl w:val="0"/>
        <w:kinsoku/>
        <w:wordWrap/>
        <w:overflowPunct/>
        <w:topLinePunct w:val="0"/>
        <w:autoSpaceDE/>
        <w:autoSpaceDN/>
        <w:bidi w:val="0"/>
        <w:adjustRightInd w:val="0"/>
        <w:snapToGrid w:val="0"/>
        <w:spacing w:line="360" w:lineRule="auto"/>
        <w:textAlignment w:val="auto"/>
        <w:rPr>
          <w:strike/>
          <w:dstrike w:val="0"/>
          <w:color w:val="auto"/>
        </w:rPr>
      </w:pPr>
      <w:r>
        <w:rPr>
          <w:rFonts w:hint="eastAsia"/>
          <w:color w:val="auto"/>
          <w:lang w:val="en-US" w:eastAsia="zh-CN"/>
        </w:rPr>
        <w:t>1、</w:t>
      </w:r>
      <w:r>
        <w:rPr>
          <w:rFonts w:hint="eastAsia"/>
          <w:color w:val="auto"/>
        </w:rPr>
        <w:t>生活用水</w:t>
      </w:r>
    </w:p>
    <w:p w14:paraId="1EBC1953">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auto"/>
        </w:rPr>
      </w:pPr>
      <w:r>
        <w:t>本项目</w:t>
      </w:r>
      <w:r>
        <w:rPr>
          <w:rFonts w:hint="eastAsia"/>
          <w:lang w:val="en-US" w:eastAsia="zh-CN"/>
        </w:rPr>
        <w:t>劳动定员从现有员工中调配，不新增员工，不新增生活废水</w:t>
      </w:r>
      <w:r>
        <w:t>。</w:t>
      </w:r>
    </w:p>
    <w:p w14:paraId="06B67A28">
      <w:pPr>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auto"/>
        </w:rPr>
      </w:pPr>
      <w:r>
        <w:rPr>
          <w:rFonts w:hint="eastAsia"/>
          <w:color w:val="auto"/>
          <w:lang w:val="en-US" w:eastAsia="zh-CN"/>
        </w:rPr>
        <w:t>2、</w:t>
      </w:r>
      <w:r>
        <w:rPr>
          <w:rFonts w:hint="eastAsia"/>
          <w:color w:val="auto"/>
        </w:rPr>
        <w:t>生产用水</w:t>
      </w:r>
    </w:p>
    <w:p w14:paraId="2CE2A9BB">
      <w:pPr>
        <w:bidi w:val="0"/>
        <w:rPr>
          <w:rFonts w:hint="eastAsia"/>
          <w:b/>
          <w:bCs/>
          <w:color w:val="auto"/>
          <w:u w:val="single"/>
          <w:lang w:val="en-US" w:eastAsia="zh-CN"/>
        </w:rPr>
      </w:pPr>
      <w:r>
        <w:rPr>
          <w:rFonts w:hint="eastAsia"/>
          <w:b/>
          <w:bCs/>
          <w:color w:val="auto"/>
          <w:u w:val="single"/>
          <w:lang w:val="en-US" w:eastAsia="zh-CN"/>
        </w:rPr>
        <w:t>*</w:t>
      </w:r>
    </w:p>
    <w:p w14:paraId="5A14FC11">
      <w:pPr>
        <w:bidi w:val="0"/>
        <w:rPr>
          <w:rFonts w:hint="default"/>
          <w:b/>
          <w:bCs/>
          <w:color w:val="auto"/>
          <w:u w:val="single"/>
          <w:lang w:val="en-US" w:eastAsia="zh-CN"/>
        </w:rPr>
      </w:pPr>
      <w:r>
        <w:rPr>
          <w:rFonts w:hint="eastAsia"/>
          <w:b/>
          <w:bCs/>
          <w:color w:val="auto"/>
          <w:u w:val="single"/>
          <w:lang w:val="en-US" w:eastAsia="zh-CN"/>
        </w:rPr>
        <w:t>*</w:t>
      </w:r>
    </w:p>
    <w:p w14:paraId="43D5DD65">
      <w:pPr>
        <w:bidi w:val="0"/>
        <w:rPr>
          <w:rFonts w:hint="eastAsia"/>
          <w:b/>
          <w:bCs/>
          <w:color w:val="auto"/>
          <w:u w:val="single"/>
          <w:lang w:val="en-US" w:eastAsia="zh-CN"/>
        </w:rPr>
      </w:pPr>
      <w:r>
        <w:rPr>
          <w:rFonts w:hint="eastAsia"/>
          <w:b/>
          <w:bCs/>
          <w:color w:val="auto"/>
          <w:u w:val="single"/>
          <w:lang w:val="en-US" w:eastAsia="zh-CN"/>
        </w:rPr>
        <w:t>*</w:t>
      </w:r>
    </w:p>
    <w:p w14:paraId="7244452B">
      <w:pPr>
        <w:bidi w:val="0"/>
        <w:rPr>
          <w:rFonts w:hint="default"/>
          <w:b/>
          <w:bCs/>
          <w:color w:val="auto"/>
          <w:u w:val="single"/>
          <w:lang w:val="en-US" w:eastAsia="zh-CN"/>
        </w:rPr>
      </w:pPr>
      <w:r>
        <w:rPr>
          <w:rFonts w:hint="eastAsia"/>
          <w:b/>
          <w:bCs/>
          <w:color w:val="auto"/>
          <w:u w:val="single"/>
          <w:lang w:val="en-US" w:eastAsia="zh-CN"/>
        </w:rPr>
        <w:t>*</w:t>
      </w:r>
    </w:p>
    <w:p w14:paraId="0DEF6BEE">
      <w:pPr>
        <w:bidi w:val="0"/>
        <w:rPr>
          <w:rFonts w:hint="eastAsia"/>
          <w:b/>
          <w:bCs/>
          <w:color w:val="auto"/>
          <w:u w:val="single"/>
          <w:lang w:val="en-US" w:eastAsia="zh-CN"/>
        </w:rPr>
      </w:pPr>
      <w:r>
        <w:rPr>
          <w:rFonts w:hint="eastAsia"/>
          <w:b/>
          <w:bCs/>
          <w:color w:val="auto"/>
          <w:u w:val="single"/>
          <w:lang w:val="en-US" w:eastAsia="zh-CN"/>
        </w:rPr>
        <w:t>*</w:t>
      </w:r>
    </w:p>
    <w:p w14:paraId="631A7092">
      <w:pPr>
        <w:bidi w:val="0"/>
        <w:rPr>
          <w:rFonts w:hint="default"/>
          <w:b/>
          <w:bCs/>
          <w:color w:val="auto"/>
          <w:u w:val="single"/>
          <w:lang w:val="en-US" w:eastAsia="zh-CN"/>
        </w:rPr>
      </w:pPr>
      <w:r>
        <w:rPr>
          <w:rFonts w:hint="eastAsia"/>
          <w:b/>
          <w:bCs/>
          <w:color w:val="auto"/>
          <w:u w:val="single"/>
          <w:lang w:val="en-US" w:eastAsia="zh-CN"/>
        </w:rPr>
        <w:t>*</w:t>
      </w:r>
    </w:p>
    <w:p w14:paraId="37139281">
      <w:pPr>
        <w:bidi w:val="0"/>
        <w:rPr>
          <w:rFonts w:hint="eastAsia"/>
          <w:b/>
          <w:bCs/>
          <w:color w:val="auto"/>
          <w:u w:val="single"/>
          <w:lang w:val="en-US" w:eastAsia="zh-CN"/>
        </w:rPr>
      </w:pPr>
      <w:r>
        <w:rPr>
          <w:rFonts w:hint="eastAsia"/>
          <w:b/>
          <w:bCs/>
          <w:color w:val="auto"/>
          <w:u w:val="single"/>
          <w:lang w:val="en-US" w:eastAsia="zh-CN"/>
        </w:rPr>
        <w:t>*</w:t>
      </w:r>
    </w:p>
    <w:p w14:paraId="0D0EA65B">
      <w:pPr>
        <w:bidi w:val="0"/>
        <w:rPr>
          <w:rFonts w:hint="default"/>
          <w:b/>
          <w:bCs/>
          <w:color w:val="auto"/>
          <w:u w:val="single"/>
          <w:lang w:val="en-US" w:eastAsia="zh-CN"/>
        </w:rPr>
      </w:pPr>
      <w:r>
        <w:rPr>
          <w:rFonts w:hint="eastAsia"/>
          <w:b/>
          <w:bCs/>
          <w:color w:val="auto"/>
          <w:u w:val="single"/>
          <w:lang w:val="en-US" w:eastAsia="zh-CN"/>
        </w:rPr>
        <w:t>*</w:t>
      </w:r>
    </w:p>
    <w:p w14:paraId="02226A76">
      <w:pPr>
        <w:bidi w:val="0"/>
        <w:rPr>
          <w:rFonts w:hint="eastAsia"/>
          <w:b/>
          <w:bCs/>
          <w:color w:val="auto"/>
          <w:u w:val="single"/>
          <w:lang w:val="en-US" w:eastAsia="zh-CN"/>
        </w:rPr>
      </w:pPr>
      <w:r>
        <w:rPr>
          <w:rFonts w:hint="eastAsia"/>
          <w:b/>
          <w:bCs/>
          <w:color w:val="auto"/>
          <w:u w:val="single"/>
          <w:lang w:val="en-US" w:eastAsia="zh-CN"/>
        </w:rPr>
        <w:t>*</w:t>
      </w:r>
    </w:p>
    <w:p w14:paraId="7ADEE2FF">
      <w:pPr>
        <w:bidi w:val="0"/>
        <w:rPr>
          <w:rFonts w:hint="default"/>
          <w:b/>
          <w:bCs/>
          <w:color w:val="auto"/>
          <w:u w:val="single"/>
          <w:lang w:val="en-US" w:eastAsia="zh-CN"/>
        </w:rPr>
      </w:pPr>
      <w:r>
        <w:rPr>
          <w:rFonts w:hint="eastAsia"/>
          <w:b/>
          <w:bCs/>
          <w:color w:val="auto"/>
          <w:u w:val="single"/>
          <w:lang w:val="en-US" w:eastAsia="zh-CN"/>
        </w:rPr>
        <w:t>*</w:t>
      </w:r>
    </w:p>
    <w:p w14:paraId="29EF82CC">
      <w:pPr>
        <w:bidi w:val="0"/>
        <w:rPr>
          <w:rFonts w:hint="eastAsia"/>
          <w:b/>
          <w:bCs/>
          <w:color w:val="auto"/>
          <w:u w:val="single"/>
          <w:lang w:val="en-US" w:eastAsia="zh-CN"/>
        </w:rPr>
      </w:pPr>
      <w:r>
        <w:rPr>
          <w:rFonts w:hint="eastAsia"/>
          <w:b/>
          <w:bCs/>
          <w:color w:val="auto"/>
          <w:u w:val="single"/>
          <w:lang w:val="en-US" w:eastAsia="zh-CN"/>
        </w:rPr>
        <w:t>*</w:t>
      </w:r>
    </w:p>
    <w:p w14:paraId="239B5768">
      <w:pPr>
        <w:bidi w:val="0"/>
        <w:rPr>
          <w:rFonts w:hint="default"/>
          <w:b/>
          <w:bCs/>
          <w:color w:val="auto"/>
          <w:u w:val="single"/>
          <w:lang w:val="en-US" w:eastAsia="zh-CN"/>
        </w:rPr>
      </w:pPr>
      <w:r>
        <w:rPr>
          <w:rFonts w:hint="eastAsia"/>
          <w:b/>
          <w:bCs/>
          <w:color w:val="auto"/>
          <w:u w:val="single"/>
          <w:lang w:val="en-US" w:eastAsia="zh-CN"/>
        </w:rPr>
        <w:t>*</w:t>
      </w:r>
    </w:p>
    <w:p w14:paraId="05564EF7">
      <w:pPr>
        <w:bidi w:val="0"/>
        <w:rPr>
          <w:rFonts w:hint="eastAsia"/>
          <w:b/>
          <w:bCs/>
          <w:color w:val="auto"/>
          <w:u w:val="single"/>
          <w:lang w:val="en-US" w:eastAsia="zh-CN"/>
        </w:rPr>
      </w:pPr>
      <w:r>
        <w:rPr>
          <w:rFonts w:hint="eastAsia"/>
          <w:b/>
          <w:bCs/>
          <w:color w:val="auto"/>
          <w:u w:val="single"/>
          <w:lang w:val="en-US" w:eastAsia="zh-CN"/>
        </w:rPr>
        <w:t>*</w:t>
      </w:r>
    </w:p>
    <w:p w14:paraId="686B2334">
      <w:pPr>
        <w:bidi w:val="0"/>
        <w:rPr>
          <w:rFonts w:hint="default"/>
          <w:b/>
          <w:bCs/>
          <w:color w:val="auto"/>
          <w:u w:val="single"/>
          <w:lang w:val="en-US" w:eastAsia="zh-CN"/>
        </w:rPr>
      </w:pPr>
      <w:r>
        <w:rPr>
          <w:rFonts w:hint="eastAsia"/>
          <w:b/>
          <w:bCs/>
          <w:color w:val="auto"/>
          <w:u w:val="single"/>
          <w:lang w:val="en-US" w:eastAsia="zh-CN"/>
        </w:rPr>
        <w:t>*</w:t>
      </w:r>
    </w:p>
    <w:p w14:paraId="0E8B92EF">
      <w:pPr>
        <w:bidi w:val="0"/>
        <w:rPr>
          <w:rFonts w:hint="eastAsia"/>
          <w:b/>
          <w:bCs/>
          <w:color w:val="auto"/>
          <w:u w:val="single"/>
          <w:lang w:val="en-US" w:eastAsia="zh-CN"/>
        </w:rPr>
      </w:pPr>
      <w:r>
        <w:rPr>
          <w:rFonts w:hint="eastAsia"/>
          <w:b/>
          <w:bCs/>
          <w:color w:val="auto"/>
          <w:u w:val="single"/>
          <w:lang w:val="en-US" w:eastAsia="zh-CN"/>
        </w:rPr>
        <w:t>*</w:t>
      </w:r>
    </w:p>
    <w:p w14:paraId="3C1D383D">
      <w:pPr>
        <w:bidi w:val="0"/>
        <w:rPr>
          <w:rFonts w:hint="default"/>
          <w:b/>
          <w:bCs/>
          <w:color w:val="auto"/>
          <w:u w:val="single"/>
          <w:lang w:val="en-US" w:eastAsia="zh-CN"/>
        </w:rPr>
      </w:pPr>
      <w:r>
        <w:rPr>
          <w:rFonts w:hint="eastAsia"/>
          <w:b/>
          <w:bCs/>
          <w:color w:val="auto"/>
          <w:u w:val="single"/>
          <w:lang w:val="en-US" w:eastAsia="zh-CN"/>
        </w:rPr>
        <w:t>*</w:t>
      </w:r>
    </w:p>
    <w:p w14:paraId="3DBE1EA9">
      <w:pPr>
        <w:bidi w:val="0"/>
        <w:rPr>
          <w:rFonts w:hint="eastAsia"/>
          <w:b/>
          <w:bCs/>
          <w:color w:val="auto"/>
          <w:u w:val="single"/>
          <w:lang w:val="en-US" w:eastAsia="zh-CN"/>
        </w:rPr>
      </w:pPr>
      <w:r>
        <w:rPr>
          <w:rFonts w:hint="eastAsia"/>
          <w:b/>
          <w:bCs/>
          <w:color w:val="auto"/>
          <w:u w:val="single"/>
          <w:lang w:val="en-US" w:eastAsia="zh-CN"/>
        </w:rPr>
        <w:t>*</w:t>
      </w:r>
    </w:p>
    <w:p w14:paraId="6DB93BD6">
      <w:pPr>
        <w:bidi w:val="0"/>
        <w:rPr>
          <w:rFonts w:hint="default"/>
          <w:b/>
          <w:bCs/>
          <w:color w:val="auto"/>
          <w:u w:val="single"/>
          <w:lang w:val="en-US" w:eastAsia="zh-CN"/>
        </w:rPr>
      </w:pPr>
      <w:r>
        <w:rPr>
          <w:rFonts w:hint="eastAsia"/>
          <w:b/>
          <w:bCs/>
          <w:color w:val="auto"/>
          <w:u w:val="single"/>
          <w:lang w:val="en-US" w:eastAsia="zh-CN"/>
        </w:rPr>
        <w:t>*</w:t>
      </w:r>
    </w:p>
    <w:p w14:paraId="5B70DD58">
      <w:pPr>
        <w:bidi w:val="0"/>
        <w:rPr>
          <w:rFonts w:hint="eastAsia"/>
          <w:b/>
          <w:bCs/>
          <w:color w:val="auto"/>
          <w:u w:val="single"/>
          <w:lang w:val="en-US" w:eastAsia="zh-CN"/>
        </w:rPr>
      </w:pPr>
      <w:r>
        <w:rPr>
          <w:rFonts w:hint="eastAsia"/>
          <w:b/>
          <w:bCs/>
          <w:color w:val="auto"/>
          <w:u w:val="single"/>
          <w:lang w:val="en-US" w:eastAsia="zh-CN"/>
        </w:rPr>
        <w:t>*</w:t>
      </w:r>
    </w:p>
    <w:p w14:paraId="4DF561D5">
      <w:pPr>
        <w:bidi w:val="0"/>
        <w:rPr>
          <w:rFonts w:hint="default"/>
          <w:b/>
          <w:bCs/>
          <w:color w:val="auto"/>
          <w:u w:val="single"/>
          <w:lang w:val="en-US" w:eastAsia="zh-CN"/>
        </w:rPr>
      </w:pPr>
      <w:r>
        <w:rPr>
          <w:rFonts w:hint="eastAsia"/>
          <w:b/>
          <w:bCs/>
          <w:color w:val="auto"/>
          <w:u w:val="single"/>
          <w:lang w:val="en-US" w:eastAsia="zh-CN"/>
        </w:rPr>
        <w:t>*</w:t>
      </w:r>
    </w:p>
    <w:p w14:paraId="1F19EF7D">
      <w:pPr>
        <w:bidi w:val="0"/>
        <w:rPr>
          <w:rFonts w:hint="eastAsia"/>
          <w:b/>
          <w:bCs/>
          <w:color w:val="auto"/>
          <w:u w:val="single"/>
          <w:lang w:val="en-US" w:eastAsia="zh-CN"/>
        </w:rPr>
      </w:pPr>
      <w:r>
        <w:rPr>
          <w:rFonts w:hint="eastAsia"/>
          <w:b/>
          <w:bCs/>
          <w:color w:val="auto"/>
          <w:u w:val="single"/>
          <w:lang w:val="en-US" w:eastAsia="zh-CN"/>
        </w:rPr>
        <w:t>*</w:t>
      </w:r>
    </w:p>
    <w:p w14:paraId="405F0964">
      <w:pPr>
        <w:bidi w:val="0"/>
        <w:rPr>
          <w:rFonts w:hint="default"/>
          <w:b/>
          <w:bCs/>
          <w:color w:val="auto"/>
          <w:u w:val="single"/>
          <w:lang w:val="en-US" w:eastAsia="zh-CN"/>
        </w:rPr>
      </w:pPr>
      <w:r>
        <w:rPr>
          <w:rFonts w:hint="eastAsia"/>
          <w:b/>
          <w:bCs/>
          <w:color w:val="auto"/>
          <w:u w:val="single"/>
          <w:lang w:val="en-US" w:eastAsia="zh-CN"/>
        </w:rPr>
        <w:t>*</w:t>
      </w:r>
    </w:p>
    <w:p w14:paraId="777B922D">
      <w:pPr>
        <w:bidi w:val="0"/>
        <w:rPr>
          <w:rFonts w:hint="eastAsia"/>
          <w:b/>
          <w:bCs/>
          <w:color w:val="auto"/>
          <w:u w:val="single"/>
          <w:lang w:val="en-US" w:eastAsia="zh-CN"/>
        </w:rPr>
      </w:pPr>
      <w:r>
        <w:rPr>
          <w:rFonts w:hint="eastAsia"/>
          <w:b/>
          <w:bCs/>
          <w:color w:val="auto"/>
          <w:u w:val="single"/>
          <w:lang w:val="en-US" w:eastAsia="zh-CN"/>
        </w:rPr>
        <w:t>*</w:t>
      </w:r>
    </w:p>
    <w:p w14:paraId="4C1A2ED3">
      <w:pPr>
        <w:bidi w:val="0"/>
        <w:rPr>
          <w:rFonts w:hint="default"/>
          <w:b/>
          <w:bCs/>
          <w:color w:val="auto"/>
          <w:u w:val="single"/>
          <w:lang w:val="en-US" w:eastAsia="zh-CN"/>
        </w:rPr>
      </w:pPr>
      <w:r>
        <w:rPr>
          <w:rFonts w:hint="eastAsia"/>
          <w:b/>
          <w:bCs/>
          <w:color w:val="auto"/>
          <w:u w:val="single"/>
          <w:lang w:val="en-US" w:eastAsia="zh-CN"/>
        </w:rPr>
        <w:t>*</w:t>
      </w:r>
    </w:p>
    <w:p w14:paraId="136A6A46">
      <w:pPr>
        <w:bidi w:val="0"/>
        <w:rPr>
          <w:rFonts w:hint="eastAsia"/>
          <w:b/>
          <w:bCs/>
          <w:color w:val="auto"/>
          <w:u w:val="single"/>
          <w:lang w:val="en-US" w:eastAsia="zh-CN"/>
        </w:rPr>
      </w:pPr>
      <w:r>
        <w:rPr>
          <w:rFonts w:hint="eastAsia"/>
          <w:b/>
          <w:bCs/>
          <w:color w:val="auto"/>
          <w:u w:val="single"/>
          <w:lang w:val="en-US" w:eastAsia="zh-CN"/>
        </w:rPr>
        <w:t>*</w:t>
      </w:r>
    </w:p>
    <w:p w14:paraId="53FD4582">
      <w:pPr>
        <w:bidi w:val="0"/>
        <w:rPr>
          <w:rFonts w:hint="default"/>
          <w:b/>
          <w:bCs/>
          <w:color w:val="auto"/>
          <w:u w:val="single"/>
          <w:lang w:val="en-US" w:eastAsia="zh-CN"/>
        </w:rPr>
      </w:pPr>
      <w:r>
        <w:rPr>
          <w:rFonts w:hint="eastAsia"/>
          <w:b/>
          <w:bCs/>
          <w:color w:val="auto"/>
          <w:u w:val="single"/>
          <w:lang w:val="en-US" w:eastAsia="zh-CN"/>
        </w:rPr>
        <w:t>*</w:t>
      </w:r>
    </w:p>
    <w:p w14:paraId="599B5EEF">
      <w:pPr>
        <w:bidi w:val="0"/>
        <w:rPr>
          <w:rFonts w:hint="eastAsia"/>
          <w:b/>
          <w:bCs/>
          <w:color w:val="auto"/>
          <w:u w:val="single"/>
          <w:lang w:val="en-US" w:eastAsia="zh-CN"/>
        </w:rPr>
      </w:pPr>
      <w:r>
        <w:rPr>
          <w:rFonts w:hint="eastAsia"/>
          <w:b/>
          <w:bCs/>
          <w:color w:val="auto"/>
          <w:u w:val="single"/>
          <w:lang w:val="en-US" w:eastAsia="zh-CN"/>
        </w:rPr>
        <w:t>。</w:t>
      </w:r>
    </w:p>
    <w:p w14:paraId="1FCB553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Cs/>
          <w:color w:val="auto"/>
          <w:highlight w:val="none"/>
        </w:rPr>
      </w:pPr>
    </w:p>
    <w:p w14:paraId="60812F9D">
      <w:pPr>
        <w:pStyle w:val="6"/>
        <w:bidi w:val="0"/>
      </w:pPr>
      <w:r>
        <w:rPr>
          <w:rFonts w:hint="eastAsia"/>
        </w:rPr>
        <w:t>供电</w:t>
      </w:r>
    </w:p>
    <w:p w14:paraId="0757FF7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highlight w:val="yellow"/>
        </w:rPr>
      </w:pPr>
      <w:r>
        <w:rPr>
          <w:rFonts w:hint="eastAsia"/>
          <w:color w:val="auto"/>
        </w:rPr>
        <w:t>经开区现状有三处变电站，其中110KV彩虹变和110KV白鹭变，电源接自220KV古固寨变；110KV氨纶变T接自林彩线，可以为进区企业提供生产、生活用电。</w:t>
      </w:r>
    </w:p>
    <w:p w14:paraId="58B7585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highlight w:val="yellow"/>
        </w:rPr>
      </w:pPr>
      <w:r>
        <w:rPr>
          <w:rFonts w:hint="eastAsia"/>
          <w:color w:val="auto"/>
        </w:rPr>
        <w:t>110KV白鹭变电站建于2005年，位于公司现有厂区中部，配置31500KVA变压器两台、20000KVA变压器一台，主要供厂区早期建设的生产车间使用。本项目建设地址与该变电站较近，按照目前使用情况及项目规划，110kV白鹭变电站完全能够满足本项目用电需要。</w:t>
      </w:r>
    </w:p>
    <w:p w14:paraId="2F342550">
      <w:pPr>
        <w:pStyle w:val="6"/>
        <w:bidi w:val="0"/>
      </w:pPr>
      <w:r>
        <w:rPr>
          <w:rFonts w:hint="eastAsia"/>
        </w:rPr>
        <w:t>供热</w:t>
      </w:r>
    </w:p>
    <w:p w14:paraId="005AE46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本项目</w:t>
      </w:r>
      <w:r>
        <w:rPr>
          <w:rFonts w:hint="eastAsia"/>
          <w:color w:val="auto"/>
          <w:lang w:val="en-US" w:eastAsia="zh-CN"/>
        </w:rPr>
        <w:t>胶液输送过程、干燥、蒸发回收</w:t>
      </w:r>
      <w:r>
        <w:rPr>
          <w:rFonts w:hint="eastAsia"/>
          <w:color w:val="auto"/>
        </w:rPr>
        <w:t>等工序需要蒸汽作为热源加热。用热负荷详见</w:t>
      </w:r>
      <w:r>
        <w:rPr>
          <w:rFonts w:hint="eastAsia"/>
          <w:color w:val="auto"/>
          <w:lang w:val="en-US" w:eastAsia="zh-CN"/>
        </w:rPr>
        <w:t>下表</w:t>
      </w:r>
      <w:r>
        <w:rPr>
          <w:rFonts w:hint="eastAsia"/>
          <w:color w:val="auto"/>
        </w:rPr>
        <w:t>。</w:t>
      </w:r>
    </w:p>
    <w:p w14:paraId="1F359034">
      <w:pPr>
        <w:pStyle w:val="10"/>
        <w:bidi w:val="0"/>
      </w:pPr>
      <w:r>
        <w:t xml:space="preserve">表 </w:t>
      </w:r>
      <w:r>
        <w:fldChar w:fldCharType="begin"/>
      </w:r>
      <w:r>
        <w:instrText xml:space="preserve"> STYLEREF 2 \s </w:instrText>
      </w:r>
      <w:r>
        <w:fldChar w:fldCharType="separate"/>
      </w:r>
      <w:r>
        <w:t>4.1</w:t>
      </w:r>
      <w:r>
        <w:fldChar w:fldCharType="end"/>
      </w:r>
      <w:r>
        <w:rPr>
          <w:rFonts w:hint="eastAsia"/>
          <w:lang w:eastAsia="zh-CN"/>
        </w:rPr>
        <w:t>-</w:t>
      </w:r>
      <w:r>
        <w:fldChar w:fldCharType="begin"/>
      </w:r>
      <w:r>
        <w:instrText xml:space="preserve"> SEQ 表 \* ARABIC \s 2 </w:instrText>
      </w:r>
      <w:r>
        <w:fldChar w:fldCharType="separate"/>
      </w:r>
      <w:r>
        <w:t>14</w:t>
      </w:r>
      <w:r>
        <w:fldChar w:fldCharType="end"/>
      </w:r>
      <w:r>
        <w:rPr>
          <w:rFonts w:hint="eastAsia"/>
          <w:lang w:val="en-US" w:eastAsia="zh-CN"/>
        </w:rPr>
        <w:t xml:space="preserve"> </w:t>
      </w:r>
      <w:r>
        <w:rPr>
          <w:rFonts w:hint="eastAsia"/>
        </w:rPr>
        <w:t>项目热负荷一览表</w:t>
      </w:r>
    </w:p>
    <w:tbl>
      <w:tblPr>
        <w:tblStyle w:val="3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2"/>
        <w:gridCol w:w="1453"/>
        <w:gridCol w:w="2415"/>
        <w:gridCol w:w="1813"/>
        <w:gridCol w:w="1374"/>
        <w:gridCol w:w="933"/>
      </w:tblGrid>
      <w:tr w14:paraId="7B84A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14:paraId="4A6174F4">
            <w:pPr>
              <w:pStyle w:val="182"/>
              <w:bidi w:val="0"/>
              <w:rPr>
                <w:b w:val="0"/>
                <w:bCs w:val="0"/>
                <w:color w:val="auto"/>
                <w:u w:val="none"/>
              </w:rPr>
            </w:pPr>
            <w:r>
              <w:rPr>
                <w:rFonts w:hint="eastAsia"/>
                <w:b w:val="0"/>
                <w:bCs w:val="0"/>
                <w:color w:val="auto"/>
                <w:u w:val="none"/>
              </w:rPr>
              <w:t>序号</w:t>
            </w:r>
          </w:p>
        </w:tc>
        <w:tc>
          <w:tcPr>
            <w:tcW w:w="807" w:type="pct"/>
            <w:vAlign w:val="center"/>
          </w:tcPr>
          <w:p w14:paraId="4E687902">
            <w:pPr>
              <w:pStyle w:val="182"/>
              <w:bidi w:val="0"/>
              <w:rPr>
                <w:b w:val="0"/>
                <w:bCs w:val="0"/>
                <w:color w:val="auto"/>
                <w:u w:val="none"/>
              </w:rPr>
            </w:pPr>
            <w:r>
              <w:rPr>
                <w:rFonts w:hint="eastAsia"/>
                <w:b w:val="0"/>
                <w:bCs w:val="0"/>
                <w:color w:val="auto"/>
                <w:u w:val="none"/>
              </w:rPr>
              <w:t>用热单元</w:t>
            </w:r>
          </w:p>
        </w:tc>
        <w:tc>
          <w:tcPr>
            <w:tcW w:w="1341" w:type="pct"/>
            <w:vAlign w:val="center"/>
          </w:tcPr>
          <w:p w14:paraId="5DDB47E0">
            <w:pPr>
              <w:pStyle w:val="182"/>
              <w:bidi w:val="0"/>
              <w:rPr>
                <w:b w:val="0"/>
                <w:bCs w:val="0"/>
                <w:color w:val="auto"/>
                <w:u w:val="none"/>
              </w:rPr>
            </w:pPr>
            <w:r>
              <w:rPr>
                <w:rFonts w:hint="eastAsia"/>
                <w:b w:val="0"/>
                <w:bCs w:val="0"/>
                <w:color w:val="auto"/>
                <w:u w:val="none"/>
              </w:rPr>
              <w:t>平均用汽量（t/</w:t>
            </w:r>
            <w:r>
              <w:rPr>
                <w:rFonts w:hint="eastAsia"/>
                <w:b w:val="0"/>
                <w:bCs w:val="0"/>
                <w:color w:val="auto"/>
                <w:u w:val="none"/>
                <w:lang w:val="en-US" w:eastAsia="zh-CN"/>
              </w:rPr>
              <w:t>t产品</w:t>
            </w:r>
            <w:r>
              <w:rPr>
                <w:rFonts w:hint="eastAsia"/>
                <w:b w:val="0"/>
                <w:bCs w:val="0"/>
                <w:color w:val="auto"/>
                <w:u w:val="none"/>
              </w:rPr>
              <w:t>）</w:t>
            </w:r>
          </w:p>
        </w:tc>
        <w:tc>
          <w:tcPr>
            <w:tcW w:w="1007" w:type="pct"/>
            <w:vAlign w:val="center"/>
          </w:tcPr>
          <w:p w14:paraId="4C6A2927">
            <w:pPr>
              <w:pStyle w:val="182"/>
              <w:bidi w:val="0"/>
              <w:rPr>
                <w:b w:val="0"/>
                <w:bCs w:val="0"/>
                <w:color w:val="auto"/>
                <w:u w:val="none"/>
              </w:rPr>
            </w:pPr>
            <w:r>
              <w:rPr>
                <w:rFonts w:hint="eastAsia"/>
                <w:b w:val="0"/>
                <w:bCs w:val="0"/>
                <w:color w:val="auto"/>
                <w:u w:val="none"/>
              </w:rPr>
              <w:t>用汽量</w:t>
            </w:r>
            <w:r>
              <w:rPr>
                <w:rFonts w:hint="eastAsia"/>
                <w:b w:val="0"/>
                <w:bCs w:val="0"/>
                <w:color w:val="auto"/>
                <w:u w:val="none"/>
                <w:lang w:eastAsia="zh-CN"/>
              </w:rPr>
              <w:t>(</w:t>
            </w:r>
            <w:r>
              <w:rPr>
                <w:rFonts w:hint="eastAsia"/>
                <w:b w:val="0"/>
                <w:bCs w:val="0"/>
                <w:color w:val="auto"/>
                <w:u w:val="none"/>
              </w:rPr>
              <w:t>t/</w:t>
            </w:r>
            <w:r>
              <w:rPr>
                <w:rFonts w:hint="eastAsia"/>
                <w:b w:val="0"/>
                <w:bCs w:val="0"/>
                <w:color w:val="auto"/>
                <w:u w:val="none"/>
                <w:lang w:val="en-US" w:eastAsia="zh-CN"/>
              </w:rPr>
              <w:t>h</w:t>
            </w:r>
            <w:r>
              <w:rPr>
                <w:rFonts w:hint="eastAsia"/>
                <w:b w:val="0"/>
                <w:bCs w:val="0"/>
                <w:color w:val="auto"/>
                <w:u w:val="none"/>
              </w:rPr>
              <w:t xml:space="preserve">) </w:t>
            </w:r>
          </w:p>
        </w:tc>
        <w:tc>
          <w:tcPr>
            <w:tcW w:w="763" w:type="pct"/>
            <w:vAlign w:val="center"/>
          </w:tcPr>
          <w:p w14:paraId="24CFDE64">
            <w:pPr>
              <w:pStyle w:val="182"/>
              <w:bidi w:val="0"/>
              <w:rPr>
                <w:b w:val="0"/>
                <w:bCs w:val="0"/>
                <w:color w:val="auto"/>
                <w:u w:val="none"/>
              </w:rPr>
            </w:pPr>
            <w:r>
              <w:rPr>
                <w:rFonts w:hint="eastAsia"/>
                <w:b w:val="0"/>
                <w:bCs w:val="0"/>
                <w:color w:val="auto"/>
                <w:u w:val="none"/>
              </w:rPr>
              <w:t>表压</w:t>
            </w:r>
            <w:r>
              <w:rPr>
                <w:rFonts w:hint="eastAsia"/>
                <w:b w:val="0"/>
                <w:bCs w:val="0"/>
                <w:color w:val="auto"/>
                <w:u w:val="none"/>
                <w:lang w:eastAsia="zh-CN"/>
              </w:rPr>
              <w:t>(</w:t>
            </w:r>
            <w:r>
              <w:rPr>
                <w:rFonts w:hint="eastAsia"/>
                <w:b w:val="0"/>
                <w:bCs w:val="0"/>
                <w:color w:val="auto"/>
                <w:u w:val="none"/>
              </w:rPr>
              <w:t>MPa)</w:t>
            </w:r>
          </w:p>
        </w:tc>
        <w:tc>
          <w:tcPr>
            <w:tcW w:w="518" w:type="pct"/>
            <w:vAlign w:val="center"/>
          </w:tcPr>
          <w:p w14:paraId="0532DD7B">
            <w:pPr>
              <w:pStyle w:val="182"/>
              <w:bidi w:val="0"/>
              <w:rPr>
                <w:b w:val="0"/>
                <w:bCs w:val="0"/>
                <w:color w:val="auto"/>
                <w:u w:val="none"/>
              </w:rPr>
            </w:pPr>
            <w:r>
              <w:rPr>
                <w:rFonts w:hint="eastAsia"/>
                <w:b w:val="0"/>
                <w:bCs w:val="0"/>
                <w:color w:val="auto"/>
                <w:u w:val="none"/>
              </w:rPr>
              <w:t>备注</w:t>
            </w:r>
          </w:p>
        </w:tc>
      </w:tr>
      <w:tr w14:paraId="15E7D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14:paraId="083414A0">
            <w:pPr>
              <w:pStyle w:val="182"/>
              <w:bidi w:val="0"/>
              <w:rPr>
                <w:b w:val="0"/>
                <w:bCs w:val="0"/>
                <w:color w:val="auto"/>
                <w:u w:val="none"/>
              </w:rPr>
            </w:pPr>
            <w:r>
              <w:rPr>
                <w:rFonts w:hint="eastAsia"/>
                <w:b w:val="0"/>
                <w:bCs w:val="0"/>
                <w:color w:val="auto"/>
                <w:u w:val="none"/>
              </w:rPr>
              <w:t>1</w:t>
            </w:r>
          </w:p>
        </w:tc>
        <w:tc>
          <w:tcPr>
            <w:tcW w:w="807" w:type="pct"/>
            <w:vAlign w:val="center"/>
          </w:tcPr>
          <w:p w14:paraId="48133394">
            <w:pPr>
              <w:pStyle w:val="182"/>
              <w:bidi w:val="0"/>
              <w:rPr>
                <w:rFonts w:hint="default" w:eastAsia="宋体"/>
                <w:b w:val="0"/>
                <w:bCs w:val="0"/>
                <w:color w:val="auto"/>
                <w:u w:val="none"/>
                <w:lang w:val="en-US" w:eastAsia="zh-CN"/>
              </w:rPr>
            </w:pPr>
            <w:r>
              <w:rPr>
                <w:rFonts w:hint="eastAsia"/>
                <w:b w:val="0"/>
                <w:bCs w:val="0"/>
                <w:color w:val="auto"/>
                <w:u w:val="none"/>
                <w:lang w:val="en-US" w:eastAsia="zh-CN"/>
              </w:rPr>
              <w:t>溶解及输送</w:t>
            </w:r>
          </w:p>
        </w:tc>
        <w:tc>
          <w:tcPr>
            <w:tcW w:w="1341" w:type="pct"/>
            <w:vAlign w:val="center"/>
          </w:tcPr>
          <w:p w14:paraId="6BCF009A">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007" w:type="pct"/>
            <w:vAlign w:val="center"/>
          </w:tcPr>
          <w:p w14:paraId="3193715F">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63" w:type="pct"/>
            <w:vAlign w:val="center"/>
          </w:tcPr>
          <w:p w14:paraId="0042893B">
            <w:pPr>
              <w:pStyle w:val="182"/>
              <w:bidi w:val="0"/>
              <w:rPr>
                <w:rFonts w:hint="default"/>
                <w:b w:val="0"/>
                <w:bCs w:val="0"/>
                <w:color w:val="auto"/>
                <w:u w:val="none"/>
                <w:lang w:val="en-US" w:eastAsia="zh-CN"/>
              </w:rPr>
            </w:pPr>
            <w:r>
              <w:rPr>
                <w:rFonts w:hint="eastAsia"/>
                <w:b w:val="0"/>
                <w:bCs w:val="0"/>
                <w:color w:val="auto"/>
                <w:u w:val="none"/>
                <w:lang w:val="en-US" w:eastAsia="zh-CN"/>
              </w:rPr>
              <w:t>0.685</w:t>
            </w:r>
          </w:p>
        </w:tc>
        <w:tc>
          <w:tcPr>
            <w:tcW w:w="518" w:type="pct"/>
            <w:vAlign w:val="center"/>
          </w:tcPr>
          <w:p w14:paraId="6963AE57">
            <w:pPr>
              <w:pStyle w:val="182"/>
              <w:bidi w:val="0"/>
              <w:rPr>
                <w:b w:val="0"/>
                <w:bCs w:val="0"/>
                <w:color w:val="auto"/>
                <w:u w:val="none"/>
              </w:rPr>
            </w:pPr>
          </w:p>
        </w:tc>
      </w:tr>
      <w:tr w14:paraId="2DC42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14:paraId="5FDB1DFA">
            <w:pPr>
              <w:pStyle w:val="182"/>
              <w:bidi w:val="0"/>
              <w:rPr>
                <w:b w:val="0"/>
                <w:bCs w:val="0"/>
                <w:color w:val="auto"/>
                <w:u w:val="none"/>
              </w:rPr>
            </w:pPr>
            <w:r>
              <w:rPr>
                <w:rFonts w:hint="eastAsia"/>
                <w:b w:val="0"/>
                <w:bCs w:val="0"/>
                <w:color w:val="auto"/>
                <w:u w:val="none"/>
              </w:rPr>
              <w:t>2</w:t>
            </w:r>
          </w:p>
        </w:tc>
        <w:tc>
          <w:tcPr>
            <w:tcW w:w="807" w:type="pct"/>
            <w:vAlign w:val="center"/>
          </w:tcPr>
          <w:p w14:paraId="31DD9232">
            <w:pPr>
              <w:pStyle w:val="182"/>
              <w:bidi w:val="0"/>
              <w:rPr>
                <w:rFonts w:hint="default" w:eastAsia="宋体"/>
                <w:b w:val="0"/>
                <w:bCs w:val="0"/>
                <w:color w:val="auto"/>
                <w:u w:val="none"/>
                <w:lang w:val="en-US" w:eastAsia="zh-CN"/>
              </w:rPr>
            </w:pPr>
            <w:r>
              <w:rPr>
                <w:rFonts w:hint="eastAsia"/>
                <w:b w:val="0"/>
                <w:bCs w:val="0"/>
                <w:color w:val="auto"/>
                <w:u w:val="none"/>
                <w:lang w:val="en-US" w:eastAsia="zh-CN"/>
              </w:rPr>
              <w:t>过滤及输送</w:t>
            </w:r>
          </w:p>
        </w:tc>
        <w:tc>
          <w:tcPr>
            <w:tcW w:w="1341" w:type="pct"/>
            <w:vAlign w:val="center"/>
          </w:tcPr>
          <w:p w14:paraId="7907D045">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007" w:type="pct"/>
            <w:vAlign w:val="center"/>
          </w:tcPr>
          <w:p w14:paraId="098E6D42">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63" w:type="pct"/>
            <w:vAlign w:val="center"/>
          </w:tcPr>
          <w:p w14:paraId="16294EC5">
            <w:pPr>
              <w:pStyle w:val="182"/>
              <w:bidi w:val="0"/>
              <w:rPr>
                <w:rFonts w:hint="eastAsia"/>
                <w:b w:val="0"/>
                <w:bCs w:val="0"/>
                <w:color w:val="auto"/>
                <w:u w:val="none"/>
                <w:lang w:val="en-US" w:eastAsia="zh-CN"/>
              </w:rPr>
            </w:pPr>
            <w:r>
              <w:rPr>
                <w:rFonts w:hint="eastAsia"/>
                <w:b w:val="0"/>
                <w:bCs w:val="0"/>
                <w:color w:val="auto"/>
                <w:u w:val="none"/>
                <w:lang w:val="en-US" w:eastAsia="zh-CN"/>
              </w:rPr>
              <w:t>0.685</w:t>
            </w:r>
          </w:p>
        </w:tc>
        <w:tc>
          <w:tcPr>
            <w:tcW w:w="518" w:type="pct"/>
            <w:vAlign w:val="center"/>
          </w:tcPr>
          <w:p w14:paraId="1859DC4A">
            <w:pPr>
              <w:pStyle w:val="182"/>
              <w:bidi w:val="0"/>
              <w:rPr>
                <w:b w:val="0"/>
                <w:bCs w:val="0"/>
                <w:color w:val="auto"/>
                <w:u w:val="none"/>
              </w:rPr>
            </w:pPr>
          </w:p>
        </w:tc>
      </w:tr>
      <w:tr w14:paraId="317E7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14:paraId="70AAC100">
            <w:pPr>
              <w:pStyle w:val="182"/>
              <w:bidi w:val="0"/>
              <w:ind w:firstLine="0" w:firstLineChars="0"/>
              <w:rPr>
                <w:rFonts w:hint="eastAsia"/>
                <w:b w:val="0"/>
                <w:bCs w:val="0"/>
                <w:color w:val="auto"/>
                <w:u w:val="none"/>
              </w:rPr>
            </w:pPr>
            <w:r>
              <w:rPr>
                <w:rFonts w:hint="eastAsia"/>
                <w:b w:val="0"/>
                <w:bCs w:val="0"/>
                <w:color w:val="auto"/>
                <w:u w:val="none"/>
                <w:lang w:val="en-US" w:eastAsia="zh-CN"/>
              </w:rPr>
              <w:t>3</w:t>
            </w:r>
          </w:p>
        </w:tc>
        <w:tc>
          <w:tcPr>
            <w:tcW w:w="807" w:type="pct"/>
            <w:vAlign w:val="center"/>
          </w:tcPr>
          <w:p w14:paraId="15D59A90">
            <w:pPr>
              <w:pStyle w:val="182"/>
              <w:bidi w:val="0"/>
              <w:rPr>
                <w:rFonts w:hint="default"/>
                <w:b w:val="0"/>
                <w:bCs w:val="0"/>
                <w:color w:val="auto"/>
                <w:u w:val="none"/>
                <w:lang w:val="en-US" w:eastAsia="zh-CN"/>
              </w:rPr>
            </w:pPr>
            <w:r>
              <w:rPr>
                <w:rFonts w:hint="eastAsia"/>
                <w:b w:val="0"/>
                <w:bCs w:val="0"/>
                <w:color w:val="auto"/>
                <w:u w:val="none"/>
                <w:lang w:val="en-US" w:eastAsia="zh-CN"/>
              </w:rPr>
              <w:t>纺丝干燥</w:t>
            </w:r>
          </w:p>
        </w:tc>
        <w:tc>
          <w:tcPr>
            <w:tcW w:w="1341" w:type="pct"/>
            <w:vAlign w:val="center"/>
          </w:tcPr>
          <w:p w14:paraId="43C47EB4">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007" w:type="pct"/>
            <w:vAlign w:val="center"/>
          </w:tcPr>
          <w:p w14:paraId="04E4C642">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63" w:type="pct"/>
            <w:vAlign w:val="center"/>
          </w:tcPr>
          <w:p w14:paraId="2C05FB0C">
            <w:pPr>
              <w:pStyle w:val="182"/>
              <w:bidi w:val="0"/>
              <w:rPr>
                <w:rFonts w:hint="eastAsia"/>
                <w:b w:val="0"/>
                <w:bCs w:val="0"/>
                <w:color w:val="auto"/>
                <w:u w:val="none"/>
                <w:lang w:val="en-US" w:eastAsia="zh-CN"/>
              </w:rPr>
            </w:pPr>
            <w:r>
              <w:rPr>
                <w:rFonts w:hint="eastAsia"/>
                <w:b w:val="0"/>
                <w:bCs w:val="0"/>
                <w:color w:val="auto"/>
                <w:u w:val="none"/>
                <w:lang w:val="en-US" w:eastAsia="zh-CN"/>
              </w:rPr>
              <w:t>0.685</w:t>
            </w:r>
          </w:p>
        </w:tc>
        <w:tc>
          <w:tcPr>
            <w:tcW w:w="518" w:type="pct"/>
            <w:vAlign w:val="center"/>
          </w:tcPr>
          <w:p w14:paraId="200430FA">
            <w:pPr>
              <w:pStyle w:val="182"/>
              <w:bidi w:val="0"/>
              <w:rPr>
                <w:b w:val="0"/>
                <w:bCs w:val="0"/>
                <w:color w:val="auto"/>
                <w:u w:val="none"/>
              </w:rPr>
            </w:pPr>
          </w:p>
        </w:tc>
      </w:tr>
      <w:tr w14:paraId="29F43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14:paraId="14E7E800">
            <w:pPr>
              <w:pStyle w:val="182"/>
              <w:bidi w:val="0"/>
              <w:ind w:firstLine="0" w:firstLineChars="0"/>
              <w:rPr>
                <w:rFonts w:hint="eastAsia" w:eastAsia="宋体"/>
                <w:b w:val="0"/>
                <w:bCs w:val="0"/>
                <w:color w:val="auto"/>
                <w:u w:val="none"/>
                <w:lang w:val="en-US" w:eastAsia="zh-CN"/>
              </w:rPr>
            </w:pPr>
            <w:r>
              <w:rPr>
                <w:rFonts w:hint="eastAsia"/>
                <w:b w:val="0"/>
                <w:bCs w:val="0"/>
                <w:color w:val="auto"/>
                <w:u w:val="none"/>
                <w:lang w:val="en-US" w:eastAsia="zh-CN"/>
              </w:rPr>
              <w:t>4</w:t>
            </w:r>
          </w:p>
        </w:tc>
        <w:tc>
          <w:tcPr>
            <w:tcW w:w="807" w:type="pct"/>
            <w:vAlign w:val="center"/>
          </w:tcPr>
          <w:p w14:paraId="741AB2B6">
            <w:pPr>
              <w:pStyle w:val="182"/>
              <w:bidi w:val="0"/>
              <w:rPr>
                <w:rFonts w:hint="default"/>
                <w:b w:val="0"/>
                <w:bCs w:val="0"/>
                <w:color w:val="auto"/>
                <w:u w:val="none"/>
                <w:lang w:val="en-US" w:eastAsia="zh-CN"/>
              </w:rPr>
            </w:pPr>
            <w:r>
              <w:rPr>
                <w:rFonts w:hint="eastAsia"/>
                <w:b w:val="0"/>
                <w:bCs w:val="0"/>
                <w:color w:val="auto"/>
                <w:u w:val="none"/>
                <w:lang w:val="en-US" w:eastAsia="zh-CN"/>
              </w:rPr>
              <w:t>溶剂回收蒸发浓缩</w:t>
            </w:r>
          </w:p>
        </w:tc>
        <w:tc>
          <w:tcPr>
            <w:tcW w:w="1341" w:type="pct"/>
            <w:vAlign w:val="center"/>
          </w:tcPr>
          <w:p w14:paraId="0D7BE2FE">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007" w:type="pct"/>
            <w:vAlign w:val="center"/>
          </w:tcPr>
          <w:p w14:paraId="5C8D8140">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63" w:type="pct"/>
            <w:vAlign w:val="center"/>
          </w:tcPr>
          <w:p w14:paraId="09F7E2D1">
            <w:pPr>
              <w:pStyle w:val="182"/>
              <w:bidi w:val="0"/>
              <w:rPr>
                <w:rFonts w:hint="default"/>
                <w:b w:val="0"/>
                <w:bCs w:val="0"/>
                <w:color w:val="auto"/>
                <w:u w:val="none"/>
                <w:lang w:val="en-US" w:eastAsia="zh-CN"/>
              </w:rPr>
            </w:pPr>
            <w:r>
              <w:rPr>
                <w:rFonts w:hint="eastAsia"/>
                <w:b w:val="0"/>
                <w:bCs w:val="0"/>
                <w:color w:val="auto"/>
                <w:u w:val="none"/>
                <w:lang w:val="en-US" w:eastAsia="zh-CN"/>
              </w:rPr>
              <w:t>0.685</w:t>
            </w:r>
          </w:p>
        </w:tc>
        <w:tc>
          <w:tcPr>
            <w:tcW w:w="518" w:type="pct"/>
            <w:vAlign w:val="center"/>
          </w:tcPr>
          <w:p w14:paraId="6B66C6FC">
            <w:pPr>
              <w:pStyle w:val="182"/>
              <w:bidi w:val="0"/>
              <w:rPr>
                <w:b w:val="0"/>
                <w:bCs w:val="0"/>
                <w:color w:val="auto"/>
                <w:u w:val="none"/>
              </w:rPr>
            </w:pPr>
          </w:p>
        </w:tc>
      </w:tr>
      <w:tr w14:paraId="71B7A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14:paraId="66FA0F57">
            <w:pPr>
              <w:pStyle w:val="182"/>
              <w:bidi w:val="0"/>
              <w:rPr>
                <w:b w:val="0"/>
                <w:bCs w:val="0"/>
                <w:color w:val="auto"/>
                <w:u w:val="none"/>
              </w:rPr>
            </w:pPr>
          </w:p>
        </w:tc>
        <w:tc>
          <w:tcPr>
            <w:tcW w:w="807" w:type="pct"/>
            <w:vAlign w:val="center"/>
          </w:tcPr>
          <w:p w14:paraId="1FEC11E1">
            <w:pPr>
              <w:pStyle w:val="182"/>
              <w:bidi w:val="0"/>
              <w:rPr>
                <w:b w:val="0"/>
                <w:bCs w:val="0"/>
                <w:color w:val="auto"/>
                <w:u w:val="none"/>
              </w:rPr>
            </w:pPr>
            <w:r>
              <w:rPr>
                <w:rFonts w:hint="eastAsia"/>
                <w:b w:val="0"/>
                <w:bCs w:val="0"/>
                <w:color w:val="auto"/>
                <w:u w:val="none"/>
              </w:rPr>
              <w:t>合计</w:t>
            </w:r>
          </w:p>
        </w:tc>
        <w:tc>
          <w:tcPr>
            <w:tcW w:w="1341" w:type="pct"/>
            <w:vAlign w:val="center"/>
          </w:tcPr>
          <w:p w14:paraId="4A68C446">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007" w:type="pct"/>
            <w:vAlign w:val="center"/>
          </w:tcPr>
          <w:p w14:paraId="4975F62F">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763" w:type="pct"/>
            <w:vAlign w:val="center"/>
          </w:tcPr>
          <w:p w14:paraId="2DCD86B9">
            <w:pPr>
              <w:pStyle w:val="182"/>
              <w:bidi w:val="0"/>
              <w:rPr>
                <w:rFonts w:hint="default"/>
                <w:b w:val="0"/>
                <w:bCs w:val="0"/>
                <w:color w:val="auto"/>
                <w:u w:val="none"/>
                <w:lang w:val="en-US" w:eastAsia="zh-CN"/>
              </w:rPr>
            </w:pPr>
            <w:r>
              <w:rPr>
                <w:rFonts w:hint="eastAsia"/>
                <w:b w:val="0"/>
                <w:bCs w:val="0"/>
                <w:color w:val="auto"/>
                <w:u w:val="none"/>
                <w:lang w:val="en-US" w:eastAsia="zh-CN"/>
              </w:rPr>
              <w:t>/</w:t>
            </w:r>
          </w:p>
        </w:tc>
        <w:tc>
          <w:tcPr>
            <w:tcW w:w="518" w:type="pct"/>
            <w:vAlign w:val="center"/>
          </w:tcPr>
          <w:p w14:paraId="2E064B4E">
            <w:pPr>
              <w:pStyle w:val="182"/>
              <w:bidi w:val="0"/>
              <w:rPr>
                <w:b w:val="0"/>
                <w:bCs w:val="0"/>
                <w:color w:val="auto"/>
                <w:u w:val="none"/>
              </w:rPr>
            </w:pPr>
          </w:p>
        </w:tc>
      </w:tr>
    </w:tbl>
    <w:p w14:paraId="6CC8C1E3">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rPr>
      </w:pPr>
      <w:r>
        <w:rPr>
          <w:rFonts w:hint="eastAsia"/>
          <w:color w:val="auto"/>
          <w:lang w:val="en-US" w:eastAsia="zh-CN"/>
        </w:rPr>
        <w:t>*</w:t>
      </w:r>
      <w:r>
        <w:rPr>
          <w:rFonts w:hint="eastAsia"/>
        </w:rPr>
        <w:t>。</w:t>
      </w:r>
    </w:p>
    <w:p w14:paraId="10126453">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rPr>
      </w:pPr>
      <w:r>
        <w:rPr>
          <w:rFonts w:hint="eastAsia"/>
          <w:vertAlign w:val="baseline"/>
          <w:lang w:val="en-US" w:eastAsia="zh-CN"/>
        </w:rPr>
        <w:drawing>
          <wp:inline distT="0" distB="0" distL="114300" distR="114300">
            <wp:extent cx="5250180" cy="3935730"/>
            <wp:effectExtent l="0" t="0" r="7620" b="7620"/>
            <wp:docPr id="243" name="图片 243" descr="6fc7a93f79cb4afa1774d71f6620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6fc7a93f79cb4afa1774d71f662020b"/>
                    <pic:cNvPicPr>
                      <a:picLocks noChangeAspect="1"/>
                    </pic:cNvPicPr>
                  </pic:nvPicPr>
                  <pic:blipFill>
                    <a:blip r:embed="rId59"/>
                    <a:stretch>
                      <a:fillRect/>
                    </a:stretch>
                  </pic:blipFill>
                  <pic:spPr>
                    <a:xfrm>
                      <a:off x="0" y="0"/>
                      <a:ext cx="5250180" cy="3935730"/>
                    </a:xfrm>
                    <a:prstGeom prst="rect">
                      <a:avLst/>
                    </a:prstGeom>
                  </pic:spPr>
                </pic:pic>
              </a:graphicData>
            </a:graphic>
          </wp:inline>
        </w:drawing>
      </w:r>
    </w:p>
    <w:p w14:paraId="54998FB2">
      <w:pPr>
        <w:pStyle w:val="181"/>
        <w:bidi w:val="0"/>
        <w:ind w:left="0" w:leftChars="0" w:firstLine="0" w:firstLineChars="0"/>
        <w:jc w:val="center"/>
        <w:rPr>
          <w:rFonts w:hint="eastAsia"/>
          <w:color w:val="auto"/>
          <w:u w:val="none"/>
          <w:lang w:val="en-US" w:eastAsia="zh-CN"/>
        </w:rPr>
      </w:pPr>
      <w:r>
        <w:rPr>
          <w:rFonts w:hint="eastAsia"/>
          <w:color w:val="auto"/>
          <w:u w:val="none"/>
        </w:rPr>
        <w:t>图</w:t>
      </w:r>
      <w:r>
        <w:rPr>
          <w:rFonts w:hint="eastAsia"/>
          <w:color w:val="auto"/>
          <w:u w:val="none"/>
          <w:lang w:val="en-US" w:eastAsia="zh-CN"/>
        </w:rPr>
        <w:t>4.1-1 依托360t/d锅炉已基本建设完成，等待调试运行</w:t>
      </w:r>
    </w:p>
    <w:p w14:paraId="55EFFE79">
      <w:pPr>
        <w:rPr>
          <w:rFonts w:hint="eastAsia"/>
          <w:lang w:val="en-US" w:eastAsia="zh-CN"/>
        </w:rPr>
      </w:pPr>
    </w:p>
    <w:p w14:paraId="2EB9882F">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rPr>
      </w:pPr>
      <w:r>
        <w:rPr>
          <w:rFonts w:hint="eastAsia"/>
          <w:vertAlign w:val="baseline"/>
          <w:lang w:val="en-US" w:eastAsia="zh-CN"/>
        </w:rPr>
        <w:drawing>
          <wp:inline distT="0" distB="0" distL="114300" distR="114300">
            <wp:extent cx="5240655" cy="3780155"/>
            <wp:effectExtent l="0" t="0" r="17145" b="10795"/>
            <wp:docPr id="244" name="图片 244" descr="e6edb81f788009224759aaa4aee32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e6edb81f788009224759aaa4aee325e"/>
                    <pic:cNvPicPr>
                      <a:picLocks noChangeAspect="1"/>
                    </pic:cNvPicPr>
                  </pic:nvPicPr>
                  <pic:blipFill>
                    <a:blip r:embed="rId60"/>
                    <a:stretch>
                      <a:fillRect/>
                    </a:stretch>
                  </pic:blipFill>
                  <pic:spPr>
                    <a:xfrm>
                      <a:off x="0" y="0"/>
                      <a:ext cx="5240655" cy="3780155"/>
                    </a:xfrm>
                    <a:prstGeom prst="rect">
                      <a:avLst/>
                    </a:prstGeom>
                  </pic:spPr>
                </pic:pic>
              </a:graphicData>
            </a:graphic>
          </wp:inline>
        </w:drawing>
      </w:r>
    </w:p>
    <w:p w14:paraId="42D92DBB">
      <w:pPr>
        <w:pStyle w:val="181"/>
        <w:bidi w:val="0"/>
        <w:ind w:left="0" w:leftChars="0" w:firstLine="0" w:firstLineChars="0"/>
        <w:jc w:val="center"/>
        <w:rPr>
          <w:rFonts w:hint="eastAsia" w:eastAsia="宋体"/>
          <w:color w:val="auto"/>
          <w:u w:val="none"/>
          <w:lang w:val="en-US" w:eastAsia="zh-CN"/>
        </w:rPr>
      </w:pPr>
      <w:r>
        <w:rPr>
          <w:rFonts w:hint="eastAsia"/>
          <w:color w:val="auto"/>
          <w:u w:val="none"/>
        </w:rPr>
        <w:t>图</w:t>
      </w:r>
      <w:r>
        <w:rPr>
          <w:rFonts w:hint="eastAsia"/>
          <w:color w:val="auto"/>
          <w:u w:val="none"/>
          <w:lang w:val="en-US" w:eastAsia="zh-CN"/>
        </w:rPr>
        <w:t>4.1-2</w:t>
      </w:r>
      <w:r>
        <w:rPr>
          <w:color w:val="auto"/>
          <w:u w:val="none"/>
        </w:rPr>
        <w:t xml:space="preserve">  </w:t>
      </w:r>
      <w:r>
        <w:rPr>
          <w:rFonts w:hint="eastAsia"/>
          <w:color w:val="auto"/>
          <w:u w:val="none"/>
          <w:lang w:val="en-US" w:eastAsia="zh-CN"/>
        </w:rPr>
        <w:t>依托360t/d锅炉已基本建设完成，等待调试运行</w:t>
      </w:r>
    </w:p>
    <w:p w14:paraId="694D52A8">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rPr>
      </w:pPr>
    </w:p>
    <w:p w14:paraId="796C1E40">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rPr>
      </w:pPr>
    </w:p>
    <w:p w14:paraId="0D08DA8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eastAsia="宋体"/>
          <w:lang w:val="en-US" w:eastAsia="zh-CN"/>
        </w:rPr>
      </w:pPr>
      <w:r>
        <w:rPr>
          <w:rFonts w:hint="eastAsia"/>
          <w:lang w:val="en-US" w:eastAsia="zh-CN"/>
        </w:rPr>
        <w:t>本项目及全厂蒸汽平衡见下图。</w:t>
      </w:r>
    </w:p>
    <w:p w14:paraId="711B591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eastAsia" w:eastAsia="宋体"/>
          <w:lang w:eastAsia="zh-CN"/>
        </w:rPr>
      </w:pPr>
    </w:p>
    <w:p w14:paraId="4A0F727E">
      <w:pPr>
        <w:pStyle w:val="181"/>
        <w:bidi w:val="0"/>
        <w:ind w:left="0" w:leftChars="0" w:firstLine="0" w:firstLineChars="0"/>
        <w:jc w:val="center"/>
        <w:rPr>
          <w:rFonts w:hint="eastAsia" w:eastAsia="宋体"/>
          <w:color w:val="auto"/>
          <w:u w:val="none"/>
          <w:lang w:val="en-US" w:eastAsia="zh-CN"/>
        </w:rPr>
      </w:pPr>
      <w:r>
        <w:rPr>
          <w:rFonts w:hint="eastAsia"/>
          <w:color w:val="auto"/>
          <w:u w:val="none"/>
        </w:rPr>
        <w:t>图</w:t>
      </w:r>
      <w:r>
        <w:rPr>
          <w:rFonts w:hint="eastAsia"/>
          <w:color w:val="auto"/>
          <w:u w:val="none"/>
          <w:lang w:val="en-US" w:eastAsia="zh-CN"/>
        </w:rPr>
        <w:t>4.1-3</w:t>
      </w:r>
      <w:r>
        <w:rPr>
          <w:color w:val="auto"/>
          <w:u w:val="none"/>
        </w:rPr>
        <w:t xml:space="preserve">  </w:t>
      </w:r>
      <w:r>
        <w:rPr>
          <w:rFonts w:hint="eastAsia"/>
          <w:color w:val="auto"/>
          <w:u w:val="none"/>
          <w:lang w:val="en-US" w:eastAsia="zh-CN"/>
        </w:rPr>
        <w:t>本项目蒸汽平衡图</w:t>
      </w:r>
    </w:p>
    <w:p w14:paraId="5CB831AA">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eastAsia="宋体"/>
          <w:lang w:eastAsia="zh-CN"/>
        </w:rPr>
      </w:pPr>
    </w:p>
    <w:p w14:paraId="70620A27">
      <w:pPr>
        <w:pStyle w:val="181"/>
        <w:bidi w:val="0"/>
        <w:ind w:left="0" w:leftChars="0" w:firstLine="0" w:firstLineChars="0"/>
        <w:jc w:val="center"/>
        <w:rPr>
          <w:rFonts w:hint="eastAsia"/>
          <w:color w:val="auto"/>
          <w:u w:val="none"/>
        </w:rPr>
      </w:pPr>
    </w:p>
    <w:p w14:paraId="088B6E8C">
      <w:pPr>
        <w:pStyle w:val="181"/>
        <w:bidi w:val="0"/>
        <w:ind w:left="0" w:leftChars="0" w:firstLine="0" w:firstLineChars="0"/>
        <w:jc w:val="center"/>
        <w:rPr>
          <w:rFonts w:hint="eastAsia"/>
          <w:color w:val="auto"/>
          <w:u w:val="none"/>
        </w:rPr>
      </w:pPr>
    </w:p>
    <w:p w14:paraId="06D979F9">
      <w:pPr>
        <w:pStyle w:val="181"/>
        <w:bidi w:val="0"/>
        <w:ind w:left="0" w:leftChars="0" w:firstLine="0" w:firstLineChars="0"/>
        <w:jc w:val="center"/>
        <w:rPr>
          <w:rFonts w:hint="eastAsia"/>
          <w:color w:val="auto"/>
          <w:u w:val="single"/>
          <w:lang w:val="en-US" w:eastAsia="zh-CN"/>
        </w:rPr>
      </w:pPr>
      <w:r>
        <w:rPr>
          <w:rFonts w:hint="eastAsia"/>
          <w:color w:val="auto"/>
          <w:u w:val="single"/>
        </w:rPr>
        <w:t>图</w:t>
      </w:r>
      <w:r>
        <w:rPr>
          <w:rFonts w:hint="eastAsia"/>
          <w:color w:val="auto"/>
          <w:u w:val="single"/>
          <w:lang w:val="en-US" w:eastAsia="zh-CN"/>
        </w:rPr>
        <w:t>4.1-4</w:t>
      </w:r>
      <w:r>
        <w:rPr>
          <w:color w:val="auto"/>
          <w:u w:val="single"/>
        </w:rPr>
        <w:t xml:space="preserve">  </w:t>
      </w:r>
      <w:r>
        <w:rPr>
          <w:rFonts w:hint="eastAsia"/>
          <w:color w:val="auto"/>
          <w:u w:val="single"/>
          <w:lang w:val="en-US" w:eastAsia="zh-CN"/>
        </w:rPr>
        <w:t>全厂蒸汽平衡图   单位t/h</w:t>
      </w:r>
    </w:p>
    <w:p w14:paraId="59D20720">
      <w:pPr>
        <w:ind w:left="0" w:leftChars="0" w:firstLine="0" w:firstLineChars="0"/>
        <w:rPr>
          <w:rFonts w:hint="eastAsia"/>
          <w:color w:val="auto"/>
          <w:u w:val="none"/>
          <w:lang w:val="en-US" w:eastAsia="zh-CN"/>
        </w:rPr>
      </w:pPr>
      <w:r>
        <w:rPr>
          <w:sz w:val="24"/>
        </w:rPr>
        <w:pict>
          <v:shape id="_x0000_s2545" o:spid="_x0000_s2545" o:spt="202" type="#_x0000_t202" style="position:absolute;left:0pt;margin-left:214.3pt;margin-top:179.35pt;height:7.9pt;width:8pt;z-index:251737088;mso-width-relative:page;mso-height-relative:page;" fillcolor="#DEEBF7" filled="t" stroked="f" coordsize="21600,21600">
            <v:path/>
            <v:fill on="t" color2="#FFFFFF" focussize="0,0"/>
            <v:stroke on="f"/>
            <v:imagedata o:title=""/>
            <o:lock v:ext="edit" aspectratio="f"/>
            <v:textbox>
              <w:txbxContent>
                <w:p w14:paraId="3A584A00"/>
              </w:txbxContent>
            </v:textbox>
          </v:shape>
        </w:pict>
      </w:r>
      <w:r>
        <w:rPr>
          <w:rFonts w:hint="eastAsia"/>
          <w:color w:val="auto"/>
          <w:u w:val="none"/>
          <w:lang w:val="en-US" w:eastAsia="zh-CN"/>
        </w:rPr>
        <w:drawing>
          <wp:inline distT="0" distB="0" distL="114300" distR="114300">
            <wp:extent cx="5577840" cy="4845050"/>
            <wp:effectExtent l="0" t="0" r="3810" b="12700"/>
            <wp:docPr id="10" name="图片 10" descr="d9b30250a58de1baa12c63f6da54d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9b30250a58de1baa12c63f6da54d55"/>
                    <pic:cNvPicPr>
                      <a:picLocks noChangeAspect="1"/>
                    </pic:cNvPicPr>
                  </pic:nvPicPr>
                  <pic:blipFill>
                    <a:blip r:embed="rId61"/>
                    <a:stretch>
                      <a:fillRect/>
                    </a:stretch>
                  </pic:blipFill>
                  <pic:spPr>
                    <a:xfrm>
                      <a:off x="0" y="0"/>
                      <a:ext cx="5577840" cy="4845050"/>
                    </a:xfrm>
                    <a:prstGeom prst="rect">
                      <a:avLst/>
                    </a:prstGeom>
                  </pic:spPr>
                </pic:pic>
              </a:graphicData>
            </a:graphic>
          </wp:inline>
        </w:drawing>
      </w:r>
    </w:p>
    <w:p w14:paraId="38483B5D">
      <w:pPr>
        <w:pStyle w:val="181"/>
        <w:bidi w:val="0"/>
        <w:ind w:left="0" w:leftChars="0" w:firstLine="0" w:firstLineChars="0"/>
        <w:jc w:val="center"/>
        <w:rPr>
          <w:rFonts w:hint="eastAsia"/>
          <w:color w:val="auto"/>
          <w:u w:val="none"/>
          <w:lang w:val="en-US" w:eastAsia="zh-CN"/>
        </w:rPr>
      </w:pPr>
      <w:r>
        <w:rPr>
          <w:rFonts w:hint="eastAsia"/>
          <w:color w:val="auto"/>
          <w:u w:val="none"/>
          <w:lang w:val="en-US" w:eastAsia="zh-CN"/>
        </w:rPr>
        <w:t>图4.1-5 本项目与依托设施相对位置</w:t>
      </w:r>
    </w:p>
    <w:p w14:paraId="3E3686B3">
      <w:pPr>
        <w:pStyle w:val="3"/>
        <w:bidi w:val="0"/>
      </w:pPr>
      <w:bookmarkStart w:id="169" w:name="_Toc5668"/>
      <w:r>
        <w:rPr>
          <w:rFonts w:hint="eastAsia"/>
          <w:lang w:val="en-US" w:eastAsia="zh-CN"/>
        </w:rPr>
        <w:t>生产工艺及产污环节</w:t>
      </w:r>
      <w:bookmarkEnd w:id="169"/>
    </w:p>
    <w:p w14:paraId="1C828855">
      <w:pPr>
        <w:pStyle w:val="5"/>
        <w:bidi w:val="0"/>
      </w:pPr>
      <w:r>
        <w:rPr>
          <w:rFonts w:hint="eastAsia"/>
        </w:rPr>
        <w:t>工艺流程</w:t>
      </w:r>
    </w:p>
    <w:p w14:paraId="750C70C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bCs/>
          <w:color w:val="auto"/>
          <w:u w:val="single"/>
        </w:rPr>
      </w:pPr>
      <w:r>
        <w:rPr>
          <w:rFonts w:hint="eastAsia"/>
          <w:b w:val="0"/>
          <w:bCs w:val="0"/>
          <w:color w:val="auto"/>
          <w:u w:val="none"/>
        </w:rPr>
        <w:t>本项目</w:t>
      </w:r>
      <w:r>
        <w:rPr>
          <w:rFonts w:hint="eastAsia"/>
          <w:b w:val="0"/>
          <w:bCs w:val="0"/>
          <w:color w:val="auto"/>
          <w:u w:val="none"/>
          <w:lang w:val="en-US" w:eastAsia="zh-CN"/>
        </w:rPr>
        <w:t>使用</w:t>
      </w:r>
      <w:r>
        <w:rPr>
          <w:rFonts w:hint="eastAsia"/>
          <w:b w:val="0"/>
          <w:bCs w:val="0"/>
          <w:color w:val="auto"/>
          <w:u w:val="none"/>
          <w:lang w:eastAsia="zh-CN"/>
        </w:rPr>
        <w:t>废旧棉纺织品、</w:t>
      </w:r>
      <w:r>
        <w:rPr>
          <w:rFonts w:hint="eastAsia"/>
          <w:b w:val="0"/>
          <w:bCs w:val="0"/>
          <w:color w:val="auto"/>
          <w:u w:val="none"/>
        </w:rPr>
        <w:t>纤维素浆粕为原料，实现了DT溶剂体系下</w:t>
      </w:r>
      <w:r>
        <w:rPr>
          <w:rFonts w:hint="eastAsia"/>
          <w:b w:val="0"/>
          <w:bCs w:val="0"/>
          <w:color w:val="auto"/>
          <w:u w:val="none"/>
          <w:lang w:eastAsia="zh-CN"/>
        </w:rPr>
        <w:t>，</w:t>
      </w:r>
      <w:r>
        <w:rPr>
          <w:rFonts w:hint="eastAsia"/>
          <w:b w:val="0"/>
          <w:bCs w:val="0"/>
          <w:color w:val="auto"/>
          <w:u w:val="none"/>
          <w:lang w:val="en-US" w:eastAsia="zh-CN"/>
        </w:rPr>
        <w:t>原料经过破碎、溶解、混合、过滤、脱泡、纺丝成为纤维素纤维</w:t>
      </w:r>
      <w:r>
        <w:rPr>
          <w:rFonts w:hint="eastAsia"/>
          <w:b w:val="0"/>
          <w:bCs w:val="0"/>
          <w:color w:val="auto"/>
          <w:u w:val="none"/>
        </w:rPr>
        <w:t>，最终实现了</w:t>
      </w:r>
      <w:r>
        <w:rPr>
          <w:rFonts w:hint="eastAsia"/>
          <w:b w:val="0"/>
          <w:bCs w:val="0"/>
          <w:color w:val="auto"/>
          <w:u w:val="none"/>
          <w:lang w:eastAsia="zh-CN"/>
        </w:rPr>
        <w:t>废旧棉纺织品</w:t>
      </w:r>
      <w:r>
        <w:rPr>
          <w:rFonts w:hint="eastAsia"/>
          <w:b w:val="0"/>
          <w:bCs w:val="0"/>
          <w:color w:val="auto"/>
          <w:u w:val="none"/>
        </w:rPr>
        <w:t>的循环再使用</w:t>
      </w:r>
      <w:r>
        <w:rPr>
          <w:rFonts w:hint="eastAsia"/>
          <w:b w:val="0"/>
          <w:bCs w:val="0"/>
          <w:color w:val="auto"/>
          <w:u w:val="none"/>
          <w:lang w:val="en-US" w:eastAsia="zh-CN"/>
        </w:rPr>
        <w:t>。本项目总工艺流程简图见下图。</w:t>
      </w:r>
    </w:p>
    <w:p w14:paraId="6FB0FFD3">
      <w:pPr>
        <w:bidi w:val="0"/>
        <w:rPr>
          <w:rFonts w:hint="eastAsia"/>
          <w:b/>
          <w:bCs/>
          <w:color w:val="auto"/>
          <w:u w:val="single"/>
          <w:lang w:val="en-US" w:eastAsia="zh-CN"/>
        </w:rPr>
      </w:pPr>
      <w:r>
        <w:rPr>
          <w:rFonts w:hint="eastAsia"/>
          <w:b/>
          <w:bCs/>
          <w:color w:val="auto"/>
          <w:u w:val="single"/>
          <w:lang w:val="en-US" w:eastAsia="zh-CN"/>
        </w:rPr>
        <w:t>*</w:t>
      </w:r>
    </w:p>
    <w:p w14:paraId="734D96AC">
      <w:pPr>
        <w:bidi w:val="0"/>
        <w:rPr>
          <w:rFonts w:hint="default"/>
          <w:b/>
          <w:bCs/>
          <w:color w:val="auto"/>
          <w:u w:val="single"/>
          <w:lang w:val="en-US" w:eastAsia="zh-CN"/>
        </w:rPr>
      </w:pPr>
      <w:r>
        <w:rPr>
          <w:rFonts w:hint="eastAsia"/>
          <w:b/>
          <w:bCs/>
          <w:color w:val="auto"/>
          <w:u w:val="single"/>
          <w:lang w:val="en-US" w:eastAsia="zh-CN"/>
        </w:rPr>
        <w:t>*</w:t>
      </w:r>
    </w:p>
    <w:p w14:paraId="2A571DC6">
      <w:pPr>
        <w:bidi w:val="0"/>
        <w:rPr>
          <w:rFonts w:hint="eastAsia"/>
          <w:b/>
          <w:bCs/>
          <w:color w:val="auto"/>
          <w:u w:val="single"/>
          <w:lang w:val="en-US" w:eastAsia="zh-CN"/>
        </w:rPr>
      </w:pPr>
      <w:r>
        <w:rPr>
          <w:rFonts w:hint="eastAsia"/>
          <w:b/>
          <w:bCs/>
          <w:color w:val="auto"/>
          <w:u w:val="single"/>
          <w:lang w:val="en-US" w:eastAsia="zh-CN"/>
        </w:rPr>
        <w:t>*</w:t>
      </w:r>
    </w:p>
    <w:p w14:paraId="7905A8BA">
      <w:pPr>
        <w:bidi w:val="0"/>
        <w:rPr>
          <w:rFonts w:hint="default"/>
          <w:b/>
          <w:bCs/>
          <w:color w:val="auto"/>
          <w:u w:val="single"/>
          <w:lang w:val="en-US" w:eastAsia="zh-CN"/>
        </w:rPr>
      </w:pPr>
      <w:r>
        <w:rPr>
          <w:rFonts w:hint="eastAsia"/>
          <w:b/>
          <w:bCs/>
          <w:color w:val="auto"/>
          <w:u w:val="single"/>
          <w:lang w:val="en-US" w:eastAsia="zh-CN"/>
        </w:rPr>
        <w:t>*</w:t>
      </w:r>
    </w:p>
    <w:p w14:paraId="300015F4">
      <w:pPr>
        <w:bidi w:val="0"/>
        <w:rPr>
          <w:rFonts w:hint="eastAsia"/>
          <w:b/>
          <w:bCs/>
          <w:color w:val="auto"/>
          <w:u w:val="single"/>
          <w:lang w:val="en-US" w:eastAsia="zh-CN"/>
        </w:rPr>
      </w:pPr>
      <w:r>
        <w:rPr>
          <w:rFonts w:hint="eastAsia"/>
          <w:b/>
          <w:bCs/>
          <w:color w:val="auto"/>
          <w:u w:val="single"/>
          <w:lang w:val="en-US" w:eastAsia="zh-CN"/>
        </w:rPr>
        <w:t>*</w:t>
      </w:r>
    </w:p>
    <w:p w14:paraId="5BCF9110">
      <w:pPr>
        <w:bidi w:val="0"/>
        <w:rPr>
          <w:rFonts w:hint="default"/>
          <w:b/>
          <w:bCs/>
          <w:color w:val="auto"/>
          <w:u w:val="single"/>
          <w:lang w:val="en-US" w:eastAsia="zh-CN"/>
        </w:rPr>
      </w:pPr>
      <w:r>
        <w:rPr>
          <w:rFonts w:hint="eastAsia"/>
          <w:b/>
          <w:bCs/>
          <w:color w:val="auto"/>
          <w:u w:val="single"/>
          <w:lang w:val="en-US" w:eastAsia="zh-CN"/>
        </w:rPr>
        <w:t>*</w:t>
      </w:r>
    </w:p>
    <w:p w14:paraId="3D937643">
      <w:pPr>
        <w:bidi w:val="0"/>
        <w:rPr>
          <w:rFonts w:hint="eastAsia"/>
          <w:b/>
          <w:bCs/>
          <w:color w:val="auto"/>
          <w:u w:val="single"/>
          <w:lang w:val="en-US" w:eastAsia="zh-CN"/>
        </w:rPr>
      </w:pPr>
      <w:r>
        <w:rPr>
          <w:rFonts w:hint="eastAsia"/>
          <w:b/>
          <w:bCs/>
          <w:color w:val="auto"/>
          <w:u w:val="single"/>
          <w:lang w:val="en-US" w:eastAsia="zh-CN"/>
        </w:rPr>
        <w:t>*</w:t>
      </w:r>
    </w:p>
    <w:p w14:paraId="48EC924C">
      <w:pPr>
        <w:bidi w:val="0"/>
        <w:rPr>
          <w:rFonts w:hint="default"/>
          <w:b/>
          <w:bCs/>
          <w:color w:val="auto"/>
          <w:u w:val="single"/>
          <w:lang w:val="en-US" w:eastAsia="zh-CN"/>
        </w:rPr>
      </w:pPr>
      <w:r>
        <w:rPr>
          <w:rFonts w:hint="eastAsia"/>
          <w:b/>
          <w:bCs/>
          <w:color w:val="auto"/>
          <w:u w:val="single"/>
          <w:lang w:val="en-US" w:eastAsia="zh-CN"/>
        </w:rPr>
        <w:t>*</w:t>
      </w:r>
    </w:p>
    <w:p w14:paraId="6F20E760">
      <w:pPr>
        <w:bidi w:val="0"/>
        <w:rPr>
          <w:rFonts w:hint="eastAsia"/>
          <w:b/>
          <w:bCs/>
          <w:color w:val="auto"/>
          <w:u w:val="single"/>
          <w:lang w:val="en-US" w:eastAsia="zh-CN"/>
        </w:rPr>
      </w:pPr>
      <w:r>
        <w:rPr>
          <w:rFonts w:hint="eastAsia"/>
          <w:b/>
          <w:bCs/>
          <w:color w:val="auto"/>
          <w:u w:val="single"/>
          <w:lang w:val="en-US" w:eastAsia="zh-CN"/>
        </w:rPr>
        <w:t>*</w:t>
      </w:r>
    </w:p>
    <w:p w14:paraId="6C8A6EDA">
      <w:pPr>
        <w:bidi w:val="0"/>
        <w:rPr>
          <w:rFonts w:hint="default"/>
          <w:b/>
          <w:bCs/>
          <w:color w:val="auto"/>
          <w:u w:val="single"/>
          <w:lang w:val="en-US" w:eastAsia="zh-CN"/>
        </w:rPr>
      </w:pPr>
      <w:r>
        <w:rPr>
          <w:rFonts w:hint="eastAsia"/>
          <w:b/>
          <w:bCs/>
          <w:color w:val="auto"/>
          <w:u w:val="single"/>
          <w:lang w:val="en-US" w:eastAsia="zh-CN"/>
        </w:rPr>
        <w:t>*</w:t>
      </w:r>
    </w:p>
    <w:p w14:paraId="1BD4980B">
      <w:pPr>
        <w:bidi w:val="0"/>
        <w:rPr>
          <w:rFonts w:hint="eastAsia"/>
          <w:b/>
          <w:bCs/>
          <w:color w:val="auto"/>
          <w:u w:val="single"/>
          <w:lang w:val="en-US" w:eastAsia="zh-CN"/>
        </w:rPr>
      </w:pPr>
      <w:r>
        <w:rPr>
          <w:rFonts w:hint="eastAsia"/>
          <w:b/>
          <w:bCs/>
          <w:color w:val="auto"/>
          <w:u w:val="single"/>
          <w:lang w:val="en-US" w:eastAsia="zh-CN"/>
        </w:rPr>
        <w:t>*</w:t>
      </w:r>
    </w:p>
    <w:p w14:paraId="5BEFE166">
      <w:pPr>
        <w:bidi w:val="0"/>
        <w:rPr>
          <w:rFonts w:hint="default"/>
          <w:b/>
          <w:bCs/>
          <w:color w:val="auto"/>
          <w:u w:val="single"/>
          <w:lang w:val="en-US" w:eastAsia="zh-CN"/>
        </w:rPr>
      </w:pPr>
      <w:r>
        <w:rPr>
          <w:rFonts w:hint="eastAsia"/>
          <w:b/>
          <w:bCs/>
          <w:color w:val="auto"/>
          <w:u w:val="single"/>
          <w:lang w:val="en-US" w:eastAsia="zh-CN"/>
        </w:rPr>
        <w:t>*</w:t>
      </w:r>
    </w:p>
    <w:p w14:paraId="417966B4">
      <w:pPr>
        <w:bidi w:val="0"/>
        <w:rPr>
          <w:rFonts w:hint="eastAsia"/>
          <w:b/>
          <w:bCs/>
          <w:color w:val="auto"/>
          <w:u w:val="single"/>
          <w:lang w:val="en-US" w:eastAsia="zh-CN"/>
        </w:rPr>
      </w:pPr>
      <w:r>
        <w:rPr>
          <w:rFonts w:hint="eastAsia"/>
          <w:b/>
          <w:bCs/>
          <w:color w:val="auto"/>
          <w:u w:val="single"/>
          <w:lang w:val="en-US" w:eastAsia="zh-CN"/>
        </w:rPr>
        <w:t>*</w:t>
      </w:r>
    </w:p>
    <w:p w14:paraId="4D151588">
      <w:pPr>
        <w:bidi w:val="0"/>
        <w:rPr>
          <w:rFonts w:hint="default"/>
          <w:b/>
          <w:bCs/>
          <w:color w:val="auto"/>
          <w:u w:val="single"/>
          <w:lang w:val="en-US" w:eastAsia="zh-CN"/>
        </w:rPr>
      </w:pPr>
      <w:r>
        <w:rPr>
          <w:rFonts w:hint="eastAsia"/>
          <w:b/>
          <w:bCs/>
          <w:color w:val="auto"/>
          <w:u w:val="single"/>
          <w:lang w:val="en-US" w:eastAsia="zh-CN"/>
        </w:rPr>
        <w:t>*</w:t>
      </w:r>
    </w:p>
    <w:p w14:paraId="54332548">
      <w:pPr>
        <w:bidi w:val="0"/>
        <w:rPr>
          <w:rFonts w:hint="eastAsia"/>
          <w:b/>
          <w:bCs/>
          <w:color w:val="auto"/>
          <w:u w:val="single"/>
          <w:lang w:val="en-US" w:eastAsia="zh-CN"/>
        </w:rPr>
      </w:pPr>
      <w:r>
        <w:rPr>
          <w:rFonts w:hint="eastAsia"/>
          <w:b/>
          <w:bCs/>
          <w:color w:val="auto"/>
          <w:u w:val="single"/>
          <w:lang w:val="en-US" w:eastAsia="zh-CN"/>
        </w:rPr>
        <w:t>*</w:t>
      </w:r>
    </w:p>
    <w:p w14:paraId="551743C2">
      <w:pPr>
        <w:bidi w:val="0"/>
        <w:rPr>
          <w:rFonts w:hint="default"/>
          <w:b/>
          <w:bCs/>
          <w:color w:val="auto"/>
          <w:u w:val="single"/>
          <w:lang w:val="en-US" w:eastAsia="zh-CN"/>
        </w:rPr>
      </w:pPr>
      <w:r>
        <w:rPr>
          <w:rFonts w:hint="eastAsia"/>
          <w:b/>
          <w:bCs/>
          <w:color w:val="auto"/>
          <w:u w:val="single"/>
          <w:lang w:val="en-US" w:eastAsia="zh-CN"/>
        </w:rPr>
        <w:t>*</w:t>
      </w:r>
    </w:p>
    <w:p w14:paraId="68B1F266">
      <w:pPr>
        <w:bidi w:val="0"/>
        <w:rPr>
          <w:rFonts w:hint="eastAsia"/>
          <w:b/>
          <w:bCs/>
          <w:color w:val="auto"/>
          <w:u w:val="single"/>
          <w:lang w:val="en-US" w:eastAsia="zh-CN"/>
        </w:rPr>
      </w:pPr>
      <w:r>
        <w:rPr>
          <w:rFonts w:hint="eastAsia"/>
          <w:b/>
          <w:bCs/>
          <w:color w:val="auto"/>
          <w:u w:val="single"/>
          <w:lang w:val="en-US" w:eastAsia="zh-CN"/>
        </w:rPr>
        <w:t>*</w:t>
      </w:r>
    </w:p>
    <w:p w14:paraId="00681C35">
      <w:pPr>
        <w:bidi w:val="0"/>
        <w:rPr>
          <w:rFonts w:hint="default"/>
          <w:b/>
          <w:bCs/>
          <w:color w:val="auto"/>
          <w:u w:val="single"/>
          <w:lang w:val="en-US" w:eastAsia="zh-CN"/>
        </w:rPr>
      </w:pPr>
      <w:r>
        <w:rPr>
          <w:rFonts w:hint="eastAsia"/>
          <w:b/>
          <w:bCs/>
          <w:color w:val="auto"/>
          <w:u w:val="single"/>
          <w:lang w:val="en-US" w:eastAsia="zh-CN"/>
        </w:rPr>
        <w:t>*</w:t>
      </w:r>
    </w:p>
    <w:p w14:paraId="3DFECEC3">
      <w:pPr>
        <w:bidi w:val="0"/>
        <w:rPr>
          <w:rFonts w:hint="eastAsia"/>
          <w:b/>
          <w:bCs/>
          <w:color w:val="auto"/>
          <w:u w:val="single"/>
          <w:lang w:val="en-US" w:eastAsia="zh-CN"/>
        </w:rPr>
      </w:pPr>
      <w:r>
        <w:rPr>
          <w:rFonts w:hint="eastAsia"/>
          <w:b/>
          <w:bCs/>
          <w:color w:val="auto"/>
          <w:u w:val="single"/>
          <w:lang w:val="en-US" w:eastAsia="zh-CN"/>
        </w:rPr>
        <w:t>*</w:t>
      </w:r>
    </w:p>
    <w:p w14:paraId="5F197471">
      <w:pPr>
        <w:bidi w:val="0"/>
        <w:rPr>
          <w:rFonts w:hint="default"/>
          <w:b/>
          <w:bCs/>
          <w:color w:val="auto"/>
          <w:u w:val="single"/>
          <w:lang w:val="en-US" w:eastAsia="zh-CN"/>
        </w:rPr>
      </w:pPr>
      <w:r>
        <w:rPr>
          <w:rFonts w:hint="eastAsia"/>
          <w:b/>
          <w:bCs/>
          <w:color w:val="auto"/>
          <w:u w:val="single"/>
          <w:lang w:val="en-US" w:eastAsia="zh-CN"/>
        </w:rPr>
        <w:t>*</w:t>
      </w:r>
    </w:p>
    <w:p w14:paraId="76D334BE">
      <w:pPr>
        <w:bidi w:val="0"/>
        <w:rPr>
          <w:rFonts w:hint="eastAsia"/>
          <w:b/>
          <w:bCs/>
          <w:color w:val="auto"/>
          <w:u w:val="single"/>
          <w:lang w:val="en-US" w:eastAsia="zh-CN"/>
        </w:rPr>
      </w:pPr>
      <w:r>
        <w:rPr>
          <w:rFonts w:hint="eastAsia"/>
          <w:b/>
          <w:bCs/>
          <w:color w:val="auto"/>
          <w:u w:val="single"/>
          <w:lang w:val="en-US" w:eastAsia="zh-CN"/>
        </w:rPr>
        <w:t>*</w:t>
      </w:r>
    </w:p>
    <w:p w14:paraId="6D4B2FF8">
      <w:pPr>
        <w:bidi w:val="0"/>
        <w:rPr>
          <w:rFonts w:hint="default"/>
          <w:b/>
          <w:bCs/>
          <w:color w:val="auto"/>
          <w:u w:val="single"/>
          <w:lang w:val="en-US" w:eastAsia="zh-CN"/>
        </w:rPr>
      </w:pPr>
      <w:r>
        <w:rPr>
          <w:rFonts w:hint="eastAsia"/>
          <w:b/>
          <w:bCs/>
          <w:color w:val="auto"/>
          <w:u w:val="single"/>
          <w:lang w:val="en-US" w:eastAsia="zh-CN"/>
        </w:rPr>
        <w:t>*</w:t>
      </w:r>
    </w:p>
    <w:p w14:paraId="171379A4">
      <w:pPr>
        <w:bidi w:val="0"/>
        <w:rPr>
          <w:rFonts w:hint="eastAsia"/>
          <w:b/>
          <w:bCs/>
          <w:color w:val="auto"/>
          <w:u w:val="single"/>
          <w:lang w:val="en-US" w:eastAsia="zh-CN"/>
        </w:rPr>
      </w:pPr>
      <w:r>
        <w:rPr>
          <w:rFonts w:hint="eastAsia"/>
          <w:b/>
          <w:bCs/>
          <w:color w:val="auto"/>
          <w:u w:val="single"/>
          <w:lang w:val="en-US" w:eastAsia="zh-CN"/>
        </w:rPr>
        <w:t>*</w:t>
      </w:r>
    </w:p>
    <w:p w14:paraId="2970532E">
      <w:pPr>
        <w:bidi w:val="0"/>
        <w:rPr>
          <w:rFonts w:hint="default"/>
          <w:b/>
          <w:bCs/>
          <w:color w:val="auto"/>
          <w:u w:val="single"/>
          <w:lang w:val="en-US" w:eastAsia="zh-CN"/>
        </w:rPr>
      </w:pPr>
      <w:r>
        <w:rPr>
          <w:rFonts w:hint="eastAsia"/>
          <w:b/>
          <w:bCs/>
          <w:color w:val="auto"/>
          <w:u w:val="single"/>
          <w:lang w:val="en-US" w:eastAsia="zh-CN"/>
        </w:rPr>
        <w:t>*</w:t>
      </w:r>
    </w:p>
    <w:p w14:paraId="10D43EC8">
      <w:pPr>
        <w:bidi w:val="0"/>
        <w:rPr>
          <w:rFonts w:hint="eastAsia"/>
          <w:b/>
          <w:bCs/>
          <w:color w:val="auto"/>
          <w:u w:val="single"/>
          <w:lang w:val="en-US" w:eastAsia="zh-CN"/>
        </w:rPr>
      </w:pPr>
      <w:r>
        <w:rPr>
          <w:rFonts w:hint="eastAsia"/>
          <w:b/>
          <w:bCs/>
          <w:color w:val="auto"/>
          <w:u w:val="single"/>
          <w:lang w:val="en-US" w:eastAsia="zh-CN"/>
        </w:rPr>
        <w:t>*</w:t>
      </w:r>
    </w:p>
    <w:p w14:paraId="6CADBC63">
      <w:pPr>
        <w:bidi w:val="0"/>
        <w:rPr>
          <w:rFonts w:hint="default"/>
          <w:b/>
          <w:bCs/>
          <w:color w:val="auto"/>
          <w:u w:val="single"/>
          <w:lang w:val="en-US" w:eastAsia="zh-CN"/>
        </w:rPr>
      </w:pPr>
      <w:r>
        <w:rPr>
          <w:rFonts w:hint="eastAsia"/>
          <w:b/>
          <w:bCs/>
          <w:color w:val="auto"/>
          <w:u w:val="single"/>
          <w:lang w:val="en-US" w:eastAsia="zh-CN"/>
        </w:rPr>
        <w:t>*</w:t>
      </w:r>
    </w:p>
    <w:p w14:paraId="5EDC79F3">
      <w:pPr>
        <w:bidi w:val="0"/>
        <w:rPr>
          <w:rFonts w:hint="eastAsia"/>
          <w:b/>
          <w:bCs/>
          <w:color w:val="auto"/>
          <w:u w:val="single"/>
          <w:lang w:val="en-US" w:eastAsia="zh-CN"/>
        </w:rPr>
      </w:pPr>
      <w:r>
        <w:rPr>
          <w:rFonts w:hint="eastAsia"/>
          <w:b/>
          <w:bCs/>
          <w:color w:val="auto"/>
          <w:u w:val="single"/>
          <w:lang w:val="en-US" w:eastAsia="zh-CN"/>
        </w:rPr>
        <w:t>。</w:t>
      </w:r>
    </w:p>
    <w:p w14:paraId="6D98888B">
      <w:pPr>
        <w:bidi w:val="0"/>
        <w:ind w:left="0" w:leftChars="0" w:firstLine="0" w:firstLineChars="0"/>
        <w:jc w:val="center"/>
        <w:rPr>
          <w:rFonts w:hint="eastAsia" w:eastAsia="宋体"/>
          <w:color w:val="auto"/>
          <w:lang w:eastAsia="zh-CN"/>
        </w:rPr>
      </w:pPr>
    </w:p>
    <w:p w14:paraId="03546C79">
      <w:pPr>
        <w:pStyle w:val="181"/>
        <w:bidi w:val="0"/>
        <w:ind w:left="0" w:leftChars="0" w:firstLine="0" w:firstLineChars="0"/>
        <w:jc w:val="center"/>
        <w:rPr>
          <w:rFonts w:hint="default" w:eastAsia="宋体"/>
          <w:color w:val="auto"/>
          <w:u w:val="none"/>
          <w:lang w:val="en-US" w:eastAsia="zh-CN"/>
        </w:rPr>
      </w:pPr>
      <w:r>
        <w:rPr>
          <w:rFonts w:hint="eastAsia"/>
          <w:color w:val="auto"/>
          <w:u w:val="none"/>
        </w:rPr>
        <w:t>图</w:t>
      </w:r>
      <w:r>
        <w:rPr>
          <w:rFonts w:hint="eastAsia"/>
          <w:color w:val="auto"/>
          <w:u w:val="none"/>
          <w:lang w:val="en-US" w:eastAsia="zh-CN"/>
        </w:rPr>
        <w:t>4.2-1</w:t>
      </w:r>
      <w:r>
        <w:rPr>
          <w:color w:val="auto"/>
          <w:u w:val="none"/>
        </w:rPr>
        <w:t xml:space="preserve">  </w:t>
      </w:r>
      <w:r>
        <w:rPr>
          <w:rFonts w:hint="eastAsia"/>
          <w:color w:val="auto"/>
          <w:u w:val="none"/>
        </w:rPr>
        <w:t>项目工艺流程图</w:t>
      </w:r>
    </w:p>
    <w:p w14:paraId="5E1F78B7">
      <w:pPr>
        <w:bidi w:val="0"/>
        <w:rPr>
          <w:color w:val="auto"/>
        </w:rPr>
      </w:pPr>
      <w:bookmarkStart w:id="170" w:name="_Hlk120345377"/>
      <w:r>
        <w:rPr>
          <w:rFonts w:hint="eastAsia"/>
          <w:color w:val="auto"/>
          <w:lang w:val="en-US" w:eastAsia="zh-CN"/>
        </w:rPr>
        <w:t>纤维素纤维</w:t>
      </w:r>
      <w:r>
        <w:rPr>
          <w:rFonts w:hint="eastAsia"/>
          <w:color w:val="auto"/>
        </w:rPr>
        <w:t>工艺流程简述如下：</w:t>
      </w:r>
    </w:p>
    <w:bookmarkEnd w:id="170"/>
    <w:p w14:paraId="4A13B9D6">
      <w:pPr>
        <w:bidi w:val="0"/>
        <w:rPr>
          <w:rFonts w:hint="eastAsia"/>
          <w:b/>
          <w:bCs/>
          <w:color w:val="auto"/>
          <w:u w:val="single"/>
          <w:lang w:val="en-US" w:eastAsia="zh-CN"/>
        </w:rPr>
      </w:pPr>
      <w:r>
        <w:rPr>
          <w:rFonts w:hint="eastAsia"/>
          <w:b/>
          <w:bCs/>
          <w:color w:val="auto"/>
          <w:u w:val="single"/>
          <w:lang w:val="en-US" w:eastAsia="zh-CN"/>
        </w:rPr>
        <w:t>*</w:t>
      </w:r>
    </w:p>
    <w:p w14:paraId="0E9B0BB5">
      <w:pPr>
        <w:bidi w:val="0"/>
        <w:rPr>
          <w:rFonts w:hint="default"/>
          <w:b/>
          <w:bCs/>
          <w:color w:val="auto"/>
          <w:u w:val="single"/>
          <w:lang w:val="en-US" w:eastAsia="zh-CN"/>
        </w:rPr>
      </w:pPr>
      <w:r>
        <w:rPr>
          <w:rFonts w:hint="eastAsia"/>
          <w:b/>
          <w:bCs/>
          <w:color w:val="auto"/>
          <w:u w:val="single"/>
          <w:lang w:val="en-US" w:eastAsia="zh-CN"/>
        </w:rPr>
        <w:t>*</w:t>
      </w:r>
    </w:p>
    <w:p w14:paraId="739D009A">
      <w:pPr>
        <w:bidi w:val="0"/>
        <w:rPr>
          <w:rFonts w:hint="eastAsia"/>
          <w:b/>
          <w:bCs/>
          <w:color w:val="auto"/>
          <w:u w:val="single"/>
          <w:lang w:val="en-US" w:eastAsia="zh-CN"/>
        </w:rPr>
      </w:pPr>
      <w:r>
        <w:rPr>
          <w:rFonts w:hint="eastAsia"/>
          <w:b/>
          <w:bCs/>
          <w:color w:val="auto"/>
          <w:u w:val="single"/>
          <w:lang w:val="en-US" w:eastAsia="zh-CN"/>
        </w:rPr>
        <w:t>*</w:t>
      </w:r>
    </w:p>
    <w:p w14:paraId="6435AE08">
      <w:pPr>
        <w:bidi w:val="0"/>
        <w:rPr>
          <w:rFonts w:hint="default"/>
          <w:b/>
          <w:bCs/>
          <w:color w:val="auto"/>
          <w:u w:val="single"/>
          <w:lang w:val="en-US" w:eastAsia="zh-CN"/>
        </w:rPr>
      </w:pPr>
      <w:r>
        <w:rPr>
          <w:rFonts w:hint="eastAsia"/>
          <w:b/>
          <w:bCs/>
          <w:color w:val="auto"/>
          <w:u w:val="single"/>
          <w:lang w:val="en-US" w:eastAsia="zh-CN"/>
        </w:rPr>
        <w:t>*</w:t>
      </w:r>
    </w:p>
    <w:p w14:paraId="5B8F7560">
      <w:pPr>
        <w:bidi w:val="0"/>
        <w:rPr>
          <w:rFonts w:hint="eastAsia"/>
          <w:b/>
          <w:bCs/>
          <w:color w:val="auto"/>
          <w:u w:val="single"/>
          <w:lang w:val="en-US" w:eastAsia="zh-CN"/>
        </w:rPr>
      </w:pPr>
      <w:r>
        <w:rPr>
          <w:rFonts w:hint="eastAsia"/>
          <w:b/>
          <w:bCs/>
          <w:color w:val="auto"/>
          <w:u w:val="single"/>
          <w:lang w:val="en-US" w:eastAsia="zh-CN"/>
        </w:rPr>
        <w:t>*</w:t>
      </w:r>
    </w:p>
    <w:p w14:paraId="6B9D475C">
      <w:pPr>
        <w:bidi w:val="0"/>
        <w:rPr>
          <w:rFonts w:hint="default"/>
          <w:b/>
          <w:bCs/>
          <w:color w:val="auto"/>
          <w:u w:val="single"/>
          <w:lang w:val="en-US" w:eastAsia="zh-CN"/>
        </w:rPr>
      </w:pPr>
      <w:r>
        <w:rPr>
          <w:rFonts w:hint="eastAsia"/>
          <w:b/>
          <w:bCs/>
          <w:color w:val="auto"/>
          <w:u w:val="single"/>
          <w:lang w:val="en-US" w:eastAsia="zh-CN"/>
        </w:rPr>
        <w:t>*</w:t>
      </w:r>
    </w:p>
    <w:p w14:paraId="2099FE88">
      <w:pPr>
        <w:bidi w:val="0"/>
        <w:rPr>
          <w:rFonts w:hint="eastAsia"/>
          <w:b/>
          <w:bCs/>
          <w:color w:val="auto"/>
          <w:u w:val="single"/>
          <w:lang w:val="en-US" w:eastAsia="zh-CN"/>
        </w:rPr>
      </w:pPr>
      <w:r>
        <w:rPr>
          <w:rFonts w:hint="eastAsia"/>
          <w:b/>
          <w:bCs/>
          <w:color w:val="auto"/>
          <w:u w:val="single"/>
          <w:lang w:val="en-US" w:eastAsia="zh-CN"/>
        </w:rPr>
        <w:t>*</w:t>
      </w:r>
    </w:p>
    <w:p w14:paraId="46C2EB88">
      <w:pPr>
        <w:bidi w:val="0"/>
        <w:rPr>
          <w:rFonts w:hint="default"/>
          <w:b/>
          <w:bCs/>
          <w:color w:val="auto"/>
          <w:u w:val="single"/>
          <w:lang w:val="en-US" w:eastAsia="zh-CN"/>
        </w:rPr>
      </w:pPr>
      <w:r>
        <w:rPr>
          <w:rFonts w:hint="eastAsia"/>
          <w:b/>
          <w:bCs/>
          <w:color w:val="auto"/>
          <w:u w:val="single"/>
          <w:lang w:val="en-US" w:eastAsia="zh-CN"/>
        </w:rPr>
        <w:t>*</w:t>
      </w:r>
    </w:p>
    <w:p w14:paraId="5D181E62">
      <w:pPr>
        <w:bidi w:val="0"/>
        <w:rPr>
          <w:rFonts w:hint="eastAsia"/>
          <w:b/>
          <w:bCs/>
          <w:color w:val="auto"/>
          <w:u w:val="single"/>
          <w:lang w:val="en-US" w:eastAsia="zh-CN"/>
        </w:rPr>
      </w:pPr>
      <w:r>
        <w:rPr>
          <w:rFonts w:hint="eastAsia"/>
          <w:b/>
          <w:bCs/>
          <w:color w:val="auto"/>
          <w:u w:val="single"/>
          <w:lang w:val="en-US" w:eastAsia="zh-CN"/>
        </w:rPr>
        <w:t>*</w:t>
      </w:r>
    </w:p>
    <w:p w14:paraId="43B4D9FC">
      <w:pPr>
        <w:bidi w:val="0"/>
        <w:rPr>
          <w:rFonts w:hint="default"/>
          <w:b/>
          <w:bCs/>
          <w:color w:val="auto"/>
          <w:u w:val="single"/>
          <w:lang w:val="en-US" w:eastAsia="zh-CN"/>
        </w:rPr>
      </w:pPr>
      <w:r>
        <w:rPr>
          <w:rFonts w:hint="eastAsia"/>
          <w:b/>
          <w:bCs/>
          <w:color w:val="auto"/>
          <w:u w:val="single"/>
          <w:lang w:val="en-US" w:eastAsia="zh-CN"/>
        </w:rPr>
        <w:t>*</w:t>
      </w:r>
    </w:p>
    <w:p w14:paraId="2A514401">
      <w:pPr>
        <w:bidi w:val="0"/>
        <w:rPr>
          <w:rFonts w:hint="eastAsia"/>
          <w:b/>
          <w:bCs/>
          <w:color w:val="auto"/>
          <w:u w:val="single"/>
          <w:lang w:val="en-US" w:eastAsia="zh-CN"/>
        </w:rPr>
      </w:pPr>
      <w:r>
        <w:rPr>
          <w:rFonts w:hint="eastAsia"/>
          <w:b/>
          <w:bCs/>
          <w:color w:val="auto"/>
          <w:u w:val="single"/>
          <w:lang w:val="en-US" w:eastAsia="zh-CN"/>
        </w:rPr>
        <w:t>*</w:t>
      </w:r>
    </w:p>
    <w:p w14:paraId="2DCA4F61">
      <w:pPr>
        <w:bidi w:val="0"/>
        <w:rPr>
          <w:rFonts w:hint="default"/>
          <w:b/>
          <w:bCs/>
          <w:color w:val="auto"/>
          <w:u w:val="single"/>
          <w:lang w:val="en-US" w:eastAsia="zh-CN"/>
        </w:rPr>
      </w:pPr>
      <w:r>
        <w:rPr>
          <w:rFonts w:hint="eastAsia"/>
          <w:b/>
          <w:bCs/>
          <w:color w:val="auto"/>
          <w:u w:val="single"/>
          <w:lang w:val="en-US" w:eastAsia="zh-CN"/>
        </w:rPr>
        <w:t>*</w:t>
      </w:r>
    </w:p>
    <w:p w14:paraId="65DA31CA">
      <w:pPr>
        <w:bidi w:val="0"/>
        <w:rPr>
          <w:rFonts w:hint="eastAsia"/>
          <w:b/>
          <w:bCs/>
          <w:color w:val="auto"/>
          <w:u w:val="single"/>
          <w:lang w:val="en-US" w:eastAsia="zh-CN"/>
        </w:rPr>
      </w:pPr>
      <w:r>
        <w:rPr>
          <w:rFonts w:hint="eastAsia"/>
          <w:b/>
          <w:bCs/>
          <w:color w:val="auto"/>
          <w:u w:val="single"/>
          <w:lang w:val="en-US" w:eastAsia="zh-CN"/>
        </w:rPr>
        <w:t>*</w:t>
      </w:r>
    </w:p>
    <w:p w14:paraId="2BB7193D">
      <w:pPr>
        <w:bidi w:val="0"/>
        <w:rPr>
          <w:rFonts w:hint="default"/>
          <w:b/>
          <w:bCs/>
          <w:color w:val="auto"/>
          <w:u w:val="single"/>
          <w:lang w:val="en-US" w:eastAsia="zh-CN"/>
        </w:rPr>
      </w:pPr>
      <w:r>
        <w:rPr>
          <w:rFonts w:hint="eastAsia"/>
          <w:b/>
          <w:bCs/>
          <w:color w:val="auto"/>
          <w:u w:val="single"/>
          <w:lang w:val="en-US" w:eastAsia="zh-CN"/>
        </w:rPr>
        <w:t>*</w:t>
      </w:r>
    </w:p>
    <w:p w14:paraId="58241CE4">
      <w:pPr>
        <w:bidi w:val="0"/>
        <w:rPr>
          <w:rFonts w:hint="eastAsia"/>
          <w:b/>
          <w:bCs/>
          <w:color w:val="auto"/>
          <w:u w:val="single"/>
          <w:lang w:val="en-US" w:eastAsia="zh-CN"/>
        </w:rPr>
      </w:pPr>
      <w:r>
        <w:rPr>
          <w:rFonts w:hint="eastAsia"/>
          <w:b/>
          <w:bCs/>
          <w:color w:val="auto"/>
          <w:u w:val="single"/>
          <w:lang w:val="en-US" w:eastAsia="zh-CN"/>
        </w:rPr>
        <w:t>*</w:t>
      </w:r>
    </w:p>
    <w:p w14:paraId="794167F8">
      <w:pPr>
        <w:bidi w:val="0"/>
        <w:rPr>
          <w:rFonts w:hint="default"/>
          <w:b/>
          <w:bCs/>
          <w:color w:val="auto"/>
          <w:u w:val="single"/>
          <w:lang w:val="en-US" w:eastAsia="zh-CN"/>
        </w:rPr>
      </w:pPr>
      <w:r>
        <w:rPr>
          <w:rFonts w:hint="eastAsia"/>
          <w:b/>
          <w:bCs/>
          <w:color w:val="auto"/>
          <w:u w:val="single"/>
          <w:lang w:val="en-US" w:eastAsia="zh-CN"/>
        </w:rPr>
        <w:t>*</w:t>
      </w:r>
    </w:p>
    <w:p w14:paraId="25B93ACE">
      <w:pPr>
        <w:bidi w:val="0"/>
        <w:rPr>
          <w:rFonts w:hint="eastAsia"/>
          <w:b/>
          <w:bCs/>
          <w:color w:val="auto"/>
          <w:u w:val="single"/>
          <w:lang w:val="en-US" w:eastAsia="zh-CN"/>
        </w:rPr>
      </w:pPr>
      <w:r>
        <w:rPr>
          <w:rFonts w:hint="eastAsia"/>
          <w:b/>
          <w:bCs/>
          <w:color w:val="auto"/>
          <w:u w:val="single"/>
          <w:lang w:val="en-US" w:eastAsia="zh-CN"/>
        </w:rPr>
        <w:t>*</w:t>
      </w:r>
    </w:p>
    <w:p w14:paraId="7E6F6348">
      <w:pPr>
        <w:bidi w:val="0"/>
        <w:rPr>
          <w:rFonts w:hint="default"/>
          <w:b/>
          <w:bCs/>
          <w:color w:val="auto"/>
          <w:u w:val="single"/>
          <w:lang w:val="en-US" w:eastAsia="zh-CN"/>
        </w:rPr>
      </w:pPr>
      <w:r>
        <w:rPr>
          <w:rFonts w:hint="eastAsia"/>
          <w:b/>
          <w:bCs/>
          <w:color w:val="auto"/>
          <w:u w:val="single"/>
          <w:lang w:val="en-US" w:eastAsia="zh-CN"/>
        </w:rPr>
        <w:t>*</w:t>
      </w:r>
    </w:p>
    <w:p w14:paraId="6BE1E9C5">
      <w:pPr>
        <w:bidi w:val="0"/>
        <w:rPr>
          <w:rFonts w:hint="eastAsia"/>
          <w:b/>
          <w:bCs/>
          <w:color w:val="auto"/>
          <w:u w:val="single"/>
          <w:lang w:val="en-US" w:eastAsia="zh-CN"/>
        </w:rPr>
      </w:pPr>
      <w:r>
        <w:rPr>
          <w:rFonts w:hint="eastAsia"/>
          <w:b/>
          <w:bCs/>
          <w:color w:val="auto"/>
          <w:u w:val="single"/>
          <w:lang w:val="en-US" w:eastAsia="zh-CN"/>
        </w:rPr>
        <w:t>*</w:t>
      </w:r>
    </w:p>
    <w:p w14:paraId="2716704A">
      <w:pPr>
        <w:bidi w:val="0"/>
        <w:rPr>
          <w:rFonts w:hint="default"/>
          <w:b/>
          <w:bCs/>
          <w:color w:val="auto"/>
          <w:u w:val="single"/>
          <w:lang w:val="en-US" w:eastAsia="zh-CN"/>
        </w:rPr>
      </w:pPr>
      <w:r>
        <w:rPr>
          <w:rFonts w:hint="eastAsia"/>
          <w:b/>
          <w:bCs/>
          <w:color w:val="auto"/>
          <w:u w:val="single"/>
          <w:lang w:val="en-US" w:eastAsia="zh-CN"/>
        </w:rPr>
        <w:t>*</w:t>
      </w:r>
    </w:p>
    <w:p w14:paraId="2D745E5B">
      <w:pPr>
        <w:bidi w:val="0"/>
        <w:rPr>
          <w:rFonts w:hint="eastAsia"/>
          <w:b/>
          <w:bCs/>
          <w:color w:val="auto"/>
          <w:u w:val="single"/>
          <w:lang w:val="en-US" w:eastAsia="zh-CN"/>
        </w:rPr>
      </w:pPr>
      <w:r>
        <w:rPr>
          <w:rFonts w:hint="eastAsia"/>
          <w:b/>
          <w:bCs/>
          <w:color w:val="auto"/>
          <w:u w:val="single"/>
          <w:lang w:val="en-US" w:eastAsia="zh-CN"/>
        </w:rPr>
        <w:t>*</w:t>
      </w:r>
    </w:p>
    <w:p w14:paraId="55A00D21">
      <w:pPr>
        <w:bidi w:val="0"/>
        <w:rPr>
          <w:rFonts w:hint="default"/>
          <w:b/>
          <w:bCs/>
          <w:color w:val="auto"/>
          <w:u w:val="single"/>
          <w:lang w:val="en-US" w:eastAsia="zh-CN"/>
        </w:rPr>
      </w:pPr>
      <w:r>
        <w:rPr>
          <w:rFonts w:hint="eastAsia"/>
          <w:b/>
          <w:bCs/>
          <w:color w:val="auto"/>
          <w:u w:val="single"/>
          <w:lang w:val="en-US" w:eastAsia="zh-CN"/>
        </w:rPr>
        <w:t>*</w:t>
      </w:r>
    </w:p>
    <w:p w14:paraId="0D7B102E">
      <w:pPr>
        <w:bidi w:val="0"/>
        <w:rPr>
          <w:rFonts w:hint="eastAsia"/>
          <w:b/>
          <w:bCs/>
          <w:color w:val="auto"/>
          <w:u w:val="single"/>
          <w:lang w:val="en-US" w:eastAsia="zh-CN"/>
        </w:rPr>
      </w:pPr>
      <w:r>
        <w:rPr>
          <w:rFonts w:hint="eastAsia"/>
          <w:b/>
          <w:bCs/>
          <w:color w:val="auto"/>
          <w:u w:val="single"/>
          <w:lang w:val="en-US" w:eastAsia="zh-CN"/>
        </w:rPr>
        <w:t>*</w:t>
      </w:r>
    </w:p>
    <w:p w14:paraId="2CAEC15E">
      <w:pPr>
        <w:bidi w:val="0"/>
        <w:rPr>
          <w:rFonts w:hint="default"/>
          <w:b/>
          <w:bCs/>
          <w:color w:val="auto"/>
          <w:u w:val="single"/>
          <w:lang w:val="en-US" w:eastAsia="zh-CN"/>
        </w:rPr>
      </w:pPr>
      <w:r>
        <w:rPr>
          <w:rFonts w:hint="eastAsia"/>
          <w:b/>
          <w:bCs/>
          <w:color w:val="auto"/>
          <w:u w:val="single"/>
          <w:lang w:val="en-US" w:eastAsia="zh-CN"/>
        </w:rPr>
        <w:t>*</w:t>
      </w:r>
    </w:p>
    <w:p w14:paraId="48876B90">
      <w:pPr>
        <w:bidi w:val="0"/>
        <w:rPr>
          <w:rFonts w:hint="eastAsia"/>
          <w:b/>
          <w:bCs/>
          <w:color w:val="auto"/>
          <w:u w:val="single"/>
          <w:lang w:val="en-US" w:eastAsia="zh-CN"/>
        </w:rPr>
      </w:pPr>
      <w:r>
        <w:rPr>
          <w:rFonts w:hint="eastAsia"/>
          <w:b/>
          <w:bCs/>
          <w:color w:val="auto"/>
          <w:u w:val="single"/>
          <w:lang w:val="en-US" w:eastAsia="zh-CN"/>
        </w:rPr>
        <w:t>*</w:t>
      </w:r>
    </w:p>
    <w:p w14:paraId="2BDB3DD8">
      <w:pPr>
        <w:bidi w:val="0"/>
        <w:rPr>
          <w:rFonts w:hint="default"/>
          <w:b/>
          <w:bCs/>
          <w:color w:val="auto"/>
          <w:u w:val="single"/>
          <w:lang w:val="en-US" w:eastAsia="zh-CN"/>
        </w:rPr>
      </w:pPr>
      <w:r>
        <w:rPr>
          <w:rFonts w:hint="eastAsia"/>
          <w:b/>
          <w:bCs/>
          <w:color w:val="auto"/>
          <w:u w:val="single"/>
          <w:lang w:val="en-US" w:eastAsia="zh-CN"/>
        </w:rPr>
        <w:t>*</w:t>
      </w:r>
    </w:p>
    <w:p w14:paraId="1F8B3CC7">
      <w:pPr>
        <w:bidi w:val="0"/>
        <w:rPr>
          <w:rFonts w:hint="eastAsia"/>
          <w:b/>
          <w:bCs/>
          <w:color w:val="auto"/>
          <w:u w:val="single"/>
          <w:lang w:val="en-US" w:eastAsia="zh-CN"/>
        </w:rPr>
      </w:pPr>
      <w:r>
        <w:rPr>
          <w:rFonts w:hint="eastAsia"/>
          <w:b/>
          <w:bCs/>
          <w:color w:val="auto"/>
          <w:u w:val="single"/>
          <w:lang w:val="en-US" w:eastAsia="zh-CN"/>
        </w:rPr>
        <w:t>。</w:t>
      </w:r>
    </w:p>
    <w:p w14:paraId="7B1956D9">
      <w:pPr>
        <w:bidi w:val="0"/>
        <w:rPr>
          <w:rFonts w:hint="eastAsia"/>
          <w:color w:val="auto"/>
          <w:highlight w:val="none"/>
          <w:lang w:val="en-US" w:eastAsia="zh-CN"/>
        </w:rPr>
      </w:pPr>
    </w:p>
    <w:p w14:paraId="40C74191">
      <w:pPr>
        <w:pStyle w:val="5"/>
        <w:bidi w:val="0"/>
        <w:rPr>
          <w:rFonts w:hint="eastAsia"/>
          <w:lang w:val="en-US" w:eastAsia="zh-CN"/>
        </w:rPr>
      </w:pPr>
      <w:r>
        <w:rPr>
          <w:rFonts w:hint="eastAsia"/>
          <w:lang w:val="en-US" w:eastAsia="zh-CN"/>
        </w:rPr>
        <w:t>产污环节分析</w:t>
      </w:r>
    </w:p>
    <w:p w14:paraId="0870A3F9">
      <w:pPr>
        <w:bidi w:val="0"/>
        <w:rPr>
          <w:rFonts w:hint="eastAsia"/>
          <w:b/>
          <w:bCs/>
          <w:color w:val="auto"/>
          <w:u w:val="single"/>
          <w:lang w:val="en-US" w:eastAsia="zh-CN"/>
        </w:rPr>
      </w:pPr>
      <w:r>
        <w:rPr>
          <w:rFonts w:hint="eastAsia"/>
          <w:b/>
          <w:bCs/>
          <w:color w:val="auto"/>
          <w:u w:val="single"/>
          <w:lang w:val="en-US" w:eastAsia="zh-CN"/>
        </w:rPr>
        <w:t>*</w:t>
      </w:r>
    </w:p>
    <w:p w14:paraId="2FDB7850">
      <w:pPr>
        <w:bidi w:val="0"/>
        <w:rPr>
          <w:rFonts w:hint="default"/>
          <w:b/>
          <w:bCs/>
          <w:color w:val="auto"/>
          <w:u w:val="single"/>
          <w:lang w:val="en-US" w:eastAsia="zh-CN"/>
        </w:rPr>
      </w:pPr>
      <w:r>
        <w:rPr>
          <w:rFonts w:hint="eastAsia"/>
          <w:b/>
          <w:bCs/>
          <w:color w:val="auto"/>
          <w:u w:val="single"/>
          <w:lang w:val="en-US" w:eastAsia="zh-CN"/>
        </w:rPr>
        <w:t>*</w:t>
      </w:r>
    </w:p>
    <w:p w14:paraId="39AA219B">
      <w:pPr>
        <w:bidi w:val="0"/>
        <w:rPr>
          <w:rFonts w:hint="eastAsia"/>
          <w:b/>
          <w:bCs/>
          <w:color w:val="auto"/>
          <w:u w:val="single"/>
          <w:lang w:val="en-US" w:eastAsia="zh-CN"/>
        </w:rPr>
      </w:pPr>
      <w:r>
        <w:rPr>
          <w:rFonts w:hint="eastAsia"/>
          <w:b/>
          <w:bCs/>
          <w:color w:val="auto"/>
          <w:u w:val="single"/>
          <w:lang w:val="en-US" w:eastAsia="zh-CN"/>
        </w:rPr>
        <w:t>*</w:t>
      </w:r>
    </w:p>
    <w:p w14:paraId="0B9F6412">
      <w:pPr>
        <w:bidi w:val="0"/>
        <w:rPr>
          <w:rFonts w:hint="default"/>
          <w:b/>
          <w:bCs/>
          <w:color w:val="auto"/>
          <w:u w:val="single"/>
          <w:lang w:val="en-US" w:eastAsia="zh-CN"/>
        </w:rPr>
      </w:pPr>
      <w:r>
        <w:rPr>
          <w:rFonts w:hint="eastAsia"/>
          <w:b/>
          <w:bCs/>
          <w:color w:val="auto"/>
          <w:u w:val="single"/>
          <w:lang w:val="en-US" w:eastAsia="zh-CN"/>
        </w:rPr>
        <w:t>*</w:t>
      </w:r>
    </w:p>
    <w:p w14:paraId="1C26E609">
      <w:pPr>
        <w:bidi w:val="0"/>
        <w:rPr>
          <w:rFonts w:hint="eastAsia"/>
          <w:b/>
          <w:bCs/>
          <w:color w:val="auto"/>
          <w:u w:val="single"/>
          <w:lang w:val="en-US" w:eastAsia="zh-CN"/>
        </w:rPr>
      </w:pPr>
      <w:r>
        <w:rPr>
          <w:rFonts w:hint="eastAsia"/>
          <w:b/>
          <w:bCs/>
          <w:color w:val="auto"/>
          <w:u w:val="single"/>
          <w:lang w:val="en-US" w:eastAsia="zh-CN"/>
        </w:rPr>
        <w:t>*</w:t>
      </w:r>
    </w:p>
    <w:p w14:paraId="21FD43AF">
      <w:pPr>
        <w:bidi w:val="0"/>
        <w:rPr>
          <w:rFonts w:hint="default"/>
          <w:b/>
          <w:bCs/>
          <w:color w:val="auto"/>
          <w:u w:val="single"/>
          <w:lang w:val="en-US" w:eastAsia="zh-CN"/>
        </w:rPr>
      </w:pPr>
      <w:r>
        <w:rPr>
          <w:rFonts w:hint="eastAsia"/>
          <w:b/>
          <w:bCs/>
          <w:color w:val="auto"/>
          <w:u w:val="single"/>
          <w:lang w:val="en-US" w:eastAsia="zh-CN"/>
        </w:rPr>
        <w:t>*</w:t>
      </w:r>
    </w:p>
    <w:p w14:paraId="22C68138">
      <w:pPr>
        <w:bidi w:val="0"/>
        <w:rPr>
          <w:rFonts w:hint="eastAsia"/>
          <w:b/>
          <w:bCs/>
          <w:color w:val="auto"/>
          <w:u w:val="single"/>
          <w:lang w:val="en-US" w:eastAsia="zh-CN"/>
        </w:rPr>
      </w:pPr>
      <w:r>
        <w:rPr>
          <w:rFonts w:hint="eastAsia"/>
          <w:b/>
          <w:bCs/>
          <w:color w:val="auto"/>
          <w:u w:val="single"/>
          <w:lang w:val="en-US" w:eastAsia="zh-CN"/>
        </w:rPr>
        <w:t>*</w:t>
      </w:r>
    </w:p>
    <w:p w14:paraId="6EE927B8">
      <w:pPr>
        <w:bidi w:val="0"/>
        <w:rPr>
          <w:rFonts w:hint="default"/>
          <w:b/>
          <w:bCs/>
          <w:color w:val="auto"/>
          <w:u w:val="single"/>
          <w:lang w:val="en-US" w:eastAsia="zh-CN"/>
        </w:rPr>
      </w:pPr>
      <w:r>
        <w:rPr>
          <w:rFonts w:hint="eastAsia"/>
          <w:b/>
          <w:bCs/>
          <w:color w:val="auto"/>
          <w:u w:val="single"/>
          <w:lang w:val="en-US" w:eastAsia="zh-CN"/>
        </w:rPr>
        <w:t>*</w:t>
      </w:r>
    </w:p>
    <w:p w14:paraId="183D1D36">
      <w:pPr>
        <w:bidi w:val="0"/>
        <w:rPr>
          <w:rFonts w:hint="eastAsia"/>
          <w:b/>
          <w:bCs/>
          <w:color w:val="auto"/>
          <w:u w:val="single"/>
          <w:lang w:val="en-US" w:eastAsia="zh-CN"/>
        </w:rPr>
      </w:pPr>
      <w:r>
        <w:rPr>
          <w:rFonts w:hint="eastAsia"/>
          <w:b/>
          <w:bCs/>
          <w:color w:val="auto"/>
          <w:u w:val="single"/>
          <w:lang w:val="en-US" w:eastAsia="zh-CN"/>
        </w:rPr>
        <w:t>*</w:t>
      </w:r>
    </w:p>
    <w:p w14:paraId="74B31D70">
      <w:pPr>
        <w:bidi w:val="0"/>
        <w:rPr>
          <w:rFonts w:hint="default"/>
          <w:b/>
          <w:bCs/>
          <w:color w:val="auto"/>
          <w:u w:val="single"/>
          <w:lang w:val="en-US" w:eastAsia="zh-CN"/>
        </w:rPr>
      </w:pPr>
      <w:r>
        <w:rPr>
          <w:rFonts w:hint="eastAsia"/>
          <w:b/>
          <w:bCs/>
          <w:color w:val="auto"/>
          <w:u w:val="single"/>
          <w:lang w:val="en-US" w:eastAsia="zh-CN"/>
        </w:rPr>
        <w:t>*</w:t>
      </w:r>
    </w:p>
    <w:p w14:paraId="64C0DC83">
      <w:pPr>
        <w:bidi w:val="0"/>
        <w:rPr>
          <w:rFonts w:hint="eastAsia"/>
          <w:b/>
          <w:bCs/>
          <w:color w:val="auto"/>
          <w:u w:val="single"/>
          <w:lang w:val="en-US" w:eastAsia="zh-CN"/>
        </w:rPr>
      </w:pPr>
      <w:r>
        <w:rPr>
          <w:rFonts w:hint="eastAsia"/>
          <w:b/>
          <w:bCs/>
          <w:color w:val="auto"/>
          <w:u w:val="single"/>
          <w:lang w:val="en-US" w:eastAsia="zh-CN"/>
        </w:rPr>
        <w:t>*</w:t>
      </w:r>
    </w:p>
    <w:p w14:paraId="4D0A4F60">
      <w:pPr>
        <w:bidi w:val="0"/>
        <w:rPr>
          <w:rFonts w:hint="default"/>
          <w:b/>
          <w:bCs/>
          <w:color w:val="auto"/>
          <w:u w:val="single"/>
          <w:lang w:val="en-US" w:eastAsia="zh-CN"/>
        </w:rPr>
      </w:pPr>
      <w:r>
        <w:rPr>
          <w:rFonts w:hint="eastAsia"/>
          <w:b/>
          <w:bCs/>
          <w:color w:val="auto"/>
          <w:u w:val="single"/>
          <w:lang w:val="en-US" w:eastAsia="zh-CN"/>
        </w:rPr>
        <w:t>*</w:t>
      </w:r>
    </w:p>
    <w:p w14:paraId="31904548">
      <w:pPr>
        <w:bidi w:val="0"/>
        <w:rPr>
          <w:rFonts w:hint="eastAsia"/>
          <w:b/>
          <w:bCs/>
          <w:color w:val="auto"/>
          <w:u w:val="single"/>
          <w:lang w:val="en-US" w:eastAsia="zh-CN"/>
        </w:rPr>
      </w:pPr>
      <w:r>
        <w:rPr>
          <w:rFonts w:hint="eastAsia"/>
          <w:b/>
          <w:bCs/>
          <w:color w:val="auto"/>
          <w:u w:val="single"/>
          <w:lang w:val="en-US" w:eastAsia="zh-CN"/>
        </w:rPr>
        <w:t>*</w:t>
      </w:r>
    </w:p>
    <w:p w14:paraId="316AAEEB">
      <w:pPr>
        <w:bidi w:val="0"/>
        <w:rPr>
          <w:rFonts w:hint="default"/>
          <w:b/>
          <w:bCs/>
          <w:color w:val="auto"/>
          <w:u w:val="single"/>
          <w:lang w:val="en-US" w:eastAsia="zh-CN"/>
        </w:rPr>
      </w:pPr>
      <w:r>
        <w:rPr>
          <w:rFonts w:hint="eastAsia"/>
          <w:b/>
          <w:bCs/>
          <w:color w:val="auto"/>
          <w:u w:val="single"/>
          <w:lang w:val="en-US" w:eastAsia="zh-CN"/>
        </w:rPr>
        <w:t>*</w:t>
      </w:r>
    </w:p>
    <w:p w14:paraId="0B2E27D4">
      <w:pPr>
        <w:bidi w:val="0"/>
        <w:rPr>
          <w:rFonts w:hint="eastAsia"/>
          <w:b/>
          <w:bCs/>
          <w:color w:val="auto"/>
          <w:u w:val="single"/>
          <w:lang w:val="en-US" w:eastAsia="zh-CN"/>
        </w:rPr>
      </w:pPr>
      <w:r>
        <w:rPr>
          <w:rFonts w:hint="eastAsia"/>
          <w:b/>
          <w:bCs/>
          <w:color w:val="auto"/>
          <w:u w:val="single"/>
          <w:lang w:val="en-US" w:eastAsia="zh-CN"/>
        </w:rPr>
        <w:t>*</w:t>
      </w:r>
    </w:p>
    <w:p w14:paraId="28F970CA">
      <w:pPr>
        <w:bidi w:val="0"/>
        <w:rPr>
          <w:rFonts w:hint="default"/>
          <w:b/>
          <w:bCs/>
          <w:color w:val="auto"/>
          <w:u w:val="single"/>
          <w:lang w:val="en-US" w:eastAsia="zh-CN"/>
        </w:rPr>
      </w:pPr>
      <w:r>
        <w:rPr>
          <w:rFonts w:hint="eastAsia"/>
          <w:b/>
          <w:bCs/>
          <w:color w:val="auto"/>
          <w:u w:val="single"/>
          <w:lang w:val="en-US" w:eastAsia="zh-CN"/>
        </w:rPr>
        <w:t>*</w:t>
      </w:r>
    </w:p>
    <w:p w14:paraId="5C2A7C30">
      <w:pPr>
        <w:bidi w:val="0"/>
        <w:rPr>
          <w:rFonts w:hint="eastAsia"/>
          <w:b/>
          <w:bCs/>
          <w:color w:val="auto"/>
          <w:u w:val="single"/>
          <w:lang w:val="en-US" w:eastAsia="zh-CN"/>
        </w:rPr>
      </w:pPr>
      <w:r>
        <w:rPr>
          <w:rFonts w:hint="eastAsia"/>
          <w:b/>
          <w:bCs/>
          <w:color w:val="auto"/>
          <w:u w:val="single"/>
          <w:lang w:val="en-US" w:eastAsia="zh-CN"/>
        </w:rPr>
        <w:t>*</w:t>
      </w:r>
    </w:p>
    <w:p w14:paraId="295197B8">
      <w:pPr>
        <w:bidi w:val="0"/>
        <w:rPr>
          <w:rFonts w:hint="default"/>
          <w:b/>
          <w:bCs/>
          <w:color w:val="auto"/>
          <w:u w:val="single"/>
          <w:lang w:val="en-US" w:eastAsia="zh-CN"/>
        </w:rPr>
      </w:pPr>
      <w:r>
        <w:rPr>
          <w:rFonts w:hint="eastAsia"/>
          <w:b/>
          <w:bCs/>
          <w:color w:val="auto"/>
          <w:u w:val="single"/>
          <w:lang w:val="en-US" w:eastAsia="zh-CN"/>
        </w:rPr>
        <w:t>*</w:t>
      </w:r>
    </w:p>
    <w:p w14:paraId="30443771">
      <w:pPr>
        <w:bidi w:val="0"/>
        <w:rPr>
          <w:rFonts w:hint="eastAsia"/>
          <w:b/>
          <w:bCs/>
          <w:color w:val="auto"/>
          <w:u w:val="single"/>
          <w:lang w:val="en-US" w:eastAsia="zh-CN"/>
        </w:rPr>
      </w:pPr>
      <w:r>
        <w:rPr>
          <w:rFonts w:hint="eastAsia"/>
          <w:b/>
          <w:bCs/>
          <w:color w:val="auto"/>
          <w:u w:val="single"/>
          <w:lang w:val="en-US" w:eastAsia="zh-CN"/>
        </w:rPr>
        <w:t>*</w:t>
      </w:r>
    </w:p>
    <w:p w14:paraId="5202C457">
      <w:pPr>
        <w:bidi w:val="0"/>
        <w:rPr>
          <w:rFonts w:hint="default"/>
          <w:b/>
          <w:bCs/>
          <w:color w:val="auto"/>
          <w:u w:val="single"/>
          <w:lang w:val="en-US" w:eastAsia="zh-CN"/>
        </w:rPr>
      </w:pPr>
      <w:r>
        <w:rPr>
          <w:rFonts w:hint="eastAsia"/>
          <w:b/>
          <w:bCs/>
          <w:color w:val="auto"/>
          <w:u w:val="single"/>
          <w:lang w:val="en-US" w:eastAsia="zh-CN"/>
        </w:rPr>
        <w:t>*</w:t>
      </w:r>
    </w:p>
    <w:p w14:paraId="272B299C">
      <w:pPr>
        <w:bidi w:val="0"/>
        <w:rPr>
          <w:rFonts w:hint="eastAsia"/>
          <w:b/>
          <w:bCs/>
          <w:color w:val="auto"/>
          <w:u w:val="single"/>
          <w:lang w:val="en-US" w:eastAsia="zh-CN"/>
        </w:rPr>
      </w:pPr>
      <w:r>
        <w:rPr>
          <w:rFonts w:hint="eastAsia"/>
          <w:b/>
          <w:bCs/>
          <w:color w:val="auto"/>
          <w:u w:val="single"/>
          <w:lang w:val="en-US" w:eastAsia="zh-CN"/>
        </w:rPr>
        <w:t>*</w:t>
      </w:r>
    </w:p>
    <w:p w14:paraId="2489B078">
      <w:pPr>
        <w:bidi w:val="0"/>
        <w:rPr>
          <w:rFonts w:hint="default"/>
          <w:b/>
          <w:bCs/>
          <w:color w:val="auto"/>
          <w:u w:val="single"/>
          <w:lang w:val="en-US" w:eastAsia="zh-CN"/>
        </w:rPr>
      </w:pPr>
      <w:r>
        <w:rPr>
          <w:rFonts w:hint="eastAsia"/>
          <w:b/>
          <w:bCs/>
          <w:color w:val="auto"/>
          <w:u w:val="single"/>
          <w:lang w:val="en-US" w:eastAsia="zh-CN"/>
        </w:rPr>
        <w:t>*</w:t>
      </w:r>
    </w:p>
    <w:p w14:paraId="705E382A">
      <w:pPr>
        <w:bidi w:val="0"/>
        <w:rPr>
          <w:rFonts w:hint="eastAsia"/>
          <w:b/>
          <w:bCs/>
          <w:color w:val="auto"/>
          <w:u w:val="single"/>
          <w:lang w:val="en-US" w:eastAsia="zh-CN"/>
        </w:rPr>
      </w:pPr>
      <w:r>
        <w:rPr>
          <w:rFonts w:hint="eastAsia"/>
          <w:b/>
          <w:bCs/>
          <w:color w:val="auto"/>
          <w:u w:val="single"/>
          <w:lang w:val="en-US" w:eastAsia="zh-CN"/>
        </w:rPr>
        <w:t>*</w:t>
      </w:r>
    </w:p>
    <w:p w14:paraId="1A001A24">
      <w:pPr>
        <w:bidi w:val="0"/>
        <w:rPr>
          <w:rFonts w:hint="default"/>
          <w:b/>
          <w:bCs/>
          <w:color w:val="auto"/>
          <w:u w:val="single"/>
          <w:lang w:val="en-US" w:eastAsia="zh-CN"/>
        </w:rPr>
      </w:pPr>
      <w:r>
        <w:rPr>
          <w:rFonts w:hint="eastAsia"/>
          <w:b/>
          <w:bCs/>
          <w:color w:val="auto"/>
          <w:u w:val="single"/>
          <w:lang w:val="en-US" w:eastAsia="zh-CN"/>
        </w:rPr>
        <w:t>*</w:t>
      </w:r>
    </w:p>
    <w:p w14:paraId="30CC70EF">
      <w:pPr>
        <w:bidi w:val="0"/>
        <w:rPr>
          <w:rFonts w:hint="eastAsia"/>
          <w:b/>
          <w:bCs/>
          <w:color w:val="auto"/>
          <w:u w:val="single"/>
          <w:lang w:val="en-US" w:eastAsia="zh-CN"/>
        </w:rPr>
      </w:pPr>
      <w:r>
        <w:rPr>
          <w:rFonts w:hint="eastAsia"/>
          <w:b/>
          <w:bCs/>
          <w:color w:val="auto"/>
          <w:u w:val="single"/>
          <w:lang w:val="en-US" w:eastAsia="zh-CN"/>
        </w:rPr>
        <w:t>*</w:t>
      </w:r>
    </w:p>
    <w:p w14:paraId="3B69F56D">
      <w:pPr>
        <w:bidi w:val="0"/>
        <w:rPr>
          <w:rFonts w:hint="default"/>
          <w:b/>
          <w:bCs/>
          <w:color w:val="auto"/>
          <w:u w:val="single"/>
          <w:lang w:val="en-US" w:eastAsia="zh-CN"/>
        </w:rPr>
      </w:pPr>
      <w:r>
        <w:rPr>
          <w:rFonts w:hint="eastAsia"/>
          <w:b/>
          <w:bCs/>
          <w:color w:val="auto"/>
          <w:u w:val="single"/>
          <w:lang w:val="en-US" w:eastAsia="zh-CN"/>
        </w:rPr>
        <w:t>*</w:t>
      </w:r>
    </w:p>
    <w:p w14:paraId="71ABAE41">
      <w:pPr>
        <w:bidi w:val="0"/>
        <w:rPr>
          <w:rFonts w:hint="eastAsia"/>
          <w:b/>
          <w:bCs/>
          <w:color w:val="auto"/>
          <w:u w:val="single"/>
          <w:lang w:val="en-US" w:eastAsia="zh-CN"/>
        </w:rPr>
      </w:pPr>
      <w:r>
        <w:rPr>
          <w:rFonts w:hint="eastAsia"/>
          <w:b/>
          <w:bCs/>
          <w:color w:val="auto"/>
          <w:u w:val="single"/>
          <w:lang w:val="en-US" w:eastAsia="zh-CN"/>
        </w:rPr>
        <w:t>。</w:t>
      </w:r>
    </w:p>
    <w:p w14:paraId="37853492">
      <w:pPr>
        <w:bidi w:val="0"/>
        <w:rPr>
          <w:color w:val="auto"/>
        </w:rPr>
      </w:pPr>
    </w:p>
    <w:p w14:paraId="19A91790">
      <w:pPr>
        <w:bidi w:val="0"/>
        <w:rPr>
          <w:color w:val="auto"/>
        </w:rPr>
      </w:pPr>
      <w:r>
        <w:rPr>
          <w:rFonts w:hint="eastAsia"/>
          <w:color w:val="auto"/>
        </w:rPr>
        <w:t>本项目</w:t>
      </w:r>
      <w:r>
        <w:rPr>
          <w:color w:val="auto"/>
        </w:rPr>
        <w:t>主要产污环节</w:t>
      </w:r>
      <w:r>
        <w:rPr>
          <w:rFonts w:hint="eastAsia"/>
          <w:color w:val="auto"/>
        </w:rPr>
        <w:t>见下</w:t>
      </w:r>
      <w:r>
        <w:rPr>
          <w:color w:val="auto"/>
        </w:rPr>
        <w:t>表。</w:t>
      </w:r>
    </w:p>
    <w:p w14:paraId="42B4FB41">
      <w:pPr>
        <w:pStyle w:val="10"/>
        <w:bidi w:val="0"/>
      </w:pPr>
      <w:r>
        <w:t xml:space="preserve">表 </w:t>
      </w:r>
      <w:r>
        <w:fldChar w:fldCharType="begin"/>
      </w:r>
      <w:r>
        <w:instrText xml:space="preserve"> STYLEREF 2 \s </w:instrText>
      </w:r>
      <w:r>
        <w:fldChar w:fldCharType="separate"/>
      </w:r>
      <w:r>
        <w:t>4.2</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w:t>
      </w:r>
      <w:r>
        <w:rPr>
          <w:rFonts w:hint="eastAsia"/>
        </w:rPr>
        <w:t>本项目</w:t>
      </w:r>
      <w:r>
        <w:t>运营期产排污</w:t>
      </w:r>
      <w:r>
        <w:rPr>
          <w:rFonts w:hint="eastAsia"/>
        </w:rPr>
        <w:t>环节一览表</w:t>
      </w:r>
    </w:p>
    <w:tbl>
      <w:tblPr>
        <w:tblStyle w:val="31"/>
        <w:tblW w:w="5000"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108" w:type="dxa"/>
          <w:bottom w:w="0" w:type="dxa"/>
          <w:right w:w="108" w:type="dxa"/>
        </w:tblCellMar>
      </w:tblPr>
      <w:tblGrid>
        <w:gridCol w:w="701"/>
        <w:gridCol w:w="2627"/>
        <w:gridCol w:w="1890"/>
        <w:gridCol w:w="3787"/>
      </w:tblGrid>
      <w:tr w14:paraId="06A79AD0">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tcBorders>
              <w:top w:val="single" w:color="000000" w:sz="8" w:space="0"/>
              <w:left w:val="single" w:color="000000" w:sz="8" w:space="0"/>
              <w:bottom w:val="single" w:color="000000" w:sz="6" w:space="0"/>
              <w:right w:val="single" w:color="000000" w:sz="6" w:space="0"/>
            </w:tcBorders>
            <w:tcMar>
              <w:top w:w="28" w:type="dxa"/>
              <w:left w:w="108" w:type="dxa"/>
              <w:bottom w:w="28" w:type="dxa"/>
              <w:right w:w="108" w:type="dxa"/>
            </w:tcMar>
            <w:vAlign w:val="center"/>
          </w:tcPr>
          <w:p w14:paraId="57B4CE78">
            <w:pPr>
              <w:pStyle w:val="182"/>
              <w:bidi w:val="0"/>
              <w:rPr>
                <w:b/>
                <w:bCs/>
                <w:color w:val="auto"/>
                <w:u w:val="none"/>
              </w:rPr>
            </w:pPr>
            <w:r>
              <w:rPr>
                <w:b/>
                <w:bCs/>
                <w:color w:val="auto"/>
                <w:u w:val="none"/>
              </w:rPr>
              <w:t>项目</w:t>
            </w:r>
          </w:p>
        </w:tc>
        <w:tc>
          <w:tcPr>
            <w:tcW w:w="1458" w:type="pct"/>
            <w:tcBorders>
              <w:top w:val="single" w:color="000000" w:sz="8"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5CBFCCC7">
            <w:pPr>
              <w:pStyle w:val="182"/>
              <w:bidi w:val="0"/>
              <w:rPr>
                <w:b/>
                <w:bCs/>
                <w:color w:val="auto"/>
                <w:u w:val="none"/>
              </w:rPr>
            </w:pPr>
            <w:r>
              <w:rPr>
                <w:b/>
                <w:bCs/>
                <w:color w:val="auto"/>
                <w:u w:val="none"/>
              </w:rPr>
              <w:t>产污环节</w:t>
            </w:r>
          </w:p>
        </w:tc>
        <w:tc>
          <w:tcPr>
            <w:tcW w:w="1049" w:type="pct"/>
            <w:tcBorders>
              <w:top w:val="single" w:color="000000" w:sz="8"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5C1DCDDC">
            <w:pPr>
              <w:pStyle w:val="182"/>
              <w:bidi w:val="0"/>
              <w:rPr>
                <w:b/>
                <w:bCs/>
                <w:color w:val="auto"/>
                <w:u w:val="none"/>
              </w:rPr>
            </w:pPr>
            <w:r>
              <w:rPr>
                <w:b/>
                <w:bCs/>
                <w:color w:val="auto"/>
                <w:u w:val="none"/>
              </w:rPr>
              <w:t>污染因子</w:t>
            </w:r>
          </w:p>
        </w:tc>
        <w:tc>
          <w:tcPr>
            <w:tcW w:w="2102" w:type="pct"/>
            <w:tcBorders>
              <w:top w:val="single" w:color="000000" w:sz="8" w:space="0"/>
              <w:left w:val="single" w:color="000000" w:sz="6" w:space="0"/>
              <w:bottom w:val="single" w:color="000000" w:sz="6" w:space="0"/>
              <w:right w:val="single" w:color="000000" w:sz="8" w:space="0"/>
            </w:tcBorders>
            <w:vAlign w:val="center"/>
          </w:tcPr>
          <w:p w14:paraId="0D9F5AA3">
            <w:pPr>
              <w:pStyle w:val="182"/>
              <w:bidi w:val="0"/>
              <w:rPr>
                <w:b/>
                <w:bCs/>
                <w:color w:val="auto"/>
                <w:u w:val="none"/>
              </w:rPr>
            </w:pPr>
            <w:r>
              <w:rPr>
                <w:b/>
                <w:bCs/>
                <w:color w:val="auto"/>
                <w:u w:val="none"/>
              </w:rPr>
              <w:t>治理措施</w:t>
            </w:r>
          </w:p>
        </w:tc>
      </w:tr>
      <w:tr w14:paraId="2195CBEB">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restart"/>
            <w:tcBorders>
              <w:top w:val="single" w:color="000000" w:sz="6" w:space="0"/>
              <w:left w:val="single" w:color="000000" w:sz="8" w:space="0"/>
              <w:right w:val="single" w:color="000000" w:sz="6" w:space="0"/>
            </w:tcBorders>
            <w:tcMar>
              <w:top w:w="28" w:type="dxa"/>
              <w:left w:w="108" w:type="dxa"/>
              <w:bottom w:w="28" w:type="dxa"/>
              <w:right w:w="108" w:type="dxa"/>
            </w:tcMar>
            <w:vAlign w:val="center"/>
          </w:tcPr>
          <w:p w14:paraId="28EADD30">
            <w:pPr>
              <w:pStyle w:val="182"/>
              <w:bidi w:val="0"/>
              <w:rPr>
                <w:b w:val="0"/>
                <w:bCs w:val="0"/>
                <w:color w:val="auto"/>
                <w:u w:val="none"/>
              </w:rPr>
            </w:pPr>
            <w:r>
              <w:rPr>
                <w:b w:val="0"/>
                <w:bCs w:val="0"/>
                <w:color w:val="auto"/>
                <w:u w:val="none"/>
              </w:rPr>
              <w:t>废气</w:t>
            </w:r>
          </w:p>
        </w:tc>
        <w:tc>
          <w:tcPr>
            <w:tcW w:w="1458" w:type="pct"/>
            <w:tcBorders>
              <w:top w:val="single" w:color="000000" w:sz="6" w:space="0"/>
              <w:left w:val="single" w:color="000000" w:sz="6" w:space="0"/>
              <w:right w:val="single" w:color="000000" w:sz="6" w:space="0"/>
            </w:tcBorders>
            <w:tcMar>
              <w:top w:w="28" w:type="dxa"/>
              <w:left w:w="108" w:type="dxa"/>
              <w:bottom w:w="28" w:type="dxa"/>
              <w:right w:w="108" w:type="dxa"/>
            </w:tcMar>
            <w:vAlign w:val="center"/>
          </w:tcPr>
          <w:p w14:paraId="5D4C6156">
            <w:pPr>
              <w:bidi w:val="0"/>
              <w:ind w:firstLine="482" w:firstLineChars="200"/>
              <w:rPr>
                <w:rFonts w:hint="default" w:ascii="Times New Roman" w:hAnsi="Times New Roman" w:eastAsia="宋体" w:cs="Times New Roman"/>
                <w:b w:val="0"/>
                <w:bCs w:val="0"/>
                <w:color w:val="auto"/>
                <w:kern w:val="2"/>
                <w:sz w:val="21"/>
                <w:szCs w:val="21"/>
                <w:u w:val="none"/>
                <w:lang w:val="en-US" w:eastAsia="zh-CN" w:bidi="ar-SA"/>
              </w:rPr>
            </w:pPr>
            <w:r>
              <w:rPr>
                <w:rFonts w:hint="eastAsia"/>
                <w:b/>
                <w:bCs/>
                <w:color w:val="auto"/>
                <w:u w:val="single"/>
                <w:lang w:val="en-US" w:eastAsia="zh-CN"/>
              </w:rPr>
              <w:t>*</w:t>
            </w:r>
          </w:p>
        </w:tc>
        <w:tc>
          <w:tcPr>
            <w:tcW w:w="1049"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48F0670E">
            <w:pPr>
              <w:bidi w:val="0"/>
              <w:ind w:firstLine="482" w:firstLineChars="200"/>
              <w:rPr>
                <w:rFonts w:hint="eastAsia" w:ascii="Times New Roman" w:hAnsi="Times New Roman" w:eastAsia="宋体" w:cs="Times New Roman"/>
                <w:b w:val="0"/>
                <w:bCs w:val="0"/>
                <w:color w:val="auto"/>
                <w:kern w:val="2"/>
                <w:sz w:val="21"/>
                <w:szCs w:val="21"/>
                <w:u w:val="none"/>
                <w:lang w:val="en-US" w:eastAsia="zh-CN" w:bidi="ar-SA"/>
              </w:rPr>
            </w:pPr>
            <w:r>
              <w:rPr>
                <w:rFonts w:hint="eastAsia"/>
                <w:b/>
                <w:bCs/>
                <w:color w:val="auto"/>
                <w:u w:val="single"/>
                <w:lang w:val="en-US" w:eastAsia="zh-CN"/>
              </w:rPr>
              <w:t>*</w:t>
            </w:r>
          </w:p>
        </w:tc>
        <w:tc>
          <w:tcPr>
            <w:tcW w:w="2102" w:type="pct"/>
            <w:tcBorders>
              <w:top w:val="single" w:color="000000" w:sz="6" w:space="0"/>
              <w:left w:val="single" w:color="000000" w:sz="6" w:space="0"/>
              <w:bottom w:val="single" w:color="000000" w:sz="6" w:space="0"/>
              <w:right w:val="single" w:color="000000" w:sz="8" w:space="0"/>
            </w:tcBorders>
            <w:vAlign w:val="center"/>
          </w:tcPr>
          <w:p w14:paraId="537CFB20">
            <w:pPr>
              <w:bidi w:val="0"/>
              <w:ind w:firstLine="482" w:firstLineChars="200"/>
              <w:rPr>
                <w:rFonts w:hint="default" w:ascii="Times New Roman" w:hAnsi="Times New Roman" w:eastAsia="宋体" w:cs="Times New Roman"/>
                <w:b w:val="0"/>
                <w:bCs w:val="0"/>
                <w:color w:val="auto"/>
                <w:kern w:val="2"/>
                <w:sz w:val="21"/>
                <w:szCs w:val="21"/>
                <w:u w:val="none"/>
                <w:lang w:val="en-US" w:eastAsia="zh-CN" w:bidi="ar-SA"/>
              </w:rPr>
            </w:pPr>
            <w:r>
              <w:rPr>
                <w:rFonts w:hint="eastAsia"/>
                <w:b/>
                <w:bCs/>
                <w:color w:val="auto"/>
                <w:u w:val="single"/>
                <w:lang w:val="en-US" w:eastAsia="zh-CN"/>
              </w:rPr>
              <w:t>*</w:t>
            </w:r>
          </w:p>
        </w:tc>
      </w:tr>
      <w:tr w14:paraId="116D5DF7">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0CFBD131">
            <w:pPr>
              <w:pStyle w:val="182"/>
              <w:bidi w:val="0"/>
              <w:rPr>
                <w:b w:val="0"/>
                <w:bCs w:val="0"/>
                <w:color w:val="auto"/>
                <w:u w:val="none"/>
              </w:rPr>
            </w:pPr>
          </w:p>
        </w:tc>
        <w:tc>
          <w:tcPr>
            <w:tcW w:w="1458" w:type="pct"/>
            <w:tcBorders>
              <w:top w:val="single" w:color="000000" w:sz="6" w:space="0"/>
              <w:left w:val="single" w:color="000000" w:sz="6" w:space="0"/>
              <w:right w:val="single" w:color="000000" w:sz="6" w:space="0"/>
            </w:tcBorders>
            <w:tcMar>
              <w:top w:w="28" w:type="dxa"/>
              <w:left w:w="108" w:type="dxa"/>
              <w:bottom w:w="28" w:type="dxa"/>
              <w:right w:w="108" w:type="dxa"/>
            </w:tcMar>
            <w:vAlign w:val="center"/>
          </w:tcPr>
          <w:p w14:paraId="22C2F622">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049"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47D93376">
            <w:pPr>
              <w:bidi w:val="0"/>
              <w:ind w:firstLine="482" w:firstLineChars="200"/>
              <w:rPr>
                <w:rFonts w:hint="eastAsia" w:eastAsia="宋体"/>
                <w:b w:val="0"/>
                <w:bCs w:val="0"/>
                <w:color w:val="auto"/>
                <w:u w:val="none"/>
                <w:lang w:val="en-US" w:eastAsia="zh-CN"/>
              </w:rPr>
            </w:pPr>
            <w:r>
              <w:rPr>
                <w:rFonts w:hint="eastAsia"/>
                <w:b/>
                <w:bCs/>
                <w:color w:val="auto"/>
                <w:u w:val="single"/>
                <w:lang w:val="en-US" w:eastAsia="zh-CN"/>
              </w:rPr>
              <w:t>*</w:t>
            </w:r>
          </w:p>
        </w:tc>
        <w:tc>
          <w:tcPr>
            <w:tcW w:w="2102" w:type="pct"/>
            <w:vMerge w:val="restart"/>
            <w:tcBorders>
              <w:top w:val="single" w:color="000000" w:sz="6" w:space="0"/>
              <w:left w:val="single" w:color="000000" w:sz="6" w:space="0"/>
              <w:right w:val="single" w:color="000000" w:sz="8" w:space="0"/>
            </w:tcBorders>
            <w:vAlign w:val="center"/>
          </w:tcPr>
          <w:p w14:paraId="1DF59241">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6E5A1353">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79AC4E46">
            <w:pPr>
              <w:bidi w:val="0"/>
              <w:ind w:firstLine="482" w:firstLineChars="200"/>
              <w:rPr>
                <w:rFonts w:hint="eastAsia"/>
                <w:lang w:val="en-US" w:eastAsia="zh-CN"/>
              </w:rPr>
            </w:pPr>
            <w:r>
              <w:rPr>
                <w:rFonts w:hint="eastAsia"/>
                <w:b/>
                <w:bCs/>
                <w:color w:val="auto"/>
                <w:u w:val="single"/>
                <w:lang w:val="en-US" w:eastAsia="zh-CN"/>
              </w:rPr>
              <w:t>*</w:t>
            </w:r>
          </w:p>
        </w:tc>
      </w:tr>
      <w:tr w14:paraId="6FC16C38">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29054176">
            <w:pPr>
              <w:pStyle w:val="182"/>
              <w:bidi w:val="0"/>
              <w:rPr>
                <w:b w:val="0"/>
                <w:bCs w:val="0"/>
                <w:color w:val="auto"/>
                <w:u w:val="none"/>
              </w:rPr>
            </w:pPr>
          </w:p>
        </w:tc>
        <w:tc>
          <w:tcPr>
            <w:tcW w:w="1458" w:type="pct"/>
            <w:tcBorders>
              <w:top w:val="single" w:color="000000" w:sz="6" w:space="0"/>
              <w:left w:val="single" w:color="000000" w:sz="6" w:space="0"/>
              <w:right w:val="single" w:color="000000" w:sz="6" w:space="0"/>
            </w:tcBorders>
            <w:tcMar>
              <w:top w:w="28" w:type="dxa"/>
              <w:left w:w="108" w:type="dxa"/>
              <w:bottom w:w="28" w:type="dxa"/>
              <w:right w:w="108" w:type="dxa"/>
            </w:tcMar>
            <w:vAlign w:val="center"/>
          </w:tcPr>
          <w:p w14:paraId="109A5659">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049"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6D3556E6">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2102" w:type="pct"/>
            <w:vMerge w:val="continue"/>
            <w:tcBorders>
              <w:left w:val="single" w:color="000000" w:sz="6" w:space="0"/>
              <w:right w:val="single" w:color="000000" w:sz="8" w:space="0"/>
            </w:tcBorders>
            <w:vAlign w:val="center"/>
          </w:tcPr>
          <w:p w14:paraId="29002070">
            <w:pPr>
              <w:pStyle w:val="182"/>
              <w:bidi w:val="0"/>
              <w:ind w:firstLine="0" w:firstLineChars="0"/>
              <w:rPr>
                <w:rFonts w:hint="eastAsia"/>
                <w:b w:val="0"/>
                <w:bCs w:val="0"/>
                <w:color w:val="auto"/>
                <w:u w:val="none"/>
                <w:lang w:val="en-US" w:eastAsia="zh-CN"/>
              </w:rPr>
            </w:pPr>
          </w:p>
        </w:tc>
      </w:tr>
      <w:tr w14:paraId="0CA1EA1E">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22082031">
            <w:pPr>
              <w:pStyle w:val="182"/>
              <w:bidi w:val="0"/>
              <w:rPr>
                <w:b w:val="0"/>
                <w:bCs w:val="0"/>
                <w:color w:val="auto"/>
                <w:u w:val="none"/>
              </w:rPr>
            </w:pPr>
          </w:p>
        </w:tc>
        <w:tc>
          <w:tcPr>
            <w:tcW w:w="1458" w:type="pct"/>
            <w:tcBorders>
              <w:top w:val="single" w:color="000000" w:sz="6" w:space="0"/>
              <w:left w:val="single" w:color="000000" w:sz="6" w:space="0"/>
              <w:right w:val="single" w:color="000000" w:sz="6" w:space="0"/>
            </w:tcBorders>
            <w:tcMar>
              <w:top w:w="28" w:type="dxa"/>
              <w:left w:w="108" w:type="dxa"/>
              <w:bottom w:w="28" w:type="dxa"/>
              <w:right w:w="108" w:type="dxa"/>
            </w:tcMar>
            <w:vAlign w:val="center"/>
          </w:tcPr>
          <w:p w14:paraId="7A3ECBA3">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049"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1B46523F">
            <w:pPr>
              <w:bidi w:val="0"/>
              <w:ind w:firstLine="482" w:firstLineChars="200"/>
              <w:rPr>
                <w:rFonts w:hint="eastAsia"/>
                <w:b w:val="0"/>
                <w:bCs w:val="0"/>
                <w:color w:val="auto"/>
                <w:u w:val="none"/>
              </w:rPr>
            </w:pPr>
            <w:r>
              <w:rPr>
                <w:rFonts w:hint="eastAsia"/>
                <w:b/>
                <w:bCs/>
                <w:color w:val="auto"/>
                <w:u w:val="single"/>
                <w:lang w:val="en-US" w:eastAsia="zh-CN"/>
              </w:rPr>
              <w:t>*</w:t>
            </w:r>
          </w:p>
        </w:tc>
        <w:tc>
          <w:tcPr>
            <w:tcW w:w="2102" w:type="pct"/>
            <w:vMerge w:val="continue"/>
            <w:tcBorders>
              <w:left w:val="single" w:color="000000" w:sz="6" w:space="0"/>
              <w:bottom w:val="single" w:color="000000" w:sz="6" w:space="0"/>
              <w:right w:val="single" w:color="000000" w:sz="8" w:space="0"/>
            </w:tcBorders>
            <w:vAlign w:val="center"/>
          </w:tcPr>
          <w:p w14:paraId="4D6D4A78">
            <w:pPr>
              <w:pStyle w:val="182"/>
              <w:bidi w:val="0"/>
              <w:ind w:firstLine="0" w:firstLineChars="0"/>
              <w:rPr>
                <w:rFonts w:hint="eastAsia"/>
                <w:b w:val="0"/>
                <w:bCs w:val="0"/>
                <w:color w:val="auto"/>
                <w:u w:val="none"/>
                <w:lang w:val="en-US" w:eastAsia="zh-CN"/>
              </w:rPr>
            </w:pPr>
          </w:p>
        </w:tc>
      </w:tr>
      <w:tr w14:paraId="02FFDCB6">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restart"/>
            <w:tcBorders>
              <w:top w:val="single" w:color="000000" w:sz="6" w:space="0"/>
              <w:left w:val="single" w:color="000000" w:sz="8" w:space="0"/>
              <w:right w:val="single" w:color="000000" w:sz="6" w:space="0"/>
            </w:tcBorders>
            <w:tcMar>
              <w:top w:w="28" w:type="dxa"/>
              <w:left w:w="108" w:type="dxa"/>
              <w:bottom w:w="28" w:type="dxa"/>
              <w:right w:w="108" w:type="dxa"/>
            </w:tcMar>
            <w:vAlign w:val="center"/>
          </w:tcPr>
          <w:p w14:paraId="6664C684">
            <w:pPr>
              <w:pStyle w:val="182"/>
              <w:bidi w:val="0"/>
              <w:rPr>
                <w:b w:val="0"/>
                <w:bCs w:val="0"/>
                <w:color w:val="auto"/>
                <w:u w:val="none"/>
              </w:rPr>
            </w:pPr>
            <w:r>
              <w:rPr>
                <w:b w:val="0"/>
                <w:bCs w:val="0"/>
                <w:color w:val="auto"/>
                <w:u w:val="none"/>
              </w:rPr>
              <w:t>废水</w:t>
            </w: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170D51F7">
            <w:pPr>
              <w:bidi w:val="0"/>
              <w:ind w:firstLine="482" w:firstLineChars="200"/>
              <w:rPr>
                <w:rFonts w:hint="eastAsia" w:eastAsia="宋体"/>
                <w:b w:val="0"/>
                <w:bCs w:val="0"/>
                <w:color w:val="auto"/>
                <w:u w:val="none"/>
                <w:lang w:val="en-US" w:eastAsia="zh-CN"/>
              </w:rPr>
            </w:pPr>
            <w:r>
              <w:rPr>
                <w:rFonts w:hint="eastAsia"/>
                <w:b/>
                <w:bCs/>
                <w:color w:val="auto"/>
                <w:u w:val="single"/>
                <w:lang w:val="en-US" w:eastAsia="zh-CN"/>
              </w:rPr>
              <w:t>*</w:t>
            </w:r>
          </w:p>
        </w:tc>
        <w:tc>
          <w:tcPr>
            <w:tcW w:w="1049" w:type="pct"/>
            <w:vMerge w:val="restart"/>
            <w:tcBorders>
              <w:top w:val="single" w:color="000000" w:sz="6" w:space="0"/>
              <w:left w:val="single" w:color="000000" w:sz="6" w:space="0"/>
              <w:right w:val="single" w:color="000000" w:sz="6" w:space="0"/>
            </w:tcBorders>
            <w:tcMar>
              <w:top w:w="28" w:type="dxa"/>
              <w:left w:w="108" w:type="dxa"/>
              <w:bottom w:w="28" w:type="dxa"/>
              <w:right w:w="108" w:type="dxa"/>
            </w:tcMar>
            <w:vAlign w:val="center"/>
          </w:tcPr>
          <w:p w14:paraId="38B3F97A">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157AB18C">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4373805F">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65841933">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26202DB8">
            <w:pPr>
              <w:bidi w:val="0"/>
              <w:ind w:firstLine="482" w:firstLineChars="200"/>
              <w:rPr>
                <w:rFonts w:hint="default"/>
                <w:lang w:val="en-US" w:eastAsia="zh-CN"/>
              </w:rPr>
            </w:pPr>
            <w:r>
              <w:rPr>
                <w:rFonts w:hint="eastAsia"/>
                <w:b/>
                <w:bCs/>
                <w:color w:val="auto"/>
                <w:u w:val="single"/>
                <w:lang w:val="en-US" w:eastAsia="zh-CN"/>
              </w:rPr>
              <w:t>*</w:t>
            </w:r>
          </w:p>
        </w:tc>
        <w:tc>
          <w:tcPr>
            <w:tcW w:w="2102" w:type="pct"/>
            <w:vMerge w:val="restart"/>
            <w:tcBorders>
              <w:top w:val="single" w:color="000000" w:sz="6" w:space="0"/>
              <w:left w:val="single" w:color="000000" w:sz="6" w:space="0"/>
              <w:right w:val="single" w:color="000000" w:sz="8" w:space="0"/>
            </w:tcBorders>
            <w:vAlign w:val="center"/>
          </w:tcPr>
          <w:p w14:paraId="4136162C">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492327A1">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33A1C774">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715D64C5">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7441F818">
            <w:pPr>
              <w:bidi w:val="0"/>
              <w:ind w:firstLine="482" w:firstLineChars="200"/>
            </w:pPr>
            <w:r>
              <w:rPr>
                <w:rFonts w:hint="eastAsia"/>
                <w:b/>
                <w:bCs/>
                <w:color w:val="auto"/>
                <w:u w:val="single"/>
                <w:lang w:val="en-US" w:eastAsia="zh-CN"/>
              </w:rPr>
              <w:t>*</w:t>
            </w:r>
          </w:p>
        </w:tc>
      </w:tr>
      <w:tr w14:paraId="7EEFD6D9">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43EDA5D9">
            <w:pPr>
              <w:pStyle w:val="182"/>
              <w:bidi w:val="0"/>
              <w:rPr>
                <w:b w:val="0"/>
                <w:bCs w:val="0"/>
                <w:color w:val="auto"/>
                <w:u w:val="none"/>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5F10ABD3">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049" w:type="pct"/>
            <w:vMerge w:val="continue"/>
            <w:tcBorders>
              <w:left w:val="single" w:color="000000" w:sz="6" w:space="0"/>
              <w:right w:val="single" w:color="000000" w:sz="6" w:space="0"/>
            </w:tcBorders>
            <w:tcMar>
              <w:top w:w="28" w:type="dxa"/>
              <w:left w:w="108" w:type="dxa"/>
              <w:bottom w:w="28" w:type="dxa"/>
              <w:right w:w="108" w:type="dxa"/>
            </w:tcMar>
            <w:vAlign w:val="center"/>
          </w:tcPr>
          <w:p w14:paraId="0D4DC576">
            <w:pPr>
              <w:pStyle w:val="182"/>
              <w:bidi w:val="0"/>
              <w:rPr>
                <w:rFonts w:hint="eastAsia"/>
                <w:b w:val="0"/>
                <w:bCs w:val="0"/>
                <w:color w:val="auto"/>
                <w:u w:val="none"/>
                <w:lang w:val="en-US" w:eastAsia="zh-CN"/>
              </w:rPr>
            </w:pPr>
          </w:p>
        </w:tc>
        <w:tc>
          <w:tcPr>
            <w:tcW w:w="2102" w:type="pct"/>
            <w:vMerge w:val="continue"/>
            <w:tcBorders>
              <w:left w:val="single" w:color="000000" w:sz="6" w:space="0"/>
              <w:right w:val="single" w:color="000000" w:sz="8" w:space="0"/>
            </w:tcBorders>
            <w:vAlign w:val="center"/>
          </w:tcPr>
          <w:p w14:paraId="1C11060D">
            <w:pPr>
              <w:pStyle w:val="182"/>
              <w:bidi w:val="0"/>
              <w:rPr>
                <w:rFonts w:hint="eastAsia"/>
                <w:b w:val="0"/>
                <w:bCs w:val="0"/>
                <w:color w:val="auto"/>
                <w:u w:val="none"/>
              </w:rPr>
            </w:pPr>
          </w:p>
        </w:tc>
      </w:tr>
      <w:tr w14:paraId="3432963A">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45D51F83">
            <w:pPr>
              <w:pStyle w:val="182"/>
              <w:bidi w:val="0"/>
              <w:rPr>
                <w:b w:val="0"/>
                <w:bCs w:val="0"/>
                <w:color w:val="auto"/>
                <w:u w:val="none"/>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139C1F06">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049" w:type="pct"/>
            <w:vMerge w:val="continue"/>
            <w:tcBorders>
              <w:left w:val="single" w:color="000000" w:sz="6" w:space="0"/>
              <w:right w:val="single" w:color="000000" w:sz="6" w:space="0"/>
            </w:tcBorders>
            <w:tcMar>
              <w:top w:w="28" w:type="dxa"/>
              <w:left w:w="108" w:type="dxa"/>
              <w:bottom w:w="28" w:type="dxa"/>
              <w:right w:w="108" w:type="dxa"/>
            </w:tcMar>
            <w:vAlign w:val="center"/>
          </w:tcPr>
          <w:p w14:paraId="17480B13">
            <w:pPr>
              <w:pStyle w:val="182"/>
              <w:bidi w:val="0"/>
              <w:rPr>
                <w:rFonts w:hint="eastAsia"/>
                <w:b w:val="0"/>
                <w:bCs w:val="0"/>
                <w:color w:val="auto"/>
                <w:u w:val="none"/>
                <w:lang w:val="en-US" w:eastAsia="zh-CN"/>
              </w:rPr>
            </w:pPr>
          </w:p>
        </w:tc>
        <w:tc>
          <w:tcPr>
            <w:tcW w:w="2102" w:type="pct"/>
            <w:vMerge w:val="continue"/>
            <w:tcBorders>
              <w:left w:val="single" w:color="000000" w:sz="6" w:space="0"/>
              <w:right w:val="single" w:color="000000" w:sz="8" w:space="0"/>
            </w:tcBorders>
            <w:vAlign w:val="center"/>
          </w:tcPr>
          <w:p w14:paraId="0E856A9C">
            <w:pPr>
              <w:pStyle w:val="182"/>
              <w:bidi w:val="0"/>
              <w:rPr>
                <w:rFonts w:hint="eastAsia"/>
                <w:b w:val="0"/>
                <w:bCs w:val="0"/>
                <w:color w:val="auto"/>
                <w:u w:val="none"/>
              </w:rPr>
            </w:pPr>
          </w:p>
        </w:tc>
      </w:tr>
      <w:tr w14:paraId="3E0AB709">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579000FC">
            <w:pPr>
              <w:pStyle w:val="182"/>
              <w:bidi w:val="0"/>
              <w:rPr>
                <w:b w:val="0"/>
                <w:bCs w:val="0"/>
                <w:color w:val="auto"/>
                <w:u w:val="none"/>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3FD9CAB2">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049" w:type="pct"/>
            <w:vMerge w:val="continue"/>
            <w:tcBorders>
              <w:left w:val="single" w:color="000000" w:sz="6" w:space="0"/>
              <w:right w:val="single" w:color="000000" w:sz="6" w:space="0"/>
            </w:tcBorders>
            <w:tcMar>
              <w:top w:w="28" w:type="dxa"/>
              <w:left w:w="108" w:type="dxa"/>
              <w:bottom w:w="28" w:type="dxa"/>
              <w:right w:w="108" w:type="dxa"/>
            </w:tcMar>
            <w:vAlign w:val="center"/>
          </w:tcPr>
          <w:p w14:paraId="6DA77105">
            <w:pPr>
              <w:pStyle w:val="182"/>
              <w:bidi w:val="0"/>
              <w:rPr>
                <w:rFonts w:hint="eastAsia"/>
                <w:b w:val="0"/>
                <w:bCs w:val="0"/>
                <w:color w:val="auto"/>
                <w:u w:val="none"/>
                <w:lang w:val="en-US" w:eastAsia="zh-CN"/>
              </w:rPr>
            </w:pPr>
          </w:p>
        </w:tc>
        <w:tc>
          <w:tcPr>
            <w:tcW w:w="2102" w:type="pct"/>
            <w:vMerge w:val="continue"/>
            <w:tcBorders>
              <w:left w:val="single" w:color="000000" w:sz="6" w:space="0"/>
              <w:right w:val="single" w:color="000000" w:sz="8" w:space="0"/>
            </w:tcBorders>
            <w:vAlign w:val="center"/>
          </w:tcPr>
          <w:p w14:paraId="6380CE70">
            <w:pPr>
              <w:pStyle w:val="182"/>
              <w:bidi w:val="0"/>
              <w:rPr>
                <w:rFonts w:hint="eastAsia"/>
                <w:b w:val="0"/>
                <w:bCs w:val="0"/>
                <w:color w:val="auto"/>
                <w:u w:val="none"/>
              </w:rPr>
            </w:pPr>
          </w:p>
        </w:tc>
      </w:tr>
      <w:tr w14:paraId="46377493">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5C284025">
            <w:pPr>
              <w:pStyle w:val="182"/>
              <w:bidi w:val="0"/>
              <w:rPr>
                <w:b w:val="0"/>
                <w:bCs w:val="0"/>
                <w:color w:val="auto"/>
                <w:u w:val="none"/>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36B8991B">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049" w:type="pct"/>
            <w:vMerge w:val="continue"/>
            <w:tcBorders>
              <w:left w:val="single" w:color="000000" w:sz="6" w:space="0"/>
              <w:bottom w:val="single" w:color="auto" w:sz="4" w:space="0"/>
              <w:right w:val="single" w:color="000000" w:sz="6" w:space="0"/>
            </w:tcBorders>
            <w:tcMar>
              <w:top w:w="28" w:type="dxa"/>
              <w:left w:w="108" w:type="dxa"/>
              <w:bottom w:w="28" w:type="dxa"/>
              <w:right w:w="108" w:type="dxa"/>
            </w:tcMar>
            <w:vAlign w:val="center"/>
          </w:tcPr>
          <w:p w14:paraId="2F88935C">
            <w:pPr>
              <w:pStyle w:val="182"/>
              <w:bidi w:val="0"/>
              <w:rPr>
                <w:rFonts w:hint="eastAsia"/>
                <w:b w:val="0"/>
                <w:bCs w:val="0"/>
                <w:color w:val="auto"/>
                <w:u w:val="none"/>
                <w:lang w:val="en-US" w:eastAsia="zh-CN"/>
              </w:rPr>
            </w:pPr>
          </w:p>
        </w:tc>
        <w:tc>
          <w:tcPr>
            <w:tcW w:w="2102" w:type="pct"/>
            <w:vMerge w:val="continue"/>
            <w:tcBorders>
              <w:left w:val="single" w:color="000000" w:sz="6" w:space="0"/>
              <w:bottom w:val="single" w:color="auto" w:sz="4" w:space="0"/>
              <w:right w:val="single" w:color="000000" w:sz="8" w:space="0"/>
            </w:tcBorders>
            <w:vAlign w:val="center"/>
          </w:tcPr>
          <w:p w14:paraId="6990AF70">
            <w:pPr>
              <w:pStyle w:val="182"/>
              <w:bidi w:val="0"/>
              <w:rPr>
                <w:rFonts w:hint="eastAsia"/>
                <w:b w:val="0"/>
                <w:bCs w:val="0"/>
                <w:color w:val="auto"/>
                <w:u w:val="none"/>
              </w:rPr>
            </w:pPr>
          </w:p>
        </w:tc>
      </w:tr>
      <w:tr w14:paraId="47002278">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68069488">
            <w:pPr>
              <w:pStyle w:val="182"/>
              <w:bidi w:val="0"/>
              <w:rPr>
                <w:b w:val="0"/>
                <w:bCs w:val="0"/>
                <w:color w:val="auto"/>
                <w:u w:val="none"/>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45C0A2C4">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890" w:type="dxa"/>
            <w:vMerge w:val="restart"/>
            <w:tcBorders>
              <w:top w:val="single" w:color="auto" w:sz="4" w:space="0"/>
              <w:left w:val="single" w:color="000000" w:sz="6" w:space="0"/>
              <w:right w:val="single" w:color="000000" w:sz="6" w:space="0"/>
            </w:tcBorders>
            <w:tcMar>
              <w:top w:w="28" w:type="dxa"/>
              <w:left w:w="108" w:type="dxa"/>
              <w:bottom w:w="28" w:type="dxa"/>
              <w:right w:w="108" w:type="dxa"/>
            </w:tcMar>
            <w:vAlign w:val="center"/>
          </w:tcPr>
          <w:p w14:paraId="097F5CD9">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072EBCEE">
            <w:pPr>
              <w:bidi w:val="0"/>
              <w:ind w:firstLine="482" w:firstLineChars="200"/>
              <w:rPr>
                <w:rFonts w:hint="eastAsia"/>
                <w:lang w:val="en-US" w:eastAsia="zh-CN"/>
              </w:rPr>
            </w:pPr>
            <w:r>
              <w:rPr>
                <w:rFonts w:hint="eastAsia"/>
                <w:b/>
                <w:bCs/>
                <w:color w:val="auto"/>
                <w:u w:val="single"/>
                <w:lang w:val="en-US" w:eastAsia="zh-CN"/>
              </w:rPr>
              <w:t>*</w:t>
            </w:r>
          </w:p>
        </w:tc>
        <w:tc>
          <w:tcPr>
            <w:tcW w:w="3787" w:type="dxa"/>
            <w:vMerge w:val="restart"/>
            <w:tcBorders>
              <w:top w:val="single" w:color="auto" w:sz="4" w:space="0"/>
              <w:left w:val="single" w:color="000000" w:sz="6" w:space="0"/>
              <w:right w:val="single" w:color="000000" w:sz="8" w:space="0"/>
            </w:tcBorders>
            <w:vAlign w:val="center"/>
          </w:tcPr>
          <w:p w14:paraId="7528D38A">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1E8FFB79">
            <w:pPr>
              <w:bidi w:val="0"/>
              <w:ind w:firstLine="482" w:firstLineChars="200"/>
              <w:rPr>
                <w:rFonts w:hint="eastAsia"/>
              </w:rPr>
            </w:pPr>
            <w:r>
              <w:rPr>
                <w:rFonts w:hint="eastAsia"/>
                <w:b/>
                <w:bCs/>
                <w:color w:val="auto"/>
                <w:u w:val="single"/>
                <w:lang w:val="en-US" w:eastAsia="zh-CN"/>
              </w:rPr>
              <w:t>*</w:t>
            </w:r>
          </w:p>
        </w:tc>
      </w:tr>
      <w:tr w14:paraId="670B4C73">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5923A941">
            <w:pPr>
              <w:pStyle w:val="182"/>
              <w:bidi w:val="0"/>
              <w:rPr>
                <w:b w:val="0"/>
                <w:bCs w:val="0"/>
                <w:color w:val="auto"/>
                <w:u w:val="none"/>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7CA367F3">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049" w:type="pct"/>
            <w:vMerge w:val="continue"/>
            <w:tcBorders>
              <w:top w:val="single" w:color="auto" w:sz="4" w:space="0"/>
              <w:left w:val="single" w:color="000000" w:sz="6" w:space="0"/>
              <w:bottom w:val="single" w:color="auto" w:sz="4" w:space="0"/>
              <w:right w:val="single" w:color="000000" w:sz="6" w:space="0"/>
            </w:tcBorders>
            <w:tcMar>
              <w:top w:w="28" w:type="dxa"/>
              <w:left w:w="108" w:type="dxa"/>
              <w:bottom w:w="28" w:type="dxa"/>
              <w:right w:w="108" w:type="dxa"/>
            </w:tcMar>
            <w:vAlign w:val="center"/>
          </w:tcPr>
          <w:p w14:paraId="6ED69D8C">
            <w:pPr>
              <w:pStyle w:val="182"/>
              <w:bidi w:val="0"/>
              <w:rPr>
                <w:rFonts w:hint="eastAsia"/>
                <w:b w:val="0"/>
                <w:bCs w:val="0"/>
                <w:color w:val="auto"/>
                <w:u w:val="none"/>
                <w:lang w:val="en-US" w:eastAsia="zh-CN"/>
              </w:rPr>
            </w:pPr>
          </w:p>
        </w:tc>
        <w:tc>
          <w:tcPr>
            <w:tcW w:w="2102" w:type="pct"/>
            <w:vMerge w:val="continue"/>
            <w:tcBorders>
              <w:top w:val="single" w:color="auto" w:sz="4" w:space="0"/>
              <w:left w:val="single" w:color="000000" w:sz="6" w:space="0"/>
              <w:bottom w:val="single" w:color="auto" w:sz="4" w:space="0"/>
              <w:right w:val="single" w:color="000000" w:sz="8" w:space="0"/>
            </w:tcBorders>
            <w:vAlign w:val="center"/>
          </w:tcPr>
          <w:p w14:paraId="0ED49567">
            <w:pPr>
              <w:pStyle w:val="182"/>
              <w:bidi w:val="0"/>
              <w:rPr>
                <w:rFonts w:hint="eastAsia"/>
                <w:b w:val="0"/>
                <w:bCs w:val="0"/>
                <w:color w:val="auto"/>
                <w:u w:val="none"/>
              </w:rPr>
            </w:pPr>
          </w:p>
        </w:tc>
      </w:tr>
      <w:tr w14:paraId="4004F99B">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tcBorders>
              <w:top w:val="single" w:color="000000" w:sz="6" w:space="0"/>
              <w:left w:val="single" w:color="000000" w:sz="8" w:space="0"/>
              <w:bottom w:val="single" w:color="000000" w:sz="6" w:space="0"/>
              <w:right w:val="single" w:color="000000" w:sz="6" w:space="0"/>
            </w:tcBorders>
            <w:tcMar>
              <w:top w:w="28" w:type="dxa"/>
              <w:left w:w="108" w:type="dxa"/>
              <w:bottom w:w="28" w:type="dxa"/>
              <w:right w:w="108" w:type="dxa"/>
            </w:tcMar>
            <w:vAlign w:val="center"/>
          </w:tcPr>
          <w:p w14:paraId="22AE875B">
            <w:pPr>
              <w:pStyle w:val="182"/>
              <w:bidi w:val="0"/>
              <w:rPr>
                <w:b w:val="0"/>
                <w:bCs w:val="0"/>
                <w:color w:val="auto"/>
                <w:u w:val="none"/>
              </w:rPr>
            </w:pPr>
            <w:r>
              <w:rPr>
                <w:b w:val="0"/>
                <w:bCs w:val="0"/>
                <w:color w:val="auto"/>
                <w:u w:val="none"/>
              </w:rPr>
              <w:t>噪声</w:t>
            </w: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785814B3">
            <w:pPr>
              <w:bidi w:val="0"/>
              <w:ind w:firstLine="482" w:firstLineChars="200"/>
              <w:rPr>
                <w:b w:val="0"/>
                <w:bCs w:val="0"/>
                <w:color w:val="auto"/>
                <w:u w:val="none"/>
              </w:rPr>
            </w:pPr>
            <w:r>
              <w:rPr>
                <w:rFonts w:hint="eastAsia"/>
                <w:b/>
                <w:bCs/>
                <w:color w:val="auto"/>
                <w:u w:val="single"/>
                <w:lang w:val="en-US" w:eastAsia="zh-CN"/>
              </w:rPr>
              <w:t>*</w:t>
            </w:r>
          </w:p>
        </w:tc>
        <w:tc>
          <w:tcPr>
            <w:tcW w:w="1049" w:type="pct"/>
            <w:tcBorders>
              <w:top w:val="single" w:color="auto" w:sz="4"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6D9B2C12">
            <w:pPr>
              <w:bidi w:val="0"/>
              <w:ind w:firstLine="482" w:firstLineChars="200"/>
              <w:rPr>
                <w:b w:val="0"/>
                <w:bCs w:val="0"/>
                <w:color w:val="auto"/>
                <w:u w:val="none"/>
              </w:rPr>
            </w:pPr>
            <w:r>
              <w:rPr>
                <w:rFonts w:hint="eastAsia"/>
                <w:b/>
                <w:bCs/>
                <w:color w:val="auto"/>
                <w:u w:val="single"/>
                <w:lang w:val="en-US" w:eastAsia="zh-CN"/>
              </w:rPr>
              <w:t>*</w:t>
            </w:r>
          </w:p>
        </w:tc>
        <w:tc>
          <w:tcPr>
            <w:tcW w:w="2102" w:type="pct"/>
            <w:tcBorders>
              <w:top w:val="single" w:color="auto" w:sz="4" w:space="0"/>
              <w:left w:val="single" w:color="000000" w:sz="6" w:space="0"/>
              <w:bottom w:val="single" w:color="000000" w:sz="6" w:space="0"/>
              <w:right w:val="single" w:color="000000" w:sz="8" w:space="0"/>
            </w:tcBorders>
            <w:vAlign w:val="center"/>
          </w:tcPr>
          <w:p w14:paraId="13B32018">
            <w:pPr>
              <w:bidi w:val="0"/>
              <w:ind w:firstLine="482" w:firstLineChars="200"/>
              <w:rPr>
                <w:b w:val="0"/>
                <w:bCs w:val="0"/>
                <w:color w:val="auto"/>
                <w:u w:val="none"/>
              </w:rPr>
            </w:pPr>
            <w:r>
              <w:rPr>
                <w:rFonts w:hint="eastAsia"/>
                <w:b/>
                <w:bCs/>
                <w:color w:val="auto"/>
                <w:u w:val="single"/>
                <w:lang w:val="en-US" w:eastAsia="zh-CN"/>
              </w:rPr>
              <w:t>*</w:t>
            </w:r>
          </w:p>
        </w:tc>
      </w:tr>
      <w:tr w14:paraId="604E257D">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restart"/>
            <w:tcBorders>
              <w:top w:val="single" w:color="000000" w:sz="6" w:space="0"/>
              <w:left w:val="single" w:color="000000" w:sz="8" w:space="0"/>
              <w:right w:val="single" w:color="000000" w:sz="6" w:space="0"/>
            </w:tcBorders>
            <w:tcMar>
              <w:top w:w="28" w:type="dxa"/>
              <w:left w:w="108" w:type="dxa"/>
              <w:bottom w:w="28" w:type="dxa"/>
              <w:right w:w="108" w:type="dxa"/>
            </w:tcMar>
            <w:vAlign w:val="center"/>
          </w:tcPr>
          <w:p w14:paraId="5E0E7423">
            <w:pPr>
              <w:pStyle w:val="182"/>
              <w:bidi w:val="0"/>
              <w:rPr>
                <w:color w:val="auto"/>
              </w:rPr>
            </w:pPr>
            <w:r>
              <w:rPr>
                <w:color w:val="auto"/>
              </w:rPr>
              <w:t>固体</w:t>
            </w:r>
          </w:p>
          <w:p w14:paraId="42D9ECC8">
            <w:pPr>
              <w:pStyle w:val="182"/>
              <w:bidi w:val="0"/>
              <w:rPr>
                <w:color w:val="auto"/>
              </w:rPr>
            </w:pPr>
            <w:r>
              <w:rPr>
                <w:color w:val="auto"/>
              </w:rPr>
              <w:t>废物</w:t>
            </w: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03DEB4D7">
            <w:pPr>
              <w:bidi w:val="0"/>
              <w:ind w:firstLine="482" w:firstLineChars="200"/>
              <w:rPr>
                <w:rFonts w:hint="default" w:eastAsia="宋体"/>
                <w:color w:val="auto"/>
                <w:lang w:val="en-US" w:eastAsia="zh-CN"/>
              </w:rPr>
            </w:pPr>
            <w:r>
              <w:rPr>
                <w:rFonts w:hint="eastAsia"/>
                <w:b/>
                <w:bCs/>
                <w:color w:val="auto"/>
                <w:u w:val="single"/>
                <w:lang w:val="en-US" w:eastAsia="zh-CN"/>
              </w:rPr>
              <w:t>*</w:t>
            </w:r>
          </w:p>
        </w:tc>
        <w:tc>
          <w:tcPr>
            <w:tcW w:w="1049"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1B509CEC">
            <w:pPr>
              <w:bidi w:val="0"/>
              <w:ind w:firstLine="482" w:firstLineChars="200"/>
              <w:rPr>
                <w:rFonts w:hint="eastAsia" w:eastAsia="宋体"/>
                <w:color w:val="auto"/>
                <w:lang w:eastAsia="zh-CN"/>
              </w:rPr>
            </w:pPr>
            <w:r>
              <w:rPr>
                <w:rFonts w:hint="eastAsia"/>
                <w:b/>
                <w:bCs/>
                <w:color w:val="auto"/>
                <w:u w:val="single"/>
                <w:lang w:val="en-US" w:eastAsia="zh-CN"/>
              </w:rPr>
              <w:t>*</w:t>
            </w:r>
          </w:p>
        </w:tc>
        <w:tc>
          <w:tcPr>
            <w:tcW w:w="2102" w:type="pct"/>
            <w:tcBorders>
              <w:top w:val="single" w:color="000000" w:sz="6" w:space="0"/>
              <w:left w:val="single" w:color="000000" w:sz="6" w:space="0"/>
              <w:bottom w:val="single" w:color="000000" w:sz="6" w:space="0"/>
              <w:right w:val="single" w:color="000000" w:sz="8" w:space="0"/>
            </w:tcBorders>
            <w:vAlign w:val="center"/>
          </w:tcPr>
          <w:p w14:paraId="2C74E44F">
            <w:pPr>
              <w:bidi w:val="0"/>
              <w:ind w:firstLine="482" w:firstLineChars="200"/>
              <w:rPr>
                <w:rFonts w:hint="eastAsia" w:eastAsia="宋体"/>
                <w:color w:val="auto"/>
                <w:lang w:eastAsia="zh-CN"/>
              </w:rPr>
            </w:pPr>
            <w:r>
              <w:rPr>
                <w:rFonts w:hint="eastAsia"/>
                <w:b/>
                <w:bCs/>
                <w:color w:val="auto"/>
                <w:u w:val="single"/>
                <w:lang w:val="en-US" w:eastAsia="zh-CN"/>
              </w:rPr>
              <w:t>*</w:t>
            </w:r>
          </w:p>
        </w:tc>
      </w:tr>
      <w:tr w14:paraId="21291390">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51DB9B7A">
            <w:pPr>
              <w:pStyle w:val="182"/>
              <w:bidi w:val="0"/>
              <w:rPr>
                <w:color w:val="auto"/>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294E4FF7">
            <w:pPr>
              <w:bidi w:val="0"/>
              <w:ind w:firstLine="482" w:firstLineChars="200"/>
              <w:rPr>
                <w:rFonts w:hint="default"/>
                <w:color w:val="auto"/>
                <w:lang w:val="en-US" w:eastAsia="zh-CN"/>
              </w:rPr>
            </w:pPr>
            <w:r>
              <w:rPr>
                <w:rFonts w:hint="eastAsia"/>
                <w:b/>
                <w:bCs/>
                <w:color w:val="auto"/>
                <w:u w:val="single"/>
                <w:lang w:val="en-US" w:eastAsia="zh-CN"/>
              </w:rPr>
              <w:t>*</w:t>
            </w:r>
          </w:p>
        </w:tc>
        <w:tc>
          <w:tcPr>
            <w:tcW w:w="1049"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543E5FB3">
            <w:pPr>
              <w:bidi w:val="0"/>
              <w:ind w:firstLine="482" w:firstLineChars="200"/>
              <w:rPr>
                <w:rFonts w:hint="default" w:eastAsia="宋体"/>
                <w:color w:val="auto"/>
                <w:lang w:val="en-US" w:eastAsia="zh-CN"/>
              </w:rPr>
            </w:pPr>
            <w:r>
              <w:rPr>
                <w:rFonts w:hint="eastAsia"/>
                <w:b/>
                <w:bCs/>
                <w:color w:val="auto"/>
                <w:u w:val="single"/>
                <w:lang w:val="en-US" w:eastAsia="zh-CN"/>
              </w:rPr>
              <w:t>*</w:t>
            </w:r>
          </w:p>
        </w:tc>
        <w:tc>
          <w:tcPr>
            <w:tcW w:w="2102" w:type="pct"/>
            <w:tcBorders>
              <w:top w:val="single" w:color="000000" w:sz="6" w:space="0"/>
              <w:left w:val="single" w:color="000000" w:sz="6" w:space="0"/>
              <w:bottom w:val="single" w:color="000000" w:sz="6" w:space="0"/>
              <w:right w:val="single" w:color="000000" w:sz="8" w:space="0"/>
            </w:tcBorders>
            <w:vAlign w:val="center"/>
          </w:tcPr>
          <w:p w14:paraId="0D54FC88">
            <w:pPr>
              <w:bidi w:val="0"/>
              <w:ind w:firstLine="482" w:firstLineChars="200"/>
              <w:rPr>
                <w:rFonts w:hint="eastAsia"/>
                <w:color w:val="auto"/>
              </w:rPr>
            </w:pPr>
            <w:r>
              <w:rPr>
                <w:rFonts w:hint="eastAsia"/>
                <w:b/>
                <w:bCs/>
                <w:color w:val="auto"/>
                <w:u w:val="single"/>
                <w:lang w:val="en-US" w:eastAsia="zh-CN"/>
              </w:rPr>
              <w:t>*</w:t>
            </w:r>
          </w:p>
        </w:tc>
      </w:tr>
      <w:tr w14:paraId="200E392D">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58F8B610">
            <w:pPr>
              <w:pStyle w:val="182"/>
              <w:bidi w:val="0"/>
              <w:rPr>
                <w:color w:val="auto"/>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16FEC18A">
            <w:pPr>
              <w:bidi w:val="0"/>
              <w:ind w:firstLine="482" w:firstLineChars="200"/>
              <w:rPr>
                <w:rFonts w:hint="default"/>
                <w:color w:val="auto"/>
                <w:lang w:val="en-US" w:eastAsia="zh-CN"/>
              </w:rPr>
            </w:pPr>
            <w:r>
              <w:rPr>
                <w:rFonts w:hint="eastAsia"/>
                <w:b/>
                <w:bCs/>
                <w:color w:val="auto"/>
                <w:u w:val="single"/>
                <w:lang w:val="en-US" w:eastAsia="zh-CN"/>
              </w:rPr>
              <w:t>*</w:t>
            </w:r>
          </w:p>
        </w:tc>
        <w:tc>
          <w:tcPr>
            <w:tcW w:w="1049"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4F61DD15">
            <w:pPr>
              <w:bidi w:val="0"/>
              <w:ind w:firstLine="482" w:firstLineChars="200"/>
              <w:rPr>
                <w:rFonts w:hint="eastAsia" w:eastAsia="宋体"/>
                <w:color w:val="auto"/>
                <w:lang w:val="en-US" w:eastAsia="zh-CN"/>
              </w:rPr>
            </w:pPr>
            <w:r>
              <w:rPr>
                <w:rFonts w:hint="eastAsia"/>
                <w:b/>
                <w:bCs/>
                <w:color w:val="auto"/>
                <w:u w:val="single"/>
                <w:lang w:val="en-US" w:eastAsia="zh-CN"/>
              </w:rPr>
              <w:t>*</w:t>
            </w:r>
          </w:p>
        </w:tc>
        <w:tc>
          <w:tcPr>
            <w:tcW w:w="2102" w:type="pct"/>
            <w:tcBorders>
              <w:top w:val="single" w:color="000000" w:sz="6" w:space="0"/>
              <w:left w:val="single" w:color="000000" w:sz="6" w:space="0"/>
              <w:bottom w:val="single" w:color="000000" w:sz="6" w:space="0"/>
              <w:right w:val="single" w:color="000000" w:sz="8" w:space="0"/>
            </w:tcBorders>
            <w:vAlign w:val="center"/>
          </w:tcPr>
          <w:p w14:paraId="72FA2637">
            <w:pPr>
              <w:bidi w:val="0"/>
              <w:ind w:firstLine="482" w:firstLineChars="200"/>
              <w:rPr>
                <w:rFonts w:hint="eastAsia"/>
                <w:color w:val="auto"/>
              </w:rPr>
            </w:pPr>
            <w:r>
              <w:rPr>
                <w:rFonts w:hint="eastAsia"/>
                <w:b/>
                <w:bCs/>
                <w:color w:val="auto"/>
                <w:u w:val="single"/>
                <w:lang w:val="en-US" w:eastAsia="zh-CN"/>
              </w:rPr>
              <w:t>*</w:t>
            </w:r>
          </w:p>
        </w:tc>
      </w:tr>
      <w:tr w14:paraId="1074C1C5">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349C6121">
            <w:pPr>
              <w:pStyle w:val="182"/>
              <w:bidi w:val="0"/>
              <w:rPr>
                <w:color w:val="auto"/>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24AB35F4">
            <w:pPr>
              <w:bidi w:val="0"/>
              <w:ind w:firstLine="482" w:firstLineChars="200"/>
              <w:rPr>
                <w:rFonts w:hint="default"/>
                <w:color w:val="auto"/>
                <w:lang w:val="en-US" w:eastAsia="zh-CN"/>
              </w:rPr>
            </w:pPr>
            <w:r>
              <w:rPr>
                <w:rFonts w:hint="eastAsia"/>
                <w:b/>
                <w:bCs/>
                <w:color w:val="auto"/>
                <w:u w:val="single"/>
                <w:lang w:val="en-US" w:eastAsia="zh-CN"/>
              </w:rPr>
              <w:t>*</w:t>
            </w:r>
          </w:p>
        </w:tc>
        <w:tc>
          <w:tcPr>
            <w:tcW w:w="1049"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301F6D35">
            <w:pPr>
              <w:bidi w:val="0"/>
              <w:ind w:firstLine="482" w:firstLineChars="200"/>
              <w:rPr>
                <w:rFonts w:hint="eastAsia"/>
                <w:color w:val="auto"/>
                <w:lang w:val="en-US" w:eastAsia="zh-CN"/>
              </w:rPr>
            </w:pPr>
            <w:r>
              <w:rPr>
                <w:rFonts w:hint="eastAsia"/>
                <w:b/>
                <w:bCs/>
                <w:color w:val="auto"/>
                <w:u w:val="single"/>
                <w:lang w:val="en-US" w:eastAsia="zh-CN"/>
              </w:rPr>
              <w:t>*</w:t>
            </w:r>
          </w:p>
        </w:tc>
        <w:tc>
          <w:tcPr>
            <w:tcW w:w="2102" w:type="pct"/>
            <w:tcBorders>
              <w:top w:val="single" w:color="000000" w:sz="6" w:space="0"/>
              <w:left w:val="single" w:color="000000" w:sz="6" w:space="0"/>
              <w:bottom w:val="single" w:color="000000" w:sz="6" w:space="0"/>
              <w:right w:val="single" w:color="000000" w:sz="8" w:space="0"/>
            </w:tcBorders>
            <w:vAlign w:val="center"/>
          </w:tcPr>
          <w:p w14:paraId="084E993A">
            <w:pPr>
              <w:bidi w:val="0"/>
              <w:ind w:firstLine="482" w:firstLineChars="200"/>
              <w:rPr>
                <w:rFonts w:hint="default" w:eastAsia="宋体"/>
                <w:color w:val="auto"/>
                <w:lang w:val="en-US" w:eastAsia="zh-CN"/>
              </w:rPr>
            </w:pPr>
            <w:r>
              <w:rPr>
                <w:rFonts w:hint="eastAsia"/>
                <w:b/>
                <w:bCs/>
                <w:color w:val="auto"/>
                <w:u w:val="single"/>
                <w:lang w:val="en-US" w:eastAsia="zh-CN"/>
              </w:rPr>
              <w:t>*</w:t>
            </w:r>
          </w:p>
        </w:tc>
      </w:tr>
      <w:tr w14:paraId="7098587F">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29E20C9A">
            <w:pPr>
              <w:pStyle w:val="182"/>
              <w:bidi w:val="0"/>
              <w:rPr>
                <w:color w:val="auto"/>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72037957">
            <w:pPr>
              <w:bidi w:val="0"/>
              <w:ind w:firstLine="482" w:firstLineChars="200"/>
              <w:rPr>
                <w:rFonts w:hint="eastAsia"/>
                <w:color w:val="auto"/>
                <w:lang w:val="en-US" w:eastAsia="zh-CN"/>
              </w:rPr>
            </w:pPr>
            <w:r>
              <w:rPr>
                <w:rFonts w:hint="eastAsia"/>
                <w:b/>
                <w:bCs/>
                <w:color w:val="auto"/>
                <w:u w:val="single"/>
                <w:lang w:val="en-US" w:eastAsia="zh-CN"/>
              </w:rPr>
              <w:t>*</w:t>
            </w:r>
          </w:p>
        </w:tc>
        <w:tc>
          <w:tcPr>
            <w:tcW w:w="1049"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754A1CE7">
            <w:pPr>
              <w:bidi w:val="0"/>
              <w:ind w:firstLine="482" w:firstLineChars="200"/>
              <w:rPr>
                <w:rFonts w:hint="default"/>
                <w:color w:val="auto"/>
                <w:lang w:val="en-US" w:eastAsia="zh-CN"/>
              </w:rPr>
            </w:pPr>
            <w:r>
              <w:rPr>
                <w:rFonts w:hint="eastAsia"/>
                <w:b/>
                <w:bCs/>
                <w:color w:val="auto"/>
                <w:u w:val="single"/>
                <w:lang w:val="en-US" w:eastAsia="zh-CN"/>
              </w:rPr>
              <w:t>*</w:t>
            </w:r>
          </w:p>
        </w:tc>
        <w:tc>
          <w:tcPr>
            <w:tcW w:w="2102" w:type="pct"/>
            <w:tcBorders>
              <w:top w:val="single" w:color="000000" w:sz="6" w:space="0"/>
              <w:left w:val="single" w:color="000000" w:sz="6" w:space="0"/>
              <w:bottom w:val="single" w:color="000000" w:sz="6" w:space="0"/>
              <w:right w:val="single" w:color="000000" w:sz="8" w:space="0"/>
            </w:tcBorders>
            <w:vAlign w:val="center"/>
          </w:tcPr>
          <w:p w14:paraId="7ED3B2BF">
            <w:pPr>
              <w:bidi w:val="0"/>
              <w:ind w:firstLine="482" w:firstLineChars="200"/>
              <w:rPr>
                <w:rFonts w:hint="eastAsia"/>
                <w:color w:val="auto"/>
              </w:rPr>
            </w:pPr>
            <w:r>
              <w:rPr>
                <w:rFonts w:hint="eastAsia"/>
                <w:b/>
                <w:bCs/>
                <w:color w:val="auto"/>
                <w:u w:val="single"/>
                <w:lang w:val="en-US" w:eastAsia="zh-CN"/>
              </w:rPr>
              <w:t>*</w:t>
            </w:r>
          </w:p>
        </w:tc>
      </w:tr>
      <w:tr w14:paraId="0D876B55">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211F9C82">
            <w:pPr>
              <w:pStyle w:val="182"/>
              <w:bidi w:val="0"/>
              <w:rPr>
                <w:color w:val="auto"/>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72CB0BAA">
            <w:pPr>
              <w:bidi w:val="0"/>
              <w:ind w:firstLine="482" w:firstLineChars="200"/>
              <w:rPr>
                <w:rFonts w:hint="default"/>
                <w:color w:val="auto"/>
                <w:lang w:val="en-US" w:eastAsia="zh-CN"/>
              </w:rPr>
            </w:pPr>
            <w:r>
              <w:rPr>
                <w:rFonts w:hint="eastAsia"/>
                <w:b/>
                <w:bCs/>
                <w:color w:val="auto"/>
                <w:u w:val="single"/>
                <w:lang w:val="en-US" w:eastAsia="zh-CN"/>
              </w:rPr>
              <w:t>*</w:t>
            </w:r>
          </w:p>
        </w:tc>
        <w:tc>
          <w:tcPr>
            <w:tcW w:w="1049"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464475D7">
            <w:pPr>
              <w:bidi w:val="0"/>
              <w:ind w:firstLine="482" w:firstLineChars="200"/>
              <w:rPr>
                <w:rFonts w:hint="eastAsia" w:eastAsia="宋体"/>
                <w:color w:val="auto"/>
                <w:lang w:val="en-US" w:eastAsia="zh-CN"/>
              </w:rPr>
            </w:pPr>
            <w:r>
              <w:rPr>
                <w:rFonts w:hint="eastAsia"/>
                <w:b/>
                <w:bCs/>
                <w:color w:val="auto"/>
                <w:u w:val="single"/>
                <w:lang w:val="en-US" w:eastAsia="zh-CN"/>
              </w:rPr>
              <w:t>*</w:t>
            </w:r>
          </w:p>
        </w:tc>
        <w:tc>
          <w:tcPr>
            <w:tcW w:w="2102" w:type="pct"/>
            <w:tcBorders>
              <w:top w:val="single" w:color="000000" w:sz="6" w:space="0"/>
              <w:left w:val="single" w:color="000000" w:sz="6" w:space="0"/>
              <w:bottom w:val="single" w:color="000000" w:sz="6" w:space="0"/>
              <w:right w:val="single" w:color="000000" w:sz="8" w:space="0"/>
            </w:tcBorders>
            <w:vAlign w:val="center"/>
          </w:tcPr>
          <w:p w14:paraId="772D1F0A">
            <w:pPr>
              <w:bidi w:val="0"/>
              <w:ind w:firstLine="482" w:firstLineChars="200"/>
              <w:rPr>
                <w:rFonts w:hint="eastAsia"/>
                <w:color w:val="auto"/>
              </w:rPr>
            </w:pPr>
            <w:r>
              <w:rPr>
                <w:rFonts w:hint="eastAsia"/>
                <w:b/>
                <w:bCs/>
                <w:color w:val="auto"/>
                <w:u w:val="single"/>
                <w:lang w:val="en-US" w:eastAsia="zh-CN"/>
              </w:rPr>
              <w:t>*</w:t>
            </w:r>
          </w:p>
        </w:tc>
      </w:tr>
      <w:tr w14:paraId="74879884">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0B3724D0">
            <w:pPr>
              <w:pStyle w:val="182"/>
              <w:bidi w:val="0"/>
              <w:rPr>
                <w:color w:val="auto"/>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591857A4">
            <w:pPr>
              <w:bidi w:val="0"/>
              <w:ind w:firstLine="482" w:firstLineChars="200"/>
              <w:rPr>
                <w:rFonts w:hint="eastAsia" w:eastAsia="宋体"/>
                <w:color w:val="auto"/>
                <w:lang w:eastAsia="zh-CN"/>
              </w:rPr>
            </w:pPr>
            <w:r>
              <w:rPr>
                <w:rFonts w:hint="eastAsia"/>
                <w:b/>
                <w:bCs/>
                <w:color w:val="auto"/>
                <w:u w:val="single"/>
                <w:lang w:val="en-US" w:eastAsia="zh-CN"/>
              </w:rPr>
              <w:t>*</w:t>
            </w:r>
          </w:p>
        </w:tc>
        <w:tc>
          <w:tcPr>
            <w:tcW w:w="1049"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477DB332">
            <w:pPr>
              <w:bidi w:val="0"/>
              <w:ind w:firstLine="482" w:firstLineChars="200"/>
              <w:rPr>
                <w:color w:val="auto"/>
              </w:rPr>
            </w:pPr>
            <w:r>
              <w:rPr>
                <w:rFonts w:hint="eastAsia"/>
                <w:b/>
                <w:bCs/>
                <w:color w:val="auto"/>
                <w:u w:val="single"/>
                <w:lang w:val="en-US" w:eastAsia="zh-CN"/>
              </w:rPr>
              <w:t>*</w:t>
            </w:r>
          </w:p>
        </w:tc>
        <w:tc>
          <w:tcPr>
            <w:tcW w:w="2102" w:type="pct"/>
            <w:tcBorders>
              <w:top w:val="single" w:color="000000" w:sz="6" w:space="0"/>
              <w:left w:val="single" w:color="000000" w:sz="6" w:space="0"/>
              <w:bottom w:val="single" w:color="000000" w:sz="6" w:space="0"/>
              <w:right w:val="single" w:color="000000" w:sz="8" w:space="0"/>
            </w:tcBorders>
            <w:vAlign w:val="center"/>
          </w:tcPr>
          <w:p w14:paraId="6BE861B9">
            <w:pPr>
              <w:bidi w:val="0"/>
              <w:ind w:firstLine="482" w:firstLineChars="200"/>
              <w:rPr>
                <w:color w:val="auto"/>
              </w:rPr>
            </w:pPr>
            <w:r>
              <w:rPr>
                <w:rFonts w:hint="eastAsia"/>
                <w:b/>
                <w:bCs/>
                <w:color w:val="auto"/>
                <w:u w:val="single"/>
                <w:lang w:val="en-US" w:eastAsia="zh-CN"/>
              </w:rPr>
              <w:t>*</w:t>
            </w:r>
          </w:p>
        </w:tc>
      </w:tr>
      <w:tr w14:paraId="7483135D">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000000" w:sz="8" w:space="0"/>
              <w:right w:val="single" w:color="000000" w:sz="6" w:space="0"/>
            </w:tcBorders>
            <w:tcMar>
              <w:top w:w="28" w:type="dxa"/>
              <w:left w:w="108" w:type="dxa"/>
              <w:bottom w:w="28" w:type="dxa"/>
              <w:right w:w="108" w:type="dxa"/>
            </w:tcMar>
            <w:vAlign w:val="center"/>
          </w:tcPr>
          <w:p w14:paraId="1F183D1E">
            <w:pPr>
              <w:pStyle w:val="182"/>
              <w:bidi w:val="0"/>
              <w:rPr>
                <w:color w:val="auto"/>
              </w:rPr>
            </w:pPr>
          </w:p>
        </w:tc>
        <w:tc>
          <w:tcPr>
            <w:tcW w:w="1458" w:type="pct"/>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6E7A8997">
            <w:pPr>
              <w:bidi w:val="0"/>
              <w:ind w:firstLine="482" w:firstLineChars="200"/>
              <w:rPr>
                <w:rFonts w:hint="default"/>
                <w:color w:val="auto"/>
                <w:lang w:val="en-US" w:eastAsia="zh-CN"/>
              </w:rPr>
            </w:pPr>
            <w:r>
              <w:rPr>
                <w:rFonts w:hint="eastAsia"/>
                <w:b/>
                <w:bCs/>
                <w:color w:val="auto"/>
                <w:u w:val="single"/>
                <w:lang w:val="en-US" w:eastAsia="zh-CN"/>
              </w:rPr>
              <w:t>*</w:t>
            </w:r>
          </w:p>
        </w:tc>
        <w:tc>
          <w:tcPr>
            <w:tcW w:w="1890" w:type="dxa"/>
            <w:tcBorders>
              <w:top w:val="single" w:color="000000" w:sz="6" w:space="0"/>
              <w:left w:val="single" w:color="000000" w:sz="6" w:space="0"/>
              <w:bottom w:val="single" w:color="000000" w:sz="6" w:space="0"/>
              <w:right w:val="single" w:color="000000" w:sz="6" w:space="0"/>
            </w:tcBorders>
            <w:tcMar>
              <w:top w:w="28" w:type="dxa"/>
              <w:left w:w="108" w:type="dxa"/>
              <w:bottom w:w="28" w:type="dxa"/>
              <w:right w:w="108" w:type="dxa"/>
            </w:tcMar>
            <w:vAlign w:val="center"/>
          </w:tcPr>
          <w:p w14:paraId="43040071">
            <w:pPr>
              <w:bidi w:val="0"/>
              <w:ind w:firstLine="482" w:firstLineChars="200"/>
              <w:rPr>
                <w:rFonts w:hint="eastAsia"/>
                <w:color w:val="auto"/>
              </w:rPr>
            </w:pPr>
            <w:r>
              <w:rPr>
                <w:rFonts w:hint="eastAsia"/>
                <w:b/>
                <w:bCs/>
                <w:color w:val="auto"/>
                <w:u w:val="single"/>
                <w:lang w:val="en-US" w:eastAsia="zh-CN"/>
              </w:rPr>
              <w:t>*</w:t>
            </w:r>
          </w:p>
        </w:tc>
        <w:tc>
          <w:tcPr>
            <w:tcW w:w="3787" w:type="dxa"/>
            <w:tcBorders>
              <w:top w:val="single" w:color="000000" w:sz="6" w:space="0"/>
              <w:left w:val="single" w:color="000000" w:sz="6" w:space="0"/>
              <w:bottom w:val="single" w:color="000000" w:sz="6" w:space="0"/>
              <w:right w:val="single" w:color="000000" w:sz="8" w:space="0"/>
            </w:tcBorders>
            <w:vAlign w:val="center"/>
          </w:tcPr>
          <w:p w14:paraId="2DC7F9FF">
            <w:pPr>
              <w:bidi w:val="0"/>
              <w:ind w:firstLine="482" w:firstLineChars="200"/>
              <w:rPr>
                <w:rFonts w:hint="eastAsia"/>
                <w:color w:val="auto"/>
                <w:lang w:eastAsia="zh-CN"/>
              </w:rPr>
            </w:pPr>
            <w:r>
              <w:rPr>
                <w:rFonts w:hint="eastAsia"/>
                <w:b/>
                <w:bCs/>
                <w:color w:val="auto"/>
                <w:u w:val="single"/>
                <w:lang w:val="en-US" w:eastAsia="zh-CN"/>
              </w:rPr>
              <w:t>*</w:t>
            </w:r>
          </w:p>
        </w:tc>
      </w:tr>
    </w:tbl>
    <w:p w14:paraId="65DCCC19">
      <w:pPr>
        <w:pStyle w:val="3"/>
        <w:bidi w:val="0"/>
      </w:pPr>
      <w:bookmarkStart w:id="171" w:name="_Toc11135"/>
      <w:r>
        <w:rPr>
          <w:rFonts w:hint="eastAsia"/>
        </w:rPr>
        <w:t>物料平衡</w:t>
      </w:r>
      <w:bookmarkEnd w:id="171"/>
    </w:p>
    <w:p w14:paraId="1E2C9FCB">
      <w:pPr>
        <w:bidi w:val="0"/>
        <w:rPr>
          <w:color w:val="auto"/>
        </w:rPr>
      </w:pPr>
      <w:r>
        <w:rPr>
          <w:rFonts w:hint="eastAsia"/>
          <w:color w:val="auto"/>
        </w:rPr>
        <w:t>本项目</w:t>
      </w:r>
      <w:r>
        <w:rPr>
          <w:rFonts w:hint="eastAsia"/>
          <w:color w:val="auto"/>
          <w:lang w:val="en-US" w:eastAsia="zh-CN"/>
        </w:rPr>
        <w:t>根据小试得</w:t>
      </w:r>
      <w:r>
        <w:rPr>
          <w:rFonts w:hint="eastAsia"/>
          <w:color w:val="auto"/>
        </w:rPr>
        <w:t>物料平衡详见下表。</w:t>
      </w:r>
    </w:p>
    <w:p w14:paraId="1D2C604A">
      <w:pPr>
        <w:pStyle w:val="10"/>
        <w:bidi w:val="0"/>
        <w:rPr>
          <w:rFonts w:hint="eastAsia"/>
          <w:b/>
          <w:bCs/>
          <w:color w:val="auto"/>
        </w:rPr>
      </w:pPr>
      <w:r>
        <w:t xml:space="preserve">表 </w:t>
      </w:r>
      <w:r>
        <w:fldChar w:fldCharType="begin"/>
      </w:r>
      <w:r>
        <w:instrText xml:space="preserve"> STYLEREF 2 \s </w:instrText>
      </w:r>
      <w:r>
        <w:fldChar w:fldCharType="separate"/>
      </w:r>
      <w:r>
        <w:t>4.3</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w:t>
      </w:r>
      <w:r>
        <w:rPr>
          <w:rFonts w:hint="eastAsia"/>
        </w:rPr>
        <w:t>物料平衡表</w:t>
      </w:r>
    </w:p>
    <w:tbl>
      <w:tblPr>
        <w:tblStyle w:val="31"/>
        <w:tblW w:w="5158" w:type="pct"/>
        <w:jc w:val="center"/>
        <w:tblLayout w:type="fixed"/>
        <w:tblCellMar>
          <w:top w:w="0" w:type="dxa"/>
          <w:left w:w="108" w:type="dxa"/>
          <w:bottom w:w="0" w:type="dxa"/>
          <w:right w:w="108" w:type="dxa"/>
        </w:tblCellMar>
      </w:tblPr>
      <w:tblGrid>
        <w:gridCol w:w="1794"/>
        <w:gridCol w:w="2860"/>
        <w:gridCol w:w="1847"/>
        <w:gridCol w:w="2789"/>
      </w:tblGrid>
      <w:tr w14:paraId="4881A0E1">
        <w:tblPrEx>
          <w:tblCellMar>
            <w:top w:w="0" w:type="dxa"/>
            <w:left w:w="108" w:type="dxa"/>
            <w:bottom w:w="0" w:type="dxa"/>
            <w:right w:w="108" w:type="dxa"/>
          </w:tblCellMar>
        </w:tblPrEx>
        <w:trPr>
          <w:trHeight w:val="397" w:hRule="atLeast"/>
          <w:tblHeader/>
          <w:jc w:val="center"/>
        </w:trPr>
        <w:tc>
          <w:tcPr>
            <w:tcW w:w="4654" w:type="dxa"/>
            <w:gridSpan w:val="2"/>
            <w:tcBorders>
              <w:top w:val="single" w:color="000000" w:sz="4" w:space="0"/>
              <w:left w:val="single" w:color="000000" w:sz="4" w:space="0"/>
              <w:bottom w:val="single" w:color="000000" w:sz="4" w:space="0"/>
              <w:right w:val="single" w:color="000000" w:sz="4" w:space="0"/>
            </w:tcBorders>
            <w:noWrap/>
            <w:vAlign w:val="center"/>
          </w:tcPr>
          <w:p w14:paraId="0B506ADD">
            <w:pPr>
              <w:pStyle w:val="182"/>
              <w:widowControl/>
              <w:textAlignment w:val="center"/>
              <w:rPr>
                <w:b/>
                <w:bCs/>
                <w:color w:val="auto"/>
                <w:u w:val="none"/>
              </w:rPr>
            </w:pPr>
            <w:r>
              <w:rPr>
                <w:rFonts w:hint="eastAsia"/>
                <w:b/>
                <w:bCs/>
                <w:color w:val="auto"/>
                <w:u w:val="none"/>
              </w:rPr>
              <w:t>投入（t/a）</w:t>
            </w:r>
          </w:p>
        </w:tc>
        <w:tc>
          <w:tcPr>
            <w:tcW w:w="4636" w:type="dxa"/>
            <w:gridSpan w:val="2"/>
            <w:tcBorders>
              <w:top w:val="single" w:color="000000" w:sz="4" w:space="0"/>
              <w:left w:val="single" w:color="000000" w:sz="4" w:space="0"/>
              <w:bottom w:val="single" w:color="000000" w:sz="4" w:space="0"/>
              <w:right w:val="single" w:color="000000" w:sz="4" w:space="0"/>
            </w:tcBorders>
            <w:noWrap/>
            <w:vAlign w:val="center"/>
          </w:tcPr>
          <w:p w14:paraId="51013D5B">
            <w:pPr>
              <w:pStyle w:val="182"/>
              <w:widowControl/>
              <w:textAlignment w:val="center"/>
              <w:rPr>
                <w:b/>
                <w:bCs/>
                <w:color w:val="auto"/>
                <w:u w:val="none"/>
              </w:rPr>
            </w:pPr>
            <w:r>
              <w:rPr>
                <w:rFonts w:hint="eastAsia"/>
                <w:b/>
                <w:bCs/>
                <w:color w:val="auto"/>
                <w:u w:val="none"/>
              </w:rPr>
              <w:t>产出（t/a）</w:t>
            </w:r>
          </w:p>
        </w:tc>
      </w:tr>
      <w:tr w14:paraId="52F2CE3F">
        <w:tblPrEx>
          <w:tblCellMar>
            <w:top w:w="0" w:type="dxa"/>
            <w:left w:w="108" w:type="dxa"/>
            <w:bottom w:w="0" w:type="dxa"/>
            <w:right w:w="108" w:type="dxa"/>
          </w:tblCellMar>
        </w:tblPrEx>
        <w:trPr>
          <w:trHeight w:val="397" w:hRule="atLeast"/>
          <w:jc w:val="center"/>
        </w:trPr>
        <w:tc>
          <w:tcPr>
            <w:tcW w:w="9290" w:type="dxa"/>
            <w:gridSpan w:val="4"/>
            <w:tcBorders>
              <w:top w:val="single" w:color="000000" w:sz="4" w:space="0"/>
              <w:left w:val="single" w:color="000000" w:sz="4" w:space="0"/>
              <w:bottom w:val="single" w:color="000000" w:sz="4" w:space="0"/>
              <w:right w:val="single" w:color="000000" w:sz="4" w:space="0"/>
            </w:tcBorders>
            <w:noWrap/>
            <w:vAlign w:val="center"/>
          </w:tcPr>
          <w:p w14:paraId="626344DF">
            <w:pPr>
              <w:pStyle w:val="182"/>
              <w:widowControl/>
              <w:textAlignment w:val="center"/>
              <w:rPr>
                <w:b w:val="0"/>
                <w:bCs w:val="0"/>
                <w:color w:val="auto"/>
                <w:u w:val="none"/>
              </w:rPr>
            </w:pPr>
            <w:r>
              <w:rPr>
                <w:rFonts w:hint="eastAsia"/>
                <w:b/>
                <w:bCs/>
                <w:color w:val="auto"/>
                <w:u w:val="none"/>
              </w:rPr>
              <w:t>纤维素平衡</w:t>
            </w:r>
          </w:p>
        </w:tc>
      </w:tr>
      <w:tr w14:paraId="57254174">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438609AA">
            <w:pPr>
              <w:pStyle w:val="182"/>
              <w:widowControl/>
              <w:textAlignment w:val="center"/>
              <w:rPr>
                <w:rFonts w:hint="eastAsia" w:eastAsia="宋体"/>
                <w:b w:val="0"/>
                <w:bCs w:val="0"/>
                <w:color w:val="auto"/>
                <w:u w:val="none"/>
                <w:lang w:eastAsia="zh-CN"/>
              </w:rPr>
            </w:pPr>
            <w:r>
              <w:rPr>
                <w:rFonts w:hint="eastAsia"/>
                <w:b w:val="0"/>
                <w:bCs w:val="0"/>
                <w:color w:val="auto"/>
                <w:u w:val="none"/>
                <w:lang w:val="en-US" w:eastAsia="zh-CN"/>
              </w:rPr>
              <w:t>纤维素</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4520F20A">
            <w:pPr>
              <w:widowControl/>
              <w:bidi w:val="0"/>
              <w:ind w:firstLine="482" w:firstLineChars="200"/>
              <w:textAlignment w:val="center"/>
              <w:rPr>
                <w:rFonts w:hint="default" w:eastAsia="宋体"/>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3FB85F8B">
            <w:pPr>
              <w:pStyle w:val="182"/>
              <w:widowControl/>
              <w:textAlignment w:val="center"/>
              <w:rPr>
                <w:b w:val="0"/>
                <w:bCs w:val="0"/>
                <w:color w:val="auto"/>
                <w:u w:val="none"/>
              </w:rPr>
            </w:pPr>
            <w:r>
              <w:rPr>
                <w:rFonts w:hint="eastAsia"/>
                <w:b w:val="0"/>
                <w:bCs w:val="0"/>
                <w:color w:val="auto"/>
                <w:u w:val="none"/>
              </w:rPr>
              <w:t>进入产品</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188071F8">
            <w:pPr>
              <w:bidi w:val="0"/>
              <w:ind w:firstLine="482" w:firstLineChars="200"/>
              <w:rPr>
                <w:rFonts w:hint="default" w:eastAsia="宋体"/>
                <w:b w:val="0"/>
                <w:bCs w:val="0"/>
                <w:u w:val="none"/>
                <w:lang w:val="en-US" w:eastAsia="zh-CN"/>
              </w:rPr>
            </w:pPr>
            <w:r>
              <w:rPr>
                <w:rFonts w:hint="eastAsia"/>
                <w:b/>
                <w:bCs/>
                <w:color w:val="auto"/>
                <w:u w:val="single"/>
                <w:lang w:val="en-US" w:eastAsia="zh-CN"/>
              </w:rPr>
              <w:t>*</w:t>
            </w:r>
          </w:p>
        </w:tc>
      </w:tr>
      <w:tr w14:paraId="7B58C119">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0FE95E7F">
            <w:pPr>
              <w:pStyle w:val="182"/>
              <w:widowControl/>
              <w:textAlignment w:val="center"/>
              <w:rPr>
                <w:b w:val="0"/>
                <w:bCs w:val="0"/>
                <w:color w:val="auto"/>
                <w:u w:val="none"/>
              </w:rPr>
            </w:pP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15C8DE27">
            <w:pPr>
              <w:widowControl/>
              <w:bidi w:val="0"/>
              <w:ind w:firstLine="482" w:firstLineChars="200"/>
              <w:textAlignment w:val="center"/>
              <w:rPr>
                <w:b w:val="0"/>
                <w:bCs w:val="0"/>
                <w:color w:val="auto"/>
                <w:u w:val="none"/>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651B9667">
            <w:pPr>
              <w:pStyle w:val="182"/>
              <w:widowControl/>
              <w:textAlignment w:val="center"/>
              <w:rPr>
                <w:b w:val="0"/>
                <w:bCs w:val="0"/>
                <w:color w:val="auto"/>
                <w:u w:val="none"/>
              </w:rPr>
            </w:pPr>
            <w:r>
              <w:rPr>
                <w:rFonts w:hint="eastAsia"/>
                <w:b w:val="0"/>
                <w:bCs w:val="0"/>
                <w:color w:val="auto"/>
                <w:u w:val="none"/>
              </w:rPr>
              <w:t>废丝</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72E4A647">
            <w:pPr>
              <w:bidi w:val="0"/>
              <w:ind w:firstLine="482" w:firstLineChars="200"/>
              <w:rPr>
                <w:rFonts w:hint="default" w:eastAsia="宋体"/>
                <w:b w:val="0"/>
                <w:bCs w:val="0"/>
                <w:u w:val="none"/>
                <w:lang w:val="en-US" w:eastAsia="zh-CN"/>
              </w:rPr>
            </w:pPr>
            <w:r>
              <w:rPr>
                <w:rFonts w:hint="eastAsia"/>
                <w:b/>
                <w:bCs/>
                <w:color w:val="auto"/>
                <w:u w:val="single"/>
                <w:lang w:val="en-US" w:eastAsia="zh-CN"/>
              </w:rPr>
              <w:t>*</w:t>
            </w:r>
          </w:p>
        </w:tc>
      </w:tr>
      <w:tr w14:paraId="75DA1C74">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5758E8AA">
            <w:pPr>
              <w:pStyle w:val="182"/>
              <w:rPr>
                <w:b w:val="0"/>
                <w:bCs w:val="0"/>
                <w:color w:val="auto"/>
                <w:u w:val="none"/>
              </w:rPr>
            </w:pP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7423BB69">
            <w:pPr>
              <w:bidi w:val="0"/>
              <w:ind w:firstLine="482" w:firstLineChars="200"/>
              <w:rPr>
                <w:b w:val="0"/>
                <w:bCs w:val="0"/>
                <w:color w:val="auto"/>
                <w:u w:val="none"/>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29F2A73C">
            <w:pPr>
              <w:pStyle w:val="182"/>
              <w:widowControl/>
              <w:textAlignment w:val="center"/>
              <w:rPr>
                <w:b w:val="0"/>
                <w:bCs w:val="0"/>
                <w:color w:val="auto"/>
                <w:u w:val="none"/>
              </w:rPr>
            </w:pPr>
            <w:r>
              <w:rPr>
                <w:rFonts w:hint="eastAsia"/>
                <w:b w:val="0"/>
                <w:bCs w:val="0"/>
                <w:color w:val="auto"/>
                <w:u w:val="none"/>
              </w:rPr>
              <w:t>滤渣</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074C589D">
            <w:pPr>
              <w:bidi w:val="0"/>
              <w:ind w:firstLine="482" w:firstLineChars="200"/>
              <w:rPr>
                <w:rFonts w:hint="default" w:eastAsia="宋体"/>
                <w:b w:val="0"/>
                <w:bCs w:val="0"/>
                <w:u w:val="none"/>
                <w:lang w:val="en-US" w:eastAsia="zh-CN"/>
              </w:rPr>
            </w:pPr>
            <w:r>
              <w:rPr>
                <w:rFonts w:hint="eastAsia"/>
                <w:b/>
                <w:bCs/>
                <w:color w:val="auto"/>
                <w:u w:val="single"/>
                <w:lang w:val="en-US" w:eastAsia="zh-CN"/>
              </w:rPr>
              <w:t>*</w:t>
            </w:r>
          </w:p>
        </w:tc>
      </w:tr>
      <w:tr w14:paraId="55E379F9">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4260AC4C">
            <w:pPr>
              <w:pStyle w:val="182"/>
              <w:rPr>
                <w:b w:val="0"/>
                <w:bCs w:val="0"/>
                <w:color w:val="auto"/>
                <w:u w:val="none"/>
              </w:rPr>
            </w:pP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42A657BA">
            <w:pPr>
              <w:bidi w:val="0"/>
              <w:ind w:firstLine="482" w:firstLineChars="200"/>
              <w:rPr>
                <w:b w:val="0"/>
                <w:bCs w:val="0"/>
                <w:color w:val="auto"/>
                <w:u w:val="none"/>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4A34FEB1">
            <w:pPr>
              <w:pStyle w:val="182"/>
              <w:widowControl/>
              <w:textAlignment w:val="center"/>
              <w:rPr>
                <w:rFonts w:hint="eastAsia" w:eastAsia="宋体"/>
                <w:b w:val="0"/>
                <w:bCs w:val="0"/>
                <w:color w:val="auto"/>
                <w:u w:val="none"/>
                <w:lang w:eastAsia="zh-CN"/>
              </w:rPr>
            </w:pPr>
            <w:r>
              <w:rPr>
                <w:rFonts w:hint="eastAsia"/>
                <w:b w:val="0"/>
                <w:bCs w:val="0"/>
                <w:color w:val="auto"/>
                <w:u w:val="none"/>
              </w:rPr>
              <w:t>废气</w:t>
            </w:r>
            <w:r>
              <w:rPr>
                <w:rFonts w:hint="eastAsia"/>
                <w:b w:val="0"/>
                <w:bCs w:val="0"/>
                <w:color w:val="auto"/>
                <w:u w:val="none"/>
                <w:lang w:eastAsia="zh-CN"/>
              </w:rPr>
              <w:t>（</w:t>
            </w:r>
            <w:r>
              <w:rPr>
                <w:rFonts w:hint="eastAsia"/>
                <w:b w:val="0"/>
                <w:bCs w:val="0"/>
                <w:color w:val="auto"/>
                <w:u w:val="none"/>
                <w:lang w:val="en-US" w:eastAsia="zh-CN"/>
              </w:rPr>
              <w:t>颗粒物</w:t>
            </w:r>
            <w:r>
              <w:rPr>
                <w:rFonts w:hint="eastAsia"/>
                <w:b w:val="0"/>
                <w:bCs w:val="0"/>
                <w:color w:val="auto"/>
                <w:u w:val="none"/>
                <w:lang w:eastAsia="zh-CN"/>
              </w:rPr>
              <w:t>）</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41A16836">
            <w:pPr>
              <w:bidi w:val="0"/>
              <w:ind w:firstLine="482" w:firstLineChars="200"/>
              <w:rPr>
                <w:rFonts w:hint="default" w:eastAsia="宋体"/>
                <w:b w:val="0"/>
                <w:bCs w:val="0"/>
                <w:u w:val="none"/>
                <w:lang w:val="en-US" w:eastAsia="zh-CN"/>
              </w:rPr>
            </w:pPr>
            <w:r>
              <w:rPr>
                <w:rFonts w:hint="eastAsia"/>
                <w:b/>
                <w:bCs/>
                <w:color w:val="auto"/>
                <w:u w:val="single"/>
                <w:lang w:val="en-US" w:eastAsia="zh-CN"/>
              </w:rPr>
              <w:t>*</w:t>
            </w:r>
          </w:p>
        </w:tc>
      </w:tr>
      <w:tr w14:paraId="34BFEC9B">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54FC90FB">
            <w:pPr>
              <w:pStyle w:val="182"/>
              <w:rPr>
                <w:b w:val="0"/>
                <w:bCs w:val="0"/>
                <w:color w:val="auto"/>
                <w:u w:val="none"/>
              </w:rPr>
            </w:pPr>
            <w:r>
              <w:rPr>
                <w:b w:val="0"/>
                <w:bCs w:val="0"/>
                <w:color w:val="auto"/>
                <w:u w:val="none"/>
              </w:rPr>
              <w:t>合计</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299C2243">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096D2C44">
            <w:pPr>
              <w:pStyle w:val="182"/>
              <w:widowControl/>
              <w:textAlignment w:val="center"/>
              <w:rPr>
                <w:b w:val="0"/>
                <w:bCs w:val="0"/>
                <w:color w:val="auto"/>
                <w:u w:val="none"/>
              </w:rPr>
            </w:pPr>
            <w:r>
              <w:rPr>
                <w:rFonts w:hint="eastAsia"/>
                <w:b w:val="0"/>
                <w:bCs w:val="0"/>
                <w:color w:val="auto"/>
                <w:u w:val="none"/>
              </w:rPr>
              <w:t>合计</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4C176C6E">
            <w:pPr>
              <w:bidi w:val="0"/>
              <w:ind w:firstLine="482" w:firstLineChars="200"/>
              <w:rPr>
                <w:rFonts w:hint="default" w:eastAsia="宋体"/>
                <w:b w:val="0"/>
                <w:bCs w:val="0"/>
                <w:u w:val="none"/>
                <w:lang w:val="en-US" w:eastAsia="zh-CN"/>
              </w:rPr>
            </w:pPr>
            <w:r>
              <w:rPr>
                <w:rFonts w:hint="eastAsia"/>
                <w:b/>
                <w:bCs/>
                <w:color w:val="auto"/>
                <w:u w:val="single"/>
                <w:lang w:val="en-US" w:eastAsia="zh-CN"/>
              </w:rPr>
              <w:t>*</w:t>
            </w:r>
          </w:p>
        </w:tc>
      </w:tr>
      <w:tr w14:paraId="4D6FE4DE">
        <w:tblPrEx>
          <w:tblCellMar>
            <w:top w:w="0" w:type="dxa"/>
            <w:left w:w="108" w:type="dxa"/>
            <w:bottom w:w="0" w:type="dxa"/>
            <w:right w:w="108" w:type="dxa"/>
          </w:tblCellMar>
        </w:tblPrEx>
        <w:trPr>
          <w:trHeight w:val="397" w:hRule="atLeast"/>
          <w:jc w:val="center"/>
        </w:trPr>
        <w:tc>
          <w:tcPr>
            <w:tcW w:w="9290" w:type="dxa"/>
            <w:gridSpan w:val="4"/>
            <w:tcBorders>
              <w:top w:val="single" w:color="000000" w:sz="4" w:space="0"/>
              <w:left w:val="single" w:color="000000" w:sz="4" w:space="0"/>
              <w:bottom w:val="single" w:color="000000" w:sz="4" w:space="0"/>
              <w:right w:val="single" w:color="000000" w:sz="4" w:space="0"/>
            </w:tcBorders>
            <w:noWrap/>
            <w:vAlign w:val="center"/>
          </w:tcPr>
          <w:p w14:paraId="189CC29C">
            <w:pPr>
              <w:pStyle w:val="182"/>
              <w:rPr>
                <w:b w:val="0"/>
                <w:bCs w:val="0"/>
                <w:u w:val="none"/>
              </w:rPr>
            </w:pPr>
            <w:r>
              <w:rPr>
                <w:rFonts w:hint="eastAsia"/>
                <w:b/>
                <w:bCs/>
                <w:u w:val="none"/>
              </w:rPr>
              <w:t>溶剂平衡</w:t>
            </w:r>
          </w:p>
        </w:tc>
      </w:tr>
      <w:tr w14:paraId="15D3507D">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51CDA6C5">
            <w:pPr>
              <w:pStyle w:val="182"/>
              <w:widowControl/>
              <w:textAlignment w:val="center"/>
              <w:rPr>
                <w:rFonts w:hint="eastAsia" w:eastAsia="宋体"/>
                <w:b w:val="0"/>
                <w:bCs w:val="0"/>
                <w:color w:val="auto"/>
                <w:u w:val="none"/>
                <w:lang w:eastAsia="zh-CN"/>
              </w:rPr>
            </w:pPr>
            <w:r>
              <w:rPr>
                <w:b w:val="0"/>
                <w:bCs w:val="0"/>
                <w:color w:val="auto"/>
                <w:u w:val="none"/>
              </w:rPr>
              <w:t>补充</w:t>
            </w:r>
            <w:r>
              <w:rPr>
                <w:rFonts w:hint="eastAsia"/>
                <w:b w:val="0"/>
                <w:bCs w:val="0"/>
                <w:color w:val="auto"/>
                <w:u w:val="none"/>
                <w:lang w:val="en-US" w:eastAsia="zh-CN"/>
              </w:rPr>
              <w:t>溶剂</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01BF364B">
            <w:pPr>
              <w:widowControl/>
              <w:bidi w:val="0"/>
              <w:ind w:firstLine="482" w:firstLineChars="200"/>
              <w:textAlignment w:val="center"/>
              <w:rPr>
                <w:rFonts w:hint="eastAsia" w:eastAsia="宋体"/>
                <w:b w:val="0"/>
                <w:bCs w:val="0"/>
                <w:color w:val="auto"/>
                <w:u w:val="none"/>
                <w:lang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0B79FAE5">
            <w:pPr>
              <w:pStyle w:val="182"/>
              <w:widowControl/>
              <w:textAlignment w:val="center"/>
              <w:rPr>
                <w:rFonts w:hint="eastAsia" w:eastAsia="宋体"/>
                <w:b w:val="0"/>
                <w:bCs w:val="0"/>
                <w:color w:val="auto"/>
                <w:u w:val="none"/>
                <w:lang w:eastAsia="zh-CN"/>
              </w:rPr>
            </w:pPr>
            <w:r>
              <w:rPr>
                <w:rFonts w:hint="eastAsia" w:eastAsia="宋体"/>
                <w:b w:val="0"/>
                <w:bCs w:val="0"/>
                <w:color w:val="auto"/>
                <w:u w:val="none"/>
                <w:lang w:eastAsia="zh-CN"/>
              </w:rPr>
              <w:t>蒸发回收</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21AD2E95">
            <w:pPr>
              <w:widowControl/>
              <w:bidi w:val="0"/>
              <w:ind w:firstLine="482" w:firstLineChars="200"/>
              <w:textAlignment w:val="center"/>
              <w:rPr>
                <w:rFonts w:hint="eastAsia" w:eastAsia="宋体"/>
                <w:b w:val="0"/>
                <w:bCs w:val="0"/>
                <w:color w:val="auto"/>
                <w:u w:val="none"/>
                <w:lang w:eastAsia="zh-CN"/>
              </w:rPr>
            </w:pPr>
            <w:r>
              <w:rPr>
                <w:rFonts w:hint="eastAsia"/>
                <w:b/>
                <w:bCs/>
                <w:color w:val="auto"/>
                <w:u w:val="single"/>
                <w:lang w:val="en-US" w:eastAsia="zh-CN"/>
              </w:rPr>
              <w:t>*</w:t>
            </w:r>
          </w:p>
        </w:tc>
      </w:tr>
      <w:tr w14:paraId="7B7AD2B2">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08EBE42F">
            <w:pPr>
              <w:pStyle w:val="182"/>
              <w:widowControl/>
              <w:textAlignment w:val="center"/>
              <w:rPr>
                <w:b w:val="0"/>
                <w:bCs w:val="0"/>
                <w:color w:val="auto"/>
                <w:u w:val="none"/>
              </w:rPr>
            </w:pPr>
            <w:r>
              <w:rPr>
                <w:b w:val="0"/>
                <w:bCs w:val="0"/>
                <w:color w:val="auto"/>
                <w:u w:val="none"/>
              </w:rPr>
              <w:t>回收</w:t>
            </w:r>
            <w:r>
              <w:rPr>
                <w:rFonts w:hint="eastAsia"/>
                <w:b w:val="0"/>
                <w:bCs w:val="0"/>
                <w:color w:val="auto"/>
                <w:u w:val="none"/>
                <w:lang w:val="en-US" w:eastAsia="zh-CN"/>
              </w:rPr>
              <w:t>溶剂</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26CD0CE4">
            <w:pPr>
              <w:widowControl/>
              <w:bidi w:val="0"/>
              <w:ind w:firstLine="482" w:firstLineChars="200"/>
              <w:textAlignment w:val="center"/>
              <w:rPr>
                <w:rFonts w:hint="default" w:eastAsia="宋体"/>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5A4BDAC7">
            <w:pPr>
              <w:pStyle w:val="182"/>
              <w:widowControl/>
              <w:textAlignment w:val="center"/>
              <w:rPr>
                <w:rFonts w:hint="eastAsia" w:eastAsia="宋体"/>
                <w:b w:val="0"/>
                <w:bCs w:val="0"/>
                <w:color w:val="auto"/>
                <w:u w:val="none"/>
                <w:lang w:eastAsia="zh-CN"/>
              </w:rPr>
            </w:pPr>
            <w:r>
              <w:rPr>
                <w:rFonts w:hint="eastAsia" w:eastAsia="宋体"/>
                <w:b w:val="0"/>
                <w:bCs w:val="0"/>
                <w:color w:val="auto"/>
                <w:u w:val="none"/>
                <w:lang w:eastAsia="zh-CN"/>
              </w:rPr>
              <w:t>产品带走</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6BEAE77A">
            <w:pPr>
              <w:widowControl/>
              <w:bidi w:val="0"/>
              <w:ind w:firstLine="482" w:firstLineChars="200"/>
              <w:textAlignment w:val="center"/>
              <w:rPr>
                <w:rFonts w:hint="eastAsia" w:eastAsia="宋体"/>
                <w:b w:val="0"/>
                <w:bCs w:val="0"/>
                <w:color w:val="auto"/>
                <w:u w:val="none"/>
                <w:lang w:eastAsia="zh-CN"/>
              </w:rPr>
            </w:pPr>
            <w:r>
              <w:rPr>
                <w:rFonts w:hint="eastAsia"/>
                <w:b/>
                <w:bCs/>
                <w:color w:val="auto"/>
                <w:u w:val="single"/>
                <w:lang w:val="en-US" w:eastAsia="zh-CN"/>
              </w:rPr>
              <w:t>*</w:t>
            </w:r>
          </w:p>
        </w:tc>
      </w:tr>
      <w:tr w14:paraId="679445BC">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77A3B482">
            <w:pPr>
              <w:pStyle w:val="182"/>
              <w:widowControl/>
              <w:textAlignment w:val="center"/>
              <w:rPr>
                <w:b w:val="0"/>
                <w:bCs w:val="0"/>
                <w:color w:val="auto"/>
                <w:u w:val="none"/>
              </w:rPr>
            </w:pP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5CE81E98">
            <w:pPr>
              <w:widowControl/>
              <w:bidi w:val="0"/>
              <w:ind w:firstLine="482" w:firstLineChars="200"/>
              <w:textAlignment w:val="center"/>
              <w:rPr>
                <w:rFonts w:hint="eastAsia" w:eastAsia="宋体"/>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696DBB0F">
            <w:pPr>
              <w:pStyle w:val="182"/>
              <w:widowControl/>
              <w:textAlignment w:val="center"/>
              <w:rPr>
                <w:rFonts w:hint="eastAsia" w:eastAsia="宋体"/>
                <w:b w:val="0"/>
                <w:bCs w:val="0"/>
                <w:color w:val="auto"/>
                <w:u w:val="none"/>
                <w:lang w:val="en-US" w:eastAsia="zh-CN"/>
              </w:rPr>
            </w:pPr>
            <w:r>
              <w:rPr>
                <w:rFonts w:hint="eastAsia" w:eastAsia="宋体"/>
                <w:b w:val="0"/>
                <w:bCs w:val="0"/>
                <w:color w:val="auto"/>
                <w:u w:val="none"/>
                <w:lang w:val="en-US" w:eastAsia="zh-CN"/>
              </w:rPr>
              <w:t>进入废气</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5A35110C">
            <w:pPr>
              <w:widowControl/>
              <w:bidi w:val="0"/>
              <w:ind w:firstLine="482" w:firstLineChars="200"/>
              <w:textAlignment w:val="center"/>
              <w:rPr>
                <w:rFonts w:hint="default" w:eastAsia="宋体"/>
                <w:b w:val="0"/>
                <w:bCs w:val="0"/>
                <w:color w:val="auto"/>
                <w:u w:val="none"/>
                <w:lang w:val="en-US" w:eastAsia="zh-CN"/>
              </w:rPr>
            </w:pPr>
            <w:r>
              <w:rPr>
                <w:rFonts w:hint="eastAsia"/>
                <w:b/>
                <w:bCs/>
                <w:color w:val="auto"/>
                <w:u w:val="single"/>
                <w:lang w:val="en-US" w:eastAsia="zh-CN"/>
              </w:rPr>
              <w:t>*</w:t>
            </w:r>
          </w:p>
        </w:tc>
      </w:tr>
      <w:tr w14:paraId="5AD5F041">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75ACC7A5">
            <w:pPr>
              <w:pStyle w:val="182"/>
              <w:widowControl/>
              <w:textAlignment w:val="center"/>
              <w:rPr>
                <w:b w:val="0"/>
                <w:bCs w:val="0"/>
                <w:color w:val="auto"/>
                <w:u w:val="none"/>
              </w:rPr>
            </w:pP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0CE3CE41">
            <w:pPr>
              <w:widowControl/>
              <w:bidi w:val="0"/>
              <w:ind w:firstLine="482" w:firstLineChars="200"/>
              <w:textAlignment w:val="center"/>
              <w:rPr>
                <w:rFonts w:hint="eastAsia" w:eastAsia="宋体"/>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1DFD3B12">
            <w:pPr>
              <w:pStyle w:val="182"/>
              <w:widowControl/>
              <w:textAlignment w:val="center"/>
              <w:rPr>
                <w:rFonts w:hint="eastAsia" w:eastAsia="宋体"/>
                <w:b w:val="0"/>
                <w:bCs w:val="0"/>
                <w:color w:val="auto"/>
                <w:u w:val="none"/>
                <w:lang w:val="en-US" w:eastAsia="zh-CN"/>
              </w:rPr>
            </w:pPr>
            <w:r>
              <w:rPr>
                <w:rFonts w:hint="eastAsia" w:eastAsia="宋体"/>
                <w:b w:val="0"/>
                <w:bCs w:val="0"/>
                <w:color w:val="auto"/>
                <w:u w:val="none"/>
                <w:lang w:val="en-US" w:eastAsia="zh-CN"/>
              </w:rPr>
              <w:t>进入废水</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3BF00DF0">
            <w:pPr>
              <w:widowControl/>
              <w:bidi w:val="0"/>
              <w:ind w:firstLine="482" w:firstLineChars="200"/>
              <w:textAlignment w:val="center"/>
              <w:rPr>
                <w:rFonts w:hint="default" w:eastAsia="宋体"/>
                <w:b w:val="0"/>
                <w:bCs w:val="0"/>
                <w:color w:val="auto"/>
                <w:u w:val="none"/>
                <w:lang w:val="en-US" w:eastAsia="zh-CN"/>
              </w:rPr>
            </w:pPr>
            <w:r>
              <w:rPr>
                <w:rFonts w:hint="eastAsia"/>
                <w:b/>
                <w:bCs/>
                <w:color w:val="auto"/>
                <w:u w:val="single"/>
                <w:lang w:val="en-US" w:eastAsia="zh-CN"/>
              </w:rPr>
              <w:t>*</w:t>
            </w:r>
          </w:p>
        </w:tc>
      </w:tr>
      <w:tr w14:paraId="755897ED">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404C036F">
            <w:pPr>
              <w:pStyle w:val="182"/>
              <w:widowControl/>
              <w:textAlignment w:val="center"/>
              <w:rPr>
                <w:b w:val="0"/>
                <w:bCs w:val="0"/>
                <w:color w:val="auto"/>
                <w:u w:val="none"/>
              </w:rPr>
            </w:pP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1C8AD14B">
            <w:pPr>
              <w:widowControl/>
              <w:bidi w:val="0"/>
              <w:ind w:firstLine="482" w:firstLineChars="200"/>
              <w:textAlignment w:val="center"/>
              <w:rPr>
                <w:rFonts w:hint="eastAsia" w:eastAsia="宋体"/>
                <w:b w:val="0"/>
                <w:bCs w:val="0"/>
                <w:color w:val="auto"/>
                <w:u w:val="none"/>
                <w:lang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446A48CB">
            <w:pPr>
              <w:pStyle w:val="182"/>
              <w:widowControl/>
              <w:textAlignment w:val="center"/>
              <w:rPr>
                <w:rFonts w:hint="eastAsia" w:eastAsia="宋体"/>
                <w:b w:val="0"/>
                <w:bCs w:val="0"/>
                <w:color w:val="auto"/>
                <w:u w:val="none"/>
                <w:lang w:eastAsia="zh-CN"/>
              </w:rPr>
            </w:pPr>
            <w:r>
              <w:rPr>
                <w:rFonts w:hint="eastAsia" w:eastAsia="宋体"/>
                <w:b w:val="0"/>
                <w:bCs w:val="0"/>
                <w:color w:val="auto"/>
                <w:u w:val="none"/>
                <w:lang w:eastAsia="zh-CN"/>
              </w:rPr>
              <w:t>进入固废</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76275C96">
            <w:pPr>
              <w:widowControl/>
              <w:bidi w:val="0"/>
              <w:ind w:firstLine="482" w:firstLineChars="200"/>
              <w:textAlignment w:val="center"/>
              <w:rPr>
                <w:rFonts w:hint="eastAsia" w:eastAsia="宋体"/>
                <w:b w:val="0"/>
                <w:bCs w:val="0"/>
                <w:color w:val="auto"/>
                <w:u w:val="none"/>
                <w:lang w:eastAsia="zh-CN"/>
              </w:rPr>
            </w:pPr>
            <w:r>
              <w:rPr>
                <w:rFonts w:hint="eastAsia"/>
                <w:b/>
                <w:bCs/>
                <w:color w:val="auto"/>
                <w:u w:val="single"/>
                <w:lang w:val="en-US" w:eastAsia="zh-CN"/>
              </w:rPr>
              <w:t>*</w:t>
            </w:r>
          </w:p>
        </w:tc>
      </w:tr>
      <w:tr w14:paraId="41135394">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09529F6A">
            <w:pPr>
              <w:pStyle w:val="182"/>
              <w:widowControl/>
              <w:textAlignment w:val="center"/>
              <w:rPr>
                <w:b w:val="0"/>
                <w:bCs w:val="0"/>
                <w:color w:val="auto"/>
                <w:u w:val="none"/>
              </w:rPr>
            </w:pPr>
            <w:r>
              <w:rPr>
                <w:b w:val="0"/>
                <w:bCs w:val="0"/>
                <w:color w:val="auto"/>
                <w:u w:val="none"/>
              </w:rPr>
              <w:t>合计</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605DAC24">
            <w:pPr>
              <w:widowControl/>
              <w:bidi w:val="0"/>
              <w:ind w:firstLine="482" w:firstLineChars="200"/>
              <w:textAlignment w:val="center"/>
              <w:rPr>
                <w:rFonts w:hint="default" w:eastAsia="宋体"/>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5E7A17D7">
            <w:pPr>
              <w:pStyle w:val="182"/>
              <w:widowControl/>
              <w:textAlignment w:val="center"/>
              <w:rPr>
                <w:rFonts w:hint="eastAsia" w:eastAsia="宋体"/>
                <w:b w:val="0"/>
                <w:bCs w:val="0"/>
                <w:color w:val="auto"/>
                <w:u w:val="none"/>
                <w:lang w:eastAsia="zh-CN"/>
              </w:rPr>
            </w:pPr>
            <w:r>
              <w:rPr>
                <w:rFonts w:hint="eastAsia" w:eastAsia="宋体"/>
                <w:b w:val="0"/>
                <w:bCs w:val="0"/>
                <w:color w:val="auto"/>
                <w:u w:val="none"/>
                <w:lang w:eastAsia="zh-CN"/>
              </w:rPr>
              <w:t>合计</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74B85CE6">
            <w:pPr>
              <w:widowControl/>
              <w:bidi w:val="0"/>
              <w:ind w:firstLine="482" w:firstLineChars="200"/>
              <w:textAlignment w:val="center"/>
              <w:rPr>
                <w:rFonts w:hint="eastAsia" w:eastAsia="宋体"/>
                <w:b w:val="0"/>
                <w:bCs w:val="0"/>
                <w:color w:val="auto"/>
                <w:u w:val="none"/>
                <w:lang w:eastAsia="zh-CN"/>
              </w:rPr>
            </w:pPr>
            <w:r>
              <w:rPr>
                <w:rFonts w:hint="eastAsia"/>
                <w:b/>
                <w:bCs/>
                <w:color w:val="auto"/>
                <w:u w:val="single"/>
                <w:lang w:val="en-US" w:eastAsia="zh-CN"/>
              </w:rPr>
              <w:t>*</w:t>
            </w:r>
          </w:p>
        </w:tc>
      </w:tr>
      <w:tr w14:paraId="60B1965D">
        <w:tblPrEx>
          <w:tblCellMar>
            <w:top w:w="0" w:type="dxa"/>
            <w:left w:w="108" w:type="dxa"/>
            <w:bottom w:w="0" w:type="dxa"/>
            <w:right w:w="108" w:type="dxa"/>
          </w:tblCellMar>
        </w:tblPrEx>
        <w:trPr>
          <w:trHeight w:val="397" w:hRule="atLeast"/>
          <w:jc w:val="center"/>
        </w:trPr>
        <w:tc>
          <w:tcPr>
            <w:tcW w:w="9290" w:type="dxa"/>
            <w:gridSpan w:val="4"/>
            <w:tcBorders>
              <w:top w:val="single" w:color="000000" w:sz="4" w:space="0"/>
              <w:left w:val="single" w:color="000000" w:sz="4" w:space="0"/>
              <w:bottom w:val="single" w:color="000000" w:sz="4" w:space="0"/>
              <w:right w:val="single" w:color="000000" w:sz="4" w:space="0"/>
            </w:tcBorders>
            <w:noWrap/>
            <w:vAlign w:val="center"/>
          </w:tcPr>
          <w:p w14:paraId="510838AD">
            <w:pPr>
              <w:pStyle w:val="182"/>
              <w:rPr>
                <w:b w:val="0"/>
                <w:bCs w:val="0"/>
                <w:u w:val="none"/>
              </w:rPr>
            </w:pPr>
            <w:r>
              <w:rPr>
                <w:rFonts w:hint="eastAsia"/>
                <w:b/>
                <w:bCs/>
                <w:u w:val="none"/>
                <w:lang w:val="en-US" w:eastAsia="zh-CN"/>
              </w:rPr>
              <w:t>纺丝</w:t>
            </w:r>
            <w:r>
              <w:rPr>
                <w:rFonts w:hint="eastAsia"/>
                <w:b/>
                <w:bCs/>
                <w:u w:val="none"/>
              </w:rPr>
              <w:t>油剂平衡</w:t>
            </w:r>
          </w:p>
        </w:tc>
      </w:tr>
      <w:tr w14:paraId="1459F2A4">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59C208DA">
            <w:pPr>
              <w:pStyle w:val="182"/>
              <w:rPr>
                <w:b w:val="0"/>
                <w:bCs w:val="0"/>
                <w:color w:val="auto"/>
                <w:u w:val="none"/>
              </w:rPr>
            </w:pPr>
            <w:r>
              <w:rPr>
                <w:rFonts w:hint="eastAsia"/>
                <w:b w:val="0"/>
                <w:bCs w:val="0"/>
                <w:color w:val="auto"/>
                <w:u w:val="none"/>
                <w:lang w:val="en-US" w:eastAsia="zh-CN"/>
              </w:rPr>
              <w:t>纺丝</w:t>
            </w:r>
            <w:r>
              <w:rPr>
                <w:b w:val="0"/>
                <w:bCs w:val="0"/>
                <w:color w:val="auto"/>
                <w:u w:val="none"/>
              </w:rPr>
              <w:t>油剂</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1F44A0D3">
            <w:pPr>
              <w:bidi w:val="0"/>
              <w:ind w:firstLine="482" w:firstLineChars="200"/>
              <w:rPr>
                <w:b w:val="0"/>
                <w:bCs w:val="0"/>
                <w:color w:val="auto"/>
                <w:u w:val="none"/>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734D020E">
            <w:pPr>
              <w:pStyle w:val="182"/>
              <w:widowControl/>
              <w:textAlignment w:val="center"/>
              <w:rPr>
                <w:rFonts w:hint="eastAsia" w:eastAsia="宋体"/>
                <w:b w:val="0"/>
                <w:bCs w:val="0"/>
                <w:color w:val="auto"/>
                <w:u w:val="none"/>
                <w:lang w:eastAsia="zh-CN"/>
              </w:rPr>
            </w:pPr>
            <w:r>
              <w:rPr>
                <w:b w:val="0"/>
                <w:bCs w:val="0"/>
                <w:color w:val="auto"/>
                <w:u w:val="none"/>
              </w:rPr>
              <w:t>干燥废气</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239DA716">
            <w:pPr>
              <w:bidi w:val="0"/>
              <w:ind w:firstLine="482" w:firstLineChars="200"/>
              <w:rPr>
                <w:b w:val="0"/>
                <w:bCs w:val="0"/>
                <w:u w:val="none"/>
              </w:rPr>
            </w:pPr>
            <w:r>
              <w:rPr>
                <w:rFonts w:hint="eastAsia"/>
                <w:b/>
                <w:bCs/>
                <w:color w:val="auto"/>
                <w:u w:val="single"/>
                <w:lang w:val="en-US" w:eastAsia="zh-CN"/>
              </w:rPr>
              <w:t>*</w:t>
            </w:r>
          </w:p>
        </w:tc>
      </w:tr>
      <w:tr w14:paraId="219E32B4">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72BB38DC">
            <w:pPr>
              <w:pStyle w:val="182"/>
              <w:rPr>
                <w:b w:val="0"/>
                <w:bCs w:val="0"/>
                <w:color w:val="auto"/>
                <w:u w:val="none"/>
              </w:rPr>
            </w:pP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441A2D23">
            <w:pPr>
              <w:widowControl/>
              <w:bidi w:val="0"/>
              <w:ind w:firstLine="482" w:firstLineChars="200"/>
              <w:textAlignment w:val="center"/>
              <w:rPr>
                <w:b w:val="0"/>
                <w:bCs w:val="0"/>
                <w:color w:val="auto"/>
                <w:u w:val="none"/>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7BB20A76">
            <w:pPr>
              <w:pStyle w:val="182"/>
              <w:rPr>
                <w:b w:val="0"/>
                <w:bCs w:val="0"/>
                <w:color w:val="auto"/>
                <w:u w:val="none"/>
              </w:rPr>
            </w:pPr>
            <w:r>
              <w:rPr>
                <w:rFonts w:hint="eastAsia"/>
                <w:b w:val="0"/>
                <w:bCs w:val="0"/>
                <w:color w:val="auto"/>
                <w:u w:val="none"/>
              </w:rPr>
              <w:t>产品带走</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07187673">
            <w:pPr>
              <w:bidi w:val="0"/>
              <w:ind w:firstLine="482" w:firstLineChars="200"/>
              <w:rPr>
                <w:rFonts w:hint="default" w:eastAsia="宋体"/>
                <w:b w:val="0"/>
                <w:bCs w:val="0"/>
                <w:u w:val="none"/>
                <w:lang w:val="en-US" w:eastAsia="zh-CN"/>
              </w:rPr>
            </w:pPr>
            <w:r>
              <w:rPr>
                <w:rFonts w:hint="eastAsia"/>
                <w:b/>
                <w:bCs/>
                <w:color w:val="auto"/>
                <w:u w:val="single"/>
                <w:lang w:val="en-US" w:eastAsia="zh-CN"/>
              </w:rPr>
              <w:t>*</w:t>
            </w:r>
          </w:p>
        </w:tc>
      </w:tr>
      <w:tr w14:paraId="56C03C6E">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6EB10549">
            <w:pPr>
              <w:pStyle w:val="182"/>
              <w:widowControl/>
              <w:textAlignment w:val="center"/>
              <w:rPr>
                <w:b w:val="0"/>
                <w:bCs w:val="0"/>
                <w:color w:val="auto"/>
                <w:u w:val="none"/>
              </w:rPr>
            </w:pPr>
            <w:r>
              <w:rPr>
                <w:b w:val="0"/>
                <w:bCs w:val="0"/>
                <w:color w:val="auto"/>
                <w:u w:val="none"/>
              </w:rPr>
              <w:t>合计</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71BCCED8">
            <w:pPr>
              <w:widowControl/>
              <w:bidi w:val="0"/>
              <w:ind w:firstLine="482" w:firstLineChars="200"/>
              <w:textAlignment w:val="center"/>
              <w:rPr>
                <w:b w:val="0"/>
                <w:bCs w:val="0"/>
                <w:color w:val="auto"/>
                <w:u w:val="none"/>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57B4800B">
            <w:pPr>
              <w:pStyle w:val="182"/>
              <w:widowControl/>
              <w:textAlignment w:val="center"/>
              <w:rPr>
                <w:b w:val="0"/>
                <w:bCs w:val="0"/>
                <w:color w:val="auto"/>
                <w:u w:val="none"/>
              </w:rPr>
            </w:pPr>
            <w:r>
              <w:rPr>
                <w:b w:val="0"/>
                <w:bCs w:val="0"/>
                <w:color w:val="auto"/>
                <w:u w:val="none"/>
              </w:rPr>
              <w:t>合计</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33D0A6F5">
            <w:pPr>
              <w:bidi w:val="0"/>
              <w:ind w:firstLine="482" w:firstLineChars="200"/>
              <w:rPr>
                <w:rFonts w:hint="default" w:eastAsia="宋体"/>
                <w:b w:val="0"/>
                <w:bCs w:val="0"/>
                <w:u w:val="none"/>
                <w:lang w:val="en-US" w:eastAsia="zh-CN"/>
              </w:rPr>
            </w:pPr>
            <w:r>
              <w:rPr>
                <w:rFonts w:hint="eastAsia"/>
                <w:b/>
                <w:bCs/>
                <w:color w:val="auto"/>
                <w:u w:val="single"/>
                <w:lang w:val="en-US" w:eastAsia="zh-CN"/>
              </w:rPr>
              <w:t>*</w:t>
            </w:r>
          </w:p>
        </w:tc>
      </w:tr>
      <w:tr w14:paraId="280914D9">
        <w:tblPrEx>
          <w:tblCellMar>
            <w:top w:w="0" w:type="dxa"/>
            <w:left w:w="108" w:type="dxa"/>
            <w:bottom w:w="0" w:type="dxa"/>
            <w:right w:w="108" w:type="dxa"/>
          </w:tblCellMar>
        </w:tblPrEx>
        <w:trPr>
          <w:trHeight w:val="397" w:hRule="atLeast"/>
          <w:jc w:val="center"/>
        </w:trPr>
        <w:tc>
          <w:tcPr>
            <w:tcW w:w="9290" w:type="dxa"/>
            <w:gridSpan w:val="4"/>
            <w:tcBorders>
              <w:top w:val="single" w:color="000000" w:sz="4" w:space="0"/>
              <w:left w:val="single" w:color="000000" w:sz="4" w:space="0"/>
              <w:bottom w:val="single" w:color="000000" w:sz="4" w:space="0"/>
              <w:right w:val="single" w:color="000000" w:sz="4" w:space="0"/>
            </w:tcBorders>
            <w:noWrap/>
            <w:vAlign w:val="center"/>
          </w:tcPr>
          <w:p w14:paraId="6F952434">
            <w:pPr>
              <w:pStyle w:val="182"/>
              <w:rPr>
                <w:rFonts w:hint="default" w:eastAsia="宋体"/>
                <w:b w:val="0"/>
                <w:bCs w:val="0"/>
                <w:u w:val="none"/>
                <w:lang w:val="en-US" w:eastAsia="zh-CN"/>
              </w:rPr>
            </w:pPr>
            <w:r>
              <w:rPr>
                <w:rFonts w:hint="eastAsia"/>
                <w:b/>
                <w:bCs/>
                <w:u w:val="none"/>
                <w:lang w:val="en-US" w:eastAsia="zh-CN"/>
              </w:rPr>
              <w:t>总物料平衡</w:t>
            </w:r>
          </w:p>
        </w:tc>
      </w:tr>
      <w:tr w14:paraId="2FFEEF61">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0C9C806E">
            <w:pPr>
              <w:pStyle w:val="182"/>
              <w:rPr>
                <w:rFonts w:hint="eastAsia"/>
                <w:b w:val="0"/>
                <w:bCs w:val="0"/>
                <w:color w:val="auto"/>
                <w:u w:val="none"/>
                <w:lang w:val="en-US" w:eastAsia="zh-CN"/>
              </w:rPr>
            </w:pPr>
            <w:r>
              <w:rPr>
                <w:rFonts w:hint="eastAsia"/>
                <w:b w:val="0"/>
                <w:bCs w:val="0"/>
                <w:color w:val="auto"/>
                <w:u w:val="none"/>
                <w:lang w:val="en-US" w:eastAsia="zh-CN"/>
              </w:rPr>
              <w:t>纤维素</w:t>
            </w:r>
            <w:r>
              <w:rPr>
                <w:rFonts w:hint="eastAsia"/>
                <w:b w:val="0"/>
                <w:bCs w:val="0"/>
                <w:color w:val="auto"/>
                <w:u w:val="none"/>
              </w:rPr>
              <w:t>浆粕</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671EE6F6">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4362BEC2">
            <w:pPr>
              <w:pStyle w:val="182"/>
              <w:rPr>
                <w:rFonts w:hint="eastAsia"/>
                <w:b w:val="0"/>
                <w:bCs w:val="0"/>
                <w:color w:val="auto"/>
                <w:u w:val="none"/>
              </w:rPr>
            </w:pPr>
            <w:r>
              <w:rPr>
                <w:rFonts w:hint="eastAsia"/>
                <w:b w:val="0"/>
                <w:bCs w:val="0"/>
                <w:color w:val="auto"/>
                <w:u w:val="none"/>
                <w:lang w:val="en-US" w:eastAsia="zh-CN"/>
              </w:rPr>
              <w:t>产品</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32B701F9">
            <w:pPr>
              <w:bidi w:val="0"/>
              <w:ind w:firstLine="482" w:firstLineChars="200"/>
              <w:rPr>
                <w:rFonts w:hint="eastAsia"/>
                <w:b w:val="0"/>
                <w:bCs w:val="0"/>
                <w:color w:val="auto"/>
                <w:u w:val="none"/>
              </w:rPr>
            </w:pPr>
            <w:r>
              <w:rPr>
                <w:rFonts w:hint="eastAsia"/>
                <w:b/>
                <w:bCs/>
                <w:color w:val="auto"/>
                <w:u w:val="single"/>
                <w:lang w:val="en-US" w:eastAsia="zh-CN"/>
              </w:rPr>
              <w:t>*</w:t>
            </w:r>
          </w:p>
        </w:tc>
      </w:tr>
      <w:tr w14:paraId="42BF44A0">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24201469">
            <w:pPr>
              <w:pStyle w:val="182"/>
              <w:rPr>
                <w:rFonts w:hint="eastAsia"/>
                <w:b w:val="0"/>
                <w:bCs w:val="0"/>
                <w:color w:val="auto"/>
                <w:u w:val="none"/>
                <w:lang w:val="en-US" w:eastAsia="zh-CN"/>
              </w:rPr>
            </w:pPr>
            <w:r>
              <w:rPr>
                <w:rFonts w:hint="eastAsia"/>
                <w:b w:val="0"/>
                <w:bCs w:val="0"/>
                <w:color w:val="auto"/>
                <w:u w:val="none"/>
                <w:lang w:val="en-US" w:eastAsia="zh-CN"/>
              </w:rPr>
              <w:t>废旧棉纺织品</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121F87CA">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3691685C">
            <w:pPr>
              <w:pStyle w:val="182"/>
              <w:rPr>
                <w:rFonts w:hint="eastAsia"/>
                <w:b w:val="0"/>
                <w:bCs w:val="0"/>
                <w:color w:val="auto"/>
                <w:u w:val="none"/>
              </w:rPr>
            </w:pPr>
            <w:r>
              <w:rPr>
                <w:rFonts w:hint="eastAsia"/>
                <w:b w:val="0"/>
                <w:bCs w:val="0"/>
                <w:color w:val="auto"/>
                <w:u w:val="none"/>
              </w:rPr>
              <w:t>颗粒物</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16B778FE">
            <w:pPr>
              <w:bidi w:val="0"/>
              <w:ind w:firstLine="482" w:firstLineChars="200"/>
              <w:rPr>
                <w:rFonts w:hint="eastAsia"/>
                <w:b w:val="0"/>
                <w:bCs w:val="0"/>
                <w:color w:val="auto"/>
                <w:u w:val="none"/>
              </w:rPr>
            </w:pPr>
            <w:r>
              <w:rPr>
                <w:rFonts w:hint="eastAsia"/>
                <w:b/>
                <w:bCs/>
                <w:color w:val="auto"/>
                <w:u w:val="single"/>
                <w:lang w:val="en-US" w:eastAsia="zh-CN"/>
              </w:rPr>
              <w:t>*</w:t>
            </w:r>
          </w:p>
        </w:tc>
      </w:tr>
      <w:tr w14:paraId="4595B759">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6A6D5D28">
            <w:pPr>
              <w:pStyle w:val="182"/>
              <w:rPr>
                <w:rFonts w:hint="eastAsia"/>
                <w:b w:val="0"/>
                <w:bCs w:val="0"/>
                <w:color w:val="auto"/>
                <w:u w:val="none"/>
                <w:lang w:val="en-US" w:eastAsia="zh-CN"/>
              </w:rPr>
            </w:pPr>
            <w:r>
              <w:rPr>
                <w:rFonts w:hint="eastAsia"/>
                <w:b w:val="0"/>
                <w:bCs w:val="0"/>
                <w:color w:val="auto"/>
                <w:u w:val="none"/>
              </w:rPr>
              <w:t>补充</w:t>
            </w:r>
            <w:r>
              <w:rPr>
                <w:rFonts w:hint="eastAsia"/>
                <w:b w:val="0"/>
                <w:bCs w:val="0"/>
                <w:color w:val="auto"/>
                <w:u w:val="none"/>
                <w:lang w:val="en-US" w:eastAsia="zh-CN"/>
              </w:rPr>
              <w:t>D溶剂</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590CC45A">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5A11DCE9">
            <w:pPr>
              <w:pStyle w:val="182"/>
              <w:rPr>
                <w:rFonts w:hint="default"/>
                <w:b w:val="0"/>
                <w:bCs w:val="0"/>
                <w:color w:val="auto"/>
                <w:u w:val="none"/>
                <w:lang w:val="en-US"/>
              </w:rPr>
            </w:pPr>
            <w:r>
              <w:rPr>
                <w:rFonts w:hint="eastAsia"/>
                <w:b w:val="0"/>
                <w:bCs w:val="0"/>
                <w:color w:val="auto"/>
                <w:u w:val="none"/>
                <w:lang w:val="en-US" w:eastAsia="zh-CN"/>
              </w:rPr>
              <w:t>滤渣1</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2CDF5B83">
            <w:pPr>
              <w:bidi w:val="0"/>
              <w:ind w:firstLine="482" w:firstLineChars="200"/>
              <w:rPr>
                <w:rFonts w:hint="eastAsia"/>
                <w:b w:val="0"/>
                <w:bCs w:val="0"/>
                <w:color w:val="auto"/>
                <w:u w:val="none"/>
              </w:rPr>
            </w:pPr>
            <w:r>
              <w:rPr>
                <w:rFonts w:hint="eastAsia"/>
                <w:b/>
                <w:bCs/>
                <w:color w:val="auto"/>
                <w:u w:val="single"/>
                <w:lang w:val="en-US" w:eastAsia="zh-CN"/>
              </w:rPr>
              <w:t>*</w:t>
            </w:r>
          </w:p>
        </w:tc>
      </w:tr>
      <w:tr w14:paraId="56AD902D">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5BA45630">
            <w:pPr>
              <w:pStyle w:val="182"/>
              <w:rPr>
                <w:rFonts w:hint="eastAsia"/>
                <w:b w:val="0"/>
                <w:bCs w:val="0"/>
                <w:color w:val="auto"/>
                <w:u w:val="none"/>
                <w:lang w:val="en-US" w:eastAsia="zh-CN"/>
              </w:rPr>
            </w:pPr>
            <w:r>
              <w:rPr>
                <w:rFonts w:hint="eastAsia"/>
                <w:b w:val="0"/>
                <w:bCs w:val="0"/>
                <w:color w:val="auto"/>
                <w:u w:val="none"/>
              </w:rPr>
              <w:t>补充</w:t>
            </w:r>
            <w:r>
              <w:rPr>
                <w:rFonts w:hint="eastAsia"/>
                <w:b w:val="0"/>
                <w:bCs w:val="0"/>
                <w:color w:val="auto"/>
                <w:u w:val="none"/>
                <w:lang w:val="en-US" w:eastAsia="zh-CN"/>
              </w:rPr>
              <w:t>T溶剂</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79181E3F">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3D289CE1">
            <w:pPr>
              <w:pStyle w:val="182"/>
              <w:rPr>
                <w:rFonts w:hint="eastAsia"/>
                <w:b w:val="0"/>
                <w:bCs w:val="0"/>
                <w:color w:val="auto"/>
                <w:u w:val="none"/>
              </w:rPr>
            </w:pPr>
            <w:r>
              <w:rPr>
                <w:rFonts w:hint="eastAsia"/>
                <w:b w:val="0"/>
                <w:bCs w:val="0"/>
                <w:color w:val="auto"/>
                <w:u w:val="none"/>
                <w:lang w:val="en-US" w:eastAsia="zh-CN"/>
              </w:rPr>
              <w:t>滤渣2</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6BBA499E">
            <w:pPr>
              <w:bidi w:val="0"/>
              <w:ind w:firstLine="482" w:firstLineChars="200"/>
              <w:rPr>
                <w:rFonts w:hint="eastAsia"/>
                <w:b w:val="0"/>
                <w:bCs w:val="0"/>
                <w:color w:val="auto"/>
                <w:u w:val="none"/>
              </w:rPr>
            </w:pPr>
            <w:r>
              <w:rPr>
                <w:rFonts w:hint="eastAsia"/>
                <w:b/>
                <w:bCs/>
                <w:color w:val="auto"/>
                <w:u w:val="single"/>
                <w:lang w:val="en-US" w:eastAsia="zh-CN"/>
              </w:rPr>
              <w:t>*</w:t>
            </w:r>
          </w:p>
        </w:tc>
      </w:tr>
      <w:tr w14:paraId="2A41793D">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41FDE421">
            <w:pPr>
              <w:pStyle w:val="182"/>
              <w:rPr>
                <w:rFonts w:hint="eastAsia"/>
                <w:b w:val="0"/>
                <w:bCs w:val="0"/>
                <w:color w:val="auto"/>
                <w:u w:val="none"/>
                <w:lang w:val="en-US" w:eastAsia="zh-CN"/>
              </w:rPr>
            </w:pPr>
            <w:r>
              <w:rPr>
                <w:rFonts w:hint="eastAsia"/>
                <w:b w:val="0"/>
                <w:bCs w:val="0"/>
                <w:color w:val="auto"/>
                <w:u w:val="none"/>
                <w:lang w:val="en-US" w:eastAsia="zh-CN"/>
              </w:rPr>
              <w:t>脱盐水</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2F159FB8">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13ED238A">
            <w:pPr>
              <w:pStyle w:val="182"/>
              <w:rPr>
                <w:rFonts w:hint="eastAsia"/>
                <w:b w:val="0"/>
                <w:bCs w:val="0"/>
                <w:color w:val="auto"/>
                <w:u w:val="none"/>
              </w:rPr>
            </w:pPr>
            <w:r>
              <w:rPr>
                <w:rFonts w:hint="eastAsia"/>
                <w:b w:val="0"/>
                <w:bCs w:val="0"/>
                <w:color w:val="auto"/>
                <w:u w:val="none"/>
                <w:lang w:val="en-US" w:eastAsia="zh-CN"/>
              </w:rPr>
              <w:t>冷凝水补充水洗</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3A0D4002">
            <w:pPr>
              <w:bidi w:val="0"/>
              <w:ind w:firstLine="482" w:firstLineChars="200"/>
              <w:rPr>
                <w:rFonts w:hint="eastAsia"/>
                <w:b w:val="0"/>
                <w:bCs w:val="0"/>
                <w:color w:val="auto"/>
                <w:u w:val="none"/>
              </w:rPr>
            </w:pPr>
            <w:r>
              <w:rPr>
                <w:rFonts w:hint="eastAsia"/>
                <w:b/>
                <w:bCs/>
                <w:color w:val="auto"/>
                <w:u w:val="single"/>
                <w:lang w:val="en-US" w:eastAsia="zh-CN"/>
              </w:rPr>
              <w:t>*</w:t>
            </w:r>
          </w:p>
        </w:tc>
      </w:tr>
      <w:tr w14:paraId="29A5A74A">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24A8174E">
            <w:pPr>
              <w:pStyle w:val="182"/>
              <w:rPr>
                <w:rFonts w:hint="default"/>
                <w:b w:val="0"/>
                <w:bCs w:val="0"/>
                <w:color w:val="auto"/>
                <w:u w:val="none"/>
                <w:lang w:val="en-US" w:eastAsia="zh-CN"/>
              </w:rPr>
            </w:pPr>
            <w:r>
              <w:rPr>
                <w:rFonts w:hint="eastAsia"/>
                <w:b w:val="0"/>
                <w:bCs w:val="0"/>
                <w:color w:val="auto"/>
                <w:u w:val="none"/>
                <w:lang w:val="en-US" w:eastAsia="zh-CN"/>
              </w:rPr>
              <w:t>回用水洗</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665FE5D9">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4E4DB96A">
            <w:pPr>
              <w:pStyle w:val="182"/>
              <w:rPr>
                <w:rFonts w:hint="default"/>
                <w:b w:val="0"/>
                <w:bCs w:val="0"/>
                <w:color w:val="auto"/>
                <w:u w:val="none"/>
                <w:lang w:val="en-US"/>
              </w:rPr>
            </w:pPr>
            <w:r>
              <w:rPr>
                <w:rFonts w:hint="eastAsia"/>
                <w:b w:val="0"/>
                <w:bCs w:val="0"/>
                <w:color w:val="auto"/>
                <w:u w:val="none"/>
                <w:lang w:val="en-US" w:eastAsia="zh-CN"/>
              </w:rPr>
              <w:t>去污水站</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0F7E96F0">
            <w:pPr>
              <w:bidi w:val="0"/>
              <w:ind w:firstLine="482" w:firstLineChars="200"/>
              <w:rPr>
                <w:rFonts w:hint="eastAsia"/>
                <w:b w:val="0"/>
                <w:bCs w:val="0"/>
                <w:color w:val="auto"/>
                <w:u w:val="none"/>
              </w:rPr>
            </w:pPr>
            <w:r>
              <w:rPr>
                <w:rFonts w:hint="eastAsia"/>
                <w:b/>
                <w:bCs/>
                <w:color w:val="auto"/>
                <w:u w:val="single"/>
                <w:lang w:val="en-US" w:eastAsia="zh-CN"/>
              </w:rPr>
              <w:t>*</w:t>
            </w:r>
          </w:p>
        </w:tc>
      </w:tr>
      <w:tr w14:paraId="48A6D8F3">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0E9E35D7">
            <w:pPr>
              <w:pStyle w:val="182"/>
              <w:rPr>
                <w:rFonts w:hint="eastAsia"/>
                <w:b w:val="0"/>
                <w:bCs w:val="0"/>
                <w:color w:val="auto"/>
                <w:u w:val="none"/>
                <w:lang w:val="en-US" w:eastAsia="zh-CN"/>
              </w:rPr>
            </w:pPr>
            <w:r>
              <w:rPr>
                <w:rFonts w:hint="eastAsia"/>
                <w:b w:val="0"/>
                <w:bCs w:val="0"/>
                <w:color w:val="auto"/>
                <w:u w:val="none"/>
                <w:lang w:val="en-US" w:eastAsia="zh-CN"/>
              </w:rPr>
              <w:t>纺丝油剂</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15B805D2">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664FAA8F">
            <w:pPr>
              <w:pStyle w:val="182"/>
              <w:rPr>
                <w:rFonts w:hint="default"/>
                <w:b w:val="0"/>
                <w:bCs w:val="0"/>
                <w:color w:val="auto"/>
                <w:u w:val="none"/>
                <w:lang w:val="en-US" w:eastAsia="zh-CN"/>
              </w:rPr>
            </w:pPr>
            <w:r>
              <w:rPr>
                <w:rFonts w:hint="eastAsia"/>
                <w:b w:val="0"/>
                <w:bCs w:val="0"/>
                <w:color w:val="auto"/>
                <w:u w:val="none"/>
                <w:lang w:val="en-US" w:eastAsia="zh-CN"/>
              </w:rPr>
              <w:t>脱泡</w:t>
            </w:r>
            <w:r>
              <w:rPr>
                <w:rFonts w:hint="eastAsia"/>
                <w:b w:val="0"/>
                <w:bCs w:val="0"/>
                <w:color w:val="auto"/>
                <w:u w:val="none"/>
              </w:rPr>
              <w:t>废气</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59C5D58B">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r>
      <w:tr w14:paraId="2D7593EB">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7A131059">
            <w:pPr>
              <w:pStyle w:val="182"/>
              <w:rPr>
                <w:rFonts w:hint="default"/>
                <w:b w:val="0"/>
                <w:bCs w:val="0"/>
                <w:color w:val="auto"/>
                <w:u w:val="none"/>
                <w:lang w:val="en-US" w:eastAsia="zh-CN"/>
              </w:rPr>
            </w:pPr>
            <w:r>
              <w:rPr>
                <w:rFonts w:hint="eastAsia"/>
                <w:b w:val="0"/>
                <w:bCs w:val="0"/>
                <w:color w:val="auto"/>
                <w:u w:val="none"/>
                <w:lang w:val="en-US" w:eastAsia="zh-CN"/>
              </w:rPr>
              <w:t>絮凝剂</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25AE9851">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7BA17670">
            <w:pPr>
              <w:pStyle w:val="182"/>
              <w:rPr>
                <w:rFonts w:hint="default"/>
                <w:b w:val="0"/>
                <w:bCs w:val="0"/>
                <w:color w:val="auto"/>
                <w:u w:val="none"/>
                <w:lang w:val="en-US" w:eastAsia="zh-CN"/>
              </w:rPr>
            </w:pPr>
            <w:r>
              <w:rPr>
                <w:rFonts w:hint="eastAsia"/>
                <w:b w:val="0"/>
                <w:bCs w:val="0"/>
                <w:color w:val="auto"/>
                <w:u w:val="none"/>
                <w:lang w:val="en-US" w:eastAsia="zh-CN"/>
              </w:rPr>
              <w:t>蒸发回收废气</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655ACF02">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r>
      <w:tr w14:paraId="0B99E9AE">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721EC6D3">
            <w:pPr>
              <w:pStyle w:val="182"/>
              <w:rPr>
                <w:rFonts w:hint="eastAsia"/>
                <w:b w:val="0"/>
                <w:bCs w:val="0"/>
                <w:color w:val="auto"/>
                <w:u w:val="none"/>
                <w:lang w:val="en-US" w:eastAsia="zh-CN"/>
              </w:rPr>
            </w:pP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0ABCC0BC">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54216DC8">
            <w:pPr>
              <w:pStyle w:val="182"/>
              <w:rPr>
                <w:rFonts w:hint="eastAsia"/>
                <w:b w:val="0"/>
                <w:bCs w:val="0"/>
                <w:color w:val="auto"/>
                <w:u w:val="none"/>
              </w:rPr>
            </w:pPr>
            <w:r>
              <w:rPr>
                <w:rFonts w:hint="eastAsia"/>
                <w:b w:val="0"/>
                <w:bCs w:val="0"/>
                <w:color w:val="auto"/>
                <w:u w:val="none"/>
              </w:rPr>
              <w:t>干燥废气</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2A9F57D9">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r>
      <w:tr w14:paraId="0DF4C271">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5A009FB3">
            <w:pPr>
              <w:pStyle w:val="182"/>
              <w:rPr>
                <w:rFonts w:hint="eastAsia"/>
                <w:b w:val="0"/>
                <w:bCs w:val="0"/>
                <w:color w:val="auto"/>
                <w:u w:val="none"/>
                <w:lang w:val="en-US" w:eastAsia="zh-CN"/>
              </w:rPr>
            </w:pP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78405256">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4A9610AA">
            <w:pPr>
              <w:pStyle w:val="182"/>
              <w:rPr>
                <w:rFonts w:hint="eastAsia"/>
                <w:b w:val="0"/>
                <w:bCs w:val="0"/>
                <w:color w:val="auto"/>
                <w:u w:val="none"/>
              </w:rPr>
            </w:pPr>
            <w:r>
              <w:rPr>
                <w:rFonts w:hint="eastAsia"/>
                <w:b w:val="0"/>
                <w:bCs w:val="0"/>
                <w:color w:val="auto"/>
                <w:u w:val="none"/>
                <w:lang w:val="en-US" w:eastAsia="zh-CN"/>
              </w:rPr>
              <w:t>凝固浴损耗水</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283C95BA">
            <w:pPr>
              <w:bidi w:val="0"/>
              <w:ind w:firstLine="482" w:firstLineChars="200"/>
              <w:rPr>
                <w:rFonts w:hint="default"/>
                <w:b w:val="0"/>
                <w:bCs w:val="0"/>
                <w:color w:val="auto"/>
                <w:u w:val="none"/>
                <w:lang w:val="en-US"/>
              </w:rPr>
            </w:pPr>
            <w:r>
              <w:rPr>
                <w:rFonts w:hint="eastAsia"/>
                <w:b/>
                <w:bCs/>
                <w:color w:val="auto"/>
                <w:u w:val="single"/>
                <w:lang w:val="en-US" w:eastAsia="zh-CN"/>
              </w:rPr>
              <w:t>。</w:t>
            </w:r>
          </w:p>
        </w:tc>
      </w:tr>
      <w:tr w14:paraId="17FF300F">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5319DBAF">
            <w:pPr>
              <w:pStyle w:val="182"/>
              <w:rPr>
                <w:rFonts w:hint="eastAsia"/>
                <w:b w:val="0"/>
                <w:bCs w:val="0"/>
                <w:color w:val="auto"/>
                <w:u w:val="none"/>
                <w:lang w:val="en-US" w:eastAsia="zh-CN"/>
              </w:rPr>
            </w:pP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475FCA43">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5B97D101">
            <w:pPr>
              <w:pStyle w:val="182"/>
              <w:rPr>
                <w:rFonts w:hint="default"/>
                <w:b w:val="0"/>
                <w:bCs w:val="0"/>
                <w:color w:val="auto"/>
                <w:u w:val="none"/>
                <w:lang w:val="en-US" w:eastAsia="zh-CN"/>
              </w:rPr>
            </w:pPr>
            <w:r>
              <w:rPr>
                <w:rFonts w:hint="eastAsia"/>
                <w:b w:val="0"/>
                <w:bCs w:val="0"/>
                <w:color w:val="auto"/>
                <w:u w:val="none"/>
                <w:lang w:val="en-US" w:eastAsia="zh-CN"/>
              </w:rPr>
              <w:t>水洗损耗水</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14631D71">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r>
      <w:tr w14:paraId="33C4C888">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07CFF848">
            <w:pPr>
              <w:pStyle w:val="182"/>
              <w:rPr>
                <w:rFonts w:hint="eastAsia"/>
                <w:b w:val="0"/>
                <w:bCs w:val="0"/>
                <w:color w:val="auto"/>
                <w:u w:val="none"/>
                <w:lang w:val="en-US" w:eastAsia="zh-CN"/>
              </w:rPr>
            </w:pP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08515FA4">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0F1D141D">
            <w:pPr>
              <w:pStyle w:val="182"/>
              <w:rPr>
                <w:rFonts w:hint="eastAsia"/>
                <w:b w:val="0"/>
                <w:bCs w:val="0"/>
                <w:color w:val="auto"/>
                <w:u w:val="none"/>
                <w:lang w:val="en-US" w:eastAsia="zh-CN"/>
              </w:rPr>
            </w:pPr>
            <w:r>
              <w:rPr>
                <w:rFonts w:hint="eastAsia"/>
                <w:b w:val="0"/>
                <w:bCs w:val="0"/>
                <w:color w:val="auto"/>
                <w:u w:val="none"/>
                <w:lang w:val="en-US" w:eastAsia="zh-CN"/>
              </w:rPr>
              <w:t>废丝</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4FB591DB">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r>
      <w:tr w14:paraId="385AF4C6">
        <w:tblPrEx>
          <w:tblCellMar>
            <w:top w:w="0" w:type="dxa"/>
            <w:left w:w="108" w:type="dxa"/>
            <w:bottom w:w="0" w:type="dxa"/>
            <w:right w:w="108" w:type="dxa"/>
          </w:tblCellMar>
        </w:tblPrEx>
        <w:trPr>
          <w:trHeight w:val="397" w:hRule="atLeast"/>
          <w:jc w:val="center"/>
        </w:trPr>
        <w:tc>
          <w:tcPr>
            <w:tcW w:w="1794" w:type="dxa"/>
            <w:tcBorders>
              <w:top w:val="single" w:color="000000" w:sz="4" w:space="0"/>
              <w:left w:val="single" w:color="000000" w:sz="4" w:space="0"/>
              <w:bottom w:val="single" w:color="000000" w:sz="4" w:space="0"/>
              <w:right w:val="single" w:color="000000" w:sz="4" w:space="0"/>
            </w:tcBorders>
            <w:noWrap/>
            <w:vAlign w:val="center"/>
          </w:tcPr>
          <w:p w14:paraId="0F8B146F">
            <w:pPr>
              <w:pStyle w:val="182"/>
              <w:widowControl/>
              <w:jc w:val="center"/>
              <w:textAlignment w:val="center"/>
              <w:rPr>
                <w:rFonts w:hint="default"/>
                <w:b w:val="0"/>
                <w:bCs w:val="0"/>
                <w:color w:val="auto"/>
                <w:u w:val="none"/>
                <w:lang w:val="en-US" w:eastAsia="zh-CN"/>
              </w:rPr>
            </w:pPr>
            <w:r>
              <w:rPr>
                <w:rFonts w:hint="eastAsia"/>
                <w:b w:val="0"/>
                <w:bCs w:val="0"/>
                <w:color w:val="auto"/>
                <w:u w:val="none"/>
                <w:lang w:val="en-US" w:eastAsia="zh-CN"/>
              </w:rPr>
              <w:t>合计</w:t>
            </w:r>
          </w:p>
        </w:tc>
        <w:tc>
          <w:tcPr>
            <w:tcW w:w="2860" w:type="dxa"/>
            <w:tcBorders>
              <w:top w:val="single" w:color="000000" w:sz="4" w:space="0"/>
              <w:left w:val="single" w:color="000000" w:sz="4" w:space="0"/>
              <w:bottom w:val="single" w:color="000000" w:sz="4" w:space="0"/>
              <w:right w:val="single" w:color="000000" w:sz="4" w:space="0"/>
            </w:tcBorders>
            <w:noWrap/>
            <w:vAlign w:val="center"/>
          </w:tcPr>
          <w:p w14:paraId="49105730">
            <w:pPr>
              <w:widowControl/>
              <w:bidi w:val="0"/>
              <w:ind w:firstLine="482" w:firstLineChars="200"/>
              <w:textAlignment w:val="center"/>
              <w:rPr>
                <w:rFonts w:hint="default"/>
                <w:b w:val="0"/>
                <w:bCs w:val="0"/>
                <w:color w:val="auto"/>
                <w:u w:val="none"/>
                <w:lang w:val="en-US" w:eastAsia="zh-CN"/>
              </w:rPr>
            </w:pPr>
            <w:r>
              <w:rPr>
                <w:rFonts w:hint="eastAsia"/>
                <w:b/>
                <w:bCs/>
                <w:color w:val="auto"/>
                <w:u w:val="single"/>
                <w:lang w:val="en-US" w:eastAsia="zh-CN"/>
              </w:rPr>
              <w:t>*</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3B30DF9F">
            <w:pPr>
              <w:pStyle w:val="182"/>
              <w:widowControl/>
              <w:textAlignment w:val="center"/>
              <w:rPr>
                <w:rFonts w:hint="default"/>
                <w:b w:val="0"/>
                <w:bCs w:val="0"/>
                <w:color w:val="auto"/>
                <w:u w:val="none"/>
                <w:lang w:val="en-US" w:eastAsia="zh-CN"/>
              </w:rPr>
            </w:pPr>
            <w:r>
              <w:rPr>
                <w:rFonts w:hint="eastAsia"/>
                <w:b w:val="0"/>
                <w:bCs w:val="0"/>
                <w:color w:val="auto"/>
                <w:u w:val="none"/>
                <w:lang w:val="en-US" w:eastAsia="zh-CN"/>
              </w:rPr>
              <w:t>合计</w:t>
            </w:r>
          </w:p>
        </w:tc>
        <w:tc>
          <w:tcPr>
            <w:tcW w:w="2789" w:type="dxa"/>
            <w:tcBorders>
              <w:top w:val="single" w:color="000000" w:sz="4" w:space="0"/>
              <w:left w:val="single" w:color="000000" w:sz="4" w:space="0"/>
              <w:bottom w:val="single" w:color="000000" w:sz="4" w:space="0"/>
              <w:right w:val="single" w:color="000000" w:sz="4" w:space="0"/>
            </w:tcBorders>
            <w:noWrap/>
            <w:vAlign w:val="center"/>
          </w:tcPr>
          <w:p w14:paraId="3D44E32F">
            <w:pPr>
              <w:bidi w:val="0"/>
              <w:ind w:firstLine="482" w:firstLineChars="200"/>
              <w:rPr>
                <w:rFonts w:hint="default"/>
                <w:b w:val="0"/>
                <w:bCs w:val="0"/>
                <w:u w:val="none"/>
                <w:lang w:val="en-US" w:eastAsia="zh-CN"/>
              </w:rPr>
            </w:pPr>
            <w:r>
              <w:rPr>
                <w:rFonts w:hint="eastAsia"/>
                <w:b/>
                <w:bCs/>
                <w:color w:val="auto"/>
                <w:u w:val="single"/>
                <w:lang w:val="en-US" w:eastAsia="zh-CN"/>
              </w:rPr>
              <w:t>*</w:t>
            </w:r>
          </w:p>
        </w:tc>
      </w:tr>
    </w:tbl>
    <w:p w14:paraId="6C4BA151">
      <w:pPr>
        <w:bidi w:val="0"/>
        <w:rPr>
          <w:color w:val="auto"/>
        </w:rPr>
      </w:pPr>
      <w:r>
        <w:rPr>
          <w:rFonts w:hint="eastAsia"/>
          <w:color w:val="auto"/>
        </w:rPr>
        <w:t>本项目</w:t>
      </w:r>
      <w:r>
        <w:rPr>
          <w:rFonts w:hint="eastAsia"/>
          <w:color w:val="auto"/>
          <w:lang w:val="en-US" w:eastAsia="zh-CN"/>
        </w:rPr>
        <w:t>根据小试得</w:t>
      </w:r>
      <w:r>
        <w:rPr>
          <w:rFonts w:hint="eastAsia"/>
          <w:color w:val="auto"/>
        </w:rPr>
        <w:t>物料平衡详见下</w:t>
      </w:r>
      <w:r>
        <w:rPr>
          <w:rFonts w:hint="eastAsia"/>
          <w:color w:val="auto"/>
          <w:lang w:val="en-US" w:eastAsia="zh-CN"/>
        </w:rPr>
        <w:t>图</w:t>
      </w:r>
      <w:r>
        <w:rPr>
          <w:rFonts w:hint="eastAsia"/>
          <w:color w:val="auto"/>
        </w:rPr>
        <w:t>。</w:t>
      </w:r>
    </w:p>
    <w:p w14:paraId="40769ED7">
      <w:pPr>
        <w:pStyle w:val="182"/>
        <w:rPr>
          <w:rFonts w:hint="eastAsia"/>
          <w:color w:val="auto"/>
        </w:rPr>
      </w:pPr>
    </w:p>
    <w:p w14:paraId="73AF4EAD">
      <w:pPr>
        <w:pStyle w:val="182"/>
        <w:rPr>
          <w:rFonts w:hint="eastAsia"/>
          <w:color w:val="auto"/>
        </w:rPr>
      </w:pPr>
    </w:p>
    <w:p w14:paraId="10D70567">
      <w:pPr>
        <w:pStyle w:val="181"/>
        <w:bidi w:val="0"/>
        <w:ind w:left="0" w:leftChars="0" w:firstLine="0" w:firstLineChars="0"/>
        <w:jc w:val="center"/>
        <w:rPr>
          <w:rFonts w:hint="eastAsia"/>
          <w:color w:val="auto"/>
          <w:u w:val="none"/>
          <w:lang w:val="en-US" w:eastAsia="zh-CN"/>
        </w:rPr>
      </w:pPr>
      <w:r>
        <w:rPr>
          <w:rFonts w:hint="eastAsia"/>
          <w:color w:val="auto"/>
          <w:u w:val="none"/>
        </w:rPr>
        <w:t>图</w:t>
      </w:r>
      <w:r>
        <w:rPr>
          <w:rFonts w:hint="eastAsia"/>
          <w:color w:val="auto"/>
          <w:u w:val="none"/>
          <w:lang w:val="en-US" w:eastAsia="zh-CN"/>
        </w:rPr>
        <w:t>4.3-1</w:t>
      </w:r>
      <w:r>
        <w:rPr>
          <w:color w:val="auto"/>
          <w:u w:val="none"/>
        </w:rPr>
        <w:t xml:space="preserve">  </w:t>
      </w:r>
      <w:r>
        <w:rPr>
          <w:rFonts w:hint="eastAsia"/>
          <w:color w:val="auto"/>
          <w:u w:val="none"/>
        </w:rPr>
        <w:t>项目</w:t>
      </w:r>
      <w:r>
        <w:rPr>
          <w:rFonts w:hint="eastAsia"/>
          <w:color w:val="auto"/>
          <w:u w:val="none"/>
          <w:lang w:val="en-US" w:eastAsia="zh-CN"/>
        </w:rPr>
        <w:t>物料平衡图</w:t>
      </w:r>
    </w:p>
    <w:p w14:paraId="36C9457E">
      <w:pPr>
        <w:rPr>
          <w:rFonts w:hint="eastAsia"/>
          <w:color w:val="auto"/>
          <w:u w:val="none"/>
          <w:lang w:val="en-US" w:eastAsia="zh-CN"/>
        </w:rPr>
      </w:pPr>
    </w:p>
    <w:p w14:paraId="718F35DA">
      <w:pPr>
        <w:ind w:left="0" w:leftChars="0" w:firstLine="0" w:firstLineChars="0"/>
        <w:rPr>
          <w:rFonts w:hint="eastAsia"/>
          <w:color w:val="auto"/>
          <w:u w:val="none"/>
          <w:lang w:val="en-US" w:eastAsia="zh-CN"/>
        </w:rPr>
      </w:pPr>
    </w:p>
    <w:p w14:paraId="670A591F">
      <w:pPr>
        <w:pStyle w:val="181"/>
        <w:bidi w:val="0"/>
        <w:ind w:left="0" w:leftChars="0" w:firstLine="0" w:firstLineChars="0"/>
        <w:jc w:val="center"/>
        <w:rPr>
          <w:rFonts w:hint="eastAsia"/>
          <w:color w:val="auto"/>
          <w:u w:val="none"/>
          <w:lang w:val="en-US" w:eastAsia="zh-CN"/>
        </w:rPr>
      </w:pPr>
      <w:r>
        <w:rPr>
          <w:rFonts w:hint="eastAsia"/>
          <w:color w:val="auto"/>
          <w:u w:val="none"/>
        </w:rPr>
        <w:t>图</w:t>
      </w:r>
      <w:r>
        <w:rPr>
          <w:rFonts w:hint="eastAsia"/>
          <w:color w:val="auto"/>
          <w:u w:val="none"/>
          <w:lang w:val="en-US" w:eastAsia="zh-CN"/>
        </w:rPr>
        <w:t>4.3-2</w:t>
      </w:r>
      <w:r>
        <w:rPr>
          <w:color w:val="auto"/>
          <w:u w:val="none"/>
        </w:rPr>
        <w:t xml:space="preserve">  </w:t>
      </w:r>
      <w:r>
        <w:rPr>
          <w:rFonts w:hint="eastAsia"/>
          <w:color w:val="auto"/>
          <w:u w:val="none"/>
        </w:rPr>
        <w:t>项目</w:t>
      </w:r>
      <w:r>
        <w:rPr>
          <w:rFonts w:hint="eastAsia"/>
          <w:color w:val="auto"/>
          <w:u w:val="none"/>
          <w:lang w:val="en-US" w:eastAsia="zh-CN"/>
        </w:rPr>
        <w:t>纤维素平衡图</w:t>
      </w:r>
    </w:p>
    <w:p w14:paraId="0EB30B52">
      <w:pPr>
        <w:rPr>
          <w:rFonts w:hint="eastAsia"/>
          <w:color w:val="auto"/>
          <w:u w:val="none"/>
          <w:lang w:val="en-US" w:eastAsia="zh-CN"/>
        </w:rPr>
      </w:pPr>
    </w:p>
    <w:p w14:paraId="068CD77E">
      <w:pPr>
        <w:ind w:left="0" w:leftChars="0" w:firstLine="0" w:firstLineChars="0"/>
        <w:rPr>
          <w:rFonts w:hint="eastAsia"/>
          <w:color w:val="auto"/>
          <w:u w:val="none"/>
          <w:lang w:val="en-US" w:eastAsia="zh-CN"/>
        </w:rPr>
      </w:pPr>
    </w:p>
    <w:p w14:paraId="68E788A4">
      <w:pPr>
        <w:pStyle w:val="181"/>
        <w:bidi w:val="0"/>
        <w:ind w:left="0" w:leftChars="0" w:firstLine="0" w:firstLineChars="0"/>
        <w:jc w:val="center"/>
        <w:rPr>
          <w:rFonts w:hint="eastAsia"/>
          <w:color w:val="auto"/>
          <w:u w:val="none"/>
          <w:lang w:val="en-US" w:eastAsia="zh-CN"/>
        </w:rPr>
      </w:pPr>
      <w:r>
        <w:rPr>
          <w:rFonts w:hint="eastAsia"/>
          <w:color w:val="auto"/>
          <w:u w:val="none"/>
        </w:rPr>
        <w:t>图</w:t>
      </w:r>
      <w:r>
        <w:rPr>
          <w:rFonts w:hint="eastAsia"/>
          <w:color w:val="auto"/>
          <w:u w:val="none"/>
          <w:lang w:val="en-US" w:eastAsia="zh-CN"/>
        </w:rPr>
        <w:t>4.3-3</w:t>
      </w:r>
      <w:r>
        <w:rPr>
          <w:color w:val="auto"/>
          <w:u w:val="none"/>
        </w:rPr>
        <w:t xml:space="preserve">  </w:t>
      </w:r>
      <w:r>
        <w:rPr>
          <w:rFonts w:hint="eastAsia"/>
          <w:color w:val="auto"/>
          <w:u w:val="none"/>
        </w:rPr>
        <w:t>项目</w:t>
      </w:r>
      <w:r>
        <w:rPr>
          <w:rFonts w:hint="eastAsia"/>
          <w:color w:val="auto"/>
          <w:u w:val="none"/>
          <w:lang w:val="en-US" w:eastAsia="zh-CN"/>
        </w:rPr>
        <w:t>溶剂平衡图</w:t>
      </w:r>
    </w:p>
    <w:p w14:paraId="0A21D435">
      <w:pPr>
        <w:rPr>
          <w:rFonts w:hint="eastAsia"/>
          <w:color w:val="auto"/>
          <w:u w:val="none"/>
          <w:lang w:val="en-US" w:eastAsia="zh-CN"/>
        </w:rPr>
      </w:pPr>
    </w:p>
    <w:p w14:paraId="47973FC7">
      <w:pPr>
        <w:rPr>
          <w:rFonts w:hint="eastAsia"/>
          <w:color w:val="auto"/>
          <w:u w:val="none"/>
          <w:lang w:val="en-US" w:eastAsia="zh-CN"/>
        </w:rPr>
      </w:pPr>
    </w:p>
    <w:p w14:paraId="783AFE16">
      <w:pPr>
        <w:pStyle w:val="182"/>
        <w:rPr>
          <w:rFonts w:hint="eastAsia"/>
          <w:color w:val="auto"/>
        </w:rPr>
      </w:pPr>
    </w:p>
    <w:p w14:paraId="27CA39C7">
      <w:pPr>
        <w:pStyle w:val="3"/>
        <w:bidi w:val="0"/>
      </w:pPr>
      <w:bookmarkStart w:id="172" w:name="_Toc9274"/>
      <w:r>
        <w:rPr>
          <w:rFonts w:hint="eastAsia"/>
        </w:rPr>
        <w:t>水平衡</w:t>
      </w:r>
      <w:bookmarkEnd w:id="172"/>
    </w:p>
    <w:p w14:paraId="6DD5AF11">
      <w:pPr>
        <w:bidi w:val="0"/>
        <w:rPr>
          <w:rFonts w:hint="eastAsia"/>
          <w:b/>
          <w:bCs/>
          <w:color w:val="auto"/>
          <w:u w:val="single"/>
          <w:lang w:val="en-US" w:eastAsia="zh-CN"/>
        </w:rPr>
      </w:pPr>
      <w:r>
        <w:rPr>
          <w:rFonts w:hint="eastAsia"/>
          <w:b/>
          <w:bCs/>
          <w:color w:val="auto"/>
          <w:u w:val="single"/>
          <w:lang w:val="en-US" w:eastAsia="zh-CN"/>
        </w:rPr>
        <w:t>*</w:t>
      </w:r>
    </w:p>
    <w:p w14:paraId="0B9B82D7">
      <w:pPr>
        <w:bidi w:val="0"/>
        <w:rPr>
          <w:rFonts w:hint="default"/>
          <w:b/>
          <w:bCs/>
          <w:color w:val="auto"/>
          <w:u w:val="single"/>
          <w:lang w:val="en-US" w:eastAsia="zh-CN"/>
        </w:rPr>
      </w:pPr>
      <w:r>
        <w:rPr>
          <w:rFonts w:hint="eastAsia"/>
          <w:b/>
          <w:bCs/>
          <w:color w:val="auto"/>
          <w:u w:val="single"/>
          <w:lang w:val="en-US" w:eastAsia="zh-CN"/>
        </w:rPr>
        <w:t>*</w:t>
      </w:r>
    </w:p>
    <w:p w14:paraId="5CDA2358">
      <w:pPr>
        <w:bidi w:val="0"/>
        <w:rPr>
          <w:rFonts w:hint="eastAsia"/>
          <w:b/>
          <w:bCs/>
          <w:color w:val="auto"/>
          <w:u w:val="single"/>
          <w:lang w:val="en-US" w:eastAsia="zh-CN"/>
        </w:rPr>
      </w:pPr>
      <w:r>
        <w:rPr>
          <w:rFonts w:hint="eastAsia"/>
          <w:b/>
          <w:bCs/>
          <w:color w:val="auto"/>
          <w:u w:val="single"/>
          <w:lang w:val="en-US" w:eastAsia="zh-CN"/>
        </w:rPr>
        <w:t>*</w:t>
      </w:r>
    </w:p>
    <w:p w14:paraId="12141341">
      <w:pPr>
        <w:bidi w:val="0"/>
        <w:rPr>
          <w:rFonts w:hint="default"/>
          <w:b/>
          <w:bCs/>
          <w:color w:val="auto"/>
          <w:u w:val="single"/>
          <w:lang w:val="en-US" w:eastAsia="zh-CN"/>
        </w:rPr>
      </w:pPr>
      <w:r>
        <w:rPr>
          <w:rFonts w:hint="eastAsia"/>
          <w:b/>
          <w:bCs/>
          <w:color w:val="auto"/>
          <w:u w:val="single"/>
          <w:lang w:val="en-US" w:eastAsia="zh-CN"/>
        </w:rPr>
        <w:t>*</w:t>
      </w:r>
    </w:p>
    <w:p w14:paraId="6F1D9DF1">
      <w:pPr>
        <w:bidi w:val="0"/>
        <w:rPr>
          <w:rFonts w:hint="eastAsia"/>
          <w:b/>
          <w:bCs/>
          <w:color w:val="auto"/>
          <w:u w:val="single"/>
          <w:lang w:val="en-US" w:eastAsia="zh-CN"/>
        </w:rPr>
      </w:pPr>
      <w:r>
        <w:rPr>
          <w:rFonts w:hint="eastAsia"/>
          <w:b/>
          <w:bCs/>
          <w:color w:val="auto"/>
          <w:u w:val="single"/>
          <w:lang w:val="en-US" w:eastAsia="zh-CN"/>
        </w:rPr>
        <w:t>*</w:t>
      </w:r>
    </w:p>
    <w:p w14:paraId="1A91A5BE">
      <w:pPr>
        <w:bidi w:val="0"/>
        <w:rPr>
          <w:rFonts w:hint="default"/>
          <w:b/>
          <w:bCs/>
          <w:color w:val="auto"/>
          <w:u w:val="single"/>
          <w:lang w:val="en-US" w:eastAsia="zh-CN"/>
        </w:rPr>
      </w:pPr>
      <w:r>
        <w:rPr>
          <w:rFonts w:hint="eastAsia"/>
          <w:b/>
          <w:bCs/>
          <w:color w:val="auto"/>
          <w:u w:val="single"/>
          <w:lang w:val="en-US" w:eastAsia="zh-CN"/>
        </w:rPr>
        <w:t>*</w:t>
      </w:r>
    </w:p>
    <w:p w14:paraId="45DC2C38">
      <w:pPr>
        <w:bidi w:val="0"/>
        <w:rPr>
          <w:rFonts w:hint="eastAsia"/>
          <w:b/>
          <w:bCs/>
          <w:color w:val="auto"/>
          <w:u w:val="single"/>
          <w:lang w:val="en-US" w:eastAsia="zh-CN"/>
        </w:rPr>
      </w:pPr>
      <w:r>
        <w:rPr>
          <w:rFonts w:hint="eastAsia"/>
          <w:b/>
          <w:bCs/>
          <w:color w:val="auto"/>
          <w:u w:val="single"/>
          <w:lang w:val="en-US" w:eastAsia="zh-CN"/>
        </w:rPr>
        <w:t>*</w:t>
      </w:r>
    </w:p>
    <w:p w14:paraId="5043C2CB">
      <w:pPr>
        <w:bidi w:val="0"/>
        <w:rPr>
          <w:rFonts w:hint="default"/>
          <w:b/>
          <w:bCs/>
          <w:color w:val="auto"/>
          <w:u w:val="single"/>
          <w:lang w:val="en-US" w:eastAsia="zh-CN"/>
        </w:rPr>
      </w:pPr>
      <w:r>
        <w:rPr>
          <w:rFonts w:hint="eastAsia"/>
          <w:b/>
          <w:bCs/>
          <w:color w:val="auto"/>
          <w:u w:val="single"/>
          <w:lang w:val="en-US" w:eastAsia="zh-CN"/>
        </w:rPr>
        <w:t>*</w:t>
      </w:r>
    </w:p>
    <w:p w14:paraId="39767F93">
      <w:pPr>
        <w:bidi w:val="0"/>
        <w:rPr>
          <w:rFonts w:hint="eastAsia"/>
          <w:b/>
          <w:bCs/>
          <w:color w:val="auto"/>
          <w:u w:val="single"/>
          <w:lang w:val="en-US" w:eastAsia="zh-CN"/>
        </w:rPr>
      </w:pPr>
      <w:r>
        <w:rPr>
          <w:rFonts w:hint="eastAsia"/>
          <w:b/>
          <w:bCs/>
          <w:color w:val="auto"/>
          <w:u w:val="single"/>
          <w:lang w:val="en-US" w:eastAsia="zh-CN"/>
        </w:rPr>
        <w:t>*</w:t>
      </w:r>
    </w:p>
    <w:p w14:paraId="6379F2EE">
      <w:pPr>
        <w:bidi w:val="0"/>
        <w:rPr>
          <w:rFonts w:hint="default"/>
          <w:b/>
          <w:bCs/>
          <w:color w:val="auto"/>
          <w:u w:val="single"/>
          <w:lang w:val="en-US" w:eastAsia="zh-CN"/>
        </w:rPr>
      </w:pPr>
      <w:r>
        <w:rPr>
          <w:rFonts w:hint="eastAsia"/>
          <w:b/>
          <w:bCs/>
          <w:color w:val="auto"/>
          <w:u w:val="single"/>
          <w:lang w:val="en-US" w:eastAsia="zh-CN"/>
        </w:rPr>
        <w:t>*</w:t>
      </w:r>
    </w:p>
    <w:p w14:paraId="35280CC0">
      <w:pPr>
        <w:bidi w:val="0"/>
        <w:rPr>
          <w:rFonts w:hint="eastAsia"/>
          <w:b/>
          <w:bCs/>
          <w:color w:val="auto"/>
          <w:u w:val="single"/>
          <w:lang w:val="en-US" w:eastAsia="zh-CN"/>
        </w:rPr>
      </w:pPr>
      <w:r>
        <w:rPr>
          <w:rFonts w:hint="eastAsia"/>
          <w:b/>
          <w:bCs/>
          <w:color w:val="auto"/>
          <w:u w:val="single"/>
          <w:lang w:val="en-US" w:eastAsia="zh-CN"/>
        </w:rPr>
        <w:t>*</w:t>
      </w:r>
    </w:p>
    <w:p w14:paraId="2BE49F80">
      <w:pPr>
        <w:bidi w:val="0"/>
        <w:rPr>
          <w:rFonts w:hint="default"/>
          <w:b/>
          <w:bCs/>
          <w:color w:val="auto"/>
          <w:u w:val="single"/>
          <w:lang w:val="en-US" w:eastAsia="zh-CN"/>
        </w:rPr>
      </w:pPr>
      <w:r>
        <w:rPr>
          <w:rFonts w:hint="eastAsia"/>
          <w:b/>
          <w:bCs/>
          <w:color w:val="auto"/>
          <w:u w:val="single"/>
          <w:lang w:val="en-US" w:eastAsia="zh-CN"/>
        </w:rPr>
        <w:t>*</w:t>
      </w:r>
    </w:p>
    <w:p w14:paraId="490D0650">
      <w:pPr>
        <w:bidi w:val="0"/>
        <w:rPr>
          <w:rFonts w:hint="eastAsia"/>
          <w:b/>
          <w:bCs/>
          <w:color w:val="auto"/>
          <w:u w:val="single"/>
          <w:lang w:val="en-US" w:eastAsia="zh-CN"/>
        </w:rPr>
      </w:pPr>
      <w:r>
        <w:rPr>
          <w:rFonts w:hint="eastAsia"/>
          <w:b/>
          <w:bCs/>
          <w:color w:val="auto"/>
          <w:u w:val="single"/>
          <w:lang w:val="en-US" w:eastAsia="zh-CN"/>
        </w:rPr>
        <w:t>*</w:t>
      </w:r>
    </w:p>
    <w:p w14:paraId="683DFE47">
      <w:pPr>
        <w:bidi w:val="0"/>
        <w:rPr>
          <w:rFonts w:hint="default"/>
          <w:b/>
          <w:bCs/>
          <w:color w:val="auto"/>
          <w:u w:val="single"/>
          <w:lang w:val="en-US" w:eastAsia="zh-CN"/>
        </w:rPr>
      </w:pPr>
      <w:r>
        <w:rPr>
          <w:rFonts w:hint="eastAsia"/>
          <w:b/>
          <w:bCs/>
          <w:color w:val="auto"/>
          <w:u w:val="single"/>
          <w:lang w:val="en-US" w:eastAsia="zh-CN"/>
        </w:rPr>
        <w:t>*</w:t>
      </w:r>
    </w:p>
    <w:p w14:paraId="428B1FE8">
      <w:pPr>
        <w:bidi w:val="0"/>
        <w:rPr>
          <w:rFonts w:hint="eastAsia"/>
          <w:b/>
          <w:bCs/>
          <w:color w:val="auto"/>
          <w:u w:val="single"/>
          <w:lang w:val="en-US" w:eastAsia="zh-CN"/>
        </w:rPr>
      </w:pPr>
      <w:r>
        <w:rPr>
          <w:rFonts w:hint="eastAsia"/>
          <w:b/>
          <w:bCs/>
          <w:color w:val="auto"/>
          <w:u w:val="single"/>
          <w:lang w:val="en-US" w:eastAsia="zh-CN"/>
        </w:rPr>
        <w:t>*</w:t>
      </w:r>
    </w:p>
    <w:p w14:paraId="602B379B">
      <w:pPr>
        <w:bidi w:val="0"/>
        <w:rPr>
          <w:rFonts w:hint="default"/>
          <w:b/>
          <w:bCs/>
          <w:color w:val="auto"/>
          <w:u w:val="single"/>
          <w:lang w:val="en-US" w:eastAsia="zh-CN"/>
        </w:rPr>
      </w:pPr>
      <w:r>
        <w:rPr>
          <w:rFonts w:hint="eastAsia"/>
          <w:b/>
          <w:bCs/>
          <w:color w:val="auto"/>
          <w:u w:val="single"/>
          <w:lang w:val="en-US" w:eastAsia="zh-CN"/>
        </w:rPr>
        <w:t>*</w:t>
      </w:r>
    </w:p>
    <w:p w14:paraId="7D46E9F3">
      <w:pPr>
        <w:bidi w:val="0"/>
        <w:rPr>
          <w:rFonts w:hint="eastAsia"/>
          <w:b/>
          <w:bCs/>
          <w:color w:val="auto"/>
          <w:u w:val="single"/>
          <w:lang w:val="en-US" w:eastAsia="zh-CN"/>
        </w:rPr>
      </w:pPr>
      <w:r>
        <w:rPr>
          <w:rFonts w:hint="eastAsia"/>
          <w:b/>
          <w:bCs/>
          <w:color w:val="auto"/>
          <w:u w:val="single"/>
          <w:lang w:val="en-US" w:eastAsia="zh-CN"/>
        </w:rPr>
        <w:t>*</w:t>
      </w:r>
    </w:p>
    <w:p w14:paraId="4A41AD7F">
      <w:pPr>
        <w:bidi w:val="0"/>
        <w:rPr>
          <w:rFonts w:hint="default"/>
          <w:b/>
          <w:bCs/>
          <w:color w:val="auto"/>
          <w:u w:val="single"/>
          <w:lang w:val="en-US" w:eastAsia="zh-CN"/>
        </w:rPr>
      </w:pPr>
      <w:r>
        <w:rPr>
          <w:rFonts w:hint="eastAsia"/>
          <w:b/>
          <w:bCs/>
          <w:color w:val="auto"/>
          <w:u w:val="single"/>
          <w:lang w:val="en-US" w:eastAsia="zh-CN"/>
        </w:rPr>
        <w:t>*</w:t>
      </w:r>
    </w:p>
    <w:p w14:paraId="172E7B7F">
      <w:pPr>
        <w:bidi w:val="0"/>
        <w:rPr>
          <w:rFonts w:hint="eastAsia"/>
          <w:b/>
          <w:bCs/>
          <w:color w:val="auto"/>
          <w:u w:val="single"/>
          <w:lang w:val="en-US" w:eastAsia="zh-CN"/>
        </w:rPr>
      </w:pPr>
      <w:r>
        <w:rPr>
          <w:rFonts w:hint="eastAsia"/>
          <w:b/>
          <w:bCs/>
          <w:color w:val="auto"/>
          <w:u w:val="single"/>
          <w:lang w:val="en-US" w:eastAsia="zh-CN"/>
        </w:rPr>
        <w:t>*</w:t>
      </w:r>
    </w:p>
    <w:p w14:paraId="27306AE3">
      <w:pPr>
        <w:bidi w:val="0"/>
        <w:rPr>
          <w:rFonts w:hint="default"/>
          <w:b/>
          <w:bCs/>
          <w:color w:val="auto"/>
          <w:u w:val="single"/>
          <w:lang w:val="en-US" w:eastAsia="zh-CN"/>
        </w:rPr>
      </w:pPr>
      <w:r>
        <w:rPr>
          <w:rFonts w:hint="eastAsia"/>
          <w:b/>
          <w:bCs/>
          <w:color w:val="auto"/>
          <w:u w:val="single"/>
          <w:lang w:val="en-US" w:eastAsia="zh-CN"/>
        </w:rPr>
        <w:t>*</w:t>
      </w:r>
    </w:p>
    <w:p w14:paraId="4955F56C">
      <w:pPr>
        <w:bidi w:val="0"/>
        <w:rPr>
          <w:rFonts w:hint="eastAsia"/>
          <w:b/>
          <w:bCs/>
          <w:color w:val="auto"/>
          <w:u w:val="single"/>
          <w:lang w:val="en-US" w:eastAsia="zh-CN"/>
        </w:rPr>
      </w:pPr>
      <w:r>
        <w:rPr>
          <w:rFonts w:hint="eastAsia"/>
          <w:b/>
          <w:bCs/>
          <w:color w:val="auto"/>
          <w:u w:val="single"/>
          <w:lang w:val="en-US" w:eastAsia="zh-CN"/>
        </w:rPr>
        <w:t>*</w:t>
      </w:r>
    </w:p>
    <w:p w14:paraId="2E2D04DF">
      <w:pPr>
        <w:bidi w:val="0"/>
        <w:rPr>
          <w:rFonts w:hint="default"/>
          <w:b/>
          <w:bCs/>
          <w:color w:val="auto"/>
          <w:u w:val="single"/>
          <w:lang w:val="en-US" w:eastAsia="zh-CN"/>
        </w:rPr>
      </w:pPr>
      <w:r>
        <w:rPr>
          <w:rFonts w:hint="eastAsia"/>
          <w:b/>
          <w:bCs/>
          <w:color w:val="auto"/>
          <w:u w:val="single"/>
          <w:lang w:val="en-US" w:eastAsia="zh-CN"/>
        </w:rPr>
        <w:t>*</w:t>
      </w:r>
    </w:p>
    <w:p w14:paraId="728B493D">
      <w:pPr>
        <w:bidi w:val="0"/>
        <w:rPr>
          <w:rFonts w:hint="eastAsia"/>
          <w:b/>
          <w:bCs/>
          <w:color w:val="auto"/>
          <w:u w:val="single"/>
          <w:lang w:val="en-US" w:eastAsia="zh-CN"/>
        </w:rPr>
      </w:pPr>
      <w:r>
        <w:rPr>
          <w:rFonts w:hint="eastAsia"/>
          <w:b/>
          <w:bCs/>
          <w:color w:val="auto"/>
          <w:u w:val="single"/>
          <w:lang w:val="en-US" w:eastAsia="zh-CN"/>
        </w:rPr>
        <w:t>*</w:t>
      </w:r>
    </w:p>
    <w:p w14:paraId="6840BE5C">
      <w:pPr>
        <w:bidi w:val="0"/>
        <w:rPr>
          <w:rFonts w:hint="default"/>
          <w:b/>
          <w:bCs/>
          <w:color w:val="auto"/>
          <w:u w:val="single"/>
          <w:lang w:val="en-US" w:eastAsia="zh-CN"/>
        </w:rPr>
      </w:pPr>
      <w:r>
        <w:rPr>
          <w:rFonts w:hint="eastAsia"/>
          <w:b/>
          <w:bCs/>
          <w:color w:val="auto"/>
          <w:u w:val="single"/>
          <w:lang w:val="en-US" w:eastAsia="zh-CN"/>
        </w:rPr>
        <w:t>*</w:t>
      </w:r>
    </w:p>
    <w:p w14:paraId="779DC4BA">
      <w:pPr>
        <w:bidi w:val="0"/>
        <w:rPr>
          <w:rFonts w:hint="eastAsia"/>
          <w:b/>
          <w:bCs/>
          <w:color w:val="auto"/>
          <w:u w:val="single"/>
          <w:lang w:val="en-US" w:eastAsia="zh-CN"/>
        </w:rPr>
      </w:pPr>
      <w:r>
        <w:rPr>
          <w:rFonts w:hint="eastAsia"/>
          <w:b/>
          <w:bCs/>
          <w:color w:val="auto"/>
          <w:u w:val="single"/>
          <w:lang w:val="en-US" w:eastAsia="zh-CN"/>
        </w:rPr>
        <w:t>*</w:t>
      </w:r>
    </w:p>
    <w:p w14:paraId="1604E1BF">
      <w:pPr>
        <w:bidi w:val="0"/>
        <w:rPr>
          <w:rFonts w:hint="default"/>
          <w:b/>
          <w:bCs/>
          <w:color w:val="auto"/>
          <w:u w:val="single"/>
          <w:lang w:val="en-US" w:eastAsia="zh-CN"/>
        </w:rPr>
      </w:pPr>
      <w:r>
        <w:rPr>
          <w:rFonts w:hint="eastAsia"/>
          <w:b/>
          <w:bCs/>
          <w:color w:val="auto"/>
          <w:u w:val="single"/>
          <w:lang w:val="en-US" w:eastAsia="zh-CN"/>
        </w:rPr>
        <w:t>*</w:t>
      </w:r>
    </w:p>
    <w:p w14:paraId="16E81220">
      <w:pPr>
        <w:bidi w:val="0"/>
        <w:rPr>
          <w:rFonts w:hint="eastAsia"/>
          <w:b/>
          <w:bCs/>
          <w:color w:val="auto"/>
          <w:u w:val="single"/>
          <w:lang w:val="en-US" w:eastAsia="zh-CN"/>
        </w:rPr>
      </w:pPr>
      <w:r>
        <w:rPr>
          <w:rFonts w:hint="eastAsia"/>
          <w:b/>
          <w:bCs/>
          <w:color w:val="auto"/>
          <w:u w:val="single"/>
          <w:lang w:val="en-US" w:eastAsia="zh-CN"/>
        </w:rPr>
        <w:t>。</w:t>
      </w:r>
    </w:p>
    <w:p w14:paraId="7F74CD4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b/>
          <w:bCs/>
          <w:color w:val="auto"/>
          <w:highlight w:val="none"/>
          <w:u w:val="single"/>
        </w:rPr>
      </w:pPr>
    </w:p>
    <w:p w14:paraId="1A5773B0">
      <w:pPr>
        <w:bidi w:val="0"/>
        <w:rPr>
          <w:color w:val="auto"/>
        </w:rPr>
      </w:pPr>
      <w:r>
        <w:rPr>
          <w:rFonts w:hint="eastAsia"/>
          <w:color w:val="auto"/>
        </w:rPr>
        <w:t>本项目</w:t>
      </w:r>
      <w:r>
        <w:rPr>
          <w:rFonts w:hint="eastAsia"/>
          <w:color w:val="auto"/>
          <w:lang w:val="en-US" w:eastAsia="zh-CN"/>
        </w:rPr>
        <w:t>水</w:t>
      </w:r>
      <w:r>
        <w:rPr>
          <w:rFonts w:hint="eastAsia"/>
          <w:color w:val="auto"/>
        </w:rPr>
        <w:t>平衡详见下表。</w:t>
      </w:r>
    </w:p>
    <w:p w14:paraId="2E6FCC99">
      <w:pPr>
        <w:pStyle w:val="10"/>
        <w:bidi w:val="0"/>
        <w:rPr>
          <w:rFonts w:hint="eastAsia"/>
        </w:rPr>
      </w:pPr>
      <w:r>
        <w:t xml:space="preserve">表 </w:t>
      </w:r>
      <w:r>
        <w:fldChar w:fldCharType="begin"/>
      </w:r>
      <w:r>
        <w:instrText xml:space="preserve"> STYLEREF 2 \s </w:instrText>
      </w:r>
      <w:r>
        <w:fldChar w:fldCharType="separate"/>
      </w:r>
      <w:r>
        <w:t>4.4</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rPr>
        <w:t xml:space="preserve"> 项目水平衡表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3"/>
        <w:gridCol w:w="485"/>
        <w:gridCol w:w="1424"/>
        <w:gridCol w:w="870"/>
        <w:gridCol w:w="903"/>
        <w:gridCol w:w="1411"/>
        <w:gridCol w:w="1186"/>
        <w:gridCol w:w="1308"/>
        <w:gridCol w:w="935"/>
      </w:tblGrid>
      <w:tr w14:paraId="376F9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68" w:type="pct"/>
            <w:vMerge w:val="restart"/>
            <w:noWrap w:val="0"/>
            <w:vAlign w:val="center"/>
          </w:tcPr>
          <w:p w14:paraId="1A3F77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序号</w:t>
            </w:r>
          </w:p>
        </w:tc>
        <w:tc>
          <w:tcPr>
            <w:tcW w:w="1059" w:type="pct"/>
            <w:gridSpan w:val="2"/>
            <w:vMerge w:val="restart"/>
            <w:noWrap w:val="0"/>
            <w:vAlign w:val="center"/>
          </w:tcPr>
          <w:p w14:paraId="453202C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用水项目</w:t>
            </w:r>
          </w:p>
        </w:tc>
        <w:tc>
          <w:tcPr>
            <w:tcW w:w="1767" w:type="pct"/>
            <w:gridSpan w:val="3"/>
            <w:noWrap w:val="0"/>
            <w:vAlign w:val="center"/>
          </w:tcPr>
          <w:p w14:paraId="1B6793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rFonts w:hint="eastAsia"/>
                <w:b/>
                <w:bCs/>
                <w:u w:val="none"/>
              </w:rPr>
              <w:t>用水量</w:t>
            </w:r>
            <w:r>
              <w:rPr>
                <w:b/>
                <w:bCs/>
                <w:sz w:val="24"/>
                <w:u w:val="none"/>
              </w:rPr>
              <w:t>m</w:t>
            </w:r>
            <w:r>
              <w:rPr>
                <w:b/>
                <w:bCs/>
                <w:sz w:val="24"/>
                <w:u w:val="none"/>
                <w:vertAlign w:val="superscript"/>
              </w:rPr>
              <w:t>3</w:t>
            </w:r>
            <w:r>
              <w:rPr>
                <w:b/>
                <w:bCs/>
                <w:sz w:val="24"/>
                <w:u w:val="none"/>
              </w:rPr>
              <w:t>/d</w:t>
            </w:r>
          </w:p>
        </w:tc>
        <w:tc>
          <w:tcPr>
            <w:tcW w:w="1903" w:type="pct"/>
            <w:gridSpan w:val="3"/>
            <w:noWrap w:val="0"/>
            <w:vAlign w:val="center"/>
          </w:tcPr>
          <w:p w14:paraId="130374A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rFonts w:hint="eastAsia"/>
                <w:b/>
                <w:bCs/>
                <w:u w:val="none"/>
              </w:rPr>
              <w:t>排水量</w:t>
            </w:r>
            <w:r>
              <w:rPr>
                <w:b/>
                <w:bCs/>
                <w:sz w:val="24"/>
                <w:u w:val="none"/>
              </w:rPr>
              <w:t>m</w:t>
            </w:r>
            <w:r>
              <w:rPr>
                <w:b/>
                <w:bCs/>
                <w:sz w:val="24"/>
                <w:u w:val="none"/>
                <w:vertAlign w:val="superscript"/>
              </w:rPr>
              <w:t>3</w:t>
            </w:r>
            <w:r>
              <w:rPr>
                <w:b/>
                <w:bCs/>
                <w:sz w:val="24"/>
                <w:u w:val="none"/>
              </w:rPr>
              <w:t>/d</w:t>
            </w:r>
          </w:p>
        </w:tc>
      </w:tr>
      <w:tr w14:paraId="6C917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68" w:type="pct"/>
            <w:vMerge w:val="continue"/>
            <w:noWrap w:val="0"/>
            <w:vAlign w:val="center"/>
          </w:tcPr>
          <w:p w14:paraId="40A93EC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p>
        </w:tc>
        <w:tc>
          <w:tcPr>
            <w:tcW w:w="1059" w:type="pct"/>
            <w:gridSpan w:val="2"/>
            <w:vMerge w:val="continue"/>
            <w:noWrap w:val="0"/>
            <w:vAlign w:val="center"/>
          </w:tcPr>
          <w:p w14:paraId="4CC9802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p>
        </w:tc>
        <w:tc>
          <w:tcPr>
            <w:tcW w:w="483" w:type="pct"/>
            <w:noWrap w:val="0"/>
            <w:vAlign w:val="center"/>
          </w:tcPr>
          <w:p w14:paraId="03B96D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新鲜水</w:t>
            </w:r>
          </w:p>
        </w:tc>
        <w:tc>
          <w:tcPr>
            <w:tcW w:w="501" w:type="pct"/>
            <w:noWrap w:val="0"/>
            <w:vAlign w:val="center"/>
          </w:tcPr>
          <w:p w14:paraId="4EF761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none"/>
              </w:rPr>
            </w:pPr>
            <w:r>
              <w:rPr>
                <w:b/>
                <w:bCs/>
                <w:u w:val="none"/>
              </w:rPr>
              <w:t>脱盐水</w:t>
            </w:r>
          </w:p>
        </w:tc>
        <w:tc>
          <w:tcPr>
            <w:tcW w:w="783" w:type="pct"/>
            <w:noWrap w:val="0"/>
            <w:vAlign w:val="center"/>
          </w:tcPr>
          <w:p w14:paraId="07E3DFB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u w:val="none"/>
                <w:lang w:val="en-US" w:eastAsia="zh-CN"/>
              </w:rPr>
            </w:pPr>
            <w:r>
              <w:rPr>
                <w:b/>
                <w:bCs/>
                <w:u w:val="none"/>
              </w:rPr>
              <w:t>回用水</w:t>
            </w:r>
            <w:r>
              <w:rPr>
                <w:rFonts w:hint="eastAsia"/>
                <w:b/>
                <w:bCs/>
                <w:u w:val="none"/>
                <w:lang w:val="en-US" w:eastAsia="zh-CN"/>
              </w:rPr>
              <w:t>来源</w:t>
            </w:r>
          </w:p>
        </w:tc>
        <w:tc>
          <w:tcPr>
            <w:tcW w:w="658" w:type="pct"/>
            <w:noWrap w:val="0"/>
            <w:vAlign w:val="center"/>
          </w:tcPr>
          <w:p w14:paraId="7223FD1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u w:val="none"/>
                <w:lang w:val="en-US" w:eastAsia="zh-CN"/>
              </w:rPr>
            </w:pPr>
            <w:r>
              <w:rPr>
                <w:rFonts w:hint="eastAsia"/>
                <w:b/>
                <w:bCs/>
                <w:u w:val="none"/>
              </w:rPr>
              <w:t>回用</w:t>
            </w:r>
            <w:r>
              <w:rPr>
                <w:rFonts w:hint="eastAsia"/>
                <w:b/>
                <w:bCs/>
                <w:u w:val="none"/>
                <w:lang w:val="en-US" w:eastAsia="zh-CN"/>
              </w:rPr>
              <w:t>去向</w:t>
            </w:r>
          </w:p>
        </w:tc>
        <w:tc>
          <w:tcPr>
            <w:tcW w:w="726" w:type="pct"/>
            <w:noWrap w:val="0"/>
            <w:vAlign w:val="center"/>
          </w:tcPr>
          <w:p w14:paraId="07FAEE9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u w:val="none"/>
                <w:lang w:val="en-US" w:eastAsia="zh-CN"/>
              </w:rPr>
            </w:pPr>
            <w:r>
              <w:rPr>
                <w:rFonts w:hint="eastAsia"/>
                <w:b/>
                <w:bCs/>
                <w:u w:val="none"/>
              </w:rPr>
              <w:t>排放</w:t>
            </w:r>
            <w:r>
              <w:rPr>
                <w:rFonts w:hint="eastAsia"/>
                <w:b/>
                <w:bCs/>
                <w:u w:val="none"/>
                <w:lang w:val="en-US" w:eastAsia="zh-CN"/>
              </w:rPr>
              <w:t>去向</w:t>
            </w:r>
          </w:p>
        </w:tc>
        <w:tc>
          <w:tcPr>
            <w:tcW w:w="519" w:type="pct"/>
            <w:noWrap w:val="0"/>
            <w:vAlign w:val="center"/>
          </w:tcPr>
          <w:p w14:paraId="6F0E49F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b/>
                <w:bCs/>
                <w:u w:val="none"/>
              </w:rPr>
              <w:t>损耗</w:t>
            </w:r>
          </w:p>
        </w:tc>
      </w:tr>
      <w:tr w14:paraId="2ADDE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 w:type="pct"/>
            <w:noWrap w:val="0"/>
            <w:vAlign w:val="center"/>
          </w:tcPr>
          <w:p w14:paraId="24C40B6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1</w:t>
            </w:r>
          </w:p>
        </w:tc>
        <w:tc>
          <w:tcPr>
            <w:tcW w:w="1059" w:type="pct"/>
            <w:gridSpan w:val="2"/>
            <w:noWrap w:val="0"/>
            <w:vAlign w:val="center"/>
          </w:tcPr>
          <w:p w14:paraId="6F7E50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地面清洗水</w:t>
            </w:r>
          </w:p>
        </w:tc>
        <w:tc>
          <w:tcPr>
            <w:tcW w:w="483" w:type="pct"/>
            <w:noWrap w:val="0"/>
            <w:vAlign w:val="center"/>
          </w:tcPr>
          <w:p w14:paraId="254AF10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501" w:type="pct"/>
            <w:noWrap w:val="0"/>
            <w:vAlign w:val="center"/>
          </w:tcPr>
          <w:p w14:paraId="5213194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783" w:type="pct"/>
            <w:noWrap w:val="0"/>
            <w:vAlign w:val="center"/>
          </w:tcPr>
          <w:p w14:paraId="4F4AA92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658" w:type="pct"/>
            <w:noWrap w:val="0"/>
            <w:vAlign w:val="center"/>
          </w:tcPr>
          <w:p w14:paraId="4B81E93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726" w:type="pct"/>
            <w:noWrap w:val="0"/>
            <w:vAlign w:val="center"/>
          </w:tcPr>
          <w:p w14:paraId="7B99F96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519" w:type="pct"/>
            <w:noWrap w:val="0"/>
            <w:vAlign w:val="center"/>
          </w:tcPr>
          <w:p w14:paraId="491587D9">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r>
      <w:tr w14:paraId="4B101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 w:type="pct"/>
            <w:noWrap w:val="0"/>
            <w:vAlign w:val="center"/>
          </w:tcPr>
          <w:p w14:paraId="00444CC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val="0"/>
                <w:bCs w:val="0"/>
                <w:u w:val="none"/>
                <w:lang w:val="en-US" w:eastAsia="zh-CN"/>
              </w:rPr>
            </w:pPr>
            <w:r>
              <w:rPr>
                <w:rFonts w:hint="eastAsia" w:eastAsia="宋体"/>
                <w:b w:val="0"/>
                <w:bCs w:val="0"/>
                <w:u w:val="none"/>
                <w:lang w:val="en-US" w:eastAsia="zh-CN"/>
              </w:rPr>
              <w:t>2</w:t>
            </w:r>
          </w:p>
        </w:tc>
        <w:tc>
          <w:tcPr>
            <w:tcW w:w="1059" w:type="pct"/>
            <w:gridSpan w:val="2"/>
            <w:noWrap w:val="0"/>
            <w:vAlign w:val="center"/>
          </w:tcPr>
          <w:p w14:paraId="409C87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eastAsia="宋体"/>
                <w:lang w:val="en-US" w:eastAsia="zh-CN"/>
              </w:rPr>
              <w:t>废气治理设施用水</w:t>
            </w:r>
          </w:p>
        </w:tc>
        <w:tc>
          <w:tcPr>
            <w:tcW w:w="483" w:type="pct"/>
            <w:noWrap w:val="0"/>
            <w:vAlign w:val="center"/>
          </w:tcPr>
          <w:p w14:paraId="702E3C2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val="0"/>
                <w:bCs w:val="0"/>
                <w:u w:val="none"/>
                <w:lang w:val="en-US"/>
              </w:rPr>
            </w:pPr>
            <w:r>
              <w:rPr>
                <w:rFonts w:hint="eastAsia"/>
                <w:b/>
                <w:bCs/>
                <w:color w:val="auto"/>
                <w:u w:val="single"/>
                <w:lang w:val="en-US" w:eastAsia="zh-CN"/>
              </w:rPr>
              <w:t>*</w:t>
            </w:r>
          </w:p>
        </w:tc>
        <w:tc>
          <w:tcPr>
            <w:tcW w:w="501" w:type="pct"/>
            <w:noWrap w:val="0"/>
            <w:vAlign w:val="center"/>
          </w:tcPr>
          <w:p w14:paraId="13B5EDDD">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val="0"/>
                <w:bCs w:val="0"/>
                <w:u w:val="none"/>
              </w:rPr>
            </w:pPr>
            <w:r>
              <w:rPr>
                <w:rFonts w:hint="eastAsia"/>
                <w:b/>
                <w:bCs/>
                <w:color w:val="auto"/>
                <w:u w:val="single"/>
                <w:lang w:val="en-US" w:eastAsia="zh-CN"/>
              </w:rPr>
              <w:t>*</w:t>
            </w:r>
          </w:p>
        </w:tc>
        <w:tc>
          <w:tcPr>
            <w:tcW w:w="783" w:type="pct"/>
            <w:noWrap w:val="0"/>
            <w:vAlign w:val="center"/>
          </w:tcPr>
          <w:p w14:paraId="2263101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val="0"/>
                <w:bCs w:val="0"/>
                <w:u w:val="none"/>
              </w:rPr>
            </w:pPr>
            <w:r>
              <w:rPr>
                <w:rFonts w:hint="eastAsia"/>
                <w:b/>
                <w:bCs/>
                <w:color w:val="auto"/>
                <w:u w:val="single"/>
                <w:lang w:val="en-US" w:eastAsia="zh-CN"/>
              </w:rPr>
              <w:t>*</w:t>
            </w:r>
          </w:p>
        </w:tc>
        <w:tc>
          <w:tcPr>
            <w:tcW w:w="658" w:type="pct"/>
            <w:noWrap w:val="0"/>
            <w:vAlign w:val="center"/>
          </w:tcPr>
          <w:p w14:paraId="00FA29AF">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val="0"/>
                <w:bCs w:val="0"/>
                <w:u w:val="none"/>
              </w:rPr>
            </w:pPr>
            <w:r>
              <w:rPr>
                <w:rFonts w:hint="eastAsia"/>
                <w:b/>
                <w:bCs/>
                <w:color w:val="auto"/>
                <w:u w:val="single"/>
                <w:lang w:val="en-US" w:eastAsia="zh-CN"/>
              </w:rPr>
              <w:t>*</w:t>
            </w:r>
          </w:p>
        </w:tc>
        <w:tc>
          <w:tcPr>
            <w:tcW w:w="726" w:type="pct"/>
            <w:noWrap w:val="0"/>
            <w:vAlign w:val="center"/>
          </w:tcPr>
          <w:p w14:paraId="0F41067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val="0"/>
                <w:bCs w:val="0"/>
                <w:u w:val="none"/>
              </w:rPr>
            </w:pPr>
            <w:r>
              <w:rPr>
                <w:rFonts w:hint="eastAsia"/>
                <w:b/>
                <w:bCs/>
                <w:color w:val="auto"/>
                <w:u w:val="single"/>
                <w:lang w:val="en-US" w:eastAsia="zh-CN"/>
              </w:rPr>
              <w:t>*</w:t>
            </w:r>
          </w:p>
        </w:tc>
        <w:tc>
          <w:tcPr>
            <w:tcW w:w="519" w:type="pct"/>
            <w:noWrap w:val="0"/>
            <w:vAlign w:val="center"/>
          </w:tcPr>
          <w:p w14:paraId="735915FA">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val="0"/>
                <w:bCs w:val="0"/>
                <w:u w:val="none"/>
                <w:lang w:val="en-US"/>
              </w:rPr>
            </w:pPr>
            <w:r>
              <w:rPr>
                <w:rFonts w:hint="eastAsia"/>
                <w:b/>
                <w:bCs/>
                <w:color w:val="auto"/>
                <w:u w:val="single"/>
                <w:lang w:val="en-US" w:eastAsia="zh-CN"/>
              </w:rPr>
              <w:t>*</w:t>
            </w:r>
          </w:p>
        </w:tc>
      </w:tr>
      <w:tr w14:paraId="2F631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 w:type="pct"/>
            <w:noWrap w:val="0"/>
            <w:vAlign w:val="center"/>
          </w:tcPr>
          <w:p w14:paraId="1C7DBC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val="0"/>
                <w:bCs w:val="0"/>
                <w:u w:val="none"/>
                <w:lang w:val="en-US" w:eastAsia="zh-CN"/>
              </w:rPr>
            </w:pPr>
            <w:r>
              <w:rPr>
                <w:rFonts w:hint="eastAsia"/>
                <w:b w:val="0"/>
                <w:bCs w:val="0"/>
                <w:u w:val="none"/>
                <w:lang w:val="en-US" w:eastAsia="zh-CN"/>
              </w:rPr>
              <w:t>3</w:t>
            </w:r>
          </w:p>
        </w:tc>
        <w:tc>
          <w:tcPr>
            <w:tcW w:w="1059" w:type="pct"/>
            <w:gridSpan w:val="2"/>
            <w:noWrap w:val="0"/>
            <w:vAlign w:val="center"/>
          </w:tcPr>
          <w:p w14:paraId="349F50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Times New Roman"/>
                <w:b w:val="0"/>
                <w:bCs w:val="0"/>
                <w:u w:val="none"/>
              </w:rPr>
            </w:pPr>
            <w:r>
              <w:rPr>
                <w:rFonts w:hint="eastAsia" w:cs="Times New Roman"/>
                <w:b w:val="0"/>
                <w:bCs w:val="0"/>
                <w:u w:val="none"/>
              </w:rPr>
              <w:t>喷丝组件清洗</w:t>
            </w:r>
            <w:r>
              <w:rPr>
                <w:rFonts w:hint="eastAsia" w:cs="Times New Roman"/>
                <w:b w:val="0"/>
                <w:bCs w:val="0"/>
                <w:u w:val="none"/>
                <w:lang w:val="en-US" w:eastAsia="zh-CN"/>
              </w:rPr>
              <w:t>水</w:t>
            </w:r>
          </w:p>
        </w:tc>
        <w:tc>
          <w:tcPr>
            <w:tcW w:w="483" w:type="pct"/>
            <w:noWrap w:val="0"/>
            <w:vAlign w:val="center"/>
          </w:tcPr>
          <w:p w14:paraId="23F428ED">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eastAsia="宋体"/>
                <w:b w:val="0"/>
                <w:bCs w:val="0"/>
                <w:u w:val="none"/>
                <w:lang w:val="en-US" w:eastAsia="zh-CN"/>
              </w:rPr>
            </w:pPr>
            <w:r>
              <w:rPr>
                <w:rFonts w:hint="eastAsia"/>
                <w:b/>
                <w:bCs/>
                <w:color w:val="auto"/>
                <w:u w:val="single"/>
                <w:lang w:val="en-US" w:eastAsia="zh-CN"/>
              </w:rPr>
              <w:t>*</w:t>
            </w:r>
          </w:p>
        </w:tc>
        <w:tc>
          <w:tcPr>
            <w:tcW w:w="501" w:type="pct"/>
            <w:noWrap w:val="0"/>
            <w:vAlign w:val="center"/>
          </w:tcPr>
          <w:p w14:paraId="64B92F9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val="0"/>
                <w:bCs w:val="0"/>
                <w:u w:val="none"/>
                <w:lang w:val="en-US" w:eastAsia="zh-CN"/>
              </w:rPr>
            </w:pPr>
            <w:r>
              <w:rPr>
                <w:rFonts w:hint="eastAsia"/>
                <w:b/>
                <w:bCs/>
                <w:color w:val="auto"/>
                <w:u w:val="single"/>
                <w:lang w:val="en-US" w:eastAsia="zh-CN"/>
              </w:rPr>
              <w:t>*</w:t>
            </w:r>
          </w:p>
        </w:tc>
        <w:tc>
          <w:tcPr>
            <w:tcW w:w="783" w:type="pct"/>
            <w:noWrap w:val="0"/>
            <w:vAlign w:val="center"/>
          </w:tcPr>
          <w:p w14:paraId="2C38562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eastAsia="宋体"/>
                <w:b w:val="0"/>
                <w:bCs w:val="0"/>
                <w:u w:val="none"/>
                <w:lang w:val="en-US" w:eastAsia="zh-CN"/>
              </w:rPr>
            </w:pPr>
            <w:r>
              <w:rPr>
                <w:rFonts w:hint="eastAsia"/>
                <w:b/>
                <w:bCs/>
                <w:color w:val="auto"/>
                <w:u w:val="single"/>
                <w:lang w:val="en-US" w:eastAsia="zh-CN"/>
              </w:rPr>
              <w:t>*</w:t>
            </w:r>
          </w:p>
        </w:tc>
        <w:tc>
          <w:tcPr>
            <w:tcW w:w="658" w:type="pct"/>
            <w:noWrap w:val="0"/>
            <w:vAlign w:val="center"/>
          </w:tcPr>
          <w:p w14:paraId="668CE05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eastAsia="宋体"/>
                <w:b w:val="0"/>
                <w:bCs w:val="0"/>
                <w:u w:val="none"/>
                <w:lang w:val="en-US" w:eastAsia="zh-CN"/>
              </w:rPr>
            </w:pPr>
            <w:r>
              <w:rPr>
                <w:rFonts w:hint="eastAsia"/>
                <w:b/>
                <w:bCs/>
                <w:color w:val="auto"/>
                <w:u w:val="single"/>
                <w:lang w:val="en-US" w:eastAsia="zh-CN"/>
              </w:rPr>
              <w:t>*</w:t>
            </w:r>
          </w:p>
        </w:tc>
        <w:tc>
          <w:tcPr>
            <w:tcW w:w="726" w:type="pct"/>
            <w:noWrap w:val="0"/>
            <w:vAlign w:val="center"/>
          </w:tcPr>
          <w:p w14:paraId="388A738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val="0"/>
                <w:bCs w:val="0"/>
                <w:u w:val="none"/>
                <w:lang w:val="en-US" w:eastAsia="zh-CN"/>
              </w:rPr>
            </w:pPr>
            <w:r>
              <w:rPr>
                <w:rFonts w:hint="eastAsia"/>
                <w:b/>
                <w:bCs/>
                <w:color w:val="auto"/>
                <w:u w:val="single"/>
                <w:lang w:val="en-US" w:eastAsia="zh-CN"/>
              </w:rPr>
              <w:t>*</w:t>
            </w:r>
          </w:p>
        </w:tc>
        <w:tc>
          <w:tcPr>
            <w:tcW w:w="519" w:type="pct"/>
            <w:noWrap w:val="0"/>
            <w:vAlign w:val="center"/>
          </w:tcPr>
          <w:p w14:paraId="6FACFE3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val="0"/>
                <w:bCs w:val="0"/>
                <w:u w:val="none"/>
                <w:lang w:val="en-US" w:eastAsia="zh-CN"/>
              </w:rPr>
            </w:pPr>
            <w:r>
              <w:rPr>
                <w:rFonts w:hint="eastAsia"/>
                <w:b/>
                <w:bCs/>
                <w:color w:val="auto"/>
                <w:u w:val="single"/>
                <w:lang w:val="en-US" w:eastAsia="zh-CN"/>
              </w:rPr>
              <w:t>*</w:t>
            </w:r>
          </w:p>
        </w:tc>
      </w:tr>
      <w:tr w14:paraId="2F5DB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 w:type="pct"/>
            <w:noWrap w:val="0"/>
            <w:vAlign w:val="center"/>
          </w:tcPr>
          <w:p w14:paraId="4EFBA18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val="0"/>
                <w:bCs w:val="0"/>
                <w:u w:val="none"/>
                <w:lang w:val="en-US" w:eastAsia="zh-CN"/>
              </w:rPr>
            </w:pPr>
            <w:r>
              <w:rPr>
                <w:rFonts w:hint="eastAsia"/>
                <w:b w:val="0"/>
                <w:bCs w:val="0"/>
                <w:u w:val="none"/>
                <w:lang w:val="en-US" w:eastAsia="zh-CN"/>
              </w:rPr>
              <w:t>4</w:t>
            </w:r>
          </w:p>
        </w:tc>
        <w:tc>
          <w:tcPr>
            <w:tcW w:w="1059" w:type="pct"/>
            <w:gridSpan w:val="2"/>
            <w:noWrap w:val="0"/>
            <w:vAlign w:val="center"/>
          </w:tcPr>
          <w:p w14:paraId="6BEB5F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cs="Times New Roman"/>
                <w:b w:val="0"/>
                <w:bCs w:val="0"/>
                <w:u w:val="none"/>
                <w:lang w:val="en-US" w:eastAsia="zh-CN"/>
              </w:rPr>
            </w:pPr>
            <w:r>
              <w:rPr>
                <w:rFonts w:hint="eastAsia" w:cs="Times New Roman"/>
                <w:b w:val="0"/>
                <w:bCs w:val="0"/>
                <w:u w:val="none"/>
                <w:lang w:val="en-US" w:eastAsia="zh-CN"/>
              </w:rPr>
              <w:t>化验清洗水</w:t>
            </w:r>
          </w:p>
        </w:tc>
        <w:tc>
          <w:tcPr>
            <w:tcW w:w="483" w:type="pct"/>
            <w:noWrap w:val="0"/>
            <w:vAlign w:val="center"/>
          </w:tcPr>
          <w:p w14:paraId="0DE0F98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val="0"/>
                <w:bCs w:val="0"/>
                <w:u w:val="none"/>
                <w:lang w:val="en-US" w:eastAsia="zh-CN"/>
              </w:rPr>
            </w:pPr>
            <w:r>
              <w:rPr>
                <w:rFonts w:hint="eastAsia"/>
                <w:b/>
                <w:bCs/>
                <w:color w:val="auto"/>
                <w:u w:val="single"/>
                <w:lang w:val="en-US" w:eastAsia="zh-CN"/>
              </w:rPr>
              <w:t>*</w:t>
            </w:r>
          </w:p>
        </w:tc>
        <w:tc>
          <w:tcPr>
            <w:tcW w:w="501" w:type="pct"/>
            <w:noWrap w:val="0"/>
            <w:vAlign w:val="center"/>
          </w:tcPr>
          <w:p w14:paraId="6AEBDD7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val="0"/>
                <w:bCs w:val="0"/>
                <w:u w:val="none"/>
                <w:lang w:val="en-US" w:eastAsia="zh-CN"/>
              </w:rPr>
            </w:pPr>
            <w:r>
              <w:rPr>
                <w:rFonts w:hint="eastAsia"/>
                <w:b/>
                <w:bCs/>
                <w:color w:val="auto"/>
                <w:u w:val="single"/>
                <w:lang w:val="en-US" w:eastAsia="zh-CN"/>
              </w:rPr>
              <w:t>*</w:t>
            </w:r>
          </w:p>
        </w:tc>
        <w:tc>
          <w:tcPr>
            <w:tcW w:w="783" w:type="pct"/>
            <w:noWrap w:val="0"/>
            <w:vAlign w:val="center"/>
          </w:tcPr>
          <w:p w14:paraId="3931474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val="0"/>
                <w:bCs w:val="0"/>
                <w:u w:val="none"/>
                <w:lang w:val="en-US" w:eastAsia="zh-CN"/>
              </w:rPr>
            </w:pPr>
            <w:r>
              <w:rPr>
                <w:rFonts w:hint="eastAsia"/>
                <w:b/>
                <w:bCs/>
                <w:color w:val="auto"/>
                <w:u w:val="single"/>
                <w:lang w:val="en-US" w:eastAsia="zh-CN"/>
              </w:rPr>
              <w:t>*</w:t>
            </w:r>
          </w:p>
        </w:tc>
        <w:tc>
          <w:tcPr>
            <w:tcW w:w="658" w:type="pct"/>
            <w:noWrap w:val="0"/>
            <w:vAlign w:val="center"/>
          </w:tcPr>
          <w:p w14:paraId="6F6A04C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val="0"/>
                <w:bCs w:val="0"/>
                <w:u w:val="none"/>
                <w:lang w:val="en-US" w:eastAsia="zh-CN"/>
              </w:rPr>
            </w:pPr>
            <w:r>
              <w:rPr>
                <w:rFonts w:hint="eastAsia"/>
                <w:b/>
                <w:bCs/>
                <w:color w:val="auto"/>
                <w:u w:val="single"/>
                <w:lang w:val="en-US" w:eastAsia="zh-CN"/>
              </w:rPr>
              <w:t>*</w:t>
            </w:r>
          </w:p>
        </w:tc>
        <w:tc>
          <w:tcPr>
            <w:tcW w:w="726" w:type="pct"/>
            <w:noWrap w:val="0"/>
            <w:vAlign w:val="center"/>
          </w:tcPr>
          <w:p w14:paraId="058FE49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val="0"/>
                <w:bCs w:val="0"/>
                <w:u w:val="none"/>
                <w:lang w:val="en-US" w:eastAsia="zh-CN"/>
              </w:rPr>
            </w:pPr>
            <w:r>
              <w:rPr>
                <w:rFonts w:hint="eastAsia"/>
                <w:b/>
                <w:bCs/>
                <w:color w:val="auto"/>
                <w:u w:val="single"/>
                <w:lang w:val="en-US" w:eastAsia="zh-CN"/>
              </w:rPr>
              <w:t>*</w:t>
            </w:r>
          </w:p>
        </w:tc>
        <w:tc>
          <w:tcPr>
            <w:tcW w:w="519" w:type="pct"/>
            <w:noWrap w:val="0"/>
            <w:vAlign w:val="center"/>
          </w:tcPr>
          <w:p w14:paraId="203E0D4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val="0"/>
                <w:bCs w:val="0"/>
                <w:u w:val="none"/>
                <w:lang w:val="en-US" w:eastAsia="zh-CN"/>
              </w:rPr>
            </w:pPr>
            <w:r>
              <w:rPr>
                <w:rFonts w:hint="eastAsia"/>
                <w:b/>
                <w:bCs/>
                <w:color w:val="auto"/>
                <w:u w:val="single"/>
                <w:lang w:val="en-US" w:eastAsia="zh-CN"/>
              </w:rPr>
              <w:t>*</w:t>
            </w:r>
          </w:p>
        </w:tc>
      </w:tr>
      <w:tr w14:paraId="740A4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 w:type="pct"/>
            <w:vMerge w:val="restart"/>
            <w:noWrap w:val="0"/>
            <w:vAlign w:val="center"/>
          </w:tcPr>
          <w:p w14:paraId="47B1C12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val="0"/>
                <w:bCs w:val="0"/>
                <w:u w:val="none"/>
                <w:lang w:eastAsia="zh-CN"/>
              </w:rPr>
            </w:pPr>
            <w:r>
              <w:rPr>
                <w:rFonts w:hint="eastAsia"/>
                <w:b w:val="0"/>
                <w:bCs w:val="0"/>
                <w:u w:val="none"/>
                <w:lang w:val="en-US" w:eastAsia="zh-CN"/>
              </w:rPr>
              <w:t>5</w:t>
            </w:r>
          </w:p>
        </w:tc>
        <w:tc>
          <w:tcPr>
            <w:tcW w:w="269" w:type="pct"/>
            <w:vMerge w:val="restart"/>
            <w:noWrap w:val="0"/>
            <w:vAlign w:val="center"/>
          </w:tcPr>
          <w:p w14:paraId="33BADF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Times New Roman"/>
                <w:b w:val="0"/>
                <w:bCs w:val="0"/>
                <w:u w:val="none"/>
              </w:rPr>
            </w:pPr>
            <w:r>
              <w:rPr>
                <w:rFonts w:hint="eastAsia" w:cs="Times New Roman"/>
                <w:b w:val="0"/>
                <w:bCs w:val="0"/>
                <w:u w:val="none"/>
              </w:rPr>
              <w:t>工艺用水</w:t>
            </w:r>
          </w:p>
        </w:tc>
        <w:tc>
          <w:tcPr>
            <w:tcW w:w="790" w:type="pct"/>
            <w:noWrap w:val="0"/>
            <w:vAlign w:val="center"/>
          </w:tcPr>
          <w:p w14:paraId="3BC9163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cs="Times New Roman"/>
                <w:b w:val="0"/>
                <w:bCs w:val="0"/>
                <w:u w:val="none"/>
              </w:rPr>
            </w:pPr>
            <w:r>
              <w:rPr>
                <w:rFonts w:hint="eastAsia"/>
                <w:b/>
                <w:bCs/>
                <w:color w:val="auto"/>
                <w:u w:val="single"/>
                <w:lang w:val="en-US" w:eastAsia="zh-CN"/>
              </w:rPr>
              <w:t>*</w:t>
            </w:r>
          </w:p>
        </w:tc>
        <w:tc>
          <w:tcPr>
            <w:tcW w:w="483" w:type="pct"/>
            <w:noWrap w:val="0"/>
            <w:vAlign w:val="center"/>
          </w:tcPr>
          <w:p w14:paraId="0EA2FC5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501" w:type="pct"/>
            <w:noWrap w:val="0"/>
            <w:vAlign w:val="center"/>
          </w:tcPr>
          <w:p w14:paraId="7CB50F9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783" w:type="pct"/>
            <w:noWrap w:val="0"/>
            <w:vAlign w:val="center"/>
          </w:tcPr>
          <w:p w14:paraId="1892780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val="0"/>
                <w:bCs w:val="0"/>
                <w:u w:val="none"/>
                <w:lang w:val="en-US" w:eastAsia="zh-CN"/>
              </w:rPr>
            </w:pPr>
            <w:r>
              <w:rPr>
                <w:rFonts w:hint="eastAsia"/>
                <w:b/>
                <w:bCs/>
                <w:color w:val="auto"/>
                <w:u w:val="single"/>
                <w:lang w:val="en-US" w:eastAsia="zh-CN"/>
              </w:rPr>
              <w:t>*</w:t>
            </w:r>
          </w:p>
        </w:tc>
        <w:tc>
          <w:tcPr>
            <w:tcW w:w="658" w:type="pct"/>
            <w:noWrap w:val="0"/>
            <w:vAlign w:val="center"/>
          </w:tcPr>
          <w:p w14:paraId="1931A8C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726" w:type="pct"/>
            <w:noWrap w:val="0"/>
            <w:vAlign w:val="center"/>
          </w:tcPr>
          <w:p w14:paraId="19D4A7A9">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519" w:type="pct"/>
            <w:noWrap w:val="0"/>
            <w:vAlign w:val="center"/>
          </w:tcPr>
          <w:p w14:paraId="721ABC8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eastAsia="宋体"/>
                <w:lang w:val="en-US" w:eastAsia="zh-CN"/>
              </w:rPr>
              <w:t>48</w:t>
            </w:r>
          </w:p>
        </w:tc>
      </w:tr>
      <w:tr w14:paraId="45F07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 w:type="pct"/>
            <w:vMerge w:val="continue"/>
            <w:noWrap w:val="0"/>
            <w:vAlign w:val="center"/>
          </w:tcPr>
          <w:p w14:paraId="773EAF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269" w:type="pct"/>
            <w:vMerge w:val="continue"/>
            <w:noWrap w:val="0"/>
            <w:vAlign w:val="center"/>
          </w:tcPr>
          <w:p w14:paraId="0BB6E7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790" w:type="pct"/>
            <w:noWrap w:val="0"/>
            <w:vAlign w:val="center"/>
          </w:tcPr>
          <w:p w14:paraId="721C006E">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483" w:type="pct"/>
            <w:noWrap w:val="0"/>
            <w:vAlign w:val="center"/>
          </w:tcPr>
          <w:p w14:paraId="581C498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501" w:type="pct"/>
            <w:noWrap w:val="0"/>
            <w:vAlign w:val="center"/>
          </w:tcPr>
          <w:p w14:paraId="1EA21F7E">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783" w:type="pct"/>
            <w:noWrap w:val="0"/>
            <w:vAlign w:val="center"/>
          </w:tcPr>
          <w:p w14:paraId="3C98909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658" w:type="pct"/>
            <w:noWrap w:val="0"/>
            <w:vAlign w:val="center"/>
          </w:tcPr>
          <w:p w14:paraId="3EC05D8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val="0"/>
                <w:bCs w:val="0"/>
                <w:u w:val="none"/>
                <w:lang w:val="en-US" w:eastAsia="zh-CN"/>
              </w:rPr>
            </w:pPr>
            <w:r>
              <w:rPr>
                <w:rFonts w:hint="eastAsia"/>
                <w:b/>
                <w:bCs/>
                <w:color w:val="auto"/>
                <w:u w:val="single"/>
                <w:lang w:val="en-US" w:eastAsia="zh-CN"/>
              </w:rPr>
              <w:t>*</w:t>
            </w:r>
          </w:p>
        </w:tc>
        <w:tc>
          <w:tcPr>
            <w:tcW w:w="726" w:type="pct"/>
            <w:noWrap w:val="0"/>
            <w:vAlign w:val="center"/>
          </w:tcPr>
          <w:p w14:paraId="16383BC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519" w:type="pct"/>
            <w:noWrap w:val="0"/>
            <w:vAlign w:val="center"/>
          </w:tcPr>
          <w:p w14:paraId="26E00E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eastAsia="宋体"/>
                <w:lang w:val="en-US" w:eastAsia="zh-CN"/>
              </w:rPr>
              <w:t>23.04</w:t>
            </w:r>
          </w:p>
        </w:tc>
      </w:tr>
      <w:tr w14:paraId="07BAF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 w:type="pct"/>
            <w:vMerge w:val="continue"/>
            <w:noWrap w:val="0"/>
            <w:vAlign w:val="center"/>
          </w:tcPr>
          <w:p w14:paraId="525E36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269" w:type="pct"/>
            <w:vMerge w:val="continue"/>
            <w:noWrap w:val="0"/>
            <w:vAlign w:val="center"/>
          </w:tcPr>
          <w:p w14:paraId="47E3A0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790" w:type="pct"/>
            <w:noWrap w:val="0"/>
            <w:vAlign w:val="center"/>
          </w:tcPr>
          <w:p w14:paraId="767A032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483" w:type="pct"/>
            <w:noWrap w:val="0"/>
            <w:vAlign w:val="center"/>
          </w:tcPr>
          <w:p w14:paraId="55A87F5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501" w:type="pct"/>
            <w:noWrap w:val="0"/>
            <w:vAlign w:val="center"/>
          </w:tcPr>
          <w:p w14:paraId="5A27B75E">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783" w:type="pct"/>
            <w:noWrap w:val="0"/>
            <w:vAlign w:val="center"/>
          </w:tcPr>
          <w:p w14:paraId="5C6C4A9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val="0"/>
                <w:bCs w:val="0"/>
                <w:u w:val="none"/>
                <w:lang w:val="en-US" w:eastAsia="zh-CN"/>
              </w:rPr>
            </w:pPr>
            <w:r>
              <w:rPr>
                <w:rFonts w:hint="eastAsia"/>
                <w:b/>
                <w:bCs/>
                <w:color w:val="auto"/>
                <w:u w:val="single"/>
                <w:lang w:val="en-US" w:eastAsia="zh-CN"/>
              </w:rPr>
              <w:t>*</w:t>
            </w:r>
          </w:p>
        </w:tc>
        <w:tc>
          <w:tcPr>
            <w:tcW w:w="658" w:type="pct"/>
            <w:noWrap w:val="0"/>
            <w:vAlign w:val="center"/>
          </w:tcPr>
          <w:p w14:paraId="0BCAA0D9">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val="0"/>
                <w:bCs w:val="0"/>
                <w:u w:val="none"/>
                <w:lang w:val="en-US" w:eastAsia="zh-CN"/>
              </w:rPr>
            </w:pPr>
            <w:r>
              <w:rPr>
                <w:rFonts w:hint="eastAsia"/>
                <w:b/>
                <w:bCs/>
                <w:color w:val="auto"/>
                <w:u w:val="single"/>
                <w:lang w:val="en-US" w:eastAsia="zh-CN"/>
              </w:rPr>
              <w:t>*</w:t>
            </w:r>
          </w:p>
        </w:tc>
        <w:tc>
          <w:tcPr>
            <w:tcW w:w="726" w:type="pct"/>
            <w:noWrap w:val="0"/>
            <w:vAlign w:val="center"/>
          </w:tcPr>
          <w:p w14:paraId="2678A46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val="0"/>
                <w:bCs w:val="0"/>
                <w:u w:val="none"/>
                <w:lang w:val="en-US" w:eastAsia="zh-CN"/>
              </w:rPr>
            </w:pPr>
            <w:r>
              <w:rPr>
                <w:rFonts w:hint="eastAsia"/>
                <w:b/>
                <w:bCs/>
                <w:color w:val="auto"/>
                <w:u w:val="single"/>
                <w:lang w:val="en-US" w:eastAsia="zh-CN"/>
              </w:rPr>
              <w:t>*</w:t>
            </w:r>
          </w:p>
        </w:tc>
        <w:tc>
          <w:tcPr>
            <w:tcW w:w="519" w:type="pct"/>
            <w:noWrap w:val="0"/>
            <w:vAlign w:val="center"/>
          </w:tcPr>
          <w:p w14:paraId="596713F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rFonts w:hint="eastAsia"/>
              </w:rPr>
              <w:t>0</w:t>
            </w:r>
          </w:p>
        </w:tc>
      </w:tr>
      <w:tr w14:paraId="256BF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 w:type="pct"/>
            <w:vMerge w:val="restart"/>
            <w:noWrap w:val="0"/>
            <w:vAlign w:val="center"/>
          </w:tcPr>
          <w:p w14:paraId="063C7A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val="0"/>
                <w:bCs w:val="0"/>
                <w:u w:val="none"/>
                <w:lang w:val="en-US" w:eastAsia="zh-CN"/>
              </w:rPr>
            </w:pPr>
            <w:r>
              <w:rPr>
                <w:rFonts w:hint="eastAsia"/>
                <w:b w:val="0"/>
                <w:bCs w:val="0"/>
                <w:u w:val="none"/>
                <w:lang w:val="en-US" w:eastAsia="zh-CN"/>
              </w:rPr>
              <w:t>6</w:t>
            </w:r>
          </w:p>
        </w:tc>
        <w:tc>
          <w:tcPr>
            <w:tcW w:w="269" w:type="pct"/>
            <w:vMerge w:val="restart"/>
            <w:noWrap w:val="0"/>
            <w:vAlign w:val="center"/>
          </w:tcPr>
          <w:p w14:paraId="15B6199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公用工程</w:t>
            </w:r>
          </w:p>
        </w:tc>
        <w:tc>
          <w:tcPr>
            <w:tcW w:w="790" w:type="pct"/>
            <w:noWrap w:val="0"/>
            <w:vAlign w:val="center"/>
          </w:tcPr>
          <w:p w14:paraId="17DE2E0A">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483" w:type="pct"/>
            <w:noWrap w:val="0"/>
            <w:vAlign w:val="center"/>
          </w:tcPr>
          <w:p w14:paraId="395F584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501" w:type="pct"/>
            <w:noWrap w:val="0"/>
            <w:vAlign w:val="center"/>
          </w:tcPr>
          <w:p w14:paraId="7482276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val="0"/>
                <w:bCs w:val="0"/>
                <w:u w:val="none"/>
                <w:lang w:val="en-US" w:eastAsia="zh-CN"/>
              </w:rPr>
            </w:pPr>
            <w:r>
              <w:rPr>
                <w:rFonts w:hint="eastAsia"/>
                <w:b/>
                <w:bCs/>
                <w:color w:val="auto"/>
                <w:u w:val="single"/>
                <w:lang w:val="en-US" w:eastAsia="zh-CN"/>
              </w:rPr>
              <w:t>*</w:t>
            </w:r>
          </w:p>
        </w:tc>
        <w:tc>
          <w:tcPr>
            <w:tcW w:w="783" w:type="pct"/>
            <w:noWrap w:val="0"/>
            <w:vAlign w:val="center"/>
          </w:tcPr>
          <w:p w14:paraId="642F9D7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658" w:type="pct"/>
            <w:noWrap w:val="0"/>
            <w:vAlign w:val="center"/>
          </w:tcPr>
          <w:p w14:paraId="1436795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726" w:type="pct"/>
            <w:noWrap w:val="0"/>
            <w:vAlign w:val="center"/>
          </w:tcPr>
          <w:p w14:paraId="7941E2D9">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val="0"/>
                <w:bCs w:val="0"/>
                <w:u w:val="none"/>
                <w:lang w:val="en-US" w:eastAsia="zh-CN"/>
              </w:rPr>
            </w:pPr>
            <w:r>
              <w:rPr>
                <w:rFonts w:hint="eastAsia"/>
                <w:b/>
                <w:bCs/>
                <w:color w:val="auto"/>
                <w:u w:val="single"/>
                <w:lang w:val="en-US" w:eastAsia="zh-CN"/>
              </w:rPr>
              <w:t>*</w:t>
            </w:r>
          </w:p>
        </w:tc>
        <w:tc>
          <w:tcPr>
            <w:tcW w:w="519" w:type="pct"/>
            <w:noWrap w:val="0"/>
            <w:vAlign w:val="center"/>
          </w:tcPr>
          <w:p w14:paraId="0902BDE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val="0"/>
                <w:bCs w:val="0"/>
                <w:u w:val="none"/>
                <w:lang w:val="en-US" w:eastAsia="zh-CN"/>
              </w:rPr>
            </w:pPr>
            <w:r>
              <w:rPr>
                <w:rFonts w:hint="eastAsia"/>
                <w:b w:val="0"/>
                <w:bCs w:val="0"/>
                <w:u w:val="none"/>
                <w:lang w:val="en-US" w:eastAsia="zh-CN"/>
              </w:rPr>
              <w:t>249.6</w:t>
            </w:r>
          </w:p>
        </w:tc>
      </w:tr>
      <w:tr w14:paraId="17875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 w:type="pct"/>
            <w:vMerge w:val="continue"/>
            <w:noWrap w:val="0"/>
            <w:vAlign w:val="center"/>
          </w:tcPr>
          <w:p w14:paraId="00B453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269" w:type="pct"/>
            <w:vMerge w:val="continue"/>
            <w:noWrap w:val="0"/>
            <w:vAlign w:val="center"/>
          </w:tcPr>
          <w:p w14:paraId="41ED90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790" w:type="pct"/>
            <w:noWrap w:val="0"/>
            <w:vAlign w:val="center"/>
          </w:tcPr>
          <w:p w14:paraId="5BB39C2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val="0"/>
                <w:bCs w:val="0"/>
                <w:u w:val="none"/>
              </w:rPr>
            </w:pPr>
            <w:r>
              <w:rPr>
                <w:rFonts w:hint="eastAsia"/>
                <w:b/>
                <w:bCs/>
                <w:color w:val="auto"/>
                <w:u w:val="single"/>
                <w:lang w:val="en-US" w:eastAsia="zh-CN"/>
              </w:rPr>
              <w:t>*</w:t>
            </w:r>
          </w:p>
        </w:tc>
        <w:tc>
          <w:tcPr>
            <w:tcW w:w="483" w:type="pct"/>
            <w:noWrap w:val="0"/>
            <w:vAlign w:val="center"/>
          </w:tcPr>
          <w:p w14:paraId="1C0CF43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val="0"/>
                <w:bCs w:val="0"/>
                <w:u w:val="none"/>
                <w:lang w:val="en-US" w:eastAsia="zh-CN"/>
              </w:rPr>
            </w:pPr>
            <w:r>
              <w:rPr>
                <w:rFonts w:hint="eastAsia"/>
                <w:b/>
                <w:bCs/>
                <w:color w:val="auto"/>
                <w:u w:val="single"/>
                <w:lang w:val="en-US" w:eastAsia="zh-CN"/>
              </w:rPr>
              <w:t>*</w:t>
            </w:r>
          </w:p>
        </w:tc>
        <w:tc>
          <w:tcPr>
            <w:tcW w:w="501" w:type="pct"/>
            <w:noWrap w:val="0"/>
            <w:vAlign w:val="center"/>
          </w:tcPr>
          <w:p w14:paraId="74F32F5A">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val="0"/>
                <w:bCs w:val="0"/>
                <w:u w:val="none"/>
                <w:lang w:val="en-US" w:eastAsia="zh-CN"/>
              </w:rPr>
            </w:pPr>
            <w:r>
              <w:rPr>
                <w:rFonts w:hint="eastAsia"/>
                <w:b/>
                <w:bCs/>
                <w:color w:val="auto"/>
                <w:u w:val="single"/>
                <w:lang w:val="en-US" w:eastAsia="zh-CN"/>
              </w:rPr>
              <w:t>*</w:t>
            </w:r>
          </w:p>
        </w:tc>
        <w:tc>
          <w:tcPr>
            <w:tcW w:w="783" w:type="pct"/>
            <w:noWrap w:val="0"/>
            <w:vAlign w:val="center"/>
          </w:tcPr>
          <w:p w14:paraId="2ED9AD0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val="0"/>
                <w:bCs w:val="0"/>
                <w:u w:val="none"/>
                <w:lang w:val="en-US" w:eastAsia="zh-CN"/>
              </w:rPr>
            </w:pPr>
            <w:r>
              <w:rPr>
                <w:rFonts w:hint="eastAsia"/>
                <w:b/>
                <w:bCs/>
                <w:color w:val="auto"/>
                <w:u w:val="single"/>
                <w:lang w:val="en-US" w:eastAsia="zh-CN"/>
              </w:rPr>
              <w:t>*</w:t>
            </w:r>
          </w:p>
        </w:tc>
        <w:tc>
          <w:tcPr>
            <w:tcW w:w="658" w:type="pct"/>
            <w:noWrap w:val="0"/>
            <w:vAlign w:val="center"/>
          </w:tcPr>
          <w:p w14:paraId="090F3C2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val="0"/>
                <w:bCs w:val="0"/>
                <w:u w:val="none"/>
                <w:lang w:val="en-US" w:eastAsia="zh-CN"/>
              </w:rPr>
            </w:pPr>
            <w:r>
              <w:rPr>
                <w:rFonts w:hint="eastAsia"/>
                <w:b/>
                <w:bCs/>
                <w:color w:val="auto"/>
                <w:u w:val="single"/>
                <w:lang w:val="en-US" w:eastAsia="zh-CN"/>
              </w:rPr>
              <w:t>*</w:t>
            </w:r>
          </w:p>
        </w:tc>
        <w:tc>
          <w:tcPr>
            <w:tcW w:w="726" w:type="pct"/>
            <w:noWrap w:val="0"/>
            <w:vAlign w:val="center"/>
          </w:tcPr>
          <w:p w14:paraId="57ABD9D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val="0"/>
                <w:bCs w:val="0"/>
                <w:u w:val="none"/>
                <w:lang w:val="en-US" w:eastAsia="zh-CN"/>
              </w:rPr>
            </w:pPr>
            <w:r>
              <w:rPr>
                <w:rFonts w:hint="eastAsia"/>
                <w:b/>
                <w:bCs/>
                <w:color w:val="auto"/>
                <w:u w:val="single"/>
                <w:lang w:val="en-US" w:eastAsia="zh-CN"/>
              </w:rPr>
              <w:t>*</w:t>
            </w:r>
          </w:p>
        </w:tc>
        <w:tc>
          <w:tcPr>
            <w:tcW w:w="519" w:type="pct"/>
            <w:noWrap w:val="0"/>
            <w:vAlign w:val="center"/>
          </w:tcPr>
          <w:p w14:paraId="0D4114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u w:val="none"/>
                <w:lang w:val="en-US" w:eastAsia="zh-CN"/>
              </w:rPr>
            </w:pPr>
            <w:r>
              <w:rPr>
                <w:rFonts w:hint="eastAsia" w:ascii="Times New Roman" w:hAnsi="Times New Roman" w:eastAsia="宋体" w:cs="Times New Roman"/>
                <w:b w:val="0"/>
                <w:bCs w:val="0"/>
                <w:u w:val="none"/>
                <w:lang w:val="en-US" w:eastAsia="zh-CN"/>
              </w:rPr>
              <w:t>0</w:t>
            </w:r>
          </w:p>
        </w:tc>
      </w:tr>
      <w:tr w14:paraId="3E1AA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 w:type="pct"/>
            <w:noWrap w:val="0"/>
            <w:vAlign w:val="center"/>
          </w:tcPr>
          <w:p w14:paraId="00A721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p>
        </w:tc>
        <w:tc>
          <w:tcPr>
            <w:tcW w:w="1059" w:type="pct"/>
            <w:gridSpan w:val="2"/>
            <w:noWrap w:val="0"/>
            <w:vAlign w:val="center"/>
          </w:tcPr>
          <w:p w14:paraId="6BE28B7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val="0"/>
                <w:bCs w:val="0"/>
                <w:u w:val="none"/>
              </w:rPr>
            </w:pPr>
            <w:r>
              <w:rPr>
                <w:b w:val="0"/>
                <w:bCs w:val="0"/>
                <w:u w:val="none"/>
              </w:rPr>
              <w:t>合计</w:t>
            </w:r>
          </w:p>
        </w:tc>
        <w:tc>
          <w:tcPr>
            <w:tcW w:w="899" w:type="dxa"/>
            <w:noWrap w:val="0"/>
            <w:vAlign w:val="center"/>
          </w:tcPr>
          <w:p w14:paraId="04D61426">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cs="Times New Roman"/>
                <w:b w:val="0"/>
                <w:bCs w:val="0"/>
                <w:u w:val="none"/>
                <w:lang w:val="en-US" w:eastAsia="zh-CN"/>
              </w:rPr>
            </w:pPr>
            <w:r>
              <w:rPr>
                <w:rFonts w:hint="eastAsia"/>
                <w:b/>
                <w:bCs/>
                <w:color w:val="auto"/>
                <w:u w:val="single"/>
                <w:lang w:val="en-US" w:eastAsia="zh-CN"/>
              </w:rPr>
              <w:t>*</w:t>
            </w:r>
          </w:p>
        </w:tc>
        <w:tc>
          <w:tcPr>
            <w:tcW w:w="899" w:type="dxa"/>
            <w:noWrap w:val="0"/>
            <w:vAlign w:val="center"/>
          </w:tcPr>
          <w:p w14:paraId="4DF7BF1A">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cs="Times New Roman"/>
                <w:b w:val="0"/>
                <w:bCs w:val="0"/>
                <w:u w:val="none"/>
                <w:lang w:val="en-US" w:eastAsia="zh-CN"/>
              </w:rPr>
            </w:pPr>
            <w:r>
              <w:rPr>
                <w:rFonts w:hint="eastAsia"/>
                <w:b/>
                <w:bCs/>
                <w:color w:val="auto"/>
                <w:u w:val="single"/>
                <w:lang w:val="en-US" w:eastAsia="zh-CN"/>
              </w:rPr>
              <w:t>*</w:t>
            </w:r>
          </w:p>
        </w:tc>
        <w:tc>
          <w:tcPr>
            <w:tcW w:w="1407" w:type="dxa"/>
            <w:noWrap w:val="0"/>
            <w:vAlign w:val="center"/>
          </w:tcPr>
          <w:p w14:paraId="75EA410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cs="Times New Roman"/>
                <w:b w:val="0"/>
                <w:bCs w:val="0"/>
                <w:u w:val="none"/>
                <w:lang w:val="en-US" w:eastAsia="zh-CN"/>
              </w:rPr>
            </w:pPr>
            <w:r>
              <w:rPr>
                <w:rFonts w:hint="eastAsia"/>
                <w:b/>
                <w:bCs/>
                <w:color w:val="auto"/>
                <w:u w:val="single"/>
                <w:lang w:val="en-US" w:eastAsia="zh-CN"/>
              </w:rPr>
              <w:t>*</w:t>
            </w:r>
          </w:p>
        </w:tc>
        <w:tc>
          <w:tcPr>
            <w:tcW w:w="1183" w:type="dxa"/>
            <w:noWrap w:val="0"/>
            <w:vAlign w:val="center"/>
          </w:tcPr>
          <w:p w14:paraId="693D489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cs="Times New Roman"/>
                <w:b w:val="0"/>
                <w:bCs w:val="0"/>
                <w:u w:val="none"/>
                <w:lang w:val="en-US" w:eastAsia="zh-CN"/>
              </w:rPr>
            </w:pPr>
            <w:r>
              <w:rPr>
                <w:rFonts w:hint="eastAsia"/>
                <w:b/>
                <w:bCs/>
                <w:color w:val="auto"/>
                <w:u w:val="single"/>
                <w:lang w:val="en-US" w:eastAsia="zh-CN"/>
              </w:rPr>
              <w:t>*</w:t>
            </w:r>
          </w:p>
        </w:tc>
        <w:tc>
          <w:tcPr>
            <w:tcW w:w="1305" w:type="dxa"/>
            <w:noWrap w:val="0"/>
            <w:vAlign w:val="center"/>
          </w:tcPr>
          <w:p w14:paraId="171FD8A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cs="Times New Roman"/>
                <w:b w:val="0"/>
                <w:bCs w:val="0"/>
                <w:u w:val="none"/>
                <w:lang w:val="en-US" w:eastAsia="zh-CN"/>
              </w:rPr>
            </w:pPr>
            <w:r>
              <w:rPr>
                <w:rFonts w:hint="eastAsia"/>
                <w:b/>
                <w:bCs/>
                <w:color w:val="auto"/>
                <w:u w:val="single"/>
                <w:lang w:val="en-US" w:eastAsia="zh-CN"/>
              </w:rPr>
              <w:t>*</w:t>
            </w:r>
          </w:p>
        </w:tc>
        <w:tc>
          <w:tcPr>
            <w:tcW w:w="932" w:type="dxa"/>
            <w:noWrap w:val="0"/>
            <w:vAlign w:val="center"/>
          </w:tcPr>
          <w:p w14:paraId="6E20BC6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cs="Times New Roman"/>
                <w:b w:val="0"/>
                <w:bCs w:val="0"/>
                <w:u w:val="none"/>
                <w:lang w:val="en-US" w:eastAsia="zh-CN"/>
              </w:rPr>
            </w:pPr>
            <w:r>
              <w:rPr>
                <w:rFonts w:hint="eastAsia"/>
                <w:b/>
                <w:bCs/>
                <w:color w:val="auto"/>
                <w:u w:val="single"/>
                <w:lang w:val="en-US" w:eastAsia="zh-CN"/>
              </w:rPr>
              <w:t>*</w:t>
            </w:r>
          </w:p>
        </w:tc>
      </w:tr>
    </w:tbl>
    <w:p w14:paraId="1D9963CC">
      <w:pPr>
        <w:rPr>
          <w:rFonts w:hint="eastAsia"/>
          <w:b/>
          <w:bCs/>
          <w:color w:val="auto"/>
        </w:rPr>
      </w:pPr>
    </w:p>
    <w:p w14:paraId="4366CB5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rPr>
      </w:pPr>
      <w:r>
        <w:rPr>
          <w:rFonts w:hint="eastAsia"/>
          <w:color w:val="auto"/>
        </w:rPr>
        <w:t>本项目</w:t>
      </w:r>
      <w:r>
        <w:rPr>
          <w:rFonts w:hint="eastAsia"/>
          <w:color w:val="auto"/>
          <w:lang w:val="en-US" w:eastAsia="zh-CN"/>
        </w:rPr>
        <w:t>及全厂</w:t>
      </w:r>
      <w:r>
        <w:rPr>
          <w:rFonts w:hint="eastAsia"/>
          <w:color w:val="auto"/>
        </w:rPr>
        <w:t>水平衡详见</w:t>
      </w:r>
      <w:r>
        <w:rPr>
          <w:rFonts w:hint="eastAsia"/>
          <w:color w:val="auto"/>
          <w:lang w:val="en-US" w:eastAsia="zh-CN"/>
        </w:rPr>
        <w:t>下图</w:t>
      </w:r>
      <w:r>
        <w:rPr>
          <w:rFonts w:hint="eastAsia"/>
          <w:color w:val="auto"/>
        </w:rPr>
        <w:t>。</w:t>
      </w:r>
    </w:p>
    <w:p w14:paraId="3FB0DC6E">
      <w:pPr>
        <w:spacing w:line="240" w:lineRule="auto"/>
        <w:ind w:left="0" w:leftChars="0" w:firstLine="0" w:firstLineChars="0"/>
        <w:rPr>
          <w:rFonts w:hint="eastAsia" w:eastAsia="宋体"/>
          <w:color w:val="auto"/>
          <w:lang w:eastAsia="zh-CN"/>
        </w:rPr>
      </w:pPr>
    </w:p>
    <w:p w14:paraId="7D5F714B">
      <w:pPr>
        <w:pStyle w:val="181"/>
        <w:bidi w:val="0"/>
        <w:ind w:left="0" w:leftChars="0" w:firstLine="0" w:firstLineChars="0"/>
        <w:jc w:val="center"/>
        <w:rPr>
          <w:rFonts w:hint="eastAsia"/>
          <w:color w:val="auto"/>
          <w:u w:val="none"/>
        </w:rPr>
      </w:pPr>
      <w:r>
        <w:rPr>
          <w:rFonts w:hint="eastAsia"/>
          <w:color w:val="auto"/>
          <w:u w:val="none"/>
        </w:rPr>
        <w:t>图</w:t>
      </w:r>
      <w:r>
        <w:rPr>
          <w:rFonts w:hint="eastAsia"/>
          <w:color w:val="auto"/>
          <w:u w:val="none"/>
          <w:lang w:val="en-US" w:eastAsia="zh-CN"/>
        </w:rPr>
        <w:t>4.4-4</w:t>
      </w:r>
      <w:r>
        <w:rPr>
          <w:color w:val="auto"/>
          <w:u w:val="none"/>
        </w:rPr>
        <w:t xml:space="preserve"> </w:t>
      </w:r>
      <w:r>
        <w:rPr>
          <w:rFonts w:hint="eastAsia"/>
          <w:color w:val="auto"/>
          <w:u w:val="none"/>
        </w:rPr>
        <w:t>项目水平衡图</w:t>
      </w:r>
    </w:p>
    <w:p w14:paraId="5170B9A9">
      <w:pPr>
        <w:spacing w:line="240" w:lineRule="auto"/>
        <w:ind w:left="0" w:leftChars="0" w:firstLine="0" w:firstLineChars="0"/>
        <w:jc w:val="center"/>
        <w:rPr>
          <w:color w:val="auto"/>
        </w:rPr>
        <w:sectPr>
          <w:footerReference r:id="rId12" w:type="default"/>
          <w:pgSz w:w="11907" w:h="16840"/>
          <w:pgMar w:top="1417" w:right="1417" w:bottom="1417" w:left="1701" w:header="907" w:footer="907" w:gutter="0"/>
          <w:pgBorders>
            <w:top w:val="none" w:sz="0" w:space="0"/>
            <w:left w:val="none" w:sz="0" w:space="0"/>
            <w:bottom w:val="none" w:sz="0" w:space="0"/>
            <w:right w:val="none" w:sz="0" w:space="0"/>
          </w:pgBorders>
          <w:pgNumType w:fmt="decimal"/>
          <w:cols w:space="720" w:num="1"/>
          <w:docGrid w:linePitch="380" w:charSpace="0"/>
        </w:sectPr>
      </w:pPr>
    </w:p>
    <w:p w14:paraId="4A7120B7">
      <w:pPr>
        <w:ind w:left="0" w:leftChars="0" w:firstLine="0" w:firstLineChars="0"/>
        <w:jc w:val="center"/>
        <w:rPr>
          <w:rFonts w:hint="eastAsia"/>
          <w:b/>
          <w:bCs/>
          <w:color w:val="auto"/>
          <w:u w:val="none"/>
          <w:lang w:val="en-US" w:eastAsia="zh-CN"/>
        </w:rPr>
      </w:pPr>
    </w:p>
    <w:p w14:paraId="614C2E36">
      <w:pPr>
        <w:ind w:left="0" w:leftChars="0" w:firstLine="0" w:firstLineChars="0"/>
        <w:jc w:val="center"/>
        <w:rPr>
          <w:rFonts w:hint="eastAsia"/>
          <w:color w:val="auto"/>
          <w:u w:val="none"/>
          <w:lang w:val="en-US" w:eastAsia="zh-CN"/>
        </w:rPr>
      </w:pPr>
      <w:r>
        <w:rPr>
          <w:rFonts w:hint="eastAsia"/>
          <w:b/>
          <w:bCs/>
          <w:color w:val="auto"/>
          <w:u w:val="none"/>
          <w:lang w:val="en-US" w:eastAsia="zh-CN"/>
        </w:rPr>
        <w:t>图4.4-5 本项目建成后全厂水平衡图（t/d）</w:t>
      </w:r>
    </w:p>
    <w:p w14:paraId="521EDF59">
      <w:pPr>
        <w:pStyle w:val="3"/>
        <w:bidi w:val="0"/>
      </w:pPr>
      <w:bookmarkStart w:id="173" w:name="_Toc29710"/>
      <w:r>
        <w:rPr>
          <w:rFonts w:hint="eastAsia"/>
        </w:rPr>
        <w:t>施工期污染因素</w:t>
      </w:r>
      <w:bookmarkEnd w:id="173"/>
    </w:p>
    <w:p w14:paraId="4DB99483">
      <w:pPr>
        <w:bidi w:val="0"/>
        <w:rPr>
          <w:rFonts w:hint="default" w:eastAsia="宋体"/>
          <w:color w:val="auto"/>
          <w:lang w:val="en-US" w:eastAsia="zh-CN"/>
        </w:rPr>
      </w:pPr>
      <w:r>
        <w:rPr>
          <w:rFonts w:hint="eastAsia"/>
          <w:color w:val="auto"/>
        </w:rPr>
        <w:t>本项目不需新建</w:t>
      </w:r>
      <w:r>
        <w:rPr>
          <w:rFonts w:hint="eastAsia"/>
          <w:color w:val="auto"/>
          <w:lang w:val="en-US" w:eastAsia="zh-CN"/>
        </w:rPr>
        <w:t>生产车间</w:t>
      </w:r>
      <w:r>
        <w:rPr>
          <w:rFonts w:hint="eastAsia"/>
          <w:color w:val="auto"/>
        </w:rPr>
        <w:t>，使用离子液</w:t>
      </w:r>
      <w:r>
        <w:rPr>
          <w:rFonts w:hint="eastAsia"/>
          <w:color w:val="auto"/>
          <w:lang w:val="en-US" w:eastAsia="zh-CN"/>
        </w:rPr>
        <w:t>项目</w:t>
      </w:r>
      <w:r>
        <w:rPr>
          <w:rFonts w:hint="eastAsia"/>
          <w:color w:val="auto"/>
        </w:rPr>
        <w:t>厂房</w:t>
      </w:r>
      <w:r>
        <w:rPr>
          <w:rFonts w:hint="eastAsia"/>
          <w:color w:val="auto"/>
          <w:lang w:val="en-US" w:eastAsia="zh-CN"/>
        </w:rPr>
        <w:t>，生产车间只需进行设备安装无需施工建设，仅需施工建设配套设施动力站和冷却塔。</w:t>
      </w:r>
    </w:p>
    <w:p w14:paraId="2B88E0BE">
      <w:pPr>
        <w:bidi w:val="0"/>
        <w:rPr>
          <w:color w:val="auto"/>
        </w:rPr>
      </w:pPr>
      <w:r>
        <w:rPr>
          <w:rFonts w:hint="eastAsia"/>
          <w:color w:val="auto"/>
        </w:rPr>
        <w:t>一、废气</w:t>
      </w:r>
    </w:p>
    <w:p w14:paraId="39C5C587">
      <w:pPr>
        <w:bidi w:val="0"/>
        <w:rPr>
          <w:color w:val="auto"/>
        </w:rPr>
      </w:pPr>
      <w:r>
        <w:rPr>
          <w:rFonts w:hint="eastAsia"/>
          <w:color w:val="auto"/>
        </w:rPr>
        <w:t>施工期大气污染源主要为施工扬尘、施工机械和运输车辆排放的尾气。</w:t>
      </w:r>
    </w:p>
    <w:p w14:paraId="26BB378A">
      <w:pPr>
        <w:bidi w:val="0"/>
        <w:rPr>
          <w:color w:val="auto"/>
        </w:rPr>
      </w:pPr>
      <w:r>
        <w:rPr>
          <w:rFonts w:hint="eastAsia"/>
          <w:color w:val="auto"/>
        </w:rPr>
        <w:t>（</w:t>
      </w:r>
      <w:r>
        <w:rPr>
          <w:color w:val="auto"/>
        </w:rPr>
        <w:t>1</w:t>
      </w:r>
      <w:r>
        <w:rPr>
          <w:rFonts w:hint="eastAsia"/>
          <w:color w:val="auto"/>
        </w:rPr>
        <w:t>）扬尘</w:t>
      </w:r>
    </w:p>
    <w:p w14:paraId="7BA4FBD2">
      <w:pPr>
        <w:bidi w:val="0"/>
        <w:rPr>
          <w:color w:val="auto"/>
        </w:rPr>
      </w:pPr>
      <w:r>
        <w:rPr>
          <w:rFonts w:hint="eastAsia"/>
          <w:color w:val="auto"/>
        </w:rPr>
        <w:t>施工期扬尘的主要来源，施工期裸露地表在大风气象条件下形成的风蚀扬尘，建筑材料运输、卸载及土方运输车辆行驶产生的二次扬尘，临时物料堆场产生的风蚀扬尘和水泥粉尘等。评价提出以下治理措施：</w:t>
      </w:r>
    </w:p>
    <w:p w14:paraId="1AEAAF6F">
      <w:pPr>
        <w:bidi w:val="0"/>
        <w:rPr>
          <w:color w:val="auto"/>
        </w:rPr>
      </w:pPr>
      <w:r>
        <w:rPr>
          <w:rFonts w:hint="eastAsia"/>
          <w:color w:val="auto"/>
        </w:rPr>
        <w:t>①加强施工管理，在水泥、大沙等物料表面、堆土场表面进行篷布覆盖，</w:t>
      </w:r>
      <w:r>
        <w:rPr>
          <w:rFonts w:hint="eastAsia"/>
          <w:color w:val="auto"/>
          <w:lang w:eastAsia="zh-CN"/>
        </w:rPr>
        <w:t>尽可能地采用</w:t>
      </w:r>
      <w:r>
        <w:rPr>
          <w:rFonts w:hint="eastAsia"/>
          <w:color w:val="auto"/>
        </w:rPr>
        <w:t>商业混凝土，最大程度减少粉尘对周围环境空气的影响；</w:t>
      </w:r>
    </w:p>
    <w:p w14:paraId="600AB16D">
      <w:pPr>
        <w:bidi w:val="0"/>
        <w:rPr>
          <w:color w:val="auto"/>
        </w:rPr>
      </w:pPr>
      <w:r>
        <w:rPr>
          <w:rFonts w:hint="eastAsia"/>
          <w:color w:val="auto"/>
        </w:rPr>
        <w:t>②运输车辆采取密闭措施，且装载时不宜过满，以减少运输过程中由于泥土的散落造成的扬尘；</w:t>
      </w:r>
    </w:p>
    <w:p w14:paraId="477A462F">
      <w:pPr>
        <w:bidi w:val="0"/>
        <w:rPr>
          <w:color w:val="auto"/>
        </w:rPr>
      </w:pPr>
      <w:r>
        <w:rPr>
          <w:rFonts w:hint="eastAsia"/>
          <w:color w:val="auto"/>
        </w:rPr>
        <w:t>③土方填挖时易产生风蚀扬尘，故土方填挖作业时，尽量避开大风天气，做到挖方及时回填，不长期堆放，以减少挖填方扬尘影响；</w:t>
      </w:r>
    </w:p>
    <w:p w14:paraId="60B2D98D">
      <w:pPr>
        <w:bidi w:val="0"/>
        <w:rPr>
          <w:color w:val="auto"/>
        </w:rPr>
      </w:pPr>
      <w:r>
        <w:rPr>
          <w:rFonts w:hint="eastAsia"/>
          <w:color w:val="auto"/>
        </w:rPr>
        <w:t>④在气候干燥或有风的情况下，应适当向填土区、储土堆及作业面、地面</w:t>
      </w:r>
      <w:r>
        <w:rPr>
          <w:rFonts w:hint="eastAsia"/>
          <w:color w:val="auto"/>
          <w:lang w:eastAsia="zh-CN"/>
        </w:rPr>
        <w:t>洒水</w:t>
      </w:r>
      <w:r>
        <w:rPr>
          <w:rFonts w:hint="eastAsia"/>
          <w:color w:val="auto"/>
        </w:rPr>
        <w:t>，以减少风吹时产生的粉尘污染。</w:t>
      </w:r>
    </w:p>
    <w:p w14:paraId="4901096B">
      <w:pPr>
        <w:bidi w:val="0"/>
        <w:rPr>
          <w:color w:val="auto"/>
        </w:rPr>
      </w:pPr>
      <w:r>
        <w:rPr>
          <w:rFonts w:hint="eastAsia"/>
          <w:color w:val="auto"/>
        </w:rPr>
        <w:t>⑤根据《新乡市人民政府办公室关于进一步加强大气污染防治工作持续改善大气环境质量的通知》（新政办明电</w:t>
      </w:r>
      <w:r>
        <w:rPr>
          <w:rFonts w:hint="eastAsia"/>
          <w:color w:val="auto"/>
          <w:lang w:eastAsia="zh-CN"/>
        </w:rPr>
        <w:t>〔</w:t>
      </w:r>
      <w:r>
        <w:rPr>
          <w:color w:val="auto"/>
        </w:rPr>
        <w:t>2015</w:t>
      </w:r>
      <w:r>
        <w:rPr>
          <w:rFonts w:hint="eastAsia"/>
          <w:color w:val="auto"/>
          <w:lang w:eastAsia="zh-CN"/>
        </w:rPr>
        <w:t>〕</w:t>
      </w:r>
      <w:r>
        <w:rPr>
          <w:color w:val="auto"/>
        </w:rPr>
        <w:t>422</w:t>
      </w:r>
      <w:r>
        <w:rPr>
          <w:rFonts w:hint="eastAsia"/>
          <w:color w:val="auto"/>
        </w:rPr>
        <w:t>号文），建设单位应积极推进绿色工地创建，实施施工工地封闭管理，做到七个</w:t>
      </w:r>
      <w:r>
        <w:rPr>
          <w:color w:val="auto"/>
        </w:rPr>
        <w:t>100%</w:t>
      </w:r>
      <w:r>
        <w:rPr>
          <w:rFonts w:hint="eastAsia"/>
          <w:color w:val="auto"/>
        </w:rPr>
        <w:t>，即施工现场</w:t>
      </w:r>
      <w:r>
        <w:rPr>
          <w:color w:val="auto"/>
        </w:rPr>
        <w:t>100%</w:t>
      </w:r>
      <w:r>
        <w:rPr>
          <w:rFonts w:hint="eastAsia"/>
          <w:color w:val="auto"/>
        </w:rPr>
        <w:t>围挡，工地沙土</w:t>
      </w:r>
      <w:r>
        <w:rPr>
          <w:color w:val="auto"/>
        </w:rPr>
        <w:t>100%</w:t>
      </w:r>
      <w:r>
        <w:rPr>
          <w:rFonts w:hint="eastAsia"/>
          <w:color w:val="auto"/>
        </w:rPr>
        <w:t>覆盖或围挡，工地路面</w:t>
      </w:r>
      <w:r>
        <w:rPr>
          <w:color w:val="auto"/>
        </w:rPr>
        <w:t>100%</w:t>
      </w:r>
      <w:r>
        <w:rPr>
          <w:rFonts w:hint="eastAsia"/>
          <w:color w:val="auto"/>
        </w:rPr>
        <w:t>硬化，拆除工程</w:t>
      </w:r>
      <w:r>
        <w:rPr>
          <w:color w:val="auto"/>
        </w:rPr>
        <w:t>100%</w:t>
      </w:r>
      <w:r>
        <w:rPr>
          <w:rFonts w:hint="eastAsia"/>
          <w:color w:val="auto"/>
        </w:rPr>
        <w:t>洒水，出工地运输车辆</w:t>
      </w:r>
      <w:r>
        <w:rPr>
          <w:color w:val="auto"/>
        </w:rPr>
        <w:t>100%</w:t>
      </w:r>
      <w:r>
        <w:rPr>
          <w:rFonts w:hint="eastAsia"/>
          <w:color w:val="auto"/>
        </w:rPr>
        <w:t>冲净；车轮车身且密闭无洒漏，暂不开发的场地</w:t>
      </w:r>
      <w:r>
        <w:rPr>
          <w:color w:val="auto"/>
        </w:rPr>
        <w:t>100%</w:t>
      </w:r>
      <w:r>
        <w:rPr>
          <w:rFonts w:hint="eastAsia"/>
          <w:color w:val="auto"/>
        </w:rPr>
        <w:t>绿化，以及外脚手架密目式安全网</w:t>
      </w:r>
      <w:r>
        <w:rPr>
          <w:color w:val="auto"/>
        </w:rPr>
        <w:t>100%</w:t>
      </w:r>
      <w:r>
        <w:rPr>
          <w:rFonts w:hint="eastAsia"/>
          <w:color w:val="auto"/>
        </w:rPr>
        <w:t>安装。</w:t>
      </w:r>
    </w:p>
    <w:p w14:paraId="23B20853">
      <w:pPr>
        <w:bidi w:val="0"/>
        <w:rPr>
          <w:color w:val="auto"/>
        </w:rPr>
      </w:pPr>
      <w:r>
        <w:rPr>
          <w:rFonts w:hint="eastAsia"/>
          <w:color w:val="auto"/>
        </w:rPr>
        <w:t>⑥实施扬尘污染防治守信联合激励、失信联合惩戒，将扬尘管理不到位的不良信息纳入建筑市场信用管理体系，情节严重的，列入建筑市场主体</w:t>
      </w:r>
      <w:r>
        <w:rPr>
          <w:color w:val="auto"/>
        </w:rPr>
        <w:t>“</w:t>
      </w:r>
      <w:r>
        <w:rPr>
          <w:rFonts w:hint="eastAsia"/>
          <w:color w:val="auto"/>
        </w:rPr>
        <w:t>黑名单</w:t>
      </w:r>
      <w:r>
        <w:rPr>
          <w:color w:val="auto"/>
        </w:rPr>
        <w:t>”</w:t>
      </w:r>
      <w:r>
        <w:rPr>
          <w:rFonts w:hint="eastAsia"/>
          <w:color w:val="auto"/>
        </w:rPr>
        <w:t>。严格渣土运输车辆规范化管理，实行建筑垃圾从产生、清运到消纳处置的全过程监管。严格落实城市建成区内</w:t>
      </w:r>
      <w:r>
        <w:rPr>
          <w:color w:val="auto"/>
        </w:rPr>
        <w:t>“</w:t>
      </w:r>
      <w:r>
        <w:rPr>
          <w:rFonts w:hint="eastAsia"/>
          <w:color w:val="auto"/>
        </w:rPr>
        <w:t>两个禁止</w:t>
      </w:r>
      <w:r>
        <w:rPr>
          <w:color w:val="auto"/>
        </w:rPr>
        <w:t>”</w:t>
      </w:r>
      <w:r>
        <w:rPr>
          <w:rFonts w:hint="eastAsia"/>
          <w:color w:val="auto"/>
        </w:rPr>
        <w:t>（禁止现场搅拌混凝土和禁止现场配置砂浆）要求，加快</w:t>
      </w:r>
      <w:r>
        <w:rPr>
          <w:color w:val="auto"/>
        </w:rPr>
        <w:t>“</w:t>
      </w:r>
      <w:r>
        <w:rPr>
          <w:rFonts w:hint="eastAsia"/>
          <w:color w:val="auto"/>
        </w:rPr>
        <w:t>两个禁止</w:t>
      </w:r>
      <w:r>
        <w:rPr>
          <w:color w:val="auto"/>
        </w:rPr>
        <w:t>”</w:t>
      </w:r>
      <w:r>
        <w:rPr>
          <w:rFonts w:hint="eastAsia"/>
          <w:color w:val="auto"/>
        </w:rPr>
        <w:t>综合信息监管平台建设，实施动态监管。施工现场出入口应标有企业名称或企业标识，主要出入口明显处应设置工程概况牌，大门内应有施工现场总平面图和安全生产、消防保卫、环境保护、文明施工等制度牌。四级以上大风天气或市政府发布空气质量预警时，严禁进行土方开挖、回填等可能产生扬尘的施工，同时覆网防尘。施工现场的材料和大模板等存放场地必须平整坚实。水泥和其他易飞扬的细颗粒建筑材料应密闭存放或采取覆盖等措施。建筑垃圾清运全部实现自动化密闭运输，统一安装卫星定位装置，并与主管部门联网。</w:t>
      </w:r>
    </w:p>
    <w:p w14:paraId="5F205963">
      <w:pPr>
        <w:bidi w:val="0"/>
        <w:rPr>
          <w:color w:val="auto"/>
        </w:rPr>
      </w:pPr>
      <w:r>
        <w:rPr>
          <w:rFonts w:hint="eastAsia"/>
          <w:color w:val="auto"/>
        </w:rPr>
        <w:t>（</w:t>
      </w:r>
      <w:r>
        <w:rPr>
          <w:color w:val="auto"/>
        </w:rPr>
        <w:t>2</w:t>
      </w:r>
      <w:r>
        <w:rPr>
          <w:rFonts w:hint="eastAsia"/>
          <w:color w:val="auto"/>
        </w:rPr>
        <w:t>）车辆尾气</w:t>
      </w:r>
    </w:p>
    <w:p w14:paraId="24E49E12">
      <w:pPr>
        <w:bidi w:val="0"/>
        <w:rPr>
          <w:color w:val="auto"/>
        </w:rPr>
      </w:pPr>
      <w:r>
        <w:rPr>
          <w:rFonts w:hint="eastAsia"/>
          <w:color w:val="auto"/>
        </w:rPr>
        <w:t>施工阶段，频繁使用机动车辆运输建筑原材料、施工设备及器材、建筑垃圾等排出的机动车尾气，主要污染物是</w:t>
      </w:r>
      <w:r>
        <w:rPr>
          <w:color w:val="auto"/>
        </w:rPr>
        <w:t>NOx</w:t>
      </w:r>
      <w:r>
        <w:rPr>
          <w:rFonts w:hint="eastAsia"/>
          <w:color w:val="auto"/>
        </w:rPr>
        <w:t>、</w:t>
      </w:r>
      <w:r>
        <w:rPr>
          <w:color w:val="auto"/>
        </w:rPr>
        <w:t>CO</w:t>
      </w:r>
      <w:r>
        <w:rPr>
          <w:rFonts w:hint="eastAsia"/>
          <w:color w:val="auto"/>
        </w:rPr>
        <w:t>、</w:t>
      </w:r>
      <w:r>
        <w:rPr>
          <w:color w:val="auto"/>
        </w:rPr>
        <w:t>THC</w:t>
      </w:r>
      <w:r>
        <w:rPr>
          <w:rFonts w:hint="eastAsia"/>
          <w:color w:val="auto"/>
        </w:rPr>
        <w:t>等。由于机动车尾气的排放量较小，且燃油机械和运输车辆均在室外进行作业，其排放的机动车尾气能够迅速扩散，对周围大气环境影响较小。</w:t>
      </w:r>
    </w:p>
    <w:p w14:paraId="365FBF82">
      <w:pPr>
        <w:bidi w:val="0"/>
        <w:rPr>
          <w:color w:val="auto"/>
        </w:rPr>
      </w:pPr>
      <w:r>
        <w:rPr>
          <w:rFonts w:hint="eastAsia"/>
          <w:color w:val="auto"/>
        </w:rPr>
        <w:t>总之，只要加强管理，切实落实好上述这些措施，施工扬尘对环境的影响将会大大降低，不会对区域大气环境产生明显的影响，其对周围环境的影响会随着施工期的结束而结束。</w:t>
      </w:r>
    </w:p>
    <w:p w14:paraId="6E59A740">
      <w:pPr>
        <w:bidi w:val="0"/>
        <w:rPr>
          <w:color w:val="auto"/>
        </w:rPr>
      </w:pPr>
      <w:r>
        <w:rPr>
          <w:rFonts w:hint="eastAsia"/>
          <w:color w:val="auto"/>
        </w:rPr>
        <w:t>二、废水</w:t>
      </w:r>
    </w:p>
    <w:p w14:paraId="0589E082">
      <w:pPr>
        <w:bidi w:val="0"/>
        <w:rPr>
          <w:color w:val="auto"/>
        </w:rPr>
      </w:pPr>
      <w:r>
        <w:rPr>
          <w:rFonts w:hint="eastAsia"/>
          <w:color w:val="auto"/>
        </w:rPr>
        <w:t>施工过程中产生的废水主要为施工人员排放的生活污水和施工作业产生的废水。</w:t>
      </w:r>
    </w:p>
    <w:p w14:paraId="6936A8B5">
      <w:pPr>
        <w:bidi w:val="0"/>
        <w:rPr>
          <w:color w:val="auto"/>
        </w:rPr>
      </w:pPr>
      <w:r>
        <w:rPr>
          <w:rFonts w:hint="eastAsia"/>
          <w:color w:val="auto"/>
        </w:rPr>
        <w:t>（</w:t>
      </w:r>
      <w:r>
        <w:rPr>
          <w:color w:val="auto"/>
        </w:rPr>
        <w:t>1</w:t>
      </w:r>
      <w:r>
        <w:rPr>
          <w:rFonts w:hint="eastAsia"/>
          <w:color w:val="auto"/>
        </w:rPr>
        <w:t>）项目施工人员排放的生活污水，主要污染物为</w:t>
      </w:r>
      <w:r>
        <w:rPr>
          <w:color w:val="auto"/>
        </w:rPr>
        <w:t>COD</w:t>
      </w:r>
      <w:r>
        <w:rPr>
          <w:rFonts w:hint="eastAsia"/>
          <w:color w:val="auto"/>
        </w:rPr>
        <w:t>、</w:t>
      </w:r>
      <w:r>
        <w:rPr>
          <w:color w:val="auto"/>
        </w:rPr>
        <w:t>SS</w:t>
      </w:r>
      <w:r>
        <w:rPr>
          <w:rFonts w:hint="eastAsia"/>
          <w:color w:val="auto"/>
        </w:rPr>
        <w:t>和</w:t>
      </w:r>
      <w:r>
        <w:rPr>
          <w:color w:val="auto"/>
        </w:rPr>
        <w:t>NH</w:t>
      </w:r>
      <w:r>
        <w:rPr>
          <w:color w:val="auto"/>
          <w:vertAlign w:val="subscript"/>
        </w:rPr>
        <w:t>3</w:t>
      </w:r>
      <w:r>
        <w:rPr>
          <w:color w:val="auto"/>
        </w:rPr>
        <w:t>-N</w:t>
      </w:r>
      <w:r>
        <w:rPr>
          <w:rFonts w:hint="eastAsia"/>
          <w:color w:val="auto"/>
        </w:rPr>
        <w:t>。施工工地无食堂和板房宿舍。施工高峰期</w:t>
      </w:r>
      <w:r>
        <w:rPr>
          <w:rFonts w:hint="eastAsia"/>
          <w:color w:val="auto"/>
          <w:lang w:val="en-US" w:eastAsia="zh-CN"/>
        </w:rPr>
        <w:t>1</w:t>
      </w:r>
      <w:r>
        <w:rPr>
          <w:color w:val="auto"/>
        </w:rPr>
        <w:t>0</w:t>
      </w:r>
      <w:r>
        <w:rPr>
          <w:rFonts w:hint="eastAsia"/>
          <w:color w:val="auto"/>
        </w:rPr>
        <w:t>人同时在施工作业，施工人员用水量按</w:t>
      </w:r>
      <w:r>
        <w:rPr>
          <w:color w:val="auto"/>
        </w:rPr>
        <w:t>40L/</w:t>
      </w:r>
      <w:r>
        <w:rPr>
          <w:rFonts w:hint="eastAsia"/>
          <w:color w:val="auto"/>
        </w:rPr>
        <w:t>（人•日）计，经估算，生活废水排放量约为</w:t>
      </w:r>
      <w:r>
        <w:rPr>
          <w:rFonts w:hint="eastAsia"/>
          <w:color w:val="auto"/>
          <w:lang w:val="en-US" w:eastAsia="zh-CN"/>
        </w:rPr>
        <w:t>0.4</w:t>
      </w:r>
      <w:r>
        <w:rPr>
          <w:color w:val="auto"/>
        </w:rPr>
        <w:t>m</w:t>
      </w:r>
      <w:r>
        <w:rPr>
          <w:color w:val="auto"/>
          <w:vertAlign w:val="superscript"/>
        </w:rPr>
        <w:t>3</w:t>
      </w:r>
      <w:r>
        <w:rPr>
          <w:color w:val="auto"/>
        </w:rPr>
        <w:t>/d</w:t>
      </w:r>
      <w:r>
        <w:rPr>
          <w:rFonts w:hint="eastAsia"/>
          <w:color w:val="auto"/>
        </w:rPr>
        <w:t>，类比确定污水产生浓度为</w:t>
      </w:r>
      <w:r>
        <w:rPr>
          <w:color w:val="auto"/>
        </w:rPr>
        <w:t>COD 300mg/L</w:t>
      </w:r>
      <w:r>
        <w:rPr>
          <w:rFonts w:hint="eastAsia"/>
          <w:color w:val="auto"/>
        </w:rPr>
        <w:t>、</w:t>
      </w:r>
      <w:r>
        <w:rPr>
          <w:color w:val="auto"/>
        </w:rPr>
        <w:t>SS 200mg/L</w:t>
      </w:r>
      <w:r>
        <w:rPr>
          <w:rFonts w:hint="eastAsia"/>
          <w:color w:val="auto"/>
        </w:rPr>
        <w:t>、</w:t>
      </w:r>
      <w:r>
        <w:rPr>
          <w:color w:val="auto"/>
        </w:rPr>
        <w:t>NH</w:t>
      </w:r>
      <w:r>
        <w:rPr>
          <w:color w:val="auto"/>
          <w:vertAlign w:val="subscript"/>
        </w:rPr>
        <w:t>3</w:t>
      </w:r>
      <w:r>
        <w:rPr>
          <w:color w:val="auto"/>
        </w:rPr>
        <w:t>-N 30mg/L</w:t>
      </w:r>
      <w:r>
        <w:rPr>
          <w:rFonts w:hint="eastAsia"/>
          <w:color w:val="auto"/>
        </w:rPr>
        <w:t>，评价提出施工单位生活污水进入厂区现有污水处理站处理，处理后排入小店污水处理厂。</w:t>
      </w:r>
    </w:p>
    <w:p w14:paraId="3E9F7E8A">
      <w:pPr>
        <w:bidi w:val="0"/>
        <w:rPr>
          <w:color w:val="auto"/>
        </w:rPr>
      </w:pPr>
      <w:r>
        <w:rPr>
          <w:rFonts w:hint="eastAsia"/>
          <w:color w:val="auto"/>
        </w:rPr>
        <w:t>（</w:t>
      </w:r>
      <w:r>
        <w:rPr>
          <w:color w:val="auto"/>
        </w:rPr>
        <w:t>2</w:t>
      </w:r>
      <w:r>
        <w:rPr>
          <w:rFonts w:hint="eastAsia"/>
          <w:color w:val="auto"/>
        </w:rPr>
        <w:t>）施工作业废水包括砖块喷淋、混凝土和路面抑尘喷洒、混凝土制造用水等。这部分废水主要污染成分是泥沙等颗粒物，不含有害物质和有机物。因此施工废水经过简易的沉淀后回用于施工场地抑尘用水，施工废水不外排。</w:t>
      </w:r>
    </w:p>
    <w:p w14:paraId="36E59DB4">
      <w:pPr>
        <w:bidi w:val="0"/>
        <w:rPr>
          <w:color w:val="auto"/>
        </w:rPr>
      </w:pPr>
      <w:r>
        <w:rPr>
          <w:rFonts w:hint="eastAsia"/>
          <w:color w:val="auto"/>
        </w:rPr>
        <w:t>三、噪声</w:t>
      </w:r>
    </w:p>
    <w:p w14:paraId="43B62BEC">
      <w:pPr>
        <w:bidi w:val="0"/>
        <w:rPr>
          <w:color w:val="auto"/>
        </w:rPr>
      </w:pPr>
      <w:r>
        <w:rPr>
          <w:rFonts w:hint="eastAsia"/>
          <w:color w:val="auto"/>
        </w:rPr>
        <w:t>为了便于分析和减弱噪声对周边环境的影响程度，依据项目施工特点，从噪声产生原理及距离衰减的角度出发，本次评价将施工期分为：土石方阶段、打桩阶段、底板与结构阶段、装修和安装阶段。不同阶段采用的施工设备不同，噪声源强值不同，噪声的排放性质也不同。土石方阶段的主要噪声源是：挖掘机、推土机、装载机以及各种运输车辆，这类施工机械绝大部分是移动性声源。打桩阶段主要噪声源为打桩机；底板与结构阶段、装修及安装阶段，主要噪声源为混凝土搅拌机、振捣机、切割机、电锯、升降机等，该阶段噪声具有声压高、持续时间较长的特点，其中切割机、电锯等产生的噪声还具有音频较高的特点。项目主要的交通运输车辆噪声源强见</w:t>
      </w:r>
      <w:r>
        <w:rPr>
          <w:rFonts w:hint="eastAsia"/>
          <w:color w:val="auto"/>
          <w:lang w:val="en-US" w:eastAsia="zh-CN"/>
        </w:rPr>
        <w:t>下表</w:t>
      </w:r>
      <w:r>
        <w:rPr>
          <w:rFonts w:hint="eastAsia"/>
          <w:color w:val="auto"/>
        </w:rPr>
        <w:t>，主要施工机械噪声源强见</w:t>
      </w:r>
      <w:r>
        <w:rPr>
          <w:rFonts w:hint="eastAsia"/>
          <w:color w:val="auto"/>
          <w:lang w:val="en-US" w:eastAsia="zh-CN"/>
        </w:rPr>
        <w:t>下表</w:t>
      </w:r>
      <w:r>
        <w:rPr>
          <w:rFonts w:hint="eastAsia"/>
          <w:color w:val="auto"/>
        </w:rPr>
        <w:t>。</w:t>
      </w:r>
    </w:p>
    <w:p w14:paraId="282D2A27">
      <w:pPr>
        <w:pStyle w:val="10"/>
        <w:bidi w:val="0"/>
      </w:pPr>
      <w:r>
        <w:t xml:space="preserve">表 </w:t>
      </w:r>
      <w:r>
        <w:fldChar w:fldCharType="begin"/>
      </w:r>
      <w:r>
        <w:instrText xml:space="preserve"> STYLEREF 2 \s </w:instrText>
      </w:r>
      <w:r>
        <w:fldChar w:fldCharType="separate"/>
      </w:r>
      <w:r>
        <w:t>4.5</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w:t>
      </w:r>
      <w:r>
        <w:rPr>
          <w:rFonts w:hint="eastAsia"/>
        </w:rPr>
        <w:t>施工期主要运输车辆噪声源强表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0"/>
        <w:gridCol w:w="2840"/>
      </w:tblGrid>
      <w:tr w14:paraId="4EAD0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14:paraId="703B1337">
            <w:pPr>
              <w:pStyle w:val="182"/>
              <w:bidi w:val="0"/>
              <w:rPr>
                <w:color w:val="auto"/>
              </w:rPr>
            </w:pPr>
            <w:r>
              <w:rPr>
                <w:rFonts w:hint="eastAsia"/>
                <w:color w:val="auto"/>
              </w:rPr>
              <w:t>施工阶段</w:t>
            </w:r>
          </w:p>
        </w:tc>
        <w:tc>
          <w:tcPr>
            <w:tcW w:w="1666" w:type="pct"/>
            <w:vAlign w:val="center"/>
          </w:tcPr>
          <w:p w14:paraId="1986D2B2">
            <w:pPr>
              <w:pStyle w:val="182"/>
              <w:bidi w:val="0"/>
              <w:rPr>
                <w:color w:val="auto"/>
              </w:rPr>
            </w:pPr>
            <w:r>
              <w:rPr>
                <w:rFonts w:hint="eastAsia"/>
                <w:color w:val="auto"/>
              </w:rPr>
              <w:t>车辆类型</w:t>
            </w:r>
          </w:p>
        </w:tc>
        <w:tc>
          <w:tcPr>
            <w:tcW w:w="1666" w:type="pct"/>
            <w:vAlign w:val="center"/>
          </w:tcPr>
          <w:p w14:paraId="4200F337">
            <w:pPr>
              <w:pStyle w:val="182"/>
              <w:bidi w:val="0"/>
              <w:rPr>
                <w:color w:val="auto"/>
              </w:rPr>
            </w:pPr>
            <w:r>
              <w:rPr>
                <w:rFonts w:hint="eastAsia"/>
                <w:color w:val="auto"/>
              </w:rPr>
              <w:t>声级</w:t>
            </w:r>
            <w:r>
              <w:rPr>
                <w:color w:val="auto"/>
              </w:rPr>
              <w:t>dB(A)</w:t>
            </w:r>
          </w:p>
        </w:tc>
      </w:tr>
      <w:tr w14:paraId="1CC66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14:paraId="73FD0D70">
            <w:pPr>
              <w:pStyle w:val="182"/>
              <w:bidi w:val="0"/>
              <w:rPr>
                <w:color w:val="auto"/>
              </w:rPr>
            </w:pPr>
            <w:r>
              <w:rPr>
                <w:rFonts w:hint="eastAsia"/>
                <w:color w:val="auto"/>
              </w:rPr>
              <w:t>土方阶段</w:t>
            </w:r>
          </w:p>
        </w:tc>
        <w:tc>
          <w:tcPr>
            <w:tcW w:w="1666" w:type="pct"/>
            <w:vAlign w:val="center"/>
          </w:tcPr>
          <w:p w14:paraId="66A6DDA5">
            <w:pPr>
              <w:pStyle w:val="182"/>
              <w:bidi w:val="0"/>
              <w:rPr>
                <w:color w:val="auto"/>
              </w:rPr>
            </w:pPr>
            <w:r>
              <w:rPr>
                <w:rFonts w:hint="eastAsia"/>
                <w:color w:val="auto"/>
              </w:rPr>
              <w:t>大型载重车</w:t>
            </w:r>
          </w:p>
        </w:tc>
        <w:tc>
          <w:tcPr>
            <w:tcW w:w="1666" w:type="pct"/>
            <w:vAlign w:val="center"/>
          </w:tcPr>
          <w:p w14:paraId="3EEB5214">
            <w:pPr>
              <w:pStyle w:val="182"/>
              <w:bidi w:val="0"/>
              <w:rPr>
                <w:color w:val="auto"/>
              </w:rPr>
            </w:pPr>
            <w:r>
              <w:rPr>
                <w:color w:val="auto"/>
              </w:rPr>
              <w:t>90</w:t>
            </w:r>
          </w:p>
        </w:tc>
      </w:tr>
      <w:tr w14:paraId="5FD09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14:paraId="5353FC6A">
            <w:pPr>
              <w:pStyle w:val="182"/>
              <w:bidi w:val="0"/>
              <w:rPr>
                <w:color w:val="auto"/>
              </w:rPr>
            </w:pPr>
            <w:r>
              <w:rPr>
                <w:rFonts w:hint="eastAsia"/>
                <w:color w:val="auto"/>
              </w:rPr>
              <w:t>底板及结构阶段</w:t>
            </w:r>
          </w:p>
        </w:tc>
        <w:tc>
          <w:tcPr>
            <w:tcW w:w="1666" w:type="pct"/>
            <w:vAlign w:val="center"/>
          </w:tcPr>
          <w:p w14:paraId="5D5F8786">
            <w:pPr>
              <w:pStyle w:val="182"/>
              <w:bidi w:val="0"/>
              <w:rPr>
                <w:color w:val="auto"/>
              </w:rPr>
            </w:pPr>
            <w:r>
              <w:rPr>
                <w:rFonts w:hint="eastAsia"/>
                <w:color w:val="auto"/>
              </w:rPr>
              <w:t>混凝土罐车、载重车</w:t>
            </w:r>
          </w:p>
        </w:tc>
        <w:tc>
          <w:tcPr>
            <w:tcW w:w="1666" w:type="pct"/>
            <w:vAlign w:val="center"/>
          </w:tcPr>
          <w:p w14:paraId="121A938B">
            <w:pPr>
              <w:pStyle w:val="182"/>
              <w:bidi w:val="0"/>
              <w:rPr>
                <w:color w:val="auto"/>
              </w:rPr>
            </w:pPr>
            <w:r>
              <w:rPr>
                <w:color w:val="auto"/>
              </w:rPr>
              <w:t>80</w:t>
            </w:r>
            <w:r>
              <w:rPr>
                <w:rFonts w:hint="eastAsia"/>
                <w:color w:val="auto"/>
              </w:rPr>
              <w:t>～</w:t>
            </w:r>
            <w:r>
              <w:rPr>
                <w:color w:val="auto"/>
              </w:rPr>
              <w:t>85</w:t>
            </w:r>
          </w:p>
        </w:tc>
      </w:tr>
      <w:tr w14:paraId="4C3FC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14:paraId="02E0BBF0">
            <w:pPr>
              <w:pStyle w:val="182"/>
              <w:bidi w:val="0"/>
              <w:rPr>
                <w:color w:val="auto"/>
              </w:rPr>
            </w:pPr>
            <w:r>
              <w:rPr>
                <w:rFonts w:hint="eastAsia"/>
                <w:color w:val="auto"/>
              </w:rPr>
              <w:t>装修阶段</w:t>
            </w:r>
          </w:p>
        </w:tc>
        <w:tc>
          <w:tcPr>
            <w:tcW w:w="1666" w:type="pct"/>
            <w:vAlign w:val="center"/>
          </w:tcPr>
          <w:p w14:paraId="69E258F4">
            <w:pPr>
              <w:pStyle w:val="182"/>
              <w:bidi w:val="0"/>
              <w:rPr>
                <w:color w:val="auto"/>
              </w:rPr>
            </w:pPr>
            <w:r>
              <w:rPr>
                <w:rFonts w:hint="eastAsia"/>
                <w:color w:val="auto"/>
              </w:rPr>
              <w:t>轻型载重卡车</w:t>
            </w:r>
          </w:p>
        </w:tc>
        <w:tc>
          <w:tcPr>
            <w:tcW w:w="1666" w:type="pct"/>
            <w:vAlign w:val="center"/>
          </w:tcPr>
          <w:p w14:paraId="6F2AE6A6">
            <w:pPr>
              <w:pStyle w:val="182"/>
              <w:bidi w:val="0"/>
              <w:rPr>
                <w:color w:val="auto"/>
              </w:rPr>
            </w:pPr>
            <w:r>
              <w:rPr>
                <w:color w:val="auto"/>
              </w:rPr>
              <w:t>75</w:t>
            </w:r>
          </w:p>
        </w:tc>
      </w:tr>
    </w:tbl>
    <w:p w14:paraId="664A10CD">
      <w:pPr>
        <w:pStyle w:val="10"/>
        <w:bidi w:val="0"/>
        <w:rPr>
          <w:color w:val="auto"/>
        </w:rPr>
      </w:pPr>
      <w:r>
        <w:t xml:space="preserve">表 </w:t>
      </w:r>
      <w:r>
        <w:fldChar w:fldCharType="begin"/>
      </w:r>
      <w:r>
        <w:instrText xml:space="preserve"> STYLEREF 2 \s </w:instrText>
      </w:r>
      <w:r>
        <w:fldChar w:fldCharType="separate"/>
      </w:r>
      <w:r>
        <w:t>4.5</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rPr>
          <w:rFonts w:hint="eastAsia"/>
          <w:lang w:val="en-US" w:eastAsia="zh-CN"/>
        </w:rPr>
        <w:t xml:space="preserve"> </w:t>
      </w:r>
      <w:r>
        <w:rPr>
          <w:rFonts w:hint="eastAsia"/>
        </w:rPr>
        <w:t>施工期主要施工机械噪声源强表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0"/>
        <w:gridCol w:w="2840"/>
      </w:tblGrid>
      <w:tr w14:paraId="0A276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14:paraId="65A39A2A">
            <w:pPr>
              <w:pStyle w:val="182"/>
              <w:bidi w:val="0"/>
              <w:rPr>
                <w:b/>
                <w:bCs/>
                <w:color w:val="auto"/>
              </w:rPr>
            </w:pPr>
            <w:r>
              <w:rPr>
                <w:rFonts w:hint="eastAsia"/>
                <w:b/>
                <w:bCs/>
                <w:color w:val="auto"/>
              </w:rPr>
              <w:t>施工阶段</w:t>
            </w:r>
          </w:p>
        </w:tc>
        <w:tc>
          <w:tcPr>
            <w:tcW w:w="1666" w:type="pct"/>
            <w:vAlign w:val="center"/>
          </w:tcPr>
          <w:p w14:paraId="3F78C6AC">
            <w:pPr>
              <w:pStyle w:val="182"/>
              <w:bidi w:val="0"/>
              <w:rPr>
                <w:b/>
                <w:bCs/>
                <w:color w:val="auto"/>
              </w:rPr>
            </w:pPr>
            <w:r>
              <w:rPr>
                <w:rFonts w:hint="eastAsia"/>
                <w:b/>
                <w:bCs/>
                <w:color w:val="auto"/>
              </w:rPr>
              <w:t>车辆类型</w:t>
            </w:r>
          </w:p>
        </w:tc>
        <w:tc>
          <w:tcPr>
            <w:tcW w:w="1666" w:type="pct"/>
            <w:vAlign w:val="center"/>
          </w:tcPr>
          <w:p w14:paraId="7B778E7F">
            <w:pPr>
              <w:pStyle w:val="182"/>
              <w:bidi w:val="0"/>
              <w:rPr>
                <w:b/>
                <w:bCs/>
                <w:color w:val="auto"/>
              </w:rPr>
            </w:pPr>
            <w:r>
              <w:rPr>
                <w:rFonts w:hint="eastAsia"/>
                <w:b/>
                <w:bCs/>
                <w:color w:val="auto"/>
              </w:rPr>
              <w:t>声级</w:t>
            </w:r>
            <w:r>
              <w:rPr>
                <w:b/>
                <w:bCs/>
                <w:color w:val="auto"/>
              </w:rPr>
              <w:t>dB(A)</w:t>
            </w:r>
          </w:p>
        </w:tc>
      </w:tr>
      <w:tr w14:paraId="65405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restart"/>
            <w:vAlign w:val="center"/>
          </w:tcPr>
          <w:p w14:paraId="24AEC97B">
            <w:pPr>
              <w:pStyle w:val="182"/>
              <w:bidi w:val="0"/>
              <w:rPr>
                <w:color w:val="auto"/>
              </w:rPr>
            </w:pPr>
            <w:r>
              <w:rPr>
                <w:rFonts w:hint="eastAsia"/>
                <w:color w:val="auto"/>
              </w:rPr>
              <w:t>土石方阶段</w:t>
            </w:r>
          </w:p>
        </w:tc>
        <w:tc>
          <w:tcPr>
            <w:tcW w:w="1666" w:type="pct"/>
            <w:vAlign w:val="center"/>
          </w:tcPr>
          <w:p w14:paraId="031215F8">
            <w:pPr>
              <w:pStyle w:val="182"/>
              <w:bidi w:val="0"/>
              <w:rPr>
                <w:color w:val="auto"/>
              </w:rPr>
            </w:pPr>
            <w:r>
              <w:rPr>
                <w:rFonts w:hint="eastAsia"/>
                <w:color w:val="auto"/>
              </w:rPr>
              <w:t>挖掘机</w:t>
            </w:r>
          </w:p>
        </w:tc>
        <w:tc>
          <w:tcPr>
            <w:tcW w:w="1666" w:type="pct"/>
            <w:vAlign w:val="center"/>
          </w:tcPr>
          <w:p w14:paraId="52B1DE97">
            <w:pPr>
              <w:pStyle w:val="182"/>
              <w:bidi w:val="0"/>
              <w:rPr>
                <w:color w:val="auto"/>
              </w:rPr>
            </w:pPr>
            <w:r>
              <w:rPr>
                <w:color w:val="auto"/>
              </w:rPr>
              <w:t>78</w:t>
            </w:r>
            <w:r>
              <w:rPr>
                <w:rFonts w:hint="eastAsia"/>
                <w:color w:val="auto"/>
              </w:rPr>
              <w:t>～</w:t>
            </w:r>
            <w:r>
              <w:rPr>
                <w:color w:val="auto"/>
              </w:rPr>
              <w:t>96</w:t>
            </w:r>
          </w:p>
        </w:tc>
      </w:tr>
      <w:tr w14:paraId="07AD6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14:paraId="440E2564">
            <w:pPr>
              <w:pStyle w:val="182"/>
              <w:bidi w:val="0"/>
              <w:rPr>
                <w:color w:val="auto"/>
              </w:rPr>
            </w:pPr>
          </w:p>
        </w:tc>
        <w:tc>
          <w:tcPr>
            <w:tcW w:w="1666" w:type="pct"/>
            <w:vAlign w:val="center"/>
          </w:tcPr>
          <w:p w14:paraId="0C04FB52">
            <w:pPr>
              <w:pStyle w:val="182"/>
              <w:bidi w:val="0"/>
              <w:rPr>
                <w:color w:val="auto"/>
              </w:rPr>
            </w:pPr>
            <w:r>
              <w:rPr>
                <w:rFonts w:hint="eastAsia"/>
                <w:color w:val="auto"/>
              </w:rPr>
              <w:t>推土机</w:t>
            </w:r>
          </w:p>
        </w:tc>
        <w:tc>
          <w:tcPr>
            <w:tcW w:w="1666" w:type="pct"/>
            <w:vAlign w:val="center"/>
          </w:tcPr>
          <w:p w14:paraId="03258FA5">
            <w:pPr>
              <w:pStyle w:val="182"/>
              <w:bidi w:val="0"/>
              <w:rPr>
                <w:color w:val="auto"/>
              </w:rPr>
            </w:pPr>
            <w:r>
              <w:rPr>
                <w:color w:val="auto"/>
              </w:rPr>
              <w:t>80</w:t>
            </w:r>
            <w:r>
              <w:rPr>
                <w:rFonts w:hint="eastAsia"/>
                <w:color w:val="auto"/>
              </w:rPr>
              <w:t>～</w:t>
            </w:r>
            <w:r>
              <w:rPr>
                <w:color w:val="auto"/>
              </w:rPr>
              <w:t>95</w:t>
            </w:r>
          </w:p>
        </w:tc>
      </w:tr>
      <w:tr w14:paraId="731DA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14:paraId="215F622A">
            <w:pPr>
              <w:pStyle w:val="182"/>
              <w:bidi w:val="0"/>
              <w:rPr>
                <w:color w:val="auto"/>
              </w:rPr>
            </w:pPr>
          </w:p>
        </w:tc>
        <w:tc>
          <w:tcPr>
            <w:tcW w:w="1666" w:type="pct"/>
            <w:vAlign w:val="center"/>
          </w:tcPr>
          <w:p w14:paraId="10BEEC46">
            <w:pPr>
              <w:pStyle w:val="182"/>
              <w:bidi w:val="0"/>
              <w:rPr>
                <w:color w:val="auto"/>
              </w:rPr>
            </w:pPr>
            <w:r>
              <w:rPr>
                <w:rFonts w:hint="eastAsia"/>
                <w:color w:val="auto"/>
              </w:rPr>
              <w:t>装载机</w:t>
            </w:r>
          </w:p>
        </w:tc>
        <w:tc>
          <w:tcPr>
            <w:tcW w:w="1666" w:type="pct"/>
            <w:vAlign w:val="center"/>
          </w:tcPr>
          <w:p w14:paraId="62EF3DFA">
            <w:pPr>
              <w:pStyle w:val="182"/>
              <w:bidi w:val="0"/>
              <w:rPr>
                <w:color w:val="auto"/>
              </w:rPr>
            </w:pPr>
            <w:r>
              <w:rPr>
                <w:color w:val="auto"/>
              </w:rPr>
              <w:t>85</w:t>
            </w:r>
            <w:r>
              <w:rPr>
                <w:rFonts w:hint="eastAsia"/>
                <w:color w:val="auto"/>
              </w:rPr>
              <w:t>～</w:t>
            </w:r>
            <w:r>
              <w:rPr>
                <w:color w:val="auto"/>
              </w:rPr>
              <w:t>95</w:t>
            </w:r>
          </w:p>
        </w:tc>
      </w:tr>
      <w:tr w14:paraId="4EF1D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14:paraId="6BC5A3AB">
            <w:pPr>
              <w:pStyle w:val="182"/>
              <w:bidi w:val="0"/>
              <w:rPr>
                <w:color w:val="auto"/>
              </w:rPr>
            </w:pPr>
          </w:p>
        </w:tc>
        <w:tc>
          <w:tcPr>
            <w:tcW w:w="1666" w:type="pct"/>
            <w:vAlign w:val="center"/>
          </w:tcPr>
          <w:p w14:paraId="499BC29A">
            <w:pPr>
              <w:pStyle w:val="182"/>
              <w:bidi w:val="0"/>
              <w:rPr>
                <w:color w:val="auto"/>
              </w:rPr>
            </w:pPr>
            <w:r>
              <w:rPr>
                <w:rFonts w:hint="eastAsia"/>
                <w:color w:val="auto"/>
              </w:rPr>
              <w:t>大型载重车</w:t>
            </w:r>
          </w:p>
        </w:tc>
        <w:tc>
          <w:tcPr>
            <w:tcW w:w="1666" w:type="pct"/>
            <w:vAlign w:val="center"/>
          </w:tcPr>
          <w:p w14:paraId="50428B4D">
            <w:pPr>
              <w:pStyle w:val="182"/>
              <w:bidi w:val="0"/>
              <w:rPr>
                <w:color w:val="auto"/>
              </w:rPr>
            </w:pPr>
            <w:r>
              <w:rPr>
                <w:color w:val="auto"/>
              </w:rPr>
              <w:t>90</w:t>
            </w:r>
          </w:p>
        </w:tc>
      </w:tr>
      <w:tr w14:paraId="31923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Align w:val="center"/>
          </w:tcPr>
          <w:p w14:paraId="7B9A3F69">
            <w:pPr>
              <w:pStyle w:val="182"/>
              <w:bidi w:val="0"/>
              <w:rPr>
                <w:color w:val="auto"/>
              </w:rPr>
            </w:pPr>
            <w:r>
              <w:rPr>
                <w:rFonts w:hint="eastAsia"/>
                <w:color w:val="auto"/>
              </w:rPr>
              <w:t>打桩阶段</w:t>
            </w:r>
          </w:p>
        </w:tc>
        <w:tc>
          <w:tcPr>
            <w:tcW w:w="1666" w:type="pct"/>
            <w:vAlign w:val="center"/>
          </w:tcPr>
          <w:p w14:paraId="186D7475">
            <w:pPr>
              <w:pStyle w:val="182"/>
              <w:bidi w:val="0"/>
              <w:rPr>
                <w:color w:val="auto"/>
              </w:rPr>
            </w:pPr>
            <w:r>
              <w:rPr>
                <w:rFonts w:hint="eastAsia"/>
                <w:color w:val="auto"/>
              </w:rPr>
              <w:t>打桩机</w:t>
            </w:r>
          </w:p>
        </w:tc>
        <w:tc>
          <w:tcPr>
            <w:tcW w:w="1666" w:type="pct"/>
            <w:vAlign w:val="center"/>
          </w:tcPr>
          <w:p w14:paraId="64D85867">
            <w:pPr>
              <w:pStyle w:val="182"/>
              <w:bidi w:val="0"/>
              <w:rPr>
                <w:color w:val="auto"/>
              </w:rPr>
            </w:pPr>
            <w:r>
              <w:rPr>
                <w:color w:val="auto"/>
              </w:rPr>
              <w:t>95</w:t>
            </w:r>
            <w:r>
              <w:rPr>
                <w:rFonts w:hint="eastAsia"/>
                <w:color w:val="auto"/>
              </w:rPr>
              <w:t>～</w:t>
            </w:r>
            <w:r>
              <w:rPr>
                <w:color w:val="auto"/>
              </w:rPr>
              <w:t>105</w:t>
            </w:r>
          </w:p>
        </w:tc>
      </w:tr>
      <w:tr w14:paraId="34926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restart"/>
            <w:vAlign w:val="center"/>
          </w:tcPr>
          <w:p w14:paraId="77F1DA9C">
            <w:pPr>
              <w:pStyle w:val="182"/>
              <w:bidi w:val="0"/>
              <w:rPr>
                <w:color w:val="auto"/>
              </w:rPr>
            </w:pPr>
            <w:r>
              <w:rPr>
                <w:rFonts w:hint="eastAsia"/>
                <w:color w:val="auto"/>
              </w:rPr>
              <w:t>底板与结构阶段</w:t>
            </w:r>
          </w:p>
        </w:tc>
        <w:tc>
          <w:tcPr>
            <w:tcW w:w="1666" w:type="pct"/>
            <w:vAlign w:val="center"/>
          </w:tcPr>
          <w:p w14:paraId="0B27780B">
            <w:pPr>
              <w:pStyle w:val="182"/>
              <w:bidi w:val="0"/>
              <w:rPr>
                <w:color w:val="auto"/>
              </w:rPr>
            </w:pPr>
            <w:r>
              <w:rPr>
                <w:rFonts w:hint="eastAsia"/>
                <w:color w:val="auto"/>
              </w:rPr>
              <w:t>振捣机</w:t>
            </w:r>
          </w:p>
        </w:tc>
        <w:tc>
          <w:tcPr>
            <w:tcW w:w="1666" w:type="pct"/>
            <w:vAlign w:val="center"/>
          </w:tcPr>
          <w:p w14:paraId="7F8178D5">
            <w:pPr>
              <w:pStyle w:val="182"/>
              <w:bidi w:val="0"/>
              <w:rPr>
                <w:color w:val="auto"/>
              </w:rPr>
            </w:pPr>
            <w:r>
              <w:rPr>
                <w:color w:val="auto"/>
              </w:rPr>
              <w:t>100</w:t>
            </w:r>
            <w:r>
              <w:rPr>
                <w:rFonts w:hint="eastAsia"/>
                <w:color w:val="auto"/>
              </w:rPr>
              <w:t>～</w:t>
            </w:r>
            <w:r>
              <w:rPr>
                <w:color w:val="auto"/>
              </w:rPr>
              <w:t>105</w:t>
            </w:r>
          </w:p>
        </w:tc>
      </w:tr>
      <w:tr w14:paraId="19DC3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14:paraId="051F45F5">
            <w:pPr>
              <w:pStyle w:val="182"/>
              <w:bidi w:val="0"/>
              <w:rPr>
                <w:color w:val="auto"/>
              </w:rPr>
            </w:pPr>
          </w:p>
        </w:tc>
        <w:tc>
          <w:tcPr>
            <w:tcW w:w="1666" w:type="pct"/>
            <w:vAlign w:val="center"/>
          </w:tcPr>
          <w:p w14:paraId="5E31F7A7">
            <w:pPr>
              <w:pStyle w:val="182"/>
              <w:bidi w:val="0"/>
              <w:rPr>
                <w:color w:val="auto"/>
              </w:rPr>
            </w:pPr>
            <w:r>
              <w:rPr>
                <w:rFonts w:hint="eastAsia"/>
                <w:color w:val="auto"/>
              </w:rPr>
              <w:t>切割机</w:t>
            </w:r>
          </w:p>
        </w:tc>
        <w:tc>
          <w:tcPr>
            <w:tcW w:w="1666" w:type="pct"/>
            <w:vAlign w:val="center"/>
          </w:tcPr>
          <w:p w14:paraId="30F170E7">
            <w:pPr>
              <w:pStyle w:val="182"/>
              <w:bidi w:val="0"/>
              <w:rPr>
                <w:color w:val="auto"/>
              </w:rPr>
            </w:pPr>
            <w:r>
              <w:rPr>
                <w:color w:val="auto"/>
              </w:rPr>
              <w:t>100</w:t>
            </w:r>
            <w:r>
              <w:rPr>
                <w:rFonts w:hint="eastAsia"/>
                <w:color w:val="auto"/>
              </w:rPr>
              <w:t>～</w:t>
            </w:r>
            <w:r>
              <w:rPr>
                <w:color w:val="auto"/>
              </w:rPr>
              <w:t>110</w:t>
            </w:r>
          </w:p>
        </w:tc>
      </w:tr>
      <w:tr w14:paraId="162E5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14:paraId="1A9C6CDC">
            <w:pPr>
              <w:pStyle w:val="182"/>
              <w:bidi w:val="0"/>
              <w:rPr>
                <w:color w:val="auto"/>
              </w:rPr>
            </w:pPr>
          </w:p>
        </w:tc>
        <w:tc>
          <w:tcPr>
            <w:tcW w:w="1666" w:type="pct"/>
            <w:vAlign w:val="center"/>
          </w:tcPr>
          <w:p w14:paraId="45B504B3">
            <w:pPr>
              <w:pStyle w:val="182"/>
              <w:bidi w:val="0"/>
              <w:rPr>
                <w:color w:val="auto"/>
              </w:rPr>
            </w:pPr>
            <w:r>
              <w:rPr>
                <w:rFonts w:hint="eastAsia"/>
                <w:color w:val="auto"/>
              </w:rPr>
              <w:t>模板拆卸</w:t>
            </w:r>
          </w:p>
        </w:tc>
        <w:tc>
          <w:tcPr>
            <w:tcW w:w="1666" w:type="pct"/>
            <w:vAlign w:val="center"/>
          </w:tcPr>
          <w:p w14:paraId="553EEE42">
            <w:pPr>
              <w:pStyle w:val="182"/>
              <w:bidi w:val="0"/>
              <w:rPr>
                <w:color w:val="auto"/>
              </w:rPr>
            </w:pPr>
            <w:r>
              <w:rPr>
                <w:color w:val="auto"/>
              </w:rPr>
              <w:t>95</w:t>
            </w:r>
            <w:r>
              <w:rPr>
                <w:rFonts w:hint="eastAsia"/>
                <w:color w:val="auto"/>
              </w:rPr>
              <w:t>～</w:t>
            </w:r>
            <w:r>
              <w:rPr>
                <w:color w:val="auto"/>
              </w:rPr>
              <w:t>105</w:t>
            </w:r>
          </w:p>
        </w:tc>
      </w:tr>
      <w:tr w14:paraId="71801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14:paraId="348E5A65">
            <w:pPr>
              <w:pStyle w:val="182"/>
              <w:bidi w:val="0"/>
              <w:rPr>
                <w:color w:val="auto"/>
              </w:rPr>
            </w:pPr>
          </w:p>
        </w:tc>
        <w:tc>
          <w:tcPr>
            <w:tcW w:w="1666" w:type="pct"/>
            <w:vAlign w:val="center"/>
          </w:tcPr>
          <w:p w14:paraId="1597A806">
            <w:pPr>
              <w:pStyle w:val="182"/>
              <w:bidi w:val="0"/>
              <w:rPr>
                <w:color w:val="auto"/>
              </w:rPr>
            </w:pPr>
            <w:r>
              <w:rPr>
                <w:rFonts w:hint="eastAsia"/>
                <w:color w:val="auto"/>
              </w:rPr>
              <w:t>混凝土运送车</w:t>
            </w:r>
          </w:p>
        </w:tc>
        <w:tc>
          <w:tcPr>
            <w:tcW w:w="1666" w:type="pct"/>
            <w:vAlign w:val="center"/>
          </w:tcPr>
          <w:p w14:paraId="00B4C513">
            <w:pPr>
              <w:pStyle w:val="182"/>
              <w:bidi w:val="0"/>
              <w:rPr>
                <w:color w:val="auto"/>
              </w:rPr>
            </w:pPr>
            <w:r>
              <w:rPr>
                <w:color w:val="auto"/>
              </w:rPr>
              <w:t>80</w:t>
            </w:r>
            <w:r>
              <w:rPr>
                <w:rFonts w:hint="eastAsia"/>
                <w:color w:val="auto"/>
              </w:rPr>
              <w:t>～</w:t>
            </w:r>
            <w:r>
              <w:rPr>
                <w:color w:val="auto"/>
              </w:rPr>
              <w:t>85</w:t>
            </w:r>
          </w:p>
        </w:tc>
      </w:tr>
      <w:tr w14:paraId="5A739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restart"/>
            <w:vAlign w:val="center"/>
          </w:tcPr>
          <w:p w14:paraId="60712603">
            <w:pPr>
              <w:pStyle w:val="182"/>
              <w:bidi w:val="0"/>
              <w:rPr>
                <w:color w:val="auto"/>
              </w:rPr>
            </w:pPr>
            <w:r>
              <w:rPr>
                <w:rFonts w:hint="eastAsia"/>
                <w:color w:val="auto"/>
              </w:rPr>
              <w:t>装修、安装阶段</w:t>
            </w:r>
          </w:p>
        </w:tc>
        <w:tc>
          <w:tcPr>
            <w:tcW w:w="1666" w:type="pct"/>
            <w:vAlign w:val="center"/>
          </w:tcPr>
          <w:p w14:paraId="7C87BBEE">
            <w:pPr>
              <w:pStyle w:val="182"/>
              <w:bidi w:val="0"/>
              <w:rPr>
                <w:color w:val="auto"/>
              </w:rPr>
            </w:pPr>
            <w:r>
              <w:rPr>
                <w:rFonts w:hint="eastAsia"/>
                <w:color w:val="auto"/>
              </w:rPr>
              <w:t>电锯</w:t>
            </w:r>
          </w:p>
        </w:tc>
        <w:tc>
          <w:tcPr>
            <w:tcW w:w="1666" w:type="pct"/>
            <w:vAlign w:val="center"/>
          </w:tcPr>
          <w:p w14:paraId="55BA8167">
            <w:pPr>
              <w:pStyle w:val="182"/>
              <w:bidi w:val="0"/>
              <w:rPr>
                <w:color w:val="auto"/>
              </w:rPr>
            </w:pPr>
            <w:r>
              <w:rPr>
                <w:color w:val="auto"/>
              </w:rPr>
              <w:t>100</w:t>
            </w:r>
            <w:r>
              <w:rPr>
                <w:rFonts w:hint="eastAsia"/>
                <w:color w:val="auto"/>
              </w:rPr>
              <w:t>～</w:t>
            </w:r>
            <w:r>
              <w:rPr>
                <w:color w:val="auto"/>
              </w:rPr>
              <w:t>110</w:t>
            </w:r>
          </w:p>
        </w:tc>
      </w:tr>
      <w:tr w14:paraId="2467D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14:paraId="1A617B19">
            <w:pPr>
              <w:pStyle w:val="182"/>
              <w:bidi w:val="0"/>
              <w:rPr>
                <w:color w:val="auto"/>
              </w:rPr>
            </w:pPr>
          </w:p>
        </w:tc>
        <w:tc>
          <w:tcPr>
            <w:tcW w:w="1666" w:type="pct"/>
            <w:vAlign w:val="center"/>
          </w:tcPr>
          <w:p w14:paraId="2B623C80">
            <w:pPr>
              <w:pStyle w:val="182"/>
              <w:bidi w:val="0"/>
              <w:rPr>
                <w:color w:val="auto"/>
              </w:rPr>
            </w:pPr>
            <w:r>
              <w:rPr>
                <w:rFonts w:hint="eastAsia"/>
                <w:color w:val="auto"/>
                <w:lang w:eastAsia="zh-CN"/>
              </w:rPr>
              <w:t>砂浆</w:t>
            </w:r>
            <w:r>
              <w:rPr>
                <w:rFonts w:hint="eastAsia"/>
                <w:color w:val="auto"/>
              </w:rPr>
              <w:t>机</w:t>
            </w:r>
          </w:p>
        </w:tc>
        <w:tc>
          <w:tcPr>
            <w:tcW w:w="1666" w:type="pct"/>
            <w:vAlign w:val="center"/>
          </w:tcPr>
          <w:p w14:paraId="5A57EF93">
            <w:pPr>
              <w:pStyle w:val="182"/>
              <w:bidi w:val="0"/>
              <w:rPr>
                <w:color w:val="auto"/>
              </w:rPr>
            </w:pPr>
            <w:r>
              <w:rPr>
                <w:color w:val="auto"/>
              </w:rPr>
              <w:t>75</w:t>
            </w:r>
          </w:p>
        </w:tc>
      </w:tr>
      <w:tr w14:paraId="3AEB5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14:paraId="44CF0C3C">
            <w:pPr>
              <w:pStyle w:val="182"/>
              <w:bidi w:val="0"/>
              <w:rPr>
                <w:color w:val="auto"/>
              </w:rPr>
            </w:pPr>
          </w:p>
        </w:tc>
        <w:tc>
          <w:tcPr>
            <w:tcW w:w="1666" w:type="pct"/>
            <w:vAlign w:val="center"/>
          </w:tcPr>
          <w:p w14:paraId="45D97881">
            <w:pPr>
              <w:pStyle w:val="182"/>
              <w:bidi w:val="0"/>
              <w:rPr>
                <w:color w:val="auto"/>
              </w:rPr>
            </w:pPr>
            <w:r>
              <w:rPr>
                <w:rFonts w:hint="eastAsia"/>
                <w:color w:val="auto"/>
              </w:rPr>
              <w:t>升降机</w:t>
            </w:r>
          </w:p>
        </w:tc>
        <w:tc>
          <w:tcPr>
            <w:tcW w:w="1666" w:type="pct"/>
            <w:vAlign w:val="center"/>
          </w:tcPr>
          <w:p w14:paraId="435F49C6">
            <w:pPr>
              <w:pStyle w:val="182"/>
              <w:bidi w:val="0"/>
              <w:rPr>
                <w:color w:val="auto"/>
              </w:rPr>
            </w:pPr>
            <w:r>
              <w:rPr>
                <w:color w:val="auto"/>
              </w:rPr>
              <w:t>80</w:t>
            </w:r>
            <w:r>
              <w:rPr>
                <w:rFonts w:hint="eastAsia"/>
                <w:color w:val="auto"/>
              </w:rPr>
              <w:t>～</w:t>
            </w:r>
            <w:r>
              <w:rPr>
                <w:color w:val="auto"/>
              </w:rPr>
              <w:t>90</w:t>
            </w:r>
          </w:p>
        </w:tc>
      </w:tr>
      <w:tr w14:paraId="68C68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6" w:type="pct"/>
            <w:vMerge w:val="continue"/>
            <w:vAlign w:val="center"/>
          </w:tcPr>
          <w:p w14:paraId="78724A95">
            <w:pPr>
              <w:pStyle w:val="182"/>
              <w:bidi w:val="0"/>
              <w:rPr>
                <w:color w:val="auto"/>
              </w:rPr>
            </w:pPr>
          </w:p>
        </w:tc>
        <w:tc>
          <w:tcPr>
            <w:tcW w:w="1666" w:type="pct"/>
            <w:vAlign w:val="center"/>
          </w:tcPr>
          <w:p w14:paraId="449D6820">
            <w:pPr>
              <w:pStyle w:val="182"/>
              <w:bidi w:val="0"/>
              <w:rPr>
                <w:color w:val="auto"/>
              </w:rPr>
            </w:pPr>
            <w:r>
              <w:rPr>
                <w:rFonts w:hint="eastAsia"/>
                <w:color w:val="auto"/>
              </w:rPr>
              <w:t>切割机</w:t>
            </w:r>
          </w:p>
        </w:tc>
        <w:tc>
          <w:tcPr>
            <w:tcW w:w="1666" w:type="pct"/>
            <w:vAlign w:val="center"/>
          </w:tcPr>
          <w:p w14:paraId="2E9300FC">
            <w:pPr>
              <w:pStyle w:val="182"/>
              <w:bidi w:val="0"/>
              <w:rPr>
                <w:color w:val="auto"/>
              </w:rPr>
            </w:pPr>
            <w:r>
              <w:rPr>
                <w:color w:val="auto"/>
              </w:rPr>
              <w:t>100</w:t>
            </w:r>
            <w:r>
              <w:rPr>
                <w:rFonts w:hint="eastAsia"/>
                <w:color w:val="auto"/>
              </w:rPr>
              <w:t>～</w:t>
            </w:r>
            <w:r>
              <w:rPr>
                <w:color w:val="auto"/>
              </w:rPr>
              <w:t>110</w:t>
            </w:r>
          </w:p>
        </w:tc>
      </w:tr>
    </w:tbl>
    <w:p w14:paraId="373CD9BC">
      <w:pPr>
        <w:bidi w:val="0"/>
        <w:rPr>
          <w:color w:val="auto"/>
        </w:rPr>
      </w:pPr>
      <w:r>
        <w:rPr>
          <w:rFonts w:hint="eastAsia"/>
          <w:color w:val="auto"/>
        </w:rPr>
        <w:t>根据《建筑施工场界环境噪声排放标准》（</w:t>
      </w:r>
      <w:r>
        <w:rPr>
          <w:color w:val="auto"/>
        </w:rPr>
        <w:t>GB12523-2011</w:t>
      </w:r>
      <w:r>
        <w:rPr>
          <w:rFonts w:hint="eastAsia"/>
          <w:color w:val="auto"/>
        </w:rPr>
        <w:t>）的要求，施工场界的最高噪声值昼间不得超过</w:t>
      </w:r>
      <w:r>
        <w:rPr>
          <w:color w:val="auto"/>
        </w:rPr>
        <w:t>70dB(A)</w:t>
      </w:r>
      <w:r>
        <w:rPr>
          <w:rFonts w:hint="eastAsia"/>
          <w:color w:val="auto"/>
        </w:rPr>
        <w:t>，夜间噪声不得超过</w:t>
      </w:r>
      <w:r>
        <w:rPr>
          <w:color w:val="auto"/>
        </w:rPr>
        <w:t>55dB(A)</w:t>
      </w:r>
      <w:r>
        <w:rPr>
          <w:rFonts w:hint="eastAsia"/>
          <w:color w:val="auto"/>
        </w:rPr>
        <w:t>。由上表可知，大部分施工机械的噪声值超过了施工阶段场界噪声限值。评价提出以下治理措施：</w:t>
      </w:r>
    </w:p>
    <w:p w14:paraId="6F77C4FA">
      <w:pPr>
        <w:bidi w:val="0"/>
        <w:rPr>
          <w:color w:val="auto"/>
        </w:rPr>
      </w:pPr>
      <w:r>
        <w:rPr>
          <w:rFonts w:hint="eastAsia"/>
          <w:color w:val="auto"/>
        </w:rPr>
        <w:t>①施工单位应尽量选用先进的低噪声设备；</w:t>
      </w:r>
    </w:p>
    <w:p w14:paraId="7A410649">
      <w:pPr>
        <w:bidi w:val="0"/>
        <w:rPr>
          <w:color w:val="auto"/>
        </w:rPr>
      </w:pPr>
      <w:r>
        <w:rPr>
          <w:rFonts w:hint="eastAsia"/>
          <w:color w:val="auto"/>
        </w:rPr>
        <w:t>②在高噪声设备周围设置屏障；</w:t>
      </w:r>
    </w:p>
    <w:p w14:paraId="082EF16F">
      <w:pPr>
        <w:bidi w:val="0"/>
        <w:rPr>
          <w:color w:val="auto"/>
        </w:rPr>
      </w:pPr>
      <w:r>
        <w:rPr>
          <w:rFonts w:hint="eastAsia"/>
          <w:color w:val="auto"/>
        </w:rPr>
        <w:t>③合理安排高噪声机械的作业时间；</w:t>
      </w:r>
    </w:p>
    <w:p w14:paraId="034BA166">
      <w:pPr>
        <w:bidi w:val="0"/>
        <w:rPr>
          <w:color w:val="auto"/>
        </w:rPr>
      </w:pPr>
      <w:r>
        <w:rPr>
          <w:rFonts w:hint="eastAsia"/>
          <w:color w:val="auto"/>
        </w:rPr>
        <w:t>④加强施工机械的维修、管理，保证施工机械处于低噪声、高效率的状态；</w:t>
      </w:r>
    </w:p>
    <w:p w14:paraId="0BB61CAE">
      <w:pPr>
        <w:bidi w:val="0"/>
        <w:rPr>
          <w:color w:val="auto"/>
        </w:rPr>
      </w:pPr>
      <w:r>
        <w:rPr>
          <w:rFonts w:hint="eastAsia"/>
          <w:color w:val="auto"/>
        </w:rPr>
        <w:t>⑤合理施工现场布局，将施工现场的固定高噪声源设置于远离环境敏感受纳体的位置；</w:t>
      </w:r>
    </w:p>
    <w:p w14:paraId="13C6BB33">
      <w:pPr>
        <w:bidi w:val="0"/>
        <w:rPr>
          <w:color w:val="auto"/>
        </w:rPr>
      </w:pPr>
      <w:r>
        <w:rPr>
          <w:rFonts w:hint="eastAsia"/>
          <w:color w:val="auto"/>
        </w:rPr>
        <w:t>⑥合理规划重型运载车辆的运行路线，使其尽量避开噪声敏感区。</w:t>
      </w:r>
    </w:p>
    <w:p w14:paraId="7586F6D0">
      <w:pPr>
        <w:bidi w:val="0"/>
        <w:rPr>
          <w:color w:val="auto"/>
        </w:rPr>
      </w:pPr>
      <w:r>
        <w:rPr>
          <w:rFonts w:hint="eastAsia"/>
          <w:color w:val="auto"/>
        </w:rPr>
        <w:t>通过以上治理措施，能够确保施工期的噪声值满足《建筑施工场界环境噪声排放标准》（</w:t>
      </w:r>
      <w:r>
        <w:rPr>
          <w:color w:val="auto"/>
        </w:rPr>
        <w:t>GB12523-2011</w:t>
      </w:r>
      <w:r>
        <w:rPr>
          <w:rFonts w:hint="eastAsia"/>
          <w:color w:val="auto"/>
        </w:rPr>
        <w:t>）昼间</w:t>
      </w:r>
      <w:r>
        <w:rPr>
          <w:color w:val="auto"/>
        </w:rPr>
        <w:t>70dB(A)</w:t>
      </w:r>
      <w:r>
        <w:rPr>
          <w:rFonts w:hint="eastAsia"/>
          <w:color w:val="auto"/>
        </w:rPr>
        <w:t>、夜间</w:t>
      </w:r>
      <w:r>
        <w:rPr>
          <w:color w:val="auto"/>
        </w:rPr>
        <w:t>55 dB(A</w:t>
      </w:r>
      <w:r>
        <w:rPr>
          <w:rFonts w:hint="eastAsia"/>
          <w:color w:val="auto"/>
          <w:lang w:eastAsia="zh-CN"/>
        </w:rPr>
        <w:t>)</w:t>
      </w:r>
      <w:r>
        <w:rPr>
          <w:rFonts w:hint="eastAsia"/>
          <w:color w:val="auto"/>
        </w:rPr>
        <w:t>限值的要求。</w:t>
      </w:r>
    </w:p>
    <w:p w14:paraId="0F07B68D">
      <w:pPr>
        <w:bidi w:val="0"/>
        <w:rPr>
          <w:color w:val="auto"/>
        </w:rPr>
      </w:pPr>
      <w:r>
        <w:rPr>
          <w:rFonts w:hint="eastAsia"/>
          <w:color w:val="auto"/>
        </w:rPr>
        <w:t>四、固废</w:t>
      </w:r>
    </w:p>
    <w:p w14:paraId="7CE2E43F">
      <w:pPr>
        <w:bidi w:val="0"/>
        <w:rPr>
          <w:color w:val="auto"/>
        </w:rPr>
      </w:pPr>
      <w:r>
        <w:rPr>
          <w:rFonts w:hint="eastAsia"/>
          <w:color w:val="auto"/>
        </w:rPr>
        <w:t>（</w:t>
      </w:r>
      <w:r>
        <w:rPr>
          <w:color w:val="auto"/>
        </w:rPr>
        <w:t>1</w:t>
      </w:r>
      <w:r>
        <w:rPr>
          <w:rFonts w:hint="eastAsia"/>
          <w:color w:val="auto"/>
        </w:rPr>
        <w:t>）生活垃圾：施工期高峰期施工人员</w:t>
      </w:r>
      <w:r>
        <w:rPr>
          <w:rFonts w:hint="eastAsia"/>
          <w:color w:val="auto"/>
          <w:lang w:val="en-US" w:eastAsia="zh-CN"/>
        </w:rPr>
        <w:t>1</w:t>
      </w:r>
      <w:r>
        <w:rPr>
          <w:color w:val="auto"/>
        </w:rPr>
        <w:t>0</w:t>
      </w:r>
      <w:r>
        <w:rPr>
          <w:rFonts w:hint="eastAsia"/>
          <w:color w:val="auto"/>
        </w:rPr>
        <w:t>人，生活垃圾按</w:t>
      </w:r>
      <w:r>
        <w:rPr>
          <w:color w:val="auto"/>
        </w:rPr>
        <w:t>0.5kg/</w:t>
      </w:r>
      <w:r>
        <w:rPr>
          <w:rFonts w:hint="eastAsia"/>
          <w:color w:val="auto"/>
        </w:rPr>
        <w:t>人</w:t>
      </w:r>
      <w:r>
        <w:rPr>
          <w:color w:val="auto"/>
        </w:rPr>
        <w:t>•d</w:t>
      </w:r>
      <w:r>
        <w:rPr>
          <w:rFonts w:hint="eastAsia"/>
          <w:color w:val="auto"/>
        </w:rPr>
        <w:t>计算，经计算，生活垃圾产生量约为</w:t>
      </w:r>
      <w:r>
        <w:rPr>
          <w:color w:val="auto"/>
        </w:rPr>
        <w:t>0.0</w:t>
      </w:r>
      <w:r>
        <w:rPr>
          <w:rFonts w:hint="eastAsia"/>
          <w:color w:val="auto"/>
          <w:lang w:val="en-US" w:eastAsia="zh-CN"/>
        </w:rPr>
        <w:t>05</w:t>
      </w:r>
      <w:r>
        <w:rPr>
          <w:color w:val="auto"/>
        </w:rPr>
        <w:t>t/d</w:t>
      </w:r>
      <w:r>
        <w:rPr>
          <w:rFonts w:hint="eastAsia"/>
          <w:color w:val="auto"/>
        </w:rPr>
        <w:t>，项目总施工期约为</w:t>
      </w:r>
      <w:r>
        <w:rPr>
          <w:rFonts w:hint="eastAsia"/>
          <w:color w:val="auto"/>
          <w:lang w:val="en-US" w:eastAsia="zh-CN"/>
        </w:rPr>
        <w:t>15天</w:t>
      </w:r>
      <w:r>
        <w:rPr>
          <w:rFonts w:hint="eastAsia"/>
          <w:color w:val="auto"/>
        </w:rPr>
        <w:t>，合计固废产生量为</w:t>
      </w:r>
      <w:r>
        <w:rPr>
          <w:rFonts w:hint="eastAsia"/>
          <w:color w:val="auto"/>
          <w:lang w:val="en-US" w:eastAsia="zh-CN"/>
        </w:rPr>
        <w:t>0.075</w:t>
      </w:r>
      <w:r>
        <w:rPr>
          <w:color w:val="auto"/>
        </w:rPr>
        <w:t>t</w:t>
      </w:r>
      <w:r>
        <w:rPr>
          <w:rFonts w:hint="eastAsia"/>
          <w:color w:val="auto"/>
        </w:rPr>
        <w:t>。评价提出：生活垃圾应集中堆放，由厂区环卫车送至园区垃圾中转站，最终由环卫部门统一处置。</w:t>
      </w:r>
    </w:p>
    <w:p w14:paraId="1BA622F0">
      <w:pPr>
        <w:bidi w:val="0"/>
        <w:rPr>
          <w:rFonts w:hint="eastAsia"/>
          <w:color w:val="auto"/>
        </w:rPr>
      </w:pPr>
      <w:r>
        <w:rPr>
          <w:rFonts w:hint="eastAsia"/>
          <w:color w:val="auto"/>
        </w:rPr>
        <w:t>（</w:t>
      </w:r>
      <w:r>
        <w:rPr>
          <w:color w:val="auto"/>
        </w:rPr>
        <w:t>2</w:t>
      </w:r>
      <w:r>
        <w:rPr>
          <w:rFonts w:hint="eastAsia"/>
          <w:color w:val="auto"/>
        </w:rPr>
        <w:t>）建筑垃圾：建设施工期间需要挖土，运输弃土、运输各种建筑材料如水泥、砖瓦、木材等，工程完成后，会残留不少废弃建筑材料，这些建筑垃圾能回收利用的尽可能二次利用，不能回收利用的应及时清运至垃圾填埋场处置，严禁建筑垃圾随意丢弃；施工人员产生的生活垃圾严禁随意抛弃，袋装收集后交由环卫部门清运。</w:t>
      </w:r>
    </w:p>
    <w:p w14:paraId="25949C19">
      <w:pPr>
        <w:bidi w:val="0"/>
        <w:rPr>
          <w:color w:val="auto"/>
        </w:rPr>
      </w:pPr>
      <w:r>
        <w:rPr>
          <w:rFonts w:hint="eastAsia"/>
          <w:color w:val="auto"/>
        </w:rPr>
        <w:t>五、生态影响及水土保持</w:t>
      </w:r>
    </w:p>
    <w:p w14:paraId="21DC7E80">
      <w:pPr>
        <w:bidi w:val="0"/>
        <w:rPr>
          <w:color w:val="auto"/>
        </w:rPr>
      </w:pPr>
      <w:r>
        <w:rPr>
          <w:rFonts w:hint="eastAsia"/>
          <w:color w:val="auto"/>
          <w:lang w:val="en-US" w:eastAsia="zh-CN"/>
        </w:rPr>
        <w:t>项目建设位于新乡经济技术开发区新长北路南侧新乡化纤股份有限公司厂区内部，</w:t>
      </w:r>
      <w:r>
        <w:rPr>
          <w:rFonts w:hint="eastAsia"/>
          <w:color w:val="auto"/>
        </w:rPr>
        <w:t>根据现场踏勘</w:t>
      </w:r>
      <w:r>
        <w:rPr>
          <w:rFonts w:hint="eastAsia"/>
          <w:color w:val="auto"/>
          <w:lang w:val="en-US" w:eastAsia="zh-CN"/>
        </w:rPr>
        <w:t>，</w:t>
      </w:r>
      <w:r>
        <w:rPr>
          <w:rFonts w:hint="eastAsia"/>
          <w:color w:val="auto"/>
        </w:rPr>
        <w:t>项目用地范围内无珍稀和受保护植物种类，调查区范围内除地区常见的蚊蝇类、鸟类等，无珍稀或濒危野生动物等生态敏感目标。</w:t>
      </w:r>
    </w:p>
    <w:p w14:paraId="43113AB1">
      <w:pPr>
        <w:bidi w:val="0"/>
        <w:rPr>
          <w:color w:val="auto"/>
        </w:rPr>
      </w:pPr>
      <w:r>
        <w:rPr>
          <w:rFonts w:hint="eastAsia"/>
          <w:color w:val="auto"/>
        </w:rPr>
        <w:t>在施工期间，土石方的填挖、废弃渣土以及建筑材料临时占地等会破坏部分区域的地表植被、边坡裸露以及景观破坏，在降雨季节地表经雨水冲刷，形成水土流失。</w:t>
      </w:r>
    </w:p>
    <w:p w14:paraId="2FFEA941">
      <w:pPr>
        <w:bidi w:val="0"/>
        <w:rPr>
          <w:color w:val="auto"/>
        </w:rPr>
      </w:pPr>
      <w:r>
        <w:rPr>
          <w:rFonts w:hint="eastAsia"/>
          <w:color w:val="auto"/>
        </w:rPr>
        <w:t>施工期包括大量土石方工程，会使土层结构疏松，如果恰逢暴雨期，则将使局部区域水土流失量加大，但随着施工后期区内绿化和地面硬化等工作，工程雨水漫流造成的土壤侵蚀可大大降低。</w:t>
      </w:r>
    </w:p>
    <w:p w14:paraId="12D9BFD9">
      <w:pPr>
        <w:bidi w:val="0"/>
        <w:rPr>
          <w:color w:val="auto"/>
        </w:rPr>
      </w:pPr>
      <w:r>
        <w:rPr>
          <w:rFonts w:hint="eastAsia"/>
          <w:color w:val="auto"/>
        </w:rPr>
        <w:t>为了减少水土流失，评价提出以下治理措施：</w:t>
      </w:r>
    </w:p>
    <w:p w14:paraId="7658D2C3">
      <w:pPr>
        <w:bidi w:val="0"/>
        <w:rPr>
          <w:color w:val="auto"/>
        </w:rPr>
      </w:pPr>
      <w:r>
        <w:rPr>
          <w:rFonts w:hint="eastAsia"/>
          <w:color w:val="auto"/>
        </w:rPr>
        <w:t>（</w:t>
      </w:r>
      <w:r>
        <w:rPr>
          <w:color w:val="auto"/>
        </w:rPr>
        <w:t>1</w:t>
      </w:r>
      <w:r>
        <w:rPr>
          <w:rFonts w:hint="eastAsia"/>
          <w:color w:val="auto"/>
        </w:rPr>
        <w:t>）项目施工期应合理安排工期，地表开挖工程应尽量避开雨季；</w:t>
      </w:r>
    </w:p>
    <w:p w14:paraId="53263151">
      <w:pPr>
        <w:bidi w:val="0"/>
        <w:rPr>
          <w:color w:val="auto"/>
        </w:rPr>
      </w:pPr>
      <w:r>
        <w:rPr>
          <w:rFonts w:hint="eastAsia"/>
          <w:color w:val="auto"/>
        </w:rPr>
        <w:t>（</w:t>
      </w:r>
      <w:r>
        <w:rPr>
          <w:color w:val="auto"/>
        </w:rPr>
        <w:t>2</w:t>
      </w:r>
      <w:r>
        <w:rPr>
          <w:rFonts w:hint="eastAsia"/>
          <w:color w:val="auto"/>
        </w:rPr>
        <w:t>）开挖出的土石方应尽快回填，土石方堆场的表面遮盖篷布，减少风力侵蚀造成的水土流失。</w:t>
      </w:r>
    </w:p>
    <w:p w14:paraId="25D30745">
      <w:pPr>
        <w:bidi w:val="0"/>
        <w:rPr>
          <w:color w:val="auto"/>
        </w:rPr>
      </w:pPr>
      <w:r>
        <w:rPr>
          <w:rFonts w:hint="eastAsia"/>
          <w:color w:val="auto"/>
        </w:rPr>
        <w:t>（</w:t>
      </w:r>
      <w:r>
        <w:rPr>
          <w:color w:val="auto"/>
        </w:rPr>
        <w:t>3</w:t>
      </w:r>
      <w:r>
        <w:rPr>
          <w:rFonts w:hint="eastAsia"/>
          <w:color w:val="auto"/>
        </w:rPr>
        <w:t>）借入的土石方在运输过程中，应在运输车辆</w:t>
      </w:r>
      <w:r>
        <w:rPr>
          <w:rFonts w:hint="eastAsia"/>
          <w:color w:val="auto"/>
          <w:lang w:eastAsia="zh-CN"/>
        </w:rPr>
        <w:t>的车厢</w:t>
      </w:r>
      <w:r>
        <w:rPr>
          <w:rFonts w:hint="eastAsia"/>
          <w:color w:val="auto"/>
        </w:rPr>
        <w:t>上方加盖篷布，</w:t>
      </w:r>
      <w:r>
        <w:rPr>
          <w:rFonts w:hint="eastAsia"/>
          <w:color w:val="auto"/>
          <w:lang w:eastAsia="zh-CN"/>
        </w:rPr>
        <w:t>尽可能地减少</w:t>
      </w:r>
      <w:r>
        <w:rPr>
          <w:rFonts w:hint="eastAsia"/>
          <w:color w:val="auto"/>
        </w:rPr>
        <w:t>沿途的抛洒。</w:t>
      </w:r>
    </w:p>
    <w:p w14:paraId="01B0E101">
      <w:pPr>
        <w:bidi w:val="0"/>
        <w:rPr>
          <w:color w:val="auto"/>
        </w:rPr>
      </w:pPr>
      <w:r>
        <w:rPr>
          <w:rFonts w:hint="eastAsia"/>
          <w:color w:val="auto"/>
        </w:rPr>
        <w:t>（</w:t>
      </w:r>
      <w:r>
        <w:rPr>
          <w:color w:val="auto"/>
        </w:rPr>
        <w:t>4</w:t>
      </w:r>
      <w:r>
        <w:rPr>
          <w:rFonts w:hint="eastAsia"/>
          <w:color w:val="auto"/>
        </w:rPr>
        <w:t>）地表开挖后，应尽快建设水土保持设施。</w:t>
      </w:r>
    </w:p>
    <w:p w14:paraId="1DBC1A3C">
      <w:pPr>
        <w:pStyle w:val="3"/>
        <w:bidi w:val="0"/>
      </w:pPr>
      <w:bookmarkStart w:id="174" w:name="_Toc26932"/>
      <w:r>
        <w:rPr>
          <w:rFonts w:hint="eastAsia"/>
        </w:rPr>
        <w:t>营运期污染因素分析</w:t>
      </w:r>
      <w:bookmarkEnd w:id="174"/>
    </w:p>
    <w:p w14:paraId="5FF3000D">
      <w:pPr>
        <w:pStyle w:val="5"/>
        <w:bidi w:val="0"/>
      </w:pPr>
      <w:r>
        <w:rPr>
          <w:rFonts w:hint="eastAsia"/>
        </w:rPr>
        <w:t>废气</w:t>
      </w:r>
      <w:r>
        <w:rPr>
          <w:rFonts w:hint="eastAsia"/>
          <w:lang w:val="en-US" w:eastAsia="zh-CN"/>
        </w:rPr>
        <w:t>产拍情况</w:t>
      </w:r>
    </w:p>
    <w:p w14:paraId="4D17540D">
      <w:pPr>
        <w:pStyle w:val="6"/>
        <w:bidi w:val="0"/>
        <w:rPr>
          <w:rFonts w:hint="default"/>
          <w:lang w:val="en-US" w:eastAsia="zh-CN"/>
        </w:rPr>
      </w:pPr>
      <w:r>
        <w:rPr>
          <w:rFonts w:hint="eastAsia"/>
          <w:lang w:val="en-US" w:eastAsia="zh-CN"/>
        </w:rPr>
        <w:t>颗粒物废气</w:t>
      </w:r>
    </w:p>
    <w:p w14:paraId="3F12E480">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lang w:val="en-US" w:eastAsia="zh-CN"/>
        </w:rPr>
      </w:pPr>
      <w:r>
        <w:rPr>
          <w:rFonts w:hint="eastAsia"/>
          <w:lang w:val="en-US" w:eastAsia="zh-CN"/>
        </w:rPr>
        <w:t>粉碎</w:t>
      </w:r>
      <w:r>
        <w:rPr>
          <w:rFonts w:hint="eastAsia" w:cs="Times New Roman"/>
          <w:b w:val="0"/>
          <w:bCs w:val="0"/>
          <w:spacing w:val="0"/>
          <w:kern w:val="2"/>
          <w:sz w:val="24"/>
          <w:szCs w:val="24"/>
          <w:lang w:val="en-US" w:eastAsia="zh-CN"/>
        </w:rPr>
        <w:t>工序</w:t>
      </w:r>
      <w:r>
        <w:rPr>
          <w:rFonts w:hint="eastAsia"/>
          <w:lang w:val="en-US" w:eastAsia="zh-CN"/>
        </w:rPr>
        <w:t>G1</w:t>
      </w:r>
    </w:p>
    <w:p w14:paraId="3108E2DB">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b w:val="0"/>
          <w:bCs w:val="0"/>
          <w:color w:val="auto"/>
          <w:u w:val="none"/>
          <w:lang w:val="en-US" w:eastAsia="zh-CN"/>
        </w:rPr>
      </w:pPr>
      <w:r>
        <w:rPr>
          <w:rFonts w:hint="eastAsia"/>
          <w:b w:val="0"/>
          <w:bCs w:val="0"/>
          <w:color w:val="auto"/>
          <w:u w:val="none"/>
          <w:lang w:val="en-US" w:eastAsia="zh-CN"/>
        </w:rPr>
        <w:t>中试期间设计使用原料纤维素浆粕用量566t/a，废旧棉纺织品用量500t/a，根据小试阶段</w:t>
      </w:r>
      <w:r>
        <w:rPr>
          <w:rFonts w:hint="eastAsia" w:ascii="Times New Roman" w:hAnsi="Times New Roman" w:eastAsia="宋体" w:cs="Times New Roman"/>
          <w:b w:val="0"/>
          <w:bCs w:val="0"/>
          <w:spacing w:val="0"/>
          <w:kern w:val="2"/>
          <w:sz w:val="24"/>
          <w:szCs w:val="24"/>
          <w:lang w:val="en-US" w:eastAsia="zh-CN"/>
        </w:rPr>
        <w:t>原料破碎前后进行了称重，损失量在0.4</w:t>
      </w:r>
      <w:r>
        <w:rPr>
          <w:rFonts w:hint="eastAsia" w:cs="Times New Roman"/>
          <w:b w:val="0"/>
          <w:bCs w:val="0"/>
          <w:spacing w:val="0"/>
          <w:kern w:val="2"/>
          <w:sz w:val="24"/>
          <w:szCs w:val="24"/>
          <w:lang w:val="en-US" w:eastAsia="zh-CN"/>
        </w:rPr>
        <w:t>3</w:t>
      </w:r>
      <w:r>
        <w:rPr>
          <w:rFonts w:hint="eastAsia" w:ascii="Times New Roman" w:hAnsi="Times New Roman" w:eastAsia="宋体" w:cs="Times New Roman"/>
          <w:b w:val="0"/>
          <w:bCs w:val="0"/>
          <w:spacing w:val="0"/>
          <w:kern w:val="2"/>
          <w:sz w:val="24"/>
          <w:szCs w:val="24"/>
          <w:lang w:val="en-US" w:eastAsia="zh-CN"/>
        </w:rPr>
        <w:t>%-0.50%。</w:t>
      </w:r>
      <w:r>
        <w:rPr>
          <w:rFonts w:hint="eastAsia" w:cs="Times New Roman"/>
          <w:b w:val="0"/>
          <w:bCs w:val="0"/>
          <w:spacing w:val="0"/>
          <w:kern w:val="2"/>
          <w:sz w:val="24"/>
          <w:szCs w:val="24"/>
          <w:lang w:val="en-US" w:eastAsia="zh-CN"/>
        </w:rPr>
        <w:t>本项目产尘系数取</w:t>
      </w:r>
      <w:r>
        <w:rPr>
          <w:rFonts w:hint="eastAsia"/>
          <w:b w:val="0"/>
          <w:bCs w:val="0"/>
          <w:color w:val="auto"/>
          <w:u w:val="none"/>
          <w:lang w:val="en-US" w:eastAsia="zh-CN"/>
        </w:rPr>
        <w:t>0.47%，则颗粒物产生量约为5t/a。粉碎系统每小时运行20分钟，则年运行时间为2640h，设备风量为5000m</w:t>
      </w:r>
      <w:r>
        <w:rPr>
          <w:rFonts w:hint="eastAsia"/>
          <w:b w:val="0"/>
          <w:bCs w:val="0"/>
          <w:color w:val="auto"/>
          <w:u w:val="none"/>
          <w:vertAlign w:val="superscript"/>
          <w:lang w:val="en-US" w:eastAsia="zh-CN"/>
        </w:rPr>
        <w:t>3</w:t>
      </w:r>
      <w:r>
        <w:rPr>
          <w:rFonts w:hint="eastAsia"/>
          <w:b w:val="0"/>
          <w:bCs w:val="0"/>
          <w:color w:val="auto"/>
          <w:u w:val="none"/>
          <w:lang w:val="en-US" w:eastAsia="zh-CN"/>
        </w:rPr>
        <w:t>/h，产生速率1.8939kg/h，产生浓度378.7879mg/m</w:t>
      </w:r>
      <w:r>
        <w:rPr>
          <w:rFonts w:hint="eastAsia"/>
          <w:b w:val="0"/>
          <w:bCs w:val="0"/>
          <w:color w:val="auto"/>
          <w:u w:val="none"/>
          <w:vertAlign w:val="superscript"/>
          <w:lang w:val="en-US" w:eastAsia="zh-CN"/>
        </w:rPr>
        <w:t>3</w:t>
      </w:r>
      <w:r>
        <w:rPr>
          <w:rFonts w:hint="eastAsia"/>
          <w:b w:val="0"/>
          <w:bCs w:val="0"/>
          <w:color w:val="auto"/>
          <w:u w:val="none"/>
          <w:lang w:val="en-US" w:eastAsia="zh-CN"/>
        </w:rPr>
        <w:t>；粉碎系统自带脉冲袋式除尘器收集效率100%，经粉碎设备自带脉冲袋式除尘器处理后，处理效率约99%。粉碎工序废气产排情况见下表。</w:t>
      </w:r>
    </w:p>
    <w:p w14:paraId="059572CC">
      <w:pPr>
        <w:pStyle w:val="10"/>
        <w:bidi w:val="0"/>
      </w:pPr>
      <w:r>
        <w:t xml:space="preserve">表 </w:t>
      </w:r>
      <w:r>
        <w:fldChar w:fldCharType="begin"/>
      </w:r>
      <w:r>
        <w:instrText xml:space="preserve"> STYLEREF 2 \s </w:instrText>
      </w:r>
      <w:r>
        <w:fldChar w:fldCharType="separate"/>
      </w:r>
      <w:r>
        <w:t>4.6</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rPr>
        <w:t xml:space="preserve"> </w:t>
      </w:r>
      <w:r>
        <w:rPr>
          <w:rFonts w:hint="eastAsia"/>
          <w:lang w:val="en-US" w:eastAsia="zh-CN"/>
        </w:rPr>
        <w:t>粉碎工序</w:t>
      </w:r>
      <w:r>
        <w:rPr>
          <w:rFonts w:hint="eastAsia"/>
        </w:rPr>
        <w:t>废气污染物产排情况一览表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
        <w:gridCol w:w="804"/>
        <w:gridCol w:w="1078"/>
        <w:gridCol w:w="969"/>
        <w:gridCol w:w="765"/>
        <w:gridCol w:w="1287"/>
        <w:gridCol w:w="1046"/>
        <w:gridCol w:w="891"/>
        <w:gridCol w:w="913"/>
      </w:tblGrid>
      <w:tr w14:paraId="7B285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0" w:type="dxa"/>
            <w:noWrap w:val="0"/>
            <w:vAlign w:val="center"/>
          </w:tcPr>
          <w:p w14:paraId="67173B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产污环节</w:t>
            </w:r>
          </w:p>
        </w:tc>
        <w:tc>
          <w:tcPr>
            <w:tcW w:w="804" w:type="dxa"/>
            <w:noWrap w:val="0"/>
            <w:vAlign w:val="center"/>
          </w:tcPr>
          <w:p w14:paraId="730ACF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污染物</w:t>
            </w:r>
          </w:p>
        </w:tc>
        <w:tc>
          <w:tcPr>
            <w:tcW w:w="1078" w:type="dxa"/>
            <w:noWrap w:val="0"/>
            <w:vAlign w:val="center"/>
          </w:tcPr>
          <w:p w14:paraId="61EFAF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产生浓度mg/m</w:t>
            </w:r>
            <w:r>
              <w:rPr>
                <w:vertAlign w:val="superscript"/>
              </w:rPr>
              <w:t>3</w:t>
            </w:r>
          </w:p>
        </w:tc>
        <w:tc>
          <w:tcPr>
            <w:tcW w:w="969" w:type="dxa"/>
            <w:noWrap w:val="0"/>
            <w:vAlign w:val="center"/>
          </w:tcPr>
          <w:p w14:paraId="191542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产生速率kg/h</w:t>
            </w:r>
          </w:p>
        </w:tc>
        <w:tc>
          <w:tcPr>
            <w:tcW w:w="765" w:type="dxa"/>
            <w:noWrap w:val="0"/>
            <w:vAlign w:val="center"/>
          </w:tcPr>
          <w:p w14:paraId="2BF54DC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产生量t/a</w:t>
            </w:r>
          </w:p>
        </w:tc>
        <w:tc>
          <w:tcPr>
            <w:tcW w:w="1287" w:type="dxa"/>
            <w:noWrap w:val="0"/>
            <w:vAlign w:val="center"/>
          </w:tcPr>
          <w:p w14:paraId="6F3CF8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rPr>
            </w:pPr>
            <w:r>
              <w:rPr>
                <w:rFonts w:hint="eastAsia"/>
              </w:rPr>
              <w:t>治理措施</w:t>
            </w:r>
          </w:p>
        </w:tc>
        <w:tc>
          <w:tcPr>
            <w:tcW w:w="1046" w:type="dxa"/>
            <w:noWrap w:val="0"/>
            <w:vAlign w:val="center"/>
          </w:tcPr>
          <w:p w14:paraId="74118A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排放浓度mg/m</w:t>
            </w:r>
            <w:r>
              <w:rPr>
                <w:vertAlign w:val="superscript"/>
              </w:rPr>
              <w:t>3</w:t>
            </w:r>
          </w:p>
        </w:tc>
        <w:tc>
          <w:tcPr>
            <w:tcW w:w="891" w:type="dxa"/>
            <w:noWrap w:val="0"/>
            <w:vAlign w:val="center"/>
          </w:tcPr>
          <w:p w14:paraId="4D2D30E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排放速率kg/h</w:t>
            </w:r>
          </w:p>
        </w:tc>
        <w:tc>
          <w:tcPr>
            <w:tcW w:w="913" w:type="dxa"/>
            <w:noWrap w:val="0"/>
            <w:vAlign w:val="center"/>
          </w:tcPr>
          <w:p w14:paraId="1C033C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t>排放量t/a</w:t>
            </w:r>
          </w:p>
        </w:tc>
      </w:tr>
      <w:tr w14:paraId="41259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0" w:type="dxa"/>
            <w:noWrap w:val="0"/>
            <w:vAlign w:val="center"/>
          </w:tcPr>
          <w:p w14:paraId="34C2D9F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default" w:eastAsia="宋体"/>
                <w:lang w:val="en-US" w:eastAsia="zh-CN"/>
              </w:rPr>
            </w:pPr>
            <w:r>
              <w:rPr>
                <w:rFonts w:hint="eastAsia" w:eastAsia="宋体"/>
                <w:lang w:val="en-US" w:eastAsia="zh-CN"/>
              </w:rPr>
              <w:t>粉碎工序</w:t>
            </w:r>
          </w:p>
        </w:tc>
        <w:tc>
          <w:tcPr>
            <w:tcW w:w="804" w:type="dxa"/>
            <w:noWrap w:val="0"/>
            <w:vAlign w:val="center"/>
          </w:tcPr>
          <w:p w14:paraId="1E87B7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rPr>
            </w:pPr>
            <w:r>
              <w:rPr>
                <w:rFonts w:hint="eastAsia"/>
              </w:rPr>
              <w:t>颗粒物</w:t>
            </w:r>
          </w:p>
        </w:tc>
        <w:tc>
          <w:tcPr>
            <w:tcW w:w="1078" w:type="dxa"/>
            <w:noWrap w:val="0"/>
            <w:vAlign w:val="center"/>
          </w:tcPr>
          <w:p w14:paraId="599FCE7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eastAsia="宋体"/>
                <w:lang w:val="en-US" w:eastAsia="zh-CN"/>
              </w:rPr>
              <w:t>378.7879</w:t>
            </w:r>
          </w:p>
        </w:tc>
        <w:tc>
          <w:tcPr>
            <w:tcW w:w="969" w:type="dxa"/>
            <w:noWrap w:val="0"/>
            <w:vAlign w:val="center"/>
          </w:tcPr>
          <w:p w14:paraId="7860629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lang w:val="en-US" w:eastAsia="zh-CN"/>
              </w:rPr>
            </w:pPr>
            <w:r>
              <w:rPr>
                <w:rFonts w:hint="eastAsia" w:eastAsia="宋体"/>
                <w:lang w:val="en-US" w:eastAsia="zh-CN"/>
              </w:rPr>
              <w:t>1.8939</w:t>
            </w:r>
          </w:p>
        </w:tc>
        <w:tc>
          <w:tcPr>
            <w:tcW w:w="765" w:type="dxa"/>
            <w:noWrap w:val="0"/>
            <w:vAlign w:val="center"/>
          </w:tcPr>
          <w:p w14:paraId="0568D7E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lang w:eastAsia="zh-CN"/>
              </w:rPr>
            </w:pPr>
            <w:r>
              <w:rPr>
                <w:rFonts w:hint="eastAsia" w:eastAsia="宋体"/>
                <w:lang w:val="en-US" w:eastAsia="zh-CN"/>
              </w:rPr>
              <w:t>5</w:t>
            </w:r>
          </w:p>
        </w:tc>
        <w:tc>
          <w:tcPr>
            <w:tcW w:w="1287" w:type="dxa"/>
            <w:noWrap w:val="0"/>
            <w:vAlign w:val="center"/>
          </w:tcPr>
          <w:p w14:paraId="0FF4534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rPr>
            </w:pPr>
            <w:r>
              <w:rPr>
                <w:rFonts w:hint="eastAsia"/>
              </w:rPr>
              <w:t>脉冲袋式除尘器，</w:t>
            </w:r>
            <w:r>
              <w:t>风量5000m</w:t>
            </w:r>
            <w:r>
              <w:rPr>
                <w:vertAlign w:val="superscript"/>
              </w:rPr>
              <w:t>3</w:t>
            </w:r>
            <w:r>
              <w:rPr>
                <w:rFonts w:hint="eastAsia"/>
              </w:rPr>
              <w:t>，去除率≥</w:t>
            </w:r>
            <w:r>
              <w:t>99%</w:t>
            </w:r>
          </w:p>
        </w:tc>
        <w:tc>
          <w:tcPr>
            <w:tcW w:w="1046" w:type="dxa"/>
            <w:noWrap w:val="0"/>
            <w:vAlign w:val="center"/>
          </w:tcPr>
          <w:p w14:paraId="57260C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Cs/>
                <w:lang w:val="en-US" w:eastAsia="zh-CN"/>
              </w:rPr>
            </w:pPr>
            <w:r>
              <w:rPr>
                <w:rFonts w:hint="eastAsia" w:eastAsia="宋体"/>
                <w:bCs/>
                <w:lang w:val="en-US" w:eastAsia="zh-CN"/>
              </w:rPr>
              <w:t>3.7879</w:t>
            </w:r>
          </w:p>
        </w:tc>
        <w:tc>
          <w:tcPr>
            <w:tcW w:w="891" w:type="dxa"/>
            <w:noWrap w:val="0"/>
            <w:vAlign w:val="center"/>
          </w:tcPr>
          <w:p w14:paraId="0EEA9BC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default" w:eastAsia="宋体"/>
                <w:bCs/>
                <w:lang w:val="en-US" w:eastAsia="zh-CN"/>
              </w:rPr>
            </w:pPr>
            <w:r>
              <w:rPr>
                <w:rFonts w:hint="eastAsia" w:eastAsia="宋体"/>
                <w:bCs/>
                <w:lang w:val="en-US" w:eastAsia="zh-CN"/>
              </w:rPr>
              <w:t>0.0189</w:t>
            </w:r>
          </w:p>
        </w:tc>
        <w:tc>
          <w:tcPr>
            <w:tcW w:w="913" w:type="dxa"/>
            <w:noWrap w:val="0"/>
            <w:vAlign w:val="center"/>
          </w:tcPr>
          <w:p w14:paraId="4CCBAA6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Cs/>
                <w:lang w:eastAsia="zh-CN"/>
              </w:rPr>
            </w:pPr>
            <w:r>
              <w:rPr>
                <w:rFonts w:hint="eastAsia"/>
                <w:bCs/>
              </w:rPr>
              <w:t>0.0</w:t>
            </w:r>
            <w:r>
              <w:rPr>
                <w:rFonts w:hint="eastAsia" w:eastAsia="宋体"/>
                <w:bCs/>
                <w:lang w:val="en-US" w:eastAsia="zh-CN"/>
              </w:rPr>
              <w:t>5</w:t>
            </w:r>
          </w:p>
        </w:tc>
      </w:tr>
    </w:tbl>
    <w:p w14:paraId="1E1B829A">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val="0"/>
          <w:bCs w:val="0"/>
          <w:color w:val="auto"/>
          <w:u w:val="none"/>
          <w:lang w:val="en-US" w:eastAsia="zh-CN"/>
        </w:rPr>
      </w:pPr>
      <w:r>
        <w:rPr>
          <w:rFonts w:hint="eastAsia"/>
          <w:b w:val="0"/>
          <w:bCs w:val="0"/>
          <w:color w:val="auto"/>
          <w:u w:val="none"/>
          <w:lang w:val="en-US" w:eastAsia="zh-CN"/>
        </w:rPr>
        <w:t>经过处理后，其排放速率为0.0189kg/h，排放浓度为3.7879mg/m</w:t>
      </w:r>
      <w:r>
        <w:rPr>
          <w:rFonts w:hint="eastAsia"/>
          <w:b w:val="0"/>
          <w:bCs w:val="0"/>
          <w:color w:val="auto"/>
          <w:u w:val="none"/>
          <w:vertAlign w:val="superscript"/>
          <w:lang w:val="en-US" w:eastAsia="zh-CN"/>
        </w:rPr>
        <w:t>3</w:t>
      </w:r>
      <w:r>
        <w:rPr>
          <w:rFonts w:hint="eastAsia"/>
          <w:b w:val="0"/>
          <w:bCs w:val="0"/>
          <w:color w:val="auto"/>
          <w:u w:val="none"/>
          <w:lang w:val="en-US" w:eastAsia="zh-CN"/>
        </w:rPr>
        <w:t>，排放量为0.05t/a，其</w:t>
      </w:r>
      <w:r>
        <w:rPr>
          <w:b w:val="0"/>
          <w:bCs w:val="0"/>
          <w:color w:val="auto"/>
          <w:u w:val="none"/>
        </w:rPr>
        <w:t>颗粒物</w:t>
      </w:r>
      <w:r>
        <w:rPr>
          <w:rFonts w:hint="eastAsia"/>
          <w:b w:val="0"/>
          <w:bCs w:val="0"/>
          <w:color w:val="auto"/>
          <w:u w:val="none"/>
          <w:lang w:val="en-US" w:eastAsia="zh-CN"/>
        </w:rPr>
        <w:t>排放浓度和排放速率均能够满足</w:t>
      </w:r>
      <w:r>
        <w:rPr>
          <w:b w:val="0"/>
          <w:bCs w:val="0"/>
          <w:color w:val="auto"/>
          <w:u w:val="none"/>
        </w:rPr>
        <w:t>《新乡市生态环境局关于进一步规范工业企业颗粒物排放限值的通知》</w:t>
      </w:r>
      <w:r>
        <w:rPr>
          <w:rFonts w:hint="eastAsia"/>
          <w:b w:val="0"/>
          <w:bCs w:val="0"/>
          <w:color w:val="auto"/>
          <w:u w:val="none"/>
        </w:rPr>
        <w:t>其他涉气工业企业10mg/m</w:t>
      </w:r>
      <w:r>
        <w:rPr>
          <w:rFonts w:hint="eastAsia"/>
          <w:b w:val="0"/>
          <w:bCs w:val="0"/>
          <w:color w:val="auto"/>
          <w:u w:val="none"/>
          <w:vertAlign w:val="superscript"/>
        </w:rPr>
        <w:t>3</w:t>
      </w:r>
      <w:r>
        <w:rPr>
          <w:rFonts w:hint="eastAsia"/>
          <w:b w:val="0"/>
          <w:bCs w:val="0"/>
          <w:color w:val="auto"/>
          <w:u w:val="none"/>
        </w:rPr>
        <w:t>（有组织）</w:t>
      </w:r>
      <w:r>
        <w:rPr>
          <w:rFonts w:hint="eastAsia"/>
          <w:b w:val="0"/>
          <w:bCs w:val="0"/>
          <w:color w:val="auto"/>
          <w:u w:val="none"/>
          <w:lang w:val="en-US" w:eastAsia="zh-CN"/>
        </w:rPr>
        <w:t>和《大气污染物综合排放标准》（GB16297-1996）中要求二级标准20m排气筒最高允许排放速率5.9kg/h。</w:t>
      </w:r>
    </w:p>
    <w:p w14:paraId="77B95DC8">
      <w:pPr>
        <w:pStyle w:val="6"/>
        <w:bidi w:val="0"/>
        <w:rPr>
          <w:rFonts w:hint="default"/>
          <w:lang w:val="en-US" w:eastAsia="zh-CN"/>
        </w:rPr>
      </w:pPr>
      <w:r>
        <w:rPr>
          <w:rFonts w:hint="eastAsia"/>
          <w:lang w:val="en-US" w:eastAsia="zh-CN"/>
        </w:rPr>
        <w:t>有机废气</w:t>
      </w:r>
    </w:p>
    <w:p w14:paraId="270E468D">
      <w:pPr>
        <w:bidi w:val="0"/>
        <w:rPr>
          <w:rFonts w:hint="eastAsia"/>
          <w:b/>
          <w:bCs/>
          <w:color w:val="auto"/>
          <w:u w:val="single"/>
          <w:lang w:val="en-US" w:eastAsia="zh-CN"/>
        </w:rPr>
      </w:pPr>
      <w:r>
        <w:rPr>
          <w:rFonts w:hint="eastAsia"/>
          <w:b/>
          <w:bCs/>
          <w:color w:val="auto"/>
          <w:u w:val="single"/>
          <w:lang w:val="en-US" w:eastAsia="zh-CN"/>
        </w:rPr>
        <w:t>*</w:t>
      </w:r>
    </w:p>
    <w:p w14:paraId="26822121">
      <w:pPr>
        <w:bidi w:val="0"/>
        <w:rPr>
          <w:rFonts w:hint="default"/>
          <w:b/>
          <w:bCs/>
          <w:color w:val="auto"/>
          <w:u w:val="single"/>
          <w:lang w:val="en-US" w:eastAsia="zh-CN"/>
        </w:rPr>
      </w:pPr>
      <w:r>
        <w:rPr>
          <w:rFonts w:hint="eastAsia"/>
          <w:b/>
          <w:bCs/>
          <w:color w:val="auto"/>
          <w:u w:val="single"/>
          <w:lang w:val="en-US" w:eastAsia="zh-CN"/>
        </w:rPr>
        <w:t>*</w:t>
      </w:r>
    </w:p>
    <w:p w14:paraId="405AEB2E">
      <w:pPr>
        <w:bidi w:val="0"/>
        <w:rPr>
          <w:rFonts w:hint="eastAsia"/>
          <w:b/>
          <w:bCs/>
          <w:color w:val="auto"/>
          <w:u w:val="single"/>
          <w:lang w:val="en-US" w:eastAsia="zh-CN"/>
        </w:rPr>
      </w:pPr>
      <w:r>
        <w:rPr>
          <w:rFonts w:hint="eastAsia"/>
          <w:b/>
          <w:bCs/>
          <w:color w:val="auto"/>
          <w:u w:val="single"/>
          <w:lang w:val="en-US" w:eastAsia="zh-CN"/>
        </w:rPr>
        <w:t>*</w:t>
      </w:r>
    </w:p>
    <w:p w14:paraId="0FF3ED65">
      <w:pPr>
        <w:bidi w:val="0"/>
        <w:rPr>
          <w:rFonts w:hint="default"/>
          <w:b/>
          <w:bCs/>
          <w:color w:val="auto"/>
          <w:u w:val="single"/>
          <w:lang w:val="en-US" w:eastAsia="zh-CN"/>
        </w:rPr>
      </w:pPr>
      <w:r>
        <w:rPr>
          <w:rFonts w:hint="eastAsia"/>
          <w:b/>
          <w:bCs/>
          <w:color w:val="auto"/>
          <w:u w:val="single"/>
          <w:lang w:val="en-US" w:eastAsia="zh-CN"/>
        </w:rPr>
        <w:t>*</w:t>
      </w:r>
    </w:p>
    <w:p w14:paraId="7047E458">
      <w:pPr>
        <w:bidi w:val="0"/>
        <w:rPr>
          <w:rFonts w:hint="eastAsia"/>
          <w:b/>
          <w:bCs/>
          <w:color w:val="auto"/>
          <w:u w:val="single"/>
          <w:lang w:val="en-US" w:eastAsia="zh-CN"/>
        </w:rPr>
      </w:pPr>
      <w:r>
        <w:rPr>
          <w:rFonts w:hint="eastAsia"/>
          <w:b/>
          <w:bCs/>
          <w:color w:val="auto"/>
          <w:u w:val="single"/>
          <w:lang w:val="en-US" w:eastAsia="zh-CN"/>
        </w:rPr>
        <w:t>*</w:t>
      </w:r>
    </w:p>
    <w:p w14:paraId="12C6CA9F">
      <w:pPr>
        <w:bidi w:val="0"/>
        <w:rPr>
          <w:rFonts w:hint="default"/>
          <w:b/>
          <w:bCs/>
          <w:color w:val="auto"/>
          <w:u w:val="single"/>
          <w:lang w:val="en-US" w:eastAsia="zh-CN"/>
        </w:rPr>
      </w:pPr>
      <w:r>
        <w:rPr>
          <w:rFonts w:hint="eastAsia"/>
          <w:b/>
          <w:bCs/>
          <w:color w:val="auto"/>
          <w:u w:val="single"/>
          <w:lang w:val="en-US" w:eastAsia="zh-CN"/>
        </w:rPr>
        <w:t>*</w:t>
      </w:r>
    </w:p>
    <w:p w14:paraId="0747B59F">
      <w:pPr>
        <w:bidi w:val="0"/>
        <w:rPr>
          <w:rFonts w:hint="eastAsia"/>
          <w:b/>
          <w:bCs/>
          <w:color w:val="auto"/>
          <w:u w:val="single"/>
          <w:lang w:val="en-US" w:eastAsia="zh-CN"/>
        </w:rPr>
      </w:pPr>
      <w:r>
        <w:rPr>
          <w:rFonts w:hint="eastAsia"/>
          <w:b/>
          <w:bCs/>
          <w:color w:val="auto"/>
          <w:u w:val="single"/>
          <w:lang w:val="en-US" w:eastAsia="zh-CN"/>
        </w:rPr>
        <w:t>*</w:t>
      </w:r>
    </w:p>
    <w:p w14:paraId="1D5F8BD7">
      <w:pPr>
        <w:bidi w:val="0"/>
        <w:rPr>
          <w:rFonts w:hint="default"/>
          <w:b/>
          <w:bCs/>
          <w:color w:val="auto"/>
          <w:u w:val="single"/>
          <w:lang w:val="en-US" w:eastAsia="zh-CN"/>
        </w:rPr>
      </w:pPr>
      <w:r>
        <w:rPr>
          <w:rFonts w:hint="eastAsia"/>
          <w:b/>
          <w:bCs/>
          <w:color w:val="auto"/>
          <w:u w:val="single"/>
          <w:lang w:val="en-US" w:eastAsia="zh-CN"/>
        </w:rPr>
        <w:t>*</w:t>
      </w:r>
    </w:p>
    <w:p w14:paraId="42B096F0">
      <w:pPr>
        <w:bidi w:val="0"/>
        <w:rPr>
          <w:rFonts w:hint="eastAsia"/>
          <w:b/>
          <w:bCs/>
          <w:color w:val="auto"/>
          <w:u w:val="single"/>
          <w:lang w:val="en-US" w:eastAsia="zh-CN"/>
        </w:rPr>
      </w:pPr>
      <w:r>
        <w:rPr>
          <w:rFonts w:hint="eastAsia"/>
          <w:b/>
          <w:bCs/>
          <w:color w:val="auto"/>
          <w:u w:val="single"/>
          <w:lang w:val="en-US" w:eastAsia="zh-CN"/>
        </w:rPr>
        <w:t>*</w:t>
      </w:r>
    </w:p>
    <w:p w14:paraId="30173C79">
      <w:pPr>
        <w:bidi w:val="0"/>
        <w:rPr>
          <w:rFonts w:hint="default"/>
          <w:b/>
          <w:bCs/>
          <w:color w:val="auto"/>
          <w:u w:val="single"/>
          <w:lang w:val="en-US" w:eastAsia="zh-CN"/>
        </w:rPr>
      </w:pPr>
      <w:r>
        <w:rPr>
          <w:rFonts w:hint="eastAsia"/>
          <w:b/>
          <w:bCs/>
          <w:color w:val="auto"/>
          <w:u w:val="single"/>
          <w:lang w:val="en-US" w:eastAsia="zh-CN"/>
        </w:rPr>
        <w:t>*</w:t>
      </w:r>
    </w:p>
    <w:p w14:paraId="23D26FBD">
      <w:pPr>
        <w:bidi w:val="0"/>
        <w:rPr>
          <w:rFonts w:hint="eastAsia"/>
          <w:b/>
          <w:bCs/>
          <w:color w:val="auto"/>
          <w:u w:val="single"/>
          <w:lang w:val="en-US" w:eastAsia="zh-CN"/>
        </w:rPr>
      </w:pPr>
      <w:r>
        <w:rPr>
          <w:rFonts w:hint="eastAsia"/>
          <w:b/>
          <w:bCs/>
          <w:color w:val="auto"/>
          <w:u w:val="single"/>
          <w:lang w:val="en-US" w:eastAsia="zh-CN"/>
        </w:rPr>
        <w:t>*</w:t>
      </w:r>
    </w:p>
    <w:p w14:paraId="7C3A2722">
      <w:pPr>
        <w:bidi w:val="0"/>
        <w:rPr>
          <w:rFonts w:hint="default"/>
          <w:b/>
          <w:bCs/>
          <w:color w:val="auto"/>
          <w:u w:val="single"/>
          <w:lang w:val="en-US" w:eastAsia="zh-CN"/>
        </w:rPr>
      </w:pPr>
      <w:r>
        <w:rPr>
          <w:rFonts w:hint="eastAsia"/>
          <w:b/>
          <w:bCs/>
          <w:color w:val="auto"/>
          <w:u w:val="single"/>
          <w:lang w:val="en-US" w:eastAsia="zh-CN"/>
        </w:rPr>
        <w:t>*</w:t>
      </w:r>
    </w:p>
    <w:p w14:paraId="1106E4FC">
      <w:pPr>
        <w:bidi w:val="0"/>
        <w:rPr>
          <w:rFonts w:hint="eastAsia"/>
          <w:b/>
          <w:bCs/>
          <w:color w:val="auto"/>
          <w:u w:val="single"/>
          <w:lang w:val="en-US" w:eastAsia="zh-CN"/>
        </w:rPr>
      </w:pPr>
      <w:r>
        <w:rPr>
          <w:rFonts w:hint="eastAsia"/>
          <w:b/>
          <w:bCs/>
          <w:color w:val="auto"/>
          <w:u w:val="single"/>
          <w:lang w:val="en-US" w:eastAsia="zh-CN"/>
        </w:rPr>
        <w:t>*</w:t>
      </w:r>
    </w:p>
    <w:p w14:paraId="51FFDE22">
      <w:pPr>
        <w:bidi w:val="0"/>
        <w:rPr>
          <w:rFonts w:hint="default"/>
          <w:b/>
          <w:bCs/>
          <w:color w:val="auto"/>
          <w:u w:val="single"/>
          <w:lang w:val="en-US" w:eastAsia="zh-CN"/>
        </w:rPr>
      </w:pPr>
      <w:r>
        <w:rPr>
          <w:rFonts w:hint="eastAsia"/>
          <w:b/>
          <w:bCs/>
          <w:color w:val="auto"/>
          <w:u w:val="single"/>
          <w:lang w:val="en-US" w:eastAsia="zh-CN"/>
        </w:rPr>
        <w:t>*</w:t>
      </w:r>
    </w:p>
    <w:p w14:paraId="386E21CB">
      <w:pPr>
        <w:bidi w:val="0"/>
        <w:rPr>
          <w:rFonts w:hint="eastAsia"/>
          <w:b/>
          <w:bCs/>
          <w:color w:val="auto"/>
          <w:u w:val="single"/>
          <w:lang w:val="en-US" w:eastAsia="zh-CN"/>
        </w:rPr>
      </w:pPr>
      <w:r>
        <w:rPr>
          <w:rFonts w:hint="eastAsia"/>
          <w:b/>
          <w:bCs/>
          <w:color w:val="auto"/>
          <w:u w:val="single"/>
          <w:lang w:val="en-US" w:eastAsia="zh-CN"/>
        </w:rPr>
        <w:t>*</w:t>
      </w:r>
    </w:p>
    <w:p w14:paraId="7796CDBF">
      <w:pPr>
        <w:bidi w:val="0"/>
        <w:rPr>
          <w:rFonts w:hint="default"/>
          <w:b/>
          <w:bCs/>
          <w:color w:val="auto"/>
          <w:u w:val="single"/>
          <w:lang w:val="en-US" w:eastAsia="zh-CN"/>
        </w:rPr>
      </w:pPr>
      <w:r>
        <w:rPr>
          <w:rFonts w:hint="eastAsia"/>
          <w:b/>
          <w:bCs/>
          <w:color w:val="auto"/>
          <w:u w:val="single"/>
          <w:lang w:val="en-US" w:eastAsia="zh-CN"/>
        </w:rPr>
        <w:t>*</w:t>
      </w:r>
    </w:p>
    <w:p w14:paraId="164DA1BE">
      <w:pPr>
        <w:bidi w:val="0"/>
        <w:rPr>
          <w:rFonts w:hint="eastAsia"/>
          <w:b/>
          <w:bCs/>
          <w:color w:val="auto"/>
          <w:u w:val="single"/>
          <w:lang w:val="en-US" w:eastAsia="zh-CN"/>
        </w:rPr>
      </w:pPr>
      <w:r>
        <w:rPr>
          <w:rFonts w:hint="eastAsia"/>
          <w:b/>
          <w:bCs/>
          <w:color w:val="auto"/>
          <w:u w:val="single"/>
          <w:lang w:val="en-US" w:eastAsia="zh-CN"/>
        </w:rPr>
        <w:t>*</w:t>
      </w:r>
    </w:p>
    <w:p w14:paraId="5B2093E6">
      <w:pPr>
        <w:bidi w:val="0"/>
        <w:rPr>
          <w:rFonts w:hint="default"/>
          <w:b/>
          <w:bCs/>
          <w:color w:val="auto"/>
          <w:u w:val="single"/>
          <w:lang w:val="en-US" w:eastAsia="zh-CN"/>
        </w:rPr>
      </w:pPr>
      <w:r>
        <w:rPr>
          <w:rFonts w:hint="eastAsia"/>
          <w:b/>
          <w:bCs/>
          <w:color w:val="auto"/>
          <w:u w:val="single"/>
          <w:lang w:val="en-US" w:eastAsia="zh-CN"/>
        </w:rPr>
        <w:t>*</w:t>
      </w:r>
    </w:p>
    <w:p w14:paraId="0EA3DA71">
      <w:pPr>
        <w:bidi w:val="0"/>
        <w:rPr>
          <w:rFonts w:hint="eastAsia"/>
          <w:b/>
          <w:bCs/>
          <w:color w:val="auto"/>
          <w:u w:val="single"/>
          <w:lang w:val="en-US" w:eastAsia="zh-CN"/>
        </w:rPr>
      </w:pPr>
      <w:r>
        <w:rPr>
          <w:rFonts w:hint="eastAsia"/>
          <w:b/>
          <w:bCs/>
          <w:color w:val="auto"/>
          <w:u w:val="single"/>
          <w:lang w:val="en-US" w:eastAsia="zh-CN"/>
        </w:rPr>
        <w:t>*</w:t>
      </w:r>
    </w:p>
    <w:p w14:paraId="52624589">
      <w:pPr>
        <w:bidi w:val="0"/>
        <w:rPr>
          <w:rFonts w:hint="default"/>
          <w:b/>
          <w:bCs/>
          <w:color w:val="auto"/>
          <w:u w:val="single"/>
          <w:lang w:val="en-US" w:eastAsia="zh-CN"/>
        </w:rPr>
      </w:pPr>
      <w:r>
        <w:rPr>
          <w:rFonts w:hint="eastAsia"/>
          <w:b/>
          <w:bCs/>
          <w:color w:val="auto"/>
          <w:u w:val="single"/>
          <w:lang w:val="en-US" w:eastAsia="zh-CN"/>
        </w:rPr>
        <w:t>*</w:t>
      </w:r>
    </w:p>
    <w:p w14:paraId="44252661">
      <w:pPr>
        <w:bidi w:val="0"/>
        <w:rPr>
          <w:rFonts w:hint="eastAsia"/>
          <w:b/>
          <w:bCs/>
          <w:color w:val="auto"/>
          <w:u w:val="single"/>
          <w:lang w:val="en-US" w:eastAsia="zh-CN"/>
        </w:rPr>
      </w:pPr>
      <w:r>
        <w:rPr>
          <w:rFonts w:hint="eastAsia"/>
          <w:b/>
          <w:bCs/>
          <w:color w:val="auto"/>
          <w:u w:val="single"/>
          <w:lang w:val="en-US" w:eastAsia="zh-CN"/>
        </w:rPr>
        <w:t>*</w:t>
      </w:r>
    </w:p>
    <w:p w14:paraId="19B4724F">
      <w:pPr>
        <w:bidi w:val="0"/>
        <w:rPr>
          <w:rFonts w:hint="default"/>
          <w:b/>
          <w:bCs/>
          <w:color w:val="auto"/>
          <w:u w:val="single"/>
          <w:lang w:val="en-US" w:eastAsia="zh-CN"/>
        </w:rPr>
      </w:pPr>
      <w:r>
        <w:rPr>
          <w:rFonts w:hint="eastAsia"/>
          <w:b/>
          <w:bCs/>
          <w:color w:val="auto"/>
          <w:u w:val="single"/>
          <w:lang w:val="en-US" w:eastAsia="zh-CN"/>
        </w:rPr>
        <w:t>*</w:t>
      </w:r>
    </w:p>
    <w:p w14:paraId="280CCAF7">
      <w:pPr>
        <w:bidi w:val="0"/>
        <w:rPr>
          <w:rFonts w:hint="eastAsia"/>
          <w:b/>
          <w:bCs/>
          <w:color w:val="auto"/>
          <w:u w:val="single"/>
          <w:lang w:val="en-US" w:eastAsia="zh-CN"/>
        </w:rPr>
      </w:pPr>
      <w:r>
        <w:rPr>
          <w:rFonts w:hint="eastAsia"/>
          <w:b/>
          <w:bCs/>
          <w:color w:val="auto"/>
          <w:u w:val="single"/>
          <w:lang w:val="en-US" w:eastAsia="zh-CN"/>
        </w:rPr>
        <w:t>*</w:t>
      </w:r>
    </w:p>
    <w:p w14:paraId="575FF7E4">
      <w:pPr>
        <w:bidi w:val="0"/>
        <w:rPr>
          <w:rFonts w:hint="default"/>
          <w:b/>
          <w:bCs/>
          <w:color w:val="auto"/>
          <w:u w:val="single"/>
          <w:lang w:val="en-US" w:eastAsia="zh-CN"/>
        </w:rPr>
      </w:pPr>
      <w:r>
        <w:rPr>
          <w:rFonts w:hint="eastAsia"/>
          <w:b/>
          <w:bCs/>
          <w:color w:val="auto"/>
          <w:u w:val="single"/>
          <w:lang w:val="en-US" w:eastAsia="zh-CN"/>
        </w:rPr>
        <w:t>*</w:t>
      </w:r>
    </w:p>
    <w:p w14:paraId="25EAB07E">
      <w:pPr>
        <w:bidi w:val="0"/>
        <w:rPr>
          <w:rFonts w:hint="eastAsia"/>
          <w:b/>
          <w:bCs/>
          <w:color w:val="auto"/>
          <w:u w:val="single"/>
          <w:lang w:val="en-US" w:eastAsia="zh-CN"/>
        </w:rPr>
      </w:pPr>
      <w:r>
        <w:rPr>
          <w:rFonts w:hint="eastAsia"/>
          <w:b/>
          <w:bCs/>
          <w:color w:val="auto"/>
          <w:u w:val="single"/>
          <w:lang w:val="en-US" w:eastAsia="zh-CN"/>
        </w:rPr>
        <w:t>*</w:t>
      </w:r>
    </w:p>
    <w:p w14:paraId="606DE2E4">
      <w:pPr>
        <w:bidi w:val="0"/>
        <w:rPr>
          <w:rFonts w:hint="default"/>
          <w:b/>
          <w:bCs/>
          <w:color w:val="auto"/>
          <w:u w:val="single"/>
          <w:lang w:val="en-US" w:eastAsia="zh-CN"/>
        </w:rPr>
      </w:pPr>
      <w:r>
        <w:rPr>
          <w:rFonts w:hint="eastAsia"/>
          <w:b/>
          <w:bCs/>
          <w:color w:val="auto"/>
          <w:u w:val="single"/>
          <w:lang w:val="en-US" w:eastAsia="zh-CN"/>
        </w:rPr>
        <w:t>*</w:t>
      </w:r>
    </w:p>
    <w:p w14:paraId="022EF077">
      <w:pPr>
        <w:bidi w:val="0"/>
        <w:rPr>
          <w:rFonts w:hint="eastAsia"/>
          <w:b/>
          <w:bCs/>
          <w:color w:val="auto"/>
          <w:u w:val="single"/>
          <w:lang w:val="en-US" w:eastAsia="zh-CN"/>
        </w:rPr>
      </w:pPr>
      <w:r>
        <w:rPr>
          <w:rFonts w:hint="eastAsia"/>
          <w:b/>
          <w:bCs/>
          <w:color w:val="auto"/>
          <w:u w:val="single"/>
          <w:lang w:val="en-US" w:eastAsia="zh-CN"/>
        </w:rPr>
        <w:t>。</w:t>
      </w:r>
    </w:p>
    <w:p w14:paraId="69BBAA08">
      <w:pPr>
        <w:keepNext w:val="0"/>
        <w:keepLines w:val="0"/>
        <w:pageBreakBefore w:val="0"/>
        <w:widowControl w:val="0"/>
        <w:tabs>
          <w:tab w:val="left" w:pos="4800"/>
        </w:tabs>
        <w:kinsoku/>
        <w:wordWrap/>
        <w:overflowPunct/>
        <w:topLinePunct w:val="0"/>
        <w:autoSpaceDE/>
        <w:autoSpaceDN/>
        <w:bidi w:val="0"/>
        <w:adjustRightInd w:val="0"/>
        <w:snapToGrid w:val="0"/>
        <w:spacing w:line="360" w:lineRule="auto"/>
        <w:textAlignment w:val="auto"/>
        <w:rPr>
          <w:rFonts w:hint="eastAsia"/>
          <w:b/>
          <w:bCs/>
          <w:color w:val="auto"/>
          <w:u w:val="single"/>
          <w:lang w:val="en-US" w:eastAsia="zh-CN"/>
        </w:rPr>
      </w:pPr>
    </w:p>
    <w:p w14:paraId="7749FBB5">
      <w:pPr>
        <w:pStyle w:val="10"/>
        <w:bidi w:val="0"/>
        <w:rPr>
          <w:b/>
          <w:bCs/>
          <w:u w:val="single"/>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4.6</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2</w:t>
      </w:r>
      <w:r>
        <w:rPr>
          <w:b/>
          <w:bCs/>
          <w:u w:val="single"/>
        </w:rPr>
        <w:fldChar w:fldCharType="end"/>
      </w:r>
      <w:r>
        <w:rPr>
          <w:rFonts w:hint="eastAsia"/>
          <w:b/>
          <w:bCs/>
          <w:u w:val="single"/>
        </w:rPr>
        <w:t xml:space="preserve"> </w:t>
      </w:r>
      <w:r>
        <w:rPr>
          <w:rFonts w:hint="eastAsia"/>
          <w:b/>
          <w:bCs/>
          <w:u w:val="single"/>
          <w:lang w:val="en-US" w:eastAsia="zh-CN"/>
        </w:rPr>
        <w:t>有机</w:t>
      </w:r>
      <w:r>
        <w:rPr>
          <w:rFonts w:hint="eastAsia"/>
          <w:b/>
          <w:bCs/>
          <w:u w:val="single"/>
        </w:rPr>
        <w:t>废气污染物产排情况一览表</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5"/>
        <w:gridCol w:w="816"/>
        <w:gridCol w:w="816"/>
        <w:gridCol w:w="905"/>
        <w:gridCol w:w="871"/>
        <w:gridCol w:w="816"/>
        <w:gridCol w:w="1086"/>
        <w:gridCol w:w="924"/>
        <w:gridCol w:w="817"/>
        <w:gridCol w:w="837"/>
      </w:tblGrid>
      <w:tr w14:paraId="2E5E0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1" w:type="dxa"/>
            <w:noWrap w:val="0"/>
            <w:vAlign w:val="center"/>
          </w:tcPr>
          <w:p w14:paraId="7575ED2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eastAsia="宋体"/>
                <w:b/>
                <w:bCs/>
                <w:u w:val="single"/>
                <w:lang w:val="en-US" w:eastAsia="zh-CN"/>
              </w:rPr>
            </w:pPr>
            <w:r>
              <w:rPr>
                <w:rFonts w:hint="eastAsia" w:eastAsia="宋体"/>
                <w:b/>
                <w:bCs/>
                <w:u w:val="single"/>
                <w:lang w:val="en-US" w:eastAsia="zh-CN"/>
              </w:rPr>
              <w:t>排放形式</w:t>
            </w:r>
          </w:p>
        </w:tc>
        <w:tc>
          <w:tcPr>
            <w:tcW w:w="711" w:type="dxa"/>
            <w:noWrap w:val="0"/>
            <w:vAlign w:val="center"/>
          </w:tcPr>
          <w:p w14:paraId="5204C23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bCs/>
                <w:u w:val="single"/>
              </w:rPr>
            </w:pPr>
            <w:r>
              <w:rPr>
                <w:b/>
                <w:bCs/>
                <w:u w:val="single"/>
              </w:rPr>
              <w:t>产污环节</w:t>
            </w:r>
          </w:p>
        </w:tc>
        <w:tc>
          <w:tcPr>
            <w:tcW w:w="751" w:type="dxa"/>
            <w:noWrap w:val="0"/>
            <w:vAlign w:val="center"/>
          </w:tcPr>
          <w:p w14:paraId="624A618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bCs/>
                <w:u w:val="single"/>
              </w:rPr>
            </w:pPr>
            <w:r>
              <w:rPr>
                <w:b/>
                <w:bCs/>
                <w:u w:val="single"/>
              </w:rPr>
              <w:t>污染物</w:t>
            </w:r>
          </w:p>
        </w:tc>
        <w:tc>
          <w:tcPr>
            <w:tcW w:w="938" w:type="dxa"/>
            <w:noWrap w:val="0"/>
            <w:vAlign w:val="center"/>
          </w:tcPr>
          <w:p w14:paraId="15BE02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bCs/>
                <w:u w:val="single"/>
              </w:rPr>
            </w:pPr>
            <w:r>
              <w:rPr>
                <w:b/>
                <w:bCs/>
                <w:u w:val="single"/>
              </w:rPr>
              <w:t>产生浓度mg/m</w:t>
            </w:r>
            <w:r>
              <w:rPr>
                <w:b/>
                <w:bCs/>
                <w:u w:val="single"/>
                <w:vertAlign w:val="superscript"/>
              </w:rPr>
              <w:t>3</w:t>
            </w:r>
          </w:p>
        </w:tc>
        <w:tc>
          <w:tcPr>
            <w:tcW w:w="891" w:type="dxa"/>
            <w:noWrap w:val="0"/>
            <w:vAlign w:val="center"/>
          </w:tcPr>
          <w:p w14:paraId="550880E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bCs/>
                <w:u w:val="single"/>
              </w:rPr>
            </w:pPr>
            <w:r>
              <w:rPr>
                <w:b/>
                <w:bCs/>
                <w:u w:val="single"/>
              </w:rPr>
              <w:t>产生速率kg/h</w:t>
            </w:r>
          </w:p>
        </w:tc>
        <w:tc>
          <w:tcPr>
            <w:tcW w:w="708" w:type="dxa"/>
            <w:noWrap w:val="0"/>
            <w:vAlign w:val="center"/>
          </w:tcPr>
          <w:p w14:paraId="356629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bCs/>
                <w:u w:val="single"/>
              </w:rPr>
            </w:pPr>
            <w:r>
              <w:rPr>
                <w:b/>
                <w:bCs/>
                <w:u w:val="single"/>
              </w:rPr>
              <w:t>产生量t/a</w:t>
            </w:r>
          </w:p>
        </w:tc>
        <w:tc>
          <w:tcPr>
            <w:tcW w:w="1184" w:type="dxa"/>
            <w:noWrap w:val="0"/>
            <w:vAlign w:val="center"/>
          </w:tcPr>
          <w:p w14:paraId="2994ED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b/>
                <w:bCs/>
                <w:u w:val="single"/>
              </w:rPr>
            </w:pPr>
            <w:r>
              <w:rPr>
                <w:rFonts w:hint="eastAsia"/>
                <w:b/>
                <w:bCs/>
                <w:u w:val="single"/>
              </w:rPr>
              <w:t>治理措施</w:t>
            </w:r>
          </w:p>
        </w:tc>
        <w:tc>
          <w:tcPr>
            <w:tcW w:w="964" w:type="dxa"/>
            <w:noWrap w:val="0"/>
            <w:vAlign w:val="center"/>
          </w:tcPr>
          <w:p w14:paraId="7BEA7AD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bCs/>
                <w:u w:val="single"/>
              </w:rPr>
            </w:pPr>
            <w:r>
              <w:rPr>
                <w:b/>
                <w:bCs/>
                <w:u w:val="single"/>
              </w:rPr>
              <w:t>排放浓度mg/m</w:t>
            </w:r>
            <w:r>
              <w:rPr>
                <w:b/>
                <w:bCs/>
                <w:u w:val="single"/>
                <w:vertAlign w:val="superscript"/>
              </w:rPr>
              <w:t>3</w:t>
            </w:r>
          </w:p>
        </w:tc>
        <w:tc>
          <w:tcPr>
            <w:tcW w:w="818" w:type="dxa"/>
            <w:noWrap w:val="0"/>
            <w:vAlign w:val="center"/>
          </w:tcPr>
          <w:p w14:paraId="463FF8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bCs/>
                <w:u w:val="single"/>
              </w:rPr>
            </w:pPr>
            <w:r>
              <w:rPr>
                <w:b/>
                <w:bCs/>
                <w:u w:val="single"/>
              </w:rPr>
              <w:t>排放速率kg/h</w:t>
            </w:r>
          </w:p>
        </w:tc>
        <w:tc>
          <w:tcPr>
            <w:tcW w:w="843" w:type="dxa"/>
            <w:noWrap w:val="0"/>
            <w:vAlign w:val="center"/>
          </w:tcPr>
          <w:p w14:paraId="16265B5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bCs/>
                <w:u w:val="single"/>
              </w:rPr>
            </w:pPr>
            <w:r>
              <w:rPr>
                <w:b/>
                <w:bCs/>
                <w:u w:val="single"/>
              </w:rPr>
              <w:t>排放量t/a</w:t>
            </w:r>
          </w:p>
        </w:tc>
      </w:tr>
      <w:tr w14:paraId="576F8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1" w:type="dxa"/>
            <w:vMerge w:val="restart"/>
            <w:noWrap w:val="0"/>
            <w:vAlign w:val="center"/>
          </w:tcPr>
          <w:p w14:paraId="6DF578F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default" w:eastAsia="宋体"/>
                <w:b/>
                <w:bCs/>
                <w:u w:val="single"/>
                <w:lang w:val="en-US" w:eastAsia="zh-CN"/>
              </w:rPr>
            </w:pPr>
            <w:r>
              <w:rPr>
                <w:rFonts w:hint="eastAsia" w:eastAsia="宋体"/>
                <w:b/>
                <w:bCs/>
                <w:u w:val="single"/>
                <w:lang w:val="en-US" w:eastAsia="zh-CN"/>
              </w:rPr>
              <w:t>有组织</w:t>
            </w:r>
          </w:p>
        </w:tc>
        <w:tc>
          <w:tcPr>
            <w:tcW w:w="711" w:type="dxa"/>
            <w:noWrap w:val="0"/>
            <w:vAlign w:val="center"/>
          </w:tcPr>
          <w:p w14:paraId="307DEAC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rFonts w:hint="default" w:eastAsia="宋体"/>
                <w:b/>
                <w:bCs/>
                <w:u w:val="single"/>
                <w:lang w:val="en-US" w:eastAsia="zh-CN"/>
              </w:rPr>
            </w:pPr>
            <w:r>
              <w:rPr>
                <w:rFonts w:hint="eastAsia"/>
                <w:b/>
                <w:bCs/>
                <w:color w:val="auto"/>
                <w:u w:val="single"/>
                <w:lang w:val="en-US" w:eastAsia="zh-CN"/>
              </w:rPr>
              <w:t>*</w:t>
            </w:r>
          </w:p>
        </w:tc>
        <w:tc>
          <w:tcPr>
            <w:tcW w:w="751" w:type="dxa"/>
            <w:noWrap w:val="0"/>
            <w:vAlign w:val="center"/>
          </w:tcPr>
          <w:p w14:paraId="071972FE">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rFonts w:hint="default" w:eastAsia="宋体"/>
                <w:b/>
                <w:bCs/>
                <w:u w:val="single"/>
                <w:lang w:val="en-US" w:eastAsia="zh-CN"/>
              </w:rPr>
            </w:pPr>
            <w:r>
              <w:rPr>
                <w:rFonts w:hint="eastAsia"/>
                <w:b/>
                <w:bCs/>
                <w:color w:val="auto"/>
                <w:u w:val="single"/>
                <w:lang w:val="en-US" w:eastAsia="zh-CN"/>
              </w:rPr>
              <w:t>*</w:t>
            </w:r>
          </w:p>
        </w:tc>
        <w:tc>
          <w:tcPr>
            <w:tcW w:w="938" w:type="dxa"/>
            <w:vMerge w:val="restart"/>
            <w:noWrap w:val="0"/>
            <w:vAlign w:val="center"/>
          </w:tcPr>
          <w:p w14:paraId="54C3A7D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p w14:paraId="3D079E2F">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43787F61">
            <w:pPr>
              <w:bidi w:val="0"/>
              <w:ind w:firstLine="482" w:firstLineChars="200"/>
              <w:rPr>
                <w:rFonts w:hint="default"/>
                <w:lang w:val="en-US" w:eastAsia="zh-CN"/>
              </w:rPr>
            </w:pPr>
            <w:r>
              <w:rPr>
                <w:rFonts w:hint="eastAsia"/>
                <w:b/>
                <w:bCs/>
                <w:color w:val="auto"/>
                <w:u w:val="single"/>
                <w:lang w:val="en-US" w:eastAsia="zh-CN"/>
              </w:rPr>
              <w:t>*</w:t>
            </w:r>
          </w:p>
        </w:tc>
        <w:tc>
          <w:tcPr>
            <w:tcW w:w="891" w:type="dxa"/>
            <w:vMerge w:val="restart"/>
            <w:noWrap w:val="0"/>
            <w:vAlign w:val="center"/>
          </w:tcPr>
          <w:p w14:paraId="00A6861F">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p w14:paraId="50A73F82">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413BC3A7">
            <w:pPr>
              <w:bidi w:val="0"/>
              <w:ind w:firstLine="482" w:firstLineChars="200"/>
              <w:rPr>
                <w:rFonts w:hint="default"/>
                <w:lang w:val="en-US" w:eastAsia="zh-CN"/>
              </w:rPr>
            </w:pPr>
            <w:r>
              <w:rPr>
                <w:rFonts w:hint="eastAsia"/>
                <w:b/>
                <w:bCs/>
                <w:color w:val="auto"/>
                <w:u w:val="single"/>
                <w:lang w:val="en-US" w:eastAsia="zh-CN"/>
              </w:rPr>
              <w:t>*</w:t>
            </w:r>
          </w:p>
        </w:tc>
        <w:tc>
          <w:tcPr>
            <w:tcW w:w="708" w:type="dxa"/>
            <w:vMerge w:val="restart"/>
            <w:noWrap w:val="0"/>
            <w:vAlign w:val="center"/>
          </w:tcPr>
          <w:p w14:paraId="40519136">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p w14:paraId="25876A94">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65C95415">
            <w:pPr>
              <w:bidi w:val="0"/>
              <w:ind w:firstLine="482" w:firstLineChars="200"/>
              <w:rPr>
                <w:rFonts w:hint="default"/>
                <w:lang w:val="en-US" w:eastAsia="zh-CN"/>
              </w:rPr>
            </w:pPr>
            <w:r>
              <w:rPr>
                <w:rFonts w:hint="eastAsia"/>
                <w:b/>
                <w:bCs/>
                <w:color w:val="auto"/>
                <w:u w:val="single"/>
                <w:lang w:val="en-US" w:eastAsia="zh-CN"/>
              </w:rPr>
              <w:t>*</w:t>
            </w:r>
          </w:p>
        </w:tc>
        <w:tc>
          <w:tcPr>
            <w:tcW w:w="1184" w:type="dxa"/>
            <w:vMerge w:val="restart"/>
            <w:noWrap w:val="0"/>
            <w:vAlign w:val="center"/>
          </w:tcPr>
          <w:p w14:paraId="7C9A4BB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rFonts w:hint="eastAsia"/>
                <w:b/>
                <w:bCs/>
                <w:color w:val="auto"/>
                <w:u w:val="single"/>
                <w:lang w:val="en-US" w:eastAsia="zh-CN"/>
              </w:rPr>
            </w:pPr>
            <w:r>
              <w:rPr>
                <w:rFonts w:hint="eastAsia"/>
                <w:b/>
                <w:bCs/>
                <w:color w:val="auto"/>
                <w:u w:val="single"/>
                <w:lang w:val="en-US" w:eastAsia="zh-CN"/>
              </w:rPr>
              <w:t>*</w:t>
            </w:r>
          </w:p>
          <w:p w14:paraId="55ADA171">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0E58DA40">
            <w:pPr>
              <w:bidi w:val="0"/>
              <w:ind w:firstLine="482" w:firstLineChars="200"/>
              <w:rPr>
                <w:rFonts w:hint="eastAsia"/>
              </w:rPr>
            </w:pPr>
            <w:r>
              <w:rPr>
                <w:rFonts w:hint="eastAsia"/>
                <w:b/>
                <w:bCs/>
                <w:color w:val="auto"/>
                <w:u w:val="single"/>
                <w:lang w:val="en-US" w:eastAsia="zh-CN"/>
              </w:rPr>
              <w:t>*</w:t>
            </w:r>
          </w:p>
        </w:tc>
        <w:tc>
          <w:tcPr>
            <w:tcW w:w="964" w:type="dxa"/>
            <w:vMerge w:val="restart"/>
            <w:noWrap w:val="0"/>
            <w:vAlign w:val="center"/>
          </w:tcPr>
          <w:p w14:paraId="6912F7E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p w14:paraId="56BFD2D2">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011B417C">
            <w:pPr>
              <w:bidi w:val="0"/>
              <w:ind w:firstLine="482" w:firstLineChars="200"/>
              <w:rPr>
                <w:rFonts w:hint="default"/>
                <w:lang w:val="en-US" w:eastAsia="zh-CN"/>
              </w:rPr>
            </w:pPr>
            <w:r>
              <w:rPr>
                <w:rFonts w:hint="eastAsia"/>
                <w:b/>
                <w:bCs/>
                <w:color w:val="auto"/>
                <w:u w:val="single"/>
                <w:lang w:val="en-US" w:eastAsia="zh-CN"/>
              </w:rPr>
              <w:t>*</w:t>
            </w:r>
          </w:p>
        </w:tc>
        <w:tc>
          <w:tcPr>
            <w:tcW w:w="818" w:type="dxa"/>
            <w:vMerge w:val="restart"/>
            <w:noWrap w:val="0"/>
            <w:vAlign w:val="center"/>
          </w:tcPr>
          <w:p w14:paraId="33F52BFA">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p w14:paraId="1950B22B">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1CA84214">
            <w:pPr>
              <w:bidi w:val="0"/>
              <w:ind w:firstLine="482" w:firstLineChars="200"/>
              <w:rPr>
                <w:rFonts w:hint="default"/>
                <w:lang w:val="en-US" w:eastAsia="zh-CN"/>
              </w:rPr>
            </w:pPr>
            <w:r>
              <w:rPr>
                <w:rFonts w:hint="eastAsia"/>
                <w:b/>
                <w:bCs/>
                <w:color w:val="auto"/>
                <w:u w:val="single"/>
                <w:lang w:val="en-US" w:eastAsia="zh-CN"/>
              </w:rPr>
              <w:t>*</w:t>
            </w:r>
          </w:p>
        </w:tc>
        <w:tc>
          <w:tcPr>
            <w:tcW w:w="843" w:type="dxa"/>
            <w:vMerge w:val="restart"/>
            <w:noWrap w:val="0"/>
            <w:vAlign w:val="center"/>
          </w:tcPr>
          <w:p w14:paraId="35CCDED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p w14:paraId="2389694B">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1B16F394">
            <w:pPr>
              <w:bidi w:val="0"/>
              <w:ind w:firstLine="482" w:firstLineChars="200"/>
              <w:rPr>
                <w:rFonts w:hint="default"/>
                <w:lang w:val="en-US" w:eastAsia="zh-CN"/>
              </w:rPr>
            </w:pPr>
            <w:r>
              <w:rPr>
                <w:rFonts w:hint="eastAsia"/>
                <w:b/>
                <w:bCs/>
                <w:color w:val="auto"/>
                <w:u w:val="single"/>
                <w:lang w:val="en-US" w:eastAsia="zh-CN"/>
              </w:rPr>
              <w:t>*</w:t>
            </w:r>
          </w:p>
        </w:tc>
      </w:tr>
      <w:tr w14:paraId="4FBC3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1" w:type="dxa"/>
            <w:vMerge w:val="continue"/>
            <w:noWrap w:val="0"/>
            <w:vAlign w:val="center"/>
          </w:tcPr>
          <w:p w14:paraId="57E19B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b/>
                <w:bCs/>
                <w:u w:val="single"/>
                <w:lang w:val="en-US" w:eastAsia="zh-CN"/>
              </w:rPr>
            </w:pPr>
          </w:p>
        </w:tc>
        <w:tc>
          <w:tcPr>
            <w:tcW w:w="711" w:type="dxa"/>
            <w:noWrap w:val="0"/>
            <w:vAlign w:val="center"/>
          </w:tcPr>
          <w:p w14:paraId="3B4A80C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rFonts w:hint="default"/>
                <w:b/>
                <w:bCs/>
                <w:u w:val="single"/>
                <w:lang w:val="en-US" w:eastAsia="zh-CN"/>
              </w:rPr>
            </w:pPr>
            <w:r>
              <w:rPr>
                <w:rFonts w:hint="eastAsia"/>
                <w:b/>
                <w:bCs/>
                <w:color w:val="auto"/>
                <w:u w:val="single"/>
                <w:lang w:val="en-US" w:eastAsia="zh-CN"/>
              </w:rPr>
              <w:t>*</w:t>
            </w:r>
          </w:p>
        </w:tc>
        <w:tc>
          <w:tcPr>
            <w:tcW w:w="751" w:type="dxa"/>
            <w:noWrap w:val="0"/>
            <w:vAlign w:val="center"/>
          </w:tcPr>
          <w:p w14:paraId="1F07505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rFonts w:hint="eastAsia"/>
                <w:b/>
                <w:bCs/>
                <w:u w:val="single"/>
              </w:rPr>
            </w:pPr>
            <w:r>
              <w:rPr>
                <w:rFonts w:hint="eastAsia"/>
                <w:b/>
                <w:bCs/>
                <w:color w:val="auto"/>
                <w:u w:val="single"/>
                <w:lang w:val="en-US" w:eastAsia="zh-CN"/>
              </w:rPr>
              <w:t>*</w:t>
            </w:r>
          </w:p>
        </w:tc>
        <w:tc>
          <w:tcPr>
            <w:tcW w:w="938" w:type="dxa"/>
            <w:vMerge w:val="continue"/>
            <w:noWrap w:val="0"/>
            <w:vAlign w:val="center"/>
          </w:tcPr>
          <w:p w14:paraId="5C2B80A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u w:val="single"/>
                <w:lang w:val="en-US" w:eastAsia="zh-CN"/>
              </w:rPr>
            </w:pPr>
          </w:p>
        </w:tc>
        <w:tc>
          <w:tcPr>
            <w:tcW w:w="891" w:type="dxa"/>
            <w:vMerge w:val="continue"/>
            <w:noWrap w:val="0"/>
            <w:vAlign w:val="center"/>
          </w:tcPr>
          <w:p w14:paraId="6D2EDAD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bCs/>
                <w:u w:val="single"/>
                <w:lang w:val="en-US" w:eastAsia="zh-CN"/>
              </w:rPr>
            </w:pPr>
          </w:p>
        </w:tc>
        <w:tc>
          <w:tcPr>
            <w:tcW w:w="708" w:type="dxa"/>
            <w:vMerge w:val="continue"/>
            <w:noWrap w:val="0"/>
            <w:vAlign w:val="center"/>
          </w:tcPr>
          <w:p w14:paraId="6CAFE0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bCs/>
                <w:u w:val="single"/>
                <w:lang w:val="en-US" w:eastAsia="zh-CN"/>
              </w:rPr>
            </w:pPr>
          </w:p>
        </w:tc>
        <w:tc>
          <w:tcPr>
            <w:tcW w:w="1184" w:type="dxa"/>
            <w:vMerge w:val="continue"/>
            <w:noWrap w:val="0"/>
            <w:vAlign w:val="center"/>
          </w:tcPr>
          <w:p w14:paraId="0F8F56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b/>
                <w:bCs/>
                <w:u w:val="single"/>
              </w:rPr>
            </w:pPr>
          </w:p>
        </w:tc>
        <w:tc>
          <w:tcPr>
            <w:tcW w:w="964" w:type="dxa"/>
            <w:vMerge w:val="continue"/>
            <w:noWrap w:val="0"/>
            <w:vAlign w:val="center"/>
          </w:tcPr>
          <w:p w14:paraId="78952F6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u w:val="single"/>
                <w:lang w:val="en-US" w:eastAsia="zh-CN"/>
              </w:rPr>
            </w:pPr>
          </w:p>
        </w:tc>
        <w:tc>
          <w:tcPr>
            <w:tcW w:w="818" w:type="dxa"/>
            <w:vMerge w:val="continue"/>
            <w:noWrap w:val="0"/>
            <w:vAlign w:val="center"/>
          </w:tcPr>
          <w:p w14:paraId="556FE7C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eastAsia="宋体"/>
                <w:b/>
                <w:bCs/>
                <w:u w:val="single"/>
                <w:lang w:val="en-US" w:eastAsia="zh-CN"/>
              </w:rPr>
            </w:pPr>
          </w:p>
        </w:tc>
        <w:tc>
          <w:tcPr>
            <w:tcW w:w="843" w:type="dxa"/>
            <w:vMerge w:val="continue"/>
            <w:noWrap w:val="0"/>
            <w:vAlign w:val="center"/>
          </w:tcPr>
          <w:p w14:paraId="25B6943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p>
        </w:tc>
      </w:tr>
      <w:tr w14:paraId="47149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1" w:type="dxa"/>
            <w:vMerge w:val="continue"/>
            <w:noWrap w:val="0"/>
            <w:vAlign w:val="center"/>
          </w:tcPr>
          <w:p w14:paraId="102D7EF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b/>
                <w:bCs/>
                <w:u w:val="single"/>
                <w:lang w:val="en-US" w:eastAsia="zh-CN"/>
              </w:rPr>
            </w:pPr>
          </w:p>
        </w:tc>
        <w:tc>
          <w:tcPr>
            <w:tcW w:w="711" w:type="dxa"/>
            <w:noWrap w:val="0"/>
            <w:vAlign w:val="center"/>
          </w:tcPr>
          <w:p w14:paraId="1AF0635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rFonts w:hint="default"/>
                <w:b/>
                <w:bCs/>
                <w:u w:val="single"/>
                <w:lang w:val="en-US" w:eastAsia="zh-CN"/>
              </w:rPr>
            </w:pPr>
            <w:r>
              <w:rPr>
                <w:rFonts w:hint="eastAsia"/>
                <w:b/>
                <w:bCs/>
                <w:color w:val="auto"/>
                <w:u w:val="single"/>
                <w:lang w:val="en-US" w:eastAsia="zh-CN"/>
              </w:rPr>
              <w:t>*</w:t>
            </w:r>
          </w:p>
        </w:tc>
        <w:tc>
          <w:tcPr>
            <w:tcW w:w="751" w:type="dxa"/>
            <w:noWrap w:val="0"/>
            <w:vAlign w:val="center"/>
          </w:tcPr>
          <w:p w14:paraId="5512AE8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rFonts w:hint="eastAsia"/>
                <w:b/>
                <w:bCs/>
                <w:u w:val="single"/>
              </w:rPr>
            </w:pPr>
            <w:r>
              <w:rPr>
                <w:rFonts w:hint="eastAsia"/>
                <w:b/>
                <w:bCs/>
                <w:color w:val="auto"/>
                <w:u w:val="single"/>
                <w:lang w:val="en-US" w:eastAsia="zh-CN"/>
              </w:rPr>
              <w:t>*</w:t>
            </w:r>
          </w:p>
        </w:tc>
        <w:tc>
          <w:tcPr>
            <w:tcW w:w="938" w:type="dxa"/>
            <w:vMerge w:val="continue"/>
            <w:noWrap w:val="0"/>
            <w:vAlign w:val="center"/>
          </w:tcPr>
          <w:p w14:paraId="23FF588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u w:val="single"/>
                <w:lang w:val="en-US" w:eastAsia="zh-CN"/>
              </w:rPr>
            </w:pPr>
          </w:p>
        </w:tc>
        <w:tc>
          <w:tcPr>
            <w:tcW w:w="891" w:type="dxa"/>
            <w:vMerge w:val="continue"/>
            <w:noWrap w:val="0"/>
            <w:vAlign w:val="center"/>
          </w:tcPr>
          <w:p w14:paraId="07A19D9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bCs/>
                <w:u w:val="single"/>
                <w:lang w:val="en-US" w:eastAsia="zh-CN"/>
              </w:rPr>
            </w:pPr>
          </w:p>
        </w:tc>
        <w:tc>
          <w:tcPr>
            <w:tcW w:w="708" w:type="dxa"/>
            <w:vMerge w:val="continue"/>
            <w:noWrap w:val="0"/>
            <w:vAlign w:val="center"/>
          </w:tcPr>
          <w:p w14:paraId="70852A5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bCs/>
                <w:u w:val="single"/>
                <w:lang w:val="en-US" w:eastAsia="zh-CN"/>
              </w:rPr>
            </w:pPr>
          </w:p>
        </w:tc>
        <w:tc>
          <w:tcPr>
            <w:tcW w:w="1184" w:type="dxa"/>
            <w:vMerge w:val="continue"/>
            <w:noWrap w:val="0"/>
            <w:vAlign w:val="center"/>
          </w:tcPr>
          <w:p w14:paraId="037900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b/>
                <w:bCs/>
                <w:u w:val="single"/>
              </w:rPr>
            </w:pPr>
          </w:p>
        </w:tc>
        <w:tc>
          <w:tcPr>
            <w:tcW w:w="964" w:type="dxa"/>
            <w:vMerge w:val="continue"/>
            <w:noWrap w:val="0"/>
            <w:vAlign w:val="center"/>
          </w:tcPr>
          <w:p w14:paraId="74D2918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u w:val="single"/>
                <w:lang w:val="en-US" w:eastAsia="zh-CN"/>
              </w:rPr>
            </w:pPr>
          </w:p>
        </w:tc>
        <w:tc>
          <w:tcPr>
            <w:tcW w:w="818" w:type="dxa"/>
            <w:vMerge w:val="continue"/>
            <w:noWrap w:val="0"/>
            <w:vAlign w:val="center"/>
          </w:tcPr>
          <w:p w14:paraId="33B726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eastAsia="宋体"/>
                <w:b/>
                <w:bCs/>
                <w:u w:val="single"/>
                <w:lang w:val="en-US" w:eastAsia="zh-CN"/>
              </w:rPr>
            </w:pPr>
          </w:p>
        </w:tc>
        <w:tc>
          <w:tcPr>
            <w:tcW w:w="843" w:type="dxa"/>
            <w:vMerge w:val="continue"/>
            <w:noWrap w:val="0"/>
            <w:vAlign w:val="center"/>
          </w:tcPr>
          <w:p w14:paraId="0DB631B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p>
        </w:tc>
      </w:tr>
      <w:tr w14:paraId="14C8A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1" w:type="dxa"/>
            <w:vMerge w:val="restart"/>
            <w:noWrap w:val="0"/>
            <w:vAlign w:val="center"/>
          </w:tcPr>
          <w:p w14:paraId="2FBE9C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default"/>
                <w:b/>
                <w:bCs/>
                <w:u w:val="single"/>
                <w:lang w:val="en-US" w:eastAsia="zh-CN"/>
              </w:rPr>
            </w:pPr>
            <w:r>
              <w:rPr>
                <w:rFonts w:hint="eastAsia"/>
                <w:b/>
                <w:bCs/>
                <w:u w:val="single"/>
                <w:lang w:val="en-US" w:eastAsia="zh-CN"/>
              </w:rPr>
              <w:t>无组织</w:t>
            </w:r>
          </w:p>
        </w:tc>
        <w:tc>
          <w:tcPr>
            <w:tcW w:w="711" w:type="dxa"/>
            <w:noWrap w:val="0"/>
            <w:vAlign w:val="center"/>
          </w:tcPr>
          <w:p w14:paraId="63AEEED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rFonts w:hint="eastAsia"/>
                <w:b/>
                <w:bCs/>
                <w:u w:val="single"/>
                <w:lang w:val="en-US" w:eastAsia="zh-CN"/>
              </w:rPr>
            </w:pPr>
            <w:r>
              <w:rPr>
                <w:rFonts w:hint="eastAsia"/>
                <w:b/>
                <w:bCs/>
                <w:color w:val="auto"/>
                <w:u w:val="single"/>
                <w:lang w:val="en-US" w:eastAsia="zh-CN"/>
              </w:rPr>
              <w:t>*</w:t>
            </w:r>
          </w:p>
        </w:tc>
        <w:tc>
          <w:tcPr>
            <w:tcW w:w="751" w:type="dxa"/>
            <w:noWrap w:val="0"/>
            <w:vAlign w:val="center"/>
          </w:tcPr>
          <w:p w14:paraId="762C2F2F">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rFonts w:hint="eastAsia"/>
                <w:b/>
                <w:bCs/>
                <w:u w:val="single"/>
                <w:lang w:val="en-US" w:eastAsia="zh-CN"/>
              </w:rPr>
            </w:pPr>
            <w:r>
              <w:rPr>
                <w:rFonts w:hint="eastAsia"/>
                <w:b/>
                <w:bCs/>
                <w:color w:val="auto"/>
                <w:u w:val="single"/>
                <w:lang w:val="en-US" w:eastAsia="zh-CN"/>
              </w:rPr>
              <w:t>*</w:t>
            </w:r>
          </w:p>
        </w:tc>
        <w:tc>
          <w:tcPr>
            <w:tcW w:w="938" w:type="dxa"/>
            <w:noWrap w:val="0"/>
            <w:vAlign w:val="center"/>
          </w:tcPr>
          <w:p w14:paraId="008D9F0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891" w:type="dxa"/>
            <w:noWrap w:val="0"/>
            <w:vAlign w:val="center"/>
          </w:tcPr>
          <w:p w14:paraId="6834212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708" w:type="dxa"/>
            <w:noWrap w:val="0"/>
            <w:vAlign w:val="center"/>
          </w:tcPr>
          <w:p w14:paraId="1C2ED70A">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1184" w:type="dxa"/>
            <w:noWrap w:val="0"/>
            <w:vAlign w:val="center"/>
          </w:tcPr>
          <w:p w14:paraId="49A7BBAE">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c>
          <w:tcPr>
            <w:tcW w:w="964" w:type="dxa"/>
            <w:noWrap w:val="0"/>
            <w:vAlign w:val="center"/>
          </w:tcPr>
          <w:p w14:paraId="0349FF0F">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818" w:type="dxa"/>
            <w:noWrap w:val="0"/>
            <w:vAlign w:val="center"/>
          </w:tcPr>
          <w:p w14:paraId="5AB6C60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c>
          <w:tcPr>
            <w:tcW w:w="843" w:type="dxa"/>
            <w:noWrap w:val="0"/>
            <w:vAlign w:val="center"/>
          </w:tcPr>
          <w:p w14:paraId="6C73B00D">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u w:val="single"/>
              </w:rPr>
            </w:pPr>
            <w:r>
              <w:rPr>
                <w:rFonts w:hint="eastAsia"/>
                <w:b/>
                <w:bCs/>
                <w:color w:val="auto"/>
                <w:u w:val="single"/>
                <w:lang w:val="en-US" w:eastAsia="zh-CN"/>
              </w:rPr>
              <w:t>*</w:t>
            </w:r>
          </w:p>
        </w:tc>
      </w:tr>
      <w:tr w14:paraId="0F3EB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1" w:type="dxa"/>
            <w:vMerge w:val="continue"/>
            <w:noWrap w:val="0"/>
            <w:vAlign w:val="center"/>
          </w:tcPr>
          <w:p w14:paraId="4BFCB04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rFonts w:hint="eastAsia"/>
                <w:b/>
                <w:bCs/>
                <w:u w:val="single"/>
                <w:lang w:val="en-US" w:eastAsia="zh-CN"/>
              </w:rPr>
            </w:pPr>
          </w:p>
        </w:tc>
        <w:tc>
          <w:tcPr>
            <w:tcW w:w="711" w:type="dxa"/>
            <w:noWrap w:val="0"/>
            <w:vAlign w:val="center"/>
          </w:tcPr>
          <w:p w14:paraId="004638E6">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rFonts w:hint="eastAsia"/>
                <w:b/>
                <w:bCs/>
                <w:u w:val="single"/>
                <w:lang w:val="en-US" w:eastAsia="zh-CN"/>
              </w:rPr>
            </w:pPr>
            <w:r>
              <w:rPr>
                <w:rFonts w:hint="eastAsia"/>
                <w:b/>
                <w:bCs/>
                <w:color w:val="auto"/>
                <w:u w:val="single"/>
                <w:lang w:val="en-US" w:eastAsia="zh-CN"/>
              </w:rPr>
              <w:t>*</w:t>
            </w:r>
          </w:p>
        </w:tc>
        <w:tc>
          <w:tcPr>
            <w:tcW w:w="751" w:type="dxa"/>
            <w:noWrap w:val="0"/>
            <w:vAlign w:val="center"/>
          </w:tcPr>
          <w:p w14:paraId="7556606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rFonts w:hint="eastAsia"/>
                <w:b/>
                <w:bCs/>
                <w:u w:val="single"/>
                <w:lang w:val="en-US" w:eastAsia="zh-CN"/>
              </w:rPr>
            </w:pPr>
            <w:r>
              <w:rPr>
                <w:rFonts w:hint="eastAsia"/>
                <w:b/>
                <w:bCs/>
                <w:color w:val="auto"/>
                <w:u w:val="single"/>
                <w:lang w:val="en-US" w:eastAsia="zh-CN"/>
              </w:rPr>
              <w:t>*</w:t>
            </w:r>
          </w:p>
        </w:tc>
        <w:tc>
          <w:tcPr>
            <w:tcW w:w="938" w:type="dxa"/>
            <w:noWrap w:val="0"/>
            <w:vAlign w:val="center"/>
          </w:tcPr>
          <w:p w14:paraId="37716A9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891" w:type="dxa"/>
            <w:noWrap w:val="0"/>
            <w:vAlign w:val="center"/>
          </w:tcPr>
          <w:p w14:paraId="0AA7EC5D">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708" w:type="dxa"/>
            <w:noWrap w:val="0"/>
            <w:vAlign w:val="center"/>
          </w:tcPr>
          <w:p w14:paraId="103882EF">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1184" w:type="dxa"/>
            <w:noWrap w:val="0"/>
            <w:vAlign w:val="center"/>
          </w:tcPr>
          <w:p w14:paraId="353BA94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c>
          <w:tcPr>
            <w:tcW w:w="964" w:type="dxa"/>
            <w:noWrap w:val="0"/>
            <w:vAlign w:val="center"/>
          </w:tcPr>
          <w:p w14:paraId="2A4B23D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818" w:type="dxa"/>
            <w:noWrap w:val="0"/>
            <w:vAlign w:val="center"/>
          </w:tcPr>
          <w:p w14:paraId="2D064BB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c>
          <w:tcPr>
            <w:tcW w:w="843" w:type="dxa"/>
            <w:noWrap w:val="0"/>
            <w:vAlign w:val="center"/>
          </w:tcPr>
          <w:p w14:paraId="058E35D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u w:val="single"/>
              </w:rPr>
            </w:pPr>
            <w:r>
              <w:rPr>
                <w:rFonts w:hint="eastAsia"/>
                <w:b/>
                <w:bCs/>
                <w:color w:val="auto"/>
                <w:u w:val="single"/>
                <w:lang w:val="en-US" w:eastAsia="zh-CN"/>
              </w:rPr>
              <w:t>*</w:t>
            </w:r>
          </w:p>
        </w:tc>
      </w:tr>
    </w:tbl>
    <w:p w14:paraId="1BEA02D7">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color w:val="auto"/>
          <w:highlight w:val="none"/>
          <w:u w:val="single"/>
          <w:lang w:val="en-US" w:eastAsia="zh-CN"/>
        </w:rPr>
      </w:pPr>
      <w:r>
        <w:rPr>
          <w:rFonts w:hint="eastAsia"/>
          <w:b/>
          <w:bCs/>
          <w:color w:val="auto"/>
          <w:highlight w:val="none"/>
          <w:u w:val="single"/>
          <w:lang w:val="en-US" w:eastAsia="zh-CN"/>
        </w:rPr>
        <w:t>*</w:t>
      </w:r>
    </w:p>
    <w:p w14:paraId="603D1585">
      <w:pPr>
        <w:pStyle w:val="6"/>
        <w:bidi w:val="0"/>
        <w:rPr>
          <w:rFonts w:hint="default"/>
          <w:b/>
          <w:bCs/>
          <w:u w:val="single"/>
          <w:lang w:val="en-US" w:eastAsia="zh-CN"/>
        </w:rPr>
      </w:pPr>
      <w:r>
        <w:rPr>
          <w:rFonts w:hint="eastAsia"/>
          <w:b/>
          <w:bCs/>
          <w:u w:val="single"/>
          <w:lang w:val="en-US" w:eastAsia="zh-CN"/>
        </w:rPr>
        <w:t>大气污染物排放量核算</w:t>
      </w:r>
    </w:p>
    <w:p w14:paraId="190121E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b/>
          <w:bCs/>
          <w:u w:val="single"/>
          <w:lang w:val="en-US" w:eastAsia="zh-CN"/>
        </w:rPr>
      </w:pPr>
      <w:r>
        <w:rPr>
          <w:rFonts w:hint="eastAsia"/>
          <w:b/>
          <w:bCs/>
          <w:color w:val="auto"/>
          <w:u w:val="single"/>
          <w:lang w:val="en-US"/>
        </w:rPr>
        <w:t>本项目</w:t>
      </w:r>
      <w:r>
        <w:rPr>
          <w:rFonts w:hint="eastAsia"/>
          <w:b/>
          <w:bCs/>
          <w:color w:val="auto"/>
          <w:u w:val="single"/>
          <w:lang w:val="en-US" w:eastAsia="zh-CN"/>
        </w:rPr>
        <w:t>有</w:t>
      </w:r>
      <w:r>
        <w:rPr>
          <w:rFonts w:hint="eastAsia"/>
          <w:b/>
          <w:bCs/>
          <w:color w:val="auto"/>
          <w:u w:val="single"/>
          <w:lang w:val="en-US"/>
        </w:rPr>
        <w:t>组织大气污染物排放量核算见下表。</w:t>
      </w:r>
    </w:p>
    <w:p w14:paraId="0BBFB5B4">
      <w:pPr>
        <w:pStyle w:val="10"/>
        <w:bidi w:val="0"/>
        <w:rPr>
          <w:b/>
          <w:bCs/>
          <w:u w:val="single"/>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4.6</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3</w:t>
      </w:r>
      <w:r>
        <w:rPr>
          <w:b/>
          <w:bCs/>
          <w:u w:val="single"/>
        </w:rPr>
        <w:fldChar w:fldCharType="end"/>
      </w:r>
      <w:r>
        <w:rPr>
          <w:rFonts w:hint="eastAsia"/>
          <w:b/>
          <w:bCs/>
          <w:u w:val="single"/>
        </w:rPr>
        <w:t xml:space="preserve"> 大气污染物有组织排放量核算</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1126"/>
        <w:gridCol w:w="1361"/>
        <w:gridCol w:w="1879"/>
        <w:gridCol w:w="1760"/>
        <w:gridCol w:w="1581"/>
      </w:tblGrid>
      <w:tr w14:paraId="6AD58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1" w:type="pct"/>
            <w:noWrap w:val="0"/>
            <w:vAlign w:val="center"/>
          </w:tcPr>
          <w:p w14:paraId="57DA5E2E">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bCs/>
                <w:u w:val="single"/>
              </w:rPr>
            </w:pPr>
            <w:r>
              <w:rPr>
                <w:b/>
                <w:bCs/>
                <w:u w:val="single"/>
              </w:rPr>
              <w:t>序号</w:t>
            </w:r>
          </w:p>
        </w:tc>
        <w:tc>
          <w:tcPr>
            <w:tcW w:w="701" w:type="pct"/>
            <w:noWrap w:val="0"/>
            <w:vAlign w:val="center"/>
          </w:tcPr>
          <w:p w14:paraId="376C03E6">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bCs/>
                <w:u w:val="single"/>
              </w:rPr>
            </w:pPr>
            <w:r>
              <w:rPr>
                <w:b/>
                <w:bCs/>
                <w:u w:val="single"/>
              </w:rPr>
              <w:t>排放口编号</w:t>
            </w:r>
          </w:p>
        </w:tc>
        <w:tc>
          <w:tcPr>
            <w:tcW w:w="840" w:type="pct"/>
            <w:noWrap w:val="0"/>
            <w:vAlign w:val="center"/>
          </w:tcPr>
          <w:p w14:paraId="44D9DA4E">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bCs/>
                <w:u w:val="single"/>
              </w:rPr>
            </w:pPr>
            <w:r>
              <w:rPr>
                <w:b/>
                <w:bCs/>
                <w:u w:val="single"/>
              </w:rPr>
              <w:t>污染物</w:t>
            </w:r>
          </w:p>
        </w:tc>
        <w:tc>
          <w:tcPr>
            <w:tcW w:w="1144" w:type="pct"/>
            <w:noWrap w:val="0"/>
            <w:vAlign w:val="center"/>
          </w:tcPr>
          <w:p w14:paraId="16C8D3E5">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bCs/>
                <w:u w:val="single"/>
              </w:rPr>
            </w:pPr>
            <w:r>
              <w:rPr>
                <w:b/>
                <w:bCs/>
                <w:u w:val="single"/>
              </w:rPr>
              <w:t>核算排放浓度mg/m</w:t>
            </w:r>
            <w:r>
              <w:rPr>
                <w:b/>
                <w:bCs/>
                <w:u w:val="single"/>
                <w:vertAlign w:val="superscript"/>
              </w:rPr>
              <w:t>3</w:t>
            </w:r>
          </w:p>
        </w:tc>
        <w:tc>
          <w:tcPr>
            <w:tcW w:w="1073" w:type="pct"/>
            <w:noWrap w:val="0"/>
            <w:vAlign w:val="center"/>
          </w:tcPr>
          <w:p w14:paraId="6D5644DD">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bCs/>
                <w:u w:val="single"/>
              </w:rPr>
            </w:pPr>
            <w:r>
              <w:rPr>
                <w:b/>
                <w:bCs/>
                <w:u w:val="single"/>
              </w:rPr>
              <w:t>核算排放速率kg/h</w:t>
            </w:r>
          </w:p>
        </w:tc>
        <w:tc>
          <w:tcPr>
            <w:tcW w:w="968" w:type="pct"/>
            <w:noWrap w:val="0"/>
            <w:vAlign w:val="center"/>
          </w:tcPr>
          <w:p w14:paraId="3DA2770B">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bCs/>
                <w:u w:val="single"/>
              </w:rPr>
            </w:pPr>
            <w:r>
              <w:rPr>
                <w:b/>
                <w:bCs/>
                <w:u w:val="single"/>
              </w:rPr>
              <w:t>核算年排放量t/a</w:t>
            </w:r>
          </w:p>
        </w:tc>
      </w:tr>
      <w:tr w14:paraId="1A901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noWrap w:val="0"/>
            <w:vAlign w:val="center"/>
          </w:tcPr>
          <w:p w14:paraId="00B394F2">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主要排放口</w:t>
            </w:r>
          </w:p>
        </w:tc>
      </w:tr>
      <w:tr w14:paraId="5836E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1" w:type="pct"/>
            <w:noWrap w:val="0"/>
            <w:vAlign w:val="center"/>
          </w:tcPr>
          <w:p w14:paraId="48AFB535">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bCs/>
                <w:u w:val="single"/>
              </w:rPr>
            </w:pPr>
            <w:r>
              <w:rPr>
                <w:b/>
                <w:bCs/>
                <w:u w:val="single"/>
              </w:rPr>
              <w:t>1</w:t>
            </w:r>
          </w:p>
        </w:tc>
        <w:tc>
          <w:tcPr>
            <w:tcW w:w="701" w:type="pct"/>
            <w:noWrap w:val="0"/>
            <w:vAlign w:val="center"/>
          </w:tcPr>
          <w:p w14:paraId="1E7FEEBA">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rFonts w:hint="eastAsia"/>
                <w:b/>
                <w:bCs/>
                <w:u w:val="single"/>
              </w:rPr>
              <w:t>/</w:t>
            </w:r>
          </w:p>
        </w:tc>
        <w:tc>
          <w:tcPr>
            <w:tcW w:w="840" w:type="pct"/>
            <w:noWrap w:val="0"/>
            <w:vAlign w:val="center"/>
          </w:tcPr>
          <w:p w14:paraId="7351BD58">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rFonts w:hint="eastAsia"/>
                <w:b/>
                <w:bCs/>
                <w:u w:val="single"/>
              </w:rPr>
              <w:t>/</w:t>
            </w:r>
          </w:p>
        </w:tc>
        <w:tc>
          <w:tcPr>
            <w:tcW w:w="1144" w:type="pct"/>
            <w:noWrap w:val="0"/>
            <w:vAlign w:val="center"/>
          </w:tcPr>
          <w:p w14:paraId="318F3209">
            <w:pPr>
              <w:pStyle w:val="182"/>
              <w:keepNext w:val="0"/>
              <w:keepLines w:val="0"/>
              <w:pageBreakBefore w:val="0"/>
              <w:widowControl w:val="0"/>
              <w:wordWrap/>
              <w:topLinePunct w:val="0"/>
              <w:autoSpaceDE/>
              <w:autoSpaceDN/>
              <w:bidi w:val="0"/>
              <w:snapToGrid w:val="0"/>
              <w:spacing w:line="240" w:lineRule="auto"/>
              <w:ind w:firstLine="0" w:firstLineChars="0"/>
              <w:textAlignment w:val="auto"/>
              <w:rPr>
                <w:b/>
                <w:bCs/>
                <w:color w:val="auto"/>
                <w:u w:val="single"/>
              </w:rPr>
            </w:pPr>
            <w:r>
              <w:rPr>
                <w:rFonts w:hint="eastAsia"/>
                <w:b/>
                <w:bCs/>
                <w:u w:val="single"/>
              </w:rPr>
              <w:t>/</w:t>
            </w:r>
          </w:p>
        </w:tc>
        <w:tc>
          <w:tcPr>
            <w:tcW w:w="1073" w:type="pct"/>
            <w:noWrap w:val="0"/>
            <w:vAlign w:val="center"/>
          </w:tcPr>
          <w:p w14:paraId="6D48CF96">
            <w:pPr>
              <w:pStyle w:val="182"/>
              <w:keepNext w:val="0"/>
              <w:keepLines w:val="0"/>
              <w:pageBreakBefore w:val="0"/>
              <w:widowControl w:val="0"/>
              <w:wordWrap/>
              <w:topLinePunct w:val="0"/>
              <w:autoSpaceDE/>
              <w:autoSpaceDN/>
              <w:bidi w:val="0"/>
              <w:snapToGrid w:val="0"/>
              <w:spacing w:line="240" w:lineRule="auto"/>
              <w:ind w:firstLine="0" w:firstLineChars="0"/>
              <w:textAlignment w:val="auto"/>
              <w:rPr>
                <w:b/>
                <w:bCs/>
                <w:color w:val="auto"/>
                <w:u w:val="single"/>
              </w:rPr>
            </w:pPr>
            <w:r>
              <w:rPr>
                <w:rFonts w:hint="eastAsia"/>
                <w:b/>
                <w:bCs/>
                <w:u w:val="single"/>
              </w:rPr>
              <w:t>/</w:t>
            </w:r>
          </w:p>
        </w:tc>
        <w:tc>
          <w:tcPr>
            <w:tcW w:w="968" w:type="pct"/>
            <w:noWrap w:val="0"/>
            <w:vAlign w:val="center"/>
          </w:tcPr>
          <w:p w14:paraId="5DC21714">
            <w:pPr>
              <w:pStyle w:val="182"/>
              <w:keepNext w:val="0"/>
              <w:keepLines w:val="0"/>
              <w:pageBreakBefore w:val="0"/>
              <w:widowControl w:val="0"/>
              <w:wordWrap/>
              <w:topLinePunct w:val="0"/>
              <w:autoSpaceDE/>
              <w:autoSpaceDN/>
              <w:bidi w:val="0"/>
              <w:snapToGrid w:val="0"/>
              <w:spacing w:line="240" w:lineRule="auto"/>
              <w:ind w:firstLine="0" w:firstLineChars="0"/>
              <w:textAlignment w:val="auto"/>
              <w:rPr>
                <w:b/>
                <w:bCs/>
                <w:color w:val="auto"/>
                <w:u w:val="single"/>
              </w:rPr>
            </w:pPr>
            <w:r>
              <w:rPr>
                <w:rFonts w:hint="eastAsia"/>
                <w:b/>
                <w:bCs/>
                <w:u w:val="single"/>
              </w:rPr>
              <w:t>/</w:t>
            </w:r>
          </w:p>
        </w:tc>
      </w:tr>
      <w:tr w14:paraId="4353E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noWrap w:val="0"/>
            <w:vAlign w:val="center"/>
          </w:tcPr>
          <w:p w14:paraId="2AC8F730">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一般排放口</w:t>
            </w:r>
          </w:p>
        </w:tc>
      </w:tr>
      <w:tr w14:paraId="35089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1" w:type="pct"/>
            <w:noWrap w:val="0"/>
            <w:vAlign w:val="center"/>
          </w:tcPr>
          <w:p w14:paraId="79E05E9E">
            <w:pPr>
              <w:keepNext w:val="0"/>
              <w:keepLines w:val="0"/>
              <w:pageBreakBefore w:val="0"/>
              <w:widowControl w:val="0"/>
              <w:wordWrap/>
              <w:topLinePunct w:val="0"/>
              <w:autoSpaceDE/>
              <w:autoSpaceDN/>
              <w:bidi w:val="0"/>
              <w:snapToGrid w:val="0"/>
              <w:spacing w:line="240" w:lineRule="auto"/>
              <w:ind w:firstLine="482" w:firstLineChars="200"/>
              <w:textAlignment w:val="auto"/>
              <w:rPr>
                <w:b/>
                <w:bCs/>
                <w:u w:val="single"/>
              </w:rPr>
            </w:pPr>
            <w:r>
              <w:rPr>
                <w:rFonts w:hint="eastAsia"/>
                <w:b/>
                <w:bCs/>
                <w:color w:val="auto"/>
                <w:u w:val="single"/>
                <w:lang w:val="en-US" w:eastAsia="zh-CN"/>
              </w:rPr>
              <w:t>*</w:t>
            </w:r>
          </w:p>
        </w:tc>
        <w:tc>
          <w:tcPr>
            <w:tcW w:w="701" w:type="pct"/>
            <w:noWrap w:val="0"/>
            <w:vAlign w:val="center"/>
          </w:tcPr>
          <w:p w14:paraId="05C0C0E2">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u w:val="single"/>
                <w:lang w:eastAsia="zh-CN"/>
              </w:rPr>
            </w:pPr>
            <w:r>
              <w:rPr>
                <w:rFonts w:hint="eastAsia"/>
                <w:b/>
                <w:bCs/>
                <w:color w:val="auto"/>
                <w:u w:val="single"/>
                <w:lang w:val="en-US" w:eastAsia="zh-CN"/>
              </w:rPr>
              <w:t>*</w:t>
            </w:r>
          </w:p>
        </w:tc>
        <w:tc>
          <w:tcPr>
            <w:tcW w:w="840" w:type="pct"/>
            <w:noWrap w:val="0"/>
            <w:vAlign w:val="center"/>
          </w:tcPr>
          <w:p w14:paraId="2157C0B1">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b/>
                <w:bCs/>
                <w:u w:val="single"/>
              </w:rPr>
            </w:pPr>
            <w:r>
              <w:rPr>
                <w:rFonts w:hint="eastAsia"/>
                <w:b/>
                <w:bCs/>
                <w:color w:val="auto"/>
                <w:u w:val="single"/>
                <w:lang w:val="en-US" w:eastAsia="zh-CN"/>
              </w:rPr>
              <w:t>*</w:t>
            </w:r>
          </w:p>
        </w:tc>
        <w:tc>
          <w:tcPr>
            <w:tcW w:w="2126" w:type="dxa"/>
            <w:noWrap w:val="0"/>
            <w:vAlign w:val="center"/>
          </w:tcPr>
          <w:p w14:paraId="11ABAA3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tc>
        <w:tc>
          <w:tcPr>
            <w:tcW w:w="1995" w:type="dxa"/>
            <w:noWrap w:val="0"/>
            <w:vAlign w:val="center"/>
          </w:tcPr>
          <w:p w14:paraId="45D7520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tc>
        <w:tc>
          <w:tcPr>
            <w:tcW w:w="1800" w:type="dxa"/>
            <w:noWrap w:val="0"/>
            <w:vAlign w:val="center"/>
          </w:tcPr>
          <w:p w14:paraId="67ADC8FD">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r>
      <w:tr w14:paraId="73280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1" w:type="pct"/>
            <w:noWrap w:val="0"/>
            <w:vAlign w:val="center"/>
          </w:tcPr>
          <w:p w14:paraId="79622EFC">
            <w:pPr>
              <w:keepNext w:val="0"/>
              <w:keepLines w:val="0"/>
              <w:pageBreakBefore w:val="0"/>
              <w:widowControl w:val="0"/>
              <w:wordWrap/>
              <w:topLinePunct w:val="0"/>
              <w:autoSpaceDE/>
              <w:autoSpaceDN/>
              <w:bidi w:val="0"/>
              <w:snapToGrid w:val="0"/>
              <w:spacing w:line="240" w:lineRule="auto"/>
              <w:ind w:firstLine="482" w:firstLineChars="200"/>
              <w:textAlignment w:val="auto"/>
              <w:rPr>
                <w:rFonts w:hint="eastAsia" w:eastAsia="宋体"/>
                <w:b/>
                <w:bCs/>
                <w:u w:val="single"/>
                <w:lang w:val="en-US" w:eastAsia="zh-CN"/>
              </w:rPr>
            </w:pPr>
            <w:r>
              <w:rPr>
                <w:rFonts w:hint="eastAsia"/>
                <w:b/>
                <w:bCs/>
                <w:color w:val="auto"/>
                <w:u w:val="single"/>
                <w:lang w:val="en-US" w:eastAsia="zh-CN"/>
              </w:rPr>
              <w:t>*</w:t>
            </w:r>
          </w:p>
        </w:tc>
        <w:tc>
          <w:tcPr>
            <w:tcW w:w="701" w:type="pct"/>
            <w:noWrap w:val="0"/>
            <w:vAlign w:val="center"/>
          </w:tcPr>
          <w:p w14:paraId="113564FC">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840" w:type="pct"/>
            <w:noWrap w:val="0"/>
            <w:vAlign w:val="center"/>
          </w:tcPr>
          <w:p w14:paraId="72DDF14B">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2126" w:type="dxa"/>
            <w:noWrap w:val="0"/>
            <w:vAlign w:val="center"/>
          </w:tcPr>
          <w:p w14:paraId="2C6CE83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color w:val="auto"/>
                <w:u w:val="single"/>
              </w:rPr>
            </w:pPr>
            <w:r>
              <w:rPr>
                <w:rFonts w:hint="eastAsia"/>
                <w:b/>
                <w:bCs/>
                <w:color w:val="auto"/>
                <w:u w:val="single"/>
                <w:lang w:val="en-US" w:eastAsia="zh-CN"/>
              </w:rPr>
              <w:t>*</w:t>
            </w:r>
          </w:p>
        </w:tc>
        <w:tc>
          <w:tcPr>
            <w:tcW w:w="1995" w:type="dxa"/>
            <w:noWrap w:val="0"/>
            <w:vAlign w:val="center"/>
          </w:tcPr>
          <w:p w14:paraId="69F7BEA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color w:val="auto"/>
                <w:u w:val="single"/>
              </w:rPr>
            </w:pPr>
            <w:r>
              <w:rPr>
                <w:rFonts w:hint="eastAsia"/>
                <w:b/>
                <w:bCs/>
                <w:color w:val="auto"/>
                <w:u w:val="single"/>
                <w:lang w:val="en-US" w:eastAsia="zh-CN"/>
              </w:rPr>
              <w:t>*</w:t>
            </w:r>
          </w:p>
        </w:tc>
        <w:tc>
          <w:tcPr>
            <w:tcW w:w="1800" w:type="dxa"/>
            <w:noWrap w:val="0"/>
            <w:vAlign w:val="center"/>
          </w:tcPr>
          <w:p w14:paraId="4D29413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color w:val="auto"/>
                <w:u w:val="single"/>
              </w:rPr>
            </w:pPr>
            <w:r>
              <w:rPr>
                <w:rFonts w:hint="eastAsia"/>
                <w:b/>
                <w:bCs/>
                <w:color w:val="auto"/>
                <w:u w:val="single"/>
                <w:lang w:val="en-US" w:eastAsia="zh-CN"/>
              </w:rPr>
              <w:t>*</w:t>
            </w:r>
          </w:p>
        </w:tc>
      </w:tr>
      <w:tr w14:paraId="363CB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3" w:type="pct"/>
            <w:gridSpan w:val="2"/>
            <w:noWrap w:val="0"/>
            <w:vAlign w:val="center"/>
          </w:tcPr>
          <w:p w14:paraId="029B5949">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b/>
                <w:bCs/>
                <w:u w:val="single"/>
              </w:rPr>
            </w:pPr>
            <w:r>
              <w:rPr>
                <w:rFonts w:hint="eastAsia"/>
                <w:b/>
                <w:bCs/>
                <w:color w:val="auto"/>
                <w:u w:val="single"/>
                <w:lang w:val="en-US" w:eastAsia="zh-CN"/>
              </w:rPr>
              <w:t>*</w:t>
            </w:r>
          </w:p>
        </w:tc>
        <w:tc>
          <w:tcPr>
            <w:tcW w:w="3058" w:type="pct"/>
            <w:gridSpan w:val="3"/>
            <w:noWrap w:val="0"/>
            <w:vAlign w:val="center"/>
          </w:tcPr>
          <w:p w14:paraId="4BDC90D0">
            <w:pPr>
              <w:keepNext w:val="0"/>
              <w:keepLines w:val="0"/>
              <w:pageBreakBefore w:val="0"/>
              <w:widowControl w:val="0"/>
              <w:wordWrap/>
              <w:topLinePunct w:val="0"/>
              <w:autoSpaceDE/>
              <w:autoSpaceDN/>
              <w:bidi w:val="0"/>
              <w:snapToGrid w:val="0"/>
              <w:spacing w:line="240" w:lineRule="auto"/>
              <w:ind w:firstLine="482" w:firstLineChars="200"/>
              <w:textAlignment w:val="auto"/>
              <w:rPr>
                <w:b/>
                <w:bCs/>
                <w:color w:val="auto"/>
                <w:u w:val="single"/>
              </w:rPr>
            </w:pPr>
            <w:r>
              <w:rPr>
                <w:rFonts w:hint="eastAsia"/>
                <w:b/>
                <w:bCs/>
                <w:color w:val="auto"/>
                <w:u w:val="single"/>
                <w:lang w:val="en-US" w:eastAsia="zh-CN"/>
              </w:rPr>
              <w:t>*</w:t>
            </w:r>
          </w:p>
        </w:tc>
        <w:tc>
          <w:tcPr>
            <w:tcW w:w="1652" w:type="dxa"/>
            <w:noWrap w:val="0"/>
            <w:vAlign w:val="center"/>
          </w:tcPr>
          <w:p w14:paraId="154AD4D3">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b/>
                <w:bCs/>
                <w:color w:val="auto"/>
                <w:u w:val="single"/>
              </w:rPr>
            </w:pPr>
            <w:r>
              <w:rPr>
                <w:rFonts w:hint="eastAsia"/>
                <w:b/>
                <w:bCs/>
                <w:color w:val="auto"/>
                <w:u w:val="single"/>
                <w:lang w:val="en-US" w:eastAsia="zh-CN"/>
              </w:rPr>
              <w:t>*</w:t>
            </w:r>
          </w:p>
        </w:tc>
      </w:tr>
      <w:tr w14:paraId="2223C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3" w:type="pct"/>
            <w:gridSpan w:val="2"/>
            <w:noWrap w:val="0"/>
            <w:vAlign w:val="center"/>
          </w:tcPr>
          <w:p w14:paraId="27A6475E">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b/>
                <w:bCs/>
                <w:u w:val="single"/>
              </w:rPr>
            </w:pPr>
            <w:r>
              <w:rPr>
                <w:rFonts w:hint="eastAsia"/>
                <w:b/>
                <w:bCs/>
                <w:color w:val="auto"/>
                <w:u w:val="single"/>
                <w:lang w:val="en-US" w:eastAsia="zh-CN"/>
              </w:rPr>
              <w:t>*</w:t>
            </w:r>
          </w:p>
        </w:tc>
        <w:tc>
          <w:tcPr>
            <w:tcW w:w="3058" w:type="pct"/>
            <w:gridSpan w:val="3"/>
            <w:noWrap w:val="0"/>
            <w:vAlign w:val="center"/>
          </w:tcPr>
          <w:p w14:paraId="5768ABF5">
            <w:pPr>
              <w:keepNext w:val="0"/>
              <w:keepLines w:val="0"/>
              <w:pageBreakBefore w:val="0"/>
              <w:widowControl w:val="0"/>
              <w:wordWrap/>
              <w:topLinePunct w:val="0"/>
              <w:autoSpaceDE/>
              <w:autoSpaceDN/>
              <w:bidi w:val="0"/>
              <w:snapToGrid w:val="0"/>
              <w:spacing w:line="240" w:lineRule="auto"/>
              <w:ind w:firstLine="482" w:firstLineChars="200"/>
              <w:textAlignment w:val="auto"/>
              <w:rPr>
                <w:rFonts w:hint="eastAsia" w:eastAsia="宋体"/>
                <w:b/>
                <w:bCs/>
                <w:u w:val="single"/>
                <w:lang w:val="en-US" w:eastAsia="zh-CN"/>
              </w:rPr>
            </w:pPr>
            <w:r>
              <w:rPr>
                <w:rFonts w:hint="eastAsia"/>
                <w:b/>
                <w:bCs/>
                <w:color w:val="auto"/>
                <w:u w:val="single"/>
                <w:lang w:val="en-US" w:eastAsia="zh-CN"/>
              </w:rPr>
              <w:t>*</w:t>
            </w:r>
          </w:p>
        </w:tc>
        <w:tc>
          <w:tcPr>
            <w:tcW w:w="1652" w:type="dxa"/>
            <w:noWrap w:val="0"/>
            <w:vAlign w:val="center"/>
          </w:tcPr>
          <w:p w14:paraId="140AE4B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bCs/>
                <w:color w:val="auto"/>
                <w:u w:val="single"/>
                <w:lang w:val="en-US"/>
              </w:rPr>
            </w:pPr>
            <w:r>
              <w:rPr>
                <w:rFonts w:hint="eastAsia"/>
                <w:b/>
                <w:bCs/>
                <w:color w:val="auto"/>
                <w:u w:val="single"/>
                <w:lang w:val="en-US" w:eastAsia="zh-CN"/>
              </w:rPr>
              <w:t>*</w:t>
            </w:r>
          </w:p>
        </w:tc>
      </w:tr>
      <w:tr w14:paraId="5A7E7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noWrap w:val="0"/>
            <w:vAlign w:val="center"/>
          </w:tcPr>
          <w:p w14:paraId="103DF881">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b/>
                <w:bCs/>
                <w:u w:val="single"/>
              </w:rPr>
            </w:pPr>
            <w:r>
              <w:rPr>
                <w:rFonts w:hint="eastAsia"/>
                <w:b/>
                <w:bCs/>
                <w:color w:val="auto"/>
                <w:u w:val="single"/>
                <w:lang w:val="en-US" w:eastAsia="zh-CN"/>
              </w:rPr>
              <w:t>*</w:t>
            </w:r>
          </w:p>
        </w:tc>
      </w:tr>
      <w:tr w14:paraId="65267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3" w:type="pct"/>
            <w:gridSpan w:val="2"/>
            <w:vMerge w:val="restart"/>
            <w:noWrap w:val="0"/>
            <w:vAlign w:val="center"/>
          </w:tcPr>
          <w:p w14:paraId="59709BF1">
            <w:pPr>
              <w:keepNext w:val="0"/>
              <w:keepLines w:val="0"/>
              <w:pageBreakBefore w:val="0"/>
              <w:widowControl w:val="0"/>
              <w:wordWrap/>
              <w:topLinePunct w:val="0"/>
              <w:autoSpaceDE/>
              <w:autoSpaceDN/>
              <w:bidi w:val="0"/>
              <w:snapToGrid w:val="0"/>
              <w:spacing w:line="240" w:lineRule="auto"/>
              <w:ind w:firstLine="482" w:firstLineChars="200"/>
              <w:textAlignment w:val="auto"/>
              <w:rPr>
                <w:rFonts w:hint="eastAsia"/>
                <w:b/>
                <w:bCs/>
                <w:color w:val="auto"/>
                <w:u w:val="single"/>
                <w:lang w:val="en-US" w:eastAsia="zh-CN"/>
              </w:rPr>
            </w:pPr>
            <w:r>
              <w:rPr>
                <w:rFonts w:hint="eastAsia"/>
                <w:b/>
                <w:bCs/>
                <w:color w:val="auto"/>
                <w:u w:val="single"/>
                <w:lang w:val="en-US" w:eastAsia="zh-CN"/>
              </w:rPr>
              <w:t>*</w:t>
            </w:r>
          </w:p>
          <w:p w14:paraId="0D59E388">
            <w:pPr>
              <w:bidi w:val="0"/>
              <w:ind w:firstLine="482" w:firstLineChars="200"/>
            </w:pPr>
            <w:r>
              <w:rPr>
                <w:rFonts w:hint="eastAsia"/>
                <w:b/>
                <w:bCs/>
                <w:color w:val="auto"/>
                <w:u w:val="single"/>
                <w:lang w:val="en-US" w:eastAsia="zh-CN"/>
              </w:rPr>
              <w:t>*</w:t>
            </w:r>
          </w:p>
        </w:tc>
        <w:tc>
          <w:tcPr>
            <w:tcW w:w="3058" w:type="pct"/>
            <w:gridSpan w:val="3"/>
            <w:noWrap w:val="0"/>
            <w:vAlign w:val="center"/>
          </w:tcPr>
          <w:p w14:paraId="26524756">
            <w:pPr>
              <w:keepNext w:val="0"/>
              <w:keepLines w:val="0"/>
              <w:pageBreakBefore w:val="0"/>
              <w:widowControl w:val="0"/>
              <w:wordWrap/>
              <w:topLinePunct w:val="0"/>
              <w:autoSpaceDE/>
              <w:autoSpaceDN/>
              <w:bidi w:val="0"/>
              <w:snapToGrid w:val="0"/>
              <w:spacing w:line="240" w:lineRule="auto"/>
              <w:ind w:firstLine="482" w:firstLineChars="200"/>
              <w:textAlignment w:val="auto"/>
              <w:rPr>
                <w:b/>
                <w:bCs/>
                <w:color w:val="auto"/>
                <w:u w:val="single"/>
              </w:rPr>
            </w:pPr>
            <w:r>
              <w:rPr>
                <w:rFonts w:hint="eastAsia"/>
                <w:b/>
                <w:bCs/>
                <w:color w:val="auto"/>
                <w:u w:val="single"/>
                <w:lang w:val="en-US" w:eastAsia="zh-CN"/>
              </w:rPr>
              <w:t>*</w:t>
            </w:r>
          </w:p>
        </w:tc>
        <w:tc>
          <w:tcPr>
            <w:tcW w:w="1652" w:type="dxa"/>
            <w:noWrap w:val="0"/>
            <w:vAlign w:val="center"/>
          </w:tcPr>
          <w:p w14:paraId="57A9FF7F">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b/>
                <w:bCs/>
                <w:color w:val="auto"/>
                <w:u w:val="single"/>
              </w:rPr>
            </w:pPr>
            <w:r>
              <w:rPr>
                <w:rFonts w:hint="eastAsia"/>
                <w:b/>
                <w:bCs/>
                <w:color w:val="auto"/>
                <w:u w:val="single"/>
                <w:lang w:val="en-US" w:eastAsia="zh-CN"/>
              </w:rPr>
              <w:t>*</w:t>
            </w:r>
          </w:p>
        </w:tc>
      </w:tr>
      <w:tr w14:paraId="48345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3" w:type="pct"/>
            <w:gridSpan w:val="2"/>
            <w:vMerge w:val="continue"/>
            <w:noWrap w:val="0"/>
            <w:vAlign w:val="center"/>
          </w:tcPr>
          <w:p w14:paraId="6329754A">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bCs/>
                <w:u w:val="single"/>
              </w:rPr>
            </w:pPr>
          </w:p>
        </w:tc>
        <w:tc>
          <w:tcPr>
            <w:tcW w:w="3058" w:type="pct"/>
            <w:gridSpan w:val="3"/>
            <w:noWrap w:val="0"/>
            <w:vAlign w:val="center"/>
          </w:tcPr>
          <w:p w14:paraId="53C71BD5">
            <w:pPr>
              <w:keepNext w:val="0"/>
              <w:keepLines w:val="0"/>
              <w:pageBreakBefore w:val="0"/>
              <w:widowControl w:val="0"/>
              <w:wordWrap/>
              <w:topLinePunct w:val="0"/>
              <w:autoSpaceDE/>
              <w:autoSpaceDN/>
              <w:bidi w:val="0"/>
              <w:snapToGrid w:val="0"/>
              <w:spacing w:line="240" w:lineRule="auto"/>
              <w:ind w:firstLine="482" w:firstLineChars="200"/>
              <w:textAlignment w:val="auto"/>
              <w:rPr>
                <w:b/>
                <w:bCs/>
                <w:u w:val="single"/>
              </w:rPr>
            </w:pPr>
            <w:r>
              <w:rPr>
                <w:rFonts w:hint="eastAsia"/>
                <w:b/>
                <w:bCs/>
                <w:color w:val="auto"/>
                <w:u w:val="single"/>
                <w:lang w:val="en-US" w:eastAsia="zh-CN"/>
              </w:rPr>
              <w:t>*</w:t>
            </w:r>
          </w:p>
        </w:tc>
        <w:tc>
          <w:tcPr>
            <w:tcW w:w="1652" w:type="dxa"/>
            <w:noWrap w:val="0"/>
            <w:vAlign w:val="center"/>
          </w:tcPr>
          <w:p w14:paraId="4E494F2A">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bCs/>
                <w:color w:val="auto"/>
                <w:u w:val="single"/>
                <w:lang w:val="en-US"/>
              </w:rPr>
            </w:pPr>
            <w:r>
              <w:rPr>
                <w:rFonts w:hint="eastAsia"/>
                <w:b/>
                <w:bCs/>
                <w:color w:val="auto"/>
                <w:u w:val="single"/>
                <w:lang w:val="en-US" w:eastAsia="zh-CN"/>
              </w:rPr>
              <w:t>*</w:t>
            </w:r>
          </w:p>
        </w:tc>
      </w:tr>
    </w:tbl>
    <w:p w14:paraId="148B42FD">
      <w:pPr>
        <w:pStyle w:val="10"/>
        <w:bidi w:val="0"/>
        <w:rPr>
          <w:b/>
          <w:bCs/>
          <w:u w:val="single"/>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4.6</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4</w:t>
      </w:r>
      <w:r>
        <w:rPr>
          <w:b/>
          <w:bCs/>
          <w:u w:val="single"/>
        </w:rPr>
        <w:fldChar w:fldCharType="end"/>
      </w:r>
      <w:r>
        <w:rPr>
          <w:rFonts w:hint="eastAsia"/>
          <w:b/>
          <w:bCs/>
          <w:u w:val="single"/>
        </w:rPr>
        <w:t xml:space="preserve"> 大气污染物</w:t>
      </w:r>
      <w:r>
        <w:rPr>
          <w:rFonts w:hint="eastAsia"/>
          <w:b/>
          <w:bCs/>
          <w:u w:val="single"/>
          <w:lang w:val="en-US" w:eastAsia="zh-CN"/>
        </w:rPr>
        <w:t>无</w:t>
      </w:r>
      <w:r>
        <w:rPr>
          <w:rFonts w:hint="eastAsia"/>
          <w:b/>
          <w:bCs/>
          <w:u w:val="single"/>
        </w:rPr>
        <w:t>组织排放量核算</w:t>
      </w:r>
    </w:p>
    <w:tbl>
      <w:tblPr>
        <w:tblStyle w:val="3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816"/>
        <w:gridCol w:w="919"/>
        <w:gridCol w:w="1295"/>
        <w:gridCol w:w="849"/>
        <w:gridCol w:w="1644"/>
        <w:gridCol w:w="1087"/>
        <w:gridCol w:w="1092"/>
      </w:tblGrid>
      <w:tr w14:paraId="75B67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250" w:type="pct"/>
            <w:vMerge w:val="restart"/>
            <w:noWrap w:val="0"/>
            <w:vAlign w:val="center"/>
          </w:tcPr>
          <w:p w14:paraId="0453C543">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序号</w:t>
            </w:r>
          </w:p>
        </w:tc>
        <w:tc>
          <w:tcPr>
            <w:tcW w:w="478" w:type="pct"/>
            <w:vMerge w:val="restart"/>
            <w:noWrap w:val="0"/>
            <w:vAlign w:val="center"/>
          </w:tcPr>
          <w:p w14:paraId="6E6CE69B">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排放口编号</w:t>
            </w:r>
          </w:p>
        </w:tc>
        <w:tc>
          <w:tcPr>
            <w:tcW w:w="578" w:type="pct"/>
            <w:vMerge w:val="restart"/>
            <w:noWrap w:val="0"/>
            <w:vAlign w:val="center"/>
          </w:tcPr>
          <w:p w14:paraId="22E85AD9">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u w:val="single"/>
                <w:lang w:eastAsia="zh-CN"/>
              </w:rPr>
            </w:pPr>
            <w:r>
              <w:rPr>
                <w:rFonts w:hint="eastAsia" w:eastAsia="宋体"/>
                <w:b/>
                <w:bCs/>
                <w:u w:val="single"/>
                <w:lang w:val="en-US" w:eastAsia="zh-CN"/>
              </w:rPr>
              <w:t>产污环节</w:t>
            </w:r>
          </w:p>
        </w:tc>
        <w:tc>
          <w:tcPr>
            <w:tcW w:w="797" w:type="pct"/>
            <w:vMerge w:val="restart"/>
            <w:noWrap w:val="0"/>
            <w:vAlign w:val="center"/>
          </w:tcPr>
          <w:p w14:paraId="0C9804D0">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eastAsia="宋体"/>
                <w:b/>
                <w:bCs/>
                <w:u w:val="single"/>
                <w:lang w:val="en-US" w:eastAsia="zh-CN"/>
              </w:rPr>
            </w:pPr>
            <w:r>
              <w:rPr>
                <w:rFonts w:hint="eastAsia" w:eastAsia="宋体"/>
                <w:b/>
                <w:bCs/>
                <w:u w:val="single"/>
                <w:lang w:val="en-US" w:eastAsia="zh-CN"/>
              </w:rPr>
              <w:t>污染物</w:t>
            </w:r>
          </w:p>
        </w:tc>
        <w:tc>
          <w:tcPr>
            <w:tcW w:w="537" w:type="pct"/>
            <w:vMerge w:val="restart"/>
            <w:noWrap w:val="0"/>
            <w:vAlign w:val="center"/>
          </w:tcPr>
          <w:p w14:paraId="5DA6BD2C">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u w:val="single"/>
                <w:lang w:eastAsia="zh-CN"/>
              </w:rPr>
            </w:pPr>
            <w:r>
              <w:rPr>
                <w:rFonts w:hint="eastAsia" w:eastAsia="宋体"/>
                <w:b/>
                <w:bCs/>
                <w:u w:val="single"/>
                <w:lang w:val="en-US" w:eastAsia="zh-CN"/>
              </w:rPr>
              <w:t>主要污染防治措施</w:t>
            </w:r>
          </w:p>
        </w:tc>
        <w:tc>
          <w:tcPr>
            <w:tcW w:w="1679" w:type="pct"/>
            <w:gridSpan w:val="2"/>
            <w:noWrap w:val="0"/>
            <w:vAlign w:val="center"/>
          </w:tcPr>
          <w:p w14:paraId="52DA6A61">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eastAsia="宋体"/>
                <w:b/>
                <w:bCs/>
                <w:u w:val="single"/>
                <w:lang w:val="en-US" w:eastAsia="zh-CN"/>
              </w:rPr>
            </w:pPr>
            <w:r>
              <w:rPr>
                <w:rFonts w:hint="eastAsia" w:eastAsia="宋体"/>
                <w:b/>
                <w:bCs/>
                <w:u w:val="single"/>
                <w:lang w:val="en-US" w:eastAsia="zh-CN"/>
              </w:rPr>
              <w:t>国家或地方污染物排放标准</w:t>
            </w:r>
          </w:p>
        </w:tc>
        <w:tc>
          <w:tcPr>
            <w:tcW w:w="677" w:type="pct"/>
            <w:vMerge w:val="restart"/>
            <w:noWrap w:val="0"/>
            <w:vAlign w:val="center"/>
          </w:tcPr>
          <w:p w14:paraId="2CB0DEF8">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eastAsia="宋体"/>
                <w:b/>
                <w:bCs/>
                <w:u w:val="single"/>
                <w:lang w:val="en-US" w:eastAsia="zh-CN"/>
              </w:rPr>
            </w:pPr>
            <w:r>
              <w:rPr>
                <w:rFonts w:hint="eastAsia" w:eastAsia="宋体"/>
                <w:b/>
                <w:bCs/>
                <w:u w:val="single"/>
                <w:lang w:val="en-US" w:eastAsia="zh-CN"/>
              </w:rPr>
              <w:t>年排放量</w:t>
            </w:r>
            <w:r>
              <w:rPr>
                <w:b/>
                <w:bCs/>
                <w:u w:val="single"/>
              </w:rPr>
              <w:t>t/a</w:t>
            </w:r>
          </w:p>
        </w:tc>
      </w:tr>
      <w:tr w14:paraId="03BA6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50" w:type="pct"/>
            <w:vMerge w:val="continue"/>
            <w:noWrap w:val="0"/>
            <w:vAlign w:val="center"/>
          </w:tcPr>
          <w:p w14:paraId="65C8509E">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bCs/>
                <w:u w:val="single"/>
              </w:rPr>
            </w:pPr>
          </w:p>
        </w:tc>
        <w:tc>
          <w:tcPr>
            <w:tcW w:w="478" w:type="pct"/>
            <w:vMerge w:val="continue"/>
            <w:noWrap w:val="0"/>
            <w:vAlign w:val="center"/>
          </w:tcPr>
          <w:p w14:paraId="7DFFD085">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bCs/>
                <w:u w:val="single"/>
              </w:rPr>
            </w:pPr>
          </w:p>
        </w:tc>
        <w:tc>
          <w:tcPr>
            <w:tcW w:w="578" w:type="pct"/>
            <w:vMerge w:val="continue"/>
            <w:noWrap w:val="0"/>
            <w:vAlign w:val="center"/>
          </w:tcPr>
          <w:p w14:paraId="6ED37FBB">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rFonts w:hint="eastAsia" w:eastAsia="宋体"/>
                <w:b/>
                <w:bCs/>
                <w:u w:val="single"/>
                <w:lang w:val="en-US" w:eastAsia="zh-CN"/>
              </w:rPr>
            </w:pPr>
          </w:p>
        </w:tc>
        <w:tc>
          <w:tcPr>
            <w:tcW w:w="797" w:type="pct"/>
            <w:vMerge w:val="continue"/>
            <w:noWrap w:val="0"/>
            <w:vAlign w:val="center"/>
          </w:tcPr>
          <w:p w14:paraId="3FAD985A">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rFonts w:hint="eastAsia" w:eastAsia="宋体"/>
                <w:b/>
                <w:bCs/>
                <w:u w:val="single"/>
                <w:lang w:val="en-US" w:eastAsia="zh-CN"/>
              </w:rPr>
            </w:pPr>
          </w:p>
        </w:tc>
        <w:tc>
          <w:tcPr>
            <w:tcW w:w="537" w:type="pct"/>
            <w:vMerge w:val="continue"/>
            <w:noWrap w:val="0"/>
            <w:vAlign w:val="center"/>
          </w:tcPr>
          <w:p w14:paraId="3402E7B2">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rFonts w:hint="eastAsia" w:eastAsia="宋体"/>
                <w:b/>
                <w:bCs/>
                <w:u w:val="single"/>
                <w:lang w:val="en-US" w:eastAsia="zh-CN"/>
              </w:rPr>
            </w:pPr>
          </w:p>
        </w:tc>
        <w:tc>
          <w:tcPr>
            <w:tcW w:w="1003" w:type="pct"/>
            <w:noWrap w:val="0"/>
            <w:vAlign w:val="center"/>
          </w:tcPr>
          <w:p w14:paraId="795A2C1C">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u w:val="single"/>
                <w:lang w:val="en-US" w:eastAsia="zh-CN"/>
              </w:rPr>
            </w:pPr>
            <w:r>
              <w:rPr>
                <w:rFonts w:hint="eastAsia" w:eastAsia="宋体"/>
                <w:b/>
                <w:bCs/>
                <w:u w:val="single"/>
                <w:lang w:val="en-US" w:eastAsia="zh-CN"/>
              </w:rPr>
              <w:t>标准名称</w:t>
            </w:r>
          </w:p>
        </w:tc>
        <w:tc>
          <w:tcPr>
            <w:tcW w:w="676" w:type="pct"/>
            <w:noWrap w:val="0"/>
            <w:vAlign w:val="center"/>
          </w:tcPr>
          <w:p w14:paraId="20F27185">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eastAsia="宋体"/>
                <w:b/>
                <w:bCs/>
                <w:u w:val="single"/>
                <w:lang w:val="en-US" w:eastAsia="zh-CN"/>
              </w:rPr>
            </w:pPr>
            <w:r>
              <w:rPr>
                <w:rFonts w:hint="eastAsia" w:eastAsia="宋体"/>
                <w:b/>
                <w:bCs/>
                <w:u w:val="single"/>
                <w:lang w:val="en-US" w:eastAsia="zh-CN"/>
              </w:rPr>
              <w:t>浓度限值</w:t>
            </w:r>
            <w:r>
              <w:rPr>
                <w:b/>
                <w:bCs/>
                <w:u w:val="single"/>
              </w:rPr>
              <w:t>mg/m</w:t>
            </w:r>
            <w:r>
              <w:rPr>
                <w:b/>
                <w:bCs/>
                <w:u w:val="single"/>
                <w:vertAlign w:val="superscript"/>
              </w:rPr>
              <w:t>3</w:t>
            </w:r>
          </w:p>
        </w:tc>
        <w:tc>
          <w:tcPr>
            <w:tcW w:w="677" w:type="pct"/>
            <w:vMerge w:val="continue"/>
            <w:noWrap w:val="0"/>
            <w:vAlign w:val="center"/>
          </w:tcPr>
          <w:p w14:paraId="6A95F687">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rFonts w:hint="eastAsia" w:eastAsia="宋体"/>
                <w:b/>
                <w:bCs/>
                <w:u w:val="single"/>
                <w:lang w:val="en-US" w:eastAsia="zh-CN"/>
              </w:rPr>
            </w:pPr>
          </w:p>
        </w:tc>
      </w:tr>
      <w:tr w14:paraId="47E83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4" w:hRule="atLeast"/>
          <w:jc w:val="center"/>
        </w:trPr>
        <w:tc>
          <w:tcPr>
            <w:tcW w:w="250" w:type="pct"/>
            <w:noWrap w:val="0"/>
            <w:vAlign w:val="center"/>
          </w:tcPr>
          <w:p w14:paraId="4ADFC619">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c>
          <w:tcPr>
            <w:tcW w:w="478" w:type="pct"/>
            <w:noWrap w:val="0"/>
            <w:vAlign w:val="center"/>
          </w:tcPr>
          <w:p w14:paraId="3644B11B">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c>
          <w:tcPr>
            <w:tcW w:w="578" w:type="pct"/>
            <w:noWrap w:val="0"/>
            <w:vAlign w:val="center"/>
          </w:tcPr>
          <w:p w14:paraId="23369526">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797" w:type="pct"/>
            <w:noWrap w:val="0"/>
            <w:vAlign w:val="center"/>
          </w:tcPr>
          <w:p w14:paraId="26FD5A75">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537" w:type="pct"/>
            <w:noWrap w:val="0"/>
            <w:vAlign w:val="center"/>
          </w:tcPr>
          <w:p w14:paraId="199D2A3B">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1003" w:type="pct"/>
            <w:vMerge w:val="restart"/>
            <w:noWrap w:val="0"/>
            <w:vAlign w:val="center"/>
          </w:tcPr>
          <w:p w14:paraId="5E5CE778">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p w14:paraId="5B48398D">
            <w:pPr>
              <w:bidi w:val="0"/>
              <w:ind w:firstLine="482" w:firstLineChars="200"/>
            </w:pPr>
            <w:r>
              <w:rPr>
                <w:rFonts w:hint="eastAsia"/>
                <w:b/>
                <w:bCs/>
                <w:color w:val="auto"/>
                <w:u w:val="single"/>
                <w:lang w:val="en-US" w:eastAsia="zh-CN"/>
              </w:rPr>
              <w:t>*</w:t>
            </w:r>
          </w:p>
        </w:tc>
        <w:tc>
          <w:tcPr>
            <w:tcW w:w="676" w:type="pct"/>
            <w:noWrap w:val="0"/>
            <w:vAlign w:val="center"/>
          </w:tcPr>
          <w:p w14:paraId="166FF51F">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c>
          <w:tcPr>
            <w:tcW w:w="677" w:type="pct"/>
            <w:noWrap w:val="0"/>
            <w:vAlign w:val="center"/>
          </w:tcPr>
          <w:p w14:paraId="687E5A4D">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r>
      <w:tr w14:paraId="21D0B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noWrap w:val="0"/>
            <w:vAlign w:val="center"/>
          </w:tcPr>
          <w:p w14:paraId="0CE7E9F4">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c>
          <w:tcPr>
            <w:tcW w:w="478" w:type="pct"/>
            <w:noWrap w:val="0"/>
            <w:vAlign w:val="center"/>
          </w:tcPr>
          <w:p w14:paraId="7CDD0E23">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c>
          <w:tcPr>
            <w:tcW w:w="578" w:type="pct"/>
            <w:noWrap w:val="0"/>
            <w:vAlign w:val="center"/>
          </w:tcPr>
          <w:p w14:paraId="271F0371">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797" w:type="pct"/>
            <w:noWrap w:val="0"/>
            <w:vAlign w:val="center"/>
          </w:tcPr>
          <w:p w14:paraId="4AA20AA6">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c>
          <w:tcPr>
            <w:tcW w:w="537" w:type="pct"/>
            <w:noWrap w:val="0"/>
            <w:vAlign w:val="center"/>
          </w:tcPr>
          <w:p w14:paraId="3E4D0953">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c>
          <w:tcPr>
            <w:tcW w:w="1003" w:type="pct"/>
            <w:vMerge w:val="continue"/>
            <w:noWrap w:val="0"/>
            <w:vAlign w:val="center"/>
          </w:tcPr>
          <w:p w14:paraId="315CD643">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p>
        </w:tc>
        <w:tc>
          <w:tcPr>
            <w:tcW w:w="676" w:type="pct"/>
            <w:noWrap w:val="0"/>
            <w:vAlign w:val="center"/>
          </w:tcPr>
          <w:p w14:paraId="47B62393">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c>
          <w:tcPr>
            <w:tcW w:w="677" w:type="pct"/>
            <w:noWrap w:val="0"/>
            <w:vAlign w:val="center"/>
          </w:tcPr>
          <w:p w14:paraId="2FE3C66D">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r>
      <w:tr w14:paraId="785AB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noWrap w:val="0"/>
            <w:vAlign w:val="center"/>
          </w:tcPr>
          <w:p w14:paraId="4E0CDBB6">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r>
      <w:tr w14:paraId="79A60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05" w:type="pct"/>
            <w:gridSpan w:val="4"/>
            <w:noWrap w:val="0"/>
            <w:vAlign w:val="center"/>
          </w:tcPr>
          <w:p w14:paraId="3BA39A8E">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1540" w:type="pct"/>
            <w:gridSpan w:val="2"/>
            <w:noWrap w:val="0"/>
            <w:vAlign w:val="center"/>
          </w:tcPr>
          <w:p w14:paraId="25B629DB">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u w:val="single"/>
                <w:lang w:val="en-US" w:eastAsia="zh-CN"/>
              </w:rPr>
            </w:pPr>
            <w:r>
              <w:rPr>
                <w:rFonts w:hint="eastAsia"/>
                <w:b/>
                <w:bCs/>
                <w:color w:val="auto"/>
                <w:u w:val="single"/>
                <w:lang w:val="en-US" w:eastAsia="zh-CN"/>
              </w:rPr>
              <w:t>*</w:t>
            </w:r>
          </w:p>
        </w:tc>
        <w:tc>
          <w:tcPr>
            <w:tcW w:w="1354" w:type="pct"/>
            <w:gridSpan w:val="2"/>
            <w:noWrap w:val="0"/>
            <w:vAlign w:val="center"/>
          </w:tcPr>
          <w:p w14:paraId="2F918550">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r>
    </w:tbl>
    <w:p w14:paraId="389C7D6E">
      <w:pPr>
        <w:pStyle w:val="10"/>
        <w:bidi w:val="0"/>
        <w:rPr>
          <w:rFonts w:hint="eastAsia"/>
          <w:b/>
          <w:bCs/>
          <w:u w:val="single"/>
        </w:rPr>
      </w:pPr>
      <w:r>
        <w:rPr>
          <w:rFonts w:hint="eastAsia"/>
          <w:b/>
          <w:bCs/>
          <w:u w:val="single"/>
        </w:rPr>
        <w:t xml:space="preserve">表 </w:t>
      </w:r>
      <w:r>
        <w:rPr>
          <w:rFonts w:hint="eastAsia"/>
          <w:b/>
          <w:bCs/>
          <w:u w:val="single"/>
        </w:rPr>
        <w:fldChar w:fldCharType="begin"/>
      </w:r>
      <w:r>
        <w:rPr>
          <w:rFonts w:hint="eastAsia"/>
          <w:b/>
          <w:bCs/>
          <w:u w:val="single"/>
        </w:rPr>
        <w:instrText xml:space="preserve"> STYLEREF 2 \s </w:instrText>
      </w:r>
      <w:r>
        <w:rPr>
          <w:rFonts w:hint="eastAsia"/>
          <w:b/>
          <w:bCs/>
          <w:u w:val="single"/>
        </w:rPr>
        <w:fldChar w:fldCharType="separate"/>
      </w:r>
      <w:r>
        <w:rPr>
          <w:rFonts w:hint="eastAsia"/>
          <w:b/>
          <w:bCs/>
          <w:u w:val="single"/>
        </w:rPr>
        <w:t>4.6</w:t>
      </w:r>
      <w:r>
        <w:rPr>
          <w:rFonts w:hint="eastAsia"/>
          <w:b/>
          <w:bCs/>
          <w:u w:val="single"/>
        </w:rPr>
        <w:fldChar w:fldCharType="end"/>
      </w:r>
      <w:r>
        <w:rPr>
          <w:rFonts w:hint="eastAsia"/>
          <w:b/>
          <w:bCs/>
          <w:u w:val="single"/>
          <w:lang w:eastAsia="zh-CN"/>
        </w:rPr>
        <w:t>-</w:t>
      </w:r>
      <w:r>
        <w:rPr>
          <w:rFonts w:hint="eastAsia"/>
          <w:b/>
          <w:bCs/>
          <w:u w:val="single"/>
        </w:rPr>
        <w:fldChar w:fldCharType="begin"/>
      </w:r>
      <w:r>
        <w:rPr>
          <w:rFonts w:hint="eastAsia"/>
          <w:b/>
          <w:bCs/>
          <w:u w:val="single"/>
        </w:rPr>
        <w:instrText xml:space="preserve"> SEQ 表 \* ARABIC \s 2 </w:instrText>
      </w:r>
      <w:r>
        <w:rPr>
          <w:rFonts w:hint="eastAsia"/>
          <w:b/>
          <w:bCs/>
          <w:u w:val="single"/>
        </w:rPr>
        <w:fldChar w:fldCharType="separate"/>
      </w:r>
      <w:r>
        <w:rPr>
          <w:rFonts w:hint="eastAsia"/>
          <w:b/>
          <w:bCs/>
          <w:u w:val="single"/>
        </w:rPr>
        <w:t>5</w:t>
      </w:r>
      <w:r>
        <w:rPr>
          <w:rFonts w:hint="eastAsia"/>
          <w:b/>
          <w:bCs/>
          <w:u w:val="single"/>
        </w:rPr>
        <w:fldChar w:fldCharType="end"/>
      </w:r>
      <w:r>
        <w:rPr>
          <w:rFonts w:hint="eastAsia"/>
          <w:b/>
          <w:bCs/>
          <w:u w:val="single"/>
        </w:rPr>
        <w:t xml:space="preserve"> 大气污染物年排放量核算</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9"/>
        <w:gridCol w:w="3465"/>
        <w:gridCol w:w="3459"/>
      </w:tblGrid>
      <w:tr w14:paraId="7E4A5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938" w:type="pct"/>
            <w:noWrap w:val="0"/>
            <w:vAlign w:val="center"/>
          </w:tcPr>
          <w:p w14:paraId="69D11A33">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序号</w:t>
            </w:r>
          </w:p>
        </w:tc>
        <w:tc>
          <w:tcPr>
            <w:tcW w:w="2033" w:type="pct"/>
            <w:noWrap w:val="0"/>
            <w:vAlign w:val="center"/>
          </w:tcPr>
          <w:p w14:paraId="6D20C237">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污染物</w:t>
            </w:r>
          </w:p>
        </w:tc>
        <w:tc>
          <w:tcPr>
            <w:tcW w:w="2029" w:type="pct"/>
            <w:noWrap w:val="0"/>
            <w:vAlign w:val="center"/>
          </w:tcPr>
          <w:p w14:paraId="0FF7B3D7">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年排放量t/a</w:t>
            </w:r>
          </w:p>
        </w:tc>
      </w:tr>
      <w:tr w14:paraId="7A49E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938" w:type="pct"/>
            <w:noWrap w:val="0"/>
            <w:vAlign w:val="center"/>
          </w:tcPr>
          <w:p w14:paraId="4BB01B47">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1</w:t>
            </w:r>
          </w:p>
        </w:tc>
        <w:tc>
          <w:tcPr>
            <w:tcW w:w="2033" w:type="pct"/>
            <w:noWrap w:val="0"/>
            <w:vAlign w:val="center"/>
          </w:tcPr>
          <w:p w14:paraId="688B5E0C">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b/>
                <w:bCs/>
                <w:u w:val="single"/>
              </w:rPr>
            </w:pPr>
            <w:r>
              <w:rPr>
                <w:rFonts w:hint="eastAsia"/>
                <w:b/>
                <w:bCs/>
                <w:color w:val="auto"/>
                <w:u w:val="single"/>
                <w:lang w:val="en-US" w:eastAsia="zh-CN"/>
              </w:rPr>
              <w:t>*</w:t>
            </w:r>
          </w:p>
        </w:tc>
        <w:tc>
          <w:tcPr>
            <w:tcW w:w="3770" w:type="dxa"/>
            <w:noWrap w:val="0"/>
            <w:vAlign w:val="center"/>
          </w:tcPr>
          <w:p w14:paraId="188CD424">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b/>
                <w:bCs/>
                <w:color w:val="auto"/>
                <w:u w:val="single"/>
              </w:rPr>
            </w:pPr>
            <w:r>
              <w:rPr>
                <w:rFonts w:hint="eastAsia"/>
                <w:b/>
                <w:bCs/>
                <w:color w:val="auto"/>
                <w:u w:val="single"/>
                <w:lang w:val="en-US" w:eastAsia="zh-CN"/>
              </w:rPr>
              <w:t>*</w:t>
            </w:r>
          </w:p>
        </w:tc>
      </w:tr>
      <w:tr w14:paraId="59E2E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938" w:type="pct"/>
            <w:noWrap w:val="0"/>
            <w:vAlign w:val="center"/>
          </w:tcPr>
          <w:p w14:paraId="720E0571">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u w:val="single"/>
                <w:lang w:val="en-US" w:eastAsia="zh-CN"/>
              </w:rPr>
            </w:pPr>
            <w:r>
              <w:rPr>
                <w:rFonts w:hint="eastAsia"/>
                <w:b/>
                <w:bCs/>
                <w:u w:val="single"/>
                <w:lang w:val="en-US" w:eastAsia="zh-CN"/>
              </w:rPr>
              <w:t>2</w:t>
            </w:r>
          </w:p>
        </w:tc>
        <w:tc>
          <w:tcPr>
            <w:tcW w:w="3777" w:type="dxa"/>
            <w:noWrap w:val="0"/>
            <w:vAlign w:val="center"/>
          </w:tcPr>
          <w:p w14:paraId="4D528965">
            <w:pPr>
              <w:keepNext w:val="0"/>
              <w:keepLines w:val="0"/>
              <w:pageBreakBefore w:val="0"/>
              <w:widowControl w:val="0"/>
              <w:wordWrap/>
              <w:topLinePunct w:val="0"/>
              <w:autoSpaceDE/>
              <w:autoSpaceDN/>
              <w:bidi w:val="0"/>
              <w:snapToGrid w:val="0"/>
              <w:spacing w:line="240" w:lineRule="auto"/>
              <w:ind w:firstLine="482" w:firstLineChars="200"/>
              <w:textAlignment w:val="auto"/>
              <w:rPr>
                <w:b/>
                <w:bCs/>
                <w:u w:val="single"/>
              </w:rPr>
            </w:pPr>
            <w:r>
              <w:rPr>
                <w:rFonts w:hint="eastAsia"/>
                <w:b/>
                <w:bCs/>
                <w:color w:val="auto"/>
                <w:u w:val="single"/>
                <w:lang w:val="en-US" w:eastAsia="zh-CN"/>
              </w:rPr>
              <w:t>*</w:t>
            </w:r>
          </w:p>
        </w:tc>
        <w:tc>
          <w:tcPr>
            <w:tcW w:w="3770" w:type="dxa"/>
            <w:noWrap w:val="0"/>
            <w:vAlign w:val="center"/>
          </w:tcPr>
          <w:p w14:paraId="0DDA9FC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bCs/>
                <w:color w:val="auto"/>
                <w:u w:val="single"/>
                <w:lang w:val="en-US"/>
              </w:rPr>
            </w:pPr>
            <w:r>
              <w:rPr>
                <w:rFonts w:hint="eastAsia"/>
                <w:b/>
                <w:bCs/>
                <w:color w:val="auto"/>
                <w:u w:val="single"/>
                <w:lang w:val="en-US" w:eastAsia="zh-CN"/>
              </w:rPr>
              <w:t>*</w:t>
            </w:r>
          </w:p>
        </w:tc>
      </w:tr>
    </w:tbl>
    <w:p w14:paraId="101926EB">
      <w:pPr>
        <w:pStyle w:val="5"/>
        <w:bidi w:val="0"/>
        <w:rPr>
          <w:rFonts w:hint="eastAsia"/>
          <w:lang w:val="en-US" w:eastAsia="zh-CN"/>
        </w:rPr>
      </w:pPr>
      <w:r>
        <w:rPr>
          <w:rFonts w:hint="eastAsia"/>
        </w:rPr>
        <w:t>废水</w:t>
      </w:r>
      <w:r>
        <w:rPr>
          <w:rFonts w:hint="eastAsia"/>
          <w:lang w:val="en-US" w:eastAsia="zh-CN"/>
        </w:rPr>
        <w:t>产排情况</w:t>
      </w:r>
    </w:p>
    <w:p w14:paraId="343B8132">
      <w:pPr>
        <w:pStyle w:val="6"/>
        <w:bidi w:val="0"/>
        <w:rPr>
          <w:rFonts w:hint="default"/>
          <w:lang w:val="en-US" w:eastAsia="zh-CN"/>
        </w:rPr>
      </w:pPr>
      <w:r>
        <w:rPr>
          <w:rFonts w:hint="eastAsia"/>
          <w:lang w:val="en-US" w:eastAsia="zh-CN"/>
        </w:rPr>
        <w:t>生活废水</w:t>
      </w:r>
    </w:p>
    <w:p w14:paraId="37B8D29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rPr>
      </w:pPr>
      <w:r>
        <w:t>本项目员工从现有工程调配，不新增</w:t>
      </w:r>
      <w:r>
        <w:rPr>
          <w:rFonts w:hint="eastAsia"/>
          <w:lang w:val="en-US" w:eastAsia="zh-CN"/>
        </w:rPr>
        <w:t>生活废水</w:t>
      </w:r>
      <w:r>
        <w:rPr>
          <w:rFonts w:hint="eastAsia"/>
        </w:rPr>
        <w:t>。</w:t>
      </w:r>
    </w:p>
    <w:p w14:paraId="7641CA23">
      <w:pPr>
        <w:pStyle w:val="6"/>
        <w:bidi w:val="0"/>
        <w:rPr>
          <w:rFonts w:hint="default"/>
          <w:lang w:val="en-US" w:eastAsia="zh-CN"/>
        </w:rPr>
      </w:pPr>
      <w:r>
        <w:rPr>
          <w:rFonts w:hint="eastAsia"/>
          <w:lang w:val="en-US" w:eastAsia="zh-CN"/>
        </w:rPr>
        <w:t>生产废水</w:t>
      </w:r>
    </w:p>
    <w:p w14:paraId="16DAB709">
      <w:pPr>
        <w:bidi w:val="0"/>
        <w:rPr>
          <w:rFonts w:hint="eastAsia"/>
          <w:b/>
          <w:bCs/>
          <w:color w:val="auto"/>
          <w:u w:val="single"/>
          <w:lang w:val="en-US" w:eastAsia="zh-CN"/>
        </w:rPr>
      </w:pPr>
      <w:r>
        <w:rPr>
          <w:rFonts w:hint="eastAsia"/>
          <w:b/>
          <w:bCs/>
          <w:color w:val="auto"/>
          <w:u w:val="single"/>
          <w:lang w:val="en-US" w:eastAsia="zh-CN"/>
        </w:rPr>
        <w:t>*</w:t>
      </w:r>
    </w:p>
    <w:p w14:paraId="63B9A15A">
      <w:pPr>
        <w:bidi w:val="0"/>
        <w:rPr>
          <w:rFonts w:hint="default"/>
          <w:b/>
          <w:bCs/>
          <w:color w:val="auto"/>
          <w:u w:val="single"/>
          <w:lang w:val="en-US" w:eastAsia="zh-CN"/>
        </w:rPr>
      </w:pPr>
      <w:r>
        <w:rPr>
          <w:rFonts w:hint="eastAsia"/>
          <w:b/>
          <w:bCs/>
          <w:color w:val="auto"/>
          <w:u w:val="single"/>
          <w:lang w:val="en-US" w:eastAsia="zh-CN"/>
        </w:rPr>
        <w:t>*</w:t>
      </w:r>
    </w:p>
    <w:p w14:paraId="0CCB9BCE">
      <w:pPr>
        <w:bidi w:val="0"/>
        <w:rPr>
          <w:rFonts w:hint="eastAsia"/>
          <w:b/>
          <w:bCs/>
          <w:color w:val="auto"/>
          <w:u w:val="single"/>
          <w:lang w:val="en-US" w:eastAsia="zh-CN"/>
        </w:rPr>
      </w:pPr>
      <w:r>
        <w:rPr>
          <w:rFonts w:hint="eastAsia"/>
          <w:b/>
          <w:bCs/>
          <w:color w:val="auto"/>
          <w:u w:val="single"/>
          <w:lang w:val="en-US" w:eastAsia="zh-CN"/>
        </w:rPr>
        <w:t>*</w:t>
      </w:r>
    </w:p>
    <w:p w14:paraId="4BC2BE6F">
      <w:pPr>
        <w:bidi w:val="0"/>
        <w:rPr>
          <w:rFonts w:hint="default"/>
          <w:b/>
          <w:bCs/>
          <w:color w:val="auto"/>
          <w:u w:val="single"/>
          <w:lang w:val="en-US" w:eastAsia="zh-CN"/>
        </w:rPr>
      </w:pPr>
      <w:r>
        <w:rPr>
          <w:rFonts w:hint="eastAsia"/>
          <w:b/>
          <w:bCs/>
          <w:color w:val="auto"/>
          <w:u w:val="single"/>
          <w:lang w:val="en-US" w:eastAsia="zh-CN"/>
        </w:rPr>
        <w:t>*</w:t>
      </w:r>
    </w:p>
    <w:p w14:paraId="345FE8DB">
      <w:pPr>
        <w:bidi w:val="0"/>
        <w:rPr>
          <w:rFonts w:hint="eastAsia"/>
          <w:b/>
          <w:bCs/>
          <w:color w:val="auto"/>
          <w:u w:val="single"/>
          <w:lang w:val="en-US" w:eastAsia="zh-CN"/>
        </w:rPr>
      </w:pPr>
      <w:r>
        <w:rPr>
          <w:rFonts w:hint="eastAsia"/>
          <w:b/>
          <w:bCs/>
          <w:color w:val="auto"/>
          <w:u w:val="single"/>
          <w:lang w:val="en-US" w:eastAsia="zh-CN"/>
        </w:rPr>
        <w:t>*</w:t>
      </w:r>
    </w:p>
    <w:p w14:paraId="4FEE1284">
      <w:pPr>
        <w:bidi w:val="0"/>
        <w:rPr>
          <w:rFonts w:hint="default"/>
          <w:b/>
          <w:bCs/>
          <w:color w:val="auto"/>
          <w:u w:val="single"/>
          <w:lang w:val="en-US" w:eastAsia="zh-CN"/>
        </w:rPr>
      </w:pPr>
      <w:r>
        <w:rPr>
          <w:rFonts w:hint="eastAsia"/>
          <w:b/>
          <w:bCs/>
          <w:color w:val="auto"/>
          <w:u w:val="single"/>
          <w:lang w:val="en-US" w:eastAsia="zh-CN"/>
        </w:rPr>
        <w:t>*</w:t>
      </w:r>
    </w:p>
    <w:p w14:paraId="5E5648D5">
      <w:pPr>
        <w:bidi w:val="0"/>
        <w:rPr>
          <w:rFonts w:hint="eastAsia"/>
          <w:b/>
          <w:bCs/>
          <w:color w:val="auto"/>
          <w:u w:val="single"/>
          <w:lang w:val="en-US" w:eastAsia="zh-CN"/>
        </w:rPr>
      </w:pPr>
      <w:r>
        <w:rPr>
          <w:rFonts w:hint="eastAsia"/>
          <w:b/>
          <w:bCs/>
          <w:color w:val="auto"/>
          <w:u w:val="single"/>
          <w:lang w:val="en-US" w:eastAsia="zh-CN"/>
        </w:rPr>
        <w:t>*</w:t>
      </w:r>
    </w:p>
    <w:p w14:paraId="16DBDC79">
      <w:pPr>
        <w:bidi w:val="0"/>
        <w:rPr>
          <w:rFonts w:hint="default"/>
          <w:b/>
          <w:bCs/>
          <w:color w:val="auto"/>
          <w:u w:val="single"/>
          <w:lang w:val="en-US" w:eastAsia="zh-CN"/>
        </w:rPr>
      </w:pPr>
      <w:r>
        <w:rPr>
          <w:rFonts w:hint="eastAsia"/>
          <w:b/>
          <w:bCs/>
          <w:color w:val="auto"/>
          <w:u w:val="single"/>
          <w:lang w:val="en-US" w:eastAsia="zh-CN"/>
        </w:rPr>
        <w:t>*</w:t>
      </w:r>
    </w:p>
    <w:p w14:paraId="3F9E85F6">
      <w:pPr>
        <w:bidi w:val="0"/>
        <w:rPr>
          <w:rFonts w:hint="eastAsia"/>
          <w:b/>
          <w:bCs/>
          <w:color w:val="auto"/>
          <w:u w:val="single"/>
          <w:lang w:val="en-US" w:eastAsia="zh-CN"/>
        </w:rPr>
      </w:pPr>
      <w:r>
        <w:rPr>
          <w:rFonts w:hint="eastAsia"/>
          <w:b/>
          <w:bCs/>
          <w:color w:val="auto"/>
          <w:u w:val="single"/>
          <w:lang w:val="en-US" w:eastAsia="zh-CN"/>
        </w:rPr>
        <w:t>*</w:t>
      </w:r>
    </w:p>
    <w:p w14:paraId="16318EF3">
      <w:pPr>
        <w:bidi w:val="0"/>
        <w:rPr>
          <w:rFonts w:hint="default"/>
          <w:b/>
          <w:bCs/>
          <w:color w:val="auto"/>
          <w:u w:val="single"/>
          <w:lang w:val="en-US" w:eastAsia="zh-CN"/>
        </w:rPr>
      </w:pPr>
      <w:r>
        <w:rPr>
          <w:rFonts w:hint="eastAsia"/>
          <w:b/>
          <w:bCs/>
          <w:color w:val="auto"/>
          <w:u w:val="single"/>
          <w:lang w:val="en-US" w:eastAsia="zh-CN"/>
        </w:rPr>
        <w:t>*</w:t>
      </w:r>
    </w:p>
    <w:p w14:paraId="6C976D7C">
      <w:pPr>
        <w:bidi w:val="0"/>
        <w:rPr>
          <w:rFonts w:hint="eastAsia"/>
          <w:b/>
          <w:bCs/>
          <w:color w:val="auto"/>
          <w:u w:val="single"/>
          <w:lang w:val="en-US" w:eastAsia="zh-CN"/>
        </w:rPr>
      </w:pPr>
      <w:r>
        <w:rPr>
          <w:rFonts w:hint="eastAsia"/>
          <w:b/>
          <w:bCs/>
          <w:color w:val="auto"/>
          <w:u w:val="single"/>
          <w:lang w:val="en-US" w:eastAsia="zh-CN"/>
        </w:rPr>
        <w:t>*</w:t>
      </w:r>
    </w:p>
    <w:p w14:paraId="7ED6D14E">
      <w:pPr>
        <w:bidi w:val="0"/>
        <w:rPr>
          <w:rFonts w:hint="default"/>
          <w:b/>
          <w:bCs/>
          <w:color w:val="auto"/>
          <w:u w:val="single"/>
          <w:lang w:val="en-US" w:eastAsia="zh-CN"/>
        </w:rPr>
      </w:pPr>
      <w:r>
        <w:rPr>
          <w:rFonts w:hint="eastAsia"/>
          <w:b/>
          <w:bCs/>
          <w:color w:val="auto"/>
          <w:u w:val="single"/>
          <w:lang w:val="en-US" w:eastAsia="zh-CN"/>
        </w:rPr>
        <w:t>*</w:t>
      </w:r>
    </w:p>
    <w:p w14:paraId="48E376FD">
      <w:pPr>
        <w:bidi w:val="0"/>
        <w:rPr>
          <w:rFonts w:hint="eastAsia"/>
          <w:b/>
          <w:bCs/>
          <w:color w:val="auto"/>
          <w:u w:val="single"/>
          <w:lang w:val="en-US" w:eastAsia="zh-CN"/>
        </w:rPr>
      </w:pPr>
      <w:r>
        <w:rPr>
          <w:rFonts w:hint="eastAsia"/>
          <w:b/>
          <w:bCs/>
          <w:color w:val="auto"/>
          <w:u w:val="single"/>
          <w:lang w:val="en-US" w:eastAsia="zh-CN"/>
        </w:rPr>
        <w:t>*</w:t>
      </w:r>
    </w:p>
    <w:p w14:paraId="145A835F">
      <w:pPr>
        <w:bidi w:val="0"/>
        <w:rPr>
          <w:rFonts w:hint="default"/>
          <w:b/>
          <w:bCs/>
          <w:color w:val="auto"/>
          <w:u w:val="single"/>
          <w:lang w:val="en-US" w:eastAsia="zh-CN"/>
        </w:rPr>
      </w:pPr>
      <w:r>
        <w:rPr>
          <w:rFonts w:hint="eastAsia"/>
          <w:b/>
          <w:bCs/>
          <w:color w:val="auto"/>
          <w:u w:val="single"/>
          <w:lang w:val="en-US" w:eastAsia="zh-CN"/>
        </w:rPr>
        <w:t>*</w:t>
      </w:r>
    </w:p>
    <w:p w14:paraId="307D268D">
      <w:pPr>
        <w:bidi w:val="0"/>
        <w:rPr>
          <w:rFonts w:hint="eastAsia"/>
          <w:b/>
          <w:bCs/>
          <w:color w:val="auto"/>
          <w:u w:val="single"/>
          <w:lang w:val="en-US" w:eastAsia="zh-CN"/>
        </w:rPr>
      </w:pPr>
      <w:r>
        <w:rPr>
          <w:rFonts w:hint="eastAsia"/>
          <w:b/>
          <w:bCs/>
          <w:color w:val="auto"/>
          <w:u w:val="single"/>
          <w:lang w:val="en-US" w:eastAsia="zh-CN"/>
        </w:rPr>
        <w:t>*</w:t>
      </w:r>
    </w:p>
    <w:p w14:paraId="1B09D2D9">
      <w:pPr>
        <w:bidi w:val="0"/>
        <w:rPr>
          <w:rFonts w:hint="default"/>
          <w:b/>
          <w:bCs/>
          <w:color w:val="auto"/>
          <w:u w:val="single"/>
          <w:lang w:val="en-US" w:eastAsia="zh-CN"/>
        </w:rPr>
      </w:pPr>
      <w:r>
        <w:rPr>
          <w:rFonts w:hint="eastAsia"/>
          <w:b/>
          <w:bCs/>
          <w:color w:val="auto"/>
          <w:u w:val="single"/>
          <w:lang w:val="en-US" w:eastAsia="zh-CN"/>
        </w:rPr>
        <w:t>*</w:t>
      </w:r>
    </w:p>
    <w:p w14:paraId="5293F30C">
      <w:pPr>
        <w:bidi w:val="0"/>
        <w:rPr>
          <w:rFonts w:hint="eastAsia"/>
          <w:b/>
          <w:bCs/>
          <w:color w:val="auto"/>
          <w:u w:val="single"/>
          <w:lang w:val="en-US" w:eastAsia="zh-CN"/>
        </w:rPr>
      </w:pPr>
      <w:r>
        <w:rPr>
          <w:rFonts w:hint="eastAsia"/>
          <w:b/>
          <w:bCs/>
          <w:color w:val="auto"/>
          <w:u w:val="single"/>
          <w:lang w:val="en-US" w:eastAsia="zh-CN"/>
        </w:rPr>
        <w:t>*</w:t>
      </w:r>
    </w:p>
    <w:p w14:paraId="78620D8F">
      <w:pPr>
        <w:bidi w:val="0"/>
        <w:rPr>
          <w:rFonts w:hint="default"/>
          <w:b/>
          <w:bCs/>
          <w:color w:val="auto"/>
          <w:u w:val="single"/>
          <w:lang w:val="en-US" w:eastAsia="zh-CN"/>
        </w:rPr>
      </w:pPr>
      <w:r>
        <w:rPr>
          <w:rFonts w:hint="eastAsia"/>
          <w:b/>
          <w:bCs/>
          <w:color w:val="auto"/>
          <w:u w:val="single"/>
          <w:lang w:val="en-US" w:eastAsia="zh-CN"/>
        </w:rPr>
        <w:t>*</w:t>
      </w:r>
    </w:p>
    <w:p w14:paraId="6C34EE24">
      <w:pPr>
        <w:bidi w:val="0"/>
        <w:rPr>
          <w:rFonts w:hint="eastAsia"/>
          <w:b/>
          <w:bCs/>
          <w:color w:val="auto"/>
          <w:u w:val="single"/>
          <w:lang w:val="en-US" w:eastAsia="zh-CN"/>
        </w:rPr>
      </w:pPr>
      <w:r>
        <w:rPr>
          <w:rFonts w:hint="eastAsia"/>
          <w:b/>
          <w:bCs/>
          <w:color w:val="auto"/>
          <w:u w:val="single"/>
          <w:lang w:val="en-US" w:eastAsia="zh-CN"/>
        </w:rPr>
        <w:t>*</w:t>
      </w:r>
    </w:p>
    <w:p w14:paraId="60506E50">
      <w:pPr>
        <w:bidi w:val="0"/>
        <w:rPr>
          <w:rFonts w:hint="default"/>
          <w:b/>
          <w:bCs/>
          <w:color w:val="auto"/>
          <w:u w:val="single"/>
          <w:lang w:val="en-US" w:eastAsia="zh-CN"/>
        </w:rPr>
      </w:pPr>
      <w:r>
        <w:rPr>
          <w:rFonts w:hint="eastAsia"/>
          <w:b/>
          <w:bCs/>
          <w:color w:val="auto"/>
          <w:u w:val="single"/>
          <w:lang w:val="en-US" w:eastAsia="zh-CN"/>
        </w:rPr>
        <w:t>*</w:t>
      </w:r>
    </w:p>
    <w:p w14:paraId="1786B91E">
      <w:pPr>
        <w:bidi w:val="0"/>
        <w:rPr>
          <w:rFonts w:hint="eastAsia"/>
          <w:b/>
          <w:bCs/>
          <w:color w:val="auto"/>
          <w:u w:val="single"/>
          <w:lang w:val="en-US" w:eastAsia="zh-CN"/>
        </w:rPr>
      </w:pPr>
      <w:r>
        <w:rPr>
          <w:rFonts w:hint="eastAsia"/>
          <w:b/>
          <w:bCs/>
          <w:color w:val="auto"/>
          <w:u w:val="single"/>
          <w:lang w:val="en-US" w:eastAsia="zh-CN"/>
        </w:rPr>
        <w:t>*</w:t>
      </w:r>
    </w:p>
    <w:p w14:paraId="1D726717">
      <w:pPr>
        <w:bidi w:val="0"/>
        <w:rPr>
          <w:rFonts w:hint="default"/>
          <w:b/>
          <w:bCs/>
          <w:color w:val="auto"/>
          <w:u w:val="single"/>
          <w:lang w:val="en-US" w:eastAsia="zh-CN"/>
        </w:rPr>
      </w:pPr>
      <w:r>
        <w:rPr>
          <w:rFonts w:hint="eastAsia"/>
          <w:b/>
          <w:bCs/>
          <w:color w:val="auto"/>
          <w:u w:val="single"/>
          <w:lang w:val="en-US" w:eastAsia="zh-CN"/>
        </w:rPr>
        <w:t>*</w:t>
      </w:r>
    </w:p>
    <w:p w14:paraId="0B07255C">
      <w:pPr>
        <w:bidi w:val="0"/>
        <w:rPr>
          <w:rFonts w:hint="eastAsia"/>
          <w:b/>
          <w:bCs/>
          <w:color w:val="auto"/>
          <w:u w:val="single"/>
          <w:lang w:val="en-US" w:eastAsia="zh-CN"/>
        </w:rPr>
      </w:pPr>
      <w:r>
        <w:rPr>
          <w:rFonts w:hint="eastAsia"/>
          <w:b/>
          <w:bCs/>
          <w:color w:val="auto"/>
          <w:u w:val="single"/>
          <w:lang w:val="en-US" w:eastAsia="zh-CN"/>
        </w:rPr>
        <w:t>*</w:t>
      </w:r>
    </w:p>
    <w:p w14:paraId="017F4172">
      <w:pPr>
        <w:bidi w:val="0"/>
        <w:rPr>
          <w:rFonts w:hint="default"/>
          <w:b/>
          <w:bCs/>
          <w:color w:val="auto"/>
          <w:u w:val="single"/>
          <w:lang w:val="en-US" w:eastAsia="zh-CN"/>
        </w:rPr>
      </w:pPr>
      <w:r>
        <w:rPr>
          <w:rFonts w:hint="eastAsia"/>
          <w:b/>
          <w:bCs/>
          <w:color w:val="auto"/>
          <w:u w:val="single"/>
          <w:lang w:val="en-US" w:eastAsia="zh-CN"/>
        </w:rPr>
        <w:t>*</w:t>
      </w:r>
    </w:p>
    <w:p w14:paraId="73C9E71F">
      <w:pPr>
        <w:bidi w:val="0"/>
        <w:rPr>
          <w:rFonts w:hint="eastAsia"/>
          <w:b/>
          <w:bCs/>
          <w:color w:val="auto"/>
          <w:u w:val="single"/>
          <w:lang w:val="en-US" w:eastAsia="zh-CN"/>
        </w:rPr>
      </w:pPr>
      <w:r>
        <w:rPr>
          <w:rFonts w:hint="eastAsia"/>
          <w:b/>
          <w:bCs/>
          <w:color w:val="auto"/>
          <w:u w:val="single"/>
          <w:lang w:val="en-US" w:eastAsia="zh-CN"/>
        </w:rPr>
        <w:t>*</w:t>
      </w:r>
    </w:p>
    <w:p w14:paraId="198EEC78">
      <w:pPr>
        <w:bidi w:val="0"/>
        <w:rPr>
          <w:rFonts w:hint="default"/>
          <w:b/>
          <w:bCs/>
          <w:color w:val="auto"/>
          <w:u w:val="single"/>
          <w:lang w:val="en-US" w:eastAsia="zh-CN"/>
        </w:rPr>
      </w:pPr>
      <w:r>
        <w:rPr>
          <w:rFonts w:hint="eastAsia"/>
          <w:b/>
          <w:bCs/>
          <w:color w:val="auto"/>
          <w:u w:val="single"/>
          <w:lang w:val="en-US" w:eastAsia="zh-CN"/>
        </w:rPr>
        <w:t>*</w:t>
      </w:r>
    </w:p>
    <w:p w14:paraId="0BC38E6E">
      <w:pPr>
        <w:bidi w:val="0"/>
        <w:rPr>
          <w:rFonts w:hint="eastAsia"/>
          <w:b/>
          <w:bCs/>
          <w:color w:val="auto"/>
          <w:u w:val="single"/>
          <w:lang w:val="en-US" w:eastAsia="zh-CN"/>
        </w:rPr>
      </w:pPr>
      <w:r>
        <w:rPr>
          <w:rFonts w:hint="eastAsia"/>
          <w:b/>
          <w:bCs/>
          <w:color w:val="auto"/>
          <w:u w:val="single"/>
          <w:lang w:val="en-US" w:eastAsia="zh-CN"/>
        </w:rPr>
        <w:t>。</w:t>
      </w:r>
    </w:p>
    <w:p w14:paraId="0C671539">
      <w:pPr>
        <w:bidi w:val="0"/>
        <w:rPr>
          <w:rFonts w:hint="eastAsia" w:eastAsia="宋体"/>
          <w:b/>
          <w:bCs/>
          <w:color w:val="auto"/>
          <w:u w:val="single"/>
          <w:lang w:val="en-US" w:eastAsia="zh-CN"/>
        </w:rPr>
      </w:pPr>
      <w:r>
        <w:rPr>
          <w:rFonts w:hint="eastAsia"/>
          <w:b/>
          <w:bCs/>
          <w:color w:val="auto"/>
          <w:u w:val="single"/>
          <w:lang w:val="en-US" w:eastAsia="zh-CN"/>
        </w:rPr>
        <w:t>。</w:t>
      </w:r>
    </w:p>
    <w:p w14:paraId="2AAEED78">
      <w:pPr>
        <w:pStyle w:val="10"/>
        <w:bidi w:val="0"/>
        <w:rPr>
          <w:b/>
          <w:bCs w:val="0"/>
          <w:u w:val="single"/>
        </w:rPr>
      </w:pPr>
      <w:r>
        <w:rPr>
          <w:b/>
          <w:bCs w:val="0"/>
          <w:u w:val="single"/>
        </w:rPr>
        <w:t xml:space="preserve">表 </w:t>
      </w:r>
      <w:r>
        <w:rPr>
          <w:b/>
          <w:bCs w:val="0"/>
          <w:u w:val="single"/>
        </w:rPr>
        <w:fldChar w:fldCharType="begin"/>
      </w:r>
      <w:r>
        <w:rPr>
          <w:b/>
          <w:bCs w:val="0"/>
          <w:u w:val="single"/>
        </w:rPr>
        <w:instrText xml:space="preserve"> STYLEREF 2 \s </w:instrText>
      </w:r>
      <w:r>
        <w:rPr>
          <w:b/>
          <w:bCs w:val="0"/>
          <w:u w:val="single"/>
        </w:rPr>
        <w:fldChar w:fldCharType="separate"/>
      </w:r>
      <w:r>
        <w:rPr>
          <w:b/>
          <w:bCs w:val="0"/>
          <w:u w:val="single"/>
        </w:rPr>
        <w:t>4.6</w:t>
      </w:r>
      <w:r>
        <w:rPr>
          <w:b/>
          <w:bCs w:val="0"/>
          <w:u w:val="single"/>
        </w:rPr>
        <w:fldChar w:fldCharType="end"/>
      </w:r>
      <w:r>
        <w:rPr>
          <w:rFonts w:hint="eastAsia"/>
          <w:b/>
          <w:bCs w:val="0"/>
          <w:u w:val="single"/>
          <w:lang w:eastAsia="zh-CN"/>
        </w:rPr>
        <w:t>-</w:t>
      </w:r>
      <w:r>
        <w:rPr>
          <w:b/>
          <w:bCs w:val="0"/>
          <w:u w:val="single"/>
        </w:rPr>
        <w:fldChar w:fldCharType="begin"/>
      </w:r>
      <w:r>
        <w:rPr>
          <w:b/>
          <w:bCs w:val="0"/>
          <w:u w:val="single"/>
        </w:rPr>
        <w:instrText xml:space="preserve"> SEQ 表 \* ARABIC \s 2 </w:instrText>
      </w:r>
      <w:r>
        <w:rPr>
          <w:b/>
          <w:bCs w:val="0"/>
          <w:u w:val="single"/>
        </w:rPr>
        <w:fldChar w:fldCharType="separate"/>
      </w:r>
      <w:r>
        <w:rPr>
          <w:b/>
          <w:bCs w:val="0"/>
          <w:u w:val="single"/>
        </w:rPr>
        <w:t>6</w:t>
      </w:r>
      <w:r>
        <w:rPr>
          <w:b/>
          <w:bCs w:val="0"/>
          <w:u w:val="single"/>
        </w:rPr>
        <w:fldChar w:fldCharType="end"/>
      </w:r>
      <w:r>
        <w:rPr>
          <w:rFonts w:hint="eastAsia"/>
          <w:b/>
          <w:bCs w:val="0"/>
          <w:u w:val="single"/>
        </w:rPr>
        <w:t xml:space="preserve"> 本项目各类废水排放水量水质一览表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214"/>
        <w:gridCol w:w="1165"/>
        <w:gridCol w:w="816"/>
        <w:gridCol w:w="816"/>
        <w:gridCol w:w="816"/>
        <w:gridCol w:w="816"/>
        <w:gridCol w:w="821"/>
        <w:gridCol w:w="816"/>
        <w:gridCol w:w="816"/>
      </w:tblGrid>
      <w:tr w14:paraId="2FB71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76" w:type="pct"/>
            <w:vMerge w:val="restart"/>
            <w:noWrap w:val="0"/>
            <w:vAlign w:val="center"/>
          </w:tcPr>
          <w:p w14:paraId="378D6D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b/>
                <w:bCs w:val="0"/>
                <w:u w:val="single"/>
              </w:rPr>
              <w:t>序号</w:t>
            </w:r>
          </w:p>
        </w:tc>
        <w:tc>
          <w:tcPr>
            <w:tcW w:w="809" w:type="pct"/>
            <w:vMerge w:val="restart"/>
            <w:noWrap w:val="0"/>
            <w:vAlign w:val="center"/>
          </w:tcPr>
          <w:p w14:paraId="25FFCD0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b/>
                <w:bCs w:val="0"/>
                <w:u w:val="single"/>
              </w:rPr>
              <w:t>废水类别</w:t>
            </w:r>
          </w:p>
        </w:tc>
        <w:tc>
          <w:tcPr>
            <w:tcW w:w="744" w:type="pct"/>
            <w:vMerge w:val="restart"/>
            <w:noWrap w:val="0"/>
            <w:vAlign w:val="center"/>
          </w:tcPr>
          <w:p w14:paraId="5019F61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b/>
                <w:bCs w:val="0"/>
                <w:u w:val="single"/>
              </w:rPr>
              <w:t>产污环节</w:t>
            </w:r>
          </w:p>
        </w:tc>
        <w:tc>
          <w:tcPr>
            <w:tcW w:w="465" w:type="pct"/>
            <w:vMerge w:val="restart"/>
            <w:noWrap w:val="0"/>
            <w:vAlign w:val="center"/>
          </w:tcPr>
          <w:p w14:paraId="52BF615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rFonts w:hint="eastAsia"/>
                <w:b/>
                <w:bCs w:val="0"/>
                <w:u w:val="single"/>
              </w:rPr>
              <w:t>排水量m</w:t>
            </w:r>
            <w:r>
              <w:rPr>
                <w:rFonts w:hint="eastAsia"/>
                <w:b/>
                <w:bCs w:val="0"/>
                <w:u w:val="single"/>
                <w:vertAlign w:val="superscript"/>
              </w:rPr>
              <w:t>3</w:t>
            </w:r>
            <w:r>
              <w:rPr>
                <w:rFonts w:hint="eastAsia"/>
                <w:b/>
                <w:bCs w:val="0"/>
                <w:u w:val="single"/>
              </w:rPr>
              <w:t>/d</w:t>
            </w:r>
          </w:p>
        </w:tc>
        <w:tc>
          <w:tcPr>
            <w:tcW w:w="2703" w:type="pct"/>
            <w:gridSpan w:val="6"/>
            <w:noWrap w:val="0"/>
            <w:vAlign w:val="center"/>
          </w:tcPr>
          <w:p w14:paraId="3FD8C8E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b/>
                <w:bCs w:val="0"/>
                <w:u w:val="single"/>
              </w:rPr>
              <w:t>污染物</w:t>
            </w:r>
          </w:p>
        </w:tc>
      </w:tr>
      <w:tr w14:paraId="76A92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76" w:type="pct"/>
            <w:vMerge w:val="continue"/>
            <w:noWrap w:val="0"/>
            <w:vAlign w:val="center"/>
          </w:tcPr>
          <w:p w14:paraId="35280A4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p>
        </w:tc>
        <w:tc>
          <w:tcPr>
            <w:tcW w:w="809" w:type="pct"/>
            <w:vMerge w:val="continue"/>
            <w:noWrap w:val="0"/>
            <w:vAlign w:val="center"/>
          </w:tcPr>
          <w:p w14:paraId="2F29E1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p>
        </w:tc>
        <w:tc>
          <w:tcPr>
            <w:tcW w:w="744" w:type="pct"/>
            <w:vMerge w:val="continue"/>
            <w:noWrap w:val="0"/>
            <w:vAlign w:val="center"/>
          </w:tcPr>
          <w:p w14:paraId="708EBF5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p>
        </w:tc>
        <w:tc>
          <w:tcPr>
            <w:tcW w:w="465" w:type="pct"/>
            <w:vMerge w:val="continue"/>
            <w:noWrap w:val="0"/>
            <w:vAlign w:val="center"/>
          </w:tcPr>
          <w:p w14:paraId="34F9EEC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p>
        </w:tc>
        <w:tc>
          <w:tcPr>
            <w:tcW w:w="465" w:type="pct"/>
            <w:noWrap w:val="0"/>
            <w:vAlign w:val="center"/>
          </w:tcPr>
          <w:p w14:paraId="220C6010">
            <w:pPr>
              <w:pStyle w:val="182"/>
              <w:keepNext w:val="0"/>
              <w:keepLines w:val="0"/>
              <w:widowControl/>
              <w:suppressLineNumbers w:val="0"/>
              <w:ind w:firstLine="0" w:firstLineChars="0"/>
              <w:jc w:val="center"/>
              <w:textAlignment w:val="center"/>
              <w:rPr>
                <w:b/>
                <w:bCs w:val="0"/>
                <w:u w:val="single"/>
              </w:rPr>
            </w:pPr>
            <w:r>
              <w:rPr>
                <w:rFonts w:hint="default"/>
                <w:b/>
                <w:bCs w:val="0"/>
                <w:color w:val="auto"/>
                <w:u w:val="single"/>
                <w:lang w:val="en-US" w:eastAsia="zh-CN"/>
              </w:rPr>
              <w:t>COD</w:t>
            </w:r>
          </w:p>
        </w:tc>
        <w:tc>
          <w:tcPr>
            <w:tcW w:w="465" w:type="pct"/>
            <w:noWrap w:val="0"/>
            <w:vAlign w:val="center"/>
          </w:tcPr>
          <w:p w14:paraId="29B512F9">
            <w:pPr>
              <w:pStyle w:val="182"/>
              <w:keepNext w:val="0"/>
              <w:keepLines w:val="0"/>
              <w:widowControl/>
              <w:suppressLineNumbers w:val="0"/>
              <w:ind w:firstLine="0" w:firstLineChars="0"/>
              <w:jc w:val="center"/>
              <w:textAlignment w:val="center"/>
              <w:rPr>
                <w:b/>
                <w:bCs w:val="0"/>
                <w:u w:val="single"/>
              </w:rPr>
            </w:pPr>
            <w:r>
              <w:rPr>
                <w:rFonts w:hint="default"/>
                <w:b/>
                <w:bCs w:val="0"/>
                <w:color w:val="auto"/>
                <w:u w:val="single"/>
                <w:lang w:val="en-US" w:eastAsia="zh-CN"/>
              </w:rPr>
              <w:t>BOD</w:t>
            </w:r>
            <w:r>
              <w:rPr>
                <w:rFonts w:hint="default"/>
                <w:b/>
                <w:bCs w:val="0"/>
                <w:color w:val="auto"/>
                <w:u w:val="single"/>
                <w:vertAlign w:val="subscript"/>
                <w:lang w:val="en-US" w:eastAsia="zh-CN"/>
              </w:rPr>
              <w:t>5</w:t>
            </w:r>
          </w:p>
        </w:tc>
        <w:tc>
          <w:tcPr>
            <w:tcW w:w="438" w:type="pct"/>
            <w:noWrap w:val="0"/>
            <w:vAlign w:val="center"/>
          </w:tcPr>
          <w:p w14:paraId="1FF898BC">
            <w:pPr>
              <w:pStyle w:val="182"/>
              <w:keepNext w:val="0"/>
              <w:keepLines w:val="0"/>
              <w:widowControl/>
              <w:suppressLineNumbers w:val="0"/>
              <w:ind w:firstLine="0" w:firstLineChars="0"/>
              <w:jc w:val="center"/>
              <w:textAlignment w:val="center"/>
              <w:rPr>
                <w:b/>
                <w:bCs w:val="0"/>
                <w:u w:val="single"/>
              </w:rPr>
            </w:pPr>
            <w:r>
              <w:rPr>
                <w:rFonts w:hint="default"/>
                <w:b/>
                <w:bCs w:val="0"/>
                <w:color w:val="auto"/>
                <w:u w:val="single"/>
                <w:lang w:val="en-US" w:eastAsia="zh-CN"/>
              </w:rPr>
              <w:t>SS</w:t>
            </w:r>
          </w:p>
        </w:tc>
        <w:tc>
          <w:tcPr>
            <w:tcW w:w="475" w:type="pct"/>
            <w:noWrap w:val="0"/>
            <w:vAlign w:val="center"/>
          </w:tcPr>
          <w:p w14:paraId="401C3CB1">
            <w:pPr>
              <w:pStyle w:val="182"/>
              <w:keepNext w:val="0"/>
              <w:keepLines w:val="0"/>
              <w:widowControl/>
              <w:suppressLineNumbers w:val="0"/>
              <w:ind w:firstLine="0" w:firstLineChars="0"/>
              <w:jc w:val="center"/>
              <w:textAlignment w:val="center"/>
              <w:rPr>
                <w:b/>
                <w:bCs w:val="0"/>
                <w:u w:val="single"/>
              </w:rPr>
            </w:pPr>
            <w:r>
              <w:rPr>
                <w:rFonts w:hint="default"/>
                <w:b/>
                <w:bCs w:val="0"/>
                <w:color w:val="auto"/>
                <w:u w:val="single"/>
                <w:lang w:val="en-US" w:eastAsia="zh-CN"/>
              </w:rPr>
              <w:t>NH</w:t>
            </w:r>
            <w:r>
              <w:rPr>
                <w:rFonts w:hint="default"/>
                <w:b/>
                <w:bCs w:val="0"/>
                <w:color w:val="auto"/>
                <w:u w:val="single"/>
                <w:vertAlign w:val="subscript"/>
                <w:lang w:val="en-US" w:eastAsia="zh-CN"/>
              </w:rPr>
              <w:t>3</w:t>
            </w:r>
            <w:r>
              <w:rPr>
                <w:rFonts w:hint="default"/>
                <w:b/>
                <w:bCs w:val="0"/>
                <w:color w:val="auto"/>
                <w:u w:val="single"/>
                <w:lang w:val="en-US" w:eastAsia="zh-CN"/>
              </w:rPr>
              <w:t>-N</w:t>
            </w:r>
          </w:p>
        </w:tc>
        <w:tc>
          <w:tcPr>
            <w:tcW w:w="422" w:type="pct"/>
            <w:noWrap w:val="0"/>
            <w:vAlign w:val="center"/>
          </w:tcPr>
          <w:p w14:paraId="7A52E31E">
            <w:pPr>
              <w:pStyle w:val="182"/>
              <w:keepNext w:val="0"/>
              <w:keepLines w:val="0"/>
              <w:widowControl/>
              <w:suppressLineNumbers w:val="0"/>
              <w:ind w:firstLine="0" w:firstLineChars="0"/>
              <w:jc w:val="center"/>
              <w:textAlignment w:val="center"/>
              <w:rPr>
                <w:b/>
                <w:bCs w:val="0"/>
                <w:u w:val="single"/>
              </w:rPr>
            </w:pPr>
            <w:r>
              <w:rPr>
                <w:rFonts w:hint="default"/>
                <w:b/>
                <w:bCs w:val="0"/>
                <w:color w:val="auto"/>
                <w:u w:val="single"/>
                <w:lang w:val="en-US" w:eastAsia="zh-CN"/>
              </w:rPr>
              <w:t>TN</w:t>
            </w:r>
          </w:p>
        </w:tc>
        <w:tc>
          <w:tcPr>
            <w:tcW w:w="435" w:type="pct"/>
            <w:noWrap w:val="0"/>
            <w:vAlign w:val="center"/>
          </w:tcPr>
          <w:p w14:paraId="35F59E49">
            <w:pPr>
              <w:pStyle w:val="182"/>
              <w:keepNext w:val="0"/>
              <w:keepLines w:val="0"/>
              <w:widowControl/>
              <w:suppressLineNumbers w:val="0"/>
              <w:ind w:firstLine="0" w:firstLineChars="0"/>
              <w:jc w:val="center"/>
              <w:textAlignment w:val="center"/>
              <w:rPr>
                <w:rFonts w:hint="eastAsia"/>
                <w:b/>
                <w:bCs w:val="0"/>
                <w:u w:val="single"/>
              </w:rPr>
            </w:pPr>
            <w:r>
              <w:rPr>
                <w:rFonts w:hint="default"/>
                <w:b/>
                <w:bCs w:val="0"/>
                <w:color w:val="auto"/>
                <w:u w:val="single"/>
                <w:lang w:val="en-US" w:eastAsia="zh-CN"/>
              </w:rPr>
              <w:t>TP</w:t>
            </w:r>
          </w:p>
        </w:tc>
      </w:tr>
      <w:tr w14:paraId="4D92B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6" w:type="pct"/>
            <w:noWrap w:val="0"/>
            <w:vAlign w:val="center"/>
          </w:tcPr>
          <w:p w14:paraId="5C18B3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val="0"/>
                <w:u w:val="single"/>
                <w:lang w:eastAsia="zh-CN"/>
              </w:rPr>
            </w:pPr>
            <w:r>
              <w:rPr>
                <w:rFonts w:hint="eastAsia"/>
                <w:b/>
                <w:bCs w:val="0"/>
                <w:u w:val="single"/>
                <w:lang w:val="en-US" w:eastAsia="zh-CN"/>
              </w:rPr>
              <w:t>1</w:t>
            </w:r>
          </w:p>
        </w:tc>
        <w:tc>
          <w:tcPr>
            <w:tcW w:w="809" w:type="pct"/>
            <w:noWrap w:val="0"/>
            <w:vAlign w:val="center"/>
          </w:tcPr>
          <w:p w14:paraId="69B9D06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rFonts w:hint="eastAsia" w:eastAsia="宋体"/>
                <w:b/>
                <w:bCs w:val="0"/>
                <w:u w:val="single"/>
                <w:lang w:val="en-US" w:eastAsia="zh-CN"/>
              </w:rPr>
              <w:t>冷凝</w:t>
            </w:r>
            <w:r>
              <w:rPr>
                <w:b/>
                <w:bCs w:val="0"/>
                <w:u w:val="single"/>
              </w:rPr>
              <w:t>废水</w:t>
            </w:r>
          </w:p>
        </w:tc>
        <w:tc>
          <w:tcPr>
            <w:tcW w:w="744" w:type="pct"/>
            <w:noWrap w:val="0"/>
            <w:vAlign w:val="center"/>
          </w:tcPr>
          <w:p w14:paraId="29BCD3FD">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bCs w:val="0"/>
                <w:u w:val="single"/>
              </w:rPr>
            </w:pPr>
            <w:r>
              <w:rPr>
                <w:rFonts w:hint="eastAsia"/>
                <w:b/>
                <w:bCs/>
                <w:color w:val="auto"/>
                <w:u w:val="single"/>
                <w:lang w:val="en-US" w:eastAsia="zh-CN"/>
              </w:rPr>
              <w:t>*</w:t>
            </w:r>
          </w:p>
        </w:tc>
        <w:tc>
          <w:tcPr>
            <w:tcW w:w="465" w:type="pct"/>
            <w:noWrap w:val="0"/>
            <w:vAlign w:val="center"/>
          </w:tcPr>
          <w:p w14:paraId="54F220F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bCs w:val="0"/>
                <w:u w:val="single"/>
                <w:lang w:val="en-US" w:eastAsia="zh-CN"/>
              </w:rPr>
            </w:pPr>
            <w:r>
              <w:rPr>
                <w:rFonts w:hint="eastAsia"/>
                <w:b/>
                <w:bCs/>
                <w:color w:val="auto"/>
                <w:u w:val="single"/>
                <w:lang w:val="en-US" w:eastAsia="zh-CN"/>
              </w:rPr>
              <w:t>*</w:t>
            </w:r>
          </w:p>
        </w:tc>
        <w:tc>
          <w:tcPr>
            <w:tcW w:w="794" w:type="dxa"/>
            <w:noWrap w:val="0"/>
            <w:vAlign w:val="center"/>
          </w:tcPr>
          <w:p w14:paraId="3C9A985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794" w:type="dxa"/>
            <w:noWrap w:val="0"/>
            <w:vAlign w:val="center"/>
          </w:tcPr>
          <w:p w14:paraId="4E7894E6">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746" w:type="dxa"/>
            <w:noWrap w:val="0"/>
            <w:vAlign w:val="center"/>
          </w:tcPr>
          <w:p w14:paraId="31549F8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810" w:type="dxa"/>
            <w:noWrap w:val="0"/>
            <w:vAlign w:val="center"/>
          </w:tcPr>
          <w:p w14:paraId="3182DB7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720" w:type="dxa"/>
            <w:noWrap w:val="0"/>
            <w:vAlign w:val="center"/>
          </w:tcPr>
          <w:p w14:paraId="31CBD85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747" w:type="dxa"/>
            <w:noWrap w:val="0"/>
            <w:vAlign w:val="center"/>
          </w:tcPr>
          <w:p w14:paraId="02DD812A">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r>
      <w:tr w14:paraId="69FD4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6" w:type="pct"/>
            <w:noWrap w:val="0"/>
            <w:vAlign w:val="center"/>
          </w:tcPr>
          <w:p w14:paraId="21AAD7D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b/>
                <w:bCs w:val="0"/>
                <w:u w:val="single"/>
                <w:lang w:val="en-US" w:eastAsia="zh-CN"/>
              </w:rPr>
            </w:pPr>
            <w:r>
              <w:rPr>
                <w:rFonts w:hint="eastAsia"/>
                <w:b/>
                <w:bCs w:val="0"/>
                <w:u w:val="single"/>
                <w:lang w:val="en-US" w:eastAsia="zh-CN"/>
              </w:rPr>
              <w:t>2</w:t>
            </w:r>
          </w:p>
        </w:tc>
        <w:tc>
          <w:tcPr>
            <w:tcW w:w="809" w:type="pct"/>
            <w:noWrap w:val="0"/>
            <w:vAlign w:val="center"/>
          </w:tcPr>
          <w:p w14:paraId="095387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bCs w:val="0"/>
                <w:u w:val="single"/>
                <w:lang w:val="en-US" w:eastAsia="zh-CN"/>
              </w:rPr>
            </w:pPr>
            <w:r>
              <w:rPr>
                <w:rFonts w:hint="eastAsia" w:eastAsia="宋体"/>
                <w:b/>
                <w:bCs w:val="0"/>
                <w:u w:val="single"/>
                <w:lang w:val="en-US" w:eastAsia="zh-CN"/>
              </w:rPr>
              <w:t>废气处理设施废水</w:t>
            </w:r>
          </w:p>
        </w:tc>
        <w:tc>
          <w:tcPr>
            <w:tcW w:w="744" w:type="pct"/>
            <w:noWrap w:val="0"/>
            <w:vAlign w:val="center"/>
          </w:tcPr>
          <w:p w14:paraId="50F97CE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eastAsia="宋体"/>
                <w:b/>
                <w:bCs w:val="0"/>
                <w:u w:val="single"/>
                <w:lang w:val="en-US" w:eastAsia="zh-CN"/>
              </w:rPr>
            </w:pPr>
            <w:r>
              <w:rPr>
                <w:rFonts w:hint="eastAsia"/>
                <w:b/>
                <w:bCs/>
                <w:color w:val="auto"/>
                <w:u w:val="single"/>
                <w:lang w:val="en-US" w:eastAsia="zh-CN"/>
              </w:rPr>
              <w:t>*</w:t>
            </w:r>
          </w:p>
        </w:tc>
        <w:tc>
          <w:tcPr>
            <w:tcW w:w="465" w:type="pct"/>
            <w:noWrap w:val="0"/>
            <w:vAlign w:val="center"/>
          </w:tcPr>
          <w:p w14:paraId="6765902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bCs w:val="0"/>
                <w:u w:val="single"/>
                <w:lang w:val="en-US" w:eastAsia="zh-CN"/>
              </w:rPr>
            </w:pPr>
            <w:r>
              <w:rPr>
                <w:rFonts w:hint="eastAsia"/>
                <w:b/>
                <w:bCs/>
                <w:color w:val="auto"/>
                <w:u w:val="single"/>
                <w:lang w:val="en-US" w:eastAsia="zh-CN"/>
              </w:rPr>
              <w:t>*</w:t>
            </w:r>
          </w:p>
        </w:tc>
        <w:tc>
          <w:tcPr>
            <w:tcW w:w="794" w:type="dxa"/>
            <w:noWrap w:val="0"/>
            <w:vAlign w:val="center"/>
          </w:tcPr>
          <w:p w14:paraId="0C8BC52F">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794" w:type="dxa"/>
            <w:noWrap w:val="0"/>
            <w:vAlign w:val="center"/>
          </w:tcPr>
          <w:p w14:paraId="06927C0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746" w:type="dxa"/>
            <w:noWrap w:val="0"/>
            <w:vAlign w:val="center"/>
          </w:tcPr>
          <w:p w14:paraId="18E6E0B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810" w:type="dxa"/>
            <w:noWrap w:val="0"/>
            <w:vAlign w:val="center"/>
          </w:tcPr>
          <w:p w14:paraId="464946F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720" w:type="dxa"/>
            <w:noWrap w:val="0"/>
            <w:vAlign w:val="center"/>
          </w:tcPr>
          <w:p w14:paraId="0EBCB0EE">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747" w:type="dxa"/>
            <w:noWrap w:val="0"/>
            <w:vAlign w:val="center"/>
          </w:tcPr>
          <w:p w14:paraId="295FEAC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r>
      <w:tr w14:paraId="3DCDA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6" w:type="pct"/>
            <w:vMerge w:val="restart"/>
            <w:noWrap w:val="0"/>
            <w:vAlign w:val="center"/>
          </w:tcPr>
          <w:p w14:paraId="664652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val="0"/>
                <w:u w:val="single"/>
                <w:lang w:val="en-US" w:eastAsia="zh-CN"/>
              </w:rPr>
            </w:pPr>
            <w:r>
              <w:rPr>
                <w:rFonts w:hint="eastAsia"/>
                <w:b/>
                <w:bCs w:val="0"/>
                <w:u w:val="single"/>
                <w:lang w:val="en-US" w:eastAsia="zh-CN"/>
              </w:rPr>
              <w:t>2</w:t>
            </w:r>
          </w:p>
        </w:tc>
        <w:tc>
          <w:tcPr>
            <w:tcW w:w="809" w:type="pct"/>
            <w:vMerge w:val="restart"/>
            <w:noWrap w:val="0"/>
            <w:vAlign w:val="center"/>
          </w:tcPr>
          <w:p w14:paraId="0E099C9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val="0"/>
                <w:u w:val="single"/>
                <w:lang w:val="en-US" w:eastAsia="zh-CN"/>
              </w:rPr>
            </w:pPr>
            <w:r>
              <w:rPr>
                <w:rFonts w:hint="eastAsia"/>
                <w:b/>
                <w:bCs w:val="0"/>
                <w:u w:val="single"/>
                <w:lang w:val="en-US" w:eastAsia="zh-CN"/>
              </w:rPr>
              <w:t>清洗废水</w:t>
            </w:r>
          </w:p>
        </w:tc>
        <w:tc>
          <w:tcPr>
            <w:tcW w:w="744" w:type="pct"/>
            <w:noWrap w:val="0"/>
            <w:vAlign w:val="center"/>
          </w:tcPr>
          <w:p w14:paraId="061A88B9">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val="0"/>
                <w:u w:val="single"/>
              </w:rPr>
            </w:pPr>
            <w:r>
              <w:rPr>
                <w:rFonts w:hint="eastAsia"/>
                <w:b/>
                <w:bCs/>
                <w:color w:val="auto"/>
                <w:u w:val="single"/>
                <w:lang w:val="en-US" w:eastAsia="zh-CN"/>
              </w:rPr>
              <w:t>*</w:t>
            </w:r>
          </w:p>
        </w:tc>
        <w:tc>
          <w:tcPr>
            <w:tcW w:w="465" w:type="pct"/>
            <w:noWrap w:val="0"/>
            <w:vAlign w:val="center"/>
          </w:tcPr>
          <w:p w14:paraId="5B2B8FD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65" w:type="pct"/>
            <w:noWrap w:val="0"/>
            <w:vAlign w:val="center"/>
          </w:tcPr>
          <w:p w14:paraId="34AE99AE">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65" w:type="pct"/>
            <w:noWrap w:val="0"/>
            <w:vAlign w:val="center"/>
          </w:tcPr>
          <w:p w14:paraId="414D2C1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38" w:type="pct"/>
            <w:noWrap w:val="0"/>
            <w:vAlign w:val="center"/>
          </w:tcPr>
          <w:p w14:paraId="76B3B4CE">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75" w:type="pct"/>
            <w:noWrap w:val="0"/>
            <w:vAlign w:val="center"/>
          </w:tcPr>
          <w:p w14:paraId="0B9A64D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22" w:type="pct"/>
            <w:noWrap w:val="0"/>
            <w:vAlign w:val="center"/>
          </w:tcPr>
          <w:p w14:paraId="418DBD9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35" w:type="pct"/>
            <w:noWrap w:val="0"/>
            <w:vAlign w:val="center"/>
          </w:tcPr>
          <w:p w14:paraId="05AE935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r>
      <w:tr w14:paraId="0D2E9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6" w:type="pct"/>
            <w:vMerge w:val="continue"/>
            <w:noWrap w:val="0"/>
            <w:vAlign w:val="center"/>
          </w:tcPr>
          <w:p w14:paraId="741E25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val="0"/>
                <w:u w:val="single"/>
                <w:lang w:val="en-US" w:eastAsia="zh-CN"/>
              </w:rPr>
            </w:pPr>
          </w:p>
        </w:tc>
        <w:tc>
          <w:tcPr>
            <w:tcW w:w="809" w:type="pct"/>
            <w:vMerge w:val="continue"/>
            <w:noWrap w:val="0"/>
            <w:vAlign w:val="center"/>
          </w:tcPr>
          <w:p w14:paraId="0D43B3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p>
        </w:tc>
        <w:tc>
          <w:tcPr>
            <w:tcW w:w="744" w:type="pct"/>
            <w:noWrap w:val="0"/>
            <w:vAlign w:val="center"/>
          </w:tcPr>
          <w:p w14:paraId="0A0670D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val="0"/>
                <w:u w:val="single"/>
              </w:rPr>
            </w:pPr>
            <w:r>
              <w:rPr>
                <w:rFonts w:hint="eastAsia"/>
                <w:b/>
                <w:bCs/>
                <w:color w:val="auto"/>
                <w:u w:val="single"/>
                <w:lang w:val="en-US" w:eastAsia="zh-CN"/>
              </w:rPr>
              <w:t>*</w:t>
            </w:r>
          </w:p>
        </w:tc>
        <w:tc>
          <w:tcPr>
            <w:tcW w:w="465" w:type="pct"/>
            <w:noWrap w:val="0"/>
            <w:vAlign w:val="center"/>
          </w:tcPr>
          <w:p w14:paraId="1607CD0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65" w:type="pct"/>
            <w:noWrap w:val="0"/>
            <w:vAlign w:val="center"/>
          </w:tcPr>
          <w:p w14:paraId="3614929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65" w:type="pct"/>
            <w:noWrap w:val="0"/>
            <w:vAlign w:val="center"/>
          </w:tcPr>
          <w:p w14:paraId="0CA31A6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38" w:type="pct"/>
            <w:noWrap w:val="0"/>
            <w:vAlign w:val="center"/>
          </w:tcPr>
          <w:p w14:paraId="72789E5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75" w:type="pct"/>
            <w:noWrap w:val="0"/>
            <w:vAlign w:val="center"/>
          </w:tcPr>
          <w:p w14:paraId="173B185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22" w:type="pct"/>
            <w:noWrap w:val="0"/>
            <w:vAlign w:val="center"/>
          </w:tcPr>
          <w:p w14:paraId="66F7054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35" w:type="pct"/>
            <w:noWrap w:val="0"/>
            <w:vAlign w:val="center"/>
          </w:tcPr>
          <w:p w14:paraId="41B5556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r>
      <w:tr w14:paraId="12387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6" w:type="pct"/>
            <w:vMerge w:val="continue"/>
            <w:noWrap w:val="0"/>
            <w:vAlign w:val="center"/>
          </w:tcPr>
          <w:p w14:paraId="6A3B7FC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val="0"/>
                <w:u w:val="single"/>
                <w:lang w:val="en-US" w:eastAsia="zh-CN"/>
              </w:rPr>
            </w:pPr>
          </w:p>
        </w:tc>
        <w:tc>
          <w:tcPr>
            <w:tcW w:w="809" w:type="pct"/>
            <w:vMerge w:val="continue"/>
            <w:noWrap w:val="0"/>
            <w:vAlign w:val="center"/>
          </w:tcPr>
          <w:p w14:paraId="5CC050C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p>
        </w:tc>
        <w:tc>
          <w:tcPr>
            <w:tcW w:w="744" w:type="pct"/>
            <w:noWrap w:val="0"/>
            <w:vAlign w:val="center"/>
          </w:tcPr>
          <w:p w14:paraId="511BD19E">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eastAsia="宋体"/>
                <w:b/>
                <w:bCs w:val="0"/>
                <w:u w:val="single"/>
                <w:lang w:val="en-US" w:eastAsia="zh-CN"/>
              </w:rPr>
            </w:pPr>
            <w:r>
              <w:rPr>
                <w:rFonts w:hint="eastAsia"/>
                <w:b/>
                <w:bCs/>
                <w:color w:val="auto"/>
                <w:u w:val="single"/>
                <w:lang w:val="en-US" w:eastAsia="zh-CN"/>
              </w:rPr>
              <w:t>*</w:t>
            </w:r>
          </w:p>
        </w:tc>
        <w:tc>
          <w:tcPr>
            <w:tcW w:w="465" w:type="pct"/>
            <w:noWrap w:val="0"/>
            <w:vAlign w:val="center"/>
          </w:tcPr>
          <w:p w14:paraId="3FBD345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65" w:type="pct"/>
            <w:noWrap w:val="0"/>
            <w:vAlign w:val="center"/>
          </w:tcPr>
          <w:p w14:paraId="1F36629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65" w:type="pct"/>
            <w:noWrap w:val="0"/>
            <w:vAlign w:val="center"/>
          </w:tcPr>
          <w:p w14:paraId="1F5A1F1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38" w:type="pct"/>
            <w:noWrap w:val="0"/>
            <w:vAlign w:val="center"/>
          </w:tcPr>
          <w:p w14:paraId="7C795E8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75" w:type="pct"/>
            <w:noWrap w:val="0"/>
            <w:vAlign w:val="center"/>
          </w:tcPr>
          <w:p w14:paraId="7C964779">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22" w:type="pct"/>
            <w:noWrap w:val="0"/>
            <w:vAlign w:val="center"/>
          </w:tcPr>
          <w:p w14:paraId="292352E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35" w:type="pct"/>
            <w:noWrap w:val="0"/>
            <w:vAlign w:val="center"/>
          </w:tcPr>
          <w:p w14:paraId="663E13BD">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r>
      <w:tr w14:paraId="26BDA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30" w:type="pct"/>
            <w:gridSpan w:val="3"/>
            <w:noWrap w:val="0"/>
            <w:vAlign w:val="center"/>
          </w:tcPr>
          <w:p w14:paraId="27C282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val="0"/>
                <w:u w:val="single"/>
              </w:rPr>
            </w:pPr>
            <w:r>
              <w:rPr>
                <w:rFonts w:hint="eastAsia"/>
                <w:b/>
                <w:bCs w:val="0"/>
                <w:u w:val="single"/>
                <w:lang w:val="en-US" w:eastAsia="zh-CN"/>
              </w:rPr>
              <w:t>项目进入厂区污水处理站水质</w:t>
            </w:r>
          </w:p>
        </w:tc>
        <w:tc>
          <w:tcPr>
            <w:tcW w:w="465" w:type="pct"/>
            <w:noWrap w:val="0"/>
            <w:vAlign w:val="center"/>
          </w:tcPr>
          <w:p w14:paraId="5680ECA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val="0"/>
                <w:u w:val="single"/>
                <w:lang w:val="en-US" w:eastAsia="zh-CN"/>
              </w:rPr>
            </w:pPr>
            <w:r>
              <w:rPr>
                <w:rFonts w:hint="eastAsia" w:eastAsia="宋体" w:cs="Times New Roman"/>
                <w:b/>
                <w:bCs w:val="0"/>
                <w:u w:val="single"/>
                <w:lang w:val="en-US" w:eastAsia="zh-CN"/>
              </w:rPr>
              <w:t>*</w:t>
            </w:r>
          </w:p>
        </w:tc>
        <w:tc>
          <w:tcPr>
            <w:tcW w:w="794" w:type="dxa"/>
            <w:noWrap w:val="0"/>
            <w:vAlign w:val="center"/>
          </w:tcPr>
          <w:p w14:paraId="54BDE3DA">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794" w:type="dxa"/>
            <w:noWrap w:val="0"/>
            <w:vAlign w:val="center"/>
          </w:tcPr>
          <w:p w14:paraId="4449BFC6">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746" w:type="dxa"/>
            <w:noWrap w:val="0"/>
            <w:vAlign w:val="center"/>
          </w:tcPr>
          <w:p w14:paraId="5F946D3F">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810" w:type="dxa"/>
            <w:noWrap w:val="0"/>
            <w:vAlign w:val="center"/>
          </w:tcPr>
          <w:p w14:paraId="3193F30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720" w:type="dxa"/>
            <w:noWrap w:val="0"/>
            <w:vAlign w:val="center"/>
          </w:tcPr>
          <w:p w14:paraId="60F3C5F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747" w:type="dxa"/>
            <w:noWrap w:val="0"/>
            <w:vAlign w:val="center"/>
          </w:tcPr>
          <w:p w14:paraId="104AF4E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r>
      <w:tr w14:paraId="54CEB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6" w:type="pct"/>
            <w:vMerge w:val="restart"/>
            <w:noWrap w:val="0"/>
            <w:vAlign w:val="center"/>
          </w:tcPr>
          <w:p w14:paraId="20865AE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rFonts w:hint="eastAsia"/>
                <w:b/>
                <w:bCs w:val="0"/>
                <w:u w:val="single"/>
              </w:rPr>
              <w:t>3</w:t>
            </w:r>
          </w:p>
        </w:tc>
        <w:tc>
          <w:tcPr>
            <w:tcW w:w="809" w:type="pct"/>
            <w:vMerge w:val="restart"/>
            <w:noWrap w:val="0"/>
            <w:vAlign w:val="center"/>
          </w:tcPr>
          <w:p w14:paraId="5B0DBC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r>
              <w:rPr>
                <w:rFonts w:hint="eastAsia" w:eastAsia="宋体"/>
                <w:b/>
                <w:bCs w:val="0"/>
                <w:u w:val="single"/>
                <w:lang w:val="en-US" w:eastAsia="zh-CN"/>
              </w:rPr>
              <w:t>本项目清下水直接排入厂区废水总排口</w:t>
            </w:r>
          </w:p>
        </w:tc>
        <w:tc>
          <w:tcPr>
            <w:tcW w:w="744" w:type="pct"/>
            <w:noWrap w:val="0"/>
            <w:vAlign w:val="center"/>
          </w:tcPr>
          <w:p w14:paraId="3402C1F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bCs w:val="0"/>
                <w:u w:val="single"/>
              </w:rPr>
            </w:pPr>
            <w:r>
              <w:rPr>
                <w:rFonts w:hint="eastAsia"/>
                <w:b/>
                <w:bCs/>
                <w:color w:val="auto"/>
                <w:u w:val="single"/>
                <w:lang w:val="en-US" w:eastAsia="zh-CN"/>
              </w:rPr>
              <w:t>*</w:t>
            </w:r>
          </w:p>
        </w:tc>
        <w:tc>
          <w:tcPr>
            <w:tcW w:w="465" w:type="pct"/>
            <w:noWrap w:val="0"/>
            <w:vAlign w:val="center"/>
          </w:tcPr>
          <w:p w14:paraId="154AFD4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65" w:type="pct"/>
            <w:noWrap w:val="0"/>
            <w:vAlign w:val="center"/>
          </w:tcPr>
          <w:p w14:paraId="0BB0B320">
            <w:pPr>
              <w:bidi w:val="0"/>
              <w:ind w:firstLine="482" w:firstLineChars="200"/>
              <w:rPr>
                <w:rFonts w:hint="eastAsia" w:ascii="Times New Roman" w:hAnsi="Times New Roman" w:eastAsia="宋体" w:cs="Times New Roman"/>
                <w:b/>
                <w:bCs w:val="0"/>
                <w:u w:val="single"/>
              </w:rPr>
            </w:pPr>
            <w:r>
              <w:rPr>
                <w:rFonts w:hint="eastAsia"/>
                <w:b/>
                <w:bCs/>
                <w:color w:val="auto"/>
                <w:u w:val="single"/>
                <w:lang w:val="en-US" w:eastAsia="zh-CN"/>
              </w:rPr>
              <w:t>*</w:t>
            </w:r>
          </w:p>
        </w:tc>
        <w:tc>
          <w:tcPr>
            <w:tcW w:w="465" w:type="pct"/>
            <w:noWrap w:val="0"/>
            <w:vAlign w:val="center"/>
          </w:tcPr>
          <w:p w14:paraId="1E2364BD">
            <w:pPr>
              <w:bidi w:val="0"/>
              <w:ind w:firstLine="482" w:firstLineChars="200"/>
              <w:rPr>
                <w:rFonts w:hint="eastAsia" w:ascii="Times New Roman" w:hAnsi="Times New Roman" w:eastAsia="宋体" w:cs="Times New Roman"/>
                <w:b/>
                <w:bCs w:val="0"/>
                <w:u w:val="single"/>
              </w:rPr>
            </w:pPr>
            <w:r>
              <w:rPr>
                <w:rFonts w:hint="eastAsia"/>
                <w:b/>
                <w:bCs/>
                <w:color w:val="auto"/>
                <w:u w:val="single"/>
                <w:lang w:val="en-US" w:eastAsia="zh-CN"/>
              </w:rPr>
              <w:t>*</w:t>
            </w:r>
          </w:p>
        </w:tc>
        <w:tc>
          <w:tcPr>
            <w:tcW w:w="438" w:type="pct"/>
            <w:noWrap w:val="0"/>
            <w:vAlign w:val="center"/>
          </w:tcPr>
          <w:p w14:paraId="322616AA">
            <w:pPr>
              <w:bidi w:val="0"/>
              <w:ind w:firstLine="482" w:firstLineChars="200"/>
              <w:rPr>
                <w:rFonts w:hint="eastAsia" w:ascii="Times New Roman" w:hAnsi="Times New Roman" w:eastAsia="宋体" w:cs="Times New Roman"/>
                <w:b/>
                <w:bCs w:val="0"/>
                <w:u w:val="single"/>
              </w:rPr>
            </w:pPr>
            <w:r>
              <w:rPr>
                <w:rFonts w:hint="eastAsia"/>
                <w:b/>
                <w:bCs/>
                <w:color w:val="auto"/>
                <w:u w:val="single"/>
                <w:lang w:val="en-US" w:eastAsia="zh-CN"/>
              </w:rPr>
              <w:t>*</w:t>
            </w:r>
          </w:p>
        </w:tc>
        <w:tc>
          <w:tcPr>
            <w:tcW w:w="475" w:type="pct"/>
            <w:noWrap w:val="0"/>
            <w:vAlign w:val="center"/>
          </w:tcPr>
          <w:p w14:paraId="45BBFDEE">
            <w:pPr>
              <w:keepNext w:val="0"/>
              <w:keepLines w:val="0"/>
              <w:widowControl/>
              <w:suppressLineNumbers w:val="0"/>
              <w:bidi w:val="0"/>
              <w:ind w:firstLine="482" w:firstLineChars="200"/>
              <w:jc w:val="center"/>
              <w:textAlignment w:val="center"/>
              <w:rPr>
                <w:rFonts w:hint="eastAsia" w:ascii="Times New Roman" w:hAnsi="Times New Roman" w:eastAsia="宋体" w:cs="Times New Roman"/>
                <w:b/>
                <w:bCs w:val="0"/>
                <w:u w:val="single"/>
              </w:rPr>
            </w:pPr>
            <w:r>
              <w:rPr>
                <w:rFonts w:hint="eastAsia"/>
                <w:b/>
                <w:bCs/>
                <w:color w:val="auto"/>
                <w:u w:val="single"/>
                <w:lang w:val="en-US" w:eastAsia="zh-CN"/>
              </w:rPr>
              <w:t>*</w:t>
            </w:r>
          </w:p>
        </w:tc>
        <w:tc>
          <w:tcPr>
            <w:tcW w:w="422" w:type="pct"/>
            <w:noWrap w:val="0"/>
            <w:vAlign w:val="center"/>
          </w:tcPr>
          <w:p w14:paraId="14DFDA86">
            <w:pPr>
              <w:keepNext w:val="0"/>
              <w:keepLines w:val="0"/>
              <w:widowControl/>
              <w:suppressLineNumbers w:val="0"/>
              <w:bidi w:val="0"/>
              <w:ind w:firstLine="482" w:firstLineChars="200"/>
              <w:jc w:val="center"/>
              <w:textAlignment w:val="center"/>
              <w:rPr>
                <w:rFonts w:hint="eastAsia" w:ascii="Times New Roman" w:hAnsi="Times New Roman" w:eastAsia="宋体" w:cs="Times New Roman"/>
                <w:b/>
                <w:bCs w:val="0"/>
                <w:u w:val="single"/>
              </w:rPr>
            </w:pPr>
            <w:r>
              <w:rPr>
                <w:rFonts w:hint="eastAsia"/>
                <w:b/>
                <w:bCs/>
                <w:color w:val="auto"/>
                <w:u w:val="single"/>
                <w:lang w:val="en-US" w:eastAsia="zh-CN"/>
              </w:rPr>
              <w:t>*</w:t>
            </w:r>
          </w:p>
        </w:tc>
        <w:tc>
          <w:tcPr>
            <w:tcW w:w="435" w:type="pct"/>
            <w:noWrap w:val="0"/>
            <w:vAlign w:val="center"/>
          </w:tcPr>
          <w:p w14:paraId="68F4DAF1">
            <w:pPr>
              <w:keepNext w:val="0"/>
              <w:keepLines w:val="0"/>
              <w:widowControl/>
              <w:suppressLineNumbers w:val="0"/>
              <w:bidi w:val="0"/>
              <w:ind w:firstLine="482" w:firstLineChars="200"/>
              <w:jc w:val="center"/>
              <w:textAlignment w:val="center"/>
              <w:rPr>
                <w:rFonts w:hint="eastAsia" w:ascii="Times New Roman" w:hAnsi="Times New Roman" w:eastAsia="宋体" w:cs="Times New Roman"/>
                <w:b/>
                <w:bCs w:val="0"/>
                <w:u w:val="single"/>
              </w:rPr>
            </w:pPr>
            <w:r>
              <w:rPr>
                <w:rFonts w:hint="eastAsia"/>
                <w:b/>
                <w:bCs/>
                <w:color w:val="auto"/>
                <w:u w:val="single"/>
                <w:lang w:val="en-US" w:eastAsia="zh-CN"/>
              </w:rPr>
              <w:t>*</w:t>
            </w:r>
          </w:p>
        </w:tc>
      </w:tr>
      <w:tr w14:paraId="3694A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6" w:type="pct"/>
            <w:vMerge w:val="continue"/>
            <w:noWrap w:val="0"/>
            <w:vAlign w:val="center"/>
          </w:tcPr>
          <w:p w14:paraId="4B257E9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p>
        </w:tc>
        <w:tc>
          <w:tcPr>
            <w:tcW w:w="809" w:type="pct"/>
            <w:vMerge w:val="continue"/>
            <w:noWrap w:val="0"/>
            <w:vAlign w:val="center"/>
          </w:tcPr>
          <w:p w14:paraId="2CF7B60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val="0"/>
                <w:u w:val="single"/>
              </w:rPr>
            </w:pPr>
          </w:p>
        </w:tc>
        <w:tc>
          <w:tcPr>
            <w:tcW w:w="744" w:type="pct"/>
            <w:noWrap w:val="0"/>
            <w:vAlign w:val="center"/>
          </w:tcPr>
          <w:p w14:paraId="0915512D">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b/>
                <w:bCs w:val="0"/>
                <w:u w:val="single"/>
              </w:rPr>
            </w:pPr>
            <w:r>
              <w:rPr>
                <w:rFonts w:hint="eastAsia"/>
                <w:b/>
                <w:bCs/>
                <w:color w:val="auto"/>
                <w:u w:val="single"/>
                <w:lang w:val="en-US" w:eastAsia="zh-CN"/>
              </w:rPr>
              <w:t>*</w:t>
            </w:r>
          </w:p>
        </w:tc>
        <w:tc>
          <w:tcPr>
            <w:tcW w:w="465" w:type="pct"/>
            <w:noWrap w:val="0"/>
            <w:vAlign w:val="center"/>
          </w:tcPr>
          <w:p w14:paraId="2505570F">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65" w:type="pct"/>
            <w:noWrap w:val="0"/>
            <w:vAlign w:val="center"/>
          </w:tcPr>
          <w:p w14:paraId="7F9E225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rPr>
            </w:pPr>
            <w:r>
              <w:rPr>
                <w:rFonts w:hint="eastAsia"/>
                <w:b/>
                <w:bCs/>
                <w:color w:val="auto"/>
                <w:u w:val="single"/>
                <w:lang w:val="en-US" w:eastAsia="zh-CN"/>
              </w:rPr>
              <w:t>*</w:t>
            </w:r>
          </w:p>
        </w:tc>
        <w:tc>
          <w:tcPr>
            <w:tcW w:w="465" w:type="pct"/>
            <w:noWrap w:val="0"/>
            <w:vAlign w:val="center"/>
          </w:tcPr>
          <w:p w14:paraId="4DB80B9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eastAsia="zh-CN"/>
              </w:rPr>
            </w:pPr>
            <w:r>
              <w:rPr>
                <w:rFonts w:hint="eastAsia"/>
                <w:b/>
                <w:bCs/>
                <w:color w:val="auto"/>
                <w:u w:val="single"/>
                <w:lang w:val="en-US" w:eastAsia="zh-CN"/>
              </w:rPr>
              <w:t>*</w:t>
            </w:r>
          </w:p>
        </w:tc>
        <w:tc>
          <w:tcPr>
            <w:tcW w:w="438" w:type="pct"/>
            <w:noWrap w:val="0"/>
            <w:vAlign w:val="center"/>
          </w:tcPr>
          <w:p w14:paraId="0D68E85D">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75" w:type="pct"/>
            <w:noWrap w:val="0"/>
            <w:vAlign w:val="center"/>
          </w:tcPr>
          <w:p w14:paraId="45582FC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422" w:type="pct"/>
            <w:noWrap w:val="0"/>
            <w:vAlign w:val="center"/>
          </w:tcPr>
          <w:p w14:paraId="18DC11B6">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eastAsia="zh-CN"/>
              </w:rPr>
            </w:pPr>
            <w:r>
              <w:rPr>
                <w:rFonts w:hint="eastAsia"/>
                <w:b/>
                <w:bCs/>
                <w:color w:val="auto"/>
                <w:u w:val="single"/>
                <w:lang w:val="en-US" w:eastAsia="zh-CN"/>
              </w:rPr>
              <w:t>*</w:t>
            </w:r>
          </w:p>
        </w:tc>
        <w:tc>
          <w:tcPr>
            <w:tcW w:w="435" w:type="pct"/>
            <w:noWrap w:val="0"/>
            <w:vAlign w:val="center"/>
          </w:tcPr>
          <w:p w14:paraId="755A13A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val="0"/>
                <w:u w:val="single"/>
                <w:lang w:val="en-US" w:eastAsia="zh-CN"/>
              </w:rPr>
            </w:pPr>
            <w:r>
              <w:rPr>
                <w:rFonts w:hint="eastAsia"/>
                <w:b/>
                <w:bCs/>
                <w:color w:val="auto"/>
                <w:u w:val="single"/>
                <w:lang w:val="en-US" w:eastAsia="zh-CN"/>
              </w:rPr>
              <w:t>*</w:t>
            </w:r>
          </w:p>
        </w:tc>
      </w:tr>
    </w:tbl>
    <w:p w14:paraId="4A11C021">
      <w:pPr>
        <w:pStyle w:val="6"/>
        <w:bidi w:val="0"/>
      </w:pPr>
      <w:r>
        <w:rPr>
          <w:rFonts w:hint="eastAsia"/>
        </w:rPr>
        <w:t>废水处理情况分析</w:t>
      </w:r>
    </w:p>
    <w:p w14:paraId="0D0E5D7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b/>
          <w:bCs/>
          <w:color w:val="auto"/>
          <w:u w:val="single"/>
        </w:rPr>
      </w:pPr>
      <w:r>
        <w:rPr>
          <w:rFonts w:hint="eastAsia"/>
          <w:b/>
          <w:bCs/>
          <w:color w:val="auto"/>
          <w:u w:val="single"/>
          <w:lang w:val="en-US" w:eastAsia="zh-CN"/>
        </w:rPr>
        <w:t>*</w:t>
      </w:r>
      <w:r>
        <w:rPr>
          <w:rFonts w:hint="eastAsia"/>
          <w:b/>
          <w:bCs/>
          <w:color w:val="auto"/>
          <w:u w:val="single"/>
        </w:rPr>
        <w:t>。</w:t>
      </w:r>
    </w:p>
    <w:p w14:paraId="26DDB95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rPr>
      </w:pPr>
      <w:r>
        <w:rPr>
          <w:rFonts w:hint="eastAsia"/>
          <w:color w:val="auto"/>
        </w:rPr>
        <w:t>项目建成后厂区污水处理站工艺流程如下：</w:t>
      </w:r>
    </w:p>
    <w:p w14:paraId="40AD66C7">
      <w:pPr>
        <w:bidi w:val="0"/>
        <w:ind w:left="0" w:leftChars="0" w:firstLine="0" w:firstLineChars="0"/>
        <w:rPr>
          <w:rFonts w:hint="eastAsia" w:eastAsia="宋体"/>
          <w:color w:val="auto"/>
          <w:lang w:eastAsia="zh-CN"/>
        </w:rPr>
      </w:pPr>
      <w:r>
        <w:rPr>
          <w:rFonts w:hint="eastAsia" w:eastAsia="宋体"/>
          <w:color w:val="auto"/>
          <w:lang w:eastAsia="zh-CN"/>
        </w:rPr>
        <w:object>
          <v:shape id="_x0000_i1044" o:spt="75" type="#_x0000_t75" style="height:638.65pt;width:434pt;" o:ole="t" filled="f" o:preferrelative="t" stroked="f" coordsize="21600,21600">
            <v:path/>
            <v:fill on="f" focussize="0,0"/>
            <v:stroke on="f"/>
            <v:imagedata r:id="rId63" o:title=""/>
            <o:lock v:ext="edit" aspectratio="t"/>
            <w10:wrap type="none"/>
            <w10:anchorlock/>
          </v:shape>
          <o:OLEObject Type="Embed" ProgID="Visio.Drawing.15" ShapeID="_x0000_i1044" DrawAspect="Content" ObjectID="_1468075729" r:id="rId62">
            <o:LockedField>false</o:LockedField>
          </o:OLEObject>
        </w:object>
      </w:r>
    </w:p>
    <w:p w14:paraId="378A6FFE">
      <w:pPr>
        <w:pStyle w:val="181"/>
        <w:bidi w:val="0"/>
        <w:ind w:left="0" w:leftChars="0" w:firstLine="0" w:firstLineChars="0"/>
        <w:jc w:val="center"/>
        <w:rPr>
          <w:rFonts w:hint="eastAsia"/>
          <w:color w:val="auto"/>
          <w:lang w:val="en-US" w:eastAsia="zh-CN"/>
        </w:rPr>
      </w:pPr>
      <w:r>
        <w:rPr>
          <w:rFonts w:hint="eastAsia"/>
          <w:color w:val="auto"/>
          <w:lang w:val="en-US" w:eastAsia="zh-CN"/>
        </w:rPr>
        <w:t>图4.6-1 厂区内污水处理站处理工艺流程示意图</w:t>
      </w:r>
    </w:p>
    <w:p w14:paraId="394D5EBD">
      <w:pPr>
        <w:rPr>
          <w:rFonts w:hint="default"/>
          <w:color w:val="auto"/>
          <w:lang w:val="en-US" w:eastAsia="zh-CN"/>
        </w:rPr>
      </w:pPr>
    </w:p>
    <w:p w14:paraId="78581DFE">
      <w:pPr>
        <w:bidi w:val="0"/>
        <w:ind w:left="0" w:leftChars="0" w:firstLine="0" w:firstLineChars="0"/>
        <w:rPr>
          <w:rFonts w:hint="eastAsia"/>
          <w:color w:val="auto"/>
        </w:rPr>
      </w:pPr>
      <w:r>
        <w:rPr>
          <w:color w:val="auto"/>
        </w:rPr>
        <w:drawing>
          <wp:inline distT="0" distB="0" distL="114300" distR="114300">
            <wp:extent cx="5578475" cy="2605405"/>
            <wp:effectExtent l="0" t="0" r="3175" b="4445"/>
            <wp:docPr id="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4"/>
                    <pic:cNvPicPr>
                      <a:picLocks noChangeAspect="1"/>
                    </pic:cNvPicPr>
                  </pic:nvPicPr>
                  <pic:blipFill>
                    <a:blip r:embed="rId64"/>
                    <a:stretch>
                      <a:fillRect/>
                    </a:stretch>
                  </pic:blipFill>
                  <pic:spPr>
                    <a:xfrm>
                      <a:off x="0" y="0"/>
                      <a:ext cx="5578475" cy="2605405"/>
                    </a:xfrm>
                    <a:prstGeom prst="rect">
                      <a:avLst/>
                    </a:prstGeom>
                    <a:noFill/>
                    <a:ln>
                      <a:noFill/>
                    </a:ln>
                  </pic:spPr>
                </pic:pic>
              </a:graphicData>
            </a:graphic>
          </wp:inline>
        </w:drawing>
      </w:r>
    </w:p>
    <w:p w14:paraId="5B0250D8">
      <w:pPr>
        <w:pStyle w:val="181"/>
        <w:bidi w:val="0"/>
        <w:ind w:left="0" w:leftChars="0" w:firstLine="0" w:firstLineChars="0"/>
        <w:jc w:val="center"/>
        <w:rPr>
          <w:rFonts w:hint="eastAsia"/>
          <w:color w:val="auto"/>
        </w:rPr>
      </w:pPr>
      <w:r>
        <w:rPr>
          <w:rFonts w:hint="eastAsia"/>
          <w:color w:val="auto"/>
        </w:rPr>
        <w:t>图</w:t>
      </w:r>
      <w:r>
        <w:rPr>
          <w:rFonts w:hint="eastAsia"/>
          <w:color w:val="auto"/>
          <w:lang w:val="en-US" w:eastAsia="zh-CN"/>
        </w:rPr>
        <w:t>4.6-2</w:t>
      </w:r>
      <w:r>
        <w:rPr>
          <w:color w:val="auto"/>
        </w:rPr>
        <w:t xml:space="preserve">  </w:t>
      </w:r>
      <w:r>
        <w:rPr>
          <w:rFonts w:hint="eastAsia"/>
          <w:color w:val="auto"/>
          <w:lang w:val="en-US" w:eastAsia="zh-CN"/>
        </w:rPr>
        <w:t>本项目</w:t>
      </w:r>
      <w:r>
        <w:rPr>
          <w:rFonts w:hint="eastAsia"/>
          <w:color w:val="auto"/>
        </w:rPr>
        <w:t>厂区内污水处理站处理工艺流程示意图</w:t>
      </w:r>
    </w:p>
    <w:p w14:paraId="45D138F2">
      <w:pPr>
        <w:pStyle w:val="10"/>
        <w:bidi w:val="0"/>
        <w:rPr>
          <w:rFonts w:hint="eastAsia"/>
        </w:rPr>
      </w:pPr>
      <w:r>
        <w:t xml:space="preserve">表 </w:t>
      </w:r>
      <w:r>
        <w:fldChar w:fldCharType="begin"/>
      </w:r>
      <w:r>
        <w:instrText xml:space="preserve"> STYLEREF 2 \s </w:instrText>
      </w:r>
      <w:r>
        <w:fldChar w:fldCharType="separate"/>
      </w:r>
      <w:r>
        <w:t>4.6</w:t>
      </w:r>
      <w:r>
        <w:fldChar w:fldCharType="end"/>
      </w:r>
      <w:r>
        <w:rPr>
          <w:rFonts w:hint="eastAsia"/>
          <w:lang w:eastAsia="zh-CN"/>
        </w:rPr>
        <w:t>-</w:t>
      </w:r>
      <w:r>
        <w:fldChar w:fldCharType="begin"/>
      </w:r>
      <w:r>
        <w:instrText xml:space="preserve"> SEQ 表 \* ARABIC \s 2 </w:instrText>
      </w:r>
      <w:r>
        <w:fldChar w:fldCharType="separate"/>
      </w:r>
      <w:r>
        <w:t>7</w:t>
      </w:r>
      <w:r>
        <w:fldChar w:fldCharType="end"/>
      </w:r>
      <w:r>
        <w:rPr>
          <w:rFonts w:hint="eastAsia"/>
          <w:lang w:val="en-US" w:eastAsia="zh-CN"/>
        </w:rPr>
        <w:t xml:space="preserve"> </w:t>
      </w:r>
      <w:r>
        <w:rPr>
          <w:rFonts w:hint="eastAsia"/>
        </w:rPr>
        <w:t>各污水处理单元处理工艺及富余处理能力</w:t>
      </w:r>
    </w:p>
    <w:tbl>
      <w:tblPr>
        <w:tblStyle w:val="31"/>
        <w:tblW w:w="8529"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092"/>
        <w:gridCol w:w="2627"/>
        <w:gridCol w:w="1054"/>
        <w:gridCol w:w="2759"/>
        <w:gridCol w:w="997"/>
      </w:tblGrid>
      <w:tr w14:paraId="4408F1D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22" w:hRule="atLeast"/>
          <w:jc w:val="center"/>
        </w:trPr>
        <w:tc>
          <w:tcPr>
            <w:tcW w:w="1092" w:type="dxa"/>
            <w:tcBorders>
              <w:bottom w:val="single" w:color="000000" w:sz="4" w:space="0"/>
              <w:right w:val="single" w:color="000000" w:sz="4" w:space="0"/>
            </w:tcBorders>
            <w:vAlign w:val="center"/>
          </w:tcPr>
          <w:p w14:paraId="43C1B899">
            <w:pPr>
              <w:pStyle w:val="182"/>
              <w:bidi w:val="0"/>
              <w:rPr>
                <w:b/>
                <w:bCs/>
                <w:color w:val="auto"/>
                <w:u w:val="single"/>
              </w:rPr>
            </w:pPr>
            <w:r>
              <w:rPr>
                <w:b/>
                <w:bCs/>
                <w:color w:val="auto"/>
                <w:u w:val="single"/>
              </w:rPr>
              <w:t>单元名称</w:t>
            </w:r>
          </w:p>
        </w:tc>
        <w:tc>
          <w:tcPr>
            <w:tcW w:w="2627" w:type="dxa"/>
            <w:tcBorders>
              <w:left w:val="single" w:color="000000" w:sz="4" w:space="0"/>
              <w:bottom w:val="single" w:color="000000" w:sz="4" w:space="0"/>
              <w:right w:val="single" w:color="000000" w:sz="4" w:space="0"/>
            </w:tcBorders>
            <w:vAlign w:val="center"/>
          </w:tcPr>
          <w:p w14:paraId="6A6D36EE">
            <w:pPr>
              <w:pStyle w:val="182"/>
              <w:bidi w:val="0"/>
              <w:rPr>
                <w:b/>
                <w:bCs/>
                <w:color w:val="auto"/>
                <w:u w:val="single"/>
              </w:rPr>
            </w:pPr>
            <w:r>
              <w:rPr>
                <w:b/>
                <w:bCs/>
                <w:color w:val="auto"/>
                <w:u w:val="single"/>
              </w:rPr>
              <w:t>处理工艺</w:t>
            </w:r>
          </w:p>
        </w:tc>
        <w:tc>
          <w:tcPr>
            <w:tcW w:w="1054" w:type="dxa"/>
            <w:tcBorders>
              <w:left w:val="single" w:color="000000" w:sz="4" w:space="0"/>
              <w:bottom w:val="single" w:color="000000" w:sz="4" w:space="0"/>
              <w:right w:val="single" w:color="000000" w:sz="4" w:space="0"/>
            </w:tcBorders>
            <w:vAlign w:val="center"/>
          </w:tcPr>
          <w:p w14:paraId="77663370">
            <w:pPr>
              <w:pStyle w:val="182"/>
              <w:bidi w:val="0"/>
              <w:rPr>
                <w:b/>
                <w:bCs/>
                <w:color w:val="auto"/>
                <w:u w:val="single"/>
              </w:rPr>
            </w:pPr>
            <w:r>
              <w:rPr>
                <w:b/>
                <w:bCs/>
                <w:color w:val="auto"/>
                <w:u w:val="single"/>
              </w:rPr>
              <w:t>处理规</w:t>
            </w:r>
          </w:p>
          <w:p w14:paraId="35F4B182">
            <w:pPr>
              <w:pStyle w:val="182"/>
              <w:bidi w:val="0"/>
              <w:rPr>
                <w:b/>
                <w:bCs/>
                <w:color w:val="auto"/>
                <w:u w:val="single"/>
              </w:rPr>
            </w:pPr>
            <w:r>
              <w:rPr>
                <w:b/>
                <w:bCs/>
                <w:color w:val="auto"/>
                <w:u w:val="single"/>
              </w:rPr>
              <w:t>模m</w:t>
            </w:r>
            <w:r>
              <w:rPr>
                <w:b/>
                <w:bCs/>
                <w:color w:val="auto"/>
                <w:u w:val="single"/>
                <w:vertAlign w:val="superscript"/>
              </w:rPr>
              <w:t>3</w:t>
            </w:r>
            <w:r>
              <w:rPr>
                <w:b/>
                <w:bCs/>
                <w:color w:val="auto"/>
                <w:u w:val="single"/>
              </w:rPr>
              <w:t>/d</w:t>
            </w:r>
          </w:p>
        </w:tc>
        <w:tc>
          <w:tcPr>
            <w:tcW w:w="2759" w:type="dxa"/>
            <w:tcBorders>
              <w:left w:val="single" w:color="000000" w:sz="4" w:space="0"/>
              <w:bottom w:val="single" w:color="000000" w:sz="4" w:space="0"/>
              <w:right w:val="single" w:color="000000" w:sz="4" w:space="0"/>
            </w:tcBorders>
            <w:vAlign w:val="center"/>
          </w:tcPr>
          <w:p w14:paraId="09005C19">
            <w:pPr>
              <w:pStyle w:val="182"/>
              <w:bidi w:val="0"/>
              <w:rPr>
                <w:b/>
                <w:bCs/>
                <w:color w:val="auto"/>
                <w:u w:val="single"/>
              </w:rPr>
            </w:pPr>
            <w:r>
              <w:rPr>
                <w:b/>
                <w:bCs/>
                <w:color w:val="auto"/>
                <w:u w:val="single"/>
              </w:rPr>
              <w:t>已接收废水水量m</w:t>
            </w:r>
            <w:r>
              <w:rPr>
                <w:b/>
                <w:bCs/>
                <w:color w:val="auto"/>
                <w:u w:val="single"/>
                <w:vertAlign w:val="superscript"/>
              </w:rPr>
              <w:t>3</w:t>
            </w:r>
            <w:r>
              <w:rPr>
                <w:b/>
                <w:bCs/>
                <w:color w:val="auto"/>
                <w:u w:val="single"/>
              </w:rPr>
              <w:t>/d</w:t>
            </w:r>
          </w:p>
        </w:tc>
        <w:tc>
          <w:tcPr>
            <w:tcW w:w="997" w:type="dxa"/>
            <w:tcBorders>
              <w:left w:val="single" w:color="000000" w:sz="4" w:space="0"/>
              <w:bottom w:val="single" w:color="000000" w:sz="4" w:space="0"/>
            </w:tcBorders>
            <w:vAlign w:val="center"/>
          </w:tcPr>
          <w:p w14:paraId="7D572790">
            <w:pPr>
              <w:pStyle w:val="182"/>
              <w:bidi w:val="0"/>
              <w:rPr>
                <w:b/>
                <w:bCs/>
                <w:color w:val="auto"/>
                <w:u w:val="single"/>
              </w:rPr>
            </w:pPr>
            <w:r>
              <w:rPr>
                <w:b/>
                <w:bCs/>
                <w:color w:val="auto"/>
                <w:u w:val="single"/>
              </w:rPr>
              <w:t>富余处理能力m</w:t>
            </w:r>
            <w:r>
              <w:rPr>
                <w:b/>
                <w:bCs/>
                <w:color w:val="auto"/>
                <w:u w:val="single"/>
                <w:vertAlign w:val="superscript"/>
              </w:rPr>
              <w:t>3</w:t>
            </w:r>
            <w:r>
              <w:rPr>
                <w:b/>
                <w:bCs/>
                <w:color w:val="auto"/>
                <w:u w:val="single"/>
              </w:rPr>
              <w:t>/d</w:t>
            </w:r>
          </w:p>
        </w:tc>
      </w:tr>
      <w:tr w14:paraId="65F129A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17" w:hRule="atLeast"/>
          <w:jc w:val="center"/>
        </w:trPr>
        <w:tc>
          <w:tcPr>
            <w:tcW w:w="1092" w:type="dxa"/>
            <w:tcBorders>
              <w:top w:val="single" w:color="000000" w:sz="4" w:space="0"/>
              <w:bottom w:val="single" w:color="000000" w:sz="4" w:space="0"/>
              <w:right w:val="single" w:color="000000" w:sz="4" w:space="0"/>
            </w:tcBorders>
            <w:vAlign w:val="center"/>
          </w:tcPr>
          <w:p w14:paraId="30E75FC1">
            <w:pPr>
              <w:pStyle w:val="182"/>
              <w:bidi w:val="0"/>
              <w:rPr>
                <w:b/>
                <w:bCs/>
                <w:color w:val="auto"/>
                <w:u w:val="single"/>
              </w:rPr>
            </w:pPr>
            <w:r>
              <w:rPr>
                <w:b/>
                <w:bCs/>
                <w:color w:val="auto"/>
                <w:u w:val="single"/>
              </w:rPr>
              <w:t>粘胶废水综合处理单元</w:t>
            </w:r>
          </w:p>
        </w:tc>
        <w:tc>
          <w:tcPr>
            <w:tcW w:w="2627" w:type="dxa"/>
            <w:tcBorders>
              <w:top w:val="single" w:color="000000" w:sz="4" w:space="0"/>
              <w:left w:val="single" w:color="000000" w:sz="4" w:space="0"/>
              <w:bottom w:val="single" w:color="000000" w:sz="4" w:space="0"/>
              <w:right w:val="single" w:color="000000" w:sz="4" w:space="0"/>
            </w:tcBorders>
            <w:vAlign w:val="center"/>
          </w:tcPr>
          <w:p w14:paraId="6304FD65">
            <w:pPr>
              <w:pStyle w:val="182"/>
              <w:bidi w:val="0"/>
              <w:rPr>
                <w:b/>
                <w:bCs/>
                <w:color w:val="auto"/>
                <w:u w:val="single"/>
              </w:rPr>
            </w:pPr>
            <w:r>
              <w:rPr>
                <w:b/>
                <w:bCs/>
                <w:color w:val="auto"/>
                <w:u w:val="single"/>
              </w:rPr>
              <w:t>粘胶纤维先进入酸化池内与部分酸性废水混合进行酸化，然后经“调节+中和+沉淀+氧化沟+二沉池”处理后排放</w:t>
            </w:r>
          </w:p>
        </w:tc>
        <w:tc>
          <w:tcPr>
            <w:tcW w:w="1054" w:type="dxa"/>
            <w:tcBorders>
              <w:top w:val="single" w:color="000000" w:sz="4" w:space="0"/>
              <w:left w:val="single" w:color="000000" w:sz="4" w:space="0"/>
              <w:bottom w:val="single" w:color="000000" w:sz="4" w:space="0"/>
              <w:right w:val="single" w:color="000000" w:sz="4" w:space="0"/>
            </w:tcBorders>
            <w:vAlign w:val="center"/>
          </w:tcPr>
          <w:p w14:paraId="3658A355">
            <w:pPr>
              <w:bidi w:val="0"/>
              <w:ind w:firstLine="482" w:firstLineChars="200"/>
              <w:rPr>
                <w:b/>
                <w:bCs/>
                <w:color w:val="auto"/>
                <w:u w:val="single"/>
              </w:rPr>
            </w:pPr>
            <w:r>
              <w:rPr>
                <w:rFonts w:hint="eastAsia"/>
                <w:b/>
                <w:bCs/>
                <w:color w:val="auto"/>
                <w:u w:val="single"/>
                <w:lang w:val="en-US" w:eastAsia="zh-CN"/>
              </w:rPr>
              <w:t>*</w:t>
            </w:r>
          </w:p>
        </w:tc>
        <w:tc>
          <w:tcPr>
            <w:tcW w:w="2759" w:type="dxa"/>
            <w:vMerge w:val="restart"/>
            <w:tcBorders>
              <w:top w:val="single" w:color="000000" w:sz="4" w:space="0"/>
              <w:left w:val="single" w:color="000000" w:sz="4" w:space="0"/>
              <w:bottom w:val="single" w:color="000000" w:sz="4" w:space="0"/>
              <w:right w:val="single" w:color="000000" w:sz="4" w:space="0"/>
            </w:tcBorders>
            <w:vAlign w:val="center"/>
          </w:tcPr>
          <w:p w14:paraId="0A0A4FBB">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2316B4C5">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71C9B9BD">
            <w:pPr>
              <w:bidi w:val="0"/>
              <w:ind w:firstLine="482" w:firstLineChars="200"/>
              <w:rPr>
                <w:rFonts w:hint="default"/>
                <w:lang w:val="en-US" w:eastAsia="zh-CN"/>
              </w:rPr>
            </w:pPr>
            <w:r>
              <w:rPr>
                <w:rFonts w:hint="eastAsia"/>
                <w:b/>
                <w:bCs/>
                <w:color w:val="auto"/>
                <w:u w:val="single"/>
                <w:lang w:val="en-US" w:eastAsia="zh-CN"/>
              </w:rPr>
              <w:t>*</w:t>
            </w:r>
          </w:p>
        </w:tc>
        <w:tc>
          <w:tcPr>
            <w:tcW w:w="997" w:type="dxa"/>
            <w:vMerge w:val="restart"/>
            <w:tcBorders>
              <w:top w:val="single" w:color="000000" w:sz="4" w:space="0"/>
              <w:left w:val="single" w:color="000000" w:sz="4" w:space="0"/>
              <w:bottom w:val="single" w:color="000000" w:sz="4" w:space="0"/>
            </w:tcBorders>
            <w:vAlign w:val="center"/>
          </w:tcPr>
          <w:p w14:paraId="10237F6B">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04AEE208">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68789DAF">
            <w:pPr>
              <w:bidi w:val="0"/>
              <w:ind w:firstLine="482" w:firstLineChars="200"/>
              <w:rPr>
                <w:rFonts w:hint="default"/>
                <w:lang w:val="en-US" w:eastAsia="zh-CN"/>
              </w:rPr>
            </w:pPr>
            <w:r>
              <w:rPr>
                <w:rFonts w:hint="eastAsia"/>
                <w:b/>
                <w:bCs/>
                <w:color w:val="auto"/>
                <w:u w:val="single"/>
                <w:lang w:val="en-US" w:eastAsia="zh-CN"/>
              </w:rPr>
              <w:t>*</w:t>
            </w:r>
          </w:p>
        </w:tc>
      </w:tr>
      <w:tr w14:paraId="7D1367D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5" w:hRule="atLeast"/>
          <w:jc w:val="center"/>
        </w:trPr>
        <w:tc>
          <w:tcPr>
            <w:tcW w:w="1092" w:type="dxa"/>
            <w:tcBorders>
              <w:top w:val="single" w:color="000000" w:sz="4" w:space="0"/>
              <w:bottom w:val="single" w:color="000000" w:sz="4" w:space="0"/>
              <w:right w:val="single" w:color="000000" w:sz="4" w:space="0"/>
            </w:tcBorders>
            <w:vAlign w:val="center"/>
          </w:tcPr>
          <w:p w14:paraId="11010AC4">
            <w:pPr>
              <w:pStyle w:val="182"/>
              <w:bidi w:val="0"/>
              <w:rPr>
                <w:b/>
                <w:bCs/>
                <w:color w:val="auto"/>
                <w:u w:val="single"/>
              </w:rPr>
            </w:pPr>
            <w:r>
              <w:rPr>
                <w:rFonts w:hint="eastAsia"/>
                <w:b/>
                <w:bCs/>
                <w:color w:val="auto"/>
                <w:u w:val="single"/>
                <w:lang w:val="en-US" w:eastAsia="zh-CN"/>
              </w:rPr>
              <w:t>长丝</w:t>
            </w:r>
            <w:r>
              <w:rPr>
                <w:b/>
                <w:bCs/>
                <w:color w:val="auto"/>
                <w:u w:val="single"/>
              </w:rPr>
              <w:t>酸性废水处理一区</w:t>
            </w:r>
          </w:p>
        </w:tc>
        <w:tc>
          <w:tcPr>
            <w:tcW w:w="2627" w:type="dxa"/>
            <w:tcBorders>
              <w:top w:val="single" w:color="000000" w:sz="4" w:space="0"/>
              <w:left w:val="single" w:color="000000" w:sz="4" w:space="0"/>
              <w:bottom w:val="single" w:color="000000" w:sz="4" w:space="0"/>
              <w:right w:val="single" w:color="000000" w:sz="4" w:space="0"/>
            </w:tcBorders>
            <w:vAlign w:val="center"/>
          </w:tcPr>
          <w:p w14:paraId="4525CBD3">
            <w:pPr>
              <w:pStyle w:val="182"/>
              <w:bidi w:val="0"/>
              <w:rPr>
                <w:b/>
                <w:bCs/>
                <w:color w:val="auto"/>
                <w:u w:val="single"/>
              </w:rPr>
            </w:pPr>
            <w:r>
              <w:rPr>
                <w:b/>
                <w:bCs/>
                <w:color w:val="auto"/>
                <w:u w:val="single"/>
              </w:rPr>
              <w:t>“中和</w:t>
            </w:r>
            <w:r>
              <w:rPr>
                <w:rFonts w:hint="eastAsia"/>
                <w:b/>
                <w:bCs/>
                <w:color w:val="auto"/>
                <w:u w:val="single"/>
                <w:lang w:eastAsia="zh-CN"/>
              </w:rPr>
              <w:t>－</w:t>
            </w:r>
            <w:r>
              <w:rPr>
                <w:b/>
                <w:bCs/>
                <w:color w:val="auto"/>
                <w:u w:val="single"/>
              </w:rPr>
              <w:t>沉淀-pH调节”</w:t>
            </w:r>
          </w:p>
        </w:tc>
        <w:tc>
          <w:tcPr>
            <w:tcW w:w="1054" w:type="dxa"/>
            <w:tcBorders>
              <w:top w:val="single" w:color="000000" w:sz="4" w:space="0"/>
              <w:left w:val="single" w:color="000000" w:sz="4" w:space="0"/>
              <w:bottom w:val="single" w:color="000000" w:sz="4" w:space="0"/>
              <w:right w:val="single" w:color="000000" w:sz="4" w:space="0"/>
            </w:tcBorders>
            <w:vAlign w:val="center"/>
          </w:tcPr>
          <w:p w14:paraId="07765B96">
            <w:pPr>
              <w:bidi w:val="0"/>
              <w:ind w:firstLine="482" w:firstLineChars="200"/>
              <w:rPr>
                <w:b/>
                <w:bCs/>
                <w:color w:val="auto"/>
                <w:u w:val="single"/>
              </w:rPr>
            </w:pPr>
            <w:r>
              <w:rPr>
                <w:rFonts w:hint="eastAsia"/>
                <w:b/>
                <w:bCs/>
                <w:color w:val="auto"/>
                <w:u w:val="single"/>
                <w:lang w:val="en-US" w:eastAsia="zh-CN"/>
              </w:rPr>
              <w:t>*</w:t>
            </w:r>
          </w:p>
        </w:tc>
        <w:tc>
          <w:tcPr>
            <w:tcW w:w="2759" w:type="dxa"/>
            <w:vMerge w:val="continue"/>
            <w:tcBorders>
              <w:top w:val="nil"/>
              <w:left w:val="single" w:color="000000" w:sz="4" w:space="0"/>
              <w:bottom w:val="single" w:color="000000" w:sz="4" w:space="0"/>
              <w:right w:val="single" w:color="000000" w:sz="4" w:space="0"/>
            </w:tcBorders>
            <w:vAlign w:val="center"/>
          </w:tcPr>
          <w:p w14:paraId="33DDE22F">
            <w:pPr>
              <w:pStyle w:val="182"/>
              <w:bidi w:val="0"/>
              <w:rPr>
                <w:b/>
                <w:bCs/>
                <w:color w:val="auto"/>
                <w:u w:val="single"/>
              </w:rPr>
            </w:pPr>
          </w:p>
        </w:tc>
        <w:tc>
          <w:tcPr>
            <w:tcW w:w="997" w:type="dxa"/>
            <w:vMerge w:val="continue"/>
            <w:tcBorders>
              <w:top w:val="nil"/>
              <w:left w:val="single" w:color="000000" w:sz="4" w:space="0"/>
              <w:bottom w:val="single" w:color="000000" w:sz="4" w:space="0"/>
            </w:tcBorders>
            <w:vAlign w:val="center"/>
          </w:tcPr>
          <w:p w14:paraId="1FF73A74">
            <w:pPr>
              <w:pStyle w:val="182"/>
              <w:bidi w:val="0"/>
              <w:rPr>
                <w:b/>
                <w:bCs/>
                <w:color w:val="auto"/>
                <w:u w:val="single"/>
              </w:rPr>
            </w:pPr>
          </w:p>
        </w:tc>
      </w:tr>
      <w:tr w14:paraId="7EBEED0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3" w:hRule="atLeast"/>
          <w:jc w:val="center"/>
        </w:trPr>
        <w:tc>
          <w:tcPr>
            <w:tcW w:w="1092" w:type="dxa"/>
            <w:tcBorders>
              <w:top w:val="single" w:color="000000" w:sz="4" w:space="0"/>
              <w:bottom w:val="single" w:color="000000" w:sz="4" w:space="0"/>
              <w:right w:val="single" w:color="000000" w:sz="4" w:space="0"/>
            </w:tcBorders>
            <w:vAlign w:val="center"/>
          </w:tcPr>
          <w:p w14:paraId="1FAD10AB">
            <w:pPr>
              <w:pStyle w:val="182"/>
              <w:bidi w:val="0"/>
              <w:rPr>
                <w:b/>
                <w:bCs/>
                <w:color w:val="auto"/>
                <w:u w:val="single"/>
              </w:rPr>
            </w:pPr>
            <w:r>
              <w:rPr>
                <w:rFonts w:hint="eastAsia"/>
                <w:b/>
                <w:bCs/>
                <w:color w:val="auto"/>
                <w:u w:val="single"/>
                <w:lang w:val="en-US" w:eastAsia="zh-CN"/>
              </w:rPr>
              <w:t>长丝</w:t>
            </w:r>
            <w:r>
              <w:rPr>
                <w:b/>
                <w:bCs/>
                <w:color w:val="auto"/>
                <w:u w:val="single"/>
              </w:rPr>
              <w:t>酸性废水处理二区</w:t>
            </w:r>
          </w:p>
        </w:tc>
        <w:tc>
          <w:tcPr>
            <w:tcW w:w="2627" w:type="dxa"/>
            <w:tcBorders>
              <w:top w:val="single" w:color="000000" w:sz="4" w:space="0"/>
              <w:left w:val="single" w:color="000000" w:sz="4" w:space="0"/>
              <w:bottom w:val="single" w:color="000000" w:sz="4" w:space="0"/>
              <w:right w:val="single" w:color="000000" w:sz="4" w:space="0"/>
            </w:tcBorders>
            <w:vAlign w:val="center"/>
          </w:tcPr>
          <w:p w14:paraId="6BB6AC10">
            <w:pPr>
              <w:pStyle w:val="182"/>
              <w:bidi w:val="0"/>
              <w:rPr>
                <w:b/>
                <w:bCs/>
                <w:color w:val="auto"/>
                <w:u w:val="single"/>
              </w:rPr>
            </w:pPr>
            <w:r>
              <w:rPr>
                <w:b/>
                <w:bCs/>
                <w:color w:val="auto"/>
                <w:u w:val="single"/>
              </w:rPr>
              <w:t>“中和-沉淀-pH调节”</w:t>
            </w:r>
          </w:p>
        </w:tc>
        <w:tc>
          <w:tcPr>
            <w:tcW w:w="1054" w:type="dxa"/>
            <w:tcBorders>
              <w:top w:val="single" w:color="000000" w:sz="4" w:space="0"/>
              <w:left w:val="single" w:color="000000" w:sz="4" w:space="0"/>
              <w:bottom w:val="single" w:color="000000" w:sz="4" w:space="0"/>
              <w:right w:val="single" w:color="000000" w:sz="4" w:space="0"/>
            </w:tcBorders>
            <w:vAlign w:val="center"/>
          </w:tcPr>
          <w:p w14:paraId="6AB2903A">
            <w:pPr>
              <w:bidi w:val="0"/>
              <w:ind w:firstLine="482" w:firstLineChars="200"/>
              <w:rPr>
                <w:b/>
                <w:bCs/>
                <w:color w:val="auto"/>
                <w:u w:val="single"/>
              </w:rPr>
            </w:pPr>
            <w:r>
              <w:rPr>
                <w:rFonts w:hint="eastAsia"/>
                <w:b/>
                <w:bCs/>
                <w:color w:val="auto"/>
                <w:u w:val="single"/>
                <w:lang w:val="en-US" w:eastAsia="zh-CN"/>
              </w:rPr>
              <w:t>*</w:t>
            </w:r>
          </w:p>
        </w:tc>
        <w:tc>
          <w:tcPr>
            <w:tcW w:w="2759" w:type="dxa"/>
            <w:vMerge w:val="continue"/>
            <w:tcBorders>
              <w:top w:val="nil"/>
              <w:left w:val="single" w:color="000000" w:sz="4" w:space="0"/>
              <w:bottom w:val="single" w:color="000000" w:sz="4" w:space="0"/>
              <w:right w:val="single" w:color="000000" w:sz="4" w:space="0"/>
            </w:tcBorders>
            <w:vAlign w:val="center"/>
          </w:tcPr>
          <w:p w14:paraId="4859F8AB">
            <w:pPr>
              <w:pStyle w:val="182"/>
              <w:bidi w:val="0"/>
              <w:rPr>
                <w:b/>
                <w:bCs/>
                <w:color w:val="auto"/>
                <w:u w:val="single"/>
              </w:rPr>
            </w:pPr>
          </w:p>
        </w:tc>
        <w:tc>
          <w:tcPr>
            <w:tcW w:w="997" w:type="dxa"/>
            <w:vMerge w:val="continue"/>
            <w:tcBorders>
              <w:top w:val="nil"/>
              <w:left w:val="single" w:color="000000" w:sz="4" w:space="0"/>
              <w:bottom w:val="single" w:color="000000" w:sz="4" w:space="0"/>
            </w:tcBorders>
            <w:vAlign w:val="center"/>
          </w:tcPr>
          <w:p w14:paraId="689B6FFA">
            <w:pPr>
              <w:pStyle w:val="182"/>
              <w:bidi w:val="0"/>
              <w:rPr>
                <w:b/>
                <w:bCs/>
                <w:color w:val="auto"/>
                <w:u w:val="single"/>
              </w:rPr>
            </w:pPr>
          </w:p>
        </w:tc>
      </w:tr>
      <w:tr w14:paraId="012D6BD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17" w:hRule="atLeast"/>
          <w:jc w:val="center"/>
        </w:trPr>
        <w:tc>
          <w:tcPr>
            <w:tcW w:w="1092" w:type="dxa"/>
            <w:tcBorders>
              <w:top w:val="single" w:color="000000" w:sz="4" w:space="0"/>
              <w:bottom w:val="single" w:color="000000" w:sz="4" w:space="0"/>
              <w:right w:val="single" w:color="000000" w:sz="4" w:space="0"/>
            </w:tcBorders>
            <w:vAlign w:val="center"/>
          </w:tcPr>
          <w:p w14:paraId="2587C691">
            <w:pPr>
              <w:pStyle w:val="182"/>
              <w:bidi w:val="0"/>
              <w:rPr>
                <w:b/>
                <w:bCs/>
                <w:color w:val="auto"/>
                <w:u w:val="single"/>
              </w:rPr>
            </w:pPr>
            <w:r>
              <w:rPr>
                <w:b/>
                <w:bCs/>
                <w:color w:val="auto"/>
                <w:u w:val="single"/>
              </w:rPr>
              <w:t>氨纶、</w:t>
            </w:r>
            <w:r>
              <w:rPr>
                <w:rFonts w:hint="eastAsia"/>
                <w:b/>
                <w:bCs/>
                <w:color w:val="auto"/>
                <w:u w:val="single"/>
                <w:lang w:val="en-US" w:eastAsia="zh-CN"/>
              </w:rPr>
              <w:t>菌草</w:t>
            </w:r>
            <w:r>
              <w:rPr>
                <w:b/>
                <w:bCs/>
                <w:color w:val="auto"/>
                <w:u w:val="single"/>
              </w:rPr>
              <w:t>废水处理单元</w:t>
            </w:r>
          </w:p>
        </w:tc>
        <w:tc>
          <w:tcPr>
            <w:tcW w:w="2627" w:type="dxa"/>
            <w:tcBorders>
              <w:top w:val="single" w:color="000000" w:sz="4" w:space="0"/>
              <w:left w:val="single" w:color="000000" w:sz="4" w:space="0"/>
              <w:bottom w:val="single" w:color="000000" w:sz="4" w:space="0"/>
              <w:right w:val="single" w:color="000000" w:sz="4" w:space="0"/>
            </w:tcBorders>
            <w:vAlign w:val="center"/>
          </w:tcPr>
          <w:p w14:paraId="34A93422">
            <w:pPr>
              <w:pStyle w:val="182"/>
              <w:bidi w:val="0"/>
              <w:rPr>
                <w:b/>
                <w:bCs/>
                <w:color w:val="auto"/>
                <w:u w:val="single"/>
              </w:rPr>
            </w:pPr>
            <w:r>
              <w:rPr>
                <w:b/>
                <w:bCs/>
                <w:color w:val="auto"/>
                <w:u w:val="single"/>
              </w:rPr>
              <w:t>“</w:t>
            </w:r>
            <w:r>
              <w:rPr>
                <w:rFonts w:hint="eastAsia"/>
                <w:b/>
                <w:bCs/>
                <w:color w:val="auto"/>
                <w:u w:val="single"/>
                <w:lang w:eastAsia="zh-CN"/>
              </w:rPr>
              <w:t>调节+混合池+沉淀+水解酸化+氧化沟+二沉池</w:t>
            </w:r>
            <w:r>
              <w:rPr>
                <w:b/>
                <w:bCs/>
                <w:color w:val="auto"/>
                <w:u w:val="single"/>
              </w:rPr>
              <w:t>”</w:t>
            </w:r>
          </w:p>
        </w:tc>
        <w:tc>
          <w:tcPr>
            <w:tcW w:w="1054" w:type="dxa"/>
            <w:tcBorders>
              <w:top w:val="single" w:color="000000" w:sz="4" w:space="0"/>
              <w:left w:val="single" w:color="000000" w:sz="4" w:space="0"/>
              <w:bottom w:val="single" w:color="000000" w:sz="4" w:space="0"/>
              <w:right w:val="single" w:color="000000" w:sz="4" w:space="0"/>
            </w:tcBorders>
            <w:vAlign w:val="center"/>
          </w:tcPr>
          <w:p w14:paraId="175134DC">
            <w:pPr>
              <w:bidi w:val="0"/>
              <w:ind w:firstLine="482" w:firstLineChars="200"/>
              <w:rPr>
                <w:b/>
                <w:bCs/>
                <w:color w:val="auto"/>
                <w:u w:val="single"/>
              </w:rPr>
            </w:pPr>
            <w:r>
              <w:rPr>
                <w:rFonts w:hint="eastAsia"/>
                <w:b/>
                <w:bCs/>
                <w:color w:val="auto"/>
                <w:u w:val="single"/>
                <w:lang w:val="en-US" w:eastAsia="zh-CN"/>
              </w:rPr>
              <w:t>*</w:t>
            </w:r>
          </w:p>
        </w:tc>
        <w:tc>
          <w:tcPr>
            <w:tcW w:w="2759" w:type="dxa"/>
            <w:tcBorders>
              <w:top w:val="single" w:color="000000" w:sz="4" w:space="0"/>
              <w:left w:val="single" w:color="000000" w:sz="4" w:space="0"/>
              <w:bottom w:val="single" w:color="000000" w:sz="4" w:space="0"/>
              <w:right w:val="single" w:color="000000" w:sz="4" w:space="0"/>
            </w:tcBorders>
            <w:vAlign w:val="center"/>
          </w:tcPr>
          <w:p w14:paraId="3CAAA1A5">
            <w:pPr>
              <w:bidi w:val="0"/>
              <w:ind w:firstLine="482" w:firstLineChars="200"/>
              <w:rPr>
                <w:rFonts w:hint="default"/>
                <w:b/>
                <w:bCs/>
                <w:color w:val="auto"/>
                <w:u w:val="single"/>
                <w:lang w:val="en-US" w:eastAsia="zh-CN"/>
              </w:rPr>
            </w:pPr>
            <w:r>
              <w:rPr>
                <w:rFonts w:hint="eastAsia"/>
                <w:b/>
                <w:bCs/>
                <w:color w:val="auto"/>
                <w:u w:val="single"/>
                <w:lang w:val="en-US" w:eastAsia="zh-CN"/>
              </w:rPr>
              <w:t>*</w:t>
            </w:r>
          </w:p>
        </w:tc>
        <w:tc>
          <w:tcPr>
            <w:tcW w:w="997" w:type="dxa"/>
            <w:tcBorders>
              <w:top w:val="single" w:color="000000" w:sz="4" w:space="0"/>
              <w:left w:val="single" w:color="000000" w:sz="4" w:space="0"/>
              <w:bottom w:val="single" w:color="000000" w:sz="4" w:space="0"/>
            </w:tcBorders>
            <w:vAlign w:val="center"/>
          </w:tcPr>
          <w:p w14:paraId="36646237">
            <w:pPr>
              <w:bidi w:val="0"/>
              <w:ind w:firstLine="482" w:firstLineChars="200"/>
              <w:rPr>
                <w:rFonts w:hint="default"/>
                <w:b/>
                <w:bCs/>
                <w:color w:val="auto"/>
                <w:u w:val="single"/>
                <w:lang w:val="en-US" w:eastAsia="zh-CN"/>
              </w:rPr>
            </w:pPr>
            <w:r>
              <w:rPr>
                <w:rFonts w:hint="eastAsia"/>
                <w:b/>
                <w:bCs/>
                <w:color w:val="auto"/>
                <w:u w:val="single"/>
                <w:lang w:val="en-US" w:eastAsia="zh-CN"/>
              </w:rPr>
              <w:t>*</w:t>
            </w:r>
          </w:p>
        </w:tc>
      </w:tr>
      <w:tr w14:paraId="46F6579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1092" w:type="dxa"/>
            <w:tcBorders>
              <w:top w:val="single" w:color="000000" w:sz="4" w:space="0"/>
              <w:bottom w:val="single" w:color="000000" w:sz="4" w:space="0"/>
              <w:right w:val="single" w:color="000000" w:sz="4" w:space="0"/>
            </w:tcBorders>
            <w:vAlign w:val="center"/>
          </w:tcPr>
          <w:p w14:paraId="4D5734B1">
            <w:pPr>
              <w:pStyle w:val="182"/>
              <w:bidi w:val="0"/>
              <w:rPr>
                <w:b/>
                <w:bCs/>
                <w:color w:val="auto"/>
                <w:u w:val="single"/>
              </w:rPr>
            </w:pPr>
            <w:r>
              <w:rPr>
                <w:b/>
                <w:bCs/>
                <w:color w:val="auto"/>
                <w:u w:val="single"/>
              </w:rPr>
              <w:t>清净下水</w:t>
            </w:r>
          </w:p>
        </w:tc>
        <w:tc>
          <w:tcPr>
            <w:tcW w:w="2627" w:type="dxa"/>
            <w:tcBorders>
              <w:top w:val="single" w:color="000000" w:sz="4" w:space="0"/>
              <w:left w:val="single" w:color="000000" w:sz="4" w:space="0"/>
              <w:bottom w:val="single" w:color="000000" w:sz="4" w:space="0"/>
              <w:right w:val="single" w:color="000000" w:sz="4" w:space="0"/>
            </w:tcBorders>
            <w:vAlign w:val="center"/>
          </w:tcPr>
          <w:p w14:paraId="1D257329">
            <w:pPr>
              <w:pStyle w:val="182"/>
              <w:bidi w:val="0"/>
              <w:rPr>
                <w:b/>
                <w:bCs/>
                <w:color w:val="auto"/>
                <w:u w:val="single"/>
              </w:rPr>
            </w:pPr>
            <w:r>
              <w:rPr>
                <w:b/>
                <w:bCs/>
                <w:color w:val="auto"/>
                <w:u w:val="single"/>
              </w:rPr>
              <w:t>/</w:t>
            </w:r>
          </w:p>
        </w:tc>
        <w:tc>
          <w:tcPr>
            <w:tcW w:w="1054" w:type="dxa"/>
            <w:tcBorders>
              <w:top w:val="single" w:color="000000" w:sz="4" w:space="0"/>
              <w:left w:val="single" w:color="000000" w:sz="4" w:space="0"/>
              <w:bottom w:val="single" w:color="000000" w:sz="4" w:space="0"/>
              <w:right w:val="single" w:color="000000" w:sz="4" w:space="0"/>
            </w:tcBorders>
            <w:vAlign w:val="center"/>
          </w:tcPr>
          <w:p w14:paraId="0ECE8300">
            <w:pPr>
              <w:bidi w:val="0"/>
              <w:ind w:firstLine="482" w:firstLineChars="200"/>
              <w:rPr>
                <w:b/>
                <w:bCs/>
                <w:color w:val="auto"/>
                <w:u w:val="single"/>
              </w:rPr>
            </w:pPr>
            <w:r>
              <w:rPr>
                <w:rFonts w:hint="eastAsia"/>
                <w:b/>
                <w:bCs/>
                <w:color w:val="auto"/>
                <w:u w:val="single"/>
                <w:lang w:val="en-US" w:eastAsia="zh-CN"/>
              </w:rPr>
              <w:t>*</w:t>
            </w:r>
          </w:p>
        </w:tc>
        <w:tc>
          <w:tcPr>
            <w:tcW w:w="2759" w:type="dxa"/>
            <w:tcBorders>
              <w:top w:val="single" w:color="000000" w:sz="4" w:space="0"/>
              <w:left w:val="single" w:color="000000" w:sz="4" w:space="0"/>
              <w:bottom w:val="single" w:color="000000" w:sz="4" w:space="0"/>
              <w:right w:val="single" w:color="000000" w:sz="4" w:space="0"/>
            </w:tcBorders>
            <w:vAlign w:val="center"/>
          </w:tcPr>
          <w:p w14:paraId="3CA65F24">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c>
          <w:tcPr>
            <w:tcW w:w="997" w:type="dxa"/>
            <w:tcBorders>
              <w:top w:val="single" w:color="000000" w:sz="4" w:space="0"/>
              <w:left w:val="single" w:color="000000" w:sz="4" w:space="0"/>
              <w:bottom w:val="single" w:color="000000" w:sz="4" w:space="0"/>
            </w:tcBorders>
            <w:vAlign w:val="center"/>
          </w:tcPr>
          <w:p w14:paraId="4025789C">
            <w:pPr>
              <w:bidi w:val="0"/>
              <w:ind w:firstLine="482" w:firstLineChars="200"/>
              <w:rPr>
                <w:b/>
                <w:bCs/>
                <w:color w:val="auto"/>
                <w:u w:val="single"/>
              </w:rPr>
            </w:pPr>
            <w:r>
              <w:rPr>
                <w:rFonts w:hint="eastAsia"/>
                <w:b/>
                <w:bCs/>
                <w:color w:val="auto"/>
                <w:u w:val="single"/>
                <w:lang w:val="en-US" w:eastAsia="zh-CN"/>
              </w:rPr>
              <w:t>*</w:t>
            </w:r>
          </w:p>
        </w:tc>
      </w:tr>
      <w:tr w14:paraId="013BB80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4" w:hRule="atLeast"/>
          <w:jc w:val="center"/>
        </w:trPr>
        <w:tc>
          <w:tcPr>
            <w:tcW w:w="1092" w:type="dxa"/>
            <w:tcBorders>
              <w:top w:val="single" w:color="000000" w:sz="4" w:space="0"/>
              <w:right w:val="single" w:color="000000" w:sz="4" w:space="0"/>
            </w:tcBorders>
            <w:vAlign w:val="center"/>
          </w:tcPr>
          <w:p w14:paraId="7C1EE3CF">
            <w:pPr>
              <w:pStyle w:val="182"/>
              <w:bidi w:val="0"/>
              <w:rPr>
                <w:b/>
                <w:bCs/>
                <w:color w:val="auto"/>
                <w:u w:val="single"/>
              </w:rPr>
            </w:pPr>
            <w:r>
              <w:rPr>
                <w:b/>
                <w:bCs/>
                <w:color w:val="auto"/>
                <w:u w:val="single"/>
              </w:rPr>
              <w:t>备注</w:t>
            </w:r>
          </w:p>
        </w:tc>
        <w:tc>
          <w:tcPr>
            <w:tcW w:w="7437" w:type="dxa"/>
            <w:gridSpan w:val="4"/>
            <w:tcBorders>
              <w:top w:val="single" w:color="000000" w:sz="4" w:space="0"/>
              <w:left w:val="single" w:color="000000" w:sz="4" w:space="0"/>
            </w:tcBorders>
            <w:vAlign w:val="center"/>
          </w:tcPr>
          <w:p w14:paraId="0D8D965E">
            <w:pPr>
              <w:pStyle w:val="182"/>
              <w:bidi w:val="0"/>
              <w:rPr>
                <w:rFonts w:hint="eastAsia" w:eastAsia="宋体"/>
                <w:b/>
                <w:bCs/>
                <w:color w:val="auto"/>
                <w:u w:val="single"/>
                <w:lang w:eastAsia="zh-CN"/>
              </w:rPr>
            </w:pPr>
            <w:r>
              <w:rPr>
                <w:b/>
                <w:bCs/>
                <w:color w:val="auto"/>
                <w:u w:val="single"/>
              </w:rPr>
              <w:t>已接收废水考虑了现有厂区已建</w:t>
            </w:r>
            <w:r>
              <w:rPr>
                <w:rFonts w:hint="eastAsia"/>
                <w:b/>
                <w:bCs/>
                <w:color w:val="auto"/>
                <w:u w:val="single"/>
                <w:lang w:val="en-US" w:eastAsia="zh-CN"/>
              </w:rPr>
              <w:t>运行及在建拟建</w:t>
            </w:r>
            <w:r>
              <w:rPr>
                <w:b/>
                <w:bCs/>
                <w:color w:val="auto"/>
                <w:u w:val="single"/>
              </w:rPr>
              <w:t>的所有项目废水</w:t>
            </w:r>
            <w:r>
              <w:rPr>
                <w:rFonts w:hint="eastAsia"/>
                <w:b/>
                <w:bCs/>
                <w:color w:val="auto"/>
                <w:u w:val="single"/>
                <w:lang w:eastAsia="zh-CN"/>
              </w:rPr>
              <w:t>（</w:t>
            </w:r>
            <w:r>
              <w:rPr>
                <w:rFonts w:hint="eastAsia"/>
                <w:b/>
                <w:bCs/>
                <w:color w:val="auto"/>
                <w:u w:val="single"/>
                <w:lang w:val="en-US" w:eastAsia="zh-CN"/>
              </w:rPr>
              <w:t>不考虑清下水</w:t>
            </w:r>
            <w:r>
              <w:rPr>
                <w:rFonts w:hint="eastAsia"/>
                <w:b/>
                <w:bCs/>
                <w:color w:val="auto"/>
                <w:u w:val="single"/>
                <w:lang w:eastAsia="zh-CN"/>
              </w:rPr>
              <w:t>）</w:t>
            </w:r>
          </w:p>
        </w:tc>
      </w:tr>
    </w:tbl>
    <w:p w14:paraId="5E8BAFD8">
      <w:pPr>
        <w:bidi w:val="0"/>
        <w:rPr>
          <w:rFonts w:hint="default" w:eastAsia="宋体"/>
          <w:b/>
          <w:bCs/>
          <w:color w:val="auto"/>
          <w:u w:val="single"/>
          <w:lang w:val="en-US" w:eastAsia="zh-CN"/>
        </w:rPr>
      </w:pPr>
      <w:r>
        <w:rPr>
          <w:rFonts w:hint="eastAsia"/>
          <w:b/>
          <w:bCs/>
          <w:color w:val="auto"/>
          <w:u w:val="single"/>
          <w:lang w:val="en-US" w:eastAsia="zh-CN"/>
        </w:rPr>
        <w:t>*。</w:t>
      </w:r>
    </w:p>
    <w:p w14:paraId="1F5C9209">
      <w:pPr>
        <w:pStyle w:val="10"/>
        <w:bidi w:val="0"/>
        <w:rPr>
          <w:rFonts w:hint="eastAsia"/>
          <w:b/>
          <w:bCs/>
          <w:u w:val="single"/>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4.6</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8</w:t>
      </w:r>
      <w:r>
        <w:rPr>
          <w:b/>
          <w:bCs/>
          <w:u w:val="single"/>
        </w:rPr>
        <w:fldChar w:fldCharType="end"/>
      </w:r>
      <w:r>
        <w:rPr>
          <w:rFonts w:hint="eastAsia"/>
          <w:b/>
          <w:bCs/>
          <w:u w:val="single"/>
          <w:lang w:val="en-US" w:eastAsia="zh-CN"/>
        </w:rPr>
        <w:t xml:space="preserve"> </w:t>
      </w:r>
      <w:r>
        <w:rPr>
          <w:rFonts w:hint="eastAsia"/>
          <w:b/>
          <w:bCs/>
          <w:u w:val="single"/>
        </w:rPr>
        <w:t>工程废水处理效果及排放情况一览表</w:t>
      </w:r>
    </w:p>
    <w:tbl>
      <w:tblPr>
        <w:tblStyle w:val="31"/>
        <w:tblW w:w="4964"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91"/>
        <w:gridCol w:w="1190"/>
        <w:gridCol w:w="982"/>
        <w:gridCol w:w="850"/>
        <w:gridCol w:w="850"/>
        <w:gridCol w:w="850"/>
        <w:gridCol w:w="850"/>
        <w:gridCol w:w="850"/>
        <w:gridCol w:w="850"/>
      </w:tblGrid>
      <w:tr w14:paraId="5CD0E2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1406" w:type="pct"/>
            <w:gridSpan w:val="2"/>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09493ED4">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排放口</w:t>
            </w:r>
          </w:p>
        </w:tc>
        <w:tc>
          <w:tcPr>
            <w:tcW w:w="580" w:type="pct"/>
            <w:vMerge w:val="restart"/>
            <w:tcBorders>
              <w:top w:val="single" w:color="000000" w:sz="8" w:space="0"/>
              <w:left w:val="single" w:color="000000" w:sz="8" w:space="0"/>
              <w:right w:val="single" w:color="000000" w:sz="8" w:space="0"/>
            </w:tcBorders>
            <w:shd w:val="clear" w:color="auto" w:fill="auto"/>
            <w:vAlign w:val="center"/>
          </w:tcPr>
          <w:p w14:paraId="4E4C0435">
            <w:pPr>
              <w:keepNext w:val="0"/>
              <w:keepLines w:val="0"/>
              <w:widowControl/>
              <w:suppressLineNumbers w:val="0"/>
              <w:bidi w:val="0"/>
              <w:ind w:firstLine="482" w:firstLineChars="200"/>
              <w:jc w:val="center"/>
              <w:textAlignment w:val="center"/>
              <w:rPr>
                <w:rFonts w:hint="eastAsia"/>
                <w:b/>
                <w:bCs/>
                <w:color w:val="auto"/>
                <w:u w:val="single"/>
                <w:lang w:val="en-US" w:eastAsia="zh-CN"/>
              </w:rPr>
            </w:pPr>
            <w:r>
              <w:rPr>
                <w:rFonts w:hint="eastAsia"/>
                <w:b/>
                <w:bCs/>
                <w:color w:val="auto"/>
                <w:u w:val="single"/>
                <w:lang w:val="en-US" w:eastAsia="zh-CN"/>
              </w:rPr>
              <w:t>*</w:t>
            </w:r>
          </w:p>
          <w:p w14:paraId="3D254D9F">
            <w:pPr>
              <w:bidi w:val="0"/>
              <w:ind w:firstLine="482" w:firstLineChars="200"/>
              <w:rPr>
                <w:rFonts w:hint="eastAsia"/>
              </w:rPr>
            </w:pPr>
            <w:r>
              <w:rPr>
                <w:rFonts w:hint="eastAsia"/>
                <w:b/>
                <w:bCs/>
                <w:color w:val="auto"/>
                <w:u w:val="single"/>
                <w:lang w:val="en-US" w:eastAsia="zh-CN"/>
              </w:rPr>
              <w:t>*</w:t>
            </w:r>
          </w:p>
        </w:tc>
        <w:tc>
          <w:tcPr>
            <w:tcW w:w="3013" w:type="pct"/>
            <w:gridSpan w:val="6"/>
            <w:tcBorders>
              <w:top w:val="single" w:color="000000" w:sz="8" w:space="0"/>
              <w:left w:val="single" w:color="000000" w:sz="8" w:space="0"/>
              <w:bottom w:val="single" w:color="000000" w:sz="8" w:space="0"/>
              <w:right w:val="single" w:color="auto" w:sz="4" w:space="0"/>
            </w:tcBorders>
            <w:shd w:val="clear" w:color="auto" w:fill="auto"/>
            <w:vAlign w:val="center"/>
          </w:tcPr>
          <w:p w14:paraId="6C786816">
            <w:pPr>
              <w:keepNext w:val="0"/>
              <w:keepLines w:val="0"/>
              <w:widowControl/>
              <w:suppressLineNumbers w:val="0"/>
              <w:bidi w:val="0"/>
              <w:ind w:firstLine="482" w:firstLineChars="200"/>
              <w:jc w:val="center"/>
              <w:textAlignment w:val="center"/>
              <w:rPr>
                <w:rFonts w:hint="eastAsia"/>
                <w:b/>
                <w:bCs/>
                <w:color w:val="auto"/>
                <w:u w:val="single"/>
              </w:rPr>
            </w:pPr>
            <w:r>
              <w:rPr>
                <w:rFonts w:hint="eastAsia"/>
                <w:b/>
                <w:bCs/>
                <w:color w:val="auto"/>
                <w:u w:val="single"/>
                <w:lang w:val="en-US" w:eastAsia="zh-CN"/>
              </w:rPr>
              <w:t>*</w:t>
            </w:r>
          </w:p>
        </w:tc>
      </w:tr>
      <w:tr w14:paraId="01D7D6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406" w:type="pct"/>
            <w:gridSpan w:val="2"/>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06DFE9D">
            <w:pPr>
              <w:pStyle w:val="182"/>
              <w:jc w:val="center"/>
              <w:rPr>
                <w:rFonts w:hint="eastAsia"/>
                <w:b/>
                <w:bCs/>
                <w:color w:val="auto"/>
                <w:u w:val="single"/>
              </w:rPr>
            </w:pPr>
          </w:p>
        </w:tc>
        <w:tc>
          <w:tcPr>
            <w:tcW w:w="580" w:type="pct"/>
            <w:vMerge w:val="continue"/>
            <w:tcBorders>
              <w:left w:val="single" w:color="000000" w:sz="8" w:space="0"/>
              <w:bottom w:val="single" w:color="000000" w:sz="8" w:space="0"/>
              <w:right w:val="single" w:color="000000" w:sz="8" w:space="0"/>
            </w:tcBorders>
            <w:shd w:val="clear" w:color="auto" w:fill="auto"/>
            <w:vAlign w:val="center"/>
          </w:tcPr>
          <w:p w14:paraId="46867F73">
            <w:pPr>
              <w:pStyle w:val="182"/>
              <w:keepNext w:val="0"/>
              <w:keepLines w:val="0"/>
              <w:widowControl/>
              <w:suppressLineNumbers w:val="0"/>
              <w:jc w:val="center"/>
              <w:textAlignment w:val="center"/>
              <w:rPr>
                <w:rFonts w:hint="eastAsia"/>
                <w:b/>
                <w:bCs/>
                <w:color w:val="auto"/>
                <w:u w:val="single"/>
              </w:rPr>
            </w:pPr>
          </w:p>
        </w:tc>
        <w:tc>
          <w:tcPr>
            <w:tcW w:w="502" w:type="pct"/>
            <w:tcBorders>
              <w:top w:val="nil"/>
              <w:left w:val="single" w:color="000000" w:sz="8" w:space="0"/>
              <w:bottom w:val="single" w:color="000000" w:sz="8" w:space="0"/>
              <w:right w:val="single" w:color="000000" w:sz="8" w:space="0"/>
            </w:tcBorders>
            <w:shd w:val="clear" w:color="auto" w:fill="auto"/>
            <w:vAlign w:val="center"/>
          </w:tcPr>
          <w:p w14:paraId="7CB76B2A">
            <w:pPr>
              <w:keepNext w:val="0"/>
              <w:keepLines w:val="0"/>
              <w:widowControl/>
              <w:suppressLineNumbers w:val="0"/>
              <w:bidi w:val="0"/>
              <w:ind w:firstLine="482" w:firstLineChars="200"/>
              <w:jc w:val="center"/>
              <w:textAlignment w:val="center"/>
              <w:rPr>
                <w:rFonts w:hint="default"/>
                <w:b/>
                <w:bCs/>
                <w:color w:val="auto"/>
                <w:u w:val="single"/>
              </w:rPr>
            </w:pPr>
            <w:r>
              <w:rPr>
                <w:rFonts w:hint="eastAsia"/>
                <w:b/>
                <w:bCs/>
                <w:color w:val="auto"/>
                <w:u w:val="single"/>
                <w:lang w:val="en-US" w:eastAsia="zh-CN"/>
              </w:rPr>
              <w:t>*</w:t>
            </w:r>
          </w:p>
        </w:tc>
        <w:tc>
          <w:tcPr>
            <w:tcW w:w="502"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39592FD">
            <w:pPr>
              <w:keepNext w:val="0"/>
              <w:keepLines w:val="0"/>
              <w:widowControl/>
              <w:suppressLineNumbers w:val="0"/>
              <w:bidi w:val="0"/>
              <w:ind w:firstLine="482" w:firstLineChars="200"/>
              <w:jc w:val="center"/>
              <w:textAlignment w:val="center"/>
              <w:rPr>
                <w:rFonts w:hint="default"/>
                <w:b/>
                <w:bCs/>
                <w:color w:val="auto"/>
                <w:u w:val="single"/>
              </w:rPr>
            </w:pPr>
            <w:r>
              <w:rPr>
                <w:rFonts w:hint="eastAsia"/>
                <w:b/>
                <w:bCs/>
                <w:color w:val="auto"/>
                <w:u w:val="single"/>
                <w:lang w:val="en-US" w:eastAsia="zh-CN"/>
              </w:rPr>
              <w:t>*</w:t>
            </w:r>
          </w:p>
        </w:tc>
        <w:tc>
          <w:tcPr>
            <w:tcW w:w="502" w:type="pct"/>
            <w:tcBorders>
              <w:top w:val="single" w:color="000000" w:sz="8" w:space="0"/>
              <w:left w:val="single" w:color="000000" w:sz="8" w:space="0"/>
              <w:bottom w:val="single" w:color="000000" w:sz="8" w:space="0"/>
              <w:right w:val="single" w:color="000000" w:sz="8" w:space="0"/>
            </w:tcBorders>
            <w:shd w:val="clear" w:color="auto" w:fill="auto"/>
            <w:vAlign w:val="center"/>
          </w:tcPr>
          <w:p w14:paraId="1DD3E9C0">
            <w:pPr>
              <w:keepNext w:val="0"/>
              <w:keepLines w:val="0"/>
              <w:widowControl/>
              <w:suppressLineNumbers w:val="0"/>
              <w:bidi w:val="0"/>
              <w:ind w:firstLine="482" w:firstLineChars="200"/>
              <w:jc w:val="center"/>
              <w:textAlignment w:val="center"/>
              <w:rPr>
                <w:rFonts w:hint="default"/>
                <w:b/>
                <w:bCs/>
                <w:color w:val="auto"/>
                <w:u w:val="single"/>
              </w:rPr>
            </w:pPr>
            <w:r>
              <w:rPr>
                <w:rFonts w:hint="eastAsia"/>
                <w:b/>
                <w:bCs/>
                <w:color w:val="auto"/>
                <w:u w:val="single"/>
                <w:lang w:val="en-US" w:eastAsia="zh-CN"/>
              </w:rPr>
              <w:t>*</w:t>
            </w:r>
          </w:p>
        </w:tc>
        <w:tc>
          <w:tcPr>
            <w:tcW w:w="502"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EF00AD0">
            <w:pPr>
              <w:keepNext w:val="0"/>
              <w:keepLines w:val="0"/>
              <w:widowControl/>
              <w:suppressLineNumbers w:val="0"/>
              <w:bidi w:val="0"/>
              <w:ind w:firstLine="482" w:firstLineChars="200"/>
              <w:jc w:val="center"/>
              <w:textAlignment w:val="center"/>
              <w:rPr>
                <w:rFonts w:hint="default"/>
                <w:b/>
                <w:bCs/>
                <w:color w:val="auto"/>
                <w:u w:val="single"/>
              </w:rPr>
            </w:pPr>
            <w:r>
              <w:rPr>
                <w:rFonts w:hint="eastAsia"/>
                <w:b/>
                <w:bCs/>
                <w:color w:val="auto"/>
                <w:u w:val="single"/>
                <w:lang w:val="en-US" w:eastAsia="zh-CN"/>
              </w:rPr>
              <w:t>*</w:t>
            </w:r>
          </w:p>
        </w:tc>
        <w:tc>
          <w:tcPr>
            <w:tcW w:w="502" w:type="pct"/>
            <w:tcBorders>
              <w:top w:val="single" w:color="000000" w:sz="8" w:space="0"/>
              <w:left w:val="single" w:color="000000" w:sz="8" w:space="0"/>
              <w:bottom w:val="single" w:color="000000" w:sz="8" w:space="0"/>
              <w:right w:val="single" w:color="000000" w:sz="8" w:space="0"/>
            </w:tcBorders>
            <w:shd w:val="clear" w:color="auto" w:fill="auto"/>
            <w:vAlign w:val="center"/>
          </w:tcPr>
          <w:p w14:paraId="236F6C0F">
            <w:pPr>
              <w:keepNext w:val="0"/>
              <w:keepLines w:val="0"/>
              <w:widowControl/>
              <w:suppressLineNumbers w:val="0"/>
              <w:bidi w:val="0"/>
              <w:ind w:firstLine="482" w:firstLineChars="200"/>
              <w:jc w:val="center"/>
              <w:textAlignment w:val="center"/>
              <w:rPr>
                <w:rFonts w:hint="default"/>
                <w:b/>
                <w:bCs/>
                <w:color w:val="auto"/>
                <w:u w:val="single"/>
              </w:rPr>
            </w:pPr>
            <w:r>
              <w:rPr>
                <w:rFonts w:hint="eastAsia"/>
                <w:b/>
                <w:bCs/>
                <w:color w:val="auto"/>
                <w:u w:val="single"/>
                <w:lang w:val="en-US" w:eastAsia="zh-CN"/>
              </w:rPr>
              <w:t>*</w:t>
            </w:r>
          </w:p>
        </w:tc>
        <w:tc>
          <w:tcPr>
            <w:tcW w:w="502"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457DBBF">
            <w:pPr>
              <w:keepNext w:val="0"/>
              <w:keepLines w:val="0"/>
              <w:widowControl/>
              <w:suppressLineNumbers w:val="0"/>
              <w:bidi w:val="0"/>
              <w:ind w:firstLine="482" w:firstLineChars="200"/>
              <w:jc w:val="center"/>
              <w:textAlignment w:val="center"/>
              <w:rPr>
                <w:rFonts w:hint="default"/>
                <w:b/>
                <w:bCs/>
                <w:color w:val="auto"/>
                <w:u w:val="single"/>
              </w:rPr>
            </w:pPr>
            <w:r>
              <w:rPr>
                <w:rFonts w:hint="eastAsia"/>
                <w:b/>
                <w:bCs/>
                <w:color w:val="auto"/>
                <w:u w:val="single"/>
                <w:lang w:val="en-US" w:eastAsia="zh-CN"/>
              </w:rPr>
              <w:t>*</w:t>
            </w:r>
          </w:p>
        </w:tc>
      </w:tr>
      <w:tr w14:paraId="0B8359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406" w:type="pct"/>
            <w:gridSpan w:val="2"/>
            <w:tcBorders>
              <w:top w:val="nil"/>
              <w:left w:val="single" w:color="000000" w:sz="8" w:space="0"/>
              <w:bottom w:val="single" w:color="000000" w:sz="8" w:space="0"/>
              <w:right w:val="single" w:color="000000" w:sz="8" w:space="0"/>
            </w:tcBorders>
            <w:shd w:val="clear" w:color="auto" w:fill="auto"/>
            <w:vAlign w:val="center"/>
          </w:tcPr>
          <w:p w14:paraId="7B2BC376">
            <w:pPr>
              <w:pStyle w:val="182"/>
              <w:keepNext w:val="0"/>
              <w:keepLines w:val="0"/>
              <w:widowControl/>
              <w:suppressLineNumbers w:val="0"/>
              <w:jc w:val="center"/>
              <w:textAlignment w:val="center"/>
              <w:rPr>
                <w:rFonts w:hint="default"/>
                <w:b/>
                <w:bCs/>
                <w:color w:val="auto"/>
                <w:u w:val="single"/>
                <w:lang w:val="en-US"/>
              </w:rPr>
            </w:pPr>
            <w:r>
              <w:rPr>
                <w:rFonts w:hint="eastAsia"/>
                <w:b/>
                <w:bCs/>
                <w:color w:val="auto"/>
                <w:u w:val="single"/>
                <w:lang w:val="en-US" w:eastAsia="zh-CN"/>
              </w:rPr>
              <w:t>本项目进入厂区污水处理站废水</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7F1883E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bCs/>
                <w:color w:val="auto"/>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13BB5BD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bCs/>
                <w:color w:val="auto"/>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30485E8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bCs/>
                <w:color w:val="auto"/>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691BF55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bCs/>
                <w:color w:val="auto"/>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3075998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bCs/>
                <w:color w:val="auto"/>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42B3B26E">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bCs/>
                <w:color w:val="auto"/>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190911C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
                <w:bCs/>
                <w:color w:val="auto"/>
                <w:u w:val="single"/>
                <w:lang w:val="en-US" w:eastAsia="zh-CN"/>
              </w:rPr>
            </w:pPr>
            <w:r>
              <w:rPr>
                <w:rFonts w:hint="eastAsia"/>
                <w:b/>
                <w:bCs/>
                <w:color w:val="auto"/>
                <w:u w:val="single"/>
                <w:lang w:val="en-US" w:eastAsia="zh-CN"/>
              </w:rPr>
              <w:t>*</w:t>
            </w:r>
          </w:p>
        </w:tc>
      </w:tr>
      <w:tr w14:paraId="69051D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406" w:type="pct"/>
            <w:gridSpan w:val="2"/>
            <w:tcBorders>
              <w:top w:val="nil"/>
              <w:left w:val="single" w:color="000000" w:sz="8" w:space="0"/>
              <w:bottom w:val="single" w:color="000000" w:sz="8" w:space="0"/>
              <w:right w:val="single" w:color="000000" w:sz="8" w:space="0"/>
            </w:tcBorders>
            <w:shd w:val="clear" w:color="auto" w:fill="auto"/>
            <w:vAlign w:val="center"/>
          </w:tcPr>
          <w:p w14:paraId="790D5C4D">
            <w:pPr>
              <w:pStyle w:val="182"/>
              <w:keepNext w:val="0"/>
              <w:keepLines w:val="0"/>
              <w:widowControl/>
              <w:suppressLineNumbers w:val="0"/>
              <w:jc w:val="center"/>
              <w:textAlignment w:val="center"/>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根据现有项目厂区调节池水质</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300F698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234F673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2E6D64C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25BA5B0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5F0E861D">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0BD7700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0D92ADF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r>
      <w:tr w14:paraId="6FCCF2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406" w:type="pct"/>
            <w:gridSpan w:val="2"/>
            <w:tcBorders>
              <w:top w:val="nil"/>
              <w:left w:val="single" w:color="000000" w:sz="8" w:space="0"/>
              <w:bottom w:val="single" w:color="000000" w:sz="8" w:space="0"/>
              <w:right w:val="single" w:color="000000" w:sz="8" w:space="0"/>
            </w:tcBorders>
            <w:shd w:val="clear" w:color="auto" w:fill="auto"/>
            <w:vAlign w:val="center"/>
          </w:tcPr>
          <w:p w14:paraId="23205FA4">
            <w:pPr>
              <w:pStyle w:val="182"/>
              <w:keepNext w:val="0"/>
              <w:keepLines w:val="0"/>
              <w:widowControl/>
              <w:suppressLineNumbers w:val="0"/>
              <w:jc w:val="center"/>
              <w:textAlignment w:val="center"/>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本项目进水与调节池进水混合后水质</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22AD7A5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eastAsia="宋体"/>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2EEEA6A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4417D55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1269521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6A71030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34EEE67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36F8906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r>
      <w:tr w14:paraId="4235B7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406" w:type="pct"/>
            <w:gridSpan w:val="2"/>
            <w:tcBorders>
              <w:top w:val="nil"/>
              <w:left w:val="single" w:color="000000" w:sz="8" w:space="0"/>
              <w:bottom w:val="single" w:color="000000" w:sz="8" w:space="0"/>
              <w:right w:val="single" w:color="000000" w:sz="8" w:space="0"/>
            </w:tcBorders>
            <w:shd w:val="clear" w:color="auto" w:fill="auto"/>
            <w:vAlign w:val="center"/>
          </w:tcPr>
          <w:p w14:paraId="36C42A04">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依托厂区污水处理站氨纶废水处理单元处理效率</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7CC246E2">
            <w:pPr>
              <w:keepNext w:val="0"/>
              <w:keepLines w:val="0"/>
              <w:widowControl/>
              <w:suppressLineNumbers w:val="0"/>
              <w:bidi w:val="0"/>
              <w:ind w:firstLine="482" w:firstLineChars="200"/>
              <w:jc w:val="center"/>
              <w:textAlignment w:val="center"/>
              <w:rPr>
                <w:rFonts w:hint="default"/>
                <w:b/>
                <w:bCs/>
                <w:color w:val="auto"/>
                <w:u w:val="single"/>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1647FFC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2A348FA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38EF402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08DD8A8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6C4A2D4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71F83E3F">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r>
      <w:tr w14:paraId="460551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406" w:type="pct"/>
            <w:gridSpan w:val="2"/>
            <w:tcBorders>
              <w:top w:val="nil"/>
              <w:left w:val="single" w:color="000000" w:sz="8" w:space="0"/>
              <w:bottom w:val="single" w:color="000000" w:sz="8" w:space="0"/>
              <w:right w:val="single" w:color="000000" w:sz="8" w:space="0"/>
            </w:tcBorders>
            <w:shd w:val="clear" w:color="auto" w:fill="auto"/>
            <w:vAlign w:val="center"/>
          </w:tcPr>
          <w:p w14:paraId="5889CF3F">
            <w:pPr>
              <w:pStyle w:val="182"/>
              <w:keepNext w:val="0"/>
              <w:keepLines w:val="0"/>
              <w:widowControl/>
              <w:suppressLineNumbers w:val="0"/>
              <w:jc w:val="center"/>
              <w:textAlignment w:val="center"/>
              <w:rPr>
                <w:rFonts w:hint="default"/>
                <w:b/>
                <w:bCs/>
                <w:color w:val="auto"/>
                <w:u w:val="single"/>
                <w:lang w:val="en-US" w:eastAsia="zh-CN"/>
              </w:rPr>
            </w:pPr>
            <w:r>
              <w:rPr>
                <w:rFonts w:hint="eastAsia"/>
                <w:b/>
                <w:bCs/>
                <w:color w:val="auto"/>
                <w:u w:val="single"/>
                <w:lang w:val="en-US" w:eastAsia="zh-CN"/>
              </w:rPr>
              <w:t>本项目经氨纶废水处理单元处理过后废水</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4EEEABCE">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5FD6164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7DF85ECA">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751350D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5F02864F">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6578059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3A1D060A">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r>
      <w:tr w14:paraId="600A9E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03" w:type="pct"/>
            <w:vMerge w:val="restart"/>
            <w:tcBorders>
              <w:top w:val="nil"/>
              <w:left w:val="single" w:color="000000" w:sz="8" w:space="0"/>
              <w:right w:val="single" w:color="auto" w:sz="4" w:space="0"/>
            </w:tcBorders>
            <w:shd w:val="clear" w:color="auto" w:fill="auto"/>
            <w:vAlign w:val="center"/>
          </w:tcPr>
          <w:p w14:paraId="48DA400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color w:val="auto"/>
                <w:u w:val="single"/>
                <w:lang w:val="en-US" w:eastAsia="zh-CN"/>
              </w:rPr>
            </w:pPr>
            <w:r>
              <w:rPr>
                <w:rFonts w:hint="eastAsia" w:eastAsia="宋体"/>
                <w:b/>
                <w:bCs/>
                <w:u w:val="single"/>
                <w:lang w:val="en-US" w:eastAsia="zh-CN"/>
              </w:rPr>
              <w:t>本项目清下水直接排入厂区废水总排口</w:t>
            </w:r>
          </w:p>
        </w:tc>
        <w:tc>
          <w:tcPr>
            <w:tcW w:w="703" w:type="pct"/>
            <w:tcBorders>
              <w:top w:val="nil"/>
              <w:left w:val="single" w:color="auto" w:sz="4" w:space="0"/>
              <w:bottom w:val="single" w:color="000000" w:sz="8" w:space="0"/>
              <w:right w:val="single" w:color="000000" w:sz="8" w:space="0"/>
            </w:tcBorders>
            <w:shd w:val="clear" w:color="auto" w:fill="auto"/>
            <w:vAlign w:val="center"/>
          </w:tcPr>
          <w:p w14:paraId="0AABAAE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745A009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7D08C684">
            <w:pPr>
              <w:bidi w:val="0"/>
              <w:ind w:firstLine="482" w:firstLineChars="200"/>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74D4E07C">
            <w:pPr>
              <w:bidi w:val="0"/>
              <w:ind w:firstLine="482" w:firstLineChars="200"/>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41C59E38">
            <w:pPr>
              <w:bidi w:val="0"/>
              <w:ind w:firstLine="482" w:firstLineChars="200"/>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0BEEF00D">
            <w:pPr>
              <w:keepNext w:val="0"/>
              <w:keepLines w:val="0"/>
              <w:widowControl/>
              <w:suppressLineNumbers w:val="0"/>
              <w:bidi w:val="0"/>
              <w:ind w:firstLine="482" w:firstLineChars="200"/>
              <w:jc w:val="center"/>
              <w:textAlignment w:val="center"/>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2B021B4D">
            <w:pPr>
              <w:keepNext w:val="0"/>
              <w:keepLines w:val="0"/>
              <w:widowControl/>
              <w:suppressLineNumbers w:val="0"/>
              <w:bidi w:val="0"/>
              <w:ind w:firstLine="482" w:firstLineChars="200"/>
              <w:jc w:val="center"/>
              <w:textAlignment w:val="center"/>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3AAA9F99">
            <w:pPr>
              <w:pStyle w:val="182"/>
              <w:keepNext w:val="0"/>
              <w:keepLines w:val="0"/>
              <w:widowControl/>
              <w:suppressLineNumbers w:val="0"/>
              <w:ind w:firstLine="0" w:firstLineChars="0"/>
              <w:jc w:val="center"/>
              <w:textAlignment w:val="center"/>
              <w:rPr>
                <w:rFonts w:hint="eastAsia" w:ascii="Times New Roman" w:hAnsi="Times New Roman" w:eastAsia="宋体" w:cs="Times New Roman"/>
                <w:b/>
                <w:bCs/>
                <w:u w:val="single"/>
                <w:lang w:val="en-US" w:eastAsia="zh-CN"/>
              </w:rPr>
            </w:pPr>
            <w:r>
              <w:rPr>
                <w:rFonts w:hint="eastAsia"/>
                <w:b/>
                <w:bCs/>
                <w:color w:val="auto"/>
                <w:u w:val="single"/>
                <w:lang w:val="en-US" w:eastAsia="zh-CN"/>
              </w:rPr>
              <w:t>1</w:t>
            </w:r>
          </w:p>
        </w:tc>
      </w:tr>
      <w:tr w14:paraId="7B0542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703" w:type="pct"/>
            <w:vMerge w:val="continue"/>
            <w:tcBorders>
              <w:left w:val="single" w:color="000000" w:sz="8" w:space="0"/>
              <w:bottom w:val="single" w:color="000000" w:sz="8" w:space="0"/>
              <w:right w:val="single" w:color="auto" w:sz="4" w:space="0"/>
            </w:tcBorders>
            <w:shd w:val="clear" w:color="auto" w:fill="auto"/>
            <w:vAlign w:val="center"/>
          </w:tcPr>
          <w:p w14:paraId="48FCDAC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color w:val="auto"/>
                <w:u w:val="single"/>
                <w:lang w:val="en-US" w:eastAsia="zh-CN"/>
              </w:rPr>
            </w:pPr>
          </w:p>
        </w:tc>
        <w:tc>
          <w:tcPr>
            <w:tcW w:w="703" w:type="pct"/>
            <w:tcBorders>
              <w:top w:val="nil"/>
              <w:left w:val="single" w:color="auto" w:sz="4" w:space="0"/>
              <w:bottom w:val="single" w:color="000000" w:sz="8" w:space="0"/>
              <w:right w:val="single" w:color="000000" w:sz="8" w:space="0"/>
            </w:tcBorders>
            <w:shd w:val="clear" w:color="auto" w:fill="auto"/>
            <w:vAlign w:val="center"/>
          </w:tcPr>
          <w:p w14:paraId="5F17297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63D283F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527D2C5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1D4154F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2604BFF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632EA30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58233AE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527A697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bCs/>
                <w:u w:val="single"/>
                <w:lang w:val="en-US" w:eastAsia="zh-CN"/>
              </w:rPr>
            </w:pPr>
            <w:r>
              <w:rPr>
                <w:rFonts w:hint="eastAsia" w:eastAsia="宋体" w:cs="Times New Roman"/>
                <w:b/>
                <w:bCs/>
                <w:u w:val="single"/>
                <w:lang w:val="en-US" w:eastAsia="zh-CN"/>
              </w:rPr>
              <w:t>0.5</w:t>
            </w:r>
          </w:p>
        </w:tc>
      </w:tr>
      <w:tr w14:paraId="39F119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406" w:type="pct"/>
            <w:gridSpan w:val="2"/>
            <w:tcBorders>
              <w:top w:val="nil"/>
              <w:left w:val="single" w:color="000000" w:sz="8" w:space="0"/>
              <w:bottom w:val="single" w:color="000000" w:sz="8" w:space="0"/>
              <w:right w:val="single" w:color="000000" w:sz="8" w:space="0"/>
            </w:tcBorders>
            <w:shd w:val="clear" w:color="auto" w:fill="auto"/>
            <w:vAlign w:val="center"/>
          </w:tcPr>
          <w:p w14:paraId="4498B53D">
            <w:pPr>
              <w:pStyle w:val="182"/>
              <w:keepNext w:val="0"/>
              <w:keepLines w:val="0"/>
              <w:widowControl/>
              <w:suppressLineNumbers w:val="0"/>
              <w:ind w:firstLine="0" w:firstLineChars="0"/>
              <w:jc w:val="center"/>
              <w:textAlignment w:val="center"/>
              <w:rPr>
                <w:rFonts w:hint="eastAsia"/>
                <w:b/>
                <w:bCs/>
                <w:color w:val="auto"/>
                <w:u w:val="single"/>
                <w:lang w:val="en-US" w:eastAsia="zh-CN"/>
              </w:rPr>
            </w:pPr>
            <w:r>
              <w:rPr>
                <w:rFonts w:hint="eastAsia"/>
                <w:b/>
                <w:bCs/>
                <w:color w:val="auto"/>
                <w:u w:val="single"/>
                <w:lang w:val="en-US" w:eastAsia="zh-CN"/>
              </w:rPr>
              <w:t>化纤厂总排口（已建）</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66CC8F7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7E4DF9F6">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5A7710E6">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7D272EC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66D3DE9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321B841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1CBF2E9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r>
      <w:tr w14:paraId="6F3E6D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406" w:type="pct"/>
            <w:gridSpan w:val="2"/>
            <w:tcBorders>
              <w:top w:val="nil"/>
              <w:left w:val="single" w:color="000000" w:sz="8" w:space="0"/>
              <w:bottom w:val="single" w:color="000000" w:sz="8" w:space="0"/>
              <w:right w:val="single" w:color="000000" w:sz="8" w:space="0"/>
            </w:tcBorders>
            <w:shd w:val="clear" w:color="auto" w:fill="auto"/>
            <w:vAlign w:val="center"/>
          </w:tcPr>
          <w:p w14:paraId="62FEF17E">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本项目建成后全厂总排口（已建</w:t>
            </w:r>
            <w:r>
              <w:rPr>
                <w:rFonts w:hint="default"/>
                <w:b/>
                <w:bCs/>
                <w:color w:val="auto"/>
                <w:u w:val="single"/>
                <w:lang w:val="en-US" w:eastAsia="zh-CN"/>
              </w:rPr>
              <w:t>+</w:t>
            </w:r>
            <w:r>
              <w:rPr>
                <w:rFonts w:hint="eastAsia"/>
                <w:b/>
                <w:bCs/>
                <w:color w:val="auto"/>
                <w:u w:val="single"/>
                <w:lang w:val="en-US" w:eastAsia="zh-CN"/>
              </w:rPr>
              <w:t>本项目）</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0494A70F">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850" w:type="dxa"/>
            <w:tcBorders>
              <w:top w:val="nil"/>
              <w:left w:val="single" w:color="000000" w:sz="8" w:space="0"/>
              <w:bottom w:val="single" w:color="000000" w:sz="8" w:space="0"/>
              <w:right w:val="single" w:color="000000" w:sz="8" w:space="0"/>
            </w:tcBorders>
            <w:shd w:val="clear" w:color="auto" w:fill="auto"/>
            <w:vAlign w:val="center"/>
          </w:tcPr>
          <w:p w14:paraId="61A34AE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850" w:type="dxa"/>
            <w:tcBorders>
              <w:top w:val="nil"/>
              <w:left w:val="single" w:color="000000" w:sz="8" w:space="0"/>
              <w:bottom w:val="single" w:color="000000" w:sz="8" w:space="0"/>
              <w:right w:val="single" w:color="000000" w:sz="8" w:space="0"/>
            </w:tcBorders>
            <w:shd w:val="clear" w:color="auto" w:fill="auto"/>
            <w:vAlign w:val="center"/>
          </w:tcPr>
          <w:p w14:paraId="693DDDF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850" w:type="dxa"/>
            <w:tcBorders>
              <w:top w:val="nil"/>
              <w:left w:val="single" w:color="000000" w:sz="8" w:space="0"/>
              <w:bottom w:val="single" w:color="000000" w:sz="8" w:space="0"/>
              <w:right w:val="single" w:color="000000" w:sz="8" w:space="0"/>
            </w:tcBorders>
            <w:shd w:val="clear" w:color="auto" w:fill="auto"/>
            <w:vAlign w:val="center"/>
          </w:tcPr>
          <w:p w14:paraId="6D57D7D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850" w:type="dxa"/>
            <w:tcBorders>
              <w:top w:val="nil"/>
              <w:left w:val="single" w:color="000000" w:sz="8" w:space="0"/>
              <w:bottom w:val="single" w:color="000000" w:sz="8" w:space="0"/>
              <w:right w:val="single" w:color="000000" w:sz="8" w:space="0"/>
            </w:tcBorders>
            <w:shd w:val="clear" w:color="auto" w:fill="auto"/>
            <w:vAlign w:val="center"/>
          </w:tcPr>
          <w:p w14:paraId="34A6F8CD">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850" w:type="dxa"/>
            <w:tcBorders>
              <w:top w:val="nil"/>
              <w:left w:val="single" w:color="000000" w:sz="8" w:space="0"/>
              <w:bottom w:val="single" w:color="000000" w:sz="8" w:space="0"/>
              <w:right w:val="single" w:color="000000" w:sz="8" w:space="0"/>
            </w:tcBorders>
            <w:shd w:val="clear" w:color="auto" w:fill="auto"/>
            <w:vAlign w:val="center"/>
          </w:tcPr>
          <w:p w14:paraId="18D77876">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850" w:type="dxa"/>
            <w:tcBorders>
              <w:top w:val="nil"/>
              <w:left w:val="single" w:color="000000" w:sz="8" w:space="0"/>
              <w:bottom w:val="single" w:color="000000" w:sz="8" w:space="0"/>
              <w:right w:val="single" w:color="000000" w:sz="8" w:space="0"/>
            </w:tcBorders>
            <w:shd w:val="clear" w:color="auto" w:fill="auto"/>
            <w:vAlign w:val="center"/>
          </w:tcPr>
          <w:p w14:paraId="138EDD3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r>
      <w:tr w14:paraId="57A768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406" w:type="pct"/>
            <w:gridSpan w:val="2"/>
            <w:tcBorders>
              <w:top w:val="nil"/>
              <w:left w:val="single" w:color="000000" w:sz="8" w:space="0"/>
              <w:bottom w:val="single" w:color="000000" w:sz="8" w:space="0"/>
              <w:right w:val="single" w:color="000000" w:sz="8" w:space="0"/>
            </w:tcBorders>
            <w:shd w:val="clear" w:color="auto" w:fill="auto"/>
            <w:vAlign w:val="center"/>
          </w:tcPr>
          <w:p w14:paraId="1F671A3D">
            <w:pPr>
              <w:pStyle w:val="182"/>
              <w:keepNext w:val="0"/>
              <w:keepLines w:val="0"/>
              <w:widowControl/>
              <w:suppressLineNumbers w:val="0"/>
              <w:jc w:val="center"/>
              <w:textAlignment w:val="center"/>
              <w:rPr>
                <w:rFonts w:hint="eastAsia"/>
                <w:b/>
                <w:bCs/>
                <w:color w:val="auto"/>
                <w:u w:val="single"/>
                <w:lang w:val="en-US" w:eastAsia="zh-CN"/>
              </w:rPr>
            </w:pPr>
            <w:r>
              <w:rPr>
                <w:rFonts w:hint="eastAsia"/>
                <w:b/>
                <w:bCs/>
                <w:color w:val="auto"/>
                <w:u w:val="single"/>
                <w:lang w:val="en-US" w:eastAsia="zh-CN"/>
              </w:rPr>
              <w:t>《污水综合排放标准》</w:t>
            </w:r>
            <w:r>
              <w:rPr>
                <w:rFonts w:hint="default"/>
                <w:b/>
                <w:bCs/>
                <w:color w:val="auto"/>
                <w:u w:val="single"/>
                <w:lang w:val="en-US" w:eastAsia="zh-CN"/>
              </w:rPr>
              <w:t>（GB8978-1996）</w:t>
            </w:r>
            <w:r>
              <w:rPr>
                <w:rFonts w:hint="eastAsia"/>
                <w:b/>
                <w:bCs/>
                <w:color w:val="auto"/>
                <w:u w:val="single"/>
                <w:lang w:val="en-US" w:eastAsia="zh-CN"/>
              </w:rPr>
              <w:t>表4</w:t>
            </w:r>
            <w:r>
              <w:rPr>
                <w:rFonts w:hint="default"/>
                <w:b/>
                <w:bCs/>
                <w:color w:val="auto"/>
                <w:u w:val="single"/>
                <w:lang w:val="en-US" w:eastAsia="zh-CN"/>
              </w:rPr>
              <w:t>二级</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4AC082D6">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07EAD19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1872A06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43C27C42">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0AAEC314">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3389815E">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59AFB499">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u w:val="single"/>
                <w:lang w:val="en-US" w:eastAsia="zh-CN"/>
              </w:rPr>
            </w:pPr>
            <w:r>
              <w:rPr>
                <w:rFonts w:hint="eastAsia"/>
                <w:b/>
                <w:bCs/>
                <w:color w:val="auto"/>
                <w:u w:val="single"/>
                <w:lang w:val="en-US" w:eastAsia="zh-CN"/>
              </w:rPr>
              <w:t>*</w:t>
            </w:r>
          </w:p>
        </w:tc>
      </w:tr>
      <w:tr w14:paraId="3F35E5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406" w:type="pct"/>
            <w:gridSpan w:val="2"/>
            <w:tcBorders>
              <w:top w:val="nil"/>
              <w:left w:val="single" w:color="000000" w:sz="8" w:space="0"/>
              <w:bottom w:val="single" w:color="000000" w:sz="8" w:space="0"/>
              <w:right w:val="single" w:color="000000" w:sz="8" w:space="0"/>
            </w:tcBorders>
            <w:shd w:val="clear" w:color="auto" w:fill="auto"/>
            <w:vAlign w:val="center"/>
          </w:tcPr>
          <w:p w14:paraId="6EBE1056">
            <w:pPr>
              <w:pStyle w:val="182"/>
              <w:keepNext w:val="0"/>
              <w:keepLines w:val="0"/>
              <w:widowControl/>
              <w:suppressLineNumbers w:val="0"/>
              <w:jc w:val="center"/>
              <w:textAlignment w:val="center"/>
              <w:rPr>
                <w:rFonts w:hint="eastAsia"/>
                <w:b/>
                <w:bCs/>
                <w:color w:val="auto"/>
                <w:u w:val="single"/>
                <w:lang w:val="en-US" w:eastAsia="zh-CN"/>
              </w:rPr>
            </w:pPr>
            <w:r>
              <w:rPr>
                <w:rFonts w:hint="eastAsia"/>
                <w:b/>
                <w:bCs/>
                <w:color w:val="auto"/>
                <w:u w:val="single"/>
                <w:lang w:val="en-US" w:eastAsia="zh-CN"/>
              </w:rPr>
              <w:t>与</w:t>
            </w:r>
            <w:r>
              <w:rPr>
                <w:rFonts w:hint="default"/>
                <w:b/>
                <w:bCs/>
                <w:color w:val="auto"/>
                <w:u w:val="single"/>
                <w:lang w:val="en-US" w:eastAsia="zh-CN"/>
              </w:rPr>
              <w:t>小店污水处理厂收水</w:t>
            </w:r>
            <w:r>
              <w:rPr>
                <w:rFonts w:hint="eastAsia"/>
                <w:b/>
                <w:bCs/>
                <w:color w:val="auto"/>
                <w:u w:val="single"/>
                <w:lang w:val="en-US" w:eastAsia="zh-CN"/>
              </w:rPr>
              <w:t>协议</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273D26DF">
            <w:pPr>
              <w:keepNext w:val="0"/>
              <w:keepLines w:val="0"/>
              <w:widowControl/>
              <w:suppressLineNumbers w:val="0"/>
              <w:bidi w:val="0"/>
              <w:ind w:firstLine="482" w:firstLineChars="200"/>
              <w:jc w:val="center"/>
              <w:textAlignment w:val="center"/>
              <w:rPr>
                <w:rFonts w:hint="default"/>
                <w:b/>
                <w:bCs/>
                <w:color w:val="auto"/>
                <w:u w:val="single"/>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7EAFE301">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13A25536">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2F1050AC">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6EDB0CE4">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5C06D538">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1202B00D">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r>
      <w:tr w14:paraId="696473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406" w:type="pct"/>
            <w:gridSpan w:val="2"/>
            <w:tcBorders>
              <w:top w:val="nil"/>
              <w:left w:val="single" w:color="000000" w:sz="8" w:space="0"/>
              <w:bottom w:val="single" w:color="000000" w:sz="8" w:space="0"/>
              <w:right w:val="single" w:color="000000" w:sz="8" w:space="0"/>
            </w:tcBorders>
            <w:shd w:val="clear" w:color="auto" w:fill="auto"/>
            <w:vAlign w:val="center"/>
          </w:tcPr>
          <w:p w14:paraId="4C1D7875">
            <w:pPr>
              <w:pStyle w:val="182"/>
              <w:keepNext w:val="0"/>
              <w:keepLines w:val="0"/>
              <w:widowControl/>
              <w:suppressLineNumbers w:val="0"/>
              <w:jc w:val="center"/>
              <w:textAlignment w:val="center"/>
              <w:rPr>
                <w:rFonts w:hint="default"/>
                <w:b/>
                <w:bCs/>
                <w:color w:val="auto"/>
                <w:u w:val="single"/>
                <w:lang w:val="en-US" w:eastAsia="zh-CN"/>
              </w:rPr>
            </w:pPr>
            <w:r>
              <w:rPr>
                <w:rFonts w:hint="eastAsia"/>
                <w:b/>
                <w:bCs/>
                <w:color w:val="auto"/>
                <w:u w:val="single"/>
                <w:lang w:val="en-US" w:eastAsia="zh-CN"/>
              </w:rPr>
              <w:t>小店污水处理厂收水标准</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01C20F88">
            <w:pPr>
              <w:keepNext w:val="0"/>
              <w:keepLines w:val="0"/>
              <w:widowControl/>
              <w:suppressLineNumbers w:val="0"/>
              <w:bidi w:val="0"/>
              <w:ind w:firstLine="482" w:firstLineChars="200"/>
              <w:jc w:val="center"/>
              <w:textAlignment w:val="center"/>
              <w:rPr>
                <w:rFonts w:hint="default"/>
                <w:b/>
                <w:bCs/>
                <w:color w:val="auto"/>
                <w:u w:val="single"/>
                <w:lang w:val="en-US" w:eastAsia="zh-CN"/>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420345AA">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07D016AE">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519607C1">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4E49AD42">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25850FD1">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172C8A47">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r>
      <w:tr w14:paraId="048F12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406" w:type="pct"/>
            <w:gridSpan w:val="2"/>
            <w:tcBorders>
              <w:top w:val="nil"/>
              <w:left w:val="single" w:color="000000" w:sz="8" w:space="0"/>
              <w:bottom w:val="single" w:color="000000" w:sz="8" w:space="0"/>
              <w:right w:val="single" w:color="000000" w:sz="8" w:space="0"/>
            </w:tcBorders>
            <w:shd w:val="clear" w:color="auto" w:fill="auto"/>
            <w:vAlign w:val="center"/>
          </w:tcPr>
          <w:p w14:paraId="748BF74B">
            <w:pPr>
              <w:pStyle w:val="182"/>
              <w:keepNext w:val="0"/>
              <w:keepLines w:val="0"/>
              <w:widowControl/>
              <w:suppressLineNumbers w:val="0"/>
              <w:jc w:val="center"/>
              <w:textAlignment w:val="center"/>
              <w:rPr>
                <w:rFonts w:hint="eastAsia"/>
                <w:b/>
                <w:bCs/>
                <w:color w:val="auto"/>
                <w:u w:val="single"/>
                <w:lang w:val="en-US" w:eastAsia="zh-CN"/>
              </w:rPr>
            </w:pPr>
            <w:r>
              <w:rPr>
                <w:rFonts w:hint="default"/>
                <w:b/>
                <w:bCs/>
                <w:color w:val="auto"/>
                <w:u w:val="single"/>
                <w:lang w:val="en-US" w:eastAsia="zh-CN"/>
              </w:rPr>
              <w:t>总排口许可排放浓度</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6C664FDA">
            <w:pPr>
              <w:keepNext w:val="0"/>
              <w:keepLines w:val="0"/>
              <w:widowControl/>
              <w:suppressLineNumbers w:val="0"/>
              <w:bidi w:val="0"/>
              <w:ind w:firstLine="482" w:firstLineChars="200"/>
              <w:jc w:val="center"/>
              <w:textAlignment w:val="center"/>
              <w:rPr>
                <w:rFonts w:hint="default"/>
                <w:b/>
                <w:bCs/>
                <w:color w:val="auto"/>
                <w:u w:val="single"/>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6C5405FC">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7A3A2485">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1E1AF1E7">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72D5274F">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4473CF04">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689DB15B">
            <w:pPr>
              <w:keepNext w:val="0"/>
              <w:keepLines w:val="0"/>
              <w:widowControl/>
              <w:suppressLineNumbers w:val="0"/>
              <w:bidi w:val="0"/>
              <w:ind w:firstLine="482" w:firstLineChars="200"/>
              <w:jc w:val="center"/>
              <w:textAlignment w:val="center"/>
              <w:rPr>
                <w:rFonts w:hint="default" w:cs="Times New Roman"/>
                <w:b/>
                <w:bCs/>
                <w:color w:val="auto"/>
                <w:kern w:val="2"/>
                <w:sz w:val="21"/>
                <w:szCs w:val="21"/>
                <w:u w:val="single"/>
                <w:lang w:val="en-US" w:eastAsia="zh-CN" w:bidi="ar-SA"/>
              </w:rPr>
            </w:pPr>
            <w:r>
              <w:rPr>
                <w:rFonts w:hint="eastAsia"/>
                <w:b/>
                <w:bCs/>
                <w:color w:val="auto"/>
                <w:u w:val="single"/>
                <w:lang w:val="en-US" w:eastAsia="zh-CN"/>
              </w:rPr>
              <w:t>*</w:t>
            </w:r>
          </w:p>
        </w:tc>
      </w:tr>
      <w:tr w14:paraId="69FCF2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406" w:type="pct"/>
            <w:gridSpan w:val="2"/>
            <w:tcBorders>
              <w:top w:val="nil"/>
              <w:left w:val="single" w:color="000000" w:sz="8" w:space="0"/>
              <w:bottom w:val="single" w:color="000000" w:sz="8" w:space="0"/>
              <w:right w:val="single" w:color="000000" w:sz="8" w:space="0"/>
            </w:tcBorders>
            <w:shd w:val="clear" w:color="auto" w:fill="auto"/>
            <w:vAlign w:val="center"/>
          </w:tcPr>
          <w:p w14:paraId="4B15A744">
            <w:pPr>
              <w:pStyle w:val="182"/>
              <w:keepNext w:val="0"/>
              <w:keepLines w:val="0"/>
              <w:widowControl/>
              <w:suppressLineNumbers w:val="0"/>
              <w:jc w:val="center"/>
              <w:textAlignment w:val="center"/>
              <w:rPr>
                <w:rFonts w:hint="eastAsia"/>
                <w:b/>
                <w:bCs/>
                <w:color w:val="auto"/>
                <w:u w:val="single"/>
              </w:rPr>
            </w:pPr>
            <w:r>
              <w:rPr>
                <w:rFonts w:hint="eastAsia"/>
                <w:b/>
                <w:bCs/>
                <w:color w:val="auto"/>
                <w:u w:val="single"/>
                <w:lang w:val="en-US" w:eastAsia="zh-CN"/>
              </w:rPr>
              <w:t>达标情况</w:t>
            </w:r>
          </w:p>
        </w:tc>
        <w:tc>
          <w:tcPr>
            <w:tcW w:w="580" w:type="pct"/>
            <w:tcBorders>
              <w:top w:val="nil"/>
              <w:left w:val="single" w:color="000000" w:sz="8" w:space="0"/>
              <w:bottom w:val="single" w:color="000000" w:sz="8" w:space="0"/>
              <w:right w:val="single" w:color="000000" w:sz="8" w:space="0"/>
            </w:tcBorders>
            <w:shd w:val="clear" w:color="auto" w:fill="auto"/>
            <w:vAlign w:val="center"/>
          </w:tcPr>
          <w:p w14:paraId="4EFB66BE">
            <w:pPr>
              <w:keepNext w:val="0"/>
              <w:keepLines w:val="0"/>
              <w:widowControl/>
              <w:suppressLineNumbers w:val="0"/>
              <w:bidi w:val="0"/>
              <w:ind w:firstLine="482" w:firstLineChars="200"/>
              <w:jc w:val="center"/>
              <w:textAlignment w:val="center"/>
              <w:rPr>
                <w:rFonts w:hint="default"/>
                <w:b/>
                <w:bCs/>
                <w:color w:val="auto"/>
                <w:u w:val="single"/>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1D066866">
            <w:pPr>
              <w:keepNext w:val="0"/>
              <w:keepLines w:val="0"/>
              <w:widowControl/>
              <w:suppressLineNumbers w:val="0"/>
              <w:bidi w:val="0"/>
              <w:ind w:firstLine="482" w:firstLineChars="200"/>
              <w:jc w:val="center"/>
              <w:textAlignment w:val="center"/>
              <w:rPr>
                <w:rFonts w:hint="eastAsia"/>
                <w:b/>
                <w:bCs/>
                <w:color w:val="auto"/>
                <w:u w:val="single"/>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7E18E3BC">
            <w:pPr>
              <w:keepNext w:val="0"/>
              <w:keepLines w:val="0"/>
              <w:widowControl/>
              <w:suppressLineNumbers w:val="0"/>
              <w:bidi w:val="0"/>
              <w:ind w:firstLine="482" w:firstLineChars="200"/>
              <w:jc w:val="center"/>
              <w:textAlignment w:val="center"/>
              <w:rPr>
                <w:rFonts w:hint="eastAsia"/>
                <w:b/>
                <w:bCs/>
                <w:color w:val="auto"/>
                <w:u w:val="single"/>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289C8CF0">
            <w:pPr>
              <w:keepNext w:val="0"/>
              <w:keepLines w:val="0"/>
              <w:widowControl/>
              <w:suppressLineNumbers w:val="0"/>
              <w:bidi w:val="0"/>
              <w:ind w:firstLine="482" w:firstLineChars="200"/>
              <w:jc w:val="center"/>
              <w:textAlignment w:val="center"/>
              <w:rPr>
                <w:rFonts w:hint="eastAsia"/>
                <w:b/>
                <w:bCs/>
                <w:color w:val="auto"/>
                <w:u w:val="single"/>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31EC535B">
            <w:pPr>
              <w:keepNext w:val="0"/>
              <w:keepLines w:val="0"/>
              <w:widowControl/>
              <w:suppressLineNumbers w:val="0"/>
              <w:bidi w:val="0"/>
              <w:ind w:firstLine="482" w:firstLineChars="200"/>
              <w:jc w:val="center"/>
              <w:textAlignment w:val="center"/>
              <w:rPr>
                <w:rFonts w:hint="eastAsia"/>
                <w:b/>
                <w:bCs/>
                <w:color w:val="auto"/>
                <w:u w:val="single"/>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2D462C06">
            <w:pPr>
              <w:keepNext w:val="0"/>
              <w:keepLines w:val="0"/>
              <w:widowControl/>
              <w:suppressLineNumbers w:val="0"/>
              <w:bidi w:val="0"/>
              <w:ind w:firstLine="482" w:firstLineChars="200"/>
              <w:jc w:val="center"/>
              <w:textAlignment w:val="center"/>
              <w:rPr>
                <w:rFonts w:hint="eastAsia"/>
                <w:b/>
                <w:bCs/>
                <w:color w:val="auto"/>
                <w:u w:val="single"/>
              </w:rPr>
            </w:pPr>
            <w:r>
              <w:rPr>
                <w:rFonts w:hint="eastAsia"/>
                <w:b/>
                <w:bCs/>
                <w:color w:val="auto"/>
                <w:u w:val="single"/>
                <w:lang w:val="en-US" w:eastAsia="zh-CN"/>
              </w:rPr>
              <w:t>*</w:t>
            </w:r>
          </w:p>
        </w:tc>
        <w:tc>
          <w:tcPr>
            <w:tcW w:w="502" w:type="pct"/>
            <w:tcBorders>
              <w:top w:val="nil"/>
              <w:left w:val="single" w:color="000000" w:sz="8" w:space="0"/>
              <w:bottom w:val="single" w:color="000000" w:sz="8" w:space="0"/>
              <w:right w:val="single" w:color="000000" w:sz="8" w:space="0"/>
            </w:tcBorders>
            <w:shd w:val="clear" w:color="auto" w:fill="auto"/>
            <w:vAlign w:val="center"/>
          </w:tcPr>
          <w:p w14:paraId="244F5281">
            <w:pPr>
              <w:keepNext w:val="0"/>
              <w:keepLines w:val="0"/>
              <w:widowControl/>
              <w:suppressLineNumbers w:val="0"/>
              <w:bidi w:val="0"/>
              <w:ind w:firstLine="482" w:firstLineChars="200"/>
              <w:jc w:val="center"/>
              <w:textAlignment w:val="center"/>
              <w:rPr>
                <w:rFonts w:hint="eastAsia"/>
                <w:b/>
                <w:bCs/>
                <w:color w:val="auto"/>
                <w:u w:val="single"/>
              </w:rPr>
            </w:pPr>
            <w:r>
              <w:rPr>
                <w:rFonts w:hint="eastAsia"/>
                <w:b/>
                <w:bCs/>
                <w:color w:val="auto"/>
                <w:u w:val="single"/>
                <w:lang w:val="en-US" w:eastAsia="zh-CN"/>
              </w:rPr>
              <w:t>*</w:t>
            </w:r>
          </w:p>
        </w:tc>
      </w:tr>
    </w:tbl>
    <w:p w14:paraId="75628C6E">
      <w:pPr>
        <w:bidi w:val="0"/>
        <w:rPr>
          <w:rFonts w:hint="eastAsia"/>
          <w:b w:val="0"/>
          <w:bCs w:val="0"/>
          <w:i w:val="0"/>
          <w:iCs w:val="0"/>
          <w:color w:val="auto"/>
          <w:u w:val="none"/>
        </w:rPr>
      </w:pPr>
      <w:r>
        <w:rPr>
          <w:rFonts w:hint="eastAsia"/>
          <w:b/>
          <w:bCs/>
          <w:i w:val="0"/>
          <w:iCs w:val="0"/>
          <w:color w:val="auto"/>
          <w:u w:val="single"/>
        </w:rPr>
        <w:t>由上表可知，主要污染物COD、BOD</w:t>
      </w:r>
      <w:r>
        <w:rPr>
          <w:rFonts w:hint="eastAsia"/>
          <w:b/>
          <w:bCs/>
          <w:i w:val="0"/>
          <w:iCs w:val="0"/>
          <w:color w:val="auto"/>
          <w:u w:val="single"/>
          <w:vertAlign w:val="subscript"/>
        </w:rPr>
        <w:t>5</w:t>
      </w:r>
      <w:r>
        <w:rPr>
          <w:rFonts w:hint="eastAsia"/>
          <w:b/>
          <w:bCs/>
          <w:i w:val="0"/>
          <w:iCs w:val="0"/>
          <w:color w:val="auto"/>
          <w:u w:val="single"/>
        </w:rPr>
        <w:t>、SS、NH</w:t>
      </w:r>
      <w:r>
        <w:rPr>
          <w:rFonts w:hint="eastAsia"/>
          <w:b/>
          <w:bCs/>
          <w:i w:val="0"/>
          <w:iCs w:val="0"/>
          <w:color w:val="auto"/>
          <w:u w:val="single"/>
          <w:vertAlign w:val="subscript"/>
        </w:rPr>
        <w:t>3</w:t>
      </w:r>
      <w:r>
        <w:rPr>
          <w:rFonts w:hint="eastAsia"/>
          <w:b/>
          <w:bCs/>
          <w:i w:val="0"/>
          <w:iCs w:val="0"/>
          <w:color w:val="auto"/>
          <w:u w:val="single"/>
        </w:rPr>
        <w:t>-N、TN、TP等均能够满足</w:t>
      </w:r>
      <w:r>
        <w:rPr>
          <w:rFonts w:hint="eastAsia"/>
          <w:b/>
          <w:bCs/>
          <w:i w:val="0"/>
          <w:iCs w:val="0"/>
          <w:color w:val="auto"/>
          <w:u w:val="single"/>
          <w:lang w:val="en-US" w:eastAsia="zh-CN"/>
        </w:rPr>
        <w:t>《污水综合排放标准》（GB8978-1996）二级（化纤浆粕工业）标准、与小店污水处理厂收水协议及小店污水处理厂收水要求</w:t>
      </w:r>
      <w:r>
        <w:rPr>
          <w:rFonts w:hint="eastAsia"/>
          <w:b/>
          <w:bCs/>
          <w:i w:val="0"/>
          <w:iCs w:val="0"/>
          <w:color w:val="auto"/>
          <w:u w:val="single"/>
          <w:lang w:eastAsia="zh-CN"/>
        </w:rPr>
        <w:t>：</w:t>
      </w:r>
      <w:r>
        <w:rPr>
          <w:rFonts w:hint="eastAsia"/>
          <w:b/>
          <w:bCs/>
          <w:i w:val="0"/>
          <w:iCs w:val="0"/>
          <w:color w:val="auto"/>
          <w:u w:val="single"/>
        </w:rPr>
        <w:t>COD 300mg/L、NH</w:t>
      </w:r>
      <w:r>
        <w:rPr>
          <w:rFonts w:hint="eastAsia"/>
          <w:b/>
          <w:bCs/>
          <w:i w:val="0"/>
          <w:iCs w:val="0"/>
          <w:color w:val="auto"/>
          <w:u w:val="single"/>
          <w:vertAlign w:val="subscript"/>
        </w:rPr>
        <w:t>3</w:t>
      </w:r>
      <w:r>
        <w:rPr>
          <w:rFonts w:hint="eastAsia"/>
          <w:b/>
          <w:bCs/>
          <w:i w:val="0"/>
          <w:iCs w:val="0"/>
          <w:color w:val="auto"/>
          <w:u w:val="single"/>
        </w:rPr>
        <w:t xml:space="preserve">-N </w:t>
      </w:r>
      <w:r>
        <w:rPr>
          <w:rFonts w:hint="eastAsia"/>
          <w:b/>
          <w:bCs/>
          <w:i w:val="0"/>
          <w:iCs w:val="0"/>
          <w:color w:val="auto"/>
          <w:u w:val="single"/>
          <w:lang w:val="en-US" w:eastAsia="zh-CN"/>
        </w:rPr>
        <w:t>1</w:t>
      </w:r>
      <w:r>
        <w:rPr>
          <w:rFonts w:hint="eastAsia"/>
          <w:b/>
          <w:bCs/>
          <w:i w:val="0"/>
          <w:iCs w:val="0"/>
          <w:color w:val="auto"/>
          <w:u w:val="single"/>
        </w:rPr>
        <w:t>5mg/L、TP 1.0mg/L、TN</w:t>
      </w:r>
      <w:r>
        <w:rPr>
          <w:rFonts w:hint="eastAsia"/>
          <w:b/>
          <w:bCs/>
          <w:i w:val="0"/>
          <w:iCs w:val="0"/>
          <w:color w:val="auto"/>
          <w:u w:val="single"/>
          <w:lang w:val="en-US" w:eastAsia="zh-CN"/>
        </w:rPr>
        <w:t xml:space="preserve"> </w:t>
      </w:r>
      <w:r>
        <w:rPr>
          <w:rFonts w:hint="eastAsia"/>
          <w:b/>
          <w:bCs/>
          <w:i w:val="0"/>
          <w:iCs w:val="0"/>
          <w:color w:val="auto"/>
          <w:u w:val="single"/>
        </w:rPr>
        <w:t>40mg/L</w:t>
      </w:r>
      <w:r>
        <w:rPr>
          <w:rFonts w:hint="eastAsia"/>
          <w:b/>
          <w:bCs/>
          <w:i w:val="0"/>
          <w:iCs w:val="0"/>
          <w:color w:val="auto"/>
          <w:u w:val="single"/>
          <w:lang w:eastAsia="zh-CN"/>
        </w:rPr>
        <w:t>、</w:t>
      </w:r>
      <w:r>
        <w:rPr>
          <w:rFonts w:hint="eastAsia"/>
          <w:b/>
          <w:bCs/>
          <w:i w:val="0"/>
          <w:iCs w:val="0"/>
          <w:color w:val="auto"/>
          <w:u w:val="single"/>
        </w:rPr>
        <w:t>SS 150mg/L和BOD</w:t>
      </w:r>
      <w:r>
        <w:rPr>
          <w:rFonts w:hint="eastAsia"/>
          <w:b/>
          <w:bCs/>
          <w:i w:val="0"/>
          <w:iCs w:val="0"/>
          <w:color w:val="auto"/>
          <w:u w:val="single"/>
          <w:vertAlign w:val="subscript"/>
        </w:rPr>
        <w:t>5</w:t>
      </w:r>
      <w:r>
        <w:rPr>
          <w:rFonts w:hint="eastAsia"/>
          <w:b/>
          <w:bCs/>
          <w:i w:val="0"/>
          <w:iCs w:val="0"/>
          <w:color w:val="auto"/>
          <w:u w:val="single"/>
        </w:rPr>
        <w:t xml:space="preserve"> 100mg/L的标准。</w:t>
      </w:r>
    </w:p>
    <w:p w14:paraId="77B758E3">
      <w:pPr>
        <w:bidi w:val="0"/>
        <w:rPr>
          <w:color w:val="auto"/>
        </w:rPr>
      </w:pPr>
      <w:r>
        <w:rPr>
          <w:rFonts w:hint="eastAsia"/>
          <w:color w:val="auto"/>
        </w:rPr>
        <w:t>（</w:t>
      </w:r>
      <w:r>
        <w:rPr>
          <w:color w:val="auto"/>
        </w:rPr>
        <w:t>3</w:t>
      </w:r>
      <w:r>
        <w:rPr>
          <w:rFonts w:hint="eastAsia"/>
          <w:color w:val="auto"/>
        </w:rPr>
        <w:t>）废水污染物产排量</w:t>
      </w:r>
    </w:p>
    <w:p w14:paraId="4E0E58ED">
      <w:pPr>
        <w:bidi w:val="0"/>
        <w:rPr>
          <w:rFonts w:hint="eastAsia"/>
          <w:color w:val="auto"/>
          <w:highlight w:val="none"/>
        </w:rPr>
      </w:pPr>
      <w:r>
        <w:rPr>
          <w:rFonts w:hint="eastAsia"/>
          <w:color w:val="auto"/>
          <w:highlight w:val="none"/>
        </w:rPr>
        <w:t>本项目排放的生产废水排入</w:t>
      </w:r>
      <w:r>
        <w:rPr>
          <w:rFonts w:hint="eastAsia"/>
          <w:b w:val="0"/>
          <w:bCs w:val="0"/>
          <w:color w:val="auto"/>
          <w:u w:val="none"/>
          <w:lang w:val="en-US" w:eastAsia="zh-CN"/>
        </w:rPr>
        <w:t>依托厂区污水处理站氨纶废水处理单元</w:t>
      </w:r>
      <w:r>
        <w:rPr>
          <w:rFonts w:hint="eastAsia"/>
          <w:color w:val="auto"/>
          <w:highlight w:val="none"/>
        </w:rPr>
        <w:t>进行处理，达标后经管网排入新乡市小店污水处理厂进一步处理。小店污水处理厂排水水质需满足COD 40mg/L、BOD</w:t>
      </w:r>
      <w:r>
        <w:rPr>
          <w:rFonts w:hint="eastAsia"/>
          <w:color w:val="auto"/>
          <w:highlight w:val="none"/>
          <w:vertAlign w:val="subscript"/>
        </w:rPr>
        <w:t>5</w:t>
      </w:r>
      <w:r>
        <w:rPr>
          <w:rFonts w:hint="eastAsia"/>
          <w:color w:val="auto"/>
          <w:highlight w:val="none"/>
        </w:rPr>
        <w:t xml:space="preserve"> 10mg/L、NH</w:t>
      </w:r>
      <w:r>
        <w:rPr>
          <w:rFonts w:hint="eastAsia"/>
          <w:color w:val="auto"/>
          <w:highlight w:val="none"/>
          <w:vertAlign w:val="subscript"/>
        </w:rPr>
        <w:t>3</w:t>
      </w:r>
      <w:r>
        <w:rPr>
          <w:rFonts w:hint="eastAsia"/>
          <w:color w:val="auto"/>
          <w:highlight w:val="none"/>
        </w:rPr>
        <w:t>-N 2mg/</w:t>
      </w:r>
      <w:r>
        <w:rPr>
          <w:color w:val="auto"/>
          <w:highlight w:val="none"/>
        </w:rPr>
        <w:t>L</w:t>
      </w:r>
      <w:r>
        <w:rPr>
          <w:rFonts w:hint="eastAsia"/>
          <w:color w:val="auto"/>
          <w:highlight w:val="none"/>
        </w:rPr>
        <w:t>、TN 15mg/</w:t>
      </w:r>
      <w:r>
        <w:rPr>
          <w:color w:val="auto"/>
          <w:highlight w:val="none"/>
        </w:rPr>
        <w:t>L</w:t>
      </w:r>
      <w:r>
        <w:rPr>
          <w:rFonts w:hint="eastAsia"/>
          <w:color w:val="auto"/>
          <w:highlight w:val="none"/>
        </w:rPr>
        <w:t>、TP 0.4mg/</w:t>
      </w:r>
      <w:r>
        <w:rPr>
          <w:color w:val="auto"/>
          <w:highlight w:val="none"/>
        </w:rPr>
        <w:t>L</w:t>
      </w:r>
      <w:r>
        <w:rPr>
          <w:rFonts w:hint="eastAsia"/>
          <w:color w:val="auto"/>
          <w:highlight w:val="none"/>
        </w:rPr>
        <w:t>、SS 10mg/L的排放标准。</w:t>
      </w:r>
    </w:p>
    <w:p w14:paraId="6AB0C4AC">
      <w:pPr>
        <w:bidi w:val="0"/>
        <w:rPr>
          <w:rFonts w:hint="eastAsia"/>
          <w:color w:val="auto"/>
          <w:highlight w:val="none"/>
        </w:rPr>
      </w:pPr>
      <w:r>
        <w:rPr>
          <w:rFonts w:hint="eastAsia"/>
          <w:color w:val="auto"/>
          <w:highlight w:val="none"/>
        </w:rPr>
        <w:t>项目年工作330天，总排口排放量详见下表。</w:t>
      </w:r>
    </w:p>
    <w:p w14:paraId="1E5D60A1">
      <w:pPr>
        <w:pStyle w:val="10"/>
        <w:bidi w:val="0"/>
      </w:pPr>
      <w:r>
        <w:t xml:space="preserve">表 </w:t>
      </w:r>
      <w:r>
        <w:fldChar w:fldCharType="begin"/>
      </w:r>
      <w:r>
        <w:instrText xml:space="preserve"> STYLEREF 2 \s </w:instrText>
      </w:r>
      <w:r>
        <w:fldChar w:fldCharType="separate"/>
      </w:r>
      <w:r>
        <w:t>4.6</w:t>
      </w:r>
      <w:r>
        <w:fldChar w:fldCharType="end"/>
      </w:r>
      <w:r>
        <w:rPr>
          <w:rFonts w:hint="eastAsia"/>
          <w:lang w:eastAsia="zh-CN"/>
        </w:rPr>
        <w:t>-</w:t>
      </w:r>
      <w:r>
        <w:fldChar w:fldCharType="begin"/>
      </w:r>
      <w:r>
        <w:instrText xml:space="preserve"> SEQ 表 \* ARABIC \s 2 </w:instrText>
      </w:r>
      <w:r>
        <w:fldChar w:fldCharType="separate"/>
      </w:r>
      <w:r>
        <w:t>9</w:t>
      </w:r>
      <w:r>
        <w:fldChar w:fldCharType="end"/>
      </w:r>
      <w:r>
        <w:rPr>
          <w:rFonts w:hint="eastAsia"/>
        </w:rPr>
        <w:t xml:space="preserve"> 项目总排口废水排放浓度及排放量</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2"/>
        <w:gridCol w:w="771"/>
        <w:gridCol w:w="906"/>
        <w:gridCol w:w="816"/>
        <w:gridCol w:w="982"/>
        <w:gridCol w:w="979"/>
        <w:gridCol w:w="977"/>
      </w:tblGrid>
      <w:tr w14:paraId="54749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786" w:type="pct"/>
            <w:noWrap w:val="0"/>
            <w:tcMar>
              <w:left w:w="28" w:type="dxa"/>
              <w:right w:w="28" w:type="dxa"/>
            </w:tcMar>
            <w:vAlign w:val="center"/>
          </w:tcPr>
          <w:p w14:paraId="1A1AAA85">
            <w:pPr>
              <w:pStyle w:val="189"/>
              <w:keepNext w:val="0"/>
              <w:keepLines w:val="0"/>
              <w:pageBreakBefore w:val="0"/>
              <w:wordWrap/>
              <w:topLinePunct w:val="0"/>
              <w:autoSpaceDE/>
              <w:autoSpaceDN/>
              <w:bidi w:val="0"/>
              <w:snapToGrid w:val="0"/>
              <w:spacing w:line="240" w:lineRule="auto"/>
              <w:ind w:firstLine="0" w:firstLineChars="0"/>
              <w:rPr>
                <w:b/>
                <w:bCs/>
                <w:u w:val="none"/>
              </w:rPr>
            </w:pPr>
            <w:r>
              <w:rPr>
                <w:b/>
                <w:bCs/>
                <w:u w:val="none"/>
              </w:rPr>
              <w:t>项目</w:t>
            </w:r>
          </w:p>
        </w:tc>
        <w:tc>
          <w:tcPr>
            <w:tcW w:w="845" w:type="dxa"/>
            <w:noWrap w:val="0"/>
            <w:tcMar>
              <w:left w:w="28" w:type="dxa"/>
              <w:right w:w="28" w:type="dxa"/>
            </w:tcMar>
            <w:vAlign w:val="center"/>
          </w:tcPr>
          <w:p w14:paraId="506D451B">
            <w:pPr>
              <w:pStyle w:val="182"/>
              <w:keepNext w:val="0"/>
              <w:keepLines w:val="0"/>
              <w:widowControl/>
              <w:suppressLineNumbers w:val="0"/>
              <w:ind w:firstLine="0" w:firstLineChars="0"/>
              <w:jc w:val="center"/>
              <w:textAlignment w:val="center"/>
              <w:rPr>
                <w:b/>
                <w:bCs/>
                <w:u w:val="none"/>
              </w:rPr>
            </w:pPr>
            <w:r>
              <w:rPr>
                <w:rFonts w:hint="default"/>
                <w:b w:val="0"/>
                <w:bCs w:val="0"/>
                <w:color w:val="auto"/>
                <w:u w:val="none"/>
                <w:lang w:val="en-US" w:eastAsia="zh-CN"/>
              </w:rPr>
              <w:t>COD</w:t>
            </w:r>
          </w:p>
        </w:tc>
        <w:tc>
          <w:tcPr>
            <w:tcW w:w="993" w:type="dxa"/>
            <w:noWrap w:val="0"/>
            <w:tcMar>
              <w:left w:w="28" w:type="dxa"/>
              <w:right w:w="28" w:type="dxa"/>
            </w:tcMar>
            <w:vAlign w:val="center"/>
          </w:tcPr>
          <w:p w14:paraId="3169E4B8">
            <w:pPr>
              <w:pStyle w:val="182"/>
              <w:keepNext w:val="0"/>
              <w:keepLines w:val="0"/>
              <w:widowControl/>
              <w:suppressLineNumbers w:val="0"/>
              <w:ind w:firstLine="0" w:firstLineChars="0"/>
              <w:jc w:val="center"/>
              <w:textAlignment w:val="center"/>
              <w:rPr>
                <w:b/>
                <w:bCs/>
                <w:u w:val="none"/>
              </w:rPr>
            </w:pPr>
            <w:r>
              <w:rPr>
                <w:rFonts w:hint="default"/>
                <w:b w:val="0"/>
                <w:bCs w:val="0"/>
                <w:color w:val="auto"/>
                <w:u w:val="none"/>
                <w:lang w:val="en-US" w:eastAsia="zh-CN"/>
              </w:rPr>
              <w:t>BOD</w:t>
            </w:r>
            <w:r>
              <w:rPr>
                <w:rFonts w:hint="default"/>
                <w:b w:val="0"/>
                <w:bCs w:val="0"/>
                <w:color w:val="auto"/>
                <w:u w:val="none"/>
                <w:vertAlign w:val="subscript"/>
                <w:lang w:val="en-US" w:eastAsia="zh-CN"/>
              </w:rPr>
              <w:t>5</w:t>
            </w:r>
          </w:p>
        </w:tc>
        <w:tc>
          <w:tcPr>
            <w:tcW w:w="864" w:type="dxa"/>
            <w:noWrap w:val="0"/>
            <w:vAlign w:val="center"/>
          </w:tcPr>
          <w:p w14:paraId="3D5CBEE8">
            <w:pPr>
              <w:pStyle w:val="182"/>
              <w:keepNext w:val="0"/>
              <w:keepLines w:val="0"/>
              <w:widowControl/>
              <w:suppressLineNumbers w:val="0"/>
              <w:ind w:firstLine="0" w:firstLineChars="0"/>
              <w:jc w:val="center"/>
              <w:textAlignment w:val="center"/>
              <w:rPr>
                <w:b/>
                <w:bCs/>
                <w:u w:val="none"/>
              </w:rPr>
            </w:pPr>
            <w:r>
              <w:rPr>
                <w:rFonts w:hint="default"/>
                <w:b w:val="0"/>
                <w:bCs w:val="0"/>
                <w:color w:val="auto"/>
                <w:u w:val="none"/>
                <w:lang w:val="en-US" w:eastAsia="zh-CN"/>
              </w:rPr>
              <w:t>SS</w:t>
            </w:r>
          </w:p>
        </w:tc>
        <w:tc>
          <w:tcPr>
            <w:tcW w:w="1076" w:type="dxa"/>
            <w:noWrap w:val="0"/>
            <w:vAlign w:val="center"/>
          </w:tcPr>
          <w:p w14:paraId="3266B790">
            <w:pPr>
              <w:pStyle w:val="182"/>
              <w:keepNext w:val="0"/>
              <w:keepLines w:val="0"/>
              <w:widowControl/>
              <w:suppressLineNumbers w:val="0"/>
              <w:ind w:firstLine="0" w:firstLineChars="0"/>
              <w:jc w:val="center"/>
              <w:textAlignment w:val="center"/>
              <w:rPr>
                <w:b/>
                <w:bCs/>
                <w:u w:val="none"/>
              </w:rPr>
            </w:pPr>
            <w:r>
              <w:rPr>
                <w:rFonts w:hint="default"/>
                <w:b w:val="0"/>
                <w:bCs w:val="0"/>
                <w:color w:val="auto"/>
                <w:u w:val="none"/>
                <w:lang w:val="en-US" w:eastAsia="zh-CN"/>
              </w:rPr>
              <w:t>NH</w:t>
            </w:r>
            <w:r>
              <w:rPr>
                <w:rFonts w:hint="default"/>
                <w:b w:val="0"/>
                <w:bCs w:val="0"/>
                <w:color w:val="auto"/>
                <w:u w:val="none"/>
                <w:vertAlign w:val="subscript"/>
                <w:lang w:val="en-US" w:eastAsia="zh-CN"/>
              </w:rPr>
              <w:t>3</w:t>
            </w:r>
            <w:r>
              <w:rPr>
                <w:rFonts w:hint="default"/>
                <w:b w:val="0"/>
                <w:bCs w:val="0"/>
                <w:color w:val="auto"/>
                <w:u w:val="none"/>
                <w:lang w:val="en-US" w:eastAsia="zh-CN"/>
              </w:rPr>
              <w:t>-N</w:t>
            </w:r>
          </w:p>
        </w:tc>
        <w:tc>
          <w:tcPr>
            <w:tcW w:w="1072" w:type="dxa"/>
            <w:noWrap w:val="0"/>
            <w:vAlign w:val="center"/>
          </w:tcPr>
          <w:p w14:paraId="4D96CB8D">
            <w:pPr>
              <w:pStyle w:val="182"/>
              <w:keepNext w:val="0"/>
              <w:keepLines w:val="0"/>
              <w:widowControl/>
              <w:suppressLineNumbers w:val="0"/>
              <w:ind w:firstLine="0" w:firstLineChars="0"/>
              <w:jc w:val="center"/>
              <w:textAlignment w:val="center"/>
              <w:rPr>
                <w:b/>
                <w:bCs/>
                <w:u w:val="none"/>
              </w:rPr>
            </w:pPr>
            <w:r>
              <w:rPr>
                <w:rFonts w:hint="default"/>
                <w:b w:val="0"/>
                <w:bCs w:val="0"/>
                <w:color w:val="auto"/>
                <w:u w:val="none"/>
                <w:lang w:val="en-US" w:eastAsia="zh-CN"/>
              </w:rPr>
              <w:t>TN</w:t>
            </w:r>
          </w:p>
        </w:tc>
        <w:tc>
          <w:tcPr>
            <w:tcW w:w="1070" w:type="dxa"/>
            <w:noWrap w:val="0"/>
            <w:vAlign w:val="center"/>
          </w:tcPr>
          <w:p w14:paraId="2EA66AFE">
            <w:pPr>
              <w:pStyle w:val="182"/>
              <w:keepNext w:val="0"/>
              <w:keepLines w:val="0"/>
              <w:widowControl/>
              <w:suppressLineNumbers w:val="0"/>
              <w:ind w:firstLine="0" w:firstLineChars="0"/>
              <w:jc w:val="center"/>
              <w:textAlignment w:val="center"/>
              <w:rPr>
                <w:rFonts w:hint="eastAsia"/>
                <w:b/>
                <w:bCs/>
                <w:u w:val="none"/>
              </w:rPr>
            </w:pPr>
            <w:r>
              <w:rPr>
                <w:rFonts w:hint="default"/>
                <w:b w:val="0"/>
                <w:bCs w:val="0"/>
                <w:color w:val="auto"/>
                <w:u w:val="none"/>
                <w:lang w:val="en-US" w:eastAsia="zh-CN"/>
              </w:rPr>
              <w:t>TP</w:t>
            </w:r>
          </w:p>
        </w:tc>
      </w:tr>
      <w:tr w14:paraId="179D9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6" w:type="pct"/>
            <w:noWrap w:val="0"/>
            <w:tcMar>
              <w:left w:w="28" w:type="dxa"/>
              <w:right w:w="28" w:type="dxa"/>
            </w:tcMar>
            <w:vAlign w:val="center"/>
          </w:tcPr>
          <w:p w14:paraId="4E9674D7">
            <w:pPr>
              <w:pStyle w:val="189"/>
              <w:keepNext w:val="0"/>
              <w:keepLines w:val="0"/>
              <w:pageBreakBefore w:val="0"/>
              <w:wordWrap/>
              <w:topLinePunct w:val="0"/>
              <w:autoSpaceDE/>
              <w:autoSpaceDN/>
              <w:bidi w:val="0"/>
              <w:snapToGrid w:val="0"/>
              <w:spacing w:line="240" w:lineRule="auto"/>
              <w:ind w:firstLine="0" w:firstLineChars="0"/>
              <w:rPr>
                <w:b w:val="0"/>
                <w:bCs w:val="0"/>
                <w:u w:val="none"/>
              </w:rPr>
            </w:pPr>
            <w:r>
              <w:rPr>
                <w:b w:val="0"/>
                <w:bCs w:val="0"/>
                <w:u w:val="none"/>
              </w:rPr>
              <w:t>废水量</w:t>
            </w:r>
            <w:r>
              <w:rPr>
                <w:rFonts w:hint="eastAsia"/>
                <w:b w:val="0"/>
                <w:bCs w:val="0"/>
                <w:u w:val="none"/>
              </w:rPr>
              <w:t>（</w:t>
            </w:r>
            <w:r>
              <w:rPr>
                <w:b w:val="0"/>
                <w:bCs w:val="0"/>
                <w:u w:val="none"/>
              </w:rPr>
              <w:t>m</w:t>
            </w:r>
            <w:r>
              <w:rPr>
                <w:b w:val="0"/>
                <w:bCs w:val="0"/>
                <w:u w:val="none"/>
                <w:vertAlign w:val="superscript"/>
              </w:rPr>
              <w:t>3</w:t>
            </w:r>
            <w:r>
              <w:rPr>
                <w:b w:val="0"/>
                <w:bCs w:val="0"/>
                <w:u w:val="none"/>
              </w:rPr>
              <w:t>/a</w:t>
            </w:r>
            <w:r>
              <w:rPr>
                <w:rFonts w:hint="eastAsia"/>
                <w:b w:val="0"/>
                <w:bCs w:val="0"/>
                <w:u w:val="none"/>
              </w:rPr>
              <w:t>）</w:t>
            </w:r>
          </w:p>
        </w:tc>
        <w:tc>
          <w:tcPr>
            <w:tcW w:w="3214" w:type="pct"/>
            <w:gridSpan w:val="6"/>
            <w:noWrap w:val="0"/>
            <w:tcMar>
              <w:left w:w="28" w:type="dxa"/>
              <w:right w:w="28" w:type="dxa"/>
            </w:tcMar>
            <w:vAlign w:val="center"/>
          </w:tcPr>
          <w:p w14:paraId="04B16BB8">
            <w:pPr>
              <w:keepNext w:val="0"/>
              <w:keepLines w:val="0"/>
              <w:pageBreakBefore w:val="0"/>
              <w:wordWrap/>
              <w:topLinePunct w:val="0"/>
              <w:autoSpaceDE/>
              <w:autoSpaceDN/>
              <w:bidi w:val="0"/>
              <w:snapToGrid w:val="0"/>
              <w:spacing w:line="240" w:lineRule="auto"/>
              <w:ind w:firstLine="482" w:firstLineChars="200"/>
              <w:jc w:val="center"/>
              <w:rPr>
                <w:rFonts w:hint="default" w:eastAsia="宋体"/>
                <w:b/>
                <w:bCs/>
                <w:u w:val="single"/>
                <w:lang w:val="en-US" w:eastAsia="zh-CN"/>
              </w:rPr>
            </w:pPr>
            <w:r>
              <w:rPr>
                <w:rFonts w:hint="eastAsia"/>
                <w:b/>
                <w:bCs/>
                <w:color w:val="auto"/>
                <w:u w:val="single"/>
                <w:lang w:val="en-US" w:eastAsia="zh-CN"/>
              </w:rPr>
              <w:t>*</w:t>
            </w:r>
          </w:p>
        </w:tc>
      </w:tr>
      <w:tr w14:paraId="4DDA2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6" w:type="pct"/>
            <w:noWrap w:val="0"/>
            <w:tcMar>
              <w:left w:w="28" w:type="dxa"/>
              <w:right w:w="28" w:type="dxa"/>
            </w:tcMar>
            <w:vAlign w:val="center"/>
          </w:tcPr>
          <w:p w14:paraId="056D5AAB">
            <w:pPr>
              <w:pStyle w:val="189"/>
              <w:keepNext w:val="0"/>
              <w:keepLines w:val="0"/>
              <w:pageBreakBefore w:val="0"/>
              <w:wordWrap/>
              <w:topLinePunct w:val="0"/>
              <w:autoSpaceDE/>
              <w:autoSpaceDN/>
              <w:bidi w:val="0"/>
              <w:snapToGrid w:val="0"/>
              <w:spacing w:line="240" w:lineRule="auto"/>
              <w:ind w:firstLine="0" w:firstLineChars="0"/>
              <w:rPr>
                <w:rFonts w:hint="eastAsia"/>
                <w:b w:val="0"/>
                <w:bCs w:val="0"/>
                <w:u w:val="none"/>
              </w:rPr>
            </w:pPr>
            <w:r>
              <w:rPr>
                <w:rFonts w:hint="eastAsia"/>
                <w:b w:val="0"/>
                <w:bCs w:val="0"/>
                <w:u w:val="none"/>
              </w:rPr>
              <w:t>总排口排放浓度</w:t>
            </w:r>
            <w:r>
              <w:rPr>
                <w:b w:val="0"/>
                <w:bCs w:val="0"/>
                <w:u w:val="none"/>
              </w:rPr>
              <w:t>（mg/L）</w:t>
            </w:r>
          </w:p>
        </w:tc>
        <w:tc>
          <w:tcPr>
            <w:tcW w:w="845" w:type="dxa"/>
            <w:noWrap w:val="0"/>
            <w:tcMar>
              <w:left w:w="28" w:type="dxa"/>
              <w:right w:w="28" w:type="dxa"/>
            </w:tcMar>
            <w:vAlign w:val="center"/>
          </w:tcPr>
          <w:p w14:paraId="37A8AFA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u w:val="single"/>
              </w:rPr>
            </w:pPr>
            <w:r>
              <w:rPr>
                <w:rFonts w:hint="eastAsia"/>
                <w:b/>
                <w:bCs/>
                <w:color w:val="auto"/>
                <w:u w:val="single"/>
                <w:lang w:val="en-US" w:eastAsia="zh-CN"/>
              </w:rPr>
              <w:t>*</w:t>
            </w:r>
          </w:p>
        </w:tc>
        <w:tc>
          <w:tcPr>
            <w:tcW w:w="993" w:type="dxa"/>
            <w:noWrap w:val="0"/>
            <w:tcMar>
              <w:left w:w="28" w:type="dxa"/>
              <w:right w:w="28" w:type="dxa"/>
            </w:tcMar>
            <w:vAlign w:val="center"/>
          </w:tcPr>
          <w:p w14:paraId="28BE461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u w:val="single"/>
              </w:rPr>
            </w:pPr>
            <w:r>
              <w:rPr>
                <w:rFonts w:hint="eastAsia"/>
                <w:b/>
                <w:bCs/>
                <w:color w:val="auto"/>
                <w:u w:val="single"/>
                <w:lang w:val="en-US" w:eastAsia="zh-CN"/>
              </w:rPr>
              <w:t>*</w:t>
            </w:r>
          </w:p>
        </w:tc>
        <w:tc>
          <w:tcPr>
            <w:tcW w:w="864" w:type="dxa"/>
            <w:noWrap w:val="0"/>
            <w:vAlign w:val="center"/>
          </w:tcPr>
          <w:p w14:paraId="66716AE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u w:val="single"/>
              </w:rPr>
            </w:pPr>
            <w:r>
              <w:rPr>
                <w:rFonts w:hint="eastAsia"/>
                <w:b/>
                <w:bCs/>
                <w:color w:val="auto"/>
                <w:u w:val="single"/>
                <w:lang w:val="en-US" w:eastAsia="zh-CN"/>
              </w:rPr>
              <w:t>*</w:t>
            </w:r>
          </w:p>
        </w:tc>
        <w:tc>
          <w:tcPr>
            <w:tcW w:w="1076" w:type="dxa"/>
            <w:noWrap w:val="0"/>
            <w:vAlign w:val="center"/>
          </w:tcPr>
          <w:p w14:paraId="3615A87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u w:val="single"/>
              </w:rPr>
            </w:pPr>
            <w:r>
              <w:rPr>
                <w:rFonts w:hint="eastAsia"/>
                <w:b/>
                <w:bCs/>
                <w:color w:val="auto"/>
                <w:u w:val="single"/>
                <w:lang w:val="en-US" w:eastAsia="zh-CN"/>
              </w:rPr>
              <w:t>*</w:t>
            </w:r>
          </w:p>
        </w:tc>
        <w:tc>
          <w:tcPr>
            <w:tcW w:w="1072" w:type="dxa"/>
            <w:noWrap w:val="0"/>
            <w:vAlign w:val="center"/>
          </w:tcPr>
          <w:p w14:paraId="78B9FC8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u w:val="single"/>
              </w:rPr>
            </w:pPr>
            <w:r>
              <w:rPr>
                <w:rFonts w:hint="eastAsia"/>
                <w:b/>
                <w:bCs/>
                <w:color w:val="auto"/>
                <w:u w:val="single"/>
                <w:lang w:val="en-US" w:eastAsia="zh-CN"/>
              </w:rPr>
              <w:t>*</w:t>
            </w:r>
          </w:p>
        </w:tc>
        <w:tc>
          <w:tcPr>
            <w:tcW w:w="1070" w:type="dxa"/>
            <w:noWrap w:val="0"/>
            <w:vAlign w:val="center"/>
          </w:tcPr>
          <w:p w14:paraId="2AD45AC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
                <w:bCs/>
                <w:u w:val="single"/>
              </w:rPr>
            </w:pPr>
            <w:r>
              <w:rPr>
                <w:rFonts w:hint="eastAsia"/>
                <w:b/>
                <w:bCs/>
                <w:color w:val="auto"/>
                <w:u w:val="single"/>
                <w:lang w:val="en-US" w:eastAsia="zh-CN"/>
              </w:rPr>
              <w:t>*</w:t>
            </w:r>
          </w:p>
        </w:tc>
      </w:tr>
      <w:tr w14:paraId="46FDB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6" w:type="pct"/>
            <w:noWrap w:val="0"/>
            <w:tcMar>
              <w:left w:w="28" w:type="dxa"/>
              <w:right w:w="28" w:type="dxa"/>
            </w:tcMar>
            <w:vAlign w:val="center"/>
          </w:tcPr>
          <w:p w14:paraId="73D9DE92">
            <w:pPr>
              <w:pStyle w:val="188"/>
              <w:keepNext w:val="0"/>
              <w:keepLines w:val="0"/>
              <w:pageBreakBefore w:val="0"/>
              <w:wordWrap/>
              <w:topLinePunct w:val="0"/>
              <w:autoSpaceDE/>
              <w:autoSpaceDN/>
              <w:bidi w:val="0"/>
              <w:snapToGrid w:val="0"/>
              <w:spacing w:line="240" w:lineRule="auto"/>
              <w:ind w:firstLine="0" w:firstLineChars="0"/>
              <w:jc w:val="center"/>
              <w:rPr>
                <w:b w:val="0"/>
                <w:bCs w:val="0"/>
                <w:u w:val="none"/>
              </w:rPr>
            </w:pPr>
            <w:r>
              <w:rPr>
                <w:b w:val="0"/>
                <w:bCs w:val="0"/>
                <w:u w:val="none"/>
              </w:rPr>
              <w:t>总排口排放量（t/a）</w:t>
            </w:r>
          </w:p>
        </w:tc>
        <w:tc>
          <w:tcPr>
            <w:tcW w:w="845" w:type="dxa"/>
            <w:noWrap w:val="0"/>
            <w:tcMar>
              <w:left w:w="28" w:type="dxa"/>
              <w:right w:w="28" w:type="dxa"/>
            </w:tcMar>
            <w:vAlign w:val="center"/>
          </w:tcPr>
          <w:p w14:paraId="42B6D09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993" w:type="dxa"/>
            <w:noWrap w:val="0"/>
            <w:tcMar>
              <w:left w:w="28" w:type="dxa"/>
              <w:right w:w="28" w:type="dxa"/>
            </w:tcMar>
            <w:vAlign w:val="center"/>
          </w:tcPr>
          <w:p w14:paraId="665127F3">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864" w:type="dxa"/>
            <w:noWrap w:val="0"/>
            <w:vAlign w:val="center"/>
          </w:tcPr>
          <w:p w14:paraId="2E00F23F">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1076" w:type="dxa"/>
            <w:noWrap w:val="0"/>
            <w:vAlign w:val="center"/>
          </w:tcPr>
          <w:p w14:paraId="48ADD3D6">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1072" w:type="dxa"/>
            <w:noWrap w:val="0"/>
            <w:vAlign w:val="center"/>
          </w:tcPr>
          <w:p w14:paraId="1C1BAA59">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c>
          <w:tcPr>
            <w:tcW w:w="1070" w:type="dxa"/>
            <w:noWrap w:val="0"/>
            <w:vAlign w:val="center"/>
          </w:tcPr>
          <w:p w14:paraId="4B642725">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u w:val="single"/>
                <w:lang w:val="en-US" w:eastAsia="zh-CN"/>
              </w:rPr>
            </w:pPr>
            <w:r>
              <w:rPr>
                <w:rFonts w:hint="eastAsia"/>
                <w:b/>
                <w:bCs/>
                <w:color w:val="auto"/>
                <w:u w:val="single"/>
                <w:lang w:val="en-US" w:eastAsia="zh-CN"/>
              </w:rPr>
              <w:t>*</w:t>
            </w:r>
          </w:p>
        </w:tc>
      </w:tr>
    </w:tbl>
    <w:p w14:paraId="596E6DD6">
      <w:pPr>
        <w:pStyle w:val="6"/>
        <w:bidi w:val="0"/>
        <w:rPr>
          <w:rFonts w:hint="eastAsia"/>
        </w:rPr>
      </w:pPr>
      <w:r>
        <w:rPr>
          <w:rFonts w:hint="eastAsia"/>
        </w:rPr>
        <w:t>水污染物总量控制指标</w:t>
      </w:r>
    </w:p>
    <w:p w14:paraId="16688509">
      <w:pPr>
        <w:bidi w:val="0"/>
        <w:rPr>
          <w:rFonts w:hint="eastAsia"/>
          <w:b/>
          <w:bCs/>
          <w:color w:val="auto"/>
          <w:highlight w:val="none"/>
          <w:u w:val="single"/>
        </w:rPr>
      </w:pPr>
      <w:r>
        <w:rPr>
          <w:rFonts w:hint="eastAsia"/>
          <w:b/>
          <w:bCs/>
          <w:color w:val="auto"/>
          <w:highlight w:val="none"/>
          <w:u w:val="single"/>
        </w:rPr>
        <w:t>项目废水经处理后排入小店污水处理厂，小店污水厂出水COD、BOD</w:t>
      </w:r>
      <w:r>
        <w:rPr>
          <w:rFonts w:hint="eastAsia"/>
          <w:b/>
          <w:bCs/>
          <w:color w:val="auto"/>
          <w:highlight w:val="none"/>
          <w:u w:val="single"/>
          <w:vertAlign w:val="subscript"/>
        </w:rPr>
        <w:t>5</w:t>
      </w:r>
      <w:r>
        <w:rPr>
          <w:rFonts w:hint="eastAsia"/>
          <w:b/>
          <w:bCs/>
          <w:color w:val="auto"/>
          <w:highlight w:val="none"/>
          <w:u w:val="single"/>
        </w:rPr>
        <w:t>、氨氮、总磷达到地表水Ⅴ类水质标准</w:t>
      </w:r>
      <w:r>
        <w:rPr>
          <w:rFonts w:hint="eastAsia"/>
          <w:b/>
          <w:bCs/>
          <w:color w:val="auto"/>
          <w:highlight w:val="none"/>
          <w:u w:val="single"/>
          <w:lang w:val="en-US" w:eastAsia="zh-CN"/>
        </w:rPr>
        <w:t>同时满足</w:t>
      </w:r>
      <w:r>
        <w:rPr>
          <w:rFonts w:hint="eastAsia"/>
          <w:b/>
          <w:bCs/>
          <w:color w:val="auto"/>
          <w:highlight w:val="none"/>
          <w:u w:val="single"/>
        </w:rPr>
        <w:t>《河南省黄流域水污染物排放标准》（DB41/ 2087—2021）一级标准，总氮达到《河南省黄流域水污染物排放标准》（DB41/ 2087—2021）一级标准，最终排入大沙河。</w:t>
      </w:r>
    </w:p>
    <w:p w14:paraId="5AF203F9">
      <w:pPr>
        <w:bidi w:val="0"/>
        <w:rPr>
          <w:rFonts w:hint="eastAsia"/>
          <w:color w:val="auto"/>
          <w:highlight w:val="none"/>
        </w:rPr>
      </w:pPr>
      <w:r>
        <w:rPr>
          <w:rFonts w:hint="eastAsia"/>
          <w:color w:val="auto"/>
          <w:highlight w:val="none"/>
        </w:rPr>
        <w:t>项目废水经小店污水处理厂处理后污染物排放情况见</w:t>
      </w:r>
      <w:r>
        <w:rPr>
          <w:rFonts w:hint="eastAsia"/>
          <w:color w:val="auto"/>
          <w:highlight w:val="none"/>
          <w:lang w:val="en-US" w:eastAsia="zh-CN"/>
        </w:rPr>
        <w:t>下表</w:t>
      </w:r>
      <w:r>
        <w:rPr>
          <w:rFonts w:hint="eastAsia"/>
          <w:color w:val="auto"/>
          <w:highlight w:val="none"/>
        </w:rPr>
        <w:t>。</w:t>
      </w:r>
    </w:p>
    <w:p w14:paraId="349412C8">
      <w:pPr>
        <w:pStyle w:val="10"/>
        <w:bidi w:val="0"/>
        <w:rPr>
          <w:rFonts w:hint="eastAsia"/>
        </w:rPr>
      </w:pPr>
      <w:r>
        <w:rPr>
          <w:rFonts w:hint="eastAsia"/>
        </w:rPr>
        <w:t xml:space="preserve">表 </w:t>
      </w:r>
      <w:r>
        <w:rPr>
          <w:rFonts w:hint="eastAsia"/>
        </w:rPr>
        <w:fldChar w:fldCharType="begin"/>
      </w:r>
      <w:r>
        <w:rPr>
          <w:rFonts w:hint="eastAsia"/>
        </w:rPr>
        <w:instrText xml:space="preserve"> STYLEREF 2 \s </w:instrText>
      </w:r>
      <w:r>
        <w:rPr>
          <w:rFonts w:hint="eastAsia"/>
        </w:rPr>
        <w:fldChar w:fldCharType="separate"/>
      </w:r>
      <w:r>
        <w:rPr>
          <w:rFonts w:hint="eastAsia"/>
        </w:rPr>
        <w:t>4.6</w:t>
      </w:r>
      <w:r>
        <w:rPr>
          <w:rFonts w:hint="eastAsia"/>
        </w:rPr>
        <w:fldChar w:fldCharType="end"/>
      </w:r>
      <w:r>
        <w:rPr>
          <w:rFonts w:hint="eastAsia"/>
          <w:lang w:eastAsia="zh-CN"/>
        </w:rPr>
        <w:t>-</w:t>
      </w:r>
      <w:r>
        <w:rPr>
          <w:rFonts w:hint="eastAsia"/>
        </w:rPr>
        <w:fldChar w:fldCharType="begin"/>
      </w:r>
      <w:r>
        <w:rPr>
          <w:rFonts w:hint="eastAsia"/>
        </w:rPr>
        <w:instrText xml:space="preserve"> SEQ 表 \* ARABIC \s 2 </w:instrText>
      </w:r>
      <w:r>
        <w:rPr>
          <w:rFonts w:hint="eastAsia"/>
        </w:rPr>
        <w:fldChar w:fldCharType="separate"/>
      </w:r>
      <w:r>
        <w:rPr>
          <w:rFonts w:hint="eastAsia"/>
        </w:rPr>
        <w:t>10</w:t>
      </w:r>
      <w:r>
        <w:rPr>
          <w:rFonts w:hint="eastAsia"/>
        </w:rPr>
        <w:fldChar w:fldCharType="end"/>
      </w:r>
      <w:r>
        <w:rPr>
          <w:rFonts w:hint="eastAsia"/>
        </w:rPr>
        <w:t xml:space="preserve"> 项目废水排放总量一览表</w:t>
      </w:r>
    </w:p>
    <w:tbl>
      <w:tblPr>
        <w:tblStyle w:val="31"/>
        <w:tblW w:w="470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16"/>
        <w:gridCol w:w="1124"/>
        <w:gridCol w:w="1125"/>
        <w:gridCol w:w="1125"/>
        <w:gridCol w:w="1134"/>
      </w:tblGrid>
      <w:tr w14:paraId="00EFE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0" w:type="pct"/>
            <w:tcBorders>
              <w:top w:val="single" w:color="000000" w:sz="4" w:space="0"/>
              <w:tl2br w:val="single" w:color="000000" w:sz="4" w:space="0"/>
            </w:tcBorders>
            <w:noWrap w:val="0"/>
            <w:vAlign w:val="center"/>
          </w:tcPr>
          <w:p w14:paraId="1B40BFB0">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right"/>
              <w:textAlignment w:val="auto"/>
              <w:rPr>
                <w:b w:val="0"/>
                <w:bCs/>
                <w:u w:val="none"/>
              </w:rPr>
            </w:pPr>
            <w:r>
              <w:rPr>
                <w:b w:val="0"/>
                <w:bCs/>
                <w:u w:val="none"/>
              </w:rPr>
              <w:t>污染物</w:t>
            </w:r>
          </w:p>
          <w:p w14:paraId="4D7E368E">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left"/>
              <w:textAlignment w:val="auto"/>
              <w:rPr>
                <w:b w:val="0"/>
                <w:bCs/>
                <w:u w:val="none"/>
              </w:rPr>
            </w:pPr>
            <w:r>
              <w:rPr>
                <w:b w:val="0"/>
                <w:bCs/>
                <w:u w:val="none"/>
              </w:rPr>
              <w:t>排放情况</w:t>
            </w:r>
          </w:p>
        </w:tc>
        <w:tc>
          <w:tcPr>
            <w:tcW w:w="700" w:type="pct"/>
            <w:noWrap w:val="0"/>
            <w:tcMar>
              <w:left w:w="57" w:type="dxa"/>
              <w:right w:w="57" w:type="dxa"/>
            </w:tcMar>
            <w:vAlign w:val="center"/>
          </w:tcPr>
          <w:p w14:paraId="447823BB">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val="0"/>
                <w:bCs/>
                <w:u w:val="none"/>
              </w:rPr>
            </w:pPr>
            <w:r>
              <w:rPr>
                <w:b w:val="0"/>
                <w:bCs/>
                <w:u w:val="none"/>
              </w:rPr>
              <w:t>COD</w:t>
            </w:r>
          </w:p>
        </w:tc>
        <w:tc>
          <w:tcPr>
            <w:tcW w:w="701" w:type="pct"/>
            <w:noWrap w:val="0"/>
            <w:tcMar>
              <w:left w:w="57" w:type="dxa"/>
              <w:right w:w="57" w:type="dxa"/>
            </w:tcMar>
            <w:vAlign w:val="center"/>
          </w:tcPr>
          <w:p w14:paraId="5FAB6211">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val="0"/>
                <w:bCs/>
                <w:u w:val="none"/>
              </w:rPr>
            </w:pPr>
            <w:r>
              <w:rPr>
                <w:b w:val="0"/>
                <w:bCs/>
                <w:u w:val="none"/>
              </w:rPr>
              <w:t>氨氮</w:t>
            </w:r>
          </w:p>
        </w:tc>
        <w:tc>
          <w:tcPr>
            <w:tcW w:w="701" w:type="pct"/>
            <w:noWrap w:val="0"/>
            <w:tcMar>
              <w:left w:w="57" w:type="dxa"/>
              <w:right w:w="57" w:type="dxa"/>
            </w:tcMar>
            <w:vAlign w:val="center"/>
          </w:tcPr>
          <w:p w14:paraId="6112E5A6">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val="0"/>
                <w:bCs/>
                <w:u w:val="none"/>
              </w:rPr>
            </w:pPr>
            <w:r>
              <w:rPr>
                <w:b w:val="0"/>
                <w:bCs/>
                <w:u w:val="none"/>
              </w:rPr>
              <w:t>总氮</w:t>
            </w:r>
          </w:p>
        </w:tc>
        <w:tc>
          <w:tcPr>
            <w:tcW w:w="706" w:type="pct"/>
            <w:noWrap w:val="0"/>
            <w:vAlign w:val="center"/>
          </w:tcPr>
          <w:p w14:paraId="4C07A124">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val="0"/>
                <w:bCs/>
                <w:u w:val="none"/>
              </w:rPr>
            </w:pPr>
            <w:r>
              <w:rPr>
                <w:b w:val="0"/>
                <w:bCs/>
                <w:u w:val="none"/>
              </w:rPr>
              <w:t>总磷</w:t>
            </w:r>
          </w:p>
        </w:tc>
      </w:tr>
      <w:tr w14:paraId="56B9D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0" w:type="pct"/>
            <w:noWrap w:val="0"/>
            <w:tcMar>
              <w:left w:w="57" w:type="dxa"/>
              <w:right w:w="57" w:type="dxa"/>
            </w:tcMar>
            <w:vAlign w:val="center"/>
          </w:tcPr>
          <w:p w14:paraId="55667D6B">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val="0"/>
                <w:bCs/>
                <w:kern w:val="2"/>
                <w:u w:val="none"/>
              </w:rPr>
            </w:pPr>
            <w:r>
              <w:rPr>
                <w:b w:val="0"/>
                <w:bCs/>
                <w:u w:val="none"/>
              </w:rPr>
              <w:t>小店污水厂排水标准（mg/L）</w:t>
            </w:r>
          </w:p>
        </w:tc>
        <w:tc>
          <w:tcPr>
            <w:tcW w:w="700" w:type="pct"/>
            <w:noWrap w:val="0"/>
            <w:tcMar>
              <w:left w:w="57" w:type="dxa"/>
              <w:right w:w="57" w:type="dxa"/>
            </w:tcMar>
            <w:vAlign w:val="center"/>
          </w:tcPr>
          <w:p w14:paraId="567F970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b/>
                <w:bCs w:val="0"/>
                <w:u w:val="single"/>
              </w:rPr>
            </w:pPr>
            <w:r>
              <w:rPr>
                <w:rFonts w:hint="eastAsia"/>
                <w:b/>
                <w:bCs/>
                <w:color w:val="auto"/>
                <w:u w:val="single"/>
                <w:lang w:val="en-US" w:eastAsia="zh-CN"/>
              </w:rPr>
              <w:t>*</w:t>
            </w:r>
          </w:p>
        </w:tc>
        <w:tc>
          <w:tcPr>
            <w:tcW w:w="701" w:type="pct"/>
            <w:noWrap w:val="0"/>
            <w:tcMar>
              <w:left w:w="57" w:type="dxa"/>
              <w:right w:w="57" w:type="dxa"/>
            </w:tcMar>
            <w:vAlign w:val="center"/>
          </w:tcPr>
          <w:p w14:paraId="3115EBE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b/>
                <w:bCs w:val="0"/>
                <w:u w:val="single"/>
              </w:rPr>
            </w:pPr>
            <w:r>
              <w:rPr>
                <w:rFonts w:hint="eastAsia"/>
                <w:b/>
                <w:bCs/>
                <w:color w:val="auto"/>
                <w:u w:val="single"/>
                <w:lang w:val="en-US" w:eastAsia="zh-CN"/>
              </w:rPr>
              <w:t>*</w:t>
            </w:r>
          </w:p>
        </w:tc>
        <w:tc>
          <w:tcPr>
            <w:tcW w:w="701" w:type="pct"/>
            <w:noWrap w:val="0"/>
            <w:tcMar>
              <w:left w:w="57" w:type="dxa"/>
              <w:right w:w="57" w:type="dxa"/>
            </w:tcMar>
            <w:vAlign w:val="center"/>
          </w:tcPr>
          <w:p w14:paraId="1F829DA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b/>
                <w:bCs w:val="0"/>
                <w:u w:val="single"/>
              </w:rPr>
            </w:pPr>
            <w:r>
              <w:rPr>
                <w:rFonts w:hint="eastAsia"/>
                <w:b/>
                <w:bCs/>
                <w:color w:val="auto"/>
                <w:u w:val="single"/>
                <w:lang w:val="en-US" w:eastAsia="zh-CN"/>
              </w:rPr>
              <w:t>*</w:t>
            </w:r>
          </w:p>
        </w:tc>
        <w:tc>
          <w:tcPr>
            <w:tcW w:w="706" w:type="pct"/>
            <w:noWrap w:val="0"/>
            <w:vAlign w:val="center"/>
          </w:tcPr>
          <w:p w14:paraId="203716C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textAlignment w:val="auto"/>
              <w:rPr>
                <w:b/>
                <w:bCs w:val="0"/>
                <w:u w:val="single"/>
              </w:rPr>
            </w:pPr>
            <w:r>
              <w:rPr>
                <w:rFonts w:hint="eastAsia"/>
                <w:b/>
                <w:bCs/>
                <w:color w:val="auto"/>
                <w:u w:val="single"/>
                <w:lang w:val="en-US" w:eastAsia="zh-CN"/>
              </w:rPr>
              <w:t>*</w:t>
            </w:r>
          </w:p>
        </w:tc>
      </w:tr>
      <w:tr w14:paraId="01ABC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0" w:type="pct"/>
            <w:noWrap w:val="0"/>
            <w:tcMar>
              <w:left w:w="57" w:type="dxa"/>
              <w:right w:w="57" w:type="dxa"/>
            </w:tcMar>
            <w:vAlign w:val="center"/>
          </w:tcPr>
          <w:p w14:paraId="474948C8">
            <w:pPr>
              <w:pStyle w:val="189"/>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b w:val="0"/>
                <w:bCs/>
                <w:kern w:val="2"/>
                <w:u w:val="none"/>
              </w:rPr>
            </w:pPr>
            <w:r>
              <w:rPr>
                <w:b w:val="0"/>
                <w:bCs/>
                <w:u w:val="none"/>
              </w:rPr>
              <w:t>项目水污染物进入水体量（t/a）</w:t>
            </w:r>
          </w:p>
        </w:tc>
        <w:tc>
          <w:tcPr>
            <w:tcW w:w="1124" w:type="dxa"/>
            <w:noWrap w:val="0"/>
            <w:tcMar>
              <w:left w:w="0" w:type="dxa"/>
              <w:right w:w="0" w:type="dxa"/>
            </w:tcMar>
            <w:vAlign w:val="center"/>
          </w:tcPr>
          <w:p w14:paraId="5474C78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1125" w:type="dxa"/>
            <w:noWrap w:val="0"/>
            <w:tcMar>
              <w:left w:w="0" w:type="dxa"/>
              <w:right w:w="0" w:type="dxa"/>
            </w:tcMar>
            <w:vAlign w:val="center"/>
          </w:tcPr>
          <w:p w14:paraId="6EC0238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1125" w:type="dxa"/>
            <w:noWrap w:val="0"/>
            <w:tcMar>
              <w:left w:w="57" w:type="dxa"/>
              <w:right w:w="57" w:type="dxa"/>
            </w:tcMar>
            <w:vAlign w:val="center"/>
          </w:tcPr>
          <w:p w14:paraId="523F94D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c>
          <w:tcPr>
            <w:tcW w:w="1134" w:type="dxa"/>
            <w:noWrap w:val="0"/>
            <w:vAlign w:val="center"/>
          </w:tcPr>
          <w:p w14:paraId="19ADB08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ascii="Times New Roman" w:hAnsi="Times New Roman" w:eastAsia="宋体" w:cs="Times New Roman"/>
                <w:b/>
                <w:bCs w:val="0"/>
                <w:u w:val="single"/>
                <w:lang w:val="en-US" w:eastAsia="zh-CN"/>
              </w:rPr>
            </w:pPr>
            <w:r>
              <w:rPr>
                <w:rFonts w:hint="eastAsia"/>
                <w:b/>
                <w:bCs/>
                <w:color w:val="auto"/>
                <w:u w:val="single"/>
                <w:lang w:val="en-US" w:eastAsia="zh-CN"/>
              </w:rPr>
              <w:t>*</w:t>
            </w:r>
          </w:p>
        </w:tc>
      </w:tr>
    </w:tbl>
    <w:p w14:paraId="7BF60062">
      <w:pPr>
        <w:pStyle w:val="6"/>
        <w:bidi w:val="0"/>
      </w:pPr>
      <w:r>
        <w:rPr>
          <w:rFonts w:hint="eastAsia"/>
        </w:rPr>
        <w:t>废水污染物排放信息</w:t>
      </w:r>
    </w:p>
    <w:p w14:paraId="2E088C2E">
      <w:pPr>
        <w:bidi w:val="0"/>
        <w:rPr>
          <w:color w:val="auto"/>
        </w:rPr>
      </w:pPr>
      <w:r>
        <w:rPr>
          <w:rFonts w:hint="eastAsia"/>
          <w:color w:val="auto"/>
        </w:rPr>
        <w:t>1）废水类别、污染物及污染治理设施信息表</w:t>
      </w:r>
    </w:p>
    <w:p w14:paraId="4DD3C937">
      <w:pPr>
        <w:pStyle w:val="10"/>
        <w:bidi w:val="0"/>
        <w:rPr>
          <w:rFonts w:hint="eastAsia"/>
        </w:rPr>
      </w:pPr>
      <w:r>
        <w:rPr>
          <w:rFonts w:hint="eastAsia"/>
        </w:rPr>
        <w:t xml:space="preserve">表 </w:t>
      </w:r>
      <w:r>
        <w:rPr>
          <w:rFonts w:hint="eastAsia"/>
        </w:rPr>
        <w:fldChar w:fldCharType="begin"/>
      </w:r>
      <w:r>
        <w:rPr>
          <w:rFonts w:hint="eastAsia"/>
        </w:rPr>
        <w:instrText xml:space="preserve"> STYLEREF 2 \s </w:instrText>
      </w:r>
      <w:r>
        <w:rPr>
          <w:rFonts w:hint="eastAsia"/>
        </w:rPr>
        <w:fldChar w:fldCharType="separate"/>
      </w:r>
      <w:r>
        <w:rPr>
          <w:rFonts w:hint="eastAsia"/>
        </w:rPr>
        <w:t>4.6</w:t>
      </w:r>
      <w:r>
        <w:rPr>
          <w:rFonts w:hint="eastAsia"/>
        </w:rPr>
        <w:fldChar w:fldCharType="end"/>
      </w:r>
      <w:r>
        <w:rPr>
          <w:rFonts w:hint="eastAsia"/>
          <w:lang w:eastAsia="zh-CN"/>
        </w:rPr>
        <w:t>-</w:t>
      </w:r>
      <w:r>
        <w:rPr>
          <w:rFonts w:hint="eastAsia"/>
        </w:rPr>
        <w:fldChar w:fldCharType="begin"/>
      </w:r>
      <w:r>
        <w:rPr>
          <w:rFonts w:hint="eastAsia"/>
        </w:rPr>
        <w:instrText xml:space="preserve"> SEQ 表 \* ARABIC \s 2 </w:instrText>
      </w:r>
      <w:r>
        <w:rPr>
          <w:rFonts w:hint="eastAsia"/>
        </w:rPr>
        <w:fldChar w:fldCharType="separate"/>
      </w:r>
      <w:r>
        <w:rPr>
          <w:rFonts w:hint="eastAsia"/>
        </w:rPr>
        <w:t>11</w:t>
      </w:r>
      <w:r>
        <w:rPr>
          <w:rFonts w:hint="eastAsia"/>
        </w:rPr>
        <w:fldChar w:fldCharType="end"/>
      </w:r>
      <w:r>
        <w:rPr>
          <w:rFonts w:hint="eastAsia"/>
          <w:lang w:val="en-US" w:eastAsia="zh-CN"/>
        </w:rPr>
        <w:t xml:space="preserve"> </w:t>
      </w:r>
      <w:r>
        <w:rPr>
          <w:rFonts w:hint="eastAsia"/>
        </w:rPr>
        <w:t>废水类别、污染物及污染治理设施信息表</w:t>
      </w:r>
    </w:p>
    <w:tbl>
      <w:tblPr>
        <w:tblStyle w:val="32"/>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9"/>
        <w:gridCol w:w="945"/>
        <w:gridCol w:w="831"/>
        <w:gridCol w:w="831"/>
        <w:gridCol w:w="857"/>
        <w:gridCol w:w="831"/>
        <w:gridCol w:w="850"/>
        <w:gridCol w:w="881"/>
        <w:gridCol w:w="984"/>
        <w:gridCol w:w="684"/>
      </w:tblGrid>
      <w:tr w14:paraId="5A966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vMerge w:val="restart"/>
            <w:vAlign w:val="center"/>
          </w:tcPr>
          <w:p w14:paraId="42277252">
            <w:pPr>
              <w:pStyle w:val="182"/>
              <w:bidi w:val="0"/>
              <w:rPr>
                <w:b/>
                <w:bCs/>
                <w:color w:val="auto"/>
              </w:rPr>
            </w:pPr>
            <w:r>
              <w:rPr>
                <w:rFonts w:hint="eastAsia"/>
                <w:b/>
                <w:bCs/>
                <w:color w:val="auto"/>
              </w:rPr>
              <w:t>废水类别</w:t>
            </w:r>
          </w:p>
        </w:tc>
        <w:tc>
          <w:tcPr>
            <w:tcW w:w="555" w:type="pct"/>
            <w:vMerge w:val="restart"/>
            <w:vAlign w:val="center"/>
          </w:tcPr>
          <w:p w14:paraId="699ABB3F">
            <w:pPr>
              <w:pStyle w:val="182"/>
              <w:bidi w:val="0"/>
              <w:rPr>
                <w:b/>
                <w:bCs/>
                <w:color w:val="auto"/>
              </w:rPr>
            </w:pPr>
            <w:r>
              <w:rPr>
                <w:rFonts w:hint="eastAsia"/>
                <w:b/>
                <w:bCs/>
                <w:color w:val="auto"/>
              </w:rPr>
              <w:t>污染物种类</w:t>
            </w:r>
          </w:p>
        </w:tc>
        <w:tc>
          <w:tcPr>
            <w:tcW w:w="488" w:type="pct"/>
            <w:vMerge w:val="restart"/>
            <w:vAlign w:val="center"/>
          </w:tcPr>
          <w:p w14:paraId="4A47AC92">
            <w:pPr>
              <w:pStyle w:val="182"/>
              <w:bidi w:val="0"/>
              <w:rPr>
                <w:b/>
                <w:bCs/>
                <w:color w:val="auto"/>
              </w:rPr>
            </w:pPr>
            <w:r>
              <w:rPr>
                <w:rFonts w:hint="eastAsia"/>
                <w:b/>
                <w:bCs/>
                <w:color w:val="auto"/>
              </w:rPr>
              <w:t>排放去向</w:t>
            </w:r>
          </w:p>
        </w:tc>
        <w:tc>
          <w:tcPr>
            <w:tcW w:w="488" w:type="pct"/>
            <w:vMerge w:val="restart"/>
            <w:vAlign w:val="center"/>
          </w:tcPr>
          <w:p w14:paraId="2B343D80">
            <w:pPr>
              <w:pStyle w:val="182"/>
              <w:bidi w:val="0"/>
              <w:rPr>
                <w:b/>
                <w:bCs/>
                <w:color w:val="auto"/>
              </w:rPr>
            </w:pPr>
            <w:r>
              <w:rPr>
                <w:rFonts w:hint="eastAsia"/>
                <w:b/>
                <w:bCs/>
                <w:color w:val="auto"/>
              </w:rPr>
              <w:t>排放规律</w:t>
            </w:r>
          </w:p>
        </w:tc>
        <w:tc>
          <w:tcPr>
            <w:tcW w:w="1490" w:type="pct"/>
            <w:gridSpan w:val="3"/>
            <w:vAlign w:val="center"/>
          </w:tcPr>
          <w:p w14:paraId="445CA559">
            <w:pPr>
              <w:pStyle w:val="182"/>
              <w:bidi w:val="0"/>
              <w:rPr>
                <w:b/>
                <w:bCs/>
                <w:color w:val="auto"/>
              </w:rPr>
            </w:pPr>
            <w:r>
              <w:rPr>
                <w:rFonts w:hint="eastAsia"/>
                <w:b/>
                <w:bCs/>
                <w:color w:val="auto"/>
              </w:rPr>
              <w:t>污染治理措施</w:t>
            </w:r>
          </w:p>
        </w:tc>
        <w:tc>
          <w:tcPr>
            <w:tcW w:w="517" w:type="pct"/>
            <w:vMerge w:val="restart"/>
            <w:vAlign w:val="center"/>
          </w:tcPr>
          <w:p w14:paraId="0B3BBDE8">
            <w:pPr>
              <w:pStyle w:val="182"/>
              <w:bidi w:val="0"/>
              <w:rPr>
                <w:b/>
                <w:bCs/>
                <w:color w:val="auto"/>
              </w:rPr>
            </w:pPr>
            <w:r>
              <w:rPr>
                <w:rFonts w:hint="eastAsia"/>
                <w:b/>
                <w:bCs/>
                <w:color w:val="auto"/>
              </w:rPr>
              <w:t>排放口编号</w:t>
            </w:r>
          </w:p>
        </w:tc>
        <w:tc>
          <w:tcPr>
            <w:tcW w:w="577" w:type="pct"/>
            <w:vMerge w:val="restart"/>
            <w:vAlign w:val="center"/>
          </w:tcPr>
          <w:p w14:paraId="40D05E6B">
            <w:pPr>
              <w:pStyle w:val="182"/>
              <w:bidi w:val="0"/>
              <w:rPr>
                <w:b/>
                <w:bCs/>
                <w:color w:val="auto"/>
              </w:rPr>
            </w:pPr>
            <w:r>
              <w:rPr>
                <w:rFonts w:hint="eastAsia"/>
                <w:b/>
                <w:bCs/>
                <w:color w:val="auto"/>
              </w:rPr>
              <w:t>排放口设置是否符合要求</w:t>
            </w:r>
          </w:p>
        </w:tc>
        <w:tc>
          <w:tcPr>
            <w:tcW w:w="401" w:type="pct"/>
            <w:vMerge w:val="restart"/>
            <w:vAlign w:val="center"/>
          </w:tcPr>
          <w:p w14:paraId="433B42E2">
            <w:pPr>
              <w:pStyle w:val="182"/>
              <w:bidi w:val="0"/>
              <w:rPr>
                <w:b/>
                <w:bCs/>
                <w:color w:val="auto"/>
              </w:rPr>
            </w:pPr>
            <w:r>
              <w:rPr>
                <w:rFonts w:hint="eastAsia"/>
                <w:b/>
                <w:bCs/>
                <w:color w:val="auto"/>
              </w:rPr>
              <w:t>排放口类型</w:t>
            </w:r>
          </w:p>
        </w:tc>
      </w:tr>
      <w:tr w14:paraId="5FB67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vMerge w:val="continue"/>
            <w:vAlign w:val="center"/>
          </w:tcPr>
          <w:p w14:paraId="223454EB">
            <w:pPr>
              <w:pStyle w:val="182"/>
              <w:bidi w:val="0"/>
              <w:rPr>
                <w:b/>
                <w:bCs/>
                <w:color w:val="auto"/>
              </w:rPr>
            </w:pPr>
          </w:p>
        </w:tc>
        <w:tc>
          <w:tcPr>
            <w:tcW w:w="555" w:type="pct"/>
            <w:vMerge w:val="continue"/>
            <w:vAlign w:val="center"/>
          </w:tcPr>
          <w:p w14:paraId="188B0F18">
            <w:pPr>
              <w:pStyle w:val="182"/>
              <w:bidi w:val="0"/>
              <w:rPr>
                <w:b/>
                <w:bCs/>
                <w:color w:val="auto"/>
              </w:rPr>
            </w:pPr>
          </w:p>
        </w:tc>
        <w:tc>
          <w:tcPr>
            <w:tcW w:w="488" w:type="pct"/>
            <w:vMerge w:val="continue"/>
            <w:vAlign w:val="center"/>
          </w:tcPr>
          <w:p w14:paraId="648F028D">
            <w:pPr>
              <w:pStyle w:val="182"/>
              <w:bidi w:val="0"/>
              <w:rPr>
                <w:b/>
                <w:bCs/>
                <w:color w:val="auto"/>
              </w:rPr>
            </w:pPr>
          </w:p>
        </w:tc>
        <w:tc>
          <w:tcPr>
            <w:tcW w:w="488" w:type="pct"/>
            <w:vMerge w:val="continue"/>
            <w:vAlign w:val="center"/>
          </w:tcPr>
          <w:p w14:paraId="3D8AD634">
            <w:pPr>
              <w:pStyle w:val="182"/>
              <w:bidi w:val="0"/>
              <w:rPr>
                <w:b/>
                <w:bCs/>
                <w:color w:val="auto"/>
              </w:rPr>
            </w:pPr>
          </w:p>
        </w:tc>
        <w:tc>
          <w:tcPr>
            <w:tcW w:w="503" w:type="pct"/>
            <w:vAlign w:val="center"/>
          </w:tcPr>
          <w:p w14:paraId="2DCFEA90">
            <w:pPr>
              <w:pStyle w:val="182"/>
              <w:bidi w:val="0"/>
              <w:rPr>
                <w:b/>
                <w:bCs/>
                <w:color w:val="auto"/>
              </w:rPr>
            </w:pPr>
            <w:r>
              <w:rPr>
                <w:rFonts w:hint="eastAsia"/>
                <w:b/>
                <w:bCs/>
                <w:color w:val="auto"/>
              </w:rPr>
              <w:t>污染治理措施编号</w:t>
            </w:r>
          </w:p>
        </w:tc>
        <w:tc>
          <w:tcPr>
            <w:tcW w:w="488" w:type="pct"/>
            <w:vAlign w:val="center"/>
          </w:tcPr>
          <w:p w14:paraId="3B1F6C09">
            <w:pPr>
              <w:pStyle w:val="182"/>
              <w:bidi w:val="0"/>
              <w:rPr>
                <w:b/>
                <w:bCs/>
                <w:color w:val="auto"/>
              </w:rPr>
            </w:pPr>
            <w:r>
              <w:rPr>
                <w:rFonts w:hint="eastAsia"/>
                <w:b/>
                <w:bCs/>
                <w:color w:val="auto"/>
              </w:rPr>
              <w:t>污染治理措施名称</w:t>
            </w:r>
          </w:p>
        </w:tc>
        <w:tc>
          <w:tcPr>
            <w:tcW w:w="497" w:type="pct"/>
            <w:vAlign w:val="center"/>
          </w:tcPr>
          <w:p w14:paraId="1E6D6F76">
            <w:pPr>
              <w:pStyle w:val="182"/>
              <w:bidi w:val="0"/>
              <w:rPr>
                <w:b/>
                <w:bCs/>
                <w:color w:val="auto"/>
              </w:rPr>
            </w:pPr>
            <w:r>
              <w:rPr>
                <w:rFonts w:hint="eastAsia"/>
                <w:b/>
                <w:bCs/>
                <w:color w:val="auto"/>
              </w:rPr>
              <w:t>污染治理措施工艺</w:t>
            </w:r>
          </w:p>
        </w:tc>
        <w:tc>
          <w:tcPr>
            <w:tcW w:w="517" w:type="pct"/>
            <w:vMerge w:val="continue"/>
            <w:vAlign w:val="center"/>
          </w:tcPr>
          <w:p w14:paraId="5F749721">
            <w:pPr>
              <w:pStyle w:val="182"/>
              <w:bidi w:val="0"/>
              <w:rPr>
                <w:b/>
                <w:bCs/>
                <w:color w:val="auto"/>
              </w:rPr>
            </w:pPr>
          </w:p>
        </w:tc>
        <w:tc>
          <w:tcPr>
            <w:tcW w:w="577" w:type="pct"/>
            <w:vMerge w:val="continue"/>
            <w:vAlign w:val="center"/>
          </w:tcPr>
          <w:p w14:paraId="51360582">
            <w:pPr>
              <w:pStyle w:val="182"/>
              <w:bidi w:val="0"/>
              <w:rPr>
                <w:b/>
                <w:bCs/>
                <w:color w:val="auto"/>
              </w:rPr>
            </w:pPr>
          </w:p>
        </w:tc>
        <w:tc>
          <w:tcPr>
            <w:tcW w:w="401" w:type="pct"/>
            <w:vMerge w:val="continue"/>
            <w:vAlign w:val="center"/>
          </w:tcPr>
          <w:p w14:paraId="62B747D9">
            <w:pPr>
              <w:pStyle w:val="182"/>
              <w:bidi w:val="0"/>
              <w:rPr>
                <w:b/>
                <w:bCs/>
                <w:color w:val="auto"/>
              </w:rPr>
            </w:pPr>
          </w:p>
        </w:tc>
      </w:tr>
      <w:tr w14:paraId="7782F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vAlign w:val="center"/>
          </w:tcPr>
          <w:p w14:paraId="01E7FEE1">
            <w:pPr>
              <w:pStyle w:val="182"/>
              <w:bidi w:val="0"/>
              <w:rPr>
                <w:rFonts w:hint="default" w:eastAsia="宋体"/>
                <w:color w:val="auto"/>
                <w:lang w:val="en-US" w:eastAsia="zh-CN"/>
              </w:rPr>
            </w:pPr>
            <w:r>
              <w:rPr>
                <w:rFonts w:hint="eastAsia"/>
                <w:color w:val="auto"/>
                <w:lang w:val="en-US" w:eastAsia="zh-CN"/>
              </w:rPr>
              <w:t>蒸发回收、废气处理设施</w:t>
            </w:r>
            <w:r>
              <w:rPr>
                <w:rFonts w:hint="eastAsia"/>
                <w:color w:val="auto"/>
              </w:rPr>
              <w:t>废水</w:t>
            </w:r>
            <w:r>
              <w:rPr>
                <w:rFonts w:hint="eastAsia"/>
                <w:color w:val="auto"/>
                <w:lang w:eastAsia="zh-CN"/>
              </w:rPr>
              <w:t>、</w:t>
            </w:r>
            <w:r>
              <w:rPr>
                <w:rFonts w:hint="eastAsia"/>
                <w:color w:val="auto"/>
                <w:lang w:val="en-US" w:eastAsia="zh-CN"/>
              </w:rPr>
              <w:t>清洗废水</w:t>
            </w:r>
          </w:p>
        </w:tc>
        <w:tc>
          <w:tcPr>
            <w:tcW w:w="555" w:type="pct"/>
            <w:vAlign w:val="center"/>
          </w:tcPr>
          <w:p w14:paraId="6A884C8E">
            <w:pPr>
              <w:pStyle w:val="182"/>
              <w:bidi w:val="0"/>
              <w:rPr>
                <w:color w:val="auto"/>
              </w:rPr>
            </w:pPr>
            <w:r>
              <w:rPr>
                <w:rFonts w:hint="eastAsia"/>
                <w:color w:val="auto"/>
              </w:rPr>
              <w:t>COD、BOD</w:t>
            </w:r>
            <w:r>
              <w:rPr>
                <w:color w:val="auto"/>
                <w:vertAlign w:val="subscript"/>
              </w:rPr>
              <w:t>5</w:t>
            </w:r>
            <w:r>
              <w:rPr>
                <w:rFonts w:hint="eastAsia"/>
                <w:color w:val="auto"/>
              </w:rPr>
              <w:t>、SS、NH</w:t>
            </w:r>
            <w:r>
              <w:rPr>
                <w:rFonts w:hint="eastAsia"/>
                <w:color w:val="auto"/>
                <w:vertAlign w:val="subscript"/>
              </w:rPr>
              <w:t>3</w:t>
            </w:r>
            <w:r>
              <w:rPr>
                <w:rFonts w:hint="eastAsia"/>
                <w:color w:val="auto"/>
              </w:rPr>
              <w:t>-N、TP、TN</w:t>
            </w:r>
          </w:p>
        </w:tc>
        <w:tc>
          <w:tcPr>
            <w:tcW w:w="488" w:type="pct"/>
            <w:vAlign w:val="center"/>
          </w:tcPr>
          <w:p w14:paraId="65CCEB8C">
            <w:pPr>
              <w:pStyle w:val="182"/>
              <w:bidi w:val="0"/>
              <w:rPr>
                <w:color w:val="auto"/>
              </w:rPr>
            </w:pPr>
            <w:r>
              <w:rPr>
                <w:rFonts w:hint="eastAsia"/>
                <w:color w:val="auto"/>
              </w:rPr>
              <w:t>小店污水处理厂</w:t>
            </w:r>
          </w:p>
        </w:tc>
        <w:tc>
          <w:tcPr>
            <w:tcW w:w="488" w:type="pct"/>
            <w:vAlign w:val="center"/>
          </w:tcPr>
          <w:p w14:paraId="36CA5C71">
            <w:pPr>
              <w:pStyle w:val="182"/>
              <w:bidi w:val="0"/>
              <w:rPr>
                <w:color w:val="auto"/>
              </w:rPr>
            </w:pPr>
            <w:r>
              <w:rPr>
                <w:rFonts w:hint="eastAsia"/>
                <w:color w:val="auto"/>
              </w:rPr>
              <w:t>连续排放</w:t>
            </w:r>
          </w:p>
        </w:tc>
        <w:tc>
          <w:tcPr>
            <w:tcW w:w="503" w:type="pct"/>
            <w:vAlign w:val="center"/>
          </w:tcPr>
          <w:p w14:paraId="63985D02">
            <w:pPr>
              <w:pStyle w:val="182"/>
              <w:bidi w:val="0"/>
              <w:rPr>
                <w:color w:val="auto"/>
              </w:rPr>
            </w:pPr>
            <w:r>
              <w:rPr>
                <w:rFonts w:hint="eastAsia"/>
                <w:color w:val="auto"/>
              </w:rPr>
              <w:t>TW</w:t>
            </w:r>
            <w:r>
              <w:rPr>
                <w:color w:val="auto"/>
              </w:rPr>
              <w:t>001</w:t>
            </w:r>
          </w:p>
        </w:tc>
        <w:tc>
          <w:tcPr>
            <w:tcW w:w="488" w:type="pct"/>
            <w:vAlign w:val="center"/>
          </w:tcPr>
          <w:p w14:paraId="7E41BEF0">
            <w:pPr>
              <w:pStyle w:val="182"/>
              <w:bidi w:val="0"/>
              <w:rPr>
                <w:color w:val="auto"/>
              </w:rPr>
            </w:pPr>
            <w:r>
              <w:rPr>
                <w:rFonts w:hint="eastAsia"/>
                <w:color w:val="auto"/>
              </w:rPr>
              <w:t>新乡化纤股份有限公司新厂区污水处理站</w:t>
            </w:r>
          </w:p>
        </w:tc>
        <w:tc>
          <w:tcPr>
            <w:tcW w:w="497" w:type="pct"/>
            <w:vAlign w:val="center"/>
          </w:tcPr>
          <w:p w14:paraId="383701BD">
            <w:pPr>
              <w:pStyle w:val="182"/>
              <w:bidi w:val="0"/>
              <w:jc w:val="both"/>
              <w:rPr>
                <w:rFonts w:hint="eastAsia" w:eastAsia="宋体"/>
                <w:color w:val="auto"/>
                <w:lang w:eastAsia="zh-CN"/>
              </w:rPr>
            </w:pPr>
            <w:r>
              <w:rPr>
                <w:rFonts w:hint="eastAsia"/>
                <w:color w:val="auto"/>
                <w:lang w:eastAsia="zh-CN"/>
              </w:rPr>
              <w:t>调节+混合池+沉淀+水解酸化+氧化沟+二沉池</w:t>
            </w:r>
          </w:p>
        </w:tc>
        <w:tc>
          <w:tcPr>
            <w:tcW w:w="517" w:type="pct"/>
            <w:vAlign w:val="center"/>
          </w:tcPr>
          <w:p w14:paraId="69EA4F2D">
            <w:pPr>
              <w:pStyle w:val="182"/>
              <w:bidi w:val="0"/>
              <w:rPr>
                <w:color w:val="auto"/>
              </w:rPr>
            </w:pPr>
            <w:r>
              <w:rPr>
                <w:rFonts w:hint="eastAsia"/>
                <w:color w:val="auto"/>
              </w:rPr>
              <w:t>DW</w:t>
            </w:r>
            <w:r>
              <w:rPr>
                <w:color w:val="auto"/>
              </w:rPr>
              <w:t>001</w:t>
            </w:r>
          </w:p>
        </w:tc>
        <w:tc>
          <w:tcPr>
            <w:tcW w:w="577" w:type="pct"/>
            <w:vAlign w:val="center"/>
          </w:tcPr>
          <w:p w14:paraId="4D1B982A">
            <w:pPr>
              <w:pStyle w:val="182"/>
              <w:bidi w:val="0"/>
              <w:rPr>
                <w:color w:val="auto"/>
              </w:rPr>
            </w:pPr>
            <w:r>
              <w:rPr>
                <w:rFonts w:hint="eastAsia"/>
                <w:color w:val="auto"/>
              </w:rPr>
              <w:t>是</w:t>
            </w:r>
          </w:p>
        </w:tc>
        <w:tc>
          <w:tcPr>
            <w:tcW w:w="401" w:type="pct"/>
            <w:vAlign w:val="center"/>
          </w:tcPr>
          <w:p w14:paraId="60BB7770">
            <w:pPr>
              <w:pStyle w:val="182"/>
              <w:bidi w:val="0"/>
              <w:rPr>
                <w:color w:val="auto"/>
              </w:rPr>
            </w:pPr>
            <w:r>
              <w:rPr>
                <w:rFonts w:hint="eastAsia"/>
                <w:color w:val="auto"/>
              </w:rPr>
              <w:t>总排放口</w:t>
            </w:r>
          </w:p>
        </w:tc>
      </w:tr>
    </w:tbl>
    <w:p w14:paraId="7D536372">
      <w:pPr>
        <w:bidi w:val="0"/>
        <w:rPr>
          <w:color w:val="auto"/>
        </w:rPr>
      </w:pPr>
      <w:r>
        <w:rPr>
          <w:rFonts w:hint="eastAsia"/>
          <w:color w:val="auto"/>
        </w:rPr>
        <w:t>2）废水间接排放口基本情况</w:t>
      </w:r>
    </w:p>
    <w:p w14:paraId="149ADD6C">
      <w:pPr>
        <w:pStyle w:val="10"/>
        <w:bidi w:val="0"/>
        <w:rPr>
          <w:rFonts w:hint="eastAsia"/>
        </w:rPr>
      </w:pPr>
      <w:r>
        <w:rPr>
          <w:rFonts w:hint="eastAsia"/>
        </w:rPr>
        <w:t xml:space="preserve">表 </w:t>
      </w:r>
      <w:r>
        <w:rPr>
          <w:rFonts w:hint="eastAsia"/>
        </w:rPr>
        <w:fldChar w:fldCharType="begin"/>
      </w:r>
      <w:r>
        <w:rPr>
          <w:rFonts w:hint="eastAsia"/>
        </w:rPr>
        <w:instrText xml:space="preserve"> STYLEREF 2 \s </w:instrText>
      </w:r>
      <w:r>
        <w:rPr>
          <w:rFonts w:hint="eastAsia"/>
        </w:rPr>
        <w:fldChar w:fldCharType="separate"/>
      </w:r>
      <w:r>
        <w:rPr>
          <w:rFonts w:hint="eastAsia"/>
        </w:rPr>
        <w:t>4.6</w:t>
      </w:r>
      <w:r>
        <w:rPr>
          <w:rFonts w:hint="eastAsia"/>
        </w:rPr>
        <w:fldChar w:fldCharType="end"/>
      </w:r>
      <w:r>
        <w:rPr>
          <w:rFonts w:hint="eastAsia"/>
          <w:lang w:eastAsia="zh-CN"/>
        </w:rPr>
        <w:t>-</w:t>
      </w:r>
      <w:r>
        <w:rPr>
          <w:rFonts w:hint="eastAsia"/>
        </w:rPr>
        <w:fldChar w:fldCharType="begin"/>
      </w:r>
      <w:r>
        <w:rPr>
          <w:rFonts w:hint="eastAsia"/>
        </w:rPr>
        <w:instrText xml:space="preserve"> SEQ 表 \* ARABIC \s 2 </w:instrText>
      </w:r>
      <w:r>
        <w:rPr>
          <w:rFonts w:hint="eastAsia"/>
        </w:rPr>
        <w:fldChar w:fldCharType="separate"/>
      </w:r>
      <w:r>
        <w:rPr>
          <w:rFonts w:hint="eastAsia"/>
        </w:rPr>
        <w:t>12</w:t>
      </w:r>
      <w:r>
        <w:rPr>
          <w:rFonts w:hint="eastAsia"/>
        </w:rPr>
        <w:fldChar w:fldCharType="end"/>
      </w:r>
      <w:r>
        <w:rPr>
          <w:rFonts w:hint="eastAsia"/>
        </w:rPr>
        <w:t xml:space="preserve"> </w:t>
      </w:r>
      <w:r>
        <w:rPr>
          <w:rFonts w:hint="eastAsia"/>
          <w:lang w:val="en-US" w:eastAsia="zh-CN"/>
        </w:rPr>
        <w:t>本项目</w:t>
      </w:r>
      <w:r>
        <w:rPr>
          <w:rFonts w:hint="eastAsia"/>
        </w:rPr>
        <w:t>废水排放口基本信息表</w:t>
      </w:r>
    </w:p>
    <w:tbl>
      <w:tblPr>
        <w:tblStyle w:val="3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3"/>
        <w:gridCol w:w="1091"/>
        <w:gridCol w:w="1159"/>
        <w:gridCol w:w="920"/>
        <w:gridCol w:w="727"/>
        <w:gridCol w:w="534"/>
        <w:gridCol w:w="477"/>
        <w:gridCol w:w="670"/>
        <w:gridCol w:w="828"/>
        <w:gridCol w:w="1279"/>
      </w:tblGrid>
      <w:tr w14:paraId="179E9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488" w:type="pct"/>
            <w:vMerge w:val="restart"/>
            <w:vAlign w:val="center"/>
          </w:tcPr>
          <w:p w14:paraId="109F8E06">
            <w:pPr>
              <w:pStyle w:val="182"/>
              <w:bidi w:val="0"/>
              <w:rPr>
                <w:color w:val="auto"/>
              </w:rPr>
            </w:pPr>
            <w:r>
              <w:rPr>
                <w:rFonts w:hint="eastAsia"/>
                <w:color w:val="auto"/>
              </w:rPr>
              <w:t>排放口</w:t>
            </w:r>
          </w:p>
          <w:p w14:paraId="234A3A67">
            <w:pPr>
              <w:pStyle w:val="182"/>
              <w:bidi w:val="0"/>
              <w:rPr>
                <w:color w:val="auto"/>
              </w:rPr>
            </w:pPr>
            <w:r>
              <w:rPr>
                <w:rFonts w:hint="eastAsia"/>
                <w:color w:val="auto"/>
              </w:rPr>
              <w:t>编号</w:t>
            </w:r>
          </w:p>
        </w:tc>
        <w:tc>
          <w:tcPr>
            <w:tcW w:w="1320" w:type="pct"/>
            <w:gridSpan w:val="2"/>
            <w:vAlign w:val="center"/>
          </w:tcPr>
          <w:p w14:paraId="4FEFCED7">
            <w:pPr>
              <w:pStyle w:val="182"/>
              <w:bidi w:val="0"/>
              <w:rPr>
                <w:color w:val="auto"/>
              </w:rPr>
            </w:pPr>
            <w:r>
              <w:rPr>
                <w:rFonts w:hint="eastAsia"/>
                <w:color w:val="auto"/>
              </w:rPr>
              <w:t>排放口地理坐标</w:t>
            </w:r>
          </w:p>
        </w:tc>
        <w:tc>
          <w:tcPr>
            <w:tcW w:w="540" w:type="pct"/>
            <w:vMerge w:val="restart"/>
            <w:vAlign w:val="center"/>
          </w:tcPr>
          <w:p w14:paraId="12289552">
            <w:pPr>
              <w:pStyle w:val="182"/>
              <w:bidi w:val="0"/>
              <w:rPr>
                <w:color w:val="auto"/>
              </w:rPr>
            </w:pPr>
            <w:r>
              <w:rPr>
                <w:rFonts w:hint="eastAsia"/>
                <w:color w:val="auto"/>
                <w:lang w:val="en-US" w:eastAsia="zh-CN"/>
              </w:rPr>
              <w:t>本项目</w:t>
            </w:r>
            <w:r>
              <w:rPr>
                <w:rFonts w:hint="eastAsia"/>
                <w:color w:val="auto"/>
              </w:rPr>
              <w:t>废水排放量（万t/a）</w:t>
            </w:r>
          </w:p>
        </w:tc>
        <w:tc>
          <w:tcPr>
            <w:tcW w:w="426" w:type="pct"/>
            <w:vMerge w:val="restart"/>
            <w:vAlign w:val="center"/>
          </w:tcPr>
          <w:p w14:paraId="4160443F">
            <w:pPr>
              <w:pStyle w:val="182"/>
              <w:bidi w:val="0"/>
              <w:rPr>
                <w:color w:val="auto"/>
              </w:rPr>
            </w:pPr>
            <w:r>
              <w:rPr>
                <w:rFonts w:hint="eastAsia"/>
                <w:color w:val="auto"/>
              </w:rPr>
              <w:t>排放去向</w:t>
            </w:r>
          </w:p>
        </w:tc>
        <w:tc>
          <w:tcPr>
            <w:tcW w:w="313" w:type="pct"/>
            <w:vMerge w:val="restart"/>
            <w:vAlign w:val="center"/>
          </w:tcPr>
          <w:p w14:paraId="0110E4C0">
            <w:pPr>
              <w:pStyle w:val="182"/>
              <w:bidi w:val="0"/>
              <w:rPr>
                <w:color w:val="auto"/>
              </w:rPr>
            </w:pPr>
            <w:r>
              <w:rPr>
                <w:rFonts w:hint="eastAsia"/>
                <w:color w:val="auto"/>
              </w:rPr>
              <w:t>排放规律</w:t>
            </w:r>
          </w:p>
        </w:tc>
        <w:tc>
          <w:tcPr>
            <w:tcW w:w="280" w:type="pct"/>
            <w:vMerge w:val="restart"/>
            <w:vAlign w:val="center"/>
          </w:tcPr>
          <w:p w14:paraId="155C0E0D">
            <w:pPr>
              <w:pStyle w:val="182"/>
              <w:bidi w:val="0"/>
              <w:rPr>
                <w:color w:val="auto"/>
              </w:rPr>
            </w:pPr>
            <w:r>
              <w:rPr>
                <w:rFonts w:hint="eastAsia"/>
                <w:color w:val="auto"/>
              </w:rPr>
              <w:t>间歇</w:t>
            </w:r>
          </w:p>
          <w:p w14:paraId="047370E5">
            <w:pPr>
              <w:pStyle w:val="182"/>
              <w:bidi w:val="0"/>
              <w:rPr>
                <w:color w:val="auto"/>
              </w:rPr>
            </w:pPr>
            <w:r>
              <w:rPr>
                <w:rFonts w:hint="eastAsia"/>
                <w:color w:val="auto"/>
              </w:rPr>
              <w:t>排放</w:t>
            </w:r>
          </w:p>
          <w:p w14:paraId="32ADAF08">
            <w:pPr>
              <w:pStyle w:val="182"/>
              <w:bidi w:val="0"/>
              <w:rPr>
                <w:color w:val="auto"/>
              </w:rPr>
            </w:pPr>
            <w:r>
              <w:rPr>
                <w:rFonts w:hint="eastAsia"/>
                <w:color w:val="auto"/>
              </w:rPr>
              <w:t>时段</w:t>
            </w:r>
          </w:p>
        </w:tc>
        <w:tc>
          <w:tcPr>
            <w:tcW w:w="1630" w:type="pct"/>
            <w:gridSpan w:val="3"/>
            <w:vAlign w:val="center"/>
          </w:tcPr>
          <w:p w14:paraId="16618114">
            <w:pPr>
              <w:pStyle w:val="182"/>
              <w:bidi w:val="0"/>
              <w:rPr>
                <w:color w:val="auto"/>
              </w:rPr>
            </w:pPr>
            <w:r>
              <w:rPr>
                <w:rFonts w:hint="eastAsia"/>
                <w:color w:val="auto"/>
              </w:rPr>
              <w:t>受纳污水处理厂信息</w:t>
            </w:r>
          </w:p>
        </w:tc>
      </w:tr>
      <w:tr w14:paraId="65289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8" w:type="pct"/>
            <w:vMerge w:val="continue"/>
            <w:vAlign w:val="center"/>
          </w:tcPr>
          <w:p w14:paraId="737DD2E3">
            <w:pPr>
              <w:pStyle w:val="182"/>
              <w:bidi w:val="0"/>
              <w:rPr>
                <w:color w:val="auto"/>
              </w:rPr>
            </w:pPr>
          </w:p>
        </w:tc>
        <w:tc>
          <w:tcPr>
            <w:tcW w:w="640" w:type="pct"/>
            <w:vAlign w:val="center"/>
          </w:tcPr>
          <w:p w14:paraId="1472DBE7">
            <w:pPr>
              <w:pStyle w:val="182"/>
              <w:bidi w:val="0"/>
              <w:rPr>
                <w:color w:val="auto"/>
              </w:rPr>
            </w:pPr>
            <w:r>
              <w:rPr>
                <w:rFonts w:hint="eastAsia"/>
                <w:color w:val="auto"/>
              </w:rPr>
              <w:t>经度</w:t>
            </w:r>
          </w:p>
        </w:tc>
        <w:tc>
          <w:tcPr>
            <w:tcW w:w="680" w:type="pct"/>
            <w:vAlign w:val="center"/>
          </w:tcPr>
          <w:p w14:paraId="770AF9E4">
            <w:pPr>
              <w:pStyle w:val="182"/>
              <w:bidi w:val="0"/>
              <w:rPr>
                <w:color w:val="auto"/>
              </w:rPr>
            </w:pPr>
            <w:r>
              <w:rPr>
                <w:rFonts w:hint="eastAsia"/>
                <w:color w:val="auto"/>
              </w:rPr>
              <w:t>纬度</w:t>
            </w:r>
          </w:p>
        </w:tc>
        <w:tc>
          <w:tcPr>
            <w:tcW w:w="540" w:type="pct"/>
            <w:vMerge w:val="continue"/>
            <w:vAlign w:val="center"/>
          </w:tcPr>
          <w:p w14:paraId="57B1038E">
            <w:pPr>
              <w:pStyle w:val="182"/>
              <w:bidi w:val="0"/>
              <w:rPr>
                <w:color w:val="auto"/>
              </w:rPr>
            </w:pPr>
          </w:p>
        </w:tc>
        <w:tc>
          <w:tcPr>
            <w:tcW w:w="426" w:type="pct"/>
            <w:vMerge w:val="continue"/>
            <w:vAlign w:val="center"/>
          </w:tcPr>
          <w:p w14:paraId="38F7C68F">
            <w:pPr>
              <w:pStyle w:val="182"/>
              <w:bidi w:val="0"/>
              <w:rPr>
                <w:color w:val="auto"/>
              </w:rPr>
            </w:pPr>
          </w:p>
        </w:tc>
        <w:tc>
          <w:tcPr>
            <w:tcW w:w="313" w:type="pct"/>
            <w:vMerge w:val="continue"/>
            <w:vAlign w:val="center"/>
          </w:tcPr>
          <w:p w14:paraId="1B09592D">
            <w:pPr>
              <w:pStyle w:val="182"/>
              <w:bidi w:val="0"/>
              <w:rPr>
                <w:color w:val="auto"/>
              </w:rPr>
            </w:pPr>
          </w:p>
        </w:tc>
        <w:tc>
          <w:tcPr>
            <w:tcW w:w="280" w:type="pct"/>
            <w:vMerge w:val="continue"/>
            <w:vAlign w:val="center"/>
          </w:tcPr>
          <w:p w14:paraId="2F62010C">
            <w:pPr>
              <w:pStyle w:val="182"/>
              <w:bidi w:val="0"/>
              <w:rPr>
                <w:color w:val="auto"/>
              </w:rPr>
            </w:pPr>
          </w:p>
        </w:tc>
        <w:tc>
          <w:tcPr>
            <w:tcW w:w="393" w:type="pct"/>
            <w:vAlign w:val="center"/>
          </w:tcPr>
          <w:p w14:paraId="371E06DA">
            <w:pPr>
              <w:pStyle w:val="182"/>
              <w:bidi w:val="0"/>
              <w:rPr>
                <w:color w:val="auto"/>
              </w:rPr>
            </w:pPr>
            <w:r>
              <w:rPr>
                <w:rFonts w:hint="eastAsia"/>
                <w:color w:val="auto"/>
              </w:rPr>
              <w:t>名称</w:t>
            </w:r>
          </w:p>
        </w:tc>
        <w:tc>
          <w:tcPr>
            <w:tcW w:w="486" w:type="pct"/>
            <w:vAlign w:val="center"/>
          </w:tcPr>
          <w:p w14:paraId="4A38FB25">
            <w:pPr>
              <w:pStyle w:val="182"/>
              <w:bidi w:val="0"/>
              <w:rPr>
                <w:color w:val="auto"/>
              </w:rPr>
            </w:pPr>
            <w:r>
              <w:rPr>
                <w:rFonts w:hint="eastAsia"/>
                <w:color w:val="auto"/>
              </w:rPr>
              <w:t>污染物种类</w:t>
            </w:r>
          </w:p>
        </w:tc>
        <w:tc>
          <w:tcPr>
            <w:tcW w:w="750" w:type="pct"/>
            <w:vAlign w:val="center"/>
          </w:tcPr>
          <w:p w14:paraId="4D2FD0E9">
            <w:pPr>
              <w:pStyle w:val="182"/>
              <w:bidi w:val="0"/>
              <w:rPr>
                <w:color w:val="auto"/>
              </w:rPr>
            </w:pPr>
            <w:r>
              <w:rPr>
                <w:rFonts w:hint="eastAsia"/>
                <w:color w:val="auto"/>
              </w:rPr>
              <w:t>国家或地方污染物排放标准浓度限值（mg/L）</w:t>
            </w:r>
          </w:p>
        </w:tc>
      </w:tr>
      <w:tr w14:paraId="38B36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8" w:type="pct"/>
            <w:vMerge w:val="restart"/>
            <w:vAlign w:val="center"/>
          </w:tcPr>
          <w:p w14:paraId="1C12AB67">
            <w:pPr>
              <w:pStyle w:val="182"/>
              <w:bidi w:val="0"/>
              <w:rPr>
                <w:color w:val="auto"/>
              </w:rPr>
            </w:pPr>
            <w:r>
              <w:rPr>
                <w:rFonts w:hint="eastAsia"/>
                <w:color w:val="auto"/>
              </w:rPr>
              <w:t>DW</w:t>
            </w:r>
            <w:r>
              <w:rPr>
                <w:color w:val="auto"/>
              </w:rPr>
              <w:t>001</w:t>
            </w:r>
          </w:p>
        </w:tc>
        <w:tc>
          <w:tcPr>
            <w:tcW w:w="640" w:type="pct"/>
            <w:vMerge w:val="restart"/>
            <w:vAlign w:val="center"/>
          </w:tcPr>
          <w:p w14:paraId="086291CD">
            <w:pPr>
              <w:pStyle w:val="182"/>
              <w:bidi w:val="0"/>
              <w:rPr>
                <w:color w:val="auto"/>
              </w:rPr>
            </w:pPr>
            <w:r>
              <w:rPr>
                <w:color w:val="auto"/>
              </w:rPr>
              <w:t>114°03'35.33"</w:t>
            </w:r>
          </w:p>
        </w:tc>
        <w:tc>
          <w:tcPr>
            <w:tcW w:w="680" w:type="pct"/>
            <w:vMerge w:val="restart"/>
            <w:vAlign w:val="center"/>
          </w:tcPr>
          <w:p w14:paraId="555F9147">
            <w:pPr>
              <w:pStyle w:val="182"/>
              <w:bidi w:val="0"/>
              <w:rPr>
                <w:color w:val="auto"/>
              </w:rPr>
            </w:pPr>
            <w:r>
              <w:rPr>
                <w:color w:val="auto"/>
              </w:rPr>
              <w:t>35°17'04.24"</w:t>
            </w:r>
          </w:p>
        </w:tc>
        <w:tc>
          <w:tcPr>
            <w:tcW w:w="540" w:type="pct"/>
            <w:vMerge w:val="restart"/>
            <w:vAlign w:val="center"/>
          </w:tcPr>
          <w:p w14:paraId="068FE98E">
            <w:pPr>
              <w:pStyle w:val="182"/>
              <w:bidi w:val="0"/>
              <w:rPr>
                <w:rFonts w:hint="default" w:eastAsia="宋体"/>
                <w:color w:val="auto"/>
                <w:lang w:val="en-US" w:eastAsia="zh-CN"/>
              </w:rPr>
            </w:pPr>
            <w:r>
              <w:rPr>
                <w:rFonts w:hint="eastAsia"/>
                <w:b w:val="0"/>
                <w:bCs w:val="0"/>
                <w:color w:val="auto"/>
                <w:u w:val="none"/>
                <w:lang w:val="en-US" w:eastAsia="zh-CN"/>
              </w:rPr>
              <w:t>25.93</w:t>
            </w:r>
          </w:p>
        </w:tc>
        <w:tc>
          <w:tcPr>
            <w:tcW w:w="426" w:type="pct"/>
            <w:vMerge w:val="restart"/>
            <w:vAlign w:val="center"/>
          </w:tcPr>
          <w:p w14:paraId="30C4CC81">
            <w:pPr>
              <w:pStyle w:val="182"/>
              <w:bidi w:val="0"/>
              <w:rPr>
                <w:color w:val="auto"/>
              </w:rPr>
            </w:pPr>
            <w:r>
              <w:rPr>
                <w:rFonts w:hint="eastAsia"/>
                <w:color w:val="auto"/>
              </w:rPr>
              <w:t>城市污水处理厂</w:t>
            </w:r>
          </w:p>
        </w:tc>
        <w:tc>
          <w:tcPr>
            <w:tcW w:w="313" w:type="pct"/>
            <w:vMerge w:val="restart"/>
            <w:vAlign w:val="center"/>
          </w:tcPr>
          <w:p w14:paraId="6D153FF3">
            <w:pPr>
              <w:pStyle w:val="182"/>
              <w:bidi w:val="0"/>
              <w:rPr>
                <w:color w:val="auto"/>
              </w:rPr>
            </w:pPr>
            <w:r>
              <w:rPr>
                <w:rFonts w:hint="eastAsia"/>
                <w:color w:val="auto"/>
              </w:rPr>
              <w:t>连续排放</w:t>
            </w:r>
          </w:p>
        </w:tc>
        <w:tc>
          <w:tcPr>
            <w:tcW w:w="280" w:type="pct"/>
            <w:vMerge w:val="restart"/>
            <w:vAlign w:val="center"/>
          </w:tcPr>
          <w:p w14:paraId="670E1A21">
            <w:pPr>
              <w:pStyle w:val="182"/>
              <w:bidi w:val="0"/>
              <w:rPr>
                <w:color w:val="auto"/>
              </w:rPr>
            </w:pPr>
            <w:r>
              <w:rPr>
                <w:rFonts w:hint="eastAsia"/>
                <w:color w:val="auto"/>
              </w:rPr>
              <w:t>/</w:t>
            </w:r>
          </w:p>
        </w:tc>
        <w:tc>
          <w:tcPr>
            <w:tcW w:w="393" w:type="pct"/>
            <w:vMerge w:val="restart"/>
            <w:vAlign w:val="center"/>
          </w:tcPr>
          <w:p w14:paraId="23C871E4">
            <w:pPr>
              <w:pStyle w:val="182"/>
              <w:bidi w:val="0"/>
              <w:rPr>
                <w:color w:val="auto"/>
              </w:rPr>
            </w:pPr>
            <w:r>
              <w:rPr>
                <w:rFonts w:hint="eastAsia"/>
                <w:color w:val="auto"/>
              </w:rPr>
              <w:t>小店污水处理厂</w:t>
            </w:r>
          </w:p>
        </w:tc>
        <w:tc>
          <w:tcPr>
            <w:tcW w:w="486" w:type="pct"/>
            <w:vAlign w:val="center"/>
          </w:tcPr>
          <w:p w14:paraId="21199EC7">
            <w:pPr>
              <w:pStyle w:val="182"/>
              <w:bidi w:val="0"/>
              <w:rPr>
                <w:color w:val="auto"/>
              </w:rPr>
            </w:pPr>
            <w:r>
              <w:rPr>
                <w:rFonts w:hint="eastAsia"/>
                <w:color w:val="auto"/>
              </w:rPr>
              <w:t>COD</w:t>
            </w:r>
          </w:p>
        </w:tc>
        <w:tc>
          <w:tcPr>
            <w:tcW w:w="750" w:type="pct"/>
            <w:vAlign w:val="center"/>
          </w:tcPr>
          <w:p w14:paraId="38546540">
            <w:pPr>
              <w:pStyle w:val="182"/>
              <w:bidi w:val="0"/>
              <w:rPr>
                <w:color w:val="auto"/>
              </w:rPr>
            </w:pPr>
            <w:r>
              <w:rPr>
                <w:rFonts w:hint="eastAsia"/>
                <w:color w:val="auto"/>
              </w:rPr>
              <w:t>4</w:t>
            </w:r>
            <w:r>
              <w:rPr>
                <w:color w:val="auto"/>
              </w:rPr>
              <w:t>0</w:t>
            </w:r>
          </w:p>
        </w:tc>
      </w:tr>
      <w:tr w14:paraId="43770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8" w:type="pct"/>
            <w:vMerge w:val="continue"/>
            <w:vAlign w:val="center"/>
          </w:tcPr>
          <w:p w14:paraId="071A1869">
            <w:pPr>
              <w:pStyle w:val="182"/>
              <w:bidi w:val="0"/>
              <w:rPr>
                <w:color w:val="auto"/>
              </w:rPr>
            </w:pPr>
          </w:p>
        </w:tc>
        <w:tc>
          <w:tcPr>
            <w:tcW w:w="640" w:type="pct"/>
            <w:vMerge w:val="continue"/>
            <w:vAlign w:val="center"/>
          </w:tcPr>
          <w:p w14:paraId="7FBF7CAB">
            <w:pPr>
              <w:pStyle w:val="182"/>
              <w:bidi w:val="0"/>
              <w:rPr>
                <w:color w:val="auto"/>
              </w:rPr>
            </w:pPr>
          </w:p>
        </w:tc>
        <w:tc>
          <w:tcPr>
            <w:tcW w:w="680" w:type="pct"/>
            <w:vMerge w:val="continue"/>
            <w:vAlign w:val="center"/>
          </w:tcPr>
          <w:p w14:paraId="1CCBDB90">
            <w:pPr>
              <w:pStyle w:val="182"/>
              <w:bidi w:val="0"/>
              <w:rPr>
                <w:color w:val="auto"/>
              </w:rPr>
            </w:pPr>
          </w:p>
        </w:tc>
        <w:tc>
          <w:tcPr>
            <w:tcW w:w="540" w:type="pct"/>
            <w:vMerge w:val="continue"/>
            <w:vAlign w:val="center"/>
          </w:tcPr>
          <w:p w14:paraId="7BAF9A29">
            <w:pPr>
              <w:pStyle w:val="182"/>
              <w:bidi w:val="0"/>
              <w:rPr>
                <w:color w:val="auto"/>
              </w:rPr>
            </w:pPr>
          </w:p>
        </w:tc>
        <w:tc>
          <w:tcPr>
            <w:tcW w:w="426" w:type="pct"/>
            <w:vMerge w:val="continue"/>
            <w:vAlign w:val="center"/>
          </w:tcPr>
          <w:p w14:paraId="4A7B6CA7">
            <w:pPr>
              <w:pStyle w:val="182"/>
              <w:bidi w:val="0"/>
              <w:rPr>
                <w:color w:val="auto"/>
              </w:rPr>
            </w:pPr>
          </w:p>
        </w:tc>
        <w:tc>
          <w:tcPr>
            <w:tcW w:w="313" w:type="pct"/>
            <w:vMerge w:val="continue"/>
            <w:vAlign w:val="center"/>
          </w:tcPr>
          <w:p w14:paraId="18A49DD6">
            <w:pPr>
              <w:pStyle w:val="182"/>
              <w:bidi w:val="0"/>
              <w:rPr>
                <w:color w:val="auto"/>
              </w:rPr>
            </w:pPr>
          </w:p>
        </w:tc>
        <w:tc>
          <w:tcPr>
            <w:tcW w:w="280" w:type="pct"/>
            <w:vMerge w:val="continue"/>
            <w:vAlign w:val="center"/>
          </w:tcPr>
          <w:p w14:paraId="3B0A9CE9">
            <w:pPr>
              <w:pStyle w:val="182"/>
              <w:bidi w:val="0"/>
              <w:rPr>
                <w:color w:val="auto"/>
              </w:rPr>
            </w:pPr>
          </w:p>
        </w:tc>
        <w:tc>
          <w:tcPr>
            <w:tcW w:w="393" w:type="pct"/>
            <w:vMerge w:val="continue"/>
            <w:vAlign w:val="center"/>
          </w:tcPr>
          <w:p w14:paraId="57B1CACC">
            <w:pPr>
              <w:pStyle w:val="182"/>
              <w:bidi w:val="0"/>
              <w:rPr>
                <w:color w:val="auto"/>
              </w:rPr>
            </w:pPr>
          </w:p>
        </w:tc>
        <w:tc>
          <w:tcPr>
            <w:tcW w:w="486" w:type="pct"/>
            <w:vAlign w:val="center"/>
          </w:tcPr>
          <w:p w14:paraId="277A9444">
            <w:pPr>
              <w:pStyle w:val="182"/>
              <w:bidi w:val="0"/>
              <w:rPr>
                <w:color w:val="auto"/>
              </w:rPr>
            </w:pPr>
            <w:r>
              <w:rPr>
                <w:rFonts w:hint="eastAsia"/>
                <w:color w:val="auto"/>
              </w:rPr>
              <w:t>BOD</w:t>
            </w:r>
            <w:r>
              <w:rPr>
                <w:color w:val="auto"/>
                <w:vertAlign w:val="subscript"/>
              </w:rPr>
              <w:t>5</w:t>
            </w:r>
          </w:p>
        </w:tc>
        <w:tc>
          <w:tcPr>
            <w:tcW w:w="750" w:type="pct"/>
            <w:vAlign w:val="center"/>
          </w:tcPr>
          <w:p w14:paraId="51FD6327">
            <w:pPr>
              <w:pStyle w:val="182"/>
              <w:bidi w:val="0"/>
              <w:rPr>
                <w:color w:val="auto"/>
              </w:rPr>
            </w:pPr>
            <w:r>
              <w:rPr>
                <w:rFonts w:hint="eastAsia"/>
                <w:color w:val="auto"/>
              </w:rPr>
              <w:t>1</w:t>
            </w:r>
            <w:r>
              <w:rPr>
                <w:color w:val="auto"/>
              </w:rPr>
              <w:t>0</w:t>
            </w:r>
          </w:p>
        </w:tc>
      </w:tr>
      <w:tr w14:paraId="25D1D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8" w:type="pct"/>
            <w:vMerge w:val="continue"/>
            <w:vAlign w:val="center"/>
          </w:tcPr>
          <w:p w14:paraId="1B35A4C9">
            <w:pPr>
              <w:pStyle w:val="182"/>
              <w:bidi w:val="0"/>
              <w:rPr>
                <w:color w:val="auto"/>
              </w:rPr>
            </w:pPr>
          </w:p>
        </w:tc>
        <w:tc>
          <w:tcPr>
            <w:tcW w:w="640" w:type="pct"/>
            <w:vMerge w:val="continue"/>
            <w:vAlign w:val="center"/>
          </w:tcPr>
          <w:p w14:paraId="0B3BBED5">
            <w:pPr>
              <w:pStyle w:val="182"/>
              <w:bidi w:val="0"/>
              <w:rPr>
                <w:color w:val="auto"/>
              </w:rPr>
            </w:pPr>
          </w:p>
        </w:tc>
        <w:tc>
          <w:tcPr>
            <w:tcW w:w="680" w:type="pct"/>
            <w:vMerge w:val="continue"/>
            <w:vAlign w:val="center"/>
          </w:tcPr>
          <w:p w14:paraId="03976327">
            <w:pPr>
              <w:pStyle w:val="182"/>
              <w:bidi w:val="0"/>
              <w:rPr>
                <w:color w:val="auto"/>
              </w:rPr>
            </w:pPr>
          </w:p>
        </w:tc>
        <w:tc>
          <w:tcPr>
            <w:tcW w:w="540" w:type="pct"/>
            <w:vMerge w:val="continue"/>
            <w:vAlign w:val="center"/>
          </w:tcPr>
          <w:p w14:paraId="62319F0E">
            <w:pPr>
              <w:pStyle w:val="182"/>
              <w:bidi w:val="0"/>
              <w:rPr>
                <w:color w:val="auto"/>
              </w:rPr>
            </w:pPr>
          </w:p>
        </w:tc>
        <w:tc>
          <w:tcPr>
            <w:tcW w:w="426" w:type="pct"/>
            <w:vMerge w:val="continue"/>
            <w:vAlign w:val="center"/>
          </w:tcPr>
          <w:p w14:paraId="400913E0">
            <w:pPr>
              <w:pStyle w:val="182"/>
              <w:bidi w:val="0"/>
              <w:rPr>
                <w:color w:val="auto"/>
              </w:rPr>
            </w:pPr>
          </w:p>
        </w:tc>
        <w:tc>
          <w:tcPr>
            <w:tcW w:w="313" w:type="pct"/>
            <w:vMerge w:val="continue"/>
            <w:vAlign w:val="center"/>
          </w:tcPr>
          <w:p w14:paraId="1FC0AC5E">
            <w:pPr>
              <w:pStyle w:val="182"/>
              <w:bidi w:val="0"/>
              <w:rPr>
                <w:color w:val="auto"/>
              </w:rPr>
            </w:pPr>
          </w:p>
        </w:tc>
        <w:tc>
          <w:tcPr>
            <w:tcW w:w="280" w:type="pct"/>
            <w:vMerge w:val="continue"/>
            <w:vAlign w:val="center"/>
          </w:tcPr>
          <w:p w14:paraId="6614B69E">
            <w:pPr>
              <w:pStyle w:val="182"/>
              <w:bidi w:val="0"/>
              <w:rPr>
                <w:color w:val="auto"/>
              </w:rPr>
            </w:pPr>
          </w:p>
        </w:tc>
        <w:tc>
          <w:tcPr>
            <w:tcW w:w="393" w:type="pct"/>
            <w:vMerge w:val="continue"/>
            <w:vAlign w:val="center"/>
          </w:tcPr>
          <w:p w14:paraId="7D625BF4">
            <w:pPr>
              <w:pStyle w:val="182"/>
              <w:bidi w:val="0"/>
              <w:rPr>
                <w:color w:val="auto"/>
              </w:rPr>
            </w:pPr>
          </w:p>
        </w:tc>
        <w:tc>
          <w:tcPr>
            <w:tcW w:w="486" w:type="pct"/>
            <w:vAlign w:val="center"/>
          </w:tcPr>
          <w:p w14:paraId="37458FA7">
            <w:pPr>
              <w:pStyle w:val="182"/>
              <w:bidi w:val="0"/>
              <w:rPr>
                <w:color w:val="auto"/>
              </w:rPr>
            </w:pPr>
            <w:r>
              <w:rPr>
                <w:rFonts w:hint="eastAsia"/>
                <w:color w:val="auto"/>
              </w:rPr>
              <w:t>SS</w:t>
            </w:r>
          </w:p>
        </w:tc>
        <w:tc>
          <w:tcPr>
            <w:tcW w:w="750" w:type="pct"/>
            <w:vAlign w:val="center"/>
          </w:tcPr>
          <w:p w14:paraId="499C91C1">
            <w:pPr>
              <w:pStyle w:val="182"/>
              <w:bidi w:val="0"/>
              <w:rPr>
                <w:color w:val="auto"/>
              </w:rPr>
            </w:pPr>
            <w:r>
              <w:rPr>
                <w:rFonts w:hint="eastAsia"/>
                <w:color w:val="auto"/>
              </w:rPr>
              <w:t>1</w:t>
            </w:r>
            <w:r>
              <w:rPr>
                <w:color w:val="auto"/>
              </w:rPr>
              <w:t>0</w:t>
            </w:r>
          </w:p>
        </w:tc>
      </w:tr>
      <w:tr w14:paraId="2C2DD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8" w:type="pct"/>
            <w:vMerge w:val="continue"/>
            <w:vAlign w:val="center"/>
          </w:tcPr>
          <w:p w14:paraId="75E20F32">
            <w:pPr>
              <w:pStyle w:val="182"/>
              <w:bidi w:val="0"/>
              <w:rPr>
                <w:color w:val="auto"/>
              </w:rPr>
            </w:pPr>
          </w:p>
        </w:tc>
        <w:tc>
          <w:tcPr>
            <w:tcW w:w="640" w:type="pct"/>
            <w:vMerge w:val="continue"/>
            <w:vAlign w:val="center"/>
          </w:tcPr>
          <w:p w14:paraId="707B2DC4">
            <w:pPr>
              <w:pStyle w:val="182"/>
              <w:bidi w:val="0"/>
              <w:rPr>
                <w:color w:val="auto"/>
              </w:rPr>
            </w:pPr>
          </w:p>
        </w:tc>
        <w:tc>
          <w:tcPr>
            <w:tcW w:w="680" w:type="pct"/>
            <w:vMerge w:val="continue"/>
            <w:vAlign w:val="center"/>
          </w:tcPr>
          <w:p w14:paraId="3C735D62">
            <w:pPr>
              <w:pStyle w:val="182"/>
              <w:bidi w:val="0"/>
              <w:rPr>
                <w:color w:val="auto"/>
              </w:rPr>
            </w:pPr>
          </w:p>
        </w:tc>
        <w:tc>
          <w:tcPr>
            <w:tcW w:w="540" w:type="pct"/>
            <w:vMerge w:val="continue"/>
            <w:vAlign w:val="center"/>
          </w:tcPr>
          <w:p w14:paraId="08595804">
            <w:pPr>
              <w:pStyle w:val="182"/>
              <w:bidi w:val="0"/>
              <w:rPr>
                <w:color w:val="auto"/>
              </w:rPr>
            </w:pPr>
          </w:p>
        </w:tc>
        <w:tc>
          <w:tcPr>
            <w:tcW w:w="426" w:type="pct"/>
            <w:vMerge w:val="continue"/>
            <w:vAlign w:val="center"/>
          </w:tcPr>
          <w:p w14:paraId="1E06B9EB">
            <w:pPr>
              <w:pStyle w:val="182"/>
              <w:bidi w:val="0"/>
              <w:rPr>
                <w:color w:val="auto"/>
              </w:rPr>
            </w:pPr>
          </w:p>
        </w:tc>
        <w:tc>
          <w:tcPr>
            <w:tcW w:w="313" w:type="pct"/>
            <w:vMerge w:val="continue"/>
            <w:vAlign w:val="center"/>
          </w:tcPr>
          <w:p w14:paraId="5D229D7B">
            <w:pPr>
              <w:pStyle w:val="182"/>
              <w:bidi w:val="0"/>
              <w:rPr>
                <w:color w:val="auto"/>
              </w:rPr>
            </w:pPr>
          </w:p>
        </w:tc>
        <w:tc>
          <w:tcPr>
            <w:tcW w:w="280" w:type="pct"/>
            <w:vMerge w:val="continue"/>
            <w:vAlign w:val="center"/>
          </w:tcPr>
          <w:p w14:paraId="1DB81751">
            <w:pPr>
              <w:pStyle w:val="182"/>
              <w:bidi w:val="0"/>
              <w:rPr>
                <w:color w:val="auto"/>
              </w:rPr>
            </w:pPr>
          </w:p>
        </w:tc>
        <w:tc>
          <w:tcPr>
            <w:tcW w:w="393" w:type="pct"/>
            <w:vMerge w:val="continue"/>
            <w:vAlign w:val="center"/>
          </w:tcPr>
          <w:p w14:paraId="36D1545E">
            <w:pPr>
              <w:pStyle w:val="182"/>
              <w:bidi w:val="0"/>
              <w:rPr>
                <w:color w:val="auto"/>
              </w:rPr>
            </w:pPr>
          </w:p>
        </w:tc>
        <w:tc>
          <w:tcPr>
            <w:tcW w:w="486" w:type="pct"/>
            <w:vAlign w:val="center"/>
          </w:tcPr>
          <w:p w14:paraId="18883646">
            <w:pPr>
              <w:pStyle w:val="182"/>
              <w:bidi w:val="0"/>
              <w:rPr>
                <w:color w:val="auto"/>
              </w:rPr>
            </w:pPr>
            <w:r>
              <w:rPr>
                <w:rFonts w:hint="eastAsia"/>
                <w:color w:val="auto"/>
              </w:rPr>
              <w:t>NH</w:t>
            </w:r>
            <w:r>
              <w:rPr>
                <w:rFonts w:hint="eastAsia"/>
                <w:color w:val="auto"/>
                <w:vertAlign w:val="subscript"/>
              </w:rPr>
              <w:t>3</w:t>
            </w:r>
            <w:r>
              <w:rPr>
                <w:rFonts w:hint="eastAsia"/>
                <w:color w:val="auto"/>
              </w:rPr>
              <w:t>-N</w:t>
            </w:r>
          </w:p>
        </w:tc>
        <w:tc>
          <w:tcPr>
            <w:tcW w:w="750" w:type="pct"/>
            <w:vAlign w:val="center"/>
          </w:tcPr>
          <w:p w14:paraId="4FB1617F">
            <w:pPr>
              <w:pStyle w:val="182"/>
              <w:bidi w:val="0"/>
              <w:rPr>
                <w:color w:val="auto"/>
              </w:rPr>
            </w:pPr>
            <w:r>
              <w:rPr>
                <w:rFonts w:hint="eastAsia"/>
                <w:color w:val="auto"/>
              </w:rPr>
              <w:t>2</w:t>
            </w:r>
            <w:r>
              <w:rPr>
                <w:color w:val="auto"/>
              </w:rPr>
              <w:t>.0</w:t>
            </w:r>
          </w:p>
        </w:tc>
      </w:tr>
      <w:tr w14:paraId="50065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8" w:type="pct"/>
            <w:vMerge w:val="continue"/>
            <w:vAlign w:val="center"/>
          </w:tcPr>
          <w:p w14:paraId="7D20F9CF">
            <w:pPr>
              <w:pStyle w:val="182"/>
              <w:bidi w:val="0"/>
              <w:rPr>
                <w:color w:val="auto"/>
              </w:rPr>
            </w:pPr>
          </w:p>
        </w:tc>
        <w:tc>
          <w:tcPr>
            <w:tcW w:w="640" w:type="pct"/>
            <w:vMerge w:val="continue"/>
            <w:vAlign w:val="center"/>
          </w:tcPr>
          <w:p w14:paraId="6DCE1701">
            <w:pPr>
              <w:pStyle w:val="182"/>
              <w:bidi w:val="0"/>
              <w:rPr>
                <w:color w:val="auto"/>
              </w:rPr>
            </w:pPr>
          </w:p>
        </w:tc>
        <w:tc>
          <w:tcPr>
            <w:tcW w:w="680" w:type="pct"/>
            <w:vMerge w:val="continue"/>
            <w:vAlign w:val="center"/>
          </w:tcPr>
          <w:p w14:paraId="0087F5D7">
            <w:pPr>
              <w:pStyle w:val="182"/>
              <w:bidi w:val="0"/>
              <w:rPr>
                <w:color w:val="auto"/>
              </w:rPr>
            </w:pPr>
          </w:p>
        </w:tc>
        <w:tc>
          <w:tcPr>
            <w:tcW w:w="540" w:type="pct"/>
            <w:vMerge w:val="continue"/>
            <w:vAlign w:val="center"/>
          </w:tcPr>
          <w:p w14:paraId="1A6CA86E">
            <w:pPr>
              <w:pStyle w:val="182"/>
              <w:bidi w:val="0"/>
              <w:rPr>
                <w:color w:val="auto"/>
              </w:rPr>
            </w:pPr>
          </w:p>
        </w:tc>
        <w:tc>
          <w:tcPr>
            <w:tcW w:w="426" w:type="pct"/>
            <w:vMerge w:val="continue"/>
            <w:vAlign w:val="center"/>
          </w:tcPr>
          <w:p w14:paraId="135B24C4">
            <w:pPr>
              <w:pStyle w:val="182"/>
              <w:bidi w:val="0"/>
              <w:rPr>
                <w:color w:val="auto"/>
              </w:rPr>
            </w:pPr>
          </w:p>
        </w:tc>
        <w:tc>
          <w:tcPr>
            <w:tcW w:w="313" w:type="pct"/>
            <w:vMerge w:val="continue"/>
            <w:vAlign w:val="center"/>
          </w:tcPr>
          <w:p w14:paraId="63C0123D">
            <w:pPr>
              <w:pStyle w:val="182"/>
              <w:bidi w:val="0"/>
              <w:rPr>
                <w:color w:val="auto"/>
              </w:rPr>
            </w:pPr>
          </w:p>
        </w:tc>
        <w:tc>
          <w:tcPr>
            <w:tcW w:w="280" w:type="pct"/>
            <w:vMerge w:val="continue"/>
            <w:vAlign w:val="center"/>
          </w:tcPr>
          <w:p w14:paraId="6A95DF9B">
            <w:pPr>
              <w:pStyle w:val="182"/>
              <w:bidi w:val="0"/>
              <w:rPr>
                <w:color w:val="auto"/>
              </w:rPr>
            </w:pPr>
          </w:p>
        </w:tc>
        <w:tc>
          <w:tcPr>
            <w:tcW w:w="393" w:type="pct"/>
            <w:vMerge w:val="continue"/>
            <w:vAlign w:val="center"/>
          </w:tcPr>
          <w:p w14:paraId="279A1661">
            <w:pPr>
              <w:pStyle w:val="182"/>
              <w:bidi w:val="0"/>
              <w:rPr>
                <w:color w:val="auto"/>
              </w:rPr>
            </w:pPr>
          </w:p>
        </w:tc>
        <w:tc>
          <w:tcPr>
            <w:tcW w:w="486" w:type="pct"/>
            <w:vAlign w:val="center"/>
          </w:tcPr>
          <w:p w14:paraId="78C0DA08">
            <w:pPr>
              <w:pStyle w:val="182"/>
              <w:bidi w:val="0"/>
              <w:rPr>
                <w:color w:val="auto"/>
              </w:rPr>
            </w:pPr>
            <w:r>
              <w:rPr>
                <w:rFonts w:hint="eastAsia"/>
                <w:color w:val="auto"/>
              </w:rPr>
              <w:t>T</w:t>
            </w:r>
            <w:r>
              <w:rPr>
                <w:color w:val="auto"/>
              </w:rPr>
              <w:t>P</w:t>
            </w:r>
          </w:p>
        </w:tc>
        <w:tc>
          <w:tcPr>
            <w:tcW w:w="750" w:type="pct"/>
            <w:vAlign w:val="center"/>
          </w:tcPr>
          <w:p w14:paraId="7C9FF746">
            <w:pPr>
              <w:pStyle w:val="182"/>
              <w:bidi w:val="0"/>
              <w:rPr>
                <w:color w:val="auto"/>
              </w:rPr>
            </w:pPr>
            <w:r>
              <w:rPr>
                <w:rFonts w:hint="eastAsia"/>
                <w:color w:val="auto"/>
              </w:rPr>
              <w:t>0</w:t>
            </w:r>
            <w:r>
              <w:rPr>
                <w:color w:val="auto"/>
              </w:rPr>
              <w:t>.4</w:t>
            </w:r>
          </w:p>
        </w:tc>
      </w:tr>
      <w:tr w14:paraId="39E9B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88" w:type="pct"/>
            <w:vMerge w:val="continue"/>
            <w:vAlign w:val="center"/>
          </w:tcPr>
          <w:p w14:paraId="518FC715">
            <w:pPr>
              <w:pStyle w:val="182"/>
              <w:bidi w:val="0"/>
              <w:rPr>
                <w:color w:val="auto"/>
              </w:rPr>
            </w:pPr>
          </w:p>
        </w:tc>
        <w:tc>
          <w:tcPr>
            <w:tcW w:w="640" w:type="pct"/>
            <w:vMerge w:val="continue"/>
            <w:vAlign w:val="center"/>
          </w:tcPr>
          <w:p w14:paraId="4EFF7975">
            <w:pPr>
              <w:pStyle w:val="182"/>
              <w:bidi w:val="0"/>
              <w:rPr>
                <w:color w:val="auto"/>
              </w:rPr>
            </w:pPr>
          </w:p>
        </w:tc>
        <w:tc>
          <w:tcPr>
            <w:tcW w:w="680" w:type="pct"/>
            <w:vMerge w:val="continue"/>
            <w:vAlign w:val="center"/>
          </w:tcPr>
          <w:p w14:paraId="5EBFAC91">
            <w:pPr>
              <w:pStyle w:val="182"/>
              <w:bidi w:val="0"/>
              <w:rPr>
                <w:color w:val="auto"/>
              </w:rPr>
            </w:pPr>
          </w:p>
        </w:tc>
        <w:tc>
          <w:tcPr>
            <w:tcW w:w="540" w:type="pct"/>
            <w:vMerge w:val="continue"/>
            <w:vAlign w:val="center"/>
          </w:tcPr>
          <w:p w14:paraId="2F5A15E5">
            <w:pPr>
              <w:pStyle w:val="182"/>
              <w:bidi w:val="0"/>
              <w:rPr>
                <w:color w:val="auto"/>
              </w:rPr>
            </w:pPr>
          </w:p>
        </w:tc>
        <w:tc>
          <w:tcPr>
            <w:tcW w:w="426" w:type="pct"/>
            <w:vMerge w:val="continue"/>
            <w:vAlign w:val="center"/>
          </w:tcPr>
          <w:p w14:paraId="7528EC72">
            <w:pPr>
              <w:pStyle w:val="182"/>
              <w:bidi w:val="0"/>
              <w:rPr>
                <w:color w:val="auto"/>
              </w:rPr>
            </w:pPr>
          </w:p>
        </w:tc>
        <w:tc>
          <w:tcPr>
            <w:tcW w:w="313" w:type="pct"/>
            <w:vMerge w:val="continue"/>
            <w:vAlign w:val="center"/>
          </w:tcPr>
          <w:p w14:paraId="40C255FC">
            <w:pPr>
              <w:pStyle w:val="182"/>
              <w:bidi w:val="0"/>
              <w:rPr>
                <w:color w:val="auto"/>
              </w:rPr>
            </w:pPr>
          </w:p>
        </w:tc>
        <w:tc>
          <w:tcPr>
            <w:tcW w:w="280" w:type="pct"/>
            <w:vMerge w:val="continue"/>
            <w:vAlign w:val="center"/>
          </w:tcPr>
          <w:p w14:paraId="701DE430">
            <w:pPr>
              <w:pStyle w:val="182"/>
              <w:bidi w:val="0"/>
              <w:rPr>
                <w:color w:val="auto"/>
              </w:rPr>
            </w:pPr>
          </w:p>
        </w:tc>
        <w:tc>
          <w:tcPr>
            <w:tcW w:w="393" w:type="pct"/>
            <w:vMerge w:val="continue"/>
            <w:vAlign w:val="center"/>
          </w:tcPr>
          <w:p w14:paraId="44B260C7">
            <w:pPr>
              <w:pStyle w:val="182"/>
              <w:bidi w:val="0"/>
              <w:rPr>
                <w:color w:val="auto"/>
              </w:rPr>
            </w:pPr>
          </w:p>
        </w:tc>
        <w:tc>
          <w:tcPr>
            <w:tcW w:w="486" w:type="pct"/>
            <w:vAlign w:val="center"/>
          </w:tcPr>
          <w:p w14:paraId="04A7F474">
            <w:pPr>
              <w:pStyle w:val="182"/>
              <w:bidi w:val="0"/>
              <w:rPr>
                <w:color w:val="auto"/>
              </w:rPr>
            </w:pPr>
            <w:r>
              <w:rPr>
                <w:rFonts w:hint="eastAsia"/>
                <w:color w:val="auto"/>
              </w:rPr>
              <w:t>T</w:t>
            </w:r>
            <w:r>
              <w:rPr>
                <w:color w:val="auto"/>
              </w:rPr>
              <w:t>N</w:t>
            </w:r>
          </w:p>
        </w:tc>
        <w:tc>
          <w:tcPr>
            <w:tcW w:w="750" w:type="pct"/>
            <w:vAlign w:val="center"/>
          </w:tcPr>
          <w:p w14:paraId="2501D350">
            <w:pPr>
              <w:pStyle w:val="182"/>
              <w:bidi w:val="0"/>
              <w:rPr>
                <w:color w:val="auto"/>
              </w:rPr>
            </w:pPr>
            <w:r>
              <w:rPr>
                <w:rFonts w:hint="eastAsia"/>
                <w:color w:val="auto"/>
              </w:rPr>
              <w:t>1</w:t>
            </w:r>
            <w:r>
              <w:rPr>
                <w:color w:val="auto"/>
              </w:rPr>
              <w:t>5</w:t>
            </w:r>
          </w:p>
        </w:tc>
      </w:tr>
    </w:tbl>
    <w:p w14:paraId="348F96E6">
      <w:pPr>
        <w:pStyle w:val="5"/>
        <w:bidi w:val="0"/>
      </w:pPr>
      <w:r>
        <w:rPr>
          <w:rFonts w:hint="eastAsia"/>
        </w:rPr>
        <w:t>噪声</w:t>
      </w:r>
    </w:p>
    <w:p w14:paraId="5CD16F94">
      <w:pPr>
        <w:keepNext w:val="0"/>
        <w:keepLines w:val="0"/>
        <w:pageBreakBefore w:val="0"/>
        <w:widowControl w:val="0"/>
        <w:kinsoku/>
        <w:wordWrap/>
        <w:overflowPunct/>
        <w:topLinePunct w:val="0"/>
        <w:autoSpaceDE/>
        <w:autoSpaceDN/>
        <w:bidi w:val="0"/>
        <w:adjustRightInd w:val="0"/>
        <w:snapToGrid w:val="0"/>
        <w:spacing w:line="360" w:lineRule="auto"/>
        <w:ind w:left="0" w:firstLine="480"/>
        <w:jc w:val="left"/>
        <w:textAlignment w:val="baseline"/>
        <w:rPr>
          <w:sz w:val="24"/>
        </w:rPr>
      </w:pPr>
      <w:r>
        <w:rPr>
          <w:sz w:val="24"/>
          <w:szCs w:val="24"/>
        </w:rPr>
        <w:t>项目高噪声源主要为</w:t>
      </w:r>
      <w:r>
        <w:rPr>
          <w:rFonts w:hint="eastAsia"/>
          <w:sz w:val="24"/>
          <w:szCs w:val="24"/>
          <w:lang w:val="en-US" w:eastAsia="zh-CN"/>
        </w:rPr>
        <w:t>泵、风机等生产设备</w:t>
      </w:r>
      <w:r>
        <w:rPr>
          <w:sz w:val="24"/>
          <w:szCs w:val="24"/>
        </w:rPr>
        <w:t>等</w:t>
      </w:r>
      <w:r>
        <w:rPr>
          <w:rFonts w:hint="eastAsia"/>
          <w:sz w:val="24"/>
          <w:szCs w:val="24"/>
        </w:rPr>
        <w:t>设备</w:t>
      </w:r>
      <w:r>
        <w:rPr>
          <w:sz w:val="24"/>
          <w:szCs w:val="24"/>
        </w:rPr>
        <w:t>，经类比《环境噪声与振动控制工程技术导则》（HJ2034-2013）附录A常见噪声源及其声功率级，本项目主要生产设备声功率级在</w:t>
      </w:r>
      <w:r>
        <w:rPr>
          <w:rFonts w:hint="eastAsia"/>
          <w:sz w:val="24"/>
          <w:szCs w:val="24"/>
          <w:lang w:val="en-US" w:eastAsia="zh-CN"/>
        </w:rPr>
        <w:t>82</w:t>
      </w:r>
      <w:r>
        <w:rPr>
          <w:sz w:val="24"/>
          <w:szCs w:val="24"/>
        </w:rPr>
        <w:t>～</w:t>
      </w:r>
      <w:r>
        <w:rPr>
          <w:rFonts w:hint="eastAsia"/>
          <w:sz w:val="24"/>
          <w:szCs w:val="24"/>
          <w:lang w:val="en-US" w:eastAsia="zh-CN"/>
        </w:rPr>
        <w:t>93</w:t>
      </w:r>
      <w:r>
        <w:rPr>
          <w:sz w:val="24"/>
          <w:szCs w:val="24"/>
        </w:rPr>
        <w:t>dB（A）之间，其噪声源强拟采取</w:t>
      </w:r>
      <w:r>
        <w:rPr>
          <w:rFonts w:hint="eastAsia"/>
          <w:sz w:val="24"/>
          <w:szCs w:val="24"/>
        </w:rPr>
        <w:t>设备减振、</w:t>
      </w:r>
      <w:r>
        <w:rPr>
          <w:sz w:val="24"/>
          <w:szCs w:val="24"/>
        </w:rPr>
        <w:t>隔声、</w:t>
      </w:r>
      <w:r>
        <w:rPr>
          <w:rFonts w:hint="eastAsia"/>
          <w:sz w:val="24"/>
          <w:szCs w:val="24"/>
        </w:rPr>
        <w:t>距离衰减</w:t>
      </w:r>
      <w:r>
        <w:rPr>
          <w:sz w:val="24"/>
          <w:szCs w:val="24"/>
        </w:rPr>
        <w:t>等降噪措施。根据《环境影响评价技术导则声环境》（HJ2.4-2021），工业声源应按照室内声源计算。</w:t>
      </w:r>
    </w:p>
    <w:p w14:paraId="6844E221">
      <w:pPr>
        <w:keepNext w:val="0"/>
        <w:keepLines w:val="0"/>
        <w:pageBreakBefore w:val="0"/>
        <w:widowControl w:val="0"/>
        <w:kinsoku/>
        <w:wordWrap/>
        <w:overflowPunct/>
        <w:topLinePunct w:val="0"/>
        <w:autoSpaceDE/>
        <w:autoSpaceDN/>
        <w:bidi w:val="0"/>
        <w:adjustRightInd w:val="0"/>
        <w:snapToGrid w:val="0"/>
        <w:spacing w:line="360" w:lineRule="auto"/>
        <w:ind w:left="0" w:firstLine="480"/>
        <w:jc w:val="left"/>
        <w:rPr>
          <w:sz w:val="24"/>
        </w:rPr>
      </w:pPr>
      <w:r>
        <w:rPr>
          <w:sz w:val="24"/>
          <w:szCs w:val="24"/>
        </w:rPr>
        <w:t>声源位于室内，室内声源可采用等效室外声源声功率级法进行计算。设靠近开口处（或窗户）室内、室外某倍频带的声压级或A声级分别为Lp1和Lp2。</w:t>
      </w:r>
    </w:p>
    <w:p w14:paraId="46626BFF">
      <w:pPr>
        <w:keepNext w:val="0"/>
        <w:keepLines w:val="0"/>
        <w:pageBreakBefore w:val="0"/>
        <w:widowControl w:val="0"/>
        <w:kinsoku/>
        <w:wordWrap/>
        <w:overflowPunct/>
        <w:topLinePunct w:val="0"/>
        <w:autoSpaceDE/>
        <w:autoSpaceDN/>
        <w:bidi w:val="0"/>
        <w:adjustRightInd w:val="0"/>
        <w:snapToGrid w:val="0"/>
        <w:spacing w:line="360" w:lineRule="auto"/>
        <w:ind w:left="0" w:firstLine="480"/>
        <w:jc w:val="left"/>
        <w:rPr>
          <w:sz w:val="24"/>
        </w:rPr>
      </w:pPr>
      <w:r>
        <w:rPr>
          <w:sz w:val="24"/>
          <w:szCs w:val="24"/>
        </w:rPr>
        <w:t>计算某一室内声源靠近围护结构处产生的倍频带声压级或A声级公式如下：</w:t>
      </w:r>
    </w:p>
    <w:p w14:paraId="770CD2BA">
      <w:pPr>
        <w:keepNext w:val="0"/>
        <w:keepLines w:val="0"/>
        <w:pageBreakBefore w:val="0"/>
        <w:widowControl w:val="0"/>
        <w:kinsoku/>
        <w:wordWrap/>
        <w:overflowPunct/>
        <w:topLinePunct w:val="0"/>
        <w:autoSpaceDE/>
        <w:autoSpaceDN/>
        <w:bidi w:val="0"/>
        <w:adjustRightInd w:val="0"/>
        <w:snapToGrid w:val="0"/>
        <w:spacing w:line="360" w:lineRule="auto"/>
        <w:ind w:left="0"/>
        <w:jc w:val="center"/>
        <w:rPr>
          <w:sz w:val="24"/>
        </w:rPr>
      </w:pPr>
      <w:r>
        <w:rPr>
          <w:sz w:val="24"/>
        </w:rPr>
        <w:drawing>
          <wp:inline distT="0" distB="0" distL="114300" distR="114300">
            <wp:extent cx="2054225" cy="422275"/>
            <wp:effectExtent l="0" t="0" r="0" b="16510"/>
            <wp:docPr id="2" name="图片 6"/>
            <wp:cNvGraphicFramePr/>
            <a:graphic xmlns:a="http://schemas.openxmlformats.org/drawingml/2006/main">
              <a:graphicData uri="http://schemas.openxmlformats.org/drawingml/2006/picture">
                <pic:pic xmlns:pic="http://schemas.openxmlformats.org/drawingml/2006/picture">
                  <pic:nvPicPr>
                    <pic:cNvPr id="2" name="图片 6"/>
                    <pic:cNvPicPr/>
                  </pic:nvPicPr>
                  <pic:blipFill>
                    <a:blip r:embed="rId65"/>
                    <a:stretch>
                      <a:fillRect/>
                    </a:stretch>
                  </pic:blipFill>
                  <pic:spPr>
                    <a:xfrm>
                      <a:off x="0" y="0"/>
                      <a:ext cx="2054225" cy="422275"/>
                    </a:xfrm>
                    <a:prstGeom prst="rect">
                      <a:avLst/>
                    </a:prstGeom>
                    <a:noFill/>
                    <a:ln>
                      <a:noFill/>
                    </a:ln>
                  </pic:spPr>
                </pic:pic>
              </a:graphicData>
            </a:graphic>
          </wp:inline>
        </w:drawing>
      </w:r>
    </w:p>
    <w:p w14:paraId="055E8BFB">
      <w:pPr>
        <w:keepNext w:val="0"/>
        <w:keepLines w:val="0"/>
        <w:pageBreakBefore w:val="0"/>
        <w:widowControl w:val="0"/>
        <w:kinsoku/>
        <w:wordWrap/>
        <w:overflowPunct/>
        <w:topLinePunct w:val="0"/>
        <w:autoSpaceDE/>
        <w:autoSpaceDN/>
        <w:bidi w:val="0"/>
        <w:adjustRightInd w:val="0"/>
        <w:snapToGrid w:val="0"/>
        <w:spacing w:line="360" w:lineRule="auto"/>
        <w:ind w:left="0" w:firstLine="480"/>
        <w:jc w:val="left"/>
        <w:rPr>
          <w:sz w:val="24"/>
        </w:rPr>
      </w:pPr>
      <w:r>
        <w:rPr>
          <w:sz w:val="24"/>
          <w:szCs w:val="24"/>
        </w:rPr>
        <w:t>式中：Lp1——靠近开口处（或窗户）室内某倍频带的声压级或A声级，dB；</w:t>
      </w:r>
    </w:p>
    <w:p w14:paraId="72A74DF6">
      <w:pPr>
        <w:keepNext w:val="0"/>
        <w:keepLines w:val="0"/>
        <w:pageBreakBefore w:val="0"/>
        <w:widowControl w:val="0"/>
        <w:kinsoku/>
        <w:wordWrap/>
        <w:overflowPunct/>
        <w:topLinePunct w:val="0"/>
        <w:autoSpaceDE/>
        <w:autoSpaceDN/>
        <w:bidi w:val="0"/>
        <w:adjustRightInd w:val="0"/>
        <w:snapToGrid w:val="0"/>
        <w:spacing w:line="360" w:lineRule="auto"/>
        <w:ind w:left="0" w:firstLine="1200" w:firstLineChars="500"/>
        <w:jc w:val="left"/>
        <w:textAlignment w:val="baseline"/>
        <w:rPr>
          <w:sz w:val="24"/>
        </w:rPr>
      </w:pPr>
      <w:r>
        <w:rPr>
          <w:sz w:val="24"/>
          <w:szCs w:val="24"/>
        </w:rPr>
        <w:t>Lw1—点声源声功率级（A计权或倍频带），dB；</w:t>
      </w:r>
    </w:p>
    <w:p w14:paraId="6345B2A1">
      <w:pPr>
        <w:keepNext w:val="0"/>
        <w:keepLines w:val="0"/>
        <w:pageBreakBefore w:val="0"/>
        <w:widowControl w:val="0"/>
        <w:kinsoku/>
        <w:wordWrap/>
        <w:overflowPunct/>
        <w:topLinePunct w:val="0"/>
        <w:autoSpaceDE/>
        <w:autoSpaceDN/>
        <w:bidi w:val="0"/>
        <w:adjustRightInd w:val="0"/>
        <w:snapToGrid w:val="0"/>
        <w:spacing w:line="360" w:lineRule="auto"/>
        <w:ind w:left="0" w:firstLine="960" w:firstLineChars="400"/>
        <w:jc w:val="left"/>
        <w:textAlignment w:val="baseline"/>
        <w:rPr>
          <w:sz w:val="24"/>
        </w:rPr>
      </w:pPr>
      <w:r>
        <w:rPr>
          <w:sz w:val="24"/>
          <w:szCs w:val="24"/>
        </w:rPr>
        <w:t>Q—指向性因数；通常对无指向性声源，当声源放在房间中心时，Q=1；当放在一面墙的中心时，Q=2；当放在两面墙夹角处时，Q=4；当放在三面墙夹角处时，Q=8；本项目</w:t>
      </w:r>
      <w:r>
        <w:rPr>
          <w:rFonts w:hint="eastAsia"/>
          <w:sz w:val="24"/>
          <w:szCs w:val="24"/>
        </w:rPr>
        <w:t>Q值取8。</w:t>
      </w:r>
    </w:p>
    <w:p w14:paraId="022A22BC">
      <w:pPr>
        <w:keepNext w:val="0"/>
        <w:keepLines w:val="0"/>
        <w:pageBreakBefore w:val="0"/>
        <w:widowControl w:val="0"/>
        <w:kinsoku/>
        <w:wordWrap/>
        <w:overflowPunct/>
        <w:topLinePunct w:val="0"/>
        <w:autoSpaceDE/>
        <w:autoSpaceDN/>
        <w:bidi w:val="0"/>
        <w:adjustRightInd w:val="0"/>
        <w:snapToGrid w:val="0"/>
        <w:spacing w:line="360" w:lineRule="auto"/>
        <w:ind w:left="0" w:firstLine="1200" w:firstLineChars="500"/>
        <w:jc w:val="left"/>
        <w:textAlignment w:val="baseline"/>
        <w:rPr>
          <w:sz w:val="24"/>
        </w:rPr>
      </w:pPr>
      <w:r>
        <w:rPr>
          <w:sz w:val="24"/>
          <w:szCs w:val="24"/>
        </w:rPr>
        <w:t>R——房间常数；R=Sα/（1-α），S为房间内表面面积，m</w:t>
      </w:r>
      <w:r>
        <w:rPr>
          <w:sz w:val="24"/>
          <w:szCs w:val="24"/>
          <w:vertAlign w:val="superscript"/>
        </w:rPr>
        <w:t>2</w:t>
      </w:r>
      <w:r>
        <w:rPr>
          <w:sz w:val="24"/>
          <w:szCs w:val="24"/>
        </w:rPr>
        <w:t>；α为平均吸声系数，取平均吸声系数0.</w:t>
      </w:r>
      <w:r>
        <w:rPr>
          <w:rFonts w:hint="eastAsia"/>
          <w:sz w:val="24"/>
          <w:szCs w:val="24"/>
        </w:rPr>
        <w:t>4</w:t>
      </w:r>
      <w:r>
        <w:rPr>
          <w:sz w:val="24"/>
          <w:szCs w:val="24"/>
        </w:rPr>
        <w:t>；车间内表面面积</w:t>
      </w:r>
      <w:r>
        <w:rPr>
          <w:rFonts w:hint="eastAsia"/>
          <w:sz w:val="24"/>
          <w:szCs w:val="24"/>
          <w:lang w:val="en-US" w:eastAsia="zh-CN"/>
        </w:rPr>
        <w:t>25</w:t>
      </w:r>
      <w:r>
        <w:rPr>
          <w:rFonts w:hint="eastAsia"/>
          <w:sz w:val="24"/>
          <w:szCs w:val="24"/>
        </w:rPr>
        <w:t>000</w:t>
      </w:r>
      <w:r>
        <w:rPr>
          <w:sz w:val="24"/>
          <w:szCs w:val="24"/>
        </w:rPr>
        <w:t>m</w:t>
      </w:r>
      <w:r>
        <w:rPr>
          <w:sz w:val="24"/>
          <w:szCs w:val="24"/>
          <w:vertAlign w:val="superscript"/>
        </w:rPr>
        <w:t>2</w:t>
      </w:r>
      <w:r>
        <w:rPr>
          <w:sz w:val="24"/>
          <w:szCs w:val="24"/>
        </w:rPr>
        <w:t>，则R=</w:t>
      </w:r>
      <w:r>
        <w:rPr>
          <w:rFonts w:hint="eastAsia"/>
          <w:sz w:val="24"/>
          <w:szCs w:val="24"/>
          <w:lang w:val="en-US" w:eastAsia="zh-CN"/>
        </w:rPr>
        <w:t>16666</w:t>
      </w:r>
      <w:r>
        <w:rPr>
          <w:rFonts w:hint="eastAsia"/>
          <w:sz w:val="24"/>
          <w:szCs w:val="24"/>
        </w:rPr>
        <w:t>。</w:t>
      </w:r>
    </w:p>
    <w:p w14:paraId="180C84BE">
      <w:pPr>
        <w:keepNext w:val="0"/>
        <w:keepLines w:val="0"/>
        <w:pageBreakBefore w:val="0"/>
        <w:widowControl w:val="0"/>
        <w:kinsoku/>
        <w:wordWrap/>
        <w:overflowPunct/>
        <w:topLinePunct w:val="0"/>
        <w:autoSpaceDE/>
        <w:autoSpaceDN/>
        <w:bidi w:val="0"/>
        <w:adjustRightInd w:val="0"/>
        <w:snapToGrid w:val="0"/>
        <w:spacing w:line="360" w:lineRule="auto"/>
        <w:ind w:left="0" w:firstLine="1200" w:firstLineChars="500"/>
        <w:jc w:val="left"/>
        <w:rPr>
          <w:sz w:val="24"/>
        </w:rPr>
      </w:pPr>
      <w:r>
        <w:rPr>
          <w:sz w:val="24"/>
          <w:szCs w:val="24"/>
        </w:rPr>
        <w:t>r——声源到靠近围护结构某点处的距离，m</w:t>
      </w:r>
    </w:p>
    <w:p w14:paraId="528BC719">
      <w:pPr>
        <w:keepNext w:val="0"/>
        <w:keepLines w:val="0"/>
        <w:pageBreakBefore w:val="0"/>
        <w:widowControl w:val="0"/>
        <w:kinsoku/>
        <w:wordWrap/>
        <w:overflowPunct/>
        <w:topLinePunct w:val="0"/>
        <w:autoSpaceDE/>
        <w:autoSpaceDN/>
        <w:bidi w:val="0"/>
        <w:adjustRightInd w:val="0"/>
        <w:snapToGrid w:val="0"/>
        <w:spacing w:line="360" w:lineRule="auto"/>
        <w:ind w:left="0" w:firstLine="480"/>
        <w:jc w:val="left"/>
        <w:rPr>
          <w:sz w:val="24"/>
          <w:szCs w:val="24"/>
        </w:rPr>
      </w:pPr>
      <w:r>
        <w:rPr>
          <w:sz w:val="24"/>
          <w:szCs w:val="24"/>
        </w:rPr>
        <w:t>然后按下式计算出所有室内声源在围护结构处产生的i倍频带叠加声压级：</w:t>
      </w:r>
    </w:p>
    <w:p w14:paraId="4CC749FF">
      <w:pPr>
        <w:keepNext w:val="0"/>
        <w:keepLines w:val="0"/>
        <w:pageBreakBefore w:val="0"/>
        <w:widowControl w:val="0"/>
        <w:kinsoku/>
        <w:wordWrap/>
        <w:overflowPunct/>
        <w:topLinePunct w:val="0"/>
        <w:autoSpaceDE/>
        <w:autoSpaceDN/>
        <w:bidi w:val="0"/>
        <w:adjustRightInd w:val="0"/>
        <w:snapToGrid w:val="0"/>
        <w:spacing w:line="360" w:lineRule="auto"/>
        <w:ind w:left="0"/>
        <w:jc w:val="center"/>
        <w:rPr>
          <w:sz w:val="24"/>
        </w:rPr>
      </w:pPr>
      <w:r>
        <w:rPr>
          <w:sz w:val="24"/>
        </w:rPr>
        <w:drawing>
          <wp:inline distT="0" distB="0" distL="114300" distR="114300">
            <wp:extent cx="2169795" cy="416560"/>
            <wp:effectExtent l="0" t="0" r="1905" b="2540"/>
            <wp:docPr id="12" name="图片 7"/>
            <wp:cNvGraphicFramePr/>
            <a:graphic xmlns:a="http://schemas.openxmlformats.org/drawingml/2006/main">
              <a:graphicData uri="http://schemas.openxmlformats.org/drawingml/2006/picture">
                <pic:pic xmlns:pic="http://schemas.openxmlformats.org/drawingml/2006/picture">
                  <pic:nvPicPr>
                    <pic:cNvPr id="12" name="图片 7"/>
                    <pic:cNvPicPr/>
                  </pic:nvPicPr>
                  <pic:blipFill>
                    <a:blip r:embed="rId66"/>
                    <a:stretch>
                      <a:fillRect/>
                    </a:stretch>
                  </pic:blipFill>
                  <pic:spPr>
                    <a:xfrm>
                      <a:off x="0" y="0"/>
                      <a:ext cx="2169795" cy="416560"/>
                    </a:xfrm>
                    <a:prstGeom prst="rect">
                      <a:avLst/>
                    </a:prstGeom>
                    <a:noFill/>
                    <a:ln>
                      <a:noFill/>
                    </a:ln>
                  </pic:spPr>
                </pic:pic>
              </a:graphicData>
            </a:graphic>
          </wp:inline>
        </w:drawing>
      </w:r>
    </w:p>
    <w:p w14:paraId="0A256D1C">
      <w:pPr>
        <w:keepNext w:val="0"/>
        <w:keepLines w:val="0"/>
        <w:pageBreakBefore w:val="0"/>
        <w:widowControl w:val="0"/>
        <w:kinsoku/>
        <w:wordWrap/>
        <w:overflowPunct/>
        <w:topLinePunct w:val="0"/>
        <w:autoSpaceDE/>
        <w:autoSpaceDN/>
        <w:bidi w:val="0"/>
        <w:adjustRightInd w:val="0"/>
        <w:snapToGrid w:val="0"/>
        <w:spacing w:line="360" w:lineRule="auto"/>
        <w:ind w:left="0" w:firstLine="360" w:firstLineChars="150"/>
        <w:jc w:val="left"/>
        <w:rPr>
          <w:sz w:val="24"/>
          <w:szCs w:val="24"/>
        </w:rPr>
      </w:pPr>
      <w:r>
        <w:rPr>
          <w:sz w:val="24"/>
          <w:szCs w:val="24"/>
        </w:rPr>
        <w:t>式中：Lp1i（T）——靠近围护结构处室内N个声源i倍频带的叠加声压级，dB；</w:t>
      </w:r>
    </w:p>
    <w:p w14:paraId="64BFEED2">
      <w:pPr>
        <w:keepNext w:val="0"/>
        <w:keepLines w:val="0"/>
        <w:pageBreakBefore w:val="0"/>
        <w:widowControl w:val="0"/>
        <w:kinsoku/>
        <w:wordWrap/>
        <w:overflowPunct/>
        <w:topLinePunct w:val="0"/>
        <w:autoSpaceDE/>
        <w:autoSpaceDN/>
        <w:bidi w:val="0"/>
        <w:adjustRightInd w:val="0"/>
        <w:snapToGrid w:val="0"/>
        <w:spacing w:line="360" w:lineRule="auto"/>
        <w:ind w:left="0" w:firstLine="480"/>
        <w:jc w:val="left"/>
        <w:rPr>
          <w:sz w:val="24"/>
        </w:rPr>
      </w:pPr>
      <w:r>
        <w:rPr>
          <w:sz w:val="24"/>
          <w:szCs w:val="24"/>
        </w:rPr>
        <w:t xml:space="preserve"> Lp1ij——室内j声源i倍频带的声压级，dB；</w:t>
      </w:r>
    </w:p>
    <w:p w14:paraId="7377BA0A">
      <w:pPr>
        <w:keepNext w:val="0"/>
        <w:keepLines w:val="0"/>
        <w:pageBreakBefore w:val="0"/>
        <w:widowControl w:val="0"/>
        <w:kinsoku/>
        <w:wordWrap/>
        <w:overflowPunct/>
        <w:topLinePunct w:val="0"/>
        <w:autoSpaceDE/>
        <w:autoSpaceDN/>
        <w:bidi w:val="0"/>
        <w:adjustRightInd w:val="0"/>
        <w:snapToGrid w:val="0"/>
        <w:spacing w:line="360" w:lineRule="auto"/>
        <w:ind w:left="0" w:firstLine="480"/>
        <w:jc w:val="left"/>
        <w:rPr>
          <w:sz w:val="24"/>
        </w:rPr>
      </w:pPr>
      <w:r>
        <w:rPr>
          <w:sz w:val="24"/>
          <w:szCs w:val="24"/>
        </w:rPr>
        <w:t xml:space="preserve"> N——室内声源总数。</w:t>
      </w:r>
    </w:p>
    <w:p w14:paraId="375FC014">
      <w:pPr>
        <w:keepNext w:val="0"/>
        <w:keepLines w:val="0"/>
        <w:pageBreakBefore w:val="0"/>
        <w:widowControl w:val="0"/>
        <w:kinsoku/>
        <w:wordWrap/>
        <w:overflowPunct/>
        <w:topLinePunct w:val="0"/>
        <w:autoSpaceDE/>
        <w:autoSpaceDN/>
        <w:bidi w:val="0"/>
        <w:adjustRightInd w:val="0"/>
        <w:snapToGrid w:val="0"/>
        <w:spacing w:line="360" w:lineRule="auto"/>
        <w:ind w:left="0" w:firstLine="480"/>
        <w:jc w:val="left"/>
        <w:textAlignment w:val="baseline"/>
        <w:rPr>
          <w:sz w:val="24"/>
        </w:rPr>
      </w:pPr>
      <w:r>
        <w:rPr>
          <w:sz w:val="24"/>
          <w:szCs w:val="24"/>
        </w:rPr>
        <w:t>在室内近似为扩散声场时，按下式计算出靠近室外围护结构处的声压级：</w:t>
      </w:r>
    </w:p>
    <w:p w14:paraId="238853A1">
      <w:pPr>
        <w:keepNext w:val="0"/>
        <w:keepLines w:val="0"/>
        <w:pageBreakBefore w:val="0"/>
        <w:widowControl w:val="0"/>
        <w:kinsoku/>
        <w:wordWrap/>
        <w:overflowPunct/>
        <w:topLinePunct w:val="0"/>
        <w:autoSpaceDE/>
        <w:autoSpaceDN/>
        <w:bidi w:val="0"/>
        <w:adjustRightInd w:val="0"/>
        <w:snapToGrid w:val="0"/>
        <w:spacing w:line="360" w:lineRule="auto"/>
        <w:ind w:left="0" w:firstLine="480"/>
        <w:jc w:val="left"/>
        <w:textAlignment w:val="baseline"/>
        <w:rPr>
          <w:sz w:val="24"/>
        </w:rPr>
      </w:pPr>
      <w:r>
        <w:rPr>
          <w:sz w:val="24"/>
          <w:szCs w:val="24"/>
        </w:rPr>
        <w:t xml:space="preserve">         </w:t>
      </w:r>
      <w:r>
        <w:rPr>
          <w:rFonts w:hint="eastAsia"/>
          <w:sz w:val="24"/>
          <w:szCs w:val="24"/>
        </w:rPr>
        <w:t xml:space="preserve">        </w:t>
      </w:r>
      <w:r>
        <w:rPr>
          <w:sz w:val="24"/>
          <w:szCs w:val="24"/>
        </w:rPr>
        <w:t>Lp2i（T）=Lp1i（T）-（TLi+6）</w:t>
      </w:r>
    </w:p>
    <w:p w14:paraId="3DCF9FC6">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left"/>
        <w:textAlignment w:val="baseline"/>
        <w:rPr>
          <w:sz w:val="24"/>
        </w:rPr>
      </w:pPr>
      <w:r>
        <w:rPr>
          <w:sz w:val="24"/>
          <w:szCs w:val="24"/>
        </w:rPr>
        <w:t>式中：Lp2i（T）——靠近围护结构处室外N个声源i倍频带的叠加声压级，dB；</w:t>
      </w:r>
    </w:p>
    <w:p w14:paraId="205F4EFC">
      <w:pPr>
        <w:keepNext w:val="0"/>
        <w:keepLines w:val="0"/>
        <w:pageBreakBefore w:val="0"/>
        <w:widowControl w:val="0"/>
        <w:kinsoku/>
        <w:wordWrap/>
        <w:overflowPunct/>
        <w:topLinePunct w:val="0"/>
        <w:autoSpaceDE/>
        <w:autoSpaceDN/>
        <w:bidi w:val="0"/>
        <w:adjustRightInd w:val="0"/>
        <w:snapToGrid w:val="0"/>
        <w:spacing w:line="360" w:lineRule="auto"/>
        <w:ind w:left="0" w:firstLine="1080" w:firstLineChars="450"/>
        <w:jc w:val="left"/>
        <w:textAlignment w:val="baseline"/>
        <w:rPr>
          <w:sz w:val="24"/>
        </w:rPr>
      </w:pPr>
      <w:r>
        <w:rPr>
          <w:sz w:val="24"/>
          <w:szCs w:val="24"/>
        </w:rPr>
        <w:t>Lp1i（T）——靠近围护结构处室内N个声源i倍频带的叠加声压级，dB；</w:t>
      </w:r>
    </w:p>
    <w:p w14:paraId="6AE45BD4">
      <w:pPr>
        <w:keepNext w:val="0"/>
        <w:keepLines w:val="0"/>
        <w:pageBreakBefore w:val="0"/>
        <w:widowControl w:val="0"/>
        <w:kinsoku/>
        <w:wordWrap/>
        <w:overflowPunct/>
        <w:topLinePunct w:val="0"/>
        <w:autoSpaceDE/>
        <w:autoSpaceDN/>
        <w:bidi w:val="0"/>
        <w:adjustRightInd w:val="0"/>
        <w:snapToGrid w:val="0"/>
        <w:spacing w:line="360" w:lineRule="auto"/>
        <w:ind w:left="0" w:firstLine="960" w:firstLineChars="400"/>
        <w:jc w:val="left"/>
        <w:textAlignment w:val="baseline"/>
        <w:rPr>
          <w:sz w:val="24"/>
        </w:rPr>
      </w:pPr>
      <w:r>
        <w:rPr>
          <w:rFonts w:hint="eastAsia"/>
          <w:sz w:val="24"/>
          <w:szCs w:val="24"/>
        </w:rPr>
        <w:t xml:space="preserve"> </w:t>
      </w:r>
      <w:r>
        <w:rPr>
          <w:sz w:val="24"/>
          <w:szCs w:val="24"/>
        </w:rPr>
        <w:t>TLi——围护结构i倍频带的隔声量，dB；</w:t>
      </w:r>
    </w:p>
    <w:p w14:paraId="49E8E04F">
      <w:pPr>
        <w:keepNext w:val="0"/>
        <w:keepLines w:val="0"/>
        <w:pageBreakBefore w:val="0"/>
        <w:widowControl w:val="0"/>
        <w:kinsoku/>
        <w:wordWrap/>
        <w:overflowPunct/>
        <w:topLinePunct w:val="0"/>
        <w:autoSpaceDE/>
        <w:autoSpaceDN/>
        <w:bidi w:val="0"/>
        <w:adjustRightInd w:val="0"/>
        <w:snapToGrid w:val="0"/>
        <w:spacing w:line="360" w:lineRule="auto"/>
        <w:ind w:left="0" w:firstLine="480"/>
        <w:jc w:val="left"/>
        <w:textAlignment w:val="baseline"/>
        <w:rPr>
          <w:sz w:val="24"/>
        </w:rPr>
      </w:pPr>
      <w:r>
        <w:rPr>
          <w:sz w:val="24"/>
          <w:szCs w:val="24"/>
        </w:rPr>
        <w:t>然后按下式将室外声源的声压级和透过面积换算成等效的室外声源，计算出中心位置位于透声面积（S）处的等效声源的倍频带声功率级：</w:t>
      </w:r>
    </w:p>
    <w:p w14:paraId="12CA47D2">
      <w:pPr>
        <w:keepNext w:val="0"/>
        <w:keepLines w:val="0"/>
        <w:pageBreakBefore w:val="0"/>
        <w:widowControl w:val="0"/>
        <w:kinsoku/>
        <w:wordWrap/>
        <w:overflowPunct/>
        <w:topLinePunct w:val="0"/>
        <w:autoSpaceDE/>
        <w:autoSpaceDN/>
        <w:bidi w:val="0"/>
        <w:adjustRightInd w:val="0"/>
        <w:snapToGrid w:val="0"/>
        <w:spacing w:line="360" w:lineRule="auto"/>
        <w:ind w:left="0" w:firstLine="480"/>
        <w:jc w:val="center"/>
        <w:textAlignment w:val="baseline"/>
        <w:rPr>
          <w:sz w:val="24"/>
        </w:rPr>
      </w:pPr>
      <w:r>
        <w:rPr>
          <w:rFonts w:hint="eastAsia"/>
          <w:sz w:val="24"/>
          <w:szCs w:val="24"/>
        </w:rPr>
        <w:t>Lw2</w:t>
      </w:r>
      <w:r>
        <w:rPr>
          <w:sz w:val="24"/>
          <w:szCs w:val="24"/>
        </w:rPr>
        <w:t>=Lp2（T）+10lgS</w:t>
      </w:r>
    </w:p>
    <w:p w14:paraId="20551613">
      <w:pPr>
        <w:keepNext w:val="0"/>
        <w:keepLines w:val="0"/>
        <w:pageBreakBefore w:val="0"/>
        <w:widowControl w:val="0"/>
        <w:kinsoku/>
        <w:wordWrap/>
        <w:overflowPunct/>
        <w:topLinePunct w:val="0"/>
        <w:autoSpaceDE/>
        <w:autoSpaceDN/>
        <w:bidi w:val="0"/>
        <w:adjustRightInd w:val="0"/>
        <w:snapToGrid w:val="0"/>
        <w:spacing w:line="336" w:lineRule="auto"/>
        <w:ind w:left="0" w:firstLine="120" w:firstLineChars="50"/>
        <w:jc w:val="left"/>
        <w:textAlignment w:val="baseline"/>
        <w:rPr>
          <w:sz w:val="24"/>
        </w:rPr>
      </w:pPr>
      <w:r>
        <w:rPr>
          <w:sz w:val="24"/>
          <w:szCs w:val="24"/>
        </w:rPr>
        <w:t>式中：Lw2——中心位置位于透声面积（S）处的等效声源的倍频带声功率级，dB；</w:t>
      </w:r>
    </w:p>
    <w:p w14:paraId="589B6A4D">
      <w:pPr>
        <w:keepNext w:val="0"/>
        <w:keepLines w:val="0"/>
        <w:pageBreakBefore w:val="0"/>
        <w:widowControl w:val="0"/>
        <w:kinsoku/>
        <w:wordWrap/>
        <w:overflowPunct/>
        <w:topLinePunct w:val="0"/>
        <w:autoSpaceDE/>
        <w:autoSpaceDN/>
        <w:bidi w:val="0"/>
        <w:adjustRightInd w:val="0"/>
        <w:snapToGrid w:val="0"/>
        <w:spacing w:line="336" w:lineRule="auto"/>
        <w:ind w:left="0" w:firstLine="480"/>
        <w:jc w:val="left"/>
        <w:textAlignment w:val="baseline"/>
        <w:rPr>
          <w:sz w:val="24"/>
        </w:rPr>
      </w:pPr>
      <w:r>
        <w:rPr>
          <w:sz w:val="24"/>
          <w:szCs w:val="24"/>
        </w:rPr>
        <w:t xml:space="preserve">   Lp2（T）——靠近围护结构处室外声源的声压级，dB；</w:t>
      </w:r>
    </w:p>
    <w:p w14:paraId="084950D7">
      <w:pPr>
        <w:keepNext w:val="0"/>
        <w:keepLines w:val="0"/>
        <w:pageBreakBefore w:val="0"/>
        <w:widowControl w:val="0"/>
        <w:kinsoku/>
        <w:wordWrap/>
        <w:overflowPunct/>
        <w:topLinePunct w:val="0"/>
        <w:autoSpaceDE/>
        <w:autoSpaceDN/>
        <w:bidi w:val="0"/>
        <w:adjustRightInd w:val="0"/>
        <w:snapToGrid w:val="0"/>
        <w:spacing w:line="336" w:lineRule="auto"/>
        <w:ind w:left="0" w:firstLine="480"/>
        <w:jc w:val="left"/>
        <w:textAlignment w:val="baseline"/>
        <w:rPr>
          <w:sz w:val="24"/>
        </w:rPr>
      </w:pPr>
      <w:r>
        <w:rPr>
          <w:sz w:val="24"/>
          <w:szCs w:val="24"/>
        </w:rPr>
        <w:t xml:space="preserve">   S——透声面积，m</w:t>
      </w:r>
      <w:r>
        <w:rPr>
          <w:sz w:val="24"/>
          <w:szCs w:val="24"/>
          <w:vertAlign w:val="superscript"/>
        </w:rPr>
        <w:t>2</w:t>
      </w:r>
      <w:r>
        <w:rPr>
          <w:sz w:val="24"/>
          <w:szCs w:val="24"/>
        </w:rPr>
        <w:t>。</w:t>
      </w:r>
      <w:r>
        <w:rPr>
          <w:rFonts w:hint="eastAsia"/>
          <w:sz w:val="24"/>
          <w:szCs w:val="24"/>
        </w:rPr>
        <w:t>（</w:t>
      </w:r>
      <w:r>
        <w:rPr>
          <w:sz w:val="24"/>
          <w:szCs w:val="24"/>
        </w:rPr>
        <w:t>车间</w:t>
      </w:r>
      <w:r>
        <w:rPr>
          <w:rFonts w:hint="eastAsia"/>
          <w:sz w:val="24"/>
          <w:szCs w:val="24"/>
        </w:rPr>
        <w:t>S=50）</w:t>
      </w:r>
    </w:p>
    <w:p w14:paraId="702EADED">
      <w:pPr>
        <w:keepNext w:val="0"/>
        <w:keepLines w:val="0"/>
        <w:pageBreakBefore w:val="0"/>
        <w:widowControl w:val="0"/>
        <w:kinsoku/>
        <w:wordWrap/>
        <w:overflowPunct/>
        <w:topLinePunct w:val="0"/>
        <w:autoSpaceDE/>
        <w:autoSpaceDN/>
        <w:bidi w:val="0"/>
        <w:adjustRightInd w:val="0"/>
        <w:snapToGrid w:val="0"/>
        <w:spacing w:line="336" w:lineRule="auto"/>
        <w:ind w:left="0" w:firstLine="480"/>
        <w:jc w:val="left"/>
        <w:textAlignment w:val="baseline"/>
        <w:rPr>
          <w:sz w:val="24"/>
        </w:rPr>
      </w:pPr>
      <w:r>
        <w:rPr>
          <w:sz w:val="24"/>
          <w:szCs w:val="24"/>
        </w:rPr>
        <w:t>如果声源处于半自由声场，则预测点处声压级计算公式如下：</w:t>
      </w:r>
    </w:p>
    <w:p w14:paraId="7B2DC786">
      <w:pPr>
        <w:keepNext w:val="0"/>
        <w:keepLines w:val="0"/>
        <w:pageBreakBefore w:val="0"/>
        <w:widowControl w:val="0"/>
        <w:kinsoku/>
        <w:wordWrap/>
        <w:overflowPunct/>
        <w:topLinePunct w:val="0"/>
        <w:autoSpaceDE/>
        <w:autoSpaceDN/>
        <w:bidi w:val="0"/>
        <w:adjustRightInd w:val="0"/>
        <w:snapToGrid w:val="0"/>
        <w:spacing w:line="336" w:lineRule="auto"/>
        <w:ind w:left="0" w:firstLine="480"/>
        <w:jc w:val="left"/>
        <w:textAlignment w:val="baseline"/>
        <w:rPr>
          <w:sz w:val="24"/>
        </w:rPr>
      </w:pPr>
      <w:r>
        <w:rPr>
          <w:sz w:val="24"/>
          <w:szCs w:val="24"/>
        </w:rPr>
        <w:t xml:space="preserve">   Lp（r）=Lw-20lgr-8</w:t>
      </w:r>
    </w:p>
    <w:p w14:paraId="7F7E883B">
      <w:pPr>
        <w:keepNext w:val="0"/>
        <w:keepLines w:val="0"/>
        <w:pageBreakBefore w:val="0"/>
        <w:widowControl w:val="0"/>
        <w:kinsoku/>
        <w:wordWrap/>
        <w:overflowPunct/>
        <w:topLinePunct w:val="0"/>
        <w:autoSpaceDE/>
        <w:autoSpaceDN/>
        <w:bidi w:val="0"/>
        <w:adjustRightInd w:val="0"/>
        <w:snapToGrid w:val="0"/>
        <w:spacing w:line="336" w:lineRule="auto"/>
        <w:ind w:left="0" w:firstLine="480"/>
        <w:jc w:val="left"/>
        <w:textAlignment w:val="baseline"/>
        <w:rPr>
          <w:sz w:val="24"/>
        </w:rPr>
      </w:pPr>
      <w:r>
        <w:rPr>
          <w:sz w:val="24"/>
          <w:szCs w:val="24"/>
        </w:rPr>
        <w:t>式中：Lp（r）——预测点处声压级，dB；</w:t>
      </w:r>
    </w:p>
    <w:p w14:paraId="51851D30">
      <w:pPr>
        <w:keepNext w:val="0"/>
        <w:keepLines w:val="0"/>
        <w:pageBreakBefore w:val="0"/>
        <w:widowControl w:val="0"/>
        <w:kinsoku/>
        <w:wordWrap/>
        <w:overflowPunct/>
        <w:topLinePunct w:val="0"/>
        <w:autoSpaceDE/>
        <w:autoSpaceDN/>
        <w:bidi w:val="0"/>
        <w:adjustRightInd w:val="0"/>
        <w:snapToGrid w:val="0"/>
        <w:spacing w:line="336" w:lineRule="auto"/>
        <w:ind w:left="0" w:firstLine="480"/>
        <w:jc w:val="left"/>
        <w:textAlignment w:val="baseline"/>
        <w:rPr>
          <w:sz w:val="24"/>
        </w:rPr>
      </w:pPr>
      <w:r>
        <w:rPr>
          <w:sz w:val="24"/>
          <w:szCs w:val="24"/>
        </w:rPr>
        <w:t xml:space="preserve">   Lw——由点声源产生的倍频带声功率级，dB；</w:t>
      </w:r>
    </w:p>
    <w:p w14:paraId="2938D5DC">
      <w:pPr>
        <w:keepNext w:val="0"/>
        <w:keepLines w:val="0"/>
        <w:pageBreakBefore w:val="0"/>
        <w:widowControl w:val="0"/>
        <w:kinsoku/>
        <w:wordWrap/>
        <w:overflowPunct/>
        <w:topLinePunct w:val="0"/>
        <w:autoSpaceDE/>
        <w:autoSpaceDN/>
        <w:bidi w:val="0"/>
        <w:adjustRightInd w:val="0"/>
        <w:snapToGrid w:val="0"/>
        <w:spacing w:line="336" w:lineRule="auto"/>
        <w:ind w:left="0" w:firstLine="480"/>
        <w:jc w:val="left"/>
        <w:textAlignment w:val="baseline"/>
        <w:rPr>
          <w:sz w:val="24"/>
        </w:rPr>
      </w:pPr>
      <w:r>
        <w:rPr>
          <w:sz w:val="24"/>
          <w:szCs w:val="24"/>
        </w:rPr>
        <w:t xml:space="preserve">   r——预测点距声源的距离，m。</w:t>
      </w:r>
    </w:p>
    <w:p w14:paraId="2284262F">
      <w:pPr>
        <w:keepNext w:val="0"/>
        <w:keepLines w:val="0"/>
        <w:pageBreakBefore w:val="0"/>
        <w:widowControl w:val="0"/>
        <w:kinsoku/>
        <w:wordWrap/>
        <w:overflowPunct/>
        <w:topLinePunct w:val="0"/>
        <w:autoSpaceDE/>
        <w:autoSpaceDN/>
        <w:bidi w:val="0"/>
        <w:adjustRightInd w:val="0"/>
        <w:snapToGrid w:val="0"/>
        <w:spacing w:line="360" w:lineRule="auto"/>
        <w:rPr>
          <w:rFonts w:hint="eastAsia"/>
          <w:b/>
          <w:bCs/>
          <w:color w:val="auto"/>
          <w:u w:val="none"/>
        </w:rPr>
        <w:sectPr>
          <w:footerReference r:id="rId13" w:type="default"/>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r>
        <w:rPr>
          <w:rFonts w:hint="eastAsia"/>
          <w:b w:val="0"/>
          <w:bCs w:val="0"/>
          <w:color w:val="auto"/>
          <w:u w:val="none"/>
        </w:rPr>
        <w:t>工程厂界噪声源强及预测一览表见</w:t>
      </w:r>
      <w:r>
        <w:rPr>
          <w:rFonts w:hint="eastAsia"/>
          <w:b w:val="0"/>
          <w:bCs w:val="0"/>
          <w:color w:val="auto"/>
          <w:u w:val="none"/>
          <w:lang w:val="en-US" w:eastAsia="zh-CN"/>
        </w:rPr>
        <w:t>下表</w:t>
      </w:r>
      <w:r>
        <w:rPr>
          <w:rFonts w:hint="eastAsia"/>
          <w:b w:val="0"/>
          <w:bCs w:val="0"/>
          <w:color w:val="auto"/>
          <w:u w:val="none"/>
        </w:rPr>
        <w:t>。</w:t>
      </w:r>
    </w:p>
    <w:p w14:paraId="2E22E9AC">
      <w:pPr>
        <w:pStyle w:val="10"/>
        <w:bidi w:val="0"/>
        <w:rPr>
          <w:rFonts w:hint="eastAsia"/>
        </w:rPr>
      </w:pPr>
      <w:r>
        <w:rPr>
          <w:rFonts w:hint="eastAsia"/>
        </w:rPr>
        <w:t xml:space="preserve">表 </w:t>
      </w:r>
      <w:r>
        <w:rPr>
          <w:rFonts w:hint="eastAsia"/>
        </w:rPr>
        <w:fldChar w:fldCharType="begin"/>
      </w:r>
      <w:r>
        <w:rPr>
          <w:rFonts w:hint="eastAsia"/>
        </w:rPr>
        <w:instrText xml:space="preserve"> STYLEREF 2 \s </w:instrText>
      </w:r>
      <w:r>
        <w:rPr>
          <w:rFonts w:hint="eastAsia"/>
        </w:rPr>
        <w:fldChar w:fldCharType="separate"/>
      </w:r>
      <w:r>
        <w:rPr>
          <w:rFonts w:hint="eastAsia"/>
        </w:rPr>
        <w:t>4.6</w:t>
      </w:r>
      <w:r>
        <w:rPr>
          <w:rFonts w:hint="eastAsia"/>
        </w:rPr>
        <w:fldChar w:fldCharType="end"/>
      </w:r>
      <w:r>
        <w:rPr>
          <w:rFonts w:hint="eastAsia"/>
          <w:lang w:eastAsia="zh-CN"/>
        </w:rPr>
        <w:t>-</w:t>
      </w:r>
      <w:r>
        <w:rPr>
          <w:rFonts w:hint="eastAsia"/>
        </w:rPr>
        <w:fldChar w:fldCharType="begin"/>
      </w:r>
      <w:r>
        <w:rPr>
          <w:rFonts w:hint="eastAsia"/>
        </w:rPr>
        <w:instrText xml:space="preserve"> SEQ 表 \* ARABIC \s 2 </w:instrText>
      </w:r>
      <w:r>
        <w:rPr>
          <w:rFonts w:hint="eastAsia"/>
        </w:rPr>
        <w:fldChar w:fldCharType="separate"/>
      </w:r>
      <w:r>
        <w:rPr>
          <w:rFonts w:hint="eastAsia"/>
        </w:rPr>
        <w:t>13</w:t>
      </w:r>
      <w:r>
        <w:rPr>
          <w:rFonts w:hint="eastAsia"/>
        </w:rPr>
        <w:fldChar w:fldCharType="end"/>
      </w:r>
      <w:r>
        <w:rPr>
          <w:rFonts w:hint="eastAsia"/>
          <w:lang w:val="en-US" w:eastAsia="zh-CN"/>
        </w:rPr>
        <w:t xml:space="preserve"> 年产1000吨DT溶剂法再生纤维素纤维中试研发项目</w:t>
      </w:r>
      <w:r>
        <w:rPr>
          <w:rFonts w:hint="eastAsia"/>
        </w:rPr>
        <w:t>噪声源强调查清单（室内声源）</w:t>
      </w:r>
    </w:p>
    <w:tbl>
      <w:tblPr>
        <w:tblStyle w:val="31"/>
        <w:tblW w:w="536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10"/>
        <w:gridCol w:w="752"/>
        <w:gridCol w:w="1297"/>
        <w:gridCol w:w="979"/>
        <w:gridCol w:w="979"/>
        <w:gridCol w:w="954"/>
        <w:gridCol w:w="857"/>
        <w:gridCol w:w="912"/>
        <w:gridCol w:w="728"/>
        <w:gridCol w:w="811"/>
        <w:gridCol w:w="847"/>
        <w:gridCol w:w="1183"/>
        <w:gridCol w:w="1183"/>
        <w:gridCol w:w="900"/>
        <w:gridCol w:w="839"/>
        <w:gridCol w:w="544"/>
      </w:tblGrid>
      <w:tr w14:paraId="5401F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10" w:type="dxa"/>
            <w:vMerge w:val="restart"/>
            <w:tcBorders>
              <w:top w:val="single" w:color="auto" w:sz="8" w:space="0"/>
            </w:tcBorders>
            <w:noWrap/>
            <w:vAlign w:val="center"/>
          </w:tcPr>
          <w:p w14:paraId="28C597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序号</w:t>
            </w:r>
          </w:p>
        </w:tc>
        <w:tc>
          <w:tcPr>
            <w:tcW w:w="752" w:type="dxa"/>
            <w:vMerge w:val="restart"/>
            <w:tcBorders>
              <w:top w:val="single" w:color="auto" w:sz="8" w:space="0"/>
            </w:tcBorders>
            <w:noWrap/>
            <w:vAlign w:val="center"/>
          </w:tcPr>
          <w:p w14:paraId="17BA05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建筑物</w:t>
            </w:r>
          </w:p>
          <w:p w14:paraId="4B8797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名称</w:t>
            </w:r>
          </w:p>
        </w:tc>
        <w:tc>
          <w:tcPr>
            <w:tcW w:w="1297" w:type="dxa"/>
            <w:vMerge w:val="restart"/>
            <w:tcBorders>
              <w:top w:val="single" w:color="auto" w:sz="8" w:space="0"/>
            </w:tcBorders>
            <w:noWrap/>
            <w:vAlign w:val="center"/>
          </w:tcPr>
          <w:p w14:paraId="64BAFC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声源名称</w:t>
            </w:r>
          </w:p>
        </w:tc>
        <w:tc>
          <w:tcPr>
            <w:tcW w:w="979" w:type="dxa"/>
            <w:vMerge w:val="restart"/>
            <w:tcBorders>
              <w:top w:val="single" w:color="auto" w:sz="8" w:space="0"/>
            </w:tcBorders>
            <w:noWrap/>
            <w:vAlign w:val="center"/>
          </w:tcPr>
          <w:p w14:paraId="27D88A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sz w:val="21"/>
                <w:szCs w:val="21"/>
                <w:lang w:val="en-US" w:eastAsia="zh-CN"/>
              </w:rPr>
            </w:pPr>
            <w:r>
              <w:rPr>
                <w:rFonts w:hint="eastAsia"/>
                <w:b/>
                <w:sz w:val="21"/>
                <w:szCs w:val="21"/>
                <w:lang w:val="en-US" w:eastAsia="zh-CN"/>
              </w:rPr>
              <w:t>型号</w:t>
            </w:r>
          </w:p>
        </w:tc>
        <w:tc>
          <w:tcPr>
            <w:tcW w:w="979" w:type="dxa"/>
            <w:vMerge w:val="restart"/>
            <w:tcBorders>
              <w:top w:val="single" w:color="auto" w:sz="8" w:space="0"/>
            </w:tcBorders>
            <w:noWrap/>
            <w:vAlign w:val="center"/>
          </w:tcPr>
          <w:p w14:paraId="43A889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声功率级/dB（A）</w:t>
            </w:r>
          </w:p>
        </w:tc>
        <w:tc>
          <w:tcPr>
            <w:tcW w:w="954" w:type="dxa"/>
            <w:vMerge w:val="restart"/>
            <w:tcBorders>
              <w:top w:val="single" w:color="auto" w:sz="8" w:space="0"/>
            </w:tcBorders>
            <w:noWrap/>
            <w:vAlign w:val="center"/>
          </w:tcPr>
          <w:p w14:paraId="67176BA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声源控制措施</w:t>
            </w:r>
          </w:p>
        </w:tc>
        <w:tc>
          <w:tcPr>
            <w:tcW w:w="2497" w:type="dxa"/>
            <w:gridSpan w:val="3"/>
            <w:tcBorders>
              <w:top w:val="single" w:color="auto" w:sz="8" w:space="0"/>
            </w:tcBorders>
            <w:noWrap/>
            <w:vAlign w:val="center"/>
          </w:tcPr>
          <w:p w14:paraId="6875D6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空间相对位置/m</w:t>
            </w:r>
          </w:p>
        </w:tc>
        <w:tc>
          <w:tcPr>
            <w:tcW w:w="811" w:type="dxa"/>
            <w:vMerge w:val="restart"/>
            <w:tcBorders>
              <w:top w:val="single" w:color="auto" w:sz="8" w:space="0"/>
            </w:tcBorders>
            <w:noWrap/>
            <w:vAlign w:val="center"/>
          </w:tcPr>
          <w:p w14:paraId="217A9C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距室内边界距离/m</w:t>
            </w:r>
          </w:p>
        </w:tc>
        <w:tc>
          <w:tcPr>
            <w:tcW w:w="847" w:type="dxa"/>
            <w:vMerge w:val="restart"/>
            <w:tcBorders>
              <w:top w:val="single" w:color="auto" w:sz="8" w:space="0"/>
            </w:tcBorders>
            <w:noWrap/>
            <w:vAlign w:val="center"/>
          </w:tcPr>
          <w:p w14:paraId="49BC9D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室内边界声</w:t>
            </w:r>
            <w:r>
              <w:rPr>
                <w:rFonts w:hint="eastAsia"/>
                <w:b/>
                <w:sz w:val="21"/>
                <w:szCs w:val="21"/>
                <w:lang w:val="en-US" w:eastAsia="zh-CN"/>
              </w:rPr>
              <w:t>压</w:t>
            </w:r>
            <w:r>
              <w:rPr>
                <w:b/>
                <w:sz w:val="21"/>
                <w:szCs w:val="21"/>
              </w:rPr>
              <w:t>级/dB（A）</w:t>
            </w:r>
          </w:p>
        </w:tc>
        <w:tc>
          <w:tcPr>
            <w:tcW w:w="1183" w:type="dxa"/>
            <w:vMerge w:val="restart"/>
            <w:tcBorders>
              <w:top w:val="single" w:color="auto" w:sz="8" w:space="0"/>
            </w:tcBorders>
            <w:noWrap w:val="0"/>
            <w:vAlign w:val="center"/>
          </w:tcPr>
          <w:p w14:paraId="762E79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室内边界</w:t>
            </w:r>
            <w:r>
              <w:rPr>
                <w:rFonts w:hint="eastAsia"/>
                <w:b/>
                <w:sz w:val="21"/>
                <w:szCs w:val="21"/>
              </w:rPr>
              <w:t>叠加</w:t>
            </w:r>
            <w:r>
              <w:rPr>
                <w:b/>
                <w:sz w:val="21"/>
                <w:szCs w:val="21"/>
              </w:rPr>
              <w:t>声</w:t>
            </w:r>
            <w:r>
              <w:rPr>
                <w:rFonts w:hint="eastAsia"/>
                <w:b/>
                <w:sz w:val="21"/>
                <w:szCs w:val="21"/>
                <w:lang w:val="en-US" w:eastAsia="zh-CN"/>
              </w:rPr>
              <w:t>压</w:t>
            </w:r>
            <w:r>
              <w:rPr>
                <w:b/>
                <w:sz w:val="21"/>
                <w:szCs w:val="21"/>
              </w:rPr>
              <w:t>级/dB（A）</w:t>
            </w:r>
          </w:p>
        </w:tc>
        <w:tc>
          <w:tcPr>
            <w:tcW w:w="1183" w:type="dxa"/>
            <w:vMerge w:val="restart"/>
            <w:tcBorders>
              <w:top w:val="single" w:color="auto" w:sz="8" w:space="0"/>
            </w:tcBorders>
            <w:noWrap/>
            <w:vAlign w:val="center"/>
          </w:tcPr>
          <w:p w14:paraId="2D89E8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运行时段</w:t>
            </w:r>
          </w:p>
        </w:tc>
        <w:tc>
          <w:tcPr>
            <w:tcW w:w="900" w:type="dxa"/>
            <w:vMerge w:val="restart"/>
            <w:tcBorders>
              <w:top w:val="single" w:color="auto" w:sz="8" w:space="0"/>
            </w:tcBorders>
            <w:noWrap/>
            <w:vAlign w:val="center"/>
          </w:tcPr>
          <w:p w14:paraId="6FAD71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建筑物插入损失/dB（A）</w:t>
            </w:r>
          </w:p>
        </w:tc>
        <w:tc>
          <w:tcPr>
            <w:tcW w:w="1383" w:type="dxa"/>
            <w:gridSpan w:val="2"/>
            <w:tcBorders>
              <w:top w:val="single" w:color="auto" w:sz="8" w:space="0"/>
            </w:tcBorders>
            <w:noWrap/>
            <w:vAlign w:val="center"/>
          </w:tcPr>
          <w:p w14:paraId="7CE438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建筑物外噪声</w:t>
            </w:r>
          </w:p>
        </w:tc>
      </w:tr>
      <w:tr w14:paraId="15E46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10" w:type="dxa"/>
            <w:vMerge w:val="continue"/>
            <w:tcBorders>
              <w:bottom w:val="single" w:color="auto" w:sz="8" w:space="0"/>
            </w:tcBorders>
            <w:noWrap/>
            <w:vAlign w:val="center"/>
          </w:tcPr>
          <w:p w14:paraId="0616C5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p>
        </w:tc>
        <w:tc>
          <w:tcPr>
            <w:tcW w:w="752" w:type="dxa"/>
            <w:vMerge w:val="continue"/>
            <w:tcBorders>
              <w:bottom w:val="single" w:color="auto" w:sz="8" w:space="0"/>
            </w:tcBorders>
            <w:noWrap/>
            <w:vAlign w:val="center"/>
          </w:tcPr>
          <w:p w14:paraId="5D30EC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p>
        </w:tc>
        <w:tc>
          <w:tcPr>
            <w:tcW w:w="1297" w:type="dxa"/>
            <w:vMerge w:val="continue"/>
            <w:tcBorders>
              <w:bottom w:val="single" w:color="auto" w:sz="8" w:space="0"/>
            </w:tcBorders>
            <w:noWrap/>
            <w:vAlign w:val="center"/>
          </w:tcPr>
          <w:p w14:paraId="7A0495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p>
        </w:tc>
        <w:tc>
          <w:tcPr>
            <w:tcW w:w="979" w:type="dxa"/>
            <w:vMerge w:val="continue"/>
            <w:tcBorders>
              <w:bottom w:val="single" w:color="auto" w:sz="8" w:space="0"/>
            </w:tcBorders>
            <w:noWrap/>
            <w:vAlign w:val="center"/>
          </w:tcPr>
          <w:p w14:paraId="1F71B4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p>
        </w:tc>
        <w:tc>
          <w:tcPr>
            <w:tcW w:w="979" w:type="dxa"/>
            <w:vMerge w:val="continue"/>
            <w:tcBorders>
              <w:bottom w:val="single" w:color="auto" w:sz="8" w:space="0"/>
            </w:tcBorders>
            <w:noWrap/>
            <w:vAlign w:val="center"/>
          </w:tcPr>
          <w:p w14:paraId="1ED399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p>
        </w:tc>
        <w:tc>
          <w:tcPr>
            <w:tcW w:w="954" w:type="dxa"/>
            <w:vMerge w:val="continue"/>
            <w:tcBorders>
              <w:bottom w:val="single" w:color="auto" w:sz="8" w:space="0"/>
            </w:tcBorders>
            <w:noWrap/>
            <w:vAlign w:val="center"/>
          </w:tcPr>
          <w:p w14:paraId="00BB8D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p>
        </w:tc>
        <w:tc>
          <w:tcPr>
            <w:tcW w:w="857" w:type="dxa"/>
            <w:tcBorders>
              <w:bottom w:val="single" w:color="auto" w:sz="8" w:space="0"/>
            </w:tcBorders>
            <w:noWrap/>
            <w:vAlign w:val="center"/>
          </w:tcPr>
          <w:p w14:paraId="0EF415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X</w:t>
            </w:r>
          </w:p>
        </w:tc>
        <w:tc>
          <w:tcPr>
            <w:tcW w:w="912" w:type="dxa"/>
            <w:tcBorders>
              <w:bottom w:val="single" w:color="auto" w:sz="8" w:space="0"/>
            </w:tcBorders>
            <w:noWrap/>
            <w:vAlign w:val="center"/>
          </w:tcPr>
          <w:p w14:paraId="30709C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rFonts w:hint="eastAsia"/>
                <w:b/>
                <w:sz w:val="21"/>
                <w:szCs w:val="21"/>
              </w:rPr>
              <w:t>Y</w:t>
            </w:r>
          </w:p>
        </w:tc>
        <w:tc>
          <w:tcPr>
            <w:tcW w:w="728" w:type="dxa"/>
            <w:tcBorders>
              <w:bottom w:val="single" w:color="auto" w:sz="8" w:space="0"/>
            </w:tcBorders>
            <w:noWrap/>
            <w:vAlign w:val="center"/>
          </w:tcPr>
          <w:p w14:paraId="599ACB4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Z</w:t>
            </w:r>
          </w:p>
        </w:tc>
        <w:tc>
          <w:tcPr>
            <w:tcW w:w="811" w:type="dxa"/>
            <w:vMerge w:val="continue"/>
            <w:tcBorders>
              <w:bottom w:val="single" w:color="auto" w:sz="8" w:space="0"/>
            </w:tcBorders>
            <w:noWrap/>
            <w:vAlign w:val="center"/>
          </w:tcPr>
          <w:p w14:paraId="27565E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p>
        </w:tc>
        <w:tc>
          <w:tcPr>
            <w:tcW w:w="847" w:type="dxa"/>
            <w:vMerge w:val="continue"/>
            <w:tcBorders>
              <w:bottom w:val="single" w:color="auto" w:sz="8" w:space="0"/>
            </w:tcBorders>
            <w:noWrap/>
            <w:vAlign w:val="center"/>
          </w:tcPr>
          <w:p w14:paraId="760D34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p>
        </w:tc>
        <w:tc>
          <w:tcPr>
            <w:tcW w:w="1183" w:type="dxa"/>
            <w:vMerge w:val="continue"/>
            <w:tcBorders>
              <w:bottom w:val="single" w:color="auto" w:sz="8" w:space="0"/>
            </w:tcBorders>
            <w:noWrap w:val="0"/>
            <w:vAlign w:val="top"/>
          </w:tcPr>
          <w:p w14:paraId="6A42D8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p>
        </w:tc>
        <w:tc>
          <w:tcPr>
            <w:tcW w:w="1183" w:type="dxa"/>
            <w:vMerge w:val="continue"/>
            <w:tcBorders>
              <w:bottom w:val="single" w:color="auto" w:sz="8" w:space="0"/>
            </w:tcBorders>
            <w:noWrap/>
            <w:vAlign w:val="center"/>
          </w:tcPr>
          <w:p w14:paraId="7D357A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p>
        </w:tc>
        <w:tc>
          <w:tcPr>
            <w:tcW w:w="900" w:type="dxa"/>
            <w:vMerge w:val="continue"/>
            <w:tcBorders>
              <w:bottom w:val="single" w:color="auto" w:sz="8" w:space="0"/>
            </w:tcBorders>
            <w:noWrap/>
            <w:vAlign w:val="center"/>
          </w:tcPr>
          <w:p w14:paraId="6D5B92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p>
        </w:tc>
        <w:tc>
          <w:tcPr>
            <w:tcW w:w="839" w:type="dxa"/>
            <w:tcBorders>
              <w:bottom w:val="single" w:color="auto" w:sz="8" w:space="0"/>
            </w:tcBorders>
            <w:noWrap/>
            <w:vAlign w:val="center"/>
          </w:tcPr>
          <w:p w14:paraId="3FF0E3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声</w:t>
            </w:r>
            <w:r>
              <w:rPr>
                <w:rFonts w:hint="eastAsia"/>
                <w:b/>
                <w:sz w:val="21"/>
                <w:szCs w:val="21"/>
              </w:rPr>
              <w:t>功率</w:t>
            </w:r>
            <w:r>
              <w:rPr>
                <w:b/>
                <w:sz w:val="21"/>
                <w:szCs w:val="21"/>
              </w:rPr>
              <w:t>级/dB</w:t>
            </w:r>
          </w:p>
        </w:tc>
        <w:tc>
          <w:tcPr>
            <w:tcW w:w="544" w:type="dxa"/>
            <w:tcBorders>
              <w:bottom w:val="single" w:color="auto" w:sz="8" w:space="0"/>
            </w:tcBorders>
            <w:noWrap/>
            <w:vAlign w:val="center"/>
          </w:tcPr>
          <w:p w14:paraId="5AA3E8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建筑物外距离/m</w:t>
            </w:r>
          </w:p>
        </w:tc>
      </w:tr>
      <w:tr w14:paraId="0C40B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tcBorders>
              <w:top w:val="single" w:color="auto" w:sz="8" w:space="0"/>
            </w:tcBorders>
            <w:noWrap/>
            <w:vAlign w:val="center"/>
          </w:tcPr>
          <w:p w14:paraId="7573F3BF">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1</w:t>
            </w:r>
          </w:p>
        </w:tc>
        <w:tc>
          <w:tcPr>
            <w:tcW w:w="752" w:type="dxa"/>
            <w:vMerge w:val="restart"/>
            <w:tcBorders>
              <w:top w:val="single" w:color="auto" w:sz="8" w:space="0"/>
            </w:tcBorders>
            <w:noWrap/>
            <w:vAlign w:val="center"/>
          </w:tcPr>
          <w:p w14:paraId="6CFBFB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 w:val="0"/>
                <w:bCs w:val="0"/>
                <w:i w:val="0"/>
                <w:iCs w:val="0"/>
                <w:color w:val="auto"/>
                <w:sz w:val="21"/>
                <w:szCs w:val="21"/>
                <w:u w:val="none"/>
                <w:lang w:val="en-US" w:eastAsia="zh-CN"/>
              </w:rPr>
              <w:t>DT溶剂法再生纤维素纤维研发中试车间一楼</w:t>
            </w:r>
          </w:p>
        </w:tc>
        <w:tc>
          <w:tcPr>
            <w:tcW w:w="1297" w:type="dxa"/>
            <w:tcBorders>
              <w:top w:val="single" w:color="auto" w:sz="8" w:space="0"/>
            </w:tcBorders>
            <w:noWrap/>
            <w:vAlign w:val="center"/>
          </w:tcPr>
          <w:p w14:paraId="3434EF93">
            <w:pPr>
              <w:bidi w:val="0"/>
              <w:ind w:firstLine="482" w:firstLineChars="200"/>
            </w:pPr>
            <w:r>
              <w:rPr>
                <w:rFonts w:hint="eastAsia"/>
                <w:b/>
                <w:bCs/>
                <w:color w:val="auto"/>
                <w:u w:val="single"/>
                <w:lang w:val="en-US" w:eastAsia="zh-CN"/>
              </w:rPr>
              <w:t>*</w:t>
            </w:r>
          </w:p>
        </w:tc>
        <w:tc>
          <w:tcPr>
            <w:tcW w:w="979" w:type="dxa"/>
            <w:tcBorders>
              <w:top w:val="single" w:color="auto" w:sz="8" w:space="0"/>
            </w:tcBorders>
            <w:noWrap/>
            <w:vAlign w:val="center"/>
          </w:tcPr>
          <w:p w14:paraId="773F0404">
            <w:pPr>
              <w:bidi w:val="0"/>
              <w:ind w:firstLine="482" w:firstLineChars="200"/>
              <w:rPr>
                <w:rFonts w:hint="eastAsia"/>
              </w:rPr>
            </w:pPr>
            <w:r>
              <w:rPr>
                <w:rFonts w:hint="eastAsia"/>
                <w:b/>
                <w:bCs/>
                <w:color w:val="auto"/>
                <w:u w:val="single"/>
                <w:lang w:val="en-US" w:eastAsia="zh-CN"/>
              </w:rPr>
              <w:t>*</w:t>
            </w:r>
          </w:p>
        </w:tc>
        <w:tc>
          <w:tcPr>
            <w:tcW w:w="979" w:type="dxa"/>
            <w:tcBorders>
              <w:top w:val="single" w:color="auto" w:sz="8" w:space="0"/>
            </w:tcBorders>
            <w:noWrap/>
            <w:vAlign w:val="center"/>
          </w:tcPr>
          <w:p w14:paraId="4C9D3A48">
            <w:pPr>
              <w:bidi w:val="0"/>
              <w:ind w:firstLine="482" w:firstLineChars="200"/>
              <w:rPr>
                <w:color w:val="auto"/>
              </w:rPr>
            </w:pPr>
            <w:r>
              <w:rPr>
                <w:rFonts w:hint="eastAsia"/>
                <w:b/>
                <w:bCs/>
                <w:color w:val="auto"/>
                <w:u w:val="single"/>
                <w:lang w:val="en-US" w:eastAsia="zh-CN"/>
              </w:rPr>
              <w:t>*</w:t>
            </w:r>
          </w:p>
        </w:tc>
        <w:tc>
          <w:tcPr>
            <w:tcW w:w="954" w:type="dxa"/>
            <w:vMerge w:val="restart"/>
            <w:tcBorders>
              <w:top w:val="single" w:color="auto" w:sz="8" w:space="0"/>
            </w:tcBorders>
            <w:noWrap/>
            <w:vAlign w:val="center"/>
          </w:tcPr>
          <w:p w14:paraId="4928152A">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p w14:paraId="1A7EC1D0">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1E66E3BB">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69E5646A">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1399EC29">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1E7B5250">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542D0BD8">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6C8A770C">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5AC2C8EE">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0F2D7FD6">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51326CA3">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58CBA639">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592A8780">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1A3E1B78">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59CEFE5A">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4ECF8AA9">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14E9E7C1">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754FD46F">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55D80324">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115181CC">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41BF9028">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4626CFD5">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2E775FB1">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175BCA84">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2E18FB26">
            <w:pPr>
              <w:bidi w:val="0"/>
              <w:ind w:firstLine="482" w:firstLineChars="200"/>
            </w:pPr>
            <w:r>
              <w:rPr>
                <w:rFonts w:hint="eastAsia"/>
                <w:b/>
                <w:bCs/>
                <w:color w:val="auto"/>
                <w:u w:val="single"/>
                <w:lang w:val="en-US" w:eastAsia="zh-CN"/>
              </w:rPr>
              <w:t>*</w:t>
            </w:r>
          </w:p>
        </w:tc>
        <w:tc>
          <w:tcPr>
            <w:tcW w:w="857" w:type="dxa"/>
            <w:tcBorders>
              <w:top w:val="single" w:color="auto" w:sz="8" w:space="0"/>
            </w:tcBorders>
            <w:noWrap/>
            <w:vAlign w:val="center"/>
          </w:tcPr>
          <w:p w14:paraId="73F77A8F">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tcBorders>
              <w:top w:val="single" w:color="auto" w:sz="8" w:space="0"/>
            </w:tcBorders>
            <w:noWrap/>
            <w:vAlign w:val="center"/>
          </w:tcPr>
          <w:p w14:paraId="05785814">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tcBorders>
              <w:top w:val="single" w:color="auto" w:sz="8" w:space="0"/>
            </w:tcBorders>
            <w:noWrap/>
            <w:vAlign w:val="center"/>
          </w:tcPr>
          <w:p w14:paraId="4E6AB838">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tcBorders>
              <w:top w:val="single" w:color="auto" w:sz="8" w:space="0"/>
            </w:tcBorders>
            <w:noWrap/>
            <w:vAlign w:val="center"/>
          </w:tcPr>
          <w:p w14:paraId="3C2D41DA">
            <w:pPr>
              <w:bidi w:val="0"/>
              <w:ind w:firstLine="482" w:firstLineChars="200"/>
              <w:rPr>
                <w:sz w:val="21"/>
                <w:szCs w:val="21"/>
              </w:rPr>
            </w:pPr>
            <w:r>
              <w:rPr>
                <w:rFonts w:hint="eastAsia"/>
                <w:b/>
                <w:bCs/>
                <w:color w:val="auto"/>
                <w:u w:val="single"/>
                <w:lang w:val="en-US" w:eastAsia="zh-CN"/>
              </w:rPr>
              <w:t>*</w:t>
            </w:r>
          </w:p>
        </w:tc>
        <w:tc>
          <w:tcPr>
            <w:tcW w:w="847" w:type="dxa"/>
            <w:tcBorders>
              <w:top w:val="single" w:color="auto" w:sz="8" w:space="0"/>
            </w:tcBorders>
            <w:noWrap/>
            <w:vAlign w:val="center"/>
          </w:tcPr>
          <w:p w14:paraId="566B8FBF">
            <w:pPr>
              <w:bidi w:val="0"/>
              <w:ind w:firstLine="482" w:firstLineChars="200"/>
              <w:rPr>
                <w:sz w:val="21"/>
                <w:szCs w:val="21"/>
              </w:rPr>
            </w:pPr>
            <w:r>
              <w:rPr>
                <w:rFonts w:hint="eastAsia"/>
                <w:b/>
                <w:bCs/>
                <w:color w:val="auto"/>
                <w:u w:val="single"/>
                <w:lang w:val="en-US" w:eastAsia="zh-CN"/>
              </w:rPr>
              <w:t>*</w:t>
            </w:r>
          </w:p>
        </w:tc>
        <w:tc>
          <w:tcPr>
            <w:tcW w:w="1183" w:type="dxa"/>
            <w:vMerge w:val="restart"/>
            <w:tcBorders>
              <w:top w:val="single" w:color="auto" w:sz="8" w:space="0"/>
            </w:tcBorders>
            <w:noWrap w:val="0"/>
            <w:vAlign w:val="center"/>
          </w:tcPr>
          <w:p w14:paraId="14DE14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79.18</w:t>
            </w:r>
          </w:p>
        </w:tc>
        <w:tc>
          <w:tcPr>
            <w:tcW w:w="1183" w:type="dxa"/>
            <w:tcBorders>
              <w:top w:val="single" w:color="auto" w:sz="8" w:space="0"/>
            </w:tcBorders>
            <w:noWrap/>
            <w:vAlign w:val="center"/>
          </w:tcPr>
          <w:p w14:paraId="72F21D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val="en-US" w:eastAsia="zh-CN"/>
              </w:rPr>
              <w:t>全天</w:t>
            </w:r>
          </w:p>
        </w:tc>
        <w:tc>
          <w:tcPr>
            <w:tcW w:w="900" w:type="dxa"/>
            <w:vMerge w:val="restart"/>
            <w:tcBorders>
              <w:top w:val="single" w:color="auto" w:sz="8" w:space="0"/>
            </w:tcBorders>
            <w:noWrap/>
            <w:vAlign w:val="center"/>
          </w:tcPr>
          <w:p w14:paraId="6CB150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rPr>
              <w:t>10</w:t>
            </w:r>
          </w:p>
        </w:tc>
        <w:tc>
          <w:tcPr>
            <w:tcW w:w="839" w:type="dxa"/>
            <w:vMerge w:val="restart"/>
            <w:tcBorders>
              <w:top w:val="single" w:color="auto" w:sz="8" w:space="0"/>
            </w:tcBorders>
            <w:noWrap/>
            <w:vAlign w:val="center"/>
          </w:tcPr>
          <w:p w14:paraId="727554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80.17</w:t>
            </w:r>
          </w:p>
        </w:tc>
        <w:tc>
          <w:tcPr>
            <w:tcW w:w="544" w:type="dxa"/>
            <w:vMerge w:val="restart"/>
            <w:tcBorders>
              <w:top w:val="single" w:color="auto" w:sz="8" w:space="0"/>
            </w:tcBorders>
            <w:noWrap/>
            <w:vAlign w:val="center"/>
          </w:tcPr>
          <w:p w14:paraId="43B70F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val="en-US" w:eastAsia="zh-CN"/>
              </w:rPr>
              <w:t>1</w:t>
            </w:r>
          </w:p>
        </w:tc>
      </w:tr>
      <w:tr w14:paraId="03B15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67BA1CB5">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2</w:t>
            </w:r>
          </w:p>
        </w:tc>
        <w:tc>
          <w:tcPr>
            <w:tcW w:w="752" w:type="dxa"/>
            <w:vMerge w:val="continue"/>
            <w:noWrap/>
            <w:vAlign w:val="center"/>
          </w:tcPr>
          <w:p w14:paraId="73D28C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478B0446">
            <w:pPr>
              <w:bidi w:val="0"/>
              <w:ind w:firstLine="482" w:firstLineChars="200"/>
            </w:pPr>
            <w:r>
              <w:rPr>
                <w:rFonts w:hint="eastAsia"/>
                <w:b/>
                <w:bCs/>
                <w:color w:val="auto"/>
                <w:u w:val="single"/>
                <w:lang w:val="en-US" w:eastAsia="zh-CN"/>
              </w:rPr>
              <w:t>*</w:t>
            </w:r>
          </w:p>
        </w:tc>
        <w:tc>
          <w:tcPr>
            <w:tcW w:w="979" w:type="dxa"/>
            <w:noWrap/>
            <w:vAlign w:val="center"/>
          </w:tcPr>
          <w:p w14:paraId="451F28EF">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1CC81683">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62511B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62AC12A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71B5F43F">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27EADF58">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0035ACC7">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2600A88C">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3437FE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339865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0A6A6E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797E63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529736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2F362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04D37B21">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3</w:t>
            </w:r>
          </w:p>
        </w:tc>
        <w:tc>
          <w:tcPr>
            <w:tcW w:w="752" w:type="dxa"/>
            <w:vMerge w:val="continue"/>
            <w:noWrap/>
            <w:vAlign w:val="center"/>
          </w:tcPr>
          <w:p w14:paraId="7F8751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2F9B5CE5">
            <w:pPr>
              <w:bidi w:val="0"/>
              <w:ind w:firstLine="482" w:firstLineChars="200"/>
            </w:pPr>
            <w:r>
              <w:rPr>
                <w:rFonts w:hint="eastAsia"/>
                <w:b/>
                <w:bCs/>
                <w:color w:val="auto"/>
                <w:u w:val="single"/>
                <w:lang w:val="en-US" w:eastAsia="zh-CN"/>
              </w:rPr>
              <w:t>*</w:t>
            </w:r>
          </w:p>
        </w:tc>
        <w:tc>
          <w:tcPr>
            <w:tcW w:w="979" w:type="dxa"/>
            <w:noWrap/>
            <w:vAlign w:val="center"/>
          </w:tcPr>
          <w:p w14:paraId="587CF8F4">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6FCFFFE2">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1FED78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6BA53E20">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2499E42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4136347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265586B1">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5D6F53A1">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3112C8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47C341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73AC43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41FF84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365F0A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2C612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29AA5869">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4</w:t>
            </w:r>
          </w:p>
        </w:tc>
        <w:tc>
          <w:tcPr>
            <w:tcW w:w="752" w:type="dxa"/>
            <w:vMerge w:val="continue"/>
            <w:noWrap/>
            <w:vAlign w:val="center"/>
          </w:tcPr>
          <w:p w14:paraId="545C03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66DE7DFA">
            <w:pPr>
              <w:bidi w:val="0"/>
              <w:ind w:firstLine="482" w:firstLineChars="200"/>
            </w:pPr>
            <w:r>
              <w:rPr>
                <w:rFonts w:hint="eastAsia"/>
                <w:b/>
                <w:bCs/>
                <w:color w:val="auto"/>
                <w:u w:val="single"/>
                <w:lang w:val="en-US" w:eastAsia="zh-CN"/>
              </w:rPr>
              <w:t>*</w:t>
            </w:r>
          </w:p>
        </w:tc>
        <w:tc>
          <w:tcPr>
            <w:tcW w:w="979" w:type="dxa"/>
            <w:noWrap/>
            <w:vAlign w:val="center"/>
          </w:tcPr>
          <w:p w14:paraId="19DA721C">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36921E26">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5BD073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2373BBFE">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13B8C4AA">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7B8A205D">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77A9FE7D">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1C541C17">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6E80BA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1615DD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12CCCC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68F82F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6C8349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0BF49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28C8FD4F">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5</w:t>
            </w:r>
          </w:p>
        </w:tc>
        <w:tc>
          <w:tcPr>
            <w:tcW w:w="752" w:type="dxa"/>
            <w:vMerge w:val="continue"/>
            <w:noWrap/>
            <w:vAlign w:val="center"/>
          </w:tcPr>
          <w:p w14:paraId="0FF4A2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70C5E8F9">
            <w:pPr>
              <w:bidi w:val="0"/>
              <w:ind w:firstLine="482" w:firstLineChars="200"/>
            </w:pPr>
            <w:r>
              <w:rPr>
                <w:rFonts w:hint="eastAsia"/>
                <w:b/>
                <w:bCs/>
                <w:color w:val="auto"/>
                <w:u w:val="single"/>
                <w:lang w:val="en-US" w:eastAsia="zh-CN"/>
              </w:rPr>
              <w:t>*</w:t>
            </w:r>
          </w:p>
        </w:tc>
        <w:tc>
          <w:tcPr>
            <w:tcW w:w="979" w:type="dxa"/>
            <w:noWrap/>
            <w:vAlign w:val="center"/>
          </w:tcPr>
          <w:p w14:paraId="29D5CD1C">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3ECD37C0">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7902C1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1C155B0A">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6A6D3ECD">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43361B2D">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6123912B">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513CC1B1">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5E9E59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18507A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4A56CF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7AB7F2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6D6D66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69579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629F38DA">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6</w:t>
            </w:r>
          </w:p>
        </w:tc>
        <w:tc>
          <w:tcPr>
            <w:tcW w:w="752" w:type="dxa"/>
            <w:vMerge w:val="continue"/>
            <w:noWrap/>
            <w:vAlign w:val="center"/>
          </w:tcPr>
          <w:p w14:paraId="46C7B9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507700C8">
            <w:pPr>
              <w:bidi w:val="0"/>
              <w:ind w:firstLine="482" w:firstLineChars="200"/>
            </w:pPr>
            <w:r>
              <w:rPr>
                <w:rFonts w:hint="eastAsia"/>
                <w:b/>
                <w:bCs/>
                <w:color w:val="auto"/>
                <w:u w:val="single"/>
                <w:lang w:val="en-US" w:eastAsia="zh-CN"/>
              </w:rPr>
              <w:t>*</w:t>
            </w:r>
          </w:p>
        </w:tc>
        <w:tc>
          <w:tcPr>
            <w:tcW w:w="979" w:type="dxa"/>
            <w:noWrap/>
            <w:vAlign w:val="center"/>
          </w:tcPr>
          <w:p w14:paraId="33832F32">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43CE7A4E">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4151F3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2639C6CB">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7E80DB6F">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47AD3A75">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7D613A7E">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6DB2DF9B">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005B46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1B57A0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512074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6E8104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2598D3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3A128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2AAD000D">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7</w:t>
            </w:r>
          </w:p>
        </w:tc>
        <w:tc>
          <w:tcPr>
            <w:tcW w:w="752" w:type="dxa"/>
            <w:vMerge w:val="continue"/>
            <w:noWrap/>
            <w:vAlign w:val="center"/>
          </w:tcPr>
          <w:p w14:paraId="78D98E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4A7911E1">
            <w:pPr>
              <w:bidi w:val="0"/>
              <w:ind w:firstLine="482" w:firstLineChars="200"/>
            </w:pPr>
            <w:r>
              <w:rPr>
                <w:rFonts w:hint="eastAsia"/>
                <w:b/>
                <w:bCs/>
                <w:color w:val="auto"/>
                <w:u w:val="single"/>
                <w:lang w:val="en-US" w:eastAsia="zh-CN"/>
              </w:rPr>
              <w:t>*</w:t>
            </w:r>
          </w:p>
        </w:tc>
        <w:tc>
          <w:tcPr>
            <w:tcW w:w="979" w:type="dxa"/>
            <w:noWrap/>
            <w:vAlign w:val="center"/>
          </w:tcPr>
          <w:p w14:paraId="1940054B">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640DABB9">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57D813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524B7DBD">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7F6307F6">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6A59DAB0">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39E377FD">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23D73C75">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50EA86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5F2303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751506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5964A7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1FD371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58FFE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13B62551">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8</w:t>
            </w:r>
          </w:p>
        </w:tc>
        <w:tc>
          <w:tcPr>
            <w:tcW w:w="752" w:type="dxa"/>
            <w:vMerge w:val="continue"/>
            <w:noWrap/>
            <w:vAlign w:val="center"/>
          </w:tcPr>
          <w:p w14:paraId="5C9D95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23DEEA62">
            <w:pPr>
              <w:bidi w:val="0"/>
              <w:ind w:firstLine="482" w:firstLineChars="200"/>
            </w:pPr>
            <w:r>
              <w:rPr>
                <w:rFonts w:hint="eastAsia"/>
                <w:b/>
                <w:bCs/>
                <w:color w:val="auto"/>
                <w:u w:val="single"/>
                <w:lang w:val="en-US" w:eastAsia="zh-CN"/>
              </w:rPr>
              <w:t>*</w:t>
            </w:r>
          </w:p>
        </w:tc>
        <w:tc>
          <w:tcPr>
            <w:tcW w:w="979" w:type="dxa"/>
            <w:noWrap/>
            <w:vAlign w:val="center"/>
          </w:tcPr>
          <w:p w14:paraId="2A1CB9AD">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19D24C57">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78BF9F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5037345C">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4C4F264A">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3C20EDB1">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73D81649">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0F6CA93F">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4EE0C9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280CFB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6247EF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0AF4E0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2E894B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5A001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1CA6DB21">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9</w:t>
            </w:r>
          </w:p>
        </w:tc>
        <w:tc>
          <w:tcPr>
            <w:tcW w:w="752" w:type="dxa"/>
            <w:vMerge w:val="continue"/>
            <w:noWrap/>
            <w:vAlign w:val="center"/>
          </w:tcPr>
          <w:p w14:paraId="589D12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097FB46F">
            <w:pPr>
              <w:bidi w:val="0"/>
              <w:ind w:firstLine="482" w:firstLineChars="200"/>
            </w:pPr>
            <w:r>
              <w:rPr>
                <w:rFonts w:hint="eastAsia"/>
                <w:b/>
                <w:bCs/>
                <w:color w:val="auto"/>
                <w:u w:val="single"/>
                <w:lang w:val="en-US" w:eastAsia="zh-CN"/>
              </w:rPr>
              <w:t>*</w:t>
            </w:r>
          </w:p>
        </w:tc>
        <w:tc>
          <w:tcPr>
            <w:tcW w:w="979" w:type="dxa"/>
            <w:noWrap/>
            <w:vAlign w:val="center"/>
          </w:tcPr>
          <w:p w14:paraId="29F047B7">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29BC9FCA">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17358E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6F9C802B">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19CB9796">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6D6CABC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1F4BA6D6">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35A054C5">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1201B6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1299EF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530BCA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62CDC2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4AF134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70891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197D6EC2">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10</w:t>
            </w:r>
          </w:p>
        </w:tc>
        <w:tc>
          <w:tcPr>
            <w:tcW w:w="752" w:type="dxa"/>
            <w:vMerge w:val="continue"/>
            <w:noWrap/>
            <w:vAlign w:val="center"/>
          </w:tcPr>
          <w:p w14:paraId="5006C7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5E3447BC">
            <w:pPr>
              <w:bidi w:val="0"/>
              <w:ind w:firstLine="482" w:firstLineChars="200"/>
            </w:pPr>
            <w:r>
              <w:rPr>
                <w:rFonts w:hint="eastAsia"/>
                <w:b/>
                <w:bCs/>
                <w:color w:val="auto"/>
                <w:u w:val="single"/>
                <w:lang w:val="en-US" w:eastAsia="zh-CN"/>
              </w:rPr>
              <w:t>*</w:t>
            </w:r>
          </w:p>
        </w:tc>
        <w:tc>
          <w:tcPr>
            <w:tcW w:w="979" w:type="dxa"/>
            <w:noWrap/>
            <w:vAlign w:val="center"/>
          </w:tcPr>
          <w:p w14:paraId="711E2932">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0215C345">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79FD10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64FA3431">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54D47EE2">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4F674D01">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51FED7D1">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483D99C4">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735BA8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735917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19E473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5EAB3C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611F00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7ABD2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58B3A2D2">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11</w:t>
            </w:r>
          </w:p>
        </w:tc>
        <w:tc>
          <w:tcPr>
            <w:tcW w:w="752" w:type="dxa"/>
            <w:vMerge w:val="continue"/>
            <w:noWrap/>
            <w:vAlign w:val="center"/>
          </w:tcPr>
          <w:p w14:paraId="028FF2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4759ED68">
            <w:pPr>
              <w:bidi w:val="0"/>
              <w:ind w:firstLine="482" w:firstLineChars="200"/>
            </w:pPr>
            <w:r>
              <w:rPr>
                <w:rFonts w:hint="eastAsia"/>
                <w:b/>
                <w:bCs/>
                <w:color w:val="auto"/>
                <w:u w:val="single"/>
                <w:lang w:val="en-US" w:eastAsia="zh-CN"/>
              </w:rPr>
              <w:t>*</w:t>
            </w:r>
          </w:p>
        </w:tc>
        <w:tc>
          <w:tcPr>
            <w:tcW w:w="979" w:type="dxa"/>
            <w:noWrap/>
            <w:vAlign w:val="center"/>
          </w:tcPr>
          <w:p w14:paraId="40ADA8A0">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3017DDB4">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49BD0D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264D93C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34BFD35E">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22B10AD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16FA1F1C">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25C07520">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7B78A8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45524E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746658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0A2645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130EFC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19033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7EE9A1CF">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12</w:t>
            </w:r>
          </w:p>
        </w:tc>
        <w:tc>
          <w:tcPr>
            <w:tcW w:w="752" w:type="dxa"/>
            <w:vMerge w:val="continue"/>
            <w:noWrap/>
            <w:vAlign w:val="center"/>
          </w:tcPr>
          <w:p w14:paraId="0EE28D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5D1081AA">
            <w:pPr>
              <w:bidi w:val="0"/>
              <w:ind w:firstLine="482" w:firstLineChars="200"/>
            </w:pPr>
            <w:r>
              <w:rPr>
                <w:rFonts w:hint="eastAsia"/>
                <w:b/>
                <w:bCs/>
                <w:color w:val="auto"/>
                <w:u w:val="single"/>
                <w:lang w:val="en-US" w:eastAsia="zh-CN"/>
              </w:rPr>
              <w:t>*</w:t>
            </w:r>
          </w:p>
        </w:tc>
        <w:tc>
          <w:tcPr>
            <w:tcW w:w="979" w:type="dxa"/>
            <w:noWrap/>
            <w:vAlign w:val="center"/>
          </w:tcPr>
          <w:p w14:paraId="71F5E60F">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2C629DD0">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3790C2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57D64124">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2814E929">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5B686CF8">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3758735D">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2AC720F0">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4B7400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3422A3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38A03D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56E46D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112D5E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25385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47557DB8">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13</w:t>
            </w:r>
          </w:p>
        </w:tc>
        <w:tc>
          <w:tcPr>
            <w:tcW w:w="752" w:type="dxa"/>
            <w:vMerge w:val="continue"/>
            <w:noWrap/>
            <w:vAlign w:val="center"/>
          </w:tcPr>
          <w:p w14:paraId="155B54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25CE6688">
            <w:pPr>
              <w:bidi w:val="0"/>
              <w:ind w:firstLine="482" w:firstLineChars="200"/>
            </w:pPr>
            <w:r>
              <w:rPr>
                <w:rFonts w:hint="eastAsia"/>
                <w:b/>
                <w:bCs/>
                <w:color w:val="auto"/>
                <w:u w:val="single"/>
                <w:lang w:val="en-US" w:eastAsia="zh-CN"/>
              </w:rPr>
              <w:t>*</w:t>
            </w:r>
          </w:p>
        </w:tc>
        <w:tc>
          <w:tcPr>
            <w:tcW w:w="979" w:type="dxa"/>
            <w:noWrap/>
            <w:vAlign w:val="center"/>
          </w:tcPr>
          <w:p w14:paraId="04CD305C">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1ED70075">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282FE3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25E79148">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79F02B74">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0C243161">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37EE67AB">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74C92573">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51A41F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6E633F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19F529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2E574B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08B8D0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45A11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4D94361A">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14</w:t>
            </w:r>
          </w:p>
        </w:tc>
        <w:tc>
          <w:tcPr>
            <w:tcW w:w="752" w:type="dxa"/>
            <w:vMerge w:val="continue"/>
            <w:noWrap/>
            <w:vAlign w:val="center"/>
          </w:tcPr>
          <w:p w14:paraId="4FF62C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4A911774">
            <w:pPr>
              <w:bidi w:val="0"/>
              <w:ind w:firstLine="482" w:firstLineChars="200"/>
            </w:pPr>
            <w:r>
              <w:rPr>
                <w:rFonts w:hint="eastAsia"/>
                <w:b/>
                <w:bCs/>
                <w:color w:val="auto"/>
                <w:u w:val="single"/>
                <w:lang w:val="en-US" w:eastAsia="zh-CN"/>
              </w:rPr>
              <w:t>*</w:t>
            </w:r>
          </w:p>
        </w:tc>
        <w:tc>
          <w:tcPr>
            <w:tcW w:w="979" w:type="dxa"/>
            <w:noWrap/>
            <w:vAlign w:val="center"/>
          </w:tcPr>
          <w:p w14:paraId="6C6BC23D">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561A05EF">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5EC64C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746F2535">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0B830A82">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3413765D">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46025EFF">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36F38E01">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660EA3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49A101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25FBB1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212D83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35AA5C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4D3C3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314F4734">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15</w:t>
            </w:r>
          </w:p>
        </w:tc>
        <w:tc>
          <w:tcPr>
            <w:tcW w:w="752" w:type="dxa"/>
            <w:vMerge w:val="continue"/>
            <w:noWrap/>
            <w:vAlign w:val="center"/>
          </w:tcPr>
          <w:p w14:paraId="3AE4AC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45EA672D">
            <w:pPr>
              <w:bidi w:val="0"/>
              <w:ind w:firstLine="482" w:firstLineChars="200"/>
            </w:pPr>
            <w:r>
              <w:rPr>
                <w:rFonts w:hint="eastAsia"/>
                <w:b/>
                <w:bCs/>
                <w:color w:val="auto"/>
                <w:u w:val="single"/>
                <w:lang w:val="en-US" w:eastAsia="zh-CN"/>
              </w:rPr>
              <w:t>*</w:t>
            </w:r>
          </w:p>
        </w:tc>
        <w:tc>
          <w:tcPr>
            <w:tcW w:w="979" w:type="dxa"/>
            <w:noWrap/>
            <w:vAlign w:val="center"/>
          </w:tcPr>
          <w:p w14:paraId="15999961">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0BE8E380">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28B2DC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423F1DCD">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912" w:type="dxa"/>
            <w:noWrap/>
            <w:vAlign w:val="center"/>
          </w:tcPr>
          <w:p w14:paraId="0CC372F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3F95727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79D02642">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6B926CE3">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4770AB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7C0D11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75FFE2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3074DB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689DF9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2C6F4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1E09C871">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16</w:t>
            </w:r>
          </w:p>
        </w:tc>
        <w:tc>
          <w:tcPr>
            <w:tcW w:w="752" w:type="dxa"/>
            <w:vMerge w:val="continue"/>
            <w:noWrap/>
            <w:vAlign w:val="center"/>
          </w:tcPr>
          <w:p w14:paraId="547C93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5F5823F5">
            <w:pPr>
              <w:bidi w:val="0"/>
              <w:ind w:firstLine="482" w:firstLineChars="200"/>
            </w:pPr>
            <w:r>
              <w:rPr>
                <w:rFonts w:hint="eastAsia"/>
                <w:b/>
                <w:bCs/>
                <w:color w:val="auto"/>
                <w:u w:val="single"/>
                <w:lang w:val="en-US" w:eastAsia="zh-CN"/>
              </w:rPr>
              <w:t>*</w:t>
            </w:r>
          </w:p>
        </w:tc>
        <w:tc>
          <w:tcPr>
            <w:tcW w:w="979" w:type="dxa"/>
            <w:noWrap/>
            <w:vAlign w:val="center"/>
          </w:tcPr>
          <w:p w14:paraId="58199F8A">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38586938">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0BD329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7BC89A6E">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28DDF776">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0098F2DC">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6EA1CD47">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52413762">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537B91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39013D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0107EE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39D1A1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3CCCFF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01D0B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3C8B2E97">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17</w:t>
            </w:r>
          </w:p>
        </w:tc>
        <w:tc>
          <w:tcPr>
            <w:tcW w:w="752" w:type="dxa"/>
            <w:vMerge w:val="continue"/>
            <w:noWrap/>
            <w:vAlign w:val="center"/>
          </w:tcPr>
          <w:p w14:paraId="6010B4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23BDF7EE">
            <w:pPr>
              <w:bidi w:val="0"/>
              <w:ind w:firstLine="482" w:firstLineChars="200"/>
            </w:pPr>
            <w:r>
              <w:rPr>
                <w:rFonts w:hint="eastAsia"/>
                <w:b/>
                <w:bCs/>
                <w:color w:val="auto"/>
                <w:u w:val="single"/>
                <w:lang w:val="en-US" w:eastAsia="zh-CN"/>
              </w:rPr>
              <w:t>*</w:t>
            </w:r>
          </w:p>
        </w:tc>
        <w:tc>
          <w:tcPr>
            <w:tcW w:w="979" w:type="dxa"/>
            <w:noWrap/>
            <w:vAlign w:val="center"/>
          </w:tcPr>
          <w:p w14:paraId="4B72D784">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3DD8D9E8">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13EE51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6B48510E">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659882A2">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0FB0B2D0">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3AFDCF76">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2A7F29DC">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0BA098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83" w:type="dxa"/>
            <w:noWrap/>
            <w:vAlign w:val="center"/>
          </w:tcPr>
          <w:p w14:paraId="11C522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32D264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4B274B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176D80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454BB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7EB713F5">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18</w:t>
            </w:r>
          </w:p>
        </w:tc>
        <w:tc>
          <w:tcPr>
            <w:tcW w:w="752" w:type="dxa"/>
            <w:vMerge w:val="continue"/>
            <w:noWrap/>
            <w:vAlign w:val="center"/>
          </w:tcPr>
          <w:p w14:paraId="2CF6AE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65070F6E">
            <w:pPr>
              <w:bidi w:val="0"/>
              <w:ind w:firstLine="482" w:firstLineChars="200"/>
            </w:pPr>
            <w:r>
              <w:rPr>
                <w:rFonts w:hint="eastAsia"/>
                <w:b/>
                <w:bCs/>
                <w:color w:val="auto"/>
                <w:u w:val="single"/>
                <w:lang w:val="en-US" w:eastAsia="zh-CN"/>
              </w:rPr>
              <w:t>*</w:t>
            </w:r>
          </w:p>
        </w:tc>
        <w:tc>
          <w:tcPr>
            <w:tcW w:w="979" w:type="dxa"/>
            <w:noWrap/>
            <w:vAlign w:val="center"/>
          </w:tcPr>
          <w:p w14:paraId="5D33E78E">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387F58EA">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0A9C65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1C2B099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0A2410C4">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315688E0">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0B4BAE3B">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27F5829E">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top"/>
          </w:tcPr>
          <w:p w14:paraId="4728A7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5C4316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r>
              <w:rPr>
                <w:rFonts w:hint="eastAsia"/>
                <w:sz w:val="21"/>
                <w:szCs w:val="21"/>
                <w:lang w:val="en-US" w:eastAsia="zh-CN"/>
              </w:rPr>
              <w:t>全天</w:t>
            </w:r>
          </w:p>
        </w:tc>
        <w:tc>
          <w:tcPr>
            <w:tcW w:w="900" w:type="dxa"/>
            <w:vMerge w:val="continue"/>
            <w:noWrap/>
            <w:vAlign w:val="center"/>
          </w:tcPr>
          <w:p w14:paraId="5E1ED9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416DE3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46CCF0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659F9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7B5CA803">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19</w:t>
            </w:r>
          </w:p>
        </w:tc>
        <w:tc>
          <w:tcPr>
            <w:tcW w:w="752" w:type="dxa"/>
            <w:vMerge w:val="continue"/>
            <w:noWrap/>
            <w:vAlign w:val="center"/>
          </w:tcPr>
          <w:p w14:paraId="663AAE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0155E1E3">
            <w:pPr>
              <w:bidi w:val="0"/>
              <w:ind w:firstLine="482" w:firstLineChars="200"/>
            </w:pPr>
            <w:r>
              <w:rPr>
                <w:rFonts w:hint="eastAsia"/>
                <w:b/>
                <w:bCs/>
                <w:color w:val="auto"/>
                <w:u w:val="single"/>
                <w:lang w:val="en-US" w:eastAsia="zh-CN"/>
              </w:rPr>
              <w:t>*</w:t>
            </w:r>
          </w:p>
        </w:tc>
        <w:tc>
          <w:tcPr>
            <w:tcW w:w="979" w:type="dxa"/>
            <w:noWrap/>
            <w:vAlign w:val="center"/>
          </w:tcPr>
          <w:p w14:paraId="55ACA9F4">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6984B6B5">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3A227F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4EC8E5AD">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092F7F28">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16319885">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5B531886">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2BEA851B">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71F363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0679C0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1E2F37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630DA3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765F23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08474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25FE77DA">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20</w:t>
            </w:r>
          </w:p>
        </w:tc>
        <w:tc>
          <w:tcPr>
            <w:tcW w:w="752" w:type="dxa"/>
            <w:vMerge w:val="continue"/>
            <w:noWrap/>
            <w:vAlign w:val="center"/>
          </w:tcPr>
          <w:p w14:paraId="4A3B51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1297" w:type="dxa"/>
            <w:noWrap/>
            <w:vAlign w:val="center"/>
          </w:tcPr>
          <w:p w14:paraId="6397B900">
            <w:pPr>
              <w:bidi w:val="0"/>
              <w:ind w:firstLine="482" w:firstLineChars="200"/>
            </w:pPr>
            <w:r>
              <w:rPr>
                <w:rFonts w:hint="eastAsia"/>
                <w:b/>
                <w:bCs/>
                <w:color w:val="auto"/>
                <w:u w:val="single"/>
                <w:lang w:val="en-US" w:eastAsia="zh-CN"/>
              </w:rPr>
              <w:t>*</w:t>
            </w:r>
          </w:p>
        </w:tc>
        <w:tc>
          <w:tcPr>
            <w:tcW w:w="979" w:type="dxa"/>
            <w:noWrap/>
            <w:vAlign w:val="center"/>
          </w:tcPr>
          <w:p w14:paraId="7E1CED14">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370E6E47">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16060A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1278DAF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59D3C423">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208326F8">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230CD618">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1BE21B76">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104F99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2C164D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42AC64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635C45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39CE7B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1C0B4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23BB62EB">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21</w:t>
            </w:r>
          </w:p>
        </w:tc>
        <w:tc>
          <w:tcPr>
            <w:tcW w:w="752" w:type="dxa"/>
            <w:vMerge w:val="continue"/>
            <w:noWrap/>
            <w:vAlign w:val="center"/>
          </w:tcPr>
          <w:p w14:paraId="33090B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1297" w:type="dxa"/>
            <w:noWrap/>
            <w:vAlign w:val="center"/>
          </w:tcPr>
          <w:p w14:paraId="02283881">
            <w:pPr>
              <w:bidi w:val="0"/>
              <w:ind w:firstLine="482" w:firstLineChars="200"/>
            </w:pPr>
            <w:r>
              <w:rPr>
                <w:rFonts w:hint="eastAsia"/>
                <w:b/>
                <w:bCs/>
                <w:color w:val="auto"/>
                <w:u w:val="single"/>
                <w:lang w:val="en-US" w:eastAsia="zh-CN"/>
              </w:rPr>
              <w:t>*</w:t>
            </w:r>
          </w:p>
        </w:tc>
        <w:tc>
          <w:tcPr>
            <w:tcW w:w="979" w:type="dxa"/>
            <w:noWrap/>
            <w:vAlign w:val="center"/>
          </w:tcPr>
          <w:p w14:paraId="664F6E5A">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59008DBA">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40F8F7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4ADEE663">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27B52CEE">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1A8553A6">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2A6FB007">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661C1725">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2876BD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4F830D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7431A9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371F3E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1C1A54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5F49E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41A4571F">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22</w:t>
            </w:r>
          </w:p>
        </w:tc>
        <w:tc>
          <w:tcPr>
            <w:tcW w:w="752" w:type="dxa"/>
            <w:vMerge w:val="continue"/>
            <w:noWrap/>
            <w:vAlign w:val="center"/>
          </w:tcPr>
          <w:p w14:paraId="58C743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000000"/>
                <w:sz w:val="21"/>
                <w:szCs w:val="21"/>
              </w:rPr>
            </w:pPr>
          </w:p>
        </w:tc>
        <w:tc>
          <w:tcPr>
            <w:tcW w:w="1297" w:type="dxa"/>
            <w:noWrap/>
            <w:vAlign w:val="center"/>
          </w:tcPr>
          <w:p w14:paraId="21DC2B1D">
            <w:pPr>
              <w:bidi w:val="0"/>
              <w:ind w:firstLine="482" w:firstLineChars="200"/>
            </w:pPr>
            <w:r>
              <w:rPr>
                <w:rFonts w:hint="eastAsia"/>
                <w:b/>
                <w:bCs/>
                <w:color w:val="auto"/>
                <w:u w:val="single"/>
                <w:lang w:val="en-US" w:eastAsia="zh-CN"/>
              </w:rPr>
              <w:t>*</w:t>
            </w:r>
          </w:p>
        </w:tc>
        <w:tc>
          <w:tcPr>
            <w:tcW w:w="979" w:type="dxa"/>
            <w:noWrap/>
            <w:vAlign w:val="center"/>
          </w:tcPr>
          <w:p w14:paraId="44EE9BDB">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7E89EA81">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344A3B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7073839F">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11C7ED36">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3334B199">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7D6C4085">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386C388A">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4FFD9A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65D7BD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296637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0D3AF6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658958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74172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4D344510">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23</w:t>
            </w:r>
          </w:p>
        </w:tc>
        <w:tc>
          <w:tcPr>
            <w:tcW w:w="752" w:type="dxa"/>
            <w:vMerge w:val="continue"/>
            <w:noWrap/>
            <w:vAlign w:val="center"/>
          </w:tcPr>
          <w:p w14:paraId="0E4A72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724767BA">
            <w:pPr>
              <w:bidi w:val="0"/>
              <w:ind w:firstLine="482" w:firstLineChars="200"/>
            </w:pPr>
            <w:r>
              <w:rPr>
                <w:rFonts w:hint="eastAsia"/>
                <w:b/>
                <w:bCs/>
                <w:color w:val="auto"/>
                <w:u w:val="single"/>
                <w:lang w:val="en-US" w:eastAsia="zh-CN"/>
              </w:rPr>
              <w:t>*</w:t>
            </w:r>
          </w:p>
        </w:tc>
        <w:tc>
          <w:tcPr>
            <w:tcW w:w="979" w:type="dxa"/>
            <w:noWrap/>
            <w:vAlign w:val="center"/>
          </w:tcPr>
          <w:p w14:paraId="6A91A2B1">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6BAAE5D6">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7C3E57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49A46E1E">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4D8117BA">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420DF78F">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24FAB98C">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55CFAB94">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7DE246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0BAC96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0A0BA8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7BB382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6CB45C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1E4D9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559BF017">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24</w:t>
            </w:r>
          </w:p>
        </w:tc>
        <w:tc>
          <w:tcPr>
            <w:tcW w:w="752" w:type="dxa"/>
            <w:vMerge w:val="continue"/>
            <w:noWrap/>
            <w:vAlign w:val="center"/>
          </w:tcPr>
          <w:p w14:paraId="36B3B1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419DE75A">
            <w:pPr>
              <w:bidi w:val="0"/>
              <w:ind w:firstLine="482" w:firstLineChars="200"/>
            </w:pPr>
            <w:r>
              <w:rPr>
                <w:rFonts w:hint="eastAsia"/>
                <w:b/>
                <w:bCs/>
                <w:color w:val="auto"/>
                <w:u w:val="single"/>
                <w:lang w:val="en-US" w:eastAsia="zh-CN"/>
              </w:rPr>
              <w:t>*</w:t>
            </w:r>
          </w:p>
        </w:tc>
        <w:tc>
          <w:tcPr>
            <w:tcW w:w="979" w:type="dxa"/>
            <w:noWrap/>
            <w:vAlign w:val="center"/>
          </w:tcPr>
          <w:p w14:paraId="663385CC">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31A7C54A">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12B8B7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447F012B">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71A759ED">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4492F58E">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52DA9B3A">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39CA48BB">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74D83E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4C4B9E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266AB9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78CE50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64D6CE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5B71B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62CD6E48">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25</w:t>
            </w:r>
          </w:p>
        </w:tc>
        <w:tc>
          <w:tcPr>
            <w:tcW w:w="752" w:type="dxa"/>
            <w:vMerge w:val="continue"/>
            <w:noWrap/>
            <w:vAlign w:val="center"/>
          </w:tcPr>
          <w:p w14:paraId="6AF19E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62592EEA">
            <w:pPr>
              <w:bidi w:val="0"/>
              <w:ind w:firstLine="482" w:firstLineChars="200"/>
            </w:pPr>
            <w:r>
              <w:rPr>
                <w:rFonts w:hint="eastAsia"/>
                <w:b/>
                <w:bCs/>
                <w:color w:val="auto"/>
                <w:u w:val="single"/>
                <w:lang w:val="en-US" w:eastAsia="zh-CN"/>
              </w:rPr>
              <w:t>*</w:t>
            </w:r>
          </w:p>
        </w:tc>
        <w:tc>
          <w:tcPr>
            <w:tcW w:w="979" w:type="dxa"/>
            <w:noWrap/>
            <w:vAlign w:val="center"/>
          </w:tcPr>
          <w:p w14:paraId="7B23BAB6">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7C3AFF81">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76E503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295D0A1D">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29B6E894">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16B3C5B8">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487F7100">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1FAE30B3">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4BF53C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1664D4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531A30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4DCE5F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1DA396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019ED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5DE493B7">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26</w:t>
            </w:r>
          </w:p>
        </w:tc>
        <w:tc>
          <w:tcPr>
            <w:tcW w:w="752" w:type="dxa"/>
            <w:vMerge w:val="restart"/>
            <w:noWrap/>
            <w:vAlign w:val="center"/>
          </w:tcPr>
          <w:p w14:paraId="4F09C6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 w:val="0"/>
                <w:bCs w:val="0"/>
                <w:i w:val="0"/>
                <w:iCs w:val="0"/>
                <w:color w:val="auto"/>
                <w:sz w:val="21"/>
                <w:szCs w:val="21"/>
                <w:u w:val="none"/>
                <w:lang w:val="en-US" w:eastAsia="zh-CN"/>
              </w:rPr>
              <w:t>DT溶剂法再生纤维素纤维研发中试车间二楼</w:t>
            </w:r>
          </w:p>
        </w:tc>
        <w:tc>
          <w:tcPr>
            <w:tcW w:w="1297" w:type="dxa"/>
            <w:noWrap/>
            <w:vAlign w:val="center"/>
          </w:tcPr>
          <w:p w14:paraId="4ABBB9FA">
            <w:pPr>
              <w:bidi w:val="0"/>
              <w:ind w:firstLine="482" w:firstLineChars="200"/>
            </w:pPr>
            <w:r>
              <w:rPr>
                <w:rFonts w:hint="eastAsia"/>
                <w:b/>
                <w:bCs/>
                <w:color w:val="auto"/>
                <w:u w:val="single"/>
                <w:lang w:val="en-US" w:eastAsia="zh-CN"/>
              </w:rPr>
              <w:t>*</w:t>
            </w:r>
          </w:p>
        </w:tc>
        <w:tc>
          <w:tcPr>
            <w:tcW w:w="979" w:type="dxa"/>
            <w:noWrap/>
            <w:vAlign w:val="center"/>
          </w:tcPr>
          <w:p w14:paraId="22779E5B">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39A74B0A">
            <w:pPr>
              <w:bidi w:val="0"/>
              <w:ind w:firstLine="482" w:firstLineChars="200"/>
              <w:rPr>
                <w:color w:val="auto"/>
              </w:rPr>
            </w:pPr>
            <w:r>
              <w:rPr>
                <w:rFonts w:hint="eastAsia"/>
                <w:b/>
                <w:bCs/>
                <w:color w:val="auto"/>
                <w:u w:val="single"/>
                <w:lang w:val="en-US" w:eastAsia="zh-CN"/>
              </w:rPr>
              <w:t>*</w:t>
            </w:r>
          </w:p>
        </w:tc>
        <w:tc>
          <w:tcPr>
            <w:tcW w:w="954" w:type="dxa"/>
            <w:vMerge w:val="restart"/>
            <w:noWrap/>
            <w:vAlign w:val="center"/>
          </w:tcPr>
          <w:p w14:paraId="33DFBB16">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p w14:paraId="34881984">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2F233774">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0A772366">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70744EC7">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260A0048">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0DB8C35C">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0A8FA510">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72812079">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124D7EE6">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43249C5C">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728689D7">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1FFBF1B3">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478289C6">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6A7AC5B7">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6718631E">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7F632EC5">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2BC21336">
            <w:pPr>
              <w:bidi w:val="0"/>
              <w:ind w:firstLine="482" w:firstLineChars="200"/>
            </w:pPr>
            <w:r>
              <w:rPr>
                <w:rFonts w:hint="eastAsia"/>
                <w:b/>
                <w:bCs/>
                <w:color w:val="auto"/>
                <w:u w:val="single"/>
                <w:lang w:val="en-US" w:eastAsia="zh-CN"/>
              </w:rPr>
              <w:t>*</w:t>
            </w:r>
          </w:p>
        </w:tc>
        <w:tc>
          <w:tcPr>
            <w:tcW w:w="857" w:type="dxa"/>
            <w:noWrap/>
            <w:vAlign w:val="center"/>
          </w:tcPr>
          <w:p w14:paraId="396AFC4B">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21CB221F">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43DC9956">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774C35AD">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11134C4B">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054F6A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5E2764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4F541C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4507E4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3A58E3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35E19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6510A22C">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27</w:t>
            </w:r>
          </w:p>
        </w:tc>
        <w:tc>
          <w:tcPr>
            <w:tcW w:w="752" w:type="dxa"/>
            <w:vMerge w:val="continue"/>
            <w:noWrap/>
            <w:vAlign w:val="center"/>
          </w:tcPr>
          <w:p w14:paraId="497AF8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6E30CA7C">
            <w:pPr>
              <w:bidi w:val="0"/>
              <w:ind w:firstLine="482" w:firstLineChars="200"/>
            </w:pPr>
            <w:r>
              <w:rPr>
                <w:rFonts w:hint="eastAsia"/>
                <w:b/>
                <w:bCs/>
                <w:color w:val="auto"/>
                <w:u w:val="single"/>
                <w:lang w:val="en-US" w:eastAsia="zh-CN"/>
              </w:rPr>
              <w:t>。</w:t>
            </w:r>
          </w:p>
        </w:tc>
        <w:tc>
          <w:tcPr>
            <w:tcW w:w="979" w:type="dxa"/>
            <w:noWrap/>
            <w:vAlign w:val="center"/>
          </w:tcPr>
          <w:p w14:paraId="39AFA47E">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2FA1FF67">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5304E4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58084E43">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3DF3C04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3DF8154C">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4D8FC2E9">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170FD542">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19887F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473BD1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58B1EA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764A8B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0D329F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19E23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0BD1BD97">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28</w:t>
            </w:r>
          </w:p>
        </w:tc>
        <w:tc>
          <w:tcPr>
            <w:tcW w:w="752" w:type="dxa"/>
            <w:vMerge w:val="continue"/>
            <w:noWrap/>
            <w:vAlign w:val="center"/>
          </w:tcPr>
          <w:p w14:paraId="7B83BE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2DD0D0EC">
            <w:pPr>
              <w:bidi w:val="0"/>
              <w:ind w:firstLine="482" w:firstLineChars="200"/>
            </w:pPr>
            <w:r>
              <w:rPr>
                <w:rFonts w:hint="eastAsia"/>
                <w:b/>
                <w:bCs/>
                <w:color w:val="auto"/>
                <w:u w:val="single"/>
                <w:lang w:val="en-US" w:eastAsia="zh-CN"/>
              </w:rPr>
              <w:t>*</w:t>
            </w:r>
          </w:p>
        </w:tc>
        <w:tc>
          <w:tcPr>
            <w:tcW w:w="979" w:type="dxa"/>
            <w:noWrap/>
            <w:vAlign w:val="center"/>
          </w:tcPr>
          <w:p w14:paraId="49DE0CD9">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2B198522">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5713D2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7E599215">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6B0C2BF4">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68A3604F">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53AB6E50">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4F287E9D">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0FD912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0BFB2E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28B4F3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0A8B79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60A0B0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27F42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4F30819C">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29</w:t>
            </w:r>
          </w:p>
        </w:tc>
        <w:tc>
          <w:tcPr>
            <w:tcW w:w="752" w:type="dxa"/>
            <w:vMerge w:val="continue"/>
            <w:noWrap/>
            <w:vAlign w:val="center"/>
          </w:tcPr>
          <w:p w14:paraId="68EED6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03B11936">
            <w:pPr>
              <w:bidi w:val="0"/>
              <w:ind w:firstLine="482" w:firstLineChars="200"/>
            </w:pPr>
            <w:r>
              <w:rPr>
                <w:rFonts w:hint="eastAsia"/>
                <w:b/>
                <w:bCs/>
                <w:color w:val="auto"/>
                <w:u w:val="single"/>
                <w:lang w:val="en-US" w:eastAsia="zh-CN"/>
              </w:rPr>
              <w:t>*</w:t>
            </w:r>
          </w:p>
        </w:tc>
        <w:tc>
          <w:tcPr>
            <w:tcW w:w="979" w:type="dxa"/>
            <w:noWrap/>
            <w:vAlign w:val="center"/>
          </w:tcPr>
          <w:p w14:paraId="511FE324">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09CA9A17">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18F4F1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0BBF8983">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7581A4F3">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07584CAA">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29AFB085">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1EFFA478">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6080C8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1DB3E4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540F7D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7F071B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0A7769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5D208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762BD189">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30</w:t>
            </w:r>
          </w:p>
        </w:tc>
        <w:tc>
          <w:tcPr>
            <w:tcW w:w="752" w:type="dxa"/>
            <w:vMerge w:val="continue"/>
            <w:noWrap/>
            <w:vAlign w:val="center"/>
          </w:tcPr>
          <w:p w14:paraId="4C6A94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7D255659">
            <w:pPr>
              <w:bidi w:val="0"/>
              <w:ind w:firstLine="482" w:firstLineChars="200"/>
            </w:pPr>
            <w:r>
              <w:rPr>
                <w:rFonts w:hint="eastAsia"/>
                <w:b/>
                <w:bCs/>
                <w:color w:val="auto"/>
                <w:u w:val="single"/>
                <w:lang w:val="en-US" w:eastAsia="zh-CN"/>
              </w:rPr>
              <w:t>*</w:t>
            </w:r>
          </w:p>
        </w:tc>
        <w:tc>
          <w:tcPr>
            <w:tcW w:w="979" w:type="dxa"/>
            <w:noWrap/>
            <w:vAlign w:val="center"/>
          </w:tcPr>
          <w:p w14:paraId="00B023A8">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46AFF166">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372C6C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5A13DA7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56AF3B8B">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228914BC">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3DD89570">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16540E4A">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412B61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2A821D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77E1EE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3F7BCD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7CE816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4AB00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3D30F2CB">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31</w:t>
            </w:r>
          </w:p>
        </w:tc>
        <w:tc>
          <w:tcPr>
            <w:tcW w:w="752" w:type="dxa"/>
            <w:vMerge w:val="continue"/>
            <w:noWrap/>
            <w:vAlign w:val="center"/>
          </w:tcPr>
          <w:p w14:paraId="44F562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17BC43F1">
            <w:pPr>
              <w:bidi w:val="0"/>
              <w:ind w:firstLine="482" w:firstLineChars="200"/>
            </w:pPr>
            <w:r>
              <w:rPr>
                <w:rFonts w:hint="eastAsia"/>
                <w:b/>
                <w:bCs/>
                <w:color w:val="auto"/>
                <w:u w:val="single"/>
                <w:lang w:val="en-US" w:eastAsia="zh-CN"/>
              </w:rPr>
              <w:t>*</w:t>
            </w:r>
          </w:p>
        </w:tc>
        <w:tc>
          <w:tcPr>
            <w:tcW w:w="979" w:type="dxa"/>
            <w:noWrap/>
            <w:vAlign w:val="center"/>
          </w:tcPr>
          <w:p w14:paraId="6371BA7A">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7F0D24F3">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59978B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115BFA2C">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3CAD5A23">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77977943">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3684364A">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4C38F03C">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33CE32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6603E0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17AED3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7AE5D3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107898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5D640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78A69C15">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32</w:t>
            </w:r>
          </w:p>
        </w:tc>
        <w:tc>
          <w:tcPr>
            <w:tcW w:w="752" w:type="dxa"/>
            <w:vMerge w:val="continue"/>
            <w:noWrap/>
            <w:vAlign w:val="center"/>
          </w:tcPr>
          <w:p w14:paraId="04911C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0B333B97">
            <w:pPr>
              <w:bidi w:val="0"/>
              <w:ind w:firstLine="482" w:firstLineChars="200"/>
            </w:pPr>
            <w:r>
              <w:rPr>
                <w:rFonts w:hint="eastAsia"/>
                <w:b/>
                <w:bCs/>
                <w:color w:val="auto"/>
                <w:u w:val="single"/>
                <w:lang w:val="en-US" w:eastAsia="zh-CN"/>
              </w:rPr>
              <w:t>*</w:t>
            </w:r>
          </w:p>
        </w:tc>
        <w:tc>
          <w:tcPr>
            <w:tcW w:w="979" w:type="dxa"/>
            <w:noWrap/>
            <w:vAlign w:val="center"/>
          </w:tcPr>
          <w:p w14:paraId="48497645">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2AB3982D">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5B8359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6C916B21">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2F56A1DA">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312DDAD0">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13CEE9C4">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1441B36F">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6293FA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2FFCC5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1CC9B7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597B38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2B5B0F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3AF90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1882050A">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33</w:t>
            </w:r>
          </w:p>
        </w:tc>
        <w:tc>
          <w:tcPr>
            <w:tcW w:w="752" w:type="dxa"/>
            <w:vMerge w:val="continue"/>
            <w:noWrap/>
            <w:vAlign w:val="center"/>
          </w:tcPr>
          <w:p w14:paraId="26183D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41F4F564">
            <w:pPr>
              <w:bidi w:val="0"/>
              <w:ind w:firstLine="482" w:firstLineChars="200"/>
            </w:pPr>
            <w:r>
              <w:rPr>
                <w:rFonts w:hint="eastAsia"/>
                <w:b/>
                <w:bCs/>
                <w:color w:val="auto"/>
                <w:u w:val="single"/>
                <w:lang w:val="en-US" w:eastAsia="zh-CN"/>
              </w:rPr>
              <w:t>*</w:t>
            </w:r>
          </w:p>
        </w:tc>
        <w:tc>
          <w:tcPr>
            <w:tcW w:w="979" w:type="dxa"/>
            <w:noWrap/>
            <w:vAlign w:val="center"/>
          </w:tcPr>
          <w:p w14:paraId="35ACCAFF">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0E83BDDF">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255AD8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418FB0AE">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3ABE70EC">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57C3FFB6">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060B14EF">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08FA46CF">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7D10D2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1AFAAC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5EC311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685329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045F33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312E4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1B3BFD04">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34</w:t>
            </w:r>
          </w:p>
        </w:tc>
        <w:tc>
          <w:tcPr>
            <w:tcW w:w="752" w:type="dxa"/>
            <w:vMerge w:val="continue"/>
            <w:noWrap/>
            <w:vAlign w:val="center"/>
          </w:tcPr>
          <w:p w14:paraId="0B7E5E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20A028F0">
            <w:pPr>
              <w:bidi w:val="0"/>
              <w:ind w:firstLine="482" w:firstLineChars="200"/>
            </w:pPr>
            <w:r>
              <w:rPr>
                <w:rFonts w:hint="eastAsia"/>
                <w:b/>
                <w:bCs/>
                <w:color w:val="auto"/>
                <w:u w:val="single"/>
                <w:lang w:val="en-US" w:eastAsia="zh-CN"/>
              </w:rPr>
              <w:t>*</w:t>
            </w:r>
          </w:p>
        </w:tc>
        <w:tc>
          <w:tcPr>
            <w:tcW w:w="979" w:type="dxa"/>
            <w:noWrap/>
            <w:vAlign w:val="center"/>
          </w:tcPr>
          <w:p w14:paraId="434C8467">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0478F354">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624A7C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0ED9F44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6696C202">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6A5C28EE">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48579FE9">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662EAE43">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48ECDC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3B5A07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57F251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03A58D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0A94E1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7B147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4C7CFBE8">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35</w:t>
            </w:r>
          </w:p>
        </w:tc>
        <w:tc>
          <w:tcPr>
            <w:tcW w:w="752" w:type="dxa"/>
            <w:vMerge w:val="continue"/>
            <w:noWrap/>
            <w:vAlign w:val="center"/>
          </w:tcPr>
          <w:p w14:paraId="3125E8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59FDCCFC">
            <w:pPr>
              <w:bidi w:val="0"/>
              <w:ind w:firstLine="482" w:firstLineChars="200"/>
            </w:pPr>
            <w:r>
              <w:rPr>
                <w:rFonts w:hint="eastAsia"/>
                <w:b/>
                <w:bCs/>
                <w:color w:val="auto"/>
                <w:u w:val="single"/>
                <w:lang w:val="en-US" w:eastAsia="zh-CN"/>
              </w:rPr>
              <w:t>*</w:t>
            </w:r>
          </w:p>
        </w:tc>
        <w:tc>
          <w:tcPr>
            <w:tcW w:w="979" w:type="dxa"/>
            <w:noWrap/>
            <w:vAlign w:val="center"/>
          </w:tcPr>
          <w:p w14:paraId="6B605A91">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0F2C0CA8">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394C1F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41E88E44">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730DB84F">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7848C82B">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6C8E45F5">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666CCD0A">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674766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0DC7CA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3993FD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39" w:type="dxa"/>
            <w:vMerge w:val="continue"/>
            <w:noWrap/>
            <w:vAlign w:val="center"/>
          </w:tcPr>
          <w:p w14:paraId="443D00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544" w:type="dxa"/>
            <w:vMerge w:val="continue"/>
            <w:noWrap/>
            <w:vAlign w:val="center"/>
          </w:tcPr>
          <w:p w14:paraId="7B3A6A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50C10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1A2DAD02">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36</w:t>
            </w:r>
          </w:p>
        </w:tc>
        <w:tc>
          <w:tcPr>
            <w:tcW w:w="752" w:type="dxa"/>
            <w:vMerge w:val="continue"/>
            <w:noWrap/>
            <w:vAlign w:val="center"/>
          </w:tcPr>
          <w:p w14:paraId="066E68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3C100CB2">
            <w:pPr>
              <w:bidi w:val="0"/>
              <w:ind w:firstLine="482" w:firstLineChars="200"/>
            </w:pPr>
            <w:r>
              <w:rPr>
                <w:rFonts w:hint="eastAsia"/>
                <w:b/>
                <w:bCs/>
                <w:color w:val="auto"/>
                <w:u w:val="single"/>
                <w:lang w:val="en-US" w:eastAsia="zh-CN"/>
              </w:rPr>
              <w:t>*</w:t>
            </w:r>
          </w:p>
        </w:tc>
        <w:tc>
          <w:tcPr>
            <w:tcW w:w="979" w:type="dxa"/>
            <w:noWrap/>
            <w:vAlign w:val="center"/>
          </w:tcPr>
          <w:p w14:paraId="50869C40">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0F702A6B">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40CBE3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6CC68715">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11E1BAD7">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0D368DF8">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25D833DB">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45FC25A1">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3A2361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249BCF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31EA92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3C5957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7E78D5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37199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16246E88">
            <w:pPr>
              <w:pStyle w:val="182"/>
              <w:keepNext w:val="0"/>
              <w:keepLines w:val="0"/>
              <w:widowControl/>
              <w:suppressLineNumbers w:val="0"/>
              <w:ind w:firstLine="0" w:firstLineChars="0"/>
              <w:jc w:val="center"/>
              <w:textAlignment w:val="center"/>
              <w:rPr>
                <w:sz w:val="21"/>
                <w:szCs w:val="21"/>
              </w:rPr>
            </w:pPr>
            <w:r>
              <w:rPr>
                <w:rFonts w:hint="eastAsia"/>
                <w:b w:val="0"/>
                <w:bCs w:val="0"/>
                <w:i w:val="0"/>
                <w:iCs w:val="0"/>
                <w:color w:val="auto"/>
                <w:u w:val="none"/>
                <w:lang w:val="en-US" w:eastAsia="zh-CN"/>
              </w:rPr>
              <w:t>37</w:t>
            </w:r>
          </w:p>
        </w:tc>
        <w:tc>
          <w:tcPr>
            <w:tcW w:w="752" w:type="dxa"/>
            <w:vMerge w:val="continue"/>
            <w:noWrap/>
            <w:vAlign w:val="center"/>
          </w:tcPr>
          <w:p w14:paraId="4FD7F1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26CC3FB6">
            <w:pPr>
              <w:bidi w:val="0"/>
              <w:ind w:firstLine="482" w:firstLineChars="200"/>
            </w:pPr>
            <w:r>
              <w:rPr>
                <w:rFonts w:hint="eastAsia"/>
                <w:b/>
                <w:bCs/>
                <w:color w:val="auto"/>
                <w:u w:val="single"/>
                <w:lang w:val="en-US" w:eastAsia="zh-CN"/>
              </w:rPr>
              <w:t>*</w:t>
            </w:r>
          </w:p>
        </w:tc>
        <w:tc>
          <w:tcPr>
            <w:tcW w:w="979" w:type="dxa"/>
            <w:noWrap/>
            <w:vAlign w:val="center"/>
          </w:tcPr>
          <w:p w14:paraId="0CCAF7AB">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5624683B">
            <w:pPr>
              <w:bidi w:val="0"/>
              <w:ind w:firstLine="482" w:firstLineChars="200"/>
              <w:rPr>
                <w:color w:val="auto"/>
              </w:rPr>
            </w:pPr>
            <w:r>
              <w:rPr>
                <w:rFonts w:hint="eastAsia"/>
                <w:b/>
                <w:bCs/>
                <w:color w:val="auto"/>
                <w:u w:val="single"/>
                <w:lang w:val="en-US" w:eastAsia="zh-CN"/>
              </w:rPr>
              <w:t>*</w:t>
            </w:r>
          </w:p>
        </w:tc>
        <w:tc>
          <w:tcPr>
            <w:tcW w:w="954" w:type="dxa"/>
            <w:vMerge w:val="continue"/>
            <w:noWrap/>
            <w:vAlign w:val="center"/>
          </w:tcPr>
          <w:p w14:paraId="676C40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7F960906">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912" w:type="dxa"/>
            <w:noWrap/>
            <w:vAlign w:val="center"/>
          </w:tcPr>
          <w:p w14:paraId="37396618">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728" w:type="dxa"/>
            <w:noWrap/>
            <w:vAlign w:val="center"/>
          </w:tcPr>
          <w:p w14:paraId="41AB806A">
            <w:pPr>
              <w:keepNext w:val="0"/>
              <w:keepLines w:val="0"/>
              <w:widowControl/>
              <w:suppressLineNumbers w:val="0"/>
              <w:bidi w:val="0"/>
              <w:ind w:firstLine="482" w:firstLineChars="200"/>
              <w:jc w:val="center"/>
              <w:textAlignment w:val="center"/>
              <w:rPr>
                <w:sz w:val="21"/>
                <w:szCs w:val="21"/>
              </w:rPr>
            </w:pPr>
            <w:r>
              <w:rPr>
                <w:rFonts w:hint="eastAsia"/>
                <w:b/>
                <w:bCs/>
                <w:color w:val="auto"/>
                <w:u w:val="single"/>
                <w:lang w:val="en-US" w:eastAsia="zh-CN"/>
              </w:rPr>
              <w:t>*</w:t>
            </w:r>
          </w:p>
        </w:tc>
        <w:tc>
          <w:tcPr>
            <w:tcW w:w="811" w:type="dxa"/>
            <w:noWrap/>
            <w:vAlign w:val="center"/>
          </w:tcPr>
          <w:p w14:paraId="039E6B81">
            <w:pPr>
              <w:bidi w:val="0"/>
              <w:ind w:firstLine="482" w:firstLineChars="200"/>
              <w:rPr>
                <w:sz w:val="21"/>
                <w:szCs w:val="21"/>
              </w:rPr>
            </w:pPr>
            <w:r>
              <w:rPr>
                <w:rFonts w:hint="eastAsia"/>
                <w:b/>
                <w:bCs/>
                <w:color w:val="auto"/>
                <w:u w:val="single"/>
                <w:lang w:val="en-US" w:eastAsia="zh-CN"/>
              </w:rPr>
              <w:t>*</w:t>
            </w:r>
          </w:p>
        </w:tc>
        <w:tc>
          <w:tcPr>
            <w:tcW w:w="847" w:type="dxa"/>
            <w:noWrap/>
            <w:vAlign w:val="center"/>
          </w:tcPr>
          <w:p w14:paraId="041818F8">
            <w:pPr>
              <w:bidi w:val="0"/>
              <w:ind w:firstLine="482" w:firstLineChars="200"/>
              <w:rPr>
                <w:sz w:val="21"/>
                <w:szCs w:val="21"/>
              </w:rPr>
            </w:pPr>
            <w:r>
              <w:rPr>
                <w:rFonts w:hint="eastAsia"/>
                <w:b/>
                <w:bCs/>
                <w:color w:val="auto"/>
                <w:u w:val="single"/>
                <w:lang w:val="en-US" w:eastAsia="zh-CN"/>
              </w:rPr>
              <w:t>*</w:t>
            </w:r>
          </w:p>
        </w:tc>
        <w:tc>
          <w:tcPr>
            <w:tcW w:w="1183" w:type="dxa"/>
            <w:vMerge w:val="continue"/>
            <w:noWrap w:val="0"/>
            <w:vAlign w:val="center"/>
          </w:tcPr>
          <w:p w14:paraId="1A8FD5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3689FB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全天</w:t>
            </w:r>
          </w:p>
        </w:tc>
        <w:tc>
          <w:tcPr>
            <w:tcW w:w="900" w:type="dxa"/>
            <w:vMerge w:val="continue"/>
            <w:noWrap/>
            <w:vAlign w:val="center"/>
          </w:tcPr>
          <w:p w14:paraId="637ABA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74DF9D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124F35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7C1C2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56223732">
            <w:pPr>
              <w:pStyle w:val="182"/>
              <w:keepNext w:val="0"/>
              <w:keepLines w:val="0"/>
              <w:widowControl/>
              <w:suppressLineNumbers w:val="0"/>
              <w:ind w:firstLine="0" w:firstLineChars="0"/>
              <w:jc w:val="center"/>
              <w:textAlignment w:val="center"/>
              <w:rPr>
                <w:rFonts w:hint="eastAsia"/>
                <w:sz w:val="21"/>
                <w:szCs w:val="21"/>
              </w:rPr>
            </w:pPr>
            <w:r>
              <w:rPr>
                <w:rFonts w:hint="eastAsia"/>
                <w:b w:val="0"/>
                <w:bCs w:val="0"/>
                <w:i w:val="0"/>
                <w:iCs w:val="0"/>
                <w:color w:val="auto"/>
                <w:u w:val="none"/>
                <w:lang w:val="en-US" w:eastAsia="zh-CN"/>
              </w:rPr>
              <w:t>38</w:t>
            </w:r>
          </w:p>
        </w:tc>
        <w:tc>
          <w:tcPr>
            <w:tcW w:w="752" w:type="dxa"/>
            <w:vMerge w:val="continue"/>
            <w:noWrap/>
            <w:vAlign w:val="center"/>
          </w:tcPr>
          <w:p w14:paraId="41C5FD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209AA114">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72A0D6E3">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68A6B876">
            <w:pPr>
              <w:bidi w:val="0"/>
              <w:ind w:firstLine="482" w:firstLineChars="200"/>
              <w:rPr>
                <w:rFonts w:hint="eastAsia"/>
                <w:color w:val="auto"/>
              </w:rPr>
            </w:pPr>
            <w:r>
              <w:rPr>
                <w:rFonts w:hint="eastAsia"/>
                <w:b/>
                <w:bCs/>
                <w:color w:val="auto"/>
                <w:u w:val="single"/>
                <w:lang w:val="en-US" w:eastAsia="zh-CN"/>
              </w:rPr>
              <w:t>*</w:t>
            </w:r>
          </w:p>
        </w:tc>
        <w:tc>
          <w:tcPr>
            <w:tcW w:w="954" w:type="dxa"/>
            <w:vMerge w:val="continue"/>
            <w:noWrap/>
            <w:vAlign w:val="center"/>
          </w:tcPr>
          <w:p w14:paraId="004C3A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569ABF70">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912" w:type="dxa"/>
            <w:noWrap/>
            <w:vAlign w:val="center"/>
          </w:tcPr>
          <w:p w14:paraId="52A7DD70">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728" w:type="dxa"/>
            <w:noWrap/>
            <w:vAlign w:val="center"/>
          </w:tcPr>
          <w:p w14:paraId="487EA519">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811" w:type="dxa"/>
            <w:noWrap/>
            <w:vAlign w:val="center"/>
          </w:tcPr>
          <w:p w14:paraId="2F0C2C4E">
            <w:pPr>
              <w:bidi w:val="0"/>
              <w:ind w:firstLine="482" w:firstLineChars="200"/>
              <w:rPr>
                <w:rFonts w:hint="eastAsia"/>
                <w:sz w:val="21"/>
                <w:szCs w:val="21"/>
              </w:rPr>
            </w:pPr>
            <w:r>
              <w:rPr>
                <w:rFonts w:hint="eastAsia"/>
                <w:b/>
                <w:bCs/>
                <w:color w:val="auto"/>
                <w:u w:val="single"/>
                <w:lang w:val="en-US" w:eastAsia="zh-CN"/>
              </w:rPr>
              <w:t>*</w:t>
            </w:r>
          </w:p>
        </w:tc>
        <w:tc>
          <w:tcPr>
            <w:tcW w:w="847" w:type="dxa"/>
            <w:noWrap/>
            <w:vAlign w:val="center"/>
          </w:tcPr>
          <w:p w14:paraId="51B8036A">
            <w:pPr>
              <w:bidi w:val="0"/>
              <w:ind w:firstLine="482" w:firstLineChars="200"/>
              <w:rPr>
                <w:rFonts w:hint="eastAsia"/>
                <w:sz w:val="21"/>
                <w:szCs w:val="21"/>
              </w:rPr>
            </w:pPr>
            <w:r>
              <w:rPr>
                <w:rFonts w:hint="eastAsia"/>
                <w:b/>
                <w:bCs/>
                <w:color w:val="auto"/>
                <w:u w:val="single"/>
                <w:lang w:val="en-US" w:eastAsia="zh-CN"/>
              </w:rPr>
              <w:t>*</w:t>
            </w:r>
          </w:p>
        </w:tc>
        <w:tc>
          <w:tcPr>
            <w:tcW w:w="1183" w:type="dxa"/>
            <w:vMerge w:val="continue"/>
            <w:noWrap w:val="0"/>
            <w:vAlign w:val="center"/>
          </w:tcPr>
          <w:p w14:paraId="5E03EE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45686D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全天</w:t>
            </w:r>
          </w:p>
        </w:tc>
        <w:tc>
          <w:tcPr>
            <w:tcW w:w="900" w:type="dxa"/>
            <w:vMerge w:val="continue"/>
            <w:noWrap/>
            <w:vAlign w:val="center"/>
          </w:tcPr>
          <w:p w14:paraId="5F6B26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70E8CD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0FE986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75420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5A080362">
            <w:pPr>
              <w:pStyle w:val="182"/>
              <w:keepNext w:val="0"/>
              <w:keepLines w:val="0"/>
              <w:widowControl/>
              <w:suppressLineNumbers w:val="0"/>
              <w:ind w:firstLine="0" w:firstLineChars="0"/>
              <w:jc w:val="center"/>
              <w:textAlignment w:val="center"/>
              <w:rPr>
                <w:rFonts w:hint="eastAsia"/>
                <w:sz w:val="21"/>
                <w:szCs w:val="21"/>
              </w:rPr>
            </w:pPr>
            <w:r>
              <w:rPr>
                <w:rFonts w:hint="eastAsia"/>
                <w:b w:val="0"/>
                <w:bCs w:val="0"/>
                <w:i w:val="0"/>
                <w:iCs w:val="0"/>
                <w:color w:val="auto"/>
                <w:u w:val="none"/>
                <w:lang w:val="en-US" w:eastAsia="zh-CN"/>
              </w:rPr>
              <w:t>39</w:t>
            </w:r>
          </w:p>
        </w:tc>
        <w:tc>
          <w:tcPr>
            <w:tcW w:w="752" w:type="dxa"/>
            <w:vMerge w:val="continue"/>
            <w:noWrap/>
            <w:vAlign w:val="center"/>
          </w:tcPr>
          <w:p w14:paraId="742762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0C3A654C">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45BC738E">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2E515286">
            <w:pPr>
              <w:bidi w:val="0"/>
              <w:ind w:firstLine="482" w:firstLineChars="200"/>
              <w:rPr>
                <w:rFonts w:hint="eastAsia"/>
                <w:color w:val="auto"/>
              </w:rPr>
            </w:pPr>
            <w:r>
              <w:rPr>
                <w:rFonts w:hint="eastAsia"/>
                <w:b/>
                <w:bCs/>
                <w:color w:val="auto"/>
                <w:u w:val="single"/>
                <w:lang w:val="en-US" w:eastAsia="zh-CN"/>
              </w:rPr>
              <w:t>*</w:t>
            </w:r>
          </w:p>
        </w:tc>
        <w:tc>
          <w:tcPr>
            <w:tcW w:w="954" w:type="dxa"/>
            <w:vMerge w:val="continue"/>
            <w:noWrap/>
            <w:vAlign w:val="center"/>
          </w:tcPr>
          <w:p w14:paraId="204884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1FDAFB56">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912" w:type="dxa"/>
            <w:noWrap/>
            <w:vAlign w:val="center"/>
          </w:tcPr>
          <w:p w14:paraId="72D5A045">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728" w:type="dxa"/>
            <w:noWrap/>
            <w:vAlign w:val="center"/>
          </w:tcPr>
          <w:p w14:paraId="0FC501C7">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811" w:type="dxa"/>
            <w:noWrap/>
            <w:vAlign w:val="center"/>
          </w:tcPr>
          <w:p w14:paraId="569ED858">
            <w:pPr>
              <w:bidi w:val="0"/>
              <w:ind w:firstLine="482" w:firstLineChars="200"/>
              <w:rPr>
                <w:rFonts w:hint="eastAsia"/>
                <w:sz w:val="21"/>
                <w:szCs w:val="21"/>
              </w:rPr>
            </w:pPr>
            <w:r>
              <w:rPr>
                <w:rFonts w:hint="eastAsia"/>
                <w:b/>
                <w:bCs/>
                <w:color w:val="auto"/>
                <w:u w:val="single"/>
                <w:lang w:val="en-US" w:eastAsia="zh-CN"/>
              </w:rPr>
              <w:t>*</w:t>
            </w:r>
          </w:p>
        </w:tc>
        <w:tc>
          <w:tcPr>
            <w:tcW w:w="847" w:type="dxa"/>
            <w:noWrap/>
            <w:vAlign w:val="center"/>
          </w:tcPr>
          <w:p w14:paraId="5D8462D6">
            <w:pPr>
              <w:bidi w:val="0"/>
              <w:ind w:firstLine="482" w:firstLineChars="200"/>
              <w:rPr>
                <w:rFonts w:hint="eastAsia"/>
                <w:sz w:val="21"/>
                <w:szCs w:val="21"/>
              </w:rPr>
            </w:pPr>
            <w:r>
              <w:rPr>
                <w:rFonts w:hint="eastAsia"/>
                <w:b/>
                <w:bCs/>
                <w:color w:val="auto"/>
                <w:u w:val="single"/>
                <w:lang w:val="en-US" w:eastAsia="zh-CN"/>
              </w:rPr>
              <w:t>*</w:t>
            </w:r>
          </w:p>
        </w:tc>
        <w:tc>
          <w:tcPr>
            <w:tcW w:w="1183" w:type="dxa"/>
            <w:vMerge w:val="continue"/>
            <w:noWrap w:val="0"/>
            <w:vAlign w:val="center"/>
          </w:tcPr>
          <w:p w14:paraId="69EFD7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3FF473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全天</w:t>
            </w:r>
          </w:p>
        </w:tc>
        <w:tc>
          <w:tcPr>
            <w:tcW w:w="900" w:type="dxa"/>
            <w:vMerge w:val="continue"/>
            <w:noWrap/>
            <w:vAlign w:val="center"/>
          </w:tcPr>
          <w:p w14:paraId="626CE9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794555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6881F0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71E1D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510996A0">
            <w:pPr>
              <w:pStyle w:val="182"/>
              <w:keepNext w:val="0"/>
              <w:keepLines w:val="0"/>
              <w:widowControl/>
              <w:suppressLineNumbers w:val="0"/>
              <w:ind w:firstLine="0" w:firstLineChars="0"/>
              <w:jc w:val="center"/>
              <w:textAlignment w:val="center"/>
              <w:rPr>
                <w:rFonts w:hint="eastAsia"/>
                <w:sz w:val="21"/>
                <w:szCs w:val="21"/>
              </w:rPr>
            </w:pPr>
            <w:r>
              <w:rPr>
                <w:rFonts w:hint="eastAsia"/>
                <w:b w:val="0"/>
                <w:bCs w:val="0"/>
                <w:i w:val="0"/>
                <w:iCs w:val="0"/>
                <w:color w:val="auto"/>
                <w:u w:val="none"/>
                <w:lang w:val="en-US" w:eastAsia="zh-CN"/>
              </w:rPr>
              <w:t>40</w:t>
            </w:r>
          </w:p>
        </w:tc>
        <w:tc>
          <w:tcPr>
            <w:tcW w:w="752" w:type="dxa"/>
            <w:vMerge w:val="continue"/>
            <w:noWrap/>
            <w:vAlign w:val="center"/>
          </w:tcPr>
          <w:p w14:paraId="727F05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393C2509">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6711BC48">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5D787ECC">
            <w:pPr>
              <w:bidi w:val="0"/>
              <w:ind w:firstLine="482" w:firstLineChars="200"/>
              <w:rPr>
                <w:rFonts w:hint="eastAsia"/>
                <w:color w:val="auto"/>
              </w:rPr>
            </w:pPr>
            <w:r>
              <w:rPr>
                <w:rFonts w:hint="eastAsia"/>
                <w:b/>
                <w:bCs/>
                <w:color w:val="auto"/>
                <w:u w:val="single"/>
                <w:lang w:val="en-US" w:eastAsia="zh-CN"/>
              </w:rPr>
              <w:t>*</w:t>
            </w:r>
          </w:p>
        </w:tc>
        <w:tc>
          <w:tcPr>
            <w:tcW w:w="954" w:type="dxa"/>
            <w:vMerge w:val="continue"/>
            <w:noWrap/>
            <w:vAlign w:val="center"/>
          </w:tcPr>
          <w:p w14:paraId="60E592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313F34F2">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912" w:type="dxa"/>
            <w:noWrap/>
            <w:vAlign w:val="center"/>
          </w:tcPr>
          <w:p w14:paraId="701D425F">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728" w:type="dxa"/>
            <w:noWrap/>
            <w:vAlign w:val="center"/>
          </w:tcPr>
          <w:p w14:paraId="46BA4C40">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811" w:type="dxa"/>
            <w:noWrap/>
            <w:vAlign w:val="center"/>
          </w:tcPr>
          <w:p w14:paraId="05FB608A">
            <w:pPr>
              <w:bidi w:val="0"/>
              <w:ind w:firstLine="482" w:firstLineChars="200"/>
              <w:rPr>
                <w:rFonts w:hint="eastAsia"/>
                <w:sz w:val="21"/>
                <w:szCs w:val="21"/>
              </w:rPr>
            </w:pPr>
            <w:r>
              <w:rPr>
                <w:rFonts w:hint="eastAsia"/>
                <w:b/>
                <w:bCs/>
                <w:color w:val="auto"/>
                <w:u w:val="single"/>
                <w:lang w:val="en-US" w:eastAsia="zh-CN"/>
              </w:rPr>
              <w:t>*</w:t>
            </w:r>
          </w:p>
        </w:tc>
        <w:tc>
          <w:tcPr>
            <w:tcW w:w="847" w:type="dxa"/>
            <w:noWrap/>
            <w:vAlign w:val="center"/>
          </w:tcPr>
          <w:p w14:paraId="615F4C21">
            <w:pPr>
              <w:bidi w:val="0"/>
              <w:ind w:firstLine="482" w:firstLineChars="200"/>
              <w:rPr>
                <w:rFonts w:hint="eastAsia"/>
                <w:sz w:val="21"/>
                <w:szCs w:val="21"/>
              </w:rPr>
            </w:pPr>
            <w:r>
              <w:rPr>
                <w:rFonts w:hint="eastAsia"/>
                <w:b/>
                <w:bCs/>
                <w:color w:val="auto"/>
                <w:u w:val="single"/>
                <w:lang w:val="en-US" w:eastAsia="zh-CN"/>
              </w:rPr>
              <w:t>*</w:t>
            </w:r>
          </w:p>
        </w:tc>
        <w:tc>
          <w:tcPr>
            <w:tcW w:w="1183" w:type="dxa"/>
            <w:vMerge w:val="continue"/>
            <w:noWrap w:val="0"/>
            <w:vAlign w:val="center"/>
          </w:tcPr>
          <w:p w14:paraId="33AA10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572DC9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全天</w:t>
            </w:r>
          </w:p>
        </w:tc>
        <w:tc>
          <w:tcPr>
            <w:tcW w:w="900" w:type="dxa"/>
            <w:vMerge w:val="continue"/>
            <w:noWrap/>
            <w:vAlign w:val="center"/>
          </w:tcPr>
          <w:p w14:paraId="6A9B8D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7B8070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6A7BB9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16727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17952583">
            <w:pPr>
              <w:pStyle w:val="182"/>
              <w:keepNext w:val="0"/>
              <w:keepLines w:val="0"/>
              <w:widowControl/>
              <w:suppressLineNumbers w:val="0"/>
              <w:ind w:firstLine="0" w:firstLineChars="0"/>
              <w:jc w:val="center"/>
              <w:textAlignment w:val="center"/>
              <w:rPr>
                <w:rFonts w:hint="eastAsia"/>
                <w:sz w:val="21"/>
                <w:szCs w:val="21"/>
              </w:rPr>
            </w:pPr>
            <w:r>
              <w:rPr>
                <w:rFonts w:hint="eastAsia"/>
                <w:b w:val="0"/>
                <w:bCs w:val="0"/>
                <w:i w:val="0"/>
                <w:iCs w:val="0"/>
                <w:color w:val="auto"/>
                <w:u w:val="none"/>
                <w:lang w:val="en-US" w:eastAsia="zh-CN"/>
              </w:rPr>
              <w:t>41</w:t>
            </w:r>
          </w:p>
        </w:tc>
        <w:tc>
          <w:tcPr>
            <w:tcW w:w="752" w:type="dxa"/>
            <w:vMerge w:val="continue"/>
            <w:noWrap/>
            <w:vAlign w:val="center"/>
          </w:tcPr>
          <w:p w14:paraId="0E6C3D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1E7F28FB">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1A233672">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736CCC0A">
            <w:pPr>
              <w:bidi w:val="0"/>
              <w:ind w:firstLine="482" w:firstLineChars="200"/>
              <w:rPr>
                <w:rFonts w:hint="eastAsia"/>
                <w:color w:val="auto"/>
              </w:rPr>
            </w:pPr>
            <w:r>
              <w:rPr>
                <w:rFonts w:hint="eastAsia"/>
                <w:b/>
                <w:bCs/>
                <w:color w:val="auto"/>
                <w:u w:val="single"/>
                <w:lang w:val="en-US" w:eastAsia="zh-CN"/>
              </w:rPr>
              <w:t>*</w:t>
            </w:r>
          </w:p>
        </w:tc>
        <w:tc>
          <w:tcPr>
            <w:tcW w:w="954" w:type="dxa"/>
            <w:vMerge w:val="continue"/>
            <w:noWrap/>
            <w:vAlign w:val="center"/>
          </w:tcPr>
          <w:p w14:paraId="315F8D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6A24F3A5">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912" w:type="dxa"/>
            <w:noWrap/>
            <w:vAlign w:val="center"/>
          </w:tcPr>
          <w:p w14:paraId="1D187EAB">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728" w:type="dxa"/>
            <w:noWrap/>
            <w:vAlign w:val="center"/>
          </w:tcPr>
          <w:p w14:paraId="36FFBE2B">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811" w:type="dxa"/>
            <w:noWrap/>
            <w:vAlign w:val="center"/>
          </w:tcPr>
          <w:p w14:paraId="05C946C8">
            <w:pPr>
              <w:bidi w:val="0"/>
              <w:ind w:firstLine="482" w:firstLineChars="200"/>
              <w:rPr>
                <w:rFonts w:hint="eastAsia"/>
                <w:sz w:val="21"/>
                <w:szCs w:val="21"/>
              </w:rPr>
            </w:pPr>
            <w:r>
              <w:rPr>
                <w:rFonts w:hint="eastAsia"/>
                <w:b/>
                <w:bCs/>
                <w:color w:val="auto"/>
                <w:u w:val="single"/>
                <w:lang w:val="en-US" w:eastAsia="zh-CN"/>
              </w:rPr>
              <w:t>*</w:t>
            </w:r>
          </w:p>
        </w:tc>
        <w:tc>
          <w:tcPr>
            <w:tcW w:w="847" w:type="dxa"/>
            <w:noWrap/>
            <w:vAlign w:val="center"/>
          </w:tcPr>
          <w:p w14:paraId="0D837A78">
            <w:pPr>
              <w:bidi w:val="0"/>
              <w:ind w:firstLine="482" w:firstLineChars="200"/>
              <w:rPr>
                <w:rFonts w:hint="eastAsia"/>
                <w:sz w:val="21"/>
                <w:szCs w:val="21"/>
              </w:rPr>
            </w:pPr>
            <w:r>
              <w:rPr>
                <w:rFonts w:hint="eastAsia"/>
                <w:b/>
                <w:bCs/>
                <w:color w:val="auto"/>
                <w:u w:val="single"/>
                <w:lang w:val="en-US" w:eastAsia="zh-CN"/>
              </w:rPr>
              <w:t>*</w:t>
            </w:r>
          </w:p>
        </w:tc>
        <w:tc>
          <w:tcPr>
            <w:tcW w:w="1183" w:type="dxa"/>
            <w:vMerge w:val="continue"/>
            <w:noWrap w:val="0"/>
            <w:vAlign w:val="center"/>
          </w:tcPr>
          <w:p w14:paraId="59DEAF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4CF2A5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全天</w:t>
            </w:r>
          </w:p>
        </w:tc>
        <w:tc>
          <w:tcPr>
            <w:tcW w:w="900" w:type="dxa"/>
            <w:vMerge w:val="continue"/>
            <w:noWrap/>
            <w:vAlign w:val="center"/>
          </w:tcPr>
          <w:p w14:paraId="573781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23DA15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1AB3B4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02103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04285896">
            <w:pPr>
              <w:pStyle w:val="182"/>
              <w:keepNext w:val="0"/>
              <w:keepLines w:val="0"/>
              <w:widowControl/>
              <w:suppressLineNumbers w:val="0"/>
              <w:ind w:firstLine="0" w:firstLineChars="0"/>
              <w:jc w:val="center"/>
              <w:textAlignment w:val="center"/>
              <w:rPr>
                <w:rFonts w:hint="eastAsia"/>
                <w:sz w:val="21"/>
                <w:szCs w:val="21"/>
              </w:rPr>
            </w:pPr>
            <w:r>
              <w:rPr>
                <w:rFonts w:hint="eastAsia"/>
                <w:b w:val="0"/>
                <w:bCs w:val="0"/>
                <w:i w:val="0"/>
                <w:iCs w:val="0"/>
                <w:color w:val="auto"/>
                <w:u w:val="none"/>
                <w:lang w:val="en-US" w:eastAsia="zh-CN"/>
              </w:rPr>
              <w:t>42</w:t>
            </w:r>
          </w:p>
        </w:tc>
        <w:tc>
          <w:tcPr>
            <w:tcW w:w="752" w:type="dxa"/>
            <w:vMerge w:val="continue"/>
            <w:noWrap/>
            <w:vAlign w:val="center"/>
          </w:tcPr>
          <w:p w14:paraId="326120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753F50AA">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17DDCBCF">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1EC7709D">
            <w:pPr>
              <w:bidi w:val="0"/>
              <w:ind w:firstLine="482" w:firstLineChars="200"/>
              <w:rPr>
                <w:rFonts w:hint="eastAsia"/>
                <w:color w:val="auto"/>
              </w:rPr>
            </w:pPr>
            <w:r>
              <w:rPr>
                <w:rFonts w:hint="eastAsia"/>
                <w:b/>
                <w:bCs/>
                <w:color w:val="auto"/>
                <w:u w:val="single"/>
                <w:lang w:val="en-US" w:eastAsia="zh-CN"/>
              </w:rPr>
              <w:t>*</w:t>
            </w:r>
          </w:p>
        </w:tc>
        <w:tc>
          <w:tcPr>
            <w:tcW w:w="954" w:type="dxa"/>
            <w:vMerge w:val="continue"/>
            <w:noWrap/>
            <w:vAlign w:val="center"/>
          </w:tcPr>
          <w:p w14:paraId="7EA7EB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569470A7">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912" w:type="dxa"/>
            <w:noWrap/>
            <w:vAlign w:val="center"/>
          </w:tcPr>
          <w:p w14:paraId="376B63F3">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728" w:type="dxa"/>
            <w:noWrap/>
            <w:vAlign w:val="center"/>
          </w:tcPr>
          <w:p w14:paraId="3683496C">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811" w:type="dxa"/>
            <w:noWrap/>
            <w:vAlign w:val="center"/>
          </w:tcPr>
          <w:p w14:paraId="21E6286E">
            <w:pPr>
              <w:bidi w:val="0"/>
              <w:ind w:firstLine="482" w:firstLineChars="200"/>
              <w:rPr>
                <w:rFonts w:hint="eastAsia"/>
                <w:sz w:val="21"/>
                <w:szCs w:val="21"/>
              </w:rPr>
            </w:pPr>
            <w:r>
              <w:rPr>
                <w:rFonts w:hint="eastAsia"/>
                <w:b/>
                <w:bCs/>
                <w:color w:val="auto"/>
                <w:u w:val="single"/>
                <w:lang w:val="en-US" w:eastAsia="zh-CN"/>
              </w:rPr>
              <w:t>*</w:t>
            </w:r>
          </w:p>
        </w:tc>
        <w:tc>
          <w:tcPr>
            <w:tcW w:w="847" w:type="dxa"/>
            <w:noWrap/>
            <w:vAlign w:val="center"/>
          </w:tcPr>
          <w:p w14:paraId="5B9ADC4D">
            <w:pPr>
              <w:bidi w:val="0"/>
              <w:ind w:firstLine="482" w:firstLineChars="200"/>
              <w:rPr>
                <w:rFonts w:hint="eastAsia"/>
                <w:sz w:val="21"/>
                <w:szCs w:val="21"/>
              </w:rPr>
            </w:pPr>
            <w:r>
              <w:rPr>
                <w:rFonts w:hint="eastAsia"/>
                <w:b/>
                <w:bCs/>
                <w:color w:val="auto"/>
                <w:u w:val="single"/>
                <w:lang w:val="en-US" w:eastAsia="zh-CN"/>
              </w:rPr>
              <w:t>*</w:t>
            </w:r>
          </w:p>
        </w:tc>
        <w:tc>
          <w:tcPr>
            <w:tcW w:w="1183" w:type="dxa"/>
            <w:vMerge w:val="continue"/>
            <w:noWrap w:val="0"/>
            <w:vAlign w:val="center"/>
          </w:tcPr>
          <w:p w14:paraId="0DE681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654ABB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全天</w:t>
            </w:r>
          </w:p>
        </w:tc>
        <w:tc>
          <w:tcPr>
            <w:tcW w:w="900" w:type="dxa"/>
            <w:vMerge w:val="continue"/>
            <w:noWrap/>
            <w:vAlign w:val="center"/>
          </w:tcPr>
          <w:p w14:paraId="4F6A53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71BEC5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5ADA4F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r w14:paraId="79908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510" w:type="dxa"/>
            <w:noWrap/>
            <w:vAlign w:val="center"/>
          </w:tcPr>
          <w:p w14:paraId="25834350">
            <w:pPr>
              <w:pStyle w:val="182"/>
              <w:keepNext w:val="0"/>
              <w:keepLines w:val="0"/>
              <w:widowControl/>
              <w:suppressLineNumbers w:val="0"/>
              <w:ind w:firstLine="0" w:firstLineChars="0"/>
              <w:jc w:val="center"/>
              <w:textAlignment w:val="center"/>
              <w:rPr>
                <w:rFonts w:hint="eastAsia"/>
                <w:sz w:val="21"/>
                <w:szCs w:val="21"/>
              </w:rPr>
            </w:pPr>
            <w:r>
              <w:rPr>
                <w:rFonts w:hint="eastAsia"/>
                <w:b w:val="0"/>
                <w:bCs w:val="0"/>
                <w:i w:val="0"/>
                <w:iCs w:val="0"/>
                <w:color w:val="auto"/>
                <w:u w:val="none"/>
                <w:lang w:val="en-US" w:eastAsia="zh-CN"/>
              </w:rPr>
              <w:t>43</w:t>
            </w:r>
          </w:p>
        </w:tc>
        <w:tc>
          <w:tcPr>
            <w:tcW w:w="752" w:type="dxa"/>
            <w:vMerge w:val="continue"/>
            <w:noWrap/>
            <w:vAlign w:val="center"/>
          </w:tcPr>
          <w:p w14:paraId="70B766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297" w:type="dxa"/>
            <w:noWrap/>
            <w:vAlign w:val="center"/>
          </w:tcPr>
          <w:p w14:paraId="508FDA22">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15B5ACDE">
            <w:pPr>
              <w:bidi w:val="0"/>
              <w:ind w:firstLine="482" w:firstLineChars="200"/>
              <w:rPr>
                <w:rFonts w:hint="eastAsia"/>
              </w:rPr>
            </w:pPr>
            <w:r>
              <w:rPr>
                <w:rFonts w:hint="eastAsia"/>
                <w:b/>
                <w:bCs/>
                <w:color w:val="auto"/>
                <w:u w:val="single"/>
                <w:lang w:val="en-US" w:eastAsia="zh-CN"/>
              </w:rPr>
              <w:t>*</w:t>
            </w:r>
          </w:p>
        </w:tc>
        <w:tc>
          <w:tcPr>
            <w:tcW w:w="979" w:type="dxa"/>
            <w:noWrap/>
            <w:vAlign w:val="center"/>
          </w:tcPr>
          <w:p w14:paraId="6082EF9A">
            <w:pPr>
              <w:bidi w:val="0"/>
              <w:ind w:firstLine="482" w:firstLineChars="200"/>
              <w:rPr>
                <w:rFonts w:hint="eastAsia"/>
                <w:color w:val="auto"/>
              </w:rPr>
            </w:pPr>
            <w:r>
              <w:rPr>
                <w:rFonts w:hint="eastAsia"/>
                <w:b/>
                <w:bCs/>
                <w:color w:val="auto"/>
                <w:u w:val="single"/>
                <w:lang w:val="en-US" w:eastAsia="zh-CN"/>
              </w:rPr>
              <w:t>*</w:t>
            </w:r>
          </w:p>
        </w:tc>
        <w:tc>
          <w:tcPr>
            <w:tcW w:w="954" w:type="dxa"/>
            <w:vMerge w:val="continue"/>
            <w:noWrap/>
            <w:vAlign w:val="center"/>
          </w:tcPr>
          <w:p w14:paraId="721FDD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857" w:type="dxa"/>
            <w:noWrap/>
            <w:vAlign w:val="center"/>
          </w:tcPr>
          <w:p w14:paraId="18F7F612">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912" w:type="dxa"/>
            <w:noWrap/>
            <w:vAlign w:val="center"/>
          </w:tcPr>
          <w:p w14:paraId="14153995">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728" w:type="dxa"/>
            <w:noWrap/>
            <w:vAlign w:val="center"/>
          </w:tcPr>
          <w:p w14:paraId="7372713E">
            <w:pPr>
              <w:keepNext w:val="0"/>
              <w:keepLines w:val="0"/>
              <w:widowControl/>
              <w:suppressLineNumbers w:val="0"/>
              <w:bidi w:val="0"/>
              <w:ind w:firstLine="482" w:firstLineChars="200"/>
              <w:jc w:val="center"/>
              <w:textAlignment w:val="center"/>
              <w:rPr>
                <w:rFonts w:hint="eastAsia"/>
                <w:sz w:val="21"/>
                <w:szCs w:val="21"/>
              </w:rPr>
            </w:pPr>
            <w:r>
              <w:rPr>
                <w:rFonts w:hint="eastAsia"/>
                <w:b/>
                <w:bCs/>
                <w:color w:val="auto"/>
                <w:u w:val="single"/>
                <w:lang w:val="en-US" w:eastAsia="zh-CN"/>
              </w:rPr>
              <w:t>*</w:t>
            </w:r>
          </w:p>
        </w:tc>
        <w:tc>
          <w:tcPr>
            <w:tcW w:w="811" w:type="dxa"/>
            <w:noWrap/>
            <w:vAlign w:val="center"/>
          </w:tcPr>
          <w:p w14:paraId="11F985D1">
            <w:pPr>
              <w:bidi w:val="0"/>
              <w:ind w:firstLine="482" w:firstLineChars="200"/>
              <w:rPr>
                <w:rFonts w:hint="eastAsia"/>
                <w:sz w:val="21"/>
                <w:szCs w:val="21"/>
              </w:rPr>
            </w:pPr>
            <w:r>
              <w:rPr>
                <w:rFonts w:hint="eastAsia"/>
                <w:b/>
                <w:bCs/>
                <w:color w:val="auto"/>
                <w:u w:val="single"/>
                <w:lang w:val="en-US" w:eastAsia="zh-CN"/>
              </w:rPr>
              <w:t>*</w:t>
            </w:r>
          </w:p>
        </w:tc>
        <w:tc>
          <w:tcPr>
            <w:tcW w:w="847" w:type="dxa"/>
            <w:noWrap/>
            <w:vAlign w:val="center"/>
          </w:tcPr>
          <w:p w14:paraId="6D4F36F0">
            <w:pPr>
              <w:bidi w:val="0"/>
              <w:ind w:firstLine="482" w:firstLineChars="200"/>
              <w:rPr>
                <w:rFonts w:hint="eastAsia"/>
                <w:sz w:val="21"/>
                <w:szCs w:val="21"/>
              </w:rPr>
            </w:pPr>
            <w:r>
              <w:rPr>
                <w:rFonts w:hint="eastAsia"/>
                <w:b/>
                <w:bCs/>
                <w:color w:val="auto"/>
                <w:u w:val="single"/>
                <w:lang w:val="en-US" w:eastAsia="zh-CN"/>
              </w:rPr>
              <w:t>*</w:t>
            </w:r>
          </w:p>
        </w:tc>
        <w:tc>
          <w:tcPr>
            <w:tcW w:w="1183" w:type="dxa"/>
            <w:vMerge w:val="continue"/>
            <w:noWrap w:val="0"/>
            <w:vAlign w:val="center"/>
          </w:tcPr>
          <w:p w14:paraId="609314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1183" w:type="dxa"/>
            <w:noWrap/>
            <w:vAlign w:val="center"/>
          </w:tcPr>
          <w:p w14:paraId="4C7FE6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全天</w:t>
            </w:r>
          </w:p>
        </w:tc>
        <w:tc>
          <w:tcPr>
            <w:tcW w:w="900" w:type="dxa"/>
            <w:vMerge w:val="continue"/>
            <w:noWrap/>
            <w:vAlign w:val="center"/>
          </w:tcPr>
          <w:p w14:paraId="3FFE86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839" w:type="dxa"/>
            <w:vMerge w:val="continue"/>
            <w:noWrap/>
            <w:vAlign w:val="center"/>
          </w:tcPr>
          <w:p w14:paraId="408A3E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c>
          <w:tcPr>
            <w:tcW w:w="544" w:type="dxa"/>
            <w:vMerge w:val="continue"/>
            <w:noWrap/>
            <w:vAlign w:val="center"/>
          </w:tcPr>
          <w:p w14:paraId="211A4D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highlight w:val="yellow"/>
              </w:rPr>
            </w:pPr>
          </w:p>
        </w:tc>
      </w:tr>
    </w:tbl>
    <w:p w14:paraId="3EFE3F82">
      <w:pPr>
        <w:pStyle w:val="30"/>
        <w:ind w:left="0" w:leftChars="0" w:firstLine="0" w:firstLineChars="0"/>
        <w:rPr>
          <w:rFonts w:hint="eastAsia"/>
          <w:b w:val="0"/>
          <w:bCs w:val="0"/>
          <w:i w:val="0"/>
          <w:iCs w:val="0"/>
          <w:color w:val="auto"/>
          <w:u w:val="none"/>
        </w:rPr>
        <w:sectPr>
          <w:pgSz w:w="16840" w:h="11907" w:orient="landscape"/>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14:paraId="4B5CEBA0">
      <w:pPr>
        <w:pStyle w:val="10"/>
        <w:bidi w:val="0"/>
        <w:rPr>
          <w:rFonts w:hint="eastAsia"/>
        </w:rPr>
      </w:pPr>
      <w:bookmarkStart w:id="175" w:name="_Toc25551"/>
      <w:r>
        <w:rPr>
          <w:rFonts w:hint="eastAsia"/>
        </w:rPr>
        <w:t xml:space="preserve">表 </w:t>
      </w:r>
      <w:r>
        <w:rPr>
          <w:rFonts w:hint="eastAsia"/>
        </w:rPr>
        <w:fldChar w:fldCharType="begin"/>
      </w:r>
      <w:r>
        <w:rPr>
          <w:rFonts w:hint="eastAsia"/>
        </w:rPr>
        <w:instrText xml:space="preserve"> STYLEREF 2 \s </w:instrText>
      </w:r>
      <w:r>
        <w:rPr>
          <w:rFonts w:hint="eastAsia"/>
        </w:rPr>
        <w:fldChar w:fldCharType="separate"/>
      </w:r>
      <w:r>
        <w:rPr>
          <w:rFonts w:hint="eastAsia"/>
        </w:rPr>
        <w:t>4.6</w:t>
      </w:r>
      <w:r>
        <w:rPr>
          <w:rFonts w:hint="eastAsia"/>
        </w:rPr>
        <w:fldChar w:fldCharType="end"/>
      </w:r>
      <w:r>
        <w:rPr>
          <w:rFonts w:hint="eastAsia"/>
          <w:lang w:eastAsia="zh-CN"/>
        </w:rPr>
        <w:t>-</w:t>
      </w:r>
      <w:r>
        <w:rPr>
          <w:rFonts w:hint="eastAsia"/>
        </w:rPr>
        <w:fldChar w:fldCharType="begin"/>
      </w:r>
      <w:r>
        <w:rPr>
          <w:rFonts w:hint="eastAsia"/>
        </w:rPr>
        <w:instrText xml:space="preserve"> SEQ 表 \* ARABIC \s 2 </w:instrText>
      </w:r>
      <w:r>
        <w:rPr>
          <w:rFonts w:hint="eastAsia"/>
        </w:rPr>
        <w:fldChar w:fldCharType="separate"/>
      </w:r>
      <w:r>
        <w:rPr>
          <w:rFonts w:hint="eastAsia"/>
        </w:rPr>
        <w:t>14</w:t>
      </w:r>
      <w:r>
        <w:rPr>
          <w:rFonts w:hint="eastAsia"/>
        </w:rPr>
        <w:fldChar w:fldCharType="end"/>
      </w:r>
      <w:r>
        <w:rPr>
          <w:rFonts w:hint="eastAsia"/>
          <w:lang w:val="en-US" w:eastAsia="zh-CN"/>
        </w:rPr>
        <w:t xml:space="preserve"> 年产1000吨DT溶剂法再生纤维素纤维中试研发项目</w:t>
      </w:r>
      <w:r>
        <w:rPr>
          <w:rFonts w:hint="eastAsia"/>
        </w:rPr>
        <w:t>噪声源强调查清单（室</w:t>
      </w:r>
      <w:r>
        <w:rPr>
          <w:rFonts w:hint="eastAsia"/>
          <w:lang w:val="en-US" w:eastAsia="zh-CN"/>
        </w:rPr>
        <w:t>外</w:t>
      </w:r>
      <w:r>
        <w:rPr>
          <w:rFonts w:hint="eastAsia"/>
        </w:rPr>
        <w:t>声源）</w:t>
      </w:r>
    </w:p>
    <w:tbl>
      <w:tblPr>
        <w:tblStyle w:val="31"/>
        <w:tblW w:w="492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38"/>
        <w:gridCol w:w="1232"/>
        <w:gridCol w:w="2415"/>
        <w:gridCol w:w="966"/>
        <w:gridCol w:w="816"/>
        <w:gridCol w:w="932"/>
        <w:gridCol w:w="1691"/>
        <w:gridCol w:w="2322"/>
        <w:gridCol w:w="860"/>
        <w:gridCol w:w="1588"/>
      </w:tblGrid>
      <w:tr w14:paraId="5A332D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trPr>
        <w:tc>
          <w:tcPr>
            <w:tcW w:w="179"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7EEDFBF3">
            <w:pPr>
              <w:pStyle w:val="182"/>
              <w:keepNext w:val="0"/>
              <w:keepLines w:val="0"/>
              <w:widowControl/>
              <w:suppressLineNumbers w:val="0"/>
              <w:jc w:val="center"/>
              <w:textAlignment w:val="center"/>
              <w:rPr>
                <w:rFonts w:hint="eastAsia"/>
                <w:b w:val="0"/>
                <w:bCs w:val="0"/>
                <w:i w:val="0"/>
                <w:iCs w:val="0"/>
                <w:color w:val="auto"/>
                <w:u w:val="none"/>
              </w:rPr>
            </w:pPr>
            <w:r>
              <w:rPr>
                <w:rFonts w:hint="eastAsia"/>
                <w:b w:val="0"/>
                <w:bCs w:val="0"/>
                <w:i w:val="0"/>
                <w:iCs w:val="0"/>
                <w:color w:val="auto"/>
                <w:u w:val="none"/>
                <w:lang w:val="en-US" w:eastAsia="zh-CN"/>
              </w:rPr>
              <w:t>序号</w:t>
            </w:r>
          </w:p>
        </w:tc>
        <w:tc>
          <w:tcPr>
            <w:tcW w:w="478"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9D08B6D">
            <w:pPr>
              <w:pStyle w:val="182"/>
              <w:keepNext w:val="0"/>
              <w:keepLines w:val="0"/>
              <w:widowControl/>
              <w:suppressLineNumbers w:val="0"/>
              <w:jc w:val="center"/>
              <w:textAlignment w:val="center"/>
              <w:rPr>
                <w:rFonts w:hint="eastAsia"/>
                <w:b w:val="0"/>
                <w:bCs w:val="0"/>
                <w:i w:val="0"/>
                <w:iCs w:val="0"/>
                <w:color w:val="auto"/>
                <w:u w:val="none"/>
              </w:rPr>
            </w:pPr>
            <w:r>
              <w:rPr>
                <w:rFonts w:hint="eastAsia"/>
                <w:b w:val="0"/>
                <w:bCs w:val="0"/>
                <w:i w:val="0"/>
                <w:iCs w:val="0"/>
                <w:color w:val="auto"/>
                <w:u w:val="none"/>
                <w:lang w:val="en-US" w:eastAsia="zh-CN"/>
              </w:rPr>
              <w:t>声源名称</w:t>
            </w:r>
          </w:p>
        </w:tc>
        <w:tc>
          <w:tcPr>
            <w:tcW w:w="924"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BE47639">
            <w:pPr>
              <w:pStyle w:val="182"/>
              <w:keepNext w:val="0"/>
              <w:keepLines w:val="0"/>
              <w:widowControl/>
              <w:suppressLineNumbers w:val="0"/>
              <w:jc w:val="center"/>
              <w:textAlignment w:val="center"/>
              <w:rPr>
                <w:rFonts w:hint="eastAsia"/>
                <w:b w:val="0"/>
                <w:bCs w:val="0"/>
                <w:i w:val="0"/>
                <w:iCs w:val="0"/>
                <w:color w:val="auto"/>
                <w:u w:val="none"/>
              </w:rPr>
            </w:pPr>
            <w:r>
              <w:rPr>
                <w:rFonts w:hint="eastAsia"/>
                <w:b w:val="0"/>
                <w:bCs w:val="0"/>
                <w:i w:val="0"/>
                <w:iCs w:val="0"/>
                <w:color w:val="auto"/>
                <w:u w:val="none"/>
                <w:lang w:val="en-US" w:eastAsia="zh-CN"/>
              </w:rPr>
              <w:t>型号</w:t>
            </w:r>
          </w:p>
        </w:tc>
        <w:tc>
          <w:tcPr>
            <w:tcW w:w="981" w:type="pct"/>
            <w:gridSpan w:val="3"/>
            <w:tcBorders>
              <w:top w:val="single" w:color="000000" w:sz="8" w:space="0"/>
              <w:left w:val="single" w:color="000000" w:sz="8" w:space="0"/>
              <w:bottom w:val="single" w:color="000000" w:sz="8" w:space="0"/>
              <w:right w:val="single" w:color="000000" w:sz="8" w:space="0"/>
            </w:tcBorders>
            <w:shd w:val="clear" w:color="auto" w:fill="auto"/>
            <w:vAlign w:val="center"/>
          </w:tcPr>
          <w:p w14:paraId="0E67E6D8">
            <w:pPr>
              <w:pStyle w:val="182"/>
              <w:keepNext w:val="0"/>
              <w:keepLines w:val="0"/>
              <w:widowControl/>
              <w:suppressLineNumbers w:val="0"/>
              <w:jc w:val="center"/>
              <w:textAlignment w:val="center"/>
              <w:rPr>
                <w:rFonts w:hint="eastAsia"/>
                <w:b w:val="0"/>
                <w:bCs w:val="0"/>
                <w:i w:val="0"/>
                <w:iCs w:val="0"/>
                <w:color w:val="auto"/>
                <w:u w:val="none"/>
              </w:rPr>
            </w:pPr>
            <w:r>
              <w:rPr>
                <w:rFonts w:hint="eastAsia"/>
                <w:b w:val="0"/>
                <w:bCs w:val="0"/>
                <w:i w:val="0"/>
                <w:iCs w:val="0"/>
                <w:color w:val="auto"/>
                <w:u w:val="none"/>
                <w:lang w:val="en-US" w:eastAsia="zh-CN"/>
              </w:rPr>
              <w:t>空间相对位置</w:t>
            </w:r>
          </w:p>
        </w:tc>
        <w:tc>
          <w:tcPr>
            <w:tcW w:w="63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E7DEAB8">
            <w:pPr>
              <w:pStyle w:val="182"/>
              <w:jc w:val="center"/>
              <w:rPr>
                <w:rFonts w:hint="eastAsia"/>
                <w:b w:val="0"/>
                <w:bCs w:val="0"/>
                <w:i w:val="0"/>
                <w:iCs w:val="0"/>
                <w:color w:val="auto"/>
                <w:u w:val="none"/>
              </w:rPr>
            </w:pPr>
            <w:r>
              <w:rPr>
                <w:rFonts w:hint="eastAsia"/>
                <w:b w:val="0"/>
                <w:bCs w:val="0"/>
                <w:i w:val="0"/>
                <w:iCs w:val="0"/>
                <w:color w:val="auto"/>
                <w:u w:val="none"/>
                <w:lang w:val="en-US" w:eastAsia="zh-CN"/>
              </w:rPr>
              <w:t>声源源强</w:t>
            </w:r>
          </w:p>
        </w:tc>
        <w:tc>
          <w:tcPr>
            <w:tcW w:w="875"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2B896E2A">
            <w:pPr>
              <w:pStyle w:val="182"/>
              <w:keepNext w:val="0"/>
              <w:keepLines w:val="0"/>
              <w:widowControl/>
              <w:suppressLineNumbers w:val="0"/>
              <w:jc w:val="center"/>
              <w:textAlignment w:val="center"/>
              <w:rPr>
                <w:rFonts w:hint="eastAsia"/>
                <w:b w:val="0"/>
                <w:bCs w:val="0"/>
                <w:i w:val="0"/>
                <w:iCs w:val="0"/>
                <w:color w:val="auto"/>
                <w:u w:val="none"/>
              </w:rPr>
            </w:pPr>
            <w:r>
              <w:rPr>
                <w:rFonts w:hint="eastAsia"/>
                <w:b w:val="0"/>
                <w:bCs w:val="0"/>
                <w:i w:val="0"/>
                <w:iCs w:val="0"/>
                <w:color w:val="auto"/>
                <w:u w:val="none"/>
              </w:rPr>
              <w:t>声源控制措施</w:t>
            </w:r>
          </w:p>
        </w:tc>
        <w:tc>
          <w:tcPr>
            <w:tcW w:w="324"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4C8B403B">
            <w:pPr>
              <w:pStyle w:val="182"/>
              <w:keepNext w:val="0"/>
              <w:keepLines w:val="0"/>
              <w:widowControl/>
              <w:suppressLineNumbers w:val="0"/>
              <w:jc w:val="center"/>
              <w:textAlignment w:val="center"/>
              <w:rPr>
                <w:rFonts w:hint="eastAsia"/>
                <w:b w:val="0"/>
                <w:bCs w:val="0"/>
                <w:i w:val="0"/>
                <w:iCs w:val="0"/>
                <w:color w:val="auto"/>
                <w:u w:val="none"/>
              </w:rPr>
            </w:pPr>
            <w:r>
              <w:rPr>
                <w:rFonts w:hint="eastAsia"/>
                <w:b w:val="0"/>
                <w:bCs w:val="0"/>
                <w:i w:val="0"/>
                <w:iCs w:val="0"/>
                <w:color w:val="auto"/>
                <w:u w:val="none"/>
              </w:rPr>
              <w:t>运行时段</w:t>
            </w:r>
          </w:p>
        </w:tc>
        <w:tc>
          <w:tcPr>
            <w:tcW w:w="598" w:type="pct"/>
            <w:vMerge w:val="restart"/>
            <w:tcBorders>
              <w:top w:val="single" w:color="000000" w:sz="8" w:space="0"/>
              <w:left w:val="single" w:color="000000" w:sz="8" w:space="0"/>
              <w:right w:val="single" w:color="000000" w:sz="8" w:space="0"/>
            </w:tcBorders>
            <w:shd w:val="clear" w:color="auto" w:fill="auto"/>
            <w:vAlign w:val="center"/>
          </w:tcPr>
          <w:p w14:paraId="55BFE652">
            <w:pPr>
              <w:pStyle w:val="182"/>
              <w:keepNext w:val="0"/>
              <w:keepLines w:val="0"/>
              <w:widowControl/>
              <w:suppressLineNumbers w:val="0"/>
              <w:jc w:val="center"/>
              <w:textAlignment w:val="center"/>
              <w:rPr>
                <w:rFonts w:hint="eastAsia" w:eastAsia="宋体"/>
                <w:b w:val="0"/>
                <w:bCs w:val="0"/>
                <w:i w:val="0"/>
                <w:iCs w:val="0"/>
                <w:color w:val="auto"/>
                <w:u w:val="none"/>
                <w:lang w:val="en-US" w:eastAsia="zh-CN"/>
              </w:rPr>
            </w:pPr>
            <w:r>
              <w:rPr>
                <w:rFonts w:hint="eastAsia"/>
                <w:b w:val="0"/>
                <w:bCs w:val="0"/>
                <w:i w:val="0"/>
                <w:iCs w:val="0"/>
                <w:color w:val="auto"/>
                <w:u w:val="none"/>
                <w:lang w:val="en-US" w:eastAsia="zh-CN"/>
              </w:rPr>
              <w:t>治理后</w:t>
            </w:r>
            <w:r>
              <w:rPr>
                <w:b w:val="0"/>
                <w:bCs w:val="0"/>
                <w:i w:val="0"/>
                <w:iCs w:val="0"/>
                <w:color w:val="auto"/>
                <w:u w:val="none"/>
              </w:rPr>
              <w:t>声</w:t>
            </w:r>
            <w:r>
              <w:rPr>
                <w:rFonts w:hint="eastAsia"/>
                <w:b w:val="0"/>
                <w:bCs w:val="0"/>
                <w:i w:val="0"/>
                <w:iCs w:val="0"/>
                <w:color w:val="auto"/>
                <w:u w:val="none"/>
                <w:lang w:val="en-US" w:eastAsia="zh-CN"/>
              </w:rPr>
              <w:t>功率</w:t>
            </w:r>
            <w:r>
              <w:rPr>
                <w:b w:val="0"/>
                <w:bCs w:val="0"/>
                <w:i w:val="0"/>
                <w:iCs w:val="0"/>
                <w:color w:val="auto"/>
                <w:u w:val="none"/>
              </w:rPr>
              <w:t>级dB（A）</w:t>
            </w:r>
          </w:p>
        </w:tc>
      </w:tr>
      <w:tr w14:paraId="00EF83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79"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ABE7BA8">
            <w:pPr>
              <w:pStyle w:val="182"/>
              <w:jc w:val="center"/>
              <w:rPr>
                <w:rFonts w:hint="eastAsia"/>
                <w:b w:val="0"/>
                <w:bCs w:val="0"/>
                <w:i w:val="0"/>
                <w:iCs w:val="0"/>
                <w:color w:val="auto"/>
                <w:u w:val="none"/>
              </w:rPr>
            </w:pPr>
          </w:p>
        </w:tc>
        <w:tc>
          <w:tcPr>
            <w:tcW w:w="478"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A013573">
            <w:pPr>
              <w:pStyle w:val="182"/>
              <w:jc w:val="center"/>
              <w:rPr>
                <w:rFonts w:hint="eastAsia"/>
                <w:b w:val="0"/>
                <w:bCs w:val="0"/>
                <w:i w:val="0"/>
                <w:iCs w:val="0"/>
                <w:color w:val="auto"/>
                <w:u w:val="none"/>
              </w:rPr>
            </w:pPr>
          </w:p>
        </w:tc>
        <w:tc>
          <w:tcPr>
            <w:tcW w:w="924"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2AE0810D">
            <w:pPr>
              <w:pStyle w:val="182"/>
              <w:jc w:val="center"/>
              <w:rPr>
                <w:rFonts w:hint="eastAsia"/>
                <w:b w:val="0"/>
                <w:bCs w:val="0"/>
                <w:i w:val="0"/>
                <w:iCs w:val="0"/>
                <w:color w:val="auto"/>
                <w:u w:val="none"/>
              </w:rPr>
            </w:pPr>
          </w:p>
        </w:tc>
        <w:tc>
          <w:tcPr>
            <w:tcW w:w="36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A4EE6B6">
            <w:pPr>
              <w:pStyle w:val="182"/>
              <w:keepNext w:val="0"/>
              <w:keepLines w:val="0"/>
              <w:widowControl/>
              <w:suppressLineNumbers w:val="0"/>
              <w:jc w:val="center"/>
              <w:textAlignment w:val="center"/>
              <w:rPr>
                <w:rFonts w:hint="default"/>
                <w:b w:val="0"/>
                <w:bCs w:val="0"/>
                <w:i w:val="0"/>
                <w:iCs w:val="0"/>
                <w:color w:val="auto"/>
                <w:u w:val="none"/>
              </w:rPr>
            </w:pPr>
            <w:r>
              <w:rPr>
                <w:rFonts w:hint="default"/>
                <w:b w:val="0"/>
                <w:bCs w:val="0"/>
                <w:i w:val="0"/>
                <w:iCs w:val="0"/>
                <w:color w:val="auto"/>
                <w:u w:val="none"/>
                <w:lang w:val="en-US" w:eastAsia="zh-CN"/>
              </w:rPr>
              <w:t>X</w:t>
            </w:r>
          </w:p>
        </w:tc>
        <w:tc>
          <w:tcPr>
            <w:tcW w:w="266"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8B99333">
            <w:pPr>
              <w:pStyle w:val="182"/>
              <w:keepNext w:val="0"/>
              <w:keepLines w:val="0"/>
              <w:widowControl/>
              <w:suppressLineNumbers w:val="0"/>
              <w:jc w:val="center"/>
              <w:textAlignment w:val="center"/>
              <w:rPr>
                <w:rFonts w:hint="default"/>
                <w:b w:val="0"/>
                <w:bCs w:val="0"/>
                <w:i w:val="0"/>
                <w:iCs w:val="0"/>
                <w:color w:val="auto"/>
                <w:u w:val="none"/>
              </w:rPr>
            </w:pPr>
            <w:r>
              <w:rPr>
                <w:rFonts w:hint="default"/>
                <w:b w:val="0"/>
                <w:bCs w:val="0"/>
                <w:i w:val="0"/>
                <w:iCs w:val="0"/>
                <w:color w:val="auto"/>
                <w:u w:val="none"/>
                <w:lang w:val="en-US" w:eastAsia="zh-CN"/>
              </w:rPr>
              <w:t>Y</w:t>
            </w:r>
          </w:p>
        </w:tc>
        <w:tc>
          <w:tcPr>
            <w:tcW w:w="351"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4A9DF4D">
            <w:pPr>
              <w:pStyle w:val="182"/>
              <w:keepNext w:val="0"/>
              <w:keepLines w:val="0"/>
              <w:widowControl/>
              <w:suppressLineNumbers w:val="0"/>
              <w:jc w:val="center"/>
              <w:textAlignment w:val="center"/>
              <w:rPr>
                <w:rFonts w:hint="default"/>
                <w:b w:val="0"/>
                <w:bCs w:val="0"/>
                <w:i w:val="0"/>
                <w:iCs w:val="0"/>
                <w:color w:val="auto"/>
                <w:u w:val="none"/>
              </w:rPr>
            </w:pPr>
            <w:r>
              <w:rPr>
                <w:rFonts w:hint="default"/>
                <w:b w:val="0"/>
                <w:bCs w:val="0"/>
                <w:i w:val="0"/>
                <w:iCs w:val="0"/>
                <w:color w:val="auto"/>
                <w:u w:val="none"/>
                <w:lang w:val="en-US" w:eastAsia="zh-CN"/>
              </w:rPr>
              <w:t>Z</w:t>
            </w:r>
          </w:p>
        </w:tc>
        <w:tc>
          <w:tcPr>
            <w:tcW w:w="63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BBC741A">
            <w:pPr>
              <w:pStyle w:val="182"/>
              <w:jc w:val="center"/>
              <w:rPr>
                <w:rFonts w:hint="eastAsia"/>
                <w:b w:val="0"/>
                <w:bCs w:val="0"/>
                <w:i w:val="0"/>
                <w:iCs w:val="0"/>
                <w:color w:val="auto"/>
                <w:u w:val="none"/>
              </w:rPr>
            </w:pPr>
            <w:r>
              <w:rPr>
                <w:b w:val="0"/>
                <w:bCs w:val="0"/>
                <w:i w:val="0"/>
                <w:iCs w:val="0"/>
                <w:color w:val="auto"/>
                <w:u w:val="none"/>
              </w:rPr>
              <w:t>声</w:t>
            </w:r>
            <w:r>
              <w:rPr>
                <w:rFonts w:hint="eastAsia"/>
                <w:b w:val="0"/>
                <w:bCs w:val="0"/>
                <w:i w:val="0"/>
                <w:iCs w:val="0"/>
                <w:color w:val="auto"/>
                <w:u w:val="none"/>
                <w:lang w:val="en-US" w:eastAsia="zh-CN"/>
              </w:rPr>
              <w:t>功率</w:t>
            </w:r>
            <w:r>
              <w:rPr>
                <w:b w:val="0"/>
                <w:bCs w:val="0"/>
                <w:i w:val="0"/>
                <w:iCs w:val="0"/>
                <w:color w:val="auto"/>
                <w:u w:val="none"/>
              </w:rPr>
              <w:t>级dB（A）</w:t>
            </w:r>
          </w:p>
        </w:tc>
        <w:tc>
          <w:tcPr>
            <w:tcW w:w="875"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6B82DEA7">
            <w:pPr>
              <w:pStyle w:val="182"/>
              <w:jc w:val="center"/>
              <w:rPr>
                <w:rFonts w:hint="eastAsia"/>
                <w:b w:val="0"/>
                <w:bCs w:val="0"/>
                <w:i w:val="0"/>
                <w:iCs w:val="0"/>
                <w:color w:val="auto"/>
                <w:u w:val="none"/>
              </w:rPr>
            </w:pPr>
          </w:p>
        </w:tc>
        <w:tc>
          <w:tcPr>
            <w:tcW w:w="324"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0D5245D4">
            <w:pPr>
              <w:pStyle w:val="182"/>
              <w:jc w:val="center"/>
              <w:rPr>
                <w:rFonts w:hint="eastAsia"/>
                <w:b w:val="0"/>
                <w:bCs w:val="0"/>
                <w:i w:val="0"/>
                <w:iCs w:val="0"/>
                <w:color w:val="auto"/>
                <w:u w:val="none"/>
              </w:rPr>
            </w:pPr>
          </w:p>
        </w:tc>
        <w:tc>
          <w:tcPr>
            <w:tcW w:w="598" w:type="pct"/>
            <w:vMerge w:val="continue"/>
            <w:tcBorders>
              <w:left w:val="single" w:color="000000" w:sz="8" w:space="0"/>
              <w:bottom w:val="single" w:color="000000" w:sz="8" w:space="0"/>
              <w:right w:val="single" w:color="000000" w:sz="8" w:space="0"/>
            </w:tcBorders>
            <w:shd w:val="clear" w:color="auto" w:fill="auto"/>
            <w:vAlign w:val="center"/>
          </w:tcPr>
          <w:p w14:paraId="31316B75">
            <w:pPr>
              <w:pStyle w:val="182"/>
              <w:jc w:val="center"/>
              <w:rPr>
                <w:rFonts w:hint="eastAsia"/>
                <w:b w:val="0"/>
                <w:bCs w:val="0"/>
                <w:i w:val="0"/>
                <w:iCs w:val="0"/>
                <w:color w:val="auto"/>
                <w:u w:val="none"/>
              </w:rPr>
            </w:pPr>
          </w:p>
        </w:tc>
      </w:tr>
      <w:tr w14:paraId="7B4E1F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1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14:paraId="7244FCA6">
            <w:pPr>
              <w:pStyle w:val="182"/>
              <w:keepNext w:val="0"/>
              <w:keepLines w:val="0"/>
              <w:widowControl/>
              <w:suppressLineNumbers w:val="0"/>
              <w:jc w:val="center"/>
              <w:textAlignment w:val="center"/>
              <w:rPr>
                <w:rFonts w:hint="eastAsia"/>
                <w:b w:val="0"/>
                <w:bCs w:val="0"/>
                <w:i w:val="0"/>
                <w:iCs w:val="0"/>
                <w:color w:val="auto"/>
                <w:u w:val="none"/>
              </w:rPr>
            </w:pPr>
            <w:r>
              <w:rPr>
                <w:rFonts w:hint="eastAsia"/>
                <w:b w:val="0"/>
                <w:bCs w:val="0"/>
                <w:i w:val="0"/>
                <w:iCs w:val="0"/>
                <w:color w:val="auto"/>
                <w:u w:val="none"/>
                <w:lang w:val="en-US" w:eastAsia="zh-CN"/>
              </w:rPr>
              <w:t>1</w:t>
            </w:r>
          </w:p>
        </w:tc>
        <w:tc>
          <w:tcPr>
            <w:tcW w:w="47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B11B3D5">
            <w:pPr>
              <w:bidi w:val="0"/>
              <w:ind w:firstLine="482" w:firstLineChars="200"/>
              <w:rPr>
                <w:rFonts w:hint="eastAsia"/>
                <w:b w:val="0"/>
                <w:bCs w:val="0"/>
                <w:i w:val="0"/>
                <w:iCs w:val="0"/>
                <w:color w:val="auto"/>
                <w:u w:val="none"/>
              </w:rPr>
            </w:pPr>
            <w:r>
              <w:rPr>
                <w:rFonts w:hint="eastAsia"/>
                <w:b/>
                <w:bCs/>
                <w:color w:val="auto"/>
                <w:u w:val="single"/>
                <w:lang w:val="en-US" w:eastAsia="zh-CN"/>
              </w:rPr>
              <w:t>*</w:t>
            </w:r>
          </w:p>
        </w:tc>
        <w:tc>
          <w:tcPr>
            <w:tcW w:w="924" w:type="pct"/>
            <w:tcBorders>
              <w:top w:val="single" w:color="000000" w:sz="8" w:space="0"/>
              <w:left w:val="single" w:color="000000" w:sz="8" w:space="0"/>
              <w:bottom w:val="single" w:color="000000" w:sz="8" w:space="0"/>
              <w:right w:val="single" w:color="000000" w:sz="8" w:space="0"/>
            </w:tcBorders>
            <w:shd w:val="clear" w:color="auto" w:fill="auto"/>
            <w:vAlign w:val="center"/>
          </w:tcPr>
          <w:p w14:paraId="6EFA8F2A">
            <w:pPr>
              <w:bidi w:val="0"/>
              <w:ind w:firstLine="482" w:firstLineChars="200"/>
              <w:rPr>
                <w:rFonts w:hint="default"/>
                <w:b w:val="0"/>
                <w:bCs w:val="0"/>
                <w:i w:val="0"/>
                <w:iCs w:val="0"/>
                <w:color w:val="auto"/>
                <w:u w:val="none"/>
              </w:rPr>
            </w:pPr>
            <w:r>
              <w:rPr>
                <w:rFonts w:hint="eastAsia"/>
                <w:b/>
                <w:bCs/>
                <w:color w:val="auto"/>
                <w:u w:val="single"/>
                <w:lang w:val="en-US" w:eastAsia="zh-CN"/>
              </w:rPr>
              <w:t>*</w:t>
            </w:r>
          </w:p>
        </w:tc>
        <w:tc>
          <w:tcPr>
            <w:tcW w:w="36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14:paraId="2009F708">
            <w:pPr>
              <w:keepNext w:val="0"/>
              <w:keepLines w:val="0"/>
              <w:widowControl/>
              <w:suppressLineNumbers w:val="0"/>
              <w:bidi w:val="0"/>
              <w:ind w:firstLine="482" w:firstLineChars="200"/>
              <w:jc w:val="center"/>
              <w:textAlignment w:val="center"/>
              <w:rPr>
                <w:rFonts w:hint="eastAsia" w:eastAsia="宋体"/>
                <w:b w:val="0"/>
                <w:bCs w:val="0"/>
                <w:i w:val="0"/>
                <w:iCs w:val="0"/>
                <w:color w:val="auto"/>
                <w:u w:val="none"/>
                <w:lang w:val="en-US" w:eastAsia="zh-CN"/>
              </w:rPr>
            </w:pPr>
            <w:r>
              <w:rPr>
                <w:rFonts w:hint="eastAsia"/>
                <w:b/>
                <w:bCs/>
                <w:color w:val="auto"/>
                <w:u w:val="single"/>
                <w:lang w:val="en-US" w:eastAsia="zh-CN"/>
              </w:rPr>
              <w:t>*</w:t>
            </w:r>
          </w:p>
        </w:tc>
        <w:tc>
          <w:tcPr>
            <w:tcW w:w="266" w:type="pct"/>
            <w:tcBorders>
              <w:top w:val="single" w:color="000000" w:sz="8" w:space="0"/>
              <w:left w:val="single" w:color="000000" w:sz="8" w:space="0"/>
              <w:bottom w:val="single" w:color="000000" w:sz="8" w:space="0"/>
              <w:right w:val="single" w:color="000000" w:sz="8" w:space="0"/>
            </w:tcBorders>
            <w:shd w:val="clear" w:color="auto" w:fill="auto"/>
            <w:noWrap/>
            <w:vAlign w:val="center"/>
          </w:tcPr>
          <w:p w14:paraId="08A6E413">
            <w:pPr>
              <w:keepNext w:val="0"/>
              <w:keepLines w:val="0"/>
              <w:widowControl/>
              <w:suppressLineNumbers w:val="0"/>
              <w:bidi w:val="0"/>
              <w:ind w:firstLine="482" w:firstLineChars="200"/>
              <w:jc w:val="center"/>
              <w:textAlignment w:val="center"/>
              <w:rPr>
                <w:rFonts w:hint="default"/>
                <w:b w:val="0"/>
                <w:bCs w:val="0"/>
                <w:i w:val="0"/>
                <w:iCs w:val="0"/>
                <w:color w:val="auto"/>
                <w:u w:val="none"/>
                <w:lang w:val="en-US"/>
              </w:rPr>
            </w:pPr>
            <w:r>
              <w:rPr>
                <w:rFonts w:hint="eastAsia"/>
                <w:b/>
                <w:bCs/>
                <w:color w:val="auto"/>
                <w:u w:val="single"/>
                <w:lang w:val="en-US" w:eastAsia="zh-CN"/>
              </w:rPr>
              <w:t>*</w:t>
            </w:r>
          </w:p>
        </w:tc>
        <w:tc>
          <w:tcPr>
            <w:tcW w:w="351" w:type="pct"/>
            <w:tcBorders>
              <w:top w:val="single" w:color="000000" w:sz="8" w:space="0"/>
              <w:left w:val="single" w:color="000000" w:sz="8" w:space="0"/>
              <w:bottom w:val="single" w:color="000000" w:sz="8" w:space="0"/>
              <w:right w:val="single" w:color="000000" w:sz="8" w:space="0"/>
            </w:tcBorders>
            <w:shd w:val="clear" w:color="auto" w:fill="auto"/>
            <w:noWrap/>
            <w:vAlign w:val="center"/>
          </w:tcPr>
          <w:p w14:paraId="04880F83">
            <w:pPr>
              <w:keepNext w:val="0"/>
              <w:keepLines w:val="0"/>
              <w:widowControl/>
              <w:suppressLineNumbers w:val="0"/>
              <w:bidi w:val="0"/>
              <w:ind w:firstLine="482" w:firstLineChars="200"/>
              <w:jc w:val="center"/>
              <w:textAlignment w:val="center"/>
              <w:rPr>
                <w:rFonts w:hint="eastAsia"/>
                <w:b w:val="0"/>
                <w:bCs w:val="0"/>
                <w:i w:val="0"/>
                <w:iCs w:val="0"/>
                <w:color w:val="auto"/>
                <w:u w:val="none"/>
              </w:rPr>
            </w:pPr>
            <w:r>
              <w:rPr>
                <w:rFonts w:hint="eastAsia"/>
                <w:b/>
                <w:bCs/>
                <w:color w:val="auto"/>
                <w:u w:val="single"/>
                <w:lang w:val="en-US" w:eastAsia="zh-CN"/>
              </w:rPr>
              <w:t>*</w:t>
            </w:r>
          </w:p>
        </w:tc>
        <w:tc>
          <w:tcPr>
            <w:tcW w:w="637" w:type="pct"/>
            <w:tcBorders>
              <w:top w:val="single" w:color="000000" w:sz="8" w:space="0"/>
              <w:left w:val="single" w:color="000000" w:sz="8" w:space="0"/>
              <w:bottom w:val="single" w:color="000000" w:sz="8" w:space="0"/>
              <w:right w:val="single" w:color="000000" w:sz="8" w:space="0"/>
            </w:tcBorders>
            <w:shd w:val="clear" w:color="auto" w:fill="auto"/>
            <w:noWrap/>
            <w:vAlign w:val="center"/>
          </w:tcPr>
          <w:p w14:paraId="7439B5D2">
            <w:pPr>
              <w:bidi w:val="0"/>
              <w:ind w:firstLine="482" w:firstLineChars="200"/>
              <w:rPr>
                <w:rFonts w:hint="default"/>
                <w:b w:val="0"/>
                <w:bCs w:val="0"/>
                <w:i w:val="0"/>
                <w:iCs w:val="0"/>
                <w:color w:val="auto"/>
                <w:u w:val="none"/>
                <w:lang w:val="en-US"/>
              </w:rPr>
            </w:pPr>
            <w:r>
              <w:rPr>
                <w:rFonts w:hint="eastAsia"/>
                <w:b/>
                <w:bCs/>
                <w:color w:val="auto"/>
                <w:u w:val="single"/>
                <w:lang w:val="en-US" w:eastAsia="zh-CN"/>
              </w:rPr>
              <w:t>*</w:t>
            </w:r>
          </w:p>
        </w:tc>
        <w:tc>
          <w:tcPr>
            <w:tcW w:w="875" w:type="pct"/>
            <w:tcBorders>
              <w:top w:val="single" w:color="000000" w:sz="8" w:space="0"/>
              <w:left w:val="single" w:color="000000" w:sz="8" w:space="0"/>
              <w:bottom w:val="single" w:color="000000" w:sz="8" w:space="0"/>
              <w:right w:val="single" w:color="000000" w:sz="8" w:space="0"/>
            </w:tcBorders>
            <w:shd w:val="clear" w:color="auto" w:fill="auto"/>
            <w:noWrap/>
            <w:vAlign w:val="center"/>
          </w:tcPr>
          <w:p w14:paraId="7D657DA8">
            <w:pPr>
              <w:pStyle w:val="182"/>
              <w:keepNext w:val="0"/>
              <w:keepLines w:val="0"/>
              <w:widowControl/>
              <w:suppressLineNumbers w:val="0"/>
              <w:jc w:val="center"/>
              <w:textAlignment w:val="center"/>
              <w:rPr>
                <w:rFonts w:hint="eastAsia"/>
                <w:b w:val="0"/>
                <w:bCs w:val="0"/>
                <w:i w:val="0"/>
                <w:iCs w:val="0"/>
                <w:color w:val="auto"/>
                <w:u w:val="none"/>
              </w:rPr>
            </w:pPr>
            <w:r>
              <w:rPr>
                <w:rFonts w:hint="eastAsia"/>
                <w:b w:val="0"/>
                <w:bCs w:val="0"/>
                <w:i w:val="0"/>
                <w:iCs w:val="0"/>
                <w:color w:val="auto"/>
                <w:u w:val="none"/>
              </w:rPr>
              <w:t>设置减震基础、隔声间</w:t>
            </w:r>
          </w:p>
        </w:tc>
        <w:tc>
          <w:tcPr>
            <w:tcW w:w="324" w:type="pct"/>
            <w:tcBorders>
              <w:top w:val="single" w:color="000000" w:sz="8" w:space="0"/>
              <w:left w:val="single" w:color="000000" w:sz="8" w:space="0"/>
              <w:bottom w:val="single" w:color="000000" w:sz="8" w:space="0"/>
              <w:right w:val="single" w:color="000000" w:sz="8" w:space="0"/>
            </w:tcBorders>
            <w:shd w:val="clear" w:color="auto" w:fill="auto"/>
            <w:noWrap/>
            <w:vAlign w:val="center"/>
          </w:tcPr>
          <w:p w14:paraId="4DD94877">
            <w:pPr>
              <w:pStyle w:val="182"/>
              <w:keepNext w:val="0"/>
              <w:keepLines w:val="0"/>
              <w:widowControl/>
              <w:suppressLineNumbers w:val="0"/>
              <w:jc w:val="center"/>
              <w:textAlignment w:val="center"/>
              <w:rPr>
                <w:rFonts w:hint="eastAsia"/>
                <w:b w:val="0"/>
                <w:bCs w:val="0"/>
                <w:i w:val="0"/>
                <w:iCs w:val="0"/>
                <w:color w:val="auto"/>
                <w:u w:val="none"/>
              </w:rPr>
            </w:pPr>
            <w:r>
              <w:rPr>
                <w:rFonts w:hint="eastAsia"/>
                <w:b w:val="0"/>
                <w:bCs w:val="0"/>
                <w:i w:val="0"/>
                <w:iCs w:val="0"/>
                <w:color w:val="auto"/>
                <w:u w:val="none"/>
                <w:lang w:val="en-US" w:eastAsia="zh-CN"/>
              </w:rPr>
              <w:t>全天</w:t>
            </w:r>
          </w:p>
        </w:tc>
        <w:tc>
          <w:tcPr>
            <w:tcW w:w="598" w:type="pct"/>
            <w:tcBorders>
              <w:top w:val="single" w:color="000000" w:sz="8" w:space="0"/>
              <w:left w:val="single" w:color="000000" w:sz="8" w:space="0"/>
              <w:bottom w:val="single" w:color="000000" w:sz="8" w:space="0"/>
              <w:right w:val="single" w:color="000000" w:sz="8" w:space="0"/>
            </w:tcBorders>
            <w:shd w:val="clear" w:color="auto" w:fill="auto"/>
            <w:noWrap/>
            <w:vAlign w:val="center"/>
          </w:tcPr>
          <w:p w14:paraId="1C3F0CC8">
            <w:pPr>
              <w:pStyle w:val="182"/>
              <w:keepNext w:val="0"/>
              <w:keepLines w:val="0"/>
              <w:widowControl/>
              <w:suppressLineNumbers w:val="0"/>
              <w:jc w:val="center"/>
              <w:textAlignment w:val="center"/>
              <w:rPr>
                <w:rFonts w:hint="default"/>
                <w:b w:val="0"/>
                <w:bCs w:val="0"/>
                <w:i w:val="0"/>
                <w:iCs w:val="0"/>
                <w:color w:val="auto"/>
                <w:u w:val="none"/>
                <w:lang w:val="en-US" w:eastAsia="zh-CN"/>
              </w:rPr>
            </w:pPr>
            <w:r>
              <w:rPr>
                <w:rFonts w:hint="eastAsia"/>
                <w:b w:val="0"/>
                <w:bCs w:val="0"/>
                <w:i w:val="0"/>
                <w:iCs w:val="0"/>
                <w:color w:val="auto"/>
                <w:u w:val="none"/>
                <w:lang w:val="en-US" w:eastAsia="zh-CN"/>
              </w:rPr>
              <w:t>82</w:t>
            </w:r>
          </w:p>
        </w:tc>
      </w:tr>
      <w:tr w14:paraId="38B049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1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14:paraId="36152F55">
            <w:pPr>
              <w:pStyle w:val="182"/>
              <w:keepNext w:val="0"/>
              <w:keepLines w:val="0"/>
              <w:widowControl/>
              <w:suppressLineNumbers w:val="0"/>
              <w:jc w:val="center"/>
              <w:textAlignment w:val="center"/>
              <w:rPr>
                <w:rFonts w:hint="default"/>
                <w:b w:val="0"/>
                <w:bCs w:val="0"/>
                <w:i w:val="0"/>
                <w:iCs w:val="0"/>
                <w:color w:val="auto"/>
                <w:u w:val="none"/>
                <w:lang w:val="en-US" w:eastAsia="zh-CN"/>
              </w:rPr>
            </w:pPr>
            <w:r>
              <w:rPr>
                <w:rFonts w:hint="eastAsia"/>
                <w:b w:val="0"/>
                <w:bCs w:val="0"/>
                <w:i w:val="0"/>
                <w:iCs w:val="0"/>
                <w:color w:val="auto"/>
                <w:u w:val="none"/>
                <w:lang w:val="en-US" w:eastAsia="zh-CN"/>
              </w:rPr>
              <w:t>2</w:t>
            </w:r>
          </w:p>
        </w:tc>
        <w:tc>
          <w:tcPr>
            <w:tcW w:w="1269"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12A8763">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2452"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95E11C5">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96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FCC31B0">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70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FCF0B40">
            <w:pPr>
              <w:keepNext w:val="0"/>
              <w:keepLines w:val="0"/>
              <w:widowControl/>
              <w:suppressLineNumbers w:val="0"/>
              <w:bidi w:val="0"/>
              <w:ind w:firstLine="482" w:firstLineChars="200"/>
              <w:jc w:val="center"/>
              <w:textAlignment w:val="center"/>
              <w:rPr>
                <w:rFonts w:hint="default"/>
                <w:b w:val="0"/>
                <w:bCs w:val="0"/>
                <w:i w:val="0"/>
                <w:iCs w:val="0"/>
                <w:color w:val="auto"/>
                <w:u w:val="none"/>
                <w:lang w:val="en-US" w:eastAsia="zh-CN"/>
              </w:rPr>
            </w:pPr>
            <w:r>
              <w:rPr>
                <w:rFonts w:hint="eastAsia"/>
                <w:b/>
                <w:bCs/>
                <w:color w:val="auto"/>
                <w:u w:val="single"/>
                <w:lang w:val="en-US" w:eastAsia="zh-CN"/>
              </w:rPr>
              <w:t>*</w:t>
            </w:r>
          </w:p>
        </w:tc>
        <w:tc>
          <w:tcPr>
            <w:tcW w:w="93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2F9CEA1">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16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FCDDF0E">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232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9AAF66E">
            <w:pPr>
              <w:pStyle w:val="182"/>
              <w:keepNext w:val="0"/>
              <w:keepLines w:val="0"/>
              <w:widowControl/>
              <w:suppressLineNumbers w:val="0"/>
              <w:jc w:val="center"/>
              <w:textAlignment w:val="center"/>
              <w:rPr>
                <w:rFonts w:hint="eastAsia"/>
                <w:b w:val="0"/>
                <w:bCs w:val="0"/>
                <w:i w:val="0"/>
                <w:iCs w:val="0"/>
                <w:color w:val="auto"/>
                <w:u w:val="none"/>
                <w:lang w:val="en-US" w:eastAsia="zh-CN"/>
              </w:rPr>
            </w:pPr>
            <w:r>
              <w:rPr>
                <w:rFonts w:hint="eastAsia"/>
                <w:b w:val="0"/>
                <w:bCs w:val="0"/>
                <w:i w:val="0"/>
                <w:iCs w:val="0"/>
                <w:color w:val="auto"/>
                <w:u w:val="none"/>
              </w:rPr>
              <w:t>设置减震基础、隔声间</w:t>
            </w:r>
          </w:p>
        </w:tc>
        <w:tc>
          <w:tcPr>
            <w:tcW w:w="860"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45CC494">
            <w:pPr>
              <w:pStyle w:val="182"/>
              <w:keepNext w:val="0"/>
              <w:keepLines w:val="0"/>
              <w:widowControl/>
              <w:suppressLineNumbers w:val="0"/>
              <w:ind w:firstLine="0" w:firstLineChars="0"/>
              <w:jc w:val="center"/>
              <w:textAlignment w:val="center"/>
              <w:rPr>
                <w:rFonts w:hint="eastAsia"/>
                <w:b w:val="0"/>
                <w:bCs w:val="0"/>
                <w:i w:val="0"/>
                <w:iCs w:val="0"/>
                <w:color w:val="auto"/>
                <w:u w:val="none"/>
                <w:lang w:val="en-US" w:eastAsia="zh-CN"/>
              </w:rPr>
            </w:pPr>
            <w:r>
              <w:rPr>
                <w:rFonts w:hint="eastAsia"/>
                <w:b w:val="0"/>
                <w:bCs w:val="0"/>
                <w:i w:val="0"/>
                <w:iCs w:val="0"/>
                <w:color w:val="auto"/>
                <w:u w:val="none"/>
                <w:lang w:val="en-US" w:eastAsia="zh-CN"/>
              </w:rPr>
              <w:t>全天</w:t>
            </w:r>
          </w:p>
        </w:tc>
        <w:tc>
          <w:tcPr>
            <w:tcW w:w="1587"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574EFF8">
            <w:pPr>
              <w:pStyle w:val="182"/>
              <w:keepNext w:val="0"/>
              <w:keepLines w:val="0"/>
              <w:widowControl/>
              <w:suppressLineNumbers w:val="0"/>
              <w:ind w:firstLine="0" w:firstLineChars="0"/>
              <w:jc w:val="center"/>
              <w:textAlignment w:val="center"/>
              <w:rPr>
                <w:rFonts w:hint="eastAsia"/>
                <w:b w:val="0"/>
                <w:bCs w:val="0"/>
                <w:i w:val="0"/>
                <w:iCs w:val="0"/>
                <w:color w:val="auto"/>
                <w:u w:val="none"/>
                <w:lang w:val="en-US" w:eastAsia="zh-CN"/>
              </w:rPr>
            </w:pPr>
            <w:r>
              <w:rPr>
                <w:rFonts w:hint="eastAsia"/>
                <w:b w:val="0"/>
                <w:bCs w:val="0"/>
                <w:i w:val="0"/>
                <w:iCs w:val="0"/>
                <w:color w:val="auto"/>
                <w:u w:val="none"/>
                <w:lang w:val="en-US" w:eastAsia="zh-CN"/>
              </w:rPr>
              <w:t>80</w:t>
            </w:r>
          </w:p>
        </w:tc>
      </w:tr>
      <w:tr w14:paraId="703D0E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1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14:paraId="245EA581">
            <w:pPr>
              <w:pStyle w:val="182"/>
              <w:keepNext w:val="0"/>
              <w:keepLines w:val="0"/>
              <w:widowControl/>
              <w:suppressLineNumbers w:val="0"/>
              <w:jc w:val="center"/>
              <w:textAlignment w:val="center"/>
              <w:rPr>
                <w:rFonts w:hint="default"/>
                <w:b w:val="0"/>
                <w:bCs w:val="0"/>
                <w:i w:val="0"/>
                <w:iCs w:val="0"/>
                <w:color w:val="auto"/>
                <w:u w:val="none"/>
                <w:lang w:val="en-US" w:eastAsia="zh-CN"/>
              </w:rPr>
            </w:pPr>
            <w:r>
              <w:rPr>
                <w:rFonts w:hint="eastAsia"/>
                <w:b w:val="0"/>
                <w:bCs w:val="0"/>
                <w:i w:val="0"/>
                <w:iCs w:val="0"/>
                <w:color w:val="auto"/>
                <w:u w:val="none"/>
                <w:lang w:val="en-US" w:eastAsia="zh-CN"/>
              </w:rPr>
              <w:t>3</w:t>
            </w:r>
          </w:p>
        </w:tc>
        <w:tc>
          <w:tcPr>
            <w:tcW w:w="1269"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23119E4">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2452"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BF712EC">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96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7A1F440">
            <w:pPr>
              <w:keepNext w:val="0"/>
              <w:keepLines w:val="0"/>
              <w:widowControl/>
              <w:suppressLineNumbers w:val="0"/>
              <w:bidi w:val="0"/>
              <w:ind w:firstLine="482" w:firstLineChars="200"/>
              <w:jc w:val="center"/>
              <w:textAlignment w:val="center"/>
              <w:rPr>
                <w:rFonts w:hint="default"/>
                <w:b w:val="0"/>
                <w:bCs w:val="0"/>
                <w:i w:val="0"/>
                <w:iCs w:val="0"/>
                <w:color w:val="auto"/>
                <w:u w:val="none"/>
                <w:lang w:val="en-US" w:eastAsia="zh-CN"/>
              </w:rPr>
            </w:pPr>
            <w:r>
              <w:rPr>
                <w:rFonts w:hint="eastAsia"/>
                <w:b/>
                <w:bCs/>
                <w:color w:val="auto"/>
                <w:u w:val="single"/>
                <w:lang w:val="en-US" w:eastAsia="zh-CN"/>
              </w:rPr>
              <w:t>*</w:t>
            </w:r>
          </w:p>
        </w:tc>
        <w:tc>
          <w:tcPr>
            <w:tcW w:w="70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997D9E4">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93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B488BF6">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16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4307029">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232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0A0AD6E">
            <w:pPr>
              <w:pStyle w:val="182"/>
              <w:keepNext w:val="0"/>
              <w:keepLines w:val="0"/>
              <w:widowControl/>
              <w:suppressLineNumbers w:val="0"/>
              <w:jc w:val="center"/>
              <w:textAlignment w:val="center"/>
              <w:rPr>
                <w:rFonts w:hint="eastAsia"/>
                <w:b w:val="0"/>
                <w:bCs w:val="0"/>
                <w:i w:val="0"/>
                <w:iCs w:val="0"/>
                <w:color w:val="auto"/>
                <w:u w:val="none"/>
                <w:lang w:val="en-US" w:eastAsia="zh-CN"/>
              </w:rPr>
            </w:pPr>
            <w:r>
              <w:rPr>
                <w:rFonts w:hint="eastAsia"/>
                <w:b w:val="0"/>
                <w:bCs w:val="0"/>
                <w:i w:val="0"/>
                <w:iCs w:val="0"/>
                <w:color w:val="auto"/>
                <w:u w:val="none"/>
              </w:rPr>
              <w:t>设置减震基础、隔声间</w:t>
            </w:r>
          </w:p>
        </w:tc>
        <w:tc>
          <w:tcPr>
            <w:tcW w:w="860"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C2BD41D">
            <w:pPr>
              <w:pStyle w:val="182"/>
              <w:keepNext w:val="0"/>
              <w:keepLines w:val="0"/>
              <w:widowControl/>
              <w:suppressLineNumbers w:val="0"/>
              <w:ind w:firstLine="0" w:firstLineChars="0"/>
              <w:jc w:val="center"/>
              <w:textAlignment w:val="center"/>
              <w:rPr>
                <w:rFonts w:hint="eastAsia"/>
                <w:b w:val="0"/>
                <w:bCs w:val="0"/>
                <w:i w:val="0"/>
                <w:iCs w:val="0"/>
                <w:color w:val="auto"/>
                <w:u w:val="none"/>
                <w:lang w:val="en-US" w:eastAsia="zh-CN"/>
              </w:rPr>
            </w:pPr>
            <w:r>
              <w:rPr>
                <w:rFonts w:hint="eastAsia"/>
                <w:b w:val="0"/>
                <w:bCs w:val="0"/>
                <w:i w:val="0"/>
                <w:iCs w:val="0"/>
                <w:color w:val="auto"/>
                <w:u w:val="none"/>
                <w:lang w:val="en-US" w:eastAsia="zh-CN"/>
              </w:rPr>
              <w:t>全天</w:t>
            </w:r>
          </w:p>
        </w:tc>
        <w:tc>
          <w:tcPr>
            <w:tcW w:w="1587"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632391B">
            <w:pPr>
              <w:pStyle w:val="182"/>
              <w:keepNext w:val="0"/>
              <w:keepLines w:val="0"/>
              <w:widowControl/>
              <w:suppressLineNumbers w:val="0"/>
              <w:ind w:firstLine="0" w:firstLineChars="0"/>
              <w:jc w:val="center"/>
              <w:textAlignment w:val="center"/>
              <w:rPr>
                <w:rFonts w:hint="eastAsia"/>
                <w:b w:val="0"/>
                <w:bCs w:val="0"/>
                <w:i w:val="0"/>
                <w:iCs w:val="0"/>
                <w:color w:val="auto"/>
                <w:u w:val="none"/>
                <w:lang w:val="en-US" w:eastAsia="zh-CN"/>
              </w:rPr>
            </w:pPr>
            <w:r>
              <w:rPr>
                <w:rFonts w:hint="eastAsia"/>
                <w:b w:val="0"/>
                <w:bCs w:val="0"/>
                <w:i w:val="0"/>
                <w:iCs w:val="0"/>
                <w:color w:val="auto"/>
                <w:u w:val="none"/>
                <w:lang w:val="en-US" w:eastAsia="zh-CN"/>
              </w:rPr>
              <w:t>80</w:t>
            </w:r>
          </w:p>
        </w:tc>
      </w:tr>
      <w:tr w14:paraId="7B4D43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1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14:paraId="6179C246">
            <w:pPr>
              <w:pStyle w:val="182"/>
              <w:keepNext w:val="0"/>
              <w:keepLines w:val="0"/>
              <w:widowControl/>
              <w:suppressLineNumbers w:val="0"/>
              <w:jc w:val="center"/>
              <w:textAlignment w:val="center"/>
              <w:rPr>
                <w:rFonts w:hint="default"/>
                <w:b w:val="0"/>
                <w:bCs w:val="0"/>
                <w:i w:val="0"/>
                <w:iCs w:val="0"/>
                <w:color w:val="auto"/>
                <w:u w:val="none"/>
                <w:lang w:val="en-US" w:eastAsia="zh-CN"/>
              </w:rPr>
            </w:pPr>
            <w:r>
              <w:rPr>
                <w:rFonts w:hint="eastAsia"/>
                <w:b w:val="0"/>
                <w:bCs w:val="0"/>
                <w:i w:val="0"/>
                <w:iCs w:val="0"/>
                <w:color w:val="auto"/>
                <w:u w:val="none"/>
                <w:lang w:val="en-US" w:eastAsia="zh-CN"/>
              </w:rPr>
              <w:t>4</w:t>
            </w:r>
          </w:p>
        </w:tc>
        <w:tc>
          <w:tcPr>
            <w:tcW w:w="1269"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F2800F0">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2452"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2D8D987">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96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D995631">
            <w:pPr>
              <w:keepNext w:val="0"/>
              <w:keepLines w:val="0"/>
              <w:widowControl/>
              <w:suppressLineNumbers w:val="0"/>
              <w:bidi w:val="0"/>
              <w:ind w:firstLine="482" w:firstLineChars="200"/>
              <w:jc w:val="center"/>
              <w:textAlignment w:val="center"/>
              <w:rPr>
                <w:rFonts w:hint="default"/>
                <w:b w:val="0"/>
                <w:bCs w:val="0"/>
                <w:i w:val="0"/>
                <w:iCs w:val="0"/>
                <w:color w:val="auto"/>
                <w:u w:val="none"/>
                <w:lang w:val="en-US" w:eastAsia="zh-CN"/>
              </w:rPr>
            </w:pPr>
            <w:r>
              <w:rPr>
                <w:rFonts w:hint="eastAsia"/>
                <w:b/>
                <w:bCs/>
                <w:color w:val="auto"/>
                <w:u w:val="single"/>
                <w:lang w:val="en-US" w:eastAsia="zh-CN"/>
              </w:rPr>
              <w:t>*</w:t>
            </w:r>
          </w:p>
        </w:tc>
        <w:tc>
          <w:tcPr>
            <w:tcW w:w="70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3184FA3">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93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449E548C">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16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13F49D16">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232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655592BD">
            <w:pPr>
              <w:pStyle w:val="182"/>
              <w:keepNext w:val="0"/>
              <w:keepLines w:val="0"/>
              <w:widowControl/>
              <w:suppressLineNumbers w:val="0"/>
              <w:jc w:val="center"/>
              <w:textAlignment w:val="center"/>
              <w:rPr>
                <w:rFonts w:hint="eastAsia"/>
                <w:b w:val="0"/>
                <w:bCs w:val="0"/>
                <w:i w:val="0"/>
                <w:iCs w:val="0"/>
                <w:color w:val="auto"/>
                <w:u w:val="none"/>
                <w:lang w:val="en-US" w:eastAsia="zh-CN"/>
              </w:rPr>
            </w:pPr>
            <w:r>
              <w:rPr>
                <w:rFonts w:hint="eastAsia"/>
                <w:b w:val="0"/>
                <w:bCs w:val="0"/>
                <w:i w:val="0"/>
                <w:iCs w:val="0"/>
                <w:color w:val="auto"/>
                <w:u w:val="none"/>
              </w:rPr>
              <w:t>设置减震基础、隔声间</w:t>
            </w:r>
          </w:p>
        </w:tc>
        <w:tc>
          <w:tcPr>
            <w:tcW w:w="860"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17A5C1F">
            <w:pPr>
              <w:pStyle w:val="182"/>
              <w:keepNext w:val="0"/>
              <w:keepLines w:val="0"/>
              <w:widowControl/>
              <w:suppressLineNumbers w:val="0"/>
              <w:ind w:firstLine="0" w:firstLineChars="0"/>
              <w:jc w:val="center"/>
              <w:textAlignment w:val="center"/>
              <w:rPr>
                <w:rFonts w:hint="eastAsia"/>
                <w:b w:val="0"/>
                <w:bCs w:val="0"/>
                <w:i w:val="0"/>
                <w:iCs w:val="0"/>
                <w:color w:val="auto"/>
                <w:u w:val="none"/>
                <w:lang w:val="en-US" w:eastAsia="zh-CN"/>
              </w:rPr>
            </w:pPr>
            <w:r>
              <w:rPr>
                <w:rFonts w:hint="eastAsia"/>
                <w:b w:val="0"/>
                <w:bCs w:val="0"/>
                <w:i w:val="0"/>
                <w:iCs w:val="0"/>
                <w:color w:val="auto"/>
                <w:u w:val="none"/>
                <w:lang w:val="en-US" w:eastAsia="zh-CN"/>
              </w:rPr>
              <w:t>全天</w:t>
            </w:r>
          </w:p>
        </w:tc>
        <w:tc>
          <w:tcPr>
            <w:tcW w:w="1587"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1D577B3">
            <w:pPr>
              <w:pStyle w:val="182"/>
              <w:keepNext w:val="0"/>
              <w:keepLines w:val="0"/>
              <w:widowControl/>
              <w:suppressLineNumbers w:val="0"/>
              <w:ind w:firstLine="0" w:firstLineChars="0"/>
              <w:jc w:val="center"/>
              <w:textAlignment w:val="center"/>
              <w:rPr>
                <w:rFonts w:hint="eastAsia"/>
                <w:b w:val="0"/>
                <w:bCs w:val="0"/>
                <w:i w:val="0"/>
                <w:iCs w:val="0"/>
                <w:color w:val="auto"/>
                <w:u w:val="none"/>
                <w:lang w:val="en-US" w:eastAsia="zh-CN"/>
              </w:rPr>
            </w:pPr>
            <w:r>
              <w:rPr>
                <w:rFonts w:hint="eastAsia"/>
                <w:b w:val="0"/>
                <w:bCs w:val="0"/>
                <w:i w:val="0"/>
                <w:iCs w:val="0"/>
                <w:color w:val="auto"/>
                <w:u w:val="none"/>
                <w:lang w:val="en-US" w:eastAsia="zh-CN"/>
              </w:rPr>
              <w:t>80</w:t>
            </w:r>
          </w:p>
        </w:tc>
      </w:tr>
      <w:tr w14:paraId="58D6A2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179" w:type="pct"/>
            <w:tcBorders>
              <w:top w:val="single" w:color="000000" w:sz="8" w:space="0"/>
              <w:left w:val="single" w:color="000000" w:sz="8" w:space="0"/>
              <w:bottom w:val="single" w:color="000000" w:sz="8" w:space="0"/>
              <w:right w:val="single" w:color="000000" w:sz="8" w:space="0"/>
            </w:tcBorders>
            <w:shd w:val="clear" w:color="auto" w:fill="auto"/>
            <w:noWrap/>
            <w:vAlign w:val="center"/>
          </w:tcPr>
          <w:p w14:paraId="400A8566">
            <w:pPr>
              <w:pStyle w:val="182"/>
              <w:keepNext w:val="0"/>
              <w:keepLines w:val="0"/>
              <w:widowControl/>
              <w:suppressLineNumbers w:val="0"/>
              <w:jc w:val="center"/>
              <w:textAlignment w:val="center"/>
              <w:rPr>
                <w:rFonts w:hint="default"/>
                <w:b w:val="0"/>
                <w:bCs w:val="0"/>
                <w:i w:val="0"/>
                <w:iCs w:val="0"/>
                <w:color w:val="auto"/>
                <w:u w:val="none"/>
                <w:lang w:val="en-US" w:eastAsia="zh-CN"/>
              </w:rPr>
            </w:pPr>
            <w:r>
              <w:rPr>
                <w:rFonts w:hint="eastAsia"/>
                <w:b w:val="0"/>
                <w:bCs w:val="0"/>
                <w:i w:val="0"/>
                <w:iCs w:val="0"/>
                <w:color w:val="auto"/>
                <w:u w:val="none"/>
                <w:lang w:val="en-US" w:eastAsia="zh-CN"/>
              </w:rPr>
              <w:t>5</w:t>
            </w:r>
          </w:p>
        </w:tc>
        <w:tc>
          <w:tcPr>
            <w:tcW w:w="1269"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44B084C">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2452"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5849B2C">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96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ED0401B">
            <w:pPr>
              <w:keepNext w:val="0"/>
              <w:keepLines w:val="0"/>
              <w:widowControl/>
              <w:suppressLineNumbers w:val="0"/>
              <w:bidi w:val="0"/>
              <w:ind w:firstLine="482" w:firstLineChars="200"/>
              <w:jc w:val="center"/>
              <w:textAlignment w:val="center"/>
              <w:rPr>
                <w:rFonts w:hint="default"/>
                <w:b w:val="0"/>
                <w:bCs w:val="0"/>
                <w:i w:val="0"/>
                <w:iCs w:val="0"/>
                <w:color w:val="auto"/>
                <w:u w:val="none"/>
                <w:lang w:val="en-US" w:eastAsia="zh-CN"/>
              </w:rPr>
            </w:pPr>
            <w:r>
              <w:rPr>
                <w:rFonts w:hint="eastAsia"/>
                <w:b/>
                <w:bCs/>
                <w:color w:val="auto"/>
                <w:u w:val="single"/>
                <w:lang w:val="en-US" w:eastAsia="zh-CN"/>
              </w:rPr>
              <w:t>*</w:t>
            </w:r>
          </w:p>
        </w:tc>
        <w:tc>
          <w:tcPr>
            <w:tcW w:w="706"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3F2B68DD">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932"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48C6E6D">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1691"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FDFC21B">
            <w:pPr>
              <w:keepNext w:val="0"/>
              <w:keepLines w:val="0"/>
              <w:widowControl/>
              <w:suppressLineNumbers w:val="0"/>
              <w:bidi w:val="0"/>
              <w:ind w:firstLine="482" w:firstLineChars="200"/>
              <w:jc w:val="center"/>
              <w:textAlignment w:val="center"/>
              <w:rPr>
                <w:rFonts w:hint="eastAsia"/>
                <w:b w:val="0"/>
                <w:bCs w:val="0"/>
                <w:i w:val="0"/>
                <w:iCs w:val="0"/>
                <w:color w:val="auto"/>
                <w:u w:val="none"/>
                <w:lang w:val="en-US" w:eastAsia="zh-CN"/>
              </w:rPr>
            </w:pPr>
            <w:r>
              <w:rPr>
                <w:rFonts w:hint="eastAsia"/>
                <w:b/>
                <w:bCs/>
                <w:color w:val="auto"/>
                <w:u w:val="single"/>
                <w:lang w:val="en-US" w:eastAsia="zh-CN"/>
              </w:rPr>
              <w:t>*</w:t>
            </w:r>
          </w:p>
        </w:tc>
        <w:tc>
          <w:tcPr>
            <w:tcW w:w="2322" w:type="dxa"/>
            <w:tcBorders>
              <w:top w:val="single" w:color="000000" w:sz="8" w:space="0"/>
              <w:left w:val="single" w:color="000000" w:sz="8" w:space="0"/>
              <w:bottom w:val="single" w:color="auto" w:sz="4" w:space="0"/>
              <w:right w:val="single" w:color="000000" w:sz="8" w:space="0"/>
            </w:tcBorders>
            <w:shd w:val="clear" w:color="auto" w:fill="auto"/>
            <w:noWrap/>
            <w:vAlign w:val="center"/>
          </w:tcPr>
          <w:p w14:paraId="065C8485">
            <w:pPr>
              <w:pStyle w:val="182"/>
              <w:keepNext w:val="0"/>
              <w:keepLines w:val="0"/>
              <w:widowControl/>
              <w:suppressLineNumbers w:val="0"/>
              <w:jc w:val="center"/>
              <w:textAlignment w:val="center"/>
              <w:rPr>
                <w:rFonts w:hint="eastAsia"/>
                <w:b w:val="0"/>
                <w:bCs w:val="0"/>
                <w:i w:val="0"/>
                <w:iCs w:val="0"/>
                <w:color w:val="auto"/>
                <w:u w:val="none"/>
                <w:lang w:val="en-US" w:eastAsia="zh-CN"/>
              </w:rPr>
            </w:pPr>
            <w:r>
              <w:rPr>
                <w:rFonts w:hint="eastAsia"/>
                <w:b w:val="0"/>
                <w:bCs w:val="0"/>
                <w:i w:val="0"/>
                <w:iCs w:val="0"/>
                <w:color w:val="auto"/>
                <w:u w:val="none"/>
              </w:rPr>
              <w:t>设置减震基础、隔声间</w:t>
            </w:r>
          </w:p>
        </w:tc>
        <w:tc>
          <w:tcPr>
            <w:tcW w:w="860"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7166CB26">
            <w:pPr>
              <w:pStyle w:val="182"/>
              <w:keepNext w:val="0"/>
              <w:keepLines w:val="0"/>
              <w:widowControl/>
              <w:suppressLineNumbers w:val="0"/>
              <w:ind w:firstLine="0" w:firstLineChars="0"/>
              <w:jc w:val="center"/>
              <w:textAlignment w:val="center"/>
              <w:rPr>
                <w:rFonts w:hint="eastAsia"/>
                <w:b w:val="0"/>
                <w:bCs w:val="0"/>
                <w:i w:val="0"/>
                <w:iCs w:val="0"/>
                <w:color w:val="auto"/>
                <w:u w:val="none"/>
                <w:lang w:val="en-US" w:eastAsia="zh-CN"/>
              </w:rPr>
            </w:pPr>
            <w:r>
              <w:rPr>
                <w:rFonts w:hint="eastAsia"/>
                <w:b w:val="0"/>
                <w:bCs w:val="0"/>
                <w:i w:val="0"/>
                <w:iCs w:val="0"/>
                <w:color w:val="auto"/>
                <w:u w:val="none"/>
                <w:lang w:val="en-US" w:eastAsia="zh-CN"/>
              </w:rPr>
              <w:t>全天</w:t>
            </w:r>
          </w:p>
        </w:tc>
        <w:tc>
          <w:tcPr>
            <w:tcW w:w="1587"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256735C5">
            <w:pPr>
              <w:pStyle w:val="182"/>
              <w:keepNext w:val="0"/>
              <w:keepLines w:val="0"/>
              <w:widowControl/>
              <w:suppressLineNumbers w:val="0"/>
              <w:ind w:firstLine="0" w:firstLineChars="0"/>
              <w:jc w:val="center"/>
              <w:textAlignment w:val="center"/>
              <w:rPr>
                <w:rFonts w:hint="eastAsia"/>
                <w:b w:val="0"/>
                <w:bCs w:val="0"/>
                <w:i w:val="0"/>
                <w:iCs w:val="0"/>
                <w:color w:val="auto"/>
                <w:u w:val="none"/>
                <w:lang w:val="en-US" w:eastAsia="zh-CN"/>
              </w:rPr>
            </w:pPr>
            <w:r>
              <w:rPr>
                <w:rFonts w:hint="eastAsia"/>
                <w:b w:val="0"/>
                <w:bCs w:val="0"/>
                <w:i w:val="0"/>
                <w:iCs w:val="0"/>
                <w:color w:val="auto"/>
                <w:u w:val="none"/>
                <w:lang w:val="en-US" w:eastAsia="zh-CN"/>
              </w:rPr>
              <w:t>80</w:t>
            </w:r>
          </w:p>
        </w:tc>
      </w:tr>
    </w:tbl>
    <w:p w14:paraId="110E25C3">
      <w:pPr>
        <w:pStyle w:val="10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default" w:eastAsia="宋体"/>
          <w:b/>
          <w:bCs/>
          <w:u w:val="none"/>
          <w:lang w:val="en-US" w:eastAsia="zh-CN"/>
        </w:rPr>
      </w:pPr>
      <w:r>
        <w:rPr>
          <w:rFonts w:hint="eastAsia"/>
          <w:b/>
          <w:bCs/>
          <w:u w:val="none"/>
          <w:lang w:val="en-US" w:eastAsia="zh-CN"/>
        </w:rPr>
        <w:t>备注：两台冷却水泵紧邻，将两台冷却水泵声压级叠加后看做一个声源进行评价；冷冻水泵情况一致。</w:t>
      </w:r>
    </w:p>
    <w:p w14:paraId="7CF01690">
      <w:pPr>
        <w:bidi w:val="0"/>
        <w:ind w:left="0" w:leftChars="0" w:firstLine="0" w:firstLineChars="0"/>
        <w:rPr>
          <w:rFonts w:hint="eastAsia"/>
          <w:lang w:val="en-US" w:eastAsia="zh-CN"/>
        </w:rPr>
      </w:pPr>
    </w:p>
    <w:p w14:paraId="0DACEF4B">
      <w:pPr>
        <w:pStyle w:val="10"/>
        <w:bidi w:val="0"/>
        <w:rPr>
          <w:rFonts w:hint="eastAsia"/>
          <w:lang w:val="en-US" w:eastAsia="zh-CN"/>
        </w:rPr>
      </w:pPr>
      <w:r>
        <w:rPr>
          <w:rFonts w:hint="eastAsia"/>
        </w:rPr>
        <w:t xml:space="preserve">表 </w:t>
      </w:r>
      <w:r>
        <w:rPr>
          <w:rFonts w:hint="eastAsia"/>
        </w:rPr>
        <w:fldChar w:fldCharType="begin"/>
      </w:r>
      <w:r>
        <w:rPr>
          <w:rFonts w:hint="eastAsia"/>
        </w:rPr>
        <w:instrText xml:space="preserve"> STYLEREF 2 \s </w:instrText>
      </w:r>
      <w:r>
        <w:rPr>
          <w:rFonts w:hint="eastAsia"/>
        </w:rPr>
        <w:fldChar w:fldCharType="separate"/>
      </w:r>
      <w:r>
        <w:rPr>
          <w:rFonts w:hint="eastAsia"/>
        </w:rPr>
        <w:t>4.6</w:t>
      </w:r>
      <w:r>
        <w:rPr>
          <w:rFonts w:hint="eastAsia"/>
        </w:rPr>
        <w:fldChar w:fldCharType="end"/>
      </w:r>
      <w:r>
        <w:rPr>
          <w:rFonts w:hint="eastAsia"/>
          <w:lang w:eastAsia="zh-CN"/>
        </w:rPr>
        <w:t>-</w:t>
      </w:r>
      <w:r>
        <w:rPr>
          <w:rFonts w:hint="eastAsia"/>
        </w:rPr>
        <w:fldChar w:fldCharType="begin"/>
      </w:r>
      <w:r>
        <w:rPr>
          <w:rFonts w:hint="eastAsia"/>
        </w:rPr>
        <w:instrText xml:space="preserve"> SEQ 表 \* ARABIC \s 2 </w:instrText>
      </w:r>
      <w:r>
        <w:rPr>
          <w:rFonts w:hint="eastAsia"/>
        </w:rPr>
        <w:fldChar w:fldCharType="separate"/>
      </w:r>
      <w:r>
        <w:rPr>
          <w:rFonts w:hint="eastAsia"/>
        </w:rPr>
        <w:t>15</w:t>
      </w:r>
      <w:r>
        <w:rPr>
          <w:rFonts w:hint="eastAsia"/>
        </w:rPr>
        <w:fldChar w:fldCharType="end"/>
      </w:r>
      <w:r>
        <w:rPr>
          <w:rFonts w:hint="eastAsia"/>
          <w:lang w:val="en-US" w:eastAsia="zh-CN"/>
        </w:rPr>
        <w:t xml:space="preserve"> 年产1000吨DT溶剂法再生纤维素纤维中试研发项目厂界噪声贡献值         单位：dB(A)</w:t>
      </w:r>
    </w:p>
    <w:tbl>
      <w:tblPr>
        <w:tblStyle w:val="31"/>
        <w:tblW w:w="492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11"/>
        <w:gridCol w:w="2211"/>
        <w:gridCol w:w="2211"/>
        <w:gridCol w:w="2211"/>
        <w:gridCol w:w="2211"/>
        <w:gridCol w:w="2211"/>
      </w:tblGrid>
      <w:tr w14:paraId="3C3E3E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33" w:type="pct"/>
            <w:tcBorders>
              <w:left w:val="single" w:color="auto" w:sz="4" w:space="0"/>
            </w:tcBorders>
            <w:noWrap w:val="0"/>
            <w:vAlign w:val="center"/>
          </w:tcPr>
          <w:p w14:paraId="475D6E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站位</w:t>
            </w:r>
          </w:p>
        </w:tc>
        <w:tc>
          <w:tcPr>
            <w:tcW w:w="833" w:type="pct"/>
            <w:noWrap w:val="0"/>
            <w:vAlign w:val="center"/>
          </w:tcPr>
          <w:p w14:paraId="0BF1AD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sz w:val="21"/>
                <w:szCs w:val="21"/>
              </w:rPr>
            </w:pPr>
            <w:r>
              <w:rPr>
                <w:b/>
                <w:bCs/>
                <w:sz w:val="21"/>
                <w:szCs w:val="21"/>
              </w:rPr>
              <w:t>噪声源</w:t>
            </w:r>
          </w:p>
        </w:tc>
        <w:tc>
          <w:tcPr>
            <w:tcW w:w="833" w:type="pct"/>
            <w:noWrap w:val="0"/>
            <w:vAlign w:val="center"/>
          </w:tcPr>
          <w:p w14:paraId="4FD8CD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bCs/>
                <w:sz w:val="21"/>
                <w:szCs w:val="21"/>
                <w:lang w:val="en-US" w:eastAsia="zh-CN"/>
              </w:rPr>
            </w:pPr>
            <w:r>
              <w:rPr>
                <w:b/>
                <w:bCs/>
                <w:sz w:val="21"/>
                <w:szCs w:val="21"/>
              </w:rPr>
              <w:t>处理后源强</w:t>
            </w:r>
            <w:r>
              <w:rPr>
                <w:rFonts w:hint="eastAsia"/>
                <w:b/>
                <w:bCs/>
                <w:sz w:val="21"/>
                <w:szCs w:val="21"/>
                <w:lang w:val="en-US" w:eastAsia="zh-CN"/>
              </w:rPr>
              <w:t>声功率级</w:t>
            </w:r>
            <w:r>
              <w:rPr>
                <w:b w:val="0"/>
                <w:bCs w:val="0"/>
                <w:i w:val="0"/>
                <w:iCs w:val="0"/>
                <w:color w:val="auto"/>
                <w:u w:val="none"/>
              </w:rPr>
              <w:t>dB（A）</w:t>
            </w:r>
          </w:p>
        </w:tc>
        <w:tc>
          <w:tcPr>
            <w:tcW w:w="833" w:type="pct"/>
            <w:noWrap w:val="0"/>
            <w:vAlign w:val="center"/>
          </w:tcPr>
          <w:p w14:paraId="7FEB0A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sz w:val="21"/>
                <w:szCs w:val="21"/>
              </w:rPr>
            </w:pPr>
            <w:r>
              <w:rPr>
                <w:b/>
                <w:bCs/>
                <w:sz w:val="21"/>
                <w:szCs w:val="21"/>
              </w:rPr>
              <w:t>与噪声源距离（m）</w:t>
            </w:r>
          </w:p>
        </w:tc>
        <w:tc>
          <w:tcPr>
            <w:tcW w:w="833" w:type="pct"/>
            <w:noWrap w:val="0"/>
            <w:vAlign w:val="center"/>
          </w:tcPr>
          <w:p w14:paraId="094BA5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bCs/>
                <w:sz w:val="21"/>
                <w:szCs w:val="21"/>
                <w:lang w:val="en-US" w:eastAsia="zh-CN"/>
              </w:rPr>
            </w:pPr>
            <w:r>
              <w:rPr>
                <w:b/>
                <w:bCs/>
                <w:sz w:val="21"/>
                <w:szCs w:val="21"/>
              </w:rPr>
              <w:t>贡献值</w:t>
            </w:r>
            <w:r>
              <w:rPr>
                <w:rFonts w:hint="eastAsia"/>
                <w:b/>
                <w:bCs/>
                <w:sz w:val="21"/>
                <w:szCs w:val="21"/>
                <w:lang w:val="en-US" w:eastAsia="zh-CN"/>
              </w:rPr>
              <w:t>声压级</w:t>
            </w:r>
            <w:r>
              <w:rPr>
                <w:b w:val="0"/>
                <w:bCs w:val="0"/>
                <w:i w:val="0"/>
                <w:iCs w:val="0"/>
                <w:color w:val="auto"/>
                <w:u w:val="none"/>
              </w:rPr>
              <w:t>dB（A</w:t>
            </w:r>
            <w:r>
              <w:rPr>
                <w:rFonts w:hint="eastAsia"/>
                <w:b w:val="0"/>
                <w:bCs w:val="0"/>
                <w:i w:val="0"/>
                <w:iCs w:val="0"/>
                <w:color w:val="auto"/>
                <w:u w:val="none"/>
                <w:lang w:eastAsia="zh-CN"/>
              </w:rPr>
              <w:t>）</w:t>
            </w:r>
          </w:p>
        </w:tc>
        <w:tc>
          <w:tcPr>
            <w:tcW w:w="833" w:type="pct"/>
            <w:tcBorders>
              <w:right w:val="single" w:color="auto" w:sz="4" w:space="0"/>
            </w:tcBorders>
            <w:noWrap w:val="0"/>
            <w:vAlign w:val="center"/>
          </w:tcPr>
          <w:p w14:paraId="40D874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bCs/>
                <w:sz w:val="21"/>
                <w:szCs w:val="21"/>
                <w:lang w:eastAsia="zh-CN"/>
              </w:rPr>
            </w:pPr>
            <w:r>
              <w:rPr>
                <w:b/>
                <w:bCs/>
                <w:sz w:val="21"/>
                <w:szCs w:val="21"/>
              </w:rPr>
              <w:t>贡献值</w:t>
            </w:r>
            <w:r>
              <w:rPr>
                <w:rFonts w:hint="eastAsia"/>
                <w:b/>
                <w:bCs/>
                <w:sz w:val="21"/>
                <w:szCs w:val="21"/>
                <w:lang w:val="en-US" w:eastAsia="zh-CN"/>
              </w:rPr>
              <w:t>声压级</w:t>
            </w:r>
            <w:r>
              <w:rPr>
                <w:b w:val="0"/>
                <w:bCs w:val="0"/>
                <w:i w:val="0"/>
                <w:iCs w:val="0"/>
                <w:color w:val="auto"/>
                <w:u w:val="none"/>
              </w:rPr>
              <w:t>dB（A</w:t>
            </w:r>
            <w:r>
              <w:rPr>
                <w:rFonts w:hint="eastAsia"/>
                <w:b w:val="0"/>
                <w:bCs w:val="0"/>
                <w:i w:val="0"/>
                <w:iCs w:val="0"/>
                <w:color w:val="auto"/>
                <w:u w:val="none"/>
                <w:lang w:eastAsia="zh-CN"/>
              </w:rPr>
              <w:t>）</w:t>
            </w:r>
          </w:p>
        </w:tc>
      </w:tr>
      <w:tr w14:paraId="5A4432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restart"/>
            <w:tcBorders>
              <w:left w:val="single" w:color="auto" w:sz="4" w:space="0"/>
            </w:tcBorders>
            <w:noWrap w:val="0"/>
            <w:vAlign w:val="center"/>
          </w:tcPr>
          <w:p w14:paraId="7FDBD318">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r>
              <w:rPr>
                <w:sz w:val="21"/>
                <w:szCs w:val="21"/>
              </w:rPr>
              <w:t>东</w:t>
            </w:r>
          </w:p>
          <w:p w14:paraId="15F040D9">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r>
              <w:rPr>
                <w:sz w:val="21"/>
                <w:szCs w:val="21"/>
              </w:rPr>
              <w:t>厂</w:t>
            </w:r>
          </w:p>
          <w:p w14:paraId="34B0370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r>
              <w:rPr>
                <w:sz w:val="21"/>
                <w:szCs w:val="21"/>
              </w:rPr>
              <w:t>界</w:t>
            </w:r>
          </w:p>
        </w:tc>
        <w:tc>
          <w:tcPr>
            <w:tcW w:w="833" w:type="pct"/>
            <w:noWrap w:val="0"/>
            <w:vAlign w:val="center"/>
          </w:tcPr>
          <w:p w14:paraId="68DDB06C">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auto"/>
              <w:rPr>
                <w:rFonts w:hint="eastAsia" w:eastAsia="宋体"/>
                <w:sz w:val="21"/>
                <w:szCs w:val="21"/>
                <w:lang w:eastAsia="zh-CN"/>
              </w:rPr>
            </w:pPr>
            <w:r>
              <w:rPr>
                <w:rFonts w:hint="eastAsia"/>
                <w:b/>
                <w:bCs/>
                <w:color w:val="auto"/>
                <w:u w:val="single"/>
                <w:lang w:val="en-US" w:eastAsia="zh-CN"/>
              </w:rPr>
              <w:t>*</w:t>
            </w:r>
          </w:p>
        </w:tc>
        <w:tc>
          <w:tcPr>
            <w:tcW w:w="833" w:type="pct"/>
            <w:noWrap w:val="0"/>
            <w:vAlign w:val="center"/>
          </w:tcPr>
          <w:p w14:paraId="5BE0305B">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default" w:eastAsia="宋体"/>
                <w:sz w:val="21"/>
                <w:szCs w:val="21"/>
                <w:lang w:val="en-US" w:eastAsia="zh-CN"/>
              </w:rPr>
            </w:pPr>
            <w:r>
              <w:rPr>
                <w:rFonts w:hint="eastAsia"/>
                <w:b/>
                <w:bCs/>
                <w:color w:val="auto"/>
                <w:u w:val="single"/>
                <w:lang w:val="en-US" w:eastAsia="zh-CN"/>
              </w:rPr>
              <w:t>*</w:t>
            </w:r>
          </w:p>
        </w:tc>
        <w:tc>
          <w:tcPr>
            <w:tcW w:w="833" w:type="pct"/>
            <w:noWrap w:val="0"/>
            <w:vAlign w:val="center"/>
          </w:tcPr>
          <w:p w14:paraId="422C1434">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0662387F">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2211" w:type="dxa"/>
            <w:vMerge w:val="restart"/>
            <w:tcBorders>
              <w:right w:val="single" w:color="auto" w:sz="4" w:space="0"/>
            </w:tcBorders>
            <w:noWrap w:val="0"/>
            <w:vAlign w:val="center"/>
          </w:tcPr>
          <w:p w14:paraId="021772A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18.01 </w:t>
            </w:r>
          </w:p>
        </w:tc>
      </w:tr>
      <w:tr w14:paraId="043831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4C9EBE9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340FD6AE">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2DF9F418">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default" w:eastAsia="宋体"/>
                <w:bCs/>
                <w:sz w:val="21"/>
                <w:szCs w:val="21"/>
                <w:lang w:val="en-US" w:eastAsia="zh-CN"/>
              </w:rPr>
            </w:pPr>
            <w:r>
              <w:rPr>
                <w:rFonts w:hint="eastAsia"/>
                <w:b/>
                <w:bCs/>
                <w:color w:val="auto"/>
                <w:u w:val="single"/>
                <w:lang w:val="en-US" w:eastAsia="zh-CN"/>
              </w:rPr>
              <w:t>*</w:t>
            </w:r>
          </w:p>
        </w:tc>
        <w:tc>
          <w:tcPr>
            <w:tcW w:w="833" w:type="pct"/>
            <w:noWrap w:val="0"/>
            <w:vAlign w:val="center"/>
          </w:tcPr>
          <w:p w14:paraId="30EC6BB1">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73222F19">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56AA466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0D88C5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3E60058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2DEE6A4D">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277FE2A0">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default"/>
                <w:bCs/>
                <w:sz w:val="21"/>
                <w:szCs w:val="21"/>
                <w:lang w:val="en-US" w:eastAsia="zh-CN"/>
              </w:rPr>
            </w:pPr>
            <w:r>
              <w:rPr>
                <w:rFonts w:hint="eastAsia"/>
                <w:b/>
                <w:bCs/>
                <w:color w:val="auto"/>
                <w:u w:val="single"/>
                <w:lang w:val="en-US" w:eastAsia="zh-CN"/>
              </w:rPr>
              <w:t>*</w:t>
            </w:r>
          </w:p>
        </w:tc>
        <w:tc>
          <w:tcPr>
            <w:tcW w:w="833" w:type="pct"/>
            <w:noWrap w:val="0"/>
            <w:vAlign w:val="center"/>
          </w:tcPr>
          <w:p w14:paraId="3234BAE8">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default"/>
                <w:bCs/>
                <w:sz w:val="21"/>
                <w:szCs w:val="21"/>
                <w:lang w:val="en-US" w:eastAsia="zh-CN"/>
              </w:rPr>
            </w:pPr>
            <w:r>
              <w:rPr>
                <w:rFonts w:hint="eastAsia"/>
                <w:b/>
                <w:bCs/>
                <w:color w:val="auto"/>
                <w:u w:val="single"/>
                <w:lang w:val="en-US" w:eastAsia="zh-CN"/>
              </w:rPr>
              <w:t>*</w:t>
            </w:r>
          </w:p>
        </w:tc>
        <w:tc>
          <w:tcPr>
            <w:tcW w:w="833" w:type="pct"/>
            <w:noWrap w:val="0"/>
            <w:vAlign w:val="center"/>
          </w:tcPr>
          <w:p w14:paraId="1A85FD67">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65B4BCA2">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0D47AF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1ED1960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5EED5A3B">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3FD6D0B6">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276CE72C">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default"/>
                <w:bCs/>
                <w:sz w:val="21"/>
                <w:szCs w:val="21"/>
                <w:lang w:val="en-US" w:eastAsia="zh-CN"/>
              </w:rPr>
            </w:pPr>
            <w:r>
              <w:rPr>
                <w:rFonts w:hint="eastAsia"/>
                <w:b/>
                <w:bCs/>
                <w:color w:val="auto"/>
                <w:u w:val="single"/>
                <w:lang w:val="en-US" w:eastAsia="zh-CN"/>
              </w:rPr>
              <w:t>*</w:t>
            </w:r>
          </w:p>
        </w:tc>
        <w:tc>
          <w:tcPr>
            <w:tcW w:w="833" w:type="pct"/>
            <w:noWrap w:val="0"/>
            <w:vAlign w:val="center"/>
          </w:tcPr>
          <w:p w14:paraId="2C4DCF80">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2A928B1E">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3DB248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7A4FFAB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76724EF1">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1F787A31">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7E8C186B">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1AE6AB89">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67EB31C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226834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45B0585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53033921">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eastAsia="宋体"/>
                <w:sz w:val="21"/>
                <w:szCs w:val="21"/>
                <w:lang w:eastAsia="zh-CN"/>
              </w:rPr>
            </w:pPr>
            <w:r>
              <w:rPr>
                <w:rFonts w:hint="eastAsia"/>
                <w:b/>
                <w:bCs/>
                <w:color w:val="auto"/>
                <w:u w:val="single"/>
                <w:lang w:val="en-US" w:eastAsia="zh-CN"/>
              </w:rPr>
              <w:t>*</w:t>
            </w:r>
          </w:p>
        </w:tc>
        <w:tc>
          <w:tcPr>
            <w:tcW w:w="833" w:type="pct"/>
            <w:noWrap w:val="0"/>
            <w:vAlign w:val="center"/>
          </w:tcPr>
          <w:p w14:paraId="325B6995">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sz w:val="21"/>
                <w:szCs w:val="21"/>
              </w:rPr>
            </w:pPr>
            <w:r>
              <w:rPr>
                <w:rFonts w:hint="eastAsia"/>
                <w:b/>
                <w:bCs/>
                <w:color w:val="auto"/>
                <w:u w:val="single"/>
                <w:lang w:val="en-US" w:eastAsia="zh-CN"/>
              </w:rPr>
              <w:t>*</w:t>
            </w:r>
          </w:p>
        </w:tc>
        <w:tc>
          <w:tcPr>
            <w:tcW w:w="833" w:type="pct"/>
            <w:noWrap w:val="0"/>
            <w:vAlign w:val="center"/>
          </w:tcPr>
          <w:p w14:paraId="3C90D3B4">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16F922DB">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2E6F765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476E6D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restart"/>
            <w:tcBorders>
              <w:left w:val="single" w:color="auto" w:sz="4" w:space="0"/>
            </w:tcBorders>
            <w:noWrap w:val="0"/>
            <w:vAlign w:val="center"/>
          </w:tcPr>
          <w:p w14:paraId="4F8C4774">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sz w:val="21"/>
                <w:szCs w:val="21"/>
                <w:lang w:val="en-US" w:eastAsia="zh-CN"/>
              </w:rPr>
            </w:pPr>
            <w:r>
              <w:rPr>
                <w:rFonts w:hint="eastAsia"/>
                <w:sz w:val="21"/>
                <w:szCs w:val="21"/>
                <w:lang w:val="en-US" w:eastAsia="zh-CN"/>
              </w:rPr>
              <w:t>西</w:t>
            </w:r>
          </w:p>
          <w:p w14:paraId="03D9F459">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r>
              <w:rPr>
                <w:sz w:val="21"/>
                <w:szCs w:val="21"/>
              </w:rPr>
              <w:t>厂</w:t>
            </w:r>
          </w:p>
          <w:p w14:paraId="5E77744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r>
              <w:rPr>
                <w:sz w:val="21"/>
                <w:szCs w:val="21"/>
              </w:rPr>
              <w:t>界</w:t>
            </w:r>
          </w:p>
        </w:tc>
        <w:tc>
          <w:tcPr>
            <w:tcW w:w="833" w:type="pct"/>
            <w:noWrap w:val="0"/>
            <w:vAlign w:val="center"/>
          </w:tcPr>
          <w:p w14:paraId="562B3D87">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auto"/>
              <w:rPr>
                <w:sz w:val="21"/>
                <w:szCs w:val="21"/>
              </w:rPr>
            </w:pPr>
            <w:r>
              <w:rPr>
                <w:rFonts w:hint="eastAsia"/>
                <w:b/>
                <w:bCs/>
                <w:color w:val="auto"/>
                <w:u w:val="single"/>
                <w:lang w:val="en-US" w:eastAsia="zh-CN"/>
              </w:rPr>
              <w:t>*</w:t>
            </w:r>
          </w:p>
        </w:tc>
        <w:tc>
          <w:tcPr>
            <w:tcW w:w="833" w:type="pct"/>
            <w:noWrap w:val="0"/>
            <w:vAlign w:val="center"/>
          </w:tcPr>
          <w:p w14:paraId="3E8815B0">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sz w:val="21"/>
                <w:szCs w:val="21"/>
              </w:rPr>
            </w:pPr>
            <w:r>
              <w:rPr>
                <w:rFonts w:hint="eastAsia"/>
                <w:b/>
                <w:bCs/>
                <w:color w:val="auto"/>
                <w:u w:val="single"/>
                <w:lang w:val="en-US" w:eastAsia="zh-CN"/>
              </w:rPr>
              <w:t>*</w:t>
            </w:r>
          </w:p>
        </w:tc>
        <w:tc>
          <w:tcPr>
            <w:tcW w:w="833" w:type="pct"/>
            <w:noWrap w:val="0"/>
            <w:vAlign w:val="center"/>
          </w:tcPr>
          <w:p w14:paraId="74A138F7">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418BD828">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2211" w:type="dxa"/>
            <w:vMerge w:val="restart"/>
            <w:tcBorders>
              <w:right w:val="single" w:color="auto" w:sz="4" w:space="0"/>
            </w:tcBorders>
            <w:noWrap w:val="0"/>
            <w:vAlign w:val="center"/>
          </w:tcPr>
          <w:p w14:paraId="7C79BC4B">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31.72 </w:t>
            </w:r>
          </w:p>
        </w:tc>
      </w:tr>
      <w:tr w14:paraId="489E8C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13BD940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5A1B0F9B">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auto"/>
              <w:rPr>
                <w:sz w:val="21"/>
                <w:szCs w:val="21"/>
              </w:rPr>
            </w:pPr>
            <w:r>
              <w:rPr>
                <w:rFonts w:hint="eastAsia"/>
                <w:b/>
                <w:bCs/>
                <w:color w:val="auto"/>
                <w:u w:val="single"/>
                <w:lang w:val="en-US" w:eastAsia="zh-CN"/>
              </w:rPr>
              <w:t>*</w:t>
            </w:r>
          </w:p>
        </w:tc>
        <w:tc>
          <w:tcPr>
            <w:tcW w:w="833" w:type="pct"/>
            <w:noWrap w:val="0"/>
            <w:vAlign w:val="center"/>
          </w:tcPr>
          <w:p w14:paraId="6BBFE9AB">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sz w:val="21"/>
                <w:szCs w:val="21"/>
              </w:rPr>
            </w:pPr>
            <w:r>
              <w:rPr>
                <w:rFonts w:hint="eastAsia"/>
                <w:b/>
                <w:bCs/>
                <w:color w:val="auto"/>
                <w:u w:val="single"/>
                <w:lang w:val="en-US" w:eastAsia="zh-CN"/>
              </w:rPr>
              <w:t>*</w:t>
            </w:r>
          </w:p>
        </w:tc>
        <w:tc>
          <w:tcPr>
            <w:tcW w:w="833" w:type="pct"/>
            <w:noWrap w:val="0"/>
            <w:vAlign w:val="center"/>
          </w:tcPr>
          <w:p w14:paraId="49205FA9">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40360021">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3B8AE0C9">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659169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5BBC25F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30D5983F">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4A308349">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rPr>
            </w:pPr>
            <w:r>
              <w:rPr>
                <w:rFonts w:hint="eastAsia"/>
                <w:b/>
                <w:bCs/>
                <w:color w:val="auto"/>
                <w:u w:val="single"/>
                <w:lang w:val="en-US" w:eastAsia="zh-CN"/>
              </w:rPr>
              <w:t>*</w:t>
            </w:r>
          </w:p>
        </w:tc>
        <w:tc>
          <w:tcPr>
            <w:tcW w:w="833" w:type="pct"/>
            <w:noWrap w:val="0"/>
            <w:vAlign w:val="center"/>
          </w:tcPr>
          <w:p w14:paraId="4D4B5FC6">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default"/>
                <w:bCs/>
                <w:sz w:val="21"/>
                <w:szCs w:val="21"/>
                <w:lang w:val="en-US" w:eastAsia="zh-CN"/>
              </w:rPr>
            </w:pPr>
            <w:r>
              <w:rPr>
                <w:rFonts w:hint="eastAsia"/>
                <w:b/>
                <w:bCs/>
                <w:color w:val="auto"/>
                <w:u w:val="single"/>
                <w:lang w:val="en-US" w:eastAsia="zh-CN"/>
              </w:rPr>
              <w:t>*</w:t>
            </w:r>
          </w:p>
        </w:tc>
        <w:tc>
          <w:tcPr>
            <w:tcW w:w="833" w:type="pct"/>
            <w:noWrap w:val="0"/>
            <w:vAlign w:val="center"/>
          </w:tcPr>
          <w:p w14:paraId="3AC9CAE1">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23AE7E2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1B7324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083B73E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76D3E3D8">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42D70E41">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rPr>
            </w:pPr>
            <w:r>
              <w:rPr>
                <w:rFonts w:hint="eastAsia"/>
                <w:b/>
                <w:bCs/>
                <w:color w:val="auto"/>
                <w:u w:val="single"/>
                <w:lang w:val="en-US" w:eastAsia="zh-CN"/>
              </w:rPr>
              <w:t>*</w:t>
            </w:r>
          </w:p>
        </w:tc>
        <w:tc>
          <w:tcPr>
            <w:tcW w:w="833" w:type="pct"/>
            <w:noWrap w:val="0"/>
            <w:vAlign w:val="center"/>
          </w:tcPr>
          <w:p w14:paraId="2C702746">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390C7583">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0581541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787E91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0B5F34D2">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558D697E">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54F50373">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rPr>
            </w:pPr>
            <w:r>
              <w:rPr>
                <w:rFonts w:hint="eastAsia"/>
                <w:b/>
                <w:bCs/>
                <w:color w:val="auto"/>
                <w:u w:val="single"/>
                <w:lang w:val="en-US" w:eastAsia="zh-CN"/>
              </w:rPr>
              <w:t>*</w:t>
            </w:r>
          </w:p>
        </w:tc>
        <w:tc>
          <w:tcPr>
            <w:tcW w:w="833" w:type="pct"/>
            <w:noWrap w:val="0"/>
            <w:vAlign w:val="center"/>
          </w:tcPr>
          <w:p w14:paraId="24E602F7">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4541C6BD">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471264A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7DD3E9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6FE53A9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73EB5139">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13E41090">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rPr>
            </w:pPr>
            <w:r>
              <w:rPr>
                <w:rFonts w:hint="eastAsia"/>
                <w:b/>
                <w:bCs/>
                <w:color w:val="auto"/>
                <w:u w:val="single"/>
                <w:lang w:val="en-US" w:eastAsia="zh-CN"/>
              </w:rPr>
              <w:t>*</w:t>
            </w:r>
          </w:p>
        </w:tc>
        <w:tc>
          <w:tcPr>
            <w:tcW w:w="833" w:type="pct"/>
            <w:noWrap w:val="0"/>
            <w:vAlign w:val="center"/>
          </w:tcPr>
          <w:p w14:paraId="2355CABE">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3D1027DC">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53F9DAE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4EA039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restart"/>
            <w:tcBorders>
              <w:left w:val="single" w:color="auto" w:sz="4" w:space="0"/>
            </w:tcBorders>
            <w:noWrap w:val="0"/>
            <w:vAlign w:val="center"/>
          </w:tcPr>
          <w:p w14:paraId="37B1E8F4">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sz w:val="21"/>
                <w:szCs w:val="21"/>
                <w:lang w:val="en-US" w:eastAsia="zh-CN"/>
              </w:rPr>
            </w:pPr>
            <w:r>
              <w:rPr>
                <w:rFonts w:hint="eastAsia"/>
                <w:sz w:val="21"/>
                <w:szCs w:val="21"/>
                <w:lang w:val="en-US" w:eastAsia="zh-CN"/>
              </w:rPr>
              <w:t>南</w:t>
            </w:r>
          </w:p>
          <w:p w14:paraId="029C250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r>
              <w:rPr>
                <w:sz w:val="21"/>
                <w:szCs w:val="21"/>
              </w:rPr>
              <w:t>厂</w:t>
            </w:r>
          </w:p>
          <w:p w14:paraId="2BE7A09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r>
              <w:rPr>
                <w:sz w:val="21"/>
                <w:szCs w:val="21"/>
              </w:rPr>
              <w:t>界</w:t>
            </w:r>
          </w:p>
        </w:tc>
        <w:tc>
          <w:tcPr>
            <w:tcW w:w="833" w:type="pct"/>
            <w:noWrap w:val="0"/>
            <w:vAlign w:val="center"/>
          </w:tcPr>
          <w:p w14:paraId="402B9107">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auto"/>
              <w:rPr>
                <w:sz w:val="21"/>
                <w:szCs w:val="21"/>
              </w:rPr>
            </w:pPr>
            <w:r>
              <w:rPr>
                <w:rFonts w:hint="eastAsia"/>
                <w:b/>
                <w:bCs/>
                <w:color w:val="auto"/>
                <w:u w:val="single"/>
                <w:lang w:val="en-US" w:eastAsia="zh-CN"/>
              </w:rPr>
              <w:t>*</w:t>
            </w:r>
          </w:p>
        </w:tc>
        <w:tc>
          <w:tcPr>
            <w:tcW w:w="833" w:type="pct"/>
            <w:noWrap w:val="0"/>
            <w:vAlign w:val="center"/>
          </w:tcPr>
          <w:p w14:paraId="1D2FDF95">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sz w:val="21"/>
                <w:szCs w:val="21"/>
              </w:rPr>
            </w:pPr>
            <w:r>
              <w:rPr>
                <w:rFonts w:hint="eastAsia"/>
                <w:b/>
                <w:bCs/>
                <w:color w:val="auto"/>
                <w:u w:val="single"/>
                <w:lang w:val="en-US" w:eastAsia="zh-CN"/>
              </w:rPr>
              <w:t>*</w:t>
            </w:r>
          </w:p>
        </w:tc>
        <w:tc>
          <w:tcPr>
            <w:tcW w:w="833" w:type="pct"/>
            <w:noWrap w:val="0"/>
            <w:vAlign w:val="center"/>
          </w:tcPr>
          <w:p w14:paraId="4CA468C1">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54F73CE4">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2211" w:type="dxa"/>
            <w:vMerge w:val="restart"/>
            <w:tcBorders>
              <w:right w:val="single" w:color="auto" w:sz="4" w:space="0"/>
            </w:tcBorders>
            <w:noWrap w:val="0"/>
            <w:vAlign w:val="center"/>
          </w:tcPr>
          <w:p w14:paraId="7C0E0B3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30.39 </w:t>
            </w:r>
          </w:p>
        </w:tc>
      </w:tr>
      <w:tr w14:paraId="1B25B2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13F263E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1FCB38A2">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auto"/>
              <w:rPr>
                <w:sz w:val="21"/>
                <w:szCs w:val="21"/>
              </w:rPr>
            </w:pPr>
            <w:r>
              <w:rPr>
                <w:rFonts w:hint="eastAsia"/>
                <w:b/>
                <w:bCs/>
                <w:color w:val="auto"/>
                <w:u w:val="single"/>
                <w:lang w:val="en-US" w:eastAsia="zh-CN"/>
              </w:rPr>
              <w:t>*</w:t>
            </w:r>
          </w:p>
        </w:tc>
        <w:tc>
          <w:tcPr>
            <w:tcW w:w="833" w:type="pct"/>
            <w:noWrap w:val="0"/>
            <w:vAlign w:val="center"/>
          </w:tcPr>
          <w:p w14:paraId="4E1DA506">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sz w:val="21"/>
                <w:szCs w:val="21"/>
              </w:rPr>
            </w:pPr>
            <w:r>
              <w:rPr>
                <w:rFonts w:hint="eastAsia"/>
                <w:b/>
                <w:bCs/>
                <w:color w:val="auto"/>
                <w:u w:val="single"/>
                <w:lang w:val="en-US" w:eastAsia="zh-CN"/>
              </w:rPr>
              <w:t>*</w:t>
            </w:r>
          </w:p>
        </w:tc>
        <w:tc>
          <w:tcPr>
            <w:tcW w:w="833" w:type="pct"/>
            <w:noWrap w:val="0"/>
            <w:vAlign w:val="center"/>
          </w:tcPr>
          <w:p w14:paraId="6CE61FCF">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0686CD5E">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0C56518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4095BC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4B37D1B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1D1E70B1">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12AADF5D">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rPr>
            </w:pPr>
            <w:r>
              <w:rPr>
                <w:rFonts w:hint="eastAsia"/>
                <w:b/>
                <w:bCs/>
                <w:color w:val="auto"/>
                <w:u w:val="single"/>
                <w:lang w:val="en-US" w:eastAsia="zh-CN"/>
              </w:rPr>
              <w:t>*</w:t>
            </w:r>
          </w:p>
        </w:tc>
        <w:tc>
          <w:tcPr>
            <w:tcW w:w="833" w:type="pct"/>
            <w:noWrap w:val="0"/>
            <w:vAlign w:val="center"/>
          </w:tcPr>
          <w:p w14:paraId="146062F3">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default"/>
                <w:bCs/>
                <w:sz w:val="21"/>
                <w:szCs w:val="21"/>
                <w:lang w:val="en-US" w:eastAsia="zh-CN"/>
              </w:rPr>
            </w:pPr>
            <w:r>
              <w:rPr>
                <w:rFonts w:hint="eastAsia"/>
                <w:b/>
                <w:bCs/>
                <w:color w:val="auto"/>
                <w:u w:val="single"/>
                <w:lang w:val="en-US" w:eastAsia="zh-CN"/>
              </w:rPr>
              <w:t>*</w:t>
            </w:r>
          </w:p>
        </w:tc>
        <w:tc>
          <w:tcPr>
            <w:tcW w:w="833" w:type="pct"/>
            <w:noWrap w:val="0"/>
            <w:vAlign w:val="center"/>
          </w:tcPr>
          <w:p w14:paraId="4E17278B">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18C177D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212FE6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3AC1780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26BD293D">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7893B078">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rPr>
            </w:pPr>
            <w:r>
              <w:rPr>
                <w:rFonts w:hint="eastAsia"/>
                <w:b/>
                <w:bCs/>
                <w:color w:val="auto"/>
                <w:u w:val="single"/>
                <w:lang w:val="en-US" w:eastAsia="zh-CN"/>
              </w:rPr>
              <w:t>*</w:t>
            </w:r>
          </w:p>
        </w:tc>
        <w:tc>
          <w:tcPr>
            <w:tcW w:w="833" w:type="pct"/>
            <w:noWrap w:val="0"/>
            <w:vAlign w:val="center"/>
          </w:tcPr>
          <w:p w14:paraId="1737CF73">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default"/>
                <w:bCs/>
                <w:sz w:val="21"/>
                <w:szCs w:val="21"/>
                <w:lang w:val="en-US" w:eastAsia="zh-CN"/>
              </w:rPr>
            </w:pPr>
            <w:r>
              <w:rPr>
                <w:rFonts w:hint="eastAsia"/>
                <w:b/>
                <w:bCs/>
                <w:color w:val="auto"/>
                <w:u w:val="single"/>
                <w:lang w:val="en-US" w:eastAsia="zh-CN"/>
              </w:rPr>
              <w:t>*</w:t>
            </w:r>
          </w:p>
        </w:tc>
        <w:tc>
          <w:tcPr>
            <w:tcW w:w="833" w:type="pct"/>
            <w:noWrap w:val="0"/>
            <w:vAlign w:val="center"/>
          </w:tcPr>
          <w:p w14:paraId="5432F9DC">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15538A9C">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500115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081D34FE">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24EDC31C">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362E4B3C">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rPr>
            </w:pPr>
            <w:r>
              <w:rPr>
                <w:rFonts w:hint="eastAsia"/>
                <w:b/>
                <w:bCs/>
                <w:color w:val="auto"/>
                <w:u w:val="single"/>
                <w:lang w:val="en-US" w:eastAsia="zh-CN"/>
              </w:rPr>
              <w:t>*</w:t>
            </w:r>
          </w:p>
        </w:tc>
        <w:tc>
          <w:tcPr>
            <w:tcW w:w="833" w:type="pct"/>
            <w:noWrap w:val="0"/>
            <w:vAlign w:val="center"/>
          </w:tcPr>
          <w:p w14:paraId="73AECF09">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6223895E">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6AF15BE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53F7AC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1E8D6929">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398FA8FD">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79802CB9">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rPr>
            </w:pPr>
            <w:r>
              <w:rPr>
                <w:rFonts w:hint="eastAsia"/>
                <w:b/>
                <w:bCs/>
                <w:color w:val="auto"/>
                <w:u w:val="single"/>
                <w:lang w:val="en-US" w:eastAsia="zh-CN"/>
              </w:rPr>
              <w:t>*</w:t>
            </w:r>
          </w:p>
        </w:tc>
        <w:tc>
          <w:tcPr>
            <w:tcW w:w="833" w:type="pct"/>
            <w:noWrap w:val="0"/>
            <w:vAlign w:val="center"/>
          </w:tcPr>
          <w:p w14:paraId="0C900B9B">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434AE56A">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565771B4">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p>
        </w:tc>
      </w:tr>
      <w:tr w14:paraId="107CC7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restart"/>
            <w:tcBorders>
              <w:left w:val="single" w:color="auto" w:sz="4" w:space="0"/>
            </w:tcBorders>
            <w:noWrap w:val="0"/>
            <w:vAlign w:val="center"/>
          </w:tcPr>
          <w:p w14:paraId="466667C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r>
              <w:rPr>
                <w:sz w:val="21"/>
                <w:szCs w:val="21"/>
              </w:rPr>
              <w:t>北</w:t>
            </w:r>
          </w:p>
          <w:p w14:paraId="1C1C1B74">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r>
              <w:rPr>
                <w:sz w:val="21"/>
                <w:szCs w:val="21"/>
              </w:rPr>
              <w:t>厂</w:t>
            </w:r>
          </w:p>
          <w:p w14:paraId="5707BB8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r>
              <w:rPr>
                <w:sz w:val="21"/>
                <w:szCs w:val="21"/>
              </w:rPr>
              <w:t>界</w:t>
            </w:r>
          </w:p>
        </w:tc>
        <w:tc>
          <w:tcPr>
            <w:tcW w:w="833" w:type="pct"/>
            <w:noWrap w:val="0"/>
            <w:vAlign w:val="center"/>
          </w:tcPr>
          <w:p w14:paraId="2AE667C2">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auto"/>
              <w:rPr>
                <w:sz w:val="21"/>
                <w:szCs w:val="21"/>
              </w:rPr>
            </w:pPr>
            <w:r>
              <w:rPr>
                <w:rFonts w:hint="eastAsia"/>
                <w:b/>
                <w:bCs/>
                <w:color w:val="auto"/>
                <w:u w:val="single"/>
                <w:lang w:val="en-US" w:eastAsia="zh-CN"/>
              </w:rPr>
              <w:t>*</w:t>
            </w:r>
          </w:p>
        </w:tc>
        <w:tc>
          <w:tcPr>
            <w:tcW w:w="833" w:type="pct"/>
            <w:noWrap w:val="0"/>
            <w:vAlign w:val="center"/>
          </w:tcPr>
          <w:p w14:paraId="2EF54794">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sz w:val="21"/>
                <w:szCs w:val="21"/>
              </w:rPr>
            </w:pPr>
            <w:r>
              <w:rPr>
                <w:rFonts w:hint="eastAsia"/>
                <w:b/>
                <w:bCs/>
                <w:color w:val="auto"/>
                <w:u w:val="single"/>
                <w:lang w:val="en-US" w:eastAsia="zh-CN"/>
              </w:rPr>
              <w:t>*</w:t>
            </w:r>
          </w:p>
        </w:tc>
        <w:tc>
          <w:tcPr>
            <w:tcW w:w="833" w:type="pct"/>
            <w:noWrap w:val="0"/>
            <w:vAlign w:val="center"/>
          </w:tcPr>
          <w:p w14:paraId="4DC8163B">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5973AD90">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2211" w:type="dxa"/>
            <w:vMerge w:val="restart"/>
            <w:tcBorders>
              <w:right w:val="single" w:color="auto" w:sz="4" w:space="0"/>
            </w:tcBorders>
            <w:noWrap w:val="0"/>
            <w:vAlign w:val="center"/>
          </w:tcPr>
          <w:p w14:paraId="6365346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24.69 </w:t>
            </w:r>
          </w:p>
        </w:tc>
      </w:tr>
      <w:tr w14:paraId="189800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5785C37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475334A1">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auto"/>
              <w:rPr>
                <w:sz w:val="21"/>
                <w:szCs w:val="21"/>
              </w:rPr>
            </w:pPr>
            <w:r>
              <w:rPr>
                <w:rFonts w:hint="eastAsia"/>
                <w:b/>
                <w:bCs/>
                <w:color w:val="auto"/>
                <w:u w:val="single"/>
                <w:lang w:val="en-US" w:eastAsia="zh-CN"/>
              </w:rPr>
              <w:t>*</w:t>
            </w:r>
          </w:p>
        </w:tc>
        <w:tc>
          <w:tcPr>
            <w:tcW w:w="833" w:type="pct"/>
            <w:noWrap w:val="0"/>
            <w:vAlign w:val="center"/>
          </w:tcPr>
          <w:p w14:paraId="4395961F">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sz w:val="21"/>
                <w:szCs w:val="21"/>
              </w:rPr>
            </w:pPr>
            <w:r>
              <w:rPr>
                <w:rFonts w:hint="eastAsia"/>
                <w:b/>
                <w:bCs/>
                <w:color w:val="auto"/>
                <w:u w:val="single"/>
                <w:lang w:val="en-US" w:eastAsia="zh-CN"/>
              </w:rPr>
              <w:t>*</w:t>
            </w:r>
          </w:p>
        </w:tc>
        <w:tc>
          <w:tcPr>
            <w:tcW w:w="833" w:type="pct"/>
            <w:noWrap w:val="0"/>
            <w:vAlign w:val="center"/>
          </w:tcPr>
          <w:p w14:paraId="299C3D85">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43370434">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3C4B05B2">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r>
      <w:tr w14:paraId="53BD47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5BA0CB2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1D949CFE">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5A6A7D52">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rPr>
            </w:pPr>
            <w:r>
              <w:rPr>
                <w:rFonts w:hint="eastAsia"/>
                <w:b/>
                <w:bCs/>
                <w:color w:val="auto"/>
                <w:u w:val="single"/>
                <w:lang w:val="en-US" w:eastAsia="zh-CN"/>
              </w:rPr>
              <w:t>*</w:t>
            </w:r>
          </w:p>
        </w:tc>
        <w:tc>
          <w:tcPr>
            <w:tcW w:w="833" w:type="pct"/>
            <w:noWrap w:val="0"/>
            <w:vAlign w:val="center"/>
          </w:tcPr>
          <w:p w14:paraId="274DBFB7">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default"/>
                <w:bCs/>
                <w:sz w:val="21"/>
                <w:szCs w:val="21"/>
                <w:lang w:val="en-US" w:eastAsia="zh-CN"/>
              </w:rPr>
            </w:pPr>
            <w:r>
              <w:rPr>
                <w:rFonts w:hint="eastAsia"/>
                <w:b/>
                <w:bCs/>
                <w:color w:val="auto"/>
                <w:u w:val="single"/>
                <w:lang w:val="en-US" w:eastAsia="zh-CN"/>
              </w:rPr>
              <w:t>*</w:t>
            </w:r>
          </w:p>
        </w:tc>
        <w:tc>
          <w:tcPr>
            <w:tcW w:w="833" w:type="pct"/>
            <w:noWrap w:val="0"/>
            <w:vAlign w:val="center"/>
          </w:tcPr>
          <w:p w14:paraId="63BCEF5A">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4BBE806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r>
      <w:tr w14:paraId="6EB929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27EE4884">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6F09937D">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3A3DA705">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rPr>
            </w:pPr>
            <w:r>
              <w:rPr>
                <w:rFonts w:hint="eastAsia"/>
                <w:b/>
                <w:bCs/>
                <w:color w:val="auto"/>
                <w:u w:val="single"/>
                <w:lang w:val="en-US" w:eastAsia="zh-CN"/>
              </w:rPr>
              <w:t>*</w:t>
            </w:r>
          </w:p>
        </w:tc>
        <w:tc>
          <w:tcPr>
            <w:tcW w:w="833" w:type="pct"/>
            <w:noWrap w:val="0"/>
            <w:vAlign w:val="center"/>
          </w:tcPr>
          <w:p w14:paraId="58C9FCD5">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default"/>
                <w:bCs/>
                <w:sz w:val="21"/>
                <w:szCs w:val="21"/>
                <w:lang w:val="en-US" w:eastAsia="zh-CN"/>
              </w:rPr>
            </w:pPr>
            <w:r>
              <w:rPr>
                <w:rFonts w:hint="eastAsia"/>
                <w:b/>
                <w:bCs/>
                <w:color w:val="auto"/>
                <w:u w:val="single"/>
                <w:lang w:val="en-US" w:eastAsia="zh-CN"/>
              </w:rPr>
              <w:t>*</w:t>
            </w:r>
          </w:p>
        </w:tc>
        <w:tc>
          <w:tcPr>
            <w:tcW w:w="833" w:type="pct"/>
            <w:noWrap w:val="0"/>
            <w:vAlign w:val="center"/>
          </w:tcPr>
          <w:p w14:paraId="4480DC91">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5C39AEF8">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r>
      <w:tr w14:paraId="62BD4E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3AF81BB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56CA362D">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465A8F21">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rPr>
            </w:pPr>
            <w:r>
              <w:rPr>
                <w:rFonts w:hint="eastAsia"/>
                <w:b/>
                <w:bCs/>
                <w:color w:val="auto"/>
                <w:u w:val="single"/>
                <w:lang w:val="en-US" w:eastAsia="zh-CN"/>
              </w:rPr>
              <w:t>*</w:t>
            </w:r>
          </w:p>
        </w:tc>
        <w:tc>
          <w:tcPr>
            <w:tcW w:w="833" w:type="pct"/>
            <w:noWrap w:val="0"/>
            <w:vAlign w:val="center"/>
          </w:tcPr>
          <w:p w14:paraId="0842E193">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1F9425FA">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right w:val="single" w:color="auto" w:sz="4" w:space="0"/>
            </w:tcBorders>
            <w:noWrap w:val="0"/>
            <w:vAlign w:val="center"/>
          </w:tcPr>
          <w:p w14:paraId="0036262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r>
      <w:tr w14:paraId="32A700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3" w:type="pct"/>
            <w:vMerge w:val="continue"/>
            <w:tcBorders>
              <w:left w:val="single" w:color="auto" w:sz="4" w:space="0"/>
            </w:tcBorders>
            <w:noWrap w:val="0"/>
            <w:vAlign w:val="center"/>
          </w:tcPr>
          <w:p w14:paraId="75D76DF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c>
          <w:tcPr>
            <w:tcW w:w="833" w:type="pct"/>
            <w:noWrap w:val="0"/>
            <w:vAlign w:val="center"/>
          </w:tcPr>
          <w:p w14:paraId="5E08D323">
            <w:pPr>
              <w:keepNext w:val="0"/>
              <w:keepLines w:val="0"/>
              <w:pageBreakBefore w:val="0"/>
              <w:widowControl/>
              <w:suppressLineNumbers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58244AF8">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rPr>
            </w:pPr>
            <w:r>
              <w:rPr>
                <w:rFonts w:hint="eastAsia"/>
                <w:b/>
                <w:bCs/>
                <w:color w:val="auto"/>
                <w:u w:val="single"/>
                <w:lang w:val="en-US" w:eastAsia="zh-CN"/>
              </w:rPr>
              <w:t>*</w:t>
            </w:r>
          </w:p>
        </w:tc>
        <w:tc>
          <w:tcPr>
            <w:tcW w:w="833" w:type="pct"/>
            <w:noWrap w:val="0"/>
            <w:vAlign w:val="center"/>
          </w:tcPr>
          <w:p w14:paraId="4681FD74">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noWrap w:val="0"/>
            <w:vAlign w:val="center"/>
          </w:tcPr>
          <w:p w14:paraId="29F77E4F">
            <w:pPr>
              <w:keepNext w:val="0"/>
              <w:keepLines w:val="0"/>
              <w:pageBreakBefore w:val="0"/>
              <w:widowControl w:val="0"/>
              <w:kinsoku/>
              <w:wordWrap/>
              <w:overflowPunct/>
              <w:topLinePunct w:val="0"/>
              <w:autoSpaceDE/>
              <w:autoSpaceDN/>
              <w:bidi w:val="0"/>
              <w:adjustRightInd w:val="0"/>
              <w:snapToGrid w:val="0"/>
              <w:ind w:firstLine="482" w:firstLineChars="200"/>
              <w:jc w:val="center"/>
              <w:textAlignment w:val="auto"/>
              <w:rPr>
                <w:rFonts w:hint="eastAsia"/>
                <w:bCs/>
                <w:sz w:val="21"/>
                <w:szCs w:val="21"/>
                <w:lang w:val="en-US" w:eastAsia="zh-CN"/>
              </w:rPr>
            </w:pPr>
            <w:r>
              <w:rPr>
                <w:rFonts w:hint="eastAsia"/>
                <w:b/>
                <w:bCs/>
                <w:color w:val="auto"/>
                <w:u w:val="single"/>
                <w:lang w:val="en-US" w:eastAsia="zh-CN"/>
              </w:rPr>
              <w:t>*</w:t>
            </w:r>
          </w:p>
        </w:tc>
        <w:tc>
          <w:tcPr>
            <w:tcW w:w="833" w:type="pct"/>
            <w:vMerge w:val="continue"/>
            <w:tcBorders>
              <w:bottom w:val="single" w:color="auto" w:sz="8" w:space="0"/>
              <w:right w:val="single" w:color="auto" w:sz="4" w:space="0"/>
            </w:tcBorders>
            <w:noWrap w:val="0"/>
            <w:vAlign w:val="center"/>
          </w:tcPr>
          <w:p w14:paraId="78D78E8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sz w:val="21"/>
                <w:szCs w:val="21"/>
              </w:rPr>
            </w:pPr>
          </w:p>
        </w:tc>
      </w:tr>
    </w:tbl>
    <w:p w14:paraId="08BB8C68">
      <w:pPr>
        <w:ind w:left="0" w:leftChars="0" w:firstLine="0" w:firstLineChars="0"/>
        <w:rPr>
          <w:rFonts w:hint="eastAsia"/>
          <w:color w:val="auto"/>
        </w:rPr>
      </w:pPr>
    </w:p>
    <w:p w14:paraId="4DA962C9">
      <w:pPr>
        <w:rPr>
          <w:color w:val="auto"/>
        </w:rPr>
        <w:sectPr>
          <w:pgSz w:w="16840" w:h="11907" w:orient="landscape"/>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14:paraId="30B6E89E">
      <w:pPr>
        <w:pStyle w:val="5"/>
        <w:bidi w:val="0"/>
        <w:rPr>
          <w:rFonts w:hint="eastAsia"/>
          <w:lang w:val="en-US" w:eastAsia="zh-CN"/>
        </w:rPr>
      </w:pPr>
      <w:r>
        <w:rPr>
          <w:rFonts w:hint="eastAsia"/>
          <w:lang w:val="en-US" w:eastAsia="zh-CN"/>
        </w:rPr>
        <w:t>固体废物</w:t>
      </w:r>
    </w:p>
    <w:p w14:paraId="778EA49B">
      <w:pPr>
        <w:bidi w:val="0"/>
        <w:rPr>
          <w:rFonts w:hint="eastAsia"/>
          <w:b/>
          <w:bCs/>
          <w:color w:val="auto"/>
          <w:u w:val="single"/>
          <w:lang w:val="en-US" w:eastAsia="zh-CN"/>
        </w:rPr>
      </w:pPr>
      <w:r>
        <w:rPr>
          <w:rFonts w:hint="eastAsia"/>
          <w:b/>
          <w:bCs/>
          <w:color w:val="auto"/>
          <w:u w:val="single"/>
          <w:lang w:val="en-US" w:eastAsia="zh-CN"/>
        </w:rPr>
        <w:t>*</w:t>
      </w:r>
    </w:p>
    <w:p w14:paraId="551822B5">
      <w:pPr>
        <w:bidi w:val="0"/>
        <w:rPr>
          <w:rFonts w:hint="default"/>
          <w:b/>
          <w:bCs/>
          <w:color w:val="auto"/>
          <w:u w:val="single"/>
          <w:lang w:val="en-US" w:eastAsia="zh-CN"/>
        </w:rPr>
      </w:pPr>
      <w:r>
        <w:rPr>
          <w:rFonts w:hint="eastAsia"/>
          <w:b/>
          <w:bCs/>
          <w:color w:val="auto"/>
          <w:u w:val="single"/>
          <w:lang w:val="en-US" w:eastAsia="zh-CN"/>
        </w:rPr>
        <w:t>*</w:t>
      </w:r>
    </w:p>
    <w:p w14:paraId="70AA8D79">
      <w:pPr>
        <w:bidi w:val="0"/>
        <w:rPr>
          <w:rFonts w:hint="eastAsia"/>
          <w:b/>
          <w:bCs/>
          <w:color w:val="auto"/>
          <w:u w:val="single"/>
          <w:lang w:val="en-US" w:eastAsia="zh-CN"/>
        </w:rPr>
      </w:pPr>
      <w:r>
        <w:rPr>
          <w:rFonts w:hint="eastAsia"/>
          <w:b/>
          <w:bCs/>
          <w:color w:val="auto"/>
          <w:u w:val="single"/>
          <w:lang w:val="en-US" w:eastAsia="zh-CN"/>
        </w:rPr>
        <w:t>*</w:t>
      </w:r>
    </w:p>
    <w:p w14:paraId="41424A7C">
      <w:pPr>
        <w:bidi w:val="0"/>
        <w:rPr>
          <w:rFonts w:hint="default"/>
          <w:b/>
          <w:bCs/>
          <w:color w:val="auto"/>
          <w:u w:val="single"/>
          <w:lang w:val="en-US" w:eastAsia="zh-CN"/>
        </w:rPr>
      </w:pPr>
      <w:r>
        <w:rPr>
          <w:rFonts w:hint="eastAsia"/>
          <w:b/>
          <w:bCs/>
          <w:color w:val="auto"/>
          <w:u w:val="single"/>
          <w:lang w:val="en-US" w:eastAsia="zh-CN"/>
        </w:rPr>
        <w:t>*</w:t>
      </w:r>
    </w:p>
    <w:p w14:paraId="3A2A7B08">
      <w:pPr>
        <w:bidi w:val="0"/>
        <w:rPr>
          <w:rFonts w:hint="eastAsia"/>
          <w:b/>
          <w:bCs/>
          <w:color w:val="auto"/>
          <w:u w:val="single"/>
          <w:lang w:val="en-US" w:eastAsia="zh-CN"/>
        </w:rPr>
      </w:pPr>
      <w:r>
        <w:rPr>
          <w:rFonts w:hint="eastAsia"/>
          <w:b/>
          <w:bCs/>
          <w:color w:val="auto"/>
          <w:u w:val="single"/>
          <w:lang w:val="en-US" w:eastAsia="zh-CN"/>
        </w:rPr>
        <w:t>*</w:t>
      </w:r>
    </w:p>
    <w:p w14:paraId="47A2E5E2">
      <w:pPr>
        <w:bidi w:val="0"/>
        <w:rPr>
          <w:rFonts w:hint="default"/>
          <w:b/>
          <w:bCs/>
          <w:color w:val="auto"/>
          <w:u w:val="single"/>
          <w:lang w:val="en-US" w:eastAsia="zh-CN"/>
        </w:rPr>
      </w:pPr>
      <w:r>
        <w:rPr>
          <w:rFonts w:hint="eastAsia"/>
          <w:b/>
          <w:bCs/>
          <w:color w:val="auto"/>
          <w:u w:val="single"/>
          <w:lang w:val="en-US" w:eastAsia="zh-CN"/>
        </w:rPr>
        <w:t>*</w:t>
      </w:r>
    </w:p>
    <w:p w14:paraId="65F7DF8F">
      <w:pPr>
        <w:bidi w:val="0"/>
        <w:rPr>
          <w:rFonts w:hint="eastAsia"/>
          <w:b/>
          <w:bCs/>
          <w:color w:val="auto"/>
          <w:u w:val="single"/>
          <w:lang w:val="en-US" w:eastAsia="zh-CN"/>
        </w:rPr>
      </w:pPr>
      <w:r>
        <w:rPr>
          <w:rFonts w:hint="eastAsia"/>
          <w:b/>
          <w:bCs/>
          <w:color w:val="auto"/>
          <w:u w:val="single"/>
          <w:lang w:val="en-US" w:eastAsia="zh-CN"/>
        </w:rPr>
        <w:t>*</w:t>
      </w:r>
    </w:p>
    <w:p w14:paraId="739765C0">
      <w:pPr>
        <w:bidi w:val="0"/>
        <w:rPr>
          <w:rFonts w:hint="default"/>
          <w:b/>
          <w:bCs/>
          <w:color w:val="auto"/>
          <w:u w:val="single"/>
          <w:lang w:val="en-US" w:eastAsia="zh-CN"/>
        </w:rPr>
      </w:pPr>
      <w:r>
        <w:rPr>
          <w:rFonts w:hint="eastAsia"/>
          <w:b/>
          <w:bCs/>
          <w:color w:val="auto"/>
          <w:u w:val="single"/>
          <w:lang w:val="en-US" w:eastAsia="zh-CN"/>
        </w:rPr>
        <w:t>*</w:t>
      </w:r>
    </w:p>
    <w:p w14:paraId="2EE62F4A">
      <w:pPr>
        <w:bidi w:val="0"/>
        <w:rPr>
          <w:rFonts w:hint="eastAsia"/>
          <w:b/>
          <w:bCs/>
          <w:color w:val="auto"/>
          <w:u w:val="single"/>
          <w:lang w:val="en-US" w:eastAsia="zh-CN"/>
        </w:rPr>
      </w:pPr>
      <w:r>
        <w:rPr>
          <w:rFonts w:hint="eastAsia"/>
          <w:b/>
          <w:bCs/>
          <w:color w:val="auto"/>
          <w:u w:val="single"/>
          <w:lang w:val="en-US" w:eastAsia="zh-CN"/>
        </w:rPr>
        <w:t>*</w:t>
      </w:r>
    </w:p>
    <w:p w14:paraId="70FB9F80">
      <w:pPr>
        <w:bidi w:val="0"/>
        <w:rPr>
          <w:rFonts w:hint="default"/>
          <w:b/>
          <w:bCs/>
          <w:color w:val="auto"/>
          <w:u w:val="single"/>
          <w:lang w:val="en-US" w:eastAsia="zh-CN"/>
        </w:rPr>
      </w:pPr>
      <w:r>
        <w:rPr>
          <w:rFonts w:hint="eastAsia"/>
          <w:b/>
          <w:bCs/>
          <w:color w:val="auto"/>
          <w:u w:val="single"/>
          <w:lang w:val="en-US" w:eastAsia="zh-CN"/>
        </w:rPr>
        <w:t>*</w:t>
      </w:r>
    </w:p>
    <w:p w14:paraId="6400D9A6">
      <w:pPr>
        <w:bidi w:val="0"/>
        <w:rPr>
          <w:rFonts w:hint="eastAsia"/>
          <w:b/>
          <w:bCs/>
          <w:color w:val="auto"/>
          <w:u w:val="single"/>
          <w:lang w:val="en-US" w:eastAsia="zh-CN"/>
        </w:rPr>
      </w:pPr>
      <w:r>
        <w:rPr>
          <w:rFonts w:hint="eastAsia"/>
          <w:b/>
          <w:bCs/>
          <w:color w:val="auto"/>
          <w:u w:val="single"/>
          <w:lang w:val="en-US" w:eastAsia="zh-CN"/>
        </w:rPr>
        <w:t>*</w:t>
      </w:r>
    </w:p>
    <w:p w14:paraId="2801538B">
      <w:pPr>
        <w:bidi w:val="0"/>
        <w:rPr>
          <w:rFonts w:hint="default"/>
          <w:b/>
          <w:bCs/>
          <w:color w:val="auto"/>
          <w:u w:val="single"/>
          <w:lang w:val="en-US" w:eastAsia="zh-CN"/>
        </w:rPr>
      </w:pPr>
      <w:r>
        <w:rPr>
          <w:rFonts w:hint="eastAsia"/>
          <w:b/>
          <w:bCs/>
          <w:color w:val="auto"/>
          <w:u w:val="single"/>
          <w:lang w:val="en-US" w:eastAsia="zh-CN"/>
        </w:rPr>
        <w:t>*</w:t>
      </w:r>
    </w:p>
    <w:p w14:paraId="6CB8341F">
      <w:pPr>
        <w:bidi w:val="0"/>
        <w:rPr>
          <w:rFonts w:hint="eastAsia"/>
          <w:b/>
          <w:bCs/>
          <w:color w:val="auto"/>
          <w:u w:val="single"/>
          <w:lang w:val="en-US" w:eastAsia="zh-CN"/>
        </w:rPr>
      </w:pPr>
      <w:r>
        <w:rPr>
          <w:rFonts w:hint="eastAsia"/>
          <w:b/>
          <w:bCs/>
          <w:color w:val="auto"/>
          <w:u w:val="single"/>
          <w:lang w:val="en-US" w:eastAsia="zh-CN"/>
        </w:rPr>
        <w:t>*</w:t>
      </w:r>
    </w:p>
    <w:p w14:paraId="1684901F">
      <w:pPr>
        <w:bidi w:val="0"/>
        <w:rPr>
          <w:rFonts w:hint="default"/>
          <w:b/>
          <w:bCs/>
          <w:color w:val="auto"/>
          <w:u w:val="single"/>
          <w:lang w:val="en-US" w:eastAsia="zh-CN"/>
        </w:rPr>
      </w:pPr>
      <w:r>
        <w:rPr>
          <w:rFonts w:hint="eastAsia"/>
          <w:b/>
          <w:bCs/>
          <w:color w:val="auto"/>
          <w:u w:val="single"/>
          <w:lang w:val="en-US" w:eastAsia="zh-CN"/>
        </w:rPr>
        <w:t>*</w:t>
      </w:r>
    </w:p>
    <w:p w14:paraId="2D50EE44">
      <w:pPr>
        <w:bidi w:val="0"/>
        <w:rPr>
          <w:rFonts w:hint="eastAsia"/>
          <w:b/>
          <w:bCs/>
          <w:color w:val="auto"/>
          <w:u w:val="single"/>
          <w:lang w:val="en-US" w:eastAsia="zh-CN"/>
        </w:rPr>
      </w:pPr>
      <w:r>
        <w:rPr>
          <w:rFonts w:hint="eastAsia"/>
          <w:b/>
          <w:bCs/>
          <w:color w:val="auto"/>
          <w:u w:val="single"/>
          <w:lang w:val="en-US" w:eastAsia="zh-CN"/>
        </w:rPr>
        <w:t>*</w:t>
      </w:r>
    </w:p>
    <w:p w14:paraId="5ADEAA1B">
      <w:pPr>
        <w:bidi w:val="0"/>
        <w:rPr>
          <w:rFonts w:hint="default"/>
          <w:b/>
          <w:bCs/>
          <w:color w:val="auto"/>
          <w:u w:val="single"/>
          <w:lang w:val="en-US" w:eastAsia="zh-CN"/>
        </w:rPr>
      </w:pPr>
      <w:r>
        <w:rPr>
          <w:rFonts w:hint="eastAsia"/>
          <w:b/>
          <w:bCs/>
          <w:color w:val="auto"/>
          <w:u w:val="single"/>
          <w:lang w:val="en-US" w:eastAsia="zh-CN"/>
        </w:rPr>
        <w:t>*</w:t>
      </w:r>
    </w:p>
    <w:p w14:paraId="01C060F8">
      <w:pPr>
        <w:bidi w:val="0"/>
        <w:rPr>
          <w:rFonts w:hint="eastAsia"/>
          <w:b/>
          <w:bCs/>
          <w:color w:val="auto"/>
          <w:u w:val="single"/>
          <w:lang w:val="en-US" w:eastAsia="zh-CN"/>
        </w:rPr>
      </w:pPr>
      <w:r>
        <w:rPr>
          <w:rFonts w:hint="eastAsia"/>
          <w:b/>
          <w:bCs/>
          <w:color w:val="auto"/>
          <w:u w:val="single"/>
          <w:lang w:val="en-US" w:eastAsia="zh-CN"/>
        </w:rPr>
        <w:t>*</w:t>
      </w:r>
    </w:p>
    <w:p w14:paraId="77EA3F60">
      <w:pPr>
        <w:bidi w:val="0"/>
        <w:rPr>
          <w:rFonts w:hint="default"/>
          <w:b/>
          <w:bCs/>
          <w:color w:val="auto"/>
          <w:u w:val="single"/>
          <w:lang w:val="en-US" w:eastAsia="zh-CN"/>
        </w:rPr>
      </w:pPr>
      <w:r>
        <w:rPr>
          <w:rFonts w:hint="eastAsia"/>
          <w:b/>
          <w:bCs/>
          <w:color w:val="auto"/>
          <w:u w:val="single"/>
          <w:lang w:val="en-US" w:eastAsia="zh-CN"/>
        </w:rPr>
        <w:t>*</w:t>
      </w:r>
    </w:p>
    <w:p w14:paraId="0BCA90DD">
      <w:pPr>
        <w:bidi w:val="0"/>
        <w:rPr>
          <w:rFonts w:hint="eastAsia"/>
          <w:b/>
          <w:bCs/>
          <w:color w:val="auto"/>
          <w:u w:val="single"/>
          <w:lang w:val="en-US" w:eastAsia="zh-CN"/>
        </w:rPr>
      </w:pPr>
      <w:r>
        <w:rPr>
          <w:rFonts w:hint="eastAsia"/>
          <w:b/>
          <w:bCs/>
          <w:color w:val="auto"/>
          <w:u w:val="single"/>
          <w:lang w:val="en-US" w:eastAsia="zh-CN"/>
        </w:rPr>
        <w:t>*</w:t>
      </w:r>
    </w:p>
    <w:p w14:paraId="5A5CB704">
      <w:pPr>
        <w:bidi w:val="0"/>
        <w:rPr>
          <w:rFonts w:hint="default"/>
          <w:b/>
          <w:bCs/>
          <w:color w:val="auto"/>
          <w:u w:val="single"/>
          <w:lang w:val="en-US" w:eastAsia="zh-CN"/>
        </w:rPr>
      </w:pPr>
      <w:r>
        <w:rPr>
          <w:rFonts w:hint="eastAsia"/>
          <w:b/>
          <w:bCs/>
          <w:color w:val="auto"/>
          <w:u w:val="single"/>
          <w:lang w:val="en-US" w:eastAsia="zh-CN"/>
        </w:rPr>
        <w:t>*</w:t>
      </w:r>
    </w:p>
    <w:p w14:paraId="305A66A5">
      <w:pPr>
        <w:bidi w:val="0"/>
        <w:rPr>
          <w:rFonts w:hint="eastAsia"/>
          <w:b/>
          <w:bCs/>
          <w:color w:val="auto"/>
          <w:u w:val="single"/>
          <w:lang w:val="en-US" w:eastAsia="zh-CN"/>
        </w:rPr>
      </w:pPr>
      <w:r>
        <w:rPr>
          <w:rFonts w:hint="eastAsia"/>
          <w:b/>
          <w:bCs/>
          <w:color w:val="auto"/>
          <w:u w:val="single"/>
          <w:lang w:val="en-US" w:eastAsia="zh-CN"/>
        </w:rPr>
        <w:t>*</w:t>
      </w:r>
    </w:p>
    <w:p w14:paraId="62961351">
      <w:pPr>
        <w:bidi w:val="0"/>
        <w:rPr>
          <w:rFonts w:hint="default"/>
          <w:b/>
          <w:bCs/>
          <w:color w:val="auto"/>
          <w:u w:val="single"/>
          <w:lang w:val="en-US" w:eastAsia="zh-CN"/>
        </w:rPr>
      </w:pPr>
      <w:r>
        <w:rPr>
          <w:rFonts w:hint="eastAsia"/>
          <w:b/>
          <w:bCs/>
          <w:color w:val="auto"/>
          <w:u w:val="single"/>
          <w:lang w:val="en-US" w:eastAsia="zh-CN"/>
        </w:rPr>
        <w:t>*</w:t>
      </w:r>
    </w:p>
    <w:p w14:paraId="483A22CE">
      <w:pPr>
        <w:bidi w:val="0"/>
        <w:rPr>
          <w:rFonts w:hint="eastAsia"/>
          <w:b/>
          <w:bCs/>
          <w:color w:val="auto"/>
          <w:u w:val="single"/>
          <w:lang w:val="en-US" w:eastAsia="zh-CN"/>
        </w:rPr>
      </w:pPr>
      <w:r>
        <w:rPr>
          <w:rFonts w:hint="eastAsia"/>
          <w:b/>
          <w:bCs/>
          <w:color w:val="auto"/>
          <w:u w:val="single"/>
          <w:lang w:val="en-US" w:eastAsia="zh-CN"/>
        </w:rPr>
        <w:t>*</w:t>
      </w:r>
    </w:p>
    <w:p w14:paraId="784C90CB">
      <w:pPr>
        <w:bidi w:val="0"/>
        <w:rPr>
          <w:rFonts w:hint="default"/>
          <w:b/>
          <w:bCs/>
          <w:color w:val="auto"/>
          <w:u w:val="single"/>
          <w:lang w:val="en-US" w:eastAsia="zh-CN"/>
        </w:rPr>
      </w:pPr>
      <w:r>
        <w:rPr>
          <w:rFonts w:hint="eastAsia"/>
          <w:b/>
          <w:bCs/>
          <w:color w:val="auto"/>
          <w:u w:val="single"/>
          <w:lang w:val="en-US" w:eastAsia="zh-CN"/>
        </w:rPr>
        <w:t>*</w:t>
      </w:r>
    </w:p>
    <w:p w14:paraId="310EB35D">
      <w:pPr>
        <w:bidi w:val="0"/>
        <w:rPr>
          <w:rFonts w:hint="eastAsia"/>
          <w:b/>
          <w:bCs/>
          <w:color w:val="auto"/>
          <w:u w:val="single"/>
          <w:lang w:val="en-US" w:eastAsia="zh-CN"/>
        </w:rPr>
      </w:pPr>
      <w:r>
        <w:rPr>
          <w:rFonts w:hint="eastAsia"/>
          <w:b/>
          <w:bCs/>
          <w:color w:val="auto"/>
          <w:u w:val="single"/>
          <w:lang w:val="en-US" w:eastAsia="zh-CN"/>
        </w:rPr>
        <w:t>*</w:t>
      </w:r>
    </w:p>
    <w:p w14:paraId="720D2362">
      <w:pPr>
        <w:bidi w:val="0"/>
        <w:rPr>
          <w:rFonts w:hint="default"/>
          <w:b/>
          <w:bCs/>
          <w:color w:val="auto"/>
          <w:u w:val="single"/>
          <w:lang w:val="en-US" w:eastAsia="zh-CN"/>
        </w:rPr>
      </w:pPr>
      <w:r>
        <w:rPr>
          <w:rFonts w:hint="eastAsia"/>
          <w:b/>
          <w:bCs/>
          <w:color w:val="auto"/>
          <w:u w:val="single"/>
          <w:lang w:val="en-US" w:eastAsia="zh-CN"/>
        </w:rPr>
        <w:t>*</w:t>
      </w:r>
    </w:p>
    <w:p w14:paraId="3EEAE99C">
      <w:pPr>
        <w:bidi w:val="0"/>
        <w:rPr>
          <w:rFonts w:hint="eastAsia"/>
          <w:b/>
          <w:bCs/>
          <w:color w:val="auto"/>
          <w:u w:val="single"/>
          <w:lang w:val="en-US" w:eastAsia="zh-CN"/>
        </w:rPr>
      </w:pPr>
      <w:r>
        <w:rPr>
          <w:rFonts w:hint="eastAsia"/>
          <w:b/>
          <w:bCs/>
          <w:color w:val="auto"/>
          <w:u w:val="single"/>
          <w:lang w:val="en-US" w:eastAsia="zh-CN"/>
        </w:rPr>
        <w:t>。</w:t>
      </w:r>
    </w:p>
    <w:p w14:paraId="3B6512D7">
      <w:pPr>
        <w:bidi w:val="0"/>
        <w:rPr>
          <w:rFonts w:hint="eastAsia"/>
          <w:color w:val="auto"/>
        </w:rPr>
      </w:pPr>
    </w:p>
    <w:p w14:paraId="6B45242B">
      <w:pPr>
        <w:bidi w:val="0"/>
        <w:rPr>
          <w:color w:val="auto"/>
        </w:rPr>
      </w:pPr>
      <w:r>
        <w:rPr>
          <w:color w:val="auto"/>
        </w:rPr>
        <w:t>综上所述，</w:t>
      </w:r>
      <w:r>
        <w:rPr>
          <w:rFonts w:hint="eastAsia"/>
          <w:color w:val="auto"/>
        </w:rPr>
        <w:t>本项目</w:t>
      </w:r>
      <w:r>
        <w:rPr>
          <w:color w:val="auto"/>
        </w:rPr>
        <w:t>营运期产生的各类废物情况见下表。</w:t>
      </w:r>
    </w:p>
    <w:p w14:paraId="28B3C46E">
      <w:pPr>
        <w:pStyle w:val="10"/>
        <w:bidi w:val="0"/>
        <w:rPr>
          <w:rFonts w:hint="eastAsia"/>
        </w:rPr>
      </w:pPr>
      <w:r>
        <w:rPr>
          <w:rFonts w:hint="eastAsia"/>
        </w:rPr>
        <w:t xml:space="preserve">表 </w:t>
      </w:r>
      <w:r>
        <w:rPr>
          <w:rFonts w:hint="eastAsia"/>
        </w:rPr>
        <w:fldChar w:fldCharType="begin"/>
      </w:r>
      <w:r>
        <w:rPr>
          <w:rFonts w:hint="eastAsia"/>
        </w:rPr>
        <w:instrText xml:space="preserve"> STYLEREF 2 \s </w:instrText>
      </w:r>
      <w:r>
        <w:rPr>
          <w:rFonts w:hint="eastAsia"/>
        </w:rPr>
        <w:fldChar w:fldCharType="separate"/>
      </w:r>
      <w:r>
        <w:rPr>
          <w:rFonts w:hint="eastAsia"/>
        </w:rPr>
        <w:t>4.6</w:t>
      </w:r>
      <w:r>
        <w:rPr>
          <w:rFonts w:hint="eastAsia"/>
        </w:rPr>
        <w:fldChar w:fldCharType="end"/>
      </w:r>
      <w:r>
        <w:rPr>
          <w:rFonts w:hint="eastAsia"/>
          <w:lang w:eastAsia="zh-CN"/>
        </w:rPr>
        <w:t>-</w:t>
      </w:r>
      <w:r>
        <w:rPr>
          <w:rFonts w:hint="eastAsia"/>
        </w:rPr>
        <w:fldChar w:fldCharType="begin"/>
      </w:r>
      <w:r>
        <w:rPr>
          <w:rFonts w:hint="eastAsia"/>
        </w:rPr>
        <w:instrText xml:space="preserve"> SEQ 表 \* ARABIC \s 2 </w:instrText>
      </w:r>
      <w:r>
        <w:rPr>
          <w:rFonts w:hint="eastAsia"/>
        </w:rPr>
        <w:fldChar w:fldCharType="separate"/>
      </w:r>
      <w:r>
        <w:rPr>
          <w:rFonts w:hint="eastAsia"/>
        </w:rPr>
        <w:t>16</w:t>
      </w:r>
      <w:r>
        <w:rPr>
          <w:rFonts w:hint="eastAsia"/>
        </w:rPr>
        <w:fldChar w:fldCharType="end"/>
      </w:r>
      <w:r>
        <w:rPr>
          <w:rFonts w:hint="eastAsia"/>
          <w:lang w:val="en-US" w:eastAsia="zh-CN"/>
        </w:rPr>
        <w:t xml:space="preserve"> </w:t>
      </w:r>
      <w:r>
        <w:rPr>
          <w:rFonts w:hint="eastAsia"/>
        </w:rPr>
        <w:t xml:space="preserve"> 固废产生情况及处置措施</w:t>
      </w:r>
    </w:p>
    <w:tbl>
      <w:tblPr>
        <w:tblStyle w:val="31"/>
        <w:tblW w:w="88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276"/>
        <w:gridCol w:w="1559"/>
        <w:gridCol w:w="1276"/>
        <w:gridCol w:w="1275"/>
        <w:gridCol w:w="2659"/>
      </w:tblGrid>
      <w:tr w14:paraId="5E544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3568FC5B">
            <w:pPr>
              <w:pStyle w:val="182"/>
              <w:bidi w:val="0"/>
              <w:rPr>
                <w:b/>
                <w:bCs/>
                <w:color w:val="auto"/>
                <w:u w:val="none"/>
              </w:rPr>
            </w:pPr>
            <w:r>
              <w:rPr>
                <w:rFonts w:hint="eastAsia"/>
                <w:b/>
                <w:bCs/>
                <w:color w:val="auto"/>
                <w:u w:val="none"/>
              </w:rPr>
              <w:t>序号</w:t>
            </w:r>
          </w:p>
        </w:tc>
        <w:tc>
          <w:tcPr>
            <w:tcW w:w="1276" w:type="dxa"/>
            <w:vAlign w:val="center"/>
          </w:tcPr>
          <w:p w14:paraId="4D1B0070">
            <w:pPr>
              <w:pStyle w:val="182"/>
              <w:bidi w:val="0"/>
              <w:rPr>
                <w:b/>
                <w:bCs/>
                <w:color w:val="auto"/>
                <w:u w:val="none"/>
              </w:rPr>
            </w:pPr>
            <w:r>
              <w:rPr>
                <w:rFonts w:hint="eastAsia"/>
                <w:b/>
                <w:bCs/>
                <w:color w:val="auto"/>
                <w:u w:val="none"/>
              </w:rPr>
              <w:t>污染物</w:t>
            </w:r>
          </w:p>
        </w:tc>
        <w:tc>
          <w:tcPr>
            <w:tcW w:w="1559" w:type="dxa"/>
            <w:vAlign w:val="center"/>
          </w:tcPr>
          <w:p w14:paraId="42F9BB95">
            <w:pPr>
              <w:pStyle w:val="182"/>
              <w:bidi w:val="0"/>
              <w:rPr>
                <w:b/>
                <w:bCs/>
                <w:color w:val="auto"/>
                <w:u w:val="none"/>
              </w:rPr>
            </w:pPr>
            <w:r>
              <w:rPr>
                <w:rFonts w:hint="eastAsia"/>
                <w:b/>
                <w:bCs/>
                <w:color w:val="auto"/>
                <w:u w:val="none"/>
              </w:rPr>
              <w:t>产生量（</w:t>
            </w:r>
            <w:r>
              <w:rPr>
                <w:b/>
                <w:bCs/>
                <w:color w:val="auto"/>
                <w:u w:val="none"/>
              </w:rPr>
              <w:t>t/a</w:t>
            </w:r>
            <w:r>
              <w:rPr>
                <w:rFonts w:hint="eastAsia"/>
                <w:b/>
                <w:bCs/>
                <w:color w:val="auto"/>
                <w:u w:val="none"/>
              </w:rPr>
              <w:t>）</w:t>
            </w:r>
          </w:p>
        </w:tc>
        <w:tc>
          <w:tcPr>
            <w:tcW w:w="1276" w:type="dxa"/>
            <w:vAlign w:val="center"/>
          </w:tcPr>
          <w:p w14:paraId="3FB767A7">
            <w:pPr>
              <w:pStyle w:val="182"/>
              <w:bidi w:val="0"/>
              <w:rPr>
                <w:b/>
                <w:bCs/>
                <w:color w:val="auto"/>
                <w:u w:val="none"/>
              </w:rPr>
            </w:pPr>
            <w:r>
              <w:rPr>
                <w:rFonts w:hint="eastAsia"/>
                <w:b/>
                <w:bCs/>
                <w:color w:val="auto"/>
                <w:u w:val="none"/>
              </w:rPr>
              <w:t>固废性质</w:t>
            </w:r>
          </w:p>
        </w:tc>
        <w:tc>
          <w:tcPr>
            <w:tcW w:w="1275" w:type="dxa"/>
            <w:vAlign w:val="center"/>
          </w:tcPr>
          <w:p w14:paraId="2D73788E">
            <w:pPr>
              <w:pStyle w:val="182"/>
              <w:bidi w:val="0"/>
              <w:rPr>
                <w:b/>
                <w:bCs/>
                <w:color w:val="auto"/>
                <w:u w:val="none"/>
              </w:rPr>
            </w:pPr>
            <w:r>
              <w:rPr>
                <w:rFonts w:hint="eastAsia"/>
                <w:b/>
                <w:bCs/>
                <w:color w:val="auto"/>
                <w:u w:val="none"/>
              </w:rPr>
              <w:t>产生位置</w:t>
            </w:r>
          </w:p>
        </w:tc>
        <w:tc>
          <w:tcPr>
            <w:tcW w:w="2659" w:type="dxa"/>
            <w:vAlign w:val="center"/>
          </w:tcPr>
          <w:p w14:paraId="70CD1C82">
            <w:pPr>
              <w:pStyle w:val="182"/>
              <w:bidi w:val="0"/>
              <w:rPr>
                <w:b/>
                <w:bCs/>
                <w:color w:val="auto"/>
                <w:u w:val="none"/>
              </w:rPr>
            </w:pPr>
            <w:r>
              <w:rPr>
                <w:rFonts w:hint="eastAsia"/>
                <w:b/>
                <w:bCs/>
                <w:color w:val="auto"/>
                <w:u w:val="none"/>
              </w:rPr>
              <w:t>处置措施</w:t>
            </w:r>
          </w:p>
        </w:tc>
      </w:tr>
      <w:tr w14:paraId="2979C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0FD72627">
            <w:pPr>
              <w:pStyle w:val="182"/>
              <w:bidi w:val="0"/>
              <w:rPr>
                <w:b w:val="0"/>
                <w:bCs w:val="0"/>
                <w:color w:val="auto"/>
                <w:u w:val="none"/>
              </w:rPr>
            </w:pPr>
            <w:r>
              <w:rPr>
                <w:rFonts w:hint="eastAsia"/>
                <w:b w:val="0"/>
                <w:bCs w:val="0"/>
                <w:color w:val="auto"/>
                <w:u w:val="none"/>
              </w:rPr>
              <w:t>1</w:t>
            </w:r>
          </w:p>
        </w:tc>
        <w:tc>
          <w:tcPr>
            <w:tcW w:w="1276" w:type="dxa"/>
            <w:vAlign w:val="center"/>
          </w:tcPr>
          <w:p w14:paraId="401F95E6">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1559" w:type="dxa"/>
            <w:vAlign w:val="center"/>
          </w:tcPr>
          <w:p w14:paraId="6399B617">
            <w:pPr>
              <w:bidi w:val="0"/>
              <w:ind w:firstLine="482" w:firstLineChars="200"/>
              <w:rPr>
                <w:rFonts w:hint="default"/>
                <w:b w:val="0"/>
                <w:bCs w:val="0"/>
                <w:color w:val="auto"/>
                <w:u w:val="none"/>
                <w:lang w:val="en-US"/>
              </w:rPr>
            </w:pPr>
            <w:r>
              <w:rPr>
                <w:rFonts w:hint="eastAsia"/>
                <w:b/>
                <w:bCs/>
                <w:color w:val="auto"/>
                <w:u w:val="single"/>
                <w:lang w:val="en-US" w:eastAsia="zh-CN"/>
              </w:rPr>
              <w:t>*</w:t>
            </w:r>
          </w:p>
        </w:tc>
        <w:tc>
          <w:tcPr>
            <w:tcW w:w="1276" w:type="dxa"/>
            <w:vAlign w:val="center"/>
          </w:tcPr>
          <w:p w14:paraId="07FC03D1">
            <w:pPr>
              <w:bidi w:val="0"/>
              <w:ind w:firstLine="482" w:firstLineChars="200"/>
              <w:rPr>
                <w:b w:val="0"/>
                <w:bCs w:val="0"/>
                <w:color w:val="auto"/>
                <w:u w:val="none"/>
              </w:rPr>
            </w:pPr>
            <w:r>
              <w:rPr>
                <w:rFonts w:hint="eastAsia"/>
                <w:b/>
                <w:bCs/>
                <w:color w:val="auto"/>
                <w:u w:val="single"/>
                <w:lang w:val="en-US" w:eastAsia="zh-CN"/>
              </w:rPr>
              <w:t>*</w:t>
            </w:r>
          </w:p>
        </w:tc>
        <w:tc>
          <w:tcPr>
            <w:tcW w:w="1275" w:type="dxa"/>
            <w:vAlign w:val="center"/>
          </w:tcPr>
          <w:p w14:paraId="3014DC5F">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2659" w:type="dxa"/>
            <w:vAlign w:val="center"/>
          </w:tcPr>
          <w:p w14:paraId="48BB9AE0">
            <w:pPr>
              <w:bidi w:val="0"/>
              <w:ind w:firstLine="482" w:firstLineChars="200"/>
              <w:rPr>
                <w:rFonts w:hint="eastAsia" w:eastAsia="宋体"/>
                <w:b w:val="0"/>
                <w:bCs w:val="0"/>
                <w:color w:val="auto"/>
                <w:u w:val="none"/>
                <w:lang w:eastAsia="zh-CN"/>
              </w:rPr>
            </w:pPr>
            <w:r>
              <w:rPr>
                <w:rFonts w:hint="eastAsia"/>
                <w:b/>
                <w:bCs/>
                <w:color w:val="auto"/>
                <w:u w:val="single"/>
                <w:lang w:val="en-US" w:eastAsia="zh-CN"/>
              </w:rPr>
              <w:t>*</w:t>
            </w:r>
          </w:p>
        </w:tc>
      </w:tr>
      <w:tr w14:paraId="45260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6" w:type="dxa"/>
            <w:vAlign w:val="center"/>
          </w:tcPr>
          <w:p w14:paraId="07220934">
            <w:pPr>
              <w:pStyle w:val="182"/>
              <w:bidi w:val="0"/>
              <w:rPr>
                <w:rFonts w:hint="eastAsia" w:eastAsia="宋体"/>
                <w:b w:val="0"/>
                <w:bCs w:val="0"/>
                <w:color w:val="auto"/>
                <w:u w:val="none"/>
                <w:lang w:val="en-US" w:eastAsia="zh-CN"/>
              </w:rPr>
            </w:pPr>
            <w:r>
              <w:rPr>
                <w:rFonts w:hint="eastAsia"/>
                <w:b w:val="0"/>
                <w:bCs w:val="0"/>
                <w:color w:val="auto"/>
                <w:u w:val="none"/>
                <w:lang w:val="en-US" w:eastAsia="zh-CN"/>
              </w:rPr>
              <w:t>2</w:t>
            </w:r>
          </w:p>
        </w:tc>
        <w:tc>
          <w:tcPr>
            <w:tcW w:w="1276" w:type="dxa"/>
            <w:vAlign w:val="center"/>
          </w:tcPr>
          <w:p w14:paraId="6343BE26">
            <w:pPr>
              <w:bidi w:val="0"/>
              <w:ind w:firstLine="482" w:firstLineChars="200"/>
              <w:rPr>
                <w:rFonts w:hint="default"/>
                <w:b w:val="0"/>
                <w:bCs w:val="0"/>
                <w:color w:val="auto"/>
                <w:u w:val="none"/>
                <w:lang w:val="en-US"/>
              </w:rPr>
            </w:pPr>
            <w:r>
              <w:rPr>
                <w:rFonts w:hint="eastAsia"/>
                <w:b/>
                <w:bCs/>
                <w:color w:val="auto"/>
                <w:u w:val="single"/>
                <w:lang w:val="en-US" w:eastAsia="zh-CN"/>
              </w:rPr>
              <w:t>*</w:t>
            </w:r>
          </w:p>
        </w:tc>
        <w:tc>
          <w:tcPr>
            <w:tcW w:w="1559" w:type="dxa"/>
            <w:vAlign w:val="center"/>
          </w:tcPr>
          <w:p w14:paraId="1F905C7F">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276" w:type="dxa"/>
            <w:vAlign w:val="center"/>
          </w:tcPr>
          <w:p w14:paraId="4DADE8E8">
            <w:pPr>
              <w:bidi w:val="0"/>
              <w:ind w:firstLine="482" w:firstLineChars="200"/>
              <w:rPr>
                <w:rFonts w:hint="eastAsia" w:eastAsia="宋体"/>
                <w:b w:val="0"/>
                <w:bCs w:val="0"/>
                <w:color w:val="auto"/>
                <w:u w:val="none"/>
                <w:lang w:eastAsia="zh-CN"/>
              </w:rPr>
            </w:pPr>
            <w:r>
              <w:rPr>
                <w:rFonts w:hint="eastAsia"/>
                <w:b/>
                <w:bCs/>
                <w:color w:val="auto"/>
                <w:u w:val="single"/>
                <w:lang w:val="en-US" w:eastAsia="zh-CN"/>
              </w:rPr>
              <w:t>*</w:t>
            </w:r>
          </w:p>
        </w:tc>
        <w:tc>
          <w:tcPr>
            <w:tcW w:w="1275" w:type="dxa"/>
            <w:vAlign w:val="center"/>
          </w:tcPr>
          <w:p w14:paraId="7B38BB03">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2659" w:type="dxa"/>
            <w:vAlign w:val="center"/>
          </w:tcPr>
          <w:p w14:paraId="30B7526A">
            <w:pPr>
              <w:bidi w:val="0"/>
              <w:ind w:firstLine="482" w:firstLineChars="200"/>
              <w:rPr>
                <w:rFonts w:hint="eastAsia"/>
                <w:b w:val="0"/>
                <w:bCs w:val="0"/>
                <w:color w:val="auto"/>
                <w:u w:val="none"/>
              </w:rPr>
            </w:pPr>
            <w:r>
              <w:rPr>
                <w:rFonts w:hint="eastAsia"/>
                <w:b/>
                <w:bCs/>
                <w:color w:val="auto"/>
                <w:u w:val="single"/>
                <w:lang w:val="en-US" w:eastAsia="zh-CN"/>
              </w:rPr>
              <w:t>*</w:t>
            </w:r>
          </w:p>
        </w:tc>
      </w:tr>
      <w:tr w14:paraId="07F16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6" w:type="dxa"/>
            <w:vAlign w:val="center"/>
          </w:tcPr>
          <w:p w14:paraId="71F1CB1F">
            <w:pPr>
              <w:pStyle w:val="182"/>
              <w:bidi w:val="0"/>
              <w:rPr>
                <w:rFonts w:hint="default"/>
                <w:b w:val="0"/>
                <w:bCs w:val="0"/>
                <w:color w:val="auto"/>
                <w:u w:val="none"/>
                <w:lang w:val="en-US" w:eastAsia="zh-CN"/>
              </w:rPr>
            </w:pPr>
            <w:r>
              <w:rPr>
                <w:rFonts w:hint="eastAsia"/>
                <w:b w:val="0"/>
                <w:bCs w:val="0"/>
                <w:color w:val="auto"/>
                <w:u w:val="none"/>
                <w:lang w:val="en-US" w:eastAsia="zh-CN"/>
              </w:rPr>
              <w:t>3</w:t>
            </w:r>
          </w:p>
        </w:tc>
        <w:tc>
          <w:tcPr>
            <w:tcW w:w="1276" w:type="dxa"/>
            <w:vAlign w:val="center"/>
          </w:tcPr>
          <w:p w14:paraId="0D935C26">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559" w:type="dxa"/>
            <w:vAlign w:val="center"/>
          </w:tcPr>
          <w:p w14:paraId="4262C3A7">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276" w:type="dxa"/>
            <w:vAlign w:val="center"/>
          </w:tcPr>
          <w:p w14:paraId="3036298F">
            <w:pPr>
              <w:bidi w:val="0"/>
              <w:ind w:firstLine="482" w:firstLineChars="200"/>
              <w:rPr>
                <w:rFonts w:hint="eastAsia"/>
                <w:b w:val="0"/>
                <w:bCs w:val="0"/>
                <w:color w:val="auto"/>
                <w:u w:val="none"/>
              </w:rPr>
            </w:pPr>
            <w:r>
              <w:rPr>
                <w:rFonts w:hint="eastAsia"/>
                <w:b/>
                <w:bCs/>
                <w:color w:val="auto"/>
                <w:u w:val="single"/>
                <w:lang w:val="en-US" w:eastAsia="zh-CN"/>
              </w:rPr>
              <w:t>*</w:t>
            </w:r>
          </w:p>
        </w:tc>
        <w:tc>
          <w:tcPr>
            <w:tcW w:w="1275" w:type="dxa"/>
            <w:vAlign w:val="center"/>
          </w:tcPr>
          <w:p w14:paraId="7AECABEB">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2659" w:type="dxa"/>
            <w:vAlign w:val="center"/>
          </w:tcPr>
          <w:p w14:paraId="6A99CB74">
            <w:pPr>
              <w:bidi w:val="0"/>
              <w:ind w:firstLine="482" w:firstLineChars="200"/>
              <w:rPr>
                <w:rFonts w:hint="eastAsia"/>
                <w:b w:val="0"/>
                <w:bCs w:val="0"/>
                <w:color w:val="auto"/>
                <w:u w:val="none"/>
              </w:rPr>
            </w:pPr>
            <w:r>
              <w:rPr>
                <w:rFonts w:hint="eastAsia"/>
                <w:b/>
                <w:bCs/>
                <w:color w:val="auto"/>
                <w:u w:val="single"/>
                <w:lang w:val="en-US" w:eastAsia="zh-CN"/>
              </w:rPr>
              <w:t>*</w:t>
            </w:r>
          </w:p>
        </w:tc>
      </w:tr>
      <w:tr w14:paraId="4C20A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6" w:type="dxa"/>
            <w:vAlign w:val="center"/>
          </w:tcPr>
          <w:p w14:paraId="32F3C66A">
            <w:pPr>
              <w:pStyle w:val="182"/>
              <w:bidi w:val="0"/>
              <w:rPr>
                <w:rFonts w:hint="default"/>
                <w:b w:val="0"/>
                <w:bCs w:val="0"/>
                <w:color w:val="auto"/>
                <w:u w:val="none"/>
                <w:lang w:val="en-US" w:eastAsia="zh-CN"/>
              </w:rPr>
            </w:pPr>
            <w:r>
              <w:rPr>
                <w:rFonts w:hint="eastAsia"/>
                <w:b w:val="0"/>
                <w:bCs w:val="0"/>
                <w:color w:val="auto"/>
                <w:u w:val="none"/>
                <w:lang w:val="en-US" w:eastAsia="zh-CN"/>
              </w:rPr>
              <w:t>4</w:t>
            </w:r>
          </w:p>
        </w:tc>
        <w:tc>
          <w:tcPr>
            <w:tcW w:w="1276" w:type="dxa"/>
            <w:vAlign w:val="center"/>
          </w:tcPr>
          <w:p w14:paraId="7A73E030">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559" w:type="dxa"/>
            <w:vAlign w:val="center"/>
          </w:tcPr>
          <w:p w14:paraId="7FF24CBC">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276" w:type="dxa"/>
            <w:vAlign w:val="center"/>
          </w:tcPr>
          <w:p w14:paraId="5FE2F2AB">
            <w:pPr>
              <w:bidi w:val="0"/>
              <w:ind w:firstLine="482" w:firstLineChars="200"/>
              <w:rPr>
                <w:rFonts w:hint="eastAsia"/>
                <w:b w:val="0"/>
                <w:bCs w:val="0"/>
                <w:color w:val="auto"/>
                <w:u w:val="none"/>
              </w:rPr>
            </w:pPr>
            <w:r>
              <w:rPr>
                <w:rFonts w:hint="eastAsia"/>
                <w:b/>
                <w:bCs/>
                <w:color w:val="auto"/>
                <w:u w:val="single"/>
                <w:lang w:val="en-US" w:eastAsia="zh-CN"/>
              </w:rPr>
              <w:t>*</w:t>
            </w:r>
          </w:p>
        </w:tc>
        <w:tc>
          <w:tcPr>
            <w:tcW w:w="1275" w:type="dxa"/>
            <w:vAlign w:val="center"/>
          </w:tcPr>
          <w:p w14:paraId="4646742B">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2659" w:type="dxa"/>
            <w:vAlign w:val="center"/>
          </w:tcPr>
          <w:p w14:paraId="382BC4BE">
            <w:pPr>
              <w:bidi w:val="0"/>
              <w:ind w:firstLine="482" w:firstLineChars="200"/>
              <w:rPr>
                <w:rFonts w:hint="eastAsia"/>
                <w:b w:val="0"/>
                <w:bCs w:val="0"/>
                <w:color w:val="auto"/>
                <w:u w:val="none"/>
              </w:rPr>
            </w:pPr>
            <w:r>
              <w:rPr>
                <w:rFonts w:hint="eastAsia"/>
                <w:b/>
                <w:bCs/>
                <w:color w:val="auto"/>
                <w:u w:val="single"/>
                <w:lang w:val="en-US" w:eastAsia="zh-CN"/>
              </w:rPr>
              <w:t>*</w:t>
            </w:r>
          </w:p>
        </w:tc>
      </w:tr>
      <w:tr w14:paraId="15272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006114C3">
            <w:pPr>
              <w:pStyle w:val="182"/>
              <w:bidi w:val="0"/>
              <w:rPr>
                <w:rFonts w:hint="eastAsia" w:eastAsia="宋体"/>
                <w:b w:val="0"/>
                <w:bCs w:val="0"/>
                <w:color w:val="auto"/>
                <w:u w:val="none"/>
                <w:lang w:eastAsia="zh-CN"/>
              </w:rPr>
            </w:pPr>
            <w:r>
              <w:rPr>
                <w:rFonts w:hint="eastAsia"/>
                <w:b w:val="0"/>
                <w:bCs w:val="0"/>
                <w:color w:val="auto"/>
                <w:u w:val="none"/>
                <w:lang w:val="en-US" w:eastAsia="zh-CN"/>
              </w:rPr>
              <w:t>5</w:t>
            </w:r>
          </w:p>
        </w:tc>
        <w:tc>
          <w:tcPr>
            <w:tcW w:w="1276" w:type="dxa"/>
            <w:vAlign w:val="center"/>
          </w:tcPr>
          <w:p w14:paraId="6B4E6BF3">
            <w:pPr>
              <w:bidi w:val="0"/>
              <w:ind w:firstLine="482" w:firstLineChars="200"/>
              <w:rPr>
                <w:rFonts w:hint="eastAsia" w:eastAsia="宋体"/>
                <w:b w:val="0"/>
                <w:bCs w:val="0"/>
                <w:color w:val="auto"/>
                <w:u w:val="none"/>
                <w:lang w:eastAsia="zh-CN"/>
              </w:rPr>
            </w:pPr>
            <w:r>
              <w:rPr>
                <w:rFonts w:hint="eastAsia"/>
                <w:b/>
                <w:bCs/>
                <w:color w:val="auto"/>
                <w:u w:val="single"/>
                <w:lang w:val="en-US" w:eastAsia="zh-CN"/>
              </w:rPr>
              <w:t>*</w:t>
            </w:r>
          </w:p>
        </w:tc>
        <w:tc>
          <w:tcPr>
            <w:tcW w:w="1559" w:type="dxa"/>
            <w:vAlign w:val="center"/>
          </w:tcPr>
          <w:p w14:paraId="3CCB3913">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1276" w:type="dxa"/>
            <w:vAlign w:val="center"/>
          </w:tcPr>
          <w:p w14:paraId="0784E446">
            <w:pPr>
              <w:bidi w:val="0"/>
              <w:ind w:firstLine="482" w:firstLineChars="200"/>
              <w:rPr>
                <w:b w:val="0"/>
                <w:bCs w:val="0"/>
                <w:color w:val="auto"/>
                <w:u w:val="none"/>
              </w:rPr>
            </w:pPr>
            <w:r>
              <w:rPr>
                <w:rFonts w:hint="eastAsia"/>
                <w:b/>
                <w:bCs/>
                <w:color w:val="auto"/>
                <w:u w:val="single"/>
                <w:lang w:val="en-US" w:eastAsia="zh-CN"/>
              </w:rPr>
              <w:t>*</w:t>
            </w:r>
          </w:p>
        </w:tc>
        <w:tc>
          <w:tcPr>
            <w:tcW w:w="1275" w:type="dxa"/>
            <w:vAlign w:val="center"/>
          </w:tcPr>
          <w:p w14:paraId="6D9D4FC2">
            <w:pPr>
              <w:bidi w:val="0"/>
              <w:ind w:firstLine="482" w:firstLineChars="200"/>
              <w:rPr>
                <w:rFonts w:hint="eastAsia" w:eastAsia="宋体"/>
                <w:b w:val="0"/>
                <w:bCs w:val="0"/>
                <w:color w:val="auto"/>
                <w:u w:val="none"/>
                <w:lang w:eastAsia="zh-CN"/>
              </w:rPr>
            </w:pPr>
            <w:r>
              <w:rPr>
                <w:rFonts w:hint="eastAsia"/>
                <w:b/>
                <w:bCs/>
                <w:color w:val="auto"/>
                <w:u w:val="single"/>
                <w:lang w:val="en-US" w:eastAsia="zh-CN"/>
              </w:rPr>
              <w:t>*</w:t>
            </w:r>
          </w:p>
        </w:tc>
        <w:tc>
          <w:tcPr>
            <w:tcW w:w="2659" w:type="dxa"/>
            <w:vAlign w:val="center"/>
          </w:tcPr>
          <w:p w14:paraId="313DF2AF">
            <w:pPr>
              <w:bidi w:val="0"/>
              <w:ind w:firstLine="482" w:firstLineChars="200"/>
              <w:rPr>
                <w:b w:val="0"/>
                <w:bCs w:val="0"/>
                <w:color w:val="auto"/>
                <w:u w:val="none"/>
              </w:rPr>
            </w:pPr>
            <w:r>
              <w:rPr>
                <w:rFonts w:hint="eastAsia"/>
                <w:b/>
                <w:bCs/>
                <w:color w:val="auto"/>
                <w:u w:val="single"/>
                <w:lang w:val="en-US" w:eastAsia="zh-CN"/>
              </w:rPr>
              <w:t>*</w:t>
            </w:r>
          </w:p>
        </w:tc>
      </w:tr>
      <w:tr w14:paraId="58043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399FFE8C">
            <w:pPr>
              <w:pStyle w:val="182"/>
              <w:bidi w:val="0"/>
              <w:rPr>
                <w:rFonts w:hint="default"/>
                <w:b w:val="0"/>
                <w:bCs w:val="0"/>
                <w:color w:val="auto"/>
                <w:u w:val="none"/>
                <w:lang w:val="en-US" w:eastAsia="zh-CN"/>
              </w:rPr>
            </w:pPr>
            <w:r>
              <w:rPr>
                <w:rFonts w:hint="eastAsia"/>
                <w:b w:val="0"/>
                <w:bCs w:val="0"/>
                <w:color w:val="auto"/>
                <w:u w:val="none"/>
                <w:lang w:val="en-US" w:eastAsia="zh-CN"/>
              </w:rPr>
              <w:t>6</w:t>
            </w:r>
          </w:p>
        </w:tc>
        <w:tc>
          <w:tcPr>
            <w:tcW w:w="1276" w:type="dxa"/>
            <w:vAlign w:val="center"/>
          </w:tcPr>
          <w:p w14:paraId="1F8AA1C1">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559" w:type="dxa"/>
            <w:vAlign w:val="center"/>
          </w:tcPr>
          <w:p w14:paraId="4D7C288D">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276" w:type="dxa"/>
            <w:vAlign w:val="center"/>
          </w:tcPr>
          <w:p w14:paraId="0F73551D">
            <w:pPr>
              <w:bidi w:val="0"/>
              <w:ind w:firstLine="482" w:firstLineChars="200"/>
              <w:rPr>
                <w:rFonts w:hint="eastAsia"/>
                <w:b w:val="0"/>
                <w:bCs w:val="0"/>
                <w:color w:val="auto"/>
                <w:u w:val="none"/>
              </w:rPr>
            </w:pPr>
            <w:r>
              <w:rPr>
                <w:rFonts w:hint="eastAsia"/>
                <w:b/>
                <w:bCs/>
                <w:color w:val="auto"/>
                <w:u w:val="single"/>
                <w:lang w:val="en-US" w:eastAsia="zh-CN"/>
              </w:rPr>
              <w:t>*</w:t>
            </w:r>
          </w:p>
        </w:tc>
        <w:tc>
          <w:tcPr>
            <w:tcW w:w="1275" w:type="dxa"/>
            <w:vAlign w:val="center"/>
          </w:tcPr>
          <w:p w14:paraId="5F575599">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2659" w:type="dxa"/>
            <w:vAlign w:val="center"/>
          </w:tcPr>
          <w:p w14:paraId="7BD9FEB3">
            <w:pPr>
              <w:bidi w:val="0"/>
              <w:ind w:firstLine="482" w:firstLineChars="200"/>
              <w:rPr>
                <w:rFonts w:hint="eastAsia"/>
                <w:b w:val="0"/>
                <w:bCs w:val="0"/>
                <w:color w:val="auto"/>
                <w:u w:val="none"/>
              </w:rPr>
            </w:pPr>
            <w:r>
              <w:rPr>
                <w:rFonts w:hint="eastAsia"/>
                <w:b/>
                <w:bCs/>
                <w:color w:val="auto"/>
                <w:u w:val="single"/>
                <w:lang w:val="en-US" w:eastAsia="zh-CN"/>
              </w:rPr>
              <w:t>*</w:t>
            </w:r>
          </w:p>
        </w:tc>
      </w:tr>
      <w:tr w14:paraId="32D2F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41E6A48D">
            <w:pPr>
              <w:pStyle w:val="182"/>
              <w:bidi w:val="0"/>
              <w:rPr>
                <w:rFonts w:hint="default" w:eastAsia="宋体"/>
                <w:b w:val="0"/>
                <w:bCs w:val="0"/>
                <w:color w:val="auto"/>
                <w:u w:val="none"/>
                <w:lang w:val="en-US" w:eastAsia="zh-CN"/>
              </w:rPr>
            </w:pPr>
            <w:r>
              <w:rPr>
                <w:rFonts w:hint="eastAsia"/>
                <w:b w:val="0"/>
                <w:bCs w:val="0"/>
                <w:color w:val="auto"/>
                <w:u w:val="none"/>
                <w:lang w:val="en-US" w:eastAsia="zh-CN"/>
              </w:rPr>
              <w:t>7</w:t>
            </w:r>
          </w:p>
        </w:tc>
        <w:tc>
          <w:tcPr>
            <w:tcW w:w="1276" w:type="dxa"/>
            <w:vAlign w:val="center"/>
          </w:tcPr>
          <w:p w14:paraId="000E1BEF">
            <w:pPr>
              <w:bidi w:val="0"/>
              <w:ind w:firstLine="482" w:firstLineChars="200"/>
              <w:rPr>
                <w:b w:val="0"/>
                <w:bCs w:val="0"/>
                <w:color w:val="auto"/>
                <w:u w:val="none"/>
              </w:rPr>
            </w:pPr>
            <w:r>
              <w:rPr>
                <w:rFonts w:hint="eastAsia"/>
                <w:b/>
                <w:bCs/>
                <w:color w:val="auto"/>
                <w:u w:val="single"/>
                <w:lang w:val="en-US" w:eastAsia="zh-CN"/>
              </w:rPr>
              <w:t>*</w:t>
            </w:r>
          </w:p>
        </w:tc>
        <w:tc>
          <w:tcPr>
            <w:tcW w:w="1559" w:type="dxa"/>
            <w:vAlign w:val="center"/>
          </w:tcPr>
          <w:p w14:paraId="791C63AC">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1276" w:type="dxa"/>
            <w:vAlign w:val="center"/>
          </w:tcPr>
          <w:p w14:paraId="67CB4889">
            <w:pPr>
              <w:bidi w:val="0"/>
              <w:ind w:firstLine="482" w:firstLineChars="200"/>
              <w:rPr>
                <w:b w:val="0"/>
                <w:bCs w:val="0"/>
                <w:color w:val="auto"/>
                <w:u w:val="none"/>
              </w:rPr>
            </w:pPr>
            <w:r>
              <w:rPr>
                <w:rFonts w:hint="eastAsia"/>
                <w:b/>
                <w:bCs/>
                <w:color w:val="auto"/>
                <w:u w:val="single"/>
                <w:lang w:val="en-US" w:eastAsia="zh-CN"/>
              </w:rPr>
              <w:t>*</w:t>
            </w:r>
          </w:p>
        </w:tc>
        <w:tc>
          <w:tcPr>
            <w:tcW w:w="1275" w:type="dxa"/>
            <w:vAlign w:val="center"/>
          </w:tcPr>
          <w:p w14:paraId="128E7FFA">
            <w:pPr>
              <w:bidi w:val="0"/>
              <w:ind w:firstLine="482" w:firstLineChars="200"/>
              <w:rPr>
                <w:b w:val="0"/>
                <w:bCs w:val="0"/>
                <w:color w:val="auto"/>
                <w:u w:val="none"/>
              </w:rPr>
            </w:pPr>
            <w:r>
              <w:rPr>
                <w:rFonts w:hint="eastAsia"/>
                <w:b/>
                <w:bCs/>
                <w:color w:val="auto"/>
                <w:u w:val="single"/>
                <w:lang w:val="en-US" w:eastAsia="zh-CN"/>
              </w:rPr>
              <w:t>*</w:t>
            </w:r>
          </w:p>
        </w:tc>
        <w:tc>
          <w:tcPr>
            <w:tcW w:w="2659" w:type="dxa"/>
            <w:vAlign w:val="center"/>
          </w:tcPr>
          <w:p w14:paraId="04B08B29">
            <w:pPr>
              <w:bidi w:val="0"/>
              <w:ind w:firstLine="482" w:firstLineChars="200"/>
              <w:rPr>
                <w:b w:val="0"/>
                <w:bCs w:val="0"/>
                <w:color w:val="auto"/>
                <w:u w:val="none"/>
              </w:rPr>
            </w:pPr>
            <w:r>
              <w:rPr>
                <w:rFonts w:hint="eastAsia"/>
                <w:b/>
                <w:bCs/>
                <w:color w:val="auto"/>
                <w:u w:val="single"/>
                <w:lang w:val="en-US" w:eastAsia="zh-CN"/>
              </w:rPr>
              <w:t>*</w:t>
            </w:r>
          </w:p>
        </w:tc>
      </w:tr>
      <w:tr w14:paraId="30B7E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6E4FAAB3">
            <w:pPr>
              <w:pStyle w:val="182"/>
              <w:bidi w:val="0"/>
              <w:rPr>
                <w:rFonts w:hint="default"/>
                <w:b w:val="0"/>
                <w:bCs w:val="0"/>
                <w:color w:val="auto"/>
                <w:u w:val="none"/>
                <w:lang w:val="en-US" w:eastAsia="zh-CN"/>
              </w:rPr>
            </w:pPr>
            <w:r>
              <w:rPr>
                <w:rFonts w:hint="eastAsia"/>
                <w:b w:val="0"/>
                <w:bCs w:val="0"/>
                <w:color w:val="auto"/>
                <w:u w:val="none"/>
                <w:lang w:val="en-US" w:eastAsia="zh-CN"/>
              </w:rPr>
              <w:t>8</w:t>
            </w:r>
          </w:p>
        </w:tc>
        <w:tc>
          <w:tcPr>
            <w:tcW w:w="1276" w:type="dxa"/>
            <w:vAlign w:val="center"/>
          </w:tcPr>
          <w:p w14:paraId="1768C997">
            <w:pPr>
              <w:bidi w:val="0"/>
              <w:ind w:firstLine="482" w:firstLineChars="200"/>
              <w:rPr>
                <w:rFonts w:hint="eastAsia" w:eastAsia="宋体"/>
                <w:b w:val="0"/>
                <w:bCs w:val="0"/>
                <w:color w:val="auto"/>
                <w:u w:val="none"/>
                <w:lang w:val="en-US" w:eastAsia="zh-CN"/>
              </w:rPr>
            </w:pPr>
            <w:r>
              <w:rPr>
                <w:rFonts w:hint="eastAsia"/>
                <w:b/>
                <w:bCs/>
                <w:color w:val="auto"/>
                <w:u w:val="single"/>
                <w:lang w:val="en-US" w:eastAsia="zh-CN"/>
              </w:rPr>
              <w:t>*</w:t>
            </w:r>
          </w:p>
        </w:tc>
        <w:tc>
          <w:tcPr>
            <w:tcW w:w="1559" w:type="dxa"/>
            <w:vAlign w:val="center"/>
          </w:tcPr>
          <w:p w14:paraId="264FDD24">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276" w:type="dxa"/>
            <w:vAlign w:val="center"/>
          </w:tcPr>
          <w:p w14:paraId="5BB27260">
            <w:pPr>
              <w:bidi w:val="0"/>
              <w:ind w:firstLine="482" w:firstLineChars="200"/>
              <w:rPr>
                <w:rFonts w:hint="eastAsia"/>
                <w:b w:val="0"/>
                <w:bCs w:val="0"/>
                <w:color w:val="auto"/>
                <w:u w:val="none"/>
              </w:rPr>
            </w:pPr>
            <w:r>
              <w:rPr>
                <w:rFonts w:hint="eastAsia"/>
                <w:b/>
                <w:bCs/>
                <w:color w:val="auto"/>
                <w:u w:val="single"/>
                <w:lang w:val="en-US" w:eastAsia="zh-CN"/>
              </w:rPr>
              <w:t>*</w:t>
            </w:r>
          </w:p>
        </w:tc>
        <w:tc>
          <w:tcPr>
            <w:tcW w:w="1275" w:type="dxa"/>
            <w:vAlign w:val="center"/>
          </w:tcPr>
          <w:p w14:paraId="71B3A2C9">
            <w:pPr>
              <w:bidi w:val="0"/>
              <w:ind w:firstLine="482" w:firstLineChars="200"/>
              <w:rPr>
                <w:rFonts w:hint="eastAsia"/>
                <w:b w:val="0"/>
                <w:bCs w:val="0"/>
                <w:color w:val="auto"/>
                <w:u w:val="none"/>
              </w:rPr>
            </w:pPr>
            <w:r>
              <w:rPr>
                <w:rFonts w:hint="eastAsia"/>
                <w:b/>
                <w:bCs/>
                <w:color w:val="auto"/>
                <w:u w:val="single"/>
                <w:lang w:val="en-US" w:eastAsia="zh-CN"/>
              </w:rPr>
              <w:t>*</w:t>
            </w:r>
          </w:p>
        </w:tc>
        <w:tc>
          <w:tcPr>
            <w:tcW w:w="2659" w:type="dxa"/>
            <w:vAlign w:val="center"/>
          </w:tcPr>
          <w:p w14:paraId="4093F075">
            <w:pPr>
              <w:bidi w:val="0"/>
              <w:ind w:firstLine="482" w:firstLineChars="200"/>
              <w:rPr>
                <w:rFonts w:hint="eastAsia"/>
                <w:b w:val="0"/>
                <w:bCs w:val="0"/>
                <w:color w:val="auto"/>
                <w:u w:val="none"/>
              </w:rPr>
            </w:pPr>
            <w:r>
              <w:rPr>
                <w:rFonts w:hint="eastAsia"/>
                <w:b/>
                <w:bCs/>
                <w:color w:val="auto"/>
                <w:u w:val="single"/>
                <w:lang w:val="en-US" w:eastAsia="zh-CN"/>
              </w:rPr>
              <w:t>*</w:t>
            </w:r>
          </w:p>
        </w:tc>
      </w:tr>
    </w:tbl>
    <w:p w14:paraId="2BC2466B">
      <w:pPr>
        <w:bidi w:val="0"/>
        <w:rPr>
          <w:rFonts w:hint="default" w:eastAsia="宋体"/>
          <w:b/>
          <w:bCs/>
          <w:color w:val="auto"/>
          <w:u w:val="none"/>
          <w:lang w:val="en-US" w:eastAsia="zh-CN"/>
        </w:rPr>
      </w:pPr>
      <w:r>
        <w:rPr>
          <w:rFonts w:hint="eastAsia"/>
          <w:b/>
          <w:bCs/>
          <w:color w:val="auto"/>
          <w:u w:val="none"/>
        </w:rPr>
        <w:t>本项目危险废物基本情况及贮存场所情况见</w:t>
      </w:r>
      <w:r>
        <w:rPr>
          <w:rFonts w:hint="eastAsia"/>
          <w:b/>
          <w:bCs/>
          <w:color w:val="auto"/>
          <w:u w:val="none"/>
          <w:lang w:val="en-US" w:eastAsia="zh-CN"/>
        </w:rPr>
        <w:t>下表。</w:t>
      </w:r>
    </w:p>
    <w:p w14:paraId="039F1607">
      <w:pPr>
        <w:pStyle w:val="10"/>
        <w:bidi w:val="0"/>
        <w:rPr>
          <w:rFonts w:hint="eastAsia"/>
        </w:rPr>
      </w:pPr>
      <w:r>
        <w:rPr>
          <w:rFonts w:hint="eastAsia"/>
        </w:rPr>
        <w:t xml:space="preserve">表 </w:t>
      </w:r>
      <w:r>
        <w:rPr>
          <w:rFonts w:hint="eastAsia"/>
        </w:rPr>
        <w:fldChar w:fldCharType="begin"/>
      </w:r>
      <w:r>
        <w:rPr>
          <w:rFonts w:hint="eastAsia"/>
        </w:rPr>
        <w:instrText xml:space="preserve"> STYLEREF 2 \s </w:instrText>
      </w:r>
      <w:r>
        <w:rPr>
          <w:rFonts w:hint="eastAsia"/>
        </w:rPr>
        <w:fldChar w:fldCharType="separate"/>
      </w:r>
      <w:r>
        <w:rPr>
          <w:rFonts w:hint="eastAsia"/>
        </w:rPr>
        <w:t>4.6</w:t>
      </w:r>
      <w:r>
        <w:rPr>
          <w:rFonts w:hint="eastAsia"/>
        </w:rPr>
        <w:fldChar w:fldCharType="end"/>
      </w:r>
      <w:r>
        <w:rPr>
          <w:rFonts w:hint="eastAsia"/>
          <w:lang w:eastAsia="zh-CN"/>
        </w:rPr>
        <w:t>-</w:t>
      </w:r>
      <w:r>
        <w:rPr>
          <w:rFonts w:hint="eastAsia"/>
        </w:rPr>
        <w:fldChar w:fldCharType="begin"/>
      </w:r>
      <w:r>
        <w:rPr>
          <w:rFonts w:hint="eastAsia"/>
        </w:rPr>
        <w:instrText xml:space="preserve"> SEQ 表 \* ARABIC \s 2 </w:instrText>
      </w:r>
      <w:r>
        <w:rPr>
          <w:rFonts w:hint="eastAsia"/>
        </w:rPr>
        <w:fldChar w:fldCharType="separate"/>
      </w:r>
      <w:r>
        <w:rPr>
          <w:rFonts w:hint="eastAsia"/>
        </w:rPr>
        <w:t>17</w:t>
      </w:r>
      <w:r>
        <w:rPr>
          <w:rFonts w:hint="eastAsia"/>
        </w:rPr>
        <w:fldChar w:fldCharType="end"/>
      </w:r>
      <w:r>
        <w:rPr>
          <w:rFonts w:hint="eastAsia"/>
          <w:lang w:val="en-US" w:eastAsia="zh-CN"/>
        </w:rPr>
        <w:t xml:space="preserve">  </w:t>
      </w:r>
      <w:r>
        <w:rPr>
          <w:rFonts w:hint="eastAsia"/>
        </w:rPr>
        <w:t>危险废物汇总表</w:t>
      </w:r>
    </w:p>
    <w:tbl>
      <w:tblPr>
        <w:tblStyle w:val="31"/>
        <w:tblW w:w="505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841"/>
        <w:gridCol w:w="985"/>
        <w:gridCol w:w="871"/>
        <w:gridCol w:w="834"/>
        <w:gridCol w:w="628"/>
        <w:gridCol w:w="680"/>
        <w:gridCol w:w="680"/>
        <w:gridCol w:w="629"/>
        <w:gridCol w:w="504"/>
        <w:gridCol w:w="1174"/>
      </w:tblGrid>
      <w:tr w14:paraId="77880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5" w:hRule="atLeast"/>
          <w:jc w:val="center"/>
        </w:trPr>
        <w:tc>
          <w:tcPr>
            <w:tcW w:w="461" w:type="pct"/>
            <w:vAlign w:val="center"/>
          </w:tcPr>
          <w:p w14:paraId="1EF8EC79">
            <w:pPr>
              <w:pStyle w:val="182"/>
              <w:bidi w:val="0"/>
              <w:rPr>
                <w:b/>
                <w:bCs/>
                <w:color w:val="auto"/>
                <w:u w:val="none"/>
              </w:rPr>
            </w:pPr>
            <w:r>
              <w:rPr>
                <w:rFonts w:hint="eastAsia"/>
                <w:b/>
                <w:bCs/>
                <w:color w:val="auto"/>
                <w:u w:val="none"/>
              </w:rPr>
              <w:t>危险废物名称</w:t>
            </w:r>
          </w:p>
        </w:tc>
        <w:tc>
          <w:tcPr>
            <w:tcW w:w="487" w:type="pct"/>
            <w:vAlign w:val="center"/>
          </w:tcPr>
          <w:p w14:paraId="5ABDB5C8">
            <w:pPr>
              <w:pStyle w:val="182"/>
              <w:bidi w:val="0"/>
              <w:rPr>
                <w:b/>
                <w:bCs/>
                <w:color w:val="auto"/>
                <w:u w:val="none"/>
              </w:rPr>
            </w:pPr>
            <w:r>
              <w:rPr>
                <w:rFonts w:hint="eastAsia"/>
                <w:b/>
                <w:bCs/>
                <w:color w:val="auto"/>
                <w:u w:val="none"/>
              </w:rPr>
              <w:t>危险废物类别</w:t>
            </w:r>
          </w:p>
        </w:tc>
        <w:tc>
          <w:tcPr>
            <w:tcW w:w="571" w:type="pct"/>
            <w:vAlign w:val="center"/>
          </w:tcPr>
          <w:p w14:paraId="43DD6F85">
            <w:pPr>
              <w:pStyle w:val="182"/>
              <w:bidi w:val="0"/>
              <w:rPr>
                <w:b/>
                <w:bCs/>
                <w:color w:val="auto"/>
                <w:u w:val="none"/>
              </w:rPr>
            </w:pPr>
            <w:r>
              <w:rPr>
                <w:rFonts w:hint="eastAsia"/>
                <w:b/>
                <w:bCs/>
                <w:color w:val="auto"/>
                <w:u w:val="none"/>
              </w:rPr>
              <w:t>危险废物代码</w:t>
            </w:r>
          </w:p>
        </w:tc>
        <w:tc>
          <w:tcPr>
            <w:tcW w:w="505" w:type="pct"/>
            <w:vAlign w:val="center"/>
          </w:tcPr>
          <w:p w14:paraId="2F5A6898">
            <w:pPr>
              <w:pStyle w:val="182"/>
              <w:bidi w:val="0"/>
              <w:rPr>
                <w:b/>
                <w:bCs/>
                <w:color w:val="auto"/>
                <w:u w:val="none"/>
              </w:rPr>
            </w:pPr>
            <w:r>
              <w:rPr>
                <w:rFonts w:hint="eastAsia"/>
                <w:b/>
                <w:bCs/>
                <w:color w:val="auto"/>
                <w:u w:val="none"/>
              </w:rPr>
              <w:t>产生量（</w:t>
            </w:r>
            <w:r>
              <w:rPr>
                <w:b/>
                <w:bCs/>
                <w:color w:val="auto"/>
                <w:u w:val="none"/>
              </w:rPr>
              <w:t>t/a</w:t>
            </w:r>
            <w:r>
              <w:rPr>
                <w:rFonts w:hint="eastAsia"/>
                <w:b/>
                <w:bCs/>
                <w:color w:val="auto"/>
                <w:u w:val="none"/>
              </w:rPr>
              <w:t>）</w:t>
            </w:r>
          </w:p>
        </w:tc>
        <w:tc>
          <w:tcPr>
            <w:tcW w:w="483" w:type="pct"/>
            <w:vAlign w:val="center"/>
          </w:tcPr>
          <w:p w14:paraId="355552A1">
            <w:pPr>
              <w:pStyle w:val="182"/>
              <w:bidi w:val="0"/>
              <w:rPr>
                <w:b/>
                <w:bCs/>
                <w:color w:val="auto"/>
                <w:u w:val="none"/>
              </w:rPr>
            </w:pPr>
            <w:r>
              <w:rPr>
                <w:rFonts w:hint="eastAsia"/>
                <w:b/>
                <w:bCs/>
                <w:color w:val="auto"/>
                <w:u w:val="none"/>
              </w:rPr>
              <w:t>产生工序及装置</w:t>
            </w:r>
          </w:p>
        </w:tc>
        <w:tc>
          <w:tcPr>
            <w:tcW w:w="364" w:type="pct"/>
            <w:vAlign w:val="center"/>
          </w:tcPr>
          <w:p w14:paraId="7F7BBE7E">
            <w:pPr>
              <w:pStyle w:val="182"/>
              <w:bidi w:val="0"/>
              <w:rPr>
                <w:b/>
                <w:bCs/>
                <w:color w:val="auto"/>
                <w:u w:val="none"/>
              </w:rPr>
            </w:pPr>
            <w:r>
              <w:rPr>
                <w:rFonts w:hint="eastAsia"/>
                <w:b/>
                <w:bCs/>
                <w:color w:val="auto"/>
                <w:u w:val="none"/>
              </w:rPr>
              <w:t>形态</w:t>
            </w:r>
          </w:p>
        </w:tc>
        <w:tc>
          <w:tcPr>
            <w:tcW w:w="394" w:type="pct"/>
            <w:vAlign w:val="center"/>
          </w:tcPr>
          <w:p w14:paraId="513D123C">
            <w:pPr>
              <w:pStyle w:val="182"/>
              <w:bidi w:val="0"/>
              <w:rPr>
                <w:b/>
                <w:bCs/>
                <w:color w:val="auto"/>
                <w:u w:val="none"/>
              </w:rPr>
            </w:pPr>
            <w:r>
              <w:rPr>
                <w:rFonts w:hint="eastAsia"/>
                <w:b/>
                <w:bCs/>
                <w:color w:val="auto"/>
                <w:u w:val="none"/>
              </w:rPr>
              <w:t>主要成分</w:t>
            </w:r>
          </w:p>
        </w:tc>
        <w:tc>
          <w:tcPr>
            <w:tcW w:w="394" w:type="pct"/>
            <w:vAlign w:val="center"/>
          </w:tcPr>
          <w:p w14:paraId="1883F2CC">
            <w:pPr>
              <w:pStyle w:val="182"/>
              <w:bidi w:val="0"/>
              <w:rPr>
                <w:b/>
                <w:bCs/>
                <w:color w:val="auto"/>
                <w:u w:val="none"/>
              </w:rPr>
            </w:pPr>
            <w:r>
              <w:rPr>
                <w:rFonts w:hint="eastAsia"/>
                <w:b/>
                <w:bCs/>
                <w:color w:val="auto"/>
                <w:u w:val="none"/>
              </w:rPr>
              <w:t>有害成分</w:t>
            </w:r>
          </w:p>
        </w:tc>
        <w:tc>
          <w:tcPr>
            <w:tcW w:w="364" w:type="pct"/>
            <w:vAlign w:val="center"/>
          </w:tcPr>
          <w:p w14:paraId="68AC0756">
            <w:pPr>
              <w:pStyle w:val="182"/>
              <w:bidi w:val="0"/>
              <w:rPr>
                <w:b/>
                <w:bCs/>
                <w:color w:val="auto"/>
                <w:u w:val="none"/>
              </w:rPr>
            </w:pPr>
            <w:r>
              <w:rPr>
                <w:rFonts w:hint="eastAsia"/>
                <w:b/>
                <w:bCs/>
                <w:color w:val="auto"/>
                <w:u w:val="none"/>
              </w:rPr>
              <w:t>产废周期</w:t>
            </w:r>
          </w:p>
        </w:tc>
        <w:tc>
          <w:tcPr>
            <w:tcW w:w="292" w:type="pct"/>
            <w:vAlign w:val="center"/>
          </w:tcPr>
          <w:p w14:paraId="77BE1029">
            <w:pPr>
              <w:pStyle w:val="182"/>
              <w:bidi w:val="0"/>
              <w:rPr>
                <w:b/>
                <w:bCs/>
                <w:color w:val="auto"/>
                <w:u w:val="none"/>
              </w:rPr>
            </w:pPr>
            <w:r>
              <w:rPr>
                <w:rFonts w:hint="eastAsia"/>
                <w:b/>
                <w:bCs/>
                <w:color w:val="auto"/>
                <w:u w:val="none"/>
              </w:rPr>
              <w:t>危险</w:t>
            </w:r>
          </w:p>
          <w:p w14:paraId="2555466D">
            <w:pPr>
              <w:pStyle w:val="182"/>
              <w:bidi w:val="0"/>
              <w:rPr>
                <w:b/>
                <w:bCs/>
                <w:color w:val="auto"/>
                <w:u w:val="none"/>
              </w:rPr>
            </w:pPr>
            <w:r>
              <w:rPr>
                <w:rFonts w:hint="eastAsia"/>
                <w:b/>
                <w:bCs/>
                <w:color w:val="auto"/>
                <w:u w:val="none"/>
              </w:rPr>
              <w:t>特性</w:t>
            </w:r>
          </w:p>
        </w:tc>
        <w:tc>
          <w:tcPr>
            <w:tcW w:w="680" w:type="pct"/>
            <w:vAlign w:val="center"/>
          </w:tcPr>
          <w:p w14:paraId="6C10B8BE">
            <w:pPr>
              <w:pStyle w:val="182"/>
              <w:bidi w:val="0"/>
              <w:rPr>
                <w:b/>
                <w:bCs/>
                <w:color w:val="auto"/>
                <w:u w:val="none"/>
              </w:rPr>
            </w:pPr>
            <w:r>
              <w:rPr>
                <w:rFonts w:hint="eastAsia"/>
                <w:b/>
                <w:bCs/>
                <w:color w:val="auto"/>
                <w:u w:val="none"/>
              </w:rPr>
              <w:t>污染防治措施</w:t>
            </w:r>
          </w:p>
        </w:tc>
      </w:tr>
      <w:tr w14:paraId="581F6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461" w:type="pct"/>
            <w:vAlign w:val="center"/>
          </w:tcPr>
          <w:p w14:paraId="47F71253">
            <w:pPr>
              <w:bidi w:val="0"/>
              <w:ind w:firstLine="482" w:firstLineChars="200"/>
              <w:rPr>
                <w:rFonts w:hint="eastAsia" w:eastAsia="宋体"/>
                <w:b w:val="0"/>
                <w:bCs w:val="0"/>
                <w:color w:val="auto"/>
                <w:u w:val="none"/>
                <w:lang w:eastAsia="zh-CN"/>
              </w:rPr>
            </w:pPr>
            <w:r>
              <w:rPr>
                <w:rFonts w:hint="eastAsia"/>
                <w:b/>
                <w:bCs/>
                <w:color w:val="auto"/>
                <w:u w:val="single"/>
                <w:lang w:val="en-US" w:eastAsia="zh-CN"/>
              </w:rPr>
              <w:t>*</w:t>
            </w:r>
          </w:p>
        </w:tc>
        <w:tc>
          <w:tcPr>
            <w:tcW w:w="487" w:type="pct"/>
            <w:vAlign w:val="center"/>
          </w:tcPr>
          <w:p w14:paraId="264D6344">
            <w:pPr>
              <w:bidi w:val="0"/>
              <w:ind w:firstLine="482" w:firstLineChars="200"/>
              <w:rPr>
                <w:b w:val="0"/>
                <w:bCs w:val="0"/>
                <w:color w:val="auto"/>
                <w:u w:val="none"/>
              </w:rPr>
            </w:pPr>
            <w:r>
              <w:rPr>
                <w:rFonts w:hint="eastAsia"/>
                <w:b/>
                <w:bCs/>
                <w:color w:val="auto"/>
                <w:u w:val="single"/>
                <w:lang w:val="en-US" w:eastAsia="zh-CN"/>
              </w:rPr>
              <w:t>*</w:t>
            </w:r>
          </w:p>
        </w:tc>
        <w:tc>
          <w:tcPr>
            <w:tcW w:w="571" w:type="pct"/>
            <w:vAlign w:val="center"/>
          </w:tcPr>
          <w:p w14:paraId="10B842DA">
            <w:pPr>
              <w:bidi w:val="0"/>
              <w:ind w:firstLine="482" w:firstLineChars="200"/>
              <w:rPr>
                <w:b w:val="0"/>
                <w:bCs w:val="0"/>
                <w:color w:val="auto"/>
                <w:u w:val="none"/>
              </w:rPr>
            </w:pPr>
            <w:r>
              <w:rPr>
                <w:rFonts w:hint="eastAsia"/>
                <w:b/>
                <w:bCs/>
                <w:color w:val="auto"/>
                <w:u w:val="single"/>
                <w:lang w:val="en-US" w:eastAsia="zh-CN"/>
              </w:rPr>
              <w:t>*</w:t>
            </w:r>
          </w:p>
        </w:tc>
        <w:tc>
          <w:tcPr>
            <w:tcW w:w="871" w:type="dxa"/>
            <w:vAlign w:val="center"/>
          </w:tcPr>
          <w:p w14:paraId="2A929FD6">
            <w:pPr>
              <w:bidi w:val="0"/>
              <w:ind w:firstLine="482" w:firstLineChars="200"/>
              <w:rPr>
                <w:rFonts w:hint="default"/>
                <w:b w:val="0"/>
                <w:bCs w:val="0"/>
                <w:color w:val="auto"/>
                <w:u w:val="none"/>
                <w:lang w:val="en-US"/>
              </w:rPr>
            </w:pPr>
            <w:r>
              <w:rPr>
                <w:rFonts w:hint="eastAsia"/>
                <w:b/>
                <w:bCs/>
                <w:color w:val="auto"/>
                <w:u w:val="single"/>
                <w:lang w:val="en-US" w:eastAsia="zh-CN"/>
              </w:rPr>
              <w:t>*</w:t>
            </w:r>
          </w:p>
        </w:tc>
        <w:tc>
          <w:tcPr>
            <w:tcW w:w="483" w:type="pct"/>
            <w:vAlign w:val="center"/>
          </w:tcPr>
          <w:p w14:paraId="68BFC61D">
            <w:pPr>
              <w:bidi w:val="0"/>
              <w:ind w:firstLine="482" w:firstLineChars="200"/>
              <w:rPr>
                <w:b w:val="0"/>
                <w:bCs w:val="0"/>
                <w:color w:val="auto"/>
                <w:u w:val="none"/>
              </w:rPr>
            </w:pPr>
            <w:r>
              <w:rPr>
                <w:rFonts w:hint="eastAsia"/>
                <w:b/>
                <w:bCs/>
                <w:color w:val="auto"/>
                <w:u w:val="single"/>
                <w:lang w:val="en-US" w:eastAsia="zh-CN"/>
              </w:rPr>
              <w:t>*</w:t>
            </w:r>
          </w:p>
        </w:tc>
        <w:tc>
          <w:tcPr>
            <w:tcW w:w="364" w:type="pct"/>
            <w:vAlign w:val="center"/>
          </w:tcPr>
          <w:p w14:paraId="70B1CAA8">
            <w:pPr>
              <w:bidi w:val="0"/>
              <w:ind w:firstLine="482" w:firstLineChars="200"/>
              <w:rPr>
                <w:b w:val="0"/>
                <w:bCs w:val="0"/>
                <w:color w:val="auto"/>
                <w:u w:val="none"/>
              </w:rPr>
            </w:pPr>
            <w:r>
              <w:rPr>
                <w:rFonts w:hint="eastAsia"/>
                <w:b/>
                <w:bCs/>
                <w:color w:val="auto"/>
                <w:u w:val="single"/>
                <w:lang w:val="en-US" w:eastAsia="zh-CN"/>
              </w:rPr>
              <w:t>*</w:t>
            </w:r>
          </w:p>
        </w:tc>
        <w:tc>
          <w:tcPr>
            <w:tcW w:w="394" w:type="pct"/>
            <w:vAlign w:val="center"/>
          </w:tcPr>
          <w:p w14:paraId="1422C3FA">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394" w:type="pct"/>
            <w:vAlign w:val="center"/>
          </w:tcPr>
          <w:p w14:paraId="6C605274">
            <w:pPr>
              <w:bidi w:val="0"/>
              <w:ind w:firstLine="482" w:firstLineChars="200"/>
              <w:rPr>
                <w:rFonts w:hint="default"/>
                <w:b w:val="0"/>
                <w:bCs w:val="0"/>
                <w:color w:val="auto"/>
                <w:u w:val="none"/>
                <w:lang w:val="en-US"/>
              </w:rPr>
            </w:pPr>
            <w:r>
              <w:rPr>
                <w:rFonts w:hint="eastAsia"/>
                <w:b/>
                <w:bCs/>
                <w:color w:val="auto"/>
                <w:u w:val="single"/>
                <w:lang w:val="en-US" w:eastAsia="zh-CN"/>
              </w:rPr>
              <w:t>*</w:t>
            </w:r>
          </w:p>
        </w:tc>
        <w:tc>
          <w:tcPr>
            <w:tcW w:w="364" w:type="pct"/>
            <w:vAlign w:val="center"/>
          </w:tcPr>
          <w:p w14:paraId="3F3C3563">
            <w:pPr>
              <w:bidi w:val="0"/>
              <w:ind w:firstLine="482" w:firstLineChars="200"/>
              <w:rPr>
                <w:b w:val="0"/>
                <w:bCs w:val="0"/>
                <w:color w:val="auto"/>
                <w:u w:val="none"/>
              </w:rPr>
            </w:pPr>
            <w:r>
              <w:rPr>
                <w:rFonts w:hint="eastAsia"/>
                <w:b/>
                <w:bCs/>
                <w:color w:val="auto"/>
                <w:u w:val="single"/>
                <w:lang w:val="en-US" w:eastAsia="zh-CN"/>
              </w:rPr>
              <w:t>*</w:t>
            </w:r>
          </w:p>
        </w:tc>
        <w:tc>
          <w:tcPr>
            <w:tcW w:w="292" w:type="pct"/>
            <w:vAlign w:val="center"/>
          </w:tcPr>
          <w:p w14:paraId="3F464911">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680" w:type="pct"/>
            <w:vAlign w:val="center"/>
          </w:tcPr>
          <w:p w14:paraId="4EFAA13C">
            <w:pPr>
              <w:pStyle w:val="182"/>
              <w:bidi w:val="0"/>
              <w:rPr>
                <w:b w:val="0"/>
                <w:bCs w:val="0"/>
                <w:color w:val="auto"/>
                <w:u w:val="none"/>
              </w:rPr>
            </w:pPr>
            <w:r>
              <w:rPr>
                <w:rFonts w:hint="eastAsia"/>
                <w:b w:val="0"/>
                <w:bCs w:val="0"/>
                <w:color w:val="auto"/>
                <w:u w:val="none"/>
                <w:lang w:val="en-US" w:eastAsia="zh-CN"/>
              </w:rPr>
              <w:t>现有厂区</w:t>
            </w:r>
            <w:r>
              <w:rPr>
                <w:rFonts w:hint="eastAsia"/>
                <w:color w:val="auto"/>
              </w:rPr>
              <w:t>TS003危险废物暂存间</w:t>
            </w:r>
            <w:r>
              <w:rPr>
                <w:rFonts w:hint="eastAsia"/>
                <w:b w:val="0"/>
                <w:bCs w:val="0"/>
                <w:color w:val="auto"/>
                <w:u w:val="none"/>
              </w:rPr>
              <w:t>，交由有资质单位进行处置。</w:t>
            </w:r>
          </w:p>
        </w:tc>
      </w:tr>
      <w:tr w14:paraId="7DE60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461" w:type="pct"/>
            <w:vAlign w:val="center"/>
          </w:tcPr>
          <w:p w14:paraId="79169F88">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487" w:type="pct"/>
            <w:vAlign w:val="center"/>
          </w:tcPr>
          <w:p w14:paraId="76386DC8">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571" w:type="pct"/>
            <w:vAlign w:val="center"/>
          </w:tcPr>
          <w:p w14:paraId="35DCBD2F">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871" w:type="dxa"/>
            <w:vAlign w:val="center"/>
          </w:tcPr>
          <w:p w14:paraId="7F663178">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483" w:type="pct"/>
            <w:vAlign w:val="center"/>
          </w:tcPr>
          <w:p w14:paraId="59C7207A">
            <w:pPr>
              <w:bidi w:val="0"/>
              <w:ind w:firstLine="482" w:firstLineChars="200"/>
              <w:rPr>
                <w:rFonts w:hint="eastAsia" w:eastAsia="宋体"/>
                <w:b w:val="0"/>
                <w:bCs w:val="0"/>
                <w:color w:val="auto"/>
                <w:u w:val="none"/>
                <w:lang w:val="en-US" w:eastAsia="zh-CN"/>
              </w:rPr>
            </w:pPr>
            <w:r>
              <w:rPr>
                <w:rFonts w:hint="eastAsia"/>
                <w:b/>
                <w:bCs/>
                <w:color w:val="auto"/>
                <w:u w:val="single"/>
                <w:lang w:val="en-US" w:eastAsia="zh-CN"/>
              </w:rPr>
              <w:t>*</w:t>
            </w:r>
          </w:p>
        </w:tc>
        <w:tc>
          <w:tcPr>
            <w:tcW w:w="364" w:type="pct"/>
            <w:vAlign w:val="center"/>
          </w:tcPr>
          <w:p w14:paraId="7A92EF08">
            <w:pPr>
              <w:bidi w:val="0"/>
              <w:ind w:firstLine="482" w:firstLineChars="200"/>
              <w:rPr>
                <w:rFonts w:hint="eastAsia" w:eastAsia="宋体"/>
                <w:b w:val="0"/>
                <w:bCs w:val="0"/>
                <w:color w:val="auto"/>
                <w:u w:val="none"/>
                <w:lang w:val="en-US" w:eastAsia="zh-CN"/>
              </w:rPr>
            </w:pPr>
            <w:r>
              <w:rPr>
                <w:rFonts w:hint="eastAsia"/>
                <w:b/>
                <w:bCs/>
                <w:color w:val="auto"/>
                <w:u w:val="single"/>
                <w:lang w:val="en-US" w:eastAsia="zh-CN"/>
              </w:rPr>
              <w:t>*</w:t>
            </w:r>
          </w:p>
        </w:tc>
        <w:tc>
          <w:tcPr>
            <w:tcW w:w="680" w:type="dxa"/>
            <w:vAlign w:val="center"/>
          </w:tcPr>
          <w:p w14:paraId="442772FB">
            <w:pPr>
              <w:bidi w:val="0"/>
              <w:ind w:firstLine="482" w:firstLineChars="200"/>
              <w:rPr>
                <w:rFonts w:hint="default"/>
                <w:b w:val="0"/>
                <w:bCs w:val="0"/>
                <w:color w:val="auto"/>
                <w:u w:val="none"/>
                <w:lang w:val="en-US"/>
              </w:rPr>
            </w:pPr>
            <w:r>
              <w:rPr>
                <w:rFonts w:hint="eastAsia"/>
                <w:b/>
                <w:bCs/>
                <w:color w:val="auto"/>
                <w:u w:val="single"/>
                <w:lang w:val="en-US" w:eastAsia="zh-CN"/>
              </w:rPr>
              <w:t>*</w:t>
            </w:r>
          </w:p>
        </w:tc>
        <w:tc>
          <w:tcPr>
            <w:tcW w:w="680" w:type="dxa"/>
            <w:vAlign w:val="center"/>
          </w:tcPr>
          <w:p w14:paraId="5812C571">
            <w:pPr>
              <w:bidi w:val="0"/>
              <w:ind w:firstLine="482" w:firstLineChars="200"/>
              <w:rPr>
                <w:rFonts w:hint="eastAsia"/>
                <w:b w:val="0"/>
                <w:bCs w:val="0"/>
                <w:color w:val="auto"/>
                <w:u w:val="none"/>
              </w:rPr>
            </w:pPr>
            <w:r>
              <w:rPr>
                <w:rFonts w:hint="eastAsia"/>
                <w:b/>
                <w:bCs/>
                <w:color w:val="auto"/>
                <w:u w:val="single"/>
                <w:lang w:val="en-US" w:eastAsia="zh-CN"/>
              </w:rPr>
              <w:t>*</w:t>
            </w:r>
          </w:p>
        </w:tc>
        <w:tc>
          <w:tcPr>
            <w:tcW w:w="629" w:type="dxa"/>
            <w:vAlign w:val="center"/>
          </w:tcPr>
          <w:p w14:paraId="73748C40">
            <w:pPr>
              <w:bidi w:val="0"/>
              <w:ind w:firstLine="482" w:firstLineChars="200"/>
              <w:rPr>
                <w:rFonts w:hint="eastAsia"/>
                <w:b w:val="0"/>
                <w:bCs w:val="0"/>
                <w:color w:val="auto"/>
                <w:u w:val="none"/>
              </w:rPr>
            </w:pPr>
            <w:r>
              <w:rPr>
                <w:rFonts w:hint="eastAsia"/>
                <w:b/>
                <w:bCs/>
                <w:color w:val="auto"/>
                <w:u w:val="single"/>
                <w:lang w:val="en-US" w:eastAsia="zh-CN"/>
              </w:rPr>
              <w:t>*</w:t>
            </w:r>
          </w:p>
        </w:tc>
        <w:tc>
          <w:tcPr>
            <w:tcW w:w="504" w:type="dxa"/>
            <w:vAlign w:val="center"/>
          </w:tcPr>
          <w:p w14:paraId="3629860E">
            <w:pPr>
              <w:bidi w:val="0"/>
              <w:ind w:firstLine="482" w:firstLineChars="200"/>
              <w:rPr>
                <w:rFonts w:hint="eastAsia" w:eastAsia="宋体"/>
                <w:b w:val="0"/>
                <w:bCs w:val="0"/>
                <w:color w:val="auto"/>
                <w:u w:val="none"/>
                <w:lang w:eastAsia="zh-CN"/>
              </w:rPr>
            </w:pPr>
            <w:r>
              <w:rPr>
                <w:rFonts w:hint="eastAsia"/>
                <w:b/>
                <w:bCs/>
                <w:color w:val="auto"/>
                <w:u w:val="single"/>
                <w:lang w:val="en-US" w:eastAsia="zh-CN"/>
              </w:rPr>
              <w:t>*</w:t>
            </w:r>
          </w:p>
        </w:tc>
        <w:tc>
          <w:tcPr>
            <w:tcW w:w="1174" w:type="dxa"/>
            <w:vAlign w:val="center"/>
          </w:tcPr>
          <w:p w14:paraId="02C66B70">
            <w:pPr>
              <w:pStyle w:val="182"/>
              <w:bidi w:val="0"/>
              <w:ind w:firstLine="0" w:firstLineChars="0"/>
              <w:rPr>
                <w:rFonts w:hint="eastAsia"/>
                <w:b w:val="0"/>
                <w:bCs w:val="0"/>
                <w:color w:val="auto"/>
                <w:u w:val="none"/>
              </w:rPr>
            </w:pPr>
            <w:r>
              <w:rPr>
                <w:rFonts w:hint="eastAsia"/>
                <w:b w:val="0"/>
                <w:bCs w:val="0"/>
                <w:color w:val="auto"/>
                <w:u w:val="none"/>
                <w:lang w:val="en-US" w:eastAsia="zh-CN"/>
              </w:rPr>
              <w:t>现有厂区</w:t>
            </w:r>
            <w:r>
              <w:rPr>
                <w:rFonts w:hint="eastAsia"/>
                <w:color w:val="auto"/>
              </w:rPr>
              <w:t>TS003危险废物暂存间</w:t>
            </w:r>
            <w:r>
              <w:rPr>
                <w:rFonts w:hint="eastAsia"/>
                <w:b w:val="0"/>
                <w:bCs w:val="0"/>
                <w:color w:val="auto"/>
                <w:u w:val="none"/>
              </w:rPr>
              <w:t>，交由有资质单位进行处置。</w:t>
            </w:r>
          </w:p>
        </w:tc>
      </w:tr>
      <w:tr w14:paraId="7A0D4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461" w:type="pct"/>
            <w:vAlign w:val="center"/>
          </w:tcPr>
          <w:p w14:paraId="2C6F2191">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841" w:type="dxa"/>
            <w:vAlign w:val="center"/>
          </w:tcPr>
          <w:p w14:paraId="4FC69107">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985" w:type="dxa"/>
            <w:vAlign w:val="center"/>
          </w:tcPr>
          <w:p w14:paraId="781AD1EF">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871" w:type="dxa"/>
            <w:vAlign w:val="center"/>
          </w:tcPr>
          <w:p w14:paraId="3F6B2E19">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483" w:type="pct"/>
            <w:vAlign w:val="center"/>
          </w:tcPr>
          <w:p w14:paraId="4FDD5D93">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364" w:type="pct"/>
            <w:vAlign w:val="center"/>
          </w:tcPr>
          <w:p w14:paraId="096893FB">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680" w:type="dxa"/>
            <w:vAlign w:val="center"/>
          </w:tcPr>
          <w:p w14:paraId="354F433B">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680" w:type="dxa"/>
            <w:vAlign w:val="center"/>
          </w:tcPr>
          <w:p w14:paraId="35425845">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629" w:type="dxa"/>
            <w:vAlign w:val="center"/>
          </w:tcPr>
          <w:p w14:paraId="7D58691C">
            <w:pPr>
              <w:bidi w:val="0"/>
              <w:ind w:firstLine="482" w:firstLineChars="200"/>
              <w:rPr>
                <w:rFonts w:hint="eastAsia"/>
                <w:b w:val="0"/>
                <w:bCs w:val="0"/>
                <w:color w:val="auto"/>
                <w:u w:val="none"/>
              </w:rPr>
            </w:pPr>
            <w:r>
              <w:rPr>
                <w:rFonts w:hint="eastAsia"/>
                <w:b/>
                <w:bCs/>
                <w:color w:val="auto"/>
                <w:u w:val="single"/>
                <w:lang w:val="en-US" w:eastAsia="zh-CN"/>
              </w:rPr>
              <w:t>*</w:t>
            </w:r>
          </w:p>
        </w:tc>
        <w:tc>
          <w:tcPr>
            <w:tcW w:w="504" w:type="dxa"/>
            <w:vAlign w:val="center"/>
          </w:tcPr>
          <w:p w14:paraId="5BB4B126">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174" w:type="dxa"/>
            <w:vAlign w:val="center"/>
          </w:tcPr>
          <w:p w14:paraId="7F9F6971">
            <w:pPr>
              <w:pStyle w:val="182"/>
              <w:bidi w:val="0"/>
              <w:ind w:firstLine="0" w:firstLineChars="0"/>
              <w:rPr>
                <w:rFonts w:hint="eastAsia"/>
                <w:b w:val="0"/>
                <w:bCs w:val="0"/>
                <w:color w:val="auto"/>
                <w:u w:val="none"/>
              </w:rPr>
            </w:pPr>
            <w:r>
              <w:rPr>
                <w:rFonts w:hint="eastAsia"/>
                <w:b w:val="0"/>
                <w:bCs w:val="0"/>
                <w:color w:val="auto"/>
                <w:u w:val="none"/>
                <w:lang w:val="en-US" w:eastAsia="zh-CN"/>
              </w:rPr>
              <w:t>现有厂区</w:t>
            </w:r>
            <w:r>
              <w:rPr>
                <w:rFonts w:hint="eastAsia"/>
                <w:color w:val="auto"/>
              </w:rPr>
              <w:t>TS003危险废物暂存间</w:t>
            </w:r>
            <w:r>
              <w:rPr>
                <w:rFonts w:hint="eastAsia"/>
                <w:b w:val="0"/>
                <w:bCs w:val="0"/>
                <w:color w:val="auto"/>
                <w:u w:val="none"/>
              </w:rPr>
              <w:t>，交由有资质单位进行处置。</w:t>
            </w:r>
          </w:p>
        </w:tc>
      </w:tr>
      <w:tr w14:paraId="4D493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461" w:type="pct"/>
            <w:vAlign w:val="center"/>
          </w:tcPr>
          <w:p w14:paraId="271A1656">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841" w:type="dxa"/>
            <w:vAlign w:val="center"/>
          </w:tcPr>
          <w:p w14:paraId="0C13B034">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985" w:type="dxa"/>
            <w:vAlign w:val="center"/>
          </w:tcPr>
          <w:p w14:paraId="3C968CD1">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871" w:type="dxa"/>
            <w:vAlign w:val="center"/>
          </w:tcPr>
          <w:p w14:paraId="66F70027">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834" w:type="dxa"/>
            <w:vAlign w:val="center"/>
          </w:tcPr>
          <w:p w14:paraId="02D9964F">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628" w:type="dxa"/>
            <w:vAlign w:val="center"/>
          </w:tcPr>
          <w:p w14:paraId="70D0F2EF">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680" w:type="dxa"/>
            <w:vAlign w:val="center"/>
          </w:tcPr>
          <w:p w14:paraId="356651B8">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680" w:type="dxa"/>
            <w:vAlign w:val="center"/>
          </w:tcPr>
          <w:p w14:paraId="5DDF78B6">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629" w:type="dxa"/>
            <w:vAlign w:val="center"/>
          </w:tcPr>
          <w:p w14:paraId="7DB5DF75">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504" w:type="dxa"/>
            <w:vAlign w:val="center"/>
          </w:tcPr>
          <w:p w14:paraId="26095D3D">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1174" w:type="dxa"/>
            <w:vAlign w:val="center"/>
          </w:tcPr>
          <w:p w14:paraId="5F155947">
            <w:pPr>
              <w:pStyle w:val="182"/>
              <w:ind w:firstLine="0" w:firstLineChars="0"/>
              <w:rPr>
                <w:rFonts w:hint="eastAsia"/>
                <w:b w:val="0"/>
                <w:bCs w:val="0"/>
                <w:color w:val="auto"/>
                <w:u w:val="none"/>
                <w:lang w:val="en-US" w:eastAsia="zh-CN"/>
              </w:rPr>
            </w:pPr>
            <w:r>
              <w:rPr>
                <w:rFonts w:hint="eastAsia"/>
                <w:b w:val="0"/>
                <w:bCs w:val="0"/>
                <w:color w:val="auto"/>
                <w:u w:val="none"/>
                <w:lang w:val="en-US" w:eastAsia="zh-CN"/>
              </w:rPr>
              <w:t>现有厂区</w:t>
            </w:r>
            <w:r>
              <w:rPr>
                <w:rFonts w:hint="eastAsia"/>
                <w:color w:val="auto"/>
              </w:rPr>
              <w:t>TS003危险废物暂存间</w:t>
            </w:r>
            <w:r>
              <w:rPr>
                <w:rFonts w:hint="eastAsia"/>
                <w:b w:val="0"/>
                <w:bCs w:val="0"/>
                <w:color w:val="auto"/>
                <w:u w:val="none"/>
              </w:rPr>
              <w:t>，交由有资质单位进行处置。</w:t>
            </w:r>
          </w:p>
        </w:tc>
      </w:tr>
    </w:tbl>
    <w:p w14:paraId="1562C0C5">
      <w:pPr>
        <w:pStyle w:val="10"/>
        <w:bidi w:val="0"/>
        <w:rPr>
          <w:rFonts w:hint="eastAsia"/>
        </w:rPr>
      </w:pPr>
      <w:r>
        <w:rPr>
          <w:rFonts w:hint="eastAsia"/>
        </w:rPr>
        <w:t xml:space="preserve">表 </w:t>
      </w:r>
      <w:r>
        <w:rPr>
          <w:rFonts w:hint="eastAsia"/>
        </w:rPr>
        <w:fldChar w:fldCharType="begin"/>
      </w:r>
      <w:r>
        <w:rPr>
          <w:rFonts w:hint="eastAsia"/>
        </w:rPr>
        <w:instrText xml:space="preserve"> STYLEREF 2 \s </w:instrText>
      </w:r>
      <w:r>
        <w:rPr>
          <w:rFonts w:hint="eastAsia"/>
        </w:rPr>
        <w:fldChar w:fldCharType="separate"/>
      </w:r>
      <w:r>
        <w:rPr>
          <w:rFonts w:hint="eastAsia"/>
        </w:rPr>
        <w:t>4.6</w:t>
      </w:r>
      <w:r>
        <w:rPr>
          <w:rFonts w:hint="eastAsia"/>
        </w:rPr>
        <w:fldChar w:fldCharType="end"/>
      </w:r>
      <w:r>
        <w:rPr>
          <w:rFonts w:hint="eastAsia"/>
          <w:lang w:eastAsia="zh-CN"/>
        </w:rPr>
        <w:t>-</w:t>
      </w:r>
      <w:r>
        <w:rPr>
          <w:rFonts w:hint="eastAsia"/>
        </w:rPr>
        <w:fldChar w:fldCharType="begin"/>
      </w:r>
      <w:r>
        <w:rPr>
          <w:rFonts w:hint="eastAsia"/>
        </w:rPr>
        <w:instrText xml:space="preserve"> SEQ 表 \* ARABIC \s 2 </w:instrText>
      </w:r>
      <w:r>
        <w:rPr>
          <w:rFonts w:hint="eastAsia"/>
        </w:rPr>
        <w:fldChar w:fldCharType="separate"/>
      </w:r>
      <w:r>
        <w:rPr>
          <w:rFonts w:hint="eastAsia"/>
        </w:rPr>
        <w:t>18</w:t>
      </w:r>
      <w:r>
        <w:rPr>
          <w:rFonts w:hint="eastAsia"/>
        </w:rPr>
        <w:fldChar w:fldCharType="end"/>
      </w:r>
      <w:r>
        <w:rPr>
          <w:rFonts w:hint="eastAsia"/>
          <w:lang w:val="en-US" w:eastAsia="zh-CN"/>
        </w:rPr>
        <w:t xml:space="preserve">  </w:t>
      </w:r>
      <w:r>
        <w:rPr>
          <w:rFonts w:hint="eastAsia"/>
        </w:rPr>
        <w:t>危险废物贮存场所（设施）基本情况表</w:t>
      </w:r>
    </w:p>
    <w:tbl>
      <w:tblPr>
        <w:tblStyle w:val="31"/>
        <w:tblW w:w="498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16"/>
        <w:gridCol w:w="1393"/>
        <w:gridCol w:w="996"/>
        <w:gridCol w:w="816"/>
        <w:gridCol w:w="1175"/>
        <w:gridCol w:w="825"/>
        <w:gridCol w:w="825"/>
        <w:gridCol w:w="825"/>
        <w:gridCol w:w="832"/>
      </w:tblGrid>
      <w:tr w14:paraId="1A55DE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410" w:type="pct"/>
            <w:tcBorders>
              <w:top w:val="single" w:color="auto" w:sz="4" w:space="0"/>
              <w:left w:val="single" w:color="auto" w:sz="4" w:space="0"/>
              <w:bottom w:val="single" w:color="auto" w:sz="4" w:space="0"/>
              <w:right w:val="single" w:color="auto" w:sz="4" w:space="0"/>
            </w:tcBorders>
            <w:vAlign w:val="center"/>
          </w:tcPr>
          <w:p w14:paraId="4005B3E1">
            <w:pPr>
              <w:pStyle w:val="182"/>
              <w:bidi w:val="0"/>
              <w:rPr>
                <w:b/>
                <w:bCs/>
                <w:color w:val="auto"/>
              </w:rPr>
            </w:pPr>
            <w:r>
              <w:rPr>
                <w:b/>
                <w:bCs/>
                <w:color w:val="auto"/>
              </w:rPr>
              <w:t>序号</w:t>
            </w:r>
          </w:p>
        </w:tc>
        <w:tc>
          <w:tcPr>
            <w:tcW w:w="832" w:type="pct"/>
            <w:tcBorders>
              <w:top w:val="single" w:color="auto" w:sz="4" w:space="0"/>
              <w:left w:val="single" w:color="auto" w:sz="4" w:space="0"/>
              <w:bottom w:val="single" w:color="auto" w:sz="4" w:space="0"/>
              <w:right w:val="single" w:color="auto" w:sz="4" w:space="0"/>
            </w:tcBorders>
            <w:vAlign w:val="center"/>
          </w:tcPr>
          <w:p w14:paraId="0BCCBFC6">
            <w:pPr>
              <w:pStyle w:val="182"/>
              <w:bidi w:val="0"/>
              <w:rPr>
                <w:b/>
                <w:bCs/>
                <w:color w:val="auto"/>
              </w:rPr>
            </w:pPr>
            <w:r>
              <w:rPr>
                <w:b/>
                <w:bCs/>
                <w:color w:val="auto"/>
              </w:rPr>
              <w:t>贮存场所</w:t>
            </w:r>
            <w:r>
              <w:rPr>
                <w:rFonts w:hint="eastAsia"/>
                <w:b/>
                <w:bCs/>
                <w:color w:val="auto"/>
              </w:rPr>
              <w:t>（</w:t>
            </w:r>
            <w:r>
              <w:rPr>
                <w:b/>
                <w:bCs/>
                <w:color w:val="auto"/>
              </w:rPr>
              <w:t>设施</w:t>
            </w:r>
            <w:r>
              <w:rPr>
                <w:rFonts w:hint="eastAsia"/>
                <w:b/>
                <w:bCs/>
                <w:color w:val="auto"/>
              </w:rPr>
              <w:t>）</w:t>
            </w:r>
            <w:r>
              <w:rPr>
                <w:b/>
                <w:bCs/>
                <w:color w:val="auto"/>
              </w:rPr>
              <w:t>名称</w:t>
            </w:r>
          </w:p>
        </w:tc>
        <w:tc>
          <w:tcPr>
            <w:tcW w:w="599" w:type="pct"/>
            <w:tcBorders>
              <w:top w:val="single" w:color="auto" w:sz="4" w:space="0"/>
              <w:left w:val="single" w:color="auto" w:sz="4" w:space="0"/>
              <w:bottom w:val="single" w:color="auto" w:sz="4" w:space="0"/>
              <w:right w:val="single" w:color="auto" w:sz="4" w:space="0"/>
            </w:tcBorders>
            <w:vAlign w:val="center"/>
          </w:tcPr>
          <w:p w14:paraId="732C53FE">
            <w:pPr>
              <w:pStyle w:val="182"/>
              <w:bidi w:val="0"/>
              <w:rPr>
                <w:b/>
                <w:bCs/>
                <w:color w:val="auto"/>
              </w:rPr>
            </w:pPr>
            <w:r>
              <w:rPr>
                <w:b/>
                <w:bCs/>
                <w:color w:val="auto"/>
              </w:rPr>
              <w:t>危险废物名称</w:t>
            </w:r>
          </w:p>
        </w:tc>
        <w:tc>
          <w:tcPr>
            <w:tcW w:w="456" w:type="pct"/>
            <w:tcBorders>
              <w:top w:val="single" w:color="auto" w:sz="4" w:space="0"/>
              <w:left w:val="single" w:color="auto" w:sz="4" w:space="0"/>
              <w:bottom w:val="single" w:color="auto" w:sz="4" w:space="0"/>
              <w:right w:val="single" w:color="auto" w:sz="4" w:space="0"/>
            </w:tcBorders>
            <w:vAlign w:val="center"/>
          </w:tcPr>
          <w:p w14:paraId="551EA410">
            <w:pPr>
              <w:pStyle w:val="182"/>
              <w:bidi w:val="0"/>
              <w:rPr>
                <w:b/>
                <w:bCs/>
                <w:color w:val="auto"/>
              </w:rPr>
            </w:pPr>
            <w:r>
              <w:rPr>
                <w:b/>
                <w:bCs/>
                <w:color w:val="auto"/>
              </w:rPr>
              <w:t>危险废物</w:t>
            </w:r>
          </w:p>
          <w:p w14:paraId="1BA35DAB">
            <w:pPr>
              <w:pStyle w:val="182"/>
              <w:bidi w:val="0"/>
              <w:rPr>
                <w:b/>
                <w:bCs/>
                <w:color w:val="auto"/>
              </w:rPr>
            </w:pPr>
            <w:r>
              <w:rPr>
                <w:b/>
                <w:bCs/>
                <w:color w:val="auto"/>
              </w:rPr>
              <w:t>类别</w:t>
            </w:r>
          </w:p>
        </w:tc>
        <w:tc>
          <w:tcPr>
            <w:tcW w:w="704" w:type="pct"/>
            <w:tcBorders>
              <w:top w:val="single" w:color="auto" w:sz="4" w:space="0"/>
              <w:left w:val="single" w:color="auto" w:sz="4" w:space="0"/>
              <w:bottom w:val="single" w:color="auto" w:sz="4" w:space="0"/>
              <w:right w:val="single" w:color="auto" w:sz="4" w:space="0"/>
            </w:tcBorders>
            <w:vAlign w:val="center"/>
          </w:tcPr>
          <w:p w14:paraId="2FA4FE2C">
            <w:pPr>
              <w:pStyle w:val="182"/>
              <w:bidi w:val="0"/>
              <w:rPr>
                <w:b/>
                <w:bCs/>
                <w:color w:val="auto"/>
              </w:rPr>
            </w:pPr>
            <w:r>
              <w:rPr>
                <w:b/>
                <w:bCs/>
                <w:color w:val="auto"/>
              </w:rPr>
              <w:t>危险废物代码</w:t>
            </w:r>
          </w:p>
        </w:tc>
        <w:tc>
          <w:tcPr>
            <w:tcW w:w="498" w:type="pct"/>
            <w:tcBorders>
              <w:top w:val="single" w:color="auto" w:sz="4" w:space="0"/>
              <w:left w:val="single" w:color="auto" w:sz="4" w:space="0"/>
              <w:bottom w:val="single" w:color="auto" w:sz="4" w:space="0"/>
              <w:right w:val="single" w:color="auto" w:sz="4" w:space="0"/>
            </w:tcBorders>
            <w:vAlign w:val="center"/>
          </w:tcPr>
          <w:p w14:paraId="0CA18BF9">
            <w:pPr>
              <w:pStyle w:val="182"/>
              <w:bidi w:val="0"/>
              <w:rPr>
                <w:b/>
                <w:bCs/>
                <w:color w:val="auto"/>
              </w:rPr>
            </w:pPr>
            <w:r>
              <w:rPr>
                <w:b/>
                <w:bCs/>
                <w:color w:val="auto"/>
              </w:rPr>
              <w:t>占地</w:t>
            </w:r>
          </w:p>
          <w:p w14:paraId="5CE8ED8A">
            <w:pPr>
              <w:pStyle w:val="182"/>
              <w:bidi w:val="0"/>
              <w:rPr>
                <w:b/>
                <w:bCs/>
                <w:color w:val="auto"/>
              </w:rPr>
            </w:pPr>
            <w:r>
              <w:rPr>
                <w:b/>
                <w:bCs/>
                <w:color w:val="auto"/>
              </w:rPr>
              <w:t>面积</w:t>
            </w:r>
          </w:p>
        </w:tc>
        <w:tc>
          <w:tcPr>
            <w:tcW w:w="498" w:type="pct"/>
            <w:tcBorders>
              <w:top w:val="single" w:color="auto" w:sz="4" w:space="0"/>
              <w:left w:val="single" w:color="auto" w:sz="4" w:space="0"/>
              <w:bottom w:val="single" w:color="auto" w:sz="4" w:space="0"/>
              <w:right w:val="single" w:color="auto" w:sz="4" w:space="0"/>
            </w:tcBorders>
            <w:vAlign w:val="center"/>
          </w:tcPr>
          <w:p w14:paraId="71113AF5">
            <w:pPr>
              <w:pStyle w:val="182"/>
              <w:bidi w:val="0"/>
              <w:rPr>
                <w:b/>
                <w:bCs/>
                <w:color w:val="auto"/>
              </w:rPr>
            </w:pPr>
            <w:r>
              <w:rPr>
                <w:b/>
                <w:bCs/>
                <w:color w:val="auto"/>
              </w:rPr>
              <w:t>贮存方式</w:t>
            </w:r>
          </w:p>
        </w:tc>
        <w:tc>
          <w:tcPr>
            <w:tcW w:w="498" w:type="pct"/>
            <w:tcBorders>
              <w:top w:val="single" w:color="auto" w:sz="4" w:space="0"/>
              <w:left w:val="single" w:color="auto" w:sz="4" w:space="0"/>
              <w:bottom w:val="single" w:color="auto" w:sz="4" w:space="0"/>
              <w:right w:val="single" w:color="auto" w:sz="4" w:space="0"/>
            </w:tcBorders>
            <w:vAlign w:val="center"/>
          </w:tcPr>
          <w:p w14:paraId="5B50B932">
            <w:pPr>
              <w:pStyle w:val="182"/>
              <w:bidi w:val="0"/>
              <w:rPr>
                <w:b/>
                <w:bCs/>
                <w:color w:val="auto"/>
              </w:rPr>
            </w:pPr>
            <w:r>
              <w:rPr>
                <w:b/>
                <w:bCs/>
                <w:color w:val="auto"/>
              </w:rPr>
              <w:t>贮存能力</w:t>
            </w:r>
          </w:p>
        </w:tc>
        <w:tc>
          <w:tcPr>
            <w:tcW w:w="502" w:type="pct"/>
            <w:tcBorders>
              <w:top w:val="single" w:color="auto" w:sz="4" w:space="0"/>
              <w:left w:val="single" w:color="auto" w:sz="4" w:space="0"/>
              <w:bottom w:val="single" w:color="auto" w:sz="4" w:space="0"/>
              <w:right w:val="single" w:color="auto" w:sz="4" w:space="0"/>
            </w:tcBorders>
            <w:vAlign w:val="center"/>
          </w:tcPr>
          <w:p w14:paraId="78AB74A2">
            <w:pPr>
              <w:pStyle w:val="182"/>
              <w:bidi w:val="0"/>
              <w:rPr>
                <w:b/>
                <w:bCs/>
                <w:color w:val="auto"/>
              </w:rPr>
            </w:pPr>
            <w:r>
              <w:rPr>
                <w:b/>
                <w:bCs/>
                <w:color w:val="auto"/>
              </w:rPr>
              <w:t>贮存</w:t>
            </w:r>
          </w:p>
          <w:p w14:paraId="50F347E1">
            <w:pPr>
              <w:pStyle w:val="182"/>
              <w:bidi w:val="0"/>
              <w:rPr>
                <w:b/>
                <w:bCs/>
                <w:color w:val="auto"/>
              </w:rPr>
            </w:pPr>
            <w:r>
              <w:rPr>
                <w:b/>
                <w:bCs/>
                <w:color w:val="auto"/>
              </w:rPr>
              <w:t>周期</w:t>
            </w:r>
          </w:p>
        </w:tc>
      </w:tr>
      <w:tr w14:paraId="6B171E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410" w:type="pct"/>
            <w:tcBorders>
              <w:top w:val="single" w:color="auto" w:sz="4" w:space="0"/>
              <w:left w:val="single" w:color="auto" w:sz="4" w:space="0"/>
              <w:bottom w:val="single" w:color="auto" w:sz="4" w:space="0"/>
              <w:right w:val="single" w:color="auto" w:sz="4" w:space="0"/>
            </w:tcBorders>
            <w:vAlign w:val="center"/>
          </w:tcPr>
          <w:p w14:paraId="43CE7B3F">
            <w:pPr>
              <w:bidi w:val="0"/>
              <w:ind w:firstLine="482" w:firstLineChars="200"/>
              <w:rPr>
                <w:color w:val="auto"/>
              </w:rPr>
            </w:pPr>
            <w:r>
              <w:rPr>
                <w:rFonts w:hint="eastAsia"/>
                <w:b/>
                <w:bCs/>
                <w:color w:val="auto"/>
                <w:u w:val="single"/>
                <w:lang w:val="en-US" w:eastAsia="zh-CN"/>
              </w:rPr>
              <w:t>*</w:t>
            </w:r>
          </w:p>
        </w:tc>
        <w:tc>
          <w:tcPr>
            <w:tcW w:w="832" w:type="pct"/>
            <w:tcBorders>
              <w:top w:val="single" w:color="auto" w:sz="4" w:space="0"/>
              <w:left w:val="single" w:color="auto" w:sz="4" w:space="0"/>
              <w:bottom w:val="single" w:color="auto" w:sz="4" w:space="0"/>
              <w:right w:val="single" w:color="auto" w:sz="4" w:space="0"/>
            </w:tcBorders>
            <w:vAlign w:val="center"/>
          </w:tcPr>
          <w:p w14:paraId="2A15F892">
            <w:pPr>
              <w:bidi w:val="0"/>
              <w:ind w:firstLine="482" w:firstLineChars="200"/>
              <w:rPr>
                <w:color w:val="auto"/>
              </w:rPr>
            </w:pPr>
            <w:r>
              <w:rPr>
                <w:rFonts w:hint="eastAsia"/>
                <w:b/>
                <w:bCs/>
                <w:color w:val="auto"/>
                <w:u w:val="single"/>
                <w:lang w:val="en-US" w:eastAsia="zh-CN"/>
              </w:rPr>
              <w:t>*</w:t>
            </w:r>
          </w:p>
        </w:tc>
        <w:tc>
          <w:tcPr>
            <w:tcW w:w="599" w:type="pct"/>
            <w:tcBorders>
              <w:top w:val="single" w:color="auto" w:sz="4" w:space="0"/>
              <w:left w:val="single" w:color="auto" w:sz="4" w:space="0"/>
              <w:bottom w:val="single" w:color="auto" w:sz="4" w:space="0"/>
              <w:right w:val="single" w:color="auto" w:sz="4" w:space="0"/>
            </w:tcBorders>
            <w:vAlign w:val="center"/>
          </w:tcPr>
          <w:p w14:paraId="3C26C2F5">
            <w:pPr>
              <w:bidi w:val="0"/>
              <w:ind w:firstLine="482" w:firstLineChars="200"/>
              <w:rPr>
                <w:rFonts w:hint="eastAsia" w:eastAsia="宋体"/>
                <w:color w:val="auto"/>
                <w:lang w:eastAsia="zh-CN"/>
              </w:rPr>
            </w:pPr>
            <w:r>
              <w:rPr>
                <w:rFonts w:hint="eastAsia"/>
                <w:b/>
                <w:bCs/>
                <w:color w:val="auto"/>
                <w:u w:val="single"/>
                <w:lang w:val="en-US" w:eastAsia="zh-CN"/>
              </w:rPr>
              <w:t>*</w:t>
            </w:r>
          </w:p>
        </w:tc>
        <w:tc>
          <w:tcPr>
            <w:tcW w:w="456" w:type="pct"/>
            <w:tcBorders>
              <w:top w:val="single" w:color="auto" w:sz="4" w:space="0"/>
              <w:left w:val="single" w:color="auto" w:sz="4" w:space="0"/>
              <w:bottom w:val="single" w:color="auto" w:sz="4" w:space="0"/>
              <w:right w:val="single" w:color="auto" w:sz="4" w:space="0"/>
            </w:tcBorders>
            <w:vAlign w:val="center"/>
          </w:tcPr>
          <w:p w14:paraId="24AE0FDA">
            <w:pPr>
              <w:bidi w:val="0"/>
              <w:ind w:firstLine="482" w:firstLineChars="200"/>
              <w:rPr>
                <w:b w:val="0"/>
                <w:bCs w:val="0"/>
                <w:color w:val="auto"/>
                <w:u w:val="none"/>
              </w:rPr>
            </w:pPr>
            <w:r>
              <w:rPr>
                <w:rFonts w:hint="eastAsia"/>
                <w:b/>
                <w:bCs/>
                <w:color w:val="auto"/>
                <w:u w:val="single"/>
                <w:lang w:val="en-US" w:eastAsia="zh-CN"/>
              </w:rPr>
              <w:t>*</w:t>
            </w:r>
          </w:p>
        </w:tc>
        <w:tc>
          <w:tcPr>
            <w:tcW w:w="704" w:type="pct"/>
            <w:tcBorders>
              <w:top w:val="single" w:color="auto" w:sz="4" w:space="0"/>
              <w:left w:val="single" w:color="auto" w:sz="4" w:space="0"/>
              <w:bottom w:val="single" w:color="auto" w:sz="4" w:space="0"/>
              <w:right w:val="single" w:color="auto" w:sz="4" w:space="0"/>
            </w:tcBorders>
            <w:vAlign w:val="center"/>
          </w:tcPr>
          <w:p w14:paraId="47A35950">
            <w:pPr>
              <w:bidi w:val="0"/>
              <w:ind w:firstLine="482" w:firstLineChars="200"/>
              <w:rPr>
                <w:b w:val="0"/>
                <w:bCs w:val="0"/>
                <w:color w:val="auto"/>
                <w:u w:val="none"/>
              </w:rPr>
            </w:pPr>
            <w:r>
              <w:rPr>
                <w:rFonts w:hint="eastAsia"/>
                <w:b/>
                <w:bCs/>
                <w:color w:val="auto"/>
                <w:u w:val="single"/>
                <w:lang w:val="en-US" w:eastAsia="zh-CN"/>
              </w:rPr>
              <w:t>*</w:t>
            </w:r>
          </w:p>
        </w:tc>
        <w:tc>
          <w:tcPr>
            <w:tcW w:w="498" w:type="pct"/>
            <w:tcBorders>
              <w:top w:val="single" w:color="auto" w:sz="4" w:space="0"/>
              <w:left w:val="single" w:color="auto" w:sz="4" w:space="0"/>
              <w:bottom w:val="single" w:color="auto" w:sz="4" w:space="0"/>
              <w:right w:val="single" w:color="auto" w:sz="4" w:space="0"/>
            </w:tcBorders>
            <w:vAlign w:val="center"/>
          </w:tcPr>
          <w:p w14:paraId="7AD54D43">
            <w:pPr>
              <w:bidi w:val="0"/>
              <w:ind w:firstLine="482" w:firstLineChars="200"/>
              <w:rPr>
                <w:rFonts w:hint="default" w:ascii="Times New Roman" w:hAnsi="Times New Roman" w:eastAsia="宋体" w:cs="Times New Roman"/>
                <w:b w:val="0"/>
                <w:bCs w:val="0"/>
                <w:color w:val="auto"/>
                <w:u w:val="none"/>
              </w:rPr>
            </w:pPr>
            <w:r>
              <w:rPr>
                <w:rFonts w:hint="eastAsia"/>
                <w:b/>
                <w:bCs/>
                <w:color w:val="auto"/>
                <w:u w:val="single"/>
                <w:lang w:val="en-US" w:eastAsia="zh-CN"/>
              </w:rPr>
              <w:t>*</w:t>
            </w:r>
          </w:p>
        </w:tc>
        <w:tc>
          <w:tcPr>
            <w:tcW w:w="498" w:type="pct"/>
            <w:tcBorders>
              <w:top w:val="single" w:color="auto" w:sz="4" w:space="0"/>
              <w:left w:val="single" w:color="auto" w:sz="4" w:space="0"/>
              <w:bottom w:val="single" w:color="auto" w:sz="4" w:space="0"/>
              <w:right w:val="single" w:color="auto" w:sz="4" w:space="0"/>
            </w:tcBorders>
            <w:vAlign w:val="center"/>
          </w:tcPr>
          <w:p w14:paraId="3AD4554E">
            <w:pPr>
              <w:bidi w:val="0"/>
              <w:ind w:firstLine="482" w:firstLineChars="200"/>
              <w:rPr>
                <w:rFonts w:hint="eastAsia" w:eastAsia="宋体"/>
                <w:color w:val="auto"/>
                <w:lang w:eastAsia="zh-CN"/>
              </w:rPr>
            </w:pPr>
            <w:r>
              <w:rPr>
                <w:rFonts w:hint="eastAsia"/>
                <w:b/>
                <w:bCs/>
                <w:color w:val="auto"/>
                <w:u w:val="single"/>
                <w:lang w:val="en-US" w:eastAsia="zh-CN"/>
              </w:rPr>
              <w:t>*</w:t>
            </w:r>
          </w:p>
        </w:tc>
        <w:tc>
          <w:tcPr>
            <w:tcW w:w="498" w:type="pct"/>
            <w:tcBorders>
              <w:top w:val="single" w:color="auto" w:sz="4" w:space="0"/>
              <w:left w:val="single" w:color="auto" w:sz="4" w:space="0"/>
              <w:bottom w:val="single" w:color="auto" w:sz="4" w:space="0"/>
              <w:right w:val="single" w:color="auto" w:sz="4" w:space="0"/>
            </w:tcBorders>
            <w:vAlign w:val="center"/>
          </w:tcPr>
          <w:p w14:paraId="42DF4B9A">
            <w:pPr>
              <w:bidi w:val="0"/>
              <w:ind w:firstLine="482" w:firstLineChars="200"/>
              <w:rPr>
                <w:color w:val="auto"/>
              </w:rPr>
            </w:pPr>
            <w:r>
              <w:rPr>
                <w:rFonts w:hint="eastAsia"/>
                <w:b/>
                <w:bCs/>
                <w:color w:val="auto"/>
                <w:u w:val="single"/>
                <w:lang w:val="en-US" w:eastAsia="zh-CN"/>
              </w:rPr>
              <w:t>*</w:t>
            </w:r>
          </w:p>
        </w:tc>
        <w:tc>
          <w:tcPr>
            <w:tcW w:w="502" w:type="pct"/>
            <w:tcBorders>
              <w:top w:val="single" w:color="auto" w:sz="4" w:space="0"/>
              <w:left w:val="single" w:color="auto" w:sz="4" w:space="0"/>
              <w:bottom w:val="single" w:color="auto" w:sz="4" w:space="0"/>
              <w:right w:val="single" w:color="auto" w:sz="4" w:space="0"/>
            </w:tcBorders>
            <w:vAlign w:val="center"/>
          </w:tcPr>
          <w:p w14:paraId="63224234">
            <w:pPr>
              <w:bidi w:val="0"/>
              <w:ind w:firstLine="482" w:firstLineChars="200"/>
              <w:rPr>
                <w:color w:val="auto"/>
              </w:rPr>
            </w:pPr>
            <w:r>
              <w:rPr>
                <w:rFonts w:hint="eastAsia"/>
                <w:b/>
                <w:bCs/>
                <w:color w:val="auto"/>
                <w:u w:val="single"/>
                <w:lang w:val="en-US" w:eastAsia="zh-CN"/>
              </w:rPr>
              <w:t>*</w:t>
            </w:r>
          </w:p>
        </w:tc>
      </w:tr>
      <w:tr w14:paraId="207B3F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410" w:type="pct"/>
            <w:tcBorders>
              <w:top w:val="single" w:color="auto" w:sz="4" w:space="0"/>
              <w:left w:val="single" w:color="auto" w:sz="4" w:space="0"/>
              <w:bottom w:val="single" w:color="auto" w:sz="4" w:space="0"/>
              <w:right w:val="single" w:color="auto" w:sz="4" w:space="0"/>
            </w:tcBorders>
            <w:vAlign w:val="center"/>
          </w:tcPr>
          <w:p w14:paraId="19E8BE31">
            <w:pPr>
              <w:bidi w:val="0"/>
              <w:ind w:firstLine="482" w:firstLineChars="200"/>
              <w:rPr>
                <w:rFonts w:hint="eastAsia" w:eastAsia="宋体"/>
                <w:color w:val="auto"/>
                <w:lang w:val="en-US" w:eastAsia="zh-CN"/>
              </w:rPr>
            </w:pPr>
            <w:r>
              <w:rPr>
                <w:rFonts w:hint="eastAsia"/>
                <w:b/>
                <w:bCs/>
                <w:color w:val="auto"/>
                <w:u w:val="single"/>
                <w:lang w:val="en-US" w:eastAsia="zh-CN"/>
              </w:rPr>
              <w:t>*</w:t>
            </w:r>
          </w:p>
        </w:tc>
        <w:tc>
          <w:tcPr>
            <w:tcW w:w="832" w:type="pct"/>
            <w:tcBorders>
              <w:top w:val="single" w:color="auto" w:sz="4" w:space="0"/>
              <w:left w:val="single" w:color="auto" w:sz="4" w:space="0"/>
              <w:bottom w:val="single" w:color="auto" w:sz="4" w:space="0"/>
              <w:right w:val="single" w:color="auto" w:sz="4" w:space="0"/>
            </w:tcBorders>
            <w:vAlign w:val="center"/>
          </w:tcPr>
          <w:p w14:paraId="63F57B49">
            <w:pPr>
              <w:bidi w:val="0"/>
              <w:ind w:firstLine="482" w:firstLineChars="200"/>
              <w:rPr>
                <w:color w:val="auto"/>
              </w:rPr>
            </w:pPr>
            <w:r>
              <w:rPr>
                <w:rFonts w:hint="eastAsia"/>
                <w:b/>
                <w:bCs/>
                <w:color w:val="auto"/>
                <w:u w:val="single"/>
                <w:lang w:val="en-US" w:eastAsia="zh-CN"/>
              </w:rPr>
              <w:t>*</w:t>
            </w:r>
          </w:p>
        </w:tc>
        <w:tc>
          <w:tcPr>
            <w:tcW w:w="599" w:type="pct"/>
            <w:tcBorders>
              <w:top w:val="single" w:color="auto" w:sz="4" w:space="0"/>
              <w:left w:val="single" w:color="auto" w:sz="4" w:space="0"/>
              <w:bottom w:val="single" w:color="auto" w:sz="4" w:space="0"/>
              <w:right w:val="single" w:color="auto" w:sz="4" w:space="0"/>
            </w:tcBorders>
            <w:vAlign w:val="center"/>
          </w:tcPr>
          <w:p w14:paraId="1DDA5560">
            <w:pPr>
              <w:bidi w:val="0"/>
              <w:ind w:firstLine="482" w:firstLineChars="200"/>
              <w:rPr>
                <w:color w:val="auto"/>
              </w:rPr>
            </w:pPr>
            <w:r>
              <w:rPr>
                <w:rFonts w:hint="eastAsia"/>
                <w:b/>
                <w:bCs/>
                <w:color w:val="auto"/>
                <w:u w:val="single"/>
                <w:lang w:val="en-US" w:eastAsia="zh-CN"/>
              </w:rPr>
              <w:t>*</w:t>
            </w:r>
          </w:p>
        </w:tc>
        <w:tc>
          <w:tcPr>
            <w:tcW w:w="456" w:type="pct"/>
            <w:tcBorders>
              <w:top w:val="single" w:color="auto" w:sz="4" w:space="0"/>
              <w:left w:val="single" w:color="auto" w:sz="4" w:space="0"/>
              <w:bottom w:val="single" w:color="auto" w:sz="4" w:space="0"/>
              <w:right w:val="single" w:color="auto" w:sz="4" w:space="0"/>
            </w:tcBorders>
            <w:vAlign w:val="center"/>
          </w:tcPr>
          <w:p w14:paraId="6F0CD769">
            <w:pPr>
              <w:bidi w:val="0"/>
              <w:ind w:firstLine="482" w:firstLineChars="200"/>
              <w:rPr>
                <w:rFonts w:hint="default"/>
                <w:b w:val="0"/>
                <w:bCs w:val="0"/>
                <w:color w:val="auto"/>
                <w:u w:val="none"/>
                <w:lang w:val="en-US"/>
              </w:rPr>
            </w:pPr>
            <w:r>
              <w:rPr>
                <w:rFonts w:hint="eastAsia"/>
                <w:b/>
                <w:bCs/>
                <w:color w:val="auto"/>
                <w:u w:val="single"/>
                <w:lang w:val="en-US" w:eastAsia="zh-CN"/>
              </w:rPr>
              <w:t>*</w:t>
            </w:r>
          </w:p>
        </w:tc>
        <w:tc>
          <w:tcPr>
            <w:tcW w:w="704" w:type="pct"/>
            <w:tcBorders>
              <w:top w:val="single" w:color="auto" w:sz="4" w:space="0"/>
              <w:left w:val="single" w:color="auto" w:sz="4" w:space="0"/>
              <w:bottom w:val="single" w:color="auto" w:sz="4" w:space="0"/>
              <w:right w:val="single" w:color="auto" w:sz="4" w:space="0"/>
            </w:tcBorders>
            <w:vAlign w:val="center"/>
          </w:tcPr>
          <w:p w14:paraId="6F3D0D80">
            <w:pPr>
              <w:bidi w:val="0"/>
              <w:ind w:firstLine="482" w:firstLineChars="200"/>
              <w:rPr>
                <w:rFonts w:hint="default"/>
                <w:b w:val="0"/>
                <w:bCs w:val="0"/>
                <w:color w:val="auto"/>
                <w:u w:val="none"/>
              </w:rPr>
            </w:pPr>
            <w:r>
              <w:rPr>
                <w:rFonts w:hint="eastAsia"/>
                <w:b/>
                <w:bCs/>
                <w:color w:val="auto"/>
                <w:u w:val="single"/>
                <w:lang w:val="en-US" w:eastAsia="zh-CN"/>
              </w:rPr>
              <w:t>*</w:t>
            </w:r>
          </w:p>
        </w:tc>
        <w:tc>
          <w:tcPr>
            <w:tcW w:w="498" w:type="pct"/>
            <w:tcBorders>
              <w:top w:val="single" w:color="auto" w:sz="4" w:space="0"/>
              <w:left w:val="single" w:color="auto" w:sz="4" w:space="0"/>
              <w:bottom w:val="single" w:color="auto" w:sz="4" w:space="0"/>
              <w:right w:val="single" w:color="auto" w:sz="4" w:space="0"/>
            </w:tcBorders>
            <w:vAlign w:val="center"/>
          </w:tcPr>
          <w:p w14:paraId="4D3C6153">
            <w:pPr>
              <w:bidi w:val="0"/>
              <w:ind w:firstLine="482" w:firstLineChars="200"/>
              <w:rPr>
                <w:rFonts w:hint="eastAsia" w:ascii="Times New Roman" w:hAnsi="Times New Roman" w:eastAsia="宋体" w:cs="Times New Roman"/>
                <w:b w:val="0"/>
                <w:bCs w:val="0"/>
                <w:color w:val="auto"/>
                <w:u w:val="none"/>
                <w:lang w:val="en-US" w:eastAsia="zh-CN"/>
              </w:rPr>
            </w:pPr>
            <w:r>
              <w:rPr>
                <w:rFonts w:hint="eastAsia"/>
                <w:b/>
                <w:bCs/>
                <w:color w:val="auto"/>
                <w:u w:val="single"/>
                <w:lang w:val="en-US" w:eastAsia="zh-CN"/>
              </w:rPr>
              <w:t>*</w:t>
            </w:r>
          </w:p>
        </w:tc>
        <w:tc>
          <w:tcPr>
            <w:tcW w:w="498" w:type="pct"/>
            <w:tcBorders>
              <w:top w:val="single" w:color="auto" w:sz="4" w:space="0"/>
              <w:left w:val="single" w:color="auto" w:sz="4" w:space="0"/>
              <w:bottom w:val="single" w:color="auto" w:sz="4" w:space="0"/>
              <w:right w:val="single" w:color="auto" w:sz="4" w:space="0"/>
            </w:tcBorders>
            <w:vAlign w:val="center"/>
          </w:tcPr>
          <w:p w14:paraId="7D73E6BB">
            <w:pPr>
              <w:bidi w:val="0"/>
              <w:ind w:firstLine="482" w:firstLineChars="200"/>
              <w:rPr>
                <w:rFonts w:hint="default" w:eastAsia="宋体"/>
                <w:color w:val="auto"/>
                <w:lang w:val="en-US" w:eastAsia="zh-CN"/>
              </w:rPr>
            </w:pPr>
            <w:r>
              <w:rPr>
                <w:rFonts w:hint="eastAsia"/>
                <w:b/>
                <w:bCs/>
                <w:color w:val="auto"/>
                <w:u w:val="single"/>
                <w:lang w:val="en-US" w:eastAsia="zh-CN"/>
              </w:rPr>
              <w:t>*</w:t>
            </w:r>
          </w:p>
        </w:tc>
        <w:tc>
          <w:tcPr>
            <w:tcW w:w="498" w:type="pct"/>
            <w:tcBorders>
              <w:top w:val="single" w:color="auto" w:sz="4" w:space="0"/>
              <w:left w:val="single" w:color="auto" w:sz="4" w:space="0"/>
              <w:bottom w:val="single" w:color="auto" w:sz="4" w:space="0"/>
              <w:right w:val="single" w:color="auto" w:sz="4" w:space="0"/>
            </w:tcBorders>
            <w:vAlign w:val="center"/>
          </w:tcPr>
          <w:p w14:paraId="1E800856">
            <w:pPr>
              <w:bidi w:val="0"/>
              <w:ind w:firstLine="482" w:firstLineChars="200"/>
              <w:rPr>
                <w:rFonts w:hint="default" w:eastAsia="宋体"/>
                <w:color w:val="auto"/>
                <w:lang w:val="en-US" w:eastAsia="zh-CN"/>
              </w:rPr>
            </w:pPr>
            <w:r>
              <w:rPr>
                <w:rFonts w:hint="eastAsia"/>
                <w:b/>
                <w:bCs/>
                <w:color w:val="auto"/>
                <w:u w:val="single"/>
                <w:lang w:val="en-US" w:eastAsia="zh-CN"/>
              </w:rPr>
              <w:t>*</w:t>
            </w:r>
          </w:p>
        </w:tc>
        <w:tc>
          <w:tcPr>
            <w:tcW w:w="502" w:type="pct"/>
            <w:tcBorders>
              <w:top w:val="single" w:color="auto" w:sz="4" w:space="0"/>
              <w:left w:val="single" w:color="auto" w:sz="4" w:space="0"/>
              <w:bottom w:val="single" w:color="auto" w:sz="4" w:space="0"/>
              <w:right w:val="single" w:color="auto" w:sz="4" w:space="0"/>
            </w:tcBorders>
            <w:vAlign w:val="center"/>
          </w:tcPr>
          <w:p w14:paraId="1F7E2DB0">
            <w:pPr>
              <w:bidi w:val="0"/>
              <w:ind w:firstLine="482" w:firstLineChars="200"/>
              <w:rPr>
                <w:color w:val="auto"/>
              </w:rPr>
            </w:pPr>
            <w:r>
              <w:rPr>
                <w:rFonts w:hint="eastAsia"/>
                <w:b/>
                <w:bCs/>
                <w:color w:val="auto"/>
                <w:u w:val="single"/>
                <w:lang w:val="en-US" w:eastAsia="zh-CN"/>
              </w:rPr>
              <w:t>*</w:t>
            </w:r>
          </w:p>
        </w:tc>
      </w:tr>
      <w:tr w14:paraId="7DBD3F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410" w:type="pct"/>
            <w:tcBorders>
              <w:top w:val="single" w:color="auto" w:sz="4" w:space="0"/>
              <w:left w:val="single" w:color="auto" w:sz="4" w:space="0"/>
              <w:bottom w:val="single" w:color="auto" w:sz="4" w:space="0"/>
              <w:right w:val="single" w:color="auto" w:sz="4" w:space="0"/>
            </w:tcBorders>
            <w:vAlign w:val="center"/>
          </w:tcPr>
          <w:p w14:paraId="6CEBB2BD">
            <w:pPr>
              <w:bidi w:val="0"/>
              <w:ind w:firstLine="482" w:firstLineChars="200"/>
              <w:rPr>
                <w:rFonts w:hint="default"/>
                <w:color w:val="auto"/>
                <w:lang w:val="en-US" w:eastAsia="zh-CN"/>
              </w:rPr>
            </w:pPr>
            <w:r>
              <w:rPr>
                <w:rFonts w:hint="eastAsia"/>
                <w:b/>
                <w:bCs/>
                <w:color w:val="auto"/>
                <w:u w:val="single"/>
                <w:lang w:val="en-US" w:eastAsia="zh-CN"/>
              </w:rPr>
              <w:t>*</w:t>
            </w:r>
          </w:p>
        </w:tc>
        <w:tc>
          <w:tcPr>
            <w:tcW w:w="832" w:type="pct"/>
            <w:tcBorders>
              <w:top w:val="single" w:color="auto" w:sz="4" w:space="0"/>
              <w:left w:val="single" w:color="auto" w:sz="4" w:space="0"/>
              <w:bottom w:val="single" w:color="auto" w:sz="4" w:space="0"/>
              <w:right w:val="single" w:color="auto" w:sz="4" w:space="0"/>
            </w:tcBorders>
            <w:vAlign w:val="center"/>
          </w:tcPr>
          <w:p w14:paraId="2C515600">
            <w:pPr>
              <w:bidi w:val="0"/>
              <w:ind w:firstLine="482" w:firstLineChars="200"/>
              <w:rPr>
                <w:color w:val="auto"/>
              </w:rPr>
            </w:pPr>
            <w:r>
              <w:rPr>
                <w:rFonts w:hint="eastAsia"/>
                <w:b/>
                <w:bCs/>
                <w:color w:val="auto"/>
                <w:u w:val="single"/>
                <w:lang w:val="en-US" w:eastAsia="zh-CN"/>
              </w:rPr>
              <w:t>*</w:t>
            </w:r>
          </w:p>
        </w:tc>
        <w:tc>
          <w:tcPr>
            <w:tcW w:w="599" w:type="pct"/>
            <w:tcBorders>
              <w:top w:val="single" w:color="auto" w:sz="4" w:space="0"/>
              <w:left w:val="single" w:color="auto" w:sz="4" w:space="0"/>
              <w:bottom w:val="single" w:color="auto" w:sz="4" w:space="0"/>
              <w:right w:val="single" w:color="auto" w:sz="4" w:space="0"/>
            </w:tcBorders>
            <w:vAlign w:val="center"/>
          </w:tcPr>
          <w:p w14:paraId="20E1C568">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456" w:type="pct"/>
            <w:tcBorders>
              <w:top w:val="single" w:color="auto" w:sz="4" w:space="0"/>
              <w:left w:val="single" w:color="auto" w:sz="4" w:space="0"/>
              <w:bottom w:val="single" w:color="auto" w:sz="4" w:space="0"/>
              <w:right w:val="single" w:color="auto" w:sz="4" w:space="0"/>
            </w:tcBorders>
            <w:vAlign w:val="center"/>
          </w:tcPr>
          <w:p w14:paraId="0F200E8E">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704" w:type="pct"/>
            <w:tcBorders>
              <w:top w:val="single" w:color="auto" w:sz="4" w:space="0"/>
              <w:left w:val="single" w:color="auto" w:sz="4" w:space="0"/>
              <w:bottom w:val="single" w:color="auto" w:sz="4" w:space="0"/>
              <w:right w:val="single" w:color="auto" w:sz="4" w:space="0"/>
            </w:tcBorders>
            <w:vAlign w:val="center"/>
          </w:tcPr>
          <w:p w14:paraId="227E67F2">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498" w:type="pct"/>
            <w:tcBorders>
              <w:top w:val="single" w:color="auto" w:sz="4" w:space="0"/>
              <w:left w:val="single" w:color="auto" w:sz="4" w:space="0"/>
              <w:bottom w:val="single" w:color="auto" w:sz="4" w:space="0"/>
              <w:right w:val="single" w:color="auto" w:sz="4" w:space="0"/>
            </w:tcBorders>
            <w:vAlign w:val="center"/>
          </w:tcPr>
          <w:p w14:paraId="189B88C0">
            <w:pPr>
              <w:bidi w:val="0"/>
              <w:ind w:firstLine="482" w:firstLineChars="200"/>
              <w:rPr>
                <w:rFonts w:hint="eastAsia" w:ascii="Times New Roman" w:hAnsi="Times New Roman" w:eastAsia="宋体" w:cs="Times New Roman"/>
                <w:b w:val="0"/>
                <w:bCs w:val="0"/>
                <w:color w:val="auto"/>
                <w:u w:val="none"/>
                <w:lang w:val="en-US" w:eastAsia="zh-CN"/>
              </w:rPr>
            </w:pPr>
            <w:r>
              <w:rPr>
                <w:rFonts w:hint="eastAsia"/>
                <w:b/>
                <w:bCs/>
                <w:color w:val="auto"/>
                <w:u w:val="single"/>
                <w:lang w:val="en-US" w:eastAsia="zh-CN"/>
              </w:rPr>
              <w:t>*</w:t>
            </w:r>
          </w:p>
        </w:tc>
        <w:tc>
          <w:tcPr>
            <w:tcW w:w="498" w:type="pct"/>
            <w:tcBorders>
              <w:top w:val="single" w:color="auto" w:sz="4" w:space="0"/>
              <w:left w:val="single" w:color="auto" w:sz="4" w:space="0"/>
              <w:bottom w:val="single" w:color="auto" w:sz="4" w:space="0"/>
              <w:right w:val="single" w:color="auto" w:sz="4" w:space="0"/>
            </w:tcBorders>
            <w:vAlign w:val="center"/>
          </w:tcPr>
          <w:p w14:paraId="03B87133">
            <w:pPr>
              <w:bidi w:val="0"/>
              <w:ind w:firstLine="482" w:firstLineChars="200"/>
              <w:rPr>
                <w:rFonts w:hint="eastAsia"/>
                <w:color w:val="auto"/>
                <w:lang w:val="en-US" w:eastAsia="zh-CN"/>
              </w:rPr>
            </w:pPr>
            <w:r>
              <w:rPr>
                <w:rFonts w:hint="eastAsia"/>
                <w:b/>
                <w:bCs/>
                <w:color w:val="auto"/>
                <w:u w:val="single"/>
                <w:lang w:val="en-US" w:eastAsia="zh-CN"/>
              </w:rPr>
              <w:t>*</w:t>
            </w:r>
          </w:p>
        </w:tc>
        <w:tc>
          <w:tcPr>
            <w:tcW w:w="498" w:type="pct"/>
            <w:tcBorders>
              <w:top w:val="single" w:color="auto" w:sz="4" w:space="0"/>
              <w:left w:val="single" w:color="auto" w:sz="4" w:space="0"/>
              <w:bottom w:val="single" w:color="auto" w:sz="4" w:space="0"/>
              <w:right w:val="single" w:color="auto" w:sz="4" w:space="0"/>
            </w:tcBorders>
            <w:vAlign w:val="center"/>
          </w:tcPr>
          <w:p w14:paraId="5AFBE1DE">
            <w:pPr>
              <w:bidi w:val="0"/>
              <w:ind w:firstLine="482" w:firstLineChars="200"/>
              <w:rPr>
                <w:rFonts w:hint="default"/>
                <w:color w:val="auto"/>
                <w:lang w:val="en-US" w:eastAsia="zh-CN"/>
              </w:rPr>
            </w:pPr>
            <w:r>
              <w:rPr>
                <w:rFonts w:hint="eastAsia"/>
                <w:b/>
                <w:bCs/>
                <w:color w:val="auto"/>
                <w:u w:val="single"/>
                <w:lang w:val="en-US" w:eastAsia="zh-CN"/>
              </w:rPr>
              <w:t>*</w:t>
            </w:r>
          </w:p>
        </w:tc>
        <w:tc>
          <w:tcPr>
            <w:tcW w:w="502" w:type="pct"/>
            <w:tcBorders>
              <w:top w:val="single" w:color="auto" w:sz="4" w:space="0"/>
              <w:left w:val="single" w:color="auto" w:sz="4" w:space="0"/>
              <w:bottom w:val="single" w:color="auto" w:sz="4" w:space="0"/>
              <w:right w:val="single" w:color="auto" w:sz="4" w:space="0"/>
            </w:tcBorders>
            <w:vAlign w:val="center"/>
          </w:tcPr>
          <w:p w14:paraId="3D68981F">
            <w:pPr>
              <w:bidi w:val="0"/>
              <w:ind w:firstLine="482" w:firstLineChars="200"/>
              <w:rPr>
                <w:color w:val="auto"/>
              </w:rPr>
            </w:pPr>
            <w:r>
              <w:rPr>
                <w:rFonts w:hint="eastAsia"/>
                <w:b/>
                <w:bCs/>
                <w:color w:val="auto"/>
                <w:u w:val="single"/>
                <w:lang w:val="en-US" w:eastAsia="zh-CN"/>
              </w:rPr>
              <w:t>*</w:t>
            </w:r>
          </w:p>
        </w:tc>
      </w:tr>
      <w:tr w14:paraId="4D99A4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410" w:type="pct"/>
            <w:tcBorders>
              <w:top w:val="single" w:color="auto" w:sz="4" w:space="0"/>
              <w:left w:val="single" w:color="auto" w:sz="4" w:space="0"/>
              <w:bottom w:val="single" w:color="auto" w:sz="4" w:space="0"/>
              <w:right w:val="single" w:color="auto" w:sz="4" w:space="0"/>
            </w:tcBorders>
            <w:vAlign w:val="center"/>
          </w:tcPr>
          <w:p w14:paraId="35A9A757">
            <w:pPr>
              <w:bidi w:val="0"/>
              <w:ind w:firstLine="482" w:firstLineChars="200"/>
              <w:rPr>
                <w:rFonts w:hint="default"/>
                <w:color w:val="auto"/>
                <w:lang w:val="en-US" w:eastAsia="zh-CN"/>
              </w:rPr>
            </w:pPr>
            <w:r>
              <w:rPr>
                <w:rFonts w:hint="eastAsia"/>
                <w:b/>
                <w:bCs/>
                <w:color w:val="auto"/>
                <w:u w:val="single"/>
                <w:lang w:val="en-US" w:eastAsia="zh-CN"/>
              </w:rPr>
              <w:t>*</w:t>
            </w:r>
          </w:p>
        </w:tc>
        <w:tc>
          <w:tcPr>
            <w:tcW w:w="832" w:type="pct"/>
            <w:tcBorders>
              <w:top w:val="single" w:color="auto" w:sz="4" w:space="0"/>
              <w:left w:val="single" w:color="auto" w:sz="4" w:space="0"/>
              <w:bottom w:val="single" w:color="auto" w:sz="4" w:space="0"/>
              <w:right w:val="single" w:color="auto" w:sz="4" w:space="0"/>
            </w:tcBorders>
            <w:vAlign w:val="center"/>
          </w:tcPr>
          <w:p w14:paraId="22201963">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599" w:type="pct"/>
            <w:tcBorders>
              <w:top w:val="single" w:color="auto" w:sz="4" w:space="0"/>
              <w:left w:val="single" w:color="auto" w:sz="4" w:space="0"/>
              <w:bottom w:val="single" w:color="auto" w:sz="4" w:space="0"/>
              <w:right w:val="single" w:color="auto" w:sz="4" w:space="0"/>
            </w:tcBorders>
            <w:vAlign w:val="center"/>
          </w:tcPr>
          <w:p w14:paraId="14B148A7">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456" w:type="pct"/>
            <w:tcBorders>
              <w:top w:val="single" w:color="auto" w:sz="4" w:space="0"/>
              <w:left w:val="single" w:color="auto" w:sz="4" w:space="0"/>
              <w:bottom w:val="single" w:color="auto" w:sz="4" w:space="0"/>
              <w:right w:val="single" w:color="auto" w:sz="4" w:space="0"/>
            </w:tcBorders>
            <w:vAlign w:val="center"/>
          </w:tcPr>
          <w:p w14:paraId="5E2D8074">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704" w:type="pct"/>
            <w:tcBorders>
              <w:top w:val="single" w:color="auto" w:sz="4" w:space="0"/>
              <w:left w:val="single" w:color="auto" w:sz="4" w:space="0"/>
              <w:bottom w:val="single" w:color="auto" w:sz="4" w:space="0"/>
              <w:right w:val="single" w:color="auto" w:sz="4" w:space="0"/>
            </w:tcBorders>
            <w:vAlign w:val="center"/>
          </w:tcPr>
          <w:p w14:paraId="75F8EBE1">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498" w:type="pct"/>
            <w:tcBorders>
              <w:top w:val="single" w:color="auto" w:sz="4" w:space="0"/>
              <w:left w:val="single" w:color="auto" w:sz="4" w:space="0"/>
              <w:bottom w:val="single" w:color="auto" w:sz="4" w:space="0"/>
              <w:right w:val="single" w:color="auto" w:sz="4" w:space="0"/>
            </w:tcBorders>
            <w:vAlign w:val="center"/>
          </w:tcPr>
          <w:p w14:paraId="494C5F0C">
            <w:pPr>
              <w:bidi w:val="0"/>
              <w:ind w:firstLine="482" w:firstLineChars="200"/>
              <w:rPr>
                <w:rFonts w:hint="eastAsia" w:ascii="Times New Roman" w:hAnsi="Times New Roman" w:eastAsia="宋体" w:cs="Times New Roman"/>
                <w:b w:val="0"/>
                <w:bCs w:val="0"/>
                <w:color w:val="auto"/>
                <w:u w:val="none"/>
                <w:lang w:val="en-US" w:eastAsia="zh-CN"/>
              </w:rPr>
            </w:pPr>
            <w:r>
              <w:rPr>
                <w:rFonts w:hint="eastAsia"/>
                <w:b/>
                <w:bCs/>
                <w:color w:val="auto"/>
                <w:u w:val="single"/>
                <w:lang w:val="en-US" w:eastAsia="zh-CN"/>
              </w:rPr>
              <w:t>*</w:t>
            </w:r>
          </w:p>
        </w:tc>
        <w:tc>
          <w:tcPr>
            <w:tcW w:w="498" w:type="pct"/>
            <w:tcBorders>
              <w:top w:val="single" w:color="auto" w:sz="4" w:space="0"/>
              <w:left w:val="single" w:color="auto" w:sz="4" w:space="0"/>
              <w:bottom w:val="single" w:color="auto" w:sz="4" w:space="0"/>
              <w:right w:val="single" w:color="auto" w:sz="4" w:space="0"/>
            </w:tcBorders>
            <w:vAlign w:val="center"/>
          </w:tcPr>
          <w:p w14:paraId="05AEC347">
            <w:pPr>
              <w:bidi w:val="0"/>
              <w:ind w:firstLine="482" w:firstLineChars="200"/>
              <w:rPr>
                <w:rFonts w:hint="eastAsia"/>
                <w:color w:val="auto"/>
                <w:lang w:val="en-US" w:eastAsia="zh-CN"/>
              </w:rPr>
            </w:pPr>
            <w:r>
              <w:rPr>
                <w:rFonts w:hint="eastAsia"/>
                <w:b/>
                <w:bCs/>
                <w:color w:val="auto"/>
                <w:u w:val="single"/>
                <w:lang w:val="en-US" w:eastAsia="zh-CN"/>
              </w:rPr>
              <w:t>*</w:t>
            </w:r>
          </w:p>
        </w:tc>
        <w:tc>
          <w:tcPr>
            <w:tcW w:w="498" w:type="pct"/>
            <w:tcBorders>
              <w:top w:val="single" w:color="auto" w:sz="4" w:space="0"/>
              <w:left w:val="single" w:color="auto" w:sz="4" w:space="0"/>
              <w:bottom w:val="single" w:color="auto" w:sz="4" w:space="0"/>
              <w:right w:val="single" w:color="auto" w:sz="4" w:space="0"/>
            </w:tcBorders>
            <w:vAlign w:val="center"/>
          </w:tcPr>
          <w:p w14:paraId="53CF3968">
            <w:pPr>
              <w:bidi w:val="0"/>
              <w:ind w:firstLine="482" w:firstLineChars="200"/>
              <w:rPr>
                <w:rFonts w:hint="eastAsia"/>
                <w:color w:val="auto"/>
                <w:lang w:val="en-US" w:eastAsia="zh-CN"/>
              </w:rPr>
            </w:pPr>
            <w:r>
              <w:rPr>
                <w:rFonts w:hint="eastAsia"/>
                <w:b/>
                <w:bCs/>
                <w:color w:val="auto"/>
                <w:u w:val="single"/>
                <w:lang w:val="en-US" w:eastAsia="zh-CN"/>
              </w:rPr>
              <w:t>*</w:t>
            </w:r>
          </w:p>
        </w:tc>
        <w:tc>
          <w:tcPr>
            <w:tcW w:w="502" w:type="pct"/>
            <w:tcBorders>
              <w:top w:val="single" w:color="auto" w:sz="4" w:space="0"/>
              <w:left w:val="single" w:color="auto" w:sz="4" w:space="0"/>
              <w:bottom w:val="single" w:color="auto" w:sz="4" w:space="0"/>
              <w:right w:val="single" w:color="auto" w:sz="4" w:space="0"/>
            </w:tcBorders>
            <w:vAlign w:val="center"/>
          </w:tcPr>
          <w:p w14:paraId="1E0FE5E6">
            <w:pPr>
              <w:bidi w:val="0"/>
              <w:ind w:firstLine="482" w:firstLineChars="200"/>
              <w:rPr>
                <w:color w:val="auto"/>
              </w:rPr>
            </w:pPr>
            <w:r>
              <w:rPr>
                <w:rFonts w:hint="eastAsia"/>
                <w:b/>
                <w:bCs/>
                <w:color w:val="auto"/>
                <w:u w:val="single"/>
                <w:lang w:val="en-US" w:eastAsia="zh-CN"/>
              </w:rPr>
              <w:t>*</w:t>
            </w:r>
          </w:p>
        </w:tc>
      </w:tr>
    </w:tbl>
    <w:p w14:paraId="359175D6">
      <w:pPr>
        <w:bidi w:val="0"/>
        <w:rPr>
          <w:rFonts w:hint="default" w:eastAsia="宋体"/>
          <w:b w:val="0"/>
          <w:bCs w:val="0"/>
          <w:color w:val="auto"/>
          <w:u w:val="none"/>
          <w:lang w:val="en-US" w:eastAsia="zh-CN"/>
        </w:rPr>
      </w:pPr>
      <w:r>
        <w:rPr>
          <w:rFonts w:hint="eastAsia"/>
          <w:b/>
          <w:bCs/>
          <w:color w:val="auto"/>
          <w:u w:val="single"/>
        </w:rPr>
        <w:t>本项目依托厂区依托厂区现有TS004一般固废暂存间，面积 500 平方米，依托厂区现有TS003危险废物暂存间，面积264平方米，并对项目固废分类分区存放。</w:t>
      </w:r>
      <w:r>
        <w:rPr>
          <w:rFonts w:hint="eastAsia"/>
          <w:b/>
          <w:bCs/>
          <w:color w:val="auto"/>
          <w:u w:val="single"/>
          <w:lang w:val="en-US" w:eastAsia="zh-CN"/>
        </w:rPr>
        <w:t>经现场勘察，本项目依托厂区现有一般固废间及危废暂存间空间充足，地面干净，都采用分区存放方式储存，本项目依托厂区现有一般固废间及危废暂存间可行。</w:t>
      </w:r>
    </w:p>
    <w:p w14:paraId="20EFD7BD">
      <w:pPr>
        <w:bidi w:val="0"/>
        <w:rPr>
          <w:b w:val="0"/>
          <w:bCs w:val="0"/>
          <w:color w:val="auto"/>
          <w:u w:val="none"/>
        </w:rPr>
      </w:pPr>
      <w:r>
        <w:rPr>
          <w:rFonts w:hint="eastAsia"/>
          <w:b w:val="0"/>
          <w:bCs w:val="0"/>
          <w:color w:val="auto"/>
          <w:u w:val="none"/>
        </w:rPr>
        <w:t>厂区内一般工业固废暂存间已按照《一般工业固体废物贮存和填埋污染控制标准》（GB18599-</w:t>
      </w:r>
      <w:r>
        <w:rPr>
          <w:b w:val="0"/>
          <w:bCs w:val="0"/>
          <w:color w:val="auto"/>
          <w:u w:val="none"/>
        </w:rPr>
        <w:t>2020</w:t>
      </w:r>
      <w:r>
        <w:rPr>
          <w:rFonts w:hint="eastAsia"/>
          <w:b w:val="0"/>
          <w:bCs w:val="0"/>
          <w:color w:val="auto"/>
          <w:u w:val="none"/>
        </w:rPr>
        <w:t>）的相关要求进行建设，暂存间地面已硬化，并且有防渗、防风、防晒、防雨淋措施。工程产生的一般固废及时清运，尽量缩短在厂区内的堆存时间。</w:t>
      </w:r>
    </w:p>
    <w:p w14:paraId="2D700C71">
      <w:pPr>
        <w:bidi w:val="0"/>
        <w:rPr>
          <w:b/>
          <w:bCs/>
          <w:color w:val="auto"/>
          <w:u w:val="single"/>
        </w:rPr>
      </w:pPr>
      <w:r>
        <w:rPr>
          <w:rFonts w:hint="eastAsia"/>
          <w:b/>
          <w:bCs/>
          <w:color w:val="auto"/>
          <w:u w:val="single"/>
        </w:rPr>
        <w:t>厂区内危废暂存间地面已进行硬化防渗处理，并且有防风、防雨及防渗的“三防”措施；危险废物的贮存已严格按照《危险废物贮存污染控制标准》（GB 18597-2023）中相关规定进行；在危废的转移处置过程中，严格按照《中华人民共和国固体废物污染环境防治法》和《危险废物转移联单管理办法》有关规定执行。为了避免危险固废在厂区贮存过程中对环境的影响，工程已将其全部装入密闭容器中后临时存放于危废储存间内，定期送至有资质的危废处理单位（生产厂家）安全处置。</w:t>
      </w:r>
    </w:p>
    <w:p w14:paraId="5AC47CC3">
      <w:pPr>
        <w:bidi w:val="0"/>
        <w:rPr>
          <w:b w:val="0"/>
          <w:bCs w:val="0"/>
          <w:color w:val="auto"/>
          <w:u w:val="none"/>
        </w:rPr>
      </w:pPr>
      <w:r>
        <w:rPr>
          <w:rFonts w:hint="eastAsia"/>
          <w:b w:val="0"/>
          <w:bCs w:val="0"/>
          <w:color w:val="auto"/>
          <w:u w:val="none"/>
        </w:rPr>
        <w:t>综上所述，项目固废均能实现综合利用和安全处置。</w:t>
      </w:r>
    </w:p>
    <w:p w14:paraId="7906C5C9">
      <w:pPr>
        <w:pStyle w:val="3"/>
        <w:bidi w:val="0"/>
      </w:pPr>
      <w:r>
        <w:rPr>
          <w:rFonts w:hint="eastAsia"/>
          <w:lang w:val="en-US" w:eastAsia="zh-CN"/>
        </w:rPr>
        <w:t>中试试验</w:t>
      </w:r>
      <w:r>
        <w:rPr>
          <w:rFonts w:hint="default"/>
        </w:rPr>
        <w:t>非正常</w:t>
      </w:r>
      <w:r>
        <w:rPr>
          <w:rFonts w:hint="eastAsia"/>
          <w:lang w:val="en-US" w:eastAsia="zh-CN"/>
        </w:rPr>
        <w:t>情况</w:t>
      </w:r>
      <w:r>
        <w:rPr>
          <w:rFonts w:hint="default"/>
        </w:rPr>
        <w:t>污染分析</w:t>
      </w:r>
      <w:bookmarkEnd w:id="175"/>
    </w:p>
    <w:p w14:paraId="04C0B1A0">
      <w:pPr>
        <w:bidi w:val="0"/>
        <w:rPr>
          <w:rFonts w:hint="default"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非正常工况排污主要包括生产设备的正常开、停车和设备检修时，以及环保设施达不到设计要求时的排放的污染物。</w:t>
      </w:r>
    </w:p>
    <w:p w14:paraId="1840F31A">
      <w:pPr>
        <w:bidi w:val="0"/>
        <w:rPr>
          <w:rFonts w:hint="default"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本</w:t>
      </w:r>
      <w:r>
        <w:rPr>
          <w:rFonts w:hint="default" w:ascii="Times New Roman" w:hAnsi="Times New Roman" w:eastAsia="宋体" w:cs="Times New Roman"/>
          <w:b/>
          <w:bCs/>
          <w:color w:val="auto"/>
          <w:u w:val="single"/>
          <w:lang w:val="en-US" w:eastAsia="zh-CN"/>
        </w:rPr>
        <w:t>项目生产过程中产生的非正常排放主要是生产过程设备</w:t>
      </w:r>
      <w:r>
        <w:rPr>
          <w:rFonts w:hint="eastAsia" w:ascii="Times New Roman" w:hAnsi="Times New Roman" w:eastAsia="宋体" w:cs="Times New Roman"/>
          <w:b/>
          <w:bCs/>
          <w:color w:val="auto"/>
          <w:u w:val="single"/>
          <w:lang w:val="en-US" w:eastAsia="zh-CN"/>
        </w:rPr>
        <w:t>的正常开、停车和设备</w:t>
      </w:r>
      <w:r>
        <w:rPr>
          <w:rFonts w:hint="default" w:ascii="Times New Roman" w:hAnsi="Times New Roman" w:eastAsia="宋体" w:cs="Times New Roman"/>
          <w:b/>
          <w:bCs/>
          <w:color w:val="auto"/>
          <w:u w:val="single"/>
          <w:lang w:val="en-US" w:eastAsia="zh-CN"/>
        </w:rPr>
        <w:t>检修</w:t>
      </w:r>
      <w:r>
        <w:rPr>
          <w:rFonts w:hint="eastAsia" w:ascii="Times New Roman" w:hAnsi="Times New Roman" w:eastAsia="宋体" w:cs="Times New Roman"/>
          <w:b/>
          <w:bCs/>
          <w:color w:val="auto"/>
          <w:u w:val="single"/>
          <w:lang w:val="en-US" w:eastAsia="zh-CN"/>
        </w:rPr>
        <w:t>时，</w:t>
      </w:r>
      <w:r>
        <w:rPr>
          <w:rFonts w:hint="default" w:ascii="Times New Roman" w:hAnsi="Times New Roman" w:eastAsia="宋体" w:cs="Times New Roman"/>
          <w:b/>
          <w:bCs/>
          <w:color w:val="auto"/>
          <w:u w:val="single"/>
          <w:lang w:val="en-US" w:eastAsia="zh-CN"/>
        </w:rPr>
        <w:t>导致污染物排放控制措施达不到应有效率时引起的污染物排放，本项目废气污染物</w:t>
      </w:r>
      <w:r>
        <w:rPr>
          <w:rFonts w:hint="eastAsia" w:ascii="Times New Roman" w:hAnsi="Times New Roman" w:eastAsia="宋体" w:cs="Times New Roman"/>
          <w:b/>
          <w:bCs/>
          <w:color w:val="auto"/>
          <w:u w:val="single"/>
          <w:lang w:val="en-US" w:eastAsia="zh-CN"/>
        </w:rPr>
        <w:t>非甲烷总烃</w:t>
      </w:r>
      <w:r>
        <w:rPr>
          <w:rFonts w:hint="default" w:ascii="Times New Roman" w:hAnsi="Times New Roman" w:eastAsia="宋体" w:cs="Times New Roman"/>
          <w:b/>
          <w:bCs/>
          <w:color w:val="auto"/>
          <w:u w:val="single"/>
          <w:lang w:val="en-US" w:eastAsia="zh-CN"/>
        </w:rPr>
        <w:t>，废气治理措施出现故障，废气处理效率按照</w:t>
      </w:r>
      <w:r>
        <w:rPr>
          <w:rFonts w:hint="eastAsia" w:ascii="Times New Roman" w:hAnsi="Times New Roman" w:eastAsia="宋体" w:cs="Times New Roman"/>
          <w:b/>
          <w:bCs/>
          <w:color w:val="auto"/>
          <w:u w:val="single"/>
          <w:lang w:val="en-US" w:eastAsia="zh-CN"/>
        </w:rPr>
        <w:t>0%</w:t>
      </w:r>
      <w:r>
        <w:rPr>
          <w:rFonts w:hint="default" w:ascii="Times New Roman" w:hAnsi="Times New Roman" w:eastAsia="宋体" w:cs="Times New Roman"/>
          <w:b/>
          <w:bCs/>
          <w:color w:val="auto"/>
          <w:u w:val="single"/>
          <w:lang w:val="en-US" w:eastAsia="zh-CN"/>
        </w:rPr>
        <w:t>计算，本项目非正常工况下废气污染源排放参数见下表。</w:t>
      </w:r>
    </w:p>
    <w:p w14:paraId="18AC2A7C">
      <w:pPr>
        <w:pStyle w:val="10"/>
        <w:bidi w:val="0"/>
        <w:rPr>
          <w:b/>
          <w:bCs/>
          <w:u w:val="single"/>
        </w:rPr>
      </w:pPr>
      <w:r>
        <w:rPr>
          <w:rFonts w:hint="eastAsia"/>
          <w:b/>
          <w:bCs/>
          <w:u w:val="single"/>
          <w:lang w:val="en-US" w:eastAsia="zh-CN"/>
        </w:rPr>
        <w:t xml:space="preserve"> 表 </w:t>
      </w:r>
      <w:r>
        <w:rPr>
          <w:rFonts w:hint="eastAsia"/>
          <w:b/>
          <w:bCs/>
          <w:u w:val="single"/>
          <w:lang w:val="en-US" w:eastAsia="zh-CN"/>
        </w:rPr>
        <w:fldChar w:fldCharType="begin"/>
      </w:r>
      <w:r>
        <w:rPr>
          <w:rFonts w:hint="eastAsia"/>
          <w:b/>
          <w:bCs/>
          <w:u w:val="single"/>
          <w:lang w:val="en-US" w:eastAsia="zh-CN"/>
        </w:rPr>
        <w:instrText xml:space="preserve"> STYLEREF 2 \s </w:instrText>
      </w:r>
      <w:r>
        <w:rPr>
          <w:rFonts w:hint="eastAsia"/>
          <w:b/>
          <w:bCs/>
          <w:u w:val="single"/>
          <w:lang w:val="en-US" w:eastAsia="zh-CN"/>
        </w:rPr>
        <w:fldChar w:fldCharType="separate"/>
      </w:r>
      <w:r>
        <w:rPr>
          <w:rFonts w:hint="eastAsia"/>
          <w:b/>
          <w:bCs/>
          <w:u w:val="single"/>
          <w:lang w:val="en-US" w:eastAsia="zh-CN"/>
        </w:rPr>
        <w:t>4.7</w:t>
      </w:r>
      <w:r>
        <w:rPr>
          <w:rFonts w:hint="eastAsia"/>
          <w:b/>
          <w:bCs/>
          <w:u w:val="single"/>
          <w:lang w:val="en-US" w:eastAsia="zh-CN"/>
        </w:rPr>
        <w:fldChar w:fldCharType="end"/>
      </w:r>
      <w:r>
        <w:rPr>
          <w:rFonts w:hint="eastAsia"/>
          <w:b/>
          <w:bCs/>
          <w:u w:val="single"/>
          <w:lang w:val="en-US" w:eastAsia="zh-CN"/>
        </w:rPr>
        <w:t>-</w:t>
      </w:r>
      <w:r>
        <w:rPr>
          <w:rFonts w:hint="eastAsia"/>
          <w:b/>
          <w:bCs/>
          <w:u w:val="single"/>
          <w:lang w:val="en-US" w:eastAsia="zh-CN"/>
        </w:rPr>
        <w:fldChar w:fldCharType="begin"/>
      </w:r>
      <w:r>
        <w:rPr>
          <w:rFonts w:hint="eastAsia"/>
          <w:b/>
          <w:bCs/>
          <w:u w:val="single"/>
          <w:lang w:val="en-US" w:eastAsia="zh-CN"/>
        </w:rPr>
        <w:instrText xml:space="preserve"> SEQ 表 \* ARABIC \s 2 </w:instrText>
      </w:r>
      <w:r>
        <w:rPr>
          <w:rFonts w:hint="eastAsia"/>
          <w:b/>
          <w:bCs/>
          <w:u w:val="single"/>
          <w:lang w:val="en-US" w:eastAsia="zh-CN"/>
        </w:rPr>
        <w:fldChar w:fldCharType="separate"/>
      </w:r>
      <w:r>
        <w:rPr>
          <w:rFonts w:hint="eastAsia"/>
          <w:b/>
          <w:bCs/>
          <w:u w:val="single"/>
          <w:lang w:val="en-US" w:eastAsia="zh-CN"/>
        </w:rPr>
        <w:t>1</w:t>
      </w:r>
      <w:r>
        <w:rPr>
          <w:rFonts w:hint="eastAsia"/>
          <w:b/>
          <w:bCs/>
          <w:u w:val="single"/>
          <w:lang w:val="en-US" w:eastAsia="zh-CN"/>
        </w:rPr>
        <w:fldChar w:fldCharType="end"/>
      </w:r>
      <w:r>
        <w:rPr>
          <w:rFonts w:hint="eastAsia"/>
          <w:b/>
          <w:bCs/>
          <w:u w:val="single"/>
          <w:lang w:val="en-US" w:eastAsia="zh-CN"/>
        </w:rPr>
        <w:t xml:space="preserve">  </w:t>
      </w:r>
      <w:r>
        <w:rPr>
          <w:rFonts w:hint="default"/>
          <w:b/>
          <w:bCs/>
          <w:u w:val="single"/>
          <w:lang w:val="en-US" w:eastAsia="zh-CN"/>
        </w:rPr>
        <w:t>非正常排放参数表</w:t>
      </w:r>
    </w:p>
    <w:tbl>
      <w:tblPr>
        <w:tblStyle w:val="32"/>
        <w:tblW w:w="49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1351"/>
        <w:gridCol w:w="949"/>
        <w:gridCol w:w="1187"/>
        <w:gridCol w:w="767"/>
        <w:gridCol w:w="879"/>
        <w:gridCol w:w="1070"/>
        <w:gridCol w:w="1245"/>
      </w:tblGrid>
      <w:tr w14:paraId="6877E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3" w:type="pct"/>
            <w:tcBorders>
              <w:tl2br w:val="nil"/>
              <w:tr2bl w:val="nil"/>
            </w:tcBorders>
            <w:noWrap w:val="0"/>
            <w:vAlign w:val="center"/>
          </w:tcPr>
          <w:p w14:paraId="2C4918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r>
              <w:rPr>
                <w:rFonts w:hint="default"/>
                <w:b/>
                <w:bCs/>
                <w:color w:val="auto"/>
                <w:sz w:val="21"/>
                <w:szCs w:val="21"/>
                <w:u w:val="single"/>
                <w:lang w:val="en-US" w:eastAsia="zh-CN"/>
              </w:rPr>
              <w:t>非正常排放源</w:t>
            </w:r>
          </w:p>
        </w:tc>
        <w:tc>
          <w:tcPr>
            <w:tcW w:w="793" w:type="pct"/>
            <w:tcBorders>
              <w:tl2br w:val="nil"/>
              <w:tr2bl w:val="nil"/>
            </w:tcBorders>
            <w:noWrap w:val="0"/>
            <w:vAlign w:val="center"/>
          </w:tcPr>
          <w:p w14:paraId="578088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r>
              <w:rPr>
                <w:rFonts w:hint="default"/>
                <w:b/>
                <w:bCs/>
                <w:color w:val="auto"/>
                <w:sz w:val="21"/>
                <w:szCs w:val="21"/>
                <w:u w:val="single"/>
                <w:lang w:val="en-US" w:eastAsia="zh-CN"/>
              </w:rPr>
              <w:t>非正常排放原因</w:t>
            </w:r>
          </w:p>
        </w:tc>
        <w:tc>
          <w:tcPr>
            <w:tcW w:w="557" w:type="pct"/>
            <w:tcBorders>
              <w:tl2br w:val="nil"/>
              <w:tr2bl w:val="nil"/>
            </w:tcBorders>
            <w:noWrap w:val="0"/>
            <w:vAlign w:val="center"/>
          </w:tcPr>
          <w:p w14:paraId="48CA8B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r>
              <w:rPr>
                <w:rFonts w:hint="default"/>
                <w:b/>
                <w:bCs/>
                <w:color w:val="auto"/>
                <w:sz w:val="21"/>
                <w:szCs w:val="21"/>
                <w:u w:val="single"/>
                <w:lang w:val="en-US" w:eastAsia="zh-CN"/>
              </w:rPr>
              <w:t>污染物</w:t>
            </w:r>
          </w:p>
        </w:tc>
        <w:tc>
          <w:tcPr>
            <w:tcW w:w="697" w:type="pct"/>
            <w:tcBorders>
              <w:tl2br w:val="nil"/>
              <w:tr2bl w:val="nil"/>
            </w:tcBorders>
            <w:noWrap w:val="0"/>
            <w:vAlign w:val="center"/>
          </w:tcPr>
          <w:p w14:paraId="4D9A75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r>
              <w:rPr>
                <w:rFonts w:hint="default"/>
                <w:b/>
                <w:bCs/>
                <w:color w:val="auto"/>
                <w:sz w:val="21"/>
                <w:szCs w:val="21"/>
                <w:u w:val="single"/>
                <w:lang w:val="en-US" w:eastAsia="zh-CN"/>
              </w:rPr>
              <w:t>非正常排放速率（kg/h）</w:t>
            </w:r>
          </w:p>
        </w:tc>
        <w:tc>
          <w:tcPr>
            <w:tcW w:w="450" w:type="pct"/>
            <w:tcBorders>
              <w:tl2br w:val="nil"/>
              <w:tr2bl w:val="nil"/>
            </w:tcBorders>
            <w:noWrap w:val="0"/>
            <w:vAlign w:val="center"/>
          </w:tcPr>
          <w:p w14:paraId="39D6D7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r>
              <w:rPr>
                <w:rFonts w:hint="default"/>
                <w:b/>
                <w:bCs/>
                <w:color w:val="auto"/>
                <w:sz w:val="21"/>
                <w:szCs w:val="21"/>
                <w:u w:val="single"/>
                <w:lang w:val="en-US" w:eastAsia="zh-CN"/>
              </w:rPr>
              <w:t>单次持续时间/h</w:t>
            </w:r>
          </w:p>
        </w:tc>
        <w:tc>
          <w:tcPr>
            <w:tcW w:w="516" w:type="pct"/>
            <w:tcBorders>
              <w:tl2br w:val="nil"/>
              <w:tr2bl w:val="nil"/>
            </w:tcBorders>
            <w:noWrap w:val="0"/>
            <w:vAlign w:val="center"/>
          </w:tcPr>
          <w:p w14:paraId="206617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r>
              <w:rPr>
                <w:rFonts w:hint="default"/>
                <w:b/>
                <w:bCs/>
                <w:color w:val="auto"/>
                <w:sz w:val="21"/>
                <w:szCs w:val="21"/>
                <w:u w:val="single"/>
                <w:lang w:val="en-US" w:eastAsia="zh-CN"/>
              </w:rPr>
              <w:t>年发生频次/次</w:t>
            </w:r>
          </w:p>
        </w:tc>
        <w:tc>
          <w:tcPr>
            <w:tcW w:w="628" w:type="pct"/>
            <w:tcBorders>
              <w:tl2br w:val="nil"/>
              <w:tr2bl w:val="nil"/>
            </w:tcBorders>
            <w:noWrap w:val="0"/>
            <w:vAlign w:val="center"/>
          </w:tcPr>
          <w:p w14:paraId="610714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r>
              <w:rPr>
                <w:rFonts w:hint="default"/>
                <w:b/>
                <w:bCs/>
                <w:color w:val="auto"/>
                <w:sz w:val="21"/>
                <w:szCs w:val="21"/>
                <w:u w:val="single"/>
                <w:lang w:val="en-US" w:eastAsia="zh-CN"/>
              </w:rPr>
              <w:t>非正常排放量（kg/a）</w:t>
            </w:r>
          </w:p>
        </w:tc>
        <w:tc>
          <w:tcPr>
            <w:tcW w:w="731" w:type="pct"/>
            <w:tcBorders>
              <w:tl2br w:val="nil"/>
              <w:tr2bl w:val="nil"/>
            </w:tcBorders>
            <w:noWrap w:val="0"/>
            <w:vAlign w:val="center"/>
          </w:tcPr>
          <w:p w14:paraId="76E8E5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r>
              <w:rPr>
                <w:rFonts w:hint="default"/>
                <w:b/>
                <w:bCs/>
                <w:color w:val="auto"/>
                <w:sz w:val="21"/>
                <w:szCs w:val="21"/>
                <w:u w:val="single"/>
                <w:lang w:val="en-US" w:eastAsia="zh-CN"/>
              </w:rPr>
              <w:t>采取措施</w:t>
            </w:r>
          </w:p>
        </w:tc>
      </w:tr>
      <w:tr w14:paraId="2192E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3" w:type="pct"/>
            <w:tcBorders>
              <w:tl2br w:val="nil"/>
              <w:tr2bl w:val="nil"/>
            </w:tcBorders>
            <w:noWrap w:val="0"/>
            <w:vAlign w:val="center"/>
          </w:tcPr>
          <w:p w14:paraId="2B454235">
            <w:pPr>
              <w:keepNext w:val="0"/>
              <w:keepLines w:val="0"/>
              <w:pageBreakBefore w:val="0"/>
              <w:widowControl w:val="0"/>
              <w:kinsoku/>
              <w:wordWrap/>
              <w:overflowPunct/>
              <w:topLinePunct w:val="0"/>
              <w:autoSpaceDE/>
              <w:autoSpaceDN/>
              <w:bidi w:val="0"/>
              <w:adjustRightInd w:val="0"/>
              <w:snapToGrid w:val="0"/>
              <w:ind w:firstLine="482" w:firstLineChars="200"/>
              <w:textAlignment w:val="auto"/>
              <w:rPr>
                <w:rFonts w:hint="default"/>
                <w:b/>
                <w:bCs/>
                <w:color w:val="auto"/>
                <w:sz w:val="21"/>
                <w:szCs w:val="21"/>
                <w:u w:val="single"/>
                <w:lang w:val="en-US" w:eastAsia="zh-CN"/>
              </w:rPr>
            </w:pPr>
            <w:r>
              <w:rPr>
                <w:rFonts w:hint="eastAsia"/>
                <w:b/>
                <w:bCs/>
                <w:color w:val="auto"/>
                <w:u w:val="single"/>
                <w:lang w:val="en-US" w:eastAsia="zh-CN"/>
              </w:rPr>
              <w:t>*</w:t>
            </w:r>
          </w:p>
        </w:tc>
        <w:tc>
          <w:tcPr>
            <w:tcW w:w="793" w:type="pct"/>
            <w:vMerge w:val="restart"/>
            <w:tcBorders>
              <w:tl2br w:val="nil"/>
              <w:tr2bl w:val="nil"/>
            </w:tcBorders>
            <w:noWrap w:val="0"/>
            <w:vAlign w:val="center"/>
          </w:tcPr>
          <w:p w14:paraId="7A3A0B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r>
              <w:rPr>
                <w:rFonts w:hint="default"/>
                <w:b/>
                <w:bCs/>
                <w:color w:val="auto"/>
                <w:sz w:val="21"/>
                <w:szCs w:val="21"/>
                <w:u w:val="single"/>
                <w:lang w:val="en-US" w:eastAsia="zh-CN"/>
              </w:rPr>
              <w:t>污染物排放控制措施达不到应有效率，处理效率为</w:t>
            </w:r>
            <w:r>
              <w:rPr>
                <w:rFonts w:hint="eastAsia" w:ascii="Times New Roman" w:eastAsia="宋体"/>
                <w:b/>
                <w:bCs/>
                <w:color w:val="auto"/>
                <w:sz w:val="21"/>
                <w:szCs w:val="21"/>
                <w:u w:val="single"/>
                <w:lang w:val="en-US" w:eastAsia="zh-CN"/>
              </w:rPr>
              <w:t>0%</w:t>
            </w:r>
          </w:p>
        </w:tc>
        <w:tc>
          <w:tcPr>
            <w:tcW w:w="557" w:type="pct"/>
            <w:tcBorders>
              <w:tl2br w:val="nil"/>
              <w:tr2bl w:val="nil"/>
            </w:tcBorders>
            <w:noWrap w:val="0"/>
            <w:vAlign w:val="center"/>
          </w:tcPr>
          <w:p w14:paraId="5FD86338">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b/>
                <w:bCs/>
                <w:color w:val="auto"/>
                <w:sz w:val="21"/>
                <w:szCs w:val="21"/>
                <w:u w:val="single"/>
                <w:lang w:val="en-US" w:eastAsia="zh-CN"/>
              </w:rPr>
            </w:pPr>
            <w:r>
              <w:rPr>
                <w:rFonts w:hint="eastAsia"/>
                <w:b/>
                <w:bCs/>
                <w:u w:val="single"/>
                <w:lang w:val="en-US" w:eastAsia="zh-CN"/>
              </w:rPr>
              <w:t>颗粒物</w:t>
            </w:r>
          </w:p>
        </w:tc>
        <w:tc>
          <w:tcPr>
            <w:tcW w:w="697" w:type="pct"/>
            <w:tcBorders>
              <w:tl2br w:val="nil"/>
              <w:tr2bl w:val="nil"/>
            </w:tcBorders>
            <w:noWrap w:val="0"/>
            <w:vAlign w:val="center"/>
          </w:tcPr>
          <w:p w14:paraId="45519B97">
            <w:pPr>
              <w:keepNext w:val="0"/>
              <w:keepLines w:val="0"/>
              <w:pageBreakBefore w:val="0"/>
              <w:widowControl w:val="0"/>
              <w:kinsoku/>
              <w:wordWrap/>
              <w:overflowPunct/>
              <w:topLinePunct w:val="0"/>
              <w:autoSpaceDE/>
              <w:autoSpaceDN/>
              <w:bidi w:val="0"/>
              <w:adjustRightInd w:val="0"/>
              <w:snapToGrid w:val="0"/>
              <w:ind w:firstLine="482" w:firstLineChars="200"/>
              <w:textAlignment w:val="auto"/>
              <w:rPr>
                <w:rFonts w:hint="default"/>
                <w:b/>
                <w:bCs/>
                <w:color w:val="auto"/>
                <w:sz w:val="21"/>
                <w:szCs w:val="21"/>
                <w:u w:val="single"/>
                <w:lang w:val="en-US" w:eastAsia="zh-CN"/>
              </w:rPr>
            </w:pPr>
            <w:r>
              <w:rPr>
                <w:rFonts w:hint="eastAsia"/>
                <w:b/>
                <w:bCs/>
                <w:color w:val="auto"/>
                <w:u w:val="single"/>
                <w:lang w:val="en-US" w:eastAsia="zh-CN"/>
              </w:rPr>
              <w:t>*</w:t>
            </w:r>
          </w:p>
        </w:tc>
        <w:tc>
          <w:tcPr>
            <w:tcW w:w="450" w:type="pct"/>
            <w:tcBorders>
              <w:tl2br w:val="nil"/>
              <w:tr2bl w:val="nil"/>
            </w:tcBorders>
            <w:noWrap w:val="0"/>
            <w:vAlign w:val="center"/>
          </w:tcPr>
          <w:p w14:paraId="0339A2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2" w:firstLineChars="200"/>
              <w:jc w:val="center"/>
              <w:textAlignment w:val="auto"/>
              <w:rPr>
                <w:rFonts w:hint="default"/>
                <w:b/>
                <w:bCs/>
                <w:color w:val="auto"/>
                <w:sz w:val="21"/>
                <w:szCs w:val="21"/>
                <w:u w:val="single"/>
                <w:lang w:val="en-US" w:eastAsia="zh-CN"/>
              </w:rPr>
            </w:pPr>
            <w:r>
              <w:rPr>
                <w:rFonts w:hint="eastAsia"/>
                <w:b/>
                <w:bCs/>
                <w:color w:val="auto"/>
                <w:u w:val="single"/>
                <w:lang w:val="en-US" w:eastAsia="zh-CN"/>
              </w:rPr>
              <w:t>*</w:t>
            </w:r>
          </w:p>
        </w:tc>
        <w:tc>
          <w:tcPr>
            <w:tcW w:w="516" w:type="pct"/>
            <w:tcBorders>
              <w:tl2br w:val="nil"/>
              <w:tr2bl w:val="nil"/>
            </w:tcBorders>
            <w:noWrap w:val="0"/>
            <w:vAlign w:val="center"/>
          </w:tcPr>
          <w:p w14:paraId="105865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2" w:firstLineChars="200"/>
              <w:jc w:val="center"/>
              <w:textAlignment w:val="auto"/>
              <w:rPr>
                <w:rFonts w:hint="default"/>
                <w:b/>
                <w:bCs/>
                <w:color w:val="auto"/>
                <w:sz w:val="21"/>
                <w:szCs w:val="21"/>
                <w:u w:val="single"/>
                <w:lang w:val="en-US" w:eastAsia="zh-CN"/>
              </w:rPr>
            </w:pPr>
            <w:r>
              <w:rPr>
                <w:rFonts w:hint="eastAsia"/>
                <w:b/>
                <w:bCs/>
                <w:color w:val="auto"/>
                <w:u w:val="single"/>
                <w:lang w:val="en-US" w:eastAsia="zh-CN"/>
              </w:rPr>
              <w:t>*</w:t>
            </w:r>
          </w:p>
        </w:tc>
        <w:tc>
          <w:tcPr>
            <w:tcW w:w="1070" w:type="dxa"/>
            <w:tcBorders>
              <w:tl2br w:val="nil"/>
              <w:tr2bl w:val="nil"/>
            </w:tcBorders>
            <w:noWrap w:val="0"/>
            <w:vAlign w:val="center"/>
          </w:tcPr>
          <w:p w14:paraId="5D3A15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2" w:firstLineChars="200"/>
              <w:jc w:val="center"/>
              <w:textAlignment w:val="auto"/>
              <w:rPr>
                <w:rFonts w:hint="default" w:ascii="Times New Roman" w:hAnsi="Times New Roman" w:eastAsia="宋体" w:cs="Times New Roman"/>
                <w:b/>
                <w:bCs/>
                <w:color w:val="auto"/>
                <w:sz w:val="21"/>
                <w:szCs w:val="21"/>
                <w:u w:val="single"/>
                <w:lang w:val="en-US" w:eastAsia="zh-CN"/>
              </w:rPr>
            </w:pPr>
            <w:r>
              <w:rPr>
                <w:rFonts w:hint="eastAsia"/>
                <w:b/>
                <w:bCs/>
                <w:color w:val="auto"/>
                <w:u w:val="single"/>
                <w:lang w:val="en-US" w:eastAsia="zh-CN"/>
              </w:rPr>
              <w:t>*</w:t>
            </w:r>
          </w:p>
        </w:tc>
        <w:tc>
          <w:tcPr>
            <w:tcW w:w="731" w:type="pct"/>
            <w:vMerge w:val="restart"/>
            <w:tcBorders>
              <w:tl2br w:val="nil"/>
              <w:tr2bl w:val="nil"/>
            </w:tcBorders>
            <w:noWrap w:val="0"/>
            <w:vAlign w:val="center"/>
          </w:tcPr>
          <w:p w14:paraId="3B62D3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r>
              <w:rPr>
                <w:rFonts w:hint="default"/>
                <w:b/>
                <w:bCs/>
                <w:color w:val="auto"/>
                <w:sz w:val="21"/>
                <w:szCs w:val="21"/>
                <w:u w:val="single"/>
                <w:lang w:val="en-US" w:eastAsia="zh-CN"/>
              </w:rPr>
              <w:t>产生废气的工序及时停止运行</w:t>
            </w:r>
          </w:p>
        </w:tc>
      </w:tr>
      <w:tr w14:paraId="62502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623" w:type="pct"/>
            <w:tcBorders>
              <w:tl2br w:val="nil"/>
              <w:tr2bl w:val="nil"/>
            </w:tcBorders>
            <w:noWrap w:val="0"/>
            <w:vAlign w:val="center"/>
          </w:tcPr>
          <w:p w14:paraId="2BC5D121">
            <w:pPr>
              <w:keepNext w:val="0"/>
              <w:keepLines w:val="0"/>
              <w:pageBreakBefore w:val="0"/>
              <w:widowControl w:val="0"/>
              <w:kinsoku/>
              <w:wordWrap/>
              <w:overflowPunct/>
              <w:topLinePunct w:val="0"/>
              <w:autoSpaceDE/>
              <w:autoSpaceDN/>
              <w:bidi w:val="0"/>
              <w:adjustRightInd w:val="0"/>
              <w:snapToGrid w:val="0"/>
              <w:ind w:firstLine="482" w:firstLineChars="200"/>
              <w:textAlignment w:val="auto"/>
              <w:rPr>
                <w:rFonts w:hint="default"/>
                <w:b/>
                <w:bCs/>
                <w:color w:val="auto"/>
                <w:sz w:val="21"/>
                <w:szCs w:val="21"/>
                <w:u w:val="single"/>
                <w:lang w:val="en-US" w:eastAsia="zh-CN"/>
              </w:rPr>
            </w:pPr>
            <w:r>
              <w:rPr>
                <w:rFonts w:hint="eastAsia"/>
                <w:b/>
                <w:bCs/>
                <w:color w:val="auto"/>
                <w:u w:val="single"/>
                <w:lang w:val="en-US" w:eastAsia="zh-CN"/>
              </w:rPr>
              <w:t>*</w:t>
            </w:r>
          </w:p>
        </w:tc>
        <w:tc>
          <w:tcPr>
            <w:tcW w:w="793" w:type="pct"/>
            <w:vMerge w:val="continue"/>
            <w:tcBorders>
              <w:tl2br w:val="nil"/>
              <w:tr2bl w:val="nil"/>
            </w:tcBorders>
            <w:noWrap w:val="0"/>
            <w:vAlign w:val="center"/>
          </w:tcPr>
          <w:p w14:paraId="01C978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p>
        </w:tc>
        <w:tc>
          <w:tcPr>
            <w:tcW w:w="557" w:type="pct"/>
            <w:vMerge w:val="restart"/>
            <w:tcBorders>
              <w:tl2br w:val="nil"/>
              <w:tr2bl w:val="nil"/>
            </w:tcBorders>
            <w:noWrap w:val="0"/>
            <w:vAlign w:val="center"/>
          </w:tcPr>
          <w:p w14:paraId="5E73AD5F">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b/>
                <w:bCs/>
                <w:color w:val="auto"/>
                <w:sz w:val="21"/>
                <w:szCs w:val="21"/>
                <w:u w:val="single"/>
                <w:lang w:val="en-US" w:eastAsia="zh-CN"/>
              </w:rPr>
            </w:pPr>
            <w:r>
              <w:rPr>
                <w:rFonts w:hint="eastAsia"/>
                <w:b/>
                <w:bCs/>
                <w:u w:val="single"/>
                <w:lang w:val="en-US" w:eastAsia="zh-CN"/>
              </w:rPr>
              <w:t>非甲烷总烃</w:t>
            </w:r>
          </w:p>
        </w:tc>
        <w:tc>
          <w:tcPr>
            <w:tcW w:w="697" w:type="pct"/>
            <w:vMerge w:val="restart"/>
            <w:tcBorders>
              <w:tl2br w:val="nil"/>
              <w:tr2bl w:val="nil"/>
            </w:tcBorders>
            <w:noWrap w:val="0"/>
            <w:vAlign w:val="center"/>
          </w:tcPr>
          <w:p w14:paraId="57692445">
            <w:pPr>
              <w:keepNext w:val="0"/>
              <w:keepLines w:val="0"/>
              <w:pageBreakBefore w:val="0"/>
              <w:widowControl w:val="0"/>
              <w:kinsoku/>
              <w:wordWrap/>
              <w:overflowPunct/>
              <w:topLinePunct w:val="0"/>
              <w:autoSpaceDE/>
              <w:autoSpaceDN/>
              <w:bidi w:val="0"/>
              <w:adjustRightInd w:val="0"/>
              <w:snapToGrid w:val="0"/>
              <w:ind w:firstLine="482" w:firstLineChars="200"/>
              <w:textAlignment w:val="auto"/>
              <w:rPr>
                <w:rFonts w:hint="default"/>
                <w:b/>
                <w:bCs/>
                <w:color w:val="auto"/>
                <w:sz w:val="21"/>
                <w:szCs w:val="21"/>
                <w:u w:val="single"/>
                <w:lang w:val="en-US" w:eastAsia="zh-CN"/>
              </w:rPr>
            </w:pPr>
            <w:r>
              <w:rPr>
                <w:rFonts w:hint="eastAsia"/>
                <w:b/>
                <w:bCs/>
                <w:color w:val="auto"/>
                <w:u w:val="single"/>
                <w:lang w:val="en-US" w:eastAsia="zh-CN"/>
              </w:rPr>
              <w:t>*</w:t>
            </w:r>
          </w:p>
        </w:tc>
        <w:tc>
          <w:tcPr>
            <w:tcW w:w="450" w:type="pct"/>
            <w:vMerge w:val="restart"/>
            <w:tcBorders>
              <w:tl2br w:val="nil"/>
              <w:tr2bl w:val="nil"/>
            </w:tcBorders>
            <w:noWrap w:val="0"/>
            <w:vAlign w:val="center"/>
          </w:tcPr>
          <w:p w14:paraId="665C24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82" w:firstLineChars="200"/>
              <w:jc w:val="center"/>
              <w:textAlignment w:val="auto"/>
              <w:rPr>
                <w:rFonts w:hint="default"/>
                <w:b/>
                <w:bCs/>
                <w:color w:val="auto"/>
                <w:sz w:val="21"/>
                <w:szCs w:val="21"/>
                <w:u w:val="single"/>
                <w:lang w:val="en-US" w:eastAsia="zh-CN"/>
              </w:rPr>
            </w:pPr>
            <w:r>
              <w:rPr>
                <w:rFonts w:hint="eastAsia"/>
                <w:b/>
                <w:bCs/>
                <w:color w:val="auto"/>
                <w:u w:val="single"/>
                <w:lang w:val="en-US" w:eastAsia="zh-CN"/>
              </w:rPr>
              <w:t>*</w:t>
            </w:r>
          </w:p>
        </w:tc>
        <w:tc>
          <w:tcPr>
            <w:tcW w:w="516" w:type="pct"/>
            <w:vMerge w:val="restart"/>
            <w:tcBorders>
              <w:tl2br w:val="nil"/>
              <w:tr2bl w:val="nil"/>
            </w:tcBorders>
            <w:noWrap w:val="0"/>
            <w:vAlign w:val="center"/>
          </w:tcPr>
          <w:p w14:paraId="189A1C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82" w:firstLineChars="200"/>
              <w:jc w:val="center"/>
              <w:textAlignment w:val="auto"/>
              <w:rPr>
                <w:rFonts w:hint="default"/>
                <w:b/>
                <w:bCs/>
                <w:color w:val="auto"/>
                <w:sz w:val="21"/>
                <w:szCs w:val="21"/>
                <w:u w:val="single"/>
                <w:lang w:val="en-US" w:eastAsia="zh-CN"/>
              </w:rPr>
            </w:pPr>
            <w:r>
              <w:rPr>
                <w:rFonts w:hint="eastAsia"/>
                <w:b/>
                <w:bCs/>
                <w:color w:val="auto"/>
                <w:u w:val="single"/>
                <w:lang w:val="en-US" w:eastAsia="zh-CN"/>
              </w:rPr>
              <w:t>*</w:t>
            </w:r>
          </w:p>
        </w:tc>
        <w:tc>
          <w:tcPr>
            <w:tcW w:w="1070" w:type="dxa"/>
            <w:vMerge w:val="restart"/>
            <w:tcBorders>
              <w:tl2br w:val="nil"/>
              <w:tr2bl w:val="nil"/>
            </w:tcBorders>
            <w:noWrap w:val="0"/>
            <w:vAlign w:val="center"/>
          </w:tcPr>
          <w:p w14:paraId="4B011F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82" w:firstLineChars="200"/>
              <w:jc w:val="center"/>
              <w:textAlignment w:val="auto"/>
              <w:rPr>
                <w:rFonts w:hint="default" w:ascii="Times New Roman" w:hAnsi="Times New Roman" w:eastAsia="宋体" w:cs="Times New Roman"/>
                <w:b/>
                <w:bCs/>
                <w:color w:val="auto"/>
                <w:sz w:val="21"/>
                <w:szCs w:val="21"/>
                <w:u w:val="single"/>
                <w:lang w:val="en-US" w:eastAsia="zh-CN"/>
              </w:rPr>
            </w:pPr>
            <w:r>
              <w:rPr>
                <w:rFonts w:hint="eastAsia"/>
                <w:b/>
                <w:bCs/>
                <w:color w:val="auto"/>
                <w:u w:val="single"/>
                <w:lang w:val="en-US" w:eastAsia="zh-CN"/>
              </w:rPr>
              <w:t>*</w:t>
            </w:r>
          </w:p>
        </w:tc>
        <w:tc>
          <w:tcPr>
            <w:tcW w:w="731" w:type="pct"/>
            <w:vMerge w:val="continue"/>
            <w:tcBorders>
              <w:tl2br w:val="nil"/>
              <w:tr2bl w:val="nil"/>
            </w:tcBorders>
            <w:noWrap w:val="0"/>
            <w:vAlign w:val="center"/>
          </w:tcPr>
          <w:p w14:paraId="401CB3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p>
        </w:tc>
      </w:tr>
      <w:tr w14:paraId="3614A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trPr>
        <w:tc>
          <w:tcPr>
            <w:tcW w:w="623" w:type="pct"/>
            <w:tcBorders>
              <w:tl2br w:val="nil"/>
              <w:tr2bl w:val="nil"/>
            </w:tcBorders>
            <w:noWrap w:val="0"/>
            <w:vAlign w:val="center"/>
          </w:tcPr>
          <w:p w14:paraId="3A969D48">
            <w:pPr>
              <w:keepNext w:val="0"/>
              <w:keepLines w:val="0"/>
              <w:pageBreakBefore w:val="0"/>
              <w:widowControl w:val="0"/>
              <w:kinsoku/>
              <w:wordWrap/>
              <w:overflowPunct/>
              <w:topLinePunct w:val="0"/>
              <w:autoSpaceDE/>
              <w:autoSpaceDN/>
              <w:bidi w:val="0"/>
              <w:adjustRightInd w:val="0"/>
              <w:snapToGrid w:val="0"/>
              <w:ind w:firstLine="482" w:firstLineChars="200"/>
              <w:textAlignment w:val="auto"/>
              <w:rPr>
                <w:rFonts w:hint="default"/>
                <w:b/>
                <w:bCs/>
                <w:u w:val="single"/>
                <w:lang w:val="en-US" w:eastAsia="zh-CN"/>
              </w:rPr>
            </w:pPr>
            <w:r>
              <w:rPr>
                <w:rFonts w:hint="eastAsia"/>
                <w:b/>
                <w:bCs/>
                <w:color w:val="auto"/>
                <w:u w:val="single"/>
                <w:lang w:val="en-US" w:eastAsia="zh-CN"/>
              </w:rPr>
              <w:t>*</w:t>
            </w:r>
          </w:p>
        </w:tc>
        <w:tc>
          <w:tcPr>
            <w:tcW w:w="793" w:type="pct"/>
            <w:vMerge w:val="continue"/>
            <w:tcBorders>
              <w:tl2br w:val="nil"/>
              <w:tr2bl w:val="nil"/>
            </w:tcBorders>
            <w:noWrap w:val="0"/>
            <w:vAlign w:val="center"/>
          </w:tcPr>
          <w:p w14:paraId="3E6B31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p>
        </w:tc>
        <w:tc>
          <w:tcPr>
            <w:tcW w:w="557" w:type="pct"/>
            <w:vMerge w:val="continue"/>
            <w:tcBorders>
              <w:tl2br w:val="nil"/>
              <w:tr2bl w:val="nil"/>
            </w:tcBorders>
            <w:noWrap w:val="0"/>
            <w:vAlign w:val="center"/>
          </w:tcPr>
          <w:p w14:paraId="16F7D0B6">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b/>
                <w:bCs/>
                <w:u w:val="single"/>
                <w:lang w:val="en-US" w:eastAsia="zh-CN"/>
              </w:rPr>
            </w:pPr>
          </w:p>
        </w:tc>
        <w:tc>
          <w:tcPr>
            <w:tcW w:w="697" w:type="pct"/>
            <w:vMerge w:val="continue"/>
            <w:tcBorders>
              <w:tl2br w:val="nil"/>
              <w:tr2bl w:val="nil"/>
            </w:tcBorders>
            <w:noWrap w:val="0"/>
            <w:vAlign w:val="center"/>
          </w:tcPr>
          <w:p w14:paraId="359ACD1D">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b/>
                <w:bCs/>
                <w:u w:val="single"/>
                <w:lang w:val="en-US" w:eastAsia="zh-CN"/>
              </w:rPr>
            </w:pPr>
          </w:p>
        </w:tc>
        <w:tc>
          <w:tcPr>
            <w:tcW w:w="450" w:type="pct"/>
            <w:vMerge w:val="continue"/>
            <w:tcBorders>
              <w:tl2br w:val="nil"/>
              <w:tr2bl w:val="nil"/>
            </w:tcBorders>
            <w:noWrap w:val="0"/>
            <w:vAlign w:val="center"/>
          </w:tcPr>
          <w:p w14:paraId="6886D0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b/>
                <w:bCs/>
                <w:color w:val="auto"/>
                <w:sz w:val="21"/>
                <w:szCs w:val="21"/>
                <w:u w:val="single"/>
                <w:lang w:val="en-US" w:eastAsia="zh-CN"/>
              </w:rPr>
            </w:pPr>
          </w:p>
        </w:tc>
        <w:tc>
          <w:tcPr>
            <w:tcW w:w="516" w:type="pct"/>
            <w:vMerge w:val="continue"/>
            <w:tcBorders>
              <w:tl2br w:val="nil"/>
              <w:tr2bl w:val="nil"/>
            </w:tcBorders>
            <w:noWrap w:val="0"/>
            <w:vAlign w:val="center"/>
          </w:tcPr>
          <w:p w14:paraId="0B4340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b/>
                <w:bCs/>
                <w:color w:val="auto"/>
                <w:sz w:val="21"/>
                <w:szCs w:val="21"/>
                <w:u w:val="single"/>
                <w:lang w:val="en-US" w:eastAsia="zh-CN"/>
              </w:rPr>
            </w:pPr>
          </w:p>
        </w:tc>
        <w:tc>
          <w:tcPr>
            <w:tcW w:w="628" w:type="pct"/>
            <w:vMerge w:val="continue"/>
            <w:tcBorders>
              <w:tl2br w:val="nil"/>
              <w:tr2bl w:val="nil"/>
            </w:tcBorders>
            <w:noWrap w:val="0"/>
            <w:vAlign w:val="center"/>
          </w:tcPr>
          <w:p w14:paraId="5ABF4953">
            <w:pPr>
              <w:pStyle w:val="9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s="Times New Roman"/>
                <w:b/>
                <w:bCs/>
                <w:u w:val="single"/>
                <w:lang w:val="en-US" w:eastAsia="zh-CN"/>
              </w:rPr>
            </w:pPr>
          </w:p>
        </w:tc>
        <w:tc>
          <w:tcPr>
            <w:tcW w:w="731" w:type="pct"/>
            <w:vMerge w:val="continue"/>
            <w:tcBorders>
              <w:tl2br w:val="nil"/>
              <w:tr2bl w:val="nil"/>
            </w:tcBorders>
            <w:noWrap w:val="0"/>
            <w:vAlign w:val="center"/>
          </w:tcPr>
          <w:p w14:paraId="33069C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p>
        </w:tc>
      </w:tr>
      <w:tr w14:paraId="6D753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3" w:type="pct"/>
            <w:tcBorders>
              <w:tl2br w:val="nil"/>
              <w:tr2bl w:val="nil"/>
            </w:tcBorders>
            <w:noWrap w:val="0"/>
            <w:vAlign w:val="center"/>
          </w:tcPr>
          <w:p w14:paraId="26EDAB4D">
            <w:pPr>
              <w:keepNext w:val="0"/>
              <w:keepLines w:val="0"/>
              <w:pageBreakBefore w:val="0"/>
              <w:widowControl w:val="0"/>
              <w:kinsoku/>
              <w:wordWrap/>
              <w:overflowPunct/>
              <w:topLinePunct w:val="0"/>
              <w:autoSpaceDE/>
              <w:autoSpaceDN/>
              <w:bidi w:val="0"/>
              <w:adjustRightInd w:val="0"/>
              <w:snapToGrid w:val="0"/>
              <w:ind w:firstLine="482" w:firstLineChars="200"/>
              <w:textAlignment w:val="auto"/>
              <w:rPr>
                <w:rFonts w:hint="eastAsia"/>
                <w:b/>
                <w:bCs/>
                <w:color w:val="auto"/>
                <w:sz w:val="21"/>
                <w:szCs w:val="21"/>
                <w:u w:val="single"/>
                <w:lang w:val="en-US" w:eastAsia="zh-CN"/>
              </w:rPr>
            </w:pPr>
            <w:r>
              <w:rPr>
                <w:rFonts w:hint="eastAsia"/>
                <w:b/>
                <w:bCs/>
                <w:color w:val="auto"/>
                <w:u w:val="single"/>
                <w:lang w:val="en-US" w:eastAsia="zh-CN"/>
              </w:rPr>
              <w:t>*</w:t>
            </w:r>
          </w:p>
        </w:tc>
        <w:tc>
          <w:tcPr>
            <w:tcW w:w="793" w:type="pct"/>
            <w:vMerge w:val="continue"/>
            <w:tcBorders>
              <w:tl2br w:val="nil"/>
              <w:tr2bl w:val="nil"/>
            </w:tcBorders>
            <w:noWrap w:val="0"/>
            <w:vAlign w:val="center"/>
          </w:tcPr>
          <w:p w14:paraId="351739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p>
        </w:tc>
        <w:tc>
          <w:tcPr>
            <w:tcW w:w="557" w:type="pct"/>
            <w:vMerge w:val="continue"/>
            <w:tcBorders>
              <w:tl2br w:val="nil"/>
              <w:tr2bl w:val="nil"/>
            </w:tcBorders>
            <w:noWrap w:val="0"/>
            <w:vAlign w:val="center"/>
          </w:tcPr>
          <w:p w14:paraId="55714C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bCs/>
                <w:color w:val="auto"/>
                <w:sz w:val="21"/>
                <w:szCs w:val="21"/>
                <w:u w:val="single"/>
                <w:lang w:val="en-US" w:eastAsia="zh-CN"/>
              </w:rPr>
            </w:pPr>
          </w:p>
        </w:tc>
        <w:tc>
          <w:tcPr>
            <w:tcW w:w="697" w:type="pct"/>
            <w:vMerge w:val="continue"/>
            <w:tcBorders>
              <w:tl2br w:val="nil"/>
              <w:tr2bl w:val="nil"/>
            </w:tcBorders>
            <w:noWrap w:val="0"/>
            <w:vAlign w:val="center"/>
          </w:tcPr>
          <w:p w14:paraId="16FEFB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color w:val="auto"/>
                <w:sz w:val="21"/>
                <w:szCs w:val="21"/>
                <w:u w:val="single"/>
                <w:lang w:val="en-US" w:eastAsia="zh-CN"/>
              </w:rPr>
            </w:pPr>
          </w:p>
        </w:tc>
        <w:tc>
          <w:tcPr>
            <w:tcW w:w="450" w:type="pct"/>
            <w:vMerge w:val="continue"/>
            <w:tcBorders>
              <w:tl2br w:val="nil"/>
              <w:tr2bl w:val="nil"/>
            </w:tcBorders>
            <w:noWrap w:val="0"/>
            <w:vAlign w:val="center"/>
          </w:tcPr>
          <w:p w14:paraId="186212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b/>
                <w:bCs/>
                <w:color w:val="auto"/>
                <w:sz w:val="21"/>
                <w:szCs w:val="21"/>
                <w:u w:val="single"/>
                <w:lang w:val="en-US" w:eastAsia="zh-CN"/>
              </w:rPr>
            </w:pPr>
          </w:p>
        </w:tc>
        <w:tc>
          <w:tcPr>
            <w:tcW w:w="516" w:type="pct"/>
            <w:vMerge w:val="continue"/>
            <w:tcBorders>
              <w:tl2br w:val="nil"/>
              <w:tr2bl w:val="nil"/>
            </w:tcBorders>
            <w:noWrap w:val="0"/>
            <w:vAlign w:val="center"/>
          </w:tcPr>
          <w:p w14:paraId="63792F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b/>
                <w:bCs/>
                <w:color w:val="auto"/>
                <w:sz w:val="21"/>
                <w:szCs w:val="21"/>
                <w:u w:val="single"/>
                <w:lang w:val="en-US" w:eastAsia="zh-CN"/>
              </w:rPr>
            </w:pPr>
          </w:p>
        </w:tc>
        <w:tc>
          <w:tcPr>
            <w:tcW w:w="628" w:type="pct"/>
            <w:vMerge w:val="continue"/>
            <w:tcBorders>
              <w:tl2br w:val="nil"/>
              <w:tr2bl w:val="nil"/>
            </w:tcBorders>
            <w:noWrap w:val="0"/>
            <w:vAlign w:val="center"/>
          </w:tcPr>
          <w:p w14:paraId="55B320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b/>
                <w:bCs/>
                <w:color w:val="auto"/>
                <w:sz w:val="21"/>
                <w:szCs w:val="21"/>
                <w:u w:val="single"/>
                <w:lang w:val="en-US" w:eastAsia="zh-CN"/>
              </w:rPr>
            </w:pPr>
          </w:p>
        </w:tc>
        <w:tc>
          <w:tcPr>
            <w:tcW w:w="731" w:type="pct"/>
            <w:vMerge w:val="continue"/>
            <w:tcBorders>
              <w:tl2br w:val="nil"/>
              <w:tr2bl w:val="nil"/>
            </w:tcBorders>
            <w:noWrap w:val="0"/>
            <w:vAlign w:val="center"/>
          </w:tcPr>
          <w:p w14:paraId="044245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b/>
                <w:bCs/>
                <w:color w:val="auto"/>
                <w:sz w:val="21"/>
                <w:szCs w:val="21"/>
                <w:u w:val="single"/>
                <w:lang w:val="en-US" w:eastAsia="zh-CN"/>
              </w:rPr>
            </w:pPr>
          </w:p>
        </w:tc>
      </w:tr>
    </w:tbl>
    <w:p w14:paraId="0BAE669D">
      <w:pPr>
        <w:bidi w:val="0"/>
        <w:rPr>
          <w:rFonts w:hint="default" w:ascii="Times New Roman" w:hAnsi="Times New Roman" w:eastAsia="宋体" w:cs="Times New Roman"/>
          <w:b w:val="0"/>
          <w:bCs w:val="0"/>
          <w:color w:val="auto"/>
          <w:u w:val="none"/>
          <w:lang w:val="en-US" w:eastAsia="zh-CN"/>
        </w:rPr>
      </w:pPr>
      <w:r>
        <w:rPr>
          <w:rFonts w:hint="default" w:ascii="Times New Roman" w:hAnsi="Times New Roman" w:eastAsia="宋体" w:cs="Times New Roman"/>
          <w:b/>
          <w:bCs/>
          <w:color w:val="auto"/>
          <w:u w:val="single"/>
          <w:lang w:val="en-US" w:eastAsia="zh-CN"/>
        </w:rPr>
        <w:t>为了减轻项目对周围环境的影响程度和范围，保证该地区的可持续发展。项目在生产过程中必须加强管理，保证废气处理设备正常运行，避免事故发生。当废气处理设备出现故障时，应尽快停产对其进行维修，尽量减轻对周围环境造成的影响。此外，评价建议项目在生产过程中采用双回路供电，同时加强日常对各类设备的维护和保养，可以进一步降低出现非正常工况出现的概率，避免非正常工况情况下污染物对环境敏感点造成影响。</w:t>
      </w:r>
    </w:p>
    <w:p w14:paraId="2BAEE2EE">
      <w:pPr>
        <w:pStyle w:val="5"/>
        <w:rPr>
          <w:rFonts w:hint="default" w:eastAsia="宋体"/>
          <w:color w:val="auto"/>
          <w:highlight w:val="none"/>
          <w:u w:val="none"/>
          <w:lang w:val="en-US" w:eastAsia="zh-CN"/>
        </w:rPr>
      </w:pPr>
      <w:r>
        <w:rPr>
          <w:rFonts w:hint="eastAsia"/>
          <w:color w:val="auto"/>
          <w:highlight w:val="none"/>
          <w:u w:val="none"/>
          <w:lang w:val="en-US" w:eastAsia="zh-CN"/>
        </w:rPr>
        <w:t>小结</w:t>
      </w:r>
    </w:p>
    <w:p w14:paraId="6D5B9B99">
      <w:pPr>
        <w:bidi w:val="0"/>
        <w:rPr>
          <w:rFonts w:hint="eastAsia"/>
          <w:b/>
          <w:bCs/>
          <w:color w:val="auto"/>
          <w:highlight w:val="none"/>
          <w:u w:val="single"/>
          <w:lang w:val="en-US" w:eastAsia="zh-CN"/>
        </w:rPr>
      </w:pPr>
      <w:r>
        <w:rPr>
          <w:rFonts w:hint="eastAsia"/>
          <w:b/>
          <w:bCs/>
          <w:color w:val="auto"/>
          <w:highlight w:val="none"/>
          <w:u w:val="single"/>
          <w:lang w:val="en-US" w:eastAsia="zh-CN"/>
        </w:rPr>
        <w:t>本项目污染物产排情况见下表。</w:t>
      </w:r>
    </w:p>
    <w:p w14:paraId="10E91613">
      <w:pPr>
        <w:pStyle w:val="10"/>
        <w:bidi w:val="0"/>
        <w:rPr>
          <w:rFonts w:hint="eastAsia"/>
          <w:b/>
          <w:bCs/>
          <w:u w:val="single"/>
          <w:lang w:val="en-US" w:eastAsia="zh-CN"/>
        </w:rPr>
      </w:pPr>
      <w:r>
        <w:rPr>
          <w:rFonts w:hint="eastAsia"/>
          <w:b/>
          <w:bCs/>
          <w:u w:val="single"/>
          <w:lang w:val="en-US" w:eastAsia="zh-CN"/>
        </w:rPr>
        <w:t xml:space="preserve">表 </w:t>
      </w:r>
      <w:r>
        <w:rPr>
          <w:rFonts w:hint="eastAsia"/>
          <w:b/>
          <w:bCs/>
          <w:u w:val="single"/>
          <w:lang w:val="en-US" w:eastAsia="zh-CN"/>
        </w:rPr>
        <w:fldChar w:fldCharType="begin"/>
      </w:r>
      <w:r>
        <w:rPr>
          <w:rFonts w:hint="eastAsia"/>
          <w:b/>
          <w:bCs/>
          <w:u w:val="single"/>
          <w:lang w:val="en-US" w:eastAsia="zh-CN"/>
        </w:rPr>
        <w:instrText xml:space="preserve"> STYLEREF 2 \s </w:instrText>
      </w:r>
      <w:r>
        <w:rPr>
          <w:rFonts w:hint="eastAsia"/>
          <w:b/>
          <w:bCs/>
          <w:u w:val="single"/>
          <w:lang w:val="en-US" w:eastAsia="zh-CN"/>
        </w:rPr>
        <w:fldChar w:fldCharType="separate"/>
      </w:r>
      <w:r>
        <w:rPr>
          <w:rFonts w:hint="eastAsia"/>
          <w:b/>
          <w:bCs/>
          <w:u w:val="single"/>
          <w:lang w:val="en-US" w:eastAsia="zh-CN"/>
        </w:rPr>
        <w:t>4.7</w:t>
      </w:r>
      <w:r>
        <w:rPr>
          <w:rFonts w:hint="eastAsia"/>
          <w:b/>
          <w:bCs/>
          <w:u w:val="single"/>
          <w:lang w:val="en-US" w:eastAsia="zh-CN"/>
        </w:rPr>
        <w:fldChar w:fldCharType="end"/>
      </w:r>
      <w:r>
        <w:rPr>
          <w:rFonts w:hint="eastAsia"/>
          <w:b/>
          <w:bCs/>
          <w:u w:val="single"/>
          <w:lang w:val="en-US" w:eastAsia="zh-CN"/>
        </w:rPr>
        <w:t>-</w:t>
      </w:r>
      <w:r>
        <w:rPr>
          <w:rFonts w:hint="eastAsia"/>
          <w:b/>
          <w:bCs/>
          <w:u w:val="single"/>
          <w:lang w:val="en-US" w:eastAsia="zh-CN"/>
        </w:rPr>
        <w:fldChar w:fldCharType="begin"/>
      </w:r>
      <w:r>
        <w:rPr>
          <w:rFonts w:hint="eastAsia"/>
          <w:b/>
          <w:bCs/>
          <w:u w:val="single"/>
          <w:lang w:val="en-US" w:eastAsia="zh-CN"/>
        </w:rPr>
        <w:instrText xml:space="preserve"> SEQ 表 \* ARABIC \s 2 </w:instrText>
      </w:r>
      <w:r>
        <w:rPr>
          <w:rFonts w:hint="eastAsia"/>
          <w:b/>
          <w:bCs/>
          <w:u w:val="single"/>
          <w:lang w:val="en-US" w:eastAsia="zh-CN"/>
        </w:rPr>
        <w:fldChar w:fldCharType="separate"/>
      </w:r>
      <w:r>
        <w:rPr>
          <w:rFonts w:hint="eastAsia"/>
          <w:b/>
          <w:bCs/>
          <w:u w:val="single"/>
          <w:lang w:val="en-US" w:eastAsia="zh-CN"/>
        </w:rPr>
        <w:t>2</w:t>
      </w:r>
      <w:r>
        <w:rPr>
          <w:rFonts w:hint="eastAsia"/>
          <w:b/>
          <w:bCs/>
          <w:u w:val="single"/>
          <w:lang w:val="en-US" w:eastAsia="zh-CN"/>
        </w:rPr>
        <w:fldChar w:fldCharType="end"/>
      </w:r>
      <w:r>
        <w:rPr>
          <w:rFonts w:hint="eastAsia"/>
          <w:b/>
          <w:bCs/>
          <w:u w:val="single"/>
          <w:lang w:val="en-US" w:eastAsia="zh-CN"/>
        </w:rPr>
        <w:t xml:space="preserve"> 本项目污染物产排情况一览表：t/a</w:t>
      </w:r>
    </w:p>
    <w:tbl>
      <w:tblPr>
        <w:tblStyle w:val="31"/>
        <w:tblW w:w="492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
        <w:gridCol w:w="583"/>
        <w:gridCol w:w="1529"/>
        <w:gridCol w:w="1037"/>
        <w:gridCol w:w="1609"/>
        <w:gridCol w:w="1609"/>
        <w:gridCol w:w="1610"/>
      </w:tblGrid>
      <w:tr w14:paraId="7F054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1507" w:type="pct"/>
            <w:gridSpan w:val="3"/>
            <w:noWrap w:val="0"/>
            <w:vAlign w:val="center"/>
          </w:tcPr>
          <w:p w14:paraId="7CDD29F2">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污染物</w:t>
            </w:r>
          </w:p>
        </w:tc>
        <w:tc>
          <w:tcPr>
            <w:tcW w:w="617" w:type="pct"/>
            <w:noWrap w:val="0"/>
            <w:vAlign w:val="center"/>
          </w:tcPr>
          <w:p w14:paraId="58D9C841">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单位</w:t>
            </w:r>
          </w:p>
        </w:tc>
        <w:tc>
          <w:tcPr>
            <w:tcW w:w="958" w:type="pct"/>
            <w:noWrap w:val="0"/>
            <w:vAlign w:val="center"/>
          </w:tcPr>
          <w:p w14:paraId="50889988">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u w:val="single"/>
                <w:lang w:eastAsia="zh-CN"/>
              </w:rPr>
            </w:pPr>
            <w:r>
              <w:rPr>
                <w:rFonts w:hint="eastAsia" w:eastAsia="宋体"/>
                <w:b/>
                <w:bCs/>
                <w:u w:val="single"/>
                <w:lang w:val="en-US" w:eastAsia="zh-CN"/>
              </w:rPr>
              <w:t>本项目产生量</w:t>
            </w:r>
          </w:p>
        </w:tc>
        <w:tc>
          <w:tcPr>
            <w:tcW w:w="958" w:type="pct"/>
            <w:noWrap w:val="0"/>
            <w:vAlign w:val="center"/>
          </w:tcPr>
          <w:p w14:paraId="6817482A">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eastAsia="宋体"/>
                <w:b/>
                <w:bCs/>
                <w:u w:val="single"/>
                <w:lang w:val="en-US" w:eastAsia="zh-CN"/>
              </w:rPr>
            </w:pPr>
            <w:r>
              <w:rPr>
                <w:rFonts w:hint="eastAsia" w:eastAsia="宋体"/>
                <w:b/>
                <w:bCs/>
                <w:u w:val="single"/>
                <w:lang w:val="en-US" w:eastAsia="zh-CN"/>
              </w:rPr>
              <w:t>本项目削减量</w:t>
            </w:r>
          </w:p>
        </w:tc>
        <w:tc>
          <w:tcPr>
            <w:tcW w:w="958" w:type="pct"/>
            <w:noWrap w:val="0"/>
            <w:vAlign w:val="center"/>
          </w:tcPr>
          <w:p w14:paraId="4CEAF68A">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u w:val="single"/>
                <w:lang w:eastAsia="zh-CN"/>
              </w:rPr>
            </w:pPr>
            <w:r>
              <w:rPr>
                <w:rFonts w:hint="eastAsia" w:eastAsia="宋体"/>
                <w:b/>
                <w:bCs/>
                <w:u w:val="single"/>
                <w:lang w:val="en-US" w:eastAsia="zh-CN"/>
              </w:rPr>
              <w:t>本项目排放量</w:t>
            </w:r>
          </w:p>
        </w:tc>
      </w:tr>
      <w:tr w14:paraId="2A554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249" w:type="pct"/>
            <w:vMerge w:val="restart"/>
            <w:noWrap w:val="0"/>
            <w:vAlign w:val="center"/>
          </w:tcPr>
          <w:p w14:paraId="5BD9A8A7">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r>
              <w:rPr>
                <w:b/>
                <w:bCs/>
                <w:u w:val="single"/>
                <w:lang w:eastAsia="en-US"/>
              </w:rPr>
              <w:t>废气</w:t>
            </w:r>
          </w:p>
        </w:tc>
        <w:tc>
          <w:tcPr>
            <w:tcW w:w="347" w:type="pct"/>
            <w:vMerge w:val="restart"/>
            <w:noWrap w:val="0"/>
            <w:vAlign w:val="center"/>
          </w:tcPr>
          <w:p w14:paraId="6188CDE8">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u w:val="single"/>
                <w:lang w:val="en-US" w:eastAsia="zh-CN"/>
              </w:rPr>
            </w:pPr>
            <w:r>
              <w:rPr>
                <w:rFonts w:hint="eastAsia" w:eastAsia="宋体"/>
                <w:b/>
                <w:bCs/>
                <w:u w:val="single"/>
                <w:lang w:val="en-US" w:eastAsia="zh-CN"/>
              </w:rPr>
              <w:t>有组织</w:t>
            </w:r>
          </w:p>
        </w:tc>
        <w:tc>
          <w:tcPr>
            <w:tcW w:w="910" w:type="pct"/>
            <w:noWrap w:val="0"/>
            <w:vAlign w:val="center"/>
          </w:tcPr>
          <w:p w14:paraId="6B14DC0B">
            <w:pPr>
              <w:pStyle w:val="94"/>
              <w:keepNext w:val="0"/>
              <w:keepLines w:val="0"/>
              <w:pageBreakBefore w:val="0"/>
              <w:widowControl w:val="0"/>
              <w:wordWrap/>
              <w:topLinePunct w:val="0"/>
              <w:autoSpaceDE/>
              <w:autoSpaceDN/>
              <w:bidi w:val="0"/>
              <w:snapToGrid w:val="0"/>
              <w:spacing w:line="240" w:lineRule="auto"/>
              <w:ind w:firstLine="0" w:firstLineChars="0"/>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颗粒物</w:t>
            </w:r>
          </w:p>
        </w:tc>
        <w:tc>
          <w:tcPr>
            <w:tcW w:w="617" w:type="pct"/>
            <w:noWrap w:val="0"/>
            <w:vAlign w:val="center"/>
          </w:tcPr>
          <w:p w14:paraId="34F77056">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color w:val="000000"/>
                <w:sz w:val="21"/>
                <w:szCs w:val="21"/>
                <w:u w:val="single"/>
              </w:rPr>
            </w:pPr>
            <w:r>
              <w:rPr>
                <w:rFonts w:hint="default" w:ascii="Times New Roman" w:hAnsi="Times New Roman" w:cs="Times New Roman"/>
                <w:b/>
                <w:bCs/>
                <w:sz w:val="21"/>
                <w:szCs w:val="21"/>
                <w:u w:val="single"/>
              </w:rPr>
              <w:t>t/a</w:t>
            </w:r>
          </w:p>
        </w:tc>
        <w:tc>
          <w:tcPr>
            <w:tcW w:w="958" w:type="pct"/>
            <w:noWrap w:val="0"/>
            <w:vAlign w:val="center"/>
          </w:tcPr>
          <w:p w14:paraId="69CBCFB4">
            <w:pPr>
              <w:pStyle w:val="182"/>
              <w:ind w:firstLine="0" w:firstLineChars="0"/>
              <w:rPr>
                <w:rFonts w:hint="default" w:ascii="Times New Roman" w:hAnsi="Times New Roman" w:eastAsia="宋体" w:cs="Times New Roman"/>
                <w:b/>
                <w:bCs/>
                <w:sz w:val="21"/>
                <w:szCs w:val="21"/>
                <w:u w:val="single"/>
              </w:rPr>
            </w:pPr>
            <w:r>
              <w:rPr>
                <w:rFonts w:hint="eastAsia"/>
                <w:b/>
                <w:bCs/>
                <w:color w:val="auto"/>
                <w:highlight w:val="none"/>
                <w:u w:val="single"/>
                <w:lang w:val="en-US" w:eastAsia="zh-CN"/>
              </w:rPr>
              <w:t>5</w:t>
            </w:r>
          </w:p>
        </w:tc>
        <w:tc>
          <w:tcPr>
            <w:tcW w:w="958" w:type="pct"/>
            <w:noWrap w:val="0"/>
            <w:vAlign w:val="center"/>
          </w:tcPr>
          <w:p w14:paraId="2900717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0.45</w:t>
            </w:r>
          </w:p>
        </w:tc>
        <w:tc>
          <w:tcPr>
            <w:tcW w:w="958" w:type="pct"/>
            <w:noWrap w:val="0"/>
            <w:vAlign w:val="center"/>
          </w:tcPr>
          <w:p w14:paraId="3A96196B">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0.05</w:t>
            </w:r>
          </w:p>
        </w:tc>
      </w:tr>
      <w:tr w14:paraId="043A3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249" w:type="pct"/>
            <w:vMerge w:val="continue"/>
            <w:noWrap w:val="0"/>
            <w:vAlign w:val="center"/>
          </w:tcPr>
          <w:p w14:paraId="62A1AE63">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347" w:type="pct"/>
            <w:vMerge w:val="continue"/>
            <w:noWrap w:val="0"/>
            <w:vAlign w:val="center"/>
          </w:tcPr>
          <w:p w14:paraId="5AA481CF">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65D77C44">
            <w:pPr>
              <w:pStyle w:val="94"/>
              <w:keepNext w:val="0"/>
              <w:keepLines w:val="0"/>
              <w:pageBreakBefore w:val="0"/>
              <w:widowControl w:val="0"/>
              <w:wordWrap/>
              <w:topLinePunct w:val="0"/>
              <w:autoSpaceDE/>
              <w:autoSpaceDN/>
              <w:bidi w:val="0"/>
              <w:snapToGrid w:val="0"/>
              <w:spacing w:line="240" w:lineRule="auto"/>
              <w:ind w:firstLine="0" w:firstLineChars="0"/>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VOCs</w:t>
            </w:r>
          </w:p>
        </w:tc>
        <w:tc>
          <w:tcPr>
            <w:tcW w:w="617" w:type="pct"/>
            <w:noWrap w:val="0"/>
            <w:vAlign w:val="center"/>
          </w:tcPr>
          <w:p w14:paraId="329EF6FB">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958" w:type="pct"/>
            <w:noWrap w:val="0"/>
            <w:vAlign w:val="center"/>
          </w:tcPr>
          <w:p w14:paraId="3CDE6D0C">
            <w:pPr>
              <w:pStyle w:val="182"/>
              <w:ind w:firstLine="0" w:firstLineChars="0"/>
              <w:rPr>
                <w:rFonts w:hint="default" w:ascii="Times New Roman" w:hAnsi="Times New Roman" w:eastAsia="宋体" w:cs="Times New Roman"/>
                <w:b/>
                <w:bCs/>
                <w:sz w:val="21"/>
                <w:szCs w:val="21"/>
                <w:u w:val="single"/>
                <w:lang w:val="en-US"/>
              </w:rPr>
            </w:pPr>
            <w:r>
              <w:rPr>
                <w:rFonts w:hint="eastAsia"/>
                <w:b/>
                <w:bCs/>
                <w:color w:val="auto"/>
                <w:highlight w:val="none"/>
                <w:u w:val="single"/>
                <w:lang w:val="en-US" w:eastAsia="zh-CN"/>
              </w:rPr>
              <w:t>2.83</w:t>
            </w:r>
          </w:p>
        </w:tc>
        <w:tc>
          <w:tcPr>
            <w:tcW w:w="958" w:type="pct"/>
            <w:noWrap w:val="0"/>
            <w:vAlign w:val="center"/>
          </w:tcPr>
          <w:p w14:paraId="6061BEA4">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2.6602</w:t>
            </w:r>
          </w:p>
        </w:tc>
        <w:tc>
          <w:tcPr>
            <w:tcW w:w="958" w:type="pct"/>
            <w:noWrap w:val="0"/>
            <w:vAlign w:val="center"/>
          </w:tcPr>
          <w:p w14:paraId="23E1982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0.1698</w:t>
            </w:r>
          </w:p>
        </w:tc>
      </w:tr>
      <w:tr w14:paraId="536D1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249" w:type="pct"/>
            <w:vMerge w:val="continue"/>
            <w:noWrap w:val="0"/>
            <w:vAlign w:val="center"/>
          </w:tcPr>
          <w:p w14:paraId="474CA9A9">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347" w:type="pct"/>
            <w:noWrap w:val="0"/>
            <w:vAlign w:val="center"/>
          </w:tcPr>
          <w:p w14:paraId="5E59E8A3">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u w:val="single"/>
                <w:lang w:val="en-US" w:eastAsia="zh-CN"/>
              </w:rPr>
            </w:pPr>
            <w:r>
              <w:rPr>
                <w:rFonts w:hint="eastAsia" w:eastAsia="宋体"/>
                <w:b/>
                <w:bCs/>
                <w:u w:val="single"/>
                <w:lang w:val="en-US" w:eastAsia="zh-CN"/>
              </w:rPr>
              <w:t>无组织</w:t>
            </w:r>
          </w:p>
        </w:tc>
        <w:tc>
          <w:tcPr>
            <w:tcW w:w="910" w:type="pct"/>
            <w:noWrap w:val="0"/>
            <w:vAlign w:val="center"/>
          </w:tcPr>
          <w:p w14:paraId="3600C367">
            <w:pPr>
              <w:pStyle w:val="94"/>
              <w:keepNext w:val="0"/>
              <w:keepLines w:val="0"/>
              <w:pageBreakBefore w:val="0"/>
              <w:widowControl w:val="0"/>
              <w:wordWrap/>
              <w:topLinePunct w:val="0"/>
              <w:autoSpaceDE/>
              <w:autoSpaceDN/>
              <w:bidi w:val="0"/>
              <w:snapToGrid w:val="0"/>
              <w:spacing w:line="240" w:lineRule="auto"/>
              <w:ind w:firstLine="0" w:firstLineChars="0"/>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VOCs</w:t>
            </w:r>
          </w:p>
        </w:tc>
        <w:tc>
          <w:tcPr>
            <w:tcW w:w="617" w:type="pct"/>
            <w:noWrap w:val="0"/>
            <w:vAlign w:val="center"/>
          </w:tcPr>
          <w:p w14:paraId="106C7E2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958" w:type="pct"/>
            <w:noWrap w:val="0"/>
            <w:vAlign w:val="center"/>
          </w:tcPr>
          <w:p w14:paraId="399718BD">
            <w:pPr>
              <w:pStyle w:val="182"/>
              <w:ind w:firstLine="0" w:firstLineChars="0"/>
              <w:rPr>
                <w:rFonts w:hint="default" w:ascii="Times New Roman" w:hAnsi="Times New Roman" w:eastAsia="宋体" w:cs="Times New Roman"/>
                <w:b/>
                <w:bCs/>
                <w:sz w:val="21"/>
                <w:szCs w:val="21"/>
                <w:u w:val="single"/>
                <w:lang w:val="en-US"/>
              </w:rPr>
            </w:pPr>
            <w:r>
              <w:rPr>
                <w:rFonts w:hint="eastAsia"/>
                <w:b/>
                <w:bCs/>
                <w:color w:val="auto"/>
                <w:highlight w:val="none"/>
                <w:u w:val="single"/>
                <w:lang w:val="en-US" w:eastAsia="zh-CN"/>
              </w:rPr>
              <w:t>0.12</w:t>
            </w:r>
          </w:p>
        </w:tc>
        <w:tc>
          <w:tcPr>
            <w:tcW w:w="958" w:type="pct"/>
            <w:noWrap w:val="0"/>
            <w:vAlign w:val="center"/>
          </w:tcPr>
          <w:p w14:paraId="7898CA4C">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0</w:t>
            </w:r>
          </w:p>
        </w:tc>
        <w:tc>
          <w:tcPr>
            <w:tcW w:w="958" w:type="pct"/>
            <w:noWrap w:val="0"/>
            <w:vAlign w:val="center"/>
          </w:tcPr>
          <w:p w14:paraId="30686C43">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0.12</w:t>
            </w:r>
          </w:p>
        </w:tc>
      </w:tr>
      <w:tr w14:paraId="0F441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596" w:type="pct"/>
            <w:gridSpan w:val="2"/>
            <w:vMerge w:val="restart"/>
            <w:noWrap w:val="0"/>
            <w:vAlign w:val="center"/>
          </w:tcPr>
          <w:p w14:paraId="384BDDF0">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废水（厂区总排口）</w:t>
            </w:r>
          </w:p>
        </w:tc>
        <w:tc>
          <w:tcPr>
            <w:tcW w:w="910" w:type="pct"/>
            <w:noWrap w:val="0"/>
            <w:vAlign w:val="center"/>
          </w:tcPr>
          <w:p w14:paraId="59994F28">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废水量</w:t>
            </w:r>
          </w:p>
        </w:tc>
        <w:tc>
          <w:tcPr>
            <w:tcW w:w="617" w:type="pct"/>
            <w:noWrap w:val="0"/>
            <w:vAlign w:val="center"/>
          </w:tcPr>
          <w:p w14:paraId="4569E1E5">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color w:val="000000"/>
                <w:sz w:val="21"/>
                <w:szCs w:val="21"/>
                <w:u w:val="single"/>
              </w:rPr>
            </w:pPr>
            <w:r>
              <w:rPr>
                <w:rFonts w:hint="default" w:ascii="Times New Roman" w:hAnsi="Times New Roman" w:cs="Times New Roman"/>
                <w:b/>
                <w:bCs/>
                <w:sz w:val="21"/>
                <w:szCs w:val="21"/>
                <w:u w:val="single"/>
              </w:rPr>
              <w:t>万m</w:t>
            </w:r>
            <w:r>
              <w:rPr>
                <w:rFonts w:hint="default" w:ascii="Times New Roman" w:hAnsi="Times New Roman" w:cs="Times New Roman"/>
                <w:b/>
                <w:bCs/>
                <w:sz w:val="21"/>
                <w:szCs w:val="21"/>
                <w:u w:val="single"/>
                <w:vertAlign w:val="superscript"/>
              </w:rPr>
              <w:t>3</w:t>
            </w:r>
            <w:r>
              <w:rPr>
                <w:rFonts w:hint="default" w:ascii="Times New Roman" w:hAnsi="Times New Roman" w:cs="Times New Roman"/>
                <w:b/>
                <w:bCs/>
                <w:sz w:val="21"/>
                <w:szCs w:val="21"/>
                <w:u w:val="single"/>
              </w:rPr>
              <w:t>/a</w:t>
            </w:r>
          </w:p>
        </w:tc>
        <w:tc>
          <w:tcPr>
            <w:tcW w:w="958" w:type="pct"/>
            <w:noWrap w:val="0"/>
            <w:vAlign w:val="center"/>
          </w:tcPr>
          <w:p w14:paraId="4A52D06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24.7602</w:t>
            </w:r>
          </w:p>
        </w:tc>
        <w:tc>
          <w:tcPr>
            <w:tcW w:w="958" w:type="pct"/>
            <w:noWrap w:val="0"/>
            <w:vAlign w:val="center"/>
          </w:tcPr>
          <w:p w14:paraId="41B14ADA">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24.7602</w:t>
            </w:r>
          </w:p>
        </w:tc>
        <w:tc>
          <w:tcPr>
            <w:tcW w:w="958" w:type="pct"/>
            <w:noWrap w:val="0"/>
            <w:vAlign w:val="center"/>
          </w:tcPr>
          <w:p w14:paraId="65C3E9AB">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24.7602</w:t>
            </w:r>
          </w:p>
        </w:tc>
      </w:tr>
      <w:tr w14:paraId="37294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596" w:type="pct"/>
            <w:gridSpan w:val="2"/>
            <w:vMerge w:val="continue"/>
            <w:noWrap w:val="0"/>
            <w:vAlign w:val="center"/>
          </w:tcPr>
          <w:p w14:paraId="07F03D78">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0EBCB0BC">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lang w:eastAsia="en-US"/>
              </w:rPr>
            </w:pPr>
            <w:r>
              <w:rPr>
                <w:rFonts w:hint="default" w:ascii="Times New Roman" w:hAnsi="Times New Roman" w:cs="Times New Roman"/>
                <w:b/>
                <w:bCs/>
                <w:sz w:val="21"/>
                <w:szCs w:val="21"/>
                <w:u w:val="single"/>
                <w:lang w:eastAsia="en-US"/>
              </w:rPr>
              <w:t>COD</w:t>
            </w:r>
          </w:p>
        </w:tc>
        <w:tc>
          <w:tcPr>
            <w:tcW w:w="617" w:type="pct"/>
            <w:noWrap w:val="0"/>
            <w:vAlign w:val="center"/>
          </w:tcPr>
          <w:p w14:paraId="385A9EA4">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958" w:type="pct"/>
            <w:noWrap w:val="0"/>
            <w:vAlign w:val="center"/>
          </w:tcPr>
          <w:p w14:paraId="3F3049E7">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155.4355</w:t>
            </w:r>
          </w:p>
        </w:tc>
        <w:tc>
          <w:tcPr>
            <w:tcW w:w="958" w:type="pct"/>
            <w:noWrap w:val="0"/>
            <w:vAlign w:val="center"/>
          </w:tcPr>
          <w:p w14:paraId="66BEE38E">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135.3302</w:t>
            </w:r>
          </w:p>
        </w:tc>
        <w:tc>
          <w:tcPr>
            <w:tcW w:w="958" w:type="pct"/>
            <w:noWrap w:val="0"/>
            <w:vAlign w:val="center"/>
          </w:tcPr>
          <w:p w14:paraId="157B28DA">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20.1053</w:t>
            </w:r>
          </w:p>
        </w:tc>
      </w:tr>
      <w:tr w14:paraId="4EE16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596" w:type="pct"/>
            <w:gridSpan w:val="2"/>
            <w:vMerge w:val="continue"/>
            <w:noWrap w:val="0"/>
            <w:vAlign w:val="center"/>
          </w:tcPr>
          <w:p w14:paraId="2BF27753">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0BA3B10F">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氨氮</w:t>
            </w:r>
          </w:p>
        </w:tc>
        <w:tc>
          <w:tcPr>
            <w:tcW w:w="617" w:type="pct"/>
            <w:noWrap w:val="0"/>
            <w:vAlign w:val="center"/>
          </w:tcPr>
          <w:p w14:paraId="053BBB9C">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958" w:type="pct"/>
            <w:noWrap w:val="0"/>
            <w:vAlign w:val="center"/>
          </w:tcPr>
          <w:p w14:paraId="7F68C60D">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1.7345</w:t>
            </w:r>
          </w:p>
        </w:tc>
        <w:tc>
          <w:tcPr>
            <w:tcW w:w="958" w:type="pct"/>
            <w:noWrap w:val="0"/>
            <w:vAlign w:val="center"/>
          </w:tcPr>
          <w:p w14:paraId="0D909899">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1.0808</w:t>
            </w:r>
          </w:p>
        </w:tc>
        <w:tc>
          <w:tcPr>
            <w:tcW w:w="958" w:type="pct"/>
            <w:noWrap w:val="0"/>
            <w:vAlign w:val="center"/>
          </w:tcPr>
          <w:p w14:paraId="7575BFFD">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0.6537</w:t>
            </w:r>
          </w:p>
        </w:tc>
      </w:tr>
      <w:tr w14:paraId="3E2D6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596" w:type="pct"/>
            <w:gridSpan w:val="2"/>
            <w:vMerge w:val="continue"/>
            <w:noWrap w:val="0"/>
            <w:vAlign w:val="center"/>
          </w:tcPr>
          <w:p w14:paraId="690CC6C9">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355D20AB">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总氮</w:t>
            </w:r>
          </w:p>
        </w:tc>
        <w:tc>
          <w:tcPr>
            <w:tcW w:w="617" w:type="pct"/>
            <w:noWrap w:val="0"/>
            <w:vAlign w:val="center"/>
          </w:tcPr>
          <w:p w14:paraId="0AA1018C">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958" w:type="pct"/>
            <w:noWrap w:val="0"/>
            <w:vAlign w:val="center"/>
          </w:tcPr>
          <w:p w14:paraId="1197BB94">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4.9397</w:t>
            </w:r>
          </w:p>
        </w:tc>
        <w:tc>
          <w:tcPr>
            <w:tcW w:w="958" w:type="pct"/>
            <w:noWrap w:val="0"/>
            <w:vAlign w:val="center"/>
          </w:tcPr>
          <w:p w14:paraId="5FB877C2">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0.5794</w:t>
            </w:r>
          </w:p>
        </w:tc>
        <w:tc>
          <w:tcPr>
            <w:tcW w:w="958" w:type="pct"/>
            <w:noWrap w:val="0"/>
            <w:vAlign w:val="center"/>
          </w:tcPr>
          <w:p w14:paraId="45EAEE6F">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4.3603</w:t>
            </w:r>
          </w:p>
        </w:tc>
      </w:tr>
      <w:tr w14:paraId="7CDBE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596" w:type="pct"/>
            <w:gridSpan w:val="2"/>
            <w:vMerge w:val="continue"/>
            <w:noWrap w:val="0"/>
            <w:vAlign w:val="center"/>
          </w:tcPr>
          <w:p w14:paraId="037FD695">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7EF5D8A8">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总磷</w:t>
            </w:r>
          </w:p>
        </w:tc>
        <w:tc>
          <w:tcPr>
            <w:tcW w:w="617" w:type="pct"/>
            <w:noWrap w:val="0"/>
            <w:vAlign w:val="center"/>
          </w:tcPr>
          <w:p w14:paraId="328D12A2">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958" w:type="pct"/>
            <w:noWrap w:val="0"/>
            <w:vAlign w:val="center"/>
          </w:tcPr>
          <w:p w14:paraId="6E23B63C">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0.9097</w:t>
            </w:r>
          </w:p>
        </w:tc>
        <w:tc>
          <w:tcPr>
            <w:tcW w:w="958" w:type="pct"/>
            <w:noWrap w:val="0"/>
            <w:vAlign w:val="center"/>
          </w:tcPr>
          <w:p w14:paraId="6F8E6767">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0.8775</w:t>
            </w:r>
          </w:p>
        </w:tc>
        <w:tc>
          <w:tcPr>
            <w:tcW w:w="958" w:type="pct"/>
            <w:noWrap w:val="0"/>
            <w:vAlign w:val="center"/>
          </w:tcPr>
          <w:p w14:paraId="3C86EA44">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0.0322</w:t>
            </w:r>
          </w:p>
        </w:tc>
      </w:tr>
      <w:tr w14:paraId="0FECB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596" w:type="pct"/>
            <w:gridSpan w:val="2"/>
            <w:vMerge w:val="restart"/>
            <w:noWrap w:val="0"/>
            <w:vAlign w:val="center"/>
          </w:tcPr>
          <w:p w14:paraId="09E3303D">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废水（排入外环境量）</w:t>
            </w:r>
          </w:p>
        </w:tc>
        <w:tc>
          <w:tcPr>
            <w:tcW w:w="910" w:type="pct"/>
            <w:noWrap w:val="0"/>
            <w:vAlign w:val="center"/>
          </w:tcPr>
          <w:p w14:paraId="001C4DBF">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废水量</w:t>
            </w:r>
          </w:p>
        </w:tc>
        <w:tc>
          <w:tcPr>
            <w:tcW w:w="617" w:type="pct"/>
            <w:noWrap w:val="0"/>
            <w:vAlign w:val="center"/>
          </w:tcPr>
          <w:p w14:paraId="524D9CF4">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万m</w:t>
            </w:r>
            <w:r>
              <w:rPr>
                <w:rFonts w:hint="default" w:ascii="Times New Roman" w:hAnsi="Times New Roman" w:cs="Times New Roman"/>
                <w:b/>
                <w:bCs/>
                <w:sz w:val="21"/>
                <w:szCs w:val="21"/>
                <w:u w:val="single"/>
                <w:vertAlign w:val="superscript"/>
              </w:rPr>
              <w:t>3</w:t>
            </w:r>
            <w:r>
              <w:rPr>
                <w:rFonts w:hint="default" w:ascii="Times New Roman" w:hAnsi="Times New Roman" w:cs="Times New Roman"/>
                <w:b/>
                <w:bCs/>
                <w:sz w:val="21"/>
                <w:szCs w:val="21"/>
                <w:u w:val="single"/>
              </w:rPr>
              <w:t>/a</w:t>
            </w:r>
          </w:p>
        </w:tc>
        <w:tc>
          <w:tcPr>
            <w:tcW w:w="958" w:type="pct"/>
            <w:noWrap w:val="0"/>
            <w:vAlign w:val="center"/>
          </w:tcPr>
          <w:p w14:paraId="1F1898FA">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24.7602</w:t>
            </w:r>
          </w:p>
        </w:tc>
        <w:tc>
          <w:tcPr>
            <w:tcW w:w="958" w:type="pct"/>
            <w:noWrap w:val="0"/>
            <w:vAlign w:val="center"/>
          </w:tcPr>
          <w:p w14:paraId="2E15B4D7">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24.7602</w:t>
            </w:r>
          </w:p>
        </w:tc>
        <w:tc>
          <w:tcPr>
            <w:tcW w:w="958" w:type="pct"/>
            <w:noWrap w:val="0"/>
            <w:vAlign w:val="center"/>
          </w:tcPr>
          <w:p w14:paraId="53993C4E">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default" w:ascii="Times New Roman" w:hAnsi="Times New Roman" w:eastAsia="宋体" w:cs="Times New Roman"/>
                <w:b/>
                <w:bCs/>
                <w:sz w:val="21"/>
                <w:szCs w:val="21"/>
                <w:u w:val="single"/>
                <w:lang w:val="en-US" w:eastAsia="zh-CN"/>
              </w:rPr>
              <w:t>24.7602</w:t>
            </w:r>
          </w:p>
        </w:tc>
      </w:tr>
      <w:tr w14:paraId="1DD5C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596" w:type="pct"/>
            <w:gridSpan w:val="2"/>
            <w:vMerge w:val="continue"/>
            <w:noWrap w:val="0"/>
            <w:vAlign w:val="center"/>
          </w:tcPr>
          <w:p w14:paraId="02BB40E9">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27E032AA">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lang w:eastAsia="en-US"/>
              </w:rPr>
            </w:pPr>
            <w:r>
              <w:rPr>
                <w:rFonts w:hint="default" w:ascii="Times New Roman" w:hAnsi="Times New Roman" w:cs="Times New Roman"/>
                <w:b/>
                <w:bCs/>
                <w:sz w:val="21"/>
                <w:szCs w:val="21"/>
                <w:u w:val="single"/>
                <w:lang w:eastAsia="en-US"/>
              </w:rPr>
              <w:t>COD</w:t>
            </w:r>
          </w:p>
        </w:tc>
        <w:tc>
          <w:tcPr>
            <w:tcW w:w="617" w:type="pct"/>
            <w:noWrap w:val="0"/>
            <w:vAlign w:val="center"/>
          </w:tcPr>
          <w:p w14:paraId="4ED22E50">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958" w:type="pct"/>
            <w:noWrap w:val="0"/>
            <w:vAlign w:val="center"/>
          </w:tcPr>
          <w:p w14:paraId="3E5E9B6E">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155.4355</w:t>
            </w:r>
          </w:p>
        </w:tc>
        <w:tc>
          <w:tcPr>
            <w:tcW w:w="958" w:type="pct"/>
            <w:noWrap w:val="0"/>
            <w:vAlign w:val="center"/>
          </w:tcPr>
          <w:p w14:paraId="3924069A">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145.5314</w:t>
            </w:r>
          </w:p>
        </w:tc>
        <w:tc>
          <w:tcPr>
            <w:tcW w:w="958" w:type="pct"/>
            <w:noWrap w:val="0"/>
            <w:vAlign w:val="center"/>
          </w:tcPr>
          <w:p w14:paraId="6FF528F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default" w:ascii="Times New Roman" w:hAnsi="Times New Roman" w:eastAsia="宋体" w:cs="Times New Roman"/>
                <w:b/>
                <w:bCs/>
                <w:sz w:val="21"/>
                <w:szCs w:val="21"/>
                <w:u w:val="single"/>
                <w:lang w:val="en-US" w:eastAsia="zh-CN"/>
              </w:rPr>
              <w:t>9.9041</w:t>
            </w:r>
          </w:p>
        </w:tc>
      </w:tr>
      <w:tr w14:paraId="4608C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596" w:type="pct"/>
            <w:gridSpan w:val="2"/>
            <w:vMerge w:val="continue"/>
            <w:noWrap w:val="0"/>
            <w:vAlign w:val="center"/>
          </w:tcPr>
          <w:p w14:paraId="524ADA05">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3AD9E1B3">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氨氮</w:t>
            </w:r>
          </w:p>
        </w:tc>
        <w:tc>
          <w:tcPr>
            <w:tcW w:w="617" w:type="pct"/>
            <w:noWrap w:val="0"/>
            <w:vAlign w:val="center"/>
          </w:tcPr>
          <w:p w14:paraId="55B90BB2">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958" w:type="pct"/>
            <w:noWrap w:val="0"/>
            <w:vAlign w:val="center"/>
          </w:tcPr>
          <w:p w14:paraId="6CCF1E05">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1.7345</w:t>
            </w:r>
          </w:p>
        </w:tc>
        <w:tc>
          <w:tcPr>
            <w:tcW w:w="958" w:type="pct"/>
            <w:noWrap w:val="0"/>
            <w:vAlign w:val="center"/>
          </w:tcPr>
          <w:p w14:paraId="4C35047D">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1.2393</w:t>
            </w:r>
          </w:p>
        </w:tc>
        <w:tc>
          <w:tcPr>
            <w:tcW w:w="958" w:type="pct"/>
            <w:noWrap w:val="0"/>
            <w:vAlign w:val="center"/>
          </w:tcPr>
          <w:p w14:paraId="03D8BF93">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default" w:ascii="Times New Roman" w:hAnsi="Times New Roman" w:eastAsia="宋体" w:cs="Times New Roman"/>
                <w:b/>
                <w:bCs/>
                <w:sz w:val="21"/>
                <w:szCs w:val="21"/>
                <w:u w:val="single"/>
                <w:lang w:val="en-US" w:eastAsia="zh-CN"/>
              </w:rPr>
              <w:t>0.4952</w:t>
            </w:r>
          </w:p>
        </w:tc>
      </w:tr>
      <w:tr w14:paraId="74886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596" w:type="pct"/>
            <w:gridSpan w:val="2"/>
            <w:vMerge w:val="continue"/>
            <w:noWrap w:val="0"/>
            <w:vAlign w:val="center"/>
          </w:tcPr>
          <w:p w14:paraId="5388E99C">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05A7B548">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总氮</w:t>
            </w:r>
          </w:p>
        </w:tc>
        <w:tc>
          <w:tcPr>
            <w:tcW w:w="617" w:type="pct"/>
            <w:noWrap w:val="0"/>
            <w:vAlign w:val="center"/>
          </w:tcPr>
          <w:p w14:paraId="3DA3AE64">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958" w:type="pct"/>
            <w:noWrap w:val="0"/>
            <w:vAlign w:val="center"/>
          </w:tcPr>
          <w:p w14:paraId="2E11D2D0">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4.9397</w:t>
            </w:r>
          </w:p>
        </w:tc>
        <w:tc>
          <w:tcPr>
            <w:tcW w:w="958" w:type="pct"/>
            <w:noWrap w:val="0"/>
            <w:vAlign w:val="center"/>
          </w:tcPr>
          <w:p w14:paraId="58272578">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1.9685</w:t>
            </w:r>
          </w:p>
        </w:tc>
        <w:tc>
          <w:tcPr>
            <w:tcW w:w="958" w:type="pct"/>
            <w:noWrap w:val="0"/>
            <w:vAlign w:val="center"/>
          </w:tcPr>
          <w:p w14:paraId="4318E745">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default" w:ascii="Times New Roman" w:hAnsi="Times New Roman" w:eastAsia="宋体" w:cs="Times New Roman"/>
                <w:b/>
                <w:bCs/>
                <w:sz w:val="21"/>
                <w:szCs w:val="21"/>
                <w:u w:val="single"/>
                <w:lang w:val="en-US" w:eastAsia="zh-CN"/>
              </w:rPr>
              <w:t>2.9712</w:t>
            </w:r>
          </w:p>
        </w:tc>
      </w:tr>
      <w:tr w14:paraId="2ADD4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596" w:type="pct"/>
            <w:gridSpan w:val="2"/>
            <w:vMerge w:val="continue"/>
            <w:noWrap w:val="0"/>
            <w:vAlign w:val="center"/>
          </w:tcPr>
          <w:p w14:paraId="63807B57">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1B6A71DB">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总磷</w:t>
            </w:r>
          </w:p>
        </w:tc>
        <w:tc>
          <w:tcPr>
            <w:tcW w:w="617" w:type="pct"/>
            <w:noWrap w:val="0"/>
            <w:vAlign w:val="center"/>
          </w:tcPr>
          <w:p w14:paraId="3EB3789D">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958" w:type="pct"/>
            <w:noWrap w:val="0"/>
            <w:vAlign w:val="center"/>
          </w:tcPr>
          <w:p w14:paraId="6947CCFF">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0.9097</w:t>
            </w:r>
          </w:p>
        </w:tc>
        <w:tc>
          <w:tcPr>
            <w:tcW w:w="958" w:type="pct"/>
            <w:noWrap w:val="0"/>
            <w:vAlign w:val="center"/>
          </w:tcPr>
          <w:p w14:paraId="44DB289E">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0.8107</w:t>
            </w:r>
          </w:p>
        </w:tc>
        <w:tc>
          <w:tcPr>
            <w:tcW w:w="958" w:type="pct"/>
            <w:noWrap w:val="0"/>
            <w:vAlign w:val="center"/>
          </w:tcPr>
          <w:p w14:paraId="45C6D856">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default" w:ascii="Times New Roman" w:hAnsi="Times New Roman" w:eastAsia="宋体" w:cs="Times New Roman"/>
                <w:b/>
                <w:bCs/>
                <w:sz w:val="21"/>
                <w:szCs w:val="21"/>
                <w:u w:val="single"/>
                <w:lang w:val="en-US" w:eastAsia="zh-CN"/>
              </w:rPr>
              <w:t>0.099</w:t>
            </w:r>
          </w:p>
        </w:tc>
      </w:tr>
      <w:tr w14:paraId="040F8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249" w:type="pct"/>
            <w:vMerge w:val="restart"/>
            <w:noWrap w:val="0"/>
            <w:vAlign w:val="center"/>
          </w:tcPr>
          <w:p w14:paraId="22A8652A">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r>
              <w:rPr>
                <w:b/>
                <w:bCs/>
                <w:u w:val="single"/>
                <w:lang w:eastAsia="en-US"/>
              </w:rPr>
              <w:t>固废</w:t>
            </w:r>
          </w:p>
        </w:tc>
        <w:tc>
          <w:tcPr>
            <w:tcW w:w="347" w:type="pct"/>
            <w:vMerge w:val="restart"/>
            <w:noWrap w:val="0"/>
            <w:vAlign w:val="center"/>
          </w:tcPr>
          <w:p w14:paraId="759963FF">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r>
              <w:rPr>
                <w:b/>
                <w:bCs/>
                <w:u w:val="single"/>
                <w:lang w:eastAsia="en-US"/>
              </w:rPr>
              <w:t>一般固废</w:t>
            </w:r>
          </w:p>
        </w:tc>
        <w:tc>
          <w:tcPr>
            <w:tcW w:w="910" w:type="pct"/>
            <w:noWrap w:val="0"/>
            <w:vAlign w:val="center"/>
          </w:tcPr>
          <w:p w14:paraId="3A421848">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除尘器收集颗粒物</w:t>
            </w:r>
          </w:p>
        </w:tc>
        <w:tc>
          <w:tcPr>
            <w:tcW w:w="617" w:type="pct"/>
            <w:noWrap w:val="0"/>
            <w:vAlign w:val="center"/>
          </w:tcPr>
          <w:p w14:paraId="3A14E5D4">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t/a</w:t>
            </w:r>
          </w:p>
        </w:tc>
        <w:tc>
          <w:tcPr>
            <w:tcW w:w="958" w:type="pct"/>
            <w:noWrap w:val="0"/>
            <w:vAlign w:val="center"/>
          </w:tcPr>
          <w:p w14:paraId="0A279798">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4.95</w:t>
            </w:r>
          </w:p>
        </w:tc>
        <w:tc>
          <w:tcPr>
            <w:tcW w:w="958" w:type="pct"/>
            <w:noWrap w:val="0"/>
            <w:vAlign w:val="center"/>
          </w:tcPr>
          <w:p w14:paraId="6859F098">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4.95</w:t>
            </w:r>
          </w:p>
        </w:tc>
        <w:tc>
          <w:tcPr>
            <w:tcW w:w="958" w:type="pct"/>
            <w:noWrap w:val="0"/>
            <w:vAlign w:val="center"/>
          </w:tcPr>
          <w:p w14:paraId="5004DCAD">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0</w:t>
            </w:r>
          </w:p>
        </w:tc>
      </w:tr>
      <w:tr w14:paraId="25D74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49" w:type="pct"/>
            <w:vMerge w:val="continue"/>
            <w:noWrap w:val="0"/>
            <w:vAlign w:val="center"/>
          </w:tcPr>
          <w:p w14:paraId="1D74A0E0">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347" w:type="pct"/>
            <w:vMerge w:val="continue"/>
            <w:noWrap w:val="0"/>
            <w:vAlign w:val="center"/>
          </w:tcPr>
          <w:p w14:paraId="7412B38F">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393755AB">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废丝</w:t>
            </w:r>
          </w:p>
        </w:tc>
        <w:tc>
          <w:tcPr>
            <w:tcW w:w="617" w:type="pct"/>
            <w:noWrap w:val="0"/>
            <w:vAlign w:val="center"/>
          </w:tcPr>
          <w:p w14:paraId="745BEB30">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t/a</w:t>
            </w:r>
          </w:p>
        </w:tc>
        <w:tc>
          <w:tcPr>
            <w:tcW w:w="958" w:type="pct"/>
            <w:noWrap w:val="0"/>
            <w:vAlign w:val="center"/>
          </w:tcPr>
          <w:p w14:paraId="21CE1D50">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10.01</w:t>
            </w:r>
          </w:p>
        </w:tc>
        <w:tc>
          <w:tcPr>
            <w:tcW w:w="958" w:type="pct"/>
            <w:noWrap w:val="0"/>
            <w:vAlign w:val="center"/>
          </w:tcPr>
          <w:p w14:paraId="529929A2">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10.01</w:t>
            </w:r>
          </w:p>
        </w:tc>
        <w:tc>
          <w:tcPr>
            <w:tcW w:w="958" w:type="pct"/>
            <w:noWrap w:val="0"/>
            <w:vAlign w:val="center"/>
          </w:tcPr>
          <w:p w14:paraId="17DAEDA6">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0</w:t>
            </w:r>
          </w:p>
        </w:tc>
      </w:tr>
      <w:tr w14:paraId="0130C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49" w:type="pct"/>
            <w:vMerge w:val="continue"/>
            <w:noWrap w:val="0"/>
            <w:vAlign w:val="center"/>
          </w:tcPr>
          <w:p w14:paraId="2EAAA20E">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347" w:type="pct"/>
            <w:vMerge w:val="continue"/>
            <w:noWrap w:val="0"/>
            <w:vAlign w:val="center"/>
          </w:tcPr>
          <w:p w14:paraId="2736287A">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50531FB7">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污泥</w:t>
            </w:r>
          </w:p>
        </w:tc>
        <w:tc>
          <w:tcPr>
            <w:tcW w:w="617" w:type="pct"/>
            <w:noWrap w:val="0"/>
            <w:vAlign w:val="center"/>
          </w:tcPr>
          <w:p w14:paraId="3A67EA2C">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t/a</w:t>
            </w:r>
          </w:p>
        </w:tc>
        <w:tc>
          <w:tcPr>
            <w:tcW w:w="958" w:type="pct"/>
            <w:noWrap w:val="0"/>
            <w:vAlign w:val="center"/>
          </w:tcPr>
          <w:p w14:paraId="0F66358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60.12</w:t>
            </w:r>
          </w:p>
        </w:tc>
        <w:tc>
          <w:tcPr>
            <w:tcW w:w="958" w:type="pct"/>
            <w:noWrap w:val="0"/>
            <w:vAlign w:val="center"/>
          </w:tcPr>
          <w:p w14:paraId="1B025D9A">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60.12</w:t>
            </w:r>
          </w:p>
        </w:tc>
        <w:tc>
          <w:tcPr>
            <w:tcW w:w="958" w:type="pct"/>
            <w:noWrap w:val="0"/>
            <w:vAlign w:val="center"/>
          </w:tcPr>
          <w:p w14:paraId="655AF3ED">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0</w:t>
            </w:r>
          </w:p>
        </w:tc>
      </w:tr>
      <w:tr w14:paraId="1D21D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49" w:type="pct"/>
            <w:vMerge w:val="continue"/>
            <w:noWrap w:val="0"/>
            <w:vAlign w:val="center"/>
          </w:tcPr>
          <w:p w14:paraId="216AFB6C">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347" w:type="pct"/>
            <w:vMerge w:val="continue"/>
            <w:noWrap w:val="0"/>
            <w:vAlign w:val="center"/>
          </w:tcPr>
          <w:p w14:paraId="02044D41">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374F6EBE">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T溶剂废包装桶</w:t>
            </w:r>
          </w:p>
        </w:tc>
        <w:tc>
          <w:tcPr>
            <w:tcW w:w="617" w:type="pct"/>
            <w:noWrap w:val="0"/>
            <w:vAlign w:val="center"/>
          </w:tcPr>
          <w:p w14:paraId="03894843">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t/a</w:t>
            </w:r>
          </w:p>
        </w:tc>
        <w:tc>
          <w:tcPr>
            <w:tcW w:w="958" w:type="pct"/>
            <w:noWrap w:val="0"/>
            <w:vAlign w:val="center"/>
          </w:tcPr>
          <w:p w14:paraId="36385C0E">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0.975</w:t>
            </w:r>
          </w:p>
        </w:tc>
        <w:tc>
          <w:tcPr>
            <w:tcW w:w="958" w:type="pct"/>
            <w:noWrap w:val="0"/>
            <w:vAlign w:val="center"/>
          </w:tcPr>
          <w:p w14:paraId="4CBDAF5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0.975</w:t>
            </w:r>
          </w:p>
        </w:tc>
        <w:tc>
          <w:tcPr>
            <w:tcW w:w="958" w:type="pct"/>
            <w:noWrap w:val="0"/>
            <w:vAlign w:val="center"/>
          </w:tcPr>
          <w:p w14:paraId="089A3320">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0</w:t>
            </w:r>
          </w:p>
        </w:tc>
      </w:tr>
      <w:tr w14:paraId="51BC7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49" w:type="pct"/>
            <w:vMerge w:val="continue"/>
            <w:noWrap w:val="0"/>
            <w:vAlign w:val="center"/>
          </w:tcPr>
          <w:p w14:paraId="69239830">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347" w:type="pct"/>
            <w:vMerge w:val="restart"/>
            <w:noWrap w:val="0"/>
            <w:vAlign w:val="center"/>
          </w:tcPr>
          <w:p w14:paraId="0C1C91E1">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u w:val="single"/>
                <w:lang w:val="en-US" w:eastAsia="zh-CN"/>
              </w:rPr>
            </w:pPr>
            <w:r>
              <w:rPr>
                <w:rFonts w:hint="eastAsia" w:eastAsia="宋体"/>
                <w:b/>
                <w:bCs/>
                <w:u w:val="single"/>
                <w:lang w:val="en-US" w:eastAsia="zh-CN"/>
              </w:rPr>
              <w:t>危险废物</w:t>
            </w:r>
          </w:p>
        </w:tc>
        <w:tc>
          <w:tcPr>
            <w:tcW w:w="910" w:type="pct"/>
            <w:noWrap w:val="0"/>
            <w:vAlign w:val="center"/>
          </w:tcPr>
          <w:p w14:paraId="694DF71A">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D溶剂、油剂废包装桶</w:t>
            </w:r>
          </w:p>
        </w:tc>
        <w:tc>
          <w:tcPr>
            <w:tcW w:w="617" w:type="pct"/>
            <w:noWrap w:val="0"/>
            <w:vAlign w:val="center"/>
          </w:tcPr>
          <w:p w14:paraId="1E1DF7CC">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t/a</w:t>
            </w:r>
          </w:p>
        </w:tc>
        <w:tc>
          <w:tcPr>
            <w:tcW w:w="958" w:type="pct"/>
            <w:noWrap w:val="0"/>
            <w:vAlign w:val="center"/>
          </w:tcPr>
          <w:p w14:paraId="6CE6CF5B">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11.7</w:t>
            </w:r>
          </w:p>
        </w:tc>
        <w:tc>
          <w:tcPr>
            <w:tcW w:w="958" w:type="pct"/>
            <w:noWrap w:val="0"/>
            <w:vAlign w:val="center"/>
          </w:tcPr>
          <w:p w14:paraId="1B979FE8">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11.7</w:t>
            </w:r>
          </w:p>
        </w:tc>
        <w:tc>
          <w:tcPr>
            <w:tcW w:w="958" w:type="pct"/>
            <w:noWrap w:val="0"/>
            <w:vAlign w:val="center"/>
          </w:tcPr>
          <w:p w14:paraId="62037969">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0</w:t>
            </w:r>
          </w:p>
        </w:tc>
      </w:tr>
      <w:tr w14:paraId="7DFFA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49" w:type="pct"/>
            <w:vMerge w:val="continue"/>
            <w:noWrap w:val="0"/>
            <w:vAlign w:val="center"/>
          </w:tcPr>
          <w:p w14:paraId="40EA48AB">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347" w:type="pct"/>
            <w:vMerge w:val="continue"/>
            <w:noWrap w:val="0"/>
            <w:vAlign w:val="center"/>
          </w:tcPr>
          <w:p w14:paraId="679710EC">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7A06A954">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过滤废渣</w:t>
            </w:r>
          </w:p>
        </w:tc>
        <w:tc>
          <w:tcPr>
            <w:tcW w:w="617" w:type="pct"/>
            <w:noWrap w:val="0"/>
            <w:vAlign w:val="center"/>
          </w:tcPr>
          <w:p w14:paraId="7D978058">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t/a</w:t>
            </w:r>
          </w:p>
        </w:tc>
        <w:tc>
          <w:tcPr>
            <w:tcW w:w="958" w:type="pct"/>
            <w:noWrap w:val="0"/>
            <w:vAlign w:val="center"/>
          </w:tcPr>
          <w:p w14:paraId="478FD31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87.4</w:t>
            </w:r>
          </w:p>
        </w:tc>
        <w:tc>
          <w:tcPr>
            <w:tcW w:w="958" w:type="pct"/>
            <w:noWrap w:val="0"/>
            <w:vAlign w:val="center"/>
          </w:tcPr>
          <w:p w14:paraId="664B097F">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87.4</w:t>
            </w:r>
          </w:p>
        </w:tc>
        <w:tc>
          <w:tcPr>
            <w:tcW w:w="958" w:type="pct"/>
            <w:noWrap w:val="0"/>
            <w:vAlign w:val="center"/>
          </w:tcPr>
          <w:p w14:paraId="7D2E9B23">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0</w:t>
            </w:r>
          </w:p>
        </w:tc>
      </w:tr>
      <w:tr w14:paraId="5183E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49" w:type="pct"/>
            <w:vMerge w:val="continue"/>
            <w:noWrap w:val="0"/>
            <w:vAlign w:val="center"/>
          </w:tcPr>
          <w:p w14:paraId="40644905">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347" w:type="pct"/>
            <w:vMerge w:val="continue"/>
            <w:noWrap w:val="0"/>
            <w:vAlign w:val="center"/>
          </w:tcPr>
          <w:p w14:paraId="2F460EBA">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6E2246BD">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废滤芯</w:t>
            </w:r>
          </w:p>
        </w:tc>
        <w:tc>
          <w:tcPr>
            <w:tcW w:w="617" w:type="pct"/>
            <w:noWrap w:val="0"/>
            <w:vAlign w:val="center"/>
          </w:tcPr>
          <w:p w14:paraId="7DC1B589">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t/a</w:t>
            </w:r>
          </w:p>
        </w:tc>
        <w:tc>
          <w:tcPr>
            <w:tcW w:w="958" w:type="pct"/>
            <w:noWrap w:val="0"/>
            <w:vAlign w:val="center"/>
          </w:tcPr>
          <w:p w14:paraId="6037988D">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1.7</w:t>
            </w:r>
          </w:p>
        </w:tc>
        <w:tc>
          <w:tcPr>
            <w:tcW w:w="958" w:type="pct"/>
            <w:noWrap w:val="0"/>
            <w:vAlign w:val="center"/>
          </w:tcPr>
          <w:p w14:paraId="4D7F536C">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1.7</w:t>
            </w:r>
          </w:p>
        </w:tc>
        <w:tc>
          <w:tcPr>
            <w:tcW w:w="958" w:type="pct"/>
            <w:noWrap w:val="0"/>
            <w:vAlign w:val="center"/>
          </w:tcPr>
          <w:p w14:paraId="6274C9EF">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0</w:t>
            </w:r>
          </w:p>
        </w:tc>
      </w:tr>
      <w:tr w14:paraId="19DCE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49" w:type="pct"/>
            <w:vMerge w:val="continue"/>
            <w:noWrap w:val="0"/>
            <w:vAlign w:val="center"/>
          </w:tcPr>
          <w:p w14:paraId="39A68BA2">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347" w:type="pct"/>
            <w:vMerge w:val="continue"/>
            <w:noWrap w:val="0"/>
            <w:vAlign w:val="center"/>
          </w:tcPr>
          <w:p w14:paraId="5370F840">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910" w:type="pct"/>
            <w:noWrap w:val="0"/>
            <w:vAlign w:val="center"/>
          </w:tcPr>
          <w:p w14:paraId="310A454B">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废活性炭</w:t>
            </w:r>
          </w:p>
        </w:tc>
        <w:tc>
          <w:tcPr>
            <w:tcW w:w="617" w:type="pct"/>
            <w:noWrap w:val="0"/>
            <w:vAlign w:val="center"/>
          </w:tcPr>
          <w:p w14:paraId="25464766">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t/a</w:t>
            </w:r>
          </w:p>
        </w:tc>
        <w:tc>
          <w:tcPr>
            <w:tcW w:w="958" w:type="pct"/>
            <w:noWrap w:val="0"/>
            <w:vAlign w:val="center"/>
          </w:tcPr>
          <w:p w14:paraId="3FD1C16C">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3</w:t>
            </w:r>
          </w:p>
        </w:tc>
        <w:tc>
          <w:tcPr>
            <w:tcW w:w="958" w:type="pct"/>
            <w:noWrap w:val="0"/>
            <w:vAlign w:val="center"/>
          </w:tcPr>
          <w:p w14:paraId="5547378B">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3</w:t>
            </w:r>
          </w:p>
        </w:tc>
        <w:tc>
          <w:tcPr>
            <w:tcW w:w="958" w:type="pct"/>
            <w:noWrap w:val="0"/>
            <w:vAlign w:val="center"/>
          </w:tcPr>
          <w:p w14:paraId="2553C44F">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0</w:t>
            </w:r>
          </w:p>
        </w:tc>
      </w:tr>
    </w:tbl>
    <w:p w14:paraId="4EA8BBF6">
      <w:pPr>
        <w:bidi w:val="0"/>
        <w:rPr>
          <w:rFonts w:hint="eastAsia"/>
          <w:b/>
          <w:bCs/>
          <w:color w:val="auto"/>
          <w:highlight w:val="none"/>
          <w:u w:val="single"/>
        </w:rPr>
      </w:pPr>
      <w:r>
        <w:rPr>
          <w:rFonts w:hint="eastAsia"/>
          <w:b/>
          <w:bCs/>
          <w:color w:val="auto"/>
          <w:highlight w:val="none"/>
          <w:u w:val="single"/>
        </w:rPr>
        <w:t>本项目建成后全厂污染物产</w:t>
      </w:r>
      <w:r>
        <w:rPr>
          <w:rFonts w:hint="eastAsia"/>
          <w:b/>
          <w:bCs/>
          <w:color w:val="auto"/>
          <w:highlight w:val="none"/>
          <w:u w:val="single"/>
          <w:lang w:eastAsia="zh-CN"/>
        </w:rPr>
        <w:t>排放</w:t>
      </w:r>
      <w:r>
        <w:rPr>
          <w:rFonts w:hint="eastAsia"/>
          <w:b/>
          <w:bCs/>
          <w:color w:val="auto"/>
          <w:highlight w:val="none"/>
          <w:u w:val="single"/>
        </w:rPr>
        <w:t>情况见</w:t>
      </w:r>
      <w:r>
        <w:rPr>
          <w:rFonts w:hint="eastAsia"/>
          <w:b/>
          <w:bCs/>
          <w:color w:val="auto"/>
          <w:highlight w:val="none"/>
          <w:u w:val="single"/>
          <w:lang w:val="en-US" w:eastAsia="zh-CN"/>
        </w:rPr>
        <w:t>下表</w:t>
      </w:r>
      <w:r>
        <w:rPr>
          <w:rFonts w:hint="eastAsia"/>
          <w:b/>
          <w:bCs/>
          <w:color w:val="auto"/>
          <w:highlight w:val="none"/>
          <w:u w:val="single"/>
        </w:rPr>
        <w:t>。</w:t>
      </w:r>
    </w:p>
    <w:p w14:paraId="085CC618">
      <w:pPr>
        <w:pStyle w:val="10"/>
        <w:bidi w:val="0"/>
        <w:rPr>
          <w:rFonts w:hint="eastAsia"/>
          <w:b/>
          <w:bCs/>
          <w:u w:val="single"/>
          <w:lang w:val="en-US" w:eastAsia="zh-CN"/>
        </w:rPr>
      </w:pPr>
      <w:r>
        <w:rPr>
          <w:rFonts w:hint="eastAsia"/>
          <w:b/>
          <w:bCs/>
          <w:u w:val="single"/>
          <w:lang w:val="en-US" w:eastAsia="zh-CN"/>
        </w:rPr>
        <w:t xml:space="preserve">表 </w:t>
      </w:r>
      <w:r>
        <w:rPr>
          <w:rFonts w:hint="eastAsia"/>
          <w:b/>
          <w:bCs/>
          <w:u w:val="single"/>
          <w:lang w:val="en-US" w:eastAsia="zh-CN"/>
        </w:rPr>
        <w:fldChar w:fldCharType="begin"/>
      </w:r>
      <w:r>
        <w:rPr>
          <w:rFonts w:hint="eastAsia"/>
          <w:b/>
          <w:bCs/>
          <w:u w:val="single"/>
          <w:lang w:val="en-US" w:eastAsia="zh-CN"/>
        </w:rPr>
        <w:instrText xml:space="preserve"> STYLEREF 2 \s </w:instrText>
      </w:r>
      <w:r>
        <w:rPr>
          <w:rFonts w:hint="eastAsia"/>
          <w:b/>
          <w:bCs/>
          <w:u w:val="single"/>
          <w:lang w:val="en-US" w:eastAsia="zh-CN"/>
        </w:rPr>
        <w:fldChar w:fldCharType="separate"/>
      </w:r>
      <w:r>
        <w:rPr>
          <w:rFonts w:hint="eastAsia"/>
          <w:b/>
          <w:bCs/>
          <w:u w:val="single"/>
          <w:lang w:val="en-US" w:eastAsia="zh-CN"/>
        </w:rPr>
        <w:t>4.7</w:t>
      </w:r>
      <w:r>
        <w:rPr>
          <w:rFonts w:hint="eastAsia"/>
          <w:b/>
          <w:bCs/>
          <w:u w:val="single"/>
          <w:lang w:val="en-US" w:eastAsia="zh-CN"/>
        </w:rPr>
        <w:fldChar w:fldCharType="end"/>
      </w:r>
      <w:r>
        <w:rPr>
          <w:rFonts w:hint="eastAsia"/>
          <w:b/>
          <w:bCs/>
          <w:u w:val="single"/>
          <w:lang w:val="en-US" w:eastAsia="zh-CN"/>
        </w:rPr>
        <w:t>-</w:t>
      </w:r>
      <w:r>
        <w:rPr>
          <w:rFonts w:hint="eastAsia"/>
          <w:b/>
          <w:bCs/>
          <w:u w:val="single"/>
          <w:lang w:val="en-US" w:eastAsia="zh-CN"/>
        </w:rPr>
        <w:fldChar w:fldCharType="begin"/>
      </w:r>
      <w:r>
        <w:rPr>
          <w:rFonts w:hint="eastAsia"/>
          <w:b/>
          <w:bCs/>
          <w:u w:val="single"/>
          <w:lang w:val="en-US" w:eastAsia="zh-CN"/>
        </w:rPr>
        <w:instrText xml:space="preserve"> SEQ 表 \* ARABIC \s 2 </w:instrText>
      </w:r>
      <w:r>
        <w:rPr>
          <w:rFonts w:hint="eastAsia"/>
          <w:b/>
          <w:bCs/>
          <w:u w:val="single"/>
          <w:lang w:val="en-US" w:eastAsia="zh-CN"/>
        </w:rPr>
        <w:fldChar w:fldCharType="separate"/>
      </w:r>
      <w:r>
        <w:rPr>
          <w:rFonts w:hint="eastAsia"/>
          <w:b/>
          <w:bCs/>
          <w:u w:val="single"/>
          <w:lang w:val="en-US" w:eastAsia="zh-CN"/>
        </w:rPr>
        <w:t>3</w:t>
      </w:r>
      <w:r>
        <w:rPr>
          <w:rFonts w:hint="eastAsia"/>
          <w:b/>
          <w:bCs/>
          <w:u w:val="single"/>
          <w:lang w:val="en-US" w:eastAsia="zh-CN"/>
        </w:rPr>
        <w:fldChar w:fldCharType="end"/>
      </w:r>
      <w:r>
        <w:rPr>
          <w:rFonts w:hint="eastAsia"/>
          <w:b/>
          <w:bCs/>
          <w:u w:val="single"/>
          <w:lang w:val="en-US" w:eastAsia="zh-CN"/>
        </w:rPr>
        <w:t xml:space="preserve"> 项目建成后全厂主要污染物排放三笔账单位：t/a</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1206"/>
        <w:gridCol w:w="907"/>
        <w:gridCol w:w="1501"/>
        <w:gridCol w:w="962"/>
        <w:gridCol w:w="1202"/>
        <w:gridCol w:w="1108"/>
        <w:gridCol w:w="948"/>
      </w:tblGrid>
      <w:tr w14:paraId="6B249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1111" w:type="pct"/>
            <w:gridSpan w:val="2"/>
            <w:noWrap w:val="0"/>
            <w:vAlign w:val="center"/>
          </w:tcPr>
          <w:p w14:paraId="2FFD815E">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污染物</w:t>
            </w:r>
          </w:p>
        </w:tc>
        <w:tc>
          <w:tcPr>
            <w:tcW w:w="532" w:type="pct"/>
            <w:noWrap w:val="0"/>
            <w:vAlign w:val="center"/>
          </w:tcPr>
          <w:p w14:paraId="43A2E58A">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单位</w:t>
            </w:r>
          </w:p>
        </w:tc>
        <w:tc>
          <w:tcPr>
            <w:tcW w:w="880" w:type="pct"/>
            <w:noWrap w:val="0"/>
            <w:vAlign w:val="center"/>
          </w:tcPr>
          <w:p w14:paraId="478AA52B">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现有</w:t>
            </w:r>
            <w:r>
              <w:rPr>
                <w:rFonts w:hint="eastAsia"/>
                <w:b/>
                <w:bCs/>
                <w:u w:val="single"/>
              </w:rPr>
              <w:t>+在建</w:t>
            </w:r>
            <w:r>
              <w:rPr>
                <w:rFonts w:hint="eastAsia" w:eastAsia="宋体"/>
                <w:b/>
                <w:bCs/>
                <w:u w:val="single"/>
                <w:lang w:val="en-US" w:eastAsia="zh-CN"/>
              </w:rPr>
              <w:t>及拟建</w:t>
            </w:r>
            <w:r>
              <w:rPr>
                <w:b/>
                <w:bCs/>
                <w:u w:val="single"/>
              </w:rPr>
              <w:t>排放量</w:t>
            </w:r>
          </w:p>
        </w:tc>
        <w:tc>
          <w:tcPr>
            <w:tcW w:w="564" w:type="pct"/>
            <w:noWrap w:val="0"/>
            <w:vAlign w:val="center"/>
          </w:tcPr>
          <w:p w14:paraId="0B26753A">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本项目排放量</w:t>
            </w:r>
          </w:p>
        </w:tc>
        <w:tc>
          <w:tcPr>
            <w:tcW w:w="705" w:type="pct"/>
            <w:noWrap w:val="0"/>
            <w:vAlign w:val="center"/>
          </w:tcPr>
          <w:p w14:paraId="4A8B8FCB">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“以新带老”</w:t>
            </w:r>
            <w:r>
              <w:rPr>
                <w:b/>
                <w:bCs/>
                <w:spacing w:val="-5"/>
                <w:u w:val="single"/>
              </w:rPr>
              <w:t>削减</w:t>
            </w:r>
          </w:p>
        </w:tc>
        <w:tc>
          <w:tcPr>
            <w:tcW w:w="650" w:type="pct"/>
            <w:noWrap w:val="0"/>
            <w:vAlign w:val="center"/>
          </w:tcPr>
          <w:p w14:paraId="7C9E32BC">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全厂总排</w:t>
            </w:r>
            <w:r>
              <w:rPr>
                <w:b/>
                <w:bCs/>
                <w:spacing w:val="4"/>
                <w:u w:val="single"/>
              </w:rPr>
              <w:t>放量</w:t>
            </w:r>
          </w:p>
        </w:tc>
        <w:tc>
          <w:tcPr>
            <w:tcW w:w="556" w:type="pct"/>
            <w:noWrap w:val="0"/>
            <w:vAlign w:val="center"/>
          </w:tcPr>
          <w:p w14:paraId="0A22FC80">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增</w:t>
            </w:r>
            <w:r>
              <w:rPr>
                <w:b/>
                <w:bCs/>
                <w:spacing w:val="4"/>
                <w:u w:val="single"/>
              </w:rPr>
              <w:t>减量</w:t>
            </w:r>
          </w:p>
        </w:tc>
      </w:tr>
      <w:tr w14:paraId="5EED1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04" w:type="pct"/>
            <w:vMerge w:val="restart"/>
            <w:noWrap w:val="0"/>
            <w:vAlign w:val="center"/>
          </w:tcPr>
          <w:p w14:paraId="6092E129">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r>
              <w:rPr>
                <w:b/>
                <w:bCs/>
                <w:u w:val="single"/>
                <w:lang w:eastAsia="en-US"/>
              </w:rPr>
              <w:t>废气</w:t>
            </w:r>
          </w:p>
        </w:tc>
        <w:tc>
          <w:tcPr>
            <w:tcW w:w="707" w:type="pct"/>
            <w:noWrap w:val="0"/>
            <w:vAlign w:val="center"/>
          </w:tcPr>
          <w:p w14:paraId="34B46126">
            <w:pPr>
              <w:pStyle w:val="94"/>
              <w:keepNext w:val="0"/>
              <w:keepLines w:val="0"/>
              <w:pageBreakBefore w:val="0"/>
              <w:widowControl w:val="0"/>
              <w:wordWrap/>
              <w:topLinePunct w:val="0"/>
              <w:autoSpaceDE/>
              <w:autoSpaceDN/>
              <w:bidi w:val="0"/>
              <w:snapToGrid w:val="0"/>
              <w:spacing w:line="240" w:lineRule="auto"/>
              <w:ind w:firstLine="0" w:firstLineChars="0"/>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颗粒物</w:t>
            </w:r>
          </w:p>
        </w:tc>
        <w:tc>
          <w:tcPr>
            <w:tcW w:w="532" w:type="pct"/>
            <w:noWrap w:val="0"/>
            <w:vAlign w:val="center"/>
          </w:tcPr>
          <w:p w14:paraId="25288ADA">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color w:val="000000"/>
                <w:sz w:val="21"/>
                <w:szCs w:val="21"/>
                <w:u w:val="single"/>
              </w:rPr>
            </w:pPr>
            <w:r>
              <w:rPr>
                <w:rFonts w:hint="default" w:ascii="Times New Roman" w:hAnsi="Times New Roman" w:cs="Times New Roman"/>
                <w:b/>
                <w:bCs/>
                <w:sz w:val="21"/>
                <w:szCs w:val="21"/>
                <w:u w:val="single"/>
              </w:rPr>
              <w:t>t/a</w:t>
            </w:r>
          </w:p>
        </w:tc>
        <w:tc>
          <w:tcPr>
            <w:tcW w:w="1501" w:type="dxa"/>
            <w:noWrap w:val="0"/>
            <w:vAlign w:val="center"/>
          </w:tcPr>
          <w:p w14:paraId="1EBBC466">
            <w:pPr>
              <w:pStyle w:val="182"/>
              <w:ind w:firstLine="0" w:firstLineChars="0"/>
              <w:rPr>
                <w:rFonts w:hint="default" w:ascii="Times New Roman" w:hAnsi="Times New Roman" w:eastAsia="宋体" w:cs="Times New Roman"/>
                <w:b/>
                <w:bCs/>
                <w:sz w:val="21"/>
                <w:szCs w:val="21"/>
                <w:u w:val="single"/>
              </w:rPr>
            </w:pPr>
            <w:r>
              <w:rPr>
                <w:rFonts w:hint="eastAsia"/>
                <w:b/>
                <w:bCs/>
                <w:color w:val="auto"/>
                <w:highlight w:val="none"/>
                <w:u w:val="single"/>
                <w:lang w:val="en-US" w:eastAsia="zh-CN"/>
              </w:rPr>
              <w:t>40.2772</w:t>
            </w:r>
          </w:p>
        </w:tc>
        <w:tc>
          <w:tcPr>
            <w:tcW w:w="988" w:type="dxa"/>
            <w:noWrap w:val="0"/>
            <w:vAlign w:val="center"/>
          </w:tcPr>
          <w:p w14:paraId="281E618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cs="Times New Roman"/>
                <w:b/>
                <w:bCs/>
                <w:sz w:val="21"/>
                <w:szCs w:val="21"/>
                <w:u w:val="single"/>
                <w:lang w:val="en-US" w:eastAsia="zh-CN"/>
              </w:rPr>
              <w:t>0.05</w:t>
            </w:r>
          </w:p>
        </w:tc>
        <w:tc>
          <w:tcPr>
            <w:tcW w:w="1165" w:type="dxa"/>
            <w:noWrap w:val="0"/>
            <w:vAlign w:val="center"/>
          </w:tcPr>
          <w:p w14:paraId="7A079344">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cs="Times New Roman"/>
                <w:b/>
                <w:bCs/>
                <w:sz w:val="21"/>
                <w:szCs w:val="21"/>
                <w:u w:val="single"/>
                <w:lang w:val="en-US" w:eastAsia="zh-CN"/>
              </w:rPr>
              <w:t>/</w:t>
            </w:r>
          </w:p>
        </w:tc>
        <w:tc>
          <w:tcPr>
            <w:tcW w:w="1228" w:type="dxa"/>
            <w:noWrap w:val="0"/>
            <w:vAlign w:val="center"/>
          </w:tcPr>
          <w:p w14:paraId="48DEDEE9">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40.3272</w:t>
            </w:r>
          </w:p>
        </w:tc>
        <w:tc>
          <w:tcPr>
            <w:tcW w:w="988" w:type="dxa"/>
            <w:noWrap w:val="0"/>
            <w:vAlign w:val="center"/>
          </w:tcPr>
          <w:p w14:paraId="67DEB297">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rPr>
            </w:pPr>
            <w:r>
              <w:rPr>
                <w:rFonts w:hint="default" w:ascii="Times New Roman" w:hAnsi="Times New Roman" w:cs="Times New Roman"/>
                <w:b/>
                <w:bCs/>
                <w:sz w:val="21"/>
                <w:szCs w:val="21"/>
                <w:u w:val="single"/>
                <w:lang w:val="en-US" w:eastAsia="zh-CN"/>
              </w:rPr>
              <w:t>0.05</w:t>
            </w:r>
          </w:p>
        </w:tc>
      </w:tr>
      <w:tr w14:paraId="1F5F7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04" w:type="pct"/>
            <w:vMerge w:val="continue"/>
            <w:noWrap w:val="0"/>
            <w:vAlign w:val="center"/>
          </w:tcPr>
          <w:p w14:paraId="70BC84F3">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707" w:type="pct"/>
            <w:noWrap w:val="0"/>
            <w:vAlign w:val="center"/>
          </w:tcPr>
          <w:p w14:paraId="4D77A47C">
            <w:pPr>
              <w:pStyle w:val="94"/>
              <w:keepNext w:val="0"/>
              <w:keepLines w:val="0"/>
              <w:pageBreakBefore w:val="0"/>
              <w:widowControl w:val="0"/>
              <w:wordWrap/>
              <w:topLinePunct w:val="0"/>
              <w:autoSpaceDE/>
              <w:autoSpaceDN/>
              <w:bidi w:val="0"/>
              <w:snapToGrid w:val="0"/>
              <w:spacing w:line="240" w:lineRule="auto"/>
              <w:ind w:firstLine="0" w:firstLineChars="0"/>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SO</w:t>
            </w:r>
            <w:r>
              <w:rPr>
                <w:rFonts w:hint="default" w:ascii="Times New Roman" w:hAnsi="Times New Roman" w:cs="Times New Roman"/>
                <w:b/>
                <w:bCs/>
                <w:sz w:val="21"/>
                <w:szCs w:val="21"/>
                <w:u w:val="single"/>
                <w:vertAlign w:val="subscript"/>
              </w:rPr>
              <w:t>2</w:t>
            </w:r>
          </w:p>
        </w:tc>
        <w:tc>
          <w:tcPr>
            <w:tcW w:w="532" w:type="pct"/>
            <w:noWrap w:val="0"/>
            <w:vAlign w:val="center"/>
          </w:tcPr>
          <w:p w14:paraId="5E3A6BF2">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1501" w:type="dxa"/>
            <w:noWrap w:val="0"/>
            <w:vAlign w:val="center"/>
          </w:tcPr>
          <w:p w14:paraId="6FAF1531">
            <w:pPr>
              <w:pStyle w:val="182"/>
              <w:ind w:firstLine="0" w:firstLineChars="0"/>
              <w:rPr>
                <w:rFonts w:hint="default" w:ascii="Times New Roman" w:hAnsi="Times New Roman" w:eastAsia="宋体" w:cs="Times New Roman"/>
                <w:b/>
                <w:bCs/>
                <w:sz w:val="21"/>
                <w:szCs w:val="21"/>
                <w:u w:val="single"/>
              </w:rPr>
            </w:pPr>
            <w:r>
              <w:rPr>
                <w:rFonts w:hint="eastAsia"/>
                <w:b/>
                <w:bCs/>
                <w:color w:val="auto"/>
                <w:highlight w:val="none"/>
                <w:u w:val="single"/>
                <w:lang w:val="en-US" w:eastAsia="zh-CN"/>
              </w:rPr>
              <w:t>163.8861</w:t>
            </w:r>
          </w:p>
        </w:tc>
        <w:tc>
          <w:tcPr>
            <w:tcW w:w="988" w:type="dxa"/>
            <w:noWrap w:val="0"/>
            <w:vAlign w:val="center"/>
          </w:tcPr>
          <w:p w14:paraId="72715C85">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cs="Times New Roman"/>
                <w:b/>
                <w:bCs/>
                <w:sz w:val="21"/>
                <w:szCs w:val="21"/>
                <w:u w:val="single"/>
                <w:lang w:val="en-US" w:eastAsia="zh-CN"/>
              </w:rPr>
              <w:t>/</w:t>
            </w:r>
          </w:p>
        </w:tc>
        <w:tc>
          <w:tcPr>
            <w:tcW w:w="1165" w:type="dxa"/>
            <w:noWrap w:val="0"/>
            <w:vAlign w:val="center"/>
          </w:tcPr>
          <w:p w14:paraId="416436B3">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cs="Times New Roman"/>
                <w:b/>
                <w:bCs/>
                <w:sz w:val="21"/>
                <w:szCs w:val="21"/>
                <w:u w:val="single"/>
                <w:lang w:val="en-US" w:eastAsia="zh-CN"/>
              </w:rPr>
              <w:t>/</w:t>
            </w:r>
          </w:p>
        </w:tc>
        <w:tc>
          <w:tcPr>
            <w:tcW w:w="1228" w:type="dxa"/>
            <w:noWrap w:val="0"/>
            <w:vAlign w:val="center"/>
          </w:tcPr>
          <w:p w14:paraId="7CC93766">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163.8861</w:t>
            </w:r>
          </w:p>
        </w:tc>
        <w:tc>
          <w:tcPr>
            <w:tcW w:w="988" w:type="dxa"/>
            <w:noWrap w:val="0"/>
            <w:vAlign w:val="center"/>
          </w:tcPr>
          <w:p w14:paraId="7A2B6CB3">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rPr>
            </w:pPr>
            <w:r>
              <w:rPr>
                <w:rFonts w:hint="default" w:ascii="Times New Roman" w:hAnsi="Times New Roman" w:cs="Times New Roman"/>
                <w:b/>
                <w:bCs/>
                <w:sz w:val="21"/>
                <w:szCs w:val="21"/>
                <w:u w:val="single"/>
                <w:lang w:val="en-US" w:eastAsia="zh-CN"/>
              </w:rPr>
              <w:t>/</w:t>
            </w:r>
          </w:p>
        </w:tc>
      </w:tr>
      <w:tr w14:paraId="26171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04" w:type="pct"/>
            <w:vMerge w:val="continue"/>
            <w:noWrap w:val="0"/>
            <w:vAlign w:val="center"/>
          </w:tcPr>
          <w:p w14:paraId="5087E116">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707" w:type="pct"/>
            <w:noWrap w:val="0"/>
            <w:vAlign w:val="center"/>
          </w:tcPr>
          <w:p w14:paraId="70C0824E">
            <w:pPr>
              <w:pStyle w:val="94"/>
              <w:keepNext w:val="0"/>
              <w:keepLines w:val="0"/>
              <w:pageBreakBefore w:val="0"/>
              <w:widowControl w:val="0"/>
              <w:wordWrap/>
              <w:topLinePunct w:val="0"/>
              <w:autoSpaceDE/>
              <w:autoSpaceDN/>
              <w:bidi w:val="0"/>
              <w:snapToGrid w:val="0"/>
              <w:spacing w:line="240" w:lineRule="auto"/>
              <w:ind w:firstLine="0" w:firstLineChars="0"/>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NOx</w:t>
            </w:r>
          </w:p>
        </w:tc>
        <w:tc>
          <w:tcPr>
            <w:tcW w:w="532" w:type="pct"/>
            <w:noWrap w:val="0"/>
            <w:vAlign w:val="center"/>
          </w:tcPr>
          <w:p w14:paraId="1C6CCFDF">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1501" w:type="dxa"/>
            <w:noWrap w:val="0"/>
            <w:vAlign w:val="center"/>
          </w:tcPr>
          <w:p w14:paraId="05BC1DCB">
            <w:pPr>
              <w:pStyle w:val="182"/>
              <w:ind w:firstLine="0" w:firstLineChars="0"/>
              <w:rPr>
                <w:rFonts w:hint="default" w:ascii="Times New Roman" w:hAnsi="Times New Roman" w:eastAsia="宋体" w:cs="Times New Roman"/>
                <w:b/>
                <w:bCs/>
                <w:sz w:val="21"/>
                <w:szCs w:val="21"/>
                <w:u w:val="single"/>
              </w:rPr>
            </w:pPr>
            <w:r>
              <w:rPr>
                <w:rFonts w:hint="eastAsia"/>
                <w:b/>
                <w:bCs/>
                <w:color w:val="auto"/>
                <w:highlight w:val="none"/>
                <w:u w:val="single"/>
                <w:lang w:val="en-US" w:eastAsia="zh-CN"/>
              </w:rPr>
              <w:t>230.9465</w:t>
            </w:r>
          </w:p>
        </w:tc>
        <w:tc>
          <w:tcPr>
            <w:tcW w:w="988" w:type="dxa"/>
            <w:noWrap w:val="0"/>
            <w:vAlign w:val="center"/>
          </w:tcPr>
          <w:p w14:paraId="170565CA">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cs="Times New Roman"/>
                <w:b/>
                <w:bCs/>
                <w:sz w:val="21"/>
                <w:szCs w:val="21"/>
                <w:u w:val="single"/>
                <w:lang w:val="en-US" w:eastAsia="zh-CN"/>
              </w:rPr>
              <w:t>/</w:t>
            </w:r>
          </w:p>
        </w:tc>
        <w:tc>
          <w:tcPr>
            <w:tcW w:w="1165" w:type="dxa"/>
            <w:noWrap w:val="0"/>
            <w:vAlign w:val="center"/>
          </w:tcPr>
          <w:p w14:paraId="021CCCE7">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cs="Times New Roman"/>
                <w:b/>
                <w:bCs/>
                <w:sz w:val="21"/>
                <w:szCs w:val="21"/>
                <w:u w:val="single"/>
                <w:lang w:val="en-US" w:eastAsia="zh-CN"/>
              </w:rPr>
              <w:t>/</w:t>
            </w:r>
          </w:p>
        </w:tc>
        <w:tc>
          <w:tcPr>
            <w:tcW w:w="1228" w:type="dxa"/>
            <w:noWrap w:val="0"/>
            <w:vAlign w:val="center"/>
          </w:tcPr>
          <w:p w14:paraId="71652D0D">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230.9465</w:t>
            </w:r>
          </w:p>
        </w:tc>
        <w:tc>
          <w:tcPr>
            <w:tcW w:w="988" w:type="dxa"/>
            <w:noWrap w:val="0"/>
            <w:vAlign w:val="center"/>
          </w:tcPr>
          <w:p w14:paraId="3810A8DB">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rPr>
            </w:pPr>
            <w:r>
              <w:rPr>
                <w:rFonts w:hint="default" w:ascii="Times New Roman" w:hAnsi="Times New Roman" w:cs="Times New Roman"/>
                <w:b/>
                <w:bCs/>
                <w:sz w:val="21"/>
                <w:szCs w:val="21"/>
                <w:u w:val="single"/>
                <w:lang w:val="en-US" w:eastAsia="zh-CN"/>
              </w:rPr>
              <w:t>/</w:t>
            </w:r>
          </w:p>
        </w:tc>
      </w:tr>
      <w:tr w14:paraId="77ADE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04" w:type="pct"/>
            <w:vMerge w:val="continue"/>
            <w:noWrap w:val="0"/>
            <w:vAlign w:val="center"/>
          </w:tcPr>
          <w:p w14:paraId="69962230">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707" w:type="pct"/>
            <w:noWrap w:val="0"/>
            <w:vAlign w:val="center"/>
          </w:tcPr>
          <w:p w14:paraId="6DA872F8">
            <w:pPr>
              <w:pStyle w:val="182"/>
              <w:keepNext w:val="0"/>
              <w:keepLines w:val="0"/>
              <w:pageBreakBefore w:val="0"/>
              <w:widowControl w:val="0"/>
              <w:wordWrap/>
              <w:topLinePunct w:val="0"/>
              <w:autoSpaceDE/>
              <w:autoSpaceDN/>
              <w:bidi w:val="0"/>
              <w:snapToGrid w:val="0"/>
              <w:spacing w:line="240" w:lineRule="auto"/>
              <w:ind w:firstLine="0" w:firstLineChars="0"/>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VOCs</w:t>
            </w:r>
          </w:p>
        </w:tc>
        <w:tc>
          <w:tcPr>
            <w:tcW w:w="532" w:type="pct"/>
            <w:noWrap w:val="0"/>
            <w:vAlign w:val="center"/>
          </w:tcPr>
          <w:p w14:paraId="5D35D72E">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880" w:type="pct"/>
            <w:noWrap w:val="0"/>
            <w:vAlign w:val="center"/>
          </w:tcPr>
          <w:p w14:paraId="486F3CEC">
            <w:pPr>
              <w:pStyle w:val="182"/>
              <w:ind w:firstLine="0" w:firstLineChars="0"/>
              <w:rPr>
                <w:rFonts w:hint="default"/>
                <w:b/>
                <w:bCs/>
                <w:color w:val="auto"/>
                <w:highlight w:val="none"/>
                <w:u w:val="single"/>
                <w:lang w:val="en-US" w:eastAsia="zh-CN"/>
              </w:rPr>
            </w:pPr>
            <w:r>
              <w:rPr>
                <w:rFonts w:hint="eastAsia"/>
                <w:b/>
                <w:bCs/>
                <w:color w:val="auto"/>
                <w:highlight w:val="none"/>
                <w:u w:val="single"/>
                <w:lang w:val="en-US" w:eastAsia="zh-CN"/>
              </w:rPr>
              <w:t>64.7784</w:t>
            </w:r>
          </w:p>
        </w:tc>
        <w:tc>
          <w:tcPr>
            <w:tcW w:w="988" w:type="dxa"/>
            <w:noWrap w:val="0"/>
            <w:vAlign w:val="center"/>
          </w:tcPr>
          <w:p w14:paraId="098A0C50">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0.2898</w:t>
            </w:r>
          </w:p>
        </w:tc>
        <w:tc>
          <w:tcPr>
            <w:tcW w:w="1165" w:type="dxa"/>
            <w:noWrap w:val="0"/>
            <w:vAlign w:val="center"/>
          </w:tcPr>
          <w:p w14:paraId="74DF7913">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cs="Times New Roman"/>
                <w:b/>
                <w:bCs/>
                <w:sz w:val="21"/>
                <w:szCs w:val="21"/>
                <w:u w:val="single"/>
                <w:lang w:val="en-US" w:eastAsia="zh-CN"/>
              </w:rPr>
              <w:t>/</w:t>
            </w:r>
          </w:p>
        </w:tc>
        <w:tc>
          <w:tcPr>
            <w:tcW w:w="1228" w:type="dxa"/>
            <w:noWrap w:val="0"/>
            <w:vAlign w:val="center"/>
          </w:tcPr>
          <w:p w14:paraId="32458DFE">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65.0682</w:t>
            </w:r>
          </w:p>
        </w:tc>
        <w:tc>
          <w:tcPr>
            <w:tcW w:w="988" w:type="dxa"/>
            <w:noWrap w:val="0"/>
            <w:vAlign w:val="center"/>
          </w:tcPr>
          <w:p w14:paraId="0B6CAE20">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0.2898</w:t>
            </w:r>
          </w:p>
        </w:tc>
      </w:tr>
      <w:tr w14:paraId="3D6F1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04" w:type="pct"/>
            <w:vMerge w:val="restart"/>
            <w:noWrap w:val="0"/>
            <w:vAlign w:val="center"/>
          </w:tcPr>
          <w:p w14:paraId="40E902D1">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废水（厂区总排口）</w:t>
            </w:r>
          </w:p>
        </w:tc>
        <w:tc>
          <w:tcPr>
            <w:tcW w:w="707" w:type="pct"/>
            <w:noWrap w:val="0"/>
            <w:vAlign w:val="center"/>
          </w:tcPr>
          <w:p w14:paraId="46ECAA1B">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废水量</w:t>
            </w:r>
          </w:p>
        </w:tc>
        <w:tc>
          <w:tcPr>
            <w:tcW w:w="532" w:type="pct"/>
            <w:noWrap w:val="0"/>
            <w:vAlign w:val="center"/>
          </w:tcPr>
          <w:p w14:paraId="20CDCFC5">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color w:val="000000"/>
                <w:sz w:val="21"/>
                <w:szCs w:val="21"/>
                <w:u w:val="single"/>
              </w:rPr>
            </w:pPr>
            <w:r>
              <w:rPr>
                <w:rFonts w:hint="default" w:ascii="Times New Roman" w:hAnsi="Times New Roman" w:cs="Times New Roman"/>
                <w:b/>
                <w:bCs/>
                <w:sz w:val="21"/>
                <w:szCs w:val="21"/>
                <w:u w:val="single"/>
              </w:rPr>
              <w:t>万m</w:t>
            </w:r>
            <w:r>
              <w:rPr>
                <w:rFonts w:hint="default" w:ascii="Times New Roman" w:hAnsi="Times New Roman" w:cs="Times New Roman"/>
                <w:b/>
                <w:bCs/>
                <w:sz w:val="21"/>
                <w:szCs w:val="21"/>
                <w:u w:val="single"/>
                <w:vertAlign w:val="superscript"/>
              </w:rPr>
              <w:t>3</w:t>
            </w:r>
            <w:r>
              <w:rPr>
                <w:rFonts w:hint="default" w:ascii="Times New Roman" w:hAnsi="Times New Roman" w:cs="Times New Roman"/>
                <w:b/>
                <w:bCs/>
                <w:sz w:val="21"/>
                <w:szCs w:val="21"/>
                <w:u w:val="single"/>
              </w:rPr>
              <w:t>/a</w:t>
            </w:r>
          </w:p>
        </w:tc>
        <w:tc>
          <w:tcPr>
            <w:tcW w:w="880" w:type="pct"/>
            <w:noWrap w:val="0"/>
            <w:vAlign w:val="center"/>
          </w:tcPr>
          <w:p w14:paraId="281FD085">
            <w:pPr>
              <w:pStyle w:val="182"/>
              <w:ind w:firstLine="0" w:firstLineChars="0"/>
              <w:rPr>
                <w:rFonts w:hint="default"/>
                <w:b/>
                <w:bCs/>
                <w:color w:val="auto"/>
                <w:highlight w:val="none"/>
                <w:u w:val="single"/>
                <w:lang w:val="en-US" w:eastAsia="zh-CN"/>
              </w:rPr>
            </w:pPr>
            <w:r>
              <w:rPr>
                <w:rFonts w:hint="eastAsia"/>
                <w:b/>
                <w:bCs/>
                <w:color w:val="auto"/>
                <w:highlight w:val="none"/>
                <w:u w:val="single"/>
                <w:lang w:val="en-US" w:eastAsia="zh-CN"/>
              </w:rPr>
              <w:t>1160.2866</w:t>
            </w:r>
          </w:p>
        </w:tc>
        <w:tc>
          <w:tcPr>
            <w:tcW w:w="988" w:type="dxa"/>
            <w:noWrap w:val="0"/>
            <w:vAlign w:val="center"/>
          </w:tcPr>
          <w:p w14:paraId="2CC3CE8A">
            <w:pPr>
              <w:pStyle w:val="182"/>
              <w:ind w:firstLine="0" w:firstLineChars="0"/>
              <w:rPr>
                <w:rFonts w:hint="default" w:ascii="Times New Roman" w:hAnsi="Times New Roman" w:eastAsia="宋体" w:cs="Times New Roman"/>
                <w:b/>
                <w:bCs/>
                <w:color w:val="auto"/>
                <w:highlight w:val="none"/>
                <w:u w:val="single"/>
                <w:lang w:val="en-US" w:eastAsia="zh-CN"/>
              </w:rPr>
            </w:pPr>
            <w:r>
              <w:rPr>
                <w:rFonts w:hint="eastAsia" w:ascii="Times New Roman" w:hAnsi="Times New Roman" w:eastAsia="宋体" w:cs="Times New Roman"/>
                <w:b/>
                <w:bCs/>
                <w:color w:val="auto"/>
                <w:highlight w:val="none"/>
                <w:u w:val="single"/>
                <w:lang w:val="en-US" w:eastAsia="zh-CN"/>
              </w:rPr>
              <w:t>24.7602</w:t>
            </w:r>
          </w:p>
        </w:tc>
        <w:tc>
          <w:tcPr>
            <w:tcW w:w="1165" w:type="dxa"/>
            <w:noWrap w:val="0"/>
            <w:vAlign w:val="center"/>
          </w:tcPr>
          <w:p w14:paraId="2DED54F1">
            <w:pPr>
              <w:pStyle w:val="182"/>
              <w:ind w:firstLine="0" w:firstLineChars="0"/>
              <w:rPr>
                <w:rFonts w:hint="default" w:ascii="Times New Roman" w:hAnsi="Times New Roman" w:eastAsia="宋体" w:cs="Times New Roman"/>
                <w:b/>
                <w:bCs/>
                <w:color w:val="auto"/>
                <w:highlight w:val="none"/>
                <w:u w:val="single"/>
                <w:lang w:val="en-US" w:eastAsia="zh-CN"/>
              </w:rPr>
            </w:pPr>
            <w:r>
              <w:rPr>
                <w:rFonts w:hint="default" w:ascii="Times New Roman" w:hAnsi="Times New Roman" w:eastAsia="宋体" w:cs="Times New Roman"/>
                <w:b/>
                <w:bCs/>
                <w:color w:val="auto"/>
                <w:highlight w:val="none"/>
                <w:u w:val="single"/>
                <w:lang w:val="en-US" w:eastAsia="zh-CN"/>
              </w:rPr>
              <w:t>/</w:t>
            </w:r>
          </w:p>
        </w:tc>
        <w:tc>
          <w:tcPr>
            <w:tcW w:w="1228" w:type="dxa"/>
            <w:noWrap w:val="0"/>
            <w:vAlign w:val="center"/>
          </w:tcPr>
          <w:p w14:paraId="59C0026D">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1185.0468</w:t>
            </w:r>
          </w:p>
        </w:tc>
        <w:tc>
          <w:tcPr>
            <w:tcW w:w="988" w:type="dxa"/>
            <w:noWrap w:val="0"/>
            <w:vAlign w:val="center"/>
          </w:tcPr>
          <w:p w14:paraId="52E3B4B7">
            <w:pPr>
              <w:pStyle w:val="182"/>
              <w:ind w:firstLine="0" w:firstLineChars="0"/>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color w:val="auto"/>
                <w:highlight w:val="none"/>
                <w:u w:val="single"/>
                <w:lang w:val="en-US" w:eastAsia="zh-CN"/>
              </w:rPr>
              <w:t>24.7602</w:t>
            </w:r>
          </w:p>
        </w:tc>
      </w:tr>
      <w:tr w14:paraId="14228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04" w:type="pct"/>
            <w:vMerge w:val="continue"/>
            <w:noWrap w:val="0"/>
            <w:vAlign w:val="center"/>
          </w:tcPr>
          <w:p w14:paraId="12A0A3EF">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707" w:type="pct"/>
            <w:noWrap w:val="0"/>
            <w:vAlign w:val="center"/>
          </w:tcPr>
          <w:p w14:paraId="6CFD40A8">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lang w:eastAsia="en-US"/>
              </w:rPr>
            </w:pPr>
            <w:r>
              <w:rPr>
                <w:rFonts w:hint="default" w:ascii="Times New Roman" w:hAnsi="Times New Roman" w:cs="Times New Roman"/>
                <w:b/>
                <w:bCs/>
                <w:sz w:val="21"/>
                <w:szCs w:val="21"/>
                <w:u w:val="single"/>
                <w:lang w:eastAsia="en-US"/>
              </w:rPr>
              <w:t>COD</w:t>
            </w:r>
          </w:p>
        </w:tc>
        <w:tc>
          <w:tcPr>
            <w:tcW w:w="532" w:type="pct"/>
            <w:noWrap w:val="0"/>
            <w:vAlign w:val="center"/>
          </w:tcPr>
          <w:p w14:paraId="7337725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1501" w:type="dxa"/>
            <w:noWrap w:val="0"/>
            <w:vAlign w:val="center"/>
          </w:tcPr>
          <w:p w14:paraId="5B243509">
            <w:pPr>
              <w:pStyle w:val="182"/>
              <w:ind w:firstLine="0" w:firstLineChars="0"/>
              <w:rPr>
                <w:rFonts w:hint="default"/>
                <w:b/>
                <w:bCs/>
                <w:color w:val="auto"/>
                <w:highlight w:val="none"/>
                <w:u w:val="single"/>
                <w:lang w:val="en-US" w:eastAsia="zh-CN"/>
              </w:rPr>
            </w:pPr>
            <w:r>
              <w:rPr>
                <w:rFonts w:hint="eastAsia"/>
                <w:b/>
                <w:bCs/>
                <w:color w:val="auto"/>
                <w:highlight w:val="none"/>
                <w:u w:val="single"/>
                <w:lang w:val="en-US" w:eastAsia="zh-CN"/>
              </w:rPr>
              <w:t>941.0136</w:t>
            </w:r>
          </w:p>
        </w:tc>
        <w:tc>
          <w:tcPr>
            <w:tcW w:w="988" w:type="dxa"/>
            <w:noWrap w:val="0"/>
            <w:vAlign w:val="center"/>
          </w:tcPr>
          <w:p w14:paraId="64ADB884">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20.1053</w:t>
            </w:r>
          </w:p>
        </w:tc>
        <w:tc>
          <w:tcPr>
            <w:tcW w:w="1165" w:type="dxa"/>
            <w:noWrap w:val="0"/>
            <w:vAlign w:val="center"/>
          </w:tcPr>
          <w:p w14:paraId="163FBC39">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p>
        </w:tc>
        <w:tc>
          <w:tcPr>
            <w:tcW w:w="1228" w:type="dxa"/>
            <w:noWrap w:val="0"/>
            <w:vAlign w:val="center"/>
          </w:tcPr>
          <w:p w14:paraId="12830113">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961.1189</w:t>
            </w:r>
          </w:p>
        </w:tc>
        <w:tc>
          <w:tcPr>
            <w:tcW w:w="988" w:type="dxa"/>
            <w:noWrap w:val="0"/>
            <w:vAlign w:val="center"/>
          </w:tcPr>
          <w:p w14:paraId="262FE2C6">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20.1053</w:t>
            </w:r>
          </w:p>
        </w:tc>
      </w:tr>
      <w:tr w14:paraId="40975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04" w:type="pct"/>
            <w:vMerge w:val="continue"/>
            <w:noWrap w:val="0"/>
            <w:vAlign w:val="center"/>
          </w:tcPr>
          <w:p w14:paraId="338A15D7">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707" w:type="pct"/>
            <w:noWrap w:val="0"/>
            <w:vAlign w:val="center"/>
          </w:tcPr>
          <w:p w14:paraId="4229AFC5">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氨氮</w:t>
            </w:r>
          </w:p>
        </w:tc>
        <w:tc>
          <w:tcPr>
            <w:tcW w:w="532" w:type="pct"/>
            <w:noWrap w:val="0"/>
            <w:vAlign w:val="center"/>
          </w:tcPr>
          <w:p w14:paraId="18FD067E">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1501" w:type="dxa"/>
            <w:noWrap w:val="0"/>
            <w:vAlign w:val="center"/>
          </w:tcPr>
          <w:p w14:paraId="6F3D0A79">
            <w:pPr>
              <w:pStyle w:val="182"/>
              <w:ind w:firstLine="0" w:firstLineChars="0"/>
              <w:rPr>
                <w:rFonts w:hint="default"/>
                <w:b/>
                <w:bCs/>
                <w:color w:val="auto"/>
                <w:highlight w:val="none"/>
                <w:u w:val="single"/>
                <w:lang w:val="en-US" w:eastAsia="zh-CN"/>
              </w:rPr>
            </w:pPr>
            <w:r>
              <w:rPr>
                <w:rFonts w:hint="eastAsia"/>
                <w:b/>
                <w:bCs/>
                <w:color w:val="auto"/>
                <w:highlight w:val="none"/>
                <w:u w:val="single"/>
                <w:lang w:val="en-US" w:eastAsia="zh-CN"/>
              </w:rPr>
              <w:t>29.6544</w:t>
            </w:r>
          </w:p>
        </w:tc>
        <w:tc>
          <w:tcPr>
            <w:tcW w:w="988" w:type="dxa"/>
            <w:noWrap w:val="0"/>
            <w:vAlign w:val="center"/>
          </w:tcPr>
          <w:p w14:paraId="03CE4570">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0.6537</w:t>
            </w:r>
          </w:p>
        </w:tc>
        <w:tc>
          <w:tcPr>
            <w:tcW w:w="1165" w:type="dxa"/>
            <w:noWrap w:val="0"/>
            <w:vAlign w:val="center"/>
          </w:tcPr>
          <w:p w14:paraId="08B9348F">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p>
        </w:tc>
        <w:tc>
          <w:tcPr>
            <w:tcW w:w="1228" w:type="dxa"/>
            <w:noWrap w:val="0"/>
            <w:vAlign w:val="center"/>
          </w:tcPr>
          <w:p w14:paraId="55C12B55">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30.3081</w:t>
            </w:r>
          </w:p>
        </w:tc>
        <w:tc>
          <w:tcPr>
            <w:tcW w:w="988" w:type="dxa"/>
            <w:noWrap w:val="0"/>
            <w:vAlign w:val="center"/>
          </w:tcPr>
          <w:p w14:paraId="56755408">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0.6537</w:t>
            </w:r>
          </w:p>
        </w:tc>
      </w:tr>
      <w:tr w14:paraId="71356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04" w:type="pct"/>
            <w:vMerge w:val="continue"/>
            <w:noWrap w:val="0"/>
            <w:vAlign w:val="center"/>
          </w:tcPr>
          <w:p w14:paraId="1CC717C2">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707" w:type="pct"/>
            <w:noWrap w:val="0"/>
            <w:vAlign w:val="center"/>
          </w:tcPr>
          <w:p w14:paraId="3C1D36B2">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总氮</w:t>
            </w:r>
          </w:p>
        </w:tc>
        <w:tc>
          <w:tcPr>
            <w:tcW w:w="532" w:type="pct"/>
            <w:noWrap w:val="0"/>
            <w:vAlign w:val="center"/>
          </w:tcPr>
          <w:p w14:paraId="24FFD98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1501" w:type="dxa"/>
            <w:noWrap w:val="0"/>
            <w:vAlign w:val="center"/>
          </w:tcPr>
          <w:p w14:paraId="09147DA8">
            <w:pPr>
              <w:pStyle w:val="182"/>
              <w:ind w:firstLine="0" w:firstLineChars="0"/>
              <w:rPr>
                <w:rFonts w:hint="default"/>
                <w:b/>
                <w:bCs/>
                <w:color w:val="auto"/>
                <w:highlight w:val="none"/>
                <w:u w:val="single"/>
                <w:lang w:val="en-US" w:eastAsia="zh-CN"/>
              </w:rPr>
            </w:pPr>
            <w:r>
              <w:rPr>
                <w:rFonts w:hint="eastAsia"/>
                <w:b/>
                <w:bCs/>
                <w:color w:val="auto"/>
                <w:highlight w:val="none"/>
                <w:u w:val="single"/>
                <w:lang w:val="en-US" w:eastAsia="zh-CN"/>
              </w:rPr>
              <w:t>205.5784</w:t>
            </w:r>
          </w:p>
        </w:tc>
        <w:tc>
          <w:tcPr>
            <w:tcW w:w="988" w:type="dxa"/>
            <w:noWrap w:val="0"/>
            <w:vAlign w:val="center"/>
          </w:tcPr>
          <w:p w14:paraId="33920376">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4.3603</w:t>
            </w:r>
          </w:p>
        </w:tc>
        <w:tc>
          <w:tcPr>
            <w:tcW w:w="1165" w:type="dxa"/>
            <w:noWrap w:val="0"/>
            <w:vAlign w:val="center"/>
          </w:tcPr>
          <w:p w14:paraId="00628FFF">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p>
        </w:tc>
        <w:tc>
          <w:tcPr>
            <w:tcW w:w="1228" w:type="dxa"/>
            <w:noWrap w:val="0"/>
            <w:vAlign w:val="center"/>
          </w:tcPr>
          <w:p w14:paraId="1B8CDFFA">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209.9387</w:t>
            </w:r>
          </w:p>
        </w:tc>
        <w:tc>
          <w:tcPr>
            <w:tcW w:w="988" w:type="dxa"/>
            <w:noWrap w:val="0"/>
            <w:vAlign w:val="center"/>
          </w:tcPr>
          <w:p w14:paraId="24A369F9">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4.3603</w:t>
            </w:r>
          </w:p>
        </w:tc>
      </w:tr>
      <w:tr w14:paraId="279FA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04" w:type="pct"/>
            <w:vMerge w:val="continue"/>
            <w:noWrap w:val="0"/>
            <w:vAlign w:val="center"/>
          </w:tcPr>
          <w:p w14:paraId="05C1F8A7">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707" w:type="pct"/>
            <w:noWrap w:val="0"/>
            <w:vAlign w:val="center"/>
          </w:tcPr>
          <w:p w14:paraId="27657629">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总磷</w:t>
            </w:r>
          </w:p>
        </w:tc>
        <w:tc>
          <w:tcPr>
            <w:tcW w:w="532" w:type="pct"/>
            <w:noWrap w:val="0"/>
            <w:vAlign w:val="center"/>
          </w:tcPr>
          <w:p w14:paraId="596050E6">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1501" w:type="dxa"/>
            <w:noWrap w:val="0"/>
            <w:vAlign w:val="center"/>
          </w:tcPr>
          <w:p w14:paraId="59C2BE54">
            <w:pPr>
              <w:pStyle w:val="182"/>
              <w:ind w:firstLine="0" w:firstLineChars="0"/>
              <w:rPr>
                <w:rFonts w:hint="default"/>
                <w:b/>
                <w:bCs/>
                <w:color w:val="auto"/>
                <w:highlight w:val="none"/>
                <w:u w:val="single"/>
                <w:lang w:val="en-US" w:eastAsia="zh-CN"/>
              </w:rPr>
            </w:pPr>
            <w:r>
              <w:rPr>
                <w:rFonts w:hint="eastAsia"/>
                <w:b/>
                <w:bCs/>
                <w:color w:val="auto"/>
                <w:highlight w:val="none"/>
                <w:u w:val="single"/>
                <w:lang w:val="en-US" w:eastAsia="zh-CN"/>
              </w:rPr>
              <w:t>1.1336</w:t>
            </w:r>
          </w:p>
        </w:tc>
        <w:tc>
          <w:tcPr>
            <w:tcW w:w="988" w:type="dxa"/>
            <w:noWrap w:val="0"/>
            <w:vAlign w:val="center"/>
          </w:tcPr>
          <w:p w14:paraId="054C4E1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0.0322</w:t>
            </w:r>
          </w:p>
        </w:tc>
        <w:tc>
          <w:tcPr>
            <w:tcW w:w="1165" w:type="dxa"/>
            <w:noWrap w:val="0"/>
            <w:vAlign w:val="center"/>
          </w:tcPr>
          <w:p w14:paraId="3D759833">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default" w:ascii="Times New Roman" w:hAnsi="Times New Roman" w:eastAsia="宋体" w:cs="Times New Roman"/>
                <w:b/>
                <w:bCs/>
                <w:sz w:val="21"/>
                <w:szCs w:val="21"/>
                <w:u w:val="single"/>
                <w:lang w:val="en-US" w:eastAsia="zh-CN"/>
              </w:rPr>
              <w:t>/</w:t>
            </w:r>
          </w:p>
        </w:tc>
        <w:tc>
          <w:tcPr>
            <w:tcW w:w="1228" w:type="dxa"/>
            <w:noWrap w:val="0"/>
            <w:vAlign w:val="center"/>
          </w:tcPr>
          <w:p w14:paraId="29421C2F">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1.1658</w:t>
            </w:r>
          </w:p>
        </w:tc>
        <w:tc>
          <w:tcPr>
            <w:tcW w:w="988" w:type="dxa"/>
            <w:noWrap w:val="0"/>
            <w:vAlign w:val="center"/>
          </w:tcPr>
          <w:p w14:paraId="63DE0E7F">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0.0322</w:t>
            </w:r>
          </w:p>
        </w:tc>
      </w:tr>
      <w:tr w14:paraId="36D5F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04" w:type="pct"/>
            <w:vMerge w:val="restart"/>
            <w:noWrap w:val="0"/>
            <w:vAlign w:val="center"/>
          </w:tcPr>
          <w:p w14:paraId="4954799A">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b/>
                <w:bCs/>
                <w:u w:val="single"/>
              </w:rPr>
              <w:t>废水（排入外环境量）</w:t>
            </w:r>
          </w:p>
        </w:tc>
        <w:tc>
          <w:tcPr>
            <w:tcW w:w="707" w:type="pct"/>
            <w:noWrap w:val="0"/>
            <w:vAlign w:val="center"/>
          </w:tcPr>
          <w:p w14:paraId="3E35396A">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废水量</w:t>
            </w:r>
          </w:p>
        </w:tc>
        <w:tc>
          <w:tcPr>
            <w:tcW w:w="532" w:type="pct"/>
            <w:noWrap w:val="0"/>
            <w:vAlign w:val="center"/>
          </w:tcPr>
          <w:p w14:paraId="6CEEC4F3">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万m</w:t>
            </w:r>
            <w:r>
              <w:rPr>
                <w:rFonts w:hint="default" w:ascii="Times New Roman" w:hAnsi="Times New Roman" w:cs="Times New Roman"/>
                <w:b/>
                <w:bCs/>
                <w:sz w:val="21"/>
                <w:szCs w:val="21"/>
                <w:u w:val="single"/>
                <w:vertAlign w:val="superscript"/>
              </w:rPr>
              <w:t>3</w:t>
            </w:r>
            <w:r>
              <w:rPr>
                <w:rFonts w:hint="default" w:ascii="Times New Roman" w:hAnsi="Times New Roman" w:cs="Times New Roman"/>
                <w:b/>
                <w:bCs/>
                <w:sz w:val="21"/>
                <w:szCs w:val="21"/>
                <w:u w:val="single"/>
              </w:rPr>
              <w:t>/a</w:t>
            </w:r>
          </w:p>
        </w:tc>
        <w:tc>
          <w:tcPr>
            <w:tcW w:w="880" w:type="pct"/>
            <w:noWrap w:val="0"/>
            <w:vAlign w:val="center"/>
          </w:tcPr>
          <w:p w14:paraId="570B1565">
            <w:pPr>
              <w:pStyle w:val="182"/>
              <w:ind w:firstLine="0" w:firstLineChars="0"/>
              <w:rPr>
                <w:rFonts w:hint="default" w:ascii="Times New Roman" w:hAnsi="Times New Roman" w:eastAsia="宋体" w:cs="Times New Roman"/>
                <w:b/>
                <w:bCs/>
                <w:sz w:val="21"/>
                <w:szCs w:val="21"/>
                <w:u w:val="single"/>
              </w:rPr>
            </w:pPr>
            <w:r>
              <w:rPr>
                <w:rFonts w:hint="eastAsia"/>
                <w:b/>
                <w:bCs/>
                <w:color w:val="auto"/>
                <w:highlight w:val="none"/>
                <w:u w:val="single"/>
                <w:lang w:val="en-US" w:eastAsia="zh-CN"/>
              </w:rPr>
              <w:t>1160.</w:t>
            </w:r>
            <w:r>
              <w:rPr>
                <w:rFonts w:hint="eastAsia" w:ascii="Times New Roman" w:hAnsi="Times New Roman" w:eastAsia="宋体" w:cs="Times New Roman"/>
                <w:b/>
                <w:bCs/>
                <w:sz w:val="21"/>
                <w:szCs w:val="21"/>
                <w:u w:val="single"/>
                <w:lang w:val="en-US" w:eastAsia="zh-CN"/>
              </w:rPr>
              <w:t>2866</w:t>
            </w:r>
          </w:p>
        </w:tc>
        <w:tc>
          <w:tcPr>
            <w:tcW w:w="988" w:type="dxa"/>
            <w:noWrap w:val="0"/>
            <w:vAlign w:val="center"/>
          </w:tcPr>
          <w:p w14:paraId="72EA1057">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24.7602</w:t>
            </w:r>
          </w:p>
        </w:tc>
        <w:tc>
          <w:tcPr>
            <w:tcW w:w="1165" w:type="dxa"/>
            <w:noWrap w:val="0"/>
            <w:vAlign w:val="center"/>
          </w:tcPr>
          <w:p w14:paraId="669392C2">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default" w:ascii="Times New Roman" w:hAnsi="Times New Roman" w:eastAsia="宋体" w:cs="Times New Roman"/>
                <w:b/>
                <w:bCs/>
                <w:sz w:val="21"/>
                <w:szCs w:val="21"/>
                <w:u w:val="single"/>
                <w:lang w:val="en-US" w:eastAsia="zh-CN"/>
              </w:rPr>
              <w:t>/</w:t>
            </w:r>
          </w:p>
        </w:tc>
        <w:tc>
          <w:tcPr>
            <w:tcW w:w="1228" w:type="dxa"/>
            <w:noWrap w:val="0"/>
            <w:vAlign w:val="center"/>
          </w:tcPr>
          <w:p w14:paraId="19A3E7A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1185.0468</w:t>
            </w:r>
          </w:p>
        </w:tc>
        <w:tc>
          <w:tcPr>
            <w:tcW w:w="988" w:type="dxa"/>
            <w:noWrap w:val="0"/>
            <w:vAlign w:val="center"/>
          </w:tcPr>
          <w:p w14:paraId="5E4E7E35">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24.7602</w:t>
            </w:r>
          </w:p>
        </w:tc>
      </w:tr>
      <w:tr w14:paraId="2CBAC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4" w:type="pct"/>
            <w:vMerge w:val="continue"/>
            <w:noWrap w:val="0"/>
            <w:vAlign w:val="center"/>
          </w:tcPr>
          <w:p w14:paraId="6548479D">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707" w:type="pct"/>
            <w:noWrap w:val="0"/>
            <w:vAlign w:val="center"/>
          </w:tcPr>
          <w:p w14:paraId="5D901496">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lang w:eastAsia="en-US"/>
              </w:rPr>
            </w:pPr>
            <w:r>
              <w:rPr>
                <w:rFonts w:hint="default" w:ascii="Times New Roman" w:hAnsi="Times New Roman" w:cs="Times New Roman"/>
                <w:b/>
                <w:bCs/>
                <w:sz w:val="21"/>
                <w:szCs w:val="21"/>
                <w:u w:val="single"/>
                <w:lang w:eastAsia="en-US"/>
              </w:rPr>
              <w:t>COD</w:t>
            </w:r>
          </w:p>
        </w:tc>
        <w:tc>
          <w:tcPr>
            <w:tcW w:w="532" w:type="pct"/>
            <w:noWrap w:val="0"/>
            <w:vAlign w:val="center"/>
          </w:tcPr>
          <w:p w14:paraId="535DF0FA">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1501" w:type="dxa"/>
            <w:noWrap w:val="0"/>
            <w:vAlign w:val="center"/>
          </w:tcPr>
          <w:p w14:paraId="44A27449">
            <w:pPr>
              <w:pStyle w:val="182"/>
              <w:ind w:firstLine="0" w:firstLineChars="0"/>
              <w:rPr>
                <w:rFonts w:hint="default"/>
                <w:b/>
                <w:bCs/>
                <w:color w:val="auto"/>
                <w:highlight w:val="none"/>
                <w:u w:val="single"/>
                <w:lang w:val="en-US" w:eastAsia="zh-CN"/>
              </w:rPr>
            </w:pPr>
            <w:r>
              <w:rPr>
                <w:rFonts w:hint="default"/>
                <w:b/>
                <w:bCs/>
                <w:color w:val="auto"/>
                <w:highlight w:val="none"/>
                <w:u w:val="single"/>
                <w:lang w:val="en-US" w:eastAsia="zh-CN"/>
              </w:rPr>
              <w:t>464.2347</w:t>
            </w:r>
          </w:p>
        </w:tc>
        <w:tc>
          <w:tcPr>
            <w:tcW w:w="988" w:type="dxa"/>
            <w:noWrap w:val="0"/>
            <w:vAlign w:val="center"/>
          </w:tcPr>
          <w:p w14:paraId="2610156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9.9041</w:t>
            </w:r>
          </w:p>
        </w:tc>
        <w:tc>
          <w:tcPr>
            <w:tcW w:w="1165" w:type="dxa"/>
            <w:noWrap w:val="0"/>
            <w:vAlign w:val="center"/>
          </w:tcPr>
          <w:p w14:paraId="3A8DBF2B">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default" w:ascii="Times New Roman" w:hAnsi="Times New Roman" w:eastAsia="宋体" w:cs="Times New Roman"/>
                <w:b/>
                <w:bCs/>
                <w:sz w:val="21"/>
                <w:szCs w:val="21"/>
                <w:u w:val="single"/>
                <w:lang w:val="en-US" w:eastAsia="zh-CN"/>
              </w:rPr>
              <w:t>/</w:t>
            </w:r>
          </w:p>
        </w:tc>
        <w:tc>
          <w:tcPr>
            <w:tcW w:w="1228" w:type="dxa"/>
            <w:noWrap w:val="0"/>
            <w:vAlign w:val="center"/>
          </w:tcPr>
          <w:p w14:paraId="4056E11B">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474.1388</w:t>
            </w:r>
          </w:p>
        </w:tc>
        <w:tc>
          <w:tcPr>
            <w:tcW w:w="988" w:type="dxa"/>
            <w:noWrap w:val="0"/>
            <w:vAlign w:val="center"/>
          </w:tcPr>
          <w:p w14:paraId="590FAD55">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cs="Times New Roman"/>
                <w:b/>
                <w:bCs/>
                <w:sz w:val="21"/>
                <w:szCs w:val="21"/>
                <w:u w:val="single"/>
                <w:lang w:val="en-US" w:eastAsia="zh-CN"/>
              </w:rPr>
              <w:t>9.9041</w:t>
            </w:r>
          </w:p>
        </w:tc>
      </w:tr>
      <w:tr w14:paraId="593F9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04" w:type="pct"/>
            <w:vMerge w:val="continue"/>
            <w:noWrap w:val="0"/>
            <w:vAlign w:val="center"/>
          </w:tcPr>
          <w:p w14:paraId="1F83C7D3">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707" w:type="pct"/>
            <w:noWrap w:val="0"/>
            <w:vAlign w:val="center"/>
          </w:tcPr>
          <w:p w14:paraId="6D62635C">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氨氮</w:t>
            </w:r>
          </w:p>
        </w:tc>
        <w:tc>
          <w:tcPr>
            <w:tcW w:w="532" w:type="pct"/>
            <w:noWrap w:val="0"/>
            <w:vAlign w:val="center"/>
          </w:tcPr>
          <w:p w14:paraId="45585B09">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1501" w:type="dxa"/>
            <w:noWrap w:val="0"/>
            <w:vAlign w:val="center"/>
          </w:tcPr>
          <w:p w14:paraId="756456DF">
            <w:pPr>
              <w:pStyle w:val="182"/>
              <w:ind w:firstLine="0" w:firstLineChars="0"/>
              <w:rPr>
                <w:rFonts w:hint="default"/>
                <w:b/>
                <w:bCs/>
                <w:color w:val="auto"/>
                <w:highlight w:val="none"/>
                <w:u w:val="single"/>
                <w:lang w:val="en-US" w:eastAsia="zh-CN"/>
              </w:rPr>
            </w:pPr>
            <w:r>
              <w:rPr>
                <w:rFonts w:hint="default"/>
                <w:b/>
                <w:bCs/>
                <w:color w:val="auto"/>
                <w:highlight w:val="none"/>
                <w:u w:val="single"/>
                <w:lang w:val="en-US" w:eastAsia="zh-CN"/>
              </w:rPr>
              <w:t>23.2117</w:t>
            </w:r>
          </w:p>
        </w:tc>
        <w:tc>
          <w:tcPr>
            <w:tcW w:w="988" w:type="dxa"/>
            <w:noWrap w:val="0"/>
            <w:vAlign w:val="center"/>
          </w:tcPr>
          <w:p w14:paraId="09E12FD3">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0.4952</w:t>
            </w:r>
          </w:p>
        </w:tc>
        <w:tc>
          <w:tcPr>
            <w:tcW w:w="1165" w:type="dxa"/>
            <w:noWrap w:val="0"/>
            <w:vAlign w:val="center"/>
          </w:tcPr>
          <w:p w14:paraId="53F49E7F">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default" w:ascii="Times New Roman" w:hAnsi="Times New Roman" w:eastAsia="宋体" w:cs="Times New Roman"/>
                <w:b/>
                <w:bCs/>
                <w:sz w:val="21"/>
                <w:szCs w:val="21"/>
                <w:u w:val="single"/>
                <w:lang w:val="en-US" w:eastAsia="zh-CN"/>
              </w:rPr>
              <w:t>/</w:t>
            </w:r>
          </w:p>
        </w:tc>
        <w:tc>
          <w:tcPr>
            <w:tcW w:w="1228" w:type="dxa"/>
            <w:noWrap w:val="0"/>
            <w:vAlign w:val="center"/>
          </w:tcPr>
          <w:p w14:paraId="66DA2F5E">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23.7069</w:t>
            </w:r>
          </w:p>
        </w:tc>
        <w:tc>
          <w:tcPr>
            <w:tcW w:w="988" w:type="dxa"/>
            <w:noWrap w:val="0"/>
            <w:vAlign w:val="center"/>
          </w:tcPr>
          <w:p w14:paraId="513741F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cs="Times New Roman"/>
                <w:b/>
                <w:bCs/>
                <w:sz w:val="21"/>
                <w:szCs w:val="21"/>
                <w:u w:val="single"/>
                <w:lang w:val="en-US" w:eastAsia="zh-CN"/>
              </w:rPr>
              <w:t>0.4952</w:t>
            </w:r>
          </w:p>
        </w:tc>
      </w:tr>
      <w:tr w14:paraId="54AEF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4" w:type="pct"/>
            <w:vMerge w:val="continue"/>
            <w:noWrap w:val="0"/>
            <w:vAlign w:val="center"/>
          </w:tcPr>
          <w:p w14:paraId="4E871496">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707" w:type="pct"/>
            <w:noWrap w:val="0"/>
            <w:vAlign w:val="center"/>
          </w:tcPr>
          <w:p w14:paraId="2EA2632A">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总氮</w:t>
            </w:r>
          </w:p>
        </w:tc>
        <w:tc>
          <w:tcPr>
            <w:tcW w:w="532" w:type="pct"/>
            <w:noWrap w:val="0"/>
            <w:vAlign w:val="center"/>
          </w:tcPr>
          <w:p w14:paraId="7F903F11">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1501" w:type="dxa"/>
            <w:noWrap w:val="0"/>
            <w:vAlign w:val="center"/>
          </w:tcPr>
          <w:p w14:paraId="2277B0EE">
            <w:pPr>
              <w:pStyle w:val="182"/>
              <w:ind w:firstLine="0" w:firstLineChars="0"/>
              <w:rPr>
                <w:rFonts w:hint="default"/>
                <w:b/>
                <w:bCs/>
                <w:color w:val="auto"/>
                <w:highlight w:val="none"/>
                <w:u w:val="single"/>
                <w:lang w:val="en-US" w:eastAsia="zh-CN"/>
              </w:rPr>
            </w:pPr>
            <w:r>
              <w:rPr>
                <w:rFonts w:hint="default"/>
                <w:b/>
                <w:bCs/>
                <w:color w:val="auto"/>
                <w:highlight w:val="none"/>
                <w:u w:val="single"/>
                <w:lang w:val="en-US" w:eastAsia="zh-CN"/>
              </w:rPr>
              <w:t>139.2704</w:t>
            </w:r>
          </w:p>
        </w:tc>
        <w:tc>
          <w:tcPr>
            <w:tcW w:w="988" w:type="dxa"/>
            <w:noWrap w:val="0"/>
            <w:vAlign w:val="center"/>
          </w:tcPr>
          <w:p w14:paraId="2657113F">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2.9712</w:t>
            </w:r>
          </w:p>
        </w:tc>
        <w:tc>
          <w:tcPr>
            <w:tcW w:w="1165" w:type="dxa"/>
            <w:noWrap w:val="0"/>
            <w:vAlign w:val="center"/>
          </w:tcPr>
          <w:p w14:paraId="1640D9B5">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default" w:ascii="Times New Roman" w:hAnsi="Times New Roman" w:eastAsia="宋体" w:cs="Times New Roman"/>
                <w:b/>
                <w:bCs/>
                <w:sz w:val="21"/>
                <w:szCs w:val="21"/>
                <w:u w:val="single"/>
                <w:lang w:val="en-US" w:eastAsia="zh-CN"/>
              </w:rPr>
              <w:t>/</w:t>
            </w:r>
          </w:p>
        </w:tc>
        <w:tc>
          <w:tcPr>
            <w:tcW w:w="1228" w:type="dxa"/>
            <w:noWrap w:val="0"/>
            <w:vAlign w:val="center"/>
          </w:tcPr>
          <w:p w14:paraId="742319FB">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142.2416</w:t>
            </w:r>
          </w:p>
        </w:tc>
        <w:tc>
          <w:tcPr>
            <w:tcW w:w="988" w:type="dxa"/>
            <w:noWrap w:val="0"/>
            <w:vAlign w:val="center"/>
          </w:tcPr>
          <w:p w14:paraId="26186276">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2.9712</w:t>
            </w:r>
          </w:p>
        </w:tc>
      </w:tr>
      <w:tr w14:paraId="6431B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404" w:type="pct"/>
            <w:vMerge w:val="continue"/>
            <w:noWrap w:val="0"/>
            <w:vAlign w:val="center"/>
          </w:tcPr>
          <w:p w14:paraId="3474B3DF">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707" w:type="pct"/>
            <w:noWrap w:val="0"/>
            <w:vAlign w:val="center"/>
          </w:tcPr>
          <w:p w14:paraId="45A4AF37">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总磷</w:t>
            </w:r>
          </w:p>
        </w:tc>
        <w:tc>
          <w:tcPr>
            <w:tcW w:w="532" w:type="pct"/>
            <w:noWrap w:val="0"/>
            <w:vAlign w:val="center"/>
          </w:tcPr>
          <w:p w14:paraId="16A7B51A">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cs="Times New Roman"/>
                <w:b/>
                <w:bCs/>
                <w:sz w:val="21"/>
                <w:szCs w:val="21"/>
                <w:u w:val="single"/>
              </w:rPr>
            </w:pPr>
            <w:r>
              <w:rPr>
                <w:rFonts w:hint="default" w:ascii="Times New Roman" w:hAnsi="Times New Roman" w:cs="Times New Roman"/>
                <w:b/>
                <w:bCs/>
                <w:sz w:val="21"/>
                <w:szCs w:val="21"/>
                <w:u w:val="single"/>
              </w:rPr>
              <w:t>t/a</w:t>
            </w:r>
          </w:p>
        </w:tc>
        <w:tc>
          <w:tcPr>
            <w:tcW w:w="1501" w:type="dxa"/>
            <w:noWrap w:val="0"/>
            <w:vAlign w:val="center"/>
          </w:tcPr>
          <w:p w14:paraId="58F3A13E">
            <w:pPr>
              <w:pStyle w:val="182"/>
              <w:ind w:firstLine="0" w:firstLineChars="0"/>
              <w:rPr>
                <w:rFonts w:hint="default"/>
                <w:b/>
                <w:bCs/>
                <w:color w:val="auto"/>
                <w:highlight w:val="none"/>
                <w:u w:val="single"/>
                <w:lang w:val="en-US" w:eastAsia="zh-CN"/>
              </w:rPr>
            </w:pPr>
            <w:r>
              <w:rPr>
                <w:rFonts w:hint="default"/>
                <w:b/>
                <w:bCs/>
                <w:color w:val="auto"/>
                <w:highlight w:val="none"/>
                <w:u w:val="single"/>
                <w:lang w:val="en-US" w:eastAsia="zh-CN"/>
              </w:rPr>
              <w:t>4.6424</w:t>
            </w:r>
          </w:p>
        </w:tc>
        <w:tc>
          <w:tcPr>
            <w:tcW w:w="988" w:type="dxa"/>
            <w:noWrap w:val="0"/>
            <w:vAlign w:val="center"/>
          </w:tcPr>
          <w:p w14:paraId="0A84B35D">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0.0990</w:t>
            </w:r>
          </w:p>
        </w:tc>
        <w:tc>
          <w:tcPr>
            <w:tcW w:w="1165" w:type="dxa"/>
            <w:noWrap w:val="0"/>
            <w:vAlign w:val="center"/>
          </w:tcPr>
          <w:p w14:paraId="51D04519">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default" w:ascii="Times New Roman" w:hAnsi="Times New Roman" w:eastAsia="宋体" w:cs="Times New Roman"/>
                <w:b/>
                <w:bCs/>
                <w:sz w:val="21"/>
                <w:szCs w:val="21"/>
                <w:u w:val="single"/>
                <w:lang w:val="en-US" w:eastAsia="zh-CN"/>
              </w:rPr>
              <w:t>/</w:t>
            </w:r>
          </w:p>
        </w:tc>
        <w:tc>
          <w:tcPr>
            <w:tcW w:w="1228" w:type="dxa"/>
            <w:noWrap w:val="0"/>
            <w:vAlign w:val="center"/>
          </w:tcPr>
          <w:p w14:paraId="6334D4F9">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ascii="Times New Roman" w:hAnsi="Times New Roman" w:eastAsia="宋体" w:cs="Times New Roman"/>
                <w:b/>
                <w:bCs/>
                <w:sz w:val="21"/>
                <w:szCs w:val="21"/>
                <w:u w:val="single"/>
                <w:lang w:val="en-US" w:eastAsia="zh-CN"/>
              </w:rPr>
              <w:t>4.7414</w:t>
            </w:r>
          </w:p>
        </w:tc>
        <w:tc>
          <w:tcPr>
            <w:tcW w:w="988" w:type="dxa"/>
            <w:noWrap w:val="0"/>
            <w:vAlign w:val="center"/>
          </w:tcPr>
          <w:p w14:paraId="54857B67">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b/>
                <w:bCs/>
                <w:sz w:val="21"/>
                <w:szCs w:val="21"/>
                <w:u w:val="single"/>
                <w:lang w:val="en-US" w:eastAsia="en-US"/>
              </w:rPr>
            </w:pPr>
            <w:r>
              <w:rPr>
                <w:rFonts w:hint="eastAsia" w:cs="Times New Roman"/>
                <w:b/>
                <w:bCs/>
                <w:sz w:val="21"/>
                <w:szCs w:val="21"/>
                <w:u w:val="single"/>
                <w:lang w:val="en-US" w:eastAsia="zh-CN"/>
              </w:rPr>
              <w:t>0.0990</w:t>
            </w:r>
          </w:p>
        </w:tc>
      </w:tr>
      <w:tr w14:paraId="6C92A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404" w:type="pct"/>
            <w:vMerge w:val="restart"/>
            <w:noWrap w:val="0"/>
            <w:vAlign w:val="center"/>
          </w:tcPr>
          <w:p w14:paraId="27B6B51F">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r>
              <w:rPr>
                <w:b/>
                <w:bCs/>
                <w:u w:val="single"/>
                <w:lang w:eastAsia="en-US"/>
              </w:rPr>
              <w:t>固废</w:t>
            </w:r>
          </w:p>
        </w:tc>
        <w:tc>
          <w:tcPr>
            <w:tcW w:w="707" w:type="pct"/>
            <w:noWrap w:val="0"/>
            <w:vAlign w:val="center"/>
          </w:tcPr>
          <w:p w14:paraId="5E8C59EF">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r>
              <w:rPr>
                <w:b/>
                <w:bCs/>
                <w:u w:val="single"/>
                <w:lang w:eastAsia="en-US"/>
              </w:rPr>
              <w:t>一般固废</w:t>
            </w:r>
          </w:p>
        </w:tc>
        <w:tc>
          <w:tcPr>
            <w:tcW w:w="532" w:type="pct"/>
            <w:noWrap w:val="0"/>
            <w:vAlign w:val="center"/>
          </w:tcPr>
          <w:p w14:paraId="22B6F9FC">
            <w:pPr>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rFonts w:ascii="Times New Roman" w:hAnsi="Times New Roman"/>
                <w:b/>
                <w:bCs/>
                <w:u w:val="single"/>
              </w:rPr>
              <w:t>t/a</w:t>
            </w:r>
          </w:p>
        </w:tc>
        <w:tc>
          <w:tcPr>
            <w:tcW w:w="880" w:type="pct"/>
            <w:noWrap w:val="0"/>
            <w:vAlign w:val="center"/>
          </w:tcPr>
          <w:p w14:paraId="38408568">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ascii="Times New Roman" w:hAnsi="Times New Roman" w:eastAsia="宋体" w:cs="Times New Roman"/>
                <w:b/>
                <w:bCs/>
                <w:u w:val="single"/>
                <w:lang w:eastAsia="en-US"/>
              </w:rPr>
            </w:pPr>
            <w:r>
              <w:rPr>
                <w:rFonts w:ascii="Times New Roman" w:hAnsi="Times New Roman" w:eastAsia="宋体" w:cs="Times New Roman"/>
                <w:b/>
                <w:bCs/>
                <w:u w:val="single"/>
                <w:lang w:eastAsia="en-US"/>
              </w:rPr>
              <w:t>0</w:t>
            </w:r>
          </w:p>
        </w:tc>
        <w:tc>
          <w:tcPr>
            <w:tcW w:w="988" w:type="dxa"/>
            <w:noWrap w:val="0"/>
            <w:vAlign w:val="center"/>
          </w:tcPr>
          <w:p w14:paraId="289EF1D2">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ascii="Times New Roman" w:hAnsi="Times New Roman" w:eastAsia="宋体" w:cs="Times New Roman"/>
                <w:b/>
                <w:bCs/>
                <w:u w:val="single"/>
                <w:lang w:eastAsia="en-US"/>
              </w:rPr>
            </w:pPr>
            <w:r>
              <w:rPr>
                <w:rFonts w:hint="eastAsia" w:cs="Times New Roman"/>
                <w:b/>
                <w:bCs/>
                <w:u w:val="single"/>
                <w:lang w:val="en-US" w:eastAsia="zh-CN"/>
              </w:rPr>
              <w:t>/</w:t>
            </w:r>
          </w:p>
        </w:tc>
        <w:tc>
          <w:tcPr>
            <w:tcW w:w="1165" w:type="dxa"/>
            <w:noWrap w:val="0"/>
            <w:vAlign w:val="center"/>
          </w:tcPr>
          <w:p w14:paraId="5A2AD57E">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ascii="Times New Roman" w:hAnsi="Times New Roman" w:eastAsia="宋体" w:cs="Times New Roman"/>
                <w:b/>
                <w:bCs/>
                <w:u w:val="single"/>
                <w:lang w:eastAsia="en-US"/>
              </w:rPr>
            </w:pPr>
            <w:r>
              <w:rPr>
                <w:rFonts w:hint="eastAsia" w:cs="Times New Roman"/>
                <w:b/>
                <w:bCs/>
                <w:u w:val="single"/>
                <w:lang w:val="en-US" w:eastAsia="zh-CN"/>
              </w:rPr>
              <w:t>/</w:t>
            </w:r>
          </w:p>
        </w:tc>
        <w:tc>
          <w:tcPr>
            <w:tcW w:w="1228" w:type="dxa"/>
            <w:noWrap w:val="0"/>
            <w:vAlign w:val="center"/>
          </w:tcPr>
          <w:p w14:paraId="702099A3">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ascii="Times New Roman" w:hAnsi="Times New Roman" w:eastAsia="宋体" w:cs="Times New Roman"/>
                <w:b/>
                <w:bCs/>
                <w:u w:val="single"/>
                <w:lang w:eastAsia="en-US"/>
              </w:rPr>
            </w:pPr>
            <w:r>
              <w:rPr>
                <w:rFonts w:hint="eastAsia" w:cs="Times New Roman"/>
                <w:b/>
                <w:bCs/>
                <w:u w:val="single"/>
                <w:lang w:val="en-US" w:eastAsia="zh-CN"/>
              </w:rPr>
              <w:t>/</w:t>
            </w:r>
          </w:p>
        </w:tc>
        <w:tc>
          <w:tcPr>
            <w:tcW w:w="988" w:type="dxa"/>
            <w:noWrap w:val="0"/>
            <w:vAlign w:val="center"/>
          </w:tcPr>
          <w:p w14:paraId="2406FD15">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ascii="Times New Roman" w:hAnsi="Times New Roman" w:eastAsia="宋体" w:cs="Times New Roman"/>
                <w:b/>
                <w:bCs/>
                <w:u w:val="single"/>
                <w:lang w:eastAsia="en-US"/>
              </w:rPr>
            </w:pPr>
            <w:r>
              <w:rPr>
                <w:rFonts w:hint="eastAsia" w:cs="Times New Roman"/>
                <w:b/>
                <w:bCs/>
                <w:u w:val="single"/>
                <w:lang w:val="en-US" w:eastAsia="zh-CN"/>
              </w:rPr>
              <w:t>/</w:t>
            </w:r>
          </w:p>
        </w:tc>
      </w:tr>
      <w:tr w14:paraId="78BEE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04" w:type="pct"/>
            <w:vMerge w:val="continue"/>
            <w:noWrap w:val="0"/>
            <w:vAlign w:val="center"/>
          </w:tcPr>
          <w:p w14:paraId="7B0A2B7B">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p>
        </w:tc>
        <w:tc>
          <w:tcPr>
            <w:tcW w:w="707" w:type="pct"/>
            <w:noWrap w:val="0"/>
            <w:vAlign w:val="center"/>
          </w:tcPr>
          <w:p w14:paraId="69F8F6A7">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lang w:eastAsia="en-US"/>
              </w:rPr>
            </w:pPr>
            <w:r>
              <w:rPr>
                <w:b/>
                <w:bCs/>
                <w:u w:val="single"/>
                <w:lang w:eastAsia="en-US"/>
              </w:rPr>
              <w:t>危险废物</w:t>
            </w:r>
          </w:p>
        </w:tc>
        <w:tc>
          <w:tcPr>
            <w:tcW w:w="532" w:type="pct"/>
            <w:noWrap w:val="0"/>
            <w:vAlign w:val="center"/>
          </w:tcPr>
          <w:p w14:paraId="0FBA1BF9">
            <w:pPr>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u w:val="single"/>
              </w:rPr>
            </w:pPr>
            <w:r>
              <w:rPr>
                <w:rFonts w:ascii="Times New Roman" w:hAnsi="Times New Roman"/>
                <w:b/>
                <w:bCs/>
                <w:u w:val="single"/>
              </w:rPr>
              <w:t>t/a</w:t>
            </w:r>
          </w:p>
        </w:tc>
        <w:tc>
          <w:tcPr>
            <w:tcW w:w="880" w:type="pct"/>
            <w:noWrap w:val="0"/>
            <w:vAlign w:val="center"/>
          </w:tcPr>
          <w:p w14:paraId="3CA6A616">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ascii="Times New Roman" w:hAnsi="Times New Roman" w:eastAsia="宋体" w:cs="Times New Roman"/>
                <w:b/>
                <w:bCs/>
                <w:u w:val="single"/>
                <w:lang w:eastAsia="en-US"/>
              </w:rPr>
            </w:pPr>
            <w:r>
              <w:rPr>
                <w:rFonts w:ascii="Times New Roman" w:hAnsi="Times New Roman" w:eastAsia="宋体" w:cs="Times New Roman"/>
                <w:b/>
                <w:bCs/>
                <w:u w:val="single"/>
                <w:lang w:eastAsia="en-US"/>
              </w:rPr>
              <w:t>0</w:t>
            </w:r>
          </w:p>
        </w:tc>
        <w:tc>
          <w:tcPr>
            <w:tcW w:w="988" w:type="dxa"/>
            <w:noWrap w:val="0"/>
            <w:vAlign w:val="center"/>
          </w:tcPr>
          <w:p w14:paraId="4152C8F7">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ascii="Times New Roman" w:hAnsi="Times New Roman" w:eastAsia="宋体" w:cs="Times New Roman"/>
                <w:b/>
                <w:bCs/>
                <w:u w:val="single"/>
                <w:lang w:eastAsia="en-US"/>
              </w:rPr>
            </w:pPr>
            <w:r>
              <w:rPr>
                <w:rFonts w:hint="eastAsia" w:cs="Times New Roman"/>
                <w:b/>
                <w:bCs/>
                <w:u w:val="single"/>
                <w:lang w:val="en-US" w:eastAsia="zh-CN"/>
              </w:rPr>
              <w:t>/</w:t>
            </w:r>
          </w:p>
        </w:tc>
        <w:tc>
          <w:tcPr>
            <w:tcW w:w="1165" w:type="dxa"/>
            <w:noWrap w:val="0"/>
            <w:vAlign w:val="center"/>
          </w:tcPr>
          <w:p w14:paraId="6FB1FDB9">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ascii="Times New Roman" w:hAnsi="Times New Roman" w:eastAsia="宋体" w:cs="Times New Roman"/>
                <w:b/>
                <w:bCs/>
                <w:u w:val="single"/>
                <w:lang w:eastAsia="en-US"/>
              </w:rPr>
            </w:pPr>
            <w:r>
              <w:rPr>
                <w:rFonts w:hint="eastAsia" w:cs="Times New Roman"/>
                <w:b/>
                <w:bCs/>
                <w:u w:val="single"/>
                <w:lang w:val="en-US" w:eastAsia="zh-CN"/>
              </w:rPr>
              <w:t>/</w:t>
            </w:r>
          </w:p>
        </w:tc>
        <w:tc>
          <w:tcPr>
            <w:tcW w:w="1228" w:type="dxa"/>
            <w:noWrap w:val="0"/>
            <w:vAlign w:val="center"/>
          </w:tcPr>
          <w:p w14:paraId="7F5BFF8A">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ascii="Times New Roman" w:hAnsi="Times New Roman" w:eastAsia="宋体" w:cs="Times New Roman"/>
                <w:b/>
                <w:bCs/>
                <w:u w:val="single"/>
                <w:lang w:eastAsia="en-US"/>
              </w:rPr>
            </w:pPr>
            <w:r>
              <w:rPr>
                <w:rFonts w:hint="eastAsia" w:cs="Times New Roman"/>
                <w:b/>
                <w:bCs/>
                <w:u w:val="single"/>
                <w:lang w:val="en-US" w:eastAsia="zh-CN"/>
              </w:rPr>
              <w:t>/</w:t>
            </w:r>
          </w:p>
        </w:tc>
        <w:tc>
          <w:tcPr>
            <w:tcW w:w="988" w:type="dxa"/>
            <w:noWrap w:val="0"/>
            <w:vAlign w:val="center"/>
          </w:tcPr>
          <w:p w14:paraId="4F2623C3">
            <w:pPr>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ascii="Times New Roman" w:hAnsi="Times New Roman" w:eastAsia="宋体" w:cs="Times New Roman"/>
                <w:b/>
                <w:bCs/>
                <w:u w:val="single"/>
                <w:lang w:eastAsia="en-US"/>
              </w:rPr>
            </w:pPr>
            <w:r>
              <w:rPr>
                <w:rFonts w:hint="eastAsia" w:cs="Times New Roman"/>
                <w:b/>
                <w:bCs/>
                <w:u w:val="single"/>
                <w:lang w:val="en-US" w:eastAsia="zh-CN"/>
              </w:rPr>
              <w:t>/</w:t>
            </w:r>
          </w:p>
        </w:tc>
      </w:tr>
    </w:tbl>
    <w:p w14:paraId="36531E1B">
      <w:pPr>
        <w:rPr>
          <w:rFonts w:hint="eastAsia"/>
          <w:b/>
          <w:bCs/>
          <w:u w:val="single"/>
        </w:rPr>
      </w:pPr>
    </w:p>
    <w:bookmarkEnd w:id="149"/>
    <w:p w14:paraId="30B56DCE">
      <w:pPr>
        <w:pStyle w:val="3"/>
        <w:bidi w:val="0"/>
        <w:rPr>
          <w:rFonts w:hint="eastAsia"/>
          <w:lang w:val="en-US" w:eastAsia="zh-CN"/>
        </w:rPr>
      </w:pPr>
      <w:bookmarkStart w:id="176" w:name="_Toc3592"/>
      <w:r>
        <w:rPr>
          <w:rFonts w:hint="eastAsia"/>
          <w:lang w:val="en-US" w:eastAsia="zh-CN"/>
        </w:rPr>
        <w:t>总量控制分析</w:t>
      </w:r>
      <w:bookmarkEnd w:id="176"/>
    </w:p>
    <w:p w14:paraId="74553C92">
      <w:pPr>
        <w:pStyle w:val="5"/>
        <w:bidi w:val="0"/>
        <w:rPr>
          <w:rFonts w:hint="eastAsia"/>
          <w:lang w:val="en-US" w:eastAsia="zh-CN"/>
        </w:rPr>
      </w:pPr>
      <w:r>
        <w:rPr>
          <w:rFonts w:hint="eastAsia"/>
          <w:lang w:val="en-US" w:eastAsia="zh-CN"/>
        </w:rPr>
        <w:t>总量控制因子</w:t>
      </w:r>
    </w:p>
    <w:p w14:paraId="00F9CA70">
      <w:pPr>
        <w:bidi w:val="0"/>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本项目评价总量控制因子确定为：</w:t>
      </w:r>
    </w:p>
    <w:p w14:paraId="62688C98">
      <w:pPr>
        <w:bidi w:val="0"/>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水污染物：COD、氨氮、总磷；大气污染物：颗粒物</w:t>
      </w:r>
      <w:r>
        <w:rPr>
          <w:rFonts w:hint="eastAsia" w:cs="Times New Roman"/>
          <w:b w:val="0"/>
          <w:bCs w:val="0"/>
          <w:color w:val="auto"/>
          <w:u w:val="none"/>
          <w:lang w:val="en-US" w:eastAsia="zh-CN"/>
        </w:rPr>
        <w:t>、VOCs</w:t>
      </w:r>
      <w:r>
        <w:rPr>
          <w:rFonts w:hint="eastAsia" w:ascii="Times New Roman" w:hAnsi="Times New Roman" w:eastAsia="宋体" w:cs="Times New Roman"/>
          <w:b w:val="0"/>
          <w:bCs w:val="0"/>
          <w:color w:val="auto"/>
          <w:u w:val="none"/>
          <w:lang w:val="en-US" w:eastAsia="zh-CN"/>
        </w:rPr>
        <w:t>。</w:t>
      </w:r>
    </w:p>
    <w:p w14:paraId="5F01C16C">
      <w:pPr>
        <w:pStyle w:val="5"/>
        <w:bidi w:val="0"/>
        <w:ind w:firstLine="0"/>
        <w:rPr>
          <w:rFonts w:hint="eastAsia" w:ascii="Times New Roman" w:hAnsi="Times New Roman" w:eastAsia="宋体"/>
          <w:lang w:val="en-US" w:eastAsia="zh-CN"/>
        </w:rPr>
      </w:pPr>
      <w:r>
        <w:rPr>
          <w:rFonts w:hint="eastAsia" w:ascii="Times New Roman" w:hAnsi="Times New Roman" w:eastAsia="宋体"/>
          <w:lang w:val="en-US" w:eastAsia="zh-CN"/>
        </w:rPr>
        <w:t>总量控制指标</w:t>
      </w:r>
    </w:p>
    <w:p w14:paraId="768236B1">
      <w:pPr>
        <w:pStyle w:val="18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b/>
          <w:bCs w:val="0"/>
          <w:sz w:val="24"/>
          <w:szCs w:val="24"/>
          <w:u w:val="single"/>
          <w:lang w:val="en-US" w:eastAsia="zh-CN"/>
        </w:rPr>
      </w:pPr>
      <w:r>
        <w:rPr>
          <w:rFonts w:hint="default" w:ascii="Times New Roman" w:hAnsi="Times New Roman" w:cs="Times New Roman"/>
          <w:b/>
          <w:bCs w:val="0"/>
          <w:sz w:val="24"/>
          <w:szCs w:val="24"/>
          <w:u w:val="single"/>
          <w:lang w:val="en-US" w:eastAsia="zh-CN"/>
        </w:rPr>
        <w:t>本项目污染物排放总量：</w:t>
      </w:r>
    </w:p>
    <w:p w14:paraId="299C7165">
      <w:pPr>
        <w:pStyle w:val="18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val="0"/>
          <w:sz w:val="24"/>
          <w:szCs w:val="24"/>
          <w:u w:val="single"/>
        </w:rPr>
      </w:pPr>
      <w:r>
        <w:rPr>
          <w:rFonts w:hint="default" w:ascii="Times New Roman" w:hAnsi="Times New Roman" w:cs="Times New Roman"/>
          <w:b/>
          <w:bCs w:val="0"/>
          <w:sz w:val="24"/>
          <w:szCs w:val="24"/>
          <w:u w:val="single"/>
          <w:lang w:val="en-US" w:eastAsia="zh-CN"/>
        </w:rPr>
        <w:t>废气污染物：</w:t>
      </w:r>
      <w:r>
        <w:rPr>
          <w:rFonts w:hint="default" w:ascii="Times New Roman" w:hAnsi="Times New Roman" w:cs="Times New Roman"/>
          <w:b/>
          <w:bCs w:val="0"/>
          <w:sz w:val="24"/>
          <w:szCs w:val="24"/>
          <w:u w:val="single"/>
        </w:rPr>
        <w:t>颗粒物0.0</w:t>
      </w:r>
      <w:r>
        <w:rPr>
          <w:rFonts w:hint="eastAsia" w:ascii="Times New Roman" w:hAnsi="Times New Roman" w:cs="Times New Roman"/>
          <w:b/>
          <w:bCs w:val="0"/>
          <w:sz w:val="24"/>
          <w:szCs w:val="24"/>
          <w:u w:val="single"/>
          <w:lang w:val="en-US" w:eastAsia="zh-CN"/>
        </w:rPr>
        <w:t>5</w:t>
      </w:r>
      <w:r>
        <w:rPr>
          <w:rFonts w:hint="default" w:ascii="Times New Roman" w:hAnsi="Times New Roman" w:cs="Times New Roman"/>
          <w:b/>
          <w:bCs w:val="0"/>
          <w:sz w:val="24"/>
          <w:szCs w:val="24"/>
          <w:u w:val="single"/>
        </w:rPr>
        <w:t>t/a</w:t>
      </w:r>
      <w:r>
        <w:rPr>
          <w:rFonts w:hint="default" w:ascii="Times New Roman" w:hAnsi="Times New Roman" w:cs="Times New Roman"/>
          <w:b/>
          <w:bCs w:val="0"/>
          <w:sz w:val="24"/>
          <w:szCs w:val="24"/>
          <w:u w:val="single"/>
          <w:lang w:eastAsia="zh-CN"/>
        </w:rPr>
        <w:t>、</w:t>
      </w:r>
      <w:r>
        <w:rPr>
          <w:rFonts w:hint="default" w:ascii="Times New Roman" w:hAnsi="Times New Roman" w:cs="Times New Roman"/>
          <w:b/>
          <w:bCs w:val="0"/>
          <w:sz w:val="24"/>
          <w:szCs w:val="24"/>
          <w:u w:val="single"/>
          <w:lang w:val="en-US" w:eastAsia="zh-CN"/>
        </w:rPr>
        <w:t>VOCs</w:t>
      </w:r>
      <w:r>
        <w:rPr>
          <w:rFonts w:hint="eastAsia" w:ascii="Times New Roman" w:hAnsi="Times New Roman" w:cs="Times New Roman"/>
          <w:b/>
          <w:bCs w:val="0"/>
          <w:sz w:val="24"/>
          <w:szCs w:val="24"/>
          <w:u w:val="single"/>
          <w:lang w:val="en-US" w:eastAsia="zh-CN"/>
        </w:rPr>
        <w:t>0.2898</w:t>
      </w:r>
      <w:r>
        <w:rPr>
          <w:rFonts w:hint="default" w:ascii="Times New Roman" w:hAnsi="Times New Roman" w:cs="Times New Roman"/>
          <w:b/>
          <w:bCs w:val="0"/>
          <w:sz w:val="24"/>
          <w:szCs w:val="24"/>
          <w:u w:val="single"/>
        </w:rPr>
        <w:t>/a。</w:t>
      </w:r>
    </w:p>
    <w:p w14:paraId="15CF3BEC">
      <w:pPr>
        <w:pStyle w:val="18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b/>
          <w:bCs w:val="0"/>
          <w:sz w:val="24"/>
          <w:szCs w:val="24"/>
          <w:u w:val="single"/>
          <w:lang w:val="en-US" w:eastAsia="zh-CN"/>
        </w:rPr>
      </w:pPr>
      <w:r>
        <w:rPr>
          <w:rFonts w:hint="default" w:ascii="Times New Roman" w:hAnsi="Times New Roman" w:cs="Times New Roman"/>
          <w:b/>
          <w:bCs w:val="0"/>
          <w:sz w:val="24"/>
          <w:szCs w:val="24"/>
          <w:u w:val="single"/>
          <w:lang w:val="en-US" w:eastAsia="zh-CN"/>
        </w:rPr>
        <w:t>废水污染物：出厂区：</w:t>
      </w:r>
      <w:r>
        <w:rPr>
          <w:rFonts w:hint="default" w:ascii="Times New Roman" w:hAnsi="Times New Roman" w:cs="Times New Roman"/>
          <w:b/>
          <w:bCs w:val="0"/>
          <w:sz w:val="24"/>
          <w:szCs w:val="24"/>
          <w:u w:val="single"/>
        </w:rPr>
        <w:t>COD</w:t>
      </w:r>
      <w:r>
        <w:rPr>
          <w:rFonts w:hint="eastAsia" w:ascii="Times New Roman" w:hAnsi="Times New Roman" w:cs="Times New Roman"/>
          <w:b/>
          <w:bCs w:val="0"/>
          <w:sz w:val="24"/>
          <w:szCs w:val="24"/>
          <w:u w:val="single"/>
          <w:lang w:val="en-US" w:eastAsia="zh-CN"/>
        </w:rPr>
        <w:t>20.1053</w:t>
      </w:r>
      <w:r>
        <w:rPr>
          <w:rFonts w:hint="default" w:ascii="Times New Roman" w:hAnsi="Times New Roman" w:cs="Times New Roman"/>
          <w:b/>
          <w:bCs w:val="0"/>
          <w:sz w:val="24"/>
          <w:szCs w:val="24"/>
          <w:u w:val="single"/>
        </w:rPr>
        <w:t>t/a</w:t>
      </w:r>
      <w:r>
        <w:rPr>
          <w:rFonts w:hint="default" w:ascii="Times New Roman" w:hAnsi="Times New Roman" w:cs="Times New Roman"/>
          <w:b/>
          <w:bCs w:val="0"/>
          <w:sz w:val="24"/>
          <w:szCs w:val="24"/>
          <w:u w:val="single"/>
          <w:lang w:eastAsia="zh-CN"/>
        </w:rPr>
        <w:t>、</w:t>
      </w:r>
      <w:r>
        <w:rPr>
          <w:rFonts w:hint="default" w:ascii="Times New Roman" w:hAnsi="Times New Roman" w:cs="Times New Roman"/>
          <w:b/>
          <w:bCs w:val="0"/>
          <w:sz w:val="24"/>
          <w:szCs w:val="24"/>
          <w:u w:val="single"/>
        </w:rPr>
        <w:t>NH</w:t>
      </w:r>
      <w:r>
        <w:rPr>
          <w:rFonts w:hint="default" w:ascii="Times New Roman" w:hAnsi="Times New Roman" w:cs="Times New Roman"/>
          <w:b/>
          <w:bCs w:val="0"/>
          <w:sz w:val="24"/>
          <w:szCs w:val="24"/>
          <w:u w:val="single"/>
          <w:vertAlign w:val="subscript"/>
        </w:rPr>
        <w:t>3</w:t>
      </w:r>
      <w:r>
        <w:rPr>
          <w:rFonts w:hint="default" w:ascii="Times New Roman" w:hAnsi="Times New Roman" w:cs="Times New Roman"/>
          <w:b/>
          <w:bCs w:val="0"/>
          <w:sz w:val="24"/>
          <w:szCs w:val="24"/>
          <w:u w:val="single"/>
        </w:rPr>
        <w:t>-N</w:t>
      </w:r>
      <w:r>
        <w:rPr>
          <w:rFonts w:hint="eastAsia" w:ascii="Times New Roman" w:hAnsi="Times New Roman" w:cs="Times New Roman"/>
          <w:b/>
          <w:bCs w:val="0"/>
          <w:sz w:val="24"/>
          <w:szCs w:val="24"/>
          <w:u w:val="single"/>
          <w:lang w:val="en-US" w:eastAsia="zh-CN"/>
        </w:rPr>
        <w:t>0.6537</w:t>
      </w:r>
      <w:r>
        <w:rPr>
          <w:rFonts w:hint="default" w:ascii="Times New Roman" w:hAnsi="Times New Roman" w:cs="Times New Roman"/>
          <w:b/>
          <w:bCs w:val="0"/>
          <w:sz w:val="24"/>
          <w:szCs w:val="24"/>
          <w:u w:val="single"/>
        </w:rPr>
        <w:t>t/a</w:t>
      </w:r>
      <w:r>
        <w:rPr>
          <w:rFonts w:hint="default" w:ascii="Times New Roman" w:hAnsi="Times New Roman" w:cs="Times New Roman"/>
          <w:b/>
          <w:bCs w:val="0"/>
          <w:sz w:val="24"/>
          <w:szCs w:val="24"/>
          <w:u w:val="single"/>
          <w:lang w:val="en-US" w:eastAsia="zh-CN"/>
        </w:rPr>
        <w:t>；出污水厂：</w:t>
      </w:r>
      <w:r>
        <w:rPr>
          <w:rFonts w:hint="default" w:ascii="Times New Roman" w:hAnsi="Times New Roman" w:cs="Times New Roman"/>
          <w:b/>
          <w:bCs w:val="0"/>
          <w:sz w:val="24"/>
          <w:szCs w:val="24"/>
          <w:u w:val="single"/>
        </w:rPr>
        <w:t>COD</w:t>
      </w:r>
      <w:r>
        <w:rPr>
          <w:rFonts w:hint="eastAsia" w:ascii="Times New Roman" w:hAnsi="Times New Roman" w:cs="Times New Roman"/>
          <w:b/>
          <w:bCs w:val="0"/>
          <w:sz w:val="24"/>
          <w:szCs w:val="24"/>
          <w:u w:val="single"/>
          <w:lang w:val="en-US" w:eastAsia="zh-CN"/>
        </w:rPr>
        <w:t>9.9041</w:t>
      </w:r>
      <w:r>
        <w:rPr>
          <w:rFonts w:hint="default" w:ascii="Times New Roman" w:hAnsi="Times New Roman" w:cs="Times New Roman"/>
          <w:b/>
          <w:bCs w:val="0"/>
          <w:sz w:val="24"/>
          <w:szCs w:val="24"/>
          <w:u w:val="single"/>
        </w:rPr>
        <w:t>t/a、NH</w:t>
      </w:r>
      <w:r>
        <w:rPr>
          <w:rFonts w:hint="default" w:ascii="Times New Roman" w:hAnsi="Times New Roman" w:cs="Times New Roman"/>
          <w:b/>
          <w:bCs w:val="0"/>
          <w:sz w:val="24"/>
          <w:szCs w:val="24"/>
          <w:u w:val="single"/>
          <w:vertAlign w:val="subscript"/>
        </w:rPr>
        <w:t>3</w:t>
      </w:r>
      <w:r>
        <w:rPr>
          <w:rFonts w:hint="default" w:ascii="Times New Roman" w:hAnsi="Times New Roman" w:cs="Times New Roman"/>
          <w:b/>
          <w:bCs w:val="0"/>
          <w:sz w:val="24"/>
          <w:szCs w:val="24"/>
          <w:u w:val="single"/>
        </w:rPr>
        <w:t>-N</w:t>
      </w:r>
      <w:r>
        <w:rPr>
          <w:rFonts w:hint="eastAsia" w:ascii="Times New Roman" w:hAnsi="Times New Roman" w:cs="Times New Roman"/>
          <w:b/>
          <w:bCs w:val="0"/>
          <w:sz w:val="24"/>
          <w:szCs w:val="24"/>
          <w:u w:val="single"/>
          <w:lang w:val="en-US" w:eastAsia="zh-CN"/>
        </w:rPr>
        <w:t>0.495</w:t>
      </w:r>
      <w:r>
        <w:rPr>
          <w:rFonts w:hint="default" w:ascii="Times New Roman" w:hAnsi="Times New Roman" w:cs="Times New Roman"/>
          <w:b/>
          <w:bCs w:val="0"/>
          <w:sz w:val="24"/>
          <w:szCs w:val="24"/>
          <w:u w:val="single"/>
        </w:rPr>
        <w:t>t/a</w:t>
      </w:r>
      <w:r>
        <w:rPr>
          <w:rFonts w:hint="default" w:ascii="Times New Roman" w:hAnsi="Times New Roman" w:cs="Times New Roman"/>
          <w:b/>
          <w:bCs w:val="0"/>
          <w:sz w:val="24"/>
          <w:szCs w:val="24"/>
          <w:u w:val="single"/>
          <w:lang w:eastAsia="zh-CN"/>
        </w:rPr>
        <w:t>。</w:t>
      </w:r>
    </w:p>
    <w:p w14:paraId="566AC692">
      <w:pPr>
        <w:pStyle w:val="18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val="0"/>
          <w:sz w:val="24"/>
          <w:szCs w:val="24"/>
          <w:u w:val="single"/>
          <w:lang w:val="en-US" w:eastAsia="zh-CN"/>
        </w:rPr>
      </w:pPr>
      <w:r>
        <w:rPr>
          <w:rFonts w:hint="default" w:ascii="Times New Roman" w:hAnsi="Times New Roman" w:cs="Times New Roman"/>
          <w:b/>
          <w:bCs w:val="0"/>
          <w:sz w:val="24"/>
          <w:szCs w:val="24"/>
          <w:u w:val="single"/>
          <w:lang w:val="en-US" w:eastAsia="zh-CN"/>
        </w:rPr>
        <w:t>总量替代来源：</w:t>
      </w:r>
    </w:p>
    <w:p w14:paraId="0E14ECA4">
      <w:pPr>
        <w:pStyle w:val="18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val="0"/>
          <w:sz w:val="24"/>
          <w:szCs w:val="24"/>
          <w:u w:val="single"/>
          <w:lang w:val="en-US" w:eastAsia="zh-CN"/>
        </w:rPr>
      </w:pPr>
      <w:r>
        <w:rPr>
          <w:rFonts w:hint="default" w:ascii="Times New Roman" w:hAnsi="Times New Roman" w:cs="Times New Roman"/>
          <w:b/>
          <w:bCs w:val="0"/>
          <w:sz w:val="24"/>
          <w:szCs w:val="24"/>
          <w:u w:val="single"/>
          <w:lang w:val="en-US" w:eastAsia="zh-CN"/>
        </w:rPr>
        <w:t>本项目建成后新增</w:t>
      </w:r>
      <w:r>
        <w:rPr>
          <w:rFonts w:hint="default" w:ascii="Times New Roman" w:hAnsi="Times New Roman" w:cs="Times New Roman"/>
          <w:b/>
          <w:bCs w:val="0"/>
          <w:sz w:val="24"/>
          <w:szCs w:val="24"/>
          <w:u w:val="single"/>
        </w:rPr>
        <w:t>颗粒物0.0</w:t>
      </w:r>
      <w:r>
        <w:rPr>
          <w:rFonts w:hint="eastAsia" w:ascii="Times New Roman" w:hAnsi="Times New Roman" w:cs="Times New Roman"/>
          <w:b/>
          <w:bCs w:val="0"/>
          <w:sz w:val="24"/>
          <w:szCs w:val="24"/>
          <w:u w:val="single"/>
          <w:lang w:val="en-US" w:eastAsia="zh-CN"/>
        </w:rPr>
        <w:t>5</w:t>
      </w:r>
      <w:r>
        <w:rPr>
          <w:rFonts w:hint="default" w:ascii="Times New Roman" w:hAnsi="Times New Roman" w:cs="Times New Roman"/>
          <w:b/>
          <w:bCs w:val="0"/>
          <w:sz w:val="24"/>
          <w:szCs w:val="24"/>
          <w:u w:val="single"/>
        </w:rPr>
        <w:t>t/a</w:t>
      </w:r>
      <w:r>
        <w:rPr>
          <w:rFonts w:hint="default" w:ascii="Times New Roman" w:hAnsi="Times New Roman" w:cs="Times New Roman"/>
          <w:b/>
          <w:bCs w:val="0"/>
          <w:sz w:val="24"/>
          <w:szCs w:val="24"/>
          <w:u w:val="single"/>
          <w:lang w:eastAsia="zh-CN"/>
        </w:rPr>
        <w:t>、</w:t>
      </w:r>
      <w:r>
        <w:rPr>
          <w:rFonts w:hint="default" w:ascii="Times New Roman" w:hAnsi="Times New Roman" w:cs="Times New Roman"/>
          <w:b/>
          <w:bCs w:val="0"/>
          <w:sz w:val="24"/>
          <w:szCs w:val="24"/>
          <w:u w:val="single"/>
          <w:lang w:val="en-US" w:eastAsia="zh-CN"/>
        </w:rPr>
        <w:t>VOCs</w:t>
      </w:r>
      <w:r>
        <w:rPr>
          <w:rFonts w:hint="eastAsia" w:ascii="Times New Roman" w:hAnsi="Times New Roman" w:cs="Times New Roman"/>
          <w:b/>
          <w:bCs w:val="0"/>
          <w:sz w:val="24"/>
          <w:szCs w:val="24"/>
          <w:u w:val="single"/>
          <w:lang w:val="en-US" w:eastAsia="zh-CN"/>
        </w:rPr>
        <w:t>0.2898</w:t>
      </w:r>
      <w:r>
        <w:rPr>
          <w:rFonts w:hint="default" w:ascii="Times New Roman" w:hAnsi="Times New Roman" w:cs="Times New Roman"/>
          <w:b/>
          <w:bCs w:val="0"/>
          <w:sz w:val="24"/>
          <w:szCs w:val="24"/>
          <w:u w:val="single"/>
        </w:rPr>
        <w:t>/a</w:t>
      </w:r>
      <w:r>
        <w:rPr>
          <w:rFonts w:hint="default" w:ascii="Times New Roman" w:hAnsi="Times New Roman" w:cs="Times New Roman"/>
          <w:b/>
          <w:bCs w:val="0"/>
          <w:sz w:val="24"/>
          <w:szCs w:val="24"/>
          <w:u w:val="single"/>
          <w:lang w:eastAsia="zh-CN"/>
        </w:rPr>
        <w:t>、</w:t>
      </w:r>
      <w:r>
        <w:rPr>
          <w:rFonts w:hint="default" w:ascii="Times New Roman" w:hAnsi="Times New Roman" w:cs="Times New Roman"/>
          <w:b/>
          <w:bCs w:val="0"/>
          <w:sz w:val="24"/>
          <w:szCs w:val="24"/>
          <w:u w:val="single"/>
        </w:rPr>
        <w:t>COD</w:t>
      </w:r>
      <w:r>
        <w:rPr>
          <w:rFonts w:hint="eastAsia" w:ascii="Times New Roman" w:hAnsi="Times New Roman" w:cs="Times New Roman"/>
          <w:b/>
          <w:bCs w:val="0"/>
          <w:sz w:val="24"/>
          <w:szCs w:val="24"/>
          <w:u w:val="single"/>
          <w:lang w:val="en-US" w:eastAsia="zh-CN"/>
        </w:rPr>
        <w:t>9.9041</w:t>
      </w:r>
      <w:r>
        <w:rPr>
          <w:rFonts w:hint="default" w:ascii="Times New Roman" w:hAnsi="Times New Roman" w:cs="Times New Roman"/>
          <w:b/>
          <w:bCs w:val="0"/>
          <w:sz w:val="24"/>
          <w:szCs w:val="24"/>
          <w:u w:val="single"/>
        </w:rPr>
        <w:t>t/a、NH</w:t>
      </w:r>
      <w:r>
        <w:rPr>
          <w:rFonts w:hint="default" w:ascii="Times New Roman" w:hAnsi="Times New Roman" w:cs="Times New Roman"/>
          <w:b/>
          <w:bCs w:val="0"/>
          <w:sz w:val="24"/>
          <w:szCs w:val="24"/>
          <w:u w:val="single"/>
          <w:vertAlign w:val="subscript"/>
        </w:rPr>
        <w:t>3</w:t>
      </w:r>
      <w:r>
        <w:rPr>
          <w:rFonts w:hint="default" w:ascii="Times New Roman" w:hAnsi="Times New Roman" w:cs="Times New Roman"/>
          <w:b/>
          <w:bCs w:val="0"/>
          <w:sz w:val="24"/>
          <w:szCs w:val="24"/>
          <w:u w:val="single"/>
        </w:rPr>
        <w:t>-N</w:t>
      </w:r>
      <w:r>
        <w:rPr>
          <w:rFonts w:hint="eastAsia" w:ascii="Times New Roman" w:hAnsi="Times New Roman" w:cs="Times New Roman"/>
          <w:b/>
          <w:bCs w:val="0"/>
          <w:sz w:val="24"/>
          <w:szCs w:val="24"/>
          <w:u w:val="single"/>
          <w:lang w:val="en-US" w:eastAsia="zh-CN"/>
        </w:rPr>
        <w:t>0.495</w:t>
      </w:r>
      <w:r>
        <w:rPr>
          <w:rFonts w:hint="default" w:ascii="Times New Roman" w:hAnsi="Times New Roman" w:cs="Times New Roman"/>
          <w:b/>
          <w:bCs w:val="0"/>
          <w:sz w:val="24"/>
          <w:szCs w:val="24"/>
          <w:u w:val="single"/>
        </w:rPr>
        <w:t>t/a。</w:t>
      </w:r>
      <w:r>
        <w:rPr>
          <w:rFonts w:hint="default" w:ascii="Times New Roman" w:hAnsi="Times New Roman" w:cs="Times New Roman"/>
          <w:b/>
          <w:bCs w:val="0"/>
          <w:sz w:val="24"/>
          <w:szCs w:val="24"/>
          <w:u w:val="single"/>
          <w:lang w:val="en-US" w:eastAsia="zh-CN"/>
        </w:rPr>
        <w:t>大气污染物排放总量需双倍替代，水污染物总量需单倍替代，替代量为</w:t>
      </w:r>
      <w:r>
        <w:rPr>
          <w:rFonts w:hint="default" w:ascii="Times New Roman" w:hAnsi="Times New Roman" w:cs="Times New Roman"/>
          <w:b/>
          <w:bCs w:val="0"/>
          <w:sz w:val="24"/>
          <w:szCs w:val="24"/>
          <w:u w:val="single"/>
        </w:rPr>
        <w:t>颗粒物0.</w:t>
      </w:r>
      <w:r>
        <w:rPr>
          <w:rFonts w:hint="eastAsia" w:ascii="Times New Roman" w:hAnsi="Times New Roman" w:cs="Times New Roman"/>
          <w:b/>
          <w:bCs w:val="0"/>
          <w:sz w:val="24"/>
          <w:szCs w:val="24"/>
          <w:u w:val="single"/>
          <w:lang w:val="en-US" w:eastAsia="zh-CN"/>
        </w:rPr>
        <w:t>1</w:t>
      </w:r>
      <w:r>
        <w:rPr>
          <w:rFonts w:hint="default" w:ascii="Times New Roman" w:hAnsi="Times New Roman" w:cs="Times New Roman"/>
          <w:b/>
          <w:bCs w:val="0"/>
          <w:sz w:val="24"/>
          <w:szCs w:val="24"/>
          <w:u w:val="single"/>
        </w:rPr>
        <w:t>t/a</w:t>
      </w:r>
      <w:r>
        <w:rPr>
          <w:rFonts w:hint="default" w:ascii="Times New Roman" w:hAnsi="Times New Roman" w:cs="Times New Roman"/>
          <w:b/>
          <w:bCs w:val="0"/>
          <w:sz w:val="24"/>
          <w:szCs w:val="24"/>
          <w:u w:val="single"/>
          <w:lang w:eastAsia="zh-CN"/>
        </w:rPr>
        <w:t>、</w:t>
      </w:r>
      <w:r>
        <w:rPr>
          <w:rFonts w:hint="default" w:ascii="Times New Roman" w:hAnsi="Times New Roman" w:cs="Times New Roman"/>
          <w:b/>
          <w:bCs w:val="0"/>
          <w:sz w:val="24"/>
          <w:szCs w:val="24"/>
          <w:u w:val="single"/>
          <w:lang w:val="en-US" w:eastAsia="zh-CN"/>
        </w:rPr>
        <w:t>VOCs0.</w:t>
      </w:r>
      <w:r>
        <w:rPr>
          <w:rFonts w:hint="eastAsia" w:ascii="Times New Roman" w:hAnsi="Times New Roman" w:cs="Times New Roman"/>
          <w:b/>
          <w:bCs w:val="0"/>
          <w:sz w:val="24"/>
          <w:szCs w:val="24"/>
          <w:u w:val="single"/>
          <w:lang w:val="en-US" w:eastAsia="zh-CN"/>
        </w:rPr>
        <w:t>5796</w:t>
      </w:r>
      <w:r>
        <w:rPr>
          <w:rFonts w:hint="default" w:ascii="Times New Roman" w:hAnsi="Times New Roman" w:cs="Times New Roman"/>
          <w:b/>
          <w:bCs w:val="0"/>
          <w:sz w:val="24"/>
          <w:szCs w:val="24"/>
          <w:u w:val="single"/>
        </w:rPr>
        <w:t>/a</w:t>
      </w:r>
      <w:r>
        <w:rPr>
          <w:rFonts w:hint="default" w:ascii="Times New Roman" w:hAnsi="Times New Roman" w:cs="Times New Roman"/>
          <w:b/>
          <w:bCs w:val="0"/>
          <w:sz w:val="24"/>
          <w:szCs w:val="24"/>
          <w:u w:val="single"/>
          <w:lang w:eastAsia="zh-CN"/>
        </w:rPr>
        <w:t>、</w:t>
      </w:r>
      <w:r>
        <w:rPr>
          <w:rFonts w:hint="default" w:ascii="Times New Roman" w:hAnsi="Times New Roman" w:cs="Times New Roman"/>
          <w:b/>
          <w:bCs w:val="0"/>
          <w:sz w:val="24"/>
          <w:szCs w:val="24"/>
          <w:u w:val="single"/>
        </w:rPr>
        <w:t>COD</w:t>
      </w:r>
      <w:r>
        <w:rPr>
          <w:rFonts w:hint="eastAsia" w:ascii="Times New Roman" w:hAnsi="Times New Roman" w:cs="Times New Roman"/>
          <w:b/>
          <w:bCs w:val="0"/>
          <w:sz w:val="24"/>
          <w:szCs w:val="24"/>
          <w:u w:val="single"/>
          <w:lang w:val="en-US" w:eastAsia="zh-CN"/>
        </w:rPr>
        <w:t>9.9041</w:t>
      </w:r>
      <w:r>
        <w:rPr>
          <w:rFonts w:hint="default" w:ascii="Times New Roman" w:hAnsi="Times New Roman" w:cs="Times New Roman"/>
          <w:b/>
          <w:bCs w:val="0"/>
          <w:sz w:val="24"/>
          <w:szCs w:val="24"/>
          <w:u w:val="single"/>
        </w:rPr>
        <w:t>t/a、NH</w:t>
      </w:r>
      <w:r>
        <w:rPr>
          <w:rFonts w:hint="default" w:ascii="Times New Roman" w:hAnsi="Times New Roman" w:cs="Times New Roman"/>
          <w:b/>
          <w:bCs w:val="0"/>
          <w:sz w:val="24"/>
          <w:szCs w:val="24"/>
          <w:u w:val="single"/>
          <w:vertAlign w:val="subscript"/>
        </w:rPr>
        <w:t>3</w:t>
      </w:r>
      <w:r>
        <w:rPr>
          <w:rFonts w:hint="default" w:ascii="Times New Roman" w:hAnsi="Times New Roman" w:cs="Times New Roman"/>
          <w:b/>
          <w:bCs w:val="0"/>
          <w:sz w:val="24"/>
          <w:szCs w:val="24"/>
          <w:u w:val="single"/>
        </w:rPr>
        <w:t>-N</w:t>
      </w:r>
      <w:r>
        <w:rPr>
          <w:rFonts w:hint="eastAsia" w:ascii="Times New Roman" w:hAnsi="Times New Roman" w:cs="Times New Roman"/>
          <w:b/>
          <w:bCs w:val="0"/>
          <w:sz w:val="24"/>
          <w:szCs w:val="24"/>
          <w:u w:val="single"/>
          <w:lang w:val="en-US" w:eastAsia="zh-CN"/>
        </w:rPr>
        <w:t>0.495</w:t>
      </w:r>
      <w:r>
        <w:rPr>
          <w:rFonts w:hint="default" w:ascii="Times New Roman" w:hAnsi="Times New Roman" w:cs="Times New Roman"/>
          <w:b/>
          <w:bCs w:val="0"/>
          <w:sz w:val="24"/>
          <w:szCs w:val="24"/>
          <w:u w:val="single"/>
        </w:rPr>
        <w:t>t/a</w:t>
      </w:r>
      <w:r>
        <w:rPr>
          <w:rFonts w:hint="default" w:ascii="Times New Roman" w:hAnsi="Times New Roman" w:cs="Times New Roman"/>
          <w:b/>
          <w:bCs w:val="0"/>
          <w:sz w:val="24"/>
          <w:szCs w:val="24"/>
          <w:u w:val="single"/>
          <w:lang w:val="en-US" w:eastAsia="zh-CN"/>
        </w:rPr>
        <w:t>。</w:t>
      </w:r>
    </w:p>
    <w:p w14:paraId="33946249">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b/>
          <w:bCs w:val="0"/>
          <w:sz w:val="24"/>
          <w:szCs w:val="24"/>
          <w:u w:val="single"/>
          <w:lang w:val="en-US" w:eastAsia="zh-CN"/>
        </w:rPr>
        <w:t>其中</w:t>
      </w:r>
      <w:r>
        <w:rPr>
          <w:rFonts w:hint="default" w:ascii="Times New Roman" w:hAnsi="Times New Roman" w:cs="Times New Roman"/>
          <w:b/>
          <w:bCs w:val="0"/>
          <w:sz w:val="24"/>
          <w:szCs w:val="24"/>
          <w:u w:val="single"/>
        </w:rPr>
        <w:t>颗粒物0.</w:t>
      </w:r>
      <w:r>
        <w:rPr>
          <w:rFonts w:hint="eastAsia" w:cs="Times New Roman"/>
          <w:b/>
          <w:bCs w:val="0"/>
          <w:sz w:val="24"/>
          <w:szCs w:val="24"/>
          <w:u w:val="single"/>
          <w:lang w:val="en-US" w:eastAsia="zh-CN"/>
        </w:rPr>
        <w:t>1</w:t>
      </w:r>
      <w:r>
        <w:rPr>
          <w:rFonts w:hint="default" w:ascii="Times New Roman" w:hAnsi="Times New Roman" w:cs="Times New Roman"/>
          <w:b/>
          <w:bCs w:val="0"/>
          <w:sz w:val="24"/>
          <w:szCs w:val="24"/>
          <w:u w:val="single"/>
        </w:rPr>
        <w:t>t/a</w:t>
      </w:r>
      <w:r>
        <w:rPr>
          <w:rFonts w:hint="default" w:ascii="Times New Roman" w:hAnsi="Times New Roman" w:cs="Times New Roman"/>
          <w:b/>
          <w:bCs w:val="0"/>
          <w:sz w:val="24"/>
          <w:szCs w:val="24"/>
          <w:u w:val="single"/>
          <w:lang w:eastAsia="zh-CN"/>
        </w:rPr>
        <w:t>、</w:t>
      </w:r>
      <w:r>
        <w:rPr>
          <w:rFonts w:hint="default" w:ascii="Times New Roman" w:hAnsi="Times New Roman" w:cs="Times New Roman"/>
          <w:b/>
          <w:bCs w:val="0"/>
          <w:sz w:val="24"/>
          <w:szCs w:val="24"/>
          <w:u w:val="single"/>
        </w:rPr>
        <w:t>COD</w:t>
      </w:r>
      <w:r>
        <w:rPr>
          <w:rFonts w:hint="eastAsia" w:ascii="Times New Roman" w:hAnsi="Times New Roman" w:cs="Times New Roman"/>
          <w:b/>
          <w:bCs w:val="0"/>
          <w:sz w:val="24"/>
          <w:szCs w:val="24"/>
          <w:u w:val="single"/>
          <w:lang w:val="en-US" w:eastAsia="zh-CN"/>
        </w:rPr>
        <w:t>9.9041</w:t>
      </w:r>
      <w:r>
        <w:rPr>
          <w:rFonts w:hint="default" w:ascii="Times New Roman" w:hAnsi="Times New Roman" w:cs="Times New Roman"/>
          <w:b/>
          <w:bCs w:val="0"/>
          <w:sz w:val="24"/>
          <w:szCs w:val="24"/>
          <w:u w:val="single"/>
        </w:rPr>
        <w:t>t/a、NH</w:t>
      </w:r>
      <w:r>
        <w:rPr>
          <w:rFonts w:hint="default" w:ascii="Times New Roman" w:hAnsi="Times New Roman" w:cs="Times New Roman"/>
          <w:b/>
          <w:bCs w:val="0"/>
          <w:sz w:val="24"/>
          <w:szCs w:val="24"/>
          <w:u w:val="single"/>
          <w:vertAlign w:val="subscript"/>
        </w:rPr>
        <w:t>3</w:t>
      </w:r>
      <w:r>
        <w:rPr>
          <w:rFonts w:hint="default" w:ascii="Times New Roman" w:hAnsi="Times New Roman" w:cs="Times New Roman"/>
          <w:b/>
          <w:bCs w:val="0"/>
          <w:sz w:val="24"/>
          <w:szCs w:val="24"/>
          <w:u w:val="single"/>
        </w:rPr>
        <w:t>-N</w:t>
      </w:r>
      <w:r>
        <w:rPr>
          <w:rFonts w:hint="eastAsia" w:ascii="Times New Roman" w:hAnsi="Times New Roman" w:cs="Times New Roman"/>
          <w:b/>
          <w:bCs w:val="0"/>
          <w:sz w:val="24"/>
          <w:szCs w:val="24"/>
          <w:u w:val="single"/>
          <w:lang w:val="en-US" w:eastAsia="zh-CN"/>
        </w:rPr>
        <w:t>0.495</w:t>
      </w:r>
      <w:r>
        <w:rPr>
          <w:rFonts w:hint="default" w:ascii="Times New Roman" w:hAnsi="Times New Roman" w:cs="Times New Roman"/>
          <w:b/>
          <w:bCs w:val="0"/>
          <w:sz w:val="24"/>
          <w:szCs w:val="24"/>
          <w:u w:val="single"/>
        </w:rPr>
        <w:t>t/a</w:t>
      </w:r>
      <w:r>
        <w:rPr>
          <w:rFonts w:hint="default" w:ascii="Times New Roman" w:hAnsi="Times New Roman" w:cs="Times New Roman"/>
          <w:b/>
          <w:bCs w:val="0"/>
          <w:sz w:val="24"/>
          <w:szCs w:val="24"/>
          <w:u w:val="single"/>
          <w:lang w:val="en-US" w:eastAsia="zh-CN"/>
        </w:rPr>
        <w:t>总量替代</w:t>
      </w:r>
      <w:r>
        <w:rPr>
          <w:rFonts w:hint="default" w:ascii="Times New Roman" w:hAnsi="Times New Roman" w:cs="Times New Roman"/>
          <w:b/>
          <w:bCs w:val="0"/>
          <w:sz w:val="24"/>
          <w:szCs w:val="24"/>
          <w:u w:val="single"/>
        </w:rPr>
        <w:t>从新乡化纤股份有限公司新厂区关停淘汰“年产4万吨高品质差别化粘胶短纤维项目”产生的削减量中替代</w:t>
      </w:r>
      <w:r>
        <w:rPr>
          <w:rFonts w:hint="default" w:ascii="Times New Roman" w:hAnsi="Times New Roman" w:cs="Times New Roman"/>
          <w:b/>
          <w:bCs w:val="0"/>
          <w:sz w:val="24"/>
          <w:szCs w:val="24"/>
          <w:u w:val="single"/>
          <w:lang w:eastAsia="zh-CN"/>
        </w:rPr>
        <w:t>，</w:t>
      </w:r>
      <w:r>
        <w:rPr>
          <w:rFonts w:hint="default" w:ascii="Times New Roman" w:hAnsi="Times New Roman" w:cs="Times New Roman"/>
          <w:b/>
          <w:bCs w:val="0"/>
          <w:sz w:val="24"/>
          <w:szCs w:val="24"/>
          <w:u w:val="single"/>
        </w:rPr>
        <w:t>该项目于2022年停产，并</w:t>
      </w:r>
      <w:r>
        <w:rPr>
          <w:rFonts w:hint="default" w:ascii="Times New Roman" w:hAnsi="Times New Roman" w:cs="Times New Roman"/>
          <w:b/>
          <w:bCs w:val="0"/>
          <w:sz w:val="24"/>
          <w:szCs w:val="24"/>
          <w:u w:val="single"/>
          <w:lang w:eastAsia="zh-CN"/>
        </w:rPr>
        <w:t>已</w:t>
      </w:r>
      <w:r>
        <w:rPr>
          <w:rFonts w:hint="default" w:ascii="Times New Roman" w:hAnsi="Times New Roman" w:cs="Times New Roman"/>
          <w:b/>
          <w:bCs w:val="0"/>
          <w:sz w:val="24"/>
          <w:szCs w:val="24"/>
          <w:u w:val="single"/>
        </w:rPr>
        <w:t>拆除。根据《新乡化纤股份有限公司年产4万吨高品质差别化粘胶短纤维项目环境影响报告》，该项目拆除后废气污染物颗粒物</w:t>
      </w:r>
      <w:r>
        <w:rPr>
          <w:rFonts w:hint="eastAsia" w:ascii="Times New Roman" w:hAnsi="Times New Roman" w:cs="Times New Roman"/>
          <w:b/>
          <w:bCs w:val="0"/>
          <w:sz w:val="24"/>
          <w:szCs w:val="24"/>
          <w:u w:val="single"/>
          <w:lang w:val="en-US" w:eastAsia="zh-CN"/>
        </w:rPr>
        <w:t>剩余</w:t>
      </w:r>
      <w:r>
        <w:rPr>
          <w:rFonts w:hint="default" w:ascii="Times New Roman" w:hAnsi="Times New Roman" w:cs="Times New Roman"/>
          <w:b/>
          <w:bCs w:val="0"/>
          <w:sz w:val="24"/>
          <w:szCs w:val="24"/>
          <w:u w:val="single"/>
        </w:rPr>
        <w:t>削减量为233.</w:t>
      </w:r>
      <w:r>
        <w:rPr>
          <w:rFonts w:hint="eastAsia" w:ascii="Times New Roman" w:hAnsi="Times New Roman" w:cs="Times New Roman"/>
          <w:b/>
          <w:bCs w:val="0"/>
          <w:sz w:val="24"/>
          <w:szCs w:val="24"/>
          <w:u w:val="single"/>
          <w:lang w:val="en-US" w:eastAsia="zh-CN"/>
        </w:rPr>
        <w:t>608</w:t>
      </w:r>
      <w:r>
        <w:rPr>
          <w:rFonts w:hint="default" w:ascii="Times New Roman" w:hAnsi="Times New Roman" w:cs="Times New Roman"/>
          <w:b/>
          <w:bCs w:val="0"/>
          <w:sz w:val="24"/>
          <w:szCs w:val="24"/>
          <w:u w:val="single"/>
        </w:rPr>
        <w:t>t/a；该项目拆除后</w:t>
      </w:r>
      <w:r>
        <w:rPr>
          <w:rFonts w:hint="eastAsia" w:ascii="Times New Roman" w:hAnsi="Times New Roman" w:cs="Times New Roman"/>
          <w:b/>
          <w:bCs w:val="0"/>
          <w:sz w:val="24"/>
          <w:szCs w:val="24"/>
          <w:u w:val="single"/>
          <w:lang w:val="en-US" w:eastAsia="zh-CN"/>
        </w:rPr>
        <w:t>废水</w:t>
      </w:r>
      <w:r>
        <w:rPr>
          <w:rFonts w:hint="default" w:ascii="Times New Roman" w:hAnsi="Times New Roman" w:cs="Times New Roman"/>
          <w:b/>
          <w:bCs w:val="0"/>
          <w:sz w:val="24"/>
          <w:szCs w:val="24"/>
          <w:u w:val="single"/>
        </w:rPr>
        <w:t>污染物</w:t>
      </w:r>
      <w:r>
        <w:rPr>
          <w:rFonts w:hint="eastAsia" w:ascii="Times New Roman" w:hAnsi="Times New Roman" w:cs="Times New Roman"/>
          <w:b/>
          <w:bCs w:val="0"/>
          <w:sz w:val="24"/>
          <w:szCs w:val="24"/>
          <w:u w:val="single"/>
          <w:lang w:val="en-US" w:eastAsia="zh-CN"/>
        </w:rPr>
        <w:t>剩余</w:t>
      </w:r>
      <w:r>
        <w:rPr>
          <w:rFonts w:hint="default" w:ascii="Times New Roman" w:hAnsi="Times New Roman" w:cs="Times New Roman"/>
          <w:b/>
          <w:bCs w:val="0"/>
          <w:sz w:val="24"/>
          <w:szCs w:val="24"/>
          <w:u w:val="single"/>
        </w:rPr>
        <w:t>削减量为：COD</w:t>
      </w:r>
      <w:r>
        <w:rPr>
          <w:rFonts w:hint="eastAsia" w:ascii="Times New Roman" w:hAnsi="Times New Roman" w:cs="Times New Roman"/>
          <w:b/>
          <w:bCs w:val="0"/>
          <w:sz w:val="24"/>
          <w:szCs w:val="24"/>
          <w:u w:val="single"/>
          <w:lang w:val="en-US" w:eastAsia="zh-CN"/>
        </w:rPr>
        <w:t>169.4749</w:t>
      </w:r>
      <w:r>
        <w:rPr>
          <w:rFonts w:hint="default" w:ascii="Times New Roman" w:hAnsi="Times New Roman" w:cs="Times New Roman"/>
          <w:b/>
          <w:bCs w:val="0"/>
          <w:sz w:val="24"/>
          <w:szCs w:val="24"/>
          <w:u w:val="single"/>
        </w:rPr>
        <w:t>t/a，氨氮</w:t>
      </w:r>
      <w:r>
        <w:rPr>
          <w:rFonts w:hint="eastAsia" w:ascii="Times New Roman" w:hAnsi="Times New Roman" w:cs="Times New Roman"/>
          <w:b/>
          <w:bCs w:val="0"/>
          <w:sz w:val="24"/>
          <w:szCs w:val="24"/>
          <w:u w:val="single"/>
          <w:lang w:val="en-US" w:eastAsia="zh-CN"/>
        </w:rPr>
        <w:t>8.4738</w:t>
      </w:r>
      <w:r>
        <w:rPr>
          <w:rFonts w:hint="default" w:ascii="Times New Roman" w:hAnsi="Times New Roman" w:cs="Times New Roman"/>
          <w:b/>
          <w:bCs w:val="0"/>
          <w:sz w:val="24"/>
          <w:szCs w:val="24"/>
          <w:u w:val="single"/>
        </w:rPr>
        <w:t>t/a。</w:t>
      </w:r>
      <w:r>
        <w:rPr>
          <w:rFonts w:hint="default" w:ascii="Times New Roman" w:hAnsi="Times New Roman" w:cs="Times New Roman"/>
          <w:b/>
          <w:bCs w:val="0"/>
          <w:sz w:val="24"/>
          <w:szCs w:val="24"/>
          <w:u w:val="single"/>
          <w:lang w:val="en-US" w:eastAsia="zh-CN"/>
        </w:rPr>
        <w:t>VOCs0.</w:t>
      </w:r>
      <w:r>
        <w:rPr>
          <w:rFonts w:hint="eastAsia" w:cs="Times New Roman"/>
          <w:b/>
          <w:bCs w:val="0"/>
          <w:sz w:val="24"/>
          <w:szCs w:val="24"/>
          <w:u w:val="single"/>
          <w:lang w:val="en-US" w:eastAsia="zh-CN"/>
        </w:rPr>
        <w:t>5796</w:t>
      </w:r>
      <w:r>
        <w:rPr>
          <w:rFonts w:hint="default" w:ascii="Times New Roman" w:hAnsi="Times New Roman" w:cs="Times New Roman"/>
          <w:b/>
          <w:bCs w:val="0"/>
          <w:sz w:val="24"/>
          <w:szCs w:val="24"/>
          <w:u w:val="single"/>
          <w:lang w:val="en-US" w:eastAsia="zh-CN"/>
        </w:rPr>
        <w:t>t/a总量替代来</w:t>
      </w:r>
      <w:r>
        <w:rPr>
          <w:rFonts w:hint="eastAsia" w:cs="Times New Roman"/>
          <w:b/>
          <w:bCs w:val="0"/>
          <w:sz w:val="24"/>
          <w:szCs w:val="24"/>
          <w:u w:val="single"/>
          <w:lang w:val="en-US" w:eastAsia="zh-CN"/>
        </w:rPr>
        <w:t>自</w:t>
      </w:r>
      <w:r>
        <w:rPr>
          <w:rFonts w:hint="default" w:ascii="Times New Roman" w:hAnsi="Times New Roman" w:cs="Times New Roman"/>
          <w:b/>
          <w:bCs w:val="0"/>
          <w:sz w:val="24"/>
          <w:szCs w:val="24"/>
          <w:u w:val="single"/>
          <w:lang w:val="en-US" w:eastAsia="zh-CN"/>
        </w:rPr>
        <w:t>河南东海复合材料有限公司挥发性有机物治理剩余的3.2002吨。</w:t>
      </w:r>
    </w:p>
    <w:p w14:paraId="633515F8">
      <w:pPr>
        <w:ind w:firstLine="480"/>
        <w:rPr>
          <w:color w:val="auto"/>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14:paraId="5D0C7D20">
      <w:pPr>
        <w:pStyle w:val="2"/>
        <w:bidi w:val="0"/>
        <w:rPr>
          <w:color w:val="auto"/>
        </w:rPr>
      </w:pPr>
      <w:bookmarkStart w:id="177" w:name="_Toc3877"/>
      <w:bookmarkStart w:id="178" w:name="_Toc14106"/>
      <w:bookmarkStart w:id="179" w:name="_Toc11030"/>
      <w:bookmarkStart w:id="180" w:name="_Toc2220"/>
      <w:bookmarkStart w:id="181" w:name="_Toc22125"/>
      <w:bookmarkStart w:id="182" w:name="_Toc2251"/>
      <w:bookmarkStart w:id="183" w:name="_Toc7351"/>
      <w:bookmarkStart w:id="184" w:name="_Toc28250"/>
      <w:r>
        <w:rPr>
          <w:color w:val="auto"/>
        </w:rPr>
        <w:t>环境现状调查与评价</w:t>
      </w:r>
      <w:bookmarkEnd w:id="177"/>
      <w:bookmarkEnd w:id="178"/>
      <w:bookmarkEnd w:id="179"/>
      <w:bookmarkEnd w:id="180"/>
      <w:bookmarkEnd w:id="181"/>
      <w:bookmarkEnd w:id="182"/>
      <w:bookmarkEnd w:id="183"/>
      <w:bookmarkEnd w:id="184"/>
    </w:p>
    <w:p w14:paraId="5C6CDB98">
      <w:pPr>
        <w:pStyle w:val="3"/>
        <w:bidi w:val="0"/>
        <w:rPr>
          <w:color w:val="auto"/>
        </w:rPr>
      </w:pPr>
      <w:bookmarkStart w:id="185" w:name="_Toc3205"/>
      <w:bookmarkStart w:id="186" w:name="_Toc26714"/>
      <w:bookmarkStart w:id="187" w:name="_Toc383"/>
      <w:bookmarkStart w:id="188" w:name="_Toc7747"/>
      <w:bookmarkStart w:id="189" w:name="_Toc497461375"/>
      <w:bookmarkStart w:id="190" w:name="_Toc20457"/>
      <w:bookmarkStart w:id="191" w:name="_Toc13693"/>
      <w:bookmarkStart w:id="192" w:name="_Toc5764"/>
      <w:bookmarkStart w:id="193" w:name="_Toc20212"/>
      <w:bookmarkStart w:id="194" w:name="_Toc121"/>
      <w:bookmarkStart w:id="195" w:name="_Toc25734"/>
      <w:bookmarkStart w:id="196" w:name="_Toc5731"/>
      <w:bookmarkStart w:id="197" w:name="_Toc10103"/>
      <w:bookmarkStart w:id="198" w:name="_Toc21868"/>
      <w:bookmarkStart w:id="199" w:name="_Toc17000"/>
      <w:bookmarkStart w:id="200" w:name="_Toc678"/>
      <w:r>
        <w:rPr>
          <w:rFonts w:hint="eastAsia"/>
          <w:color w:val="auto"/>
        </w:rPr>
        <w:t>自然</w:t>
      </w:r>
      <w:r>
        <w:rPr>
          <w:color w:val="auto"/>
        </w:rPr>
        <w:t>环境概况</w:t>
      </w:r>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p w14:paraId="4C984F9B">
      <w:pPr>
        <w:pStyle w:val="5"/>
        <w:bidi w:val="0"/>
        <w:rPr>
          <w:color w:val="auto"/>
        </w:rPr>
      </w:pPr>
      <w:r>
        <w:rPr>
          <w:rFonts w:hint="eastAsia"/>
          <w:color w:val="auto"/>
        </w:rPr>
        <w:t>地理位置</w:t>
      </w:r>
    </w:p>
    <w:p w14:paraId="3CFACC06">
      <w:pPr>
        <w:bidi w:val="0"/>
        <w:rPr>
          <w:color w:val="auto"/>
        </w:rPr>
      </w:pPr>
      <w:r>
        <w:rPr>
          <w:rFonts w:hint="eastAsia"/>
          <w:color w:val="auto"/>
        </w:rPr>
        <w:t>新乡市地处河南省北部、南临黄河，与郑州市、开封市隔河相望；北依太行，与鹤壁市、安阳市毗邻；西连焦作市，与晋东南接壤；东接油城濮阳市与鲁西相连，总面积8249平方公里。新乡市属于华北板块，地处黄河、海河两大流域，地势北高南低，北部主要是太行山山地和丘陵岗地，南部为黄河冲积扇平原，平原占全市土地总面积的78%，属暖温带大陆性气候。新乡市辖6县、4区，代管2个县级市。</w:t>
      </w:r>
    </w:p>
    <w:p w14:paraId="003E780D">
      <w:pPr>
        <w:bidi w:val="0"/>
        <w:rPr>
          <w:color w:val="auto"/>
        </w:rPr>
      </w:pPr>
      <w:r>
        <w:rPr>
          <w:rFonts w:hint="eastAsia"/>
          <w:color w:val="auto"/>
        </w:rPr>
        <w:t>新乡经济技术开发区位于新乡市东部、红旗区小店镇境内，北纬35°06′，东经114°01′，北</w:t>
      </w:r>
      <w:r>
        <w:rPr>
          <w:rFonts w:hint="eastAsia"/>
          <w:color w:val="auto"/>
          <w:lang w:eastAsia="zh-CN"/>
        </w:rPr>
        <w:t>邻</w:t>
      </w:r>
      <w:r>
        <w:rPr>
          <w:rFonts w:hint="eastAsia"/>
          <w:color w:val="auto"/>
        </w:rPr>
        <w:t>延津县东屯镇，东、南为延津县榆林镇，西与新乡市新东区为邻。开发区南距省会郑州市70公里，距新郑国际机场45分钟车程；西距新乡市行政文化中心8公里，距107国道、京港澳高速公路5公里，距建设中的高铁站4公里。新乡经济技术开发区西临107国道、京港澳高速公路和石武客运高速铁路，北依济东高速公路，南与新荷铁路相连，新长北线（省道S308线）横贯东西，S307、S226环绕产业经开区。经开区通过平原路、新长大道两</w:t>
      </w:r>
      <w:r>
        <w:rPr>
          <w:rFonts w:hint="eastAsia"/>
          <w:color w:val="auto"/>
          <w:lang w:eastAsia="zh-CN"/>
        </w:rPr>
        <w:t>条</w:t>
      </w:r>
      <w:r>
        <w:rPr>
          <w:rFonts w:hint="eastAsia"/>
          <w:color w:val="auto"/>
        </w:rPr>
        <w:t>城市主干道和新乡市区紧密联系。</w:t>
      </w:r>
    </w:p>
    <w:p w14:paraId="3E14DF51">
      <w:pPr>
        <w:bidi w:val="0"/>
        <w:rPr>
          <w:color w:val="auto"/>
        </w:rPr>
      </w:pPr>
      <w:r>
        <w:rPr>
          <w:rFonts w:hint="eastAsia"/>
          <w:color w:val="auto"/>
        </w:rPr>
        <w:t>项目选址位于新乡化纤股份有限公司新厂区现有场地，新乡化纤股份有限公司厂区四周环境为：东隔路为中纺院绿色纤维股份公司和新乡双鹭生物技术有限公司；南临空地和铁路，铁路南侧为中铁物流园；西邻新乡润洋化纤有限公司和华源电力设备有限公司；北邻新长北线（S308）。距离项目最近的敏感点为西南</w:t>
      </w:r>
      <w:r>
        <w:rPr>
          <w:rFonts w:hint="eastAsia"/>
          <w:color w:val="auto"/>
          <w:lang w:val="en-US" w:eastAsia="zh-CN"/>
        </w:rPr>
        <w:t>860</w:t>
      </w:r>
      <w:r>
        <w:rPr>
          <w:rFonts w:hint="eastAsia"/>
          <w:color w:val="auto"/>
        </w:rPr>
        <w:t>m处的</w:t>
      </w:r>
      <w:r>
        <w:rPr>
          <w:rFonts w:hint="eastAsia"/>
          <w:color w:val="auto"/>
          <w:lang w:val="en-US" w:eastAsia="zh-CN"/>
        </w:rPr>
        <w:t>夏庄村</w:t>
      </w:r>
      <w:r>
        <w:rPr>
          <w:rFonts w:hint="eastAsia"/>
          <w:color w:val="auto"/>
        </w:rPr>
        <w:t>，项目周围环境图见</w:t>
      </w:r>
      <w:r>
        <w:rPr>
          <w:rFonts w:hint="eastAsia"/>
          <w:color w:val="auto"/>
          <w:lang w:val="en-US" w:eastAsia="zh-CN"/>
        </w:rPr>
        <w:t>下附图2</w:t>
      </w:r>
      <w:r>
        <w:rPr>
          <w:rFonts w:hint="eastAsia"/>
          <w:color w:val="auto"/>
        </w:rPr>
        <w:t>。</w:t>
      </w:r>
    </w:p>
    <w:p w14:paraId="2C339DB1">
      <w:pPr>
        <w:rPr>
          <w:color w:val="auto"/>
        </w:rPr>
      </w:pPr>
    </w:p>
    <w:p w14:paraId="26081006">
      <w:pPr>
        <w:pStyle w:val="102"/>
        <w:ind w:left="0" w:leftChars="0" w:firstLine="0" w:firstLineChars="0"/>
        <w:jc w:val="both"/>
        <w:rPr>
          <w:color w:val="auto"/>
        </w:rPr>
        <w:sectPr>
          <w:headerReference r:id="rId15" w:type="first"/>
          <w:footerReference r:id="rId17" w:type="first"/>
          <w:headerReference r:id="rId14" w:type="even"/>
          <w:footerReference r:id="rId16" w:type="even"/>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p>
    <w:p w14:paraId="3A457E5C">
      <w:pPr>
        <w:pStyle w:val="5"/>
        <w:bidi w:val="0"/>
        <w:rPr>
          <w:color w:val="auto"/>
        </w:rPr>
      </w:pPr>
      <w:bookmarkStart w:id="201" w:name="_Toc242350681"/>
      <w:bookmarkStart w:id="202" w:name="_Toc245630714"/>
      <w:bookmarkStart w:id="203" w:name="_Toc245634107"/>
      <w:bookmarkStart w:id="204" w:name="_Toc428287535"/>
      <w:bookmarkStart w:id="205" w:name="_Toc249411650"/>
      <w:bookmarkStart w:id="206" w:name="_Toc428286789"/>
      <w:bookmarkStart w:id="207" w:name="_Toc251338304"/>
      <w:bookmarkStart w:id="208" w:name="_Toc428287183"/>
      <w:r>
        <w:rPr>
          <w:rFonts w:hint="eastAsia"/>
          <w:color w:val="auto"/>
        </w:rPr>
        <w:t>地形地貌</w:t>
      </w:r>
    </w:p>
    <w:p w14:paraId="22888DB2">
      <w:pPr>
        <w:bidi w:val="0"/>
        <w:rPr>
          <w:color w:val="auto"/>
        </w:rPr>
      </w:pPr>
      <w:r>
        <w:rPr>
          <w:rFonts w:hint="eastAsia"/>
          <w:color w:val="auto"/>
        </w:rPr>
        <w:t>新乡市属于华北板块，地处黄河、海河两大流域，地势北高南低，北部主要是太行山山地和丘陵岗地，南部为黄河冲积扇平原，平原占全市土地总面积的78%。新乡市除西北隅太行山区至山前倾斜平原一带地势从晋豫边界向东南呈台阶式下降外，广大黄河冲积扇平原地势西南高而东北低，总体自辖区西南隅向东北倾斜，有中山、低山、丘陵、山间盆地和平原等多种地貌类型，土壤的分布与之密切相关。各类地貌的展布格局和延伸方向，除南部临黄河一带受秦岭系东西向活动构造的控制外，其余地区大多受新华夏系北北东—北东向构造格局的控制。以北北东—北东向太行山前活动断裂为界，新生代以来，除西北隅地壳持续抬升隆起成山之外，其余地区持续下降成为黄河冲积扇平原。</w:t>
      </w:r>
    </w:p>
    <w:p w14:paraId="5621C69F">
      <w:pPr>
        <w:bidi w:val="0"/>
        <w:rPr>
          <w:color w:val="auto"/>
        </w:rPr>
      </w:pPr>
      <w:r>
        <w:rPr>
          <w:rFonts w:hint="eastAsia"/>
          <w:color w:val="auto"/>
        </w:rPr>
        <w:t>拟建工程所在的新乡经济技术开发区地处黄河故道的中心部位，属黄河冲积平原地貌类型，地形较平坦，总趋势西南高东北低，地面平均坡度1/3000左右。地面海拔高程，中部及南部一般为72m左右，</w:t>
      </w:r>
      <w:r>
        <w:rPr>
          <w:rFonts w:hint="eastAsia"/>
          <w:color w:val="auto"/>
          <w:lang w:eastAsia="zh-CN"/>
        </w:rPr>
        <w:t>沙丘</w:t>
      </w:r>
      <w:r>
        <w:rPr>
          <w:rFonts w:hint="eastAsia"/>
          <w:color w:val="auto"/>
        </w:rPr>
        <w:t>最高点为86.2m，西部及北部沿大沙河两岸最低点高程也在68m以上。</w:t>
      </w:r>
    </w:p>
    <w:p w14:paraId="7B7F33AA">
      <w:pPr>
        <w:bidi w:val="0"/>
        <w:rPr>
          <w:color w:val="auto"/>
        </w:rPr>
      </w:pPr>
      <w:r>
        <w:rPr>
          <w:rFonts w:hint="eastAsia"/>
          <w:color w:val="auto"/>
        </w:rPr>
        <w:t>拟建工程厂址内地形局部稍有起伏，场地土质类型为中软土，海拔68</w:t>
      </w:r>
      <w:r>
        <w:rPr>
          <w:rFonts w:hint="eastAsia"/>
          <w:color w:val="auto"/>
          <w:lang w:eastAsia="zh-CN"/>
        </w:rPr>
        <w:t>～</w:t>
      </w:r>
      <w:r>
        <w:rPr>
          <w:rFonts w:hint="eastAsia"/>
          <w:color w:val="auto"/>
        </w:rPr>
        <w:t>71m。</w:t>
      </w:r>
    </w:p>
    <w:p w14:paraId="2AC153B3">
      <w:pPr>
        <w:pStyle w:val="5"/>
        <w:bidi w:val="0"/>
        <w:rPr>
          <w:color w:val="auto"/>
        </w:rPr>
      </w:pPr>
      <w:r>
        <w:rPr>
          <w:rFonts w:hint="eastAsia"/>
          <w:color w:val="auto"/>
        </w:rPr>
        <w:t>水文水资源</w:t>
      </w:r>
    </w:p>
    <w:p w14:paraId="296C9165">
      <w:pPr>
        <w:pStyle w:val="6"/>
        <w:bidi w:val="0"/>
        <w:rPr>
          <w:color w:val="auto"/>
        </w:rPr>
      </w:pPr>
      <w:r>
        <w:rPr>
          <w:rFonts w:hint="eastAsia"/>
          <w:color w:val="auto"/>
        </w:rPr>
        <w:t>地表水</w:t>
      </w:r>
    </w:p>
    <w:p w14:paraId="540D2338">
      <w:pPr>
        <w:bidi w:val="0"/>
        <w:rPr>
          <w:color w:val="auto"/>
        </w:rPr>
      </w:pPr>
      <w:r>
        <w:rPr>
          <w:rFonts w:hint="eastAsia"/>
          <w:color w:val="auto"/>
        </w:rPr>
        <w:t>新乡经济技术开发区主要有河流有东三干渠、南分干渠和东大沙河，均属于黄河水系。</w:t>
      </w:r>
    </w:p>
    <w:p w14:paraId="246A3604">
      <w:pPr>
        <w:bidi w:val="0"/>
        <w:rPr>
          <w:color w:val="auto"/>
        </w:rPr>
      </w:pPr>
      <w:r>
        <w:rPr>
          <w:rFonts w:hint="eastAsia"/>
          <w:color w:val="auto"/>
        </w:rPr>
        <w:t>东大沙河：属黄河水系金堤河流域柳青河的上游，发源于新乡县古固寨镇庄岩附近</w:t>
      </w:r>
      <w:r>
        <w:rPr>
          <w:rFonts w:hint="eastAsia"/>
          <w:color w:val="auto"/>
          <w:lang w:eastAsia="zh-CN"/>
        </w:rPr>
        <w:t>沙丘</w:t>
      </w:r>
      <w:r>
        <w:rPr>
          <w:rFonts w:hint="eastAsia"/>
          <w:color w:val="auto"/>
        </w:rPr>
        <w:t>间，呈南西—北东向展布，流经新乡县、延津县、卫辉市，又进入延津县经丰庄镇河道闸入柳青河。区内流经长度27.0公里，在古固寨乡南进入开发区，于东屯镇汲津铺北流出开发区，流域面积179.6平方公里。东大沙河原是黄河故道留下的一片自然洼地，是历史上残存的自然排水河道，也是经开区主要的排涝河道，承泄新乡、延津、卫辉3县（市）部分涝水以及引黄灌溉东三干渠和南分干渠的退水。</w:t>
      </w:r>
    </w:p>
    <w:p w14:paraId="4D243684">
      <w:pPr>
        <w:bidi w:val="0"/>
        <w:rPr>
          <w:color w:val="auto"/>
        </w:rPr>
      </w:pPr>
      <w:r>
        <w:rPr>
          <w:rFonts w:hint="eastAsia"/>
          <w:color w:val="auto"/>
        </w:rPr>
        <w:t>区内人工渠道主要为农灌渠，引黄河水作水源。有人民胜利渠东三干渠、南分干渠及与之配套的支渠，各干渠引水方式均为时控引水。除退水渠低于地面1.5米左右外，各引黄渠渠底均与地面相平或稍低于地面，在行水期间对地下水有明显的补给作用。</w:t>
      </w:r>
    </w:p>
    <w:p w14:paraId="01DF5F0C">
      <w:pPr>
        <w:bidi w:val="0"/>
        <w:rPr>
          <w:color w:val="auto"/>
        </w:rPr>
      </w:pPr>
      <w:r>
        <w:rPr>
          <w:rFonts w:hint="eastAsia"/>
          <w:color w:val="auto"/>
        </w:rPr>
        <w:t>东三干渠为农灌渠，引黄河水作水源，于1958年建成引水渠，全长37.8km，顶宽20m左右，底宽8</w:t>
      </w:r>
      <w:r>
        <w:rPr>
          <w:rFonts w:hint="eastAsia"/>
          <w:color w:val="auto"/>
          <w:lang w:eastAsia="zh-CN"/>
        </w:rPr>
        <w:t>—</w:t>
      </w:r>
      <w:r>
        <w:rPr>
          <w:rFonts w:hint="eastAsia"/>
          <w:color w:val="auto"/>
        </w:rPr>
        <w:t>11m，深2.7</w:t>
      </w:r>
      <w:r>
        <w:rPr>
          <w:rFonts w:hint="eastAsia"/>
          <w:color w:val="auto"/>
          <w:lang w:eastAsia="zh-CN"/>
        </w:rPr>
        <w:t>—</w:t>
      </w:r>
      <w:r>
        <w:rPr>
          <w:rFonts w:hint="eastAsia"/>
          <w:color w:val="auto"/>
        </w:rPr>
        <w:t>3.3m，引水流量15-31m</w:t>
      </w:r>
      <w:r>
        <w:rPr>
          <w:rFonts w:hint="eastAsia"/>
          <w:color w:val="auto"/>
          <w:vertAlign w:val="superscript"/>
        </w:rPr>
        <w:t>3</w:t>
      </w:r>
      <w:r>
        <w:rPr>
          <w:rFonts w:hint="eastAsia"/>
          <w:color w:val="auto"/>
        </w:rPr>
        <w:t>/s，两岸水泥</w:t>
      </w:r>
      <w:r>
        <w:rPr>
          <w:rFonts w:hint="eastAsia"/>
          <w:color w:val="auto"/>
          <w:lang w:eastAsia="zh-CN"/>
        </w:rPr>
        <w:t>衬砌</w:t>
      </w:r>
      <w:r>
        <w:rPr>
          <w:rFonts w:hint="eastAsia"/>
          <w:color w:val="auto"/>
        </w:rPr>
        <w:t>，边坡1：2，年引水8</w:t>
      </w:r>
      <w:r>
        <w:rPr>
          <w:rFonts w:hint="eastAsia"/>
          <w:color w:val="auto"/>
          <w:lang w:eastAsia="zh-CN"/>
        </w:rPr>
        <w:t>—</w:t>
      </w:r>
      <w:r>
        <w:rPr>
          <w:rFonts w:hint="eastAsia"/>
          <w:color w:val="auto"/>
        </w:rPr>
        <w:t>12次，平均引水天数144天，引水量13662.5万m</w:t>
      </w:r>
      <w:r>
        <w:rPr>
          <w:color w:val="auto"/>
          <w:vertAlign w:val="superscript"/>
        </w:rPr>
        <w:t>3</w:t>
      </w:r>
      <w:r>
        <w:rPr>
          <w:rFonts w:hint="eastAsia"/>
          <w:color w:val="auto"/>
        </w:rPr>
        <w:t>；区内支渠有二、三、六支渠及退水渠。</w:t>
      </w:r>
    </w:p>
    <w:p w14:paraId="498E4DBD">
      <w:pPr>
        <w:bidi w:val="0"/>
        <w:rPr>
          <w:color w:val="auto"/>
        </w:rPr>
      </w:pPr>
      <w:r>
        <w:rPr>
          <w:rFonts w:hint="eastAsia"/>
          <w:color w:val="auto"/>
        </w:rPr>
        <w:t>南分干渠1979年建成引水，自第五疃西南东三干渠王堤节制闸引水，向东沿获小庄至张河东。区内长度10公里，宽14米左右，年引水6～9次，平均引水天数87天，引水量4868.89万m</w:t>
      </w:r>
      <w:r>
        <w:rPr>
          <w:color w:val="auto"/>
          <w:vertAlign w:val="superscript"/>
        </w:rPr>
        <w:t>3</w:t>
      </w:r>
      <w:r>
        <w:rPr>
          <w:rFonts w:hint="eastAsia"/>
          <w:color w:val="auto"/>
        </w:rPr>
        <w:t>。</w:t>
      </w:r>
    </w:p>
    <w:p w14:paraId="037743B7">
      <w:pPr>
        <w:pStyle w:val="6"/>
        <w:bidi w:val="0"/>
        <w:rPr>
          <w:b/>
          <w:bCs w:val="0"/>
          <w:color w:val="auto"/>
          <w:u w:val="none"/>
        </w:rPr>
      </w:pPr>
      <w:r>
        <w:rPr>
          <w:rFonts w:hint="eastAsia"/>
          <w:b/>
          <w:bCs w:val="0"/>
          <w:color w:val="auto"/>
          <w:u w:val="none"/>
        </w:rPr>
        <w:t>地下水</w:t>
      </w:r>
    </w:p>
    <w:p w14:paraId="1DFE4E5D">
      <w:pPr>
        <w:bidi w:val="0"/>
        <w:rPr>
          <w:b w:val="0"/>
          <w:bCs/>
          <w:color w:val="auto"/>
          <w:u w:val="none"/>
        </w:rPr>
      </w:pPr>
      <w:r>
        <w:rPr>
          <w:rFonts w:hint="eastAsia"/>
          <w:b w:val="0"/>
          <w:bCs/>
          <w:color w:val="auto"/>
          <w:u w:val="none"/>
        </w:rPr>
        <w:t>区内地下水总量为富水区，水量富足，地下水埋深一般在1～4米，属浅表层地下水，单位涌水量11.3立方米/小时，水质较好，PH值在7.7～8.3之间，属碱性水。矿化度0.9～1.5克/升之间，属极弱化矿化水，适宜于农田灌溉和人畜饮用，是理想的生产、生活水源。含水层多层，其中有一层分布稳定、厚度大的粉质粘土层，将地下水分为两个含水层组：第一含水组为潜水及微承压水，由上更新统上段及全新统冲积砂层组成，含水介质为松散的粗、中砂和细砂，总厚度40</w:t>
      </w:r>
      <w:r>
        <w:rPr>
          <w:rFonts w:hint="eastAsia"/>
          <w:b w:val="0"/>
          <w:bCs/>
          <w:color w:val="auto"/>
          <w:u w:val="none"/>
          <w:lang w:eastAsia="zh-CN"/>
        </w:rPr>
        <w:t>—</w:t>
      </w:r>
      <w:r>
        <w:rPr>
          <w:rFonts w:hint="eastAsia"/>
          <w:b w:val="0"/>
          <w:bCs/>
          <w:color w:val="auto"/>
          <w:u w:val="none"/>
        </w:rPr>
        <w:t>60米，局部大于70米，降深10米时，单井涌水量大于2800立方米/日；第二含水组为承压水，由上更新统下段砂层组成，含水介质为细砂、粉砂，总厚度20</w:t>
      </w:r>
      <w:r>
        <w:rPr>
          <w:rFonts w:hint="eastAsia"/>
          <w:b w:val="0"/>
          <w:bCs/>
          <w:color w:val="auto"/>
          <w:u w:val="none"/>
          <w:lang w:eastAsia="zh-CN"/>
        </w:rPr>
        <w:t>—</w:t>
      </w:r>
      <w:r>
        <w:rPr>
          <w:rFonts w:hint="eastAsia"/>
          <w:b w:val="0"/>
          <w:bCs/>
          <w:color w:val="auto"/>
          <w:u w:val="none"/>
        </w:rPr>
        <w:t>52米，单井涌水量1400-2400立方米/日。地下水流向从西南至东北。</w:t>
      </w:r>
    </w:p>
    <w:p w14:paraId="64EAA564">
      <w:pPr>
        <w:bidi w:val="0"/>
        <w:rPr>
          <w:b w:val="0"/>
          <w:bCs/>
          <w:color w:val="auto"/>
          <w:u w:val="none"/>
        </w:rPr>
      </w:pPr>
      <w:r>
        <w:rPr>
          <w:rFonts w:hint="eastAsia"/>
          <w:b w:val="0"/>
          <w:bCs/>
          <w:color w:val="auto"/>
          <w:u w:val="none"/>
        </w:rPr>
        <w:t>（1）浅层孔隙水含水层及其富水性特征</w:t>
      </w:r>
    </w:p>
    <w:p w14:paraId="6039F068">
      <w:pPr>
        <w:bidi w:val="0"/>
        <w:rPr>
          <w:b w:val="0"/>
          <w:bCs/>
          <w:color w:val="auto"/>
          <w:u w:val="none"/>
        </w:rPr>
      </w:pPr>
      <w:r>
        <w:rPr>
          <w:rFonts w:hint="eastAsia"/>
          <w:b w:val="0"/>
          <w:bCs/>
          <w:color w:val="auto"/>
          <w:u w:val="none"/>
        </w:rPr>
        <w:t>浅层地下水为潜水及微承压水，由上更新统上段及全新统冲积砂层组成，含水介质为松散的粗、中砂和细砂，一般可见2～4层，单层厚度8～25m，总厚度40～60m，局部大于70m。单位涌水量l0～20m</w:t>
      </w:r>
      <w:r>
        <w:rPr>
          <w:rFonts w:hint="eastAsia"/>
          <w:b w:val="0"/>
          <w:bCs/>
          <w:color w:val="auto"/>
          <w:u w:val="none"/>
          <w:vertAlign w:val="superscript"/>
        </w:rPr>
        <w:t>3</w:t>
      </w:r>
      <w:r>
        <w:rPr>
          <w:rFonts w:hint="eastAsia"/>
          <w:b w:val="0"/>
          <w:bCs/>
          <w:color w:val="auto"/>
          <w:u w:val="none"/>
        </w:rPr>
        <w:t>/（h</w:t>
      </w:r>
      <w:r>
        <w:rPr>
          <w:b w:val="0"/>
          <w:bCs/>
          <w:color w:val="auto"/>
          <w:u w:val="none"/>
        </w:rPr>
        <w:t>·</w:t>
      </w:r>
      <w:r>
        <w:rPr>
          <w:rFonts w:hint="eastAsia"/>
          <w:b w:val="0"/>
          <w:bCs/>
          <w:color w:val="auto"/>
          <w:u w:val="none"/>
        </w:rPr>
        <w:t>m）。由古河床向两侧古漫滩，含水层颗粒由粗到细，含水层厚度由大到小，地下水由潜水过渡到微承压水，单位涌水量由大变小。</w:t>
      </w:r>
    </w:p>
    <w:p w14:paraId="014FAF52">
      <w:pPr>
        <w:bidi w:val="0"/>
        <w:rPr>
          <w:b w:val="0"/>
          <w:bCs/>
          <w:color w:val="auto"/>
          <w:u w:val="none"/>
        </w:rPr>
      </w:pPr>
      <w:r>
        <w:rPr>
          <w:rFonts w:hint="eastAsia"/>
          <w:b w:val="0"/>
          <w:bCs/>
          <w:color w:val="auto"/>
          <w:u w:val="none"/>
        </w:rPr>
        <w:t>在古河床区，浅层地下水底界埋深75</w:t>
      </w:r>
      <w:r>
        <w:rPr>
          <w:rFonts w:hint="eastAsia"/>
          <w:b w:val="0"/>
          <w:bCs/>
          <w:color w:val="auto"/>
          <w:u w:val="none"/>
          <w:lang w:eastAsia="zh-CN"/>
        </w:rPr>
        <w:t>—</w:t>
      </w:r>
      <w:r>
        <w:rPr>
          <w:rFonts w:hint="eastAsia"/>
          <w:b w:val="0"/>
          <w:bCs/>
          <w:color w:val="auto"/>
          <w:u w:val="none"/>
        </w:rPr>
        <w:t>85m，含水层为粗砂、中砂、细砂单层厚20m左右，最厚达40m，累计厚50</w:t>
      </w:r>
      <w:r>
        <w:rPr>
          <w:rFonts w:hint="eastAsia"/>
          <w:b w:val="0"/>
          <w:bCs/>
          <w:color w:val="auto"/>
          <w:u w:val="none"/>
          <w:lang w:eastAsia="zh-CN"/>
        </w:rPr>
        <w:t>—</w:t>
      </w:r>
      <w:r>
        <w:rPr>
          <w:rFonts w:hint="eastAsia"/>
          <w:b w:val="0"/>
          <w:bCs/>
          <w:color w:val="auto"/>
          <w:u w:val="none"/>
        </w:rPr>
        <w:t>70m，渗透系数1.4</w:t>
      </w:r>
      <w:r>
        <w:rPr>
          <w:rFonts w:hint="eastAsia"/>
          <w:b w:val="0"/>
          <w:bCs/>
          <w:color w:val="auto"/>
          <w:u w:val="none"/>
          <w:lang w:eastAsia="zh-CN"/>
        </w:rPr>
        <w:t>—</w:t>
      </w:r>
      <w:r>
        <w:rPr>
          <w:rFonts w:hint="eastAsia"/>
          <w:b w:val="0"/>
          <w:bCs/>
          <w:color w:val="auto"/>
          <w:u w:val="none"/>
        </w:rPr>
        <w:t>1.9m/d，导水系数400-1000m</w:t>
      </w:r>
      <w:r>
        <w:rPr>
          <w:rFonts w:hint="eastAsia"/>
          <w:b w:val="0"/>
          <w:bCs/>
          <w:color w:val="auto"/>
          <w:u w:val="none"/>
          <w:vertAlign w:val="superscript"/>
        </w:rPr>
        <w:t>2</w:t>
      </w:r>
      <w:r>
        <w:rPr>
          <w:rFonts w:hint="eastAsia"/>
          <w:b w:val="0"/>
          <w:bCs/>
          <w:color w:val="auto"/>
          <w:u w:val="none"/>
        </w:rPr>
        <w:t>/d，单位涌水量大于15m</w:t>
      </w:r>
      <w:r>
        <w:rPr>
          <w:rFonts w:hint="eastAsia"/>
          <w:b w:val="0"/>
          <w:bCs/>
          <w:color w:val="auto"/>
          <w:u w:val="none"/>
          <w:vertAlign w:val="superscript"/>
        </w:rPr>
        <w:t>3</w:t>
      </w:r>
      <w:r>
        <w:rPr>
          <w:rFonts w:hint="eastAsia"/>
          <w:b w:val="0"/>
          <w:bCs/>
          <w:color w:val="auto"/>
          <w:u w:val="none"/>
        </w:rPr>
        <w:t>/（h</w:t>
      </w:r>
      <w:r>
        <w:rPr>
          <w:b w:val="0"/>
          <w:bCs/>
          <w:color w:val="auto"/>
          <w:u w:val="none"/>
        </w:rPr>
        <w:t>·</w:t>
      </w:r>
      <w:r>
        <w:rPr>
          <w:rFonts w:hint="eastAsia"/>
          <w:b w:val="0"/>
          <w:bCs/>
          <w:color w:val="auto"/>
          <w:u w:val="none"/>
        </w:rPr>
        <w:t>m），降深10m时</w:t>
      </w:r>
      <w:r>
        <w:rPr>
          <w:rFonts w:hint="eastAsia"/>
          <w:b w:val="0"/>
          <w:bCs/>
          <w:color w:val="auto"/>
          <w:u w:val="none"/>
          <w:lang w:eastAsia="zh-CN"/>
        </w:rPr>
        <w:t>，</w:t>
      </w:r>
      <w:r>
        <w:rPr>
          <w:rFonts w:hint="eastAsia"/>
          <w:b w:val="0"/>
          <w:bCs/>
          <w:color w:val="auto"/>
          <w:u w:val="none"/>
        </w:rPr>
        <w:t>单井涌水量大于2800m</w:t>
      </w:r>
      <w:r>
        <w:rPr>
          <w:rFonts w:hint="eastAsia"/>
          <w:b w:val="0"/>
          <w:bCs/>
          <w:color w:val="auto"/>
          <w:u w:val="none"/>
          <w:vertAlign w:val="superscript"/>
        </w:rPr>
        <w:t>3</w:t>
      </w:r>
      <w:r>
        <w:rPr>
          <w:rFonts w:hint="eastAsia"/>
          <w:b w:val="0"/>
          <w:bCs/>
          <w:color w:val="auto"/>
          <w:u w:val="none"/>
        </w:rPr>
        <w:t>/d，姚庄、沙门一带达6000m</w:t>
      </w:r>
      <w:r>
        <w:rPr>
          <w:rFonts w:hint="eastAsia"/>
          <w:b w:val="0"/>
          <w:bCs/>
          <w:color w:val="auto"/>
          <w:u w:val="none"/>
          <w:vertAlign w:val="superscript"/>
        </w:rPr>
        <w:t>2</w:t>
      </w:r>
      <w:r>
        <w:rPr>
          <w:rFonts w:hint="eastAsia"/>
          <w:b w:val="0"/>
          <w:bCs/>
          <w:color w:val="auto"/>
          <w:u w:val="none"/>
        </w:rPr>
        <w:t>/d。</w:t>
      </w:r>
    </w:p>
    <w:p w14:paraId="214E313D">
      <w:pPr>
        <w:bidi w:val="0"/>
        <w:rPr>
          <w:b w:val="0"/>
          <w:bCs/>
          <w:color w:val="auto"/>
          <w:u w:val="none"/>
        </w:rPr>
      </w:pPr>
      <w:r>
        <w:rPr>
          <w:rFonts w:hint="eastAsia"/>
          <w:b w:val="0"/>
          <w:bCs/>
          <w:color w:val="auto"/>
          <w:u w:val="none"/>
        </w:rPr>
        <w:t>在古漫滩区，浅层地下水底界埋深57～70m，含水层岩性为细砂，单层厚度10～15m，累计厚度45～60m，渗透系数0.9～1.6m/d，导水系数300～700m</w:t>
      </w:r>
      <w:r>
        <w:rPr>
          <w:rFonts w:hint="eastAsia"/>
          <w:b w:val="0"/>
          <w:bCs/>
          <w:color w:val="auto"/>
          <w:u w:val="none"/>
          <w:vertAlign w:val="superscript"/>
        </w:rPr>
        <w:t>2</w:t>
      </w:r>
      <w:r>
        <w:rPr>
          <w:rFonts w:hint="eastAsia"/>
          <w:b w:val="0"/>
          <w:bCs/>
          <w:color w:val="auto"/>
          <w:u w:val="none"/>
        </w:rPr>
        <w:t>/d，单位涌水量10～20m</w:t>
      </w:r>
      <w:r>
        <w:rPr>
          <w:rFonts w:hint="eastAsia"/>
          <w:b w:val="0"/>
          <w:bCs/>
          <w:color w:val="auto"/>
          <w:u w:val="none"/>
          <w:vertAlign w:val="superscript"/>
        </w:rPr>
        <w:t>3</w:t>
      </w:r>
      <w:r>
        <w:rPr>
          <w:rFonts w:hint="eastAsia"/>
          <w:b w:val="0"/>
          <w:bCs/>
          <w:color w:val="auto"/>
          <w:u w:val="none"/>
        </w:rPr>
        <w:t>/（h</w:t>
      </w:r>
      <w:r>
        <w:rPr>
          <w:b w:val="0"/>
          <w:bCs/>
          <w:color w:val="auto"/>
          <w:u w:val="none"/>
        </w:rPr>
        <w:t>·</w:t>
      </w:r>
      <w:r>
        <w:rPr>
          <w:rFonts w:hint="eastAsia"/>
          <w:b w:val="0"/>
          <w:bCs/>
          <w:color w:val="auto"/>
          <w:u w:val="none"/>
        </w:rPr>
        <w:t>m），单井涌水量2280～4800m</w:t>
      </w:r>
      <w:r>
        <w:rPr>
          <w:rFonts w:hint="eastAsia"/>
          <w:b w:val="0"/>
          <w:bCs/>
          <w:color w:val="auto"/>
          <w:u w:val="none"/>
          <w:vertAlign w:val="superscript"/>
        </w:rPr>
        <w:t>3</w:t>
      </w:r>
      <w:r>
        <w:rPr>
          <w:rFonts w:hint="eastAsia"/>
          <w:b w:val="0"/>
          <w:bCs/>
          <w:color w:val="auto"/>
          <w:u w:val="none"/>
        </w:rPr>
        <w:t>/d。</w:t>
      </w:r>
    </w:p>
    <w:p w14:paraId="7406CD34">
      <w:pPr>
        <w:bidi w:val="0"/>
        <w:rPr>
          <w:b w:val="0"/>
          <w:bCs/>
          <w:color w:val="auto"/>
          <w:u w:val="none"/>
        </w:rPr>
      </w:pPr>
      <w:r>
        <w:rPr>
          <w:rFonts w:hint="eastAsia"/>
          <w:b w:val="0"/>
          <w:bCs/>
          <w:color w:val="auto"/>
          <w:u w:val="none"/>
        </w:rPr>
        <w:t>浅层地下水底板为厚7.5</w:t>
      </w:r>
      <w:r>
        <w:rPr>
          <w:rFonts w:hint="eastAsia"/>
          <w:b w:val="0"/>
          <w:bCs/>
          <w:color w:val="auto"/>
          <w:u w:val="none"/>
          <w:lang w:eastAsia="zh-CN"/>
        </w:rPr>
        <w:t>—</w:t>
      </w:r>
      <w:r>
        <w:rPr>
          <w:rFonts w:hint="eastAsia"/>
          <w:b w:val="0"/>
          <w:bCs/>
          <w:color w:val="auto"/>
          <w:u w:val="none"/>
        </w:rPr>
        <w:t>16.0m的粉质粘土，分布连续稳定。</w:t>
      </w:r>
    </w:p>
    <w:p w14:paraId="2E752562">
      <w:pPr>
        <w:bidi w:val="0"/>
        <w:rPr>
          <w:b w:val="0"/>
          <w:bCs/>
          <w:color w:val="auto"/>
          <w:u w:val="none"/>
        </w:rPr>
      </w:pPr>
      <w:r>
        <w:rPr>
          <w:rFonts w:hint="eastAsia"/>
          <w:b w:val="0"/>
          <w:bCs/>
          <w:color w:val="auto"/>
          <w:u w:val="none"/>
        </w:rPr>
        <w:t>现状条件下，第II含水组通过弱透水层越流补给I含水组，但由于弱透水层厚度大，分布连续稳定，且渗透系数小，越流量小，可忽略不计。</w:t>
      </w:r>
    </w:p>
    <w:p w14:paraId="5B498369">
      <w:pPr>
        <w:bidi w:val="0"/>
        <w:rPr>
          <w:b w:val="0"/>
          <w:bCs/>
          <w:color w:val="auto"/>
          <w:u w:val="none"/>
        </w:rPr>
      </w:pPr>
      <w:r>
        <w:rPr>
          <w:rFonts w:hint="eastAsia"/>
          <w:b w:val="0"/>
          <w:bCs/>
          <w:color w:val="auto"/>
          <w:u w:val="none"/>
        </w:rPr>
        <w:t>浅层地下水水质较差，但水量大，易于开采，为调查区内供水开采目的层。</w:t>
      </w:r>
    </w:p>
    <w:p w14:paraId="2A766A7D">
      <w:pPr>
        <w:bidi w:val="0"/>
        <w:rPr>
          <w:b w:val="0"/>
          <w:bCs/>
          <w:color w:val="auto"/>
          <w:u w:val="none"/>
        </w:rPr>
      </w:pPr>
      <w:r>
        <w:rPr>
          <w:rFonts w:hint="eastAsia"/>
          <w:b w:val="0"/>
          <w:bCs/>
          <w:color w:val="auto"/>
          <w:u w:val="none"/>
        </w:rPr>
        <w:t>（2）中层孔隙水含水层及其富水性特征</w:t>
      </w:r>
    </w:p>
    <w:p w14:paraId="3C4562B2">
      <w:pPr>
        <w:bidi w:val="0"/>
        <w:rPr>
          <w:b w:val="0"/>
          <w:bCs/>
          <w:color w:val="auto"/>
          <w:u w:val="none"/>
        </w:rPr>
      </w:pPr>
      <w:r>
        <w:rPr>
          <w:rFonts w:hint="eastAsia"/>
          <w:b w:val="0"/>
          <w:bCs/>
          <w:color w:val="auto"/>
          <w:u w:val="none"/>
        </w:rPr>
        <w:t>中深层地下水为承压水，由上更新统下段砂层组成，含水介质为细砂、粉砂，一般可见7-9层，单层厚度5</w:t>
      </w:r>
      <w:r>
        <w:rPr>
          <w:rFonts w:hint="eastAsia"/>
          <w:b w:val="0"/>
          <w:bCs/>
          <w:color w:val="auto"/>
          <w:u w:val="none"/>
          <w:lang w:eastAsia="zh-CN"/>
        </w:rPr>
        <w:t>—</w:t>
      </w:r>
      <w:r>
        <w:rPr>
          <w:rFonts w:hint="eastAsia"/>
          <w:b w:val="0"/>
          <w:bCs/>
          <w:color w:val="auto"/>
          <w:u w:val="none"/>
        </w:rPr>
        <w:t>10m，最厚达3lm，累计厚度20.7</w:t>
      </w:r>
      <w:r>
        <w:rPr>
          <w:rFonts w:hint="eastAsia"/>
          <w:b w:val="0"/>
          <w:bCs/>
          <w:color w:val="auto"/>
          <w:u w:val="none"/>
          <w:lang w:eastAsia="zh-CN"/>
        </w:rPr>
        <w:t>—</w:t>
      </w:r>
      <w:r>
        <w:rPr>
          <w:rFonts w:hint="eastAsia"/>
          <w:b w:val="0"/>
          <w:bCs/>
          <w:color w:val="auto"/>
          <w:u w:val="none"/>
        </w:rPr>
        <w:t>52.5m，单位涌水量4-6m</w:t>
      </w:r>
      <w:r>
        <w:rPr>
          <w:rFonts w:hint="eastAsia"/>
          <w:b w:val="0"/>
          <w:bCs/>
          <w:color w:val="auto"/>
          <w:u w:val="none"/>
          <w:vertAlign w:val="superscript"/>
        </w:rPr>
        <w:t>3</w:t>
      </w:r>
      <w:r>
        <w:rPr>
          <w:rFonts w:hint="eastAsia"/>
          <w:b w:val="0"/>
          <w:bCs/>
          <w:color w:val="auto"/>
          <w:u w:val="none"/>
        </w:rPr>
        <w:t>/h·m，单井涌水量1400-2400m</w:t>
      </w:r>
      <w:r>
        <w:rPr>
          <w:rFonts w:hint="eastAsia"/>
          <w:b w:val="0"/>
          <w:bCs/>
          <w:color w:val="auto"/>
          <w:u w:val="none"/>
          <w:vertAlign w:val="superscript"/>
        </w:rPr>
        <w:t>3</w:t>
      </w:r>
      <w:r>
        <w:rPr>
          <w:rFonts w:hint="eastAsia"/>
          <w:b w:val="0"/>
          <w:bCs/>
          <w:color w:val="auto"/>
          <w:u w:val="none"/>
        </w:rPr>
        <w:t>/d，渗透系数6</w:t>
      </w:r>
      <w:r>
        <w:rPr>
          <w:rFonts w:hint="eastAsia"/>
          <w:b w:val="0"/>
          <w:bCs/>
          <w:color w:val="auto"/>
          <w:u w:val="none"/>
          <w:lang w:eastAsia="zh-CN"/>
        </w:rPr>
        <w:t>—</w:t>
      </w:r>
      <w:r>
        <w:rPr>
          <w:rFonts w:hint="eastAsia"/>
          <w:b w:val="0"/>
          <w:bCs/>
          <w:color w:val="auto"/>
          <w:u w:val="none"/>
        </w:rPr>
        <w:t>10m/d，导水系数200～260m/d。中深层地下水底界埋深140</w:t>
      </w:r>
      <w:r>
        <w:rPr>
          <w:rFonts w:hint="eastAsia"/>
          <w:b w:val="0"/>
          <w:bCs/>
          <w:color w:val="auto"/>
          <w:u w:val="none"/>
          <w:lang w:eastAsia="zh-CN"/>
        </w:rPr>
        <w:t>—</w:t>
      </w:r>
      <w:r>
        <w:rPr>
          <w:rFonts w:hint="eastAsia"/>
          <w:b w:val="0"/>
          <w:bCs/>
          <w:color w:val="auto"/>
          <w:u w:val="none"/>
        </w:rPr>
        <w:t>155m，底板为厚8.0m左右分布稳定的粉质粘土层。</w:t>
      </w:r>
    </w:p>
    <w:p w14:paraId="429956D2">
      <w:pPr>
        <w:bidi w:val="0"/>
        <w:rPr>
          <w:b w:val="0"/>
          <w:bCs/>
          <w:color w:val="auto"/>
          <w:u w:val="none"/>
        </w:rPr>
      </w:pPr>
      <w:r>
        <w:rPr>
          <w:rFonts w:hint="eastAsia"/>
          <w:b w:val="0"/>
          <w:bCs/>
          <w:color w:val="auto"/>
          <w:u w:val="none"/>
        </w:rPr>
        <w:t>中深层地下水矿化度高，不适宜作为饮用水和工业用水，未开采。</w:t>
      </w:r>
    </w:p>
    <w:p w14:paraId="50D43083">
      <w:pPr>
        <w:bidi w:val="0"/>
        <w:rPr>
          <w:b w:val="0"/>
          <w:bCs/>
          <w:color w:val="auto"/>
          <w:u w:val="none"/>
        </w:rPr>
      </w:pPr>
      <w:r>
        <w:rPr>
          <w:rFonts w:hint="eastAsia"/>
          <w:b w:val="0"/>
          <w:bCs/>
          <w:color w:val="auto"/>
          <w:u w:val="none"/>
        </w:rPr>
        <w:t>根据对经开区地下水长期观测点进行连续三年水文年的水文数据的收集，评价区域浅层地下水动态类型属“气象</w:t>
      </w:r>
      <w:r>
        <w:rPr>
          <w:rFonts w:hint="eastAsia"/>
          <w:b w:val="0"/>
          <w:bCs/>
          <w:color w:val="auto"/>
          <w:u w:val="none"/>
          <w:lang w:eastAsia="zh-CN"/>
        </w:rPr>
        <w:t>－</w:t>
      </w:r>
      <w:r>
        <w:rPr>
          <w:rFonts w:hint="eastAsia"/>
          <w:b w:val="0"/>
          <w:bCs/>
          <w:color w:val="auto"/>
          <w:u w:val="none"/>
        </w:rPr>
        <w:t>开采型”，地下水动态主要受降水、开采控制。年内3-5月为枯水期同时又处于农作物春灌期，开采量增大，地下水位降低；7-9月为丰水期，降水量增大，水位上升。年水位变幅1.2～2.5m。</w:t>
      </w:r>
    </w:p>
    <w:p w14:paraId="0F455F9B">
      <w:pPr>
        <w:pStyle w:val="5"/>
        <w:bidi w:val="0"/>
        <w:rPr>
          <w:color w:val="auto"/>
        </w:rPr>
      </w:pPr>
      <w:r>
        <w:rPr>
          <w:rFonts w:hint="eastAsia"/>
          <w:color w:val="auto"/>
        </w:rPr>
        <w:t>地质</w:t>
      </w:r>
    </w:p>
    <w:p w14:paraId="42F519A5">
      <w:pPr>
        <w:bidi w:val="0"/>
        <w:rPr>
          <w:color w:val="auto"/>
        </w:rPr>
      </w:pPr>
      <w:r>
        <w:rPr>
          <w:rFonts w:hint="eastAsia"/>
          <w:color w:val="auto"/>
        </w:rPr>
        <w:t>规划区位于新乡市区东部，在大地构造上属华北陆台太行隆起的东南缘，地层出露为第四纪坡积、冲积、洪积形成的平原地区，由素填土、粉砂、</w:t>
      </w:r>
      <w:r>
        <w:rPr>
          <w:rFonts w:hint="eastAsia"/>
          <w:color w:val="auto"/>
          <w:lang w:eastAsia="zh-CN"/>
        </w:rPr>
        <w:t>细砂</w:t>
      </w:r>
      <w:r>
        <w:rPr>
          <w:rFonts w:hint="eastAsia"/>
          <w:color w:val="auto"/>
        </w:rPr>
        <w:t>、中砂组成，岩土承载力一般为1.2～2.0kg/cm</w:t>
      </w:r>
      <w:r>
        <w:rPr>
          <w:rFonts w:hint="eastAsia"/>
          <w:color w:val="auto"/>
          <w:vertAlign w:val="superscript"/>
        </w:rPr>
        <w:t>2</w:t>
      </w:r>
      <w:r>
        <w:rPr>
          <w:rFonts w:hint="eastAsia"/>
          <w:color w:val="auto"/>
        </w:rPr>
        <w:t>。本区抗震烈度为8度第一组，设计基本地震加速度为0.2g，特征周期为0.45s。根据新乡化纤股份有限公司年产十万吨高品质超细旦氨纶纤维项目岩土工程勘察报告，项目所在地场地形式较为平坦，地面最大相对高差0.83m。场地在揭露深度范围内均为第四系全新统，按地层的成因类型、岩性特征将地基土划分为9个工程地质单元层</w:t>
      </w:r>
      <w:r>
        <w:rPr>
          <w:rFonts w:hint="eastAsia"/>
          <w:color w:val="auto"/>
          <w:lang w:eastAsia="zh-CN"/>
        </w:rPr>
        <w:t>（</w:t>
      </w:r>
      <w:r>
        <w:rPr>
          <w:rFonts w:hint="eastAsia"/>
          <w:color w:val="auto"/>
        </w:rPr>
        <w:t>含2个亚层</w:t>
      </w:r>
      <w:r>
        <w:rPr>
          <w:rFonts w:hint="eastAsia"/>
          <w:color w:val="auto"/>
          <w:lang w:eastAsia="zh-CN"/>
        </w:rPr>
        <w:t>）</w:t>
      </w:r>
      <w:r>
        <w:rPr>
          <w:rFonts w:hint="eastAsia"/>
          <w:color w:val="auto"/>
        </w:rPr>
        <w:t>。各单元层的工程地质特征分述如下：</w:t>
      </w:r>
    </w:p>
    <w:p w14:paraId="001FF4B0">
      <w:pPr>
        <w:bidi w:val="0"/>
        <w:rPr>
          <w:color w:val="auto"/>
        </w:rPr>
      </w:pPr>
      <w:r>
        <w:rPr>
          <w:rFonts w:hint="eastAsia"/>
          <w:color w:val="auto"/>
        </w:rPr>
        <w:t>第①单元层：粉土（Q4al）</w:t>
      </w:r>
    </w:p>
    <w:p w14:paraId="44AEC83B">
      <w:pPr>
        <w:bidi w:val="0"/>
        <w:rPr>
          <w:color w:val="auto"/>
        </w:rPr>
      </w:pPr>
      <w:r>
        <w:rPr>
          <w:rFonts w:hint="eastAsia"/>
          <w:color w:val="auto"/>
        </w:rPr>
        <w:t>灰黄色、稍湿，稍密～中密，无光泽反应，摇震反应中等，</w:t>
      </w:r>
      <w:r>
        <w:rPr>
          <w:rFonts w:hint="eastAsia"/>
          <w:color w:val="auto"/>
          <w:lang w:eastAsia="zh-CN"/>
        </w:rPr>
        <w:t>低于</w:t>
      </w:r>
      <w:r>
        <w:rPr>
          <w:rFonts w:hint="eastAsia"/>
          <w:color w:val="auto"/>
        </w:rPr>
        <w:t>强度，低韧性。</w:t>
      </w:r>
    </w:p>
    <w:p w14:paraId="03E30C9A">
      <w:pPr>
        <w:bidi w:val="0"/>
        <w:rPr>
          <w:color w:val="auto"/>
        </w:rPr>
      </w:pPr>
      <w:r>
        <w:rPr>
          <w:rFonts w:hint="eastAsia"/>
          <w:color w:val="auto"/>
        </w:rPr>
        <w:t>该层场区普遍分布，层底埋深0.60</w:t>
      </w:r>
      <w:r>
        <w:rPr>
          <w:rFonts w:hint="eastAsia"/>
          <w:color w:val="auto"/>
          <w:lang w:eastAsia="zh-CN"/>
        </w:rPr>
        <w:t>～</w:t>
      </w:r>
      <w:r>
        <w:rPr>
          <w:rFonts w:hint="eastAsia"/>
          <w:color w:val="auto"/>
        </w:rPr>
        <w:t>3.60m，层底标高66.38</w:t>
      </w:r>
      <w:r>
        <w:rPr>
          <w:rFonts w:hint="eastAsia"/>
          <w:color w:val="auto"/>
          <w:lang w:eastAsia="zh-CN"/>
        </w:rPr>
        <w:t>～</w:t>
      </w:r>
      <w:r>
        <w:rPr>
          <w:rFonts w:hint="eastAsia"/>
          <w:color w:val="auto"/>
        </w:rPr>
        <w:t>69.27m，层厚0.60</w:t>
      </w:r>
      <w:r>
        <w:rPr>
          <w:rFonts w:hint="eastAsia"/>
          <w:color w:val="auto"/>
          <w:lang w:eastAsia="zh-CN"/>
        </w:rPr>
        <w:t>～</w:t>
      </w:r>
      <w:r>
        <w:rPr>
          <w:rFonts w:hint="eastAsia"/>
          <w:color w:val="auto"/>
        </w:rPr>
        <w:t>3.60m，平均层厚1.77m。</w:t>
      </w:r>
    </w:p>
    <w:p w14:paraId="2845CB40">
      <w:pPr>
        <w:bidi w:val="0"/>
        <w:rPr>
          <w:color w:val="auto"/>
        </w:rPr>
      </w:pPr>
      <w:r>
        <w:rPr>
          <w:rFonts w:hint="eastAsia"/>
          <w:color w:val="auto"/>
        </w:rPr>
        <w:t>第②单元层：粉砂（Q4al）</w:t>
      </w:r>
    </w:p>
    <w:p w14:paraId="10FF1AAE">
      <w:pPr>
        <w:bidi w:val="0"/>
        <w:rPr>
          <w:color w:val="auto"/>
        </w:rPr>
      </w:pPr>
      <w:r>
        <w:rPr>
          <w:rFonts w:hint="eastAsia"/>
          <w:color w:val="auto"/>
        </w:rPr>
        <w:t>灰黄色、稍湿，稍密，其主要矿物</w:t>
      </w:r>
      <w:r>
        <w:rPr>
          <w:rFonts w:hint="eastAsia"/>
          <w:color w:val="auto"/>
          <w:lang w:eastAsia="zh-CN"/>
        </w:rPr>
        <w:t>成分</w:t>
      </w:r>
      <w:r>
        <w:rPr>
          <w:rFonts w:hint="eastAsia"/>
          <w:color w:val="auto"/>
        </w:rPr>
        <w:t>为石英、长石、云母等，局部夹薄层粉土、细砂。</w:t>
      </w:r>
    </w:p>
    <w:p w14:paraId="00A6E0A6">
      <w:pPr>
        <w:bidi w:val="0"/>
        <w:rPr>
          <w:color w:val="auto"/>
        </w:rPr>
      </w:pPr>
      <w:r>
        <w:rPr>
          <w:rFonts w:hint="eastAsia"/>
          <w:color w:val="auto"/>
        </w:rPr>
        <w:t>该层场区普遍分布，层底埋深3.00</w:t>
      </w:r>
      <w:r>
        <w:rPr>
          <w:rFonts w:hint="eastAsia"/>
          <w:color w:val="auto"/>
          <w:lang w:eastAsia="zh-CN"/>
        </w:rPr>
        <w:t>～</w:t>
      </w:r>
      <w:r>
        <w:rPr>
          <w:rFonts w:hint="eastAsia"/>
          <w:color w:val="auto"/>
        </w:rPr>
        <w:t>7.60m，层底标高62.35</w:t>
      </w:r>
      <w:r>
        <w:rPr>
          <w:rFonts w:hint="eastAsia"/>
          <w:color w:val="auto"/>
          <w:lang w:eastAsia="zh-CN"/>
        </w:rPr>
        <w:t>～</w:t>
      </w:r>
      <w:r>
        <w:rPr>
          <w:rFonts w:hint="eastAsia"/>
          <w:color w:val="auto"/>
        </w:rPr>
        <w:t>66.95m，层厚0.90</w:t>
      </w:r>
      <w:r>
        <w:rPr>
          <w:rFonts w:hint="eastAsia"/>
          <w:color w:val="auto"/>
          <w:lang w:eastAsia="zh-CN"/>
        </w:rPr>
        <w:t>～</w:t>
      </w:r>
      <w:r>
        <w:rPr>
          <w:rFonts w:hint="eastAsia"/>
          <w:color w:val="auto"/>
        </w:rPr>
        <w:t>5.70m，平均层厚3.21m。</w:t>
      </w:r>
    </w:p>
    <w:p w14:paraId="6C0FC33A">
      <w:pPr>
        <w:bidi w:val="0"/>
        <w:rPr>
          <w:color w:val="auto"/>
        </w:rPr>
      </w:pPr>
      <w:r>
        <w:rPr>
          <w:rFonts w:hint="eastAsia"/>
          <w:color w:val="auto"/>
        </w:rPr>
        <w:t>第②-1单元层：粉土（Q4al）</w:t>
      </w:r>
    </w:p>
    <w:p w14:paraId="2889B772">
      <w:pPr>
        <w:bidi w:val="0"/>
        <w:rPr>
          <w:color w:val="auto"/>
        </w:rPr>
      </w:pPr>
      <w:r>
        <w:rPr>
          <w:rFonts w:hint="eastAsia"/>
          <w:color w:val="auto"/>
        </w:rPr>
        <w:t>灰黄色、稍湿，稍密～中密，无光泽反应，摇震反应中等，</w:t>
      </w:r>
      <w:r>
        <w:rPr>
          <w:rFonts w:hint="eastAsia"/>
          <w:color w:val="auto"/>
          <w:lang w:eastAsia="zh-CN"/>
        </w:rPr>
        <w:t>低于</w:t>
      </w:r>
      <w:r>
        <w:rPr>
          <w:rFonts w:hint="eastAsia"/>
          <w:color w:val="auto"/>
        </w:rPr>
        <w:t>强度，低韧性。</w:t>
      </w:r>
    </w:p>
    <w:p w14:paraId="1975C65E">
      <w:pPr>
        <w:bidi w:val="0"/>
        <w:rPr>
          <w:color w:val="auto"/>
        </w:rPr>
      </w:pPr>
      <w:r>
        <w:rPr>
          <w:rFonts w:hint="eastAsia"/>
          <w:color w:val="auto"/>
        </w:rPr>
        <w:t>该层局部分布，层底埋深4.30</w:t>
      </w:r>
      <w:r>
        <w:rPr>
          <w:rFonts w:hint="eastAsia"/>
          <w:color w:val="auto"/>
          <w:lang w:eastAsia="zh-CN"/>
        </w:rPr>
        <w:t>～</w:t>
      </w:r>
      <w:r>
        <w:rPr>
          <w:rFonts w:hint="eastAsia"/>
          <w:color w:val="auto"/>
        </w:rPr>
        <w:t>6.00m，层底标高63.85</w:t>
      </w:r>
      <w:r>
        <w:rPr>
          <w:rFonts w:hint="eastAsia"/>
          <w:color w:val="auto"/>
          <w:lang w:eastAsia="zh-CN"/>
        </w:rPr>
        <w:t>～</w:t>
      </w:r>
      <w:r>
        <w:rPr>
          <w:rFonts w:hint="eastAsia"/>
          <w:color w:val="auto"/>
        </w:rPr>
        <w:t>65.58m，层厚0.70</w:t>
      </w:r>
      <w:r>
        <w:rPr>
          <w:rFonts w:hint="eastAsia"/>
          <w:color w:val="auto"/>
          <w:lang w:eastAsia="zh-CN"/>
        </w:rPr>
        <w:t>～</w:t>
      </w:r>
      <w:r>
        <w:rPr>
          <w:rFonts w:hint="eastAsia"/>
          <w:color w:val="auto"/>
        </w:rPr>
        <w:t>3.00m，平均层厚2.05m。</w:t>
      </w:r>
    </w:p>
    <w:p w14:paraId="7598475F">
      <w:pPr>
        <w:bidi w:val="0"/>
        <w:rPr>
          <w:color w:val="auto"/>
        </w:rPr>
      </w:pPr>
      <w:r>
        <w:rPr>
          <w:rFonts w:hint="eastAsia"/>
          <w:color w:val="auto"/>
        </w:rPr>
        <w:t>第③单元层：细砂（Q4al）</w:t>
      </w:r>
    </w:p>
    <w:p w14:paraId="09E6F0D9">
      <w:pPr>
        <w:bidi w:val="0"/>
        <w:rPr>
          <w:color w:val="auto"/>
        </w:rPr>
      </w:pPr>
      <w:r>
        <w:rPr>
          <w:rFonts w:hint="eastAsia"/>
          <w:color w:val="auto"/>
        </w:rPr>
        <w:t>灰黄色、湿，中密～密实，其主要矿物</w:t>
      </w:r>
      <w:r>
        <w:rPr>
          <w:rFonts w:hint="eastAsia"/>
          <w:color w:val="auto"/>
          <w:lang w:eastAsia="zh-CN"/>
        </w:rPr>
        <w:t>成分</w:t>
      </w:r>
      <w:r>
        <w:rPr>
          <w:rFonts w:hint="eastAsia"/>
          <w:color w:val="auto"/>
        </w:rPr>
        <w:t>为石英、长石、云母等，局部夹薄层粉土及中砂。</w:t>
      </w:r>
    </w:p>
    <w:p w14:paraId="71834D91">
      <w:pPr>
        <w:bidi w:val="0"/>
        <w:rPr>
          <w:color w:val="auto"/>
        </w:rPr>
      </w:pPr>
      <w:r>
        <w:rPr>
          <w:rFonts w:hint="eastAsia"/>
          <w:color w:val="auto"/>
        </w:rPr>
        <w:t>该层场区普遍分布，层底埋深8.70</w:t>
      </w:r>
      <w:r>
        <w:rPr>
          <w:rFonts w:hint="eastAsia"/>
          <w:color w:val="auto"/>
          <w:lang w:eastAsia="zh-CN"/>
        </w:rPr>
        <w:t>～</w:t>
      </w:r>
      <w:r>
        <w:rPr>
          <w:rFonts w:hint="eastAsia"/>
          <w:color w:val="auto"/>
        </w:rPr>
        <w:t>14.20m，层底标高55.80</w:t>
      </w:r>
      <w:r>
        <w:rPr>
          <w:rFonts w:hint="eastAsia"/>
          <w:color w:val="auto"/>
          <w:lang w:eastAsia="zh-CN"/>
        </w:rPr>
        <w:t>～</w:t>
      </w:r>
      <w:r>
        <w:rPr>
          <w:rFonts w:hint="eastAsia"/>
          <w:color w:val="auto"/>
        </w:rPr>
        <w:t>61.20m，层厚2.30</w:t>
      </w:r>
      <w:r>
        <w:rPr>
          <w:rFonts w:hint="eastAsia"/>
          <w:color w:val="auto"/>
          <w:lang w:eastAsia="zh-CN"/>
        </w:rPr>
        <w:t>～</w:t>
      </w:r>
      <w:r>
        <w:rPr>
          <w:rFonts w:hint="eastAsia"/>
          <w:color w:val="auto"/>
        </w:rPr>
        <w:t>8.70m，平均层厚5.38m。</w:t>
      </w:r>
    </w:p>
    <w:p w14:paraId="0D629F40">
      <w:pPr>
        <w:bidi w:val="0"/>
        <w:rPr>
          <w:color w:val="auto"/>
        </w:rPr>
      </w:pPr>
      <w:r>
        <w:rPr>
          <w:rFonts w:hint="eastAsia"/>
          <w:color w:val="auto"/>
        </w:rPr>
        <w:t>第③-1单元层：粉质粘土（Q4al）</w:t>
      </w:r>
    </w:p>
    <w:p w14:paraId="5B9E9148">
      <w:pPr>
        <w:bidi w:val="0"/>
        <w:rPr>
          <w:color w:val="auto"/>
        </w:rPr>
      </w:pPr>
      <w:r>
        <w:rPr>
          <w:rFonts w:hint="eastAsia"/>
          <w:color w:val="auto"/>
        </w:rPr>
        <w:t>灰褐色、可塑，稍有光滑，摇振反应无，干强度中等，韧性中等。</w:t>
      </w:r>
    </w:p>
    <w:p w14:paraId="4F72F0CB">
      <w:pPr>
        <w:bidi w:val="0"/>
        <w:rPr>
          <w:color w:val="auto"/>
        </w:rPr>
      </w:pPr>
      <w:r>
        <w:rPr>
          <w:rFonts w:hint="eastAsia"/>
          <w:color w:val="auto"/>
        </w:rPr>
        <w:t>该层局部分布，层底埋深7.50</w:t>
      </w:r>
      <w:r>
        <w:rPr>
          <w:rFonts w:hint="eastAsia"/>
          <w:color w:val="auto"/>
          <w:lang w:eastAsia="zh-CN"/>
        </w:rPr>
        <w:t>～</w:t>
      </w:r>
      <w:r>
        <w:rPr>
          <w:rFonts w:hint="eastAsia"/>
          <w:color w:val="auto"/>
        </w:rPr>
        <w:t>9.50m，层底标高60.45</w:t>
      </w:r>
      <w:r>
        <w:rPr>
          <w:rFonts w:hint="eastAsia"/>
          <w:color w:val="auto"/>
          <w:lang w:eastAsia="zh-CN"/>
        </w:rPr>
        <w:t>～</w:t>
      </w:r>
      <w:r>
        <w:rPr>
          <w:rFonts w:hint="eastAsia"/>
          <w:color w:val="auto"/>
        </w:rPr>
        <w:t>62.45m，层厚0.50</w:t>
      </w:r>
      <w:r>
        <w:rPr>
          <w:rFonts w:hint="eastAsia"/>
          <w:color w:val="auto"/>
          <w:lang w:eastAsia="zh-CN"/>
        </w:rPr>
        <w:t>～</w:t>
      </w:r>
      <w:r>
        <w:rPr>
          <w:rFonts w:hint="eastAsia"/>
          <w:color w:val="auto"/>
        </w:rPr>
        <w:t>2.60m，平均层厚1.31m。</w:t>
      </w:r>
    </w:p>
    <w:p w14:paraId="177B2CF8">
      <w:pPr>
        <w:bidi w:val="0"/>
        <w:rPr>
          <w:color w:val="auto"/>
        </w:rPr>
      </w:pPr>
      <w:r>
        <w:rPr>
          <w:rFonts w:hint="eastAsia"/>
          <w:color w:val="auto"/>
        </w:rPr>
        <w:t>第④单元层：细砂（Q4al）</w:t>
      </w:r>
    </w:p>
    <w:p w14:paraId="6A9060F1">
      <w:pPr>
        <w:bidi w:val="0"/>
        <w:rPr>
          <w:color w:val="auto"/>
        </w:rPr>
      </w:pPr>
      <w:r>
        <w:rPr>
          <w:rFonts w:hint="eastAsia"/>
          <w:color w:val="auto"/>
        </w:rPr>
        <w:t>浅灰色、湿～饱和，中密～密实，其主要矿物</w:t>
      </w:r>
      <w:r>
        <w:rPr>
          <w:rFonts w:hint="eastAsia"/>
          <w:color w:val="auto"/>
          <w:lang w:eastAsia="zh-CN"/>
        </w:rPr>
        <w:t>成分</w:t>
      </w:r>
      <w:r>
        <w:rPr>
          <w:rFonts w:hint="eastAsia"/>
          <w:color w:val="auto"/>
        </w:rPr>
        <w:t>为石英、长石、云母等，局部夹薄层粉土及中砂。</w:t>
      </w:r>
    </w:p>
    <w:p w14:paraId="1B9CF11E">
      <w:pPr>
        <w:bidi w:val="0"/>
        <w:rPr>
          <w:color w:val="auto"/>
        </w:rPr>
      </w:pPr>
      <w:r>
        <w:rPr>
          <w:rFonts w:hint="eastAsia"/>
          <w:color w:val="auto"/>
        </w:rPr>
        <w:t>该层场区普遍分布，层底埋深20.40</w:t>
      </w:r>
      <w:r>
        <w:rPr>
          <w:rFonts w:hint="eastAsia"/>
          <w:color w:val="auto"/>
          <w:lang w:eastAsia="zh-CN"/>
        </w:rPr>
        <w:t>～</w:t>
      </w:r>
      <w:r>
        <w:rPr>
          <w:rFonts w:hint="eastAsia"/>
          <w:color w:val="auto"/>
        </w:rPr>
        <w:t>23.60m，层底标高46.35</w:t>
      </w:r>
      <w:r>
        <w:rPr>
          <w:rFonts w:hint="eastAsia"/>
          <w:color w:val="auto"/>
          <w:lang w:eastAsia="zh-CN"/>
        </w:rPr>
        <w:t>～</w:t>
      </w:r>
      <w:r>
        <w:rPr>
          <w:rFonts w:hint="eastAsia"/>
          <w:color w:val="auto"/>
        </w:rPr>
        <w:t>49.50m，层厚7.90</w:t>
      </w:r>
      <w:r>
        <w:rPr>
          <w:rFonts w:hint="eastAsia"/>
          <w:color w:val="auto"/>
          <w:lang w:eastAsia="zh-CN"/>
        </w:rPr>
        <w:t>～</w:t>
      </w:r>
      <w:r>
        <w:rPr>
          <w:rFonts w:hint="eastAsia"/>
          <w:color w:val="auto"/>
        </w:rPr>
        <w:t>12.90m，平均层厚10.57m。</w:t>
      </w:r>
    </w:p>
    <w:p w14:paraId="3CE4796C">
      <w:pPr>
        <w:bidi w:val="0"/>
        <w:rPr>
          <w:color w:val="auto"/>
        </w:rPr>
      </w:pPr>
      <w:r>
        <w:rPr>
          <w:rFonts w:hint="eastAsia"/>
          <w:color w:val="auto"/>
        </w:rPr>
        <w:t>第⑤单元层：粉质粘土（Q4al）</w:t>
      </w:r>
    </w:p>
    <w:p w14:paraId="6CFDFF85">
      <w:pPr>
        <w:bidi w:val="0"/>
        <w:rPr>
          <w:color w:val="auto"/>
        </w:rPr>
      </w:pPr>
      <w:r>
        <w:rPr>
          <w:rFonts w:hint="eastAsia"/>
          <w:color w:val="auto"/>
        </w:rPr>
        <w:t>灰褐色、可塑，稍有光滑，摇振反应无，干强度中等，韧性中等。</w:t>
      </w:r>
    </w:p>
    <w:p w14:paraId="4F2C4DAC">
      <w:pPr>
        <w:bidi w:val="0"/>
        <w:rPr>
          <w:color w:val="auto"/>
        </w:rPr>
      </w:pPr>
      <w:r>
        <w:rPr>
          <w:rFonts w:hint="eastAsia"/>
          <w:color w:val="auto"/>
        </w:rPr>
        <w:t>该层场区普遍分布，层底埋深22.00</w:t>
      </w:r>
      <w:r>
        <w:rPr>
          <w:rFonts w:hint="eastAsia"/>
          <w:color w:val="auto"/>
          <w:lang w:eastAsia="zh-CN"/>
        </w:rPr>
        <w:t>～</w:t>
      </w:r>
      <w:r>
        <w:rPr>
          <w:rFonts w:hint="eastAsia"/>
          <w:color w:val="auto"/>
        </w:rPr>
        <w:t>26.90m，层底标高43.05</w:t>
      </w:r>
      <w:r>
        <w:rPr>
          <w:rFonts w:hint="eastAsia"/>
          <w:color w:val="auto"/>
          <w:lang w:eastAsia="zh-CN"/>
        </w:rPr>
        <w:t>～</w:t>
      </w:r>
      <w:r>
        <w:rPr>
          <w:rFonts w:hint="eastAsia"/>
          <w:color w:val="auto"/>
        </w:rPr>
        <w:t>47.91m，层厚0.40</w:t>
      </w:r>
      <w:r>
        <w:rPr>
          <w:rFonts w:hint="eastAsia"/>
          <w:color w:val="auto"/>
          <w:lang w:eastAsia="zh-CN"/>
        </w:rPr>
        <w:t>～</w:t>
      </w:r>
      <w:r>
        <w:rPr>
          <w:rFonts w:hint="eastAsia"/>
          <w:color w:val="auto"/>
        </w:rPr>
        <w:t>5.40m，平均层厚2.27m。</w:t>
      </w:r>
    </w:p>
    <w:p w14:paraId="21015653">
      <w:pPr>
        <w:bidi w:val="0"/>
        <w:rPr>
          <w:color w:val="auto"/>
        </w:rPr>
      </w:pPr>
      <w:r>
        <w:rPr>
          <w:rFonts w:hint="eastAsia"/>
          <w:color w:val="auto"/>
        </w:rPr>
        <w:t>第⑥单元层：细砂（Q4al）</w:t>
      </w:r>
    </w:p>
    <w:p w14:paraId="378B3730">
      <w:pPr>
        <w:bidi w:val="0"/>
        <w:rPr>
          <w:color w:val="auto"/>
        </w:rPr>
      </w:pPr>
      <w:r>
        <w:rPr>
          <w:rFonts w:hint="eastAsia"/>
          <w:color w:val="auto"/>
        </w:rPr>
        <w:t>灰黄色、饱和，密实，其主要矿物</w:t>
      </w:r>
      <w:r>
        <w:rPr>
          <w:rFonts w:hint="eastAsia"/>
          <w:color w:val="auto"/>
          <w:lang w:eastAsia="zh-CN"/>
        </w:rPr>
        <w:t>成分</w:t>
      </w:r>
      <w:r>
        <w:rPr>
          <w:rFonts w:hint="eastAsia"/>
          <w:color w:val="auto"/>
        </w:rPr>
        <w:t>为石英、长石、云母等，局部夹薄层粉土、粉质粘土及中砂。</w:t>
      </w:r>
    </w:p>
    <w:p w14:paraId="121B0042">
      <w:pPr>
        <w:bidi w:val="0"/>
        <w:rPr>
          <w:color w:val="auto"/>
        </w:rPr>
      </w:pPr>
      <w:r>
        <w:rPr>
          <w:rFonts w:hint="eastAsia"/>
          <w:color w:val="auto"/>
        </w:rPr>
        <w:t>该层场区普遍分布，层底埋深26.50</w:t>
      </w:r>
      <w:r>
        <w:rPr>
          <w:rFonts w:hint="eastAsia"/>
          <w:color w:val="auto"/>
          <w:lang w:eastAsia="zh-CN"/>
        </w:rPr>
        <w:t>～</w:t>
      </w:r>
      <w:r>
        <w:rPr>
          <w:rFonts w:hint="eastAsia"/>
          <w:color w:val="auto"/>
        </w:rPr>
        <w:t>27.90m，层底标高41.98</w:t>
      </w:r>
      <w:r>
        <w:rPr>
          <w:rFonts w:hint="eastAsia"/>
          <w:color w:val="auto"/>
          <w:lang w:eastAsia="zh-CN"/>
        </w:rPr>
        <w:t>～</w:t>
      </w:r>
      <w:r>
        <w:rPr>
          <w:rFonts w:hint="eastAsia"/>
          <w:color w:val="auto"/>
        </w:rPr>
        <w:t>43.47m，层厚2.50</w:t>
      </w:r>
      <w:r>
        <w:rPr>
          <w:rFonts w:hint="eastAsia"/>
          <w:color w:val="auto"/>
          <w:lang w:eastAsia="zh-CN"/>
        </w:rPr>
        <w:t>～</w:t>
      </w:r>
      <w:r>
        <w:rPr>
          <w:rFonts w:hint="eastAsia"/>
          <w:color w:val="auto"/>
        </w:rPr>
        <w:t>3.60m，平均层厚2.87m。</w:t>
      </w:r>
    </w:p>
    <w:p w14:paraId="1205CB88">
      <w:pPr>
        <w:bidi w:val="0"/>
        <w:rPr>
          <w:color w:val="auto"/>
        </w:rPr>
      </w:pPr>
      <w:r>
        <w:rPr>
          <w:rFonts w:hint="eastAsia"/>
          <w:color w:val="auto"/>
        </w:rPr>
        <w:t>第⑦单元层：粉土（Q4al）</w:t>
      </w:r>
    </w:p>
    <w:p w14:paraId="4B5F8C2B">
      <w:pPr>
        <w:bidi w:val="0"/>
        <w:rPr>
          <w:color w:val="auto"/>
        </w:rPr>
      </w:pPr>
      <w:r>
        <w:rPr>
          <w:rFonts w:hint="eastAsia"/>
          <w:color w:val="auto"/>
        </w:rPr>
        <w:t>褐黄色、很湿，中密～密实，无光泽反应，摇震反应中等，</w:t>
      </w:r>
      <w:r>
        <w:rPr>
          <w:rFonts w:hint="eastAsia"/>
          <w:color w:val="auto"/>
          <w:lang w:eastAsia="zh-CN"/>
        </w:rPr>
        <w:t>低干</w:t>
      </w:r>
      <w:r>
        <w:rPr>
          <w:rFonts w:hint="eastAsia"/>
          <w:color w:val="auto"/>
        </w:rPr>
        <w:t>强度，低韧性，局部夹薄层粉质粘土。</w:t>
      </w:r>
    </w:p>
    <w:p w14:paraId="73AFEC9C">
      <w:pPr>
        <w:bidi w:val="0"/>
        <w:rPr>
          <w:color w:val="auto"/>
        </w:rPr>
      </w:pPr>
      <w:r>
        <w:rPr>
          <w:rFonts w:hint="eastAsia"/>
          <w:color w:val="auto"/>
        </w:rPr>
        <w:t>该层未见底，揭露最大厚度3.50m。</w:t>
      </w:r>
    </w:p>
    <w:p w14:paraId="784ADBDB">
      <w:pPr>
        <w:bidi w:val="0"/>
        <w:rPr>
          <w:color w:val="auto"/>
        </w:rPr>
      </w:pPr>
      <w:r>
        <w:rPr>
          <w:rFonts w:hint="eastAsia"/>
          <w:color w:val="auto"/>
        </w:rPr>
        <w:t>根据勘查，场地第3、4层为主要含水层，地下水类型为孔隙潜水类型，其补给来源为大气降水和侧向径流，排泄方式为蒸发、开采和侧向径流，水位年变化幅度2.0m左右，近3</w:t>
      </w:r>
      <w:r>
        <w:rPr>
          <w:rFonts w:hint="eastAsia"/>
          <w:color w:val="auto"/>
          <w:lang w:eastAsia="zh-CN"/>
        </w:rPr>
        <w:t>—</w:t>
      </w:r>
      <w:r>
        <w:rPr>
          <w:rFonts w:hint="eastAsia"/>
          <w:color w:val="auto"/>
        </w:rPr>
        <w:t>5年</w:t>
      </w:r>
      <w:r>
        <w:rPr>
          <w:rFonts w:hint="eastAsia"/>
          <w:color w:val="auto"/>
          <w:lang w:eastAsia="zh-CN"/>
        </w:rPr>
        <w:t>厂区内</w:t>
      </w:r>
      <w:r>
        <w:rPr>
          <w:rFonts w:hint="eastAsia"/>
          <w:color w:val="auto"/>
        </w:rPr>
        <w:t>最高水位埋深为自然地坪下9.0m左右，历史最高水位1.0m左右（近20年），区域地下水流向为西南向东北。</w:t>
      </w:r>
    </w:p>
    <w:p w14:paraId="1FAD3269">
      <w:pPr>
        <w:pStyle w:val="5"/>
        <w:bidi w:val="0"/>
        <w:rPr>
          <w:color w:val="auto"/>
        </w:rPr>
      </w:pPr>
      <w:r>
        <w:rPr>
          <w:rFonts w:hint="eastAsia"/>
          <w:color w:val="auto"/>
        </w:rPr>
        <w:t>气候气象</w:t>
      </w:r>
    </w:p>
    <w:p w14:paraId="514C9671">
      <w:pPr>
        <w:rPr>
          <w:color w:val="auto"/>
        </w:rPr>
      </w:pPr>
      <w:r>
        <w:rPr>
          <w:rFonts w:hint="eastAsia"/>
          <w:color w:val="auto"/>
        </w:rPr>
        <w:t>新乡经济技术开发区区域气候类型属暖温带大陆性季风气候，春季干旱多风沙，夏季炎热雨量大，秋季凉爽时令短，冬季寒冷少雨雪，气温的四季变化具有典型的大陆性气候特征，即冬冷夏热。年平均气温为</w:t>
      </w:r>
      <w:r>
        <w:rPr>
          <w:color w:val="auto"/>
        </w:rPr>
        <w:t>15.3</w:t>
      </w:r>
      <w:r>
        <w:rPr>
          <w:rFonts w:hint="eastAsia"/>
          <w:color w:val="auto"/>
        </w:rPr>
        <w:t>℃，</w:t>
      </w:r>
      <w:r>
        <w:rPr>
          <w:rFonts w:hint="eastAsia"/>
          <w:color w:val="auto"/>
          <w:lang w:val="en-US" w:eastAsia="zh-CN"/>
        </w:rPr>
        <w:t>根据</w:t>
      </w:r>
      <w:r>
        <w:rPr>
          <w:rFonts w:hint="eastAsia"/>
          <w:color w:val="auto"/>
          <w:lang w:val="en-US"/>
        </w:rPr>
        <w:t>新乡市连续</w:t>
      </w:r>
      <w:r>
        <w:rPr>
          <w:color w:val="auto"/>
          <w:lang w:val="en-US"/>
        </w:rPr>
        <w:t>20</w:t>
      </w:r>
      <w:r>
        <w:rPr>
          <w:rFonts w:hint="eastAsia"/>
          <w:color w:val="auto"/>
          <w:lang w:val="en-US"/>
        </w:rPr>
        <w:t>年（</w:t>
      </w:r>
      <w:r>
        <w:rPr>
          <w:color w:val="auto"/>
          <w:lang w:val="en-US"/>
        </w:rPr>
        <w:t>1998</w:t>
      </w:r>
      <w:r>
        <w:rPr>
          <w:rFonts w:hint="eastAsia"/>
          <w:color w:val="auto"/>
          <w:lang w:val="en-US" w:eastAsia="zh-CN"/>
        </w:rPr>
        <w:t>—</w:t>
      </w:r>
      <w:r>
        <w:rPr>
          <w:color w:val="auto"/>
          <w:lang w:val="en-US"/>
        </w:rPr>
        <w:t>2017</w:t>
      </w:r>
      <w:r>
        <w:rPr>
          <w:rFonts w:hint="eastAsia"/>
          <w:color w:val="auto"/>
          <w:lang w:val="en-US"/>
        </w:rPr>
        <w:t>年）的气象统计资料</w:t>
      </w:r>
      <w:r>
        <w:rPr>
          <w:rFonts w:hint="eastAsia"/>
          <w:color w:val="auto"/>
          <w:lang w:val="en-US" w:eastAsia="zh-CN"/>
        </w:rPr>
        <w:t>，</w:t>
      </w:r>
      <w:r>
        <w:rPr>
          <w:rFonts w:hint="eastAsia"/>
          <w:color w:val="auto"/>
        </w:rPr>
        <w:t>历年最高气温</w:t>
      </w:r>
      <w:r>
        <w:rPr>
          <w:rFonts w:hint="eastAsia"/>
          <w:color w:val="auto"/>
          <w:lang w:val="en-US" w:eastAsia="zh-CN"/>
        </w:rPr>
        <w:t>40.9</w:t>
      </w:r>
      <w:r>
        <w:rPr>
          <w:rFonts w:hint="eastAsia"/>
          <w:color w:val="auto"/>
        </w:rPr>
        <w:t>℃（1992年），最低气温-</w:t>
      </w:r>
      <w:r>
        <w:rPr>
          <w:rFonts w:hint="eastAsia"/>
          <w:color w:val="auto"/>
          <w:lang w:val="en-US" w:eastAsia="zh-CN"/>
        </w:rPr>
        <w:t>13.1</w:t>
      </w:r>
      <w:r>
        <w:rPr>
          <w:rFonts w:hint="eastAsia"/>
          <w:color w:val="auto"/>
        </w:rPr>
        <w:t>℃（1971年）。年均日照时数为2504小时，年均日照率57%。多年平均降雨量为</w:t>
      </w:r>
      <w:r>
        <w:rPr>
          <w:color w:val="auto"/>
        </w:rPr>
        <w:t>555.5</w:t>
      </w:r>
      <w:r>
        <w:rPr>
          <w:rFonts w:hint="eastAsia"/>
          <w:color w:val="auto"/>
        </w:rPr>
        <w:t>毫米，且年降水量季节分布很不均匀，大雨高度集中于夏季，多年平均降水日为74天。多年平均相对湿度为</w:t>
      </w:r>
      <w:r>
        <w:rPr>
          <w:color w:val="auto"/>
        </w:rPr>
        <w:t>63.0</w:t>
      </w:r>
      <w:r>
        <w:rPr>
          <w:rFonts w:hint="eastAsia"/>
          <w:color w:val="auto"/>
        </w:rPr>
        <w:t>%，平均冻结期为30天，无霜期为216天，多年主导风向为东北风，年平均风速2.08m/s。</w:t>
      </w:r>
    </w:p>
    <w:p w14:paraId="2CF5B756">
      <w:pPr>
        <w:pStyle w:val="5"/>
        <w:bidi w:val="0"/>
        <w:rPr>
          <w:b/>
          <w:bCs/>
          <w:color w:val="auto"/>
          <w:u w:val="none"/>
        </w:rPr>
      </w:pPr>
      <w:r>
        <w:rPr>
          <w:rFonts w:hint="eastAsia"/>
          <w:b/>
          <w:bCs/>
          <w:color w:val="auto"/>
          <w:u w:val="none"/>
        </w:rPr>
        <w:t>土壤状况</w:t>
      </w:r>
    </w:p>
    <w:p w14:paraId="58DA9CC3">
      <w:pPr>
        <w:bidi w:val="0"/>
        <w:rPr>
          <w:rFonts w:hint="eastAsia"/>
          <w:b w:val="0"/>
          <w:bCs w:val="0"/>
          <w:color w:val="auto"/>
          <w:u w:val="none"/>
        </w:rPr>
      </w:pPr>
      <w:r>
        <w:rPr>
          <w:rFonts w:hint="eastAsia"/>
          <w:b w:val="0"/>
          <w:bCs w:val="0"/>
          <w:color w:val="auto"/>
          <w:u w:val="none"/>
        </w:rPr>
        <w:t>土壤母质系新生界第四系，为太行山前冲洪积物与黄河、沁河冲积物沉积而成。形成县境内砂质、壤质、粘质三级土壤，组成6个母质机械类型。境内黄河故道为沉砂组成，系砂土和砂壤土。黄河故道以北系黄河滩地，土质为褐土化小两合、褐土化两合土，并兼有不同的其他类型。古阳堤以北地势低洼，地下水渗入形成潮化，土壤为小两合、两合土，兼有不同的其他类型。共产主义渠以南、卫河两岸，多为潮化土壤。项目所在地土壤属潮土向褐土过渡的湿潮土、砂土。</w:t>
      </w:r>
    </w:p>
    <w:p w14:paraId="7AE9FCE6">
      <w:pPr>
        <w:pStyle w:val="5"/>
        <w:bidi w:val="0"/>
        <w:rPr>
          <w:color w:val="auto"/>
        </w:rPr>
      </w:pPr>
      <w:r>
        <w:rPr>
          <w:rFonts w:hint="eastAsia"/>
          <w:color w:val="auto"/>
        </w:rPr>
        <w:t>动植物状况</w:t>
      </w:r>
    </w:p>
    <w:p w14:paraId="5C249DCC">
      <w:pPr>
        <w:bidi w:val="0"/>
        <w:rPr>
          <w:color w:val="auto"/>
        </w:rPr>
      </w:pPr>
      <w:r>
        <w:rPr>
          <w:rFonts w:hint="eastAsia"/>
          <w:color w:val="auto"/>
        </w:rPr>
        <w:t>新乡经济技术开发区土壤属于潮土向褐土过渡的湿潮土、沙土。地表植被主要是林草及农作物，主要树种有国槐、刺槐、泡桐、柳树等，主要灌木有</w:t>
      </w:r>
      <w:r>
        <w:rPr>
          <w:rFonts w:hint="eastAsia"/>
          <w:color w:val="auto"/>
          <w:lang w:eastAsia="zh-CN"/>
        </w:rPr>
        <w:t>白蜡条</w:t>
      </w:r>
      <w:r>
        <w:rPr>
          <w:rFonts w:hint="eastAsia"/>
          <w:color w:val="auto"/>
        </w:rPr>
        <w:t>、胡枝子等。区域可见到小型野生动物青蛙、田鼠等，鸟类有麻雀、喜鹊、灰喜鹊等。新乡市不是一个资源型城市，不存在资源型城市大多具有的自然生态遭到破坏、环境污染和退化的问题，区域生态现状良好。</w:t>
      </w:r>
    </w:p>
    <w:bookmarkEnd w:id="201"/>
    <w:bookmarkEnd w:id="202"/>
    <w:bookmarkEnd w:id="203"/>
    <w:bookmarkEnd w:id="204"/>
    <w:bookmarkEnd w:id="205"/>
    <w:bookmarkEnd w:id="206"/>
    <w:bookmarkEnd w:id="207"/>
    <w:bookmarkEnd w:id="208"/>
    <w:p w14:paraId="7E0FECED">
      <w:pPr>
        <w:pStyle w:val="3"/>
        <w:bidi w:val="0"/>
        <w:rPr>
          <w:color w:val="auto"/>
        </w:rPr>
      </w:pPr>
      <w:bookmarkStart w:id="209" w:name="_Toc51319866"/>
      <w:bookmarkStart w:id="210" w:name="_Toc12721"/>
      <w:bookmarkStart w:id="211" w:name="_Toc6180"/>
      <w:bookmarkStart w:id="212" w:name="_Toc30370"/>
      <w:r>
        <w:rPr>
          <w:rFonts w:hint="eastAsia"/>
          <w:color w:val="auto"/>
        </w:rPr>
        <w:t>环境质量现状监测与评价</w:t>
      </w:r>
      <w:bookmarkEnd w:id="209"/>
      <w:bookmarkEnd w:id="210"/>
      <w:bookmarkEnd w:id="211"/>
      <w:bookmarkEnd w:id="212"/>
    </w:p>
    <w:p w14:paraId="24C71AB5">
      <w:pPr>
        <w:pStyle w:val="5"/>
        <w:bidi w:val="0"/>
        <w:rPr>
          <w:color w:val="auto"/>
        </w:rPr>
      </w:pPr>
      <w:bookmarkStart w:id="213" w:name="_Toc30129"/>
      <w:bookmarkStart w:id="214" w:name="_Toc29956"/>
      <w:bookmarkStart w:id="215" w:name="_Toc11156"/>
      <w:bookmarkStart w:id="216" w:name="_Toc22122"/>
      <w:bookmarkStart w:id="217" w:name="_Toc24765"/>
      <w:bookmarkStart w:id="218" w:name="_Toc26804"/>
      <w:bookmarkStart w:id="219" w:name="_Toc25610"/>
      <w:r>
        <w:rPr>
          <w:rFonts w:hint="eastAsia"/>
          <w:color w:val="auto"/>
        </w:rPr>
        <w:t>现状监测数据来源</w:t>
      </w:r>
      <w:bookmarkEnd w:id="213"/>
      <w:bookmarkEnd w:id="214"/>
      <w:bookmarkEnd w:id="215"/>
      <w:bookmarkEnd w:id="216"/>
      <w:bookmarkEnd w:id="217"/>
      <w:bookmarkEnd w:id="218"/>
      <w:bookmarkEnd w:id="219"/>
    </w:p>
    <w:p w14:paraId="63E6A9D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bookmarkStart w:id="220" w:name="_Toc199566844"/>
      <w:bookmarkStart w:id="221" w:name="_Toc199565748"/>
      <w:bookmarkStart w:id="222" w:name="_Toc324839303"/>
      <w:bookmarkStart w:id="223" w:name="_Toc311812644"/>
      <w:bookmarkStart w:id="224" w:name="_Toc324839600"/>
      <w:bookmarkStart w:id="225" w:name="_Toc502244697"/>
      <w:bookmarkStart w:id="226" w:name="_Toc428286863"/>
      <w:bookmarkStart w:id="227" w:name="_Toc429318407"/>
      <w:bookmarkStart w:id="228" w:name="_Toc428287224"/>
      <w:bookmarkStart w:id="229" w:name="_Toc310408270"/>
      <w:r>
        <w:rPr>
          <w:rFonts w:hint="eastAsia"/>
          <w:color w:val="auto"/>
        </w:rPr>
        <w:t>为了掌握评价区域环境空气、地表水、声环境、地下水、土壤环境质量状况，评价单位收集了区域近期的环境数据，并补充了缺少的监测。区域环境资料收集和监测情况详见</w:t>
      </w:r>
      <w:r>
        <w:rPr>
          <w:rFonts w:hint="eastAsia"/>
          <w:color w:val="auto"/>
          <w:lang w:val="en-US" w:eastAsia="zh-CN"/>
        </w:rPr>
        <w:t>下表</w:t>
      </w:r>
      <w:r>
        <w:rPr>
          <w:rFonts w:hint="eastAsia"/>
          <w:color w:val="auto"/>
        </w:rPr>
        <w:t>。</w:t>
      </w:r>
    </w:p>
    <w:p w14:paraId="4FFF727F">
      <w:pPr>
        <w:pStyle w:val="10"/>
        <w:bidi w:val="0"/>
        <w:rPr>
          <w:rFonts w:hint="eastAsia"/>
          <w:lang w:val="en-US" w:eastAsia="zh-CN"/>
        </w:rPr>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区域环境资料收集及监测情况汇总表</w:t>
      </w:r>
    </w:p>
    <w:tbl>
      <w:tblPr>
        <w:tblStyle w:val="32"/>
        <w:tblW w:w="89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2447"/>
        <w:gridCol w:w="2401"/>
        <w:gridCol w:w="1274"/>
        <w:gridCol w:w="2370"/>
      </w:tblGrid>
      <w:tr w14:paraId="7834D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vAlign w:val="center"/>
          </w:tcPr>
          <w:p w14:paraId="18568E9A">
            <w:pPr>
              <w:pStyle w:val="182"/>
              <w:bidi w:val="0"/>
              <w:rPr>
                <w:b/>
                <w:bCs/>
                <w:color w:val="auto"/>
              </w:rPr>
            </w:pPr>
            <w:r>
              <w:rPr>
                <w:rFonts w:hint="eastAsia"/>
                <w:b/>
                <w:bCs/>
                <w:color w:val="auto"/>
              </w:rPr>
              <w:t>类别</w:t>
            </w:r>
          </w:p>
        </w:tc>
        <w:tc>
          <w:tcPr>
            <w:tcW w:w="2447" w:type="dxa"/>
            <w:vAlign w:val="center"/>
          </w:tcPr>
          <w:p w14:paraId="164B98CF">
            <w:pPr>
              <w:pStyle w:val="182"/>
              <w:bidi w:val="0"/>
              <w:rPr>
                <w:b/>
                <w:bCs/>
                <w:color w:val="auto"/>
              </w:rPr>
            </w:pPr>
            <w:r>
              <w:rPr>
                <w:rFonts w:hint="eastAsia"/>
                <w:b/>
                <w:bCs/>
                <w:color w:val="auto"/>
              </w:rPr>
              <w:t>调查（监测）点位</w:t>
            </w:r>
          </w:p>
        </w:tc>
        <w:tc>
          <w:tcPr>
            <w:tcW w:w="2401" w:type="dxa"/>
            <w:vAlign w:val="center"/>
          </w:tcPr>
          <w:p w14:paraId="00B84B6F">
            <w:pPr>
              <w:pStyle w:val="182"/>
              <w:bidi w:val="0"/>
              <w:rPr>
                <w:b/>
                <w:bCs/>
                <w:color w:val="auto"/>
              </w:rPr>
            </w:pPr>
            <w:r>
              <w:rPr>
                <w:rFonts w:hint="eastAsia"/>
                <w:b/>
                <w:bCs/>
                <w:color w:val="auto"/>
              </w:rPr>
              <w:t>调查（监测）因子</w:t>
            </w:r>
          </w:p>
        </w:tc>
        <w:tc>
          <w:tcPr>
            <w:tcW w:w="1274" w:type="dxa"/>
            <w:vAlign w:val="center"/>
          </w:tcPr>
          <w:p w14:paraId="143EF46C">
            <w:pPr>
              <w:pStyle w:val="182"/>
              <w:bidi w:val="0"/>
              <w:rPr>
                <w:b/>
                <w:bCs/>
                <w:color w:val="auto"/>
              </w:rPr>
            </w:pPr>
            <w:r>
              <w:rPr>
                <w:rFonts w:hint="eastAsia"/>
                <w:b/>
                <w:bCs/>
                <w:color w:val="auto"/>
              </w:rPr>
              <w:t>数据来源</w:t>
            </w:r>
          </w:p>
        </w:tc>
        <w:tc>
          <w:tcPr>
            <w:tcW w:w="2370" w:type="dxa"/>
            <w:vAlign w:val="center"/>
          </w:tcPr>
          <w:p w14:paraId="2841988D">
            <w:pPr>
              <w:pStyle w:val="182"/>
              <w:bidi w:val="0"/>
              <w:rPr>
                <w:b/>
                <w:bCs/>
                <w:color w:val="auto"/>
              </w:rPr>
            </w:pPr>
            <w:r>
              <w:rPr>
                <w:rFonts w:hint="eastAsia"/>
                <w:b/>
                <w:bCs/>
                <w:color w:val="auto"/>
              </w:rPr>
              <w:t>监测时间</w:t>
            </w:r>
          </w:p>
        </w:tc>
      </w:tr>
      <w:tr w14:paraId="7A55B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427" w:type="dxa"/>
            <w:vMerge w:val="restart"/>
            <w:vAlign w:val="center"/>
          </w:tcPr>
          <w:p w14:paraId="1F731C1F">
            <w:pPr>
              <w:pStyle w:val="182"/>
              <w:bidi w:val="0"/>
              <w:rPr>
                <w:color w:val="auto"/>
              </w:rPr>
            </w:pPr>
            <w:r>
              <w:rPr>
                <w:rFonts w:hint="eastAsia"/>
                <w:color w:val="auto"/>
              </w:rPr>
              <w:t>环境空气</w:t>
            </w:r>
          </w:p>
        </w:tc>
        <w:tc>
          <w:tcPr>
            <w:tcW w:w="2447" w:type="dxa"/>
            <w:vAlign w:val="center"/>
          </w:tcPr>
          <w:p w14:paraId="762B7896">
            <w:pPr>
              <w:pStyle w:val="182"/>
              <w:bidi w:val="0"/>
              <w:rPr>
                <w:rFonts w:hint="eastAsia" w:eastAsia="宋体"/>
                <w:color w:val="auto"/>
                <w:lang w:eastAsia="zh-CN"/>
              </w:rPr>
            </w:pPr>
            <w:r>
              <w:rPr>
                <w:rFonts w:hint="eastAsia"/>
                <w:color w:val="auto"/>
                <w:lang w:val="en-US" w:eastAsia="zh-CN"/>
              </w:rPr>
              <w:t>安康社区</w:t>
            </w:r>
          </w:p>
        </w:tc>
        <w:tc>
          <w:tcPr>
            <w:tcW w:w="2401" w:type="dxa"/>
            <w:vMerge w:val="restart"/>
            <w:vAlign w:val="center"/>
          </w:tcPr>
          <w:p w14:paraId="245F8D05">
            <w:pPr>
              <w:pStyle w:val="182"/>
              <w:bidi w:val="0"/>
              <w:rPr>
                <w:rFonts w:hint="eastAsia" w:eastAsia="宋体"/>
                <w:color w:val="auto"/>
                <w:lang w:eastAsia="zh-CN"/>
              </w:rPr>
            </w:pPr>
            <w:r>
              <w:rPr>
                <w:rFonts w:hint="eastAsia"/>
                <w:color w:val="auto"/>
                <w:lang w:val="en-US" w:eastAsia="zh-CN"/>
              </w:rPr>
              <w:t>非甲烷总烃</w:t>
            </w:r>
          </w:p>
        </w:tc>
        <w:tc>
          <w:tcPr>
            <w:tcW w:w="1274" w:type="dxa"/>
            <w:vMerge w:val="restart"/>
            <w:vAlign w:val="center"/>
          </w:tcPr>
          <w:p w14:paraId="456299DF">
            <w:pPr>
              <w:pStyle w:val="182"/>
              <w:bidi w:val="0"/>
              <w:rPr>
                <w:color w:val="auto"/>
              </w:rPr>
            </w:pPr>
            <w:r>
              <w:rPr>
                <w:rFonts w:hint="eastAsia"/>
                <w:color w:val="auto"/>
              </w:rPr>
              <w:t>《新乡经济技术开发区区域环境现状评价报告》2</w:t>
            </w:r>
            <w:r>
              <w:rPr>
                <w:color w:val="auto"/>
              </w:rPr>
              <w:t>022.6</w:t>
            </w:r>
          </w:p>
        </w:tc>
        <w:tc>
          <w:tcPr>
            <w:tcW w:w="2370" w:type="dxa"/>
            <w:vMerge w:val="restart"/>
            <w:vAlign w:val="center"/>
          </w:tcPr>
          <w:p w14:paraId="5D16AD70">
            <w:pPr>
              <w:pStyle w:val="182"/>
              <w:bidi w:val="0"/>
              <w:rPr>
                <w:color w:val="auto"/>
              </w:rPr>
            </w:pPr>
            <w:r>
              <w:rPr>
                <w:rFonts w:hint="eastAsia"/>
                <w:color w:val="auto"/>
              </w:rPr>
              <w:t>2021.11.02~2021.11.05，2021.11.08~2021.11.10</w:t>
            </w:r>
          </w:p>
        </w:tc>
      </w:tr>
      <w:tr w14:paraId="72925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427" w:type="dxa"/>
            <w:vMerge w:val="continue"/>
            <w:vAlign w:val="center"/>
          </w:tcPr>
          <w:p w14:paraId="316C0B3C">
            <w:pPr>
              <w:pStyle w:val="182"/>
              <w:bidi w:val="0"/>
              <w:rPr>
                <w:color w:val="auto"/>
              </w:rPr>
            </w:pPr>
          </w:p>
        </w:tc>
        <w:tc>
          <w:tcPr>
            <w:tcW w:w="2447" w:type="dxa"/>
            <w:vAlign w:val="center"/>
          </w:tcPr>
          <w:p w14:paraId="21613B97">
            <w:pPr>
              <w:pStyle w:val="182"/>
              <w:bidi w:val="0"/>
              <w:rPr>
                <w:rFonts w:hint="eastAsia" w:eastAsia="宋体"/>
                <w:color w:val="auto"/>
                <w:lang w:eastAsia="zh-CN"/>
              </w:rPr>
            </w:pPr>
            <w:r>
              <w:rPr>
                <w:rFonts w:hint="eastAsia"/>
                <w:color w:val="auto"/>
                <w:lang w:val="en-US" w:eastAsia="zh-CN"/>
              </w:rPr>
              <w:t>贾李村</w:t>
            </w:r>
          </w:p>
        </w:tc>
        <w:tc>
          <w:tcPr>
            <w:tcW w:w="2401" w:type="dxa"/>
            <w:vMerge w:val="continue"/>
            <w:vAlign w:val="center"/>
          </w:tcPr>
          <w:p w14:paraId="536DEE1E">
            <w:pPr>
              <w:pStyle w:val="182"/>
              <w:bidi w:val="0"/>
              <w:rPr>
                <w:color w:val="auto"/>
              </w:rPr>
            </w:pPr>
          </w:p>
        </w:tc>
        <w:tc>
          <w:tcPr>
            <w:tcW w:w="1274" w:type="dxa"/>
            <w:vMerge w:val="continue"/>
            <w:vAlign w:val="center"/>
          </w:tcPr>
          <w:p w14:paraId="1C2E1F75">
            <w:pPr>
              <w:pStyle w:val="182"/>
              <w:bidi w:val="0"/>
              <w:rPr>
                <w:color w:val="auto"/>
              </w:rPr>
            </w:pPr>
          </w:p>
        </w:tc>
        <w:tc>
          <w:tcPr>
            <w:tcW w:w="2370" w:type="dxa"/>
            <w:vMerge w:val="continue"/>
            <w:vAlign w:val="center"/>
          </w:tcPr>
          <w:p w14:paraId="7E8932DD">
            <w:pPr>
              <w:pStyle w:val="182"/>
              <w:bidi w:val="0"/>
              <w:rPr>
                <w:color w:val="auto"/>
              </w:rPr>
            </w:pPr>
          </w:p>
        </w:tc>
      </w:tr>
      <w:tr w14:paraId="69C95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Align w:val="center"/>
          </w:tcPr>
          <w:p w14:paraId="323C2B99">
            <w:pPr>
              <w:pStyle w:val="182"/>
              <w:bidi w:val="0"/>
              <w:rPr>
                <w:color w:val="auto"/>
              </w:rPr>
            </w:pPr>
            <w:r>
              <w:rPr>
                <w:rFonts w:hint="eastAsia"/>
                <w:color w:val="auto"/>
              </w:rPr>
              <w:t>地表水</w:t>
            </w:r>
          </w:p>
        </w:tc>
        <w:tc>
          <w:tcPr>
            <w:tcW w:w="2447" w:type="dxa"/>
            <w:vAlign w:val="center"/>
          </w:tcPr>
          <w:p w14:paraId="275C9468">
            <w:pPr>
              <w:pStyle w:val="182"/>
              <w:bidi w:val="0"/>
              <w:rPr>
                <w:color w:val="auto"/>
              </w:rPr>
            </w:pPr>
            <w:r>
              <w:rPr>
                <w:rFonts w:hint="eastAsia"/>
                <w:color w:val="auto"/>
              </w:rPr>
              <w:t>大沙河水花堡桥断面</w:t>
            </w:r>
          </w:p>
        </w:tc>
        <w:tc>
          <w:tcPr>
            <w:tcW w:w="2401" w:type="dxa"/>
            <w:vAlign w:val="center"/>
          </w:tcPr>
          <w:p w14:paraId="4FE3A859">
            <w:pPr>
              <w:pStyle w:val="182"/>
              <w:bidi w:val="0"/>
              <w:rPr>
                <w:color w:val="auto"/>
              </w:rPr>
            </w:pPr>
            <w:r>
              <w:rPr>
                <w:rFonts w:hint="eastAsia"/>
                <w:color w:val="auto"/>
              </w:rPr>
              <w:t>化学需氧量、NH</w:t>
            </w:r>
            <w:r>
              <w:rPr>
                <w:rFonts w:hint="eastAsia"/>
                <w:color w:val="auto"/>
                <w:vertAlign w:val="subscript"/>
              </w:rPr>
              <w:t>3</w:t>
            </w:r>
            <w:r>
              <w:rPr>
                <w:rFonts w:hint="eastAsia"/>
                <w:color w:val="auto"/>
              </w:rPr>
              <w:t>-N、TP</w:t>
            </w:r>
          </w:p>
        </w:tc>
        <w:tc>
          <w:tcPr>
            <w:tcW w:w="1274" w:type="dxa"/>
            <w:vAlign w:val="center"/>
          </w:tcPr>
          <w:p w14:paraId="51DD4D56">
            <w:pPr>
              <w:pStyle w:val="182"/>
              <w:bidi w:val="0"/>
              <w:rPr>
                <w:rFonts w:hint="default" w:eastAsia="宋体"/>
                <w:color w:val="auto"/>
                <w:lang w:val="en-US" w:eastAsia="zh-CN"/>
              </w:rPr>
            </w:pPr>
            <w:r>
              <w:rPr>
                <w:rFonts w:hint="eastAsia"/>
                <w:color w:val="auto"/>
                <w:lang w:val="en-US" w:eastAsia="zh-CN"/>
              </w:rPr>
              <w:t>断面监测数据</w:t>
            </w:r>
          </w:p>
        </w:tc>
        <w:tc>
          <w:tcPr>
            <w:tcW w:w="2370" w:type="dxa"/>
            <w:vAlign w:val="center"/>
          </w:tcPr>
          <w:p w14:paraId="7F1A5DBD">
            <w:pPr>
              <w:pStyle w:val="182"/>
              <w:bidi w:val="0"/>
              <w:rPr>
                <w:rFonts w:hint="default" w:eastAsia="宋体"/>
                <w:color w:val="auto"/>
                <w:lang w:val="en-US" w:eastAsia="zh-CN"/>
              </w:rPr>
            </w:pPr>
            <w:r>
              <w:rPr>
                <w:rFonts w:hint="eastAsia"/>
                <w:color w:val="auto"/>
                <w:lang w:val="en-US" w:eastAsia="zh-CN"/>
              </w:rPr>
              <w:t>2023</w:t>
            </w:r>
          </w:p>
        </w:tc>
      </w:tr>
      <w:tr w14:paraId="075F1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427" w:type="dxa"/>
            <w:vMerge w:val="restart"/>
            <w:vAlign w:val="center"/>
          </w:tcPr>
          <w:p w14:paraId="5C8F4D8B">
            <w:pPr>
              <w:pStyle w:val="182"/>
              <w:bidi w:val="0"/>
              <w:rPr>
                <w:color w:val="auto"/>
              </w:rPr>
            </w:pPr>
            <w:r>
              <w:rPr>
                <w:rFonts w:hint="eastAsia"/>
                <w:color w:val="auto"/>
              </w:rPr>
              <w:t>地下水</w:t>
            </w:r>
          </w:p>
        </w:tc>
        <w:tc>
          <w:tcPr>
            <w:tcW w:w="2447" w:type="dxa"/>
            <w:vAlign w:val="center"/>
          </w:tcPr>
          <w:p w14:paraId="2086F197">
            <w:pPr>
              <w:pStyle w:val="182"/>
              <w:bidi w:val="0"/>
              <w:rPr>
                <w:rFonts w:hint="eastAsia"/>
                <w:color w:val="auto"/>
              </w:rPr>
            </w:pPr>
            <w:r>
              <w:rPr>
                <w:rFonts w:hint="eastAsia"/>
                <w:color w:val="auto"/>
              </w:rPr>
              <w:t>姚庄村</w:t>
            </w:r>
          </w:p>
        </w:tc>
        <w:tc>
          <w:tcPr>
            <w:tcW w:w="2401" w:type="dxa"/>
            <w:vMerge w:val="restart"/>
            <w:vAlign w:val="center"/>
          </w:tcPr>
          <w:p w14:paraId="188ECEAC">
            <w:pPr>
              <w:pStyle w:val="182"/>
              <w:bidi w:val="0"/>
              <w:rPr>
                <w:color w:val="auto"/>
                <w:sz w:val="21"/>
                <w:szCs w:val="21"/>
              </w:rPr>
            </w:pPr>
            <w:r>
              <w:t>pH、总硬度、溶解性总固体、耗氧量、氨氮、K</w:t>
            </w:r>
            <w:r>
              <w:rPr>
                <w:vertAlign w:val="superscript"/>
              </w:rPr>
              <w:t>+</w:t>
            </w:r>
            <w:r>
              <w:rPr>
                <w:rFonts w:hint="eastAsia"/>
              </w:rPr>
              <w:t>、</w:t>
            </w:r>
            <w:r>
              <w:t>Na</w:t>
            </w:r>
            <w:r>
              <w:rPr>
                <w:vertAlign w:val="superscript"/>
              </w:rPr>
              <w:t>+</w:t>
            </w:r>
            <w:r>
              <w:rPr>
                <w:rFonts w:hint="eastAsia"/>
              </w:rPr>
              <w:t>、</w:t>
            </w:r>
            <w:r>
              <w:t>Ca</w:t>
            </w:r>
            <w:r>
              <w:rPr>
                <w:vertAlign w:val="superscript"/>
              </w:rPr>
              <w:t>2+</w:t>
            </w:r>
            <w:r>
              <w:rPr>
                <w:rFonts w:hint="eastAsia"/>
              </w:rPr>
              <w:t>、</w:t>
            </w:r>
            <w:r>
              <w:t>Mg</w:t>
            </w:r>
            <w:r>
              <w:rPr>
                <w:vertAlign w:val="superscript"/>
              </w:rPr>
              <w:t>2+</w:t>
            </w:r>
            <w:r>
              <w:rPr>
                <w:rFonts w:hint="eastAsia"/>
              </w:rPr>
              <w:t>、</w:t>
            </w:r>
            <w:r>
              <w:t>CO</w:t>
            </w:r>
            <w:r>
              <w:rPr>
                <w:vertAlign w:val="subscript"/>
              </w:rPr>
              <w:t>3</w:t>
            </w:r>
            <w:r>
              <w:rPr>
                <w:vertAlign w:val="superscript"/>
              </w:rPr>
              <w:t>2-</w:t>
            </w:r>
            <w:r>
              <w:rPr>
                <w:rFonts w:hint="eastAsia"/>
              </w:rPr>
              <w:t>、</w:t>
            </w:r>
            <w:r>
              <w:t>HCO</w:t>
            </w:r>
            <w:r>
              <w:rPr>
                <w:vertAlign w:val="subscript"/>
              </w:rPr>
              <w:t>3</w:t>
            </w:r>
            <w:r>
              <w:rPr>
                <w:vertAlign w:val="superscript"/>
              </w:rPr>
              <w:t>-</w:t>
            </w:r>
            <w:r>
              <w:rPr>
                <w:rFonts w:hint="eastAsia"/>
              </w:rPr>
              <w:t>、</w:t>
            </w:r>
            <w:r>
              <w:t>Cl</w:t>
            </w:r>
            <w:r>
              <w:rPr>
                <w:vertAlign w:val="superscript"/>
              </w:rPr>
              <w:t>-</w:t>
            </w:r>
            <w:r>
              <w:rPr>
                <w:rFonts w:hint="eastAsia"/>
              </w:rPr>
              <w:t>、</w:t>
            </w:r>
            <w:r>
              <w:t>SO</w:t>
            </w:r>
            <w:r>
              <w:rPr>
                <w:vertAlign w:val="subscript"/>
              </w:rPr>
              <w:t>4</w:t>
            </w:r>
            <w:r>
              <w:rPr>
                <w:vertAlign w:val="superscript"/>
              </w:rPr>
              <w:t>2-</w:t>
            </w:r>
            <w:r>
              <w:rPr>
                <w:rFonts w:hint="eastAsia"/>
              </w:rPr>
              <w:t>、硫化物、挥发性酚类、亚硝酸盐、硝酸盐、氟化物、砷、汞、</w:t>
            </w:r>
            <w:r>
              <w:t>镉、铬(六价)、铅、铁、锰、铜、锌、铝、锑、苯、甲苯、二甲苯、阴离子表面</w:t>
            </w:r>
            <w:r>
              <w:rPr>
                <w:rFonts w:hint="eastAsia"/>
              </w:rPr>
              <w:t>活性剂、</w:t>
            </w:r>
            <w:r>
              <w:t>菌落总数、总大肠菌群。同时监测井深、水位和水温</w:t>
            </w:r>
          </w:p>
        </w:tc>
        <w:tc>
          <w:tcPr>
            <w:tcW w:w="1274" w:type="dxa"/>
            <w:vMerge w:val="restart"/>
            <w:vAlign w:val="center"/>
          </w:tcPr>
          <w:p w14:paraId="74693B66">
            <w:pPr>
              <w:pStyle w:val="182"/>
              <w:bidi w:val="0"/>
              <w:rPr>
                <w:color w:val="auto"/>
              </w:rPr>
            </w:pPr>
            <w:r>
              <w:rPr>
                <w:rFonts w:hint="eastAsia"/>
                <w:color w:val="auto"/>
              </w:rPr>
              <w:t>《新乡市飞鹭纺织科技有限公司年产3000万米高端面料绿色智能化生产线技改提升项目环境影响报告书》地下水环境质量现状监测数据</w:t>
            </w:r>
          </w:p>
        </w:tc>
        <w:tc>
          <w:tcPr>
            <w:tcW w:w="2370" w:type="dxa"/>
            <w:vMerge w:val="restart"/>
            <w:vAlign w:val="center"/>
          </w:tcPr>
          <w:p w14:paraId="193581DC">
            <w:pPr>
              <w:pStyle w:val="182"/>
              <w:bidi w:val="0"/>
              <w:rPr>
                <w:color w:val="auto"/>
              </w:rPr>
            </w:pPr>
            <w:r>
              <w:t>2023</w:t>
            </w:r>
            <w:r>
              <w:rPr>
                <w:rFonts w:hint="eastAsia"/>
                <w:lang w:val="en-US" w:eastAsia="zh-CN"/>
              </w:rPr>
              <w:t>.</w:t>
            </w:r>
            <w:r>
              <w:t>5</w:t>
            </w:r>
            <w:r>
              <w:rPr>
                <w:rFonts w:hint="eastAsia"/>
                <w:lang w:val="en-US" w:eastAsia="zh-CN"/>
              </w:rPr>
              <w:t>.</w:t>
            </w:r>
            <w:r>
              <w:t>16~2023</w:t>
            </w:r>
            <w:r>
              <w:rPr>
                <w:rFonts w:hint="eastAsia"/>
                <w:lang w:val="en-US" w:eastAsia="zh-CN"/>
              </w:rPr>
              <w:t>.</w:t>
            </w:r>
            <w:r>
              <w:t>5</w:t>
            </w:r>
            <w:r>
              <w:rPr>
                <w:rFonts w:hint="eastAsia"/>
                <w:lang w:val="en-US" w:eastAsia="zh-CN"/>
              </w:rPr>
              <w:t>.</w:t>
            </w:r>
            <w:r>
              <w:t>17</w:t>
            </w:r>
          </w:p>
        </w:tc>
      </w:tr>
      <w:tr w14:paraId="776CE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427" w:type="dxa"/>
            <w:vMerge w:val="continue"/>
            <w:vAlign w:val="center"/>
          </w:tcPr>
          <w:p w14:paraId="77812A63">
            <w:pPr>
              <w:pStyle w:val="182"/>
              <w:bidi w:val="0"/>
              <w:rPr>
                <w:color w:val="auto"/>
              </w:rPr>
            </w:pPr>
          </w:p>
        </w:tc>
        <w:tc>
          <w:tcPr>
            <w:tcW w:w="2447" w:type="dxa"/>
            <w:vAlign w:val="center"/>
          </w:tcPr>
          <w:p w14:paraId="24D2FD74">
            <w:pPr>
              <w:pStyle w:val="182"/>
              <w:bidi w:val="0"/>
              <w:rPr>
                <w:rFonts w:hint="eastAsia"/>
                <w:color w:val="auto"/>
              </w:rPr>
            </w:pPr>
            <w:r>
              <w:rPr>
                <w:rFonts w:hint="eastAsia"/>
                <w:color w:val="auto"/>
              </w:rPr>
              <w:t>夏庄村</w:t>
            </w:r>
          </w:p>
        </w:tc>
        <w:tc>
          <w:tcPr>
            <w:tcW w:w="2401" w:type="dxa"/>
            <w:vMerge w:val="continue"/>
            <w:vAlign w:val="center"/>
          </w:tcPr>
          <w:p w14:paraId="348CAB90">
            <w:pPr>
              <w:pStyle w:val="182"/>
              <w:bidi w:val="0"/>
              <w:rPr>
                <w:color w:val="auto"/>
                <w:sz w:val="21"/>
                <w:szCs w:val="21"/>
              </w:rPr>
            </w:pPr>
          </w:p>
        </w:tc>
        <w:tc>
          <w:tcPr>
            <w:tcW w:w="1274" w:type="dxa"/>
            <w:vMerge w:val="continue"/>
            <w:vAlign w:val="center"/>
          </w:tcPr>
          <w:p w14:paraId="3914F6C0">
            <w:pPr>
              <w:pStyle w:val="182"/>
              <w:bidi w:val="0"/>
              <w:rPr>
                <w:color w:val="auto"/>
              </w:rPr>
            </w:pPr>
          </w:p>
        </w:tc>
        <w:tc>
          <w:tcPr>
            <w:tcW w:w="2370" w:type="dxa"/>
            <w:vMerge w:val="continue"/>
            <w:vAlign w:val="center"/>
          </w:tcPr>
          <w:p w14:paraId="123BBE0C">
            <w:pPr>
              <w:pStyle w:val="182"/>
              <w:bidi w:val="0"/>
              <w:rPr>
                <w:color w:val="auto"/>
              </w:rPr>
            </w:pPr>
          </w:p>
        </w:tc>
      </w:tr>
      <w:tr w14:paraId="1A9EF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3F4D2416">
            <w:pPr>
              <w:pStyle w:val="182"/>
              <w:bidi w:val="0"/>
              <w:rPr>
                <w:color w:val="auto"/>
              </w:rPr>
            </w:pPr>
          </w:p>
        </w:tc>
        <w:tc>
          <w:tcPr>
            <w:tcW w:w="2447" w:type="dxa"/>
            <w:vAlign w:val="center"/>
          </w:tcPr>
          <w:p w14:paraId="48DA9D5E">
            <w:pPr>
              <w:pStyle w:val="182"/>
              <w:bidi w:val="0"/>
              <w:rPr>
                <w:rFonts w:hint="eastAsia"/>
                <w:color w:val="auto"/>
              </w:rPr>
            </w:pPr>
            <w:r>
              <w:rPr>
                <w:rFonts w:hint="eastAsia"/>
                <w:color w:val="auto"/>
              </w:rPr>
              <w:t>化纤厂厂区</w:t>
            </w:r>
          </w:p>
        </w:tc>
        <w:tc>
          <w:tcPr>
            <w:tcW w:w="2401" w:type="dxa"/>
            <w:vMerge w:val="continue"/>
            <w:vAlign w:val="center"/>
          </w:tcPr>
          <w:p w14:paraId="4C8CF764">
            <w:pPr>
              <w:pStyle w:val="182"/>
              <w:bidi w:val="0"/>
              <w:rPr>
                <w:color w:val="auto"/>
                <w:sz w:val="21"/>
                <w:szCs w:val="21"/>
              </w:rPr>
            </w:pPr>
          </w:p>
        </w:tc>
        <w:tc>
          <w:tcPr>
            <w:tcW w:w="1274" w:type="dxa"/>
            <w:vMerge w:val="continue"/>
            <w:vAlign w:val="center"/>
          </w:tcPr>
          <w:p w14:paraId="4010DDD5">
            <w:pPr>
              <w:pStyle w:val="182"/>
              <w:bidi w:val="0"/>
              <w:rPr>
                <w:color w:val="auto"/>
              </w:rPr>
            </w:pPr>
          </w:p>
        </w:tc>
        <w:tc>
          <w:tcPr>
            <w:tcW w:w="2370" w:type="dxa"/>
            <w:vMerge w:val="continue"/>
            <w:vAlign w:val="center"/>
          </w:tcPr>
          <w:p w14:paraId="526E953D">
            <w:pPr>
              <w:pStyle w:val="182"/>
              <w:bidi w:val="0"/>
              <w:rPr>
                <w:color w:val="auto"/>
              </w:rPr>
            </w:pPr>
          </w:p>
        </w:tc>
      </w:tr>
      <w:tr w14:paraId="099CB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0AB6514C">
            <w:pPr>
              <w:pStyle w:val="182"/>
              <w:bidi w:val="0"/>
              <w:rPr>
                <w:color w:val="auto"/>
              </w:rPr>
            </w:pPr>
          </w:p>
        </w:tc>
        <w:tc>
          <w:tcPr>
            <w:tcW w:w="2447" w:type="dxa"/>
            <w:vAlign w:val="center"/>
          </w:tcPr>
          <w:p w14:paraId="0A68FA90">
            <w:pPr>
              <w:pStyle w:val="182"/>
              <w:bidi w:val="0"/>
              <w:rPr>
                <w:rFonts w:hint="eastAsia"/>
                <w:color w:val="auto"/>
              </w:rPr>
            </w:pPr>
            <w:r>
              <w:rPr>
                <w:rFonts w:hint="eastAsia"/>
                <w:color w:val="auto"/>
              </w:rPr>
              <w:t>双鹭药业</w:t>
            </w:r>
          </w:p>
        </w:tc>
        <w:tc>
          <w:tcPr>
            <w:tcW w:w="2401" w:type="dxa"/>
            <w:vMerge w:val="continue"/>
            <w:vAlign w:val="center"/>
          </w:tcPr>
          <w:p w14:paraId="2E404DDF">
            <w:pPr>
              <w:pStyle w:val="182"/>
              <w:bidi w:val="0"/>
              <w:rPr>
                <w:color w:val="auto"/>
                <w:sz w:val="21"/>
                <w:szCs w:val="21"/>
              </w:rPr>
            </w:pPr>
          </w:p>
        </w:tc>
        <w:tc>
          <w:tcPr>
            <w:tcW w:w="1274" w:type="dxa"/>
            <w:vMerge w:val="continue"/>
            <w:vAlign w:val="center"/>
          </w:tcPr>
          <w:p w14:paraId="6F063646">
            <w:pPr>
              <w:pStyle w:val="182"/>
              <w:bidi w:val="0"/>
              <w:rPr>
                <w:color w:val="auto"/>
              </w:rPr>
            </w:pPr>
          </w:p>
        </w:tc>
        <w:tc>
          <w:tcPr>
            <w:tcW w:w="2370" w:type="dxa"/>
            <w:vMerge w:val="continue"/>
            <w:vAlign w:val="center"/>
          </w:tcPr>
          <w:p w14:paraId="2AD1F702">
            <w:pPr>
              <w:pStyle w:val="182"/>
              <w:bidi w:val="0"/>
              <w:rPr>
                <w:color w:val="auto"/>
              </w:rPr>
            </w:pPr>
          </w:p>
        </w:tc>
      </w:tr>
      <w:tr w14:paraId="593BF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23619C70">
            <w:pPr>
              <w:pStyle w:val="182"/>
              <w:bidi w:val="0"/>
              <w:rPr>
                <w:color w:val="auto"/>
              </w:rPr>
            </w:pPr>
          </w:p>
        </w:tc>
        <w:tc>
          <w:tcPr>
            <w:tcW w:w="2447" w:type="dxa"/>
            <w:vAlign w:val="center"/>
          </w:tcPr>
          <w:p w14:paraId="0A260367">
            <w:pPr>
              <w:pStyle w:val="182"/>
              <w:bidi w:val="0"/>
              <w:rPr>
                <w:rFonts w:hint="eastAsia"/>
                <w:color w:val="auto"/>
                <w:lang w:val="en-US" w:eastAsia="zh-CN"/>
              </w:rPr>
            </w:pPr>
            <w:r>
              <w:rPr>
                <w:rFonts w:hint="eastAsia"/>
                <w:color w:val="auto"/>
              </w:rPr>
              <w:t>大杨庄村</w:t>
            </w:r>
          </w:p>
        </w:tc>
        <w:tc>
          <w:tcPr>
            <w:tcW w:w="2401" w:type="dxa"/>
            <w:vMerge w:val="continue"/>
            <w:vAlign w:val="center"/>
          </w:tcPr>
          <w:p w14:paraId="39F19357">
            <w:pPr>
              <w:pStyle w:val="182"/>
              <w:bidi w:val="0"/>
              <w:rPr>
                <w:color w:val="auto"/>
                <w:sz w:val="21"/>
                <w:szCs w:val="21"/>
              </w:rPr>
            </w:pPr>
          </w:p>
        </w:tc>
        <w:tc>
          <w:tcPr>
            <w:tcW w:w="1274" w:type="dxa"/>
            <w:vMerge w:val="continue"/>
            <w:vAlign w:val="center"/>
          </w:tcPr>
          <w:p w14:paraId="03F2C1D1">
            <w:pPr>
              <w:pStyle w:val="182"/>
              <w:bidi w:val="0"/>
              <w:rPr>
                <w:color w:val="auto"/>
              </w:rPr>
            </w:pPr>
          </w:p>
        </w:tc>
        <w:tc>
          <w:tcPr>
            <w:tcW w:w="2370" w:type="dxa"/>
            <w:vMerge w:val="continue"/>
            <w:vAlign w:val="center"/>
          </w:tcPr>
          <w:p w14:paraId="362C530A">
            <w:pPr>
              <w:pStyle w:val="182"/>
              <w:bidi w:val="0"/>
              <w:rPr>
                <w:color w:val="auto"/>
              </w:rPr>
            </w:pPr>
          </w:p>
        </w:tc>
      </w:tr>
      <w:tr w14:paraId="6E419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0562193E">
            <w:pPr>
              <w:pStyle w:val="182"/>
              <w:bidi w:val="0"/>
              <w:rPr>
                <w:color w:val="auto"/>
              </w:rPr>
            </w:pPr>
          </w:p>
        </w:tc>
        <w:tc>
          <w:tcPr>
            <w:tcW w:w="2447" w:type="dxa"/>
            <w:vAlign w:val="center"/>
          </w:tcPr>
          <w:p w14:paraId="0D88D3ED">
            <w:pPr>
              <w:pStyle w:val="182"/>
              <w:bidi w:val="0"/>
              <w:rPr>
                <w:rFonts w:hint="eastAsia"/>
                <w:color w:val="auto"/>
                <w:lang w:val="en-US" w:eastAsia="zh-CN"/>
              </w:rPr>
            </w:pPr>
            <w:r>
              <w:rPr>
                <w:rFonts w:hint="eastAsia"/>
                <w:color w:val="auto"/>
              </w:rPr>
              <w:t>张河村</w:t>
            </w:r>
          </w:p>
        </w:tc>
        <w:tc>
          <w:tcPr>
            <w:tcW w:w="2401" w:type="dxa"/>
            <w:vMerge w:val="continue"/>
            <w:vAlign w:val="center"/>
          </w:tcPr>
          <w:p w14:paraId="68674A58">
            <w:pPr>
              <w:pStyle w:val="182"/>
              <w:bidi w:val="0"/>
              <w:rPr>
                <w:color w:val="auto"/>
                <w:sz w:val="21"/>
                <w:szCs w:val="21"/>
              </w:rPr>
            </w:pPr>
          </w:p>
        </w:tc>
        <w:tc>
          <w:tcPr>
            <w:tcW w:w="1274" w:type="dxa"/>
            <w:vMerge w:val="continue"/>
            <w:vAlign w:val="center"/>
          </w:tcPr>
          <w:p w14:paraId="75F1013D">
            <w:pPr>
              <w:pStyle w:val="182"/>
              <w:bidi w:val="0"/>
              <w:rPr>
                <w:color w:val="auto"/>
              </w:rPr>
            </w:pPr>
          </w:p>
        </w:tc>
        <w:tc>
          <w:tcPr>
            <w:tcW w:w="2370" w:type="dxa"/>
            <w:vMerge w:val="continue"/>
            <w:vAlign w:val="center"/>
          </w:tcPr>
          <w:p w14:paraId="13C0D482">
            <w:pPr>
              <w:pStyle w:val="182"/>
              <w:bidi w:val="0"/>
              <w:rPr>
                <w:color w:val="auto"/>
              </w:rPr>
            </w:pPr>
          </w:p>
        </w:tc>
      </w:tr>
      <w:tr w14:paraId="745B9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1F826A5C">
            <w:pPr>
              <w:pStyle w:val="182"/>
              <w:bidi w:val="0"/>
              <w:rPr>
                <w:color w:val="auto"/>
              </w:rPr>
            </w:pPr>
          </w:p>
        </w:tc>
        <w:tc>
          <w:tcPr>
            <w:tcW w:w="2447" w:type="dxa"/>
            <w:vAlign w:val="center"/>
          </w:tcPr>
          <w:p w14:paraId="4CAB19EF">
            <w:pPr>
              <w:pStyle w:val="182"/>
              <w:bidi w:val="0"/>
              <w:rPr>
                <w:rFonts w:hint="eastAsia"/>
                <w:color w:val="auto"/>
                <w:lang w:val="en-US" w:eastAsia="zh-CN"/>
              </w:rPr>
            </w:pPr>
            <w:r>
              <w:rPr>
                <w:rFonts w:hint="eastAsia"/>
                <w:color w:val="auto"/>
              </w:rPr>
              <w:t>新联学院</w:t>
            </w:r>
          </w:p>
        </w:tc>
        <w:tc>
          <w:tcPr>
            <w:tcW w:w="2401" w:type="dxa"/>
            <w:vMerge w:val="continue"/>
            <w:vAlign w:val="center"/>
          </w:tcPr>
          <w:p w14:paraId="57CB8D25">
            <w:pPr>
              <w:pStyle w:val="182"/>
              <w:bidi w:val="0"/>
              <w:rPr>
                <w:color w:val="auto"/>
                <w:sz w:val="21"/>
                <w:szCs w:val="21"/>
              </w:rPr>
            </w:pPr>
          </w:p>
        </w:tc>
        <w:tc>
          <w:tcPr>
            <w:tcW w:w="1274" w:type="dxa"/>
            <w:vMerge w:val="continue"/>
            <w:vAlign w:val="center"/>
          </w:tcPr>
          <w:p w14:paraId="7D643EEE">
            <w:pPr>
              <w:pStyle w:val="182"/>
              <w:bidi w:val="0"/>
              <w:rPr>
                <w:color w:val="auto"/>
              </w:rPr>
            </w:pPr>
          </w:p>
        </w:tc>
        <w:tc>
          <w:tcPr>
            <w:tcW w:w="2370" w:type="dxa"/>
            <w:vMerge w:val="continue"/>
            <w:vAlign w:val="center"/>
          </w:tcPr>
          <w:p w14:paraId="53AF9792">
            <w:pPr>
              <w:pStyle w:val="182"/>
              <w:bidi w:val="0"/>
              <w:rPr>
                <w:color w:val="auto"/>
              </w:rPr>
            </w:pPr>
          </w:p>
        </w:tc>
      </w:tr>
      <w:tr w14:paraId="58D6E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3D6EF117">
            <w:pPr>
              <w:pStyle w:val="182"/>
              <w:bidi w:val="0"/>
              <w:rPr>
                <w:color w:val="auto"/>
              </w:rPr>
            </w:pPr>
          </w:p>
        </w:tc>
        <w:tc>
          <w:tcPr>
            <w:tcW w:w="2447" w:type="dxa"/>
            <w:vAlign w:val="center"/>
          </w:tcPr>
          <w:p w14:paraId="5AF58A96">
            <w:pPr>
              <w:pStyle w:val="182"/>
              <w:bidi w:val="0"/>
              <w:rPr>
                <w:rFonts w:hint="eastAsia"/>
                <w:color w:val="auto"/>
              </w:rPr>
            </w:pPr>
            <w:r>
              <w:rPr>
                <w:rFonts w:hint="eastAsia"/>
                <w:color w:val="auto"/>
              </w:rPr>
              <w:t>姚庄村</w:t>
            </w:r>
          </w:p>
        </w:tc>
        <w:tc>
          <w:tcPr>
            <w:tcW w:w="2401" w:type="dxa"/>
            <w:vMerge w:val="restart"/>
            <w:vAlign w:val="center"/>
          </w:tcPr>
          <w:p w14:paraId="2C48BCDE">
            <w:pPr>
              <w:pStyle w:val="182"/>
              <w:bidi w:val="0"/>
              <w:rPr>
                <w:rFonts w:hint="eastAsia" w:eastAsia="宋体"/>
                <w:color w:val="auto"/>
                <w:sz w:val="21"/>
                <w:szCs w:val="21"/>
                <w:lang w:val="en-US" w:eastAsia="zh-CN"/>
              </w:rPr>
            </w:pPr>
            <w:r>
              <w:rPr>
                <w:rFonts w:hint="eastAsia"/>
                <w:color w:val="auto"/>
                <w:sz w:val="21"/>
                <w:szCs w:val="21"/>
                <w:lang w:val="en-US" w:eastAsia="zh-CN"/>
              </w:rPr>
              <w:t>水位</w:t>
            </w:r>
          </w:p>
        </w:tc>
        <w:tc>
          <w:tcPr>
            <w:tcW w:w="1274" w:type="dxa"/>
            <w:vMerge w:val="continue"/>
            <w:vAlign w:val="center"/>
          </w:tcPr>
          <w:p w14:paraId="320C7945">
            <w:pPr>
              <w:pStyle w:val="182"/>
              <w:bidi w:val="0"/>
              <w:rPr>
                <w:color w:val="auto"/>
              </w:rPr>
            </w:pPr>
          </w:p>
        </w:tc>
        <w:tc>
          <w:tcPr>
            <w:tcW w:w="2370" w:type="dxa"/>
            <w:vMerge w:val="continue"/>
            <w:vAlign w:val="center"/>
          </w:tcPr>
          <w:p w14:paraId="1BFBE3C1">
            <w:pPr>
              <w:pStyle w:val="182"/>
              <w:bidi w:val="0"/>
              <w:rPr>
                <w:color w:val="auto"/>
              </w:rPr>
            </w:pPr>
          </w:p>
        </w:tc>
      </w:tr>
      <w:tr w14:paraId="4A187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36CA7870">
            <w:pPr>
              <w:pStyle w:val="182"/>
              <w:bidi w:val="0"/>
              <w:rPr>
                <w:color w:val="auto"/>
              </w:rPr>
            </w:pPr>
          </w:p>
        </w:tc>
        <w:tc>
          <w:tcPr>
            <w:tcW w:w="2447" w:type="dxa"/>
            <w:vAlign w:val="center"/>
          </w:tcPr>
          <w:p w14:paraId="58B1900F">
            <w:pPr>
              <w:pStyle w:val="182"/>
              <w:bidi w:val="0"/>
              <w:rPr>
                <w:rFonts w:hint="eastAsia"/>
                <w:color w:val="auto"/>
              </w:rPr>
            </w:pPr>
            <w:r>
              <w:rPr>
                <w:rFonts w:hint="eastAsia"/>
                <w:color w:val="auto"/>
              </w:rPr>
              <w:t>夏庄村</w:t>
            </w:r>
          </w:p>
        </w:tc>
        <w:tc>
          <w:tcPr>
            <w:tcW w:w="2401" w:type="dxa"/>
            <w:vMerge w:val="continue"/>
            <w:vAlign w:val="center"/>
          </w:tcPr>
          <w:p w14:paraId="067262AE">
            <w:pPr>
              <w:pStyle w:val="182"/>
              <w:bidi w:val="0"/>
              <w:rPr>
                <w:rFonts w:hint="eastAsia" w:eastAsia="宋体"/>
                <w:color w:val="auto"/>
                <w:lang w:val="en-US" w:eastAsia="zh-CN"/>
              </w:rPr>
            </w:pPr>
          </w:p>
        </w:tc>
        <w:tc>
          <w:tcPr>
            <w:tcW w:w="1274" w:type="dxa"/>
            <w:vMerge w:val="continue"/>
            <w:vAlign w:val="center"/>
          </w:tcPr>
          <w:p w14:paraId="6BB45C2A">
            <w:pPr>
              <w:pStyle w:val="182"/>
              <w:bidi w:val="0"/>
              <w:rPr>
                <w:color w:val="auto"/>
              </w:rPr>
            </w:pPr>
          </w:p>
        </w:tc>
        <w:tc>
          <w:tcPr>
            <w:tcW w:w="2370" w:type="dxa"/>
            <w:vMerge w:val="continue"/>
            <w:vAlign w:val="center"/>
          </w:tcPr>
          <w:p w14:paraId="5E1889E8">
            <w:pPr>
              <w:pStyle w:val="182"/>
              <w:bidi w:val="0"/>
              <w:rPr>
                <w:color w:val="auto"/>
              </w:rPr>
            </w:pPr>
          </w:p>
        </w:tc>
      </w:tr>
      <w:tr w14:paraId="690AA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082D340E">
            <w:pPr>
              <w:pStyle w:val="182"/>
              <w:bidi w:val="0"/>
              <w:rPr>
                <w:color w:val="auto"/>
              </w:rPr>
            </w:pPr>
          </w:p>
        </w:tc>
        <w:tc>
          <w:tcPr>
            <w:tcW w:w="2447" w:type="dxa"/>
            <w:vAlign w:val="center"/>
          </w:tcPr>
          <w:p w14:paraId="612EBED0">
            <w:pPr>
              <w:pStyle w:val="182"/>
              <w:bidi w:val="0"/>
              <w:rPr>
                <w:rFonts w:hint="eastAsia"/>
                <w:color w:val="auto"/>
              </w:rPr>
            </w:pPr>
            <w:r>
              <w:rPr>
                <w:rFonts w:hint="eastAsia"/>
                <w:color w:val="auto"/>
              </w:rPr>
              <w:t>化纤厂厂区</w:t>
            </w:r>
          </w:p>
        </w:tc>
        <w:tc>
          <w:tcPr>
            <w:tcW w:w="2401" w:type="dxa"/>
            <w:vMerge w:val="continue"/>
            <w:vAlign w:val="center"/>
          </w:tcPr>
          <w:p w14:paraId="6B28512B">
            <w:pPr>
              <w:pStyle w:val="182"/>
              <w:bidi w:val="0"/>
              <w:rPr>
                <w:color w:val="auto"/>
              </w:rPr>
            </w:pPr>
          </w:p>
        </w:tc>
        <w:tc>
          <w:tcPr>
            <w:tcW w:w="1274" w:type="dxa"/>
            <w:vMerge w:val="continue"/>
            <w:vAlign w:val="center"/>
          </w:tcPr>
          <w:p w14:paraId="25428A5A">
            <w:pPr>
              <w:pStyle w:val="182"/>
              <w:bidi w:val="0"/>
              <w:rPr>
                <w:color w:val="auto"/>
              </w:rPr>
            </w:pPr>
          </w:p>
        </w:tc>
        <w:tc>
          <w:tcPr>
            <w:tcW w:w="2370" w:type="dxa"/>
            <w:vMerge w:val="continue"/>
            <w:vAlign w:val="center"/>
          </w:tcPr>
          <w:p w14:paraId="0026603D">
            <w:pPr>
              <w:pStyle w:val="182"/>
              <w:bidi w:val="0"/>
              <w:rPr>
                <w:color w:val="auto"/>
              </w:rPr>
            </w:pPr>
          </w:p>
        </w:tc>
      </w:tr>
      <w:tr w14:paraId="12E5A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122E5D8D">
            <w:pPr>
              <w:pStyle w:val="182"/>
              <w:bidi w:val="0"/>
              <w:rPr>
                <w:color w:val="auto"/>
              </w:rPr>
            </w:pPr>
          </w:p>
        </w:tc>
        <w:tc>
          <w:tcPr>
            <w:tcW w:w="2447" w:type="dxa"/>
            <w:vAlign w:val="center"/>
          </w:tcPr>
          <w:p w14:paraId="5E6BF9F8">
            <w:pPr>
              <w:pStyle w:val="182"/>
              <w:bidi w:val="0"/>
              <w:rPr>
                <w:rFonts w:hint="eastAsia"/>
                <w:color w:val="auto"/>
              </w:rPr>
            </w:pPr>
            <w:r>
              <w:rPr>
                <w:rFonts w:hint="eastAsia"/>
                <w:color w:val="auto"/>
              </w:rPr>
              <w:t>双鹭药业</w:t>
            </w:r>
          </w:p>
        </w:tc>
        <w:tc>
          <w:tcPr>
            <w:tcW w:w="2401" w:type="dxa"/>
            <w:vMerge w:val="continue"/>
            <w:vAlign w:val="center"/>
          </w:tcPr>
          <w:p w14:paraId="5822E615">
            <w:pPr>
              <w:pStyle w:val="182"/>
              <w:bidi w:val="0"/>
              <w:rPr>
                <w:color w:val="auto"/>
              </w:rPr>
            </w:pPr>
          </w:p>
        </w:tc>
        <w:tc>
          <w:tcPr>
            <w:tcW w:w="1274" w:type="dxa"/>
            <w:vMerge w:val="continue"/>
            <w:vAlign w:val="center"/>
          </w:tcPr>
          <w:p w14:paraId="06E4D83F">
            <w:pPr>
              <w:pStyle w:val="182"/>
              <w:bidi w:val="0"/>
              <w:rPr>
                <w:color w:val="auto"/>
              </w:rPr>
            </w:pPr>
          </w:p>
        </w:tc>
        <w:tc>
          <w:tcPr>
            <w:tcW w:w="2370" w:type="dxa"/>
            <w:vMerge w:val="continue"/>
            <w:vAlign w:val="center"/>
          </w:tcPr>
          <w:p w14:paraId="1D86402E">
            <w:pPr>
              <w:pStyle w:val="182"/>
              <w:bidi w:val="0"/>
              <w:rPr>
                <w:color w:val="auto"/>
              </w:rPr>
            </w:pPr>
          </w:p>
        </w:tc>
      </w:tr>
      <w:tr w14:paraId="20823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5FD1E13C">
            <w:pPr>
              <w:pStyle w:val="182"/>
              <w:bidi w:val="0"/>
              <w:rPr>
                <w:color w:val="auto"/>
              </w:rPr>
            </w:pPr>
          </w:p>
        </w:tc>
        <w:tc>
          <w:tcPr>
            <w:tcW w:w="2447" w:type="dxa"/>
            <w:vAlign w:val="center"/>
          </w:tcPr>
          <w:p w14:paraId="322D37DE">
            <w:pPr>
              <w:pStyle w:val="182"/>
              <w:bidi w:val="0"/>
              <w:rPr>
                <w:rFonts w:hint="eastAsia"/>
                <w:color w:val="auto"/>
              </w:rPr>
            </w:pPr>
            <w:r>
              <w:rPr>
                <w:rFonts w:hint="eastAsia"/>
                <w:color w:val="auto"/>
              </w:rPr>
              <w:t>大杨庄村</w:t>
            </w:r>
          </w:p>
        </w:tc>
        <w:tc>
          <w:tcPr>
            <w:tcW w:w="2401" w:type="dxa"/>
            <w:vMerge w:val="continue"/>
            <w:vAlign w:val="center"/>
          </w:tcPr>
          <w:p w14:paraId="01BE3900">
            <w:pPr>
              <w:pStyle w:val="182"/>
              <w:bidi w:val="0"/>
              <w:rPr>
                <w:color w:val="auto"/>
              </w:rPr>
            </w:pPr>
          </w:p>
        </w:tc>
        <w:tc>
          <w:tcPr>
            <w:tcW w:w="1274" w:type="dxa"/>
            <w:vMerge w:val="continue"/>
            <w:vAlign w:val="center"/>
          </w:tcPr>
          <w:p w14:paraId="5B9519EB">
            <w:pPr>
              <w:pStyle w:val="182"/>
              <w:bidi w:val="0"/>
              <w:rPr>
                <w:color w:val="auto"/>
              </w:rPr>
            </w:pPr>
          </w:p>
        </w:tc>
        <w:tc>
          <w:tcPr>
            <w:tcW w:w="2370" w:type="dxa"/>
            <w:vMerge w:val="continue"/>
            <w:vAlign w:val="center"/>
          </w:tcPr>
          <w:p w14:paraId="771982EC">
            <w:pPr>
              <w:pStyle w:val="182"/>
              <w:bidi w:val="0"/>
              <w:rPr>
                <w:color w:val="auto"/>
              </w:rPr>
            </w:pPr>
          </w:p>
        </w:tc>
      </w:tr>
      <w:tr w14:paraId="03E14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20794AAA">
            <w:pPr>
              <w:pStyle w:val="182"/>
              <w:bidi w:val="0"/>
              <w:rPr>
                <w:color w:val="auto"/>
              </w:rPr>
            </w:pPr>
          </w:p>
        </w:tc>
        <w:tc>
          <w:tcPr>
            <w:tcW w:w="2447" w:type="dxa"/>
            <w:vAlign w:val="center"/>
          </w:tcPr>
          <w:p w14:paraId="6E9E0D05">
            <w:pPr>
              <w:pStyle w:val="182"/>
              <w:bidi w:val="0"/>
              <w:rPr>
                <w:rFonts w:hint="eastAsia"/>
                <w:color w:val="auto"/>
              </w:rPr>
            </w:pPr>
            <w:r>
              <w:rPr>
                <w:rFonts w:hint="eastAsia"/>
                <w:color w:val="auto"/>
              </w:rPr>
              <w:t>张河村</w:t>
            </w:r>
          </w:p>
        </w:tc>
        <w:tc>
          <w:tcPr>
            <w:tcW w:w="2401" w:type="dxa"/>
            <w:vMerge w:val="continue"/>
            <w:vAlign w:val="center"/>
          </w:tcPr>
          <w:p w14:paraId="0C5F9000">
            <w:pPr>
              <w:pStyle w:val="182"/>
              <w:bidi w:val="0"/>
              <w:rPr>
                <w:color w:val="auto"/>
              </w:rPr>
            </w:pPr>
          </w:p>
        </w:tc>
        <w:tc>
          <w:tcPr>
            <w:tcW w:w="1274" w:type="dxa"/>
            <w:vMerge w:val="continue"/>
            <w:vAlign w:val="center"/>
          </w:tcPr>
          <w:p w14:paraId="56B1C98A">
            <w:pPr>
              <w:pStyle w:val="182"/>
              <w:bidi w:val="0"/>
              <w:rPr>
                <w:color w:val="auto"/>
              </w:rPr>
            </w:pPr>
          </w:p>
        </w:tc>
        <w:tc>
          <w:tcPr>
            <w:tcW w:w="2370" w:type="dxa"/>
            <w:vMerge w:val="continue"/>
            <w:vAlign w:val="center"/>
          </w:tcPr>
          <w:p w14:paraId="00B3C5A7">
            <w:pPr>
              <w:pStyle w:val="182"/>
              <w:bidi w:val="0"/>
              <w:rPr>
                <w:color w:val="auto"/>
              </w:rPr>
            </w:pPr>
          </w:p>
        </w:tc>
      </w:tr>
      <w:tr w14:paraId="3EDDC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5151BBB9">
            <w:pPr>
              <w:pStyle w:val="182"/>
              <w:bidi w:val="0"/>
              <w:rPr>
                <w:color w:val="auto"/>
              </w:rPr>
            </w:pPr>
          </w:p>
        </w:tc>
        <w:tc>
          <w:tcPr>
            <w:tcW w:w="2447" w:type="dxa"/>
            <w:vAlign w:val="center"/>
          </w:tcPr>
          <w:p w14:paraId="79DF5CFB">
            <w:pPr>
              <w:pStyle w:val="182"/>
              <w:bidi w:val="0"/>
              <w:rPr>
                <w:rFonts w:hint="eastAsia"/>
                <w:color w:val="auto"/>
              </w:rPr>
            </w:pPr>
            <w:r>
              <w:rPr>
                <w:rFonts w:hint="eastAsia"/>
                <w:color w:val="auto"/>
              </w:rPr>
              <w:t>新联学院</w:t>
            </w:r>
          </w:p>
        </w:tc>
        <w:tc>
          <w:tcPr>
            <w:tcW w:w="2401" w:type="dxa"/>
            <w:vMerge w:val="continue"/>
            <w:vAlign w:val="center"/>
          </w:tcPr>
          <w:p w14:paraId="36605813">
            <w:pPr>
              <w:pStyle w:val="182"/>
              <w:bidi w:val="0"/>
              <w:rPr>
                <w:color w:val="auto"/>
              </w:rPr>
            </w:pPr>
          </w:p>
        </w:tc>
        <w:tc>
          <w:tcPr>
            <w:tcW w:w="1274" w:type="dxa"/>
            <w:vMerge w:val="continue"/>
            <w:vAlign w:val="center"/>
          </w:tcPr>
          <w:p w14:paraId="64D85005">
            <w:pPr>
              <w:pStyle w:val="182"/>
              <w:bidi w:val="0"/>
              <w:rPr>
                <w:color w:val="auto"/>
              </w:rPr>
            </w:pPr>
          </w:p>
        </w:tc>
        <w:tc>
          <w:tcPr>
            <w:tcW w:w="2370" w:type="dxa"/>
            <w:vMerge w:val="continue"/>
            <w:vAlign w:val="center"/>
          </w:tcPr>
          <w:p w14:paraId="2AC8C90A">
            <w:pPr>
              <w:pStyle w:val="182"/>
              <w:bidi w:val="0"/>
              <w:rPr>
                <w:color w:val="auto"/>
              </w:rPr>
            </w:pPr>
          </w:p>
        </w:tc>
      </w:tr>
      <w:tr w14:paraId="250C8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687BD34B">
            <w:pPr>
              <w:pStyle w:val="182"/>
              <w:bidi w:val="0"/>
              <w:rPr>
                <w:color w:val="auto"/>
              </w:rPr>
            </w:pPr>
          </w:p>
        </w:tc>
        <w:tc>
          <w:tcPr>
            <w:tcW w:w="2447" w:type="dxa"/>
            <w:vAlign w:val="center"/>
          </w:tcPr>
          <w:p w14:paraId="246DB80C">
            <w:pPr>
              <w:pStyle w:val="182"/>
              <w:bidi w:val="0"/>
              <w:rPr>
                <w:rFonts w:hint="eastAsia"/>
                <w:color w:val="auto"/>
              </w:rPr>
            </w:pPr>
            <w:r>
              <w:rPr>
                <w:rFonts w:hint="eastAsia"/>
                <w:color w:val="auto"/>
              </w:rPr>
              <w:t>魏堤社区</w:t>
            </w:r>
          </w:p>
        </w:tc>
        <w:tc>
          <w:tcPr>
            <w:tcW w:w="2401" w:type="dxa"/>
            <w:vMerge w:val="continue"/>
            <w:vAlign w:val="center"/>
          </w:tcPr>
          <w:p w14:paraId="5A91A538">
            <w:pPr>
              <w:pStyle w:val="182"/>
              <w:bidi w:val="0"/>
              <w:rPr>
                <w:color w:val="auto"/>
              </w:rPr>
            </w:pPr>
          </w:p>
        </w:tc>
        <w:tc>
          <w:tcPr>
            <w:tcW w:w="1274" w:type="dxa"/>
            <w:vMerge w:val="continue"/>
            <w:vAlign w:val="center"/>
          </w:tcPr>
          <w:p w14:paraId="04FEA58E">
            <w:pPr>
              <w:pStyle w:val="182"/>
              <w:bidi w:val="0"/>
              <w:rPr>
                <w:color w:val="auto"/>
              </w:rPr>
            </w:pPr>
          </w:p>
        </w:tc>
        <w:tc>
          <w:tcPr>
            <w:tcW w:w="2370" w:type="dxa"/>
            <w:vMerge w:val="continue"/>
            <w:vAlign w:val="center"/>
          </w:tcPr>
          <w:p w14:paraId="7F111E1D">
            <w:pPr>
              <w:pStyle w:val="182"/>
              <w:bidi w:val="0"/>
              <w:rPr>
                <w:color w:val="auto"/>
              </w:rPr>
            </w:pPr>
          </w:p>
        </w:tc>
      </w:tr>
      <w:tr w14:paraId="2236B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72994057">
            <w:pPr>
              <w:pStyle w:val="182"/>
              <w:bidi w:val="0"/>
              <w:rPr>
                <w:color w:val="auto"/>
              </w:rPr>
            </w:pPr>
          </w:p>
        </w:tc>
        <w:tc>
          <w:tcPr>
            <w:tcW w:w="2447" w:type="dxa"/>
            <w:vAlign w:val="center"/>
          </w:tcPr>
          <w:p w14:paraId="09A4565F">
            <w:pPr>
              <w:pStyle w:val="182"/>
              <w:bidi w:val="0"/>
              <w:rPr>
                <w:rFonts w:hint="eastAsia"/>
                <w:color w:val="auto"/>
                <w:lang w:val="en-US" w:eastAsia="zh-CN"/>
              </w:rPr>
            </w:pPr>
            <w:r>
              <w:rPr>
                <w:rFonts w:hint="eastAsia"/>
                <w:color w:val="auto"/>
              </w:rPr>
              <w:t>北张兴庄村</w:t>
            </w:r>
          </w:p>
        </w:tc>
        <w:tc>
          <w:tcPr>
            <w:tcW w:w="2401" w:type="dxa"/>
            <w:vMerge w:val="continue"/>
            <w:vAlign w:val="center"/>
          </w:tcPr>
          <w:p w14:paraId="0A8D7C63">
            <w:pPr>
              <w:pStyle w:val="182"/>
              <w:bidi w:val="0"/>
              <w:rPr>
                <w:color w:val="auto"/>
              </w:rPr>
            </w:pPr>
          </w:p>
        </w:tc>
        <w:tc>
          <w:tcPr>
            <w:tcW w:w="1274" w:type="dxa"/>
            <w:vMerge w:val="continue"/>
            <w:vAlign w:val="center"/>
          </w:tcPr>
          <w:p w14:paraId="7C26C230">
            <w:pPr>
              <w:pStyle w:val="182"/>
              <w:bidi w:val="0"/>
              <w:rPr>
                <w:color w:val="auto"/>
              </w:rPr>
            </w:pPr>
          </w:p>
        </w:tc>
        <w:tc>
          <w:tcPr>
            <w:tcW w:w="2370" w:type="dxa"/>
            <w:vMerge w:val="continue"/>
            <w:vAlign w:val="center"/>
          </w:tcPr>
          <w:p w14:paraId="4BDF64E1">
            <w:pPr>
              <w:pStyle w:val="182"/>
              <w:bidi w:val="0"/>
              <w:rPr>
                <w:color w:val="auto"/>
              </w:rPr>
            </w:pPr>
          </w:p>
        </w:tc>
      </w:tr>
      <w:tr w14:paraId="65A0D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3850069E">
            <w:pPr>
              <w:pStyle w:val="182"/>
              <w:bidi w:val="0"/>
              <w:rPr>
                <w:color w:val="auto"/>
              </w:rPr>
            </w:pPr>
          </w:p>
        </w:tc>
        <w:tc>
          <w:tcPr>
            <w:tcW w:w="2447" w:type="dxa"/>
            <w:vAlign w:val="center"/>
          </w:tcPr>
          <w:p w14:paraId="55975DCB">
            <w:pPr>
              <w:pStyle w:val="182"/>
              <w:bidi w:val="0"/>
              <w:rPr>
                <w:rFonts w:hint="eastAsia"/>
                <w:color w:val="auto"/>
                <w:lang w:val="en-US" w:eastAsia="zh-CN"/>
              </w:rPr>
            </w:pPr>
            <w:r>
              <w:rPr>
                <w:rFonts w:hint="eastAsia"/>
                <w:color w:val="auto"/>
              </w:rPr>
              <w:t>沙门村</w:t>
            </w:r>
          </w:p>
        </w:tc>
        <w:tc>
          <w:tcPr>
            <w:tcW w:w="2401" w:type="dxa"/>
            <w:vMerge w:val="continue"/>
            <w:vAlign w:val="center"/>
          </w:tcPr>
          <w:p w14:paraId="60CD59E1">
            <w:pPr>
              <w:pStyle w:val="182"/>
              <w:bidi w:val="0"/>
              <w:rPr>
                <w:color w:val="auto"/>
              </w:rPr>
            </w:pPr>
          </w:p>
        </w:tc>
        <w:tc>
          <w:tcPr>
            <w:tcW w:w="1274" w:type="dxa"/>
            <w:vMerge w:val="continue"/>
            <w:vAlign w:val="center"/>
          </w:tcPr>
          <w:p w14:paraId="47866690">
            <w:pPr>
              <w:pStyle w:val="182"/>
              <w:bidi w:val="0"/>
              <w:rPr>
                <w:color w:val="auto"/>
              </w:rPr>
            </w:pPr>
          </w:p>
        </w:tc>
        <w:tc>
          <w:tcPr>
            <w:tcW w:w="2370" w:type="dxa"/>
            <w:vMerge w:val="continue"/>
            <w:vAlign w:val="center"/>
          </w:tcPr>
          <w:p w14:paraId="11ECCEF8">
            <w:pPr>
              <w:pStyle w:val="182"/>
              <w:bidi w:val="0"/>
              <w:rPr>
                <w:color w:val="auto"/>
              </w:rPr>
            </w:pPr>
          </w:p>
        </w:tc>
      </w:tr>
      <w:tr w14:paraId="089E7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0CF76B2D">
            <w:pPr>
              <w:pStyle w:val="182"/>
              <w:bidi w:val="0"/>
              <w:rPr>
                <w:color w:val="auto"/>
              </w:rPr>
            </w:pPr>
          </w:p>
        </w:tc>
        <w:tc>
          <w:tcPr>
            <w:tcW w:w="2447" w:type="dxa"/>
            <w:vAlign w:val="center"/>
          </w:tcPr>
          <w:p w14:paraId="1E51D4C7">
            <w:pPr>
              <w:pStyle w:val="182"/>
              <w:bidi w:val="0"/>
              <w:rPr>
                <w:rFonts w:hint="eastAsia"/>
                <w:color w:val="auto"/>
                <w:lang w:val="en-US" w:eastAsia="zh-CN"/>
              </w:rPr>
            </w:pPr>
            <w:r>
              <w:rPr>
                <w:rFonts w:hint="eastAsia"/>
                <w:color w:val="auto"/>
              </w:rPr>
              <w:t>新乡职业技术学院</w:t>
            </w:r>
          </w:p>
        </w:tc>
        <w:tc>
          <w:tcPr>
            <w:tcW w:w="2401" w:type="dxa"/>
            <w:vMerge w:val="continue"/>
            <w:vAlign w:val="center"/>
          </w:tcPr>
          <w:p w14:paraId="521013F1">
            <w:pPr>
              <w:pStyle w:val="182"/>
              <w:bidi w:val="0"/>
              <w:rPr>
                <w:color w:val="auto"/>
              </w:rPr>
            </w:pPr>
          </w:p>
        </w:tc>
        <w:tc>
          <w:tcPr>
            <w:tcW w:w="1274" w:type="dxa"/>
            <w:vMerge w:val="continue"/>
            <w:vAlign w:val="center"/>
          </w:tcPr>
          <w:p w14:paraId="36AA5C37">
            <w:pPr>
              <w:pStyle w:val="182"/>
              <w:bidi w:val="0"/>
              <w:rPr>
                <w:color w:val="auto"/>
              </w:rPr>
            </w:pPr>
          </w:p>
        </w:tc>
        <w:tc>
          <w:tcPr>
            <w:tcW w:w="2370" w:type="dxa"/>
            <w:vMerge w:val="continue"/>
            <w:vAlign w:val="center"/>
          </w:tcPr>
          <w:p w14:paraId="5627E7A8">
            <w:pPr>
              <w:pStyle w:val="182"/>
              <w:bidi w:val="0"/>
              <w:rPr>
                <w:color w:val="auto"/>
              </w:rPr>
            </w:pPr>
          </w:p>
        </w:tc>
      </w:tr>
      <w:tr w14:paraId="47052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26D8D193">
            <w:pPr>
              <w:pStyle w:val="182"/>
              <w:bidi w:val="0"/>
              <w:rPr>
                <w:color w:val="auto"/>
              </w:rPr>
            </w:pPr>
          </w:p>
        </w:tc>
        <w:tc>
          <w:tcPr>
            <w:tcW w:w="2447" w:type="dxa"/>
            <w:vAlign w:val="center"/>
          </w:tcPr>
          <w:p w14:paraId="6E293A90">
            <w:pPr>
              <w:pStyle w:val="182"/>
              <w:bidi w:val="0"/>
              <w:rPr>
                <w:rFonts w:hint="eastAsia"/>
                <w:color w:val="auto"/>
                <w:lang w:val="en-US" w:eastAsia="zh-CN"/>
              </w:rPr>
            </w:pPr>
            <w:r>
              <w:rPr>
                <w:rFonts w:hint="eastAsia"/>
                <w:color w:val="auto"/>
              </w:rPr>
              <w:t>获小庄村</w:t>
            </w:r>
          </w:p>
        </w:tc>
        <w:tc>
          <w:tcPr>
            <w:tcW w:w="2401" w:type="dxa"/>
            <w:vMerge w:val="continue"/>
            <w:vAlign w:val="center"/>
          </w:tcPr>
          <w:p w14:paraId="650A2F60">
            <w:pPr>
              <w:pStyle w:val="182"/>
              <w:bidi w:val="0"/>
              <w:rPr>
                <w:color w:val="auto"/>
              </w:rPr>
            </w:pPr>
          </w:p>
        </w:tc>
        <w:tc>
          <w:tcPr>
            <w:tcW w:w="1274" w:type="dxa"/>
            <w:vMerge w:val="continue"/>
            <w:vAlign w:val="center"/>
          </w:tcPr>
          <w:p w14:paraId="5BFCEE32">
            <w:pPr>
              <w:pStyle w:val="182"/>
              <w:bidi w:val="0"/>
              <w:rPr>
                <w:color w:val="auto"/>
              </w:rPr>
            </w:pPr>
          </w:p>
        </w:tc>
        <w:tc>
          <w:tcPr>
            <w:tcW w:w="2370" w:type="dxa"/>
            <w:vMerge w:val="continue"/>
            <w:vAlign w:val="center"/>
          </w:tcPr>
          <w:p w14:paraId="14F5E996">
            <w:pPr>
              <w:pStyle w:val="182"/>
              <w:bidi w:val="0"/>
              <w:rPr>
                <w:color w:val="auto"/>
              </w:rPr>
            </w:pPr>
          </w:p>
        </w:tc>
      </w:tr>
      <w:tr w14:paraId="69F50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47C64724">
            <w:pPr>
              <w:pStyle w:val="182"/>
              <w:bidi w:val="0"/>
              <w:rPr>
                <w:color w:val="auto"/>
              </w:rPr>
            </w:pPr>
          </w:p>
        </w:tc>
        <w:tc>
          <w:tcPr>
            <w:tcW w:w="2447" w:type="dxa"/>
            <w:vAlign w:val="center"/>
          </w:tcPr>
          <w:p w14:paraId="1A9CA13A">
            <w:pPr>
              <w:pStyle w:val="182"/>
              <w:bidi w:val="0"/>
              <w:rPr>
                <w:rFonts w:hint="eastAsia"/>
                <w:color w:val="auto"/>
                <w:lang w:val="en-US" w:eastAsia="zh-CN"/>
              </w:rPr>
            </w:pPr>
            <w:r>
              <w:rPr>
                <w:rFonts w:hint="eastAsia"/>
                <w:color w:val="auto"/>
              </w:rPr>
              <w:t>小杨庄村</w:t>
            </w:r>
          </w:p>
        </w:tc>
        <w:tc>
          <w:tcPr>
            <w:tcW w:w="2401" w:type="dxa"/>
            <w:vMerge w:val="continue"/>
            <w:vAlign w:val="center"/>
          </w:tcPr>
          <w:p w14:paraId="0AD9F8AC">
            <w:pPr>
              <w:pStyle w:val="182"/>
              <w:bidi w:val="0"/>
              <w:rPr>
                <w:color w:val="auto"/>
              </w:rPr>
            </w:pPr>
          </w:p>
        </w:tc>
        <w:tc>
          <w:tcPr>
            <w:tcW w:w="1274" w:type="dxa"/>
            <w:vMerge w:val="continue"/>
            <w:vAlign w:val="center"/>
          </w:tcPr>
          <w:p w14:paraId="4490B501">
            <w:pPr>
              <w:pStyle w:val="182"/>
              <w:bidi w:val="0"/>
              <w:rPr>
                <w:color w:val="auto"/>
              </w:rPr>
            </w:pPr>
          </w:p>
        </w:tc>
        <w:tc>
          <w:tcPr>
            <w:tcW w:w="2370" w:type="dxa"/>
            <w:vMerge w:val="continue"/>
            <w:vAlign w:val="center"/>
          </w:tcPr>
          <w:p w14:paraId="0463313C">
            <w:pPr>
              <w:pStyle w:val="182"/>
              <w:bidi w:val="0"/>
              <w:rPr>
                <w:color w:val="auto"/>
              </w:rPr>
            </w:pPr>
          </w:p>
        </w:tc>
      </w:tr>
      <w:tr w14:paraId="1F929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Align w:val="center"/>
          </w:tcPr>
          <w:p w14:paraId="12A2E7DE">
            <w:pPr>
              <w:pStyle w:val="182"/>
              <w:bidi w:val="0"/>
              <w:rPr>
                <w:color w:val="auto"/>
              </w:rPr>
            </w:pPr>
            <w:r>
              <w:rPr>
                <w:rFonts w:hint="eastAsia"/>
                <w:color w:val="auto"/>
              </w:rPr>
              <w:t>噪声</w:t>
            </w:r>
          </w:p>
        </w:tc>
        <w:tc>
          <w:tcPr>
            <w:tcW w:w="2447" w:type="dxa"/>
            <w:vAlign w:val="center"/>
          </w:tcPr>
          <w:p w14:paraId="019B5E80">
            <w:pPr>
              <w:pStyle w:val="182"/>
              <w:bidi w:val="0"/>
              <w:rPr>
                <w:color w:val="auto"/>
              </w:rPr>
            </w:pPr>
            <w:r>
              <w:rPr>
                <w:rFonts w:hint="eastAsia"/>
                <w:color w:val="auto"/>
              </w:rPr>
              <w:t>厂界四周及周围敏感点</w:t>
            </w:r>
          </w:p>
        </w:tc>
        <w:tc>
          <w:tcPr>
            <w:tcW w:w="2401" w:type="dxa"/>
            <w:vAlign w:val="center"/>
          </w:tcPr>
          <w:p w14:paraId="2CC23985">
            <w:pPr>
              <w:pStyle w:val="182"/>
              <w:bidi w:val="0"/>
              <w:rPr>
                <w:color w:val="auto"/>
                <w:highlight w:val="none"/>
              </w:rPr>
            </w:pPr>
            <w:r>
              <w:rPr>
                <w:rFonts w:hint="eastAsia"/>
                <w:color w:val="auto"/>
                <w:highlight w:val="none"/>
              </w:rPr>
              <w:t>等效A声级</w:t>
            </w:r>
          </w:p>
        </w:tc>
        <w:tc>
          <w:tcPr>
            <w:tcW w:w="1274" w:type="dxa"/>
            <w:vAlign w:val="center"/>
          </w:tcPr>
          <w:p w14:paraId="0E67EF1B">
            <w:pPr>
              <w:pStyle w:val="182"/>
              <w:bidi w:val="0"/>
              <w:rPr>
                <w:color w:val="auto"/>
                <w:highlight w:val="none"/>
              </w:rPr>
            </w:pPr>
            <w:r>
              <w:rPr>
                <w:rFonts w:hint="eastAsia"/>
                <w:color w:val="auto"/>
                <w:highlight w:val="none"/>
              </w:rPr>
              <w:t>本次环评监测</w:t>
            </w:r>
          </w:p>
        </w:tc>
        <w:tc>
          <w:tcPr>
            <w:tcW w:w="2370" w:type="dxa"/>
            <w:vAlign w:val="center"/>
          </w:tcPr>
          <w:p w14:paraId="6380542D">
            <w:pPr>
              <w:pStyle w:val="182"/>
              <w:bidi w:val="0"/>
              <w:rPr>
                <w:rFonts w:hint="default"/>
                <w:color w:val="auto"/>
                <w:highlight w:val="none"/>
                <w:lang w:val="en-US"/>
              </w:rPr>
            </w:pPr>
            <w:r>
              <w:rPr>
                <w:rFonts w:hint="eastAsia"/>
                <w:b w:val="0"/>
                <w:bCs w:val="0"/>
                <w:color w:val="auto"/>
                <w:highlight w:val="none"/>
                <w:lang w:val="en-US" w:eastAsia="zh-CN"/>
              </w:rPr>
              <w:t>2024.04.07</w:t>
            </w:r>
            <w:r>
              <w:rPr>
                <w:color w:val="auto"/>
                <w:highlight w:val="none"/>
              </w:rPr>
              <w:t xml:space="preserve"> </w:t>
            </w:r>
            <w:r>
              <w:rPr>
                <w:rFonts w:hint="eastAsia"/>
                <w:color w:val="auto"/>
                <w:highlight w:val="none"/>
              </w:rPr>
              <w:t>~</w:t>
            </w:r>
            <w:r>
              <w:rPr>
                <w:rFonts w:hint="eastAsia"/>
                <w:b w:val="0"/>
                <w:bCs w:val="0"/>
                <w:color w:val="auto"/>
                <w:highlight w:val="none"/>
                <w:lang w:val="en-US" w:eastAsia="zh-CN"/>
              </w:rPr>
              <w:t>2024.04.08</w:t>
            </w:r>
          </w:p>
        </w:tc>
      </w:tr>
      <w:tr w14:paraId="1F2B2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restart"/>
            <w:vAlign w:val="center"/>
          </w:tcPr>
          <w:p w14:paraId="72C8E215">
            <w:pPr>
              <w:pStyle w:val="182"/>
              <w:bidi w:val="0"/>
              <w:rPr>
                <w:color w:val="auto"/>
              </w:rPr>
            </w:pPr>
            <w:r>
              <w:rPr>
                <w:rFonts w:hint="eastAsia"/>
                <w:color w:val="auto"/>
              </w:rPr>
              <w:t>土壤</w:t>
            </w:r>
          </w:p>
        </w:tc>
        <w:tc>
          <w:tcPr>
            <w:tcW w:w="2447" w:type="dxa"/>
            <w:vAlign w:val="center"/>
          </w:tcPr>
          <w:p w14:paraId="1C2BEE9D">
            <w:pPr>
              <w:widowControl/>
              <w:spacing w:line="240" w:lineRule="auto"/>
              <w:jc w:val="center"/>
              <w:textAlignment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S1：拟建车间</w:t>
            </w:r>
            <w:r>
              <w:rPr>
                <w:rFonts w:hint="eastAsia" w:cs="Times New Roman"/>
                <w:color w:val="auto"/>
                <w:sz w:val="21"/>
                <w:szCs w:val="21"/>
                <w:highlight w:val="none"/>
                <w:lang w:val="en-US" w:eastAsia="zh-CN"/>
              </w:rPr>
              <w:t>DT溶剂</w:t>
            </w:r>
            <w:r>
              <w:rPr>
                <w:rFonts w:hint="default" w:cs="Times New Roman"/>
                <w:color w:val="auto"/>
                <w:sz w:val="21"/>
                <w:szCs w:val="21"/>
                <w:highlight w:val="none"/>
                <w:lang w:val="en-US" w:eastAsia="zh-CN"/>
              </w:rPr>
              <w:t>生产线位置（0-0.2m）</w:t>
            </w:r>
          </w:p>
          <w:p w14:paraId="613BE321">
            <w:pPr>
              <w:widowControl/>
              <w:spacing w:line="240" w:lineRule="auto"/>
              <w:ind w:firstLine="420" w:firstLineChars="200"/>
              <w:jc w:val="center"/>
              <w:textAlignment w:val="center"/>
              <w:rPr>
                <w:rFonts w:hint="default" w:eastAsia="宋体"/>
                <w:color w:val="auto"/>
                <w:lang w:val="en-US" w:eastAsia="zh-CN"/>
              </w:rPr>
            </w:pPr>
            <w:r>
              <w:rPr>
                <w:rFonts w:hint="eastAsia" w:cs="Times New Roman"/>
                <w:color w:val="000000"/>
                <w:sz w:val="21"/>
                <w:szCs w:val="21"/>
                <w:highlight w:val="none"/>
                <w:lang w:val="en-US" w:eastAsia="zh-CN"/>
              </w:rPr>
              <w:t>(E:114.06158708</w:t>
            </w:r>
            <w:r>
              <w:rPr>
                <w:rFonts w:hint="default" w:ascii="Times New Roman" w:hAnsi="Times New Roman" w:cs="Times New Roman"/>
                <w:color w:val="000000"/>
                <w:sz w:val="21"/>
                <w:szCs w:val="21"/>
                <w:highlight w:val="none"/>
                <w:lang w:val="en-US" w:eastAsia="zh-CN"/>
              </w:rPr>
              <w:t>°</w:t>
            </w:r>
            <w:r>
              <w:rPr>
                <w:rFonts w:hint="eastAsia" w:cs="Times New Roman"/>
                <w:color w:val="000000"/>
                <w:sz w:val="21"/>
                <w:szCs w:val="21"/>
                <w:highlight w:val="none"/>
                <w:lang w:val="en-US" w:eastAsia="zh-CN"/>
              </w:rPr>
              <w:t>，N:35.27840713</w:t>
            </w:r>
            <w:r>
              <w:rPr>
                <w:rFonts w:hint="default" w:ascii="Times New Roman" w:hAnsi="Times New Roman" w:cs="Times New Roman"/>
                <w:color w:val="000000"/>
                <w:sz w:val="21"/>
                <w:szCs w:val="21"/>
                <w:highlight w:val="none"/>
                <w:lang w:val="en-US" w:eastAsia="zh-CN"/>
              </w:rPr>
              <w:t>°</w:t>
            </w:r>
            <w:r>
              <w:rPr>
                <w:rFonts w:hint="eastAsia" w:cs="Times New Roman"/>
                <w:color w:val="000000"/>
                <w:sz w:val="21"/>
                <w:szCs w:val="21"/>
                <w:highlight w:val="none"/>
                <w:lang w:val="en-US" w:eastAsia="zh-CN"/>
              </w:rPr>
              <w:t>)</w:t>
            </w:r>
          </w:p>
        </w:tc>
        <w:tc>
          <w:tcPr>
            <w:tcW w:w="2401" w:type="dxa"/>
            <w:vMerge w:val="restart"/>
            <w:vAlign w:val="center"/>
          </w:tcPr>
          <w:p w14:paraId="554032A4">
            <w:pPr>
              <w:pStyle w:val="182"/>
              <w:bidi w:val="0"/>
              <w:rPr>
                <w:rFonts w:hint="default" w:eastAsia="宋体"/>
                <w:b w:val="0"/>
                <w:bCs w:val="0"/>
                <w:color w:val="auto"/>
                <w:highlight w:val="none"/>
                <w:lang w:val="en-US" w:eastAsia="zh-CN"/>
              </w:rPr>
            </w:pPr>
            <w:r>
              <w:rPr>
                <w:rFonts w:hint="eastAsia"/>
                <w:b w:val="0"/>
                <w:bCs w:val="0"/>
                <w:color w:val="auto"/>
                <w:highlight w:val="none"/>
              </w:rPr>
              <w:t>砷、镉、铬</w:t>
            </w:r>
            <w:r>
              <w:rPr>
                <w:rFonts w:hint="eastAsia"/>
                <w:b w:val="0"/>
                <w:bCs w:val="0"/>
                <w:color w:val="auto"/>
                <w:highlight w:val="none"/>
                <w:lang w:eastAsia="zh-CN"/>
              </w:rPr>
              <w:t>（</w:t>
            </w:r>
            <w:r>
              <w:rPr>
                <w:rFonts w:hint="eastAsia"/>
                <w:b w:val="0"/>
                <w:bCs w:val="0"/>
                <w:color w:val="auto"/>
                <w:highlight w:val="none"/>
              </w:rPr>
              <w:t>六价</w:t>
            </w:r>
            <w:r>
              <w:rPr>
                <w:rFonts w:hint="eastAsia"/>
                <w:b w:val="0"/>
                <w:bCs w:val="0"/>
                <w:color w:val="auto"/>
                <w:highlight w:val="none"/>
                <w:lang w:eastAsia="zh-CN"/>
              </w:rPr>
              <w:t>）</w:t>
            </w:r>
            <w:r>
              <w:rPr>
                <w:rFonts w:hint="eastAsia"/>
                <w:b w:val="0"/>
                <w:bCs w:val="0"/>
                <w:color w:val="auto"/>
                <w:highlight w:val="none"/>
              </w:rPr>
              <w:t>、铜、铅、汞、镍、四氯化碳、氯仿、氯甲烷、</w:t>
            </w:r>
            <w:r>
              <w:rPr>
                <w:b w:val="0"/>
                <w:bCs w:val="0"/>
                <w:color w:val="auto"/>
                <w:highlight w:val="none"/>
              </w:rPr>
              <w:t>1,1</w:t>
            </w:r>
            <w:r>
              <w:rPr>
                <w:rFonts w:hint="eastAsia"/>
                <w:b w:val="0"/>
                <w:bCs w:val="0"/>
                <w:color w:val="auto"/>
                <w:highlight w:val="none"/>
                <w:lang w:eastAsia="zh-CN"/>
              </w:rPr>
              <w:t>－</w:t>
            </w:r>
            <w:r>
              <w:rPr>
                <w:rFonts w:hint="eastAsia"/>
                <w:b w:val="0"/>
                <w:bCs w:val="0"/>
                <w:color w:val="auto"/>
                <w:highlight w:val="none"/>
              </w:rPr>
              <w:t>二氯乙烷、</w:t>
            </w:r>
            <w:r>
              <w:rPr>
                <w:b w:val="0"/>
                <w:bCs w:val="0"/>
                <w:color w:val="auto"/>
                <w:highlight w:val="none"/>
              </w:rPr>
              <w:t>1,2</w:t>
            </w:r>
            <w:r>
              <w:rPr>
                <w:rFonts w:hint="eastAsia"/>
                <w:b w:val="0"/>
                <w:bCs w:val="0"/>
                <w:color w:val="auto"/>
                <w:highlight w:val="none"/>
                <w:lang w:eastAsia="zh-CN"/>
              </w:rPr>
              <w:t>－</w:t>
            </w:r>
            <w:r>
              <w:rPr>
                <w:rFonts w:hint="eastAsia"/>
                <w:b w:val="0"/>
                <w:bCs w:val="0"/>
                <w:color w:val="auto"/>
                <w:highlight w:val="none"/>
              </w:rPr>
              <w:t>二氯乙烷、</w:t>
            </w:r>
            <w:r>
              <w:rPr>
                <w:b w:val="0"/>
                <w:bCs w:val="0"/>
                <w:color w:val="auto"/>
                <w:highlight w:val="none"/>
              </w:rPr>
              <w:t>1,1</w:t>
            </w:r>
            <w:r>
              <w:rPr>
                <w:rFonts w:hint="eastAsia"/>
                <w:b w:val="0"/>
                <w:bCs w:val="0"/>
                <w:color w:val="auto"/>
                <w:highlight w:val="none"/>
                <w:lang w:eastAsia="zh-CN"/>
              </w:rPr>
              <w:t>－</w:t>
            </w:r>
            <w:r>
              <w:rPr>
                <w:rFonts w:hint="eastAsia"/>
                <w:b w:val="0"/>
                <w:bCs w:val="0"/>
                <w:color w:val="auto"/>
                <w:highlight w:val="none"/>
              </w:rPr>
              <w:t>二氯乙烯、顺</w:t>
            </w:r>
            <w:r>
              <w:rPr>
                <w:b w:val="0"/>
                <w:bCs w:val="0"/>
                <w:color w:val="auto"/>
                <w:highlight w:val="none"/>
              </w:rPr>
              <w:t>-1,2-</w:t>
            </w:r>
            <w:r>
              <w:rPr>
                <w:rFonts w:hint="eastAsia"/>
                <w:b w:val="0"/>
                <w:bCs w:val="0"/>
                <w:color w:val="auto"/>
                <w:highlight w:val="none"/>
              </w:rPr>
              <w:t>二氯乙烯、反</w:t>
            </w:r>
            <w:r>
              <w:rPr>
                <w:b w:val="0"/>
                <w:bCs w:val="0"/>
                <w:color w:val="auto"/>
                <w:highlight w:val="none"/>
              </w:rPr>
              <w:t>-1,2-</w:t>
            </w:r>
            <w:r>
              <w:rPr>
                <w:rFonts w:hint="eastAsia"/>
                <w:b w:val="0"/>
                <w:bCs w:val="0"/>
                <w:color w:val="auto"/>
                <w:highlight w:val="none"/>
              </w:rPr>
              <w:t>二氯乙烯、二氯甲烷、</w:t>
            </w:r>
            <w:r>
              <w:rPr>
                <w:b w:val="0"/>
                <w:bCs w:val="0"/>
                <w:color w:val="auto"/>
                <w:highlight w:val="none"/>
              </w:rPr>
              <w:t>1,2-</w:t>
            </w:r>
            <w:r>
              <w:rPr>
                <w:rFonts w:hint="eastAsia"/>
                <w:b w:val="0"/>
                <w:bCs w:val="0"/>
                <w:color w:val="auto"/>
                <w:highlight w:val="none"/>
              </w:rPr>
              <w:t>二氯丙烷、</w:t>
            </w:r>
            <w:r>
              <w:rPr>
                <w:b w:val="0"/>
                <w:bCs w:val="0"/>
                <w:color w:val="auto"/>
                <w:highlight w:val="none"/>
              </w:rPr>
              <w:t>1,1,1,2-</w:t>
            </w:r>
            <w:r>
              <w:rPr>
                <w:rFonts w:hint="eastAsia"/>
                <w:b w:val="0"/>
                <w:bCs w:val="0"/>
                <w:color w:val="auto"/>
                <w:highlight w:val="none"/>
              </w:rPr>
              <w:t>四氯乙烷、</w:t>
            </w:r>
            <w:r>
              <w:rPr>
                <w:b w:val="0"/>
                <w:bCs w:val="0"/>
                <w:color w:val="auto"/>
                <w:highlight w:val="none"/>
              </w:rPr>
              <w:t>1,1,2,2-</w:t>
            </w:r>
            <w:r>
              <w:rPr>
                <w:rFonts w:hint="eastAsia"/>
                <w:b w:val="0"/>
                <w:bCs w:val="0"/>
                <w:color w:val="auto"/>
                <w:highlight w:val="none"/>
              </w:rPr>
              <w:t>四氯乙烷、四氯乙烯、</w:t>
            </w:r>
            <w:r>
              <w:rPr>
                <w:b w:val="0"/>
                <w:bCs w:val="0"/>
                <w:color w:val="auto"/>
                <w:highlight w:val="none"/>
              </w:rPr>
              <w:t>1,1,1,-</w:t>
            </w:r>
            <w:r>
              <w:rPr>
                <w:rFonts w:hint="eastAsia"/>
                <w:b w:val="0"/>
                <w:bCs w:val="0"/>
                <w:color w:val="auto"/>
                <w:highlight w:val="none"/>
              </w:rPr>
              <w:t>三氯乙烷、</w:t>
            </w:r>
            <w:r>
              <w:rPr>
                <w:b w:val="0"/>
                <w:bCs w:val="0"/>
                <w:color w:val="auto"/>
                <w:highlight w:val="none"/>
              </w:rPr>
              <w:t>1,1,2-</w:t>
            </w:r>
            <w:r>
              <w:rPr>
                <w:rFonts w:hint="eastAsia"/>
                <w:b w:val="0"/>
                <w:bCs w:val="0"/>
                <w:color w:val="auto"/>
                <w:highlight w:val="none"/>
              </w:rPr>
              <w:t>三氯乙烷、三氯乙烯、</w:t>
            </w:r>
            <w:r>
              <w:rPr>
                <w:b w:val="0"/>
                <w:bCs w:val="0"/>
                <w:color w:val="auto"/>
                <w:highlight w:val="none"/>
              </w:rPr>
              <w:t>1,2,3-</w:t>
            </w:r>
            <w:r>
              <w:rPr>
                <w:rFonts w:hint="eastAsia"/>
                <w:b w:val="0"/>
                <w:bCs w:val="0"/>
                <w:color w:val="auto"/>
                <w:highlight w:val="none"/>
              </w:rPr>
              <w:t>三氯丙烷、氯乙烯、苯、氯苯、</w:t>
            </w:r>
            <w:r>
              <w:rPr>
                <w:b w:val="0"/>
                <w:bCs w:val="0"/>
                <w:color w:val="auto"/>
                <w:highlight w:val="none"/>
              </w:rPr>
              <w:t>1,2-</w:t>
            </w:r>
            <w:r>
              <w:rPr>
                <w:rFonts w:hint="eastAsia"/>
                <w:b w:val="0"/>
                <w:bCs w:val="0"/>
                <w:color w:val="auto"/>
                <w:highlight w:val="none"/>
              </w:rPr>
              <w:t>二氯苯、</w:t>
            </w:r>
            <w:r>
              <w:rPr>
                <w:b w:val="0"/>
                <w:bCs w:val="0"/>
                <w:color w:val="auto"/>
                <w:highlight w:val="none"/>
              </w:rPr>
              <w:t>1,4-</w:t>
            </w:r>
            <w:r>
              <w:rPr>
                <w:rFonts w:hint="eastAsia"/>
                <w:b w:val="0"/>
                <w:bCs w:val="0"/>
                <w:color w:val="auto"/>
                <w:highlight w:val="none"/>
              </w:rPr>
              <w:t>二氯苯、乙苯、苯乙烯、甲苯、间二甲苯</w:t>
            </w:r>
            <w:r>
              <w:rPr>
                <w:b w:val="0"/>
                <w:bCs w:val="0"/>
                <w:color w:val="auto"/>
                <w:highlight w:val="none"/>
              </w:rPr>
              <w:t>+</w:t>
            </w:r>
            <w:r>
              <w:rPr>
                <w:rFonts w:hint="eastAsia"/>
                <w:b w:val="0"/>
                <w:bCs w:val="0"/>
                <w:color w:val="auto"/>
                <w:highlight w:val="none"/>
              </w:rPr>
              <w:t>对二甲苯、邻二甲苯、硝基苯、苯胺、</w:t>
            </w:r>
            <w:r>
              <w:rPr>
                <w:b w:val="0"/>
                <w:bCs w:val="0"/>
                <w:color w:val="auto"/>
                <w:highlight w:val="none"/>
              </w:rPr>
              <w:t>2-</w:t>
            </w:r>
            <w:r>
              <w:rPr>
                <w:rFonts w:hint="eastAsia"/>
                <w:b w:val="0"/>
                <w:bCs w:val="0"/>
                <w:color w:val="auto"/>
                <w:highlight w:val="none"/>
              </w:rPr>
              <w:t>氯酚、苯并</w:t>
            </w:r>
            <w:r>
              <w:rPr>
                <w:b w:val="0"/>
                <w:bCs w:val="0"/>
                <w:color w:val="auto"/>
                <w:highlight w:val="none"/>
              </w:rPr>
              <w:t>(a)</w:t>
            </w:r>
            <w:r>
              <w:rPr>
                <w:rFonts w:hint="eastAsia"/>
                <w:b w:val="0"/>
                <w:bCs w:val="0"/>
                <w:color w:val="auto"/>
                <w:highlight w:val="none"/>
              </w:rPr>
              <w:t>蒽、苯并</w:t>
            </w:r>
            <w:r>
              <w:rPr>
                <w:b w:val="0"/>
                <w:bCs w:val="0"/>
                <w:color w:val="auto"/>
                <w:highlight w:val="none"/>
              </w:rPr>
              <w:t>(a)</w:t>
            </w:r>
            <w:r>
              <w:rPr>
                <w:rFonts w:hint="eastAsia"/>
                <w:b w:val="0"/>
                <w:bCs w:val="0"/>
                <w:color w:val="auto"/>
                <w:highlight w:val="none"/>
              </w:rPr>
              <w:t>芘、苯并</w:t>
            </w:r>
            <w:r>
              <w:rPr>
                <w:b w:val="0"/>
                <w:bCs w:val="0"/>
                <w:color w:val="auto"/>
                <w:highlight w:val="none"/>
              </w:rPr>
              <w:t>(b)</w:t>
            </w:r>
            <w:r>
              <w:rPr>
                <w:rFonts w:hint="eastAsia"/>
                <w:b w:val="0"/>
                <w:bCs w:val="0"/>
                <w:color w:val="auto"/>
                <w:highlight w:val="none"/>
              </w:rPr>
              <w:t>荧蒽、苯并</w:t>
            </w:r>
            <w:r>
              <w:rPr>
                <w:b w:val="0"/>
                <w:bCs w:val="0"/>
                <w:color w:val="auto"/>
                <w:highlight w:val="none"/>
              </w:rPr>
              <w:t>(k)</w:t>
            </w:r>
            <w:r>
              <w:rPr>
                <w:rFonts w:hint="eastAsia"/>
                <w:b w:val="0"/>
                <w:bCs w:val="0"/>
                <w:color w:val="auto"/>
                <w:highlight w:val="none"/>
              </w:rPr>
              <w:t>荧蒽、䓛、二苯并(a,h)蒽、茚并(1,2,3-cd)芘、萘</w:t>
            </w:r>
            <w:r>
              <w:rPr>
                <w:rFonts w:hint="eastAsia"/>
                <w:b w:val="0"/>
                <w:bCs w:val="0"/>
                <w:color w:val="auto"/>
                <w:highlight w:val="none"/>
                <w:lang w:eastAsia="zh-CN"/>
              </w:rPr>
              <w:t>、</w:t>
            </w:r>
            <w:r>
              <w:rPr>
                <w:rFonts w:hint="eastAsia"/>
                <w:b w:val="0"/>
                <w:bCs w:val="0"/>
                <w:color w:val="auto"/>
                <w:highlight w:val="none"/>
                <w:lang w:val="en-US" w:eastAsia="zh-CN"/>
              </w:rPr>
              <w:t>pH、石油烃</w:t>
            </w:r>
          </w:p>
        </w:tc>
        <w:tc>
          <w:tcPr>
            <w:tcW w:w="1274" w:type="dxa"/>
            <w:vMerge w:val="restart"/>
            <w:vAlign w:val="center"/>
          </w:tcPr>
          <w:p w14:paraId="6530C275">
            <w:pPr>
              <w:pStyle w:val="182"/>
              <w:bidi w:val="0"/>
              <w:rPr>
                <w:b w:val="0"/>
                <w:bCs w:val="0"/>
                <w:color w:val="auto"/>
                <w:highlight w:val="none"/>
              </w:rPr>
            </w:pPr>
            <w:r>
              <w:rPr>
                <w:rFonts w:hint="eastAsia"/>
                <w:b w:val="0"/>
                <w:bCs w:val="0"/>
                <w:color w:val="auto"/>
                <w:highlight w:val="none"/>
              </w:rPr>
              <w:t>本次环评监测</w:t>
            </w:r>
          </w:p>
        </w:tc>
        <w:tc>
          <w:tcPr>
            <w:tcW w:w="2370" w:type="dxa"/>
            <w:vMerge w:val="restart"/>
            <w:vAlign w:val="center"/>
          </w:tcPr>
          <w:p w14:paraId="2DFE77B1">
            <w:pPr>
              <w:pStyle w:val="182"/>
              <w:bidi w:val="0"/>
              <w:rPr>
                <w:rFonts w:hint="default" w:eastAsia="宋体"/>
                <w:b w:val="0"/>
                <w:bCs w:val="0"/>
                <w:color w:val="auto"/>
                <w:highlight w:val="none"/>
                <w:lang w:val="en-US" w:eastAsia="zh-CN"/>
              </w:rPr>
            </w:pPr>
            <w:r>
              <w:rPr>
                <w:rFonts w:hint="eastAsia"/>
                <w:b w:val="0"/>
                <w:bCs w:val="0"/>
                <w:color w:val="auto"/>
                <w:highlight w:val="none"/>
                <w:lang w:val="en-US" w:eastAsia="zh-CN"/>
              </w:rPr>
              <w:t>2024.04.07</w:t>
            </w:r>
          </w:p>
        </w:tc>
      </w:tr>
      <w:tr w14:paraId="62FAF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3AB497A5">
            <w:pPr>
              <w:pStyle w:val="182"/>
              <w:bidi w:val="0"/>
              <w:rPr>
                <w:color w:val="auto"/>
              </w:rPr>
            </w:pPr>
          </w:p>
        </w:tc>
        <w:tc>
          <w:tcPr>
            <w:tcW w:w="2447" w:type="dxa"/>
            <w:vAlign w:val="center"/>
          </w:tcPr>
          <w:p w14:paraId="57B3F981">
            <w:pPr>
              <w:widowControl/>
              <w:spacing w:line="240" w:lineRule="auto"/>
              <w:jc w:val="center"/>
              <w:textAlignment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S2：拟建车间</w:t>
            </w:r>
            <w:r>
              <w:rPr>
                <w:rFonts w:hint="eastAsia" w:cs="Times New Roman"/>
                <w:color w:val="auto"/>
                <w:sz w:val="21"/>
                <w:szCs w:val="21"/>
                <w:highlight w:val="none"/>
                <w:lang w:val="en-US" w:eastAsia="zh-CN"/>
              </w:rPr>
              <w:t>DT溶剂</w:t>
            </w:r>
            <w:r>
              <w:rPr>
                <w:rFonts w:hint="default" w:cs="Times New Roman"/>
                <w:color w:val="auto"/>
                <w:sz w:val="21"/>
                <w:szCs w:val="21"/>
                <w:highlight w:val="none"/>
                <w:lang w:val="en-US" w:eastAsia="zh-CN"/>
              </w:rPr>
              <w:t>生产线位置（0-0.2m）</w:t>
            </w:r>
          </w:p>
          <w:p w14:paraId="155AC8AD">
            <w:pPr>
              <w:widowControl/>
              <w:spacing w:line="240" w:lineRule="auto"/>
              <w:ind w:firstLine="420" w:firstLineChars="200"/>
              <w:jc w:val="center"/>
              <w:textAlignment w:val="center"/>
              <w:rPr>
                <w:rFonts w:hint="default" w:eastAsia="宋体"/>
                <w:color w:val="auto"/>
                <w:lang w:val="en-US" w:eastAsia="zh-CN"/>
              </w:rPr>
            </w:pPr>
            <w:r>
              <w:rPr>
                <w:rFonts w:hint="eastAsia" w:cs="Times New Roman"/>
                <w:color w:val="000000"/>
                <w:sz w:val="21"/>
                <w:szCs w:val="21"/>
                <w:highlight w:val="none"/>
                <w:lang w:val="en-US" w:eastAsia="zh-CN"/>
              </w:rPr>
              <w:t>(E:114.06107294</w:t>
            </w:r>
            <w:r>
              <w:rPr>
                <w:rFonts w:hint="default" w:ascii="Times New Roman" w:hAnsi="Times New Roman" w:cs="Times New Roman"/>
                <w:color w:val="000000"/>
                <w:sz w:val="21"/>
                <w:szCs w:val="21"/>
                <w:highlight w:val="none"/>
                <w:lang w:val="en-US" w:eastAsia="zh-CN"/>
              </w:rPr>
              <w:t>°</w:t>
            </w:r>
            <w:r>
              <w:rPr>
                <w:rFonts w:hint="eastAsia" w:ascii="Times New Roman" w:hAnsi="Times New Roman" w:cs="Times New Roman"/>
                <w:color w:val="000000"/>
                <w:sz w:val="21"/>
                <w:szCs w:val="21"/>
                <w:highlight w:val="none"/>
                <w:lang w:val="en-US" w:eastAsia="zh-CN"/>
              </w:rPr>
              <w:t>，</w:t>
            </w:r>
            <w:r>
              <w:rPr>
                <w:rFonts w:hint="eastAsia" w:cs="Times New Roman"/>
                <w:color w:val="000000"/>
                <w:sz w:val="21"/>
                <w:szCs w:val="21"/>
                <w:highlight w:val="none"/>
                <w:lang w:val="en-US" w:eastAsia="zh-CN"/>
              </w:rPr>
              <w:t>N:35.27853412</w:t>
            </w:r>
            <w:r>
              <w:rPr>
                <w:rFonts w:hint="default" w:ascii="Times New Roman" w:hAnsi="Times New Roman" w:cs="Times New Roman"/>
                <w:color w:val="000000"/>
                <w:sz w:val="21"/>
                <w:szCs w:val="21"/>
                <w:highlight w:val="none"/>
                <w:lang w:val="en-US" w:eastAsia="zh-CN"/>
              </w:rPr>
              <w:t>°</w:t>
            </w:r>
            <w:r>
              <w:rPr>
                <w:rFonts w:hint="eastAsia" w:cs="Times New Roman"/>
                <w:color w:val="000000"/>
                <w:sz w:val="21"/>
                <w:szCs w:val="21"/>
                <w:highlight w:val="none"/>
                <w:lang w:val="en-US" w:eastAsia="zh-CN"/>
              </w:rPr>
              <w:t>)</w:t>
            </w:r>
          </w:p>
        </w:tc>
        <w:tc>
          <w:tcPr>
            <w:tcW w:w="2401" w:type="dxa"/>
            <w:vMerge w:val="continue"/>
            <w:vAlign w:val="center"/>
          </w:tcPr>
          <w:p w14:paraId="2710CF07">
            <w:pPr>
              <w:pStyle w:val="182"/>
              <w:bidi w:val="0"/>
              <w:rPr>
                <w:color w:val="auto"/>
              </w:rPr>
            </w:pPr>
          </w:p>
        </w:tc>
        <w:tc>
          <w:tcPr>
            <w:tcW w:w="1274" w:type="dxa"/>
            <w:vMerge w:val="continue"/>
            <w:vAlign w:val="center"/>
          </w:tcPr>
          <w:p w14:paraId="2A40C3F1">
            <w:pPr>
              <w:pStyle w:val="182"/>
              <w:bidi w:val="0"/>
              <w:rPr>
                <w:color w:val="auto"/>
              </w:rPr>
            </w:pPr>
          </w:p>
        </w:tc>
        <w:tc>
          <w:tcPr>
            <w:tcW w:w="2370" w:type="dxa"/>
            <w:vMerge w:val="continue"/>
            <w:vAlign w:val="center"/>
          </w:tcPr>
          <w:p w14:paraId="0BFCBE57">
            <w:pPr>
              <w:pStyle w:val="182"/>
              <w:bidi w:val="0"/>
              <w:rPr>
                <w:color w:val="auto"/>
              </w:rPr>
            </w:pPr>
          </w:p>
        </w:tc>
      </w:tr>
      <w:tr w14:paraId="14382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7" w:type="dxa"/>
            <w:vMerge w:val="continue"/>
            <w:vAlign w:val="center"/>
          </w:tcPr>
          <w:p w14:paraId="15EEDF8D">
            <w:pPr>
              <w:pStyle w:val="182"/>
              <w:bidi w:val="0"/>
              <w:rPr>
                <w:color w:val="auto"/>
              </w:rPr>
            </w:pPr>
          </w:p>
        </w:tc>
        <w:tc>
          <w:tcPr>
            <w:tcW w:w="2447" w:type="dxa"/>
            <w:vAlign w:val="center"/>
          </w:tcPr>
          <w:p w14:paraId="5817AC49">
            <w:pPr>
              <w:widowControl/>
              <w:spacing w:line="240" w:lineRule="auto"/>
              <w:jc w:val="center"/>
              <w:textAlignment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S3：拟建车间</w:t>
            </w:r>
            <w:r>
              <w:rPr>
                <w:rFonts w:hint="eastAsia" w:cs="Times New Roman"/>
                <w:color w:val="auto"/>
                <w:sz w:val="21"/>
                <w:szCs w:val="21"/>
                <w:highlight w:val="none"/>
                <w:lang w:val="en-US" w:eastAsia="zh-CN"/>
              </w:rPr>
              <w:t>DT溶剂</w:t>
            </w:r>
            <w:r>
              <w:rPr>
                <w:rFonts w:hint="default" w:cs="Times New Roman"/>
                <w:color w:val="auto"/>
                <w:sz w:val="21"/>
                <w:szCs w:val="21"/>
                <w:highlight w:val="none"/>
                <w:lang w:val="en-US" w:eastAsia="zh-CN"/>
              </w:rPr>
              <w:t>生产线位置（0-0.2m）</w:t>
            </w:r>
          </w:p>
          <w:p w14:paraId="19C33E1A">
            <w:pPr>
              <w:widowControl/>
              <w:spacing w:line="240" w:lineRule="auto"/>
              <w:ind w:firstLine="420" w:firstLineChars="200"/>
              <w:jc w:val="center"/>
              <w:textAlignment w:val="center"/>
              <w:rPr>
                <w:rFonts w:hint="default" w:eastAsia="宋体"/>
                <w:color w:val="auto"/>
                <w:lang w:val="en-US" w:eastAsia="zh-CN"/>
              </w:rPr>
            </w:pPr>
            <w:r>
              <w:rPr>
                <w:rFonts w:hint="eastAsia" w:cs="Times New Roman"/>
                <w:color w:val="000000"/>
                <w:sz w:val="21"/>
                <w:szCs w:val="21"/>
                <w:highlight w:val="none"/>
                <w:lang w:val="en-US" w:eastAsia="zh-CN"/>
              </w:rPr>
              <w:t>(E:114.06080015</w:t>
            </w:r>
            <w:r>
              <w:rPr>
                <w:rFonts w:hint="default" w:ascii="Times New Roman" w:hAnsi="Times New Roman" w:cs="Times New Roman"/>
                <w:color w:val="000000"/>
                <w:sz w:val="21"/>
                <w:szCs w:val="21"/>
                <w:highlight w:val="none"/>
                <w:lang w:val="en-US" w:eastAsia="zh-CN"/>
              </w:rPr>
              <w:t>°</w:t>
            </w:r>
            <w:r>
              <w:rPr>
                <w:rFonts w:hint="eastAsia" w:ascii="Times New Roman" w:hAnsi="Times New Roman" w:cs="Times New Roman"/>
                <w:color w:val="000000"/>
                <w:sz w:val="21"/>
                <w:szCs w:val="21"/>
                <w:highlight w:val="none"/>
                <w:lang w:val="en-US" w:eastAsia="zh-CN"/>
              </w:rPr>
              <w:t>，</w:t>
            </w:r>
            <w:r>
              <w:rPr>
                <w:rFonts w:hint="eastAsia" w:cs="Times New Roman"/>
                <w:color w:val="000000"/>
                <w:sz w:val="21"/>
                <w:szCs w:val="21"/>
                <w:highlight w:val="none"/>
                <w:lang w:val="en-US" w:eastAsia="zh-CN"/>
              </w:rPr>
              <w:t>N:35.27843135</w:t>
            </w:r>
            <w:r>
              <w:rPr>
                <w:rFonts w:hint="default" w:ascii="Times New Roman" w:hAnsi="Times New Roman" w:cs="Times New Roman"/>
                <w:color w:val="000000"/>
                <w:sz w:val="21"/>
                <w:szCs w:val="21"/>
                <w:highlight w:val="none"/>
                <w:lang w:val="en-US" w:eastAsia="zh-CN"/>
              </w:rPr>
              <w:t>°</w:t>
            </w:r>
            <w:r>
              <w:rPr>
                <w:rFonts w:hint="eastAsia" w:cs="Times New Roman"/>
                <w:color w:val="000000"/>
                <w:sz w:val="21"/>
                <w:szCs w:val="21"/>
                <w:highlight w:val="none"/>
                <w:lang w:val="en-US" w:eastAsia="zh-CN"/>
              </w:rPr>
              <w:t>)</w:t>
            </w:r>
          </w:p>
        </w:tc>
        <w:tc>
          <w:tcPr>
            <w:tcW w:w="2401" w:type="dxa"/>
            <w:vMerge w:val="continue"/>
            <w:vAlign w:val="center"/>
          </w:tcPr>
          <w:p w14:paraId="551C1399">
            <w:pPr>
              <w:pStyle w:val="182"/>
              <w:bidi w:val="0"/>
              <w:rPr>
                <w:color w:val="auto"/>
              </w:rPr>
            </w:pPr>
          </w:p>
        </w:tc>
        <w:tc>
          <w:tcPr>
            <w:tcW w:w="1274" w:type="dxa"/>
            <w:vMerge w:val="continue"/>
            <w:vAlign w:val="center"/>
          </w:tcPr>
          <w:p w14:paraId="3A701271">
            <w:pPr>
              <w:pStyle w:val="182"/>
              <w:bidi w:val="0"/>
              <w:rPr>
                <w:color w:val="auto"/>
              </w:rPr>
            </w:pPr>
          </w:p>
        </w:tc>
        <w:tc>
          <w:tcPr>
            <w:tcW w:w="2370" w:type="dxa"/>
            <w:vMerge w:val="continue"/>
            <w:vAlign w:val="center"/>
          </w:tcPr>
          <w:p w14:paraId="153E0311">
            <w:pPr>
              <w:pStyle w:val="182"/>
              <w:bidi w:val="0"/>
              <w:rPr>
                <w:color w:val="auto"/>
              </w:rPr>
            </w:pPr>
          </w:p>
        </w:tc>
      </w:tr>
    </w:tbl>
    <w:p w14:paraId="3A835FB8">
      <w:pPr>
        <w:pStyle w:val="5"/>
        <w:bidi w:val="0"/>
        <w:rPr>
          <w:color w:val="auto"/>
        </w:rPr>
      </w:pPr>
      <w:r>
        <w:rPr>
          <w:color w:val="auto"/>
        </w:rPr>
        <w:t>环境空气质量现状</w:t>
      </w:r>
      <w:bookmarkEnd w:id="220"/>
      <w:bookmarkEnd w:id="221"/>
      <w:r>
        <w:rPr>
          <w:color w:val="auto"/>
        </w:rPr>
        <w:t>评价</w:t>
      </w:r>
      <w:bookmarkEnd w:id="222"/>
      <w:bookmarkEnd w:id="223"/>
      <w:bookmarkEnd w:id="224"/>
      <w:bookmarkEnd w:id="225"/>
    </w:p>
    <w:p w14:paraId="150C9BA4">
      <w:pPr>
        <w:pStyle w:val="6"/>
        <w:bidi w:val="0"/>
        <w:rPr>
          <w:color w:val="auto"/>
        </w:rPr>
      </w:pPr>
      <w:bookmarkStart w:id="230" w:name="_Toc324839601"/>
      <w:bookmarkStart w:id="231" w:name="_Toc324839304"/>
      <w:r>
        <w:rPr>
          <w:color w:val="auto"/>
        </w:rPr>
        <w:t>基本污染物环境质量现状评价</w:t>
      </w:r>
    </w:p>
    <w:p w14:paraId="79109213">
      <w:pPr>
        <w:bidi w:val="0"/>
        <w:rPr>
          <w:color w:val="auto"/>
        </w:rPr>
      </w:pPr>
      <w:r>
        <w:rPr>
          <w:color w:val="auto"/>
        </w:rPr>
        <w:t>根据大气功能区划分原则，项目所在区域为二类功能区，环境空气质量应执行《环境空气质量标准》（GB3095-2012）二级标准。根据新乡市生态环境局发布的《新乡市202</w:t>
      </w:r>
      <w:r>
        <w:rPr>
          <w:rFonts w:hint="eastAsia"/>
          <w:color w:val="auto"/>
          <w:lang w:val="en-US" w:eastAsia="zh-CN"/>
        </w:rPr>
        <w:t>3</w:t>
      </w:r>
      <w:r>
        <w:rPr>
          <w:color w:val="auto"/>
        </w:rPr>
        <w:t>年</w:t>
      </w:r>
      <w:r>
        <w:rPr>
          <w:rFonts w:hint="eastAsia"/>
          <w:color w:val="auto"/>
        </w:rPr>
        <w:t>度</w:t>
      </w:r>
      <w:r>
        <w:rPr>
          <w:color w:val="auto"/>
        </w:rPr>
        <w:t>环境质量</w:t>
      </w:r>
      <w:r>
        <w:rPr>
          <w:rFonts w:hint="eastAsia"/>
          <w:color w:val="auto"/>
        </w:rPr>
        <w:t>概要</w:t>
      </w:r>
      <w:r>
        <w:rPr>
          <w:color w:val="auto"/>
        </w:rPr>
        <w:t>》，区域空气质量现状数据如下表所示。</w:t>
      </w:r>
    </w:p>
    <w:p w14:paraId="217C6448">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t xml:space="preserve"> 区域空气质量现状评价表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57" w:type="dxa"/>
          <w:left w:w="108" w:type="dxa"/>
          <w:bottom w:w="57" w:type="dxa"/>
          <w:right w:w="108" w:type="dxa"/>
        </w:tblCellMar>
      </w:tblPr>
      <w:tblGrid>
        <w:gridCol w:w="1303"/>
        <w:gridCol w:w="1757"/>
        <w:gridCol w:w="1455"/>
        <w:gridCol w:w="1583"/>
        <w:gridCol w:w="1189"/>
        <w:gridCol w:w="1189"/>
      </w:tblGrid>
      <w:tr w14:paraId="4C5863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14:paraId="541F5EEA">
            <w:pPr>
              <w:pStyle w:val="182"/>
              <w:bidi w:val="0"/>
              <w:rPr>
                <w:b/>
                <w:bCs/>
                <w:color w:val="auto"/>
              </w:rPr>
            </w:pPr>
            <w:r>
              <w:rPr>
                <w:b/>
                <w:bCs/>
                <w:color w:val="auto"/>
              </w:rPr>
              <w:t>污染物</w:t>
            </w:r>
          </w:p>
        </w:tc>
        <w:tc>
          <w:tcPr>
            <w:tcW w:w="1036" w:type="pct"/>
            <w:tcMar>
              <w:top w:w="57" w:type="dxa"/>
              <w:left w:w="85" w:type="dxa"/>
              <w:bottom w:w="57" w:type="dxa"/>
              <w:right w:w="85" w:type="dxa"/>
            </w:tcMar>
            <w:vAlign w:val="center"/>
          </w:tcPr>
          <w:p w14:paraId="34162D93">
            <w:pPr>
              <w:pStyle w:val="182"/>
              <w:bidi w:val="0"/>
              <w:rPr>
                <w:b/>
                <w:bCs/>
                <w:color w:val="auto"/>
              </w:rPr>
            </w:pPr>
            <w:r>
              <w:rPr>
                <w:b/>
                <w:bCs/>
                <w:color w:val="auto"/>
              </w:rPr>
              <w:t>评价指标</w:t>
            </w:r>
          </w:p>
        </w:tc>
        <w:tc>
          <w:tcPr>
            <w:tcW w:w="858" w:type="pct"/>
            <w:tcMar>
              <w:top w:w="57" w:type="dxa"/>
              <w:left w:w="85" w:type="dxa"/>
              <w:bottom w:w="57" w:type="dxa"/>
              <w:right w:w="85" w:type="dxa"/>
            </w:tcMar>
            <w:vAlign w:val="center"/>
          </w:tcPr>
          <w:p w14:paraId="2E520104">
            <w:pPr>
              <w:pStyle w:val="182"/>
              <w:bidi w:val="0"/>
              <w:rPr>
                <w:b/>
                <w:bCs/>
                <w:color w:val="auto"/>
              </w:rPr>
            </w:pPr>
            <w:r>
              <w:rPr>
                <w:b/>
                <w:bCs/>
                <w:color w:val="auto"/>
              </w:rPr>
              <w:t>现状浓度/（μg/m</w:t>
            </w:r>
            <w:r>
              <w:rPr>
                <w:b/>
                <w:bCs/>
                <w:color w:val="auto"/>
                <w:vertAlign w:val="superscript"/>
              </w:rPr>
              <w:t>3</w:t>
            </w:r>
            <w:r>
              <w:rPr>
                <w:b/>
                <w:bCs/>
                <w:color w:val="auto"/>
              </w:rPr>
              <w:t>）</w:t>
            </w:r>
          </w:p>
        </w:tc>
        <w:tc>
          <w:tcPr>
            <w:tcW w:w="933" w:type="pct"/>
            <w:tcMar>
              <w:top w:w="57" w:type="dxa"/>
              <w:left w:w="85" w:type="dxa"/>
              <w:bottom w:w="57" w:type="dxa"/>
              <w:right w:w="85" w:type="dxa"/>
            </w:tcMar>
            <w:vAlign w:val="center"/>
          </w:tcPr>
          <w:p w14:paraId="7936BBD3">
            <w:pPr>
              <w:pStyle w:val="182"/>
              <w:bidi w:val="0"/>
              <w:rPr>
                <w:b/>
                <w:bCs/>
                <w:color w:val="auto"/>
              </w:rPr>
            </w:pPr>
            <w:r>
              <w:rPr>
                <w:b/>
                <w:bCs/>
                <w:color w:val="auto"/>
              </w:rPr>
              <w:t>标准值/（μg/m</w:t>
            </w:r>
            <w:r>
              <w:rPr>
                <w:b/>
                <w:bCs/>
                <w:color w:val="auto"/>
                <w:vertAlign w:val="superscript"/>
              </w:rPr>
              <w:t>3</w:t>
            </w:r>
            <w:r>
              <w:rPr>
                <w:b/>
                <w:bCs/>
                <w:color w:val="auto"/>
              </w:rPr>
              <w:t>）</w:t>
            </w:r>
          </w:p>
        </w:tc>
        <w:tc>
          <w:tcPr>
            <w:tcW w:w="701" w:type="pct"/>
            <w:tcMar>
              <w:top w:w="57" w:type="dxa"/>
              <w:left w:w="85" w:type="dxa"/>
              <w:bottom w:w="57" w:type="dxa"/>
              <w:right w:w="85" w:type="dxa"/>
            </w:tcMar>
            <w:vAlign w:val="center"/>
          </w:tcPr>
          <w:p w14:paraId="007516C2">
            <w:pPr>
              <w:pStyle w:val="182"/>
              <w:bidi w:val="0"/>
              <w:rPr>
                <w:b/>
                <w:bCs/>
                <w:color w:val="auto"/>
              </w:rPr>
            </w:pPr>
            <w:r>
              <w:rPr>
                <w:b/>
                <w:bCs/>
                <w:color w:val="auto"/>
              </w:rPr>
              <w:t>占标率/</w:t>
            </w:r>
          </w:p>
          <w:p w14:paraId="3DC6D34A">
            <w:pPr>
              <w:pStyle w:val="182"/>
              <w:bidi w:val="0"/>
              <w:rPr>
                <w:b/>
                <w:bCs/>
                <w:color w:val="auto"/>
              </w:rPr>
            </w:pPr>
            <w:r>
              <w:rPr>
                <w:b/>
                <w:bCs/>
                <w:color w:val="auto"/>
              </w:rPr>
              <w:t>%</w:t>
            </w:r>
          </w:p>
        </w:tc>
        <w:tc>
          <w:tcPr>
            <w:tcW w:w="701" w:type="pct"/>
            <w:tcMar>
              <w:top w:w="57" w:type="dxa"/>
              <w:left w:w="85" w:type="dxa"/>
              <w:bottom w:w="57" w:type="dxa"/>
              <w:right w:w="85" w:type="dxa"/>
            </w:tcMar>
            <w:vAlign w:val="center"/>
          </w:tcPr>
          <w:p w14:paraId="2744425A">
            <w:pPr>
              <w:pStyle w:val="182"/>
              <w:bidi w:val="0"/>
              <w:rPr>
                <w:b/>
                <w:bCs/>
                <w:color w:val="auto"/>
              </w:rPr>
            </w:pPr>
            <w:r>
              <w:rPr>
                <w:b/>
                <w:bCs/>
                <w:color w:val="auto"/>
              </w:rPr>
              <w:t>达标情况</w:t>
            </w:r>
          </w:p>
        </w:tc>
      </w:tr>
      <w:tr w14:paraId="6B997F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14:paraId="3D9DB55E">
            <w:pPr>
              <w:pStyle w:val="182"/>
              <w:bidi w:val="0"/>
              <w:rPr>
                <w:color w:val="auto"/>
              </w:rPr>
            </w:pPr>
            <w:r>
              <w:rPr>
                <w:color w:val="auto"/>
              </w:rPr>
              <w:t>PM</w:t>
            </w:r>
            <w:r>
              <w:rPr>
                <w:color w:val="auto"/>
                <w:vertAlign w:val="subscript"/>
              </w:rPr>
              <w:t>10</w:t>
            </w:r>
          </w:p>
        </w:tc>
        <w:tc>
          <w:tcPr>
            <w:tcW w:w="1036" w:type="pct"/>
            <w:tcMar>
              <w:top w:w="57" w:type="dxa"/>
              <w:left w:w="85" w:type="dxa"/>
              <w:bottom w:w="57" w:type="dxa"/>
              <w:right w:w="85" w:type="dxa"/>
            </w:tcMar>
            <w:vAlign w:val="center"/>
          </w:tcPr>
          <w:p w14:paraId="04F591F6">
            <w:pPr>
              <w:pStyle w:val="182"/>
              <w:bidi w:val="0"/>
              <w:rPr>
                <w:color w:val="auto"/>
              </w:rPr>
            </w:pPr>
            <w:r>
              <w:rPr>
                <w:color w:val="auto"/>
              </w:rPr>
              <w:t>年平均质量浓度</w:t>
            </w:r>
          </w:p>
        </w:tc>
        <w:tc>
          <w:tcPr>
            <w:tcW w:w="1455" w:type="dxa"/>
            <w:tcMar>
              <w:top w:w="57" w:type="dxa"/>
              <w:left w:w="85" w:type="dxa"/>
              <w:bottom w:w="57" w:type="dxa"/>
              <w:right w:w="85" w:type="dxa"/>
            </w:tcMar>
            <w:vAlign w:val="center"/>
          </w:tcPr>
          <w:p w14:paraId="0E7FFCBE">
            <w:pPr>
              <w:pStyle w:val="182"/>
              <w:bidi w:val="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80</w:t>
            </w:r>
          </w:p>
        </w:tc>
        <w:tc>
          <w:tcPr>
            <w:tcW w:w="1583" w:type="dxa"/>
            <w:tcMar>
              <w:top w:w="57" w:type="dxa"/>
              <w:left w:w="85" w:type="dxa"/>
              <w:bottom w:w="57" w:type="dxa"/>
              <w:right w:w="85" w:type="dxa"/>
            </w:tcMar>
            <w:vAlign w:val="center"/>
          </w:tcPr>
          <w:p w14:paraId="581464FC">
            <w:pPr>
              <w:pStyle w:val="182"/>
              <w:bidi w:val="0"/>
              <w:rPr>
                <w:rFonts w:ascii="Times New Roman" w:hAnsi="Times New Roman" w:eastAsia="宋体" w:cs="Times New Roman"/>
                <w:color w:val="auto"/>
              </w:rPr>
            </w:pPr>
            <w:r>
              <w:rPr>
                <w:rFonts w:ascii="Times New Roman" w:hAnsi="Times New Roman" w:eastAsia="宋体" w:cs="Times New Roman"/>
                <w:color w:val="auto"/>
              </w:rPr>
              <w:t>70</w:t>
            </w:r>
          </w:p>
        </w:tc>
        <w:tc>
          <w:tcPr>
            <w:tcW w:w="1189" w:type="dxa"/>
            <w:tcMar>
              <w:top w:w="57" w:type="dxa"/>
              <w:left w:w="85" w:type="dxa"/>
              <w:bottom w:w="57" w:type="dxa"/>
              <w:right w:w="85" w:type="dxa"/>
            </w:tcMar>
            <w:vAlign w:val="center"/>
          </w:tcPr>
          <w:p w14:paraId="73D1D432">
            <w:pPr>
              <w:pStyle w:val="182"/>
              <w:bidi w:val="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 xml:space="preserve">114.29 </w:t>
            </w:r>
          </w:p>
        </w:tc>
        <w:tc>
          <w:tcPr>
            <w:tcW w:w="1189" w:type="dxa"/>
            <w:tcMar>
              <w:top w:w="57" w:type="dxa"/>
              <w:left w:w="85" w:type="dxa"/>
              <w:bottom w:w="57" w:type="dxa"/>
              <w:right w:w="85" w:type="dxa"/>
            </w:tcMar>
            <w:vAlign w:val="center"/>
          </w:tcPr>
          <w:p w14:paraId="5BF40C9A">
            <w:pPr>
              <w:pStyle w:val="182"/>
              <w:bidi w:val="0"/>
              <w:rPr>
                <w:rFonts w:ascii="Times New Roman" w:hAnsi="Times New Roman" w:eastAsia="宋体" w:cs="Times New Roman"/>
                <w:color w:val="auto"/>
              </w:rPr>
            </w:pPr>
            <w:r>
              <w:rPr>
                <w:rFonts w:ascii="Times New Roman" w:hAnsi="Times New Roman" w:eastAsia="宋体" w:cs="Times New Roman"/>
                <w:color w:val="auto"/>
              </w:rPr>
              <w:t>超标</w:t>
            </w:r>
          </w:p>
        </w:tc>
      </w:tr>
      <w:tr w14:paraId="36BAC2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14:paraId="54AD6112">
            <w:pPr>
              <w:pStyle w:val="182"/>
              <w:bidi w:val="0"/>
              <w:rPr>
                <w:color w:val="auto"/>
              </w:rPr>
            </w:pPr>
            <w:r>
              <w:rPr>
                <w:color w:val="auto"/>
              </w:rPr>
              <w:t>PM</w:t>
            </w:r>
            <w:r>
              <w:rPr>
                <w:color w:val="auto"/>
                <w:vertAlign w:val="subscript"/>
              </w:rPr>
              <w:t>2.5</w:t>
            </w:r>
          </w:p>
        </w:tc>
        <w:tc>
          <w:tcPr>
            <w:tcW w:w="1036" w:type="pct"/>
            <w:tcMar>
              <w:top w:w="57" w:type="dxa"/>
              <w:left w:w="85" w:type="dxa"/>
              <w:bottom w:w="57" w:type="dxa"/>
              <w:right w:w="85" w:type="dxa"/>
            </w:tcMar>
            <w:vAlign w:val="center"/>
          </w:tcPr>
          <w:p w14:paraId="69746E72">
            <w:pPr>
              <w:pStyle w:val="182"/>
              <w:bidi w:val="0"/>
              <w:rPr>
                <w:color w:val="auto"/>
              </w:rPr>
            </w:pPr>
            <w:r>
              <w:rPr>
                <w:color w:val="auto"/>
              </w:rPr>
              <w:t>年平均质量浓度</w:t>
            </w:r>
          </w:p>
        </w:tc>
        <w:tc>
          <w:tcPr>
            <w:tcW w:w="1455" w:type="dxa"/>
            <w:tcMar>
              <w:top w:w="57" w:type="dxa"/>
              <w:left w:w="85" w:type="dxa"/>
              <w:bottom w:w="57" w:type="dxa"/>
              <w:right w:w="85" w:type="dxa"/>
            </w:tcMar>
            <w:vAlign w:val="center"/>
          </w:tcPr>
          <w:p w14:paraId="0FCECD6F">
            <w:pPr>
              <w:pStyle w:val="182"/>
              <w:bidi w:val="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47</w:t>
            </w:r>
          </w:p>
        </w:tc>
        <w:tc>
          <w:tcPr>
            <w:tcW w:w="1583" w:type="dxa"/>
            <w:tcMar>
              <w:top w:w="57" w:type="dxa"/>
              <w:left w:w="85" w:type="dxa"/>
              <w:bottom w:w="57" w:type="dxa"/>
              <w:right w:w="85" w:type="dxa"/>
            </w:tcMar>
            <w:vAlign w:val="center"/>
          </w:tcPr>
          <w:p w14:paraId="1D28E44C">
            <w:pPr>
              <w:pStyle w:val="182"/>
              <w:bidi w:val="0"/>
              <w:rPr>
                <w:rFonts w:ascii="Times New Roman" w:hAnsi="Times New Roman" w:eastAsia="宋体" w:cs="Times New Roman"/>
                <w:color w:val="auto"/>
              </w:rPr>
            </w:pPr>
            <w:r>
              <w:rPr>
                <w:rFonts w:ascii="Times New Roman" w:hAnsi="Times New Roman" w:eastAsia="宋体" w:cs="Times New Roman"/>
                <w:color w:val="auto"/>
              </w:rPr>
              <w:t>35</w:t>
            </w:r>
          </w:p>
        </w:tc>
        <w:tc>
          <w:tcPr>
            <w:tcW w:w="1189" w:type="dxa"/>
            <w:tcMar>
              <w:top w:w="57" w:type="dxa"/>
              <w:left w:w="85" w:type="dxa"/>
              <w:bottom w:w="57" w:type="dxa"/>
              <w:right w:w="85" w:type="dxa"/>
            </w:tcMar>
            <w:vAlign w:val="center"/>
          </w:tcPr>
          <w:p w14:paraId="21FD56CE">
            <w:pPr>
              <w:pStyle w:val="182"/>
              <w:bidi w:val="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 xml:space="preserve">134.29 </w:t>
            </w:r>
          </w:p>
        </w:tc>
        <w:tc>
          <w:tcPr>
            <w:tcW w:w="1189" w:type="dxa"/>
            <w:tcMar>
              <w:top w:w="57" w:type="dxa"/>
              <w:left w:w="85" w:type="dxa"/>
              <w:bottom w:w="57" w:type="dxa"/>
              <w:right w:w="85" w:type="dxa"/>
            </w:tcMar>
            <w:vAlign w:val="center"/>
          </w:tcPr>
          <w:p w14:paraId="4DA8BA41">
            <w:pPr>
              <w:pStyle w:val="182"/>
              <w:bidi w:val="0"/>
              <w:rPr>
                <w:rFonts w:ascii="Times New Roman" w:hAnsi="Times New Roman" w:eastAsia="宋体" w:cs="Times New Roman"/>
                <w:color w:val="auto"/>
              </w:rPr>
            </w:pPr>
            <w:r>
              <w:rPr>
                <w:rFonts w:ascii="Times New Roman" w:hAnsi="Times New Roman" w:eastAsia="宋体" w:cs="Times New Roman"/>
                <w:color w:val="auto"/>
              </w:rPr>
              <w:t>超标</w:t>
            </w:r>
          </w:p>
        </w:tc>
      </w:tr>
      <w:tr w14:paraId="6EA6F6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14:paraId="7FA5ADD3">
            <w:pPr>
              <w:pStyle w:val="182"/>
              <w:bidi w:val="0"/>
              <w:rPr>
                <w:color w:val="auto"/>
              </w:rPr>
            </w:pPr>
            <w:r>
              <w:rPr>
                <w:color w:val="auto"/>
              </w:rPr>
              <w:t>SO</w:t>
            </w:r>
            <w:r>
              <w:rPr>
                <w:color w:val="auto"/>
                <w:vertAlign w:val="subscript"/>
              </w:rPr>
              <w:t>2</w:t>
            </w:r>
          </w:p>
        </w:tc>
        <w:tc>
          <w:tcPr>
            <w:tcW w:w="1036" w:type="pct"/>
            <w:tcMar>
              <w:top w:w="57" w:type="dxa"/>
              <w:left w:w="85" w:type="dxa"/>
              <w:bottom w:w="57" w:type="dxa"/>
              <w:right w:w="85" w:type="dxa"/>
            </w:tcMar>
            <w:vAlign w:val="center"/>
          </w:tcPr>
          <w:p w14:paraId="654A9560">
            <w:pPr>
              <w:pStyle w:val="182"/>
              <w:bidi w:val="0"/>
              <w:rPr>
                <w:color w:val="auto"/>
              </w:rPr>
            </w:pPr>
            <w:r>
              <w:rPr>
                <w:color w:val="auto"/>
              </w:rPr>
              <w:t>年平均质量浓度</w:t>
            </w:r>
          </w:p>
        </w:tc>
        <w:tc>
          <w:tcPr>
            <w:tcW w:w="1455" w:type="dxa"/>
            <w:tcMar>
              <w:top w:w="57" w:type="dxa"/>
              <w:left w:w="85" w:type="dxa"/>
              <w:bottom w:w="57" w:type="dxa"/>
              <w:right w:w="85" w:type="dxa"/>
            </w:tcMar>
            <w:vAlign w:val="center"/>
          </w:tcPr>
          <w:p w14:paraId="74B3DB93">
            <w:pPr>
              <w:pStyle w:val="182"/>
              <w:bidi w:val="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9</w:t>
            </w:r>
          </w:p>
        </w:tc>
        <w:tc>
          <w:tcPr>
            <w:tcW w:w="1583" w:type="dxa"/>
            <w:tcMar>
              <w:top w:w="57" w:type="dxa"/>
              <w:left w:w="85" w:type="dxa"/>
              <w:bottom w:w="57" w:type="dxa"/>
              <w:right w:w="85" w:type="dxa"/>
            </w:tcMar>
            <w:vAlign w:val="center"/>
          </w:tcPr>
          <w:p w14:paraId="5CA4A9B8">
            <w:pPr>
              <w:pStyle w:val="182"/>
              <w:bidi w:val="0"/>
              <w:rPr>
                <w:rFonts w:ascii="Times New Roman" w:hAnsi="Times New Roman" w:eastAsia="宋体" w:cs="Times New Roman"/>
                <w:color w:val="auto"/>
              </w:rPr>
            </w:pPr>
            <w:r>
              <w:rPr>
                <w:rFonts w:ascii="Times New Roman" w:hAnsi="Times New Roman" w:eastAsia="宋体" w:cs="Times New Roman"/>
                <w:color w:val="auto"/>
              </w:rPr>
              <w:t>60</w:t>
            </w:r>
          </w:p>
        </w:tc>
        <w:tc>
          <w:tcPr>
            <w:tcW w:w="1189" w:type="dxa"/>
            <w:tcMar>
              <w:top w:w="57" w:type="dxa"/>
              <w:left w:w="85" w:type="dxa"/>
              <w:bottom w:w="57" w:type="dxa"/>
              <w:right w:w="85" w:type="dxa"/>
            </w:tcMar>
            <w:vAlign w:val="center"/>
          </w:tcPr>
          <w:p w14:paraId="4B79DEAB">
            <w:pPr>
              <w:pStyle w:val="182"/>
              <w:bidi w:val="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 xml:space="preserve">15.00 </w:t>
            </w:r>
          </w:p>
        </w:tc>
        <w:tc>
          <w:tcPr>
            <w:tcW w:w="1189" w:type="dxa"/>
            <w:tcMar>
              <w:top w:w="57" w:type="dxa"/>
              <w:left w:w="85" w:type="dxa"/>
              <w:bottom w:w="57" w:type="dxa"/>
              <w:right w:w="85" w:type="dxa"/>
            </w:tcMar>
            <w:vAlign w:val="center"/>
          </w:tcPr>
          <w:p w14:paraId="6CBE3215">
            <w:pPr>
              <w:pStyle w:val="182"/>
              <w:bidi w:val="0"/>
              <w:rPr>
                <w:rFonts w:ascii="Times New Roman" w:hAnsi="Times New Roman" w:eastAsia="宋体" w:cs="Times New Roman"/>
                <w:color w:val="auto"/>
              </w:rPr>
            </w:pPr>
            <w:r>
              <w:rPr>
                <w:rFonts w:ascii="Times New Roman" w:hAnsi="Times New Roman" w:eastAsia="宋体" w:cs="Times New Roman"/>
                <w:color w:val="auto"/>
              </w:rPr>
              <w:t>达标</w:t>
            </w:r>
          </w:p>
        </w:tc>
      </w:tr>
      <w:tr w14:paraId="6091DF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14:paraId="3DFCBA94">
            <w:pPr>
              <w:pStyle w:val="182"/>
              <w:bidi w:val="0"/>
              <w:rPr>
                <w:color w:val="auto"/>
              </w:rPr>
            </w:pPr>
            <w:r>
              <w:rPr>
                <w:color w:val="auto"/>
              </w:rPr>
              <w:t>NO</w:t>
            </w:r>
            <w:r>
              <w:rPr>
                <w:color w:val="auto"/>
                <w:vertAlign w:val="subscript"/>
              </w:rPr>
              <w:t>2</w:t>
            </w:r>
          </w:p>
        </w:tc>
        <w:tc>
          <w:tcPr>
            <w:tcW w:w="1036" w:type="pct"/>
            <w:tcMar>
              <w:top w:w="57" w:type="dxa"/>
              <w:left w:w="85" w:type="dxa"/>
              <w:bottom w:w="57" w:type="dxa"/>
              <w:right w:w="85" w:type="dxa"/>
            </w:tcMar>
            <w:vAlign w:val="center"/>
          </w:tcPr>
          <w:p w14:paraId="14BD77CD">
            <w:pPr>
              <w:pStyle w:val="182"/>
              <w:bidi w:val="0"/>
              <w:rPr>
                <w:color w:val="auto"/>
              </w:rPr>
            </w:pPr>
            <w:r>
              <w:rPr>
                <w:color w:val="auto"/>
              </w:rPr>
              <w:t>年平均质量浓度</w:t>
            </w:r>
          </w:p>
        </w:tc>
        <w:tc>
          <w:tcPr>
            <w:tcW w:w="1455" w:type="dxa"/>
            <w:tcMar>
              <w:top w:w="57" w:type="dxa"/>
              <w:left w:w="85" w:type="dxa"/>
              <w:bottom w:w="57" w:type="dxa"/>
              <w:right w:w="85" w:type="dxa"/>
            </w:tcMar>
            <w:vAlign w:val="center"/>
          </w:tcPr>
          <w:p w14:paraId="50235EF1">
            <w:pPr>
              <w:pStyle w:val="182"/>
              <w:bidi w:val="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30</w:t>
            </w:r>
          </w:p>
        </w:tc>
        <w:tc>
          <w:tcPr>
            <w:tcW w:w="1583" w:type="dxa"/>
            <w:tcMar>
              <w:top w:w="57" w:type="dxa"/>
              <w:left w:w="85" w:type="dxa"/>
              <w:bottom w:w="57" w:type="dxa"/>
              <w:right w:w="85" w:type="dxa"/>
            </w:tcMar>
            <w:vAlign w:val="center"/>
          </w:tcPr>
          <w:p w14:paraId="3E9B43C6">
            <w:pPr>
              <w:pStyle w:val="182"/>
              <w:bidi w:val="0"/>
              <w:rPr>
                <w:rFonts w:ascii="Times New Roman" w:hAnsi="Times New Roman" w:eastAsia="宋体" w:cs="Times New Roman"/>
                <w:color w:val="auto"/>
              </w:rPr>
            </w:pPr>
            <w:r>
              <w:rPr>
                <w:rFonts w:ascii="Times New Roman" w:hAnsi="Times New Roman" w:eastAsia="宋体" w:cs="Times New Roman"/>
                <w:color w:val="auto"/>
              </w:rPr>
              <w:t>40</w:t>
            </w:r>
          </w:p>
        </w:tc>
        <w:tc>
          <w:tcPr>
            <w:tcW w:w="1189" w:type="dxa"/>
            <w:tcMar>
              <w:top w:w="57" w:type="dxa"/>
              <w:left w:w="85" w:type="dxa"/>
              <w:bottom w:w="57" w:type="dxa"/>
              <w:right w:w="85" w:type="dxa"/>
            </w:tcMar>
            <w:vAlign w:val="center"/>
          </w:tcPr>
          <w:p w14:paraId="72E33BDB">
            <w:pPr>
              <w:pStyle w:val="182"/>
              <w:bidi w:val="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 xml:space="preserve">75.00 </w:t>
            </w:r>
          </w:p>
        </w:tc>
        <w:tc>
          <w:tcPr>
            <w:tcW w:w="1189" w:type="dxa"/>
            <w:tcMar>
              <w:top w:w="57" w:type="dxa"/>
              <w:left w:w="85" w:type="dxa"/>
              <w:bottom w:w="57" w:type="dxa"/>
              <w:right w:w="85" w:type="dxa"/>
            </w:tcMar>
            <w:vAlign w:val="center"/>
          </w:tcPr>
          <w:p w14:paraId="281117B8">
            <w:pPr>
              <w:pStyle w:val="182"/>
              <w:bidi w:val="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达</w:t>
            </w:r>
            <w:r>
              <w:rPr>
                <w:rFonts w:ascii="Times New Roman" w:hAnsi="Times New Roman" w:eastAsia="宋体" w:cs="Times New Roman"/>
                <w:color w:val="auto"/>
              </w:rPr>
              <w:t>标</w:t>
            </w:r>
          </w:p>
        </w:tc>
      </w:tr>
      <w:tr w14:paraId="06AA38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14:paraId="3664531F">
            <w:pPr>
              <w:pStyle w:val="182"/>
              <w:bidi w:val="0"/>
              <w:rPr>
                <w:color w:val="auto"/>
              </w:rPr>
            </w:pPr>
            <w:r>
              <w:rPr>
                <w:color w:val="auto"/>
              </w:rPr>
              <w:t>CO</w:t>
            </w:r>
          </w:p>
        </w:tc>
        <w:tc>
          <w:tcPr>
            <w:tcW w:w="1036" w:type="pct"/>
            <w:tcMar>
              <w:top w:w="57" w:type="dxa"/>
              <w:left w:w="85" w:type="dxa"/>
              <w:bottom w:w="57" w:type="dxa"/>
              <w:right w:w="85" w:type="dxa"/>
            </w:tcMar>
            <w:vAlign w:val="center"/>
          </w:tcPr>
          <w:p w14:paraId="67B104EC">
            <w:pPr>
              <w:pStyle w:val="182"/>
              <w:bidi w:val="0"/>
              <w:rPr>
                <w:color w:val="auto"/>
              </w:rPr>
            </w:pPr>
            <w:r>
              <w:rPr>
                <w:color w:val="auto"/>
              </w:rPr>
              <w:t>第95百分位浓度</w:t>
            </w:r>
          </w:p>
        </w:tc>
        <w:tc>
          <w:tcPr>
            <w:tcW w:w="1455" w:type="dxa"/>
            <w:tcMar>
              <w:top w:w="57" w:type="dxa"/>
              <w:left w:w="85" w:type="dxa"/>
              <w:bottom w:w="57" w:type="dxa"/>
              <w:right w:w="85" w:type="dxa"/>
            </w:tcMar>
            <w:vAlign w:val="center"/>
          </w:tcPr>
          <w:p w14:paraId="6CBEB490">
            <w:pPr>
              <w:pStyle w:val="182"/>
              <w:bidi w:val="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1400</w:t>
            </w:r>
          </w:p>
        </w:tc>
        <w:tc>
          <w:tcPr>
            <w:tcW w:w="1583" w:type="dxa"/>
            <w:tcMar>
              <w:top w:w="57" w:type="dxa"/>
              <w:left w:w="85" w:type="dxa"/>
              <w:bottom w:w="57" w:type="dxa"/>
              <w:right w:w="85" w:type="dxa"/>
            </w:tcMar>
            <w:vAlign w:val="center"/>
          </w:tcPr>
          <w:p w14:paraId="6847ECB4">
            <w:pPr>
              <w:pStyle w:val="182"/>
              <w:bidi w:val="0"/>
              <w:rPr>
                <w:rFonts w:ascii="Times New Roman" w:hAnsi="Times New Roman" w:eastAsia="宋体" w:cs="Times New Roman"/>
                <w:color w:val="auto"/>
              </w:rPr>
            </w:pPr>
            <w:r>
              <w:rPr>
                <w:rFonts w:ascii="Times New Roman" w:hAnsi="Times New Roman" w:eastAsia="宋体" w:cs="Times New Roman"/>
                <w:color w:val="auto"/>
              </w:rPr>
              <w:t>4000</w:t>
            </w:r>
          </w:p>
        </w:tc>
        <w:tc>
          <w:tcPr>
            <w:tcW w:w="1189" w:type="dxa"/>
            <w:tcMar>
              <w:top w:w="57" w:type="dxa"/>
              <w:left w:w="85" w:type="dxa"/>
              <w:bottom w:w="57" w:type="dxa"/>
              <w:right w:w="85" w:type="dxa"/>
            </w:tcMar>
            <w:vAlign w:val="center"/>
          </w:tcPr>
          <w:p w14:paraId="344D757B">
            <w:pPr>
              <w:pStyle w:val="182"/>
              <w:bidi w:val="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 xml:space="preserve">35.00 </w:t>
            </w:r>
          </w:p>
        </w:tc>
        <w:tc>
          <w:tcPr>
            <w:tcW w:w="1189" w:type="dxa"/>
            <w:tcMar>
              <w:top w:w="57" w:type="dxa"/>
              <w:left w:w="85" w:type="dxa"/>
              <w:bottom w:w="57" w:type="dxa"/>
              <w:right w:w="85" w:type="dxa"/>
            </w:tcMar>
            <w:vAlign w:val="center"/>
          </w:tcPr>
          <w:p w14:paraId="5AE9E197">
            <w:pPr>
              <w:pStyle w:val="182"/>
              <w:bidi w:val="0"/>
              <w:rPr>
                <w:rFonts w:ascii="Times New Roman" w:hAnsi="Times New Roman" w:eastAsia="宋体" w:cs="Times New Roman"/>
                <w:color w:val="auto"/>
              </w:rPr>
            </w:pPr>
            <w:r>
              <w:rPr>
                <w:rFonts w:ascii="Times New Roman" w:hAnsi="Times New Roman" w:eastAsia="宋体" w:cs="Times New Roman"/>
                <w:color w:val="auto"/>
              </w:rPr>
              <w:t>达标</w:t>
            </w:r>
          </w:p>
        </w:tc>
      </w:tr>
      <w:tr w14:paraId="57278B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768" w:type="pct"/>
            <w:tcMar>
              <w:top w:w="57" w:type="dxa"/>
              <w:left w:w="85" w:type="dxa"/>
              <w:bottom w:w="57" w:type="dxa"/>
              <w:right w:w="85" w:type="dxa"/>
            </w:tcMar>
            <w:vAlign w:val="center"/>
          </w:tcPr>
          <w:p w14:paraId="5730029B">
            <w:pPr>
              <w:pStyle w:val="182"/>
              <w:bidi w:val="0"/>
              <w:rPr>
                <w:color w:val="auto"/>
              </w:rPr>
            </w:pPr>
            <w:r>
              <w:rPr>
                <w:color w:val="auto"/>
              </w:rPr>
              <w:t>O</w:t>
            </w:r>
            <w:r>
              <w:rPr>
                <w:color w:val="auto"/>
                <w:vertAlign w:val="subscript"/>
              </w:rPr>
              <w:t>3</w:t>
            </w:r>
          </w:p>
        </w:tc>
        <w:tc>
          <w:tcPr>
            <w:tcW w:w="1036" w:type="pct"/>
            <w:tcMar>
              <w:top w:w="57" w:type="dxa"/>
              <w:left w:w="85" w:type="dxa"/>
              <w:bottom w:w="57" w:type="dxa"/>
              <w:right w:w="85" w:type="dxa"/>
            </w:tcMar>
            <w:vAlign w:val="center"/>
          </w:tcPr>
          <w:p w14:paraId="0AA2752A">
            <w:pPr>
              <w:pStyle w:val="182"/>
              <w:bidi w:val="0"/>
              <w:rPr>
                <w:color w:val="auto"/>
              </w:rPr>
            </w:pPr>
            <w:r>
              <w:rPr>
                <w:color w:val="auto"/>
              </w:rPr>
              <w:t>第90百分位浓度</w:t>
            </w:r>
          </w:p>
        </w:tc>
        <w:tc>
          <w:tcPr>
            <w:tcW w:w="1455" w:type="dxa"/>
            <w:tcMar>
              <w:top w:w="57" w:type="dxa"/>
              <w:left w:w="85" w:type="dxa"/>
              <w:bottom w:w="57" w:type="dxa"/>
              <w:right w:w="85" w:type="dxa"/>
            </w:tcMar>
            <w:vAlign w:val="center"/>
          </w:tcPr>
          <w:p w14:paraId="09008DC1">
            <w:pPr>
              <w:pStyle w:val="182"/>
              <w:bidi w:val="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183</w:t>
            </w:r>
          </w:p>
        </w:tc>
        <w:tc>
          <w:tcPr>
            <w:tcW w:w="1583" w:type="dxa"/>
            <w:tcMar>
              <w:top w:w="57" w:type="dxa"/>
              <w:left w:w="85" w:type="dxa"/>
              <w:bottom w:w="57" w:type="dxa"/>
              <w:right w:w="85" w:type="dxa"/>
            </w:tcMar>
            <w:vAlign w:val="center"/>
          </w:tcPr>
          <w:p w14:paraId="08BFDAE2">
            <w:pPr>
              <w:pStyle w:val="182"/>
              <w:bidi w:val="0"/>
              <w:rPr>
                <w:rFonts w:ascii="Times New Roman" w:hAnsi="Times New Roman" w:eastAsia="宋体" w:cs="Times New Roman"/>
                <w:color w:val="auto"/>
              </w:rPr>
            </w:pPr>
            <w:r>
              <w:rPr>
                <w:rFonts w:ascii="Times New Roman" w:hAnsi="Times New Roman" w:eastAsia="宋体" w:cs="Times New Roman"/>
                <w:color w:val="auto"/>
              </w:rPr>
              <w:t>160</w:t>
            </w:r>
          </w:p>
        </w:tc>
        <w:tc>
          <w:tcPr>
            <w:tcW w:w="1189" w:type="dxa"/>
            <w:tcMar>
              <w:top w:w="57" w:type="dxa"/>
              <w:left w:w="85" w:type="dxa"/>
              <w:bottom w:w="57" w:type="dxa"/>
              <w:right w:w="85" w:type="dxa"/>
            </w:tcMar>
            <w:vAlign w:val="center"/>
          </w:tcPr>
          <w:p w14:paraId="3C962F8F">
            <w:pPr>
              <w:pStyle w:val="182"/>
              <w:bidi w:val="0"/>
              <w:rPr>
                <w:rFonts w:ascii="Times New Roman" w:hAnsi="Times New Roman" w:eastAsia="宋体" w:cs="Times New Roman"/>
                <w:color w:val="auto"/>
              </w:rPr>
            </w:pPr>
            <w:r>
              <w:rPr>
                <w:rFonts w:hint="eastAsia" w:ascii="Times New Roman" w:hAnsi="Times New Roman" w:eastAsia="宋体" w:cs="Times New Roman"/>
                <w:color w:val="auto"/>
                <w:lang w:val="en-US" w:eastAsia="zh-CN"/>
              </w:rPr>
              <w:t xml:space="preserve">114.38 </w:t>
            </w:r>
          </w:p>
        </w:tc>
        <w:tc>
          <w:tcPr>
            <w:tcW w:w="1189" w:type="dxa"/>
            <w:tcMar>
              <w:top w:w="57" w:type="dxa"/>
              <w:left w:w="85" w:type="dxa"/>
              <w:bottom w:w="57" w:type="dxa"/>
              <w:right w:w="85" w:type="dxa"/>
            </w:tcMar>
            <w:vAlign w:val="center"/>
          </w:tcPr>
          <w:p w14:paraId="020579D9">
            <w:pPr>
              <w:pStyle w:val="182"/>
              <w:bidi w:val="0"/>
              <w:rPr>
                <w:rFonts w:ascii="Times New Roman" w:hAnsi="Times New Roman" w:eastAsia="宋体" w:cs="Times New Roman"/>
                <w:color w:val="auto"/>
              </w:rPr>
            </w:pPr>
            <w:r>
              <w:rPr>
                <w:rFonts w:ascii="Times New Roman" w:hAnsi="Times New Roman" w:eastAsia="宋体" w:cs="Times New Roman"/>
                <w:color w:val="auto"/>
              </w:rPr>
              <w:t>超标</w:t>
            </w:r>
          </w:p>
        </w:tc>
      </w:tr>
    </w:tbl>
    <w:p w14:paraId="69000C04">
      <w:pPr>
        <w:bidi w:val="0"/>
        <w:rPr>
          <w:color w:val="auto"/>
        </w:rPr>
      </w:pPr>
      <w:r>
        <w:rPr>
          <w:color w:val="auto"/>
        </w:rPr>
        <w:t>由上表可知，其中PM</w:t>
      </w:r>
      <w:r>
        <w:rPr>
          <w:color w:val="auto"/>
          <w:vertAlign w:val="subscript"/>
        </w:rPr>
        <w:t>10</w:t>
      </w:r>
      <w:r>
        <w:rPr>
          <w:color w:val="auto"/>
        </w:rPr>
        <w:t>、PM</w:t>
      </w:r>
      <w:r>
        <w:rPr>
          <w:color w:val="auto"/>
          <w:vertAlign w:val="subscript"/>
        </w:rPr>
        <w:t>2.5</w:t>
      </w:r>
      <w:r>
        <w:rPr>
          <w:color w:val="auto"/>
        </w:rPr>
        <w:t>和O</w:t>
      </w:r>
      <w:r>
        <w:rPr>
          <w:color w:val="auto"/>
          <w:vertAlign w:val="subscript"/>
        </w:rPr>
        <w:t>3</w:t>
      </w:r>
      <w:r>
        <w:rPr>
          <w:color w:val="auto"/>
        </w:rPr>
        <w:t>均不能够满足《环境空气质量标准》（GB3095-2012）二级标准要求。根据《环境影响评价技术导则大气环境》(HJ2.2-2018)，本项目所在区域属于未达标区。空气质量超标原因主要为：①冬季供暖锅炉以及部分企业燃煤锅炉启动，且冬季大气自净能力下降，污染扩散气象条件差；②区域内汽车等交通</w:t>
      </w:r>
      <w:r>
        <w:rPr>
          <w:rFonts w:hint="eastAsia"/>
          <w:color w:val="auto"/>
          <w:lang w:eastAsia="zh-CN"/>
        </w:rPr>
        <w:t>资源</w:t>
      </w:r>
      <w:r>
        <w:rPr>
          <w:color w:val="auto"/>
        </w:rPr>
        <w:t>增加，污染物排放量增大；③天气干燥，尘土较多。因此超标现象属于区域性污染问题。</w:t>
      </w:r>
    </w:p>
    <w:p w14:paraId="6BA07FCB">
      <w:pPr>
        <w:bidi w:val="0"/>
        <w:rPr>
          <w:rFonts w:hint="eastAsia"/>
          <w:color w:val="auto"/>
        </w:rPr>
      </w:pPr>
      <w:r>
        <w:rPr>
          <w:rFonts w:hint="eastAsia"/>
          <w:color w:val="auto"/>
        </w:rPr>
        <w:t>与2022年比，2023年，新乡市PM10平均浓度下降9微克/立方米，降幅10.1%；PM2.5平均浓度下降3微克/立方米，降幅6.0%。；二氧化硫平均浓度下降1微克/立方米，降幅10.0%；NO</w:t>
      </w:r>
      <w:r>
        <w:rPr>
          <w:rFonts w:hint="eastAsia"/>
          <w:color w:val="auto"/>
          <w:vertAlign w:val="subscript"/>
        </w:rPr>
        <w:t>2</w:t>
      </w:r>
      <w:r>
        <w:rPr>
          <w:rFonts w:hint="eastAsia"/>
          <w:color w:val="auto"/>
        </w:rPr>
        <w:t>平均浓度持平；O3第90百分位浓度上升1微克/立方米，升幅0.5%；CO第95百分位浓度同比持平，优良天数227天。</w:t>
      </w:r>
    </w:p>
    <w:p w14:paraId="51B692E6">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sz w:val="24"/>
          <w:szCs w:val="24"/>
        </w:rPr>
        <w:t>目前，新乡市正在实施《新乡市202</w:t>
      </w:r>
      <w:r>
        <w:rPr>
          <w:rFonts w:hint="eastAsia" w:cs="Times New Roman"/>
          <w:sz w:val="24"/>
          <w:szCs w:val="24"/>
          <w:lang w:val="en-US" w:eastAsia="zh-CN"/>
        </w:rPr>
        <w:t>4</w:t>
      </w:r>
      <w:r>
        <w:rPr>
          <w:rFonts w:hint="default" w:ascii="Times New Roman" w:hAnsi="Times New Roman" w:cs="Times New Roman"/>
          <w:sz w:val="24"/>
          <w:szCs w:val="24"/>
        </w:rPr>
        <w:t>年蓝天保卫战实施方案》、《新乡市深入打好秋冬季重污染天气消除、夏季臭氧污染防治和柴油货车污染治理攻坚战实施方案》等一系列措施，将不断改善区域大气环境质量。</w:t>
      </w:r>
    </w:p>
    <w:bookmarkEnd w:id="230"/>
    <w:bookmarkEnd w:id="231"/>
    <w:p w14:paraId="091B4980">
      <w:pPr>
        <w:pStyle w:val="6"/>
        <w:bidi w:val="0"/>
        <w:rPr>
          <w:rFonts w:hint="eastAsia" w:eastAsia="宋体"/>
          <w:color w:val="auto"/>
          <w:lang w:val="en-US" w:eastAsia="zh-CN"/>
        </w:rPr>
      </w:pPr>
      <w:r>
        <w:rPr>
          <w:rFonts w:hint="eastAsia"/>
          <w:color w:val="auto"/>
        </w:rPr>
        <w:t>环境空气质量</w:t>
      </w:r>
      <w:r>
        <w:rPr>
          <w:rFonts w:hint="eastAsia"/>
          <w:color w:val="auto"/>
          <w:lang w:val="en-US" w:eastAsia="zh-CN"/>
        </w:rPr>
        <w:t>特征因子</w:t>
      </w:r>
    </w:p>
    <w:p w14:paraId="5D170406">
      <w:pPr>
        <w:bidi w:val="0"/>
        <w:rPr>
          <w:rFonts w:hint="default"/>
          <w:color w:val="auto"/>
          <w:lang w:val="en-US" w:eastAsia="zh-CN"/>
        </w:rPr>
      </w:pPr>
      <w:bookmarkStart w:id="232" w:name="_Toc324839604"/>
      <w:bookmarkStart w:id="233" w:name="_Toc324839307"/>
      <w:r>
        <w:rPr>
          <w:rFonts w:hint="eastAsia"/>
          <w:color w:val="auto"/>
          <w:lang w:val="en-US" w:eastAsia="zh-CN"/>
        </w:rPr>
        <w:t>根据</w:t>
      </w:r>
      <w:r>
        <w:rPr>
          <w:rFonts w:hint="eastAsia"/>
          <w:color w:val="auto"/>
        </w:rPr>
        <w:t>《新乡经济技术开发区区域环境现状评价报告》</w:t>
      </w:r>
      <w:r>
        <w:rPr>
          <w:rFonts w:hint="eastAsia"/>
          <w:color w:val="auto"/>
          <w:lang w:eastAsia="zh-CN"/>
        </w:rPr>
        <w:t>（</w:t>
      </w:r>
      <w:r>
        <w:rPr>
          <w:rFonts w:hint="eastAsia"/>
          <w:color w:val="auto"/>
          <w:lang w:val="en-US" w:eastAsia="zh-CN"/>
        </w:rPr>
        <w:t>2021年</w:t>
      </w:r>
      <w:r>
        <w:rPr>
          <w:rFonts w:hint="eastAsia"/>
          <w:color w:val="auto"/>
          <w:lang w:eastAsia="zh-CN"/>
        </w:rPr>
        <w:t>）</w:t>
      </w:r>
      <w:r>
        <w:rPr>
          <w:rFonts w:hint="eastAsia"/>
          <w:color w:val="auto"/>
          <w:lang w:val="en-US" w:eastAsia="zh-CN"/>
        </w:rPr>
        <w:t>中</w:t>
      </w:r>
      <w:r>
        <w:rPr>
          <w:rFonts w:hint="eastAsia"/>
          <w:color w:val="auto"/>
        </w:rPr>
        <w:t>环境空气</w:t>
      </w:r>
      <w:r>
        <w:rPr>
          <w:rFonts w:hint="eastAsia"/>
          <w:color w:val="auto"/>
          <w:lang w:val="en-US" w:eastAsia="zh-CN"/>
        </w:rPr>
        <w:t>质量特征因子</w:t>
      </w:r>
      <w:r>
        <w:rPr>
          <w:rFonts w:hint="eastAsia"/>
          <w:color w:val="auto"/>
        </w:rPr>
        <w:t>监测点位</w:t>
      </w:r>
      <w:r>
        <w:rPr>
          <w:rFonts w:hint="eastAsia"/>
          <w:color w:val="auto"/>
          <w:lang w:val="en-US" w:eastAsia="zh-CN"/>
        </w:rPr>
        <w:t>与本项目位置关系见下图。</w:t>
      </w:r>
    </w:p>
    <w:p w14:paraId="510835C4">
      <w:pPr>
        <w:bidi w:val="0"/>
        <w:ind w:left="0" w:leftChars="0" w:firstLine="0" w:firstLineChars="0"/>
        <w:jc w:val="center"/>
        <w:rPr>
          <w:rFonts w:hint="eastAsia" w:eastAsia="宋体"/>
          <w:color w:val="auto"/>
          <w:lang w:eastAsia="zh-CN"/>
        </w:rPr>
      </w:pPr>
      <w:r>
        <w:rPr>
          <w:sz w:val="24"/>
        </w:rPr>
        <w:pict>
          <v:shape id="_x0000_s2350" o:spid="_x0000_s2350" o:spt="61" type="#_x0000_t61" style="position:absolute;left:0pt;margin-left:45.75pt;margin-top:227.9pt;height:23.95pt;width:65pt;z-index:251722752;mso-width-relative:page;mso-height-relative:page;" fillcolor="#FFFFFF" filled="t" stroked="t" coordsize="21600,21600" adj="23152,40314">
            <v:path/>
            <v:fill on="t" color2="#FFFFFF" focussize="0,0"/>
            <v:stroke color="#000000" joinstyle="miter"/>
            <v:imagedata o:title=""/>
            <o:lock v:ext="edit" aspectratio="f"/>
            <v:textbox>
              <w:txbxContent>
                <w:p w14:paraId="6C5A40B6">
                  <w:pPr>
                    <w:ind w:left="0" w:leftChars="0" w:firstLine="0" w:firstLineChars="0"/>
                    <w:rPr>
                      <w:rFonts w:hint="default" w:eastAsia="宋体"/>
                      <w:lang w:val="en-US" w:eastAsia="zh-CN"/>
                    </w:rPr>
                  </w:pPr>
                  <w:r>
                    <w:rPr>
                      <w:rFonts w:hint="eastAsia"/>
                      <w:lang w:val="en-US" w:eastAsia="zh-CN"/>
                    </w:rPr>
                    <w:t>安康社区</w:t>
                  </w:r>
                </w:p>
              </w:txbxContent>
            </v:textbox>
          </v:shape>
        </w:pict>
      </w:r>
      <w:r>
        <w:rPr>
          <w:sz w:val="24"/>
        </w:rPr>
        <w:pict>
          <v:shape id="_x0000_s2351" o:spid="_x0000_s2351" o:spt="4" type="#_x0000_t4" style="position:absolute;left:0pt;margin-left:106.65pt;margin-top:262.45pt;height:18.6pt;width:17.95pt;z-index:251721728;mso-width-relative:page;mso-height-relative:page;" fillcolor="#FF0000" filled="t" stroked="t" coordsize="21600,21600">
            <v:path/>
            <v:fill on="t" color2="#FFFFFF" focussize="0,0"/>
            <v:stroke color="#FF0000"/>
            <v:imagedata o:title=""/>
            <o:lock v:ext="edit" aspectratio="f"/>
          </v:shape>
        </w:pict>
      </w:r>
      <w:r>
        <w:rPr>
          <w:sz w:val="24"/>
        </w:rPr>
        <w:pict>
          <v:shape id="_x0000_s2352" o:spid="_x0000_s2352" o:spt="61" type="#_x0000_t61" style="position:absolute;left:0pt;margin-left:129.25pt;margin-top:221.85pt;height:23.95pt;width:57.75pt;z-index:251719680;mso-width-relative:page;mso-height-relative:page;" fillcolor="#FFFFFF" filled="t" stroked="t" coordsize="21600,21600" adj="80,31340">
            <v:path/>
            <v:fill on="t" color2="#FFFFFF" focussize="0,0"/>
            <v:stroke color="#000000"/>
            <v:imagedata o:title=""/>
            <o:lock v:ext="edit" aspectratio="f"/>
            <v:textbox>
              <w:txbxContent>
                <w:p w14:paraId="40D6C34E">
                  <w:pPr>
                    <w:ind w:left="0" w:leftChars="0" w:firstLine="0" w:firstLineChars="0"/>
                    <w:rPr>
                      <w:rFonts w:hint="eastAsia" w:eastAsia="宋体"/>
                      <w:lang w:val="en-US" w:eastAsia="zh-CN"/>
                    </w:rPr>
                  </w:pPr>
                  <w:r>
                    <w:rPr>
                      <w:rFonts w:hint="eastAsia"/>
                      <w:lang w:val="en-US" w:eastAsia="zh-CN"/>
                    </w:rPr>
                    <w:t>贾里村</w:t>
                  </w:r>
                </w:p>
              </w:txbxContent>
            </v:textbox>
          </v:shape>
        </w:pict>
      </w:r>
      <w:r>
        <w:rPr>
          <w:sz w:val="24"/>
        </w:rPr>
        <w:pict>
          <v:shape id="_x0000_s2353" o:spid="_x0000_s2353" o:spt="4" type="#_x0000_t4" style="position:absolute;left:0pt;margin-left:116.55pt;margin-top:247.1pt;height:18.6pt;width:17.95pt;z-index:251720704;mso-width-relative:page;mso-height-relative:page;" fillcolor="#FF0000" filled="t" stroked="t" coordsize="21600,21600">
            <v:path/>
            <v:fill on="t" color2="#FFFFFF" focussize="0,0"/>
            <v:stroke color="#FF0000"/>
            <v:imagedata o:title=""/>
            <o:lock v:ext="edit" aspectratio="f"/>
          </v:shape>
        </w:pict>
      </w:r>
      <w:r>
        <w:rPr>
          <w:color w:val="auto"/>
        </w:rPr>
        <w:drawing>
          <wp:inline distT="0" distB="0" distL="114300" distR="114300">
            <wp:extent cx="5573395" cy="3959225"/>
            <wp:effectExtent l="0" t="0" r="8255" b="3175"/>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67"/>
                    <a:stretch>
                      <a:fillRect/>
                    </a:stretch>
                  </pic:blipFill>
                  <pic:spPr>
                    <a:xfrm>
                      <a:off x="0" y="0"/>
                      <a:ext cx="5573395" cy="3959225"/>
                    </a:xfrm>
                    <a:prstGeom prst="rect">
                      <a:avLst/>
                    </a:prstGeom>
                    <a:noFill/>
                    <a:ln>
                      <a:noFill/>
                    </a:ln>
                  </pic:spPr>
                </pic:pic>
              </a:graphicData>
            </a:graphic>
          </wp:inline>
        </w:drawing>
      </w:r>
    </w:p>
    <w:p w14:paraId="4AAC17CD">
      <w:pPr>
        <w:pStyle w:val="181"/>
        <w:bidi w:val="0"/>
        <w:ind w:left="0" w:leftChars="0" w:firstLine="0" w:firstLineChars="0"/>
        <w:jc w:val="center"/>
        <w:rPr>
          <w:rFonts w:hint="eastAsia"/>
          <w:color w:val="auto"/>
        </w:rPr>
      </w:pPr>
      <w:r>
        <w:rPr>
          <w:rFonts w:hint="eastAsia"/>
          <w:color w:val="auto"/>
          <w:lang w:val="en-US" w:eastAsia="zh-CN"/>
        </w:rPr>
        <w:t xml:space="preserve">图5.5-1  </w:t>
      </w:r>
      <w:r>
        <w:rPr>
          <w:rFonts w:hint="eastAsia"/>
          <w:color w:val="auto"/>
        </w:rPr>
        <w:t>环境空气</w:t>
      </w:r>
      <w:r>
        <w:rPr>
          <w:rFonts w:hint="eastAsia"/>
          <w:color w:val="auto"/>
          <w:lang w:val="en-US" w:eastAsia="zh-CN"/>
        </w:rPr>
        <w:t>质量特征因子</w:t>
      </w:r>
      <w:r>
        <w:rPr>
          <w:rFonts w:hint="eastAsia"/>
          <w:color w:val="auto"/>
        </w:rPr>
        <w:t>监测点位</w:t>
      </w:r>
      <w:r>
        <w:rPr>
          <w:rFonts w:hint="eastAsia"/>
          <w:color w:val="auto"/>
          <w:lang w:val="en-US" w:eastAsia="zh-CN"/>
        </w:rPr>
        <w:t>与本项目位置关系</w:t>
      </w:r>
    </w:p>
    <w:p w14:paraId="0260DBA1">
      <w:pPr>
        <w:bidi w:val="0"/>
        <w:rPr>
          <w:color w:val="auto"/>
        </w:rPr>
      </w:pPr>
      <w:r>
        <w:rPr>
          <w:rFonts w:hint="eastAsia"/>
          <w:color w:val="auto"/>
        </w:rPr>
        <w:t>（1）监测点位和监测因子</w:t>
      </w:r>
    </w:p>
    <w:p w14:paraId="01B149AF">
      <w:pPr>
        <w:bidi w:val="0"/>
        <w:rPr>
          <w:color w:val="auto"/>
        </w:rPr>
      </w:pPr>
      <w:r>
        <w:rPr>
          <w:color w:val="auto"/>
        </w:rPr>
        <w:t>本</w:t>
      </w:r>
      <w:r>
        <w:rPr>
          <w:rFonts w:hint="eastAsia"/>
          <w:color w:val="auto"/>
        </w:rPr>
        <w:t>次评价</w:t>
      </w:r>
      <w:r>
        <w:rPr>
          <w:color w:val="auto"/>
        </w:rPr>
        <w:t>环境空气质量现状</w:t>
      </w:r>
      <w:r>
        <w:rPr>
          <w:rFonts w:hint="eastAsia"/>
          <w:color w:val="auto"/>
        </w:rPr>
        <w:t>引用2</w:t>
      </w:r>
      <w:r>
        <w:rPr>
          <w:color w:val="auto"/>
        </w:rPr>
        <w:t>022</w:t>
      </w:r>
      <w:r>
        <w:rPr>
          <w:rFonts w:hint="eastAsia"/>
          <w:color w:val="auto"/>
        </w:rPr>
        <w:t>年6月发布的《新乡经济技术开发区区域环境现状评价报告》中的监测数据。</w:t>
      </w:r>
      <w:r>
        <w:rPr>
          <w:color w:val="auto"/>
        </w:rPr>
        <w:t>具体监测点位布设及监测因子情况见下表。</w:t>
      </w:r>
    </w:p>
    <w:p w14:paraId="1143AC79">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3</w:t>
      </w:r>
      <w:r>
        <w:fldChar w:fldCharType="end"/>
      </w:r>
      <w:r>
        <w:rPr>
          <w:rFonts w:hint="eastAsia"/>
          <w:lang w:val="en-US" w:eastAsia="zh-CN"/>
        </w:rPr>
        <w:t xml:space="preserve"> </w:t>
      </w:r>
      <w:r>
        <w:t>环境空气监测布点及监测因子一览表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2125"/>
        <w:gridCol w:w="706"/>
        <w:gridCol w:w="1276"/>
        <w:gridCol w:w="2551"/>
        <w:gridCol w:w="1190"/>
      </w:tblGrid>
      <w:tr w14:paraId="44EDF2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5" w:type="pct"/>
            <w:vAlign w:val="center"/>
          </w:tcPr>
          <w:p w14:paraId="4A3782B8">
            <w:pPr>
              <w:pStyle w:val="182"/>
              <w:bidi w:val="0"/>
              <w:rPr>
                <w:color w:val="auto"/>
              </w:rPr>
            </w:pPr>
            <w:r>
              <w:rPr>
                <w:color w:val="auto"/>
              </w:rPr>
              <w:t>编号</w:t>
            </w:r>
          </w:p>
        </w:tc>
        <w:tc>
          <w:tcPr>
            <w:tcW w:w="1246" w:type="pct"/>
            <w:vAlign w:val="center"/>
          </w:tcPr>
          <w:p w14:paraId="762C2095">
            <w:pPr>
              <w:pStyle w:val="182"/>
              <w:bidi w:val="0"/>
              <w:rPr>
                <w:color w:val="auto"/>
              </w:rPr>
            </w:pPr>
            <w:r>
              <w:rPr>
                <w:color w:val="auto"/>
              </w:rPr>
              <w:t>监测点名称</w:t>
            </w:r>
          </w:p>
        </w:tc>
        <w:tc>
          <w:tcPr>
            <w:tcW w:w="414" w:type="pct"/>
            <w:vAlign w:val="center"/>
          </w:tcPr>
          <w:p w14:paraId="2FD3BFE3">
            <w:pPr>
              <w:pStyle w:val="182"/>
              <w:bidi w:val="0"/>
              <w:rPr>
                <w:color w:val="auto"/>
              </w:rPr>
            </w:pPr>
            <w:r>
              <w:rPr>
                <w:color w:val="auto"/>
              </w:rPr>
              <w:t>方位</w:t>
            </w:r>
          </w:p>
        </w:tc>
        <w:tc>
          <w:tcPr>
            <w:tcW w:w="748" w:type="pct"/>
            <w:vAlign w:val="center"/>
          </w:tcPr>
          <w:p w14:paraId="51AFFBFF">
            <w:pPr>
              <w:pStyle w:val="182"/>
              <w:bidi w:val="0"/>
              <w:rPr>
                <w:color w:val="auto"/>
              </w:rPr>
            </w:pPr>
            <w:r>
              <w:rPr>
                <w:rFonts w:hint="eastAsia"/>
                <w:color w:val="auto"/>
              </w:rPr>
              <w:t>距厂界距离（m）</w:t>
            </w:r>
          </w:p>
        </w:tc>
        <w:tc>
          <w:tcPr>
            <w:tcW w:w="1496" w:type="pct"/>
            <w:vAlign w:val="center"/>
          </w:tcPr>
          <w:p w14:paraId="7286D8A5">
            <w:pPr>
              <w:pStyle w:val="182"/>
              <w:bidi w:val="0"/>
              <w:rPr>
                <w:color w:val="auto"/>
              </w:rPr>
            </w:pPr>
            <w:r>
              <w:rPr>
                <w:rFonts w:hint="eastAsia"/>
                <w:color w:val="auto"/>
              </w:rPr>
              <w:t>监测因子</w:t>
            </w:r>
          </w:p>
        </w:tc>
        <w:tc>
          <w:tcPr>
            <w:tcW w:w="698" w:type="pct"/>
            <w:vAlign w:val="center"/>
          </w:tcPr>
          <w:p w14:paraId="3D6D2EC2">
            <w:pPr>
              <w:pStyle w:val="182"/>
              <w:bidi w:val="0"/>
              <w:rPr>
                <w:color w:val="auto"/>
              </w:rPr>
            </w:pPr>
            <w:r>
              <w:rPr>
                <w:color w:val="auto"/>
              </w:rPr>
              <w:t>功能</w:t>
            </w:r>
          </w:p>
        </w:tc>
      </w:tr>
      <w:tr w14:paraId="342017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5" w:type="pct"/>
            <w:vAlign w:val="center"/>
          </w:tcPr>
          <w:p w14:paraId="2DD6635A">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1</w:t>
            </w:r>
            <w:r>
              <w:rPr>
                <w:rFonts w:hint="eastAsia"/>
                <w:color w:val="auto"/>
              </w:rPr>
              <w:t>#</w:t>
            </w:r>
          </w:p>
        </w:tc>
        <w:tc>
          <w:tcPr>
            <w:tcW w:w="2125" w:type="dxa"/>
            <w:vAlign w:val="center"/>
          </w:tcPr>
          <w:p w14:paraId="250D1CF5">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安康社区</w:t>
            </w:r>
          </w:p>
        </w:tc>
        <w:tc>
          <w:tcPr>
            <w:tcW w:w="414" w:type="pct"/>
            <w:vAlign w:val="center"/>
          </w:tcPr>
          <w:p w14:paraId="527FA66E">
            <w:pPr>
              <w:pStyle w:val="182"/>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西南</w:t>
            </w:r>
          </w:p>
        </w:tc>
        <w:tc>
          <w:tcPr>
            <w:tcW w:w="1276" w:type="dxa"/>
            <w:vAlign w:val="center"/>
          </w:tcPr>
          <w:p w14:paraId="7162539B">
            <w:pPr>
              <w:pStyle w:val="182"/>
              <w:bidi w:val="0"/>
              <w:ind w:firstLine="0" w:firstLineChars="0"/>
              <w:rPr>
                <w:rFonts w:ascii="Times New Roman" w:hAnsi="Times New Roman" w:eastAsia="宋体" w:cs="Times New Roman"/>
                <w:color w:val="auto"/>
                <w:kern w:val="2"/>
                <w:sz w:val="21"/>
                <w:szCs w:val="21"/>
                <w:lang w:val="en-US" w:eastAsia="zh-CN" w:bidi="ar-SA"/>
              </w:rPr>
            </w:pPr>
            <w:r>
              <w:rPr>
                <w:rFonts w:hint="eastAsia"/>
                <w:color w:val="auto"/>
                <w:lang w:val="en-US" w:eastAsia="zh-CN"/>
              </w:rPr>
              <w:t>3167</w:t>
            </w:r>
          </w:p>
        </w:tc>
        <w:tc>
          <w:tcPr>
            <w:tcW w:w="1496" w:type="pct"/>
            <w:vMerge w:val="restart"/>
            <w:vAlign w:val="center"/>
          </w:tcPr>
          <w:p w14:paraId="784E2EF7">
            <w:pPr>
              <w:pStyle w:val="182"/>
              <w:bidi w:val="0"/>
              <w:rPr>
                <w:rFonts w:hint="default" w:eastAsia="宋体"/>
                <w:color w:val="auto"/>
                <w:lang w:val="en-US" w:eastAsia="zh-CN"/>
              </w:rPr>
            </w:pPr>
            <w:r>
              <w:rPr>
                <w:rFonts w:hint="eastAsia"/>
                <w:color w:val="auto"/>
                <w:lang w:val="en-US" w:eastAsia="zh-CN"/>
              </w:rPr>
              <w:t>非甲烷总烃</w:t>
            </w:r>
          </w:p>
        </w:tc>
        <w:tc>
          <w:tcPr>
            <w:tcW w:w="698" w:type="pct"/>
            <w:vAlign w:val="center"/>
          </w:tcPr>
          <w:p w14:paraId="7733EACC">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主导风下风向</w:t>
            </w:r>
          </w:p>
        </w:tc>
      </w:tr>
      <w:tr w14:paraId="341583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5" w:type="pct"/>
            <w:vAlign w:val="center"/>
          </w:tcPr>
          <w:p w14:paraId="324D5B2B">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2</w:t>
            </w:r>
            <w:r>
              <w:rPr>
                <w:rFonts w:hint="eastAsia"/>
                <w:color w:val="auto"/>
              </w:rPr>
              <w:t>#</w:t>
            </w:r>
          </w:p>
        </w:tc>
        <w:tc>
          <w:tcPr>
            <w:tcW w:w="2125" w:type="dxa"/>
            <w:vAlign w:val="center"/>
          </w:tcPr>
          <w:p w14:paraId="61A6F30E">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贾李村</w:t>
            </w:r>
          </w:p>
        </w:tc>
        <w:tc>
          <w:tcPr>
            <w:tcW w:w="414" w:type="pct"/>
            <w:vAlign w:val="center"/>
          </w:tcPr>
          <w:p w14:paraId="1E0D32BB">
            <w:pPr>
              <w:pStyle w:val="182"/>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西南</w:t>
            </w:r>
          </w:p>
        </w:tc>
        <w:tc>
          <w:tcPr>
            <w:tcW w:w="1276" w:type="dxa"/>
            <w:vAlign w:val="center"/>
          </w:tcPr>
          <w:p w14:paraId="6E9D3CBF">
            <w:pPr>
              <w:pStyle w:val="182"/>
              <w:bidi w:val="0"/>
              <w:ind w:firstLine="0" w:firstLineChars="0"/>
              <w:rPr>
                <w:rFonts w:ascii="Times New Roman" w:hAnsi="Times New Roman" w:eastAsia="宋体" w:cs="Times New Roman"/>
                <w:color w:val="auto"/>
                <w:kern w:val="2"/>
                <w:sz w:val="21"/>
                <w:szCs w:val="21"/>
                <w:lang w:val="en-US" w:eastAsia="zh-CN" w:bidi="ar-SA"/>
              </w:rPr>
            </w:pPr>
            <w:r>
              <w:rPr>
                <w:rFonts w:hint="eastAsia"/>
                <w:color w:val="auto"/>
                <w:lang w:val="en-US" w:eastAsia="zh-CN"/>
              </w:rPr>
              <w:t>3109</w:t>
            </w:r>
          </w:p>
        </w:tc>
        <w:tc>
          <w:tcPr>
            <w:tcW w:w="1496" w:type="pct"/>
            <w:vMerge w:val="continue"/>
            <w:vAlign w:val="center"/>
          </w:tcPr>
          <w:p w14:paraId="5BD428EC">
            <w:pPr>
              <w:pStyle w:val="182"/>
              <w:bidi w:val="0"/>
              <w:rPr>
                <w:color w:val="auto"/>
              </w:rPr>
            </w:pPr>
          </w:p>
        </w:tc>
        <w:tc>
          <w:tcPr>
            <w:tcW w:w="698" w:type="pct"/>
            <w:vAlign w:val="center"/>
          </w:tcPr>
          <w:p w14:paraId="096D0366">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主导风下风向</w:t>
            </w:r>
          </w:p>
        </w:tc>
      </w:tr>
    </w:tbl>
    <w:p w14:paraId="355CE7DA">
      <w:pPr>
        <w:bidi w:val="0"/>
        <w:rPr>
          <w:color w:val="auto"/>
        </w:rPr>
      </w:pPr>
      <w:r>
        <w:rPr>
          <w:rFonts w:hint="eastAsia"/>
          <w:color w:val="auto"/>
        </w:rPr>
        <w:t>（2）监测时间和频次</w:t>
      </w:r>
    </w:p>
    <w:p w14:paraId="14BA9B06">
      <w:pPr>
        <w:bidi w:val="0"/>
        <w:rPr>
          <w:color w:val="auto"/>
        </w:rPr>
      </w:pPr>
      <w:r>
        <w:rPr>
          <w:rFonts w:hint="eastAsia"/>
          <w:color w:val="auto"/>
        </w:rPr>
        <w:t>监测时间：2021.11.02~2021.11.05，2021.11.08~2021.11.10；</w:t>
      </w:r>
    </w:p>
    <w:p w14:paraId="1829A78F">
      <w:pPr>
        <w:bidi w:val="0"/>
        <w:rPr>
          <w:color w:val="auto"/>
        </w:rPr>
      </w:pPr>
      <w:r>
        <w:rPr>
          <w:rFonts w:hint="eastAsia"/>
          <w:color w:val="auto"/>
        </w:rPr>
        <w:t>监测频次：详见</w:t>
      </w:r>
      <w:r>
        <w:rPr>
          <w:rFonts w:hint="eastAsia"/>
          <w:color w:val="auto"/>
          <w:lang w:val="en-US" w:eastAsia="zh-CN"/>
        </w:rPr>
        <w:t>下表</w:t>
      </w:r>
      <w:r>
        <w:rPr>
          <w:rFonts w:hint="eastAsia"/>
          <w:color w:val="auto"/>
        </w:rPr>
        <w:t>。</w:t>
      </w:r>
    </w:p>
    <w:p w14:paraId="6FC642DA">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4</w:t>
      </w:r>
      <w:r>
        <w:fldChar w:fldCharType="end"/>
      </w:r>
      <w:r>
        <w:rPr>
          <w:rFonts w:hint="eastAsia"/>
          <w:lang w:val="en-US" w:eastAsia="zh-CN"/>
        </w:rPr>
        <w:t xml:space="preserve"> </w:t>
      </w:r>
      <w:r>
        <w:rPr>
          <w:rFonts w:hint="eastAsia"/>
        </w:rPr>
        <w:t>环境空气现状各监测因子监测频次</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1"/>
        <w:gridCol w:w="2890"/>
        <w:gridCol w:w="2200"/>
        <w:gridCol w:w="1101"/>
      </w:tblGrid>
      <w:tr w14:paraId="09D49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2405" w:type="dxa"/>
            <w:vAlign w:val="center"/>
          </w:tcPr>
          <w:p w14:paraId="782BD4E9">
            <w:pPr>
              <w:pStyle w:val="182"/>
              <w:bidi w:val="0"/>
              <w:rPr>
                <w:b/>
                <w:bCs/>
                <w:color w:val="auto"/>
                <w:u w:val="none"/>
              </w:rPr>
            </w:pPr>
            <w:r>
              <w:rPr>
                <w:rFonts w:hint="eastAsia"/>
                <w:b/>
                <w:bCs/>
                <w:color w:val="auto"/>
                <w:u w:val="none"/>
              </w:rPr>
              <w:t>监测指标</w:t>
            </w:r>
          </w:p>
        </w:tc>
        <w:tc>
          <w:tcPr>
            <w:tcW w:w="2977" w:type="dxa"/>
            <w:vAlign w:val="center"/>
          </w:tcPr>
          <w:p w14:paraId="68C879D8">
            <w:pPr>
              <w:pStyle w:val="182"/>
              <w:bidi w:val="0"/>
              <w:rPr>
                <w:b/>
                <w:bCs/>
                <w:color w:val="auto"/>
                <w:u w:val="none"/>
              </w:rPr>
            </w:pPr>
            <w:r>
              <w:rPr>
                <w:rFonts w:hint="eastAsia"/>
                <w:b/>
                <w:bCs/>
                <w:color w:val="auto"/>
                <w:u w:val="none"/>
              </w:rPr>
              <w:t>平均1小时浓度</w:t>
            </w:r>
          </w:p>
        </w:tc>
        <w:tc>
          <w:tcPr>
            <w:tcW w:w="2268" w:type="dxa"/>
            <w:vAlign w:val="center"/>
          </w:tcPr>
          <w:p w14:paraId="4875DF6A">
            <w:pPr>
              <w:pStyle w:val="182"/>
              <w:bidi w:val="0"/>
              <w:rPr>
                <w:b/>
                <w:bCs/>
                <w:color w:val="auto"/>
                <w:u w:val="none"/>
              </w:rPr>
            </w:pPr>
            <w:r>
              <w:rPr>
                <w:rFonts w:hint="eastAsia"/>
                <w:b/>
                <w:bCs/>
                <w:color w:val="auto"/>
                <w:u w:val="none"/>
              </w:rPr>
              <w:t>日平均浓度</w:t>
            </w:r>
          </w:p>
        </w:tc>
        <w:tc>
          <w:tcPr>
            <w:tcW w:w="1127" w:type="dxa"/>
            <w:vAlign w:val="center"/>
          </w:tcPr>
          <w:p w14:paraId="2D8FC0D4">
            <w:pPr>
              <w:pStyle w:val="182"/>
              <w:bidi w:val="0"/>
              <w:rPr>
                <w:b/>
                <w:bCs/>
                <w:color w:val="auto"/>
                <w:u w:val="none"/>
              </w:rPr>
            </w:pPr>
            <w:r>
              <w:rPr>
                <w:rFonts w:hint="eastAsia"/>
                <w:b/>
                <w:bCs/>
                <w:color w:val="auto"/>
                <w:u w:val="none"/>
              </w:rPr>
              <w:t>备注</w:t>
            </w:r>
          </w:p>
        </w:tc>
      </w:tr>
      <w:tr w14:paraId="5CAD5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05" w:type="dxa"/>
            <w:vAlign w:val="center"/>
          </w:tcPr>
          <w:p w14:paraId="2AD4AFA7">
            <w:pPr>
              <w:pStyle w:val="182"/>
              <w:bidi w:val="0"/>
              <w:rPr>
                <w:rFonts w:hint="eastAsia" w:eastAsia="宋体"/>
                <w:b w:val="0"/>
                <w:bCs w:val="0"/>
                <w:color w:val="auto"/>
                <w:u w:val="none"/>
                <w:lang w:eastAsia="zh-CN"/>
              </w:rPr>
            </w:pPr>
            <w:r>
              <w:rPr>
                <w:rFonts w:hint="eastAsia"/>
                <w:b w:val="0"/>
                <w:bCs w:val="0"/>
                <w:color w:val="auto"/>
                <w:u w:val="none"/>
                <w:lang w:val="en-US" w:eastAsia="zh-CN"/>
              </w:rPr>
              <w:t>非甲烷总烃</w:t>
            </w:r>
          </w:p>
        </w:tc>
        <w:tc>
          <w:tcPr>
            <w:tcW w:w="2977" w:type="dxa"/>
            <w:vAlign w:val="center"/>
          </w:tcPr>
          <w:p w14:paraId="5AF1CE5F">
            <w:pPr>
              <w:pStyle w:val="182"/>
              <w:bidi w:val="0"/>
              <w:rPr>
                <w:rFonts w:hint="eastAsia"/>
                <w:b w:val="0"/>
                <w:bCs w:val="0"/>
                <w:color w:val="auto"/>
                <w:u w:val="none"/>
              </w:rPr>
            </w:pPr>
            <w:r>
              <w:rPr>
                <w:rFonts w:hint="eastAsia"/>
                <w:b w:val="0"/>
                <w:bCs w:val="0"/>
                <w:color w:val="auto"/>
                <w:u w:val="none"/>
              </w:rPr>
              <w:t>每天02、08、14、20时的一</w:t>
            </w:r>
          </w:p>
          <w:p w14:paraId="1F3EDB65">
            <w:pPr>
              <w:pStyle w:val="182"/>
              <w:bidi w:val="0"/>
              <w:rPr>
                <w:rFonts w:hint="eastAsia"/>
                <w:b w:val="0"/>
                <w:bCs w:val="0"/>
                <w:color w:val="auto"/>
                <w:u w:val="none"/>
              </w:rPr>
            </w:pPr>
            <w:r>
              <w:rPr>
                <w:rFonts w:hint="eastAsia"/>
                <w:b w:val="0"/>
                <w:bCs w:val="0"/>
                <w:color w:val="auto"/>
                <w:u w:val="none"/>
              </w:rPr>
              <w:t>次值，各小时采一次样，每</w:t>
            </w:r>
          </w:p>
          <w:p w14:paraId="2797F453">
            <w:pPr>
              <w:pStyle w:val="182"/>
              <w:bidi w:val="0"/>
              <w:rPr>
                <w:b w:val="0"/>
                <w:bCs w:val="0"/>
                <w:color w:val="auto"/>
                <w:u w:val="none"/>
              </w:rPr>
            </w:pPr>
            <w:r>
              <w:rPr>
                <w:rFonts w:hint="eastAsia"/>
                <w:b w:val="0"/>
                <w:bCs w:val="0"/>
                <w:color w:val="auto"/>
                <w:u w:val="none"/>
              </w:rPr>
              <w:t>小时至少45分钟采样时间</w:t>
            </w:r>
          </w:p>
        </w:tc>
        <w:tc>
          <w:tcPr>
            <w:tcW w:w="2268" w:type="dxa"/>
            <w:vAlign w:val="center"/>
          </w:tcPr>
          <w:p w14:paraId="27EFA770">
            <w:pPr>
              <w:pStyle w:val="182"/>
              <w:bidi w:val="0"/>
              <w:rPr>
                <w:b w:val="0"/>
                <w:bCs w:val="0"/>
                <w:color w:val="auto"/>
                <w:u w:val="none"/>
              </w:rPr>
            </w:pPr>
            <w:r>
              <w:rPr>
                <w:rFonts w:hint="eastAsia"/>
                <w:b w:val="0"/>
                <w:bCs w:val="0"/>
                <w:color w:val="auto"/>
                <w:u w:val="none"/>
              </w:rPr>
              <w:t>/</w:t>
            </w:r>
          </w:p>
        </w:tc>
        <w:tc>
          <w:tcPr>
            <w:tcW w:w="1127" w:type="dxa"/>
            <w:vAlign w:val="center"/>
          </w:tcPr>
          <w:p w14:paraId="5F9F4F8E">
            <w:pPr>
              <w:pStyle w:val="182"/>
              <w:bidi w:val="0"/>
              <w:rPr>
                <w:b w:val="0"/>
                <w:bCs w:val="0"/>
                <w:color w:val="auto"/>
                <w:u w:val="none"/>
              </w:rPr>
            </w:pPr>
            <w:r>
              <w:rPr>
                <w:rFonts w:hint="eastAsia"/>
                <w:b w:val="0"/>
                <w:bCs w:val="0"/>
                <w:color w:val="auto"/>
                <w:u w:val="none"/>
              </w:rPr>
              <w:t>监测7天</w:t>
            </w:r>
          </w:p>
        </w:tc>
      </w:tr>
    </w:tbl>
    <w:p w14:paraId="49EE786A">
      <w:pPr>
        <w:bidi w:val="0"/>
        <w:rPr>
          <w:color w:val="auto"/>
          <w:u w:val="none"/>
        </w:rPr>
      </w:pPr>
      <w:r>
        <w:rPr>
          <w:rFonts w:hint="eastAsia"/>
          <w:color w:val="auto"/>
          <w:u w:val="none"/>
        </w:rPr>
        <w:t>（3）分析方法</w:t>
      </w:r>
    </w:p>
    <w:p w14:paraId="10AF1283">
      <w:pPr>
        <w:bidi w:val="0"/>
        <w:rPr>
          <w:color w:val="auto"/>
          <w:u w:val="none"/>
        </w:rPr>
      </w:pPr>
      <w:r>
        <w:rPr>
          <w:color w:val="auto"/>
          <w:u w:val="none"/>
        </w:rPr>
        <w:t>各项监测因子分析方法见</w:t>
      </w:r>
      <w:r>
        <w:rPr>
          <w:rFonts w:hint="eastAsia"/>
          <w:color w:val="auto"/>
          <w:lang w:val="en-US" w:eastAsia="zh-CN"/>
        </w:rPr>
        <w:t>下表</w:t>
      </w:r>
      <w:r>
        <w:rPr>
          <w:color w:val="auto"/>
          <w:u w:val="none"/>
        </w:rPr>
        <w:t>。</w:t>
      </w:r>
    </w:p>
    <w:p w14:paraId="6AC19AEC">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5</w:t>
      </w:r>
      <w:r>
        <w:fldChar w:fldCharType="end"/>
      </w:r>
      <w:r>
        <w:rPr>
          <w:rFonts w:hint="eastAsia"/>
          <w:lang w:val="en-US" w:eastAsia="zh-CN"/>
        </w:rPr>
        <w:t xml:space="preserve"> </w:t>
      </w:r>
      <w:r>
        <w:t>环境空气监测分析方法一览表</w:t>
      </w:r>
    </w:p>
    <w:tbl>
      <w:tblPr>
        <w:tblStyle w:val="31"/>
        <w:tblW w:w="889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257"/>
        <w:gridCol w:w="3808"/>
        <w:gridCol w:w="1700"/>
        <w:gridCol w:w="2127"/>
      </w:tblGrid>
      <w:tr w14:paraId="443004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257" w:type="dxa"/>
            <w:tcBorders>
              <w:tl2br w:val="nil"/>
              <w:tr2bl w:val="nil"/>
            </w:tcBorders>
            <w:vAlign w:val="center"/>
          </w:tcPr>
          <w:p w14:paraId="199FC4AC">
            <w:pPr>
              <w:pStyle w:val="182"/>
              <w:bidi w:val="0"/>
              <w:rPr>
                <w:b/>
                <w:bCs/>
                <w:color w:val="auto"/>
                <w:u w:val="none"/>
              </w:rPr>
            </w:pPr>
            <w:r>
              <w:rPr>
                <w:b/>
                <w:bCs/>
                <w:color w:val="auto"/>
                <w:u w:val="none"/>
              </w:rPr>
              <w:t>检测项目</w:t>
            </w:r>
          </w:p>
        </w:tc>
        <w:tc>
          <w:tcPr>
            <w:tcW w:w="3808" w:type="dxa"/>
            <w:tcBorders>
              <w:tl2br w:val="nil"/>
              <w:tr2bl w:val="nil"/>
            </w:tcBorders>
            <w:vAlign w:val="center"/>
          </w:tcPr>
          <w:p w14:paraId="2EDC51AB">
            <w:pPr>
              <w:pStyle w:val="182"/>
              <w:bidi w:val="0"/>
              <w:rPr>
                <w:b/>
                <w:bCs/>
                <w:color w:val="auto"/>
                <w:u w:val="none"/>
              </w:rPr>
            </w:pPr>
            <w:r>
              <w:rPr>
                <w:b/>
                <w:bCs/>
                <w:color w:val="auto"/>
                <w:u w:val="none"/>
              </w:rPr>
              <w:t>检测标准（方法）</w:t>
            </w:r>
          </w:p>
        </w:tc>
        <w:tc>
          <w:tcPr>
            <w:tcW w:w="1700" w:type="dxa"/>
            <w:tcBorders>
              <w:tl2br w:val="nil"/>
              <w:tr2bl w:val="nil"/>
            </w:tcBorders>
            <w:vAlign w:val="center"/>
          </w:tcPr>
          <w:p w14:paraId="107BE590">
            <w:pPr>
              <w:pStyle w:val="182"/>
              <w:bidi w:val="0"/>
              <w:rPr>
                <w:b/>
                <w:bCs/>
                <w:color w:val="auto"/>
                <w:u w:val="none"/>
              </w:rPr>
            </w:pPr>
            <w:r>
              <w:rPr>
                <w:b/>
                <w:bCs/>
                <w:color w:val="auto"/>
                <w:u w:val="none"/>
              </w:rPr>
              <w:t>检测仪器</w:t>
            </w:r>
          </w:p>
        </w:tc>
        <w:tc>
          <w:tcPr>
            <w:tcW w:w="2127" w:type="dxa"/>
            <w:tcBorders>
              <w:tl2br w:val="nil"/>
              <w:tr2bl w:val="nil"/>
            </w:tcBorders>
            <w:vAlign w:val="center"/>
          </w:tcPr>
          <w:p w14:paraId="7ECAAA30">
            <w:pPr>
              <w:pStyle w:val="182"/>
              <w:bidi w:val="0"/>
              <w:rPr>
                <w:b/>
                <w:bCs/>
                <w:color w:val="auto"/>
                <w:u w:val="none"/>
              </w:rPr>
            </w:pPr>
            <w:r>
              <w:rPr>
                <w:b/>
                <w:bCs/>
                <w:color w:val="auto"/>
                <w:u w:val="none"/>
              </w:rPr>
              <w:t>检出限</w:t>
            </w:r>
          </w:p>
        </w:tc>
      </w:tr>
      <w:tr w14:paraId="0AF639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1257" w:type="dxa"/>
            <w:tcBorders>
              <w:tl2br w:val="nil"/>
              <w:tr2bl w:val="nil"/>
            </w:tcBorders>
            <w:vAlign w:val="center"/>
          </w:tcPr>
          <w:p w14:paraId="7386EF5C">
            <w:pPr>
              <w:pStyle w:val="182"/>
              <w:bidi w:val="0"/>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非甲烷总烃</w:t>
            </w:r>
          </w:p>
        </w:tc>
        <w:tc>
          <w:tcPr>
            <w:tcW w:w="3808" w:type="dxa"/>
            <w:tcBorders>
              <w:tl2br w:val="nil"/>
              <w:tr2bl w:val="nil"/>
            </w:tcBorders>
            <w:vAlign w:val="center"/>
          </w:tcPr>
          <w:p w14:paraId="4640C4B8">
            <w:pPr>
              <w:pStyle w:val="182"/>
              <w:bidi w:val="0"/>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环境空气总烃、甲烷和非甲烷总烃的</w:t>
            </w:r>
          </w:p>
          <w:p w14:paraId="4830EA4B">
            <w:pPr>
              <w:pStyle w:val="182"/>
              <w:bidi w:val="0"/>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测定直接进样-气相色谱法</w:t>
            </w:r>
          </w:p>
          <w:p w14:paraId="178FC1BC">
            <w:pPr>
              <w:pStyle w:val="182"/>
              <w:bidi w:val="0"/>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HJ604-2017</w:t>
            </w:r>
          </w:p>
        </w:tc>
        <w:tc>
          <w:tcPr>
            <w:tcW w:w="1700" w:type="dxa"/>
            <w:tcBorders>
              <w:tl2br w:val="nil"/>
              <w:tr2bl w:val="nil"/>
            </w:tcBorders>
            <w:vAlign w:val="center"/>
          </w:tcPr>
          <w:p w14:paraId="42001049">
            <w:pPr>
              <w:pStyle w:val="182"/>
              <w:bidi w:val="0"/>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气相色谱仪</w:t>
            </w:r>
          </w:p>
          <w:p w14:paraId="56A1A3F3">
            <w:pPr>
              <w:pStyle w:val="182"/>
              <w:bidi w:val="0"/>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TP-2060</w:t>
            </w:r>
          </w:p>
        </w:tc>
        <w:tc>
          <w:tcPr>
            <w:tcW w:w="2127" w:type="dxa"/>
            <w:tcBorders>
              <w:tl2br w:val="nil"/>
              <w:tr2bl w:val="nil"/>
            </w:tcBorders>
            <w:vAlign w:val="center"/>
          </w:tcPr>
          <w:p w14:paraId="3EAABA5B">
            <w:pPr>
              <w:pStyle w:val="182"/>
              <w:bidi w:val="0"/>
              <w:rPr>
                <w:rFonts w:hint="eastAsia" w:ascii="Times New Roman" w:hAnsi="Times New Roman" w:eastAsia="宋体" w:cs="Times New Roman"/>
                <w:b w:val="0"/>
                <w:bCs w:val="0"/>
                <w:color w:val="auto"/>
                <w:u w:val="none"/>
              </w:rPr>
            </w:pPr>
            <w:r>
              <w:rPr>
                <w:rFonts w:hint="eastAsia" w:ascii="Times New Roman" w:hAnsi="Times New Roman" w:eastAsia="宋体" w:cs="Times New Roman"/>
                <w:b w:val="0"/>
                <w:bCs w:val="0"/>
                <w:color w:val="auto"/>
                <w:u w:val="none"/>
              </w:rPr>
              <w:t>0.07mg/m</w:t>
            </w:r>
            <w:r>
              <w:rPr>
                <w:rFonts w:hint="eastAsia" w:ascii="Times New Roman" w:hAnsi="Times New Roman" w:eastAsia="宋体" w:cs="Times New Roman"/>
                <w:b w:val="0"/>
                <w:bCs w:val="0"/>
                <w:color w:val="auto"/>
                <w:u w:val="none"/>
                <w:vertAlign w:val="superscript"/>
              </w:rPr>
              <w:t>3</w:t>
            </w:r>
          </w:p>
        </w:tc>
      </w:tr>
    </w:tbl>
    <w:p w14:paraId="3FF3709D">
      <w:pPr>
        <w:bidi w:val="0"/>
        <w:rPr>
          <w:color w:val="auto"/>
          <w:u w:val="none"/>
        </w:rPr>
      </w:pPr>
      <w:r>
        <w:rPr>
          <w:rFonts w:hint="eastAsia"/>
          <w:color w:val="auto"/>
          <w:u w:val="none"/>
        </w:rPr>
        <w:t>（4）评价标准</w:t>
      </w:r>
    </w:p>
    <w:p w14:paraId="49845EA9">
      <w:pPr>
        <w:bidi w:val="0"/>
        <w:rPr>
          <w:b/>
          <w:bCs/>
          <w:color w:val="auto"/>
          <w:u w:val="single"/>
        </w:rPr>
      </w:pPr>
      <w:r>
        <w:rPr>
          <w:rFonts w:hint="eastAsia"/>
          <w:b/>
          <w:bCs/>
          <w:color w:val="auto"/>
          <w:u w:val="single"/>
          <w:lang w:val="en-US" w:eastAsia="zh-CN"/>
        </w:rPr>
        <w:t>非甲烷总烃</w:t>
      </w:r>
      <w:r>
        <w:rPr>
          <w:rFonts w:hint="eastAsia"/>
          <w:b/>
          <w:bCs/>
          <w:color w:val="auto"/>
          <w:u w:val="single"/>
        </w:rPr>
        <w:t>执行参照执行</w:t>
      </w:r>
      <w:r>
        <w:rPr>
          <w:b/>
          <w:bCs/>
          <w:spacing w:val="8"/>
          <w:u w:val="single"/>
        </w:rPr>
        <w:t>《大气污染物综合排放标</w:t>
      </w:r>
      <w:r>
        <w:rPr>
          <w:b/>
          <w:bCs/>
          <w:spacing w:val="6"/>
          <w:u w:val="single"/>
        </w:rPr>
        <w:t>准详解》（</w:t>
      </w:r>
      <w:r>
        <w:rPr>
          <w:rFonts w:ascii="Times New Roman" w:hAnsi="Times New Roman" w:eastAsia="Times New Roman" w:cs="Times New Roman"/>
          <w:b/>
          <w:bCs/>
          <w:spacing w:val="6"/>
          <w:u w:val="single"/>
        </w:rPr>
        <w:t>1997</w:t>
      </w:r>
      <w:r>
        <w:rPr>
          <w:b/>
          <w:bCs/>
          <w:spacing w:val="6"/>
          <w:u w:val="single"/>
        </w:rPr>
        <w:t>）</w:t>
      </w:r>
      <w:r>
        <w:rPr>
          <w:rFonts w:hint="eastAsia"/>
          <w:b/>
          <w:bCs/>
          <w:color w:val="auto"/>
          <w:u w:val="single"/>
        </w:rPr>
        <w:t>污染物浓度限值要求。</w:t>
      </w:r>
    </w:p>
    <w:p w14:paraId="3511AB7D">
      <w:pPr>
        <w:pStyle w:val="10"/>
        <w:bidi w:val="0"/>
        <w:rPr>
          <w:b/>
          <w:bCs/>
          <w:u w:val="single"/>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5.2</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6</w:t>
      </w:r>
      <w:r>
        <w:rPr>
          <w:b/>
          <w:bCs/>
          <w:u w:val="single"/>
        </w:rPr>
        <w:fldChar w:fldCharType="end"/>
      </w:r>
      <w:r>
        <w:rPr>
          <w:rFonts w:hint="eastAsia"/>
          <w:b/>
          <w:bCs/>
          <w:u w:val="single"/>
          <w:lang w:val="en-US" w:eastAsia="zh-CN"/>
        </w:rPr>
        <w:t xml:space="preserve"> </w:t>
      </w:r>
      <w:r>
        <w:rPr>
          <w:b/>
          <w:bCs/>
          <w:u w:val="single"/>
        </w:rPr>
        <w:t>环境空气质量评价标准</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5"/>
        <w:gridCol w:w="2464"/>
        <w:gridCol w:w="2202"/>
        <w:gridCol w:w="2472"/>
      </w:tblGrid>
      <w:tr w14:paraId="25990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5" w:type="dxa"/>
            <w:tcBorders>
              <w:tl2br w:val="nil"/>
              <w:tr2bl w:val="nil"/>
            </w:tcBorders>
            <w:vAlign w:val="center"/>
          </w:tcPr>
          <w:p w14:paraId="1E0E87E1">
            <w:pPr>
              <w:pStyle w:val="182"/>
              <w:bidi w:val="0"/>
              <w:rPr>
                <w:b/>
                <w:bCs/>
                <w:color w:val="auto"/>
                <w:u w:val="single"/>
              </w:rPr>
            </w:pPr>
            <w:r>
              <w:rPr>
                <w:b/>
                <w:bCs/>
                <w:color w:val="auto"/>
                <w:u w:val="single"/>
              </w:rPr>
              <w:t>污染物名称</w:t>
            </w:r>
          </w:p>
        </w:tc>
        <w:tc>
          <w:tcPr>
            <w:tcW w:w="2464" w:type="dxa"/>
            <w:tcBorders>
              <w:tl2br w:val="nil"/>
              <w:tr2bl w:val="nil"/>
            </w:tcBorders>
            <w:vAlign w:val="center"/>
          </w:tcPr>
          <w:p w14:paraId="63ACD9D7">
            <w:pPr>
              <w:pStyle w:val="182"/>
              <w:bidi w:val="0"/>
              <w:rPr>
                <w:b/>
                <w:bCs/>
                <w:color w:val="auto"/>
                <w:u w:val="single"/>
              </w:rPr>
            </w:pPr>
            <w:r>
              <w:rPr>
                <w:b/>
                <w:bCs/>
                <w:color w:val="auto"/>
                <w:u w:val="single"/>
              </w:rPr>
              <w:t>取值时间</w:t>
            </w:r>
          </w:p>
        </w:tc>
        <w:tc>
          <w:tcPr>
            <w:tcW w:w="2202" w:type="dxa"/>
            <w:tcBorders>
              <w:tl2br w:val="nil"/>
              <w:tr2bl w:val="nil"/>
            </w:tcBorders>
            <w:vAlign w:val="center"/>
          </w:tcPr>
          <w:p w14:paraId="7F967B16">
            <w:pPr>
              <w:pStyle w:val="182"/>
              <w:bidi w:val="0"/>
              <w:rPr>
                <w:b/>
                <w:bCs/>
                <w:color w:val="auto"/>
                <w:u w:val="single"/>
              </w:rPr>
            </w:pPr>
            <w:r>
              <w:rPr>
                <w:b/>
                <w:bCs/>
                <w:color w:val="auto"/>
                <w:u w:val="single"/>
              </w:rPr>
              <w:t>浓度限值</w:t>
            </w:r>
            <w:r>
              <w:rPr>
                <w:rFonts w:hint="eastAsia"/>
                <w:b/>
                <w:bCs/>
                <w:color w:val="auto"/>
                <w:u w:val="single"/>
              </w:rPr>
              <w:t>（</w:t>
            </w:r>
            <w:r>
              <w:rPr>
                <w:b/>
                <w:bCs/>
                <w:color w:val="auto"/>
                <w:u w:val="single"/>
              </w:rPr>
              <w:t>μg/m</w:t>
            </w:r>
            <w:r>
              <w:rPr>
                <w:b/>
                <w:bCs/>
                <w:color w:val="auto"/>
                <w:u w:val="single"/>
                <w:vertAlign w:val="superscript"/>
              </w:rPr>
              <w:t>3</w:t>
            </w:r>
            <w:r>
              <w:rPr>
                <w:rFonts w:hint="eastAsia"/>
                <w:b/>
                <w:bCs/>
                <w:color w:val="auto"/>
                <w:u w:val="single"/>
              </w:rPr>
              <w:t>）</w:t>
            </w:r>
          </w:p>
        </w:tc>
        <w:tc>
          <w:tcPr>
            <w:tcW w:w="2472" w:type="dxa"/>
            <w:tcBorders>
              <w:tl2br w:val="nil"/>
              <w:tr2bl w:val="nil"/>
            </w:tcBorders>
            <w:vAlign w:val="center"/>
          </w:tcPr>
          <w:p w14:paraId="4E2208E2">
            <w:pPr>
              <w:pStyle w:val="182"/>
              <w:bidi w:val="0"/>
              <w:rPr>
                <w:b/>
                <w:bCs/>
                <w:color w:val="auto"/>
                <w:u w:val="single"/>
              </w:rPr>
            </w:pPr>
            <w:r>
              <w:rPr>
                <w:rFonts w:hint="eastAsia"/>
                <w:b/>
                <w:bCs/>
                <w:color w:val="auto"/>
                <w:u w:val="single"/>
              </w:rPr>
              <w:t>选用</w:t>
            </w:r>
            <w:r>
              <w:rPr>
                <w:b/>
                <w:bCs/>
                <w:color w:val="auto"/>
                <w:u w:val="single"/>
              </w:rPr>
              <w:t>标准</w:t>
            </w:r>
          </w:p>
        </w:tc>
      </w:tr>
      <w:tr w14:paraId="487F0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5" w:type="dxa"/>
            <w:tcBorders>
              <w:tl2br w:val="nil"/>
              <w:tr2bl w:val="nil"/>
            </w:tcBorders>
            <w:vAlign w:val="center"/>
          </w:tcPr>
          <w:p w14:paraId="3EEDF4B2">
            <w:pPr>
              <w:pStyle w:val="182"/>
              <w:bidi w:val="0"/>
              <w:rPr>
                <w:rFonts w:hint="eastAsia" w:ascii="Times New Roman" w:hAnsi="Times New Roman" w:eastAsia="宋体" w:cs="Times New Roman"/>
                <w:b/>
                <w:bCs/>
                <w:color w:val="auto"/>
                <w:u w:val="single"/>
              </w:rPr>
            </w:pPr>
            <w:r>
              <w:rPr>
                <w:rFonts w:hint="eastAsia" w:ascii="Times New Roman" w:hAnsi="Times New Roman" w:eastAsia="宋体" w:cs="Times New Roman"/>
                <w:b/>
                <w:bCs/>
                <w:color w:val="auto"/>
                <w:u w:val="single"/>
              </w:rPr>
              <w:t>非甲烷总烃</w:t>
            </w:r>
          </w:p>
        </w:tc>
        <w:tc>
          <w:tcPr>
            <w:tcW w:w="2464" w:type="dxa"/>
            <w:tcBorders>
              <w:tl2br w:val="nil"/>
              <w:tr2bl w:val="nil"/>
            </w:tcBorders>
            <w:vAlign w:val="center"/>
          </w:tcPr>
          <w:p w14:paraId="484542E0">
            <w:pPr>
              <w:pStyle w:val="182"/>
              <w:bidi w:val="0"/>
              <w:rPr>
                <w:rFonts w:hint="eastAsia" w:ascii="Times New Roman" w:hAnsi="Times New Roman" w:eastAsia="宋体" w:cs="Times New Roman"/>
                <w:b/>
                <w:bCs/>
                <w:color w:val="auto"/>
                <w:u w:val="single"/>
              </w:rPr>
            </w:pPr>
            <w:r>
              <w:rPr>
                <w:rFonts w:hint="eastAsia" w:ascii="Times New Roman" w:hAnsi="Times New Roman" w:eastAsia="宋体" w:cs="Times New Roman"/>
                <w:b/>
                <w:bCs/>
                <w:color w:val="auto"/>
                <w:u w:val="single"/>
              </w:rPr>
              <w:t>1次值</w:t>
            </w:r>
          </w:p>
        </w:tc>
        <w:tc>
          <w:tcPr>
            <w:tcW w:w="2202" w:type="dxa"/>
            <w:tcBorders>
              <w:tl2br w:val="nil"/>
              <w:tr2bl w:val="nil"/>
            </w:tcBorders>
            <w:vAlign w:val="center"/>
          </w:tcPr>
          <w:p w14:paraId="46F0EFF0">
            <w:pPr>
              <w:pStyle w:val="182"/>
              <w:bidi w:val="0"/>
              <w:rPr>
                <w:rFonts w:hint="eastAsia" w:ascii="Times New Roman" w:hAnsi="Times New Roman" w:eastAsia="宋体" w:cs="Times New Roman"/>
                <w:b/>
                <w:bCs/>
                <w:color w:val="auto"/>
                <w:u w:val="single"/>
              </w:rPr>
            </w:pPr>
            <w:r>
              <w:rPr>
                <w:rFonts w:hint="eastAsia" w:ascii="Times New Roman" w:hAnsi="Times New Roman" w:eastAsia="宋体" w:cs="Times New Roman"/>
                <w:b/>
                <w:bCs/>
                <w:color w:val="auto"/>
                <w:u w:val="single"/>
              </w:rPr>
              <w:t>2000</w:t>
            </w:r>
          </w:p>
        </w:tc>
        <w:tc>
          <w:tcPr>
            <w:tcW w:w="2472" w:type="dxa"/>
            <w:tcBorders>
              <w:tl2br w:val="nil"/>
              <w:tr2bl w:val="nil"/>
            </w:tcBorders>
            <w:vAlign w:val="center"/>
          </w:tcPr>
          <w:p w14:paraId="48C48600">
            <w:pPr>
              <w:pStyle w:val="182"/>
              <w:bidi w:val="0"/>
              <w:rPr>
                <w:rFonts w:hint="eastAsia" w:ascii="Times New Roman" w:hAnsi="Times New Roman" w:eastAsia="宋体" w:cs="Times New Roman"/>
                <w:b/>
                <w:bCs/>
                <w:color w:val="auto"/>
                <w:u w:val="single"/>
              </w:rPr>
            </w:pPr>
            <w:r>
              <w:rPr>
                <w:rFonts w:hint="eastAsia" w:ascii="Times New Roman" w:hAnsi="Times New Roman" w:eastAsia="宋体" w:cs="Times New Roman"/>
                <w:b/>
                <w:bCs/>
                <w:color w:val="auto"/>
                <w:u w:val="single"/>
              </w:rPr>
              <w:t>《大气污染物综合排放标 准详解》（1997）</w:t>
            </w:r>
          </w:p>
        </w:tc>
      </w:tr>
    </w:tbl>
    <w:p w14:paraId="6D2F8BED">
      <w:pPr>
        <w:bidi w:val="0"/>
        <w:rPr>
          <w:color w:val="auto"/>
        </w:rPr>
      </w:pPr>
      <w:r>
        <w:rPr>
          <w:rFonts w:hint="eastAsia"/>
          <w:color w:val="auto"/>
        </w:rPr>
        <w:t>（5）</w:t>
      </w:r>
      <w:r>
        <w:rPr>
          <w:color w:val="auto"/>
        </w:rPr>
        <w:t>评价方法</w:t>
      </w:r>
    </w:p>
    <w:p w14:paraId="2169F65B">
      <w:pPr>
        <w:bidi w:val="0"/>
        <w:rPr>
          <w:color w:val="auto"/>
        </w:rPr>
      </w:pPr>
      <w:r>
        <w:rPr>
          <w:rFonts w:hint="eastAsia"/>
          <w:color w:val="auto"/>
        </w:rPr>
        <w:t>统计各监测点的小时浓度、日均浓度范围和占标率。其计算公式为：</w:t>
      </w:r>
    </w:p>
    <w:p w14:paraId="00D191C5">
      <w:pPr>
        <w:bidi w:val="0"/>
        <w:rPr>
          <w:color w:val="auto"/>
        </w:rPr>
      </w:pPr>
      <m:oMathPara>
        <m:oMath>
          <m:sSub>
            <m:sSubPr>
              <m:ctrlPr>
                <w:rPr>
                  <w:rFonts w:ascii="Cambria Math" w:hAnsi="Cambria Math"/>
                  <w:color w:val="auto"/>
                </w:rPr>
              </m:ctrlPr>
            </m:sSubPr>
            <m:e>
              <m:r>
                <m:rPr>
                  <m:sty m:val="p"/>
                </m:rPr>
                <w:rPr>
                  <w:rFonts w:ascii="Cambria Math" w:hAnsi="Cambria Math"/>
                  <w:color w:val="auto"/>
                </w:rPr>
                <m:t>P</m:t>
              </m:r>
              <m:ctrlPr>
                <w:rPr>
                  <w:rFonts w:ascii="Cambria Math" w:hAnsi="Cambria Math"/>
                  <w:color w:val="auto"/>
                </w:rPr>
              </m:ctrlPr>
            </m:e>
            <m:sub>
              <m:r>
                <m:rPr>
                  <m:sty m:val="p"/>
                </m:rPr>
                <w:rPr>
                  <w:rFonts w:ascii="Cambria Math" w:hAnsi="Cambria Math"/>
                  <w:color w:val="auto"/>
                </w:rPr>
                <m:t>i</m:t>
              </m:r>
              <m:ctrlPr>
                <w:rPr>
                  <w:rFonts w:ascii="Cambria Math" w:hAnsi="Cambria Math"/>
                  <w:color w:val="auto"/>
                </w:rPr>
              </m:ctrlPr>
            </m:sub>
          </m:sSub>
          <m:r>
            <m:rPr>
              <m:sty m:val="p"/>
            </m:rPr>
            <w:rPr>
              <w:rFonts w:ascii="Cambria Math" w:hAnsi="Cambria Math"/>
              <w:color w:val="auto"/>
            </w:rPr>
            <m:t>=</m:t>
          </m:r>
          <m:f>
            <m:fPr>
              <m:ctrlPr>
                <w:rPr>
                  <w:rFonts w:ascii="Cambria Math" w:hAnsi="Cambria Math"/>
                  <w:color w:val="auto"/>
                </w:rPr>
              </m:ctrlPr>
            </m:fPr>
            <m:num>
              <m:sSub>
                <m:sSubPr>
                  <m:ctrlPr>
                    <w:rPr>
                      <w:rFonts w:ascii="Cambria Math" w:hAnsi="Cambria Math"/>
                      <w:color w:val="auto"/>
                    </w:rPr>
                  </m:ctrlPr>
                </m:sSubPr>
                <m:e>
                  <m:r>
                    <m:rPr>
                      <m:sty m:val="p"/>
                    </m:rPr>
                    <w:rPr>
                      <w:rFonts w:ascii="Cambria Math" w:hAnsi="Cambria Math"/>
                      <w:color w:val="auto"/>
                    </w:rPr>
                    <m:t>C</m:t>
                  </m:r>
                  <m:ctrlPr>
                    <w:rPr>
                      <w:rFonts w:ascii="Cambria Math" w:hAnsi="Cambria Math"/>
                      <w:color w:val="auto"/>
                    </w:rPr>
                  </m:ctrlPr>
                </m:e>
                <m:sub>
                  <m:r>
                    <m:rPr>
                      <m:sty m:val="p"/>
                    </m:rPr>
                    <w:rPr>
                      <w:rFonts w:ascii="Cambria Math" w:hAnsi="Cambria Math"/>
                      <w:color w:val="auto"/>
                    </w:rPr>
                    <m:t>i</m:t>
                  </m:r>
                  <m:ctrlPr>
                    <w:rPr>
                      <w:rFonts w:ascii="Cambria Math" w:hAnsi="Cambria Math"/>
                      <w:color w:val="auto"/>
                    </w:rPr>
                  </m:ctrlPr>
                </m:sub>
              </m:sSub>
              <m:ctrlPr>
                <w:rPr>
                  <w:rFonts w:ascii="Cambria Math" w:hAnsi="Cambria Math"/>
                  <w:color w:val="auto"/>
                </w:rPr>
              </m:ctrlPr>
            </m:num>
            <m:den>
              <m:sSub>
                <m:sSubPr>
                  <m:ctrlPr>
                    <w:rPr>
                      <w:rFonts w:ascii="Cambria Math" w:hAnsi="Cambria Math"/>
                      <w:color w:val="auto"/>
                    </w:rPr>
                  </m:ctrlPr>
                </m:sSubPr>
                <m:e>
                  <m:r>
                    <m:rPr>
                      <m:sty m:val="p"/>
                    </m:rPr>
                    <w:rPr>
                      <w:rFonts w:ascii="Cambria Math" w:hAnsi="Cambria Math"/>
                      <w:color w:val="auto"/>
                    </w:rPr>
                    <m:t>C</m:t>
                  </m:r>
                  <m:ctrlPr>
                    <w:rPr>
                      <w:rFonts w:ascii="Cambria Math" w:hAnsi="Cambria Math"/>
                      <w:color w:val="auto"/>
                    </w:rPr>
                  </m:ctrlPr>
                </m:e>
                <m:sub>
                  <m:r>
                    <m:rPr>
                      <m:sty m:val="p"/>
                    </m:rPr>
                    <w:rPr>
                      <w:rFonts w:ascii="Cambria Math" w:hAnsi="Cambria Math"/>
                      <w:color w:val="auto"/>
                    </w:rPr>
                    <m:t>oi</m:t>
                  </m:r>
                  <m:ctrlPr>
                    <w:rPr>
                      <w:rFonts w:ascii="Cambria Math" w:hAnsi="Cambria Math"/>
                      <w:color w:val="auto"/>
                    </w:rPr>
                  </m:ctrlPr>
                </m:sub>
              </m:sSub>
              <m:ctrlPr>
                <w:rPr>
                  <w:rFonts w:ascii="Cambria Math" w:hAnsi="Cambria Math"/>
                  <w:color w:val="auto"/>
                </w:rPr>
              </m:ctrlPr>
            </m:den>
          </m:f>
          <m:r>
            <m:rPr>
              <m:sty m:val="p"/>
            </m:rPr>
            <w:rPr>
              <w:rFonts w:ascii="Cambria Math" w:hAnsi="Cambria Math"/>
              <w:color w:val="auto"/>
            </w:rPr>
            <m:t>×100%</m:t>
          </m:r>
        </m:oMath>
      </m:oMathPara>
    </w:p>
    <w:p w14:paraId="1476E314">
      <w:pPr>
        <w:bidi w:val="0"/>
        <w:rPr>
          <w:color w:val="auto"/>
        </w:rPr>
      </w:pPr>
      <w:r>
        <w:rPr>
          <w:rFonts w:hint="eastAsia"/>
          <w:color w:val="auto"/>
        </w:rPr>
        <w:t>式中，Pi——第i项污染物的大气质量指数；</w:t>
      </w:r>
    </w:p>
    <w:p w14:paraId="2CB26E2C">
      <w:pPr>
        <w:bidi w:val="0"/>
        <w:ind w:firstLine="1200" w:firstLineChars="500"/>
        <w:rPr>
          <w:color w:val="auto"/>
        </w:rPr>
      </w:pPr>
      <w:r>
        <w:rPr>
          <w:rFonts w:hint="eastAsia"/>
          <w:color w:val="auto"/>
        </w:rPr>
        <w:t>Ci——第i项污染物的实测值，mg/m</w:t>
      </w:r>
      <w:r>
        <w:rPr>
          <w:rFonts w:hint="eastAsia"/>
          <w:color w:val="auto"/>
          <w:vertAlign w:val="superscript"/>
        </w:rPr>
        <w:t>3</w:t>
      </w:r>
      <w:r>
        <w:rPr>
          <w:rFonts w:hint="eastAsia"/>
          <w:color w:val="auto"/>
        </w:rPr>
        <w:t>；</w:t>
      </w:r>
    </w:p>
    <w:p w14:paraId="7FBD6720">
      <w:pPr>
        <w:bidi w:val="0"/>
        <w:ind w:firstLine="1200" w:firstLineChars="500"/>
        <w:rPr>
          <w:color w:val="auto"/>
        </w:rPr>
      </w:pPr>
      <w:r>
        <w:rPr>
          <w:rFonts w:hint="eastAsia"/>
          <w:color w:val="auto"/>
        </w:rPr>
        <w:t>Coi——第i项污染物的标准值，mg/m</w:t>
      </w:r>
      <w:r>
        <w:rPr>
          <w:rFonts w:hint="eastAsia"/>
          <w:color w:val="auto"/>
          <w:vertAlign w:val="superscript"/>
        </w:rPr>
        <w:t>3</w:t>
      </w:r>
      <w:r>
        <w:rPr>
          <w:rFonts w:hint="eastAsia"/>
          <w:color w:val="auto"/>
        </w:rPr>
        <w:t>。</w:t>
      </w:r>
    </w:p>
    <w:p w14:paraId="0A033836">
      <w:pPr>
        <w:bidi w:val="0"/>
        <w:rPr>
          <w:color w:val="auto"/>
        </w:rPr>
      </w:pPr>
      <w:r>
        <w:rPr>
          <w:rFonts w:hint="eastAsia"/>
          <w:color w:val="auto"/>
        </w:rPr>
        <w:t>若占标率&gt;100%，表明该大气指标超过了规定的大气环境质量标准限值，占标率越大，说明该大气指标超标越严重。</w:t>
      </w:r>
    </w:p>
    <w:p w14:paraId="46AC2814">
      <w:pPr>
        <w:bidi w:val="0"/>
        <w:rPr>
          <w:color w:val="auto"/>
        </w:rPr>
      </w:pPr>
      <w:r>
        <w:rPr>
          <w:rFonts w:hint="eastAsia"/>
          <w:color w:val="auto"/>
        </w:rPr>
        <w:t>（6）</w:t>
      </w:r>
      <w:r>
        <w:rPr>
          <w:color w:val="auto"/>
        </w:rPr>
        <w:t>监测结果</w:t>
      </w:r>
      <w:r>
        <w:rPr>
          <w:rFonts w:hint="eastAsia"/>
          <w:color w:val="auto"/>
        </w:rPr>
        <w:t>及评价</w:t>
      </w:r>
    </w:p>
    <w:p w14:paraId="2B30E8C0">
      <w:pPr>
        <w:bidi w:val="0"/>
        <w:rPr>
          <w:color w:val="auto"/>
        </w:rPr>
      </w:pPr>
      <w:r>
        <w:rPr>
          <w:color w:val="auto"/>
        </w:rPr>
        <w:t>各污染物浓度监测数据统计见</w:t>
      </w:r>
      <w:r>
        <w:rPr>
          <w:rFonts w:hint="eastAsia"/>
          <w:color w:val="auto"/>
          <w:lang w:val="en-US" w:eastAsia="zh-CN"/>
        </w:rPr>
        <w:t>下表</w:t>
      </w:r>
      <w:r>
        <w:rPr>
          <w:color w:val="auto"/>
        </w:rPr>
        <w:t>。</w:t>
      </w:r>
    </w:p>
    <w:p w14:paraId="076874E9">
      <w:pPr>
        <w:pStyle w:val="10"/>
        <w:bidi w:val="0"/>
        <w:rPr>
          <w:b/>
          <w:bCs w:val="0"/>
          <w:u w:val="single"/>
        </w:rPr>
      </w:pPr>
      <w:r>
        <w:rPr>
          <w:b/>
          <w:bCs w:val="0"/>
          <w:u w:val="single"/>
        </w:rPr>
        <w:t xml:space="preserve">表 </w:t>
      </w:r>
      <w:r>
        <w:rPr>
          <w:b/>
          <w:bCs w:val="0"/>
          <w:u w:val="single"/>
        </w:rPr>
        <w:fldChar w:fldCharType="begin"/>
      </w:r>
      <w:r>
        <w:rPr>
          <w:b/>
          <w:bCs w:val="0"/>
          <w:u w:val="single"/>
        </w:rPr>
        <w:instrText xml:space="preserve"> STYLEREF 2 \s </w:instrText>
      </w:r>
      <w:r>
        <w:rPr>
          <w:b/>
          <w:bCs w:val="0"/>
          <w:u w:val="single"/>
        </w:rPr>
        <w:fldChar w:fldCharType="separate"/>
      </w:r>
      <w:r>
        <w:rPr>
          <w:b/>
          <w:bCs w:val="0"/>
          <w:u w:val="single"/>
        </w:rPr>
        <w:t>5.2</w:t>
      </w:r>
      <w:r>
        <w:rPr>
          <w:b/>
          <w:bCs w:val="0"/>
          <w:u w:val="single"/>
        </w:rPr>
        <w:fldChar w:fldCharType="end"/>
      </w:r>
      <w:r>
        <w:rPr>
          <w:rFonts w:hint="eastAsia"/>
          <w:b/>
          <w:bCs w:val="0"/>
          <w:u w:val="single"/>
          <w:lang w:eastAsia="zh-CN"/>
        </w:rPr>
        <w:t>-</w:t>
      </w:r>
      <w:r>
        <w:rPr>
          <w:b/>
          <w:bCs w:val="0"/>
          <w:u w:val="single"/>
        </w:rPr>
        <w:fldChar w:fldCharType="begin"/>
      </w:r>
      <w:r>
        <w:rPr>
          <w:b/>
          <w:bCs w:val="0"/>
          <w:u w:val="single"/>
        </w:rPr>
        <w:instrText xml:space="preserve"> SEQ 表 \* ARABIC \s 2 </w:instrText>
      </w:r>
      <w:r>
        <w:rPr>
          <w:b/>
          <w:bCs w:val="0"/>
          <w:u w:val="single"/>
        </w:rPr>
        <w:fldChar w:fldCharType="separate"/>
      </w:r>
      <w:r>
        <w:rPr>
          <w:b/>
          <w:bCs w:val="0"/>
          <w:u w:val="single"/>
        </w:rPr>
        <w:t>7</w:t>
      </w:r>
      <w:r>
        <w:rPr>
          <w:b/>
          <w:bCs w:val="0"/>
          <w:u w:val="single"/>
        </w:rPr>
        <w:fldChar w:fldCharType="end"/>
      </w:r>
      <w:r>
        <w:rPr>
          <w:rFonts w:hint="eastAsia"/>
          <w:b/>
          <w:bCs w:val="0"/>
          <w:u w:val="single"/>
          <w:lang w:val="en-US" w:eastAsia="zh-CN"/>
        </w:rPr>
        <w:t xml:space="preserve"> </w:t>
      </w:r>
      <w:r>
        <w:rPr>
          <w:rFonts w:hint="eastAsia"/>
          <w:b/>
          <w:bCs w:val="0"/>
          <w:u w:val="single"/>
        </w:rPr>
        <w:t>环境空气质量监测中各监测因子浓度统计结果</w:t>
      </w:r>
    </w:p>
    <w:tbl>
      <w:tblPr>
        <w:tblStyle w:val="3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1254"/>
        <w:gridCol w:w="1321"/>
        <w:gridCol w:w="1449"/>
        <w:gridCol w:w="1181"/>
        <w:gridCol w:w="1169"/>
        <w:gridCol w:w="1127"/>
      </w:tblGrid>
      <w:tr w14:paraId="582C7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6" w:type="pct"/>
            <w:vAlign w:val="center"/>
          </w:tcPr>
          <w:p w14:paraId="46E5E3CD">
            <w:pPr>
              <w:pStyle w:val="182"/>
              <w:bidi w:val="0"/>
              <w:rPr>
                <w:b/>
                <w:bCs w:val="0"/>
                <w:color w:val="auto"/>
                <w:u w:val="single"/>
              </w:rPr>
            </w:pPr>
            <w:r>
              <w:rPr>
                <w:rFonts w:hint="eastAsia"/>
                <w:b/>
                <w:bCs w:val="0"/>
                <w:color w:val="auto"/>
                <w:u w:val="single"/>
              </w:rPr>
              <w:t>监测点位</w:t>
            </w:r>
          </w:p>
        </w:tc>
        <w:tc>
          <w:tcPr>
            <w:tcW w:w="736" w:type="pct"/>
            <w:vAlign w:val="center"/>
          </w:tcPr>
          <w:p w14:paraId="3E44AF89">
            <w:pPr>
              <w:pStyle w:val="182"/>
              <w:bidi w:val="0"/>
              <w:rPr>
                <w:b/>
                <w:bCs w:val="0"/>
                <w:color w:val="auto"/>
                <w:u w:val="single"/>
              </w:rPr>
            </w:pPr>
            <w:r>
              <w:rPr>
                <w:rFonts w:hint="eastAsia"/>
                <w:b/>
                <w:bCs w:val="0"/>
                <w:color w:val="auto"/>
                <w:u w:val="single"/>
              </w:rPr>
              <w:t>污染物</w:t>
            </w:r>
          </w:p>
        </w:tc>
        <w:tc>
          <w:tcPr>
            <w:tcW w:w="775" w:type="pct"/>
            <w:vAlign w:val="center"/>
          </w:tcPr>
          <w:p w14:paraId="35A56B5F">
            <w:pPr>
              <w:pStyle w:val="182"/>
              <w:bidi w:val="0"/>
              <w:rPr>
                <w:b/>
                <w:bCs w:val="0"/>
                <w:color w:val="auto"/>
                <w:u w:val="single"/>
              </w:rPr>
            </w:pPr>
            <w:r>
              <w:rPr>
                <w:rFonts w:hint="eastAsia"/>
                <w:b/>
                <w:bCs w:val="0"/>
                <w:color w:val="auto"/>
                <w:u w:val="single"/>
              </w:rPr>
              <w:t>平均时间</w:t>
            </w:r>
          </w:p>
        </w:tc>
        <w:tc>
          <w:tcPr>
            <w:tcW w:w="850" w:type="pct"/>
            <w:vAlign w:val="center"/>
          </w:tcPr>
          <w:p w14:paraId="73037B21">
            <w:pPr>
              <w:pStyle w:val="182"/>
              <w:bidi w:val="0"/>
              <w:rPr>
                <w:b/>
                <w:bCs w:val="0"/>
                <w:color w:val="auto"/>
                <w:u w:val="single"/>
              </w:rPr>
            </w:pPr>
            <w:r>
              <w:rPr>
                <w:rFonts w:hint="eastAsia"/>
                <w:b/>
                <w:bCs w:val="0"/>
                <w:color w:val="auto"/>
                <w:u w:val="single"/>
              </w:rPr>
              <w:t>浓度范围/</w:t>
            </w:r>
          </w:p>
          <w:p w14:paraId="1A8EE8E3">
            <w:pPr>
              <w:pStyle w:val="182"/>
              <w:bidi w:val="0"/>
              <w:rPr>
                <w:b/>
                <w:bCs w:val="0"/>
                <w:color w:val="auto"/>
                <w:u w:val="single"/>
              </w:rPr>
            </w:pPr>
            <w:r>
              <w:rPr>
                <w:rFonts w:hint="eastAsia"/>
                <w:b/>
                <w:bCs w:val="0"/>
                <w:color w:val="auto"/>
                <w:u w:val="single"/>
              </w:rPr>
              <w:t>（</w:t>
            </w:r>
            <w:r>
              <w:rPr>
                <w:b/>
                <w:bCs w:val="0"/>
                <w:color w:val="auto"/>
                <w:u w:val="single"/>
              </w:rPr>
              <w:t>μ</w:t>
            </w:r>
            <w:r>
              <w:rPr>
                <w:rFonts w:hint="eastAsia"/>
                <w:b/>
                <w:bCs w:val="0"/>
                <w:color w:val="auto"/>
                <w:u w:val="single"/>
              </w:rPr>
              <w:t>g/m</w:t>
            </w:r>
            <w:r>
              <w:rPr>
                <w:rFonts w:hint="eastAsia"/>
                <w:b/>
                <w:bCs w:val="0"/>
                <w:color w:val="auto"/>
                <w:u w:val="single"/>
                <w:vertAlign w:val="superscript"/>
              </w:rPr>
              <w:t>3</w:t>
            </w:r>
            <w:r>
              <w:rPr>
                <w:rFonts w:hint="eastAsia"/>
                <w:b/>
                <w:bCs w:val="0"/>
                <w:color w:val="auto"/>
                <w:u w:val="single"/>
              </w:rPr>
              <w:t>）</w:t>
            </w:r>
          </w:p>
        </w:tc>
        <w:tc>
          <w:tcPr>
            <w:tcW w:w="693" w:type="pct"/>
            <w:vAlign w:val="center"/>
          </w:tcPr>
          <w:p w14:paraId="4AAD29B0">
            <w:pPr>
              <w:pStyle w:val="182"/>
              <w:bidi w:val="0"/>
              <w:rPr>
                <w:b/>
                <w:bCs w:val="0"/>
                <w:color w:val="auto"/>
                <w:u w:val="single"/>
              </w:rPr>
            </w:pPr>
            <w:r>
              <w:rPr>
                <w:b/>
                <w:bCs w:val="0"/>
                <w:color w:val="auto"/>
                <w:u w:val="single"/>
              </w:rPr>
              <w:t>评价标准/</w:t>
            </w:r>
          </w:p>
          <w:p w14:paraId="3F88D9A4">
            <w:pPr>
              <w:pStyle w:val="182"/>
              <w:bidi w:val="0"/>
              <w:rPr>
                <w:b/>
                <w:bCs w:val="0"/>
                <w:color w:val="auto"/>
                <w:u w:val="single"/>
              </w:rPr>
            </w:pPr>
            <w:r>
              <w:rPr>
                <w:b/>
                <w:bCs w:val="0"/>
                <w:color w:val="auto"/>
                <w:u w:val="single"/>
              </w:rPr>
              <w:t>（μg/m</w:t>
            </w:r>
            <w:r>
              <w:rPr>
                <w:b/>
                <w:bCs w:val="0"/>
                <w:color w:val="auto"/>
                <w:u w:val="single"/>
                <w:vertAlign w:val="superscript"/>
              </w:rPr>
              <w:t>3</w:t>
            </w:r>
            <w:r>
              <w:rPr>
                <w:b/>
                <w:bCs w:val="0"/>
                <w:color w:val="auto"/>
                <w:u w:val="single"/>
              </w:rPr>
              <w:t>）</w:t>
            </w:r>
          </w:p>
        </w:tc>
        <w:tc>
          <w:tcPr>
            <w:tcW w:w="686" w:type="pct"/>
            <w:vAlign w:val="center"/>
          </w:tcPr>
          <w:p w14:paraId="3D0E0612">
            <w:pPr>
              <w:pStyle w:val="182"/>
              <w:bidi w:val="0"/>
              <w:rPr>
                <w:b/>
                <w:bCs w:val="0"/>
                <w:color w:val="auto"/>
                <w:u w:val="single"/>
              </w:rPr>
            </w:pPr>
            <w:r>
              <w:rPr>
                <w:rFonts w:hint="eastAsia"/>
                <w:b/>
                <w:bCs w:val="0"/>
                <w:color w:val="auto"/>
                <w:u w:val="single"/>
              </w:rPr>
              <w:t>最大浓度占标率%</w:t>
            </w:r>
          </w:p>
        </w:tc>
        <w:tc>
          <w:tcPr>
            <w:tcW w:w="661" w:type="pct"/>
            <w:vAlign w:val="center"/>
          </w:tcPr>
          <w:p w14:paraId="32CFDDAD">
            <w:pPr>
              <w:pStyle w:val="182"/>
              <w:bidi w:val="0"/>
              <w:rPr>
                <w:b/>
                <w:bCs w:val="0"/>
                <w:color w:val="auto"/>
                <w:u w:val="single"/>
              </w:rPr>
            </w:pPr>
            <w:r>
              <w:rPr>
                <w:rFonts w:hint="eastAsia"/>
                <w:b/>
                <w:bCs w:val="0"/>
                <w:color w:val="auto"/>
                <w:u w:val="single"/>
              </w:rPr>
              <w:t>达标情况</w:t>
            </w:r>
          </w:p>
        </w:tc>
      </w:tr>
      <w:tr w14:paraId="4AC43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6" w:type="pct"/>
            <w:vAlign w:val="center"/>
          </w:tcPr>
          <w:p w14:paraId="07D32368">
            <w:pPr>
              <w:pStyle w:val="182"/>
              <w:bidi w:val="0"/>
              <w:ind w:firstLine="0" w:firstLineChars="0"/>
              <w:rPr>
                <w:b/>
                <w:bCs w:val="0"/>
                <w:color w:val="auto"/>
                <w:u w:val="single"/>
              </w:rPr>
            </w:pPr>
            <w:r>
              <w:rPr>
                <w:rFonts w:hint="eastAsia"/>
                <w:b/>
                <w:bCs w:val="0"/>
                <w:color w:val="auto"/>
                <w:u w:val="single"/>
                <w:lang w:val="en-US" w:eastAsia="zh-CN"/>
              </w:rPr>
              <w:t>安康社区</w:t>
            </w:r>
          </w:p>
        </w:tc>
        <w:tc>
          <w:tcPr>
            <w:tcW w:w="736" w:type="pct"/>
            <w:vAlign w:val="center"/>
          </w:tcPr>
          <w:p w14:paraId="5EAC22DE">
            <w:pPr>
              <w:pStyle w:val="182"/>
              <w:bidi w:val="0"/>
              <w:ind w:firstLine="0" w:firstLineChars="0"/>
              <w:rPr>
                <w:rFonts w:hint="eastAsia" w:ascii="Times New Roman" w:hAnsi="Times New Roman" w:eastAsia="宋体" w:cs="Times New Roman"/>
                <w:b/>
                <w:bCs w:val="0"/>
                <w:color w:val="auto"/>
                <w:u w:val="single"/>
                <w:lang w:val="en-US" w:eastAsia="zh-CN"/>
              </w:rPr>
            </w:pPr>
            <w:r>
              <w:rPr>
                <w:rFonts w:hint="eastAsia" w:ascii="Times New Roman" w:hAnsi="Times New Roman" w:eastAsia="宋体" w:cs="Times New Roman"/>
                <w:b/>
                <w:bCs w:val="0"/>
                <w:color w:val="auto"/>
                <w:u w:val="single"/>
                <w:lang w:val="en-US" w:eastAsia="zh-CN"/>
              </w:rPr>
              <w:t>非甲烷总烃</w:t>
            </w:r>
          </w:p>
        </w:tc>
        <w:tc>
          <w:tcPr>
            <w:tcW w:w="775" w:type="pct"/>
            <w:vAlign w:val="center"/>
          </w:tcPr>
          <w:p w14:paraId="0BA26162">
            <w:pPr>
              <w:pStyle w:val="182"/>
              <w:bidi w:val="0"/>
              <w:ind w:firstLine="0" w:firstLineChars="0"/>
              <w:rPr>
                <w:rFonts w:hint="eastAsia" w:ascii="Times New Roman" w:hAnsi="Times New Roman" w:eastAsia="宋体" w:cs="Times New Roman"/>
                <w:b/>
                <w:bCs w:val="0"/>
                <w:color w:val="auto"/>
                <w:u w:val="single"/>
                <w:lang w:val="en-US" w:eastAsia="zh-CN"/>
              </w:rPr>
            </w:pPr>
            <w:r>
              <w:rPr>
                <w:rFonts w:hint="eastAsia" w:ascii="Times New Roman" w:hAnsi="Times New Roman" w:eastAsia="宋体" w:cs="Times New Roman"/>
                <w:b/>
                <w:bCs w:val="0"/>
                <w:color w:val="auto"/>
                <w:u w:val="single"/>
                <w:lang w:val="en-US" w:eastAsia="zh-CN"/>
              </w:rPr>
              <w:t>小时值</w:t>
            </w:r>
          </w:p>
        </w:tc>
        <w:tc>
          <w:tcPr>
            <w:tcW w:w="850" w:type="pct"/>
            <w:vAlign w:val="center"/>
          </w:tcPr>
          <w:p w14:paraId="37012A48">
            <w:pPr>
              <w:pStyle w:val="182"/>
              <w:bidi w:val="0"/>
              <w:ind w:firstLine="0" w:firstLineChars="0"/>
              <w:rPr>
                <w:rFonts w:hint="default" w:ascii="Times New Roman" w:hAnsi="Times New Roman" w:eastAsia="宋体" w:cs="Times New Roman"/>
                <w:b/>
                <w:bCs w:val="0"/>
                <w:color w:val="auto"/>
                <w:u w:val="single"/>
                <w:lang w:val="en-US" w:eastAsia="zh-CN"/>
              </w:rPr>
            </w:pPr>
            <w:r>
              <w:rPr>
                <w:rFonts w:hint="eastAsia" w:ascii="Times New Roman" w:hAnsi="Times New Roman" w:eastAsia="宋体" w:cs="Times New Roman"/>
                <w:b/>
                <w:bCs w:val="0"/>
                <w:color w:val="auto"/>
                <w:u w:val="single"/>
                <w:lang w:val="en-US" w:eastAsia="zh-CN"/>
              </w:rPr>
              <w:t>0.34~0.58</w:t>
            </w:r>
          </w:p>
        </w:tc>
        <w:tc>
          <w:tcPr>
            <w:tcW w:w="693" w:type="pct"/>
            <w:vAlign w:val="center"/>
          </w:tcPr>
          <w:p w14:paraId="2AB79F06">
            <w:pPr>
              <w:pStyle w:val="182"/>
              <w:bidi w:val="0"/>
              <w:ind w:firstLine="0" w:firstLineChars="0"/>
              <w:rPr>
                <w:rFonts w:hint="default" w:ascii="Times New Roman" w:hAnsi="Times New Roman" w:eastAsia="宋体" w:cs="Times New Roman"/>
                <w:b/>
                <w:bCs w:val="0"/>
                <w:color w:val="auto"/>
                <w:u w:val="single"/>
                <w:lang w:val="en-US" w:eastAsia="zh-CN"/>
              </w:rPr>
            </w:pPr>
            <w:r>
              <w:rPr>
                <w:rFonts w:hint="eastAsia" w:ascii="Times New Roman" w:hAnsi="Times New Roman" w:eastAsia="宋体" w:cs="Times New Roman"/>
                <w:b/>
                <w:bCs w:val="0"/>
                <w:color w:val="auto"/>
                <w:u w:val="single"/>
                <w:lang w:val="en-US" w:eastAsia="zh-CN"/>
              </w:rPr>
              <w:t>2000</w:t>
            </w:r>
          </w:p>
        </w:tc>
        <w:tc>
          <w:tcPr>
            <w:tcW w:w="686" w:type="pct"/>
            <w:vAlign w:val="center"/>
          </w:tcPr>
          <w:p w14:paraId="0D4E380D">
            <w:pPr>
              <w:pStyle w:val="182"/>
              <w:bidi w:val="0"/>
              <w:ind w:firstLine="0" w:firstLineChars="0"/>
              <w:rPr>
                <w:rFonts w:hint="eastAsia" w:ascii="Times New Roman" w:hAnsi="Times New Roman" w:eastAsia="宋体" w:cs="Times New Roman"/>
                <w:b/>
                <w:bCs w:val="0"/>
                <w:color w:val="auto"/>
                <w:u w:val="single"/>
                <w:lang w:val="en-US" w:eastAsia="zh-CN"/>
              </w:rPr>
            </w:pPr>
            <w:r>
              <w:rPr>
                <w:rFonts w:hint="eastAsia" w:cs="Times New Roman"/>
                <w:b/>
                <w:bCs w:val="0"/>
                <w:color w:val="auto"/>
                <w:u w:val="single"/>
                <w:lang w:val="en-US" w:eastAsia="zh-CN"/>
              </w:rPr>
              <w:t>2.</w:t>
            </w:r>
            <w:r>
              <w:rPr>
                <w:rFonts w:hint="eastAsia" w:ascii="Times New Roman" w:hAnsi="Times New Roman" w:eastAsia="宋体" w:cs="Times New Roman"/>
                <w:b/>
                <w:bCs w:val="0"/>
                <w:color w:val="auto"/>
                <w:u w:val="single"/>
                <w:lang w:val="en-US" w:eastAsia="zh-CN"/>
              </w:rPr>
              <w:t>9%</w:t>
            </w:r>
          </w:p>
        </w:tc>
        <w:tc>
          <w:tcPr>
            <w:tcW w:w="661" w:type="pct"/>
            <w:vAlign w:val="center"/>
          </w:tcPr>
          <w:p w14:paraId="501496C0">
            <w:pPr>
              <w:pStyle w:val="182"/>
              <w:bidi w:val="0"/>
              <w:ind w:firstLine="0" w:firstLineChars="0"/>
              <w:rPr>
                <w:rFonts w:hint="eastAsia" w:ascii="Times New Roman" w:hAnsi="Times New Roman" w:eastAsia="宋体" w:cs="Times New Roman"/>
                <w:b/>
                <w:bCs w:val="0"/>
                <w:color w:val="auto"/>
                <w:u w:val="single"/>
                <w:lang w:val="en-US" w:eastAsia="zh-CN"/>
              </w:rPr>
            </w:pPr>
            <w:r>
              <w:rPr>
                <w:rFonts w:hint="eastAsia" w:ascii="Times New Roman" w:hAnsi="Times New Roman" w:eastAsia="宋体" w:cs="Times New Roman"/>
                <w:b/>
                <w:bCs w:val="0"/>
                <w:color w:val="auto"/>
                <w:u w:val="single"/>
                <w:lang w:val="en-US" w:eastAsia="zh-CN"/>
              </w:rPr>
              <w:t>达标</w:t>
            </w:r>
          </w:p>
        </w:tc>
      </w:tr>
      <w:tr w14:paraId="56640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6" w:type="pct"/>
            <w:vAlign w:val="center"/>
          </w:tcPr>
          <w:p w14:paraId="68EEB471">
            <w:pPr>
              <w:pStyle w:val="182"/>
              <w:bidi w:val="0"/>
              <w:ind w:firstLine="0" w:firstLineChars="0"/>
              <w:rPr>
                <w:b/>
                <w:bCs w:val="0"/>
                <w:color w:val="auto"/>
                <w:u w:val="single"/>
              </w:rPr>
            </w:pPr>
            <w:r>
              <w:rPr>
                <w:rFonts w:hint="eastAsia"/>
                <w:b/>
                <w:bCs w:val="0"/>
                <w:color w:val="auto"/>
                <w:u w:val="single"/>
                <w:lang w:val="en-US" w:eastAsia="zh-CN"/>
              </w:rPr>
              <w:t>贾李村</w:t>
            </w:r>
          </w:p>
        </w:tc>
        <w:tc>
          <w:tcPr>
            <w:tcW w:w="736" w:type="pct"/>
            <w:vAlign w:val="center"/>
          </w:tcPr>
          <w:p w14:paraId="617ECF50">
            <w:pPr>
              <w:pStyle w:val="182"/>
              <w:bidi w:val="0"/>
              <w:ind w:firstLine="0" w:firstLineChars="0"/>
              <w:rPr>
                <w:rFonts w:hint="eastAsia" w:ascii="Times New Roman" w:hAnsi="Times New Roman" w:eastAsia="宋体" w:cs="Times New Roman"/>
                <w:b/>
                <w:bCs w:val="0"/>
                <w:color w:val="auto"/>
                <w:u w:val="single"/>
                <w:lang w:val="en-US" w:eastAsia="zh-CN"/>
              </w:rPr>
            </w:pPr>
            <w:r>
              <w:rPr>
                <w:rFonts w:hint="eastAsia" w:ascii="Times New Roman" w:hAnsi="Times New Roman" w:eastAsia="宋体" w:cs="Times New Roman"/>
                <w:b/>
                <w:bCs w:val="0"/>
                <w:color w:val="auto"/>
                <w:u w:val="single"/>
                <w:lang w:val="en-US" w:eastAsia="zh-CN"/>
              </w:rPr>
              <w:t>非甲烷总烃</w:t>
            </w:r>
          </w:p>
        </w:tc>
        <w:tc>
          <w:tcPr>
            <w:tcW w:w="775" w:type="pct"/>
            <w:vAlign w:val="center"/>
          </w:tcPr>
          <w:p w14:paraId="3626C8C1">
            <w:pPr>
              <w:pStyle w:val="182"/>
              <w:bidi w:val="0"/>
              <w:ind w:firstLine="0" w:firstLineChars="0"/>
              <w:rPr>
                <w:rFonts w:hint="eastAsia" w:ascii="Times New Roman" w:hAnsi="Times New Roman" w:eastAsia="宋体" w:cs="Times New Roman"/>
                <w:b/>
                <w:bCs w:val="0"/>
                <w:color w:val="auto"/>
                <w:u w:val="single"/>
                <w:lang w:val="en-US" w:eastAsia="zh-CN"/>
              </w:rPr>
            </w:pPr>
            <w:r>
              <w:rPr>
                <w:rFonts w:hint="eastAsia" w:ascii="Times New Roman" w:hAnsi="Times New Roman" w:eastAsia="宋体" w:cs="Times New Roman"/>
                <w:b/>
                <w:bCs w:val="0"/>
                <w:color w:val="auto"/>
                <w:u w:val="single"/>
                <w:lang w:val="en-US" w:eastAsia="zh-CN"/>
              </w:rPr>
              <w:t>小时值</w:t>
            </w:r>
          </w:p>
        </w:tc>
        <w:tc>
          <w:tcPr>
            <w:tcW w:w="850" w:type="pct"/>
            <w:vAlign w:val="center"/>
          </w:tcPr>
          <w:p w14:paraId="2B84046B">
            <w:pPr>
              <w:pStyle w:val="182"/>
              <w:bidi w:val="0"/>
              <w:ind w:firstLine="0" w:firstLineChars="0"/>
              <w:rPr>
                <w:rFonts w:hint="default" w:ascii="Times New Roman" w:hAnsi="Times New Roman" w:eastAsia="宋体" w:cs="Times New Roman"/>
                <w:b/>
                <w:bCs w:val="0"/>
                <w:color w:val="auto"/>
                <w:u w:val="single"/>
                <w:lang w:val="en-US" w:eastAsia="zh-CN"/>
              </w:rPr>
            </w:pPr>
            <w:r>
              <w:rPr>
                <w:rFonts w:hint="eastAsia" w:ascii="Times New Roman" w:hAnsi="Times New Roman" w:eastAsia="宋体" w:cs="Times New Roman"/>
                <w:b/>
                <w:bCs w:val="0"/>
                <w:color w:val="auto"/>
                <w:u w:val="single"/>
                <w:lang w:val="en-US" w:eastAsia="zh-CN"/>
              </w:rPr>
              <w:t>0.48~0.56</w:t>
            </w:r>
          </w:p>
        </w:tc>
        <w:tc>
          <w:tcPr>
            <w:tcW w:w="693" w:type="pct"/>
            <w:vAlign w:val="center"/>
          </w:tcPr>
          <w:p w14:paraId="06CC10ED">
            <w:pPr>
              <w:pStyle w:val="182"/>
              <w:bidi w:val="0"/>
              <w:ind w:firstLine="0" w:firstLineChars="0"/>
              <w:rPr>
                <w:rFonts w:hint="eastAsia" w:ascii="Times New Roman" w:hAnsi="Times New Roman" w:eastAsia="宋体" w:cs="Times New Roman"/>
                <w:b/>
                <w:bCs w:val="0"/>
                <w:color w:val="auto"/>
                <w:u w:val="single"/>
                <w:lang w:val="en-US" w:eastAsia="zh-CN"/>
              </w:rPr>
            </w:pPr>
            <w:r>
              <w:rPr>
                <w:rFonts w:hint="eastAsia" w:ascii="Times New Roman" w:hAnsi="Times New Roman" w:eastAsia="宋体" w:cs="Times New Roman"/>
                <w:b/>
                <w:bCs w:val="0"/>
                <w:color w:val="auto"/>
                <w:u w:val="single"/>
                <w:lang w:val="en-US" w:eastAsia="zh-CN"/>
              </w:rPr>
              <w:t>2000</w:t>
            </w:r>
          </w:p>
        </w:tc>
        <w:tc>
          <w:tcPr>
            <w:tcW w:w="686" w:type="pct"/>
            <w:vAlign w:val="center"/>
          </w:tcPr>
          <w:p w14:paraId="5E8E65A6">
            <w:pPr>
              <w:pStyle w:val="182"/>
              <w:bidi w:val="0"/>
              <w:ind w:firstLine="0" w:firstLineChars="0"/>
              <w:rPr>
                <w:rFonts w:hint="eastAsia" w:ascii="Times New Roman" w:hAnsi="Times New Roman" w:eastAsia="宋体" w:cs="Times New Roman"/>
                <w:b/>
                <w:bCs w:val="0"/>
                <w:color w:val="auto"/>
                <w:u w:val="single"/>
                <w:lang w:val="en-US" w:eastAsia="zh-CN"/>
              </w:rPr>
            </w:pPr>
            <w:r>
              <w:rPr>
                <w:rFonts w:hint="eastAsia" w:cs="Times New Roman"/>
                <w:b/>
                <w:bCs w:val="0"/>
                <w:color w:val="auto"/>
                <w:u w:val="single"/>
                <w:lang w:val="en-US" w:eastAsia="zh-CN"/>
              </w:rPr>
              <w:t>2.</w:t>
            </w:r>
            <w:r>
              <w:rPr>
                <w:rFonts w:hint="eastAsia" w:ascii="Times New Roman" w:hAnsi="Times New Roman" w:eastAsia="宋体" w:cs="Times New Roman"/>
                <w:b/>
                <w:bCs w:val="0"/>
                <w:color w:val="auto"/>
                <w:u w:val="single"/>
                <w:lang w:val="en-US" w:eastAsia="zh-CN"/>
              </w:rPr>
              <w:t>8%</w:t>
            </w:r>
          </w:p>
        </w:tc>
        <w:tc>
          <w:tcPr>
            <w:tcW w:w="661" w:type="pct"/>
            <w:vAlign w:val="center"/>
          </w:tcPr>
          <w:p w14:paraId="03983D24">
            <w:pPr>
              <w:pStyle w:val="182"/>
              <w:bidi w:val="0"/>
              <w:ind w:firstLine="0" w:firstLineChars="0"/>
              <w:rPr>
                <w:rFonts w:hint="eastAsia" w:ascii="Times New Roman" w:hAnsi="Times New Roman" w:eastAsia="宋体" w:cs="Times New Roman"/>
                <w:b/>
                <w:bCs w:val="0"/>
                <w:color w:val="auto"/>
                <w:u w:val="single"/>
                <w:lang w:val="en-US" w:eastAsia="zh-CN"/>
              </w:rPr>
            </w:pPr>
            <w:r>
              <w:rPr>
                <w:rFonts w:hint="eastAsia" w:ascii="Times New Roman" w:hAnsi="Times New Roman" w:eastAsia="宋体" w:cs="Times New Roman"/>
                <w:b/>
                <w:bCs w:val="0"/>
                <w:color w:val="auto"/>
                <w:u w:val="single"/>
                <w:lang w:val="en-US" w:eastAsia="zh-CN"/>
              </w:rPr>
              <w:t>达标</w:t>
            </w:r>
          </w:p>
        </w:tc>
      </w:tr>
    </w:tbl>
    <w:p w14:paraId="500031FD">
      <w:pPr>
        <w:bidi w:val="0"/>
        <w:rPr>
          <w:b/>
          <w:bCs w:val="0"/>
          <w:color w:val="auto"/>
          <w:u w:val="single"/>
        </w:rPr>
      </w:pPr>
      <w:r>
        <w:rPr>
          <w:rFonts w:hint="eastAsia"/>
          <w:b/>
          <w:bCs w:val="0"/>
          <w:color w:val="auto"/>
          <w:u w:val="single"/>
        </w:rPr>
        <w:t>由上表结果可知，</w:t>
      </w:r>
      <w:r>
        <w:rPr>
          <w:rFonts w:hint="eastAsia"/>
          <w:b/>
          <w:bCs w:val="0"/>
          <w:color w:val="auto"/>
          <w:u w:val="single"/>
          <w:lang w:val="en-US" w:eastAsia="zh-CN"/>
        </w:rPr>
        <w:t>非甲烷总烃</w:t>
      </w:r>
      <w:r>
        <w:rPr>
          <w:rFonts w:hint="eastAsia"/>
          <w:b/>
          <w:bCs w:val="0"/>
          <w:color w:val="auto"/>
          <w:u w:val="single"/>
        </w:rPr>
        <w:t>执</w:t>
      </w:r>
      <w:r>
        <w:rPr>
          <w:rFonts w:hint="eastAsia"/>
          <w:b/>
          <w:bCs w:val="0"/>
          <w:color w:val="auto"/>
          <w:u w:val="single"/>
          <w:lang w:val="en-US" w:eastAsia="zh-CN"/>
        </w:rPr>
        <w:t>满足</w:t>
      </w:r>
      <w:r>
        <w:rPr>
          <w:b/>
          <w:bCs w:val="0"/>
          <w:spacing w:val="8"/>
          <w:u w:val="single"/>
        </w:rPr>
        <w:t>《大气污染物综合排放标</w:t>
      </w:r>
      <w:r>
        <w:rPr>
          <w:b/>
          <w:bCs w:val="0"/>
          <w:spacing w:val="6"/>
          <w:u w:val="single"/>
        </w:rPr>
        <w:t>准详解》（</w:t>
      </w:r>
      <w:r>
        <w:rPr>
          <w:rFonts w:ascii="Times New Roman" w:hAnsi="Times New Roman" w:eastAsia="Times New Roman" w:cs="Times New Roman"/>
          <w:b/>
          <w:bCs w:val="0"/>
          <w:spacing w:val="6"/>
          <w:u w:val="single"/>
        </w:rPr>
        <w:t>1997</w:t>
      </w:r>
      <w:r>
        <w:rPr>
          <w:b/>
          <w:bCs w:val="0"/>
          <w:spacing w:val="6"/>
          <w:u w:val="single"/>
        </w:rPr>
        <w:t>）</w:t>
      </w:r>
      <w:r>
        <w:rPr>
          <w:rFonts w:hint="eastAsia"/>
          <w:b/>
          <w:bCs w:val="0"/>
          <w:color w:val="auto"/>
          <w:u w:val="single"/>
        </w:rPr>
        <w:t>污染物浓度限值要求。</w:t>
      </w:r>
    </w:p>
    <w:p w14:paraId="4B87F28D">
      <w:pPr>
        <w:pStyle w:val="5"/>
        <w:bidi w:val="0"/>
        <w:rPr>
          <w:color w:val="auto"/>
        </w:rPr>
      </w:pPr>
      <w:r>
        <w:rPr>
          <w:color w:val="auto"/>
        </w:rPr>
        <w:t>地表水环境质量现状评价</w:t>
      </w:r>
    </w:p>
    <w:bookmarkEnd w:id="226"/>
    <w:bookmarkEnd w:id="227"/>
    <w:bookmarkEnd w:id="228"/>
    <w:bookmarkEnd w:id="229"/>
    <w:bookmarkEnd w:id="232"/>
    <w:bookmarkEnd w:id="233"/>
    <w:p w14:paraId="7CF61ABC">
      <w:pPr>
        <w:pStyle w:val="6"/>
        <w:bidi w:val="0"/>
        <w:rPr>
          <w:color w:val="auto"/>
        </w:rPr>
      </w:pPr>
      <w:bookmarkStart w:id="234" w:name="_Toc429318409"/>
      <w:bookmarkStart w:id="235" w:name="_Toc428287226"/>
      <w:bookmarkStart w:id="236" w:name="_Toc428286865"/>
      <w:r>
        <w:rPr>
          <w:rFonts w:hint="eastAsia"/>
          <w:color w:val="auto"/>
        </w:rPr>
        <w:t>项目</w:t>
      </w:r>
      <w:r>
        <w:rPr>
          <w:rFonts w:hint="eastAsia"/>
          <w:color w:val="auto"/>
          <w:lang w:eastAsia="zh-CN"/>
        </w:rPr>
        <w:t>纳污</w:t>
      </w:r>
      <w:r>
        <w:rPr>
          <w:rFonts w:hint="eastAsia"/>
          <w:color w:val="auto"/>
        </w:rPr>
        <w:t>水体</w:t>
      </w:r>
      <w:r>
        <w:rPr>
          <w:rFonts w:hint="eastAsia"/>
          <w:color w:val="auto"/>
          <w:lang w:eastAsia="zh-CN"/>
        </w:rPr>
        <w:t>环境概况</w:t>
      </w:r>
    </w:p>
    <w:p w14:paraId="74E50601">
      <w:pPr>
        <w:bidi w:val="0"/>
        <w:rPr>
          <w:color w:val="auto"/>
        </w:rPr>
      </w:pPr>
      <w:r>
        <w:rPr>
          <w:rFonts w:hint="eastAsia"/>
          <w:color w:val="auto"/>
          <w:lang w:val="en-US" w:eastAsia="zh-CN"/>
        </w:rPr>
        <w:t>本项目废水进入厂区污水处理站氨纶废水处理单元处理</w:t>
      </w:r>
      <w:r>
        <w:rPr>
          <w:color w:val="auto"/>
        </w:rPr>
        <w:t>，之后经园区管网排入小店污水处理厂深度处理达标后外排。经调查，目前小店污水处理厂现状纳污水体为大沙河。距离小店污水处理厂排污口下游最近的断面为大沙河水花堡断面。大沙河水花堡断面水质控制为：COD30 mg/L，氨氮1.5 mg/L，总磷为0.3 mg/L。本项目纳污水体为大沙河，大沙河进入安阳市境内后更名为柳青河，在濮阳境内汇入金堤河，最终进入黄河，属黄河流域。大沙河地表水功能区划为Ⅳ类水体。项目附近地表水体分布示意图详见图</w:t>
      </w:r>
      <w:r>
        <w:rPr>
          <w:rFonts w:hint="eastAsia"/>
          <w:color w:val="auto"/>
          <w:lang w:val="en-US" w:eastAsia="zh-CN"/>
        </w:rPr>
        <w:t>5.2</w:t>
      </w:r>
      <w:r>
        <w:rPr>
          <w:color w:val="auto"/>
        </w:rPr>
        <w:t>-</w:t>
      </w:r>
      <w:r>
        <w:rPr>
          <w:rFonts w:hint="eastAsia"/>
          <w:color w:val="auto"/>
          <w:lang w:val="en-US" w:eastAsia="zh-CN"/>
        </w:rPr>
        <w:t>2</w:t>
      </w:r>
      <w:r>
        <w:rPr>
          <w:color w:val="auto"/>
        </w:rPr>
        <w:t>。</w:t>
      </w:r>
    </w:p>
    <w:p w14:paraId="2E2A7C86">
      <w:pPr>
        <w:ind w:left="0" w:leftChars="0" w:firstLine="0" w:firstLineChars="0"/>
        <w:jc w:val="both"/>
        <w:rPr>
          <w:rFonts w:eastAsia="黑体"/>
          <w:color w:val="auto"/>
          <w:sz w:val="24"/>
          <w:szCs w:val="20"/>
        </w:rPr>
      </w:pPr>
      <w:r>
        <w:rPr>
          <w:rFonts w:eastAsia="黑体"/>
          <w:color w:val="auto"/>
          <w:sz w:val="24"/>
          <w:szCs w:val="20"/>
        </w:rPr>
        <w:pict>
          <v:shape id="_x0000_s2308" o:spid="_x0000_s2308" o:spt="62" type="#_x0000_t62" style="position:absolute;left:0pt;margin-left:148.15pt;margin-top:74.75pt;height:25.35pt;width:90.2pt;z-index:251668480;mso-width-relative:page;mso-height-relative:page;" fillcolor="#FFFFFF" filled="t" stroked="t" coordsize="21600,21600" adj="23480,28204">
            <v:path/>
            <v:fill on="t" color2="#FFFFFF" focussize="0,0"/>
            <v:stroke color="#000000" joinstyle="miter"/>
            <v:imagedata o:title=""/>
            <o:lock v:ext="edit" aspectratio="f"/>
            <v:textbox>
              <w:txbxContent>
                <w:p w14:paraId="71262B1C">
                  <w:pPr>
                    <w:pStyle w:val="93"/>
                    <w:ind w:left="0" w:leftChars="0" w:firstLine="0" w:firstLineChars="0"/>
                    <w:jc w:val="both"/>
                  </w:pPr>
                  <w:r>
                    <w:rPr>
                      <w:rFonts w:hint="eastAsia"/>
                    </w:rPr>
                    <w:t>水花堡桥断面</w:t>
                  </w:r>
                </w:p>
              </w:txbxContent>
            </v:textbox>
          </v:shape>
        </w:pict>
      </w:r>
      <w:r>
        <w:rPr>
          <w:rFonts w:eastAsia="黑体"/>
          <w:color w:val="auto"/>
          <w:sz w:val="24"/>
          <w:szCs w:val="20"/>
        </w:rPr>
        <w:pict>
          <v:shape id="_x0000_s2310" o:spid="_x0000_s2310" o:spt="32" type="#_x0000_t32" style="position:absolute;left:0pt;margin-left:249pt;margin-top:90.8pt;height:40.75pt;width:6.05pt;z-index:251667456;mso-width-relative:page;mso-height-relative:page;" o:connectortype="straight" filled="f" coordsize="21600,21600">
            <v:path arrowok="t"/>
            <v:fill on="f" focussize="0,0"/>
            <v:stroke startarrow="classic" startarrowlength="long" endarrow="classic" endarrowlength="long"/>
            <v:imagedata o:title=""/>
            <o:lock v:ext="edit"/>
          </v:shape>
        </w:pict>
      </w:r>
      <w:r>
        <w:rPr>
          <w:rFonts w:eastAsia="黑体"/>
          <w:color w:val="auto"/>
          <w:sz w:val="24"/>
          <w:szCs w:val="20"/>
        </w:rPr>
        <w:drawing>
          <wp:inline distT="0" distB="0" distL="114300" distR="114300">
            <wp:extent cx="5305425" cy="3562350"/>
            <wp:effectExtent l="0" t="0" r="9525" b="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68"/>
                    <a:stretch>
                      <a:fillRect/>
                    </a:stretch>
                  </pic:blipFill>
                  <pic:spPr>
                    <a:xfrm>
                      <a:off x="0" y="0"/>
                      <a:ext cx="5305425" cy="3562350"/>
                    </a:xfrm>
                    <a:prstGeom prst="rect">
                      <a:avLst/>
                    </a:prstGeom>
                    <a:noFill/>
                    <a:ln>
                      <a:noFill/>
                    </a:ln>
                  </pic:spPr>
                </pic:pic>
              </a:graphicData>
            </a:graphic>
          </wp:inline>
        </w:drawing>
      </w:r>
      <w:r>
        <w:rPr>
          <w:rFonts w:eastAsia="黑体"/>
          <w:color w:val="auto"/>
          <w:sz w:val="24"/>
          <w:szCs w:val="20"/>
        </w:rPr>
        <w:pict>
          <v:shape id="_x0000_s2341" o:spid="_x0000_s2341" o:spt="62" type="#_x0000_t62" style="position:absolute;left:0pt;margin-left:210pt;margin-top:147.5pt;height:25.35pt;width:77.05pt;z-index:251716608;mso-width-relative:page;mso-height-relative:page;" fillcolor="#FFFFFF" filled="t" stroked="t" coordsize="21600,21600" adj="-3041,30036">
            <v:path/>
            <v:fill on="t" color2="#FFFFFF" focussize="0,0"/>
            <v:stroke color="#000000" joinstyle="miter"/>
            <v:imagedata o:title=""/>
            <o:lock v:ext="edit" aspectratio="f"/>
            <v:textbox>
              <w:txbxContent>
                <w:p w14:paraId="64382451">
                  <w:pPr>
                    <w:pStyle w:val="93"/>
                    <w:ind w:left="0" w:leftChars="0" w:firstLine="0" w:firstLineChars="0"/>
                    <w:jc w:val="both"/>
                    <w:rPr>
                      <w:rFonts w:hint="eastAsia" w:eastAsia="宋体"/>
                      <w:lang w:val="en-US" w:eastAsia="zh-CN"/>
                    </w:rPr>
                  </w:pPr>
                  <w:r>
                    <w:rPr>
                      <w:rFonts w:hint="eastAsia"/>
                      <w:lang w:val="en-US" w:eastAsia="zh-CN"/>
                    </w:rPr>
                    <w:t>项目位置</w:t>
                  </w:r>
                </w:p>
              </w:txbxContent>
            </v:textbox>
          </v:shape>
        </w:pict>
      </w:r>
      <w:r>
        <w:rPr>
          <w:rFonts w:eastAsia="黑体"/>
          <w:color w:val="auto"/>
          <w:sz w:val="24"/>
          <w:szCs w:val="20"/>
        </w:rPr>
        <w:pict>
          <v:rect id="_x0000_s2306" o:spid="_x0000_s2306" o:spt="1" style="position:absolute;left:0pt;margin-left:192.7pt;margin-top:178.05pt;height:7.15pt;width:9pt;z-index:251673600;mso-width-relative:page;mso-height-relative:page;" fillcolor="#E50BD5" filled="t" stroked="t" coordsize="21600,21600">
            <v:path/>
            <v:fill on="t" focussize="0,0"/>
            <v:stroke weight="1.5pt" color="#E50BD5"/>
            <v:imagedata o:title=""/>
            <o:lock v:ext="edit"/>
          </v:rect>
        </w:pict>
      </w:r>
      <w:r>
        <w:rPr>
          <w:rFonts w:eastAsia="黑体"/>
          <w:color w:val="auto"/>
          <w:sz w:val="24"/>
          <w:szCs w:val="20"/>
        </w:rPr>
        <w:pict>
          <v:shape id="_x0000_s2304" o:spid="_x0000_s2304" o:spt="62" type="#_x0000_t62" style="position:absolute;left:0pt;margin-left:57.75pt;margin-top:63.9pt;height:40.8pt;width:68.75pt;z-index:251666432;mso-width-relative:page;mso-height-relative:page;" coordsize="21600,21600" adj="21710,28800">
            <v:path/>
            <v:fill focussize="0,0"/>
            <v:stroke joinstyle="miter"/>
            <v:imagedata o:title=""/>
            <o:lock v:ext="edit"/>
            <v:textbox>
              <w:txbxContent>
                <w:p w14:paraId="15D7456D">
                  <w:pPr>
                    <w:pStyle w:val="93"/>
                    <w:ind w:left="0" w:leftChars="0" w:firstLine="0" w:firstLineChars="0"/>
                    <w:jc w:val="both"/>
                  </w:pPr>
                  <w:r>
                    <w:rPr>
                      <w:rFonts w:hint="eastAsia"/>
                    </w:rPr>
                    <w:t>小店污水处理厂</w:t>
                  </w:r>
                </w:p>
              </w:txbxContent>
            </v:textbox>
          </v:shape>
        </w:pict>
      </w:r>
      <w:r>
        <w:rPr>
          <w:rFonts w:eastAsia="黑体"/>
          <w:color w:val="auto"/>
          <w:sz w:val="24"/>
          <w:szCs w:val="20"/>
        </w:rPr>
        <w:pict>
          <v:rect id="_x0000_s2307" o:spid="_x0000_s2307" o:spt="1" style="position:absolute;left:0pt;margin-left:126.5pt;margin-top:117.6pt;height:7.25pt;width:7.15pt;z-index:251672576;mso-width-relative:page;mso-height-relative:page;" fillcolor="#FFC000" filled="t" stroked="t" coordsize="21600,21600">
            <v:path/>
            <v:fill on="t" focussize="0,0"/>
            <v:stroke color="#E50BD5"/>
            <v:imagedata o:title=""/>
            <o:lock v:ext="edit"/>
          </v:rect>
        </w:pict>
      </w:r>
      <w:r>
        <w:rPr>
          <w:rFonts w:eastAsia="黑体"/>
          <w:color w:val="auto"/>
          <w:sz w:val="24"/>
          <w:szCs w:val="20"/>
        </w:rPr>
        <w:pict>
          <v:shape id="_x0000_s2318" o:spid="_x0000_s2318" o:spt="202" type="#_x0000_t202" style="position:absolute;left:0pt;margin-left:394.15pt;margin-top:8.25pt;height:35.3pt;width:42.5pt;z-index:251676672;mso-width-relative:margin;mso-height-relative:margin;" filled="f" stroked="f" coordsize="21600,21600">
            <v:path/>
            <v:fill on="f" focussize="0,0"/>
            <v:stroke on="f"/>
            <v:imagedata o:title=""/>
            <o:lock v:ext="edit" aspectratio="f"/>
            <v:textbox>
              <w:txbxContent>
                <w:p w14:paraId="2516C118">
                  <w:pPr>
                    <w:ind w:left="0" w:leftChars="0" w:firstLine="0" w:firstLineChars="0"/>
                    <w:jc w:val="both"/>
                    <w:rPr>
                      <w:b/>
                    </w:rPr>
                  </w:pPr>
                  <w:r>
                    <w:rPr>
                      <w:rFonts w:hint="eastAsia"/>
                      <w:b/>
                    </w:rPr>
                    <w:t>N</w:t>
                  </w:r>
                </w:p>
              </w:txbxContent>
            </v:textbox>
          </v:shape>
        </w:pict>
      </w:r>
      <w:r>
        <w:rPr>
          <w:rFonts w:eastAsia="黑体"/>
          <w:color w:val="auto"/>
          <w:sz w:val="24"/>
          <w:szCs w:val="20"/>
        </w:rPr>
        <w:pict>
          <v:shape id="_x0000_s2055" o:spid="_x0000_s2055" o:spt="202" type="#_x0000_t202" style="position:absolute;left:0pt;margin-left:366.7pt;margin-top:252.5pt;height:24.85pt;width:51.6pt;z-index:251684864;mso-width-relative:margin;mso-height-relative:margin;" filled="f" stroked="f" coordsize="21600,21600">
            <v:path/>
            <v:fill on="f" focussize="0,0"/>
            <v:stroke on="f" joinstyle="miter"/>
            <v:imagedata o:title=""/>
            <o:lock v:ext="edit"/>
            <v:textbox>
              <w:txbxContent>
                <w:p w14:paraId="54FC2742">
                  <w:pPr>
                    <w:ind w:left="0" w:leftChars="0" w:firstLine="0" w:firstLineChars="0"/>
                    <w:rPr>
                      <w:sz w:val="18"/>
                      <w:szCs w:val="18"/>
                    </w:rPr>
                  </w:pPr>
                  <w:r>
                    <w:rPr>
                      <w:rFonts w:hint="eastAsia"/>
                      <w:sz w:val="18"/>
                      <w:szCs w:val="18"/>
                    </w:rPr>
                    <w:t>河水流向</w:t>
                  </w:r>
                </w:p>
              </w:txbxContent>
            </v:textbox>
          </v:shape>
        </w:pict>
      </w:r>
      <w:r>
        <w:rPr>
          <w:rFonts w:eastAsia="黑体"/>
          <w:color w:val="auto"/>
          <w:sz w:val="24"/>
          <w:szCs w:val="20"/>
        </w:rPr>
        <w:pict>
          <v:shape id="_x0000_s2056" o:spid="_x0000_s2056" o:spt="202" type="#_x0000_t202" style="position:absolute;left:0pt;margin-left:367.45pt;margin-top:238.6pt;height:24.85pt;width:55.7pt;z-index:251683840;mso-width-relative:margin;mso-height-relative:margin;" filled="f" stroked="f" coordsize="21600,21600">
            <v:path/>
            <v:fill on="f" focussize="0,0"/>
            <v:stroke on="f" joinstyle="miter"/>
            <v:imagedata o:title=""/>
            <o:lock v:ext="edit"/>
            <v:textbox>
              <w:txbxContent>
                <w:p w14:paraId="475748CE">
                  <w:pPr>
                    <w:spacing w:line="240" w:lineRule="exact"/>
                    <w:ind w:left="0" w:leftChars="0" w:firstLine="0" w:firstLineChars="0"/>
                    <w:rPr>
                      <w:sz w:val="18"/>
                      <w:szCs w:val="18"/>
                    </w:rPr>
                  </w:pPr>
                  <w:r>
                    <w:rPr>
                      <w:rFonts w:hint="eastAsia"/>
                      <w:sz w:val="18"/>
                      <w:szCs w:val="18"/>
                    </w:rPr>
                    <w:t>污水厂址</w:t>
                  </w:r>
                </w:p>
              </w:txbxContent>
            </v:textbox>
          </v:shape>
        </w:pict>
      </w:r>
      <w:r>
        <w:rPr>
          <w:rFonts w:eastAsia="黑体"/>
          <w:color w:val="auto"/>
          <w:sz w:val="24"/>
          <w:szCs w:val="20"/>
        </w:rPr>
        <w:pict>
          <v:shape id="_x0000_s2302" o:spid="_x0000_s2302" o:spt="202" type="#_x0000_t202" style="position:absolute;left:0pt;margin-left:367.45pt;margin-top:209.25pt;height:19.6pt;width:51.6pt;z-index:251678720;mso-width-relative:margin;mso-height-relative:margin;" filled="f" stroked="f" coordsize="21600,21600">
            <v:path/>
            <v:fill on="f" focussize="0,0"/>
            <v:stroke on="f" joinstyle="miter"/>
            <v:imagedata o:title=""/>
            <o:lock v:ext="edit"/>
            <v:textbox>
              <w:txbxContent>
                <w:p w14:paraId="3910FC2B">
                  <w:pPr>
                    <w:spacing w:line="240" w:lineRule="exact"/>
                    <w:ind w:left="0" w:leftChars="0" w:firstLine="0" w:firstLineChars="0"/>
                    <w:rPr>
                      <w:sz w:val="18"/>
                      <w:szCs w:val="18"/>
                    </w:rPr>
                  </w:pPr>
                  <w:r>
                    <w:rPr>
                      <w:rFonts w:hint="eastAsia"/>
                      <w:sz w:val="18"/>
                      <w:szCs w:val="18"/>
                    </w:rPr>
                    <w:t>监测断面</w:t>
                  </w:r>
                </w:p>
              </w:txbxContent>
            </v:textbox>
          </v:shape>
        </w:pict>
      </w:r>
      <w:r>
        <w:rPr>
          <w:rFonts w:eastAsia="黑体"/>
          <w:color w:val="auto"/>
          <w:sz w:val="24"/>
          <w:szCs w:val="20"/>
        </w:rPr>
        <w:pict>
          <v:rect id="_x0000_s2303" o:spid="_x0000_s2303" o:spt="1" style="position:absolute;left:0pt;margin-left:345.15pt;margin-top:186.3pt;height:92.7pt;width:71.25pt;z-index:251677696;mso-width-relative:page;mso-height-relative:page;" fillcolor="#000000" filled="f" coordsize="21600,21600">
            <v:path/>
            <v:fill on="f" focussize="0,0"/>
            <v:stroke/>
            <v:imagedata o:title=""/>
            <o:lock v:ext="edit"/>
          </v:rect>
        </w:pict>
      </w:r>
      <w:r>
        <w:rPr>
          <w:rFonts w:eastAsia="黑体"/>
          <w:color w:val="auto"/>
          <w:sz w:val="24"/>
          <w:szCs w:val="20"/>
        </w:rPr>
        <w:pict>
          <v:line id="直线 173" o:spid="_x0000_s2309" o:spt="20" style="position:absolute;left:0pt;flip:y;margin-left:168.15pt;margin-top:123.85pt;height:17.9pt;width:36.45pt;z-index:251675648;mso-width-relative:page;mso-height-relative:page;" coordsize="21600,21600">
            <v:path arrowok="t"/>
            <v:fill focussize="0,0"/>
            <v:stroke dashstyle="dash" endarrow="block" endarrowwidth="narrow"/>
            <v:imagedata o:title=""/>
            <o:lock v:ext="edit"/>
          </v:line>
        </w:pict>
      </w:r>
      <w:r>
        <w:rPr>
          <w:rFonts w:eastAsia="黑体"/>
          <w:color w:val="auto"/>
          <w:sz w:val="24"/>
          <w:szCs w:val="20"/>
        </w:rPr>
        <w:pict>
          <v:rect id="_x0000_s2311" o:spid="_x0000_s2311" o:spt="1" style="position:absolute;left:0pt;margin-left:358.45pt;margin-top:244.5pt;height:9.15pt;width:9pt;z-index:251682816;mso-width-relative:page;mso-height-relative:page;" fillcolor="#FFC000" filled="t" stroked="t" coordsize="21600,21600">
            <v:path/>
            <v:fill on="t" focussize="0,0"/>
            <v:stroke color="#E50BD5"/>
            <v:imagedata o:title=""/>
            <o:lock v:ext="edit"/>
          </v:rect>
        </w:pict>
      </w:r>
      <w:r>
        <w:rPr>
          <w:rFonts w:eastAsia="黑体"/>
          <w:color w:val="auto"/>
          <w:sz w:val="24"/>
          <w:szCs w:val="20"/>
        </w:rPr>
        <w:pict>
          <v:line id="_x0000_s2312" o:spid="_x0000_s2312" o:spt="20" style="position:absolute;left:0pt;flip:y;margin-left:351.55pt;margin-top:264.75pt;height:0pt;width:21.6pt;z-index:251685888;mso-width-relative:page;mso-height-relative:page;" coordsize="21600,21600">
            <v:path arrowok="t"/>
            <v:fill focussize="0,0"/>
            <v:stroke dashstyle="dash" endarrow="block" endarrowwidth="narrow"/>
            <v:imagedata o:title=""/>
            <o:lock v:ext="edit"/>
          </v:line>
        </w:pict>
      </w:r>
      <w:r>
        <w:rPr>
          <w:rFonts w:eastAsia="黑体"/>
          <w:color w:val="auto"/>
          <w:sz w:val="24"/>
          <w:szCs w:val="20"/>
        </w:rPr>
        <w:pict>
          <v:rect id="_x0000_s2313" o:spid="_x0000_s2313" o:spt="1" style="position:absolute;left:0pt;margin-left:358.45pt;margin-top:228.85pt;height:7.15pt;width:9pt;z-index:251680768;mso-width-relative:page;mso-height-relative:page;" fillcolor="#E50BD5" filled="t" stroked="t" coordsize="21600,21600">
            <v:path/>
            <v:fill on="t" focussize="0,0"/>
            <v:stroke weight="1.5pt" color="#E50BD5"/>
            <v:imagedata o:title=""/>
            <o:lock v:ext="edit"/>
          </v:rect>
        </w:pict>
      </w:r>
      <w:r>
        <w:rPr>
          <w:rFonts w:eastAsia="黑体"/>
          <w:color w:val="auto"/>
          <w:sz w:val="24"/>
          <w:szCs w:val="20"/>
        </w:rPr>
        <w:pict>
          <v:shape id="_x0000_s2314" o:spid="_x0000_s2314" o:spt="202" type="#_x0000_t202" style="position:absolute;left:0pt;margin-left:367.45pt;margin-top:222.75pt;height:18.1pt;width:51.6pt;z-index:251681792;mso-width-relative:margin;mso-height-relative:margin;" filled="f" stroked="f" coordsize="21600,21600">
            <v:path/>
            <v:fill on="f" focussize="0,0"/>
            <v:stroke on="f" joinstyle="miter"/>
            <v:imagedata o:title=""/>
            <o:lock v:ext="edit"/>
            <v:textbox>
              <w:txbxContent>
                <w:p w14:paraId="64817A97">
                  <w:pPr>
                    <w:spacing w:line="240" w:lineRule="exact"/>
                    <w:ind w:left="0" w:leftChars="0" w:firstLine="0" w:firstLineChars="0"/>
                    <w:rPr>
                      <w:sz w:val="18"/>
                      <w:szCs w:val="18"/>
                    </w:rPr>
                  </w:pPr>
                  <w:r>
                    <w:rPr>
                      <w:rFonts w:hint="eastAsia"/>
                      <w:sz w:val="18"/>
                      <w:szCs w:val="18"/>
                    </w:rPr>
                    <w:t>项目厂址</w:t>
                  </w:r>
                </w:p>
              </w:txbxContent>
            </v:textbox>
          </v:shape>
        </w:pict>
      </w:r>
      <w:r>
        <w:rPr>
          <w:rFonts w:eastAsia="黑体"/>
          <w:color w:val="auto"/>
          <w:sz w:val="24"/>
          <w:szCs w:val="20"/>
        </w:rPr>
        <w:pict>
          <v:shape id="_x0000_s2315" o:spid="_x0000_s2315" o:spt="32" type="#_x0000_t32" style="position:absolute;left:0pt;margin-left:347.8pt;margin-top:219.8pt;height:0pt;width:26.25pt;z-index:251679744;mso-width-relative:page;mso-height-relative:page;" o:connectortype="straight" filled="f" coordsize="21600,21600">
            <v:path arrowok="t"/>
            <v:fill on="f" focussize="0,0"/>
            <v:stroke startarrow="classic" endarrow="classic"/>
            <v:imagedata o:title=""/>
            <o:lock v:ext="edit"/>
          </v:shape>
        </w:pict>
      </w:r>
      <w:r>
        <w:rPr>
          <w:rFonts w:eastAsia="黑体"/>
          <w:color w:val="auto"/>
          <w:sz w:val="24"/>
          <w:szCs w:val="20"/>
        </w:rPr>
        <w:pict>
          <v:shape id="_x0000_s2316" o:spid="_x0000_s2316" o:spt="202" type="#_x0000_t202" style="position:absolute;left:0pt;margin-left:345.15pt;margin-top:193.05pt;height:20.8pt;width:49.8pt;z-index:251674624;mso-width-relative:margin;mso-height-relative:margin;mso-height-percent:200;" filled="f" stroked="f" coordsize="21600,21600">
            <v:path/>
            <v:fill on="f" focussize="0,0"/>
            <v:stroke on="f" joinstyle="miter"/>
            <v:imagedata o:title=""/>
            <o:lock v:ext="edit"/>
            <v:textbox style="mso-fit-shape-to-text:t;">
              <w:txbxContent>
                <w:p w14:paraId="31A59666">
                  <w:pPr>
                    <w:ind w:left="0" w:leftChars="0" w:firstLine="0" w:firstLineChars="0"/>
                    <w:rPr>
                      <w:b/>
                    </w:rPr>
                  </w:pPr>
                  <w:r>
                    <w:rPr>
                      <w:rFonts w:hint="eastAsia"/>
                      <w:b/>
                    </w:rPr>
                    <w:t>图例：</w:t>
                  </w:r>
                </w:p>
              </w:txbxContent>
            </v:textbox>
          </v:shape>
        </w:pict>
      </w:r>
      <w:r>
        <w:rPr>
          <w:rFonts w:eastAsia="黑体"/>
          <w:color w:val="auto"/>
          <w:sz w:val="24"/>
          <w:szCs w:val="20"/>
        </w:rPr>
        <w:pict>
          <v:line id="直线 158" o:spid="_x0000_s2317" o:spt="20" style="position:absolute;left:0pt;flip:y;margin-left:384.8pt;margin-top:6.5pt;height:23.4pt;width:0pt;z-index:251673600;mso-width-relative:page;mso-height-relative:page;" coordsize="21600,21600">
            <v:path arrowok="t"/>
            <v:fill focussize="0,0"/>
            <v:stroke weight="2.75pt" endarrow="block"/>
            <v:imagedata o:title=""/>
            <o:lock v:ext="edit"/>
          </v:line>
        </w:pict>
      </w:r>
      <w:r>
        <w:rPr>
          <w:rFonts w:eastAsia="黑体"/>
          <w:color w:val="auto"/>
          <w:sz w:val="24"/>
          <w:szCs w:val="20"/>
        </w:rPr>
        <w:pict>
          <v:shape id="文本框 148" o:spid="_x0000_s2319" o:spt="202" type="#_x0000_t202" style="position:absolute;left:0pt;margin-left:325.3pt;margin-top:64.35pt;height:15.15pt;width:26.25pt;z-index:251671552;mso-width-relative:page;mso-height-relative:page;" filled="f" stroked="f" coordsize="21600,21600">
            <v:path/>
            <v:fill on="f" focussize="0,0"/>
            <v:stroke on="f" joinstyle="miter"/>
            <v:imagedata o:title=""/>
            <o:lock v:ext="edit"/>
            <v:textbox inset="2.54mm,0.3mm,2.54mm,0mm">
              <w:txbxContent>
                <w:p w14:paraId="144C2AAA">
                  <w:pPr>
                    <w:pStyle w:val="93"/>
                  </w:pPr>
                  <w:r>
                    <w:rPr>
                      <w:rFonts w:hint="eastAsia"/>
                    </w:rPr>
                    <w:t>河共</w:t>
                  </w:r>
                </w:p>
              </w:txbxContent>
            </v:textbox>
          </v:shape>
        </w:pict>
      </w:r>
      <w:r>
        <w:rPr>
          <w:rFonts w:eastAsia="黑体"/>
          <w:color w:val="auto"/>
          <w:sz w:val="24"/>
          <w:szCs w:val="20"/>
        </w:rPr>
        <w:pict>
          <v:shape id="_x0000_s2320" o:spid="_x0000_s2320" o:spt="202" type="#_x0000_t202" style="position:absolute;left:0pt;margin-left:156.75pt;margin-top:119.8pt;height:15.15pt;width:26.25pt;z-index:251670528;mso-width-relative:page;mso-height-relative:page;" filled="f" stroked="f" coordsize="21600,21600">
            <v:path/>
            <v:fill on="f" focussize="0,0"/>
            <v:stroke on="f" joinstyle="miter"/>
            <v:imagedata o:title=""/>
            <o:lock v:ext="edit"/>
            <v:textbox inset="2.54mm,0.3mm,2.54mm,0mm">
              <w:txbxContent>
                <w:p w14:paraId="69A662F1">
                  <w:pPr>
                    <w:pStyle w:val="93"/>
                  </w:pPr>
                  <w:r>
                    <w:rPr>
                      <w:rFonts w:hint="eastAsia"/>
                    </w:rPr>
                    <w:t>沙共</w:t>
                  </w:r>
                </w:p>
              </w:txbxContent>
            </v:textbox>
          </v:shape>
        </w:pict>
      </w:r>
      <w:r>
        <w:rPr>
          <w:rFonts w:eastAsia="黑体"/>
          <w:color w:val="auto"/>
          <w:sz w:val="24"/>
          <w:szCs w:val="20"/>
        </w:rPr>
        <w:pict>
          <v:shape id="文本框 146" o:spid="_x0000_s2321" o:spt="202" type="#_x0000_t202" style="position:absolute;left:0pt;margin-left:70.6pt;margin-top:213.7pt;height:15.15pt;width:26.25pt;z-index:251669504;mso-width-relative:page;mso-height-relative:page;" filled="f" stroked="f" coordsize="21600,21600">
            <v:path/>
            <v:fill on="f" focussize="0,0"/>
            <v:stroke on="f" joinstyle="miter"/>
            <v:imagedata o:title=""/>
            <o:lock v:ext="edit"/>
            <v:textbox inset="2.54mm,0.3mm,2.54mm,0mm">
              <w:txbxContent>
                <w:p w14:paraId="465A8CFC">
                  <w:pPr>
                    <w:pStyle w:val="93"/>
                  </w:pPr>
                  <w:r>
                    <w:rPr>
                      <w:rFonts w:hint="eastAsia"/>
                    </w:rPr>
                    <w:t>大共</w:t>
                  </w:r>
                </w:p>
              </w:txbxContent>
            </v:textbox>
          </v:shape>
        </w:pict>
      </w:r>
    </w:p>
    <w:p w14:paraId="59A94062">
      <w:pPr>
        <w:pStyle w:val="181"/>
        <w:bidi w:val="0"/>
        <w:ind w:left="0" w:leftChars="0" w:firstLine="0" w:firstLineChars="0"/>
        <w:jc w:val="center"/>
        <w:rPr>
          <w:color w:val="auto"/>
        </w:rPr>
      </w:pPr>
      <w:r>
        <w:rPr>
          <w:color w:val="auto"/>
        </w:rPr>
        <w:t>图</w:t>
      </w:r>
      <w:r>
        <w:rPr>
          <w:rFonts w:hint="eastAsia"/>
          <w:color w:val="auto"/>
          <w:lang w:val="en-US" w:eastAsia="zh-CN"/>
        </w:rPr>
        <w:t>5.2</w:t>
      </w:r>
      <w:r>
        <w:rPr>
          <w:color w:val="auto"/>
        </w:rPr>
        <w:t>-</w:t>
      </w:r>
      <w:r>
        <w:rPr>
          <w:rFonts w:hint="eastAsia"/>
          <w:color w:val="auto"/>
        </w:rPr>
        <w:t>2</w:t>
      </w:r>
      <w:r>
        <w:rPr>
          <w:color w:val="auto"/>
        </w:rPr>
        <w:t xml:space="preserve">  项目附近地表水体分布示意图</w:t>
      </w:r>
    </w:p>
    <w:p w14:paraId="6E733352">
      <w:pPr>
        <w:pStyle w:val="6"/>
        <w:bidi w:val="0"/>
        <w:rPr>
          <w:color w:val="auto"/>
        </w:rPr>
      </w:pPr>
      <w:r>
        <w:rPr>
          <w:rFonts w:hint="eastAsia"/>
          <w:color w:val="auto"/>
          <w:lang w:eastAsia="zh-CN"/>
        </w:rPr>
        <w:t>大沙河水质现状</w:t>
      </w:r>
    </w:p>
    <w:p w14:paraId="0FB6B8AF">
      <w:pPr>
        <w:bidi w:val="0"/>
        <w:rPr>
          <w:b/>
          <w:bCs/>
          <w:color w:val="auto"/>
          <w:u w:val="single"/>
        </w:rPr>
      </w:pPr>
      <w:r>
        <w:rPr>
          <w:rFonts w:hint="eastAsia"/>
          <w:b/>
          <w:bCs/>
          <w:color w:val="auto"/>
          <w:u w:val="single"/>
        </w:rPr>
        <w:t>为反映本项目纳污水体大沙河的环境质量现状，本次评价引用水花堡断面 202</w:t>
      </w:r>
      <w:r>
        <w:rPr>
          <w:rFonts w:hint="eastAsia"/>
          <w:b/>
          <w:bCs/>
          <w:color w:val="auto"/>
          <w:u w:val="single"/>
          <w:lang w:val="en-US" w:eastAsia="zh-CN"/>
        </w:rPr>
        <w:t>3</w:t>
      </w:r>
      <w:r>
        <w:rPr>
          <w:rFonts w:hint="eastAsia"/>
          <w:b/>
          <w:bCs/>
          <w:color w:val="auto"/>
          <w:u w:val="single"/>
        </w:rPr>
        <w:t>年全年监测数据</w:t>
      </w:r>
      <w:r>
        <w:rPr>
          <w:b/>
          <w:bCs/>
          <w:color w:val="auto"/>
          <w:u w:val="single"/>
        </w:rPr>
        <w:t>，详见</w:t>
      </w:r>
      <w:r>
        <w:rPr>
          <w:rFonts w:hint="eastAsia"/>
          <w:b/>
          <w:bCs/>
          <w:color w:val="auto"/>
          <w:u w:val="single"/>
          <w:lang w:val="en-US" w:eastAsia="zh-CN"/>
        </w:rPr>
        <w:t>下表</w:t>
      </w:r>
      <w:r>
        <w:rPr>
          <w:b/>
          <w:bCs/>
          <w:color w:val="auto"/>
          <w:u w:val="single"/>
        </w:rPr>
        <w:t>：</w:t>
      </w:r>
    </w:p>
    <w:p w14:paraId="0ABB409E">
      <w:pPr>
        <w:pStyle w:val="10"/>
        <w:bidi w:val="0"/>
        <w:rPr>
          <w:b/>
          <w:bCs/>
          <w:u w:val="single"/>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5.2</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8</w:t>
      </w:r>
      <w:r>
        <w:rPr>
          <w:b/>
          <w:bCs/>
          <w:u w:val="single"/>
        </w:rPr>
        <w:fldChar w:fldCharType="end"/>
      </w:r>
      <w:r>
        <w:rPr>
          <w:rFonts w:hint="eastAsia"/>
          <w:b/>
          <w:bCs/>
          <w:u w:val="single"/>
        </w:rPr>
        <w:t xml:space="preserve"> 大沙河水花堡断面2023年水质监测结果统计一览表     单位：mg/L</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37"/>
        <w:gridCol w:w="2033"/>
        <w:gridCol w:w="1781"/>
        <w:gridCol w:w="1866"/>
        <w:gridCol w:w="1905"/>
      </w:tblGrid>
      <w:tr w14:paraId="2031BB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50" w:type="pct"/>
            <w:vMerge w:val="restart"/>
            <w:noWrap w:val="0"/>
            <w:vAlign w:val="center"/>
          </w:tcPr>
          <w:p w14:paraId="6247B6D9">
            <w:pPr>
              <w:pStyle w:val="182"/>
              <w:rPr>
                <w:b/>
                <w:bCs/>
                <w:color w:val="auto"/>
                <w:u w:val="single"/>
              </w:rPr>
            </w:pPr>
            <w:r>
              <w:rPr>
                <w:b/>
                <w:bCs/>
                <w:color w:val="auto"/>
                <w:u w:val="single"/>
              </w:rPr>
              <w:t>监测项目</w:t>
            </w:r>
          </w:p>
        </w:tc>
        <w:tc>
          <w:tcPr>
            <w:tcW w:w="1193" w:type="pct"/>
            <w:vMerge w:val="restart"/>
            <w:noWrap w:val="0"/>
            <w:vAlign w:val="center"/>
          </w:tcPr>
          <w:p w14:paraId="7847D042">
            <w:pPr>
              <w:pStyle w:val="182"/>
              <w:rPr>
                <w:b/>
                <w:bCs/>
                <w:color w:val="auto"/>
                <w:u w:val="single"/>
              </w:rPr>
            </w:pPr>
            <w:r>
              <w:rPr>
                <w:b/>
                <w:bCs/>
                <w:color w:val="auto"/>
                <w:u w:val="single"/>
              </w:rPr>
              <w:t>监测时间</w:t>
            </w:r>
          </w:p>
        </w:tc>
        <w:tc>
          <w:tcPr>
            <w:tcW w:w="3257" w:type="pct"/>
            <w:gridSpan w:val="3"/>
            <w:noWrap w:val="0"/>
            <w:vAlign w:val="center"/>
          </w:tcPr>
          <w:p w14:paraId="4F075972">
            <w:pPr>
              <w:pStyle w:val="182"/>
              <w:rPr>
                <w:b/>
                <w:bCs/>
                <w:color w:val="auto"/>
                <w:u w:val="single"/>
              </w:rPr>
            </w:pPr>
            <w:r>
              <w:rPr>
                <w:b/>
                <w:bCs/>
                <w:color w:val="auto"/>
                <w:u w:val="single"/>
              </w:rPr>
              <w:t>监测结果（mg/L）</w:t>
            </w:r>
          </w:p>
        </w:tc>
      </w:tr>
      <w:tr w14:paraId="065AE0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50" w:type="pct"/>
            <w:vMerge w:val="continue"/>
            <w:noWrap w:val="0"/>
            <w:vAlign w:val="center"/>
          </w:tcPr>
          <w:p w14:paraId="6939770D">
            <w:pPr>
              <w:pStyle w:val="182"/>
              <w:rPr>
                <w:b/>
                <w:bCs/>
                <w:color w:val="auto"/>
                <w:u w:val="single"/>
              </w:rPr>
            </w:pPr>
          </w:p>
        </w:tc>
        <w:tc>
          <w:tcPr>
            <w:tcW w:w="1193" w:type="pct"/>
            <w:vMerge w:val="continue"/>
            <w:noWrap w:val="0"/>
            <w:vAlign w:val="center"/>
          </w:tcPr>
          <w:p w14:paraId="3A08F62D">
            <w:pPr>
              <w:pStyle w:val="182"/>
              <w:rPr>
                <w:b/>
                <w:bCs/>
                <w:color w:val="auto"/>
                <w:u w:val="single"/>
              </w:rPr>
            </w:pPr>
          </w:p>
        </w:tc>
        <w:tc>
          <w:tcPr>
            <w:tcW w:w="1045" w:type="pct"/>
            <w:noWrap w:val="0"/>
            <w:vAlign w:val="center"/>
          </w:tcPr>
          <w:p w14:paraId="38161855">
            <w:pPr>
              <w:pStyle w:val="182"/>
              <w:rPr>
                <w:b/>
                <w:bCs/>
                <w:color w:val="auto"/>
                <w:u w:val="single"/>
              </w:rPr>
            </w:pPr>
            <w:r>
              <w:rPr>
                <w:b/>
                <w:bCs/>
                <w:color w:val="auto"/>
                <w:u w:val="single"/>
              </w:rPr>
              <w:t>COD</w:t>
            </w:r>
          </w:p>
        </w:tc>
        <w:tc>
          <w:tcPr>
            <w:tcW w:w="1095" w:type="pct"/>
            <w:noWrap w:val="0"/>
            <w:vAlign w:val="center"/>
          </w:tcPr>
          <w:p w14:paraId="49CC4711">
            <w:pPr>
              <w:pStyle w:val="182"/>
              <w:rPr>
                <w:b/>
                <w:bCs/>
                <w:color w:val="auto"/>
                <w:u w:val="single"/>
              </w:rPr>
            </w:pPr>
            <w:r>
              <w:rPr>
                <w:b/>
                <w:bCs/>
                <w:color w:val="auto"/>
                <w:u w:val="single"/>
              </w:rPr>
              <w:t>氨氮</w:t>
            </w:r>
          </w:p>
        </w:tc>
        <w:tc>
          <w:tcPr>
            <w:tcW w:w="1117" w:type="pct"/>
            <w:noWrap w:val="0"/>
            <w:vAlign w:val="center"/>
          </w:tcPr>
          <w:p w14:paraId="37E83AF5">
            <w:pPr>
              <w:pStyle w:val="182"/>
              <w:rPr>
                <w:b/>
                <w:bCs/>
                <w:color w:val="auto"/>
                <w:u w:val="single"/>
              </w:rPr>
            </w:pPr>
            <w:r>
              <w:rPr>
                <w:b/>
                <w:bCs/>
                <w:color w:val="auto"/>
                <w:u w:val="single"/>
              </w:rPr>
              <w:t>总磷</w:t>
            </w:r>
          </w:p>
        </w:tc>
      </w:tr>
      <w:tr w14:paraId="5208D1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0" w:type="pct"/>
            <w:noWrap w:val="0"/>
            <w:vAlign w:val="center"/>
          </w:tcPr>
          <w:p w14:paraId="3B5AE5B5">
            <w:pPr>
              <w:pStyle w:val="182"/>
              <w:rPr>
                <w:b/>
                <w:bCs/>
                <w:color w:val="auto"/>
                <w:u w:val="single"/>
              </w:rPr>
            </w:pPr>
            <w:r>
              <w:rPr>
                <w:b/>
                <w:bCs/>
                <w:color w:val="auto"/>
                <w:u w:val="single"/>
              </w:rPr>
              <w:t>水花堡桥断面</w:t>
            </w:r>
          </w:p>
        </w:tc>
        <w:tc>
          <w:tcPr>
            <w:tcW w:w="1193" w:type="pct"/>
            <w:noWrap w:val="0"/>
            <w:vAlign w:val="center"/>
          </w:tcPr>
          <w:p w14:paraId="5BC0772B">
            <w:pPr>
              <w:pStyle w:val="182"/>
              <w:rPr>
                <w:b/>
                <w:bCs/>
                <w:color w:val="auto"/>
                <w:u w:val="single"/>
              </w:rPr>
            </w:pPr>
            <w:r>
              <w:rPr>
                <w:rFonts w:hint="eastAsia"/>
                <w:b/>
                <w:bCs/>
                <w:color w:val="auto"/>
                <w:u w:val="single"/>
              </w:rPr>
              <w:t>2023年年均值</w:t>
            </w:r>
          </w:p>
        </w:tc>
        <w:tc>
          <w:tcPr>
            <w:tcW w:w="1045" w:type="pct"/>
            <w:noWrap w:val="0"/>
            <w:vAlign w:val="center"/>
          </w:tcPr>
          <w:p w14:paraId="762860FC">
            <w:pPr>
              <w:pStyle w:val="182"/>
              <w:rPr>
                <w:b/>
                <w:bCs/>
                <w:color w:val="auto"/>
                <w:u w:val="single"/>
              </w:rPr>
            </w:pPr>
            <w:r>
              <w:rPr>
                <w:rFonts w:hint="eastAsia"/>
                <w:b/>
                <w:bCs/>
                <w:color w:val="auto"/>
                <w:u w:val="single"/>
              </w:rPr>
              <w:t>27</w:t>
            </w:r>
          </w:p>
        </w:tc>
        <w:tc>
          <w:tcPr>
            <w:tcW w:w="1095" w:type="pct"/>
            <w:noWrap w:val="0"/>
            <w:vAlign w:val="center"/>
          </w:tcPr>
          <w:p w14:paraId="4CC8CB9F">
            <w:pPr>
              <w:pStyle w:val="182"/>
              <w:rPr>
                <w:b/>
                <w:bCs/>
                <w:color w:val="auto"/>
                <w:u w:val="single"/>
              </w:rPr>
            </w:pPr>
            <w:r>
              <w:rPr>
                <w:rFonts w:hint="eastAsia"/>
                <w:b/>
                <w:bCs/>
                <w:color w:val="auto"/>
                <w:u w:val="single"/>
              </w:rPr>
              <w:t>0.7</w:t>
            </w:r>
          </w:p>
        </w:tc>
        <w:tc>
          <w:tcPr>
            <w:tcW w:w="1117" w:type="pct"/>
            <w:noWrap w:val="0"/>
            <w:vAlign w:val="center"/>
          </w:tcPr>
          <w:p w14:paraId="24E4A474">
            <w:pPr>
              <w:pStyle w:val="182"/>
              <w:rPr>
                <w:b/>
                <w:bCs/>
                <w:color w:val="auto"/>
                <w:u w:val="single"/>
              </w:rPr>
            </w:pPr>
            <w:r>
              <w:rPr>
                <w:b/>
                <w:bCs/>
                <w:color w:val="auto"/>
                <w:u w:val="single"/>
              </w:rPr>
              <w:t>0.1</w:t>
            </w:r>
            <w:r>
              <w:rPr>
                <w:rFonts w:hint="eastAsia"/>
                <w:b/>
                <w:bCs/>
                <w:color w:val="auto"/>
                <w:u w:val="single"/>
              </w:rPr>
              <w:t>6</w:t>
            </w:r>
          </w:p>
        </w:tc>
      </w:tr>
      <w:tr w14:paraId="15A450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3" w:type="pct"/>
            <w:gridSpan w:val="2"/>
            <w:noWrap w:val="0"/>
            <w:vAlign w:val="center"/>
          </w:tcPr>
          <w:p w14:paraId="45873BFB">
            <w:pPr>
              <w:pStyle w:val="182"/>
              <w:rPr>
                <w:b/>
                <w:bCs/>
                <w:color w:val="auto"/>
                <w:u w:val="single"/>
              </w:rPr>
            </w:pPr>
            <w:r>
              <w:rPr>
                <w:b/>
                <w:bCs/>
                <w:color w:val="auto"/>
                <w:u w:val="single"/>
              </w:rPr>
              <w:t>《地表水环境质量标准》（GB3838-2002）Ⅳ类</w:t>
            </w:r>
          </w:p>
        </w:tc>
        <w:tc>
          <w:tcPr>
            <w:tcW w:w="1045" w:type="pct"/>
            <w:noWrap w:val="0"/>
            <w:vAlign w:val="center"/>
          </w:tcPr>
          <w:p w14:paraId="05943B17">
            <w:pPr>
              <w:pStyle w:val="182"/>
              <w:rPr>
                <w:b/>
                <w:bCs/>
                <w:color w:val="auto"/>
                <w:u w:val="single"/>
              </w:rPr>
            </w:pPr>
            <w:r>
              <w:rPr>
                <w:b/>
                <w:bCs/>
                <w:color w:val="auto"/>
                <w:u w:val="single"/>
              </w:rPr>
              <w:t>≤30</w:t>
            </w:r>
          </w:p>
        </w:tc>
        <w:tc>
          <w:tcPr>
            <w:tcW w:w="1095" w:type="pct"/>
            <w:noWrap w:val="0"/>
            <w:vAlign w:val="center"/>
          </w:tcPr>
          <w:p w14:paraId="5323E43D">
            <w:pPr>
              <w:pStyle w:val="182"/>
              <w:rPr>
                <w:b/>
                <w:bCs/>
                <w:color w:val="auto"/>
                <w:u w:val="single"/>
              </w:rPr>
            </w:pPr>
            <w:r>
              <w:rPr>
                <w:b/>
                <w:bCs/>
                <w:color w:val="auto"/>
                <w:u w:val="single"/>
              </w:rPr>
              <w:t>≤1.5</w:t>
            </w:r>
          </w:p>
        </w:tc>
        <w:tc>
          <w:tcPr>
            <w:tcW w:w="1117" w:type="pct"/>
            <w:noWrap w:val="0"/>
            <w:vAlign w:val="center"/>
          </w:tcPr>
          <w:p w14:paraId="06E2225C">
            <w:pPr>
              <w:pStyle w:val="182"/>
              <w:rPr>
                <w:b/>
                <w:bCs/>
                <w:color w:val="auto"/>
                <w:u w:val="single"/>
              </w:rPr>
            </w:pPr>
            <w:r>
              <w:rPr>
                <w:b/>
                <w:bCs/>
                <w:color w:val="auto"/>
                <w:u w:val="single"/>
              </w:rPr>
              <w:t>≤0.3</w:t>
            </w:r>
          </w:p>
        </w:tc>
      </w:tr>
      <w:tr w14:paraId="5BABEB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3" w:type="pct"/>
            <w:gridSpan w:val="2"/>
            <w:noWrap w:val="0"/>
            <w:vAlign w:val="center"/>
          </w:tcPr>
          <w:p w14:paraId="73316BDE">
            <w:pPr>
              <w:pStyle w:val="182"/>
              <w:rPr>
                <w:b/>
                <w:bCs/>
                <w:color w:val="auto"/>
                <w:u w:val="single"/>
              </w:rPr>
            </w:pPr>
            <w:r>
              <w:rPr>
                <w:b/>
                <w:bCs/>
                <w:color w:val="auto"/>
                <w:u w:val="single"/>
              </w:rPr>
              <w:t>达标情况</w:t>
            </w:r>
          </w:p>
        </w:tc>
        <w:tc>
          <w:tcPr>
            <w:tcW w:w="1045" w:type="pct"/>
            <w:noWrap w:val="0"/>
            <w:vAlign w:val="center"/>
          </w:tcPr>
          <w:p w14:paraId="18A6C7E6">
            <w:pPr>
              <w:pStyle w:val="182"/>
              <w:rPr>
                <w:b/>
                <w:bCs/>
                <w:color w:val="auto"/>
                <w:u w:val="single"/>
              </w:rPr>
            </w:pPr>
            <w:r>
              <w:rPr>
                <w:b/>
                <w:bCs/>
                <w:color w:val="auto"/>
                <w:u w:val="single"/>
              </w:rPr>
              <w:t>达标</w:t>
            </w:r>
          </w:p>
        </w:tc>
        <w:tc>
          <w:tcPr>
            <w:tcW w:w="1095" w:type="pct"/>
            <w:noWrap w:val="0"/>
            <w:vAlign w:val="center"/>
          </w:tcPr>
          <w:p w14:paraId="162AF018">
            <w:pPr>
              <w:pStyle w:val="182"/>
              <w:rPr>
                <w:b/>
                <w:bCs/>
                <w:color w:val="auto"/>
                <w:u w:val="single"/>
              </w:rPr>
            </w:pPr>
            <w:r>
              <w:rPr>
                <w:b/>
                <w:bCs/>
                <w:color w:val="auto"/>
                <w:u w:val="single"/>
              </w:rPr>
              <w:t>达标</w:t>
            </w:r>
          </w:p>
        </w:tc>
        <w:tc>
          <w:tcPr>
            <w:tcW w:w="1117" w:type="pct"/>
            <w:noWrap w:val="0"/>
            <w:vAlign w:val="center"/>
          </w:tcPr>
          <w:p w14:paraId="6975A46E">
            <w:pPr>
              <w:pStyle w:val="182"/>
              <w:rPr>
                <w:b/>
                <w:bCs/>
                <w:color w:val="auto"/>
                <w:u w:val="single"/>
              </w:rPr>
            </w:pPr>
            <w:r>
              <w:rPr>
                <w:b/>
                <w:bCs/>
                <w:color w:val="auto"/>
                <w:u w:val="single"/>
              </w:rPr>
              <w:t>达标</w:t>
            </w:r>
          </w:p>
        </w:tc>
      </w:tr>
    </w:tbl>
    <w:p w14:paraId="6EFCE8B4">
      <w:pPr>
        <w:pStyle w:val="101"/>
        <w:rPr>
          <w:rFonts w:hint="eastAsia" w:ascii="Times New Roman" w:hAnsi="Times New Roman" w:eastAsia="宋体" w:cs="Times New Roman"/>
          <w:b/>
          <w:bCs/>
          <w:color w:val="auto"/>
          <w:kern w:val="2"/>
          <w:sz w:val="24"/>
          <w:szCs w:val="24"/>
          <w:u w:val="single"/>
          <w:lang w:val="en-US" w:eastAsia="zh-CN" w:bidi="ar-SA"/>
        </w:rPr>
      </w:pPr>
      <w:r>
        <w:rPr>
          <w:rFonts w:hint="eastAsia"/>
          <w:b/>
          <w:bCs/>
          <w:u w:val="single"/>
        </w:rPr>
        <w:t>大</w:t>
      </w:r>
      <w:r>
        <w:rPr>
          <w:rFonts w:hint="eastAsia" w:ascii="Times New Roman" w:hAnsi="Times New Roman" w:eastAsia="宋体" w:cs="Times New Roman"/>
          <w:b/>
          <w:bCs/>
          <w:color w:val="auto"/>
          <w:kern w:val="2"/>
          <w:sz w:val="24"/>
          <w:szCs w:val="24"/>
          <w:u w:val="single"/>
          <w:lang w:val="en-US" w:eastAsia="zh-CN" w:bidi="ar-SA"/>
        </w:rPr>
        <w:t>沙河水花堡断面COD、氨氮、总磷水质满足《地表水环境质量标准》（GB3838-2002）Ⅳ类标准。</w:t>
      </w:r>
    </w:p>
    <w:p w14:paraId="40F3F1C7">
      <w:pPr>
        <w:pStyle w:val="5"/>
        <w:bidi w:val="0"/>
        <w:rPr>
          <w:color w:val="auto"/>
        </w:rPr>
      </w:pPr>
      <w:r>
        <w:rPr>
          <w:color w:val="auto"/>
        </w:rPr>
        <w:t>地</w:t>
      </w:r>
      <w:r>
        <w:rPr>
          <w:rFonts w:hint="eastAsia"/>
          <w:color w:val="auto"/>
        </w:rPr>
        <w:t>下</w:t>
      </w:r>
      <w:r>
        <w:rPr>
          <w:color w:val="auto"/>
        </w:rPr>
        <w:t>水环境质量现状评价</w:t>
      </w:r>
    </w:p>
    <w:p w14:paraId="123DB617">
      <w:pPr>
        <w:pStyle w:val="6"/>
        <w:bidi w:val="0"/>
        <w:rPr>
          <w:color w:val="auto"/>
        </w:rPr>
      </w:pPr>
      <w:r>
        <w:rPr>
          <w:rFonts w:hint="eastAsia"/>
          <w:color w:val="auto"/>
        </w:rPr>
        <w:t>地下水环境质量现状监测与评价</w:t>
      </w:r>
    </w:p>
    <w:p w14:paraId="63137391">
      <w:pPr>
        <w:pStyle w:val="101"/>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pPr>
      <w:r>
        <w:rPr>
          <w:rFonts w:hint="eastAsia"/>
        </w:rPr>
        <w:t>（1）</w:t>
      </w:r>
      <w:r>
        <w:t>监测点分布</w:t>
      </w:r>
    </w:p>
    <w:p w14:paraId="42CB3041">
      <w:pPr>
        <w:pStyle w:val="101"/>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rPr>
      </w:pPr>
      <w:r>
        <w:rPr>
          <w:rFonts w:hint="eastAsia"/>
        </w:rPr>
        <w:t>引用《新乡市飞鹭纺织科技有限公司年产</w:t>
      </w:r>
      <w:r>
        <w:t>3000万米高端面料绿色智能化生产线技改提升项目环境影响报告书》地下水环境质量现状监测数据</w:t>
      </w:r>
      <w:r>
        <w:rPr>
          <w:rFonts w:hint="eastAsia"/>
        </w:rPr>
        <w:t>。监测</w:t>
      </w:r>
      <w:r>
        <w:t>时间为2023年5月16日~17日，连续两天，每天采样两次。考虑工程特点、区域环境特征及地下水流向（由西南向东北），结合评价区域水资源利用和居民点生活用水情况，共设置7个地下水水质监测点和14个地下水水位监测点，详见</w:t>
      </w:r>
      <w:r>
        <w:rPr>
          <w:rFonts w:hint="eastAsia"/>
        </w:rPr>
        <w:t>下表。</w:t>
      </w:r>
    </w:p>
    <w:p w14:paraId="4BB743DB">
      <w:pPr>
        <w:pStyle w:val="101"/>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b/>
          <w:bCs/>
          <w:u w:val="single"/>
        </w:rPr>
      </w:pPr>
      <w:r>
        <w:rPr>
          <w:rFonts w:hint="eastAsia"/>
          <w:b/>
          <w:bCs/>
          <w:u w:val="single"/>
        </w:rPr>
        <w:t>地下水监测点位合理性分析：本项目地下水评价等级为三级，引用数据点位布设符合《环境影响评价技术导则 地下水环境》项目潜水含水层水质监测点应不少于3个，至少在场地上游及下游影响区水质监测点各不得少于</w:t>
      </w:r>
      <w:r>
        <w:rPr>
          <w:b/>
          <w:bCs/>
          <w:u w:val="single"/>
        </w:rPr>
        <w:t>1个</w:t>
      </w:r>
      <w:r>
        <w:rPr>
          <w:rFonts w:hint="eastAsia"/>
          <w:b/>
          <w:bCs/>
          <w:u w:val="single"/>
        </w:rPr>
        <w:t>的要求，同时符合水位监测点不少于水质监测点2倍的要求。</w:t>
      </w:r>
    </w:p>
    <w:p w14:paraId="602C5000">
      <w:pPr>
        <w:pStyle w:val="10"/>
        <w:bidi w:val="0"/>
        <w:rPr>
          <w:rFonts w:hint="eastAsia"/>
        </w:rPr>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9</w:t>
      </w:r>
      <w:r>
        <w:fldChar w:fldCharType="end"/>
      </w:r>
      <w:r>
        <w:t xml:space="preserve"> </w:t>
      </w:r>
      <w:r>
        <w:rPr>
          <w:rFonts w:hint="eastAsia"/>
        </w:rPr>
        <w:t>地下水环境现状监测点位一览表</w:t>
      </w:r>
    </w:p>
    <w:tbl>
      <w:tblPr>
        <w:tblStyle w:val="31"/>
        <w:tblW w:w="5000" w:type="pct"/>
        <w:tblInd w:w="-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18"/>
        <w:gridCol w:w="2250"/>
        <w:gridCol w:w="1483"/>
        <w:gridCol w:w="1796"/>
        <w:gridCol w:w="1575"/>
      </w:tblGrid>
      <w:tr w14:paraId="29D403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732" w:type="pct"/>
            <w:tcBorders>
              <w:top w:val="single" w:color="000000" w:sz="6" w:space="0"/>
              <w:left w:val="single" w:color="000000" w:sz="6" w:space="0"/>
            </w:tcBorders>
            <w:shd w:val="clear" w:color="auto" w:fill="auto"/>
            <w:noWrap w:val="0"/>
            <w:vAlign w:val="center"/>
          </w:tcPr>
          <w:p w14:paraId="421006BF">
            <w:pPr>
              <w:pStyle w:val="182"/>
              <w:rPr>
                <w:rFonts w:hint="eastAsia"/>
                <w:color w:val="auto"/>
                <w:lang w:val="en-US" w:eastAsia="zh-CN"/>
              </w:rPr>
            </w:pPr>
            <w:r>
              <w:rPr>
                <w:rFonts w:hint="eastAsia"/>
                <w:color w:val="auto"/>
                <w:lang w:val="en-US" w:eastAsia="zh-CN"/>
              </w:rPr>
              <w:t>点位编号</w:t>
            </w:r>
          </w:p>
        </w:tc>
        <w:tc>
          <w:tcPr>
            <w:tcW w:w="1352" w:type="pct"/>
            <w:tcBorders>
              <w:top w:val="single" w:color="000000" w:sz="6" w:space="0"/>
            </w:tcBorders>
            <w:shd w:val="clear" w:color="auto" w:fill="auto"/>
            <w:noWrap w:val="0"/>
            <w:vAlign w:val="center"/>
          </w:tcPr>
          <w:p w14:paraId="2D5C06DD">
            <w:pPr>
              <w:pStyle w:val="182"/>
              <w:rPr>
                <w:rFonts w:hint="eastAsia"/>
                <w:color w:val="auto"/>
                <w:lang w:val="en-US" w:eastAsia="zh-CN"/>
              </w:rPr>
            </w:pPr>
            <w:r>
              <w:rPr>
                <w:rFonts w:hint="eastAsia"/>
                <w:color w:val="auto"/>
                <w:lang w:val="en-US" w:eastAsia="zh-CN"/>
              </w:rPr>
              <w:t>监测井位</w:t>
            </w:r>
          </w:p>
        </w:tc>
        <w:tc>
          <w:tcPr>
            <w:tcW w:w="891" w:type="pct"/>
            <w:tcBorders>
              <w:top w:val="single" w:color="000000" w:sz="6" w:space="0"/>
            </w:tcBorders>
            <w:shd w:val="clear" w:color="auto" w:fill="auto"/>
            <w:noWrap w:val="0"/>
            <w:vAlign w:val="center"/>
          </w:tcPr>
          <w:p w14:paraId="082C2EE4">
            <w:pPr>
              <w:pStyle w:val="182"/>
              <w:rPr>
                <w:rFonts w:hint="eastAsia"/>
                <w:color w:val="auto"/>
                <w:lang w:val="en-US" w:eastAsia="zh-CN"/>
              </w:rPr>
            </w:pPr>
            <w:r>
              <w:rPr>
                <w:rFonts w:hint="eastAsia"/>
                <w:color w:val="auto"/>
                <w:lang w:val="en-US" w:eastAsia="zh-CN"/>
              </w:rPr>
              <w:t>方位</w:t>
            </w:r>
          </w:p>
        </w:tc>
        <w:tc>
          <w:tcPr>
            <w:tcW w:w="1079" w:type="pct"/>
            <w:tcBorders>
              <w:top w:val="single" w:color="000000" w:sz="6" w:space="0"/>
            </w:tcBorders>
            <w:shd w:val="clear" w:color="auto" w:fill="auto"/>
            <w:noWrap w:val="0"/>
            <w:vAlign w:val="center"/>
          </w:tcPr>
          <w:p w14:paraId="77E569AA">
            <w:pPr>
              <w:pStyle w:val="182"/>
              <w:rPr>
                <w:rFonts w:hint="eastAsia"/>
                <w:color w:val="auto"/>
                <w:lang w:val="en-US" w:eastAsia="zh-CN"/>
              </w:rPr>
            </w:pPr>
            <w:r>
              <w:rPr>
                <w:rFonts w:hint="eastAsia"/>
                <w:color w:val="auto"/>
                <w:lang w:val="en-US" w:eastAsia="zh-CN"/>
              </w:rPr>
              <w:t>距离厂界（m）</w:t>
            </w:r>
          </w:p>
        </w:tc>
        <w:tc>
          <w:tcPr>
            <w:tcW w:w="946" w:type="pct"/>
            <w:tcBorders>
              <w:top w:val="single" w:color="000000" w:sz="6" w:space="0"/>
              <w:right w:val="single" w:color="000000" w:sz="6" w:space="0"/>
            </w:tcBorders>
            <w:shd w:val="clear" w:color="auto" w:fill="auto"/>
            <w:noWrap w:val="0"/>
            <w:vAlign w:val="center"/>
          </w:tcPr>
          <w:p w14:paraId="2C82F47F">
            <w:pPr>
              <w:pStyle w:val="182"/>
              <w:rPr>
                <w:rFonts w:hint="eastAsia"/>
                <w:color w:val="auto"/>
                <w:lang w:val="en-US" w:eastAsia="zh-CN"/>
              </w:rPr>
            </w:pPr>
            <w:r>
              <w:rPr>
                <w:rFonts w:hint="eastAsia"/>
                <w:color w:val="auto"/>
                <w:lang w:val="en-US" w:eastAsia="zh-CN"/>
              </w:rPr>
              <w:t>功能</w:t>
            </w:r>
          </w:p>
        </w:tc>
      </w:tr>
      <w:tr w14:paraId="4CD29F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2" w:hRule="atLeast"/>
        </w:trPr>
        <w:tc>
          <w:tcPr>
            <w:tcW w:w="732" w:type="pct"/>
            <w:tcBorders>
              <w:left w:val="single" w:color="000000" w:sz="6" w:space="0"/>
            </w:tcBorders>
            <w:shd w:val="clear" w:color="auto" w:fill="auto"/>
            <w:noWrap w:val="0"/>
            <w:vAlign w:val="center"/>
          </w:tcPr>
          <w:p w14:paraId="61A12B7F">
            <w:pPr>
              <w:pStyle w:val="182"/>
              <w:rPr>
                <w:rFonts w:hint="eastAsia"/>
                <w:color w:val="auto"/>
                <w:lang w:val="en-US" w:eastAsia="zh-CN"/>
              </w:rPr>
            </w:pPr>
            <w:r>
              <w:rPr>
                <w:rFonts w:hint="eastAsia"/>
                <w:color w:val="auto"/>
                <w:lang w:val="en-US" w:eastAsia="zh-CN"/>
              </w:rPr>
              <w:t>1#</w:t>
            </w:r>
          </w:p>
        </w:tc>
        <w:tc>
          <w:tcPr>
            <w:tcW w:w="1352" w:type="pct"/>
            <w:shd w:val="clear" w:color="auto" w:fill="auto"/>
            <w:noWrap w:val="0"/>
            <w:vAlign w:val="center"/>
          </w:tcPr>
          <w:p w14:paraId="41260286">
            <w:pPr>
              <w:pStyle w:val="182"/>
              <w:rPr>
                <w:rFonts w:hint="eastAsia"/>
                <w:color w:val="auto"/>
                <w:lang w:val="en-US" w:eastAsia="zh-CN"/>
              </w:rPr>
            </w:pPr>
            <w:r>
              <w:rPr>
                <w:rFonts w:hint="eastAsia"/>
                <w:color w:val="auto"/>
                <w:lang w:val="en-US" w:eastAsia="zh-CN"/>
              </w:rPr>
              <w:t>姚庄村</w:t>
            </w:r>
          </w:p>
        </w:tc>
        <w:tc>
          <w:tcPr>
            <w:tcW w:w="891" w:type="pct"/>
            <w:shd w:val="clear" w:color="auto" w:fill="auto"/>
            <w:noWrap w:val="0"/>
            <w:vAlign w:val="center"/>
          </w:tcPr>
          <w:p w14:paraId="0C34C6CF">
            <w:pPr>
              <w:pStyle w:val="182"/>
              <w:rPr>
                <w:rFonts w:hint="eastAsia"/>
                <w:color w:val="auto"/>
                <w:lang w:val="en-US" w:eastAsia="zh-CN"/>
              </w:rPr>
            </w:pPr>
            <w:r>
              <w:rPr>
                <w:rFonts w:hint="eastAsia"/>
                <w:color w:val="auto"/>
                <w:lang w:val="en-US" w:eastAsia="zh-CN"/>
              </w:rPr>
              <w:t>西南</w:t>
            </w:r>
          </w:p>
        </w:tc>
        <w:tc>
          <w:tcPr>
            <w:tcW w:w="1079" w:type="pct"/>
            <w:shd w:val="clear" w:color="auto" w:fill="auto"/>
            <w:noWrap w:val="0"/>
            <w:vAlign w:val="center"/>
          </w:tcPr>
          <w:p w14:paraId="42D2FA45">
            <w:pPr>
              <w:pStyle w:val="182"/>
              <w:rPr>
                <w:rFonts w:hint="eastAsia"/>
                <w:color w:val="auto"/>
                <w:lang w:val="en-US" w:eastAsia="zh-CN"/>
              </w:rPr>
            </w:pPr>
            <w:r>
              <w:rPr>
                <w:rFonts w:hint="eastAsia"/>
                <w:color w:val="auto"/>
                <w:lang w:val="en-US" w:eastAsia="zh-CN"/>
              </w:rPr>
              <w:t>1100</w:t>
            </w:r>
          </w:p>
        </w:tc>
        <w:tc>
          <w:tcPr>
            <w:tcW w:w="946" w:type="pct"/>
            <w:tcBorders>
              <w:right w:val="single" w:color="000000" w:sz="6" w:space="0"/>
            </w:tcBorders>
            <w:shd w:val="clear" w:color="auto" w:fill="auto"/>
            <w:noWrap w:val="0"/>
            <w:vAlign w:val="center"/>
          </w:tcPr>
          <w:p w14:paraId="14854265">
            <w:pPr>
              <w:pStyle w:val="182"/>
              <w:rPr>
                <w:rFonts w:hint="eastAsia"/>
                <w:color w:val="auto"/>
                <w:lang w:val="en-US" w:eastAsia="zh-CN"/>
              </w:rPr>
            </w:pPr>
            <w:r>
              <w:rPr>
                <w:rFonts w:hint="eastAsia"/>
                <w:color w:val="auto"/>
                <w:lang w:val="en-US" w:eastAsia="zh-CN"/>
              </w:rPr>
              <w:t>对照点</w:t>
            </w:r>
          </w:p>
        </w:tc>
      </w:tr>
      <w:tr w14:paraId="6BAC22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2" w:hRule="atLeast"/>
        </w:trPr>
        <w:tc>
          <w:tcPr>
            <w:tcW w:w="732" w:type="pct"/>
            <w:tcBorders>
              <w:left w:val="single" w:color="000000" w:sz="6" w:space="0"/>
            </w:tcBorders>
            <w:shd w:val="clear" w:color="auto" w:fill="auto"/>
            <w:noWrap w:val="0"/>
            <w:vAlign w:val="center"/>
          </w:tcPr>
          <w:p w14:paraId="2008439A">
            <w:pPr>
              <w:pStyle w:val="182"/>
              <w:rPr>
                <w:rFonts w:hint="eastAsia"/>
                <w:color w:val="auto"/>
                <w:lang w:val="en-US" w:eastAsia="zh-CN"/>
              </w:rPr>
            </w:pPr>
            <w:r>
              <w:rPr>
                <w:rFonts w:hint="eastAsia"/>
                <w:color w:val="auto"/>
                <w:lang w:val="en-US" w:eastAsia="zh-CN"/>
              </w:rPr>
              <w:t>2#</w:t>
            </w:r>
          </w:p>
        </w:tc>
        <w:tc>
          <w:tcPr>
            <w:tcW w:w="1352" w:type="pct"/>
            <w:shd w:val="clear" w:color="auto" w:fill="auto"/>
            <w:noWrap w:val="0"/>
            <w:vAlign w:val="center"/>
          </w:tcPr>
          <w:p w14:paraId="5BDA93A7">
            <w:pPr>
              <w:pStyle w:val="182"/>
              <w:rPr>
                <w:rFonts w:hint="eastAsia"/>
                <w:color w:val="auto"/>
                <w:lang w:val="en-US" w:eastAsia="zh-CN"/>
              </w:rPr>
            </w:pPr>
            <w:r>
              <w:rPr>
                <w:rFonts w:hint="eastAsia"/>
                <w:color w:val="auto"/>
                <w:lang w:val="en-US" w:eastAsia="zh-CN"/>
              </w:rPr>
              <w:t>夏庄村</w:t>
            </w:r>
          </w:p>
        </w:tc>
        <w:tc>
          <w:tcPr>
            <w:tcW w:w="891" w:type="pct"/>
            <w:shd w:val="clear" w:color="auto" w:fill="auto"/>
            <w:noWrap w:val="0"/>
            <w:vAlign w:val="center"/>
          </w:tcPr>
          <w:p w14:paraId="7C0751EF">
            <w:pPr>
              <w:pStyle w:val="182"/>
              <w:rPr>
                <w:rFonts w:hint="eastAsia"/>
                <w:color w:val="auto"/>
                <w:lang w:val="en-US" w:eastAsia="zh-CN"/>
              </w:rPr>
            </w:pPr>
            <w:r>
              <w:rPr>
                <w:rFonts w:hint="eastAsia"/>
                <w:color w:val="auto"/>
                <w:lang w:val="en-US" w:eastAsia="zh-CN"/>
              </w:rPr>
              <w:t>西</w:t>
            </w:r>
          </w:p>
        </w:tc>
        <w:tc>
          <w:tcPr>
            <w:tcW w:w="1079" w:type="pct"/>
            <w:shd w:val="clear" w:color="auto" w:fill="auto"/>
            <w:noWrap w:val="0"/>
            <w:vAlign w:val="center"/>
          </w:tcPr>
          <w:p w14:paraId="5129FC49">
            <w:pPr>
              <w:pStyle w:val="182"/>
              <w:rPr>
                <w:rFonts w:hint="eastAsia"/>
                <w:color w:val="auto"/>
                <w:lang w:val="en-US" w:eastAsia="zh-CN"/>
              </w:rPr>
            </w:pPr>
            <w:r>
              <w:rPr>
                <w:rFonts w:hint="eastAsia"/>
                <w:color w:val="auto"/>
                <w:lang w:val="en-US" w:eastAsia="zh-CN"/>
              </w:rPr>
              <w:t>860</w:t>
            </w:r>
          </w:p>
        </w:tc>
        <w:tc>
          <w:tcPr>
            <w:tcW w:w="946" w:type="pct"/>
            <w:tcBorders>
              <w:right w:val="single" w:color="000000" w:sz="6" w:space="0"/>
            </w:tcBorders>
            <w:shd w:val="clear" w:color="auto" w:fill="auto"/>
            <w:noWrap w:val="0"/>
            <w:vAlign w:val="center"/>
          </w:tcPr>
          <w:p w14:paraId="02CF9F8C">
            <w:pPr>
              <w:pStyle w:val="182"/>
              <w:rPr>
                <w:rFonts w:hint="eastAsia"/>
                <w:color w:val="auto"/>
                <w:lang w:val="en-US" w:eastAsia="zh-CN"/>
              </w:rPr>
            </w:pPr>
            <w:r>
              <w:rPr>
                <w:rFonts w:hint="eastAsia"/>
                <w:color w:val="auto"/>
                <w:lang w:val="en-US" w:eastAsia="zh-CN"/>
              </w:rPr>
              <w:t>对照点</w:t>
            </w:r>
          </w:p>
        </w:tc>
      </w:tr>
      <w:tr w14:paraId="0F2C7C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2" w:hRule="atLeast"/>
        </w:trPr>
        <w:tc>
          <w:tcPr>
            <w:tcW w:w="732" w:type="pct"/>
            <w:tcBorders>
              <w:left w:val="single" w:color="000000" w:sz="6" w:space="0"/>
            </w:tcBorders>
            <w:shd w:val="clear" w:color="auto" w:fill="auto"/>
            <w:noWrap w:val="0"/>
            <w:vAlign w:val="center"/>
          </w:tcPr>
          <w:p w14:paraId="2F76AC25">
            <w:pPr>
              <w:pStyle w:val="182"/>
              <w:rPr>
                <w:rFonts w:hint="eastAsia"/>
                <w:color w:val="auto"/>
                <w:lang w:val="en-US" w:eastAsia="zh-CN"/>
              </w:rPr>
            </w:pPr>
            <w:r>
              <w:rPr>
                <w:rFonts w:hint="eastAsia"/>
                <w:color w:val="auto"/>
                <w:lang w:val="en-US" w:eastAsia="zh-CN"/>
              </w:rPr>
              <w:t>3#</w:t>
            </w:r>
          </w:p>
        </w:tc>
        <w:tc>
          <w:tcPr>
            <w:tcW w:w="1352" w:type="pct"/>
            <w:shd w:val="clear" w:color="auto" w:fill="auto"/>
            <w:noWrap w:val="0"/>
            <w:vAlign w:val="center"/>
          </w:tcPr>
          <w:p w14:paraId="1BA03DEE">
            <w:pPr>
              <w:pStyle w:val="182"/>
              <w:rPr>
                <w:rFonts w:hint="eastAsia"/>
                <w:color w:val="auto"/>
                <w:lang w:val="en-US" w:eastAsia="zh-CN"/>
              </w:rPr>
            </w:pPr>
            <w:r>
              <w:rPr>
                <w:rFonts w:hint="eastAsia"/>
                <w:color w:val="auto"/>
                <w:lang w:val="en-US" w:eastAsia="zh-CN"/>
              </w:rPr>
              <w:t>化纤厂厂区</w:t>
            </w:r>
          </w:p>
        </w:tc>
        <w:tc>
          <w:tcPr>
            <w:tcW w:w="891" w:type="pct"/>
            <w:shd w:val="clear" w:color="auto" w:fill="auto"/>
            <w:noWrap w:val="0"/>
            <w:vAlign w:val="center"/>
          </w:tcPr>
          <w:p w14:paraId="57D86DB8">
            <w:pPr>
              <w:pStyle w:val="182"/>
              <w:rPr>
                <w:rFonts w:hint="eastAsia"/>
                <w:color w:val="auto"/>
                <w:lang w:val="en-US" w:eastAsia="zh-CN"/>
              </w:rPr>
            </w:pPr>
            <w:r>
              <w:rPr>
                <w:rFonts w:hint="eastAsia"/>
                <w:color w:val="auto"/>
                <w:lang w:val="en-US" w:eastAsia="zh-CN"/>
              </w:rPr>
              <w:t>\</w:t>
            </w:r>
          </w:p>
        </w:tc>
        <w:tc>
          <w:tcPr>
            <w:tcW w:w="1079" w:type="pct"/>
            <w:shd w:val="clear" w:color="auto" w:fill="auto"/>
            <w:noWrap w:val="0"/>
            <w:vAlign w:val="center"/>
          </w:tcPr>
          <w:p w14:paraId="70DF377C">
            <w:pPr>
              <w:pStyle w:val="182"/>
              <w:rPr>
                <w:rFonts w:hint="eastAsia"/>
                <w:color w:val="auto"/>
                <w:lang w:val="en-US" w:eastAsia="zh-CN"/>
              </w:rPr>
            </w:pPr>
            <w:r>
              <w:rPr>
                <w:rFonts w:hint="eastAsia"/>
                <w:color w:val="auto"/>
                <w:lang w:val="en-US" w:eastAsia="zh-CN"/>
              </w:rPr>
              <w:t>\</w:t>
            </w:r>
          </w:p>
        </w:tc>
        <w:tc>
          <w:tcPr>
            <w:tcW w:w="946" w:type="pct"/>
            <w:tcBorders>
              <w:right w:val="single" w:color="000000" w:sz="6" w:space="0"/>
            </w:tcBorders>
            <w:shd w:val="clear" w:color="auto" w:fill="auto"/>
            <w:noWrap w:val="0"/>
            <w:vAlign w:val="center"/>
          </w:tcPr>
          <w:p w14:paraId="4790EA1D">
            <w:pPr>
              <w:pStyle w:val="182"/>
              <w:rPr>
                <w:rFonts w:hint="eastAsia"/>
                <w:color w:val="auto"/>
                <w:lang w:val="en-US" w:eastAsia="zh-CN"/>
              </w:rPr>
            </w:pPr>
            <w:r>
              <w:rPr>
                <w:rFonts w:hint="eastAsia"/>
                <w:color w:val="auto"/>
                <w:lang w:val="en-US" w:eastAsia="zh-CN"/>
              </w:rPr>
              <w:t>监控点</w:t>
            </w:r>
          </w:p>
        </w:tc>
      </w:tr>
      <w:tr w14:paraId="3ACC28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2" w:hRule="atLeast"/>
        </w:trPr>
        <w:tc>
          <w:tcPr>
            <w:tcW w:w="732" w:type="pct"/>
            <w:tcBorders>
              <w:left w:val="single" w:color="000000" w:sz="6" w:space="0"/>
            </w:tcBorders>
            <w:shd w:val="clear" w:color="auto" w:fill="auto"/>
            <w:noWrap w:val="0"/>
            <w:vAlign w:val="center"/>
          </w:tcPr>
          <w:p w14:paraId="5683FF12">
            <w:pPr>
              <w:pStyle w:val="182"/>
              <w:rPr>
                <w:rFonts w:hint="eastAsia"/>
                <w:color w:val="auto"/>
                <w:lang w:val="en-US" w:eastAsia="zh-CN"/>
              </w:rPr>
            </w:pPr>
            <w:r>
              <w:rPr>
                <w:rFonts w:hint="eastAsia"/>
                <w:color w:val="auto"/>
                <w:lang w:val="en-US" w:eastAsia="zh-CN"/>
              </w:rPr>
              <w:t>4#</w:t>
            </w:r>
          </w:p>
        </w:tc>
        <w:tc>
          <w:tcPr>
            <w:tcW w:w="1352" w:type="pct"/>
            <w:shd w:val="clear" w:color="auto" w:fill="auto"/>
            <w:noWrap w:val="0"/>
            <w:vAlign w:val="center"/>
          </w:tcPr>
          <w:p w14:paraId="4CFABB5A">
            <w:pPr>
              <w:pStyle w:val="182"/>
              <w:rPr>
                <w:rFonts w:hint="eastAsia"/>
                <w:color w:val="auto"/>
                <w:lang w:val="en-US" w:eastAsia="zh-CN"/>
              </w:rPr>
            </w:pPr>
            <w:r>
              <w:rPr>
                <w:rFonts w:hint="eastAsia"/>
                <w:color w:val="auto"/>
                <w:lang w:val="en-US" w:eastAsia="zh-CN"/>
              </w:rPr>
              <w:t>双鹭药业</w:t>
            </w:r>
          </w:p>
        </w:tc>
        <w:tc>
          <w:tcPr>
            <w:tcW w:w="891" w:type="pct"/>
            <w:shd w:val="clear" w:color="auto" w:fill="auto"/>
            <w:noWrap w:val="0"/>
            <w:vAlign w:val="center"/>
          </w:tcPr>
          <w:p w14:paraId="5DAAFFF5">
            <w:pPr>
              <w:pStyle w:val="182"/>
              <w:rPr>
                <w:rFonts w:hint="eastAsia"/>
                <w:color w:val="auto"/>
                <w:lang w:val="en-US" w:eastAsia="zh-CN"/>
              </w:rPr>
            </w:pPr>
            <w:r>
              <w:rPr>
                <w:rFonts w:hint="eastAsia"/>
                <w:color w:val="auto"/>
                <w:lang w:val="en-US" w:eastAsia="zh-CN"/>
              </w:rPr>
              <w:t>东北</w:t>
            </w:r>
          </w:p>
        </w:tc>
        <w:tc>
          <w:tcPr>
            <w:tcW w:w="1079" w:type="pct"/>
            <w:shd w:val="clear" w:color="auto" w:fill="auto"/>
            <w:noWrap w:val="0"/>
            <w:vAlign w:val="center"/>
          </w:tcPr>
          <w:p w14:paraId="050666A5">
            <w:pPr>
              <w:pStyle w:val="182"/>
              <w:rPr>
                <w:rFonts w:hint="eastAsia"/>
                <w:color w:val="auto"/>
                <w:lang w:val="en-US" w:eastAsia="zh-CN"/>
              </w:rPr>
            </w:pPr>
            <w:r>
              <w:rPr>
                <w:rFonts w:hint="eastAsia"/>
                <w:color w:val="auto"/>
                <w:lang w:val="en-US" w:eastAsia="zh-CN"/>
              </w:rPr>
              <w:t>1300</w:t>
            </w:r>
          </w:p>
        </w:tc>
        <w:tc>
          <w:tcPr>
            <w:tcW w:w="946" w:type="pct"/>
            <w:tcBorders>
              <w:right w:val="single" w:color="000000" w:sz="6" w:space="0"/>
            </w:tcBorders>
            <w:shd w:val="clear" w:color="auto" w:fill="auto"/>
            <w:noWrap w:val="0"/>
            <w:vAlign w:val="center"/>
          </w:tcPr>
          <w:p w14:paraId="1006AE40">
            <w:pPr>
              <w:pStyle w:val="182"/>
              <w:rPr>
                <w:rFonts w:hint="eastAsia"/>
                <w:color w:val="auto"/>
                <w:lang w:val="en-US" w:eastAsia="zh-CN"/>
              </w:rPr>
            </w:pPr>
            <w:r>
              <w:rPr>
                <w:rFonts w:hint="eastAsia"/>
                <w:color w:val="auto"/>
                <w:lang w:val="en-US" w:eastAsia="zh-CN"/>
              </w:rPr>
              <w:t>监控点</w:t>
            </w:r>
          </w:p>
        </w:tc>
      </w:tr>
      <w:tr w14:paraId="6BB769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2" w:hRule="atLeast"/>
        </w:trPr>
        <w:tc>
          <w:tcPr>
            <w:tcW w:w="732" w:type="pct"/>
            <w:tcBorders>
              <w:left w:val="single" w:color="000000" w:sz="6" w:space="0"/>
            </w:tcBorders>
            <w:shd w:val="clear" w:color="auto" w:fill="auto"/>
            <w:noWrap w:val="0"/>
            <w:vAlign w:val="center"/>
          </w:tcPr>
          <w:p w14:paraId="71DEB589">
            <w:pPr>
              <w:pStyle w:val="182"/>
              <w:rPr>
                <w:rFonts w:hint="eastAsia"/>
                <w:color w:val="auto"/>
                <w:lang w:val="en-US" w:eastAsia="zh-CN"/>
              </w:rPr>
            </w:pPr>
            <w:r>
              <w:rPr>
                <w:rFonts w:hint="eastAsia"/>
                <w:color w:val="auto"/>
                <w:lang w:val="en-US" w:eastAsia="zh-CN"/>
              </w:rPr>
              <w:t>5#</w:t>
            </w:r>
          </w:p>
        </w:tc>
        <w:tc>
          <w:tcPr>
            <w:tcW w:w="1352" w:type="pct"/>
            <w:shd w:val="clear" w:color="auto" w:fill="auto"/>
            <w:noWrap w:val="0"/>
            <w:vAlign w:val="center"/>
          </w:tcPr>
          <w:p w14:paraId="25593F38">
            <w:pPr>
              <w:pStyle w:val="182"/>
              <w:rPr>
                <w:rFonts w:hint="eastAsia"/>
                <w:color w:val="auto"/>
                <w:lang w:val="en-US" w:eastAsia="zh-CN"/>
              </w:rPr>
            </w:pPr>
            <w:r>
              <w:rPr>
                <w:rFonts w:hint="eastAsia"/>
                <w:color w:val="auto"/>
                <w:lang w:val="en-US" w:eastAsia="zh-CN"/>
              </w:rPr>
              <w:t>大杨庄村</w:t>
            </w:r>
          </w:p>
        </w:tc>
        <w:tc>
          <w:tcPr>
            <w:tcW w:w="891" w:type="pct"/>
            <w:shd w:val="clear" w:color="auto" w:fill="auto"/>
            <w:noWrap w:val="0"/>
            <w:vAlign w:val="center"/>
          </w:tcPr>
          <w:p w14:paraId="64C19142">
            <w:pPr>
              <w:pStyle w:val="182"/>
              <w:rPr>
                <w:rFonts w:hint="eastAsia"/>
                <w:color w:val="auto"/>
                <w:lang w:val="en-US" w:eastAsia="zh-CN"/>
              </w:rPr>
            </w:pPr>
            <w:r>
              <w:rPr>
                <w:rFonts w:hint="eastAsia"/>
                <w:color w:val="auto"/>
                <w:lang w:val="en-US" w:eastAsia="zh-CN"/>
              </w:rPr>
              <w:t>东</w:t>
            </w:r>
          </w:p>
        </w:tc>
        <w:tc>
          <w:tcPr>
            <w:tcW w:w="1079" w:type="pct"/>
            <w:shd w:val="clear" w:color="auto" w:fill="auto"/>
            <w:noWrap w:val="0"/>
            <w:vAlign w:val="center"/>
          </w:tcPr>
          <w:p w14:paraId="4CDE511B">
            <w:pPr>
              <w:pStyle w:val="182"/>
              <w:rPr>
                <w:rFonts w:hint="eastAsia"/>
                <w:color w:val="auto"/>
                <w:lang w:val="en-US" w:eastAsia="zh-CN"/>
              </w:rPr>
            </w:pPr>
            <w:r>
              <w:rPr>
                <w:rFonts w:hint="eastAsia"/>
                <w:color w:val="auto"/>
                <w:lang w:val="en-US" w:eastAsia="zh-CN"/>
              </w:rPr>
              <w:t>1800</w:t>
            </w:r>
          </w:p>
        </w:tc>
        <w:tc>
          <w:tcPr>
            <w:tcW w:w="946" w:type="pct"/>
            <w:tcBorders>
              <w:right w:val="single" w:color="000000" w:sz="6" w:space="0"/>
            </w:tcBorders>
            <w:shd w:val="clear" w:color="auto" w:fill="auto"/>
            <w:noWrap w:val="0"/>
            <w:vAlign w:val="center"/>
          </w:tcPr>
          <w:p w14:paraId="3B156F6E">
            <w:pPr>
              <w:pStyle w:val="182"/>
              <w:rPr>
                <w:rFonts w:hint="eastAsia"/>
                <w:color w:val="auto"/>
                <w:lang w:val="en-US" w:eastAsia="zh-CN"/>
              </w:rPr>
            </w:pPr>
            <w:r>
              <w:rPr>
                <w:rFonts w:hint="eastAsia"/>
                <w:color w:val="auto"/>
                <w:lang w:val="en-US" w:eastAsia="zh-CN"/>
              </w:rPr>
              <w:t>监控点</w:t>
            </w:r>
          </w:p>
        </w:tc>
      </w:tr>
      <w:tr w14:paraId="312B4B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2" w:hRule="atLeast"/>
        </w:trPr>
        <w:tc>
          <w:tcPr>
            <w:tcW w:w="732" w:type="pct"/>
            <w:tcBorders>
              <w:left w:val="single" w:color="000000" w:sz="6" w:space="0"/>
            </w:tcBorders>
            <w:shd w:val="clear" w:color="auto" w:fill="auto"/>
            <w:noWrap w:val="0"/>
            <w:vAlign w:val="center"/>
          </w:tcPr>
          <w:p w14:paraId="0378BB1D">
            <w:pPr>
              <w:pStyle w:val="182"/>
              <w:rPr>
                <w:rFonts w:hint="eastAsia"/>
                <w:color w:val="auto"/>
                <w:lang w:val="en-US" w:eastAsia="zh-CN"/>
              </w:rPr>
            </w:pPr>
            <w:r>
              <w:rPr>
                <w:rFonts w:hint="eastAsia"/>
                <w:color w:val="auto"/>
                <w:lang w:val="en-US" w:eastAsia="zh-CN"/>
              </w:rPr>
              <w:t>6#</w:t>
            </w:r>
          </w:p>
        </w:tc>
        <w:tc>
          <w:tcPr>
            <w:tcW w:w="1352" w:type="pct"/>
            <w:shd w:val="clear" w:color="auto" w:fill="auto"/>
            <w:noWrap w:val="0"/>
            <w:vAlign w:val="center"/>
          </w:tcPr>
          <w:p w14:paraId="0D397EDB">
            <w:pPr>
              <w:pStyle w:val="182"/>
              <w:rPr>
                <w:rFonts w:hint="eastAsia"/>
                <w:color w:val="auto"/>
                <w:lang w:val="en-US" w:eastAsia="zh-CN"/>
              </w:rPr>
            </w:pPr>
            <w:r>
              <w:rPr>
                <w:rFonts w:hint="eastAsia"/>
                <w:color w:val="auto"/>
                <w:lang w:val="en-US" w:eastAsia="zh-CN"/>
              </w:rPr>
              <w:t>张河村</w:t>
            </w:r>
          </w:p>
        </w:tc>
        <w:tc>
          <w:tcPr>
            <w:tcW w:w="891" w:type="pct"/>
            <w:shd w:val="clear" w:color="auto" w:fill="auto"/>
            <w:noWrap w:val="0"/>
            <w:vAlign w:val="center"/>
          </w:tcPr>
          <w:p w14:paraId="21407637">
            <w:pPr>
              <w:pStyle w:val="182"/>
              <w:rPr>
                <w:rFonts w:hint="eastAsia"/>
                <w:color w:val="auto"/>
                <w:lang w:val="en-US" w:eastAsia="zh-CN"/>
              </w:rPr>
            </w:pPr>
            <w:r>
              <w:rPr>
                <w:rFonts w:hint="eastAsia"/>
                <w:color w:val="auto"/>
                <w:lang w:val="en-US" w:eastAsia="zh-CN"/>
              </w:rPr>
              <w:t>东南</w:t>
            </w:r>
          </w:p>
        </w:tc>
        <w:tc>
          <w:tcPr>
            <w:tcW w:w="1079" w:type="pct"/>
            <w:shd w:val="clear" w:color="auto" w:fill="auto"/>
            <w:noWrap w:val="0"/>
            <w:vAlign w:val="center"/>
          </w:tcPr>
          <w:p w14:paraId="133FB11B">
            <w:pPr>
              <w:pStyle w:val="182"/>
              <w:rPr>
                <w:rFonts w:hint="eastAsia"/>
                <w:color w:val="auto"/>
                <w:lang w:val="en-US" w:eastAsia="zh-CN"/>
              </w:rPr>
            </w:pPr>
            <w:r>
              <w:rPr>
                <w:rFonts w:hint="eastAsia"/>
                <w:color w:val="auto"/>
                <w:lang w:val="en-US" w:eastAsia="zh-CN"/>
              </w:rPr>
              <w:t>3000</w:t>
            </w:r>
          </w:p>
        </w:tc>
        <w:tc>
          <w:tcPr>
            <w:tcW w:w="946" w:type="pct"/>
            <w:tcBorders>
              <w:right w:val="single" w:color="000000" w:sz="6" w:space="0"/>
            </w:tcBorders>
            <w:shd w:val="clear" w:color="auto" w:fill="auto"/>
            <w:noWrap w:val="0"/>
            <w:vAlign w:val="center"/>
          </w:tcPr>
          <w:p w14:paraId="3995E4D5">
            <w:pPr>
              <w:pStyle w:val="182"/>
              <w:rPr>
                <w:rFonts w:hint="eastAsia"/>
                <w:color w:val="auto"/>
                <w:lang w:val="en-US" w:eastAsia="zh-CN"/>
              </w:rPr>
            </w:pPr>
            <w:r>
              <w:rPr>
                <w:rFonts w:hint="eastAsia"/>
                <w:color w:val="auto"/>
                <w:lang w:val="en-US" w:eastAsia="zh-CN"/>
              </w:rPr>
              <w:t>监控点</w:t>
            </w:r>
          </w:p>
        </w:tc>
      </w:tr>
      <w:tr w14:paraId="75D8A2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732" w:type="pct"/>
            <w:tcBorders>
              <w:left w:val="single" w:color="000000" w:sz="6" w:space="0"/>
              <w:bottom w:val="single" w:color="000000" w:sz="6" w:space="0"/>
            </w:tcBorders>
            <w:shd w:val="clear" w:color="auto" w:fill="auto"/>
            <w:noWrap w:val="0"/>
            <w:vAlign w:val="center"/>
          </w:tcPr>
          <w:p w14:paraId="2A7EB375">
            <w:pPr>
              <w:pStyle w:val="182"/>
              <w:rPr>
                <w:rFonts w:hint="eastAsia"/>
                <w:color w:val="auto"/>
                <w:lang w:val="en-US" w:eastAsia="zh-CN"/>
              </w:rPr>
            </w:pPr>
            <w:r>
              <w:rPr>
                <w:rFonts w:hint="eastAsia"/>
                <w:color w:val="auto"/>
                <w:lang w:val="en-US" w:eastAsia="zh-CN"/>
              </w:rPr>
              <w:t>7#</w:t>
            </w:r>
          </w:p>
        </w:tc>
        <w:tc>
          <w:tcPr>
            <w:tcW w:w="1352" w:type="pct"/>
            <w:tcBorders>
              <w:bottom w:val="single" w:color="000000" w:sz="6" w:space="0"/>
            </w:tcBorders>
            <w:shd w:val="clear" w:color="auto" w:fill="auto"/>
            <w:noWrap w:val="0"/>
            <w:vAlign w:val="center"/>
          </w:tcPr>
          <w:p w14:paraId="5A20520B">
            <w:pPr>
              <w:pStyle w:val="182"/>
              <w:rPr>
                <w:rFonts w:hint="eastAsia"/>
                <w:color w:val="auto"/>
                <w:lang w:val="en-US" w:eastAsia="zh-CN"/>
              </w:rPr>
            </w:pPr>
            <w:r>
              <w:rPr>
                <w:rFonts w:hint="eastAsia"/>
                <w:color w:val="auto"/>
                <w:lang w:val="en-US" w:eastAsia="zh-CN"/>
              </w:rPr>
              <w:t>新联学院</w:t>
            </w:r>
          </w:p>
        </w:tc>
        <w:tc>
          <w:tcPr>
            <w:tcW w:w="891" w:type="pct"/>
            <w:tcBorders>
              <w:bottom w:val="single" w:color="000000" w:sz="6" w:space="0"/>
            </w:tcBorders>
            <w:shd w:val="clear" w:color="auto" w:fill="auto"/>
            <w:noWrap w:val="0"/>
            <w:vAlign w:val="center"/>
          </w:tcPr>
          <w:p w14:paraId="7E47373D">
            <w:pPr>
              <w:pStyle w:val="182"/>
              <w:rPr>
                <w:rFonts w:hint="eastAsia"/>
                <w:color w:val="auto"/>
                <w:lang w:val="en-US" w:eastAsia="zh-CN"/>
              </w:rPr>
            </w:pPr>
            <w:r>
              <w:rPr>
                <w:rFonts w:hint="eastAsia"/>
                <w:color w:val="auto"/>
                <w:lang w:val="en-US" w:eastAsia="zh-CN"/>
              </w:rPr>
              <w:t>北</w:t>
            </w:r>
          </w:p>
        </w:tc>
        <w:tc>
          <w:tcPr>
            <w:tcW w:w="1079" w:type="pct"/>
            <w:tcBorders>
              <w:bottom w:val="single" w:color="000000" w:sz="6" w:space="0"/>
            </w:tcBorders>
            <w:shd w:val="clear" w:color="auto" w:fill="auto"/>
            <w:noWrap w:val="0"/>
            <w:vAlign w:val="center"/>
          </w:tcPr>
          <w:p w14:paraId="7ACFFC77">
            <w:pPr>
              <w:pStyle w:val="182"/>
              <w:rPr>
                <w:rFonts w:hint="eastAsia"/>
                <w:color w:val="auto"/>
                <w:lang w:val="en-US" w:eastAsia="zh-CN"/>
              </w:rPr>
            </w:pPr>
            <w:r>
              <w:rPr>
                <w:rFonts w:hint="eastAsia"/>
                <w:color w:val="auto"/>
                <w:lang w:val="en-US" w:eastAsia="zh-CN"/>
              </w:rPr>
              <w:t>1900</w:t>
            </w:r>
          </w:p>
        </w:tc>
        <w:tc>
          <w:tcPr>
            <w:tcW w:w="946" w:type="pct"/>
            <w:tcBorders>
              <w:bottom w:val="single" w:color="000000" w:sz="6" w:space="0"/>
              <w:right w:val="single" w:color="000000" w:sz="6" w:space="0"/>
            </w:tcBorders>
            <w:shd w:val="clear" w:color="auto" w:fill="auto"/>
            <w:noWrap w:val="0"/>
            <w:vAlign w:val="center"/>
          </w:tcPr>
          <w:p w14:paraId="11621560">
            <w:pPr>
              <w:pStyle w:val="182"/>
              <w:rPr>
                <w:rFonts w:hint="eastAsia"/>
                <w:color w:val="auto"/>
                <w:lang w:val="en-US" w:eastAsia="zh-CN"/>
              </w:rPr>
            </w:pPr>
            <w:r>
              <w:rPr>
                <w:rFonts w:hint="eastAsia"/>
                <w:color w:val="auto"/>
                <w:lang w:val="en-US" w:eastAsia="zh-CN"/>
              </w:rPr>
              <w:t>监控点</w:t>
            </w:r>
          </w:p>
        </w:tc>
      </w:tr>
    </w:tbl>
    <w:p w14:paraId="1F341DFE">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10</w:t>
      </w:r>
      <w:r>
        <w:fldChar w:fldCharType="end"/>
      </w:r>
      <w:r>
        <w:t xml:space="preserve"> </w:t>
      </w:r>
      <w:r>
        <w:rPr>
          <w:rFonts w:hint="eastAsia"/>
        </w:rPr>
        <w:t>地下水环境现状水位监测点位一览表</w:t>
      </w:r>
    </w:p>
    <w:tbl>
      <w:tblPr>
        <w:tblStyle w:val="31"/>
        <w:tblW w:w="5000" w:type="pct"/>
        <w:tblInd w:w="-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18"/>
        <w:gridCol w:w="3107"/>
        <w:gridCol w:w="1649"/>
        <w:gridCol w:w="2348"/>
      </w:tblGrid>
      <w:tr w14:paraId="689DEB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8" w:hRule="atLeast"/>
        </w:trPr>
        <w:tc>
          <w:tcPr>
            <w:tcW w:w="732" w:type="pct"/>
            <w:tcBorders>
              <w:top w:val="single" w:color="000000" w:sz="6" w:space="0"/>
              <w:left w:val="single" w:color="000000" w:sz="6" w:space="0"/>
            </w:tcBorders>
            <w:shd w:val="clear" w:color="auto" w:fill="auto"/>
            <w:noWrap w:val="0"/>
            <w:vAlign w:val="center"/>
          </w:tcPr>
          <w:p w14:paraId="7F61FD23">
            <w:pPr>
              <w:pStyle w:val="182"/>
              <w:rPr>
                <w:rFonts w:hint="eastAsia"/>
                <w:color w:val="auto"/>
                <w:lang w:val="en-US" w:eastAsia="zh-CN"/>
              </w:rPr>
            </w:pPr>
            <w:r>
              <w:rPr>
                <w:rFonts w:hint="eastAsia"/>
                <w:color w:val="auto"/>
                <w:lang w:val="en-US" w:eastAsia="zh-CN"/>
              </w:rPr>
              <w:t>监测点</w:t>
            </w:r>
          </w:p>
        </w:tc>
        <w:tc>
          <w:tcPr>
            <w:tcW w:w="1867" w:type="pct"/>
            <w:tcBorders>
              <w:top w:val="single" w:color="000000" w:sz="6" w:space="0"/>
            </w:tcBorders>
            <w:shd w:val="clear" w:color="auto" w:fill="auto"/>
            <w:noWrap w:val="0"/>
            <w:vAlign w:val="center"/>
          </w:tcPr>
          <w:p w14:paraId="258E8404">
            <w:pPr>
              <w:pStyle w:val="182"/>
              <w:rPr>
                <w:rFonts w:hint="eastAsia"/>
                <w:color w:val="auto"/>
                <w:lang w:val="en-US" w:eastAsia="zh-CN"/>
              </w:rPr>
            </w:pPr>
            <w:r>
              <w:rPr>
                <w:rFonts w:hint="eastAsia"/>
                <w:color w:val="auto"/>
                <w:lang w:val="en-US" w:eastAsia="zh-CN"/>
              </w:rPr>
              <w:t>监测井位</w:t>
            </w:r>
          </w:p>
        </w:tc>
        <w:tc>
          <w:tcPr>
            <w:tcW w:w="991" w:type="pct"/>
            <w:tcBorders>
              <w:top w:val="single" w:color="000000" w:sz="6" w:space="0"/>
            </w:tcBorders>
            <w:shd w:val="clear" w:color="auto" w:fill="auto"/>
            <w:noWrap w:val="0"/>
            <w:vAlign w:val="center"/>
          </w:tcPr>
          <w:p w14:paraId="183ED706">
            <w:pPr>
              <w:pStyle w:val="182"/>
              <w:rPr>
                <w:rFonts w:hint="eastAsia"/>
                <w:color w:val="auto"/>
                <w:lang w:val="en-US" w:eastAsia="zh-CN"/>
              </w:rPr>
            </w:pPr>
            <w:r>
              <w:rPr>
                <w:rFonts w:hint="eastAsia"/>
                <w:color w:val="auto"/>
                <w:lang w:val="en-US" w:eastAsia="zh-CN"/>
              </w:rPr>
              <w:t>方位</w:t>
            </w:r>
          </w:p>
        </w:tc>
        <w:tc>
          <w:tcPr>
            <w:tcW w:w="1410" w:type="pct"/>
            <w:tcBorders>
              <w:top w:val="single" w:color="000000" w:sz="6" w:space="0"/>
              <w:right w:val="single" w:color="000000" w:sz="6" w:space="0"/>
            </w:tcBorders>
            <w:shd w:val="clear" w:color="auto" w:fill="auto"/>
            <w:noWrap w:val="0"/>
            <w:vAlign w:val="center"/>
          </w:tcPr>
          <w:p w14:paraId="035821D4">
            <w:pPr>
              <w:pStyle w:val="182"/>
              <w:rPr>
                <w:rFonts w:hint="eastAsia"/>
                <w:color w:val="auto"/>
                <w:lang w:val="en-US" w:eastAsia="zh-CN"/>
              </w:rPr>
            </w:pPr>
            <w:r>
              <w:rPr>
                <w:rFonts w:hint="eastAsia"/>
                <w:color w:val="auto"/>
                <w:lang w:val="en-US" w:eastAsia="zh-CN"/>
              </w:rPr>
              <w:t>距离厂界（m）</w:t>
            </w:r>
          </w:p>
        </w:tc>
      </w:tr>
      <w:tr w14:paraId="2DACF2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732" w:type="pct"/>
            <w:tcBorders>
              <w:left w:val="single" w:color="000000" w:sz="6" w:space="0"/>
            </w:tcBorders>
            <w:shd w:val="clear" w:color="auto" w:fill="auto"/>
            <w:noWrap w:val="0"/>
            <w:vAlign w:val="center"/>
          </w:tcPr>
          <w:p w14:paraId="03D31BAB">
            <w:pPr>
              <w:pStyle w:val="182"/>
              <w:rPr>
                <w:rFonts w:hint="eastAsia"/>
                <w:color w:val="auto"/>
                <w:lang w:val="en-US" w:eastAsia="zh-CN"/>
              </w:rPr>
            </w:pPr>
            <w:r>
              <w:rPr>
                <w:rFonts w:hint="eastAsia"/>
                <w:color w:val="auto"/>
                <w:lang w:val="en-US" w:eastAsia="zh-CN"/>
              </w:rPr>
              <w:t>1#</w:t>
            </w:r>
          </w:p>
        </w:tc>
        <w:tc>
          <w:tcPr>
            <w:tcW w:w="1867" w:type="pct"/>
            <w:shd w:val="clear" w:color="auto" w:fill="auto"/>
            <w:noWrap w:val="0"/>
            <w:vAlign w:val="center"/>
          </w:tcPr>
          <w:p w14:paraId="31D59FEA">
            <w:pPr>
              <w:pStyle w:val="182"/>
              <w:rPr>
                <w:rFonts w:hint="eastAsia"/>
                <w:color w:val="auto"/>
                <w:lang w:val="en-US" w:eastAsia="zh-CN"/>
              </w:rPr>
            </w:pPr>
            <w:r>
              <w:rPr>
                <w:rFonts w:hint="eastAsia"/>
                <w:color w:val="auto"/>
                <w:lang w:val="en-US" w:eastAsia="zh-CN"/>
              </w:rPr>
              <w:t>姚庄村</w:t>
            </w:r>
          </w:p>
        </w:tc>
        <w:tc>
          <w:tcPr>
            <w:tcW w:w="991" w:type="pct"/>
            <w:shd w:val="clear" w:color="auto" w:fill="auto"/>
            <w:noWrap w:val="0"/>
            <w:vAlign w:val="center"/>
          </w:tcPr>
          <w:p w14:paraId="311E44AA">
            <w:pPr>
              <w:pStyle w:val="182"/>
              <w:rPr>
                <w:rFonts w:hint="eastAsia"/>
                <w:color w:val="auto"/>
                <w:lang w:val="en-US" w:eastAsia="zh-CN"/>
              </w:rPr>
            </w:pPr>
            <w:r>
              <w:rPr>
                <w:rFonts w:hint="eastAsia"/>
                <w:color w:val="auto"/>
                <w:lang w:val="en-US" w:eastAsia="zh-CN"/>
              </w:rPr>
              <w:t>西南</w:t>
            </w:r>
          </w:p>
        </w:tc>
        <w:tc>
          <w:tcPr>
            <w:tcW w:w="1410" w:type="pct"/>
            <w:tcBorders>
              <w:right w:val="single" w:color="000000" w:sz="6" w:space="0"/>
            </w:tcBorders>
            <w:shd w:val="clear" w:color="auto" w:fill="auto"/>
            <w:noWrap w:val="0"/>
            <w:vAlign w:val="center"/>
          </w:tcPr>
          <w:p w14:paraId="0F26AF7D">
            <w:pPr>
              <w:pStyle w:val="182"/>
              <w:rPr>
                <w:rFonts w:hint="eastAsia"/>
                <w:color w:val="auto"/>
                <w:lang w:val="en-US" w:eastAsia="zh-CN"/>
              </w:rPr>
            </w:pPr>
            <w:r>
              <w:rPr>
                <w:rFonts w:hint="eastAsia"/>
                <w:color w:val="auto"/>
                <w:lang w:val="en-US" w:eastAsia="zh-CN"/>
              </w:rPr>
              <w:t>1100</w:t>
            </w:r>
          </w:p>
        </w:tc>
      </w:tr>
      <w:tr w14:paraId="120D87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732" w:type="pct"/>
            <w:tcBorders>
              <w:left w:val="single" w:color="000000" w:sz="6" w:space="0"/>
            </w:tcBorders>
            <w:shd w:val="clear" w:color="auto" w:fill="auto"/>
            <w:noWrap w:val="0"/>
            <w:vAlign w:val="center"/>
          </w:tcPr>
          <w:p w14:paraId="3259D388">
            <w:pPr>
              <w:pStyle w:val="182"/>
              <w:rPr>
                <w:rFonts w:hint="eastAsia"/>
                <w:color w:val="auto"/>
                <w:lang w:val="en-US" w:eastAsia="zh-CN"/>
              </w:rPr>
            </w:pPr>
            <w:r>
              <w:rPr>
                <w:rFonts w:hint="eastAsia"/>
                <w:color w:val="auto"/>
                <w:lang w:val="en-US" w:eastAsia="zh-CN"/>
              </w:rPr>
              <w:t>2#</w:t>
            </w:r>
          </w:p>
        </w:tc>
        <w:tc>
          <w:tcPr>
            <w:tcW w:w="1867" w:type="pct"/>
            <w:shd w:val="clear" w:color="auto" w:fill="auto"/>
            <w:noWrap w:val="0"/>
            <w:vAlign w:val="center"/>
          </w:tcPr>
          <w:p w14:paraId="6CE0AAEF">
            <w:pPr>
              <w:pStyle w:val="182"/>
              <w:rPr>
                <w:rFonts w:hint="eastAsia"/>
                <w:color w:val="auto"/>
                <w:lang w:val="en-US" w:eastAsia="zh-CN"/>
              </w:rPr>
            </w:pPr>
            <w:r>
              <w:rPr>
                <w:rFonts w:hint="eastAsia"/>
                <w:color w:val="auto"/>
                <w:lang w:val="en-US" w:eastAsia="zh-CN"/>
              </w:rPr>
              <w:t>夏庄村</w:t>
            </w:r>
          </w:p>
        </w:tc>
        <w:tc>
          <w:tcPr>
            <w:tcW w:w="991" w:type="pct"/>
            <w:shd w:val="clear" w:color="auto" w:fill="auto"/>
            <w:noWrap w:val="0"/>
            <w:vAlign w:val="center"/>
          </w:tcPr>
          <w:p w14:paraId="31EF6427">
            <w:pPr>
              <w:pStyle w:val="182"/>
              <w:rPr>
                <w:rFonts w:hint="eastAsia"/>
                <w:color w:val="auto"/>
                <w:lang w:val="en-US" w:eastAsia="zh-CN"/>
              </w:rPr>
            </w:pPr>
            <w:r>
              <w:rPr>
                <w:rFonts w:hint="eastAsia"/>
                <w:color w:val="auto"/>
                <w:lang w:val="en-US" w:eastAsia="zh-CN"/>
              </w:rPr>
              <w:t>西</w:t>
            </w:r>
          </w:p>
        </w:tc>
        <w:tc>
          <w:tcPr>
            <w:tcW w:w="1410" w:type="pct"/>
            <w:tcBorders>
              <w:right w:val="single" w:color="000000" w:sz="6" w:space="0"/>
            </w:tcBorders>
            <w:shd w:val="clear" w:color="auto" w:fill="auto"/>
            <w:noWrap w:val="0"/>
            <w:vAlign w:val="center"/>
          </w:tcPr>
          <w:p w14:paraId="05F56F35">
            <w:pPr>
              <w:pStyle w:val="182"/>
              <w:rPr>
                <w:rFonts w:hint="eastAsia"/>
                <w:color w:val="auto"/>
                <w:lang w:val="en-US" w:eastAsia="zh-CN"/>
              </w:rPr>
            </w:pPr>
            <w:r>
              <w:rPr>
                <w:rFonts w:hint="eastAsia"/>
                <w:color w:val="auto"/>
                <w:lang w:val="en-US" w:eastAsia="zh-CN"/>
              </w:rPr>
              <w:t>860</w:t>
            </w:r>
          </w:p>
        </w:tc>
      </w:tr>
      <w:tr w14:paraId="35C688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732" w:type="pct"/>
            <w:tcBorders>
              <w:left w:val="single" w:color="000000" w:sz="6" w:space="0"/>
            </w:tcBorders>
            <w:shd w:val="clear" w:color="auto" w:fill="auto"/>
            <w:noWrap w:val="0"/>
            <w:vAlign w:val="center"/>
          </w:tcPr>
          <w:p w14:paraId="43AE177E">
            <w:pPr>
              <w:pStyle w:val="182"/>
              <w:rPr>
                <w:rFonts w:hint="eastAsia"/>
                <w:color w:val="auto"/>
                <w:lang w:val="en-US" w:eastAsia="zh-CN"/>
              </w:rPr>
            </w:pPr>
            <w:r>
              <w:rPr>
                <w:rFonts w:hint="eastAsia"/>
                <w:color w:val="auto"/>
                <w:lang w:val="en-US" w:eastAsia="zh-CN"/>
              </w:rPr>
              <w:t>3#</w:t>
            </w:r>
          </w:p>
        </w:tc>
        <w:tc>
          <w:tcPr>
            <w:tcW w:w="1867" w:type="pct"/>
            <w:shd w:val="clear" w:color="auto" w:fill="auto"/>
            <w:noWrap w:val="0"/>
            <w:vAlign w:val="center"/>
          </w:tcPr>
          <w:p w14:paraId="05AF5053">
            <w:pPr>
              <w:pStyle w:val="182"/>
              <w:rPr>
                <w:rFonts w:hint="eastAsia"/>
                <w:color w:val="auto"/>
                <w:lang w:val="en-US" w:eastAsia="zh-CN"/>
              </w:rPr>
            </w:pPr>
            <w:r>
              <w:rPr>
                <w:rFonts w:hint="eastAsia"/>
                <w:color w:val="auto"/>
                <w:lang w:val="en-US" w:eastAsia="zh-CN"/>
              </w:rPr>
              <w:t>化纤厂厂区</w:t>
            </w:r>
          </w:p>
        </w:tc>
        <w:tc>
          <w:tcPr>
            <w:tcW w:w="991" w:type="pct"/>
            <w:shd w:val="clear" w:color="auto" w:fill="auto"/>
            <w:noWrap w:val="0"/>
            <w:vAlign w:val="center"/>
          </w:tcPr>
          <w:p w14:paraId="6BA6F6FD">
            <w:pPr>
              <w:pStyle w:val="182"/>
              <w:rPr>
                <w:rFonts w:hint="eastAsia"/>
                <w:color w:val="auto"/>
                <w:lang w:val="en-US" w:eastAsia="zh-CN"/>
              </w:rPr>
            </w:pPr>
            <w:r>
              <w:rPr>
                <w:rFonts w:hint="eastAsia"/>
                <w:color w:val="auto"/>
                <w:lang w:val="en-US" w:eastAsia="zh-CN"/>
              </w:rPr>
              <w:t>北</w:t>
            </w:r>
          </w:p>
        </w:tc>
        <w:tc>
          <w:tcPr>
            <w:tcW w:w="1410" w:type="pct"/>
            <w:tcBorders>
              <w:right w:val="single" w:color="000000" w:sz="6" w:space="0"/>
            </w:tcBorders>
            <w:shd w:val="clear" w:color="auto" w:fill="auto"/>
            <w:noWrap w:val="0"/>
            <w:vAlign w:val="center"/>
          </w:tcPr>
          <w:p w14:paraId="587B4862">
            <w:pPr>
              <w:pStyle w:val="182"/>
              <w:rPr>
                <w:rFonts w:hint="eastAsia"/>
                <w:color w:val="auto"/>
                <w:lang w:val="en-US" w:eastAsia="zh-CN"/>
              </w:rPr>
            </w:pPr>
            <w:r>
              <w:rPr>
                <w:rFonts w:hint="eastAsia"/>
                <w:color w:val="auto"/>
                <w:lang w:val="en-US" w:eastAsia="zh-CN"/>
              </w:rPr>
              <w:t>\</w:t>
            </w:r>
          </w:p>
        </w:tc>
      </w:tr>
      <w:tr w14:paraId="1D8402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732" w:type="pct"/>
            <w:tcBorders>
              <w:left w:val="single" w:color="000000" w:sz="6" w:space="0"/>
            </w:tcBorders>
            <w:shd w:val="clear" w:color="auto" w:fill="auto"/>
            <w:noWrap w:val="0"/>
            <w:vAlign w:val="center"/>
          </w:tcPr>
          <w:p w14:paraId="3058CADB">
            <w:pPr>
              <w:pStyle w:val="182"/>
              <w:rPr>
                <w:rFonts w:hint="eastAsia"/>
                <w:color w:val="auto"/>
                <w:lang w:val="en-US" w:eastAsia="zh-CN"/>
              </w:rPr>
            </w:pPr>
            <w:r>
              <w:rPr>
                <w:rFonts w:hint="eastAsia"/>
                <w:color w:val="auto"/>
                <w:lang w:val="en-US" w:eastAsia="zh-CN"/>
              </w:rPr>
              <w:t>4#</w:t>
            </w:r>
          </w:p>
        </w:tc>
        <w:tc>
          <w:tcPr>
            <w:tcW w:w="1867" w:type="pct"/>
            <w:shd w:val="clear" w:color="auto" w:fill="auto"/>
            <w:noWrap w:val="0"/>
            <w:vAlign w:val="center"/>
          </w:tcPr>
          <w:p w14:paraId="2B82F6FE">
            <w:pPr>
              <w:pStyle w:val="182"/>
              <w:rPr>
                <w:rFonts w:hint="eastAsia"/>
                <w:color w:val="auto"/>
                <w:lang w:val="en-US" w:eastAsia="zh-CN"/>
              </w:rPr>
            </w:pPr>
            <w:r>
              <w:rPr>
                <w:rFonts w:hint="eastAsia"/>
                <w:color w:val="auto"/>
                <w:lang w:val="en-US" w:eastAsia="zh-CN"/>
              </w:rPr>
              <w:t>双鹭药业</w:t>
            </w:r>
          </w:p>
        </w:tc>
        <w:tc>
          <w:tcPr>
            <w:tcW w:w="991" w:type="pct"/>
            <w:shd w:val="clear" w:color="auto" w:fill="auto"/>
            <w:noWrap w:val="0"/>
            <w:vAlign w:val="center"/>
          </w:tcPr>
          <w:p w14:paraId="52B555C6">
            <w:pPr>
              <w:pStyle w:val="182"/>
              <w:rPr>
                <w:rFonts w:hint="eastAsia"/>
                <w:color w:val="auto"/>
                <w:lang w:val="en-US" w:eastAsia="zh-CN"/>
              </w:rPr>
            </w:pPr>
            <w:r>
              <w:rPr>
                <w:rFonts w:hint="eastAsia"/>
                <w:color w:val="auto"/>
                <w:lang w:val="en-US" w:eastAsia="zh-CN"/>
              </w:rPr>
              <w:t>东北</w:t>
            </w:r>
          </w:p>
        </w:tc>
        <w:tc>
          <w:tcPr>
            <w:tcW w:w="1410" w:type="pct"/>
            <w:tcBorders>
              <w:right w:val="single" w:color="000000" w:sz="6" w:space="0"/>
            </w:tcBorders>
            <w:shd w:val="clear" w:color="auto" w:fill="auto"/>
            <w:noWrap w:val="0"/>
            <w:vAlign w:val="center"/>
          </w:tcPr>
          <w:p w14:paraId="45FC6FD3">
            <w:pPr>
              <w:pStyle w:val="182"/>
              <w:rPr>
                <w:rFonts w:hint="eastAsia"/>
                <w:color w:val="auto"/>
                <w:lang w:val="en-US" w:eastAsia="zh-CN"/>
              </w:rPr>
            </w:pPr>
            <w:r>
              <w:rPr>
                <w:rFonts w:hint="eastAsia"/>
                <w:color w:val="auto"/>
                <w:lang w:val="en-US" w:eastAsia="zh-CN"/>
              </w:rPr>
              <w:t>1300</w:t>
            </w:r>
          </w:p>
        </w:tc>
      </w:tr>
      <w:tr w14:paraId="176ED9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732" w:type="pct"/>
            <w:tcBorders>
              <w:left w:val="single" w:color="000000" w:sz="6" w:space="0"/>
            </w:tcBorders>
            <w:shd w:val="clear" w:color="auto" w:fill="auto"/>
            <w:noWrap w:val="0"/>
            <w:vAlign w:val="center"/>
          </w:tcPr>
          <w:p w14:paraId="186D3A74">
            <w:pPr>
              <w:pStyle w:val="182"/>
              <w:rPr>
                <w:rFonts w:hint="eastAsia"/>
                <w:color w:val="auto"/>
                <w:lang w:val="en-US" w:eastAsia="zh-CN"/>
              </w:rPr>
            </w:pPr>
            <w:r>
              <w:rPr>
                <w:rFonts w:hint="eastAsia"/>
                <w:color w:val="auto"/>
                <w:lang w:val="en-US" w:eastAsia="zh-CN"/>
              </w:rPr>
              <w:t>5#</w:t>
            </w:r>
          </w:p>
        </w:tc>
        <w:tc>
          <w:tcPr>
            <w:tcW w:w="1867" w:type="pct"/>
            <w:shd w:val="clear" w:color="auto" w:fill="auto"/>
            <w:noWrap w:val="0"/>
            <w:vAlign w:val="center"/>
          </w:tcPr>
          <w:p w14:paraId="212BD84D">
            <w:pPr>
              <w:pStyle w:val="182"/>
              <w:rPr>
                <w:rFonts w:hint="eastAsia"/>
                <w:color w:val="auto"/>
                <w:lang w:val="en-US" w:eastAsia="zh-CN"/>
              </w:rPr>
            </w:pPr>
            <w:r>
              <w:rPr>
                <w:rFonts w:hint="eastAsia"/>
                <w:color w:val="auto"/>
                <w:lang w:val="en-US" w:eastAsia="zh-CN"/>
              </w:rPr>
              <w:t>大杨庄村</w:t>
            </w:r>
          </w:p>
        </w:tc>
        <w:tc>
          <w:tcPr>
            <w:tcW w:w="991" w:type="pct"/>
            <w:shd w:val="clear" w:color="auto" w:fill="auto"/>
            <w:noWrap w:val="0"/>
            <w:vAlign w:val="center"/>
          </w:tcPr>
          <w:p w14:paraId="7A6EAF52">
            <w:pPr>
              <w:pStyle w:val="182"/>
              <w:rPr>
                <w:rFonts w:hint="eastAsia"/>
                <w:color w:val="auto"/>
                <w:lang w:val="en-US" w:eastAsia="zh-CN"/>
              </w:rPr>
            </w:pPr>
            <w:r>
              <w:rPr>
                <w:rFonts w:hint="eastAsia"/>
                <w:color w:val="auto"/>
                <w:lang w:val="en-US" w:eastAsia="zh-CN"/>
              </w:rPr>
              <w:t>东</w:t>
            </w:r>
          </w:p>
        </w:tc>
        <w:tc>
          <w:tcPr>
            <w:tcW w:w="1410" w:type="pct"/>
            <w:tcBorders>
              <w:right w:val="single" w:color="000000" w:sz="6" w:space="0"/>
            </w:tcBorders>
            <w:shd w:val="clear" w:color="auto" w:fill="auto"/>
            <w:noWrap w:val="0"/>
            <w:vAlign w:val="center"/>
          </w:tcPr>
          <w:p w14:paraId="730DDB64">
            <w:pPr>
              <w:pStyle w:val="182"/>
              <w:rPr>
                <w:rFonts w:hint="eastAsia"/>
                <w:color w:val="auto"/>
                <w:lang w:val="en-US" w:eastAsia="zh-CN"/>
              </w:rPr>
            </w:pPr>
            <w:r>
              <w:rPr>
                <w:rFonts w:hint="eastAsia"/>
                <w:color w:val="auto"/>
                <w:lang w:val="en-US" w:eastAsia="zh-CN"/>
              </w:rPr>
              <w:t>1800</w:t>
            </w:r>
          </w:p>
        </w:tc>
      </w:tr>
      <w:tr w14:paraId="70C8CA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732" w:type="pct"/>
            <w:tcBorders>
              <w:left w:val="single" w:color="000000" w:sz="6" w:space="0"/>
            </w:tcBorders>
            <w:shd w:val="clear" w:color="auto" w:fill="auto"/>
            <w:noWrap w:val="0"/>
            <w:vAlign w:val="center"/>
          </w:tcPr>
          <w:p w14:paraId="597EB3CA">
            <w:pPr>
              <w:pStyle w:val="182"/>
              <w:rPr>
                <w:rFonts w:hint="eastAsia"/>
                <w:color w:val="auto"/>
                <w:lang w:val="en-US" w:eastAsia="zh-CN"/>
              </w:rPr>
            </w:pPr>
            <w:r>
              <w:rPr>
                <w:rFonts w:hint="eastAsia"/>
                <w:color w:val="auto"/>
                <w:lang w:val="en-US" w:eastAsia="zh-CN"/>
              </w:rPr>
              <w:t>6#</w:t>
            </w:r>
          </w:p>
        </w:tc>
        <w:tc>
          <w:tcPr>
            <w:tcW w:w="1867" w:type="pct"/>
            <w:shd w:val="clear" w:color="auto" w:fill="auto"/>
            <w:noWrap w:val="0"/>
            <w:vAlign w:val="center"/>
          </w:tcPr>
          <w:p w14:paraId="78D28031">
            <w:pPr>
              <w:pStyle w:val="182"/>
              <w:rPr>
                <w:rFonts w:hint="eastAsia"/>
                <w:color w:val="auto"/>
                <w:lang w:val="en-US" w:eastAsia="zh-CN"/>
              </w:rPr>
            </w:pPr>
            <w:r>
              <w:rPr>
                <w:rFonts w:hint="eastAsia"/>
                <w:color w:val="auto"/>
                <w:lang w:val="en-US" w:eastAsia="zh-CN"/>
              </w:rPr>
              <w:t>张河村</w:t>
            </w:r>
          </w:p>
        </w:tc>
        <w:tc>
          <w:tcPr>
            <w:tcW w:w="991" w:type="pct"/>
            <w:shd w:val="clear" w:color="auto" w:fill="auto"/>
            <w:noWrap w:val="0"/>
            <w:vAlign w:val="center"/>
          </w:tcPr>
          <w:p w14:paraId="7AFC6371">
            <w:pPr>
              <w:pStyle w:val="182"/>
              <w:rPr>
                <w:rFonts w:hint="eastAsia"/>
                <w:color w:val="auto"/>
                <w:lang w:val="en-US" w:eastAsia="zh-CN"/>
              </w:rPr>
            </w:pPr>
            <w:r>
              <w:rPr>
                <w:rFonts w:hint="eastAsia"/>
                <w:color w:val="auto"/>
                <w:lang w:val="en-US" w:eastAsia="zh-CN"/>
              </w:rPr>
              <w:t>东南</w:t>
            </w:r>
          </w:p>
        </w:tc>
        <w:tc>
          <w:tcPr>
            <w:tcW w:w="1410" w:type="pct"/>
            <w:tcBorders>
              <w:right w:val="single" w:color="000000" w:sz="6" w:space="0"/>
            </w:tcBorders>
            <w:shd w:val="clear" w:color="auto" w:fill="auto"/>
            <w:noWrap w:val="0"/>
            <w:vAlign w:val="center"/>
          </w:tcPr>
          <w:p w14:paraId="401C9733">
            <w:pPr>
              <w:pStyle w:val="182"/>
              <w:rPr>
                <w:rFonts w:hint="eastAsia"/>
                <w:color w:val="auto"/>
                <w:lang w:val="en-US" w:eastAsia="zh-CN"/>
              </w:rPr>
            </w:pPr>
            <w:r>
              <w:rPr>
                <w:rFonts w:hint="eastAsia"/>
                <w:color w:val="auto"/>
                <w:lang w:val="en-US" w:eastAsia="zh-CN"/>
              </w:rPr>
              <w:t>3000</w:t>
            </w:r>
          </w:p>
        </w:tc>
      </w:tr>
      <w:tr w14:paraId="1042FA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732" w:type="pct"/>
            <w:tcBorders>
              <w:left w:val="single" w:color="000000" w:sz="6" w:space="0"/>
            </w:tcBorders>
            <w:shd w:val="clear" w:color="auto" w:fill="auto"/>
            <w:noWrap w:val="0"/>
            <w:vAlign w:val="center"/>
          </w:tcPr>
          <w:p w14:paraId="5B883B43">
            <w:pPr>
              <w:pStyle w:val="182"/>
              <w:rPr>
                <w:rFonts w:hint="eastAsia"/>
                <w:color w:val="auto"/>
                <w:lang w:val="en-US" w:eastAsia="zh-CN"/>
              </w:rPr>
            </w:pPr>
            <w:r>
              <w:rPr>
                <w:rFonts w:hint="eastAsia"/>
                <w:color w:val="auto"/>
                <w:lang w:val="en-US" w:eastAsia="zh-CN"/>
              </w:rPr>
              <w:t>7#</w:t>
            </w:r>
          </w:p>
        </w:tc>
        <w:tc>
          <w:tcPr>
            <w:tcW w:w="1867" w:type="pct"/>
            <w:shd w:val="clear" w:color="auto" w:fill="auto"/>
            <w:noWrap w:val="0"/>
            <w:vAlign w:val="center"/>
          </w:tcPr>
          <w:p w14:paraId="351B9762">
            <w:pPr>
              <w:pStyle w:val="182"/>
              <w:rPr>
                <w:rFonts w:hint="eastAsia"/>
                <w:color w:val="auto"/>
                <w:lang w:val="en-US" w:eastAsia="zh-CN"/>
              </w:rPr>
            </w:pPr>
            <w:r>
              <w:rPr>
                <w:rFonts w:hint="eastAsia"/>
                <w:color w:val="auto"/>
                <w:lang w:val="en-US" w:eastAsia="zh-CN"/>
              </w:rPr>
              <w:t>新联学院</w:t>
            </w:r>
          </w:p>
        </w:tc>
        <w:tc>
          <w:tcPr>
            <w:tcW w:w="991" w:type="pct"/>
            <w:shd w:val="clear" w:color="auto" w:fill="auto"/>
            <w:noWrap w:val="0"/>
            <w:vAlign w:val="center"/>
          </w:tcPr>
          <w:p w14:paraId="2D109445">
            <w:pPr>
              <w:pStyle w:val="182"/>
              <w:rPr>
                <w:rFonts w:hint="eastAsia"/>
                <w:color w:val="auto"/>
                <w:lang w:val="en-US" w:eastAsia="zh-CN"/>
              </w:rPr>
            </w:pPr>
            <w:r>
              <w:rPr>
                <w:rFonts w:hint="eastAsia"/>
                <w:color w:val="auto"/>
                <w:lang w:val="en-US" w:eastAsia="zh-CN"/>
              </w:rPr>
              <w:t>东北</w:t>
            </w:r>
          </w:p>
        </w:tc>
        <w:tc>
          <w:tcPr>
            <w:tcW w:w="1410" w:type="pct"/>
            <w:tcBorders>
              <w:right w:val="single" w:color="000000" w:sz="6" w:space="0"/>
            </w:tcBorders>
            <w:shd w:val="clear" w:color="auto" w:fill="auto"/>
            <w:noWrap w:val="0"/>
            <w:vAlign w:val="center"/>
          </w:tcPr>
          <w:p w14:paraId="6F6A4C83">
            <w:pPr>
              <w:pStyle w:val="182"/>
              <w:rPr>
                <w:rFonts w:hint="eastAsia"/>
                <w:color w:val="auto"/>
                <w:lang w:val="en-US" w:eastAsia="zh-CN"/>
              </w:rPr>
            </w:pPr>
            <w:r>
              <w:rPr>
                <w:rFonts w:hint="eastAsia"/>
                <w:color w:val="auto"/>
                <w:lang w:val="en-US" w:eastAsia="zh-CN"/>
              </w:rPr>
              <w:t>1900</w:t>
            </w:r>
          </w:p>
        </w:tc>
      </w:tr>
      <w:tr w14:paraId="6A28E9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732" w:type="pct"/>
            <w:tcBorders>
              <w:left w:val="single" w:color="000000" w:sz="6" w:space="0"/>
            </w:tcBorders>
            <w:shd w:val="clear" w:color="auto" w:fill="auto"/>
            <w:noWrap w:val="0"/>
            <w:vAlign w:val="center"/>
          </w:tcPr>
          <w:p w14:paraId="2958082C">
            <w:pPr>
              <w:pStyle w:val="182"/>
              <w:rPr>
                <w:rFonts w:hint="eastAsia"/>
                <w:color w:val="auto"/>
                <w:lang w:val="en-US" w:eastAsia="zh-CN"/>
              </w:rPr>
            </w:pPr>
            <w:r>
              <w:rPr>
                <w:rFonts w:hint="eastAsia"/>
                <w:color w:val="auto"/>
                <w:lang w:val="en-US" w:eastAsia="zh-CN"/>
              </w:rPr>
              <w:t>8#</w:t>
            </w:r>
          </w:p>
        </w:tc>
        <w:tc>
          <w:tcPr>
            <w:tcW w:w="1867" w:type="pct"/>
            <w:shd w:val="clear" w:color="auto" w:fill="auto"/>
            <w:noWrap w:val="0"/>
            <w:vAlign w:val="center"/>
          </w:tcPr>
          <w:p w14:paraId="2735CC35">
            <w:pPr>
              <w:pStyle w:val="182"/>
              <w:rPr>
                <w:rFonts w:hint="eastAsia"/>
                <w:color w:val="auto"/>
                <w:lang w:val="en-US" w:eastAsia="zh-CN"/>
              </w:rPr>
            </w:pPr>
            <w:r>
              <w:rPr>
                <w:rFonts w:hint="eastAsia"/>
                <w:color w:val="auto"/>
                <w:lang w:val="en-US" w:eastAsia="zh-CN"/>
              </w:rPr>
              <w:t>魏堤社区</w:t>
            </w:r>
          </w:p>
        </w:tc>
        <w:tc>
          <w:tcPr>
            <w:tcW w:w="991" w:type="pct"/>
            <w:shd w:val="clear" w:color="auto" w:fill="auto"/>
            <w:noWrap w:val="0"/>
            <w:vAlign w:val="center"/>
          </w:tcPr>
          <w:p w14:paraId="78A5CF1D">
            <w:pPr>
              <w:pStyle w:val="182"/>
              <w:rPr>
                <w:rFonts w:hint="eastAsia"/>
                <w:color w:val="auto"/>
                <w:lang w:val="en-US" w:eastAsia="zh-CN"/>
              </w:rPr>
            </w:pPr>
            <w:r>
              <w:rPr>
                <w:rFonts w:hint="eastAsia"/>
                <w:color w:val="auto"/>
                <w:lang w:val="en-US" w:eastAsia="zh-CN"/>
              </w:rPr>
              <w:t>西北</w:t>
            </w:r>
          </w:p>
        </w:tc>
        <w:tc>
          <w:tcPr>
            <w:tcW w:w="1410" w:type="pct"/>
            <w:tcBorders>
              <w:right w:val="single" w:color="000000" w:sz="6" w:space="0"/>
            </w:tcBorders>
            <w:shd w:val="clear" w:color="auto" w:fill="auto"/>
            <w:noWrap w:val="0"/>
            <w:vAlign w:val="top"/>
          </w:tcPr>
          <w:p w14:paraId="40CF6625">
            <w:pPr>
              <w:pStyle w:val="182"/>
              <w:rPr>
                <w:rFonts w:hint="eastAsia"/>
                <w:color w:val="auto"/>
                <w:lang w:val="en-US" w:eastAsia="zh-CN"/>
              </w:rPr>
            </w:pPr>
            <w:r>
              <w:rPr>
                <w:rFonts w:hint="eastAsia"/>
                <w:color w:val="auto"/>
                <w:lang w:val="en-US" w:eastAsia="zh-CN"/>
              </w:rPr>
              <w:t>2200</w:t>
            </w:r>
          </w:p>
        </w:tc>
      </w:tr>
      <w:tr w14:paraId="0CA223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732" w:type="pct"/>
            <w:tcBorders>
              <w:left w:val="single" w:color="000000" w:sz="6" w:space="0"/>
            </w:tcBorders>
            <w:shd w:val="clear" w:color="auto" w:fill="auto"/>
            <w:noWrap w:val="0"/>
            <w:vAlign w:val="center"/>
          </w:tcPr>
          <w:p w14:paraId="7A0A0472">
            <w:pPr>
              <w:pStyle w:val="182"/>
              <w:rPr>
                <w:rFonts w:hint="eastAsia"/>
                <w:color w:val="auto"/>
                <w:lang w:val="en-US" w:eastAsia="zh-CN"/>
              </w:rPr>
            </w:pPr>
            <w:r>
              <w:rPr>
                <w:rFonts w:hint="eastAsia"/>
                <w:color w:val="auto"/>
                <w:lang w:val="en-US" w:eastAsia="zh-CN"/>
              </w:rPr>
              <w:t>9#</w:t>
            </w:r>
          </w:p>
        </w:tc>
        <w:tc>
          <w:tcPr>
            <w:tcW w:w="1867" w:type="pct"/>
            <w:shd w:val="clear" w:color="auto" w:fill="auto"/>
            <w:noWrap w:val="0"/>
            <w:vAlign w:val="center"/>
          </w:tcPr>
          <w:p w14:paraId="6B16352A">
            <w:pPr>
              <w:pStyle w:val="182"/>
              <w:rPr>
                <w:rFonts w:hint="eastAsia"/>
                <w:color w:val="auto"/>
                <w:lang w:val="en-US" w:eastAsia="zh-CN"/>
              </w:rPr>
            </w:pPr>
            <w:r>
              <w:rPr>
                <w:rFonts w:hint="eastAsia"/>
                <w:color w:val="auto"/>
                <w:lang w:val="en-US" w:eastAsia="zh-CN"/>
              </w:rPr>
              <w:t>北张兴庄村</w:t>
            </w:r>
          </w:p>
        </w:tc>
        <w:tc>
          <w:tcPr>
            <w:tcW w:w="991" w:type="pct"/>
            <w:shd w:val="clear" w:color="auto" w:fill="auto"/>
            <w:noWrap w:val="0"/>
            <w:vAlign w:val="center"/>
          </w:tcPr>
          <w:p w14:paraId="5E3FF916">
            <w:pPr>
              <w:pStyle w:val="182"/>
              <w:rPr>
                <w:rFonts w:hint="eastAsia"/>
                <w:color w:val="auto"/>
                <w:lang w:val="en-US" w:eastAsia="zh-CN"/>
              </w:rPr>
            </w:pPr>
            <w:r>
              <w:rPr>
                <w:rFonts w:hint="eastAsia"/>
                <w:color w:val="auto"/>
                <w:lang w:val="en-US" w:eastAsia="zh-CN"/>
              </w:rPr>
              <w:t>东北</w:t>
            </w:r>
          </w:p>
        </w:tc>
        <w:tc>
          <w:tcPr>
            <w:tcW w:w="1410" w:type="pct"/>
            <w:tcBorders>
              <w:right w:val="single" w:color="000000" w:sz="6" w:space="0"/>
            </w:tcBorders>
            <w:shd w:val="clear" w:color="auto" w:fill="auto"/>
            <w:noWrap w:val="0"/>
            <w:vAlign w:val="top"/>
          </w:tcPr>
          <w:p w14:paraId="160F6B72">
            <w:pPr>
              <w:pStyle w:val="182"/>
              <w:rPr>
                <w:rFonts w:hint="eastAsia"/>
                <w:color w:val="auto"/>
                <w:lang w:val="en-US" w:eastAsia="zh-CN"/>
              </w:rPr>
            </w:pPr>
            <w:r>
              <w:rPr>
                <w:rFonts w:hint="eastAsia"/>
                <w:color w:val="auto"/>
                <w:lang w:val="en-US" w:eastAsia="zh-CN"/>
              </w:rPr>
              <w:t>2300</w:t>
            </w:r>
          </w:p>
        </w:tc>
      </w:tr>
      <w:tr w14:paraId="61F890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732" w:type="pct"/>
            <w:tcBorders>
              <w:left w:val="single" w:color="000000" w:sz="6" w:space="0"/>
            </w:tcBorders>
            <w:shd w:val="clear" w:color="auto" w:fill="auto"/>
            <w:noWrap w:val="0"/>
            <w:vAlign w:val="center"/>
          </w:tcPr>
          <w:p w14:paraId="351002D1">
            <w:pPr>
              <w:pStyle w:val="182"/>
              <w:rPr>
                <w:rFonts w:hint="eastAsia"/>
                <w:color w:val="auto"/>
                <w:lang w:val="en-US" w:eastAsia="zh-CN"/>
              </w:rPr>
            </w:pPr>
            <w:r>
              <w:rPr>
                <w:rFonts w:hint="eastAsia"/>
                <w:color w:val="auto"/>
                <w:lang w:val="en-US" w:eastAsia="zh-CN"/>
              </w:rPr>
              <w:t>10#</w:t>
            </w:r>
          </w:p>
        </w:tc>
        <w:tc>
          <w:tcPr>
            <w:tcW w:w="1867" w:type="pct"/>
            <w:shd w:val="clear" w:color="auto" w:fill="auto"/>
            <w:noWrap w:val="0"/>
            <w:vAlign w:val="center"/>
          </w:tcPr>
          <w:p w14:paraId="6B7A2E12">
            <w:pPr>
              <w:pStyle w:val="182"/>
              <w:rPr>
                <w:rFonts w:hint="eastAsia"/>
                <w:color w:val="auto"/>
                <w:lang w:val="en-US" w:eastAsia="zh-CN"/>
              </w:rPr>
            </w:pPr>
            <w:r>
              <w:rPr>
                <w:rFonts w:hint="eastAsia"/>
                <w:color w:val="auto"/>
                <w:lang w:val="en-US" w:eastAsia="zh-CN"/>
              </w:rPr>
              <w:t>沙门村</w:t>
            </w:r>
          </w:p>
        </w:tc>
        <w:tc>
          <w:tcPr>
            <w:tcW w:w="991" w:type="pct"/>
            <w:shd w:val="clear" w:color="auto" w:fill="auto"/>
            <w:noWrap w:val="0"/>
            <w:vAlign w:val="center"/>
          </w:tcPr>
          <w:p w14:paraId="2C4A181F">
            <w:pPr>
              <w:pStyle w:val="182"/>
              <w:rPr>
                <w:rFonts w:hint="eastAsia"/>
                <w:color w:val="auto"/>
                <w:lang w:val="en-US" w:eastAsia="zh-CN"/>
              </w:rPr>
            </w:pPr>
            <w:r>
              <w:rPr>
                <w:rFonts w:hint="eastAsia"/>
                <w:color w:val="auto"/>
                <w:lang w:val="en-US" w:eastAsia="zh-CN"/>
              </w:rPr>
              <w:t>东</w:t>
            </w:r>
          </w:p>
        </w:tc>
        <w:tc>
          <w:tcPr>
            <w:tcW w:w="1410" w:type="pct"/>
            <w:tcBorders>
              <w:right w:val="single" w:color="000000" w:sz="6" w:space="0"/>
            </w:tcBorders>
            <w:shd w:val="clear" w:color="auto" w:fill="auto"/>
            <w:noWrap w:val="0"/>
            <w:vAlign w:val="top"/>
          </w:tcPr>
          <w:p w14:paraId="20D28A1D">
            <w:pPr>
              <w:pStyle w:val="182"/>
              <w:rPr>
                <w:rFonts w:hint="eastAsia"/>
                <w:color w:val="auto"/>
                <w:lang w:val="en-US" w:eastAsia="zh-CN"/>
              </w:rPr>
            </w:pPr>
            <w:r>
              <w:rPr>
                <w:rFonts w:hint="eastAsia"/>
                <w:color w:val="auto"/>
                <w:lang w:val="en-US" w:eastAsia="zh-CN"/>
              </w:rPr>
              <w:t>3000</w:t>
            </w:r>
          </w:p>
        </w:tc>
      </w:tr>
      <w:tr w14:paraId="106796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732" w:type="pct"/>
            <w:tcBorders>
              <w:left w:val="single" w:color="000000" w:sz="6" w:space="0"/>
            </w:tcBorders>
            <w:shd w:val="clear" w:color="auto" w:fill="auto"/>
            <w:noWrap w:val="0"/>
            <w:vAlign w:val="center"/>
          </w:tcPr>
          <w:p w14:paraId="24F2B41A">
            <w:pPr>
              <w:pStyle w:val="182"/>
              <w:rPr>
                <w:rFonts w:hint="eastAsia"/>
                <w:color w:val="auto"/>
                <w:lang w:val="en-US" w:eastAsia="zh-CN"/>
              </w:rPr>
            </w:pPr>
            <w:r>
              <w:rPr>
                <w:rFonts w:hint="eastAsia"/>
                <w:color w:val="auto"/>
                <w:lang w:val="en-US" w:eastAsia="zh-CN"/>
              </w:rPr>
              <w:t>11#</w:t>
            </w:r>
          </w:p>
        </w:tc>
        <w:tc>
          <w:tcPr>
            <w:tcW w:w="1867" w:type="pct"/>
            <w:shd w:val="clear" w:color="auto" w:fill="auto"/>
            <w:noWrap w:val="0"/>
            <w:vAlign w:val="center"/>
          </w:tcPr>
          <w:p w14:paraId="68145EAB">
            <w:pPr>
              <w:pStyle w:val="182"/>
              <w:rPr>
                <w:rFonts w:hint="eastAsia"/>
                <w:color w:val="auto"/>
                <w:lang w:val="en-US" w:eastAsia="zh-CN"/>
              </w:rPr>
            </w:pPr>
            <w:r>
              <w:rPr>
                <w:rFonts w:hint="eastAsia"/>
                <w:color w:val="auto"/>
                <w:lang w:val="en-US" w:eastAsia="zh-CN"/>
              </w:rPr>
              <w:t>新乡职业技术学院</w:t>
            </w:r>
          </w:p>
        </w:tc>
        <w:tc>
          <w:tcPr>
            <w:tcW w:w="991" w:type="pct"/>
            <w:shd w:val="clear" w:color="auto" w:fill="auto"/>
            <w:noWrap w:val="0"/>
            <w:vAlign w:val="center"/>
          </w:tcPr>
          <w:p w14:paraId="032C09C3">
            <w:pPr>
              <w:pStyle w:val="182"/>
              <w:rPr>
                <w:rFonts w:hint="eastAsia"/>
                <w:color w:val="auto"/>
                <w:lang w:val="en-US" w:eastAsia="zh-CN"/>
              </w:rPr>
            </w:pPr>
            <w:r>
              <w:rPr>
                <w:rFonts w:hint="eastAsia"/>
                <w:color w:val="auto"/>
                <w:lang w:val="en-US" w:eastAsia="zh-CN"/>
              </w:rPr>
              <w:t>西</w:t>
            </w:r>
          </w:p>
        </w:tc>
        <w:tc>
          <w:tcPr>
            <w:tcW w:w="1410" w:type="pct"/>
            <w:tcBorders>
              <w:right w:val="single" w:color="000000" w:sz="6" w:space="0"/>
            </w:tcBorders>
            <w:shd w:val="clear" w:color="auto" w:fill="auto"/>
            <w:noWrap w:val="0"/>
            <w:vAlign w:val="top"/>
          </w:tcPr>
          <w:p w14:paraId="07C8A092">
            <w:pPr>
              <w:pStyle w:val="182"/>
              <w:rPr>
                <w:rFonts w:hint="eastAsia"/>
                <w:color w:val="auto"/>
                <w:lang w:val="en-US" w:eastAsia="zh-CN"/>
              </w:rPr>
            </w:pPr>
            <w:r>
              <w:rPr>
                <w:rFonts w:hint="eastAsia"/>
                <w:color w:val="auto"/>
                <w:lang w:val="en-US" w:eastAsia="zh-CN"/>
              </w:rPr>
              <w:t>1600</w:t>
            </w:r>
          </w:p>
        </w:tc>
      </w:tr>
      <w:tr w14:paraId="79C824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732" w:type="pct"/>
            <w:tcBorders>
              <w:left w:val="single" w:color="000000" w:sz="6" w:space="0"/>
            </w:tcBorders>
            <w:shd w:val="clear" w:color="auto" w:fill="auto"/>
            <w:noWrap w:val="0"/>
            <w:vAlign w:val="center"/>
          </w:tcPr>
          <w:p w14:paraId="1A87AF32">
            <w:pPr>
              <w:pStyle w:val="182"/>
              <w:rPr>
                <w:rFonts w:hint="eastAsia"/>
                <w:color w:val="auto"/>
                <w:lang w:val="en-US" w:eastAsia="zh-CN"/>
              </w:rPr>
            </w:pPr>
            <w:r>
              <w:rPr>
                <w:rFonts w:hint="eastAsia"/>
                <w:color w:val="auto"/>
                <w:lang w:val="en-US" w:eastAsia="zh-CN"/>
              </w:rPr>
              <w:t>12#</w:t>
            </w:r>
          </w:p>
        </w:tc>
        <w:tc>
          <w:tcPr>
            <w:tcW w:w="1867" w:type="pct"/>
            <w:shd w:val="clear" w:color="auto" w:fill="auto"/>
            <w:noWrap w:val="0"/>
            <w:vAlign w:val="center"/>
          </w:tcPr>
          <w:p w14:paraId="5F4034D8">
            <w:pPr>
              <w:pStyle w:val="182"/>
              <w:rPr>
                <w:rFonts w:hint="eastAsia"/>
                <w:color w:val="auto"/>
                <w:lang w:val="en-US" w:eastAsia="zh-CN"/>
              </w:rPr>
            </w:pPr>
            <w:r>
              <w:rPr>
                <w:rFonts w:hint="eastAsia"/>
                <w:color w:val="auto"/>
                <w:lang w:val="en-US" w:eastAsia="zh-CN"/>
              </w:rPr>
              <w:t>获小庄村</w:t>
            </w:r>
          </w:p>
        </w:tc>
        <w:tc>
          <w:tcPr>
            <w:tcW w:w="991" w:type="pct"/>
            <w:shd w:val="clear" w:color="auto" w:fill="auto"/>
            <w:noWrap w:val="0"/>
            <w:vAlign w:val="center"/>
          </w:tcPr>
          <w:p w14:paraId="032BDF12">
            <w:pPr>
              <w:pStyle w:val="182"/>
              <w:rPr>
                <w:rFonts w:hint="eastAsia"/>
                <w:color w:val="auto"/>
                <w:lang w:val="en-US" w:eastAsia="zh-CN"/>
              </w:rPr>
            </w:pPr>
            <w:r>
              <w:rPr>
                <w:rFonts w:hint="eastAsia"/>
                <w:color w:val="auto"/>
                <w:lang w:val="en-US" w:eastAsia="zh-CN"/>
              </w:rPr>
              <w:t>西南</w:t>
            </w:r>
          </w:p>
        </w:tc>
        <w:tc>
          <w:tcPr>
            <w:tcW w:w="1410" w:type="pct"/>
            <w:tcBorders>
              <w:right w:val="single" w:color="000000" w:sz="6" w:space="0"/>
            </w:tcBorders>
            <w:shd w:val="clear" w:color="auto" w:fill="auto"/>
            <w:noWrap w:val="0"/>
            <w:vAlign w:val="center"/>
          </w:tcPr>
          <w:p w14:paraId="6514ACE3">
            <w:pPr>
              <w:pStyle w:val="182"/>
              <w:rPr>
                <w:rFonts w:hint="eastAsia"/>
                <w:color w:val="auto"/>
                <w:lang w:val="en-US" w:eastAsia="zh-CN"/>
              </w:rPr>
            </w:pPr>
            <w:r>
              <w:rPr>
                <w:rFonts w:hint="eastAsia"/>
                <w:color w:val="auto"/>
                <w:lang w:val="en-US" w:eastAsia="zh-CN"/>
              </w:rPr>
              <w:t>1956</w:t>
            </w:r>
          </w:p>
        </w:tc>
      </w:tr>
      <w:tr w14:paraId="78CEE5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732" w:type="pct"/>
            <w:tcBorders>
              <w:left w:val="single" w:color="000000" w:sz="6" w:space="0"/>
            </w:tcBorders>
            <w:shd w:val="clear" w:color="auto" w:fill="auto"/>
            <w:noWrap w:val="0"/>
            <w:vAlign w:val="center"/>
          </w:tcPr>
          <w:p w14:paraId="7F8D960C">
            <w:pPr>
              <w:pStyle w:val="182"/>
              <w:rPr>
                <w:rFonts w:hint="eastAsia"/>
                <w:color w:val="auto"/>
                <w:lang w:val="en-US" w:eastAsia="zh-CN"/>
              </w:rPr>
            </w:pPr>
            <w:r>
              <w:rPr>
                <w:rFonts w:hint="eastAsia"/>
                <w:color w:val="auto"/>
                <w:lang w:val="en-US" w:eastAsia="zh-CN"/>
              </w:rPr>
              <w:t>13#</w:t>
            </w:r>
          </w:p>
        </w:tc>
        <w:tc>
          <w:tcPr>
            <w:tcW w:w="1867" w:type="pct"/>
            <w:shd w:val="clear" w:color="auto" w:fill="auto"/>
            <w:noWrap w:val="0"/>
            <w:vAlign w:val="center"/>
          </w:tcPr>
          <w:p w14:paraId="5F94FB11">
            <w:pPr>
              <w:pStyle w:val="182"/>
              <w:rPr>
                <w:rFonts w:hint="eastAsia"/>
                <w:color w:val="auto"/>
                <w:lang w:val="en-US" w:eastAsia="zh-CN"/>
              </w:rPr>
            </w:pPr>
            <w:r>
              <w:rPr>
                <w:rFonts w:hint="eastAsia"/>
                <w:color w:val="auto"/>
                <w:lang w:val="en-US" w:eastAsia="zh-CN"/>
              </w:rPr>
              <w:t>小杨庄村</w:t>
            </w:r>
          </w:p>
        </w:tc>
        <w:tc>
          <w:tcPr>
            <w:tcW w:w="991" w:type="pct"/>
            <w:shd w:val="clear" w:color="auto" w:fill="auto"/>
            <w:noWrap w:val="0"/>
            <w:vAlign w:val="center"/>
          </w:tcPr>
          <w:p w14:paraId="18563D52">
            <w:pPr>
              <w:pStyle w:val="182"/>
              <w:rPr>
                <w:rFonts w:hint="eastAsia"/>
                <w:color w:val="auto"/>
                <w:lang w:val="en-US" w:eastAsia="zh-CN"/>
              </w:rPr>
            </w:pPr>
            <w:r>
              <w:rPr>
                <w:rFonts w:hint="eastAsia"/>
                <w:color w:val="auto"/>
                <w:lang w:val="en-US" w:eastAsia="zh-CN"/>
              </w:rPr>
              <w:t>东南</w:t>
            </w:r>
          </w:p>
        </w:tc>
        <w:tc>
          <w:tcPr>
            <w:tcW w:w="1410" w:type="pct"/>
            <w:tcBorders>
              <w:right w:val="single" w:color="000000" w:sz="6" w:space="0"/>
            </w:tcBorders>
            <w:shd w:val="clear" w:color="auto" w:fill="auto"/>
            <w:noWrap w:val="0"/>
            <w:vAlign w:val="center"/>
          </w:tcPr>
          <w:p w14:paraId="04BFA683">
            <w:pPr>
              <w:pStyle w:val="182"/>
              <w:rPr>
                <w:rFonts w:hint="eastAsia"/>
                <w:color w:val="auto"/>
                <w:lang w:val="en-US" w:eastAsia="zh-CN"/>
              </w:rPr>
            </w:pPr>
            <w:r>
              <w:rPr>
                <w:rFonts w:hint="eastAsia"/>
                <w:color w:val="auto"/>
                <w:lang w:val="en-US" w:eastAsia="zh-CN"/>
              </w:rPr>
              <w:t>3450</w:t>
            </w:r>
          </w:p>
        </w:tc>
      </w:tr>
      <w:tr w14:paraId="4155BA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732" w:type="pct"/>
            <w:tcBorders>
              <w:left w:val="single" w:color="000000" w:sz="6" w:space="0"/>
              <w:bottom w:val="single" w:color="000000" w:sz="6" w:space="0"/>
            </w:tcBorders>
            <w:shd w:val="clear" w:color="auto" w:fill="auto"/>
            <w:noWrap w:val="0"/>
            <w:vAlign w:val="center"/>
          </w:tcPr>
          <w:p w14:paraId="489B832D">
            <w:pPr>
              <w:pStyle w:val="182"/>
              <w:rPr>
                <w:rFonts w:hint="eastAsia"/>
                <w:color w:val="auto"/>
                <w:lang w:val="en-US" w:eastAsia="zh-CN"/>
              </w:rPr>
            </w:pPr>
            <w:r>
              <w:rPr>
                <w:rFonts w:hint="eastAsia"/>
                <w:color w:val="auto"/>
                <w:lang w:val="en-US" w:eastAsia="zh-CN"/>
              </w:rPr>
              <w:t>14#</w:t>
            </w:r>
          </w:p>
        </w:tc>
        <w:tc>
          <w:tcPr>
            <w:tcW w:w="1867" w:type="pct"/>
            <w:tcBorders>
              <w:bottom w:val="single" w:color="000000" w:sz="6" w:space="0"/>
            </w:tcBorders>
            <w:shd w:val="clear" w:color="auto" w:fill="auto"/>
            <w:noWrap w:val="0"/>
            <w:vAlign w:val="center"/>
          </w:tcPr>
          <w:p w14:paraId="4644D800">
            <w:pPr>
              <w:pStyle w:val="182"/>
              <w:rPr>
                <w:rFonts w:hint="eastAsia"/>
                <w:color w:val="auto"/>
                <w:lang w:val="en-US" w:eastAsia="zh-CN"/>
              </w:rPr>
            </w:pPr>
            <w:r>
              <w:rPr>
                <w:rFonts w:hint="eastAsia"/>
                <w:color w:val="auto"/>
                <w:lang w:val="en-US" w:eastAsia="zh-CN"/>
              </w:rPr>
              <w:t>万里公交驾校</w:t>
            </w:r>
          </w:p>
        </w:tc>
        <w:tc>
          <w:tcPr>
            <w:tcW w:w="991" w:type="pct"/>
            <w:tcBorders>
              <w:bottom w:val="single" w:color="000000" w:sz="6" w:space="0"/>
            </w:tcBorders>
            <w:shd w:val="clear" w:color="auto" w:fill="auto"/>
            <w:noWrap w:val="0"/>
            <w:vAlign w:val="center"/>
          </w:tcPr>
          <w:p w14:paraId="72081259">
            <w:pPr>
              <w:pStyle w:val="182"/>
              <w:rPr>
                <w:rFonts w:hint="eastAsia"/>
                <w:color w:val="auto"/>
                <w:lang w:val="en-US" w:eastAsia="zh-CN"/>
              </w:rPr>
            </w:pPr>
            <w:r>
              <w:rPr>
                <w:rFonts w:hint="eastAsia"/>
                <w:color w:val="auto"/>
                <w:lang w:val="en-US" w:eastAsia="zh-CN"/>
              </w:rPr>
              <w:t>东北</w:t>
            </w:r>
          </w:p>
        </w:tc>
        <w:tc>
          <w:tcPr>
            <w:tcW w:w="1410" w:type="pct"/>
            <w:tcBorders>
              <w:bottom w:val="single" w:color="000000" w:sz="6" w:space="0"/>
              <w:right w:val="single" w:color="000000" w:sz="6" w:space="0"/>
            </w:tcBorders>
            <w:shd w:val="clear" w:color="auto" w:fill="auto"/>
            <w:noWrap w:val="0"/>
            <w:vAlign w:val="center"/>
          </w:tcPr>
          <w:p w14:paraId="2A005110">
            <w:pPr>
              <w:pStyle w:val="182"/>
              <w:rPr>
                <w:rFonts w:hint="eastAsia"/>
                <w:color w:val="auto"/>
                <w:lang w:val="en-US" w:eastAsia="zh-CN"/>
              </w:rPr>
            </w:pPr>
            <w:r>
              <w:rPr>
                <w:rFonts w:hint="eastAsia"/>
                <w:color w:val="auto"/>
                <w:lang w:val="en-US" w:eastAsia="zh-CN"/>
              </w:rPr>
              <w:t>3600</w:t>
            </w:r>
          </w:p>
        </w:tc>
      </w:tr>
    </w:tbl>
    <w:p w14:paraId="321A9FDC">
      <w:pPr>
        <w:pStyle w:val="101"/>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rPr>
      </w:pPr>
    </w:p>
    <w:p w14:paraId="71314118">
      <w:pPr>
        <w:ind w:left="0" w:leftChars="0" w:firstLine="0" w:firstLineChars="0"/>
        <w:rPr>
          <w:rFonts w:hint="eastAsia" w:eastAsia="宋体"/>
          <w:color w:val="auto"/>
          <w:lang w:eastAsia="zh-CN"/>
        </w:rPr>
      </w:pPr>
      <w:r>
        <w:rPr>
          <w:sz w:val="24"/>
        </w:rPr>
        <w:pict>
          <v:group id="_x0000_s2103" o:spid="_x0000_s2103" o:spt="203" style="position:absolute;left:0pt;margin-left:0pt;margin-top:0pt;height:368.9pt;width:421.6pt;mso-wrap-distance-bottom:0pt;mso-wrap-distance-left:9pt;mso-wrap-distance-right:9pt;mso-wrap-distance-top:0pt;z-index:251692032;mso-width-relative:page;mso-height-relative:page;" coordorigin="2083,3500581" coordsize="8432,7378">
            <o:lock v:ext="edit" aspectratio="f"/>
            <v:shape id="_x0000_s2098" o:spid="_x0000_s2098" o:spt="75" type="#_x0000_t75" style="position:absolute;left:2083;top:3500581;height:7378;width:8433;" o:ole="t" filled="f" o:preferrelative="t" stroked="f" coordsize="21600,21600">
              <v:path/>
              <v:fill on="f" focussize="0,0"/>
              <v:stroke on="f"/>
              <v:imagedata r:id="rId70" o:title=""/>
              <o:lock v:ext="edit" aspectratio="t"/>
            </v:shape>
            <v:rect id="_x0000_s2534" o:spid="_x0000_s2534" o:spt="1" style="position:absolute;left:4081;top:3503257;height:2217;width:2993;rotation:-3033859f;" filled="f" stroked="t" coordsize="21600,21600">
              <v:path/>
              <v:fill on="f" focussize="0,0"/>
              <v:stroke color="#FF0000" joinstyle="miter"/>
              <v:imagedata o:title=""/>
              <o:lock v:ext="edit" aspectratio="f"/>
            </v:rect>
            <v:shape id="_x0000_s2535" o:spid="_x0000_s2535" o:spt="61" type="#_x0000_t61" style="position:absolute;left:7557;top:3502237;height:441;width:1330;" fillcolor="#FFFFFF" filled="t" stroked="t" coordsize="21600,21600" adj="-15932,45796">
              <v:path/>
              <v:fill on="t" color2="#FFFFFF" focussize="0,0"/>
              <v:stroke color="#000000" joinstyle="miter"/>
              <v:imagedata o:title=""/>
              <o:lock v:ext="edit" aspectratio="f"/>
              <v:textbox>
                <w:txbxContent>
                  <w:p w14:paraId="458D1914">
                    <w:pPr>
                      <w:ind w:left="0" w:leftChars="0" w:firstLine="0" w:firstLineChars="0"/>
                    </w:pPr>
                    <w:r>
                      <w:rPr>
                        <w:rFonts w:hint="eastAsia"/>
                      </w:rPr>
                      <w:t>评价范围</w:t>
                    </w:r>
                  </w:p>
                </w:txbxContent>
              </v:textbox>
            </v:shape>
            <v:shape id="_x0000_s2536" o:spid="_x0000_s2536" o:spt="202" type="#_x0000_t202" style="position:absolute;left:8050;top:3506786;height:405;width:1705;" filled="f" stroked="f" coordsize="21600,21600">
              <v:path/>
              <v:fill on="f" focussize="0,0"/>
              <v:stroke on="f"/>
              <v:imagedata o:title=""/>
              <o:lock v:ext="edit" aspectratio="t"/>
              <v:textbox>
                <w:txbxContent>
                  <w:p w14:paraId="071691C6">
                    <w:pPr>
                      <w:ind w:left="0" w:leftChars="0" w:firstLine="0" w:firstLineChars="0"/>
                      <w:jc w:val="both"/>
                      <w:rPr>
                        <w:color w:val="FFFF00"/>
                      </w:rPr>
                    </w:pPr>
                    <w:r>
                      <w:rPr>
                        <w:color w:val="FFFF00"/>
                      </w:rPr>
                      <w:t>地下水流向</w:t>
                    </w:r>
                  </w:p>
                </w:txbxContent>
              </v:textbox>
            </v:shape>
            <v:shape id="_x0000_s2097" o:spid="_x0000_s2097" o:spt="32" type="#_x0000_t32" style="position:absolute;left:7774;top:3505648;flip:y;height:980;width:1020;" filled="f" stroked="t" coordsize="21600,21600">
              <v:path arrowok="t"/>
              <v:fill on="f" focussize="0,0"/>
              <v:stroke color="#FFFF00" endarrow="block"/>
              <v:imagedata o:title=""/>
              <o:lock v:ext="edit" aspectratio="f"/>
            </v:shape>
            <w10:wrap type="square"/>
          </v:group>
          <o:OLEObject Type="Embed" ProgID="Visio.Drawing.15" ShapeID="_x0000_s2098" DrawAspect="Content" ObjectID="_1468075730" r:id="rId69">
            <o:LockedField>false</o:LockedField>
          </o:OLEObject>
        </w:pict>
      </w:r>
    </w:p>
    <w:p w14:paraId="32CBCE09">
      <w:pPr>
        <w:pStyle w:val="181"/>
        <w:bidi w:val="0"/>
        <w:ind w:left="0" w:leftChars="0" w:firstLine="0" w:firstLineChars="0"/>
        <w:jc w:val="center"/>
        <w:rPr>
          <w:color w:val="auto"/>
        </w:rPr>
      </w:pPr>
      <w:r>
        <w:rPr>
          <w:color w:val="auto"/>
        </w:rPr>
        <w:t>图</w:t>
      </w:r>
      <w:r>
        <w:rPr>
          <w:rFonts w:hint="eastAsia"/>
          <w:color w:val="auto"/>
          <w:lang w:val="en-US" w:eastAsia="zh-CN"/>
        </w:rPr>
        <w:t>5.5</w:t>
      </w:r>
      <w:r>
        <w:rPr>
          <w:color w:val="auto"/>
        </w:rPr>
        <w:t>-</w:t>
      </w:r>
      <w:r>
        <w:rPr>
          <w:rFonts w:hint="eastAsia"/>
          <w:color w:val="auto"/>
          <w:lang w:val="en-US" w:eastAsia="zh-CN"/>
        </w:rPr>
        <w:t>3</w:t>
      </w:r>
      <w:r>
        <w:rPr>
          <w:color w:val="auto"/>
        </w:rPr>
        <w:t xml:space="preserve">   </w:t>
      </w:r>
      <w:r>
        <w:rPr>
          <w:rFonts w:hint="eastAsia"/>
          <w:color w:val="auto"/>
          <w:lang w:val="en-US" w:eastAsia="zh-CN"/>
        </w:rPr>
        <w:t>地下水监测点位图</w:t>
      </w:r>
    </w:p>
    <w:p w14:paraId="1BA6A5AE">
      <w:pPr>
        <w:rPr>
          <w:rFonts w:hint="eastAsia"/>
          <w:color w:val="auto"/>
        </w:rPr>
      </w:pPr>
    </w:p>
    <w:p w14:paraId="7F7972C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rFonts w:hint="eastAsia"/>
          <w:color w:val="auto"/>
          <w:sz w:val="24"/>
        </w:rPr>
        <w:t>（2）监测因子</w:t>
      </w:r>
    </w:p>
    <w:p w14:paraId="4B8A012D">
      <w:pPr>
        <w:pStyle w:val="101"/>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pPr>
      <w:r>
        <w:t>本次地下水质量现状监测因子选取pH、总硬度、溶解性总固体、耗氧量、氨氮、K</w:t>
      </w:r>
      <w:r>
        <w:rPr>
          <w:vertAlign w:val="superscript"/>
        </w:rPr>
        <w:t>+</w:t>
      </w:r>
      <w:r>
        <w:rPr>
          <w:rFonts w:hint="eastAsia"/>
        </w:rPr>
        <w:t>、</w:t>
      </w:r>
      <w:r>
        <w:t>Na</w:t>
      </w:r>
      <w:r>
        <w:rPr>
          <w:vertAlign w:val="superscript"/>
        </w:rPr>
        <w:t>+</w:t>
      </w:r>
      <w:r>
        <w:rPr>
          <w:rFonts w:hint="eastAsia"/>
        </w:rPr>
        <w:t>、</w:t>
      </w:r>
      <w:r>
        <w:t>Ca</w:t>
      </w:r>
      <w:r>
        <w:rPr>
          <w:vertAlign w:val="superscript"/>
        </w:rPr>
        <w:t>2+</w:t>
      </w:r>
      <w:r>
        <w:rPr>
          <w:rFonts w:hint="eastAsia"/>
        </w:rPr>
        <w:t>、</w:t>
      </w:r>
      <w:r>
        <w:t>Mg</w:t>
      </w:r>
      <w:r>
        <w:rPr>
          <w:vertAlign w:val="superscript"/>
        </w:rPr>
        <w:t>2+</w:t>
      </w:r>
      <w:r>
        <w:rPr>
          <w:rFonts w:hint="eastAsia"/>
        </w:rPr>
        <w:t>、</w:t>
      </w:r>
      <w:r>
        <w:t>CO</w:t>
      </w:r>
      <w:r>
        <w:rPr>
          <w:vertAlign w:val="subscript"/>
        </w:rPr>
        <w:t>3</w:t>
      </w:r>
      <w:r>
        <w:rPr>
          <w:vertAlign w:val="superscript"/>
        </w:rPr>
        <w:t>2-</w:t>
      </w:r>
      <w:r>
        <w:rPr>
          <w:rFonts w:hint="eastAsia"/>
        </w:rPr>
        <w:t>、</w:t>
      </w:r>
      <w:r>
        <w:t>HCO</w:t>
      </w:r>
      <w:r>
        <w:rPr>
          <w:vertAlign w:val="subscript"/>
        </w:rPr>
        <w:t>3</w:t>
      </w:r>
      <w:r>
        <w:rPr>
          <w:vertAlign w:val="superscript"/>
        </w:rPr>
        <w:t>-</w:t>
      </w:r>
      <w:r>
        <w:rPr>
          <w:rFonts w:hint="eastAsia"/>
        </w:rPr>
        <w:t>、</w:t>
      </w:r>
      <w:r>
        <w:t>Cl</w:t>
      </w:r>
      <w:r>
        <w:rPr>
          <w:vertAlign w:val="superscript"/>
        </w:rPr>
        <w:t>-</w:t>
      </w:r>
      <w:r>
        <w:rPr>
          <w:rFonts w:hint="eastAsia"/>
        </w:rPr>
        <w:t>、</w:t>
      </w:r>
      <w:r>
        <w:t>SO</w:t>
      </w:r>
      <w:r>
        <w:rPr>
          <w:vertAlign w:val="subscript"/>
        </w:rPr>
        <w:t>4</w:t>
      </w:r>
      <w:r>
        <w:rPr>
          <w:vertAlign w:val="superscript"/>
        </w:rPr>
        <w:t>2-</w:t>
      </w:r>
      <w:r>
        <w:rPr>
          <w:rFonts w:hint="eastAsia"/>
        </w:rPr>
        <w:t>、硫化物、挥发性酚类、亚硝酸盐、硝酸盐、氟化物、砷、汞、</w:t>
      </w:r>
      <w:r>
        <w:t>镉、铬(六价)、铅、铁、锰、铜、锌、铝、锑、苯、甲苯、二甲苯、阴离子表面</w:t>
      </w:r>
      <w:r>
        <w:rPr>
          <w:rFonts w:hint="eastAsia"/>
        </w:rPr>
        <w:t>活性剂、</w:t>
      </w:r>
      <w:r>
        <w:t>菌落总数、总大肠菌群。同时监测井深、水位和水温。</w:t>
      </w:r>
    </w:p>
    <w:p w14:paraId="6FAD949A">
      <w:pPr>
        <w:numPr>
          <w:ilvl w:val="0"/>
          <w:numId w:val="7"/>
        </w:numPr>
        <w:bidi w:val="0"/>
        <w:rPr>
          <w:rFonts w:hint="default"/>
          <w:color w:val="auto"/>
        </w:rPr>
      </w:pPr>
      <w:r>
        <w:rPr>
          <w:rFonts w:hint="default"/>
          <w:color w:val="auto"/>
        </w:rPr>
        <w:t>监测方法</w:t>
      </w:r>
    </w:p>
    <w:p w14:paraId="5184B125">
      <w:pPr>
        <w:spacing w:line="240" w:lineRule="auto"/>
        <w:ind w:firstLine="480" w:firstLineChars="200"/>
        <w:rPr>
          <w:rFonts w:hint="default"/>
          <w:color w:val="auto"/>
        </w:rPr>
      </w:pPr>
      <w:r>
        <w:rPr>
          <w:rFonts w:hint="default"/>
          <w:color w:val="auto"/>
        </w:rPr>
        <w:t>具体监测方法如下表：</w:t>
      </w:r>
    </w:p>
    <w:p w14:paraId="4295A408">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11</w:t>
      </w:r>
      <w:r>
        <w:fldChar w:fldCharType="end"/>
      </w:r>
      <w:r>
        <w:t xml:space="preserve"> 地下水水质监测因子及分析方法一览表</w:t>
      </w:r>
    </w:p>
    <w:tbl>
      <w:tblPr>
        <w:tblStyle w:val="31"/>
        <w:tblW w:w="5063" w:type="pct"/>
        <w:tblInd w:w="-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79"/>
        <w:gridCol w:w="972"/>
        <w:gridCol w:w="2706"/>
        <w:gridCol w:w="2211"/>
        <w:gridCol w:w="1329"/>
        <w:gridCol w:w="730"/>
      </w:tblGrid>
      <w:tr w14:paraId="0115A8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284" w:type="pct"/>
            <w:tcBorders>
              <w:top w:val="single" w:color="000000" w:sz="6" w:space="0"/>
              <w:left w:val="single" w:color="000000" w:sz="6" w:space="0"/>
            </w:tcBorders>
            <w:shd w:val="clear" w:color="auto" w:fill="auto"/>
            <w:noWrap w:val="0"/>
            <w:textDirection w:val="tbRlV"/>
            <w:vAlign w:val="center"/>
          </w:tcPr>
          <w:p w14:paraId="1C1A0F66">
            <w:pPr>
              <w:pStyle w:val="182"/>
              <w:rPr>
                <w:rFonts w:hint="eastAsia"/>
                <w:color w:val="auto"/>
                <w:lang w:val="en-US" w:eastAsia="zh-CN"/>
              </w:rPr>
            </w:pPr>
            <w:r>
              <w:rPr>
                <w:rFonts w:hint="eastAsia"/>
                <w:color w:val="auto"/>
                <w:lang w:val="en-US" w:eastAsia="zh-CN"/>
              </w:rPr>
              <w:t>序号</w:t>
            </w:r>
          </w:p>
        </w:tc>
        <w:tc>
          <w:tcPr>
            <w:tcW w:w="576" w:type="pct"/>
            <w:tcBorders>
              <w:top w:val="single" w:color="000000" w:sz="6" w:space="0"/>
            </w:tcBorders>
            <w:shd w:val="clear" w:color="auto" w:fill="auto"/>
            <w:noWrap w:val="0"/>
            <w:vAlign w:val="center"/>
          </w:tcPr>
          <w:p w14:paraId="19390552">
            <w:pPr>
              <w:pStyle w:val="182"/>
              <w:rPr>
                <w:rFonts w:hint="eastAsia"/>
                <w:color w:val="auto"/>
                <w:lang w:val="en-US" w:eastAsia="zh-CN"/>
              </w:rPr>
            </w:pPr>
            <w:r>
              <w:rPr>
                <w:rFonts w:hint="eastAsia"/>
                <w:color w:val="auto"/>
                <w:lang w:val="en-US" w:eastAsia="zh-CN"/>
              </w:rPr>
              <w:t>监测因子</w:t>
            </w:r>
          </w:p>
        </w:tc>
        <w:tc>
          <w:tcPr>
            <w:tcW w:w="1604" w:type="pct"/>
            <w:tcBorders>
              <w:top w:val="single" w:color="000000" w:sz="6" w:space="0"/>
            </w:tcBorders>
            <w:shd w:val="clear" w:color="auto" w:fill="auto"/>
            <w:noWrap w:val="0"/>
            <w:vAlign w:val="center"/>
          </w:tcPr>
          <w:p w14:paraId="5E5560E6">
            <w:pPr>
              <w:pStyle w:val="182"/>
              <w:rPr>
                <w:rFonts w:hint="eastAsia"/>
                <w:color w:val="auto"/>
                <w:lang w:val="en-US" w:eastAsia="zh-CN"/>
              </w:rPr>
            </w:pPr>
            <w:r>
              <w:rPr>
                <w:rFonts w:hint="eastAsia"/>
                <w:color w:val="auto"/>
                <w:lang w:val="en-US" w:eastAsia="zh-CN"/>
              </w:rPr>
              <w:t>检测方法及编号</w:t>
            </w:r>
          </w:p>
        </w:tc>
        <w:tc>
          <w:tcPr>
            <w:tcW w:w="1311" w:type="pct"/>
            <w:tcBorders>
              <w:top w:val="single" w:color="000000" w:sz="6" w:space="0"/>
            </w:tcBorders>
            <w:shd w:val="clear" w:color="auto" w:fill="auto"/>
            <w:noWrap w:val="0"/>
            <w:vAlign w:val="center"/>
          </w:tcPr>
          <w:p w14:paraId="142D0F2D">
            <w:pPr>
              <w:pStyle w:val="182"/>
              <w:rPr>
                <w:rFonts w:hint="eastAsia"/>
                <w:color w:val="auto"/>
                <w:lang w:val="en-US" w:eastAsia="zh-CN"/>
              </w:rPr>
            </w:pPr>
            <w:r>
              <w:rPr>
                <w:rFonts w:hint="eastAsia"/>
                <w:color w:val="auto"/>
                <w:lang w:val="en-US" w:eastAsia="zh-CN"/>
              </w:rPr>
              <w:t>检测仪器及型号/编号</w:t>
            </w:r>
          </w:p>
        </w:tc>
        <w:tc>
          <w:tcPr>
            <w:tcW w:w="788" w:type="pct"/>
            <w:tcBorders>
              <w:top w:val="single" w:color="000000" w:sz="6" w:space="0"/>
            </w:tcBorders>
            <w:shd w:val="clear" w:color="auto" w:fill="auto"/>
            <w:noWrap w:val="0"/>
            <w:vAlign w:val="center"/>
          </w:tcPr>
          <w:p w14:paraId="73E3A65F">
            <w:pPr>
              <w:pStyle w:val="182"/>
              <w:rPr>
                <w:rFonts w:hint="eastAsia"/>
                <w:color w:val="auto"/>
                <w:lang w:val="en-US" w:eastAsia="zh-CN"/>
              </w:rPr>
            </w:pPr>
            <w:r>
              <w:rPr>
                <w:rFonts w:hint="eastAsia"/>
                <w:color w:val="auto"/>
                <w:lang w:val="en-US" w:eastAsia="zh-CN"/>
              </w:rPr>
              <w:t>检出限</w:t>
            </w:r>
          </w:p>
        </w:tc>
        <w:tc>
          <w:tcPr>
            <w:tcW w:w="433" w:type="pct"/>
            <w:tcBorders>
              <w:top w:val="single" w:color="000000" w:sz="6" w:space="0"/>
              <w:right w:val="single" w:color="000000" w:sz="6" w:space="0"/>
            </w:tcBorders>
            <w:shd w:val="clear" w:color="auto" w:fill="auto"/>
            <w:noWrap w:val="0"/>
            <w:vAlign w:val="center"/>
          </w:tcPr>
          <w:p w14:paraId="33CFD405">
            <w:pPr>
              <w:pStyle w:val="182"/>
              <w:rPr>
                <w:rFonts w:hint="eastAsia"/>
                <w:color w:val="auto"/>
                <w:lang w:val="en-US" w:eastAsia="zh-CN"/>
              </w:rPr>
            </w:pPr>
            <w:r>
              <w:rPr>
                <w:rFonts w:hint="eastAsia"/>
                <w:color w:val="auto"/>
                <w:lang w:val="en-US" w:eastAsia="zh-CN"/>
              </w:rPr>
              <w:t>监测频率</w:t>
            </w:r>
          </w:p>
        </w:tc>
      </w:tr>
      <w:tr w14:paraId="782A24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284" w:type="pct"/>
            <w:tcBorders>
              <w:left w:val="single" w:color="000000" w:sz="6" w:space="0"/>
            </w:tcBorders>
            <w:shd w:val="clear" w:color="auto" w:fill="auto"/>
            <w:noWrap w:val="0"/>
            <w:vAlign w:val="center"/>
          </w:tcPr>
          <w:p w14:paraId="32460A91">
            <w:pPr>
              <w:pStyle w:val="182"/>
              <w:rPr>
                <w:rFonts w:hint="eastAsia"/>
                <w:color w:val="auto"/>
                <w:lang w:val="en-US" w:eastAsia="zh-CN"/>
              </w:rPr>
            </w:pPr>
            <w:r>
              <w:rPr>
                <w:rFonts w:hint="eastAsia"/>
                <w:color w:val="auto"/>
                <w:lang w:val="en-US" w:eastAsia="zh-CN"/>
              </w:rPr>
              <w:t>1</w:t>
            </w:r>
          </w:p>
        </w:tc>
        <w:tc>
          <w:tcPr>
            <w:tcW w:w="576" w:type="pct"/>
            <w:shd w:val="clear" w:color="auto" w:fill="auto"/>
            <w:noWrap w:val="0"/>
            <w:vAlign w:val="center"/>
          </w:tcPr>
          <w:p w14:paraId="65035261">
            <w:pPr>
              <w:pStyle w:val="182"/>
              <w:rPr>
                <w:rFonts w:hint="eastAsia"/>
                <w:color w:val="auto"/>
                <w:lang w:val="en-US" w:eastAsia="zh-CN"/>
              </w:rPr>
            </w:pPr>
            <w:r>
              <w:rPr>
                <w:rFonts w:hint="eastAsia"/>
                <w:color w:val="auto"/>
                <w:lang w:val="en-US" w:eastAsia="zh-CN"/>
              </w:rPr>
              <w:t>K+</w:t>
            </w:r>
          </w:p>
        </w:tc>
        <w:tc>
          <w:tcPr>
            <w:tcW w:w="1604" w:type="pct"/>
            <w:vMerge w:val="restart"/>
            <w:tcBorders>
              <w:bottom w:val="nil"/>
            </w:tcBorders>
            <w:shd w:val="clear" w:color="auto" w:fill="auto"/>
            <w:noWrap w:val="0"/>
            <w:vAlign w:val="center"/>
          </w:tcPr>
          <w:p w14:paraId="4829DDFA">
            <w:pPr>
              <w:pStyle w:val="182"/>
              <w:rPr>
                <w:rFonts w:hint="eastAsia"/>
                <w:color w:val="auto"/>
                <w:lang w:val="en-US" w:eastAsia="zh-CN"/>
              </w:rPr>
            </w:pPr>
            <w:r>
              <w:rPr>
                <w:rFonts w:hint="eastAsia"/>
                <w:color w:val="auto"/>
                <w:lang w:val="en-US" w:eastAsia="zh-CN"/>
              </w:rPr>
              <w:t>水质钾和钠的测定火焰原</w:t>
            </w:r>
          </w:p>
          <w:p w14:paraId="12943B34">
            <w:pPr>
              <w:pStyle w:val="182"/>
              <w:rPr>
                <w:rFonts w:hint="eastAsia"/>
                <w:color w:val="auto"/>
                <w:lang w:val="en-US" w:eastAsia="zh-CN"/>
              </w:rPr>
            </w:pPr>
            <w:r>
              <w:rPr>
                <w:rFonts w:hint="eastAsia"/>
                <w:color w:val="auto"/>
                <w:lang w:val="en-US" w:eastAsia="zh-CN"/>
              </w:rPr>
              <w:t>子吸收分光光度法GB/T</w:t>
            </w:r>
          </w:p>
          <w:p w14:paraId="582D1202">
            <w:pPr>
              <w:pStyle w:val="182"/>
              <w:rPr>
                <w:rFonts w:hint="eastAsia"/>
                <w:color w:val="auto"/>
                <w:lang w:val="en-US" w:eastAsia="zh-CN"/>
              </w:rPr>
            </w:pPr>
            <w:r>
              <w:rPr>
                <w:rFonts w:hint="eastAsia"/>
                <w:color w:val="auto"/>
                <w:lang w:val="en-US" w:eastAsia="zh-CN"/>
              </w:rPr>
              <w:t>11904-1989</w:t>
            </w:r>
          </w:p>
        </w:tc>
        <w:tc>
          <w:tcPr>
            <w:tcW w:w="1311" w:type="pct"/>
            <w:vMerge w:val="restart"/>
            <w:tcBorders>
              <w:bottom w:val="nil"/>
            </w:tcBorders>
            <w:shd w:val="clear" w:color="auto" w:fill="auto"/>
            <w:noWrap w:val="0"/>
            <w:vAlign w:val="center"/>
          </w:tcPr>
          <w:p w14:paraId="27B4A50B">
            <w:pPr>
              <w:pStyle w:val="182"/>
              <w:rPr>
                <w:rFonts w:hint="eastAsia"/>
                <w:color w:val="auto"/>
                <w:lang w:val="en-US" w:eastAsia="zh-CN"/>
              </w:rPr>
            </w:pPr>
            <w:r>
              <w:rPr>
                <w:rFonts w:hint="eastAsia"/>
                <w:color w:val="auto"/>
                <w:lang w:val="en-US" w:eastAsia="zh-CN"/>
              </w:rPr>
              <w:t>原子吸收分光光度计TAS-990AFG</w:t>
            </w:r>
          </w:p>
        </w:tc>
        <w:tc>
          <w:tcPr>
            <w:tcW w:w="788" w:type="pct"/>
            <w:shd w:val="clear" w:color="auto" w:fill="auto"/>
            <w:noWrap w:val="0"/>
            <w:vAlign w:val="center"/>
          </w:tcPr>
          <w:p w14:paraId="0B92C254">
            <w:pPr>
              <w:pStyle w:val="182"/>
              <w:rPr>
                <w:rFonts w:hint="eastAsia"/>
                <w:color w:val="auto"/>
                <w:lang w:val="en-US" w:eastAsia="zh-CN"/>
              </w:rPr>
            </w:pPr>
            <w:r>
              <w:rPr>
                <w:rFonts w:hint="eastAsia"/>
                <w:color w:val="auto"/>
                <w:lang w:val="en-US" w:eastAsia="zh-CN"/>
              </w:rPr>
              <w:t>0.05mg/L</w:t>
            </w:r>
          </w:p>
        </w:tc>
        <w:tc>
          <w:tcPr>
            <w:tcW w:w="433" w:type="pct"/>
            <w:vMerge w:val="restart"/>
            <w:tcBorders>
              <w:right w:val="single" w:color="000000" w:sz="6" w:space="0"/>
            </w:tcBorders>
            <w:shd w:val="clear" w:color="auto" w:fill="auto"/>
            <w:noWrap w:val="0"/>
            <w:vAlign w:val="center"/>
          </w:tcPr>
          <w:p w14:paraId="14646B50">
            <w:pPr>
              <w:pStyle w:val="182"/>
              <w:rPr>
                <w:rFonts w:hint="eastAsia"/>
                <w:color w:val="auto"/>
                <w:lang w:val="en-US" w:eastAsia="zh-CN"/>
              </w:rPr>
            </w:pPr>
            <w:r>
              <w:rPr>
                <w:rFonts w:hint="eastAsia"/>
                <w:color w:val="auto"/>
                <w:lang w:val="en-US" w:eastAsia="zh-CN"/>
              </w:rPr>
              <w:t>一次性</w:t>
            </w:r>
          </w:p>
          <w:p w14:paraId="030C17CB">
            <w:pPr>
              <w:pStyle w:val="182"/>
              <w:rPr>
                <w:rFonts w:hint="eastAsia"/>
                <w:color w:val="auto"/>
                <w:lang w:val="en-US" w:eastAsia="zh-CN"/>
              </w:rPr>
            </w:pPr>
            <w:r>
              <w:rPr>
                <w:rFonts w:hint="eastAsia"/>
                <w:color w:val="auto"/>
                <w:lang w:val="en-US" w:eastAsia="zh-CN"/>
              </w:rPr>
              <w:t>连续监</w:t>
            </w:r>
          </w:p>
          <w:p w14:paraId="32866347">
            <w:pPr>
              <w:pStyle w:val="182"/>
              <w:rPr>
                <w:rFonts w:hint="eastAsia"/>
                <w:color w:val="auto"/>
                <w:lang w:val="en-US" w:eastAsia="zh-CN"/>
              </w:rPr>
            </w:pPr>
            <w:r>
              <w:rPr>
                <w:rFonts w:hint="eastAsia"/>
                <w:color w:val="auto"/>
                <w:lang w:val="en-US" w:eastAsia="zh-CN"/>
              </w:rPr>
              <w:t>测2</w:t>
            </w:r>
          </w:p>
          <w:p w14:paraId="79019614">
            <w:pPr>
              <w:pStyle w:val="182"/>
              <w:rPr>
                <w:rFonts w:hint="eastAsia"/>
                <w:color w:val="auto"/>
                <w:lang w:val="en-US" w:eastAsia="zh-CN"/>
              </w:rPr>
            </w:pPr>
            <w:r>
              <w:rPr>
                <w:rFonts w:hint="eastAsia"/>
                <w:color w:val="auto"/>
                <w:lang w:val="en-US" w:eastAsia="zh-CN"/>
              </w:rPr>
              <w:t>天，每</w:t>
            </w:r>
          </w:p>
          <w:p w14:paraId="2E8546E2">
            <w:pPr>
              <w:pStyle w:val="182"/>
              <w:rPr>
                <w:rFonts w:hint="eastAsia"/>
                <w:color w:val="auto"/>
                <w:lang w:val="en-US" w:eastAsia="zh-CN"/>
              </w:rPr>
            </w:pPr>
            <w:r>
              <w:rPr>
                <w:rFonts w:hint="eastAsia"/>
                <w:color w:val="auto"/>
                <w:lang w:val="en-US" w:eastAsia="zh-CN"/>
              </w:rPr>
              <w:t>天2次</w:t>
            </w:r>
          </w:p>
        </w:tc>
      </w:tr>
      <w:tr w14:paraId="7FBCDF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284" w:type="pct"/>
            <w:tcBorders>
              <w:left w:val="single" w:color="000000" w:sz="6" w:space="0"/>
            </w:tcBorders>
            <w:shd w:val="clear" w:color="auto" w:fill="auto"/>
            <w:noWrap w:val="0"/>
            <w:vAlign w:val="center"/>
          </w:tcPr>
          <w:p w14:paraId="7B6A4E74">
            <w:pPr>
              <w:pStyle w:val="182"/>
              <w:rPr>
                <w:rFonts w:hint="eastAsia"/>
                <w:color w:val="auto"/>
                <w:lang w:val="en-US" w:eastAsia="zh-CN"/>
              </w:rPr>
            </w:pPr>
            <w:r>
              <w:rPr>
                <w:rFonts w:hint="eastAsia"/>
                <w:color w:val="auto"/>
                <w:lang w:val="en-US" w:eastAsia="zh-CN"/>
              </w:rPr>
              <w:t>2</w:t>
            </w:r>
          </w:p>
        </w:tc>
        <w:tc>
          <w:tcPr>
            <w:tcW w:w="576" w:type="pct"/>
            <w:shd w:val="clear" w:color="auto" w:fill="auto"/>
            <w:noWrap w:val="0"/>
            <w:vAlign w:val="center"/>
          </w:tcPr>
          <w:p w14:paraId="528C4BDB">
            <w:pPr>
              <w:pStyle w:val="182"/>
              <w:rPr>
                <w:rFonts w:hint="eastAsia"/>
                <w:color w:val="auto"/>
                <w:lang w:val="en-US" w:eastAsia="zh-CN"/>
              </w:rPr>
            </w:pPr>
            <w:r>
              <w:rPr>
                <w:rFonts w:hint="eastAsia"/>
                <w:color w:val="auto"/>
                <w:lang w:val="en-US" w:eastAsia="zh-CN"/>
              </w:rPr>
              <w:t>Na+</w:t>
            </w:r>
          </w:p>
        </w:tc>
        <w:tc>
          <w:tcPr>
            <w:tcW w:w="1604" w:type="pct"/>
            <w:vMerge w:val="continue"/>
            <w:tcBorders>
              <w:top w:val="nil"/>
            </w:tcBorders>
            <w:shd w:val="clear" w:color="auto" w:fill="auto"/>
            <w:noWrap w:val="0"/>
            <w:vAlign w:val="center"/>
          </w:tcPr>
          <w:p w14:paraId="70708BBF">
            <w:pPr>
              <w:pStyle w:val="182"/>
              <w:rPr>
                <w:rFonts w:hint="eastAsia"/>
                <w:color w:val="auto"/>
                <w:lang w:val="en-US" w:eastAsia="zh-CN"/>
              </w:rPr>
            </w:pPr>
          </w:p>
        </w:tc>
        <w:tc>
          <w:tcPr>
            <w:tcW w:w="1311" w:type="pct"/>
            <w:vMerge w:val="continue"/>
            <w:tcBorders>
              <w:top w:val="nil"/>
            </w:tcBorders>
            <w:shd w:val="clear" w:color="auto" w:fill="auto"/>
            <w:noWrap w:val="0"/>
            <w:vAlign w:val="center"/>
          </w:tcPr>
          <w:p w14:paraId="6BE75BD6">
            <w:pPr>
              <w:pStyle w:val="182"/>
              <w:rPr>
                <w:rFonts w:hint="eastAsia"/>
                <w:color w:val="auto"/>
                <w:lang w:val="en-US" w:eastAsia="zh-CN"/>
              </w:rPr>
            </w:pPr>
          </w:p>
        </w:tc>
        <w:tc>
          <w:tcPr>
            <w:tcW w:w="788" w:type="pct"/>
            <w:shd w:val="clear" w:color="auto" w:fill="auto"/>
            <w:noWrap w:val="0"/>
            <w:vAlign w:val="center"/>
          </w:tcPr>
          <w:p w14:paraId="193ACFE3">
            <w:pPr>
              <w:pStyle w:val="182"/>
              <w:rPr>
                <w:rFonts w:hint="eastAsia"/>
                <w:color w:val="auto"/>
                <w:lang w:val="en-US" w:eastAsia="zh-CN"/>
              </w:rPr>
            </w:pPr>
            <w:r>
              <w:rPr>
                <w:rFonts w:hint="eastAsia"/>
                <w:color w:val="auto"/>
                <w:lang w:val="en-US" w:eastAsia="zh-CN"/>
              </w:rPr>
              <w:t>0.01mg/L</w:t>
            </w:r>
          </w:p>
        </w:tc>
        <w:tc>
          <w:tcPr>
            <w:tcW w:w="433" w:type="pct"/>
            <w:vMerge w:val="continue"/>
            <w:tcBorders>
              <w:right w:val="single" w:color="000000" w:sz="6" w:space="0"/>
            </w:tcBorders>
            <w:shd w:val="clear" w:color="auto" w:fill="auto"/>
            <w:noWrap w:val="0"/>
            <w:vAlign w:val="center"/>
          </w:tcPr>
          <w:p w14:paraId="3E82BAB4">
            <w:pPr>
              <w:pStyle w:val="182"/>
              <w:rPr>
                <w:rFonts w:hint="eastAsia"/>
                <w:color w:val="auto"/>
                <w:lang w:val="en-US" w:eastAsia="zh-CN"/>
              </w:rPr>
            </w:pPr>
          </w:p>
        </w:tc>
      </w:tr>
      <w:tr w14:paraId="2695BE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284" w:type="pct"/>
            <w:tcBorders>
              <w:left w:val="single" w:color="000000" w:sz="6" w:space="0"/>
            </w:tcBorders>
            <w:shd w:val="clear" w:color="auto" w:fill="auto"/>
            <w:noWrap w:val="0"/>
            <w:vAlign w:val="center"/>
          </w:tcPr>
          <w:p w14:paraId="51A829C0">
            <w:pPr>
              <w:pStyle w:val="182"/>
              <w:rPr>
                <w:rFonts w:hint="eastAsia"/>
                <w:color w:val="auto"/>
                <w:lang w:val="en-US" w:eastAsia="zh-CN"/>
              </w:rPr>
            </w:pPr>
            <w:r>
              <w:rPr>
                <w:rFonts w:hint="eastAsia"/>
                <w:color w:val="auto"/>
                <w:lang w:val="en-US" w:eastAsia="zh-CN"/>
              </w:rPr>
              <w:t>3</w:t>
            </w:r>
          </w:p>
        </w:tc>
        <w:tc>
          <w:tcPr>
            <w:tcW w:w="576" w:type="pct"/>
            <w:shd w:val="clear" w:color="auto" w:fill="auto"/>
            <w:noWrap w:val="0"/>
            <w:vAlign w:val="center"/>
          </w:tcPr>
          <w:p w14:paraId="77227C14">
            <w:pPr>
              <w:pStyle w:val="182"/>
              <w:rPr>
                <w:rFonts w:hint="eastAsia"/>
                <w:color w:val="auto"/>
                <w:lang w:val="en-US" w:eastAsia="zh-CN"/>
              </w:rPr>
            </w:pPr>
            <w:r>
              <w:rPr>
                <w:rFonts w:hint="eastAsia"/>
                <w:color w:val="auto"/>
                <w:lang w:val="en-US" w:eastAsia="zh-CN"/>
              </w:rPr>
              <w:t>Ca2+</w:t>
            </w:r>
          </w:p>
        </w:tc>
        <w:tc>
          <w:tcPr>
            <w:tcW w:w="1604" w:type="pct"/>
            <w:vMerge w:val="restart"/>
            <w:tcBorders>
              <w:bottom w:val="nil"/>
            </w:tcBorders>
            <w:shd w:val="clear" w:color="auto" w:fill="auto"/>
            <w:noWrap w:val="0"/>
            <w:vAlign w:val="center"/>
          </w:tcPr>
          <w:p w14:paraId="2306680B">
            <w:pPr>
              <w:pStyle w:val="182"/>
              <w:rPr>
                <w:rFonts w:hint="eastAsia"/>
                <w:color w:val="auto"/>
                <w:lang w:val="en-US" w:eastAsia="zh-CN"/>
              </w:rPr>
            </w:pPr>
            <w:r>
              <w:rPr>
                <w:rFonts w:hint="eastAsia"/>
                <w:color w:val="auto"/>
                <w:lang w:val="en-US" w:eastAsia="zh-CN"/>
              </w:rPr>
              <w:t>水质钙和镁的测定原子吸</w:t>
            </w:r>
          </w:p>
          <w:p w14:paraId="621E3FF3">
            <w:pPr>
              <w:pStyle w:val="182"/>
              <w:rPr>
                <w:rFonts w:hint="eastAsia"/>
                <w:color w:val="auto"/>
                <w:lang w:val="en-US" w:eastAsia="zh-CN"/>
              </w:rPr>
            </w:pPr>
            <w:r>
              <w:rPr>
                <w:rFonts w:hint="eastAsia"/>
                <w:color w:val="auto"/>
                <w:lang w:val="en-US" w:eastAsia="zh-CN"/>
              </w:rPr>
              <w:t>收分光光度法GB/T11905-</w:t>
            </w:r>
          </w:p>
          <w:p w14:paraId="7CCDFD01">
            <w:pPr>
              <w:pStyle w:val="182"/>
              <w:rPr>
                <w:rFonts w:hint="eastAsia"/>
                <w:color w:val="auto"/>
                <w:lang w:val="en-US" w:eastAsia="zh-CN"/>
              </w:rPr>
            </w:pPr>
            <w:r>
              <w:rPr>
                <w:rFonts w:hint="eastAsia"/>
                <w:color w:val="auto"/>
                <w:lang w:val="en-US" w:eastAsia="zh-CN"/>
              </w:rPr>
              <w:t>1989</w:t>
            </w:r>
          </w:p>
        </w:tc>
        <w:tc>
          <w:tcPr>
            <w:tcW w:w="1311" w:type="pct"/>
            <w:vMerge w:val="restart"/>
            <w:tcBorders>
              <w:bottom w:val="nil"/>
            </w:tcBorders>
            <w:shd w:val="clear" w:color="auto" w:fill="auto"/>
            <w:noWrap w:val="0"/>
            <w:vAlign w:val="center"/>
          </w:tcPr>
          <w:p w14:paraId="65F8AA08">
            <w:pPr>
              <w:pStyle w:val="182"/>
              <w:rPr>
                <w:rFonts w:hint="eastAsia"/>
                <w:color w:val="auto"/>
                <w:lang w:val="en-US" w:eastAsia="zh-CN"/>
              </w:rPr>
            </w:pPr>
            <w:r>
              <w:rPr>
                <w:rFonts w:hint="eastAsia"/>
                <w:color w:val="auto"/>
                <w:lang w:val="en-US" w:eastAsia="zh-CN"/>
              </w:rPr>
              <w:t>原子吸收分光光度计TAS-990AFG</w:t>
            </w:r>
          </w:p>
        </w:tc>
        <w:tc>
          <w:tcPr>
            <w:tcW w:w="788" w:type="pct"/>
            <w:shd w:val="clear" w:color="auto" w:fill="auto"/>
            <w:noWrap w:val="0"/>
            <w:vAlign w:val="center"/>
          </w:tcPr>
          <w:p w14:paraId="00536F11">
            <w:pPr>
              <w:pStyle w:val="182"/>
              <w:rPr>
                <w:rFonts w:hint="eastAsia"/>
                <w:color w:val="auto"/>
                <w:lang w:val="en-US" w:eastAsia="zh-CN"/>
              </w:rPr>
            </w:pPr>
            <w:r>
              <w:rPr>
                <w:rFonts w:hint="eastAsia"/>
                <w:color w:val="auto"/>
                <w:lang w:val="en-US" w:eastAsia="zh-CN"/>
              </w:rPr>
              <w:t>0.02mg/L</w:t>
            </w:r>
          </w:p>
        </w:tc>
        <w:tc>
          <w:tcPr>
            <w:tcW w:w="433" w:type="pct"/>
            <w:vMerge w:val="continue"/>
            <w:tcBorders>
              <w:right w:val="single" w:color="000000" w:sz="6" w:space="0"/>
            </w:tcBorders>
            <w:shd w:val="clear" w:color="auto" w:fill="auto"/>
            <w:noWrap w:val="0"/>
            <w:vAlign w:val="center"/>
          </w:tcPr>
          <w:p w14:paraId="4351D1A7">
            <w:pPr>
              <w:pStyle w:val="182"/>
              <w:rPr>
                <w:rFonts w:hint="eastAsia"/>
                <w:color w:val="auto"/>
                <w:lang w:val="en-US" w:eastAsia="zh-CN"/>
              </w:rPr>
            </w:pPr>
          </w:p>
        </w:tc>
      </w:tr>
      <w:tr w14:paraId="4636D7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284" w:type="pct"/>
            <w:tcBorders>
              <w:left w:val="single" w:color="000000" w:sz="6" w:space="0"/>
            </w:tcBorders>
            <w:shd w:val="clear" w:color="auto" w:fill="auto"/>
            <w:noWrap w:val="0"/>
            <w:vAlign w:val="center"/>
          </w:tcPr>
          <w:p w14:paraId="0F24EAB2">
            <w:pPr>
              <w:pStyle w:val="182"/>
              <w:rPr>
                <w:rFonts w:hint="eastAsia"/>
                <w:color w:val="auto"/>
                <w:lang w:val="en-US" w:eastAsia="zh-CN"/>
              </w:rPr>
            </w:pPr>
            <w:r>
              <w:rPr>
                <w:rFonts w:hint="eastAsia"/>
                <w:color w:val="auto"/>
                <w:lang w:val="en-US" w:eastAsia="zh-CN"/>
              </w:rPr>
              <w:t>4</w:t>
            </w:r>
          </w:p>
        </w:tc>
        <w:tc>
          <w:tcPr>
            <w:tcW w:w="576" w:type="pct"/>
            <w:shd w:val="clear" w:color="auto" w:fill="auto"/>
            <w:noWrap w:val="0"/>
            <w:vAlign w:val="center"/>
          </w:tcPr>
          <w:p w14:paraId="0B00109A">
            <w:pPr>
              <w:pStyle w:val="182"/>
              <w:rPr>
                <w:rFonts w:hint="eastAsia"/>
                <w:color w:val="auto"/>
                <w:lang w:val="en-US" w:eastAsia="zh-CN"/>
              </w:rPr>
            </w:pPr>
            <w:r>
              <w:rPr>
                <w:rFonts w:hint="eastAsia"/>
                <w:color w:val="auto"/>
                <w:lang w:val="en-US" w:eastAsia="zh-CN"/>
              </w:rPr>
              <w:t>Mg2+</w:t>
            </w:r>
          </w:p>
        </w:tc>
        <w:tc>
          <w:tcPr>
            <w:tcW w:w="1604" w:type="pct"/>
            <w:vMerge w:val="continue"/>
            <w:tcBorders>
              <w:top w:val="nil"/>
            </w:tcBorders>
            <w:shd w:val="clear" w:color="auto" w:fill="auto"/>
            <w:noWrap w:val="0"/>
            <w:vAlign w:val="center"/>
          </w:tcPr>
          <w:p w14:paraId="420ACBAA">
            <w:pPr>
              <w:pStyle w:val="182"/>
              <w:rPr>
                <w:rFonts w:hint="eastAsia"/>
                <w:color w:val="auto"/>
                <w:lang w:val="en-US" w:eastAsia="zh-CN"/>
              </w:rPr>
            </w:pPr>
          </w:p>
        </w:tc>
        <w:tc>
          <w:tcPr>
            <w:tcW w:w="1311" w:type="pct"/>
            <w:vMerge w:val="continue"/>
            <w:tcBorders>
              <w:top w:val="nil"/>
            </w:tcBorders>
            <w:shd w:val="clear" w:color="auto" w:fill="auto"/>
            <w:noWrap w:val="0"/>
            <w:vAlign w:val="center"/>
          </w:tcPr>
          <w:p w14:paraId="3F91B4DE">
            <w:pPr>
              <w:pStyle w:val="182"/>
              <w:rPr>
                <w:rFonts w:hint="eastAsia"/>
                <w:color w:val="auto"/>
                <w:lang w:val="en-US" w:eastAsia="zh-CN"/>
              </w:rPr>
            </w:pPr>
          </w:p>
        </w:tc>
        <w:tc>
          <w:tcPr>
            <w:tcW w:w="788" w:type="pct"/>
            <w:shd w:val="clear" w:color="auto" w:fill="auto"/>
            <w:noWrap w:val="0"/>
            <w:vAlign w:val="center"/>
          </w:tcPr>
          <w:p w14:paraId="71808F1B">
            <w:pPr>
              <w:pStyle w:val="182"/>
              <w:rPr>
                <w:rFonts w:hint="eastAsia"/>
                <w:color w:val="auto"/>
                <w:lang w:val="en-US" w:eastAsia="zh-CN"/>
              </w:rPr>
            </w:pPr>
            <w:r>
              <w:rPr>
                <w:rFonts w:hint="eastAsia"/>
                <w:color w:val="auto"/>
                <w:lang w:val="en-US" w:eastAsia="zh-CN"/>
              </w:rPr>
              <w:t>0.002mg/L</w:t>
            </w:r>
          </w:p>
        </w:tc>
        <w:tc>
          <w:tcPr>
            <w:tcW w:w="433" w:type="pct"/>
            <w:vMerge w:val="continue"/>
            <w:tcBorders>
              <w:right w:val="single" w:color="000000" w:sz="6" w:space="0"/>
            </w:tcBorders>
            <w:shd w:val="clear" w:color="auto" w:fill="auto"/>
            <w:noWrap w:val="0"/>
            <w:vAlign w:val="center"/>
          </w:tcPr>
          <w:p w14:paraId="4385B8C3">
            <w:pPr>
              <w:pStyle w:val="182"/>
              <w:rPr>
                <w:rFonts w:hint="eastAsia"/>
                <w:color w:val="auto"/>
                <w:lang w:val="en-US" w:eastAsia="zh-CN"/>
              </w:rPr>
            </w:pPr>
          </w:p>
        </w:tc>
      </w:tr>
      <w:tr w14:paraId="7A46AC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284" w:type="pct"/>
            <w:tcBorders>
              <w:left w:val="single" w:color="000000" w:sz="6" w:space="0"/>
            </w:tcBorders>
            <w:shd w:val="clear" w:color="auto" w:fill="auto"/>
            <w:noWrap w:val="0"/>
            <w:vAlign w:val="center"/>
          </w:tcPr>
          <w:p w14:paraId="0A374F32">
            <w:pPr>
              <w:pStyle w:val="182"/>
              <w:rPr>
                <w:rFonts w:hint="eastAsia"/>
                <w:color w:val="auto"/>
                <w:lang w:val="en-US" w:eastAsia="zh-CN"/>
              </w:rPr>
            </w:pPr>
            <w:r>
              <w:rPr>
                <w:rFonts w:hint="eastAsia"/>
                <w:color w:val="auto"/>
                <w:lang w:val="en-US" w:eastAsia="zh-CN"/>
              </w:rPr>
              <w:t>5</w:t>
            </w:r>
          </w:p>
        </w:tc>
        <w:tc>
          <w:tcPr>
            <w:tcW w:w="576" w:type="pct"/>
            <w:shd w:val="clear" w:color="auto" w:fill="auto"/>
            <w:noWrap w:val="0"/>
            <w:vAlign w:val="center"/>
          </w:tcPr>
          <w:p w14:paraId="46013505">
            <w:pPr>
              <w:pStyle w:val="182"/>
              <w:rPr>
                <w:rFonts w:hint="eastAsia"/>
                <w:color w:val="auto"/>
                <w:lang w:val="en-US" w:eastAsia="zh-CN"/>
              </w:rPr>
            </w:pPr>
            <w:r>
              <w:rPr>
                <w:rFonts w:hint="eastAsia"/>
                <w:color w:val="auto"/>
                <w:lang w:val="en-US" w:eastAsia="zh-CN"/>
              </w:rPr>
              <w:t>CO32-</w:t>
            </w:r>
          </w:p>
        </w:tc>
        <w:tc>
          <w:tcPr>
            <w:tcW w:w="1604" w:type="pct"/>
            <w:vMerge w:val="restart"/>
            <w:tcBorders>
              <w:bottom w:val="nil"/>
            </w:tcBorders>
            <w:shd w:val="clear" w:color="auto" w:fill="auto"/>
            <w:noWrap w:val="0"/>
            <w:vAlign w:val="center"/>
          </w:tcPr>
          <w:p w14:paraId="2CC8B47E">
            <w:pPr>
              <w:pStyle w:val="182"/>
              <w:rPr>
                <w:rFonts w:hint="eastAsia"/>
                <w:color w:val="auto"/>
                <w:lang w:val="en-US" w:eastAsia="zh-CN"/>
              </w:rPr>
            </w:pPr>
            <w:r>
              <w:rPr>
                <w:rFonts w:hint="eastAsia"/>
                <w:color w:val="auto"/>
                <w:lang w:val="en-US" w:eastAsia="zh-CN"/>
              </w:rPr>
              <w:t>地下水质分析方法第49部</w:t>
            </w:r>
          </w:p>
          <w:p w14:paraId="4EE0B3A0">
            <w:pPr>
              <w:pStyle w:val="182"/>
              <w:rPr>
                <w:rFonts w:hint="eastAsia"/>
                <w:color w:val="auto"/>
                <w:lang w:val="en-US" w:eastAsia="zh-CN"/>
              </w:rPr>
            </w:pPr>
            <w:r>
              <w:rPr>
                <w:rFonts w:hint="eastAsia"/>
                <w:color w:val="auto"/>
                <w:lang w:val="en-US" w:eastAsia="zh-CN"/>
              </w:rPr>
              <w:t>分：碳酸根、重碳酸根和氢</w:t>
            </w:r>
          </w:p>
          <w:p w14:paraId="559B27A7">
            <w:pPr>
              <w:pStyle w:val="182"/>
              <w:rPr>
                <w:rFonts w:hint="eastAsia"/>
                <w:color w:val="auto"/>
                <w:lang w:val="en-US" w:eastAsia="zh-CN"/>
              </w:rPr>
            </w:pPr>
            <w:r>
              <w:rPr>
                <w:rFonts w:hint="eastAsia"/>
                <w:color w:val="auto"/>
                <w:lang w:val="en-US" w:eastAsia="zh-CN"/>
              </w:rPr>
              <w:t>氧根离子的测定滴定法</w:t>
            </w:r>
          </w:p>
          <w:p w14:paraId="003DC5CB">
            <w:pPr>
              <w:pStyle w:val="182"/>
              <w:rPr>
                <w:rFonts w:hint="eastAsia"/>
                <w:color w:val="auto"/>
                <w:lang w:val="en-US" w:eastAsia="zh-CN"/>
              </w:rPr>
            </w:pPr>
            <w:r>
              <w:rPr>
                <w:rFonts w:hint="eastAsia"/>
                <w:color w:val="auto"/>
                <w:lang w:val="en-US" w:eastAsia="zh-CN"/>
              </w:rPr>
              <w:t>DZ/T0064.49-2021</w:t>
            </w:r>
          </w:p>
        </w:tc>
        <w:tc>
          <w:tcPr>
            <w:tcW w:w="1311" w:type="pct"/>
            <w:vMerge w:val="restart"/>
            <w:tcBorders>
              <w:bottom w:val="nil"/>
            </w:tcBorders>
            <w:shd w:val="clear" w:color="auto" w:fill="auto"/>
            <w:noWrap w:val="0"/>
            <w:vAlign w:val="center"/>
          </w:tcPr>
          <w:p w14:paraId="56FFDF2D">
            <w:pPr>
              <w:pStyle w:val="182"/>
              <w:rPr>
                <w:rFonts w:hint="eastAsia"/>
                <w:color w:val="auto"/>
                <w:lang w:val="en-US" w:eastAsia="zh-CN"/>
              </w:rPr>
            </w:pPr>
            <w:r>
              <w:rPr>
                <w:rFonts w:hint="eastAsia"/>
                <w:color w:val="auto"/>
                <w:lang w:val="en-US" w:eastAsia="zh-CN"/>
              </w:rPr>
              <w:t>滴定管</w:t>
            </w:r>
          </w:p>
        </w:tc>
        <w:tc>
          <w:tcPr>
            <w:tcW w:w="788" w:type="pct"/>
            <w:shd w:val="clear" w:color="auto" w:fill="auto"/>
            <w:noWrap w:val="0"/>
            <w:vAlign w:val="center"/>
          </w:tcPr>
          <w:p w14:paraId="3CD5A38F">
            <w:pPr>
              <w:pStyle w:val="182"/>
              <w:rPr>
                <w:rFonts w:hint="eastAsia"/>
                <w:color w:val="auto"/>
                <w:lang w:val="en-US" w:eastAsia="zh-CN"/>
              </w:rPr>
            </w:pPr>
            <w:r>
              <w:rPr>
                <w:rFonts w:hint="eastAsia"/>
                <w:color w:val="auto"/>
                <w:lang w:val="en-US" w:eastAsia="zh-CN"/>
              </w:rPr>
              <w:t>5mg/L</w:t>
            </w:r>
          </w:p>
        </w:tc>
        <w:tc>
          <w:tcPr>
            <w:tcW w:w="433" w:type="pct"/>
            <w:vMerge w:val="continue"/>
            <w:tcBorders>
              <w:right w:val="single" w:color="000000" w:sz="6" w:space="0"/>
            </w:tcBorders>
            <w:shd w:val="clear" w:color="auto" w:fill="auto"/>
            <w:noWrap w:val="0"/>
            <w:vAlign w:val="center"/>
          </w:tcPr>
          <w:p w14:paraId="7C7F6CBB">
            <w:pPr>
              <w:pStyle w:val="182"/>
              <w:rPr>
                <w:rFonts w:hint="eastAsia"/>
                <w:color w:val="auto"/>
                <w:lang w:val="en-US" w:eastAsia="zh-CN"/>
              </w:rPr>
            </w:pPr>
          </w:p>
        </w:tc>
      </w:tr>
      <w:tr w14:paraId="20F249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1" w:hRule="atLeast"/>
        </w:trPr>
        <w:tc>
          <w:tcPr>
            <w:tcW w:w="284" w:type="pct"/>
            <w:tcBorders>
              <w:left w:val="single" w:color="000000" w:sz="6" w:space="0"/>
            </w:tcBorders>
            <w:shd w:val="clear" w:color="auto" w:fill="auto"/>
            <w:noWrap w:val="0"/>
            <w:vAlign w:val="center"/>
          </w:tcPr>
          <w:p w14:paraId="262E9C2F">
            <w:pPr>
              <w:pStyle w:val="182"/>
              <w:rPr>
                <w:rFonts w:hint="eastAsia"/>
                <w:color w:val="auto"/>
                <w:lang w:val="en-US" w:eastAsia="zh-CN"/>
              </w:rPr>
            </w:pPr>
            <w:r>
              <w:rPr>
                <w:rFonts w:hint="eastAsia"/>
                <w:color w:val="auto"/>
                <w:lang w:val="en-US" w:eastAsia="zh-CN"/>
              </w:rPr>
              <w:t>6</w:t>
            </w:r>
          </w:p>
        </w:tc>
        <w:tc>
          <w:tcPr>
            <w:tcW w:w="576" w:type="pct"/>
            <w:shd w:val="clear" w:color="auto" w:fill="auto"/>
            <w:noWrap w:val="0"/>
            <w:vAlign w:val="center"/>
          </w:tcPr>
          <w:p w14:paraId="5C65EE2D">
            <w:pPr>
              <w:pStyle w:val="182"/>
              <w:rPr>
                <w:rFonts w:hint="eastAsia"/>
                <w:color w:val="auto"/>
                <w:lang w:val="en-US" w:eastAsia="zh-CN"/>
              </w:rPr>
            </w:pPr>
            <w:r>
              <w:rPr>
                <w:rFonts w:hint="eastAsia"/>
                <w:color w:val="auto"/>
                <w:lang w:val="en-US" w:eastAsia="zh-CN"/>
              </w:rPr>
              <w:t>HCO3-</w:t>
            </w:r>
          </w:p>
        </w:tc>
        <w:tc>
          <w:tcPr>
            <w:tcW w:w="1604" w:type="pct"/>
            <w:vMerge w:val="continue"/>
            <w:tcBorders>
              <w:top w:val="nil"/>
            </w:tcBorders>
            <w:shd w:val="clear" w:color="auto" w:fill="auto"/>
            <w:noWrap w:val="0"/>
            <w:vAlign w:val="center"/>
          </w:tcPr>
          <w:p w14:paraId="47137CA9">
            <w:pPr>
              <w:pStyle w:val="182"/>
              <w:rPr>
                <w:rFonts w:hint="eastAsia"/>
                <w:color w:val="auto"/>
                <w:lang w:val="en-US" w:eastAsia="zh-CN"/>
              </w:rPr>
            </w:pPr>
          </w:p>
        </w:tc>
        <w:tc>
          <w:tcPr>
            <w:tcW w:w="1311" w:type="pct"/>
            <w:vMerge w:val="continue"/>
            <w:tcBorders>
              <w:top w:val="nil"/>
            </w:tcBorders>
            <w:shd w:val="clear" w:color="auto" w:fill="auto"/>
            <w:noWrap w:val="0"/>
            <w:vAlign w:val="center"/>
          </w:tcPr>
          <w:p w14:paraId="1A8EC36E">
            <w:pPr>
              <w:pStyle w:val="182"/>
              <w:rPr>
                <w:rFonts w:hint="eastAsia"/>
                <w:color w:val="auto"/>
                <w:lang w:val="en-US" w:eastAsia="zh-CN"/>
              </w:rPr>
            </w:pPr>
          </w:p>
        </w:tc>
        <w:tc>
          <w:tcPr>
            <w:tcW w:w="788" w:type="pct"/>
            <w:shd w:val="clear" w:color="auto" w:fill="auto"/>
            <w:noWrap w:val="0"/>
            <w:vAlign w:val="center"/>
          </w:tcPr>
          <w:p w14:paraId="16ED7879">
            <w:pPr>
              <w:pStyle w:val="182"/>
              <w:rPr>
                <w:rFonts w:hint="eastAsia"/>
                <w:color w:val="auto"/>
                <w:lang w:val="en-US" w:eastAsia="zh-CN"/>
              </w:rPr>
            </w:pPr>
            <w:r>
              <w:rPr>
                <w:rFonts w:hint="eastAsia"/>
                <w:color w:val="auto"/>
                <w:lang w:val="en-US" w:eastAsia="zh-CN"/>
              </w:rPr>
              <w:t>5mg/L</w:t>
            </w:r>
          </w:p>
        </w:tc>
        <w:tc>
          <w:tcPr>
            <w:tcW w:w="433" w:type="pct"/>
            <w:vMerge w:val="continue"/>
            <w:tcBorders>
              <w:right w:val="single" w:color="000000" w:sz="6" w:space="0"/>
            </w:tcBorders>
            <w:shd w:val="clear" w:color="auto" w:fill="auto"/>
            <w:noWrap w:val="0"/>
            <w:vAlign w:val="center"/>
          </w:tcPr>
          <w:p w14:paraId="3945D732">
            <w:pPr>
              <w:pStyle w:val="182"/>
              <w:rPr>
                <w:rFonts w:hint="eastAsia"/>
                <w:color w:val="auto"/>
                <w:lang w:val="en-US" w:eastAsia="zh-CN"/>
              </w:rPr>
            </w:pPr>
          </w:p>
        </w:tc>
      </w:tr>
      <w:tr w14:paraId="1E4F1D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284" w:type="pct"/>
            <w:tcBorders>
              <w:left w:val="single" w:color="000000" w:sz="6" w:space="0"/>
            </w:tcBorders>
            <w:shd w:val="clear" w:color="auto" w:fill="auto"/>
            <w:noWrap w:val="0"/>
            <w:vAlign w:val="center"/>
          </w:tcPr>
          <w:p w14:paraId="28F08778">
            <w:pPr>
              <w:pStyle w:val="182"/>
              <w:rPr>
                <w:rFonts w:hint="eastAsia"/>
                <w:color w:val="auto"/>
                <w:lang w:val="en-US" w:eastAsia="zh-CN"/>
              </w:rPr>
            </w:pPr>
            <w:r>
              <w:rPr>
                <w:rFonts w:hint="eastAsia"/>
                <w:color w:val="auto"/>
                <w:lang w:val="en-US" w:eastAsia="zh-CN"/>
              </w:rPr>
              <w:t>7</w:t>
            </w:r>
          </w:p>
        </w:tc>
        <w:tc>
          <w:tcPr>
            <w:tcW w:w="576" w:type="pct"/>
            <w:shd w:val="clear" w:color="auto" w:fill="auto"/>
            <w:noWrap w:val="0"/>
            <w:vAlign w:val="center"/>
          </w:tcPr>
          <w:p w14:paraId="29AF5AF3">
            <w:pPr>
              <w:pStyle w:val="182"/>
              <w:rPr>
                <w:rFonts w:hint="eastAsia"/>
                <w:color w:val="auto"/>
                <w:lang w:val="en-US" w:eastAsia="zh-CN"/>
              </w:rPr>
            </w:pPr>
            <w:r>
              <w:rPr>
                <w:rFonts w:hint="eastAsia"/>
                <w:color w:val="auto"/>
                <w:lang w:val="en-US" w:eastAsia="zh-CN"/>
              </w:rPr>
              <w:t>Cl-</w:t>
            </w:r>
          </w:p>
        </w:tc>
        <w:tc>
          <w:tcPr>
            <w:tcW w:w="1604" w:type="pct"/>
            <w:vMerge w:val="restart"/>
            <w:tcBorders>
              <w:bottom w:val="nil"/>
            </w:tcBorders>
            <w:shd w:val="clear" w:color="auto" w:fill="auto"/>
            <w:noWrap w:val="0"/>
            <w:vAlign w:val="center"/>
          </w:tcPr>
          <w:p w14:paraId="4325D253">
            <w:pPr>
              <w:pStyle w:val="182"/>
              <w:rPr>
                <w:rFonts w:hint="eastAsia"/>
                <w:color w:val="auto"/>
                <w:lang w:val="en-US" w:eastAsia="zh-CN"/>
              </w:rPr>
            </w:pPr>
            <w:r>
              <w:rPr>
                <w:rFonts w:hint="eastAsia"/>
                <w:color w:val="auto"/>
                <w:lang w:val="en-US" w:eastAsia="zh-CN"/>
              </w:rPr>
              <w:t>水质无机阴离子(F-、Cl-、NO2-、Br-、NO3-、PO43-、SO32-、SO42-)的测定离子色</w:t>
            </w:r>
          </w:p>
          <w:p w14:paraId="4C5A1A79">
            <w:pPr>
              <w:pStyle w:val="182"/>
              <w:rPr>
                <w:rFonts w:hint="eastAsia"/>
                <w:color w:val="auto"/>
                <w:lang w:val="en-US" w:eastAsia="zh-CN"/>
              </w:rPr>
            </w:pPr>
            <w:r>
              <w:rPr>
                <w:rFonts w:hint="eastAsia"/>
                <w:color w:val="auto"/>
                <w:lang w:val="en-US" w:eastAsia="zh-CN"/>
              </w:rPr>
              <w:t>谱法HJ84-2016</w:t>
            </w:r>
          </w:p>
        </w:tc>
        <w:tc>
          <w:tcPr>
            <w:tcW w:w="1311" w:type="pct"/>
            <w:vMerge w:val="restart"/>
            <w:tcBorders>
              <w:bottom w:val="nil"/>
            </w:tcBorders>
            <w:shd w:val="clear" w:color="auto" w:fill="auto"/>
            <w:noWrap w:val="0"/>
            <w:vAlign w:val="center"/>
          </w:tcPr>
          <w:p w14:paraId="29F340E0">
            <w:pPr>
              <w:pStyle w:val="182"/>
              <w:rPr>
                <w:rFonts w:hint="eastAsia"/>
                <w:color w:val="auto"/>
                <w:lang w:val="en-US" w:eastAsia="zh-CN"/>
              </w:rPr>
            </w:pPr>
          </w:p>
          <w:p w14:paraId="0DF81DE2">
            <w:pPr>
              <w:pStyle w:val="182"/>
              <w:rPr>
                <w:rFonts w:hint="eastAsia"/>
                <w:color w:val="auto"/>
                <w:lang w:val="en-US" w:eastAsia="zh-CN"/>
              </w:rPr>
            </w:pPr>
            <w:r>
              <w:rPr>
                <w:rFonts w:hint="eastAsia"/>
                <w:color w:val="auto"/>
                <w:lang w:val="en-US" w:eastAsia="zh-CN"/>
              </w:rPr>
              <w:t>离子色谱仪CIC-D100</w:t>
            </w:r>
          </w:p>
        </w:tc>
        <w:tc>
          <w:tcPr>
            <w:tcW w:w="788" w:type="pct"/>
            <w:shd w:val="clear" w:color="auto" w:fill="auto"/>
            <w:noWrap w:val="0"/>
            <w:vAlign w:val="center"/>
          </w:tcPr>
          <w:p w14:paraId="78A3DFC6">
            <w:pPr>
              <w:pStyle w:val="182"/>
              <w:rPr>
                <w:rFonts w:hint="eastAsia"/>
                <w:color w:val="auto"/>
                <w:lang w:val="en-US" w:eastAsia="zh-CN"/>
              </w:rPr>
            </w:pPr>
            <w:r>
              <w:rPr>
                <w:rFonts w:hint="eastAsia"/>
                <w:color w:val="auto"/>
                <w:lang w:val="en-US" w:eastAsia="zh-CN"/>
              </w:rPr>
              <w:t>0.007mg/L</w:t>
            </w:r>
          </w:p>
        </w:tc>
        <w:tc>
          <w:tcPr>
            <w:tcW w:w="433" w:type="pct"/>
            <w:vMerge w:val="continue"/>
            <w:tcBorders>
              <w:right w:val="single" w:color="000000" w:sz="6" w:space="0"/>
            </w:tcBorders>
            <w:shd w:val="clear" w:color="auto" w:fill="auto"/>
            <w:noWrap w:val="0"/>
            <w:vAlign w:val="center"/>
          </w:tcPr>
          <w:p w14:paraId="4BC18DCC">
            <w:pPr>
              <w:pStyle w:val="182"/>
              <w:rPr>
                <w:rFonts w:hint="eastAsia"/>
                <w:color w:val="auto"/>
                <w:lang w:val="en-US" w:eastAsia="zh-CN"/>
              </w:rPr>
            </w:pPr>
          </w:p>
        </w:tc>
      </w:tr>
      <w:tr w14:paraId="5CFFAD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2" w:hRule="atLeast"/>
        </w:trPr>
        <w:tc>
          <w:tcPr>
            <w:tcW w:w="284" w:type="pct"/>
            <w:tcBorders>
              <w:left w:val="single" w:color="000000" w:sz="6" w:space="0"/>
            </w:tcBorders>
            <w:shd w:val="clear" w:color="auto" w:fill="auto"/>
            <w:noWrap w:val="0"/>
            <w:vAlign w:val="center"/>
          </w:tcPr>
          <w:p w14:paraId="0E3C1C8D">
            <w:pPr>
              <w:pStyle w:val="182"/>
              <w:rPr>
                <w:rFonts w:hint="eastAsia"/>
                <w:color w:val="auto"/>
                <w:lang w:val="en-US" w:eastAsia="zh-CN"/>
              </w:rPr>
            </w:pPr>
            <w:r>
              <w:rPr>
                <w:rFonts w:hint="eastAsia"/>
                <w:color w:val="auto"/>
                <w:lang w:val="en-US" w:eastAsia="zh-CN"/>
              </w:rPr>
              <w:t>8</w:t>
            </w:r>
          </w:p>
        </w:tc>
        <w:tc>
          <w:tcPr>
            <w:tcW w:w="576" w:type="pct"/>
            <w:shd w:val="clear" w:color="auto" w:fill="auto"/>
            <w:noWrap w:val="0"/>
            <w:vAlign w:val="center"/>
          </w:tcPr>
          <w:p w14:paraId="3E118014">
            <w:pPr>
              <w:pStyle w:val="182"/>
              <w:rPr>
                <w:rFonts w:hint="eastAsia"/>
                <w:color w:val="auto"/>
                <w:lang w:val="en-US" w:eastAsia="zh-CN"/>
              </w:rPr>
            </w:pPr>
            <w:r>
              <w:rPr>
                <w:rFonts w:hint="eastAsia"/>
                <w:color w:val="auto"/>
                <w:lang w:val="en-US" w:eastAsia="zh-CN"/>
              </w:rPr>
              <w:t>SO42-</w:t>
            </w:r>
          </w:p>
        </w:tc>
        <w:tc>
          <w:tcPr>
            <w:tcW w:w="1604" w:type="pct"/>
            <w:vMerge w:val="continue"/>
            <w:tcBorders>
              <w:top w:val="nil"/>
            </w:tcBorders>
            <w:shd w:val="clear" w:color="auto" w:fill="auto"/>
            <w:noWrap w:val="0"/>
            <w:vAlign w:val="center"/>
          </w:tcPr>
          <w:p w14:paraId="60D6C3B6">
            <w:pPr>
              <w:pStyle w:val="182"/>
              <w:rPr>
                <w:rFonts w:hint="eastAsia"/>
                <w:color w:val="auto"/>
                <w:lang w:val="en-US" w:eastAsia="zh-CN"/>
              </w:rPr>
            </w:pPr>
          </w:p>
        </w:tc>
        <w:tc>
          <w:tcPr>
            <w:tcW w:w="1311" w:type="pct"/>
            <w:vMerge w:val="continue"/>
            <w:tcBorders>
              <w:top w:val="nil"/>
            </w:tcBorders>
            <w:shd w:val="clear" w:color="auto" w:fill="auto"/>
            <w:noWrap w:val="0"/>
            <w:vAlign w:val="center"/>
          </w:tcPr>
          <w:p w14:paraId="1F77F58E">
            <w:pPr>
              <w:pStyle w:val="182"/>
              <w:rPr>
                <w:rFonts w:hint="eastAsia"/>
                <w:color w:val="auto"/>
                <w:lang w:val="en-US" w:eastAsia="zh-CN"/>
              </w:rPr>
            </w:pPr>
          </w:p>
        </w:tc>
        <w:tc>
          <w:tcPr>
            <w:tcW w:w="788" w:type="pct"/>
            <w:shd w:val="clear" w:color="auto" w:fill="auto"/>
            <w:noWrap w:val="0"/>
            <w:vAlign w:val="center"/>
          </w:tcPr>
          <w:p w14:paraId="1D9BC882">
            <w:pPr>
              <w:pStyle w:val="182"/>
              <w:rPr>
                <w:rFonts w:hint="eastAsia"/>
                <w:color w:val="auto"/>
                <w:lang w:val="en-US" w:eastAsia="zh-CN"/>
              </w:rPr>
            </w:pPr>
            <w:r>
              <w:rPr>
                <w:rFonts w:hint="eastAsia"/>
                <w:color w:val="auto"/>
                <w:lang w:val="en-US" w:eastAsia="zh-CN"/>
              </w:rPr>
              <w:t>0.018mg/L</w:t>
            </w:r>
          </w:p>
        </w:tc>
        <w:tc>
          <w:tcPr>
            <w:tcW w:w="433" w:type="pct"/>
            <w:vMerge w:val="continue"/>
            <w:tcBorders>
              <w:right w:val="single" w:color="000000" w:sz="6" w:space="0"/>
            </w:tcBorders>
            <w:shd w:val="clear" w:color="auto" w:fill="auto"/>
            <w:noWrap w:val="0"/>
            <w:vAlign w:val="center"/>
          </w:tcPr>
          <w:p w14:paraId="24219286">
            <w:pPr>
              <w:pStyle w:val="182"/>
              <w:rPr>
                <w:rFonts w:hint="eastAsia"/>
                <w:color w:val="auto"/>
                <w:lang w:val="en-US" w:eastAsia="zh-CN"/>
              </w:rPr>
            </w:pPr>
          </w:p>
        </w:tc>
      </w:tr>
      <w:tr w14:paraId="2A0799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284" w:type="pct"/>
            <w:tcBorders>
              <w:left w:val="single" w:color="000000" w:sz="6" w:space="0"/>
            </w:tcBorders>
            <w:shd w:val="clear" w:color="auto" w:fill="auto"/>
            <w:noWrap w:val="0"/>
            <w:vAlign w:val="center"/>
          </w:tcPr>
          <w:p w14:paraId="72C87327">
            <w:pPr>
              <w:pStyle w:val="182"/>
              <w:rPr>
                <w:rFonts w:hint="eastAsia"/>
                <w:color w:val="auto"/>
                <w:lang w:val="en-US" w:eastAsia="zh-CN"/>
              </w:rPr>
            </w:pPr>
            <w:r>
              <w:rPr>
                <w:rFonts w:hint="eastAsia"/>
                <w:color w:val="auto"/>
                <w:lang w:val="en-US" w:eastAsia="zh-CN"/>
              </w:rPr>
              <w:t>9</w:t>
            </w:r>
          </w:p>
        </w:tc>
        <w:tc>
          <w:tcPr>
            <w:tcW w:w="576" w:type="pct"/>
            <w:shd w:val="clear" w:color="auto" w:fill="auto"/>
            <w:noWrap w:val="0"/>
            <w:vAlign w:val="center"/>
          </w:tcPr>
          <w:p w14:paraId="3656988E">
            <w:pPr>
              <w:pStyle w:val="182"/>
              <w:rPr>
                <w:rFonts w:hint="eastAsia"/>
                <w:color w:val="auto"/>
                <w:lang w:val="en-US" w:eastAsia="zh-CN"/>
              </w:rPr>
            </w:pPr>
            <w:r>
              <w:rPr>
                <w:rFonts w:hint="eastAsia"/>
                <w:color w:val="auto"/>
                <w:lang w:val="en-US" w:eastAsia="zh-CN"/>
              </w:rPr>
              <w:t>pH值</w:t>
            </w:r>
          </w:p>
        </w:tc>
        <w:tc>
          <w:tcPr>
            <w:tcW w:w="1604" w:type="pct"/>
            <w:shd w:val="clear" w:color="auto" w:fill="auto"/>
            <w:noWrap w:val="0"/>
            <w:vAlign w:val="center"/>
          </w:tcPr>
          <w:p w14:paraId="33F21FBE">
            <w:pPr>
              <w:pStyle w:val="182"/>
              <w:rPr>
                <w:rFonts w:hint="eastAsia"/>
                <w:color w:val="auto"/>
                <w:lang w:val="en-US" w:eastAsia="zh-CN"/>
              </w:rPr>
            </w:pPr>
            <w:r>
              <w:rPr>
                <w:rFonts w:hint="eastAsia"/>
                <w:color w:val="auto"/>
                <w:lang w:val="en-US" w:eastAsia="zh-CN"/>
              </w:rPr>
              <w:t>水质pH值的测定电极法HJ1147-2020</w:t>
            </w:r>
          </w:p>
        </w:tc>
        <w:tc>
          <w:tcPr>
            <w:tcW w:w="1311" w:type="pct"/>
            <w:shd w:val="clear" w:color="auto" w:fill="auto"/>
            <w:noWrap w:val="0"/>
            <w:vAlign w:val="center"/>
          </w:tcPr>
          <w:p w14:paraId="1F79ECDF">
            <w:pPr>
              <w:pStyle w:val="182"/>
              <w:rPr>
                <w:rFonts w:hint="eastAsia"/>
                <w:color w:val="auto"/>
                <w:lang w:val="en-US" w:eastAsia="zh-CN"/>
              </w:rPr>
            </w:pPr>
            <w:r>
              <w:rPr>
                <w:rFonts w:hint="eastAsia"/>
                <w:color w:val="auto"/>
                <w:lang w:val="en-US" w:eastAsia="zh-CN"/>
              </w:rPr>
              <w:t>PHB-4</w:t>
            </w:r>
          </w:p>
          <w:p w14:paraId="064B6FE2">
            <w:pPr>
              <w:pStyle w:val="182"/>
              <w:rPr>
                <w:rFonts w:hint="eastAsia"/>
                <w:color w:val="auto"/>
                <w:lang w:val="en-US" w:eastAsia="zh-CN"/>
              </w:rPr>
            </w:pPr>
            <w:r>
              <w:rPr>
                <w:rFonts w:hint="eastAsia"/>
                <w:color w:val="auto"/>
                <w:lang w:val="en-US" w:eastAsia="zh-CN"/>
              </w:rPr>
              <w:t>便携式酸度计</w:t>
            </w:r>
          </w:p>
        </w:tc>
        <w:tc>
          <w:tcPr>
            <w:tcW w:w="788" w:type="pct"/>
            <w:shd w:val="clear" w:color="auto" w:fill="auto"/>
            <w:noWrap w:val="0"/>
            <w:vAlign w:val="center"/>
          </w:tcPr>
          <w:p w14:paraId="306F32C8">
            <w:pPr>
              <w:pStyle w:val="182"/>
              <w:rPr>
                <w:rFonts w:hint="eastAsia"/>
                <w:color w:val="auto"/>
                <w:lang w:val="en-US" w:eastAsia="zh-CN"/>
              </w:rPr>
            </w:pPr>
            <w:r>
              <w:rPr>
                <w:rFonts w:hint="eastAsia"/>
                <w:color w:val="auto"/>
                <w:lang w:val="en-US" w:eastAsia="zh-CN"/>
              </w:rPr>
              <w:t>/</w:t>
            </w:r>
          </w:p>
        </w:tc>
        <w:tc>
          <w:tcPr>
            <w:tcW w:w="433" w:type="pct"/>
            <w:vMerge w:val="continue"/>
            <w:tcBorders>
              <w:right w:val="single" w:color="000000" w:sz="6" w:space="0"/>
            </w:tcBorders>
            <w:shd w:val="clear" w:color="auto" w:fill="auto"/>
            <w:noWrap w:val="0"/>
            <w:vAlign w:val="center"/>
          </w:tcPr>
          <w:p w14:paraId="7ADCF87D">
            <w:pPr>
              <w:pStyle w:val="182"/>
              <w:rPr>
                <w:rFonts w:hint="eastAsia"/>
                <w:color w:val="auto"/>
                <w:lang w:val="en-US" w:eastAsia="zh-CN"/>
              </w:rPr>
            </w:pPr>
          </w:p>
        </w:tc>
      </w:tr>
      <w:tr w14:paraId="1DF53D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trPr>
        <w:tc>
          <w:tcPr>
            <w:tcW w:w="284" w:type="pct"/>
            <w:tcBorders>
              <w:left w:val="single" w:color="000000" w:sz="6" w:space="0"/>
            </w:tcBorders>
            <w:shd w:val="clear" w:color="auto" w:fill="auto"/>
            <w:noWrap w:val="0"/>
            <w:vAlign w:val="center"/>
          </w:tcPr>
          <w:p w14:paraId="637AABDD">
            <w:pPr>
              <w:pStyle w:val="182"/>
              <w:rPr>
                <w:rFonts w:hint="eastAsia"/>
                <w:color w:val="auto"/>
                <w:lang w:val="en-US" w:eastAsia="zh-CN"/>
              </w:rPr>
            </w:pPr>
            <w:r>
              <w:rPr>
                <w:rFonts w:hint="eastAsia"/>
                <w:color w:val="auto"/>
                <w:lang w:val="en-US" w:eastAsia="zh-CN"/>
              </w:rPr>
              <w:t>10</w:t>
            </w:r>
          </w:p>
        </w:tc>
        <w:tc>
          <w:tcPr>
            <w:tcW w:w="576" w:type="pct"/>
            <w:shd w:val="clear" w:color="auto" w:fill="auto"/>
            <w:noWrap w:val="0"/>
            <w:vAlign w:val="center"/>
          </w:tcPr>
          <w:p w14:paraId="69D31541">
            <w:pPr>
              <w:pStyle w:val="182"/>
              <w:rPr>
                <w:rFonts w:hint="eastAsia"/>
                <w:color w:val="auto"/>
                <w:lang w:val="en-US" w:eastAsia="zh-CN"/>
              </w:rPr>
            </w:pPr>
            <w:r>
              <w:rPr>
                <w:rFonts w:hint="eastAsia"/>
                <w:color w:val="auto"/>
                <w:lang w:val="en-US" w:eastAsia="zh-CN"/>
              </w:rPr>
              <w:t>氨氮</w:t>
            </w:r>
          </w:p>
        </w:tc>
        <w:tc>
          <w:tcPr>
            <w:tcW w:w="1604" w:type="pct"/>
            <w:tcBorders>
              <w:bottom w:val="single" w:color="000000" w:sz="2" w:space="0"/>
            </w:tcBorders>
            <w:shd w:val="clear" w:color="auto" w:fill="auto"/>
            <w:noWrap w:val="0"/>
            <w:vAlign w:val="center"/>
          </w:tcPr>
          <w:p w14:paraId="16669E7A">
            <w:pPr>
              <w:pStyle w:val="182"/>
              <w:rPr>
                <w:rFonts w:hint="eastAsia"/>
                <w:color w:val="auto"/>
                <w:lang w:val="en-US" w:eastAsia="zh-CN"/>
              </w:rPr>
            </w:pPr>
            <w:r>
              <w:rPr>
                <w:rFonts w:hint="eastAsia"/>
                <w:color w:val="auto"/>
                <w:lang w:val="en-US" w:eastAsia="zh-CN"/>
              </w:rPr>
              <w:t>水质氨氮的测定纳氏试剂分光光度法HJ535-2009</w:t>
            </w:r>
          </w:p>
        </w:tc>
        <w:tc>
          <w:tcPr>
            <w:tcW w:w="1311" w:type="pct"/>
            <w:tcBorders>
              <w:bottom w:val="single" w:color="000000" w:sz="2" w:space="0"/>
            </w:tcBorders>
            <w:shd w:val="clear" w:color="auto" w:fill="auto"/>
            <w:noWrap w:val="0"/>
            <w:vAlign w:val="center"/>
          </w:tcPr>
          <w:p w14:paraId="52C8F19C">
            <w:pPr>
              <w:pStyle w:val="182"/>
              <w:rPr>
                <w:rFonts w:hint="eastAsia"/>
                <w:color w:val="auto"/>
                <w:lang w:val="en-US" w:eastAsia="zh-CN"/>
              </w:rPr>
            </w:pPr>
            <w:r>
              <w:rPr>
                <w:rFonts w:hint="eastAsia"/>
                <w:color w:val="auto"/>
                <w:lang w:val="en-US" w:eastAsia="zh-CN"/>
              </w:rPr>
              <w:t>可见分光光度计V1200</w:t>
            </w:r>
          </w:p>
        </w:tc>
        <w:tc>
          <w:tcPr>
            <w:tcW w:w="788" w:type="pct"/>
            <w:shd w:val="clear" w:color="auto" w:fill="auto"/>
            <w:noWrap w:val="0"/>
            <w:vAlign w:val="center"/>
          </w:tcPr>
          <w:p w14:paraId="0AAFB910">
            <w:pPr>
              <w:pStyle w:val="182"/>
              <w:rPr>
                <w:rFonts w:hint="eastAsia"/>
                <w:color w:val="auto"/>
                <w:lang w:val="en-US" w:eastAsia="zh-CN"/>
              </w:rPr>
            </w:pPr>
            <w:r>
              <w:rPr>
                <w:rFonts w:hint="eastAsia"/>
                <w:color w:val="auto"/>
                <w:lang w:val="en-US" w:eastAsia="zh-CN"/>
              </w:rPr>
              <w:t>0.025mg/L</w:t>
            </w:r>
          </w:p>
        </w:tc>
        <w:tc>
          <w:tcPr>
            <w:tcW w:w="433" w:type="pct"/>
            <w:vMerge w:val="continue"/>
            <w:tcBorders>
              <w:right w:val="single" w:color="000000" w:sz="6" w:space="0"/>
            </w:tcBorders>
            <w:shd w:val="clear" w:color="auto" w:fill="auto"/>
            <w:noWrap w:val="0"/>
            <w:vAlign w:val="center"/>
          </w:tcPr>
          <w:p w14:paraId="2AC24EE0">
            <w:pPr>
              <w:pStyle w:val="182"/>
              <w:rPr>
                <w:rFonts w:hint="eastAsia"/>
                <w:color w:val="auto"/>
                <w:lang w:val="en-US" w:eastAsia="zh-CN"/>
              </w:rPr>
            </w:pPr>
          </w:p>
        </w:tc>
      </w:tr>
      <w:tr w14:paraId="51CE12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0" w:hRule="atLeast"/>
        </w:trPr>
        <w:tc>
          <w:tcPr>
            <w:tcW w:w="284" w:type="pct"/>
            <w:tcBorders>
              <w:left w:val="single" w:color="000000" w:sz="6" w:space="0"/>
            </w:tcBorders>
            <w:shd w:val="clear" w:color="auto" w:fill="auto"/>
            <w:noWrap w:val="0"/>
            <w:vAlign w:val="center"/>
          </w:tcPr>
          <w:p w14:paraId="2A789884">
            <w:pPr>
              <w:pStyle w:val="182"/>
              <w:rPr>
                <w:rFonts w:hint="eastAsia"/>
                <w:color w:val="auto"/>
                <w:lang w:val="en-US" w:eastAsia="zh-CN"/>
              </w:rPr>
            </w:pPr>
            <w:r>
              <w:rPr>
                <w:rFonts w:hint="eastAsia"/>
                <w:color w:val="auto"/>
                <w:lang w:val="en-US" w:eastAsia="zh-CN"/>
              </w:rPr>
              <w:t>11</w:t>
            </w:r>
          </w:p>
        </w:tc>
        <w:tc>
          <w:tcPr>
            <w:tcW w:w="576" w:type="pct"/>
            <w:shd w:val="clear" w:color="auto" w:fill="auto"/>
            <w:noWrap w:val="0"/>
            <w:vAlign w:val="center"/>
          </w:tcPr>
          <w:p w14:paraId="11022BED">
            <w:pPr>
              <w:pStyle w:val="182"/>
              <w:rPr>
                <w:rFonts w:hint="eastAsia"/>
                <w:color w:val="auto"/>
                <w:lang w:val="en-US" w:eastAsia="zh-CN"/>
              </w:rPr>
            </w:pPr>
            <w:r>
              <w:rPr>
                <w:rFonts w:hint="eastAsia"/>
                <w:color w:val="auto"/>
                <w:lang w:val="en-US" w:eastAsia="zh-CN"/>
              </w:rPr>
              <w:t>硝酸盐</w:t>
            </w:r>
          </w:p>
        </w:tc>
        <w:tc>
          <w:tcPr>
            <w:tcW w:w="1604" w:type="pct"/>
            <w:tcBorders>
              <w:top w:val="single" w:color="000000" w:sz="2" w:space="0"/>
            </w:tcBorders>
            <w:shd w:val="clear" w:color="auto" w:fill="auto"/>
            <w:noWrap w:val="0"/>
            <w:vAlign w:val="center"/>
          </w:tcPr>
          <w:p w14:paraId="1013A8B4">
            <w:pPr>
              <w:pStyle w:val="182"/>
              <w:rPr>
                <w:rFonts w:hint="eastAsia"/>
                <w:color w:val="auto"/>
                <w:lang w:val="en-US" w:eastAsia="zh-CN"/>
              </w:rPr>
            </w:pPr>
            <w:r>
              <w:rPr>
                <w:rFonts w:hint="eastAsia"/>
                <w:color w:val="auto"/>
                <w:lang w:val="en-US" w:eastAsia="zh-CN"/>
              </w:rPr>
              <w:t>水质硝酸盐氮的测定紫外</w:t>
            </w:r>
          </w:p>
          <w:p w14:paraId="6CCEA955">
            <w:pPr>
              <w:pStyle w:val="182"/>
              <w:rPr>
                <w:rFonts w:hint="eastAsia"/>
                <w:color w:val="auto"/>
                <w:lang w:val="en-US" w:eastAsia="zh-CN"/>
              </w:rPr>
            </w:pPr>
            <w:r>
              <w:rPr>
                <w:rFonts w:hint="eastAsia"/>
                <w:color w:val="auto"/>
                <w:lang w:val="en-US" w:eastAsia="zh-CN"/>
              </w:rPr>
              <w:t>分光光度法（试行）HJ/T</w:t>
            </w:r>
          </w:p>
          <w:p w14:paraId="114A2B10">
            <w:pPr>
              <w:pStyle w:val="182"/>
              <w:rPr>
                <w:rFonts w:hint="eastAsia"/>
                <w:color w:val="auto"/>
                <w:lang w:val="en-US" w:eastAsia="zh-CN"/>
              </w:rPr>
            </w:pPr>
            <w:r>
              <w:rPr>
                <w:rFonts w:hint="eastAsia"/>
                <w:color w:val="auto"/>
                <w:lang w:val="en-US" w:eastAsia="zh-CN"/>
              </w:rPr>
              <w:t>346-2007</w:t>
            </w:r>
          </w:p>
        </w:tc>
        <w:tc>
          <w:tcPr>
            <w:tcW w:w="1311" w:type="pct"/>
            <w:tcBorders>
              <w:top w:val="single" w:color="000000" w:sz="2" w:space="0"/>
            </w:tcBorders>
            <w:shd w:val="clear" w:color="auto" w:fill="auto"/>
            <w:noWrap w:val="0"/>
            <w:vAlign w:val="center"/>
          </w:tcPr>
          <w:p w14:paraId="3C199F7E">
            <w:pPr>
              <w:pStyle w:val="182"/>
              <w:rPr>
                <w:rFonts w:hint="eastAsia"/>
                <w:color w:val="auto"/>
                <w:lang w:val="en-US" w:eastAsia="zh-CN"/>
              </w:rPr>
            </w:pPr>
            <w:r>
              <w:rPr>
                <w:rFonts w:hint="eastAsia"/>
                <w:color w:val="auto"/>
                <w:lang w:val="en-US" w:eastAsia="zh-CN"/>
              </w:rPr>
              <w:t>紫外可见分光光度计T6新世纪</w:t>
            </w:r>
          </w:p>
        </w:tc>
        <w:tc>
          <w:tcPr>
            <w:tcW w:w="788" w:type="pct"/>
            <w:shd w:val="clear" w:color="auto" w:fill="auto"/>
            <w:noWrap w:val="0"/>
            <w:vAlign w:val="center"/>
          </w:tcPr>
          <w:p w14:paraId="20174B07">
            <w:pPr>
              <w:pStyle w:val="182"/>
              <w:rPr>
                <w:rFonts w:hint="eastAsia"/>
                <w:color w:val="auto"/>
                <w:lang w:val="en-US" w:eastAsia="zh-CN"/>
              </w:rPr>
            </w:pPr>
            <w:r>
              <w:rPr>
                <w:rFonts w:hint="eastAsia"/>
                <w:color w:val="auto"/>
                <w:lang w:val="en-US" w:eastAsia="zh-CN"/>
              </w:rPr>
              <w:t>0.08mg/L</w:t>
            </w:r>
          </w:p>
        </w:tc>
        <w:tc>
          <w:tcPr>
            <w:tcW w:w="433" w:type="pct"/>
            <w:vMerge w:val="continue"/>
            <w:tcBorders>
              <w:right w:val="single" w:color="000000" w:sz="6" w:space="0"/>
            </w:tcBorders>
            <w:shd w:val="clear" w:color="auto" w:fill="auto"/>
            <w:noWrap w:val="0"/>
            <w:vAlign w:val="center"/>
          </w:tcPr>
          <w:p w14:paraId="4ACC66DB">
            <w:pPr>
              <w:pStyle w:val="182"/>
              <w:rPr>
                <w:rFonts w:hint="eastAsia"/>
                <w:color w:val="auto"/>
                <w:lang w:val="en-US" w:eastAsia="zh-CN"/>
              </w:rPr>
            </w:pPr>
          </w:p>
        </w:tc>
      </w:tr>
      <w:tr w14:paraId="709031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284" w:type="pct"/>
            <w:tcBorders>
              <w:left w:val="single" w:color="000000" w:sz="6" w:space="0"/>
            </w:tcBorders>
            <w:shd w:val="clear" w:color="auto" w:fill="auto"/>
            <w:noWrap w:val="0"/>
            <w:vAlign w:val="center"/>
          </w:tcPr>
          <w:p w14:paraId="4EFCE55E">
            <w:pPr>
              <w:pStyle w:val="182"/>
              <w:rPr>
                <w:rFonts w:hint="eastAsia"/>
                <w:color w:val="auto"/>
                <w:lang w:val="en-US" w:eastAsia="zh-CN"/>
              </w:rPr>
            </w:pPr>
            <w:r>
              <w:rPr>
                <w:rFonts w:hint="eastAsia"/>
                <w:color w:val="auto"/>
                <w:lang w:val="en-US" w:eastAsia="zh-CN"/>
              </w:rPr>
              <w:t>12</w:t>
            </w:r>
          </w:p>
        </w:tc>
        <w:tc>
          <w:tcPr>
            <w:tcW w:w="576" w:type="pct"/>
            <w:shd w:val="clear" w:color="auto" w:fill="auto"/>
            <w:noWrap w:val="0"/>
            <w:vAlign w:val="center"/>
          </w:tcPr>
          <w:p w14:paraId="3B3212CB">
            <w:pPr>
              <w:pStyle w:val="182"/>
              <w:rPr>
                <w:rFonts w:hint="eastAsia"/>
                <w:color w:val="auto"/>
                <w:lang w:val="en-US" w:eastAsia="zh-CN"/>
              </w:rPr>
            </w:pPr>
            <w:r>
              <w:rPr>
                <w:rFonts w:hint="eastAsia"/>
                <w:color w:val="auto"/>
                <w:lang w:val="en-US" w:eastAsia="zh-CN"/>
              </w:rPr>
              <w:t>亚硝酸盐</w:t>
            </w:r>
          </w:p>
        </w:tc>
        <w:tc>
          <w:tcPr>
            <w:tcW w:w="1604" w:type="pct"/>
            <w:shd w:val="clear" w:color="auto" w:fill="auto"/>
            <w:noWrap w:val="0"/>
            <w:vAlign w:val="center"/>
          </w:tcPr>
          <w:p w14:paraId="5673FFB1">
            <w:pPr>
              <w:pStyle w:val="182"/>
              <w:rPr>
                <w:rFonts w:hint="eastAsia"/>
                <w:color w:val="auto"/>
                <w:lang w:val="en-US" w:eastAsia="zh-CN"/>
              </w:rPr>
            </w:pPr>
            <w:r>
              <w:rPr>
                <w:rFonts w:hint="eastAsia"/>
                <w:color w:val="auto"/>
                <w:lang w:val="en-US" w:eastAsia="zh-CN"/>
              </w:rPr>
              <w:t>水质亚硝酸盐氮的测定分光光度法GB/T7493-1987</w:t>
            </w:r>
          </w:p>
        </w:tc>
        <w:tc>
          <w:tcPr>
            <w:tcW w:w="1311" w:type="pct"/>
            <w:shd w:val="clear" w:color="auto" w:fill="auto"/>
            <w:noWrap w:val="0"/>
            <w:vAlign w:val="center"/>
          </w:tcPr>
          <w:p w14:paraId="6BA8A4A2">
            <w:pPr>
              <w:pStyle w:val="182"/>
              <w:rPr>
                <w:rFonts w:hint="eastAsia"/>
                <w:color w:val="auto"/>
                <w:lang w:val="en-US" w:eastAsia="zh-CN"/>
              </w:rPr>
            </w:pPr>
            <w:r>
              <w:rPr>
                <w:rFonts w:hint="eastAsia"/>
                <w:color w:val="auto"/>
                <w:lang w:val="en-US" w:eastAsia="zh-CN"/>
              </w:rPr>
              <w:t>紫外可见分光光度计T6新世纪</w:t>
            </w:r>
          </w:p>
        </w:tc>
        <w:tc>
          <w:tcPr>
            <w:tcW w:w="788" w:type="pct"/>
            <w:shd w:val="clear" w:color="auto" w:fill="auto"/>
            <w:noWrap w:val="0"/>
            <w:vAlign w:val="center"/>
          </w:tcPr>
          <w:p w14:paraId="43554F09">
            <w:pPr>
              <w:pStyle w:val="182"/>
              <w:rPr>
                <w:rFonts w:hint="eastAsia"/>
                <w:color w:val="auto"/>
                <w:lang w:val="en-US" w:eastAsia="zh-CN"/>
              </w:rPr>
            </w:pPr>
            <w:r>
              <w:rPr>
                <w:rFonts w:hint="eastAsia"/>
                <w:color w:val="auto"/>
                <w:lang w:val="en-US" w:eastAsia="zh-CN"/>
              </w:rPr>
              <w:t>0.003mg/L</w:t>
            </w:r>
          </w:p>
        </w:tc>
        <w:tc>
          <w:tcPr>
            <w:tcW w:w="433" w:type="pct"/>
            <w:vMerge w:val="continue"/>
            <w:tcBorders>
              <w:right w:val="single" w:color="000000" w:sz="6" w:space="0"/>
            </w:tcBorders>
            <w:shd w:val="clear" w:color="auto" w:fill="auto"/>
            <w:noWrap w:val="0"/>
            <w:vAlign w:val="center"/>
          </w:tcPr>
          <w:p w14:paraId="49607467">
            <w:pPr>
              <w:pStyle w:val="182"/>
              <w:rPr>
                <w:rFonts w:hint="eastAsia"/>
                <w:color w:val="auto"/>
                <w:lang w:val="en-US" w:eastAsia="zh-CN"/>
              </w:rPr>
            </w:pPr>
          </w:p>
        </w:tc>
      </w:tr>
      <w:tr w14:paraId="2838F9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2C93AFDF">
            <w:pPr>
              <w:pStyle w:val="182"/>
              <w:rPr>
                <w:rFonts w:hint="eastAsia"/>
                <w:color w:val="auto"/>
                <w:lang w:val="en-US" w:eastAsia="zh-CN"/>
              </w:rPr>
            </w:pPr>
            <w:r>
              <w:rPr>
                <w:rFonts w:hint="eastAsia"/>
                <w:color w:val="auto"/>
                <w:lang w:val="en-US" w:eastAsia="zh-CN"/>
              </w:rPr>
              <w:t>13</w:t>
            </w:r>
          </w:p>
        </w:tc>
        <w:tc>
          <w:tcPr>
            <w:tcW w:w="576" w:type="pct"/>
            <w:shd w:val="clear" w:color="auto" w:fill="auto"/>
            <w:noWrap w:val="0"/>
            <w:vAlign w:val="center"/>
          </w:tcPr>
          <w:p w14:paraId="5E62AF6D">
            <w:pPr>
              <w:pStyle w:val="182"/>
              <w:rPr>
                <w:rFonts w:hint="eastAsia"/>
                <w:color w:val="auto"/>
                <w:lang w:val="en-US" w:eastAsia="zh-CN"/>
              </w:rPr>
            </w:pPr>
            <w:r>
              <w:rPr>
                <w:rFonts w:hint="eastAsia"/>
                <w:color w:val="auto"/>
                <w:lang w:val="en-US" w:eastAsia="zh-CN"/>
              </w:rPr>
              <w:t>挥发酚</w:t>
            </w:r>
          </w:p>
        </w:tc>
        <w:tc>
          <w:tcPr>
            <w:tcW w:w="1604" w:type="pct"/>
            <w:shd w:val="clear" w:color="auto" w:fill="auto"/>
            <w:noWrap w:val="0"/>
            <w:vAlign w:val="center"/>
          </w:tcPr>
          <w:p w14:paraId="4A60A916">
            <w:pPr>
              <w:pStyle w:val="182"/>
              <w:rPr>
                <w:rFonts w:hint="eastAsia"/>
                <w:color w:val="auto"/>
                <w:lang w:val="en-US" w:eastAsia="zh-CN"/>
              </w:rPr>
            </w:pPr>
            <w:r>
              <w:rPr>
                <w:rFonts w:hint="eastAsia"/>
                <w:color w:val="auto"/>
                <w:lang w:val="en-US" w:eastAsia="zh-CN"/>
              </w:rPr>
              <w:t>水质挥发酚的测定4-氨基安替比林分光光度法HJ503-2009</w:t>
            </w:r>
          </w:p>
        </w:tc>
        <w:tc>
          <w:tcPr>
            <w:tcW w:w="1311" w:type="pct"/>
            <w:shd w:val="clear" w:color="auto" w:fill="auto"/>
            <w:noWrap w:val="0"/>
            <w:vAlign w:val="center"/>
          </w:tcPr>
          <w:p w14:paraId="0504D7D4">
            <w:pPr>
              <w:pStyle w:val="182"/>
              <w:rPr>
                <w:rFonts w:hint="eastAsia"/>
                <w:color w:val="auto"/>
                <w:lang w:val="en-US" w:eastAsia="zh-CN"/>
              </w:rPr>
            </w:pPr>
            <w:r>
              <w:rPr>
                <w:rFonts w:hint="eastAsia"/>
                <w:color w:val="auto"/>
                <w:lang w:val="en-US" w:eastAsia="zh-CN"/>
              </w:rPr>
              <w:t>可见分光光度计V1200</w:t>
            </w:r>
          </w:p>
        </w:tc>
        <w:tc>
          <w:tcPr>
            <w:tcW w:w="788" w:type="pct"/>
            <w:shd w:val="clear" w:color="auto" w:fill="auto"/>
            <w:noWrap w:val="0"/>
            <w:vAlign w:val="center"/>
          </w:tcPr>
          <w:p w14:paraId="0A0A3D80">
            <w:pPr>
              <w:pStyle w:val="182"/>
              <w:rPr>
                <w:rFonts w:hint="eastAsia"/>
                <w:color w:val="auto"/>
                <w:lang w:val="en-US" w:eastAsia="zh-CN"/>
              </w:rPr>
            </w:pPr>
            <w:r>
              <w:rPr>
                <w:rFonts w:hint="eastAsia"/>
                <w:color w:val="auto"/>
                <w:lang w:val="en-US" w:eastAsia="zh-CN"/>
              </w:rPr>
              <w:t>0.0003mg/L</w:t>
            </w:r>
          </w:p>
        </w:tc>
        <w:tc>
          <w:tcPr>
            <w:tcW w:w="433" w:type="pct"/>
            <w:vMerge w:val="continue"/>
            <w:tcBorders>
              <w:right w:val="single" w:color="000000" w:sz="6" w:space="0"/>
            </w:tcBorders>
            <w:shd w:val="clear" w:color="auto" w:fill="auto"/>
            <w:noWrap w:val="0"/>
            <w:vAlign w:val="center"/>
          </w:tcPr>
          <w:p w14:paraId="40B65BA9">
            <w:pPr>
              <w:pStyle w:val="182"/>
              <w:rPr>
                <w:rFonts w:hint="eastAsia"/>
                <w:color w:val="auto"/>
                <w:lang w:val="en-US" w:eastAsia="zh-CN"/>
              </w:rPr>
            </w:pPr>
          </w:p>
        </w:tc>
      </w:tr>
      <w:tr w14:paraId="7BBE45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6D398D00">
            <w:pPr>
              <w:pStyle w:val="182"/>
              <w:ind w:firstLine="0" w:firstLineChars="0"/>
              <w:rPr>
                <w:rFonts w:hint="eastAsia"/>
                <w:color w:val="auto"/>
                <w:lang w:val="en-US" w:eastAsia="zh-CN"/>
              </w:rPr>
            </w:pPr>
            <w:r>
              <w:rPr>
                <w:rFonts w:hint="eastAsia"/>
                <w:color w:val="auto"/>
                <w:lang w:val="en-US" w:eastAsia="zh-CN"/>
              </w:rPr>
              <w:t>14</w:t>
            </w:r>
          </w:p>
        </w:tc>
        <w:tc>
          <w:tcPr>
            <w:tcW w:w="576" w:type="pct"/>
            <w:shd w:val="clear" w:color="auto" w:fill="auto"/>
            <w:noWrap w:val="0"/>
            <w:vAlign w:val="center"/>
          </w:tcPr>
          <w:p w14:paraId="1D77AA77">
            <w:pPr>
              <w:pStyle w:val="182"/>
              <w:ind w:firstLine="0" w:firstLineChars="0"/>
              <w:rPr>
                <w:rFonts w:hint="eastAsia"/>
                <w:color w:val="auto"/>
                <w:lang w:val="en-US" w:eastAsia="zh-CN"/>
              </w:rPr>
            </w:pPr>
            <w:r>
              <w:rPr>
                <w:rFonts w:hint="eastAsia"/>
                <w:color w:val="auto"/>
                <w:lang w:val="en-US" w:eastAsia="zh-CN"/>
              </w:rPr>
              <w:t>砷</w:t>
            </w:r>
          </w:p>
        </w:tc>
        <w:tc>
          <w:tcPr>
            <w:tcW w:w="1604" w:type="pct"/>
            <w:vMerge w:val="restart"/>
            <w:shd w:val="clear" w:color="auto" w:fill="auto"/>
            <w:noWrap w:val="0"/>
            <w:vAlign w:val="center"/>
          </w:tcPr>
          <w:p w14:paraId="6AE50E9B">
            <w:pPr>
              <w:pStyle w:val="182"/>
              <w:rPr>
                <w:rFonts w:hint="eastAsia"/>
                <w:color w:val="auto"/>
                <w:lang w:val="en-US" w:eastAsia="zh-CN"/>
              </w:rPr>
            </w:pPr>
            <w:r>
              <w:rPr>
                <w:rFonts w:hint="eastAsia"/>
                <w:color w:val="auto"/>
                <w:lang w:val="en-US" w:eastAsia="zh-CN"/>
              </w:rPr>
              <w:t>水质汞、砷、硒、铋和锑</w:t>
            </w:r>
          </w:p>
          <w:p w14:paraId="3E50F168">
            <w:pPr>
              <w:pStyle w:val="182"/>
              <w:rPr>
                <w:rFonts w:hint="eastAsia"/>
                <w:color w:val="auto"/>
                <w:lang w:val="en-US" w:eastAsia="zh-CN"/>
              </w:rPr>
            </w:pPr>
            <w:r>
              <w:rPr>
                <w:rFonts w:hint="eastAsia"/>
                <w:color w:val="auto"/>
                <w:lang w:val="en-US" w:eastAsia="zh-CN"/>
              </w:rPr>
              <w:t>的测定原子荧光法HJ694-</w:t>
            </w:r>
          </w:p>
          <w:p w14:paraId="3A69C0E4">
            <w:pPr>
              <w:pStyle w:val="182"/>
              <w:ind w:firstLine="0" w:firstLineChars="0"/>
              <w:rPr>
                <w:rFonts w:hint="eastAsia"/>
                <w:color w:val="auto"/>
                <w:lang w:val="en-US" w:eastAsia="zh-CN"/>
              </w:rPr>
            </w:pPr>
            <w:r>
              <w:rPr>
                <w:rFonts w:hint="eastAsia"/>
                <w:color w:val="auto"/>
                <w:lang w:val="en-US" w:eastAsia="zh-CN"/>
              </w:rPr>
              <w:t>2014</w:t>
            </w:r>
          </w:p>
        </w:tc>
        <w:tc>
          <w:tcPr>
            <w:tcW w:w="1311" w:type="pct"/>
            <w:vMerge w:val="restart"/>
            <w:shd w:val="clear" w:color="auto" w:fill="auto"/>
            <w:noWrap w:val="0"/>
            <w:vAlign w:val="center"/>
          </w:tcPr>
          <w:p w14:paraId="24188274">
            <w:pPr>
              <w:pStyle w:val="182"/>
              <w:ind w:firstLine="0" w:firstLineChars="0"/>
              <w:rPr>
                <w:rFonts w:hint="eastAsia"/>
                <w:color w:val="auto"/>
                <w:lang w:val="en-US" w:eastAsia="zh-CN"/>
              </w:rPr>
            </w:pPr>
            <w:r>
              <w:rPr>
                <w:rFonts w:hint="eastAsia"/>
                <w:color w:val="auto"/>
                <w:lang w:val="en-US" w:eastAsia="zh-CN"/>
              </w:rPr>
              <w:t>原子荧光光度计PF31</w:t>
            </w:r>
          </w:p>
        </w:tc>
        <w:tc>
          <w:tcPr>
            <w:tcW w:w="788" w:type="pct"/>
            <w:shd w:val="clear" w:color="auto" w:fill="auto"/>
            <w:noWrap w:val="0"/>
            <w:vAlign w:val="center"/>
          </w:tcPr>
          <w:p w14:paraId="67F2F8A7">
            <w:pPr>
              <w:pStyle w:val="182"/>
              <w:ind w:firstLine="0" w:firstLineChars="0"/>
              <w:rPr>
                <w:rFonts w:hint="eastAsia"/>
                <w:color w:val="auto"/>
                <w:lang w:val="en-US" w:eastAsia="zh-CN"/>
              </w:rPr>
            </w:pPr>
            <w:r>
              <w:rPr>
                <w:rFonts w:hint="eastAsia"/>
                <w:color w:val="auto"/>
                <w:lang w:val="en-US" w:eastAsia="zh-CN"/>
              </w:rPr>
              <w:t>0.3µg/L</w:t>
            </w:r>
          </w:p>
        </w:tc>
        <w:tc>
          <w:tcPr>
            <w:tcW w:w="433" w:type="pct"/>
            <w:vMerge w:val="continue"/>
            <w:tcBorders>
              <w:right w:val="single" w:color="000000" w:sz="6" w:space="0"/>
            </w:tcBorders>
            <w:shd w:val="clear" w:color="auto" w:fill="auto"/>
            <w:noWrap w:val="0"/>
            <w:vAlign w:val="center"/>
          </w:tcPr>
          <w:p w14:paraId="4D8C280B">
            <w:pPr>
              <w:pStyle w:val="182"/>
              <w:rPr>
                <w:rFonts w:hint="eastAsia"/>
                <w:color w:val="auto"/>
                <w:lang w:val="en-US" w:eastAsia="zh-CN"/>
              </w:rPr>
            </w:pPr>
          </w:p>
        </w:tc>
      </w:tr>
      <w:tr w14:paraId="20B2AB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691F2804">
            <w:pPr>
              <w:pStyle w:val="182"/>
              <w:ind w:firstLine="0" w:firstLineChars="0"/>
              <w:rPr>
                <w:rFonts w:hint="eastAsia"/>
                <w:color w:val="auto"/>
                <w:lang w:val="en-US" w:eastAsia="zh-CN"/>
              </w:rPr>
            </w:pPr>
            <w:r>
              <w:rPr>
                <w:rFonts w:hint="eastAsia"/>
                <w:color w:val="auto"/>
                <w:lang w:val="en-US" w:eastAsia="zh-CN"/>
              </w:rPr>
              <w:t>15</w:t>
            </w:r>
          </w:p>
        </w:tc>
        <w:tc>
          <w:tcPr>
            <w:tcW w:w="576" w:type="pct"/>
            <w:shd w:val="clear" w:color="auto" w:fill="auto"/>
            <w:noWrap w:val="0"/>
            <w:vAlign w:val="center"/>
          </w:tcPr>
          <w:p w14:paraId="5066C28C">
            <w:pPr>
              <w:pStyle w:val="182"/>
              <w:ind w:firstLine="0" w:firstLineChars="0"/>
              <w:rPr>
                <w:rFonts w:hint="eastAsia"/>
                <w:color w:val="auto"/>
                <w:lang w:val="en-US" w:eastAsia="zh-CN"/>
              </w:rPr>
            </w:pPr>
            <w:r>
              <w:rPr>
                <w:rFonts w:hint="eastAsia"/>
                <w:color w:val="auto"/>
                <w:lang w:val="en-US" w:eastAsia="zh-CN"/>
              </w:rPr>
              <w:t>汞</w:t>
            </w:r>
          </w:p>
        </w:tc>
        <w:tc>
          <w:tcPr>
            <w:tcW w:w="1604" w:type="pct"/>
            <w:vMerge w:val="continue"/>
            <w:shd w:val="clear" w:color="auto" w:fill="auto"/>
            <w:noWrap w:val="0"/>
            <w:vAlign w:val="center"/>
          </w:tcPr>
          <w:p w14:paraId="4E7006F1">
            <w:pPr>
              <w:pStyle w:val="182"/>
              <w:ind w:firstLine="0" w:firstLineChars="0"/>
              <w:rPr>
                <w:rFonts w:hint="eastAsia"/>
                <w:color w:val="auto"/>
                <w:lang w:val="en-US" w:eastAsia="zh-CN"/>
              </w:rPr>
            </w:pPr>
          </w:p>
        </w:tc>
        <w:tc>
          <w:tcPr>
            <w:tcW w:w="1311" w:type="pct"/>
            <w:vMerge w:val="continue"/>
            <w:shd w:val="clear" w:color="auto" w:fill="auto"/>
            <w:noWrap w:val="0"/>
            <w:vAlign w:val="center"/>
          </w:tcPr>
          <w:p w14:paraId="6C146689">
            <w:pPr>
              <w:pStyle w:val="182"/>
              <w:ind w:firstLine="0" w:firstLineChars="0"/>
              <w:rPr>
                <w:rFonts w:hint="eastAsia"/>
                <w:color w:val="auto"/>
                <w:lang w:val="en-US" w:eastAsia="zh-CN"/>
              </w:rPr>
            </w:pPr>
          </w:p>
        </w:tc>
        <w:tc>
          <w:tcPr>
            <w:tcW w:w="788" w:type="pct"/>
            <w:shd w:val="clear" w:color="auto" w:fill="auto"/>
            <w:noWrap w:val="0"/>
            <w:vAlign w:val="center"/>
          </w:tcPr>
          <w:p w14:paraId="02B464E3">
            <w:pPr>
              <w:pStyle w:val="182"/>
              <w:ind w:firstLine="0" w:firstLineChars="0"/>
              <w:rPr>
                <w:rFonts w:hint="eastAsia"/>
                <w:color w:val="auto"/>
                <w:lang w:val="en-US" w:eastAsia="zh-CN"/>
              </w:rPr>
            </w:pPr>
            <w:r>
              <w:rPr>
                <w:rFonts w:hint="eastAsia"/>
                <w:color w:val="auto"/>
                <w:lang w:val="en-US" w:eastAsia="zh-CN"/>
              </w:rPr>
              <w:t>0.04µg/L</w:t>
            </w:r>
          </w:p>
        </w:tc>
        <w:tc>
          <w:tcPr>
            <w:tcW w:w="433" w:type="pct"/>
            <w:vMerge w:val="continue"/>
            <w:tcBorders>
              <w:right w:val="single" w:color="000000" w:sz="6" w:space="0"/>
            </w:tcBorders>
            <w:shd w:val="clear" w:color="auto" w:fill="auto"/>
            <w:noWrap w:val="0"/>
            <w:vAlign w:val="center"/>
          </w:tcPr>
          <w:p w14:paraId="203C16A5">
            <w:pPr>
              <w:pStyle w:val="182"/>
              <w:rPr>
                <w:rFonts w:hint="eastAsia"/>
                <w:color w:val="auto"/>
                <w:lang w:val="en-US" w:eastAsia="zh-CN"/>
              </w:rPr>
            </w:pPr>
          </w:p>
        </w:tc>
      </w:tr>
      <w:tr w14:paraId="6C9E87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410B6A9A">
            <w:pPr>
              <w:pStyle w:val="182"/>
              <w:rPr>
                <w:rFonts w:hint="eastAsia"/>
                <w:color w:val="auto"/>
                <w:lang w:val="en-US" w:eastAsia="zh-CN"/>
              </w:rPr>
            </w:pPr>
          </w:p>
          <w:p w14:paraId="1DFF06D1">
            <w:pPr>
              <w:pStyle w:val="182"/>
              <w:ind w:firstLine="0" w:firstLineChars="0"/>
              <w:rPr>
                <w:rFonts w:hint="eastAsia"/>
                <w:color w:val="auto"/>
                <w:lang w:val="en-US" w:eastAsia="zh-CN"/>
              </w:rPr>
            </w:pPr>
            <w:r>
              <w:rPr>
                <w:rFonts w:hint="eastAsia"/>
                <w:color w:val="auto"/>
                <w:lang w:val="en-US" w:eastAsia="zh-CN"/>
              </w:rPr>
              <w:t>16</w:t>
            </w:r>
          </w:p>
        </w:tc>
        <w:tc>
          <w:tcPr>
            <w:tcW w:w="576" w:type="pct"/>
            <w:shd w:val="clear" w:color="auto" w:fill="auto"/>
            <w:noWrap w:val="0"/>
            <w:vAlign w:val="center"/>
          </w:tcPr>
          <w:p w14:paraId="199F02AE">
            <w:pPr>
              <w:pStyle w:val="182"/>
              <w:ind w:firstLine="0" w:firstLineChars="0"/>
              <w:rPr>
                <w:rFonts w:hint="eastAsia"/>
                <w:color w:val="auto"/>
                <w:lang w:val="en-US" w:eastAsia="zh-CN"/>
              </w:rPr>
            </w:pPr>
            <w:r>
              <w:rPr>
                <w:rFonts w:hint="eastAsia"/>
                <w:color w:val="auto"/>
                <w:lang w:val="en-US" w:eastAsia="zh-CN"/>
              </w:rPr>
              <w:t>铬(六价)</w:t>
            </w:r>
          </w:p>
        </w:tc>
        <w:tc>
          <w:tcPr>
            <w:tcW w:w="1604" w:type="pct"/>
            <w:shd w:val="clear" w:color="auto" w:fill="auto"/>
            <w:noWrap w:val="0"/>
            <w:vAlign w:val="center"/>
          </w:tcPr>
          <w:p w14:paraId="06CB9909">
            <w:pPr>
              <w:pStyle w:val="182"/>
              <w:rPr>
                <w:rFonts w:hint="eastAsia"/>
                <w:color w:val="auto"/>
                <w:lang w:val="en-US" w:eastAsia="zh-CN"/>
              </w:rPr>
            </w:pPr>
            <w:r>
              <w:rPr>
                <w:rFonts w:hint="eastAsia"/>
                <w:color w:val="auto"/>
                <w:lang w:val="en-US" w:eastAsia="zh-CN"/>
              </w:rPr>
              <w:t>水质六价铬的测定二苯碳</w:t>
            </w:r>
          </w:p>
          <w:p w14:paraId="526E0402">
            <w:pPr>
              <w:pStyle w:val="182"/>
              <w:rPr>
                <w:rFonts w:hint="eastAsia"/>
                <w:color w:val="auto"/>
                <w:lang w:val="en-US" w:eastAsia="zh-CN"/>
              </w:rPr>
            </w:pPr>
            <w:r>
              <w:rPr>
                <w:rFonts w:hint="eastAsia"/>
                <w:color w:val="auto"/>
                <w:lang w:val="en-US" w:eastAsia="zh-CN"/>
              </w:rPr>
              <w:t>酰二肼分光光度法GB/T</w:t>
            </w:r>
          </w:p>
          <w:p w14:paraId="0F2E9176">
            <w:pPr>
              <w:pStyle w:val="182"/>
              <w:ind w:firstLine="0" w:firstLineChars="0"/>
              <w:rPr>
                <w:rFonts w:hint="eastAsia"/>
                <w:color w:val="auto"/>
                <w:lang w:val="en-US" w:eastAsia="zh-CN"/>
              </w:rPr>
            </w:pPr>
            <w:r>
              <w:rPr>
                <w:rFonts w:hint="eastAsia"/>
                <w:color w:val="auto"/>
                <w:lang w:val="en-US" w:eastAsia="zh-CN"/>
              </w:rPr>
              <w:t>7467-1987</w:t>
            </w:r>
          </w:p>
        </w:tc>
        <w:tc>
          <w:tcPr>
            <w:tcW w:w="1311" w:type="pct"/>
            <w:shd w:val="clear" w:color="auto" w:fill="auto"/>
            <w:noWrap w:val="0"/>
            <w:vAlign w:val="center"/>
          </w:tcPr>
          <w:p w14:paraId="415B5603">
            <w:pPr>
              <w:pStyle w:val="182"/>
              <w:ind w:firstLine="0" w:firstLineChars="0"/>
              <w:rPr>
                <w:rFonts w:hint="eastAsia"/>
                <w:color w:val="auto"/>
                <w:lang w:val="en-US" w:eastAsia="zh-CN"/>
              </w:rPr>
            </w:pPr>
            <w:r>
              <w:rPr>
                <w:rFonts w:hint="eastAsia"/>
                <w:color w:val="auto"/>
                <w:lang w:val="en-US" w:eastAsia="zh-CN"/>
              </w:rPr>
              <w:t>可见分光光度计V1200</w:t>
            </w:r>
          </w:p>
        </w:tc>
        <w:tc>
          <w:tcPr>
            <w:tcW w:w="788" w:type="pct"/>
            <w:shd w:val="clear" w:color="auto" w:fill="auto"/>
            <w:noWrap w:val="0"/>
            <w:vAlign w:val="center"/>
          </w:tcPr>
          <w:p w14:paraId="69681C93">
            <w:pPr>
              <w:pStyle w:val="182"/>
              <w:rPr>
                <w:rFonts w:hint="eastAsia"/>
                <w:color w:val="auto"/>
                <w:lang w:val="en-US" w:eastAsia="zh-CN"/>
              </w:rPr>
            </w:pPr>
          </w:p>
          <w:p w14:paraId="5EF55B8F">
            <w:pPr>
              <w:pStyle w:val="182"/>
              <w:ind w:firstLine="0" w:firstLineChars="0"/>
              <w:rPr>
                <w:rFonts w:hint="eastAsia"/>
                <w:color w:val="auto"/>
                <w:lang w:val="en-US" w:eastAsia="zh-CN"/>
              </w:rPr>
            </w:pPr>
            <w:r>
              <w:rPr>
                <w:rFonts w:hint="eastAsia"/>
                <w:color w:val="auto"/>
                <w:lang w:val="en-US" w:eastAsia="zh-CN"/>
              </w:rPr>
              <w:t>0.004mg/L</w:t>
            </w:r>
          </w:p>
        </w:tc>
        <w:tc>
          <w:tcPr>
            <w:tcW w:w="433" w:type="pct"/>
            <w:vMerge w:val="continue"/>
            <w:tcBorders>
              <w:right w:val="single" w:color="000000" w:sz="6" w:space="0"/>
            </w:tcBorders>
            <w:shd w:val="clear" w:color="auto" w:fill="auto"/>
            <w:noWrap w:val="0"/>
            <w:vAlign w:val="center"/>
          </w:tcPr>
          <w:p w14:paraId="1FCF3C5A">
            <w:pPr>
              <w:pStyle w:val="182"/>
              <w:rPr>
                <w:rFonts w:hint="eastAsia"/>
                <w:color w:val="auto"/>
                <w:lang w:val="en-US" w:eastAsia="zh-CN"/>
              </w:rPr>
            </w:pPr>
          </w:p>
        </w:tc>
      </w:tr>
      <w:tr w14:paraId="383486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5CF2A002">
            <w:pPr>
              <w:pStyle w:val="182"/>
              <w:ind w:firstLine="0" w:firstLineChars="0"/>
              <w:rPr>
                <w:rFonts w:hint="eastAsia"/>
                <w:color w:val="auto"/>
                <w:lang w:val="en-US" w:eastAsia="zh-CN"/>
              </w:rPr>
            </w:pPr>
            <w:r>
              <w:rPr>
                <w:rFonts w:hint="eastAsia"/>
                <w:color w:val="auto"/>
                <w:lang w:val="en-US" w:eastAsia="zh-CN"/>
              </w:rPr>
              <w:t>17</w:t>
            </w:r>
          </w:p>
        </w:tc>
        <w:tc>
          <w:tcPr>
            <w:tcW w:w="576" w:type="pct"/>
            <w:shd w:val="clear" w:color="auto" w:fill="auto"/>
            <w:noWrap w:val="0"/>
            <w:vAlign w:val="center"/>
          </w:tcPr>
          <w:p w14:paraId="3D59C801">
            <w:pPr>
              <w:pStyle w:val="182"/>
              <w:ind w:firstLine="0" w:firstLineChars="0"/>
              <w:rPr>
                <w:rFonts w:hint="eastAsia"/>
                <w:color w:val="auto"/>
                <w:lang w:val="en-US" w:eastAsia="zh-CN"/>
              </w:rPr>
            </w:pPr>
            <w:r>
              <w:rPr>
                <w:rFonts w:hint="eastAsia"/>
                <w:color w:val="auto"/>
                <w:lang w:val="en-US" w:eastAsia="zh-CN"/>
              </w:rPr>
              <w:t>总硬度</w:t>
            </w:r>
          </w:p>
        </w:tc>
        <w:tc>
          <w:tcPr>
            <w:tcW w:w="1604" w:type="pct"/>
            <w:shd w:val="clear" w:color="auto" w:fill="auto"/>
            <w:noWrap w:val="0"/>
            <w:vAlign w:val="center"/>
          </w:tcPr>
          <w:p w14:paraId="14506100">
            <w:pPr>
              <w:pStyle w:val="182"/>
              <w:ind w:firstLine="0" w:firstLineChars="0"/>
              <w:rPr>
                <w:rFonts w:hint="eastAsia"/>
                <w:color w:val="auto"/>
                <w:lang w:val="en-US" w:eastAsia="zh-CN"/>
              </w:rPr>
            </w:pPr>
            <w:r>
              <w:rPr>
                <w:rFonts w:hint="eastAsia"/>
                <w:color w:val="auto"/>
                <w:lang w:val="en-US" w:eastAsia="zh-CN"/>
              </w:rPr>
              <w:t>水质钙和镁总量的测定EDTA滴定法GB/T7477-87</w:t>
            </w:r>
          </w:p>
        </w:tc>
        <w:tc>
          <w:tcPr>
            <w:tcW w:w="1311" w:type="pct"/>
            <w:shd w:val="clear" w:color="auto" w:fill="auto"/>
            <w:noWrap w:val="0"/>
            <w:vAlign w:val="center"/>
          </w:tcPr>
          <w:p w14:paraId="5AD2306D">
            <w:pPr>
              <w:pStyle w:val="182"/>
              <w:ind w:firstLine="0" w:firstLineChars="0"/>
              <w:rPr>
                <w:rFonts w:hint="eastAsia"/>
                <w:color w:val="auto"/>
                <w:lang w:val="en-US" w:eastAsia="zh-CN"/>
              </w:rPr>
            </w:pPr>
            <w:r>
              <w:rPr>
                <w:rFonts w:hint="eastAsia"/>
                <w:color w:val="auto"/>
                <w:lang w:val="en-US" w:eastAsia="zh-CN"/>
              </w:rPr>
              <w:t>滴定管</w:t>
            </w:r>
          </w:p>
        </w:tc>
        <w:tc>
          <w:tcPr>
            <w:tcW w:w="788" w:type="pct"/>
            <w:shd w:val="clear" w:color="auto" w:fill="auto"/>
            <w:noWrap w:val="0"/>
            <w:vAlign w:val="center"/>
          </w:tcPr>
          <w:p w14:paraId="22B557E8">
            <w:pPr>
              <w:pStyle w:val="182"/>
              <w:ind w:firstLine="0" w:firstLineChars="0"/>
              <w:rPr>
                <w:rFonts w:hint="eastAsia"/>
                <w:color w:val="auto"/>
                <w:lang w:val="en-US" w:eastAsia="zh-CN"/>
              </w:rPr>
            </w:pPr>
            <w:r>
              <w:rPr>
                <w:rFonts w:hint="eastAsia"/>
                <w:color w:val="auto"/>
                <w:lang w:val="en-US" w:eastAsia="zh-CN"/>
              </w:rPr>
              <w:t>0.05mmol/L</w:t>
            </w:r>
          </w:p>
        </w:tc>
        <w:tc>
          <w:tcPr>
            <w:tcW w:w="433" w:type="pct"/>
            <w:vMerge w:val="continue"/>
            <w:tcBorders>
              <w:right w:val="single" w:color="000000" w:sz="6" w:space="0"/>
            </w:tcBorders>
            <w:shd w:val="clear" w:color="auto" w:fill="auto"/>
            <w:noWrap w:val="0"/>
            <w:vAlign w:val="center"/>
          </w:tcPr>
          <w:p w14:paraId="05B6A107">
            <w:pPr>
              <w:pStyle w:val="182"/>
              <w:rPr>
                <w:rFonts w:hint="eastAsia"/>
                <w:color w:val="auto"/>
                <w:lang w:val="en-US" w:eastAsia="zh-CN"/>
              </w:rPr>
            </w:pPr>
          </w:p>
        </w:tc>
      </w:tr>
      <w:tr w14:paraId="31563E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69F82508">
            <w:pPr>
              <w:pStyle w:val="182"/>
              <w:ind w:firstLine="0" w:firstLineChars="0"/>
              <w:rPr>
                <w:rFonts w:hint="eastAsia"/>
                <w:color w:val="auto"/>
                <w:lang w:val="en-US" w:eastAsia="zh-CN"/>
              </w:rPr>
            </w:pPr>
            <w:r>
              <w:rPr>
                <w:rFonts w:hint="eastAsia"/>
                <w:color w:val="auto"/>
                <w:lang w:val="en-US" w:eastAsia="zh-CN"/>
              </w:rPr>
              <w:t>18</w:t>
            </w:r>
          </w:p>
        </w:tc>
        <w:tc>
          <w:tcPr>
            <w:tcW w:w="576" w:type="pct"/>
            <w:shd w:val="clear" w:color="auto" w:fill="auto"/>
            <w:noWrap w:val="0"/>
            <w:vAlign w:val="center"/>
          </w:tcPr>
          <w:p w14:paraId="49588112">
            <w:pPr>
              <w:pStyle w:val="182"/>
              <w:ind w:firstLine="0" w:firstLineChars="0"/>
              <w:rPr>
                <w:rFonts w:hint="eastAsia"/>
                <w:color w:val="auto"/>
                <w:lang w:val="en-US" w:eastAsia="zh-CN"/>
              </w:rPr>
            </w:pPr>
            <w:r>
              <w:rPr>
                <w:rFonts w:hint="eastAsia"/>
                <w:color w:val="auto"/>
                <w:lang w:val="en-US" w:eastAsia="zh-CN"/>
              </w:rPr>
              <w:t>氟化物</w:t>
            </w:r>
          </w:p>
        </w:tc>
        <w:tc>
          <w:tcPr>
            <w:tcW w:w="1604" w:type="pct"/>
            <w:shd w:val="clear" w:color="auto" w:fill="auto"/>
            <w:noWrap w:val="0"/>
            <w:vAlign w:val="center"/>
          </w:tcPr>
          <w:p w14:paraId="4F7E0B83">
            <w:pPr>
              <w:pStyle w:val="182"/>
              <w:ind w:firstLine="0" w:firstLineChars="0"/>
              <w:rPr>
                <w:rFonts w:hint="eastAsia"/>
                <w:color w:val="auto"/>
                <w:lang w:val="en-US" w:eastAsia="zh-CN"/>
              </w:rPr>
            </w:pPr>
            <w:r>
              <w:rPr>
                <w:rFonts w:hint="eastAsia"/>
                <w:color w:val="auto"/>
                <w:lang w:val="en-US" w:eastAsia="zh-CN"/>
              </w:rPr>
              <w:t>水质氟化物的测定离子选择电极法GB/T7484-1987</w:t>
            </w:r>
          </w:p>
        </w:tc>
        <w:tc>
          <w:tcPr>
            <w:tcW w:w="1311" w:type="pct"/>
            <w:shd w:val="clear" w:color="auto" w:fill="auto"/>
            <w:noWrap w:val="0"/>
            <w:vAlign w:val="center"/>
          </w:tcPr>
          <w:p w14:paraId="401A5574">
            <w:pPr>
              <w:pStyle w:val="182"/>
              <w:ind w:firstLine="0" w:firstLineChars="0"/>
              <w:rPr>
                <w:rFonts w:hint="eastAsia"/>
                <w:color w:val="auto"/>
                <w:lang w:val="en-US" w:eastAsia="zh-CN"/>
              </w:rPr>
            </w:pPr>
            <w:r>
              <w:rPr>
                <w:rFonts w:hint="eastAsia"/>
                <w:color w:val="auto"/>
                <w:lang w:val="en-US" w:eastAsia="zh-CN"/>
              </w:rPr>
              <w:t>氟离子计PXSJ-216</w:t>
            </w:r>
          </w:p>
        </w:tc>
        <w:tc>
          <w:tcPr>
            <w:tcW w:w="788" w:type="pct"/>
            <w:shd w:val="clear" w:color="auto" w:fill="auto"/>
            <w:noWrap w:val="0"/>
            <w:vAlign w:val="center"/>
          </w:tcPr>
          <w:p w14:paraId="7491E8E4">
            <w:pPr>
              <w:pStyle w:val="182"/>
              <w:ind w:firstLine="0" w:firstLineChars="0"/>
              <w:rPr>
                <w:rFonts w:hint="eastAsia"/>
                <w:color w:val="auto"/>
                <w:lang w:val="en-US" w:eastAsia="zh-CN"/>
              </w:rPr>
            </w:pPr>
            <w:r>
              <w:rPr>
                <w:rFonts w:hint="eastAsia"/>
                <w:color w:val="auto"/>
                <w:lang w:val="en-US" w:eastAsia="zh-CN"/>
              </w:rPr>
              <w:t>0.05mg/L</w:t>
            </w:r>
          </w:p>
        </w:tc>
        <w:tc>
          <w:tcPr>
            <w:tcW w:w="433" w:type="pct"/>
            <w:vMerge w:val="continue"/>
            <w:tcBorders>
              <w:right w:val="single" w:color="000000" w:sz="6" w:space="0"/>
            </w:tcBorders>
            <w:shd w:val="clear" w:color="auto" w:fill="auto"/>
            <w:noWrap w:val="0"/>
            <w:vAlign w:val="center"/>
          </w:tcPr>
          <w:p w14:paraId="1973CDF6">
            <w:pPr>
              <w:pStyle w:val="182"/>
              <w:rPr>
                <w:rFonts w:hint="eastAsia"/>
                <w:color w:val="auto"/>
                <w:lang w:val="en-US" w:eastAsia="zh-CN"/>
              </w:rPr>
            </w:pPr>
          </w:p>
        </w:tc>
      </w:tr>
      <w:tr w14:paraId="6394E3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3FAC4863">
            <w:pPr>
              <w:pStyle w:val="182"/>
              <w:ind w:firstLine="0" w:firstLineChars="0"/>
              <w:rPr>
                <w:rFonts w:hint="eastAsia"/>
                <w:color w:val="auto"/>
                <w:lang w:val="en-US" w:eastAsia="zh-CN"/>
              </w:rPr>
            </w:pPr>
            <w:r>
              <w:rPr>
                <w:rFonts w:hint="eastAsia"/>
                <w:color w:val="auto"/>
                <w:lang w:val="en-US" w:eastAsia="zh-CN"/>
              </w:rPr>
              <w:t>19</w:t>
            </w:r>
          </w:p>
        </w:tc>
        <w:tc>
          <w:tcPr>
            <w:tcW w:w="576" w:type="pct"/>
            <w:shd w:val="clear" w:color="auto" w:fill="auto"/>
            <w:noWrap w:val="0"/>
            <w:vAlign w:val="center"/>
          </w:tcPr>
          <w:p w14:paraId="085AB048">
            <w:pPr>
              <w:pStyle w:val="182"/>
              <w:ind w:firstLine="0" w:firstLineChars="0"/>
              <w:rPr>
                <w:rFonts w:hint="eastAsia"/>
                <w:color w:val="auto"/>
                <w:lang w:val="en-US" w:eastAsia="zh-CN"/>
              </w:rPr>
            </w:pPr>
            <w:r>
              <w:rPr>
                <w:rFonts w:hint="eastAsia"/>
                <w:color w:val="auto"/>
                <w:lang w:val="en-US" w:eastAsia="zh-CN"/>
              </w:rPr>
              <w:t>镉</w:t>
            </w:r>
          </w:p>
        </w:tc>
        <w:tc>
          <w:tcPr>
            <w:tcW w:w="1604" w:type="pct"/>
            <w:shd w:val="clear" w:color="auto" w:fill="auto"/>
            <w:noWrap w:val="0"/>
            <w:vAlign w:val="center"/>
          </w:tcPr>
          <w:p w14:paraId="68DA11CF">
            <w:pPr>
              <w:pStyle w:val="182"/>
              <w:rPr>
                <w:rFonts w:hint="eastAsia"/>
                <w:color w:val="auto"/>
                <w:lang w:val="en-US" w:eastAsia="zh-CN"/>
              </w:rPr>
            </w:pPr>
            <w:r>
              <w:rPr>
                <w:rFonts w:hint="eastAsia"/>
                <w:color w:val="auto"/>
                <w:lang w:val="en-US" w:eastAsia="zh-CN"/>
              </w:rPr>
              <w:t>水质铜、锌、铅、镉的测</w:t>
            </w:r>
          </w:p>
          <w:p w14:paraId="73B1B6DE">
            <w:pPr>
              <w:pStyle w:val="182"/>
              <w:rPr>
                <w:rFonts w:hint="eastAsia"/>
                <w:color w:val="auto"/>
                <w:lang w:val="en-US" w:eastAsia="zh-CN"/>
              </w:rPr>
            </w:pPr>
            <w:r>
              <w:rPr>
                <w:rFonts w:hint="eastAsia"/>
                <w:color w:val="auto"/>
                <w:lang w:val="en-US" w:eastAsia="zh-CN"/>
              </w:rPr>
              <w:t>定原子吸收分光光度法</w:t>
            </w:r>
          </w:p>
          <w:p w14:paraId="4BFBCBF7">
            <w:pPr>
              <w:pStyle w:val="182"/>
              <w:ind w:firstLine="0" w:firstLineChars="0"/>
              <w:rPr>
                <w:rFonts w:hint="eastAsia"/>
                <w:color w:val="auto"/>
                <w:lang w:val="en-US" w:eastAsia="zh-CN"/>
              </w:rPr>
            </w:pPr>
            <w:r>
              <w:rPr>
                <w:rFonts w:hint="eastAsia"/>
                <w:color w:val="auto"/>
                <w:lang w:val="en-US" w:eastAsia="zh-CN"/>
              </w:rPr>
              <w:t>GB/T7475-1987</w:t>
            </w:r>
          </w:p>
        </w:tc>
        <w:tc>
          <w:tcPr>
            <w:tcW w:w="1311" w:type="pct"/>
            <w:shd w:val="clear" w:color="auto" w:fill="auto"/>
            <w:noWrap w:val="0"/>
            <w:vAlign w:val="center"/>
          </w:tcPr>
          <w:p w14:paraId="1BB146A0">
            <w:pPr>
              <w:pStyle w:val="182"/>
              <w:ind w:firstLine="0" w:firstLineChars="0"/>
              <w:rPr>
                <w:rFonts w:hint="eastAsia"/>
                <w:color w:val="auto"/>
                <w:lang w:val="en-US" w:eastAsia="zh-CN"/>
              </w:rPr>
            </w:pPr>
            <w:r>
              <w:rPr>
                <w:rFonts w:hint="eastAsia"/>
                <w:color w:val="auto"/>
                <w:lang w:val="en-US" w:eastAsia="zh-CN"/>
              </w:rPr>
              <w:t>原子吸收分光光度计TAS-990AFG</w:t>
            </w:r>
          </w:p>
        </w:tc>
        <w:tc>
          <w:tcPr>
            <w:tcW w:w="788" w:type="pct"/>
            <w:shd w:val="clear" w:color="auto" w:fill="auto"/>
            <w:noWrap w:val="0"/>
            <w:vAlign w:val="center"/>
          </w:tcPr>
          <w:p w14:paraId="33119C58">
            <w:pPr>
              <w:pStyle w:val="182"/>
              <w:ind w:firstLine="0" w:firstLineChars="0"/>
              <w:rPr>
                <w:rFonts w:hint="eastAsia"/>
                <w:color w:val="auto"/>
                <w:lang w:val="en-US" w:eastAsia="zh-CN"/>
              </w:rPr>
            </w:pPr>
            <w:r>
              <w:rPr>
                <w:rFonts w:hint="eastAsia"/>
                <w:color w:val="auto"/>
                <w:lang w:val="en-US" w:eastAsia="zh-CN"/>
              </w:rPr>
              <w:t>0.001mg/L</w:t>
            </w:r>
          </w:p>
        </w:tc>
        <w:tc>
          <w:tcPr>
            <w:tcW w:w="433" w:type="pct"/>
            <w:vMerge w:val="continue"/>
            <w:tcBorders>
              <w:right w:val="single" w:color="000000" w:sz="6" w:space="0"/>
            </w:tcBorders>
            <w:shd w:val="clear" w:color="auto" w:fill="auto"/>
            <w:noWrap w:val="0"/>
            <w:vAlign w:val="center"/>
          </w:tcPr>
          <w:p w14:paraId="3139641A">
            <w:pPr>
              <w:pStyle w:val="182"/>
              <w:rPr>
                <w:rFonts w:hint="eastAsia"/>
                <w:color w:val="auto"/>
                <w:lang w:val="en-US" w:eastAsia="zh-CN"/>
              </w:rPr>
            </w:pPr>
          </w:p>
        </w:tc>
      </w:tr>
      <w:tr w14:paraId="4B29A5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78E2A197">
            <w:pPr>
              <w:pStyle w:val="182"/>
              <w:ind w:firstLine="0" w:firstLineChars="0"/>
              <w:rPr>
                <w:rFonts w:hint="eastAsia"/>
                <w:color w:val="auto"/>
                <w:lang w:val="en-US" w:eastAsia="zh-CN"/>
              </w:rPr>
            </w:pPr>
            <w:r>
              <w:rPr>
                <w:rFonts w:hint="eastAsia"/>
                <w:color w:val="auto"/>
                <w:lang w:val="en-US" w:eastAsia="zh-CN"/>
              </w:rPr>
              <w:t>20</w:t>
            </w:r>
          </w:p>
        </w:tc>
        <w:tc>
          <w:tcPr>
            <w:tcW w:w="576" w:type="pct"/>
            <w:shd w:val="clear" w:color="auto" w:fill="auto"/>
            <w:noWrap w:val="0"/>
            <w:vAlign w:val="center"/>
          </w:tcPr>
          <w:p w14:paraId="267A507C">
            <w:pPr>
              <w:pStyle w:val="182"/>
              <w:ind w:firstLine="0" w:firstLineChars="0"/>
              <w:rPr>
                <w:rFonts w:hint="eastAsia"/>
                <w:color w:val="auto"/>
                <w:lang w:val="en-US" w:eastAsia="zh-CN"/>
              </w:rPr>
            </w:pPr>
            <w:r>
              <w:rPr>
                <w:rFonts w:hint="eastAsia"/>
                <w:color w:val="auto"/>
                <w:lang w:val="en-US" w:eastAsia="zh-CN"/>
              </w:rPr>
              <w:t>铁</w:t>
            </w:r>
          </w:p>
        </w:tc>
        <w:tc>
          <w:tcPr>
            <w:tcW w:w="1604" w:type="pct"/>
            <w:vMerge w:val="restart"/>
            <w:shd w:val="clear" w:color="auto" w:fill="auto"/>
            <w:noWrap w:val="0"/>
            <w:vAlign w:val="center"/>
          </w:tcPr>
          <w:p w14:paraId="53B1ADBB">
            <w:pPr>
              <w:pStyle w:val="182"/>
              <w:rPr>
                <w:rFonts w:hint="eastAsia"/>
                <w:color w:val="auto"/>
                <w:lang w:val="en-US" w:eastAsia="zh-CN"/>
              </w:rPr>
            </w:pPr>
            <w:r>
              <w:rPr>
                <w:rFonts w:hint="eastAsia"/>
                <w:color w:val="auto"/>
                <w:lang w:val="en-US" w:eastAsia="zh-CN"/>
              </w:rPr>
              <w:t>水质铁、锰的测定火焰原</w:t>
            </w:r>
          </w:p>
          <w:p w14:paraId="19F6C049">
            <w:pPr>
              <w:pStyle w:val="182"/>
              <w:rPr>
                <w:rFonts w:hint="eastAsia"/>
                <w:color w:val="auto"/>
                <w:lang w:val="en-US" w:eastAsia="zh-CN"/>
              </w:rPr>
            </w:pPr>
            <w:r>
              <w:rPr>
                <w:rFonts w:hint="eastAsia"/>
                <w:color w:val="auto"/>
                <w:lang w:val="en-US" w:eastAsia="zh-CN"/>
              </w:rPr>
              <w:t>子吸收分光光度法GB/T</w:t>
            </w:r>
          </w:p>
          <w:p w14:paraId="6C1BBFD4">
            <w:pPr>
              <w:pStyle w:val="182"/>
              <w:ind w:firstLine="0" w:firstLineChars="0"/>
              <w:rPr>
                <w:rFonts w:hint="eastAsia"/>
                <w:color w:val="auto"/>
                <w:lang w:val="en-US" w:eastAsia="zh-CN"/>
              </w:rPr>
            </w:pPr>
            <w:r>
              <w:rPr>
                <w:rFonts w:hint="eastAsia"/>
                <w:color w:val="auto"/>
                <w:lang w:val="en-US" w:eastAsia="zh-CN"/>
              </w:rPr>
              <w:t>11911-1989</w:t>
            </w:r>
          </w:p>
        </w:tc>
        <w:tc>
          <w:tcPr>
            <w:tcW w:w="1311" w:type="pct"/>
            <w:vMerge w:val="restart"/>
            <w:shd w:val="clear" w:color="auto" w:fill="auto"/>
            <w:noWrap w:val="0"/>
            <w:vAlign w:val="center"/>
          </w:tcPr>
          <w:p w14:paraId="474AE059">
            <w:pPr>
              <w:pStyle w:val="182"/>
              <w:ind w:firstLine="0" w:firstLineChars="0"/>
              <w:rPr>
                <w:rFonts w:hint="eastAsia"/>
                <w:color w:val="auto"/>
                <w:lang w:val="en-US" w:eastAsia="zh-CN"/>
              </w:rPr>
            </w:pPr>
            <w:r>
              <w:rPr>
                <w:rFonts w:hint="eastAsia"/>
                <w:color w:val="auto"/>
                <w:lang w:val="en-US" w:eastAsia="zh-CN"/>
              </w:rPr>
              <w:t>原子吸收分光光度计TAS-990AFG</w:t>
            </w:r>
          </w:p>
        </w:tc>
        <w:tc>
          <w:tcPr>
            <w:tcW w:w="788" w:type="pct"/>
            <w:shd w:val="clear" w:color="auto" w:fill="auto"/>
            <w:noWrap w:val="0"/>
            <w:vAlign w:val="center"/>
          </w:tcPr>
          <w:p w14:paraId="611986E7">
            <w:pPr>
              <w:pStyle w:val="182"/>
              <w:ind w:firstLine="0" w:firstLineChars="0"/>
              <w:rPr>
                <w:rFonts w:hint="eastAsia"/>
                <w:color w:val="auto"/>
                <w:lang w:val="en-US" w:eastAsia="zh-CN"/>
              </w:rPr>
            </w:pPr>
            <w:r>
              <w:rPr>
                <w:rFonts w:hint="eastAsia"/>
                <w:color w:val="auto"/>
                <w:lang w:val="en-US" w:eastAsia="zh-CN"/>
              </w:rPr>
              <w:t>0.03mg/L</w:t>
            </w:r>
          </w:p>
        </w:tc>
        <w:tc>
          <w:tcPr>
            <w:tcW w:w="433" w:type="pct"/>
            <w:vMerge w:val="continue"/>
            <w:tcBorders>
              <w:right w:val="single" w:color="000000" w:sz="6" w:space="0"/>
            </w:tcBorders>
            <w:shd w:val="clear" w:color="auto" w:fill="auto"/>
            <w:noWrap w:val="0"/>
            <w:vAlign w:val="center"/>
          </w:tcPr>
          <w:p w14:paraId="317ECE33">
            <w:pPr>
              <w:pStyle w:val="182"/>
              <w:rPr>
                <w:rFonts w:hint="eastAsia"/>
                <w:color w:val="auto"/>
                <w:lang w:val="en-US" w:eastAsia="zh-CN"/>
              </w:rPr>
            </w:pPr>
          </w:p>
        </w:tc>
      </w:tr>
      <w:tr w14:paraId="248C0A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36EE11FF">
            <w:pPr>
              <w:pStyle w:val="182"/>
              <w:ind w:firstLine="0" w:firstLineChars="0"/>
              <w:rPr>
                <w:rFonts w:hint="eastAsia"/>
                <w:color w:val="auto"/>
                <w:lang w:val="en-US" w:eastAsia="zh-CN"/>
              </w:rPr>
            </w:pPr>
            <w:r>
              <w:rPr>
                <w:rFonts w:hint="eastAsia"/>
                <w:color w:val="auto"/>
                <w:lang w:val="en-US" w:eastAsia="zh-CN"/>
              </w:rPr>
              <w:t>21</w:t>
            </w:r>
          </w:p>
        </w:tc>
        <w:tc>
          <w:tcPr>
            <w:tcW w:w="576" w:type="pct"/>
            <w:shd w:val="clear" w:color="auto" w:fill="auto"/>
            <w:noWrap w:val="0"/>
            <w:vAlign w:val="center"/>
          </w:tcPr>
          <w:p w14:paraId="2AD46F1C">
            <w:pPr>
              <w:pStyle w:val="182"/>
              <w:ind w:firstLine="0" w:firstLineChars="0"/>
              <w:rPr>
                <w:rFonts w:hint="eastAsia"/>
                <w:color w:val="auto"/>
                <w:lang w:val="en-US" w:eastAsia="zh-CN"/>
              </w:rPr>
            </w:pPr>
            <w:r>
              <w:rPr>
                <w:rFonts w:hint="eastAsia"/>
                <w:color w:val="auto"/>
                <w:lang w:val="en-US" w:eastAsia="zh-CN"/>
              </w:rPr>
              <w:t>锰</w:t>
            </w:r>
          </w:p>
        </w:tc>
        <w:tc>
          <w:tcPr>
            <w:tcW w:w="1604" w:type="pct"/>
            <w:vMerge w:val="continue"/>
            <w:shd w:val="clear" w:color="auto" w:fill="auto"/>
            <w:noWrap w:val="0"/>
            <w:vAlign w:val="center"/>
          </w:tcPr>
          <w:p w14:paraId="233AD68B">
            <w:pPr>
              <w:pStyle w:val="182"/>
              <w:ind w:firstLine="0" w:firstLineChars="0"/>
              <w:rPr>
                <w:rFonts w:hint="eastAsia"/>
                <w:color w:val="auto"/>
                <w:lang w:val="en-US" w:eastAsia="zh-CN"/>
              </w:rPr>
            </w:pPr>
          </w:p>
        </w:tc>
        <w:tc>
          <w:tcPr>
            <w:tcW w:w="1311" w:type="pct"/>
            <w:vMerge w:val="continue"/>
            <w:shd w:val="clear" w:color="auto" w:fill="auto"/>
            <w:noWrap w:val="0"/>
            <w:vAlign w:val="center"/>
          </w:tcPr>
          <w:p w14:paraId="1BC6A175">
            <w:pPr>
              <w:pStyle w:val="182"/>
              <w:ind w:firstLine="0" w:firstLineChars="0"/>
              <w:rPr>
                <w:rFonts w:hint="eastAsia"/>
                <w:color w:val="auto"/>
                <w:lang w:val="en-US" w:eastAsia="zh-CN"/>
              </w:rPr>
            </w:pPr>
          </w:p>
        </w:tc>
        <w:tc>
          <w:tcPr>
            <w:tcW w:w="788" w:type="pct"/>
            <w:shd w:val="clear" w:color="auto" w:fill="auto"/>
            <w:noWrap w:val="0"/>
            <w:vAlign w:val="center"/>
          </w:tcPr>
          <w:p w14:paraId="717D2B3F">
            <w:pPr>
              <w:pStyle w:val="182"/>
              <w:ind w:firstLine="0" w:firstLineChars="0"/>
              <w:rPr>
                <w:rFonts w:hint="eastAsia"/>
                <w:color w:val="auto"/>
                <w:lang w:val="en-US" w:eastAsia="zh-CN"/>
              </w:rPr>
            </w:pPr>
            <w:r>
              <w:rPr>
                <w:rFonts w:hint="eastAsia"/>
                <w:color w:val="auto"/>
                <w:lang w:val="en-US" w:eastAsia="zh-CN"/>
              </w:rPr>
              <w:t>0.01mg/L</w:t>
            </w:r>
          </w:p>
        </w:tc>
        <w:tc>
          <w:tcPr>
            <w:tcW w:w="433" w:type="pct"/>
            <w:vMerge w:val="continue"/>
            <w:tcBorders>
              <w:right w:val="single" w:color="000000" w:sz="6" w:space="0"/>
            </w:tcBorders>
            <w:shd w:val="clear" w:color="auto" w:fill="auto"/>
            <w:noWrap w:val="0"/>
            <w:vAlign w:val="center"/>
          </w:tcPr>
          <w:p w14:paraId="47210E68">
            <w:pPr>
              <w:pStyle w:val="182"/>
              <w:rPr>
                <w:rFonts w:hint="eastAsia"/>
                <w:color w:val="auto"/>
                <w:lang w:val="en-US" w:eastAsia="zh-CN"/>
              </w:rPr>
            </w:pPr>
          </w:p>
        </w:tc>
      </w:tr>
      <w:tr w14:paraId="242A5A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49219627">
            <w:pPr>
              <w:pStyle w:val="182"/>
              <w:ind w:firstLine="0" w:firstLineChars="0"/>
              <w:rPr>
                <w:rFonts w:hint="eastAsia"/>
                <w:color w:val="auto"/>
                <w:lang w:val="en-US" w:eastAsia="zh-CN"/>
              </w:rPr>
            </w:pPr>
            <w:r>
              <w:rPr>
                <w:rFonts w:hint="eastAsia"/>
                <w:color w:val="auto"/>
                <w:lang w:val="en-US" w:eastAsia="zh-CN"/>
              </w:rPr>
              <w:t>22</w:t>
            </w:r>
          </w:p>
        </w:tc>
        <w:tc>
          <w:tcPr>
            <w:tcW w:w="576" w:type="pct"/>
            <w:shd w:val="clear" w:color="auto" w:fill="auto"/>
            <w:noWrap w:val="0"/>
            <w:vAlign w:val="center"/>
          </w:tcPr>
          <w:p w14:paraId="69B25FD1">
            <w:pPr>
              <w:pStyle w:val="182"/>
              <w:ind w:firstLine="0" w:firstLineChars="0"/>
              <w:rPr>
                <w:rFonts w:hint="eastAsia"/>
                <w:color w:val="auto"/>
                <w:lang w:val="en-US" w:eastAsia="zh-CN"/>
              </w:rPr>
            </w:pPr>
            <w:r>
              <w:rPr>
                <w:rFonts w:hint="eastAsia"/>
                <w:color w:val="auto"/>
                <w:lang w:val="en-US" w:eastAsia="zh-CN"/>
              </w:rPr>
              <w:t>铅</w:t>
            </w:r>
          </w:p>
        </w:tc>
        <w:tc>
          <w:tcPr>
            <w:tcW w:w="1604" w:type="pct"/>
            <w:shd w:val="clear" w:color="auto" w:fill="auto"/>
            <w:noWrap w:val="0"/>
            <w:vAlign w:val="center"/>
          </w:tcPr>
          <w:p w14:paraId="4346D460">
            <w:pPr>
              <w:pStyle w:val="182"/>
              <w:rPr>
                <w:rFonts w:hint="eastAsia"/>
                <w:color w:val="auto"/>
                <w:lang w:val="en-US" w:eastAsia="zh-CN"/>
              </w:rPr>
            </w:pPr>
            <w:r>
              <w:rPr>
                <w:rFonts w:hint="eastAsia"/>
                <w:color w:val="auto"/>
                <w:lang w:val="en-US" w:eastAsia="zh-CN"/>
              </w:rPr>
              <w:t>水质铜、锌、铅、镉的测</w:t>
            </w:r>
          </w:p>
          <w:p w14:paraId="7A67B1D8">
            <w:pPr>
              <w:pStyle w:val="182"/>
              <w:rPr>
                <w:rFonts w:hint="eastAsia"/>
                <w:color w:val="auto"/>
                <w:lang w:val="en-US" w:eastAsia="zh-CN"/>
              </w:rPr>
            </w:pPr>
            <w:r>
              <w:rPr>
                <w:rFonts w:hint="eastAsia"/>
                <w:color w:val="auto"/>
                <w:lang w:val="en-US" w:eastAsia="zh-CN"/>
              </w:rPr>
              <w:t>定原子吸收分光光度法</w:t>
            </w:r>
          </w:p>
          <w:p w14:paraId="1BC96F94">
            <w:pPr>
              <w:pStyle w:val="182"/>
              <w:ind w:firstLine="0" w:firstLineChars="0"/>
              <w:rPr>
                <w:rFonts w:hint="eastAsia"/>
                <w:color w:val="auto"/>
                <w:lang w:val="en-US" w:eastAsia="zh-CN"/>
              </w:rPr>
            </w:pPr>
            <w:r>
              <w:rPr>
                <w:rFonts w:hint="eastAsia"/>
                <w:color w:val="auto"/>
                <w:lang w:val="en-US" w:eastAsia="zh-CN"/>
              </w:rPr>
              <w:t>GB/T7475-1987</w:t>
            </w:r>
          </w:p>
        </w:tc>
        <w:tc>
          <w:tcPr>
            <w:tcW w:w="1311" w:type="pct"/>
            <w:shd w:val="clear" w:color="auto" w:fill="auto"/>
            <w:noWrap w:val="0"/>
            <w:vAlign w:val="center"/>
          </w:tcPr>
          <w:p w14:paraId="6FCEC345">
            <w:pPr>
              <w:pStyle w:val="182"/>
              <w:ind w:firstLine="0" w:firstLineChars="0"/>
              <w:rPr>
                <w:rFonts w:hint="eastAsia"/>
                <w:color w:val="auto"/>
                <w:lang w:val="en-US" w:eastAsia="zh-CN"/>
              </w:rPr>
            </w:pPr>
            <w:r>
              <w:rPr>
                <w:rFonts w:hint="eastAsia"/>
                <w:color w:val="auto"/>
                <w:lang w:val="en-US" w:eastAsia="zh-CN"/>
              </w:rPr>
              <w:t>原子吸收分光光度计TAS-990AFG</w:t>
            </w:r>
          </w:p>
        </w:tc>
        <w:tc>
          <w:tcPr>
            <w:tcW w:w="788" w:type="pct"/>
            <w:shd w:val="clear" w:color="auto" w:fill="auto"/>
            <w:noWrap w:val="0"/>
            <w:vAlign w:val="center"/>
          </w:tcPr>
          <w:p w14:paraId="3311DB40">
            <w:pPr>
              <w:pStyle w:val="182"/>
              <w:ind w:firstLine="0" w:firstLineChars="0"/>
              <w:rPr>
                <w:rFonts w:hint="eastAsia"/>
                <w:color w:val="auto"/>
                <w:lang w:val="en-US" w:eastAsia="zh-CN"/>
              </w:rPr>
            </w:pPr>
            <w:r>
              <w:rPr>
                <w:rFonts w:hint="eastAsia"/>
                <w:color w:val="auto"/>
                <w:lang w:val="en-US" w:eastAsia="zh-CN"/>
              </w:rPr>
              <w:t>0.01mg/L</w:t>
            </w:r>
          </w:p>
        </w:tc>
        <w:tc>
          <w:tcPr>
            <w:tcW w:w="433" w:type="pct"/>
            <w:vMerge w:val="continue"/>
            <w:tcBorders>
              <w:right w:val="single" w:color="000000" w:sz="6" w:space="0"/>
            </w:tcBorders>
            <w:shd w:val="clear" w:color="auto" w:fill="auto"/>
            <w:noWrap w:val="0"/>
            <w:vAlign w:val="center"/>
          </w:tcPr>
          <w:p w14:paraId="2BA01A7F">
            <w:pPr>
              <w:pStyle w:val="182"/>
              <w:rPr>
                <w:rFonts w:hint="eastAsia"/>
                <w:color w:val="auto"/>
                <w:lang w:val="en-US" w:eastAsia="zh-CN"/>
              </w:rPr>
            </w:pPr>
          </w:p>
        </w:tc>
      </w:tr>
      <w:tr w14:paraId="7398E2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50833458">
            <w:pPr>
              <w:pStyle w:val="182"/>
              <w:ind w:firstLine="0" w:firstLineChars="0"/>
              <w:rPr>
                <w:rFonts w:hint="eastAsia"/>
                <w:color w:val="auto"/>
                <w:lang w:val="en-US" w:eastAsia="zh-CN"/>
              </w:rPr>
            </w:pPr>
            <w:r>
              <w:rPr>
                <w:rFonts w:hint="eastAsia"/>
                <w:color w:val="auto"/>
                <w:lang w:val="en-US" w:eastAsia="zh-CN"/>
              </w:rPr>
              <w:t>23</w:t>
            </w:r>
          </w:p>
        </w:tc>
        <w:tc>
          <w:tcPr>
            <w:tcW w:w="576" w:type="pct"/>
            <w:shd w:val="clear" w:color="auto" w:fill="auto"/>
            <w:noWrap w:val="0"/>
            <w:vAlign w:val="center"/>
          </w:tcPr>
          <w:p w14:paraId="492838BC">
            <w:pPr>
              <w:pStyle w:val="182"/>
              <w:rPr>
                <w:rFonts w:hint="eastAsia"/>
                <w:color w:val="auto"/>
                <w:lang w:val="en-US" w:eastAsia="zh-CN"/>
              </w:rPr>
            </w:pPr>
          </w:p>
          <w:p w14:paraId="582100B9">
            <w:pPr>
              <w:pStyle w:val="182"/>
              <w:ind w:firstLine="0" w:firstLineChars="0"/>
              <w:rPr>
                <w:rFonts w:hint="eastAsia"/>
                <w:color w:val="auto"/>
                <w:lang w:val="en-US" w:eastAsia="zh-CN"/>
              </w:rPr>
            </w:pPr>
            <w:r>
              <w:rPr>
                <w:rFonts w:hint="eastAsia"/>
                <w:color w:val="auto"/>
                <w:lang w:val="en-US" w:eastAsia="zh-CN"/>
              </w:rPr>
              <w:t>铜</w:t>
            </w:r>
          </w:p>
        </w:tc>
        <w:tc>
          <w:tcPr>
            <w:tcW w:w="1604" w:type="pct"/>
            <w:shd w:val="clear" w:color="auto" w:fill="auto"/>
            <w:noWrap w:val="0"/>
            <w:vAlign w:val="center"/>
          </w:tcPr>
          <w:p w14:paraId="5B8438FA">
            <w:pPr>
              <w:pStyle w:val="182"/>
              <w:rPr>
                <w:rFonts w:hint="eastAsia"/>
                <w:color w:val="auto"/>
                <w:lang w:val="en-US" w:eastAsia="zh-CN"/>
              </w:rPr>
            </w:pPr>
            <w:r>
              <w:rPr>
                <w:rFonts w:hint="eastAsia"/>
                <w:color w:val="auto"/>
                <w:lang w:val="en-US" w:eastAsia="zh-CN"/>
              </w:rPr>
              <w:t>水质铜、锌、铅、镉的测</w:t>
            </w:r>
          </w:p>
          <w:p w14:paraId="08AFD7CA">
            <w:pPr>
              <w:pStyle w:val="182"/>
              <w:rPr>
                <w:rFonts w:hint="eastAsia"/>
                <w:color w:val="auto"/>
                <w:lang w:val="en-US" w:eastAsia="zh-CN"/>
              </w:rPr>
            </w:pPr>
            <w:r>
              <w:rPr>
                <w:rFonts w:hint="eastAsia"/>
                <w:color w:val="auto"/>
                <w:lang w:val="en-US" w:eastAsia="zh-CN"/>
              </w:rPr>
              <w:t>定原子吸收分光光度法-螯</w:t>
            </w:r>
          </w:p>
          <w:p w14:paraId="0F89449A">
            <w:pPr>
              <w:pStyle w:val="182"/>
              <w:rPr>
                <w:rFonts w:hint="eastAsia"/>
                <w:color w:val="auto"/>
                <w:lang w:val="en-US" w:eastAsia="zh-CN"/>
              </w:rPr>
            </w:pPr>
            <w:r>
              <w:rPr>
                <w:rFonts w:hint="eastAsia"/>
                <w:color w:val="auto"/>
                <w:lang w:val="en-US" w:eastAsia="zh-CN"/>
              </w:rPr>
              <w:t>合萃取法</w:t>
            </w:r>
          </w:p>
          <w:p w14:paraId="55AC7744">
            <w:pPr>
              <w:pStyle w:val="182"/>
              <w:ind w:firstLine="0" w:firstLineChars="0"/>
              <w:rPr>
                <w:rFonts w:hint="eastAsia"/>
                <w:color w:val="auto"/>
                <w:lang w:val="en-US" w:eastAsia="zh-CN"/>
              </w:rPr>
            </w:pPr>
            <w:r>
              <w:rPr>
                <w:rFonts w:hint="eastAsia"/>
                <w:color w:val="auto"/>
                <w:lang w:val="en-US" w:eastAsia="zh-CN"/>
              </w:rPr>
              <w:t>GB/T7475-1987</w:t>
            </w:r>
          </w:p>
        </w:tc>
        <w:tc>
          <w:tcPr>
            <w:tcW w:w="1311" w:type="pct"/>
            <w:shd w:val="clear" w:color="auto" w:fill="auto"/>
            <w:noWrap w:val="0"/>
            <w:vAlign w:val="center"/>
          </w:tcPr>
          <w:p w14:paraId="5F4F42BA">
            <w:pPr>
              <w:pStyle w:val="182"/>
              <w:ind w:firstLine="0" w:firstLineChars="0"/>
              <w:rPr>
                <w:rFonts w:hint="eastAsia"/>
                <w:color w:val="auto"/>
                <w:lang w:val="en-US" w:eastAsia="zh-CN"/>
              </w:rPr>
            </w:pPr>
            <w:r>
              <w:rPr>
                <w:rFonts w:hint="eastAsia"/>
                <w:color w:val="auto"/>
                <w:lang w:val="en-US" w:eastAsia="zh-CN"/>
              </w:rPr>
              <w:t>原子吸收分光光度计TAS-990AFG</w:t>
            </w:r>
          </w:p>
        </w:tc>
        <w:tc>
          <w:tcPr>
            <w:tcW w:w="788" w:type="pct"/>
            <w:shd w:val="clear" w:color="auto" w:fill="auto"/>
            <w:noWrap w:val="0"/>
            <w:vAlign w:val="center"/>
          </w:tcPr>
          <w:p w14:paraId="72DA9C81">
            <w:pPr>
              <w:pStyle w:val="182"/>
              <w:ind w:firstLine="0" w:firstLineChars="0"/>
              <w:rPr>
                <w:rFonts w:hint="eastAsia"/>
                <w:color w:val="auto"/>
                <w:lang w:val="en-US" w:eastAsia="zh-CN"/>
              </w:rPr>
            </w:pPr>
            <w:r>
              <w:rPr>
                <w:rFonts w:hint="eastAsia"/>
                <w:color w:val="auto"/>
                <w:lang w:val="en-US" w:eastAsia="zh-CN"/>
              </w:rPr>
              <w:t>0.001mg/L</w:t>
            </w:r>
          </w:p>
        </w:tc>
        <w:tc>
          <w:tcPr>
            <w:tcW w:w="433" w:type="pct"/>
            <w:vMerge w:val="continue"/>
            <w:tcBorders>
              <w:right w:val="single" w:color="000000" w:sz="6" w:space="0"/>
            </w:tcBorders>
            <w:shd w:val="clear" w:color="auto" w:fill="auto"/>
            <w:noWrap w:val="0"/>
            <w:vAlign w:val="center"/>
          </w:tcPr>
          <w:p w14:paraId="045ECA9A">
            <w:pPr>
              <w:pStyle w:val="182"/>
              <w:rPr>
                <w:rFonts w:hint="eastAsia"/>
                <w:color w:val="auto"/>
                <w:lang w:val="en-US" w:eastAsia="zh-CN"/>
              </w:rPr>
            </w:pPr>
          </w:p>
        </w:tc>
      </w:tr>
      <w:tr w14:paraId="776DCF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11CFE75A">
            <w:pPr>
              <w:pStyle w:val="182"/>
              <w:ind w:firstLine="0" w:firstLineChars="0"/>
              <w:rPr>
                <w:rFonts w:hint="eastAsia"/>
                <w:color w:val="auto"/>
                <w:lang w:val="en-US" w:eastAsia="zh-CN"/>
              </w:rPr>
            </w:pPr>
            <w:r>
              <w:rPr>
                <w:rFonts w:hint="eastAsia"/>
                <w:color w:val="auto"/>
                <w:lang w:val="en-US" w:eastAsia="zh-CN"/>
              </w:rPr>
              <w:t>24</w:t>
            </w:r>
          </w:p>
        </w:tc>
        <w:tc>
          <w:tcPr>
            <w:tcW w:w="576" w:type="pct"/>
            <w:shd w:val="clear" w:color="auto" w:fill="auto"/>
            <w:noWrap w:val="0"/>
            <w:vAlign w:val="center"/>
          </w:tcPr>
          <w:p w14:paraId="17B8C8D1">
            <w:pPr>
              <w:pStyle w:val="182"/>
              <w:ind w:firstLine="0" w:firstLineChars="0"/>
              <w:rPr>
                <w:rFonts w:hint="eastAsia"/>
                <w:color w:val="auto"/>
                <w:lang w:val="en-US" w:eastAsia="zh-CN"/>
              </w:rPr>
            </w:pPr>
            <w:r>
              <w:rPr>
                <w:rFonts w:hint="eastAsia"/>
                <w:color w:val="auto"/>
                <w:lang w:val="en-US" w:eastAsia="zh-CN"/>
              </w:rPr>
              <w:t>锌</w:t>
            </w:r>
          </w:p>
        </w:tc>
        <w:tc>
          <w:tcPr>
            <w:tcW w:w="1604" w:type="pct"/>
            <w:shd w:val="clear" w:color="auto" w:fill="auto"/>
            <w:noWrap w:val="0"/>
            <w:vAlign w:val="center"/>
          </w:tcPr>
          <w:p w14:paraId="40E96F4E">
            <w:pPr>
              <w:pStyle w:val="182"/>
              <w:rPr>
                <w:rFonts w:hint="eastAsia"/>
                <w:color w:val="auto"/>
                <w:lang w:val="en-US" w:eastAsia="zh-CN"/>
              </w:rPr>
            </w:pPr>
            <w:r>
              <w:rPr>
                <w:rFonts w:hint="eastAsia"/>
                <w:color w:val="auto"/>
                <w:lang w:val="en-US" w:eastAsia="zh-CN"/>
              </w:rPr>
              <w:t>水质铜、锌、铅、镉的测</w:t>
            </w:r>
          </w:p>
          <w:p w14:paraId="22F042BE">
            <w:pPr>
              <w:pStyle w:val="182"/>
              <w:rPr>
                <w:rFonts w:hint="eastAsia"/>
                <w:color w:val="auto"/>
                <w:lang w:val="en-US" w:eastAsia="zh-CN"/>
              </w:rPr>
            </w:pPr>
            <w:r>
              <w:rPr>
                <w:rFonts w:hint="eastAsia"/>
                <w:color w:val="auto"/>
                <w:lang w:val="en-US" w:eastAsia="zh-CN"/>
              </w:rPr>
              <w:t>定原子吸收分光光度法</w:t>
            </w:r>
          </w:p>
          <w:p w14:paraId="62B7F393">
            <w:pPr>
              <w:pStyle w:val="182"/>
              <w:ind w:firstLine="0" w:firstLineChars="0"/>
              <w:rPr>
                <w:rFonts w:hint="eastAsia"/>
                <w:color w:val="auto"/>
                <w:lang w:val="en-US" w:eastAsia="zh-CN"/>
              </w:rPr>
            </w:pPr>
            <w:r>
              <w:rPr>
                <w:rFonts w:hint="eastAsia"/>
                <w:color w:val="auto"/>
                <w:lang w:val="en-US" w:eastAsia="zh-CN"/>
              </w:rPr>
              <w:t>GB/T7475-1987</w:t>
            </w:r>
          </w:p>
        </w:tc>
        <w:tc>
          <w:tcPr>
            <w:tcW w:w="1311" w:type="pct"/>
            <w:shd w:val="clear" w:color="auto" w:fill="auto"/>
            <w:noWrap w:val="0"/>
            <w:vAlign w:val="center"/>
          </w:tcPr>
          <w:p w14:paraId="5781F8CA">
            <w:pPr>
              <w:pStyle w:val="182"/>
              <w:ind w:firstLine="0" w:firstLineChars="0"/>
              <w:rPr>
                <w:rFonts w:hint="eastAsia"/>
                <w:color w:val="auto"/>
                <w:lang w:val="en-US" w:eastAsia="zh-CN"/>
              </w:rPr>
            </w:pPr>
            <w:r>
              <w:rPr>
                <w:rFonts w:hint="eastAsia"/>
                <w:color w:val="auto"/>
                <w:lang w:val="en-US" w:eastAsia="zh-CN"/>
              </w:rPr>
              <w:t>原子吸收分光光度计TAS-990AFG</w:t>
            </w:r>
          </w:p>
        </w:tc>
        <w:tc>
          <w:tcPr>
            <w:tcW w:w="788" w:type="pct"/>
            <w:shd w:val="clear" w:color="auto" w:fill="auto"/>
            <w:noWrap w:val="0"/>
            <w:vAlign w:val="center"/>
          </w:tcPr>
          <w:p w14:paraId="3BD2077C">
            <w:pPr>
              <w:pStyle w:val="182"/>
              <w:ind w:firstLine="0" w:firstLineChars="0"/>
              <w:rPr>
                <w:rFonts w:hint="eastAsia"/>
                <w:color w:val="auto"/>
                <w:lang w:val="en-US" w:eastAsia="zh-CN"/>
              </w:rPr>
            </w:pPr>
            <w:r>
              <w:rPr>
                <w:rFonts w:hint="eastAsia"/>
                <w:color w:val="auto"/>
                <w:lang w:val="en-US" w:eastAsia="zh-CN"/>
              </w:rPr>
              <w:t>0.05mg/L</w:t>
            </w:r>
          </w:p>
        </w:tc>
        <w:tc>
          <w:tcPr>
            <w:tcW w:w="433" w:type="pct"/>
            <w:vMerge w:val="continue"/>
            <w:tcBorders>
              <w:right w:val="single" w:color="000000" w:sz="6" w:space="0"/>
            </w:tcBorders>
            <w:shd w:val="clear" w:color="auto" w:fill="auto"/>
            <w:noWrap w:val="0"/>
            <w:vAlign w:val="center"/>
          </w:tcPr>
          <w:p w14:paraId="14A1BB51">
            <w:pPr>
              <w:pStyle w:val="182"/>
              <w:rPr>
                <w:rFonts w:hint="eastAsia"/>
                <w:color w:val="auto"/>
                <w:lang w:val="en-US" w:eastAsia="zh-CN"/>
              </w:rPr>
            </w:pPr>
          </w:p>
        </w:tc>
      </w:tr>
      <w:tr w14:paraId="37B779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067A4772">
            <w:pPr>
              <w:pStyle w:val="182"/>
              <w:ind w:firstLine="0" w:firstLineChars="0"/>
              <w:rPr>
                <w:rFonts w:hint="eastAsia"/>
                <w:color w:val="auto"/>
                <w:lang w:val="en-US" w:eastAsia="zh-CN"/>
              </w:rPr>
            </w:pPr>
            <w:r>
              <w:rPr>
                <w:rFonts w:hint="eastAsia"/>
                <w:color w:val="auto"/>
                <w:lang w:val="en-US" w:eastAsia="zh-CN"/>
              </w:rPr>
              <w:t>25</w:t>
            </w:r>
          </w:p>
        </w:tc>
        <w:tc>
          <w:tcPr>
            <w:tcW w:w="576" w:type="pct"/>
            <w:shd w:val="clear" w:color="auto" w:fill="auto"/>
            <w:noWrap w:val="0"/>
            <w:vAlign w:val="center"/>
          </w:tcPr>
          <w:p w14:paraId="6B35990C">
            <w:pPr>
              <w:pStyle w:val="182"/>
              <w:ind w:firstLine="0" w:firstLineChars="0"/>
              <w:rPr>
                <w:rFonts w:hint="eastAsia"/>
                <w:color w:val="auto"/>
                <w:lang w:val="en-US" w:eastAsia="zh-CN"/>
              </w:rPr>
            </w:pPr>
            <w:r>
              <w:rPr>
                <w:rFonts w:hint="eastAsia"/>
                <w:color w:val="auto"/>
                <w:lang w:val="en-US" w:eastAsia="zh-CN"/>
              </w:rPr>
              <w:t>铝</w:t>
            </w:r>
          </w:p>
        </w:tc>
        <w:tc>
          <w:tcPr>
            <w:tcW w:w="1604" w:type="pct"/>
            <w:shd w:val="clear" w:color="auto" w:fill="auto"/>
            <w:noWrap w:val="0"/>
            <w:vAlign w:val="center"/>
          </w:tcPr>
          <w:p w14:paraId="75196F0E">
            <w:pPr>
              <w:pStyle w:val="182"/>
              <w:rPr>
                <w:rFonts w:hint="eastAsia"/>
                <w:color w:val="auto"/>
                <w:lang w:val="en-US" w:eastAsia="zh-CN"/>
              </w:rPr>
            </w:pPr>
            <w:r>
              <w:rPr>
                <w:rFonts w:hint="eastAsia"/>
                <w:color w:val="auto"/>
                <w:lang w:val="en-US" w:eastAsia="zh-CN"/>
              </w:rPr>
              <w:t>生活饮用水标准检验方法</w:t>
            </w:r>
          </w:p>
          <w:p w14:paraId="3816A7E8">
            <w:pPr>
              <w:pStyle w:val="182"/>
              <w:rPr>
                <w:rFonts w:hint="eastAsia"/>
                <w:color w:val="auto"/>
                <w:lang w:val="en-US" w:eastAsia="zh-CN"/>
              </w:rPr>
            </w:pPr>
            <w:r>
              <w:rPr>
                <w:rFonts w:hint="eastAsia"/>
                <w:color w:val="auto"/>
                <w:lang w:val="en-US" w:eastAsia="zh-CN"/>
              </w:rPr>
              <w:t>金属指标(1.1铝铬天青S</w:t>
            </w:r>
          </w:p>
          <w:p w14:paraId="0362CC43">
            <w:pPr>
              <w:pStyle w:val="182"/>
              <w:rPr>
                <w:rFonts w:hint="eastAsia"/>
                <w:color w:val="auto"/>
                <w:lang w:val="en-US" w:eastAsia="zh-CN"/>
              </w:rPr>
            </w:pPr>
            <w:r>
              <w:rPr>
                <w:rFonts w:hint="eastAsia"/>
                <w:color w:val="auto"/>
                <w:lang w:val="en-US" w:eastAsia="zh-CN"/>
              </w:rPr>
              <w:t>分光光度法)</w:t>
            </w:r>
          </w:p>
          <w:p w14:paraId="34B431FB">
            <w:pPr>
              <w:pStyle w:val="182"/>
              <w:ind w:firstLine="0" w:firstLineChars="0"/>
              <w:rPr>
                <w:rFonts w:hint="eastAsia"/>
                <w:color w:val="auto"/>
                <w:lang w:val="en-US" w:eastAsia="zh-CN"/>
              </w:rPr>
            </w:pPr>
            <w:r>
              <w:rPr>
                <w:rFonts w:hint="eastAsia"/>
                <w:color w:val="auto"/>
                <w:lang w:val="en-US" w:eastAsia="zh-CN"/>
              </w:rPr>
              <w:t>GB/T5750.6-2006</w:t>
            </w:r>
          </w:p>
        </w:tc>
        <w:tc>
          <w:tcPr>
            <w:tcW w:w="1311" w:type="pct"/>
            <w:shd w:val="clear" w:color="auto" w:fill="auto"/>
            <w:noWrap w:val="0"/>
            <w:vAlign w:val="center"/>
          </w:tcPr>
          <w:p w14:paraId="3F15867E">
            <w:pPr>
              <w:pStyle w:val="182"/>
              <w:ind w:firstLine="0" w:firstLineChars="0"/>
              <w:rPr>
                <w:rFonts w:hint="eastAsia"/>
                <w:color w:val="auto"/>
                <w:lang w:val="en-US" w:eastAsia="zh-CN"/>
              </w:rPr>
            </w:pPr>
            <w:r>
              <w:rPr>
                <w:rFonts w:hint="eastAsia"/>
                <w:color w:val="auto"/>
                <w:lang w:val="en-US" w:eastAsia="zh-CN"/>
              </w:rPr>
              <w:t>紫外可见分光光度计T6新世纪</w:t>
            </w:r>
          </w:p>
        </w:tc>
        <w:tc>
          <w:tcPr>
            <w:tcW w:w="788" w:type="pct"/>
            <w:shd w:val="clear" w:color="auto" w:fill="auto"/>
            <w:noWrap w:val="0"/>
            <w:vAlign w:val="center"/>
          </w:tcPr>
          <w:p w14:paraId="12C81132">
            <w:pPr>
              <w:pStyle w:val="182"/>
              <w:ind w:firstLine="0" w:firstLineChars="0"/>
              <w:rPr>
                <w:rFonts w:hint="eastAsia"/>
                <w:color w:val="auto"/>
                <w:lang w:val="en-US" w:eastAsia="zh-CN"/>
              </w:rPr>
            </w:pPr>
            <w:r>
              <w:rPr>
                <w:rFonts w:hint="eastAsia"/>
                <w:color w:val="auto"/>
                <w:lang w:val="en-US" w:eastAsia="zh-CN"/>
              </w:rPr>
              <w:t>0.008mg/L</w:t>
            </w:r>
          </w:p>
        </w:tc>
        <w:tc>
          <w:tcPr>
            <w:tcW w:w="433" w:type="pct"/>
            <w:vMerge w:val="continue"/>
            <w:tcBorders>
              <w:right w:val="single" w:color="000000" w:sz="6" w:space="0"/>
            </w:tcBorders>
            <w:shd w:val="clear" w:color="auto" w:fill="auto"/>
            <w:noWrap w:val="0"/>
            <w:vAlign w:val="center"/>
          </w:tcPr>
          <w:p w14:paraId="67BC1767">
            <w:pPr>
              <w:pStyle w:val="182"/>
              <w:rPr>
                <w:rFonts w:hint="eastAsia"/>
                <w:color w:val="auto"/>
                <w:lang w:val="en-US" w:eastAsia="zh-CN"/>
              </w:rPr>
            </w:pPr>
          </w:p>
        </w:tc>
      </w:tr>
      <w:tr w14:paraId="585D9F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1F8FDCA3">
            <w:pPr>
              <w:pStyle w:val="182"/>
              <w:ind w:firstLine="0" w:firstLineChars="0"/>
              <w:rPr>
                <w:rFonts w:hint="eastAsia"/>
                <w:color w:val="auto"/>
                <w:lang w:val="en-US" w:eastAsia="zh-CN"/>
              </w:rPr>
            </w:pPr>
            <w:r>
              <w:rPr>
                <w:rFonts w:hint="eastAsia"/>
                <w:color w:val="auto"/>
                <w:lang w:val="en-US" w:eastAsia="zh-CN"/>
              </w:rPr>
              <w:t>26</w:t>
            </w:r>
          </w:p>
        </w:tc>
        <w:tc>
          <w:tcPr>
            <w:tcW w:w="576" w:type="pct"/>
            <w:shd w:val="clear" w:color="auto" w:fill="auto"/>
            <w:noWrap w:val="0"/>
            <w:vAlign w:val="center"/>
          </w:tcPr>
          <w:p w14:paraId="7F5AEE87">
            <w:pPr>
              <w:pStyle w:val="182"/>
              <w:ind w:firstLine="0" w:firstLineChars="0"/>
              <w:rPr>
                <w:rFonts w:hint="eastAsia"/>
                <w:color w:val="auto"/>
                <w:lang w:val="en-US" w:eastAsia="zh-CN"/>
              </w:rPr>
            </w:pPr>
            <w:r>
              <w:rPr>
                <w:rFonts w:hint="eastAsia"/>
                <w:color w:val="auto"/>
                <w:lang w:val="en-US" w:eastAsia="zh-CN"/>
              </w:rPr>
              <w:t>溶解性总固体</w:t>
            </w:r>
          </w:p>
        </w:tc>
        <w:tc>
          <w:tcPr>
            <w:tcW w:w="1604" w:type="pct"/>
            <w:shd w:val="clear" w:color="auto" w:fill="auto"/>
            <w:noWrap w:val="0"/>
            <w:vAlign w:val="center"/>
          </w:tcPr>
          <w:p w14:paraId="1797D1EE">
            <w:pPr>
              <w:pStyle w:val="182"/>
              <w:rPr>
                <w:rFonts w:hint="eastAsia"/>
                <w:color w:val="auto"/>
                <w:lang w:val="en-US" w:eastAsia="zh-CN"/>
              </w:rPr>
            </w:pPr>
            <w:r>
              <w:rPr>
                <w:rFonts w:hint="eastAsia"/>
                <w:color w:val="auto"/>
                <w:lang w:val="en-US" w:eastAsia="zh-CN"/>
              </w:rPr>
              <w:t>生活饮用水标准检验方法</w:t>
            </w:r>
          </w:p>
          <w:p w14:paraId="0407784A">
            <w:pPr>
              <w:pStyle w:val="182"/>
              <w:rPr>
                <w:rFonts w:hint="eastAsia"/>
                <w:color w:val="auto"/>
                <w:lang w:val="en-US" w:eastAsia="zh-CN"/>
              </w:rPr>
            </w:pPr>
            <w:r>
              <w:rPr>
                <w:rFonts w:hint="eastAsia"/>
                <w:color w:val="auto"/>
                <w:lang w:val="en-US" w:eastAsia="zh-CN"/>
              </w:rPr>
              <w:t>感官性状和物理指标(8.1</w:t>
            </w:r>
          </w:p>
          <w:p w14:paraId="37C25F82">
            <w:pPr>
              <w:pStyle w:val="182"/>
              <w:rPr>
                <w:rFonts w:hint="eastAsia"/>
                <w:color w:val="auto"/>
                <w:lang w:val="en-US" w:eastAsia="zh-CN"/>
              </w:rPr>
            </w:pPr>
            <w:r>
              <w:rPr>
                <w:rFonts w:hint="eastAsia"/>
                <w:color w:val="auto"/>
                <w:lang w:val="en-US" w:eastAsia="zh-CN"/>
              </w:rPr>
              <w:t>溶解性总固体称量法)</w:t>
            </w:r>
          </w:p>
          <w:p w14:paraId="06AED662">
            <w:pPr>
              <w:pStyle w:val="182"/>
              <w:ind w:firstLine="0" w:firstLineChars="0"/>
              <w:rPr>
                <w:rFonts w:hint="eastAsia"/>
                <w:color w:val="auto"/>
                <w:lang w:val="en-US" w:eastAsia="zh-CN"/>
              </w:rPr>
            </w:pPr>
            <w:r>
              <w:rPr>
                <w:rFonts w:hint="eastAsia"/>
                <w:color w:val="auto"/>
                <w:lang w:val="en-US" w:eastAsia="zh-CN"/>
              </w:rPr>
              <w:t>GB/T5750.4-2006</w:t>
            </w:r>
          </w:p>
        </w:tc>
        <w:tc>
          <w:tcPr>
            <w:tcW w:w="1311" w:type="pct"/>
            <w:shd w:val="clear" w:color="auto" w:fill="auto"/>
            <w:noWrap w:val="0"/>
            <w:vAlign w:val="center"/>
          </w:tcPr>
          <w:p w14:paraId="4C68C610">
            <w:pPr>
              <w:pStyle w:val="182"/>
              <w:rPr>
                <w:rFonts w:hint="eastAsia"/>
                <w:color w:val="auto"/>
                <w:lang w:val="en-US" w:eastAsia="zh-CN"/>
              </w:rPr>
            </w:pPr>
            <w:r>
              <w:rPr>
                <w:rFonts w:hint="eastAsia"/>
                <w:color w:val="auto"/>
                <w:lang w:val="en-US" w:eastAsia="zh-CN"/>
              </w:rPr>
              <w:t>电子天平FA1004</w:t>
            </w:r>
          </w:p>
        </w:tc>
        <w:tc>
          <w:tcPr>
            <w:tcW w:w="788" w:type="pct"/>
            <w:shd w:val="clear" w:color="auto" w:fill="auto"/>
            <w:noWrap w:val="0"/>
            <w:vAlign w:val="center"/>
          </w:tcPr>
          <w:p w14:paraId="5AEEF607">
            <w:pPr>
              <w:pStyle w:val="182"/>
              <w:ind w:firstLine="0" w:firstLineChars="0"/>
              <w:rPr>
                <w:rFonts w:hint="eastAsia"/>
                <w:color w:val="auto"/>
                <w:lang w:val="en-US" w:eastAsia="zh-CN"/>
              </w:rPr>
            </w:pPr>
            <w:r>
              <w:rPr>
                <w:rFonts w:hint="eastAsia"/>
                <w:color w:val="auto"/>
                <w:lang w:val="en-US" w:eastAsia="zh-CN"/>
              </w:rPr>
              <w:t>/</w:t>
            </w:r>
          </w:p>
        </w:tc>
        <w:tc>
          <w:tcPr>
            <w:tcW w:w="433" w:type="pct"/>
            <w:vMerge w:val="continue"/>
            <w:tcBorders>
              <w:right w:val="single" w:color="000000" w:sz="6" w:space="0"/>
            </w:tcBorders>
            <w:shd w:val="clear" w:color="auto" w:fill="auto"/>
            <w:noWrap w:val="0"/>
            <w:vAlign w:val="center"/>
          </w:tcPr>
          <w:p w14:paraId="361768AF">
            <w:pPr>
              <w:pStyle w:val="182"/>
              <w:rPr>
                <w:rFonts w:hint="eastAsia"/>
                <w:color w:val="auto"/>
                <w:lang w:val="en-US" w:eastAsia="zh-CN"/>
              </w:rPr>
            </w:pPr>
          </w:p>
        </w:tc>
      </w:tr>
      <w:tr w14:paraId="69FA2D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41B0C6A4">
            <w:pPr>
              <w:pStyle w:val="182"/>
              <w:ind w:firstLine="0" w:firstLineChars="0"/>
              <w:rPr>
                <w:rFonts w:hint="eastAsia"/>
                <w:color w:val="auto"/>
                <w:lang w:val="en-US" w:eastAsia="zh-CN"/>
              </w:rPr>
            </w:pPr>
            <w:r>
              <w:rPr>
                <w:rFonts w:hint="eastAsia"/>
                <w:color w:val="auto"/>
                <w:lang w:val="en-US" w:eastAsia="zh-CN"/>
              </w:rPr>
              <w:t>27</w:t>
            </w:r>
          </w:p>
        </w:tc>
        <w:tc>
          <w:tcPr>
            <w:tcW w:w="576" w:type="pct"/>
            <w:shd w:val="clear" w:color="auto" w:fill="auto"/>
            <w:noWrap w:val="0"/>
            <w:vAlign w:val="center"/>
          </w:tcPr>
          <w:p w14:paraId="52F206AA">
            <w:pPr>
              <w:pStyle w:val="182"/>
              <w:ind w:firstLine="0" w:firstLineChars="0"/>
              <w:rPr>
                <w:rFonts w:hint="eastAsia"/>
                <w:color w:val="auto"/>
                <w:lang w:val="en-US" w:eastAsia="zh-CN"/>
              </w:rPr>
            </w:pPr>
            <w:r>
              <w:rPr>
                <w:rFonts w:hint="eastAsia"/>
                <w:color w:val="auto"/>
                <w:lang w:val="en-US" w:eastAsia="zh-CN"/>
              </w:rPr>
              <w:t>耗氧量</w:t>
            </w:r>
          </w:p>
        </w:tc>
        <w:tc>
          <w:tcPr>
            <w:tcW w:w="1604" w:type="pct"/>
            <w:shd w:val="clear" w:color="auto" w:fill="auto"/>
            <w:noWrap w:val="0"/>
            <w:vAlign w:val="center"/>
          </w:tcPr>
          <w:p w14:paraId="459C3D8B">
            <w:pPr>
              <w:pStyle w:val="182"/>
              <w:rPr>
                <w:rFonts w:hint="eastAsia"/>
                <w:color w:val="auto"/>
                <w:lang w:val="en-US" w:eastAsia="zh-CN"/>
              </w:rPr>
            </w:pPr>
            <w:r>
              <w:rPr>
                <w:rFonts w:hint="eastAsia"/>
                <w:color w:val="auto"/>
                <w:lang w:val="en-US" w:eastAsia="zh-CN"/>
              </w:rPr>
              <w:t>生活饮用水标准检验方法</w:t>
            </w:r>
          </w:p>
          <w:p w14:paraId="10BD88CF">
            <w:pPr>
              <w:pStyle w:val="182"/>
              <w:rPr>
                <w:rFonts w:hint="eastAsia"/>
                <w:color w:val="auto"/>
                <w:lang w:val="en-US" w:eastAsia="zh-CN"/>
              </w:rPr>
            </w:pPr>
            <w:r>
              <w:rPr>
                <w:rFonts w:hint="eastAsia"/>
                <w:color w:val="auto"/>
                <w:lang w:val="en-US" w:eastAsia="zh-CN"/>
              </w:rPr>
              <w:t>有机物综合指标(1.1酸性</w:t>
            </w:r>
          </w:p>
          <w:p w14:paraId="4AA3AF59">
            <w:pPr>
              <w:pStyle w:val="182"/>
              <w:rPr>
                <w:rFonts w:hint="eastAsia"/>
                <w:color w:val="auto"/>
                <w:lang w:val="en-US" w:eastAsia="zh-CN"/>
              </w:rPr>
            </w:pPr>
            <w:r>
              <w:rPr>
                <w:rFonts w:hint="eastAsia"/>
                <w:color w:val="auto"/>
                <w:lang w:val="en-US" w:eastAsia="zh-CN"/>
              </w:rPr>
              <w:t>高锰酸钾滴定法)</w:t>
            </w:r>
          </w:p>
          <w:p w14:paraId="317F84A2">
            <w:pPr>
              <w:pStyle w:val="182"/>
              <w:ind w:firstLine="0" w:firstLineChars="0"/>
              <w:rPr>
                <w:rFonts w:hint="eastAsia"/>
                <w:color w:val="auto"/>
                <w:lang w:val="en-US" w:eastAsia="zh-CN"/>
              </w:rPr>
            </w:pPr>
            <w:r>
              <w:rPr>
                <w:rFonts w:hint="eastAsia"/>
                <w:color w:val="auto"/>
                <w:lang w:val="en-US" w:eastAsia="zh-CN"/>
              </w:rPr>
              <w:t>GB/T5750.7-2006</w:t>
            </w:r>
          </w:p>
        </w:tc>
        <w:tc>
          <w:tcPr>
            <w:tcW w:w="1311" w:type="pct"/>
            <w:shd w:val="clear" w:color="auto" w:fill="auto"/>
            <w:noWrap w:val="0"/>
            <w:vAlign w:val="center"/>
          </w:tcPr>
          <w:p w14:paraId="701C5424">
            <w:pPr>
              <w:pStyle w:val="182"/>
              <w:ind w:firstLine="0" w:firstLineChars="0"/>
              <w:rPr>
                <w:rFonts w:hint="eastAsia"/>
                <w:color w:val="auto"/>
                <w:lang w:val="en-US" w:eastAsia="zh-CN"/>
              </w:rPr>
            </w:pPr>
            <w:r>
              <w:rPr>
                <w:rFonts w:hint="eastAsia"/>
                <w:color w:val="auto"/>
                <w:lang w:val="en-US" w:eastAsia="zh-CN"/>
              </w:rPr>
              <w:t>滴定管</w:t>
            </w:r>
          </w:p>
        </w:tc>
        <w:tc>
          <w:tcPr>
            <w:tcW w:w="788" w:type="pct"/>
            <w:shd w:val="clear" w:color="auto" w:fill="auto"/>
            <w:noWrap w:val="0"/>
            <w:vAlign w:val="center"/>
          </w:tcPr>
          <w:p w14:paraId="6E6AED01">
            <w:pPr>
              <w:pStyle w:val="182"/>
              <w:ind w:firstLine="0" w:firstLineChars="0"/>
              <w:rPr>
                <w:rFonts w:hint="eastAsia"/>
                <w:color w:val="auto"/>
                <w:lang w:val="en-US" w:eastAsia="zh-CN"/>
              </w:rPr>
            </w:pPr>
            <w:r>
              <w:rPr>
                <w:rFonts w:hint="eastAsia"/>
                <w:color w:val="auto"/>
                <w:lang w:val="en-US" w:eastAsia="zh-CN"/>
              </w:rPr>
              <w:t>0.05mg/L</w:t>
            </w:r>
          </w:p>
        </w:tc>
        <w:tc>
          <w:tcPr>
            <w:tcW w:w="433" w:type="pct"/>
            <w:vMerge w:val="continue"/>
            <w:tcBorders>
              <w:right w:val="single" w:color="000000" w:sz="6" w:space="0"/>
            </w:tcBorders>
            <w:shd w:val="clear" w:color="auto" w:fill="auto"/>
            <w:noWrap w:val="0"/>
            <w:vAlign w:val="center"/>
          </w:tcPr>
          <w:p w14:paraId="5E1587F1">
            <w:pPr>
              <w:pStyle w:val="182"/>
              <w:rPr>
                <w:rFonts w:hint="eastAsia"/>
                <w:color w:val="auto"/>
                <w:lang w:val="en-US" w:eastAsia="zh-CN"/>
              </w:rPr>
            </w:pPr>
          </w:p>
        </w:tc>
      </w:tr>
      <w:tr w14:paraId="7F3AE3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71D169B8">
            <w:pPr>
              <w:pStyle w:val="182"/>
              <w:ind w:firstLine="0" w:firstLineChars="0"/>
              <w:rPr>
                <w:rFonts w:hint="eastAsia"/>
                <w:color w:val="auto"/>
                <w:lang w:val="en-US" w:eastAsia="zh-CN"/>
              </w:rPr>
            </w:pPr>
            <w:r>
              <w:rPr>
                <w:rFonts w:hint="eastAsia"/>
                <w:color w:val="auto"/>
                <w:lang w:val="en-US" w:eastAsia="zh-CN"/>
              </w:rPr>
              <w:t>28</w:t>
            </w:r>
          </w:p>
        </w:tc>
        <w:tc>
          <w:tcPr>
            <w:tcW w:w="576" w:type="pct"/>
            <w:shd w:val="clear" w:color="auto" w:fill="auto"/>
            <w:noWrap w:val="0"/>
            <w:vAlign w:val="center"/>
          </w:tcPr>
          <w:p w14:paraId="1BFF1BF0">
            <w:pPr>
              <w:pStyle w:val="182"/>
              <w:ind w:firstLine="0" w:firstLineChars="0"/>
              <w:rPr>
                <w:rFonts w:hint="eastAsia"/>
                <w:color w:val="auto"/>
                <w:lang w:val="en-US" w:eastAsia="zh-CN"/>
              </w:rPr>
            </w:pPr>
            <w:r>
              <w:rPr>
                <w:rFonts w:hint="eastAsia"/>
                <w:color w:val="auto"/>
                <w:lang w:val="en-US" w:eastAsia="zh-CN"/>
              </w:rPr>
              <w:t>硫化物</w:t>
            </w:r>
          </w:p>
        </w:tc>
        <w:tc>
          <w:tcPr>
            <w:tcW w:w="1604" w:type="pct"/>
            <w:shd w:val="clear" w:color="auto" w:fill="auto"/>
            <w:noWrap w:val="0"/>
            <w:vAlign w:val="center"/>
          </w:tcPr>
          <w:p w14:paraId="06C61002">
            <w:pPr>
              <w:pStyle w:val="182"/>
              <w:rPr>
                <w:rFonts w:hint="eastAsia"/>
                <w:color w:val="auto"/>
                <w:lang w:val="en-US" w:eastAsia="zh-CN"/>
              </w:rPr>
            </w:pPr>
            <w:r>
              <w:rPr>
                <w:rFonts w:hint="eastAsia"/>
                <w:color w:val="auto"/>
                <w:lang w:val="en-US" w:eastAsia="zh-CN"/>
              </w:rPr>
              <w:t>生活饮用水标准检验方法</w:t>
            </w:r>
          </w:p>
          <w:p w14:paraId="2ACCFE12">
            <w:pPr>
              <w:pStyle w:val="182"/>
              <w:rPr>
                <w:rFonts w:hint="eastAsia"/>
                <w:color w:val="auto"/>
                <w:lang w:val="en-US" w:eastAsia="zh-CN"/>
              </w:rPr>
            </w:pPr>
            <w:r>
              <w:rPr>
                <w:rFonts w:hint="eastAsia"/>
                <w:color w:val="auto"/>
                <w:lang w:val="en-US" w:eastAsia="zh-CN"/>
              </w:rPr>
              <w:t>无机非金属指标(6.1硫化</w:t>
            </w:r>
          </w:p>
          <w:p w14:paraId="7892BD7A">
            <w:pPr>
              <w:pStyle w:val="182"/>
              <w:rPr>
                <w:rFonts w:hint="eastAsia"/>
                <w:color w:val="auto"/>
                <w:lang w:val="en-US" w:eastAsia="zh-CN"/>
              </w:rPr>
            </w:pPr>
            <w:r>
              <w:rPr>
                <w:rFonts w:hint="eastAsia"/>
                <w:color w:val="auto"/>
                <w:lang w:val="en-US" w:eastAsia="zh-CN"/>
              </w:rPr>
              <w:t>物N,N-二乙基对苯二胺分</w:t>
            </w:r>
          </w:p>
          <w:p w14:paraId="77A33204">
            <w:pPr>
              <w:pStyle w:val="182"/>
              <w:rPr>
                <w:rFonts w:hint="eastAsia"/>
                <w:color w:val="auto"/>
                <w:lang w:val="en-US" w:eastAsia="zh-CN"/>
              </w:rPr>
            </w:pPr>
            <w:r>
              <w:rPr>
                <w:rFonts w:hint="eastAsia"/>
                <w:color w:val="auto"/>
                <w:lang w:val="en-US" w:eastAsia="zh-CN"/>
              </w:rPr>
              <w:t>光光度法)</w:t>
            </w:r>
          </w:p>
          <w:p w14:paraId="7981385D">
            <w:pPr>
              <w:pStyle w:val="182"/>
              <w:ind w:firstLine="0" w:firstLineChars="0"/>
              <w:rPr>
                <w:rFonts w:hint="eastAsia"/>
                <w:color w:val="auto"/>
                <w:lang w:val="en-US" w:eastAsia="zh-CN"/>
              </w:rPr>
            </w:pPr>
            <w:r>
              <w:rPr>
                <w:rFonts w:hint="eastAsia"/>
                <w:color w:val="auto"/>
                <w:lang w:val="en-US" w:eastAsia="zh-CN"/>
              </w:rPr>
              <w:t>GB/T5750.5-2006</w:t>
            </w:r>
          </w:p>
        </w:tc>
        <w:tc>
          <w:tcPr>
            <w:tcW w:w="1311" w:type="pct"/>
            <w:shd w:val="clear" w:color="auto" w:fill="auto"/>
            <w:noWrap w:val="0"/>
            <w:vAlign w:val="center"/>
          </w:tcPr>
          <w:p w14:paraId="2DB33C09">
            <w:pPr>
              <w:pStyle w:val="182"/>
              <w:ind w:firstLine="0" w:firstLineChars="0"/>
              <w:rPr>
                <w:rFonts w:hint="eastAsia"/>
                <w:color w:val="auto"/>
                <w:lang w:val="en-US" w:eastAsia="zh-CN"/>
              </w:rPr>
            </w:pPr>
            <w:r>
              <w:rPr>
                <w:rFonts w:hint="eastAsia"/>
                <w:color w:val="auto"/>
                <w:lang w:val="en-US" w:eastAsia="zh-CN"/>
              </w:rPr>
              <w:t>紫外可见分光光度计T6新世纪</w:t>
            </w:r>
          </w:p>
        </w:tc>
        <w:tc>
          <w:tcPr>
            <w:tcW w:w="788" w:type="pct"/>
            <w:shd w:val="clear" w:color="auto" w:fill="auto"/>
            <w:noWrap w:val="0"/>
            <w:vAlign w:val="center"/>
          </w:tcPr>
          <w:p w14:paraId="6E2CA133">
            <w:pPr>
              <w:pStyle w:val="182"/>
              <w:ind w:firstLine="0" w:firstLineChars="0"/>
              <w:rPr>
                <w:rFonts w:hint="eastAsia"/>
                <w:color w:val="auto"/>
                <w:lang w:val="en-US" w:eastAsia="zh-CN"/>
              </w:rPr>
            </w:pPr>
            <w:r>
              <w:rPr>
                <w:rFonts w:hint="eastAsia"/>
                <w:color w:val="auto"/>
                <w:lang w:val="en-US" w:eastAsia="zh-CN"/>
              </w:rPr>
              <w:t>0.02mg/L</w:t>
            </w:r>
          </w:p>
        </w:tc>
        <w:tc>
          <w:tcPr>
            <w:tcW w:w="433" w:type="pct"/>
            <w:vMerge w:val="continue"/>
            <w:tcBorders>
              <w:right w:val="single" w:color="000000" w:sz="6" w:space="0"/>
            </w:tcBorders>
            <w:shd w:val="clear" w:color="auto" w:fill="auto"/>
            <w:noWrap w:val="0"/>
            <w:vAlign w:val="center"/>
          </w:tcPr>
          <w:p w14:paraId="70574106">
            <w:pPr>
              <w:pStyle w:val="182"/>
              <w:rPr>
                <w:rFonts w:hint="eastAsia"/>
                <w:color w:val="auto"/>
                <w:lang w:val="en-US" w:eastAsia="zh-CN"/>
              </w:rPr>
            </w:pPr>
          </w:p>
        </w:tc>
      </w:tr>
      <w:tr w14:paraId="3E6992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2E416C9A">
            <w:pPr>
              <w:pStyle w:val="182"/>
              <w:ind w:firstLine="0" w:firstLineChars="0"/>
              <w:rPr>
                <w:rFonts w:hint="eastAsia"/>
                <w:color w:val="auto"/>
                <w:lang w:val="en-US" w:eastAsia="zh-CN"/>
              </w:rPr>
            </w:pPr>
            <w:r>
              <w:rPr>
                <w:rFonts w:hint="eastAsia"/>
                <w:color w:val="auto"/>
                <w:lang w:val="en-US" w:eastAsia="zh-CN"/>
              </w:rPr>
              <w:t>29</w:t>
            </w:r>
          </w:p>
        </w:tc>
        <w:tc>
          <w:tcPr>
            <w:tcW w:w="576" w:type="pct"/>
            <w:shd w:val="clear" w:color="auto" w:fill="auto"/>
            <w:noWrap w:val="0"/>
            <w:vAlign w:val="center"/>
          </w:tcPr>
          <w:p w14:paraId="7D4E2581">
            <w:pPr>
              <w:pStyle w:val="182"/>
              <w:ind w:firstLine="0" w:firstLineChars="0"/>
              <w:rPr>
                <w:rFonts w:hint="eastAsia"/>
                <w:color w:val="auto"/>
                <w:lang w:val="en-US" w:eastAsia="zh-CN"/>
              </w:rPr>
            </w:pPr>
            <w:r>
              <w:rPr>
                <w:rFonts w:hint="eastAsia"/>
                <w:color w:val="auto"/>
                <w:lang w:val="en-US" w:eastAsia="zh-CN"/>
              </w:rPr>
              <w:t>苯</w:t>
            </w:r>
          </w:p>
        </w:tc>
        <w:tc>
          <w:tcPr>
            <w:tcW w:w="1604" w:type="pct"/>
            <w:vMerge w:val="restart"/>
            <w:shd w:val="clear" w:color="auto" w:fill="auto"/>
            <w:noWrap w:val="0"/>
            <w:vAlign w:val="center"/>
          </w:tcPr>
          <w:p w14:paraId="3E15A562">
            <w:pPr>
              <w:pStyle w:val="182"/>
              <w:ind w:firstLine="0" w:firstLineChars="0"/>
              <w:rPr>
                <w:rFonts w:hint="eastAsia"/>
                <w:color w:val="auto"/>
                <w:lang w:val="en-US" w:eastAsia="zh-CN"/>
              </w:rPr>
            </w:pPr>
            <w:r>
              <w:rPr>
                <w:rFonts w:hint="eastAsia"/>
                <w:color w:val="auto"/>
                <w:lang w:val="en-US" w:eastAsia="zh-CN"/>
              </w:rPr>
              <w:t>水质苯系物的测定顶空/气相色谱法HJ1067-2019</w:t>
            </w:r>
          </w:p>
        </w:tc>
        <w:tc>
          <w:tcPr>
            <w:tcW w:w="1311" w:type="pct"/>
            <w:vMerge w:val="restart"/>
            <w:shd w:val="clear" w:color="auto" w:fill="auto"/>
            <w:noWrap w:val="0"/>
            <w:vAlign w:val="center"/>
          </w:tcPr>
          <w:p w14:paraId="1B983CA8">
            <w:pPr>
              <w:pStyle w:val="182"/>
              <w:ind w:firstLine="0" w:firstLineChars="0"/>
              <w:rPr>
                <w:rFonts w:hint="eastAsia"/>
                <w:color w:val="auto"/>
                <w:lang w:val="en-US" w:eastAsia="zh-CN"/>
              </w:rPr>
            </w:pPr>
            <w:r>
              <w:rPr>
                <w:rFonts w:hint="eastAsia"/>
                <w:color w:val="auto"/>
                <w:lang w:val="en-US" w:eastAsia="zh-CN"/>
              </w:rPr>
              <w:t>气相色谱仪GC-2014C</w:t>
            </w:r>
          </w:p>
        </w:tc>
        <w:tc>
          <w:tcPr>
            <w:tcW w:w="788" w:type="pct"/>
            <w:shd w:val="clear" w:color="auto" w:fill="auto"/>
            <w:noWrap w:val="0"/>
            <w:vAlign w:val="center"/>
          </w:tcPr>
          <w:p w14:paraId="4A11B879">
            <w:pPr>
              <w:pStyle w:val="182"/>
              <w:ind w:firstLine="0" w:firstLineChars="0"/>
              <w:rPr>
                <w:rFonts w:hint="eastAsia"/>
                <w:color w:val="auto"/>
                <w:lang w:val="en-US" w:eastAsia="zh-CN"/>
              </w:rPr>
            </w:pPr>
            <w:r>
              <w:rPr>
                <w:rFonts w:hint="eastAsia"/>
                <w:color w:val="auto"/>
                <w:lang w:val="en-US" w:eastAsia="zh-CN"/>
              </w:rPr>
              <w:t>2µg/L</w:t>
            </w:r>
          </w:p>
        </w:tc>
        <w:tc>
          <w:tcPr>
            <w:tcW w:w="433" w:type="pct"/>
            <w:vMerge w:val="continue"/>
            <w:tcBorders>
              <w:right w:val="single" w:color="000000" w:sz="6" w:space="0"/>
            </w:tcBorders>
            <w:shd w:val="clear" w:color="auto" w:fill="auto"/>
            <w:noWrap w:val="0"/>
            <w:vAlign w:val="center"/>
          </w:tcPr>
          <w:p w14:paraId="3FFC2F46">
            <w:pPr>
              <w:pStyle w:val="182"/>
              <w:rPr>
                <w:rFonts w:hint="eastAsia"/>
                <w:color w:val="auto"/>
                <w:lang w:val="en-US" w:eastAsia="zh-CN"/>
              </w:rPr>
            </w:pPr>
          </w:p>
        </w:tc>
      </w:tr>
      <w:tr w14:paraId="77D4AD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2CA640C5">
            <w:pPr>
              <w:pStyle w:val="182"/>
              <w:ind w:firstLine="0" w:firstLineChars="0"/>
              <w:rPr>
                <w:rFonts w:hint="eastAsia"/>
                <w:color w:val="auto"/>
                <w:lang w:val="en-US" w:eastAsia="zh-CN"/>
              </w:rPr>
            </w:pPr>
            <w:r>
              <w:rPr>
                <w:rFonts w:hint="eastAsia"/>
                <w:color w:val="auto"/>
                <w:lang w:val="en-US" w:eastAsia="zh-CN"/>
              </w:rPr>
              <w:t>30</w:t>
            </w:r>
          </w:p>
        </w:tc>
        <w:tc>
          <w:tcPr>
            <w:tcW w:w="576" w:type="pct"/>
            <w:shd w:val="clear" w:color="auto" w:fill="auto"/>
            <w:noWrap w:val="0"/>
            <w:vAlign w:val="center"/>
          </w:tcPr>
          <w:p w14:paraId="1A953CCE">
            <w:pPr>
              <w:pStyle w:val="182"/>
              <w:ind w:firstLine="0" w:firstLineChars="0"/>
              <w:rPr>
                <w:rFonts w:hint="eastAsia"/>
                <w:color w:val="auto"/>
                <w:lang w:val="en-US" w:eastAsia="zh-CN"/>
              </w:rPr>
            </w:pPr>
            <w:r>
              <w:rPr>
                <w:rFonts w:hint="eastAsia"/>
                <w:color w:val="auto"/>
                <w:lang w:val="en-US" w:eastAsia="zh-CN"/>
              </w:rPr>
              <w:t>甲苯</w:t>
            </w:r>
          </w:p>
        </w:tc>
        <w:tc>
          <w:tcPr>
            <w:tcW w:w="1604" w:type="pct"/>
            <w:vMerge w:val="continue"/>
            <w:shd w:val="clear" w:color="auto" w:fill="auto"/>
            <w:noWrap w:val="0"/>
            <w:vAlign w:val="center"/>
          </w:tcPr>
          <w:p w14:paraId="0577B742">
            <w:pPr>
              <w:pStyle w:val="182"/>
              <w:ind w:firstLine="0" w:firstLineChars="0"/>
              <w:rPr>
                <w:rFonts w:hint="eastAsia"/>
                <w:color w:val="auto"/>
                <w:lang w:val="en-US" w:eastAsia="zh-CN"/>
              </w:rPr>
            </w:pPr>
          </w:p>
        </w:tc>
        <w:tc>
          <w:tcPr>
            <w:tcW w:w="1311" w:type="pct"/>
            <w:vMerge w:val="continue"/>
            <w:shd w:val="clear" w:color="auto" w:fill="auto"/>
            <w:noWrap w:val="0"/>
            <w:vAlign w:val="center"/>
          </w:tcPr>
          <w:p w14:paraId="526BF286">
            <w:pPr>
              <w:pStyle w:val="182"/>
              <w:ind w:firstLine="0" w:firstLineChars="0"/>
              <w:rPr>
                <w:rFonts w:hint="eastAsia"/>
                <w:color w:val="auto"/>
                <w:lang w:val="en-US" w:eastAsia="zh-CN"/>
              </w:rPr>
            </w:pPr>
          </w:p>
        </w:tc>
        <w:tc>
          <w:tcPr>
            <w:tcW w:w="788" w:type="pct"/>
            <w:shd w:val="clear" w:color="auto" w:fill="auto"/>
            <w:noWrap w:val="0"/>
            <w:vAlign w:val="center"/>
          </w:tcPr>
          <w:p w14:paraId="24F9FE55">
            <w:pPr>
              <w:pStyle w:val="182"/>
              <w:ind w:firstLine="0" w:firstLineChars="0"/>
              <w:rPr>
                <w:rFonts w:hint="eastAsia"/>
                <w:color w:val="auto"/>
                <w:lang w:val="en-US" w:eastAsia="zh-CN"/>
              </w:rPr>
            </w:pPr>
            <w:r>
              <w:rPr>
                <w:rFonts w:hint="eastAsia"/>
                <w:color w:val="auto"/>
                <w:lang w:val="en-US" w:eastAsia="zh-CN"/>
              </w:rPr>
              <w:t>2µg/L</w:t>
            </w:r>
          </w:p>
        </w:tc>
        <w:tc>
          <w:tcPr>
            <w:tcW w:w="433" w:type="pct"/>
            <w:vMerge w:val="continue"/>
            <w:tcBorders>
              <w:right w:val="single" w:color="000000" w:sz="6" w:space="0"/>
            </w:tcBorders>
            <w:shd w:val="clear" w:color="auto" w:fill="auto"/>
            <w:noWrap w:val="0"/>
            <w:vAlign w:val="center"/>
          </w:tcPr>
          <w:p w14:paraId="41198502">
            <w:pPr>
              <w:pStyle w:val="182"/>
              <w:jc w:val="both"/>
              <w:rPr>
                <w:rFonts w:hint="eastAsia"/>
                <w:color w:val="auto"/>
                <w:lang w:val="en-US" w:eastAsia="zh-CN"/>
              </w:rPr>
            </w:pPr>
          </w:p>
        </w:tc>
      </w:tr>
      <w:tr w14:paraId="0EFC48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3930492D">
            <w:pPr>
              <w:pStyle w:val="182"/>
              <w:ind w:firstLine="0" w:firstLineChars="0"/>
              <w:rPr>
                <w:rFonts w:hint="eastAsia"/>
                <w:color w:val="auto"/>
                <w:lang w:val="en-US" w:eastAsia="zh-CN"/>
              </w:rPr>
            </w:pPr>
            <w:r>
              <w:rPr>
                <w:rFonts w:hint="eastAsia"/>
                <w:color w:val="auto"/>
                <w:lang w:val="en-US" w:eastAsia="zh-CN"/>
              </w:rPr>
              <w:t>31</w:t>
            </w:r>
          </w:p>
        </w:tc>
        <w:tc>
          <w:tcPr>
            <w:tcW w:w="576" w:type="pct"/>
            <w:shd w:val="clear" w:color="auto" w:fill="auto"/>
            <w:noWrap w:val="0"/>
            <w:vAlign w:val="center"/>
          </w:tcPr>
          <w:p w14:paraId="614F8AC2">
            <w:pPr>
              <w:pStyle w:val="182"/>
              <w:ind w:firstLine="0" w:firstLineChars="0"/>
              <w:rPr>
                <w:rFonts w:hint="eastAsia"/>
                <w:color w:val="auto"/>
                <w:lang w:val="en-US" w:eastAsia="zh-CN"/>
              </w:rPr>
            </w:pPr>
            <w:r>
              <w:rPr>
                <w:rFonts w:hint="eastAsia"/>
                <w:color w:val="auto"/>
                <w:lang w:val="en-US" w:eastAsia="zh-CN"/>
              </w:rPr>
              <w:t>二甲苯</w:t>
            </w:r>
          </w:p>
        </w:tc>
        <w:tc>
          <w:tcPr>
            <w:tcW w:w="1604" w:type="pct"/>
            <w:vMerge w:val="continue"/>
            <w:shd w:val="clear" w:color="auto" w:fill="auto"/>
            <w:noWrap w:val="0"/>
            <w:vAlign w:val="center"/>
          </w:tcPr>
          <w:p w14:paraId="78A125F6">
            <w:pPr>
              <w:pStyle w:val="182"/>
              <w:ind w:firstLine="0" w:firstLineChars="0"/>
              <w:rPr>
                <w:rFonts w:hint="eastAsia"/>
                <w:color w:val="auto"/>
                <w:lang w:val="en-US" w:eastAsia="zh-CN"/>
              </w:rPr>
            </w:pPr>
          </w:p>
        </w:tc>
        <w:tc>
          <w:tcPr>
            <w:tcW w:w="1311" w:type="pct"/>
            <w:vMerge w:val="continue"/>
            <w:shd w:val="clear" w:color="auto" w:fill="auto"/>
            <w:noWrap w:val="0"/>
            <w:vAlign w:val="center"/>
          </w:tcPr>
          <w:p w14:paraId="37D58639">
            <w:pPr>
              <w:pStyle w:val="182"/>
              <w:ind w:firstLine="0" w:firstLineChars="0"/>
              <w:rPr>
                <w:rFonts w:hint="eastAsia"/>
                <w:color w:val="auto"/>
                <w:lang w:val="en-US" w:eastAsia="zh-CN"/>
              </w:rPr>
            </w:pPr>
          </w:p>
        </w:tc>
        <w:tc>
          <w:tcPr>
            <w:tcW w:w="788" w:type="pct"/>
            <w:shd w:val="clear" w:color="auto" w:fill="auto"/>
            <w:noWrap w:val="0"/>
            <w:vAlign w:val="center"/>
          </w:tcPr>
          <w:p w14:paraId="1413133D">
            <w:pPr>
              <w:pStyle w:val="182"/>
              <w:ind w:firstLine="0" w:firstLineChars="0"/>
              <w:rPr>
                <w:rFonts w:hint="eastAsia"/>
                <w:color w:val="auto"/>
                <w:lang w:val="en-US" w:eastAsia="zh-CN"/>
              </w:rPr>
            </w:pPr>
            <w:r>
              <w:rPr>
                <w:rFonts w:hint="eastAsia"/>
                <w:color w:val="auto"/>
                <w:lang w:val="en-US" w:eastAsia="zh-CN"/>
              </w:rPr>
              <w:t>2µg/L</w:t>
            </w:r>
          </w:p>
        </w:tc>
        <w:tc>
          <w:tcPr>
            <w:tcW w:w="433" w:type="pct"/>
            <w:vMerge w:val="continue"/>
            <w:tcBorders>
              <w:right w:val="single" w:color="000000" w:sz="6" w:space="0"/>
            </w:tcBorders>
            <w:shd w:val="clear" w:color="auto" w:fill="auto"/>
            <w:noWrap w:val="0"/>
            <w:vAlign w:val="center"/>
          </w:tcPr>
          <w:p w14:paraId="31D672D1">
            <w:pPr>
              <w:pStyle w:val="182"/>
              <w:jc w:val="both"/>
              <w:rPr>
                <w:rFonts w:hint="eastAsia"/>
                <w:color w:val="auto"/>
                <w:lang w:val="en-US" w:eastAsia="zh-CN"/>
              </w:rPr>
            </w:pPr>
          </w:p>
        </w:tc>
      </w:tr>
      <w:tr w14:paraId="240B3E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63F676F8">
            <w:pPr>
              <w:pStyle w:val="182"/>
              <w:ind w:firstLine="0" w:firstLineChars="0"/>
              <w:rPr>
                <w:rFonts w:hint="eastAsia"/>
                <w:color w:val="auto"/>
                <w:lang w:val="en-US" w:eastAsia="zh-CN"/>
              </w:rPr>
            </w:pPr>
            <w:r>
              <w:rPr>
                <w:rFonts w:hint="eastAsia"/>
                <w:color w:val="auto"/>
                <w:lang w:val="en-US" w:eastAsia="zh-CN"/>
              </w:rPr>
              <w:t>32</w:t>
            </w:r>
          </w:p>
        </w:tc>
        <w:tc>
          <w:tcPr>
            <w:tcW w:w="576" w:type="pct"/>
            <w:shd w:val="clear" w:color="auto" w:fill="auto"/>
            <w:noWrap w:val="0"/>
            <w:vAlign w:val="center"/>
          </w:tcPr>
          <w:p w14:paraId="7CA0EFCD">
            <w:pPr>
              <w:pStyle w:val="182"/>
              <w:ind w:firstLine="0" w:firstLineChars="0"/>
              <w:rPr>
                <w:rFonts w:hint="eastAsia"/>
                <w:color w:val="auto"/>
                <w:lang w:val="en-US" w:eastAsia="zh-CN"/>
              </w:rPr>
            </w:pPr>
            <w:r>
              <w:rPr>
                <w:rFonts w:hint="eastAsia"/>
                <w:color w:val="auto"/>
                <w:lang w:val="en-US" w:eastAsia="zh-CN"/>
              </w:rPr>
              <w:t>阴离子表面活性剂</w:t>
            </w:r>
          </w:p>
        </w:tc>
        <w:tc>
          <w:tcPr>
            <w:tcW w:w="1604" w:type="pct"/>
            <w:shd w:val="clear" w:color="auto" w:fill="auto"/>
            <w:noWrap w:val="0"/>
            <w:vAlign w:val="center"/>
          </w:tcPr>
          <w:p w14:paraId="3BFAF352">
            <w:pPr>
              <w:pStyle w:val="182"/>
              <w:rPr>
                <w:rFonts w:hint="eastAsia"/>
                <w:color w:val="auto"/>
                <w:lang w:val="en-US" w:eastAsia="zh-CN"/>
              </w:rPr>
            </w:pPr>
            <w:r>
              <w:rPr>
                <w:rFonts w:hint="eastAsia"/>
                <w:color w:val="auto"/>
                <w:lang w:val="en-US" w:eastAsia="zh-CN"/>
              </w:rPr>
              <w:t>水质阴离子表面活性剂的</w:t>
            </w:r>
          </w:p>
          <w:p w14:paraId="577AED53">
            <w:pPr>
              <w:pStyle w:val="182"/>
              <w:rPr>
                <w:rFonts w:hint="eastAsia"/>
                <w:color w:val="auto"/>
                <w:lang w:val="en-US" w:eastAsia="zh-CN"/>
              </w:rPr>
            </w:pPr>
            <w:r>
              <w:rPr>
                <w:rFonts w:hint="eastAsia"/>
                <w:color w:val="auto"/>
                <w:lang w:val="en-US" w:eastAsia="zh-CN"/>
              </w:rPr>
              <w:t>测定亚甲蓝分光光度法</w:t>
            </w:r>
          </w:p>
          <w:p w14:paraId="268CAD37">
            <w:pPr>
              <w:pStyle w:val="182"/>
              <w:ind w:firstLine="0" w:firstLineChars="0"/>
              <w:rPr>
                <w:rFonts w:hint="eastAsia"/>
                <w:color w:val="auto"/>
                <w:lang w:val="en-US" w:eastAsia="zh-CN"/>
              </w:rPr>
            </w:pPr>
            <w:r>
              <w:rPr>
                <w:rFonts w:hint="eastAsia"/>
                <w:color w:val="auto"/>
                <w:lang w:val="en-US" w:eastAsia="zh-CN"/>
              </w:rPr>
              <w:t>GB/T7494-1987</w:t>
            </w:r>
          </w:p>
        </w:tc>
        <w:tc>
          <w:tcPr>
            <w:tcW w:w="1311" w:type="pct"/>
            <w:shd w:val="clear" w:color="auto" w:fill="auto"/>
            <w:noWrap w:val="0"/>
            <w:vAlign w:val="center"/>
          </w:tcPr>
          <w:p w14:paraId="676A9909">
            <w:pPr>
              <w:pStyle w:val="182"/>
              <w:ind w:firstLine="0" w:firstLineChars="0"/>
              <w:rPr>
                <w:rFonts w:hint="eastAsia"/>
                <w:color w:val="auto"/>
                <w:lang w:val="en-US" w:eastAsia="zh-CN"/>
              </w:rPr>
            </w:pPr>
            <w:r>
              <w:rPr>
                <w:rFonts w:hint="eastAsia"/>
                <w:color w:val="auto"/>
                <w:lang w:val="en-US" w:eastAsia="zh-CN"/>
              </w:rPr>
              <w:t>紫外可见分光光度计T6新世纪</w:t>
            </w:r>
          </w:p>
        </w:tc>
        <w:tc>
          <w:tcPr>
            <w:tcW w:w="788" w:type="pct"/>
            <w:shd w:val="clear" w:color="auto" w:fill="auto"/>
            <w:noWrap w:val="0"/>
            <w:vAlign w:val="center"/>
          </w:tcPr>
          <w:p w14:paraId="2B715FD0">
            <w:pPr>
              <w:pStyle w:val="182"/>
              <w:ind w:firstLine="0" w:firstLineChars="0"/>
              <w:rPr>
                <w:rFonts w:hint="eastAsia"/>
                <w:color w:val="auto"/>
                <w:lang w:val="en-US" w:eastAsia="zh-CN"/>
              </w:rPr>
            </w:pPr>
            <w:r>
              <w:rPr>
                <w:rFonts w:hint="eastAsia"/>
                <w:color w:val="auto"/>
                <w:lang w:val="en-US" w:eastAsia="zh-CN"/>
              </w:rPr>
              <w:t>0.05mg/L</w:t>
            </w:r>
          </w:p>
        </w:tc>
        <w:tc>
          <w:tcPr>
            <w:tcW w:w="433" w:type="pct"/>
            <w:vMerge w:val="continue"/>
            <w:tcBorders>
              <w:right w:val="single" w:color="000000" w:sz="6" w:space="0"/>
            </w:tcBorders>
            <w:shd w:val="clear" w:color="auto" w:fill="auto"/>
            <w:noWrap w:val="0"/>
            <w:vAlign w:val="center"/>
          </w:tcPr>
          <w:p w14:paraId="1565C56E">
            <w:pPr>
              <w:pStyle w:val="182"/>
              <w:rPr>
                <w:rFonts w:hint="eastAsia"/>
                <w:color w:val="auto"/>
                <w:lang w:val="en-US" w:eastAsia="zh-CN"/>
              </w:rPr>
            </w:pPr>
          </w:p>
        </w:tc>
      </w:tr>
      <w:tr w14:paraId="7BBB09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0F348957">
            <w:pPr>
              <w:pStyle w:val="182"/>
              <w:ind w:firstLine="0" w:firstLineChars="0"/>
              <w:rPr>
                <w:rFonts w:hint="eastAsia"/>
                <w:color w:val="auto"/>
                <w:lang w:val="en-US" w:eastAsia="zh-CN"/>
              </w:rPr>
            </w:pPr>
            <w:r>
              <w:rPr>
                <w:rFonts w:hint="eastAsia"/>
                <w:color w:val="auto"/>
                <w:lang w:val="en-US" w:eastAsia="zh-CN"/>
              </w:rPr>
              <w:t>33</w:t>
            </w:r>
          </w:p>
        </w:tc>
        <w:tc>
          <w:tcPr>
            <w:tcW w:w="576" w:type="pct"/>
            <w:shd w:val="clear" w:color="auto" w:fill="auto"/>
            <w:noWrap w:val="0"/>
            <w:vAlign w:val="center"/>
          </w:tcPr>
          <w:p w14:paraId="71D94E64">
            <w:pPr>
              <w:pStyle w:val="182"/>
              <w:ind w:firstLine="0" w:firstLineChars="0"/>
              <w:rPr>
                <w:rFonts w:hint="eastAsia"/>
                <w:color w:val="auto"/>
                <w:lang w:val="en-US" w:eastAsia="zh-CN"/>
              </w:rPr>
            </w:pPr>
            <w:r>
              <w:rPr>
                <w:rFonts w:hint="eastAsia"/>
                <w:color w:val="auto"/>
                <w:lang w:val="en-US" w:eastAsia="zh-CN"/>
              </w:rPr>
              <w:t>总大肠菌群</w:t>
            </w:r>
          </w:p>
        </w:tc>
        <w:tc>
          <w:tcPr>
            <w:tcW w:w="1604" w:type="pct"/>
            <w:shd w:val="clear" w:color="auto" w:fill="auto"/>
            <w:noWrap w:val="0"/>
            <w:vAlign w:val="center"/>
          </w:tcPr>
          <w:p w14:paraId="5FD88AC8">
            <w:pPr>
              <w:pStyle w:val="182"/>
              <w:rPr>
                <w:rFonts w:hint="eastAsia"/>
                <w:color w:val="auto"/>
                <w:lang w:val="en-US" w:eastAsia="zh-CN"/>
              </w:rPr>
            </w:pPr>
            <w:r>
              <w:rPr>
                <w:rFonts w:hint="eastAsia"/>
                <w:color w:val="auto"/>
                <w:lang w:val="en-US" w:eastAsia="zh-CN"/>
              </w:rPr>
              <w:t>水质总大肠菌群和粪大肠</w:t>
            </w:r>
          </w:p>
          <w:p w14:paraId="2121BA0A">
            <w:pPr>
              <w:pStyle w:val="182"/>
              <w:rPr>
                <w:rFonts w:hint="eastAsia"/>
                <w:color w:val="auto"/>
                <w:lang w:val="en-US" w:eastAsia="zh-CN"/>
              </w:rPr>
            </w:pPr>
            <w:r>
              <w:rPr>
                <w:rFonts w:hint="eastAsia"/>
                <w:color w:val="auto"/>
                <w:lang w:val="en-US" w:eastAsia="zh-CN"/>
              </w:rPr>
              <w:t>菌群的测定纸片快速法HJ</w:t>
            </w:r>
          </w:p>
          <w:p w14:paraId="43ECDEF3">
            <w:pPr>
              <w:pStyle w:val="182"/>
              <w:ind w:firstLine="0" w:firstLineChars="0"/>
              <w:rPr>
                <w:rFonts w:hint="eastAsia"/>
                <w:color w:val="auto"/>
                <w:lang w:val="en-US" w:eastAsia="zh-CN"/>
              </w:rPr>
            </w:pPr>
            <w:r>
              <w:rPr>
                <w:rFonts w:hint="eastAsia"/>
                <w:color w:val="auto"/>
                <w:lang w:val="en-US" w:eastAsia="zh-CN"/>
              </w:rPr>
              <w:t>755-2015</w:t>
            </w:r>
          </w:p>
        </w:tc>
        <w:tc>
          <w:tcPr>
            <w:tcW w:w="1311" w:type="pct"/>
            <w:shd w:val="clear" w:color="auto" w:fill="auto"/>
            <w:noWrap w:val="0"/>
            <w:vAlign w:val="center"/>
          </w:tcPr>
          <w:p w14:paraId="698F5ADD">
            <w:pPr>
              <w:pStyle w:val="182"/>
              <w:ind w:firstLine="0" w:firstLineChars="0"/>
              <w:rPr>
                <w:rFonts w:hint="eastAsia"/>
                <w:color w:val="auto"/>
                <w:lang w:val="en-US" w:eastAsia="zh-CN"/>
              </w:rPr>
            </w:pPr>
            <w:r>
              <w:rPr>
                <w:rFonts w:hint="eastAsia"/>
                <w:color w:val="auto"/>
                <w:lang w:val="en-US" w:eastAsia="zh-CN"/>
              </w:rPr>
              <w:t>智能生化培养箱LRH-150</w:t>
            </w:r>
          </w:p>
        </w:tc>
        <w:tc>
          <w:tcPr>
            <w:tcW w:w="788" w:type="pct"/>
            <w:shd w:val="clear" w:color="auto" w:fill="auto"/>
            <w:noWrap w:val="0"/>
            <w:vAlign w:val="center"/>
          </w:tcPr>
          <w:p w14:paraId="630015B9">
            <w:pPr>
              <w:pStyle w:val="182"/>
              <w:ind w:firstLine="0" w:firstLineChars="0"/>
              <w:rPr>
                <w:rFonts w:hint="eastAsia"/>
                <w:color w:val="auto"/>
                <w:lang w:val="en-US" w:eastAsia="zh-CN"/>
              </w:rPr>
            </w:pPr>
            <w:r>
              <w:rPr>
                <w:rFonts w:hint="eastAsia"/>
                <w:color w:val="auto"/>
                <w:lang w:val="en-US" w:eastAsia="zh-CN"/>
              </w:rPr>
              <w:t>2MPN/100mL</w:t>
            </w:r>
          </w:p>
        </w:tc>
        <w:tc>
          <w:tcPr>
            <w:tcW w:w="433" w:type="pct"/>
            <w:vMerge w:val="continue"/>
            <w:tcBorders>
              <w:right w:val="single" w:color="000000" w:sz="6" w:space="0"/>
            </w:tcBorders>
            <w:shd w:val="clear" w:color="auto" w:fill="auto"/>
            <w:noWrap w:val="0"/>
            <w:vAlign w:val="center"/>
          </w:tcPr>
          <w:p w14:paraId="1342F483">
            <w:pPr>
              <w:pStyle w:val="182"/>
              <w:rPr>
                <w:rFonts w:hint="eastAsia"/>
                <w:color w:val="auto"/>
                <w:lang w:val="en-US" w:eastAsia="zh-CN"/>
              </w:rPr>
            </w:pPr>
          </w:p>
        </w:tc>
      </w:tr>
      <w:tr w14:paraId="1E2B43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tcBorders>
            <w:shd w:val="clear" w:color="auto" w:fill="auto"/>
            <w:noWrap w:val="0"/>
            <w:vAlign w:val="center"/>
          </w:tcPr>
          <w:p w14:paraId="1CCE6342">
            <w:pPr>
              <w:pStyle w:val="182"/>
              <w:ind w:firstLine="0" w:firstLineChars="0"/>
              <w:rPr>
                <w:rFonts w:hint="eastAsia"/>
                <w:color w:val="auto"/>
                <w:lang w:val="en-US" w:eastAsia="zh-CN"/>
              </w:rPr>
            </w:pPr>
            <w:r>
              <w:rPr>
                <w:rFonts w:hint="eastAsia"/>
                <w:color w:val="auto"/>
                <w:lang w:val="en-US" w:eastAsia="zh-CN"/>
              </w:rPr>
              <w:t>34</w:t>
            </w:r>
          </w:p>
        </w:tc>
        <w:tc>
          <w:tcPr>
            <w:tcW w:w="576" w:type="pct"/>
            <w:shd w:val="clear" w:color="auto" w:fill="auto"/>
            <w:noWrap w:val="0"/>
            <w:vAlign w:val="center"/>
          </w:tcPr>
          <w:p w14:paraId="2D896B71">
            <w:pPr>
              <w:pStyle w:val="182"/>
              <w:ind w:firstLine="0" w:firstLineChars="0"/>
              <w:rPr>
                <w:rFonts w:hint="eastAsia"/>
                <w:color w:val="auto"/>
                <w:lang w:val="en-US" w:eastAsia="zh-CN"/>
              </w:rPr>
            </w:pPr>
            <w:r>
              <w:rPr>
                <w:rFonts w:hint="eastAsia"/>
                <w:color w:val="auto"/>
                <w:lang w:val="en-US" w:eastAsia="zh-CN"/>
              </w:rPr>
              <w:t>菌落总数</w:t>
            </w:r>
          </w:p>
        </w:tc>
        <w:tc>
          <w:tcPr>
            <w:tcW w:w="1604" w:type="pct"/>
            <w:shd w:val="clear" w:color="auto" w:fill="auto"/>
            <w:noWrap w:val="0"/>
            <w:vAlign w:val="center"/>
          </w:tcPr>
          <w:p w14:paraId="519C7B0A">
            <w:pPr>
              <w:pStyle w:val="182"/>
              <w:rPr>
                <w:rFonts w:hint="eastAsia"/>
                <w:color w:val="auto"/>
                <w:lang w:val="en-US" w:eastAsia="zh-CN"/>
              </w:rPr>
            </w:pPr>
            <w:r>
              <w:rPr>
                <w:rFonts w:hint="eastAsia"/>
                <w:color w:val="auto"/>
                <w:lang w:val="en-US" w:eastAsia="zh-CN"/>
              </w:rPr>
              <w:t>生活饮用水标准检验方法</w:t>
            </w:r>
          </w:p>
          <w:p w14:paraId="622C903B">
            <w:pPr>
              <w:pStyle w:val="182"/>
              <w:rPr>
                <w:rFonts w:hint="eastAsia"/>
                <w:color w:val="auto"/>
                <w:lang w:val="en-US" w:eastAsia="zh-CN"/>
              </w:rPr>
            </w:pPr>
            <w:r>
              <w:rPr>
                <w:rFonts w:hint="eastAsia"/>
                <w:color w:val="auto"/>
                <w:lang w:val="en-US" w:eastAsia="zh-CN"/>
              </w:rPr>
              <w:t>微生物指标(1.1平皿计数</w:t>
            </w:r>
          </w:p>
          <w:p w14:paraId="03DA74EE">
            <w:pPr>
              <w:pStyle w:val="182"/>
              <w:ind w:firstLine="0" w:firstLineChars="0"/>
              <w:rPr>
                <w:rFonts w:hint="eastAsia"/>
                <w:color w:val="auto"/>
                <w:lang w:val="en-US" w:eastAsia="zh-CN"/>
              </w:rPr>
            </w:pPr>
            <w:r>
              <w:rPr>
                <w:rFonts w:hint="eastAsia"/>
                <w:color w:val="auto"/>
                <w:lang w:val="en-US" w:eastAsia="zh-CN"/>
              </w:rPr>
              <w:t>法)GB/T5750.12-2006</w:t>
            </w:r>
          </w:p>
        </w:tc>
        <w:tc>
          <w:tcPr>
            <w:tcW w:w="1311" w:type="pct"/>
            <w:shd w:val="clear" w:color="auto" w:fill="auto"/>
            <w:noWrap w:val="0"/>
            <w:vAlign w:val="center"/>
          </w:tcPr>
          <w:p w14:paraId="2BB99DEE">
            <w:pPr>
              <w:pStyle w:val="182"/>
              <w:rPr>
                <w:rFonts w:hint="eastAsia"/>
                <w:color w:val="auto"/>
                <w:lang w:val="en-US" w:eastAsia="zh-CN"/>
              </w:rPr>
            </w:pPr>
            <w:r>
              <w:rPr>
                <w:rFonts w:hint="eastAsia"/>
                <w:color w:val="auto"/>
                <w:lang w:val="en-US" w:eastAsia="zh-CN"/>
              </w:rPr>
              <w:t>菌落计数器</w:t>
            </w:r>
          </w:p>
          <w:p w14:paraId="7F1A3EAB">
            <w:pPr>
              <w:pStyle w:val="182"/>
              <w:ind w:firstLine="0" w:firstLineChars="0"/>
              <w:rPr>
                <w:rFonts w:hint="eastAsia"/>
                <w:color w:val="auto"/>
                <w:lang w:val="en-US" w:eastAsia="zh-CN"/>
              </w:rPr>
            </w:pPr>
            <w:r>
              <w:rPr>
                <w:rFonts w:hint="eastAsia"/>
                <w:color w:val="auto"/>
                <w:lang w:val="en-US" w:eastAsia="zh-CN"/>
              </w:rPr>
              <w:t>YLN-30型</w:t>
            </w:r>
          </w:p>
        </w:tc>
        <w:tc>
          <w:tcPr>
            <w:tcW w:w="788" w:type="pct"/>
            <w:shd w:val="clear" w:color="auto" w:fill="auto"/>
            <w:noWrap w:val="0"/>
            <w:vAlign w:val="center"/>
          </w:tcPr>
          <w:p w14:paraId="1841C132">
            <w:pPr>
              <w:pStyle w:val="182"/>
              <w:ind w:firstLine="0" w:firstLineChars="0"/>
              <w:rPr>
                <w:rFonts w:hint="eastAsia"/>
                <w:color w:val="auto"/>
                <w:lang w:val="en-US" w:eastAsia="zh-CN"/>
              </w:rPr>
            </w:pPr>
            <w:r>
              <w:rPr>
                <w:rFonts w:hint="eastAsia"/>
                <w:color w:val="auto"/>
                <w:lang w:val="en-US" w:eastAsia="zh-CN"/>
              </w:rPr>
              <w:t>/</w:t>
            </w:r>
          </w:p>
        </w:tc>
        <w:tc>
          <w:tcPr>
            <w:tcW w:w="433" w:type="pct"/>
            <w:vMerge w:val="continue"/>
            <w:tcBorders>
              <w:right w:val="single" w:color="000000" w:sz="6" w:space="0"/>
            </w:tcBorders>
            <w:shd w:val="clear" w:color="auto" w:fill="auto"/>
            <w:noWrap w:val="0"/>
            <w:vAlign w:val="center"/>
          </w:tcPr>
          <w:p w14:paraId="76D08D4F">
            <w:pPr>
              <w:pStyle w:val="182"/>
              <w:rPr>
                <w:rFonts w:hint="eastAsia"/>
                <w:color w:val="auto"/>
                <w:lang w:val="en-US" w:eastAsia="zh-CN"/>
              </w:rPr>
            </w:pPr>
          </w:p>
        </w:tc>
      </w:tr>
      <w:tr w14:paraId="1A4441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284" w:type="pct"/>
            <w:tcBorders>
              <w:left w:val="single" w:color="000000" w:sz="6" w:space="0"/>
              <w:bottom w:val="single" w:color="000000" w:sz="6" w:space="0"/>
            </w:tcBorders>
            <w:shd w:val="clear" w:color="auto" w:fill="auto"/>
            <w:noWrap w:val="0"/>
            <w:vAlign w:val="center"/>
          </w:tcPr>
          <w:p w14:paraId="1A4A3DF9">
            <w:pPr>
              <w:pStyle w:val="182"/>
              <w:ind w:firstLine="0" w:firstLineChars="0"/>
              <w:rPr>
                <w:rFonts w:hint="eastAsia"/>
                <w:color w:val="auto"/>
                <w:lang w:val="en-US" w:eastAsia="zh-CN"/>
              </w:rPr>
            </w:pPr>
            <w:r>
              <w:rPr>
                <w:rFonts w:hint="eastAsia"/>
                <w:color w:val="auto"/>
                <w:lang w:val="en-US" w:eastAsia="zh-CN"/>
              </w:rPr>
              <w:t>35</w:t>
            </w:r>
          </w:p>
        </w:tc>
        <w:tc>
          <w:tcPr>
            <w:tcW w:w="576" w:type="pct"/>
            <w:tcBorders>
              <w:bottom w:val="single" w:color="000000" w:sz="6" w:space="0"/>
            </w:tcBorders>
            <w:shd w:val="clear" w:color="auto" w:fill="auto"/>
            <w:noWrap w:val="0"/>
            <w:vAlign w:val="center"/>
          </w:tcPr>
          <w:p w14:paraId="2EA86F40">
            <w:pPr>
              <w:pStyle w:val="182"/>
              <w:ind w:firstLine="0" w:firstLineChars="0"/>
              <w:rPr>
                <w:rFonts w:hint="eastAsia"/>
                <w:color w:val="auto"/>
                <w:lang w:val="en-US" w:eastAsia="zh-CN"/>
              </w:rPr>
            </w:pPr>
            <w:r>
              <w:rPr>
                <w:rFonts w:hint="eastAsia"/>
                <w:color w:val="auto"/>
                <w:lang w:val="en-US" w:eastAsia="zh-CN"/>
              </w:rPr>
              <w:t>锑</w:t>
            </w:r>
          </w:p>
        </w:tc>
        <w:tc>
          <w:tcPr>
            <w:tcW w:w="1604" w:type="pct"/>
            <w:tcBorders>
              <w:bottom w:val="single" w:color="000000" w:sz="6" w:space="0"/>
            </w:tcBorders>
            <w:shd w:val="clear" w:color="auto" w:fill="auto"/>
            <w:noWrap w:val="0"/>
            <w:vAlign w:val="center"/>
          </w:tcPr>
          <w:p w14:paraId="0DDA714C">
            <w:pPr>
              <w:pStyle w:val="182"/>
              <w:rPr>
                <w:rFonts w:hint="eastAsia"/>
                <w:color w:val="auto"/>
                <w:lang w:val="en-US" w:eastAsia="zh-CN"/>
              </w:rPr>
            </w:pPr>
            <w:r>
              <w:rPr>
                <w:rFonts w:hint="eastAsia"/>
                <w:color w:val="auto"/>
                <w:lang w:val="en-US" w:eastAsia="zh-CN"/>
              </w:rPr>
              <w:t>水质汞、砷、硒、铋和锑</w:t>
            </w:r>
          </w:p>
          <w:p w14:paraId="0AB4C191">
            <w:pPr>
              <w:pStyle w:val="182"/>
              <w:rPr>
                <w:rFonts w:hint="eastAsia"/>
                <w:color w:val="auto"/>
                <w:lang w:val="en-US" w:eastAsia="zh-CN"/>
              </w:rPr>
            </w:pPr>
            <w:r>
              <w:rPr>
                <w:rFonts w:hint="eastAsia"/>
                <w:color w:val="auto"/>
                <w:lang w:val="en-US" w:eastAsia="zh-CN"/>
              </w:rPr>
              <w:t>的测定原子荧光法HJ694-</w:t>
            </w:r>
          </w:p>
          <w:p w14:paraId="0BC09FB8">
            <w:pPr>
              <w:pStyle w:val="182"/>
              <w:ind w:firstLine="0" w:firstLineChars="0"/>
              <w:rPr>
                <w:rFonts w:hint="eastAsia"/>
                <w:color w:val="auto"/>
                <w:lang w:val="en-US" w:eastAsia="zh-CN"/>
              </w:rPr>
            </w:pPr>
            <w:r>
              <w:rPr>
                <w:rFonts w:hint="eastAsia"/>
                <w:color w:val="auto"/>
                <w:lang w:val="en-US" w:eastAsia="zh-CN"/>
              </w:rPr>
              <w:t>2014</w:t>
            </w:r>
          </w:p>
        </w:tc>
        <w:tc>
          <w:tcPr>
            <w:tcW w:w="1311" w:type="pct"/>
            <w:tcBorders>
              <w:bottom w:val="single" w:color="000000" w:sz="6" w:space="0"/>
            </w:tcBorders>
            <w:shd w:val="clear" w:color="auto" w:fill="auto"/>
            <w:noWrap w:val="0"/>
            <w:vAlign w:val="center"/>
          </w:tcPr>
          <w:p w14:paraId="0222DA3A">
            <w:pPr>
              <w:pStyle w:val="182"/>
              <w:ind w:firstLine="0" w:firstLineChars="0"/>
              <w:rPr>
                <w:rFonts w:hint="eastAsia"/>
                <w:color w:val="auto"/>
                <w:lang w:val="en-US" w:eastAsia="zh-CN"/>
              </w:rPr>
            </w:pPr>
            <w:r>
              <w:rPr>
                <w:rFonts w:hint="eastAsia"/>
                <w:color w:val="auto"/>
                <w:lang w:val="en-US" w:eastAsia="zh-CN"/>
              </w:rPr>
              <w:t>原子荧光光度计</w:t>
            </w:r>
          </w:p>
        </w:tc>
        <w:tc>
          <w:tcPr>
            <w:tcW w:w="788" w:type="pct"/>
            <w:tcBorders>
              <w:bottom w:val="single" w:color="000000" w:sz="6" w:space="0"/>
            </w:tcBorders>
            <w:shd w:val="clear" w:color="auto" w:fill="auto"/>
            <w:noWrap w:val="0"/>
            <w:vAlign w:val="center"/>
          </w:tcPr>
          <w:p w14:paraId="33B2CDFF">
            <w:pPr>
              <w:pStyle w:val="182"/>
              <w:ind w:firstLine="0" w:firstLineChars="0"/>
              <w:rPr>
                <w:rFonts w:hint="eastAsia"/>
                <w:color w:val="auto"/>
                <w:lang w:val="en-US" w:eastAsia="zh-CN"/>
              </w:rPr>
            </w:pPr>
            <w:r>
              <w:rPr>
                <w:rFonts w:hint="eastAsia"/>
                <w:color w:val="auto"/>
                <w:lang w:val="en-US" w:eastAsia="zh-CN"/>
              </w:rPr>
              <w:t>锑</w:t>
            </w:r>
          </w:p>
        </w:tc>
        <w:tc>
          <w:tcPr>
            <w:tcW w:w="433" w:type="pct"/>
            <w:vMerge w:val="continue"/>
            <w:tcBorders>
              <w:bottom w:val="single" w:color="000000" w:sz="6" w:space="0"/>
              <w:right w:val="single" w:color="000000" w:sz="6" w:space="0"/>
            </w:tcBorders>
            <w:shd w:val="clear" w:color="auto" w:fill="auto"/>
            <w:noWrap w:val="0"/>
            <w:vAlign w:val="center"/>
          </w:tcPr>
          <w:p w14:paraId="2809541A">
            <w:pPr>
              <w:pStyle w:val="182"/>
              <w:rPr>
                <w:rFonts w:hint="eastAsia"/>
                <w:color w:val="auto"/>
                <w:lang w:val="en-US" w:eastAsia="zh-CN"/>
              </w:rPr>
            </w:pPr>
          </w:p>
        </w:tc>
      </w:tr>
    </w:tbl>
    <w:p w14:paraId="7E51541D">
      <w:pPr>
        <w:pStyle w:val="182"/>
        <w:rPr>
          <w:rFonts w:hint="eastAsia"/>
          <w:color w:val="auto"/>
          <w:lang w:val="en-US" w:eastAsia="zh-CN"/>
        </w:rPr>
      </w:pPr>
    </w:p>
    <w:p w14:paraId="045D9493">
      <w:pPr>
        <w:spacing w:line="240" w:lineRule="auto"/>
        <w:ind w:firstLine="0" w:firstLineChars="0"/>
        <w:rPr>
          <w:b/>
          <w:bCs/>
          <w:color w:val="auto"/>
          <w:sz w:val="24"/>
        </w:rPr>
      </w:pPr>
      <w:r>
        <w:rPr>
          <w:rFonts w:hint="eastAsia"/>
          <w:color w:val="auto"/>
          <w:sz w:val="24"/>
        </w:rPr>
        <w:t>（3）</w:t>
      </w:r>
      <w:r>
        <w:rPr>
          <w:rFonts w:hint="eastAsia"/>
          <w:bCs/>
          <w:color w:val="auto"/>
          <w:sz w:val="24"/>
        </w:rPr>
        <w:t>评价标准</w:t>
      </w:r>
    </w:p>
    <w:p w14:paraId="63005530">
      <w:pPr>
        <w:spacing w:line="520" w:lineRule="exact"/>
        <w:ind w:firstLine="480" w:firstLineChars="200"/>
        <w:rPr>
          <w:color w:val="auto"/>
          <w:sz w:val="24"/>
        </w:rPr>
      </w:pPr>
      <w:r>
        <w:rPr>
          <w:color w:val="auto"/>
          <w:sz w:val="24"/>
        </w:rPr>
        <w:t>本项目地下水现状质量评价执行《地下水质量标准》（GB/T14848-2017）中的Ⅲ类标准，见下表。</w:t>
      </w:r>
    </w:p>
    <w:p w14:paraId="17F0C365">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12</w:t>
      </w:r>
      <w:r>
        <w:fldChar w:fldCharType="end"/>
      </w:r>
      <w:r>
        <w:t xml:space="preserve"> </w:t>
      </w:r>
      <w:r>
        <w:rPr>
          <w:rFonts w:hint="eastAsia"/>
        </w:rPr>
        <w:t>地下水质量现状评价执行标准</w:t>
      </w:r>
    </w:p>
    <w:tbl>
      <w:tblPr>
        <w:tblStyle w:val="31"/>
        <w:tblW w:w="5000" w:type="pct"/>
        <w:tblInd w:w="-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90"/>
        <w:gridCol w:w="1099"/>
        <w:gridCol w:w="1360"/>
        <w:gridCol w:w="1468"/>
        <w:gridCol w:w="1723"/>
        <w:gridCol w:w="1082"/>
      </w:tblGrid>
      <w:tr w14:paraId="5DF9EC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7" w:hRule="atLeast"/>
        </w:trPr>
        <w:tc>
          <w:tcPr>
            <w:tcW w:w="956" w:type="pct"/>
            <w:tcBorders>
              <w:top w:val="single" w:color="000000" w:sz="6" w:space="0"/>
              <w:left w:val="single" w:color="000000" w:sz="6" w:space="0"/>
            </w:tcBorders>
            <w:shd w:val="clear" w:color="auto" w:fill="auto"/>
            <w:noWrap w:val="0"/>
            <w:vAlign w:val="center"/>
          </w:tcPr>
          <w:p w14:paraId="6C41A816">
            <w:pPr>
              <w:pStyle w:val="182"/>
              <w:rPr>
                <w:rFonts w:hint="eastAsia"/>
                <w:color w:val="auto"/>
                <w:lang w:val="en-US" w:eastAsia="zh-CN"/>
              </w:rPr>
            </w:pPr>
            <w:r>
              <w:rPr>
                <w:rFonts w:hint="eastAsia"/>
                <w:color w:val="auto"/>
                <w:lang w:val="en-US" w:eastAsia="zh-CN"/>
              </w:rPr>
              <w:t>项目</w:t>
            </w:r>
          </w:p>
        </w:tc>
        <w:tc>
          <w:tcPr>
            <w:tcW w:w="660" w:type="pct"/>
            <w:tcBorders>
              <w:top w:val="single" w:color="000000" w:sz="6" w:space="0"/>
            </w:tcBorders>
            <w:shd w:val="clear" w:color="auto" w:fill="auto"/>
            <w:noWrap w:val="0"/>
            <w:vAlign w:val="center"/>
          </w:tcPr>
          <w:p w14:paraId="0AA83C6D">
            <w:pPr>
              <w:pStyle w:val="182"/>
              <w:rPr>
                <w:rFonts w:hint="eastAsia"/>
                <w:color w:val="auto"/>
                <w:lang w:val="en-US" w:eastAsia="zh-CN"/>
              </w:rPr>
            </w:pPr>
            <w:r>
              <w:rPr>
                <w:rFonts w:hint="eastAsia"/>
                <w:color w:val="auto"/>
                <w:lang w:val="en-US" w:eastAsia="zh-CN"/>
              </w:rPr>
              <w:t>Ⅲ类标准 限值</w:t>
            </w:r>
          </w:p>
        </w:tc>
        <w:tc>
          <w:tcPr>
            <w:tcW w:w="817" w:type="pct"/>
            <w:tcBorders>
              <w:top w:val="single" w:color="000000" w:sz="6" w:space="0"/>
            </w:tcBorders>
            <w:shd w:val="clear" w:color="auto" w:fill="auto"/>
            <w:noWrap w:val="0"/>
            <w:vAlign w:val="center"/>
          </w:tcPr>
          <w:p w14:paraId="5E443365">
            <w:pPr>
              <w:pStyle w:val="182"/>
              <w:rPr>
                <w:rFonts w:hint="eastAsia"/>
                <w:color w:val="auto"/>
                <w:lang w:val="en-US" w:eastAsia="zh-CN"/>
              </w:rPr>
            </w:pPr>
            <w:r>
              <w:rPr>
                <w:rFonts w:hint="eastAsia"/>
                <w:color w:val="auto"/>
                <w:lang w:val="en-US" w:eastAsia="zh-CN"/>
              </w:rPr>
              <w:t>项目</w:t>
            </w:r>
          </w:p>
        </w:tc>
        <w:tc>
          <w:tcPr>
            <w:tcW w:w="882" w:type="pct"/>
            <w:tcBorders>
              <w:top w:val="single" w:color="000000" w:sz="6" w:space="0"/>
            </w:tcBorders>
            <w:shd w:val="clear" w:color="auto" w:fill="auto"/>
            <w:noWrap w:val="0"/>
            <w:vAlign w:val="center"/>
          </w:tcPr>
          <w:p w14:paraId="4DE90D79">
            <w:pPr>
              <w:pStyle w:val="182"/>
              <w:rPr>
                <w:rFonts w:hint="eastAsia"/>
                <w:color w:val="auto"/>
                <w:lang w:val="en-US" w:eastAsia="zh-CN"/>
              </w:rPr>
            </w:pPr>
            <w:r>
              <w:rPr>
                <w:rFonts w:hint="eastAsia"/>
                <w:color w:val="auto"/>
                <w:lang w:val="en-US" w:eastAsia="zh-CN"/>
              </w:rPr>
              <w:t>Ⅲ类标</w:t>
            </w:r>
          </w:p>
          <w:p w14:paraId="1B26D7DC">
            <w:pPr>
              <w:pStyle w:val="182"/>
              <w:rPr>
                <w:rFonts w:hint="eastAsia"/>
                <w:color w:val="auto"/>
                <w:lang w:val="en-US" w:eastAsia="zh-CN"/>
              </w:rPr>
            </w:pPr>
            <w:r>
              <w:rPr>
                <w:rFonts w:hint="eastAsia"/>
                <w:color w:val="auto"/>
                <w:lang w:val="en-US" w:eastAsia="zh-CN"/>
              </w:rPr>
              <w:t>准限值</w:t>
            </w:r>
          </w:p>
        </w:tc>
        <w:tc>
          <w:tcPr>
            <w:tcW w:w="1035" w:type="pct"/>
            <w:tcBorders>
              <w:top w:val="single" w:color="000000" w:sz="6" w:space="0"/>
            </w:tcBorders>
            <w:shd w:val="clear" w:color="auto" w:fill="auto"/>
            <w:noWrap w:val="0"/>
            <w:vAlign w:val="center"/>
          </w:tcPr>
          <w:p w14:paraId="1ADC78E4">
            <w:pPr>
              <w:pStyle w:val="182"/>
              <w:rPr>
                <w:rFonts w:hint="eastAsia"/>
                <w:color w:val="auto"/>
                <w:lang w:val="en-US" w:eastAsia="zh-CN"/>
              </w:rPr>
            </w:pPr>
            <w:r>
              <w:rPr>
                <w:rFonts w:hint="eastAsia"/>
                <w:color w:val="auto"/>
                <w:lang w:val="en-US" w:eastAsia="zh-CN"/>
              </w:rPr>
              <w:t>项目</w:t>
            </w:r>
          </w:p>
        </w:tc>
        <w:tc>
          <w:tcPr>
            <w:tcW w:w="650" w:type="pct"/>
            <w:tcBorders>
              <w:top w:val="single" w:color="000000" w:sz="6" w:space="0"/>
              <w:right w:val="single" w:color="000000" w:sz="6" w:space="0"/>
            </w:tcBorders>
            <w:shd w:val="clear" w:color="auto" w:fill="auto"/>
            <w:noWrap w:val="0"/>
            <w:vAlign w:val="center"/>
          </w:tcPr>
          <w:p w14:paraId="5266939C">
            <w:pPr>
              <w:pStyle w:val="182"/>
              <w:rPr>
                <w:rFonts w:hint="eastAsia"/>
                <w:color w:val="auto"/>
                <w:lang w:val="en-US" w:eastAsia="zh-CN"/>
              </w:rPr>
            </w:pPr>
            <w:r>
              <w:rPr>
                <w:rFonts w:hint="eastAsia"/>
                <w:color w:val="auto"/>
                <w:lang w:val="en-US" w:eastAsia="zh-CN"/>
              </w:rPr>
              <w:t>Ⅲ类标准 限值</w:t>
            </w:r>
          </w:p>
        </w:tc>
      </w:tr>
      <w:tr w14:paraId="5EAE0D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956" w:type="pct"/>
            <w:tcBorders>
              <w:left w:val="single" w:color="000000" w:sz="6" w:space="0"/>
            </w:tcBorders>
            <w:shd w:val="clear" w:color="auto" w:fill="auto"/>
            <w:noWrap w:val="0"/>
            <w:vAlign w:val="center"/>
          </w:tcPr>
          <w:p w14:paraId="5EDB487F">
            <w:pPr>
              <w:pStyle w:val="182"/>
              <w:rPr>
                <w:rFonts w:hint="eastAsia"/>
                <w:color w:val="auto"/>
                <w:lang w:val="en-US" w:eastAsia="zh-CN"/>
              </w:rPr>
            </w:pPr>
            <w:r>
              <w:rPr>
                <w:rFonts w:hint="eastAsia"/>
                <w:color w:val="auto"/>
                <w:lang w:val="en-US" w:eastAsia="zh-CN"/>
              </w:rPr>
              <w:t>pH</w:t>
            </w:r>
          </w:p>
        </w:tc>
        <w:tc>
          <w:tcPr>
            <w:tcW w:w="660" w:type="pct"/>
            <w:shd w:val="clear" w:color="auto" w:fill="auto"/>
            <w:noWrap w:val="0"/>
            <w:vAlign w:val="center"/>
          </w:tcPr>
          <w:p w14:paraId="690826CA">
            <w:pPr>
              <w:pStyle w:val="182"/>
              <w:rPr>
                <w:rFonts w:hint="eastAsia"/>
                <w:color w:val="auto"/>
                <w:lang w:val="en-US" w:eastAsia="zh-CN"/>
              </w:rPr>
            </w:pPr>
            <w:r>
              <w:rPr>
                <w:rFonts w:hint="eastAsia"/>
                <w:color w:val="auto"/>
                <w:lang w:val="en-US" w:eastAsia="zh-CN"/>
              </w:rPr>
              <w:t>6.5~8.5</w:t>
            </w:r>
          </w:p>
        </w:tc>
        <w:tc>
          <w:tcPr>
            <w:tcW w:w="817" w:type="pct"/>
            <w:shd w:val="clear" w:color="auto" w:fill="auto"/>
            <w:noWrap w:val="0"/>
            <w:vAlign w:val="center"/>
          </w:tcPr>
          <w:p w14:paraId="3B886C3E">
            <w:pPr>
              <w:pStyle w:val="182"/>
              <w:rPr>
                <w:rFonts w:hint="eastAsia"/>
                <w:color w:val="auto"/>
                <w:lang w:val="en-US" w:eastAsia="zh-CN"/>
              </w:rPr>
            </w:pPr>
            <w:r>
              <w:rPr>
                <w:rFonts w:hint="eastAsia"/>
                <w:color w:val="auto"/>
                <w:lang w:val="en-US" w:eastAsia="zh-CN"/>
              </w:rPr>
              <w:t>Cl-</w:t>
            </w:r>
          </w:p>
        </w:tc>
        <w:tc>
          <w:tcPr>
            <w:tcW w:w="882" w:type="pct"/>
            <w:shd w:val="clear" w:color="auto" w:fill="auto"/>
            <w:noWrap w:val="0"/>
            <w:vAlign w:val="center"/>
          </w:tcPr>
          <w:p w14:paraId="5736878D">
            <w:pPr>
              <w:pStyle w:val="182"/>
              <w:rPr>
                <w:rFonts w:hint="eastAsia"/>
                <w:color w:val="auto"/>
                <w:lang w:val="en-US" w:eastAsia="zh-CN"/>
              </w:rPr>
            </w:pPr>
            <w:r>
              <w:rPr>
                <w:rFonts w:hint="eastAsia"/>
                <w:color w:val="auto"/>
                <w:lang w:val="en-US" w:eastAsia="zh-CN"/>
              </w:rPr>
              <w:t>250</w:t>
            </w:r>
          </w:p>
        </w:tc>
        <w:tc>
          <w:tcPr>
            <w:tcW w:w="1035" w:type="pct"/>
            <w:shd w:val="clear" w:color="auto" w:fill="auto"/>
            <w:noWrap w:val="0"/>
            <w:vAlign w:val="center"/>
          </w:tcPr>
          <w:p w14:paraId="1D2811F7">
            <w:pPr>
              <w:pStyle w:val="182"/>
              <w:rPr>
                <w:rFonts w:hint="eastAsia"/>
                <w:color w:val="auto"/>
                <w:lang w:val="en-US" w:eastAsia="zh-CN"/>
              </w:rPr>
            </w:pPr>
            <w:r>
              <w:rPr>
                <w:rFonts w:hint="eastAsia"/>
                <w:color w:val="auto"/>
                <w:lang w:val="en-US" w:eastAsia="zh-CN"/>
              </w:rPr>
              <w:t>铬(六价)</w:t>
            </w:r>
          </w:p>
        </w:tc>
        <w:tc>
          <w:tcPr>
            <w:tcW w:w="650" w:type="pct"/>
            <w:tcBorders>
              <w:right w:val="single" w:color="000000" w:sz="6" w:space="0"/>
            </w:tcBorders>
            <w:shd w:val="clear" w:color="auto" w:fill="auto"/>
            <w:noWrap w:val="0"/>
            <w:vAlign w:val="center"/>
          </w:tcPr>
          <w:p w14:paraId="0884F5F9">
            <w:pPr>
              <w:pStyle w:val="182"/>
              <w:rPr>
                <w:rFonts w:hint="eastAsia"/>
                <w:color w:val="auto"/>
                <w:lang w:val="en-US" w:eastAsia="zh-CN"/>
              </w:rPr>
            </w:pPr>
            <w:r>
              <w:rPr>
                <w:rFonts w:hint="eastAsia"/>
                <w:color w:val="auto"/>
                <w:lang w:val="en-US" w:eastAsia="zh-CN"/>
              </w:rPr>
              <w:t>0.05</w:t>
            </w:r>
          </w:p>
        </w:tc>
      </w:tr>
      <w:tr w14:paraId="040711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956" w:type="pct"/>
            <w:tcBorders>
              <w:left w:val="single" w:color="000000" w:sz="6" w:space="0"/>
            </w:tcBorders>
            <w:shd w:val="clear" w:color="auto" w:fill="auto"/>
            <w:noWrap w:val="0"/>
            <w:vAlign w:val="center"/>
          </w:tcPr>
          <w:p w14:paraId="001A95AE">
            <w:pPr>
              <w:pStyle w:val="182"/>
              <w:rPr>
                <w:rFonts w:hint="eastAsia"/>
                <w:color w:val="auto"/>
                <w:lang w:val="en-US" w:eastAsia="zh-CN"/>
              </w:rPr>
            </w:pPr>
            <w:r>
              <w:rPr>
                <w:rFonts w:hint="eastAsia"/>
                <w:color w:val="auto"/>
                <w:lang w:val="en-US" w:eastAsia="zh-CN"/>
              </w:rPr>
              <w:t>总硬度</w:t>
            </w:r>
          </w:p>
        </w:tc>
        <w:tc>
          <w:tcPr>
            <w:tcW w:w="660" w:type="pct"/>
            <w:shd w:val="clear" w:color="auto" w:fill="auto"/>
            <w:noWrap w:val="0"/>
            <w:vAlign w:val="center"/>
          </w:tcPr>
          <w:p w14:paraId="28C0B0CC">
            <w:pPr>
              <w:pStyle w:val="182"/>
              <w:rPr>
                <w:rFonts w:hint="eastAsia"/>
                <w:color w:val="auto"/>
                <w:lang w:val="en-US" w:eastAsia="zh-CN"/>
              </w:rPr>
            </w:pPr>
            <w:r>
              <w:rPr>
                <w:rFonts w:hint="eastAsia"/>
                <w:color w:val="auto"/>
                <w:lang w:val="en-US" w:eastAsia="zh-CN"/>
              </w:rPr>
              <w:t>450</w:t>
            </w:r>
          </w:p>
        </w:tc>
        <w:tc>
          <w:tcPr>
            <w:tcW w:w="817" w:type="pct"/>
            <w:shd w:val="clear" w:color="auto" w:fill="auto"/>
            <w:noWrap w:val="0"/>
            <w:vAlign w:val="center"/>
          </w:tcPr>
          <w:p w14:paraId="6631988F">
            <w:pPr>
              <w:pStyle w:val="182"/>
              <w:rPr>
                <w:rFonts w:hint="eastAsia"/>
                <w:color w:val="auto"/>
                <w:lang w:val="en-US" w:eastAsia="zh-CN"/>
              </w:rPr>
            </w:pPr>
            <w:r>
              <w:rPr>
                <w:rFonts w:hint="eastAsia"/>
                <w:color w:val="auto"/>
                <w:lang w:val="en-US" w:eastAsia="zh-CN"/>
              </w:rPr>
              <w:t>SO42-</w:t>
            </w:r>
          </w:p>
        </w:tc>
        <w:tc>
          <w:tcPr>
            <w:tcW w:w="882" w:type="pct"/>
            <w:shd w:val="clear" w:color="auto" w:fill="auto"/>
            <w:noWrap w:val="0"/>
            <w:vAlign w:val="center"/>
          </w:tcPr>
          <w:p w14:paraId="567F3609">
            <w:pPr>
              <w:pStyle w:val="182"/>
              <w:rPr>
                <w:rFonts w:hint="eastAsia"/>
                <w:color w:val="auto"/>
                <w:lang w:val="en-US" w:eastAsia="zh-CN"/>
              </w:rPr>
            </w:pPr>
            <w:r>
              <w:rPr>
                <w:rFonts w:hint="eastAsia"/>
                <w:color w:val="auto"/>
                <w:lang w:val="en-US" w:eastAsia="zh-CN"/>
              </w:rPr>
              <w:t>250</w:t>
            </w:r>
          </w:p>
        </w:tc>
        <w:tc>
          <w:tcPr>
            <w:tcW w:w="1035" w:type="pct"/>
            <w:shd w:val="clear" w:color="auto" w:fill="auto"/>
            <w:noWrap w:val="0"/>
            <w:vAlign w:val="center"/>
          </w:tcPr>
          <w:p w14:paraId="2D0846CC">
            <w:pPr>
              <w:pStyle w:val="182"/>
              <w:rPr>
                <w:rFonts w:hint="eastAsia"/>
                <w:color w:val="auto"/>
                <w:lang w:val="en-US" w:eastAsia="zh-CN"/>
              </w:rPr>
            </w:pPr>
            <w:r>
              <w:rPr>
                <w:rFonts w:hint="eastAsia"/>
                <w:color w:val="auto"/>
                <w:lang w:val="en-US" w:eastAsia="zh-CN"/>
              </w:rPr>
              <w:t>铅</w:t>
            </w:r>
          </w:p>
        </w:tc>
        <w:tc>
          <w:tcPr>
            <w:tcW w:w="650" w:type="pct"/>
            <w:tcBorders>
              <w:right w:val="single" w:color="000000" w:sz="6" w:space="0"/>
            </w:tcBorders>
            <w:shd w:val="clear" w:color="auto" w:fill="auto"/>
            <w:noWrap w:val="0"/>
            <w:vAlign w:val="center"/>
          </w:tcPr>
          <w:p w14:paraId="02F789E9">
            <w:pPr>
              <w:pStyle w:val="182"/>
              <w:rPr>
                <w:rFonts w:hint="eastAsia"/>
                <w:color w:val="auto"/>
                <w:lang w:val="en-US" w:eastAsia="zh-CN"/>
              </w:rPr>
            </w:pPr>
            <w:r>
              <w:rPr>
                <w:rFonts w:hint="eastAsia"/>
                <w:color w:val="auto"/>
                <w:lang w:val="en-US" w:eastAsia="zh-CN"/>
              </w:rPr>
              <w:t>0.01</w:t>
            </w:r>
          </w:p>
        </w:tc>
      </w:tr>
      <w:tr w14:paraId="49A8A3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956" w:type="pct"/>
            <w:tcBorders>
              <w:left w:val="single" w:color="000000" w:sz="6" w:space="0"/>
            </w:tcBorders>
            <w:shd w:val="clear" w:color="auto" w:fill="auto"/>
            <w:noWrap w:val="0"/>
            <w:vAlign w:val="center"/>
          </w:tcPr>
          <w:p w14:paraId="7C213EA8">
            <w:pPr>
              <w:pStyle w:val="182"/>
              <w:rPr>
                <w:rFonts w:hint="eastAsia"/>
                <w:color w:val="auto"/>
                <w:lang w:val="en-US" w:eastAsia="zh-CN"/>
              </w:rPr>
            </w:pPr>
            <w:r>
              <w:rPr>
                <w:rFonts w:hint="eastAsia"/>
                <w:color w:val="auto"/>
                <w:lang w:val="en-US" w:eastAsia="zh-CN"/>
              </w:rPr>
              <w:t>耗氧量</w:t>
            </w:r>
          </w:p>
        </w:tc>
        <w:tc>
          <w:tcPr>
            <w:tcW w:w="660" w:type="pct"/>
            <w:shd w:val="clear" w:color="auto" w:fill="auto"/>
            <w:noWrap w:val="0"/>
            <w:vAlign w:val="center"/>
          </w:tcPr>
          <w:p w14:paraId="635CB70B">
            <w:pPr>
              <w:pStyle w:val="182"/>
              <w:rPr>
                <w:rFonts w:hint="eastAsia"/>
                <w:color w:val="auto"/>
                <w:lang w:val="en-US" w:eastAsia="zh-CN"/>
              </w:rPr>
            </w:pPr>
            <w:r>
              <w:rPr>
                <w:rFonts w:hint="eastAsia"/>
                <w:color w:val="auto"/>
                <w:lang w:val="en-US" w:eastAsia="zh-CN"/>
              </w:rPr>
              <w:t>3.0</w:t>
            </w:r>
          </w:p>
        </w:tc>
        <w:tc>
          <w:tcPr>
            <w:tcW w:w="817" w:type="pct"/>
            <w:shd w:val="clear" w:color="auto" w:fill="auto"/>
            <w:noWrap w:val="0"/>
            <w:vAlign w:val="center"/>
          </w:tcPr>
          <w:p w14:paraId="7C44014A">
            <w:pPr>
              <w:pStyle w:val="182"/>
              <w:rPr>
                <w:rFonts w:hint="eastAsia"/>
                <w:color w:val="auto"/>
                <w:lang w:val="en-US" w:eastAsia="zh-CN"/>
              </w:rPr>
            </w:pPr>
            <w:r>
              <w:rPr>
                <w:rFonts w:hint="eastAsia"/>
                <w:color w:val="auto"/>
                <w:lang w:val="en-US" w:eastAsia="zh-CN"/>
              </w:rPr>
              <w:t>硫化物</w:t>
            </w:r>
          </w:p>
        </w:tc>
        <w:tc>
          <w:tcPr>
            <w:tcW w:w="882" w:type="pct"/>
            <w:shd w:val="clear" w:color="auto" w:fill="auto"/>
            <w:noWrap w:val="0"/>
            <w:vAlign w:val="center"/>
          </w:tcPr>
          <w:p w14:paraId="1121391E">
            <w:pPr>
              <w:pStyle w:val="182"/>
              <w:rPr>
                <w:rFonts w:hint="eastAsia"/>
                <w:color w:val="auto"/>
                <w:lang w:val="en-US" w:eastAsia="zh-CN"/>
              </w:rPr>
            </w:pPr>
            <w:r>
              <w:rPr>
                <w:rFonts w:hint="eastAsia"/>
                <w:color w:val="auto"/>
                <w:lang w:val="en-US" w:eastAsia="zh-CN"/>
              </w:rPr>
              <w:t>0.01</w:t>
            </w:r>
          </w:p>
        </w:tc>
        <w:tc>
          <w:tcPr>
            <w:tcW w:w="1035" w:type="pct"/>
            <w:shd w:val="clear" w:color="auto" w:fill="auto"/>
            <w:noWrap w:val="0"/>
            <w:vAlign w:val="center"/>
          </w:tcPr>
          <w:p w14:paraId="4C11CC1B">
            <w:pPr>
              <w:pStyle w:val="182"/>
              <w:rPr>
                <w:rFonts w:hint="eastAsia"/>
                <w:color w:val="auto"/>
                <w:lang w:val="en-US" w:eastAsia="zh-CN"/>
              </w:rPr>
            </w:pPr>
            <w:r>
              <w:rPr>
                <w:rFonts w:hint="eastAsia"/>
                <w:color w:val="auto"/>
                <w:lang w:val="en-US" w:eastAsia="zh-CN"/>
              </w:rPr>
              <w:t>铁</w:t>
            </w:r>
          </w:p>
        </w:tc>
        <w:tc>
          <w:tcPr>
            <w:tcW w:w="650" w:type="pct"/>
            <w:tcBorders>
              <w:right w:val="single" w:color="000000" w:sz="6" w:space="0"/>
            </w:tcBorders>
            <w:shd w:val="clear" w:color="auto" w:fill="auto"/>
            <w:noWrap w:val="0"/>
            <w:vAlign w:val="center"/>
          </w:tcPr>
          <w:p w14:paraId="1ECE9BE9">
            <w:pPr>
              <w:pStyle w:val="182"/>
              <w:rPr>
                <w:rFonts w:hint="eastAsia"/>
                <w:color w:val="auto"/>
                <w:lang w:val="en-US" w:eastAsia="zh-CN"/>
              </w:rPr>
            </w:pPr>
            <w:r>
              <w:rPr>
                <w:rFonts w:hint="eastAsia"/>
                <w:color w:val="auto"/>
                <w:lang w:val="en-US" w:eastAsia="zh-CN"/>
              </w:rPr>
              <w:t>0.3</w:t>
            </w:r>
          </w:p>
        </w:tc>
      </w:tr>
      <w:tr w14:paraId="215A57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956" w:type="pct"/>
            <w:tcBorders>
              <w:left w:val="single" w:color="000000" w:sz="6" w:space="0"/>
            </w:tcBorders>
            <w:shd w:val="clear" w:color="auto" w:fill="auto"/>
            <w:noWrap w:val="0"/>
            <w:vAlign w:val="center"/>
          </w:tcPr>
          <w:p w14:paraId="5F55F55D">
            <w:pPr>
              <w:pStyle w:val="182"/>
              <w:rPr>
                <w:rFonts w:hint="eastAsia"/>
                <w:color w:val="auto"/>
                <w:lang w:val="en-US" w:eastAsia="zh-CN"/>
              </w:rPr>
            </w:pPr>
            <w:r>
              <w:rPr>
                <w:rFonts w:hint="eastAsia"/>
                <w:color w:val="auto"/>
                <w:lang w:val="en-US" w:eastAsia="zh-CN"/>
              </w:rPr>
              <w:t>氨氮</w:t>
            </w:r>
          </w:p>
        </w:tc>
        <w:tc>
          <w:tcPr>
            <w:tcW w:w="660" w:type="pct"/>
            <w:shd w:val="clear" w:color="auto" w:fill="auto"/>
            <w:noWrap w:val="0"/>
            <w:vAlign w:val="center"/>
          </w:tcPr>
          <w:p w14:paraId="4F23FB10">
            <w:pPr>
              <w:pStyle w:val="182"/>
              <w:rPr>
                <w:rFonts w:hint="eastAsia"/>
                <w:color w:val="auto"/>
                <w:lang w:val="en-US" w:eastAsia="zh-CN"/>
              </w:rPr>
            </w:pPr>
            <w:r>
              <w:rPr>
                <w:rFonts w:hint="eastAsia"/>
                <w:color w:val="auto"/>
                <w:lang w:val="en-US" w:eastAsia="zh-CN"/>
              </w:rPr>
              <w:t>0.5</w:t>
            </w:r>
          </w:p>
        </w:tc>
        <w:tc>
          <w:tcPr>
            <w:tcW w:w="817" w:type="pct"/>
            <w:shd w:val="clear" w:color="auto" w:fill="auto"/>
            <w:noWrap w:val="0"/>
            <w:vAlign w:val="center"/>
          </w:tcPr>
          <w:p w14:paraId="310D8FE1">
            <w:pPr>
              <w:pStyle w:val="182"/>
              <w:rPr>
                <w:rFonts w:hint="eastAsia"/>
                <w:color w:val="auto"/>
                <w:lang w:val="en-US" w:eastAsia="zh-CN"/>
              </w:rPr>
            </w:pPr>
            <w:r>
              <w:rPr>
                <w:rFonts w:hint="eastAsia"/>
                <w:color w:val="auto"/>
                <w:lang w:val="en-US" w:eastAsia="zh-CN"/>
              </w:rPr>
              <w:t>挥发性酚类</w:t>
            </w:r>
          </w:p>
        </w:tc>
        <w:tc>
          <w:tcPr>
            <w:tcW w:w="882" w:type="pct"/>
            <w:shd w:val="clear" w:color="auto" w:fill="auto"/>
            <w:noWrap w:val="0"/>
            <w:vAlign w:val="center"/>
          </w:tcPr>
          <w:p w14:paraId="3CF0F912">
            <w:pPr>
              <w:pStyle w:val="182"/>
              <w:rPr>
                <w:rFonts w:hint="eastAsia"/>
                <w:color w:val="auto"/>
                <w:lang w:val="en-US" w:eastAsia="zh-CN"/>
              </w:rPr>
            </w:pPr>
            <w:r>
              <w:rPr>
                <w:rFonts w:hint="eastAsia"/>
                <w:color w:val="auto"/>
                <w:lang w:val="en-US" w:eastAsia="zh-CN"/>
              </w:rPr>
              <w:t>0.002</w:t>
            </w:r>
          </w:p>
        </w:tc>
        <w:tc>
          <w:tcPr>
            <w:tcW w:w="1035" w:type="pct"/>
            <w:shd w:val="clear" w:color="auto" w:fill="auto"/>
            <w:noWrap w:val="0"/>
            <w:vAlign w:val="center"/>
          </w:tcPr>
          <w:p w14:paraId="4F50B77F">
            <w:pPr>
              <w:pStyle w:val="182"/>
              <w:rPr>
                <w:rFonts w:hint="eastAsia"/>
                <w:color w:val="auto"/>
                <w:lang w:val="en-US" w:eastAsia="zh-CN"/>
              </w:rPr>
            </w:pPr>
            <w:r>
              <w:rPr>
                <w:rFonts w:hint="eastAsia"/>
                <w:color w:val="auto"/>
                <w:lang w:val="en-US" w:eastAsia="zh-CN"/>
              </w:rPr>
              <w:t>锰</w:t>
            </w:r>
          </w:p>
        </w:tc>
        <w:tc>
          <w:tcPr>
            <w:tcW w:w="650" w:type="pct"/>
            <w:tcBorders>
              <w:right w:val="single" w:color="000000" w:sz="6" w:space="0"/>
            </w:tcBorders>
            <w:shd w:val="clear" w:color="auto" w:fill="auto"/>
            <w:noWrap w:val="0"/>
            <w:vAlign w:val="center"/>
          </w:tcPr>
          <w:p w14:paraId="4E80BCD0">
            <w:pPr>
              <w:pStyle w:val="182"/>
              <w:rPr>
                <w:rFonts w:hint="eastAsia"/>
                <w:color w:val="auto"/>
                <w:lang w:val="en-US" w:eastAsia="zh-CN"/>
              </w:rPr>
            </w:pPr>
            <w:r>
              <w:rPr>
                <w:rFonts w:hint="eastAsia"/>
                <w:color w:val="auto"/>
                <w:lang w:val="en-US" w:eastAsia="zh-CN"/>
              </w:rPr>
              <w:t>0.1</w:t>
            </w:r>
          </w:p>
        </w:tc>
      </w:tr>
      <w:tr w14:paraId="57CCEB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956" w:type="pct"/>
            <w:tcBorders>
              <w:left w:val="single" w:color="000000" w:sz="6" w:space="0"/>
            </w:tcBorders>
            <w:shd w:val="clear" w:color="auto" w:fill="auto"/>
            <w:noWrap w:val="0"/>
            <w:vAlign w:val="center"/>
          </w:tcPr>
          <w:p w14:paraId="1958A8EC">
            <w:pPr>
              <w:pStyle w:val="182"/>
              <w:rPr>
                <w:rFonts w:hint="eastAsia"/>
                <w:color w:val="auto"/>
                <w:lang w:val="en-US" w:eastAsia="zh-CN"/>
              </w:rPr>
            </w:pPr>
            <w:r>
              <w:rPr>
                <w:rFonts w:hint="eastAsia"/>
                <w:color w:val="auto"/>
                <w:lang w:val="en-US" w:eastAsia="zh-CN"/>
              </w:rPr>
              <w:t>溶解性总固体</w:t>
            </w:r>
          </w:p>
        </w:tc>
        <w:tc>
          <w:tcPr>
            <w:tcW w:w="660" w:type="pct"/>
            <w:shd w:val="clear" w:color="auto" w:fill="auto"/>
            <w:noWrap w:val="0"/>
            <w:vAlign w:val="center"/>
          </w:tcPr>
          <w:p w14:paraId="63507463">
            <w:pPr>
              <w:pStyle w:val="182"/>
              <w:rPr>
                <w:rFonts w:hint="eastAsia"/>
                <w:color w:val="auto"/>
                <w:lang w:val="en-US" w:eastAsia="zh-CN"/>
              </w:rPr>
            </w:pPr>
            <w:r>
              <w:rPr>
                <w:rFonts w:hint="eastAsia"/>
                <w:color w:val="auto"/>
                <w:lang w:val="en-US" w:eastAsia="zh-CN"/>
              </w:rPr>
              <w:t>1000</w:t>
            </w:r>
          </w:p>
        </w:tc>
        <w:tc>
          <w:tcPr>
            <w:tcW w:w="817" w:type="pct"/>
            <w:shd w:val="clear" w:color="auto" w:fill="auto"/>
            <w:noWrap w:val="0"/>
            <w:vAlign w:val="center"/>
          </w:tcPr>
          <w:p w14:paraId="38B25EE9">
            <w:pPr>
              <w:pStyle w:val="182"/>
              <w:rPr>
                <w:rFonts w:hint="eastAsia"/>
                <w:color w:val="auto"/>
                <w:lang w:val="en-US" w:eastAsia="zh-CN"/>
              </w:rPr>
            </w:pPr>
            <w:r>
              <w:rPr>
                <w:rFonts w:hint="eastAsia"/>
                <w:color w:val="auto"/>
                <w:lang w:val="en-US" w:eastAsia="zh-CN"/>
              </w:rPr>
              <w:t>亚硝酸盐</w:t>
            </w:r>
          </w:p>
        </w:tc>
        <w:tc>
          <w:tcPr>
            <w:tcW w:w="882" w:type="pct"/>
            <w:shd w:val="clear" w:color="auto" w:fill="auto"/>
            <w:noWrap w:val="0"/>
            <w:vAlign w:val="center"/>
          </w:tcPr>
          <w:p w14:paraId="3C2B55F0">
            <w:pPr>
              <w:pStyle w:val="182"/>
              <w:rPr>
                <w:rFonts w:hint="eastAsia"/>
                <w:color w:val="auto"/>
                <w:lang w:val="en-US" w:eastAsia="zh-CN"/>
              </w:rPr>
            </w:pPr>
            <w:r>
              <w:rPr>
                <w:rFonts w:hint="eastAsia"/>
                <w:color w:val="auto"/>
                <w:lang w:val="en-US" w:eastAsia="zh-CN"/>
              </w:rPr>
              <w:t>1</w:t>
            </w:r>
          </w:p>
        </w:tc>
        <w:tc>
          <w:tcPr>
            <w:tcW w:w="1035" w:type="pct"/>
            <w:shd w:val="clear" w:color="auto" w:fill="auto"/>
            <w:noWrap w:val="0"/>
            <w:vAlign w:val="center"/>
          </w:tcPr>
          <w:p w14:paraId="3792983B">
            <w:pPr>
              <w:pStyle w:val="182"/>
              <w:rPr>
                <w:rFonts w:hint="eastAsia"/>
                <w:color w:val="auto"/>
                <w:lang w:val="en-US" w:eastAsia="zh-CN"/>
              </w:rPr>
            </w:pPr>
            <w:r>
              <w:rPr>
                <w:rFonts w:hint="eastAsia"/>
                <w:color w:val="auto"/>
                <w:lang w:val="en-US" w:eastAsia="zh-CN"/>
              </w:rPr>
              <w:t>铜</w:t>
            </w:r>
          </w:p>
        </w:tc>
        <w:tc>
          <w:tcPr>
            <w:tcW w:w="650" w:type="pct"/>
            <w:tcBorders>
              <w:right w:val="single" w:color="000000" w:sz="6" w:space="0"/>
            </w:tcBorders>
            <w:shd w:val="clear" w:color="auto" w:fill="auto"/>
            <w:noWrap w:val="0"/>
            <w:vAlign w:val="center"/>
          </w:tcPr>
          <w:p w14:paraId="03AB976B">
            <w:pPr>
              <w:pStyle w:val="182"/>
              <w:rPr>
                <w:rFonts w:hint="eastAsia"/>
                <w:color w:val="auto"/>
                <w:lang w:val="en-US" w:eastAsia="zh-CN"/>
              </w:rPr>
            </w:pPr>
            <w:r>
              <w:rPr>
                <w:rFonts w:hint="eastAsia"/>
                <w:color w:val="auto"/>
                <w:lang w:val="en-US" w:eastAsia="zh-CN"/>
              </w:rPr>
              <w:t>1</w:t>
            </w:r>
          </w:p>
        </w:tc>
      </w:tr>
      <w:tr w14:paraId="7C1125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956" w:type="pct"/>
            <w:tcBorders>
              <w:left w:val="single" w:color="000000" w:sz="6" w:space="0"/>
            </w:tcBorders>
            <w:shd w:val="clear" w:color="auto" w:fill="auto"/>
            <w:noWrap w:val="0"/>
            <w:vAlign w:val="center"/>
          </w:tcPr>
          <w:p w14:paraId="061F3FA3">
            <w:pPr>
              <w:pStyle w:val="182"/>
              <w:rPr>
                <w:rFonts w:hint="eastAsia"/>
                <w:color w:val="auto"/>
                <w:lang w:val="en-US" w:eastAsia="zh-CN"/>
              </w:rPr>
            </w:pPr>
            <w:r>
              <w:rPr>
                <w:rFonts w:hint="eastAsia"/>
                <w:color w:val="auto"/>
                <w:lang w:val="en-US" w:eastAsia="zh-CN"/>
              </w:rPr>
              <w:t>K</w:t>
            </w:r>
            <w:r>
              <w:rPr>
                <w:rFonts w:hint="eastAsia"/>
                <w:color w:val="auto"/>
                <w:vertAlign w:val="superscript"/>
                <w:lang w:val="en-US" w:eastAsia="zh-CN"/>
              </w:rPr>
              <w:t>+</w:t>
            </w:r>
          </w:p>
        </w:tc>
        <w:tc>
          <w:tcPr>
            <w:tcW w:w="660" w:type="pct"/>
            <w:shd w:val="clear" w:color="auto" w:fill="auto"/>
            <w:noWrap w:val="0"/>
            <w:vAlign w:val="center"/>
          </w:tcPr>
          <w:p w14:paraId="2BC854B0">
            <w:pPr>
              <w:pStyle w:val="182"/>
              <w:rPr>
                <w:rFonts w:hint="eastAsia"/>
                <w:color w:val="auto"/>
                <w:lang w:val="en-US" w:eastAsia="zh-CN"/>
              </w:rPr>
            </w:pPr>
            <w:r>
              <w:rPr>
                <w:rFonts w:hint="eastAsia"/>
                <w:color w:val="auto"/>
                <w:lang w:val="en-US" w:eastAsia="zh-CN"/>
              </w:rPr>
              <w:t>/</w:t>
            </w:r>
          </w:p>
        </w:tc>
        <w:tc>
          <w:tcPr>
            <w:tcW w:w="817" w:type="pct"/>
            <w:shd w:val="clear" w:color="auto" w:fill="auto"/>
            <w:noWrap w:val="0"/>
            <w:vAlign w:val="center"/>
          </w:tcPr>
          <w:p w14:paraId="04FD7604">
            <w:pPr>
              <w:pStyle w:val="182"/>
              <w:rPr>
                <w:rFonts w:hint="eastAsia"/>
                <w:color w:val="auto"/>
                <w:lang w:val="en-US" w:eastAsia="zh-CN"/>
              </w:rPr>
            </w:pPr>
            <w:r>
              <w:rPr>
                <w:rFonts w:hint="eastAsia"/>
                <w:color w:val="auto"/>
                <w:lang w:val="en-US" w:eastAsia="zh-CN"/>
              </w:rPr>
              <w:t>硝酸盐</w:t>
            </w:r>
          </w:p>
        </w:tc>
        <w:tc>
          <w:tcPr>
            <w:tcW w:w="882" w:type="pct"/>
            <w:shd w:val="clear" w:color="auto" w:fill="auto"/>
            <w:noWrap w:val="0"/>
            <w:vAlign w:val="center"/>
          </w:tcPr>
          <w:p w14:paraId="222B1BD1">
            <w:pPr>
              <w:pStyle w:val="182"/>
              <w:rPr>
                <w:rFonts w:hint="eastAsia"/>
                <w:color w:val="auto"/>
                <w:lang w:val="en-US" w:eastAsia="zh-CN"/>
              </w:rPr>
            </w:pPr>
            <w:r>
              <w:rPr>
                <w:rFonts w:hint="eastAsia"/>
                <w:color w:val="auto"/>
                <w:lang w:val="en-US" w:eastAsia="zh-CN"/>
              </w:rPr>
              <w:t>20</w:t>
            </w:r>
          </w:p>
        </w:tc>
        <w:tc>
          <w:tcPr>
            <w:tcW w:w="1035" w:type="pct"/>
            <w:shd w:val="clear" w:color="auto" w:fill="auto"/>
            <w:noWrap w:val="0"/>
            <w:vAlign w:val="center"/>
          </w:tcPr>
          <w:p w14:paraId="014F9B43">
            <w:pPr>
              <w:pStyle w:val="182"/>
              <w:rPr>
                <w:rFonts w:hint="eastAsia"/>
                <w:color w:val="auto"/>
                <w:lang w:val="en-US" w:eastAsia="zh-CN"/>
              </w:rPr>
            </w:pPr>
            <w:r>
              <w:rPr>
                <w:rFonts w:hint="eastAsia"/>
                <w:color w:val="auto"/>
                <w:lang w:val="en-US" w:eastAsia="zh-CN"/>
              </w:rPr>
              <w:t>锌</w:t>
            </w:r>
          </w:p>
        </w:tc>
        <w:tc>
          <w:tcPr>
            <w:tcW w:w="650" w:type="pct"/>
            <w:tcBorders>
              <w:right w:val="single" w:color="000000" w:sz="6" w:space="0"/>
            </w:tcBorders>
            <w:shd w:val="clear" w:color="auto" w:fill="auto"/>
            <w:noWrap w:val="0"/>
            <w:vAlign w:val="center"/>
          </w:tcPr>
          <w:p w14:paraId="23E26CF0">
            <w:pPr>
              <w:pStyle w:val="182"/>
              <w:rPr>
                <w:rFonts w:hint="eastAsia"/>
                <w:color w:val="auto"/>
                <w:lang w:val="en-US" w:eastAsia="zh-CN"/>
              </w:rPr>
            </w:pPr>
            <w:r>
              <w:rPr>
                <w:rFonts w:hint="eastAsia"/>
                <w:color w:val="auto"/>
                <w:lang w:val="en-US" w:eastAsia="zh-CN"/>
              </w:rPr>
              <w:t>1</w:t>
            </w:r>
          </w:p>
        </w:tc>
      </w:tr>
      <w:tr w14:paraId="322DE0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956" w:type="pct"/>
            <w:tcBorders>
              <w:left w:val="single" w:color="000000" w:sz="6" w:space="0"/>
            </w:tcBorders>
            <w:shd w:val="clear" w:color="auto" w:fill="auto"/>
            <w:noWrap w:val="0"/>
            <w:vAlign w:val="center"/>
          </w:tcPr>
          <w:p w14:paraId="0CDA8708">
            <w:pPr>
              <w:pStyle w:val="182"/>
              <w:rPr>
                <w:rFonts w:hint="eastAsia"/>
                <w:color w:val="auto"/>
                <w:lang w:val="en-US" w:eastAsia="zh-CN"/>
              </w:rPr>
            </w:pPr>
            <w:r>
              <w:rPr>
                <w:rFonts w:hint="eastAsia"/>
                <w:color w:val="auto"/>
                <w:lang w:val="en-US" w:eastAsia="zh-CN"/>
              </w:rPr>
              <w:t>Ca</w:t>
            </w:r>
            <w:r>
              <w:rPr>
                <w:rFonts w:hint="eastAsia"/>
                <w:color w:val="auto"/>
                <w:vertAlign w:val="superscript"/>
                <w:lang w:val="en-US" w:eastAsia="zh-CN"/>
              </w:rPr>
              <w:t>2+</w:t>
            </w:r>
          </w:p>
        </w:tc>
        <w:tc>
          <w:tcPr>
            <w:tcW w:w="660" w:type="pct"/>
            <w:shd w:val="clear" w:color="auto" w:fill="auto"/>
            <w:noWrap w:val="0"/>
            <w:vAlign w:val="center"/>
          </w:tcPr>
          <w:p w14:paraId="3755AC06">
            <w:pPr>
              <w:pStyle w:val="182"/>
              <w:rPr>
                <w:rFonts w:hint="eastAsia"/>
                <w:color w:val="auto"/>
                <w:lang w:val="en-US" w:eastAsia="zh-CN"/>
              </w:rPr>
            </w:pPr>
            <w:r>
              <w:rPr>
                <w:rFonts w:hint="eastAsia"/>
                <w:color w:val="auto"/>
                <w:lang w:val="en-US" w:eastAsia="zh-CN"/>
              </w:rPr>
              <w:t>/</w:t>
            </w:r>
          </w:p>
        </w:tc>
        <w:tc>
          <w:tcPr>
            <w:tcW w:w="817" w:type="pct"/>
            <w:shd w:val="clear" w:color="auto" w:fill="auto"/>
            <w:noWrap w:val="0"/>
            <w:vAlign w:val="center"/>
          </w:tcPr>
          <w:p w14:paraId="4EC88C24">
            <w:pPr>
              <w:pStyle w:val="182"/>
              <w:rPr>
                <w:rFonts w:hint="eastAsia"/>
                <w:color w:val="auto"/>
                <w:lang w:val="en-US" w:eastAsia="zh-CN"/>
              </w:rPr>
            </w:pPr>
            <w:r>
              <w:rPr>
                <w:rFonts w:hint="eastAsia"/>
                <w:color w:val="auto"/>
                <w:lang w:val="en-US" w:eastAsia="zh-CN"/>
              </w:rPr>
              <w:t>氟化物</w:t>
            </w:r>
          </w:p>
        </w:tc>
        <w:tc>
          <w:tcPr>
            <w:tcW w:w="882" w:type="pct"/>
            <w:shd w:val="clear" w:color="auto" w:fill="auto"/>
            <w:noWrap w:val="0"/>
            <w:vAlign w:val="center"/>
          </w:tcPr>
          <w:p w14:paraId="48FE5A86">
            <w:pPr>
              <w:pStyle w:val="182"/>
              <w:rPr>
                <w:rFonts w:hint="eastAsia"/>
                <w:color w:val="auto"/>
                <w:lang w:val="en-US" w:eastAsia="zh-CN"/>
              </w:rPr>
            </w:pPr>
            <w:r>
              <w:rPr>
                <w:rFonts w:hint="eastAsia"/>
                <w:color w:val="auto"/>
                <w:lang w:val="en-US" w:eastAsia="zh-CN"/>
              </w:rPr>
              <w:t>1</w:t>
            </w:r>
          </w:p>
        </w:tc>
        <w:tc>
          <w:tcPr>
            <w:tcW w:w="1035" w:type="pct"/>
            <w:shd w:val="clear" w:color="auto" w:fill="auto"/>
            <w:noWrap w:val="0"/>
            <w:vAlign w:val="center"/>
          </w:tcPr>
          <w:p w14:paraId="2D1C8CDD">
            <w:pPr>
              <w:pStyle w:val="182"/>
              <w:rPr>
                <w:rFonts w:hint="eastAsia"/>
                <w:color w:val="auto"/>
                <w:lang w:val="en-US" w:eastAsia="zh-CN"/>
              </w:rPr>
            </w:pPr>
            <w:r>
              <w:rPr>
                <w:rFonts w:hint="eastAsia"/>
                <w:color w:val="auto"/>
                <w:lang w:val="en-US" w:eastAsia="zh-CN"/>
              </w:rPr>
              <w:t>铝</w:t>
            </w:r>
          </w:p>
        </w:tc>
        <w:tc>
          <w:tcPr>
            <w:tcW w:w="650" w:type="pct"/>
            <w:tcBorders>
              <w:right w:val="single" w:color="000000" w:sz="6" w:space="0"/>
            </w:tcBorders>
            <w:shd w:val="clear" w:color="auto" w:fill="auto"/>
            <w:noWrap w:val="0"/>
            <w:vAlign w:val="center"/>
          </w:tcPr>
          <w:p w14:paraId="3D5B8639">
            <w:pPr>
              <w:pStyle w:val="182"/>
              <w:rPr>
                <w:rFonts w:hint="eastAsia"/>
                <w:color w:val="auto"/>
                <w:lang w:val="en-US" w:eastAsia="zh-CN"/>
              </w:rPr>
            </w:pPr>
            <w:r>
              <w:rPr>
                <w:rFonts w:hint="eastAsia"/>
                <w:color w:val="auto"/>
                <w:lang w:val="en-US" w:eastAsia="zh-CN"/>
              </w:rPr>
              <w:t>0.2</w:t>
            </w:r>
          </w:p>
        </w:tc>
      </w:tr>
      <w:tr w14:paraId="4DE4FE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956" w:type="pct"/>
            <w:tcBorders>
              <w:left w:val="single" w:color="000000" w:sz="6" w:space="0"/>
            </w:tcBorders>
            <w:shd w:val="clear" w:color="auto" w:fill="auto"/>
            <w:noWrap w:val="0"/>
            <w:vAlign w:val="center"/>
          </w:tcPr>
          <w:p w14:paraId="1ECE8B2A">
            <w:pPr>
              <w:pStyle w:val="182"/>
              <w:rPr>
                <w:rFonts w:hint="eastAsia"/>
                <w:color w:val="auto"/>
                <w:lang w:val="en-US" w:eastAsia="zh-CN"/>
              </w:rPr>
            </w:pPr>
            <w:r>
              <w:rPr>
                <w:rFonts w:hint="eastAsia"/>
                <w:color w:val="auto"/>
                <w:lang w:val="en-US" w:eastAsia="zh-CN"/>
              </w:rPr>
              <w:t>Na</w:t>
            </w:r>
            <w:r>
              <w:rPr>
                <w:rFonts w:hint="eastAsia"/>
                <w:color w:val="auto"/>
                <w:vertAlign w:val="superscript"/>
                <w:lang w:val="en-US" w:eastAsia="zh-CN"/>
              </w:rPr>
              <w:t>+</w:t>
            </w:r>
          </w:p>
        </w:tc>
        <w:tc>
          <w:tcPr>
            <w:tcW w:w="660" w:type="pct"/>
            <w:shd w:val="clear" w:color="auto" w:fill="auto"/>
            <w:noWrap w:val="0"/>
            <w:vAlign w:val="center"/>
          </w:tcPr>
          <w:p w14:paraId="3A767468">
            <w:pPr>
              <w:pStyle w:val="182"/>
              <w:rPr>
                <w:rFonts w:hint="eastAsia"/>
                <w:color w:val="auto"/>
                <w:lang w:val="en-US" w:eastAsia="zh-CN"/>
              </w:rPr>
            </w:pPr>
            <w:r>
              <w:rPr>
                <w:rFonts w:hint="eastAsia"/>
                <w:color w:val="auto"/>
                <w:lang w:val="en-US" w:eastAsia="zh-CN"/>
              </w:rPr>
              <w:t>200</w:t>
            </w:r>
          </w:p>
        </w:tc>
        <w:tc>
          <w:tcPr>
            <w:tcW w:w="817" w:type="pct"/>
            <w:shd w:val="clear" w:color="auto" w:fill="auto"/>
            <w:noWrap w:val="0"/>
            <w:vAlign w:val="center"/>
          </w:tcPr>
          <w:p w14:paraId="17CC014A">
            <w:pPr>
              <w:pStyle w:val="182"/>
              <w:rPr>
                <w:rFonts w:hint="eastAsia"/>
                <w:color w:val="auto"/>
                <w:lang w:val="en-US" w:eastAsia="zh-CN"/>
              </w:rPr>
            </w:pPr>
            <w:r>
              <w:rPr>
                <w:rFonts w:hint="eastAsia"/>
                <w:color w:val="auto"/>
                <w:lang w:val="en-US" w:eastAsia="zh-CN"/>
              </w:rPr>
              <w:t>砷</w:t>
            </w:r>
          </w:p>
        </w:tc>
        <w:tc>
          <w:tcPr>
            <w:tcW w:w="882" w:type="pct"/>
            <w:shd w:val="clear" w:color="auto" w:fill="auto"/>
            <w:noWrap w:val="0"/>
            <w:vAlign w:val="center"/>
          </w:tcPr>
          <w:p w14:paraId="4480CEAB">
            <w:pPr>
              <w:pStyle w:val="182"/>
              <w:rPr>
                <w:rFonts w:hint="eastAsia"/>
                <w:color w:val="auto"/>
                <w:lang w:val="en-US" w:eastAsia="zh-CN"/>
              </w:rPr>
            </w:pPr>
            <w:r>
              <w:rPr>
                <w:rFonts w:hint="eastAsia"/>
                <w:color w:val="auto"/>
                <w:lang w:val="en-US" w:eastAsia="zh-CN"/>
              </w:rPr>
              <w:t>0.01</w:t>
            </w:r>
          </w:p>
        </w:tc>
        <w:tc>
          <w:tcPr>
            <w:tcW w:w="1035" w:type="pct"/>
            <w:shd w:val="clear" w:color="auto" w:fill="auto"/>
            <w:noWrap w:val="0"/>
            <w:vAlign w:val="center"/>
          </w:tcPr>
          <w:p w14:paraId="169E92C4">
            <w:pPr>
              <w:pStyle w:val="182"/>
              <w:rPr>
                <w:rFonts w:hint="eastAsia"/>
                <w:color w:val="auto"/>
                <w:lang w:val="en-US" w:eastAsia="zh-CN"/>
              </w:rPr>
            </w:pPr>
            <w:r>
              <w:rPr>
                <w:rFonts w:hint="eastAsia"/>
                <w:color w:val="auto"/>
                <w:lang w:val="en-US" w:eastAsia="zh-CN"/>
              </w:rPr>
              <w:t>阴离子表面活性剂</w:t>
            </w:r>
          </w:p>
        </w:tc>
        <w:tc>
          <w:tcPr>
            <w:tcW w:w="650" w:type="pct"/>
            <w:tcBorders>
              <w:right w:val="single" w:color="000000" w:sz="6" w:space="0"/>
            </w:tcBorders>
            <w:shd w:val="clear" w:color="auto" w:fill="auto"/>
            <w:noWrap w:val="0"/>
            <w:vAlign w:val="center"/>
          </w:tcPr>
          <w:p w14:paraId="023D7883">
            <w:pPr>
              <w:pStyle w:val="182"/>
              <w:rPr>
                <w:rFonts w:hint="eastAsia"/>
                <w:color w:val="auto"/>
                <w:lang w:val="en-US" w:eastAsia="zh-CN"/>
              </w:rPr>
            </w:pPr>
            <w:r>
              <w:rPr>
                <w:rFonts w:hint="eastAsia"/>
                <w:color w:val="auto"/>
                <w:lang w:val="en-US" w:eastAsia="zh-CN"/>
              </w:rPr>
              <w:t>0.3</w:t>
            </w:r>
          </w:p>
        </w:tc>
      </w:tr>
      <w:tr w14:paraId="3B5BD1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956" w:type="pct"/>
            <w:tcBorders>
              <w:left w:val="single" w:color="000000" w:sz="6" w:space="0"/>
            </w:tcBorders>
            <w:shd w:val="clear" w:color="auto" w:fill="auto"/>
            <w:noWrap w:val="0"/>
            <w:vAlign w:val="center"/>
          </w:tcPr>
          <w:p w14:paraId="2DE0B526">
            <w:pPr>
              <w:pStyle w:val="182"/>
              <w:rPr>
                <w:rFonts w:hint="eastAsia"/>
                <w:color w:val="auto"/>
                <w:lang w:val="en-US" w:eastAsia="zh-CN"/>
              </w:rPr>
            </w:pPr>
            <w:r>
              <w:rPr>
                <w:rFonts w:hint="eastAsia"/>
                <w:color w:val="auto"/>
                <w:lang w:val="en-US" w:eastAsia="zh-CN"/>
              </w:rPr>
              <w:t>Mg</w:t>
            </w:r>
            <w:r>
              <w:rPr>
                <w:rFonts w:hint="eastAsia"/>
                <w:color w:val="auto"/>
                <w:vertAlign w:val="superscript"/>
                <w:lang w:val="en-US" w:eastAsia="zh-CN"/>
              </w:rPr>
              <w:t>+</w:t>
            </w:r>
          </w:p>
        </w:tc>
        <w:tc>
          <w:tcPr>
            <w:tcW w:w="660" w:type="pct"/>
            <w:shd w:val="clear" w:color="auto" w:fill="auto"/>
            <w:noWrap w:val="0"/>
            <w:vAlign w:val="center"/>
          </w:tcPr>
          <w:p w14:paraId="57CE8575">
            <w:pPr>
              <w:pStyle w:val="182"/>
              <w:rPr>
                <w:rFonts w:hint="eastAsia"/>
                <w:color w:val="auto"/>
                <w:lang w:val="en-US" w:eastAsia="zh-CN"/>
              </w:rPr>
            </w:pPr>
            <w:r>
              <w:rPr>
                <w:rFonts w:hint="eastAsia"/>
                <w:color w:val="auto"/>
                <w:lang w:val="en-US" w:eastAsia="zh-CN"/>
              </w:rPr>
              <w:t>/</w:t>
            </w:r>
          </w:p>
        </w:tc>
        <w:tc>
          <w:tcPr>
            <w:tcW w:w="817" w:type="pct"/>
            <w:shd w:val="clear" w:color="auto" w:fill="auto"/>
            <w:noWrap w:val="0"/>
            <w:vAlign w:val="center"/>
          </w:tcPr>
          <w:p w14:paraId="3A110148">
            <w:pPr>
              <w:pStyle w:val="182"/>
              <w:rPr>
                <w:rFonts w:hint="eastAsia"/>
                <w:color w:val="auto"/>
                <w:lang w:val="en-US" w:eastAsia="zh-CN"/>
              </w:rPr>
            </w:pPr>
            <w:r>
              <w:rPr>
                <w:rFonts w:hint="eastAsia"/>
                <w:color w:val="auto"/>
                <w:lang w:val="en-US" w:eastAsia="zh-CN"/>
              </w:rPr>
              <w:t>汞</w:t>
            </w:r>
          </w:p>
        </w:tc>
        <w:tc>
          <w:tcPr>
            <w:tcW w:w="882" w:type="pct"/>
            <w:shd w:val="clear" w:color="auto" w:fill="auto"/>
            <w:noWrap w:val="0"/>
            <w:vAlign w:val="center"/>
          </w:tcPr>
          <w:p w14:paraId="2E6A6B0E">
            <w:pPr>
              <w:pStyle w:val="182"/>
              <w:rPr>
                <w:rFonts w:hint="eastAsia"/>
                <w:color w:val="auto"/>
                <w:lang w:val="en-US" w:eastAsia="zh-CN"/>
              </w:rPr>
            </w:pPr>
            <w:r>
              <w:rPr>
                <w:rFonts w:hint="eastAsia"/>
                <w:color w:val="auto"/>
                <w:lang w:val="en-US" w:eastAsia="zh-CN"/>
              </w:rPr>
              <w:t>0.001</w:t>
            </w:r>
          </w:p>
        </w:tc>
        <w:tc>
          <w:tcPr>
            <w:tcW w:w="1035" w:type="pct"/>
            <w:shd w:val="clear" w:color="auto" w:fill="auto"/>
            <w:noWrap w:val="0"/>
            <w:vAlign w:val="center"/>
          </w:tcPr>
          <w:p w14:paraId="5CF22A0D">
            <w:pPr>
              <w:pStyle w:val="182"/>
              <w:rPr>
                <w:rFonts w:hint="eastAsia"/>
                <w:color w:val="auto"/>
                <w:lang w:val="en-US" w:eastAsia="zh-CN"/>
              </w:rPr>
            </w:pPr>
            <w:r>
              <w:rPr>
                <w:rFonts w:hint="eastAsia"/>
                <w:color w:val="auto"/>
                <w:lang w:val="en-US" w:eastAsia="zh-CN"/>
              </w:rPr>
              <w:t>镉</w:t>
            </w:r>
          </w:p>
        </w:tc>
        <w:tc>
          <w:tcPr>
            <w:tcW w:w="650" w:type="pct"/>
            <w:tcBorders>
              <w:right w:val="single" w:color="000000" w:sz="6" w:space="0"/>
            </w:tcBorders>
            <w:shd w:val="clear" w:color="auto" w:fill="auto"/>
            <w:noWrap w:val="0"/>
            <w:vAlign w:val="center"/>
          </w:tcPr>
          <w:p w14:paraId="7F573915">
            <w:pPr>
              <w:pStyle w:val="182"/>
              <w:rPr>
                <w:rFonts w:hint="eastAsia"/>
                <w:color w:val="auto"/>
                <w:lang w:val="en-US" w:eastAsia="zh-CN"/>
              </w:rPr>
            </w:pPr>
            <w:r>
              <w:rPr>
                <w:rFonts w:hint="eastAsia"/>
                <w:color w:val="auto"/>
                <w:lang w:val="en-US" w:eastAsia="zh-CN"/>
              </w:rPr>
              <w:t>0.005</w:t>
            </w:r>
          </w:p>
        </w:tc>
      </w:tr>
      <w:tr w14:paraId="334973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956" w:type="pct"/>
            <w:tcBorders>
              <w:left w:val="single" w:color="000000" w:sz="6" w:space="0"/>
            </w:tcBorders>
            <w:shd w:val="clear" w:color="auto" w:fill="auto"/>
            <w:noWrap w:val="0"/>
            <w:vAlign w:val="center"/>
          </w:tcPr>
          <w:p w14:paraId="16794278">
            <w:pPr>
              <w:pStyle w:val="182"/>
              <w:rPr>
                <w:rFonts w:hint="eastAsia"/>
                <w:color w:val="auto"/>
                <w:lang w:val="en-US" w:eastAsia="zh-CN"/>
              </w:rPr>
            </w:pPr>
            <w:r>
              <w:rPr>
                <w:rFonts w:hint="eastAsia"/>
                <w:color w:val="auto"/>
                <w:lang w:val="en-US" w:eastAsia="zh-CN"/>
              </w:rPr>
              <w:t>HCO</w:t>
            </w:r>
            <w:r>
              <w:rPr>
                <w:rFonts w:hint="eastAsia"/>
                <w:color w:val="auto"/>
                <w:vertAlign w:val="subscript"/>
                <w:lang w:val="en-US" w:eastAsia="zh-CN"/>
              </w:rPr>
              <w:t>3</w:t>
            </w:r>
            <w:r>
              <w:rPr>
                <w:rFonts w:hint="eastAsia"/>
                <w:color w:val="auto"/>
                <w:vertAlign w:val="superscript"/>
                <w:lang w:val="en-US" w:eastAsia="zh-CN"/>
              </w:rPr>
              <w:t>2-</w:t>
            </w:r>
          </w:p>
        </w:tc>
        <w:tc>
          <w:tcPr>
            <w:tcW w:w="660" w:type="pct"/>
            <w:shd w:val="clear" w:color="auto" w:fill="auto"/>
            <w:noWrap w:val="0"/>
            <w:vAlign w:val="center"/>
          </w:tcPr>
          <w:p w14:paraId="3A0147CC">
            <w:pPr>
              <w:pStyle w:val="182"/>
              <w:rPr>
                <w:rFonts w:hint="eastAsia"/>
                <w:color w:val="auto"/>
                <w:lang w:val="en-US" w:eastAsia="zh-CN"/>
              </w:rPr>
            </w:pPr>
            <w:r>
              <w:rPr>
                <w:rFonts w:hint="eastAsia"/>
                <w:color w:val="auto"/>
                <w:lang w:val="en-US" w:eastAsia="zh-CN"/>
              </w:rPr>
              <w:t>/</w:t>
            </w:r>
          </w:p>
        </w:tc>
        <w:tc>
          <w:tcPr>
            <w:tcW w:w="817" w:type="pct"/>
            <w:shd w:val="clear" w:color="auto" w:fill="auto"/>
            <w:noWrap w:val="0"/>
            <w:vAlign w:val="center"/>
          </w:tcPr>
          <w:p w14:paraId="5FEB9F47">
            <w:pPr>
              <w:pStyle w:val="182"/>
              <w:rPr>
                <w:rFonts w:hint="eastAsia"/>
                <w:color w:val="auto"/>
                <w:lang w:val="en-US" w:eastAsia="zh-CN"/>
              </w:rPr>
            </w:pPr>
            <w:r>
              <w:rPr>
                <w:rFonts w:hint="eastAsia"/>
                <w:color w:val="auto"/>
                <w:lang w:val="en-US" w:eastAsia="zh-CN"/>
              </w:rPr>
              <w:t>菌落总数（CFU/ml）</w:t>
            </w:r>
          </w:p>
        </w:tc>
        <w:tc>
          <w:tcPr>
            <w:tcW w:w="882" w:type="pct"/>
            <w:shd w:val="clear" w:color="auto" w:fill="auto"/>
            <w:noWrap w:val="0"/>
            <w:vAlign w:val="center"/>
          </w:tcPr>
          <w:p w14:paraId="76B4E1D8">
            <w:pPr>
              <w:pStyle w:val="182"/>
              <w:rPr>
                <w:rFonts w:hint="eastAsia"/>
                <w:color w:val="auto"/>
                <w:lang w:val="en-US" w:eastAsia="zh-CN"/>
              </w:rPr>
            </w:pPr>
            <w:r>
              <w:rPr>
                <w:rFonts w:hint="eastAsia"/>
                <w:color w:val="auto"/>
                <w:lang w:val="en-US" w:eastAsia="zh-CN"/>
              </w:rPr>
              <w:t>100</w:t>
            </w:r>
          </w:p>
        </w:tc>
        <w:tc>
          <w:tcPr>
            <w:tcW w:w="1035" w:type="pct"/>
            <w:shd w:val="clear" w:color="auto" w:fill="auto"/>
            <w:noWrap w:val="0"/>
            <w:vAlign w:val="center"/>
          </w:tcPr>
          <w:p w14:paraId="1EEE9257">
            <w:pPr>
              <w:pStyle w:val="182"/>
              <w:rPr>
                <w:rFonts w:hint="eastAsia"/>
                <w:color w:val="auto"/>
                <w:lang w:val="en-US" w:eastAsia="zh-CN"/>
              </w:rPr>
            </w:pPr>
            <w:r>
              <w:rPr>
                <w:rFonts w:hint="eastAsia"/>
                <w:color w:val="auto"/>
                <w:lang w:val="en-US" w:eastAsia="zh-CN"/>
              </w:rPr>
              <w:t>总大肠菌群   （MPN/100ml）</w:t>
            </w:r>
          </w:p>
        </w:tc>
        <w:tc>
          <w:tcPr>
            <w:tcW w:w="650" w:type="pct"/>
            <w:tcBorders>
              <w:right w:val="single" w:color="000000" w:sz="6" w:space="0"/>
            </w:tcBorders>
            <w:shd w:val="clear" w:color="auto" w:fill="auto"/>
            <w:noWrap w:val="0"/>
            <w:vAlign w:val="center"/>
          </w:tcPr>
          <w:p w14:paraId="250AF6E9">
            <w:pPr>
              <w:pStyle w:val="182"/>
              <w:rPr>
                <w:rFonts w:hint="eastAsia"/>
                <w:color w:val="auto"/>
                <w:lang w:val="en-US" w:eastAsia="zh-CN"/>
              </w:rPr>
            </w:pPr>
            <w:r>
              <w:rPr>
                <w:rFonts w:hint="eastAsia"/>
                <w:color w:val="auto"/>
                <w:lang w:val="en-US" w:eastAsia="zh-CN"/>
              </w:rPr>
              <w:t>3</w:t>
            </w:r>
          </w:p>
        </w:tc>
      </w:tr>
      <w:tr w14:paraId="46CDDB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956" w:type="pct"/>
            <w:tcBorders>
              <w:left w:val="single" w:color="000000" w:sz="6" w:space="0"/>
            </w:tcBorders>
            <w:shd w:val="clear" w:color="auto" w:fill="auto"/>
            <w:noWrap w:val="0"/>
            <w:vAlign w:val="center"/>
          </w:tcPr>
          <w:p w14:paraId="17634349">
            <w:pPr>
              <w:pStyle w:val="182"/>
              <w:rPr>
                <w:rFonts w:hint="eastAsia"/>
                <w:color w:val="auto"/>
                <w:lang w:val="en-US" w:eastAsia="zh-CN"/>
              </w:rPr>
            </w:pPr>
            <w:r>
              <w:rPr>
                <w:rFonts w:hint="eastAsia"/>
                <w:color w:val="auto"/>
                <w:lang w:val="en-US" w:eastAsia="zh-CN"/>
              </w:rPr>
              <w:t>CO</w:t>
            </w:r>
            <w:r>
              <w:rPr>
                <w:rFonts w:hint="eastAsia"/>
                <w:color w:val="auto"/>
                <w:vertAlign w:val="subscript"/>
                <w:lang w:val="en-US" w:eastAsia="zh-CN"/>
              </w:rPr>
              <w:t>3</w:t>
            </w:r>
            <w:r>
              <w:rPr>
                <w:rFonts w:hint="eastAsia"/>
                <w:color w:val="auto"/>
                <w:vertAlign w:val="superscript"/>
                <w:lang w:val="en-US" w:eastAsia="zh-CN"/>
              </w:rPr>
              <w:t>2-</w:t>
            </w:r>
          </w:p>
        </w:tc>
        <w:tc>
          <w:tcPr>
            <w:tcW w:w="660" w:type="pct"/>
            <w:shd w:val="clear" w:color="auto" w:fill="auto"/>
            <w:noWrap w:val="0"/>
            <w:vAlign w:val="center"/>
          </w:tcPr>
          <w:p w14:paraId="4DFAF4F3">
            <w:pPr>
              <w:pStyle w:val="182"/>
              <w:rPr>
                <w:rFonts w:hint="eastAsia"/>
                <w:color w:val="auto"/>
                <w:lang w:val="en-US" w:eastAsia="zh-CN"/>
              </w:rPr>
            </w:pPr>
            <w:r>
              <w:rPr>
                <w:rFonts w:hint="eastAsia"/>
                <w:color w:val="auto"/>
                <w:lang w:val="en-US" w:eastAsia="zh-CN"/>
              </w:rPr>
              <w:t>/</w:t>
            </w:r>
          </w:p>
        </w:tc>
        <w:tc>
          <w:tcPr>
            <w:tcW w:w="817" w:type="pct"/>
            <w:shd w:val="clear" w:color="auto" w:fill="auto"/>
            <w:noWrap w:val="0"/>
            <w:vAlign w:val="center"/>
          </w:tcPr>
          <w:p w14:paraId="3DBED34F">
            <w:pPr>
              <w:pStyle w:val="182"/>
              <w:rPr>
                <w:rFonts w:hint="eastAsia"/>
                <w:color w:val="auto"/>
                <w:lang w:val="en-US" w:eastAsia="zh-CN"/>
              </w:rPr>
            </w:pPr>
            <w:r>
              <w:rPr>
                <w:rFonts w:hint="eastAsia"/>
                <w:color w:val="auto"/>
                <w:lang w:val="en-US" w:eastAsia="zh-CN"/>
              </w:rPr>
              <w:t>苯</w:t>
            </w:r>
          </w:p>
        </w:tc>
        <w:tc>
          <w:tcPr>
            <w:tcW w:w="882" w:type="pct"/>
            <w:shd w:val="clear" w:color="auto" w:fill="auto"/>
            <w:noWrap w:val="0"/>
            <w:vAlign w:val="center"/>
          </w:tcPr>
          <w:p w14:paraId="73C8C3E9">
            <w:pPr>
              <w:pStyle w:val="182"/>
              <w:rPr>
                <w:rFonts w:hint="eastAsia"/>
                <w:color w:val="auto"/>
                <w:lang w:val="en-US" w:eastAsia="zh-CN"/>
              </w:rPr>
            </w:pPr>
            <w:r>
              <w:rPr>
                <w:rFonts w:hint="eastAsia"/>
                <w:color w:val="auto"/>
                <w:lang w:val="en-US" w:eastAsia="zh-CN"/>
              </w:rPr>
              <w:t>0.010</w:t>
            </w:r>
          </w:p>
        </w:tc>
        <w:tc>
          <w:tcPr>
            <w:tcW w:w="1035" w:type="pct"/>
            <w:shd w:val="clear" w:color="auto" w:fill="auto"/>
            <w:noWrap w:val="0"/>
            <w:vAlign w:val="center"/>
          </w:tcPr>
          <w:p w14:paraId="67971E17">
            <w:pPr>
              <w:pStyle w:val="182"/>
              <w:rPr>
                <w:rFonts w:hint="eastAsia"/>
                <w:color w:val="auto"/>
                <w:lang w:val="en-US" w:eastAsia="zh-CN"/>
              </w:rPr>
            </w:pPr>
            <w:r>
              <w:rPr>
                <w:rFonts w:hint="eastAsia"/>
                <w:color w:val="auto"/>
                <w:lang w:val="en-US" w:eastAsia="zh-CN"/>
              </w:rPr>
              <w:t>甲苯</w:t>
            </w:r>
          </w:p>
        </w:tc>
        <w:tc>
          <w:tcPr>
            <w:tcW w:w="650" w:type="pct"/>
            <w:tcBorders>
              <w:right w:val="single" w:color="000000" w:sz="6" w:space="0"/>
            </w:tcBorders>
            <w:shd w:val="clear" w:color="auto" w:fill="auto"/>
            <w:noWrap w:val="0"/>
            <w:vAlign w:val="center"/>
          </w:tcPr>
          <w:p w14:paraId="5E35F244">
            <w:pPr>
              <w:pStyle w:val="182"/>
              <w:rPr>
                <w:rFonts w:hint="eastAsia"/>
                <w:color w:val="auto"/>
                <w:lang w:val="en-US" w:eastAsia="zh-CN"/>
              </w:rPr>
            </w:pPr>
            <w:r>
              <w:rPr>
                <w:rFonts w:hint="eastAsia"/>
                <w:color w:val="auto"/>
                <w:lang w:val="en-US" w:eastAsia="zh-CN"/>
              </w:rPr>
              <w:t>0.7</w:t>
            </w:r>
          </w:p>
        </w:tc>
      </w:tr>
      <w:tr w14:paraId="190CAB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956" w:type="pct"/>
            <w:tcBorders>
              <w:left w:val="single" w:color="000000" w:sz="6" w:space="0"/>
              <w:bottom w:val="single" w:color="000000" w:sz="6" w:space="0"/>
            </w:tcBorders>
            <w:shd w:val="clear" w:color="auto" w:fill="auto"/>
            <w:noWrap w:val="0"/>
            <w:vAlign w:val="center"/>
          </w:tcPr>
          <w:p w14:paraId="3BE1C9C8">
            <w:pPr>
              <w:pStyle w:val="182"/>
              <w:rPr>
                <w:rFonts w:hint="eastAsia"/>
                <w:color w:val="auto"/>
                <w:lang w:val="en-US" w:eastAsia="zh-CN"/>
              </w:rPr>
            </w:pPr>
            <w:r>
              <w:rPr>
                <w:rFonts w:hint="eastAsia"/>
                <w:color w:val="auto"/>
                <w:lang w:val="en-US" w:eastAsia="zh-CN"/>
              </w:rPr>
              <w:t>二甲苯</w:t>
            </w:r>
          </w:p>
        </w:tc>
        <w:tc>
          <w:tcPr>
            <w:tcW w:w="660" w:type="pct"/>
            <w:tcBorders>
              <w:bottom w:val="single" w:color="000000" w:sz="6" w:space="0"/>
            </w:tcBorders>
            <w:shd w:val="clear" w:color="auto" w:fill="auto"/>
            <w:noWrap w:val="0"/>
            <w:vAlign w:val="center"/>
          </w:tcPr>
          <w:p w14:paraId="5BC808E9">
            <w:pPr>
              <w:pStyle w:val="182"/>
              <w:rPr>
                <w:rFonts w:hint="eastAsia"/>
                <w:color w:val="auto"/>
                <w:lang w:val="en-US" w:eastAsia="zh-CN"/>
              </w:rPr>
            </w:pPr>
            <w:r>
              <w:rPr>
                <w:rFonts w:hint="eastAsia"/>
                <w:color w:val="auto"/>
                <w:lang w:val="en-US" w:eastAsia="zh-CN"/>
              </w:rPr>
              <w:t>0.5</w:t>
            </w:r>
          </w:p>
        </w:tc>
        <w:tc>
          <w:tcPr>
            <w:tcW w:w="817" w:type="pct"/>
            <w:tcBorders>
              <w:bottom w:val="single" w:color="000000" w:sz="6" w:space="0"/>
            </w:tcBorders>
            <w:shd w:val="clear" w:color="auto" w:fill="auto"/>
            <w:noWrap w:val="0"/>
            <w:vAlign w:val="center"/>
          </w:tcPr>
          <w:p w14:paraId="57EA2AC6">
            <w:pPr>
              <w:pStyle w:val="182"/>
              <w:rPr>
                <w:rFonts w:hint="eastAsia"/>
                <w:color w:val="auto"/>
                <w:lang w:val="en-US" w:eastAsia="zh-CN"/>
              </w:rPr>
            </w:pPr>
            <w:r>
              <w:rPr>
                <w:rFonts w:hint="eastAsia"/>
                <w:color w:val="auto"/>
                <w:lang w:val="en-US" w:eastAsia="zh-CN"/>
              </w:rPr>
              <w:t>锑</w:t>
            </w:r>
          </w:p>
        </w:tc>
        <w:tc>
          <w:tcPr>
            <w:tcW w:w="882" w:type="pct"/>
            <w:tcBorders>
              <w:bottom w:val="single" w:color="000000" w:sz="6" w:space="0"/>
            </w:tcBorders>
            <w:shd w:val="clear" w:color="auto" w:fill="auto"/>
            <w:noWrap w:val="0"/>
            <w:vAlign w:val="center"/>
          </w:tcPr>
          <w:p w14:paraId="1F7B3AFE">
            <w:pPr>
              <w:pStyle w:val="182"/>
              <w:rPr>
                <w:rFonts w:hint="eastAsia"/>
                <w:color w:val="auto"/>
                <w:lang w:val="en-US" w:eastAsia="zh-CN"/>
              </w:rPr>
            </w:pPr>
            <w:r>
              <w:rPr>
                <w:rFonts w:hint="eastAsia"/>
                <w:color w:val="auto"/>
                <w:lang w:val="en-US" w:eastAsia="zh-CN"/>
              </w:rPr>
              <w:t>0.005</w:t>
            </w:r>
          </w:p>
        </w:tc>
        <w:tc>
          <w:tcPr>
            <w:tcW w:w="1035" w:type="pct"/>
            <w:tcBorders>
              <w:bottom w:val="single" w:color="000000" w:sz="6" w:space="0"/>
            </w:tcBorders>
            <w:shd w:val="clear" w:color="auto" w:fill="auto"/>
            <w:noWrap w:val="0"/>
            <w:vAlign w:val="center"/>
          </w:tcPr>
          <w:p w14:paraId="2F4EF1C0">
            <w:pPr>
              <w:pStyle w:val="182"/>
              <w:rPr>
                <w:rFonts w:hint="eastAsia"/>
                <w:color w:val="auto"/>
                <w:lang w:val="en-US" w:eastAsia="zh-CN"/>
              </w:rPr>
            </w:pPr>
            <w:r>
              <w:rPr>
                <w:rFonts w:hint="eastAsia"/>
                <w:color w:val="auto"/>
                <w:lang w:val="en-US" w:eastAsia="zh-CN"/>
              </w:rPr>
              <w:t>/</w:t>
            </w:r>
          </w:p>
        </w:tc>
        <w:tc>
          <w:tcPr>
            <w:tcW w:w="650" w:type="pct"/>
            <w:tcBorders>
              <w:bottom w:val="single" w:color="000000" w:sz="6" w:space="0"/>
              <w:right w:val="single" w:color="000000" w:sz="6" w:space="0"/>
            </w:tcBorders>
            <w:shd w:val="clear" w:color="auto" w:fill="auto"/>
            <w:noWrap w:val="0"/>
            <w:vAlign w:val="center"/>
          </w:tcPr>
          <w:p w14:paraId="3751A04D">
            <w:pPr>
              <w:pStyle w:val="182"/>
              <w:rPr>
                <w:rFonts w:hint="eastAsia"/>
                <w:color w:val="auto"/>
                <w:lang w:val="en-US" w:eastAsia="zh-CN"/>
              </w:rPr>
            </w:pPr>
            <w:r>
              <w:rPr>
                <w:rFonts w:hint="eastAsia"/>
                <w:color w:val="auto"/>
                <w:lang w:val="en-US" w:eastAsia="zh-CN"/>
              </w:rPr>
              <w:t>/</w:t>
            </w:r>
          </w:p>
        </w:tc>
      </w:tr>
    </w:tbl>
    <w:p w14:paraId="26E10691">
      <w:pPr>
        <w:spacing w:line="500" w:lineRule="exact"/>
        <w:ind w:firstLine="480" w:firstLineChars="200"/>
        <w:rPr>
          <w:rFonts w:hint="eastAsia"/>
          <w:bCs/>
          <w:color w:val="auto"/>
          <w:sz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p>
    <w:p w14:paraId="2BAF3641">
      <w:pPr>
        <w:spacing w:line="500" w:lineRule="exact"/>
        <w:ind w:firstLine="480" w:firstLineChars="200"/>
        <w:rPr>
          <w:bCs/>
          <w:color w:val="auto"/>
          <w:sz w:val="24"/>
        </w:rPr>
      </w:pPr>
      <w:r>
        <w:rPr>
          <w:rFonts w:hint="eastAsia"/>
          <w:bCs/>
          <w:color w:val="auto"/>
          <w:sz w:val="24"/>
        </w:rPr>
        <w:t>（</w:t>
      </w:r>
      <w:r>
        <w:rPr>
          <w:bCs/>
          <w:color w:val="auto"/>
          <w:sz w:val="24"/>
        </w:rPr>
        <w:t>4</w:t>
      </w:r>
      <w:r>
        <w:rPr>
          <w:rFonts w:hint="eastAsia"/>
          <w:bCs/>
          <w:color w:val="auto"/>
          <w:sz w:val="24"/>
        </w:rPr>
        <w:t>）评价结果分析</w:t>
      </w:r>
    </w:p>
    <w:p w14:paraId="73AAD12E">
      <w:pPr>
        <w:adjustRightInd w:val="0"/>
        <w:snapToGrid w:val="0"/>
        <w:spacing w:line="520" w:lineRule="exact"/>
        <w:ind w:firstLine="480" w:firstLineChars="200"/>
        <w:textAlignment w:val="baseline"/>
        <w:rPr>
          <w:color w:val="auto"/>
          <w:kern w:val="0"/>
          <w:sz w:val="24"/>
          <w:szCs w:val="20"/>
        </w:rPr>
      </w:pPr>
      <w:r>
        <w:rPr>
          <w:rFonts w:hint="eastAsia"/>
          <w:color w:val="auto"/>
          <w:kern w:val="0"/>
          <w:sz w:val="24"/>
          <w:szCs w:val="20"/>
        </w:rPr>
        <w:t>本次评价地下水现状统计结果详见</w:t>
      </w:r>
      <w:r>
        <w:rPr>
          <w:rFonts w:hint="eastAsia"/>
          <w:color w:val="auto"/>
          <w:kern w:val="0"/>
          <w:sz w:val="24"/>
          <w:szCs w:val="20"/>
          <w:lang w:val="en-US" w:eastAsia="zh-CN"/>
        </w:rPr>
        <w:t>下表</w:t>
      </w:r>
      <w:r>
        <w:rPr>
          <w:rFonts w:hint="eastAsia"/>
          <w:color w:val="auto"/>
          <w:kern w:val="0"/>
          <w:sz w:val="24"/>
          <w:szCs w:val="20"/>
        </w:rPr>
        <w:t>。</w:t>
      </w:r>
    </w:p>
    <w:p w14:paraId="489C7568">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13</w:t>
      </w:r>
      <w:r>
        <w:fldChar w:fldCharType="end"/>
      </w:r>
      <w:r>
        <w:rPr>
          <w:rFonts w:hint="eastAsia"/>
        </w:rPr>
        <w:t xml:space="preserve"> </w:t>
      </w:r>
      <w:r>
        <w:t>地下水现状结果统计</w:t>
      </w:r>
      <w:r>
        <w:rPr>
          <w:rFonts w:hint="eastAsia"/>
        </w:rPr>
        <w:t xml:space="preserve">表1           </w:t>
      </w:r>
      <w:r>
        <w:t>单位：mg/L</w:t>
      </w:r>
    </w:p>
    <w:tbl>
      <w:tblPr>
        <w:tblStyle w:val="31"/>
        <w:tblW w:w="13945" w:type="dxa"/>
        <w:tblInd w:w="2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90"/>
        <w:gridCol w:w="1338"/>
        <w:gridCol w:w="806"/>
        <w:gridCol w:w="806"/>
        <w:gridCol w:w="806"/>
        <w:gridCol w:w="808"/>
        <w:gridCol w:w="805"/>
        <w:gridCol w:w="806"/>
        <w:gridCol w:w="806"/>
        <w:gridCol w:w="808"/>
        <w:gridCol w:w="805"/>
        <w:gridCol w:w="810"/>
        <w:gridCol w:w="804"/>
        <w:gridCol w:w="810"/>
        <w:gridCol w:w="805"/>
        <w:gridCol w:w="832"/>
      </w:tblGrid>
      <w:tr w14:paraId="6E4FEE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vMerge w:val="restart"/>
            <w:tcBorders>
              <w:top w:val="single" w:color="000000" w:sz="6" w:space="0"/>
              <w:left w:val="single" w:color="000000" w:sz="6" w:space="0"/>
              <w:bottom w:val="nil"/>
            </w:tcBorders>
            <w:shd w:val="clear" w:color="auto" w:fill="auto"/>
            <w:noWrap w:val="0"/>
            <w:vAlign w:val="center"/>
          </w:tcPr>
          <w:p w14:paraId="05EEEE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1E37D44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检测项目</w:t>
            </w:r>
          </w:p>
        </w:tc>
        <w:tc>
          <w:tcPr>
            <w:tcW w:w="1338" w:type="dxa"/>
            <w:vMerge w:val="restart"/>
            <w:tcBorders>
              <w:top w:val="single" w:color="000000" w:sz="6" w:space="0"/>
              <w:bottom w:val="nil"/>
            </w:tcBorders>
            <w:shd w:val="clear" w:color="auto" w:fill="auto"/>
            <w:noWrap w:val="0"/>
            <w:vAlign w:val="center"/>
          </w:tcPr>
          <w:p w14:paraId="19AFE97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2F09886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单位</w:t>
            </w:r>
          </w:p>
        </w:tc>
        <w:tc>
          <w:tcPr>
            <w:tcW w:w="11317" w:type="dxa"/>
            <w:gridSpan w:val="14"/>
            <w:tcBorders>
              <w:top w:val="single" w:color="000000" w:sz="6" w:space="0"/>
              <w:right w:val="single" w:color="000000" w:sz="6" w:space="0"/>
            </w:tcBorders>
            <w:shd w:val="clear" w:color="auto" w:fill="auto"/>
            <w:noWrap w:val="0"/>
            <w:vAlign w:val="center"/>
          </w:tcPr>
          <w:p w14:paraId="36E1E3A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spacing w:val="-1"/>
              </w:rPr>
              <w:t xml:space="preserve">地下水检测结果 </w:t>
            </w:r>
            <w:r>
              <w:rPr>
                <w:rFonts w:eastAsia="Times New Roman"/>
                <w:b/>
                <w:bCs/>
                <w:spacing w:val="-1"/>
              </w:rPr>
              <w:t>(2023.05.16)</w:t>
            </w:r>
          </w:p>
        </w:tc>
      </w:tr>
      <w:tr w14:paraId="7CA13A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vMerge w:val="continue"/>
            <w:tcBorders>
              <w:top w:val="nil"/>
              <w:left w:val="single" w:color="000000" w:sz="6" w:space="0"/>
              <w:bottom w:val="nil"/>
            </w:tcBorders>
            <w:shd w:val="clear" w:color="auto" w:fill="auto"/>
            <w:noWrap w:val="0"/>
            <w:vAlign w:val="center"/>
          </w:tcPr>
          <w:p w14:paraId="7267D86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338" w:type="dxa"/>
            <w:vMerge w:val="continue"/>
            <w:tcBorders>
              <w:top w:val="nil"/>
              <w:bottom w:val="nil"/>
            </w:tcBorders>
            <w:shd w:val="clear" w:color="auto" w:fill="auto"/>
            <w:noWrap w:val="0"/>
            <w:vAlign w:val="center"/>
          </w:tcPr>
          <w:p w14:paraId="38E62C8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612" w:type="dxa"/>
            <w:gridSpan w:val="2"/>
            <w:shd w:val="clear" w:color="auto" w:fill="auto"/>
            <w:noWrap w:val="0"/>
            <w:vAlign w:val="center"/>
          </w:tcPr>
          <w:p w14:paraId="65C6893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姚庄村</w:t>
            </w:r>
          </w:p>
        </w:tc>
        <w:tc>
          <w:tcPr>
            <w:tcW w:w="1614" w:type="dxa"/>
            <w:gridSpan w:val="2"/>
            <w:shd w:val="clear" w:color="auto" w:fill="auto"/>
            <w:noWrap w:val="0"/>
            <w:vAlign w:val="center"/>
          </w:tcPr>
          <w:p w14:paraId="4A46AE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夏庄村</w:t>
            </w:r>
          </w:p>
        </w:tc>
        <w:tc>
          <w:tcPr>
            <w:tcW w:w="1611" w:type="dxa"/>
            <w:gridSpan w:val="2"/>
            <w:shd w:val="clear" w:color="auto" w:fill="auto"/>
            <w:noWrap w:val="0"/>
            <w:vAlign w:val="center"/>
          </w:tcPr>
          <w:p w14:paraId="374A98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化纤厂厂区</w:t>
            </w:r>
          </w:p>
        </w:tc>
        <w:tc>
          <w:tcPr>
            <w:tcW w:w="1614" w:type="dxa"/>
            <w:gridSpan w:val="2"/>
            <w:shd w:val="clear" w:color="auto" w:fill="auto"/>
            <w:noWrap w:val="0"/>
            <w:vAlign w:val="center"/>
          </w:tcPr>
          <w:p w14:paraId="07BA21F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双鹭药业</w:t>
            </w:r>
          </w:p>
        </w:tc>
        <w:tc>
          <w:tcPr>
            <w:tcW w:w="1615" w:type="dxa"/>
            <w:gridSpan w:val="2"/>
            <w:shd w:val="clear" w:color="auto" w:fill="auto"/>
            <w:noWrap w:val="0"/>
            <w:vAlign w:val="center"/>
          </w:tcPr>
          <w:p w14:paraId="31A907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大杨庄村</w:t>
            </w:r>
          </w:p>
        </w:tc>
        <w:tc>
          <w:tcPr>
            <w:tcW w:w="1614" w:type="dxa"/>
            <w:gridSpan w:val="2"/>
            <w:shd w:val="clear" w:color="auto" w:fill="auto"/>
            <w:noWrap w:val="0"/>
            <w:vAlign w:val="center"/>
          </w:tcPr>
          <w:p w14:paraId="42E0DB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张河村</w:t>
            </w:r>
          </w:p>
        </w:tc>
        <w:tc>
          <w:tcPr>
            <w:tcW w:w="1637" w:type="dxa"/>
            <w:gridSpan w:val="2"/>
            <w:tcBorders>
              <w:right w:val="single" w:color="000000" w:sz="6" w:space="0"/>
            </w:tcBorders>
            <w:shd w:val="clear" w:color="auto" w:fill="auto"/>
            <w:noWrap w:val="0"/>
            <w:vAlign w:val="center"/>
          </w:tcPr>
          <w:p w14:paraId="78EB804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新联学院</w:t>
            </w:r>
          </w:p>
        </w:tc>
      </w:tr>
      <w:tr w14:paraId="1125AD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vMerge w:val="continue"/>
            <w:tcBorders>
              <w:top w:val="nil"/>
              <w:left w:val="single" w:color="000000" w:sz="6" w:space="0"/>
            </w:tcBorders>
            <w:shd w:val="clear" w:color="auto" w:fill="auto"/>
            <w:noWrap w:val="0"/>
            <w:vAlign w:val="center"/>
          </w:tcPr>
          <w:p w14:paraId="1FCE6F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338" w:type="dxa"/>
            <w:vMerge w:val="continue"/>
            <w:tcBorders>
              <w:top w:val="nil"/>
            </w:tcBorders>
            <w:shd w:val="clear" w:color="auto" w:fill="auto"/>
            <w:noWrap w:val="0"/>
            <w:vAlign w:val="center"/>
          </w:tcPr>
          <w:p w14:paraId="1EE44E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806" w:type="dxa"/>
            <w:shd w:val="clear" w:color="auto" w:fill="auto"/>
            <w:noWrap w:val="0"/>
            <w:vAlign w:val="center"/>
          </w:tcPr>
          <w:p w14:paraId="08D8EE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06" w:type="dxa"/>
            <w:shd w:val="clear" w:color="auto" w:fill="auto"/>
            <w:noWrap w:val="0"/>
            <w:vAlign w:val="center"/>
          </w:tcPr>
          <w:p w14:paraId="7C9D31C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6" w:type="dxa"/>
            <w:shd w:val="clear" w:color="auto" w:fill="auto"/>
            <w:noWrap w:val="0"/>
            <w:vAlign w:val="center"/>
          </w:tcPr>
          <w:p w14:paraId="0A6330D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08" w:type="dxa"/>
            <w:shd w:val="clear" w:color="auto" w:fill="auto"/>
            <w:noWrap w:val="0"/>
            <w:vAlign w:val="center"/>
          </w:tcPr>
          <w:p w14:paraId="56CEEC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5" w:type="dxa"/>
            <w:shd w:val="clear" w:color="auto" w:fill="auto"/>
            <w:noWrap w:val="0"/>
            <w:vAlign w:val="center"/>
          </w:tcPr>
          <w:p w14:paraId="2CB4727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06" w:type="dxa"/>
            <w:shd w:val="clear" w:color="auto" w:fill="auto"/>
            <w:noWrap w:val="0"/>
            <w:vAlign w:val="center"/>
          </w:tcPr>
          <w:p w14:paraId="2F0E4A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6" w:type="dxa"/>
            <w:shd w:val="clear" w:color="auto" w:fill="auto"/>
            <w:noWrap w:val="0"/>
            <w:vAlign w:val="center"/>
          </w:tcPr>
          <w:p w14:paraId="67FB0FB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08" w:type="dxa"/>
            <w:shd w:val="clear" w:color="auto" w:fill="auto"/>
            <w:noWrap w:val="0"/>
            <w:vAlign w:val="center"/>
          </w:tcPr>
          <w:p w14:paraId="4FE04CA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5" w:type="dxa"/>
            <w:shd w:val="clear" w:color="auto" w:fill="auto"/>
            <w:noWrap w:val="0"/>
            <w:vAlign w:val="center"/>
          </w:tcPr>
          <w:p w14:paraId="32C72B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10" w:type="dxa"/>
            <w:shd w:val="clear" w:color="auto" w:fill="auto"/>
            <w:noWrap w:val="0"/>
            <w:vAlign w:val="center"/>
          </w:tcPr>
          <w:p w14:paraId="72F6F7B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4" w:type="dxa"/>
            <w:shd w:val="clear" w:color="auto" w:fill="auto"/>
            <w:noWrap w:val="0"/>
            <w:vAlign w:val="center"/>
          </w:tcPr>
          <w:p w14:paraId="5A2494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10" w:type="dxa"/>
            <w:shd w:val="clear" w:color="auto" w:fill="auto"/>
            <w:noWrap w:val="0"/>
            <w:vAlign w:val="center"/>
          </w:tcPr>
          <w:p w14:paraId="182FFE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5" w:type="dxa"/>
            <w:shd w:val="clear" w:color="auto" w:fill="auto"/>
            <w:noWrap w:val="0"/>
            <w:vAlign w:val="center"/>
          </w:tcPr>
          <w:p w14:paraId="2A46D5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32" w:type="dxa"/>
            <w:tcBorders>
              <w:right w:val="single" w:color="000000" w:sz="6" w:space="0"/>
            </w:tcBorders>
            <w:shd w:val="clear" w:color="auto" w:fill="auto"/>
            <w:noWrap w:val="0"/>
            <w:vAlign w:val="center"/>
          </w:tcPr>
          <w:p w14:paraId="1670C7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r>
      <w:tr w14:paraId="1D90CF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535BEA2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sz w:val="13"/>
                <w:szCs w:val="13"/>
              </w:rPr>
            </w:pPr>
            <w:r>
              <w:rPr>
                <w:rFonts w:eastAsia="Times New Roman"/>
                <w:spacing w:val="1"/>
                <w:position w:val="-3"/>
              </w:rPr>
              <w:t>K</w:t>
            </w:r>
            <w:r>
              <w:rPr>
                <w:rFonts w:eastAsia="Times New Roman"/>
                <w:spacing w:val="1"/>
                <w:position w:val="3"/>
                <w:sz w:val="13"/>
                <w:szCs w:val="13"/>
              </w:rPr>
              <w:t>+</w:t>
            </w:r>
          </w:p>
        </w:tc>
        <w:tc>
          <w:tcPr>
            <w:tcW w:w="1338" w:type="dxa"/>
            <w:shd w:val="clear" w:color="auto" w:fill="auto"/>
            <w:noWrap w:val="0"/>
            <w:vAlign w:val="center"/>
          </w:tcPr>
          <w:p w14:paraId="22EEBA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1FBBCF1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18.2</w:t>
            </w:r>
          </w:p>
        </w:tc>
        <w:tc>
          <w:tcPr>
            <w:tcW w:w="806" w:type="dxa"/>
            <w:shd w:val="clear" w:color="auto" w:fill="auto"/>
            <w:noWrap w:val="0"/>
            <w:vAlign w:val="center"/>
          </w:tcPr>
          <w:p w14:paraId="2F68A4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17.5</w:t>
            </w:r>
          </w:p>
        </w:tc>
        <w:tc>
          <w:tcPr>
            <w:tcW w:w="806" w:type="dxa"/>
            <w:shd w:val="clear" w:color="auto" w:fill="auto"/>
            <w:noWrap w:val="0"/>
            <w:vAlign w:val="center"/>
          </w:tcPr>
          <w:p w14:paraId="6D468A7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18.7</w:t>
            </w:r>
          </w:p>
        </w:tc>
        <w:tc>
          <w:tcPr>
            <w:tcW w:w="808" w:type="dxa"/>
            <w:shd w:val="clear" w:color="auto" w:fill="auto"/>
            <w:noWrap w:val="0"/>
            <w:vAlign w:val="center"/>
          </w:tcPr>
          <w:p w14:paraId="3118648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19.2</w:t>
            </w:r>
          </w:p>
        </w:tc>
        <w:tc>
          <w:tcPr>
            <w:tcW w:w="805" w:type="dxa"/>
            <w:shd w:val="clear" w:color="auto" w:fill="auto"/>
            <w:noWrap w:val="0"/>
            <w:vAlign w:val="center"/>
          </w:tcPr>
          <w:p w14:paraId="790E722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20.8</w:t>
            </w:r>
          </w:p>
        </w:tc>
        <w:tc>
          <w:tcPr>
            <w:tcW w:w="806" w:type="dxa"/>
            <w:shd w:val="clear" w:color="auto" w:fill="auto"/>
            <w:noWrap w:val="0"/>
            <w:vAlign w:val="center"/>
          </w:tcPr>
          <w:p w14:paraId="735739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21.4</w:t>
            </w:r>
          </w:p>
        </w:tc>
        <w:tc>
          <w:tcPr>
            <w:tcW w:w="806" w:type="dxa"/>
            <w:shd w:val="clear" w:color="auto" w:fill="auto"/>
            <w:noWrap w:val="0"/>
            <w:vAlign w:val="center"/>
          </w:tcPr>
          <w:p w14:paraId="5CD7490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19.4</w:t>
            </w:r>
          </w:p>
        </w:tc>
        <w:tc>
          <w:tcPr>
            <w:tcW w:w="808" w:type="dxa"/>
            <w:shd w:val="clear" w:color="auto" w:fill="auto"/>
            <w:noWrap w:val="0"/>
            <w:vAlign w:val="center"/>
          </w:tcPr>
          <w:p w14:paraId="6918511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20.3</w:t>
            </w:r>
          </w:p>
        </w:tc>
        <w:tc>
          <w:tcPr>
            <w:tcW w:w="805" w:type="dxa"/>
            <w:shd w:val="clear" w:color="auto" w:fill="auto"/>
            <w:noWrap w:val="0"/>
            <w:vAlign w:val="center"/>
          </w:tcPr>
          <w:p w14:paraId="7F7E2C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6"/>
              </w:rPr>
              <w:t>16.6</w:t>
            </w:r>
          </w:p>
        </w:tc>
        <w:tc>
          <w:tcPr>
            <w:tcW w:w="810" w:type="dxa"/>
            <w:shd w:val="clear" w:color="auto" w:fill="auto"/>
            <w:noWrap w:val="0"/>
            <w:vAlign w:val="center"/>
          </w:tcPr>
          <w:p w14:paraId="0E5608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17.2</w:t>
            </w:r>
          </w:p>
        </w:tc>
        <w:tc>
          <w:tcPr>
            <w:tcW w:w="804" w:type="dxa"/>
            <w:shd w:val="clear" w:color="auto" w:fill="auto"/>
            <w:noWrap w:val="0"/>
            <w:vAlign w:val="center"/>
          </w:tcPr>
          <w:p w14:paraId="4B889C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15.8</w:t>
            </w:r>
          </w:p>
        </w:tc>
        <w:tc>
          <w:tcPr>
            <w:tcW w:w="810" w:type="dxa"/>
            <w:shd w:val="clear" w:color="auto" w:fill="auto"/>
            <w:noWrap w:val="0"/>
            <w:vAlign w:val="center"/>
          </w:tcPr>
          <w:p w14:paraId="68EF492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16.3</w:t>
            </w:r>
          </w:p>
        </w:tc>
        <w:tc>
          <w:tcPr>
            <w:tcW w:w="805" w:type="dxa"/>
            <w:shd w:val="clear" w:color="auto" w:fill="auto"/>
            <w:noWrap w:val="0"/>
            <w:vAlign w:val="center"/>
          </w:tcPr>
          <w:p w14:paraId="50B9F8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15.2</w:t>
            </w:r>
          </w:p>
        </w:tc>
        <w:tc>
          <w:tcPr>
            <w:tcW w:w="832" w:type="dxa"/>
            <w:tcBorders>
              <w:right w:val="single" w:color="000000" w:sz="6" w:space="0"/>
            </w:tcBorders>
            <w:shd w:val="clear" w:color="auto" w:fill="auto"/>
            <w:noWrap w:val="0"/>
            <w:vAlign w:val="center"/>
          </w:tcPr>
          <w:p w14:paraId="70E41D4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14.6</w:t>
            </w:r>
          </w:p>
        </w:tc>
      </w:tr>
      <w:tr w14:paraId="3BAE45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16E0033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sz w:val="13"/>
                <w:szCs w:val="13"/>
              </w:rPr>
            </w:pPr>
            <w:r>
              <w:rPr>
                <w:rFonts w:eastAsia="Times New Roman"/>
                <w:position w:val="-1"/>
              </w:rPr>
              <w:t>Na</w:t>
            </w:r>
            <w:r>
              <w:rPr>
                <w:rFonts w:eastAsia="Times New Roman"/>
                <w:spacing w:val="9"/>
                <w:position w:val="4"/>
                <w:sz w:val="13"/>
                <w:szCs w:val="13"/>
              </w:rPr>
              <w:t>+</w:t>
            </w:r>
          </w:p>
        </w:tc>
        <w:tc>
          <w:tcPr>
            <w:tcW w:w="1338" w:type="dxa"/>
            <w:shd w:val="clear" w:color="auto" w:fill="auto"/>
            <w:noWrap w:val="0"/>
            <w:vAlign w:val="center"/>
          </w:tcPr>
          <w:p w14:paraId="5EB562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60F1D86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21.3</w:t>
            </w:r>
          </w:p>
        </w:tc>
        <w:tc>
          <w:tcPr>
            <w:tcW w:w="806" w:type="dxa"/>
            <w:shd w:val="clear" w:color="auto" w:fill="auto"/>
            <w:noWrap w:val="0"/>
            <w:vAlign w:val="center"/>
          </w:tcPr>
          <w:p w14:paraId="4EBF33E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20.6</w:t>
            </w:r>
          </w:p>
        </w:tc>
        <w:tc>
          <w:tcPr>
            <w:tcW w:w="806" w:type="dxa"/>
            <w:shd w:val="clear" w:color="auto" w:fill="auto"/>
            <w:noWrap w:val="0"/>
            <w:vAlign w:val="center"/>
          </w:tcPr>
          <w:p w14:paraId="5C433A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21.9</w:t>
            </w:r>
          </w:p>
        </w:tc>
        <w:tc>
          <w:tcPr>
            <w:tcW w:w="808" w:type="dxa"/>
            <w:shd w:val="clear" w:color="auto" w:fill="auto"/>
            <w:noWrap w:val="0"/>
            <w:vAlign w:val="center"/>
          </w:tcPr>
          <w:p w14:paraId="703F85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23.7</w:t>
            </w:r>
          </w:p>
        </w:tc>
        <w:tc>
          <w:tcPr>
            <w:tcW w:w="805" w:type="dxa"/>
            <w:shd w:val="clear" w:color="auto" w:fill="auto"/>
            <w:noWrap w:val="0"/>
            <w:vAlign w:val="center"/>
          </w:tcPr>
          <w:p w14:paraId="671001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27.5</w:t>
            </w:r>
          </w:p>
        </w:tc>
        <w:tc>
          <w:tcPr>
            <w:tcW w:w="806" w:type="dxa"/>
            <w:shd w:val="clear" w:color="auto" w:fill="auto"/>
            <w:noWrap w:val="0"/>
            <w:vAlign w:val="center"/>
          </w:tcPr>
          <w:p w14:paraId="5B28EF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28.5</w:t>
            </w:r>
          </w:p>
        </w:tc>
        <w:tc>
          <w:tcPr>
            <w:tcW w:w="806" w:type="dxa"/>
            <w:shd w:val="clear" w:color="auto" w:fill="auto"/>
            <w:noWrap w:val="0"/>
            <w:vAlign w:val="center"/>
          </w:tcPr>
          <w:p w14:paraId="5DDA6EB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25.6</w:t>
            </w:r>
          </w:p>
        </w:tc>
        <w:tc>
          <w:tcPr>
            <w:tcW w:w="808" w:type="dxa"/>
            <w:shd w:val="clear" w:color="auto" w:fill="auto"/>
            <w:noWrap w:val="0"/>
            <w:vAlign w:val="center"/>
          </w:tcPr>
          <w:p w14:paraId="3646B13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24.9</w:t>
            </w:r>
          </w:p>
        </w:tc>
        <w:tc>
          <w:tcPr>
            <w:tcW w:w="805" w:type="dxa"/>
            <w:shd w:val="clear" w:color="auto" w:fill="auto"/>
            <w:noWrap w:val="0"/>
            <w:vAlign w:val="center"/>
          </w:tcPr>
          <w:p w14:paraId="73DB98E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20.5</w:t>
            </w:r>
          </w:p>
        </w:tc>
        <w:tc>
          <w:tcPr>
            <w:tcW w:w="810" w:type="dxa"/>
            <w:shd w:val="clear" w:color="auto" w:fill="auto"/>
            <w:noWrap w:val="0"/>
            <w:vAlign w:val="center"/>
          </w:tcPr>
          <w:p w14:paraId="480A90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21.4</w:t>
            </w:r>
          </w:p>
        </w:tc>
        <w:tc>
          <w:tcPr>
            <w:tcW w:w="804" w:type="dxa"/>
            <w:shd w:val="clear" w:color="auto" w:fill="auto"/>
            <w:noWrap w:val="0"/>
            <w:vAlign w:val="center"/>
          </w:tcPr>
          <w:p w14:paraId="7893C1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19.4</w:t>
            </w:r>
          </w:p>
        </w:tc>
        <w:tc>
          <w:tcPr>
            <w:tcW w:w="810" w:type="dxa"/>
            <w:shd w:val="clear" w:color="auto" w:fill="auto"/>
            <w:noWrap w:val="0"/>
            <w:vAlign w:val="center"/>
          </w:tcPr>
          <w:p w14:paraId="7821C1E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20.8</w:t>
            </w:r>
          </w:p>
        </w:tc>
        <w:tc>
          <w:tcPr>
            <w:tcW w:w="805" w:type="dxa"/>
            <w:shd w:val="clear" w:color="auto" w:fill="auto"/>
            <w:noWrap w:val="0"/>
            <w:vAlign w:val="center"/>
          </w:tcPr>
          <w:p w14:paraId="15E16AF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18.8</w:t>
            </w:r>
          </w:p>
        </w:tc>
        <w:tc>
          <w:tcPr>
            <w:tcW w:w="832" w:type="dxa"/>
            <w:tcBorders>
              <w:right w:val="single" w:color="000000" w:sz="6" w:space="0"/>
            </w:tcBorders>
            <w:shd w:val="clear" w:color="auto" w:fill="auto"/>
            <w:noWrap w:val="0"/>
            <w:vAlign w:val="center"/>
          </w:tcPr>
          <w:p w14:paraId="676D5F5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16.7</w:t>
            </w:r>
          </w:p>
        </w:tc>
      </w:tr>
      <w:tr w14:paraId="1C8F77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5D87ACA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sz w:val="13"/>
                <w:szCs w:val="13"/>
              </w:rPr>
            </w:pPr>
            <w:r>
              <w:rPr>
                <w:rFonts w:eastAsia="Times New Roman"/>
                <w:position w:val="-2"/>
              </w:rPr>
              <w:t>Ca</w:t>
            </w:r>
            <w:r>
              <w:rPr>
                <w:rFonts w:eastAsia="Times New Roman"/>
                <w:spacing w:val="2"/>
                <w:position w:val="4"/>
                <w:sz w:val="13"/>
                <w:szCs w:val="13"/>
              </w:rPr>
              <w:t>2+</w:t>
            </w:r>
          </w:p>
        </w:tc>
        <w:tc>
          <w:tcPr>
            <w:tcW w:w="1338" w:type="dxa"/>
            <w:shd w:val="clear" w:color="auto" w:fill="auto"/>
            <w:noWrap w:val="0"/>
            <w:vAlign w:val="center"/>
          </w:tcPr>
          <w:p w14:paraId="133102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2124582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22.5</w:t>
            </w:r>
          </w:p>
        </w:tc>
        <w:tc>
          <w:tcPr>
            <w:tcW w:w="806" w:type="dxa"/>
            <w:shd w:val="clear" w:color="auto" w:fill="auto"/>
            <w:noWrap w:val="0"/>
            <w:vAlign w:val="center"/>
          </w:tcPr>
          <w:p w14:paraId="26ADD2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21.8</w:t>
            </w:r>
          </w:p>
        </w:tc>
        <w:tc>
          <w:tcPr>
            <w:tcW w:w="806" w:type="dxa"/>
            <w:shd w:val="clear" w:color="auto" w:fill="auto"/>
            <w:noWrap w:val="0"/>
            <w:vAlign w:val="center"/>
          </w:tcPr>
          <w:p w14:paraId="1BF3F5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19.4</w:t>
            </w:r>
          </w:p>
        </w:tc>
        <w:tc>
          <w:tcPr>
            <w:tcW w:w="808" w:type="dxa"/>
            <w:shd w:val="clear" w:color="auto" w:fill="auto"/>
            <w:noWrap w:val="0"/>
            <w:vAlign w:val="center"/>
          </w:tcPr>
          <w:p w14:paraId="72645A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20.8</w:t>
            </w:r>
          </w:p>
        </w:tc>
        <w:tc>
          <w:tcPr>
            <w:tcW w:w="805" w:type="dxa"/>
            <w:shd w:val="clear" w:color="auto" w:fill="auto"/>
            <w:noWrap w:val="0"/>
            <w:vAlign w:val="center"/>
          </w:tcPr>
          <w:p w14:paraId="4ECAECC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22.9</w:t>
            </w:r>
          </w:p>
        </w:tc>
        <w:tc>
          <w:tcPr>
            <w:tcW w:w="806" w:type="dxa"/>
            <w:shd w:val="clear" w:color="auto" w:fill="auto"/>
            <w:noWrap w:val="0"/>
            <w:vAlign w:val="center"/>
          </w:tcPr>
          <w:p w14:paraId="5E97225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23.6</w:t>
            </w:r>
          </w:p>
        </w:tc>
        <w:tc>
          <w:tcPr>
            <w:tcW w:w="806" w:type="dxa"/>
            <w:shd w:val="clear" w:color="auto" w:fill="auto"/>
            <w:noWrap w:val="0"/>
            <w:vAlign w:val="center"/>
          </w:tcPr>
          <w:p w14:paraId="7C72D1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23.8</w:t>
            </w:r>
          </w:p>
        </w:tc>
        <w:tc>
          <w:tcPr>
            <w:tcW w:w="808" w:type="dxa"/>
            <w:shd w:val="clear" w:color="auto" w:fill="auto"/>
            <w:noWrap w:val="0"/>
            <w:vAlign w:val="center"/>
          </w:tcPr>
          <w:p w14:paraId="15646C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21.5</w:t>
            </w:r>
          </w:p>
        </w:tc>
        <w:tc>
          <w:tcPr>
            <w:tcW w:w="805" w:type="dxa"/>
            <w:shd w:val="clear" w:color="auto" w:fill="auto"/>
            <w:noWrap w:val="0"/>
            <w:vAlign w:val="center"/>
          </w:tcPr>
          <w:p w14:paraId="3ABF72C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17.2</w:t>
            </w:r>
          </w:p>
        </w:tc>
        <w:tc>
          <w:tcPr>
            <w:tcW w:w="810" w:type="dxa"/>
            <w:shd w:val="clear" w:color="auto" w:fill="auto"/>
            <w:noWrap w:val="0"/>
            <w:vAlign w:val="center"/>
          </w:tcPr>
          <w:p w14:paraId="36AA0C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18.9</w:t>
            </w:r>
          </w:p>
        </w:tc>
        <w:tc>
          <w:tcPr>
            <w:tcW w:w="804" w:type="dxa"/>
            <w:shd w:val="clear" w:color="auto" w:fill="auto"/>
            <w:noWrap w:val="0"/>
            <w:vAlign w:val="center"/>
          </w:tcPr>
          <w:p w14:paraId="0C1CAB7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16.5</w:t>
            </w:r>
          </w:p>
        </w:tc>
        <w:tc>
          <w:tcPr>
            <w:tcW w:w="810" w:type="dxa"/>
            <w:shd w:val="clear" w:color="auto" w:fill="auto"/>
            <w:noWrap w:val="0"/>
            <w:vAlign w:val="center"/>
          </w:tcPr>
          <w:p w14:paraId="4FC18C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17.9</w:t>
            </w:r>
          </w:p>
        </w:tc>
        <w:tc>
          <w:tcPr>
            <w:tcW w:w="805" w:type="dxa"/>
            <w:shd w:val="clear" w:color="auto" w:fill="auto"/>
            <w:noWrap w:val="0"/>
            <w:vAlign w:val="center"/>
          </w:tcPr>
          <w:p w14:paraId="3DF2DB3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16.1</w:t>
            </w:r>
          </w:p>
        </w:tc>
        <w:tc>
          <w:tcPr>
            <w:tcW w:w="832" w:type="dxa"/>
            <w:tcBorders>
              <w:right w:val="single" w:color="000000" w:sz="6" w:space="0"/>
            </w:tcBorders>
            <w:shd w:val="clear" w:color="auto" w:fill="auto"/>
            <w:noWrap w:val="0"/>
            <w:vAlign w:val="center"/>
          </w:tcPr>
          <w:p w14:paraId="7AB49C4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15.5</w:t>
            </w:r>
          </w:p>
        </w:tc>
      </w:tr>
      <w:tr w14:paraId="387793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0769F0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sz w:val="13"/>
                <w:szCs w:val="13"/>
              </w:rPr>
            </w:pPr>
            <w:r>
              <w:rPr>
                <w:rFonts w:eastAsia="Times New Roman"/>
                <w:position w:val="-1"/>
              </w:rPr>
              <w:t>Mg</w:t>
            </w:r>
            <w:r>
              <w:rPr>
                <w:rFonts w:eastAsia="Times New Roman"/>
                <w:spacing w:val="3"/>
                <w:position w:val="5"/>
                <w:sz w:val="13"/>
                <w:szCs w:val="13"/>
              </w:rPr>
              <w:t>2+</w:t>
            </w:r>
          </w:p>
        </w:tc>
        <w:tc>
          <w:tcPr>
            <w:tcW w:w="1338" w:type="dxa"/>
            <w:shd w:val="clear" w:color="auto" w:fill="auto"/>
            <w:noWrap w:val="0"/>
            <w:vAlign w:val="center"/>
          </w:tcPr>
          <w:p w14:paraId="449A75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4339FB4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53.4</w:t>
            </w:r>
          </w:p>
        </w:tc>
        <w:tc>
          <w:tcPr>
            <w:tcW w:w="806" w:type="dxa"/>
            <w:shd w:val="clear" w:color="auto" w:fill="auto"/>
            <w:noWrap w:val="0"/>
            <w:vAlign w:val="center"/>
          </w:tcPr>
          <w:p w14:paraId="6AE48BF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55.7</w:t>
            </w:r>
          </w:p>
        </w:tc>
        <w:tc>
          <w:tcPr>
            <w:tcW w:w="806" w:type="dxa"/>
            <w:shd w:val="clear" w:color="auto" w:fill="auto"/>
            <w:noWrap w:val="0"/>
            <w:vAlign w:val="center"/>
          </w:tcPr>
          <w:p w14:paraId="7E16C65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54.6</w:t>
            </w:r>
          </w:p>
        </w:tc>
        <w:tc>
          <w:tcPr>
            <w:tcW w:w="808" w:type="dxa"/>
            <w:shd w:val="clear" w:color="auto" w:fill="auto"/>
            <w:noWrap w:val="0"/>
            <w:vAlign w:val="center"/>
          </w:tcPr>
          <w:p w14:paraId="25A3F4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59.4</w:t>
            </w:r>
          </w:p>
        </w:tc>
        <w:tc>
          <w:tcPr>
            <w:tcW w:w="805" w:type="dxa"/>
            <w:shd w:val="clear" w:color="auto" w:fill="auto"/>
            <w:noWrap w:val="0"/>
            <w:vAlign w:val="center"/>
          </w:tcPr>
          <w:p w14:paraId="497579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61.2</w:t>
            </w:r>
          </w:p>
        </w:tc>
        <w:tc>
          <w:tcPr>
            <w:tcW w:w="806" w:type="dxa"/>
            <w:shd w:val="clear" w:color="auto" w:fill="auto"/>
            <w:noWrap w:val="0"/>
            <w:vAlign w:val="center"/>
          </w:tcPr>
          <w:p w14:paraId="1F2B97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61.7</w:t>
            </w:r>
          </w:p>
        </w:tc>
        <w:tc>
          <w:tcPr>
            <w:tcW w:w="806" w:type="dxa"/>
            <w:shd w:val="clear" w:color="auto" w:fill="auto"/>
            <w:noWrap w:val="0"/>
            <w:vAlign w:val="center"/>
          </w:tcPr>
          <w:p w14:paraId="7AC8D4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59.7</w:t>
            </w:r>
          </w:p>
        </w:tc>
        <w:tc>
          <w:tcPr>
            <w:tcW w:w="808" w:type="dxa"/>
            <w:shd w:val="clear" w:color="auto" w:fill="auto"/>
            <w:noWrap w:val="0"/>
            <w:vAlign w:val="center"/>
          </w:tcPr>
          <w:p w14:paraId="2E6F404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57.6</w:t>
            </w:r>
          </w:p>
        </w:tc>
        <w:tc>
          <w:tcPr>
            <w:tcW w:w="805" w:type="dxa"/>
            <w:shd w:val="clear" w:color="auto" w:fill="auto"/>
            <w:noWrap w:val="0"/>
            <w:vAlign w:val="center"/>
          </w:tcPr>
          <w:p w14:paraId="1F986FF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56.6</w:t>
            </w:r>
          </w:p>
        </w:tc>
        <w:tc>
          <w:tcPr>
            <w:tcW w:w="810" w:type="dxa"/>
            <w:shd w:val="clear" w:color="auto" w:fill="auto"/>
            <w:noWrap w:val="0"/>
            <w:vAlign w:val="center"/>
          </w:tcPr>
          <w:p w14:paraId="62D65B0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59.3</w:t>
            </w:r>
          </w:p>
        </w:tc>
        <w:tc>
          <w:tcPr>
            <w:tcW w:w="804" w:type="dxa"/>
            <w:shd w:val="clear" w:color="auto" w:fill="auto"/>
            <w:noWrap w:val="0"/>
            <w:vAlign w:val="center"/>
          </w:tcPr>
          <w:p w14:paraId="13EE5C7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51.9</w:t>
            </w:r>
          </w:p>
        </w:tc>
        <w:tc>
          <w:tcPr>
            <w:tcW w:w="810" w:type="dxa"/>
            <w:shd w:val="clear" w:color="auto" w:fill="auto"/>
            <w:noWrap w:val="0"/>
            <w:vAlign w:val="center"/>
          </w:tcPr>
          <w:p w14:paraId="3C525A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57.2</w:t>
            </w:r>
          </w:p>
        </w:tc>
        <w:tc>
          <w:tcPr>
            <w:tcW w:w="805" w:type="dxa"/>
            <w:shd w:val="clear" w:color="auto" w:fill="auto"/>
            <w:noWrap w:val="0"/>
            <w:vAlign w:val="center"/>
          </w:tcPr>
          <w:p w14:paraId="79DA43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52.3</w:t>
            </w:r>
          </w:p>
        </w:tc>
        <w:tc>
          <w:tcPr>
            <w:tcW w:w="832" w:type="dxa"/>
            <w:tcBorders>
              <w:right w:val="single" w:color="000000" w:sz="6" w:space="0"/>
            </w:tcBorders>
            <w:shd w:val="clear" w:color="auto" w:fill="auto"/>
            <w:noWrap w:val="0"/>
            <w:vAlign w:val="center"/>
          </w:tcPr>
          <w:p w14:paraId="78F253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55.8</w:t>
            </w:r>
          </w:p>
        </w:tc>
      </w:tr>
      <w:tr w14:paraId="74D4AF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1ABF6C4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sz w:val="13"/>
                <w:szCs w:val="13"/>
              </w:rPr>
            </w:pPr>
            <w:r>
              <w:rPr>
                <w:rFonts w:eastAsia="Times New Roman"/>
              </w:rPr>
              <w:t>CO</w:t>
            </w:r>
            <w:r>
              <w:rPr>
                <w:rFonts w:eastAsia="Times New Roman"/>
                <w:spacing w:val="2"/>
                <w:position w:val="-2"/>
                <w:sz w:val="13"/>
                <w:szCs w:val="13"/>
              </w:rPr>
              <w:t>3</w:t>
            </w:r>
            <w:r>
              <w:rPr>
                <w:rFonts w:eastAsia="Times New Roman"/>
                <w:spacing w:val="2"/>
                <w:position w:val="6"/>
                <w:sz w:val="13"/>
                <w:szCs w:val="13"/>
              </w:rPr>
              <w:t>2-</w:t>
            </w:r>
          </w:p>
        </w:tc>
        <w:tc>
          <w:tcPr>
            <w:tcW w:w="1338" w:type="dxa"/>
            <w:shd w:val="clear" w:color="auto" w:fill="auto"/>
            <w:noWrap w:val="0"/>
            <w:vAlign w:val="center"/>
          </w:tcPr>
          <w:p w14:paraId="294CA9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696F5A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4A9ECD4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4E0495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6830E7E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7E65635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33F1F75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28CAE9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41E6D00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13A3559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4E448B9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2103CC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768DAA7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23F468F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0A8E131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005FEA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4EA318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sz w:val="13"/>
                <w:szCs w:val="13"/>
              </w:rPr>
            </w:pPr>
            <w:r>
              <w:rPr>
                <w:rFonts w:eastAsia="Times New Roman"/>
              </w:rPr>
              <w:t>HCO</w:t>
            </w:r>
            <w:r>
              <w:rPr>
                <w:rFonts w:eastAsia="Times New Roman"/>
                <w:spacing w:val="3"/>
                <w:position w:val="-1"/>
                <w:sz w:val="13"/>
                <w:szCs w:val="13"/>
              </w:rPr>
              <w:t>3</w:t>
            </w:r>
            <w:r>
              <w:rPr>
                <w:rFonts w:eastAsia="Times New Roman"/>
                <w:spacing w:val="3"/>
                <w:position w:val="7"/>
                <w:sz w:val="13"/>
                <w:szCs w:val="13"/>
              </w:rPr>
              <w:t>-</w:t>
            </w:r>
          </w:p>
        </w:tc>
        <w:tc>
          <w:tcPr>
            <w:tcW w:w="1338" w:type="dxa"/>
            <w:shd w:val="clear" w:color="auto" w:fill="auto"/>
            <w:noWrap w:val="0"/>
            <w:vAlign w:val="center"/>
          </w:tcPr>
          <w:p w14:paraId="347A8B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70784A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228</w:t>
            </w:r>
          </w:p>
        </w:tc>
        <w:tc>
          <w:tcPr>
            <w:tcW w:w="806" w:type="dxa"/>
            <w:shd w:val="clear" w:color="auto" w:fill="auto"/>
            <w:noWrap w:val="0"/>
            <w:vAlign w:val="center"/>
          </w:tcPr>
          <w:p w14:paraId="5EAFA5F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232</w:t>
            </w:r>
          </w:p>
        </w:tc>
        <w:tc>
          <w:tcPr>
            <w:tcW w:w="806" w:type="dxa"/>
            <w:shd w:val="clear" w:color="auto" w:fill="auto"/>
            <w:noWrap w:val="0"/>
            <w:vAlign w:val="center"/>
          </w:tcPr>
          <w:p w14:paraId="342D469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217</w:t>
            </w:r>
          </w:p>
        </w:tc>
        <w:tc>
          <w:tcPr>
            <w:tcW w:w="808" w:type="dxa"/>
            <w:shd w:val="clear" w:color="auto" w:fill="auto"/>
            <w:noWrap w:val="0"/>
            <w:vAlign w:val="center"/>
          </w:tcPr>
          <w:p w14:paraId="2DE4D2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225</w:t>
            </w:r>
          </w:p>
        </w:tc>
        <w:tc>
          <w:tcPr>
            <w:tcW w:w="805" w:type="dxa"/>
            <w:shd w:val="clear" w:color="auto" w:fill="auto"/>
            <w:noWrap w:val="0"/>
            <w:vAlign w:val="center"/>
          </w:tcPr>
          <w:p w14:paraId="3B7998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249</w:t>
            </w:r>
          </w:p>
        </w:tc>
        <w:tc>
          <w:tcPr>
            <w:tcW w:w="806" w:type="dxa"/>
            <w:shd w:val="clear" w:color="auto" w:fill="auto"/>
            <w:noWrap w:val="0"/>
            <w:vAlign w:val="center"/>
          </w:tcPr>
          <w:p w14:paraId="1BAA1A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253</w:t>
            </w:r>
          </w:p>
        </w:tc>
        <w:tc>
          <w:tcPr>
            <w:tcW w:w="806" w:type="dxa"/>
            <w:shd w:val="clear" w:color="auto" w:fill="auto"/>
            <w:noWrap w:val="0"/>
            <w:vAlign w:val="center"/>
          </w:tcPr>
          <w:p w14:paraId="0DC2BA2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244</w:t>
            </w:r>
          </w:p>
        </w:tc>
        <w:tc>
          <w:tcPr>
            <w:tcW w:w="808" w:type="dxa"/>
            <w:shd w:val="clear" w:color="auto" w:fill="auto"/>
            <w:noWrap w:val="0"/>
            <w:vAlign w:val="center"/>
          </w:tcPr>
          <w:p w14:paraId="752EFE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241</w:t>
            </w:r>
          </w:p>
        </w:tc>
        <w:tc>
          <w:tcPr>
            <w:tcW w:w="805" w:type="dxa"/>
            <w:shd w:val="clear" w:color="auto" w:fill="auto"/>
            <w:noWrap w:val="0"/>
            <w:vAlign w:val="center"/>
          </w:tcPr>
          <w:p w14:paraId="4C6076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215</w:t>
            </w:r>
          </w:p>
        </w:tc>
        <w:tc>
          <w:tcPr>
            <w:tcW w:w="810" w:type="dxa"/>
            <w:shd w:val="clear" w:color="auto" w:fill="auto"/>
            <w:noWrap w:val="0"/>
            <w:vAlign w:val="center"/>
          </w:tcPr>
          <w:p w14:paraId="5B84698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221</w:t>
            </w:r>
          </w:p>
        </w:tc>
        <w:tc>
          <w:tcPr>
            <w:tcW w:w="804" w:type="dxa"/>
            <w:shd w:val="clear" w:color="auto" w:fill="auto"/>
            <w:noWrap w:val="0"/>
            <w:vAlign w:val="center"/>
          </w:tcPr>
          <w:p w14:paraId="7F7B31C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208</w:t>
            </w:r>
          </w:p>
        </w:tc>
        <w:tc>
          <w:tcPr>
            <w:tcW w:w="810" w:type="dxa"/>
            <w:shd w:val="clear" w:color="auto" w:fill="auto"/>
            <w:noWrap w:val="0"/>
            <w:vAlign w:val="center"/>
          </w:tcPr>
          <w:p w14:paraId="2DEE30D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214</w:t>
            </w:r>
          </w:p>
        </w:tc>
        <w:tc>
          <w:tcPr>
            <w:tcW w:w="805" w:type="dxa"/>
            <w:shd w:val="clear" w:color="auto" w:fill="auto"/>
            <w:noWrap w:val="0"/>
            <w:vAlign w:val="center"/>
          </w:tcPr>
          <w:p w14:paraId="291C1ED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212</w:t>
            </w:r>
          </w:p>
        </w:tc>
        <w:tc>
          <w:tcPr>
            <w:tcW w:w="832" w:type="dxa"/>
            <w:tcBorders>
              <w:right w:val="single" w:color="000000" w:sz="6" w:space="0"/>
            </w:tcBorders>
            <w:shd w:val="clear" w:color="auto" w:fill="auto"/>
            <w:noWrap w:val="0"/>
            <w:vAlign w:val="center"/>
          </w:tcPr>
          <w:p w14:paraId="6501F6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202</w:t>
            </w:r>
          </w:p>
        </w:tc>
      </w:tr>
      <w:tr w14:paraId="745592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61622D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sz w:val="13"/>
                <w:szCs w:val="13"/>
              </w:rPr>
            </w:pPr>
            <w:r>
              <w:rPr>
                <w:rFonts w:eastAsia="Times New Roman"/>
                <w:spacing w:val="-2"/>
              </w:rPr>
              <w:t>Cl</w:t>
            </w:r>
            <w:r>
              <w:rPr>
                <w:rFonts w:eastAsia="Times New Roman"/>
                <w:spacing w:val="-2"/>
                <w:position w:val="6"/>
                <w:sz w:val="13"/>
                <w:szCs w:val="13"/>
              </w:rPr>
              <w:t>-</w:t>
            </w:r>
          </w:p>
        </w:tc>
        <w:tc>
          <w:tcPr>
            <w:tcW w:w="1338" w:type="dxa"/>
            <w:shd w:val="clear" w:color="auto" w:fill="auto"/>
            <w:noWrap w:val="0"/>
            <w:vAlign w:val="center"/>
          </w:tcPr>
          <w:p w14:paraId="2EB721C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4805D7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32.7</w:t>
            </w:r>
          </w:p>
        </w:tc>
        <w:tc>
          <w:tcPr>
            <w:tcW w:w="806" w:type="dxa"/>
            <w:shd w:val="clear" w:color="auto" w:fill="auto"/>
            <w:noWrap w:val="0"/>
            <w:vAlign w:val="center"/>
          </w:tcPr>
          <w:p w14:paraId="5B489D7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30.9</w:t>
            </w:r>
          </w:p>
        </w:tc>
        <w:tc>
          <w:tcPr>
            <w:tcW w:w="806" w:type="dxa"/>
            <w:shd w:val="clear" w:color="auto" w:fill="auto"/>
            <w:noWrap w:val="0"/>
            <w:vAlign w:val="center"/>
          </w:tcPr>
          <w:p w14:paraId="32F75F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36.4</w:t>
            </w:r>
          </w:p>
        </w:tc>
        <w:tc>
          <w:tcPr>
            <w:tcW w:w="808" w:type="dxa"/>
            <w:shd w:val="clear" w:color="auto" w:fill="auto"/>
            <w:noWrap w:val="0"/>
            <w:vAlign w:val="center"/>
          </w:tcPr>
          <w:p w14:paraId="4C28B50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39.2</w:t>
            </w:r>
          </w:p>
        </w:tc>
        <w:tc>
          <w:tcPr>
            <w:tcW w:w="805" w:type="dxa"/>
            <w:shd w:val="clear" w:color="auto" w:fill="auto"/>
            <w:noWrap w:val="0"/>
            <w:vAlign w:val="center"/>
          </w:tcPr>
          <w:p w14:paraId="214DCF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41.3</w:t>
            </w:r>
          </w:p>
        </w:tc>
        <w:tc>
          <w:tcPr>
            <w:tcW w:w="806" w:type="dxa"/>
            <w:shd w:val="clear" w:color="auto" w:fill="auto"/>
            <w:noWrap w:val="0"/>
            <w:vAlign w:val="center"/>
          </w:tcPr>
          <w:p w14:paraId="6733C0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38.7</w:t>
            </w:r>
          </w:p>
        </w:tc>
        <w:tc>
          <w:tcPr>
            <w:tcW w:w="806" w:type="dxa"/>
            <w:shd w:val="clear" w:color="auto" w:fill="auto"/>
            <w:noWrap w:val="0"/>
            <w:vAlign w:val="center"/>
          </w:tcPr>
          <w:p w14:paraId="669B73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36.4</w:t>
            </w:r>
          </w:p>
        </w:tc>
        <w:tc>
          <w:tcPr>
            <w:tcW w:w="808" w:type="dxa"/>
            <w:shd w:val="clear" w:color="auto" w:fill="auto"/>
            <w:noWrap w:val="0"/>
            <w:vAlign w:val="center"/>
          </w:tcPr>
          <w:p w14:paraId="6E35DC8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40.6</w:t>
            </w:r>
          </w:p>
        </w:tc>
        <w:tc>
          <w:tcPr>
            <w:tcW w:w="805" w:type="dxa"/>
            <w:shd w:val="clear" w:color="auto" w:fill="auto"/>
            <w:noWrap w:val="0"/>
            <w:vAlign w:val="center"/>
          </w:tcPr>
          <w:p w14:paraId="755E999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33.4</w:t>
            </w:r>
          </w:p>
        </w:tc>
        <w:tc>
          <w:tcPr>
            <w:tcW w:w="810" w:type="dxa"/>
            <w:shd w:val="clear" w:color="auto" w:fill="auto"/>
            <w:noWrap w:val="0"/>
            <w:vAlign w:val="center"/>
          </w:tcPr>
          <w:p w14:paraId="01023F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38.2</w:t>
            </w:r>
          </w:p>
        </w:tc>
        <w:tc>
          <w:tcPr>
            <w:tcW w:w="804" w:type="dxa"/>
            <w:shd w:val="clear" w:color="auto" w:fill="auto"/>
            <w:noWrap w:val="0"/>
            <w:vAlign w:val="center"/>
          </w:tcPr>
          <w:p w14:paraId="01BD72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32.5</w:t>
            </w:r>
          </w:p>
        </w:tc>
        <w:tc>
          <w:tcPr>
            <w:tcW w:w="810" w:type="dxa"/>
            <w:shd w:val="clear" w:color="auto" w:fill="auto"/>
            <w:noWrap w:val="0"/>
            <w:vAlign w:val="center"/>
          </w:tcPr>
          <w:p w14:paraId="66DF54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35.7</w:t>
            </w:r>
          </w:p>
        </w:tc>
        <w:tc>
          <w:tcPr>
            <w:tcW w:w="805" w:type="dxa"/>
            <w:shd w:val="clear" w:color="auto" w:fill="auto"/>
            <w:noWrap w:val="0"/>
            <w:vAlign w:val="center"/>
          </w:tcPr>
          <w:p w14:paraId="4E43EB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30.6</w:t>
            </w:r>
          </w:p>
        </w:tc>
        <w:tc>
          <w:tcPr>
            <w:tcW w:w="832" w:type="dxa"/>
            <w:tcBorders>
              <w:right w:val="single" w:color="000000" w:sz="6" w:space="0"/>
            </w:tcBorders>
            <w:shd w:val="clear" w:color="auto" w:fill="auto"/>
            <w:noWrap w:val="0"/>
            <w:vAlign w:val="center"/>
          </w:tcPr>
          <w:p w14:paraId="4FCF36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33.8</w:t>
            </w:r>
          </w:p>
        </w:tc>
      </w:tr>
      <w:tr w14:paraId="377868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6A8E2B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sz w:val="13"/>
                <w:szCs w:val="13"/>
              </w:rPr>
            </w:pPr>
            <w:r>
              <w:rPr>
                <w:rFonts w:eastAsia="Times New Roman"/>
              </w:rPr>
              <w:t>SO</w:t>
            </w:r>
            <w:r>
              <w:rPr>
                <w:rFonts w:eastAsia="Times New Roman"/>
                <w:position w:val="-2"/>
                <w:sz w:val="13"/>
                <w:szCs w:val="13"/>
              </w:rPr>
              <w:t>4</w:t>
            </w:r>
            <w:r>
              <w:rPr>
                <w:rFonts w:eastAsia="Times New Roman"/>
                <w:position w:val="6"/>
                <w:sz w:val="13"/>
                <w:szCs w:val="13"/>
              </w:rPr>
              <w:t>2-</w:t>
            </w:r>
          </w:p>
        </w:tc>
        <w:tc>
          <w:tcPr>
            <w:tcW w:w="1338" w:type="dxa"/>
            <w:shd w:val="clear" w:color="auto" w:fill="auto"/>
            <w:noWrap w:val="0"/>
            <w:vAlign w:val="center"/>
          </w:tcPr>
          <w:p w14:paraId="3A70B8E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29DFE8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6"/>
              </w:rPr>
              <w:t>102</w:t>
            </w:r>
          </w:p>
        </w:tc>
        <w:tc>
          <w:tcPr>
            <w:tcW w:w="806" w:type="dxa"/>
            <w:shd w:val="clear" w:color="auto" w:fill="auto"/>
            <w:noWrap w:val="0"/>
            <w:vAlign w:val="center"/>
          </w:tcPr>
          <w:p w14:paraId="7C3EFD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98.7</w:t>
            </w:r>
          </w:p>
        </w:tc>
        <w:tc>
          <w:tcPr>
            <w:tcW w:w="806" w:type="dxa"/>
            <w:shd w:val="clear" w:color="auto" w:fill="auto"/>
            <w:noWrap w:val="0"/>
            <w:vAlign w:val="center"/>
          </w:tcPr>
          <w:p w14:paraId="1832A0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95.8</w:t>
            </w:r>
          </w:p>
        </w:tc>
        <w:tc>
          <w:tcPr>
            <w:tcW w:w="808" w:type="dxa"/>
            <w:shd w:val="clear" w:color="auto" w:fill="auto"/>
            <w:noWrap w:val="0"/>
            <w:vAlign w:val="center"/>
          </w:tcPr>
          <w:p w14:paraId="25600D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97.5</w:t>
            </w:r>
          </w:p>
        </w:tc>
        <w:tc>
          <w:tcPr>
            <w:tcW w:w="805" w:type="dxa"/>
            <w:shd w:val="clear" w:color="auto" w:fill="auto"/>
            <w:noWrap w:val="0"/>
            <w:vAlign w:val="center"/>
          </w:tcPr>
          <w:p w14:paraId="30C112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6"/>
              </w:rPr>
              <w:t>112</w:t>
            </w:r>
          </w:p>
        </w:tc>
        <w:tc>
          <w:tcPr>
            <w:tcW w:w="806" w:type="dxa"/>
            <w:shd w:val="clear" w:color="auto" w:fill="auto"/>
            <w:noWrap w:val="0"/>
            <w:vAlign w:val="center"/>
          </w:tcPr>
          <w:p w14:paraId="38C865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6"/>
              </w:rPr>
              <w:t>115</w:t>
            </w:r>
          </w:p>
        </w:tc>
        <w:tc>
          <w:tcPr>
            <w:tcW w:w="806" w:type="dxa"/>
            <w:shd w:val="clear" w:color="auto" w:fill="auto"/>
            <w:noWrap w:val="0"/>
            <w:vAlign w:val="center"/>
          </w:tcPr>
          <w:p w14:paraId="188065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6"/>
              </w:rPr>
              <w:t>106</w:t>
            </w:r>
          </w:p>
        </w:tc>
        <w:tc>
          <w:tcPr>
            <w:tcW w:w="808" w:type="dxa"/>
            <w:shd w:val="clear" w:color="auto" w:fill="auto"/>
            <w:noWrap w:val="0"/>
            <w:vAlign w:val="center"/>
          </w:tcPr>
          <w:p w14:paraId="566088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6"/>
              </w:rPr>
              <w:t>110</w:t>
            </w:r>
          </w:p>
        </w:tc>
        <w:tc>
          <w:tcPr>
            <w:tcW w:w="805" w:type="dxa"/>
            <w:shd w:val="clear" w:color="auto" w:fill="auto"/>
            <w:noWrap w:val="0"/>
            <w:vAlign w:val="center"/>
          </w:tcPr>
          <w:p w14:paraId="46322B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92.7</w:t>
            </w:r>
          </w:p>
        </w:tc>
        <w:tc>
          <w:tcPr>
            <w:tcW w:w="810" w:type="dxa"/>
            <w:shd w:val="clear" w:color="auto" w:fill="auto"/>
            <w:noWrap w:val="0"/>
            <w:vAlign w:val="center"/>
          </w:tcPr>
          <w:p w14:paraId="32EF7D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94.6</w:t>
            </w:r>
          </w:p>
        </w:tc>
        <w:tc>
          <w:tcPr>
            <w:tcW w:w="804" w:type="dxa"/>
            <w:shd w:val="clear" w:color="auto" w:fill="auto"/>
            <w:noWrap w:val="0"/>
            <w:vAlign w:val="center"/>
          </w:tcPr>
          <w:p w14:paraId="25F578D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90.7</w:t>
            </w:r>
          </w:p>
        </w:tc>
        <w:tc>
          <w:tcPr>
            <w:tcW w:w="810" w:type="dxa"/>
            <w:shd w:val="clear" w:color="auto" w:fill="auto"/>
            <w:noWrap w:val="0"/>
            <w:vAlign w:val="center"/>
          </w:tcPr>
          <w:p w14:paraId="0BC5AB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93.6</w:t>
            </w:r>
          </w:p>
        </w:tc>
        <w:tc>
          <w:tcPr>
            <w:tcW w:w="805" w:type="dxa"/>
            <w:shd w:val="clear" w:color="auto" w:fill="auto"/>
            <w:noWrap w:val="0"/>
            <w:vAlign w:val="center"/>
          </w:tcPr>
          <w:p w14:paraId="44DEAB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91.4</w:t>
            </w:r>
          </w:p>
        </w:tc>
        <w:tc>
          <w:tcPr>
            <w:tcW w:w="832" w:type="dxa"/>
            <w:tcBorders>
              <w:right w:val="single" w:color="000000" w:sz="6" w:space="0"/>
            </w:tcBorders>
            <w:shd w:val="clear" w:color="auto" w:fill="auto"/>
            <w:noWrap w:val="0"/>
            <w:vAlign w:val="center"/>
          </w:tcPr>
          <w:p w14:paraId="4D7374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95.6</w:t>
            </w:r>
          </w:p>
        </w:tc>
      </w:tr>
      <w:tr w14:paraId="3CFB00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03845B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eastAsia="Times New Roman"/>
              </w:rPr>
              <w:t>pH</w:t>
            </w:r>
            <w:r>
              <w:rPr>
                <w:rFonts w:eastAsia="Times New Roman"/>
                <w:spacing w:val="7"/>
              </w:rPr>
              <w:t xml:space="preserve"> </w:t>
            </w:r>
            <w:r>
              <w:rPr>
                <w:spacing w:val="1"/>
              </w:rPr>
              <w:t>值</w:t>
            </w:r>
          </w:p>
        </w:tc>
        <w:tc>
          <w:tcPr>
            <w:tcW w:w="1338" w:type="dxa"/>
            <w:shd w:val="clear" w:color="auto" w:fill="auto"/>
            <w:noWrap w:val="0"/>
            <w:vAlign w:val="center"/>
          </w:tcPr>
          <w:p w14:paraId="305049D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无量纲</w:t>
            </w:r>
          </w:p>
        </w:tc>
        <w:tc>
          <w:tcPr>
            <w:tcW w:w="806" w:type="dxa"/>
            <w:shd w:val="clear" w:color="auto" w:fill="auto"/>
            <w:noWrap w:val="0"/>
            <w:vAlign w:val="center"/>
          </w:tcPr>
          <w:p w14:paraId="57139E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7.6</w:t>
            </w:r>
          </w:p>
        </w:tc>
        <w:tc>
          <w:tcPr>
            <w:tcW w:w="806" w:type="dxa"/>
            <w:shd w:val="clear" w:color="auto" w:fill="auto"/>
            <w:noWrap w:val="0"/>
            <w:vAlign w:val="center"/>
          </w:tcPr>
          <w:p w14:paraId="5EA9FF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7.3</w:t>
            </w:r>
          </w:p>
        </w:tc>
        <w:tc>
          <w:tcPr>
            <w:tcW w:w="806" w:type="dxa"/>
            <w:shd w:val="clear" w:color="auto" w:fill="auto"/>
            <w:noWrap w:val="0"/>
            <w:vAlign w:val="center"/>
          </w:tcPr>
          <w:p w14:paraId="720FCA9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7.1</w:t>
            </w:r>
          </w:p>
        </w:tc>
        <w:tc>
          <w:tcPr>
            <w:tcW w:w="808" w:type="dxa"/>
            <w:shd w:val="clear" w:color="auto" w:fill="auto"/>
            <w:noWrap w:val="0"/>
            <w:vAlign w:val="center"/>
          </w:tcPr>
          <w:p w14:paraId="293E73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6.9</w:t>
            </w:r>
          </w:p>
        </w:tc>
        <w:tc>
          <w:tcPr>
            <w:tcW w:w="805" w:type="dxa"/>
            <w:shd w:val="clear" w:color="auto" w:fill="auto"/>
            <w:noWrap w:val="0"/>
            <w:vAlign w:val="center"/>
          </w:tcPr>
          <w:p w14:paraId="477D13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7.8</w:t>
            </w:r>
          </w:p>
        </w:tc>
        <w:tc>
          <w:tcPr>
            <w:tcW w:w="806" w:type="dxa"/>
            <w:shd w:val="clear" w:color="auto" w:fill="auto"/>
            <w:noWrap w:val="0"/>
            <w:vAlign w:val="center"/>
          </w:tcPr>
          <w:p w14:paraId="5BC85D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7.5</w:t>
            </w:r>
          </w:p>
        </w:tc>
        <w:tc>
          <w:tcPr>
            <w:tcW w:w="806" w:type="dxa"/>
            <w:shd w:val="clear" w:color="auto" w:fill="auto"/>
            <w:noWrap w:val="0"/>
            <w:vAlign w:val="center"/>
          </w:tcPr>
          <w:p w14:paraId="6709F90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7.4</w:t>
            </w:r>
          </w:p>
        </w:tc>
        <w:tc>
          <w:tcPr>
            <w:tcW w:w="808" w:type="dxa"/>
            <w:shd w:val="clear" w:color="auto" w:fill="auto"/>
            <w:noWrap w:val="0"/>
            <w:vAlign w:val="center"/>
          </w:tcPr>
          <w:p w14:paraId="5421EA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7.2</w:t>
            </w:r>
          </w:p>
        </w:tc>
        <w:tc>
          <w:tcPr>
            <w:tcW w:w="805" w:type="dxa"/>
            <w:shd w:val="clear" w:color="auto" w:fill="auto"/>
            <w:noWrap w:val="0"/>
            <w:vAlign w:val="center"/>
          </w:tcPr>
          <w:p w14:paraId="50E217C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7.0</w:t>
            </w:r>
          </w:p>
        </w:tc>
        <w:tc>
          <w:tcPr>
            <w:tcW w:w="810" w:type="dxa"/>
            <w:shd w:val="clear" w:color="auto" w:fill="auto"/>
            <w:noWrap w:val="0"/>
            <w:vAlign w:val="center"/>
          </w:tcPr>
          <w:p w14:paraId="31FD858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6.8</w:t>
            </w:r>
          </w:p>
        </w:tc>
        <w:tc>
          <w:tcPr>
            <w:tcW w:w="804" w:type="dxa"/>
            <w:shd w:val="clear" w:color="auto" w:fill="auto"/>
            <w:noWrap w:val="0"/>
            <w:vAlign w:val="center"/>
          </w:tcPr>
          <w:p w14:paraId="0D9CA5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6.7</w:t>
            </w:r>
          </w:p>
        </w:tc>
        <w:tc>
          <w:tcPr>
            <w:tcW w:w="810" w:type="dxa"/>
            <w:shd w:val="clear" w:color="auto" w:fill="auto"/>
            <w:noWrap w:val="0"/>
            <w:vAlign w:val="center"/>
          </w:tcPr>
          <w:p w14:paraId="6B8E24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7.1</w:t>
            </w:r>
          </w:p>
        </w:tc>
        <w:tc>
          <w:tcPr>
            <w:tcW w:w="805" w:type="dxa"/>
            <w:shd w:val="clear" w:color="auto" w:fill="auto"/>
            <w:noWrap w:val="0"/>
            <w:vAlign w:val="center"/>
          </w:tcPr>
          <w:p w14:paraId="56B625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6.9</w:t>
            </w:r>
          </w:p>
        </w:tc>
        <w:tc>
          <w:tcPr>
            <w:tcW w:w="832" w:type="dxa"/>
            <w:tcBorders>
              <w:right w:val="single" w:color="000000" w:sz="6" w:space="0"/>
            </w:tcBorders>
            <w:shd w:val="clear" w:color="auto" w:fill="auto"/>
            <w:noWrap w:val="0"/>
            <w:vAlign w:val="center"/>
          </w:tcPr>
          <w:p w14:paraId="7A31855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7.3</w:t>
            </w:r>
          </w:p>
        </w:tc>
      </w:tr>
      <w:tr w14:paraId="44C09C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60FFC4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氨氮</w:t>
            </w:r>
          </w:p>
        </w:tc>
        <w:tc>
          <w:tcPr>
            <w:tcW w:w="1338" w:type="dxa"/>
            <w:shd w:val="clear" w:color="auto" w:fill="auto"/>
            <w:noWrap w:val="0"/>
            <w:vAlign w:val="center"/>
          </w:tcPr>
          <w:p w14:paraId="5F1C00D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2798B9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0.119</w:t>
            </w:r>
          </w:p>
        </w:tc>
        <w:tc>
          <w:tcPr>
            <w:tcW w:w="806" w:type="dxa"/>
            <w:shd w:val="clear" w:color="auto" w:fill="auto"/>
            <w:noWrap w:val="0"/>
            <w:vAlign w:val="center"/>
          </w:tcPr>
          <w:p w14:paraId="4CF9C9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0.123</w:t>
            </w:r>
          </w:p>
        </w:tc>
        <w:tc>
          <w:tcPr>
            <w:tcW w:w="806" w:type="dxa"/>
            <w:shd w:val="clear" w:color="auto" w:fill="auto"/>
            <w:noWrap w:val="0"/>
            <w:vAlign w:val="center"/>
          </w:tcPr>
          <w:p w14:paraId="3769353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0.125</w:t>
            </w:r>
          </w:p>
        </w:tc>
        <w:tc>
          <w:tcPr>
            <w:tcW w:w="808" w:type="dxa"/>
            <w:shd w:val="clear" w:color="auto" w:fill="auto"/>
            <w:noWrap w:val="0"/>
            <w:vAlign w:val="center"/>
          </w:tcPr>
          <w:p w14:paraId="621BCAE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0.118</w:t>
            </w:r>
          </w:p>
        </w:tc>
        <w:tc>
          <w:tcPr>
            <w:tcW w:w="805" w:type="dxa"/>
            <w:shd w:val="clear" w:color="auto" w:fill="auto"/>
            <w:noWrap w:val="0"/>
            <w:vAlign w:val="center"/>
          </w:tcPr>
          <w:p w14:paraId="213E2D0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0.139</w:t>
            </w:r>
          </w:p>
        </w:tc>
        <w:tc>
          <w:tcPr>
            <w:tcW w:w="806" w:type="dxa"/>
            <w:shd w:val="clear" w:color="auto" w:fill="auto"/>
            <w:noWrap w:val="0"/>
            <w:vAlign w:val="center"/>
          </w:tcPr>
          <w:p w14:paraId="731C6C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0.133</w:t>
            </w:r>
          </w:p>
        </w:tc>
        <w:tc>
          <w:tcPr>
            <w:tcW w:w="806" w:type="dxa"/>
            <w:shd w:val="clear" w:color="auto" w:fill="auto"/>
            <w:noWrap w:val="0"/>
            <w:vAlign w:val="center"/>
          </w:tcPr>
          <w:p w14:paraId="575AABD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0.137</w:t>
            </w:r>
          </w:p>
        </w:tc>
        <w:tc>
          <w:tcPr>
            <w:tcW w:w="808" w:type="dxa"/>
            <w:shd w:val="clear" w:color="auto" w:fill="auto"/>
            <w:noWrap w:val="0"/>
            <w:vAlign w:val="center"/>
          </w:tcPr>
          <w:p w14:paraId="0597D1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0.141</w:t>
            </w:r>
          </w:p>
        </w:tc>
        <w:tc>
          <w:tcPr>
            <w:tcW w:w="805" w:type="dxa"/>
            <w:shd w:val="clear" w:color="auto" w:fill="auto"/>
            <w:noWrap w:val="0"/>
            <w:vAlign w:val="center"/>
          </w:tcPr>
          <w:p w14:paraId="178A9E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0.127</w:t>
            </w:r>
          </w:p>
        </w:tc>
        <w:tc>
          <w:tcPr>
            <w:tcW w:w="810" w:type="dxa"/>
            <w:shd w:val="clear" w:color="auto" w:fill="auto"/>
            <w:noWrap w:val="0"/>
            <w:vAlign w:val="center"/>
          </w:tcPr>
          <w:p w14:paraId="7544C1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0.124</w:t>
            </w:r>
          </w:p>
        </w:tc>
        <w:tc>
          <w:tcPr>
            <w:tcW w:w="804" w:type="dxa"/>
            <w:shd w:val="clear" w:color="auto" w:fill="auto"/>
            <w:noWrap w:val="0"/>
            <w:vAlign w:val="center"/>
          </w:tcPr>
          <w:p w14:paraId="3409CBF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0.134</w:t>
            </w:r>
          </w:p>
        </w:tc>
        <w:tc>
          <w:tcPr>
            <w:tcW w:w="810" w:type="dxa"/>
            <w:shd w:val="clear" w:color="auto" w:fill="auto"/>
            <w:noWrap w:val="0"/>
            <w:vAlign w:val="center"/>
          </w:tcPr>
          <w:p w14:paraId="097FAE4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0.130</w:t>
            </w:r>
          </w:p>
        </w:tc>
        <w:tc>
          <w:tcPr>
            <w:tcW w:w="805" w:type="dxa"/>
            <w:shd w:val="clear" w:color="auto" w:fill="auto"/>
            <w:noWrap w:val="0"/>
            <w:vAlign w:val="center"/>
          </w:tcPr>
          <w:p w14:paraId="152070E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0.112</w:t>
            </w:r>
          </w:p>
        </w:tc>
        <w:tc>
          <w:tcPr>
            <w:tcW w:w="832" w:type="dxa"/>
            <w:tcBorders>
              <w:right w:val="single" w:color="000000" w:sz="6" w:space="0"/>
            </w:tcBorders>
            <w:shd w:val="clear" w:color="auto" w:fill="auto"/>
            <w:noWrap w:val="0"/>
            <w:vAlign w:val="center"/>
          </w:tcPr>
          <w:p w14:paraId="3345B96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0.117</w:t>
            </w:r>
          </w:p>
        </w:tc>
      </w:tr>
      <w:tr w14:paraId="4801DF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7C024A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硝酸盐</w:t>
            </w:r>
          </w:p>
        </w:tc>
        <w:tc>
          <w:tcPr>
            <w:tcW w:w="1338" w:type="dxa"/>
            <w:shd w:val="clear" w:color="auto" w:fill="auto"/>
            <w:noWrap w:val="0"/>
            <w:vAlign w:val="center"/>
          </w:tcPr>
          <w:p w14:paraId="13CC054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25A8C84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1.44</w:t>
            </w:r>
          </w:p>
        </w:tc>
        <w:tc>
          <w:tcPr>
            <w:tcW w:w="806" w:type="dxa"/>
            <w:shd w:val="clear" w:color="auto" w:fill="auto"/>
            <w:noWrap w:val="0"/>
            <w:vAlign w:val="center"/>
          </w:tcPr>
          <w:p w14:paraId="102FDB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1.32</w:t>
            </w:r>
          </w:p>
        </w:tc>
        <w:tc>
          <w:tcPr>
            <w:tcW w:w="806" w:type="dxa"/>
            <w:shd w:val="clear" w:color="auto" w:fill="auto"/>
            <w:noWrap w:val="0"/>
            <w:vAlign w:val="center"/>
          </w:tcPr>
          <w:p w14:paraId="0B1A30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1.41</w:t>
            </w:r>
          </w:p>
        </w:tc>
        <w:tc>
          <w:tcPr>
            <w:tcW w:w="808" w:type="dxa"/>
            <w:shd w:val="clear" w:color="auto" w:fill="auto"/>
            <w:noWrap w:val="0"/>
            <w:vAlign w:val="center"/>
          </w:tcPr>
          <w:p w14:paraId="3CF9A39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1.46</w:t>
            </w:r>
          </w:p>
        </w:tc>
        <w:tc>
          <w:tcPr>
            <w:tcW w:w="805" w:type="dxa"/>
            <w:shd w:val="clear" w:color="auto" w:fill="auto"/>
            <w:noWrap w:val="0"/>
            <w:vAlign w:val="center"/>
          </w:tcPr>
          <w:p w14:paraId="4685244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1.57</w:t>
            </w:r>
          </w:p>
        </w:tc>
        <w:tc>
          <w:tcPr>
            <w:tcW w:w="806" w:type="dxa"/>
            <w:shd w:val="clear" w:color="auto" w:fill="auto"/>
            <w:noWrap w:val="0"/>
            <w:vAlign w:val="center"/>
          </w:tcPr>
          <w:p w14:paraId="39FD72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1.52</w:t>
            </w:r>
          </w:p>
        </w:tc>
        <w:tc>
          <w:tcPr>
            <w:tcW w:w="806" w:type="dxa"/>
            <w:shd w:val="clear" w:color="auto" w:fill="auto"/>
            <w:noWrap w:val="0"/>
            <w:vAlign w:val="center"/>
          </w:tcPr>
          <w:p w14:paraId="14750C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1.61</w:t>
            </w:r>
          </w:p>
        </w:tc>
        <w:tc>
          <w:tcPr>
            <w:tcW w:w="808" w:type="dxa"/>
            <w:shd w:val="clear" w:color="auto" w:fill="auto"/>
            <w:noWrap w:val="0"/>
            <w:vAlign w:val="center"/>
          </w:tcPr>
          <w:p w14:paraId="4B524AA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1.55</w:t>
            </w:r>
          </w:p>
        </w:tc>
        <w:tc>
          <w:tcPr>
            <w:tcW w:w="805" w:type="dxa"/>
            <w:shd w:val="clear" w:color="auto" w:fill="auto"/>
            <w:noWrap w:val="0"/>
            <w:vAlign w:val="center"/>
          </w:tcPr>
          <w:p w14:paraId="3DD625F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1.33</w:t>
            </w:r>
          </w:p>
        </w:tc>
        <w:tc>
          <w:tcPr>
            <w:tcW w:w="810" w:type="dxa"/>
            <w:shd w:val="clear" w:color="auto" w:fill="auto"/>
            <w:noWrap w:val="0"/>
            <w:vAlign w:val="center"/>
          </w:tcPr>
          <w:p w14:paraId="7A69FA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1.40</w:t>
            </w:r>
          </w:p>
        </w:tc>
        <w:tc>
          <w:tcPr>
            <w:tcW w:w="804" w:type="dxa"/>
            <w:shd w:val="clear" w:color="auto" w:fill="auto"/>
            <w:noWrap w:val="0"/>
            <w:vAlign w:val="center"/>
          </w:tcPr>
          <w:p w14:paraId="14D824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1.29</w:t>
            </w:r>
          </w:p>
        </w:tc>
        <w:tc>
          <w:tcPr>
            <w:tcW w:w="810" w:type="dxa"/>
            <w:shd w:val="clear" w:color="auto" w:fill="auto"/>
            <w:noWrap w:val="0"/>
            <w:vAlign w:val="center"/>
          </w:tcPr>
          <w:p w14:paraId="024B14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1.35</w:t>
            </w:r>
          </w:p>
        </w:tc>
        <w:tc>
          <w:tcPr>
            <w:tcW w:w="805" w:type="dxa"/>
            <w:shd w:val="clear" w:color="auto" w:fill="auto"/>
            <w:noWrap w:val="0"/>
            <w:vAlign w:val="center"/>
          </w:tcPr>
          <w:p w14:paraId="7377C2B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1.24</w:t>
            </w:r>
          </w:p>
        </w:tc>
        <w:tc>
          <w:tcPr>
            <w:tcW w:w="832" w:type="dxa"/>
            <w:tcBorders>
              <w:right w:val="single" w:color="000000" w:sz="6" w:space="0"/>
            </w:tcBorders>
            <w:shd w:val="clear" w:color="auto" w:fill="auto"/>
            <w:noWrap w:val="0"/>
            <w:vAlign w:val="center"/>
          </w:tcPr>
          <w:p w14:paraId="6490E0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1.19</w:t>
            </w:r>
          </w:p>
        </w:tc>
      </w:tr>
      <w:tr w14:paraId="6F2E23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64FE595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亚硝酸盐</w:t>
            </w:r>
          </w:p>
        </w:tc>
        <w:tc>
          <w:tcPr>
            <w:tcW w:w="1338" w:type="dxa"/>
            <w:shd w:val="clear" w:color="auto" w:fill="auto"/>
            <w:noWrap w:val="0"/>
            <w:vAlign w:val="center"/>
          </w:tcPr>
          <w:p w14:paraId="13EF40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222001E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388247C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3554AC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54B8B4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443624A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0AEAA86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28FCA68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3C42D7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6EAA74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0D0A32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4EB2E9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0CB2E45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557C51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0A16BB2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31ABDE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137D222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挥发酚</w:t>
            </w:r>
          </w:p>
        </w:tc>
        <w:tc>
          <w:tcPr>
            <w:tcW w:w="1338" w:type="dxa"/>
            <w:shd w:val="clear" w:color="auto" w:fill="auto"/>
            <w:noWrap w:val="0"/>
            <w:vAlign w:val="center"/>
          </w:tcPr>
          <w:p w14:paraId="54A9C93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17211ED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2E0F03E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64C079C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7F58EA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318FD0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0948ADE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3347325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62179D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0ACA2D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6EFC8B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36EDF1B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29C73C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65471D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11C2388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73BCD2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649E9D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砷</w:t>
            </w:r>
          </w:p>
        </w:tc>
        <w:tc>
          <w:tcPr>
            <w:tcW w:w="1338" w:type="dxa"/>
            <w:shd w:val="clear" w:color="auto" w:fill="auto"/>
            <w:noWrap w:val="0"/>
            <w:vAlign w:val="center"/>
          </w:tcPr>
          <w:p w14:paraId="4DD015E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µg/L</w:t>
            </w:r>
          </w:p>
        </w:tc>
        <w:tc>
          <w:tcPr>
            <w:tcW w:w="806" w:type="dxa"/>
            <w:shd w:val="clear" w:color="auto" w:fill="auto"/>
            <w:noWrap w:val="0"/>
            <w:vAlign w:val="center"/>
          </w:tcPr>
          <w:p w14:paraId="4FF7B02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33BF08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1B8A420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570377E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2CDAAC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7B424C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2CD72A6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2C93F29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1A73BC7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31C4CEC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62B36CB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28446A0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1BC3CB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0DB82D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786BF5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90" w:type="dxa"/>
            <w:tcBorders>
              <w:left w:val="single" w:color="000000" w:sz="6" w:space="0"/>
            </w:tcBorders>
            <w:shd w:val="clear" w:color="auto" w:fill="auto"/>
            <w:noWrap w:val="0"/>
            <w:vAlign w:val="center"/>
          </w:tcPr>
          <w:p w14:paraId="32EA1B7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汞</w:t>
            </w:r>
          </w:p>
        </w:tc>
        <w:tc>
          <w:tcPr>
            <w:tcW w:w="1338" w:type="dxa"/>
            <w:shd w:val="clear" w:color="auto" w:fill="auto"/>
            <w:noWrap w:val="0"/>
            <w:vAlign w:val="center"/>
          </w:tcPr>
          <w:p w14:paraId="101E68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µg/L</w:t>
            </w:r>
          </w:p>
        </w:tc>
        <w:tc>
          <w:tcPr>
            <w:tcW w:w="806" w:type="dxa"/>
            <w:shd w:val="clear" w:color="auto" w:fill="auto"/>
            <w:noWrap w:val="0"/>
            <w:vAlign w:val="center"/>
          </w:tcPr>
          <w:p w14:paraId="3331B4A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6CBCDD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5F63A42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719652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02F3402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7F697B2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60E40C3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7FBD94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726FA6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11AE46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075420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7C6EBD2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414DA88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11CCA9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bl>
    <w:p w14:paraId="0A31C71E"/>
    <w:tbl>
      <w:tblPr>
        <w:tblStyle w:val="31"/>
        <w:tblW w:w="13945" w:type="dxa"/>
        <w:tblInd w:w="2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90"/>
        <w:gridCol w:w="1338"/>
        <w:gridCol w:w="806"/>
        <w:gridCol w:w="806"/>
        <w:gridCol w:w="806"/>
        <w:gridCol w:w="808"/>
        <w:gridCol w:w="805"/>
        <w:gridCol w:w="806"/>
        <w:gridCol w:w="806"/>
        <w:gridCol w:w="808"/>
        <w:gridCol w:w="805"/>
        <w:gridCol w:w="810"/>
        <w:gridCol w:w="804"/>
        <w:gridCol w:w="810"/>
        <w:gridCol w:w="805"/>
        <w:gridCol w:w="832"/>
      </w:tblGrid>
      <w:tr w14:paraId="6DAB3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9" w:hRule="atLeast"/>
        </w:trPr>
        <w:tc>
          <w:tcPr>
            <w:tcW w:w="1290" w:type="dxa"/>
            <w:vMerge w:val="restart"/>
            <w:tcBorders>
              <w:top w:val="single" w:color="000000" w:sz="6" w:space="0"/>
              <w:left w:val="single" w:color="000000" w:sz="6" w:space="0"/>
              <w:bottom w:val="nil"/>
            </w:tcBorders>
            <w:shd w:val="clear" w:color="auto" w:fill="auto"/>
            <w:noWrap w:val="0"/>
            <w:vAlign w:val="center"/>
          </w:tcPr>
          <w:p w14:paraId="046E7E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345AB2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检测项目</w:t>
            </w:r>
          </w:p>
        </w:tc>
        <w:tc>
          <w:tcPr>
            <w:tcW w:w="1338" w:type="dxa"/>
            <w:vMerge w:val="restart"/>
            <w:tcBorders>
              <w:top w:val="single" w:color="000000" w:sz="6" w:space="0"/>
              <w:bottom w:val="nil"/>
            </w:tcBorders>
            <w:shd w:val="clear" w:color="auto" w:fill="auto"/>
            <w:noWrap w:val="0"/>
            <w:vAlign w:val="center"/>
          </w:tcPr>
          <w:p w14:paraId="6AA45A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33CFCC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单位</w:t>
            </w:r>
          </w:p>
        </w:tc>
        <w:tc>
          <w:tcPr>
            <w:tcW w:w="11317" w:type="dxa"/>
            <w:gridSpan w:val="14"/>
            <w:tcBorders>
              <w:top w:val="single" w:color="000000" w:sz="6" w:space="0"/>
              <w:right w:val="single" w:color="000000" w:sz="6" w:space="0"/>
            </w:tcBorders>
            <w:shd w:val="clear" w:color="auto" w:fill="auto"/>
            <w:noWrap w:val="0"/>
            <w:vAlign w:val="center"/>
          </w:tcPr>
          <w:p w14:paraId="1BA184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spacing w:val="-1"/>
              </w:rPr>
              <w:t xml:space="preserve">地下水检测结果 </w:t>
            </w:r>
            <w:r>
              <w:rPr>
                <w:rFonts w:eastAsia="Times New Roman"/>
                <w:b/>
                <w:bCs/>
                <w:spacing w:val="-1"/>
              </w:rPr>
              <w:t>(2023.05.16)</w:t>
            </w:r>
          </w:p>
        </w:tc>
      </w:tr>
      <w:tr w14:paraId="25C68C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290" w:type="dxa"/>
            <w:vMerge w:val="continue"/>
            <w:tcBorders>
              <w:top w:val="nil"/>
              <w:left w:val="single" w:color="000000" w:sz="6" w:space="0"/>
              <w:bottom w:val="nil"/>
            </w:tcBorders>
            <w:shd w:val="clear" w:color="auto" w:fill="auto"/>
            <w:noWrap w:val="0"/>
            <w:vAlign w:val="center"/>
          </w:tcPr>
          <w:p w14:paraId="31B22AF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338" w:type="dxa"/>
            <w:vMerge w:val="continue"/>
            <w:tcBorders>
              <w:top w:val="nil"/>
              <w:bottom w:val="nil"/>
            </w:tcBorders>
            <w:shd w:val="clear" w:color="auto" w:fill="auto"/>
            <w:noWrap w:val="0"/>
            <w:vAlign w:val="center"/>
          </w:tcPr>
          <w:p w14:paraId="1EE6AD8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612" w:type="dxa"/>
            <w:gridSpan w:val="2"/>
            <w:shd w:val="clear" w:color="auto" w:fill="auto"/>
            <w:noWrap w:val="0"/>
            <w:vAlign w:val="center"/>
          </w:tcPr>
          <w:p w14:paraId="530C297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姚庄村</w:t>
            </w:r>
          </w:p>
        </w:tc>
        <w:tc>
          <w:tcPr>
            <w:tcW w:w="1614" w:type="dxa"/>
            <w:gridSpan w:val="2"/>
            <w:shd w:val="clear" w:color="auto" w:fill="auto"/>
            <w:noWrap w:val="0"/>
            <w:vAlign w:val="center"/>
          </w:tcPr>
          <w:p w14:paraId="519B40B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夏庄村</w:t>
            </w:r>
          </w:p>
        </w:tc>
        <w:tc>
          <w:tcPr>
            <w:tcW w:w="1611" w:type="dxa"/>
            <w:gridSpan w:val="2"/>
            <w:shd w:val="clear" w:color="auto" w:fill="auto"/>
            <w:noWrap w:val="0"/>
            <w:vAlign w:val="center"/>
          </w:tcPr>
          <w:p w14:paraId="28B5BDA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化纤厂厂区</w:t>
            </w:r>
          </w:p>
        </w:tc>
        <w:tc>
          <w:tcPr>
            <w:tcW w:w="1614" w:type="dxa"/>
            <w:gridSpan w:val="2"/>
            <w:shd w:val="clear" w:color="auto" w:fill="auto"/>
            <w:noWrap w:val="0"/>
            <w:vAlign w:val="center"/>
          </w:tcPr>
          <w:p w14:paraId="445C9BC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双鹭药业</w:t>
            </w:r>
          </w:p>
        </w:tc>
        <w:tc>
          <w:tcPr>
            <w:tcW w:w="1615" w:type="dxa"/>
            <w:gridSpan w:val="2"/>
            <w:shd w:val="clear" w:color="auto" w:fill="auto"/>
            <w:noWrap w:val="0"/>
            <w:vAlign w:val="center"/>
          </w:tcPr>
          <w:p w14:paraId="2AA481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大杨庄村</w:t>
            </w:r>
          </w:p>
        </w:tc>
        <w:tc>
          <w:tcPr>
            <w:tcW w:w="1614" w:type="dxa"/>
            <w:gridSpan w:val="2"/>
            <w:shd w:val="clear" w:color="auto" w:fill="auto"/>
            <w:noWrap w:val="0"/>
            <w:vAlign w:val="center"/>
          </w:tcPr>
          <w:p w14:paraId="5C26721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张河村</w:t>
            </w:r>
          </w:p>
        </w:tc>
        <w:tc>
          <w:tcPr>
            <w:tcW w:w="1637" w:type="dxa"/>
            <w:gridSpan w:val="2"/>
            <w:tcBorders>
              <w:right w:val="single" w:color="000000" w:sz="6" w:space="0"/>
            </w:tcBorders>
            <w:shd w:val="clear" w:color="auto" w:fill="auto"/>
            <w:noWrap w:val="0"/>
            <w:vAlign w:val="center"/>
          </w:tcPr>
          <w:p w14:paraId="054C2F8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新联学院</w:t>
            </w:r>
          </w:p>
        </w:tc>
      </w:tr>
      <w:tr w14:paraId="59329E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vMerge w:val="continue"/>
            <w:tcBorders>
              <w:top w:val="nil"/>
              <w:left w:val="single" w:color="000000" w:sz="6" w:space="0"/>
            </w:tcBorders>
            <w:shd w:val="clear" w:color="auto" w:fill="auto"/>
            <w:noWrap w:val="0"/>
            <w:vAlign w:val="center"/>
          </w:tcPr>
          <w:p w14:paraId="655E90A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338" w:type="dxa"/>
            <w:vMerge w:val="continue"/>
            <w:tcBorders>
              <w:top w:val="nil"/>
            </w:tcBorders>
            <w:shd w:val="clear" w:color="auto" w:fill="auto"/>
            <w:noWrap w:val="0"/>
            <w:vAlign w:val="center"/>
          </w:tcPr>
          <w:p w14:paraId="74635BC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806" w:type="dxa"/>
            <w:shd w:val="clear" w:color="auto" w:fill="auto"/>
            <w:noWrap w:val="0"/>
            <w:vAlign w:val="center"/>
          </w:tcPr>
          <w:p w14:paraId="190697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06" w:type="dxa"/>
            <w:shd w:val="clear" w:color="auto" w:fill="auto"/>
            <w:noWrap w:val="0"/>
            <w:vAlign w:val="center"/>
          </w:tcPr>
          <w:p w14:paraId="197490C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6" w:type="dxa"/>
            <w:shd w:val="clear" w:color="auto" w:fill="auto"/>
            <w:noWrap w:val="0"/>
            <w:vAlign w:val="center"/>
          </w:tcPr>
          <w:p w14:paraId="62F1247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08" w:type="dxa"/>
            <w:shd w:val="clear" w:color="auto" w:fill="auto"/>
            <w:noWrap w:val="0"/>
            <w:vAlign w:val="center"/>
          </w:tcPr>
          <w:p w14:paraId="4AE66B9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5" w:type="dxa"/>
            <w:shd w:val="clear" w:color="auto" w:fill="auto"/>
            <w:noWrap w:val="0"/>
            <w:vAlign w:val="center"/>
          </w:tcPr>
          <w:p w14:paraId="5F59BF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06" w:type="dxa"/>
            <w:shd w:val="clear" w:color="auto" w:fill="auto"/>
            <w:noWrap w:val="0"/>
            <w:vAlign w:val="center"/>
          </w:tcPr>
          <w:p w14:paraId="5FEAA00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6" w:type="dxa"/>
            <w:shd w:val="clear" w:color="auto" w:fill="auto"/>
            <w:noWrap w:val="0"/>
            <w:vAlign w:val="center"/>
          </w:tcPr>
          <w:p w14:paraId="4DC1F26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08" w:type="dxa"/>
            <w:shd w:val="clear" w:color="auto" w:fill="auto"/>
            <w:noWrap w:val="0"/>
            <w:vAlign w:val="center"/>
          </w:tcPr>
          <w:p w14:paraId="774D280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5" w:type="dxa"/>
            <w:shd w:val="clear" w:color="auto" w:fill="auto"/>
            <w:noWrap w:val="0"/>
            <w:vAlign w:val="center"/>
          </w:tcPr>
          <w:p w14:paraId="62E5E1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10" w:type="dxa"/>
            <w:shd w:val="clear" w:color="auto" w:fill="auto"/>
            <w:noWrap w:val="0"/>
            <w:vAlign w:val="center"/>
          </w:tcPr>
          <w:p w14:paraId="2511D5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4" w:type="dxa"/>
            <w:shd w:val="clear" w:color="auto" w:fill="auto"/>
            <w:noWrap w:val="0"/>
            <w:vAlign w:val="center"/>
          </w:tcPr>
          <w:p w14:paraId="48BA13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10" w:type="dxa"/>
            <w:shd w:val="clear" w:color="auto" w:fill="auto"/>
            <w:noWrap w:val="0"/>
            <w:vAlign w:val="center"/>
          </w:tcPr>
          <w:p w14:paraId="3F8D556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5" w:type="dxa"/>
            <w:shd w:val="clear" w:color="auto" w:fill="auto"/>
            <w:noWrap w:val="0"/>
            <w:vAlign w:val="center"/>
          </w:tcPr>
          <w:p w14:paraId="1202F8D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32" w:type="dxa"/>
            <w:tcBorders>
              <w:right w:val="single" w:color="000000" w:sz="6" w:space="0"/>
            </w:tcBorders>
            <w:shd w:val="clear" w:color="auto" w:fill="auto"/>
            <w:noWrap w:val="0"/>
            <w:vAlign w:val="center"/>
          </w:tcPr>
          <w:p w14:paraId="7274365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r>
      <w:tr w14:paraId="6791E7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11206D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spacing w:val="-1"/>
              </w:rPr>
              <w:t>铬</w:t>
            </w:r>
            <w:r>
              <w:rPr>
                <w:rFonts w:eastAsia="Times New Roman"/>
                <w:spacing w:val="-1"/>
              </w:rPr>
              <w:t>(</w:t>
            </w:r>
            <w:r>
              <w:rPr>
                <w:spacing w:val="-1"/>
              </w:rPr>
              <w:t>六价</w:t>
            </w:r>
            <w:r>
              <w:rPr>
                <w:rFonts w:eastAsia="Times New Roman"/>
                <w:spacing w:val="-1"/>
              </w:rPr>
              <w:t>)</w:t>
            </w:r>
          </w:p>
        </w:tc>
        <w:tc>
          <w:tcPr>
            <w:tcW w:w="1338" w:type="dxa"/>
            <w:shd w:val="clear" w:color="auto" w:fill="auto"/>
            <w:noWrap w:val="0"/>
            <w:vAlign w:val="center"/>
          </w:tcPr>
          <w:p w14:paraId="271F5D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756E6A0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0C502E2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6F19FA4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60DD05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561430A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67B198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3721E0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6EE907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312BAF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2589CC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204549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2D9438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51D2686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6202BA9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0D9B51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1290" w:type="dxa"/>
            <w:tcBorders>
              <w:left w:val="single" w:color="000000" w:sz="6" w:space="0"/>
            </w:tcBorders>
            <w:shd w:val="clear" w:color="auto" w:fill="auto"/>
            <w:noWrap w:val="0"/>
            <w:vAlign w:val="center"/>
          </w:tcPr>
          <w:p w14:paraId="5A933E3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总硬度</w:t>
            </w:r>
          </w:p>
        </w:tc>
        <w:tc>
          <w:tcPr>
            <w:tcW w:w="1338" w:type="dxa"/>
            <w:shd w:val="clear" w:color="auto" w:fill="auto"/>
            <w:noWrap w:val="0"/>
            <w:vAlign w:val="center"/>
          </w:tcPr>
          <w:p w14:paraId="7C4AC1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70FDD88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337</w:t>
            </w:r>
          </w:p>
        </w:tc>
        <w:tc>
          <w:tcPr>
            <w:tcW w:w="806" w:type="dxa"/>
            <w:shd w:val="clear" w:color="auto" w:fill="auto"/>
            <w:noWrap w:val="0"/>
            <w:vAlign w:val="center"/>
          </w:tcPr>
          <w:p w14:paraId="05B055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344</w:t>
            </w:r>
          </w:p>
        </w:tc>
        <w:tc>
          <w:tcPr>
            <w:tcW w:w="806" w:type="dxa"/>
            <w:shd w:val="clear" w:color="auto" w:fill="auto"/>
            <w:noWrap w:val="0"/>
            <w:vAlign w:val="center"/>
          </w:tcPr>
          <w:p w14:paraId="7E460F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328</w:t>
            </w:r>
          </w:p>
        </w:tc>
        <w:tc>
          <w:tcPr>
            <w:tcW w:w="808" w:type="dxa"/>
            <w:shd w:val="clear" w:color="auto" w:fill="auto"/>
            <w:noWrap w:val="0"/>
            <w:vAlign w:val="center"/>
          </w:tcPr>
          <w:p w14:paraId="3EBEAD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321</w:t>
            </w:r>
          </w:p>
        </w:tc>
        <w:tc>
          <w:tcPr>
            <w:tcW w:w="805" w:type="dxa"/>
            <w:shd w:val="clear" w:color="auto" w:fill="auto"/>
            <w:noWrap w:val="0"/>
            <w:vAlign w:val="center"/>
          </w:tcPr>
          <w:p w14:paraId="433EB3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356</w:t>
            </w:r>
          </w:p>
        </w:tc>
        <w:tc>
          <w:tcPr>
            <w:tcW w:w="806" w:type="dxa"/>
            <w:shd w:val="clear" w:color="auto" w:fill="auto"/>
            <w:noWrap w:val="0"/>
            <w:vAlign w:val="center"/>
          </w:tcPr>
          <w:p w14:paraId="00455FC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341</w:t>
            </w:r>
          </w:p>
        </w:tc>
        <w:tc>
          <w:tcPr>
            <w:tcW w:w="806" w:type="dxa"/>
            <w:shd w:val="clear" w:color="auto" w:fill="auto"/>
            <w:noWrap w:val="0"/>
            <w:vAlign w:val="center"/>
          </w:tcPr>
          <w:p w14:paraId="4EF90B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352</w:t>
            </w:r>
          </w:p>
        </w:tc>
        <w:tc>
          <w:tcPr>
            <w:tcW w:w="808" w:type="dxa"/>
            <w:shd w:val="clear" w:color="auto" w:fill="auto"/>
            <w:noWrap w:val="0"/>
            <w:vAlign w:val="center"/>
          </w:tcPr>
          <w:p w14:paraId="5D2BA0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358</w:t>
            </w:r>
          </w:p>
        </w:tc>
        <w:tc>
          <w:tcPr>
            <w:tcW w:w="805" w:type="dxa"/>
            <w:shd w:val="clear" w:color="auto" w:fill="auto"/>
            <w:noWrap w:val="0"/>
            <w:vAlign w:val="center"/>
          </w:tcPr>
          <w:p w14:paraId="022C91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319</w:t>
            </w:r>
          </w:p>
        </w:tc>
        <w:tc>
          <w:tcPr>
            <w:tcW w:w="810" w:type="dxa"/>
            <w:shd w:val="clear" w:color="auto" w:fill="auto"/>
            <w:noWrap w:val="0"/>
            <w:vAlign w:val="center"/>
          </w:tcPr>
          <w:p w14:paraId="6A6C9F6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323</w:t>
            </w:r>
          </w:p>
        </w:tc>
        <w:tc>
          <w:tcPr>
            <w:tcW w:w="804" w:type="dxa"/>
            <w:shd w:val="clear" w:color="auto" w:fill="auto"/>
            <w:noWrap w:val="0"/>
            <w:vAlign w:val="center"/>
          </w:tcPr>
          <w:p w14:paraId="64BBBC3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340</w:t>
            </w:r>
          </w:p>
        </w:tc>
        <w:tc>
          <w:tcPr>
            <w:tcW w:w="810" w:type="dxa"/>
            <w:shd w:val="clear" w:color="auto" w:fill="auto"/>
            <w:noWrap w:val="0"/>
            <w:vAlign w:val="center"/>
          </w:tcPr>
          <w:p w14:paraId="1BDC2F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328</w:t>
            </w:r>
          </w:p>
        </w:tc>
        <w:tc>
          <w:tcPr>
            <w:tcW w:w="805" w:type="dxa"/>
            <w:shd w:val="clear" w:color="auto" w:fill="auto"/>
            <w:noWrap w:val="0"/>
            <w:vAlign w:val="center"/>
          </w:tcPr>
          <w:p w14:paraId="080D2B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315</w:t>
            </w:r>
          </w:p>
        </w:tc>
        <w:tc>
          <w:tcPr>
            <w:tcW w:w="832" w:type="dxa"/>
            <w:tcBorders>
              <w:right w:val="single" w:color="000000" w:sz="6" w:space="0"/>
            </w:tcBorders>
            <w:shd w:val="clear" w:color="auto" w:fill="auto"/>
            <w:noWrap w:val="0"/>
            <w:vAlign w:val="center"/>
          </w:tcPr>
          <w:p w14:paraId="582B55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324</w:t>
            </w:r>
          </w:p>
        </w:tc>
      </w:tr>
      <w:tr w14:paraId="1A5375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5897486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氟化物</w:t>
            </w:r>
          </w:p>
        </w:tc>
        <w:tc>
          <w:tcPr>
            <w:tcW w:w="1338" w:type="dxa"/>
            <w:shd w:val="clear" w:color="auto" w:fill="auto"/>
            <w:noWrap w:val="0"/>
            <w:vAlign w:val="center"/>
          </w:tcPr>
          <w:p w14:paraId="46A1AF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0F59B6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0.38</w:t>
            </w:r>
          </w:p>
        </w:tc>
        <w:tc>
          <w:tcPr>
            <w:tcW w:w="806" w:type="dxa"/>
            <w:shd w:val="clear" w:color="auto" w:fill="auto"/>
            <w:noWrap w:val="0"/>
            <w:vAlign w:val="center"/>
          </w:tcPr>
          <w:p w14:paraId="7EE662D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0.41</w:t>
            </w:r>
          </w:p>
        </w:tc>
        <w:tc>
          <w:tcPr>
            <w:tcW w:w="806" w:type="dxa"/>
            <w:shd w:val="clear" w:color="auto" w:fill="auto"/>
            <w:noWrap w:val="0"/>
            <w:vAlign w:val="center"/>
          </w:tcPr>
          <w:p w14:paraId="71BE0D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0.32</w:t>
            </w:r>
          </w:p>
        </w:tc>
        <w:tc>
          <w:tcPr>
            <w:tcW w:w="808" w:type="dxa"/>
            <w:shd w:val="clear" w:color="auto" w:fill="auto"/>
            <w:noWrap w:val="0"/>
            <w:vAlign w:val="center"/>
          </w:tcPr>
          <w:p w14:paraId="00284E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0.29</w:t>
            </w:r>
          </w:p>
        </w:tc>
        <w:tc>
          <w:tcPr>
            <w:tcW w:w="805" w:type="dxa"/>
            <w:shd w:val="clear" w:color="auto" w:fill="auto"/>
            <w:noWrap w:val="0"/>
            <w:vAlign w:val="center"/>
          </w:tcPr>
          <w:p w14:paraId="6A2B8E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0.48</w:t>
            </w:r>
          </w:p>
        </w:tc>
        <w:tc>
          <w:tcPr>
            <w:tcW w:w="806" w:type="dxa"/>
            <w:shd w:val="clear" w:color="auto" w:fill="auto"/>
            <w:noWrap w:val="0"/>
            <w:vAlign w:val="center"/>
          </w:tcPr>
          <w:p w14:paraId="2986D5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0.44</w:t>
            </w:r>
          </w:p>
        </w:tc>
        <w:tc>
          <w:tcPr>
            <w:tcW w:w="806" w:type="dxa"/>
            <w:shd w:val="clear" w:color="auto" w:fill="auto"/>
            <w:noWrap w:val="0"/>
            <w:vAlign w:val="center"/>
          </w:tcPr>
          <w:p w14:paraId="072C6F8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0.51</w:t>
            </w:r>
          </w:p>
        </w:tc>
        <w:tc>
          <w:tcPr>
            <w:tcW w:w="808" w:type="dxa"/>
            <w:shd w:val="clear" w:color="auto" w:fill="auto"/>
            <w:noWrap w:val="0"/>
            <w:vAlign w:val="center"/>
          </w:tcPr>
          <w:p w14:paraId="33213D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0.49</w:t>
            </w:r>
          </w:p>
        </w:tc>
        <w:tc>
          <w:tcPr>
            <w:tcW w:w="805" w:type="dxa"/>
            <w:shd w:val="clear" w:color="auto" w:fill="auto"/>
            <w:noWrap w:val="0"/>
            <w:vAlign w:val="center"/>
          </w:tcPr>
          <w:p w14:paraId="4C4D98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0.23</w:t>
            </w:r>
          </w:p>
        </w:tc>
        <w:tc>
          <w:tcPr>
            <w:tcW w:w="810" w:type="dxa"/>
            <w:shd w:val="clear" w:color="auto" w:fill="auto"/>
            <w:noWrap w:val="0"/>
            <w:vAlign w:val="center"/>
          </w:tcPr>
          <w:p w14:paraId="76DF29F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0.33</w:t>
            </w:r>
          </w:p>
        </w:tc>
        <w:tc>
          <w:tcPr>
            <w:tcW w:w="804" w:type="dxa"/>
            <w:shd w:val="clear" w:color="auto" w:fill="auto"/>
            <w:noWrap w:val="0"/>
            <w:vAlign w:val="center"/>
          </w:tcPr>
          <w:p w14:paraId="44E89C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0.34</w:t>
            </w:r>
          </w:p>
        </w:tc>
        <w:tc>
          <w:tcPr>
            <w:tcW w:w="810" w:type="dxa"/>
            <w:shd w:val="clear" w:color="auto" w:fill="auto"/>
            <w:noWrap w:val="0"/>
            <w:vAlign w:val="center"/>
          </w:tcPr>
          <w:p w14:paraId="6BF184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0.28</w:t>
            </w:r>
          </w:p>
        </w:tc>
        <w:tc>
          <w:tcPr>
            <w:tcW w:w="805" w:type="dxa"/>
            <w:shd w:val="clear" w:color="auto" w:fill="auto"/>
            <w:noWrap w:val="0"/>
            <w:vAlign w:val="center"/>
          </w:tcPr>
          <w:p w14:paraId="62EEBF0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0.21</w:t>
            </w:r>
          </w:p>
        </w:tc>
        <w:tc>
          <w:tcPr>
            <w:tcW w:w="832" w:type="dxa"/>
            <w:tcBorders>
              <w:right w:val="single" w:color="000000" w:sz="6" w:space="0"/>
            </w:tcBorders>
            <w:shd w:val="clear" w:color="auto" w:fill="auto"/>
            <w:noWrap w:val="0"/>
            <w:vAlign w:val="center"/>
          </w:tcPr>
          <w:p w14:paraId="3ADB916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0.35</w:t>
            </w:r>
          </w:p>
        </w:tc>
      </w:tr>
      <w:tr w14:paraId="4D645A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29CEF1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镉</w:t>
            </w:r>
          </w:p>
        </w:tc>
        <w:tc>
          <w:tcPr>
            <w:tcW w:w="1338" w:type="dxa"/>
            <w:shd w:val="clear" w:color="auto" w:fill="auto"/>
            <w:noWrap w:val="0"/>
            <w:vAlign w:val="center"/>
          </w:tcPr>
          <w:p w14:paraId="1C93E4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7676EFB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73AE5A7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5C13C5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7825E1E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2A3689F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536F0FE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6AF3B4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1697C2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047634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5903516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258932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18F704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21FC117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59D9CDE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342FA2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290" w:type="dxa"/>
            <w:tcBorders>
              <w:left w:val="single" w:color="000000" w:sz="6" w:space="0"/>
            </w:tcBorders>
            <w:shd w:val="clear" w:color="auto" w:fill="auto"/>
            <w:noWrap w:val="0"/>
            <w:vAlign w:val="center"/>
          </w:tcPr>
          <w:p w14:paraId="2A30BB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铁</w:t>
            </w:r>
          </w:p>
        </w:tc>
        <w:tc>
          <w:tcPr>
            <w:tcW w:w="1338" w:type="dxa"/>
            <w:shd w:val="clear" w:color="auto" w:fill="auto"/>
            <w:noWrap w:val="0"/>
            <w:vAlign w:val="center"/>
          </w:tcPr>
          <w:p w14:paraId="38862B8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62FBBA3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2B22887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64DCB87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61336A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685996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2AE722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08F557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29E5AAD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0A0DC0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0B74D1F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1B20F9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5BFD65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11AFF6B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44A5A32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348852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42FA8D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锰</w:t>
            </w:r>
          </w:p>
        </w:tc>
        <w:tc>
          <w:tcPr>
            <w:tcW w:w="1338" w:type="dxa"/>
            <w:shd w:val="clear" w:color="auto" w:fill="auto"/>
            <w:noWrap w:val="0"/>
            <w:vAlign w:val="center"/>
          </w:tcPr>
          <w:p w14:paraId="2F263C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45FAA43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79373A4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249E716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72A9C9E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21FA56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3EBB64C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5FB7209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2E1FE2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7C52BD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3BF0769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7C59AEE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3183B1A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1E87A9A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7A82F00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2879A8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111A66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铅</w:t>
            </w:r>
          </w:p>
        </w:tc>
        <w:tc>
          <w:tcPr>
            <w:tcW w:w="1338" w:type="dxa"/>
            <w:shd w:val="clear" w:color="auto" w:fill="auto"/>
            <w:noWrap w:val="0"/>
            <w:vAlign w:val="center"/>
          </w:tcPr>
          <w:p w14:paraId="3507A9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6E3BA7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48BBCDC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352DB6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75474A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0AC8B39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118FE27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6B06F39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5DB5ECB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45A017D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005F9D8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06B8E4F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0B5B7B3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50736AD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4F0ACC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424A57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290" w:type="dxa"/>
            <w:tcBorders>
              <w:left w:val="single" w:color="000000" w:sz="6" w:space="0"/>
            </w:tcBorders>
            <w:shd w:val="clear" w:color="auto" w:fill="auto"/>
            <w:noWrap w:val="0"/>
            <w:vAlign w:val="center"/>
          </w:tcPr>
          <w:p w14:paraId="026FB24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铜</w:t>
            </w:r>
          </w:p>
        </w:tc>
        <w:tc>
          <w:tcPr>
            <w:tcW w:w="1338" w:type="dxa"/>
            <w:shd w:val="clear" w:color="auto" w:fill="auto"/>
            <w:noWrap w:val="0"/>
            <w:vAlign w:val="center"/>
          </w:tcPr>
          <w:p w14:paraId="286459A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215AD7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152C291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4DD537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08CC5E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0DBCE9A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5C80AAB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7CE5DF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4008B1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5F2B958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5AF39A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09ECB08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382684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678364E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704CAC5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382329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5AB9374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锌</w:t>
            </w:r>
          </w:p>
        </w:tc>
        <w:tc>
          <w:tcPr>
            <w:tcW w:w="1338" w:type="dxa"/>
            <w:shd w:val="clear" w:color="auto" w:fill="auto"/>
            <w:noWrap w:val="0"/>
            <w:vAlign w:val="center"/>
          </w:tcPr>
          <w:p w14:paraId="2DC2059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478AAB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0D9A8EA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7C2D68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484B69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3935C5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620F9E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06FC584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4BBDC26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4A1883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3ED0FD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7C21F7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1E2978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5776D8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1C2D805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5D1C83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547EE0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铝</w:t>
            </w:r>
          </w:p>
        </w:tc>
        <w:tc>
          <w:tcPr>
            <w:tcW w:w="1338" w:type="dxa"/>
            <w:shd w:val="clear" w:color="auto" w:fill="auto"/>
            <w:noWrap w:val="0"/>
            <w:vAlign w:val="center"/>
          </w:tcPr>
          <w:p w14:paraId="05B287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7C46681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4106B2C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69A7411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34F5C4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548472C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150A61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1DA5D1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371452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19AC4A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3FCC45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59A309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416AD3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1EC99E3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722C9CE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75BC8D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1290" w:type="dxa"/>
            <w:tcBorders>
              <w:left w:val="single" w:color="000000" w:sz="6" w:space="0"/>
            </w:tcBorders>
            <w:shd w:val="clear" w:color="auto" w:fill="auto"/>
            <w:noWrap w:val="0"/>
            <w:vAlign w:val="center"/>
          </w:tcPr>
          <w:p w14:paraId="11496E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溶解性总固</w:t>
            </w:r>
            <w:r>
              <w:rPr>
                <w:spacing w:val="1"/>
              </w:rPr>
              <w:t xml:space="preserve"> </w:t>
            </w:r>
            <w:r>
              <w:t>体</w:t>
            </w:r>
          </w:p>
        </w:tc>
        <w:tc>
          <w:tcPr>
            <w:tcW w:w="1338" w:type="dxa"/>
            <w:shd w:val="clear" w:color="auto" w:fill="auto"/>
            <w:noWrap w:val="0"/>
            <w:vAlign w:val="center"/>
          </w:tcPr>
          <w:p w14:paraId="49B76EE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19E099A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443</w:t>
            </w:r>
          </w:p>
        </w:tc>
        <w:tc>
          <w:tcPr>
            <w:tcW w:w="806" w:type="dxa"/>
            <w:shd w:val="clear" w:color="auto" w:fill="auto"/>
            <w:noWrap w:val="0"/>
            <w:vAlign w:val="center"/>
          </w:tcPr>
          <w:p w14:paraId="2EAAC9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439</w:t>
            </w:r>
          </w:p>
        </w:tc>
        <w:tc>
          <w:tcPr>
            <w:tcW w:w="806" w:type="dxa"/>
            <w:shd w:val="clear" w:color="auto" w:fill="auto"/>
            <w:noWrap w:val="0"/>
            <w:vAlign w:val="center"/>
          </w:tcPr>
          <w:p w14:paraId="22D1B6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423</w:t>
            </w:r>
          </w:p>
        </w:tc>
        <w:tc>
          <w:tcPr>
            <w:tcW w:w="808" w:type="dxa"/>
            <w:shd w:val="clear" w:color="auto" w:fill="auto"/>
            <w:noWrap w:val="0"/>
            <w:vAlign w:val="center"/>
          </w:tcPr>
          <w:p w14:paraId="7FD2B0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435</w:t>
            </w:r>
          </w:p>
        </w:tc>
        <w:tc>
          <w:tcPr>
            <w:tcW w:w="805" w:type="dxa"/>
            <w:shd w:val="clear" w:color="auto" w:fill="auto"/>
            <w:noWrap w:val="0"/>
            <w:vAlign w:val="center"/>
          </w:tcPr>
          <w:p w14:paraId="2D3ECC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461</w:t>
            </w:r>
          </w:p>
        </w:tc>
        <w:tc>
          <w:tcPr>
            <w:tcW w:w="806" w:type="dxa"/>
            <w:shd w:val="clear" w:color="auto" w:fill="auto"/>
            <w:noWrap w:val="0"/>
            <w:vAlign w:val="center"/>
          </w:tcPr>
          <w:p w14:paraId="007153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457</w:t>
            </w:r>
          </w:p>
        </w:tc>
        <w:tc>
          <w:tcPr>
            <w:tcW w:w="806" w:type="dxa"/>
            <w:shd w:val="clear" w:color="auto" w:fill="auto"/>
            <w:noWrap w:val="0"/>
            <w:vAlign w:val="center"/>
          </w:tcPr>
          <w:p w14:paraId="53FC8E5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452</w:t>
            </w:r>
          </w:p>
        </w:tc>
        <w:tc>
          <w:tcPr>
            <w:tcW w:w="808" w:type="dxa"/>
            <w:shd w:val="clear" w:color="auto" w:fill="auto"/>
            <w:noWrap w:val="0"/>
            <w:vAlign w:val="center"/>
          </w:tcPr>
          <w:p w14:paraId="382D539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467</w:t>
            </w:r>
          </w:p>
        </w:tc>
        <w:tc>
          <w:tcPr>
            <w:tcW w:w="805" w:type="dxa"/>
            <w:shd w:val="clear" w:color="auto" w:fill="auto"/>
            <w:noWrap w:val="0"/>
            <w:vAlign w:val="center"/>
          </w:tcPr>
          <w:p w14:paraId="576A445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425</w:t>
            </w:r>
          </w:p>
        </w:tc>
        <w:tc>
          <w:tcPr>
            <w:tcW w:w="810" w:type="dxa"/>
            <w:shd w:val="clear" w:color="auto" w:fill="auto"/>
            <w:noWrap w:val="0"/>
            <w:vAlign w:val="center"/>
          </w:tcPr>
          <w:p w14:paraId="38CB99C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418</w:t>
            </w:r>
          </w:p>
        </w:tc>
        <w:tc>
          <w:tcPr>
            <w:tcW w:w="804" w:type="dxa"/>
            <w:shd w:val="clear" w:color="auto" w:fill="auto"/>
            <w:noWrap w:val="0"/>
            <w:vAlign w:val="center"/>
          </w:tcPr>
          <w:p w14:paraId="3403D1C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431</w:t>
            </w:r>
          </w:p>
        </w:tc>
        <w:tc>
          <w:tcPr>
            <w:tcW w:w="810" w:type="dxa"/>
            <w:shd w:val="clear" w:color="auto" w:fill="auto"/>
            <w:noWrap w:val="0"/>
            <w:vAlign w:val="center"/>
          </w:tcPr>
          <w:p w14:paraId="1FF99E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427</w:t>
            </w:r>
          </w:p>
        </w:tc>
        <w:tc>
          <w:tcPr>
            <w:tcW w:w="805" w:type="dxa"/>
            <w:shd w:val="clear" w:color="auto" w:fill="auto"/>
            <w:noWrap w:val="0"/>
            <w:vAlign w:val="center"/>
          </w:tcPr>
          <w:p w14:paraId="7527C5E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421</w:t>
            </w:r>
          </w:p>
        </w:tc>
        <w:tc>
          <w:tcPr>
            <w:tcW w:w="832" w:type="dxa"/>
            <w:tcBorders>
              <w:right w:val="single" w:color="000000" w:sz="6" w:space="0"/>
            </w:tcBorders>
            <w:shd w:val="clear" w:color="auto" w:fill="auto"/>
            <w:noWrap w:val="0"/>
            <w:vAlign w:val="center"/>
          </w:tcPr>
          <w:p w14:paraId="1924F1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416</w:t>
            </w:r>
          </w:p>
        </w:tc>
      </w:tr>
      <w:tr w14:paraId="46A81A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290" w:type="dxa"/>
            <w:tcBorders>
              <w:left w:val="single" w:color="000000" w:sz="6" w:space="0"/>
            </w:tcBorders>
            <w:shd w:val="clear" w:color="auto" w:fill="auto"/>
            <w:noWrap w:val="0"/>
            <w:vAlign w:val="center"/>
          </w:tcPr>
          <w:p w14:paraId="222534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耗氧量</w:t>
            </w:r>
          </w:p>
        </w:tc>
        <w:tc>
          <w:tcPr>
            <w:tcW w:w="1338" w:type="dxa"/>
            <w:shd w:val="clear" w:color="auto" w:fill="auto"/>
            <w:noWrap w:val="0"/>
            <w:vAlign w:val="center"/>
          </w:tcPr>
          <w:p w14:paraId="590F32F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07CBCC9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1.13</w:t>
            </w:r>
          </w:p>
        </w:tc>
        <w:tc>
          <w:tcPr>
            <w:tcW w:w="806" w:type="dxa"/>
            <w:shd w:val="clear" w:color="auto" w:fill="auto"/>
            <w:noWrap w:val="0"/>
            <w:vAlign w:val="center"/>
          </w:tcPr>
          <w:p w14:paraId="071B2F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1.04</w:t>
            </w:r>
          </w:p>
        </w:tc>
        <w:tc>
          <w:tcPr>
            <w:tcW w:w="806" w:type="dxa"/>
            <w:shd w:val="clear" w:color="auto" w:fill="auto"/>
            <w:noWrap w:val="0"/>
            <w:vAlign w:val="center"/>
          </w:tcPr>
          <w:p w14:paraId="52E4E2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1.08</w:t>
            </w:r>
          </w:p>
        </w:tc>
        <w:tc>
          <w:tcPr>
            <w:tcW w:w="808" w:type="dxa"/>
            <w:shd w:val="clear" w:color="auto" w:fill="auto"/>
            <w:noWrap w:val="0"/>
            <w:vAlign w:val="center"/>
          </w:tcPr>
          <w:p w14:paraId="43DD273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1.20</w:t>
            </w:r>
          </w:p>
        </w:tc>
        <w:tc>
          <w:tcPr>
            <w:tcW w:w="805" w:type="dxa"/>
            <w:shd w:val="clear" w:color="auto" w:fill="auto"/>
            <w:noWrap w:val="0"/>
            <w:vAlign w:val="center"/>
          </w:tcPr>
          <w:p w14:paraId="3CDAC3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1.46</w:t>
            </w:r>
          </w:p>
        </w:tc>
        <w:tc>
          <w:tcPr>
            <w:tcW w:w="806" w:type="dxa"/>
            <w:shd w:val="clear" w:color="auto" w:fill="auto"/>
            <w:noWrap w:val="0"/>
            <w:vAlign w:val="center"/>
          </w:tcPr>
          <w:p w14:paraId="6E0614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1.39</w:t>
            </w:r>
          </w:p>
        </w:tc>
        <w:tc>
          <w:tcPr>
            <w:tcW w:w="806" w:type="dxa"/>
            <w:shd w:val="clear" w:color="auto" w:fill="auto"/>
            <w:noWrap w:val="0"/>
            <w:vAlign w:val="center"/>
          </w:tcPr>
          <w:p w14:paraId="0D6EF1A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1.41</w:t>
            </w:r>
          </w:p>
        </w:tc>
        <w:tc>
          <w:tcPr>
            <w:tcW w:w="808" w:type="dxa"/>
            <w:shd w:val="clear" w:color="auto" w:fill="auto"/>
            <w:noWrap w:val="0"/>
            <w:vAlign w:val="center"/>
          </w:tcPr>
          <w:p w14:paraId="3A91EA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1.50</w:t>
            </w:r>
          </w:p>
        </w:tc>
        <w:tc>
          <w:tcPr>
            <w:tcW w:w="805" w:type="dxa"/>
            <w:shd w:val="clear" w:color="auto" w:fill="auto"/>
            <w:noWrap w:val="0"/>
            <w:vAlign w:val="center"/>
          </w:tcPr>
          <w:p w14:paraId="247AE68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1.34</w:t>
            </w:r>
          </w:p>
        </w:tc>
        <w:tc>
          <w:tcPr>
            <w:tcW w:w="810" w:type="dxa"/>
            <w:shd w:val="clear" w:color="auto" w:fill="auto"/>
            <w:noWrap w:val="0"/>
            <w:vAlign w:val="center"/>
          </w:tcPr>
          <w:p w14:paraId="59FE6A6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1.28</w:t>
            </w:r>
          </w:p>
        </w:tc>
        <w:tc>
          <w:tcPr>
            <w:tcW w:w="804" w:type="dxa"/>
            <w:shd w:val="clear" w:color="auto" w:fill="auto"/>
            <w:noWrap w:val="0"/>
            <w:vAlign w:val="center"/>
          </w:tcPr>
          <w:p w14:paraId="5218B3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1.17</w:t>
            </w:r>
          </w:p>
        </w:tc>
        <w:tc>
          <w:tcPr>
            <w:tcW w:w="810" w:type="dxa"/>
            <w:shd w:val="clear" w:color="auto" w:fill="auto"/>
            <w:noWrap w:val="0"/>
            <w:vAlign w:val="center"/>
          </w:tcPr>
          <w:p w14:paraId="2490757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1.09</w:t>
            </w:r>
          </w:p>
        </w:tc>
        <w:tc>
          <w:tcPr>
            <w:tcW w:w="805" w:type="dxa"/>
            <w:shd w:val="clear" w:color="auto" w:fill="auto"/>
            <w:noWrap w:val="0"/>
            <w:vAlign w:val="center"/>
          </w:tcPr>
          <w:p w14:paraId="6D34CB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1.22</w:t>
            </w:r>
          </w:p>
        </w:tc>
        <w:tc>
          <w:tcPr>
            <w:tcW w:w="832" w:type="dxa"/>
            <w:tcBorders>
              <w:right w:val="single" w:color="000000" w:sz="6" w:space="0"/>
            </w:tcBorders>
            <w:shd w:val="clear" w:color="auto" w:fill="auto"/>
            <w:noWrap w:val="0"/>
            <w:vAlign w:val="center"/>
          </w:tcPr>
          <w:p w14:paraId="643834C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1.15</w:t>
            </w:r>
          </w:p>
        </w:tc>
      </w:tr>
      <w:tr w14:paraId="172BE6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46529A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硫化物</w:t>
            </w:r>
          </w:p>
        </w:tc>
        <w:tc>
          <w:tcPr>
            <w:tcW w:w="1338" w:type="dxa"/>
            <w:shd w:val="clear" w:color="auto" w:fill="auto"/>
            <w:noWrap w:val="0"/>
            <w:vAlign w:val="center"/>
          </w:tcPr>
          <w:p w14:paraId="349EA7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0151129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0E57FC5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3B5767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74726D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0CFC8BA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4234DE4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39281A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1EBC85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17E8A0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1D5EC2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3221AC2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516412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7F42B9C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29262A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173985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3" w:hRule="atLeast"/>
        </w:trPr>
        <w:tc>
          <w:tcPr>
            <w:tcW w:w="1290" w:type="dxa"/>
            <w:tcBorders>
              <w:left w:val="single" w:color="000000" w:sz="6" w:space="0"/>
            </w:tcBorders>
            <w:shd w:val="clear" w:color="auto" w:fill="auto"/>
            <w:noWrap w:val="0"/>
            <w:vAlign w:val="center"/>
          </w:tcPr>
          <w:p w14:paraId="05F1A5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苯</w:t>
            </w:r>
          </w:p>
        </w:tc>
        <w:tc>
          <w:tcPr>
            <w:tcW w:w="1338" w:type="dxa"/>
            <w:shd w:val="clear" w:color="auto" w:fill="auto"/>
            <w:noWrap w:val="0"/>
            <w:vAlign w:val="center"/>
          </w:tcPr>
          <w:p w14:paraId="77CC61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µg/L</w:t>
            </w:r>
          </w:p>
        </w:tc>
        <w:tc>
          <w:tcPr>
            <w:tcW w:w="806" w:type="dxa"/>
            <w:shd w:val="clear" w:color="auto" w:fill="auto"/>
            <w:noWrap w:val="0"/>
            <w:vAlign w:val="center"/>
          </w:tcPr>
          <w:p w14:paraId="585840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6A1DF45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6E64BB2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70EC600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5FA765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2CD378D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517D657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1F6083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2907378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7D428A8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17EA01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077619B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07AC696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277FC0C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473695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290" w:type="dxa"/>
            <w:tcBorders>
              <w:left w:val="single" w:color="000000" w:sz="6" w:space="0"/>
            </w:tcBorders>
            <w:shd w:val="clear" w:color="auto" w:fill="auto"/>
            <w:noWrap w:val="0"/>
            <w:vAlign w:val="center"/>
          </w:tcPr>
          <w:p w14:paraId="08BB9DC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9"/>
              </w:rPr>
              <w:t>甲苯</w:t>
            </w:r>
          </w:p>
        </w:tc>
        <w:tc>
          <w:tcPr>
            <w:tcW w:w="1338" w:type="dxa"/>
            <w:shd w:val="clear" w:color="auto" w:fill="auto"/>
            <w:noWrap w:val="0"/>
            <w:vAlign w:val="center"/>
          </w:tcPr>
          <w:p w14:paraId="612132D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µg/L</w:t>
            </w:r>
          </w:p>
        </w:tc>
        <w:tc>
          <w:tcPr>
            <w:tcW w:w="806" w:type="dxa"/>
            <w:shd w:val="clear" w:color="auto" w:fill="auto"/>
            <w:noWrap w:val="0"/>
            <w:vAlign w:val="center"/>
          </w:tcPr>
          <w:p w14:paraId="049C8C5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5491098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1367E70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45C1D28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2522450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7338B9E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76406D7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3D572E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1BE627C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01D2AA2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338097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65FA3BF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49BC34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664B5EC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63A427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1290" w:type="dxa"/>
            <w:tcBorders>
              <w:left w:val="single" w:color="000000" w:sz="6" w:space="0"/>
            </w:tcBorders>
            <w:shd w:val="clear" w:color="auto" w:fill="auto"/>
            <w:noWrap w:val="0"/>
            <w:vAlign w:val="center"/>
          </w:tcPr>
          <w:p w14:paraId="558858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二甲苯</w:t>
            </w:r>
          </w:p>
        </w:tc>
        <w:tc>
          <w:tcPr>
            <w:tcW w:w="1338" w:type="dxa"/>
            <w:shd w:val="clear" w:color="auto" w:fill="auto"/>
            <w:noWrap w:val="0"/>
            <w:vAlign w:val="center"/>
          </w:tcPr>
          <w:p w14:paraId="61BA32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µg/L</w:t>
            </w:r>
          </w:p>
        </w:tc>
        <w:tc>
          <w:tcPr>
            <w:tcW w:w="806" w:type="dxa"/>
            <w:shd w:val="clear" w:color="auto" w:fill="auto"/>
            <w:noWrap w:val="0"/>
            <w:vAlign w:val="center"/>
          </w:tcPr>
          <w:p w14:paraId="41B5E5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743B0E0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01BD95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7ABCEA7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254B8E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749B422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4AACB5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1A3686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6BBD889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5FC179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35F268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168CC40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2FBA20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4069060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bl>
    <w:p w14:paraId="58B71048"/>
    <w:tbl>
      <w:tblPr>
        <w:tblStyle w:val="31"/>
        <w:tblW w:w="13945" w:type="dxa"/>
        <w:tblInd w:w="2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90"/>
        <w:gridCol w:w="1338"/>
        <w:gridCol w:w="806"/>
        <w:gridCol w:w="806"/>
        <w:gridCol w:w="806"/>
        <w:gridCol w:w="808"/>
        <w:gridCol w:w="805"/>
        <w:gridCol w:w="806"/>
        <w:gridCol w:w="806"/>
        <w:gridCol w:w="808"/>
        <w:gridCol w:w="805"/>
        <w:gridCol w:w="810"/>
        <w:gridCol w:w="804"/>
        <w:gridCol w:w="810"/>
        <w:gridCol w:w="805"/>
        <w:gridCol w:w="832"/>
      </w:tblGrid>
      <w:tr w14:paraId="240D50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8" w:hRule="atLeast"/>
        </w:trPr>
        <w:tc>
          <w:tcPr>
            <w:tcW w:w="1290" w:type="dxa"/>
            <w:vMerge w:val="restart"/>
            <w:tcBorders>
              <w:top w:val="single" w:color="000000" w:sz="6" w:space="0"/>
              <w:left w:val="single" w:color="000000" w:sz="6" w:space="0"/>
              <w:bottom w:val="nil"/>
            </w:tcBorders>
            <w:shd w:val="clear" w:color="auto" w:fill="auto"/>
            <w:noWrap w:val="0"/>
            <w:vAlign w:val="center"/>
          </w:tcPr>
          <w:p w14:paraId="54ADEE9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15797A5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检测项目</w:t>
            </w:r>
          </w:p>
        </w:tc>
        <w:tc>
          <w:tcPr>
            <w:tcW w:w="1338" w:type="dxa"/>
            <w:vMerge w:val="restart"/>
            <w:tcBorders>
              <w:top w:val="single" w:color="000000" w:sz="6" w:space="0"/>
              <w:bottom w:val="nil"/>
            </w:tcBorders>
            <w:shd w:val="clear" w:color="auto" w:fill="auto"/>
            <w:noWrap w:val="0"/>
            <w:vAlign w:val="center"/>
          </w:tcPr>
          <w:p w14:paraId="002A26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6413ED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单位</w:t>
            </w:r>
          </w:p>
        </w:tc>
        <w:tc>
          <w:tcPr>
            <w:tcW w:w="11317" w:type="dxa"/>
            <w:gridSpan w:val="14"/>
            <w:tcBorders>
              <w:top w:val="single" w:color="000000" w:sz="6" w:space="0"/>
              <w:right w:val="single" w:color="000000" w:sz="6" w:space="0"/>
            </w:tcBorders>
            <w:shd w:val="clear" w:color="auto" w:fill="auto"/>
            <w:noWrap w:val="0"/>
            <w:vAlign w:val="center"/>
          </w:tcPr>
          <w:p w14:paraId="50AB5F8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spacing w:val="-1"/>
              </w:rPr>
              <w:t xml:space="preserve">地下水检测结果 </w:t>
            </w:r>
            <w:r>
              <w:rPr>
                <w:rFonts w:eastAsia="Times New Roman"/>
                <w:b/>
                <w:bCs/>
                <w:spacing w:val="-1"/>
              </w:rPr>
              <w:t>(2023.05.16)</w:t>
            </w:r>
          </w:p>
        </w:tc>
      </w:tr>
      <w:tr w14:paraId="66DD1F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trPr>
        <w:tc>
          <w:tcPr>
            <w:tcW w:w="1290" w:type="dxa"/>
            <w:vMerge w:val="continue"/>
            <w:tcBorders>
              <w:top w:val="nil"/>
              <w:left w:val="single" w:color="000000" w:sz="6" w:space="0"/>
              <w:bottom w:val="nil"/>
            </w:tcBorders>
            <w:shd w:val="clear" w:color="auto" w:fill="auto"/>
            <w:noWrap w:val="0"/>
            <w:vAlign w:val="center"/>
          </w:tcPr>
          <w:p w14:paraId="283CA3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338" w:type="dxa"/>
            <w:vMerge w:val="continue"/>
            <w:tcBorders>
              <w:top w:val="nil"/>
              <w:bottom w:val="nil"/>
            </w:tcBorders>
            <w:shd w:val="clear" w:color="auto" w:fill="auto"/>
            <w:noWrap w:val="0"/>
            <w:vAlign w:val="center"/>
          </w:tcPr>
          <w:p w14:paraId="3F99BA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612" w:type="dxa"/>
            <w:gridSpan w:val="2"/>
            <w:shd w:val="clear" w:color="auto" w:fill="auto"/>
            <w:noWrap w:val="0"/>
            <w:vAlign w:val="center"/>
          </w:tcPr>
          <w:p w14:paraId="493311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姚庄村</w:t>
            </w:r>
          </w:p>
        </w:tc>
        <w:tc>
          <w:tcPr>
            <w:tcW w:w="1614" w:type="dxa"/>
            <w:gridSpan w:val="2"/>
            <w:shd w:val="clear" w:color="auto" w:fill="auto"/>
            <w:noWrap w:val="0"/>
            <w:vAlign w:val="center"/>
          </w:tcPr>
          <w:p w14:paraId="220FE4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夏庄村</w:t>
            </w:r>
          </w:p>
        </w:tc>
        <w:tc>
          <w:tcPr>
            <w:tcW w:w="1611" w:type="dxa"/>
            <w:gridSpan w:val="2"/>
            <w:shd w:val="clear" w:color="auto" w:fill="auto"/>
            <w:noWrap w:val="0"/>
            <w:vAlign w:val="center"/>
          </w:tcPr>
          <w:p w14:paraId="293697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化纤厂厂区</w:t>
            </w:r>
          </w:p>
        </w:tc>
        <w:tc>
          <w:tcPr>
            <w:tcW w:w="1614" w:type="dxa"/>
            <w:gridSpan w:val="2"/>
            <w:shd w:val="clear" w:color="auto" w:fill="auto"/>
            <w:noWrap w:val="0"/>
            <w:vAlign w:val="center"/>
          </w:tcPr>
          <w:p w14:paraId="6157EB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双鹭药业</w:t>
            </w:r>
          </w:p>
        </w:tc>
        <w:tc>
          <w:tcPr>
            <w:tcW w:w="1615" w:type="dxa"/>
            <w:gridSpan w:val="2"/>
            <w:shd w:val="clear" w:color="auto" w:fill="auto"/>
            <w:noWrap w:val="0"/>
            <w:vAlign w:val="center"/>
          </w:tcPr>
          <w:p w14:paraId="46A259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大杨庄村</w:t>
            </w:r>
          </w:p>
        </w:tc>
        <w:tc>
          <w:tcPr>
            <w:tcW w:w="1614" w:type="dxa"/>
            <w:gridSpan w:val="2"/>
            <w:shd w:val="clear" w:color="auto" w:fill="auto"/>
            <w:noWrap w:val="0"/>
            <w:vAlign w:val="center"/>
          </w:tcPr>
          <w:p w14:paraId="346983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张河村</w:t>
            </w:r>
          </w:p>
        </w:tc>
        <w:tc>
          <w:tcPr>
            <w:tcW w:w="1637" w:type="dxa"/>
            <w:gridSpan w:val="2"/>
            <w:tcBorders>
              <w:right w:val="single" w:color="000000" w:sz="6" w:space="0"/>
            </w:tcBorders>
            <w:shd w:val="clear" w:color="auto" w:fill="auto"/>
            <w:noWrap w:val="0"/>
            <w:vAlign w:val="center"/>
          </w:tcPr>
          <w:p w14:paraId="010B0E8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新联学院</w:t>
            </w:r>
          </w:p>
        </w:tc>
      </w:tr>
      <w:tr w14:paraId="1C9A74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1290" w:type="dxa"/>
            <w:vMerge w:val="continue"/>
            <w:tcBorders>
              <w:top w:val="nil"/>
              <w:left w:val="single" w:color="000000" w:sz="6" w:space="0"/>
            </w:tcBorders>
            <w:shd w:val="clear" w:color="auto" w:fill="auto"/>
            <w:noWrap w:val="0"/>
            <w:vAlign w:val="center"/>
          </w:tcPr>
          <w:p w14:paraId="7A834C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338" w:type="dxa"/>
            <w:vMerge w:val="continue"/>
            <w:tcBorders>
              <w:top w:val="nil"/>
            </w:tcBorders>
            <w:shd w:val="clear" w:color="auto" w:fill="auto"/>
            <w:noWrap w:val="0"/>
            <w:vAlign w:val="center"/>
          </w:tcPr>
          <w:p w14:paraId="433B9B7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806" w:type="dxa"/>
            <w:shd w:val="clear" w:color="auto" w:fill="auto"/>
            <w:noWrap w:val="0"/>
            <w:vAlign w:val="center"/>
          </w:tcPr>
          <w:p w14:paraId="5AAF0EF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06" w:type="dxa"/>
            <w:shd w:val="clear" w:color="auto" w:fill="auto"/>
            <w:noWrap w:val="0"/>
            <w:vAlign w:val="center"/>
          </w:tcPr>
          <w:p w14:paraId="4BFC8D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6" w:type="dxa"/>
            <w:shd w:val="clear" w:color="auto" w:fill="auto"/>
            <w:noWrap w:val="0"/>
            <w:vAlign w:val="center"/>
          </w:tcPr>
          <w:p w14:paraId="1C2E5AE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08" w:type="dxa"/>
            <w:shd w:val="clear" w:color="auto" w:fill="auto"/>
            <w:noWrap w:val="0"/>
            <w:vAlign w:val="center"/>
          </w:tcPr>
          <w:p w14:paraId="516716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5" w:type="dxa"/>
            <w:shd w:val="clear" w:color="auto" w:fill="auto"/>
            <w:noWrap w:val="0"/>
            <w:vAlign w:val="center"/>
          </w:tcPr>
          <w:p w14:paraId="58FF01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06" w:type="dxa"/>
            <w:shd w:val="clear" w:color="auto" w:fill="auto"/>
            <w:noWrap w:val="0"/>
            <w:vAlign w:val="center"/>
          </w:tcPr>
          <w:p w14:paraId="249206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6" w:type="dxa"/>
            <w:shd w:val="clear" w:color="auto" w:fill="auto"/>
            <w:noWrap w:val="0"/>
            <w:vAlign w:val="center"/>
          </w:tcPr>
          <w:p w14:paraId="0FD72E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08" w:type="dxa"/>
            <w:shd w:val="clear" w:color="auto" w:fill="auto"/>
            <w:noWrap w:val="0"/>
            <w:vAlign w:val="center"/>
          </w:tcPr>
          <w:p w14:paraId="042EA4A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5" w:type="dxa"/>
            <w:shd w:val="clear" w:color="auto" w:fill="auto"/>
            <w:noWrap w:val="0"/>
            <w:vAlign w:val="center"/>
          </w:tcPr>
          <w:p w14:paraId="16B7EC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10" w:type="dxa"/>
            <w:shd w:val="clear" w:color="auto" w:fill="auto"/>
            <w:noWrap w:val="0"/>
            <w:vAlign w:val="center"/>
          </w:tcPr>
          <w:p w14:paraId="447136D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4" w:type="dxa"/>
            <w:shd w:val="clear" w:color="auto" w:fill="auto"/>
            <w:noWrap w:val="0"/>
            <w:vAlign w:val="center"/>
          </w:tcPr>
          <w:p w14:paraId="7CE8F5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10" w:type="dxa"/>
            <w:shd w:val="clear" w:color="auto" w:fill="auto"/>
            <w:noWrap w:val="0"/>
            <w:vAlign w:val="center"/>
          </w:tcPr>
          <w:p w14:paraId="2033CE9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c>
          <w:tcPr>
            <w:tcW w:w="805" w:type="dxa"/>
            <w:shd w:val="clear" w:color="auto" w:fill="auto"/>
            <w:noWrap w:val="0"/>
            <w:vAlign w:val="center"/>
          </w:tcPr>
          <w:p w14:paraId="46747D2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1</w:t>
            </w:r>
          </w:p>
        </w:tc>
        <w:tc>
          <w:tcPr>
            <w:tcW w:w="832" w:type="dxa"/>
            <w:tcBorders>
              <w:right w:val="single" w:color="000000" w:sz="6" w:space="0"/>
            </w:tcBorders>
            <w:shd w:val="clear" w:color="auto" w:fill="auto"/>
            <w:noWrap w:val="0"/>
            <w:vAlign w:val="center"/>
          </w:tcPr>
          <w:p w14:paraId="240A22F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b/>
                <w:bCs/>
              </w:rPr>
              <w:t>2</w:t>
            </w:r>
          </w:p>
        </w:tc>
      </w:tr>
      <w:tr w14:paraId="3FCC4F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1290" w:type="dxa"/>
            <w:tcBorders>
              <w:left w:val="single" w:color="000000" w:sz="6" w:space="0"/>
            </w:tcBorders>
            <w:shd w:val="clear" w:color="auto" w:fill="auto"/>
            <w:noWrap w:val="0"/>
            <w:vAlign w:val="center"/>
          </w:tcPr>
          <w:p w14:paraId="7BDB19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阴离子表面</w:t>
            </w:r>
            <w:r>
              <w:rPr>
                <w:spacing w:val="2"/>
              </w:rPr>
              <w:t xml:space="preserve"> </w:t>
            </w:r>
            <w:r>
              <w:rPr>
                <w:spacing w:val="-2"/>
              </w:rPr>
              <w:t>活性剂</w:t>
            </w:r>
          </w:p>
        </w:tc>
        <w:tc>
          <w:tcPr>
            <w:tcW w:w="1338" w:type="dxa"/>
            <w:shd w:val="clear" w:color="auto" w:fill="auto"/>
            <w:noWrap w:val="0"/>
            <w:vAlign w:val="center"/>
          </w:tcPr>
          <w:p w14:paraId="17CE731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shd w:val="clear" w:color="auto" w:fill="auto"/>
            <w:noWrap w:val="0"/>
            <w:vAlign w:val="center"/>
          </w:tcPr>
          <w:p w14:paraId="4490CF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775338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13CAF86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42B5B5E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1DEA604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52A9BE6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338033E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585A6E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19BB38C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0491B4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2155FF0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76D7D3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6BEBCED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4940B8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59D86F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1290" w:type="dxa"/>
            <w:tcBorders>
              <w:left w:val="single" w:color="000000" w:sz="6" w:space="0"/>
            </w:tcBorders>
            <w:shd w:val="clear" w:color="auto" w:fill="auto"/>
            <w:noWrap w:val="0"/>
            <w:vAlign w:val="center"/>
          </w:tcPr>
          <w:p w14:paraId="157D43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总大肠菌群</w:t>
            </w:r>
          </w:p>
        </w:tc>
        <w:tc>
          <w:tcPr>
            <w:tcW w:w="1338" w:type="dxa"/>
            <w:shd w:val="clear" w:color="auto" w:fill="auto"/>
            <w:noWrap w:val="0"/>
            <w:vAlign w:val="center"/>
          </w:tcPr>
          <w:p w14:paraId="7208DC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MPN/100mL</w:t>
            </w:r>
          </w:p>
        </w:tc>
        <w:tc>
          <w:tcPr>
            <w:tcW w:w="806" w:type="dxa"/>
            <w:shd w:val="clear" w:color="auto" w:fill="auto"/>
            <w:noWrap w:val="0"/>
            <w:vAlign w:val="center"/>
          </w:tcPr>
          <w:p w14:paraId="182E7F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279EA2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0DBB423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70745E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797C488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7A80EF7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shd w:val="clear" w:color="auto" w:fill="auto"/>
            <w:noWrap w:val="0"/>
            <w:vAlign w:val="center"/>
          </w:tcPr>
          <w:p w14:paraId="6E6F2C1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shd w:val="clear" w:color="auto" w:fill="auto"/>
            <w:noWrap w:val="0"/>
            <w:vAlign w:val="center"/>
          </w:tcPr>
          <w:p w14:paraId="0749689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763DF1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63ECFFE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shd w:val="clear" w:color="auto" w:fill="auto"/>
            <w:noWrap w:val="0"/>
            <w:vAlign w:val="center"/>
          </w:tcPr>
          <w:p w14:paraId="0073C0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shd w:val="clear" w:color="auto" w:fill="auto"/>
            <w:noWrap w:val="0"/>
            <w:vAlign w:val="center"/>
          </w:tcPr>
          <w:p w14:paraId="40ACAC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shd w:val="clear" w:color="auto" w:fill="auto"/>
            <w:noWrap w:val="0"/>
            <w:vAlign w:val="center"/>
          </w:tcPr>
          <w:p w14:paraId="4D41D20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right w:val="single" w:color="000000" w:sz="6" w:space="0"/>
            </w:tcBorders>
            <w:shd w:val="clear" w:color="auto" w:fill="auto"/>
            <w:noWrap w:val="0"/>
            <w:vAlign w:val="center"/>
          </w:tcPr>
          <w:p w14:paraId="1A7F84F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r w14:paraId="6196D1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trPr>
        <w:tc>
          <w:tcPr>
            <w:tcW w:w="1290" w:type="dxa"/>
            <w:tcBorders>
              <w:left w:val="single" w:color="000000" w:sz="6" w:space="0"/>
            </w:tcBorders>
            <w:shd w:val="clear" w:color="auto" w:fill="auto"/>
            <w:noWrap w:val="0"/>
            <w:vAlign w:val="center"/>
          </w:tcPr>
          <w:p w14:paraId="05D4132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菌落总数</w:t>
            </w:r>
          </w:p>
        </w:tc>
        <w:tc>
          <w:tcPr>
            <w:tcW w:w="1338" w:type="dxa"/>
            <w:shd w:val="clear" w:color="auto" w:fill="auto"/>
            <w:noWrap w:val="0"/>
            <w:vAlign w:val="center"/>
          </w:tcPr>
          <w:p w14:paraId="1B95819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CFU/mL</w:t>
            </w:r>
          </w:p>
        </w:tc>
        <w:tc>
          <w:tcPr>
            <w:tcW w:w="806" w:type="dxa"/>
            <w:shd w:val="clear" w:color="auto" w:fill="auto"/>
            <w:noWrap w:val="0"/>
            <w:vAlign w:val="center"/>
          </w:tcPr>
          <w:p w14:paraId="489186A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45</w:t>
            </w:r>
          </w:p>
        </w:tc>
        <w:tc>
          <w:tcPr>
            <w:tcW w:w="806" w:type="dxa"/>
            <w:shd w:val="clear" w:color="auto" w:fill="auto"/>
            <w:noWrap w:val="0"/>
            <w:vAlign w:val="center"/>
          </w:tcPr>
          <w:p w14:paraId="3DAEA24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38</w:t>
            </w:r>
          </w:p>
        </w:tc>
        <w:tc>
          <w:tcPr>
            <w:tcW w:w="806" w:type="dxa"/>
            <w:shd w:val="clear" w:color="auto" w:fill="auto"/>
            <w:noWrap w:val="0"/>
            <w:vAlign w:val="center"/>
          </w:tcPr>
          <w:p w14:paraId="7E02F4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42</w:t>
            </w:r>
          </w:p>
        </w:tc>
        <w:tc>
          <w:tcPr>
            <w:tcW w:w="808" w:type="dxa"/>
            <w:shd w:val="clear" w:color="auto" w:fill="auto"/>
            <w:noWrap w:val="0"/>
            <w:vAlign w:val="center"/>
          </w:tcPr>
          <w:p w14:paraId="16E0C18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46</w:t>
            </w:r>
          </w:p>
        </w:tc>
        <w:tc>
          <w:tcPr>
            <w:tcW w:w="805" w:type="dxa"/>
            <w:shd w:val="clear" w:color="auto" w:fill="auto"/>
            <w:noWrap w:val="0"/>
            <w:vAlign w:val="center"/>
          </w:tcPr>
          <w:p w14:paraId="3D3A143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55</w:t>
            </w:r>
          </w:p>
        </w:tc>
        <w:tc>
          <w:tcPr>
            <w:tcW w:w="806" w:type="dxa"/>
            <w:shd w:val="clear" w:color="auto" w:fill="auto"/>
            <w:noWrap w:val="0"/>
            <w:vAlign w:val="center"/>
          </w:tcPr>
          <w:p w14:paraId="0EEDB0D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51</w:t>
            </w:r>
          </w:p>
        </w:tc>
        <w:tc>
          <w:tcPr>
            <w:tcW w:w="806" w:type="dxa"/>
            <w:shd w:val="clear" w:color="auto" w:fill="auto"/>
            <w:noWrap w:val="0"/>
            <w:vAlign w:val="center"/>
          </w:tcPr>
          <w:p w14:paraId="2055BB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62</w:t>
            </w:r>
          </w:p>
        </w:tc>
        <w:tc>
          <w:tcPr>
            <w:tcW w:w="808" w:type="dxa"/>
            <w:shd w:val="clear" w:color="auto" w:fill="auto"/>
            <w:noWrap w:val="0"/>
            <w:vAlign w:val="center"/>
          </w:tcPr>
          <w:p w14:paraId="4F67BE9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59</w:t>
            </w:r>
          </w:p>
        </w:tc>
        <w:tc>
          <w:tcPr>
            <w:tcW w:w="805" w:type="dxa"/>
            <w:shd w:val="clear" w:color="auto" w:fill="auto"/>
            <w:noWrap w:val="0"/>
            <w:vAlign w:val="center"/>
          </w:tcPr>
          <w:p w14:paraId="0E0777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34</w:t>
            </w:r>
          </w:p>
        </w:tc>
        <w:tc>
          <w:tcPr>
            <w:tcW w:w="810" w:type="dxa"/>
            <w:shd w:val="clear" w:color="auto" w:fill="auto"/>
            <w:noWrap w:val="0"/>
            <w:vAlign w:val="center"/>
          </w:tcPr>
          <w:p w14:paraId="4DBA040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40</w:t>
            </w:r>
          </w:p>
        </w:tc>
        <w:tc>
          <w:tcPr>
            <w:tcW w:w="804" w:type="dxa"/>
            <w:shd w:val="clear" w:color="auto" w:fill="auto"/>
            <w:noWrap w:val="0"/>
            <w:vAlign w:val="center"/>
          </w:tcPr>
          <w:p w14:paraId="3F8485D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39</w:t>
            </w:r>
          </w:p>
        </w:tc>
        <w:tc>
          <w:tcPr>
            <w:tcW w:w="810" w:type="dxa"/>
            <w:shd w:val="clear" w:color="auto" w:fill="auto"/>
            <w:noWrap w:val="0"/>
            <w:vAlign w:val="center"/>
          </w:tcPr>
          <w:p w14:paraId="7AD218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45</w:t>
            </w:r>
          </w:p>
        </w:tc>
        <w:tc>
          <w:tcPr>
            <w:tcW w:w="805" w:type="dxa"/>
            <w:shd w:val="clear" w:color="auto" w:fill="auto"/>
            <w:noWrap w:val="0"/>
            <w:vAlign w:val="center"/>
          </w:tcPr>
          <w:p w14:paraId="6B0F68E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30</w:t>
            </w:r>
          </w:p>
        </w:tc>
        <w:tc>
          <w:tcPr>
            <w:tcW w:w="832" w:type="dxa"/>
            <w:tcBorders>
              <w:right w:val="single" w:color="000000" w:sz="6" w:space="0"/>
            </w:tcBorders>
            <w:shd w:val="clear" w:color="auto" w:fill="auto"/>
            <w:noWrap w:val="0"/>
            <w:vAlign w:val="center"/>
          </w:tcPr>
          <w:p w14:paraId="3B63818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26</w:t>
            </w:r>
          </w:p>
        </w:tc>
      </w:tr>
      <w:tr w14:paraId="24C7F1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1290" w:type="dxa"/>
            <w:tcBorders>
              <w:left w:val="single" w:color="000000" w:sz="6" w:space="0"/>
              <w:bottom w:val="single" w:color="000000" w:sz="6" w:space="0"/>
            </w:tcBorders>
            <w:shd w:val="clear" w:color="auto" w:fill="auto"/>
            <w:noWrap w:val="0"/>
            <w:vAlign w:val="center"/>
          </w:tcPr>
          <w:p w14:paraId="42B1E76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锑</w:t>
            </w:r>
          </w:p>
        </w:tc>
        <w:tc>
          <w:tcPr>
            <w:tcW w:w="1338" w:type="dxa"/>
            <w:tcBorders>
              <w:bottom w:val="single" w:color="000000" w:sz="6" w:space="0"/>
            </w:tcBorders>
            <w:shd w:val="clear" w:color="auto" w:fill="auto"/>
            <w:noWrap w:val="0"/>
            <w:vAlign w:val="center"/>
          </w:tcPr>
          <w:p w14:paraId="4ADF10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mg/L</w:t>
            </w:r>
          </w:p>
        </w:tc>
        <w:tc>
          <w:tcPr>
            <w:tcW w:w="806" w:type="dxa"/>
            <w:tcBorders>
              <w:bottom w:val="single" w:color="000000" w:sz="6" w:space="0"/>
            </w:tcBorders>
            <w:shd w:val="clear" w:color="auto" w:fill="auto"/>
            <w:noWrap w:val="0"/>
            <w:vAlign w:val="center"/>
          </w:tcPr>
          <w:p w14:paraId="08DB51A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tcBorders>
              <w:bottom w:val="single" w:color="000000" w:sz="6" w:space="0"/>
            </w:tcBorders>
            <w:shd w:val="clear" w:color="auto" w:fill="auto"/>
            <w:noWrap w:val="0"/>
            <w:vAlign w:val="center"/>
          </w:tcPr>
          <w:p w14:paraId="31CFAA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tcBorders>
              <w:bottom w:val="single" w:color="000000" w:sz="6" w:space="0"/>
            </w:tcBorders>
            <w:shd w:val="clear" w:color="auto" w:fill="auto"/>
            <w:noWrap w:val="0"/>
            <w:vAlign w:val="center"/>
          </w:tcPr>
          <w:p w14:paraId="5D6BB18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tcBorders>
              <w:bottom w:val="single" w:color="000000" w:sz="6" w:space="0"/>
            </w:tcBorders>
            <w:shd w:val="clear" w:color="auto" w:fill="auto"/>
            <w:noWrap w:val="0"/>
            <w:vAlign w:val="center"/>
          </w:tcPr>
          <w:p w14:paraId="21D6243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tcBorders>
              <w:bottom w:val="single" w:color="000000" w:sz="6" w:space="0"/>
            </w:tcBorders>
            <w:shd w:val="clear" w:color="auto" w:fill="auto"/>
            <w:noWrap w:val="0"/>
            <w:vAlign w:val="center"/>
          </w:tcPr>
          <w:p w14:paraId="23EAC0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tcBorders>
              <w:bottom w:val="single" w:color="000000" w:sz="6" w:space="0"/>
            </w:tcBorders>
            <w:shd w:val="clear" w:color="auto" w:fill="auto"/>
            <w:noWrap w:val="0"/>
            <w:vAlign w:val="center"/>
          </w:tcPr>
          <w:p w14:paraId="2794B9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6" w:type="dxa"/>
            <w:tcBorders>
              <w:bottom w:val="single" w:color="000000" w:sz="6" w:space="0"/>
            </w:tcBorders>
            <w:shd w:val="clear" w:color="auto" w:fill="auto"/>
            <w:noWrap w:val="0"/>
            <w:vAlign w:val="center"/>
          </w:tcPr>
          <w:p w14:paraId="7A9B6E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8" w:type="dxa"/>
            <w:tcBorders>
              <w:bottom w:val="single" w:color="000000" w:sz="6" w:space="0"/>
            </w:tcBorders>
            <w:shd w:val="clear" w:color="auto" w:fill="auto"/>
            <w:noWrap w:val="0"/>
            <w:vAlign w:val="center"/>
          </w:tcPr>
          <w:p w14:paraId="38A9D0E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tcBorders>
              <w:bottom w:val="single" w:color="000000" w:sz="6" w:space="0"/>
            </w:tcBorders>
            <w:shd w:val="clear" w:color="auto" w:fill="auto"/>
            <w:noWrap w:val="0"/>
            <w:vAlign w:val="center"/>
          </w:tcPr>
          <w:p w14:paraId="51F4AF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tcBorders>
              <w:bottom w:val="single" w:color="000000" w:sz="6" w:space="0"/>
            </w:tcBorders>
            <w:shd w:val="clear" w:color="auto" w:fill="auto"/>
            <w:noWrap w:val="0"/>
            <w:vAlign w:val="center"/>
          </w:tcPr>
          <w:p w14:paraId="48333F8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4" w:type="dxa"/>
            <w:tcBorders>
              <w:bottom w:val="single" w:color="000000" w:sz="6" w:space="0"/>
            </w:tcBorders>
            <w:shd w:val="clear" w:color="auto" w:fill="auto"/>
            <w:noWrap w:val="0"/>
            <w:vAlign w:val="center"/>
          </w:tcPr>
          <w:p w14:paraId="6F18BB1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10" w:type="dxa"/>
            <w:tcBorders>
              <w:bottom w:val="single" w:color="000000" w:sz="6" w:space="0"/>
            </w:tcBorders>
            <w:shd w:val="clear" w:color="auto" w:fill="auto"/>
            <w:noWrap w:val="0"/>
            <w:vAlign w:val="center"/>
          </w:tcPr>
          <w:p w14:paraId="7565C0A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05" w:type="dxa"/>
            <w:tcBorders>
              <w:bottom w:val="single" w:color="000000" w:sz="6" w:space="0"/>
            </w:tcBorders>
            <w:shd w:val="clear" w:color="auto" w:fill="auto"/>
            <w:noWrap w:val="0"/>
            <w:vAlign w:val="center"/>
          </w:tcPr>
          <w:p w14:paraId="44E2B1E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c>
          <w:tcPr>
            <w:tcW w:w="832" w:type="dxa"/>
            <w:tcBorders>
              <w:bottom w:val="single" w:color="000000" w:sz="6" w:space="0"/>
              <w:right w:val="single" w:color="000000" w:sz="6" w:space="0"/>
            </w:tcBorders>
            <w:shd w:val="clear" w:color="auto" w:fill="auto"/>
            <w:noWrap w:val="0"/>
            <w:vAlign w:val="center"/>
          </w:tcPr>
          <w:p w14:paraId="2B63793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1"/>
              </w:rPr>
              <w:t>ND</w:t>
            </w:r>
          </w:p>
        </w:tc>
      </w:tr>
    </w:tbl>
    <w:p w14:paraId="3F7102E9">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14</w:t>
      </w:r>
      <w:r>
        <w:fldChar w:fldCharType="end"/>
      </w:r>
      <w:r>
        <w:rPr>
          <w:rFonts w:hint="eastAsia"/>
        </w:rPr>
        <w:t xml:space="preserve"> </w:t>
      </w:r>
      <w:r>
        <w:t>地下水现状结果统计</w:t>
      </w:r>
      <w:r>
        <w:rPr>
          <w:rFonts w:hint="eastAsia"/>
        </w:rPr>
        <w:t>表</w:t>
      </w:r>
      <w:r>
        <w:rPr>
          <w:rFonts w:hint="eastAsia"/>
          <w:lang w:val="en-US" w:eastAsia="zh-CN"/>
        </w:rPr>
        <w:t>2</w:t>
      </w:r>
      <w:r>
        <w:rPr>
          <w:rFonts w:hint="eastAsia"/>
        </w:rPr>
        <w:t xml:space="preserve">           </w:t>
      </w:r>
      <w:r>
        <w:t>单位：mg/L</w:t>
      </w:r>
    </w:p>
    <w:tbl>
      <w:tblPr>
        <w:tblStyle w:val="31"/>
        <w:tblW w:w="13945" w:type="dxa"/>
        <w:tblInd w:w="2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90"/>
        <w:gridCol w:w="1338"/>
        <w:gridCol w:w="806"/>
        <w:gridCol w:w="806"/>
        <w:gridCol w:w="806"/>
        <w:gridCol w:w="808"/>
        <w:gridCol w:w="805"/>
        <w:gridCol w:w="806"/>
        <w:gridCol w:w="806"/>
        <w:gridCol w:w="808"/>
        <w:gridCol w:w="805"/>
        <w:gridCol w:w="810"/>
        <w:gridCol w:w="804"/>
        <w:gridCol w:w="810"/>
        <w:gridCol w:w="805"/>
        <w:gridCol w:w="832"/>
      </w:tblGrid>
      <w:tr w14:paraId="0F54E2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8" w:hRule="atLeast"/>
        </w:trPr>
        <w:tc>
          <w:tcPr>
            <w:tcW w:w="13945" w:type="dxa"/>
            <w:gridSpan w:val="16"/>
            <w:tcBorders>
              <w:top w:val="single" w:color="000000" w:sz="6" w:space="0"/>
              <w:left w:val="single" w:color="000000" w:sz="6" w:space="0"/>
              <w:right w:val="single" w:color="000000" w:sz="6" w:space="0"/>
            </w:tcBorders>
            <w:shd w:val="clear" w:color="auto" w:fill="auto"/>
            <w:noWrap w:val="0"/>
            <w:vAlign w:val="center"/>
          </w:tcPr>
          <w:p w14:paraId="124CCFD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地下水检测结果 (2023.05.17)</w:t>
            </w:r>
          </w:p>
        </w:tc>
      </w:tr>
      <w:tr w14:paraId="309DBA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290" w:type="dxa"/>
            <w:vMerge w:val="restart"/>
            <w:tcBorders>
              <w:left w:val="single" w:color="000000" w:sz="6" w:space="0"/>
              <w:bottom w:val="nil"/>
            </w:tcBorders>
            <w:shd w:val="clear" w:color="auto" w:fill="auto"/>
            <w:noWrap w:val="0"/>
            <w:vAlign w:val="center"/>
          </w:tcPr>
          <w:p w14:paraId="52BE72E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664EC5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检测项目</w:t>
            </w:r>
          </w:p>
        </w:tc>
        <w:tc>
          <w:tcPr>
            <w:tcW w:w="1338" w:type="dxa"/>
            <w:vMerge w:val="restart"/>
            <w:tcBorders>
              <w:bottom w:val="nil"/>
            </w:tcBorders>
            <w:shd w:val="clear" w:color="auto" w:fill="auto"/>
            <w:noWrap w:val="0"/>
            <w:vAlign w:val="center"/>
          </w:tcPr>
          <w:p w14:paraId="4A640A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649E82B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单位</w:t>
            </w:r>
          </w:p>
        </w:tc>
        <w:tc>
          <w:tcPr>
            <w:tcW w:w="11317" w:type="dxa"/>
            <w:gridSpan w:val="14"/>
            <w:tcBorders>
              <w:right w:val="single" w:color="000000" w:sz="6" w:space="0"/>
            </w:tcBorders>
            <w:shd w:val="clear" w:color="auto" w:fill="auto"/>
            <w:noWrap w:val="0"/>
            <w:vAlign w:val="center"/>
          </w:tcPr>
          <w:p w14:paraId="43999C8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检测结果</w:t>
            </w:r>
          </w:p>
        </w:tc>
      </w:tr>
      <w:tr w14:paraId="16FC13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vMerge w:val="continue"/>
            <w:tcBorders>
              <w:top w:val="nil"/>
              <w:left w:val="single" w:color="000000" w:sz="6" w:space="0"/>
              <w:bottom w:val="nil"/>
            </w:tcBorders>
            <w:shd w:val="clear" w:color="auto" w:fill="auto"/>
            <w:noWrap w:val="0"/>
            <w:vAlign w:val="center"/>
          </w:tcPr>
          <w:p w14:paraId="64D8CF3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338" w:type="dxa"/>
            <w:vMerge w:val="continue"/>
            <w:tcBorders>
              <w:top w:val="nil"/>
              <w:bottom w:val="nil"/>
            </w:tcBorders>
            <w:shd w:val="clear" w:color="auto" w:fill="auto"/>
            <w:noWrap w:val="0"/>
            <w:vAlign w:val="center"/>
          </w:tcPr>
          <w:p w14:paraId="7CDCB1D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612" w:type="dxa"/>
            <w:gridSpan w:val="2"/>
            <w:shd w:val="clear" w:color="auto" w:fill="auto"/>
            <w:noWrap w:val="0"/>
            <w:vAlign w:val="center"/>
          </w:tcPr>
          <w:p w14:paraId="297DCCF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姚庄村</w:t>
            </w:r>
          </w:p>
        </w:tc>
        <w:tc>
          <w:tcPr>
            <w:tcW w:w="1614" w:type="dxa"/>
            <w:gridSpan w:val="2"/>
            <w:shd w:val="clear" w:color="auto" w:fill="auto"/>
            <w:noWrap w:val="0"/>
            <w:vAlign w:val="center"/>
          </w:tcPr>
          <w:p w14:paraId="4FCB961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夏庄村</w:t>
            </w:r>
          </w:p>
        </w:tc>
        <w:tc>
          <w:tcPr>
            <w:tcW w:w="1611" w:type="dxa"/>
            <w:gridSpan w:val="2"/>
            <w:shd w:val="clear" w:color="auto" w:fill="auto"/>
            <w:noWrap w:val="0"/>
            <w:vAlign w:val="center"/>
          </w:tcPr>
          <w:p w14:paraId="6E699B5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化纤厂厂区</w:t>
            </w:r>
          </w:p>
        </w:tc>
        <w:tc>
          <w:tcPr>
            <w:tcW w:w="1614" w:type="dxa"/>
            <w:gridSpan w:val="2"/>
            <w:shd w:val="clear" w:color="auto" w:fill="auto"/>
            <w:noWrap w:val="0"/>
            <w:vAlign w:val="center"/>
          </w:tcPr>
          <w:p w14:paraId="4CD5EA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双鹭药业</w:t>
            </w:r>
          </w:p>
        </w:tc>
        <w:tc>
          <w:tcPr>
            <w:tcW w:w="1615" w:type="dxa"/>
            <w:gridSpan w:val="2"/>
            <w:shd w:val="clear" w:color="auto" w:fill="auto"/>
            <w:noWrap w:val="0"/>
            <w:vAlign w:val="center"/>
          </w:tcPr>
          <w:p w14:paraId="18E52C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大杨庄村</w:t>
            </w:r>
          </w:p>
        </w:tc>
        <w:tc>
          <w:tcPr>
            <w:tcW w:w="1614" w:type="dxa"/>
            <w:gridSpan w:val="2"/>
            <w:shd w:val="clear" w:color="auto" w:fill="auto"/>
            <w:noWrap w:val="0"/>
            <w:vAlign w:val="center"/>
          </w:tcPr>
          <w:p w14:paraId="2FD5637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张河村</w:t>
            </w:r>
          </w:p>
        </w:tc>
        <w:tc>
          <w:tcPr>
            <w:tcW w:w="1637" w:type="dxa"/>
            <w:gridSpan w:val="2"/>
            <w:tcBorders>
              <w:right w:val="single" w:color="000000" w:sz="6" w:space="0"/>
            </w:tcBorders>
            <w:shd w:val="clear" w:color="auto" w:fill="auto"/>
            <w:noWrap w:val="0"/>
            <w:vAlign w:val="center"/>
          </w:tcPr>
          <w:p w14:paraId="7B55B9D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新联学院</w:t>
            </w:r>
          </w:p>
        </w:tc>
      </w:tr>
      <w:tr w14:paraId="33C0E6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1290" w:type="dxa"/>
            <w:vMerge w:val="continue"/>
            <w:tcBorders>
              <w:top w:val="nil"/>
              <w:left w:val="single" w:color="000000" w:sz="6" w:space="0"/>
            </w:tcBorders>
            <w:shd w:val="clear" w:color="auto" w:fill="auto"/>
            <w:noWrap w:val="0"/>
            <w:vAlign w:val="center"/>
          </w:tcPr>
          <w:p w14:paraId="42E50EC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338" w:type="dxa"/>
            <w:vMerge w:val="continue"/>
            <w:tcBorders>
              <w:top w:val="nil"/>
            </w:tcBorders>
            <w:shd w:val="clear" w:color="auto" w:fill="auto"/>
            <w:noWrap w:val="0"/>
            <w:vAlign w:val="center"/>
          </w:tcPr>
          <w:p w14:paraId="0D4710C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806" w:type="dxa"/>
            <w:shd w:val="clear" w:color="auto" w:fill="auto"/>
            <w:noWrap w:val="0"/>
            <w:vAlign w:val="center"/>
          </w:tcPr>
          <w:p w14:paraId="19FDB89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06" w:type="dxa"/>
            <w:shd w:val="clear" w:color="auto" w:fill="auto"/>
            <w:noWrap w:val="0"/>
            <w:vAlign w:val="center"/>
          </w:tcPr>
          <w:p w14:paraId="6E99927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c>
          <w:tcPr>
            <w:tcW w:w="806" w:type="dxa"/>
            <w:shd w:val="clear" w:color="auto" w:fill="auto"/>
            <w:noWrap w:val="0"/>
            <w:vAlign w:val="center"/>
          </w:tcPr>
          <w:p w14:paraId="2D9AEB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08" w:type="dxa"/>
            <w:shd w:val="clear" w:color="auto" w:fill="auto"/>
            <w:noWrap w:val="0"/>
            <w:vAlign w:val="center"/>
          </w:tcPr>
          <w:p w14:paraId="3C1F234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c>
          <w:tcPr>
            <w:tcW w:w="805" w:type="dxa"/>
            <w:shd w:val="clear" w:color="auto" w:fill="auto"/>
            <w:noWrap w:val="0"/>
            <w:vAlign w:val="center"/>
          </w:tcPr>
          <w:p w14:paraId="4D5D531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06" w:type="dxa"/>
            <w:shd w:val="clear" w:color="auto" w:fill="auto"/>
            <w:noWrap w:val="0"/>
            <w:vAlign w:val="center"/>
          </w:tcPr>
          <w:p w14:paraId="2C5E39E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c>
          <w:tcPr>
            <w:tcW w:w="806" w:type="dxa"/>
            <w:shd w:val="clear" w:color="auto" w:fill="auto"/>
            <w:noWrap w:val="0"/>
            <w:vAlign w:val="center"/>
          </w:tcPr>
          <w:p w14:paraId="2EB6D2F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08" w:type="dxa"/>
            <w:shd w:val="clear" w:color="auto" w:fill="auto"/>
            <w:noWrap w:val="0"/>
            <w:vAlign w:val="center"/>
          </w:tcPr>
          <w:p w14:paraId="43DF71D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c>
          <w:tcPr>
            <w:tcW w:w="805" w:type="dxa"/>
            <w:shd w:val="clear" w:color="auto" w:fill="auto"/>
            <w:noWrap w:val="0"/>
            <w:vAlign w:val="center"/>
          </w:tcPr>
          <w:p w14:paraId="0EBB73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10" w:type="dxa"/>
            <w:shd w:val="clear" w:color="auto" w:fill="auto"/>
            <w:noWrap w:val="0"/>
            <w:vAlign w:val="center"/>
          </w:tcPr>
          <w:p w14:paraId="1E02CEB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c>
          <w:tcPr>
            <w:tcW w:w="804" w:type="dxa"/>
            <w:shd w:val="clear" w:color="auto" w:fill="auto"/>
            <w:noWrap w:val="0"/>
            <w:vAlign w:val="center"/>
          </w:tcPr>
          <w:p w14:paraId="400E15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10" w:type="dxa"/>
            <w:shd w:val="clear" w:color="auto" w:fill="auto"/>
            <w:noWrap w:val="0"/>
            <w:vAlign w:val="center"/>
          </w:tcPr>
          <w:p w14:paraId="72E56B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c>
          <w:tcPr>
            <w:tcW w:w="805" w:type="dxa"/>
            <w:shd w:val="clear" w:color="auto" w:fill="auto"/>
            <w:noWrap w:val="0"/>
            <w:vAlign w:val="center"/>
          </w:tcPr>
          <w:p w14:paraId="032CCD6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32" w:type="dxa"/>
            <w:tcBorders>
              <w:right w:val="single" w:color="000000" w:sz="6" w:space="0"/>
            </w:tcBorders>
            <w:shd w:val="clear" w:color="auto" w:fill="auto"/>
            <w:noWrap w:val="0"/>
            <w:vAlign w:val="center"/>
          </w:tcPr>
          <w:p w14:paraId="28B05C0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r>
      <w:tr w14:paraId="5D3D82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1290" w:type="dxa"/>
            <w:tcBorders>
              <w:left w:val="single" w:color="000000" w:sz="6" w:space="0"/>
            </w:tcBorders>
            <w:shd w:val="clear" w:color="auto" w:fill="auto"/>
            <w:noWrap w:val="0"/>
            <w:vAlign w:val="center"/>
          </w:tcPr>
          <w:p w14:paraId="062D2A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z w:val="13"/>
                <w:szCs w:val="13"/>
              </w:rPr>
            </w:pPr>
            <w:r>
              <w:rPr>
                <w:spacing w:val="1"/>
                <w:position w:val="-3"/>
              </w:rPr>
              <w:t>K</w:t>
            </w:r>
            <w:r>
              <w:rPr>
                <w:spacing w:val="1"/>
                <w:position w:val="3"/>
                <w:sz w:val="13"/>
                <w:szCs w:val="13"/>
              </w:rPr>
              <w:t>+</w:t>
            </w:r>
          </w:p>
        </w:tc>
        <w:tc>
          <w:tcPr>
            <w:tcW w:w="1338" w:type="dxa"/>
            <w:shd w:val="clear" w:color="auto" w:fill="auto"/>
            <w:noWrap w:val="0"/>
            <w:vAlign w:val="center"/>
          </w:tcPr>
          <w:p w14:paraId="5B525C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622F8F4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17.9</w:t>
            </w:r>
          </w:p>
        </w:tc>
        <w:tc>
          <w:tcPr>
            <w:tcW w:w="806" w:type="dxa"/>
            <w:shd w:val="clear" w:color="auto" w:fill="auto"/>
            <w:noWrap w:val="0"/>
            <w:vAlign w:val="center"/>
          </w:tcPr>
          <w:p w14:paraId="51932DF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17.3</w:t>
            </w:r>
          </w:p>
        </w:tc>
        <w:tc>
          <w:tcPr>
            <w:tcW w:w="806" w:type="dxa"/>
            <w:shd w:val="clear" w:color="auto" w:fill="auto"/>
            <w:noWrap w:val="0"/>
            <w:vAlign w:val="center"/>
          </w:tcPr>
          <w:p w14:paraId="2081F2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19.4</w:t>
            </w:r>
          </w:p>
        </w:tc>
        <w:tc>
          <w:tcPr>
            <w:tcW w:w="808" w:type="dxa"/>
            <w:shd w:val="clear" w:color="auto" w:fill="auto"/>
            <w:noWrap w:val="0"/>
            <w:vAlign w:val="center"/>
          </w:tcPr>
          <w:p w14:paraId="0724897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20.4</w:t>
            </w:r>
          </w:p>
        </w:tc>
        <w:tc>
          <w:tcPr>
            <w:tcW w:w="805" w:type="dxa"/>
            <w:shd w:val="clear" w:color="auto" w:fill="auto"/>
            <w:noWrap w:val="0"/>
            <w:vAlign w:val="center"/>
          </w:tcPr>
          <w:p w14:paraId="181DC25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21.5</w:t>
            </w:r>
          </w:p>
        </w:tc>
        <w:tc>
          <w:tcPr>
            <w:tcW w:w="806" w:type="dxa"/>
            <w:shd w:val="clear" w:color="auto" w:fill="auto"/>
            <w:noWrap w:val="0"/>
            <w:vAlign w:val="center"/>
          </w:tcPr>
          <w:p w14:paraId="28A7E7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22.3</w:t>
            </w:r>
          </w:p>
        </w:tc>
        <w:tc>
          <w:tcPr>
            <w:tcW w:w="806" w:type="dxa"/>
            <w:shd w:val="clear" w:color="auto" w:fill="auto"/>
            <w:noWrap w:val="0"/>
            <w:vAlign w:val="center"/>
          </w:tcPr>
          <w:p w14:paraId="52AC65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20.7</w:t>
            </w:r>
          </w:p>
        </w:tc>
        <w:tc>
          <w:tcPr>
            <w:tcW w:w="808" w:type="dxa"/>
            <w:shd w:val="clear" w:color="auto" w:fill="auto"/>
            <w:noWrap w:val="0"/>
            <w:vAlign w:val="center"/>
          </w:tcPr>
          <w:p w14:paraId="4804E6B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19.8</w:t>
            </w:r>
          </w:p>
        </w:tc>
        <w:tc>
          <w:tcPr>
            <w:tcW w:w="805" w:type="dxa"/>
            <w:shd w:val="clear" w:color="auto" w:fill="auto"/>
            <w:noWrap w:val="0"/>
            <w:vAlign w:val="center"/>
          </w:tcPr>
          <w:p w14:paraId="427D4C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17.6</w:t>
            </w:r>
          </w:p>
        </w:tc>
        <w:tc>
          <w:tcPr>
            <w:tcW w:w="810" w:type="dxa"/>
            <w:shd w:val="clear" w:color="auto" w:fill="auto"/>
            <w:noWrap w:val="0"/>
            <w:vAlign w:val="center"/>
          </w:tcPr>
          <w:p w14:paraId="3B1B2A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18.1</w:t>
            </w:r>
          </w:p>
        </w:tc>
        <w:tc>
          <w:tcPr>
            <w:tcW w:w="804" w:type="dxa"/>
            <w:shd w:val="clear" w:color="auto" w:fill="auto"/>
            <w:noWrap w:val="0"/>
            <w:vAlign w:val="center"/>
          </w:tcPr>
          <w:p w14:paraId="30034E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16.4</w:t>
            </w:r>
          </w:p>
        </w:tc>
        <w:tc>
          <w:tcPr>
            <w:tcW w:w="810" w:type="dxa"/>
            <w:shd w:val="clear" w:color="auto" w:fill="auto"/>
            <w:noWrap w:val="0"/>
            <w:vAlign w:val="center"/>
          </w:tcPr>
          <w:p w14:paraId="5D1CE38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15.5</w:t>
            </w:r>
          </w:p>
        </w:tc>
        <w:tc>
          <w:tcPr>
            <w:tcW w:w="805" w:type="dxa"/>
            <w:shd w:val="clear" w:color="auto" w:fill="auto"/>
            <w:noWrap w:val="0"/>
            <w:vAlign w:val="center"/>
          </w:tcPr>
          <w:p w14:paraId="043F38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15.9</w:t>
            </w:r>
          </w:p>
        </w:tc>
        <w:tc>
          <w:tcPr>
            <w:tcW w:w="832" w:type="dxa"/>
            <w:tcBorders>
              <w:right w:val="single" w:color="000000" w:sz="6" w:space="0"/>
            </w:tcBorders>
            <w:shd w:val="clear" w:color="auto" w:fill="auto"/>
            <w:noWrap w:val="0"/>
            <w:vAlign w:val="center"/>
          </w:tcPr>
          <w:p w14:paraId="4C85CB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14.3</w:t>
            </w:r>
          </w:p>
        </w:tc>
      </w:tr>
      <w:tr w14:paraId="2B2161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7E0848E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z w:val="13"/>
                <w:szCs w:val="13"/>
              </w:rPr>
            </w:pPr>
            <w:r>
              <w:rPr>
                <w:position w:val="-1"/>
              </w:rPr>
              <w:t>Na</w:t>
            </w:r>
            <w:r>
              <w:rPr>
                <w:spacing w:val="9"/>
                <w:position w:val="4"/>
                <w:sz w:val="13"/>
                <w:szCs w:val="13"/>
              </w:rPr>
              <w:t>+</w:t>
            </w:r>
          </w:p>
        </w:tc>
        <w:tc>
          <w:tcPr>
            <w:tcW w:w="1338" w:type="dxa"/>
            <w:shd w:val="clear" w:color="auto" w:fill="auto"/>
            <w:noWrap w:val="0"/>
            <w:vAlign w:val="center"/>
          </w:tcPr>
          <w:p w14:paraId="5F54382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7F66FF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20.4</w:t>
            </w:r>
          </w:p>
        </w:tc>
        <w:tc>
          <w:tcPr>
            <w:tcW w:w="806" w:type="dxa"/>
            <w:shd w:val="clear" w:color="auto" w:fill="auto"/>
            <w:noWrap w:val="0"/>
            <w:vAlign w:val="center"/>
          </w:tcPr>
          <w:p w14:paraId="4D070EE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19.5</w:t>
            </w:r>
          </w:p>
        </w:tc>
        <w:tc>
          <w:tcPr>
            <w:tcW w:w="806" w:type="dxa"/>
            <w:shd w:val="clear" w:color="auto" w:fill="auto"/>
            <w:noWrap w:val="0"/>
            <w:vAlign w:val="center"/>
          </w:tcPr>
          <w:p w14:paraId="45401D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22.3</w:t>
            </w:r>
          </w:p>
        </w:tc>
        <w:tc>
          <w:tcPr>
            <w:tcW w:w="808" w:type="dxa"/>
            <w:shd w:val="clear" w:color="auto" w:fill="auto"/>
            <w:noWrap w:val="0"/>
            <w:vAlign w:val="center"/>
          </w:tcPr>
          <w:p w14:paraId="063DF5A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24.5</w:t>
            </w:r>
          </w:p>
        </w:tc>
        <w:tc>
          <w:tcPr>
            <w:tcW w:w="805" w:type="dxa"/>
            <w:shd w:val="clear" w:color="auto" w:fill="auto"/>
            <w:noWrap w:val="0"/>
            <w:vAlign w:val="center"/>
          </w:tcPr>
          <w:p w14:paraId="6343A9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28.3</w:t>
            </w:r>
          </w:p>
        </w:tc>
        <w:tc>
          <w:tcPr>
            <w:tcW w:w="806" w:type="dxa"/>
            <w:shd w:val="clear" w:color="auto" w:fill="auto"/>
            <w:noWrap w:val="0"/>
            <w:vAlign w:val="center"/>
          </w:tcPr>
          <w:p w14:paraId="4204A33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29.4</w:t>
            </w:r>
          </w:p>
        </w:tc>
        <w:tc>
          <w:tcPr>
            <w:tcW w:w="806" w:type="dxa"/>
            <w:shd w:val="clear" w:color="auto" w:fill="auto"/>
            <w:noWrap w:val="0"/>
            <w:vAlign w:val="center"/>
          </w:tcPr>
          <w:p w14:paraId="78EB020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26.2</w:t>
            </w:r>
          </w:p>
        </w:tc>
        <w:tc>
          <w:tcPr>
            <w:tcW w:w="808" w:type="dxa"/>
            <w:shd w:val="clear" w:color="auto" w:fill="auto"/>
            <w:noWrap w:val="0"/>
            <w:vAlign w:val="center"/>
          </w:tcPr>
          <w:p w14:paraId="2A8448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23.6</w:t>
            </w:r>
          </w:p>
        </w:tc>
        <w:tc>
          <w:tcPr>
            <w:tcW w:w="805" w:type="dxa"/>
            <w:shd w:val="clear" w:color="auto" w:fill="auto"/>
            <w:noWrap w:val="0"/>
            <w:vAlign w:val="center"/>
          </w:tcPr>
          <w:p w14:paraId="410855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21.7</w:t>
            </w:r>
          </w:p>
        </w:tc>
        <w:tc>
          <w:tcPr>
            <w:tcW w:w="810" w:type="dxa"/>
            <w:shd w:val="clear" w:color="auto" w:fill="auto"/>
            <w:noWrap w:val="0"/>
            <w:vAlign w:val="center"/>
          </w:tcPr>
          <w:p w14:paraId="788B89E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22.6</w:t>
            </w:r>
          </w:p>
        </w:tc>
        <w:tc>
          <w:tcPr>
            <w:tcW w:w="804" w:type="dxa"/>
            <w:shd w:val="clear" w:color="auto" w:fill="auto"/>
            <w:noWrap w:val="0"/>
            <w:vAlign w:val="center"/>
          </w:tcPr>
          <w:p w14:paraId="6213E7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18.2</w:t>
            </w:r>
          </w:p>
        </w:tc>
        <w:tc>
          <w:tcPr>
            <w:tcW w:w="810" w:type="dxa"/>
            <w:shd w:val="clear" w:color="auto" w:fill="auto"/>
            <w:noWrap w:val="0"/>
            <w:vAlign w:val="center"/>
          </w:tcPr>
          <w:p w14:paraId="43D635D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19.9</w:t>
            </w:r>
          </w:p>
        </w:tc>
        <w:tc>
          <w:tcPr>
            <w:tcW w:w="805" w:type="dxa"/>
            <w:shd w:val="clear" w:color="auto" w:fill="auto"/>
            <w:noWrap w:val="0"/>
            <w:vAlign w:val="center"/>
          </w:tcPr>
          <w:p w14:paraId="7483853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16.4</w:t>
            </w:r>
          </w:p>
        </w:tc>
        <w:tc>
          <w:tcPr>
            <w:tcW w:w="832" w:type="dxa"/>
            <w:tcBorders>
              <w:right w:val="single" w:color="000000" w:sz="6" w:space="0"/>
            </w:tcBorders>
            <w:shd w:val="clear" w:color="auto" w:fill="auto"/>
            <w:noWrap w:val="0"/>
            <w:vAlign w:val="center"/>
          </w:tcPr>
          <w:p w14:paraId="0A73369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15.7</w:t>
            </w:r>
          </w:p>
        </w:tc>
      </w:tr>
      <w:tr w14:paraId="3E34F4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561153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z w:val="13"/>
                <w:szCs w:val="13"/>
              </w:rPr>
            </w:pPr>
            <w:r>
              <w:rPr>
                <w:position w:val="-2"/>
              </w:rPr>
              <w:t>Ca</w:t>
            </w:r>
            <w:r>
              <w:rPr>
                <w:spacing w:val="2"/>
                <w:position w:val="4"/>
                <w:sz w:val="13"/>
                <w:szCs w:val="13"/>
              </w:rPr>
              <w:t>2+</w:t>
            </w:r>
          </w:p>
        </w:tc>
        <w:tc>
          <w:tcPr>
            <w:tcW w:w="1338" w:type="dxa"/>
            <w:shd w:val="clear" w:color="auto" w:fill="auto"/>
            <w:noWrap w:val="0"/>
            <w:vAlign w:val="center"/>
          </w:tcPr>
          <w:p w14:paraId="48FA86E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093120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21.6</w:t>
            </w:r>
          </w:p>
        </w:tc>
        <w:tc>
          <w:tcPr>
            <w:tcW w:w="806" w:type="dxa"/>
            <w:shd w:val="clear" w:color="auto" w:fill="auto"/>
            <w:noWrap w:val="0"/>
            <w:vAlign w:val="center"/>
          </w:tcPr>
          <w:p w14:paraId="1B203C2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20.8</w:t>
            </w:r>
          </w:p>
        </w:tc>
        <w:tc>
          <w:tcPr>
            <w:tcW w:w="806" w:type="dxa"/>
            <w:shd w:val="clear" w:color="auto" w:fill="auto"/>
            <w:noWrap w:val="0"/>
            <w:vAlign w:val="center"/>
          </w:tcPr>
          <w:p w14:paraId="179849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20.5</w:t>
            </w:r>
          </w:p>
        </w:tc>
        <w:tc>
          <w:tcPr>
            <w:tcW w:w="808" w:type="dxa"/>
            <w:shd w:val="clear" w:color="auto" w:fill="auto"/>
            <w:noWrap w:val="0"/>
            <w:vAlign w:val="center"/>
          </w:tcPr>
          <w:p w14:paraId="37E5DA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21.7</w:t>
            </w:r>
          </w:p>
        </w:tc>
        <w:tc>
          <w:tcPr>
            <w:tcW w:w="805" w:type="dxa"/>
            <w:shd w:val="clear" w:color="auto" w:fill="auto"/>
            <w:noWrap w:val="0"/>
            <w:vAlign w:val="center"/>
          </w:tcPr>
          <w:p w14:paraId="7C79D83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23.4</w:t>
            </w:r>
          </w:p>
        </w:tc>
        <w:tc>
          <w:tcPr>
            <w:tcW w:w="806" w:type="dxa"/>
            <w:shd w:val="clear" w:color="auto" w:fill="auto"/>
            <w:noWrap w:val="0"/>
            <w:vAlign w:val="center"/>
          </w:tcPr>
          <w:p w14:paraId="478634F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25.6</w:t>
            </w:r>
          </w:p>
        </w:tc>
        <w:tc>
          <w:tcPr>
            <w:tcW w:w="806" w:type="dxa"/>
            <w:shd w:val="clear" w:color="auto" w:fill="auto"/>
            <w:noWrap w:val="0"/>
            <w:vAlign w:val="center"/>
          </w:tcPr>
          <w:p w14:paraId="0949B17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24.5</w:t>
            </w:r>
          </w:p>
        </w:tc>
        <w:tc>
          <w:tcPr>
            <w:tcW w:w="808" w:type="dxa"/>
            <w:shd w:val="clear" w:color="auto" w:fill="auto"/>
            <w:noWrap w:val="0"/>
            <w:vAlign w:val="center"/>
          </w:tcPr>
          <w:p w14:paraId="24FDE8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20.7</w:t>
            </w:r>
          </w:p>
        </w:tc>
        <w:tc>
          <w:tcPr>
            <w:tcW w:w="805" w:type="dxa"/>
            <w:shd w:val="clear" w:color="auto" w:fill="auto"/>
            <w:noWrap w:val="0"/>
            <w:vAlign w:val="center"/>
          </w:tcPr>
          <w:p w14:paraId="2B7277F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18.4</w:t>
            </w:r>
          </w:p>
        </w:tc>
        <w:tc>
          <w:tcPr>
            <w:tcW w:w="810" w:type="dxa"/>
            <w:shd w:val="clear" w:color="auto" w:fill="auto"/>
            <w:noWrap w:val="0"/>
            <w:vAlign w:val="center"/>
          </w:tcPr>
          <w:p w14:paraId="417F638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19.2</w:t>
            </w:r>
          </w:p>
        </w:tc>
        <w:tc>
          <w:tcPr>
            <w:tcW w:w="804" w:type="dxa"/>
            <w:shd w:val="clear" w:color="auto" w:fill="auto"/>
            <w:noWrap w:val="0"/>
            <w:vAlign w:val="center"/>
          </w:tcPr>
          <w:p w14:paraId="5974DD2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17.8</w:t>
            </w:r>
          </w:p>
        </w:tc>
        <w:tc>
          <w:tcPr>
            <w:tcW w:w="810" w:type="dxa"/>
            <w:shd w:val="clear" w:color="auto" w:fill="auto"/>
            <w:noWrap w:val="0"/>
            <w:vAlign w:val="center"/>
          </w:tcPr>
          <w:p w14:paraId="2E5DBE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18.6</w:t>
            </w:r>
          </w:p>
        </w:tc>
        <w:tc>
          <w:tcPr>
            <w:tcW w:w="805" w:type="dxa"/>
            <w:shd w:val="clear" w:color="auto" w:fill="auto"/>
            <w:noWrap w:val="0"/>
            <w:vAlign w:val="center"/>
          </w:tcPr>
          <w:p w14:paraId="4B54942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14.3</w:t>
            </w:r>
          </w:p>
        </w:tc>
        <w:tc>
          <w:tcPr>
            <w:tcW w:w="832" w:type="dxa"/>
            <w:tcBorders>
              <w:right w:val="single" w:color="000000" w:sz="6" w:space="0"/>
            </w:tcBorders>
            <w:shd w:val="clear" w:color="auto" w:fill="auto"/>
            <w:noWrap w:val="0"/>
            <w:vAlign w:val="center"/>
          </w:tcPr>
          <w:p w14:paraId="639395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16.1</w:t>
            </w:r>
          </w:p>
        </w:tc>
      </w:tr>
      <w:tr w14:paraId="20A382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290" w:type="dxa"/>
            <w:tcBorders>
              <w:left w:val="single" w:color="000000" w:sz="6" w:space="0"/>
            </w:tcBorders>
            <w:shd w:val="clear" w:color="auto" w:fill="auto"/>
            <w:noWrap w:val="0"/>
            <w:vAlign w:val="center"/>
          </w:tcPr>
          <w:p w14:paraId="7959FE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z w:val="13"/>
                <w:szCs w:val="13"/>
              </w:rPr>
            </w:pPr>
            <w:r>
              <w:rPr>
                <w:position w:val="-1"/>
              </w:rPr>
              <w:t>Mg</w:t>
            </w:r>
            <w:r>
              <w:rPr>
                <w:spacing w:val="3"/>
                <w:position w:val="5"/>
                <w:sz w:val="13"/>
                <w:szCs w:val="13"/>
              </w:rPr>
              <w:t>2+</w:t>
            </w:r>
          </w:p>
        </w:tc>
        <w:tc>
          <w:tcPr>
            <w:tcW w:w="1338" w:type="dxa"/>
            <w:shd w:val="clear" w:color="auto" w:fill="auto"/>
            <w:noWrap w:val="0"/>
            <w:vAlign w:val="center"/>
          </w:tcPr>
          <w:p w14:paraId="5BAE27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0DCAD0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52.8</w:t>
            </w:r>
          </w:p>
        </w:tc>
        <w:tc>
          <w:tcPr>
            <w:tcW w:w="806" w:type="dxa"/>
            <w:shd w:val="clear" w:color="auto" w:fill="auto"/>
            <w:noWrap w:val="0"/>
            <w:vAlign w:val="center"/>
          </w:tcPr>
          <w:p w14:paraId="628CA66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54.6</w:t>
            </w:r>
          </w:p>
        </w:tc>
        <w:tc>
          <w:tcPr>
            <w:tcW w:w="806" w:type="dxa"/>
            <w:shd w:val="clear" w:color="auto" w:fill="auto"/>
            <w:noWrap w:val="0"/>
            <w:vAlign w:val="center"/>
          </w:tcPr>
          <w:p w14:paraId="3014E5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55.7</w:t>
            </w:r>
          </w:p>
        </w:tc>
        <w:tc>
          <w:tcPr>
            <w:tcW w:w="808" w:type="dxa"/>
            <w:shd w:val="clear" w:color="auto" w:fill="auto"/>
            <w:noWrap w:val="0"/>
            <w:vAlign w:val="center"/>
          </w:tcPr>
          <w:p w14:paraId="76500D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57.2</w:t>
            </w:r>
          </w:p>
        </w:tc>
        <w:tc>
          <w:tcPr>
            <w:tcW w:w="805" w:type="dxa"/>
            <w:shd w:val="clear" w:color="auto" w:fill="auto"/>
            <w:noWrap w:val="0"/>
            <w:vAlign w:val="center"/>
          </w:tcPr>
          <w:p w14:paraId="0386BE5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62.6</w:t>
            </w:r>
          </w:p>
        </w:tc>
        <w:tc>
          <w:tcPr>
            <w:tcW w:w="806" w:type="dxa"/>
            <w:shd w:val="clear" w:color="auto" w:fill="auto"/>
            <w:noWrap w:val="0"/>
            <w:vAlign w:val="center"/>
          </w:tcPr>
          <w:p w14:paraId="7A70D8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60.8</w:t>
            </w:r>
          </w:p>
        </w:tc>
        <w:tc>
          <w:tcPr>
            <w:tcW w:w="806" w:type="dxa"/>
            <w:shd w:val="clear" w:color="auto" w:fill="auto"/>
            <w:noWrap w:val="0"/>
            <w:vAlign w:val="center"/>
          </w:tcPr>
          <w:p w14:paraId="6E49C21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61.3</w:t>
            </w:r>
          </w:p>
        </w:tc>
        <w:tc>
          <w:tcPr>
            <w:tcW w:w="808" w:type="dxa"/>
            <w:shd w:val="clear" w:color="auto" w:fill="auto"/>
            <w:noWrap w:val="0"/>
            <w:vAlign w:val="center"/>
          </w:tcPr>
          <w:p w14:paraId="1334551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59.4</w:t>
            </w:r>
          </w:p>
        </w:tc>
        <w:tc>
          <w:tcPr>
            <w:tcW w:w="805" w:type="dxa"/>
            <w:shd w:val="clear" w:color="auto" w:fill="auto"/>
            <w:noWrap w:val="0"/>
            <w:vAlign w:val="center"/>
          </w:tcPr>
          <w:p w14:paraId="7E9BAAC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54.3</w:t>
            </w:r>
          </w:p>
        </w:tc>
        <w:tc>
          <w:tcPr>
            <w:tcW w:w="810" w:type="dxa"/>
            <w:shd w:val="clear" w:color="auto" w:fill="auto"/>
            <w:noWrap w:val="0"/>
            <w:vAlign w:val="center"/>
          </w:tcPr>
          <w:p w14:paraId="260FF1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56.5</w:t>
            </w:r>
          </w:p>
        </w:tc>
        <w:tc>
          <w:tcPr>
            <w:tcW w:w="804" w:type="dxa"/>
            <w:shd w:val="clear" w:color="auto" w:fill="auto"/>
            <w:noWrap w:val="0"/>
            <w:vAlign w:val="center"/>
          </w:tcPr>
          <w:p w14:paraId="2489CC7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52.3</w:t>
            </w:r>
          </w:p>
        </w:tc>
        <w:tc>
          <w:tcPr>
            <w:tcW w:w="810" w:type="dxa"/>
            <w:shd w:val="clear" w:color="auto" w:fill="auto"/>
            <w:noWrap w:val="0"/>
            <w:vAlign w:val="center"/>
          </w:tcPr>
          <w:p w14:paraId="270B01B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55.2</w:t>
            </w:r>
          </w:p>
        </w:tc>
        <w:tc>
          <w:tcPr>
            <w:tcW w:w="805" w:type="dxa"/>
            <w:shd w:val="clear" w:color="auto" w:fill="auto"/>
            <w:noWrap w:val="0"/>
            <w:vAlign w:val="center"/>
          </w:tcPr>
          <w:p w14:paraId="4CC80A5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51.8</w:t>
            </w:r>
          </w:p>
        </w:tc>
        <w:tc>
          <w:tcPr>
            <w:tcW w:w="832" w:type="dxa"/>
            <w:tcBorders>
              <w:right w:val="single" w:color="000000" w:sz="6" w:space="0"/>
            </w:tcBorders>
            <w:shd w:val="clear" w:color="auto" w:fill="auto"/>
            <w:noWrap w:val="0"/>
            <w:vAlign w:val="center"/>
          </w:tcPr>
          <w:p w14:paraId="57B2AD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53.7</w:t>
            </w:r>
          </w:p>
        </w:tc>
      </w:tr>
      <w:tr w14:paraId="08F705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26105C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z w:val="13"/>
                <w:szCs w:val="13"/>
              </w:rPr>
            </w:pPr>
            <w:r>
              <w:t>CO</w:t>
            </w:r>
            <w:r>
              <w:rPr>
                <w:spacing w:val="2"/>
                <w:position w:val="-2"/>
                <w:sz w:val="13"/>
                <w:szCs w:val="13"/>
              </w:rPr>
              <w:t>3</w:t>
            </w:r>
            <w:r>
              <w:rPr>
                <w:spacing w:val="2"/>
                <w:position w:val="6"/>
                <w:sz w:val="13"/>
                <w:szCs w:val="13"/>
              </w:rPr>
              <w:t>2-</w:t>
            </w:r>
          </w:p>
        </w:tc>
        <w:tc>
          <w:tcPr>
            <w:tcW w:w="1338" w:type="dxa"/>
            <w:shd w:val="clear" w:color="auto" w:fill="auto"/>
            <w:noWrap w:val="0"/>
            <w:vAlign w:val="center"/>
          </w:tcPr>
          <w:p w14:paraId="48F91A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0F03F5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0029FF7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1946D79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6FAEA84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36072F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6F74DD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0955C99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14B994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1A1D33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580F7A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4" w:type="dxa"/>
            <w:shd w:val="clear" w:color="auto" w:fill="auto"/>
            <w:noWrap w:val="0"/>
            <w:vAlign w:val="center"/>
          </w:tcPr>
          <w:p w14:paraId="69B54D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2BB386A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14A4B9A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32" w:type="dxa"/>
            <w:tcBorders>
              <w:right w:val="single" w:color="000000" w:sz="6" w:space="0"/>
            </w:tcBorders>
            <w:shd w:val="clear" w:color="auto" w:fill="auto"/>
            <w:noWrap w:val="0"/>
            <w:vAlign w:val="center"/>
          </w:tcPr>
          <w:p w14:paraId="3BF7B71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r>
      <w:tr w14:paraId="696125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29E537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z w:val="13"/>
                <w:szCs w:val="13"/>
              </w:rPr>
            </w:pPr>
            <w:r>
              <w:t>HCO</w:t>
            </w:r>
            <w:r>
              <w:rPr>
                <w:spacing w:val="3"/>
                <w:position w:val="-1"/>
                <w:sz w:val="13"/>
                <w:szCs w:val="13"/>
              </w:rPr>
              <w:t>3</w:t>
            </w:r>
            <w:r>
              <w:rPr>
                <w:spacing w:val="3"/>
                <w:position w:val="7"/>
                <w:sz w:val="13"/>
                <w:szCs w:val="13"/>
              </w:rPr>
              <w:t>-</w:t>
            </w:r>
          </w:p>
        </w:tc>
        <w:tc>
          <w:tcPr>
            <w:tcW w:w="1338" w:type="dxa"/>
            <w:shd w:val="clear" w:color="auto" w:fill="auto"/>
            <w:noWrap w:val="0"/>
            <w:vAlign w:val="center"/>
          </w:tcPr>
          <w:p w14:paraId="750907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6D42EE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234</w:t>
            </w:r>
          </w:p>
        </w:tc>
        <w:tc>
          <w:tcPr>
            <w:tcW w:w="806" w:type="dxa"/>
            <w:shd w:val="clear" w:color="auto" w:fill="auto"/>
            <w:noWrap w:val="0"/>
            <w:vAlign w:val="center"/>
          </w:tcPr>
          <w:p w14:paraId="374734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223</w:t>
            </w:r>
          </w:p>
        </w:tc>
        <w:tc>
          <w:tcPr>
            <w:tcW w:w="806" w:type="dxa"/>
            <w:shd w:val="clear" w:color="auto" w:fill="auto"/>
            <w:noWrap w:val="0"/>
            <w:vAlign w:val="center"/>
          </w:tcPr>
          <w:p w14:paraId="0A3A46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227</w:t>
            </w:r>
          </w:p>
        </w:tc>
        <w:tc>
          <w:tcPr>
            <w:tcW w:w="808" w:type="dxa"/>
            <w:shd w:val="clear" w:color="auto" w:fill="auto"/>
            <w:noWrap w:val="0"/>
            <w:vAlign w:val="center"/>
          </w:tcPr>
          <w:p w14:paraId="48190F0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231</w:t>
            </w:r>
          </w:p>
        </w:tc>
        <w:tc>
          <w:tcPr>
            <w:tcW w:w="805" w:type="dxa"/>
            <w:shd w:val="clear" w:color="auto" w:fill="auto"/>
            <w:noWrap w:val="0"/>
            <w:vAlign w:val="center"/>
          </w:tcPr>
          <w:p w14:paraId="2737FC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251</w:t>
            </w:r>
          </w:p>
        </w:tc>
        <w:tc>
          <w:tcPr>
            <w:tcW w:w="806" w:type="dxa"/>
            <w:shd w:val="clear" w:color="auto" w:fill="auto"/>
            <w:noWrap w:val="0"/>
            <w:vAlign w:val="center"/>
          </w:tcPr>
          <w:p w14:paraId="647FC5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246</w:t>
            </w:r>
          </w:p>
        </w:tc>
        <w:tc>
          <w:tcPr>
            <w:tcW w:w="806" w:type="dxa"/>
            <w:shd w:val="clear" w:color="auto" w:fill="auto"/>
            <w:noWrap w:val="0"/>
            <w:vAlign w:val="center"/>
          </w:tcPr>
          <w:p w14:paraId="0705AE4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243</w:t>
            </w:r>
          </w:p>
        </w:tc>
        <w:tc>
          <w:tcPr>
            <w:tcW w:w="808" w:type="dxa"/>
            <w:shd w:val="clear" w:color="auto" w:fill="auto"/>
            <w:noWrap w:val="0"/>
            <w:vAlign w:val="center"/>
          </w:tcPr>
          <w:p w14:paraId="34C4F2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239</w:t>
            </w:r>
          </w:p>
        </w:tc>
        <w:tc>
          <w:tcPr>
            <w:tcW w:w="805" w:type="dxa"/>
            <w:shd w:val="clear" w:color="auto" w:fill="auto"/>
            <w:noWrap w:val="0"/>
            <w:vAlign w:val="center"/>
          </w:tcPr>
          <w:p w14:paraId="3EE9EC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220</w:t>
            </w:r>
          </w:p>
        </w:tc>
        <w:tc>
          <w:tcPr>
            <w:tcW w:w="810" w:type="dxa"/>
            <w:shd w:val="clear" w:color="auto" w:fill="auto"/>
            <w:noWrap w:val="0"/>
            <w:vAlign w:val="center"/>
          </w:tcPr>
          <w:p w14:paraId="2156C2E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228</w:t>
            </w:r>
          </w:p>
        </w:tc>
        <w:tc>
          <w:tcPr>
            <w:tcW w:w="804" w:type="dxa"/>
            <w:shd w:val="clear" w:color="auto" w:fill="auto"/>
            <w:noWrap w:val="0"/>
            <w:vAlign w:val="center"/>
          </w:tcPr>
          <w:p w14:paraId="32B834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204</w:t>
            </w:r>
          </w:p>
        </w:tc>
        <w:tc>
          <w:tcPr>
            <w:tcW w:w="810" w:type="dxa"/>
            <w:shd w:val="clear" w:color="auto" w:fill="auto"/>
            <w:noWrap w:val="0"/>
            <w:vAlign w:val="center"/>
          </w:tcPr>
          <w:p w14:paraId="330BAC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209</w:t>
            </w:r>
          </w:p>
        </w:tc>
        <w:tc>
          <w:tcPr>
            <w:tcW w:w="805" w:type="dxa"/>
            <w:shd w:val="clear" w:color="auto" w:fill="auto"/>
            <w:noWrap w:val="0"/>
            <w:vAlign w:val="center"/>
          </w:tcPr>
          <w:p w14:paraId="4BABFA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216</w:t>
            </w:r>
          </w:p>
        </w:tc>
        <w:tc>
          <w:tcPr>
            <w:tcW w:w="832" w:type="dxa"/>
            <w:tcBorders>
              <w:right w:val="single" w:color="000000" w:sz="6" w:space="0"/>
            </w:tcBorders>
            <w:shd w:val="clear" w:color="auto" w:fill="auto"/>
            <w:noWrap w:val="0"/>
            <w:vAlign w:val="center"/>
          </w:tcPr>
          <w:p w14:paraId="72EB8AD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210</w:t>
            </w:r>
          </w:p>
        </w:tc>
      </w:tr>
      <w:tr w14:paraId="276F99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9" w:hRule="atLeast"/>
        </w:trPr>
        <w:tc>
          <w:tcPr>
            <w:tcW w:w="1290" w:type="dxa"/>
            <w:tcBorders>
              <w:left w:val="single" w:color="000000" w:sz="6" w:space="0"/>
            </w:tcBorders>
            <w:shd w:val="clear" w:color="auto" w:fill="auto"/>
            <w:noWrap w:val="0"/>
            <w:vAlign w:val="center"/>
          </w:tcPr>
          <w:p w14:paraId="1EDB756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z w:val="13"/>
                <w:szCs w:val="13"/>
              </w:rPr>
            </w:pPr>
            <w:r>
              <w:rPr>
                <w:spacing w:val="-2"/>
              </w:rPr>
              <w:t>Cl</w:t>
            </w:r>
            <w:r>
              <w:rPr>
                <w:spacing w:val="-2"/>
                <w:position w:val="6"/>
                <w:sz w:val="13"/>
                <w:szCs w:val="13"/>
              </w:rPr>
              <w:t>-</w:t>
            </w:r>
          </w:p>
        </w:tc>
        <w:tc>
          <w:tcPr>
            <w:tcW w:w="1338" w:type="dxa"/>
            <w:shd w:val="clear" w:color="auto" w:fill="auto"/>
            <w:noWrap w:val="0"/>
            <w:vAlign w:val="center"/>
          </w:tcPr>
          <w:p w14:paraId="098D21D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2A04ECA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33.5</w:t>
            </w:r>
          </w:p>
        </w:tc>
        <w:tc>
          <w:tcPr>
            <w:tcW w:w="806" w:type="dxa"/>
            <w:shd w:val="clear" w:color="auto" w:fill="auto"/>
            <w:noWrap w:val="0"/>
            <w:vAlign w:val="center"/>
          </w:tcPr>
          <w:p w14:paraId="3474AE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31.4</w:t>
            </w:r>
          </w:p>
        </w:tc>
        <w:tc>
          <w:tcPr>
            <w:tcW w:w="806" w:type="dxa"/>
            <w:shd w:val="clear" w:color="auto" w:fill="auto"/>
            <w:noWrap w:val="0"/>
            <w:vAlign w:val="center"/>
          </w:tcPr>
          <w:p w14:paraId="583220A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34.6</w:t>
            </w:r>
          </w:p>
        </w:tc>
        <w:tc>
          <w:tcPr>
            <w:tcW w:w="808" w:type="dxa"/>
            <w:shd w:val="clear" w:color="auto" w:fill="auto"/>
            <w:noWrap w:val="0"/>
            <w:vAlign w:val="center"/>
          </w:tcPr>
          <w:p w14:paraId="32C61B5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38.2</w:t>
            </w:r>
          </w:p>
        </w:tc>
        <w:tc>
          <w:tcPr>
            <w:tcW w:w="805" w:type="dxa"/>
            <w:shd w:val="clear" w:color="auto" w:fill="auto"/>
            <w:noWrap w:val="0"/>
            <w:vAlign w:val="center"/>
          </w:tcPr>
          <w:p w14:paraId="3A5CB8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42.6</w:t>
            </w:r>
          </w:p>
        </w:tc>
        <w:tc>
          <w:tcPr>
            <w:tcW w:w="806" w:type="dxa"/>
            <w:shd w:val="clear" w:color="auto" w:fill="auto"/>
            <w:noWrap w:val="0"/>
            <w:vAlign w:val="center"/>
          </w:tcPr>
          <w:p w14:paraId="751BA6E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40.4</w:t>
            </w:r>
          </w:p>
        </w:tc>
        <w:tc>
          <w:tcPr>
            <w:tcW w:w="806" w:type="dxa"/>
            <w:shd w:val="clear" w:color="auto" w:fill="auto"/>
            <w:noWrap w:val="0"/>
            <w:vAlign w:val="center"/>
          </w:tcPr>
          <w:p w14:paraId="346977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39.5</w:t>
            </w:r>
          </w:p>
        </w:tc>
        <w:tc>
          <w:tcPr>
            <w:tcW w:w="808" w:type="dxa"/>
            <w:shd w:val="clear" w:color="auto" w:fill="auto"/>
            <w:noWrap w:val="0"/>
            <w:vAlign w:val="center"/>
          </w:tcPr>
          <w:p w14:paraId="0804222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41.8</w:t>
            </w:r>
          </w:p>
        </w:tc>
        <w:tc>
          <w:tcPr>
            <w:tcW w:w="805" w:type="dxa"/>
            <w:shd w:val="clear" w:color="auto" w:fill="auto"/>
            <w:noWrap w:val="0"/>
            <w:vAlign w:val="center"/>
          </w:tcPr>
          <w:p w14:paraId="29107C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35.8</w:t>
            </w:r>
          </w:p>
        </w:tc>
        <w:tc>
          <w:tcPr>
            <w:tcW w:w="810" w:type="dxa"/>
            <w:shd w:val="clear" w:color="auto" w:fill="auto"/>
            <w:noWrap w:val="0"/>
            <w:vAlign w:val="center"/>
          </w:tcPr>
          <w:p w14:paraId="596073B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40.4</w:t>
            </w:r>
          </w:p>
        </w:tc>
        <w:tc>
          <w:tcPr>
            <w:tcW w:w="804" w:type="dxa"/>
            <w:shd w:val="clear" w:color="auto" w:fill="auto"/>
            <w:noWrap w:val="0"/>
            <w:vAlign w:val="center"/>
          </w:tcPr>
          <w:p w14:paraId="44E9B2F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33.6</w:t>
            </w:r>
          </w:p>
        </w:tc>
        <w:tc>
          <w:tcPr>
            <w:tcW w:w="810" w:type="dxa"/>
            <w:shd w:val="clear" w:color="auto" w:fill="auto"/>
            <w:noWrap w:val="0"/>
            <w:vAlign w:val="center"/>
          </w:tcPr>
          <w:p w14:paraId="411774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30.4</w:t>
            </w:r>
          </w:p>
        </w:tc>
        <w:tc>
          <w:tcPr>
            <w:tcW w:w="805" w:type="dxa"/>
            <w:shd w:val="clear" w:color="auto" w:fill="auto"/>
            <w:noWrap w:val="0"/>
            <w:vAlign w:val="center"/>
          </w:tcPr>
          <w:p w14:paraId="3D89B51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32.3</w:t>
            </w:r>
          </w:p>
        </w:tc>
        <w:tc>
          <w:tcPr>
            <w:tcW w:w="832" w:type="dxa"/>
            <w:tcBorders>
              <w:right w:val="single" w:color="000000" w:sz="6" w:space="0"/>
            </w:tcBorders>
            <w:shd w:val="clear" w:color="auto" w:fill="auto"/>
            <w:noWrap w:val="0"/>
            <w:vAlign w:val="center"/>
          </w:tcPr>
          <w:p w14:paraId="400654E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34.5</w:t>
            </w:r>
          </w:p>
        </w:tc>
      </w:tr>
      <w:tr w14:paraId="57A56D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9" w:hRule="atLeast"/>
        </w:trPr>
        <w:tc>
          <w:tcPr>
            <w:tcW w:w="13945" w:type="dxa"/>
            <w:gridSpan w:val="16"/>
            <w:tcBorders>
              <w:top w:val="single" w:color="000000" w:sz="6" w:space="0"/>
              <w:left w:val="single" w:color="000000" w:sz="6" w:space="0"/>
              <w:right w:val="single" w:color="000000" w:sz="6" w:space="0"/>
            </w:tcBorders>
            <w:shd w:val="clear" w:color="auto" w:fill="auto"/>
            <w:noWrap w:val="0"/>
            <w:vAlign w:val="center"/>
          </w:tcPr>
          <w:p w14:paraId="2037F7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地下水检测结果 (2023.05.17)</w:t>
            </w:r>
          </w:p>
        </w:tc>
      </w:tr>
      <w:tr w14:paraId="151B38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290" w:type="dxa"/>
            <w:vMerge w:val="restart"/>
            <w:tcBorders>
              <w:left w:val="single" w:color="000000" w:sz="6" w:space="0"/>
              <w:bottom w:val="nil"/>
            </w:tcBorders>
            <w:shd w:val="clear" w:color="auto" w:fill="auto"/>
            <w:noWrap w:val="0"/>
            <w:vAlign w:val="center"/>
          </w:tcPr>
          <w:p w14:paraId="20BD8B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6694D2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检测项目</w:t>
            </w:r>
          </w:p>
        </w:tc>
        <w:tc>
          <w:tcPr>
            <w:tcW w:w="1338" w:type="dxa"/>
            <w:vMerge w:val="restart"/>
            <w:tcBorders>
              <w:bottom w:val="nil"/>
            </w:tcBorders>
            <w:shd w:val="clear" w:color="auto" w:fill="auto"/>
            <w:noWrap w:val="0"/>
            <w:vAlign w:val="center"/>
          </w:tcPr>
          <w:p w14:paraId="387520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05589A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单位</w:t>
            </w:r>
          </w:p>
        </w:tc>
        <w:tc>
          <w:tcPr>
            <w:tcW w:w="11317" w:type="dxa"/>
            <w:gridSpan w:val="14"/>
            <w:tcBorders>
              <w:right w:val="single" w:color="000000" w:sz="6" w:space="0"/>
            </w:tcBorders>
            <w:shd w:val="clear" w:color="auto" w:fill="auto"/>
            <w:noWrap w:val="0"/>
            <w:vAlign w:val="center"/>
          </w:tcPr>
          <w:p w14:paraId="1B4031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检测结果</w:t>
            </w:r>
          </w:p>
        </w:tc>
      </w:tr>
      <w:tr w14:paraId="106342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vMerge w:val="continue"/>
            <w:tcBorders>
              <w:top w:val="nil"/>
              <w:left w:val="single" w:color="000000" w:sz="6" w:space="0"/>
              <w:bottom w:val="nil"/>
            </w:tcBorders>
            <w:shd w:val="clear" w:color="auto" w:fill="auto"/>
            <w:noWrap w:val="0"/>
            <w:vAlign w:val="center"/>
          </w:tcPr>
          <w:p w14:paraId="0ACB05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338" w:type="dxa"/>
            <w:vMerge w:val="continue"/>
            <w:tcBorders>
              <w:top w:val="nil"/>
              <w:bottom w:val="nil"/>
            </w:tcBorders>
            <w:shd w:val="clear" w:color="auto" w:fill="auto"/>
            <w:noWrap w:val="0"/>
            <w:vAlign w:val="center"/>
          </w:tcPr>
          <w:p w14:paraId="4405F7D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612" w:type="dxa"/>
            <w:gridSpan w:val="2"/>
            <w:shd w:val="clear" w:color="auto" w:fill="auto"/>
            <w:noWrap w:val="0"/>
            <w:vAlign w:val="center"/>
          </w:tcPr>
          <w:p w14:paraId="55EE90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姚庄村</w:t>
            </w:r>
          </w:p>
        </w:tc>
        <w:tc>
          <w:tcPr>
            <w:tcW w:w="1614" w:type="dxa"/>
            <w:gridSpan w:val="2"/>
            <w:shd w:val="clear" w:color="auto" w:fill="auto"/>
            <w:noWrap w:val="0"/>
            <w:vAlign w:val="center"/>
          </w:tcPr>
          <w:p w14:paraId="7F987F1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夏庄村</w:t>
            </w:r>
          </w:p>
        </w:tc>
        <w:tc>
          <w:tcPr>
            <w:tcW w:w="1611" w:type="dxa"/>
            <w:gridSpan w:val="2"/>
            <w:shd w:val="clear" w:color="auto" w:fill="auto"/>
            <w:noWrap w:val="0"/>
            <w:vAlign w:val="center"/>
          </w:tcPr>
          <w:p w14:paraId="5607E5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化纤厂厂区</w:t>
            </w:r>
          </w:p>
        </w:tc>
        <w:tc>
          <w:tcPr>
            <w:tcW w:w="1614" w:type="dxa"/>
            <w:gridSpan w:val="2"/>
            <w:shd w:val="clear" w:color="auto" w:fill="auto"/>
            <w:noWrap w:val="0"/>
            <w:vAlign w:val="center"/>
          </w:tcPr>
          <w:p w14:paraId="021CA2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双鹭药业</w:t>
            </w:r>
          </w:p>
        </w:tc>
        <w:tc>
          <w:tcPr>
            <w:tcW w:w="1615" w:type="dxa"/>
            <w:gridSpan w:val="2"/>
            <w:shd w:val="clear" w:color="auto" w:fill="auto"/>
            <w:noWrap w:val="0"/>
            <w:vAlign w:val="center"/>
          </w:tcPr>
          <w:p w14:paraId="3C47F25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大杨庄村</w:t>
            </w:r>
          </w:p>
        </w:tc>
        <w:tc>
          <w:tcPr>
            <w:tcW w:w="1614" w:type="dxa"/>
            <w:gridSpan w:val="2"/>
            <w:shd w:val="clear" w:color="auto" w:fill="auto"/>
            <w:noWrap w:val="0"/>
            <w:vAlign w:val="center"/>
          </w:tcPr>
          <w:p w14:paraId="09440A8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张河村</w:t>
            </w:r>
          </w:p>
        </w:tc>
        <w:tc>
          <w:tcPr>
            <w:tcW w:w="1637" w:type="dxa"/>
            <w:gridSpan w:val="2"/>
            <w:tcBorders>
              <w:right w:val="single" w:color="000000" w:sz="6" w:space="0"/>
            </w:tcBorders>
            <w:shd w:val="clear" w:color="auto" w:fill="auto"/>
            <w:noWrap w:val="0"/>
            <w:vAlign w:val="center"/>
          </w:tcPr>
          <w:p w14:paraId="6E4FD6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新联学院</w:t>
            </w:r>
          </w:p>
        </w:tc>
      </w:tr>
      <w:tr w14:paraId="393A7C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vMerge w:val="continue"/>
            <w:tcBorders>
              <w:top w:val="nil"/>
              <w:left w:val="single" w:color="000000" w:sz="6" w:space="0"/>
            </w:tcBorders>
            <w:shd w:val="clear" w:color="auto" w:fill="auto"/>
            <w:noWrap w:val="0"/>
            <w:vAlign w:val="center"/>
          </w:tcPr>
          <w:p w14:paraId="420484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338" w:type="dxa"/>
            <w:vMerge w:val="continue"/>
            <w:tcBorders>
              <w:top w:val="nil"/>
            </w:tcBorders>
            <w:shd w:val="clear" w:color="auto" w:fill="auto"/>
            <w:noWrap w:val="0"/>
            <w:vAlign w:val="center"/>
          </w:tcPr>
          <w:p w14:paraId="6352885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806" w:type="dxa"/>
            <w:shd w:val="clear" w:color="auto" w:fill="auto"/>
            <w:noWrap w:val="0"/>
            <w:vAlign w:val="center"/>
          </w:tcPr>
          <w:p w14:paraId="72480C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06" w:type="dxa"/>
            <w:shd w:val="clear" w:color="auto" w:fill="auto"/>
            <w:noWrap w:val="0"/>
            <w:vAlign w:val="center"/>
          </w:tcPr>
          <w:p w14:paraId="66B717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c>
          <w:tcPr>
            <w:tcW w:w="806" w:type="dxa"/>
            <w:shd w:val="clear" w:color="auto" w:fill="auto"/>
            <w:noWrap w:val="0"/>
            <w:vAlign w:val="center"/>
          </w:tcPr>
          <w:p w14:paraId="636C9AE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08" w:type="dxa"/>
            <w:shd w:val="clear" w:color="auto" w:fill="auto"/>
            <w:noWrap w:val="0"/>
            <w:vAlign w:val="center"/>
          </w:tcPr>
          <w:p w14:paraId="2B3D86D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c>
          <w:tcPr>
            <w:tcW w:w="805" w:type="dxa"/>
            <w:shd w:val="clear" w:color="auto" w:fill="auto"/>
            <w:noWrap w:val="0"/>
            <w:vAlign w:val="center"/>
          </w:tcPr>
          <w:p w14:paraId="77F005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06" w:type="dxa"/>
            <w:shd w:val="clear" w:color="auto" w:fill="auto"/>
            <w:noWrap w:val="0"/>
            <w:vAlign w:val="center"/>
          </w:tcPr>
          <w:p w14:paraId="632FE1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c>
          <w:tcPr>
            <w:tcW w:w="806" w:type="dxa"/>
            <w:shd w:val="clear" w:color="auto" w:fill="auto"/>
            <w:noWrap w:val="0"/>
            <w:vAlign w:val="center"/>
          </w:tcPr>
          <w:p w14:paraId="055D79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08" w:type="dxa"/>
            <w:shd w:val="clear" w:color="auto" w:fill="auto"/>
            <w:noWrap w:val="0"/>
            <w:vAlign w:val="center"/>
          </w:tcPr>
          <w:p w14:paraId="5B3A4B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c>
          <w:tcPr>
            <w:tcW w:w="805" w:type="dxa"/>
            <w:shd w:val="clear" w:color="auto" w:fill="auto"/>
            <w:noWrap w:val="0"/>
            <w:vAlign w:val="center"/>
          </w:tcPr>
          <w:p w14:paraId="02ABE35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10" w:type="dxa"/>
            <w:shd w:val="clear" w:color="auto" w:fill="auto"/>
            <w:noWrap w:val="0"/>
            <w:vAlign w:val="center"/>
          </w:tcPr>
          <w:p w14:paraId="2F5C62A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c>
          <w:tcPr>
            <w:tcW w:w="804" w:type="dxa"/>
            <w:shd w:val="clear" w:color="auto" w:fill="auto"/>
            <w:noWrap w:val="0"/>
            <w:vAlign w:val="center"/>
          </w:tcPr>
          <w:p w14:paraId="7EFCC9D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10" w:type="dxa"/>
            <w:shd w:val="clear" w:color="auto" w:fill="auto"/>
            <w:noWrap w:val="0"/>
            <w:vAlign w:val="center"/>
          </w:tcPr>
          <w:p w14:paraId="182D96E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c>
          <w:tcPr>
            <w:tcW w:w="805" w:type="dxa"/>
            <w:shd w:val="clear" w:color="auto" w:fill="auto"/>
            <w:noWrap w:val="0"/>
            <w:vAlign w:val="center"/>
          </w:tcPr>
          <w:p w14:paraId="5D10758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w:t>
            </w:r>
          </w:p>
        </w:tc>
        <w:tc>
          <w:tcPr>
            <w:tcW w:w="832" w:type="dxa"/>
            <w:tcBorders>
              <w:right w:val="single" w:color="000000" w:sz="6" w:space="0"/>
            </w:tcBorders>
            <w:shd w:val="clear" w:color="auto" w:fill="auto"/>
            <w:noWrap w:val="0"/>
            <w:vAlign w:val="center"/>
          </w:tcPr>
          <w:p w14:paraId="2B4B0E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2</w:t>
            </w:r>
          </w:p>
        </w:tc>
      </w:tr>
      <w:tr w14:paraId="51EB9A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1290" w:type="dxa"/>
            <w:tcBorders>
              <w:left w:val="single" w:color="000000" w:sz="6" w:space="0"/>
            </w:tcBorders>
            <w:shd w:val="clear" w:color="auto" w:fill="auto"/>
            <w:noWrap w:val="0"/>
            <w:vAlign w:val="center"/>
          </w:tcPr>
          <w:p w14:paraId="180E769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sz w:val="13"/>
                <w:szCs w:val="13"/>
              </w:rPr>
            </w:pPr>
            <w:r>
              <w:t>SO</w:t>
            </w:r>
            <w:r>
              <w:rPr>
                <w:position w:val="-2"/>
                <w:sz w:val="13"/>
                <w:szCs w:val="13"/>
              </w:rPr>
              <w:t>4</w:t>
            </w:r>
            <w:r>
              <w:rPr>
                <w:position w:val="6"/>
                <w:sz w:val="13"/>
                <w:szCs w:val="13"/>
              </w:rPr>
              <w:t>2-</w:t>
            </w:r>
          </w:p>
        </w:tc>
        <w:tc>
          <w:tcPr>
            <w:tcW w:w="1338" w:type="dxa"/>
            <w:shd w:val="clear" w:color="auto" w:fill="auto"/>
            <w:noWrap w:val="0"/>
            <w:vAlign w:val="center"/>
          </w:tcPr>
          <w:p w14:paraId="3782C0C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14E0731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6"/>
              </w:rPr>
              <w:t>104</w:t>
            </w:r>
          </w:p>
        </w:tc>
        <w:tc>
          <w:tcPr>
            <w:tcW w:w="806" w:type="dxa"/>
            <w:shd w:val="clear" w:color="auto" w:fill="auto"/>
            <w:noWrap w:val="0"/>
            <w:vAlign w:val="center"/>
          </w:tcPr>
          <w:p w14:paraId="28CADC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6"/>
              </w:rPr>
              <w:t>101</w:t>
            </w:r>
          </w:p>
        </w:tc>
        <w:tc>
          <w:tcPr>
            <w:tcW w:w="806" w:type="dxa"/>
            <w:shd w:val="clear" w:color="auto" w:fill="auto"/>
            <w:noWrap w:val="0"/>
            <w:vAlign w:val="center"/>
          </w:tcPr>
          <w:p w14:paraId="1BAA12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97.5</w:t>
            </w:r>
          </w:p>
        </w:tc>
        <w:tc>
          <w:tcPr>
            <w:tcW w:w="808" w:type="dxa"/>
            <w:shd w:val="clear" w:color="auto" w:fill="auto"/>
            <w:noWrap w:val="0"/>
            <w:vAlign w:val="center"/>
          </w:tcPr>
          <w:p w14:paraId="6FEAC08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94.3</w:t>
            </w:r>
          </w:p>
        </w:tc>
        <w:tc>
          <w:tcPr>
            <w:tcW w:w="805" w:type="dxa"/>
            <w:shd w:val="clear" w:color="auto" w:fill="auto"/>
            <w:noWrap w:val="0"/>
            <w:vAlign w:val="center"/>
          </w:tcPr>
          <w:p w14:paraId="582CBF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6"/>
              </w:rPr>
              <w:t>114</w:t>
            </w:r>
          </w:p>
        </w:tc>
        <w:tc>
          <w:tcPr>
            <w:tcW w:w="806" w:type="dxa"/>
            <w:shd w:val="clear" w:color="auto" w:fill="auto"/>
            <w:noWrap w:val="0"/>
            <w:vAlign w:val="center"/>
          </w:tcPr>
          <w:p w14:paraId="66E48E7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6"/>
              </w:rPr>
              <w:t>117</w:t>
            </w:r>
          </w:p>
        </w:tc>
        <w:tc>
          <w:tcPr>
            <w:tcW w:w="806" w:type="dxa"/>
            <w:shd w:val="clear" w:color="auto" w:fill="auto"/>
            <w:noWrap w:val="0"/>
            <w:vAlign w:val="center"/>
          </w:tcPr>
          <w:p w14:paraId="06BBDD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6"/>
              </w:rPr>
              <w:t>109</w:t>
            </w:r>
          </w:p>
        </w:tc>
        <w:tc>
          <w:tcPr>
            <w:tcW w:w="808" w:type="dxa"/>
            <w:shd w:val="clear" w:color="auto" w:fill="auto"/>
            <w:noWrap w:val="0"/>
            <w:vAlign w:val="center"/>
          </w:tcPr>
          <w:p w14:paraId="0A33A3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6"/>
              </w:rPr>
              <w:t>102</w:t>
            </w:r>
          </w:p>
        </w:tc>
        <w:tc>
          <w:tcPr>
            <w:tcW w:w="805" w:type="dxa"/>
            <w:shd w:val="clear" w:color="auto" w:fill="auto"/>
            <w:noWrap w:val="0"/>
            <w:vAlign w:val="center"/>
          </w:tcPr>
          <w:p w14:paraId="2EDA75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94.6</w:t>
            </w:r>
          </w:p>
        </w:tc>
        <w:tc>
          <w:tcPr>
            <w:tcW w:w="810" w:type="dxa"/>
            <w:shd w:val="clear" w:color="auto" w:fill="auto"/>
            <w:noWrap w:val="0"/>
            <w:vAlign w:val="center"/>
          </w:tcPr>
          <w:p w14:paraId="02F2232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97.2</w:t>
            </w:r>
          </w:p>
        </w:tc>
        <w:tc>
          <w:tcPr>
            <w:tcW w:w="804" w:type="dxa"/>
            <w:shd w:val="clear" w:color="auto" w:fill="auto"/>
            <w:noWrap w:val="0"/>
            <w:vAlign w:val="center"/>
          </w:tcPr>
          <w:p w14:paraId="7D1A47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91.5</w:t>
            </w:r>
          </w:p>
        </w:tc>
        <w:tc>
          <w:tcPr>
            <w:tcW w:w="810" w:type="dxa"/>
            <w:shd w:val="clear" w:color="auto" w:fill="auto"/>
            <w:noWrap w:val="0"/>
            <w:vAlign w:val="center"/>
          </w:tcPr>
          <w:p w14:paraId="553D44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90.8</w:t>
            </w:r>
          </w:p>
        </w:tc>
        <w:tc>
          <w:tcPr>
            <w:tcW w:w="805" w:type="dxa"/>
            <w:shd w:val="clear" w:color="auto" w:fill="auto"/>
            <w:noWrap w:val="0"/>
            <w:vAlign w:val="center"/>
          </w:tcPr>
          <w:p w14:paraId="477339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92.6</w:t>
            </w:r>
          </w:p>
        </w:tc>
        <w:tc>
          <w:tcPr>
            <w:tcW w:w="832" w:type="dxa"/>
            <w:tcBorders>
              <w:right w:val="single" w:color="000000" w:sz="6" w:space="0"/>
            </w:tcBorders>
            <w:shd w:val="clear" w:color="auto" w:fill="auto"/>
            <w:noWrap w:val="0"/>
            <w:vAlign w:val="center"/>
          </w:tcPr>
          <w:p w14:paraId="62CCBD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93.6</w:t>
            </w:r>
          </w:p>
        </w:tc>
      </w:tr>
      <w:tr w14:paraId="7B7C0F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29E13F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pH</w:t>
            </w:r>
            <w:r>
              <w:rPr>
                <w:spacing w:val="7"/>
              </w:rPr>
              <w:t xml:space="preserve"> </w:t>
            </w:r>
            <w:r>
              <w:rPr>
                <w:spacing w:val="1"/>
              </w:rPr>
              <w:t>值</w:t>
            </w:r>
          </w:p>
        </w:tc>
        <w:tc>
          <w:tcPr>
            <w:tcW w:w="1338" w:type="dxa"/>
            <w:shd w:val="clear" w:color="auto" w:fill="auto"/>
            <w:noWrap w:val="0"/>
            <w:vAlign w:val="center"/>
          </w:tcPr>
          <w:p w14:paraId="127D51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无量纲</w:t>
            </w:r>
          </w:p>
        </w:tc>
        <w:tc>
          <w:tcPr>
            <w:tcW w:w="806" w:type="dxa"/>
            <w:shd w:val="clear" w:color="auto" w:fill="auto"/>
            <w:noWrap w:val="0"/>
            <w:vAlign w:val="center"/>
          </w:tcPr>
          <w:p w14:paraId="7102460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7.4</w:t>
            </w:r>
          </w:p>
        </w:tc>
        <w:tc>
          <w:tcPr>
            <w:tcW w:w="806" w:type="dxa"/>
            <w:shd w:val="clear" w:color="auto" w:fill="auto"/>
            <w:noWrap w:val="0"/>
            <w:vAlign w:val="center"/>
          </w:tcPr>
          <w:p w14:paraId="3E6A9CF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7.1</w:t>
            </w:r>
          </w:p>
        </w:tc>
        <w:tc>
          <w:tcPr>
            <w:tcW w:w="806" w:type="dxa"/>
            <w:shd w:val="clear" w:color="auto" w:fill="auto"/>
            <w:noWrap w:val="0"/>
            <w:vAlign w:val="center"/>
          </w:tcPr>
          <w:p w14:paraId="0E5CA2E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7.2</w:t>
            </w:r>
          </w:p>
        </w:tc>
        <w:tc>
          <w:tcPr>
            <w:tcW w:w="808" w:type="dxa"/>
            <w:shd w:val="clear" w:color="auto" w:fill="auto"/>
            <w:noWrap w:val="0"/>
            <w:vAlign w:val="center"/>
          </w:tcPr>
          <w:p w14:paraId="3D45B6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7.0</w:t>
            </w:r>
          </w:p>
        </w:tc>
        <w:tc>
          <w:tcPr>
            <w:tcW w:w="805" w:type="dxa"/>
            <w:shd w:val="clear" w:color="auto" w:fill="auto"/>
            <w:noWrap w:val="0"/>
            <w:vAlign w:val="center"/>
          </w:tcPr>
          <w:p w14:paraId="7043DE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7.6</w:t>
            </w:r>
          </w:p>
        </w:tc>
        <w:tc>
          <w:tcPr>
            <w:tcW w:w="806" w:type="dxa"/>
            <w:shd w:val="clear" w:color="auto" w:fill="auto"/>
            <w:noWrap w:val="0"/>
            <w:vAlign w:val="center"/>
          </w:tcPr>
          <w:p w14:paraId="5B3A8D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7.3</w:t>
            </w:r>
          </w:p>
        </w:tc>
        <w:tc>
          <w:tcPr>
            <w:tcW w:w="806" w:type="dxa"/>
            <w:shd w:val="clear" w:color="auto" w:fill="auto"/>
            <w:noWrap w:val="0"/>
            <w:vAlign w:val="center"/>
          </w:tcPr>
          <w:p w14:paraId="1871487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6.9</w:t>
            </w:r>
          </w:p>
        </w:tc>
        <w:tc>
          <w:tcPr>
            <w:tcW w:w="808" w:type="dxa"/>
            <w:shd w:val="clear" w:color="auto" w:fill="auto"/>
            <w:noWrap w:val="0"/>
            <w:vAlign w:val="center"/>
          </w:tcPr>
          <w:p w14:paraId="10322CB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7.5</w:t>
            </w:r>
          </w:p>
        </w:tc>
        <w:tc>
          <w:tcPr>
            <w:tcW w:w="805" w:type="dxa"/>
            <w:shd w:val="clear" w:color="auto" w:fill="auto"/>
            <w:noWrap w:val="0"/>
            <w:vAlign w:val="center"/>
          </w:tcPr>
          <w:p w14:paraId="3DA622B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7.7</w:t>
            </w:r>
          </w:p>
        </w:tc>
        <w:tc>
          <w:tcPr>
            <w:tcW w:w="810" w:type="dxa"/>
            <w:shd w:val="clear" w:color="auto" w:fill="auto"/>
            <w:noWrap w:val="0"/>
            <w:vAlign w:val="center"/>
          </w:tcPr>
          <w:p w14:paraId="144FBA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7.1</w:t>
            </w:r>
          </w:p>
        </w:tc>
        <w:tc>
          <w:tcPr>
            <w:tcW w:w="804" w:type="dxa"/>
            <w:shd w:val="clear" w:color="auto" w:fill="auto"/>
            <w:noWrap w:val="0"/>
            <w:vAlign w:val="center"/>
          </w:tcPr>
          <w:p w14:paraId="742A883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6.9</w:t>
            </w:r>
          </w:p>
        </w:tc>
        <w:tc>
          <w:tcPr>
            <w:tcW w:w="810" w:type="dxa"/>
            <w:shd w:val="clear" w:color="auto" w:fill="auto"/>
            <w:noWrap w:val="0"/>
            <w:vAlign w:val="center"/>
          </w:tcPr>
          <w:p w14:paraId="4386688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7.8</w:t>
            </w:r>
          </w:p>
        </w:tc>
        <w:tc>
          <w:tcPr>
            <w:tcW w:w="805" w:type="dxa"/>
            <w:shd w:val="clear" w:color="auto" w:fill="auto"/>
            <w:noWrap w:val="0"/>
            <w:vAlign w:val="center"/>
          </w:tcPr>
          <w:p w14:paraId="3888480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7.2</w:t>
            </w:r>
          </w:p>
        </w:tc>
        <w:tc>
          <w:tcPr>
            <w:tcW w:w="832" w:type="dxa"/>
            <w:tcBorders>
              <w:right w:val="single" w:color="000000" w:sz="6" w:space="0"/>
            </w:tcBorders>
            <w:shd w:val="clear" w:color="auto" w:fill="auto"/>
            <w:noWrap w:val="0"/>
            <w:vAlign w:val="center"/>
          </w:tcPr>
          <w:p w14:paraId="4A9D08A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7.5</w:t>
            </w:r>
          </w:p>
        </w:tc>
      </w:tr>
      <w:tr w14:paraId="7500EA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6FA9339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氨氮</w:t>
            </w:r>
          </w:p>
        </w:tc>
        <w:tc>
          <w:tcPr>
            <w:tcW w:w="1338" w:type="dxa"/>
            <w:shd w:val="clear" w:color="auto" w:fill="auto"/>
            <w:noWrap w:val="0"/>
            <w:vAlign w:val="center"/>
          </w:tcPr>
          <w:p w14:paraId="6C3A17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28A5D5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0.115</w:t>
            </w:r>
          </w:p>
        </w:tc>
        <w:tc>
          <w:tcPr>
            <w:tcW w:w="806" w:type="dxa"/>
            <w:shd w:val="clear" w:color="auto" w:fill="auto"/>
            <w:noWrap w:val="0"/>
            <w:vAlign w:val="center"/>
          </w:tcPr>
          <w:p w14:paraId="5EDFF7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0.121</w:t>
            </w:r>
          </w:p>
        </w:tc>
        <w:tc>
          <w:tcPr>
            <w:tcW w:w="806" w:type="dxa"/>
            <w:shd w:val="clear" w:color="auto" w:fill="auto"/>
            <w:noWrap w:val="0"/>
            <w:vAlign w:val="center"/>
          </w:tcPr>
          <w:p w14:paraId="3DCA93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0.129</w:t>
            </w:r>
          </w:p>
        </w:tc>
        <w:tc>
          <w:tcPr>
            <w:tcW w:w="808" w:type="dxa"/>
            <w:shd w:val="clear" w:color="auto" w:fill="auto"/>
            <w:noWrap w:val="0"/>
            <w:vAlign w:val="center"/>
          </w:tcPr>
          <w:p w14:paraId="2BFE618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0.122</w:t>
            </w:r>
          </w:p>
        </w:tc>
        <w:tc>
          <w:tcPr>
            <w:tcW w:w="805" w:type="dxa"/>
            <w:shd w:val="clear" w:color="auto" w:fill="auto"/>
            <w:noWrap w:val="0"/>
            <w:vAlign w:val="center"/>
          </w:tcPr>
          <w:p w14:paraId="65EDD0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0.135</w:t>
            </w:r>
          </w:p>
        </w:tc>
        <w:tc>
          <w:tcPr>
            <w:tcW w:w="806" w:type="dxa"/>
            <w:shd w:val="clear" w:color="auto" w:fill="auto"/>
            <w:noWrap w:val="0"/>
            <w:vAlign w:val="center"/>
          </w:tcPr>
          <w:p w14:paraId="0FC0F93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0.129</w:t>
            </w:r>
          </w:p>
        </w:tc>
        <w:tc>
          <w:tcPr>
            <w:tcW w:w="806" w:type="dxa"/>
            <w:shd w:val="clear" w:color="auto" w:fill="auto"/>
            <w:noWrap w:val="0"/>
            <w:vAlign w:val="center"/>
          </w:tcPr>
          <w:p w14:paraId="40DF9D9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0.141</w:t>
            </w:r>
          </w:p>
        </w:tc>
        <w:tc>
          <w:tcPr>
            <w:tcW w:w="808" w:type="dxa"/>
            <w:shd w:val="clear" w:color="auto" w:fill="auto"/>
            <w:noWrap w:val="0"/>
            <w:vAlign w:val="center"/>
          </w:tcPr>
          <w:p w14:paraId="29B48EA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0.145</w:t>
            </w:r>
          </w:p>
        </w:tc>
        <w:tc>
          <w:tcPr>
            <w:tcW w:w="805" w:type="dxa"/>
            <w:shd w:val="clear" w:color="auto" w:fill="auto"/>
            <w:noWrap w:val="0"/>
            <w:vAlign w:val="center"/>
          </w:tcPr>
          <w:p w14:paraId="40D5045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0.123</w:t>
            </w:r>
          </w:p>
        </w:tc>
        <w:tc>
          <w:tcPr>
            <w:tcW w:w="810" w:type="dxa"/>
            <w:shd w:val="clear" w:color="auto" w:fill="auto"/>
            <w:noWrap w:val="0"/>
            <w:vAlign w:val="center"/>
          </w:tcPr>
          <w:p w14:paraId="08901BC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0.119</w:t>
            </w:r>
          </w:p>
        </w:tc>
        <w:tc>
          <w:tcPr>
            <w:tcW w:w="804" w:type="dxa"/>
            <w:shd w:val="clear" w:color="auto" w:fill="auto"/>
            <w:noWrap w:val="0"/>
            <w:vAlign w:val="center"/>
          </w:tcPr>
          <w:p w14:paraId="1ED670F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0.105</w:t>
            </w:r>
          </w:p>
        </w:tc>
        <w:tc>
          <w:tcPr>
            <w:tcW w:w="810" w:type="dxa"/>
            <w:shd w:val="clear" w:color="auto" w:fill="auto"/>
            <w:noWrap w:val="0"/>
            <w:vAlign w:val="center"/>
          </w:tcPr>
          <w:p w14:paraId="01EFDB0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0.117</w:t>
            </w:r>
          </w:p>
        </w:tc>
        <w:tc>
          <w:tcPr>
            <w:tcW w:w="805" w:type="dxa"/>
            <w:shd w:val="clear" w:color="auto" w:fill="auto"/>
            <w:noWrap w:val="0"/>
            <w:vAlign w:val="center"/>
          </w:tcPr>
          <w:p w14:paraId="476D061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0.108</w:t>
            </w:r>
          </w:p>
        </w:tc>
        <w:tc>
          <w:tcPr>
            <w:tcW w:w="832" w:type="dxa"/>
            <w:tcBorders>
              <w:right w:val="single" w:color="000000" w:sz="6" w:space="0"/>
            </w:tcBorders>
            <w:shd w:val="clear" w:color="auto" w:fill="auto"/>
            <w:noWrap w:val="0"/>
            <w:vAlign w:val="center"/>
          </w:tcPr>
          <w:p w14:paraId="0DC9FB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0.114</w:t>
            </w:r>
          </w:p>
        </w:tc>
      </w:tr>
      <w:tr w14:paraId="05C088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290" w:type="dxa"/>
            <w:tcBorders>
              <w:left w:val="single" w:color="000000" w:sz="6" w:space="0"/>
            </w:tcBorders>
            <w:shd w:val="clear" w:color="auto" w:fill="auto"/>
            <w:noWrap w:val="0"/>
            <w:vAlign w:val="center"/>
          </w:tcPr>
          <w:p w14:paraId="306E8B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硝酸盐</w:t>
            </w:r>
          </w:p>
        </w:tc>
        <w:tc>
          <w:tcPr>
            <w:tcW w:w="1338" w:type="dxa"/>
            <w:shd w:val="clear" w:color="auto" w:fill="auto"/>
            <w:noWrap w:val="0"/>
            <w:vAlign w:val="center"/>
          </w:tcPr>
          <w:p w14:paraId="13DF46F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104333D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1.49</w:t>
            </w:r>
          </w:p>
        </w:tc>
        <w:tc>
          <w:tcPr>
            <w:tcW w:w="806" w:type="dxa"/>
            <w:shd w:val="clear" w:color="auto" w:fill="auto"/>
            <w:noWrap w:val="0"/>
            <w:vAlign w:val="center"/>
          </w:tcPr>
          <w:p w14:paraId="3139EE0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1.37</w:t>
            </w:r>
          </w:p>
        </w:tc>
        <w:tc>
          <w:tcPr>
            <w:tcW w:w="806" w:type="dxa"/>
            <w:shd w:val="clear" w:color="auto" w:fill="auto"/>
            <w:noWrap w:val="0"/>
            <w:vAlign w:val="center"/>
          </w:tcPr>
          <w:p w14:paraId="5CA646F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1.39</w:t>
            </w:r>
          </w:p>
        </w:tc>
        <w:tc>
          <w:tcPr>
            <w:tcW w:w="808" w:type="dxa"/>
            <w:shd w:val="clear" w:color="auto" w:fill="auto"/>
            <w:noWrap w:val="0"/>
            <w:vAlign w:val="center"/>
          </w:tcPr>
          <w:p w14:paraId="1308B66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1.42</w:t>
            </w:r>
          </w:p>
        </w:tc>
        <w:tc>
          <w:tcPr>
            <w:tcW w:w="805" w:type="dxa"/>
            <w:shd w:val="clear" w:color="auto" w:fill="auto"/>
            <w:noWrap w:val="0"/>
            <w:vAlign w:val="center"/>
          </w:tcPr>
          <w:p w14:paraId="4928FB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1.62</w:t>
            </w:r>
          </w:p>
        </w:tc>
        <w:tc>
          <w:tcPr>
            <w:tcW w:w="806" w:type="dxa"/>
            <w:shd w:val="clear" w:color="auto" w:fill="auto"/>
            <w:noWrap w:val="0"/>
            <w:vAlign w:val="center"/>
          </w:tcPr>
          <w:p w14:paraId="54CF4EB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1.58</w:t>
            </w:r>
          </w:p>
        </w:tc>
        <w:tc>
          <w:tcPr>
            <w:tcW w:w="806" w:type="dxa"/>
            <w:shd w:val="clear" w:color="auto" w:fill="auto"/>
            <w:noWrap w:val="0"/>
            <w:vAlign w:val="center"/>
          </w:tcPr>
          <w:p w14:paraId="08A3EE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1.64</w:t>
            </w:r>
          </w:p>
        </w:tc>
        <w:tc>
          <w:tcPr>
            <w:tcW w:w="808" w:type="dxa"/>
            <w:shd w:val="clear" w:color="auto" w:fill="auto"/>
            <w:noWrap w:val="0"/>
            <w:vAlign w:val="center"/>
          </w:tcPr>
          <w:p w14:paraId="522ABA0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1.60</w:t>
            </w:r>
          </w:p>
        </w:tc>
        <w:tc>
          <w:tcPr>
            <w:tcW w:w="805" w:type="dxa"/>
            <w:shd w:val="clear" w:color="auto" w:fill="auto"/>
            <w:noWrap w:val="0"/>
            <w:vAlign w:val="center"/>
          </w:tcPr>
          <w:p w14:paraId="5CF581F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1.30</w:t>
            </w:r>
          </w:p>
        </w:tc>
        <w:tc>
          <w:tcPr>
            <w:tcW w:w="810" w:type="dxa"/>
            <w:shd w:val="clear" w:color="auto" w:fill="auto"/>
            <w:noWrap w:val="0"/>
            <w:vAlign w:val="center"/>
          </w:tcPr>
          <w:p w14:paraId="3190E5B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1.38</w:t>
            </w:r>
          </w:p>
        </w:tc>
        <w:tc>
          <w:tcPr>
            <w:tcW w:w="804" w:type="dxa"/>
            <w:shd w:val="clear" w:color="auto" w:fill="auto"/>
            <w:noWrap w:val="0"/>
            <w:vAlign w:val="center"/>
          </w:tcPr>
          <w:p w14:paraId="6DECE8D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1.22</w:t>
            </w:r>
          </w:p>
        </w:tc>
        <w:tc>
          <w:tcPr>
            <w:tcW w:w="810" w:type="dxa"/>
            <w:shd w:val="clear" w:color="auto" w:fill="auto"/>
            <w:noWrap w:val="0"/>
            <w:vAlign w:val="center"/>
          </w:tcPr>
          <w:p w14:paraId="1C14D6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1.27</w:t>
            </w:r>
          </w:p>
        </w:tc>
        <w:tc>
          <w:tcPr>
            <w:tcW w:w="805" w:type="dxa"/>
            <w:shd w:val="clear" w:color="auto" w:fill="auto"/>
            <w:noWrap w:val="0"/>
            <w:vAlign w:val="center"/>
          </w:tcPr>
          <w:p w14:paraId="79FCA2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1.18</w:t>
            </w:r>
          </w:p>
        </w:tc>
        <w:tc>
          <w:tcPr>
            <w:tcW w:w="832" w:type="dxa"/>
            <w:tcBorders>
              <w:right w:val="single" w:color="000000" w:sz="6" w:space="0"/>
            </w:tcBorders>
            <w:shd w:val="clear" w:color="auto" w:fill="auto"/>
            <w:noWrap w:val="0"/>
            <w:vAlign w:val="center"/>
          </w:tcPr>
          <w:p w14:paraId="5AF8EB5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5"/>
              </w:rPr>
              <w:t>1.21</w:t>
            </w:r>
          </w:p>
        </w:tc>
      </w:tr>
      <w:tr w14:paraId="1A538D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69B573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亚硝酸盐</w:t>
            </w:r>
          </w:p>
        </w:tc>
        <w:tc>
          <w:tcPr>
            <w:tcW w:w="1338" w:type="dxa"/>
            <w:shd w:val="clear" w:color="auto" w:fill="auto"/>
            <w:noWrap w:val="0"/>
            <w:vAlign w:val="center"/>
          </w:tcPr>
          <w:p w14:paraId="1F27B01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11662B3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2AA61EB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4F8D7B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017E130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072A03B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05D561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2D65F03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561AE51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32859AA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6930A6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4" w:type="dxa"/>
            <w:shd w:val="clear" w:color="auto" w:fill="auto"/>
            <w:noWrap w:val="0"/>
            <w:vAlign w:val="center"/>
          </w:tcPr>
          <w:p w14:paraId="381047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7AA31E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4F7C0C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32" w:type="dxa"/>
            <w:tcBorders>
              <w:right w:val="single" w:color="000000" w:sz="6" w:space="0"/>
            </w:tcBorders>
            <w:shd w:val="clear" w:color="auto" w:fill="auto"/>
            <w:noWrap w:val="0"/>
            <w:vAlign w:val="center"/>
          </w:tcPr>
          <w:p w14:paraId="3FDA60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r>
      <w:tr w14:paraId="716E69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1E9597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挥发酚</w:t>
            </w:r>
          </w:p>
        </w:tc>
        <w:tc>
          <w:tcPr>
            <w:tcW w:w="1338" w:type="dxa"/>
            <w:shd w:val="clear" w:color="auto" w:fill="auto"/>
            <w:noWrap w:val="0"/>
            <w:vAlign w:val="center"/>
          </w:tcPr>
          <w:p w14:paraId="3DAE6B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5BA5205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2015E5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79A959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481F24A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19B2038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1D12018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3ED969B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19E7FAC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3A90DB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2EA043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4" w:type="dxa"/>
            <w:shd w:val="clear" w:color="auto" w:fill="auto"/>
            <w:noWrap w:val="0"/>
            <w:vAlign w:val="center"/>
          </w:tcPr>
          <w:p w14:paraId="5E86F3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1D4E1E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5BD6368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32" w:type="dxa"/>
            <w:tcBorders>
              <w:right w:val="single" w:color="000000" w:sz="6" w:space="0"/>
            </w:tcBorders>
            <w:shd w:val="clear" w:color="auto" w:fill="auto"/>
            <w:noWrap w:val="0"/>
            <w:vAlign w:val="center"/>
          </w:tcPr>
          <w:p w14:paraId="697BBB5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r>
      <w:tr w14:paraId="00C5B8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1290" w:type="dxa"/>
            <w:tcBorders>
              <w:left w:val="single" w:color="000000" w:sz="6" w:space="0"/>
            </w:tcBorders>
            <w:shd w:val="clear" w:color="auto" w:fill="auto"/>
            <w:noWrap w:val="0"/>
            <w:vAlign w:val="center"/>
          </w:tcPr>
          <w:p w14:paraId="0E9447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砷</w:t>
            </w:r>
          </w:p>
        </w:tc>
        <w:tc>
          <w:tcPr>
            <w:tcW w:w="1338" w:type="dxa"/>
            <w:shd w:val="clear" w:color="auto" w:fill="auto"/>
            <w:noWrap w:val="0"/>
            <w:vAlign w:val="center"/>
          </w:tcPr>
          <w:p w14:paraId="7B2601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µg/L</w:t>
            </w:r>
          </w:p>
        </w:tc>
        <w:tc>
          <w:tcPr>
            <w:tcW w:w="806" w:type="dxa"/>
            <w:shd w:val="clear" w:color="auto" w:fill="auto"/>
            <w:noWrap w:val="0"/>
            <w:vAlign w:val="center"/>
          </w:tcPr>
          <w:p w14:paraId="32364D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1EB2E8F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2D35B51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434122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383482B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6772C11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3EF23B4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7EADC5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3A209BB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0E6C4BE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4" w:type="dxa"/>
            <w:shd w:val="clear" w:color="auto" w:fill="auto"/>
            <w:noWrap w:val="0"/>
            <w:vAlign w:val="center"/>
          </w:tcPr>
          <w:p w14:paraId="6449D2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204F9D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369CA8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32" w:type="dxa"/>
            <w:tcBorders>
              <w:right w:val="single" w:color="000000" w:sz="6" w:space="0"/>
            </w:tcBorders>
            <w:shd w:val="clear" w:color="auto" w:fill="auto"/>
            <w:noWrap w:val="0"/>
            <w:vAlign w:val="center"/>
          </w:tcPr>
          <w:p w14:paraId="0ADA30D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r>
      <w:tr w14:paraId="24DA69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3572292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汞</w:t>
            </w:r>
          </w:p>
        </w:tc>
        <w:tc>
          <w:tcPr>
            <w:tcW w:w="1338" w:type="dxa"/>
            <w:shd w:val="clear" w:color="auto" w:fill="auto"/>
            <w:noWrap w:val="0"/>
            <w:vAlign w:val="center"/>
          </w:tcPr>
          <w:p w14:paraId="65174CF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µg/L</w:t>
            </w:r>
          </w:p>
        </w:tc>
        <w:tc>
          <w:tcPr>
            <w:tcW w:w="806" w:type="dxa"/>
            <w:shd w:val="clear" w:color="auto" w:fill="auto"/>
            <w:noWrap w:val="0"/>
            <w:vAlign w:val="center"/>
          </w:tcPr>
          <w:p w14:paraId="6E057AB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63FA148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22A1BA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0E1DBE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70AD5B5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71D8ACD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3FE1D0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2AF9BB2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620A58E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47765F0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4" w:type="dxa"/>
            <w:shd w:val="clear" w:color="auto" w:fill="auto"/>
            <w:noWrap w:val="0"/>
            <w:vAlign w:val="center"/>
          </w:tcPr>
          <w:p w14:paraId="169F236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0D7497F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35176D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32" w:type="dxa"/>
            <w:tcBorders>
              <w:right w:val="single" w:color="000000" w:sz="6" w:space="0"/>
            </w:tcBorders>
            <w:shd w:val="clear" w:color="auto" w:fill="auto"/>
            <w:noWrap w:val="0"/>
            <w:vAlign w:val="center"/>
          </w:tcPr>
          <w:p w14:paraId="00C35F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r>
      <w:tr w14:paraId="2E1562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712D79C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铬(六价)</w:t>
            </w:r>
          </w:p>
        </w:tc>
        <w:tc>
          <w:tcPr>
            <w:tcW w:w="1338" w:type="dxa"/>
            <w:shd w:val="clear" w:color="auto" w:fill="auto"/>
            <w:noWrap w:val="0"/>
            <w:vAlign w:val="center"/>
          </w:tcPr>
          <w:p w14:paraId="07D252C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4648D62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735F60C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20E638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656327E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2F7AAF4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2A61CC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1E3C6E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447A00A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6D4C36A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697E56A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4" w:type="dxa"/>
            <w:shd w:val="clear" w:color="auto" w:fill="auto"/>
            <w:noWrap w:val="0"/>
            <w:vAlign w:val="center"/>
          </w:tcPr>
          <w:p w14:paraId="28F7399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3106F68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51DF04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32" w:type="dxa"/>
            <w:tcBorders>
              <w:right w:val="single" w:color="000000" w:sz="6" w:space="0"/>
            </w:tcBorders>
            <w:shd w:val="clear" w:color="auto" w:fill="auto"/>
            <w:noWrap w:val="0"/>
            <w:vAlign w:val="center"/>
          </w:tcPr>
          <w:p w14:paraId="3E6D348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r>
      <w:tr w14:paraId="15DCB7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290" w:type="dxa"/>
            <w:tcBorders>
              <w:left w:val="single" w:color="000000" w:sz="6" w:space="0"/>
            </w:tcBorders>
            <w:shd w:val="clear" w:color="auto" w:fill="auto"/>
            <w:noWrap w:val="0"/>
            <w:vAlign w:val="center"/>
          </w:tcPr>
          <w:p w14:paraId="56268AC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总硬度</w:t>
            </w:r>
          </w:p>
        </w:tc>
        <w:tc>
          <w:tcPr>
            <w:tcW w:w="1338" w:type="dxa"/>
            <w:shd w:val="clear" w:color="auto" w:fill="auto"/>
            <w:noWrap w:val="0"/>
            <w:vAlign w:val="center"/>
          </w:tcPr>
          <w:p w14:paraId="3A1C8E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6D22A0A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342</w:t>
            </w:r>
          </w:p>
        </w:tc>
        <w:tc>
          <w:tcPr>
            <w:tcW w:w="806" w:type="dxa"/>
            <w:shd w:val="clear" w:color="auto" w:fill="auto"/>
            <w:noWrap w:val="0"/>
            <w:vAlign w:val="center"/>
          </w:tcPr>
          <w:p w14:paraId="05BAA9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338</w:t>
            </w:r>
          </w:p>
        </w:tc>
        <w:tc>
          <w:tcPr>
            <w:tcW w:w="806" w:type="dxa"/>
            <w:shd w:val="clear" w:color="auto" w:fill="auto"/>
            <w:noWrap w:val="0"/>
            <w:vAlign w:val="center"/>
          </w:tcPr>
          <w:p w14:paraId="0E2E26E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325</w:t>
            </w:r>
          </w:p>
        </w:tc>
        <w:tc>
          <w:tcPr>
            <w:tcW w:w="808" w:type="dxa"/>
            <w:shd w:val="clear" w:color="auto" w:fill="auto"/>
            <w:noWrap w:val="0"/>
            <w:vAlign w:val="center"/>
          </w:tcPr>
          <w:p w14:paraId="0B88EC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334</w:t>
            </w:r>
          </w:p>
        </w:tc>
        <w:tc>
          <w:tcPr>
            <w:tcW w:w="805" w:type="dxa"/>
            <w:shd w:val="clear" w:color="auto" w:fill="auto"/>
            <w:noWrap w:val="0"/>
            <w:vAlign w:val="center"/>
          </w:tcPr>
          <w:p w14:paraId="57292EC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359</w:t>
            </w:r>
          </w:p>
        </w:tc>
        <w:tc>
          <w:tcPr>
            <w:tcW w:w="806" w:type="dxa"/>
            <w:shd w:val="clear" w:color="auto" w:fill="auto"/>
            <w:noWrap w:val="0"/>
            <w:vAlign w:val="center"/>
          </w:tcPr>
          <w:p w14:paraId="14D7C5B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346</w:t>
            </w:r>
          </w:p>
        </w:tc>
        <w:tc>
          <w:tcPr>
            <w:tcW w:w="806" w:type="dxa"/>
            <w:shd w:val="clear" w:color="auto" w:fill="auto"/>
            <w:noWrap w:val="0"/>
            <w:vAlign w:val="center"/>
          </w:tcPr>
          <w:p w14:paraId="5F8BE4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361</w:t>
            </w:r>
          </w:p>
        </w:tc>
        <w:tc>
          <w:tcPr>
            <w:tcW w:w="808" w:type="dxa"/>
            <w:shd w:val="clear" w:color="auto" w:fill="auto"/>
            <w:noWrap w:val="0"/>
            <w:vAlign w:val="center"/>
          </w:tcPr>
          <w:p w14:paraId="090852D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357</w:t>
            </w:r>
          </w:p>
        </w:tc>
        <w:tc>
          <w:tcPr>
            <w:tcW w:w="805" w:type="dxa"/>
            <w:shd w:val="clear" w:color="auto" w:fill="auto"/>
            <w:noWrap w:val="0"/>
            <w:vAlign w:val="center"/>
          </w:tcPr>
          <w:p w14:paraId="496A4E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329</w:t>
            </w:r>
          </w:p>
        </w:tc>
        <w:tc>
          <w:tcPr>
            <w:tcW w:w="810" w:type="dxa"/>
            <w:shd w:val="clear" w:color="auto" w:fill="auto"/>
            <w:noWrap w:val="0"/>
            <w:vAlign w:val="center"/>
          </w:tcPr>
          <w:p w14:paraId="478F649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331</w:t>
            </w:r>
          </w:p>
        </w:tc>
        <w:tc>
          <w:tcPr>
            <w:tcW w:w="804" w:type="dxa"/>
            <w:shd w:val="clear" w:color="auto" w:fill="auto"/>
            <w:noWrap w:val="0"/>
            <w:vAlign w:val="center"/>
          </w:tcPr>
          <w:p w14:paraId="23226F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332</w:t>
            </w:r>
          </w:p>
        </w:tc>
        <w:tc>
          <w:tcPr>
            <w:tcW w:w="810" w:type="dxa"/>
            <w:shd w:val="clear" w:color="auto" w:fill="auto"/>
            <w:noWrap w:val="0"/>
            <w:vAlign w:val="center"/>
          </w:tcPr>
          <w:p w14:paraId="55FBCB4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317</w:t>
            </w:r>
          </w:p>
        </w:tc>
        <w:tc>
          <w:tcPr>
            <w:tcW w:w="805" w:type="dxa"/>
            <w:shd w:val="clear" w:color="auto" w:fill="auto"/>
            <w:noWrap w:val="0"/>
            <w:vAlign w:val="center"/>
          </w:tcPr>
          <w:p w14:paraId="4D5543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312</w:t>
            </w:r>
          </w:p>
        </w:tc>
        <w:tc>
          <w:tcPr>
            <w:tcW w:w="832" w:type="dxa"/>
            <w:tcBorders>
              <w:right w:val="single" w:color="000000" w:sz="6" w:space="0"/>
            </w:tcBorders>
            <w:shd w:val="clear" w:color="auto" w:fill="auto"/>
            <w:noWrap w:val="0"/>
            <w:vAlign w:val="center"/>
          </w:tcPr>
          <w:p w14:paraId="452A42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308</w:t>
            </w:r>
          </w:p>
        </w:tc>
      </w:tr>
      <w:tr w14:paraId="77731F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3" w:hRule="atLeast"/>
        </w:trPr>
        <w:tc>
          <w:tcPr>
            <w:tcW w:w="1290" w:type="dxa"/>
            <w:tcBorders>
              <w:left w:val="single" w:color="000000" w:sz="6" w:space="0"/>
            </w:tcBorders>
            <w:shd w:val="clear" w:color="auto" w:fill="auto"/>
            <w:noWrap w:val="0"/>
            <w:vAlign w:val="center"/>
          </w:tcPr>
          <w:p w14:paraId="60049FB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氟化物</w:t>
            </w:r>
          </w:p>
        </w:tc>
        <w:tc>
          <w:tcPr>
            <w:tcW w:w="1338" w:type="dxa"/>
            <w:shd w:val="clear" w:color="auto" w:fill="auto"/>
            <w:noWrap w:val="0"/>
            <w:vAlign w:val="center"/>
          </w:tcPr>
          <w:p w14:paraId="150AA9C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1AF481E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0.31</w:t>
            </w:r>
          </w:p>
        </w:tc>
        <w:tc>
          <w:tcPr>
            <w:tcW w:w="806" w:type="dxa"/>
            <w:shd w:val="clear" w:color="auto" w:fill="auto"/>
            <w:noWrap w:val="0"/>
            <w:vAlign w:val="center"/>
          </w:tcPr>
          <w:p w14:paraId="215C9F7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0.36</w:t>
            </w:r>
          </w:p>
        </w:tc>
        <w:tc>
          <w:tcPr>
            <w:tcW w:w="806" w:type="dxa"/>
            <w:shd w:val="clear" w:color="auto" w:fill="auto"/>
            <w:noWrap w:val="0"/>
            <w:vAlign w:val="center"/>
          </w:tcPr>
          <w:p w14:paraId="2EB4C51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0.28</w:t>
            </w:r>
          </w:p>
        </w:tc>
        <w:tc>
          <w:tcPr>
            <w:tcW w:w="808" w:type="dxa"/>
            <w:shd w:val="clear" w:color="auto" w:fill="auto"/>
            <w:noWrap w:val="0"/>
            <w:vAlign w:val="center"/>
          </w:tcPr>
          <w:p w14:paraId="15FB0D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0.34</w:t>
            </w:r>
          </w:p>
        </w:tc>
        <w:tc>
          <w:tcPr>
            <w:tcW w:w="805" w:type="dxa"/>
            <w:shd w:val="clear" w:color="auto" w:fill="auto"/>
            <w:noWrap w:val="0"/>
            <w:vAlign w:val="center"/>
          </w:tcPr>
          <w:p w14:paraId="726A674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0.51</w:t>
            </w:r>
          </w:p>
        </w:tc>
        <w:tc>
          <w:tcPr>
            <w:tcW w:w="806" w:type="dxa"/>
            <w:shd w:val="clear" w:color="auto" w:fill="auto"/>
            <w:noWrap w:val="0"/>
            <w:vAlign w:val="center"/>
          </w:tcPr>
          <w:p w14:paraId="27F091A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0.46</w:t>
            </w:r>
          </w:p>
        </w:tc>
        <w:tc>
          <w:tcPr>
            <w:tcW w:w="806" w:type="dxa"/>
            <w:shd w:val="clear" w:color="auto" w:fill="auto"/>
            <w:noWrap w:val="0"/>
            <w:vAlign w:val="center"/>
          </w:tcPr>
          <w:p w14:paraId="5C8F53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0.55</w:t>
            </w:r>
          </w:p>
        </w:tc>
        <w:tc>
          <w:tcPr>
            <w:tcW w:w="808" w:type="dxa"/>
            <w:shd w:val="clear" w:color="auto" w:fill="auto"/>
            <w:noWrap w:val="0"/>
            <w:vAlign w:val="center"/>
          </w:tcPr>
          <w:p w14:paraId="3D95DB1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0.52</w:t>
            </w:r>
          </w:p>
        </w:tc>
        <w:tc>
          <w:tcPr>
            <w:tcW w:w="805" w:type="dxa"/>
            <w:shd w:val="clear" w:color="auto" w:fill="auto"/>
            <w:noWrap w:val="0"/>
            <w:vAlign w:val="center"/>
          </w:tcPr>
          <w:p w14:paraId="4BC447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0.29</w:t>
            </w:r>
          </w:p>
        </w:tc>
        <w:tc>
          <w:tcPr>
            <w:tcW w:w="810" w:type="dxa"/>
            <w:shd w:val="clear" w:color="auto" w:fill="auto"/>
            <w:noWrap w:val="0"/>
            <w:vAlign w:val="center"/>
          </w:tcPr>
          <w:p w14:paraId="54100A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0.27</w:t>
            </w:r>
          </w:p>
        </w:tc>
        <w:tc>
          <w:tcPr>
            <w:tcW w:w="804" w:type="dxa"/>
            <w:shd w:val="clear" w:color="auto" w:fill="auto"/>
            <w:noWrap w:val="0"/>
            <w:vAlign w:val="center"/>
          </w:tcPr>
          <w:p w14:paraId="200361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0.31</w:t>
            </w:r>
          </w:p>
        </w:tc>
        <w:tc>
          <w:tcPr>
            <w:tcW w:w="810" w:type="dxa"/>
            <w:shd w:val="clear" w:color="auto" w:fill="auto"/>
            <w:noWrap w:val="0"/>
            <w:vAlign w:val="center"/>
          </w:tcPr>
          <w:p w14:paraId="291185A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0.22</w:t>
            </w:r>
          </w:p>
        </w:tc>
        <w:tc>
          <w:tcPr>
            <w:tcW w:w="805" w:type="dxa"/>
            <w:shd w:val="clear" w:color="auto" w:fill="auto"/>
            <w:noWrap w:val="0"/>
            <w:vAlign w:val="center"/>
          </w:tcPr>
          <w:p w14:paraId="66790EB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0.25</w:t>
            </w:r>
          </w:p>
        </w:tc>
        <w:tc>
          <w:tcPr>
            <w:tcW w:w="832" w:type="dxa"/>
            <w:tcBorders>
              <w:right w:val="single" w:color="000000" w:sz="6" w:space="0"/>
            </w:tcBorders>
            <w:shd w:val="clear" w:color="auto" w:fill="auto"/>
            <w:noWrap w:val="0"/>
            <w:vAlign w:val="center"/>
          </w:tcPr>
          <w:p w14:paraId="786A9FE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0.30</w:t>
            </w:r>
          </w:p>
        </w:tc>
      </w:tr>
      <w:tr w14:paraId="58AE90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5EB7DE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镉</w:t>
            </w:r>
          </w:p>
        </w:tc>
        <w:tc>
          <w:tcPr>
            <w:tcW w:w="1338" w:type="dxa"/>
            <w:shd w:val="clear" w:color="auto" w:fill="auto"/>
            <w:noWrap w:val="0"/>
            <w:vAlign w:val="center"/>
          </w:tcPr>
          <w:p w14:paraId="5EE4FC1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2BC7EC5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60106F5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177B944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326659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529045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6BB38FB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41A1678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6AD16DD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533A79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67A083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4" w:type="dxa"/>
            <w:shd w:val="clear" w:color="auto" w:fill="auto"/>
            <w:noWrap w:val="0"/>
            <w:vAlign w:val="center"/>
          </w:tcPr>
          <w:p w14:paraId="5B2E7A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6F2230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56956CE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32" w:type="dxa"/>
            <w:tcBorders>
              <w:right w:val="single" w:color="000000" w:sz="6" w:space="0"/>
            </w:tcBorders>
            <w:shd w:val="clear" w:color="auto" w:fill="auto"/>
            <w:noWrap w:val="0"/>
            <w:vAlign w:val="center"/>
          </w:tcPr>
          <w:p w14:paraId="6F903EC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r>
      <w:tr w14:paraId="3F36C7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1290" w:type="dxa"/>
            <w:tcBorders>
              <w:left w:val="single" w:color="000000" w:sz="6" w:space="0"/>
            </w:tcBorders>
            <w:shd w:val="clear" w:color="auto" w:fill="auto"/>
            <w:noWrap w:val="0"/>
            <w:vAlign w:val="center"/>
          </w:tcPr>
          <w:p w14:paraId="060B96A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铁</w:t>
            </w:r>
          </w:p>
        </w:tc>
        <w:tc>
          <w:tcPr>
            <w:tcW w:w="1338" w:type="dxa"/>
            <w:shd w:val="clear" w:color="auto" w:fill="auto"/>
            <w:noWrap w:val="0"/>
            <w:vAlign w:val="center"/>
          </w:tcPr>
          <w:p w14:paraId="78811F1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4CBB47B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7923DFB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1E1A19B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6C19C6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508643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79D1966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6ACE91B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7C0CACB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3DB8C06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12B7A6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4" w:type="dxa"/>
            <w:shd w:val="clear" w:color="auto" w:fill="auto"/>
            <w:noWrap w:val="0"/>
            <w:vAlign w:val="center"/>
          </w:tcPr>
          <w:p w14:paraId="59F817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60518BA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630F90C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32" w:type="dxa"/>
            <w:tcBorders>
              <w:right w:val="single" w:color="000000" w:sz="6" w:space="0"/>
            </w:tcBorders>
            <w:shd w:val="clear" w:color="auto" w:fill="auto"/>
            <w:noWrap w:val="0"/>
            <w:vAlign w:val="center"/>
          </w:tcPr>
          <w:p w14:paraId="649F2C6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r>
      <w:tr w14:paraId="5B9494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5DE8E2B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锰</w:t>
            </w:r>
          </w:p>
        </w:tc>
        <w:tc>
          <w:tcPr>
            <w:tcW w:w="1338" w:type="dxa"/>
            <w:shd w:val="clear" w:color="auto" w:fill="auto"/>
            <w:noWrap w:val="0"/>
            <w:vAlign w:val="center"/>
          </w:tcPr>
          <w:p w14:paraId="0F3727C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257299A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3F3EDCE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73E2A6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2DBB8C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181B07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4A5466F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3D07AE2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6CC747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4E4FC8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00226B4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4" w:type="dxa"/>
            <w:shd w:val="clear" w:color="auto" w:fill="auto"/>
            <w:noWrap w:val="0"/>
            <w:vAlign w:val="center"/>
          </w:tcPr>
          <w:p w14:paraId="73B82C9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686B1A1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0911DA2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32" w:type="dxa"/>
            <w:tcBorders>
              <w:right w:val="single" w:color="000000" w:sz="6" w:space="0"/>
            </w:tcBorders>
            <w:shd w:val="clear" w:color="auto" w:fill="auto"/>
            <w:noWrap w:val="0"/>
            <w:vAlign w:val="center"/>
          </w:tcPr>
          <w:p w14:paraId="6F667DB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r>
      <w:tr w14:paraId="565BBC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61CC14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铅</w:t>
            </w:r>
          </w:p>
        </w:tc>
        <w:tc>
          <w:tcPr>
            <w:tcW w:w="1338" w:type="dxa"/>
            <w:shd w:val="clear" w:color="auto" w:fill="auto"/>
            <w:noWrap w:val="0"/>
            <w:vAlign w:val="center"/>
          </w:tcPr>
          <w:p w14:paraId="138C35E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4597C3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3294AA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74F074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4DBCE0A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305481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46A59B7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2CFEDD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02BDEA5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16F4012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2C88E0B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4" w:type="dxa"/>
            <w:shd w:val="clear" w:color="auto" w:fill="auto"/>
            <w:noWrap w:val="0"/>
            <w:vAlign w:val="center"/>
          </w:tcPr>
          <w:p w14:paraId="6FA177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44FB07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2986FCF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32" w:type="dxa"/>
            <w:tcBorders>
              <w:right w:val="single" w:color="000000" w:sz="6" w:space="0"/>
            </w:tcBorders>
            <w:shd w:val="clear" w:color="auto" w:fill="auto"/>
            <w:noWrap w:val="0"/>
            <w:vAlign w:val="center"/>
          </w:tcPr>
          <w:p w14:paraId="0269DF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r>
      <w:tr w14:paraId="7AB1AA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7" w:hRule="atLeast"/>
        </w:trPr>
        <w:tc>
          <w:tcPr>
            <w:tcW w:w="1290" w:type="dxa"/>
            <w:tcBorders>
              <w:left w:val="single" w:color="000000" w:sz="6" w:space="0"/>
            </w:tcBorders>
            <w:shd w:val="clear" w:color="auto" w:fill="auto"/>
            <w:noWrap w:val="0"/>
            <w:vAlign w:val="center"/>
          </w:tcPr>
          <w:p w14:paraId="489A5EB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铜</w:t>
            </w:r>
          </w:p>
        </w:tc>
        <w:tc>
          <w:tcPr>
            <w:tcW w:w="1338" w:type="dxa"/>
            <w:shd w:val="clear" w:color="auto" w:fill="auto"/>
            <w:noWrap w:val="0"/>
            <w:vAlign w:val="center"/>
          </w:tcPr>
          <w:p w14:paraId="080DEE1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mg/L</w:t>
            </w:r>
          </w:p>
        </w:tc>
        <w:tc>
          <w:tcPr>
            <w:tcW w:w="806" w:type="dxa"/>
            <w:shd w:val="clear" w:color="auto" w:fill="auto"/>
            <w:noWrap w:val="0"/>
            <w:vAlign w:val="center"/>
          </w:tcPr>
          <w:p w14:paraId="0E8D0DC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08C8409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301267C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4E395B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17BBEEE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575BC11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6" w:type="dxa"/>
            <w:shd w:val="clear" w:color="auto" w:fill="auto"/>
            <w:noWrap w:val="0"/>
            <w:vAlign w:val="center"/>
          </w:tcPr>
          <w:p w14:paraId="57ED097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8" w:type="dxa"/>
            <w:shd w:val="clear" w:color="auto" w:fill="auto"/>
            <w:noWrap w:val="0"/>
            <w:vAlign w:val="center"/>
          </w:tcPr>
          <w:p w14:paraId="277004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3C4F2D1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1A295C2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4" w:type="dxa"/>
            <w:shd w:val="clear" w:color="auto" w:fill="auto"/>
            <w:noWrap w:val="0"/>
            <w:vAlign w:val="center"/>
          </w:tcPr>
          <w:p w14:paraId="623AC3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10" w:type="dxa"/>
            <w:shd w:val="clear" w:color="auto" w:fill="auto"/>
            <w:noWrap w:val="0"/>
            <w:vAlign w:val="center"/>
          </w:tcPr>
          <w:p w14:paraId="51C823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05" w:type="dxa"/>
            <w:shd w:val="clear" w:color="auto" w:fill="auto"/>
            <w:noWrap w:val="0"/>
            <w:vAlign w:val="center"/>
          </w:tcPr>
          <w:p w14:paraId="0B91A2B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c>
          <w:tcPr>
            <w:tcW w:w="832" w:type="dxa"/>
            <w:tcBorders>
              <w:right w:val="single" w:color="000000" w:sz="6" w:space="0"/>
            </w:tcBorders>
            <w:shd w:val="clear" w:color="auto" w:fill="auto"/>
            <w:noWrap w:val="0"/>
            <w:vAlign w:val="center"/>
          </w:tcPr>
          <w:p w14:paraId="1B20050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
              </w:rPr>
              <w:t>ND</w:t>
            </w:r>
          </w:p>
        </w:tc>
      </w:tr>
      <w:tr w14:paraId="624768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9" w:hRule="atLeast"/>
        </w:trPr>
        <w:tc>
          <w:tcPr>
            <w:tcW w:w="13945" w:type="dxa"/>
            <w:gridSpan w:val="16"/>
            <w:tcBorders>
              <w:top w:val="single" w:color="000000" w:sz="6" w:space="0"/>
              <w:left w:val="single" w:color="000000" w:sz="6" w:space="0"/>
              <w:right w:val="single" w:color="000000" w:sz="6" w:space="0"/>
            </w:tcBorders>
            <w:shd w:val="clear" w:color="auto" w:fill="auto"/>
            <w:noWrap w:val="0"/>
            <w:vAlign w:val="center"/>
          </w:tcPr>
          <w:p w14:paraId="041B8D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地下水检测结果 (2023.05.17)</w:t>
            </w:r>
          </w:p>
        </w:tc>
      </w:tr>
      <w:tr w14:paraId="1B2909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1290" w:type="dxa"/>
            <w:vMerge w:val="restart"/>
            <w:tcBorders>
              <w:left w:val="single" w:color="000000" w:sz="6" w:space="0"/>
              <w:bottom w:val="nil"/>
            </w:tcBorders>
            <w:shd w:val="clear" w:color="auto" w:fill="auto"/>
            <w:noWrap w:val="0"/>
            <w:vAlign w:val="center"/>
          </w:tcPr>
          <w:p w14:paraId="31C46E5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p>
          <w:p w14:paraId="6A032D5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检测项目</w:t>
            </w:r>
          </w:p>
        </w:tc>
        <w:tc>
          <w:tcPr>
            <w:tcW w:w="1338" w:type="dxa"/>
            <w:vMerge w:val="restart"/>
            <w:tcBorders>
              <w:bottom w:val="nil"/>
            </w:tcBorders>
            <w:shd w:val="clear" w:color="auto" w:fill="auto"/>
            <w:noWrap w:val="0"/>
            <w:vAlign w:val="center"/>
          </w:tcPr>
          <w:p w14:paraId="2C2A418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p>
          <w:p w14:paraId="3209FED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2"/>
              </w:rPr>
              <w:t>单位</w:t>
            </w:r>
          </w:p>
        </w:tc>
        <w:tc>
          <w:tcPr>
            <w:tcW w:w="11317" w:type="dxa"/>
            <w:gridSpan w:val="14"/>
            <w:tcBorders>
              <w:right w:val="single" w:color="000000" w:sz="6" w:space="0"/>
            </w:tcBorders>
            <w:shd w:val="clear" w:color="auto" w:fill="auto"/>
            <w:noWrap w:val="0"/>
            <w:vAlign w:val="center"/>
          </w:tcPr>
          <w:p w14:paraId="11F7414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检测结果</w:t>
            </w:r>
          </w:p>
        </w:tc>
      </w:tr>
      <w:tr w14:paraId="40B889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vMerge w:val="continue"/>
            <w:tcBorders>
              <w:top w:val="nil"/>
              <w:left w:val="single" w:color="000000" w:sz="6" w:space="0"/>
              <w:bottom w:val="nil"/>
            </w:tcBorders>
            <w:shd w:val="clear" w:color="auto" w:fill="auto"/>
            <w:noWrap w:val="0"/>
            <w:vAlign w:val="center"/>
          </w:tcPr>
          <w:p w14:paraId="1DDD35C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p>
        </w:tc>
        <w:tc>
          <w:tcPr>
            <w:tcW w:w="1338" w:type="dxa"/>
            <w:vMerge w:val="continue"/>
            <w:tcBorders>
              <w:top w:val="nil"/>
              <w:bottom w:val="nil"/>
            </w:tcBorders>
            <w:shd w:val="clear" w:color="auto" w:fill="auto"/>
            <w:noWrap w:val="0"/>
            <w:vAlign w:val="center"/>
          </w:tcPr>
          <w:p w14:paraId="6795B5C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p>
        </w:tc>
        <w:tc>
          <w:tcPr>
            <w:tcW w:w="1612" w:type="dxa"/>
            <w:gridSpan w:val="2"/>
            <w:shd w:val="clear" w:color="auto" w:fill="auto"/>
            <w:noWrap w:val="0"/>
            <w:vAlign w:val="center"/>
          </w:tcPr>
          <w:p w14:paraId="5764A0D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2"/>
              </w:rPr>
              <w:t>姚庄村</w:t>
            </w:r>
          </w:p>
        </w:tc>
        <w:tc>
          <w:tcPr>
            <w:tcW w:w="1614" w:type="dxa"/>
            <w:gridSpan w:val="2"/>
            <w:shd w:val="clear" w:color="auto" w:fill="auto"/>
            <w:noWrap w:val="0"/>
            <w:vAlign w:val="center"/>
          </w:tcPr>
          <w:p w14:paraId="32F002F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2"/>
              </w:rPr>
              <w:t>夏庄村</w:t>
            </w:r>
          </w:p>
        </w:tc>
        <w:tc>
          <w:tcPr>
            <w:tcW w:w="1611" w:type="dxa"/>
            <w:gridSpan w:val="2"/>
            <w:shd w:val="clear" w:color="auto" w:fill="auto"/>
            <w:noWrap w:val="0"/>
            <w:vAlign w:val="center"/>
          </w:tcPr>
          <w:p w14:paraId="472E21A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化纤厂厂区</w:t>
            </w:r>
          </w:p>
        </w:tc>
        <w:tc>
          <w:tcPr>
            <w:tcW w:w="1614" w:type="dxa"/>
            <w:gridSpan w:val="2"/>
            <w:shd w:val="clear" w:color="auto" w:fill="auto"/>
            <w:noWrap w:val="0"/>
            <w:vAlign w:val="center"/>
          </w:tcPr>
          <w:p w14:paraId="1431054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双鹭药业</w:t>
            </w:r>
          </w:p>
        </w:tc>
        <w:tc>
          <w:tcPr>
            <w:tcW w:w="1615" w:type="dxa"/>
            <w:gridSpan w:val="2"/>
            <w:shd w:val="clear" w:color="auto" w:fill="auto"/>
            <w:noWrap w:val="0"/>
            <w:vAlign w:val="center"/>
          </w:tcPr>
          <w:p w14:paraId="3061C94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2"/>
              </w:rPr>
              <w:t>大杨庄村</w:t>
            </w:r>
          </w:p>
        </w:tc>
        <w:tc>
          <w:tcPr>
            <w:tcW w:w="1614" w:type="dxa"/>
            <w:gridSpan w:val="2"/>
            <w:shd w:val="clear" w:color="auto" w:fill="auto"/>
            <w:noWrap w:val="0"/>
            <w:vAlign w:val="center"/>
          </w:tcPr>
          <w:p w14:paraId="4359B2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3"/>
              </w:rPr>
              <w:t>张河村</w:t>
            </w:r>
          </w:p>
        </w:tc>
        <w:tc>
          <w:tcPr>
            <w:tcW w:w="1637" w:type="dxa"/>
            <w:gridSpan w:val="2"/>
            <w:tcBorders>
              <w:right w:val="single" w:color="000000" w:sz="6" w:space="0"/>
            </w:tcBorders>
            <w:shd w:val="clear" w:color="auto" w:fill="auto"/>
            <w:noWrap w:val="0"/>
            <w:vAlign w:val="center"/>
          </w:tcPr>
          <w:p w14:paraId="4F1AA85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新联学院</w:t>
            </w:r>
          </w:p>
        </w:tc>
      </w:tr>
      <w:tr w14:paraId="3F2E54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vMerge w:val="continue"/>
            <w:tcBorders>
              <w:top w:val="nil"/>
              <w:left w:val="single" w:color="000000" w:sz="6" w:space="0"/>
            </w:tcBorders>
            <w:shd w:val="clear" w:color="auto" w:fill="auto"/>
            <w:noWrap w:val="0"/>
            <w:vAlign w:val="center"/>
          </w:tcPr>
          <w:p w14:paraId="75D49DA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p>
        </w:tc>
        <w:tc>
          <w:tcPr>
            <w:tcW w:w="1338" w:type="dxa"/>
            <w:vMerge w:val="continue"/>
            <w:tcBorders>
              <w:top w:val="nil"/>
            </w:tcBorders>
            <w:shd w:val="clear" w:color="auto" w:fill="auto"/>
            <w:noWrap w:val="0"/>
            <w:vAlign w:val="center"/>
          </w:tcPr>
          <w:p w14:paraId="12737F8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p>
        </w:tc>
        <w:tc>
          <w:tcPr>
            <w:tcW w:w="806" w:type="dxa"/>
            <w:shd w:val="clear" w:color="auto" w:fill="auto"/>
            <w:noWrap w:val="0"/>
            <w:vAlign w:val="center"/>
          </w:tcPr>
          <w:p w14:paraId="348EBD1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1</w:t>
            </w:r>
          </w:p>
        </w:tc>
        <w:tc>
          <w:tcPr>
            <w:tcW w:w="806" w:type="dxa"/>
            <w:shd w:val="clear" w:color="auto" w:fill="auto"/>
            <w:noWrap w:val="0"/>
            <w:vAlign w:val="center"/>
          </w:tcPr>
          <w:p w14:paraId="1FFAED5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2</w:t>
            </w:r>
          </w:p>
        </w:tc>
        <w:tc>
          <w:tcPr>
            <w:tcW w:w="806" w:type="dxa"/>
            <w:shd w:val="clear" w:color="auto" w:fill="auto"/>
            <w:noWrap w:val="0"/>
            <w:vAlign w:val="center"/>
          </w:tcPr>
          <w:p w14:paraId="610BA4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1</w:t>
            </w:r>
          </w:p>
        </w:tc>
        <w:tc>
          <w:tcPr>
            <w:tcW w:w="808" w:type="dxa"/>
            <w:shd w:val="clear" w:color="auto" w:fill="auto"/>
            <w:noWrap w:val="0"/>
            <w:vAlign w:val="center"/>
          </w:tcPr>
          <w:p w14:paraId="56BB1D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2</w:t>
            </w:r>
          </w:p>
        </w:tc>
        <w:tc>
          <w:tcPr>
            <w:tcW w:w="805" w:type="dxa"/>
            <w:shd w:val="clear" w:color="auto" w:fill="auto"/>
            <w:noWrap w:val="0"/>
            <w:vAlign w:val="center"/>
          </w:tcPr>
          <w:p w14:paraId="1390B9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1</w:t>
            </w:r>
          </w:p>
        </w:tc>
        <w:tc>
          <w:tcPr>
            <w:tcW w:w="806" w:type="dxa"/>
            <w:shd w:val="clear" w:color="auto" w:fill="auto"/>
            <w:noWrap w:val="0"/>
            <w:vAlign w:val="center"/>
          </w:tcPr>
          <w:p w14:paraId="599394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2</w:t>
            </w:r>
          </w:p>
        </w:tc>
        <w:tc>
          <w:tcPr>
            <w:tcW w:w="806" w:type="dxa"/>
            <w:shd w:val="clear" w:color="auto" w:fill="auto"/>
            <w:noWrap w:val="0"/>
            <w:vAlign w:val="center"/>
          </w:tcPr>
          <w:p w14:paraId="5261B3A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1</w:t>
            </w:r>
          </w:p>
        </w:tc>
        <w:tc>
          <w:tcPr>
            <w:tcW w:w="808" w:type="dxa"/>
            <w:shd w:val="clear" w:color="auto" w:fill="auto"/>
            <w:noWrap w:val="0"/>
            <w:vAlign w:val="center"/>
          </w:tcPr>
          <w:p w14:paraId="0EBEB59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2</w:t>
            </w:r>
          </w:p>
        </w:tc>
        <w:tc>
          <w:tcPr>
            <w:tcW w:w="805" w:type="dxa"/>
            <w:shd w:val="clear" w:color="auto" w:fill="auto"/>
            <w:noWrap w:val="0"/>
            <w:vAlign w:val="center"/>
          </w:tcPr>
          <w:p w14:paraId="5C8FF6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1</w:t>
            </w:r>
          </w:p>
        </w:tc>
        <w:tc>
          <w:tcPr>
            <w:tcW w:w="810" w:type="dxa"/>
            <w:shd w:val="clear" w:color="auto" w:fill="auto"/>
            <w:noWrap w:val="0"/>
            <w:vAlign w:val="center"/>
          </w:tcPr>
          <w:p w14:paraId="3AE0FF9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2</w:t>
            </w:r>
          </w:p>
        </w:tc>
        <w:tc>
          <w:tcPr>
            <w:tcW w:w="804" w:type="dxa"/>
            <w:shd w:val="clear" w:color="auto" w:fill="auto"/>
            <w:noWrap w:val="0"/>
            <w:vAlign w:val="center"/>
          </w:tcPr>
          <w:p w14:paraId="0C573DA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1</w:t>
            </w:r>
          </w:p>
        </w:tc>
        <w:tc>
          <w:tcPr>
            <w:tcW w:w="810" w:type="dxa"/>
            <w:shd w:val="clear" w:color="auto" w:fill="auto"/>
            <w:noWrap w:val="0"/>
            <w:vAlign w:val="center"/>
          </w:tcPr>
          <w:p w14:paraId="4F1A537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2</w:t>
            </w:r>
          </w:p>
        </w:tc>
        <w:tc>
          <w:tcPr>
            <w:tcW w:w="805" w:type="dxa"/>
            <w:shd w:val="clear" w:color="auto" w:fill="auto"/>
            <w:noWrap w:val="0"/>
            <w:vAlign w:val="center"/>
          </w:tcPr>
          <w:p w14:paraId="68B6007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1</w:t>
            </w:r>
          </w:p>
        </w:tc>
        <w:tc>
          <w:tcPr>
            <w:tcW w:w="832" w:type="dxa"/>
            <w:tcBorders>
              <w:right w:val="single" w:color="000000" w:sz="6" w:space="0"/>
            </w:tcBorders>
            <w:shd w:val="clear" w:color="auto" w:fill="auto"/>
            <w:noWrap w:val="0"/>
            <w:vAlign w:val="center"/>
          </w:tcPr>
          <w:p w14:paraId="203F537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2</w:t>
            </w:r>
          </w:p>
        </w:tc>
      </w:tr>
      <w:tr w14:paraId="3F55E9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290" w:type="dxa"/>
            <w:tcBorders>
              <w:left w:val="single" w:color="000000" w:sz="6" w:space="0"/>
            </w:tcBorders>
            <w:shd w:val="clear" w:color="auto" w:fill="auto"/>
            <w:noWrap w:val="0"/>
            <w:vAlign w:val="center"/>
          </w:tcPr>
          <w:p w14:paraId="12923E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锌</w:t>
            </w:r>
          </w:p>
        </w:tc>
        <w:tc>
          <w:tcPr>
            <w:tcW w:w="1338" w:type="dxa"/>
            <w:shd w:val="clear" w:color="auto" w:fill="auto"/>
            <w:noWrap w:val="0"/>
            <w:vAlign w:val="center"/>
          </w:tcPr>
          <w:p w14:paraId="7E93FFA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mg/L</w:t>
            </w:r>
          </w:p>
        </w:tc>
        <w:tc>
          <w:tcPr>
            <w:tcW w:w="806" w:type="dxa"/>
            <w:shd w:val="clear" w:color="auto" w:fill="auto"/>
            <w:noWrap w:val="0"/>
            <w:vAlign w:val="center"/>
          </w:tcPr>
          <w:p w14:paraId="672C0A1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35B3FC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741933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124FA4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7EEE1A4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4D114D6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5086AF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72A574B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27A6BB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763B17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4" w:type="dxa"/>
            <w:shd w:val="clear" w:color="auto" w:fill="auto"/>
            <w:noWrap w:val="0"/>
            <w:vAlign w:val="center"/>
          </w:tcPr>
          <w:p w14:paraId="36C286A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75BAC6A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3E2DF2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32" w:type="dxa"/>
            <w:tcBorders>
              <w:right w:val="single" w:color="000000" w:sz="6" w:space="0"/>
            </w:tcBorders>
            <w:shd w:val="clear" w:color="auto" w:fill="auto"/>
            <w:noWrap w:val="0"/>
            <w:vAlign w:val="center"/>
          </w:tcPr>
          <w:p w14:paraId="0FC397C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r>
      <w:tr w14:paraId="34BA0D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1F6806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铝</w:t>
            </w:r>
          </w:p>
        </w:tc>
        <w:tc>
          <w:tcPr>
            <w:tcW w:w="1338" w:type="dxa"/>
            <w:shd w:val="clear" w:color="auto" w:fill="auto"/>
            <w:noWrap w:val="0"/>
            <w:vAlign w:val="center"/>
          </w:tcPr>
          <w:p w14:paraId="4F5D48E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mg/L</w:t>
            </w:r>
          </w:p>
        </w:tc>
        <w:tc>
          <w:tcPr>
            <w:tcW w:w="806" w:type="dxa"/>
            <w:shd w:val="clear" w:color="auto" w:fill="auto"/>
            <w:noWrap w:val="0"/>
            <w:vAlign w:val="center"/>
          </w:tcPr>
          <w:p w14:paraId="0FBF9A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17B81C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72B198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3C9031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7831B69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2DE062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782755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2F428AF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0CE4B1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0D232BC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4" w:type="dxa"/>
            <w:shd w:val="clear" w:color="auto" w:fill="auto"/>
            <w:noWrap w:val="0"/>
            <w:vAlign w:val="center"/>
          </w:tcPr>
          <w:p w14:paraId="0B0089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1E9967F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24E31F9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32" w:type="dxa"/>
            <w:tcBorders>
              <w:right w:val="single" w:color="000000" w:sz="6" w:space="0"/>
            </w:tcBorders>
            <w:shd w:val="clear" w:color="auto" w:fill="auto"/>
            <w:noWrap w:val="0"/>
            <w:vAlign w:val="center"/>
          </w:tcPr>
          <w:p w14:paraId="33328B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r>
      <w:tr w14:paraId="477CB0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1290" w:type="dxa"/>
            <w:tcBorders>
              <w:left w:val="single" w:color="000000" w:sz="6" w:space="0"/>
            </w:tcBorders>
            <w:shd w:val="clear" w:color="auto" w:fill="auto"/>
            <w:noWrap w:val="0"/>
            <w:vAlign w:val="center"/>
          </w:tcPr>
          <w:p w14:paraId="02E1424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2"/>
              </w:rPr>
              <w:t>溶解性总固</w:t>
            </w:r>
            <w:r>
              <w:rPr>
                <w:rFonts w:cs="Arial"/>
                <w:snapToGrid w:val="0"/>
                <w:color w:val="000000"/>
                <w:spacing w:val="1"/>
              </w:rPr>
              <w:t xml:space="preserve"> </w:t>
            </w:r>
            <w:r>
              <w:rPr>
                <w:rFonts w:cs="Arial"/>
                <w:snapToGrid w:val="0"/>
                <w:color w:val="000000"/>
              </w:rPr>
              <w:t>体</w:t>
            </w:r>
          </w:p>
        </w:tc>
        <w:tc>
          <w:tcPr>
            <w:tcW w:w="1338" w:type="dxa"/>
            <w:shd w:val="clear" w:color="auto" w:fill="auto"/>
            <w:noWrap w:val="0"/>
            <w:vAlign w:val="center"/>
          </w:tcPr>
          <w:p w14:paraId="7F7D19C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mg/L</w:t>
            </w:r>
          </w:p>
        </w:tc>
        <w:tc>
          <w:tcPr>
            <w:tcW w:w="806" w:type="dxa"/>
            <w:shd w:val="clear" w:color="auto" w:fill="auto"/>
            <w:noWrap w:val="0"/>
            <w:vAlign w:val="center"/>
          </w:tcPr>
          <w:p w14:paraId="71A6D29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437</w:t>
            </w:r>
          </w:p>
        </w:tc>
        <w:tc>
          <w:tcPr>
            <w:tcW w:w="806" w:type="dxa"/>
            <w:shd w:val="clear" w:color="auto" w:fill="auto"/>
            <w:noWrap w:val="0"/>
            <w:vAlign w:val="center"/>
          </w:tcPr>
          <w:p w14:paraId="14E73CE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442</w:t>
            </w:r>
          </w:p>
        </w:tc>
        <w:tc>
          <w:tcPr>
            <w:tcW w:w="806" w:type="dxa"/>
            <w:shd w:val="clear" w:color="auto" w:fill="auto"/>
            <w:noWrap w:val="0"/>
            <w:vAlign w:val="center"/>
          </w:tcPr>
          <w:p w14:paraId="680CBD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419</w:t>
            </w:r>
          </w:p>
        </w:tc>
        <w:tc>
          <w:tcPr>
            <w:tcW w:w="808" w:type="dxa"/>
            <w:shd w:val="clear" w:color="auto" w:fill="auto"/>
            <w:noWrap w:val="0"/>
            <w:vAlign w:val="center"/>
          </w:tcPr>
          <w:p w14:paraId="249015F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430</w:t>
            </w:r>
          </w:p>
        </w:tc>
        <w:tc>
          <w:tcPr>
            <w:tcW w:w="805" w:type="dxa"/>
            <w:shd w:val="clear" w:color="auto" w:fill="auto"/>
            <w:noWrap w:val="0"/>
            <w:vAlign w:val="center"/>
          </w:tcPr>
          <w:p w14:paraId="22FC15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459</w:t>
            </w:r>
          </w:p>
        </w:tc>
        <w:tc>
          <w:tcPr>
            <w:tcW w:w="806" w:type="dxa"/>
            <w:shd w:val="clear" w:color="auto" w:fill="auto"/>
            <w:noWrap w:val="0"/>
            <w:vAlign w:val="center"/>
          </w:tcPr>
          <w:p w14:paraId="06DAE59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463</w:t>
            </w:r>
          </w:p>
        </w:tc>
        <w:tc>
          <w:tcPr>
            <w:tcW w:w="806" w:type="dxa"/>
            <w:shd w:val="clear" w:color="auto" w:fill="auto"/>
            <w:noWrap w:val="0"/>
            <w:vAlign w:val="center"/>
          </w:tcPr>
          <w:p w14:paraId="617989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466</w:t>
            </w:r>
          </w:p>
        </w:tc>
        <w:tc>
          <w:tcPr>
            <w:tcW w:w="808" w:type="dxa"/>
            <w:shd w:val="clear" w:color="auto" w:fill="auto"/>
            <w:noWrap w:val="0"/>
            <w:vAlign w:val="center"/>
          </w:tcPr>
          <w:p w14:paraId="378119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454</w:t>
            </w:r>
          </w:p>
        </w:tc>
        <w:tc>
          <w:tcPr>
            <w:tcW w:w="805" w:type="dxa"/>
            <w:shd w:val="clear" w:color="auto" w:fill="auto"/>
            <w:noWrap w:val="0"/>
            <w:vAlign w:val="center"/>
          </w:tcPr>
          <w:p w14:paraId="16AD4F9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429</w:t>
            </w:r>
          </w:p>
        </w:tc>
        <w:tc>
          <w:tcPr>
            <w:tcW w:w="810" w:type="dxa"/>
            <w:shd w:val="clear" w:color="auto" w:fill="auto"/>
            <w:noWrap w:val="0"/>
            <w:vAlign w:val="center"/>
          </w:tcPr>
          <w:p w14:paraId="3835FA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422</w:t>
            </w:r>
          </w:p>
        </w:tc>
        <w:tc>
          <w:tcPr>
            <w:tcW w:w="804" w:type="dxa"/>
            <w:shd w:val="clear" w:color="auto" w:fill="auto"/>
            <w:noWrap w:val="0"/>
            <w:vAlign w:val="center"/>
          </w:tcPr>
          <w:p w14:paraId="5970EA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436</w:t>
            </w:r>
          </w:p>
        </w:tc>
        <w:tc>
          <w:tcPr>
            <w:tcW w:w="810" w:type="dxa"/>
            <w:shd w:val="clear" w:color="auto" w:fill="auto"/>
            <w:noWrap w:val="0"/>
            <w:vAlign w:val="center"/>
          </w:tcPr>
          <w:p w14:paraId="4C34466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429</w:t>
            </w:r>
          </w:p>
        </w:tc>
        <w:tc>
          <w:tcPr>
            <w:tcW w:w="805" w:type="dxa"/>
            <w:shd w:val="clear" w:color="auto" w:fill="auto"/>
            <w:noWrap w:val="0"/>
            <w:vAlign w:val="center"/>
          </w:tcPr>
          <w:p w14:paraId="34C5541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418</w:t>
            </w:r>
          </w:p>
        </w:tc>
        <w:tc>
          <w:tcPr>
            <w:tcW w:w="832" w:type="dxa"/>
            <w:tcBorders>
              <w:right w:val="single" w:color="000000" w:sz="6" w:space="0"/>
            </w:tcBorders>
            <w:shd w:val="clear" w:color="auto" w:fill="auto"/>
            <w:noWrap w:val="0"/>
            <w:vAlign w:val="center"/>
          </w:tcPr>
          <w:p w14:paraId="73F47D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424</w:t>
            </w:r>
          </w:p>
        </w:tc>
      </w:tr>
      <w:tr w14:paraId="548695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1E08754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2"/>
              </w:rPr>
              <w:t>耗氧量</w:t>
            </w:r>
          </w:p>
        </w:tc>
        <w:tc>
          <w:tcPr>
            <w:tcW w:w="1338" w:type="dxa"/>
            <w:shd w:val="clear" w:color="auto" w:fill="auto"/>
            <w:noWrap w:val="0"/>
            <w:vAlign w:val="center"/>
          </w:tcPr>
          <w:p w14:paraId="154BFA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mg/L</w:t>
            </w:r>
          </w:p>
        </w:tc>
        <w:tc>
          <w:tcPr>
            <w:tcW w:w="806" w:type="dxa"/>
            <w:shd w:val="clear" w:color="auto" w:fill="auto"/>
            <w:noWrap w:val="0"/>
            <w:vAlign w:val="center"/>
          </w:tcPr>
          <w:p w14:paraId="6F851FA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1.21</w:t>
            </w:r>
          </w:p>
        </w:tc>
        <w:tc>
          <w:tcPr>
            <w:tcW w:w="806" w:type="dxa"/>
            <w:shd w:val="clear" w:color="auto" w:fill="auto"/>
            <w:noWrap w:val="0"/>
            <w:vAlign w:val="center"/>
          </w:tcPr>
          <w:p w14:paraId="7EF45F3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1.16</w:t>
            </w:r>
          </w:p>
        </w:tc>
        <w:tc>
          <w:tcPr>
            <w:tcW w:w="806" w:type="dxa"/>
            <w:shd w:val="clear" w:color="auto" w:fill="auto"/>
            <w:noWrap w:val="0"/>
            <w:vAlign w:val="center"/>
          </w:tcPr>
          <w:p w14:paraId="31258ED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1.12</w:t>
            </w:r>
          </w:p>
        </w:tc>
        <w:tc>
          <w:tcPr>
            <w:tcW w:w="808" w:type="dxa"/>
            <w:shd w:val="clear" w:color="auto" w:fill="auto"/>
            <w:noWrap w:val="0"/>
            <w:vAlign w:val="center"/>
          </w:tcPr>
          <w:p w14:paraId="2DCFEE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1.25</w:t>
            </w:r>
          </w:p>
        </w:tc>
        <w:tc>
          <w:tcPr>
            <w:tcW w:w="805" w:type="dxa"/>
            <w:shd w:val="clear" w:color="auto" w:fill="auto"/>
            <w:noWrap w:val="0"/>
            <w:vAlign w:val="center"/>
          </w:tcPr>
          <w:p w14:paraId="327E8E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1.42</w:t>
            </w:r>
          </w:p>
        </w:tc>
        <w:tc>
          <w:tcPr>
            <w:tcW w:w="806" w:type="dxa"/>
            <w:shd w:val="clear" w:color="auto" w:fill="auto"/>
            <w:noWrap w:val="0"/>
            <w:vAlign w:val="center"/>
          </w:tcPr>
          <w:p w14:paraId="76A7B1D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1.44</w:t>
            </w:r>
          </w:p>
        </w:tc>
        <w:tc>
          <w:tcPr>
            <w:tcW w:w="806" w:type="dxa"/>
            <w:shd w:val="clear" w:color="auto" w:fill="auto"/>
            <w:noWrap w:val="0"/>
            <w:vAlign w:val="center"/>
          </w:tcPr>
          <w:p w14:paraId="715BF5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1.52</w:t>
            </w:r>
          </w:p>
        </w:tc>
        <w:tc>
          <w:tcPr>
            <w:tcW w:w="808" w:type="dxa"/>
            <w:shd w:val="clear" w:color="auto" w:fill="auto"/>
            <w:noWrap w:val="0"/>
            <w:vAlign w:val="center"/>
          </w:tcPr>
          <w:p w14:paraId="5DA2A1F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1.48</w:t>
            </w:r>
          </w:p>
        </w:tc>
        <w:tc>
          <w:tcPr>
            <w:tcW w:w="805" w:type="dxa"/>
            <w:shd w:val="clear" w:color="auto" w:fill="auto"/>
            <w:noWrap w:val="0"/>
            <w:vAlign w:val="center"/>
          </w:tcPr>
          <w:p w14:paraId="65C1477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1.31</w:t>
            </w:r>
          </w:p>
        </w:tc>
        <w:tc>
          <w:tcPr>
            <w:tcW w:w="810" w:type="dxa"/>
            <w:shd w:val="clear" w:color="auto" w:fill="auto"/>
            <w:noWrap w:val="0"/>
            <w:vAlign w:val="center"/>
          </w:tcPr>
          <w:p w14:paraId="3593A2F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1.37</w:t>
            </w:r>
          </w:p>
        </w:tc>
        <w:tc>
          <w:tcPr>
            <w:tcW w:w="804" w:type="dxa"/>
            <w:shd w:val="clear" w:color="auto" w:fill="auto"/>
            <w:noWrap w:val="0"/>
            <w:vAlign w:val="center"/>
          </w:tcPr>
          <w:p w14:paraId="2FAC7E0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1.23</w:t>
            </w:r>
          </w:p>
        </w:tc>
        <w:tc>
          <w:tcPr>
            <w:tcW w:w="810" w:type="dxa"/>
            <w:shd w:val="clear" w:color="auto" w:fill="auto"/>
            <w:noWrap w:val="0"/>
            <w:vAlign w:val="center"/>
          </w:tcPr>
          <w:p w14:paraId="040510E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1.14</w:t>
            </w:r>
          </w:p>
        </w:tc>
        <w:tc>
          <w:tcPr>
            <w:tcW w:w="805" w:type="dxa"/>
            <w:shd w:val="clear" w:color="auto" w:fill="auto"/>
            <w:noWrap w:val="0"/>
            <w:vAlign w:val="center"/>
          </w:tcPr>
          <w:p w14:paraId="5B9A7E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1.26</w:t>
            </w:r>
          </w:p>
        </w:tc>
        <w:tc>
          <w:tcPr>
            <w:tcW w:w="832" w:type="dxa"/>
            <w:tcBorders>
              <w:right w:val="single" w:color="000000" w:sz="6" w:space="0"/>
            </w:tcBorders>
            <w:shd w:val="clear" w:color="auto" w:fill="auto"/>
            <w:noWrap w:val="0"/>
            <w:vAlign w:val="center"/>
          </w:tcPr>
          <w:p w14:paraId="183DF5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1.10</w:t>
            </w:r>
          </w:p>
        </w:tc>
      </w:tr>
      <w:tr w14:paraId="69B9E3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290" w:type="dxa"/>
            <w:tcBorders>
              <w:left w:val="single" w:color="000000" w:sz="6" w:space="0"/>
            </w:tcBorders>
            <w:shd w:val="clear" w:color="auto" w:fill="auto"/>
            <w:noWrap w:val="0"/>
            <w:vAlign w:val="center"/>
          </w:tcPr>
          <w:p w14:paraId="4A3357B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硫化物</w:t>
            </w:r>
          </w:p>
        </w:tc>
        <w:tc>
          <w:tcPr>
            <w:tcW w:w="1338" w:type="dxa"/>
            <w:shd w:val="clear" w:color="auto" w:fill="auto"/>
            <w:noWrap w:val="0"/>
            <w:vAlign w:val="center"/>
          </w:tcPr>
          <w:p w14:paraId="43A460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mg/L</w:t>
            </w:r>
          </w:p>
        </w:tc>
        <w:tc>
          <w:tcPr>
            <w:tcW w:w="806" w:type="dxa"/>
            <w:shd w:val="clear" w:color="auto" w:fill="auto"/>
            <w:noWrap w:val="0"/>
            <w:vAlign w:val="center"/>
          </w:tcPr>
          <w:p w14:paraId="463484C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7DCC965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7EBEB0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4CFBAE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6BD1045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3930B16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37F2262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1012C59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65776A4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1F1C499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4" w:type="dxa"/>
            <w:shd w:val="clear" w:color="auto" w:fill="auto"/>
            <w:noWrap w:val="0"/>
            <w:vAlign w:val="center"/>
          </w:tcPr>
          <w:p w14:paraId="6C019BE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6EC859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171706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32" w:type="dxa"/>
            <w:tcBorders>
              <w:right w:val="single" w:color="000000" w:sz="6" w:space="0"/>
            </w:tcBorders>
            <w:shd w:val="clear" w:color="auto" w:fill="auto"/>
            <w:noWrap w:val="0"/>
            <w:vAlign w:val="center"/>
          </w:tcPr>
          <w:p w14:paraId="295690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r>
      <w:tr w14:paraId="3E6261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0269838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苯</w:t>
            </w:r>
          </w:p>
        </w:tc>
        <w:tc>
          <w:tcPr>
            <w:tcW w:w="1338" w:type="dxa"/>
            <w:shd w:val="clear" w:color="auto" w:fill="auto"/>
            <w:noWrap w:val="0"/>
            <w:vAlign w:val="center"/>
          </w:tcPr>
          <w:p w14:paraId="385ADA2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3"/>
              </w:rPr>
              <w:t>µg/L</w:t>
            </w:r>
          </w:p>
        </w:tc>
        <w:tc>
          <w:tcPr>
            <w:tcW w:w="806" w:type="dxa"/>
            <w:shd w:val="clear" w:color="auto" w:fill="auto"/>
            <w:noWrap w:val="0"/>
            <w:vAlign w:val="center"/>
          </w:tcPr>
          <w:p w14:paraId="376A795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4349A3F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2B04D46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57EB7C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6803E3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62E497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116BD5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6EDD834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485D60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77D6A6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4" w:type="dxa"/>
            <w:shd w:val="clear" w:color="auto" w:fill="auto"/>
            <w:noWrap w:val="0"/>
            <w:vAlign w:val="center"/>
          </w:tcPr>
          <w:p w14:paraId="7AE2A01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5E5145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34C374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32" w:type="dxa"/>
            <w:tcBorders>
              <w:right w:val="single" w:color="000000" w:sz="6" w:space="0"/>
            </w:tcBorders>
            <w:shd w:val="clear" w:color="auto" w:fill="auto"/>
            <w:noWrap w:val="0"/>
            <w:vAlign w:val="center"/>
          </w:tcPr>
          <w:p w14:paraId="12A705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r>
      <w:tr w14:paraId="74A86F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6C2E492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9"/>
              </w:rPr>
              <w:t>甲苯</w:t>
            </w:r>
          </w:p>
        </w:tc>
        <w:tc>
          <w:tcPr>
            <w:tcW w:w="1338" w:type="dxa"/>
            <w:shd w:val="clear" w:color="auto" w:fill="auto"/>
            <w:noWrap w:val="0"/>
            <w:vAlign w:val="center"/>
          </w:tcPr>
          <w:p w14:paraId="6761D8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3"/>
              </w:rPr>
              <w:t>µg/L</w:t>
            </w:r>
          </w:p>
        </w:tc>
        <w:tc>
          <w:tcPr>
            <w:tcW w:w="806" w:type="dxa"/>
            <w:shd w:val="clear" w:color="auto" w:fill="auto"/>
            <w:noWrap w:val="0"/>
            <w:vAlign w:val="center"/>
          </w:tcPr>
          <w:p w14:paraId="76154F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50D5FF0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564287D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267C21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429559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5108A13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0D3E644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3B0D9A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2F25ED1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7A11C5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4" w:type="dxa"/>
            <w:shd w:val="clear" w:color="auto" w:fill="auto"/>
            <w:noWrap w:val="0"/>
            <w:vAlign w:val="center"/>
          </w:tcPr>
          <w:p w14:paraId="01EF437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0D52FCA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2716093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32" w:type="dxa"/>
            <w:tcBorders>
              <w:right w:val="single" w:color="000000" w:sz="6" w:space="0"/>
            </w:tcBorders>
            <w:shd w:val="clear" w:color="auto" w:fill="auto"/>
            <w:noWrap w:val="0"/>
            <w:vAlign w:val="center"/>
          </w:tcPr>
          <w:p w14:paraId="0DE51F7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r>
      <w:tr w14:paraId="0A5C03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1290" w:type="dxa"/>
            <w:tcBorders>
              <w:left w:val="single" w:color="000000" w:sz="6" w:space="0"/>
            </w:tcBorders>
            <w:shd w:val="clear" w:color="auto" w:fill="auto"/>
            <w:noWrap w:val="0"/>
            <w:vAlign w:val="center"/>
          </w:tcPr>
          <w:p w14:paraId="3115CD4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2"/>
              </w:rPr>
              <w:t>二甲苯</w:t>
            </w:r>
          </w:p>
        </w:tc>
        <w:tc>
          <w:tcPr>
            <w:tcW w:w="1338" w:type="dxa"/>
            <w:shd w:val="clear" w:color="auto" w:fill="auto"/>
            <w:noWrap w:val="0"/>
            <w:vAlign w:val="center"/>
          </w:tcPr>
          <w:p w14:paraId="260E13A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3"/>
              </w:rPr>
              <w:t>µg/L</w:t>
            </w:r>
          </w:p>
        </w:tc>
        <w:tc>
          <w:tcPr>
            <w:tcW w:w="806" w:type="dxa"/>
            <w:shd w:val="clear" w:color="auto" w:fill="auto"/>
            <w:noWrap w:val="0"/>
            <w:vAlign w:val="center"/>
          </w:tcPr>
          <w:p w14:paraId="0BC5434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0192DD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1AA95EC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519AE0E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3942B6B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2ACA335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62BD767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717D6F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3C452FD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253E760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4" w:type="dxa"/>
            <w:shd w:val="clear" w:color="auto" w:fill="auto"/>
            <w:noWrap w:val="0"/>
            <w:vAlign w:val="center"/>
          </w:tcPr>
          <w:p w14:paraId="52F1B0E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5B2176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6A8A960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32" w:type="dxa"/>
            <w:tcBorders>
              <w:right w:val="single" w:color="000000" w:sz="6" w:space="0"/>
            </w:tcBorders>
            <w:shd w:val="clear" w:color="auto" w:fill="auto"/>
            <w:noWrap w:val="0"/>
            <w:vAlign w:val="center"/>
          </w:tcPr>
          <w:p w14:paraId="483E9F7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r>
      <w:tr w14:paraId="5CC9B3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1290" w:type="dxa"/>
            <w:tcBorders>
              <w:left w:val="single" w:color="000000" w:sz="6" w:space="0"/>
            </w:tcBorders>
            <w:shd w:val="clear" w:color="auto" w:fill="auto"/>
            <w:noWrap w:val="0"/>
            <w:vAlign w:val="center"/>
          </w:tcPr>
          <w:p w14:paraId="3A9433F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5"/>
              </w:rPr>
              <w:t>阴离子表面</w:t>
            </w:r>
            <w:r>
              <w:rPr>
                <w:rFonts w:cs="Arial"/>
                <w:snapToGrid w:val="0"/>
                <w:color w:val="000000"/>
                <w:spacing w:val="2"/>
              </w:rPr>
              <w:t xml:space="preserve"> </w:t>
            </w:r>
            <w:r>
              <w:rPr>
                <w:rFonts w:cs="Arial"/>
                <w:snapToGrid w:val="0"/>
                <w:color w:val="000000"/>
                <w:spacing w:val="-2"/>
              </w:rPr>
              <w:t>活性剂</w:t>
            </w:r>
          </w:p>
        </w:tc>
        <w:tc>
          <w:tcPr>
            <w:tcW w:w="1338" w:type="dxa"/>
            <w:shd w:val="clear" w:color="auto" w:fill="auto"/>
            <w:noWrap w:val="0"/>
            <w:vAlign w:val="center"/>
          </w:tcPr>
          <w:p w14:paraId="3B2CF6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mg/L</w:t>
            </w:r>
          </w:p>
        </w:tc>
        <w:tc>
          <w:tcPr>
            <w:tcW w:w="806" w:type="dxa"/>
            <w:shd w:val="clear" w:color="auto" w:fill="auto"/>
            <w:noWrap w:val="0"/>
            <w:vAlign w:val="center"/>
          </w:tcPr>
          <w:p w14:paraId="607974B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00AADCB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42CB9D0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33ED89C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0123D4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566015A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4877519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302660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161C7C1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6B70B6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4" w:type="dxa"/>
            <w:shd w:val="clear" w:color="auto" w:fill="auto"/>
            <w:noWrap w:val="0"/>
            <w:vAlign w:val="center"/>
          </w:tcPr>
          <w:p w14:paraId="2BA6C7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5E6E475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28F5A7A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32" w:type="dxa"/>
            <w:tcBorders>
              <w:right w:val="single" w:color="000000" w:sz="6" w:space="0"/>
            </w:tcBorders>
            <w:shd w:val="clear" w:color="auto" w:fill="auto"/>
            <w:noWrap w:val="0"/>
            <w:vAlign w:val="center"/>
          </w:tcPr>
          <w:p w14:paraId="7B589CB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r>
      <w:tr w14:paraId="6BE9C4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1290" w:type="dxa"/>
            <w:tcBorders>
              <w:left w:val="single" w:color="000000" w:sz="6" w:space="0"/>
            </w:tcBorders>
            <w:shd w:val="clear" w:color="auto" w:fill="auto"/>
            <w:noWrap w:val="0"/>
            <w:vAlign w:val="center"/>
          </w:tcPr>
          <w:p w14:paraId="69C8DC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3"/>
              </w:rPr>
              <w:t>总大肠菌群</w:t>
            </w:r>
          </w:p>
        </w:tc>
        <w:tc>
          <w:tcPr>
            <w:tcW w:w="1338" w:type="dxa"/>
            <w:shd w:val="clear" w:color="auto" w:fill="auto"/>
            <w:noWrap w:val="0"/>
            <w:vAlign w:val="center"/>
          </w:tcPr>
          <w:p w14:paraId="0AC4F3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MPN/100mL</w:t>
            </w:r>
          </w:p>
        </w:tc>
        <w:tc>
          <w:tcPr>
            <w:tcW w:w="806" w:type="dxa"/>
            <w:shd w:val="clear" w:color="auto" w:fill="auto"/>
            <w:noWrap w:val="0"/>
            <w:vAlign w:val="center"/>
          </w:tcPr>
          <w:p w14:paraId="0538E9D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60FFA15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625FD96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3DD832F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5DD6BF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1C3C0EF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shd w:val="clear" w:color="auto" w:fill="auto"/>
            <w:noWrap w:val="0"/>
            <w:vAlign w:val="center"/>
          </w:tcPr>
          <w:p w14:paraId="08812E4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shd w:val="clear" w:color="auto" w:fill="auto"/>
            <w:noWrap w:val="0"/>
            <w:vAlign w:val="center"/>
          </w:tcPr>
          <w:p w14:paraId="28FBB4D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1E98094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408762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4" w:type="dxa"/>
            <w:shd w:val="clear" w:color="auto" w:fill="auto"/>
            <w:noWrap w:val="0"/>
            <w:vAlign w:val="center"/>
          </w:tcPr>
          <w:p w14:paraId="74DCDD9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shd w:val="clear" w:color="auto" w:fill="auto"/>
            <w:noWrap w:val="0"/>
            <w:vAlign w:val="center"/>
          </w:tcPr>
          <w:p w14:paraId="4E1F76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shd w:val="clear" w:color="auto" w:fill="auto"/>
            <w:noWrap w:val="0"/>
            <w:vAlign w:val="center"/>
          </w:tcPr>
          <w:p w14:paraId="1E6AA9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32" w:type="dxa"/>
            <w:tcBorders>
              <w:right w:val="single" w:color="000000" w:sz="6" w:space="0"/>
            </w:tcBorders>
            <w:shd w:val="clear" w:color="auto" w:fill="auto"/>
            <w:noWrap w:val="0"/>
            <w:vAlign w:val="center"/>
          </w:tcPr>
          <w:p w14:paraId="026C62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r>
      <w:tr w14:paraId="0A3E5E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1290" w:type="dxa"/>
            <w:tcBorders>
              <w:left w:val="single" w:color="000000" w:sz="6" w:space="0"/>
            </w:tcBorders>
            <w:shd w:val="clear" w:color="auto" w:fill="auto"/>
            <w:noWrap w:val="0"/>
            <w:vAlign w:val="center"/>
          </w:tcPr>
          <w:p w14:paraId="7FDFDBF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3"/>
              </w:rPr>
              <w:t>菌落总数</w:t>
            </w:r>
          </w:p>
        </w:tc>
        <w:tc>
          <w:tcPr>
            <w:tcW w:w="1338" w:type="dxa"/>
            <w:shd w:val="clear" w:color="auto" w:fill="auto"/>
            <w:noWrap w:val="0"/>
            <w:vAlign w:val="center"/>
          </w:tcPr>
          <w:p w14:paraId="5D341F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CFU/mL</w:t>
            </w:r>
          </w:p>
        </w:tc>
        <w:tc>
          <w:tcPr>
            <w:tcW w:w="806" w:type="dxa"/>
            <w:shd w:val="clear" w:color="auto" w:fill="auto"/>
            <w:noWrap w:val="0"/>
            <w:vAlign w:val="center"/>
          </w:tcPr>
          <w:p w14:paraId="460B3BB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48</w:t>
            </w:r>
          </w:p>
        </w:tc>
        <w:tc>
          <w:tcPr>
            <w:tcW w:w="806" w:type="dxa"/>
            <w:shd w:val="clear" w:color="auto" w:fill="auto"/>
            <w:noWrap w:val="0"/>
            <w:vAlign w:val="center"/>
          </w:tcPr>
          <w:p w14:paraId="7C5C5E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41</w:t>
            </w:r>
          </w:p>
        </w:tc>
        <w:tc>
          <w:tcPr>
            <w:tcW w:w="806" w:type="dxa"/>
            <w:shd w:val="clear" w:color="auto" w:fill="auto"/>
            <w:noWrap w:val="0"/>
            <w:vAlign w:val="center"/>
          </w:tcPr>
          <w:p w14:paraId="05CA826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2"/>
              </w:rPr>
              <w:t>39</w:t>
            </w:r>
          </w:p>
        </w:tc>
        <w:tc>
          <w:tcPr>
            <w:tcW w:w="808" w:type="dxa"/>
            <w:shd w:val="clear" w:color="auto" w:fill="auto"/>
            <w:noWrap w:val="0"/>
            <w:vAlign w:val="center"/>
          </w:tcPr>
          <w:p w14:paraId="4237863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43</w:t>
            </w:r>
          </w:p>
        </w:tc>
        <w:tc>
          <w:tcPr>
            <w:tcW w:w="805" w:type="dxa"/>
            <w:shd w:val="clear" w:color="auto" w:fill="auto"/>
            <w:noWrap w:val="0"/>
            <w:vAlign w:val="center"/>
          </w:tcPr>
          <w:p w14:paraId="280F8A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3"/>
              </w:rPr>
              <w:t>52</w:t>
            </w:r>
          </w:p>
        </w:tc>
        <w:tc>
          <w:tcPr>
            <w:tcW w:w="806" w:type="dxa"/>
            <w:shd w:val="clear" w:color="auto" w:fill="auto"/>
            <w:noWrap w:val="0"/>
            <w:vAlign w:val="center"/>
          </w:tcPr>
          <w:p w14:paraId="5DE0BBC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49</w:t>
            </w:r>
          </w:p>
        </w:tc>
        <w:tc>
          <w:tcPr>
            <w:tcW w:w="806" w:type="dxa"/>
            <w:shd w:val="clear" w:color="auto" w:fill="auto"/>
            <w:noWrap w:val="0"/>
            <w:vAlign w:val="center"/>
          </w:tcPr>
          <w:p w14:paraId="6804AD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3"/>
              </w:rPr>
              <w:t>57</w:t>
            </w:r>
          </w:p>
        </w:tc>
        <w:tc>
          <w:tcPr>
            <w:tcW w:w="808" w:type="dxa"/>
            <w:shd w:val="clear" w:color="auto" w:fill="auto"/>
            <w:noWrap w:val="0"/>
            <w:vAlign w:val="center"/>
          </w:tcPr>
          <w:p w14:paraId="6D4BCCD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2"/>
              </w:rPr>
              <w:t>61</w:t>
            </w:r>
          </w:p>
        </w:tc>
        <w:tc>
          <w:tcPr>
            <w:tcW w:w="805" w:type="dxa"/>
            <w:shd w:val="clear" w:color="auto" w:fill="auto"/>
            <w:noWrap w:val="0"/>
            <w:vAlign w:val="center"/>
          </w:tcPr>
          <w:p w14:paraId="54944ED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2"/>
              </w:rPr>
              <w:t>37</w:t>
            </w:r>
          </w:p>
        </w:tc>
        <w:tc>
          <w:tcPr>
            <w:tcW w:w="810" w:type="dxa"/>
            <w:shd w:val="clear" w:color="auto" w:fill="auto"/>
            <w:noWrap w:val="0"/>
            <w:vAlign w:val="center"/>
          </w:tcPr>
          <w:p w14:paraId="07A0503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44</w:t>
            </w:r>
          </w:p>
        </w:tc>
        <w:tc>
          <w:tcPr>
            <w:tcW w:w="804" w:type="dxa"/>
            <w:shd w:val="clear" w:color="auto" w:fill="auto"/>
            <w:noWrap w:val="0"/>
            <w:vAlign w:val="center"/>
          </w:tcPr>
          <w:p w14:paraId="36BF7C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2"/>
              </w:rPr>
              <w:t>35</w:t>
            </w:r>
          </w:p>
        </w:tc>
        <w:tc>
          <w:tcPr>
            <w:tcW w:w="810" w:type="dxa"/>
            <w:shd w:val="clear" w:color="auto" w:fill="auto"/>
            <w:noWrap w:val="0"/>
            <w:vAlign w:val="center"/>
          </w:tcPr>
          <w:p w14:paraId="405DE36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40</w:t>
            </w:r>
          </w:p>
        </w:tc>
        <w:tc>
          <w:tcPr>
            <w:tcW w:w="805" w:type="dxa"/>
            <w:shd w:val="clear" w:color="auto" w:fill="auto"/>
            <w:noWrap w:val="0"/>
            <w:vAlign w:val="center"/>
          </w:tcPr>
          <w:p w14:paraId="4C44F8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28</w:t>
            </w:r>
          </w:p>
        </w:tc>
        <w:tc>
          <w:tcPr>
            <w:tcW w:w="832" w:type="dxa"/>
            <w:tcBorders>
              <w:right w:val="single" w:color="000000" w:sz="6" w:space="0"/>
            </w:tcBorders>
            <w:shd w:val="clear" w:color="auto" w:fill="auto"/>
            <w:noWrap w:val="0"/>
            <w:vAlign w:val="center"/>
          </w:tcPr>
          <w:p w14:paraId="2A570A9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2"/>
              </w:rPr>
              <w:t>31</w:t>
            </w:r>
          </w:p>
        </w:tc>
      </w:tr>
      <w:tr w14:paraId="35C74D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1290" w:type="dxa"/>
            <w:tcBorders>
              <w:left w:val="single" w:color="000000" w:sz="6" w:space="0"/>
              <w:bottom w:val="single" w:color="000000" w:sz="6" w:space="0"/>
            </w:tcBorders>
            <w:shd w:val="clear" w:color="auto" w:fill="auto"/>
            <w:noWrap w:val="0"/>
            <w:vAlign w:val="center"/>
          </w:tcPr>
          <w:p w14:paraId="3E8A58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锑</w:t>
            </w:r>
          </w:p>
        </w:tc>
        <w:tc>
          <w:tcPr>
            <w:tcW w:w="1338" w:type="dxa"/>
            <w:tcBorders>
              <w:bottom w:val="single" w:color="000000" w:sz="6" w:space="0"/>
            </w:tcBorders>
            <w:shd w:val="clear" w:color="auto" w:fill="auto"/>
            <w:noWrap w:val="0"/>
            <w:vAlign w:val="center"/>
          </w:tcPr>
          <w:p w14:paraId="6EBDD62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rPr>
              <w:t>mg/L</w:t>
            </w:r>
          </w:p>
        </w:tc>
        <w:tc>
          <w:tcPr>
            <w:tcW w:w="806" w:type="dxa"/>
            <w:tcBorders>
              <w:bottom w:val="single" w:color="000000" w:sz="6" w:space="0"/>
            </w:tcBorders>
            <w:shd w:val="clear" w:color="auto" w:fill="auto"/>
            <w:noWrap w:val="0"/>
            <w:vAlign w:val="center"/>
          </w:tcPr>
          <w:p w14:paraId="5268E0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tcBorders>
              <w:bottom w:val="single" w:color="000000" w:sz="6" w:space="0"/>
            </w:tcBorders>
            <w:shd w:val="clear" w:color="auto" w:fill="auto"/>
            <w:noWrap w:val="0"/>
            <w:vAlign w:val="center"/>
          </w:tcPr>
          <w:p w14:paraId="0535D05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tcBorders>
              <w:bottom w:val="single" w:color="000000" w:sz="6" w:space="0"/>
            </w:tcBorders>
            <w:shd w:val="clear" w:color="auto" w:fill="auto"/>
            <w:noWrap w:val="0"/>
            <w:vAlign w:val="center"/>
          </w:tcPr>
          <w:p w14:paraId="16AC7ED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tcBorders>
              <w:bottom w:val="single" w:color="000000" w:sz="6" w:space="0"/>
            </w:tcBorders>
            <w:shd w:val="clear" w:color="auto" w:fill="auto"/>
            <w:noWrap w:val="0"/>
            <w:vAlign w:val="center"/>
          </w:tcPr>
          <w:p w14:paraId="0F7AE29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tcBorders>
              <w:bottom w:val="single" w:color="000000" w:sz="6" w:space="0"/>
            </w:tcBorders>
            <w:shd w:val="clear" w:color="auto" w:fill="auto"/>
            <w:noWrap w:val="0"/>
            <w:vAlign w:val="center"/>
          </w:tcPr>
          <w:p w14:paraId="33C302D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tcBorders>
              <w:bottom w:val="single" w:color="000000" w:sz="6" w:space="0"/>
            </w:tcBorders>
            <w:shd w:val="clear" w:color="auto" w:fill="auto"/>
            <w:noWrap w:val="0"/>
            <w:vAlign w:val="center"/>
          </w:tcPr>
          <w:p w14:paraId="73210AA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6" w:type="dxa"/>
            <w:tcBorders>
              <w:bottom w:val="single" w:color="000000" w:sz="6" w:space="0"/>
            </w:tcBorders>
            <w:shd w:val="clear" w:color="auto" w:fill="auto"/>
            <w:noWrap w:val="0"/>
            <w:vAlign w:val="center"/>
          </w:tcPr>
          <w:p w14:paraId="7EE6BD0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8" w:type="dxa"/>
            <w:tcBorders>
              <w:bottom w:val="single" w:color="000000" w:sz="6" w:space="0"/>
            </w:tcBorders>
            <w:shd w:val="clear" w:color="auto" w:fill="auto"/>
            <w:noWrap w:val="0"/>
            <w:vAlign w:val="center"/>
          </w:tcPr>
          <w:p w14:paraId="692C03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tcBorders>
              <w:bottom w:val="single" w:color="000000" w:sz="6" w:space="0"/>
            </w:tcBorders>
            <w:shd w:val="clear" w:color="auto" w:fill="auto"/>
            <w:noWrap w:val="0"/>
            <w:vAlign w:val="center"/>
          </w:tcPr>
          <w:p w14:paraId="0DD0A27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tcBorders>
              <w:bottom w:val="single" w:color="000000" w:sz="6" w:space="0"/>
            </w:tcBorders>
            <w:shd w:val="clear" w:color="auto" w:fill="auto"/>
            <w:noWrap w:val="0"/>
            <w:vAlign w:val="center"/>
          </w:tcPr>
          <w:p w14:paraId="73F125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4" w:type="dxa"/>
            <w:tcBorders>
              <w:bottom w:val="single" w:color="000000" w:sz="6" w:space="0"/>
            </w:tcBorders>
            <w:shd w:val="clear" w:color="auto" w:fill="auto"/>
            <w:noWrap w:val="0"/>
            <w:vAlign w:val="center"/>
          </w:tcPr>
          <w:p w14:paraId="4BA6239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10" w:type="dxa"/>
            <w:tcBorders>
              <w:bottom w:val="single" w:color="000000" w:sz="6" w:space="0"/>
            </w:tcBorders>
            <w:shd w:val="clear" w:color="auto" w:fill="auto"/>
            <w:noWrap w:val="0"/>
            <w:vAlign w:val="center"/>
          </w:tcPr>
          <w:p w14:paraId="4A127B6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05" w:type="dxa"/>
            <w:tcBorders>
              <w:bottom w:val="single" w:color="000000" w:sz="6" w:space="0"/>
            </w:tcBorders>
            <w:shd w:val="clear" w:color="auto" w:fill="auto"/>
            <w:noWrap w:val="0"/>
            <w:vAlign w:val="center"/>
          </w:tcPr>
          <w:p w14:paraId="0442B22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c>
          <w:tcPr>
            <w:tcW w:w="832" w:type="dxa"/>
            <w:tcBorders>
              <w:bottom w:val="single" w:color="000000" w:sz="6" w:space="0"/>
              <w:right w:val="single" w:color="000000" w:sz="6" w:space="0"/>
            </w:tcBorders>
            <w:shd w:val="clear" w:color="auto" w:fill="auto"/>
            <w:noWrap w:val="0"/>
            <w:vAlign w:val="center"/>
          </w:tcPr>
          <w:p w14:paraId="156740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cs="Arial"/>
                <w:snapToGrid w:val="0"/>
                <w:color w:val="000000"/>
              </w:rPr>
            </w:pPr>
            <w:r>
              <w:rPr>
                <w:rFonts w:cs="Arial"/>
                <w:snapToGrid w:val="0"/>
                <w:color w:val="000000"/>
                <w:spacing w:val="1"/>
              </w:rPr>
              <w:t>ND</w:t>
            </w:r>
          </w:p>
        </w:tc>
      </w:tr>
    </w:tbl>
    <w:p w14:paraId="7644A28A">
      <w:pPr>
        <w:pStyle w:val="101"/>
        <w:ind w:firstLine="480"/>
        <w:rPr>
          <w:rFonts w:hint="eastAsia"/>
          <w:bCs/>
          <w:color w:val="auto"/>
          <w:sz w:val="24"/>
        </w:rPr>
      </w:pPr>
      <w:r>
        <w:t>由以上监测统计结果分析可知，</w:t>
      </w:r>
      <w:r>
        <w:rPr>
          <w:rFonts w:hint="eastAsia"/>
        </w:rPr>
        <w:t>各</w:t>
      </w:r>
      <w:r>
        <w:t>监测点位的地下水水质因子pH、总硬度、氨氮、耗氧量、溶解性总固体、</w:t>
      </w:r>
      <w:r>
        <w:rPr>
          <w:rFonts w:hint="eastAsia"/>
        </w:rPr>
        <w:t>硫化物、硝酸盐、亚硝酸盐、</w:t>
      </w:r>
      <w:r>
        <w:t>Cl</w:t>
      </w:r>
      <w:r>
        <w:rPr>
          <w:vertAlign w:val="superscript"/>
        </w:rPr>
        <w:t>-</w:t>
      </w:r>
      <w:r>
        <w:t>、SO</w:t>
      </w:r>
      <w:r>
        <w:rPr>
          <w:vertAlign w:val="subscript"/>
        </w:rPr>
        <w:t>4</w:t>
      </w:r>
      <w:r>
        <w:rPr>
          <w:vertAlign w:val="superscript"/>
        </w:rPr>
        <w:t>2</w:t>
      </w:r>
      <w:r>
        <w:rPr>
          <w:rFonts w:hint="eastAsia"/>
          <w:vertAlign w:val="superscript"/>
        </w:rPr>
        <w:t>－</w:t>
      </w:r>
      <w:r>
        <w:t>等监测因子均能满足《地下水质量标准》（GB/T</w:t>
      </w:r>
      <w:r>
        <w:rPr>
          <w:rFonts w:hint="eastAsia"/>
        </w:rPr>
        <w:t xml:space="preserve"> </w:t>
      </w:r>
      <w:r>
        <w:t>1484</w:t>
      </w:r>
      <w:r>
        <w:rPr>
          <w:rFonts w:hint="eastAsia"/>
        </w:rPr>
        <w:t>8</w:t>
      </w:r>
      <w:r>
        <w:t>-2017）Ⅲ类标准的要求。</w:t>
      </w:r>
    </w:p>
    <w:p w14:paraId="0AF8D787">
      <w:pPr>
        <w:spacing w:line="500" w:lineRule="exact"/>
        <w:ind w:firstLine="480" w:firstLineChars="200"/>
        <w:rPr>
          <w:rFonts w:hint="eastAsia"/>
          <w:bCs/>
          <w:color w:val="auto"/>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linePitch="312" w:charSpace="0"/>
        </w:sectPr>
      </w:pPr>
    </w:p>
    <w:p w14:paraId="1C8EE8C0">
      <w:pPr>
        <w:bidi w:val="0"/>
        <w:rPr>
          <w:color w:val="auto"/>
        </w:rPr>
      </w:pPr>
      <w:r>
        <w:rPr>
          <w:color w:val="auto"/>
        </w:rPr>
        <w:t>本次评价监测的区域地下水水位统计情况详见</w:t>
      </w:r>
      <w:r>
        <w:rPr>
          <w:rFonts w:hint="eastAsia"/>
          <w:color w:val="auto"/>
          <w:lang w:val="en-US" w:eastAsia="zh-CN"/>
        </w:rPr>
        <w:t>下表</w:t>
      </w:r>
      <w:r>
        <w:rPr>
          <w:color w:val="auto"/>
        </w:rPr>
        <w:t>。</w:t>
      </w:r>
    </w:p>
    <w:p w14:paraId="0E9420FA">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15</w:t>
      </w:r>
      <w:r>
        <w:fldChar w:fldCharType="end"/>
      </w:r>
      <w:r>
        <w:rPr>
          <w:rFonts w:hint="eastAsia"/>
        </w:rPr>
        <w:t xml:space="preserve"> </w:t>
      </w:r>
      <w:r>
        <w:t>地下水</w:t>
      </w:r>
      <w:r>
        <w:rPr>
          <w:rFonts w:hint="eastAsia"/>
        </w:rPr>
        <w:t>水位</w:t>
      </w:r>
      <w:r>
        <w:t>现状</w:t>
      </w:r>
      <w:r>
        <w:rPr>
          <w:rFonts w:hint="eastAsia"/>
        </w:rPr>
        <w:t>监测</w:t>
      </w:r>
      <w:r>
        <w:t>结果统计</w:t>
      </w:r>
      <w:r>
        <w:rPr>
          <w:rFonts w:hint="eastAsia"/>
        </w:rPr>
        <w:t xml:space="preserve">表    </w:t>
      </w:r>
      <w:r>
        <w:t>单位：mg/L</w:t>
      </w:r>
    </w:p>
    <w:tbl>
      <w:tblPr>
        <w:tblStyle w:val="31"/>
        <w:tblW w:w="8297" w:type="dxa"/>
        <w:tblInd w:w="2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67"/>
        <w:gridCol w:w="1981"/>
        <w:gridCol w:w="1979"/>
        <w:gridCol w:w="2070"/>
      </w:tblGrid>
      <w:tr w14:paraId="260B5C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9" w:hRule="atLeast"/>
        </w:trPr>
        <w:tc>
          <w:tcPr>
            <w:tcW w:w="2267" w:type="dxa"/>
            <w:vMerge w:val="restart"/>
            <w:tcBorders>
              <w:top w:val="single" w:color="000000" w:sz="6" w:space="0"/>
              <w:left w:val="single" w:color="000000" w:sz="6" w:space="0"/>
              <w:bottom w:val="nil"/>
            </w:tcBorders>
            <w:shd w:val="clear" w:color="auto" w:fill="auto"/>
            <w:noWrap w:val="0"/>
            <w:vAlign w:val="center"/>
          </w:tcPr>
          <w:p w14:paraId="7FE4A5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检测点位</w:t>
            </w:r>
          </w:p>
        </w:tc>
        <w:tc>
          <w:tcPr>
            <w:tcW w:w="6030" w:type="dxa"/>
            <w:gridSpan w:val="3"/>
            <w:tcBorders>
              <w:top w:val="single" w:color="000000" w:sz="6" w:space="0"/>
              <w:right w:val="single" w:color="000000" w:sz="6" w:space="0"/>
            </w:tcBorders>
            <w:shd w:val="clear" w:color="auto" w:fill="auto"/>
            <w:noWrap w:val="0"/>
            <w:vAlign w:val="center"/>
          </w:tcPr>
          <w:p w14:paraId="049184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检测项目</w:t>
            </w:r>
          </w:p>
        </w:tc>
      </w:tr>
      <w:tr w14:paraId="3090FB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2267" w:type="dxa"/>
            <w:vMerge w:val="continue"/>
            <w:tcBorders>
              <w:top w:val="nil"/>
              <w:left w:val="single" w:color="000000" w:sz="6" w:space="0"/>
            </w:tcBorders>
            <w:shd w:val="clear" w:color="auto" w:fill="auto"/>
            <w:noWrap w:val="0"/>
            <w:vAlign w:val="center"/>
          </w:tcPr>
          <w:p w14:paraId="22ADCD9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981" w:type="dxa"/>
            <w:shd w:val="clear" w:color="auto" w:fill="auto"/>
            <w:noWrap w:val="0"/>
            <w:vAlign w:val="center"/>
          </w:tcPr>
          <w:p w14:paraId="23A133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井深（</w:t>
            </w:r>
            <w:r>
              <w:rPr>
                <w:rFonts w:eastAsia="Times New Roman"/>
                <w:b/>
                <w:bCs/>
              </w:rPr>
              <w:t>m</w:t>
            </w:r>
            <w:r>
              <w:t>）</w:t>
            </w:r>
          </w:p>
        </w:tc>
        <w:tc>
          <w:tcPr>
            <w:tcW w:w="1979" w:type="dxa"/>
            <w:tcBorders>
              <w:right w:val="single" w:color="000000" w:sz="2" w:space="0"/>
            </w:tcBorders>
            <w:shd w:val="clear" w:color="auto" w:fill="auto"/>
            <w:noWrap w:val="0"/>
            <w:vAlign w:val="center"/>
          </w:tcPr>
          <w:p w14:paraId="3161E92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水位（</w:t>
            </w:r>
            <w:r>
              <w:rPr>
                <w:rFonts w:eastAsia="Times New Roman"/>
                <w:b/>
                <w:bCs/>
                <w:spacing w:val="-2"/>
              </w:rPr>
              <w:t>m</w:t>
            </w:r>
            <w:r>
              <w:rPr>
                <w:spacing w:val="-2"/>
              </w:rPr>
              <w:t>）</w:t>
            </w:r>
          </w:p>
        </w:tc>
        <w:tc>
          <w:tcPr>
            <w:tcW w:w="2070" w:type="dxa"/>
            <w:tcBorders>
              <w:left w:val="single" w:color="000000" w:sz="2" w:space="0"/>
              <w:right w:val="single" w:color="000000" w:sz="6" w:space="0"/>
            </w:tcBorders>
            <w:shd w:val="clear" w:color="auto" w:fill="auto"/>
            <w:noWrap w:val="0"/>
            <w:vAlign w:val="center"/>
          </w:tcPr>
          <w:p w14:paraId="4FB8105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19"/>
              </w:rPr>
              <w:t>水温(℃)</w:t>
            </w:r>
          </w:p>
        </w:tc>
      </w:tr>
      <w:tr w14:paraId="1F918E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trPr>
        <w:tc>
          <w:tcPr>
            <w:tcW w:w="2267" w:type="dxa"/>
            <w:tcBorders>
              <w:left w:val="single" w:color="000000" w:sz="6" w:space="0"/>
            </w:tcBorders>
            <w:shd w:val="clear" w:color="auto" w:fill="auto"/>
            <w:noWrap w:val="0"/>
            <w:vAlign w:val="center"/>
          </w:tcPr>
          <w:p w14:paraId="79FB3A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姚庄村</w:t>
            </w:r>
          </w:p>
        </w:tc>
        <w:tc>
          <w:tcPr>
            <w:tcW w:w="1981" w:type="dxa"/>
            <w:shd w:val="clear" w:color="auto" w:fill="auto"/>
            <w:noWrap w:val="0"/>
            <w:vAlign w:val="center"/>
          </w:tcPr>
          <w:p w14:paraId="40ED1C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85</w:t>
            </w:r>
          </w:p>
        </w:tc>
        <w:tc>
          <w:tcPr>
            <w:tcW w:w="1979" w:type="dxa"/>
            <w:tcBorders>
              <w:right w:val="single" w:color="000000" w:sz="2" w:space="0"/>
            </w:tcBorders>
            <w:shd w:val="clear" w:color="auto" w:fill="auto"/>
            <w:noWrap w:val="0"/>
            <w:vAlign w:val="center"/>
          </w:tcPr>
          <w:p w14:paraId="6912B8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62.5</w:t>
            </w:r>
          </w:p>
        </w:tc>
        <w:tc>
          <w:tcPr>
            <w:tcW w:w="2070" w:type="dxa"/>
            <w:tcBorders>
              <w:left w:val="single" w:color="000000" w:sz="2" w:space="0"/>
              <w:bottom w:val="single" w:color="000000" w:sz="2" w:space="0"/>
              <w:right w:val="single" w:color="000000" w:sz="6" w:space="0"/>
            </w:tcBorders>
            <w:shd w:val="clear" w:color="auto" w:fill="auto"/>
            <w:noWrap w:val="0"/>
            <w:vAlign w:val="center"/>
          </w:tcPr>
          <w:p w14:paraId="020535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16.4</w:t>
            </w:r>
          </w:p>
        </w:tc>
      </w:tr>
      <w:tr w14:paraId="239EC9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2267" w:type="dxa"/>
            <w:tcBorders>
              <w:left w:val="single" w:color="000000" w:sz="6" w:space="0"/>
            </w:tcBorders>
            <w:shd w:val="clear" w:color="auto" w:fill="auto"/>
            <w:noWrap w:val="0"/>
            <w:vAlign w:val="center"/>
          </w:tcPr>
          <w:p w14:paraId="01F1AD5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夏庄村</w:t>
            </w:r>
          </w:p>
        </w:tc>
        <w:tc>
          <w:tcPr>
            <w:tcW w:w="1981" w:type="dxa"/>
            <w:shd w:val="clear" w:color="auto" w:fill="auto"/>
            <w:noWrap w:val="0"/>
            <w:vAlign w:val="center"/>
          </w:tcPr>
          <w:p w14:paraId="02A92F1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85</w:t>
            </w:r>
          </w:p>
        </w:tc>
        <w:tc>
          <w:tcPr>
            <w:tcW w:w="1979" w:type="dxa"/>
            <w:tcBorders>
              <w:right w:val="single" w:color="000000" w:sz="2" w:space="0"/>
            </w:tcBorders>
            <w:shd w:val="clear" w:color="auto" w:fill="auto"/>
            <w:noWrap w:val="0"/>
            <w:vAlign w:val="center"/>
          </w:tcPr>
          <w:p w14:paraId="4187D47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62.7</w:t>
            </w:r>
          </w:p>
        </w:tc>
        <w:tc>
          <w:tcPr>
            <w:tcW w:w="2070" w:type="dxa"/>
            <w:tcBorders>
              <w:top w:val="single" w:color="000000" w:sz="2" w:space="0"/>
              <w:left w:val="single" w:color="000000" w:sz="2" w:space="0"/>
              <w:right w:val="single" w:color="000000" w:sz="6" w:space="0"/>
            </w:tcBorders>
            <w:shd w:val="clear" w:color="auto" w:fill="auto"/>
            <w:noWrap w:val="0"/>
            <w:vAlign w:val="center"/>
          </w:tcPr>
          <w:p w14:paraId="2B71DC7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15.9</w:t>
            </w:r>
          </w:p>
        </w:tc>
      </w:tr>
      <w:tr w14:paraId="5D7F27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2267" w:type="dxa"/>
            <w:tcBorders>
              <w:left w:val="single" w:color="000000" w:sz="6" w:space="0"/>
            </w:tcBorders>
            <w:shd w:val="clear" w:color="auto" w:fill="auto"/>
            <w:noWrap w:val="0"/>
            <w:vAlign w:val="center"/>
          </w:tcPr>
          <w:p w14:paraId="764F5DA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化纤厂厂区</w:t>
            </w:r>
          </w:p>
        </w:tc>
        <w:tc>
          <w:tcPr>
            <w:tcW w:w="1981" w:type="dxa"/>
            <w:shd w:val="clear" w:color="auto" w:fill="auto"/>
            <w:noWrap w:val="0"/>
            <w:vAlign w:val="center"/>
          </w:tcPr>
          <w:p w14:paraId="62C99F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80</w:t>
            </w:r>
          </w:p>
        </w:tc>
        <w:tc>
          <w:tcPr>
            <w:tcW w:w="1979" w:type="dxa"/>
            <w:tcBorders>
              <w:right w:val="single" w:color="000000" w:sz="2" w:space="0"/>
            </w:tcBorders>
            <w:shd w:val="clear" w:color="auto" w:fill="auto"/>
            <w:noWrap w:val="0"/>
            <w:vAlign w:val="center"/>
          </w:tcPr>
          <w:p w14:paraId="0C9EED9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62.3</w:t>
            </w:r>
          </w:p>
        </w:tc>
        <w:tc>
          <w:tcPr>
            <w:tcW w:w="2070" w:type="dxa"/>
            <w:tcBorders>
              <w:left w:val="single" w:color="000000" w:sz="2" w:space="0"/>
              <w:right w:val="single" w:color="000000" w:sz="6" w:space="0"/>
            </w:tcBorders>
            <w:shd w:val="clear" w:color="auto" w:fill="auto"/>
            <w:noWrap w:val="0"/>
            <w:vAlign w:val="center"/>
          </w:tcPr>
          <w:p w14:paraId="45677CB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16.7</w:t>
            </w:r>
          </w:p>
        </w:tc>
      </w:tr>
      <w:tr w14:paraId="2E9C41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2267" w:type="dxa"/>
            <w:tcBorders>
              <w:left w:val="single" w:color="000000" w:sz="6" w:space="0"/>
            </w:tcBorders>
            <w:shd w:val="clear" w:color="auto" w:fill="auto"/>
            <w:noWrap w:val="0"/>
            <w:vAlign w:val="center"/>
          </w:tcPr>
          <w:p w14:paraId="52E2D1A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双鹭药业</w:t>
            </w:r>
          </w:p>
        </w:tc>
        <w:tc>
          <w:tcPr>
            <w:tcW w:w="1981" w:type="dxa"/>
            <w:shd w:val="clear" w:color="auto" w:fill="auto"/>
            <w:noWrap w:val="0"/>
            <w:vAlign w:val="center"/>
          </w:tcPr>
          <w:p w14:paraId="251CB0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90</w:t>
            </w:r>
          </w:p>
        </w:tc>
        <w:tc>
          <w:tcPr>
            <w:tcW w:w="1979" w:type="dxa"/>
            <w:tcBorders>
              <w:right w:val="single" w:color="000000" w:sz="2" w:space="0"/>
            </w:tcBorders>
            <w:shd w:val="clear" w:color="auto" w:fill="auto"/>
            <w:noWrap w:val="0"/>
            <w:vAlign w:val="center"/>
          </w:tcPr>
          <w:p w14:paraId="0F80541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61.7</w:t>
            </w:r>
          </w:p>
        </w:tc>
        <w:tc>
          <w:tcPr>
            <w:tcW w:w="2070" w:type="dxa"/>
            <w:tcBorders>
              <w:left w:val="single" w:color="000000" w:sz="2" w:space="0"/>
              <w:right w:val="single" w:color="000000" w:sz="6" w:space="0"/>
            </w:tcBorders>
            <w:shd w:val="clear" w:color="auto" w:fill="auto"/>
            <w:noWrap w:val="0"/>
            <w:vAlign w:val="center"/>
          </w:tcPr>
          <w:p w14:paraId="533729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16.2</w:t>
            </w:r>
          </w:p>
        </w:tc>
      </w:tr>
      <w:tr w14:paraId="58869D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2267" w:type="dxa"/>
            <w:tcBorders>
              <w:left w:val="single" w:color="000000" w:sz="6" w:space="0"/>
            </w:tcBorders>
            <w:shd w:val="clear" w:color="auto" w:fill="auto"/>
            <w:noWrap w:val="0"/>
            <w:vAlign w:val="center"/>
          </w:tcPr>
          <w:p w14:paraId="7249DC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大杨庄村</w:t>
            </w:r>
          </w:p>
        </w:tc>
        <w:tc>
          <w:tcPr>
            <w:tcW w:w="1981" w:type="dxa"/>
            <w:shd w:val="clear" w:color="auto" w:fill="auto"/>
            <w:noWrap w:val="0"/>
            <w:vAlign w:val="center"/>
          </w:tcPr>
          <w:p w14:paraId="7AEE7A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85</w:t>
            </w:r>
          </w:p>
        </w:tc>
        <w:tc>
          <w:tcPr>
            <w:tcW w:w="1979" w:type="dxa"/>
            <w:tcBorders>
              <w:right w:val="single" w:color="000000" w:sz="2" w:space="0"/>
            </w:tcBorders>
            <w:shd w:val="clear" w:color="auto" w:fill="auto"/>
            <w:noWrap w:val="0"/>
            <w:vAlign w:val="center"/>
          </w:tcPr>
          <w:p w14:paraId="33AEE5A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62.2</w:t>
            </w:r>
          </w:p>
        </w:tc>
        <w:tc>
          <w:tcPr>
            <w:tcW w:w="2070" w:type="dxa"/>
            <w:tcBorders>
              <w:left w:val="single" w:color="000000" w:sz="2" w:space="0"/>
              <w:right w:val="single" w:color="000000" w:sz="6" w:space="0"/>
            </w:tcBorders>
            <w:shd w:val="clear" w:color="auto" w:fill="auto"/>
            <w:noWrap w:val="0"/>
            <w:vAlign w:val="center"/>
          </w:tcPr>
          <w:p w14:paraId="704A15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15.7</w:t>
            </w:r>
          </w:p>
        </w:tc>
      </w:tr>
      <w:tr w14:paraId="148D8B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2267" w:type="dxa"/>
            <w:tcBorders>
              <w:left w:val="single" w:color="000000" w:sz="6" w:space="0"/>
            </w:tcBorders>
            <w:shd w:val="clear" w:color="auto" w:fill="auto"/>
            <w:noWrap w:val="0"/>
            <w:vAlign w:val="center"/>
          </w:tcPr>
          <w:p w14:paraId="6312A0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张河村</w:t>
            </w:r>
          </w:p>
        </w:tc>
        <w:tc>
          <w:tcPr>
            <w:tcW w:w="1981" w:type="dxa"/>
            <w:shd w:val="clear" w:color="auto" w:fill="auto"/>
            <w:noWrap w:val="0"/>
            <w:vAlign w:val="center"/>
          </w:tcPr>
          <w:p w14:paraId="611B564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83</w:t>
            </w:r>
          </w:p>
        </w:tc>
        <w:tc>
          <w:tcPr>
            <w:tcW w:w="1979" w:type="dxa"/>
            <w:tcBorders>
              <w:right w:val="single" w:color="000000" w:sz="2" w:space="0"/>
            </w:tcBorders>
            <w:shd w:val="clear" w:color="auto" w:fill="auto"/>
            <w:noWrap w:val="0"/>
            <w:vAlign w:val="center"/>
          </w:tcPr>
          <w:p w14:paraId="6156ED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63.5</w:t>
            </w:r>
          </w:p>
        </w:tc>
        <w:tc>
          <w:tcPr>
            <w:tcW w:w="2070" w:type="dxa"/>
            <w:tcBorders>
              <w:left w:val="single" w:color="000000" w:sz="2" w:space="0"/>
              <w:right w:val="single" w:color="000000" w:sz="6" w:space="0"/>
            </w:tcBorders>
            <w:shd w:val="clear" w:color="auto" w:fill="auto"/>
            <w:noWrap w:val="0"/>
            <w:vAlign w:val="center"/>
          </w:tcPr>
          <w:p w14:paraId="44D581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15.5</w:t>
            </w:r>
          </w:p>
        </w:tc>
      </w:tr>
      <w:tr w14:paraId="2171C2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2267" w:type="dxa"/>
            <w:tcBorders>
              <w:left w:val="single" w:color="000000" w:sz="6" w:space="0"/>
            </w:tcBorders>
            <w:shd w:val="clear" w:color="auto" w:fill="auto"/>
            <w:noWrap w:val="0"/>
            <w:vAlign w:val="center"/>
          </w:tcPr>
          <w:p w14:paraId="3EA9765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新联学院</w:t>
            </w:r>
          </w:p>
        </w:tc>
        <w:tc>
          <w:tcPr>
            <w:tcW w:w="1981" w:type="dxa"/>
            <w:shd w:val="clear" w:color="auto" w:fill="auto"/>
            <w:noWrap w:val="0"/>
            <w:vAlign w:val="center"/>
          </w:tcPr>
          <w:p w14:paraId="1C24CD9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80</w:t>
            </w:r>
          </w:p>
        </w:tc>
        <w:tc>
          <w:tcPr>
            <w:tcW w:w="1979" w:type="dxa"/>
            <w:tcBorders>
              <w:right w:val="single" w:color="000000" w:sz="2" w:space="0"/>
            </w:tcBorders>
            <w:shd w:val="clear" w:color="auto" w:fill="auto"/>
            <w:noWrap w:val="0"/>
            <w:vAlign w:val="center"/>
          </w:tcPr>
          <w:p w14:paraId="3A3AC85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61.0</w:t>
            </w:r>
          </w:p>
        </w:tc>
        <w:tc>
          <w:tcPr>
            <w:tcW w:w="2070" w:type="dxa"/>
            <w:tcBorders>
              <w:left w:val="single" w:color="000000" w:sz="2" w:space="0"/>
              <w:right w:val="single" w:color="000000" w:sz="6" w:space="0"/>
            </w:tcBorders>
            <w:shd w:val="clear" w:color="auto" w:fill="auto"/>
            <w:noWrap w:val="0"/>
            <w:vAlign w:val="center"/>
          </w:tcPr>
          <w:p w14:paraId="628766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16.8</w:t>
            </w:r>
          </w:p>
        </w:tc>
      </w:tr>
      <w:tr w14:paraId="5C824C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2267" w:type="dxa"/>
            <w:tcBorders>
              <w:left w:val="single" w:color="000000" w:sz="6" w:space="0"/>
            </w:tcBorders>
            <w:shd w:val="clear" w:color="auto" w:fill="auto"/>
            <w:noWrap w:val="0"/>
            <w:vAlign w:val="center"/>
          </w:tcPr>
          <w:p w14:paraId="6546755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魏堤社区</w:t>
            </w:r>
          </w:p>
        </w:tc>
        <w:tc>
          <w:tcPr>
            <w:tcW w:w="1981" w:type="dxa"/>
            <w:shd w:val="clear" w:color="auto" w:fill="auto"/>
            <w:noWrap w:val="0"/>
            <w:vAlign w:val="center"/>
          </w:tcPr>
          <w:p w14:paraId="215975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85</w:t>
            </w:r>
          </w:p>
        </w:tc>
        <w:tc>
          <w:tcPr>
            <w:tcW w:w="1979" w:type="dxa"/>
            <w:tcBorders>
              <w:right w:val="single" w:color="000000" w:sz="2" w:space="0"/>
            </w:tcBorders>
            <w:shd w:val="clear" w:color="auto" w:fill="auto"/>
            <w:noWrap w:val="0"/>
            <w:vAlign w:val="center"/>
          </w:tcPr>
          <w:p w14:paraId="0ECEDA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62.3</w:t>
            </w:r>
          </w:p>
        </w:tc>
        <w:tc>
          <w:tcPr>
            <w:tcW w:w="2070" w:type="dxa"/>
            <w:tcBorders>
              <w:left w:val="single" w:color="000000" w:sz="2" w:space="0"/>
              <w:right w:val="single" w:color="000000" w:sz="6" w:space="0"/>
            </w:tcBorders>
            <w:shd w:val="clear" w:color="auto" w:fill="auto"/>
            <w:noWrap w:val="0"/>
            <w:vAlign w:val="center"/>
          </w:tcPr>
          <w:p w14:paraId="22C5AC2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17.1</w:t>
            </w:r>
          </w:p>
        </w:tc>
      </w:tr>
      <w:tr w14:paraId="4F57D0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2267" w:type="dxa"/>
            <w:tcBorders>
              <w:left w:val="single" w:color="000000" w:sz="6" w:space="0"/>
            </w:tcBorders>
            <w:shd w:val="clear" w:color="auto" w:fill="auto"/>
            <w:noWrap w:val="0"/>
            <w:vAlign w:val="center"/>
          </w:tcPr>
          <w:p w14:paraId="7794A3F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北张兴庄村</w:t>
            </w:r>
          </w:p>
        </w:tc>
        <w:tc>
          <w:tcPr>
            <w:tcW w:w="1981" w:type="dxa"/>
            <w:shd w:val="clear" w:color="auto" w:fill="auto"/>
            <w:noWrap w:val="0"/>
            <w:vAlign w:val="center"/>
          </w:tcPr>
          <w:p w14:paraId="0C24656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85</w:t>
            </w:r>
          </w:p>
        </w:tc>
        <w:tc>
          <w:tcPr>
            <w:tcW w:w="1979" w:type="dxa"/>
            <w:tcBorders>
              <w:right w:val="single" w:color="000000" w:sz="2" w:space="0"/>
            </w:tcBorders>
            <w:shd w:val="clear" w:color="auto" w:fill="auto"/>
            <w:noWrap w:val="0"/>
            <w:vAlign w:val="center"/>
          </w:tcPr>
          <w:p w14:paraId="2B8E87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61.1</w:t>
            </w:r>
          </w:p>
        </w:tc>
        <w:tc>
          <w:tcPr>
            <w:tcW w:w="2070" w:type="dxa"/>
            <w:tcBorders>
              <w:left w:val="single" w:color="000000" w:sz="2" w:space="0"/>
              <w:right w:val="single" w:color="000000" w:sz="6" w:space="0"/>
            </w:tcBorders>
            <w:shd w:val="clear" w:color="auto" w:fill="auto"/>
            <w:noWrap w:val="0"/>
            <w:vAlign w:val="center"/>
          </w:tcPr>
          <w:p w14:paraId="4B1509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16.6</w:t>
            </w:r>
          </w:p>
        </w:tc>
      </w:tr>
      <w:tr w14:paraId="59EABD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2267" w:type="dxa"/>
            <w:tcBorders>
              <w:left w:val="single" w:color="000000" w:sz="6" w:space="0"/>
            </w:tcBorders>
            <w:shd w:val="clear" w:color="auto" w:fill="auto"/>
            <w:noWrap w:val="0"/>
            <w:vAlign w:val="center"/>
          </w:tcPr>
          <w:p w14:paraId="793609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沙门村</w:t>
            </w:r>
          </w:p>
        </w:tc>
        <w:tc>
          <w:tcPr>
            <w:tcW w:w="1981" w:type="dxa"/>
            <w:shd w:val="clear" w:color="auto" w:fill="auto"/>
            <w:noWrap w:val="0"/>
            <w:vAlign w:val="center"/>
          </w:tcPr>
          <w:p w14:paraId="7B81EF8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80</w:t>
            </w:r>
          </w:p>
        </w:tc>
        <w:tc>
          <w:tcPr>
            <w:tcW w:w="1979" w:type="dxa"/>
            <w:tcBorders>
              <w:right w:val="single" w:color="000000" w:sz="2" w:space="0"/>
            </w:tcBorders>
            <w:shd w:val="clear" w:color="auto" w:fill="auto"/>
            <w:noWrap w:val="0"/>
            <w:vAlign w:val="center"/>
          </w:tcPr>
          <w:p w14:paraId="387DB7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61.5</w:t>
            </w:r>
          </w:p>
        </w:tc>
        <w:tc>
          <w:tcPr>
            <w:tcW w:w="2070" w:type="dxa"/>
            <w:tcBorders>
              <w:left w:val="single" w:color="000000" w:sz="2" w:space="0"/>
              <w:right w:val="single" w:color="000000" w:sz="6" w:space="0"/>
            </w:tcBorders>
            <w:shd w:val="clear" w:color="auto" w:fill="auto"/>
            <w:noWrap w:val="0"/>
            <w:vAlign w:val="center"/>
          </w:tcPr>
          <w:p w14:paraId="55BC8D9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16.3</w:t>
            </w:r>
          </w:p>
        </w:tc>
      </w:tr>
      <w:tr w14:paraId="2D0444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2267" w:type="dxa"/>
            <w:tcBorders>
              <w:left w:val="single" w:color="000000" w:sz="6" w:space="0"/>
            </w:tcBorders>
            <w:shd w:val="clear" w:color="auto" w:fill="auto"/>
            <w:noWrap w:val="0"/>
            <w:vAlign w:val="center"/>
          </w:tcPr>
          <w:p w14:paraId="472A4E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新乡职业技术学院</w:t>
            </w:r>
          </w:p>
        </w:tc>
        <w:tc>
          <w:tcPr>
            <w:tcW w:w="1981" w:type="dxa"/>
            <w:shd w:val="clear" w:color="auto" w:fill="auto"/>
            <w:noWrap w:val="0"/>
            <w:vAlign w:val="center"/>
          </w:tcPr>
          <w:p w14:paraId="6D3A0CD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85</w:t>
            </w:r>
          </w:p>
        </w:tc>
        <w:tc>
          <w:tcPr>
            <w:tcW w:w="1979" w:type="dxa"/>
            <w:tcBorders>
              <w:right w:val="single" w:color="000000" w:sz="2" w:space="0"/>
            </w:tcBorders>
            <w:shd w:val="clear" w:color="auto" w:fill="auto"/>
            <w:noWrap w:val="0"/>
            <w:vAlign w:val="center"/>
          </w:tcPr>
          <w:p w14:paraId="19F38DE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62.5</w:t>
            </w:r>
          </w:p>
        </w:tc>
        <w:tc>
          <w:tcPr>
            <w:tcW w:w="2070" w:type="dxa"/>
            <w:tcBorders>
              <w:left w:val="single" w:color="000000" w:sz="2" w:space="0"/>
              <w:right w:val="single" w:color="000000" w:sz="6" w:space="0"/>
            </w:tcBorders>
            <w:shd w:val="clear" w:color="auto" w:fill="auto"/>
            <w:noWrap w:val="0"/>
            <w:vAlign w:val="center"/>
          </w:tcPr>
          <w:p w14:paraId="7574B18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16.9</w:t>
            </w:r>
          </w:p>
        </w:tc>
      </w:tr>
      <w:tr w14:paraId="29FF10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2267" w:type="dxa"/>
            <w:tcBorders>
              <w:left w:val="single" w:color="000000" w:sz="6" w:space="0"/>
            </w:tcBorders>
            <w:shd w:val="clear" w:color="auto" w:fill="auto"/>
            <w:noWrap w:val="0"/>
            <w:vAlign w:val="center"/>
          </w:tcPr>
          <w:p w14:paraId="13624BC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获小庄村</w:t>
            </w:r>
          </w:p>
        </w:tc>
        <w:tc>
          <w:tcPr>
            <w:tcW w:w="1981" w:type="dxa"/>
            <w:shd w:val="clear" w:color="auto" w:fill="auto"/>
            <w:noWrap w:val="0"/>
            <w:vAlign w:val="center"/>
          </w:tcPr>
          <w:p w14:paraId="74A3B0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85</w:t>
            </w:r>
          </w:p>
        </w:tc>
        <w:tc>
          <w:tcPr>
            <w:tcW w:w="1979" w:type="dxa"/>
            <w:tcBorders>
              <w:right w:val="single" w:color="000000" w:sz="2" w:space="0"/>
            </w:tcBorders>
            <w:shd w:val="clear" w:color="auto" w:fill="auto"/>
            <w:noWrap w:val="0"/>
            <w:vAlign w:val="center"/>
          </w:tcPr>
          <w:p w14:paraId="5B353E7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63.0</w:t>
            </w:r>
          </w:p>
        </w:tc>
        <w:tc>
          <w:tcPr>
            <w:tcW w:w="2070" w:type="dxa"/>
            <w:tcBorders>
              <w:left w:val="single" w:color="000000" w:sz="2" w:space="0"/>
              <w:right w:val="single" w:color="000000" w:sz="6" w:space="0"/>
            </w:tcBorders>
            <w:shd w:val="clear" w:color="auto" w:fill="auto"/>
            <w:noWrap w:val="0"/>
            <w:vAlign w:val="center"/>
          </w:tcPr>
          <w:p w14:paraId="77BACE9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17.0</w:t>
            </w:r>
          </w:p>
        </w:tc>
      </w:tr>
      <w:tr w14:paraId="6D4C7A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2267" w:type="dxa"/>
            <w:tcBorders>
              <w:left w:val="single" w:color="000000" w:sz="6" w:space="0"/>
            </w:tcBorders>
            <w:shd w:val="clear" w:color="auto" w:fill="auto"/>
            <w:noWrap w:val="0"/>
            <w:vAlign w:val="center"/>
          </w:tcPr>
          <w:p w14:paraId="3353976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3"/>
              </w:rPr>
              <w:t>小杨庄村</w:t>
            </w:r>
          </w:p>
        </w:tc>
        <w:tc>
          <w:tcPr>
            <w:tcW w:w="1981" w:type="dxa"/>
            <w:shd w:val="clear" w:color="auto" w:fill="auto"/>
            <w:noWrap w:val="0"/>
            <w:vAlign w:val="center"/>
          </w:tcPr>
          <w:p w14:paraId="7A17E9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82</w:t>
            </w:r>
          </w:p>
        </w:tc>
        <w:tc>
          <w:tcPr>
            <w:tcW w:w="1979" w:type="dxa"/>
            <w:tcBorders>
              <w:right w:val="single" w:color="000000" w:sz="2" w:space="0"/>
            </w:tcBorders>
            <w:shd w:val="clear" w:color="auto" w:fill="auto"/>
            <w:noWrap w:val="0"/>
            <w:vAlign w:val="center"/>
          </w:tcPr>
          <w:p w14:paraId="5F631B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62.2</w:t>
            </w:r>
          </w:p>
        </w:tc>
        <w:tc>
          <w:tcPr>
            <w:tcW w:w="2070" w:type="dxa"/>
            <w:tcBorders>
              <w:left w:val="single" w:color="000000" w:sz="2" w:space="0"/>
              <w:right w:val="single" w:color="000000" w:sz="6" w:space="0"/>
            </w:tcBorders>
            <w:shd w:val="clear" w:color="auto" w:fill="auto"/>
            <w:noWrap w:val="0"/>
            <w:vAlign w:val="center"/>
          </w:tcPr>
          <w:p w14:paraId="7C3D104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16.5</w:t>
            </w:r>
          </w:p>
        </w:tc>
      </w:tr>
      <w:tr w14:paraId="085265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2267" w:type="dxa"/>
            <w:tcBorders>
              <w:left w:val="single" w:color="000000" w:sz="6" w:space="0"/>
              <w:bottom w:val="single" w:color="000000" w:sz="6" w:space="0"/>
            </w:tcBorders>
            <w:shd w:val="clear" w:color="auto" w:fill="auto"/>
            <w:noWrap w:val="0"/>
            <w:vAlign w:val="center"/>
          </w:tcPr>
          <w:p w14:paraId="59BB83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spacing w:val="-2"/>
              </w:rPr>
              <w:t>万里公交驾校</w:t>
            </w:r>
          </w:p>
        </w:tc>
        <w:tc>
          <w:tcPr>
            <w:tcW w:w="1981" w:type="dxa"/>
            <w:tcBorders>
              <w:bottom w:val="single" w:color="000000" w:sz="6" w:space="0"/>
            </w:tcBorders>
            <w:shd w:val="clear" w:color="auto" w:fill="auto"/>
            <w:noWrap w:val="0"/>
            <w:vAlign w:val="center"/>
          </w:tcPr>
          <w:p w14:paraId="63D2F3E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3"/>
              </w:rPr>
              <w:t>80</w:t>
            </w:r>
          </w:p>
        </w:tc>
        <w:tc>
          <w:tcPr>
            <w:tcW w:w="1979" w:type="dxa"/>
            <w:tcBorders>
              <w:bottom w:val="single" w:color="000000" w:sz="6" w:space="0"/>
              <w:right w:val="single" w:color="000000" w:sz="2" w:space="0"/>
            </w:tcBorders>
            <w:shd w:val="clear" w:color="auto" w:fill="auto"/>
            <w:noWrap w:val="0"/>
            <w:vAlign w:val="center"/>
          </w:tcPr>
          <w:p w14:paraId="1D1AE69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2"/>
              </w:rPr>
              <w:t>60.8</w:t>
            </w:r>
          </w:p>
        </w:tc>
        <w:tc>
          <w:tcPr>
            <w:tcW w:w="2070" w:type="dxa"/>
            <w:tcBorders>
              <w:left w:val="single" w:color="000000" w:sz="2" w:space="0"/>
              <w:bottom w:val="single" w:color="000000" w:sz="6" w:space="0"/>
              <w:right w:val="single" w:color="000000" w:sz="6" w:space="0"/>
            </w:tcBorders>
            <w:shd w:val="clear" w:color="auto" w:fill="auto"/>
            <w:noWrap w:val="0"/>
            <w:vAlign w:val="center"/>
          </w:tcPr>
          <w:p w14:paraId="11DEBFF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eastAsia="Times New Roman"/>
              </w:rPr>
            </w:pPr>
            <w:r>
              <w:rPr>
                <w:rFonts w:eastAsia="Times New Roman"/>
                <w:spacing w:val="-5"/>
              </w:rPr>
              <w:t>16.2</w:t>
            </w:r>
          </w:p>
        </w:tc>
      </w:tr>
    </w:tbl>
    <w:p w14:paraId="2E98BC8D">
      <w:pPr>
        <w:keepNext w:val="0"/>
        <w:keepLines w:val="0"/>
        <w:pageBreakBefore w:val="0"/>
        <w:widowControl w:val="0"/>
        <w:kinsoku/>
        <w:wordWrap/>
        <w:overflowPunct/>
        <w:topLinePunct w:val="0"/>
        <w:autoSpaceDE/>
        <w:autoSpaceDN/>
        <w:bidi w:val="0"/>
        <w:adjustRightInd w:val="0"/>
        <w:snapToGrid w:val="0"/>
        <w:textAlignment w:val="auto"/>
        <w:rPr>
          <w:color w:val="auto"/>
        </w:rPr>
      </w:pPr>
      <w:r>
        <w:rPr>
          <w:rFonts w:hint="eastAsia"/>
          <w:color w:val="auto"/>
        </w:rPr>
        <w:t>根据检测数据分析，各监测点位地下水监测因子均能满足《地下水质量标准》（GB/T14848-2017）</w:t>
      </w:r>
      <w:r>
        <w:rPr>
          <w:color w:val="auto"/>
        </w:rPr>
        <w:t>Ⅲ</w:t>
      </w:r>
      <w:r>
        <w:rPr>
          <w:rFonts w:hint="eastAsia"/>
          <w:color w:val="auto"/>
        </w:rPr>
        <w:t>类的标准要求，区域地下水环境治理状况良好。</w:t>
      </w:r>
    </w:p>
    <w:p w14:paraId="1E00AB79">
      <w:pPr>
        <w:pStyle w:val="5"/>
        <w:tabs>
          <w:tab w:val="left" w:pos="720"/>
          <w:tab w:val="left" w:pos="1200"/>
          <w:tab w:val="left" w:pos="1680"/>
        </w:tabs>
        <w:spacing w:before="0" w:after="0" w:line="520" w:lineRule="exact"/>
        <w:rPr>
          <w:color w:val="auto"/>
          <w:sz w:val="28"/>
          <w:szCs w:val="28"/>
        </w:rPr>
      </w:pPr>
      <w:r>
        <w:rPr>
          <w:color w:val="auto"/>
          <w:sz w:val="28"/>
          <w:szCs w:val="28"/>
        </w:rPr>
        <w:t>声环境质量现状监测</w:t>
      </w:r>
      <w:bookmarkEnd w:id="234"/>
      <w:bookmarkEnd w:id="235"/>
      <w:bookmarkEnd w:id="236"/>
    </w:p>
    <w:p w14:paraId="54CB6CFB">
      <w:pPr>
        <w:pStyle w:val="6"/>
        <w:bidi w:val="0"/>
      </w:pPr>
      <w:r>
        <w:t>监测布点</w:t>
      </w:r>
    </w:p>
    <w:p w14:paraId="7CF10AE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rFonts w:hint="eastAsia" w:ascii="Times New Roman" w:hAnsi="Times New Roman" w:cs="Times New Roman"/>
          <w:color w:val="auto"/>
          <w:highlight w:val="none"/>
        </w:rPr>
        <w:t>新乡化纤股份有限公司</w:t>
      </w:r>
      <w:r>
        <w:rPr>
          <w:rFonts w:ascii="Times New Roman" w:hAnsi="Times New Roman" w:cs="Times New Roman"/>
          <w:color w:val="auto"/>
          <w:highlight w:val="none"/>
        </w:rPr>
        <w:t>委托</w:t>
      </w:r>
      <w:r>
        <w:rPr>
          <w:rFonts w:hint="eastAsia" w:ascii="Times New Roman" w:hAnsi="Times New Roman" w:cs="Times New Roman"/>
          <w:color w:val="auto"/>
          <w:highlight w:val="none"/>
        </w:rPr>
        <w:t>洛阳市绿源环保技术有限公司</w:t>
      </w:r>
      <w:r>
        <w:rPr>
          <w:rFonts w:ascii="Times New Roman" w:hAnsi="Times New Roman" w:cs="Times New Roman"/>
          <w:color w:val="auto"/>
          <w:highlight w:val="none"/>
        </w:rPr>
        <w:t>202</w:t>
      </w:r>
      <w:r>
        <w:rPr>
          <w:rFonts w:hint="eastAsia" w:ascii="Times New Roman" w:hAnsi="Times New Roman" w:cs="Times New Roman"/>
          <w:color w:val="auto"/>
          <w:highlight w:val="none"/>
          <w:lang w:val="en-US" w:eastAsia="zh-CN"/>
        </w:rPr>
        <w:t>4</w:t>
      </w:r>
      <w:r>
        <w:rPr>
          <w:rFonts w:ascii="Times New Roman" w:hAnsi="Times New Roman" w:cs="Times New Roman"/>
          <w:color w:val="auto"/>
          <w:highlight w:val="none"/>
        </w:rPr>
        <w:t>年</w:t>
      </w:r>
      <w:r>
        <w:rPr>
          <w:rFonts w:hint="eastAsia" w:ascii="Times New Roman" w:hAnsi="Times New Roman" w:cs="Times New Roman"/>
          <w:color w:val="auto"/>
          <w:highlight w:val="none"/>
          <w:lang w:val="en-US" w:eastAsia="zh-CN"/>
        </w:rPr>
        <w:t>4</w:t>
      </w:r>
      <w:r>
        <w:rPr>
          <w:rFonts w:ascii="Times New Roman" w:hAnsi="Times New Roman" w:cs="Times New Roman"/>
          <w:color w:val="auto"/>
          <w:highlight w:val="none"/>
        </w:rPr>
        <w:t>月</w:t>
      </w:r>
      <w:r>
        <w:rPr>
          <w:rFonts w:hint="eastAsia" w:ascii="Times New Roman" w:hAnsi="Times New Roman" w:cs="Times New Roman"/>
          <w:color w:val="auto"/>
          <w:highlight w:val="none"/>
          <w:lang w:val="en-US" w:eastAsia="zh-CN"/>
        </w:rPr>
        <w:t>7-8</w:t>
      </w:r>
      <w:r>
        <w:rPr>
          <w:rFonts w:ascii="Times New Roman" w:hAnsi="Times New Roman" w:cs="Times New Roman"/>
          <w:color w:val="auto"/>
          <w:highlight w:val="none"/>
        </w:rPr>
        <w:t>日</w:t>
      </w:r>
      <w:r>
        <w:rPr>
          <w:color w:val="auto"/>
          <w:highlight w:val="none"/>
        </w:rPr>
        <w:t>对企业厂界</w:t>
      </w:r>
      <w:r>
        <w:rPr>
          <w:rFonts w:hint="eastAsia"/>
          <w:color w:val="auto"/>
          <w:highlight w:val="none"/>
        </w:rPr>
        <w:t>及附近敏感点</w:t>
      </w:r>
      <w:r>
        <w:rPr>
          <w:color w:val="auto"/>
          <w:highlight w:val="none"/>
        </w:rPr>
        <w:t>噪声</w:t>
      </w:r>
      <w:r>
        <w:rPr>
          <w:rFonts w:hint="eastAsia"/>
          <w:color w:val="auto"/>
          <w:highlight w:val="none"/>
        </w:rPr>
        <w:t>现状</w:t>
      </w:r>
      <w:r>
        <w:rPr>
          <w:color w:val="auto"/>
          <w:highlight w:val="none"/>
        </w:rPr>
        <w:t>进行了监测。在评价区内共布置了</w:t>
      </w:r>
      <w:r>
        <w:rPr>
          <w:rFonts w:hint="eastAsia"/>
          <w:color w:val="auto"/>
          <w:highlight w:val="none"/>
          <w:lang w:val="en-US" w:eastAsia="zh-CN"/>
        </w:rPr>
        <w:t>4</w:t>
      </w:r>
      <w:r>
        <w:rPr>
          <w:color w:val="auto"/>
          <w:highlight w:val="none"/>
        </w:rPr>
        <w:t>个声环境质量现状监测点。</w:t>
      </w:r>
    </w:p>
    <w:p w14:paraId="28EC04D6">
      <w:pPr>
        <w:pStyle w:val="6"/>
        <w:bidi w:val="0"/>
        <w:rPr>
          <w:color w:val="auto"/>
        </w:rPr>
      </w:pPr>
      <w:r>
        <w:rPr>
          <w:color w:val="auto"/>
        </w:rPr>
        <w:t>监测方法和频率</w:t>
      </w:r>
    </w:p>
    <w:p w14:paraId="7208EBFF">
      <w:pPr>
        <w:bidi w:val="0"/>
        <w:rPr>
          <w:color w:val="auto"/>
        </w:rPr>
      </w:pPr>
      <w:r>
        <w:rPr>
          <w:color w:val="auto"/>
        </w:rPr>
        <w:t>监测点位及监测时间见</w:t>
      </w:r>
      <w:r>
        <w:rPr>
          <w:rFonts w:hint="eastAsia"/>
          <w:color w:val="auto"/>
          <w:lang w:val="en-US" w:eastAsia="zh-CN"/>
        </w:rPr>
        <w:t>下表</w:t>
      </w:r>
      <w:r>
        <w:rPr>
          <w:color w:val="auto"/>
        </w:rPr>
        <w:t>。</w:t>
      </w:r>
    </w:p>
    <w:p w14:paraId="5E398059">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16</w:t>
      </w:r>
      <w:r>
        <w:fldChar w:fldCharType="end"/>
      </w:r>
      <w:r>
        <w:rPr>
          <w:rFonts w:hint="eastAsia"/>
          <w:lang w:val="en-US" w:eastAsia="zh-CN"/>
        </w:rPr>
        <w:t xml:space="preserve"> </w:t>
      </w:r>
      <w:r>
        <w:t>声环境现状监测点位及监测时间表</w:t>
      </w:r>
    </w:p>
    <w:tbl>
      <w:tblPr>
        <w:tblStyle w:val="31"/>
        <w:tblW w:w="502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2435"/>
        <w:gridCol w:w="1993"/>
        <w:gridCol w:w="1901"/>
        <w:gridCol w:w="2050"/>
      </w:tblGrid>
      <w:tr w14:paraId="51DD38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53" w:type="pct"/>
            <w:tcMar>
              <w:top w:w="57" w:type="dxa"/>
              <w:left w:w="0" w:type="dxa"/>
              <w:bottom w:w="57" w:type="dxa"/>
              <w:right w:w="0" w:type="dxa"/>
            </w:tcMar>
            <w:vAlign w:val="center"/>
          </w:tcPr>
          <w:p w14:paraId="3BC2AC62">
            <w:pPr>
              <w:snapToGrid w:val="0"/>
              <w:spacing w:line="360" w:lineRule="exact"/>
              <w:jc w:val="center"/>
              <w:rPr>
                <w:b/>
                <w:bCs/>
                <w:color w:val="auto"/>
                <w:sz w:val="21"/>
                <w:szCs w:val="21"/>
              </w:rPr>
            </w:pPr>
            <w:r>
              <w:rPr>
                <w:rFonts w:hint="eastAsia"/>
                <w:b/>
                <w:bCs/>
                <w:color w:val="auto"/>
                <w:sz w:val="21"/>
                <w:szCs w:val="21"/>
              </w:rPr>
              <w:t>监测点位置</w:t>
            </w:r>
          </w:p>
        </w:tc>
        <w:tc>
          <w:tcPr>
            <w:tcW w:w="1189" w:type="pct"/>
            <w:vAlign w:val="center"/>
          </w:tcPr>
          <w:p w14:paraId="6B69C03A">
            <w:pPr>
              <w:snapToGrid w:val="0"/>
              <w:spacing w:line="360" w:lineRule="exact"/>
              <w:jc w:val="center"/>
              <w:rPr>
                <w:b/>
                <w:bCs/>
                <w:color w:val="auto"/>
                <w:sz w:val="21"/>
                <w:szCs w:val="21"/>
              </w:rPr>
            </w:pPr>
            <w:r>
              <w:rPr>
                <w:rFonts w:hint="eastAsia"/>
                <w:b/>
                <w:bCs/>
                <w:color w:val="auto"/>
                <w:sz w:val="21"/>
                <w:szCs w:val="21"/>
              </w:rPr>
              <w:t>监测因子</w:t>
            </w:r>
          </w:p>
        </w:tc>
        <w:tc>
          <w:tcPr>
            <w:tcW w:w="1134" w:type="pct"/>
            <w:vAlign w:val="center"/>
          </w:tcPr>
          <w:p w14:paraId="57DB91E2">
            <w:pPr>
              <w:snapToGrid w:val="0"/>
              <w:spacing w:line="360" w:lineRule="exact"/>
              <w:jc w:val="center"/>
              <w:rPr>
                <w:b/>
                <w:bCs/>
                <w:color w:val="auto"/>
                <w:sz w:val="21"/>
                <w:szCs w:val="21"/>
              </w:rPr>
            </w:pPr>
            <w:r>
              <w:rPr>
                <w:rFonts w:hint="eastAsia"/>
                <w:b/>
                <w:bCs/>
                <w:color w:val="auto"/>
                <w:sz w:val="21"/>
                <w:szCs w:val="21"/>
              </w:rPr>
              <w:t>监测频率</w:t>
            </w:r>
          </w:p>
        </w:tc>
        <w:tc>
          <w:tcPr>
            <w:tcW w:w="1223" w:type="pct"/>
            <w:vAlign w:val="center"/>
          </w:tcPr>
          <w:p w14:paraId="78BE8A17">
            <w:pPr>
              <w:snapToGrid w:val="0"/>
              <w:spacing w:line="360" w:lineRule="exact"/>
              <w:jc w:val="center"/>
              <w:rPr>
                <w:b/>
                <w:bCs/>
                <w:color w:val="auto"/>
                <w:sz w:val="21"/>
                <w:szCs w:val="21"/>
              </w:rPr>
            </w:pPr>
            <w:r>
              <w:rPr>
                <w:rFonts w:hint="eastAsia"/>
                <w:b/>
                <w:bCs/>
                <w:color w:val="auto"/>
                <w:sz w:val="21"/>
                <w:szCs w:val="21"/>
              </w:rPr>
              <w:t>监测方法</w:t>
            </w:r>
          </w:p>
        </w:tc>
      </w:tr>
      <w:tr w14:paraId="2001DD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53" w:type="pct"/>
            <w:tcMar>
              <w:top w:w="57" w:type="dxa"/>
              <w:left w:w="0" w:type="dxa"/>
              <w:bottom w:w="57" w:type="dxa"/>
              <w:right w:w="0" w:type="dxa"/>
            </w:tcMar>
            <w:vAlign w:val="center"/>
          </w:tcPr>
          <w:p w14:paraId="50E78344">
            <w:pPr>
              <w:pStyle w:val="182"/>
              <w:rPr>
                <w:color w:val="auto"/>
              </w:rPr>
            </w:pPr>
            <w:r>
              <w:rPr>
                <w:rFonts w:hint="eastAsia"/>
                <w:color w:val="auto"/>
              </w:rPr>
              <w:t>东厂界</w:t>
            </w:r>
          </w:p>
        </w:tc>
        <w:tc>
          <w:tcPr>
            <w:tcW w:w="1189" w:type="pct"/>
            <w:vMerge w:val="restart"/>
            <w:vAlign w:val="center"/>
          </w:tcPr>
          <w:p w14:paraId="15D8579F">
            <w:pPr>
              <w:pStyle w:val="182"/>
              <w:rPr>
                <w:color w:val="auto"/>
              </w:rPr>
            </w:pPr>
            <w:r>
              <w:rPr>
                <w:rFonts w:hint="eastAsia"/>
                <w:color w:val="auto"/>
              </w:rPr>
              <w:t>等效连续A声级</w:t>
            </w:r>
          </w:p>
        </w:tc>
        <w:tc>
          <w:tcPr>
            <w:tcW w:w="1134" w:type="pct"/>
            <w:vMerge w:val="restart"/>
            <w:vAlign w:val="center"/>
          </w:tcPr>
          <w:p w14:paraId="1AB32B1B">
            <w:pPr>
              <w:pStyle w:val="182"/>
              <w:rPr>
                <w:color w:val="auto"/>
              </w:rPr>
            </w:pPr>
            <w:r>
              <w:rPr>
                <w:rFonts w:hint="eastAsia"/>
                <w:color w:val="auto"/>
              </w:rPr>
              <w:t>连续监测</w:t>
            </w:r>
            <w:r>
              <w:rPr>
                <w:color w:val="auto"/>
              </w:rPr>
              <w:t>2</w:t>
            </w:r>
            <w:r>
              <w:rPr>
                <w:rFonts w:hint="eastAsia"/>
                <w:color w:val="auto"/>
              </w:rPr>
              <w:t>天，每天昼夜各监测一次</w:t>
            </w:r>
          </w:p>
        </w:tc>
        <w:tc>
          <w:tcPr>
            <w:tcW w:w="1223" w:type="pct"/>
            <w:vMerge w:val="restart"/>
            <w:vAlign w:val="center"/>
          </w:tcPr>
          <w:p w14:paraId="6D857985">
            <w:pPr>
              <w:pStyle w:val="182"/>
              <w:rPr>
                <w:color w:val="auto"/>
              </w:rPr>
            </w:pPr>
            <w:r>
              <w:rPr>
                <w:rFonts w:hint="eastAsia"/>
                <w:color w:val="auto"/>
              </w:rPr>
              <w:t>《声环境质量标准》GB3096-2008附录B《声环境功能区监测方法》</w:t>
            </w:r>
          </w:p>
        </w:tc>
      </w:tr>
      <w:tr w14:paraId="7C370E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53" w:type="pct"/>
            <w:tcMar>
              <w:top w:w="57" w:type="dxa"/>
              <w:left w:w="0" w:type="dxa"/>
              <w:bottom w:w="57" w:type="dxa"/>
              <w:right w:w="0" w:type="dxa"/>
            </w:tcMar>
            <w:vAlign w:val="center"/>
          </w:tcPr>
          <w:p w14:paraId="2268B5B7">
            <w:pPr>
              <w:pStyle w:val="182"/>
              <w:rPr>
                <w:color w:val="auto"/>
              </w:rPr>
            </w:pPr>
            <w:r>
              <w:rPr>
                <w:rFonts w:hint="eastAsia"/>
                <w:color w:val="auto"/>
              </w:rPr>
              <w:t>南厂界</w:t>
            </w:r>
          </w:p>
        </w:tc>
        <w:tc>
          <w:tcPr>
            <w:tcW w:w="1189" w:type="pct"/>
            <w:vMerge w:val="continue"/>
            <w:vAlign w:val="center"/>
          </w:tcPr>
          <w:p w14:paraId="7997BB18">
            <w:pPr>
              <w:pStyle w:val="182"/>
              <w:rPr>
                <w:color w:val="auto"/>
              </w:rPr>
            </w:pPr>
          </w:p>
        </w:tc>
        <w:tc>
          <w:tcPr>
            <w:tcW w:w="1134" w:type="pct"/>
            <w:vMerge w:val="continue"/>
            <w:vAlign w:val="center"/>
          </w:tcPr>
          <w:p w14:paraId="466C7C28">
            <w:pPr>
              <w:pStyle w:val="182"/>
              <w:rPr>
                <w:color w:val="auto"/>
              </w:rPr>
            </w:pPr>
          </w:p>
        </w:tc>
        <w:tc>
          <w:tcPr>
            <w:tcW w:w="1223" w:type="pct"/>
            <w:vMerge w:val="continue"/>
            <w:vAlign w:val="center"/>
          </w:tcPr>
          <w:p w14:paraId="24532EB9">
            <w:pPr>
              <w:pStyle w:val="182"/>
              <w:rPr>
                <w:color w:val="auto"/>
              </w:rPr>
            </w:pPr>
          </w:p>
        </w:tc>
      </w:tr>
      <w:tr w14:paraId="43C6BE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53" w:type="pct"/>
            <w:tcMar>
              <w:top w:w="57" w:type="dxa"/>
              <w:left w:w="0" w:type="dxa"/>
              <w:bottom w:w="57" w:type="dxa"/>
              <w:right w:w="0" w:type="dxa"/>
            </w:tcMar>
            <w:vAlign w:val="center"/>
          </w:tcPr>
          <w:p w14:paraId="40C2972D">
            <w:pPr>
              <w:pStyle w:val="182"/>
              <w:rPr>
                <w:color w:val="auto"/>
              </w:rPr>
            </w:pPr>
            <w:r>
              <w:rPr>
                <w:rFonts w:hint="eastAsia"/>
                <w:color w:val="auto"/>
              </w:rPr>
              <w:t>西厂界</w:t>
            </w:r>
          </w:p>
        </w:tc>
        <w:tc>
          <w:tcPr>
            <w:tcW w:w="1189" w:type="pct"/>
            <w:vMerge w:val="continue"/>
            <w:vAlign w:val="center"/>
          </w:tcPr>
          <w:p w14:paraId="3BEEBCDA">
            <w:pPr>
              <w:pStyle w:val="182"/>
              <w:rPr>
                <w:color w:val="auto"/>
              </w:rPr>
            </w:pPr>
          </w:p>
        </w:tc>
        <w:tc>
          <w:tcPr>
            <w:tcW w:w="1134" w:type="pct"/>
            <w:vMerge w:val="continue"/>
            <w:vAlign w:val="center"/>
          </w:tcPr>
          <w:p w14:paraId="01A40DE2">
            <w:pPr>
              <w:pStyle w:val="182"/>
              <w:rPr>
                <w:color w:val="auto"/>
              </w:rPr>
            </w:pPr>
          </w:p>
        </w:tc>
        <w:tc>
          <w:tcPr>
            <w:tcW w:w="1223" w:type="pct"/>
            <w:vMerge w:val="continue"/>
            <w:vAlign w:val="center"/>
          </w:tcPr>
          <w:p w14:paraId="48802F8B">
            <w:pPr>
              <w:pStyle w:val="182"/>
              <w:rPr>
                <w:color w:val="auto"/>
              </w:rPr>
            </w:pPr>
          </w:p>
        </w:tc>
      </w:tr>
      <w:tr w14:paraId="113659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453" w:type="pct"/>
            <w:tcMar>
              <w:top w:w="57" w:type="dxa"/>
              <w:left w:w="0" w:type="dxa"/>
              <w:bottom w:w="57" w:type="dxa"/>
              <w:right w:w="0" w:type="dxa"/>
            </w:tcMar>
            <w:vAlign w:val="center"/>
          </w:tcPr>
          <w:p w14:paraId="352DB8F4">
            <w:pPr>
              <w:pStyle w:val="182"/>
              <w:rPr>
                <w:color w:val="auto"/>
              </w:rPr>
            </w:pPr>
            <w:r>
              <w:rPr>
                <w:rFonts w:hint="eastAsia"/>
                <w:color w:val="auto"/>
              </w:rPr>
              <w:t>北厂界</w:t>
            </w:r>
          </w:p>
        </w:tc>
        <w:tc>
          <w:tcPr>
            <w:tcW w:w="1189" w:type="pct"/>
            <w:vMerge w:val="continue"/>
            <w:vAlign w:val="center"/>
          </w:tcPr>
          <w:p w14:paraId="359E576D">
            <w:pPr>
              <w:pStyle w:val="182"/>
              <w:rPr>
                <w:color w:val="auto"/>
              </w:rPr>
            </w:pPr>
          </w:p>
        </w:tc>
        <w:tc>
          <w:tcPr>
            <w:tcW w:w="1134" w:type="pct"/>
            <w:vMerge w:val="continue"/>
            <w:vAlign w:val="center"/>
          </w:tcPr>
          <w:p w14:paraId="6A436A3F">
            <w:pPr>
              <w:pStyle w:val="182"/>
              <w:rPr>
                <w:color w:val="auto"/>
              </w:rPr>
            </w:pPr>
          </w:p>
        </w:tc>
        <w:tc>
          <w:tcPr>
            <w:tcW w:w="1223" w:type="pct"/>
            <w:vMerge w:val="continue"/>
            <w:vAlign w:val="center"/>
          </w:tcPr>
          <w:p w14:paraId="54C1CB45">
            <w:pPr>
              <w:pStyle w:val="182"/>
              <w:rPr>
                <w:color w:val="auto"/>
              </w:rPr>
            </w:pPr>
          </w:p>
        </w:tc>
      </w:tr>
    </w:tbl>
    <w:p w14:paraId="71E27666">
      <w:pPr>
        <w:pStyle w:val="6"/>
        <w:bidi w:val="0"/>
        <w:rPr>
          <w:color w:val="auto"/>
        </w:rPr>
      </w:pPr>
      <w:r>
        <w:rPr>
          <w:color w:val="auto"/>
        </w:rPr>
        <w:t>评价标准</w:t>
      </w:r>
    </w:p>
    <w:p w14:paraId="00D02D11">
      <w:pPr>
        <w:bidi w:val="0"/>
        <w:rPr>
          <w:color w:val="auto"/>
        </w:rPr>
      </w:pPr>
      <w:r>
        <w:rPr>
          <w:color w:val="auto"/>
        </w:rPr>
        <w:t>根据</w:t>
      </w:r>
      <w:r>
        <w:rPr>
          <w:rFonts w:hint="eastAsia"/>
          <w:color w:val="auto"/>
        </w:rPr>
        <w:t>新乡经济技术开发区声功能化划分（2022-2026）规划</w:t>
      </w:r>
      <w:r>
        <w:rPr>
          <w:rFonts w:hint="eastAsia"/>
          <w:color w:val="auto"/>
          <w:lang w:eastAsia="zh-CN"/>
        </w:rPr>
        <w:t>（</w:t>
      </w:r>
      <w:r>
        <w:rPr>
          <w:rFonts w:hint="eastAsia"/>
          <w:color w:val="auto"/>
          <w:lang w:val="en-US" w:eastAsia="zh-CN"/>
        </w:rPr>
        <w:t>见附图5</w:t>
      </w:r>
      <w:r>
        <w:rPr>
          <w:rFonts w:hint="eastAsia"/>
          <w:color w:val="auto"/>
          <w:lang w:eastAsia="zh-CN"/>
        </w:rPr>
        <w:t>）</w:t>
      </w:r>
      <w:r>
        <w:rPr>
          <w:color w:val="auto"/>
        </w:rPr>
        <w:t>，本次声环境质量现状评价标准执行《声环境质量标准》（GB3096-2008）3类标准，即昼间65dB(A)，夜间55dB(A)。</w:t>
      </w:r>
    </w:p>
    <w:p w14:paraId="4FFF8E43">
      <w:pPr>
        <w:pStyle w:val="6"/>
        <w:bidi w:val="0"/>
        <w:rPr>
          <w:color w:val="auto"/>
        </w:rPr>
      </w:pPr>
      <w:r>
        <w:rPr>
          <w:color w:val="auto"/>
        </w:rPr>
        <w:t>评价方法</w:t>
      </w:r>
    </w:p>
    <w:p w14:paraId="23D12619">
      <w:pPr>
        <w:bidi w:val="0"/>
        <w:rPr>
          <w:color w:val="auto"/>
        </w:rPr>
      </w:pPr>
      <w:r>
        <w:rPr>
          <w:color w:val="auto"/>
        </w:rPr>
        <w:t>根据噪声现状监测统计结果的等效声级，采用与评价标准直接比较的方法，对评价范围内的声环境现状进行评价。</w:t>
      </w:r>
    </w:p>
    <w:p w14:paraId="4ED569FC">
      <w:pPr>
        <w:pStyle w:val="6"/>
        <w:bidi w:val="0"/>
        <w:rPr>
          <w:color w:val="auto"/>
        </w:rPr>
      </w:pPr>
      <w:r>
        <w:rPr>
          <w:color w:val="auto"/>
        </w:rPr>
        <w:t>监测结果统计和评价结果</w:t>
      </w:r>
    </w:p>
    <w:p w14:paraId="2483344B">
      <w:pPr>
        <w:bidi w:val="0"/>
        <w:rPr>
          <w:color w:val="auto"/>
        </w:rPr>
      </w:pPr>
      <w:r>
        <w:rPr>
          <w:color w:val="auto"/>
        </w:rPr>
        <w:t>各监测点现状监测统计结果见</w:t>
      </w:r>
      <w:r>
        <w:rPr>
          <w:rFonts w:hint="eastAsia"/>
          <w:color w:val="auto"/>
          <w:lang w:val="en-US" w:eastAsia="zh-CN"/>
        </w:rPr>
        <w:t>下表</w:t>
      </w:r>
      <w:r>
        <w:rPr>
          <w:color w:val="auto"/>
        </w:rPr>
        <w:t>。</w:t>
      </w:r>
    </w:p>
    <w:p w14:paraId="697CC27A">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17</w:t>
      </w:r>
      <w:r>
        <w:fldChar w:fldCharType="end"/>
      </w:r>
      <w:r>
        <w:rPr>
          <w:rFonts w:hint="eastAsia"/>
          <w:lang w:val="en-US" w:eastAsia="zh-CN"/>
        </w:rPr>
        <w:t xml:space="preserve">  </w:t>
      </w:r>
      <w:r>
        <w:t>噪声监测结果</w:t>
      </w:r>
      <w:r>
        <w:rPr>
          <w:rFonts w:hint="eastAsia"/>
        </w:rPr>
        <w:t xml:space="preserve"> </w:t>
      </w:r>
      <w:r>
        <w:t xml:space="preserve">      单位：dB（A）</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621"/>
        <w:gridCol w:w="1904"/>
        <w:gridCol w:w="2411"/>
        <w:gridCol w:w="2586"/>
      </w:tblGrid>
      <w:tr w14:paraId="2CAE2F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restart"/>
            <w:vAlign w:val="center"/>
          </w:tcPr>
          <w:p w14:paraId="0A1975CF">
            <w:pPr>
              <w:snapToGrid w:val="0"/>
              <w:spacing w:line="360" w:lineRule="exact"/>
              <w:jc w:val="center"/>
              <w:rPr>
                <w:b/>
                <w:bCs/>
                <w:color w:val="auto"/>
                <w:sz w:val="21"/>
                <w:szCs w:val="21"/>
              </w:rPr>
            </w:pPr>
            <w:r>
              <w:rPr>
                <w:b/>
                <w:bCs/>
                <w:color w:val="auto"/>
                <w:sz w:val="21"/>
                <w:szCs w:val="21"/>
              </w:rPr>
              <w:t>采样时间</w:t>
            </w:r>
          </w:p>
        </w:tc>
        <w:tc>
          <w:tcPr>
            <w:tcW w:w="1117" w:type="pct"/>
            <w:vMerge w:val="restart"/>
            <w:vAlign w:val="center"/>
          </w:tcPr>
          <w:p w14:paraId="7B300DE3">
            <w:pPr>
              <w:snapToGrid w:val="0"/>
              <w:spacing w:line="360" w:lineRule="exact"/>
              <w:jc w:val="center"/>
              <w:rPr>
                <w:b/>
                <w:bCs/>
                <w:color w:val="auto"/>
                <w:sz w:val="21"/>
                <w:szCs w:val="21"/>
              </w:rPr>
            </w:pPr>
            <w:r>
              <w:rPr>
                <w:b/>
                <w:bCs/>
                <w:color w:val="auto"/>
                <w:sz w:val="21"/>
                <w:szCs w:val="21"/>
              </w:rPr>
              <w:t>采样点位</w:t>
            </w:r>
          </w:p>
        </w:tc>
        <w:tc>
          <w:tcPr>
            <w:tcW w:w="2931" w:type="pct"/>
            <w:gridSpan w:val="2"/>
            <w:vAlign w:val="center"/>
          </w:tcPr>
          <w:p w14:paraId="0024862F">
            <w:pPr>
              <w:snapToGrid w:val="0"/>
              <w:spacing w:line="360" w:lineRule="exact"/>
              <w:jc w:val="center"/>
              <w:rPr>
                <w:b/>
                <w:bCs/>
                <w:color w:val="auto"/>
                <w:sz w:val="21"/>
                <w:szCs w:val="21"/>
              </w:rPr>
            </w:pPr>
            <w:r>
              <w:rPr>
                <w:b/>
                <w:bCs/>
                <w:color w:val="auto"/>
                <w:sz w:val="21"/>
                <w:szCs w:val="21"/>
              </w:rPr>
              <w:t>监测结果Leq [dB（A）]</w:t>
            </w:r>
          </w:p>
        </w:tc>
      </w:tr>
      <w:tr w14:paraId="306FA1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14:paraId="12483F68">
            <w:pPr>
              <w:snapToGrid w:val="0"/>
              <w:spacing w:line="360" w:lineRule="exact"/>
              <w:jc w:val="center"/>
              <w:rPr>
                <w:b/>
                <w:bCs/>
                <w:color w:val="auto"/>
                <w:sz w:val="21"/>
                <w:szCs w:val="21"/>
              </w:rPr>
            </w:pPr>
          </w:p>
        </w:tc>
        <w:tc>
          <w:tcPr>
            <w:tcW w:w="1117" w:type="pct"/>
            <w:vMerge w:val="continue"/>
            <w:vAlign w:val="center"/>
          </w:tcPr>
          <w:p w14:paraId="78B61DA1">
            <w:pPr>
              <w:snapToGrid w:val="0"/>
              <w:spacing w:line="360" w:lineRule="exact"/>
              <w:jc w:val="center"/>
              <w:rPr>
                <w:b/>
                <w:bCs/>
                <w:color w:val="auto"/>
                <w:sz w:val="21"/>
                <w:szCs w:val="21"/>
              </w:rPr>
            </w:pPr>
          </w:p>
        </w:tc>
        <w:tc>
          <w:tcPr>
            <w:tcW w:w="1414" w:type="pct"/>
            <w:vAlign w:val="center"/>
          </w:tcPr>
          <w:p w14:paraId="052F9B55">
            <w:pPr>
              <w:snapToGrid w:val="0"/>
              <w:spacing w:line="360" w:lineRule="exact"/>
              <w:jc w:val="center"/>
              <w:rPr>
                <w:b/>
                <w:bCs/>
                <w:color w:val="auto"/>
                <w:sz w:val="21"/>
                <w:szCs w:val="21"/>
              </w:rPr>
            </w:pPr>
            <w:r>
              <w:rPr>
                <w:b/>
                <w:bCs/>
                <w:color w:val="auto"/>
                <w:sz w:val="21"/>
                <w:szCs w:val="21"/>
              </w:rPr>
              <w:t>昼间</w:t>
            </w:r>
          </w:p>
        </w:tc>
        <w:tc>
          <w:tcPr>
            <w:tcW w:w="1517" w:type="pct"/>
            <w:vAlign w:val="center"/>
          </w:tcPr>
          <w:p w14:paraId="67FA3AA1">
            <w:pPr>
              <w:snapToGrid w:val="0"/>
              <w:spacing w:line="360" w:lineRule="exact"/>
              <w:jc w:val="center"/>
              <w:rPr>
                <w:b/>
                <w:bCs/>
                <w:color w:val="auto"/>
                <w:sz w:val="21"/>
                <w:szCs w:val="21"/>
              </w:rPr>
            </w:pPr>
            <w:r>
              <w:rPr>
                <w:b/>
                <w:bCs/>
                <w:color w:val="auto"/>
                <w:sz w:val="21"/>
                <w:szCs w:val="21"/>
              </w:rPr>
              <w:t>夜间</w:t>
            </w:r>
          </w:p>
        </w:tc>
      </w:tr>
      <w:tr w14:paraId="3E42F9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restart"/>
            <w:vAlign w:val="center"/>
          </w:tcPr>
          <w:p w14:paraId="7C084F7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highlight w:val="none"/>
                <w:lang w:val="en-US" w:eastAsia="zh-CN"/>
              </w:rPr>
              <w:t>2024.04.07</w:t>
            </w:r>
          </w:p>
        </w:tc>
        <w:tc>
          <w:tcPr>
            <w:tcW w:w="1117" w:type="pct"/>
            <w:vAlign w:val="center"/>
          </w:tcPr>
          <w:p w14:paraId="153F865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东厂界</w:t>
            </w:r>
          </w:p>
        </w:tc>
        <w:tc>
          <w:tcPr>
            <w:tcW w:w="1414" w:type="pct"/>
            <w:vAlign w:val="center"/>
          </w:tcPr>
          <w:p w14:paraId="44F7129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53</w:t>
            </w:r>
          </w:p>
        </w:tc>
        <w:tc>
          <w:tcPr>
            <w:tcW w:w="1517" w:type="pct"/>
            <w:vAlign w:val="center"/>
          </w:tcPr>
          <w:p w14:paraId="6ED3283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45</w:t>
            </w:r>
          </w:p>
        </w:tc>
      </w:tr>
      <w:tr w14:paraId="250F52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14:paraId="7FFDC2E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p>
        </w:tc>
        <w:tc>
          <w:tcPr>
            <w:tcW w:w="1117" w:type="pct"/>
            <w:vAlign w:val="center"/>
          </w:tcPr>
          <w:p w14:paraId="5230946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南厂界</w:t>
            </w:r>
          </w:p>
        </w:tc>
        <w:tc>
          <w:tcPr>
            <w:tcW w:w="1414" w:type="pct"/>
            <w:vAlign w:val="center"/>
          </w:tcPr>
          <w:p w14:paraId="7F9E5D8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52</w:t>
            </w:r>
          </w:p>
        </w:tc>
        <w:tc>
          <w:tcPr>
            <w:tcW w:w="1517" w:type="pct"/>
            <w:vAlign w:val="center"/>
          </w:tcPr>
          <w:p w14:paraId="04832F3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44</w:t>
            </w:r>
          </w:p>
        </w:tc>
      </w:tr>
      <w:tr w14:paraId="503DD6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14:paraId="049BBA7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p>
        </w:tc>
        <w:tc>
          <w:tcPr>
            <w:tcW w:w="1117" w:type="pct"/>
            <w:vAlign w:val="center"/>
          </w:tcPr>
          <w:p w14:paraId="594FB5D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ascii="Times New Roman" w:hAnsi="Times New Roman" w:eastAsia="宋体" w:cs="Times New Roman"/>
                <w:color w:val="auto"/>
                <w:sz w:val="21"/>
                <w:szCs w:val="21"/>
                <w:lang w:val="en-US" w:eastAsia="zh-CN"/>
              </w:rPr>
              <w:t>西</w:t>
            </w:r>
            <w:r>
              <w:rPr>
                <w:rFonts w:hint="default" w:ascii="Times New Roman" w:hAnsi="Times New Roman" w:eastAsia="宋体" w:cs="Times New Roman"/>
                <w:color w:val="auto"/>
                <w:sz w:val="21"/>
                <w:szCs w:val="21"/>
                <w:lang w:val="en-US" w:eastAsia="zh-CN"/>
              </w:rPr>
              <w:t>厂界</w:t>
            </w:r>
          </w:p>
        </w:tc>
        <w:tc>
          <w:tcPr>
            <w:tcW w:w="1414" w:type="pct"/>
            <w:vAlign w:val="center"/>
          </w:tcPr>
          <w:p w14:paraId="34E8BEE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highlight w:val="none"/>
                <w:lang w:val="en-US" w:eastAsia="zh-CN"/>
              </w:rPr>
              <w:t>51</w:t>
            </w:r>
          </w:p>
        </w:tc>
        <w:tc>
          <w:tcPr>
            <w:tcW w:w="1517" w:type="pct"/>
            <w:vAlign w:val="center"/>
          </w:tcPr>
          <w:p w14:paraId="7671956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highlight w:val="none"/>
                <w:lang w:val="en-US" w:eastAsia="zh-CN"/>
              </w:rPr>
              <w:t>42</w:t>
            </w:r>
          </w:p>
        </w:tc>
      </w:tr>
      <w:tr w14:paraId="3C9CE7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14:paraId="709211D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p>
        </w:tc>
        <w:tc>
          <w:tcPr>
            <w:tcW w:w="1117" w:type="pct"/>
            <w:vAlign w:val="center"/>
          </w:tcPr>
          <w:p w14:paraId="3BA2C16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北厂界</w:t>
            </w:r>
          </w:p>
        </w:tc>
        <w:tc>
          <w:tcPr>
            <w:tcW w:w="1414" w:type="pct"/>
            <w:vAlign w:val="center"/>
          </w:tcPr>
          <w:p w14:paraId="2CE00A2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52</w:t>
            </w:r>
          </w:p>
        </w:tc>
        <w:tc>
          <w:tcPr>
            <w:tcW w:w="1517" w:type="pct"/>
            <w:vAlign w:val="center"/>
          </w:tcPr>
          <w:p w14:paraId="7C3027C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45</w:t>
            </w:r>
          </w:p>
        </w:tc>
      </w:tr>
      <w:tr w14:paraId="2430C4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restart"/>
            <w:vAlign w:val="center"/>
          </w:tcPr>
          <w:p w14:paraId="3995A32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highlight w:val="none"/>
                <w:lang w:val="en-US" w:eastAsia="zh-CN"/>
              </w:rPr>
              <w:t>2024.04.08</w:t>
            </w:r>
          </w:p>
        </w:tc>
        <w:tc>
          <w:tcPr>
            <w:tcW w:w="1117" w:type="pct"/>
            <w:vAlign w:val="center"/>
          </w:tcPr>
          <w:p w14:paraId="08A72D7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东厂界</w:t>
            </w:r>
          </w:p>
        </w:tc>
        <w:tc>
          <w:tcPr>
            <w:tcW w:w="1414" w:type="pct"/>
            <w:vAlign w:val="center"/>
          </w:tcPr>
          <w:p w14:paraId="16F6780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52</w:t>
            </w:r>
          </w:p>
        </w:tc>
        <w:tc>
          <w:tcPr>
            <w:tcW w:w="1517" w:type="pct"/>
            <w:vAlign w:val="center"/>
          </w:tcPr>
          <w:p w14:paraId="39EC438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43</w:t>
            </w:r>
          </w:p>
        </w:tc>
      </w:tr>
      <w:tr w14:paraId="7028B5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14:paraId="1FB029A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p>
        </w:tc>
        <w:tc>
          <w:tcPr>
            <w:tcW w:w="1117" w:type="pct"/>
            <w:vAlign w:val="center"/>
          </w:tcPr>
          <w:p w14:paraId="44A975D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南厂界</w:t>
            </w:r>
          </w:p>
        </w:tc>
        <w:tc>
          <w:tcPr>
            <w:tcW w:w="1414" w:type="pct"/>
            <w:vAlign w:val="center"/>
          </w:tcPr>
          <w:p w14:paraId="369431A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51</w:t>
            </w:r>
          </w:p>
        </w:tc>
        <w:tc>
          <w:tcPr>
            <w:tcW w:w="1517" w:type="pct"/>
            <w:vAlign w:val="center"/>
          </w:tcPr>
          <w:p w14:paraId="790B998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45</w:t>
            </w:r>
          </w:p>
        </w:tc>
      </w:tr>
      <w:tr w14:paraId="4FA90C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14:paraId="0E284B0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p>
        </w:tc>
        <w:tc>
          <w:tcPr>
            <w:tcW w:w="1117" w:type="pct"/>
            <w:vAlign w:val="center"/>
          </w:tcPr>
          <w:p w14:paraId="7842676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ascii="Times New Roman" w:hAnsi="Times New Roman" w:eastAsia="宋体" w:cs="Times New Roman"/>
                <w:color w:val="auto"/>
                <w:sz w:val="21"/>
                <w:szCs w:val="21"/>
                <w:lang w:val="en-US" w:eastAsia="zh-CN"/>
              </w:rPr>
              <w:t>西</w:t>
            </w:r>
            <w:r>
              <w:rPr>
                <w:rFonts w:hint="default" w:ascii="Times New Roman" w:hAnsi="Times New Roman" w:eastAsia="宋体" w:cs="Times New Roman"/>
                <w:color w:val="auto"/>
                <w:sz w:val="21"/>
                <w:szCs w:val="21"/>
                <w:lang w:val="en-US" w:eastAsia="zh-CN"/>
              </w:rPr>
              <w:t>厂界</w:t>
            </w:r>
          </w:p>
        </w:tc>
        <w:tc>
          <w:tcPr>
            <w:tcW w:w="1414" w:type="pct"/>
            <w:vAlign w:val="center"/>
          </w:tcPr>
          <w:p w14:paraId="457B11A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highlight w:val="none"/>
                <w:lang w:val="en-US" w:eastAsia="zh-CN"/>
              </w:rPr>
              <w:t>50</w:t>
            </w:r>
          </w:p>
        </w:tc>
        <w:tc>
          <w:tcPr>
            <w:tcW w:w="1517" w:type="pct"/>
            <w:vAlign w:val="center"/>
          </w:tcPr>
          <w:p w14:paraId="00A8855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highlight w:val="none"/>
                <w:lang w:val="en-US" w:eastAsia="zh-CN"/>
              </w:rPr>
              <w:t>43</w:t>
            </w:r>
          </w:p>
        </w:tc>
      </w:tr>
      <w:tr w14:paraId="781BEF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1" w:type="pct"/>
            <w:vMerge w:val="continue"/>
            <w:vAlign w:val="center"/>
          </w:tcPr>
          <w:p w14:paraId="3B97390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p>
        </w:tc>
        <w:tc>
          <w:tcPr>
            <w:tcW w:w="1117" w:type="pct"/>
            <w:vAlign w:val="center"/>
          </w:tcPr>
          <w:p w14:paraId="6258185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北厂界</w:t>
            </w:r>
          </w:p>
        </w:tc>
        <w:tc>
          <w:tcPr>
            <w:tcW w:w="1414" w:type="pct"/>
            <w:vAlign w:val="center"/>
          </w:tcPr>
          <w:p w14:paraId="420471F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51</w:t>
            </w:r>
          </w:p>
        </w:tc>
        <w:tc>
          <w:tcPr>
            <w:tcW w:w="1517" w:type="pct"/>
            <w:vAlign w:val="center"/>
          </w:tcPr>
          <w:p w14:paraId="51AA3F7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color w:val="auto"/>
                <w:sz w:val="21"/>
                <w:szCs w:val="21"/>
              </w:rPr>
            </w:pPr>
            <w:r>
              <w:rPr>
                <w:rFonts w:hint="eastAsia" w:cs="Times New Roman"/>
                <w:color w:val="auto"/>
                <w:sz w:val="21"/>
                <w:szCs w:val="21"/>
                <w:lang w:val="en-US" w:eastAsia="zh-CN"/>
              </w:rPr>
              <w:t>46</w:t>
            </w:r>
          </w:p>
        </w:tc>
      </w:tr>
      <w:tr w14:paraId="0E965B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5" w:type="dxa"/>
            <w:gridSpan w:val="2"/>
            <w:vAlign w:val="center"/>
          </w:tcPr>
          <w:p w14:paraId="169F6AE1">
            <w:pPr>
              <w:pStyle w:val="182"/>
              <w:ind w:firstLine="0" w:firstLineChars="0"/>
              <w:rPr>
                <w:rFonts w:hint="eastAsia" w:cs="Times New Roman"/>
                <w:color w:val="auto"/>
                <w:sz w:val="21"/>
                <w:szCs w:val="21"/>
                <w:lang w:val="en-US" w:eastAsia="zh-CN"/>
              </w:rPr>
            </w:pPr>
            <w:r>
              <w:rPr>
                <w:rFonts w:hint="eastAsia"/>
                <w:color w:val="auto"/>
              </w:rPr>
              <w:t>标准值</w:t>
            </w:r>
          </w:p>
        </w:tc>
        <w:tc>
          <w:tcPr>
            <w:tcW w:w="2411" w:type="dxa"/>
            <w:vAlign w:val="center"/>
          </w:tcPr>
          <w:p w14:paraId="587E0184">
            <w:pPr>
              <w:pStyle w:val="182"/>
              <w:ind w:firstLine="0" w:firstLineChars="0"/>
              <w:rPr>
                <w:rFonts w:hint="eastAsia" w:cs="Times New Roman"/>
                <w:color w:val="auto"/>
                <w:sz w:val="21"/>
                <w:szCs w:val="21"/>
                <w:lang w:val="en-US" w:eastAsia="zh-CN"/>
              </w:rPr>
            </w:pPr>
            <w:r>
              <w:rPr>
                <w:rFonts w:hint="eastAsia"/>
                <w:color w:val="auto"/>
              </w:rPr>
              <w:t>65</w:t>
            </w:r>
          </w:p>
        </w:tc>
        <w:tc>
          <w:tcPr>
            <w:tcW w:w="2586" w:type="dxa"/>
            <w:vAlign w:val="center"/>
          </w:tcPr>
          <w:p w14:paraId="314BDA5F">
            <w:pPr>
              <w:pStyle w:val="182"/>
              <w:ind w:firstLine="0" w:firstLineChars="0"/>
              <w:rPr>
                <w:rFonts w:hint="eastAsia" w:cs="Times New Roman"/>
                <w:color w:val="auto"/>
                <w:sz w:val="21"/>
                <w:szCs w:val="21"/>
                <w:lang w:val="en-US" w:eastAsia="zh-CN"/>
              </w:rPr>
            </w:pPr>
            <w:r>
              <w:rPr>
                <w:rFonts w:hint="eastAsia"/>
                <w:color w:val="auto"/>
              </w:rPr>
              <w:t>55</w:t>
            </w:r>
          </w:p>
        </w:tc>
      </w:tr>
    </w:tbl>
    <w:p w14:paraId="6765DC77">
      <w:pPr>
        <w:bidi w:val="0"/>
        <w:rPr>
          <w:color w:val="auto"/>
        </w:rPr>
      </w:pPr>
      <w:r>
        <w:rPr>
          <w:color w:val="auto"/>
        </w:rPr>
        <w:t>由监测结果可知：目前评价区域</w:t>
      </w:r>
      <w:r>
        <w:rPr>
          <w:rFonts w:hint="eastAsia"/>
          <w:color w:val="auto"/>
        </w:rPr>
        <w:t>厂界</w:t>
      </w:r>
      <w:r>
        <w:rPr>
          <w:color w:val="auto"/>
        </w:rPr>
        <w:t>噪声现状可以满足《声环境质量标准》（GB3096-2008）3类标准的要求</w:t>
      </w:r>
      <w:r>
        <w:rPr>
          <w:rFonts w:hint="eastAsia"/>
          <w:color w:val="auto"/>
        </w:rPr>
        <w:t>。</w:t>
      </w:r>
    </w:p>
    <w:p w14:paraId="078E76DB">
      <w:pPr>
        <w:pStyle w:val="5"/>
        <w:bidi w:val="0"/>
        <w:rPr>
          <w:color w:val="auto"/>
        </w:rPr>
      </w:pPr>
      <w:bookmarkStart w:id="237" w:name="_Toc535836888"/>
      <w:bookmarkStart w:id="238" w:name="_Toc428286813"/>
      <w:bookmarkStart w:id="239" w:name="_Toc429318397"/>
      <w:bookmarkStart w:id="240" w:name="_Toc428287207"/>
      <w:r>
        <w:rPr>
          <w:color w:val="auto"/>
        </w:rPr>
        <w:t>土壤环境质量现状监测与评价</w:t>
      </w:r>
    </w:p>
    <w:bookmarkEnd w:id="237"/>
    <w:p w14:paraId="36938D02">
      <w:pPr>
        <w:pStyle w:val="6"/>
        <w:bidi w:val="0"/>
        <w:rPr>
          <w:color w:val="auto"/>
        </w:rPr>
      </w:pPr>
      <w:r>
        <w:rPr>
          <w:color w:val="auto"/>
        </w:rPr>
        <w:t>监测布点及监测因子</w:t>
      </w:r>
    </w:p>
    <w:p w14:paraId="09630BE8">
      <w:pPr>
        <w:bidi w:val="0"/>
        <w:rPr>
          <w:color w:val="auto"/>
        </w:rPr>
      </w:pPr>
      <w:r>
        <w:rPr>
          <w:rFonts w:hint="eastAsia" w:ascii="Times New Roman" w:hAnsi="Times New Roman" w:cs="Times New Roman"/>
          <w:color w:val="auto"/>
        </w:rPr>
        <w:t>新乡化纤股份有限公司</w:t>
      </w:r>
      <w:r>
        <w:rPr>
          <w:rFonts w:ascii="Times New Roman" w:hAnsi="Times New Roman" w:cs="Times New Roman"/>
          <w:color w:val="auto"/>
        </w:rPr>
        <w:t>委托</w:t>
      </w:r>
      <w:r>
        <w:rPr>
          <w:rFonts w:hint="eastAsia" w:ascii="Times New Roman" w:hAnsi="Times New Roman" w:cs="Times New Roman"/>
          <w:color w:val="auto"/>
        </w:rPr>
        <w:t>洛阳市绿源环保技术有限公司</w:t>
      </w:r>
      <w:r>
        <w:rPr>
          <w:rFonts w:ascii="Times New Roman" w:hAnsi="Times New Roman" w:cs="Times New Roman"/>
          <w:color w:val="auto"/>
        </w:rPr>
        <w:t>202</w:t>
      </w:r>
      <w:r>
        <w:rPr>
          <w:rFonts w:hint="eastAsia" w:ascii="Times New Roman" w:hAnsi="Times New Roman" w:cs="Times New Roman"/>
          <w:color w:val="auto"/>
          <w:lang w:val="en-US" w:eastAsia="zh-CN"/>
        </w:rPr>
        <w:t>4</w:t>
      </w:r>
      <w:r>
        <w:rPr>
          <w:rFonts w:ascii="Times New Roman" w:hAnsi="Times New Roman" w:cs="Times New Roman"/>
          <w:color w:val="auto"/>
        </w:rPr>
        <w:t>年</w:t>
      </w:r>
      <w:r>
        <w:rPr>
          <w:rFonts w:hint="eastAsia" w:ascii="Times New Roman" w:hAnsi="Times New Roman" w:cs="Times New Roman"/>
          <w:color w:val="auto"/>
          <w:lang w:val="en-US" w:eastAsia="zh-CN"/>
        </w:rPr>
        <w:t>4</w:t>
      </w:r>
      <w:r>
        <w:rPr>
          <w:rFonts w:ascii="Times New Roman" w:hAnsi="Times New Roman" w:cs="Times New Roman"/>
          <w:color w:val="auto"/>
        </w:rPr>
        <w:t>月</w:t>
      </w:r>
      <w:r>
        <w:rPr>
          <w:rFonts w:hint="eastAsia" w:ascii="Times New Roman" w:hAnsi="Times New Roman" w:cs="Times New Roman"/>
          <w:color w:val="auto"/>
          <w:lang w:val="en-US" w:eastAsia="zh-CN"/>
        </w:rPr>
        <w:t>7</w:t>
      </w:r>
      <w:r>
        <w:rPr>
          <w:rFonts w:ascii="Times New Roman" w:hAnsi="Times New Roman" w:cs="Times New Roman"/>
          <w:color w:val="auto"/>
        </w:rPr>
        <w:t>日对项目区土壤进行了取样检测。考虑项目的评价等级、工程特点及区域土</w:t>
      </w:r>
      <w:r>
        <w:rPr>
          <w:color w:val="auto"/>
        </w:rPr>
        <w:t>壤环境现状，评价共设置3个监测</w:t>
      </w:r>
      <w:r>
        <w:rPr>
          <w:rFonts w:hint="eastAsia"/>
          <w:color w:val="auto"/>
        </w:rPr>
        <w:t>点</w:t>
      </w:r>
      <w:r>
        <w:rPr>
          <w:color w:val="auto"/>
        </w:rPr>
        <w:t>位，</w:t>
      </w:r>
      <w:r>
        <w:rPr>
          <w:rFonts w:hint="eastAsia"/>
          <w:color w:val="auto"/>
        </w:rPr>
        <w:t>均位于</w:t>
      </w:r>
      <w:r>
        <w:rPr>
          <w:color w:val="auto"/>
        </w:rPr>
        <w:t>项目厂区内，详见</w:t>
      </w:r>
      <w:r>
        <w:rPr>
          <w:rFonts w:hint="eastAsia"/>
          <w:color w:val="auto"/>
          <w:lang w:val="en-US" w:eastAsia="zh-CN"/>
        </w:rPr>
        <w:t>下表</w:t>
      </w:r>
      <w:r>
        <w:rPr>
          <w:color w:val="auto"/>
        </w:rPr>
        <w:t>。</w:t>
      </w:r>
    </w:p>
    <w:p w14:paraId="7DE2D72F">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18</w:t>
      </w:r>
      <w:r>
        <w:fldChar w:fldCharType="end"/>
      </w:r>
      <w:r>
        <w:rPr>
          <w:rFonts w:hint="eastAsia"/>
          <w:lang w:val="en-US" w:eastAsia="zh-CN"/>
        </w:rPr>
        <w:t xml:space="preserve"> </w:t>
      </w:r>
      <w:r>
        <w:t>土壤</w:t>
      </w:r>
      <w:r>
        <w:rPr>
          <w:rFonts w:hint="eastAsia"/>
        </w:rPr>
        <w:t>环境质量现状监测点位布设情况一览表</w:t>
      </w:r>
    </w:p>
    <w:tbl>
      <w:tblPr>
        <w:tblStyle w:val="31"/>
        <w:tblW w:w="513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426"/>
        <w:gridCol w:w="2447"/>
        <w:gridCol w:w="4698"/>
        <w:gridCol w:w="754"/>
      </w:tblGrid>
      <w:tr w14:paraId="276561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03" w:type="pct"/>
            <w:vAlign w:val="center"/>
          </w:tcPr>
          <w:p w14:paraId="1C0413FA">
            <w:pPr>
              <w:pStyle w:val="182"/>
              <w:bidi w:val="0"/>
              <w:rPr>
                <w:b/>
                <w:bCs/>
                <w:color w:val="auto"/>
              </w:rPr>
            </w:pPr>
            <w:r>
              <w:rPr>
                <w:rFonts w:hint="eastAsia"/>
                <w:b/>
                <w:bCs/>
                <w:color w:val="auto"/>
              </w:rPr>
              <w:t>序号</w:t>
            </w:r>
          </w:p>
        </w:tc>
        <w:tc>
          <w:tcPr>
            <w:tcW w:w="1088" w:type="pct"/>
            <w:gridSpan w:val="2"/>
            <w:vAlign w:val="center"/>
          </w:tcPr>
          <w:p w14:paraId="3DA5DE01">
            <w:pPr>
              <w:pStyle w:val="182"/>
              <w:bidi w:val="0"/>
              <w:rPr>
                <w:b/>
                <w:bCs/>
                <w:color w:val="auto"/>
              </w:rPr>
            </w:pPr>
            <w:r>
              <w:rPr>
                <w:rFonts w:hint="eastAsia"/>
                <w:b/>
                <w:bCs/>
                <w:color w:val="auto"/>
              </w:rPr>
              <w:t>监测点</w:t>
            </w:r>
          </w:p>
        </w:tc>
        <w:tc>
          <w:tcPr>
            <w:tcW w:w="2894" w:type="pct"/>
            <w:vAlign w:val="center"/>
          </w:tcPr>
          <w:p w14:paraId="09E223FA">
            <w:pPr>
              <w:pStyle w:val="182"/>
              <w:bidi w:val="0"/>
              <w:rPr>
                <w:b/>
                <w:bCs/>
                <w:color w:val="auto"/>
              </w:rPr>
            </w:pPr>
            <w:r>
              <w:rPr>
                <w:rFonts w:hint="eastAsia"/>
                <w:b/>
                <w:bCs/>
                <w:color w:val="auto"/>
              </w:rPr>
              <w:t>监测因子</w:t>
            </w:r>
          </w:p>
        </w:tc>
        <w:tc>
          <w:tcPr>
            <w:tcW w:w="615" w:type="pct"/>
            <w:vAlign w:val="center"/>
          </w:tcPr>
          <w:p w14:paraId="7B0B25C7">
            <w:pPr>
              <w:pStyle w:val="182"/>
              <w:bidi w:val="0"/>
              <w:rPr>
                <w:b/>
                <w:bCs/>
                <w:color w:val="auto"/>
              </w:rPr>
            </w:pPr>
            <w:r>
              <w:rPr>
                <w:rFonts w:hint="eastAsia"/>
                <w:b/>
                <w:bCs/>
                <w:color w:val="auto"/>
              </w:rPr>
              <w:t>检测频次</w:t>
            </w:r>
          </w:p>
        </w:tc>
      </w:tr>
      <w:tr w14:paraId="7502F4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03" w:type="pct"/>
            <w:vAlign w:val="center"/>
          </w:tcPr>
          <w:p w14:paraId="1C92B219">
            <w:pPr>
              <w:pStyle w:val="182"/>
              <w:bidi w:val="0"/>
              <w:rPr>
                <w:color w:val="auto"/>
              </w:rPr>
            </w:pPr>
            <w:r>
              <w:rPr>
                <w:color w:val="auto"/>
              </w:rPr>
              <w:t>1</w:t>
            </w:r>
          </w:p>
        </w:tc>
        <w:tc>
          <w:tcPr>
            <w:tcW w:w="221" w:type="pct"/>
            <w:vMerge w:val="restart"/>
            <w:vAlign w:val="center"/>
          </w:tcPr>
          <w:p w14:paraId="34B4E22E">
            <w:pPr>
              <w:pStyle w:val="182"/>
              <w:bidi w:val="0"/>
              <w:rPr>
                <w:color w:val="auto"/>
              </w:rPr>
            </w:pPr>
            <w:r>
              <w:rPr>
                <w:rFonts w:hint="eastAsia"/>
                <w:color w:val="auto"/>
              </w:rPr>
              <w:t>厂区内</w:t>
            </w:r>
          </w:p>
        </w:tc>
        <w:tc>
          <w:tcPr>
            <w:tcW w:w="1508" w:type="dxa"/>
            <w:vAlign w:val="center"/>
          </w:tcPr>
          <w:p w14:paraId="4525D72D">
            <w:pPr>
              <w:widowControl/>
              <w:spacing w:line="240" w:lineRule="auto"/>
              <w:jc w:val="center"/>
              <w:textAlignment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S1：拟建车间</w:t>
            </w:r>
            <w:r>
              <w:rPr>
                <w:rFonts w:hint="eastAsia" w:cs="Times New Roman"/>
                <w:color w:val="auto"/>
                <w:sz w:val="21"/>
                <w:szCs w:val="21"/>
                <w:highlight w:val="none"/>
                <w:lang w:val="en-US" w:eastAsia="zh-CN"/>
              </w:rPr>
              <w:t>DT溶剂</w:t>
            </w:r>
            <w:r>
              <w:rPr>
                <w:rFonts w:hint="default" w:cs="Times New Roman"/>
                <w:color w:val="auto"/>
                <w:sz w:val="21"/>
                <w:szCs w:val="21"/>
                <w:highlight w:val="none"/>
                <w:lang w:val="en-US" w:eastAsia="zh-CN"/>
              </w:rPr>
              <w:t>生产线位置（0-0.2m）</w:t>
            </w:r>
          </w:p>
          <w:p w14:paraId="4992921E">
            <w:pPr>
              <w:widowControl/>
              <w:spacing w:line="240" w:lineRule="auto"/>
              <w:ind w:firstLine="420" w:firstLineChars="200"/>
              <w:jc w:val="center"/>
              <w:textAlignment w:val="center"/>
              <w:rPr>
                <w:color w:val="auto"/>
              </w:rPr>
            </w:pPr>
            <w:r>
              <w:rPr>
                <w:rFonts w:hint="eastAsia" w:cs="Times New Roman"/>
                <w:color w:val="000000"/>
                <w:sz w:val="21"/>
                <w:szCs w:val="21"/>
                <w:highlight w:val="none"/>
                <w:lang w:val="en-US" w:eastAsia="zh-CN"/>
              </w:rPr>
              <w:t>(E:114.06158708</w:t>
            </w:r>
            <w:r>
              <w:rPr>
                <w:rFonts w:hint="default" w:ascii="Times New Roman" w:hAnsi="Times New Roman" w:cs="Times New Roman"/>
                <w:color w:val="000000"/>
                <w:sz w:val="21"/>
                <w:szCs w:val="21"/>
                <w:highlight w:val="none"/>
                <w:lang w:val="en-US" w:eastAsia="zh-CN"/>
              </w:rPr>
              <w:t>°</w:t>
            </w:r>
            <w:r>
              <w:rPr>
                <w:rFonts w:hint="eastAsia" w:cs="Times New Roman"/>
                <w:color w:val="000000"/>
                <w:sz w:val="21"/>
                <w:szCs w:val="21"/>
                <w:highlight w:val="none"/>
                <w:lang w:val="en-US" w:eastAsia="zh-CN"/>
              </w:rPr>
              <w:t>，N:35.27840713</w:t>
            </w:r>
            <w:r>
              <w:rPr>
                <w:rFonts w:hint="default" w:ascii="Times New Roman" w:hAnsi="Times New Roman" w:cs="Times New Roman"/>
                <w:color w:val="000000"/>
                <w:sz w:val="21"/>
                <w:szCs w:val="21"/>
                <w:highlight w:val="none"/>
                <w:lang w:val="en-US" w:eastAsia="zh-CN"/>
              </w:rPr>
              <w:t>°</w:t>
            </w:r>
            <w:r>
              <w:rPr>
                <w:rFonts w:hint="eastAsia" w:cs="Times New Roman"/>
                <w:color w:val="000000"/>
                <w:sz w:val="21"/>
                <w:szCs w:val="21"/>
                <w:highlight w:val="none"/>
                <w:lang w:val="en-US" w:eastAsia="zh-CN"/>
              </w:rPr>
              <w:t>)</w:t>
            </w:r>
          </w:p>
        </w:tc>
        <w:tc>
          <w:tcPr>
            <w:tcW w:w="2894" w:type="pct"/>
            <w:vMerge w:val="restart"/>
            <w:vAlign w:val="center"/>
          </w:tcPr>
          <w:p w14:paraId="77E40393">
            <w:pPr>
              <w:pStyle w:val="182"/>
              <w:bidi w:val="0"/>
              <w:rPr>
                <w:rFonts w:hint="eastAsia" w:eastAsia="宋体"/>
                <w:color w:val="auto"/>
                <w:lang w:val="en-US" w:eastAsia="zh-CN"/>
              </w:rPr>
            </w:pPr>
            <w:r>
              <w:rPr>
                <w:rFonts w:hint="eastAsia"/>
                <w:color w:val="auto"/>
              </w:rPr>
              <w:t>砷、镉、铬</w:t>
            </w:r>
            <w:r>
              <w:rPr>
                <w:rFonts w:hint="eastAsia"/>
                <w:color w:val="auto"/>
                <w:lang w:eastAsia="zh-CN"/>
              </w:rPr>
              <w:t>（</w:t>
            </w:r>
            <w:r>
              <w:rPr>
                <w:rFonts w:hint="eastAsia"/>
                <w:color w:val="auto"/>
              </w:rPr>
              <w:t>六价</w:t>
            </w:r>
            <w:r>
              <w:rPr>
                <w:rFonts w:hint="eastAsia"/>
                <w:color w:val="auto"/>
                <w:lang w:eastAsia="zh-CN"/>
              </w:rPr>
              <w:t>）</w:t>
            </w:r>
            <w:r>
              <w:rPr>
                <w:rFonts w:hint="eastAsia"/>
                <w:color w:val="auto"/>
              </w:rPr>
              <w:t>、铜、铅、汞、镍、四氯化碳、氯仿、氯甲烷、1,1</w:t>
            </w:r>
            <w:r>
              <w:rPr>
                <w:rFonts w:hint="eastAsia"/>
                <w:color w:val="auto"/>
                <w:lang w:eastAsia="zh-CN"/>
              </w:rPr>
              <w:t>－</w:t>
            </w:r>
            <w:r>
              <w:rPr>
                <w:rFonts w:hint="eastAsia"/>
                <w:color w:val="auto"/>
              </w:rPr>
              <w:t>二氯乙烷、1,2</w:t>
            </w:r>
            <w:r>
              <w:rPr>
                <w:rFonts w:hint="eastAsia"/>
                <w:color w:val="auto"/>
                <w:lang w:eastAsia="zh-CN"/>
              </w:rPr>
              <w:t>－</w:t>
            </w:r>
            <w:r>
              <w:rPr>
                <w:rFonts w:hint="eastAsia"/>
                <w:color w:val="auto"/>
              </w:rPr>
              <w:t>二氯乙烷、1,1</w:t>
            </w:r>
            <w:r>
              <w:rPr>
                <w:rFonts w:hint="eastAsia"/>
                <w:color w:val="auto"/>
                <w:lang w:eastAsia="zh-CN"/>
              </w:rPr>
              <w:t>－</w:t>
            </w:r>
            <w:r>
              <w:rPr>
                <w:rFonts w:hint="eastAsia"/>
                <w:color w:val="auto"/>
              </w:rPr>
              <w:t>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w:t>
            </w:r>
            <w:r>
              <w:rPr>
                <w:color w:val="auto"/>
              </w:rPr>
              <w:t>(k)</w:t>
            </w:r>
            <w:r>
              <w:rPr>
                <w:rFonts w:hint="eastAsia"/>
                <w:color w:val="auto"/>
              </w:rPr>
              <w:t>荧蒽、䓛、二苯并</w:t>
            </w:r>
            <w:r>
              <w:rPr>
                <w:color w:val="auto"/>
              </w:rPr>
              <w:t>(a,h)</w:t>
            </w:r>
            <w:r>
              <w:rPr>
                <w:rFonts w:hint="eastAsia"/>
                <w:color w:val="auto"/>
              </w:rPr>
              <w:t>蒽、茚并(1,2,3-cd)芘、萘</w:t>
            </w:r>
            <w:r>
              <w:rPr>
                <w:rFonts w:hint="eastAsia"/>
                <w:color w:val="auto"/>
                <w:lang w:eastAsia="zh-CN"/>
              </w:rPr>
              <w:t>、</w:t>
            </w:r>
            <w:r>
              <w:rPr>
                <w:rFonts w:hint="eastAsia"/>
                <w:b w:val="0"/>
                <w:bCs w:val="0"/>
                <w:color w:val="auto"/>
                <w:lang w:val="en-US" w:eastAsia="zh-CN"/>
              </w:rPr>
              <w:t>pH、石油烃</w:t>
            </w:r>
          </w:p>
        </w:tc>
        <w:tc>
          <w:tcPr>
            <w:tcW w:w="615" w:type="pct"/>
            <w:vMerge w:val="restart"/>
            <w:vAlign w:val="center"/>
          </w:tcPr>
          <w:p w14:paraId="49AC718D">
            <w:pPr>
              <w:pStyle w:val="182"/>
              <w:bidi w:val="0"/>
              <w:rPr>
                <w:color w:val="auto"/>
              </w:rPr>
            </w:pPr>
            <w:r>
              <w:rPr>
                <w:rFonts w:hint="eastAsia"/>
                <w:color w:val="auto"/>
              </w:rPr>
              <w:t>检测1次</w:t>
            </w:r>
          </w:p>
        </w:tc>
      </w:tr>
      <w:tr w14:paraId="3E71A5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03" w:type="pct"/>
            <w:vAlign w:val="center"/>
          </w:tcPr>
          <w:p w14:paraId="02DDB7E8">
            <w:pPr>
              <w:pStyle w:val="182"/>
              <w:bidi w:val="0"/>
              <w:rPr>
                <w:color w:val="auto"/>
              </w:rPr>
            </w:pPr>
            <w:r>
              <w:rPr>
                <w:rFonts w:hint="eastAsia"/>
                <w:color w:val="auto"/>
              </w:rPr>
              <w:t>2</w:t>
            </w:r>
          </w:p>
        </w:tc>
        <w:tc>
          <w:tcPr>
            <w:tcW w:w="221" w:type="pct"/>
            <w:vMerge w:val="continue"/>
            <w:vAlign w:val="center"/>
          </w:tcPr>
          <w:p w14:paraId="5030B7FA">
            <w:pPr>
              <w:pStyle w:val="182"/>
              <w:bidi w:val="0"/>
              <w:rPr>
                <w:color w:val="auto"/>
              </w:rPr>
            </w:pPr>
          </w:p>
        </w:tc>
        <w:tc>
          <w:tcPr>
            <w:tcW w:w="1508" w:type="dxa"/>
            <w:vAlign w:val="center"/>
          </w:tcPr>
          <w:p w14:paraId="0E3504E9">
            <w:pPr>
              <w:widowControl/>
              <w:spacing w:line="240" w:lineRule="auto"/>
              <w:jc w:val="center"/>
              <w:textAlignment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S2：拟建车间</w:t>
            </w:r>
            <w:r>
              <w:rPr>
                <w:rFonts w:hint="eastAsia" w:cs="Times New Roman"/>
                <w:color w:val="auto"/>
                <w:sz w:val="21"/>
                <w:szCs w:val="21"/>
                <w:highlight w:val="none"/>
                <w:lang w:val="en-US" w:eastAsia="zh-CN"/>
              </w:rPr>
              <w:t>DT溶剂</w:t>
            </w:r>
            <w:r>
              <w:rPr>
                <w:rFonts w:hint="default" w:cs="Times New Roman"/>
                <w:color w:val="auto"/>
                <w:sz w:val="21"/>
                <w:szCs w:val="21"/>
                <w:highlight w:val="none"/>
                <w:lang w:val="en-US" w:eastAsia="zh-CN"/>
              </w:rPr>
              <w:t>生产线位置（0-0.2m）</w:t>
            </w:r>
          </w:p>
          <w:p w14:paraId="5917C514">
            <w:pPr>
              <w:widowControl/>
              <w:spacing w:line="240" w:lineRule="auto"/>
              <w:ind w:firstLine="420" w:firstLineChars="200"/>
              <w:jc w:val="center"/>
              <w:textAlignment w:val="center"/>
              <w:rPr>
                <w:color w:val="auto"/>
              </w:rPr>
            </w:pPr>
            <w:r>
              <w:rPr>
                <w:rFonts w:hint="eastAsia" w:cs="Times New Roman"/>
                <w:color w:val="000000"/>
                <w:sz w:val="21"/>
                <w:szCs w:val="21"/>
                <w:highlight w:val="none"/>
                <w:lang w:val="en-US" w:eastAsia="zh-CN"/>
              </w:rPr>
              <w:t>(E:114.06107294</w:t>
            </w:r>
            <w:r>
              <w:rPr>
                <w:rFonts w:hint="default" w:ascii="Times New Roman" w:hAnsi="Times New Roman" w:cs="Times New Roman"/>
                <w:color w:val="000000"/>
                <w:sz w:val="21"/>
                <w:szCs w:val="21"/>
                <w:highlight w:val="none"/>
                <w:lang w:val="en-US" w:eastAsia="zh-CN"/>
              </w:rPr>
              <w:t>°</w:t>
            </w:r>
            <w:r>
              <w:rPr>
                <w:rFonts w:hint="eastAsia" w:ascii="Times New Roman" w:hAnsi="Times New Roman" w:cs="Times New Roman"/>
                <w:color w:val="000000"/>
                <w:sz w:val="21"/>
                <w:szCs w:val="21"/>
                <w:highlight w:val="none"/>
                <w:lang w:val="en-US" w:eastAsia="zh-CN"/>
              </w:rPr>
              <w:t>，</w:t>
            </w:r>
            <w:r>
              <w:rPr>
                <w:rFonts w:hint="eastAsia" w:cs="Times New Roman"/>
                <w:color w:val="000000"/>
                <w:sz w:val="21"/>
                <w:szCs w:val="21"/>
                <w:highlight w:val="none"/>
                <w:lang w:val="en-US" w:eastAsia="zh-CN"/>
              </w:rPr>
              <w:t>N:35.27853412</w:t>
            </w:r>
            <w:r>
              <w:rPr>
                <w:rFonts w:hint="default" w:ascii="Times New Roman" w:hAnsi="Times New Roman" w:cs="Times New Roman"/>
                <w:color w:val="000000"/>
                <w:sz w:val="21"/>
                <w:szCs w:val="21"/>
                <w:highlight w:val="none"/>
                <w:lang w:val="en-US" w:eastAsia="zh-CN"/>
              </w:rPr>
              <w:t>°</w:t>
            </w:r>
            <w:r>
              <w:rPr>
                <w:rFonts w:hint="eastAsia" w:cs="Times New Roman"/>
                <w:color w:val="000000"/>
                <w:sz w:val="21"/>
                <w:szCs w:val="21"/>
                <w:highlight w:val="none"/>
                <w:lang w:val="en-US" w:eastAsia="zh-CN"/>
              </w:rPr>
              <w:t>)</w:t>
            </w:r>
          </w:p>
        </w:tc>
        <w:tc>
          <w:tcPr>
            <w:tcW w:w="2894" w:type="pct"/>
            <w:vMerge w:val="continue"/>
            <w:vAlign w:val="center"/>
          </w:tcPr>
          <w:p w14:paraId="043DC98E">
            <w:pPr>
              <w:pStyle w:val="182"/>
              <w:bidi w:val="0"/>
              <w:rPr>
                <w:color w:val="auto"/>
              </w:rPr>
            </w:pPr>
          </w:p>
        </w:tc>
        <w:tc>
          <w:tcPr>
            <w:tcW w:w="615" w:type="pct"/>
            <w:vMerge w:val="continue"/>
            <w:vAlign w:val="center"/>
          </w:tcPr>
          <w:p w14:paraId="47F91969">
            <w:pPr>
              <w:pStyle w:val="182"/>
              <w:bidi w:val="0"/>
              <w:rPr>
                <w:color w:val="auto"/>
              </w:rPr>
            </w:pPr>
          </w:p>
        </w:tc>
      </w:tr>
      <w:tr w14:paraId="379C10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03" w:type="pct"/>
            <w:vAlign w:val="center"/>
          </w:tcPr>
          <w:p w14:paraId="4D5B1E8E">
            <w:pPr>
              <w:pStyle w:val="182"/>
              <w:bidi w:val="0"/>
              <w:rPr>
                <w:color w:val="auto"/>
              </w:rPr>
            </w:pPr>
            <w:r>
              <w:rPr>
                <w:rFonts w:hint="eastAsia"/>
                <w:color w:val="auto"/>
              </w:rPr>
              <w:t>3</w:t>
            </w:r>
          </w:p>
        </w:tc>
        <w:tc>
          <w:tcPr>
            <w:tcW w:w="221" w:type="pct"/>
            <w:vMerge w:val="continue"/>
            <w:vAlign w:val="center"/>
          </w:tcPr>
          <w:p w14:paraId="4D3F1F56">
            <w:pPr>
              <w:pStyle w:val="182"/>
              <w:bidi w:val="0"/>
              <w:rPr>
                <w:color w:val="auto"/>
              </w:rPr>
            </w:pPr>
          </w:p>
        </w:tc>
        <w:tc>
          <w:tcPr>
            <w:tcW w:w="1508" w:type="dxa"/>
            <w:vAlign w:val="center"/>
          </w:tcPr>
          <w:p w14:paraId="5156A07F">
            <w:pPr>
              <w:widowControl/>
              <w:spacing w:line="240" w:lineRule="auto"/>
              <w:jc w:val="center"/>
              <w:textAlignment w:val="center"/>
              <w:rPr>
                <w:rFonts w:hint="default" w:cs="Times New Roman"/>
                <w:color w:val="auto"/>
                <w:sz w:val="21"/>
                <w:szCs w:val="21"/>
                <w:highlight w:val="none"/>
                <w:lang w:val="en-US" w:eastAsia="zh-CN"/>
              </w:rPr>
            </w:pPr>
            <w:r>
              <w:rPr>
                <w:rFonts w:hint="default" w:cs="Times New Roman"/>
                <w:color w:val="auto"/>
                <w:sz w:val="21"/>
                <w:szCs w:val="21"/>
                <w:highlight w:val="none"/>
                <w:lang w:val="en-US" w:eastAsia="zh-CN"/>
              </w:rPr>
              <w:t>S3：拟建车间</w:t>
            </w:r>
            <w:r>
              <w:rPr>
                <w:rFonts w:hint="eastAsia" w:cs="Times New Roman"/>
                <w:color w:val="auto"/>
                <w:sz w:val="21"/>
                <w:szCs w:val="21"/>
                <w:highlight w:val="none"/>
                <w:lang w:val="en-US" w:eastAsia="zh-CN"/>
              </w:rPr>
              <w:t>DT溶剂</w:t>
            </w:r>
            <w:r>
              <w:rPr>
                <w:rFonts w:hint="default" w:cs="Times New Roman"/>
                <w:color w:val="auto"/>
                <w:sz w:val="21"/>
                <w:szCs w:val="21"/>
                <w:highlight w:val="none"/>
                <w:lang w:val="en-US" w:eastAsia="zh-CN"/>
              </w:rPr>
              <w:t>生产线位置（0-0.2m）</w:t>
            </w:r>
          </w:p>
          <w:p w14:paraId="2A0A7882">
            <w:pPr>
              <w:widowControl/>
              <w:spacing w:line="240" w:lineRule="auto"/>
              <w:ind w:firstLine="420" w:firstLineChars="200"/>
              <w:jc w:val="center"/>
              <w:textAlignment w:val="center"/>
              <w:rPr>
                <w:color w:val="auto"/>
              </w:rPr>
            </w:pPr>
            <w:r>
              <w:rPr>
                <w:rFonts w:hint="eastAsia" w:cs="Times New Roman"/>
                <w:color w:val="000000"/>
                <w:sz w:val="21"/>
                <w:szCs w:val="21"/>
                <w:highlight w:val="none"/>
                <w:lang w:val="en-US" w:eastAsia="zh-CN"/>
              </w:rPr>
              <w:t>(E:114.06080015</w:t>
            </w:r>
            <w:r>
              <w:rPr>
                <w:rFonts w:hint="default" w:ascii="Times New Roman" w:hAnsi="Times New Roman" w:cs="Times New Roman"/>
                <w:color w:val="000000"/>
                <w:sz w:val="21"/>
                <w:szCs w:val="21"/>
                <w:highlight w:val="none"/>
                <w:lang w:val="en-US" w:eastAsia="zh-CN"/>
              </w:rPr>
              <w:t>°</w:t>
            </w:r>
            <w:r>
              <w:rPr>
                <w:rFonts w:hint="eastAsia" w:ascii="Times New Roman" w:hAnsi="Times New Roman" w:cs="Times New Roman"/>
                <w:color w:val="000000"/>
                <w:sz w:val="21"/>
                <w:szCs w:val="21"/>
                <w:highlight w:val="none"/>
                <w:lang w:val="en-US" w:eastAsia="zh-CN"/>
              </w:rPr>
              <w:t>，</w:t>
            </w:r>
            <w:r>
              <w:rPr>
                <w:rFonts w:hint="eastAsia" w:cs="Times New Roman"/>
                <w:color w:val="000000"/>
                <w:sz w:val="21"/>
                <w:szCs w:val="21"/>
                <w:highlight w:val="none"/>
                <w:lang w:val="en-US" w:eastAsia="zh-CN"/>
              </w:rPr>
              <w:t>N:35.27843135</w:t>
            </w:r>
            <w:r>
              <w:rPr>
                <w:rFonts w:hint="default" w:ascii="Times New Roman" w:hAnsi="Times New Roman" w:cs="Times New Roman"/>
                <w:color w:val="000000"/>
                <w:sz w:val="21"/>
                <w:szCs w:val="21"/>
                <w:highlight w:val="none"/>
                <w:lang w:val="en-US" w:eastAsia="zh-CN"/>
              </w:rPr>
              <w:t>°</w:t>
            </w:r>
            <w:r>
              <w:rPr>
                <w:rFonts w:hint="eastAsia" w:cs="Times New Roman"/>
                <w:color w:val="000000"/>
                <w:sz w:val="21"/>
                <w:szCs w:val="21"/>
                <w:highlight w:val="none"/>
                <w:lang w:val="en-US" w:eastAsia="zh-CN"/>
              </w:rPr>
              <w:t>)</w:t>
            </w:r>
          </w:p>
        </w:tc>
        <w:tc>
          <w:tcPr>
            <w:tcW w:w="2894" w:type="pct"/>
            <w:vMerge w:val="continue"/>
            <w:vAlign w:val="center"/>
          </w:tcPr>
          <w:p w14:paraId="7008427A">
            <w:pPr>
              <w:pStyle w:val="182"/>
              <w:bidi w:val="0"/>
              <w:rPr>
                <w:color w:val="auto"/>
              </w:rPr>
            </w:pPr>
          </w:p>
        </w:tc>
        <w:tc>
          <w:tcPr>
            <w:tcW w:w="615" w:type="pct"/>
            <w:vMerge w:val="continue"/>
            <w:vAlign w:val="center"/>
          </w:tcPr>
          <w:p w14:paraId="580E262F">
            <w:pPr>
              <w:pStyle w:val="182"/>
              <w:bidi w:val="0"/>
              <w:rPr>
                <w:color w:val="auto"/>
              </w:rPr>
            </w:pPr>
          </w:p>
        </w:tc>
      </w:tr>
    </w:tbl>
    <w:p w14:paraId="6059420D">
      <w:pPr>
        <w:pStyle w:val="6"/>
        <w:bidi w:val="0"/>
        <w:rPr>
          <w:color w:val="auto"/>
        </w:rPr>
      </w:pPr>
      <w:r>
        <w:rPr>
          <w:color w:val="auto"/>
        </w:rPr>
        <w:t>评价标准</w:t>
      </w:r>
    </w:p>
    <w:p w14:paraId="3211291E">
      <w:pPr>
        <w:bidi w:val="0"/>
        <w:rPr>
          <w:color w:val="auto"/>
        </w:rPr>
      </w:pPr>
      <w:r>
        <w:rPr>
          <w:color w:val="auto"/>
        </w:rPr>
        <w:t>根据相关要求，项目厂区内土壤执行《土壤环境质量建设用地土壤污染风险管控标准（试行）》（GB36600-2018）建设用地第二类用地风险筛选值。</w:t>
      </w:r>
      <w:r>
        <w:rPr>
          <w:rFonts w:hint="eastAsia"/>
          <w:color w:val="auto"/>
        </w:rPr>
        <w:t>具体见</w:t>
      </w:r>
      <w:r>
        <w:rPr>
          <w:rFonts w:hint="eastAsia"/>
          <w:color w:val="auto"/>
          <w:lang w:val="en-US" w:eastAsia="zh-CN"/>
        </w:rPr>
        <w:t>下表</w:t>
      </w:r>
      <w:r>
        <w:rPr>
          <w:rFonts w:hint="eastAsia"/>
          <w:color w:val="auto"/>
        </w:rPr>
        <w:t>。</w:t>
      </w:r>
    </w:p>
    <w:p w14:paraId="244936D5">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19</w:t>
      </w:r>
      <w:r>
        <w:fldChar w:fldCharType="end"/>
      </w:r>
      <w:r>
        <w:rPr>
          <w:rFonts w:hint="eastAsia"/>
          <w:lang w:val="en-US" w:eastAsia="zh-CN"/>
        </w:rPr>
        <w:t xml:space="preserve"> </w:t>
      </w:r>
      <w:r>
        <w:rPr>
          <w:rFonts w:hint="eastAsia"/>
        </w:rPr>
        <w:t>建设用地土壤污染风险筛选值和管控值（单位：mg/kg）</w:t>
      </w:r>
    </w:p>
    <w:tbl>
      <w:tblPr>
        <w:tblStyle w:val="31"/>
        <w:tblW w:w="4998" w:type="pct"/>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57" w:type="dxa"/>
          <w:bottom w:w="0" w:type="dxa"/>
          <w:right w:w="57" w:type="dxa"/>
        </w:tblCellMar>
      </w:tblPr>
      <w:tblGrid>
        <w:gridCol w:w="434"/>
        <w:gridCol w:w="1963"/>
        <w:gridCol w:w="1752"/>
        <w:gridCol w:w="1059"/>
        <w:gridCol w:w="1059"/>
        <w:gridCol w:w="1059"/>
        <w:gridCol w:w="1091"/>
      </w:tblGrid>
      <w:tr w14:paraId="2DAB0FD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tblHeader/>
          <w:jc w:val="center"/>
        </w:trPr>
        <w:tc>
          <w:tcPr>
            <w:tcW w:w="258" w:type="pct"/>
            <w:vMerge w:val="restart"/>
            <w:vAlign w:val="center"/>
          </w:tcPr>
          <w:p w14:paraId="60CD89D3">
            <w:pPr>
              <w:pStyle w:val="182"/>
              <w:bidi w:val="0"/>
              <w:rPr>
                <w:b/>
                <w:bCs/>
                <w:color w:val="auto"/>
              </w:rPr>
            </w:pPr>
            <w:r>
              <w:rPr>
                <w:b/>
                <w:bCs/>
                <w:color w:val="auto"/>
              </w:rPr>
              <w:t>序号</w:t>
            </w:r>
          </w:p>
        </w:tc>
        <w:tc>
          <w:tcPr>
            <w:tcW w:w="1166" w:type="pct"/>
            <w:vMerge w:val="restart"/>
            <w:vAlign w:val="center"/>
          </w:tcPr>
          <w:p w14:paraId="0DB1FFD0">
            <w:pPr>
              <w:pStyle w:val="182"/>
              <w:bidi w:val="0"/>
              <w:rPr>
                <w:b/>
                <w:bCs/>
                <w:color w:val="auto"/>
              </w:rPr>
            </w:pPr>
            <w:r>
              <w:rPr>
                <w:b/>
                <w:bCs/>
                <w:color w:val="auto"/>
              </w:rPr>
              <w:t>污染物项目</w:t>
            </w:r>
          </w:p>
        </w:tc>
        <w:tc>
          <w:tcPr>
            <w:tcW w:w="1041" w:type="pct"/>
            <w:vMerge w:val="restart"/>
            <w:vAlign w:val="center"/>
          </w:tcPr>
          <w:p w14:paraId="2ACF00C7">
            <w:pPr>
              <w:pStyle w:val="182"/>
              <w:bidi w:val="0"/>
              <w:rPr>
                <w:b/>
                <w:bCs/>
                <w:color w:val="auto"/>
              </w:rPr>
            </w:pPr>
            <w:r>
              <w:rPr>
                <w:b/>
                <w:bCs/>
                <w:color w:val="auto"/>
              </w:rPr>
              <w:t>CAS编号</w:t>
            </w:r>
          </w:p>
        </w:tc>
        <w:tc>
          <w:tcPr>
            <w:tcW w:w="1258" w:type="pct"/>
            <w:gridSpan w:val="2"/>
            <w:vAlign w:val="center"/>
          </w:tcPr>
          <w:p w14:paraId="6E1985F6">
            <w:pPr>
              <w:pStyle w:val="182"/>
              <w:bidi w:val="0"/>
              <w:rPr>
                <w:b/>
                <w:bCs/>
                <w:color w:val="auto"/>
              </w:rPr>
            </w:pPr>
            <w:r>
              <w:rPr>
                <w:b/>
                <w:bCs/>
                <w:color w:val="auto"/>
              </w:rPr>
              <w:t>筛选值</w:t>
            </w:r>
          </w:p>
        </w:tc>
        <w:tc>
          <w:tcPr>
            <w:tcW w:w="1274" w:type="pct"/>
            <w:gridSpan w:val="2"/>
            <w:vAlign w:val="center"/>
          </w:tcPr>
          <w:p w14:paraId="7CD3C317">
            <w:pPr>
              <w:pStyle w:val="182"/>
              <w:bidi w:val="0"/>
              <w:rPr>
                <w:b/>
                <w:bCs/>
                <w:color w:val="auto"/>
              </w:rPr>
            </w:pPr>
            <w:r>
              <w:rPr>
                <w:b/>
                <w:bCs/>
                <w:color w:val="auto"/>
              </w:rPr>
              <w:t>管制值</w:t>
            </w:r>
          </w:p>
        </w:tc>
      </w:tr>
      <w:tr w14:paraId="19DDD6D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tblHeader/>
          <w:jc w:val="center"/>
        </w:trPr>
        <w:tc>
          <w:tcPr>
            <w:tcW w:w="258" w:type="pct"/>
            <w:vMerge w:val="continue"/>
            <w:vAlign w:val="center"/>
          </w:tcPr>
          <w:p w14:paraId="01C7AAC0">
            <w:pPr>
              <w:pStyle w:val="182"/>
              <w:bidi w:val="0"/>
              <w:rPr>
                <w:b/>
                <w:bCs/>
                <w:color w:val="auto"/>
              </w:rPr>
            </w:pPr>
          </w:p>
        </w:tc>
        <w:tc>
          <w:tcPr>
            <w:tcW w:w="1166" w:type="pct"/>
            <w:vMerge w:val="continue"/>
            <w:vAlign w:val="center"/>
          </w:tcPr>
          <w:p w14:paraId="4955C692">
            <w:pPr>
              <w:pStyle w:val="182"/>
              <w:bidi w:val="0"/>
              <w:rPr>
                <w:b/>
                <w:bCs/>
                <w:color w:val="auto"/>
              </w:rPr>
            </w:pPr>
          </w:p>
        </w:tc>
        <w:tc>
          <w:tcPr>
            <w:tcW w:w="1041" w:type="pct"/>
            <w:vMerge w:val="continue"/>
            <w:vAlign w:val="center"/>
          </w:tcPr>
          <w:p w14:paraId="35DA98ED">
            <w:pPr>
              <w:pStyle w:val="182"/>
              <w:bidi w:val="0"/>
              <w:rPr>
                <w:b/>
                <w:bCs/>
                <w:color w:val="auto"/>
              </w:rPr>
            </w:pPr>
          </w:p>
        </w:tc>
        <w:tc>
          <w:tcPr>
            <w:tcW w:w="629" w:type="pct"/>
            <w:vAlign w:val="center"/>
          </w:tcPr>
          <w:p w14:paraId="2E7B08C5">
            <w:pPr>
              <w:pStyle w:val="182"/>
              <w:bidi w:val="0"/>
              <w:rPr>
                <w:b/>
                <w:bCs/>
                <w:color w:val="auto"/>
              </w:rPr>
            </w:pPr>
            <w:r>
              <w:rPr>
                <w:b/>
                <w:bCs/>
                <w:color w:val="auto"/>
              </w:rPr>
              <w:t>第一类用地</w:t>
            </w:r>
          </w:p>
        </w:tc>
        <w:tc>
          <w:tcPr>
            <w:tcW w:w="629" w:type="pct"/>
            <w:vAlign w:val="center"/>
          </w:tcPr>
          <w:p w14:paraId="4BE2D7F5">
            <w:pPr>
              <w:pStyle w:val="182"/>
              <w:bidi w:val="0"/>
              <w:rPr>
                <w:b/>
                <w:bCs/>
                <w:color w:val="auto"/>
              </w:rPr>
            </w:pPr>
            <w:r>
              <w:rPr>
                <w:b/>
                <w:bCs/>
                <w:color w:val="auto"/>
              </w:rPr>
              <w:t>第二类用地</w:t>
            </w:r>
          </w:p>
        </w:tc>
        <w:tc>
          <w:tcPr>
            <w:tcW w:w="629" w:type="pct"/>
            <w:vAlign w:val="center"/>
          </w:tcPr>
          <w:p w14:paraId="44076DC0">
            <w:pPr>
              <w:pStyle w:val="182"/>
              <w:bidi w:val="0"/>
              <w:rPr>
                <w:b/>
                <w:bCs/>
                <w:color w:val="auto"/>
              </w:rPr>
            </w:pPr>
            <w:r>
              <w:rPr>
                <w:b/>
                <w:bCs/>
                <w:color w:val="auto"/>
              </w:rPr>
              <w:t>第一类用地</w:t>
            </w:r>
          </w:p>
        </w:tc>
        <w:tc>
          <w:tcPr>
            <w:tcW w:w="645" w:type="pct"/>
            <w:vAlign w:val="center"/>
          </w:tcPr>
          <w:p w14:paraId="3FAA62EE">
            <w:pPr>
              <w:pStyle w:val="182"/>
              <w:bidi w:val="0"/>
              <w:rPr>
                <w:b/>
                <w:bCs/>
                <w:color w:val="auto"/>
              </w:rPr>
            </w:pPr>
            <w:r>
              <w:rPr>
                <w:b/>
                <w:bCs/>
                <w:color w:val="auto"/>
              </w:rPr>
              <w:t>第二类用地</w:t>
            </w:r>
          </w:p>
        </w:tc>
      </w:tr>
      <w:tr w14:paraId="0AE69DB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000" w:type="pct"/>
            <w:gridSpan w:val="7"/>
            <w:vAlign w:val="center"/>
          </w:tcPr>
          <w:p w14:paraId="2765FBE0">
            <w:pPr>
              <w:pStyle w:val="182"/>
              <w:bidi w:val="0"/>
              <w:rPr>
                <w:color w:val="auto"/>
              </w:rPr>
            </w:pPr>
            <w:r>
              <w:rPr>
                <w:color w:val="auto"/>
              </w:rPr>
              <w:t>重金属和无机物</w:t>
            </w:r>
          </w:p>
        </w:tc>
      </w:tr>
      <w:tr w14:paraId="0091DB2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49CB3253">
            <w:pPr>
              <w:pStyle w:val="182"/>
              <w:bidi w:val="0"/>
              <w:rPr>
                <w:color w:val="auto"/>
              </w:rPr>
            </w:pPr>
            <w:r>
              <w:rPr>
                <w:color w:val="auto"/>
              </w:rPr>
              <w:t>1</w:t>
            </w:r>
          </w:p>
        </w:tc>
        <w:tc>
          <w:tcPr>
            <w:tcW w:w="1166" w:type="pct"/>
            <w:vAlign w:val="center"/>
          </w:tcPr>
          <w:p w14:paraId="2DF2D4F6">
            <w:pPr>
              <w:pStyle w:val="182"/>
              <w:bidi w:val="0"/>
              <w:rPr>
                <w:color w:val="auto"/>
              </w:rPr>
            </w:pPr>
            <w:r>
              <w:rPr>
                <w:color w:val="auto"/>
              </w:rPr>
              <w:t>砷</w:t>
            </w:r>
          </w:p>
        </w:tc>
        <w:tc>
          <w:tcPr>
            <w:tcW w:w="1041" w:type="pct"/>
            <w:vAlign w:val="center"/>
          </w:tcPr>
          <w:p w14:paraId="03B1DD98">
            <w:pPr>
              <w:pStyle w:val="182"/>
              <w:bidi w:val="0"/>
              <w:rPr>
                <w:color w:val="auto"/>
              </w:rPr>
            </w:pPr>
            <w:r>
              <w:rPr>
                <w:color w:val="auto"/>
              </w:rPr>
              <w:t>7440-38-2</w:t>
            </w:r>
          </w:p>
        </w:tc>
        <w:tc>
          <w:tcPr>
            <w:tcW w:w="629" w:type="pct"/>
            <w:vAlign w:val="center"/>
          </w:tcPr>
          <w:p w14:paraId="11C2717D">
            <w:pPr>
              <w:pStyle w:val="182"/>
              <w:bidi w:val="0"/>
              <w:rPr>
                <w:color w:val="auto"/>
              </w:rPr>
            </w:pPr>
            <w:r>
              <w:rPr>
                <w:color w:val="auto"/>
              </w:rPr>
              <w:t>20</w:t>
            </w:r>
          </w:p>
        </w:tc>
        <w:tc>
          <w:tcPr>
            <w:tcW w:w="629" w:type="pct"/>
            <w:vAlign w:val="center"/>
          </w:tcPr>
          <w:p w14:paraId="3F19B732">
            <w:pPr>
              <w:pStyle w:val="182"/>
              <w:bidi w:val="0"/>
              <w:rPr>
                <w:color w:val="auto"/>
              </w:rPr>
            </w:pPr>
            <w:r>
              <w:rPr>
                <w:color w:val="auto"/>
              </w:rPr>
              <w:t>60</w:t>
            </w:r>
          </w:p>
        </w:tc>
        <w:tc>
          <w:tcPr>
            <w:tcW w:w="629" w:type="pct"/>
            <w:vAlign w:val="center"/>
          </w:tcPr>
          <w:p w14:paraId="0E76EFAA">
            <w:pPr>
              <w:pStyle w:val="182"/>
              <w:bidi w:val="0"/>
              <w:rPr>
                <w:color w:val="auto"/>
              </w:rPr>
            </w:pPr>
            <w:r>
              <w:rPr>
                <w:color w:val="auto"/>
              </w:rPr>
              <w:t>120</w:t>
            </w:r>
          </w:p>
        </w:tc>
        <w:tc>
          <w:tcPr>
            <w:tcW w:w="645" w:type="pct"/>
            <w:vAlign w:val="center"/>
          </w:tcPr>
          <w:p w14:paraId="0C7C93D7">
            <w:pPr>
              <w:pStyle w:val="182"/>
              <w:bidi w:val="0"/>
              <w:rPr>
                <w:color w:val="auto"/>
              </w:rPr>
            </w:pPr>
            <w:r>
              <w:rPr>
                <w:color w:val="auto"/>
              </w:rPr>
              <w:t>140</w:t>
            </w:r>
          </w:p>
        </w:tc>
      </w:tr>
      <w:tr w14:paraId="2BE8DDC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1D0D465C">
            <w:pPr>
              <w:pStyle w:val="182"/>
              <w:bidi w:val="0"/>
              <w:rPr>
                <w:color w:val="auto"/>
              </w:rPr>
            </w:pPr>
            <w:r>
              <w:rPr>
                <w:color w:val="auto"/>
              </w:rPr>
              <w:t>2</w:t>
            </w:r>
          </w:p>
        </w:tc>
        <w:tc>
          <w:tcPr>
            <w:tcW w:w="1166" w:type="pct"/>
            <w:vAlign w:val="center"/>
          </w:tcPr>
          <w:p w14:paraId="2711FC04">
            <w:pPr>
              <w:pStyle w:val="182"/>
              <w:bidi w:val="0"/>
              <w:rPr>
                <w:color w:val="auto"/>
              </w:rPr>
            </w:pPr>
            <w:r>
              <w:rPr>
                <w:color w:val="auto"/>
              </w:rPr>
              <w:t>镉</w:t>
            </w:r>
          </w:p>
        </w:tc>
        <w:tc>
          <w:tcPr>
            <w:tcW w:w="1041" w:type="pct"/>
            <w:vAlign w:val="center"/>
          </w:tcPr>
          <w:p w14:paraId="7991A128">
            <w:pPr>
              <w:pStyle w:val="182"/>
              <w:bidi w:val="0"/>
              <w:rPr>
                <w:color w:val="auto"/>
              </w:rPr>
            </w:pPr>
            <w:r>
              <w:rPr>
                <w:color w:val="auto"/>
              </w:rPr>
              <w:t>7440-43-9</w:t>
            </w:r>
          </w:p>
        </w:tc>
        <w:tc>
          <w:tcPr>
            <w:tcW w:w="629" w:type="pct"/>
            <w:vAlign w:val="center"/>
          </w:tcPr>
          <w:p w14:paraId="1153B4C6">
            <w:pPr>
              <w:pStyle w:val="182"/>
              <w:bidi w:val="0"/>
              <w:rPr>
                <w:color w:val="auto"/>
              </w:rPr>
            </w:pPr>
            <w:r>
              <w:rPr>
                <w:color w:val="auto"/>
              </w:rPr>
              <w:t>20</w:t>
            </w:r>
          </w:p>
        </w:tc>
        <w:tc>
          <w:tcPr>
            <w:tcW w:w="629" w:type="pct"/>
            <w:vAlign w:val="center"/>
          </w:tcPr>
          <w:p w14:paraId="2FEE658B">
            <w:pPr>
              <w:pStyle w:val="182"/>
              <w:bidi w:val="0"/>
              <w:rPr>
                <w:color w:val="auto"/>
              </w:rPr>
            </w:pPr>
            <w:r>
              <w:rPr>
                <w:color w:val="auto"/>
              </w:rPr>
              <w:t>65</w:t>
            </w:r>
          </w:p>
        </w:tc>
        <w:tc>
          <w:tcPr>
            <w:tcW w:w="629" w:type="pct"/>
            <w:vAlign w:val="center"/>
          </w:tcPr>
          <w:p w14:paraId="6F7688B8">
            <w:pPr>
              <w:pStyle w:val="182"/>
              <w:bidi w:val="0"/>
              <w:rPr>
                <w:color w:val="auto"/>
              </w:rPr>
            </w:pPr>
            <w:r>
              <w:rPr>
                <w:color w:val="auto"/>
              </w:rPr>
              <w:t>47</w:t>
            </w:r>
          </w:p>
        </w:tc>
        <w:tc>
          <w:tcPr>
            <w:tcW w:w="645" w:type="pct"/>
            <w:vAlign w:val="center"/>
          </w:tcPr>
          <w:p w14:paraId="2A8D731C">
            <w:pPr>
              <w:pStyle w:val="182"/>
              <w:bidi w:val="0"/>
              <w:rPr>
                <w:color w:val="auto"/>
              </w:rPr>
            </w:pPr>
            <w:r>
              <w:rPr>
                <w:color w:val="auto"/>
              </w:rPr>
              <w:t>172</w:t>
            </w:r>
          </w:p>
        </w:tc>
      </w:tr>
      <w:tr w14:paraId="30ADC75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23ADA4C4">
            <w:pPr>
              <w:pStyle w:val="182"/>
              <w:bidi w:val="0"/>
              <w:rPr>
                <w:color w:val="auto"/>
              </w:rPr>
            </w:pPr>
            <w:r>
              <w:rPr>
                <w:color w:val="auto"/>
              </w:rPr>
              <w:t>3</w:t>
            </w:r>
          </w:p>
        </w:tc>
        <w:tc>
          <w:tcPr>
            <w:tcW w:w="1166" w:type="pct"/>
            <w:vAlign w:val="center"/>
          </w:tcPr>
          <w:p w14:paraId="23446ABF">
            <w:pPr>
              <w:pStyle w:val="182"/>
              <w:bidi w:val="0"/>
              <w:rPr>
                <w:color w:val="auto"/>
              </w:rPr>
            </w:pPr>
            <w:r>
              <w:rPr>
                <w:color w:val="auto"/>
              </w:rPr>
              <w:t>铬（六价）</w:t>
            </w:r>
          </w:p>
        </w:tc>
        <w:tc>
          <w:tcPr>
            <w:tcW w:w="1041" w:type="pct"/>
            <w:vAlign w:val="center"/>
          </w:tcPr>
          <w:p w14:paraId="5C531F1B">
            <w:pPr>
              <w:pStyle w:val="182"/>
              <w:bidi w:val="0"/>
              <w:rPr>
                <w:color w:val="auto"/>
              </w:rPr>
            </w:pPr>
            <w:r>
              <w:rPr>
                <w:color w:val="auto"/>
              </w:rPr>
              <w:t>18540-29-9</w:t>
            </w:r>
          </w:p>
        </w:tc>
        <w:tc>
          <w:tcPr>
            <w:tcW w:w="629" w:type="pct"/>
            <w:vAlign w:val="center"/>
          </w:tcPr>
          <w:p w14:paraId="37AD125F">
            <w:pPr>
              <w:pStyle w:val="182"/>
              <w:bidi w:val="0"/>
              <w:rPr>
                <w:color w:val="auto"/>
              </w:rPr>
            </w:pPr>
            <w:r>
              <w:rPr>
                <w:color w:val="auto"/>
              </w:rPr>
              <w:t>3.0</w:t>
            </w:r>
          </w:p>
        </w:tc>
        <w:tc>
          <w:tcPr>
            <w:tcW w:w="629" w:type="pct"/>
            <w:vAlign w:val="center"/>
          </w:tcPr>
          <w:p w14:paraId="61B31882">
            <w:pPr>
              <w:pStyle w:val="182"/>
              <w:bidi w:val="0"/>
              <w:rPr>
                <w:color w:val="auto"/>
              </w:rPr>
            </w:pPr>
            <w:r>
              <w:rPr>
                <w:color w:val="auto"/>
              </w:rPr>
              <w:t>5.7</w:t>
            </w:r>
          </w:p>
        </w:tc>
        <w:tc>
          <w:tcPr>
            <w:tcW w:w="629" w:type="pct"/>
            <w:vAlign w:val="center"/>
          </w:tcPr>
          <w:p w14:paraId="22090D41">
            <w:pPr>
              <w:pStyle w:val="182"/>
              <w:bidi w:val="0"/>
              <w:rPr>
                <w:color w:val="auto"/>
              </w:rPr>
            </w:pPr>
            <w:r>
              <w:rPr>
                <w:color w:val="auto"/>
              </w:rPr>
              <w:t>30</w:t>
            </w:r>
          </w:p>
        </w:tc>
        <w:tc>
          <w:tcPr>
            <w:tcW w:w="645" w:type="pct"/>
            <w:vAlign w:val="center"/>
          </w:tcPr>
          <w:p w14:paraId="4159CECD">
            <w:pPr>
              <w:pStyle w:val="182"/>
              <w:bidi w:val="0"/>
              <w:rPr>
                <w:color w:val="auto"/>
              </w:rPr>
            </w:pPr>
            <w:r>
              <w:rPr>
                <w:color w:val="auto"/>
              </w:rPr>
              <w:t>78</w:t>
            </w:r>
          </w:p>
        </w:tc>
      </w:tr>
      <w:tr w14:paraId="33645EF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220DC335">
            <w:pPr>
              <w:pStyle w:val="182"/>
              <w:bidi w:val="0"/>
              <w:rPr>
                <w:color w:val="auto"/>
              </w:rPr>
            </w:pPr>
            <w:r>
              <w:rPr>
                <w:color w:val="auto"/>
              </w:rPr>
              <w:t>4</w:t>
            </w:r>
          </w:p>
        </w:tc>
        <w:tc>
          <w:tcPr>
            <w:tcW w:w="1166" w:type="pct"/>
            <w:vAlign w:val="center"/>
          </w:tcPr>
          <w:p w14:paraId="1E898C62">
            <w:pPr>
              <w:pStyle w:val="182"/>
              <w:bidi w:val="0"/>
              <w:rPr>
                <w:color w:val="auto"/>
              </w:rPr>
            </w:pPr>
            <w:r>
              <w:rPr>
                <w:color w:val="auto"/>
              </w:rPr>
              <w:t>铜</w:t>
            </w:r>
          </w:p>
        </w:tc>
        <w:tc>
          <w:tcPr>
            <w:tcW w:w="1041" w:type="pct"/>
            <w:vAlign w:val="center"/>
          </w:tcPr>
          <w:p w14:paraId="049CFC18">
            <w:pPr>
              <w:pStyle w:val="182"/>
              <w:bidi w:val="0"/>
              <w:rPr>
                <w:color w:val="auto"/>
              </w:rPr>
            </w:pPr>
            <w:r>
              <w:rPr>
                <w:color w:val="auto"/>
              </w:rPr>
              <w:t>7440-50-8</w:t>
            </w:r>
          </w:p>
        </w:tc>
        <w:tc>
          <w:tcPr>
            <w:tcW w:w="629" w:type="pct"/>
            <w:vAlign w:val="center"/>
          </w:tcPr>
          <w:p w14:paraId="4D256150">
            <w:pPr>
              <w:pStyle w:val="182"/>
              <w:bidi w:val="0"/>
              <w:rPr>
                <w:color w:val="auto"/>
              </w:rPr>
            </w:pPr>
            <w:r>
              <w:rPr>
                <w:color w:val="auto"/>
              </w:rPr>
              <w:t>2000</w:t>
            </w:r>
          </w:p>
        </w:tc>
        <w:tc>
          <w:tcPr>
            <w:tcW w:w="629" w:type="pct"/>
            <w:vAlign w:val="center"/>
          </w:tcPr>
          <w:p w14:paraId="5B6D0134">
            <w:pPr>
              <w:pStyle w:val="182"/>
              <w:bidi w:val="0"/>
              <w:rPr>
                <w:color w:val="auto"/>
              </w:rPr>
            </w:pPr>
            <w:r>
              <w:rPr>
                <w:color w:val="auto"/>
              </w:rPr>
              <w:t>18000</w:t>
            </w:r>
          </w:p>
        </w:tc>
        <w:tc>
          <w:tcPr>
            <w:tcW w:w="629" w:type="pct"/>
            <w:vAlign w:val="center"/>
          </w:tcPr>
          <w:p w14:paraId="0E65FF66">
            <w:pPr>
              <w:pStyle w:val="182"/>
              <w:bidi w:val="0"/>
              <w:rPr>
                <w:color w:val="auto"/>
              </w:rPr>
            </w:pPr>
            <w:r>
              <w:rPr>
                <w:color w:val="auto"/>
              </w:rPr>
              <w:t>8000</w:t>
            </w:r>
          </w:p>
        </w:tc>
        <w:tc>
          <w:tcPr>
            <w:tcW w:w="645" w:type="pct"/>
            <w:vAlign w:val="center"/>
          </w:tcPr>
          <w:p w14:paraId="369B5E76">
            <w:pPr>
              <w:pStyle w:val="182"/>
              <w:bidi w:val="0"/>
              <w:rPr>
                <w:color w:val="auto"/>
              </w:rPr>
            </w:pPr>
            <w:r>
              <w:rPr>
                <w:color w:val="auto"/>
              </w:rPr>
              <w:t>36000</w:t>
            </w:r>
          </w:p>
        </w:tc>
      </w:tr>
      <w:tr w14:paraId="7EDA1FC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206AE4AC">
            <w:pPr>
              <w:pStyle w:val="182"/>
              <w:bidi w:val="0"/>
              <w:rPr>
                <w:color w:val="auto"/>
              </w:rPr>
            </w:pPr>
            <w:r>
              <w:rPr>
                <w:color w:val="auto"/>
              </w:rPr>
              <w:t>5</w:t>
            </w:r>
          </w:p>
        </w:tc>
        <w:tc>
          <w:tcPr>
            <w:tcW w:w="1166" w:type="pct"/>
            <w:vAlign w:val="center"/>
          </w:tcPr>
          <w:p w14:paraId="2DE10D25">
            <w:pPr>
              <w:pStyle w:val="182"/>
              <w:bidi w:val="0"/>
              <w:rPr>
                <w:color w:val="auto"/>
              </w:rPr>
            </w:pPr>
            <w:r>
              <w:rPr>
                <w:color w:val="auto"/>
              </w:rPr>
              <w:t>铅</w:t>
            </w:r>
          </w:p>
        </w:tc>
        <w:tc>
          <w:tcPr>
            <w:tcW w:w="1041" w:type="pct"/>
            <w:vAlign w:val="center"/>
          </w:tcPr>
          <w:p w14:paraId="08347596">
            <w:pPr>
              <w:pStyle w:val="182"/>
              <w:bidi w:val="0"/>
              <w:rPr>
                <w:color w:val="auto"/>
              </w:rPr>
            </w:pPr>
            <w:r>
              <w:rPr>
                <w:color w:val="auto"/>
              </w:rPr>
              <w:t>7439-92-1</w:t>
            </w:r>
          </w:p>
        </w:tc>
        <w:tc>
          <w:tcPr>
            <w:tcW w:w="629" w:type="pct"/>
            <w:vAlign w:val="center"/>
          </w:tcPr>
          <w:p w14:paraId="20E2AB4F">
            <w:pPr>
              <w:pStyle w:val="182"/>
              <w:bidi w:val="0"/>
              <w:rPr>
                <w:color w:val="auto"/>
              </w:rPr>
            </w:pPr>
            <w:r>
              <w:rPr>
                <w:color w:val="auto"/>
              </w:rPr>
              <w:t>400</w:t>
            </w:r>
          </w:p>
        </w:tc>
        <w:tc>
          <w:tcPr>
            <w:tcW w:w="629" w:type="pct"/>
            <w:vAlign w:val="center"/>
          </w:tcPr>
          <w:p w14:paraId="23207E58">
            <w:pPr>
              <w:pStyle w:val="182"/>
              <w:bidi w:val="0"/>
              <w:rPr>
                <w:color w:val="auto"/>
              </w:rPr>
            </w:pPr>
            <w:r>
              <w:rPr>
                <w:color w:val="auto"/>
              </w:rPr>
              <w:t>800</w:t>
            </w:r>
          </w:p>
        </w:tc>
        <w:tc>
          <w:tcPr>
            <w:tcW w:w="629" w:type="pct"/>
            <w:vAlign w:val="center"/>
          </w:tcPr>
          <w:p w14:paraId="4FB0B2E1">
            <w:pPr>
              <w:pStyle w:val="182"/>
              <w:bidi w:val="0"/>
              <w:rPr>
                <w:color w:val="auto"/>
              </w:rPr>
            </w:pPr>
            <w:r>
              <w:rPr>
                <w:color w:val="auto"/>
              </w:rPr>
              <w:t>800</w:t>
            </w:r>
          </w:p>
        </w:tc>
        <w:tc>
          <w:tcPr>
            <w:tcW w:w="645" w:type="pct"/>
            <w:vAlign w:val="center"/>
          </w:tcPr>
          <w:p w14:paraId="7BDD8CD9">
            <w:pPr>
              <w:pStyle w:val="182"/>
              <w:bidi w:val="0"/>
              <w:rPr>
                <w:color w:val="auto"/>
              </w:rPr>
            </w:pPr>
            <w:r>
              <w:rPr>
                <w:color w:val="auto"/>
              </w:rPr>
              <w:t>2500</w:t>
            </w:r>
          </w:p>
        </w:tc>
      </w:tr>
      <w:tr w14:paraId="7F5135B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4E1EF050">
            <w:pPr>
              <w:pStyle w:val="182"/>
              <w:bidi w:val="0"/>
              <w:rPr>
                <w:color w:val="auto"/>
              </w:rPr>
            </w:pPr>
            <w:r>
              <w:rPr>
                <w:color w:val="auto"/>
              </w:rPr>
              <w:t>6</w:t>
            </w:r>
          </w:p>
        </w:tc>
        <w:tc>
          <w:tcPr>
            <w:tcW w:w="1166" w:type="pct"/>
            <w:vAlign w:val="center"/>
          </w:tcPr>
          <w:p w14:paraId="30DF0A25">
            <w:pPr>
              <w:pStyle w:val="182"/>
              <w:bidi w:val="0"/>
              <w:rPr>
                <w:color w:val="auto"/>
              </w:rPr>
            </w:pPr>
            <w:r>
              <w:rPr>
                <w:color w:val="auto"/>
              </w:rPr>
              <w:t>汞</w:t>
            </w:r>
          </w:p>
        </w:tc>
        <w:tc>
          <w:tcPr>
            <w:tcW w:w="1041" w:type="pct"/>
            <w:vAlign w:val="center"/>
          </w:tcPr>
          <w:p w14:paraId="0E64BE49">
            <w:pPr>
              <w:pStyle w:val="182"/>
              <w:bidi w:val="0"/>
              <w:rPr>
                <w:color w:val="auto"/>
              </w:rPr>
            </w:pPr>
            <w:r>
              <w:rPr>
                <w:color w:val="auto"/>
              </w:rPr>
              <w:t>7439-97-6</w:t>
            </w:r>
          </w:p>
        </w:tc>
        <w:tc>
          <w:tcPr>
            <w:tcW w:w="629" w:type="pct"/>
            <w:vAlign w:val="center"/>
          </w:tcPr>
          <w:p w14:paraId="01838CDC">
            <w:pPr>
              <w:pStyle w:val="182"/>
              <w:bidi w:val="0"/>
              <w:rPr>
                <w:color w:val="auto"/>
              </w:rPr>
            </w:pPr>
            <w:r>
              <w:rPr>
                <w:color w:val="auto"/>
              </w:rPr>
              <w:t>8</w:t>
            </w:r>
          </w:p>
        </w:tc>
        <w:tc>
          <w:tcPr>
            <w:tcW w:w="629" w:type="pct"/>
            <w:vAlign w:val="center"/>
          </w:tcPr>
          <w:p w14:paraId="6CD6FDD5">
            <w:pPr>
              <w:pStyle w:val="182"/>
              <w:bidi w:val="0"/>
              <w:rPr>
                <w:color w:val="auto"/>
              </w:rPr>
            </w:pPr>
            <w:r>
              <w:rPr>
                <w:color w:val="auto"/>
              </w:rPr>
              <w:t>38</w:t>
            </w:r>
          </w:p>
        </w:tc>
        <w:tc>
          <w:tcPr>
            <w:tcW w:w="629" w:type="pct"/>
            <w:vAlign w:val="center"/>
          </w:tcPr>
          <w:p w14:paraId="4E3B7547">
            <w:pPr>
              <w:pStyle w:val="182"/>
              <w:bidi w:val="0"/>
              <w:rPr>
                <w:color w:val="auto"/>
              </w:rPr>
            </w:pPr>
            <w:r>
              <w:rPr>
                <w:color w:val="auto"/>
              </w:rPr>
              <w:t>33</w:t>
            </w:r>
          </w:p>
        </w:tc>
        <w:tc>
          <w:tcPr>
            <w:tcW w:w="645" w:type="pct"/>
            <w:vAlign w:val="center"/>
          </w:tcPr>
          <w:p w14:paraId="12DFE498">
            <w:pPr>
              <w:pStyle w:val="182"/>
              <w:bidi w:val="0"/>
              <w:rPr>
                <w:color w:val="auto"/>
              </w:rPr>
            </w:pPr>
            <w:r>
              <w:rPr>
                <w:color w:val="auto"/>
              </w:rPr>
              <w:t>82</w:t>
            </w:r>
          </w:p>
        </w:tc>
      </w:tr>
      <w:tr w14:paraId="53A4646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5A3E0321">
            <w:pPr>
              <w:pStyle w:val="182"/>
              <w:bidi w:val="0"/>
              <w:rPr>
                <w:color w:val="auto"/>
              </w:rPr>
            </w:pPr>
            <w:r>
              <w:rPr>
                <w:color w:val="auto"/>
              </w:rPr>
              <w:t>7</w:t>
            </w:r>
          </w:p>
        </w:tc>
        <w:tc>
          <w:tcPr>
            <w:tcW w:w="1166" w:type="pct"/>
            <w:vAlign w:val="center"/>
          </w:tcPr>
          <w:p w14:paraId="79AFE3F5">
            <w:pPr>
              <w:pStyle w:val="182"/>
              <w:bidi w:val="0"/>
              <w:rPr>
                <w:color w:val="auto"/>
              </w:rPr>
            </w:pPr>
            <w:r>
              <w:rPr>
                <w:color w:val="auto"/>
              </w:rPr>
              <w:t>镍</w:t>
            </w:r>
          </w:p>
        </w:tc>
        <w:tc>
          <w:tcPr>
            <w:tcW w:w="1041" w:type="pct"/>
            <w:vAlign w:val="center"/>
          </w:tcPr>
          <w:p w14:paraId="2AF254A3">
            <w:pPr>
              <w:pStyle w:val="182"/>
              <w:bidi w:val="0"/>
              <w:rPr>
                <w:color w:val="auto"/>
              </w:rPr>
            </w:pPr>
            <w:r>
              <w:rPr>
                <w:color w:val="auto"/>
              </w:rPr>
              <w:t>7440-02-0</w:t>
            </w:r>
          </w:p>
        </w:tc>
        <w:tc>
          <w:tcPr>
            <w:tcW w:w="629" w:type="pct"/>
            <w:vAlign w:val="center"/>
          </w:tcPr>
          <w:p w14:paraId="1C8859D2">
            <w:pPr>
              <w:pStyle w:val="182"/>
              <w:bidi w:val="0"/>
              <w:rPr>
                <w:color w:val="auto"/>
              </w:rPr>
            </w:pPr>
            <w:r>
              <w:rPr>
                <w:color w:val="auto"/>
              </w:rPr>
              <w:t>150</w:t>
            </w:r>
          </w:p>
        </w:tc>
        <w:tc>
          <w:tcPr>
            <w:tcW w:w="629" w:type="pct"/>
            <w:vAlign w:val="center"/>
          </w:tcPr>
          <w:p w14:paraId="03482E13">
            <w:pPr>
              <w:pStyle w:val="182"/>
              <w:bidi w:val="0"/>
              <w:rPr>
                <w:color w:val="auto"/>
              </w:rPr>
            </w:pPr>
            <w:r>
              <w:rPr>
                <w:color w:val="auto"/>
              </w:rPr>
              <w:t>900</w:t>
            </w:r>
          </w:p>
        </w:tc>
        <w:tc>
          <w:tcPr>
            <w:tcW w:w="629" w:type="pct"/>
            <w:vAlign w:val="center"/>
          </w:tcPr>
          <w:p w14:paraId="1C444B2A">
            <w:pPr>
              <w:pStyle w:val="182"/>
              <w:bidi w:val="0"/>
              <w:rPr>
                <w:color w:val="auto"/>
              </w:rPr>
            </w:pPr>
            <w:r>
              <w:rPr>
                <w:color w:val="auto"/>
              </w:rPr>
              <w:t>600</w:t>
            </w:r>
          </w:p>
        </w:tc>
        <w:tc>
          <w:tcPr>
            <w:tcW w:w="645" w:type="pct"/>
            <w:vAlign w:val="center"/>
          </w:tcPr>
          <w:p w14:paraId="2803975E">
            <w:pPr>
              <w:pStyle w:val="182"/>
              <w:bidi w:val="0"/>
              <w:rPr>
                <w:color w:val="auto"/>
              </w:rPr>
            </w:pPr>
            <w:r>
              <w:rPr>
                <w:color w:val="auto"/>
              </w:rPr>
              <w:t>2000</w:t>
            </w:r>
          </w:p>
        </w:tc>
      </w:tr>
      <w:tr w14:paraId="07ADB03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000" w:type="pct"/>
            <w:gridSpan w:val="7"/>
            <w:vAlign w:val="center"/>
          </w:tcPr>
          <w:p w14:paraId="04953B48">
            <w:pPr>
              <w:pStyle w:val="182"/>
              <w:bidi w:val="0"/>
              <w:rPr>
                <w:color w:val="auto"/>
              </w:rPr>
            </w:pPr>
            <w:r>
              <w:rPr>
                <w:color w:val="auto"/>
              </w:rPr>
              <w:t>挥发性有机物</w:t>
            </w:r>
          </w:p>
        </w:tc>
      </w:tr>
      <w:tr w14:paraId="50FDA34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658C1651">
            <w:pPr>
              <w:pStyle w:val="182"/>
              <w:bidi w:val="0"/>
              <w:rPr>
                <w:color w:val="auto"/>
              </w:rPr>
            </w:pPr>
            <w:r>
              <w:rPr>
                <w:color w:val="auto"/>
              </w:rPr>
              <w:t>8</w:t>
            </w:r>
          </w:p>
        </w:tc>
        <w:tc>
          <w:tcPr>
            <w:tcW w:w="1166" w:type="pct"/>
            <w:vAlign w:val="center"/>
          </w:tcPr>
          <w:p w14:paraId="12E072CB">
            <w:pPr>
              <w:pStyle w:val="182"/>
              <w:bidi w:val="0"/>
              <w:rPr>
                <w:color w:val="auto"/>
              </w:rPr>
            </w:pPr>
            <w:r>
              <w:rPr>
                <w:color w:val="auto"/>
              </w:rPr>
              <w:t>四氯化碳</w:t>
            </w:r>
          </w:p>
        </w:tc>
        <w:tc>
          <w:tcPr>
            <w:tcW w:w="1041" w:type="pct"/>
            <w:vAlign w:val="center"/>
          </w:tcPr>
          <w:p w14:paraId="037758BD">
            <w:pPr>
              <w:pStyle w:val="182"/>
              <w:bidi w:val="0"/>
              <w:rPr>
                <w:color w:val="auto"/>
              </w:rPr>
            </w:pPr>
            <w:r>
              <w:rPr>
                <w:color w:val="auto"/>
              </w:rPr>
              <w:t>56-23-5</w:t>
            </w:r>
          </w:p>
        </w:tc>
        <w:tc>
          <w:tcPr>
            <w:tcW w:w="629" w:type="pct"/>
            <w:vAlign w:val="center"/>
          </w:tcPr>
          <w:p w14:paraId="30032FC6">
            <w:pPr>
              <w:pStyle w:val="182"/>
              <w:bidi w:val="0"/>
              <w:rPr>
                <w:color w:val="auto"/>
              </w:rPr>
            </w:pPr>
            <w:r>
              <w:rPr>
                <w:color w:val="auto"/>
              </w:rPr>
              <w:t>0.9</w:t>
            </w:r>
          </w:p>
        </w:tc>
        <w:tc>
          <w:tcPr>
            <w:tcW w:w="629" w:type="pct"/>
            <w:vAlign w:val="center"/>
          </w:tcPr>
          <w:p w14:paraId="73754A4D">
            <w:pPr>
              <w:pStyle w:val="182"/>
              <w:bidi w:val="0"/>
              <w:rPr>
                <w:color w:val="auto"/>
              </w:rPr>
            </w:pPr>
            <w:r>
              <w:rPr>
                <w:color w:val="auto"/>
              </w:rPr>
              <w:t>2.8</w:t>
            </w:r>
          </w:p>
        </w:tc>
        <w:tc>
          <w:tcPr>
            <w:tcW w:w="629" w:type="pct"/>
            <w:vAlign w:val="center"/>
          </w:tcPr>
          <w:p w14:paraId="2622B77F">
            <w:pPr>
              <w:pStyle w:val="182"/>
              <w:bidi w:val="0"/>
              <w:rPr>
                <w:color w:val="auto"/>
              </w:rPr>
            </w:pPr>
            <w:r>
              <w:rPr>
                <w:color w:val="auto"/>
              </w:rPr>
              <w:t>9</w:t>
            </w:r>
          </w:p>
        </w:tc>
        <w:tc>
          <w:tcPr>
            <w:tcW w:w="645" w:type="pct"/>
            <w:vAlign w:val="center"/>
          </w:tcPr>
          <w:p w14:paraId="76E38F74">
            <w:pPr>
              <w:pStyle w:val="182"/>
              <w:bidi w:val="0"/>
              <w:rPr>
                <w:color w:val="auto"/>
              </w:rPr>
            </w:pPr>
            <w:r>
              <w:rPr>
                <w:color w:val="auto"/>
              </w:rPr>
              <w:t>36</w:t>
            </w:r>
          </w:p>
        </w:tc>
      </w:tr>
      <w:tr w14:paraId="465486E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18E89492">
            <w:pPr>
              <w:pStyle w:val="182"/>
              <w:bidi w:val="0"/>
              <w:rPr>
                <w:color w:val="auto"/>
              </w:rPr>
            </w:pPr>
            <w:r>
              <w:rPr>
                <w:color w:val="auto"/>
              </w:rPr>
              <w:t>9</w:t>
            </w:r>
          </w:p>
        </w:tc>
        <w:tc>
          <w:tcPr>
            <w:tcW w:w="1166" w:type="pct"/>
            <w:vAlign w:val="center"/>
          </w:tcPr>
          <w:p w14:paraId="60033C27">
            <w:pPr>
              <w:pStyle w:val="182"/>
              <w:bidi w:val="0"/>
              <w:rPr>
                <w:color w:val="auto"/>
              </w:rPr>
            </w:pPr>
            <w:r>
              <w:rPr>
                <w:color w:val="auto"/>
              </w:rPr>
              <w:t>氯仿</w:t>
            </w:r>
          </w:p>
        </w:tc>
        <w:tc>
          <w:tcPr>
            <w:tcW w:w="1041" w:type="pct"/>
            <w:vAlign w:val="center"/>
          </w:tcPr>
          <w:p w14:paraId="6BF1FD14">
            <w:pPr>
              <w:pStyle w:val="182"/>
              <w:bidi w:val="0"/>
              <w:rPr>
                <w:color w:val="auto"/>
              </w:rPr>
            </w:pPr>
            <w:r>
              <w:rPr>
                <w:color w:val="auto"/>
              </w:rPr>
              <w:t>67-66-3</w:t>
            </w:r>
          </w:p>
        </w:tc>
        <w:tc>
          <w:tcPr>
            <w:tcW w:w="629" w:type="pct"/>
            <w:vAlign w:val="center"/>
          </w:tcPr>
          <w:p w14:paraId="385B1432">
            <w:pPr>
              <w:pStyle w:val="182"/>
              <w:bidi w:val="0"/>
              <w:rPr>
                <w:color w:val="auto"/>
              </w:rPr>
            </w:pPr>
            <w:r>
              <w:rPr>
                <w:color w:val="auto"/>
              </w:rPr>
              <w:t>0.3</w:t>
            </w:r>
          </w:p>
        </w:tc>
        <w:tc>
          <w:tcPr>
            <w:tcW w:w="629" w:type="pct"/>
            <w:vAlign w:val="center"/>
          </w:tcPr>
          <w:p w14:paraId="333C202E">
            <w:pPr>
              <w:pStyle w:val="182"/>
              <w:bidi w:val="0"/>
              <w:rPr>
                <w:color w:val="auto"/>
              </w:rPr>
            </w:pPr>
            <w:r>
              <w:rPr>
                <w:color w:val="auto"/>
              </w:rPr>
              <w:t>0.9</w:t>
            </w:r>
          </w:p>
        </w:tc>
        <w:tc>
          <w:tcPr>
            <w:tcW w:w="629" w:type="pct"/>
            <w:vAlign w:val="center"/>
          </w:tcPr>
          <w:p w14:paraId="7B9B99B8">
            <w:pPr>
              <w:pStyle w:val="182"/>
              <w:bidi w:val="0"/>
              <w:rPr>
                <w:color w:val="auto"/>
              </w:rPr>
            </w:pPr>
            <w:r>
              <w:rPr>
                <w:color w:val="auto"/>
              </w:rPr>
              <w:t>5</w:t>
            </w:r>
          </w:p>
        </w:tc>
        <w:tc>
          <w:tcPr>
            <w:tcW w:w="645" w:type="pct"/>
            <w:vAlign w:val="center"/>
          </w:tcPr>
          <w:p w14:paraId="40E2EC30">
            <w:pPr>
              <w:pStyle w:val="182"/>
              <w:bidi w:val="0"/>
              <w:rPr>
                <w:color w:val="auto"/>
              </w:rPr>
            </w:pPr>
            <w:r>
              <w:rPr>
                <w:color w:val="auto"/>
              </w:rPr>
              <w:t>10</w:t>
            </w:r>
          </w:p>
        </w:tc>
      </w:tr>
      <w:tr w14:paraId="7F3F7F8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43EC5995">
            <w:pPr>
              <w:pStyle w:val="182"/>
              <w:bidi w:val="0"/>
              <w:rPr>
                <w:color w:val="auto"/>
              </w:rPr>
            </w:pPr>
            <w:r>
              <w:rPr>
                <w:color w:val="auto"/>
              </w:rPr>
              <w:t>10</w:t>
            </w:r>
          </w:p>
        </w:tc>
        <w:tc>
          <w:tcPr>
            <w:tcW w:w="1166" w:type="pct"/>
            <w:vAlign w:val="center"/>
          </w:tcPr>
          <w:p w14:paraId="5AEB1C19">
            <w:pPr>
              <w:pStyle w:val="182"/>
              <w:bidi w:val="0"/>
              <w:rPr>
                <w:color w:val="auto"/>
              </w:rPr>
            </w:pPr>
            <w:r>
              <w:rPr>
                <w:color w:val="auto"/>
              </w:rPr>
              <w:t>氯甲烷</w:t>
            </w:r>
          </w:p>
        </w:tc>
        <w:tc>
          <w:tcPr>
            <w:tcW w:w="1041" w:type="pct"/>
            <w:vAlign w:val="center"/>
          </w:tcPr>
          <w:p w14:paraId="494C5609">
            <w:pPr>
              <w:pStyle w:val="182"/>
              <w:bidi w:val="0"/>
              <w:rPr>
                <w:color w:val="auto"/>
              </w:rPr>
            </w:pPr>
            <w:r>
              <w:rPr>
                <w:color w:val="auto"/>
              </w:rPr>
              <w:t>74-87-3</w:t>
            </w:r>
          </w:p>
        </w:tc>
        <w:tc>
          <w:tcPr>
            <w:tcW w:w="629" w:type="pct"/>
            <w:vAlign w:val="center"/>
          </w:tcPr>
          <w:p w14:paraId="505EBDED">
            <w:pPr>
              <w:pStyle w:val="182"/>
              <w:bidi w:val="0"/>
              <w:rPr>
                <w:color w:val="auto"/>
              </w:rPr>
            </w:pPr>
            <w:r>
              <w:rPr>
                <w:color w:val="auto"/>
              </w:rPr>
              <w:t>12</w:t>
            </w:r>
          </w:p>
        </w:tc>
        <w:tc>
          <w:tcPr>
            <w:tcW w:w="629" w:type="pct"/>
            <w:vAlign w:val="center"/>
          </w:tcPr>
          <w:p w14:paraId="121DB126">
            <w:pPr>
              <w:pStyle w:val="182"/>
              <w:bidi w:val="0"/>
              <w:rPr>
                <w:color w:val="auto"/>
              </w:rPr>
            </w:pPr>
            <w:r>
              <w:rPr>
                <w:color w:val="auto"/>
              </w:rPr>
              <w:t>37</w:t>
            </w:r>
          </w:p>
        </w:tc>
        <w:tc>
          <w:tcPr>
            <w:tcW w:w="629" w:type="pct"/>
            <w:vAlign w:val="center"/>
          </w:tcPr>
          <w:p w14:paraId="2804A493">
            <w:pPr>
              <w:pStyle w:val="182"/>
              <w:bidi w:val="0"/>
              <w:rPr>
                <w:color w:val="auto"/>
              </w:rPr>
            </w:pPr>
            <w:r>
              <w:rPr>
                <w:color w:val="auto"/>
              </w:rPr>
              <w:t>21</w:t>
            </w:r>
          </w:p>
        </w:tc>
        <w:tc>
          <w:tcPr>
            <w:tcW w:w="645" w:type="pct"/>
            <w:vAlign w:val="center"/>
          </w:tcPr>
          <w:p w14:paraId="1D19E481">
            <w:pPr>
              <w:pStyle w:val="182"/>
              <w:bidi w:val="0"/>
              <w:rPr>
                <w:color w:val="auto"/>
              </w:rPr>
            </w:pPr>
            <w:r>
              <w:rPr>
                <w:color w:val="auto"/>
              </w:rPr>
              <w:t>120</w:t>
            </w:r>
          </w:p>
        </w:tc>
      </w:tr>
      <w:tr w14:paraId="432C785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09B1D81D">
            <w:pPr>
              <w:pStyle w:val="182"/>
              <w:bidi w:val="0"/>
              <w:rPr>
                <w:color w:val="auto"/>
              </w:rPr>
            </w:pPr>
            <w:r>
              <w:rPr>
                <w:color w:val="auto"/>
              </w:rPr>
              <w:t>11</w:t>
            </w:r>
          </w:p>
        </w:tc>
        <w:tc>
          <w:tcPr>
            <w:tcW w:w="1166" w:type="pct"/>
            <w:vAlign w:val="center"/>
          </w:tcPr>
          <w:p w14:paraId="3835E30F">
            <w:pPr>
              <w:pStyle w:val="182"/>
              <w:bidi w:val="0"/>
              <w:rPr>
                <w:color w:val="auto"/>
              </w:rPr>
            </w:pPr>
            <w:r>
              <w:rPr>
                <w:color w:val="auto"/>
              </w:rPr>
              <w:t>1，1-二氯乙烷</w:t>
            </w:r>
          </w:p>
        </w:tc>
        <w:tc>
          <w:tcPr>
            <w:tcW w:w="1041" w:type="pct"/>
            <w:vAlign w:val="center"/>
          </w:tcPr>
          <w:p w14:paraId="25C37510">
            <w:pPr>
              <w:pStyle w:val="182"/>
              <w:bidi w:val="0"/>
              <w:rPr>
                <w:color w:val="auto"/>
              </w:rPr>
            </w:pPr>
            <w:r>
              <w:rPr>
                <w:color w:val="auto"/>
              </w:rPr>
              <w:t>75-34-3</w:t>
            </w:r>
          </w:p>
        </w:tc>
        <w:tc>
          <w:tcPr>
            <w:tcW w:w="629" w:type="pct"/>
            <w:vAlign w:val="center"/>
          </w:tcPr>
          <w:p w14:paraId="2C25D5FA">
            <w:pPr>
              <w:pStyle w:val="182"/>
              <w:bidi w:val="0"/>
              <w:rPr>
                <w:color w:val="auto"/>
              </w:rPr>
            </w:pPr>
            <w:r>
              <w:rPr>
                <w:color w:val="auto"/>
              </w:rPr>
              <w:t>3</w:t>
            </w:r>
          </w:p>
        </w:tc>
        <w:tc>
          <w:tcPr>
            <w:tcW w:w="629" w:type="pct"/>
            <w:vAlign w:val="center"/>
          </w:tcPr>
          <w:p w14:paraId="27ADFDA2">
            <w:pPr>
              <w:pStyle w:val="182"/>
              <w:bidi w:val="0"/>
              <w:rPr>
                <w:color w:val="auto"/>
              </w:rPr>
            </w:pPr>
            <w:r>
              <w:rPr>
                <w:color w:val="auto"/>
              </w:rPr>
              <w:t>9</w:t>
            </w:r>
          </w:p>
        </w:tc>
        <w:tc>
          <w:tcPr>
            <w:tcW w:w="629" w:type="pct"/>
            <w:vAlign w:val="center"/>
          </w:tcPr>
          <w:p w14:paraId="244D0742">
            <w:pPr>
              <w:pStyle w:val="182"/>
              <w:bidi w:val="0"/>
              <w:rPr>
                <w:color w:val="auto"/>
              </w:rPr>
            </w:pPr>
            <w:r>
              <w:rPr>
                <w:color w:val="auto"/>
              </w:rPr>
              <w:t>20</w:t>
            </w:r>
          </w:p>
        </w:tc>
        <w:tc>
          <w:tcPr>
            <w:tcW w:w="645" w:type="pct"/>
            <w:vAlign w:val="center"/>
          </w:tcPr>
          <w:p w14:paraId="26D30992">
            <w:pPr>
              <w:pStyle w:val="182"/>
              <w:bidi w:val="0"/>
              <w:rPr>
                <w:color w:val="auto"/>
              </w:rPr>
            </w:pPr>
            <w:r>
              <w:rPr>
                <w:color w:val="auto"/>
              </w:rPr>
              <w:t>100</w:t>
            </w:r>
          </w:p>
        </w:tc>
      </w:tr>
      <w:tr w14:paraId="7ED8523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3B0EC306">
            <w:pPr>
              <w:pStyle w:val="182"/>
              <w:bidi w:val="0"/>
              <w:rPr>
                <w:color w:val="auto"/>
              </w:rPr>
            </w:pPr>
            <w:r>
              <w:rPr>
                <w:color w:val="auto"/>
              </w:rPr>
              <w:t>12</w:t>
            </w:r>
          </w:p>
        </w:tc>
        <w:tc>
          <w:tcPr>
            <w:tcW w:w="1166" w:type="pct"/>
            <w:vAlign w:val="center"/>
          </w:tcPr>
          <w:p w14:paraId="082CE19B">
            <w:pPr>
              <w:pStyle w:val="182"/>
              <w:bidi w:val="0"/>
              <w:rPr>
                <w:color w:val="auto"/>
              </w:rPr>
            </w:pPr>
            <w:r>
              <w:rPr>
                <w:color w:val="auto"/>
              </w:rPr>
              <w:t>1，2-二氯乙烷</w:t>
            </w:r>
          </w:p>
        </w:tc>
        <w:tc>
          <w:tcPr>
            <w:tcW w:w="1041" w:type="pct"/>
            <w:vAlign w:val="center"/>
          </w:tcPr>
          <w:p w14:paraId="4FC2B2BA">
            <w:pPr>
              <w:pStyle w:val="182"/>
              <w:bidi w:val="0"/>
              <w:rPr>
                <w:color w:val="auto"/>
              </w:rPr>
            </w:pPr>
            <w:r>
              <w:rPr>
                <w:color w:val="auto"/>
              </w:rPr>
              <w:t>107-06-2</w:t>
            </w:r>
          </w:p>
        </w:tc>
        <w:tc>
          <w:tcPr>
            <w:tcW w:w="629" w:type="pct"/>
            <w:vAlign w:val="center"/>
          </w:tcPr>
          <w:p w14:paraId="34608A28">
            <w:pPr>
              <w:pStyle w:val="182"/>
              <w:bidi w:val="0"/>
              <w:rPr>
                <w:color w:val="auto"/>
              </w:rPr>
            </w:pPr>
            <w:r>
              <w:rPr>
                <w:color w:val="auto"/>
              </w:rPr>
              <w:t>0.52</w:t>
            </w:r>
          </w:p>
        </w:tc>
        <w:tc>
          <w:tcPr>
            <w:tcW w:w="629" w:type="pct"/>
            <w:vAlign w:val="center"/>
          </w:tcPr>
          <w:p w14:paraId="408B1F39">
            <w:pPr>
              <w:pStyle w:val="182"/>
              <w:bidi w:val="0"/>
              <w:rPr>
                <w:color w:val="auto"/>
              </w:rPr>
            </w:pPr>
            <w:r>
              <w:rPr>
                <w:color w:val="auto"/>
              </w:rPr>
              <w:t>5</w:t>
            </w:r>
          </w:p>
        </w:tc>
        <w:tc>
          <w:tcPr>
            <w:tcW w:w="629" w:type="pct"/>
            <w:vAlign w:val="center"/>
          </w:tcPr>
          <w:p w14:paraId="6483A9F9">
            <w:pPr>
              <w:pStyle w:val="182"/>
              <w:bidi w:val="0"/>
              <w:rPr>
                <w:color w:val="auto"/>
              </w:rPr>
            </w:pPr>
            <w:r>
              <w:rPr>
                <w:color w:val="auto"/>
              </w:rPr>
              <w:t>6</w:t>
            </w:r>
          </w:p>
        </w:tc>
        <w:tc>
          <w:tcPr>
            <w:tcW w:w="645" w:type="pct"/>
            <w:vAlign w:val="center"/>
          </w:tcPr>
          <w:p w14:paraId="70AB874B">
            <w:pPr>
              <w:pStyle w:val="182"/>
              <w:bidi w:val="0"/>
              <w:rPr>
                <w:color w:val="auto"/>
              </w:rPr>
            </w:pPr>
            <w:r>
              <w:rPr>
                <w:color w:val="auto"/>
              </w:rPr>
              <w:t>21</w:t>
            </w:r>
          </w:p>
        </w:tc>
      </w:tr>
      <w:tr w14:paraId="11746E5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29A4C345">
            <w:pPr>
              <w:pStyle w:val="182"/>
              <w:bidi w:val="0"/>
              <w:rPr>
                <w:color w:val="auto"/>
              </w:rPr>
            </w:pPr>
            <w:r>
              <w:rPr>
                <w:color w:val="auto"/>
              </w:rPr>
              <w:t>13</w:t>
            </w:r>
          </w:p>
        </w:tc>
        <w:tc>
          <w:tcPr>
            <w:tcW w:w="1166" w:type="pct"/>
            <w:vAlign w:val="center"/>
          </w:tcPr>
          <w:p w14:paraId="48F96FA9">
            <w:pPr>
              <w:pStyle w:val="182"/>
              <w:bidi w:val="0"/>
              <w:rPr>
                <w:color w:val="auto"/>
              </w:rPr>
            </w:pPr>
            <w:r>
              <w:rPr>
                <w:color w:val="auto"/>
              </w:rPr>
              <w:t>1，1-二氯乙烯</w:t>
            </w:r>
          </w:p>
        </w:tc>
        <w:tc>
          <w:tcPr>
            <w:tcW w:w="1041" w:type="pct"/>
            <w:vAlign w:val="center"/>
          </w:tcPr>
          <w:p w14:paraId="78F4AE2A">
            <w:pPr>
              <w:pStyle w:val="182"/>
              <w:bidi w:val="0"/>
              <w:rPr>
                <w:color w:val="auto"/>
              </w:rPr>
            </w:pPr>
            <w:r>
              <w:rPr>
                <w:color w:val="auto"/>
              </w:rPr>
              <w:t>75-35-4</w:t>
            </w:r>
          </w:p>
        </w:tc>
        <w:tc>
          <w:tcPr>
            <w:tcW w:w="629" w:type="pct"/>
            <w:vAlign w:val="center"/>
          </w:tcPr>
          <w:p w14:paraId="33BB4B30">
            <w:pPr>
              <w:pStyle w:val="182"/>
              <w:bidi w:val="0"/>
              <w:rPr>
                <w:color w:val="auto"/>
              </w:rPr>
            </w:pPr>
            <w:r>
              <w:rPr>
                <w:color w:val="auto"/>
              </w:rPr>
              <w:t>12</w:t>
            </w:r>
          </w:p>
        </w:tc>
        <w:tc>
          <w:tcPr>
            <w:tcW w:w="629" w:type="pct"/>
            <w:vAlign w:val="center"/>
          </w:tcPr>
          <w:p w14:paraId="2C453B30">
            <w:pPr>
              <w:pStyle w:val="182"/>
              <w:bidi w:val="0"/>
              <w:rPr>
                <w:color w:val="auto"/>
              </w:rPr>
            </w:pPr>
            <w:r>
              <w:rPr>
                <w:color w:val="auto"/>
              </w:rPr>
              <w:t>66</w:t>
            </w:r>
          </w:p>
        </w:tc>
        <w:tc>
          <w:tcPr>
            <w:tcW w:w="629" w:type="pct"/>
            <w:vAlign w:val="center"/>
          </w:tcPr>
          <w:p w14:paraId="40E09B28">
            <w:pPr>
              <w:pStyle w:val="182"/>
              <w:bidi w:val="0"/>
              <w:rPr>
                <w:color w:val="auto"/>
              </w:rPr>
            </w:pPr>
            <w:r>
              <w:rPr>
                <w:color w:val="auto"/>
              </w:rPr>
              <w:t>40</w:t>
            </w:r>
          </w:p>
        </w:tc>
        <w:tc>
          <w:tcPr>
            <w:tcW w:w="645" w:type="pct"/>
            <w:vAlign w:val="center"/>
          </w:tcPr>
          <w:p w14:paraId="0D9AE5B5">
            <w:pPr>
              <w:pStyle w:val="182"/>
              <w:bidi w:val="0"/>
              <w:rPr>
                <w:color w:val="auto"/>
              </w:rPr>
            </w:pPr>
            <w:r>
              <w:rPr>
                <w:color w:val="auto"/>
              </w:rPr>
              <w:t>200</w:t>
            </w:r>
          </w:p>
        </w:tc>
      </w:tr>
      <w:tr w14:paraId="6A74FB7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4E3BB15F">
            <w:pPr>
              <w:pStyle w:val="182"/>
              <w:bidi w:val="0"/>
              <w:rPr>
                <w:color w:val="auto"/>
              </w:rPr>
            </w:pPr>
            <w:r>
              <w:rPr>
                <w:color w:val="auto"/>
              </w:rPr>
              <w:t>14</w:t>
            </w:r>
          </w:p>
        </w:tc>
        <w:tc>
          <w:tcPr>
            <w:tcW w:w="1166" w:type="pct"/>
            <w:vAlign w:val="center"/>
          </w:tcPr>
          <w:p w14:paraId="54E73DA1">
            <w:pPr>
              <w:pStyle w:val="182"/>
              <w:bidi w:val="0"/>
              <w:rPr>
                <w:color w:val="auto"/>
              </w:rPr>
            </w:pPr>
            <w:r>
              <w:rPr>
                <w:color w:val="auto"/>
              </w:rPr>
              <w:t>顺-1，2-二氯乙烯</w:t>
            </w:r>
          </w:p>
        </w:tc>
        <w:tc>
          <w:tcPr>
            <w:tcW w:w="1041" w:type="pct"/>
            <w:vAlign w:val="center"/>
          </w:tcPr>
          <w:p w14:paraId="173BD0AA">
            <w:pPr>
              <w:pStyle w:val="182"/>
              <w:bidi w:val="0"/>
              <w:rPr>
                <w:color w:val="auto"/>
              </w:rPr>
            </w:pPr>
            <w:r>
              <w:rPr>
                <w:color w:val="auto"/>
              </w:rPr>
              <w:t>156-59-2</w:t>
            </w:r>
          </w:p>
        </w:tc>
        <w:tc>
          <w:tcPr>
            <w:tcW w:w="629" w:type="pct"/>
            <w:vAlign w:val="center"/>
          </w:tcPr>
          <w:p w14:paraId="7E0358C1">
            <w:pPr>
              <w:pStyle w:val="182"/>
              <w:bidi w:val="0"/>
              <w:rPr>
                <w:color w:val="auto"/>
              </w:rPr>
            </w:pPr>
            <w:r>
              <w:rPr>
                <w:color w:val="auto"/>
              </w:rPr>
              <w:t>66</w:t>
            </w:r>
          </w:p>
        </w:tc>
        <w:tc>
          <w:tcPr>
            <w:tcW w:w="629" w:type="pct"/>
            <w:vAlign w:val="center"/>
          </w:tcPr>
          <w:p w14:paraId="0CFA0034">
            <w:pPr>
              <w:pStyle w:val="182"/>
              <w:bidi w:val="0"/>
              <w:rPr>
                <w:color w:val="auto"/>
              </w:rPr>
            </w:pPr>
            <w:r>
              <w:rPr>
                <w:color w:val="auto"/>
              </w:rPr>
              <w:t>596</w:t>
            </w:r>
          </w:p>
        </w:tc>
        <w:tc>
          <w:tcPr>
            <w:tcW w:w="629" w:type="pct"/>
            <w:vAlign w:val="center"/>
          </w:tcPr>
          <w:p w14:paraId="31376167">
            <w:pPr>
              <w:pStyle w:val="182"/>
              <w:bidi w:val="0"/>
              <w:rPr>
                <w:color w:val="auto"/>
              </w:rPr>
            </w:pPr>
            <w:r>
              <w:rPr>
                <w:color w:val="auto"/>
              </w:rPr>
              <w:t>200</w:t>
            </w:r>
          </w:p>
        </w:tc>
        <w:tc>
          <w:tcPr>
            <w:tcW w:w="645" w:type="pct"/>
            <w:vAlign w:val="center"/>
          </w:tcPr>
          <w:p w14:paraId="08881520">
            <w:pPr>
              <w:pStyle w:val="182"/>
              <w:bidi w:val="0"/>
              <w:rPr>
                <w:color w:val="auto"/>
              </w:rPr>
            </w:pPr>
            <w:r>
              <w:rPr>
                <w:color w:val="auto"/>
              </w:rPr>
              <w:t>2000</w:t>
            </w:r>
          </w:p>
        </w:tc>
      </w:tr>
      <w:tr w14:paraId="5C1348D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27CB4CD1">
            <w:pPr>
              <w:pStyle w:val="182"/>
              <w:bidi w:val="0"/>
              <w:rPr>
                <w:color w:val="auto"/>
              </w:rPr>
            </w:pPr>
            <w:r>
              <w:rPr>
                <w:color w:val="auto"/>
              </w:rPr>
              <w:t>15</w:t>
            </w:r>
          </w:p>
        </w:tc>
        <w:tc>
          <w:tcPr>
            <w:tcW w:w="1166" w:type="pct"/>
            <w:vAlign w:val="center"/>
          </w:tcPr>
          <w:p w14:paraId="7147A3AF">
            <w:pPr>
              <w:pStyle w:val="182"/>
              <w:bidi w:val="0"/>
              <w:rPr>
                <w:color w:val="auto"/>
              </w:rPr>
            </w:pPr>
            <w:r>
              <w:rPr>
                <w:color w:val="auto"/>
              </w:rPr>
              <w:t>反-1，2-二氯乙烯</w:t>
            </w:r>
          </w:p>
        </w:tc>
        <w:tc>
          <w:tcPr>
            <w:tcW w:w="1041" w:type="pct"/>
            <w:vAlign w:val="center"/>
          </w:tcPr>
          <w:p w14:paraId="4903F5DF">
            <w:pPr>
              <w:pStyle w:val="182"/>
              <w:bidi w:val="0"/>
              <w:rPr>
                <w:color w:val="auto"/>
              </w:rPr>
            </w:pPr>
            <w:r>
              <w:rPr>
                <w:color w:val="auto"/>
              </w:rPr>
              <w:t>156-60-5</w:t>
            </w:r>
          </w:p>
        </w:tc>
        <w:tc>
          <w:tcPr>
            <w:tcW w:w="629" w:type="pct"/>
            <w:vAlign w:val="center"/>
          </w:tcPr>
          <w:p w14:paraId="24CF27C9">
            <w:pPr>
              <w:pStyle w:val="182"/>
              <w:bidi w:val="0"/>
              <w:rPr>
                <w:color w:val="auto"/>
              </w:rPr>
            </w:pPr>
            <w:r>
              <w:rPr>
                <w:color w:val="auto"/>
              </w:rPr>
              <w:t>10</w:t>
            </w:r>
          </w:p>
        </w:tc>
        <w:tc>
          <w:tcPr>
            <w:tcW w:w="629" w:type="pct"/>
            <w:vAlign w:val="center"/>
          </w:tcPr>
          <w:p w14:paraId="44C3B240">
            <w:pPr>
              <w:pStyle w:val="182"/>
              <w:bidi w:val="0"/>
              <w:rPr>
                <w:color w:val="auto"/>
              </w:rPr>
            </w:pPr>
            <w:r>
              <w:rPr>
                <w:color w:val="auto"/>
              </w:rPr>
              <w:t>54</w:t>
            </w:r>
          </w:p>
        </w:tc>
        <w:tc>
          <w:tcPr>
            <w:tcW w:w="629" w:type="pct"/>
            <w:vAlign w:val="center"/>
          </w:tcPr>
          <w:p w14:paraId="192EC9C0">
            <w:pPr>
              <w:pStyle w:val="182"/>
              <w:bidi w:val="0"/>
              <w:rPr>
                <w:color w:val="auto"/>
              </w:rPr>
            </w:pPr>
            <w:r>
              <w:rPr>
                <w:color w:val="auto"/>
              </w:rPr>
              <w:t>31</w:t>
            </w:r>
          </w:p>
        </w:tc>
        <w:tc>
          <w:tcPr>
            <w:tcW w:w="645" w:type="pct"/>
            <w:vAlign w:val="center"/>
          </w:tcPr>
          <w:p w14:paraId="562E03F1">
            <w:pPr>
              <w:pStyle w:val="182"/>
              <w:bidi w:val="0"/>
              <w:rPr>
                <w:color w:val="auto"/>
              </w:rPr>
            </w:pPr>
            <w:r>
              <w:rPr>
                <w:color w:val="auto"/>
              </w:rPr>
              <w:t>163</w:t>
            </w:r>
          </w:p>
        </w:tc>
      </w:tr>
      <w:tr w14:paraId="3AB492F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3F9F8BE0">
            <w:pPr>
              <w:pStyle w:val="182"/>
              <w:bidi w:val="0"/>
              <w:rPr>
                <w:color w:val="auto"/>
              </w:rPr>
            </w:pPr>
            <w:r>
              <w:rPr>
                <w:color w:val="auto"/>
              </w:rPr>
              <w:t>16</w:t>
            </w:r>
          </w:p>
        </w:tc>
        <w:tc>
          <w:tcPr>
            <w:tcW w:w="1166" w:type="pct"/>
            <w:vAlign w:val="center"/>
          </w:tcPr>
          <w:p w14:paraId="78CC3561">
            <w:pPr>
              <w:pStyle w:val="182"/>
              <w:bidi w:val="0"/>
              <w:rPr>
                <w:color w:val="auto"/>
              </w:rPr>
            </w:pPr>
            <w:r>
              <w:rPr>
                <w:color w:val="auto"/>
              </w:rPr>
              <w:t>二氯甲烷</w:t>
            </w:r>
          </w:p>
        </w:tc>
        <w:tc>
          <w:tcPr>
            <w:tcW w:w="1041" w:type="pct"/>
            <w:vAlign w:val="center"/>
          </w:tcPr>
          <w:p w14:paraId="04F0B277">
            <w:pPr>
              <w:pStyle w:val="182"/>
              <w:bidi w:val="0"/>
              <w:rPr>
                <w:color w:val="auto"/>
              </w:rPr>
            </w:pPr>
            <w:r>
              <w:rPr>
                <w:color w:val="auto"/>
              </w:rPr>
              <w:t>75-09-2</w:t>
            </w:r>
          </w:p>
        </w:tc>
        <w:tc>
          <w:tcPr>
            <w:tcW w:w="629" w:type="pct"/>
            <w:vAlign w:val="center"/>
          </w:tcPr>
          <w:p w14:paraId="7B43E7D3">
            <w:pPr>
              <w:pStyle w:val="182"/>
              <w:bidi w:val="0"/>
              <w:rPr>
                <w:color w:val="auto"/>
              </w:rPr>
            </w:pPr>
            <w:r>
              <w:rPr>
                <w:color w:val="auto"/>
              </w:rPr>
              <w:t>94</w:t>
            </w:r>
          </w:p>
        </w:tc>
        <w:tc>
          <w:tcPr>
            <w:tcW w:w="629" w:type="pct"/>
            <w:vAlign w:val="center"/>
          </w:tcPr>
          <w:p w14:paraId="2290AE91">
            <w:pPr>
              <w:pStyle w:val="182"/>
              <w:bidi w:val="0"/>
              <w:rPr>
                <w:color w:val="auto"/>
              </w:rPr>
            </w:pPr>
            <w:r>
              <w:rPr>
                <w:color w:val="auto"/>
              </w:rPr>
              <w:t>616</w:t>
            </w:r>
          </w:p>
        </w:tc>
        <w:tc>
          <w:tcPr>
            <w:tcW w:w="629" w:type="pct"/>
            <w:vAlign w:val="center"/>
          </w:tcPr>
          <w:p w14:paraId="2B94F760">
            <w:pPr>
              <w:pStyle w:val="182"/>
              <w:bidi w:val="0"/>
              <w:rPr>
                <w:color w:val="auto"/>
              </w:rPr>
            </w:pPr>
            <w:r>
              <w:rPr>
                <w:color w:val="auto"/>
              </w:rPr>
              <w:t>300</w:t>
            </w:r>
          </w:p>
        </w:tc>
        <w:tc>
          <w:tcPr>
            <w:tcW w:w="645" w:type="pct"/>
            <w:vAlign w:val="center"/>
          </w:tcPr>
          <w:p w14:paraId="5A0F96C3">
            <w:pPr>
              <w:pStyle w:val="182"/>
              <w:bidi w:val="0"/>
              <w:rPr>
                <w:color w:val="auto"/>
              </w:rPr>
            </w:pPr>
            <w:r>
              <w:rPr>
                <w:color w:val="auto"/>
              </w:rPr>
              <w:t>2000</w:t>
            </w:r>
          </w:p>
        </w:tc>
      </w:tr>
      <w:tr w14:paraId="2D6FECA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7767D434">
            <w:pPr>
              <w:pStyle w:val="182"/>
              <w:bidi w:val="0"/>
              <w:rPr>
                <w:color w:val="auto"/>
              </w:rPr>
            </w:pPr>
            <w:r>
              <w:rPr>
                <w:color w:val="auto"/>
              </w:rPr>
              <w:t>17</w:t>
            </w:r>
          </w:p>
        </w:tc>
        <w:tc>
          <w:tcPr>
            <w:tcW w:w="1166" w:type="pct"/>
            <w:vAlign w:val="center"/>
          </w:tcPr>
          <w:p w14:paraId="1F1BBE18">
            <w:pPr>
              <w:pStyle w:val="182"/>
              <w:bidi w:val="0"/>
              <w:rPr>
                <w:color w:val="auto"/>
              </w:rPr>
            </w:pPr>
            <w:r>
              <w:rPr>
                <w:color w:val="auto"/>
              </w:rPr>
              <w:t>1，2-二氯丙烷</w:t>
            </w:r>
          </w:p>
        </w:tc>
        <w:tc>
          <w:tcPr>
            <w:tcW w:w="1041" w:type="pct"/>
            <w:vAlign w:val="center"/>
          </w:tcPr>
          <w:p w14:paraId="1161F81D">
            <w:pPr>
              <w:pStyle w:val="182"/>
              <w:bidi w:val="0"/>
              <w:rPr>
                <w:color w:val="auto"/>
              </w:rPr>
            </w:pPr>
            <w:r>
              <w:rPr>
                <w:color w:val="auto"/>
              </w:rPr>
              <w:t>78-87-5</w:t>
            </w:r>
          </w:p>
        </w:tc>
        <w:tc>
          <w:tcPr>
            <w:tcW w:w="629" w:type="pct"/>
            <w:vAlign w:val="center"/>
          </w:tcPr>
          <w:p w14:paraId="27E29219">
            <w:pPr>
              <w:pStyle w:val="182"/>
              <w:bidi w:val="0"/>
              <w:rPr>
                <w:color w:val="auto"/>
              </w:rPr>
            </w:pPr>
            <w:r>
              <w:rPr>
                <w:color w:val="auto"/>
              </w:rPr>
              <w:t>1</w:t>
            </w:r>
          </w:p>
        </w:tc>
        <w:tc>
          <w:tcPr>
            <w:tcW w:w="629" w:type="pct"/>
            <w:vAlign w:val="center"/>
          </w:tcPr>
          <w:p w14:paraId="689EA9AC">
            <w:pPr>
              <w:pStyle w:val="182"/>
              <w:bidi w:val="0"/>
              <w:rPr>
                <w:color w:val="auto"/>
              </w:rPr>
            </w:pPr>
            <w:r>
              <w:rPr>
                <w:color w:val="auto"/>
              </w:rPr>
              <w:t>5</w:t>
            </w:r>
          </w:p>
        </w:tc>
        <w:tc>
          <w:tcPr>
            <w:tcW w:w="629" w:type="pct"/>
            <w:vAlign w:val="center"/>
          </w:tcPr>
          <w:p w14:paraId="4803D3E1">
            <w:pPr>
              <w:pStyle w:val="182"/>
              <w:bidi w:val="0"/>
              <w:rPr>
                <w:color w:val="auto"/>
              </w:rPr>
            </w:pPr>
            <w:r>
              <w:rPr>
                <w:color w:val="auto"/>
              </w:rPr>
              <w:t>5</w:t>
            </w:r>
          </w:p>
        </w:tc>
        <w:tc>
          <w:tcPr>
            <w:tcW w:w="645" w:type="pct"/>
            <w:vAlign w:val="center"/>
          </w:tcPr>
          <w:p w14:paraId="2B61D5D5">
            <w:pPr>
              <w:pStyle w:val="182"/>
              <w:bidi w:val="0"/>
              <w:rPr>
                <w:color w:val="auto"/>
              </w:rPr>
            </w:pPr>
            <w:r>
              <w:rPr>
                <w:color w:val="auto"/>
              </w:rPr>
              <w:t>47</w:t>
            </w:r>
          </w:p>
        </w:tc>
      </w:tr>
      <w:tr w14:paraId="09ADBAE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0B4B80B2">
            <w:pPr>
              <w:pStyle w:val="182"/>
              <w:bidi w:val="0"/>
              <w:rPr>
                <w:color w:val="auto"/>
              </w:rPr>
            </w:pPr>
            <w:r>
              <w:rPr>
                <w:color w:val="auto"/>
              </w:rPr>
              <w:t>18</w:t>
            </w:r>
          </w:p>
        </w:tc>
        <w:tc>
          <w:tcPr>
            <w:tcW w:w="1166" w:type="pct"/>
            <w:vAlign w:val="center"/>
          </w:tcPr>
          <w:p w14:paraId="3A170FCE">
            <w:pPr>
              <w:pStyle w:val="182"/>
              <w:bidi w:val="0"/>
              <w:rPr>
                <w:color w:val="auto"/>
              </w:rPr>
            </w:pPr>
            <w:r>
              <w:rPr>
                <w:color w:val="auto"/>
              </w:rPr>
              <w:t>1，1，1，2-四氯乙烷</w:t>
            </w:r>
          </w:p>
        </w:tc>
        <w:tc>
          <w:tcPr>
            <w:tcW w:w="1041" w:type="pct"/>
            <w:vAlign w:val="center"/>
          </w:tcPr>
          <w:p w14:paraId="40FDE8EC">
            <w:pPr>
              <w:pStyle w:val="182"/>
              <w:bidi w:val="0"/>
              <w:rPr>
                <w:color w:val="auto"/>
              </w:rPr>
            </w:pPr>
            <w:r>
              <w:rPr>
                <w:color w:val="auto"/>
              </w:rPr>
              <w:t>630-20-6</w:t>
            </w:r>
          </w:p>
        </w:tc>
        <w:tc>
          <w:tcPr>
            <w:tcW w:w="629" w:type="pct"/>
            <w:vAlign w:val="center"/>
          </w:tcPr>
          <w:p w14:paraId="090FCACA">
            <w:pPr>
              <w:pStyle w:val="182"/>
              <w:bidi w:val="0"/>
              <w:rPr>
                <w:color w:val="auto"/>
              </w:rPr>
            </w:pPr>
            <w:r>
              <w:rPr>
                <w:color w:val="auto"/>
              </w:rPr>
              <w:t>2.6</w:t>
            </w:r>
          </w:p>
        </w:tc>
        <w:tc>
          <w:tcPr>
            <w:tcW w:w="629" w:type="pct"/>
            <w:vAlign w:val="center"/>
          </w:tcPr>
          <w:p w14:paraId="55780991">
            <w:pPr>
              <w:pStyle w:val="182"/>
              <w:bidi w:val="0"/>
              <w:rPr>
                <w:color w:val="auto"/>
              </w:rPr>
            </w:pPr>
            <w:r>
              <w:rPr>
                <w:color w:val="auto"/>
              </w:rPr>
              <w:t>10</w:t>
            </w:r>
          </w:p>
        </w:tc>
        <w:tc>
          <w:tcPr>
            <w:tcW w:w="629" w:type="pct"/>
            <w:vAlign w:val="center"/>
          </w:tcPr>
          <w:p w14:paraId="28CDCB1E">
            <w:pPr>
              <w:pStyle w:val="182"/>
              <w:bidi w:val="0"/>
              <w:rPr>
                <w:color w:val="auto"/>
              </w:rPr>
            </w:pPr>
            <w:r>
              <w:rPr>
                <w:color w:val="auto"/>
              </w:rPr>
              <w:t>26</w:t>
            </w:r>
          </w:p>
        </w:tc>
        <w:tc>
          <w:tcPr>
            <w:tcW w:w="645" w:type="pct"/>
            <w:vAlign w:val="center"/>
          </w:tcPr>
          <w:p w14:paraId="7AA773AB">
            <w:pPr>
              <w:pStyle w:val="182"/>
              <w:bidi w:val="0"/>
              <w:rPr>
                <w:color w:val="auto"/>
              </w:rPr>
            </w:pPr>
            <w:r>
              <w:rPr>
                <w:color w:val="auto"/>
              </w:rPr>
              <w:t>100</w:t>
            </w:r>
          </w:p>
        </w:tc>
      </w:tr>
      <w:tr w14:paraId="3BA9DF4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7447F375">
            <w:pPr>
              <w:pStyle w:val="182"/>
              <w:bidi w:val="0"/>
              <w:rPr>
                <w:color w:val="auto"/>
              </w:rPr>
            </w:pPr>
            <w:r>
              <w:rPr>
                <w:color w:val="auto"/>
              </w:rPr>
              <w:t>19</w:t>
            </w:r>
          </w:p>
        </w:tc>
        <w:tc>
          <w:tcPr>
            <w:tcW w:w="1166" w:type="pct"/>
            <w:vAlign w:val="center"/>
          </w:tcPr>
          <w:p w14:paraId="02672D3B">
            <w:pPr>
              <w:pStyle w:val="182"/>
              <w:bidi w:val="0"/>
              <w:rPr>
                <w:color w:val="auto"/>
              </w:rPr>
            </w:pPr>
            <w:r>
              <w:rPr>
                <w:color w:val="auto"/>
              </w:rPr>
              <w:t>1，1，2，2-四氯乙烷</w:t>
            </w:r>
          </w:p>
        </w:tc>
        <w:tc>
          <w:tcPr>
            <w:tcW w:w="1041" w:type="pct"/>
            <w:vAlign w:val="center"/>
          </w:tcPr>
          <w:p w14:paraId="31065B67">
            <w:pPr>
              <w:pStyle w:val="182"/>
              <w:bidi w:val="0"/>
              <w:rPr>
                <w:color w:val="auto"/>
              </w:rPr>
            </w:pPr>
            <w:r>
              <w:rPr>
                <w:color w:val="auto"/>
              </w:rPr>
              <w:t>79-34-5</w:t>
            </w:r>
          </w:p>
        </w:tc>
        <w:tc>
          <w:tcPr>
            <w:tcW w:w="629" w:type="pct"/>
            <w:vAlign w:val="center"/>
          </w:tcPr>
          <w:p w14:paraId="49A4D2B9">
            <w:pPr>
              <w:pStyle w:val="182"/>
              <w:bidi w:val="0"/>
              <w:rPr>
                <w:color w:val="auto"/>
              </w:rPr>
            </w:pPr>
            <w:r>
              <w:rPr>
                <w:color w:val="auto"/>
              </w:rPr>
              <w:t>1.6</w:t>
            </w:r>
          </w:p>
        </w:tc>
        <w:tc>
          <w:tcPr>
            <w:tcW w:w="629" w:type="pct"/>
            <w:vAlign w:val="center"/>
          </w:tcPr>
          <w:p w14:paraId="703A5558">
            <w:pPr>
              <w:pStyle w:val="182"/>
              <w:bidi w:val="0"/>
              <w:rPr>
                <w:color w:val="auto"/>
              </w:rPr>
            </w:pPr>
            <w:r>
              <w:rPr>
                <w:color w:val="auto"/>
              </w:rPr>
              <w:t>6.8</w:t>
            </w:r>
          </w:p>
        </w:tc>
        <w:tc>
          <w:tcPr>
            <w:tcW w:w="629" w:type="pct"/>
            <w:vAlign w:val="center"/>
          </w:tcPr>
          <w:p w14:paraId="7C185311">
            <w:pPr>
              <w:pStyle w:val="182"/>
              <w:bidi w:val="0"/>
              <w:rPr>
                <w:color w:val="auto"/>
              </w:rPr>
            </w:pPr>
            <w:r>
              <w:rPr>
                <w:color w:val="auto"/>
              </w:rPr>
              <w:t>14</w:t>
            </w:r>
          </w:p>
        </w:tc>
        <w:tc>
          <w:tcPr>
            <w:tcW w:w="645" w:type="pct"/>
            <w:vAlign w:val="center"/>
          </w:tcPr>
          <w:p w14:paraId="12871A1A">
            <w:pPr>
              <w:pStyle w:val="182"/>
              <w:bidi w:val="0"/>
              <w:rPr>
                <w:color w:val="auto"/>
              </w:rPr>
            </w:pPr>
            <w:r>
              <w:rPr>
                <w:color w:val="auto"/>
              </w:rPr>
              <w:t>50</w:t>
            </w:r>
          </w:p>
        </w:tc>
      </w:tr>
      <w:tr w14:paraId="7A9D1A9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65B10284">
            <w:pPr>
              <w:pStyle w:val="182"/>
              <w:bidi w:val="0"/>
              <w:rPr>
                <w:color w:val="auto"/>
              </w:rPr>
            </w:pPr>
            <w:r>
              <w:rPr>
                <w:color w:val="auto"/>
              </w:rPr>
              <w:t>20</w:t>
            </w:r>
          </w:p>
        </w:tc>
        <w:tc>
          <w:tcPr>
            <w:tcW w:w="1166" w:type="pct"/>
            <w:vAlign w:val="center"/>
          </w:tcPr>
          <w:p w14:paraId="020D102E">
            <w:pPr>
              <w:pStyle w:val="182"/>
              <w:bidi w:val="0"/>
              <w:rPr>
                <w:color w:val="auto"/>
              </w:rPr>
            </w:pPr>
            <w:r>
              <w:rPr>
                <w:color w:val="auto"/>
              </w:rPr>
              <w:t>四氯乙烯</w:t>
            </w:r>
          </w:p>
        </w:tc>
        <w:tc>
          <w:tcPr>
            <w:tcW w:w="1041" w:type="pct"/>
            <w:vAlign w:val="center"/>
          </w:tcPr>
          <w:p w14:paraId="2F350F45">
            <w:pPr>
              <w:pStyle w:val="182"/>
              <w:bidi w:val="0"/>
              <w:rPr>
                <w:color w:val="auto"/>
              </w:rPr>
            </w:pPr>
            <w:r>
              <w:rPr>
                <w:color w:val="auto"/>
              </w:rPr>
              <w:t>127-18-4</w:t>
            </w:r>
          </w:p>
        </w:tc>
        <w:tc>
          <w:tcPr>
            <w:tcW w:w="629" w:type="pct"/>
            <w:vAlign w:val="center"/>
          </w:tcPr>
          <w:p w14:paraId="527FDB3F">
            <w:pPr>
              <w:pStyle w:val="182"/>
              <w:bidi w:val="0"/>
              <w:rPr>
                <w:color w:val="auto"/>
              </w:rPr>
            </w:pPr>
            <w:r>
              <w:rPr>
                <w:color w:val="auto"/>
              </w:rPr>
              <w:t>11</w:t>
            </w:r>
          </w:p>
        </w:tc>
        <w:tc>
          <w:tcPr>
            <w:tcW w:w="629" w:type="pct"/>
            <w:vAlign w:val="center"/>
          </w:tcPr>
          <w:p w14:paraId="0D790F6C">
            <w:pPr>
              <w:pStyle w:val="182"/>
              <w:bidi w:val="0"/>
              <w:rPr>
                <w:color w:val="auto"/>
              </w:rPr>
            </w:pPr>
            <w:r>
              <w:rPr>
                <w:color w:val="auto"/>
              </w:rPr>
              <w:t>53</w:t>
            </w:r>
          </w:p>
        </w:tc>
        <w:tc>
          <w:tcPr>
            <w:tcW w:w="629" w:type="pct"/>
            <w:vAlign w:val="center"/>
          </w:tcPr>
          <w:p w14:paraId="023FCD9C">
            <w:pPr>
              <w:pStyle w:val="182"/>
              <w:bidi w:val="0"/>
              <w:rPr>
                <w:color w:val="auto"/>
              </w:rPr>
            </w:pPr>
            <w:r>
              <w:rPr>
                <w:color w:val="auto"/>
              </w:rPr>
              <w:t>34</w:t>
            </w:r>
          </w:p>
        </w:tc>
        <w:tc>
          <w:tcPr>
            <w:tcW w:w="645" w:type="pct"/>
            <w:vAlign w:val="center"/>
          </w:tcPr>
          <w:p w14:paraId="5F53ECAF">
            <w:pPr>
              <w:pStyle w:val="182"/>
              <w:bidi w:val="0"/>
              <w:rPr>
                <w:color w:val="auto"/>
              </w:rPr>
            </w:pPr>
            <w:r>
              <w:rPr>
                <w:color w:val="auto"/>
              </w:rPr>
              <w:t>183</w:t>
            </w:r>
          </w:p>
        </w:tc>
      </w:tr>
      <w:tr w14:paraId="6659560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3251A97D">
            <w:pPr>
              <w:pStyle w:val="182"/>
              <w:bidi w:val="0"/>
              <w:rPr>
                <w:color w:val="auto"/>
              </w:rPr>
            </w:pPr>
            <w:r>
              <w:rPr>
                <w:color w:val="auto"/>
              </w:rPr>
              <w:t>21</w:t>
            </w:r>
          </w:p>
        </w:tc>
        <w:tc>
          <w:tcPr>
            <w:tcW w:w="1166" w:type="pct"/>
            <w:vAlign w:val="center"/>
          </w:tcPr>
          <w:p w14:paraId="5D7E4BE3">
            <w:pPr>
              <w:pStyle w:val="182"/>
              <w:bidi w:val="0"/>
              <w:rPr>
                <w:color w:val="auto"/>
              </w:rPr>
            </w:pPr>
            <w:r>
              <w:rPr>
                <w:color w:val="auto"/>
              </w:rPr>
              <w:t>1，1，1-三氯乙烷</w:t>
            </w:r>
          </w:p>
        </w:tc>
        <w:tc>
          <w:tcPr>
            <w:tcW w:w="1041" w:type="pct"/>
            <w:vAlign w:val="center"/>
          </w:tcPr>
          <w:p w14:paraId="00BFF8AF">
            <w:pPr>
              <w:pStyle w:val="182"/>
              <w:bidi w:val="0"/>
              <w:rPr>
                <w:color w:val="auto"/>
              </w:rPr>
            </w:pPr>
            <w:r>
              <w:rPr>
                <w:color w:val="auto"/>
              </w:rPr>
              <w:t>71-55-6</w:t>
            </w:r>
          </w:p>
        </w:tc>
        <w:tc>
          <w:tcPr>
            <w:tcW w:w="629" w:type="pct"/>
            <w:vAlign w:val="center"/>
          </w:tcPr>
          <w:p w14:paraId="06ECECD7">
            <w:pPr>
              <w:pStyle w:val="182"/>
              <w:bidi w:val="0"/>
              <w:rPr>
                <w:color w:val="auto"/>
              </w:rPr>
            </w:pPr>
            <w:r>
              <w:rPr>
                <w:color w:val="auto"/>
              </w:rPr>
              <w:t>701</w:t>
            </w:r>
          </w:p>
        </w:tc>
        <w:tc>
          <w:tcPr>
            <w:tcW w:w="629" w:type="pct"/>
            <w:vAlign w:val="center"/>
          </w:tcPr>
          <w:p w14:paraId="67B073ED">
            <w:pPr>
              <w:pStyle w:val="182"/>
              <w:bidi w:val="0"/>
              <w:rPr>
                <w:color w:val="auto"/>
              </w:rPr>
            </w:pPr>
            <w:r>
              <w:rPr>
                <w:color w:val="auto"/>
              </w:rPr>
              <w:t>840</w:t>
            </w:r>
          </w:p>
        </w:tc>
        <w:tc>
          <w:tcPr>
            <w:tcW w:w="629" w:type="pct"/>
            <w:vAlign w:val="center"/>
          </w:tcPr>
          <w:p w14:paraId="393688E3">
            <w:pPr>
              <w:pStyle w:val="182"/>
              <w:bidi w:val="0"/>
              <w:rPr>
                <w:color w:val="auto"/>
              </w:rPr>
            </w:pPr>
            <w:r>
              <w:rPr>
                <w:color w:val="auto"/>
              </w:rPr>
              <w:t>840</w:t>
            </w:r>
          </w:p>
        </w:tc>
        <w:tc>
          <w:tcPr>
            <w:tcW w:w="645" w:type="pct"/>
            <w:vAlign w:val="center"/>
          </w:tcPr>
          <w:p w14:paraId="19AADA51">
            <w:pPr>
              <w:pStyle w:val="182"/>
              <w:bidi w:val="0"/>
              <w:rPr>
                <w:color w:val="auto"/>
              </w:rPr>
            </w:pPr>
            <w:r>
              <w:rPr>
                <w:color w:val="auto"/>
              </w:rPr>
              <w:t>840</w:t>
            </w:r>
          </w:p>
        </w:tc>
      </w:tr>
      <w:tr w14:paraId="0DFA927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4B03D35D">
            <w:pPr>
              <w:pStyle w:val="182"/>
              <w:bidi w:val="0"/>
              <w:rPr>
                <w:color w:val="auto"/>
              </w:rPr>
            </w:pPr>
            <w:r>
              <w:rPr>
                <w:color w:val="auto"/>
              </w:rPr>
              <w:t>22</w:t>
            </w:r>
          </w:p>
        </w:tc>
        <w:tc>
          <w:tcPr>
            <w:tcW w:w="1166" w:type="pct"/>
            <w:vAlign w:val="center"/>
          </w:tcPr>
          <w:p w14:paraId="136AFBC8">
            <w:pPr>
              <w:pStyle w:val="182"/>
              <w:bidi w:val="0"/>
              <w:rPr>
                <w:color w:val="auto"/>
              </w:rPr>
            </w:pPr>
            <w:r>
              <w:rPr>
                <w:color w:val="auto"/>
              </w:rPr>
              <w:t>1，1，2-三氯乙烷</w:t>
            </w:r>
          </w:p>
        </w:tc>
        <w:tc>
          <w:tcPr>
            <w:tcW w:w="1041" w:type="pct"/>
            <w:vAlign w:val="center"/>
          </w:tcPr>
          <w:p w14:paraId="5C586FAC">
            <w:pPr>
              <w:pStyle w:val="182"/>
              <w:bidi w:val="0"/>
              <w:rPr>
                <w:color w:val="auto"/>
              </w:rPr>
            </w:pPr>
            <w:r>
              <w:rPr>
                <w:color w:val="auto"/>
              </w:rPr>
              <w:t>79-00-5</w:t>
            </w:r>
          </w:p>
        </w:tc>
        <w:tc>
          <w:tcPr>
            <w:tcW w:w="629" w:type="pct"/>
            <w:vAlign w:val="center"/>
          </w:tcPr>
          <w:p w14:paraId="47A43228">
            <w:pPr>
              <w:pStyle w:val="182"/>
              <w:bidi w:val="0"/>
              <w:rPr>
                <w:color w:val="auto"/>
              </w:rPr>
            </w:pPr>
            <w:r>
              <w:rPr>
                <w:color w:val="auto"/>
              </w:rPr>
              <w:t>0.6</w:t>
            </w:r>
          </w:p>
        </w:tc>
        <w:tc>
          <w:tcPr>
            <w:tcW w:w="629" w:type="pct"/>
            <w:vAlign w:val="center"/>
          </w:tcPr>
          <w:p w14:paraId="0CB7576D">
            <w:pPr>
              <w:pStyle w:val="182"/>
              <w:bidi w:val="0"/>
              <w:rPr>
                <w:color w:val="auto"/>
              </w:rPr>
            </w:pPr>
            <w:r>
              <w:rPr>
                <w:color w:val="auto"/>
              </w:rPr>
              <w:t>2.8</w:t>
            </w:r>
          </w:p>
        </w:tc>
        <w:tc>
          <w:tcPr>
            <w:tcW w:w="629" w:type="pct"/>
            <w:vAlign w:val="center"/>
          </w:tcPr>
          <w:p w14:paraId="751AEC5E">
            <w:pPr>
              <w:pStyle w:val="182"/>
              <w:bidi w:val="0"/>
              <w:rPr>
                <w:color w:val="auto"/>
              </w:rPr>
            </w:pPr>
            <w:r>
              <w:rPr>
                <w:color w:val="auto"/>
              </w:rPr>
              <w:t>5</w:t>
            </w:r>
          </w:p>
        </w:tc>
        <w:tc>
          <w:tcPr>
            <w:tcW w:w="645" w:type="pct"/>
            <w:vAlign w:val="center"/>
          </w:tcPr>
          <w:p w14:paraId="33348099">
            <w:pPr>
              <w:pStyle w:val="182"/>
              <w:bidi w:val="0"/>
              <w:rPr>
                <w:color w:val="auto"/>
              </w:rPr>
            </w:pPr>
            <w:r>
              <w:rPr>
                <w:color w:val="auto"/>
              </w:rPr>
              <w:t>15</w:t>
            </w:r>
          </w:p>
        </w:tc>
      </w:tr>
      <w:tr w14:paraId="60F39D8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1D812318">
            <w:pPr>
              <w:pStyle w:val="182"/>
              <w:bidi w:val="0"/>
              <w:rPr>
                <w:color w:val="auto"/>
              </w:rPr>
            </w:pPr>
            <w:r>
              <w:rPr>
                <w:color w:val="auto"/>
              </w:rPr>
              <w:t>23</w:t>
            </w:r>
          </w:p>
        </w:tc>
        <w:tc>
          <w:tcPr>
            <w:tcW w:w="1166" w:type="pct"/>
            <w:vAlign w:val="center"/>
          </w:tcPr>
          <w:p w14:paraId="4C7414FD">
            <w:pPr>
              <w:pStyle w:val="182"/>
              <w:bidi w:val="0"/>
              <w:rPr>
                <w:color w:val="auto"/>
              </w:rPr>
            </w:pPr>
            <w:r>
              <w:rPr>
                <w:color w:val="auto"/>
              </w:rPr>
              <w:t>三氯乙烯</w:t>
            </w:r>
          </w:p>
        </w:tc>
        <w:tc>
          <w:tcPr>
            <w:tcW w:w="1041" w:type="pct"/>
            <w:vAlign w:val="center"/>
          </w:tcPr>
          <w:p w14:paraId="0EFBC63E">
            <w:pPr>
              <w:pStyle w:val="182"/>
              <w:bidi w:val="0"/>
              <w:rPr>
                <w:color w:val="auto"/>
              </w:rPr>
            </w:pPr>
            <w:r>
              <w:rPr>
                <w:color w:val="auto"/>
              </w:rPr>
              <w:t>79-01-6</w:t>
            </w:r>
          </w:p>
        </w:tc>
        <w:tc>
          <w:tcPr>
            <w:tcW w:w="629" w:type="pct"/>
            <w:vAlign w:val="center"/>
          </w:tcPr>
          <w:p w14:paraId="26161A5F">
            <w:pPr>
              <w:pStyle w:val="182"/>
              <w:bidi w:val="0"/>
              <w:rPr>
                <w:color w:val="auto"/>
              </w:rPr>
            </w:pPr>
            <w:r>
              <w:rPr>
                <w:color w:val="auto"/>
              </w:rPr>
              <w:t>0.7</w:t>
            </w:r>
          </w:p>
        </w:tc>
        <w:tc>
          <w:tcPr>
            <w:tcW w:w="629" w:type="pct"/>
            <w:vAlign w:val="center"/>
          </w:tcPr>
          <w:p w14:paraId="65338665">
            <w:pPr>
              <w:pStyle w:val="182"/>
              <w:bidi w:val="0"/>
              <w:rPr>
                <w:color w:val="auto"/>
              </w:rPr>
            </w:pPr>
            <w:r>
              <w:rPr>
                <w:color w:val="auto"/>
              </w:rPr>
              <w:t>2.8</w:t>
            </w:r>
          </w:p>
        </w:tc>
        <w:tc>
          <w:tcPr>
            <w:tcW w:w="629" w:type="pct"/>
            <w:vAlign w:val="center"/>
          </w:tcPr>
          <w:p w14:paraId="1AA9C94B">
            <w:pPr>
              <w:pStyle w:val="182"/>
              <w:bidi w:val="0"/>
              <w:rPr>
                <w:color w:val="auto"/>
              </w:rPr>
            </w:pPr>
            <w:r>
              <w:rPr>
                <w:color w:val="auto"/>
              </w:rPr>
              <w:t>7</w:t>
            </w:r>
          </w:p>
        </w:tc>
        <w:tc>
          <w:tcPr>
            <w:tcW w:w="645" w:type="pct"/>
            <w:vAlign w:val="center"/>
          </w:tcPr>
          <w:p w14:paraId="2F410301">
            <w:pPr>
              <w:pStyle w:val="182"/>
              <w:bidi w:val="0"/>
              <w:rPr>
                <w:color w:val="auto"/>
              </w:rPr>
            </w:pPr>
            <w:r>
              <w:rPr>
                <w:color w:val="auto"/>
              </w:rPr>
              <w:t>20</w:t>
            </w:r>
          </w:p>
        </w:tc>
      </w:tr>
      <w:tr w14:paraId="3395A31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32D5065C">
            <w:pPr>
              <w:pStyle w:val="182"/>
              <w:bidi w:val="0"/>
              <w:rPr>
                <w:color w:val="auto"/>
              </w:rPr>
            </w:pPr>
            <w:r>
              <w:rPr>
                <w:color w:val="auto"/>
              </w:rPr>
              <w:t>24</w:t>
            </w:r>
          </w:p>
        </w:tc>
        <w:tc>
          <w:tcPr>
            <w:tcW w:w="1166" w:type="pct"/>
            <w:vAlign w:val="center"/>
          </w:tcPr>
          <w:p w14:paraId="2D6583A9">
            <w:pPr>
              <w:pStyle w:val="182"/>
              <w:bidi w:val="0"/>
              <w:rPr>
                <w:color w:val="auto"/>
              </w:rPr>
            </w:pPr>
            <w:r>
              <w:rPr>
                <w:color w:val="auto"/>
              </w:rPr>
              <w:t>1，2，3-三氯丙烷</w:t>
            </w:r>
          </w:p>
        </w:tc>
        <w:tc>
          <w:tcPr>
            <w:tcW w:w="1041" w:type="pct"/>
            <w:vAlign w:val="center"/>
          </w:tcPr>
          <w:p w14:paraId="09572377">
            <w:pPr>
              <w:pStyle w:val="182"/>
              <w:bidi w:val="0"/>
              <w:rPr>
                <w:color w:val="auto"/>
              </w:rPr>
            </w:pPr>
            <w:r>
              <w:rPr>
                <w:color w:val="auto"/>
              </w:rPr>
              <w:t>96-18-4</w:t>
            </w:r>
          </w:p>
        </w:tc>
        <w:tc>
          <w:tcPr>
            <w:tcW w:w="629" w:type="pct"/>
            <w:vAlign w:val="center"/>
          </w:tcPr>
          <w:p w14:paraId="68FB3639">
            <w:pPr>
              <w:pStyle w:val="182"/>
              <w:bidi w:val="0"/>
              <w:rPr>
                <w:color w:val="auto"/>
              </w:rPr>
            </w:pPr>
            <w:r>
              <w:rPr>
                <w:color w:val="auto"/>
              </w:rPr>
              <w:t>0.05</w:t>
            </w:r>
          </w:p>
        </w:tc>
        <w:tc>
          <w:tcPr>
            <w:tcW w:w="629" w:type="pct"/>
            <w:vAlign w:val="center"/>
          </w:tcPr>
          <w:p w14:paraId="3A1ED903">
            <w:pPr>
              <w:pStyle w:val="182"/>
              <w:bidi w:val="0"/>
              <w:rPr>
                <w:color w:val="auto"/>
              </w:rPr>
            </w:pPr>
            <w:r>
              <w:rPr>
                <w:color w:val="auto"/>
              </w:rPr>
              <w:t>0.5</w:t>
            </w:r>
          </w:p>
        </w:tc>
        <w:tc>
          <w:tcPr>
            <w:tcW w:w="629" w:type="pct"/>
            <w:vAlign w:val="center"/>
          </w:tcPr>
          <w:p w14:paraId="0B05D478">
            <w:pPr>
              <w:pStyle w:val="182"/>
              <w:bidi w:val="0"/>
              <w:rPr>
                <w:color w:val="auto"/>
              </w:rPr>
            </w:pPr>
            <w:r>
              <w:rPr>
                <w:color w:val="auto"/>
              </w:rPr>
              <w:t>0.5</w:t>
            </w:r>
          </w:p>
        </w:tc>
        <w:tc>
          <w:tcPr>
            <w:tcW w:w="645" w:type="pct"/>
            <w:vAlign w:val="center"/>
          </w:tcPr>
          <w:p w14:paraId="69EC3FD1">
            <w:pPr>
              <w:pStyle w:val="182"/>
              <w:bidi w:val="0"/>
              <w:rPr>
                <w:color w:val="auto"/>
              </w:rPr>
            </w:pPr>
            <w:r>
              <w:rPr>
                <w:color w:val="auto"/>
              </w:rPr>
              <w:t>5</w:t>
            </w:r>
          </w:p>
        </w:tc>
      </w:tr>
      <w:tr w14:paraId="22433E8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044B1DAF">
            <w:pPr>
              <w:pStyle w:val="182"/>
              <w:bidi w:val="0"/>
              <w:rPr>
                <w:color w:val="auto"/>
              </w:rPr>
            </w:pPr>
            <w:r>
              <w:rPr>
                <w:color w:val="auto"/>
              </w:rPr>
              <w:t>25</w:t>
            </w:r>
          </w:p>
        </w:tc>
        <w:tc>
          <w:tcPr>
            <w:tcW w:w="1166" w:type="pct"/>
            <w:vAlign w:val="center"/>
          </w:tcPr>
          <w:p w14:paraId="42818F04">
            <w:pPr>
              <w:pStyle w:val="182"/>
              <w:bidi w:val="0"/>
              <w:rPr>
                <w:color w:val="auto"/>
              </w:rPr>
            </w:pPr>
            <w:r>
              <w:rPr>
                <w:color w:val="auto"/>
              </w:rPr>
              <w:t>氯乙烯</w:t>
            </w:r>
          </w:p>
        </w:tc>
        <w:tc>
          <w:tcPr>
            <w:tcW w:w="1041" w:type="pct"/>
            <w:vAlign w:val="center"/>
          </w:tcPr>
          <w:p w14:paraId="3B8482DC">
            <w:pPr>
              <w:pStyle w:val="182"/>
              <w:bidi w:val="0"/>
              <w:rPr>
                <w:color w:val="auto"/>
              </w:rPr>
            </w:pPr>
            <w:r>
              <w:rPr>
                <w:color w:val="auto"/>
              </w:rPr>
              <w:t>75-01-4</w:t>
            </w:r>
          </w:p>
        </w:tc>
        <w:tc>
          <w:tcPr>
            <w:tcW w:w="629" w:type="pct"/>
            <w:vAlign w:val="center"/>
          </w:tcPr>
          <w:p w14:paraId="112DEAA3">
            <w:pPr>
              <w:pStyle w:val="182"/>
              <w:bidi w:val="0"/>
              <w:rPr>
                <w:color w:val="auto"/>
              </w:rPr>
            </w:pPr>
            <w:r>
              <w:rPr>
                <w:color w:val="auto"/>
              </w:rPr>
              <w:t>0.12</w:t>
            </w:r>
          </w:p>
        </w:tc>
        <w:tc>
          <w:tcPr>
            <w:tcW w:w="629" w:type="pct"/>
            <w:vAlign w:val="center"/>
          </w:tcPr>
          <w:p w14:paraId="5246DAB0">
            <w:pPr>
              <w:pStyle w:val="182"/>
              <w:bidi w:val="0"/>
              <w:rPr>
                <w:color w:val="auto"/>
              </w:rPr>
            </w:pPr>
            <w:r>
              <w:rPr>
                <w:color w:val="auto"/>
              </w:rPr>
              <w:t>0.43</w:t>
            </w:r>
          </w:p>
        </w:tc>
        <w:tc>
          <w:tcPr>
            <w:tcW w:w="629" w:type="pct"/>
            <w:vAlign w:val="center"/>
          </w:tcPr>
          <w:p w14:paraId="5DC95333">
            <w:pPr>
              <w:pStyle w:val="182"/>
              <w:bidi w:val="0"/>
              <w:rPr>
                <w:color w:val="auto"/>
              </w:rPr>
            </w:pPr>
            <w:r>
              <w:rPr>
                <w:color w:val="auto"/>
              </w:rPr>
              <w:t>1.2</w:t>
            </w:r>
          </w:p>
        </w:tc>
        <w:tc>
          <w:tcPr>
            <w:tcW w:w="645" w:type="pct"/>
            <w:vAlign w:val="center"/>
          </w:tcPr>
          <w:p w14:paraId="22C3840D">
            <w:pPr>
              <w:pStyle w:val="182"/>
              <w:bidi w:val="0"/>
              <w:rPr>
                <w:color w:val="auto"/>
              </w:rPr>
            </w:pPr>
            <w:r>
              <w:rPr>
                <w:color w:val="auto"/>
              </w:rPr>
              <w:t>4.3</w:t>
            </w:r>
          </w:p>
        </w:tc>
      </w:tr>
      <w:tr w14:paraId="2771FE1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2715E53A">
            <w:pPr>
              <w:pStyle w:val="182"/>
              <w:bidi w:val="0"/>
              <w:rPr>
                <w:color w:val="auto"/>
              </w:rPr>
            </w:pPr>
            <w:r>
              <w:rPr>
                <w:color w:val="auto"/>
              </w:rPr>
              <w:t>26</w:t>
            </w:r>
          </w:p>
        </w:tc>
        <w:tc>
          <w:tcPr>
            <w:tcW w:w="1166" w:type="pct"/>
            <w:vAlign w:val="center"/>
          </w:tcPr>
          <w:p w14:paraId="12643F10">
            <w:pPr>
              <w:pStyle w:val="182"/>
              <w:bidi w:val="0"/>
              <w:rPr>
                <w:color w:val="auto"/>
              </w:rPr>
            </w:pPr>
            <w:r>
              <w:rPr>
                <w:color w:val="auto"/>
              </w:rPr>
              <w:t>苯</w:t>
            </w:r>
          </w:p>
        </w:tc>
        <w:tc>
          <w:tcPr>
            <w:tcW w:w="1041" w:type="pct"/>
            <w:vAlign w:val="center"/>
          </w:tcPr>
          <w:p w14:paraId="77348CB8">
            <w:pPr>
              <w:pStyle w:val="182"/>
              <w:bidi w:val="0"/>
              <w:rPr>
                <w:color w:val="auto"/>
              </w:rPr>
            </w:pPr>
            <w:r>
              <w:rPr>
                <w:color w:val="auto"/>
              </w:rPr>
              <w:t>71-43-2</w:t>
            </w:r>
          </w:p>
        </w:tc>
        <w:tc>
          <w:tcPr>
            <w:tcW w:w="629" w:type="pct"/>
            <w:vAlign w:val="center"/>
          </w:tcPr>
          <w:p w14:paraId="726178F9">
            <w:pPr>
              <w:pStyle w:val="182"/>
              <w:bidi w:val="0"/>
              <w:rPr>
                <w:color w:val="auto"/>
              </w:rPr>
            </w:pPr>
            <w:r>
              <w:rPr>
                <w:color w:val="auto"/>
              </w:rPr>
              <w:t>1</w:t>
            </w:r>
          </w:p>
        </w:tc>
        <w:tc>
          <w:tcPr>
            <w:tcW w:w="629" w:type="pct"/>
            <w:vAlign w:val="center"/>
          </w:tcPr>
          <w:p w14:paraId="694813BF">
            <w:pPr>
              <w:pStyle w:val="182"/>
              <w:bidi w:val="0"/>
              <w:rPr>
                <w:color w:val="auto"/>
              </w:rPr>
            </w:pPr>
            <w:r>
              <w:rPr>
                <w:color w:val="auto"/>
              </w:rPr>
              <w:t>4</w:t>
            </w:r>
          </w:p>
        </w:tc>
        <w:tc>
          <w:tcPr>
            <w:tcW w:w="629" w:type="pct"/>
            <w:vAlign w:val="center"/>
          </w:tcPr>
          <w:p w14:paraId="19D9A35C">
            <w:pPr>
              <w:pStyle w:val="182"/>
              <w:bidi w:val="0"/>
              <w:rPr>
                <w:color w:val="auto"/>
              </w:rPr>
            </w:pPr>
            <w:r>
              <w:rPr>
                <w:color w:val="auto"/>
              </w:rPr>
              <w:t>10</w:t>
            </w:r>
          </w:p>
        </w:tc>
        <w:tc>
          <w:tcPr>
            <w:tcW w:w="645" w:type="pct"/>
            <w:vAlign w:val="center"/>
          </w:tcPr>
          <w:p w14:paraId="1054FDF0">
            <w:pPr>
              <w:pStyle w:val="182"/>
              <w:bidi w:val="0"/>
              <w:rPr>
                <w:color w:val="auto"/>
              </w:rPr>
            </w:pPr>
            <w:r>
              <w:rPr>
                <w:color w:val="auto"/>
              </w:rPr>
              <w:t>40</w:t>
            </w:r>
          </w:p>
        </w:tc>
      </w:tr>
      <w:tr w14:paraId="4EA419A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5EA000B2">
            <w:pPr>
              <w:pStyle w:val="182"/>
              <w:bidi w:val="0"/>
              <w:rPr>
                <w:color w:val="auto"/>
              </w:rPr>
            </w:pPr>
            <w:r>
              <w:rPr>
                <w:color w:val="auto"/>
              </w:rPr>
              <w:t>27</w:t>
            </w:r>
          </w:p>
        </w:tc>
        <w:tc>
          <w:tcPr>
            <w:tcW w:w="1166" w:type="pct"/>
            <w:vAlign w:val="center"/>
          </w:tcPr>
          <w:p w14:paraId="5C45E51C">
            <w:pPr>
              <w:pStyle w:val="182"/>
              <w:bidi w:val="0"/>
              <w:rPr>
                <w:color w:val="auto"/>
              </w:rPr>
            </w:pPr>
            <w:r>
              <w:rPr>
                <w:color w:val="auto"/>
              </w:rPr>
              <w:t>氯苯</w:t>
            </w:r>
          </w:p>
        </w:tc>
        <w:tc>
          <w:tcPr>
            <w:tcW w:w="1041" w:type="pct"/>
            <w:vAlign w:val="center"/>
          </w:tcPr>
          <w:p w14:paraId="7F696337">
            <w:pPr>
              <w:pStyle w:val="182"/>
              <w:bidi w:val="0"/>
              <w:rPr>
                <w:color w:val="auto"/>
              </w:rPr>
            </w:pPr>
            <w:r>
              <w:rPr>
                <w:color w:val="auto"/>
              </w:rPr>
              <w:t>108-90-7</w:t>
            </w:r>
          </w:p>
        </w:tc>
        <w:tc>
          <w:tcPr>
            <w:tcW w:w="629" w:type="pct"/>
            <w:vAlign w:val="center"/>
          </w:tcPr>
          <w:p w14:paraId="16AB145F">
            <w:pPr>
              <w:pStyle w:val="182"/>
              <w:bidi w:val="0"/>
              <w:rPr>
                <w:color w:val="auto"/>
              </w:rPr>
            </w:pPr>
            <w:r>
              <w:rPr>
                <w:color w:val="auto"/>
              </w:rPr>
              <w:t>68</w:t>
            </w:r>
          </w:p>
        </w:tc>
        <w:tc>
          <w:tcPr>
            <w:tcW w:w="629" w:type="pct"/>
            <w:vAlign w:val="center"/>
          </w:tcPr>
          <w:p w14:paraId="4907D1AA">
            <w:pPr>
              <w:pStyle w:val="182"/>
              <w:bidi w:val="0"/>
              <w:rPr>
                <w:color w:val="auto"/>
              </w:rPr>
            </w:pPr>
            <w:r>
              <w:rPr>
                <w:color w:val="auto"/>
              </w:rPr>
              <w:t>270</w:t>
            </w:r>
          </w:p>
        </w:tc>
        <w:tc>
          <w:tcPr>
            <w:tcW w:w="629" w:type="pct"/>
            <w:vAlign w:val="center"/>
          </w:tcPr>
          <w:p w14:paraId="35EBA658">
            <w:pPr>
              <w:pStyle w:val="182"/>
              <w:bidi w:val="0"/>
              <w:rPr>
                <w:color w:val="auto"/>
              </w:rPr>
            </w:pPr>
            <w:r>
              <w:rPr>
                <w:color w:val="auto"/>
              </w:rPr>
              <w:t>200</w:t>
            </w:r>
          </w:p>
        </w:tc>
        <w:tc>
          <w:tcPr>
            <w:tcW w:w="645" w:type="pct"/>
            <w:vAlign w:val="center"/>
          </w:tcPr>
          <w:p w14:paraId="13A72524">
            <w:pPr>
              <w:pStyle w:val="182"/>
              <w:bidi w:val="0"/>
              <w:rPr>
                <w:color w:val="auto"/>
              </w:rPr>
            </w:pPr>
            <w:r>
              <w:rPr>
                <w:color w:val="auto"/>
              </w:rPr>
              <w:t>1000</w:t>
            </w:r>
          </w:p>
        </w:tc>
      </w:tr>
      <w:tr w14:paraId="732E7E4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056A4DCA">
            <w:pPr>
              <w:pStyle w:val="182"/>
              <w:bidi w:val="0"/>
              <w:rPr>
                <w:color w:val="auto"/>
              </w:rPr>
            </w:pPr>
            <w:r>
              <w:rPr>
                <w:color w:val="auto"/>
              </w:rPr>
              <w:t>28</w:t>
            </w:r>
          </w:p>
        </w:tc>
        <w:tc>
          <w:tcPr>
            <w:tcW w:w="1166" w:type="pct"/>
            <w:vAlign w:val="center"/>
          </w:tcPr>
          <w:p w14:paraId="58AA9051">
            <w:pPr>
              <w:pStyle w:val="182"/>
              <w:bidi w:val="0"/>
              <w:rPr>
                <w:color w:val="auto"/>
              </w:rPr>
            </w:pPr>
            <w:r>
              <w:rPr>
                <w:color w:val="auto"/>
              </w:rPr>
              <w:t>1，2-二氯苯</w:t>
            </w:r>
          </w:p>
        </w:tc>
        <w:tc>
          <w:tcPr>
            <w:tcW w:w="1041" w:type="pct"/>
            <w:vAlign w:val="center"/>
          </w:tcPr>
          <w:p w14:paraId="59439AF6">
            <w:pPr>
              <w:pStyle w:val="182"/>
              <w:bidi w:val="0"/>
              <w:rPr>
                <w:color w:val="auto"/>
              </w:rPr>
            </w:pPr>
            <w:r>
              <w:rPr>
                <w:color w:val="auto"/>
              </w:rPr>
              <w:t>95-50-1</w:t>
            </w:r>
          </w:p>
        </w:tc>
        <w:tc>
          <w:tcPr>
            <w:tcW w:w="629" w:type="pct"/>
            <w:vAlign w:val="center"/>
          </w:tcPr>
          <w:p w14:paraId="616BA8C9">
            <w:pPr>
              <w:pStyle w:val="182"/>
              <w:bidi w:val="0"/>
              <w:rPr>
                <w:color w:val="auto"/>
              </w:rPr>
            </w:pPr>
            <w:r>
              <w:rPr>
                <w:color w:val="auto"/>
              </w:rPr>
              <w:t>560</w:t>
            </w:r>
          </w:p>
        </w:tc>
        <w:tc>
          <w:tcPr>
            <w:tcW w:w="629" w:type="pct"/>
            <w:vAlign w:val="center"/>
          </w:tcPr>
          <w:p w14:paraId="13FFEC89">
            <w:pPr>
              <w:pStyle w:val="182"/>
              <w:bidi w:val="0"/>
              <w:rPr>
                <w:color w:val="auto"/>
              </w:rPr>
            </w:pPr>
            <w:r>
              <w:rPr>
                <w:color w:val="auto"/>
              </w:rPr>
              <w:t>560</w:t>
            </w:r>
          </w:p>
        </w:tc>
        <w:tc>
          <w:tcPr>
            <w:tcW w:w="629" w:type="pct"/>
            <w:vAlign w:val="center"/>
          </w:tcPr>
          <w:p w14:paraId="65B68116">
            <w:pPr>
              <w:pStyle w:val="182"/>
              <w:bidi w:val="0"/>
              <w:rPr>
                <w:color w:val="auto"/>
              </w:rPr>
            </w:pPr>
            <w:r>
              <w:rPr>
                <w:color w:val="auto"/>
              </w:rPr>
              <w:t>560</w:t>
            </w:r>
          </w:p>
        </w:tc>
        <w:tc>
          <w:tcPr>
            <w:tcW w:w="645" w:type="pct"/>
            <w:vAlign w:val="center"/>
          </w:tcPr>
          <w:p w14:paraId="39550E59">
            <w:pPr>
              <w:pStyle w:val="182"/>
              <w:bidi w:val="0"/>
              <w:rPr>
                <w:color w:val="auto"/>
              </w:rPr>
            </w:pPr>
            <w:r>
              <w:rPr>
                <w:color w:val="auto"/>
              </w:rPr>
              <w:t>560</w:t>
            </w:r>
          </w:p>
        </w:tc>
      </w:tr>
      <w:tr w14:paraId="063EFAD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14596825">
            <w:pPr>
              <w:pStyle w:val="182"/>
              <w:bidi w:val="0"/>
              <w:rPr>
                <w:color w:val="auto"/>
              </w:rPr>
            </w:pPr>
            <w:r>
              <w:rPr>
                <w:color w:val="auto"/>
              </w:rPr>
              <w:t>29</w:t>
            </w:r>
          </w:p>
        </w:tc>
        <w:tc>
          <w:tcPr>
            <w:tcW w:w="1166" w:type="pct"/>
            <w:vAlign w:val="center"/>
          </w:tcPr>
          <w:p w14:paraId="06A6D41E">
            <w:pPr>
              <w:pStyle w:val="182"/>
              <w:bidi w:val="0"/>
              <w:rPr>
                <w:color w:val="auto"/>
              </w:rPr>
            </w:pPr>
            <w:r>
              <w:rPr>
                <w:color w:val="auto"/>
              </w:rPr>
              <w:t>1，4</w:t>
            </w:r>
            <w:r>
              <w:rPr>
                <w:rFonts w:hint="eastAsia"/>
                <w:color w:val="auto"/>
                <w:lang w:eastAsia="zh-CN"/>
              </w:rPr>
              <w:t>－</w:t>
            </w:r>
            <w:r>
              <w:rPr>
                <w:color w:val="auto"/>
              </w:rPr>
              <w:t>二氯苯</w:t>
            </w:r>
          </w:p>
        </w:tc>
        <w:tc>
          <w:tcPr>
            <w:tcW w:w="1041" w:type="pct"/>
            <w:vAlign w:val="center"/>
          </w:tcPr>
          <w:p w14:paraId="6C8271FD">
            <w:pPr>
              <w:pStyle w:val="182"/>
              <w:bidi w:val="0"/>
              <w:rPr>
                <w:color w:val="auto"/>
              </w:rPr>
            </w:pPr>
            <w:r>
              <w:rPr>
                <w:color w:val="auto"/>
              </w:rPr>
              <w:t>106-46-7</w:t>
            </w:r>
          </w:p>
        </w:tc>
        <w:tc>
          <w:tcPr>
            <w:tcW w:w="629" w:type="pct"/>
            <w:vAlign w:val="center"/>
          </w:tcPr>
          <w:p w14:paraId="53122001">
            <w:pPr>
              <w:pStyle w:val="182"/>
              <w:bidi w:val="0"/>
              <w:rPr>
                <w:color w:val="auto"/>
              </w:rPr>
            </w:pPr>
            <w:r>
              <w:rPr>
                <w:color w:val="auto"/>
              </w:rPr>
              <w:t>5.6</w:t>
            </w:r>
          </w:p>
        </w:tc>
        <w:tc>
          <w:tcPr>
            <w:tcW w:w="629" w:type="pct"/>
            <w:vAlign w:val="center"/>
          </w:tcPr>
          <w:p w14:paraId="41A3E923">
            <w:pPr>
              <w:pStyle w:val="182"/>
              <w:bidi w:val="0"/>
              <w:rPr>
                <w:color w:val="auto"/>
              </w:rPr>
            </w:pPr>
            <w:r>
              <w:rPr>
                <w:color w:val="auto"/>
              </w:rPr>
              <w:t>20</w:t>
            </w:r>
          </w:p>
        </w:tc>
        <w:tc>
          <w:tcPr>
            <w:tcW w:w="629" w:type="pct"/>
            <w:vAlign w:val="center"/>
          </w:tcPr>
          <w:p w14:paraId="4D26FDEF">
            <w:pPr>
              <w:pStyle w:val="182"/>
              <w:bidi w:val="0"/>
              <w:rPr>
                <w:color w:val="auto"/>
              </w:rPr>
            </w:pPr>
            <w:r>
              <w:rPr>
                <w:color w:val="auto"/>
              </w:rPr>
              <w:t>56</w:t>
            </w:r>
          </w:p>
        </w:tc>
        <w:tc>
          <w:tcPr>
            <w:tcW w:w="645" w:type="pct"/>
            <w:vAlign w:val="center"/>
          </w:tcPr>
          <w:p w14:paraId="6EE77F0B">
            <w:pPr>
              <w:pStyle w:val="182"/>
              <w:bidi w:val="0"/>
              <w:rPr>
                <w:color w:val="auto"/>
              </w:rPr>
            </w:pPr>
            <w:r>
              <w:rPr>
                <w:color w:val="auto"/>
              </w:rPr>
              <w:t>200</w:t>
            </w:r>
          </w:p>
        </w:tc>
      </w:tr>
      <w:tr w14:paraId="267FEC3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2E2B4D8B">
            <w:pPr>
              <w:pStyle w:val="182"/>
              <w:bidi w:val="0"/>
              <w:rPr>
                <w:color w:val="auto"/>
              </w:rPr>
            </w:pPr>
            <w:r>
              <w:rPr>
                <w:color w:val="auto"/>
              </w:rPr>
              <w:t>30</w:t>
            </w:r>
          </w:p>
        </w:tc>
        <w:tc>
          <w:tcPr>
            <w:tcW w:w="1166" w:type="pct"/>
            <w:vAlign w:val="center"/>
          </w:tcPr>
          <w:p w14:paraId="6B09837E">
            <w:pPr>
              <w:pStyle w:val="182"/>
              <w:bidi w:val="0"/>
              <w:rPr>
                <w:color w:val="auto"/>
              </w:rPr>
            </w:pPr>
            <w:r>
              <w:rPr>
                <w:color w:val="auto"/>
              </w:rPr>
              <w:t>乙苯</w:t>
            </w:r>
          </w:p>
        </w:tc>
        <w:tc>
          <w:tcPr>
            <w:tcW w:w="1041" w:type="pct"/>
            <w:vAlign w:val="center"/>
          </w:tcPr>
          <w:p w14:paraId="52CF57C0">
            <w:pPr>
              <w:pStyle w:val="182"/>
              <w:bidi w:val="0"/>
              <w:rPr>
                <w:color w:val="auto"/>
              </w:rPr>
            </w:pPr>
            <w:r>
              <w:rPr>
                <w:color w:val="auto"/>
              </w:rPr>
              <w:t>100-41-4</w:t>
            </w:r>
          </w:p>
        </w:tc>
        <w:tc>
          <w:tcPr>
            <w:tcW w:w="629" w:type="pct"/>
            <w:vAlign w:val="center"/>
          </w:tcPr>
          <w:p w14:paraId="588C0CBE">
            <w:pPr>
              <w:pStyle w:val="182"/>
              <w:bidi w:val="0"/>
              <w:rPr>
                <w:color w:val="auto"/>
              </w:rPr>
            </w:pPr>
            <w:r>
              <w:rPr>
                <w:color w:val="auto"/>
              </w:rPr>
              <w:t>7.2</w:t>
            </w:r>
          </w:p>
        </w:tc>
        <w:tc>
          <w:tcPr>
            <w:tcW w:w="629" w:type="pct"/>
            <w:vAlign w:val="center"/>
          </w:tcPr>
          <w:p w14:paraId="1402C477">
            <w:pPr>
              <w:pStyle w:val="182"/>
              <w:bidi w:val="0"/>
              <w:rPr>
                <w:color w:val="auto"/>
              </w:rPr>
            </w:pPr>
            <w:r>
              <w:rPr>
                <w:color w:val="auto"/>
              </w:rPr>
              <w:t>28</w:t>
            </w:r>
          </w:p>
        </w:tc>
        <w:tc>
          <w:tcPr>
            <w:tcW w:w="629" w:type="pct"/>
            <w:vAlign w:val="center"/>
          </w:tcPr>
          <w:p w14:paraId="6DB2B99C">
            <w:pPr>
              <w:pStyle w:val="182"/>
              <w:bidi w:val="0"/>
              <w:rPr>
                <w:color w:val="auto"/>
              </w:rPr>
            </w:pPr>
            <w:r>
              <w:rPr>
                <w:color w:val="auto"/>
              </w:rPr>
              <w:t>72</w:t>
            </w:r>
          </w:p>
        </w:tc>
        <w:tc>
          <w:tcPr>
            <w:tcW w:w="645" w:type="pct"/>
            <w:vAlign w:val="center"/>
          </w:tcPr>
          <w:p w14:paraId="043F07B4">
            <w:pPr>
              <w:pStyle w:val="182"/>
              <w:bidi w:val="0"/>
              <w:rPr>
                <w:color w:val="auto"/>
              </w:rPr>
            </w:pPr>
            <w:r>
              <w:rPr>
                <w:color w:val="auto"/>
              </w:rPr>
              <w:t>280</w:t>
            </w:r>
          </w:p>
        </w:tc>
      </w:tr>
      <w:tr w14:paraId="30C49A3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51CA88FE">
            <w:pPr>
              <w:pStyle w:val="182"/>
              <w:bidi w:val="0"/>
              <w:rPr>
                <w:color w:val="auto"/>
              </w:rPr>
            </w:pPr>
            <w:r>
              <w:rPr>
                <w:color w:val="auto"/>
              </w:rPr>
              <w:t>31</w:t>
            </w:r>
          </w:p>
        </w:tc>
        <w:tc>
          <w:tcPr>
            <w:tcW w:w="1166" w:type="pct"/>
            <w:vAlign w:val="center"/>
          </w:tcPr>
          <w:p w14:paraId="0F270B0D">
            <w:pPr>
              <w:pStyle w:val="182"/>
              <w:bidi w:val="0"/>
              <w:rPr>
                <w:color w:val="auto"/>
              </w:rPr>
            </w:pPr>
            <w:r>
              <w:rPr>
                <w:color w:val="auto"/>
              </w:rPr>
              <w:t>苯乙烯</w:t>
            </w:r>
          </w:p>
        </w:tc>
        <w:tc>
          <w:tcPr>
            <w:tcW w:w="1041" w:type="pct"/>
            <w:vAlign w:val="center"/>
          </w:tcPr>
          <w:p w14:paraId="34DE5F3C">
            <w:pPr>
              <w:pStyle w:val="182"/>
              <w:bidi w:val="0"/>
              <w:rPr>
                <w:color w:val="auto"/>
              </w:rPr>
            </w:pPr>
            <w:r>
              <w:rPr>
                <w:color w:val="auto"/>
              </w:rPr>
              <w:t>100-42-5</w:t>
            </w:r>
          </w:p>
        </w:tc>
        <w:tc>
          <w:tcPr>
            <w:tcW w:w="629" w:type="pct"/>
            <w:vAlign w:val="center"/>
          </w:tcPr>
          <w:p w14:paraId="5C2C36AC">
            <w:pPr>
              <w:pStyle w:val="182"/>
              <w:bidi w:val="0"/>
              <w:rPr>
                <w:color w:val="auto"/>
              </w:rPr>
            </w:pPr>
            <w:r>
              <w:rPr>
                <w:color w:val="auto"/>
              </w:rPr>
              <w:t>1290</w:t>
            </w:r>
          </w:p>
        </w:tc>
        <w:tc>
          <w:tcPr>
            <w:tcW w:w="629" w:type="pct"/>
            <w:vAlign w:val="center"/>
          </w:tcPr>
          <w:p w14:paraId="66D0D6F4">
            <w:pPr>
              <w:pStyle w:val="182"/>
              <w:bidi w:val="0"/>
              <w:rPr>
                <w:color w:val="auto"/>
              </w:rPr>
            </w:pPr>
            <w:r>
              <w:rPr>
                <w:color w:val="auto"/>
              </w:rPr>
              <w:t>1290</w:t>
            </w:r>
          </w:p>
        </w:tc>
        <w:tc>
          <w:tcPr>
            <w:tcW w:w="629" w:type="pct"/>
            <w:vAlign w:val="center"/>
          </w:tcPr>
          <w:p w14:paraId="7EF7A404">
            <w:pPr>
              <w:pStyle w:val="182"/>
              <w:bidi w:val="0"/>
              <w:rPr>
                <w:color w:val="auto"/>
              </w:rPr>
            </w:pPr>
            <w:r>
              <w:rPr>
                <w:color w:val="auto"/>
              </w:rPr>
              <w:t>1290</w:t>
            </w:r>
          </w:p>
        </w:tc>
        <w:tc>
          <w:tcPr>
            <w:tcW w:w="645" w:type="pct"/>
            <w:vAlign w:val="center"/>
          </w:tcPr>
          <w:p w14:paraId="12A667F0">
            <w:pPr>
              <w:pStyle w:val="182"/>
              <w:bidi w:val="0"/>
              <w:rPr>
                <w:color w:val="auto"/>
              </w:rPr>
            </w:pPr>
            <w:r>
              <w:rPr>
                <w:color w:val="auto"/>
              </w:rPr>
              <w:t>1290</w:t>
            </w:r>
          </w:p>
        </w:tc>
      </w:tr>
      <w:tr w14:paraId="6B035D1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0FE4E880">
            <w:pPr>
              <w:pStyle w:val="182"/>
              <w:bidi w:val="0"/>
              <w:rPr>
                <w:color w:val="auto"/>
              </w:rPr>
            </w:pPr>
            <w:r>
              <w:rPr>
                <w:color w:val="auto"/>
              </w:rPr>
              <w:t>32</w:t>
            </w:r>
          </w:p>
        </w:tc>
        <w:tc>
          <w:tcPr>
            <w:tcW w:w="1166" w:type="pct"/>
            <w:vAlign w:val="center"/>
          </w:tcPr>
          <w:p w14:paraId="3397EE73">
            <w:pPr>
              <w:pStyle w:val="182"/>
              <w:bidi w:val="0"/>
              <w:rPr>
                <w:color w:val="auto"/>
              </w:rPr>
            </w:pPr>
            <w:r>
              <w:rPr>
                <w:color w:val="auto"/>
              </w:rPr>
              <w:t>甲苯</w:t>
            </w:r>
          </w:p>
        </w:tc>
        <w:tc>
          <w:tcPr>
            <w:tcW w:w="1041" w:type="pct"/>
            <w:vAlign w:val="center"/>
          </w:tcPr>
          <w:p w14:paraId="77170A02">
            <w:pPr>
              <w:pStyle w:val="182"/>
              <w:bidi w:val="0"/>
              <w:rPr>
                <w:color w:val="auto"/>
              </w:rPr>
            </w:pPr>
            <w:r>
              <w:rPr>
                <w:color w:val="auto"/>
              </w:rPr>
              <w:t>108-88-3</w:t>
            </w:r>
          </w:p>
        </w:tc>
        <w:tc>
          <w:tcPr>
            <w:tcW w:w="629" w:type="pct"/>
            <w:vAlign w:val="center"/>
          </w:tcPr>
          <w:p w14:paraId="2DD79DB5">
            <w:pPr>
              <w:pStyle w:val="182"/>
              <w:bidi w:val="0"/>
              <w:rPr>
                <w:color w:val="auto"/>
              </w:rPr>
            </w:pPr>
            <w:r>
              <w:rPr>
                <w:color w:val="auto"/>
              </w:rPr>
              <w:t>1200</w:t>
            </w:r>
          </w:p>
        </w:tc>
        <w:tc>
          <w:tcPr>
            <w:tcW w:w="629" w:type="pct"/>
            <w:vAlign w:val="center"/>
          </w:tcPr>
          <w:p w14:paraId="1BF13CF1">
            <w:pPr>
              <w:pStyle w:val="182"/>
              <w:bidi w:val="0"/>
              <w:rPr>
                <w:color w:val="auto"/>
              </w:rPr>
            </w:pPr>
            <w:r>
              <w:rPr>
                <w:color w:val="auto"/>
              </w:rPr>
              <w:t>1200</w:t>
            </w:r>
          </w:p>
        </w:tc>
        <w:tc>
          <w:tcPr>
            <w:tcW w:w="629" w:type="pct"/>
            <w:vAlign w:val="center"/>
          </w:tcPr>
          <w:p w14:paraId="60FF2094">
            <w:pPr>
              <w:pStyle w:val="182"/>
              <w:bidi w:val="0"/>
              <w:rPr>
                <w:color w:val="auto"/>
              </w:rPr>
            </w:pPr>
            <w:r>
              <w:rPr>
                <w:color w:val="auto"/>
              </w:rPr>
              <w:t>1200</w:t>
            </w:r>
          </w:p>
        </w:tc>
        <w:tc>
          <w:tcPr>
            <w:tcW w:w="645" w:type="pct"/>
            <w:vAlign w:val="center"/>
          </w:tcPr>
          <w:p w14:paraId="5480BE01">
            <w:pPr>
              <w:pStyle w:val="182"/>
              <w:bidi w:val="0"/>
              <w:rPr>
                <w:color w:val="auto"/>
              </w:rPr>
            </w:pPr>
            <w:r>
              <w:rPr>
                <w:color w:val="auto"/>
              </w:rPr>
              <w:t>1200</w:t>
            </w:r>
          </w:p>
        </w:tc>
      </w:tr>
      <w:tr w14:paraId="1CE8AE1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498EFB6A">
            <w:pPr>
              <w:pStyle w:val="182"/>
              <w:bidi w:val="0"/>
              <w:rPr>
                <w:color w:val="auto"/>
              </w:rPr>
            </w:pPr>
            <w:r>
              <w:rPr>
                <w:color w:val="auto"/>
              </w:rPr>
              <w:t>33</w:t>
            </w:r>
          </w:p>
        </w:tc>
        <w:tc>
          <w:tcPr>
            <w:tcW w:w="1166" w:type="pct"/>
            <w:vAlign w:val="center"/>
          </w:tcPr>
          <w:p w14:paraId="0F00E560">
            <w:pPr>
              <w:pStyle w:val="182"/>
              <w:bidi w:val="0"/>
              <w:rPr>
                <w:color w:val="auto"/>
              </w:rPr>
            </w:pPr>
            <w:r>
              <w:rPr>
                <w:color w:val="auto"/>
              </w:rPr>
              <w:t>间二甲苯+对二甲苯</w:t>
            </w:r>
          </w:p>
        </w:tc>
        <w:tc>
          <w:tcPr>
            <w:tcW w:w="1041" w:type="pct"/>
            <w:vAlign w:val="center"/>
          </w:tcPr>
          <w:p w14:paraId="757F9103">
            <w:pPr>
              <w:pStyle w:val="182"/>
              <w:bidi w:val="0"/>
              <w:rPr>
                <w:color w:val="auto"/>
              </w:rPr>
            </w:pPr>
            <w:r>
              <w:rPr>
                <w:color w:val="auto"/>
              </w:rPr>
              <w:t>108-38-3，106-42-3</w:t>
            </w:r>
          </w:p>
        </w:tc>
        <w:tc>
          <w:tcPr>
            <w:tcW w:w="629" w:type="pct"/>
            <w:vAlign w:val="center"/>
          </w:tcPr>
          <w:p w14:paraId="623EE091">
            <w:pPr>
              <w:pStyle w:val="182"/>
              <w:bidi w:val="0"/>
              <w:rPr>
                <w:color w:val="auto"/>
              </w:rPr>
            </w:pPr>
            <w:r>
              <w:rPr>
                <w:color w:val="auto"/>
              </w:rPr>
              <w:t>163</w:t>
            </w:r>
          </w:p>
        </w:tc>
        <w:tc>
          <w:tcPr>
            <w:tcW w:w="629" w:type="pct"/>
            <w:vAlign w:val="center"/>
          </w:tcPr>
          <w:p w14:paraId="62864CD2">
            <w:pPr>
              <w:pStyle w:val="182"/>
              <w:bidi w:val="0"/>
              <w:rPr>
                <w:color w:val="auto"/>
              </w:rPr>
            </w:pPr>
            <w:r>
              <w:rPr>
                <w:color w:val="auto"/>
              </w:rPr>
              <w:t>570</w:t>
            </w:r>
          </w:p>
        </w:tc>
        <w:tc>
          <w:tcPr>
            <w:tcW w:w="629" w:type="pct"/>
            <w:vAlign w:val="center"/>
          </w:tcPr>
          <w:p w14:paraId="6B607309">
            <w:pPr>
              <w:pStyle w:val="182"/>
              <w:bidi w:val="0"/>
              <w:rPr>
                <w:color w:val="auto"/>
              </w:rPr>
            </w:pPr>
            <w:r>
              <w:rPr>
                <w:color w:val="auto"/>
              </w:rPr>
              <w:t>500</w:t>
            </w:r>
          </w:p>
        </w:tc>
        <w:tc>
          <w:tcPr>
            <w:tcW w:w="645" w:type="pct"/>
            <w:vAlign w:val="center"/>
          </w:tcPr>
          <w:p w14:paraId="2946A0EF">
            <w:pPr>
              <w:pStyle w:val="182"/>
              <w:bidi w:val="0"/>
              <w:rPr>
                <w:color w:val="auto"/>
              </w:rPr>
            </w:pPr>
            <w:r>
              <w:rPr>
                <w:color w:val="auto"/>
              </w:rPr>
              <w:t>570</w:t>
            </w:r>
          </w:p>
        </w:tc>
      </w:tr>
      <w:tr w14:paraId="5E7ADCA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7B04F721">
            <w:pPr>
              <w:pStyle w:val="182"/>
              <w:bidi w:val="0"/>
              <w:rPr>
                <w:color w:val="auto"/>
              </w:rPr>
            </w:pPr>
            <w:r>
              <w:rPr>
                <w:color w:val="auto"/>
              </w:rPr>
              <w:t>34</w:t>
            </w:r>
          </w:p>
        </w:tc>
        <w:tc>
          <w:tcPr>
            <w:tcW w:w="1166" w:type="pct"/>
            <w:vAlign w:val="center"/>
          </w:tcPr>
          <w:p w14:paraId="03BA6D37">
            <w:pPr>
              <w:pStyle w:val="182"/>
              <w:bidi w:val="0"/>
              <w:rPr>
                <w:color w:val="auto"/>
              </w:rPr>
            </w:pPr>
            <w:r>
              <w:rPr>
                <w:color w:val="auto"/>
              </w:rPr>
              <w:t>邻二甲苯</w:t>
            </w:r>
          </w:p>
        </w:tc>
        <w:tc>
          <w:tcPr>
            <w:tcW w:w="1041" w:type="pct"/>
            <w:vAlign w:val="center"/>
          </w:tcPr>
          <w:p w14:paraId="51F90CD8">
            <w:pPr>
              <w:pStyle w:val="182"/>
              <w:bidi w:val="0"/>
              <w:rPr>
                <w:color w:val="auto"/>
              </w:rPr>
            </w:pPr>
            <w:r>
              <w:rPr>
                <w:color w:val="auto"/>
              </w:rPr>
              <w:t>95-47-6</w:t>
            </w:r>
          </w:p>
        </w:tc>
        <w:tc>
          <w:tcPr>
            <w:tcW w:w="629" w:type="pct"/>
            <w:vAlign w:val="center"/>
          </w:tcPr>
          <w:p w14:paraId="079F6FED">
            <w:pPr>
              <w:pStyle w:val="182"/>
              <w:bidi w:val="0"/>
              <w:rPr>
                <w:color w:val="auto"/>
              </w:rPr>
            </w:pPr>
            <w:r>
              <w:rPr>
                <w:color w:val="auto"/>
              </w:rPr>
              <w:t>222</w:t>
            </w:r>
          </w:p>
        </w:tc>
        <w:tc>
          <w:tcPr>
            <w:tcW w:w="629" w:type="pct"/>
            <w:vAlign w:val="center"/>
          </w:tcPr>
          <w:p w14:paraId="7AED0876">
            <w:pPr>
              <w:pStyle w:val="182"/>
              <w:bidi w:val="0"/>
              <w:rPr>
                <w:color w:val="auto"/>
              </w:rPr>
            </w:pPr>
            <w:r>
              <w:rPr>
                <w:color w:val="auto"/>
              </w:rPr>
              <w:t>640</w:t>
            </w:r>
          </w:p>
        </w:tc>
        <w:tc>
          <w:tcPr>
            <w:tcW w:w="629" w:type="pct"/>
            <w:vAlign w:val="center"/>
          </w:tcPr>
          <w:p w14:paraId="1D68D6F9">
            <w:pPr>
              <w:pStyle w:val="182"/>
              <w:bidi w:val="0"/>
              <w:rPr>
                <w:color w:val="auto"/>
              </w:rPr>
            </w:pPr>
            <w:r>
              <w:rPr>
                <w:color w:val="auto"/>
              </w:rPr>
              <w:t>640</w:t>
            </w:r>
          </w:p>
        </w:tc>
        <w:tc>
          <w:tcPr>
            <w:tcW w:w="645" w:type="pct"/>
            <w:vAlign w:val="center"/>
          </w:tcPr>
          <w:p w14:paraId="58B688C5">
            <w:pPr>
              <w:pStyle w:val="182"/>
              <w:bidi w:val="0"/>
              <w:rPr>
                <w:color w:val="auto"/>
              </w:rPr>
            </w:pPr>
            <w:r>
              <w:rPr>
                <w:color w:val="auto"/>
              </w:rPr>
              <w:t>640</w:t>
            </w:r>
          </w:p>
        </w:tc>
      </w:tr>
      <w:tr w14:paraId="24ABCF4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000" w:type="pct"/>
            <w:gridSpan w:val="7"/>
            <w:vAlign w:val="center"/>
          </w:tcPr>
          <w:p w14:paraId="141F8CC7">
            <w:pPr>
              <w:pStyle w:val="182"/>
              <w:bidi w:val="0"/>
              <w:rPr>
                <w:color w:val="auto"/>
              </w:rPr>
            </w:pPr>
            <w:r>
              <w:rPr>
                <w:color w:val="auto"/>
              </w:rPr>
              <w:t>半挥发性有机物</w:t>
            </w:r>
          </w:p>
        </w:tc>
      </w:tr>
      <w:tr w14:paraId="74BE11C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64B91C62">
            <w:pPr>
              <w:pStyle w:val="182"/>
              <w:bidi w:val="0"/>
              <w:rPr>
                <w:color w:val="auto"/>
              </w:rPr>
            </w:pPr>
            <w:r>
              <w:rPr>
                <w:color w:val="auto"/>
              </w:rPr>
              <w:t>35</w:t>
            </w:r>
          </w:p>
        </w:tc>
        <w:tc>
          <w:tcPr>
            <w:tcW w:w="1166" w:type="pct"/>
            <w:vAlign w:val="center"/>
          </w:tcPr>
          <w:p w14:paraId="46E4864C">
            <w:pPr>
              <w:pStyle w:val="182"/>
              <w:bidi w:val="0"/>
              <w:rPr>
                <w:color w:val="auto"/>
              </w:rPr>
            </w:pPr>
            <w:r>
              <w:rPr>
                <w:color w:val="auto"/>
              </w:rPr>
              <w:t>硝基苯</w:t>
            </w:r>
          </w:p>
        </w:tc>
        <w:tc>
          <w:tcPr>
            <w:tcW w:w="1041" w:type="pct"/>
            <w:vAlign w:val="center"/>
          </w:tcPr>
          <w:p w14:paraId="02989D99">
            <w:pPr>
              <w:pStyle w:val="182"/>
              <w:bidi w:val="0"/>
              <w:rPr>
                <w:color w:val="auto"/>
              </w:rPr>
            </w:pPr>
            <w:r>
              <w:rPr>
                <w:color w:val="auto"/>
              </w:rPr>
              <w:t>98-95-3</w:t>
            </w:r>
          </w:p>
        </w:tc>
        <w:tc>
          <w:tcPr>
            <w:tcW w:w="629" w:type="pct"/>
            <w:vAlign w:val="center"/>
          </w:tcPr>
          <w:p w14:paraId="07EDCFA1">
            <w:pPr>
              <w:pStyle w:val="182"/>
              <w:bidi w:val="0"/>
              <w:rPr>
                <w:color w:val="auto"/>
              </w:rPr>
            </w:pPr>
            <w:r>
              <w:rPr>
                <w:color w:val="auto"/>
              </w:rPr>
              <w:t>34</w:t>
            </w:r>
          </w:p>
        </w:tc>
        <w:tc>
          <w:tcPr>
            <w:tcW w:w="629" w:type="pct"/>
            <w:vAlign w:val="center"/>
          </w:tcPr>
          <w:p w14:paraId="316C46BA">
            <w:pPr>
              <w:pStyle w:val="182"/>
              <w:bidi w:val="0"/>
              <w:rPr>
                <w:color w:val="auto"/>
              </w:rPr>
            </w:pPr>
            <w:r>
              <w:rPr>
                <w:color w:val="auto"/>
              </w:rPr>
              <w:t>76</w:t>
            </w:r>
          </w:p>
        </w:tc>
        <w:tc>
          <w:tcPr>
            <w:tcW w:w="629" w:type="pct"/>
            <w:vAlign w:val="center"/>
          </w:tcPr>
          <w:p w14:paraId="7DAB9CE7">
            <w:pPr>
              <w:pStyle w:val="182"/>
              <w:bidi w:val="0"/>
              <w:rPr>
                <w:color w:val="auto"/>
              </w:rPr>
            </w:pPr>
            <w:r>
              <w:rPr>
                <w:color w:val="auto"/>
              </w:rPr>
              <w:t>190</w:t>
            </w:r>
          </w:p>
        </w:tc>
        <w:tc>
          <w:tcPr>
            <w:tcW w:w="645" w:type="pct"/>
            <w:vAlign w:val="center"/>
          </w:tcPr>
          <w:p w14:paraId="4CD2C62A">
            <w:pPr>
              <w:pStyle w:val="182"/>
              <w:bidi w:val="0"/>
              <w:rPr>
                <w:color w:val="auto"/>
              </w:rPr>
            </w:pPr>
            <w:r>
              <w:rPr>
                <w:color w:val="auto"/>
              </w:rPr>
              <w:t>760</w:t>
            </w:r>
          </w:p>
        </w:tc>
      </w:tr>
      <w:tr w14:paraId="3D38302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5BC7A0B1">
            <w:pPr>
              <w:pStyle w:val="182"/>
              <w:bidi w:val="0"/>
              <w:rPr>
                <w:color w:val="auto"/>
              </w:rPr>
            </w:pPr>
            <w:r>
              <w:rPr>
                <w:color w:val="auto"/>
              </w:rPr>
              <w:t>36</w:t>
            </w:r>
          </w:p>
        </w:tc>
        <w:tc>
          <w:tcPr>
            <w:tcW w:w="1166" w:type="pct"/>
            <w:vAlign w:val="center"/>
          </w:tcPr>
          <w:p w14:paraId="1867FE77">
            <w:pPr>
              <w:pStyle w:val="182"/>
              <w:bidi w:val="0"/>
              <w:rPr>
                <w:color w:val="auto"/>
              </w:rPr>
            </w:pPr>
            <w:r>
              <w:rPr>
                <w:color w:val="auto"/>
              </w:rPr>
              <w:t>苯胺</w:t>
            </w:r>
          </w:p>
        </w:tc>
        <w:tc>
          <w:tcPr>
            <w:tcW w:w="1041" w:type="pct"/>
            <w:vAlign w:val="center"/>
          </w:tcPr>
          <w:p w14:paraId="74EDAF47">
            <w:pPr>
              <w:pStyle w:val="182"/>
              <w:bidi w:val="0"/>
              <w:rPr>
                <w:color w:val="auto"/>
              </w:rPr>
            </w:pPr>
            <w:r>
              <w:rPr>
                <w:color w:val="auto"/>
              </w:rPr>
              <w:t>62-53-3</w:t>
            </w:r>
          </w:p>
        </w:tc>
        <w:tc>
          <w:tcPr>
            <w:tcW w:w="629" w:type="pct"/>
            <w:vAlign w:val="center"/>
          </w:tcPr>
          <w:p w14:paraId="2416F924">
            <w:pPr>
              <w:pStyle w:val="182"/>
              <w:bidi w:val="0"/>
              <w:rPr>
                <w:color w:val="auto"/>
              </w:rPr>
            </w:pPr>
            <w:r>
              <w:rPr>
                <w:color w:val="auto"/>
              </w:rPr>
              <w:t>92</w:t>
            </w:r>
          </w:p>
        </w:tc>
        <w:tc>
          <w:tcPr>
            <w:tcW w:w="629" w:type="pct"/>
            <w:vAlign w:val="center"/>
          </w:tcPr>
          <w:p w14:paraId="2884FCB2">
            <w:pPr>
              <w:pStyle w:val="182"/>
              <w:bidi w:val="0"/>
              <w:rPr>
                <w:color w:val="auto"/>
              </w:rPr>
            </w:pPr>
            <w:r>
              <w:rPr>
                <w:color w:val="auto"/>
              </w:rPr>
              <w:t>260</w:t>
            </w:r>
          </w:p>
        </w:tc>
        <w:tc>
          <w:tcPr>
            <w:tcW w:w="629" w:type="pct"/>
            <w:vAlign w:val="center"/>
          </w:tcPr>
          <w:p w14:paraId="333F1EBE">
            <w:pPr>
              <w:pStyle w:val="182"/>
              <w:bidi w:val="0"/>
              <w:rPr>
                <w:color w:val="auto"/>
              </w:rPr>
            </w:pPr>
            <w:r>
              <w:rPr>
                <w:color w:val="auto"/>
              </w:rPr>
              <w:t>211</w:t>
            </w:r>
          </w:p>
        </w:tc>
        <w:tc>
          <w:tcPr>
            <w:tcW w:w="645" w:type="pct"/>
            <w:vAlign w:val="center"/>
          </w:tcPr>
          <w:p w14:paraId="41E3BC6C">
            <w:pPr>
              <w:pStyle w:val="182"/>
              <w:bidi w:val="0"/>
              <w:rPr>
                <w:color w:val="auto"/>
              </w:rPr>
            </w:pPr>
            <w:r>
              <w:rPr>
                <w:color w:val="auto"/>
              </w:rPr>
              <w:t>663</w:t>
            </w:r>
          </w:p>
        </w:tc>
      </w:tr>
      <w:tr w14:paraId="60395E8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307000B7">
            <w:pPr>
              <w:pStyle w:val="182"/>
              <w:bidi w:val="0"/>
              <w:rPr>
                <w:color w:val="auto"/>
              </w:rPr>
            </w:pPr>
            <w:r>
              <w:rPr>
                <w:color w:val="auto"/>
              </w:rPr>
              <w:t>37</w:t>
            </w:r>
          </w:p>
        </w:tc>
        <w:tc>
          <w:tcPr>
            <w:tcW w:w="1166" w:type="pct"/>
            <w:vAlign w:val="center"/>
          </w:tcPr>
          <w:p w14:paraId="22382D62">
            <w:pPr>
              <w:pStyle w:val="182"/>
              <w:bidi w:val="0"/>
              <w:rPr>
                <w:color w:val="auto"/>
              </w:rPr>
            </w:pPr>
            <w:r>
              <w:rPr>
                <w:color w:val="auto"/>
              </w:rPr>
              <w:t>2</w:t>
            </w:r>
            <w:r>
              <w:rPr>
                <w:rFonts w:hint="eastAsia"/>
                <w:color w:val="auto"/>
                <w:lang w:eastAsia="zh-CN"/>
              </w:rPr>
              <w:t>－</w:t>
            </w:r>
            <w:r>
              <w:rPr>
                <w:color w:val="auto"/>
              </w:rPr>
              <w:t>氯酚</w:t>
            </w:r>
          </w:p>
        </w:tc>
        <w:tc>
          <w:tcPr>
            <w:tcW w:w="1041" w:type="pct"/>
            <w:vAlign w:val="center"/>
          </w:tcPr>
          <w:p w14:paraId="779122B5">
            <w:pPr>
              <w:pStyle w:val="182"/>
              <w:bidi w:val="0"/>
              <w:rPr>
                <w:color w:val="auto"/>
              </w:rPr>
            </w:pPr>
            <w:r>
              <w:rPr>
                <w:color w:val="auto"/>
              </w:rPr>
              <w:t>95-57-8</w:t>
            </w:r>
          </w:p>
        </w:tc>
        <w:tc>
          <w:tcPr>
            <w:tcW w:w="629" w:type="pct"/>
            <w:vAlign w:val="center"/>
          </w:tcPr>
          <w:p w14:paraId="21F3517A">
            <w:pPr>
              <w:pStyle w:val="182"/>
              <w:bidi w:val="0"/>
              <w:rPr>
                <w:color w:val="auto"/>
              </w:rPr>
            </w:pPr>
            <w:r>
              <w:rPr>
                <w:color w:val="auto"/>
              </w:rPr>
              <w:t>250</w:t>
            </w:r>
          </w:p>
        </w:tc>
        <w:tc>
          <w:tcPr>
            <w:tcW w:w="629" w:type="pct"/>
            <w:vAlign w:val="center"/>
          </w:tcPr>
          <w:p w14:paraId="1795D251">
            <w:pPr>
              <w:pStyle w:val="182"/>
              <w:bidi w:val="0"/>
              <w:rPr>
                <w:color w:val="auto"/>
              </w:rPr>
            </w:pPr>
            <w:r>
              <w:rPr>
                <w:color w:val="auto"/>
              </w:rPr>
              <w:t>2256</w:t>
            </w:r>
          </w:p>
        </w:tc>
        <w:tc>
          <w:tcPr>
            <w:tcW w:w="629" w:type="pct"/>
            <w:vAlign w:val="center"/>
          </w:tcPr>
          <w:p w14:paraId="45B36110">
            <w:pPr>
              <w:pStyle w:val="182"/>
              <w:bidi w:val="0"/>
              <w:rPr>
                <w:color w:val="auto"/>
              </w:rPr>
            </w:pPr>
            <w:r>
              <w:rPr>
                <w:color w:val="auto"/>
              </w:rPr>
              <w:t>500</w:t>
            </w:r>
          </w:p>
        </w:tc>
        <w:tc>
          <w:tcPr>
            <w:tcW w:w="645" w:type="pct"/>
            <w:vAlign w:val="center"/>
          </w:tcPr>
          <w:p w14:paraId="5CD0B8C7">
            <w:pPr>
              <w:pStyle w:val="182"/>
              <w:bidi w:val="0"/>
              <w:rPr>
                <w:color w:val="auto"/>
              </w:rPr>
            </w:pPr>
            <w:r>
              <w:rPr>
                <w:color w:val="auto"/>
              </w:rPr>
              <w:t>4500</w:t>
            </w:r>
          </w:p>
        </w:tc>
      </w:tr>
      <w:tr w14:paraId="57B1710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5F580C73">
            <w:pPr>
              <w:pStyle w:val="182"/>
              <w:bidi w:val="0"/>
              <w:rPr>
                <w:color w:val="auto"/>
              </w:rPr>
            </w:pPr>
            <w:r>
              <w:rPr>
                <w:color w:val="auto"/>
              </w:rPr>
              <w:t>38</w:t>
            </w:r>
          </w:p>
        </w:tc>
        <w:tc>
          <w:tcPr>
            <w:tcW w:w="1166" w:type="pct"/>
            <w:vAlign w:val="center"/>
          </w:tcPr>
          <w:p w14:paraId="0A40CC36">
            <w:pPr>
              <w:pStyle w:val="182"/>
              <w:bidi w:val="0"/>
              <w:rPr>
                <w:color w:val="auto"/>
              </w:rPr>
            </w:pPr>
            <w:r>
              <w:rPr>
                <w:color w:val="auto"/>
              </w:rPr>
              <w:t>苯并[a]蒽</w:t>
            </w:r>
          </w:p>
        </w:tc>
        <w:tc>
          <w:tcPr>
            <w:tcW w:w="1041" w:type="pct"/>
            <w:vAlign w:val="center"/>
          </w:tcPr>
          <w:p w14:paraId="792FF3CD">
            <w:pPr>
              <w:pStyle w:val="182"/>
              <w:bidi w:val="0"/>
              <w:rPr>
                <w:color w:val="auto"/>
              </w:rPr>
            </w:pPr>
            <w:r>
              <w:rPr>
                <w:color w:val="auto"/>
              </w:rPr>
              <w:t>56-55-3</w:t>
            </w:r>
          </w:p>
        </w:tc>
        <w:tc>
          <w:tcPr>
            <w:tcW w:w="629" w:type="pct"/>
            <w:vAlign w:val="center"/>
          </w:tcPr>
          <w:p w14:paraId="0F2B0DA1">
            <w:pPr>
              <w:pStyle w:val="182"/>
              <w:bidi w:val="0"/>
              <w:rPr>
                <w:color w:val="auto"/>
              </w:rPr>
            </w:pPr>
            <w:r>
              <w:rPr>
                <w:color w:val="auto"/>
              </w:rPr>
              <w:t>5.5</w:t>
            </w:r>
          </w:p>
        </w:tc>
        <w:tc>
          <w:tcPr>
            <w:tcW w:w="629" w:type="pct"/>
            <w:vAlign w:val="center"/>
          </w:tcPr>
          <w:p w14:paraId="3A8E0203">
            <w:pPr>
              <w:pStyle w:val="182"/>
              <w:bidi w:val="0"/>
              <w:rPr>
                <w:color w:val="auto"/>
              </w:rPr>
            </w:pPr>
            <w:r>
              <w:rPr>
                <w:color w:val="auto"/>
              </w:rPr>
              <w:t>15</w:t>
            </w:r>
          </w:p>
        </w:tc>
        <w:tc>
          <w:tcPr>
            <w:tcW w:w="629" w:type="pct"/>
            <w:vAlign w:val="center"/>
          </w:tcPr>
          <w:p w14:paraId="0C553774">
            <w:pPr>
              <w:pStyle w:val="182"/>
              <w:bidi w:val="0"/>
              <w:rPr>
                <w:color w:val="auto"/>
              </w:rPr>
            </w:pPr>
            <w:r>
              <w:rPr>
                <w:color w:val="auto"/>
              </w:rPr>
              <w:t>55</w:t>
            </w:r>
          </w:p>
        </w:tc>
        <w:tc>
          <w:tcPr>
            <w:tcW w:w="645" w:type="pct"/>
            <w:vAlign w:val="center"/>
          </w:tcPr>
          <w:p w14:paraId="39B7FD49">
            <w:pPr>
              <w:pStyle w:val="182"/>
              <w:bidi w:val="0"/>
              <w:rPr>
                <w:color w:val="auto"/>
              </w:rPr>
            </w:pPr>
            <w:r>
              <w:rPr>
                <w:color w:val="auto"/>
              </w:rPr>
              <w:t>151</w:t>
            </w:r>
          </w:p>
        </w:tc>
      </w:tr>
      <w:tr w14:paraId="76307C9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0F8182A3">
            <w:pPr>
              <w:pStyle w:val="182"/>
              <w:bidi w:val="0"/>
              <w:rPr>
                <w:color w:val="auto"/>
              </w:rPr>
            </w:pPr>
            <w:r>
              <w:rPr>
                <w:color w:val="auto"/>
              </w:rPr>
              <w:t>39</w:t>
            </w:r>
          </w:p>
        </w:tc>
        <w:tc>
          <w:tcPr>
            <w:tcW w:w="1166" w:type="pct"/>
            <w:vAlign w:val="center"/>
          </w:tcPr>
          <w:p w14:paraId="652CED92">
            <w:pPr>
              <w:pStyle w:val="182"/>
              <w:bidi w:val="0"/>
              <w:rPr>
                <w:color w:val="auto"/>
              </w:rPr>
            </w:pPr>
            <w:r>
              <w:rPr>
                <w:color w:val="auto"/>
              </w:rPr>
              <w:t>苯并[a]芘</w:t>
            </w:r>
          </w:p>
        </w:tc>
        <w:tc>
          <w:tcPr>
            <w:tcW w:w="1041" w:type="pct"/>
            <w:vAlign w:val="center"/>
          </w:tcPr>
          <w:p w14:paraId="4ECAD085">
            <w:pPr>
              <w:pStyle w:val="182"/>
              <w:bidi w:val="0"/>
              <w:rPr>
                <w:color w:val="auto"/>
              </w:rPr>
            </w:pPr>
            <w:r>
              <w:rPr>
                <w:color w:val="auto"/>
              </w:rPr>
              <w:t>50-32-8</w:t>
            </w:r>
          </w:p>
        </w:tc>
        <w:tc>
          <w:tcPr>
            <w:tcW w:w="629" w:type="pct"/>
            <w:vAlign w:val="center"/>
          </w:tcPr>
          <w:p w14:paraId="15175D54">
            <w:pPr>
              <w:pStyle w:val="182"/>
              <w:bidi w:val="0"/>
              <w:rPr>
                <w:color w:val="auto"/>
              </w:rPr>
            </w:pPr>
            <w:r>
              <w:rPr>
                <w:color w:val="auto"/>
              </w:rPr>
              <w:t>0.55</w:t>
            </w:r>
          </w:p>
        </w:tc>
        <w:tc>
          <w:tcPr>
            <w:tcW w:w="629" w:type="pct"/>
            <w:vAlign w:val="center"/>
          </w:tcPr>
          <w:p w14:paraId="0C069357">
            <w:pPr>
              <w:pStyle w:val="182"/>
              <w:bidi w:val="0"/>
              <w:rPr>
                <w:color w:val="auto"/>
              </w:rPr>
            </w:pPr>
            <w:r>
              <w:rPr>
                <w:color w:val="auto"/>
              </w:rPr>
              <w:t>1.5</w:t>
            </w:r>
          </w:p>
        </w:tc>
        <w:tc>
          <w:tcPr>
            <w:tcW w:w="629" w:type="pct"/>
            <w:vAlign w:val="center"/>
          </w:tcPr>
          <w:p w14:paraId="1DEE7E8E">
            <w:pPr>
              <w:pStyle w:val="182"/>
              <w:bidi w:val="0"/>
              <w:rPr>
                <w:color w:val="auto"/>
              </w:rPr>
            </w:pPr>
            <w:r>
              <w:rPr>
                <w:color w:val="auto"/>
              </w:rPr>
              <w:t>5.5</w:t>
            </w:r>
          </w:p>
        </w:tc>
        <w:tc>
          <w:tcPr>
            <w:tcW w:w="645" w:type="pct"/>
            <w:vAlign w:val="center"/>
          </w:tcPr>
          <w:p w14:paraId="1956DDC7">
            <w:pPr>
              <w:pStyle w:val="182"/>
              <w:bidi w:val="0"/>
              <w:rPr>
                <w:color w:val="auto"/>
              </w:rPr>
            </w:pPr>
            <w:r>
              <w:rPr>
                <w:color w:val="auto"/>
              </w:rPr>
              <w:t>15</w:t>
            </w:r>
          </w:p>
        </w:tc>
      </w:tr>
      <w:tr w14:paraId="1C5B5AB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1E6F9687">
            <w:pPr>
              <w:pStyle w:val="182"/>
              <w:bidi w:val="0"/>
              <w:rPr>
                <w:color w:val="auto"/>
              </w:rPr>
            </w:pPr>
            <w:r>
              <w:rPr>
                <w:color w:val="auto"/>
              </w:rPr>
              <w:t>40</w:t>
            </w:r>
          </w:p>
        </w:tc>
        <w:tc>
          <w:tcPr>
            <w:tcW w:w="1166" w:type="pct"/>
            <w:vAlign w:val="center"/>
          </w:tcPr>
          <w:p w14:paraId="484C155D">
            <w:pPr>
              <w:pStyle w:val="182"/>
              <w:bidi w:val="0"/>
              <w:rPr>
                <w:color w:val="auto"/>
              </w:rPr>
            </w:pPr>
            <w:r>
              <w:rPr>
                <w:color w:val="auto"/>
              </w:rPr>
              <w:t>苯并[b]荧蒽</w:t>
            </w:r>
          </w:p>
        </w:tc>
        <w:tc>
          <w:tcPr>
            <w:tcW w:w="1041" w:type="pct"/>
            <w:vAlign w:val="center"/>
          </w:tcPr>
          <w:p w14:paraId="0C98324F">
            <w:pPr>
              <w:pStyle w:val="182"/>
              <w:bidi w:val="0"/>
              <w:rPr>
                <w:color w:val="auto"/>
              </w:rPr>
            </w:pPr>
            <w:r>
              <w:rPr>
                <w:color w:val="auto"/>
              </w:rPr>
              <w:t>205-99-2</w:t>
            </w:r>
          </w:p>
        </w:tc>
        <w:tc>
          <w:tcPr>
            <w:tcW w:w="629" w:type="pct"/>
            <w:vAlign w:val="center"/>
          </w:tcPr>
          <w:p w14:paraId="72CC7BA3">
            <w:pPr>
              <w:pStyle w:val="182"/>
              <w:bidi w:val="0"/>
              <w:rPr>
                <w:color w:val="auto"/>
              </w:rPr>
            </w:pPr>
            <w:r>
              <w:rPr>
                <w:color w:val="auto"/>
              </w:rPr>
              <w:t>5.5</w:t>
            </w:r>
          </w:p>
        </w:tc>
        <w:tc>
          <w:tcPr>
            <w:tcW w:w="629" w:type="pct"/>
            <w:vAlign w:val="center"/>
          </w:tcPr>
          <w:p w14:paraId="37029B8B">
            <w:pPr>
              <w:pStyle w:val="182"/>
              <w:bidi w:val="0"/>
              <w:rPr>
                <w:color w:val="auto"/>
              </w:rPr>
            </w:pPr>
            <w:r>
              <w:rPr>
                <w:color w:val="auto"/>
              </w:rPr>
              <w:t>15</w:t>
            </w:r>
          </w:p>
        </w:tc>
        <w:tc>
          <w:tcPr>
            <w:tcW w:w="629" w:type="pct"/>
            <w:vAlign w:val="center"/>
          </w:tcPr>
          <w:p w14:paraId="1A53A17B">
            <w:pPr>
              <w:pStyle w:val="182"/>
              <w:bidi w:val="0"/>
              <w:rPr>
                <w:color w:val="auto"/>
              </w:rPr>
            </w:pPr>
            <w:r>
              <w:rPr>
                <w:color w:val="auto"/>
              </w:rPr>
              <w:t>55</w:t>
            </w:r>
          </w:p>
        </w:tc>
        <w:tc>
          <w:tcPr>
            <w:tcW w:w="645" w:type="pct"/>
            <w:vAlign w:val="center"/>
          </w:tcPr>
          <w:p w14:paraId="489609DF">
            <w:pPr>
              <w:pStyle w:val="182"/>
              <w:bidi w:val="0"/>
              <w:rPr>
                <w:color w:val="auto"/>
              </w:rPr>
            </w:pPr>
            <w:r>
              <w:rPr>
                <w:color w:val="auto"/>
              </w:rPr>
              <w:t>151</w:t>
            </w:r>
          </w:p>
        </w:tc>
      </w:tr>
      <w:tr w14:paraId="3B5106A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31A4B08F">
            <w:pPr>
              <w:pStyle w:val="182"/>
              <w:bidi w:val="0"/>
              <w:rPr>
                <w:color w:val="auto"/>
              </w:rPr>
            </w:pPr>
            <w:r>
              <w:rPr>
                <w:color w:val="auto"/>
              </w:rPr>
              <w:t>41</w:t>
            </w:r>
          </w:p>
        </w:tc>
        <w:tc>
          <w:tcPr>
            <w:tcW w:w="1166" w:type="pct"/>
            <w:vAlign w:val="center"/>
          </w:tcPr>
          <w:p w14:paraId="093B464D">
            <w:pPr>
              <w:pStyle w:val="182"/>
              <w:bidi w:val="0"/>
              <w:rPr>
                <w:color w:val="auto"/>
              </w:rPr>
            </w:pPr>
            <w:r>
              <w:rPr>
                <w:color w:val="auto"/>
              </w:rPr>
              <w:t>苯并[k]荧蒽</w:t>
            </w:r>
          </w:p>
        </w:tc>
        <w:tc>
          <w:tcPr>
            <w:tcW w:w="1041" w:type="pct"/>
            <w:vAlign w:val="center"/>
          </w:tcPr>
          <w:p w14:paraId="43AD3B2C">
            <w:pPr>
              <w:pStyle w:val="182"/>
              <w:bidi w:val="0"/>
              <w:rPr>
                <w:color w:val="auto"/>
              </w:rPr>
            </w:pPr>
            <w:r>
              <w:rPr>
                <w:color w:val="auto"/>
              </w:rPr>
              <w:t>207-08-9</w:t>
            </w:r>
          </w:p>
        </w:tc>
        <w:tc>
          <w:tcPr>
            <w:tcW w:w="629" w:type="pct"/>
            <w:vAlign w:val="center"/>
          </w:tcPr>
          <w:p w14:paraId="48FFACB2">
            <w:pPr>
              <w:pStyle w:val="182"/>
              <w:bidi w:val="0"/>
              <w:rPr>
                <w:color w:val="auto"/>
              </w:rPr>
            </w:pPr>
            <w:r>
              <w:rPr>
                <w:color w:val="auto"/>
              </w:rPr>
              <w:t>55</w:t>
            </w:r>
          </w:p>
        </w:tc>
        <w:tc>
          <w:tcPr>
            <w:tcW w:w="629" w:type="pct"/>
            <w:vAlign w:val="center"/>
          </w:tcPr>
          <w:p w14:paraId="4BC3C55B">
            <w:pPr>
              <w:pStyle w:val="182"/>
              <w:bidi w:val="0"/>
              <w:rPr>
                <w:color w:val="auto"/>
              </w:rPr>
            </w:pPr>
            <w:r>
              <w:rPr>
                <w:color w:val="auto"/>
              </w:rPr>
              <w:t>151</w:t>
            </w:r>
          </w:p>
        </w:tc>
        <w:tc>
          <w:tcPr>
            <w:tcW w:w="629" w:type="pct"/>
            <w:vAlign w:val="center"/>
          </w:tcPr>
          <w:p w14:paraId="18139C7C">
            <w:pPr>
              <w:pStyle w:val="182"/>
              <w:bidi w:val="0"/>
              <w:rPr>
                <w:color w:val="auto"/>
              </w:rPr>
            </w:pPr>
            <w:r>
              <w:rPr>
                <w:color w:val="auto"/>
              </w:rPr>
              <w:t>550</w:t>
            </w:r>
          </w:p>
        </w:tc>
        <w:tc>
          <w:tcPr>
            <w:tcW w:w="645" w:type="pct"/>
            <w:vAlign w:val="center"/>
          </w:tcPr>
          <w:p w14:paraId="20E4E206">
            <w:pPr>
              <w:pStyle w:val="182"/>
              <w:bidi w:val="0"/>
              <w:rPr>
                <w:color w:val="auto"/>
              </w:rPr>
            </w:pPr>
            <w:r>
              <w:rPr>
                <w:color w:val="auto"/>
              </w:rPr>
              <w:t>1500</w:t>
            </w:r>
          </w:p>
        </w:tc>
      </w:tr>
      <w:tr w14:paraId="34F94D7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3F8679EE">
            <w:pPr>
              <w:pStyle w:val="182"/>
              <w:bidi w:val="0"/>
              <w:rPr>
                <w:color w:val="auto"/>
              </w:rPr>
            </w:pPr>
            <w:r>
              <w:rPr>
                <w:color w:val="auto"/>
              </w:rPr>
              <w:t>42</w:t>
            </w:r>
          </w:p>
        </w:tc>
        <w:tc>
          <w:tcPr>
            <w:tcW w:w="1166" w:type="pct"/>
            <w:vAlign w:val="center"/>
          </w:tcPr>
          <w:p w14:paraId="43A1A5DF">
            <w:pPr>
              <w:pStyle w:val="182"/>
              <w:bidi w:val="0"/>
              <w:rPr>
                <w:color w:val="auto"/>
              </w:rPr>
            </w:pPr>
            <w:r>
              <w:rPr>
                <w:color w:val="auto"/>
              </w:rPr>
              <w:t>䓛</w:t>
            </w:r>
          </w:p>
        </w:tc>
        <w:tc>
          <w:tcPr>
            <w:tcW w:w="1041" w:type="pct"/>
            <w:vAlign w:val="center"/>
          </w:tcPr>
          <w:p w14:paraId="10F611A4">
            <w:pPr>
              <w:pStyle w:val="182"/>
              <w:bidi w:val="0"/>
              <w:rPr>
                <w:color w:val="auto"/>
              </w:rPr>
            </w:pPr>
            <w:r>
              <w:rPr>
                <w:color w:val="auto"/>
              </w:rPr>
              <w:t>218-01-9</w:t>
            </w:r>
          </w:p>
        </w:tc>
        <w:tc>
          <w:tcPr>
            <w:tcW w:w="629" w:type="pct"/>
            <w:vAlign w:val="center"/>
          </w:tcPr>
          <w:p w14:paraId="44399E70">
            <w:pPr>
              <w:pStyle w:val="182"/>
              <w:bidi w:val="0"/>
              <w:rPr>
                <w:color w:val="auto"/>
              </w:rPr>
            </w:pPr>
            <w:r>
              <w:rPr>
                <w:color w:val="auto"/>
              </w:rPr>
              <w:t>490</w:t>
            </w:r>
          </w:p>
        </w:tc>
        <w:tc>
          <w:tcPr>
            <w:tcW w:w="629" w:type="pct"/>
            <w:vAlign w:val="center"/>
          </w:tcPr>
          <w:p w14:paraId="4AE7DD66">
            <w:pPr>
              <w:pStyle w:val="182"/>
              <w:bidi w:val="0"/>
              <w:rPr>
                <w:color w:val="auto"/>
              </w:rPr>
            </w:pPr>
            <w:r>
              <w:rPr>
                <w:color w:val="auto"/>
              </w:rPr>
              <w:t>1293</w:t>
            </w:r>
          </w:p>
        </w:tc>
        <w:tc>
          <w:tcPr>
            <w:tcW w:w="629" w:type="pct"/>
            <w:vAlign w:val="center"/>
          </w:tcPr>
          <w:p w14:paraId="2844144F">
            <w:pPr>
              <w:pStyle w:val="182"/>
              <w:bidi w:val="0"/>
              <w:rPr>
                <w:color w:val="auto"/>
              </w:rPr>
            </w:pPr>
            <w:r>
              <w:rPr>
                <w:color w:val="auto"/>
              </w:rPr>
              <w:t>4900</w:t>
            </w:r>
          </w:p>
        </w:tc>
        <w:tc>
          <w:tcPr>
            <w:tcW w:w="645" w:type="pct"/>
            <w:vAlign w:val="center"/>
          </w:tcPr>
          <w:p w14:paraId="2653820F">
            <w:pPr>
              <w:pStyle w:val="182"/>
              <w:bidi w:val="0"/>
              <w:rPr>
                <w:color w:val="auto"/>
              </w:rPr>
            </w:pPr>
            <w:r>
              <w:rPr>
                <w:color w:val="auto"/>
              </w:rPr>
              <w:t>12900</w:t>
            </w:r>
          </w:p>
        </w:tc>
      </w:tr>
      <w:tr w14:paraId="07F5492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4A565737">
            <w:pPr>
              <w:pStyle w:val="182"/>
              <w:bidi w:val="0"/>
              <w:rPr>
                <w:color w:val="auto"/>
              </w:rPr>
            </w:pPr>
            <w:r>
              <w:rPr>
                <w:color w:val="auto"/>
              </w:rPr>
              <w:t>43</w:t>
            </w:r>
          </w:p>
        </w:tc>
        <w:tc>
          <w:tcPr>
            <w:tcW w:w="1166" w:type="pct"/>
            <w:vAlign w:val="center"/>
          </w:tcPr>
          <w:p w14:paraId="661688F1">
            <w:pPr>
              <w:pStyle w:val="182"/>
              <w:bidi w:val="0"/>
              <w:rPr>
                <w:color w:val="auto"/>
              </w:rPr>
            </w:pPr>
            <w:r>
              <w:rPr>
                <w:color w:val="auto"/>
              </w:rPr>
              <w:t>二苯并[a， h]蒽</w:t>
            </w:r>
          </w:p>
        </w:tc>
        <w:tc>
          <w:tcPr>
            <w:tcW w:w="1041" w:type="pct"/>
            <w:vAlign w:val="center"/>
          </w:tcPr>
          <w:p w14:paraId="341B3C76">
            <w:pPr>
              <w:pStyle w:val="182"/>
              <w:bidi w:val="0"/>
              <w:rPr>
                <w:color w:val="auto"/>
              </w:rPr>
            </w:pPr>
            <w:r>
              <w:rPr>
                <w:color w:val="auto"/>
              </w:rPr>
              <w:t>53-70-3</w:t>
            </w:r>
          </w:p>
        </w:tc>
        <w:tc>
          <w:tcPr>
            <w:tcW w:w="629" w:type="pct"/>
            <w:vAlign w:val="center"/>
          </w:tcPr>
          <w:p w14:paraId="761A0CC8">
            <w:pPr>
              <w:pStyle w:val="182"/>
              <w:bidi w:val="0"/>
              <w:rPr>
                <w:color w:val="auto"/>
              </w:rPr>
            </w:pPr>
            <w:r>
              <w:rPr>
                <w:color w:val="auto"/>
              </w:rPr>
              <w:t>0.55</w:t>
            </w:r>
          </w:p>
        </w:tc>
        <w:tc>
          <w:tcPr>
            <w:tcW w:w="629" w:type="pct"/>
            <w:vAlign w:val="center"/>
          </w:tcPr>
          <w:p w14:paraId="2608D678">
            <w:pPr>
              <w:pStyle w:val="182"/>
              <w:bidi w:val="0"/>
              <w:rPr>
                <w:color w:val="auto"/>
              </w:rPr>
            </w:pPr>
            <w:r>
              <w:rPr>
                <w:color w:val="auto"/>
              </w:rPr>
              <w:t>1.5</w:t>
            </w:r>
          </w:p>
        </w:tc>
        <w:tc>
          <w:tcPr>
            <w:tcW w:w="629" w:type="pct"/>
            <w:vAlign w:val="center"/>
          </w:tcPr>
          <w:p w14:paraId="043EFAD9">
            <w:pPr>
              <w:pStyle w:val="182"/>
              <w:bidi w:val="0"/>
              <w:rPr>
                <w:color w:val="auto"/>
              </w:rPr>
            </w:pPr>
            <w:r>
              <w:rPr>
                <w:color w:val="auto"/>
              </w:rPr>
              <w:t>5.5</w:t>
            </w:r>
          </w:p>
        </w:tc>
        <w:tc>
          <w:tcPr>
            <w:tcW w:w="645" w:type="pct"/>
            <w:vAlign w:val="center"/>
          </w:tcPr>
          <w:p w14:paraId="319F8B53">
            <w:pPr>
              <w:pStyle w:val="182"/>
              <w:bidi w:val="0"/>
              <w:rPr>
                <w:color w:val="auto"/>
              </w:rPr>
            </w:pPr>
            <w:r>
              <w:rPr>
                <w:color w:val="auto"/>
              </w:rPr>
              <w:t>15</w:t>
            </w:r>
          </w:p>
        </w:tc>
      </w:tr>
      <w:tr w14:paraId="476CB30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43849B4D">
            <w:pPr>
              <w:pStyle w:val="182"/>
              <w:bidi w:val="0"/>
              <w:rPr>
                <w:color w:val="auto"/>
              </w:rPr>
            </w:pPr>
            <w:r>
              <w:rPr>
                <w:color w:val="auto"/>
              </w:rPr>
              <w:t>44</w:t>
            </w:r>
          </w:p>
        </w:tc>
        <w:tc>
          <w:tcPr>
            <w:tcW w:w="1166" w:type="pct"/>
            <w:vAlign w:val="center"/>
          </w:tcPr>
          <w:p w14:paraId="35949893">
            <w:pPr>
              <w:pStyle w:val="182"/>
              <w:bidi w:val="0"/>
              <w:rPr>
                <w:color w:val="auto"/>
              </w:rPr>
            </w:pPr>
            <w:r>
              <w:rPr>
                <w:color w:val="auto"/>
              </w:rPr>
              <w:t>茚并[1，2，3-cd]芘</w:t>
            </w:r>
          </w:p>
        </w:tc>
        <w:tc>
          <w:tcPr>
            <w:tcW w:w="1041" w:type="pct"/>
            <w:vAlign w:val="center"/>
          </w:tcPr>
          <w:p w14:paraId="57C88D28">
            <w:pPr>
              <w:pStyle w:val="182"/>
              <w:bidi w:val="0"/>
              <w:rPr>
                <w:color w:val="auto"/>
              </w:rPr>
            </w:pPr>
            <w:r>
              <w:rPr>
                <w:color w:val="auto"/>
              </w:rPr>
              <w:t>193-39-5</w:t>
            </w:r>
          </w:p>
        </w:tc>
        <w:tc>
          <w:tcPr>
            <w:tcW w:w="629" w:type="pct"/>
            <w:vAlign w:val="center"/>
          </w:tcPr>
          <w:p w14:paraId="35E87445">
            <w:pPr>
              <w:pStyle w:val="182"/>
              <w:bidi w:val="0"/>
              <w:rPr>
                <w:color w:val="auto"/>
              </w:rPr>
            </w:pPr>
            <w:r>
              <w:rPr>
                <w:color w:val="auto"/>
              </w:rPr>
              <w:t>5.5</w:t>
            </w:r>
          </w:p>
        </w:tc>
        <w:tc>
          <w:tcPr>
            <w:tcW w:w="629" w:type="pct"/>
            <w:vAlign w:val="center"/>
          </w:tcPr>
          <w:p w14:paraId="29E932DA">
            <w:pPr>
              <w:pStyle w:val="182"/>
              <w:bidi w:val="0"/>
              <w:rPr>
                <w:color w:val="auto"/>
              </w:rPr>
            </w:pPr>
            <w:r>
              <w:rPr>
                <w:color w:val="auto"/>
              </w:rPr>
              <w:t>15</w:t>
            </w:r>
          </w:p>
        </w:tc>
        <w:tc>
          <w:tcPr>
            <w:tcW w:w="629" w:type="pct"/>
            <w:vAlign w:val="center"/>
          </w:tcPr>
          <w:p w14:paraId="0459C4CB">
            <w:pPr>
              <w:pStyle w:val="182"/>
              <w:bidi w:val="0"/>
              <w:rPr>
                <w:color w:val="auto"/>
              </w:rPr>
            </w:pPr>
            <w:r>
              <w:rPr>
                <w:color w:val="auto"/>
              </w:rPr>
              <w:t>55</w:t>
            </w:r>
          </w:p>
        </w:tc>
        <w:tc>
          <w:tcPr>
            <w:tcW w:w="645" w:type="pct"/>
            <w:vAlign w:val="center"/>
          </w:tcPr>
          <w:p w14:paraId="65F3FF46">
            <w:pPr>
              <w:pStyle w:val="182"/>
              <w:bidi w:val="0"/>
              <w:rPr>
                <w:color w:val="auto"/>
              </w:rPr>
            </w:pPr>
            <w:r>
              <w:rPr>
                <w:color w:val="auto"/>
              </w:rPr>
              <w:t>151</w:t>
            </w:r>
          </w:p>
        </w:tc>
      </w:tr>
      <w:tr w14:paraId="64DC1ED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30240E02">
            <w:pPr>
              <w:pStyle w:val="182"/>
              <w:bidi w:val="0"/>
              <w:rPr>
                <w:color w:val="auto"/>
              </w:rPr>
            </w:pPr>
            <w:r>
              <w:rPr>
                <w:color w:val="auto"/>
              </w:rPr>
              <w:t>45</w:t>
            </w:r>
          </w:p>
        </w:tc>
        <w:tc>
          <w:tcPr>
            <w:tcW w:w="1166" w:type="pct"/>
            <w:vAlign w:val="center"/>
          </w:tcPr>
          <w:p w14:paraId="7C1C8D6F">
            <w:pPr>
              <w:pStyle w:val="182"/>
              <w:bidi w:val="0"/>
              <w:rPr>
                <w:color w:val="auto"/>
              </w:rPr>
            </w:pPr>
            <w:r>
              <w:rPr>
                <w:color w:val="auto"/>
              </w:rPr>
              <w:t>萘</w:t>
            </w:r>
          </w:p>
        </w:tc>
        <w:tc>
          <w:tcPr>
            <w:tcW w:w="1041" w:type="pct"/>
            <w:vAlign w:val="center"/>
          </w:tcPr>
          <w:p w14:paraId="55F10178">
            <w:pPr>
              <w:pStyle w:val="182"/>
              <w:bidi w:val="0"/>
              <w:rPr>
                <w:color w:val="auto"/>
              </w:rPr>
            </w:pPr>
            <w:r>
              <w:rPr>
                <w:color w:val="auto"/>
              </w:rPr>
              <w:t>91-20-3</w:t>
            </w:r>
          </w:p>
        </w:tc>
        <w:tc>
          <w:tcPr>
            <w:tcW w:w="629" w:type="pct"/>
            <w:vAlign w:val="center"/>
          </w:tcPr>
          <w:p w14:paraId="517D9D3D">
            <w:pPr>
              <w:pStyle w:val="182"/>
              <w:bidi w:val="0"/>
              <w:rPr>
                <w:color w:val="auto"/>
              </w:rPr>
            </w:pPr>
            <w:r>
              <w:rPr>
                <w:color w:val="auto"/>
              </w:rPr>
              <w:t>25</w:t>
            </w:r>
          </w:p>
        </w:tc>
        <w:tc>
          <w:tcPr>
            <w:tcW w:w="629" w:type="pct"/>
            <w:vAlign w:val="center"/>
          </w:tcPr>
          <w:p w14:paraId="2F134045">
            <w:pPr>
              <w:pStyle w:val="182"/>
              <w:bidi w:val="0"/>
              <w:rPr>
                <w:color w:val="auto"/>
              </w:rPr>
            </w:pPr>
            <w:r>
              <w:rPr>
                <w:color w:val="auto"/>
              </w:rPr>
              <w:t>70</w:t>
            </w:r>
          </w:p>
        </w:tc>
        <w:tc>
          <w:tcPr>
            <w:tcW w:w="629" w:type="pct"/>
            <w:vAlign w:val="center"/>
          </w:tcPr>
          <w:p w14:paraId="12480613">
            <w:pPr>
              <w:pStyle w:val="182"/>
              <w:bidi w:val="0"/>
              <w:rPr>
                <w:color w:val="auto"/>
              </w:rPr>
            </w:pPr>
            <w:r>
              <w:rPr>
                <w:color w:val="auto"/>
              </w:rPr>
              <w:t>255</w:t>
            </w:r>
          </w:p>
        </w:tc>
        <w:tc>
          <w:tcPr>
            <w:tcW w:w="645" w:type="pct"/>
            <w:vAlign w:val="center"/>
          </w:tcPr>
          <w:p w14:paraId="4DA36BD7">
            <w:pPr>
              <w:pStyle w:val="182"/>
              <w:bidi w:val="0"/>
              <w:rPr>
                <w:color w:val="auto"/>
              </w:rPr>
            </w:pPr>
            <w:r>
              <w:rPr>
                <w:color w:val="auto"/>
              </w:rPr>
              <w:t>700</w:t>
            </w:r>
          </w:p>
        </w:tc>
      </w:tr>
      <w:tr w14:paraId="184C5C8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000" w:type="pct"/>
            <w:gridSpan w:val="7"/>
            <w:vAlign w:val="center"/>
          </w:tcPr>
          <w:p w14:paraId="407D322B">
            <w:pPr>
              <w:pStyle w:val="182"/>
              <w:bidi w:val="0"/>
              <w:rPr>
                <w:rFonts w:hint="eastAsia" w:eastAsia="宋体"/>
                <w:color w:val="auto"/>
                <w:lang w:val="en-US" w:eastAsia="zh-CN"/>
              </w:rPr>
            </w:pPr>
            <w:r>
              <w:rPr>
                <w:rFonts w:hint="eastAsia"/>
                <w:color w:val="auto"/>
                <w:lang w:val="en-US" w:eastAsia="zh-CN"/>
              </w:rPr>
              <w:t>其他项目</w:t>
            </w:r>
          </w:p>
        </w:tc>
      </w:tr>
      <w:tr w14:paraId="2658F69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258" w:type="pct"/>
            <w:vAlign w:val="center"/>
          </w:tcPr>
          <w:p w14:paraId="7EFF6CD3">
            <w:pPr>
              <w:pStyle w:val="182"/>
              <w:bidi w:val="0"/>
              <w:rPr>
                <w:rFonts w:hint="default" w:eastAsia="宋体"/>
                <w:color w:val="auto"/>
                <w:lang w:val="en-US" w:eastAsia="zh-CN"/>
              </w:rPr>
            </w:pPr>
            <w:r>
              <w:rPr>
                <w:rFonts w:hint="eastAsia"/>
                <w:color w:val="auto"/>
                <w:lang w:val="en-US" w:eastAsia="zh-CN"/>
              </w:rPr>
              <w:t>46</w:t>
            </w:r>
          </w:p>
        </w:tc>
        <w:tc>
          <w:tcPr>
            <w:tcW w:w="1166" w:type="pct"/>
            <w:vAlign w:val="center"/>
          </w:tcPr>
          <w:p w14:paraId="5E887F14">
            <w:pPr>
              <w:pStyle w:val="182"/>
              <w:bidi w:val="0"/>
              <w:rPr>
                <w:rFonts w:hint="eastAsia" w:eastAsia="宋体"/>
                <w:color w:val="auto"/>
                <w:lang w:val="en-US" w:eastAsia="zh-CN"/>
              </w:rPr>
            </w:pPr>
            <w:r>
              <w:rPr>
                <w:rFonts w:hint="eastAsia"/>
                <w:color w:val="auto"/>
                <w:lang w:val="en-US" w:eastAsia="zh-CN"/>
              </w:rPr>
              <w:t>石油烃</w:t>
            </w:r>
          </w:p>
        </w:tc>
        <w:tc>
          <w:tcPr>
            <w:tcW w:w="1041" w:type="pct"/>
            <w:vAlign w:val="center"/>
          </w:tcPr>
          <w:p w14:paraId="263991FF">
            <w:pPr>
              <w:pStyle w:val="182"/>
              <w:bidi w:val="0"/>
              <w:rPr>
                <w:rFonts w:hint="eastAsia" w:eastAsia="宋体"/>
                <w:color w:val="auto"/>
                <w:lang w:val="en-US" w:eastAsia="zh-CN"/>
              </w:rPr>
            </w:pPr>
            <w:r>
              <w:rPr>
                <w:rFonts w:hint="eastAsia"/>
                <w:color w:val="auto"/>
                <w:lang w:val="en-US" w:eastAsia="zh-CN"/>
              </w:rPr>
              <w:t>-</w:t>
            </w:r>
          </w:p>
        </w:tc>
        <w:tc>
          <w:tcPr>
            <w:tcW w:w="629" w:type="pct"/>
            <w:vAlign w:val="center"/>
          </w:tcPr>
          <w:p w14:paraId="44BC78B1">
            <w:pPr>
              <w:pStyle w:val="182"/>
              <w:bidi w:val="0"/>
              <w:rPr>
                <w:rFonts w:hint="default" w:eastAsia="宋体"/>
                <w:color w:val="auto"/>
                <w:lang w:val="en-US" w:eastAsia="zh-CN"/>
              </w:rPr>
            </w:pPr>
            <w:r>
              <w:rPr>
                <w:rFonts w:hint="eastAsia"/>
                <w:color w:val="auto"/>
                <w:lang w:val="en-US" w:eastAsia="zh-CN"/>
              </w:rPr>
              <w:t>826</w:t>
            </w:r>
          </w:p>
        </w:tc>
        <w:tc>
          <w:tcPr>
            <w:tcW w:w="629" w:type="pct"/>
            <w:vAlign w:val="center"/>
          </w:tcPr>
          <w:p w14:paraId="5043B501">
            <w:pPr>
              <w:pStyle w:val="182"/>
              <w:bidi w:val="0"/>
              <w:rPr>
                <w:rFonts w:hint="default" w:eastAsia="宋体"/>
                <w:color w:val="auto"/>
                <w:lang w:val="en-US" w:eastAsia="zh-CN"/>
              </w:rPr>
            </w:pPr>
            <w:r>
              <w:rPr>
                <w:rFonts w:hint="eastAsia"/>
                <w:color w:val="auto"/>
                <w:lang w:val="en-US" w:eastAsia="zh-CN"/>
              </w:rPr>
              <w:t>4500</w:t>
            </w:r>
          </w:p>
        </w:tc>
        <w:tc>
          <w:tcPr>
            <w:tcW w:w="629" w:type="pct"/>
            <w:vAlign w:val="center"/>
          </w:tcPr>
          <w:p w14:paraId="533934B0">
            <w:pPr>
              <w:pStyle w:val="182"/>
              <w:bidi w:val="0"/>
              <w:rPr>
                <w:rFonts w:hint="default" w:eastAsia="宋体"/>
                <w:color w:val="auto"/>
                <w:lang w:val="en-US" w:eastAsia="zh-CN"/>
              </w:rPr>
            </w:pPr>
            <w:r>
              <w:rPr>
                <w:rFonts w:hint="eastAsia"/>
                <w:color w:val="auto"/>
                <w:lang w:val="en-US" w:eastAsia="zh-CN"/>
              </w:rPr>
              <w:t>5000</w:t>
            </w:r>
          </w:p>
        </w:tc>
        <w:tc>
          <w:tcPr>
            <w:tcW w:w="645" w:type="pct"/>
            <w:vAlign w:val="center"/>
          </w:tcPr>
          <w:p w14:paraId="39D98A07">
            <w:pPr>
              <w:pStyle w:val="182"/>
              <w:bidi w:val="0"/>
              <w:rPr>
                <w:rFonts w:hint="default" w:eastAsia="宋体"/>
                <w:color w:val="auto"/>
                <w:lang w:val="en-US" w:eastAsia="zh-CN"/>
              </w:rPr>
            </w:pPr>
            <w:r>
              <w:rPr>
                <w:rFonts w:hint="eastAsia"/>
                <w:color w:val="auto"/>
                <w:lang w:val="en-US" w:eastAsia="zh-CN"/>
              </w:rPr>
              <w:t>9000</w:t>
            </w:r>
          </w:p>
        </w:tc>
      </w:tr>
    </w:tbl>
    <w:p w14:paraId="6BC07D5B">
      <w:pPr>
        <w:pStyle w:val="6"/>
        <w:bidi w:val="0"/>
        <w:rPr>
          <w:color w:val="auto"/>
        </w:rPr>
      </w:pPr>
      <w:r>
        <w:rPr>
          <w:rFonts w:hint="eastAsia"/>
          <w:color w:val="auto"/>
        </w:rPr>
        <w:t>检测方法</w:t>
      </w:r>
    </w:p>
    <w:p w14:paraId="55E27D08">
      <w:pPr>
        <w:pStyle w:val="10"/>
        <w:bidi w:val="0"/>
      </w:pPr>
      <w:r>
        <w:t xml:space="preserve">表 </w:t>
      </w:r>
      <w:r>
        <w:fldChar w:fldCharType="begin"/>
      </w:r>
      <w:r>
        <w:instrText xml:space="preserve"> STYLEREF 2 \s </w:instrText>
      </w:r>
      <w:r>
        <w:fldChar w:fldCharType="separate"/>
      </w:r>
      <w:r>
        <w:t>5.2</w:t>
      </w:r>
      <w:r>
        <w:fldChar w:fldCharType="end"/>
      </w:r>
      <w:r>
        <w:rPr>
          <w:rFonts w:hint="eastAsia"/>
          <w:lang w:eastAsia="zh-CN"/>
        </w:rPr>
        <w:t>-</w:t>
      </w:r>
      <w:r>
        <w:fldChar w:fldCharType="begin"/>
      </w:r>
      <w:r>
        <w:instrText xml:space="preserve"> SEQ 表 \* ARABIC \s 2 </w:instrText>
      </w:r>
      <w:r>
        <w:fldChar w:fldCharType="separate"/>
      </w:r>
      <w:r>
        <w:t>20</w:t>
      </w:r>
      <w:r>
        <w:fldChar w:fldCharType="end"/>
      </w:r>
      <w:r>
        <w:rPr>
          <w:rFonts w:hint="eastAsia"/>
          <w:lang w:val="en-US" w:eastAsia="zh-CN"/>
        </w:rPr>
        <w:t xml:space="preserve"> </w:t>
      </w:r>
      <w:r>
        <w:rPr>
          <w:rFonts w:hint="eastAsia"/>
        </w:rPr>
        <w:t>土壤检测分析方法一览表</w:t>
      </w:r>
    </w:p>
    <w:tbl>
      <w:tblPr>
        <w:tblStyle w:val="31"/>
        <w:tblW w:w="8346" w:type="dxa"/>
        <w:tblInd w:w="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1"/>
        <w:gridCol w:w="429"/>
        <w:gridCol w:w="360"/>
        <w:gridCol w:w="1092"/>
        <w:gridCol w:w="2494"/>
        <w:gridCol w:w="1800"/>
        <w:gridCol w:w="1410"/>
      </w:tblGrid>
      <w:tr w14:paraId="20F19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761" w:type="dxa"/>
            <w:tcBorders>
              <w:tl2br w:val="nil"/>
              <w:tr2bl w:val="nil"/>
            </w:tcBorders>
            <w:noWrap w:val="0"/>
            <w:vAlign w:val="center"/>
          </w:tcPr>
          <w:p w14:paraId="7E32CE27">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1881" w:type="dxa"/>
            <w:gridSpan w:val="3"/>
            <w:tcBorders>
              <w:tl2br w:val="nil"/>
              <w:tr2bl w:val="nil"/>
            </w:tcBorders>
            <w:noWrap w:val="0"/>
            <w:vAlign w:val="center"/>
          </w:tcPr>
          <w:p w14:paraId="6BBB73BB">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检测项目</w:t>
            </w:r>
          </w:p>
        </w:tc>
        <w:tc>
          <w:tcPr>
            <w:tcW w:w="2494" w:type="dxa"/>
            <w:tcBorders>
              <w:tl2br w:val="nil"/>
              <w:tr2bl w:val="nil"/>
            </w:tcBorders>
            <w:noWrap w:val="0"/>
            <w:vAlign w:val="center"/>
          </w:tcPr>
          <w:p w14:paraId="69A5A134">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检测方法</w:t>
            </w:r>
          </w:p>
        </w:tc>
        <w:tc>
          <w:tcPr>
            <w:tcW w:w="1800" w:type="dxa"/>
            <w:tcBorders>
              <w:tl2br w:val="nil"/>
              <w:tr2bl w:val="nil"/>
            </w:tcBorders>
            <w:noWrap w:val="0"/>
            <w:vAlign w:val="center"/>
          </w:tcPr>
          <w:p w14:paraId="094B45C0">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检测仪器</w:t>
            </w:r>
          </w:p>
        </w:tc>
        <w:tc>
          <w:tcPr>
            <w:tcW w:w="1410" w:type="dxa"/>
            <w:tcBorders>
              <w:tl2br w:val="nil"/>
              <w:tr2bl w:val="nil"/>
            </w:tcBorders>
            <w:noWrap w:val="0"/>
            <w:vAlign w:val="center"/>
          </w:tcPr>
          <w:p w14:paraId="4DB7E8BD">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检出限/最低检出浓度</w:t>
            </w:r>
          </w:p>
        </w:tc>
      </w:tr>
      <w:tr w14:paraId="435E0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761" w:type="dxa"/>
            <w:tcBorders>
              <w:tl2br w:val="nil"/>
              <w:tr2bl w:val="nil"/>
            </w:tcBorders>
            <w:noWrap w:val="0"/>
            <w:vAlign w:val="center"/>
          </w:tcPr>
          <w:p w14:paraId="187E26A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881" w:type="dxa"/>
            <w:gridSpan w:val="3"/>
            <w:tcBorders>
              <w:tl2br w:val="nil"/>
              <w:tr2bl w:val="nil"/>
            </w:tcBorders>
            <w:noWrap w:val="0"/>
            <w:vAlign w:val="center"/>
          </w:tcPr>
          <w:p w14:paraId="201CA25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eastAsia="zh-CN"/>
              </w:rPr>
              <w:t>砷</w:t>
            </w:r>
          </w:p>
        </w:tc>
        <w:tc>
          <w:tcPr>
            <w:tcW w:w="2494" w:type="dxa"/>
            <w:tcBorders>
              <w:tl2br w:val="nil"/>
              <w:tr2bl w:val="nil"/>
            </w:tcBorders>
            <w:noWrap w:val="0"/>
            <w:vAlign w:val="center"/>
          </w:tcPr>
          <w:p w14:paraId="34BD7BE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土壤质量总汞、总砷、总铅的测定原子荧光法第2部分：土壤中总砷的测定</w:t>
            </w:r>
          </w:p>
          <w:p w14:paraId="33E534F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GB/T22105.2-2008</w:t>
            </w:r>
          </w:p>
        </w:tc>
        <w:tc>
          <w:tcPr>
            <w:tcW w:w="1800" w:type="dxa"/>
            <w:tcBorders>
              <w:tl2br w:val="nil"/>
              <w:tr2bl w:val="nil"/>
            </w:tcBorders>
            <w:noWrap w:val="0"/>
            <w:vAlign w:val="center"/>
          </w:tcPr>
          <w:p w14:paraId="56BAC30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原子荧光光度计AFS-8520</w:t>
            </w:r>
          </w:p>
          <w:p w14:paraId="44CA502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lang w:bidi="ar"/>
              </w:rPr>
            </w:pPr>
            <w:r>
              <w:rPr>
                <w:rFonts w:hint="eastAsia" w:cs="Times New Roman"/>
                <w:color w:val="auto"/>
                <w:kern w:val="0"/>
                <w:sz w:val="21"/>
                <w:szCs w:val="21"/>
                <w:lang w:val="en-US" w:eastAsia="zh-CN" w:bidi="ar"/>
              </w:rPr>
              <w:t>LYYQ</w:t>
            </w:r>
            <w:r>
              <w:rPr>
                <w:rFonts w:hint="default" w:ascii="Times New Roman" w:hAnsi="Times New Roman" w:eastAsia="宋体" w:cs="Times New Roman"/>
                <w:color w:val="auto"/>
                <w:kern w:val="0"/>
                <w:sz w:val="21"/>
                <w:szCs w:val="21"/>
                <w:lang w:val="en-US" w:eastAsia="zh-CN" w:bidi="ar"/>
              </w:rPr>
              <w:t>-1-001-1</w:t>
            </w:r>
          </w:p>
        </w:tc>
        <w:tc>
          <w:tcPr>
            <w:tcW w:w="1410" w:type="dxa"/>
            <w:tcBorders>
              <w:tl2br w:val="nil"/>
              <w:tr2bl w:val="nil"/>
            </w:tcBorders>
            <w:noWrap w:val="0"/>
            <w:vAlign w:val="center"/>
          </w:tcPr>
          <w:p w14:paraId="0435A216">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0.01mg/kg</w:t>
            </w:r>
          </w:p>
        </w:tc>
      </w:tr>
      <w:tr w14:paraId="6C6BB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761" w:type="dxa"/>
            <w:tcBorders>
              <w:tl2br w:val="nil"/>
              <w:tr2bl w:val="nil"/>
            </w:tcBorders>
            <w:noWrap w:val="0"/>
            <w:vAlign w:val="center"/>
          </w:tcPr>
          <w:p w14:paraId="5DB5B4E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1881" w:type="dxa"/>
            <w:gridSpan w:val="3"/>
            <w:tcBorders>
              <w:tl2br w:val="nil"/>
              <w:tr2bl w:val="nil"/>
            </w:tcBorders>
            <w:noWrap w:val="0"/>
            <w:vAlign w:val="center"/>
          </w:tcPr>
          <w:p w14:paraId="7DE467E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rPr>
              <w:t>汞</w:t>
            </w:r>
          </w:p>
        </w:tc>
        <w:tc>
          <w:tcPr>
            <w:tcW w:w="2494" w:type="dxa"/>
            <w:tcBorders>
              <w:tl2br w:val="nil"/>
              <w:tr2bl w:val="nil"/>
            </w:tcBorders>
            <w:noWrap w:val="0"/>
            <w:vAlign w:val="center"/>
          </w:tcPr>
          <w:p w14:paraId="7F0C67F9">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土壤质量总汞、总砷、总铅的测定原子荧光法第1部分土壤中总汞的测定</w:t>
            </w:r>
          </w:p>
          <w:p w14:paraId="780F5B74">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GB/T22105.1-2008</w:t>
            </w:r>
          </w:p>
        </w:tc>
        <w:tc>
          <w:tcPr>
            <w:tcW w:w="1800" w:type="dxa"/>
            <w:tcBorders>
              <w:tl2br w:val="nil"/>
              <w:tr2bl w:val="nil"/>
            </w:tcBorders>
            <w:noWrap w:val="0"/>
            <w:vAlign w:val="center"/>
          </w:tcPr>
          <w:p w14:paraId="5ACDF5E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原子荧光光度计AFS-8520</w:t>
            </w:r>
          </w:p>
          <w:p w14:paraId="530796C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eastAsia" w:cs="Times New Roman"/>
                <w:color w:val="auto"/>
                <w:kern w:val="0"/>
                <w:sz w:val="21"/>
                <w:szCs w:val="21"/>
                <w:lang w:val="en-US" w:eastAsia="zh-CN" w:bidi="ar"/>
              </w:rPr>
              <w:t>LYYQ</w:t>
            </w:r>
            <w:r>
              <w:rPr>
                <w:rFonts w:hint="default" w:ascii="Times New Roman" w:hAnsi="Times New Roman" w:eastAsia="宋体" w:cs="Times New Roman"/>
                <w:color w:val="auto"/>
                <w:kern w:val="0"/>
                <w:sz w:val="21"/>
                <w:szCs w:val="21"/>
                <w:lang w:val="en-US" w:eastAsia="zh-CN" w:bidi="ar"/>
              </w:rPr>
              <w:t>-1-001-1</w:t>
            </w:r>
          </w:p>
        </w:tc>
        <w:tc>
          <w:tcPr>
            <w:tcW w:w="1410" w:type="dxa"/>
            <w:tcBorders>
              <w:tl2br w:val="nil"/>
              <w:tr2bl w:val="nil"/>
            </w:tcBorders>
            <w:noWrap w:val="0"/>
            <w:vAlign w:val="center"/>
          </w:tcPr>
          <w:p w14:paraId="50A19BD9">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0.002mg/kg</w:t>
            </w:r>
          </w:p>
        </w:tc>
      </w:tr>
      <w:tr w14:paraId="56D57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761" w:type="dxa"/>
            <w:tcBorders>
              <w:tl2br w:val="nil"/>
              <w:tr2bl w:val="nil"/>
            </w:tcBorders>
            <w:noWrap w:val="0"/>
            <w:vAlign w:val="center"/>
          </w:tcPr>
          <w:p w14:paraId="4A664CF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881" w:type="dxa"/>
            <w:gridSpan w:val="3"/>
            <w:tcBorders>
              <w:tl2br w:val="nil"/>
              <w:tr2bl w:val="nil"/>
            </w:tcBorders>
            <w:noWrap w:val="0"/>
            <w:vAlign w:val="center"/>
          </w:tcPr>
          <w:p w14:paraId="2D7BDC2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镉</w:t>
            </w:r>
          </w:p>
        </w:tc>
        <w:tc>
          <w:tcPr>
            <w:tcW w:w="2494" w:type="dxa"/>
            <w:tcBorders>
              <w:tl2br w:val="nil"/>
              <w:tr2bl w:val="nil"/>
            </w:tcBorders>
            <w:noWrap w:val="0"/>
            <w:vAlign w:val="center"/>
          </w:tcPr>
          <w:p w14:paraId="6EFDD46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土壤质量铅、镉的测定石墨炉原子吸收分光光度法</w:t>
            </w:r>
          </w:p>
          <w:p w14:paraId="4D46E89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GB/T17141-1997</w:t>
            </w:r>
          </w:p>
        </w:tc>
        <w:tc>
          <w:tcPr>
            <w:tcW w:w="1800" w:type="dxa"/>
            <w:tcBorders>
              <w:tl2br w:val="nil"/>
              <w:tr2bl w:val="nil"/>
            </w:tcBorders>
            <w:noWrap w:val="0"/>
            <w:vAlign w:val="center"/>
          </w:tcPr>
          <w:p w14:paraId="7ADEF5E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原子吸收分光光度计</w:t>
            </w:r>
          </w:p>
          <w:p w14:paraId="6262555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TAS-990AFG</w:t>
            </w:r>
          </w:p>
          <w:p w14:paraId="6855F9F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lang w:bidi="ar"/>
              </w:rPr>
            </w:pPr>
            <w:r>
              <w:rPr>
                <w:rFonts w:hint="eastAsia" w:cs="Times New Roman"/>
                <w:color w:val="auto"/>
                <w:kern w:val="0"/>
                <w:sz w:val="21"/>
                <w:szCs w:val="21"/>
                <w:lang w:val="en-US" w:eastAsia="zh-CN" w:bidi="ar"/>
              </w:rPr>
              <w:t>LYYQ</w:t>
            </w:r>
            <w:r>
              <w:rPr>
                <w:rFonts w:hint="default" w:ascii="Times New Roman" w:hAnsi="Times New Roman" w:eastAsia="宋体" w:cs="Times New Roman"/>
                <w:color w:val="auto"/>
                <w:kern w:val="0"/>
                <w:sz w:val="21"/>
                <w:szCs w:val="21"/>
                <w:lang w:val="en-US" w:eastAsia="zh-CN" w:bidi="ar"/>
              </w:rPr>
              <w:t>-1-003-1</w:t>
            </w:r>
          </w:p>
        </w:tc>
        <w:tc>
          <w:tcPr>
            <w:tcW w:w="1410" w:type="dxa"/>
            <w:tcBorders>
              <w:tl2br w:val="nil"/>
              <w:tr2bl w:val="nil"/>
            </w:tcBorders>
            <w:noWrap w:val="0"/>
            <w:vAlign w:val="center"/>
          </w:tcPr>
          <w:p w14:paraId="43C8B101">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z w:val="21"/>
                <w:szCs w:val="21"/>
                <w:lang w:val="en-US" w:eastAsia="zh-CN"/>
              </w:rPr>
              <w:t>0.01mg/kg</w:t>
            </w:r>
          </w:p>
        </w:tc>
      </w:tr>
      <w:tr w14:paraId="3F5AB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761" w:type="dxa"/>
            <w:tcBorders>
              <w:tl2br w:val="nil"/>
              <w:tr2bl w:val="nil"/>
            </w:tcBorders>
            <w:noWrap w:val="0"/>
            <w:vAlign w:val="center"/>
          </w:tcPr>
          <w:p w14:paraId="322463E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881" w:type="dxa"/>
            <w:gridSpan w:val="3"/>
            <w:tcBorders>
              <w:tl2br w:val="nil"/>
              <w:tr2bl w:val="nil"/>
            </w:tcBorders>
            <w:noWrap w:val="0"/>
            <w:vAlign w:val="center"/>
          </w:tcPr>
          <w:p w14:paraId="65D82B3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六价铬</w:t>
            </w:r>
          </w:p>
        </w:tc>
        <w:tc>
          <w:tcPr>
            <w:tcW w:w="2494" w:type="dxa"/>
            <w:tcBorders>
              <w:tl2br w:val="nil"/>
              <w:tr2bl w:val="nil"/>
            </w:tcBorders>
            <w:noWrap w:val="0"/>
            <w:vAlign w:val="center"/>
          </w:tcPr>
          <w:p w14:paraId="31B0232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土壤和沉积物六价铬的测定碱溶液提取-火焰原子吸收分光光度法HJ1082-2019</w:t>
            </w:r>
          </w:p>
        </w:tc>
        <w:tc>
          <w:tcPr>
            <w:tcW w:w="1800" w:type="dxa"/>
            <w:tcBorders>
              <w:tl2br w:val="nil"/>
              <w:tr2bl w:val="nil"/>
            </w:tcBorders>
            <w:noWrap w:val="0"/>
            <w:vAlign w:val="center"/>
          </w:tcPr>
          <w:p w14:paraId="6B2435D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原子吸收分光光度计</w:t>
            </w:r>
          </w:p>
          <w:p w14:paraId="349E147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TAS-990AFG</w:t>
            </w:r>
          </w:p>
          <w:p w14:paraId="770B580A">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cs="Times New Roman"/>
                <w:color w:val="auto"/>
                <w:kern w:val="0"/>
                <w:sz w:val="21"/>
                <w:szCs w:val="21"/>
                <w:lang w:val="en-US" w:eastAsia="zh-CN" w:bidi="ar"/>
              </w:rPr>
              <w:t>LYYQ</w:t>
            </w:r>
            <w:r>
              <w:rPr>
                <w:rFonts w:hint="default" w:ascii="Times New Roman" w:hAnsi="Times New Roman" w:eastAsia="宋体" w:cs="Times New Roman"/>
                <w:color w:val="auto"/>
                <w:kern w:val="0"/>
                <w:sz w:val="21"/>
                <w:szCs w:val="21"/>
                <w:lang w:val="en-US" w:eastAsia="zh-CN" w:bidi="ar"/>
              </w:rPr>
              <w:t>-1-003-1</w:t>
            </w:r>
          </w:p>
        </w:tc>
        <w:tc>
          <w:tcPr>
            <w:tcW w:w="1410" w:type="dxa"/>
            <w:tcBorders>
              <w:tl2br w:val="nil"/>
              <w:tr2bl w:val="nil"/>
            </w:tcBorders>
            <w:noWrap w:val="0"/>
            <w:vAlign w:val="center"/>
          </w:tcPr>
          <w:p w14:paraId="574B646B">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yellow"/>
                <w:lang w:val="en-US" w:eastAsia="zh-CN" w:bidi="ar-SA"/>
              </w:rPr>
            </w:pPr>
            <w:r>
              <w:rPr>
                <w:rFonts w:hint="default" w:ascii="Times New Roman" w:hAnsi="Times New Roman" w:eastAsia="宋体" w:cs="Times New Roman"/>
                <w:color w:val="auto"/>
                <w:sz w:val="21"/>
                <w:szCs w:val="21"/>
                <w:highlight w:val="none"/>
                <w:lang w:val="en-US" w:eastAsia="zh-CN"/>
              </w:rPr>
              <w:t>0.5mg/kg</w:t>
            </w:r>
          </w:p>
        </w:tc>
      </w:tr>
      <w:tr w14:paraId="5585B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1" w:type="dxa"/>
            <w:tcBorders>
              <w:tl2br w:val="nil"/>
              <w:tr2bl w:val="nil"/>
            </w:tcBorders>
            <w:noWrap w:val="0"/>
            <w:vAlign w:val="center"/>
          </w:tcPr>
          <w:p w14:paraId="3B9DB23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1881" w:type="dxa"/>
            <w:gridSpan w:val="3"/>
            <w:tcBorders>
              <w:tl2br w:val="nil"/>
              <w:tr2bl w:val="nil"/>
            </w:tcBorders>
            <w:noWrap w:val="0"/>
            <w:vAlign w:val="center"/>
          </w:tcPr>
          <w:p w14:paraId="7C295830">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铜</w:t>
            </w:r>
          </w:p>
        </w:tc>
        <w:tc>
          <w:tcPr>
            <w:tcW w:w="2494" w:type="dxa"/>
            <w:vMerge w:val="restart"/>
            <w:tcBorders>
              <w:tl2br w:val="nil"/>
              <w:tr2bl w:val="nil"/>
            </w:tcBorders>
            <w:noWrap w:val="0"/>
            <w:vAlign w:val="center"/>
          </w:tcPr>
          <w:p w14:paraId="713A338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土壤和沉积物铜、锌、铅、镍、铬的测定火焰原子吸收分光光度法</w:t>
            </w:r>
          </w:p>
          <w:p w14:paraId="627F905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HJ491-2019</w:t>
            </w:r>
          </w:p>
        </w:tc>
        <w:tc>
          <w:tcPr>
            <w:tcW w:w="1800" w:type="dxa"/>
            <w:vMerge w:val="restart"/>
            <w:tcBorders>
              <w:tl2br w:val="nil"/>
              <w:tr2bl w:val="nil"/>
            </w:tcBorders>
            <w:noWrap w:val="0"/>
            <w:vAlign w:val="center"/>
          </w:tcPr>
          <w:p w14:paraId="2256C80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原子吸收分光光度计</w:t>
            </w:r>
          </w:p>
          <w:p w14:paraId="45F3E87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TAS-990AFG</w:t>
            </w:r>
          </w:p>
          <w:p w14:paraId="03A8EF7D">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lang w:bidi="ar"/>
              </w:rPr>
            </w:pPr>
            <w:r>
              <w:rPr>
                <w:rFonts w:hint="eastAsia" w:cs="Times New Roman"/>
                <w:color w:val="auto"/>
                <w:kern w:val="0"/>
                <w:sz w:val="21"/>
                <w:szCs w:val="21"/>
                <w:lang w:val="en-US" w:eastAsia="zh-CN" w:bidi="ar"/>
              </w:rPr>
              <w:t>LYYQ</w:t>
            </w:r>
            <w:r>
              <w:rPr>
                <w:rFonts w:hint="default" w:ascii="Times New Roman" w:hAnsi="Times New Roman" w:eastAsia="宋体" w:cs="Times New Roman"/>
                <w:color w:val="auto"/>
                <w:kern w:val="0"/>
                <w:sz w:val="21"/>
                <w:szCs w:val="21"/>
                <w:lang w:val="en-US" w:eastAsia="zh-CN" w:bidi="ar"/>
              </w:rPr>
              <w:t>-1-003-1</w:t>
            </w:r>
          </w:p>
        </w:tc>
        <w:tc>
          <w:tcPr>
            <w:tcW w:w="1410" w:type="dxa"/>
            <w:tcBorders>
              <w:tl2br w:val="nil"/>
              <w:tr2bl w:val="nil"/>
            </w:tcBorders>
            <w:noWrap w:val="0"/>
            <w:vAlign w:val="center"/>
          </w:tcPr>
          <w:p w14:paraId="0D991854">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1mg/kg</w:t>
            </w:r>
          </w:p>
        </w:tc>
      </w:tr>
      <w:tr w14:paraId="57F8C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189C52F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1881" w:type="dxa"/>
            <w:gridSpan w:val="3"/>
            <w:tcBorders>
              <w:tl2br w:val="nil"/>
              <w:tr2bl w:val="nil"/>
            </w:tcBorders>
            <w:noWrap w:val="0"/>
            <w:vAlign w:val="center"/>
          </w:tcPr>
          <w:p w14:paraId="24E4D448">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p>
        </w:tc>
        <w:tc>
          <w:tcPr>
            <w:tcW w:w="2494" w:type="dxa"/>
            <w:vMerge w:val="continue"/>
            <w:tcBorders>
              <w:tl2br w:val="nil"/>
              <w:tr2bl w:val="nil"/>
            </w:tcBorders>
            <w:noWrap w:val="0"/>
            <w:vAlign w:val="center"/>
          </w:tcPr>
          <w:p w14:paraId="4D49CBF9">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1800" w:type="dxa"/>
            <w:vMerge w:val="continue"/>
            <w:tcBorders>
              <w:tl2br w:val="nil"/>
              <w:tr2bl w:val="nil"/>
            </w:tcBorders>
            <w:noWrap w:val="0"/>
            <w:vAlign w:val="center"/>
          </w:tcPr>
          <w:p w14:paraId="29C60E5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653BC1E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10mg/kg</w:t>
            </w:r>
          </w:p>
        </w:tc>
      </w:tr>
      <w:tr w14:paraId="3271E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27FE081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1881" w:type="dxa"/>
            <w:gridSpan w:val="3"/>
            <w:tcBorders>
              <w:tl2br w:val="nil"/>
              <w:tr2bl w:val="nil"/>
            </w:tcBorders>
            <w:noWrap w:val="0"/>
            <w:vAlign w:val="center"/>
          </w:tcPr>
          <w:p w14:paraId="0786423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镍</w:t>
            </w:r>
          </w:p>
        </w:tc>
        <w:tc>
          <w:tcPr>
            <w:tcW w:w="2494" w:type="dxa"/>
            <w:vMerge w:val="continue"/>
            <w:tcBorders>
              <w:tl2br w:val="nil"/>
              <w:tr2bl w:val="nil"/>
            </w:tcBorders>
            <w:noWrap w:val="0"/>
            <w:vAlign w:val="center"/>
          </w:tcPr>
          <w:p w14:paraId="25273FD4">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1800" w:type="dxa"/>
            <w:vMerge w:val="continue"/>
            <w:tcBorders>
              <w:tl2br w:val="nil"/>
              <w:tr2bl w:val="nil"/>
            </w:tcBorders>
            <w:noWrap w:val="0"/>
            <w:vAlign w:val="center"/>
          </w:tcPr>
          <w:p w14:paraId="5862EE6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val="en-US" w:eastAsia="zh-CN" w:bidi="ar"/>
              </w:rPr>
            </w:pPr>
          </w:p>
        </w:tc>
        <w:tc>
          <w:tcPr>
            <w:tcW w:w="1410" w:type="dxa"/>
            <w:tcBorders>
              <w:tl2br w:val="nil"/>
              <w:tr2bl w:val="nil"/>
            </w:tcBorders>
            <w:noWrap w:val="0"/>
            <w:vAlign w:val="center"/>
          </w:tcPr>
          <w:p w14:paraId="77BB5DF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3mg/kg</w:t>
            </w:r>
          </w:p>
        </w:tc>
      </w:tr>
      <w:tr w14:paraId="2647F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77218D48">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8</w:t>
            </w:r>
          </w:p>
        </w:tc>
        <w:tc>
          <w:tcPr>
            <w:tcW w:w="429" w:type="dxa"/>
            <w:vMerge w:val="restart"/>
            <w:tcBorders>
              <w:tl2br w:val="nil"/>
              <w:tr2bl w:val="nil"/>
            </w:tcBorders>
            <w:noWrap w:val="0"/>
            <w:vAlign w:val="center"/>
          </w:tcPr>
          <w:p w14:paraId="05CDC81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挥发性有机物</w:t>
            </w:r>
          </w:p>
        </w:tc>
        <w:tc>
          <w:tcPr>
            <w:tcW w:w="1452" w:type="dxa"/>
            <w:gridSpan w:val="2"/>
            <w:tcBorders>
              <w:tl2br w:val="nil"/>
              <w:tr2bl w:val="nil"/>
            </w:tcBorders>
            <w:noWrap w:val="0"/>
            <w:vAlign w:val="center"/>
          </w:tcPr>
          <w:p w14:paraId="01BD318D">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四氯化碳</w:t>
            </w:r>
          </w:p>
        </w:tc>
        <w:tc>
          <w:tcPr>
            <w:tcW w:w="2494" w:type="dxa"/>
            <w:vMerge w:val="restart"/>
            <w:tcBorders>
              <w:tl2br w:val="nil"/>
              <w:tr2bl w:val="nil"/>
            </w:tcBorders>
            <w:noWrap w:val="0"/>
            <w:vAlign w:val="center"/>
          </w:tcPr>
          <w:p w14:paraId="29A89ADB">
            <w:pPr>
              <w:pStyle w:val="16"/>
              <w:keepNext w:val="0"/>
              <w:keepLines w:val="0"/>
              <w:pageBreakBefore w:val="0"/>
              <w:kinsoku/>
              <w:wordWrap/>
              <w:overflowPunct/>
              <w:topLinePunct w:val="0"/>
              <w:autoSpaceDE/>
              <w:autoSpaceDN/>
              <w:bidi w:val="0"/>
              <w:spacing w:after="0" w:line="240" w:lineRule="auto"/>
              <w:ind w:left="0" w:leftChars="0" w:right="0" w:rightChars="0" w:firstLine="0" w:firstLineChars="0"/>
              <w:rPr>
                <w:rFonts w:hint="default"/>
                <w:color w:val="auto"/>
              </w:rPr>
            </w:pPr>
          </w:p>
          <w:p w14:paraId="6B8AC04D">
            <w:pPr>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color w:val="auto"/>
              </w:rPr>
            </w:pPr>
          </w:p>
          <w:p w14:paraId="55F03032">
            <w:pPr>
              <w:pStyle w:val="16"/>
              <w:keepNext w:val="0"/>
              <w:keepLines w:val="0"/>
              <w:pageBreakBefore w:val="0"/>
              <w:kinsoku/>
              <w:wordWrap/>
              <w:overflowPunct/>
              <w:topLinePunct w:val="0"/>
              <w:autoSpaceDE/>
              <w:autoSpaceDN/>
              <w:bidi w:val="0"/>
              <w:spacing w:after="0" w:line="240" w:lineRule="auto"/>
              <w:ind w:left="0" w:leftChars="0" w:right="0" w:rightChars="0" w:firstLine="0" w:firstLineChars="0"/>
              <w:rPr>
                <w:rFonts w:hint="default"/>
                <w:color w:val="auto"/>
              </w:rPr>
            </w:pPr>
          </w:p>
          <w:p w14:paraId="4DC407C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p w14:paraId="4CD25184">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土壤和沉积物挥发性有机物的测定吹扫捕集/气相色谱-质谱法HJ605-2011</w:t>
            </w:r>
          </w:p>
          <w:p w14:paraId="68CB8A4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p w14:paraId="4016D2FA">
            <w:pPr>
              <w:pStyle w:val="30"/>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ascii="Times New Roman" w:hAnsi="Times New Roman" w:eastAsia="宋体" w:cs="Times New Roman"/>
                <w:color w:val="auto"/>
                <w:sz w:val="21"/>
                <w:szCs w:val="21"/>
              </w:rPr>
            </w:pPr>
          </w:p>
          <w:p w14:paraId="2D276BC6">
            <w:pPr>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ascii="Times New Roman" w:hAnsi="Times New Roman" w:eastAsia="宋体" w:cs="Times New Roman"/>
                <w:color w:val="auto"/>
                <w:sz w:val="21"/>
                <w:szCs w:val="21"/>
              </w:rPr>
            </w:pPr>
          </w:p>
          <w:p w14:paraId="3B1D68E3">
            <w:pPr>
              <w:pStyle w:val="30"/>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ascii="Times New Roman" w:hAnsi="Times New Roman" w:eastAsia="宋体" w:cs="Times New Roman"/>
                <w:color w:val="auto"/>
                <w:sz w:val="21"/>
                <w:szCs w:val="21"/>
              </w:rPr>
            </w:pPr>
          </w:p>
          <w:p w14:paraId="52FC6014">
            <w:pPr>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ascii="Times New Roman" w:hAnsi="Times New Roman" w:eastAsia="宋体" w:cs="Times New Roman"/>
                <w:color w:val="auto"/>
                <w:sz w:val="21"/>
                <w:szCs w:val="21"/>
              </w:rPr>
            </w:pPr>
          </w:p>
          <w:p w14:paraId="4DCD2DCF">
            <w:pPr>
              <w:pStyle w:val="30"/>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ascii="Times New Roman" w:hAnsi="Times New Roman" w:eastAsia="宋体" w:cs="Times New Roman"/>
                <w:color w:val="auto"/>
                <w:sz w:val="21"/>
                <w:szCs w:val="21"/>
              </w:rPr>
            </w:pPr>
          </w:p>
          <w:p w14:paraId="319D8787">
            <w:pPr>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ascii="Times New Roman" w:hAnsi="Times New Roman" w:eastAsia="宋体" w:cs="Times New Roman"/>
                <w:color w:val="auto"/>
                <w:sz w:val="21"/>
                <w:szCs w:val="21"/>
              </w:rPr>
            </w:pPr>
          </w:p>
          <w:p w14:paraId="2758386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restart"/>
            <w:tcBorders>
              <w:tl2br w:val="nil"/>
              <w:tr2bl w:val="nil"/>
            </w:tcBorders>
            <w:noWrap w:val="0"/>
            <w:vAlign w:val="center"/>
          </w:tcPr>
          <w:p w14:paraId="27E5B192">
            <w:pPr>
              <w:pStyle w:val="16"/>
              <w:keepNext w:val="0"/>
              <w:keepLines w:val="0"/>
              <w:pageBreakBefore w:val="0"/>
              <w:kinsoku/>
              <w:wordWrap/>
              <w:overflowPunct/>
              <w:topLinePunct w:val="0"/>
              <w:autoSpaceDE/>
              <w:autoSpaceDN/>
              <w:bidi w:val="0"/>
              <w:spacing w:after="0" w:line="240" w:lineRule="auto"/>
              <w:ind w:left="0" w:leftChars="0" w:right="0" w:rightChars="0" w:firstLine="0" w:firstLineChars="0"/>
              <w:rPr>
                <w:rFonts w:hint="default"/>
                <w:color w:val="auto"/>
                <w:lang w:eastAsia="zh-CN"/>
              </w:rPr>
            </w:pPr>
          </w:p>
          <w:p w14:paraId="3B9408AA">
            <w:pPr>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lang w:eastAsia="zh-CN"/>
              </w:rPr>
            </w:pPr>
          </w:p>
          <w:p w14:paraId="5C34AF8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eastAsia="zh-CN"/>
              </w:rPr>
            </w:pPr>
          </w:p>
          <w:p w14:paraId="5FE2F96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吹扫捕集</w:t>
            </w:r>
            <w:r>
              <w:rPr>
                <w:rFonts w:hint="default" w:ascii="Times New Roman" w:hAnsi="Times New Roman" w:eastAsia="宋体" w:cs="Times New Roman"/>
                <w:color w:val="auto"/>
                <w:sz w:val="21"/>
                <w:szCs w:val="21"/>
                <w:lang w:val="en-US" w:eastAsia="zh-CN"/>
              </w:rPr>
              <w:t>-气相色谱-质谱联用仪</w:t>
            </w:r>
          </w:p>
          <w:p w14:paraId="7B17D980">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AtomxXYZ-</w:t>
            </w:r>
          </w:p>
          <w:p w14:paraId="78CFE0F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8860(G2790A)</w:t>
            </w:r>
          </w:p>
          <w:p w14:paraId="3756A8C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-G7081B</w:t>
            </w:r>
          </w:p>
          <w:p w14:paraId="0D4B4BA3">
            <w:pPr>
              <w:pStyle w:val="16"/>
              <w:keepNext w:val="0"/>
              <w:keepLines w:val="0"/>
              <w:pageBreakBefore w:val="0"/>
              <w:kinsoku/>
              <w:wordWrap/>
              <w:overflowPunct/>
              <w:topLinePunct w:val="0"/>
              <w:autoSpaceDE/>
              <w:autoSpaceDN/>
              <w:bidi w:val="0"/>
              <w:spacing w:after="0" w:line="240" w:lineRule="auto"/>
              <w:ind w:left="0" w:leftChars="0" w:right="0" w:rightChars="0" w:firstLine="0" w:firstLineChars="0"/>
              <w:jc w:val="both"/>
              <w:rPr>
                <w:rFonts w:hint="default"/>
                <w:color w:val="auto"/>
                <w:lang w:eastAsia="zh-CN"/>
              </w:rPr>
            </w:pPr>
            <w:r>
              <w:rPr>
                <w:rFonts w:hint="eastAsia" w:cs="Times New Roman"/>
                <w:color w:val="auto"/>
                <w:kern w:val="0"/>
                <w:sz w:val="21"/>
                <w:szCs w:val="21"/>
                <w:lang w:val="en-US" w:eastAsia="zh-CN" w:bidi="ar"/>
              </w:rPr>
              <w:t>LYYQ</w:t>
            </w:r>
            <w:r>
              <w:rPr>
                <w:rFonts w:hint="default" w:ascii="Times New Roman" w:hAnsi="Times New Roman" w:eastAsia="宋体" w:cs="Times New Roman"/>
                <w:color w:val="auto"/>
                <w:kern w:val="0"/>
                <w:sz w:val="21"/>
                <w:szCs w:val="21"/>
                <w:lang w:val="en-US" w:eastAsia="zh-CN" w:bidi="ar"/>
              </w:rPr>
              <w:t>-1-008-1</w:t>
            </w:r>
          </w:p>
          <w:p w14:paraId="17D24938">
            <w:pPr>
              <w:pStyle w:val="30"/>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ascii="Times New Roman" w:hAnsi="Times New Roman" w:eastAsia="宋体" w:cs="Times New Roman"/>
                <w:color w:val="auto"/>
                <w:sz w:val="21"/>
                <w:szCs w:val="21"/>
                <w:lang w:eastAsia="zh-CN"/>
              </w:rPr>
            </w:pPr>
          </w:p>
          <w:p w14:paraId="21012F61">
            <w:pPr>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ascii="Times New Roman" w:hAnsi="Times New Roman" w:eastAsia="宋体" w:cs="Times New Roman"/>
                <w:color w:val="auto"/>
                <w:sz w:val="21"/>
                <w:szCs w:val="21"/>
                <w:lang w:eastAsia="zh-CN"/>
              </w:rPr>
            </w:pPr>
          </w:p>
          <w:p w14:paraId="6A0B549A">
            <w:pPr>
              <w:pStyle w:val="30"/>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ascii="Times New Roman" w:hAnsi="Times New Roman" w:eastAsia="宋体" w:cs="Times New Roman"/>
                <w:color w:val="auto"/>
                <w:sz w:val="21"/>
                <w:szCs w:val="21"/>
                <w:lang w:eastAsia="zh-CN"/>
              </w:rPr>
            </w:pPr>
          </w:p>
          <w:p w14:paraId="46F6AEDE">
            <w:pPr>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ascii="Times New Roman" w:hAnsi="Times New Roman" w:eastAsia="宋体" w:cs="Times New Roman"/>
                <w:color w:val="auto"/>
                <w:sz w:val="21"/>
                <w:szCs w:val="21"/>
                <w:lang w:eastAsia="zh-CN"/>
              </w:rPr>
            </w:pPr>
          </w:p>
          <w:p w14:paraId="64F53DE7">
            <w:pPr>
              <w:pStyle w:val="30"/>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ascii="Times New Roman" w:hAnsi="Times New Roman" w:eastAsia="宋体" w:cs="Times New Roman"/>
                <w:color w:val="auto"/>
                <w:sz w:val="21"/>
                <w:szCs w:val="21"/>
                <w:lang w:eastAsia="zh-CN"/>
              </w:rPr>
            </w:pPr>
          </w:p>
          <w:p w14:paraId="2FC0BBA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eastAsia="zh-CN"/>
              </w:rPr>
            </w:pPr>
          </w:p>
        </w:tc>
        <w:tc>
          <w:tcPr>
            <w:tcW w:w="1410" w:type="dxa"/>
            <w:tcBorders>
              <w:tl2br w:val="nil"/>
              <w:tr2bl w:val="nil"/>
            </w:tcBorders>
            <w:noWrap w:val="0"/>
            <w:vAlign w:val="center"/>
          </w:tcPr>
          <w:p w14:paraId="6A9026FB">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1.3μg/</w:t>
            </w:r>
            <w:r>
              <w:rPr>
                <w:rFonts w:hint="default" w:ascii="Times New Roman" w:hAnsi="Times New Roman" w:eastAsia="宋体" w:cs="Times New Roman"/>
                <w:snapToGrid w:val="0"/>
                <w:color w:val="auto"/>
                <w:kern w:val="0"/>
                <w:sz w:val="21"/>
                <w:szCs w:val="21"/>
                <w:lang w:val="en-US" w:eastAsia="zh-CN"/>
              </w:rPr>
              <w:t>kg</w:t>
            </w:r>
          </w:p>
        </w:tc>
      </w:tr>
      <w:tr w14:paraId="67FAD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4FF199E4">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9</w:t>
            </w:r>
          </w:p>
        </w:tc>
        <w:tc>
          <w:tcPr>
            <w:tcW w:w="429" w:type="dxa"/>
            <w:vMerge w:val="continue"/>
            <w:tcBorders>
              <w:tl2br w:val="nil"/>
              <w:tr2bl w:val="nil"/>
            </w:tcBorders>
            <w:noWrap w:val="0"/>
            <w:vAlign w:val="center"/>
          </w:tcPr>
          <w:p w14:paraId="55D71DB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0056ED9D">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氯仿</w:t>
            </w:r>
          </w:p>
        </w:tc>
        <w:tc>
          <w:tcPr>
            <w:tcW w:w="2494" w:type="dxa"/>
            <w:vMerge w:val="continue"/>
            <w:tcBorders>
              <w:tl2br w:val="nil"/>
              <w:tr2bl w:val="nil"/>
            </w:tcBorders>
            <w:noWrap w:val="0"/>
            <w:vAlign w:val="center"/>
          </w:tcPr>
          <w:p w14:paraId="48E4F45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68B953E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3C785BBB">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1.1μg/</w:t>
            </w:r>
            <w:r>
              <w:rPr>
                <w:rFonts w:hint="default" w:ascii="Times New Roman" w:hAnsi="Times New Roman" w:eastAsia="宋体" w:cs="Times New Roman"/>
                <w:snapToGrid w:val="0"/>
                <w:color w:val="auto"/>
                <w:kern w:val="0"/>
                <w:sz w:val="21"/>
                <w:szCs w:val="21"/>
                <w:lang w:val="en-US" w:eastAsia="zh-CN"/>
              </w:rPr>
              <w:t>kg</w:t>
            </w:r>
          </w:p>
        </w:tc>
      </w:tr>
      <w:tr w14:paraId="0971B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3A38959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10</w:t>
            </w:r>
          </w:p>
        </w:tc>
        <w:tc>
          <w:tcPr>
            <w:tcW w:w="429" w:type="dxa"/>
            <w:vMerge w:val="continue"/>
            <w:tcBorders>
              <w:tl2br w:val="nil"/>
              <w:tr2bl w:val="nil"/>
            </w:tcBorders>
            <w:noWrap w:val="0"/>
            <w:vAlign w:val="center"/>
          </w:tcPr>
          <w:p w14:paraId="7383060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4DA644D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氯甲烷</w:t>
            </w:r>
          </w:p>
        </w:tc>
        <w:tc>
          <w:tcPr>
            <w:tcW w:w="2494" w:type="dxa"/>
            <w:vMerge w:val="continue"/>
            <w:tcBorders>
              <w:tl2br w:val="nil"/>
              <w:tr2bl w:val="nil"/>
            </w:tcBorders>
            <w:noWrap w:val="0"/>
            <w:vAlign w:val="center"/>
          </w:tcPr>
          <w:p w14:paraId="28207D64">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5D5A3BC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65AB55F9">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1.0μg/</w:t>
            </w:r>
            <w:r>
              <w:rPr>
                <w:rFonts w:hint="default" w:ascii="Times New Roman" w:hAnsi="Times New Roman" w:eastAsia="宋体" w:cs="Times New Roman"/>
                <w:snapToGrid w:val="0"/>
                <w:color w:val="auto"/>
                <w:kern w:val="0"/>
                <w:sz w:val="21"/>
                <w:szCs w:val="21"/>
                <w:lang w:val="en-US" w:eastAsia="zh-CN"/>
              </w:rPr>
              <w:t>kg</w:t>
            </w:r>
          </w:p>
        </w:tc>
      </w:tr>
      <w:tr w14:paraId="3D16E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5E3EA13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11</w:t>
            </w:r>
          </w:p>
        </w:tc>
        <w:tc>
          <w:tcPr>
            <w:tcW w:w="429" w:type="dxa"/>
            <w:vMerge w:val="continue"/>
            <w:tcBorders>
              <w:tl2br w:val="nil"/>
              <w:tr2bl w:val="nil"/>
            </w:tcBorders>
            <w:noWrap w:val="0"/>
            <w:vAlign w:val="center"/>
          </w:tcPr>
          <w:p w14:paraId="246113A4">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4276EBD9">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1,1-二氯乙烷</w:t>
            </w:r>
          </w:p>
        </w:tc>
        <w:tc>
          <w:tcPr>
            <w:tcW w:w="2494" w:type="dxa"/>
            <w:vMerge w:val="continue"/>
            <w:tcBorders>
              <w:tl2br w:val="nil"/>
              <w:tr2bl w:val="nil"/>
            </w:tcBorders>
            <w:noWrap w:val="0"/>
            <w:vAlign w:val="center"/>
          </w:tcPr>
          <w:p w14:paraId="01E309D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3DC3893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0D7F75D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1.2μg/</w:t>
            </w:r>
            <w:r>
              <w:rPr>
                <w:rFonts w:hint="default" w:ascii="Times New Roman" w:hAnsi="Times New Roman" w:eastAsia="宋体" w:cs="Times New Roman"/>
                <w:snapToGrid w:val="0"/>
                <w:color w:val="auto"/>
                <w:kern w:val="0"/>
                <w:sz w:val="21"/>
                <w:szCs w:val="21"/>
                <w:lang w:val="en-US" w:eastAsia="zh-CN"/>
              </w:rPr>
              <w:t>kg</w:t>
            </w:r>
          </w:p>
        </w:tc>
      </w:tr>
      <w:tr w14:paraId="58D50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47001D1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12</w:t>
            </w:r>
          </w:p>
        </w:tc>
        <w:tc>
          <w:tcPr>
            <w:tcW w:w="429" w:type="dxa"/>
            <w:vMerge w:val="continue"/>
            <w:tcBorders>
              <w:tl2br w:val="nil"/>
              <w:tr2bl w:val="nil"/>
            </w:tcBorders>
            <w:noWrap w:val="0"/>
            <w:vAlign w:val="center"/>
          </w:tcPr>
          <w:p w14:paraId="054F7684">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5271D010">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1,2-二氯乙烷</w:t>
            </w:r>
          </w:p>
        </w:tc>
        <w:tc>
          <w:tcPr>
            <w:tcW w:w="2494" w:type="dxa"/>
            <w:vMerge w:val="continue"/>
            <w:tcBorders>
              <w:tl2br w:val="nil"/>
              <w:tr2bl w:val="nil"/>
            </w:tcBorders>
            <w:noWrap w:val="0"/>
            <w:vAlign w:val="center"/>
          </w:tcPr>
          <w:p w14:paraId="0D63595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44E929E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7C5AF58D">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1.3μg/</w:t>
            </w:r>
            <w:r>
              <w:rPr>
                <w:rFonts w:hint="default" w:ascii="Times New Roman" w:hAnsi="Times New Roman" w:eastAsia="宋体" w:cs="Times New Roman"/>
                <w:snapToGrid w:val="0"/>
                <w:color w:val="auto"/>
                <w:kern w:val="0"/>
                <w:sz w:val="21"/>
                <w:szCs w:val="21"/>
                <w:lang w:val="en-US" w:eastAsia="zh-CN"/>
              </w:rPr>
              <w:t>kg</w:t>
            </w:r>
          </w:p>
        </w:tc>
      </w:tr>
      <w:tr w14:paraId="63F34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3383201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13</w:t>
            </w:r>
          </w:p>
        </w:tc>
        <w:tc>
          <w:tcPr>
            <w:tcW w:w="429" w:type="dxa"/>
            <w:vMerge w:val="continue"/>
            <w:tcBorders>
              <w:tl2br w:val="nil"/>
              <w:tr2bl w:val="nil"/>
            </w:tcBorders>
            <w:noWrap w:val="0"/>
            <w:vAlign w:val="center"/>
          </w:tcPr>
          <w:p w14:paraId="16702FF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7E235E4D">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1,1-二氯乙烯</w:t>
            </w:r>
          </w:p>
        </w:tc>
        <w:tc>
          <w:tcPr>
            <w:tcW w:w="2494" w:type="dxa"/>
            <w:vMerge w:val="continue"/>
            <w:tcBorders>
              <w:tl2br w:val="nil"/>
              <w:tr2bl w:val="nil"/>
            </w:tcBorders>
            <w:noWrap w:val="0"/>
            <w:vAlign w:val="center"/>
          </w:tcPr>
          <w:p w14:paraId="318E934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40B4026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73B54FB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1.0μg/</w:t>
            </w:r>
            <w:r>
              <w:rPr>
                <w:rFonts w:hint="default" w:ascii="Times New Roman" w:hAnsi="Times New Roman" w:eastAsia="宋体" w:cs="Times New Roman"/>
                <w:snapToGrid w:val="0"/>
                <w:color w:val="auto"/>
                <w:kern w:val="0"/>
                <w:sz w:val="21"/>
                <w:szCs w:val="21"/>
                <w:lang w:val="en-US" w:eastAsia="zh-CN"/>
              </w:rPr>
              <w:t>kg</w:t>
            </w:r>
          </w:p>
        </w:tc>
      </w:tr>
      <w:tr w14:paraId="135C6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0B7D768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14</w:t>
            </w:r>
          </w:p>
        </w:tc>
        <w:tc>
          <w:tcPr>
            <w:tcW w:w="429" w:type="dxa"/>
            <w:vMerge w:val="continue"/>
            <w:tcBorders>
              <w:tl2br w:val="nil"/>
              <w:tr2bl w:val="nil"/>
            </w:tcBorders>
            <w:noWrap w:val="0"/>
            <w:vAlign w:val="center"/>
          </w:tcPr>
          <w:p w14:paraId="651B525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006B433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顺-1,2-二氯乙烯</w:t>
            </w:r>
          </w:p>
        </w:tc>
        <w:tc>
          <w:tcPr>
            <w:tcW w:w="2494" w:type="dxa"/>
            <w:vMerge w:val="continue"/>
            <w:tcBorders>
              <w:tl2br w:val="nil"/>
              <w:tr2bl w:val="nil"/>
            </w:tcBorders>
            <w:noWrap w:val="0"/>
            <w:vAlign w:val="center"/>
          </w:tcPr>
          <w:p w14:paraId="32834848">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3103BB68">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45D21CD4">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1.3μg/</w:t>
            </w:r>
            <w:r>
              <w:rPr>
                <w:rFonts w:hint="default" w:ascii="Times New Roman" w:hAnsi="Times New Roman" w:eastAsia="宋体" w:cs="Times New Roman"/>
                <w:snapToGrid w:val="0"/>
                <w:color w:val="auto"/>
                <w:kern w:val="0"/>
                <w:sz w:val="21"/>
                <w:szCs w:val="21"/>
                <w:lang w:val="en-US" w:eastAsia="zh-CN"/>
              </w:rPr>
              <w:t>kg</w:t>
            </w:r>
          </w:p>
        </w:tc>
      </w:tr>
      <w:tr w14:paraId="1E6C6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63EB583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15</w:t>
            </w:r>
          </w:p>
        </w:tc>
        <w:tc>
          <w:tcPr>
            <w:tcW w:w="429" w:type="dxa"/>
            <w:vMerge w:val="continue"/>
            <w:tcBorders>
              <w:tl2br w:val="nil"/>
              <w:tr2bl w:val="nil"/>
            </w:tcBorders>
            <w:noWrap w:val="0"/>
            <w:vAlign w:val="center"/>
          </w:tcPr>
          <w:p w14:paraId="7503BBA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3FB8A42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反-1,2-二氯乙烯</w:t>
            </w:r>
          </w:p>
        </w:tc>
        <w:tc>
          <w:tcPr>
            <w:tcW w:w="2494" w:type="dxa"/>
            <w:vMerge w:val="continue"/>
            <w:tcBorders>
              <w:tl2br w:val="nil"/>
              <w:tr2bl w:val="nil"/>
            </w:tcBorders>
            <w:noWrap w:val="0"/>
            <w:vAlign w:val="center"/>
          </w:tcPr>
          <w:p w14:paraId="4606343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698BFEF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6C2888E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1.4μg/</w:t>
            </w:r>
            <w:r>
              <w:rPr>
                <w:rFonts w:hint="default" w:ascii="Times New Roman" w:hAnsi="Times New Roman" w:eastAsia="宋体" w:cs="Times New Roman"/>
                <w:snapToGrid w:val="0"/>
                <w:color w:val="auto"/>
                <w:kern w:val="0"/>
                <w:sz w:val="21"/>
                <w:szCs w:val="21"/>
                <w:lang w:val="en-US" w:eastAsia="zh-CN"/>
              </w:rPr>
              <w:t>kg</w:t>
            </w:r>
          </w:p>
        </w:tc>
      </w:tr>
      <w:tr w14:paraId="55BCD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3973EEF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16</w:t>
            </w:r>
          </w:p>
        </w:tc>
        <w:tc>
          <w:tcPr>
            <w:tcW w:w="429" w:type="dxa"/>
            <w:vMerge w:val="continue"/>
            <w:tcBorders>
              <w:tl2br w:val="nil"/>
              <w:tr2bl w:val="nil"/>
            </w:tcBorders>
            <w:noWrap w:val="0"/>
            <w:vAlign w:val="center"/>
          </w:tcPr>
          <w:p w14:paraId="33553659">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28D8B4A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二氯甲烷</w:t>
            </w:r>
          </w:p>
        </w:tc>
        <w:tc>
          <w:tcPr>
            <w:tcW w:w="2494" w:type="dxa"/>
            <w:vMerge w:val="continue"/>
            <w:tcBorders>
              <w:tl2br w:val="nil"/>
              <w:tr2bl w:val="nil"/>
            </w:tcBorders>
            <w:noWrap w:val="0"/>
            <w:vAlign w:val="center"/>
          </w:tcPr>
          <w:p w14:paraId="3A96B7E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43BF39CD">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41315851">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1.5μg/</w:t>
            </w:r>
            <w:r>
              <w:rPr>
                <w:rFonts w:hint="default" w:ascii="Times New Roman" w:hAnsi="Times New Roman" w:eastAsia="宋体" w:cs="Times New Roman"/>
                <w:snapToGrid w:val="0"/>
                <w:color w:val="auto"/>
                <w:kern w:val="0"/>
                <w:sz w:val="21"/>
                <w:szCs w:val="21"/>
                <w:lang w:val="en-US" w:eastAsia="zh-CN"/>
              </w:rPr>
              <w:t>kg</w:t>
            </w:r>
          </w:p>
        </w:tc>
      </w:tr>
      <w:tr w14:paraId="1051E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3757417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17</w:t>
            </w:r>
          </w:p>
        </w:tc>
        <w:tc>
          <w:tcPr>
            <w:tcW w:w="429" w:type="dxa"/>
            <w:vMerge w:val="continue"/>
            <w:tcBorders>
              <w:tl2br w:val="nil"/>
              <w:tr2bl w:val="nil"/>
            </w:tcBorders>
            <w:noWrap w:val="0"/>
            <w:vAlign w:val="center"/>
          </w:tcPr>
          <w:p w14:paraId="13815E5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77AB094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1,2-二氯丙烷</w:t>
            </w:r>
          </w:p>
        </w:tc>
        <w:tc>
          <w:tcPr>
            <w:tcW w:w="2494" w:type="dxa"/>
            <w:vMerge w:val="continue"/>
            <w:tcBorders>
              <w:tl2br w:val="nil"/>
              <w:tr2bl w:val="nil"/>
            </w:tcBorders>
            <w:noWrap w:val="0"/>
            <w:vAlign w:val="center"/>
          </w:tcPr>
          <w:p w14:paraId="0A53C9A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5B3A9CB9">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614D490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1.1</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0B692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2123F2F0">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18</w:t>
            </w:r>
          </w:p>
        </w:tc>
        <w:tc>
          <w:tcPr>
            <w:tcW w:w="429" w:type="dxa"/>
            <w:vMerge w:val="continue"/>
            <w:tcBorders>
              <w:tl2br w:val="nil"/>
              <w:tr2bl w:val="nil"/>
            </w:tcBorders>
            <w:noWrap w:val="0"/>
            <w:vAlign w:val="center"/>
          </w:tcPr>
          <w:p w14:paraId="25941EC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187499A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1,1,1,2-四氯乙烷</w:t>
            </w:r>
          </w:p>
        </w:tc>
        <w:tc>
          <w:tcPr>
            <w:tcW w:w="2494" w:type="dxa"/>
            <w:vMerge w:val="continue"/>
            <w:tcBorders>
              <w:tl2br w:val="nil"/>
              <w:tr2bl w:val="nil"/>
            </w:tcBorders>
            <w:noWrap w:val="0"/>
            <w:vAlign w:val="center"/>
          </w:tcPr>
          <w:p w14:paraId="775E919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25AAE5B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60D4DFB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6F7D7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571F215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19</w:t>
            </w:r>
          </w:p>
        </w:tc>
        <w:tc>
          <w:tcPr>
            <w:tcW w:w="429" w:type="dxa"/>
            <w:vMerge w:val="continue"/>
            <w:tcBorders>
              <w:tl2br w:val="nil"/>
              <w:tr2bl w:val="nil"/>
            </w:tcBorders>
            <w:noWrap w:val="0"/>
            <w:vAlign w:val="center"/>
          </w:tcPr>
          <w:p w14:paraId="7E15DFC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5FC98B8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1,1,2,2-四氯乙烷</w:t>
            </w:r>
          </w:p>
        </w:tc>
        <w:tc>
          <w:tcPr>
            <w:tcW w:w="2494" w:type="dxa"/>
            <w:vMerge w:val="continue"/>
            <w:tcBorders>
              <w:tl2br w:val="nil"/>
              <w:tr2bl w:val="nil"/>
            </w:tcBorders>
            <w:noWrap w:val="0"/>
            <w:vAlign w:val="center"/>
          </w:tcPr>
          <w:p w14:paraId="15A62F4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4983EA2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3A9D789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1276C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6A57D34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20</w:t>
            </w:r>
          </w:p>
        </w:tc>
        <w:tc>
          <w:tcPr>
            <w:tcW w:w="429" w:type="dxa"/>
            <w:vMerge w:val="continue"/>
            <w:tcBorders>
              <w:tl2br w:val="nil"/>
              <w:tr2bl w:val="nil"/>
            </w:tcBorders>
            <w:noWrap w:val="0"/>
            <w:vAlign w:val="center"/>
          </w:tcPr>
          <w:p w14:paraId="3A955289">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6FC6E9D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四氯乙烯</w:t>
            </w:r>
          </w:p>
        </w:tc>
        <w:tc>
          <w:tcPr>
            <w:tcW w:w="2494" w:type="dxa"/>
            <w:vMerge w:val="continue"/>
            <w:tcBorders>
              <w:tl2br w:val="nil"/>
              <w:tr2bl w:val="nil"/>
            </w:tcBorders>
            <w:noWrap w:val="0"/>
            <w:vAlign w:val="center"/>
          </w:tcPr>
          <w:p w14:paraId="5A203B3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79C8FFB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3147EA2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1.4</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361B0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343B44A9">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21</w:t>
            </w:r>
          </w:p>
        </w:tc>
        <w:tc>
          <w:tcPr>
            <w:tcW w:w="429" w:type="dxa"/>
            <w:vMerge w:val="continue"/>
            <w:tcBorders>
              <w:tl2br w:val="nil"/>
              <w:tr2bl w:val="nil"/>
            </w:tcBorders>
            <w:noWrap w:val="0"/>
            <w:vAlign w:val="center"/>
          </w:tcPr>
          <w:p w14:paraId="1B18AA6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73CC3D5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1,1,1-三氯乙烷</w:t>
            </w:r>
          </w:p>
        </w:tc>
        <w:tc>
          <w:tcPr>
            <w:tcW w:w="2494" w:type="dxa"/>
            <w:vMerge w:val="continue"/>
            <w:tcBorders>
              <w:tl2br w:val="nil"/>
              <w:tr2bl w:val="nil"/>
            </w:tcBorders>
            <w:noWrap w:val="0"/>
            <w:vAlign w:val="center"/>
          </w:tcPr>
          <w:p w14:paraId="40C2610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358A11E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2E06E786">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1.3</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4B41A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107A2F0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22</w:t>
            </w:r>
          </w:p>
        </w:tc>
        <w:tc>
          <w:tcPr>
            <w:tcW w:w="429" w:type="dxa"/>
            <w:vMerge w:val="continue"/>
            <w:tcBorders>
              <w:tl2br w:val="nil"/>
              <w:tr2bl w:val="nil"/>
            </w:tcBorders>
            <w:noWrap w:val="0"/>
            <w:vAlign w:val="center"/>
          </w:tcPr>
          <w:p w14:paraId="4467D01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2678A9B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1,1,2-三氯乙烷</w:t>
            </w:r>
          </w:p>
        </w:tc>
        <w:tc>
          <w:tcPr>
            <w:tcW w:w="2494" w:type="dxa"/>
            <w:vMerge w:val="continue"/>
            <w:tcBorders>
              <w:tl2br w:val="nil"/>
              <w:tr2bl w:val="nil"/>
            </w:tcBorders>
            <w:noWrap w:val="0"/>
            <w:vAlign w:val="center"/>
          </w:tcPr>
          <w:p w14:paraId="744E27C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5936F62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1600C3E6">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3F574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2A724A3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23</w:t>
            </w:r>
          </w:p>
        </w:tc>
        <w:tc>
          <w:tcPr>
            <w:tcW w:w="429" w:type="dxa"/>
            <w:vMerge w:val="continue"/>
            <w:tcBorders>
              <w:tl2br w:val="nil"/>
              <w:tr2bl w:val="nil"/>
            </w:tcBorders>
            <w:noWrap w:val="0"/>
            <w:vAlign w:val="center"/>
          </w:tcPr>
          <w:p w14:paraId="3F62667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65615E20">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三氯乙烯</w:t>
            </w:r>
          </w:p>
        </w:tc>
        <w:tc>
          <w:tcPr>
            <w:tcW w:w="2494" w:type="dxa"/>
            <w:vMerge w:val="continue"/>
            <w:tcBorders>
              <w:tl2br w:val="nil"/>
              <w:tr2bl w:val="nil"/>
            </w:tcBorders>
            <w:noWrap w:val="0"/>
            <w:vAlign w:val="center"/>
          </w:tcPr>
          <w:p w14:paraId="60421B9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66849DFD">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79C7C85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779A4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57221C23">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24</w:t>
            </w:r>
          </w:p>
        </w:tc>
        <w:tc>
          <w:tcPr>
            <w:tcW w:w="429" w:type="dxa"/>
            <w:vMerge w:val="continue"/>
            <w:tcBorders>
              <w:tl2br w:val="nil"/>
              <w:tr2bl w:val="nil"/>
            </w:tcBorders>
            <w:noWrap w:val="0"/>
            <w:vAlign w:val="center"/>
          </w:tcPr>
          <w:p w14:paraId="427B327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4F05B6E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1,2,3-三氯丙烷</w:t>
            </w:r>
          </w:p>
        </w:tc>
        <w:tc>
          <w:tcPr>
            <w:tcW w:w="2494" w:type="dxa"/>
            <w:vMerge w:val="continue"/>
            <w:tcBorders>
              <w:tl2br w:val="nil"/>
              <w:tr2bl w:val="nil"/>
            </w:tcBorders>
            <w:noWrap w:val="0"/>
            <w:vAlign w:val="center"/>
          </w:tcPr>
          <w:p w14:paraId="62B5AB4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031E726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3857424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57622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73E452D7">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25</w:t>
            </w:r>
          </w:p>
        </w:tc>
        <w:tc>
          <w:tcPr>
            <w:tcW w:w="429" w:type="dxa"/>
            <w:vMerge w:val="continue"/>
            <w:tcBorders>
              <w:tl2br w:val="nil"/>
              <w:tr2bl w:val="nil"/>
            </w:tcBorders>
            <w:noWrap w:val="0"/>
            <w:vAlign w:val="center"/>
          </w:tcPr>
          <w:p w14:paraId="6A6B462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6FD2283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氯乙烯</w:t>
            </w:r>
          </w:p>
        </w:tc>
        <w:tc>
          <w:tcPr>
            <w:tcW w:w="2494" w:type="dxa"/>
            <w:vMerge w:val="continue"/>
            <w:tcBorders>
              <w:tl2br w:val="nil"/>
              <w:tr2bl w:val="nil"/>
            </w:tcBorders>
            <w:noWrap w:val="0"/>
            <w:vAlign w:val="center"/>
          </w:tcPr>
          <w:p w14:paraId="29362B0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15FC585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38E0834B">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1.0</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4A9C7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0B07A719">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26</w:t>
            </w:r>
          </w:p>
        </w:tc>
        <w:tc>
          <w:tcPr>
            <w:tcW w:w="429" w:type="dxa"/>
            <w:vMerge w:val="continue"/>
            <w:tcBorders>
              <w:tl2br w:val="nil"/>
              <w:tr2bl w:val="nil"/>
            </w:tcBorders>
            <w:noWrap w:val="0"/>
            <w:vAlign w:val="center"/>
          </w:tcPr>
          <w:p w14:paraId="319C2F8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1BE9227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苯</w:t>
            </w:r>
          </w:p>
        </w:tc>
        <w:tc>
          <w:tcPr>
            <w:tcW w:w="2494" w:type="dxa"/>
            <w:vMerge w:val="continue"/>
            <w:tcBorders>
              <w:tl2br w:val="nil"/>
              <w:tr2bl w:val="nil"/>
            </w:tcBorders>
            <w:noWrap w:val="0"/>
            <w:vAlign w:val="center"/>
          </w:tcPr>
          <w:p w14:paraId="2BE6D7A9">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211108B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52CB6DC4">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1.9</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5CC36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410F759C">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27</w:t>
            </w:r>
          </w:p>
        </w:tc>
        <w:tc>
          <w:tcPr>
            <w:tcW w:w="429" w:type="dxa"/>
            <w:vMerge w:val="continue"/>
            <w:tcBorders>
              <w:tl2br w:val="nil"/>
              <w:tr2bl w:val="nil"/>
            </w:tcBorders>
            <w:noWrap w:val="0"/>
            <w:vAlign w:val="center"/>
          </w:tcPr>
          <w:p w14:paraId="2729A1A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5F85B6B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氯苯</w:t>
            </w:r>
          </w:p>
        </w:tc>
        <w:tc>
          <w:tcPr>
            <w:tcW w:w="2494" w:type="dxa"/>
            <w:vMerge w:val="continue"/>
            <w:tcBorders>
              <w:tl2br w:val="nil"/>
              <w:tr2bl w:val="nil"/>
            </w:tcBorders>
            <w:noWrap w:val="0"/>
            <w:vAlign w:val="center"/>
          </w:tcPr>
          <w:p w14:paraId="69533249">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7656404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1B14EFD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7FBDB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68D3A2BD">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28</w:t>
            </w:r>
          </w:p>
        </w:tc>
        <w:tc>
          <w:tcPr>
            <w:tcW w:w="429" w:type="dxa"/>
            <w:vMerge w:val="continue"/>
            <w:tcBorders>
              <w:tl2br w:val="nil"/>
              <w:tr2bl w:val="nil"/>
            </w:tcBorders>
            <w:noWrap w:val="0"/>
            <w:vAlign w:val="center"/>
          </w:tcPr>
          <w:p w14:paraId="155FAA0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74E8F44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1,2-二氯苯</w:t>
            </w:r>
          </w:p>
        </w:tc>
        <w:tc>
          <w:tcPr>
            <w:tcW w:w="2494" w:type="dxa"/>
            <w:vMerge w:val="continue"/>
            <w:tcBorders>
              <w:tl2br w:val="nil"/>
              <w:tr2bl w:val="nil"/>
            </w:tcBorders>
            <w:noWrap w:val="0"/>
            <w:vAlign w:val="center"/>
          </w:tcPr>
          <w:p w14:paraId="3454AA3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01F5EDD0">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49B0C84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1.5</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1DF6D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09149552">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29</w:t>
            </w:r>
          </w:p>
        </w:tc>
        <w:tc>
          <w:tcPr>
            <w:tcW w:w="429" w:type="dxa"/>
            <w:vMerge w:val="continue"/>
            <w:tcBorders>
              <w:tl2br w:val="nil"/>
              <w:tr2bl w:val="nil"/>
            </w:tcBorders>
            <w:noWrap w:val="0"/>
            <w:vAlign w:val="center"/>
          </w:tcPr>
          <w:p w14:paraId="28A47AF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3D9E2EC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1,4-二氯苯</w:t>
            </w:r>
          </w:p>
        </w:tc>
        <w:tc>
          <w:tcPr>
            <w:tcW w:w="2494" w:type="dxa"/>
            <w:vMerge w:val="continue"/>
            <w:tcBorders>
              <w:tl2br w:val="nil"/>
              <w:tr2bl w:val="nil"/>
            </w:tcBorders>
            <w:noWrap w:val="0"/>
            <w:vAlign w:val="center"/>
          </w:tcPr>
          <w:p w14:paraId="04C424A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51FD5B4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0A654C20">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1.5</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01C79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10FF6CE6">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30</w:t>
            </w:r>
          </w:p>
        </w:tc>
        <w:tc>
          <w:tcPr>
            <w:tcW w:w="429" w:type="dxa"/>
            <w:vMerge w:val="continue"/>
            <w:tcBorders>
              <w:tl2br w:val="nil"/>
              <w:tr2bl w:val="nil"/>
            </w:tcBorders>
            <w:noWrap w:val="0"/>
            <w:vAlign w:val="center"/>
          </w:tcPr>
          <w:p w14:paraId="34DC676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72923C84">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乙苯</w:t>
            </w:r>
          </w:p>
        </w:tc>
        <w:tc>
          <w:tcPr>
            <w:tcW w:w="2494" w:type="dxa"/>
            <w:vMerge w:val="continue"/>
            <w:tcBorders>
              <w:tl2br w:val="nil"/>
              <w:tr2bl w:val="nil"/>
            </w:tcBorders>
            <w:noWrap w:val="0"/>
            <w:vAlign w:val="center"/>
          </w:tcPr>
          <w:p w14:paraId="6EF00D7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3B9D235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03F3993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0A1BB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55A6D49D">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31</w:t>
            </w:r>
          </w:p>
        </w:tc>
        <w:tc>
          <w:tcPr>
            <w:tcW w:w="429" w:type="dxa"/>
            <w:vMerge w:val="continue"/>
            <w:tcBorders>
              <w:tl2br w:val="nil"/>
              <w:tr2bl w:val="nil"/>
            </w:tcBorders>
            <w:noWrap w:val="0"/>
            <w:vAlign w:val="center"/>
          </w:tcPr>
          <w:p w14:paraId="346C76B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6DD0B7A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苯乙烯</w:t>
            </w:r>
          </w:p>
        </w:tc>
        <w:tc>
          <w:tcPr>
            <w:tcW w:w="2494" w:type="dxa"/>
            <w:vMerge w:val="continue"/>
            <w:tcBorders>
              <w:tl2br w:val="nil"/>
              <w:tr2bl w:val="nil"/>
            </w:tcBorders>
            <w:noWrap w:val="0"/>
            <w:vAlign w:val="center"/>
          </w:tcPr>
          <w:p w14:paraId="5E14CFD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38ACDE7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69CA333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1.1</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59C4E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7D740D31">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32</w:t>
            </w:r>
          </w:p>
        </w:tc>
        <w:tc>
          <w:tcPr>
            <w:tcW w:w="429" w:type="dxa"/>
            <w:vMerge w:val="continue"/>
            <w:tcBorders>
              <w:tl2br w:val="nil"/>
              <w:tr2bl w:val="nil"/>
            </w:tcBorders>
            <w:noWrap w:val="0"/>
            <w:vAlign w:val="center"/>
          </w:tcPr>
          <w:p w14:paraId="1DF4CF3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69CDDC4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甲苯</w:t>
            </w:r>
          </w:p>
        </w:tc>
        <w:tc>
          <w:tcPr>
            <w:tcW w:w="2494" w:type="dxa"/>
            <w:vMerge w:val="continue"/>
            <w:tcBorders>
              <w:tl2br w:val="nil"/>
              <w:tr2bl w:val="nil"/>
            </w:tcBorders>
            <w:noWrap w:val="0"/>
            <w:vAlign w:val="center"/>
          </w:tcPr>
          <w:p w14:paraId="31D5AD4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09487EB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30CF133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1.3</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03646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62D7C193">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33</w:t>
            </w:r>
          </w:p>
        </w:tc>
        <w:tc>
          <w:tcPr>
            <w:tcW w:w="429" w:type="dxa"/>
            <w:vMerge w:val="continue"/>
            <w:tcBorders>
              <w:tl2br w:val="nil"/>
              <w:tr2bl w:val="nil"/>
            </w:tcBorders>
            <w:noWrap w:val="0"/>
            <w:vAlign w:val="center"/>
          </w:tcPr>
          <w:p w14:paraId="3BDC912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2B7A3A5D">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邻二甲苯</w:t>
            </w:r>
          </w:p>
        </w:tc>
        <w:tc>
          <w:tcPr>
            <w:tcW w:w="2494" w:type="dxa"/>
            <w:vMerge w:val="continue"/>
            <w:tcBorders>
              <w:tl2br w:val="nil"/>
              <w:tr2bl w:val="nil"/>
            </w:tcBorders>
            <w:noWrap w:val="0"/>
            <w:vAlign w:val="center"/>
          </w:tcPr>
          <w:p w14:paraId="47C0620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74DC21D9">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1A4F35D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4DADE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529C67A0">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34</w:t>
            </w:r>
          </w:p>
        </w:tc>
        <w:tc>
          <w:tcPr>
            <w:tcW w:w="429" w:type="dxa"/>
            <w:vMerge w:val="continue"/>
            <w:tcBorders>
              <w:tl2br w:val="nil"/>
              <w:tr2bl w:val="nil"/>
            </w:tcBorders>
            <w:noWrap w:val="0"/>
            <w:vAlign w:val="center"/>
          </w:tcPr>
          <w:p w14:paraId="26B1DCF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06314DF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间二甲苯+对二甲苯</w:t>
            </w:r>
          </w:p>
        </w:tc>
        <w:tc>
          <w:tcPr>
            <w:tcW w:w="2494" w:type="dxa"/>
            <w:vMerge w:val="continue"/>
            <w:tcBorders>
              <w:tl2br w:val="nil"/>
              <w:tr2bl w:val="nil"/>
            </w:tcBorders>
            <w:noWrap w:val="0"/>
            <w:vAlign w:val="center"/>
          </w:tcPr>
          <w:p w14:paraId="2E519BA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23467864">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39E67EC0">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r>
              <w:rPr>
                <w:rFonts w:hint="default" w:ascii="Times New Roman" w:hAnsi="Times New Roman" w:eastAsia="宋体" w:cs="Times New Roman"/>
                <w:i w:val="0"/>
                <w:color w:val="auto"/>
                <w:kern w:val="0"/>
                <w:sz w:val="21"/>
                <w:szCs w:val="21"/>
                <w:u w:val="none"/>
                <w:lang w:val="en-US" w:eastAsia="zh-CN" w:bidi="ar"/>
              </w:rPr>
              <w:t>μg/</w:t>
            </w:r>
            <w:r>
              <w:rPr>
                <w:rFonts w:hint="default" w:ascii="Times New Roman" w:hAnsi="Times New Roman" w:eastAsia="宋体" w:cs="Times New Roman"/>
                <w:snapToGrid w:val="0"/>
                <w:color w:val="auto"/>
                <w:kern w:val="0"/>
                <w:sz w:val="21"/>
                <w:szCs w:val="21"/>
                <w:lang w:val="en-US" w:eastAsia="zh-CN"/>
              </w:rPr>
              <w:t>kg</w:t>
            </w:r>
          </w:p>
        </w:tc>
      </w:tr>
      <w:tr w14:paraId="6A7D9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1826BC5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35</w:t>
            </w:r>
          </w:p>
        </w:tc>
        <w:tc>
          <w:tcPr>
            <w:tcW w:w="429" w:type="dxa"/>
            <w:vMerge w:val="restart"/>
            <w:tcBorders>
              <w:tl2br w:val="nil"/>
              <w:tr2bl w:val="nil"/>
            </w:tcBorders>
            <w:noWrap w:val="0"/>
            <w:vAlign w:val="center"/>
          </w:tcPr>
          <w:p w14:paraId="6B8CD4D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both"/>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半挥发性有机物</w:t>
            </w:r>
          </w:p>
        </w:tc>
        <w:tc>
          <w:tcPr>
            <w:tcW w:w="1452" w:type="dxa"/>
            <w:gridSpan w:val="2"/>
            <w:tcBorders>
              <w:tl2br w:val="nil"/>
              <w:tr2bl w:val="nil"/>
            </w:tcBorders>
            <w:noWrap w:val="0"/>
            <w:vAlign w:val="center"/>
          </w:tcPr>
          <w:p w14:paraId="33580220">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硝基苯</w:t>
            </w:r>
          </w:p>
        </w:tc>
        <w:tc>
          <w:tcPr>
            <w:tcW w:w="2494" w:type="dxa"/>
            <w:vMerge w:val="restart"/>
            <w:tcBorders>
              <w:tl2br w:val="nil"/>
              <w:tr2bl w:val="nil"/>
            </w:tcBorders>
            <w:noWrap w:val="0"/>
            <w:vAlign w:val="center"/>
          </w:tcPr>
          <w:p w14:paraId="5A2A0A84">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p>
          <w:p w14:paraId="636DCF2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p>
          <w:p w14:paraId="70DD92B4">
            <w:pPr>
              <w:pStyle w:val="16"/>
              <w:keepNext w:val="0"/>
              <w:keepLines w:val="0"/>
              <w:pageBreakBefore w:val="0"/>
              <w:kinsoku/>
              <w:wordWrap/>
              <w:overflowPunct/>
              <w:topLinePunct w:val="0"/>
              <w:autoSpaceDE/>
              <w:autoSpaceDN/>
              <w:bidi w:val="0"/>
              <w:spacing w:after="0" w:line="240" w:lineRule="auto"/>
              <w:ind w:left="0" w:leftChars="0" w:right="0" w:rightChars="0" w:firstLine="0" w:firstLineChars="0"/>
              <w:rPr>
                <w:rFonts w:hint="default"/>
                <w:color w:val="auto"/>
              </w:rPr>
            </w:pPr>
          </w:p>
          <w:p w14:paraId="112038E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土壤和沉积物半挥发性有机物的测定气相色谱-质谱法</w:t>
            </w:r>
          </w:p>
          <w:p w14:paraId="274D19C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HJ834-2017</w:t>
            </w:r>
          </w:p>
          <w:p w14:paraId="5E764D8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eastAsia="zh-CN"/>
              </w:rPr>
            </w:pPr>
          </w:p>
          <w:p w14:paraId="40226D77">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eastAsia="zh-CN"/>
              </w:rPr>
            </w:pPr>
          </w:p>
          <w:p w14:paraId="5722AF21">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rPr>
            </w:pPr>
          </w:p>
        </w:tc>
        <w:tc>
          <w:tcPr>
            <w:tcW w:w="1800" w:type="dxa"/>
            <w:vMerge w:val="restart"/>
            <w:tcBorders>
              <w:tl2br w:val="nil"/>
              <w:tr2bl w:val="nil"/>
            </w:tcBorders>
            <w:noWrap w:val="0"/>
            <w:vAlign w:val="center"/>
          </w:tcPr>
          <w:p w14:paraId="733CEE58">
            <w:pPr>
              <w:keepNext w:val="0"/>
              <w:keepLines w:val="0"/>
              <w:pageBreakBefore w:val="0"/>
              <w:kinsoku/>
              <w:wordWrap/>
              <w:overflowPunct/>
              <w:topLinePunct w:val="0"/>
              <w:autoSpaceDE/>
              <w:autoSpaceDN/>
              <w:bidi w:val="0"/>
              <w:spacing w:line="240" w:lineRule="auto"/>
              <w:ind w:left="0" w:leftChars="0" w:right="0" w:rightChars="0" w:firstLine="0" w:firstLineChars="0"/>
              <w:rPr>
                <w:rFonts w:hint="default"/>
                <w:color w:val="auto"/>
                <w:lang w:val="en-US" w:eastAsia="zh-CN"/>
              </w:rPr>
            </w:pPr>
          </w:p>
          <w:p w14:paraId="085B868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气相色谱-质谱联用仪</w:t>
            </w:r>
          </w:p>
          <w:p w14:paraId="69522ED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8860(G2790A)</w:t>
            </w:r>
          </w:p>
          <w:p w14:paraId="18748ED6">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-G7081B</w:t>
            </w:r>
          </w:p>
          <w:p w14:paraId="13A0099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eastAsia" w:cs="Times New Roman"/>
                <w:color w:val="auto"/>
                <w:kern w:val="0"/>
                <w:sz w:val="21"/>
                <w:szCs w:val="21"/>
                <w:lang w:val="en-US" w:eastAsia="zh-CN" w:bidi="ar"/>
              </w:rPr>
              <w:t>LYYQ</w:t>
            </w:r>
            <w:r>
              <w:rPr>
                <w:rFonts w:hint="default" w:ascii="Times New Roman" w:hAnsi="Times New Roman" w:eastAsia="宋体" w:cs="Times New Roman"/>
                <w:color w:val="auto"/>
                <w:kern w:val="0"/>
                <w:sz w:val="21"/>
                <w:szCs w:val="21"/>
                <w:lang w:val="en-US" w:eastAsia="zh-CN" w:bidi="ar"/>
              </w:rPr>
              <w:t>-1-008-1</w:t>
            </w:r>
          </w:p>
          <w:p w14:paraId="1DF951A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32A0D57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lang w:val="en-US" w:eastAsia="zh-CN"/>
              </w:rPr>
              <w:t>0.09</w:t>
            </w:r>
            <w:r>
              <w:rPr>
                <w:rFonts w:hint="default" w:ascii="Times New Roman" w:hAnsi="Times New Roman" w:eastAsia="宋体" w:cs="Times New Roman"/>
                <w:color w:val="auto"/>
                <w:sz w:val="21"/>
                <w:szCs w:val="21"/>
                <w:lang w:val="en-US" w:eastAsia="zh-CN"/>
              </w:rPr>
              <w:t>mg/</w:t>
            </w:r>
            <w:r>
              <w:rPr>
                <w:rFonts w:hint="default" w:ascii="Times New Roman" w:hAnsi="Times New Roman" w:eastAsia="宋体" w:cs="Times New Roman"/>
                <w:snapToGrid w:val="0"/>
                <w:color w:val="auto"/>
                <w:kern w:val="0"/>
                <w:sz w:val="21"/>
                <w:szCs w:val="21"/>
                <w:lang w:val="en-US" w:eastAsia="zh-CN"/>
              </w:rPr>
              <w:t>kg</w:t>
            </w:r>
          </w:p>
        </w:tc>
      </w:tr>
      <w:tr w14:paraId="73FC8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vMerge w:val="restart"/>
            <w:tcBorders>
              <w:tl2br w:val="nil"/>
              <w:tr2bl w:val="nil"/>
            </w:tcBorders>
            <w:noWrap w:val="0"/>
            <w:vAlign w:val="center"/>
          </w:tcPr>
          <w:p w14:paraId="6EC40DF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36</w:t>
            </w:r>
          </w:p>
        </w:tc>
        <w:tc>
          <w:tcPr>
            <w:tcW w:w="429" w:type="dxa"/>
            <w:vMerge w:val="continue"/>
            <w:tcBorders>
              <w:tl2br w:val="nil"/>
              <w:tr2bl w:val="nil"/>
            </w:tcBorders>
            <w:noWrap w:val="0"/>
            <w:vAlign w:val="center"/>
          </w:tcPr>
          <w:p w14:paraId="4A16CC60">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360" w:type="dxa"/>
            <w:vMerge w:val="restart"/>
            <w:tcBorders>
              <w:tl2br w:val="nil"/>
              <w:tr2bl w:val="nil"/>
            </w:tcBorders>
            <w:noWrap w:val="0"/>
            <w:vAlign w:val="center"/>
          </w:tcPr>
          <w:p w14:paraId="29747E2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苯胺</w:t>
            </w:r>
          </w:p>
        </w:tc>
        <w:tc>
          <w:tcPr>
            <w:tcW w:w="1092" w:type="dxa"/>
            <w:tcBorders>
              <w:tl2br w:val="nil"/>
              <w:tr2bl w:val="nil"/>
            </w:tcBorders>
            <w:noWrap w:val="0"/>
            <w:vAlign w:val="center"/>
          </w:tcPr>
          <w:p w14:paraId="0647CCA6">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4-氯苯胺</w:t>
            </w:r>
          </w:p>
        </w:tc>
        <w:tc>
          <w:tcPr>
            <w:tcW w:w="2494" w:type="dxa"/>
            <w:vMerge w:val="continue"/>
            <w:tcBorders>
              <w:tl2br w:val="nil"/>
              <w:tr2bl w:val="nil"/>
            </w:tcBorders>
            <w:noWrap w:val="0"/>
            <w:vAlign w:val="center"/>
          </w:tcPr>
          <w:p w14:paraId="36D4CEA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6D72F48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0153CFE1">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0.09mg/</w:t>
            </w:r>
            <w:r>
              <w:rPr>
                <w:rFonts w:hint="default" w:ascii="Times New Roman" w:hAnsi="Times New Roman" w:eastAsia="宋体" w:cs="Times New Roman"/>
                <w:snapToGrid w:val="0"/>
                <w:color w:val="auto"/>
                <w:kern w:val="0"/>
                <w:sz w:val="21"/>
                <w:szCs w:val="21"/>
                <w:lang w:val="en-US" w:eastAsia="zh-CN"/>
              </w:rPr>
              <w:t>kg</w:t>
            </w:r>
          </w:p>
        </w:tc>
      </w:tr>
      <w:tr w14:paraId="4D069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vMerge w:val="continue"/>
            <w:tcBorders>
              <w:tl2br w:val="nil"/>
              <w:tr2bl w:val="nil"/>
            </w:tcBorders>
            <w:noWrap w:val="0"/>
            <w:vAlign w:val="center"/>
          </w:tcPr>
          <w:p w14:paraId="1C07C4A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429" w:type="dxa"/>
            <w:vMerge w:val="continue"/>
            <w:tcBorders>
              <w:tl2br w:val="nil"/>
              <w:tr2bl w:val="nil"/>
            </w:tcBorders>
            <w:noWrap w:val="0"/>
            <w:vAlign w:val="center"/>
          </w:tcPr>
          <w:p w14:paraId="337CDF6D">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360" w:type="dxa"/>
            <w:vMerge w:val="continue"/>
            <w:tcBorders>
              <w:tl2br w:val="nil"/>
              <w:tr2bl w:val="nil"/>
            </w:tcBorders>
            <w:noWrap w:val="0"/>
            <w:vAlign w:val="center"/>
          </w:tcPr>
          <w:p w14:paraId="209EA68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1092" w:type="dxa"/>
            <w:tcBorders>
              <w:tl2br w:val="nil"/>
              <w:tr2bl w:val="nil"/>
            </w:tcBorders>
            <w:noWrap w:val="0"/>
            <w:vAlign w:val="center"/>
          </w:tcPr>
          <w:p w14:paraId="0F20D757">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2-硝基苯胺</w:t>
            </w:r>
          </w:p>
        </w:tc>
        <w:tc>
          <w:tcPr>
            <w:tcW w:w="2494" w:type="dxa"/>
            <w:vMerge w:val="continue"/>
            <w:tcBorders>
              <w:tl2br w:val="nil"/>
              <w:tr2bl w:val="nil"/>
            </w:tcBorders>
            <w:noWrap w:val="0"/>
            <w:vAlign w:val="center"/>
          </w:tcPr>
          <w:p w14:paraId="77D5AB50">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1800" w:type="dxa"/>
            <w:vMerge w:val="continue"/>
            <w:tcBorders>
              <w:tl2br w:val="nil"/>
              <w:tr2bl w:val="nil"/>
            </w:tcBorders>
            <w:noWrap w:val="0"/>
            <w:vAlign w:val="center"/>
          </w:tcPr>
          <w:p w14:paraId="766C8ED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1410" w:type="dxa"/>
            <w:tcBorders>
              <w:tl2br w:val="nil"/>
              <w:tr2bl w:val="nil"/>
            </w:tcBorders>
            <w:noWrap w:val="0"/>
            <w:vAlign w:val="center"/>
          </w:tcPr>
          <w:p w14:paraId="7CD061F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0.08mg/</w:t>
            </w:r>
            <w:r>
              <w:rPr>
                <w:rFonts w:hint="default" w:ascii="Times New Roman" w:hAnsi="Times New Roman" w:eastAsia="宋体" w:cs="Times New Roman"/>
                <w:snapToGrid w:val="0"/>
                <w:color w:val="auto"/>
                <w:kern w:val="0"/>
                <w:sz w:val="21"/>
                <w:szCs w:val="21"/>
                <w:lang w:val="en-US" w:eastAsia="zh-CN"/>
              </w:rPr>
              <w:t>kg</w:t>
            </w:r>
          </w:p>
        </w:tc>
      </w:tr>
      <w:tr w14:paraId="2F322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vMerge w:val="continue"/>
            <w:tcBorders>
              <w:tl2br w:val="nil"/>
              <w:tr2bl w:val="nil"/>
            </w:tcBorders>
            <w:noWrap w:val="0"/>
            <w:vAlign w:val="center"/>
          </w:tcPr>
          <w:p w14:paraId="151808E3">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429" w:type="dxa"/>
            <w:vMerge w:val="continue"/>
            <w:tcBorders>
              <w:tl2br w:val="nil"/>
              <w:tr2bl w:val="nil"/>
            </w:tcBorders>
            <w:noWrap w:val="0"/>
            <w:vAlign w:val="center"/>
          </w:tcPr>
          <w:p w14:paraId="2212FE7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360" w:type="dxa"/>
            <w:vMerge w:val="continue"/>
            <w:tcBorders>
              <w:tl2br w:val="nil"/>
              <w:tr2bl w:val="nil"/>
            </w:tcBorders>
            <w:noWrap w:val="0"/>
            <w:vAlign w:val="center"/>
          </w:tcPr>
          <w:p w14:paraId="344C60E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1092" w:type="dxa"/>
            <w:tcBorders>
              <w:tl2br w:val="nil"/>
              <w:tr2bl w:val="nil"/>
            </w:tcBorders>
            <w:noWrap w:val="0"/>
            <w:vAlign w:val="center"/>
          </w:tcPr>
          <w:p w14:paraId="123C17D3">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3-硝基苯胺</w:t>
            </w:r>
          </w:p>
        </w:tc>
        <w:tc>
          <w:tcPr>
            <w:tcW w:w="2494" w:type="dxa"/>
            <w:vMerge w:val="continue"/>
            <w:tcBorders>
              <w:tl2br w:val="nil"/>
              <w:tr2bl w:val="nil"/>
            </w:tcBorders>
            <w:noWrap w:val="0"/>
            <w:vAlign w:val="center"/>
          </w:tcPr>
          <w:p w14:paraId="03FAA2F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1800" w:type="dxa"/>
            <w:vMerge w:val="continue"/>
            <w:tcBorders>
              <w:tl2br w:val="nil"/>
              <w:tr2bl w:val="nil"/>
            </w:tcBorders>
            <w:noWrap w:val="0"/>
            <w:vAlign w:val="center"/>
          </w:tcPr>
          <w:p w14:paraId="4CD3BF6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1410" w:type="dxa"/>
            <w:tcBorders>
              <w:tl2br w:val="nil"/>
              <w:tr2bl w:val="nil"/>
            </w:tcBorders>
            <w:noWrap w:val="0"/>
            <w:vAlign w:val="center"/>
          </w:tcPr>
          <w:p w14:paraId="4DECA80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0.1mg/</w:t>
            </w:r>
            <w:r>
              <w:rPr>
                <w:rFonts w:hint="default" w:ascii="Times New Roman" w:hAnsi="Times New Roman" w:eastAsia="宋体" w:cs="Times New Roman"/>
                <w:snapToGrid w:val="0"/>
                <w:color w:val="auto"/>
                <w:kern w:val="0"/>
                <w:sz w:val="21"/>
                <w:szCs w:val="21"/>
                <w:lang w:val="en-US" w:eastAsia="zh-CN"/>
              </w:rPr>
              <w:t>kg</w:t>
            </w:r>
          </w:p>
        </w:tc>
      </w:tr>
      <w:tr w14:paraId="7D339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vMerge w:val="continue"/>
            <w:tcBorders>
              <w:tl2br w:val="nil"/>
              <w:tr2bl w:val="nil"/>
            </w:tcBorders>
            <w:noWrap w:val="0"/>
            <w:vAlign w:val="center"/>
          </w:tcPr>
          <w:p w14:paraId="717643DB">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429" w:type="dxa"/>
            <w:vMerge w:val="continue"/>
            <w:tcBorders>
              <w:tl2br w:val="nil"/>
              <w:tr2bl w:val="nil"/>
            </w:tcBorders>
            <w:noWrap w:val="0"/>
            <w:vAlign w:val="center"/>
          </w:tcPr>
          <w:p w14:paraId="09F4069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360" w:type="dxa"/>
            <w:vMerge w:val="continue"/>
            <w:tcBorders>
              <w:tl2br w:val="nil"/>
              <w:tr2bl w:val="nil"/>
            </w:tcBorders>
            <w:noWrap w:val="0"/>
            <w:vAlign w:val="center"/>
          </w:tcPr>
          <w:p w14:paraId="343817C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1092" w:type="dxa"/>
            <w:tcBorders>
              <w:tl2br w:val="nil"/>
              <w:tr2bl w:val="nil"/>
            </w:tcBorders>
            <w:noWrap w:val="0"/>
            <w:vAlign w:val="center"/>
          </w:tcPr>
          <w:p w14:paraId="679B5FC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4-硝基苯胺</w:t>
            </w:r>
          </w:p>
        </w:tc>
        <w:tc>
          <w:tcPr>
            <w:tcW w:w="2494" w:type="dxa"/>
            <w:vMerge w:val="continue"/>
            <w:tcBorders>
              <w:tl2br w:val="nil"/>
              <w:tr2bl w:val="nil"/>
            </w:tcBorders>
            <w:noWrap w:val="0"/>
            <w:vAlign w:val="center"/>
          </w:tcPr>
          <w:p w14:paraId="7B78EE4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1800" w:type="dxa"/>
            <w:vMerge w:val="continue"/>
            <w:tcBorders>
              <w:tl2br w:val="nil"/>
              <w:tr2bl w:val="nil"/>
            </w:tcBorders>
            <w:noWrap w:val="0"/>
            <w:vAlign w:val="center"/>
          </w:tcPr>
          <w:p w14:paraId="38D3EDD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rPr>
            </w:pPr>
          </w:p>
        </w:tc>
        <w:tc>
          <w:tcPr>
            <w:tcW w:w="1410" w:type="dxa"/>
            <w:tcBorders>
              <w:tl2br w:val="nil"/>
              <w:tr2bl w:val="nil"/>
            </w:tcBorders>
            <w:noWrap w:val="0"/>
            <w:vAlign w:val="center"/>
          </w:tcPr>
          <w:p w14:paraId="7011347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0.1mg/</w:t>
            </w:r>
            <w:r>
              <w:rPr>
                <w:rFonts w:hint="default" w:ascii="Times New Roman" w:hAnsi="Times New Roman" w:eastAsia="宋体" w:cs="Times New Roman"/>
                <w:snapToGrid w:val="0"/>
                <w:color w:val="auto"/>
                <w:kern w:val="0"/>
                <w:sz w:val="21"/>
                <w:szCs w:val="21"/>
                <w:lang w:val="en-US" w:eastAsia="zh-CN"/>
              </w:rPr>
              <w:t>kg</w:t>
            </w:r>
          </w:p>
        </w:tc>
      </w:tr>
      <w:tr w14:paraId="06786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18F2FED0">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37</w:t>
            </w:r>
          </w:p>
        </w:tc>
        <w:tc>
          <w:tcPr>
            <w:tcW w:w="429" w:type="dxa"/>
            <w:vMerge w:val="continue"/>
            <w:tcBorders>
              <w:tl2br w:val="nil"/>
              <w:tr2bl w:val="nil"/>
            </w:tcBorders>
            <w:noWrap w:val="0"/>
            <w:vAlign w:val="center"/>
          </w:tcPr>
          <w:p w14:paraId="3377718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622FD02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2-氯酚</w:t>
            </w:r>
          </w:p>
        </w:tc>
        <w:tc>
          <w:tcPr>
            <w:tcW w:w="2494" w:type="dxa"/>
            <w:vMerge w:val="continue"/>
            <w:tcBorders>
              <w:tl2br w:val="nil"/>
              <w:tr2bl w:val="nil"/>
            </w:tcBorders>
            <w:noWrap w:val="0"/>
            <w:vAlign w:val="center"/>
          </w:tcPr>
          <w:p w14:paraId="6E594C2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0E99317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504F2CC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0.06</w:t>
            </w:r>
            <w:r>
              <w:rPr>
                <w:rFonts w:hint="default" w:ascii="Times New Roman" w:hAnsi="Times New Roman" w:eastAsia="宋体" w:cs="Times New Roman"/>
                <w:color w:val="auto"/>
                <w:sz w:val="21"/>
                <w:szCs w:val="21"/>
                <w:lang w:val="en-US" w:eastAsia="zh-CN"/>
              </w:rPr>
              <w:t>mg/</w:t>
            </w:r>
            <w:r>
              <w:rPr>
                <w:rFonts w:hint="default" w:ascii="Times New Roman" w:hAnsi="Times New Roman" w:eastAsia="宋体" w:cs="Times New Roman"/>
                <w:snapToGrid w:val="0"/>
                <w:color w:val="auto"/>
                <w:kern w:val="0"/>
                <w:sz w:val="21"/>
                <w:szCs w:val="21"/>
                <w:lang w:val="en-US" w:eastAsia="zh-CN"/>
              </w:rPr>
              <w:t>kg</w:t>
            </w:r>
          </w:p>
        </w:tc>
      </w:tr>
      <w:tr w14:paraId="2FBC9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1AF217BE">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38</w:t>
            </w:r>
          </w:p>
        </w:tc>
        <w:tc>
          <w:tcPr>
            <w:tcW w:w="429" w:type="dxa"/>
            <w:vMerge w:val="continue"/>
            <w:tcBorders>
              <w:tl2br w:val="nil"/>
              <w:tr2bl w:val="nil"/>
            </w:tcBorders>
            <w:noWrap w:val="0"/>
            <w:vAlign w:val="center"/>
          </w:tcPr>
          <w:p w14:paraId="2211F06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6A32A17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苯并[a]蒽</w:t>
            </w:r>
          </w:p>
        </w:tc>
        <w:tc>
          <w:tcPr>
            <w:tcW w:w="2494" w:type="dxa"/>
            <w:vMerge w:val="continue"/>
            <w:tcBorders>
              <w:tl2br w:val="nil"/>
              <w:tr2bl w:val="nil"/>
            </w:tcBorders>
            <w:noWrap w:val="0"/>
            <w:vAlign w:val="center"/>
          </w:tcPr>
          <w:p w14:paraId="6AE6F96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3A35A55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437DABCB">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0.1mg/</w:t>
            </w:r>
            <w:r>
              <w:rPr>
                <w:rFonts w:hint="default" w:ascii="Times New Roman" w:hAnsi="Times New Roman" w:eastAsia="宋体" w:cs="Times New Roman"/>
                <w:snapToGrid w:val="0"/>
                <w:color w:val="auto"/>
                <w:kern w:val="0"/>
                <w:sz w:val="21"/>
                <w:szCs w:val="21"/>
                <w:lang w:val="en-US" w:eastAsia="zh-CN"/>
              </w:rPr>
              <w:t>kg</w:t>
            </w:r>
          </w:p>
        </w:tc>
      </w:tr>
      <w:tr w14:paraId="3BE83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3E3D55F4">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39</w:t>
            </w:r>
          </w:p>
        </w:tc>
        <w:tc>
          <w:tcPr>
            <w:tcW w:w="429" w:type="dxa"/>
            <w:vMerge w:val="continue"/>
            <w:tcBorders>
              <w:tl2br w:val="nil"/>
              <w:tr2bl w:val="nil"/>
            </w:tcBorders>
            <w:noWrap w:val="0"/>
            <w:vAlign w:val="center"/>
          </w:tcPr>
          <w:p w14:paraId="3F3291B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476AA5C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苯并[a]芘</w:t>
            </w:r>
          </w:p>
        </w:tc>
        <w:tc>
          <w:tcPr>
            <w:tcW w:w="2494" w:type="dxa"/>
            <w:vMerge w:val="continue"/>
            <w:tcBorders>
              <w:tl2br w:val="nil"/>
              <w:tr2bl w:val="nil"/>
            </w:tcBorders>
            <w:noWrap w:val="0"/>
            <w:vAlign w:val="center"/>
          </w:tcPr>
          <w:p w14:paraId="3553E42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255DA940">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37A77F2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0.1mg/</w:t>
            </w:r>
            <w:r>
              <w:rPr>
                <w:rFonts w:hint="default" w:ascii="Times New Roman" w:hAnsi="Times New Roman" w:eastAsia="宋体" w:cs="Times New Roman"/>
                <w:snapToGrid w:val="0"/>
                <w:color w:val="auto"/>
                <w:kern w:val="0"/>
                <w:sz w:val="21"/>
                <w:szCs w:val="21"/>
                <w:lang w:val="en-US" w:eastAsia="zh-CN"/>
              </w:rPr>
              <w:t>kg</w:t>
            </w:r>
          </w:p>
        </w:tc>
      </w:tr>
      <w:tr w14:paraId="03BF6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0EDC54C9">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40</w:t>
            </w:r>
          </w:p>
        </w:tc>
        <w:tc>
          <w:tcPr>
            <w:tcW w:w="429" w:type="dxa"/>
            <w:vMerge w:val="continue"/>
            <w:tcBorders>
              <w:tl2br w:val="nil"/>
              <w:tr2bl w:val="nil"/>
            </w:tcBorders>
            <w:noWrap w:val="0"/>
            <w:vAlign w:val="center"/>
          </w:tcPr>
          <w:p w14:paraId="029BC50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71A1EFA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苯并[b]荧蒽</w:t>
            </w:r>
          </w:p>
        </w:tc>
        <w:tc>
          <w:tcPr>
            <w:tcW w:w="2494" w:type="dxa"/>
            <w:vMerge w:val="continue"/>
            <w:tcBorders>
              <w:tl2br w:val="nil"/>
              <w:tr2bl w:val="nil"/>
            </w:tcBorders>
            <w:noWrap w:val="0"/>
            <w:vAlign w:val="center"/>
          </w:tcPr>
          <w:p w14:paraId="29A6AF8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68C7D9D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097AB6E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0.2mg/</w:t>
            </w:r>
            <w:r>
              <w:rPr>
                <w:rFonts w:hint="default" w:ascii="Times New Roman" w:hAnsi="Times New Roman" w:eastAsia="宋体" w:cs="Times New Roman"/>
                <w:snapToGrid w:val="0"/>
                <w:color w:val="auto"/>
                <w:kern w:val="0"/>
                <w:sz w:val="21"/>
                <w:szCs w:val="21"/>
                <w:lang w:val="en-US" w:eastAsia="zh-CN"/>
              </w:rPr>
              <w:t>kg</w:t>
            </w:r>
          </w:p>
        </w:tc>
      </w:tr>
      <w:tr w14:paraId="7B489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080D5B79">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41</w:t>
            </w:r>
          </w:p>
        </w:tc>
        <w:tc>
          <w:tcPr>
            <w:tcW w:w="429" w:type="dxa"/>
            <w:vMerge w:val="continue"/>
            <w:tcBorders>
              <w:tl2br w:val="nil"/>
              <w:tr2bl w:val="nil"/>
            </w:tcBorders>
            <w:noWrap w:val="0"/>
            <w:vAlign w:val="center"/>
          </w:tcPr>
          <w:p w14:paraId="4338A25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2F15AAC5">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苯并[k]荧蒽</w:t>
            </w:r>
          </w:p>
        </w:tc>
        <w:tc>
          <w:tcPr>
            <w:tcW w:w="2494" w:type="dxa"/>
            <w:vMerge w:val="continue"/>
            <w:tcBorders>
              <w:tl2br w:val="nil"/>
              <w:tr2bl w:val="nil"/>
            </w:tcBorders>
            <w:noWrap w:val="0"/>
            <w:vAlign w:val="center"/>
          </w:tcPr>
          <w:p w14:paraId="1754C8E1">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4D28AB2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4BE66819">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0.1mg/</w:t>
            </w:r>
            <w:r>
              <w:rPr>
                <w:rFonts w:hint="default" w:ascii="Times New Roman" w:hAnsi="Times New Roman" w:eastAsia="宋体" w:cs="Times New Roman"/>
                <w:snapToGrid w:val="0"/>
                <w:color w:val="auto"/>
                <w:kern w:val="0"/>
                <w:sz w:val="21"/>
                <w:szCs w:val="21"/>
                <w:lang w:val="en-US" w:eastAsia="zh-CN"/>
              </w:rPr>
              <w:t>kg</w:t>
            </w:r>
          </w:p>
        </w:tc>
      </w:tr>
      <w:tr w14:paraId="36EA8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336A312D">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42</w:t>
            </w:r>
          </w:p>
        </w:tc>
        <w:tc>
          <w:tcPr>
            <w:tcW w:w="429" w:type="dxa"/>
            <w:vMerge w:val="continue"/>
            <w:tcBorders>
              <w:tl2br w:val="nil"/>
              <w:tr2bl w:val="nil"/>
            </w:tcBorders>
            <w:noWrap w:val="0"/>
            <w:vAlign w:val="center"/>
          </w:tcPr>
          <w:p w14:paraId="18BB55A8">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4B319A1F">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䓛</w:t>
            </w:r>
          </w:p>
        </w:tc>
        <w:tc>
          <w:tcPr>
            <w:tcW w:w="2494" w:type="dxa"/>
            <w:vMerge w:val="continue"/>
            <w:tcBorders>
              <w:tl2br w:val="nil"/>
              <w:tr2bl w:val="nil"/>
            </w:tcBorders>
            <w:noWrap w:val="0"/>
            <w:vAlign w:val="center"/>
          </w:tcPr>
          <w:p w14:paraId="55B2048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1BE6B49B">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3AC99B76">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0.1mg/</w:t>
            </w:r>
            <w:r>
              <w:rPr>
                <w:rFonts w:hint="default" w:ascii="Times New Roman" w:hAnsi="Times New Roman" w:eastAsia="宋体" w:cs="Times New Roman"/>
                <w:snapToGrid w:val="0"/>
                <w:color w:val="auto"/>
                <w:kern w:val="0"/>
                <w:sz w:val="21"/>
                <w:szCs w:val="21"/>
                <w:lang w:val="en-US" w:eastAsia="zh-CN"/>
              </w:rPr>
              <w:t>kg</w:t>
            </w:r>
          </w:p>
        </w:tc>
      </w:tr>
      <w:tr w14:paraId="7BABA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1B0E80DD">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43</w:t>
            </w:r>
          </w:p>
        </w:tc>
        <w:tc>
          <w:tcPr>
            <w:tcW w:w="429" w:type="dxa"/>
            <w:vMerge w:val="continue"/>
            <w:tcBorders>
              <w:tl2br w:val="nil"/>
              <w:tr2bl w:val="nil"/>
            </w:tcBorders>
            <w:noWrap w:val="0"/>
            <w:vAlign w:val="center"/>
          </w:tcPr>
          <w:p w14:paraId="72988CD0">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5E276286">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二苯并[a,h]蒽</w:t>
            </w:r>
          </w:p>
        </w:tc>
        <w:tc>
          <w:tcPr>
            <w:tcW w:w="2494" w:type="dxa"/>
            <w:vMerge w:val="continue"/>
            <w:tcBorders>
              <w:tl2br w:val="nil"/>
              <w:tr2bl w:val="nil"/>
            </w:tcBorders>
            <w:noWrap w:val="0"/>
            <w:vAlign w:val="center"/>
          </w:tcPr>
          <w:p w14:paraId="798BC82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3544440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4392DDD1">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0.1mg/</w:t>
            </w:r>
            <w:r>
              <w:rPr>
                <w:rFonts w:hint="default" w:ascii="Times New Roman" w:hAnsi="Times New Roman" w:eastAsia="宋体" w:cs="Times New Roman"/>
                <w:snapToGrid w:val="0"/>
                <w:color w:val="auto"/>
                <w:kern w:val="0"/>
                <w:sz w:val="21"/>
                <w:szCs w:val="21"/>
                <w:lang w:val="en-US" w:eastAsia="zh-CN"/>
              </w:rPr>
              <w:t>kg</w:t>
            </w:r>
          </w:p>
        </w:tc>
      </w:tr>
      <w:tr w14:paraId="4D8D7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5F352CC8">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44</w:t>
            </w:r>
          </w:p>
        </w:tc>
        <w:tc>
          <w:tcPr>
            <w:tcW w:w="429" w:type="dxa"/>
            <w:vMerge w:val="continue"/>
            <w:tcBorders>
              <w:tl2br w:val="nil"/>
              <w:tr2bl w:val="nil"/>
            </w:tcBorders>
            <w:noWrap w:val="0"/>
            <w:vAlign w:val="center"/>
          </w:tcPr>
          <w:p w14:paraId="2E53DAD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029A1F4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茚并[1,2,3-cd]芘</w:t>
            </w:r>
          </w:p>
        </w:tc>
        <w:tc>
          <w:tcPr>
            <w:tcW w:w="2494" w:type="dxa"/>
            <w:vMerge w:val="continue"/>
            <w:tcBorders>
              <w:tl2br w:val="nil"/>
              <w:tr2bl w:val="nil"/>
            </w:tcBorders>
            <w:noWrap w:val="0"/>
            <w:vAlign w:val="center"/>
          </w:tcPr>
          <w:p w14:paraId="3FB9D792">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2CC7CAD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79801220">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0.1mg/</w:t>
            </w:r>
            <w:r>
              <w:rPr>
                <w:rFonts w:hint="default" w:ascii="Times New Roman" w:hAnsi="Times New Roman" w:eastAsia="宋体" w:cs="Times New Roman"/>
                <w:snapToGrid w:val="0"/>
                <w:color w:val="auto"/>
                <w:kern w:val="0"/>
                <w:sz w:val="21"/>
                <w:szCs w:val="21"/>
                <w:lang w:val="en-US" w:eastAsia="zh-CN"/>
              </w:rPr>
              <w:t>kg</w:t>
            </w:r>
          </w:p>
        </w:tc>
      </w:tr>
      <w:tr w14:paraId="0D220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761" w:type="dxa"/>
            <w:tcBorders>
              <w:tl2br w:val="nil"/>
              <w:tr2bl w:val="nil"/>
            </w:tcBorders>
            <w:noWrap w:val="0"/>
            <w:vAlign w:val="center"/>
          </w:tcPr>
          <w:p w14:paraId="2BE07483">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45</w:t>
            </w:r>
          </w:p>
        </w:tc>
        <w:tc>
          <w:tcPr>
            <w:tcW w:w="429" w:type="dxa"/>
            <w:vMerge w:val="continue"/>
            <w:tcBorders>
              <w:tl2br w:val="nil"/>
              <w:tr2bl w:val="nil"/>
            </w:tcBorders>
            <w:noWrap w:val="0"/>
            <w:vAlign w:val="center"/>
          </w:tcPr>
          <w:p w14:paraId="3FE69E5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p>
        </w:tc>
        <w:tc>
          <w:tcPr>
            <w:tcW w:w="1452" w:type="dxa"/>
            <w:gridSpan w:val="2"/>
            <w:tcBorders>
              <w:tl2br w:val="nil"/>
              <w:tr2bl w:val="nil"/>
            </w:tcBorders>
            <w:noWrap w:val="0"/>
            <w:vAlign w:val="center"/>
          </w:tcPr>
          <w:p w14:paraId="32C6B14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萘</w:t>
            </w:r>
          </w:p>
        </w:tc>
        <w:tc>
          <w:tcPr>
            <w:tcW w:w="2494" w:type="dxa"/>
            <w:vMerge w:val="continue"/>
            <w:tcBorders>
              <w:tl2br w:val="nil"/>
              <w:tr2bl w:val="nil"/>
            </w:tcBorders>
            <w:noWrap w:val="0"/>
            <w:vAlign w:val="center"/>
          </w:tcPr>
          <w:p w14:paraId="00DBBAA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rPr>
            </w:pPr>
          </w:p>
        </w:tc>
        <w:tc>
          <w:tcPr>
            <w:tcW w:w="1800" w:type="dxa"/>
            <w:vMerge w:val="continue"/>
            <w:tcBorders>
              <w:tl2br w:val="nil"/>
              <w:tr2bl w:val="nil"/>
            </w:tcBorders>
            <w:noWrap w:val="0"/>
            <w:vAlign w:val="center"/>
          </w:tcPr>
          <w:p w14:paraId="27D87FF8">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lang w:bidi="ar"/>
              </w:rPr>
            </w:pPr>
          </w:p>
        </w:tc>
        <w:tc>
          <w:tcPr>
            <w:tcW w:w="1410" w:type="dxa"/>
            <w:tcBorders>
              <w:tl2br w:val="nil"/>
              <w:tr2bl w:val="nil"/>
            </w:tcBorders>
            <w:noWrap w:val="0"/>
            <w:vAlign w:val="center"/>
          </w:tcPr>
          <w:p w14:paraId="6BC4F5E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0"/>
                <w:sz w:val="21"/>
                <w:szCs w:val="21"/>
                <w:lang w:val="en-US" w:eastAsia="zh-CN"/>
              </w:rPr>
              <w:t>0.09</w:t>
            </w:r>
            <w:r>
              <w:rPr>
                <w:rFonts w:hint="default" w:ascii="Times New Roman" w:hAnsi="Times New Roman" w:eastAsia="宋体" w:cs="Times New Roman"/>
                <w:color w:val="auto"/>
                <w:sz w:val="21"/>
                <w:szCs w:val="21"/>
                <w:lang w:val="en-US" w:eastAsia="zh-CN"/>
              </w:rPr>
              <w:t>mg/</w:t>
            </w:r>
            <w:r>
              <w:rPr>
                <w:rFonts w:hint="default" w:ascii="Times New Roman" w:hAnsi="Times New Roman" w:eastAsia="宋体" w:cs="Times New Roman"/>
                <w:snapToGrid w:val="0"/>
                <w:color w:val="auto"/>
                <w:kern w:val="0"/>
                <w:sz w:val="21"/>
                <w:szCs w:val="21"/>
                <w:lang w:val="en-US" w:eastAsia="zh-CN"/>
              </w:rPr>
              <w:t>kg</w:t>
            </w:r>
          </w:p>
        </w:tc>
      </w:tr>
      <w:tr w14:paraId="315A8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1B658D95">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eastAsia="宋体" w:cs="Times New Roman"/>
                <w:color w:val="auto"/>
                <w:sz w:val="21"/>
                <w:szCs w:val="21"/>
                <w:lang w:val="en-US" w:eastAsia="zh-CN"/>
              </w:rPr>
            </w:pPr>
            <w:r>
              <w:rPr>
                <w:rFonts w:hint="eastAsia" w:eastAsia="宋体" w:cs="Times New Roman"/>
                <w:color w:val="auto"/>
                <w:sz w:val="21"/>
                <w:szCs w:val="21"/>
                <w:lang w:val="en-US" w:eastAsia="zh-CN"/>
              </w:rPr>
              <w:t>46</w:t>
            </w:r>
          </w:p>
        </w:tc>
        <w:tc>
          <w:tcPr>
            <w:tcW w:w="1881" w:type="dxa"/>
            <w:gridSpan w:val="3"/>
            <w:tcBorders>
              <w:tl2br w:val="nil"/>
              <w:tr2bl w:val="nil"/>
            </w:tcBorders>
            <w:noWrap w:val="0"/>
            <w:vAlign w:val="center"/>
          </w:tcPr>
          <w:p w14:paraId="070B1190">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石油烃（C</w:t>
            </w:r>
            <w:r>
              <w:rPr>
                <w:rFonts w:hint="default" w:ascii="Times New Roman" w:hAnsi="Times New Roman" w:eastAsia="宋体" w:cs="Times New Roman"/>
                <w:b w:val="0"/>
                <w:bCs w:val="0"/>
                <w:color w:val="auto"/>
                <w:sz w:val="21"/>
                <w:szCs w:val="21"/>
                <w:highlight w:val="none"/>
                <w:vertAlign w:val="subscript"/>
              </w:rPr>
              <w:t>10</w:t>
            </w:r>
            <w:r>
              <w:rPr>
                <w:rFonts w:hint="default" w:ascii="Times New Roman" w:hAnsi="Times New Roman" w:eastAsia="宋体" w:cs="Times New Roman"/>
                <w:b w:val="0"/>
                <w:bCs w:val="0"/>
                <w:color w:val="auto"/>
                <w:sz w:val="21"/>
                <w:szCs w:val="21"/>
                <w:highlight w:val="none"/>
              </w:rPr>
              <w:t>-C</w:t>
            </w:r>
            <w:r>
              <w:rPr>
                <w:rFonts w:hint="default" w:ascii="Times New Roman" w:hAnsi="Times New Roman" w:eastAsia="宋体" w:cs="Times New Roman"/>
                <w:b w:val="0"/>
                <w:bCs w:val="0"/>
                <w:color w:val="auto"/>
                <w:sz w:val="21"/>
                <w:szCs w:val="21"/>
                <w:highlight w:val="none"/>
                <w:vertAlign w:val="subscript"/>
              </w:rPr>
              <w:t>40</w:t>
            </w:r>
            <w:r>
              <w:rPr>
                <w:rFonts w:hint="default" w:ascii="Times New Roman" w:hAnsi="Times New Roman" w:eastAsia="宋体" w:cs="Times New Roman"/>
                <w:b w:val="0"/>
                <w:bCs w:val="0"/>
                <w:color w:val="auto"/>
                <w:sz w:val="21"/>
                <w:szCs w:val="21"/>
                <w:highlight w:val="none"/>
              </w:rPr>
              <w:t>）</w:t>
            </w:r>
          </w:p>
        </w:tc>
        <w:tc>
          <w:tcPr>
            <w:tcW w:w="2494" w:type="dxa"/>
            <w:tcBorders>
              <w:tl2br w:val="nil"/>
              <w:tr2bl w:val="nil"/>
            </w:tcBorders>
            <w:noWrap w:val="0"/>
            <w:vAlign w:val="center"/>
          </w:tcPr>
          <w:p w14:paraId="6F06FCB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土壤和沉积物石油烃（C</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40</w:t>
            </w:r>
            <w:r>
              <w:rPr>
                <w:rFonts w:hint="default" w:ascii="Times New Roman" w:hAnsi="Times New Roman" w:eastAsia="宋体" w:cs="Times New Roman"/>
                <w:color w:val="auto"/>
                <w:sz w:val="21"/>
                <w:szCs w:val="21"/>
                <w:highlight w:val="none"/>
              </w:rPr>
              <w:t>）的测定气相色谱法HJ1021-2019</w:t>
            </w:r>
          </w:p>
        </w:tc>
        <w:tc>
          <w:tcPr>
            <w:tcW w:w="1800" w:type="dxa"/>
            <w:tcBorders>
              <w:tl2br w:val="nil"/>
              <w:tr2bl w:val="nil"/>
            </w:tcBorders>
            <w:noWrap w:val="0"/>
            <w:vAlign w:val="center"/>
          </w:tcPr>
          <w:p w14:paraId="76E78C97">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气相色谱仪GC7980</w:t>
            </w:r>
          </w:p>
          <w:p w14:paraId="0565C84A">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lang w:val="en-US" w:eastAsia="zh-CN" w:bidi="ar-SA"/>
              </w:rPr>
            </w:pPr>
            <w:r>
              <w:rPr>
                <w:rFonts w:hint="eastAsia" w:cs="Times New Roman"/>
                <w:color w:val="auto"/>
                <w:sz w:val="21"/>
                <w:szCs w:val="21"/>
                <w:highlight w:val="none"/>
                <w:lang w:val="en-US" w:eastAsia="zh-CN"/>
              </w:rPr>
              <w:t>LYYQ</w:t>
            </w:r>
            <w:r>
              <w:rPr>
                <w:rFonts w:hint="default" w:ascii="Times New Roman" w:hAnsi="Times New Roman" w:eastAsia="宋体" w:cs="Times New Roman"/>
                <w:color w:val="auto"/>
                <w:sz w:val="21"/>
                <w:szCs w:val="21"/>
                <w:highlight w:val="none"/>
                <w:lang w:val="en-US" w:eastAsia="zh-CN"/>
              </w:rPr>
              <w:t>-1-004-3</w:t>
            </w:r>
          </w:p>
        </w:tc>
        <w:tc>
          <w:tcPr>
            <w:tcW w:w="1410" w:type="dxa"/>
            <w:tcBorders>
              <w:tl2br w:val="nil"/>
              <w:tr2bl w:val="nil"/>
            </w:tcBorders>
            <w:noWrap w:val="0"/>
            <w:vAlign w:val="center"/>
          </w:tcPr>
          <w:p w14:paraId="3D024D3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6mg/kg</w:t>
            </w:r>
          </w:p>
        </w:tc>
      </w:tr>
      <w:tr w14:paraId="75827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1" w:type="dxa"/>
            <w:tcBorders>
              <w:tl2br w:val="nil"/>
              <w:tr2bl w:val="nil"/>
            </w:tcBorders>
            <w:noWrap w:val="0"/>
            <w:vAlign w:val="center"/>
          </w:tcPr>
          <w:p w14:paraId="48D51599">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center"/>
              <w:textAlignment w:val="center"/>
              <w:rPr>
                <w:rFonts w:hint="default" w:eastAsia="宋体" w:cs="Times New Roman"/>
                <w:color w:val="auto"/>
                <w:sz w:val="21"/>
                <w:szCs w:val="21"/>
                <w:lang w:val="en-US" w:eastAsia="zh-CN"/>
              </w:rPr>
            </w:pPr>
            <w:r>
              <w:rPr>
                <w:rFonts w:hint="eastAsia" w:cs="Times New Roman"/>
                <w:color w:val="auto"/>
                <w:sz w:val="21"/>
                <w:szCs w:val="21"/>
                <w:lang w:val="en-US" w:eastAsia="zh-CN"/>
              </w:rPr>
              <w:t>47</w:t>
            </w:r>
          </w:p>
        </w:tc>
        <w:tc>
          <w:tcPr>
            <w:tcW w:w="1881" w:type="dxa"/>
            <w:gridSpan w:val="3"/>
            <w:tcBorders>
              <w:tl2br w:val="nil"/>
              <w:tr2bl w:val="nil"/>
            </w:tcBorders>
            <w:noWrap w:val="0"/>
            <w:vAlign w:val="center"/>
          </w:tcPr>
          <w:p w14:paraId="7186347E">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kern w:val="0"/>
                <w:sz w:val="21"/>
                <w:szCs w:val="21"/>
                <w:lang w:val="en-US" w:eastAsia="zh-CN" w:bidi="ar"/>
              </w:rPr>
            </w:pPr>
            <w:r>
              <w:rPr>
                <w:rFonts w:hint="eastAsia" w:ascii="Times New Roman" w:hAnsi="Times New Roman" w:eastAsia="宋体" w:cs="Times New Roman"/>
                <w:color w:val="000000"/>
                <w:sz w:val="21"/>
                <w:szCs w:val="21"/>
                <w:highlight w:val="none"/>
                <w:lang w:val="en-US" w:eastAsia="zh-CN" w:bidi="ar-SA"/>
              </w:rPr>
              <w:t>pH值</w:t>
            </w:r>
          </w:p>
        </w:tc>
        <w:tc>
          <w:tcPr>
            <w:tcW w:w="2494" w:type="dxa"/>
            <w:tcBorders>
              <w:tl2br w:val="nil"/>
              <w:tr2bl w:val="nil"/>
            </w:tcBorders>
            <w:noWrap w:val="0"/>
            <w:vAlign w:val="center"/>
          </w:tcPr>
          <w:p w14:paraId="4AEB35D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土壤pH值的测定电位法</w:t>
            </w:r>
          </w:p>
          <w:p w14:paraId="1134244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000000"/>
                <w:kern w:val="0"/>
                <w:sz w:val="21"/>
                <w:szCs w:val="21"/>
                <w:highlight w:val="none"/>
                <w:lang w:val="en-US" w:eastAsia="zh-CN" w:bidi="ar-SA"/>
              </w:rPr>
              <w:t>HJ962-2018</w:t>
            </w:r>
          </w:p>
        </w:tc>
        <w:tc>
          <w:tcPr>
            <w:tcW w:w="1800" w:type="dxa"/>
            <w:tcBorders>
              <w:tl2br w:val="nil"/>
              <w:tr2bl w:val="nil"/>
            </w:tcBorders>
            <w:noWrap w:val="0"/>
            <w:vAlign w:val="center"/>
          </w:tcPr>
          <w:p w14:paraId="21785C14">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textAlignment w:val="center"/>
              <w:rPr>
                <w:rFonts w:hint="default" w:ascii="Times New Roman" w:hAnsi="Times New Roman" w:eastAsia="宋体" w:cs="Times New Roman"/>
                <w:color w:val="00000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bidi="ar-SA"/>
              </w:rPr>
              <w:t>数显酸度计</w:t>
            </w:r>
          </w:p>
          <w:p w14:paraId="5D510A63">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bidi="ar-SA"/>
              </w:rPr>
              <w:t>pHS-3C</w:t>
            </w:r>
          </w:p>
          <w:p w14:paraId="56DC671C">
            <w:pPr>
              <w:keepNext w:val="0"/>
              <w:keepLines w:val="0"/>
              <w:pageBreakBefore w:val="0"/>
              <w:widowControl/>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eastAsia" w:cs="Times New Roman"/>
                <w:color w:val="000000"/>
                <w:kern w:val="0"/>
                <w:sz w:val="21"/>
                <w:szCs w:val="21"/>
                <w:highlight w:val="none"/>
                <w:lang w:val="en-US" w:eastAsia="zh-CN"/>
              </w:rPr>
              <w:t>LYYQ-1-014-1</w:t>
            </w:r>
          </w:p>
        </w:tc>
        <w:tc>
          <w:tcPr>
            <w:tcW w:w="1410" w:type="dxa"/>
            <w:tcBorders>
              <w:tl2br w:val="nil"/>
              <w:tr2bl w:val="nil"/>
            </w:tcBorders>
            <w:noWrap w:val="0"/>
            <w:vAlign w:val="center"/>
          </w:tcPr>
          <w:p w14:paraId="43D7A38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cs="Times New Roman"/>
                <w:color w:val="000000"/>
                <w:sz w:val="21"/>
                <w:szCs w:val="21"/>
                <w:highlight w:val="none"/>
                <w:lang w:val="en-US" w:eastAsia="zh-CN" w:bidi="ar-SA"/>
              </w:rPr>
              <w:t>/</w:t>
            </w:r>
          </w:p>
        </w:tc>
      </w:tr>
    </w:tbl>
    <w:p w14:paraId="154569CD">
      <w:pPr>
        <w:pStyle w:val="6"/>
        <w:bidi w:val="0"/>
        <w:rPr>
          <w:color w:val="auto"/>
        </w:rPr>
      </w:pPr>
      <w:r>
        <w:rPr>
          <w:color w:val="auto"/>
        </w:rPr>
        <w:t>监测结果</w:t>
      </w:r>
    </w:p>
    <w:p w14:paraId="78DD3354">
      <w:pPr>
        <w:spacing w:line="520" w:lineRule="exact"/>
        <w:ind w:firstLine="480" w:firstLineChars="200"/>
        <w:rPr>
          <w:color w:val="auto"/>
        </w:rPr>
      </w:pPr>
      <w:r>
        <w:rPr>
          <w:color w:val="auto"/>
        </w:rPr>
        <w:t>本次土壤环境监测结果见</w:t>
      </w:r>
      <w:r>
        <w:rPr>
          <w:rFonts w:hint="eastAsia"/>
          <w:color w:val="auto"/>
          <w:lang w:val="en-US" w:eastAsia="zh-CN"/>
        </w:rPr>
        <w:t>下表</w:t>
      </w:r>
      <w:r>
        <w:rPr>
          <w:rFonts w:hint="eastAsia"/>
          <w:color w:val="auto"/>
        </w:rPr>
        <w:t>。</w:t>
      </w:r>
    </w:p>
    <w:p w14:paraId="4D078BF3">
      <w:pPr>
        <w:pStyle w:val="181"/>
        <w:bidi w:val="0"/>
        <w:rPr>
          <w:color w:val="auto"/>
        </w:rPr>
      </w:pPr>
      <w:r>
        <w:rPr>
          <w:rFonts w:ascii="Times New Roman" w:hAnsi="Times New Roman" w:eastAsia="宋体" w:cs="Arial"/>
          <w:b/>
          <w:bCs w:val="0"/>
          <w:kern w:val="2"/>
          <w:sz w:val="24"/>
          <w:szCs w:val="20"/>
          <w:lang w:val="en-US" w:eastAsia="zh-CN" w:bidi="ar-SA"/>
        </w:rPr>
        <w:t xml:space="preserve">表 </w:t>
      </w:r>
      <w:r>
        <w:rPr>
          <w:rFonts w:ascii="Times New Roman" w:hAnsi="Times New Roman" w:eastAsia="宋体" w:cs="Arial"/>
          <w:b/>
          <w:bCs w:val="0"/>
          <w:kern w:val="2"/>
          <w:sz w:val="24"/>
          <w:szCs w:val="20"/>
          <w:lang w:val="en-US" w:eastAsia="zh-CN" w:bidi="ar-SA"/>
        </w:rPr>
        <w:fldChar w:fldCharType="begin"/>
      </w:r>
      <w:r>
        <w:rPr>
          <w:rFonts w:ascii="Times New Roman" w:hAnsi="Times New Roman" w:eastAsia="宋体" w:cs="Arial"/>
          <w:b/>
          <w:bCs w:val="0"/>
          <w:kern w:val="2"/>
          <w:sz w:val="24"/>
          <w:szCs w:val="20"/>
          <w:lang w:val="en-US" w:eastAsia="zh-CN" w:bidi="ar-SA"/>
        </w:rPr>
        <w:instrText xml:space="preserve"> STYLEREF 2 \s </w:instrText>
      </w:r>
      <w:r>
        <w:rPr>
          <w:rFonts w:ascii="Times New Roman" w:hAnsi="Times New Roman" w:eastAsia="宋体" w:cs="Arial"/>
          <w:b/>
          <w:bCs w:val="0"/>
          <w:kern w:val="2"/>
          <w:sz w:val="24"/>
          <w:szCs w:val="20"/>
          <w:lang w:val="en-US" w:eastAsia="zh-CN" w:bidi="ar-SA"/>
        </w:rPr>
        <w:fldChar w:fldCharType="separate"/>
      </w:r>
      <w:r>
        <w:rPr>
          <w:rFonts w:ascii="Times New Roman" w:hAnsi="Times New Roman" w:eastAsia="宋体" w:cs="Arial"/>
          <w:b/>
          <w:bCs w:val="0"/>
          <w:kern w:val="2"/>
          <w:sz w:val="24"/>
          <w:szCs w:val="20"/>
          <w:lang w:val="en-US" w:eastAsia="zh-CN" w:bidi="ar-SA"/>
        </w:rPr>
        <w:t>5.2</w:t>
      </w:r>
      <w:r>
        <w:rPr>
          <w:rFonts w:ascii="Times New Roman" w:hAnsi="Times New Roman" w:eastAsia="宋体" w:cs="Arial"/>
          <w:b/>
          <w:bCs w:val="0"/>
          <w:kern w:val="2"/>
          <w:sz w:val="24"/>
          <w:szCs w:val="20"/>
          <w:lang w:val="en-US" w:eastAsia="zh-CN" w:bidi="ar-SA"/>
        </w:rPr>
        <w:fldChar w:fldCharType="end"/>
      </w:r>
      <w:r>
        <w:rPr>
          <w:rFonts w:hint="eastAsia" w:ascii="Times New Roman" w:hAnsi="Times New Roman" w:eastAsia="宋体" w:cs="Arial"/>
          <w:b/>
          <w:bCs w:val="0"/>
          <w:kern w:val="2"/>
          <w:sz w:val="24"/>
          <w:szCs w:val="20"/>
          <w:lang w:val="en-US" w:eastAsia="zh-CN" w:bidi="ar-SA"/>
        </w:rPr>
        <w:t>-</w:t>
      </w:r>
      <w:r>
        <w:rPr>
          <w:rFonts w:ascii="Times New Roman" w:hAnsi="Times New Roman" w:eastAsia="宋体" w:cs="Arial"/>
          <w:b/>
          <w:bCs w:val="0"/>
          <w:kern w:val="2"/>
          <w:sz w:val="24"/>
          <w:szCs w:val="20"/>
          <w:lang w:val="en-US" w:eastAsia="zh-CN" w:bidi="ar-SA"/>
        </w:rPr>
        <w:fldChar w:fldCharType="begin"/>
      </w:r>
      <w:r>
        <w:rPr>
          <w:rFonts w:ascii="Times New Roman" w:hAnsi="Times New Roman" w:eastAsia="宋体" w:cs="Arial"/>
          <w:b/>
          <w:bCs w:val="0"/>
          <w:kern w:val="2"/>
          <w:sz w:val="24"/>
          <w:szCs w:val="20"/>
          <w:lang w:val="en-US" w:eastAsia="zh-CN" w:bidi="ar-SA"/>
        </w:rPr>
        <w:instrText xml:space="preserve"> SEQ 表 \* ARABIC \s 2 </w:instrText>
      </w:r>
      <w:r>
        <w:rPr>
          <w:rFonts w:ascii="Times New Roman" w:hAnsi="Times New Roman" w:eastAsia="宋体" w:cs="Arial"/>
          <w:b/>
          <w:bCs w:val="0"/>
          <w:kern w:val="2"/>
          <w:sz w:val="24"/>
          <w:szCs w:val="20"/>
          <w:lang w:val="en-US" w:eastAsia="zh-CN" w:bidi="ar-SA"/>
        </w:rPr>
        <w:fldChar w:fldCharType="separate"/>
      </w:r>
      <w:r>
        <w:rPr>
          <w:rFonts w:ascii="Times New Roman" w:hAnsi="Times New Roman" w:eastAsia="宋体" w:cs="Arial"/>
          <w:b/>
          <w:bCs w:val="0"/>
          <w:kern w:val="2"/>
          <w:sz w:val="24"/>
          <w:szCs w:val="20"/>
          <w:lang w:val="en-US" w:eastAsia="zh-CN" w:bidi="ar-SA"/>
        </w:rPr>
        <w:t>21</w:t>
      </w:r>
      <w:r>
        <w:rPr>
          <w:rFonts w:ascii="Times New Roman" w:hAnsi="Times New Roman" w:eastAsia="宋体" w:cs="Arial"/>
          <w:b/>
          <w:bCs w:val="0"/>
          <w:kern w:val="2"/>
          <w:sz w:val="24"/>
          <w:szCs w:val="20"/>
          <w:lang w:val="en-US" w:eastAsia="zh-CN" w:bidi="ar-SA"/>
        </w:rPr>
        <w:fldChar w:fldCharType="end"/>
      </w:r>
      <w:r>
        <w:rPr>
          <w:rFonts w:hint="eastAsia" w:ascii="Times New Roman" w:hAnsi="Times New Roman" w:eastAsia="宋体" w:cs="Arial"/>
          <w:b/>
          <w:bCs w:val="0"/>
          <w:kern w:val="2"/>
          <w:sz w:val="24"/>
          <w:szCs w:val="20"/>
          <w:lang w:val="en-US" w:eastAsia="zh-CN" w:bidi="ar-SA"/>
        </w:rPr>
        <w:t xml:space="preserve"> 土壤检测（监测点）结果一览表（单位：mg/kg）</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6"/>
        <w:gridCol w:w="1018"/>
        <w:gridCol w:w="1018"/>
        <w:gridCol w:w="1019"/>
        <w:gridCol w:w="3648"/>
      </w:tblGrid>
      <w:tr w14:paraId="0F07C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065" w:type="pct"/>
            <w:vMerge w:val="restart"/>
            <w:vAlign w:val="center"/>
          </w:tcPr>
          <w:p w14:paraId="62D41A7A">
            <w:pPr>
              <w:pStyle w:val="182"/>
              <w:bidi w:val="0"/>
              <w:rPr>
                <w:color w:val="auto"/>
              </w:rPr>
            </w:pPr>
            <w:r>
              <w:rPr>
                <w:rFonts w:hint="eastAsia"/>
                <w:color w:val="auto"/>
              </w:rPr>
              <w:t>检测项目</w:t>
            </w:r>
          </w:p>
        </w:tc>
        <w:tc>
          <w:tcPr>
            <w:tcW w:w="597" w:type="pct"/>
            <w:vAlign w:val="center"/>
          </w:tcPr>
          <w:p w14:paraId="10545328">
            <w:pPr>
              <w:pStyle w:val="182"/>
              <w:bidi w:val="0"/>
              <w:rPr>
                <w:color w:val="auto"/>
              </w:rPr>
            </w:pPr>
            <w:r>
              <w:rPr>
                <w:rFonts w:hint="eastAsia"/>
                <w:color w:val="auto"/>
              </w:rPr>
              <w:t>S</w:t>
            </w:r>
            <w:r>
              <w:rPr>
                <w:color w:val="auto"/>
              </w:rPr>
              <w:t>1</w:t>
            </w:r>
          </w:p>
        </w:tc>
        <w:tc>
          <w:tcPr>
            <w:tcW w:w="597" w:type="pct"/>
            <w:vAlign w:val="center"/>
          </w:tcPr>
          <w:p w14:paraId="21697D7A">
            <w:pPr>
              <w:pStyle w:val="182"/>
              <w:bidi w:val="0"/>
              <w:rPr>
                <w:color w:val="auto"/>
              </w:rPr>
            </w:pPr>
            <w:r>
              <w:rPr>
                <w:rFonts w:hint="eastAsia"/>
                <w:color w:val="auto"/>
              </w:rPr>
              <w:t>S2</w:t>
            </w:r>
          </w:p>
        </w:tc>
        <w:tc>
          <w:tcPr>
            <w:tcW w:w="598" w:type="pct"/>
            <w:vAlign w:val="center"/>
          </w:tcPr>
          <w:p w14:paraId="4B4EFF16">
            <w:pPr>
              <w:pStyle w:val="182"/>
              <w:bidi w:val="0"/>
              <w:rPr>
                <w:color w:val="auto"/>
              </w:rPr>
            </w:pPr>
            <w:r>
              <w:rPr>
                <w:rFonts w:hint="eastAsia"/>
                <w:color w:val="auto"/>
              </w:rPr>
              <w:t>S</w:t>
            </w:r>
            <w:r>
              <w:rPr>
                <w:color w:val="auto"/>
              </w:rPr>
              <w:t>3</w:t>
            </w:r>
          </w:p>
        </w:tc>
        <w:tc>
          <w:tcPr>
            <w:tcW w:w="2140" w:type="pct"/>
            <w:vMerge w:val="restart"/>
            <w:vAlign w:val="center"/>
          </w:tcPr>
          <w:p w14:paraId="6AE27090">
            <w:pPr>
              <w:pStyle w:val="182"/>
              <w:bidi w:val="0"/>
              <w:rPr>
                <w:color w:val="auto"/>
              </w:rPr>
            </w:pPr>
            <w:r>
              <w:rPr>
                <w:rFonts w:hint="eastAsia"/>
                <w:color w:val="auto"/>
              </w:rPr>
              <w:t>《</w:t>
            </w:r>
            <w:r>
              <w:rPr>
                <w:rFonts w:hint="eastAsia"/>
                <w:color w:val="auto"/>
                <w:lang w:eastAsia="zh-CN"/>
              </w:rPr>
              <w:t>土壤环境质量 建设用地土壤污染风险管控标准（试行）</w:t>
            </w:r>
            <w:r>
              <w:rPr>
                <w:rFonts w:hint="eastAsia"/>
                <w:color w:val="auto"/>
              </w:rPr>
              <w:t>》GB36600-2018二类用地</w:t>
            </w:r>
            <w:r>
              <w:rPr>
                <w:rFonts w:hint="eastAsia"/>
                <w:color w:val="auto"/>
                <w:lang w:val="en-US" w:eastAsia="zh-CN"/>
              </w:rPr>
              <w:t>筛选值</w:t>
            </w:r>
          </w:p>
        </w:tc>
      </w:tr>
      <w:tr w14:paraId="323EC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065" w:type="pct"/>
            <w:vMerge w:val="continue"/>
            <w:vAlign w:val="center"/>
          </w:tcPr>
          <w:p w14:paraId="779A1C66">
            <w:pPr>
              <w:pStyle w:val="182"/>
              <w:bidi w:val="0"/>
              <w:rPr>
                <w:color w:val="auto"/>
              </w:rPr>
            </w:pPr>
          </w:p>
        </w:tc>
        <w:tc>
          <w:tcPr>
            <w:tcW w:w="597" w:type="pct"/>
            <w:vAlign w:val="center"/>
          </w:tcPr>
          <w:p w14:paraId="4843515D">
            <w:pPr>
              <w:pStyle w:val="182"/>
              <w:bidi w:val="0"/>
              <w:rPr>
                <w:color w:val="auto"/>
              </w:rPr>
            </w:pPr>
            <w:r>
              <w:rPr>
                <w:rFonts w:hint="eastAsia"/>
                <w:color w:val="auto"/>
              </w:rPr>
              <w:t>0</w:t>
            </w:r>
            <w:r>
              <w:rPr>
                <w:color w:val="auto"/>
              </w:rPr>
              <w:t>-0.2m</w:t>
            </w:r>
          </w:p>
        </w:tc>
        <w:tc>
          <w:tcPr>
            <w:tcW w:w="597" w:type="pct"/>
            <w:vAlign w:val="center"/>
          </w:tcPr>
          <w:p w14:paraId="6BE77DC7">
            <w:pPr>
              <w:pStyle w:val="182"/>
              <w:bidi w:val="0"/>
              <w:rPr>
                <w:color w:val="auto"/>
              </w:rPr>
            </w:pPr>
            <w:r>
              <w:rPr>
                <w:rFonts w:hint="eastAsia"/>
                <w:color w:val="auto"/>
              </w:rPr>
              <w:t>0</w:t>
            </w:r>
            <w:r>
              <w:rPr>
                <w:color w:val="auto"/>
              </w:rPr>
              <w:t>-0.2m</w:t>
            </w:r>
          </w:p>
        </w:tc>
        <w:tc>
          <w:tcPr>
            <w:tcW w:w="598" w:type="pct"/>
            <w:vAlign w:val="center"/>
          </w:tcPr>
          <w:p w14:paraId="18FE3D72">
            <w:pPr>
              <w:pStyle w:val="182"/>
              <w:bidi w:val="0"/>
              <w:rPr>
                <w:color w:val="auto"/>
              </w:rPr>
            </w:pPr>
            <w:r>
              <w:rPr>
                <w:rFonts w:hint="eastAsia"/>
                <w:color w:val="auto"/>
              </w:rPr>
              <w:t>0</w:t>
            </w:r>
            <w:r>
              <w:rPr>
                <w:color w:val="auto"/>
              </w:rPr>
              <w:t>-0.2m</w:t>
            </w:r>
          </w:p>
        </w:tc>
        <w:tc>
          <w:tcPr>
            <w:tcW w:w="2140" w:type="pct"/>
            <w:vMerge w:val="continue"/>
            <w:vAlign w:val="center"/>
          </w:tcPr>
          <w:p w14:paraId="6C2385E1">
            <w:pPr>
              <w:pStyle w:val="182"/>
              <w:bidi w:val="0"/>
              <w:rPr>
                <w:color w:val="auto"/>
              </w:rPr>
            </w:pPr>
          </w:p>
        </w:tc>
      </w:tr>
      <w:tr w14:paraId="17049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06224688">
            <w:pPr>
              <w:pStyle w:val="182"/>
              <w:bidi w:val="0"/>
              <w:rPr>
                <w:rFonts w:hint="default" w:eastAsia="宋体"/>
                <w:color w:val="auto"/>
                <w:lang w:val="en-US" w:eastAsia="zh-CN"/>
              </w:rPr>
            </w:pPr>
            <w:r>
              <w:rPr>
                <w:rFonts w:hint="eastAsia"/>
                <w:color w:val="auto"/>
                <w:lang w:val="en-US" w:eastAsia="zh-CN"/>
              </w:rPr>
              <w:t>pH值</w:t>
            </w:r>
          </w:p>
        </w:tc>
        <w:tc>
          <w:tcPr>
            <w:tcW w:w="1018" w:type="dxa"/>
            <w:vAlign w:val="center"/>
          </w:tcPr>
          <w:p w14:paraId="7C8300E2">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8.42</w:t>
            </w:r>
          </w:p>
        </w:tc>
        <w:tc>
          <w:tcPr>
            <w:tcW w:w="1018" w:type="dxa"/>
            <w:vAlign w:val="center"/>
          </w:tcPr>
          <w:p w14:paraId="03BBFD0A">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8.31</w:t>
            </w:r>
          </w:p>
        </w:tc>
        <w:tc>
          <w:tcPr>
            <w:tcW w:w="1019" w:type="dxa"/>
            <w:vAlign w:val="center"/>
          </w:tcPr>
          <w:p w14:paraId="4B520B86">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8.26</w:t>
            </w:r>
          </w:p>
        </w:tc>
        <w:tc>
          <w:tcPr>
            <w:tcW w:w="2140" w:type="pct"/>
          </w:tcPr>
          <w:p w14:paraId="2B375412">
            <w:pPr>
              <w:pStyle w:val="182"/>
              <w:bidi w:val="0"/>
              <w:rPr>
                <w:rFonts w:hint="eastAsia" w:eastAsia="宋体"/>
                <w:color w:val="auto"/>
                <w:lang w:eastAsia="zh-CN"/>
              </w:rPr>
            </w:pPr>
            <w:r>
              <w:rPr>
                <w:rFonts w:hint="eastAsia"/>
                <w:color w:val="auto"/>
                <w:lang w:val="en-US" w:eastAsia="zh-CN"/>
              </w:rPr>
              <w:t>/</w:t>
            </w:r>
          </w:p>
        </w:tc>
      </w:tr>
      <w:tr w14:paraId="5F0E7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7DCF59B2">
            <w:pPr>
              <w:pStyle w:val="182"/>
              <w:bidi w:val="0"/>
              <w:rPr>
                <w:color w:val="auto"/>
              </w:rPr>
            </w:pPr>
            <w:r>
              <w:rPr>
                <w:color w:val="auto"/>
              </w:rPr>
              <w:t>砷</w:t>
            </w:r>
          </w:p>
        </w:tc>
        <w:tc>
          <w:tcPr>
            <w:tcW w:w="1018" w:type="dxa"/>
            <w:vAlign w:val="center"/>
          </w:tcPr>
          <w:p w14:paraId="483FC841">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6.11</w:t>
            </w:r>
          </w:p>
        </w:tc>
        <w:tc>
          <w:tcPr>
            <w:tcW w:w="1018" w:type="dxa"/>
            <w:vAlign w:val="center"/>
          </w:tcPr>
          <w:p w14:paraId="6ED0DB16">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5.73</w:t>
            </w:r>
          </w:p>
        </w:tc>
        <w:tc>
          <w:tcPr>
            <w:tcW w:w="1019" w:type="dxa"/>
            <w:vAlign w:val="center"/>
          </w:tcPr>
          <w:p w14:paraId="77B4F193">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5.88</w:t>
            </w:r>
          </w:p>
        </w:tc>
        <w:tc>
          <w:tcPr>
            <w:tcW w:w="3648" w:type="dxa"/>
            <w:vAlign w:val="center"/>
          </w:tcPr>
          <w:p w14:paraId="10B88537">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60</w:t>
            </w:r>
          </w:p>
        </w:tc>
      </w:tr>
      <w:tr w14:paraId="5E674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1862BABB">
            <w:pPr>
              <w:pStyle w:val="182"/>
              <w:bidi w:val="0"/>
              <w:rPr>
                <w:color w:val="auto"/>
              </w:rPr>
            </w:pPr>
            <w:r>
              <w:rPr>
                <w:color w:val="auto"/>
              </w:rPr>
              <w:t>镉</w:t>
            </w:r>
          </w:p>
        </w:tc>
        <w:tc>
          <w:tcPr>
            <w:tcW w:w="1018" w:type="dxa"/>
            <w:vAlign w:val="center"/>
          </w:tcPr>
          <w:p w14:paraId="5AC3B123">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ascii="Times New Roman" w:hAnsi="Times New Roman" w:eastAsia="宋体" w:cs="Times New Roman"/>
                <w:i w:val="0"/>
                <w:color w:val="auto"/>
                <w:kern w:val="0"/>
                <w:sz w:val="21"/>
                <w:szCs w:val="21"/>
                <w:highlight w:val="none"/>
                <w:u w:val="none"/>
                <w:lang w:val="en-US" w:eastAsia="zh-CN" w:bidi="ar"/>
              </w:rPr>
              <w:t>0.21</w:t>
            </w:r>
          </w:p>
        </w:tc>
        <w:tc>
          <w:tcPr>
            <w:tcW w:w="1018" w:type="dxa"/>
            <w:vAlign w:val="center"/>
          </w:tcPr>
          <w:p w14:paraId="4164EEBC">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0.19</w:t>
            </w:r>
          </w:p>
        </w:tc>
        <w:tc>
          <w:tcPr>
            <w:tcW w:w="1019" w:type="dxa"/>
            <w:vAlign w:val="center"/>
          </w:tcPr>
          <w:p w14:paraId="5F30148E">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0.18</w:t>
            </w:r>
          </w:p>
        </w:tc>
        <w:tc>
          <w:tcPr>
            <w:tcW w:w="3648" w:type="dxa"/>
            <w:vAlign w:val="center"/>
          </w:tcPr>
          <w:p w14:paraId="2B63261C">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65</w:t>
            </w:r>
          </w:p>
        </w:tc>
      </w:tr>
      <w:tr w14:paraId="078CA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1FC26316">
            <w:pPr>
              <w:pStyle w:val="182"/>
              <w:bidi w:val="0"/>
              <w:rPr>
                <w:color w:val="auto"/>
              </w:rPr>
            </w:pPr>
            <w:r>
              <w:rPr>
                <w:color w:val="auto"/>
              </w:rPr>
              <w:t>铬（六价）</w:t>
            </w:r>
          </w:p>
        </w:tc>
        <w:tc>
          <w:tcPr>
            <w:tcW w:w="1018" w:type="dxa"/>
            <w:vAlign w:val="center"/>
          </w:tcPr>
          <w:p w14:paraId="486DC63E">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未检出</w:t>
            </w:r>
          </w:p>
        </w:tc>
        <w:tc>
          <w:tcPr>
            <w:tcW w:w="1018" w:type="dxa"/>
            <w:vAlign w:val="center"/>
          </w:tcPr>
          <w:p w14:paraId="36F7F9CA">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未检出</w:t>
            </w:r>
          </w:p>
        </w:tc>
        <w:tc>
          <w:tcPr>
            <w:tcW w:w="1019" w:type="dxa"/>
            <w:vAlign w:val="center"/>
          </w:tcPr>
          <w:p w14:paraId="2E54E3C0">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未检出</w:t>
            </w:r>
          </w:p>
        </w:tc>
        <w:tc>
          <w:tcPr>
            <w:tcW w:w="3648" w:type="dxa"/>
            <w:vAlign w:val="center"/>
          </w:tcPr>
          <w:p w14:paraId="59C6E7B8">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5.7</w:t>
            </w:r>
          </w:p>
        </w:tc>
      </w:tr>
      <w:tr w14:paraId="424FB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415C8767">
            <w:pPr>
              <w:pStyle w:val="182"/>
              <w:bidi w:val="0"/>
              <w:rPr>
                <w:color w:val="auto"/>
              </w:rPr>
            </w:pPr>
            <w:r>
              <w:rPr>
                <w:color w:val="auto"/>
              </w:rPr>
              <w:t>铜</w:t>
            </w:r>
          </w:p>
        </w:tc>
        <w:tc>
          <w:tcPr>
            <w:tcW w:w="1018" w:type="dxa"/>
            <w:vAlign w:val="center"/>
          </w:tcPr>
          <w:p w14:paraId="48BB9C44">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ascii="Times New Roman" w:hAnsi="Times New Roman" w:eastAsia="宋体" w:cs="Times New Roman"/>
                <w:i w:val="0"/>
                <w:color w:val="auto"/>
                <w:kern w:val="0"/>
                <w:sz w:val="21"/>
                <w:szCs w:val="21"/>
                <w:highlight w:val="none"/>
                <w:u w:val="none"/>
                <w:lang w:val="en-US" w:eastAsia="zh-CN" w:bidi="ar"/>
              </w:rPr>
              <w:t>24</w:t>
            </w:r>
          </w:p>
        </w:tc>
        <w:tc>
          <w:tcPr>
            <w:tcW w:w="1018" w:type="dxa"/>
            <w:vAlign w:val="center"/>
          </w:tcPr>
          <w:p w14:paraId="45B0E201">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21</w:t>
            </w:r>
          </w:p>
        </w:tc>
        <w:tc>
          <w:tcPr>
            <w:tcW w:w="1019" w:type="dxa"/>
            <w:vAlign w:val="center"/>
          </w:tcPr>
          <w:p w14:paraId="6A047EBB">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22</w:t>
            </w:r>
          </w:p>
        </w:tc>
        <w:tc>
          <w:tcPr>
            <w:tcW w:w="3648" w:type="dxa"/>
            <w:vAlign w:val="center"/>
          </w:tcPr>
          <w:p w14:paraId="4FB0CAED">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18000</w:t>
            </w:r>
          </w:p>
        </w:tc>
      </w:tr>
      <w:tr w14:paraId="5E332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63CE5181">
            <w:pPr>
              <w:pStyle w:val="182"/>
              <w:bidi w:val="0"/>
              <w:rPr>
                <w:color w:val="auto"/>
              </w:rPr>
            </w:pPr>
            <w:r>
              <w:rPr>
                <w:color w:val="auto"/>
              </w:rPr>
              <w:t>铅</w:t>
            </w:r>
          </w:p>
        </w:tc>
        <w:tc>
          <w:tcPr>
            <w:tcW w:w="1018" w:type="dxa"/>
            <w:vAlign w:val="center"/>
          </w:tcPr>
          <w:p w14:paraId="53741676">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ascii="Times New Roman" w:hAnsi="Times New Roman" w:eastAsia="宋体" w:cs="Times New Roman"/>
                <w:i w:val="0"/>
                <w:color w:val="auto"/>
                <w:kern w:val="0"/>
                <w:sz w:val="21"/>
                <w:szCs w:val="21"/>
                <w:highlight w:val="none"/>
                <w:u w:val="none"/>
                <w:lang w:val="en-US" w:eastAsia="zh-CN" w:bidi="ar"/>
              </w:rPr>
              <w:t>20</w:t>
            </w:r>
          </w:p>
        </w:tc>
        <w:tc>
          <w:tcPr>
            <w:tcW w:w="1018" w:type="dxa"/>
            <w:vAlign w:val="center"/>
          </w:tcPr>
          <w:p w14:paraId="226DF632">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18</w:t>
            </w:r>
          </w:p>
        </w:tc>
        <w:tc>
          <w:tcPr>
            <w:tcW w:w="1019" w:type="dxa"/>
            <w:vAlign w:val="center"/>
          </w:tcPr>
          <w:p w14:paraId="092EEB9E">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16</w:t>
            </w:r>
          </w:p>
        </w:tc>
        <w:tc>
          <w:tcPr>
            <w:tcW w:w="3648" w:type="dxa"/>
            <w:vAlign w:val="center"/>
          </w:tcPr>
          <w:p w14:paraId="403003C9">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800</w:t>
            </w:r>
          </w:p>
        </w:tc>
      </w:tr>
      <w:tr w14:paraId="7E360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7748FBE8">
            <w:pPr>
              <w:pStyle w:val="182"/>
              <w:bidi w:val="0"/>
              <w:rPr>
                <w:color w:val="auto"/>
              </w:rPr>
            </w:pPr>
            <w:r>
              <w:rPr>
                <w:color w:val="auto"/>
              </w:rPr>
              <w:t>汞</w:t>
            </w:r>
          </w:p>
        </w:tc>
        <w:tc>
          <w:tcPr>
            <w:tcW w:w="1018" w:type="dxa"/>
            <w:vAlign w:val="center"/>
          </w:tcPr>
          <w:p w14:paraId="647144B7">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ascii="Times New Roman" w:hAnsi="Times New Roman" w:eastAsia="宋体" w:cs="Times New Roman"/>
                <w:i w:val="0"/>
                <w:color w:val="auto"/>
                <w:kern w:val="0"/>
                <w:sz w:val="21"/>
                <w:szCs w:val="21"/>
                <w:highlight w:val="none"/>
                <w:u w:val="none"/>
                <w:lang w:val="en-US" w:eastAsia="zh-CN" w:bidi="ar"/>
              </w:rPr>
              <w:t>0.0875</w:t>
            </w:r>
          </w:p>
        </w:tc>
        <w:tc>
          <w:tcPr>
            <w:tcW w:w="1018" w:type="dxa"/>
            <w:vAlign w:val="center"/>
          </w:tcPr>
          <w:p w14:paraId="6CCE0CEA">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0.0809</w:t>
            </w:r>
          </w:p>
        </w:tc>
        <w:tc>
          <w:tcPr>
            <w:tcW w:w="1019" w:type="dxa"/>
            <w:vAlign w:val="center"/>
          </w:tcPr>
          <w:p w14:paraId="5476F6EB">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0.0910</w:t>
            </w:r>
          </w:p>
        </w:tc>
        <w:tc>
          <w:tcPr>
            <w:tcW w:w="3648" w:type="dxa"/>
            <w:vAlign w:val="center"/>
          </w:tcPr>
          <w:p w14:paraId="06384E92">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38</w:t>
            </w:r>
          </w:p>
        </w:tc>
      </w:tr>
      <w:tr w14:paraId="40E76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7F624560">
            <w:pPr>
              <w:pStyle w:val="182"/>
              <w:bidi w:val="0"/>
              <w:rPr>
                <w:color w:val="auto"/>
              </w:rPr>
            </w:pPr>
            <w:r>
              <w:rPr>
                <w:color w:val="auto"/>
              </w:rPr>
              <w:t>镍</w:t>
            </w:r>
          </w:p>
        </w:tc>
        <w:tc>
          <w:tcPr>
            <w:tcW w:w="1018" w:type="dxa"/>
            <w:vAlign w:val="center"/>
          </w:tcPr>
          <w:p w14:paraId="58BA99DE">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ascii="Times New Roman" w:hAnsi="Times New Roman" w:eastAsia="宋体" w:cs="Times New Roman"/>
                <w:i w:val="0"/>
                <w:color w:val="auto"/>
                <w:kern w:val="0"/>
                <w:sz w:val="21"/>
                <w:szCs w:val="21"/>
                <w:highlight w:val="none"/>
                <w:u w:val="none"/>
                <w:lang w:val="en-US" w:eastAsia="zh-CN" w:bidi="ar"/>
              </w:rPr>
              <w:t>36</w:t>
            </w:r>
          </w:p>
        </w:tc>
        <w:tc>
          <w:tcPr>
            <w:tcW w:w="1018" w:type="dxa"/>
            <w:vAlign w:val="center"/>
          </w:tcPr>
          <w:p w14:paraId="16034FB5">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33</w:t>
            </w:r>
          </w:p>
        </w:tc>
        <w:tc>
          <w:tcPr>
            <w:tcW w:w="1019" w:type="dxa"/>
            <w:vAlign w:val="center"/>
          </w:tcPr>
          <w:p w14:paraId="0A3EFEE2">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color w:val="auto"/>
              </w:rPr>
            </w:pPr>
            <w:r>
              <w:rPr>
                <w:rFonts w:hint="eastAsia" w:cs="Times New Roman"/>
                <w:i w:val="0"/>
                <w:color w:val="auto"/>
                <w:kern w:val="0"/>
                <w:sz w:val="21"/>
                <w:szCs w:val="21"/>
                <w:highlight w:val="none"/>
                <w:u w:val="none"/>
                <w:lang w:val="en-US" w:eastAsia="zh-CN" w:bidi="ar"/>
              </w:rPr>
              <w:t>32</w:t>
            </w:r>
          </w:p>
        </w:tc>
        <w:tc>
          <w:tcPr>
            <w:tcW w:w="2140" w:type="pct"/>
          </w:tcPr>
          <w:p w14:paraId="630EE6B4">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9000</w:t>
            </w:r>
          </w:p>
        </w:tc>
      </w:tr>
      <w:tr w14:paraId="12CCD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2E7A822F">
            <w:pPr>
              <w:pStyle w:val="182"/>
              <w:bidi w:val="0"/>
              <w:rPr>
                <w:color w:val="auto"/>
              </w:rPr>
            </w:pPr>
            <w:r>
              <w:rPr>
                <w:color w:val="auto"/>
              </w:rPr>
              <w:t>四氯化碳</w:t>
            </w:r>
          </w:p>
        </w:tc>
        <w:tc>
          <w:tcPr>
            <w:tcW w:w="597" w:type="pct"/>
            <w:vAlign w:val="center"/>
          </w:tcPr>
          <w:p w14:paraId="7A21BBC4">
            <w:pPr>
              <w:pStyle w:val="182"/>
              <w:bidi w:val="0"/>
              <w:rPr>
                <w:color w:val="auto"/>
              </w:rPr>
            </w:pPr>
            <w:r>
              <w:rPr>
                <w:rFonts w:hint="eastAsia"/>
                <w:color w:val="auto"/>
              </w:rPr>
              <w:t>未检出</w:t>
            </w:r>
          </w:p>
        </w:tc>
        <w:tc>
          <w:tcPr>
            <w:tcW w:w="597" w:type="pct"/>
            <w:vAlign w:val="center"/>
          </w:tcPr>
          <w:p w14:paraId="111619E2">
            <w:pPr>
              <w:pStyle w:val="182"/>
              <w:bidi w:val="0"/>
              <w:rPr>
                <w:color w:val="auto"/>
              </w:rPr>
            </w:pPr>
            <w:r>
              <w:rPr>
                <w:rFonts w:hint="eastAsia"/>
                <w:color w:val="auto"/>
              </w:rPr>
              <w:t>未检出</w:t>
            </w:r>
          </w:p>
        </w:tc>
        <w:tc>
          <w:tcPr>
            <w:tcW w:w="598" w:type="pct"/>
            <w:vAlign w:val="center"/>
          </w:tcPr>
          <w:p w14:paraId="618234CC">
            <w:pPr>
              <w:pStyle w:val="182"/>
              <w:bidi w:val="0"/>
              <w:rPr>
                <w:color w:val="auto"/>
              </w:rPr>
            </w:pPr>
            <w:r>
              <w:rPr>
                <w:rFonts w:hint="eastAsia"/>
                <w:color w:val="auto"/>
              </w:rPr>
              <w:t>未检出</w:t>
            </w:r>
          </w:p>
        </w:tc>
        <w:tc>
          <w:tcPr>
            <w:tcW w:w="3648" w:type="dxa"/>
            <w:vAlign w:val="center"/>
          </w:tcPr>
          <w:p w14:paraId="525DC3DA">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2.8</w:t>
            </w:r>
          </w:p>
        </w:tc>
      </w:tr>
      <w:tr w14:paraId="15D61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363B394F">
            <w:pPr>
              <w:pStyle w:val="182"/>
              <w:bidi w:val="0"/>
              <w:rPr>
                <w:color w:val="auto"/>
              </w:rPr>
            </w:pPr>
            <w:r>
              <w:rPr>
                <w:color w:val="auto"/>
              </w:rPr>
              <w:t>氯仿</w:t>
            </w:r>
          </w:p>
        </w:tc>
        <w:tc>
          <w:tcPr>
            <w:tcW w:w="597" w:type="pct"/>
            <w:vAlign w:val="center"/>
          </w:tcPr>
          <w:p w14:paraId="4E9ACF01">
            <w:pPr>
              <w:pStyle w:val="182"/>
              <w:bidi w:val="0"/>
              <w:rPr>
                <w:color w:val="auto"/>
              </w:rPr>
            </w:pPr>
            <w:r>
              <w:rPr>
                <w:rFonts w:hint="eastAsia"/>
                <w:color w:val="auto"/>
              </w:rPr>
              <w:t>未检出</w:t>
            </w:r>
          </w:p>
        </w:tc>
        <w:tc>
          <w:tcPr>
            <w:tcW w:w="597" w:type="pct"/>
            <w:vAlign w:val="center"/>
          </w:tcPr>
          <w:p w14:paraId="46326771">
            <w:pPr>
              <w:pStyle w:val="182"/>
              <w:bidi w:val="0"/>
              <w:rPr>
                <w:color w:val="auto"/>
              </w:rPr>
            </w:pPr>
            <w:r>
              <w:rPr>
                <w:rFonts w:hint="eastAsia"/>
                <w:color w:val="auto"/>
              </w:rPr>
              <w:t>未检出</w:t>
            </w:r>
          </w:p>
        </w:tc>
        <w:tc>
          <w:tcPr>
            <w:tcW w:w="598" w:type="pct"/>
            <w:vAlign w:val="center"/>
          </w:tcPr>
          <w:p w14:paraId="0C0A4662">
            <w:pPr>
              <w:pStyle w:val="182"/>
              <w:bidi w:val="0"/>
              <w:rPr>
                <w:color w:val="auto"/>
              </w:rPr>
            </w:pPr>
            <w:r>
              <w:rPr>
                <w:rFonts w:hint="eastAsia"/>
                <w:color w:val="auto"/>
              </w:rPr>
              <w:t>未检出</w:t>
            </w:r>
          </w:p>
        </w:tc>
        <w:tc>
          <w:tcPr>
            <w:tcW w:w="3648" w:type="dxa"/>
            <w:vAlign w:val="center"/>
          </w:tcPr>
          <w:p w14:paraId="09A92D2C">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0.9</w:t>
            </w:r>
          </w:p>
        </w:tc>
      </w:tr>
      <w:tr w14:paraId="4A9EB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62B8A0A8">
            <w:pPr>
              <w:pStyle w:val="182"/>
              <w:bidi w:val="0"/>
              <w:rPr>
                <w:color w:val="auto"/>
              </w:rPr>
            </w:pPr>
            <w:r>
              <w:rPr>
                <w:color w:val="auto"/>
              </w:rPr>
              <w:t>氯甲烷</w:t>
            </w:r>
          </w:p>
        </w:tc>
        <w:tc>
          <w:tcPr>
            <w:tcW w:w="597" w:type="pct"/>
            <w:vAlign w:val="center"/>
          </w:tcPr>
          <w:p w14:paraId="00A49734">
            <w:pPr>
              <w:pStyle w:val="182"/>
              <w:bidi w:val="0"/>
              <w:rPr>
                <w:color w:val="auto"/>
              </w:rPr>
            </w:pPr>
            <w:r>
              <w:rPr>
                <w:rFonts w:hint="eastAsia"/>
                <w:color w:val="auto"/>
              </w:rPr>
              <w:t>未检出</w:t>
            </w:r>
          </w:p>
        </w:tc>
        <w:tc>
          <w:tcPr>
            <w:tcW w:w="597" w:type="pct"/>
            <w:vAlign w:val="center"/>
          </w:tcPr>
          <w:p w14:paraId="33CC6210">
            <w:pPr>
              <w:pStyle w:val="182"/>
              <w:bidi w:val="0"/>
              <w:rPr>
                <w:color w:val="auto"/>
              </w:rPr>
            </w:pPr>
            <w:r>
              <w:rPr>
                <w:rFonts w:hint="eastAsia"/>
                <w:color w:val="auto"/>
              </w:rPr>
              <w:t>未检出</w:t>
            </w:r>
          </w:p>
        </w:tc>
        <w:tc>
          <w:tcPr>
            <w:tcW w:w="598" w:type="pct"/>
            <w:vAlign w:val="center"/>
          </w:tcPr>
          <w:p w14:paraId="30376DE5">
            <w:pPr>
              <w:pStyle w:val="182"/>
              <w:bidi w:val="0"/>
              <w:rPr>
                <w:color w:val="auto"/>
              </w:rPr>
            </w:pPr>
            <w:r>
              <w:rPr>
                <w:rFonts w:hint="eastAsia"/>
                <w:color w:val="auto"/>
              </w:rPr>
              <w:t>未检出</w:t>
            </w:r>
          </w:p>
        </w:tc>
        <w:tc>
          <w:tcPr>
            <w:tcW w:w="3648" w:type="dxa"/>
            <w:vAlign w:val="center"/>
          </w:tcPr>
          <w:p w14:paraId="3FE99DFF">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37</w:t>
            </w:r>
          </w:p>
        </w:tc>
      </w:tr>
      <w:tr w14:paraId="10FA4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79325FA4">
            <w:pPr>
              <w:pStyle w:val="182"/>
              <w:bidi w:val="0"/>
              <w:rPr>
                <w:color w:val="auto"/>
              </w:rPr>
            </w:pPr>
            <w:r>
              <w:rPr>
                <w:color w:val="auto"/>
              </w:rPr>
              <w:t>1,1</w:t>
            </w:r>
            <w:r>
              <w:rPr>
                <w:rFonts w:hint="eastAsia"/>
                <w:color w:val="auto"/>
                <w:lang w:eastAsia="zh-CN"/>
              </w:rPr>
              <w:t>－</w:t>
            </w:r>
            <w:r>
              <w:rPr>
                <w:color w:val="auto"/>
              </w:rPr>
              <w:t>二氯乙烷</w:t>
            </w:r>
          </w:p>
        </w:tc>
        <w:tc>
          <w:tcPr>
            <w:tcW w:w="597" w:type="pct"/>
            <w:vAlign w:val="center"/>
          </w:tcPr>
          <w:p w14:paraId="7D53399A">
            <w:pPr>
              <w:pStyle w:val="182"/>
              <w:bidi w:val="0"/>
              <w:rPr>
                <w:color w:val="auto"/>
              </w:rPr>
            </w:pPr>
            <w:r>
              <w:rPr>
                <w:rFonts w:hint="eastAsia"/>
                <w:color w:val="auto"/>
              </w:rPr>
              <w:t>未检出</w:t>
            </w:r>
          </w:p>
        </w:tc>
        <w:tc>
          <w:tcPr>
            <w:tcW w:w="597" w:type="pct"/>
            <w:vAlign w:val="center"/>
          </w:tcPr>
          <w:p w14:paraId="4FB7B98C">
            <w:pPr>
              <w:pStyle w:val="182"/>
              <w:bidi w:val="0"/>
              <w:rPr>
                <w:color w:val="auto"/>
              </w:rPr>
            </w:pPr>
            <w:r>
              <w:rPr>
                <w:rFonts w:hint="eastAsia"/>
                <w:color w:val="auto"/>
              </w:rPr>
              <w:t>未检出</w:t>
            </w:r>
          </w:p>
        </w:tc>
        <w:tc>
          <w:tcPr>
            <w:tcW w:w="598" w:type="pct"/>
            <w:vAlign w:val="center"/>
          </w:tcPr>
          <w:p w14:paraId="1528165C">
            <w:pPr>
              <w:pStyle w:val="182"/>
              <w:bidi w:val="0"/>
              <w:rPr>
                <w:color w:val="auto"/>
              </w:rPr>
            </w:pPr>
            <w:r>
              <w:rPr>
                <w:rFonts w:hint="eastAsia"/>
                <w:color w:val="auto"/>
              </w:rPr>
              <w:t>未检出</w:t>
            </w:r>
          </w:p>
        </w:tc>
        <w:tc>
          <w:tcPr>
            <w:tcW w:w="3648" w:type="dxa"/>
            <w:vAlign w:val="center"/>
          </w:tcPr>
          <w:p w14:paraId="68EB128B">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9</w:t>
            </w:r>
          </w:p>
        </w:tc>
      </w:tr>
      <w:tr w14:paraId="7E15F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0DDA857F">
            <w:pPr>
              <w:pStyle w:val="182"/>
              <w:bidi w:val="0"/>
              <w:rPr>
                <w:color w:val="auto"/>
              </w:rPr>
            </w:pPr>
            <w:r>
              <w:rPr>
                <w:color w:val="auto"/>
              </w:rPr>
              <w:t>1,2</w:t>
            </w:r>
            <w:r>
              <w:rPr>
                <w:rFonts w:hint="eastAsia"/>
                <w:color w:val="auto"/>
                <w:lang w:eastAsia="zh-CN"/>
              </w:rPr>
              <w:t>－</w:t>
            </w:r>
            <w:r>
              <w:rPr>
                <w:color w:val="auto"/>
              </w:rPr>
              <w:t>二氯乙烷</w:t>
            </w:r>
          </w:p>
        </w:tc>
        <w:tc>
          <w:tcPr>
            <w:tcW w:w="597" w:type="pct"/>
            <w:vAlign w:val="center"/>
          </w:tcPr>
          <w:p w14:paraId="145EBC83">
            <w:pPr>
              <w:pStyle w:val="182"/>
              <w:bidi w:val="0"/>
              <w:rPr>
                <w:color w:val="auto"/>
              </w:rPr>
            </w:pPr>
            <w:r>
              <w:rPr>
                <w:rFonts w:hint="eastAsia"/>
                <w:color w:val="auto"/>
              </w:rPr>
              <w:t>未检出</w:t>
            </w:r>
          </w:p>
        </w:tc>
        <w:tc>
          <w:tcPr>
            <w:tcW w:w="597" w:type="pct"/>
            <w:vAlign w:val="center"/>
          </w:tcPr>
          <w:p w14:paraId="70FCF667">
            <w:pPr>
              <w:pStyle w:val="182"/>
              <w:bidi w:val="0"/>
              <w:rPr>
                <w:color w:val="auto"/>
              </w:rPr>
            </w:pPr>
            <w:r>
              <w:rPr>
                <w:rFonts w:hint="eastAsia"/>
                <w:color w:val="auto"/>
              </w:rPr>
              <w:t>未检出</w:t>
            </w:r>
          </w:p>
        </w:tc>
        <w:tc>
          <w:tcPr>
            <w:tcW w:w="598" w:type="pct"/>
            <w:vAlign w:val="center"/>
          </w:tcPr>
          <w:p w14:paraId="334862B6">
            <w:pPr>
              <w:pStyle w:val="182"/>
              <w:bidi w:val="0"/>
              <w:rPr>
                <w:color w:val="auto"/>
              </w:rPr>
            </w:pPr>
            <w:r>
              <w:rPr>
                <w:rFonts w:hint="eastAsia"/>
                <w:color w:val="auto"/>
              </w:rPr>
              <w:t>未检出</w:t>
            </w:r>
          </w:p>
        </w:tc>
        <w:tc>
          <w:tcPr>
            <w:tcW w:w="3648" w:type="dxa"/>
            <w:vAlign w:val="center"/>
          </w:tcPr>
          <w:p w14:paraId="7E74266B">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5</w:t>
            </w:r>
          </w:p>
        </w:tc>
      </w:tr>
      <w:tr w14:paraId="62161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13183102">
            <w:pPr>
              <w:pStyle w:val="182"/>
              <w:bidi w:val="0"/>
              <w:rPr>
                <w:color w:val="auto"/>
              </w:rPr>
            </w:pPr>
            <w:r>
              <w:rPr>
                <w:color w:val="auto"/>
              </w:rPr>
              <w:t>1,1</w:t>
            </w:r>
            <w:r>
              <w:rPr>
                <w:rFonts w:hint="eastAsia"/>
                <w:color w:val="auto"/>
                <w:lang w:eastAsia="zh-CN"/>
              </w:rPr>
              <w:t>－</w:t>
            </w:r>
            <w:r>
              <w:rPr>
                <w:color w:val="auto"/>
              </w:rPr>
              <w:t>二氯乙烯</w:t>
            </w:r>
          </w:p>
        </w:tc>
        <w:tc>
          <w:tcPr>
            <w:tcW w:w="597" w:type="pct"/>
            <w:vAlign w:val="center"/>
          </w:tcPr>
          <w:p w14:paraId="74018838">
            <w:pPr>
              <w:pStyle w:val="182"/>
              <w:bidi w:val="0"/>
              <w:rPr>
                <w:color w:val="auto"/>
              </w:rPr>
            </w:pPr>
            <w:r>
              <w:rPr>
                <w:rFonts w:hint="eastAsia"/>
                <w:color w:val="auto"/>
              </w:rPr>
              <w:t>未检出</w:t>
            </w:r>
          </w:p>
        </w:tc>
        <w:tc>
          <w:tcPr>
            <w:tcW w:w="597" w:type="pct"/>
            <w:vAlign w:val="center"/>
          </w:tcPr>
          <w:p w14:paraId="5A99B856">
            <w:pPr>
              <w:pStyle w:val="182"/>
              <w:bidi w:val="0"/>
              <w:rPr>
                <w:color w:val="auto"/>
              </w:rPr>
            </w:pPr>
            <w:r>
              <w:rPr>
                <w:rFonts w:hint="eastAsia"/>
                <w:color w:val="auto"/>
              </w:rPr>
              <w:t>未检出</w:t>
            </w:r>
          </w:p>
        </w:tc>
        <w:tc>
          <w:tcPr>
            <w:tcW w:w="598" w:type="pct"/>
            <w:vAlign w:val="center"/>
          </w:tcPr>
          <w:p w14:paraId="7AF5EC3D">
            <w:pPr>
              <w:pStyle w:val="182"/>
              <w:bidi w:val="0"/>
              <w:rPr>
                <w:color w:val="auto"/>
              </w:rPr>
            </w:pPr>
            <w:r>
              <w:rPr>
                <w:rFonts w:hint="eastAsia"/>
                <w:color w:val="auto"/>
              </w:rPr>
              <w:t>未检出</w:t>
            </w:r>
          </w:p>
        </w:tc>
        <w:tc>
          <w:tcPr>
            <w:tcW w:w="3648" w:type="dxa"/>
            <w:vAlign w:val="center"/>
          </w:tcPr>
          <w:p w14:paraId="5901BD15">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66</w:t>
            </w:r>
          </w:p>
        </w:tc>
      </w:tr>
      <w:tr w14:paraId="3A1CC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28993D72">
            <w:pPr>
              <w:pStyle w:val="182"/>
              <w:bidi w:val="0"/>
              <w:rPr>
                <w:color w:val="auto"/>
              </w:rPr>
            </w:pPr>
            <w:r>
              <w:rPr>
                <w:color w:val="auto"/>
              </w:rPr>
              <w:t>顺式-1,2-二氯乙烯</w:t>
            </w:r>
          </w:p>
        </w:tc>
        <w:tc>
          <w:tcPr>
            <w:tcW w:w="597" w:type="pct"/>
            <w:vAlign w:val="center"/>
          </w:tcPr>
          <w:p w14:paraId="0B966ECB">
            <w:pPr>
              <w:pStyle w:val="182"/>
              <w:bidi w:val="0"/>
              <w:rPr>
                <w:color w:val="auto"/>
              </w:rPr>
            </w:pPr>
            <w:r>
              <w:rPr>
                <w:rFonts w:hint="eastAsia"/>
                <w:color w:val="auto"/>
              </w:rPr>
              <w:t>未检出</w:t>
            </w:r>
          </w:p>
        </w:tc>
        <w:tc>
          <w:tcPr>
            <w:tcW w:w="597" w:type="pct"/>
            <w:vAlign w:val="center"/>
          </w:tcPr>
          <w:p w14:paraId="6B502351">
            <w:pPr>
              <w:pStyle w:val="182"/>
              <w:bidi w:val="0"/>
              <w:rPr>
                <w:color w:val="auto"/>
              </w:rPr>
            </w:pPr>
            <w:r>
              <w:rPr>
                <w:rFonts w:hint="eastAsia"/>
                <w:color w:val="auto"/>
              </w:rPr>
              <w:t>未检出</w:t>
            </w:r>
          </w:p>
        </w:tc>
        <w:tc>
          <w:tcPr>
            <w:tcW w:w="598" w:type="pct"/>
            <w:vAlign w:val="center"/>
          </w:tcPr>
          <w:p w14:paraId="15098ACD">
            <w:pPr>
              <w:pStyle w:val="182"/>
              <w:bidi w:val="0"/>
              <w:rPr>
                <w:color w:val="auto"/>
              </w:rPr>
            </w:pPr>
            <w:r>
              <w:rPr>
                <w:rFonts w:hint="eastAsia"/>
                <w:color w:val="auto"/>
              </w:rPr>
              <w:t>未检出</w:t>
            </w:r>
          </w:p>
        </w:tc>
        <w:tc>
          <w:tcPr>
            <w:tcW w:w="3648" w:type="dxa"/>
            <w:vAlign w:val="center"/>
          </w:tcPr>
          <w:p w14:paraId="0A6DE66E">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596</w:t>
            </w:r>
          </w:p>
        </w:tc>
      </w:tr>
      <w:tr w14:paraId="2B9F6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63587363">
            <w:pPr>
              <w:pStyle w:val="182"/>
              <w:bidi w:val="0"/>
              <w:rPr>
                <w:color w:val="auto"/>
              </w:rPr>
            </w:pPr>
            <w:r>
              <w:rPr>
                <w:color w:val="auto"/>
              </w:rPr>
              <w:t>反式-1,2-二氯乙烯</w:t>
            </w:r>
          </w:p>
        </w:tc>
        <w:tc>
          <w:tcPr>
            <w:tcW w:w="597" w:type="pct"/>
            <w:vAlign w:val="center"/>
          </w:tcPr>
          <w:p w14:paraId="51C79862">
            <w:pPr>
              <w:pStyle w:val="182"/>
              <w:bidi w:val="0"/>
              <w:rPr>
                <w:color w:val="auto"/>
              </w:rPr>
            </w:pPr>
            <w:r>
              <w:rPr>
                <w:rFonts w:hint="eastAsia"/>
                <w:color w:val="auto"/>
              </w:rPr>
              <w:t>未检出</w:t>
            </w:r>
          </w:p>
        </w:tc>
        <w:tc>
          <w:tcPr>
            <w:tcW w:w="597" w:type="pct"/>
            <w:vAlign w:val="center"/>
          </w:tcPr>
          <w:p w14:paraId="137F296A">
            <w:pPr>
              <w:pStyle w:val="182"/>
              <w:bidi w:val="0"/>
              <w:rPr>
                <w:color w:val="auto"/>
              </w:rPr>
            </w:pPr>
            <w:r>
              <w:rPr>
                <w:rFonts w:hint="eastAsia"/>
                <w:color w:val="auto"/>
              </w:rPr>
              <w:t>未检出</w:t>
            </w:r>
          </w:p>
        </w:tc>
        <w:tc>
          <w:tcPr>
            <w:tcW w:w="598" w:type="pct"/>
            <w:vAlign w:val="center"/>
          </w:tcPr>
          <w:p w14:paraId="1C56B81A">
            <w:pPr>
              <w:pStyle w:val="182"/>
              <w:bidi w:val="0"/>
              <w:rPr>
                <w:color w:val="auto"/>
              </w:rPr>
            </w:pPr>
            <w:r>
              <w:rPr>
                <w:rFonts w:hint="eastAsia"/>
                <w:color w:val="auto"/>
              </w:rPr>
              <w:t>未检出</w:t>
            </w:r>
          </w:p>
        </w:tc>
        <w:tc>
          <w:tcPr>
            <w:tcW w:w="3648" w:type="dxa"/>
            <w:vAlign w:val="center"/>
          </w:tcPr>
          <w:p w14:paraId="67A46B2F">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54</w:t>
            </w:r>
          </w:p>
        </w:tc>
      </w:tr>
      <w:tr w14:paraId="641AE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03636F85">
            <w:pPr>
              <w:pStyle w:val="182"/>
              <w:bidi w:val="0"/>
              <w:rPr>
                <w:color w:val="auto"/>
              </w:rPr>
            </w:pPr>
            <w:r>
              <w:rPr>
                <w:color w:val="auto"/>
              </w:rPr>
              <w:t>二氯甲烷</w:t>
            </w:r>
          </w:p>
        </w:tc>
        <w:tc>
          <w:tcPr>
            <w:tcW w:w="597" w:type="pct"/>
            <w:vAlign w:val="center"/>
          </w:tcPr>
          <w:p w14:paraId="3345AF39">
            <w:pPr>
              <w:pStyle w:val="182"/>
              <w:bidi w:val="0"/>
              <w:rPr>
                <w:color w:val="auto"/>
              </w:rPr>
            </w:pPr>
            <w:r>
              <w:rPr>
                <w:rFonts w:hint="eastAsia"/>
                <w:color w:val="auto"/>
              </w:rPr>
              <w:t>未检出</w:t>
            </w:r>
          </w:p>
        </w:tc>
        <w:tc>
          <w:tcPr>
            <w:tcW w:w="597" w:type="pct"/>
            <w:vAlign w:val="center"/>
          </w:tcPr>
          <w:p w14:paraId="57DD440A">
            <w:pPr>
              <w:pStyle w:val="182"/>
              <w:bidi w:val="0"/>
              <w:rPr>
                <w:color w:val="auto"/>
              </w:rPr>
            </w:pPr>
            <w:r>
              <w:rPr>
                <w:rFonts w:hint="eastAsia"/>
                <w:color w:val="auto"/>
              </w:rPr>
              <w:t>未检出</w:t>
            </w:r>
          </w:p>
        </w:tc>
        <w:tc>
          <w:tcPr>
            <w:tcW w:w="598" w:type="pct"/>
            <w:vAlign w:val="center"/>
          </w:tcPr>
          <w:p w14:paraId="13423D11">
            <w:pPr>
              <w:pStyle w:val="182"/>
              <w:bidi w:val="0"/>
              <w:rPr>
                <w:color w:val="auto"/>
              </w:rPr>
            </w:pPr>
            <w:r>
              <w:rPr>
                <w:rFonts w:hint="eastAsia"/>
                <w:color w:val="auto"/>
              </w:rPr>
              <w:t>未检出</w:t>
            </w:r>
          </w:p>
        </w:tc>
        <w:tc>
          <w:tcPr>
            <w:tcW w:w="3648" w:type="dxa"/>
            <w:vAlign w:val="center"/>
          </w:tcPr>
          <w:p w14:paraId="1D766193">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616</w:t>
            </w:r>
          </w:p>
        </w:tc>
      </w:tr>
      <w:tr w14:paraId="46F7F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65D1C6BE">
            <w:pPr>
              <w:pStyle w:val="182"/>
              <w:bidi w:val="0"/>
              <w:rPr>
                <w:color w:val="auto"/>
              </w:rPr>
            </w:pPr>
            <w:r>
              <w:rPr>
                <w:color w:val="auto"/>
              </w:rPr>
              <w:t>1,2-二氯丙烷</w:t>
            </w:r>
          </w:p>
        </w:tc>
        <w:tc>
          <w:tcPr>
            <w:tcW w:w="597" w:type="pct"/>
            <w:vAlign w:val="center"/>
          </w:tcPr>
          <w:p w14:paraId="4DAFB7C3">
            <w:pPr>
              <w:pStyle w:val="182"/>
              <w:bidi w:val="0"/>
              <w:rPr>
                <w:color w:val="auto"/>
              </w:rPr>
            </w:pPr>
            <w:r>
              <w:rPr>
                <w:rFonts w:hint="eastAsia"/>
                <w:color w:val="auto"/>
              </w:rPr>
              <w:t>未检出</w:t>
            </w:r>
          </w:p>
        </w:tc>
        <w:tc>
          <w:tcPr>
            <w:tcW w:w="597" w:type="pct"/>
            <w:vAlign w:val="center"/>
          </w:tcPr>
          <w:p w14:paraId="01F6001A">
            <w:pPr>
              <w:pStyle w:val="182"/>
              <w:bidi w:val="0"/>
              <w:rPr>
                <w:color w:val="auto"/>
              </w:rPr>
            </w:pPr>
            <w:r>
              <w:rPr>
                <w:rFonts w:hint="eastAsia"/>
                <w:color w:val="auto"/>
              </w:rPr>
              <w:t>未检出</w:t>
            </w:r>
          </w:p>
        </w:tc>
        <w:tc>
          <w:tcPr>
            <w:tcW w:w="598" w:type="pct"/>
            <w:vAlign w:val="center"/>
          </w:tcPr>
          <w:p w14:paraId="1798D843">
            <w:pPr>
              <w:pStyle w:val="182"/>
              <w:bidi w:val="0"/>
              <w:rPr>
                <w:color w:val="auto"/>
              </w:rPr>
            </w:pPr>
            <w:r>
              <w:rPr>
                <w:rFonts w:hint="eastAsia"/>
                <w:color w:val="auto"/>
              </w:rPr>
              <w:t>未检出</w:t>
            </w:r>
          </w:p>
        </w:tc>
        <w:tc>
          <w:tcPr>
            <w:tcW w:w="3648" w:type="dxa"/>
            <w:vAlign w:val="center"/>
          </w:tcPr>
          <w:p w14:paraId="797A5CBB">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5</w:t>
            </w:r>
          </w:p>
        </w:tc>
      </w:tr>
      <w:tr w14:paraId="6C9C4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69D9E6A9">
            <w:pPr>
              <w:pStyle w:val="182"/>
              <w:bidi w:val="0"/>
              <w:rPr>
                <w:color w:val="auto"/>
              </w:rPr>
            </w:pPr>
            <w:r>
              <w:rPr>
                <w:color w:val="auto"/>
              </w:rPr>
              <w:t>1,1,1,2-四氯乙烷</w:t>
            </w:r>
          </w:p>
        </w:tc>
        <w:tc>
          <w:tcPr>
            <w:tcW w:w="597" w:type="pct"/>
            <w:vAlign w:val="center"/>
          </w:tcPr>
          <w:p w14:paraId="0CC0D9B6">
            <w:pPr>
              <w:pStyle w:val="182"/>
              <w:bidi w:val="0"/>
              <w:rPr>
                <w:color w:val="auto"/>
              </w:rPr>
            </w:pPr>
            <w:r>
              <w:rPr>
                <w:rFonts w:hint="eastAsia"/>
                <w:color w:val="auto"/>
              </w:rPr>
              <w:t>未检出</w:t>
            </w:r>
          </w:p>
        </w:tc>
        <w:tc>
          <w:tcPr>
            <w:tcW w:w="597" w:type="pct"/>
            <w:vAlign w:val="center"/>
          </w:tcPr>
          <w:p w14:paraId="16B5866D">
            <w:pPr>
              <w:pStyle w:val="182"/>
              <w:bidi w:val="0"/>
              <w:rPr>
                <w:color w:val="auto"/>
              </w:rPr>
            </w:pPr>
            <w:r>
              <w:rPr>
                <w:rFonts w:hint="eastAsia"/>
                <w:color w:val="auto"/>
              </w:rPr>
              <w:t>未检出</w:t>
            </w:r>
          </w:p>
        </w:tc>
        <w:tc>
          <w:tcPr>
            <w:tcW w:w="598" w:type="pct"/>
            <w:vAlign w:val="center"/>
          </w:tcPr>
          <w:p w14:paraId="26BCD538">
            <w:pPr>
              <w:pStyle w:val="182"/>
              <w:bidi w:val="0"/>
              <w:rPr>
                <w:color w:val="auto"/>
              </w:rPr>
            </w:pPr>
            <w:r>
              <w:rPr>
                <w:rFonts w:hint="eastAsia"/>
                <w:color w:val="auto"/>
              </w:rPr>
              <w:t>未检出</w:t>
            </w:r>
          </w:p>
        </w:tc>
        <w:tc>
          <w:tcPr>
            <w:tcW w:w="3648" w:type="dxa"/>
            <w:vAlign w:val="center"/>
          </w:tcPr>
          <w:p w14:paraId="65CD1498">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10</w:t>
            </w:r>
          </w:p>
        </w:tc>
      </w:tr>
      <w:tr w14:paraId="7546B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2941EAE0">
            <w:pPr>
              <w:pStyle w:val="182"/>
              <w:bidi w:val="0"/>
              <w:rPr>
                <w:color w:val="auto"/>
              </w:rPr>
            </w:pPr>
            <w:r>
              <w:rPr>
                <w:color w:val="auto"/>
              </w:rPr>
              <w:t>1,1,2,2-四氯乙烷</w:t>
            </w:r>
          </w:p>
        </w:tc>
        <w:tc>
          <w:tcPr>
            <w:tcW w:w="597" w:type="pct"/>
            <w:vAlign w:val="center"/>
          </w:tcPr>
          <w:p w14:paraId="0336D93A">
            <w:pPr>
              <w:pStyle w:val="182"/>
              <w:bidi w:val="0"/>
              <w:rPr>
                <w:color w:val="auto"/>
              </w:rPr>
            </w:pPr>
            <w:r>
              <w:rPr>
                <w:rFonts w:hint="eastAsia"/>
                <w:color w:val="auto"/>
              </w:rPr>
              <w:t>未检出</w:t>
            </w:r>
          </w:p>
        </w:tc>
        <w:tc>
          <w:tcPr>
            <w:tcW w:w="597" w:type="pct"/>
            <w:vAlign w:val="center"/>
          </w:tcPr>
          <w:p w14:paraId="036586F6">
            <w:pPr>
              <w:pStyle w:val="182"/>
              <w:bidi w:val="0"/>
              <w:rPr>
                <w:color w:val="auto"/>
              </w:rPr>
            </w:pPr>
            <w:r>
              <w:rPr>
                <w:rFonts w:hint="eastAsia"/>
                <w:color w:val="auto"/>
              </w:rPr>
              <w:t>未检出</w:t>
            </w:r>
          </w:p>
        </w:tc>
        <w:tc>
          <w:tcPr>
            <w:tcW w:w="598" w:type="pct"/>
            <w:vAlign w:val="center"/>
          </w:tcPr>
          <w:p w14:paraId="2BCA38EB">
            <w:pPr>
              <w:pStyle w:val="182"/>
              <w:bidi w:val="0"/>
              <w:rPr>
                <w:color w:val="auto"/>
              </w:rPr>
            </w:pPr>
            <w:r>
              <w:rPr>
                <w:rFonts w:hint="eastAsia"/>
                <w:color w:val="auto"/>
              </w:rPr>
              <w:t>未检出</w:t>
            </w:r>
          </w:p>
        </w:tc>
        <w:tc>
          <w:tcPr>
            <w:tcW w:w="3648" w:type="dxa"/>
            <w:vAlign w:val="center"/>
          </w:tcPr>
          <w:p w14:paraId="690250D6">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6.8</w:t>
            </w:r>
          </w:p>
        </w:tc>
      </w:tr>
      <w:tr w14:paraId="18CE8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3A7B37EB">
            <w:pPr>
              <w:pStyle w:val="182"/>
              <w:bidi w:val="0"/>
              <w:rPr>
                <w:color w:val="auto"/>
              </w:rPr>
            </w:pPr>
            <w:r>
              <w:rPr>
                <w:color w:val="auto"/>
              </w:rPr>
              <w:t>四氯乙烯</w:t>
            </w:r>
          </w:p>
        </w:tc>
        <w:tc>
          <w:tcPr>
            <w:tcW w:w="597" w:type="pct"/>
            <w:vAlign w:val="center"/>
          </w:tcPr>
          <w:p w14:paraId="6B9E85D2">
            <w:pPr>
              <w:pStyle w:val="182"/>
              <w:bidi w:val="0"/>
              <w:rPr>
                <w:color w:val="auto"/>
              </w:rPr>
            </w:pPr>
            <w:r>
              <w:rPr>
                <w:rFonts w:hint="eastAsia"/>
                <w:color w:val="auto"/>
              </w:rPr>
              <w:t>未检出</w:t>
            </w:r>
          </w:p>
        </w:tc>
        <w:tc>
          <w:tcPr>
            <w:tcW w:w="597" w:type="pct"/>
            <w:vAlign w:val="center"/>
          </w:tcPr>
          <w:p w14:paraId="6503159A">
            <w:pPr>
              <w:pStyle w:val="182"/>
              <w:bidi w:val="0"/>
              <w:rPr>
                <w:color w:val="auto"/>
              </w:rPr>
            </w:pPr>
            <w:r>
              <w:rPr>
                <w:rFonts w:hint="eastAsia"/>
                <w:color w:val="auto"/>
              </w:rPr>
              <w:t>未检出</w:t>
            </w:r>
          </w:p>
        </w:tc>
        <w:tc>
          <w:tcPr>
            <w:tcW w:w="598" w:type="pct"/>
            <w:vAlign w:val="center"/>
          </w:tcPr>
          <w:p w14:paraId="2C72D9B1">
            <w:pPr>
              <w:pStyle w:val="182"/>
              <w:bidi w:val="0"/>
              <w:rPr>
                <w:color w:val="auto"/>
              </w:rPr>
            </w:pPr>
            <w:r>
              <w:rPr>
                <w:rFonts w:hint="eastAsia"/>
                <w:color w:val="auto"/>
              </w:rPr>
              <w:t>未检出</w:t>
            </w:r>
          </w:p>
        </w:tc>
        <w:tc>
          <w:tcPr>
            <w:tcW w:w="3648" w:type="dxa"/>
            <w:vAlign w:val="center"/>
          </w:tcPr>
          <w:p w14:paraId="120FE6A8">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53</w:t>
            </w:r>
          </w:p>
        </w:tc>
      </w:tr>
      <w:tr w14:paraId="56523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4265ECA9">
            <w:pPr>
              <w:pStyle w:val="182"/>
              <w:bidi w:val="0"/>
              <w:rPr>
                <w:color w:val="auto"/>
              </w:rPr>
            </w:pPr>
            <w:r>
              <w:rPr>
                <w:color w:val="auto"/>
              </w:rPr>
              <w:t>1,1,1-三氯乙烷</w:t>
            </w:r>
          </w:p>
        </w:tc>
        <w:tc>
          <w:tcPr>
            <w:tcW w:w="597" w:type="pct"/>
            <w:vAlign w:val="center"/>
          </w:tcPr>
          <w:p w14:paraId="315B0F9B">
            <w:pPr>
              <w:pStyle w:val="182"/>
              <w:bidi w:val="0"/>
              <w:rPr>
                <w:color w:val="auto"/>
              </w:rPr>
            </w:pPr>
            <w:r>
              <w:rPr>
                <w:rFonts w:hint="eastAsia"/>
                <w:color w:val="auto"/>
              </w:rPr>
              <w:t>未检出</w:t>
            </w:r>
          </w:p>
        </w:tc>
        <w:tc>
          <w:tcPr>
            <w:tcW w:w="597" w:type="pct"/>
            <w:vAlign w:val="center"/>
          </w:tcPr>
          <w:p w14:paraId="3C1BECCC">
            <w:pPr>
              <w:pStyle w:val="182"/>
              <w:bidi w:val="0"/>
              <w:rPr>
                <w:color w:val="auto"/>
              </w:rPr>
            </w:pPr>
            <w:r>
              <w:rPr>
                <w:rFonts w:hint="eastAsia"/>
                <w:color w:val="auto"/>
              </w:rPr>
              <w:t>未检出</w:t>
            </w:r>
          </w:p>
        </w:tc>
        <w:tc>
          <w:tcPr>
            <w:tcW w:w="598" w:type="pct"/>
            <w:vAlign w:val="center"/>
          </w:tcPr>
          <w:p w14:paraId="1D521A7A">
            <w:pPr>
              <w:pStyle w:val="182"/>
              <w:bidi w:val="0"/>
              <w:rPr>
                <w:color w:val="auto"/>
              </w:rPr>
            </w:pPr>
            <w:r>
              <w:rPr>
                <w:rFonts w:hint="eastAsia"/>
                <w:color w:val="auto"/>
              </w:rPr>
              <w:t>未检出</w:t>
            </w:r>
          </w:p>
        </w:tc>
        <w:tc>
          <w:tcPr>
            <w:tcW w:w="3648" w:type="dxa"/>
            <w:vAlign w:val="center"/>
          </w:tcPr>
          <w:p w14:paraId="35956D6D">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840</w:t>
            </w:r>
          </w:p>
        </w:tc>
      </w:tr>
      <w:tr w14:paraId="361AA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65D6F5F9">
            <w:pPr>
              <w:pStyle w:val="182"/>
              <w:bidi w:val="0"/>
              <w:rPr>
                <w:color w:val="auto"/>
              </w:rPr>
            </w:pPr>
            <w:r>
              <w:rPr>
                <w:color w:val="auto"/>
              </w:rPr>
              <w:t>1,1,2-三氯乙烷</w:t>
            </w:r>
          </w:p>
        </w:tc>
        <w:tc>
          <w:tcPr>
            <w:tcW w:w="597" w:type="pct"/>
            <w:vAlign w:val="center"/>
          </w:tcPr>
          <w:p w14:paraId="67BF23A4">
            <w:pPr>
              <w:pStyle w:val="182"/>
              <w:bidi w:val="0"/>
              <w:rPr>
                <w:color w:val="auto"/>
              </w:rPr>
            </w:pPr>
            <w:r>
              <w:rPr>
                <w:rFonts w:hint="eastAsia"/>
                <w:color w:val="auto"/>
              </w:rPr>
              <w:t>未检出</w:t>
            </w:r>
          </w:p>
        </w:tc>
        <w:tc>
          <w:tcPr>
            <w:tcW w:w="597" w:type="pct"/>
            <w:vAlign w:val="center"/>
          </w:tcPr>
          <w:p w14:paraId="3ABEE0F7">
            <w:pPr>
              <w:pStyle w:val="182"/>
              <w:bidi w:val="0"/>
              <w:rPr>
                <w:color w:val="auto"/>
              </w:rPr>
            </w:pPr>
            <w:r>
              <w:rPr>
                <w:rFonts w:hint="eastAsia"/>
                <w:color w:val="auto"/>
              </w:rPr>
              <w:t>未检出</w:t>
            </w:r>
          </w:p>
        </w:tc>
        <w:tc>
          <w:tcPr>
            <w:tcW w:w="598" w:type="pct"/>
            <w:vAlign w:val="center"/>
          </w:tcPr>
          <w:p w14:paraId="2CF35942">
            <w:pPr>
              <w:pStyle w:val="182"/>
              <w:bidi w:val="0"/>
              <w:rPr>
                <w:color w:val="auto"/>
              </w:rPr>
            </w:pPr>
            <w:r>
              <w:rPr>
                <w:rFonts w:hint="eastAsia"/>
                <w:color w:val="auto"/>
              </w:rPr>
              <w:t>未检出</w:t>
            </w:r>
          </w:p>
        </w:tc>
        <w:tc>
          <w:tcPr>
            <w:tcW w:w="3648" w:type="dxa"/>
            <w:vAlign w:val="center"/>
          </w:tcPr>
          <w:p w14:paraId="0E5BFD0C">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2.8</w:t>
            </w:r>
          </w:p>
        </w:tc>
      </w:tr>
      <w:tr w14:paraId="6D079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4C6FD7E6">
            <w:pPr>
              <w:pStyle w:val="182"/>
              <w:bidi w:val="0"/>
              <w:rPr>
                <w:color w:val="auto"/>
              </w:rPr>
            </w:pPr>
            <w:r>
              <w:rPr>
                <w:color w:val="auto"/>
              </w:rPr>
              <w:t>三氯乙烯</w:t>
            </w:r>
          </w:p>
        </w:tc>
        <w:tc>
          <w:tcPr>
            <w:tcW w:w="597" w:type="pct"/>
            <w:vAlign w:val="center"/>
          </w:tcPr>
          <w:p w14:paraId="7D38E146">
            <w:pPr>
              <w:pStyle w:val="182"/>
              <w:bidi w:val="0"/>
              <w:rPr>
                <w:color w:val="auto"/>
              </w:rPr>
            </w:pPr>
            <w:r>
              <w:rPr>
                <w:rFonts w:hint="eastAsia"/>
                <w:color w:val="auto"/>
              </w:rPr>
              <w:t>未检出</w:t>
            </w:r>
          </w:p>
        </w:tc>
        <w:tc>
          <w:tcPr>
            <w:tcW w:w="597" w:type="pct"/>
            <w:vAlign w:val="center"/>
          </w:tcPr>
          <w:p w14:paraId="0B9A4E79">
            <w:pPr>
              <w:pStyle w:val="182"/>
              <w:bidi w:val="0"/>
              <w:rPr>
                <w:color w:val="auto"/>
              </w:rPr>
            </w:pPr>
            <w:r>
              <w:rPr>
                <w:rFonts w:hint="eastAsia"/>
                <w:color w:val="auto"/>
              </w:rPr>
              <w:t>未检出</w:t>
            </w:r>
          </w:p>
        </w:tc>
        <w:tc>
          <w:tcPr>
            <w:tcW w:w="598" w:type="pct"/>
            <w:vAlign w:val="center"/>
          </w:tcPr>
          <w:p w14:paraId="4A836EDB">
            <w:pPr>
              <w:pStyle w:val="182"/>
              <w:bidi w:val="0"/>
              <w:rPr>
                <w:color w:val="auto"/>
              </w:rPr>
            </w:pPr>
            <w:r>
              <w:rPr>
                <w:rFonts w:hint="eastAsia"/>
                <w:color w:val="auto"/>
              </w:rPr>
              <w:t>未检出</w:t>
            </w:r>
          </w:p>
        </w:tc>
        <w:tc>
          <w:tcPr>
            <w:tcW w:w="3648" w:type="dxa"/>
            <w:vAlign w:val="center"/>
          </w:tcPr>
          <w:p w14:paraId="04CE7CDA">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2.8</w:t>
            </w:r>
          </w:p>
        </w:tc>
      </w:tr>
      <w:tr w14:paraId="63688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4ABC5220">
            <w:pPr>
              <w:pStyle w:val="182"/>
              <w:bidi w:val="0"/>
              <w:rPr>
                <w:color w:val="auto"/>
              </w:rPr>
            </w:pPr>
            <w:r>
              <w:rPr>
                <w:color w:val="auto"/>
              </w:rPr>
              <w:t>1,2,3-三氯丙烷</w:t>
            </w:r>
          </w:p>
        </w:tc>
        <w:tc>
          <w:tcPr>
            <w:tcW w:w="597" w:type="pct"/>
            <w:vAlign w:val="center"/>
          </w:tcPr>
          <w:p w14:paraId="7B721B4C">
            <w:pPr>
              <w:pStyle w:val="182"/>
              <w:bidi w:val="0"/>
              <w:rPr>
                <w:color w:val="auto"/>
              </w:rPr>
            </w:pPr>
            <w:r>
              <w:rPr>
                <w:rFonts w:hint="eastAsia"/>
                <w:color w:val="auto"/>
              </w:rPr>
              <w:t>未检出</w:t>
            </w:r>
          </w:p>
        </w:tc>
        <w:tc>
          <w:tcPr>
            <w:tcW w:w="597" w:type="pct"/>
            <w:vAlign w:val="center"/>
          </w:tcPr>
          <w:p w14:paraId="1504D00A">
            <w:pPr>
              <w:pStyle w:val="182"/>
              <w:bidi w:val="0"/>
              <w:rPr>
                <w:color w:val="auto"/>
              </w:rPr>
            </w:pPr>
            <w:r>
              <w:rPr>
                <w:rFonts w:hint="eastAsia"/>
                <w:color w:val="auto"/>
              </w:rPr>
              <w:t>未检出</w:t>
            </w:r>
          </w:p>
        </w:tc>
        <w:tc>
          <w:tcPr>
            <w:tcW w:w="598" w:type="pct"/>
            <w:vAlign w:val="center"/>
          </w:tcPr>
          <w:p w14:paraId="677D4F45">
            <w:pPr>
              <w:pStyle w:val="182"/>
              <w:bidi w:val="0"/>
              <w:rPr>
                <w:color w:val="auto"/>
              </w:rPr>
            </w:pPr>
            <w:r>
              <w:rPr>
                <w:rFonts w:hint="eastAsia"/>
                <w:color w:val="auto"/>
              </w:rPr>
              <w:t>未检出</w:t>
            </w:r>
          </w:p>
        </w:tc>
        <w:tc>
          <w:tcPr>
            <w:tcW w:w="3648" w:type="dxa"/>
            <w:vAlign w:val="center"/>
          </w:tcPr>
          <w:p w14:paraId="341A1CC2">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0.5</w:t>
            </w:r>
          </w:p>
        </w:tc>
      </w:tr>
      <w:tr w14:paraId="404AA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3E12F956">
            <w:pPr>
              <w:pStyle w:val="182"/>
              <w:bidi w:val="0"/>
              <w:rPr>
                <w:color w:val="auto"/>
              </w:rPr>
            </w:pPr>
            <w:r>
              <w:rPr>
                <w:color w:val="auto"/>
              </w:rPr>
              <w:t>氯乙烯</w:t>
            </w:r>
          </w:p>
        </w:tc>
        <w:tc>
          <w:tcPr>
            <w:tcW w:w="597" w:type="pct"/>
            <w:vAlign w:val="center"/>
          </w:tcPr>
          <w:p w14:paraId="4C2035D5">
            <w:pPr>
              <w:pStyle w:val="182"/>
              <w:bidi w:val="0"/>
              <w:rPr>
                <w:color w:val="auto"/>
              </w:rPr>
            </w:pPr>
            <w:r>
              <w:rPr>
                <w:rFonts w:hint="eastAsia"/>
                <w:color w:val="auto"/>
              </w:rPr>
              <w:t>未检出</w:t>
            </w:r>
          </w:p>
        </w:tc>
        <w:tc>
          <w:tcPr>
            <w:tcW w:w="597" w:type="pct"/>
            <w:vAlign w:val="center"/>
          </w:tcPr>
          <w:p w14:paraId="2BF93E2F">
            <w:pPr>
              <w:pStyle w:val="182"/>
              <w:bidi w:val="0"/>
              <w:rPr>
                <w:color w:val="auto"/>
              </w:rPr>
            </w:pPr>
            <w:r>
              <w:rPr>
                <w:rFonts w:hint="eastAsia"/>
                <w:color w:val="auto"/>
              </w:rPr>
              <w:t>未检出</w:t>
            </w:r>
          </w:p>
        </w:tc>
        <w:tc>
          <w:tcPr>
            <w:tcW w:w="598" w:type="pct"/>
            <w:vAlign w:val="center"/>
          </w:tcPr>
          <w:p w14:paraId="397C9570">
            <w:pPr>
              <w:pStyle w:val="182"/>
              <w:bidi w:val="0"/>
              <w:rPr>
                <w:color w:val="auto"/>
              </w:rPr>
            </w:pPr>
            <w:r>
              <w:rPr>
                <w:rFonts w:hint="eastAsia"/>
                <w:color w:val="auto"/>
              </w:rPr>
              <w:t>未检出</w:t>
            </w:r>
          </w:p>
        </w:tc>
        <w:tc>
          <w:tcPr>
            <w:tcW w:w="3648" w:type="dxa"/>
            <w:vAlign w:val="center"/>
          </w:tcPr>
          <w:p w14:paraId="2D61B30A">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0.43</w:t>
            </w:r>
          </w:p>
        </w:tc>
      </w:tr>
      <w:tr w14:paraId="17BDA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3638A06B">
            <w:pPr>
              <w:pStyle w:val="182"/>
              <w:bidi w:val="0"/>
              <w:rPr>
                <w:color w:val="auto"/>
              </w:rPr>
            </w:pPr>
            <w:r>
              <w:rPr>
                <w:color w:val="auto"/>
              </w:rPr>
              <w:t>苯</w:t>
            </w:r>
          </w:p>
        </w:tc>
        <w:tc>
          <w:tcPr>
            <w:tcW w:w="597" w:type="pct"/>
            <w:vAlign w:val="center"/>
          </w:tcPr>
          <w:p w14:paraId="052ECC2E">
            <w:pPr>
              <w:pStyle w:val="182"/>
              <w:bidi w:val="0"/>
              <w:rPr>
                <w:color w:val="auto"/>
              </w:rPr>
            </w:pPr>
            <w:r>
              <w:rPr>
                <w:rFonts w:hint="eastAsia"/>
                <w:color w:val="auto"/>
              </w:rPr>
              <w:t>未检出</w:t>
            </w:r>
          </w:p>
        </w:tc>
        <w:tc>
          <w:tcPr>
            <w:tcW w:w="597" w:type="pct"/>
            <w:vAlign w:val="center"/>
          </w:tcPr>
          <w:p w14:paraId="474BF965">
            <w:pPr>
              <w:pStyle w:val="182"/>
              <w:bidi w:val="0"/>
              <w:rPr>
                <w:color w:val="auto"/>
              </w:rPr>
            </w:pPr>
            <w:r>
              <w:rPr>
                <w:rFonts w:hint="eastAsia"/>
                <w:color w:val="auto"/>
              </w:rPr>
              <w:t>未检出</w:t>
            </w:r>
          </w:p>
        </w:tc>
        <w:tc>
          <w:tcPr>
            <w:tcW w:w="598" w:type="pct"/>
            <w:vAlign w:val="center"/>
          </w:tcPr>
          <w:p w14:paraId="592CFD4D">
            <w:pPr>
              <w:pStyle w:val="182"/>
              <w:bidi w:val="0"/>
              <w:rPr>
                <w:color w:val="auto"/>
              </w:rPr>
            </w:pPr>
            <w:r>
              <w:rPr>
                <w:rFonts w:hint="eastAsia"/>
                <w:color w:val="auto"/>
              </w:rPr>
              <w:t>未检出</w:t>
            </w:r>
          </w:p>
        </w:tc>
        <w:tc>
          <w:tcPr>
            <w:tcW w:w="3648" w:type="dxa"/>
            <w:vAlign w:val="center"/>
          </w:tcPr>
          <w:p w14:paraId="47B46091">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4</w:t>
            </w:r>
          </w:p>
        </w:tc>
      </w:tr>
      <w:tr w14:paraId="62112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4D3B700E">
            <w:pPr>
              <w:pStyle w:val="182"/>
              <w:bidi w:val="0"/>
              <w:rPr>
                <w:color w:val="auto"/>
              </w:rPr>
            </w:pPr>
            <w:r>
              <w:rPr>
                <w:color w:val="auto"/>
              </w:rPr>
              <w:t>氯苯</w:t>
            </w:r>
          </w:p>
        </w:tc>
        <w:tc>
          <w:tcPr>
            <w:tcW w:w="597" w:type="pct"/>
            <w:vAlign w:val="center"/>
          </w:tcPr>
          <w:p w14:paraId="10F0F7FC">
            <w:pPr>
              <w:pStyle w:val="182"/>
              <w:bidi w:val="0"/>
              <w:rPr>
                <w:color w:val="auto"/>
              </w:rPr>
            </w:pPr>
            <w:r>
              <w:rPr>
                <w:rFonts w:hint="eastAsia"/>
                <w:color w:val="auto"/>
              </w:rPr>
              <w:t>未检出</w:t>
            </w:r>
          </w:p>
        </w:tc>
        <w:tc>
          <w:tcPr>
            <w:tcW w:w="597" w:type="pct"/>
            <w:vAlign w:val="center"/>
          </w:tcPr>
          <w:p w14:paraId="17367F06">
            <w:pPr>
              <w:pStyle w:val="182"/>
              <w:bidi w:val="0"/>
              <w:rPr>
                <w:color w:val="auto"/>
              </w:rPr>
            </w:pPr>
            <w:r>
              <w:rPr>
                <w:rFonts w:hint="eastAsia"/>
                <w:color w:val="auto"/>
              </w:rPr>
              <w:t>未检出</w:t>
            </w:r>
          </w:p>
        </w:tc>
        <w:tc>
          <w:tcPr>
            <w:tcW w:w="598" w:type="pct"/>
            <w:vAlign w:val="center"/>
          </w:tcPr>
          <w:p w14:paraId="3D0B3E28">
            <w:pPr>
              <w:pStyle w:val="182"/>
              <w:bidi w:val="0"/>
              <w:rPr>
                <w:color w:val="auto"/>
              </w:rPr>
            </w:pPr>
            <w:r>
              <w:rPr>
                <w:rFonts w:hint="eastAsia"/>
                <w:color w:val="auto"/>
              </w:rPr>
              <w:t>未检出</w:t>
            </w:r>
          </w:p>
        </w:tc>
        <w:tc>
          <w:tcPr>
            <w:tcW w:w="3648" w:type="dxa"/>
            <w:vAlign w:val="center"/>
          </w:tcPr>
          <w:p w14:paraId="53B761A2">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270</w:t>
            </w:r>
          </w:p>
        </w:tc>
      </w:tr>
      <w:tr w14:paraId="22E4C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0C0F72C8">
            <w:pPr>
              <w:pStyle w:val="182"/>
              <w:bidi w:val="0"/>
              <w:rPr>
                <w:color w:val="auto"/>
              </w:rPr>
            </w:pPr>
            <w:r>
              <w:rPr>
                <w:color w:val="auto"/>
              </w:rPr>
              <w:t>1,2-二氯苯</w:t>
            </w:r>
          </w:p>
        </w:tc>
        <w:tc>
          <w:tcPr>
            <w:tcW w:w="597" w:type="pct"/>
            <w:vAlign w:val="center"/>
          </w:tcPr>
          <w:p w14:paraId="7A9D216C">
            <w:pPr>
              <w:pStyle w:val="182"/>
              <w:bidi w:val="0"/>
              <w:rPr>
                <w:color w:val="auto"/>
              </w:rPr>
            </w:pPr>
            <w:r>
              <w:rPr>
                <w:rFonts w:hint="eastAsia"/>
                <w:color w:val="auto"/>
              </w:rPr>
              <w:t>未检出</w:t>
            </w:r>
          </w:p>
        </w:tc>
        <w:tc>
          <w:tcPr>
            <w:tcW w:w="597" w:type="pct"/>
            <w:vAlign w:val="center"/>
          </w:tcPr>
          <w:p w14:paraId="73099B2F">
            <w:pPr>
              <w:pStyle w:val="182"/>
              <w:bidi w:val="0"/>
              <w:rPr>
                <w:color w:val="auto"/>
              </w:rPr>
            </w:pPr>
            <w:r>
              <w:rPr>
                <w:rFonts w:hint="eastAsia"/>
                <w:color w:val="auto"/>
              </w:rPr>
              <w:t>未检出</w:t>
            </w:r>
          </w:p>
        </w:tc>
        <w:tc>
          <w:tcPr>
            <w:tcW w:w="598" w:type="pct"/>
            <w:vAlign w:val="center"/>
          </w:tcPr>
          <w:p w14:paraId="5BBE4EBA">
            <w:pPr>
              <w:pStyle w:val="182"/>
              <w:bidi w:val="0"/>
              <w:rPr>
                <w:color w:val="auto"/>
              </w:rPr>
            </w:pPr>
            <w:r>
              <w:rPr>
                <w:rFonts w:hint="eastAsia"/>
                <w:color w:val="auto"/>
              </w:rPr>
              <w:t>未检出</w:t>
            </w:r>
          </w:p>
        </w:tc>
        <w:tc>
          <w:tcPr>
            <w:tcW w:w="3648" w:type="dxa"/>
            <w:vAlign w:val="center"/>
          </w:tcPr>
          <w:p w14:paraId="058EDC78">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560</w:t>
            </w:r>
          </w:p>
        </w:tc>
      </w:tr>
      <w:tr w14:paraId="1E48A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44C0D319">
            <w:pPr>
              <w:pStyle w:val="182"/>
              <w:bidi w:val="0"/>
              <w:rPr>
                <w:color w:val="auto"/>
              </w:rPr>
            </w:pPr>
            <w:r>
              <w:rPr>
                <w:color w:val="auto"/>
              </w:rPr>
              <w:t>1,4-二氯苯</w:t>
            </w:r>
          </w:p>
        </w:tc>
        <w:tc>
          <w:tcPr>
            <w:tcW w:w="597" w:type="pct"/>
            <w:vAlign w:val="center"/>
          </w:tcPr>
          <w:p w14:paraId="06CE582F">
            <w:pPr>
              <w:pStyle w:val="182"/>
              <w:bidi w:val="0"/>
              <w:rPr>
                <w:color w:val="auto"/>
              </w:rPr>
            </w:pPr>
            <w:r>
              <w:rPr>
                <w:rFonts w:hint="eastAsia"/>
                <w:color w:val="auto"/>
              </w:rPr>
              <w:t>未检出</w:t>
            </w:r>
          </w:p>
        </w:tc>
        <w:tc>
          <w:tcPr>
            <w:tcW w:w="597" w:type="pct"/>
            <w:vAlign w:val="center"/>
          </w:tcPr>
          <w:p w14:paraId="455D3014">
            <w:pPr>
              <w:pStyle w:val="182"/>
              <w:bidi w:val="0"/>
              <w:rPr>
                <w:color w:val="auto"/>
              </w:rPr>
            </w:pPr>
            <w:r>
              <w:rPr>
                <w:rFonts w:hint="eastAsia"/>
                <w:color w:val="auto"/>
              </w:rPr>
              <w:t>未检出</w:t>
            </w:r>
          </w:p>
        </w:tc>
        <w:tc>
          <w:tcPr>
            <w:tcW w:w="598" w:type="pct"/>
            <w:vAlign w:val="center"/>
          </w:tcPr>
          <w:p w14:paraId="5B456065">
            <w:pPr>
              <w:pStyle w:val="182"/>
              <w:bidi w:val="0"/>
              <w:rPr>
                <w:color w:val="auto"/>
              </w:rPr>
            </w:pPr>
            <w:r>
              <w:rPr>
                <w:rFonts w:hint="eastAsia"/>
                <w:color w:val="auto"/>
              </w:rPr>
              <w:t>未检出</w:t>
            </w:r>
          </w:p>
        </w:tc>
        <w:tc>
          <w:tcPr>
            <w:tcW w:w="3648" w:type="dxa"/>
            <w:vAlign w:val="center"/>
          </w:tcPr>
          <w:p w14:paraId="3D7040DE">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20</w:t>
            </w:r>
          </w:p>
        </w:tc>
      </w:tr>
      <w:tr w14:paraId="556AE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1DC3FB1D">
            <w:pPr>
              <w:pStyle w:val="182"/>
              <w:bidi w:val="0"/>
              <w:rPr>
                <w:color w:val="auto"/>
              </w:rPr>
            </w:pPr>
            <w:r>
              <w:rPr>
                <w:color w:val="auto"/>
              </w:rPr>
              <w:t>乙苯</w:t>
            </w:r>
          </w:p>
        </w:tc>
        <w:tc>
          <w:tcPr>
            <w:tcW w:w="597" w:type="pct"/>
            <w:vAlign w:val="center"/>
          </w:tcPr>
          <w:p w14:paraId="119E532D">
            <w:pPr>
              <w:pStyle w:val="182"/>
              <w:bidi w:val="0"/>
              <w:rPr>
                <w:color w:val="auto"/>
              </w:rPr>
            </w:pPr>
            <w:r>
              <w:rPr>
                <w:rFonts w:hint="eastAsia"/>
                <w:color w:val="auto"/>
              </w:rPr>
              <w:t>未检出</w:t>
            </w:r>
          </w:p>
        </w:tc>
        <w:tc>
          <w:tcPr>
            <w:tcW w:w="597" w:type="pct"/>
            <w:vAlign w:val="center"/>
          </w:tcPr>
          <w:p w14:paraId="1208B7DE">
            <w:pPr>
              <w:pStyle w:val="182"/>
              <w:bidi w:val="0"/>
              <w:rPr>
                <w:color w:val="auto"/>
              </w:rPr>
            </w:pPr>
            <w:r>
              <w:rPr>
                <w:rFonts w:hint="eastAsia"/>
                <w:color w:val="auto"/>
              </w:rPr>
              <w:t>未检出</w:t>
            </w:r>
          </w:p>
        </w:tc>
        <w:tc>
          <w:tcPr>
            <w:tcW w:w="598" w:type="pct"/>
            <w:vAlign w:val="center"/>
          </w:tcPr>
          <w:p w14:paraId="40FC4F08">
            <w:pPr>
              <w:pStyle w:val="182"/>
              <w:bidi w:val="0"/>
              <w:rPr>
                <w:color w:val="auto"/>
              </w:rPr>
            </w:pPr>
            <w:r>
              <w:rPr>
                <w:rFonts w:hint="eastAsia"/>
                <w:color w:val="auto"/>
              </w:rPr>
              <w:t>未检出</w:t>
            </w:r>
          </w:p>
        </w:tc>
        <w:tc>
          <w:tcPr>
            <w:tcW w:w="3648" w:type="dxa"/>
            <w:vAlign w:val="center"/>
          </w:tcPr>
          <w:p w14:paraId="6F41C879">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28</w:t>
            </w:r>
          </w:p>
        </w:tc>
      </w:tr>
      <w:tr w14:paraId="21954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75ADF6CA">
            <w:pPr>
              <w:pStyle w:val="182"/>
              <w:bidi w:val="0"/>
              <w:rPr>
                <w:color w:val="auto"/>
              </w:rPr>
            </w:pPr>
            <w:r>
              <w:rPr>
                <w:color w:val="auto"/>
              </w:rPr>
              <w:t>苯乙烯</w:t>
            </w:r>
          </w:p>
        </w:tc>
        <w:tc>
          <w:tcPr>
            <w:tcW w:w="597" w:type="pct"/>
            <w:vAlign w:val="center"/>
          </w:tcPr>
          <w:p w14:paraId="5E5F96F7">
            <w:pPr>
              <w:pStyle w:val="182"/>
              <w:bidi w:val="0"/>
              <w:rPr>
                <w:color w:val="auto"/>
              </w:rPr>
            </w:pPr>
            <w:r>
              <w:rPr>
                <w:rFonts w:hint="eastAsia"/>
                <w:color w:val="auto"/>
              </w:rPr>
              <w:t>未检出</w:t>
            </w:r>
          </w:p>
        </w:tc>
        <w:tc>
          <w:tcPr>
            <w:tcW w:w="597" w:type="pct"/>
            <w:vAlign w:val="center"/>
          </w:tcPr>
          <w:p w14:paraId="4B65AB4C">
            <w:pPr>
              <w:pStyle w:val="182"/>
              <w:bidi w:val="0"/>
              <w:rPr>
                <w:color w:val="auto"/>
              </w:rPr>
            </w:pPr>
            <w:r>
              <w:rPr>
                <w:rFonts w:hint="eastAsia"/>
                <w:color w:val="auto"/>
              </w:rPr>
              <w:t>未检出</w:t>
            </w:r>
          </w:p>
        </w:tc>
        <w:tc>
          <w:tcPr>
            <w:tcW w:w="598" w:type="pct"/>
            <w:vAlign w:val="center"/>
          </w:tcPr>
          <w:p w14:paraId="5D0C382C">
            <w:pPr>
              <w:pStyle w:val="182"/>
              <w:bidi w:val="0"/>
              <w:rPr>
                <w:color w:val="auto"/>
              </w:rPr>
            </w:pPr>
            <w:r>
              <w:rPr>
                <w:rFonts w:hint="eastAsia"/>
                <w:color w:val="auto"/>
              </w:rPr>
              <w:t>未检出</w:t>
            </w:r>
          </w:p>
        </w:tc>
        <w:tc>
          <w:tcPr>
            <w:tcW w:w="3648" w:type="dxa"/>
            <w:vAlign w:val="center"/>
          </w:tcPr>
          <w:p w14:paraId="31BAC7E8">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1290</w:t>
            </w:r>
          </w:p>
        </w:tc>
      </w:tr>
      <w:tr w14:paraId="0E56E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484DECF4">
            <w:pPr>
              <w:pStyle w:val="182"/>
              <w:bidi w:val="0"/>
              <w:rPr>
                <w:color w:val="auto"/>
              </w:rPr>
            </w:pPr>
            <w:r>
              <w:rPr>
                <w:color w:val="auto"/>
              </w:rPr>
              <w:t>甲苯</w:t>
            </w:r>
          </w:p>
        </w:tc>
        <w:tc>
          <w:tcPr>
            <w:tcW w:w="597" w:type="pct"/>
            <w:vAlign w:val="center"/>
          </w:tcPr>
          <w:p w14:paraId="49363EF7">
            <w:pPr>
              <w:pStyle w:val="182"/>
              <w:bidi w:val="0"/>
              <w:rPr>
                <w:color w:val="auto"/>
              </w:rPr>
            </w:pPr>
            <w:r>
              <w:rPr>
                <w:rFonts w:hint="eastAsia"/>
                <w:color w:val="auto"/>
              </w:rPr>
              <w:t>未检出</w:t>
            </w:r>
          </w:p>
        </w:tc>
        <w:tc>
          <w:tcPr>
            <w:tcW w:w="597" w:type="pct"/>
            <w:vAlign w:val="center"/>
          </w:tcPr>
          <w:p w14:paraId="57150DE7">
            <w:pPr>
              <w:pStyle w:val="182"/>
              <w:bidi w:val="0"/>
              <w:rPr>
                <w:color w:val="auto"/>
              </w:rPr>
            </w:pPr>
            <w:r>
              <w:rPr>
                <w:rFonts w:hint="eastAsia"/>
                <w:color w:val="auto"/>
              </w:rPr>
              <w:t>未检出</w:t>
            </w:r>
          </w:p>
        </w:tc>
        <w:tc>
          <w:tcPr>
            <w:tcW w:w="598" w:type="pct"/>
            <w:vAlign w:val="center"/>
          </w:tcPr>
          <w:p w14:paraId="7FE186EC">
            <w:pPr>
              <w:pStyle w:val="182"/>
              <w:bidi w:val="0"/>
              <w:rPr>
                <w:color w:val="auto"/>
              </w:rPr>
            </w:pPr>
            <w:r>
              <w:rPr>
                <w:rFonts w:hint="eastAsia"/>
                <w:color w:val="auto"/>
              </w:rPr>
              <w:t>未检出</w:t>
            </w:r>
          </w:p>
        </w:tc>
        <w:tc>
          <w:tcPr>
            <w:tcW w:w="3648" w:type="dxa"/>
            <w:vAlign w:val="center"/>
          </w:tcPr>
          <w:p w14:paraId="214E2149">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1200</w:t>
            </w:r>
          </w:p>
        </w:tc>
      </w:tr>
      <w:tr w14:paraId="5D71D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752696A4">
            <w:pPr>
              <w:pStyle w:val="182"/>
              <w:bidi w:val="0"/>
              <w:rPr>
                <w:color w:val="auto"/>
              </w:rPr>
            </w:pPr>
            <w:r>
              <w:rPr>
                <w:color w:val="auto"/>
              </w:rPr>
              <w:t>间,对-二甲苯</w:t>
            </w:r>
          </w:p>
        </w:tc>
        <w:tc>
          <w:tcPr>
            <w:tcW w:w="597" w:type="pct"/>
            <w:vAlign w:val="center"/>
          </w:tcPr>
          <w:p w14:paraId="4A0527FC">
            <w:pPr>
              <w:pStyle w:val="182"/>
              <w:bidi w:val="0"/>
              <w:rPr>
                <w:color w:val="auto"/>
              </w:rPr>
            </w:pPr>
            <w:r>
              <w:rPr>
                <w:rFonts w:hint="eastAsia"/>
                <w:color w:val="auto"/>
              </w:rPr>
              <w:t>未检出</w:t>
            </w:r>
          </w:p>
        </w:tc>
        <w:tc>
          <w:tcPr>
            <w:tcW w:w="597" w:type="pct"/>
            <w:vAlign w:val="center"/>
          </w:tcPr>
          <w:p w14:paraId="6352AA8C">
            <w:pPr>
              <w:pStyle w:val="182"/>
              <w:bidi w:val="0"/>
              <w:rPr>
                <w:color w:val="auto"/>
              </w:rPr>
            </w:pPr>
            <w:r>
              <w:rPr>
                <w:rFonts w:hint="eastAsia"/>
                <w:color w:val="auto"/>
              </w:rPr>
              <w:t>未检出</w:t>
            </w:r>
          </w:p>
        </w:tc>
        <w:tc>
          <w:tcPr>
            <w:tcW w:w="598" w:type="pct"/>
            <w:vAlign w:val="center"/>
          </w:tcPr>
          <w:p w14:paraId="553C7EB1">
            <w:pPr>
              <w:pStyle w:val="182"/>
              <w:bidi w:val="0"/>
              <w:rPr>
                <w:color w:val="auto"/>
              </w:rPr>
            </w:pPr>
            <w:r>
              <w:rPr>
                <w:rFonts w:hint="eastAsia"/>
                <w:color w:val="auto"/>
              </w:rPr>
              <w:t>未检出</w:t>
            </w:r>
          </w:p>
        </w:tc>
        <w:tc>
          <w:tcPr>
            <w:tcW w:w="3648" w:type="dxa"/>
            <w:vAlign w:val="center"/>
          </w:tcPr>
          <w:p w14:paraId="1BFD3DD5">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570</w:t>
            </w:r>
          </w:p>
        </w:tc>
      </w:tr>
      <w:tr w14:paraId="0A1D2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6FBB34C1">
            <w:pPr>
              <w:pStyle w:val="182"/>
              <w:bidi w:val="0"/>
              <w:rPr>
                <w:color w:val="auto"/>
              </w:rPr>
            </w:pPr>
            <w:r>
              <w:rPr>
                <w:color w:val="auto"/>
              </w:rPr>
              <w:t>邻二甲苯</w:t>
            </w:r>
          </w:p>
        </w:tc>
        <w:tc>
          <w:tcPr>
            <w:tcW w:w="597" w:type="pct"/>
            <w:vAlign w:val="center"/>
          </w:tcPr>
          <w:p w14:paraId="661A9831">
            <w:pPr>
              <w:pStyle w:val="182"/>
              <w:bidi w:val="0"/>
              <w:rPr>
                <w:color w:val="auto"/>
              </w:rPr>
            </w:pPr>
            <w:r>
              <w:rPr>
                <w:rFonts w:hint="eastAsia"/>
                <w:color w:val="auto"/>
              </w:rPr>
              <w:t>未检出</w:t>
            </w:r>
          </w:p>
        </w:tc>
        <w:tc>
          <w:tcPr>
            <w:tcW w:w="597" w:type="pct"/>
            <w:vAlign w:val="center"/>
          </w:tcPr>
          <w:p w14:paraId="2AF8E058">
            <w:pPr>
              <w:pStyle w:val="182"/>
              <w:bidi w:val="0"/>
              <w:rPr>
                <w:color w:val="auto"/>
              </w:rPr>
            </w:pPr>
            <w:r>
              <w:rPr>
                <w:rFonts w:hint="eastAsia"/>
                <w:color w:val="auto"/>
              </w:rPr>
              <w:t>未检出</w:t>
            </w:r>
          </w:p>
        </w:tc>
        <w:tc>
          <w:tcPr>
            <w:tcW w:w="598" w:type="pct"/>
            <w:vAlign w:val="center"/>
          </w:tcPr>
          <w:p w14:paraId="286560FB">
            <w:pPr>
              <w:pStyle w:val="182"/>
              <w:bidi w:val="0"/>
              <w:rPr>
                <w:color w:val="auto"/>
              </w:rPr>
            </w:pPr>
            <w:r>
              <w:rPr>
                <w:rFonts w:hint="eastAsia"/>
                <w:color w:val="auto"/>
              </w:rPr>
              <w:t>未检出</w:t>
            </w:r>
          </w:p>
        </w:tc>
        <w:tc>
          <w:tcPr>
            <w:tcW w:w="3648" w:type="dxa"/>
            <w:vAlign w:val="center"/>
          </w:tcPr>
          <w:p w14:paraId="327991AB">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640</w:t>
            </w:r>
          </w:p>
        </w:tc>
      </w:tr>
      <w:tr w14:paraId="216A3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46FED37E">
            <w:pPr>
              <w:pStyle w:val="182"/>
              <w:bidi w:val="0"/>
              <w:rPr>
                <w:color w:val="auto"/>
              </w:rPr>
            </w:pPr>
            <w:r>
              <w:rPr>
                <w:color w:val="auto"/>
              </w:rPr>
              <w:t>硝基苯</w:t>
            </w:r>
          </w:p>
        </w:tc>
        <w:tc>
          <w:tcPr>
            <w:tcW w:w="597" w:type="pct"/>
            <w:vAlign w:val="center"/>
          </w:tcPr>
          <w:p w14:paraId="375CA168">
            <w:pPr>
              <w:pStyle w:val="182"/>
              <w:bidi w:val="0"/>
              <w:rPr>
                <w:color w:val="auto"/>
              </w:rPr>
            </w:pPr>
            <w:r>
              <w:rPr>
                <w:rFonts w:hint="eastAsia"/>
                <w:color w:val="auto"/>
              </w:rPr>
              <w:t>未检出</w:t>
            </w:r>
          </w:p>
        </w:tc>
        <w:tc>
          <w:tcPr>
            <w:tcW w:w="597" w:type="pct"/>
            <w:vAlign w:val="center"/>
          </w:tcPr>
          <w:p w14:paraId="0DA11454">
            <w:pPr>
              <w:pStyle w:val="182"/>
              <w:bidi w:val="0"/>
              <w:rPr>
                <w:color w:val="auto"/>
              </w:rPr>
            </w:pPr>
            <w:r>
              <w:rPr>
                <w:rFonts w:hint="eastAsia"/>
                <w:color w:val="auto"/>
              </w:rPr>
              <w:t>未检出</w:t>
            </w:r>
          </w:p>
        </w:tc>
        <w:tc>
          <w:tcPr>
            <w:tcW w:w="598" w:type="pct"/>
            <w:vAlign w:val="center"/>
          </w:tcPr>
          <w:p w14:paraId="58AA0631">
            <w:pPr>
              <w:pStyle w:val="182"/>
              <w:bidi w:val="0"/>
              <w:rPr>
                <w:color w:val="auto"/>
              </w:rPr>
            </w:pPr>
            <w:r>
              <w:rPr>
                <w:rFonts w:hint="eastAsia"/>
                <w:color w:val="auto"/>
              </w:rPr>
              <w:t>未检出</w:t>
            </w:r>
          </w:p>
        </w:tc>
        <w:tc>
          <w:tcPr>
            <w:tcW w:w="3648" w:type="dxa"/>
            <w:vAlign w:val="center"/>
          </w:tcPr>
          <w:p w14:paraId="3A611E46">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76</w:t>
            </w:r>
          </w:p>
        </w:tc>
      </w:tr>
      <w:tr w14:paraId="2D7B1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5A9BEFCC">
            <w:pPr>
              <w:pStyle w:val="182"/>
              <w:bidi w:val="0"/>
              <w:rPr>
                <w:color w:val="auto"/>
              </w:rPr>
            </w:pPr>
            <w:r>
              <w:rPr>
                <w:color w:val="auto"/>
              </w:rPr>
              <w:t>苯胺</w:t>
            </w:r>
          </w:p>
        </w:tc>
        <w:tc>
          <w:tcPr>
            <w:tcW w:w="597" w:type="pct"/>
            <w:vAlign w:val="center"/>
          </w:tcPr>
          <w:p w14:paraId="7C580635">
            <w:pPr>
              <w:pStyle w:val="182"/>
              <w:bidi w:val="0"/>
              <w:rPr>
                <w:color w:val="auto"/>
              </w:rPr>
            </w:pPr>
            <w:r>
              <w:rPr>
                <w:rFonts w:hint="eastAsia"/>
                <w:color w:val="auto"/>
              </w:rPr>
              <w:t>未检出</w:t>
            </w:r>
          </w:p>
        </w:tc>
        <w:tc>
          <w:tcPr>
            <w:tcW w:w="597" w:type="pct"/>
            <w:vAlign w:val="center"/>
          </w:tcPr>
          <w:p w14:paraId="115BA8C8">
            <w:pPr>
              <w:pStyle w:val="182"/>
              <w:bidi w:val="0"/>
              <w:rPr>
                <w:color w:val="auto"/>
              </w:rPr>
            </w:pPr>
            <w:r>
              <w:rPr>
                <w:rFonts w:hint="eastAsia"/>
                <w:color w:val="auto"/>
              </w:rPr>
              <w:t>未检出</w:t>
            </w:r>
          </w:p>
        </w:tc>
        <w:tc>
          <w:tcPr>
            <w:tcW w:w="598" w:type="pct"/>
            <w:vAlign w:val="center"/>
          </w:tcPr>
          <w:p w14:paraId="6E6217D2">
            <w:pPr>
              <w:pStyle w:val="182"/>
              <w:bidi w:val="0"/>
              <w:rPr>
                <w:color w:val="auto"/>
              </w:rPr>
            </w:pPr>
            <w:r>
              <w:rPr>
                <w:rFonts w:hint="eastAsia"/>
                <w:color w:val="auto"/>
              </w:rPr>
              <w:t>未检出</w:t>
            </w:r>
          </w:p>
        </w:tc>
        <w:tc>
          <w:tcPr>
            <w:tcW w:w="3648" w:type="dxa"/>
            <w:vAlign w:val="center"/>
          </w:tcPr>
          <w:p w14:paraId="5F68F893">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260</w:t>
            </w:r>
          </w:p>
        </w:tc>
      </w:tr>
      <w:tr w14:paraId="70DFE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384FB82A">
            <w:pPr>
              <w:pStyle w:val="182"/>
              <w:bidi w:val="0"/>
              <w:rPr>
                <w:color w:val="auto"/>
              </w:rPr>
            </w:pPr>
            <w:r>
              <w:rPr>
                <w:color w:val="auto"/>
              </w:rPr>
              <w:t>2-氯酚</w:t>
            </w:r>
          </w:p>
        </w:tc>
        <w:tc>
          <w:tcPr>
            <w:tcW w:w="597" w:type="pct"/>
            <w:vAlign w:val="center"/>
          </w:tcPr>
          <w:p w14:paraId="60BA0527">
            <w:pPr>
              <w:pStyle w:val="182"/>
              <w:bidi w:val="0"/>
              <w:rPr>
                <w:color w:val="auto"/>
              </w:rPr>
            </w:pPr>
            <w:r>
              <w:rPr>
                <w:rFonts w:hint="eastAsia"/>
                <w:color w:val="auto"/>
              </w:rPr>
              <w:t>未检出</w:t>
            </w:r>
          </w:p>
        </w:tc>
        <w:tc>
          <w:tcPr>
            <w:tcW w:w="597" w:type="pct"/>
            <w:vAlign w:val="center"/>
          </w:tcPr>
          <w:p w14:paraId="314CDDE4">
            <w:pPr>
              <w:pStyle w:val="182"/>
              <w:bidi w:val="0"/>
              <w:rPr>
                <w:color w:val="auto"/>
              </w:rPr>
            </w:pPr>
            <w:r>
              <w:rPr>
                <w:rFonts w:hint="eastAsia"/>
                <w:color w:val="auto"/>
              </w:rPr>
              <w:t>未检出</w:t>
            </w:r>
          </w:p>
        </w:tc>
        <w:tc>
          <w:tcPr>
            <w:tcW w:w="598" w:type="pct"/>
            <w:vAlign w:val="center"/>
          </w:tcPr>
          <w:p w14:paraId="0971BF37">
            <w:pPr>
              <w:pStyle w:val="182"/>
              <w:bidi w:val="0"/>
              <w:rPr>
                <w:color w:val="auto"/>
              </w:rPr>
            </w:pPr>
            <w:r>
              <w:rPr>
                <w:rFonts w:hint="eastAsia"/>
                <w:color w:val="auto"/>
              </w:rPr>
              <w:t>未检出</w:t>
            </w:r>
          </w:p>
        </w:tc>
        <w:tc>
          <w:tcPr>
            <w:tcW w:w="3648" w:type="dxa"/>
            <w:vAlign w:val="center"/>
          </w:tcPr>
          <w:p w14:paraId="7DC13AB8">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2256</w:t>
            </w:r>
          </w:p>
        </w:tc>
      </w:tr>
      <w:tr w14:paraId="458BB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60945792">
            <w:pPr>
              <w:pStyle w:val="182"/>
              <w:bidi w:val="0"/>
              <w:rPr>
                <w:color w:val="auto"/>
              </w:rPr>
            </w:pPr>
            <w:r>
              <w:rPr>
                <w:color w:val="auto"/>
              </w:rPr>
              <w:t>苯并[a]蒽</w:t>
            </w:r>
          </w:p>
        </w:tc>
        <w:tc>
          <w:tcPr>
            <w:tcW w:w="597" w:type="pct"/>
            <w:vAlign w:val="center"/>
          </w:tcPr>
          <w:p w14:paraId="38D5BEDF">
            <w:pPr>
              <w:pStyle w:val="182"/>
              <w:bidi w:val="0"/>
              <w:rPr>
                <w:color w:val="auto"/>
              </w:rPr>
            </w:pPr>
            <w:r>
              <w:rPr>
                <w:rFonts w:hint="eastAsia"/>
                <w:color w:val="auto"/>
              </w:rPr>
              <w:t>未检出</w:t>
            </w:r>
          </w:p>
        </w:tc>
        <w:tc>
          <w:tcPr>
            <w:tcW w:w="597" w:type="pct"/>
            <w:vAlign w:val="center"/>
          </w:tcPr>
          <w:p w14:paraId="6B9F3A4B">
            <w:pPr>
              <w:pStyle w:val="182"/>
              <w:bidi w:val="0"/>
              <w:rPr>
                <w:color w:val="auto"/>
              </w:rPr>
            </w:pPr>
            <w:r>
              <w:rPr>
                <w:rFonts w:hint="eastAsia"/>
                <w:color w:val="auto"/>
              </w:rPr>
              <w:t>未检出</w:t>
            </w:r>
          </w:p>
        </w:tc>
        <w:tc>
          <w:tcPr>
            <w:tcW w:w="598" w:type="pct"/>
            <w:vAlign w:val="center"/>
          </w:tcPr>
          <w:p w14:paraId="65D60F9A">
            <w:pPr>
              <w:pStyle w:val="182"/>
              <w:bidi w:val="0"/>
              <w:rPr>
                <w:color w:val="auto"/>
              </w:rPr>
            </w:pPr>
            <w:r>
              <w:rPr>
                <w:rFonts w:hint="eastAsia"/>
                <w:color w:val="auto"/>
              </w:rPr>
              <w:t>未检出</w:t>
            </w:r>
          </w:p>
        </w:tc>
        <w:tc>
          <w:tcPr>
            <w:tcW w:w="3648" w:type="dxa"/>
            <w:vAlign w:val="center"/>
          </w:tcPr>
          <w:p w14:paraId="68BA7687">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15</w:t>
            </w:r>
          </w:p>
        </w:tc>
      </w:tr>
      <w:tr w14:paraId="6136B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5A047A16">
            <w:pPr>
              <w:pStyle w:val="182"/>
              <w:bidi w:val="0"/>
              <w:rPr>
                <w:color w:val="auto"/>
              </w:rPr>
            </w:pPr>
            <w:r>
              <w:rPr>
                <w:color w:val="auto"/>
              </w:rPr>
              <w:t>苯并[a]芘</w:t>
            </w:r>
          </w:p>
        </w:tc>
        <w:tc>
          <w:tcPr>
            <w:tcW w:w="597" w:type="pct"/>
            <w:vAlign w:val="center"/>
          </w:tcPr>
          <w:p w14:paraId="22A4682D">
            <w:pPr>
              <w:pStyle w:val="182"/>
              <w:bidi w:val="0"/>
              <w:rPr>
                <w:color w:val="auto"/>
              </w:rPr>
            </w:pPr>
            <w:r>
              <w:rPr>
                <w:rFonts w:hint="eastAsia"/>
                <w:color w:val="auto"/>
              </w:rPr>
              <w:t>未检出</w:t>
            </w:r>
          </w:p>
        </w:tc>
        <w:tc>
          <w:tcPr>
            <w:tcW w:w="597" w:type="pct"/>
            <w:vAlign w:val="center"/>
          </w:tcPr>
          <w:p w14:paraId="5DC046E9">
            <w:pPr>
              <w:pStyle w:val="182"/>
              <w:bidi w:val="0"/>
              <w:rPr>
                <w:color w:val="auto"/>
              </w:rPr>
            </w:pPr>
            <w:r>
              <w:rPr>
                <w:rFonts w:hint="eastAsia"/>
                <w:color w:val="auto"/>
              </w:rPr>
              <w:t>未检出</w:t>
            </w:r>
          </w:p>
        </w:tc>
        <w:tc>
          <w:tcPr>
            <w:tcW w:w="598" w:type="pct"/>
            <w:vAlign w:val="center"/>
          </w:tcPr>
          <w:p w14:paraId="66A7EC8B">
            <w:pPr>
              <w:pStyle w:val="182"/>
              <w:bidi w:val="0"/>
              <w:rPr>
                <w:color w:val="auto"/>
              </w:rPr>
            </w:pPr>
            <w:r>
              <w:rPr>
                <w:rFonts w:hint="eastAsia"/>
                <w:color w:val="auto"/>
              </w:rPr>
              <w:t>未检出</w:t>
            </w:r>
          </w:p>
        </w:tc>
        <w:tc>
          <w:tcPr>
            <w:tcW w:w="3648" w:type="dxa"/>
            <w:vAlign w:val="center"/>
          </w:tcPr>
          <w:p w14:paraId="6256A518">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1.5</w:t>
            </w:r>
          </w:p>
        </w:tc>
      </w:tr>
      <w:tr w14:paraId="2C0D0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4E72AD6F">
            <w:pPr>
              <w:pStyle w:val="182"/>
              <w:bidi w:val="0"/>
              <w:rPr>
                <w:color w:val="auto"/>
              </w:rPr>
            </w:pPr>
            <w:r>
              <w:rPr>
                <w:color w:val="auto"/>
              </w:rPr>
              <w:t>苯并[b]荧蒽</w:t>
            </w:r>
          </w:p>
        </w:tc>
        <w:tc>
          <w:tcPr>
            <w:tcW w:w="597" w:type="pct"/>
            <w:vAlign w:val="center"/>
          </w:tcPr>
          <w:p w14:paraId="7D59FC79">
            <w:pPr>
              <w:pStyle w:val="182"/>
              <w:bidi w:val="0"/>
              <w:rPr>
                <w:color w:val="auto"/>
              </w:rPr>
            </w:pPr>
            <w:r>
              <w:rPr>
                <w:rFonts w:hint="eastAsia"/>
                <w:color w:val="auto"/>
              </w:rPr>
              <w:t>未检出</w:t>
            </w:r>
          </w:p>
        </w:tc>
        <w:tc>
          <w:tcPr>
            <w:tcW w:w="597" w:type="pct"/>
            <w:vAlign w:val="center"/>
          </w:tcPr>
          <w:p w14:paraId="594E5351">
            <w:pPr>
              <w:pStyle w:val="182"/>
              <w:bidi w:val="0"/>
              <w:rPr>
                <w:color w:val="auto"/>
              </w:rPr>
            </w:pPr>
            <w:r>
              <w:rPr>
                <w:rFonts w:hint="eastAsia"/>
                <w:color w:val="auto"/>
              </w:rPr>
              <w:t>未检出</w:t>
            </w:r>
          </w:p>
        </w:tc>
        <w:tc>
          <w:tcPr>
            <w:tcW w:w="598" w:type="pct"/>
            <w:vAlign w:val="center"/>
          </w:tcPr>
          <w:p w14:paraId="364B7573">
            <w:pPr>
              <w:pStyle w:val="182"/>
              <w:bidi w:val="0"/>
              <w:rPr>
                <w:color w:val="auto"/>
              </w:rPr>
            </w:pPr>
            <w:r>
              <w:rPr>
                <w:rFonts w:hint="eastAsia"/>
                <w:color w:val="auto"/>
              </w:rPr>
              <w:t>未检出</w:t>
            </w:r>
          </w:p>
        </w:tc>
        <w:tc>
          <w:tcPr>
            <w:tcW w:w="3648" w:type="dxa"/>
            <w:vAlign w:val="center"/>
          </w:tcPr>
          <w:p w14:paraId="45AA54B2">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15</w:t>
            </w:r>
          </w:p>
        </w:tc>
      </w:tr>
      <w:tr w14:paraId="474C9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3250FE0D">
            <w:pPr>
              <w:pStyle w:val="182"/>
              <w:bidi w:val="0"/>
              <w:rPr>
                <w:color w:val="auto"/>
              </w:rPr>
            </w:pPr>
            <w:r>
              <w:rPr>
                <w:color w:val="auto"/>
              </w:rPr>
              <w:t>苯并[k]荧蒽</w:t>
            </w:r>
          </w:p>
        </w:tc>
        <w:tc>
          <w:tcPr>
            <w:tcW w:w="597" w:type="pct"/>
            <w:vAlign w:val="center"/>
          </w:tcPr>
          <w:p w14:paraId="05B0FD21">
            <w:pPr>
              <w:pStyle w:val="182"/>
              <w:bidi w:val="0"/>
              <w:rPr>
                <w:color w:val="auto"/>
              </w:rPr>
            </w:pPr>
            <w:r>
              <w:rPr>
                <w:rFonts w:hint="eastAsia"/>
                <w:color w:val="auto"/>
              </w:rPr>
              <w:t>未检出</w:t>
            </w:r>
          </w:p>
        </w:tc>
        <w:tc>
          <w:tcPr>
            <w:tcW w:w="597" w:type="pct"/>
            <w:vAlign w:val="center"/>
          </w:tcPr>
          <w:p w14:paraId="23F79814">
            <w:pPr>
              <w:pStyle w:val="182"/>
              <w:bidi w:val="0"/>
              <w:rPr>
                <w:color w:val="auto"/>
              </w:rPr>
            </w:pPr>
            <w:r>
              <w:rPr>
                <w:rFonts w:hint="eastAsia"/>
                <w:color w:val="auto"/>
              </w:rPr>
              <w:t>未检出</w:t>
            </w:r>
          </w:p>
        </w:tc>
        <w:tc>
          <w:tcPr>
            <w:tcW w:w="598" w:type="pct"/>
            <w:vAlign w:val="center"/>
          </w:tcPr>
          <w:p w14:paraId="0DD961B8">
            <w:pPr>
              <w:pStyle w:val="182"/>
              <w:bidi w:val="0"/>
              <w:rPr>
                <w:color w:val="auto"/>
              </w:rPr>
            </w:pPr>
            <w:r>
              <w:rPr>
                <w:rFonts w:hint="eastAsia"/>
                <w:color w:val="auto"/>
              </w:rPr>
              <w:t>未检出</w:t>
            </w:r>
          </w:p>
        </w:tc>
        <w:tc>
          <w:tcPr>
            <w:tcW w:w="3648" w:type="dxa"/>
            <w:vAlign w:val="center"/>
          </w:tcPr>
          <w:p w14:paraId="4FEA9070">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151</w:t>
            </w:r>
          </w:p>
        </w:tc>
      </w:tr>
      <w:tr w14:paraId="2FDF0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44A61A4E">
            <w:pPr>
              <w:pStyle w:val="182"/>
              <w:bidi w:val="0"/>
              <w:rPr>
                <w:color w:val="auto"/>
              </w:rPr>
            </w:pPr>
            <w:r>
              <w:rPr>
                <w:color w:val="auto"/>
              </w:rPr>
              <w:t>䓛</w:t>
            </w:r>
          </w:p>
        </w:tc>
        <w:tc>
          <w:tcPr>
            <w:tcW w:w="597" w:type="pct"/>
            <w:vAlign w:val="center"/>
          </w:tcPr>
          <w:p w14:paraId="70299C10">
            <w:pPr>
              <w:pStyle w:val="182"/>
              <w:bidi w:val="0"/>
              <w:rPr>
                <w:color w:val="auto"/>
              </w:rPr>
            </w:pPr>
            <w:r>
              <w:rPr>
                <w:rFonts w:hint="eastAsia"/>
                <w:color w:val="auto"/>
              </w:rPr>
              <w:t>未检出</w:t>
            </w:r>
          </w:p>
        </w:tc>
        <w:tc>
          <w:tcPr>
            <w:tcW w:w="597" w:type="pct"/>
            <w:vAlign w:val="center"/>
          </w:tcPr>
          <w:p w14:paraId="3D513CFC">
            <w:pPr>
              <w:pStyle w:val="182"/>
              <w:bidi w:val="0"/>
              <w:rPr>
                <w:color w:val="auto"/>
              </w:rPr>
            </w:pPr>
            <w:r>
              <w:rPr>
                <w:rFonts w:hint="eastAsia"/>
                <w:color w:val="auto"/>
              </w:rPr>
              <w:t>未检出</w:t>
            </w:r>
          </w:p>
        </w:tc>
        <w:tc>
          <w:tcPr>
            <w:tcW w:w="598" w:type="pct"/>
            <w:vAlign w:val="center"/>
          </w:tcPr>
          <w:p w14:paraId="011C252E">
            <w:pPr>
              <w:pStyle w:val="182"/>
              <w:bidi w:val="0"/>
              <w:rPr>
                <w:color w:val="auto"/>
              </w:rPr>
            </w:pPr>
            <w:r>
              <w:rPr>
                <w:rFonts w:hint="eastAsia"/>
                <w:color w:val="auto"/>
              </w:rPr>
              <w:t>未检出</w:t>
            </w:r>
          </w:p>
        </w:tc>
        <w:tc>
          <w:tcPr>
            <w:tcW w:w="3648" w:type="dxa"/>
            <w:vAlign w:val="center"/>
          </w:tcPr>
          <w:p w14:paraId="30D6A19A">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1293</w:t>
            </w:r>
          </w:p>
        </w:tc>
      </w:tr>
      <w:tr w14:paraId="19A2D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797A06D5">
            <w:pPr>
              <w:pStyle w:val="182"/>
              <w:bidi w:val="0"/>
              <w:rPr>
                <w:color w:val="auto"/>
              </w:rPr>
            </w:pPr>
            <w:r>
              <w:rPr>
                <w:color w:val="auto"/>
              </w:rPr>
              <w:t>二苯并[a, h]蒽</w:t>
            </w:r>
          </w:p>
        </w:tc>
        <w:tc>
          <w:tcPr>
            <w:tcW w:w="597" w:type="pct"/>
            <w:vAlign w:val="center"/>
          </w:tcPr>
          <w:p w14:paraId="149DEC30">
            <w:pPr>
              <w:pStyle w:val="182"/>
              <w:bidi w:val="0"/>
              <w:rPr>
                <w:color w:val="auto"/>
              </w:rPr>
            </w:pPr>
            <w:r>
              <w:rPr>
                <w:rFonts w:hint="eastAsia"/>
                <w:color w:val="auto"/>
              </w:rPr>
              <w:t>未检出</w:t>
            </w:r>
          </w:p>
        </w:tc>
        <w:tc>
          <w:tcPr>
            <w:tcW w:w="597" w:type="pct"/>
            <w:vAlign w:val="center"/>
          </w:tcPr>
          <w:p w14:paraId="52970EF5">
            <w:pPr>
              <w:pStyle w:val="182"/>
              <w:bidi w:val="0"/>
              <w:rPr>
                <w:color w:val="auto"/>
              </w:rPr>
            </w:pPr>
            <w:r>
              <w:rPr>
                <w:rFonts w:hint="eastAsia"/>
                <w:color w:val="auto"/>
              </w:rPr>
              <w:t>未检出</w:t>
            </w:r>
          </w:p>
        </w:tc>
        <w:tc>
          <w:tcPr>
            <w:tcW w:w="598" w:type="pct"/>
            <w:vAlign w:val="center"/>
          </w:tcPr>
          <w:p w14:paraId="403EE1F7">
            <w:pPr>
              <w:pStyle w:val="182"/>
              <w:bidi w:val="0"/>
              <w:rPr>
                <w:color w:val="auto"/>
              </w:rPr>
            </w:pPr>
            <w:r>
              <w:rPr>
                <w:rFonts w:hint="eastAsia"/>
                <w:color w:val="auto"/>
              </w:rPr>
              <w:t>未检出</w:t>
            </w:r>
          </w:p>
        </w:tc>
        <w:tc>
          <w:tcPr>
            <w:tcW w:w="3648" w:type="dxa"/>
            <w:vAlign w:val="center"/>
          </w:tcPr>
          <w:p w14:paraId="2980155E">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1.5</w:t>
            </w:r>
          </w:p>
        </w:tc>
      </w:tr>
      <w:tr w14:paraId="3E1DC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20172179">
            <w:pPr>
              <w:pStyle w:val="182"/>
              <w:bidi w:val="0"/>
              <w:rPr>
                <w:color w:val="auto"/>
              </w:rPr>
            </w:pPr>
            <w:r>
              <w:rPr>
                <w:color w:val="auto"/>
              </w:rPr>
              <w:t>茚并[1,2,3-cd]芘</w:t>
            </w:r>
          </w:p>
        </w:tc>
        <w:tc>
          <w:tcPr>
            <w:tcW w:w="597" w:type="pct"/>
            <w:vAlign w:val="center"/>
          </w:tcPr>
          <w:p w14:paraId="3E5957D8">
            <w:pPr>
              <w:pStyle w:val="182"/>
              <w:bidi w:val="0"/>
              <w:rPr>
                <w:color w:val="auto"/>
              </w:rPr>
            </w:pPr>
            <w:r>
              <w:rPr>
                <w:rFonts w:hint="eastAsia"/>
                <w:color w:val="auto"/>
              </w:rPr>
              <w:t>未检出</w:t>
            </w:r>
          </w:p>
        </w:tc>
        <w:tc>
          <w:tcPr>
            <w:tcW w:w="597" w:type="pct"/>
            <w:vAlign w:val="center"/>
          </w:tcPr>
          <w:p w14:paraId="327716A9">
            <w:pPr>
              <w:pStyle w:val="182"/>
              <w:bidi w:val="0"/>
              <w:rPr>
                <w:color w:val="auto"/>
              </w:rPr>
            </w:pPr>
            <w:r>
              <w:rPr>
                <w:rFonts w:hint="eastAsia"/>
                <w:color w:val="auto"/>
              </w:rPr>
              <w:t>未检出</w:t>
            </w:r>
          </w:p>
        </w:tc>
        <w:tc>
          <w:tcPr>
            <w:tcW w:w="598" w:type="pct"/>
            <w:vAlign w:val="center"/>
          </w:tcPr>
          <w:p w14:paraId="1670579A">
            <w:pPr>
              <w:pStyle w:val="182"/>
              <w:bidi w:val="0"/>
              <w:rPr>
                <w:color w:val="auto"/>
              </w:rPr>
            </w:pPr>
            <w:r>
              <w:rPr>
                <w:rFonts w:hint="eastAsia"/>
                <w:color w:val="auto"/>
              </w:rPr>
              <w:t>未检出</w:t>
            </w:r>
          </w:p>
        </w:tc>
        <w:tc>
          <w:tcPr>
            <w:tcW w:w="3648" w:type="dxa"/>
            <w:vAlign w:val="center"/>
          </w:tcPr>
          <w:p w14:paraId="435EB8A7">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15</w:t>
            </w:r>
          </w:p>
        </w:tc>
      </w:tr>
      <w:tr w14:paraId="381C0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0BF924DA">
            <w:pPr>
              <w:pStyle w:val="182"/>
              <w:bidi w:val="0"/>
              <w:rPr>
                <w:color w:val="auto"/>
              </w:rPr>
            </w:pPr>
            <w:r>
              <w:rPr>
                <w:color w:val="auto"/>
              </w:rPr>
              <w:t>萘</w:t>
            </w:r>
          </w:p>
        </w:tc>
        <w:tc>
          <w:tcPr>
            <w:tcW w:w="597" w:type="pct"/>
            <w:vAlign w:val="center"/>
          </w:tcPr>
          <w:p w14:paraId="462823C2">
            <w:pPr>
              <w:pStyle w:val="182"/>
              <w:bidi w:val="0"/>
              <w:rPr>
                <w:color w:val="auto"/>
              </w:rPr>
            </w:pPr>
            <w:r>
              <w:rPr>
                <w:rFonts w:hint="eastAsia"/>
                <w:color w:val="auto"/>
              </w:rPr>
              <w:t>未检出</w:t>
            </w:r>
          </w:p>
        </w:tc>
        <w:tc>
          <w:tcPr>
            <w:tcW w:w="597" w:type="pct"/>
            <w:vAlign w:val="center"/>
          </w:tcPr>
          <w:p w14:paraId="512DF0E3">
            <w:pPr>
              <w:pStyle w:val="182"/>
              <w:bidi w:val="0"/>
              <w:rPr>
                <w:color w:val="auto"/>
              </w:rPr>
            </w:pPr>
            <w:r>
              <w:rPr>
                <w:rFonts w:hint="eastAsia"/>
                <w:color w:val="auto"/>
              </w:rPr>
              <w:t>未检出</w:t>
            </w:r>
          </w:p>
        </w:tc>
        <w:tc>
          <w:tcPr>
            <w:tcW w:w="598" w:type="pct"/>
            <w:vAlign w:val="center"/>
          </w:tcPr>
          <w:p w14:paraId="63CE831E">
            <w:pPr>
              <w:pStyle w:val="182"/>
              <w:bidi w:val="0"/>
              <w:rPr>
                <w:color w:val="auto"/>
              </w:rPr>
            </w:pPr>
            <w:r>
              <w:rPr>
                <w:rFonts w:hint="eastAsia"/>
                <w:color w:val="auto"/>
              </w:rPr>
              <w:t>未检出</w:t>
            </w:r>
          </w:p>
        </w:tc>
        <w:tc>
          <w:tcPr>
            <w:tcW w:w="3648" w:type="dxa"/>
            <w:vAlign w:val="center"/>
          </w:tcPr>
          <w:p w14:paraId="1AED4657">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70</w:t>
            </w:r>
          </w:p>
        </w:tc>
      </w:tr>
      <w:tr w14:paraId="1D4DA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5" w:type="pct"/>
            <w:vAlign w:val="center"/>
          </w:tcPr>
          <w:p w14:paraId="3C474E47">
            <w:pPr>
              <w:pStyle w:val="182"/>
              <w:bidi w:val="0"/>
              <w:rPr>
                <w:rFonts w:hint="eastAsia" w:eastAsia="宋体"/>
                <w:color w:val="auto"/>
                <w:lang w:val="en-US" w:eastAsia="zh-CN"/>
              </w:rPr>
            </w:pPr>
            <w:r>
              <w:rPr>
                <w:rFonts w:hint="eastAsia"/>
                <w:color w:val="auto"/>
                <w:lang w:val="en-US" w:eastAsia="zh-CN"/>
              </w:rPr>
              <w:t>石油烃</w:t>
            </w:r>
          </w:p>
        </w:tc>
        <w:tc>
          <w:tcPr>
            <w:tcW w:w="1018" w:type="dxa"/>
            <w:vAlign w:val="center"/>
          </w:tcPr>
          <w:p w14:paraId="73EB51EC">
            <w:pPr>
              <w:pStyle w:val="182"/>
              <w:bidi w:val="0"/>
              <w:ind w:firstLine="0" w:firstLineChars="0"/>
              <w:rPr>
                <w:rFonts w:hint="eastAsia"/>
                <w:color w:val="auto"/>
              </w:rPr>
            </w:pPr>
            <w:r>
              <w:rPr>
                <w:rFonts w:hint="eastAsia"/>
                <w:color w:val="auto"/>
              </w:rPr>
              <w:t>未检出</w:t>
            </w:r>
          </w:p>
        </w:tc>
        <w:tc>
          <w:tcPr>
            <w:tcW w:w="1018" w:type="dxa"/>
            <w:vAlign w:val="center"/>
          </w:tcPr>
          <w:p w14:paraId="48C4644D">
            <w:pPr>
              <w:pStyle w:val="182"/>
              <w:bidi w:val="0"/>
              <w:ind w:firstLine="0" w:firstLineChars="0"/>
              <w:rPr>
                <w:rFonts w:hint="eastAsia"/>
                <w:color w:val="auto"/>
              </w:rPr>
            </w:pPr>
            <w:r>
              <w:rPr>
                <w:rFonts w:hint="eastAsia"/>
                <w:color w:val="auto"/>
              </w:rPr>
              <w:t>未检出</w:t>
            </w:r>
          </w:p>
        </w:tc>
        <w:tc>
          <w:tcPr>
            <w:tcW w:w="1019" w:type="dxa"/>
            <w:vAlign w:val="center"/>
          </w:tcPr>
          <w:p w14:paraId="36E97D17">
            <w:pPr>
              <w:pStyle w:val="182"/>
              <w:bidi w:val="0"/>
              <w:ind w:firstLine="0" w:firstLineChars="0"/>
              <w:rPr>
                <w:rFonts w:hint="eastAsia"/>
                <w:color w:val="auto"/>
              </w:rPr>
            </w:pPr>
            <w:r>
              <w:rPr>
                <w:rFonts w:hint="eastAsia"/>
                <w:color w:val="auto"/>
              </w:rPr>
              <w:t>未检出</w:t>
            </w:r>
          </w:p>
        </w:tc>
        <w:tc>
          <w:tcPr>
            <w:tcW w:w="3648" w:type="dxa"/>
            <w:vAlign w:val="center"/>
          </w:tcPr>
          <w:p w14:paraId="0ED1186F">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4500</w:t>
            </w:r>
          </w:p>
        </w:tc>
      </w:tr>
    </w:tbl>
    <w:p w14:paraId="699A5AAA">
      <w:pPr>
        <w:bidi w:val="0"/>
        <w:rPr>
          <w:color w:val="auto"/>
        </w:rPr>
      </w:pPr>
      <w:r>
        <w:rPr>
          <w:rFonts w:hint="eastAsia"/>
          <w:color w:val="auto"/>
        </w:rPr>
        <w:t>由上表可知，厂区内监测点位各个监测因子均能够满足《</w:t>
      </w:r>
      <w:r>
        <w:rPr>
          <w:rFonts w:hint="eastAsia"/>
          <w:color w:val="auto"/>
          <w:lang w:eastAsia="zh-CN"/>
        </w:rPr>
        <w:t>土壤环境质量 建设用地土壤污染风险管控标准（试行）</w:t>
      </w:r>
      <w:r>
        <w:rPr>
          <w:rFonts w:hint="eastAsia"/>
          <w:color w:val="auto"/>
        </w:rPr>
        <w:t>》（GB36600-2018），说明项目厂区土壤环境质量良好。</w:t>
      </w:r>
    </w:p>
    <w:p w14:paraId="3998FF0E">
      <w:pPr>
        <w:pStyle w:val="92"/>
        <w:spacing w:beforeLines="0" w:afterLines="0" w:line="360" w:lineRule="auto"/>
        <w:ind w:firstLine="482" w:firstLineChars="200"/>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p>
    <w:bookmarkEnd w:id="238"/>
    <w:bookmarkEnd w:id="239"/>
    <w:bookmarkEnd w:id="240"/>
    <w:p w14:paraId="52F8AB45">
      <w:pPr>
        <w:pStyle w:val="2"/>
        <w:bidi w:val="0"/>
      </w:pPr>
      <w:bookmarkStart w:id="241" w:name="_Toc2290"/>
      <w:bookmarkStart w:id="242" w:name="_Toc28810"/>
      <w:bookmarkStart w:id="243" w:name="_Toc66346622"/>
      <w:bookmarkStart w:id="244" w:name="_Toc15865"/>
      <w:bookmarkStart w:id="245" w:name="_Toc33416068"/>
      <w:bookmarkStart w:id="246" w:name="_Toc324839611"/>
      <w:bookmarkStart w:id="247" w:name="_Toc311812647"/>
      <w:bookmarkStart w:id="248" w:name="_Toc324839314"/>
      <w:bookmarkStart w:id="249" w:name="_Toc67041056"/>
      <w:r>
        <w:t>环境影响预测与评价</w:t>
      </w:r>
      <w:bookmarkEnd w:id="241"/>
      <w:bookmarkEnd w:id="242"/>
      <w:bookmarkEnd w:id="243"/>
      <w:bookmarkEnd w:id="244"/>
      <w:bookmarkEnd w:id="245"/>
      <w:bookmarkEnd w:id="246"/>
      <w:bookmarkEnd w:id="247"/>
      <w:bookmarkEnd w:id="248"/>
      <w:bookmarkEnd w:id="249"/>
    </w:p>
    <w:p w14:paraId="301A1E51">
      <w:pPr>
        <w:pStyle w:val="3"/>
        <w:bidi w:val="0"/>
        <w:rPr>
          <w:color w:val="auto"/>
          <w:lang w:eastAsia="zh-CN"/>
        </w:rPr>
      </w:pPr>
      <w:bookmarkStart w:id="250" w:name="_Toc20087"/>
      <w:bookmarkStart w:id="251" w:name="_Toc106552527"/>
      <w:r>
        <w:rPr>
          <w:rFonts w:hint="eastAsia"/>
          <w:color w:val="auto"/>
          <w:lang w:val="en-US" w:eastAsia="zh-CN"/>
        </w:rPr>
        <w:t>大气</w:t>
      </w:r>
      <w:r>
        <w:rPr>
          <w:color w:val="auto"/>
          <w:lang w:eastAsia="zh-CN"/>
        </w:rPr>
        <w:t>环境影响预测</w:t>
      </w:r>
      <w:bookmarkEnd w:id="250"/>
      <w:bookmarkEnd w:id="251"/>
    </w:p>
    <w:p w14:paraId="55026555">
      <w:pPr>
        <w:pStyle w:val="5"/>
        <w:bidi w:val="0"/>
        <w:rPr>
          <w:color w:val="auto"/>
        </w:rPr>
      </w:pPr>
      <w:r>
        <w:rPr>
          <w:rFonts w:hint="eastAsia"/>
          <w:color w:val="auto"/>
          <w:lang w:val="en-US" w:eastAsia="zh-CN"/>
        </w:rPr>
        <w:t>基本</w:t>
      </w:r>
      <w:r>
        <w:rPr>
          <w:color w:val="auto"/>
        </w:rPr>
        <w:t>资料来源</w:t>
      </w:r>
    </w:p>
    <w:p w14:paraId="6DE4D099">
      <w:pPr>
        <w:bidi w:val="0"/>
        <w:rPr>
          <w:color w:val="auto"/>
          <w:lang w:val="en-US"/>
        </w:rPr>
      </w:pPr>
      <w:r>
        <w:rPr>
          <w:rFonts w:hint="eastAsia"/>
          <w:color w:val="auto"/>
          <w:lang w:val="en-US"/>
        </w:rPr>
        <w:t>项目采用的是新乡气象站（53986）资料，气象站位于河南省，地理坐标为 东经 114.01 度，北纬 35.2247 度，海拔高度 75 米。气象站始建于 1951 年，1951 年正式进行气象观测。新乡气象站是距园区最近的国家气象站，拥有长期的气象观测资料，以下资料根据 2002-2021年气象数据统计分析。具体统计结果如下：</w:t>
      </w:r>
    </w:p>
    <w:p w14:paraId="1F86CB20">
      <w:pPr>
        <w:pStyle w:val="181"/>
        <w:bidi w:val="0"/>
        <w:rPr>
          <w:rFonts w:ascii="Times New Roman" w:hAnsi="Times New Roman" w:eastAsia="宋体" w:cs="Arial"/>
          <w:b/>
          <w:bCs w:val="0"/>
          <w:kern w:val="2"/>
          <w:sz w:val="24"/>
          <w:szCs w:val="20"/>
          <w:lang w:val="en-US" w:eastAsia="zh-CN" w:bidi="ar-SA"/>
        </w:rPr>
      </w:pPr>
      <w:r>
        <w:rPr>
          <w:rFonts w:ascii="Times New Roman" w:hAnsi="Times New Roman" w:eastAsia="宋体" w:cs="Arial"/>
          <w:b/>
          <w:bCs w:val="0"/>
          <w:kern w:val="2"/>
          <w:sz w:val="24"/>
          <w:szCs w:val="20"/>
          <w:lang w:val="en-US" w:eastAsia="zh-CN" w:bidi="ar-SA"/>
        </w:rPr>
        <w:t xml:space="preserve">表 </w:t>
      </w:r>
      <w:r>
        <w:rPr>
          <w:rFonts w:ascii="Times New Roman" w:hAnsi="Times New Roman" w:eastAsia="宋体" w:cs="Arial"/>
          <w:b/>
          <w:bCs w:val="0"/>
          <w:kern w:val="2"/>
          <w:sz w:val="24"/>
          <w:szCs w:val="20"/>
          <w:lang w:val="en-US" w:eastAsia="zh-CN" w:bidi="ar-SA"/>
        </w:rPr>
        <w:fldChar w:fldCharType="begin"/>
      </w:r>
      <w:r>
        <w:rPr>
          <w:rFonts w:ascii="Times New Roman" w:hAnsi="Times New Roman" w:eastAsia="宋体" w:cs="Arial"/>
          <w:b/>
          <w:bCs w:val="0"/>
          <w:kern w:val="2"/>
          <w:sz w:val="24"/>
          <w:szCs w:val="20"/>
          <w:lang w:val="en-US" w:eastAsia="zh-CN" w:bidi="ar-SA"/>
        </w:rPr>
        <w:instrText xml:space="preserve"> STYLEREF 2 \s </w:instrText>
      </w:r>
      <w:r>
        <w:rPr>
          <w:rFonts w:ascii="Times New Roman" w:hAnsi="Times New Roman" w:eastAsia="宋体" w:cs="Arial"/>
          <w:b/>
          <w:bCs w:val="0"/>
          <w:kern w:val="2"/>
          <w:sz w:val="24"/>
          <w:szCs w:val="20"/>
          <w:lang w:val="en-US" w:eastAsia="zh-CN" w:bidi="ar-SA"/>
        </w:rPr>
        <w:fldChar w:fldCharType="separate"/>
      </w:r>
      <w:r>
        <w:rPr>
          <w:rFonts w:ascii="Times New Roman" w:hAnsi="Times New Roman" w:eastAsia="宋体" w:cs="Arial"/>
          <w:b/>
          <w:bCs w:val="0"/>
          <w:kern w:val="2"/>
          <w:sz w:val="24"/>
          <w:szCs w:val="20"/>
          <w:lang w:val="en-US" w:eastAsia="zh-CN" w:bidi="ar-SA"/>
        </w:rPr>
        <w:t>6.1</w:t>
      </w:r>
      <w:r>
        <w:rPr>
          <w:rFonts w:ascii="Times New Roman" w:hAnsi="Times New Roman" w:eastAsia="宋体" w:cs="Arial"/>
          <w:b/>
          <w:bCs w:val="0"/>
          <w:kern w:val="2"/>
          <w:sz w:val="24"/>
          <w:szCs w:val="20"/>
          <w:lang w:val="en-US" w:eastAsia="zh-CN" w:bidi="ar-SA"/>
        </w:rPr>
        <w:fldChar w:fldCharType="end"/>
      </w:r>
      <w:r>
        <w:rPr>
          <w:rFonts w:hint="eastAsia" w:ascii="Times New Roman" w:hAnsi="Times New Roman" w:eastAsia="宋体" w:cs="Arial"/>
          <w:b/>
          <w:bCs w:val="0"/>
          <w:kern w:val="2"/>
          <w:sz w:val="24"/>
          <w:szCs w:val="20"/>
          <w:lang w:val="en-US" w:eastAsia="zh-CN" w:bidi="ar-SA"/>
        </w:rPr>
        <w:t>-</w:t>
      </w:r>
      <w:r>
        <w:rPr>
          <w:rFonts w:ascii="Times New Roman" w:hAnsi="Times New Roman" w:eastAsia="宋体" w:cs="Arial"/>
          <w:b/>
          <w:bCs w:val="0"/>
          <w:kern w:val="2"/>
          <w:sz w:val="24"/>
          <w:szCs w:val="20"/>
          <w:lang w:val="en-US" w:eastAsia="zh-CN" w:bidi="ar-SA"/>
        </w:rPr>
        <w:fldChar w:fldCharType="begin"/>
      </w:r>
      <w:r>
        <w:rPr>
          <w:rFonts w:ascii="Times New Roman" w:hAnsi="Times New Roman" w:eastAsia="宋体" w:cs="Arial"/>
          <w:b/>
          <w:bCs w:val="0"/>
          <w:kern w:val="2"/>
          <w:sz w:val="24"/>
          <w:szCs w:val="20"/>
          <w:lang w:val="en-US" w:eastAsia="zh-CN" w:bidi="ar-SA"/>
        </w:rPr>
        <w:instrText xml:space="preserve"> SEQ 表 \* ARABIC \s 2 </w:instrText>
      </w:r>
      <w:r>
        <w:rPr>
          <w:rFonts w:ascii="Times New Roman" w:hAnsi="Times New Roman" w:eastAsia="宋体" w:cs="Arial"/>
          <w:b/>
          <w:bCs w:val="0"/>
          <w:kern w:val="2"/>
          <w:sz w:val="24"/>
          <w:szCs w:val="20"/>
          <w:lang w:val="en-US" w:eastAsia="zh-CN" w:bidi="ar-SA"/>
        </w:rPr>
        <w:fldChar w:fldCharType="separate"/>
      </w:r>
      <w:r>
        <w:rPr>
          <w:rFonts w:ascii="Times New Roman" w:hAnsi="Times New Roman" w:eastAsia="宋体" w:cs="Arial"/>
          <w:b/>
          <w:bCs w:val="0"/>
          <w:kern w:val="2"/>
          <w:sz w:val="24"/>
          <w:szCs w:val="20"/>
          <w:lang w:val="en-US" w:eastAsia="zh-CN" w:bidi="ar-SA"/>
        </w:rPr>
        <w:t>1</w:t>
      </w:r>
      <w:r>
        <w:rPr>
          <w:rFonts w:ascii="Times New Roman" w:hAnsi="Times New Roman" w:eastAsia="宋体" w:cs="Arial"/>
          <w:b/>
          <w:bCs w:val="0"/>
          <w:kern w:val="2"/>
          <w:sz w:val="24"/>
          <w:szCs w:val="20"/>
          <w:lang w:val="en-US" w:eastAsia="zh-CN" w:bidi="ar-SA"/>
        </w:rPr>
        <w:fldChar w:fldCharType="end"/>
      </w:r>
      <w:r>
        <w:rPr>
          <w:rFonts w:ascii="Times New Roman" w:hAnsi="Times New Roman" w:eastAsia="宋体" w:cs="Arial"/>
          <w:b/>
          <w:bCs w:val="0"/>
          <w:kern w:val="2"/>
          <w:sz w:val="24"/>
          <w:szCs w:val="20"/>
          <w:lang w:val="en-US" w:eastAsia="zh-CN" w:bidi="ar-SA"/>
        </w:rPr>
        <w:t xml:space="preserve"> 新乡气象站常规气象项目统计（</w:t>
      </w:r>
      <w:r>
        <w:rPr>
          <w:rFonts w:hint="eastAsia" w:ascii="Times New Roman" w:hAnsi="Times New Roman" w:eastAsia="宋体" w:cs="Arial"/>
          <w:b/>
          <w:bCs w:val="0"/>
          <w:kern w:val="2"/>
          <w:sz w:val="24"/>
          <w:szCs w:val="20"/>
          <w:lang w:val="en-US" w:eastAsia="zh-CN" w:bidi="ar-SA"/>
        </w:rPr>
        <w:t>2002</w:t>
      </w:r>
      <w:r>
        <w:rPr>
          <w:rFonts w:ascii="Times New Roman" w:hAnsi="Times New Roman" w:eastAsia="宋体" w:cs="Arial"/>
          <w:b/>
          <w:bCs w:val="0"/>
          <w:kern w:val="2"/>
          <w:sz w:val="24"/>
          <w:szCs w:val="20"/>
          <w:lang w:val="en-US" w:eastAsia="zh-CN" w:bidi="ar-SA"/>
        </w:rPr>
        <w:t>-20</w:t>
      </w:r>
      <w:r>
        <w:rPr>
          <w:rFonts w:hint="eastAsia" w:ascii="Times New Roman" w:hAnsi="Times New Roman" w:eastAsia="宋体" w:cs="Arial"/>
          <w:b/>
          <w:bCs w:val="0"/>
          <w:kern w:val="2"/>
          <w:sz w:val="24"/>
          <w:szCs w:val="20"/>
          <w:lang w:val="en-US" w:eastAsia="zh-CN" w:bidi="ar-SA"/>
        </w:rPr>
        <w:t>21</w:t>
      </w:r>
      <w:r>
        <w:rPr>
          <w:rFonts w:ascii="Times New Roman" w:hAnsi="Times New Roman" w:eastAsia="宋体" w:cs="Arial"/>
          <w:b/>
          <w:bCs w:val="0"/>
          <w:kern w:val="2"/>
          <w:sz w:val="24"/>
          <w:szCs w:val="20"/>
          <w:lang w:val="en-US" w:eastAsia="zh-CN" w:bidi="ar-SA"/>
        </w:rPr>
        <w:t>）</w:t>
      </w:r>
    </w:p>
    <w:tbl>
      <w:tblPr>
        <w:tblStyle w:val="31"/>
        <w:tblW w:w="5000" w:type="pct"/>
        <w:tblInd w:w="0" w:type="dxa"/>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Layout w:type="autofit"/>
        <w:tblCellMar>
          <w:top w:w="0" w:type="dxa"/>
          <w:left w:w="0" w:type="dxa"/>
          <w:bottom w:w="0" w:type="dxa"/>
          <w:right w:w="0" w:type="dxa"/>
        </w:tblCellMar>
      </w:tblPr>
      <w:tblGrid>
        <w:gridCol w:w="1002"/>
        <w:gridCol w:w="2881"/>
        <w:gridCol w:w="1378"/>
        <w:gridCol w:w="1713"/>
        <w:gridCol w:w="1356"/>
      </w:tblGrid>
      <w:tr w14:paraId="0BDCB9F7">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8" w:space="0"/>
              <w:left w:val="single" w:color="000001" w:sz="8" w:space="0"/>
              <w:bottom w:val="single" w:color="000001" w:sz="6" w:space="0"/>
              <w:right w:val="single" w:color="000001" w:sz="6" w:space="0"/>
            </w:tcBorders>
            <w:vAlign w:val="center"/>
          </w:tcPr>
          <w:p w14:paraId="4ACB95E2">
            <w:pPr>
              <w:pStyle w:val="182"/>
              <w:bidi w:val="0"/>
              <w:rPr>
                <w:b/>
                <w:bCs/>
                <w:color w:val="auto"/>
              </w:rPr>
            </w:pPr>
            <w:r>
              <w:rPr>
                <w:rFonts w:hint="eastAsia"/>
                <w:b/>
                <w:bCs/>
                <w:color w:val="auto"/>
              </w:rPr>
              <w:t>统计项目</w:t>
            </w:r>
          </w:p>
        </w:tc>
        <w:tc>
          <w:tcPr>
            <w:tcW w:w="827" w:type="pct"/>
            <w:tcBorders>
              <w:top w:val="single" w:color="000001" w:sz="8" w:space="0"/>
              <w:left w:val="single" w:color="000001" w:sz="6" w:space="0"/>
              <w:bottom w:val="single" w:color="000001" w:sz="6" w:space="0"/>
              <w:right w:val="single" w:color="000001" w:sz="6" w:space="0"/>
            </w:tcBorders>
            <w:vAlign w:val="center"/>
          </w:tcPr>
          <w:p w14:paraId="56781103">
            <w:pPr>
              <w:pStyle w:val="182"/>
              <w:bidi w:val="0"/>
              <w:rPr>
                <w:b/>
                <w:bCs/>
                <w:color w:val="auto"/>
              </w:rPr>
            </w:pPr>
            <w:r>
              <w:rPr>
                <w:rFonts w:hint="eastAsia"/>
                <w:b/>
                <w:bCs/>
                <w:color w:val="auto"/>
              </w:rPr>
              <w:t>统计值</w:t>
            </w:r>
          </w:p>
        </w:tc>
        <w:tc>
          <w:tcPr>
            <w:tcW w:w="1028" w:type="pct"/>
            <w:tcBorders>
              <w:top w:val="single" w:color="000001" w:sz="8" w:space="0"/>
              <w:left w:val="single" w:color="000001" w:sz="6" w:space="0"/>
              <w:bottom w:val="single" w:color="000001" w:sz="6" w:space="0"/>
              <w:right w:val="single" w:color="000001" w:sz="6" w:space="0"/>
            </w:tcBorders>
            <w:vAlign w:val="center"/>
          </w:tcPr>
          <w:p w14:paraId="7A0BB1BB">
            <w:pPr>
              <w:pStyle w:val="182"/>
              <w:bidi w:val="0"/>
              <w:rPr>
                <w:b/>
                <w:bCs/>
                <w:color w:val="auto"/>
              </w:rPr>
            </w:pPr>
            <w:r>
              <w:rPr>
                <w:rFonts w:hint="eastAsia"/>
                <w:b/>
                <w:bCs/>
                <w:color w:val="auto"/>
              </w:rPr>
              <w:t>极值出现时间</w:t>
            </w:r>
          </w:p>
        </w:tc>
        <w:tc>
          <w:tcPr>
            <w:tcW w:w="814" w:type="pct"/>
            <w:tcBorders>
              <w:top w:val="single" w:color="000001" w:sz="8" w:space="0"/>
              <w:left w:val="single" w:color="000001" w:sz="6" w:space="0"/>
              <w:bottom w:val="single" w:color="000001" w:sz="6" w:space="0"/>
              <w:right w:val="single" w:color="000001" w:sz="8" w:space="0"/>
            </w:tcBorders>
            <w:vAlign w:val="center"/>
          </w:tcPr>
          <w:p w14:paraId="1E7702F6">
            <w:pPr>
              <w:pStyle w:val="182"/>
              <w:bidi w:val="0"/>
              <w:rPr>
                <w:b/>
                <w:bCs/>
                <w:color w:val="auto"/>
              </w:rPr>
            </w:pPr>
            <w:r>
              <w:rPr>
                <w:rFonts w:hint="eastAsia"/>
                <w:b/>
                <w:bCs/>
                <w:color w:val="auto"/>
              </w:rPr>
              <w:t>极值</w:t>
            </w:r>
          </w:p>
        </w:tc>
      </w:tr>
      <w:tr w14:paraId="158FC9B7">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14:paraId="16EB6A0D">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olor w:val="auto"/>
              </w:rPr>
              <w:t>多年平均气温（℃）</w:t>
            </w:r>
          </w:p>
        </w:tc>
        <w:tc>
          <w:tcPr>
            <w:tcW w:w="1378" w:type="dxa"/>
            <w:tcBorders>
              <w:top w:val="single" w:color="000001" w:sz="6" w:space="0"/>
              <w:left w:val="single" w:color="000001" w:sz="6" w:space="0"/>
              <w:bottom w:val="single" w:color="000001" w:sz="6" w:space="0"/>
              <w:right w:val="single" w:color="000001" w:sz="6" w:space="0"/>
            </w:tcBorders>
            <w:vAlign w:val="top"/>
          </w:tcPr>
          <w:p w14:paraId="0CEC7D50">
            <w:pPr>
              <w:keepNext w:val="0"/>
              <w:keepLines w:val="0"/>
              <w:pageBreakBefore w:val="0"/>
              <w:widowControl w:val="0"/>
              <w:kinsoku/>
              <w:wordWrap/>
              <w:overflowPunct/>
              <w:topLinePunct w:val="0"/>
              <w:autoSpaceDE/>
              <w:autoSpaceDN/>
              <w:bidi w:val="0"/>
              <w:adjustRightInd w:val="0"/>
              <w:snapToGrid w:val="0"/>
              <w:spacing w:before="129" w:line="187" w:lineRule="auto"/>
              <w:ind w:left="521" w:leftChars="0" w:firstLine="0" w:firstLineChars="0"/>
              <w:textAlignment w:val="auto"/>
              <w:rPr>
                <w:color w:val="auto"/>
              </w:rPr>
            </w:pPr>
            <w:r>
              <w:rPr>
                <w:rFonts w:ascii="Times New Roman" w:hAnsi="Times New Roman" w:eastAsia="Times New Roman" w:cs="Times New Roman"/>
                <w:spacing w:val="-5"/>
                <w:sz w:val="21"/>
                <w:szCs w:val="21"/>
              </w:rPr>
              <w:t>15.4</w:t>
            </w:r>
          </w:p>
        </w:tc>
        <w:tc>
          <w:tcPr>
            <w:tcW w:w="1713" w:type="dxa"/>
            <w:tcBorders>
              <w:top w:val="single" w:color="000001" w:sz="6" w:space="0"/>
              <w:left w:val="single" w:color="000001" w:sz="6" w:space="0"/>
              <w:bottom w:val="single" w:color="000001" w:sz="6" w:space="0"/>
              <w:right w:val="single" w:color="000001" w:sz="6" w:space="0"/>
            </w:tcBorders>
            <w:vAlign w:val="top"/>
          </w:tcPr>
          <w:p w14:paraId="5A0E7683">
            <w:pPr>
              <w:keepNext w:val="0"/>
              <w:keepLines w:val="0"/>
              <w:pageBreakBefore w:val="0"/>
              <w:widowControl w:val="0"/>
              <w:kinsoku/>
              <w:wordWrap/>
              <w:overflowPunct/>
              <w:topLinePunct w:val="0"/>
              <w:autoSpaceDE/>
              <w:autoSpaceDN/>
              <w:bidi w:val="0"/>
              <w:adjustRightInd w:val="0"/>
              <w:snapToGrid w:val="0"/>
              <w:spacing w:before="126" w:line="233" w:lineRule="auto"/>
              <w:ind w:left="818" w:leftChars="0" w:firstLine="0" w:firstLineChars="0"/>
              <w:textAlignment w:val="auto"/>
              <w:rPr>
                <w:color w:val="auto"/>
              </w:rPr>
            </w:pPr>
            <w:r>
              <w:rPr>
                <w:rFonts w:ascii="Times New Roman" w:hAnsi="Times New Roman" w:eastAsia="Times New Roman" w:cs="Times New Roman"/>
                <w:sz w:val="21"/>
                <w:szCs w:val="21"/>
              </w:rPr>
              <w:t>/</w:t>
            </w:r>
          </w:p>
        </w:tc>
        <w:tc>
          <w:tcPr>
            <w:tcW w:w="1356" w:type="dxa"/>
            <w:tcBorders>
              <w:top w:val="single" w:color="000001" w:sz="6" w:space="0"/>
              <w:left w:val="single" w:color="000001" w:sz="6" w:space="0"/>
              <w:bottom w:val="single" w:color="000001" w:sz="6" w:space="0"/>
              <w:right w:val="single" w:color="000001" w:sz="8" w:space="0"/>
            </w:tcBorders>
            <w:vAlign w:val="top"/>
          </w:tcPr>
          <w:p w14:paraId="5BEE36D0">
            <w:pPr>
              <w:keepNext w:val="0"/>
              <w:keepLines w:val="0"/>
              <w:pageBreakBefore w:val="0"/>
              <w:widowControl w:val="0"/>
              <w:kinsoku/>
              <w:wordWrap/>
              <w:overflowPunct/>
              <w:topLinePunct w:val="0"/>
              <w:autoSpaceDE/>
              <w:autoSpaceDN/>
              <w:bidi w:val="0"/>
              <w:adjustRightInd w:val="0"/>
              <w:snapToGrid w:val="0"/>
              <w:spacing w:before="126" w:line="233" w:lineRule="auto"/>
              <w:ind w:left="643" w:leftChars="0" w:firstLine="0" w:firstLineChars="0"/>
              <w:textAlignment w:val="auto"/>
              <w:rPr>
                <w:color w:val="auto"/>
              </w:rPr>
            </w:pPr>
            <w:r>
              <w:rPr>
                <w:rFonts w:ascii="Times New Roman" w:hAnsi="Times New Roman" w:eastAsia="Times New Roman" w:cs="Times New Roman"/>
                <w:sz w:val="21"/>
                <w:szCs w:val="21"/>
              </w:rPr>
              <w:t>/</w:t>
            </w:r>
          </w:p>
        </w:tc>
      </w:tr>
      <w:tr w14:paraId="1E845C0D">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14:paraId="2E6E5796">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olor w:val="auto"/>
              </w:rPr>
              <w:t>累年极端最高气温（℃）</w:t>
            </w:r>
          </w:p>
        </w:tc>
        <w:tc>
          <w:tcPr>
            <w:tcW w:w="1378" w:type="dxa"/>
            <w:tcBorders>
              <w:top w:val="single" w:color="000001" w:sz="6" w:space="0"/>
              <w:left w:val="single" w:color="000001" w:sz="6" w:space="0"/>
              <w:bottom w:val="single" w:color="000001" w:sz="6" w:space="0"/>
              <w:right w:val="single" w:color="000001" w:sz="6" w:space="0"/>
            </w:tcBorders>
            <w:vAlign w:val="top"/>
          </w:tcPr>
          <w:p w14:paraId="36F33F25">
            <w:pPr>
              <w:keepNext w:val="0"/>
              <w:keepLines w:val="0"/>
              <w:pageBreakBefore w:val="0"/>
              <w:widowControl w:val="0"/>
              <w:kinsoku/>
              <w:wordWrap/>
              <w:overflowPunct/>
              <w:topLinePunct w:val="0"/>
              <w:autoSpaceDE/>
              <w:autoSpaceDN/>
              <w:bidi w:val="0"/>
              <w:adjustRightInd w:val="0"/>
              <w:snapToGrid w:val="0"/>
              <w:spacing w:before="131" w:line="187" w:lineRule="auto"/>
              <w:ind w:left="505" w:leftChars="0" w:firstLine="0" w:firstLineChars="0"/>
              <w:textAlignment w:val="auto"/>
              <w:rPr>
                <w:color w:val="auto"/>
              </w:rPr>
            </w:pPr>
            <w:r>
              <w:rPr>
                <w:rFonts w:ascii="Times New Roman" w:hAnsi="Times New Roman" w:eastAsia="Times New Roman" w:cs="Times New Roman"/>
                <w:spacing w:val="-2"/>
                <w:sz w:val="21"/>
                <w:szCs w:val="21"/>
              </w:rPr>
              <w:t>38.8</w:t>
            </w:r>
          </w:p>
        </w:tc>
        <w:tc>
          <w:tcPr>
            <w:tcW w:w="1713" w:type="dxa"/>
            <w:tcBorders>
              <w:top w:val="single" w:color="000001" w:sz="6" w:space="0"/>
              <w:left w:val="single" w:color="000001" w:sz="6" w:space="0"/>
              <w:bottom w:val="single" w:color="000001" w:sz="6" w:space="0"/>
              <w:right w:val="single" w:color="000001" w:sz="6" w:space="0"/>
            </w:tcBorders>
            <w:vAlign w:val="top"/>
          </w:tcPr>
          <w:p w14:paraId="1AB86728">
            <w:pPr>
              <w:keepNext w:val="0"/>
              <w:keepLines w:val="0"/>
              <w:pageBreakBefore w:val="0"/>
              <w:widowControl w:val="0"/>
              <w:kinsoku/>
              <w:wordWrap/>
              <w:overflowPunct/>
              <w:topLinePunct w:val="0"/>
              <w:autoSpaceDE/>
              <w:autoSpaceDN/>
              <w:bidi w:val="0"/>
              <w:adjustRightInd w:val="0"/>
              <w:snapToGrid w:val="0"/>
              <w:spacing w:before="131" w:line="187" w:lineRule="auto"/>
              <w:ind w:left="361" w:leftChars="0" w:firstLine="0" w:firstLineChars="0"/>
              <w:textAlignment w:val="auto"/>
              <w:rPr>
                <w:color w:val="auto"/>
              </w:rPr>
            </w:pPr>
            <w:r>
              <w:rPr>
                <w:rFonts w:ascii="Times New Roman" w:hAnsi="Times New Roman" w:eastAsia="Times New Roman" w:cs="Times New Roman"/>
                <w:spacing w:val="-1"/>
                <w:sz w:val="21"/>
                <w:szCs w:val="21"/>
              </w:rPr>
              <w:t>2009-06-25</w:t>
            </w:r>
          </w:p>
        </w:tc>
        <w:tc>
          <w:tcPr>
            <w:tcW w:w="1356" w:type="dxa"/>
            <w:tcBorders>
              <w:top w:val="single" w:color="000001" w:sz="6" w:space="0"/>
              <w:left w:val="single" w:color="000001" w:sz="6" w:space="0"/>
              <w:bottom w:val="single" w:color="000001" w:sz="6" w:space="0"/>
              <w:right w:val="single" w:color="000001" w:sz="8" w:space="0"/>
            </w:tcBorders>
            <w:vAlign w:val="top"/>
          </w:tcPr>
          <w:p w14:paraId="4AE935CD">
            <w:pPr>
              <w:keepNext w:val="0"/>
              <w:keepLines w:val="0"/>
              <w:pageBreakBefore w:val="0"/>
              <w:widowControl w:val="0"/>
              <w:kinsoku/>
              <w:wordWrap/>
              <w:overflowPunct/>
              <w:topLinePunct w:val="0"/>
              <w:autoSpaceDE/>
              <w:autoSpaceDN/>
              <w:bidi w:val="0"/>
              <w:adjustRightInd w:val="0"/>
              <w:snapToGrid w:val="0"/>
              <w:spacing w:before="131" w:line="187" w:lineRule="auto"/>
              <w:ind w:left="492" w:leftChars="0" w:firstLine="0" w:firstLineChars="0"/>
              <w:textAlignment w:val="auto"/>
              <w:rPr>
                <w:color w:val="auto"/>
              </w:rPr>
            </w:pPr>
            <w:r>
              <w:rPr>
                <w:rFonts w:ascii="Times New Roman" w:hAnsi="Times New Roman" w:eastAsia="Times New Roman" w:cs="Times New Roman"/>
                <w:spacing w:val="-1"/>
                <w:sz w:val="21"/>
                <w:szCs w:val="21"/>
              </w:rPr>
              <w:t>40.9</w:t>
            </w:r>
          </w:p>
        </w:tc>
      </w:tr>
      <w:tr w14:paraId="42107739">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14:paraId="27F244D8">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olor w:val="auto"/>
              </w:rPr>
              <w:t>累年极端最低气温（℃）</w:t>
            </w:r>
          </w:p>
        </w:tc>
        <w:tc>
          <w:tcPr>
            <w:tcW w:w="1378" w:type="dxa"/>
            <w:tcBorders>
              <w:top w:val="single" w:color="000001" w:sz="6" w:space="0"/>
              <w:left w:val="single" w:color="000001" w:sz="6" w:space="0"/>
              <w:bottom w:val="single" w:color="000001" w:sz="6" w:space="0"/>
              <w:right w:val="single" w:color="000001" w:sz="6" w:space="0"/>
            </w:tcBorders>
            <w:vAlign w:val="top"/>
          </w:tcPr>
          <w:p w14:paraId="13029324">
            <w:pPr>
              <w:keepNext w:val="0"/>
              <w:keepLines w:val="0"/>
              <w:pageBreakBefore w:val="0"/>
              <w:widowControl w:val="0"/>
              <w:kinsoku/>
              <w:wordWrap/>
              <w:overflowPunct/>
              <w:topLinePunct w:val="0"/>
              <w:autoSpaceDE/>
              <w:autoSpaceDN/>
              <w:bidi w:val="0"/>
              <w:adjustRightInd w:val="0"/>
              <w:snapToGrid w:val="0"/>
              <w:spacing w:before="131" w:line="187" w:lineRule="auto"/>
              <w:ind w:left="522" w:leftChars="0" w:firstLine="0" w:firstLineChars="0"/>
              <w:textAlignment w:val="auto"/>
              <w:rPr>
                <w:color w:val="auto"/>
              </w:rPr>
            </w:pPr>
            <w:r>
              <w:rPr>
                <w:rFonts w:ascii="Times New Roman" w:hAnsi="Times New Roman" w:eastAsia="Times New Roman" w:cs="Times New Roman"/>
                <w:spacing w:val="-2"/>
                <w:sz w:val="21"/>
                <w:szCs w:val="21"/>
              </w:rPr>
              <w:t>-9.4</w:t>
            </w:r>
          </w:p>
        </w:tc>
        <w:tc>
          <w:tcPr>
            <w:tcW w:w="1713" w:type="dxa"/>
            <w:tcBorders>
              <w:top w:val="single" w:color="000001" w:sz="6" w:space="0"/>
              <w:left w:val="single" w:color="000001" w:sz="6" w:space="0"/>
              <w:bottom w:val="single" w:color="000001" w:sz="6" w:space="0"/>
              <w:right w:val="single" w:color="000001" w:sz="6" w:space="0"/>
            </w:tcBorders>
            <w:vAlign w:val="top"/>
          </w:tcPr>
          <w:p w14:paraId="0F6AE17E">
            <w:pPr>
              <w:keepNext w:val="0"/>
              <w:keepLines w:val="0"/>
              <w:pageBreakBefore w:val="0"/>
              <w:widowControl w:val="0"/>
              <w:kinsoku/>
              <w:wordWrap/>
              <w:overflowPunct/>
              <w:topLinePunct w:val="0"/>
              <w:autoSpaceDE/>
              <w:autoSpaceDN/>
              <w:bidi w:val="0"/>
              <w:adjustRightInd w:val="0"/>
              <w:snapToGrid w:val="0"/>
              <w:spacing w:before="131" w:line="187" w:lineRule="auto"/>
              <w:ind w:left="361" w:leftChars="0" w:firstLine="0" w:firstLineChars="0"/>
              <w:textAlignment w:val="auto"/>
              <w:rPr>
                <w:color w:val="auto"/>
              </w:rPr>
            </w:pPr>
            <w:r>
              <w:rPr>
                <w:rFonts w:ascii="Times New Roman" w:hAnsi="Times New Roman" w:eastAsia="Times New Roman" w:cs="Times New Roman"/>
                <w:spacing w:val="-1"/>
                <w:sz w:val="21"/>
                <w:szCs w:val="21"/>
              </w:rPr>
              <w:t>2021-01-07</w:t>
            </w:r>
          </w:p>
        </w:tc>
        <w:tc>
          <w:tcPr>
            <w:tcW w:w="1356" w:type="dxa"/>
            <w:tcBorders>
              <w:top w:val="single" w:color="000001" w:sz="6" w:space="0"/>
              <w:left w:val="single" w:color="000001" w:sz="6" w:space="0"/>
              <w:bottom w:val="single" w:color="000001" w:sz="6" w:space="0"/>
              <w:right w:val="single" w:color="000001" w:sz="8" w:space="0"/>
            </w:tcBorders>
            <w:vAlign w:val="top"/>
          </w:tcPr>
          <w:p w14:paraId="35D92D19">
            <w:pPr>
              <w:keepNext w:val="0"/>
              <w:keepLines w:val="0"/>
              <w:pageBreakBefore w:val="0"/>
              <w:widowControl w:val="0"/>
              <w:kinsoku/>
              <w:wordWrap/>
              <w:overflowPunct/>
              <w:topLinePunct w:val="0"/>
              <w:autoSpaceDE/>
              <w:autoSpaceDN/>
              <w:bidi w:val="0"/>
              <w:adjustRightInd w:val="0"/>
              <w:snapToGrid w:val="0"/>
              <w:spacing w:before="131" w:line="187" w:lineRule="auto"/>
              <w:ind w:left="462" w:leftChars="0" w:firstLine="0" w:firstLineChars="0"/>
              <w:textAlignment w:val="auto"/>
              <w:rPr>
                <w:color w:val="auto"/>
              </w:rPr>
            </w:pPr>
            <w:r>
              <w:rPr>
                <w:rFonts w:ascii="Times New Roman" w:hAnsi="Times New Roman" w:eastAsia="Times New Roman" w:cs="Times New Roman"/>
                <w:spacing w:val="-5"/>
                <w:sz w:val="21"/>
                <w:szCs w:val="21"/>
              </w:rPr>
              <w:t>-</w:t>
            </w:r>
            <w:r>
              <w:rPr>
                <w:rFonts w:ascii="Times New Roman" w:hAnsi="Times New Roman" w:eastAsia="Times New Roman" w:cs="Times New Roman"/>
                <w:spacing w:val="-29"/>
                <w:sz w:val="21"/>
                <w:szCs w:val="21"/>
              </w:rPr>
              <w:t xml:space="preserve"> </w:t>
            </w:r>
            <w:r>
              <w:rPr>
                <w:rFonts w:ascii="Times New Roman" w:hAnsi="Times New Roman" w:eastAsia="Times New Roman" w:cs="Times New Roman"/>
                <w:spacing w:val="-5"/>
                <w:sz w:val="21"/>
                <w:szCs w:val="21"/>
              </w:rPr>
              <w:t>16.2</w:t>
            </w:r>
          </w:p>
        </w:tc>
      </w:tr>
      <w:tr w14:paraId="4C8A069B">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14:paraId="430DC343">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olor w:val="auto"/>
              </w:rPr>
              <w:t>多年平均气压（</w:t>
            </w:r>
            <w:r>
              <w:rPr>
                <w:color w:val="auto"/>
              </w:rPr>
              <w:t>hPa</w:t>
            </w:r>
            <w:r>
              <w:rPr>
                <w:rFonts w:hint="eastAsia"/>
                <w:color w:val="auto"/>
              </w:rPr>
              <w:t>）</w:t>
            </w:r>
          </w:p>
        </w:tc>
        <w:tc>
          <w:tcPr>
            <w:tcW w:w="1378" w:type="dxa"/>
            <w:tcBorders>
              <w:top w:val="single" w:color="000001" w:sz="6" w:space="0"/>
              <w:left w:val="single" w:color="000001" w:sz="6" w:space="0"/>
              <w:bottom w:val="single" w:color="000001" w:sz="6" w:space="0"/>
              <w:right w:val="single" w:color="000001" w:sz="6" w:space="0"/>
            </w:tcBorders>
            <w:vAlign w:val="top"/>
          </w:tcPr>
          <w:p w14:paraId="22F8BEE1">
            <w:pPr>
              <w:keepNext w:val="0"/>
              <w:keepLines w:val="0"/>
              <w:pageBreakBefore w:val="0"/>
              <w:widowControl w:val="0"/>
              <w:kinsoku/>
              <w:wordWrap/>
              <w:overflowPunct/>
              <w:topLinePunct w:val="0"/>
              <w:autoSpaceDE/>
              <w:autoSpaceDN/>
              <w:bidi w:val="0"/>
              <w:adjustRightInd w:val="0"/>
              <w:snapToGrid w:val="0"/>
              <w:spacing w:before="133" w:line="187" w:lineRule="auto"/>
              <w:ind w:left="415" w:leftChars="0" w:firstLine="0" w:firstLineChars="0"/>
              <w:textAlignment w:val="auto"/>
              <w:rPr>
                <w:color w:val="auto"/>
              </w:rPr>
            </w:pPr>
            <w:r>
              <w:rPr>
                <w:rFonts w:ascii="Times New Roman" w:hAnsi="Times New Roman" w:eastAsia="Times New Roman" w:cs="Times New Roman"/>
                <w:spacing w:val="-3"/>
                <w:sz w:val="21"/>
                <w:szCs w:val="21"/>
              </w:rPr>
              <w:t>1008.0</w:t>
            </w:r>
          </w:p>
        </w:tc>
        <w:tc>
          <w:tcPr>
            <w:tcW w:w="1713" w:type="dxa"/>
            <w:tcBorders>
              <w:top w:val="single" w:color="000001" w:sz="6" w:space="0"/>
              <w:left w:val="single" w:color="000001" w:sz="6" w:space="0"/>
              <w:bottom w:val="single" w:color="000001" w:sz="6" w:space="0"/>
              <w:right w:val="single" w:color="000001" w:sz="6" w:space="0"/>
            </w:tcBorders>
            <w:vAlign w:val="top"/>
          </w:tcPr>
          <w:p w14:paraId="36259773">
            <w:pPr>
              <w:keepNext w:val="0"/>
              <w:keepLines w:val="0"/>
              <w:pageBreakBefore w:val="0"/>
              <w:widowControl w:val="0"/>
              <w:kinsoku/>
              <w:wordWrap/>
              <w:overflowPunct/>
              <w:topLinePunct w:val="0"/>
              <w:autoSpaceDE/>
              <w:autoSpaceDN/>
              <w:bidi w:val="0"/>
              <w:adjustRightInd w:val="0"/>
              <w:snapToGrid w:val="0"/>
              <w:spacing w:before="130" w:line="233" w:lineRule="auto"/>
              <w:ind w:left="818" w:leftChars="0" w:firstLine="0" w:firstLineChars="0"/>
              <w:textAlignment w:val="auto"/>
              <w:rPr>
                <w:color w:val="auto"/>
              </w:rPr>
            </w:pPr>
            <w:r>
              <w:rPr>
                <w:rFonts w:ascii="Times New Roman" w:hAnsi="Times New Roman" w:eastAsia="Times New Roman" w:cs="Times New Roman"/>
                <w:sz w:val="21"/>
                <w:szCs w:val="21"/>
              </w:rPr>
              <w:t>/</w:t>
            </w:r>
          </w:p>
        </w:tc>
        <w:tc>
          <w:tcPr>
            <w:tcW w:w="1356" w:type="dxa"/>
            <w:tcBorders>
              <w:top w:val="single" w:color="000001" w:sz="6" w:space="0"/>
              <w:left w:val="single" w:color="000001" w:sz="6" w:space="0"/>
              <w:bottom w:val="single" w:color="000001" w:sz="6" w:space="0"/>
              <w:right w:val="single" w:color="000001" w:sz="8" w:space="0"/>
            </w:tcBorders>
            <w:vAlign w:val="top"/>
          </w:tcPr>
          <w:p w14:paraId="684A7DFF">
            <w:pPr>
              <w:keepNext w:val="0"/>
              <w:keepLines w:val="0"/>
              <w:pageBreakBefore w:val="0"/>
              <w:widowControl w:val="0"/>
              <w:kinsoku/>
              <w:wordWrap/>
              <w:overflowPunct/>
              <w:topLinePunct w:val="0"/>
              <w:autoSpaceDE/>
              <w:autoSpaceDN/>
              <w:bidi w:val="0"/>
              <w:adjustRightInd w:val="0"/>
              <w:snapToGrid w:val="0"/>
              <w:spacing w:before="130" w:line="233" w:lineRule="auto"/>
              <w:ind w:left="643" w:leftChars="0" w:firstLine="0" w:firstLineChars="0"/>
              <w:textAlignment w:val="auto"/>
              <w:rPr>
                <w:color w:val="auto"/>
              </w:rPr>
            </w:pPr>
            <w:r>
              <w:rPr>
                <w:rFonts w:ascii="Times New Roman" w:hAnsi="Times New Roman" w:eastAsia="Times New Roman" w:cs="Times New Roman"/>
                <w:sz w:val="21"/>
                <w:szCs w:val="21"/>
              </w:rPr>
              <w:t>/</w:t>
            </w:r>
          </w:p>
        </w:tc>
      </w:tr>
      <w:tr w14:paraId="68764F61">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14:paraId="6A65BC19">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olor w:val="auto"/>
              </w:rPr>
              <w:t>多年平均水汽压（</w:t>
            </w:r>
            <w:r>
              <w:rPr>
                <w:color w:val="auto"/>
              </w:rPr>
              <w:t>hPa</w:t>
            </w:r>
            <w:r>
              <w:rPr>
                <w:rFonts w:hint="eastAsia"/>
                <w:color w:val="auto"/>
              </w:rPr>
              <w:t>）</w:t>
            </w:r>
          </w:p>
        </w:tc>
        <w:tc>
          <w:tcPr>
            <w:tcW w:w="1378" w:type="dxa"/>
            <w:tcBorders>
              <w:top w:val="single" w:color="000001" w:sz="6" w:space="0"/>
              <w:left w:val="single" w:color="000001" w:sz="6" w:space="0"/>
              <w:bottom w:val="single" w:color="000001" w:sz="6" w:space="0"/>
              <w:right w:val="single" w:color="000001" w:sz="6" w:space="0"/>
            </w:tcBorders>
            <w:vAlign w:val="top"/>
          </w:tcPr>
          <w:p w14:paraId="328A1721">
            <w:pPr>
              <w:keepNext w:val="0"/>
              <w:keepLines w:val="0"/>
              <w:pageBreakBefore w:val="0"/>
              <w:widowControl w:val="0"/>
              <w:kinsoku/>
              <w:wordWrap/>
              <w:overflowPunct/>
              <w:topLinePunct w:val="0"/>
              <w:autoSpaceDE/>
              <w:autoSpaceDN/>
              <w:bidi w:val="0"/>
              <w:adjustRightInd w:val="0"/>
              <w:snapToGrid w:val="0"/>
              <w:spacing w:before="135" w:line="187" w:lineRule="auto"/>
              <w:ind w:left="521" w:leftChars="0" w:firstLine="0" w:firstLineChars="0"/>
              <w:textAlignment w:val="auto"/>
              <w:rPr>
                <w:color w:val="auto"/>
              </w:rPr>
            </w:pPr>
            <w:r>
              <w:rPr>
                <w:rFonts w:ascii="Times New Roman" w:hAnsi="Times New Roman" w:eastAsia="Times New Roman" w:cs="Times New Roman"/>
                <w:spacing w:val="-5"/>
                <w:sz w:val="21"/>
                <w:szCs w:val="21"/>
              </w:rPr>
              <w:t>12.9</w:t>
            </w:r>
          </w:p>
        </w:tc>
        <w:tc>
          <w:tcPr>
            <w:tcW w:w="1713" w:type="dxa"/>
            <w:tcBorders>
              <w:top w:val="single" w:color="000001" w:sz="6" w:space="0"/>
              <w:left w:val="single" w:color="000001" w:sz="6" w:space="0"/>
              <w:bottom w:val="single" w:color="000001" w:sz="6" w:space="0"/>
              <w:right w:val="single" w:color="000001" w:sz="6" w:space="0"/>
            </w:tcBorders>
            <w:vAlign w:val="top"/>
          </w:tcPr>
          <w:p w14:paraId="2FCE29EB">
            <w:pPr>
              <w:keepNext w:val="0"/>
              <w:keepLines w:val="0"/>
              <w:pageBreakBefore w:val="0"/>
              <w:widowControl w:val="0"/>
              <w:kinsoku/>
              <w:wordWrap/>
              <w:overflowPunct/>
              <w:topLinePunct w:val="0"/>
              <w:autoSpaceDE/>
              <w:autoSpaceDN/>
              <w:bidi w:val="0"/>
              <w:adjustRightInd w:val="0"/>
              <w:snapToGrid w:val="0"/>
              <w:spacing w:before="132" w:line="233" w:lineRule="auto"/>
              <w:ind w:left="818" w:leftChars="0" w:firstLine="0" w:firstLineChars="0"/>
              <w:textAlignment w:val="auto"/>
              <w:rPr>
                <w:color w:val="auto"/>
              </w:rPr>
            </w:pPr>
            <w:r>
              <w:rPr>
                <w:rFonts w:ascii="Times New Roman" w:hAnsi="Times New Roman" w:eastAsia="Times New Roman" w:cs="Times New Roman"/>
                <w:sz w:val="21"/>
                <w:szCs w:val="21"/>
              </w:rPr>
              <w:t>/</w:t>
            </w:r>
          </w:p>
        </w:tc>
        <w:tc>
          <w:tcPr>
            <w:tcW w:w="1356" w:type="dxa"/>
            <w:tcBorders>
              <w:top w:val="single" w:color="000001" w:sz="6" w:space="0"/>
              <w:left w:val="single" w:color="000001" w:sz="6" w:space="0"/>
              <w:bottom w:val="single" w:color="000001" w:sz="6" w:space="0"/>
              <w:right w:val="single" w:color="000001" w:sz="8" w:space="0"/>
            </w:tcBorders>
            <w:vAlign w:val="top"/>
          </w:tcPr>
          <w:p w14:paraId="68085A7A">
            <w:pPr>
              <w:keepNext w:val="0"/>
              <w:keepLines w:val="0"/>
              <w:pageBreakBefore w:val="0"/>
              <w:widowControl w:val="0"/>
              <w:kinsoku/>
              <w:wordWrap/>
              <w:overflowPunct/>
              <w:topLinePunct w:val="0"/>
              <w:autoSpaceDE/>
              <w:autoSpaceDN/>
              <w:bidi w:val="0"/>
              <w:adjustRightInd w:val="0"/>
              <w:snapToGrid w:val="0"/>
              <w:spacing w:before="132" w:line="233" w:lineRule="auto"/>
              <w:ind w:left="643" w:leftChars="0" w:firstLine="0" w:firstLineChars="0"/>
              <w:textAlignment w:val="auto"/>
              <w:rPr>
                <w:color w:val="auto"/>
              </w:rPr>
            </w:pPr>
            <w:r>
              <w:rPr>
                <w:rFonts w:ascii="Times New Roman" w:hAnsi="Times New Roman" w:eastAsia="Times New Roman" w:cs="Times New Roman"/>
                <w:sz w:val="21"/>
                <w:szCs w:val="21"/>
              </w:rPr>
              <w:t>/</w:t>
            </w:r>
          </w:p>
        </w:tc>
      </w:tr>
      <w:tr w14:paraId="748CD2F6">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14:paraId="22C4A8F2">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olor w:val="auto"/>
              </w:rPr>
              <w:t>多年平均相对湿度</w:t>
            </w:r>
            <w:r>
              <w:rPr>
                <w:rFonts w:hint="eastAsia"/>
                <w:color w:val="auto"/>
                <w:lang w:eastAsia="zh-CN"/>
              </w:rPr>
              <w:t>(</w:t>
            </w:r>
            <w:r>
              <w:rPr>
                <w:color w:val="auto"/>
              </w:rPr>
              <w:t>%)</w:t>
            </w:r>
          </w:p>
        </w:tc>
        <w:tc>
          <w:tcPr>
            <w:tcW w:w="1378" w:type="dxa"/>
            <w:tcBorders>
              <w:top w:val="single" w:color="000001" w:sz="6" w:space="0"/>
              <w:left w:val="single" w:color="000001" w:sz="6" w:space="0"/>
              <w:bottom w:val="single" w:color="000001" w:sz="6" w:space="0"/>
              <w:right w:val="single" w:color="000001" w:sz="6" w:space="0"/>
            </w:tcBorders>
            <w:vAlign w:val="top"/>
          </w:tcPr>
          <w:p w14:paraId="55F7E84F">
            <w:pPr>
              <w:keepNext w:val="0"/>
              <w:keepLines w:val="0"/>
              <w:pageBreakBefore w:val="0"/>
              <w:widowControl w:val="0"/>
              <w:kinsoku/>
              <w:wordWrap/>
              <w:overflowPunct/>
              <w:topLinePunct w:val="0"/>
              <w:autoSpaceDE/>
              <w:autoSpaceDN/>
              <w:bidi w:val="0"/>
              <w:adjustRightInd w:val="0"/>
              <w:snapToGrid w:val="0"/>
              <w:spacing w:before="136" w:line="187" w:lineRule="auto"/>
              <w:ind w:left="506" w:leftChars="0" w:firstLine="0" w:firstLineChars="0"/>
              <w:textAlignment w:val="auto"/>
              <w:rPr>
                <w:color w:val="auto"/>
              </w:rPr>
            </w:pPr>
            <w:r>
              <w:rPr>
                <w:rFonts w:ascii="Times New Roman" w:hAnsi="Times New Roman" w:eastAsia="Times New Roman" w:cs="Times New Roman"/>
                <w:spacing w:val="-2"/>
                <w:sz w:val="21"/>
                <w:szCs w:val="21"/>
              </w:rPr>
              <w:t>62.8</w:t>
            </w:r>
          </w:p>
        </w:tc>
        <w:tc>
          <w:tcPr>
            <w:tcW w:w="1713" w:type="dxa"/>
            <w:tcBorders>
              <w:top w:val="single" w:color="000001" w:sz="6" w:space="0"/>
              <w:left w:val="single" w:color="000001" w:sz="6" w:space="0"/>
              <w:bottom w:val="single" w:color="000001" w:sz="6" w:space="0"/>
              <w:right w:val="single" w:color="000001" w:sz="6" w:space="0"/>
            </w:tcBorders>
            <w:vAlign w:val="top"/>
          </w:tcPr>
          <w:p w14:paraId="3E5E1B85">
            <w:pPr>
              <w:keepNext w:val="0"/>
              <w:keepLines w:val="0"/>
              <w:pageBreakBefore w:val="0"/>
              <w:widowControl w:val="0"/>
              <w:kinsoku/>
              <w:wordWrap/>
              <w:overflowPunct/>
              <w:topLinePunct w:val="0"/>
              <w:autoSpaceDE/>
              <w:autoSpaceDN/>
              <w:bidi w:val="0"/>
              <w:adjustRightInd w:val="0"/>
              <w:snapToGrid w:val="0"/>
              <w:spacing w:before="133" w:line="233" w:lineRule="auto"/>
              <w:ind w:left="818" w:leftChars="0" w:firstLine="0" w:firstLineChars="0"/>
              <w:textAlignment w:val="auto"/>
              <w:rPr>
                <w:color w:val="auto"/>
              </w:rPr>
            </w:pPr>
            <w:r>
              <w:rPr>
                <w:rFonts w:ascii="Times New Roman" w:hAnsi="Times New Roman" w:eastAsia="Times New Roman" w:cs="Times New Roman"/>
                <w:sz w:val="21"/>
                <w:szCs w:val="21"/>
              </w:rPr>
              <w:t>/</w:t>
            </w:r>
          </w:p>
        </w:tc>
        <w:tc>
          <w:tcPr>
            <w:tcW w:w="1356" w:type="dxa"/>
            <w:tcBorders>
              <w:top w:val="single" w:color="000001" w:sz="6" w:space="0"/>
              <w:left w:val="single" w:color="000001" w:sz="6" w:space="0"/>
              <w:bottom w:val="single" w:color="000001" w:sz="6" w:space="0"/>
              <w:right w:val="single" w:color="000001" w:sz="8" w:space="0"/>
            </w:tcBorders>
            <w:vAlign w:val="top"/>
          </w:tcPr>
          <w:p w14:paraId="5F54A3A7">
            <w:pPr>
              <w:keepNext w:val="0"/>
              <w:keepLines w:val="0"/>
              <w:pageBreakBefore w:val="0"/>
              <w:widowControl w:val="0"/>
              <w:kinsoku/>
              <w:wordWrap/>
              <w:overflowPunct/>
              <w:topLinePunct w:val="0"/>
              <w:autoSpaceDE/>
              <w:autoSpaceDN/>
              <w:bidi w:val="0"/>
              <w:adjustRightInd w:val="0"/>
              <w:snapToGrid w:val="0"/>
              <w:spacing w:before="133" w:line="233" w:lineRule="auto"/>
              <w:ind w:left="643" w:leftChars="0" w:firstLine="0" w:firstLineChars="0"/>
              <w:textAlignment w:val="auto"/>
              <w:rPr>
                <w:color w:val="auto"/>
              </w:rPr>
            </w:pPr>
            <w:r>
              <w:rPr>
                <w:rFonts w:ascii="Times New Roman" w:hAnsi="Times New Roman" w:eastAsia="Times New Roman" w:cs="Times New Roman"/>
                <w:sz w:val="21"/>
                <w:szCs w:val="21"/>
              </w:rPr>
              <w:t>/</w:t>
            </w:r>
          </w:p>
        </w:tc>
      </w:tr>
      <w:tr w14:paraId="23093AB7">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14:paraId="6AE88C88">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olor w:val="auto"/>
              </w:rPr>
              <w:t>多年平均降雨量</w:t>
            </w:r>
            <w:r>
              <w:rPr>
                <w:rFonts w:hint="eastAsia"/>
                <w:color w:val="auto"/>
                <w:lang w:eastAsia="zh-CN"/>
              </w:rPr>
              <w:t>(</w:t>
            </w:r>
            <w:r>
              <w:rPr>
                <w:color w:val="auto"/>
              </w:rPr>
              <w:t>mm)</w:t>
            </w:r>
          </w:p>
        </w:tc>
        <w:tc>
          <w:tcPr>
            <w:tcW w:w="1378" w:type="dxa"/>
            <w:tcBorders>
              <w:top w:val="single" w:color="000001" w:sz="6" w:space="0"/>
              <w:left w:val="single" w:color="000001" w:sz="6" w:space="0"/>
              <w:bottom w:val="single" w:color="000001" w:sz="6" w:space="0"/>
              <w:right w:val="single" w:color="000001" w:sz="6" w:space="0"/>
            </w:tcBorders>
            <w:vAlign w:val="top"/>
          </w:tcPr>
          <w:p w14:paraId="21F63371">
            <w:pPr>
              <w:keepNext w:val="0"/>
              <w:keepLines w:val="0"/>
              <w:pageBreakBefore w:val="0"/>
              <w:widowControl w:val="0"/>
              <w:kinsoku/>
              <w:wordWrap/>
              <w:overflowPunct/>
              <w:topLinePunct w:val="0"/>
              <w:autoSpaceDE/>
              <w:autoSpaceDN/>
              <w:bidi w:val="0"/>
              <w:adjustRightInd w:val="0"/>
              <w:snapToGrid w:val="0"/>
              <w:spacing w:before="137" w:line="187" w:lineRule="auto"/>
              <w:ind w:left="453" w:leftChars="0" w:firstLine="0" w:firstLineChars="0"/>
              <w:textAlignment w:val="auto"/>
              <w:rPr>
                <w:color w:val="auto"/>
              </w:rPr>
            </w:pPr>
            <w:r>
              <w:rPr>
                <w:rFonts w:ascii="Times New Roman" w:hAnsi="Times New Roman" w:eastAsia="Times New Roman" w:cs="Times New Roman"/>
                <w:spacing w:val="-2"/>
                <w:sz w:val="21"/>
                <w:szCs w:val="21"/>
              </w:rPr>
              <w:t>584.9</w:t>
            </w:r>
          </w:p>
        </w:tc>
        <w:tc>
          <w:tcPr>
            <w:tcW w:w="1713" w:type="dxa"/>
            <w:tcBorders>
              <w:top w:val="single" w:color="000001" w:sz="6" w:space="0"/>
              <w:left w:val="single" w:color="000001" w:sz="6" w:space="0"/>
              <w:bottom w:val="single" w:color="000001" w:sz="6" w:space="0"/>
              <w:right w:val="single" w:color="000001" w:sz="6" w:space="0"/>
            </w:tcBorders>
            <w:vAlign w:val="top"/>
          </w:tcPr>
          <w:p w14:paraId="7ACC442B">
            <w:pPr>
              <w:keepNext w:val="0"/>
              <w:keepLines w:val="0"/>
              <w:pageBreakBefore w:val="0"/>
              <w:widowControl w:val="0"/>
              <w:kinsoku/>
              <w:wordWrap/>
              <w:overflowPunct/>
              <w:topLinePunct w:val="0"/>
              <w:autoSpaceDE/>
              <w:autoSpaceDN/>
              <w:bidi w:val="0"/>
              <w:adjustRightInd w:val="0"/>
              <w:snapToGrid w:val="0"/>
              <w:spacing w:before="137" w:line="187" w:lineRule="auto"/>
              <w:ind w:left="361" w:leftChars="0" w:firstLine="0" w:firstLineChars="0"/>
              <w:textAlignment w:val="auto"/>
              <w:rPr>
                <w:color w:val="auto"/>
              </w:rPr>
            </w:pPr>
            <w:r>
              <w:rPr>
                <w:rFonts w:ascii="Times New Roman" w:hAnsi="Times New Roman" w:eastAsia="Times New Roman" w:cs="Times New Roman"/>
                <w:spacing w:val="-1"/>
                <w:sz w:val="21"/>
                <w:szCs w:val="21"/>
              </w:rPr>
              <w:t>2016-07-09</w:t>
            </w:r>
          </w:p>
        </w:tc>
        <w:tc>
          <w:tcPr>
            <w:tcW w:w="1356" w:type="dxa"/>
            <w:tcBorders>
              <w:top w:val="single" w:color="000001" w:sz="6" w:space="0"/>
              <w:left w:val="single" w:color="000001" w:sz="6" w:space="0"/>
              <w:bottom w:val="single" w:color="000001" w:sz="6" w:space="0"/>
              <w:right w:val="single" w:color="000001" w:sz="8" w:space="0"/>
            </w:tcBorders>
            <w:vAlign w:val="top"/>
          </w:tcPr>
          <w:p w14:paraId="1AD3A2EB">
            <w:pPr>
              <w:keepNext w:val="0"/>
              <w:keepLines w:val="0"/>
              <w:pageBreakBefore w:val="0"/>
              <w:widowControl w:val="0"/>
              <w:kinsoku/>
              <w:wordWrap/>
              <w:overflowPunct/>
              <w:topLinePunct w:val="0"/>
              <w:autoSpaceDE/>
              <w:autoSpaceDN/>
              <w:bidi w:val="0"/>
              <w:adjustRightInd w:val="0"/>
              <w:snapToGrid w:val="0"/>
              <w:spacing w:before="137" w:line="187" w:lineRule="auto"/>
              <w:ind w:left="439" w:leftChars="0" w:firstLine="0" w:firstLineChars="0"/>
              <w:textAlignment w:val="auto"/>
              <w:rPr>
                <w:color w:val="auto"/>
              </w:rPr>
            </w:pPr>
            <w:r>
              <w:rPr>
                <w:rFonts w:ascii="Times New Roman" w:hAnsi="Times New Roman" w:eastAsia="Times New Roman" w:cs="Times New Roman"/>
                <w:spacing w:val="-1"/>
                <w:sz w:val="21"/>
                <w:szCs w:val="21"/>
              </w:rPr>
              <w:t>414.0</w:t>
            </w:r>
          </w:p>
        </w:tc>
      </w:tr>
      <w:tr w14:paraId="3B8DC23C">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602" w:type="pct"/>
            <w:vMerge w:val="restart"/>
            <w:tcBorders>
              <w:top w:val="single" w:color="000001" w:sz="6" w:space="0"/>
              <w:left w:val="single" w:color="000001" w:sz="8" w:space="0"/>
              <w:bottom w:val="single" w:color="000001" w:sz="6" w:space="0"/>
              <w:right w:val="single" w:color="000001" w:sz="6" w:space="0"/>
            </w:tcBorders>
            <w:vAlign w:val="center"/>
          </w:tcPr>
          <w:p w14:paraId="76ED5D03">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olor w:val="auto"/>
              </w:rPr>
              <w:t>灾害天气统计</w:t>
            </w:r>
          </w:p>
        </w:tc>
        <w:tc>
          <w:tcPr>
            <w:tcW w:w="2881" w:type="dxa"/>
            <w:tcBorders>
              <w:top w:val="single" w:color="000001" w:sz="6" w:space="0"/>
              <w:left w:val="single" w:color="000001" w:sz="6" w:space="0"/>
              <w:bottom w:val="single" w:color="000001" w:sz="6" w:space="0"/>
              <w:right w:val="single" w:color="000001" w:sz="6" w:space="0"/>
            </w:tcBorders>
            <w:vAlign w:val="top"/>
          </w:tcPr>
          <w:p w14:paraId="7AB5DF11">
            <w:pPr>
              <w:keepNext w:val="0"/>
              <w:keepLines w:val="0"/>
              <w:pageBreakBefore w:val="0"/>
              <w:widowControl w:val="0"/>
              <w:kinsoku/>
              <w:wordWrap/>
              <w:overflowPunct/>
              <w:topLinePunct w:val="0"/>
              <w:autoSpaceDE/>
              <w:autoSpaceDN/>
              <w:bidi w:val="0"/>
              <w:adjustRightInd w:val="0"/>
              <w:snapToGrid w:val="0"/>
              <w:spacing w:before="136" w:line="187" w:lineRule="auto"/>
              <w:ind w:left="506" w:leftChars="0" w:firstLine="0" w:firstLineChars="0"/>
              <w:textAlignment w:val="auto"/>
              <w:rPr>
                <w:rFonts w:ascii="Times New Roman" w:hAnsi="Times New Roman" w:eastAsia="Times New Roman" w:cs="Times New Roman"/>
                <w:spacing w:val="-2"/>
                <w:sz w:val="21"/>
                <w:szCs w:val="21"/>
              </w:rPr>
            </w:pPr>
            <w:r>
              <w:rPr>
                <w:rFonts w:ascii="Times New Roman" w:hAnsi="Times New Roman" w:eastAsia="Times New Roman" w:cs="Times New Roman"/>
                <w:spacing w:val="-2"/>
                <w:sz w:val="21"/>
                <w:szCs w:val="21"/>
              </w:rPr>
              <w:t>多年平均沙暴日数(d)</w:t>
            </w:r>
          </w:p>
        </w:tc>
        <w:tc>
          <w:tcPr>
            <w:tcW w:w="1378" w:type="dxa"/>
            <w:tcBorders>
              <w:top w:val="single" w:color="000001" w:sz="6" w:space="0"/>
              <w:left w:val="single" w:color="000001" w:sz="6" w:space="0"/>
              <w:bottom w:val="single" w:color="000001" w:sz="6" w:space="0"/>
              <w:right w:val="single" w:color="000001" w:sz="6" w:space="0"/>
            </w:tcBorders>
            <w:vAlign w:val="top"/>
          </w:tcPr>
          <w:p w14:paraId="41ED2E70">
            <w:pPr>
              <w:keepNext w:val="0"/>
              <w:keepLines w:val="0"/>
              <w:pageBreakBefore w:val="0"/>
              <w:widowControl w:val="0"/>
              <w:kinsoku/>
              <w:wordWrap/>
              <w:overflowPunct/>
              <w:topLinePunct w:val="0"/>
              <w:autoSpaceDE/>
              <w:autoSpaceDN/>
              <w:bidi w:val="0"/>
              <w:adjustRightInd w:val="0"/>
              <w:snapToGrid w:val="0"/>
              <w:spacing w:before="136" w:line="187" w:lineRule="auto"/>
              <w:ind w:left="506" w:leftChars="0" w:firstLine="0" w:firstLineChars="0"/>
              <w:textAlignment w:val="auto"/>
              <w:rPr>
                <w:rFonts w:ascii="Times New Roman" w:hAnsi="Times New Roman" w:eastAsia="Times New Roman" w:cs="Times New Roman"/>
                <w:spacing w:val="-2"/>
                <w:sz w:val="21"/>
                <w:szCs w:val="21"/>
              </w:rPr>
            </w:pPr>
            <w:r>
              <w:rPr>
                <w:rFonts w:ascii="Times New Roman" w:hAnsi="Times New Roman" w:eastAsia="Times New Roman" w:cs="Times New Roman"/>
                <w:spacing w:val="-2"/>
                <w:sz w:val="21"/>
                <w:szCs w:val="21"/>
              </w:rPr>
              <w:t>0.1</w:t>
            </w:r>
          </w:p>
        </w:tc>
        <w:tc>
          <w:tcPr>
            <w:tcW w:w="1028" w:type="pct"/>
            <w:tcBorders>
              <w:top w:val="single" w:color="000001" w:sz="6" w:space="0"/>
              <w:left w:val="single" w:color="000001" w:sz="6" w:space="0"/>
              <w:bottom w:val="single" w:color="000001" w:sz="6" w:space="0"/>
              <w:right w:val="single" w:color="000001" w:sz="6" w:space="0"/>
            </w:tcBorders>
            <w:vAlign w:val="center"/>
          </w:tcPr>
          <w:p w14:paraId="1F326F43">
            <w:pPr>
              <w:pStyle w:val="18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14:paraId="0155294B">
            <w:pPr>
              <w:pStyle w:val="18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rPr>
            </w:pPr>
            <w:r>
              <w:rPr>
                <w:color w:val="auto"/>
              </w:rPr>
              <w:t>/</w:t>
            </w:r>
          </w:p>
        </w:tc>
      </w:tr>
      <w:tr w14:paraId="0B20E91B">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0" w:type="auto"/>
            <w:vMerge w:val="continue"/>
            <w:tcBorders>
              <w:top w:val="single" w:color="000001" w:sz="6" w:space="0"/>
              <w:left w:val="single" w:color="000001" w:sz="8" w:space="0"/>
              <w:bottom w:val="single" w:color="000001" w:sz="6" w:space="0"/>
              <w:right w:val="single" w:color="000001" w:sz="6" w:space="0"/>
            </w:tcBorders>
            <w:vAlign w:val="center"/>
          </w:tcPr>
          <w:p w14:paraId="4DC0C11D">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p>
        </w:tc>
        <w:tc>
          <w:tcPr>
            <w:tcW w:w="2881" w:type="dxa"/>
            <w:tcBorders>
              <w:top w:val="single" w:color="000001" w:sz="6" w:space="0"/>
              <w:left w:val="single" w:color="000001" w:sz="6" w:space="0"/>
              <w:bottom w:val="single" w:color="000001" w:sz="6" w:space="0"/>
              <w:right w:val="single" w:color="000001" w:sz="6" w:space="0"/>
            </w:tcBorders>
            <w:vAlign w:val="top"/>
          </w:tcPr>
          <w:p w14:paraId="1F09668B">
            <w:pPr>
              <w:keepNext w:val="0"/>
              <w:keepLines w:val="0"/>
              <w:pageBreakBefore w:val="0"/>
              <w:widowControl w:val="0"/>
              <w:kinsoku/>
              <w:wordWrap/>
              <w:overflowPunct/>
              <w:topLinePunct w:val="0"/>
              <w:autoSpaceDE/>
              <w:autoSpaceDN/>
              <w:bidi w:val="0"/>
              <w:adjustRightInd w:val="0"/>
              <w:snapToGrid w:val="0"/>
              <w:spacing w:before="136" w:line="187" w:lineRule="auto"/>
              <w:ind w:left="506" w:leftChars="0" w:firstLine="0" w:firstLineChars="0"/>
              <w:textAlignment w:val="auto"/>
              <w:rPr>
                <w:rFonts w:ascii="Times New Roman" w:hAnsi="Times New Roman" w:eastAsia="Times New Roman" w:cs="Times New Roman"/>
                <w:spacing w:val="-2"/>
                <w:sz w:val="21"/>
                <w:szCs w:val="21"/>
              </w:rPr>
            </w:pPr>
            <w:r>
              <w:rPr>
                <w:rFonts w:ascii="Times New Roman" w:hAnsi="Times New Roman" w:eastAsia="Times New Roman" w:cs="Times New Roman"/>
                <w:spacing w:val="-2"/>
                <w:sz w:val="21"/>
                <w:szCs w:val="21"/>
              </w:rPr>
              <w:t>多年平均雷暴日数(d)</w:t>
            </w:r>
          </w:p>
        </w:tc>
        <w:tc>
          <w:tcPr>
            <w:tcW w:w="1378" w:type="dxa"/>
            <w:tcBorders>
              <w:top w:val="single" w:color="000001" w:sz="6" w:space="0"/>
              <w:left w:val="single" w:color="000001" w:sz="6" w:space="0"/>
              <w:bottom w:val="single" w:color="000001" w:sz="6" w:space="0"/>
              <w:right w:val="single" w:color="000001" w:sz="6" w:space="0"/>
            </w:tcBorders>
            <w:vAlign w:val="top"/>
          </w:tcPr>
          <w:p w14:paraId="3C84206B">
            <w:pPr>
              <w:keepNext w:val="0"/>
              <w:keepLines w:val="0"/>
              <w:pageBreakBefore w:val="0"/>
              <w:widowControl w:val="0"/>
              <w:kinsoku/>
              <w:wordWrap/>
              <w:overflowPunct/>
              <w:topLinePunct w:val="0"/>
              <w:autoSpaceDE/>
              <w:autoSpaceDN/>
              <w:bidi w:val="0"/>
              <w:adjustRightInd w:val="0"/>
              <w:snapToGrid w:val="0"/>
              <w:spacing w:before="136" w:line="187" w:lineRule="auto"/>
              <w:ind w:left="506" w:leftChars="0" w:firstLine="0" w:firstLineChars="0"/>
              <w:textAlignment w:val="auto"/>
              <w:rPr>
                <w:rFonts w:ascii="Times New Roman" w:hAnsi="Times New Roman" w:eastAsia="Times New Roman" w:cs="Times New Roman"/>
                <w:spacing w:val="-2"/>
                <w:sz w:val="21"/>
                <w:szCs w:val="21"/>
              </w:rPr>
            </w:pPr>
            <w:r>
              <w:rPr>
                <w:rFonts w:ascii="Times New Roman" w:hAnsi="Times New Roman" w:eastAsia="Times New Roman" w:cs="Times New Roman"/>
                <w:spacing w:val="-2"/>
                <w:sz w:val="21"/>
                <w:szCs w:val="21"/>
              </w:rPr>
              <w:t>22.2</w:t>
            </w:r>
          </w:p>
        </w:tc>
        <w:tc>
          <w:tcPr>
            <w:tcW w:w="1028" w:type="pct"/>
            <w:tcBorders>
              <w:top w:val="single" w:color="000001" w:sz="6" w:space="0"/>
              <w:left w:val="single" w:color="000001" w:sz="6" w:space="0"/>
              <w:bottom w:val="single" w:color="000001" w:sz="6" w:space="0"/>
              <w:right w:val="single" w:color="000001" w:sz="6" w:space="0"/>
            </w:tcBorders>
            <w:vAlign w:val="center"/>
          </w:tcPr>
          <w:p w14:paraId="7832A3EB">
            <w:pPr>
              <w:pStyle w:val="18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14:paraId="3B2EA0B2">
            <w:pPr>
              <w:pStyle w:val="18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rPr>
            </w:pPr>
            <w:r>
              <w:rPr>
                <w:color w:val="auto"/>
              </w:rPr>
              <w:t>/</w:t>
            </w:r>
          </w:p>
        </w:tc>
      </w:tr>
      <w:tr w14:paraId="302B24AB">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0" w:type="auto"/>
            <w:vMerge w:val="continue"/>
            <w:tcBorders>
              <w:top w:val="single" w:color="000001" w:sz="6" w:space="0"/>
              <w:left w:val="single" w:color="000001" w:sz="8" w:space="0"/>
              <w:bottom w:val="single" w:color="000001" w:sz="6" w:space="0"/>
              <w:right w:val="single" w:color="000001" w:sz="6" w:space="0"/>
            </w:tcBorders>
            <w:vAlign w:val="center"/>
          </w:tcPr>
          <w:p w14:paraId="3C25ED70">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p>
        </w:tc>
        <w:tc>
          <w:tcPr>
            <w:tcW w:w="2881" w:type="dxa"/>
            <w:tcBorders>
              <w:top w:val="single" w:color="000001" w:sz="6" w:space="0"/>
              <w:left w:val="single" w:color="000001" w:sz="6" w:space="0"/>
              <w:bottom w:val="single" w:color="000001" w:sz="6" w:space="0"/>
              <w:right w:val="single" w:color="000001" w:sz="6" w:space="0"/>
            </w:tcBorders>
            <w:vAlign w:val="top"/>
          </w:tcPr>
          <w:p w14:paraId="66819217">
            <w:pPr>
              <w:keepNext w:val="0"/>
              <w:keepLines w:val="0"/>
              <w:pageBreakBefore w:val="0"/>
              <w:widowControl w:val="0"/>
              <w:kinsoku/>
              <w:wordWrap/>
              <w:overflowPunct/>
              <w:topLinePunct w:val="0"/>
              <w:autoSpaceDE/>
              <w:autoSpaceDN/>
              <w:bidi w:val="0"/>
              <w:adjustRightInd w:val="0"/>
              <w:snapToGrid w:val="0"/>
              <w:spacing w:before="136" w:line="187" w:lineRule="auto"/>
              <w:ind w:left="506" w:leftChars="0" w:firstLine="0" w:firstLineChars="0"/>
              <w:textAlignment w:val="auto"/>
              <w:rPr>
                <w:rFonts w:ascii="Times New Roman" w:hAnsi="Times New Roman" w:eastAsia="Times New Roman" w:cs="Times New Roman"/>
                <w:spacing w:val="-2"/>
                <w:sz w:val="21"/>
                <w:szCs w:val="21"/>
              </w:rPr>
            </w:pPr>
            <w:r>
              <w:rPr>
                <w:rFonts w:ascii="Times New Roman" w:hAnsi="Times New Roman" w:eastAsia="Times New Roman" w:cs="Times New Roman"/>
                <w:spacing w:val="-2"/>
                <w:sz w:val="21"/>
                <w:szCs w:val="21"/>
              </w:rPr>
              <w:t>多年平均冰雹日数(d)</w:t>
            </w:r>
          </w:p>
        </w:tc>
        <w:tc>
          <w:tcPr>
            <w:tcW w:w="1378" w:type="dxa"/>
            <w:tcBorders>
              <w:top w:val="single" w:color="000001" w:sz="6" w:space="0"/>
              <w:left w:val="single" w:color="000001" w:sz="6" w:space="0"/>
              <w:bottom w:val="single" w:color="000001" w:sz="6" w:space="0"/>
              <w:right w:val="single" w:color="000001" w:sz="6" w:space="0"/>
            </w:tcBorders>
            <w:vAlign w:val="top"/>
          </w:tcPr>
          <w:p w14:paraId="66893183">
            <w:pPr>
              <w:keepNext w:val="0"/>
              <w:keepLines w:val="0"/>
              <w:pageBreakBefore w:val="0"/>
              <w:widowControl w:val="0"/>
              <w:kinsoku/>
              <w:wordWrap/>
              <w:overflowPunct/>
              <w:topLinePunct w:val="0"/>
              <w:autoSpaceDE/>
              <w:autoSpaceDN/>
              <w:bidi w:val="0"/>
              <w:adjustRightInd w:val="0"/>
              <w:snapToGrid w:val="0"/>
              <w:spacing w:before="136" w:line="187" w:lineRule="auto"/>
              <w:ind w:left="506" w:leftChars="0" w:firstLine="0" w:firstLineChars="0"/>
              <w:textAlignment w:val="auto"/>
              <w:rPr>
                <w:rFonts w:ascii="Times New Roman" w:hAnsi="Times New Roman" w:eastAsia="Times New Roman" w:cs="Times New Roman"/>
                <w:spacing w:val="-2"/>
                <w:sz w:val="21"/>
                <w:szCs w:val="21"/>
              </w:rPr>
            </w:pPr>
            <w:r>
              <w:rPr>
                <w:rFonts w:ascii="Times New Roman" w:hAnsi="Times New Roman" w:eastAsia="Times New Roman" w:cs="Times New Roman"/>
                <w:spacing w:val="-2"/>
                <w:sz w:val="21"/>
                <w:szCs w:val="21"/>
              </w:rPr>
              <w:t>0.4</w:t>
            </w:r>
          </w:p>
        </w:tc>
        <w:tc>
          <w:tcPr>
            <w:tcW w:w="1028" w:type="pct"/>
            <w:tcBorders>
              <w:top w:val="single" w:color="000001" w:sz="6" w:space="0"/>
              <w:left w:val="single" w:color="000001" w:sz="6" w:space="0"/>
              <w:bottom w:val="single" w:color="000001" w:sz="6" w:space="0"/>
              <w:right w:val="single" w:color="000001" w:sz="6" w:space="0"/>
            </w:tcBorders>
            <w:vAlign w:val="center"/>
          </w:tcPr>
          <w:p w14:paraId="52D48435">
            <w:pPr>
              <w:pStyle w:val="18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14:paraId="6C7961BC">
            <w:pPr>
              <w:pStyle w:val="18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rPr>
            </w:pPr>
            <w:r>
              <w:rPr>
                <w:color w:val="auto"/>
              </w:rPr>
              <w:t>/</w:t>
            </w:r>
          </w:p>
        </w:tc>
      </w:tr>
      <w:tr w14:paraId="3B048A96">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0" w:type="auto"/>
            <w:vMerge w:val="continue"/>
            <w:tcBorders>
              <w:top w:val="single" w:color="000001" w:sz="6" w:space="0"/>
              <w:left w:val="single" w:color="000001" w:sz="8" w:space="0"/>
              <w:bottom w:val="single" w:color="000001" w:sz="6" w:space="0"/>
              <w:right w:val="single" w:color="000001" w:sz="6" w:space="0"/>
            </w:tcBorders>
            <w:vAlign w:val="center"/>
          </w:tcPr>
          <w:p w14:paraId="1FDD471E">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p>
        </w:tc>
        <w:tc>
          <w:tcPr>
            <w:tcW w:w="2881" w:type="dxa"/>
            <w:tcBorders>
              <w:top w:val="single" w:color="000001" w:sz="6" w:space="0"/>
              <w:left w:val="single" w:color="000001" w:sz="6" w:space="0"/>
              <w:bottom w:val="single" w:color="000001" w:sz="6" w:space="0"/>
              <w:right w:val="single" w:color="000001" w:sz="6" w:space="0"/>
            </w:tcBorders>
            <w:vAlign w:val="top"/>
          </w:tcPr>
          <w:p w14:paraId="302E0C56">
            <w:pPr>
              <w:keepNext w:val="0"/>
              <w:keepLines w:val="0"/>
              <w:pageBreakBefore w:val="0"/>
              <w:widowControl w:val="0"/>
              <w:kinsoku/>
              <w:wordWrap/>
              <w:overflowPunct/>
              <w:topLinePunct w:val="0"/>
              <w:autoSpaceDE/>
              <w:autoSpaceDN/>
              <w:bidi w:val="0"/>
              <w:adjustRightInd w:val="0"/>
              <w:snapToGrid w:val="0"/>
              <w:spacing w:before="136" w:line="187" w:lineRule="auto"/>
              <w:ind w:left="506" w:leftChars="0" w:firstLine="0" w:firstLineChars="0"/>
              <w:textAlignment w:val="auto"/>
              <w:rPr>
                <w:rFonts w:ascii="Times New Roman" w:hAnsi="Times New Roman" w:eastAsia="Times New Roman" w:cs="Times New Roman"/>
                <w:spacing w:val="-2"/>
                <w:sz w:val="21"/>
                <w:szCs w:val="21"/>
              </w:rPr>
            </w:pPr>
            <w:r>
              <w:rPr>
                <w:rFonts w:ascii="Times New Roman" w:hAnsi="Times New Roman" w:eastAsia="Times New Roman" w:cs="Times New Roman"/>
                <w:spacing w:val="-2"/>
                <w:sz w:val="21"/>
                <w:szCs w:val="21"/>
              </w:rPr>
              <w:t>多年平均大风日数(d)</w:t>
            </w:r>
          </w:p>
        </w:tc>
        <w:tc>
          <w:tcPr>
            <w:tcW w:w="1378" w:type="dxa"/>
            <w:tcBorders>
              <w:top w:val="single" w:color="000001" w:sz="6" w:space="0"/>
              <w:left w:val="single" w:color="000001" w:sz="6" w:space="0"/>
              <w:bottom w:val="single" w:color="000001" w:sz="6" w:space="0"/>
              <w:right w:val="single" w:color="000001" w:sz="6" w:space="0"/>
            </w:tcBorders>
            <w:vAlign w:val="top"/>
          </w:tcPr>
          <w:p w14:paraId="10B00806">
            <w:pPr>
              <w:keepNext w:val="0"/>
              <w:keepLines w:val="0"/>
              <w:pageBreakBefore w:val="0"/>
              <w:widowControl w:val="0"/>
              <w:kinsoku/>
              <w:wordWrap/>
              <w:overflowPunct/>
              <w:topLinePunct w:val="0"/>
              <w:autoSpaceDE/>
              <w:autoSpaceDN/>
              <w:bidi w:val="0"/>
              <w:adjustRightInd w:val="0"/>
              <w:snapToGrid w:val="0"/>
              <w:spacing w:before="136" w:line="187" w:lineRule="auto"/>
              <w:ind w:left="506" w:leftChars="0" w:firstLine="0" w:firstLineChars="0"/>
              <w:textAlignment w:val="auto"/>
              <w:rPr>
                <w:rFonts w:ascii="Times New Roman" w:hAnsi="Times New Roman" w:eastAsia="Times New Roman" w:cs="Times New Roman"/>
                <w:spacing w:val="-2"/>
                <w:sz w:val="21"/>
                <w:szCs w:val="21"/>
              </w:rPr>
            </w:pPr>
            <w:r>
              <w:rPr>
                <w:rFonts w:ascii="Times New Roman" w:hAnsi="Times New Roman" w:eastAsia="Times New Roman" w:cs="Times New Roman"/>
                <w:spacing w:val="-2"/>
                <w:sz w:val="21"/>
                <w:szCs w:val="21"/>
              </w:rPr>
              <w:t>3.9</w:t>
            </w:r>
          </w:p>
        </w:tc>
        <w:tc>
          <w:tcPr>
            <w:tcW w:w="1028" w:type="pct"/>
            <w:tcBorders>
              <w:top w:val="single" w:color="000001" w:sz="6" w:space="0"/>
              <w:left w:val="single" w:color="000001" w:sz="6" w:space="0"/>
              <w:bottom w:val="single" w:color="000001" w:sz="6" w:space="0"/>
              <w:right w:val="single" w:color="000001" w:sz="6" w:space="0"/>
            </w:tcBorders>
            <w:vAlign w:val="center"/>
          </w:tcPr>
          <w:p w14:paraId="32AA3A03">
            <w:pPr>
              <w:pStyle w:val="18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14:paraId="03416602">
            <w:pPr>
              <w:pStyle w:val="18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rPr>
            </w:pPr>
            <w:r>
              <w:rPr>
                <w:color w:val="auto"/>
              </w:rPr>
              <w:t>/</w:t>
            </w:r>
          </w:p>
        </w:tc>
      </w:tr>
      <w:tr w14:paraId="0464F03D">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vMerge w:val="restart"/>
            <w:tcBorders>
              <w:top w:val="single" w:color="000001" w:sz="6" w:space="0"/>
              <w:left w:val="single" w:color="000001" w:sz="8" w:space="0"/>
              <w:bottom w:val="single" w:color="000001" w:sz="6" w:space="0"/>
              <w:right w:val="single" w:color="000001" w:sz="6" w:space="0"/>
            </w:tcBorders>
            <w:vAlign w:val="center"/>
          </w:tcPr>
          <w:p w14:paraId="48E5F810">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olor w:val="auto"/>
              </w:rPr>
              <w:t>多年实测极大风速（</w:t>
            </w:r>
            <w:r>
              <w:rPr>
                <w:color w:val="auto"/>
              </w:rPr>
              <w:t>m/s</w:t>
            </w:r>
            <w:r>
              <w:rPr>
                <w:rFonts w:hint="eastAsia"/>
                <w:color w:val="auto"/>
              </w:rPr>
              <w:t>）、相应风向</w:t>
            </w:r>
          </w:p>
        </w:tc>
        <w:tc>
          <w:tcPr>
            <w:tcW w:w="827" w:type="pct"/>
            <w:vMerge w:val="restart"/>
            <w:tcBorders>
              <w:top w:val="single" w:color="000001" w:sz="6" w:space="0"/>
              <w:left w:val="single" w:color="000001" w:sz="6" w:space="0"/>
              <w:bottom w:val="single" w:color="000001" w:sz="6" w:space="0"/>
              <w:right w:val="single" w:color="000001" w:sz="6" w:space="0"/>
            </w:tcBorders>
            <w:vAlign w:val="center"/>
          </w:tcPr>
          <w:p w14:paraId="756501F6">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20</w:t>
            </w:r>
          </w:p>
        </w:tc>
        <w:tc>
          <w:tcPr>
            <w:tcW w:w="1028" w:type="pct"/>
            <w:vMerge w:val="restart"/>
            <w:tcBorders>
              <w:top w:val="single" w:color="000001" w:sz="6" w:space="0"/>
              <w:left w:val="single" w:color="000001" w:sz="6" w:space="0"/>
              <w:bottom w:val="single" w:color="000001" w:sz="6" w:space="0"/>
              <w:right w:val="single" w:color="000001" w:sz="6" w:space="0"/>
            </w:tcBorders>
            <w:vAlign w:val="center"/>
          </w:tcPr>
          <w:p w14:paraId="405CD875">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2002-06-01</w:t>
            </w:r>
          </w:p>
        </w:tc>
        <w:tc>
          <w:tcPr>
            <w:tcW w:w="814" w:type="pct"/>
            <w:tcBorders>
              <w:top w:val="single" w:color="000001" w:sz="6" w:space="0"/>
              <w:left w:val="single" w:color="000001" w:sz="6" w:space="0"/>
              <w:bottom w:val="single" w:color="000001" w:sz="6" w:space="0"/>
              <w:right w:val="single" w:color="000001" w:sz="8" w:space="0"/>
            </w:tcBorders>
            <w:vAlign w:val="center"/>
          </w:tcPr>
          <w:p w14:paraId="611BFCF5">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23.8</w:t>
            </w:r>
          </w:p>
        </w:tc>
      </w:tr>
      <w:tr w14:paraId="52A7DEA9">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0" w:type="auto"/>
            <w:gridSpan w:val="2"/>
            <w:vMerge w:val="continue"/>
            <w:tcBorders>
              <w:top w:val="single" w:color="000001" w:sz="6" w:space="0"/>
              <w:left w:val="single" w:color="000001" w:sz="8" w:space="0"/>
              <w:bottom w:val="single" w:color="000001" w:sz="6" w:space="0"/>
              <w:right w:val="single" w:color="000001" w:sz="6" w:space="0"/>
            </w:tcBorders>
            <w:vAlign w:val="center"/>
          </w:tcPr>
          <w:p w14:paraId="0F96EBE8">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p>
        </w:tc>
        <w:tc>
          <w:tcPr>
            <w:tcW w:w="0" w:type="auto"/>
            <w:vMerge w:val="continue"/>
            <w:tcBorders>
              <w:top w:val="single" w:color="000001" w:sz="6" w:space="0"/>
              <w:left w:val="single" w:color="000001" w:sz="6" w:space="0"/>
              <w:bottom w:val="single" w:color="000001" w:sz="6" w:space="0"/>
              <w:right w:val="single" w:color="000001" w:sz="6" w:space="0"/>
            </w:tcBorders>
            <w:vAlign w:val="center"/>
          </w:tcPr>
          <w:p w14:paraId="214BFEE3">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p>
        </w:tc>
        <w:tc>
          <w:tcPr>
            <w:tcW w:w="0" w:type="auto"/>
            <w:vMerge w:val="continue"/>
            <w:tcBorders>
              <w:top w:val="single" w:color="000001" w:sz="6" w:space="0"/>
              <w:left w:val="single" w:color="000001" w:sz="6" w:space="0"/>
              <w:bottom w:val="single" w:color="000001" w:sz="6" w:space="0"/>
              <w:right w:val="single" w:color="000001" w:sz="6" w:space="0"/>
            </w:tcBorders>
            <w:vAlign w:val="center"/>
          </w:tcPr>
          <w:p w14:paraId="29540C17">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p>
        </w:tc>
        <w:tc>
          <w:tcPr>
            <w:tcW w:w="814" w:type="pct"/>
            <w:tcBorders>
              <w:top w:val="single" w:color="000001" w:sz="6" w:space="0"/>
              <w:left w:val="single" w:color="000001" w:sz="6" w:space="0"/>
              <w:bottom w:val="single" w:color="000001" w:sz="6" w:space="0"/>
              <w:right w:val="single" w:color="000001" w:sz="8" w:space="0"/>
            </w:tcBorders>
            <w:vAlign w:val="center"/>
          </w:tcPr>
          <w:p w14:paraId="4DD2EB64">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N</w:t>
            </w:r>
          </w:p>
        </w:tc>
      </w:tr>
      <w:tr w14:paraId="1205D067">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6" w:space="0"/>
              <w:right w:val="single" w:color="000001" w:sz="6" w:space="0"/>
            </w:tcBorders>
            <w:vAlign w:val="center"/>
          </w:tcPr>
          <w:p w14:paraId="61F829AD">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olor w:val="auto"/>
              </w:rPr>
              <w:t>多年平均风速（</w:t>
            </w:r>
            <w:r>
              <w:rPr>
                <w:color w:val="auto"/>
              </w:rPr>
              <w:t>m/s</w:t>
            </w:r>
            <w:r>
              <w:rPr>
                <w:rFonts w:hint="eastAsia"/>
                <w:color w:val="auto"/>
              </w:rPr>
              <w:t>）</w:t>
            </w:r>
          </w:p>
        </w:tc>
        <w:tc>
          <w:tcPr>
            <w:tcW w:w="827" w:type="pct"/>
            <w:tcBorders>
              <w:top w:val="single" w:color="000001" w:sz="6" w:space="0"/>
              <w:left w:val="single" w:color="000001" w:sz="6" w:space="0"/>
              <w:bottom w:val="single" w:color="000001" w:sz="6" w:space="0"/>
              <w:right w:val="single" w:color="000001" w:sz="6" w:space="0"/>
            </w:tcBorders>
            <w:vAlign w:val="center"/>
          </w:tcPr>
          <w:p w14:paraId="4041E45F">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2.1</w:t>
            </w:r>
          </w:p>
        </w:tc>
        <w:tc>
          <w:tcPr>
            <w:tcW w:w="1028" w:type="pct"/>
            <w:tcBorders>
              <w:top w:val="single" w:color="000001" w:sz="6" w:space="0"/>
              <w:left w:val="single" w:color="000001" w:sz="6" w:space="0"/>
              <w:bottom w:val="single" w:color="000001" w:sz="6" w:space="0"/>
              <w:right w:val="single" w:color="000001" w:sz="6" w:space="0"/>
            </w:tcBorders>
            <w:vAlign w:val="center"/>
          </w:tcPr>
          <w:p w14:paraId="10D37C8C">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14:paraId="280C6560">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w:t>
            </w:r>
          </w:p>
        </w:tc>
      </w:tr>
      <w:tr w14:paraId="7AC66DD8">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vMerge w:val="restart"/>
            <w:tcBorders>
              <w:top w:val="single" w:color="000001" w:sz="6" w:space="0"/>
              <w:left w:val="single" w:color="000001" w:sz="8" w:space="0"/>
              <w:bottom w:val="single" w:color="000001" w:sz="6" w:space="0"/>
              <w:right w:val="single" w:color="000001" w:sz="6" w:space="0"/>
            </w:tcBorders>
            <w:vAlign w:val="center"/>
          </w:tcPr>
          <w:p w14:paraId="789D9571">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olor w:val="auto"/>
              </w:rPr>
              <w:t>多年主导风向、风向频率</w:t>
            </w:r>
            <w:r>
              <w:rPr>
                <w:rFonts w:hint="eastAsia"/>
                <w:color w:val="auto"/>
                <w:lang w:eastAsia="zh-CN"/>
              </w:rPr>
              <w:t>(</w:t>
            </w:r>
            <w:r>
              <w:rPr>
                <w:color w:val="auto"/>
              </w:rPr>
              <w:t>%)</w:t>
            </w:r>
          </w:p>
        </w:tc>
        <w:tc>
          <w:tcPr>
            <w:tcW w:w="827" w:type="pct"/>
            <w:tcBorders>
              <w:top w:val="single" w:color="000001" w:sz="6" w:space="0"/>
              <w:left w:val="single" w:color="000001" w:sz="6" w:space="0"/>
              <w:bottom w:val="single" w:color="000001" w:sz="6" w:space="0"/>
              <w:right w:val="single" w:color="000001" w:sz="6" w:space="0"/>
            </w:tcBorders>
            <w:vAlign w:val="center"/>
          </w:tcPr>
          <w:p w14:paraId="0FDA8552">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ENE</w:t>
            </w:r>
          </w:p>
        </w:tc>
        <w:tc>
          <w:tcPr>
            <w:tcW w:w="1028" w:type="pct"/>
            <w:tcBorders>
              <w:top w:val="single" w:color="000001" w:sz="6" w:space="0"/>
              <w:left w:val="single" w:color="000001" w:sz="6" w:space="0"/>
              <w:bottom w:val="single" w:color="000001" w:sz="6" w:space="0"/>
              <w:right w:val="single" w:color="000001" w:sz="6" w:space="0"/>
            </w:tcBorders>
            <w:vAlign w:val="center"/>
          </w:tcPr>
          <w:p w14:paraId="001FCD36">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14:paraId="0DEA233C">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w:t>
            </w:r>
          </w:p>
        </w:tc>
      </w:tr>
      <w:tr w14:paraId="6E248301">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0" w:type="auto"/>
            <w:gridSpan w:val="2"/>
            <w:vMerge w:val="continue"/>
            <w:tcBorders>
              <w:top w:val="single" w:color="000001" w:sz="6" w:space="0"/>
              <w:left w:val="single" w:color="000001" w:sz="8" w:space="0"/>
              <w:bottom w:val="single" w:color="000001" w:sz="6" w:space="0"/>
              <w:right w:val="single" w:color="000001" w:sz="6" w:space="0"/>
            </w:tcBorders>
            <w:vAlign w:val="center"/>
          </w:tcPr>
          <w:p w14:paraId="224C3D6F">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p>
        </w:tc>
        <w:tc>
          <w:tcPr>
            <w:tcW w:w="1378" w:type="dxa"/>
            <w:tcBorders>
              <w:top w:val="single" w:color="000001" w:sz="6" w:space="0"/>
              <w:left w:val="single" w:color="000001" w:sz="6" w:space="0"/>
              <w:bottom w:val="single" w:color="000001" w:sz="6" w:space="0"/>
              <w:right w:val="single" w:color="000001" w:sz="6" w:space="0"/>
            </w:tcBorders>
            <w:vAlign w:val="top"/>
          </w:tcPr>
          <w:p w14:paraId="66FE5C51">
            <w:pPr>
              <w:keepNext w:val="0"/>
              <w:keepLines w:val="0"/>
              <w:pageBreakBefore w:val="0"/>
              <w:widowControl w:val="0"/>
              <w:kinsoku/>
              <w:wordWrap/>
              <w:overflowPunct/>
              <w:topLinePunct w:val="0"/>
              <w:autoSpaceDE/>
              <w:autoSpaceDN/>
              <w:bidi w:val="0"/>
              <w:adjustRightInd w:val="0"/>
              <w:snapToGrid w:val="0"/>
              <w:spacing w:before="140" w:line="187" w:lineRule="auto"/>
              <w:ind w:left="520" w:leftChars="0" w:firstLine="0" w:firstLineChars="0"/>
              <w:textAlignment w:val="auto"/>
              <w:rPr>
                <w:color w:val="auto"/>
              </w:rPr>
            </w:pPr>
            <w:r>
              <w:rPr>
                <w:rFonts w:ascii="Times New Roman" w:hAnsi="Times New Roman" w:eastAsia="Times New Roman" w:cs="Times New Roman"/>
                <w:spacing w:val="-6"/>
                <w:sz w:val="21"/>
                <w:szCs w:val="21"/>
              </w:rPr>
              <w:t>17.1</w:t>
            </w:r>
          </w:p>
        </w:tc>
        <w:tc>
          <w:tcPr>
            <w:tcW w:w="1028" w:type="pct"/>
            <w:tcBorders>
              <w:top w:val="single" w:color="000001" w:sz="6" w:space="0"/>
              <w:left w:val="single" w:color="000001" w:sz="6" w:space="0"/>
              <w:bottom w:val="single" w:color="000001" w:sz="6" w:space="0"/>
              <w:right w:val="single" w:color="000001" w:sz="6" w:space="0"/>
            </w:tcBorders>
            <w:vAlign w:val="center"/>
          </w:tcPr>
          <w:p w14:paraId="0F302648">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w:t>
            </w:r>
          </w:p>
        </w:tc>
        <w:tc>
          <w:tcPr>
            <w:tcW w:w="814" w:type="pct"/>
            <w:tcBorders>
              <w:top w:val="single" w:color="000001" w:sz="6" w:space="0"/>
              <w:left w:val="single" w:color="000001" w:sz="6" w:space="0"/>
              <w:bottom w:val="single" w:color="000001" w:sz="6" w:space="0"/>
              <w:right w:val="single" w:color="000001" w:sz="8" w:space="0"/>
            </w:tcBorders>
            <w:vAlign w:val="center"/>
          </w:tcPr>
          <w:p w14:paraId="4B745329">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w:t>
            </w:r>
          </w:p>
        </w:tc>
      </w:tr>
      <w:tr w14:paraId="026389B2">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7" w:hRule="atLeast"/>
        </w:trPr>
        <w:tc>
          <w:tcPr>
            <w:tcW w:w="2331" w:type="pct"/>
            <w:gridSpan w:val="2"/>
            <w:tcBorders>
              <w:top w:val="single" w:color="000001" w:sz="6" w:space="0"/>
              <w:left w:val="single" w:color="000001" w:sz="8" w:space="0"/>
              <w:bottom w:val="single" w:color="000001" w:sz="8" w:space="0"/>
              <w:right w:val="single" w:color="000001" w:sz="6" w:space="0"/>
            </w:tcBorders>
            <w:vAlign w:val="center"/>
          </w:tcPr>
          <w:p w14:paraId="786955C2">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rFonts w:hint="eastAsia"/>
                <w:color w:val="auto"/>
              </w:rPr>
              <w:t>多年静风频率</w:t>
            </w:r>
            <w:r>
              <w:rPr>
                <w:rFonts w:hint="eastAsia"/>
                <w:color w:val="auto"/>
                <w:lang w:eastAsia="zh-CN"/>
              </w:rPr>
              <w:t>（</w:t>
            </w:r>
            <w:r>
              <w:rPr>
                <w:rFonts w:hint="eastAsia"/>
                <w:color w:val="auto"/>
              </w:rPr>
              <w:t>风速</w:t>
            </w:r>
            <w:r>
              <w:rPr>
                <w:rFonts w:hint="eastAsia"/>
                <w:color w:val="auto"/>
                <w:lang w:eastAsia="zh-CN"/>
              </w:rPr>
              <w:t>&lt;</w:t>
            </w:r>
            <w:r>
              <w:rPr>
                <w:color w:val="auto"/>
              </w:rPr>
              <w:t>0.2m/s</w:t>
            </w:r>
            <w:r>
              <w:rPr>
                <w:rFonts w:hint="eastAsia"/>
                <w:color w:val="auto"/>
                <w:lang w:eastAsia="zh-CN"/>
              </w:rPr>
              <w:t>）</w:t>
            </w:r>
            <w:r>
              <w:rPr>
                <w:color w:val="auto"/>
              </w:rPr>
              <w:t>(%)</w:t>
            </w:r>
          </w:p>
        </w:tc>
        <w:tc>
          <w:tcPr>
            <w:tcW w:w="1378" w:type="dxa"/>
            <w:tcBorders>
              <w:top w:val="single" w:color="000001" w:sz="6" w:space="0"/>
              <w:left w:val="single" w:color="000001" w:sz="6" w:space="0"/>
              <w:bottom w:val="single" w:color="000001" w:sz="8" w:space="0"/>
              <w:right w:val="single" w:color="000001" w:sz="6" w:space="0"/>
            </w:tcBorders>
            <w:vAlign w:val="top"/>
          </w:tcPr>
          <w:p w14:paraId="3C34F6DC">
            <w:pPr>
              <w:keepNext w:val="0"/>
              <w:keepLines w:val="0"/>
              <w:pageBreakBefore w:val="0"/>
              <w:widowControl w:val="0"/>
              <w:kinsoku/>
              <w:wordWrap/>
              <w:overflowPunct/>
              <w:topLinePunct w:val="0"/>
              <w:autoSpaceDE/>
              <w:autoSpaceDN/>
              <w:bidi w:val="0"/>
              <w:adjustRightInd w:val="0"/>
              <w:snapToGrid w:val="0"/>
              <w:spacing w:before="140" w:line="187" w:lineRule="auto"/>
              <w:ind w:left="557" w:leftChars="0" w:firstLine="0" w:firstLineChars="0"/>
              <w:textAlignment w:val="auto"/>
              <w:rPr>
                <w:color w:val="auto"/>
              </w:rPr>
            </w:pPr>
            <w:r>
              <w:rPr>
                <w:rFonts w:ascii="Times New Roman" w:hAnsi="Times New Roman" w:eastAsia="Times New Roman" w:cs="Times New Roman"/>
                <w:spacing w:val="-2"/>
                <w:sz w:val="21"/>
                <w:szCs w:val="21"/>
              </w:rPr>
              <w:t>9.9</w:t>
            </w:r>
          </w:p>
        </w:tc>
        <w:tc>
          <w:tcPr>
            <w:tcW w:w="1028" w:type="pct"/>
            <w:tcBorders>
              <w:top w:val="single" w:color="000001" w:sz="6" w:space="0"/>
              <w:left w:val="single" w:color="000001" w:sz="6" w:space="0"/>
              <w:bottom w:val="single" w:color="000001" w:sz="8" w:space="0"/>
              <w:right w:val="single" w:color="000001" w:sz="6" w:space="0"/>
            </w:tcBorders>
            <w:vAlign w:val="center"/>
          </w:tcPr>
          <w:p w14:paraId="7F06335C">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w:t>
            </w:r>
          </w:p>
        </w:tc>
        <w:tc>
          <w:tcPr>
            <w:tcW w:w="814" w:type="pct"/>
            <w:tcBorders>
              <w:top w:val="single" w:color="000001" w:sz="6" w:space="0"/>
              <w:left w:val="single" w:color="000001" w:sz="6" w:space="0"/>
              <w:bottom w:val="single" w:color="000001" w:sz="8" w:space="0"/>
              <w:right w:val="single" w:color="000001" w:sz="8" w:space="0"/>
            </w:tcBorders>
            <w:vAlign w:val="center"/>
          </w:tcPr>
          <w:p w14:paraId="63FFA710">
            <w:pPr>
              <w:pStyle w:val="182"/>
              <w:keepNext w:val="0"/>
              <w:keepLines w:val="0"/>
              <w:pageBreakBefore w:val="0"/>
              <w:widowControl w:val="0"/>
              <w:kinsoku/>
              <w:wordWrap/>
              <w:overflowPunct/>
              <w:topLinePunct w:val="0"/>
              <w:autoSpaceDE/>
              <w:autoSpaceDN/>
              <w:bidi w:val="0"/>
              <w:adjustRightInd w:val="0"/>
              <w:snapToGrid w:val="0"/>
              <w:ind w:firstLine="0" w:firstLineChars="0"/>
              <w:textAlignment w:val="auto"/>
              <w:rPr>
                <w:color w:val="auto"/>
              </w:rPr>
            </w:pPr>
            <w:r>
              <w:rPr>
                <w:color w:val="auto"/>
              </w:rPr>
              <w:t>/</w:t>
            </w:r>
          </w:p>
        </w:tc>
      </w:tr>
    </w:tbl>
    <w:p w14:paraId="46A23819">
      <w:pPr>
        <w:pStyle w:val="5"/>
        <w:bidi w:val="0"/>
        <w:rPr>
          <w:color w:val="auto"/>
        </w:rPr>
      </w:pPr>
      <w:r>
        <w:rPr>
          <w:rFonts w:hint="eastAsia"/>
          <w:color w:val="auto"/>
          <w:lang w:eastAsia="zh-CN"/>
        </w:rPr>
        <w:t>气象站</w:t>
      </w:r>
      <w:r>
        <w:rPr>
          <w:rFonts w:hint="eastAsia"/>
          <w:color w:val="auto"/>
        </w:rPr>
        <w:t>风观测数据统计</w:t>
      </w:r>
    </w:p>
    <w:p w14:paraId="49B4F32F">
      <w:pPr>
        <w:bidi w:val="0"/>
        <w:rPr>
          <w:color w:val="auto"/>
        </w:rPr>
      </w:pPr>
      <w:r>
        <w:rPr>
          <w:rFonts w:hint="eastAsia"/>
          <w:color w:val="auto"/>
          <w:lang w:val="en-US" w:eastAsia="zh-CN"/>
        </w:rPr>
        <w:t>1、</w:t>
      </w:r>
      <w:r>
        <w:rPr>
          <w:color w:val="auto"/>
        </w:rPr>
        <w:t>月平均风速</w:t>
      </w:r>
    </w:p>
    <w:p w14:paraId="5AF40D0A">
      <w:pPr>
        <w:bidi w:val="0"/>
        <w:rPr>
          <w:rFonts w:cs="宋体"/>
          <w:color w:val="auto"/>
          <w:kern w:val="0"/>
          <w:szCs w:val="20"/>
        </w:rPr>
      </w:pPr>
      <w:r>
        <w:rPr>
          <w:color w:val="auto"/>
        </w:rPr>
        <w:t>新乡气象站月平均风速如表</w:t>
      </w:r>
      <w:r>
        <w:rPr>
          <w:rFonts w:hint="eastAsia"/>
          <w:color w:val="auto"/>
        </w:rPr>
        <w:t>5</w:t>
      </w:r>
      <w:r>
        <w:rPr>
          <w:rFonts w:hint="eastAsia"/>
          <w:color w:val="auto"/>
          <w:lang w:val="en-US" w:eastAsia="zh-CN"/>
        </w:rPr>
        <w:t>.1</w:t>
      </w:r>
      <w:r>
        <w:rPr>
          <w:rFonts w:hint="eastAsia"/>
          <w:color w:val="auto"/>
        </w:rPr>
        <w:t>-</w:t>
      </w:r>
      <w:r>
        <w:rPr>
          <w:color w:val="auto"/>
        </w:rPr>
        <w:t>2，04月平均风速最大（2.6米/秒），09月风最小（1.7米/秒）。</w:t>
      </w:r>
    </w:p>
    <w:p w14:paraId="0A4FACB8">
      <w:pPr>
        <w:pStyle w:val="10"/>
        <w:bidi w:val="0"/>
        <w:rPr>
          <w:rFonts w:eastAsia="Times New Roman" w:cs="宋体"/>
          <w:b/>
          <w:color w:val="auto"/>
        </w:rPr>
      </w:pPr>
      <w:r>
        <w:rPr>
          <w:lang w:val="en-US" w:eastAsia="zh-CN"/>
        </w:rPr>
        <w:t xml:space="preserve">表 </w:t>
      </w:r>
      <w:r>
        <w:rPr>
          <w:lang w:val="en-US" w:eastAsia="zh-CN"/>
        </w:rPr>
        <w:fldChar w:fldCharType="begin"/>
      </w:r>
      <w:r>
        <w:rPr>
          <w:lang w:val="en-US" w:eastAsia="zh-CN"/>
        </w:rPr>
        <w:instrText xml:space="preserve"> STYLEREF 2 \s </w:instrText>
      </w:r>
      <w:r>
        <w:rPr>
          <w:lang w:val="en-US" w:eastAsia="zh-CN"/>
        </w:rPr>
        <w:fldChar w:fldCharType="separate"/>
      </w:r>
      <w:r>
        <w:rPr>
          <w:lang w:val="en-US" w:eastAsia="zh-CN"/>
        </w:rPr>
        <w:t>6.1</w:t>
      </w:r>
      <w:r>
        <w:rPr>
          <w:lang w:val="en-US" w:eastAsia="zh-CN"/>
        </w:rPr>
        <w:fldChar w:fldCharType="end"/>
      </w:r>
      <w:r>
        <w:rPr>
          <w:rFonts w:hint="eastAsia"/>
          <w:lang w:val="en-US" w:eastAsia="zh-CN"/>
        </w:rPr>
        <w:t>-</w:t>
      </w:r>
      <w:r>
        <w:rPr>
          <w:lang w:val="en-US" w:eastAsia="zh-CN"/>
        </w:rPr>
        <w:fldChar w:fldCharType="begin"/>
      </w:r>
      <w:r>
        <w:rPr>
          <w:lang w:val="en-US" w:eastAsia="zh-CN"/>
        </w:rPr>
        <w:instrText xml:space="preserve"> SEQ 表 \* ARABIC \s 2 </w:instrText>
      </w:r>
      <w:r>
        <w:rPr>
          <w:lang w:val="en-US" w:eastAsia="zh-CN"/>
        </w:rPr>
        <w:fldChar w:fldCharType="separate"/>
      </w:r>
      <w:r>
        <w:rPr>
          <w:lang w:val="en-US" w:eastAsia="zh-CN"/>
        </w:rPr>
        <w:t>2</w:t>
      </w:r>
      <w:r>
        <w:rPr>
          <w:lang w:val="en-US" w:eastAsia="zh-CN"/>
        </w:rPr>
        <w:fldChar w:fldCharType="end"/>
      </w:r>
      <w:r>
        <w:rPr>
          <w:lang w:val="en-US" w:eastAsia="zh-CN"/>
        </w:rPr>
        <w:t xml:space="preserve"> </w:t>
      </w:r>
      <w:r>
        <w:rPr>
          <w:rFonts w:hint="eastAsia"/>
          <w:lang w:val="en-US" w:eastAsia="zh-CN"/>
        </w:rPr>
        <w:t>新乡气象站月平均风速统计（单位</w:t>
      </w:r>
      <w:r>
        <w:rPr>
          <w:lang w:val="en-US" w:eastAsia="zh-CN"/>
        </w:rPr>
        <w:t>m/s</w:t>
      </w:r>
      <w:r>
        <w:rPr>
          <w:rFonts w:hint="eastAsia"/>
          <w:lang w:val="en-US" w:eastAsia="zh-CN"/>
        </w:rPr>
        <w:t>）</w:t>
      </w:r>
    </w:p>
    <w:tbl>
      <w:tblPr>
        <w:tblStyle w:val="31"/>
        <w:tblW w:w="5000" w:type="pct"/>
        <w:jc w:val="center"/>
        <w:tblBorders>
          <w:top w:val="single" w:color="000001" w:sz="8" w:space="0"/>
          <w:left w:val="single" w:color="000001" w:sz="8" w:space="0"/>
          <w:bottom w:val="single" w:color="000001" w:sz="8" w:space="0"/>
          <w:right w:val="single" w:color="000001" w:sz="8" w:space="0"/>
          <w:insideH w:val="single" w:color="auto" w:sz="4" w:space="0"/>
          <w:insideV w:val="single" w:color="auto" w:sz="4" w:space="0"/>
        </w:tblBorders>
        <w:tblLayout w:type="autofit"/>
        <w:tblCellMar>
          <w:top w:w="0" w:type="dxa"/>
          <w:left w:w="0" w:type="dxa"/>
          <w:bottom w:w="0" w:type="dxa"/>
          <w:right w:w="0" w:type="dxa"/>
        </w:tblCellMar>
      </w:tblPr>
      <w:tblGrid>
        <w:gridCol w:w="997"/>
        <w:gridCol w:w="600"/>
        <w:gridCol w:w="620"/>
        <w:gridCol w:w="600"/>
        <w:gridCol w:w="620"/>
        <w:gridCol w:w="620"/>
        <w:gridCol w:w="600"/>
        <w:gridCol w:w="620"/>
        <w:gridCol w:w="620"/>
        <w:gridCol w:w="600"/>
        <w:gridCol w:w="620"/>
        <w:gridCol w:w="600"/>
        <w:gridCol w:w="613"/>
      </w:tblGrid>
      <w:tr w14:paraId="199E789C">
        <w:tblPrEx>
          <w:tblBorders>
            <w:top w:val="single" w:color="000001" w:sz="8" w:space="0"/>
            <w:left w:val="single" w:color="000001" w:sz="8" w:space="0"/>
            <w:bottom w:val="single" w:color="000001" w:sz="8" w:space="0"/>
            <w:right w:val="single" w:color="000001"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9" w:type="pct"/>
            <w:shd w:val="clear" w:color="auto" w:fill="auto"/>
            <w:vAlign w:val="center"/>
          </w:tcPr>
          <w:p w14:paraId="67966400">
            <w:pPr>
              <w:pStyle w:val="182"/>
              <w:bidi w:val="0"/>
              <w:rPr>
                <w:color w:val="auto"/>
              </w:rPr>
            </w:pPr>
            <w:r>
              <w:rPr>
                <w:color w:val="auto"/>
              </w:rPr>
              <w:drawing>
                <wp:anchor distT="0" distB="0" distL="114300" distR="114300" simplePos="0" relativeHeight="251686912" behindDoc="1" locked="0" layoutInCell="0" allowOverlap="1">
                  <wp:simplePos x="0" y="0"/>
                  <wp:positionH relativeFrom="column">
                    <wp:posOffset>1280795</wp:posOffset>
                  </wp:positionH>
                  <wp:positionV relativeFrom="paragraph">
                    <wp:posOffset>95250</wp:posOffset>
                  </wp:positionV>
                  <wp:extent cx="1270" cy="20320"/>
                  <wp:effectExtent l="0" t="0" r="13970" b="2540"/>
                  <wp:wrapNone/>
                  <wp:docPr id="33" name="图片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144"/>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87936" behindDoc="1" locked="0" layoutInCell="0" allowOverlap="1">
                  <wp:simplePos x="0" y="0"/>
                  <wp:positionH relativeFrom="column">
                    <wp:posOffset>1671955</wp:posOffset>
                  </wp:positionH>
                  <wp:positionV relativeFrom="paragraph">
                    <wp:posOffset>95250</wp:posOffset>
                  </wp:positionV>
                  <wp:extent cx="1270" cy="20320"/>
                  <wp:effectExtent l="0" t="0" r="13970" b="2540"/>
                  <wp:wrapNone/>
                  <wp:docPr id="9" name="图片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145"/>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88960" behindDoc="1" locked="0" layoutInCell="0" allowOverlap="1">
                  <wp:simplePos x="0" y="0"/>
                  <wp:positionH relativeFrom="column">
                    <wp:posOffset>2059305</wp:posOffset>
                  </wp:positionH>
                  <wp:positionV relativeFrom="paragraph">
                    <wp:posOffset>95250</wp:posOffset>
                  </wp:positionV>
                  <wp:extent cx="1270" cy="20320"/>
                  <wp:effectExtent l="0" t="0" r="13970" b="2540"/>
                  <wp:wrapNone/>
                  <wp:docPr id="28" name="图片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146"/>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89984" behindDoc="1" locked="0" layoutInCell="0" allowOverlap="1">
                  <wp:simplePos x="0" y="0"/>
                  <wp:positionH relativeFrom="column">
                    <wp:posOffset>2447925</wp:posOffset>
                  </wp:positionH>
                  <wp:positionV relativeFrom="paragraph">
                    <wp:posOffset>95250</wp:posOffset>
                  </wp:positionV>
                  <wp:extent cx="1270" cy="20320"/>
                  <wp:effectExtent l="0" t="0" r="13970" b="2540"/>
                  <wp:wrapNone/>
                  <wp:docPr id="24" name="图片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147"/>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1008" behindDoc="1" locked="0" layoutInCell="0" allowOverlap="1">
                  <wp:simplePos x="0" y="0"/>
                  <wp:positionH relativeFrom="column">
                    <wp:posOffset>2836545</wp:posOffset>
                  </wp:positionH>
                  <wp:positionV relativeFrom="paragraph">
                    <wp:posOffset>95250</wp:posOffset>
                  </wp:positionV>
                  <wp:extent cx="1270" cy="20320"/>
                  <wp:effectExtent l="0" t="0" r="13970" b="2540"/>
                  <wp:wrapNone/>
                  <wp:docPr id="32" name="图片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148"/>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2032" behindDoc="1" locked="0" layoutInCell="0" allowOverlap="1">
                  <wp:simplePos x="0" y="0"/>
                  <wp:positionH relativeFrom="column">
                    <wp:posOffset>3223895</wp:posOffset>
                  </wp:positionH>
                  <wp:positionV relativeFrom="paragraph">
                    <wp:posOffset>95250</wp:posOffset>
                  </wp:positionV>
                  <wp:extent cx="1270" cy="20320"/>
                  <wp:effectExtent l="0" t="0" r="13970" b="2540"/>
                  <wp:wrapNone/>
                  <wp:docPr id="34" name="图片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149"/>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3056" behindDoc="1" locked="0" layoutInCell="0" allowOverlap="1">
                  <wp:simplePos x="0" y="0"/>
                  <wp:positionH relativeFrom="column">
                    <wp:posOffset>3612515</wp:posOffset>
                  </wp:positionH>
                  <wp:positionV relativeFrom="paragraph">
                    <wp:posOffset>95250</wp:posOffset>
                  </wp:positionV>
                  <wp:extent cx="1270" cy="20320"/>
                  <wp:effectExtent l="0" t="0" r="13970" b="2540"/>
                  <wp:wrapNone/>
                  <wp:docPr id="18" name="图片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150"/>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4080" behindDoc="1" locked="0" layoutInCell="0" allowOverlap="1">
                  <wp:simplePos x="0" y="0"/>
                  <wp:positionH relativeFrom="column">
                    <wp:posOffset>4003675</wp:posOffset>
                  </wp:positionH>
                  <wp:positionV relativeFrom="paragraph">
                    <wp:posOffset>95250</wp:posOffset>
                  </wp:positionV>
                  <wp:extent cx="1270" cy="20320"/>
                  <wp:effectExtent l="0" t="0" r="13970" b="2540"/>
                  <wp:wrapNone/>
                  <wp:docPr id="6" name="图片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151"/>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5104" behindDoc="1" locked="0" layoutInCell="0" allowOverlap="1">
                  <wp:simplePos x="0" y="0"/>
                  <wp:positionH relativeFrom="column">
                    <wp:posOffset>4392295</wp:posOffset>
                  </wp:positionH>
                  <wp:positionV relativeFrom="paragraph">
                    <wp:posOffset>95250</wp:posOffset>
                  </wp:positionV>
                  <wp:extent cx="1270" cy="20320"/>
                  <wp:effectExtent l="0" t="0" r="13970" b="2540"/>
                  <wp:wrapNone/>
                  <wp:docPr id="20" name="图片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152"/>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6128" behindDoc="1" locked="0" layoutInCell="0" allowOverlap="1">
                  <wp:simplePos x="0" y="0"/>
                  <wp:positionH relativeFrom="column">
                    <wp:posOffset>4780915</wp:posOffset>
                  </wp:positionH>
                  <wp:positionV relativeFrom="paragraph">
                    <wp:posOffset>95250</wp:posOffset>
                  </wp:positionV>
                  <wp:extent cx="1270" cy="20320"/>
                  <wp:effectExtent l="0" t="0" r="13970" b="2540"/>
                  <wp:wrapNone/>
                  <wp:docPr id="27" name="图片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153"/>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7152" behindDoc="1" locked="0" layoutInCell="0" allowOverlap="1">
                  <wp:simplePos x="0" y="0"/>
                  <wp:positionH relativeFrom="column">
                    <wp:posOffset>5169535</wp:posOffset>
                  </wp:positionH>
                  <wp:positionV relativeFrom="paragraph">
                    <wp:posOffset>95250</wp:posOffset>
                  </wp:positionV>
                  <wp:extent cx="1270" cy="20320"/>
                  <wp:effectExtent l="0" t="0" r="13970" b="2540"/>
                  <wp:wrapNone/>
                  <wp:docPr id="29" name="图片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154"/>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98176" behindDoc="1" locked="0" layoutInCell="0" allowOverlap="1">
                  <wp:simplePos x="0" y="0"/>
                  <wp:positionH relativeFrom="column">
                    <wp:posOffset>5555615</wp:posOffset>
                  </wp:positionH>
                  <wp:positionV relativeFrom="paragraph">
                    <wp:posOffset>95250</wp:posOffset>
                  </wp:positionV>
                  <wp:extent cx="1270" cy="20320"/>
                  <wp:effectExtent l="0" t="0" r="13970" b="2540"/>
                  <wp:wrapNone/>
                  <wp:docPr id="31" name="图片 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155"/>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t>月份</w:t>
            </w:r>
          </w:p>
        </w:tc>
        <w:tc>
          <w:tcPr>
            <w:tcW w:w="360" w:type="pct"/>
            <w:shd w:val="clear" w:color="auto" w:fill="auto"/>
            <w:vAlign w:val="center"/>
          </w:tcPr>
          <w:p w14:paraId="0E760FE7">
            <w:pPr>
              <w:pStyle w:val="182"/>
              <w:bidi w:val="0"/>
              <w:rPr>
                <w:color w:val="auto"/>
              </w:rPr>
            </w:pPr>
            <w:r>
              <w:rPr>
                <w:color w:val="auto"/>
              </w:rPr>
              <w:t>1</w:t>
            </w:r>
          </w:p>
        </w:tc>
        <w:tc>
          <w:tcPr>
            <w:tcW w:w="372" w:type="pct"/>
            <w:shd w:val="clear" w:color="auto" w:fill="auto"/>
            <w:vAlign w:val="center"/>
          </w:tcPr>
          <w:p w14:paraId="3FB22A81">
            <w:pPr>
              <w:pStyle w:val="182"/>
              <w:bidi w:val="0"/>
              <w:rPr>
                <w:color w:val="auto"/>
              </w:rPr>
            </w:pPr>
            <w:r>
              <w:rPr>
                <w:color w:val="auto"/>
              </w:rPr>
              <w:t>2</w:t>
            </w:r>
          </w:p>
        </w:tc>
        <w:tc>
          <w:tcPr>
            <w:tcW w:w="360" w:type="pct"/>
            <w:shd w:val="clear" w:color="auto" w:fill="auto"/>
            <w:vAlign w:val="center"/>
          </w:tcPr>
          <w:p w14:paraId="71D7EBE5">
            <w:pPr>
              <w:pStyle w:val="182"/>
              <w:bidi w:val="0"/>
              <w:rPr>
                <w:color w:val="auto"/>
              </w:rPr>
            </w:pPr>
            <w:r>
              <w:rPr>
                <w:color w:val="auto"/>
              </w:rPr>
              <w:t>3</w:t>
            </w:r>
          </w:p>
        </w:tc>
        <w:tc>
          <w:tcPr>
            <w:tcW w:w="372" w:type="pct"/>
            <w:shd w:val="clear" w:color="auto" w:fill="auto"/>
            <w:vAlign w:val="center"/>
          </w:tcPr>
          <w:p w14:paraId="42259731">
            <w:pPr>
              <w:pStyle w:val="182"/>
              <w:bidi w:val="0"/>
              <w:rPr>
                <w:color w:val="auto"/>
              </w:rPr>
            </w:pPr>
            <w:r>
              <w:rPr>
                <w:color w:val="auto"/>
              </w:rPr>
              <w:t>4</w:t>
            </w:r>
          </w:p>
        </w:tc>
        <w:tc>
          <w:tcPr>
            <w:tcW w:w="372" w:type="pct"/>
            <w:shd w:val="clear" w:color="auto" w:fill="auto"/>
            <w:vAlign w:val="center"/>
          </w:tcPr>
          <w:p w14:paraId="7BC3C7D8">
            <w:pPr>
              <w:pStyle w:val="182"/>
              <w:bidi w:val="0"/>
              <w:rPr>
                <w:color w:val="auto"/>
              </w:rPr>
            </w:pPr>
            <w:r>
              <w:rPr>
                <w:color w:val="auto"/>
              </w:rPr>
              <w:t>5</w:t>
            </w:r>
          </w:p>
        </w:tc>
        <w:tc>
          <w:tcPr>
            <w:tcW w:w="360" w:type="pct"/>
            <w:shd w:val="clear" w:color="auto" w:fill="auto"/>
            <w:vAlign w:val="center"/>
          </w:tcPr>
          <w:p w14:paraId="3713EBEF">
            <w:pPr>
              <w:pStyle w:val="182"/>
              <w:bidi w:val="0"/>
              <w:rPr>
                <w:color w:val="auto"/>
              </w:rPr>
            </w:pPr>
            <w:r>
              <w:rPr>
                <w:color w:val="auto"/>
              </w:rPr>
              <w:t>6</w:t>
            </w:r>
          </w:p>
        </w:tc>
        <w:tc>
          <w:tcPr>
            <w:tcW w:w="372" w:type="pct"/>
            <w:shd w:val="clear" w:color="auto" w:fill="auto"/>
            <w:vAlign w:val="center"/>
          </w:tcPr>
          <w:p w14:paraId="3307F92E">
            <w:pPr>
              <w:pStyle w:val="182"/>
              <w:bidi w:val="0"/>
              <w:rPr>
                <w:color w:val="auto"/>
              </w:rPr>
            </w:pPr>
            <w:r>
              <w:rPr>
                <w:color w:val="auto"/>
              </w:rPr>
              <w:t>7</w:t>
            </w:r>
          </w:p>
        </w:tc>
        <w:tc>
          <w:tcPr>
            <w:tcW w:w="372" w:type="pct"/>
            <w:shd w:val="clear" w:color="auto" w:fill="auto"/>
            <w:vAlign w:val="center"/>
          </w:tcPr>
          <w:p w14:paraId="6823176B">
            <w:pPr>
              <w:pStyle w:val="182"/>
              <w:bidi w:val="0"/>
              <w:rPr>
                <w:color w:val="auto"/>
              </w:rPr>
            </w:pPr>
            <w:r>
              <w:rPr>
                <w:color w:val="auto"/>
              </w:rPr>
              <w:t>8</w:t>
            </w:r>
          </w:p>
        </w:tc>
        <w:tc>
          <w:tcPr>
            <w:tcW w:w="360" w:type="pct"/>
            <w:shd w:val="clear" w:color="auto" w:fill="auto"/>
            <w:vAlign w:val="center"/>
          </w:tcPr>
          <w:p w14:paraId="337BBF2F">
            <w:pPr>
              <w:pStyle w:val="182"/>
              <w:bidi w:val="0"/>
              <w:rPr>
                <w:color w:val="auto"/>
              </w:rPr>
            </w:pPr>
            <w:r>
              <w:rPr>
                <w:color w:val="auto"/>
              </w:rPr>
              <w:t>9</w:t>
            </w:r>
          </w:p>
        </w:tc>
        <w:tc>
          <w:tcPr>
            <w:tcW w:w="372" w:type="pct"/>
            <w:shd w:val="clear" w:color="auto" w:fill="auto"/>
            <w:vAlign w:val="center"/>
          </w:tcPr>
          <w:p w14:paraId="6494EC7C">
            <w:pPr>
              <w:pStyle w:val="182"/>
              <w:bidi w:val="0"/>
              <w:rPr>
                <w:color w:val="auto"/>
              </w:rPr>
            </w:pPr>
            <w:r>
              <w:rPr>
                <w:color w:val="auto"/>
              </w:rPr>
              <w:t>10</w:t>
            </w:r>
          </w:p>
        </w:tc>
        <w:tc>
          <w:tcPr>
            <w:tcW w:w="360" w:type="pct"/>
            <w:shd w:val="clear" w:color="auto" w:fill="auto"/>
            <w:vAlign w:val="center"/>
          </w:tcPr>
          <w:p w14:paraId="101FB251">
            <w:pPr>
              <w:pStyle w:val="182"/>
              <w:bidi w:val="0"/>
              <w:rPr>
                <w:color w:val="auto"/>
              </w:rPr>
            </w:pPr>
            <w:r>
              <w:rPr>
                <w:color w:val="auto"/>
              </w:rPr>
              <w:t>11</w:t>
            </w:r>
          </w:p>
        </w:tc>
        <w:tc>
          <w:tcPr>
            <w:tcW w:w="368" w:type="pct"/>
            <w:shd w:val="clear" w:color="auto" w:fill="auto"/>
            <w:vAlign w:val="center"/>
          </w:tcPr>
          <w:p w14:paraId="48DCC9C6">
            <w:pPr>
              <w:pStyle w:val="182"/>
              <w:bidi w:val="0"/>
              <w:rPr>
                <w:color w:val="auto"/>
              </w:rPr>
            </w:pPr>
            <w:r>
              <w:rPr>
                <w:color w:val="auto"/>
              </w:rPr>
              <w:t>12</w:t>
            </w:r>
          </w:p>
        </w:tc>
      </w:tr>
      <w:tr w14:paraId="3C2EC801">
        <w:tblPrEx>
          <w:tblBorders>
            <w:top w:val="single" w:color="000001" w:sz="8" w:space="0"/>
            <w:left w:val="single" w:color="000001" w:sz="8" w:space="0"/>
            <w:bottom w:val="single" w:color="000001" w:sz="8" w:space="0"/>
            <w:right w:val="single" w:color="000001"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99" w:type="pct"/>
            <w:shd w:val="clear" w:color="auto" w:fill="auto"/>
            <w:vAlign w:val="center"/>
          </w:tcPr>
          <w:p w14:paraId="17790128">
            <w:pPr>
              <w:pStyle w:val="182"/>
              <w:bidi w:val="0"/>
              <w:rPr>
                <w:color w:val="auto"/>
              </w:rPr>
            </w:pPr>
            <w:r>
              <w:rPr>
                <w:color w:val="auto"/>
              </w:rPr>
              <w:t>平均风速</w:t>
            </w:r>
          </w:p>
        </w:tc>
        <w:tc>
          <w:tcPr>
            <w:tcW w:w="360" w:type="pct"/>
            <w:shd w:val="clear" w:color="auto" w:fill="auto"/>
            <w:vAlign w:val="center"/>
          </w:tcPr>
          <w:p w14:paraId="37C61AC7">
            <w:pPr>
              <w:pStyle w:val="182"/>
              <w:bidi w:val="0"/>
              <w:rPr>
                <w:color w:val="auto"/>
              </w:rPr>
            </w:pPr>
            <w:r>
              <w:rPr>
                <w:color w:val="auto"/>
              </w:rPr>
              <w:t>2.</w:t>
            </w:r>
            <w:r>
              <w:rPr>
                <w:rFonts w:hint="eastAsia"/>
                <w:color w:val="auto"/>
              </w:rPr>
              <w:t>0</w:t>
            </w:r>
          </w:p>
        </w:tc>
        <w:tc>
          <w:tcPr>
            <w:tcW w:w="372" w:type="pct"/>
            <w:shd w:val="clear" w:color="auto" w:fill="auto"/>
            <w:vAlign w:val="center"/>
          </w:tcPr>
          <w:p w14:paraId="36899706">
            <w:pPr>
              <w:pStyle w:val="182"/>
              <w:bidi w:val="0"/>
              <w:rPr>
                <w:color w:val="auto"/>
              </w:rPr>
            </w:pPr>
            <w:r>
              <w:rPr>
                <w:color w:val="auto"/>
              </w:rPr>
              <w:t>2.3</w:t>
            </w:r>
          </w:p>
        </w:tc>
        <w:tc>
          <w:tcPr>
            <w:tcW w:w="360" w:type="pct"/>
            <w:shd w:val="clear" w:color="auto" w:fill="auto"/>
            <w:vAlign w:val="center"/>
          </w:tcPr>
          <w:p w14:paraId="64EA4C31">
            <w:pPr>
              <w:pStyle w:val="182"/>
              <w:bidi w:val="0"/>
              <w:rPr>
                <w:color w:val="auto"/>
              </w:rPr>
            </w:pPr>
            <w:r>
              <w:rPr>
                <w:color w:val="auto"/>
              </w:rPr>
              <w:t>2.</w:t>
            </w:r>
            <w:r>
              <w:rPr>
                <w:rFonts w:hint="eastAsia"/>
                <w:color w:val="auto"/>
              </w:rPr>
              <w:t>6</w:t>
            </w:r>
          </w:p>
        </w:tc>
        <w:tc>
          <w:tcPr>
            <w:tcW w:w="372" w:type="pct"/>
            <w:shd w:val="clear" w:color="auto" w:fill="auto"/>
            <w:vAlign w:val="center"/>
          </w:tcPr>
          <w:p w14:paraId="64C2C8E7">
            <w:pPr>
              <w:pStyle w:val="182"/>
              <w:bidi w:val="0"/>
              <w:rPr>
                <w:color w:val="auto"/>
              </w:rPr>
            </w:pPr>
            <w:r>
              <w:rPr>
                <w:color w:val="auto"/>
              </w:rPr>
              <w:t>2.</w:t>
            </w:r>
            <w:r>
              <w:rPr>
                <w:rFonts w:hint="eastAsia"/>
                <w:color w:val="auto"/>
              </w:rPr>
              <w:t>6</w:t>
            </w:r>
          </w:p>
        </w:tc>
        <w:tc>
          <w:tcPr>
            <w:tcW w:w="372" w:type="pct"/>
            <w:shd w:val="clear" w:color="auto" w:fill="auto"/>
            <w:vAlign w:val="center"/>
          </w:tcPr>
          <w:p w14:paraId="3053F2D2">
            <w:pPr>
              <w:pStyle w:val="182"/>
              <w:bidi w:val="0"/>
              <w:rPr>
                <w:color w:val="auto"/>
              </w:rPr>
            </w:pPr>
            <w:r>
              <w:rPr>
                <w:color w:val="auto"/>
              </w:rPr>
              <w:t>2.</w:t>
            </w:r>
            <w:r>
              <w:rPr>
                <w:rFonts w:hint="eastAsia"/>
                <w:color w:val="auto"/>
              </w:rPr>
              <w:t>4</w:t>
            </w:r>
          </w:p>
        </w:tc>
        <w:tc>
          <w:tcPr>
            <w:tcW w:w="360" w:type="pct"/>
            <w:shd w:val="clear" w:color="auto" w:fill="auto"/>
            <w:vAlign w:val="center"/>
          </w:tcPr>
          <w:p w14:paraId="5CE48736">
            <w:pPr>
              <w:pStyle w:val="182"/>
              <w:bidi w:val="0"/>
              <w:rPr>
                <w:color w:val="auto"/>
              </w:rPr>
            </w:pPr>
            <w:r>
              <w:rPr>
                <w:color w:val="auto"/>
              </w:rPr>
              <w:t>2.2</w:t>
            </w:r>
          </w:p>
        </w:tc>
        <w:tc>
          <w:tcPr>
            <w:tcW w:w="372" w:type="pct"/>
            <w:shd w:val="clear" w:color="auto" w:fill="auto"/>
            <w:vAlign w:val="center"/>
          </w:tcPr>
          <w:p w14:paraId="0AC90C96">
            <w:pPr>
              <w:pStyle w:val="182"/>
              <w:bidi w:val="0"/>
              <w:rPr>
                <w:color w:val="auto"/>
              </w:rPr>
            </w:pPr>
            <w:r>
              <w:rPr>
                <w:color w:val="auto"/>
              </w:rPr>
              <w:t>2.0</w:t>
            </w:r>
          </w:p>
        </w:tc>
        <w:tc>
          <w:tcPr>
            <w:tcW w:w="372" w:type="pct"/>
            <w:shd w:val="clear" w:color="auto" w:fill="auto"/>
            <w:vAlign w:val="center"/>
          </w:tcPr>
          <w:p w14:paraId="08FECFC5">
            <w:pPr>
              <w:pStyle w:val="182"/>
              <w:bidi w:val="0"/>
              <w:rPr>
                <w:color w:val="auto"/>
              </w:rPr>
            </w:pPr>
            <w:r>
              <w:rPr>
                <w:color w:val="auto"/>
              </w:rPr>
              <w:t>1.9</w:t>
            </w:r>
          </w:p>
        </w:tc>
        <w:tc>
          <w:tcPr>
            <w:tcW w:w="360" w:type="pct"/>
            <w:shd w:val="clear" w:color="auto" w:fill="auto"/>
            <w:vAlign w:val="center"/>
          </w:tcPr>
          <w:p w14:paraId="5968754D">
            <w:pPr>
              <w:pStyle w:val="182"/>
              <w:bidi w:val="0"/>
              <w:rPr>
                <w:color w:val="auto"/>
              </w:rPr>
            </w:pPr>
            <w:r>
              <w:rPr>
                <w:color w:val="auto"/>
              </w:rPr>
              <w:t>1.7</w:t>
            </w:r>
          </w:p>
        </w:tc>
        <w:tc>
          <w:tcPr>
            <w:tcW w:w="372" w:type="pct"/>
            <w:shd w:val="clear" w:color="auto" w:fill="auto"/>
            <w:vAlign w:val="center"/>
          </w:tcPr>
          <w:p w14:paraId="087B3191">
            <w:pPr>
              <w:pStyle w:val="182"/>
              <w:bidi w:val="0"/>
              <w:rPr>
                <w:color w:val="auto"/>
              </w:rPr>
            </w:pPr>
            <w:r>
              <w:rPr>
                <w:color w:val="auto"/>
              </w:rPr>
              <w:t>1.</w:t>
            </w:r>
            <w:r>
              <w:rPr>
                <w:rFonts w:hint="eastAsia"/>
                <w:color w:val="auto"/>
              </w:rPr>
              <w:t>7</w:t>
            </w:r>
          </w:p>
        </w:tc>
        <w:tc>
          <w:tcPr>
            <w:tcW w:w="360" w:type="pct"/>
            <w:shd w:val="clear" w:color="auto" w:fill="auto"/>
            <w:vAlign w:val="center"/>
          </w:tcPr>
          <w:p w14:paraId="15F9C251">
            <w:pPr>
              <w:pStyle w:val="182"/>
              <w:bidi w:val="0"/>
              <w:rPr>
                <w:color w:val="auto"/>
              </w:rPr>
            </w:pPr>
            <w:r>
              <w:rPr>
                <w:color w:val="auto"/>
              </w:rPr>
              <w:t>1.9</w:t>
            </w:r>
          </w:p>
        </w:tc>
        <w:tc>
          <w:tcPr>
            <w:tcW w:w="368" w:type="pct"/>
            <w:shd w:val="clear" w:color="auto" w:fill="auto"/>
            <w:vAlign w:val="center"/>
          </w:tcPr>
          <w:p w14:paraId="53009794">
            <w:pPr>
              <w:pStyle w:val="182"/>
              <w:bidi w:val="0"/>
              <w:rPr>
                <w:color w:val="auto"/>
              </w:rPr>
            </w:pPr>
            <w:r>
              <w:rPr>
                <w:color w:val="auto"/>
              </w:rPr>
              <w:t>2.0</w:t>
            </w:r>
          </w:p>
        </w:tc>
      </w:tr>
    </w:tbl>
    <w:p w14:paraId="67B78F36">
      <w:pPr>
        <w:bidi w:val="0"/>
        <w:rPr>
          <w:color w:val="auto"/>
        </w:rPr>
      </w:pPr>
      <w:r>
        <w:rPr>
          <w:rFonts w:hint="eastAsia"/>
          <w:color w:val="auto"/>
          <w:lang w:val="en-US" w:eastAsia="zh-CN"/>
        </w:rPr>
        <w:t>2、</w:t>
      </w:r>
      <w:r>
        <w:rPr>
          <w:color w:val="auto"/>
        </w:rPr>
        <w:t>风向特征</w:t>
      </w:r>
    </w:p>
    <w:p w14:paraId="20F19832">
      <w:pPr>
        <w:bidi w:val="0"/>
        <w:rPr>
          <w:color w:val="auto"/>
        </w:rPr>
      </w:pPr>
      <w:r>
        <w:rPr>
          <w:color w:val="auto"/>
        </w:rPr>
        <w:t>近20年资料分析的风向玫瑰图如图</w:t>
      </w:r>
      <w:r>
        <w:rPr>
          <w:rFonts w:hint="eastAsia"/>
          <w:color w:val="auto"/>
        </w:rPr>
        <w:t>5</w:t>
      </w:r>
      <w:r>
        <w:rPr>
          <w:rFonts w:hint="eastAsia"/>
          <w:color w:val="auto"/>
          <w:lang w:val="en-US" w:eastAsia="zh-CN"/>
        </w:rPr>
        <w:t>.1</w:t>
      </w:r>
      <w:r>
        <w:rPr>
          <w:rFonts w:hint="eastAsia"/>
          <w:color w:val="auto"/>
        </w:rPr>
        <w:t>-</w:t>
      </w:r>
      <w:r>
        <w:rPr>
          <w:rFonts w:hint="eastAsia"/>
          <w:color w:val="auto"/>
          <w:lang w:val="en-US" w:eastAsia="zh-CN"/>
        </w:rPr>
        <w:t>3</w:t>
      </w:r>
      <w:r>
        <w:rPr>
          <w:color w:val="auto"/>
        </w:rPr>
        <w:t>所示，新乡气象站主要风向为ENE和C、NE、E，占50.</w:t>
      </w:r>
      <w:r>
        <w:rPr>
          <w:rFonts w:hint="eastAsia"/>
          <w:color w:val="auto"/>
        </w:rPr>
        <w:t>2%</w:t>
      </w:r>
      <w:r>
        <w:rPr>
          <w:color w:val="auto"/>
        </w:rPr>
        <w:t>，其中以ENE为主风向，占到全年17.0</w:t>
      </w:r>
      <w:r>
        <w:rPr>
          <w:rFonts w:hint="eastAsia"/>
          <w:color w:val="auto"/>
        </w:rPr>
        <w:t>%</w:t>
      </w:r>
      <w:r>
        <w:rPr>
          <w:color w:val="auto"/>
        </w:rPr>
        <w:t>左右。</w:t>
      </w:r>
    </w:p>
    <w:p w14:paraId="33030235">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 xml:space="preserve">表 </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6.1</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3</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新乡气象站年风向频率统计（单位%）</w:t>
      </w:r>
    </w:p>
    <w:tbl>
      <w:tblPr>
        <w:tblStyle w:val="31"/>
        <w:tblW w:w="5000" w:type="pct"/>
        <w:jc w:val="center"/>
        <w:tblBorders>
          <w:top w:val="single" w:color="000001" w:sz="8" w:space="0"/>
          <w:left w:val="single" w:color="000001" w:sz="8" w:space="0"/>
          <w:bottom w:val="single" w:color="000001" w:sz="8" w:space="0"/>
          <w:right w:val="single" w:color="000001" w:sz="8" w:space="0"/>
          <w:insideH w:val="single" w:color="auto" w:sz="4" w:space="0"/>
          <w:insideV w:val="single" w:color="auto" w:sz="4" w:space="0"/>
        </w:tblBorders>
        <w:tblLayout w:type="autofit"/>
        <w:tblCellMar>
          <w:top w:w="0" w:type="dxa"/>
          <w:left w:w="0" w:type="dxa"/>
          <w:bottom w:w="0" w:type="dxa"/>
          <w:right w:w="0" w:type="dxa"/>
        </w:tblCellMar>
      </w:tblPr>
      <w:tblGrid>
        <w:gridCol w:w="490"/>
        <w:gridCol w:w="536"/>
        <w:gridCol w:w="458"/>
        <w:gridCol w:w="441"/>
        <w:gridCol w:w="456"/>
        <w:gridCol w:w="441"/>
        <w:gridCol w:w="443"/>
        <w:gridCol w:w="458"/>
        <w:gridCol w:w="443"/>
        <w:gridCol w:w="443"/>
        <w:gridCol w:w="458"/>
        <w:gridCol w:w="441"/>
        <w:gridCol w:w="570"/>
        <w:gridCol w:w="332"/>
        <w:gridCol w:w="586"/>
        <w:gridCol w:w="377"/>
        <w:gridCol w:w="571"/>
        <w:gridCol w:w="386"/>
      </w:tblGrid>
      <w:tr w14:paraId="0424B81C">
        <w:tblPrEx>
          <w:tblBorders>
            <w:top w:val="single" w:color="000001" w:sz="8" w:space="0"/>
            <w:left w:val="single" w:color="000001" w:sz="8" w:space="0"/>
            <w:bottom w:val="single" w:color="000001" w:sz="8" w:space="0"/>
            <w:right w:val="single" w:color="000001"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4" w:type="pct"/>
            <w:shd w:val="clear" w:color="auto" w:fill="auto"/>
            <w:vAlign w:val="center"/>
          </w:tcPr>
          <w:p w14:paraId="50500CBE">
            <w:pPr>
              <w:pStyle w:val="182"/>
              <w:bidi w:val="0"/>
              <w:rPr>
                <w:color w:val="auto"/>
              </w:rPr>
            </w:pPr>
            <w:r>
              <w:rPr>
                <w:color w:val="auto"/>
              </w:rPr>
              <w:drawing>
                <wp:anchor distT="0" distB="0" distL="114300" distR="114300" simplePos="0" relativeHeight="251699200" behindDoc="1" locked="0" layoutInCell="0" allowOverlap="1">
                  <wp:simplePos x="0" y="0"/>
                  <wp:positionH relativeFrom="column">
                    <wp:posOffset>380365</wp:posOffset>
                  </wp:positionH>
                  <wp:positionV relativeFrom="paragraph">
                    <wp:posOffset>95250</wp:posOffset>
                  </wp:positionV>
                  <wp:extent cx="1270" cy="20320"/>
                  <wp:effectExtent l="0" t="0" r="13970" b="2540"/>
                  <wp:wrapNone/>
                  <wp:docPr id="39" name="图片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180"/>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0224" behindDoc="1" locked="0" layoutInCell="0" allowOverlap="1">
                  <wp:simplePos x="0" y="0"/>
                  <wp:positionH relativeFrom="column">
                    <wp:posOffset>814705</wp:posOffset>
                  </wp:positionH>
                  <wp:positionV relativeFrom="paragraph">
                    <wp:posOffset>95250</wp:posOffset>
                  </wp:positionV>
                  <wp:extent cx="1270" cy="20320"/>
                  <wp:effectExtent l="0" t="0" r="13970" b="2540"/>
                  <wp:wrapNone/>
                  <wp:docPr id="41" name="图片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181"/>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1248" behindDoc="1" locked="0" layoutInCell="0" allowOverlap="1">
                  <wp:simplePos x="0" y="0"/>
                  <wp:positionH relativeFrom="column">
                    <wp:posOffset>1174115</wp:posOffset>
                  </wp:positionH>
                  <wp:positionV relativeFrom="paragraph">
                    <wp:posOffset>95250</wp:posOffset>
                  </wp:positionV>
                  <wp:extent cx="1270" cy="20320"/>
                  <wp:effectExtent l="0" t="0" r="13970" b="2540"/>
                  <wp:wrapNone/>
                  <wp:docPr id="38" name="图片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182"/>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2272" behindDoc="1" locked="0" layoutInCell="0" allowOverlap="1">
                  <wp:simplePos x="0" y="0"/>
                  <wp:positionH relativeFrom="column">
                    <wp:posOffset>1533525</wp:posOffset>
                  </wp:positionH>
                  <wp:positionV relativeFrom="paragraph">
                    <wp:posOffset>95250</wp:posOffset>
                  </wp:positionV>
                  <wp:extent cx="1270" cy="20320"/>
                  <wp:effectExtent l="0" t="0" r="13970" b="2540"/>
                  <wp:wrapNone/>
                  <wp:docPr id="35" name="图片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183"/>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3296" behindDoc="1" locked="0" layoutInCell="0" allowOverlap="1">
                  <wp:simplePos x="0" y="0"/>
                  <wp:positionH relativeFrom="column">
                    <wp:posOffset>1894205</wp:posOffset>
                  </wp:positionH>
                  <wp:positionV relativeFrom="paragraph">
                    <wp:posOffset>95250</wp:posOffset>
                  </wp:positionV>
                  <wp:extent cx="1270" cy="20320"/>
                  <wp:effectExtent l="0" t="0" r="13970" b="2540"/>
                  <wp:wrapNone/>
                  <wp:docPr id="42" name="图片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184"/>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4320" behindDoc="1" locked="0" layoutInCell="0" allowOverlap="1">
                  <wp:simplePos x="0" y="0"/>
                  <wp:positionH relativeFrom="column">
                    <wp:posOffset>2253615</wp:posOffset>
                  </wp:positionH>
                  <wp:positionV relativeFrom="paragraph">
                    <wp:posOffset>95250</wp:posOffset>
                  </wp:positionV>
                  <wp:extent cx="1270" cy="20320"/>
                  <wp:effectExtent l="0" t="0" r="13970" b="2540"/>
                  <wp:wrapNone/>
                  <wp:docPr id="40" name="图片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185"/>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5344" behindDoc="1" locked="0" layoutInCell="0" allowOverlap="1">
                  <wp:simplePos x="0" y="0"/>
                  <wp:positionH relativeFrom="column">
                    <wp:posOffset>2613025</wp:posOffset>
                  </wp:positionH>
                  <wp:positionV relativeFrom="paragraph">
                    <wp:posOffset>95250</wp:posOffset>
                  </wp:positionV>
                  <wp:extent cx="1270" cy="20320"/>
                  <wp:effectExtent l="0" t="0" r="13970" b="2540"/>
                  <wp:wrapNone/>
                  <wp:docPr id="36" name="图片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186"/>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6368" behindDoc="1" locked="0" layoutInCell="0" allowOverlap="1">
                  <wp:simplePos x="0" y="0"/>
                  <wp:positionH relativeFrom="column">
                    <wp:posOffset>2973705</wp:posOffset>
                  </wp:positionH>
                  <wp:positionV relativeFrom="paragraph">
                    <wp:posOffset>95250</wp:posOffset>
                  </wp:positionV>
                  <wp:extent cx="1270" cy="20320"/>
                  <wp:effectExtent l="0" t="0" r="13970" b="2540"/>
                  <wp:wrapNone/>
                  <wp:docPr id="37" name="图片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187"/>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7392" behindDoc="1" locked="0" layoutInCell="0" allowOverlap="1">
                  <wp:simplePos x="0" y="0"/>
                  <wp:positionH relativeFrom="column">
                    <wp:posOffset>3333115</wp:posOffset>
                  </wp:positionH>
                  <wp:positionV relativeFrom="paragraph">
                    <wp:posOffset>95250</wp:posOffset>
                  </wp:positionV>
                  <wp:extent cx="1270" cy="20320"/>
                  <wp:effectExtent l="0" t="0" r="13970" b="2540"/>
                  <wp:wrapNone/>
                  <wp:docPr id="43" name="图片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188"/>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8416" behindDoc="1" locked="0" layoutInCell="0" allowOverlap="1">
                  <wp:simplePos x="0" y="0"/>
                  <wp:positionH relativeFrom="column">
                    <wp:posOffset>3692525</wp:posOffset>
                  </wp:positionH>
                  <wp:positionV relativeFrom="paragraph">
                    <wp:posOffset>95250</wp:posOffset>
                  </wp:positionV>
                  <wp:extent cx="1270" cy="20320"/>
                  <wp:effectExtent l="0" t="0" r="13970" b="2540"/>
                  <wp:wrapNone/>
                  <wp:docPr id="44" name="图片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189"/>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9440" behindDoc="1" locked="0" layoutInCell="0" allowOverlap="1">
                  <wp:simplePos x="0" y="0"/>
                  <wp:positionH relativeFrom="column">
                    <wp:posOffset>4053205</wp:posOffset>
                  </wp:positionH>
                  <wp:positionV relativeFrom="paragraph">
                    <wp:posOffset>95250</wp:posOffset>
                  </wp:positionV>
                  <wp:extent cx="1270" cy="20320"/>
                  <wp:effectExtent l="0" t="0" r="13970" b="2540"/>
                  <wp:wrapNone/>
                  <wp:docPr id="45" name="图片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190"/>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0464" behindDoc="1" locked="0" layoutInCell="0" allowOverlap="1">
                  <wp:simplePos x="0" y="0"/>
                  <wp:positionH relativeFrom="column">
                    <wp:posOffset>4412615</wp:posOffset>
                  </wp:positionH>
                  <wp:positionV relativeFrom="paragraph">
                    <wp:posOffset>95250</wp:posOffset>
                  </wp:positionV>
                  <wp:extent cx="1270" cy="20320"/>
                  <wp:effectExtent l="0" t="0" r="13970" b="2540"/>
                  <wp:wrapNone/>
                  <wp:docPr id="47" name="图片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191"/>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1488" behindDoc="1" locked="0" layoutInCell="0" allowOverlap="1">
                  <wp:simplePos x="0" y="0"/>
                  <wp:positionH relativeFrom="column">
                    <wp:posOffset>4862195</wp:posOffset>
                  </wp:positionH>
                  <wp:positionV relativeFrom="paragraph">
                    <wp:posOffset>95250</wp:posOffset>
                  </wp:positionV>
                  <wp:extent cx="1270" cy="20320"/>
                  <wp:effectExtent l="0" t="0" r="13970" b="2540"/>
                  <wp:wrapNone/>
                  <wp:docPr id="48" name="图片 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192"/>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2512" behindDoc="1" locked="0" layoutInCell="0" allowOverlap="1">
                  <wp:simplePos x="0" y="0"/>
                  <wp:positionH relativeFrom="column">
                    <wp:posOffset>5132705</wp:posOffset>
                  </wp:positionH>
                  <wp:positionV relativeFrom="paragraph">
                    <wp:posOffset>95250</wp:posOffset>
                  </wp:positionV>
                  <wp:extent cx="1270" cy="20320"/>
                  <wp:effectExtent l="0" t="0" r="13970" b="2540"/>
                  <wp:wrapNone/>
                  <wp:docPr id="46" name="图片 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193"/>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3536" behindDoc="1" locked="0" layoutInCell="0" allowOverlap="1">
                  <wp:simplePos x="0" y="0"/>
                  <wp:positionH relativeFrom="column">
                    <wp:posOffset>5582285</wp:posOffset>
                  </wp:positionH>
                  <wp:positionV relativeFrom="paragraph">
                    <wp:posOffset>95250</wp:posOffset>
                  </wp:positionV>
                  <wp:extent cx="1270" cy="20320"/>
                  <wp:effectExtent l="0" t="0" r="13970" b="2540"/>
                  <wp:wrapNone/>
                  <wp:docPr id="49" name="图片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194"/>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4560" behindDoc="1" locked="0" layoutInCell="0" allowOverlap="1">
                  <wp:simplePos x="0" y="0"/>
                  <wp:positionH relativeFrom="column">
                    <wp:posOffset>5851525</wp:posOffset>
                  </wp:positionH>
                  <wp:positionV relativeFrom="paragraph">
                    <wp:posOffset>95250</wp:posOffset>
                  </wp:positionV>
                  <wp:extent cx="1270" cy="20320"/>
                  <wp:effectExtent l="0" t="0" r="13970" b="2540"/>
                  <wp:wrapNone/>
                  <wp:docPr id="62" name="图片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95"/>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4560" behindDoc="1" locked="0" layoutInCell="0" allowOverlap="1">
                  <wp:simplePos x="0" y="0"/>
                  <wp:positionH relativeFrom="column">
                    <wp:posOffset>6302375</wp:posOffset>
                  </wp:positionH>
                  <wp:positionV relativeFrom="paragraph">
                    <wp:posOffset>95250</wp:posOffset>
                  </wp:positionV>
                  <wp:extent cx="1270" cy="20320"/>
                  <wp:effectExtent l="0" t="0" r="13970" b="2540"/>
                  <wp:wrapNone/>
                  <wp:docPr id="54" name="图片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196"/>
                          <pic:cNvPicPr>
                            <a:picLocks noChangeAspect="1"/>
                          </pic:cNvPicPr>
                        </pic:nvPicPr>
                        <pic:blipFill>
                          <a:blip r:embed="rId71"/>
                          <a:stretch>
                            <a:fillRect/>
                          </a:stretch>
                        </pic:blipFill>
                        <pic:spPr>
                          <a:xfrm>
                            <a:off x="0" y="0"/>
                            <a:ext cx="1270" cy="20320"/>
                          </a:xfrm>
                          <a:prstGeom prst="rect">
                            <a:avLst/>
                          </a:prstGeom>
                          <a:noFill/>
                          <a:ln>
                            <a:noFill/>
                          </a:ln>
                        </pic:spPr>
                      </pic:pic>
                    </a:graphicData>
                  </a:graphic>
                </wp:anchor>
              </w:drawing>
            </w:r>
            <w:r>
              <w:rPr>
                <w:color w:val="auto"/>
              </w:rPr>
              <w:t>风向</w:t>
            </w:r>
          </w:p>
        </w:tc>
        <w:tc>
          <w:tcPr>
            <w:tcW w:w="322" w:type="pct"/>
            <w:shd w:val="clear" w:color="auto" w:fill="auto"/>
            <w:vAlign w:val="center"/>
          </w:tcPr>
          <w:p w14:paraId="2B8E511C">
            <w:pPr>
              <w:pStyle w:val="182"/>
              <w:bidi w:val="0"/>
              <w:rPr>
                <w:color w:val="auto"/>
              </w:rPr>
            </w:pPr>
            <w:r>
              <w:rPr>
                <w:color w:val="auto"/>
              </w:rPr>
              <w:t>N</w:t>
            </w:r>
          </w:p>
        </w:tc>
        <w:tc>
          <w:tcPr>
            <w:tcW w:w="275" w:type="pct"/>
            <w:shd w:val="clear" w:color="auto" w:fill="auto"/>
            <w:vAlign w:val="center"/>
          </w:tcPr>
          <w:p w14:paraId="651DCA2B">
            <w:pPr>
              <w:pStyle w:val="182"/>
              <w:bidi w:val="0"/>
              <w:rPr>
                <w:color w:val="auto"/>
              </w:rPr>
            </w:pPr>
            <w:r>
              <w:rPr>
                <w:color w:val="auto"/>
              </w:rPr>
              <w:t>NNE</w:t>
            </w:r>
          </w:p>
        </w:tc>
        <w:tc>
          <w:tcPr>
            <w:tcW w:w="265" w:type="pct"/>
            <w:shd w:val="clear" w:color="auto" w:fill="auto"/>
            <w:vAlign w:val="center"/>
          </w:tcPr>
          <w:p w14:paraId="58FB3922">
            <w:pPr>
              <w:pStyle w:val="182"/>
              <w:bidi w:val="0"/>
              <w:rPr>
                <w:color w:val="auto"/>
              </w:rPr>
            </w:pPr>
            <w:r>
              <w:rPr>
                <w:color w:val="auto"/>
              </w:rPr>
              <w:t>NE</w:t>
            </w:r>
          </w:p>
        </w:tc>
        <w:tc>
          <w:tcPr>
            <w:tcW w:w="274" w:type="pct"/>
            <w:shd w:val="clear" w:color="auto" w:fill="auto"/>
            <w:vAlign w:val="center"/>
          </w:tcPr>
          <w:p w14:paraId="55067016">
            <w:pPr>
              <w:pStyle w:val="182"/>
              <w:bidi w:val="0"/>
              <w:rPr>
                <w:color w:val="auto"/>
              </w:rPr>
            </w:pPr>
            <w:r>
              <w:rPr>
                <w:color w:val="auto"/>
              </w:rPr>
              <w:t>ENE</w:t>
            </w:r>
          </w:p>
        </w:tc>
        <w:tc>
          <w:tcPr>
            <w:tcW w:w="265" w:type="pct"/>
            <w:shd w:val="clear" w:color="auto" w:fill="auto"/>
            <w:vAlign w:val="center"/>
          </w:tcPr>
          <w:p w14:paraId="0C932EB4">
            <w:pPr>
              <w:pStyle w:val="182"/>
              <w:bidi w:val="0"/>
              <w:rPr>
                <w:color w:val="auto"/>
              </w:rPr>
            </w:pPr>
            <w:r>
              <w:rPr>
                <w:color w:val="auto"/>
              </w:rPr>
              <w:t>E</w:t>
            </w:r>
          </w:p>
        </w:tc>
        <w:tc>
          <w:tcPr>
            <w:tcW w:w="266" w:type="pct"/>
            <w:shd w:val="clear" w:color="auto" w:fill="auto"/>
            <w:vAlign w:val="center"/>
          </w:tcPr>
          <w:p w14:paraId="35CD7EBF">
            <w:pPr>
              <w:pStyle w:val="182"/>
              <w:bidi w:val="0"/>
              <w:rPr>
                <w:color w:val="auto"/>
              </w:rPr>
            </w:pPr>
            <w:r>
              <w:rPr>
                <w:color w:val="auto"/>
              </w:rPr>
              <w:t>ESE</w:t>
            </w:r>
          </w:p>
        </w:tc>
        <w:tc>
          <w:tcPr>
            <w:tcW w:w="275" w:type="pct"/>
            <w:shd w:val="clear" w:color="auto" w:fill="auto"/>
            <w:vAlign w:val="center"/>
          </w:tcPr>
          <w:p w14:paraId="107D17DA">
            <w:pPr>
              <w:pStyle w:val="182"/>
              <w:bidi w:val="0"/>
              <w:rPr>
                <w:color w:val="auto"/>
              </w:rPr>
            </w:pPr>
            <w:r>
              <w:rPr>
                <w:color w:val="auto"/>
              </w:rPr>
              <w:t>SE</w:t>
            </w:r>
          </w:p>
        </w:tc>
        <w:tc>
          <w:tcPr>
            <w:tcW w:w="266" w:type="pct"/>
            <w:shd w:val="clear" w:color="auto" w:fill="auto"/>
            <w:vAlign w:val="center"/>
          </w:tcPr>
          <w:p w14:paraId="48BFF876">
            <w:pPr>
              <w:pStyle w:val="182"/>
              <w:bidi w:val="0"/>
              <w:rPr>
                <w:color w:val="auto"/>
              </w:rPr>
            </w:pPr>
            <w:r>
              <w:rPr>
                <w:color w:val="auto"/>
              </w:rPr>
              <w:t>SSE</w:t>
            </w:r>
          </w:p>
        </w:tc>
        <w:tc>
          <w:tcPr>
            <w:tcW w:w="266" w:type="pct"/>
            <w:shd w:val="clear" w:color="auto" w:fill="auto"/>
            <w:vAlign w:val="center"/>
          </w:tcPr>
          <w:p w14:paraId="53B626E0">
            <w:pPr>
              <w:pStyle w:val="182"/>
              <w:bidi w:val="0"/>
              <w:rPr>
                <w:color w:val="auto"/>
              </w:rPr>
            </w:pPr>
            <w:r>
              <w:rPr>
                <w:color w:val="auto"/>
              </w:rPr>
              <w:t>S</w:t>
            </w:r>
          </w:p>
        </w:tc>
        <w:tc>
          <w:tcPr>
            <w:tcW w:w="275" w:type="pct"/>
            <w:shd w:val="clear" w:color="auto" w:fill="auto"/>
            <w:vAlign w:val="center"/>
          </w:tcPr>
          <w:p w14:paraId="4FC25DF5">
            <w:pPr>
              <w:pStyle w:val="182"/>
              <w:bidi w:val="0"/>
              <w:rPr>
                <w:color w:val="auto"/>
              </w:rPr>
            </w:pPr>
            <w:r>
              <w:rPr>
                <w:color w:val="auto"/>
              </w:rPr>
              <w:t>SSW</w:t>
            </w:r>
          </w:p>
        </w:tc>
        <w:tc>
          <w:tcPr>
            <w:tcW w:w="265" w:type="pct"/>
            <w:shd w:val="clear" w:color="auto" w:fill="auto"/>
            <w:vAlign w:val="center"/>
          </w:tcPr>
          <w:p w14:paraId="3A58D4B5">
            <w:pPr>
              <w:pStyle w:val="182"/>
              <w:bidi w:val="0"/>
              <w:rPr>
                <w:color w:val="auto"/>
              </w:rPr>
            </w:pPr>
            <w:r>
              <w:rPr>
                <w:color w:val="auto"/>
              </w:rPr>
              <w:t>SW</w:t>
            </w:r>
          </w:p>
        </w:tc>
        <w:tc>
          <w:tcPr>
            <w:tcW w:w="342" w:type="pct"/>
            <w:shd w:val="clear" w:color="auto" w:fill="auto"/>
            <w:vAlign w:val="center"/>
          </w:tcPr>
          <w:p w14:paraId="3F3A304B">
            <w:pPr>
              <w:pStyle w:val="182"/>
              <w:bidi w:val="0"/>
              <w:rPr>
                <w:color w:val="auto"/>
              </w:rPr>
            </w:pPr>
            <w:r>
              <w:rPr>
                <w:color w:val="auto"/>
              </w:rPr>
              <w:t>WSW</w:t>
            </w:r>
          </w:p>
        </w:tc>
        <w:tc>
          <w:tcPr>
            <w:tcW w:w="199" w:type="pct"/>
            <w:shd w:val="clear" w:color="auto" w:fill="auto"/>
            <w:vAlign w:val="center"/>
          </w:tcPr>
          <w:p w14:paraId="374D3AB5">
            <w:pPr>
              <w:pStyle w:val="182"/>
              <w:bidi w:val="0"/>
              <w:rPr>
                <w:color w:val="auto"/>
              </w:rPr>
            </w:pPr>
            <w:r>
              <w:rPr>
                <w:color w:val="auto"/>
              </w:rPr>
              <w:t>W</w:t>
            </w:r>
          </w:p>
        </w:tc>
        <w:tc>
          <w:tcPr>
            <w:tcW w:w="352" w:type="pct"/>
            <w:shd w:val="clear" w:color="auto" w:fill="auto"/>
            <w:vAlign w:val="center"/>
          </w:tcPr>
          <w:p w14:paraId="551E3597">
            <w:pPr>
              <w:pStyle w:val="182"/>
              <w:bidi w:val="0"/>
              <w:rPr>
                <w:color w:val="auto"/>
              </w:rPr>
            </w:pPr>
            <w:r>
              <w:rPr>
                <w:color w:val="auto"/>
              </w:rPr>
              <w:t>WNW</w:t>
            </w:r>
          </w:p>
        </w:tc>
        <w:tc>
          <w:tcPr>
            <w:tcW w:w="226" w:type="pct"/>
            <w:shd w:val="clear" w:color="auto" w:fill="auto"/>
            <w:vAlign w:val="center"/>
          </w:tcPr>
          <w:p w14:paraId="5A22EA2D">
            <w:pPr>
              <w:pStyle w:val="182"/>
              <w:bidi w:val="0"/>
              <w:rPr>
                <w:color w:val="auto"/>
              </w:rPr>
            </w:pPr>
            <w:r>
              <w:rPr>
                <w:color w:val="auto"/>
              </w:rPr>
              <w:t>NW</w:t>
            </w:r>
          </w:p>
        </w:tc>
        <w:tc>
          <w:tcPr>
            <w:tcW w:w="342" w:type="pct"/>
            <w:shd w:val="clear" w:color="auto" w:fill="auto"/>
            <w:vAlign w:val="center"/>
          </w:tcPr>
          <w:p w14:paraId="20478EB1">
            <w:pPr>
              <w:pStyle w:val="182"/>
              <w:bidi w:val="0"/>
              <w:rPr>
                <w:color w:val="auto"/>
              </w:rPr>
            </w:pPr>
            <w:r>
              <w:rPr>
                <w:color w:val="auto"/>
              </w:rPr>
              <w:t>NNW</w:t>
            </w:r>
          </w:p>
        </w:tc>
        <w:tc>
          <w:tcPr>
            <w:tcW w:w="232" w:type="pct"/>
            <w:shd w:val="clear" w:color="auto" w:fill="auto"/>
            <w:vAlign w:val="center"/>
          </w:tcPr>
          <w:p w14:paraId="39DE3D76">
            <w:pPr>
              <w:pStyle w:val="182"/>
              <w:bidi w:val="0"/>
              <w:rPr>
                <w:color w:val="auto"/>
              </w:rPr>
            </w:pPr>
            <w:r>
              <w:rPr>
                <w:color w:val="auto"/>
              </w:rPr>
              <w:t>C</w:t>
            </w:r>
          </w:p>
        </w:tc>
      </w:tr>
      <w:tr w14:paraId="04E0ED14">
        <w:tblPrEx>
          <w:tblBorders>
            <w:top w:val="single" w:color="000001" w:sz="8" w:space="0"/>
            <w:left w:val="single" w:color="000001" w:sz="8" w:space="0"/>
            <w:bottom w:val="single" w:color="000001" w:sz="8" w:space="0"/>
            <w:right w:val="single" w:color="000001"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94" w:type="pct"/>
            <w:shd w:val="clear" w:color="auto" w:fill="auto"/>
            <w:vAlign w:val="center"/>
          </w:tcPr>
          <w:p w14:paraId="163B9651">
            <w:pPr>
              <w:pStyle w:val="182"/>
              <w:bidi w:val="0"/>
              <w:rPr>
                <w:color w:val="auto"/>
              </w:rPr>
            </w:pPr>
            <w:r>
              <w:rPr>
                <w:color w:val="auto"/>
              </w:rPr>
              <w:t>频率</w:t>
            </w:r>
          </w:p>
        </w:tc>
        <w:tc>
          <w:tcPr>
            <w:tcW w:w="322" w:type="pct"/>
            <w:shd w:val="clear" w:color="auto" w:fill="auto"/>
            <w:vAlign w:val="center"/>
          </w:tcPr>
          <w:p w14:paraId="5EB12E8B">
            <w:pPr>
              <w:pStyle w:val="182"/>
              <w:bidi w:val="0"/>
              <w:rPr>
                <w:color w:val="auto"/>
              </w:rPr>
            </w:pPr>
            <w:r>
              <w:rPr>
                <w:color w:val="auto"/>
              </w:rPr>
              <w:t>1.3</w:t>
            </w:r>
          </w:p>
        </w:tc>
        <w:tc>
          <w:tcPr>
            <w:tcW w:w="275" w:type="pct"/>
            <w:shd w:val="clear" w:color="auto" w:fill="auto"/>
            <w:vAlign w:val="center"/>
          </w:tcPr>
          <w:p w14:paraId="14568E8F">
            <w:pPr>
              <w:pStyle w:val="182"/>
              <w:bidi w:val="0"/>
              <w:rPr>
                <w:color w:val="auto"/>
              </w:rPr>
            </w:pPr>
            <w:r>
              <w:rPr>
                <w:color w:val="auto"/>
              </w:rPr>
              <w:t>1.7</w:t>
            </w:r>
          </w:p>
        </w:tc>
        <w:tc>
          <w:tcPr>
            <w:tcW w:w="265" w:type="pct"/>
            <w:shd w:val="clear" w:color="auto" w:fill="auto"/>
            <w:vAlign w:val="center"/>
          </w:tcPr>
          <w:p w14:paraId="65C7D8B9">
            <w:pPr>
              <w:pStyle w:val="182"/>
              <w:bidi w:val="0"/>
              <w:rPr>
                <w:color w:val="auto"/>
              </w:rPr>
            </w:pPr>
            <w:r>
              <w:rPr>
                <w:color w:val="auto"/>
              </w:rPr>
              <w:t>11.</w:t>
            </w:r>
            <w:r>
              <w:rPr>
                <w:rFonts w:hint="eastAsia"/>
                <w:color w:val="auto"/>
              </w:rPr>
              <w:t>9</w:t>
            </w:r>
          </w:p>
        </w:tc>
        <w:tc>
          <w:tcPr>
            <w:tcW w:w="274" w:type="pct"/>
            <w:shd w:val="clear" w:color="auto" w:fill="auto"/>
            <w:vAlign w:val="center"/>
          </w:tcPr>
          <w:p w14:paraId="622A5DEB">
            <w:pPr>
              <w:pStyle w:val="182"/>
              <w:bidi w:val="0"/>
              <w:rPr>
                <w:color w:val="auto"/>
              </w:rPr>
            </w:pPr>
            <w:r>
              <w:rPr>
                <w:color w:val="auto"/>
              </w:rPr>
              <w:t>17.0</w:t>
            </w:r>
          </w:p>
        </w:tc>
        <w:tc>
          <w:tcPr>
            <w:tcW w:w="265" w:type="pct"/>
            <w:shd w:val="clear" w:color="auto" w:fill="auto"/>
            <w:vAlign w:val="center"/>
          </w:tcPr>
          <w:p w14:paraId="183D92BC">
            <w:pPr>
              <w:pStyle w:val="182"/>
              <w:bidi w:val="0"/>
              <w:rPr>
                <w:color w:val="auto"/>
              </w:rPr>
            </w:pPr>
            <w:r>
              <w:rPr>
                <w:color w:val="auto"/>
              </w:rPr>
              <w:t>10.</w:t>
            </w:r>
            <w:r>
              <w:rPr>
                <w:rFonts w:hint="eastAsia"/>
                <w:color w:val="auto"/>
              </w:rPr>
              <w:t>5</w:t>
            </w:r>
          </w:p>
        </w:tc>
        <w:tc>
          <w:tcPr>
            <w:tcW w:w="266" w:type="pct"/>
            <w:shd w:val="clear" w:color="auto" w:fill="auto"/>
            <w:vAlign w:val="center"/>
          </w:tcPr>
          <w:p w14:paraId="52C7EDF2">
            <w:pPr>
              <w:pStyle w:val="182"/>
              <w:bidi w:val="0"/>
              <w:rPr>
                <w:color w:val="auto"/>
              </w:rPr>
            </w:pPr>
            <w:r>
              <w:rPr>
                <w:color w:val="auto"/>
              </w:rPr>
              <w:t>4.</w:t>
            </w:r>
            <w:r>
              <w:rPr>
                <w:rFonts w:hint="eastAsia"/>
                <w:color w:val="auto"/>
              </w:rPr>
              <w:t>6</w:t>
            </w:r>
          </w:p>
        </w:tc>
        <w:tc>
          <w:tcPr>
            <w:tcW w:w="275" w:type="pct"/>
            <w:shd w:val="clear" w:color="auto" w:fill="auto"/>
            <w:vAlign w:val="center"/>
          </w:tcPr>
          <w:p w14:paraId="4E614DAF">
            <w:pPr>
              <w:pStyle w:val="182"/>
              <w:bidi w:val="0"/>
              <w:rPr>
                <w:color w:val="auto"/>
              </w:rPr>
            </w:pPr>
            <w:r>
              <w:rPr>
                <w:color w:val="auto"/>
              </w:rPr>
              <w:t>2.</w:t>
            </w:r>
            <w:r>
              <w:rPr>
                <w:rFonts w:hint="eastAsia"/>
                <w:color w:val="auto"/>
              </w:rPr>
              <w:t>8</w:t>
            </w:r>
          </w:p>
        </w:tc>
        <w:tc>
          <w:tcPr>
            <w:tcW w:w="266" w:type="pct"/>
            <w:shd w:val="clear" w:color="auto" w:fill="auto"/>
            <w:vAlign w:val="center"/>
          </w:tcPr>
          <w:p w14:paraId="54C69AAC">
            <w:pPr>
              <w:pStyle w:val="182"/>
              <w:bidi w:val="0"/>
              <w:rPr>
                <w:color w:val="auto"/>
              </w:rPr>
            </w:pPr>
            <w:r>
              <w:rPr>
                <w:color w:val="auto"/>
              </w:rPr>
              <w:t>2.4</w:t>
            </w:r>
          </w:p>
        </w:tc>
        <w:tc>
          <w:tcPr>
            <w:tcW w:w="266" w:type="pct"/>
            <w:shd w:val="clear" w:color="auto" w:fill="auto"/>
            <w:vAlign w:val="center"/>
          </w:tcPr>
          <w:p w14:paraId="431FF2E5">
            <w:pPr>
              <w:pStyle w:val="182"/>
              <w:bidi w:val="0"/>
              <w:rPr>
                <w:color w:val="auto"/>
              </w:rPr>
            </w:pPr>
            <w:r>
              <w:rPr>
                <w:color w:val="auto"/>
              </w:rPr>
              <w:t>6.</w:t>
            </w:r>
            <w:r>
              <w:rPr>
                <w:rFonts w:hint="eastAsia"/>
                <w:color w:val="auto"/>
              </w:rPr>
              <w:t>9</w:t>
            </w:r>
          </w:p>
        </w:tc>
        <w:tc>
          <w:tcPr>
            <w:tcW w:w="275" w:type="pct"/>
            <w:shd w:val="clear" w:color="auto" w:fill="auto"/>
            <w:vAlign w:val="center"/>
          </w:tcPr>
          <w:p w14:paraId="395AD947">
            <w:pPr>
              <w:pStyle w:val="182"/>
              <w:bidi w:val="0"/>
              <w:rPr>
                <w:color w:val="auto"/>
              </w:rPr>
            </w:pPr>
            <w:r>
              <w:rPr>
                <w:color w:val="auto"/>
              </w:rPr>
              <w:t>8.</w:t>
            </w:r>
            <w:r>
              <w:rPr>
                <w:rFonts w:hint="eastAsia"/>
                <w:color w:val="auto"/>
              </w:rPr>
              <w:t>6</w:t>
            </w:r>
          </w:p>
        </w:tc>
        <w:tc>
          <w:tcPr>
            <w:tcW w:w="265" w:type="pct"/>
            <w:shd w:val="clear" w:color="auto" w:fill="auto"/>
            <w:vAlign w:val="center"/>
          </w:tcPr>
          <w:p w14:paraId="720AACB7">
            <w:pPr>
              <w:pStyle w:val="182"/>
              <w:bidi w:val="0"/>
              <w:rPr>
                <w:color w:val="auto"/>
              </w:rPr>
            </w:pPr>
            <w:r>
              <w:rPr>
                <w:color w:val="auto"/>
              </w:rPr>
              <w:t>8.</w:t>
            </w:r>
            <w:r>
              <w:rPr>
                <w:rFonts w:hint="eastAsia"/>
                <w:color w:val="auto"/>
              </w:rPr>
              <w:t>2</w:t>
            </w:r>
          </w:p>
        </w:tc>
        <w:tc>
          <w:tcPr>
            <w:tcW w:w="342" w:type="pct"/>
            <w:shd w:val="clear" w:color="auto" w:fill="auto"/>
            <w:vAlign w:val="center"/>
          </w:tcPr>
          <w:p w14:paraId="1EE16CCD">
            <w:pPr>
              <w:pStyle w:val="182"/>
              <w:bidi w:val="0"/>
              <w:rPr>
                <w:color w:val="auto"/>
              </w:rPr>
            </w:pPr>
            <w:r>
              <w:rPr>
                <w:color w:val="auto"/>
              </w:rPr>
              <w:t>4.4</w:t>
            </w:r>
          </w:p>
        </w:tc>
        <w:tc>
          <w:tcPr>
            <w:tcW w:w="199" w:type="pct"/>
            <w:shd w:val="clear" w:color="auto" w:fill="auto"/>
            <w:vAlign w:val="center"/>
          </w:tcPr>
          <w:p w14:paraId="5946A3E0">
            <w:pPr>
              <w:pStyle w:val="182"/>
              <w:bidi w:val="0"/>
              <w:rPr>
                <w:color w:val="auto"/>
              </w:rPr>
            </w:pPr>
            <w:r>
              <w:rPr>
                <w:color w:val="auto"/>
              </w:rPr>
              <w:t>4.</w:t>
            </w:r>
            <w:r>
              <w:rPr>
                <w:rFonts w:hint="eastAsia"/>
                <w:color w:val="auto"/>
              </w:rPr>
              <w:t>0</w:t>
            </w:r>
          </w:p>
        </w:tc>
        <w:tc>
          <w:tcPr>
            <w:tcW w:w="352" w:type="pct"/>
            <w:shd w:val="clear" w:color="auto" w:fill="auto"/>
            <w:vAlign w:val="center"/>
          </w:tcPr>
          <w:p w14:paraId="4E3297F1">
            <w:pPr>
              <w:pStyle w:val="182"/>
              <w:bidi w:val="0"/>
              <w:rPr>
                <w:color w:val="auto"/>
              </w:rPr>
            </w:pPr>
            <w:r>
              <w:rPr>
                <w:color w:val="auto"/>
              </w:rPr>
              <w:t>2.2</w:t>
            </w:r>
          </w:p>
        </w:tc>
        <w:tc>
          <w:tcPr>
            <w:tcW w:w="226" w:type="pct"/>
            <w:shd w:val="clear" w:color="auto" w:fill="auto"/>
            <w:vAlign w:val="center"/>
          </w:tcPr>
          <w:p w14:paraId="73F9D6A3">
            <w:pPr>
              <w:pStyle w:val="182"/>
              <w:bidi w:val="0"/>
              <w:rPr>
                <w:color w:val="auto"/>
              </w:rPr>
            </w:pPr>
            <w:r>
              <w:rPr>
                <w:color w:val="auto"/>
              </w:rPr>
              <w:t>1.</w:t>
            </w:r>
            <w:r>
              <w:rPr>
                <w:rFonts w:hint="eastAsia"/>
                <w:color w:val="auto"/>
              </w:rPr>
              <w:t>9</w:t>
            </w:r>
          </w:p>
        </w:tc>
        <w:tc>
          <w:tcPr>
            <w:tcW w:w="342" w:type="pct"/>
            <w:shd w:val="clear" w:color="auto" w:fill="auto"/>
            <w:vAlign w:val="center"/>
          </w:tcPr>
          <w:p w14:paraId="36C27567">
            <w:pPr>
              <w:pStyle w:val="182"/>
              <w:bidi w:val="0"/>
              <w:rPr>
                <w:color w:val="auto"/>
              </w:rPr>
            </w:pPr>
            <w:r>
              <w:rPr>
                <w:color w:val="auto"/>
              </w:rPr>
              <w:t>1.1</w:t>
            </w:r>
          </w:p>
        </w:tc>
        <w:tc>
          <w:tcPr>
            <w:tcW w:w="232" w:type="pct"/>
            <w:shd w:val="clear" w:color="auto" w:fill="auto"/>
            <w:vAlign w:val="center"/>
          </w:tcPr>
          <w:p w14:paraId="2A0A943D">
            <w:pPr>
              <w:pStyle w:val="182"/>
              <w:bidi w:val="0"/>
              <w:rPr>
                <w:color w:val="auto"/>
              </w:rPr>
            </w:pPr>
            <w:r>
              <w:rPr>
                <w:color w:val="auto"/>
              </w:rPr>
              <w:t>1</w:t>
            </w:r>
            <w:r>
              <w:rPr>
                <w:rFonts w:hint="eastAsia"/>
                <w:color w:val="auto"/>
              </w:rPr>
              <w:t>0</w:t>
            </w:r>
            <w:r>
              <w:rPr>
                <w:color w:val="auto"/>
              </w:rPr>
              <w:t>.8</w:t>
            </w:r>
          </w:p>
        </w:tc>
      </w:tr>
    </w:tbl>
    <w:p w14:paraId="7CC8272A">
      <w:pPr>
        <w:spacing w:before="240" w:beforeLines="100" w:after="120" w:afterLines="50"/>
        <w:ind w:firstLine="240" w:firstLineChars="100"/>
        <w:jc w:val="center"/>
        <w:rPr>
          <w:b/>
          <w:color w:val="auto"/>
          <w:sz w:val="24"/>
          <w:szCs w:val="20"/>
        </w:rPr>
      </w:pPr>
      <w:r>
        <w:rPr>
          <w:color w:val="auto"/>
        </w:rPr>
        <w:drawing>
          <wp:inline distT="0" distB="0" distL="114300" distR="114300">
            <wp:extent cx="3947160" cy="3086100"/>
            <wp:effectExtent l="0" t="0" r="0" b="7620"/>
            <wp:docPr id="8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4"/>
                    <pic:cNvPicPr>
                      <a:picLocks noChangeAspect="1"/>
                    </pic:cNvPicPr>
                  </pic:nvPicPr>
                  <pic:blipFill>
                    <a:blip r:embed="rId72"/>
                    <a:stretch>
                      <a:fillRect/>
                    </a:stretch>
                  </pic:blipFill>
                  <pic:spPr>
                    <a:xfrm>
                      <a:off x="0" y="0"/>
                      <a:ext cx="3947160" cy="3086100"/>
                    </a:xfrm>
                    <a:prstGeom prst="rect">
                      <a:avLst/>
                    </a:prstGeom>
                    <a:noFill/>
                    <a:ln>
                      <a:noFill/>
                    </a:ln>
                  </pic:spPr>
                </pic:pic>
              </a:graphicData>
            </a:graphic>
          </wp:inline>
        </w:drawing>
      </w:r>
    </w:p>
    <w:p w14:paraId="7D7A028E">
      <w:pPr>
        <w:pStyle w:val="181"/>
        <w:bidi w:val="0"/>
        <w:ind w:left="0" w:leftChars="0" w:firstLine="0" w:firstLineChars="0"/>
        <w:jc w:val="center"/>
        <w:rPr>
          <w:color w:val="auto"/>
        </w:rPr>
      </w:pPr>
      <w:r>
        <w:rPr>
          <w:color w:val="auto"/>
        </w:rPr>
        <w:t>图</w:t>
      </w:r>
      <w:r>
        <w:rPr>
          <w:rFonts w:hint="eastAsia"/>
          <w:color w:val="auto"/>
          <w:lang w:val="en-US" w:eastAsia="zh-CN"/>
        </w:rPr>
        <w:t>6.1</w:t>
      </w:r>
      <w:r>
        <w:rPr>
          <w:rFonts w:hint="eastAsia"/>
          <w:color w:val="auto"/>
        </w:rPr>
        <w:t>-</w:t>
      </w:r>
      <w:r>
        <w:rPr>
          <w:color w:val="auto"/>
        </w:rPr>
        <w:t>1</w:t>
      </w:r>
      <w:r>
        <w:rPr>
          <w:rFonts w:hint="eastAsia"/>
          <w:color w:val="auto"/>
        </w:rPr>
        <w:t xml:space="preserve">  </w:t>
      </w:r>
      <w:r>
        <w:rPr>
          <w:color w:val="auto"/>
        </w:rPr>
        <w:t>新乡风向玫瑰图（静风频率1</w:t>
      </w:r>
      <w:r>
        <w:rPr>
          <w:rFonts w:hint="eastAsia"/>
          <w:color w:val="auto"/>
        </w:rPr>
        <w:t>0</w:t>
      </w:r>
      <w:r>
        <w:rPr>
          <w:color w:val="auto"/>
        </w:rPr>
        <w:t>.8%）</w:t>
      </w:r>
    </w:p>
    <w:p w14:paraId="23E88A8A">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 xml:space="preserve">表 </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6.1</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4</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新乡气象站（2002-2021）各月风向频率  单位：%</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313"/>
        <w:gridCol w:w="508"/>
        <w:gridCol w:w="435"/>
        <w:gridCol w:w="480"/>
        <w:gridCol w:w="435"/>
        <w:gridCol w:w="441"/>
        <w:gridCol w:w="313"/>
        <w:gridCol w:w="428"/>
        <w:gridCol w:w="425"/>
        <w:gridCol w:w="508"/>
        <w:gridCol w:w="425"/>
        <w:gridCol w:w="603"/>
        <w:gridCol w:w="345"/>
        <w:gridCol w:w="645"/>
        <w:gridCol w:w="445"/>
        <w:gridCol w:w="591"/>
        <w:gridCol w:w="492"/>
      </w:tblGrid>
      <w:tr w14:paraId="7AC190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14:paraId="5EF474F3">
            <w:pPr>
              <w:pStyle w:val="182"/>
              <w:bidi w:val="0"/>
              <w:rPr>
                <w:b/>
                <w:bCs/>
                <w:color w:val="auto"/>
              </w:rPr>
            </w:pPr>
            <w:r>
              <w:rPr>
                <w:rFonts w:hint="eastAsia"/>
                <w:b/>
                <w:bCs/>
                <w:color w:val="auto"/>
              </w:rPr>
              <w:t>月份</w:t>
            </w:r>
          </w:p>
        </w:tc>
        <w:tc>
          <w:tcPr>
            <w:tcW w:w="188" w:type="pct"/>
            <w:tcMar>
              <w:top w:w="0" w:type="dxa"/>
              <w:left w:w="0" w:type="dxa"/>
              <w:bottom w:w="0" w:type="dxa"/>
              <w:right w:w="0" w:type="dxa"/>
            </w:tcMar>
            <w:vAlign w:val="center"/>
          </w:tcPr>
          <w:p w14:paraId="2D3FC7CE">
            <w:pPr>
              <w:pStyle w:val="182"/>
              <w:bidi w:val="0"/>
              <w:rPr>
                <w:b/>
                <w:bCs/>
                <w:color w:val="auto"/>
              </w:rPr>
            </w:pPr>
            <w:r>
              <w:rPr>
                <w:b/>
                <w:bCs/>
                <w:color w:val="auto"/>
              </w:rPr>
              <w:t>N</w:t>
            </w:r>
          </w:p>
        </w:tc>
        <w:tc>
          <w:tcPr>
            <w:tcW w:w="305" w:type="pct"/>
            <w:tcMar>
              <w:top w:w="0" w:type="dxa"/>
              <w:left w:w="0" w:type="dxa"/>
              <w:bottom w:w="0" w:type="dxa"/>
              <w:right w:w="0" w:type="dxa"/>
            </w:tcMar>
            <w:vAlign w:val="center"/>
          </w:tcPr>
          <w:p w14:paraId="2474F84B">
            <w:pPr>
              <w:pStyle w:val="182"/>
              <w:bidi w:val="0"/>
              <w:rPr>
                <w:b/>
                <w:bCs/>
                <w:color w:val="auto"/>
              </w:rPr>
            </w:pPr>
            <w:r>
              <w:rPr>
                <w:b/>
                <w:bCs/>
                <w:color w:val="auto"/>
              </w:rPr>
              <w:t>NNE</w:t>
            </w:r>
          </w:p>
        </w:tc>
        <w:tc>
          <w:tcPr>
            <w:tcW w:w="261" w:type="pct"/>
            <w:tcMar>
              <w:top w:w="0" w:type="dxa"/>
              <w:left w:w="0" w:type="dxa"/>
              <w:bottom w:w="0" w:type="dxa"/>
              <w:right w:w="0" w:type="dxa"/>
            </w:tcMar>
            <w:vAlign w:val="center"/>
          </w:tcPr>
          <w:p w14:paraId="0383B111">
            <w:pPr>
              <w:pStyle w:val="182"/>
              <w:bidi w:val="0"/>
              <w:rPr>
                <w:b/>
                <w:bCs/>
                <w:color w:val="auto"/>
              </w:rPr>
            </w:pPr>
            <w:r>
              <w:rPr>
                <w:b/>
                <w:bCs/>
                <w:color w:val="auto"/>
              </w:rPr>
              <w:t>NE</w:t>
            </w:r>
          </w:p>
        </w:tc>
        <w:tc>
          <w:tcPr>
            <w:tcW w:w="288" w:type="pct"/>
            <w:tcMar>
              <w:top w:w="0" w:type="dxa"/>
              <w:left w:w="0" w:type="dxa"/>
              <w:bottom w:w="0" w:type="dxa"/>
              <w:right w:w="0" w:type="dxa"/>
            </w:tcMar>
            <w:vAlign w:val="center"/>
          </w:tcPr>
          <w:p w14:paraId="003DA448">
            <w:pPr>
              <w:pStyle w:val="182"/>
              <w:bidi w:val="0"/>
              <w:rPr>
                <w:b/>
                <w:bCs/>
                <w:color w:val="auto"/>
              </w:rPr>
            </w:pPr>
            <w:r>
              <w:rPr>
                <w:b/>
                <w:bCs/>
                <w:color w:val="auto"/>
              </w:rPr>
              <w:t>ENE</w:t>
            </w:r>
          </w:p>
        </w:tc>
        <w:tc>
          <w:tcPr>
            <w:tcW w:w="261" w:type="pct"/>
            <w:tcMar>
              <w:top w:w="0" w:type="dxa"/>
              <w:left w:w="0" w:type="dxa"/>
              <w:bottom w:w="0" w:type="dxa"/>
              <w:right w:w="0" w:type="dxa"/>
            </w:tcMar>
            <w:vAlign w:val="center"/>
          </w:tcPr>
          <w:p w14:paraId="38EEAED0">
            <w:pPr>
              <w:pStyle w:val="182"/>
              <w:bidi w:val="0"/>
              <w:rPr>
                <w:b/>
                <w:bCs/>
                <w:color w:val="auto"/>
              </w:rPr>
            </w:pPr>
            <w:r>
              <w:rPr>
                <w:b/>
                <w:bCs/>
                <w:color w:val="auto"/>
              </w:rPr>
              <w:t>E</w:t>
            </w:r>
          </w:p>
        </w:tc>
        <w:tc>
          <w:tcPr>
            <w:tcW w:w="265" w:type="pct"/>
            <w:tcMar>
              <w:top w:w="0" w:type="dxa"/>
              <w:left w:w="0" w:type="dxa"/>
              <w:bottom w:w="0" w:type="dxa"/>
              <w:right w:w="0" w:type="dxa"/>
            </w:tcMar>
            <w:vAlign w:val="center"/>
          </w:tcPr>
          <w:p w14:paraId="72113D97">
            <w:pPr>
              <w:pStyle w:val="182"/>
              <w:bidi w:val="0"/>
              <w:rPr>
                <w:b/>
                <w:bCs/>
                <w:color w:val="auto"/>
              </w:rPr>
            </w:pPr>
            <w:r>
              <w:rPr>
                <w:b/>
                <w:bCs/>
                <w:color w:val="auto"/>
              </w:rPr>
              <w:t>ESE</w:t>
            </w:r>
          </w:p>
        </w:tc>
        <w:tc>
          <w:tcPr>
            <w:tcW w:w="188" w:type="pct"/>
            <w:tcMar>
              <w:top w:w="0" w:type="dxa"/>
              <w:left w:w="0" w:type="dxa"/>
              <w:bottom w:w="0" w:type="dxa"/>
              <w:right w:w="0" w:type="dxa"/>
            </w:tcMar>
            <w:vAlign w:val="center"/>
          </w:tcPr>
          <w:p w14:paraId="2B6EC88E">
            <w:pPr>
              <w:pStyle w:val="182"/>
              <w:bidi w:val="0"/>
              <w:rPr>
                <w:b/>
                <w:bCs/>
                <w:color w:val="auto"/>
              </w:rPr>
            </w:pPr>
            <w:r>
              <w:rPr>
                <w:b/>
                <w:bCs/>
                <w:color w:val="auto"/>
              </w:rPr>
              <w:t>SE</w:t>
            </w:r>
          </w:p>
        </w:tc>
        <w:tc>
          <w:tcPr>
            <w:tcW w:w="257" w:type="pct"/>
            <w:tcMar>
              <w:top w:w="0" w:type="dxa"/>
              <w:left w:w="0" w:type="dxa"/>
              <w:bottom w:w="0" w:type="dxa"/>
              <w:right w:w="0" w:type="dxa"/>
            </w:tcMar>
            <w:vAlign w:val="center"/>
          </w:tcPr>
          <w:p w14:paraId="37067D4E">
            <w:pPr>
              <w:pStyle w:val="182"/>
              <w:bidi w:val="0"/>
              <w:rPr>
                <w:b/>
                <w:bCs/>
                <w:color w:val="auto"/>
              </w:rPr>
            </w:pPr>
            <w:r>
              <w:rPr>
                <w:b/>
                <w:bCs/>
                <w:color w:val="auto"/>
              </w:rPr>
              <w:t>SSE</w:t>
            </w:r>
          </w:p>
        </w:tc>
        <w:tc>
          <w:tcPr>
            <w:tcW w:w="255" w:type="pct"/>
            <w:tcMar>
              <w:top w:w="0" w:type="dxa"/>
              <w:left w:w="0" w:type="dxa"/>
              <w:bottom w:w="0" w:type="dxa"/>
              <w:right w:w="0" w:type="dxa"/>
            </w:tcMar>
            <w:vAlign w:val="center"/>
          </w:tcPr>
          <w:p w14:paraId="06E4A66F">
            <w:pPr>
              <w:pStyle w:val="182"/>
              <w:bidi w:val="0"/>
              <w:rPr>
                <w:b/>
                <w:bCs/>
                <w:color w:val="auto"/>
              </w:rPr>
            </w:pPr>
            <w:r>
              <w:rPr>
                <w:b/>
                <w:bCs/>
                <w:color w:val="auto"/>
              </w:rPr>
              <w:t>S</w:t>
            </w:r>
          </w:p>
        </w:tc>
        <w:tc>
          <w:tcPr>
            <w:tcW w:w="305" w:type="pct"/>
            <w:tcMar>
              <w:top w:w="0" w:type="dxa"/>
              <w:left w:w="0" w:type="dxa"/>
              <w:bottom w:w="0" w:type="dxa"/>
              <w:right w:w="0" w:type="dxa"/>
            </w:tcMar>
            <w:vAlign w:val="center"/>
          </w:tcPr>
          <w:p w14:paraId="60C3450E">
            <w:pPr>
              <w:pStyle w:val="182"/>
              <w:bidi w:val="0"/>
              <w:rPr>
                <w:b/>
                <w:bCs/>
                <w:color w:val="auto"/>
              </w:rPr>
            </w:pPr>
            <w:r>
              <w:rPr>
                <w:b/>
                <w:bCs/>
                <w:color w:val="auto"/>
              </w:rPr>
              <w:t>SSW</w:t>
            </w:r>
          </w:p>
        </w:tc>
        <w:tc>
          <w:tcPr>
            <w:tcW w:w="255" w:type="pct"/>
            <w:tcMar>
              <w:top w:w="0" w:type="dxa"/>
              <w:left w:w="0" w:type="dxa"/>
              <w:bottom w:w="0" w:type="dxa"/>
              <w:right w:w="0" w:type="dxa"/>
            </w:tcMar>
            <w:vAlign w:val="center"/>
          </w:tcPr>
          <w:p w14:paraId="16933879">
            <w:pPr>
              <w:pStyle w:val="182"/>
              <w:bidi w:val="0"/>
              <w:rPr>
                <w:b/>
                <w:bCs/>
                <w:color w:val="auto"/>
              </w:rPr>
            </w:pPr>
            <w:r>
              <w:rPr>
                <w:b/>
                <w:bCs/>
                <w:color w:val="auto"/>
              </w:rPr>
              <w:t>SW</w:t>
            </w:r>
          </w:p>
        </w:tc>
        <w:tc>
          <w:tcPr>
            <w:tcW w:w="362" w:type="pct"/>
            <w:tcMar>
              <w:top w:w="0" w:type="dxa"/>
              <w:left w:w="0" w:type="dxa"/>
              <w:bottom w:w="0" w:type="dxa"/>
              <w:right w:w="0" w:type="dxa"/>
            </w:tcMar>
            <w:vAlign w:val="center"/>
          </w:tcPr>
          <w:p w14:paraId="5C646978">
            <w:pPr>
              <w:pStyle w:val="182"/>
              <w:bidi w:val="0"/>
              <w:rPr>
                <w:b/>
                <w:bCs/>
                <w:color w:val="auto"/>
              </w:rPr>
            </w:pPr>
            <w:r>
              <w:rPr>
                <w:b/>
                <w:bCs/>
                <w:color w:val="auto"/>
              </w:rPr>
              <w:t>WSW</w:t>
            </w:r>
          </w:p>
        </w:tc>
        <w:tc>
          <w:tcPr>
            <w:tcW w:w="207" w:type="pct"/>
            <w:tcMar>
              <w:top w:w="0" w:type="dxa"/>
              <w:left w:w="0" w:type="dxa"/>
              <w:bottom w:w="0" w:type="dxa"/>
              <w:right w:w="0" w:type="dxa"/>
            </w:tcMar>
            <w:vAlign w:val="center"/>
          </w:tcPr>
          <w:p w14:paraId="5AE8A1B8">
            <w:pPr>
              <w:pStyle w:val="182"/>
              <w:bidi w:val="0"/>
              <w:rPr>
                <w:b/>
                <w:bCs/>
                <w:color w:val="auto"/>
              </w:rPr>
            </w:pPr>
            <w:r>
              <w:rPr>
                <w:b/>
                <w:bCs/>
                <w:color w:val="auto"/>
              </w:rPr>
              <w:t>W</w:t>
            </w:r>
          </w:p>
        </w:tc>
        <w:tc>
          <w:tcPr>
            <w:tcW w:w="387" w:type="pct"/>
            <w:tcMar>
              <w:top w:w="0" w:type="dxa"/>
              <w:left w:w="0" w:type="dxa"/>
              <w:bottom w:w="0" w:type="dxa"/>
              <w:right w:w="0" w:type="dxa"/>
            </w:tcMar>
            <w:vAlign w:val="center"/>
          </w:tcPr>
          <w:p w14:paraId="6B6A74AB">
            <w:pPr>
              <w:pStyle w:val="182"/>
              <w:bidi w:val="0"/>
              <w:rPr>
                <w:b/>
                <w:bCs/>
                <w:color w:val="auto"/>
              </w:rPr>
            </w:pPr>
            <w:r>
              <w:rPr>
                <w:b/>
                <w:bCs/>
                <w:color w:val="auto"/>
              </w:rPr>
              <w:t>WNW</w:t>
            </w:r>
          </w:p>
        </w:tc>
        <w:tc>
          <w:tcPr>
            <w:tcW w:w="267" w:type="pct"/>
            <w:tcMar>
              <w:top w:w="0" w:type="dxa"/>
              <w:left w:w="0" w:type="dxa"/>
              <w:bottom w:w="0" w:type="dxa"/>
              <w:right w:w="0" w:type="dxa"/>
            </w:tcMar>
            <w:vAlign w:val="center"/>
          </w:tcPr>
          <w:p w14:paraId="5D2C2AD1">
            <w:pPr>
              <w:pStyle w:val="182"/>
              <w:bidi w:val="0"/>
              <w:rPr>
                <w:b/>
                <w:bCs/>
                <w:color w:val="auto"/>
              </w:rPr>
            </w:pPr>
            <w:r>
              <w:rPr>
                <w:b/>
                <w:bCs/>
                <w:color w:val="auto"/>
              </w:rPr>
              <w:t>NW</w:t>
            </w:r>
          </w:p>
        </w:tc>
        <w:tc>
          <w:tcPr>
            <w:tcW w:w="355" w:type="pct"/>
            <w:tcMar>
              <w:top w:w="0" w:type="dxa"/>
              <w:left w:w="0" w:type="dxa"/>
              <w:bottom w:w="0" w:type="dxa"/>
              <w:right w:w="0" w:type="dxa"/>
            </w:tcMar>
            <w:vAlign w:val="center"/>
          </w:tcPr>
          <w:p w14:paraId="2E894CFB">
            <w:pPr>
              <w:pStyle w:val="182"/>
              <w:bidi w:val="0"/>
              <w:rPr>
                <w:b/>
                <w:bCs/>
                <w:color w:val="auto"/>
              </w:rPr>
            </w:pPr>
            <w:r>
              <w:rPr>
                <w:b/>
                <w:bCs/>
                <w:color w:val="auto"/>
              </w:rPr>
              <w:t>NNW</w:t>
            </w:r>
          </w:p>
        </w:tc>
        <w:tc>
          <w:tcPr>
            <w:tcW w:w="295" w:type="pct"/>
            <w:tcMar>
              <w:top w:w="0" w:type="dxa"/>
              <w:left w:w="0" w:type="dxa"/>
              <w:bottom w:w="0" w:type="dxa"/>
              <w:right w:w="0" w:type="dxa"/>
            </w:tcMar>
            <w:vAlign w:val="center"/>
          </w:tcPr>
          <w:p w14:paraId="72572FBA">
            <w:pPr>
              <w:pStyle w:val="182"/>
              <w:bidi w:val="0"/>
              <w:rPr>
                <w:b/>
                <w:bCs/>
                <w:color w:val="auto"/>
              </w:rPr>
            </w:pPr>
            <w:r>
              <w:rPr>
                <w:rFonts w:hint="eastAsia"/>
                <w:b/>
                <w:bCs/>
                <w:color w:val="auto"/>
              </w:rPr>
              <w:t>静风</w:t>
            </w:r>
          </w:p>
        </w:tc>
      </w:tr>
      <w:tr w14:paraId="2C8614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14:paraId="40D2FCF5">
            <w:pPr>
              <w:pStyle w:val="182"/>
              <w:bidi w:val="0"/>
              <w:rPr>
                <w:color w:val="auto"/>
              </w:rPr>
            </w:pPr>
            <w:r>
              <w:rPr>
                <w:color w:val="auto"/>
              </w:rPr>
              <w:t>1</w:t>
            </w:r>
          </w:p>
        </w:tc>
        <w:tc>
          <w:tcPr>
            <w:tcW w:w="313" w:type="dxa"/>
            <w:tcMar>
              <w:top w:w="0" w:type="dxa"/>
              <w:left w:w="0" w:type="dxa"/>
              <w:bottom w:w="0" w:type="dxa"/>
              <w:right w:w="0" w:type="dxa"/>
            </w:tcMar>
            <w:vAlign w:val="center"/>
          </w:tcPr>
          <w:p w14:paraId="2E2CCED9">
            <w:pPr>
              <w:pStyle w:val="182"/>
              <w:bidi w:val="0"/>
              <w:rPr>
                <w:rFonts w:ascii="Times New Roman" w:hAnsi="Times New Roman" w:eastAsia="宋体" w:cs="Times New Roman"/>
                <w:color w:val="auto"/>
              </w:rPr>
            </w:pPr>
            <w:r>
              <w:rPr>
                <w:rFonts w:ascii="Times New Roman" w:hAnsi="Times New Roman" w:eastAsia="宋体" w:cs="Times New Roman"/>
                <w:color w:val="auto"/>
              </w:rPr>
              <w:t>1.3</w:t>
            </w:r>
          </w:p>
        </w:tc>
        <w:tc>
          <w:tcPr>
            <w:tcW w:w="508" w:type="dxa"/>
            <w:tcMar>
              <w:top w:w="0" w:type="dxa"/>
              <w:left w:w="0" w:type="dxa"/>
              <w:bottom w:w="0" w:type="dxa"/>
              <w:right w:w="0" w:type="dxa"/>
            </w:tcMar>
            <w:vAlign w:val="center"/>
          </w:tcPr>
          <w:p w14:paraId="326FABA8">
            <w:pPr>
              <w:pStyle w:val="182"/>
              <w:bidi w:val="0"/>
              <w:rPr>
                <w:rFonts w:ascii="Times New Roman" w:hAnsi="Times New Roman" w:eastAsia="宋体" w:cs="Times New Roman"/>
                <w:color w:val="auto"/>
              </w:rPr>
            </w:pPr>
            <w:r>
              <w:rPr>
                <w:rFonts w:ascii="Times New Roman" w:hAnsi="Times New Roman" w:eastAsia="宋体" w:cs="Times New Roman"/>
                <w:color w:val="auto"/>
              </w:rPr>
              <w:t>2.3</w:t>
            </w:r>
          </w:p>
        </w:tc>
        <w:tc>
          <w:tcPr>
            <w:tcW w:w="435" w:type="dxa"/>
            <w:tcMar>
              <w:top w:w="0" w:type="dxa"/>
              <w:left w:w="0" w:type="dxa"/>
              <w:bottom w:w="0" w:type="dxa"/>
              <w:right w:w="0" w:type="dxa"/>
            </w:tcMar>
            <w:vAlign w:val="center"/>
          </w:tcPr>
          <w:p w14:paraId="44093112">
            <w:pPr>
              <w:pStyle w:val="182"/>
              <w:bidi w:val="0"/>
              <w:rPr>
                <w:rFonts w:ascii="Times New Roman" w:hAnsi="Times New Roman" w:eastAsia="宋体" w:cs="Times New Roman"/>
                <w:color w:val="auto"/>
              </w:rPr>
            </w:pPr>
            <w:r>
              <w:rPr>
                <w:rFonts w:ascii="Times New Roman" w:hAnsi="Times New Roman" w:eastAsia="宋体" w:cs="Times New Roman"/>
                <w:color w:val="auto"/>
              </w:rPr>
              <w:t>11.6</w:t>
            </w:r>
          </w:p>
        </w:tc>
        <w:tc>
          <w:tcPr>
            <w:tcW w:w="480" w:type="dxa"/>
            <w:tcMar>
              <w:top w:w="0" w:type="dxa"/>
              <w:left w:w="0" w:type="dxa"/>
              <w:bottom w:w="0" w:type="dxa"/>
              <w:right w:w="0" w:type="dxa"/>
            </w:tcMar>
            <w:vAlign w:val="center"/>
          </w:tcPr>
          <w:p w14:paraId="7CC02750">
            <w:pPr>
              <w:pStyle w:val="182"/>
              <w:bidi w:val="0"/>
              <w:rPr>
                <w:rFonts w:ascii="Times New Roman" w:hAnsi="Times New Roman" w:eastAsia="宋体" w:cs="Times New Roman"/>
                <w:color w:val="auto"/>
              </w:rPr>
            </w:pPr>
            <w:r>
              <w:rPr>
                <w:rFonts w:ascii="Times New Roman" w:hAnsi="Times New Roman" w:eastAsia="宋体" w:cs="Times New Roman"/>
                <w:color w:val="auto"/>
              </w:rPr>
              <w:t>21.0</w:t>
            </w:r>
          </w:p>
        </w:tc>
        <w:tc>
          <w:tcPr>
            <w:tcW w:w="435" w:type="dxa"/>
            <w:tcMar>
              <w:top w:w="0" w:type="dxa"/>
              <w:left w:w="0" w:type="dxa"/>
              <w:bottom w:w="0" w:type="dxa"/>
              <w:right w:w="0" w:type="dxa"/>
            </w:tcMar>
            <w:vAlign w:val="center"/>
          </w:tcPr>
          <w:p w14:paraId="30725512">
            <w:pPr>
              <w:pStyle w:val="182"/>
              <w:bidi w:val="0"/>
              <w:rPr>
                <w:rFonts w:ascii="Times New Roman" w:hAnsi="Times New Roman" w:eastAsia="宋体" w:cs="Times New Roman"/>
                <w:color w:val="auto"/>
              </w:rPr>
            </w:pPr>
            <w:r>
              <w:rPr>
                <w:rFonts w:ascii="Times New Roman" w:hAnsi="Times New Roman" w:eastAsia="宋体" w:cs="Times New Roman"/>
                <w:color w:val="auto"/>
              </w:rPr>
              <w:t>12.6</w:t>
            </w:r>
          </w:p>
        </w:tc>
        <w:tc>
          <w:tcPr>
            <w:tcW w:w="441" w:type="dxa"/>
            <w:tcMar>
              <w:top w:w="0" w:type="dxa"/>
              <w:left w:w="0" w:type="dxa"/>
              <w:bottom w:w="0" w:type="dxa"/>
              <w:right w:w="0" w:type="dxa"/>
            </w:tcMar>
            <w:vAlign w:val="center"/>
          </w:tcPr>
          <w:p w14:paraId="74BAAEB9">
            <w:pPr>
              <w:pStyle w:val="182"/>
              <w:bidi w:val="0"/>
              <w:rPr>
                <w:rFonts w:ascii="Times New Roman" w:hAnsi="Times New Roman" w:eastAsia="宋体" w:cs="Times New Roman"/>
                <w:color w:val="auto"/>
              </w:rPr>
            </w:pPr>
            <w:r>
              <w:rPr>
                <w:rFonts w:ascii="Times New Roman" w:hAnsi="Times New Roman" w:eastAsia="宋体" w:cs="Times New Roman"/>
                <w:color w:val="auto"/>
              </w:rPr>
              <w:t>3.5</w:t>
            </w:r>
          </w:p>
        </w:tc>
        <w:tc>
          <w:tcPr>
            <w:tcW w:w="313" w:type="dxa"/>
            <w:tcMar>
              <w:top w:w="0" w:type="dxa"/>
              <w:left w:w="0" w:type="dxa"/>
              <w:bottom w:w="0" w:type="dxa"/>
              <w:right w:w="0" w:type="dxa"/>
            </w:tcMar>
            <w:vAlign w:val="center"/>
          </w:tcPr>
          <w:p w14:paraId="1B45314C">
            <w:pPr>
              <w:pStyle w:val="182"/>
              <w:bidi w:val="0"/>
              <w:rPr>
                <w:rFonts w:ascii="Times New Roman" w:hAnsi="Times New Roman" w:eastAsia="宋体" w:cs="Times New Roman"/>
                <w:color w:val="auto"/>
              </w:rPr>
            </w:pPr>
            <w:r>
              <w:rPr>
                <w:rFonts w:ascii="Times New Roman" w:hAnsi="Times New Roman" w:eastAsia="宋体" w:cs="Times New Roman"/>
                <w:color w:val="auto"/>
              </w:rPr>
              <w:t>2.2</w:t>
            </w:r>
          </w:p>
        </w:tc>
        <w:tc>
          <w:tcPr>
            <w:tcW w:w="428" w:type="dxa"/>
            <w:tcMar>
              <w:top w:w="0" w:type="dxa"/>
              <w:left w:w="0" w:type="dxa"/>
              <w:bottom w:w="0" w:type="dxa"/>
              <w:right w:w="0" w:type="dxa"/>
            </w:tcMar>
            <w:vAlign w:val="center"/>
          </w:tcPr>
          <w:p w14:paraId="5D988B06">
            <w:pPr>
              <w:pStyle w:val="182"/>
              <w:bidi w:val="0"/>
              <w:rPr>
                <w:rFonts w:ascii="Times New Roman" w:hAnsi="Times New Roman" w:eastAsia="宋体" w:cs="Times New Roman"/>
                <w:color w:val="auto"/>
              </w:rPr>
            </w:pPr>
            <w:r>
              <w:rPr>
                <w:rFonts w:ascii="Times New Roman" w:hAnsi="Times New Roman" w:eastAsia="宋体" w:cs="Times New Roman"/>
                <w:color w:val="auto"/>
              </w:rPr>
              <w:t>1.4</w:t>
            </w:r>
          </w:p>
        </w:tc>
        <w:tc>
          <w:tcPr>
            <w:tcW w:w="425" w:type="dxa"/>
            <w:tcMar>
              <w:top w:w="0" w:type="dxa"/>
              <w:left w:w="0" w:type="dxa"/>
              <w:bottom w:w="0" w:type="dxa"/>
              <w:right w:w="0" w:type="dxa"/>
            </w:tcMar>
            <w:vAlign w:val="center"/>
          </w:tcPr>
          <w:p w14:paraId="7CDB4110">
            <w:pPr>
              <w:pStyle w:val="182"/>
              <w:bidi w:val="0"/>
              <w:rPr>
                <w:rFonts w:ascii="Times New Roman" w:hAnsi="Times New Roman" w:eastAsia="宋体" w:cs="Times New Roman"/>
                <w:color w:val="auto"/>
              </w:rPr>
            </w:pPr>
            <w:r>
              <w:rPr>
                <w:rFonts w:ascii="Times New Roman" w:hAnsi="Times New Roman" w:eastAsia="宋体" w:cs="Times New Roman"/>
                <w:color w:val="auto"/>
              </w:rPr>
              <w:t>4.4</w:t>
            </w:r>
          </w:p>
        </w:tc>
        <w:tc>
          <w:tcPr>
            <w:tcW w:w="508" w:type="dxa"/>
            <w:tcMar>
              <w:top w:w="0" w:type="dxa"/>
              <w:left w:w="0" w:type="dxa"/>
              <w:bottom w:w="0" w:type="dxa"/>
              <w:right w:w="0" w:type="dxa"/>
            </w:tcMar>
            <w:vAlign w:val="center"/>
          </w:tcPr>
          <w:p w14:paraId="1CBA6DB2">
            <w:pPr>
              <w:pStyle w:val="182"/>
              <w:bidi w:val="0"/>
              <w:rPr>
                <w:rFonts w:ascii="Times New Roman" w:hAnsi="Times New Roman" w:eastAsia="宋体" w:cs="Times New Roman"/>
                <w:color w:val="auto"/>
              </w:rPr>
            </w:pPr>
            <w:r>
              <w:rPr>
                <w:rFonts w:ascii="Times New Roman" w:hAnsi="Times New Roman" w:eastAsia="宋体" w:cs="Times New Roman"/>
                <w:color w:val="auto"/>
              </w:rPr>
              <w:t>6.6</w:t>
            </w:r>
          </w:p>
        </w:tc>
        <w:tc>
          <w:tcPr>
            <w:tcW w:w="425" w:type="dxa"/>
            <w:tcMar>
              <w:top w:w="0" w:type="dxa"/>
              <w:left w:w="0" w:type="dxa"/>
              <w:bottom w:w="0" w:type="dxa"/>
              <w:right w:w="0" w:type="dxa"/>
            </w:tcMar>
            <w:vAlign w:val="center"/>
          </w:tcPr>
          <w:p w14:paraId="64B63256">
            <w:pPr>
              <w:pStyle w:val="182"/>
              <w:bidi w:val="0"/>
              <w:rPr>
                <w:rFonts w:ascii="Times New Roman" w:hAnsi="Times New Roman" w:eastAsia="宋体" w:cs="Times New Roman"/>
                <w:color w:val="auto"/>
              </w:rPr>
            </w:pPr>
            <w:r>
              <w:rPr>
                <w:rFonts w:ascii="Times New Roman" w:hAnsi="Times New Roman" w:eastAsia="宋体" w:cs="Times New Roman"/>
                <w:color w:val="auto"/>
              </w:rPr>
              <w:t>7.8</w:t>
            </w:r>
          </w:p>
        </w:tc>
        <w:tc>
          <w:tcPr>
            <w:tcW w:w="603" w:type="dxa"/>
            <w:tcMar>
              <w:top w:w="0" w:type="dxa"/>
              <w:left w:w="0" w:type="dxa"/>
              <w:bottom w:w="0" w:type="dxa"/>
              <w:right w:w="0" w:type="dxa"/>
            </w:tcMar>
            <w:vAlign w:val="center"/>
          </w:tcPr>
          <w:p w14:paraId="20F841C6">
            <w:pPr>
              <w:pStyle w:val="182"/>
              <w:bidi w:val="0"/>
              <w:rPr>
                <w:rFonts w:ascii="Times New Roman" w:hAnsi="Times New Roman" w:eastAsia="宋体" w:cs="Times New Roman"/>
                <w:color w:val="auto"/>
              </w:rPr>
            </w:pPr>
            <w:r>
              <w:rPr>
                <w:rFonts w:ascii="Times New Roman" w:hAnsi="Times New Roman" w:eastAsia="宋体" w:cs="Times New Roman"/>
                <w:color w:val="auto"/>
              </w:rPr>
              <w:t>4.5</w:t>
            </w:r>
          </w:p>
        </w:tc>
        <w:tc>
          <w:tcPr>
            <w:tcW w:w="345" w:type="dxa"/>
            <w:tcMar>
              <w:top w:w="0" w:type="dxa"/>
              <w:left w:w="0" w:type="dxa"/>
              <w:bottom w:w="0" w:type="dxa"/>
              <w:right w:w="0" w:type="dxa"/>
            </w:tcMar>
            <w:vAlign w:val="center"/>
          </w:tcPr>
          <w:p w14:paraId="03F15A75">
            <w:pPr>
              <w:pStyle w:val="182"/>
              <w:bidi w:val="0"/>
              <w:rPr>
                <w:rFonts w:ascii="Times New Roman" w:hAnsi="Times New Roman" w:eastAsia="宋体" w:cs="Times New Roman"/>
                <w:color w:val="auto"/>
              </w:rPr>
            </w:pPr>
            <w:r>
              <w:rPr>
                <w:rFonts w:ascii="Times New Roman" w:hAnsi="Times New Roman" w:eastAsia="宋体" w:cs="Times New Roman"/>
                <w:color w:val="auto"/>
              </w:rPr>
              <w:t>3.9</w:t>
            </w:r>
          </w:p>
        </w:tc>
        <w:tc>
          <w:tcPr>
            <w:tcW w:w="645" w:type="dxa"/>
            <w:tcMar>
              <w:top w:w="0" w:type="dxa"/>
              <w:left w:w="0" w:type="dxa"/>
              <w:bottom w:w="0" w:type="dxa"/>
              <w:right w:w="0" w:type="dxa"/>
            </w:tcMar>
            <w:vAlign w:val="center"/>
          </w:tcPr>
          <w:p w14:paraId="249A5F0A">
            <w:pPr>
              <w:pStyle w:val="182"/>
              <w:bidi w:val="0"/>
              <w:rPr>
                <w:rFonts w:ascii="Times New Roman" w:hAnsi="Times New Roman" w:eastAsia="宋体" w:cs="Times New Roman"/>
                <w:color w:val="auto"/>
              </w:rPr>
            </w:pPr>
            <w:r>
              <w:rPr>
                <w:rFonts w:ascii="Times New Roman" w:hAnsi="Times New Roman" w:eastAsia="宋体" w:cs="Times New Roman"/>
                <w:color w:val="auto"/>
              </w:rPr>
              <w:t>2.0</w:t>
            </w:r>
          </w:p>
        </w:tc>
        <w:tc>
          <w:tcPr>
            <w:tcW w:w="445" w:type="dxa"/>
            <w:tcMar>
              <w:top w:w="0" w:type="dxa"/>
              <w:left w:w="0" w:type="dxa"/>
              <w:bottom w:w="0" w:type="dxa"/>
              <w:right w:w="0" w:type="dxa"/>
            </w:tcMar>
            <w:vAlign w:val="center"/>
          </w:tcPr>
          <w:p w14:paraId="7578FF0C">
            <w:pPr>
              <w:pStyle w:val="182"/>
              <w:bidi w:val="0"/>
              <w:rPr>
                <w:rFonts w:ascii="Times New Roman" w:hAnsi="Times New Roman" w:eastAsia="宋体" w:cs="Times New Roman"/>
                <w:color w:val="auto"/>
              </w:rPr>
            </w:pPr>
            <w:r>
              <w:rPr>
                <w:rFonts w:ascii="Times New Roman" w:hAnsi="Times New Roman" w:eastAsia="宋体" w:cs="Times New Roman"/>
                <w:color w:val="auto"/>
              </w:rPr>
              <w:t>1.9</w:t>
            </w:r>
          </w:p>
        </w:tc>
        <w:tc>
          <w:tcPr>
            <w:tcW w:w="591" w:type="dxa"/>
            <w:tcMar>
              <w:top w:w="0" w:type="dxa"/>
              <w:left w:w="0" w:type="dxa"/>
              <w:bottom w:w="0" w:type="dxa"/>
              <w:right w:w="0" w:type="dxa"/>
            </w:tcMar>
            <w:vAlign w:val="center"/>
          </w:tcPr>
          <w:p w14:paraId="3C7D294A">
            <w:pPr>
              <w:pStyle w:val="182"/>
              <w:bidi w:val="0"/>
              <w:rPr>
                <w:rFonts w:ascii="Times New Roman" w:hAnsi="Times New Roman" w:eastAsia="宋体" w:cs="Times New Roman"/>
                <w:color w:val="auto"/>
              </w:rPr>
            </w:pPr>
            <w:r>
              <w:rPr>
                <w:rFonts w:ascii="Times New Roman" w:hAnsi="Times New Roman" w:eastAsia="宋体" w:cs="Times New Roman"/>
                <w:color w:val="auto"/>
              </w:rPr>
              <w:t>1.2</w:t>
            </w:r>
          </w:p>
        </w:tc>
        <w:tc>
          <w:tcPr>
            <w:tcW w:w="492" w:type="dxa"/>
            <w:tcMar>
              <w:top w:w="0" w:type="dxa"/>
              <w:left w:w="0" w:type="dxa"/>
              <w:bottom w:w="0" w:type="dxa"/>
              <w:right w:w="0" w:type="dxa"/>
            </w:tcMar>
            <w:vAlign w:val="center"/>
          </w:tcPr>
          <w:p w14:paraId="160403BF">
            <w:pPr>
              <w:pStyle w:val="182"/>
              <w:bidi w:val="0"/>
              <w:rPr>
                <w:rFonts w:ascii="Times New Roman" w:hAnsi="Times New Roman" w:eastAsia="宋体" w:cs="Times New Roman"/>
                <w:color w:val="auto"/>
              </w:rPr>
            </w:pPr>
            <w:r>
              <w:rPr>
                <w:rFonts w:ascii="Times New Roman" w:hAnsi="Times New Roman" w:eastAsia="宋体" w:cs="Times New Roman"/>
                <w:color w:val="auto"/>
              </w:rPr>
              <w:t>11.9</w:t>
            </w:r>
          </w:p>
        </w:tc>
      </w:tr>
      <w:tr w14:paraId="47A68D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14:paraId="64D2F46A">
            <w:pPr>
              <w:pStyle w:val="182"/>
              <w:bidi w:val="0"/>
              <w:rPr>
                <w:color w:val="auto"/>
              </w:rPr>
            </w:pPr>
            <w:r>
              <w:rPr>
                <w:color w:val="auto"/>
              </w:rPr>
              <w:t>2</w:t>
            </w:r>
          </w:p>
        </w:tc>
        <w:tc>
          <w:tcPr>
            <w:tcW w:w="313" w:type="dxa"/>
            <w:tcMar>
              <w:top w:w="0" w:type="dxa"/>
              <w:left w:w="0" w:type="dxa"/>
              <w:bottom w:w="0" w:type="dxa"/>
              <w:right w:w="0" w:type="dxa"/>
            </w:tcMar>
            <w:vAlign w:val="center"/>
          </w:tcPr>
          <w:p w14:paraId="3FEFAEBD">
            <w:pPr>
              <w:pStyle w:val="182"/>
              <w:bidi w:val="0"/>
              <w:rPr>
                <w:rFonts w:ascii="Times New Roman" w:hAnsi="Times New Roman" w:eastAsia="宋体" w:cs="Times New Roman"/>
                <w:color w:val="auto"/>
              </w:rPr>
            </w:pPr>
            <w:r>
              <w:rPr>
                <w:rFonts w:ascii="Times New Roman" w:hAnsi="Times New Roman" w:eastAsia="宋体" w:cs="Times New Roman"/>
                <w:color w:val="auto"/>
              </w:rPr>
              <w:t>0.9</w:t>
            </w:r>
          </w:p>
        </w:tc>
        <w:tc>
          <w:tcPr>
            <w:tcW w:w="508" w:type="dxa"/>
            <w:tcMar>
              <w:top w:w="0" w:type="dxa"/>
              <w:left w:w="0" w:type="dxa"/>
              <w:bottom w:w="0" w:type="dxa"/>
              <w:right w:w="0" w:type="dxa"/>
            </w:tcMar>
            <w:vAlign w:val="center"/>
          </w:tcPr>
          <w:p w14:paraId="3DDEC8FF">
            <w:pPr>
              <w:pStyle w:val="182"/>
              <w:bidi w:val="0"/>
              <w:rPr>
                <w:rFonts w:ascii="Times New Roman" w:hAnsi="Times New Roman" w:eastAsia="宋体" w:cs="Times New Roman"/>
                <w:color w:val="auto"/>
              </w:rPr>
            </w:pPr>
            <w:r>
              <w:rPr>
                <w:rFonts w:ascii="Times New Roman" w:hAnsi="Times New Roman" w:eastAsia="宋体" w:cs="Times New Roman"/>
                <w:color w:val="auto"/>
              </w:rPr>
              <w:t>1.1</w:t>
            </w:r>
          </w:p>
        </w:tc>
        <w:tc>
          <w:tcPr>
            <w:tcW w:w="435" w:type="dxa"/>
            <w:tcMar>
              <w:top w:w="0" w:type="dxa"/>
              <w:left w:w="0" w:type="dxa"/>
              <w:bottom w:w="0" w:type="dxa"/>
              <w:right w:w="0" w:type="dxa"/>
            </w:tcMar>
            <w:vAlign w:val="center"/>
          </w:tcPr>
          <w:p w14:paraId="628A852A">
            <w:pPr>
              <w:pStyle w:val="182"/>
              <w:bidi w:val="0"/>
              <w:rPr>
                <w:rFonts w:ascii="Times New Roman" w:hAnsi="Times New Roman" w:eastAsia="宋体" w:cs="Times New Roman"/>
                <w:color w:val="auto"/>
              </w:rPr>
            </w:pPr>
            <w:r>
              <w:rPr>
                <w:rFonts w:ascii="Times New Roman" w:hAnsi="Times New Roman" w:eastAsia="宋体" w:cs="Times New Roman"/>
                <w:color w:val="auto"/>
              </w:rPr>
              <w:t>13.6</w:t>
            </w:r>
          </w:p>
        </w:tc>
        <w:tc>
          <w:tcPr>
            <w:tcW w:w="480" w:type="dxa"/>
            <w:tcMar>
              <w:top w:w="0" w:type="dxa"/>
              <w:left w:w="0" w:type="dxa"/>
              <w:bottom w:w="0" w:type="dxa"/>
              <w:right w:w="0" w:type="dxa"/>
            </w:tcMar>
            <w:vAlign w:val="center"/>
          </w:tcPr>
          <w:p w14:paraId="4C8834AB">
            <w:pPr>
              <w:pStyle w:val="182"/>
              <w:bidi w:val="0"/>
              <w:rPr>
                <w:rFonts w:ascii="Times New Roman" w:hAnsi="Times New Roman" w:eastAsia="宋体" w:cs="Times New Roman"/>
                <w:color w:val="auto"/>
              </w:rPr>
            </w:pPr>
            <w:r>
              <w:rPr>
                <w:rFonts w:ascii="Times New Roman" w:hAnsi="Times New Roman" w:eastAsia="宋体" w:cs="Times New Roman"/>
                <w:color w:val="auto"/>
              </w:rPr>
              <w:t>21.6</w:t>
            </w:r>
          </w:p>
        </w:tc>
        <w:tc>
          <w:tcPr>
            <w:tcW w:w="435" w:type="dxa"/>
            <w:tcMar>
              <w:top w:w="0" w:type="dxa"/>
              <w:left w:w="0" w:type="dxa"/>
              <w:bottom w:w="0" w:type="dxa"/>
              <w:right w:w="0" w:type="dxa"/>
            </w:tcMar>
            <w:vAlign w:val="center"/>
          </w:tcPr>
          <w:p w14:paraId="1571AAB3">
            <w:pPr>
              <w:pStyle w:val="182"/>
              <w:bidi w:val="0"/>
              <w:rPr>
                <w:rFonts w:ascii="Times New Roman" w:hAnsi="Times New Roman" w:eastAsia="宋体" w:cs="Times New Roman"/>
                <w:color w:val="auto"/>
              </w:rPr>
            </w:pPr>
            <w:r>
              <w:rPr>
                <w:rFonts w:ascii="Times New Roman" w:hAnsi="Times New Roman" w:eastAsia="宋体" w:cs="Times New Roman"/>
                <w:color w:val="auto"/>
              </w:rPr>
              <w:t>10.9</w:t>
            </w:r>
          </w:p>
        </w:tc>
        <w:tc>
          <w:tcPr>
            <w:tcW w:w="441" w:type="dxa"/>
            <w:tcMar>
              <w:top w:w="0" w:type="dxa"/>
              <w:left w:w="0" w:type="dxa"/>
              <w:bottom w:w="0" w:type="dxa"/>
              <w:right w:w="0" w:type="dxa"/>
            </w:tcMar>
            <w:vAlign w:val="center"/>
          </w:tcPr>
          <w:p w14:paraId="60FC82C4">
            <w:pPr>
              <w:pStyle w:val="182"/>
              <w:bidi w:val="0"/>
              <w:rPr>
                <w:rFonts w:ascii="Times New Roman" w:hAnsi="Times New Roman" w:eastAsia="宋体" w:cs="Times New Roman"/>
                <w:color w:val="auto"/>
              </w:rPr>
            </w:pPr>
            <w:r>
              <w:rPr>
                <w:rFonts w:ascii="Times New Roman" w:hAnsi="Times New Roman" w:eastAsia="宋体" w:cs="Times New Roman"/>
                <w:color w:val="auto"/>
              </w:rPr>
              <w:t>4.6</w:t>
            </w:r>
          </w:p>
        </w:tc>
        <w:tc>
          <w:tcPr>
            <w:tcW w:w="313" w:type="dxa"/>
            <w:tcMar>
              <w:top w:w="0" w:type="dxa"/>
              <w:left w:w="0" w:type="dxa"/>
              <w:bottom w:w="0" w:type="dxa"/>
              <w:right w:w="0" w:type="dxa"/>
            </w:tcMar>
            <w:vAlign w:val="center"/>
          </w:tcPr>
          <w:p w14:paraId="2D537D5C">
            <w:pPr>
              <w:pStyle w:val="182"/>
              <w:bidi w:val="0"/>
              <w:rPr>
                <w:rFonts w:ascii="Times New Roman" w:hAnsi="Times New Roman" w:eastAsia="宋体" w:cs="Times New Roman"/>
                <w:color w:val="auto"/>
              </w:rPr>
            </w:pPr>
            <w:r>
              <w:rPr>
                <w:rFonts w:ascii="Times New Roman" w:hAnsi="Times New Roman" w:eastAsia="宋体" w:cs="Times New Roman"/>
                <w:color w:val="auto"/>
              </w:rPr>
              <w:t>2.1</w:t>
            </w:r>
          </w:p>
        </w:tc>
        <w:tc>
          <w:tcPr>
            <w:tcW w:w="428" w:type="dxa"/>
            <w:tcMar>
              <w:top w:w="0" w:type="dxa"/>
              <w:left w:w="0" w:type="dxa"/>
              <w:bottom w:w="0" w:type="dxa"/>
              <w:right w:w="0" w:type="dxa"/>
            </w:tcMar>
            <w:vAlign w:val="center"/>
          </w:tcPr>
          <w:p w14:paraId="144FD4A6">
            <w:pPr>
              <w:pStyle w:val="182"/>
              <w:bidi w:val="0"/>
              <w:rPr>
                <w:rFonts w:ascii="Times New Roman" w:hAnsi="Times New Roman" w:eastAsia="宋体" w:cs="Times New Roman"/>
                <w:color w:val="auto"/>
              </w:rPr>
            </w:pPr>
            <w:r>
              <w:rPr>
                <w:rFonts w:ascii="Times New Roman" w:hAnsi="Times New Roman" w:eastAsia="宋体" w:cs="Times New Roman"/>
                <w:color w:val="auto"/>
              </w:rPr>
              <w:t>1.6</w:t>
            </w:r>
          </w:p>
        </w:tc>
        <w:tc>
          <w:tcPr>
            <w:tcW w:w="425" w:type="dxa"/>
            <w:tcMar>
              <w:top w:w="0" w:type="dxa"/>
              <w:left w:w="0" w:type="dxa"/>
              <w:bottom w:w="0" w:type="dxa"/>
              <w:right w:w="0" w:type="dxa"/>
            </w:tcMar>
            <w:vAlign w:val="center"/>
          </w:tcPr>
          <w:p w14:paraId="20807BBC">
            <w:pPr>
              <w:pStyle w:val="182"/>
              <w:bidi w:val="0"/>
              <w:rPr>
                <w:rFonts w:ascii="Times New Roman" w:hAnsi="Times New Roman" w:eastAsia="宋体" w:cs="Times New Roman"/>
                <w:color w:val="auto"/>
              </w:rPr>
            </w:pPr>
            <w:r>
              <w:rPr>
                <w:rFonts w:ascii="Times New Roman" w:hAnsi="Times New Roman" w:eastAsia="宋体" w:cs="Times New Roman"/>
                <w:color w:val="auto"/>
              </w:rPr>
              <w:t>5.6</w:t>
            </w:r>
          </w:p>
        </w:tc>
        <w:tc>
          <w:tcPr>
            <w:tcW w:w="508" w:type="dxa"/>
            <w:tcMar>
              <w:top w:w="0" w:type="dxa"/>
              <w:left w:w="0" w:type="dxa"/>
              <w:bottom w:w="0" w:type="dxa"/>
              <w:right w:w="0" w:type="dxa"/>
            </w:tcMar>
            <w:vAlign w:val="center"/>
          </w:tcPr>
          <w:p w14:paraId="49229783">
            <w:pPr>
              <w:pStyle w:val="182"/>
              <w:bidi w:val="0"/>
              <w:rPr>
                <w:rFonts w:ascii="Times New Roman" w:hAnsi="Times New Roman" w:eastAsia="宋体" w:cs="Times New Roman"/>
                <w:color w:val="auto"/>
              </w:rPr>
            </w:pPr>
            <w:r>
              <w:rPr>
                <w:rFonts w:ascii="Times New Roman" w:hAnsi="Times New Roman" w:eastAsia="宋体" w:cs="Times New Roman"/>
                <w:color w:val="auto"/>
              </w:rPr>
              <w:t>8.4</w:t>
            </w:r>
          </w:p>
        </w:tc>
        <w:tc>
          <w:tcPr>
            <w:tcW w:w="425" w:type="dxa"/>
            <w:tcMar>
              <w:top w:w="0" w:type="dxa"/>
              <w:left w:w="0" w:type="dxa"/>
              <w:bottom w:w="0" w:type="dxa"/>
              <w:right w:w="0" w:type="dxa"/>
            </w:tcMar>
            <w:vAlign w:val="center"/>
          </w:tcPr>
          <w:p w14:paraId="5E5E3192">
            <w:pPr>
              <w:pStyle w:val="182"/>
              <w:bidi w:val="0"/>
              <w:rPr>
                <w:rFonts w:ascii="Times New Roman" w:hAnsi="Times New Roman" w:eastAsia="宋体" w:cs="Times New Roman"/>
                <w:color w:val="auto"/>
              </w:rPr>
            </w:pPr>
            <w:r>
              <w:rPr>
                <w:rFonts w:ascii="Times New Roman" w:hAnsi="Times New Roman" w:eastAsia="宋体" w:cs="Times New Roman"/>
                <w:color w:val="auto"/>
              </w:rPr>
              <w:t>7.6</w:t>
            </w:r>
          </w:p>
        </w:tc>
        <w:tc>
          <w:tcPr>
            <w:tcW w:w="603" w:type="dxa"/>
            <w:tcMar>
              <w:top w:w="0" w:type="dxa"/>
              <w:left w:w="0" w:type="dxa"/>
              <w:bottom w:w="0" w:type="dxa"/>
              <w:right w:w="0" w:type="dxa"/>
            </w:tcMar>
            <w:vAlign w:val="center"/>
          </w:tcPr>
          <w:p w14:paraId="695B4121">
            <w:pPr>
              <w:pStyle w:val="182"/>
              <w:bidi w:val="0"/>
              <w:rPr>
                <w:rFonts w:ascii="Times New Roman" w:hAnsi="Times New Roman" w:eastAsia="宋体" w:cs="Times New Roman"/>
                <w:color w:val="auto"/>
              </w:rPr>
            </w:pPr>
            <w:r>
              <w:rPr>
                <w:rFonts w:ascii="Times New Roman" w:hAnsi="Times New Roman" w:eastAsia="宋体" w:cs="Times New Roman"/>
                <w:color w:val="auto"/>
              </w:rPr>
              <w:t>4.0</w:t>
            </w:r>
          </w:p>
        </w:tc>
        <w:tc>
          <w:tcPr>
            <w:tcW w:w="345" w:type="dxa"/>
            <w:tcMar>
              <w:top w:w="0" w:type="dxa"/>
              <w:left w:w="0" w:type="dxa"/>
              <w:bottom w:w="0" w:type="dxa"/>
              <w:right w:w="0" w:type="dxa"/>
            </w:tcMar>
            <w:vAlign w:val="center"/>
          </w:tcPr>
          <w:p w14:paraId="1B8D4659">
            <w:pPr>
              <w:pStyle w:val="182"/>
              <w:bidi w:val="0"/>
              <w:rPr>
                <w:rFonts w:ascii="Times New Roman" w:hAnsi="Times New Roman" w:eastAsia="宋体" w:cs="Times New Roman"/>
                <w:color w:val="auto"/>
              </w:rPr>
            </w:pPr>
            <w:r>
              <w:rPr>
                <w:rFonts w:ascii="Times New Roman" w:hAnsi="Times New Roman" w:eastAsia="宋体" w:cs="Times New Roman"/>
                <w:color w:val="auto"/>
              </w:rPr>
              <w:t>3.9</w:t>
            </w:r>
          </w:p>
        </w:tc>
        <w:tc>
          <w:tcPr>
            <w:tcW w:w="645" w:type="dxa"/>
            <w:tcMar>
              <w:top w:w="0" w:type="dxa"/>
              <w:left w:w="0" w:type="dxa"/>
              <w:bottom w:w="0" w:type="dxa"/>
              <w:right w:w="0" w:type="dxa"/>
            </w:tcMar>
            <w:vAlign w:val="center"/>
          </w:tcPr>
          <w:p w14:paraId="4DFAE528">
            <w:pPr>
              <w:pStyle w:val="182"/>
              <w:bidi w:val="0"/>
              <w:rPr>
                <w:rFonts w:ascii="Times New Roman" w:hAnsi="Times New Roman" w:eastAsia="宋体" w:cs="Times New Roman"/>
                <w:color w:val="auto"/>
              </w:rPr>
            </w:pPr>
            <w:r>
              <w:rPr>
                <w:rFonts w:ascii="Times New Roman" w:hAnsi="Times New Roman" w:eastAsia="宋体" w:cs="Times New Roman"/>
                <w:color w:val="auto"/>
              </w:rPr>
              <w:t>2.0</w:t>
            </w:r>
          </w:p>
        </w:tc>
        <w:tc>
          <w:tcPr>
            <w:tcW w:w="445" w:type="dxa"/>
            <w:tcMar>
              <w:top w:w="0" w:type="dxa"/>
              <w:left w:w="0" w:type="dxa"/>
              <w:bottom w:w="0" w:type="dxa"/>
              <w:right w:w="0" w:type="dxa"/>
            </w:tcMar>
            <w:vAlign w:val="center"/>
          </w:tcPr>
          <w:p w14:paraId="23479910">
            <w:pPr>
              <w:pStyle w:val="182"/>
              <w:bidi w:val="0"/>
              <w:rPr>
                <w:rFonts w:ascii="Times New Roman" w:hAnsi="Times New Roman" w:eastAsia="宋体" w:cs="Times New Roman"/>
                <w:color w:val="auto"/>
              </w:rPr>
            </w:pPr>
            <w:r>
              <w:rPr>
                <w:rFonts w:ascii="Times New Roman" w:hAnsi="Times New Roman" w:eastAsia="宋体" w:cs="Times New Roman"/>
                <w:color w:val="auto"/>
              </w:rPr>
              <w:t>1.5</w:t>
            </w:r>
          </w:p>
        </w:tc>
        <w:tc>
          <w:tcPr>
            <w:tcW w:w="591" w:type="dxa"/>
            <w:tcMar>
              <w:top w:w="0" w:type="dxa"/>
              <w:left w:w="0" w:type="dxa"/>
              <w:bottom w:w="0" w:type="dxa"/>
              <w:right w:w="0" w:type="dxa"/>
            </w:tcMar>
            <w:vAlign w:val="center"/>
          </w:tcPr>
          <w:p w14:paraId="46A53F72">
            <w:pPr>
              <w:pStyle w:val="182"/>
              <w:bidi w:val="0"/>
              <w:rPr>
                <w:rFonts w:ascii="Times New Roman" w:hAnsi="Times New Roman" w:eastAsia="宋体" w:cs="Times New Roman"/>
                <w:color w:val="auto"/>
              </w:rPr>
            </w:pPr>
            <w:r>
              <w:rPr>
                <w:rFonts w:ascii="Times New Roman" w:hAnsi="Times New Roman" w:eastAsia="宋体" w:cs="Times New Roman"/>
                <w:color w:val="auto"/>
              </w:rPr>
              <w:t>0.7</w:t>
            </w:r>
          </w:p>
        </w:tc>
        <w:tc>
          <w:tcPr>
            <w:tcW w:w="492" w:type="dxa"/>
            <w:tcMar>
              <w:top w:w="0" w:type="dxa"/>
              <w:left w:w="0" w:type="dxa"/>
              <w:bottom w:w="0" w:type="dxa"/>
              <w:right w:w="0" w:type="dxa"/>
            </w:tcMar>
            <w:vAlign w:val="center"/>
          </w:tcPr>
          <w:p w14:paraId="7BE50B06">
            <w:pPr>
              <w:pStyle w:val="182"/>
              <w:bidi w:val="0"/>
              <w:rPr>
                <w:rFonts w:ascii="Times New Roman" w:hAnsi="Times New Roman" w:eastAsia="宋体" w:cs="Times New Roman"/>
                <w:color w:val="auto"/>
              </w:rPr>
            </w:pPr>
            <w:r>
              <w:rPr>
                <w:rFonts w:ascii="Times New Roman" w:hAnsi="Times New Roman" w:eastAsia="宋体" w:cs="Times New Roman"/>
                <w:color w:val="auto"/>
              </w:rPr>
              <w:t>9.9</w:t>
            </w:r>
          </w:p>
        </w:tc>
      </w:tr>
      <w:tr w14:paraId="199F70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14:paraId="76AA6539">
            <w:pPr>
              <w:pStyle w:val="182"/>
              <w:bidi w:val="0"/>
              <w:rPr>
                <w:color w:val="auto"/>
              </w:rPr>
            </w:pPr>
            <w:r>
              <w:rPr>
                <w:color w:val="auto"/>
              </w:rPr>
              <w:t>3</w:t>
            </w:r>
          </w:p>
        </w:tc>
        <w:tc>
          <w:tcPr>
            <w:tcW w:w="313" w:type="dxa"/>
            <w:tcMar>
              <w:top w:w="0" w:type="dxa"/>
              <w:left w:w="0" w:type="dxa"/>
              <w:bottom w:w="0" w:type="dxa"/>
              <w:right w:w="0" w:type="dxa"/>
            </w:tcMar>
            <w:vAlign w:val="center"/>
          </w:tcPr>
          <w:p w14:paraId="74B63784">
            <w:pPr>
              <w:pStyle w:val="182"/>
              <w:bidi w:val="0"/>
              <w:rPr>
                <w:rFonts w:ascii="Times New Roman" w:hAnsi="Times New Roman" w:eastAsia="宋体" w:cs="Times New Roman"/>
                <w:color w:val="auto"/>
              </w:rPr>
            </w:pPr>
            <w:r>
              <w:rPr>
                <w:rFonts w:ascii="Times New Roman" w:hAnsi="Times New Roman" w:eastAsia="宋体" w:cs="Times New Roman"/>
                <w:color w:val="auto"/>
              </w:rPr>
              <w:t>0.9</w:t>
            </w:r>
          </w:p>
        </w:tc>
        <w:tc>
          <w:tcPr>
            <w:tcW w:w="508" w:type="dxa"/>
            <w:tcMar>
              <w:top w:w="0" w:type="dxa"/>
              <w:left w:w="0" w:type="dxa"/>
              <w:bottom w:w="0" w:type="dxa"/>
              <w:right w:w="0" w:type="dxa"/>
            </w:tcMar>
            <w:vAlign w:val="center"/>
          </w:tcPr>
          <w:p w14:paraId="38E8B743">
            <w:pPr>
              <w:pStyle w:val="182"/>
              <w:bidi w:val="0"/>
              <w:rPr>
                <w:rFonts w:ascii="Times New Roman" w:hAnsi="Times New Roman" w:eastAsia="宋体" w:cs="Times New Roman"/>
                <w:color w:val="auto"/>
              </w:rPr>
            </w:pPr>
            <w:r>
              <w:rPr>
                <w:rFonts w:ascii="Times New Roman" w:hAnsi="Times New Roman" w:eastAsia="宋体" w:cs="Times New Roman"/>
                <w:color w:val="auto"/>
              </w:rPr>
              <w:t>1.9</w:t>
            </w:r>
          </w:p>
        </w:tc>
        <w:tc>
          <w:tcPr>
            <w:tcW w:w="435" w:type="dxa"/>
            <w:tcMar>
              <w:top w:w="0" w:type="dxa"/>
              <w:left w:w="0" w:type="dxa"/>
              <w:bottom w:w="0" w:type="dxa"/>
              <w:right w:w="0" w:type="dxa"/>
            </w:tcMar>
            <w:vAlign w:val="center"/>
          </w:tcPr>
          <w:p w14:paraId="7A553388">
            <w:pPr>
              <w:pStyle w:val="182"/>
              <w:bidi w:val="0"/>
              <w:rPr>
                <w:rFonts w:ascii="Times New Roman" w:hAnsi="Times New Roman" w:eastAsia="宋体" w:cs="Times New Roman"/>
                <w:color w:val="auto"/>
              </w:rPr>
            </w:pPr>
            <w:r>
              <w:rPr>
                <w:rFonts w:ascii="Times New Roman" w:hAnsi="Times New Roman" w:eastAsia="宋体" w:cs="Times New Roman"/>
                <w:color w:val="auto"/>
              </w:rPr>
              <w:t>12.9</w:t>
            </w:r>
          </w:p>
        </w:tc>
        <w:tc>
          <w:tcPr>
            <w:tcW w:w="480" w:type="dxa"/>
            <w:tcMar>
              <w:top w:w="0" w:type="dxa"/>
              <w:left w:w="0" w:type="dxa"/>
              <w:bottom w:w="0" w:type="dxa"/>
              <w:right w:w="0" w:type="dxa"/>
            </w:tcMar>
            <w:vAlign w:val="center"/>
          </w:tcPr>
          <w:p w14:paraId="5CC05ADE">
            <w:pPr>
              <w:pStyle w:val="182"/>
              <w:bidi w:val="0"/>
              <w:rPr>
                <w:rFonts w:ascii="Times New Roman" w:hAnsi="Times New Roman" w:eastAsia="宋体" w:cs="Times New Roman"/>
                <w:color w:val="auto"/>
              </w:rPr>
            </w:pPr>
            <w:r>
              <w:rPr>
                <w:rFonts w:ascii="Times New Roman" w:hAnsi="Times New Roman" w:eastAsia="宋体" w:cs="Times New Roman"/>
                <w:color w:val="auto"/>
              </w:rPr>
              <w:t>16.7</w:t>
            </w:r>
          </w:p>
        </w:tc>
        <w:tc>
          <w:tcPr>
            <w:tcW w:w="435" w:type="dxa"/>
            <w:tcMar>
              <w:top w:w="0" w:type="dxa"/>
              <w:left w:w="0" w:type="dxa"/>
              <w:bottom w:w="0" w:type="dxa"/>
              <w:right w:w="0" w:type="dxa"/>
            </w:tcMar>
            <w:vAlign w:val="center"/>
          </w:tcPr>
          <w:p w14:paraId="63B7841E">
            <w:pPr>
              <w:pStyle w:val="182"/>
              <w:bidi w:val="0"/>
              <w:rPr>
                <w:rFonts w:ascii="Times New Roman" w:hAnsi="Times New Roman" w:eastAsia="宋体" w:cs="Times New Roman"/>
                <w:color w:val="auto"/>
              </w:rPr>
            </w:pPr>
            <w:r>
              <w:rPr>
                <w:rFonts w:ascii="Times New Roman" w:hAnsi="Times New Roman" w:eastAsia="宋体" w:cs="Times New Roman"/>
                <w:color w:val="auto"/>
              </w:rPr>
              <w:t>8.5</w:t>
            </w:r>
          </w:p>
        </w:tc>
        <w:tc>
          <w:tcPr>
            <w:tcW w:w="441" w:type="dxa"/>
            <w:tcMar>
              <w:top w:w="0" w:type="dxa"/>
              <w:left w:w="0" w:type="dxa"/>
              <w:bottom w:w="0" w:type="dxa"/>
              <w:right w:w="0" w:type="dxa"/>
            </w:tcMar>
            <w:vAlign w:val="center"/>
          </w:tcPr>
          <w:p w14:paraId="4EE12572">
            <w:pPr>
              <w:pStyle w:val="182"/>
              <w:bidi w:val="0"/>
              <w:rPr>
                <w:rFonts w:ascii="Times New Roman" w:hAnsi="Times New Roman" w:eastAsia="宋体" w:cs="Times New Roman"/>
                <w:color w:val="auto"/>
              </w:rPr>
            </w:pPr>
            <w:r>
              <w:rPr>
                <w:rFonts w:ascii="Times New Roman" w:hAnsi="Times New Roman" w:eastAsia="宋体" w:cs="Times New Roman"/>
                <w:color w:val="auto"/>
              </w:rPr>
              <w:t>3.6</w:t>
            </w:r>
          </w:p>
        </w:tc>
        <w:tc>
          <w:tcPr>
            <w:tcW w:w="313" w:type="dxa"/>
            <w:tcMar>
              <w:top w:w="0" w:type="dxa"/>
              <w:left w:w="0" w:type="dxa"/>
              <w:bottom w:w="0" w:type="dxa"/>
              <w:right w:w="0" w:type="dxa"/>
            </w:tcMar>
            <w:vAlign w:val="center"/>
          </w:tcPr>
          <w:p w14:paraId="7C649106">
            <w:pPr>
              <w:pStyle w:val="182"/>
              <w:bidi w:val="0"/>
              <w:rPr>
                <w:rFonts w:ascii="Times New Roman" w:hAnsi="Times New Roman" w:eastAsia="宋体" w:cs="Times New Roman"/>
                <w:color w:val="auto"/>
              </w:rPr>
            </w:pPr>
            <w:r>
              <w:rPr>
                <w:rFonts w:ascii="Times New Roman" w:hAnsi="Times New Roman" w:eastAsia="宋体" w:cs="Times New Roman"/>
                <w:color w:val="auto"/>
              </w:rPr>
              <w:t>2.3</w:t>
            </w:r>
          </w:p>
        </w:tc>
        <w:tc>
          <w:tcPr>
            <w:tcW w:w="428" w:type="dxa"/>
            <w:tcMar>
              <w:top w:w="0" w:type="dxa"/>
              <w:left w:w="0" w:type="dxa"/>
              <w:bottom w:w="0" w:type="dxa"/>
              <w:right w:w="0" w:type="dxa"/>
            </w:tcMar>
            <w:vAlign w:val="center"/>
          </w:tcPr>
          <w:p w14:paraId="5FDB55FC">
            <w:pPr>
              <w:pStyle w:val="182"/>
              <w:bidi w:val="0"/>
              <w:rPr>
                <w:rFonts w:ascii="Times New Roman" w:hAnsi="Times New Roman" w:eastAsia="宋体" w:cs="Times New Roman"/>
                <w:color w:val="auto"/>
              </w:rPr>
            </w:pPr>
            <w:r>
              <w:rPr>
                <w:rFonts w:ascii="Times New Roman" w:hAnsi="Times New Roman" w:eastAsia="宋体" w:cs="Times New Roman"/>
                <w:color w:val="auto"/>
              </w:rPr>
              <w:t>2.8</w:t>
            </w:r>
          </w:p>
        </w:tc>
        <w:tc>
          <w:tcPr>
            <w:tcW w:w="425" w:type="dxa"/>
            <w:tcMar>
              <w:top w:w="0" w:type="dxa"/>
              <w:left w:w="0" w:type="dxa"/>
              <w:bottom w:w="0" w:type="dxa"/>
              <w:right w:w="0" w:type="dxa"/>
            </w:tcMar>
            <w:vAlign w:val="center"/>
          </w:tcPr>
          <w:p w14:paraId="37D518A3">
            <w:pPr>
              <w:pStyle w:val="182"/>
              <w:bidi w:val="0"/>
              <w:rPr>
                <w:rFonts w:ascii="Times New Roman" w:hAnsi="Times New Roman" w:eastAsia="宋体" w:cs="Times New Roman"/>
                <w:color w:val="auto"/>
              </w:rPr>
            </w:pPr>
            <w:r>
              <w:rPr>
                <w:rFonts w:ascii="Times New Roman" w:hAnsi="Times New Roman" w:eastAsia="宋体" w:cs="Times New Roman"/>
                <w:color w:val="auto"/>
              </w:rPr>
              <w:t>8.5</w:t>
            </w:r>
          </w:p>
        </w:tc>
        <w:tc>
          <w:tcPr>
            <w:tcW w:w="508" w:type="dxa"/>
            <w:tcMar>
              <w:top w:w="0" w:type="dxa"/>
              <w:left w:w="0" w:type="dxa"/>
              <w:bottom w:w="0" w:type="dxa"/>
              <w:right w:w="0" w:type="dxa"/>
            </w:tcMar>
            <w:vAlign w:val="center"/>
          </w:tcPr>
          <w:p w14:paraId="5AE83600">
            <w:pPr>
              <w:pStyle w:val="182"/>
              <w:bidi w:val="0"/>
              <w:rPr>
                <w:rFonts w:ascii="Times New Roman" w:hAnsi="Times New Roman" w:eastAsia="宋体" w:cs="Times New Roman"/>
                <w:color w:val="auto"/>
              </w:rPr>
            </w:pPr>
            <w:r>
              <w:rPr>
                <w:rFonts w:ascii="Times New Roman" w:hAnsi="Times New Roman" w:eastAsia="宋体" w:cs="Times New Roman"/>
                <w:color w:val="auto"/>
              </w:rPr>
              <w:t>10.7</w:t>
            </w:r>
          </w:p>
        </w:tc>
        <w:tc>
          <w:tcPr>
            <w:tcW w:w="425" w:type="dxa"/>
            <w:tcMar>
              <w:top w:w="0" w:type="dxa"/>
              <w:left w:w="0" w:type="dxa"/>
              <w:bottom w:w="0" w:type="dxa"/>
              <w:right w:w="0" w:type="dxa"/>
            </w:tcMar>
            <w:vAlign w:val="center"/>
          </w:tcPr>
          <w:p w14:paraId="3D900187">
            <w:pPr>
              <w:pStyle w:val="182"/>
              <w:bidi w:val="0"/>
              <w:rPr>
                <w:rFonts w:ascii="Times New Roman" w:hAnsi="Times New Roman" w:eastAsia="宋体" w:cs="Times New Roman"/>
                <w:color w:val="auto"/>
              </w:rPr>
            </w:pPr>
            <w:r>
              <w:rPr>
                <w:rFonts w:ascii="Times New Roman" w:hAnsi="Times New Roman" w:eastAsia="宋体" w:cs="Times New Roman"/>
                <w:color w:val="auto"/>
              </w:rPr>
              <w:t>10.0</w:t>
            </w:r>
          </w:p>
        </w:tc>
        <w:tc>
          <w:tcPr>
            <w:tcW w:w="603" w:type="dxa"/>
            <w:tcMar>
              <w:top w:w="0" w:type="dxa"/>
              <w:left w:w="0" w:type="dxa"/>
              <w:bottom w:w="0" w:type="dxa"/>
              <w:right w:w="0" w:type="dxa"/>
            </w:tcMar>
            <w:vAlign w:val="center"/>
          </w:tcPr>
          <w:p w14:paraId="33856AB5">
            <w:pPr>
              <w:pStyle w:val="182"/>
              <w:bidi w:val="0"/>
              <w:rPr>
                <w:rFonts w:ascii="Times New Roman" w:hAnsi="Times New Roman" w:eastAsia="宋体" w:cs="Times New Roman"/>
                <w:color w:val="auto"/>
              </w:rPr>
            </w:pPr>
            <w:r>
              <w:rPr>
                <w:rFonts w:ascii="Times New Roman" w:hAnsi="Times New Roman" w:eastAsia="宋体" w:cs="Times New Roman"/>
                <w:color w:val="auto"/>
              </w:rPr>
              <w:t>5.1</w:t>
            </w:r>
          </w:p>
        </w:tc>
        <w:tc>
          <w:tcPr>
            <w:tcW w:w="345" w:type="dxa"/>
            <w:tcMar>
              <w:top w:w="0" w:type="dxa"/>
              <w:left w:w="0" w:type="dxa"/>
              <w:bottom w:w="0" w:type="dxa"/>
              <w:right w:w="0" w:type="dxa"/>
            </w:tcMar>
            <w:vAlign w:val="center"/>
          </w:tcPr>
          <w:p w14:paraId="6261305D">
            <w:pPr>
              <w:pStyle w:val="182"/>
              <w:bidi w:val="0"/>
              <w:rPr>
                <w:rFonts w:ascii="Times New Roman" w:hAnsi="Times New Roman" w:eastAsia="宋体" w:cs="Times New Roman"/>
                <w:color w:val="auto"/>
              </w:rPr>
            </w:pPr>
            <w:r>
              <w:rPr>
                <w:rFonts w:ascii="Times New Roman" w:hAnsi="Times New Roman" w:eastAsia="宋体" w:cs="Times New Roman"/>
                <w:color w:val="auto"/>
              </w:rPr>
              <w:t>3.8</w:t>
            </w:r>
          </w:p>
        </w:tc>
        <w:tc>
          <w:tcPr>
            <w:tcW w:w="645" w:type="dxa"/>
            <w:tcMar>
              <w:top w:w="0" w:type="dxa"/>
              <w:left w:w="0" w:type="dxa"/>
              <w:bottom w:w="0" w:type="dxa"/>
              <w:right w:w="0" w:type="dxa"/>
            </w:tcMar>
            <w:vAlign w:val="center"/>
          </w:tcPr>
          <w:p w14:paraId="2BE8F62D">
            <w:pPr>
              <w:pStyle w:val="182"/>
              <w:bidi w:val="0"/>
              <w:rPr>
                <w:rFonts w:ascii="Times New Roman" w:hAnsi="Times New Roman" w:eastAsia="宋体" w:cs="Times New Roman"/>
                <w:color w:val="auto"/>
              </w:rPr>
            </w:pPr>
            <w:r>
              <w:rPr>
                <w:rFonts w:ascii="Times New Roman" w:hAnsi="Times New Roman" w:eastAsia="宋体" w:cs="Times New Roman"/>
                <w:color w:val="auto"/>
              </w:rPr>
              <w:t>3.0</w:t>
            </w:r>
          </w:p>
        </w:tc>
        <w:tc>
          <w:tcPr>
            <w:tcW w:w="445" w:type="dxa"/>
            <w:tcMar>
              <w:top w:w="0" w:type="dxa"/>
              <w:left w:w="0" w:type="dxa"/>
              <w:bottom w:w="0" w:type="dxa"/>
              <w:right w:w="0" w:type="dxa"/>
            </w:tcMar>
            <w:vAlign w:val="center"/>
          </w:tcPr>
          <w:p w14:paraId="5D6B026B">
            <w:pPr>
              <w:pStyle w:val="182"/>
              <w:bidi w:val="0"/>
              <w:rPr>
                <w:rFonts w:ascii="Times New Roman" w:hAnsi="Times New Roman" w:eastAsia="宋体" w:cs="Times New Roman"/>
                <w:color w:val="auto"/>
              </w:rPr>
            </w:pPr>
            <w:r>
              <w:rPr>
                <w:rFonts w:ascii="Times New Roman" w:hAnsi="Times New Roman" w:eastAsia="宋体" w:cs="Times New Roman"/>
                <w:color w:val="auto"/>
              </w:rPr>
              <w:t>1.7</w:t>
            </w:r>
          </w:p>
        </w:tc>
        <w:tc>
          <w:tcPr>
            <w:tcW w:w="591" w:type="dxa"/>
            <w:tcMar>
              <w:top w:w="0" w:type="dxa"/>
              <w:left w:w="0" w:type="dxa"/>
              <w:bottom w:w="0" w:type="dxa"/>
              <w:right w:w="0" w:type="dxa"/>
            </w:tcMar>
            <w:vAlign w:val="center"/>
          </w:tcPr>
          <w:p w14:paraId="4B459DB8">
            <w:pPr>
              <w:pStyle w:val="182"/>
              <w:bidi w:val="0"/>
              <w:rPr>
                <w:rFonts w:ascii="Times New Roman" w:hAnsi="Times New Roman" w:eastAsia="宋体" w:cs="Times New Roman"/>
                <w:color w:val="auto"/>
              </w:rPr>
            </w:pPr>
            <w:r>
              <w:rPr>
                <w:rFonts w:ascii="Times New Roman" w:hAnsi="Times New Roman" w:eastAsia="宋体" w:cs="Times New Roman"/>
                <w:color w:val="auto"/>
              </w:rPr>
              <w:t>1.4</w:t>
            </w:r>
          </w:p>
        </w:tc>
        <w:tc>
          <w:tcPr>
            <w:tcW w:w="492" w:type="dxa"/>
            <w:tcMar>
              <w:top w:w="0" w:type="dxa"/>
              <w:left w:w="0" w:type="dxa"/>
              <w:bottom w:w="0" w:type="dxa"/>
              <w:right w:w="0" w:type="dxa"/>
            </w:tcMar>
            <w:vAlign w:val="center"/>
          </w:tcPr>
          <w:p w14:paraId="32576046">
            <w:pPr>
              <w:pStyle w:val="182"/>
              <w:bidi w:val="0"/>
              <w:rPr>
                <w:rFonts w:ascii="Times New Roman" w:hAnsi="Times New Roman" w:eastAsia="宋体" w:cs="Times New Roman"/>
                <w:color w:val="auto"/>
              </w:rPr>
            </w:pPr>
            <w:r>
              <w:rPr>
                <w:rFonts w:ascii="Times New Roman" w:hAnsi="Times New Roman" w:eastAsia="宋体" w:cs="Times New Roman"/>
                <w:color w:val="auto"/>
              </w:rPr>
              <w:t>6.2</w:t>
            </w:r>
          </w:p>
        </w:tc>
      </w:tr>
      <w:tr w14:paraId="0DEC3B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14:paraId="568E4B3A">
            <w:pPr>
              <w:pStyle w:val="182"/>
              <w:bidi w:val="0"/>
              <w:rPr>
                <w:color w:val="auto"/>
              </w:rPr>
            </w:pPr>
            <w:r>
              <w:rPr>
                <w:color w:val="auto"/>
              </w:rPr>
              <w:t>4</w:t>
            </w:r>
          </w:p>
        </w:tc>
        <w:tc>
          <w:tcPr>
            <w:tcW w:w="313" w:type="dxa"/>
            <w:tcMar>
              <w:top w:w="0" w:type="dxa"/>
              <w:left w:w="0" w:type="dxa"/>
              <w:bottom w:w="0" w:type="dxa"/>
              <w:right w:w="0" w:type="dxa"/>
            </w:tcMar>
            <w:vAlign w:val="center"/>
          </w:tcPr>
          <w:p w14:paraId="4ED5CE2B">
            <w:pPr>
              <w:pStyle w:val="182"/>
              <w:bidi w:val="0"/>
              <w:rPr>
                <w:rFonts w:ascii="Times New Roman" w:hAnsi="Times New Roman" w:eastAsia="宋体" w:cs="Times New Roman"/>
                <w:color w:val="auto"/>
              </w:rPr>
            </w:pPr>
            <w:r>
              <w:rPr>
                <w:rFonts w:ascii="Times New Roman" w:hAnsi="Times New Roman" w:eastAsia="宋体" w:cs="Times New Roman"/>
                <w:color w:val="auto"/>
              </w:rPr>
              <w:t>0.9</w:t>
            </w:r>
          </w:p>
        </w:tc>
        <w:tc>
          <w:tcPr>
            <w:tcW w:w="508" w:type="dxa"/>
            <w:tcMar>
              <w:top w:w="0" w:type="dxa"/>
              <w:left w:w="0" w:type="dxa"/>
              <w:bottom w:w="0" w:type="dxa"/>
              <w:right w:w="0" w:type="dxa"/>
            </w:tcMar>
            <w:vAlign w:val="center"/>
          </w:tcPr>
          <w:p w14:paraId="65846204">
            <w:pPr>
              <w:pStyle w:val="182"/>
              <w:bidi w:val="0"/>
              <w:rPr>
                <w:rFonts w:ascii="Times New Roman" w:hAnsi="Times New Roman" w:eastAsia="宋体" w:cs="Times New Roman"/>
                <w:color w:val="auto"/>
              </w:rPr>
            </w:pPr>
            <w:r>
              <w:rPr>
                <w:rFonts w:ascii="Times New Roman" w:hAnsi="Times New Roman" w:eastAsia="宋体" w:cs="Times New Roman"/>
                <w:color w:val="auto"/>
              </w:rPr>
              <w:t>1.6</w:t>
            </w:r>
          </w:p>
        </w:tc>
        <w:tc>
          <w:tcPr>
            <w:tcW w:w="435" w:type="dxa"/>
            <w:tcMar>
              <w:top w:w="0" w:type="dxa"/>
              <w:left w:w="0" w:type="dxa"/>
              <w:bottom w:w="0" w:type="dxa"/>
              <w:right w:w="0" w:type="dxa"/>
            </w:tcMar>
            <w:vAlign w:val="center"/>
          </w:tcPr>
          <w:p w14:paraId="291F5639">
            <w:pPr>
              <w:pStyle w:val="182"/>
              <w:bidi w:val="0"/>
              <w:rPr>
                <w:rFonts w:ascii="Times New Roman" w:hAnsi="Times New Roman" w:eastAsia="宋体" w:cs="Times New Roman"/>
                <w:color w:val="auto"/>
              </w:rPr>
            </w:pPr>
            <w:r>
              <w:rPr>
                <w:rFonts w:ascii="Times New Roman" w:hAnsi="Times New Roman" w:eastAsia="宋体" w:cs="Times New Roman"/>
                <w:color w:val="auto"/>
              </w:rPr>
              <w:t>11.7</w:t>
            </w:r>
          </w:p>
        </w:tc>
        <w:tc>
          <w:tcPr>
            <w:tcW w:w="480" w:type="dxa"/>
            <w:tcMar>
              <w:top w:w="0" w:type="dxa"/>
              <w:left w:w="0" w:type="dxa"/>
              <w:bottom w:w="0" w:type="dxa"/>
              <w:right w:w="0" w:type="dxa"/>
            </w:tcMar>
            <w:vAlign w:val="center"/>
          </w:tcPr>
          <w:p w14:paraId="0AC161B8">
            <w:pPr>
              <w:pStyle w:val="182"/>
              <w:bidi w:val="0"/>
              <w:rPr>
                <w:rFonts w:ascii="Times New Roman" w:hAnsi="Times New Roman" w:eastAsia="宋体" w:cs="Times New Roman"/>
                <w:color w:val="auto"/>
              </w:rPr>
            </w:pPr>
            <w:r>
              <w:rPr>
                <w:rFonts w:ascii="Times New Roman" w:hAnsi="Times New Roman" w:eastAsia="宋体" w:cs="Times New Roman"/>
                <w:color w:val="auto"/>
              </w:rPr>
              <w:t>14.9</w:t>
            </w:r>
          </w:p>
        </w:tc>
        <w:tc>
          <w:tcPr>
            <w:tcW w:w="435" w:type="dxa"/>
            <w:tcMar>
              <w:top w:w="0" w:type="dxa"/>
              <w:left w:w="0" w:type="dxa"/>
              <w:bottom w:w="0" w:type="dxa"/>
              <w:right w:w="0" w:type="dxa"/>
            </w:tcMar>
            <w:vAlign w:val="center"/>
          </w:tcPr>
          <w:p w14:paraId="06E69CD7">
            <w:pPr>
              <w:pStyle w:val="182"/>
              <w:bidi w:val="0"/>
              <w:rPr>
                <w:rFonts w:ascii="Times New Roman" w:hAnsi="Times New Roman" w:eastAsia="宋体" w:cs="Times New Roman"/>
                <w:color w:val="auto"/>
              </w:rPr>
            </w:pPr>
            <w:r>
              <w:rPr>
                <w:rFonts w:ascii="Times New Roman" w:hAnsi="Times New Roman" w:eastAsia="宋体" w:cs="Times New Roman"/>
                <w:color w:val="auto"/>
              </w:rPr>
              <w:t>9.1</w:t>
            </w:r>
          </w:p>
        </w:tc>
        <w:tc>
          <w:tcPr>
            <w:tcW w:w="441" w:type="dxa"/>
            <w:tcMar>
              <w:top w:w="0" w:type="dxa"/>
              <w:left w:w="0" w:type="dxa"/>
              <w:bottom w:w="0" w:type="dxa"/>
              <w:right w:w="0" w:type="dxa"/>
            </w:tcMar>
            <w:vAlign w:val="center"/>
          </w:tcPr>
          <w:p w14:paraId="4A5FDB11">
            <w:pPr>
              <w:pStyle w:val="182"/>
              <w:bidi w:val="0"/>
              <w:rPr>
                <w:rFonts w:ascii="Times New Roman" w:hAnsi="Times New Roman" w:eastAsia="宋体" w:cs="Times New Roman"/>
                <w:color w:val="auto"/>
              </w:rPr>
            </w:pPr>
            <w:r>
              <w:rPr>
                <w:rFonts w:ascii="Times New Roman" w:hAnsi="Times New Roman" w:eastAsia="宋体" w:cs="Times New Roman"/>
                <w:color w:val="auto"/>
              </w:rPr>
              <w:t>4.9</w:t>
            </w:r>
          </w:p>
        </w:tc>
        <w:tc>
          <w:tcPr>
            <w:tcW w:w="313" w:type="dxa"/>
            <w:tcMar>
              <w:top w:w="0" w:type="dxa"/>
              <w:left w:w="0" w:type="dxa"/>
              <w:bottom w:w="0" w:type="dxa"/>
              <w:right w:w="0" w:type="dxa"/>
            </w:tcMar>
            <w:vAlign w:val="center"/>
          </w:tcPr>
          <w:p w14:paraId="01605DF6">
            <w:pPr>
              <w:pStyle w:val="182"/>
              <w:bidi w:val="0"/>
              <w:rPr>
                <w:rFonts w:ascii="Times New Roman" w:hAnsi="Times New Roman" w:eastAsia="宋体" w:cs="Times New Roman"/>
                <w:color w:val="auto"/>
              </w:rPr>
            </w:pPr>
            <w:r>
              <w:rPr>
                <w:rFonts w:ascii="Times New Roman" w:hAnsi="Times New Roman" w:eastAsia="宋体" w:cs="Times New Roman"/>
                <w:color w:val="auto"/>
              </w:rPr>
              <w:t>3.0</w:t>
            </w:r>
          </w:p>
        </w:tc>
        <w:tc>
          <w:tcPr>
            <w:tcW w:w="428" w:type="dxa"/>
            <w:tcMar>
              <w:top w:w="0" w:type="dxa"/>
              <w:left w:w="0" w:type="dxa"/>
              <w:bottom w:w="0" w:type="dxa"/>
              <w:right w:w="0" w:type="dxa"/>
            </w:tcMar>
            <w:vAlign w:val="center"/>
          </w:tcPr>
          <w:p w14:paraId="690E764B">
            <w:pPr>
              <w:pStyle w:val="182"/>
              <w:bidi w:val="0"/>
              <w:rPr>
                <w:rFonts w:ascii="Times New Roman" w:hAnsi="Times New Roman" w:eastAsia="宋体" w:cs="Times New Roman"/>
                <w:color w:val="auto"/>
              </w:rPr>
            </w:pPr>
            <w:r>
              <w:rPr>
                <w:rFonts w:ascii="Times New Roman" w:hAnsi="Times New Roman" w:eastAsia="宋体" w:cs="Times New Roman"/>
                <w:color w:val="auto"/>
              </w:rPr>
              <w:t>3.1</w:t>
            </w:r>
          </w:p>
        </w:tc>
        <w:tc>
          <w:tcPr>
            <w:tcW w:w="425" w:type="dxa"/>
            <w:tcMar>
              <w:top w:w="0" w:type="dxa"/>
              <w:left w:w="0" w:type="dxa"/>
              <w:bottom w:w="0" w:type="dxa"/>
              <w:right w:w="0" w:type="dxa"/>
            </w:tcMar>
            <w:vAlign w:val="center"/>
          </w:tcPr>
          <w:p w14:paraId="6D476606">
            <w:pPr>
              <w:pStyle w:val="182"/>
              <w:bidi w:val="0"/>
              <w:rPr>
                <w:rFonts w:ascii="Times New Roman" w:hAnsi="Times New Roman" w:eastAsia="宋体" w:cs="Times New Roman"/>
                <w:color w:val="auto"/>
              </w:rPr>
            </w:pPr>
            <w:r>
              <w:rPr>
                <w:rFonts w:ascii="Times New Roman" w:hAnsi="Times New Roman" w:eastAsia="宋体" w:cs="Times New Roman"/>
                <w:color w:val="auto"/>
              </w:rPr>
              <w:t>10.6</w:t>
            </w:r>
          </w:p>
        </w:tc>
        <w:tc>
          <w:tcPr>
            <w:tcW w:w="508" w:type="dxa"/>
            <w:tcMar>
              <w:top w:w="0" w:type="dxa"/>
              <w:left w:w="0" w:type="dxa"/>
              <w:bottom w:w="0" w:type="dxa"/>
              <w:right w:w="0" w:type="dxa"/>
            </w:tcMar>
            <w:vAlign w:val="center"/>
          </w:tcPr>
          <w:p w14:paraId="49FCB10B">
            <w:pPr>
              <w:pStyle w:val="182"/>
              <w:bidi w:val="0"/>
              <w:rPr>
                <w:rFonts w:ascii="Times New Roman" w:hAnsi="Times New Roman" w:eastAsia="宋体" w:cs="Times New Roman"/>
                <w:color w:val="auto"/>
              </w:rPr>
            </w:pPr>
            <w:r>
              <w:rPr>
                <w:rFonts w:ascii="Times New Roman" w:hAnsi="Times New Roman" w:eastAsia="宋体" w:cs="Times New Roman"/>
                <w:color w:val="auto"/>
              </w:rPr>
              <w:t>11.8</w:t>
            </w:r>
          </w:p>
        </w:tc>
        <w:tc>
          <w:tcPr>
            <w:tcW w:w="425" w:type="dxa"/>
            <w:tcMar>
              <w:top w:w="0" w:type="dxa"/>
              <w:left w:w="0" w:type="dxa"/>
              <w:bottom w:w="0" w:type="dxa"/>
              <w:right w:w="0" w:type="dxa"/>
            </w:tcMar>
            <w:vAlign w:val="center"/>
          </w:tcPr>
          <w:p w14:paraId="349BEB49">
            <w:pPr>
              <w:pStyle w:val="182"/>
              <w:bidi w:val="0"/>
              <w:rPr>
                <w:rFonts w:ascii="Times New Roman" w:hAnsi="Times New Roman" w:eastAsia="宋体" w:cs="Times New Roman"/>
                <w:color w:val="auto"/>
              </w:rPr>
            </w:pPr>
            <w:r>
              <w:rPr>
                <w:rFonts w:ascii="Times New Roman" w:hAnsi="Times New Roman" w:eastAsia="宋体" w:cs="Times New Roman"/>
                <w:color w:val="auto"/>
              </w:rPr>
              <w:t>10.4</w:t>
            </w:r>
          </w:p>
        </w:tc>
        <w:tc>
          <w:tcPr>
            <w:tcW w:w="603" w:type="dxa"/>
            <w:tcMar>
              <w:top w:w="0" w:type="dxa"/>
              <w:left w:w="0" w:type="dxa"/>
              <w:bottom w:w="0" w:type="dxa"/>
              <w:right w:w="0" w:type="dxa"/>
            </w:tcMar>
            <w:vAlign w:val="center"/>
          </w:tcPr>
          <w:p w14:paraId="727225A4">
            <w:pPr>
              <w:pStyle w:val="182"/>
              <w:bidi w:val="0"/>
              <w:rPr>
                <w:rFonts w:ascii="Times New Roman" w:hAnsi="Times New Roman" w:eastAsia="宋体" w:cs="Times New Roman"/>
                <w:color w:val="auto"/>
              </w:rPr>
            </w:pPr>
            <w:r>
              <w:rPr>
                <w:rFonts w:ascii="Times New Roman" w:hAnsi="Times New Roman" w:eastAsia="宋体" w:cs="Times New Roman"/>
                <w:color w:val="auto"/>
              </w:rPr>
              <w:t>4.5</w:t>
            </w:r>
          </w:p>
        </w:tc>
        <w:tc>
          <w:tcPr>
            <w:tcW w:w="345" w:type="dxa"/>
            <w:tcMar>
              <w:top w:w="0" w:type="dxa"/>
              <w:left w:w="0" w:type="dxa"/>
              <w:bottom w:w="0" w:type="dxa"/>
              <w:right w:w="0" w:type="dxa"/>
            </w:tcMar>
            <w:vAlign w:val="center"/>
          </w:tcPr>
          <w:p w14:paraId="3A74A1E3">
            <w:pPr>
              <w:pStyle w:val="182"/>
              <w:bidi w:val="0"/>
              <w:rPr>
                <w:rFonts w:ascii="Times New Roman" w:hAnsi="Times New Roman" w:eastAsia="宋体" w:cs="Times New Roman"/>
                <w:color w:val="auto"/>
              </w:rPr>
            </w:pPr>
            <w:r>
              <w:rPr>
                <w:rFonts w:ascii="Times New Roman" w:hAnsi="Times New Roman" w:eastAsia="宋体" w:cs="Times New Roman"/>
                <w:color w:val="auto"/>
              </w:rPr>
              <w:t>3.3</w:t>
            </w:r>
          </w:p>
        </w:tc>
        <w:tc>
          <w:tcPr>
            <w:tcW w:w="645" w:type="dxa"/>
            <w:tcMar>
              <w:top w:w="0" w:type="dxa"/>
              <w:left w:w="0" w:type="dxa"/>
              <w:bottom w:w="0" w:type="dxa"/>
              <w:right w:w="0" w:type="dxa"/>
            </w:tcMar>
            <w:vAlign w:val="center"/>
          </w:tcPr>
          <w:p w14:paraId="2509E849">
            <w:pPr>
              <w:pStyle w:val="182"/>
              <w:bidi w:val="0"/>
              <w:rPr>
                <w:rFonts w:ascii="Times New Roman" w:hAnsi="Times New Roman" w:eastAsia="宋体" w:cs="Times New Roman"/>
                <w:color w:val="auto"/>
              </w:rPr>
            </w:pPr>
            <w:r>
              <w:rPr>
                <w:rFonts w:ascii="Times New Roman" w:hAnsi="Times New Roman" w:eastAsia="宋体" w:cs="Times New Roman"/>
                <w:color w:val="auto"/>
              </w:rPr>
              <w:t>2.0</w:t>
            </w:r>
          </w:p>
        </w:tc>
        <w:tc>
          <w:tcPr>
            <w:tcW w:w="445" w:type="dxa"/>
            <w:tcMar>
              <w:top w:w="0" w:type="dxa"/>
              <w:left w:w="0" w:type="dxa"/>
              <w:bottom w:w="0" w:type="dxa"/>
              <w:right w:w="0" w:type="dxa"/>
            </w:tcMar>
            <w:vAlign w:val="center"/>
          </w:tcPr>
          <w:p w14:paraId="61CDBB64">
            <w:pPr>
              <w:pStyle w:val="182"/>
              <w:bidi w:val="0"/>
              <w:rPr>
                <w:rFonts w:ascii="Times New Roman" w:hAnsi="Times New Roman" w:eastAsia="宋体" w:cs="Times New Roman"/>
                <w:color w:val="auto"/>
              </w:rPr>
            </w:pPr>
            <w:r>
              <w:rPr>
                <w:rFonts w:ascii="Times New Roman" w:hAnsi="Times New Roman" w:eastAsia="宋体" w:cs="Times New Roman"/>
                <w:color w:val="auto"/>
              </w:rPr>
              <w:t>1.6</w:t>
            </w:r>
          </w:p>
        </w:tc>
        <w:tc>
          <w:tcPr>
            <w:tcW w:w="591" w:type="dxa"/>
            <w:tcMar>
              <w:top w:w="0" w:type="dxa"/>
              <w:left w:w="0" w:type="dxa"/>
              <w:bottom w:w="0" w:type="dxa"/>
              <w:right w:w="0" w:type="dxa"/>
            </w:tcMar>
            <w:vAlign w:val="center"/>
          </w:tcPr>
          <w:p w14:paraId="188C88EE">
            <w:pPr>
              <w:pStyle w:val="182"/>
              <w:bidi w:val="0"/>
              <w:rPr>
                <w:rFonts w:ascii="Times New Roman" w:hAnsi="Times New Roman" w:eastAsia="宋体" w:cs="Times New Roman"/>
                <w:color w:val="auto"/>
              </w:rPr>
            </w:pPr>
            <w:r>
              <w:rPr>
                <w:rFonts w:ascii="Times New Roman" w:hAnsi="Times New Roman" w:eastAsia="宋体" w:cs="Times New Roman"/>
                <w:color w:val="auto"/>
              </w:rPr>
              <w:t>0.7</w:t>
            </w:r>
          </w:p>
        </w:tc>
        <w:tc>
          <w:tcPr>
            <w:tcW w:w="492" w:type="dxa"/>
            <w:tcMar>
              <w:top w:w="0" w:type="dxa"/>
              <w:left w:w="0" w:type="dxa"/>
              <w:bottom w:w="0" w:type="dxa"/>
              <w:right w:w="0" w:type="dxa"/>
            </w:tcMar>
            <w:vAlign w:val="center"/>
          </w:tcPr>
          <w:p w14:paraId="2F9C9ECE">
            <w:pPr>
              <w:pStyle w:val="182"/>
              <w:bidi w:val="0"/>
              <w:rPr>
                <w:rFonts w:ascii="Times New Roman" w:hAnsi="Times New Roman" w:eastAsia="宋体" w:cs="Times New Roman"/>
                <w:color w:val="auto"/>
              </w:rPr>
            </w:pPr>
            <w:r>
              <w:rPr>
                <w:rFonts w:ascii="Times New Roman" w:hAnsi="Times New Roman" w:eastAsia="宋体" w:cs="Times New Roman"/>
                <w:color w:val="auto"/>
              </w:rPr>
              <w:t>5.8</w:t>
            </w:r>
          </w:p>
        </w:tc>
      </w:tr>
      <w:tr w14:paraId="07BFFD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14:paraId="3F1D769F">
            <w:pPr>
              <w:pStyle w:val="182"/>
              <w:bidi w:val="0"/>
              <w:rPr>
                <w:color w:val="auto"/>
              </w:rPr>
            </w:pPr>
            <w:r>
              <w:rPr>
                <w:color w:val="auto"/>
              </w:rPr>
              <w:t>5</w:t>
            </w:r>
          </w:p>
        </w:tc>
        <w:tc>
          <w:tcPr>
            <w:tcW w:w="313" w:type="dxa"/>
            <w:tcMar>
              <w:top w:w="0" w:type="dxa"/>
              <w:left w:w="0" w:type="dxa"/>
              <w:bottom w:w="0" w:type="dxa"/>
              <w:right w:w="0" w:type="dxa"/>
            </w:tcMar>
            <w:vAlign w:val="center"/>
          </w:tcPr>
          <w:p w14:paraId="593F3D6C">
            <w:pPr>
              <w:pStyle w:val="182"/>
              <w:bidi w:val="0"/>
              <w:rPr>
                <w:rFonts w:ascii="Times New Roman" w:hAnsi="Times New Roman" w:eastAsia="宋体" w:cs="Times New Roman"/>
                <w:color w:val="auto"/>
              </w:rPr>
            </w:pPr>
            <w:r>
              <w:rPr>
                <w:rFonts w:ascii="Times New Roman" w:hAnsi="Times New Roman" w:eastAsia="宋体" w:cs="Times New Roman"/>
                <w:color w:val="auto"/>
              </w:rPr>
              <w:t>1.1</w:t>
            </w:r>
          </w:p>
        </w:tc>
        <w:tc>
          <w:tcPr>
            <w:tcW w:w="508" w:type="dxa"/>
            <w:tcMar>
              <w:top w:w="0" w:type="dxa"/>
              <w:left w:w="0" w:type="dxa"/>
              <w:bottom w:w="0" w:type="dxa"/>
              <w:right w:w="0" w:type="dxa"/>
            </w:tcMar>
            <w:vAlign w:val="center"/>
          </w:tcPr>
          <w:p w14:paraId="766A1351">
            <w:pPr>
              <w:pStyle w:val="182"/>
              <w:bidi w:val="0"/>
              <w:rPr>
                <w:rFonts w:ascii="Times New Roman" w:hAnsi="Times New Roman" w:eastAsia="宋体" w:cs="Times New Roman"/>
                <w:color w:val="auto"/>
              </w:rPr>
            </w:pPr>
            <w:r>
              <w:rPr>
                <w:rFonts w:ascii="Times New Roman" w:hAnsi="Times New Roman" w:eastAsia="宋体" w:cs="Times New Roman"/>
                <w:color w:val="auto"/>
              </w:rPr>
              <w:t>1.4</w:t>
            </w:r>
          </w:p>
        </w:tc>
        <w:tc>
          <w:tcPr>
            <w:tcW w:w="435" w:type="dxa"/>
            <w:tcMar>
              <w:top w:w="0" w:type="dxa"/>
              <w:left w:w="0" w:type="dxa"/>
              <w:bottom w:w="0" w:type="dxa"/>
              <w:right w:w="0" w:type="dxa"/>
            </w:tcMar>
            <w:vAlign w:val="center"/>
          </w:tcPr>
          <w:p w14:paraId="7F856950">
            <w:pPr>
              <w:pStyle w:val="182"/>
              <w:bidi w:val="0"/>
              <w:rPr>
                <w:rFonts w:ascii="Times New Roman" w:hAnsi="Times New Roman" w:eastAsia="宋体" w:cs="Times New Roman"/>
                <w:color w:val="auto"/>
              </w:rPr>
            </w:pPr>
            <w:r>
              <w:rPr>
                <w:rFonts w:ascii="Times New Roman" w:hAnsi="Times New Roman" w:eastAsia="宋体" w:cs="Times New Roman"/>
                <w:color w:val="auto"/>
              </w:rPr>
              <w:t>10.1</w:t>
            </w:r>
          </w:p>
        </w:tc>
        <w:tc>
          <w:tcPr>
            <w:tcW w:w="480" w:type="dxa"/>
            <w:tcMar>
              <w:top w:w="0" w:type="dxa"/>
              <w:left w:w="0" w:type="dxa"/>
              <w:bottom w:w="0" w:type="dxa"/>
              <w:right w:w="0" w:type="dxa"/>
            </w:tcMar>
            <w:vAlign w:val="center"/>
          </w:tcPr>
          <w:p w14:paraId="7B90AE26">
            <w:pPr>
              <w:pStyle w:val="182"/>
              <w:bidi w:val="0"/>
              <w:rPr>
                <w:rFonts w:ascii="Times New Roman" w:hAnsi="Times New Roman" w:eastAsia="宋体" w:cs="Times New Roman"/>
                <w:color w:val="auto"/>
              </w:rPr>
            </w:pPr>
            <w:r>
              <w:rPr>
                <w:rFonts w:ascii="Times New Roman" w:hAnsi="Times New Roman" w:eastAsia="宋体" w:cs="Times New Roman"/>
                <w:color w:val="auto"/>
              </w:rPr>
              <w:t>14.2</w:t>
            </w:r>
          </w:p>
        </w:tc>
        <w:tc>
          <w:tcPr>
            <w:tcW w:w="435" w:type="dxa"/>
            <w:tcMar>
              <w:top w:w="0" w:type="dxa"/>
              <w:left w:w="0" w:type="dxa"/>
              <w:bottom w:w="0" w:type="dxa"/>
              <w:right w:w="0" w:type="dxa"/>
            </w:tcMar>
            <w:vAlign w:val="center"/>
          </w:tcPr>
          <w:p w14:paraId="28CCAF57">
            <w:pPr>
              <w:pStyle w:val="182"/>
              <w:bidi w:val="0"/>
              <w:rPr>
                <w:rFonts w:ascii="Times New Roman" w:hAnsi="Times New Roman" w:eastAsia="宋体" w:cs="Times New Roman"/>
                <w:color w:val="auto"/>
              </w:rPr>
            </w:pPr>
            <w:r>
              <w:rPr>
                <w:rFonts w:ascii="Times New Roman" w:hAnsi="Times New Roman" w:eastAsia="宋体" w:cs="Times New Roman"/>
                <w:color w:val="auto"/>
              </w:rPr>
              <w:t>9.0</w:t>
            </w:r>
          </w:p>
        </w:tc>
        <w:tc>
          <w:tcPr>
            <w:tcW w:w="441" w:type="dxa"/>
            <w:tcMar>
              <w:top w:w="0" w:type="dxa"/>
              <w:left w:w="0" w:type="dxa"/>
              <w:bottom w:w="0" w:type="dxa"/>
              <w:right w:w="0" w:type="dxa"/>
            </w:tcMar>
            <w:vAlign w:val="center"/>
          </w:tcPr>
          <w:p w14:paraId="4A8C6C4D">
            <w:pPr>
              <w:pStyle w:val="182"/>
              <w:bidi w:val="0"/>
              <w:rPr>
                <w:rFonts w:ascii="Times New Roman" w:hAnsi="Times New Roman" w:eastAsia="宋体" w:cs="Times New Roman"/>
                <w:color w:val="auto"/>
              </w:rPr>
            </w:pPr>
            <w:r>
              <w:rPr>
                <w:rFonts w:ascii="Times New Roman" w:hAnsi="Times New Roman" w:eastAsia="宋体" w:cs="Times New Roman"/>
                <w:color w:val="auto"/>
              </w:rPr>
              <w:t>4.6</w:t>
            </w:r>
          </w:p>
        </w:tc>
        <w:tc>
          <w:tcPr>
            <w:tcW w:w="313" w:type="dxa"/>
            <w:tcMar>
              <w:top w:w="0" w:type="dxa"/>
              <w:left w:w="0" w:type="dxa"/>
              <w:bottom w:w="0" w:type="dxa"/>
              <w:right w:w="0" w:type="dxa"/>
            </w:tcMar>
            <w:vAlign w:val="center"/>
          </w:tcPr>
          <w:p w14:paraId="2017B0ED">
            <w:pPr>
              <w:pStyle w:val="182"/>
              <w:bidi w:val="0"/>
              <w:rPr>
                <w:rFonts w:ascii="Times New Roman" w:hAnsi="Times New Roman" w:eastAsia="宋体" w:cs="Times New Roman"/>
                <w:color w:val="auto"/>
              </w:rPr>
            </w:pPr>
            <w:r>
              <w:rPr>
                <w:rFonts w:ascii="Times New Roman" w:hAnsi="Times New Roman" w:eastAsia="宋体" w:cs="Times New Roman"/>
                <w:color w:val="auto"/>
              </w:rPr>
              <w:t>3.6</w:t>
            </w:r>
          </w:p>
        </w:tc>
        <w:tc>
          <w:tcPr>
            <w:tcW w:w="428" w:type="dxa"/>
            <w:tcMar>
              <w:top w:w="0" w:type="dxa"/>
              <w:left w:w="0" w:type="dxa"/>
              <w:bottom w:w="0" w:type="dxa"/>
              <w:right w:w="0" w:type="dxa"/>
            </w:tcMar>
            <w:vAlign w:val="center"/>
          </w:tcPr>
          <w:p w14:paraId="5E82F50C">
            <w:pPr>
              <w:pStyle w:val="182"/>
              <w:bidi w:val="0"/>
              <w:rPr>
                <w:rFonts w:ascii="Times New Roman" w:hAnsi="Times New Roman" w:eastAsia="宋体" w:cs="Times New Roman"/>
                <w:color w:val="auto"/>
              </w:rPr>
            </w:pPr>
            <w:r>
              <w:rPr>
                <w:rFonts w:ascii="Times New Roman" w:hAnsi="Times New Roman" w:eastAsia="宋体" w:cs="Times New Roman"/>
                <w:color w:val="auto"/>
              </w:rPr>
              <w:t>3.5</w:t>
            </w:r>
          </w:p>
        </w:tc>
        <w:tc>
          <w:tcPr>
            <w:tcW w:w="425" w:type="dxa"/>
            <w:tcMar>
              <w:top w:w="0" w:type="dxa"/>
              <w:left w:w="0" w:type="dxa"/>
              <w:bottom w:w="0" w:type="dxa"/>
              <w:right w:w="0" w:type="dxa"/>
            </w:tcMar>
            <w:vAlign w:val="center"/>
          </w:tcPr>
          <w:p w14:paraId="02C33545">
            <w:pPr>
              <w:pStyle w:val="182"/>
              <w:bidi w:val="0"/>
              <w:rPr>
                <w:rFonts w:ascii="Times New Roman" w:hAnsi="Times New Roman" w:eastAsia="宋体" w:cs="Times New Roman"/>
                <w:color w:val="auto"/>
              </w:rPr>
            </w:pPr>
            <w:r>
              <w:rPr>
                <w:rFonts w:ascii="Times New Roman" w:hAnsi="Times New Roman" w:eastAsia="宋体" w:cs="Times New Roman"/>
                <w:color w:val="auto"/>
              </w:rPr>
              <w:t>9.3</w:t>
            </w:r>
          </w:p>
        </w:tc>
        <w:tc>
          <w:tcPr>
            <w:tcW w:w="508" w:type="dxa"/>
            <w:tcMar>
              <w:top w:w="0" w:type="dxa"/>
              <w:left w:w="0" w:type="dxa"/>
              <w:bottom w:w="0" w:type="dxa"/>
              <w:right w:w="0" w:type="dxa"/>
            </w:tcMar>
            <w:vAlign w:val="center"/>
          </w:tcPr>
          <w:p w14:paraId="2A0B7474">
            <w:pPr>
              <w:pStyle w:val="182"/>
              <w:bidi w:val="0"/>
              <w:rPr>
                <w:rFonts w:ascii="Times New Roman" w:hAnsi="Times New Roman" w:eastAsia="宋体" w:cs="Times New Roman"/>
                <w:color w:val="auto"/>
              </w:rPr>
            </w:pPr>
            <w:r>
              <w:rPr>
                <w:rFonts w:ascii="Times New Roman" w:hAnsi="Times New Roman" w:eastAsia="宋体" w:cs="Times New Roman"/>
                <w:color w:val="auto"/>
              </w:rPr>
              <w:t>12.0</w:t>
            </w:r>
          </w:p>
        </w:tc>
        <w:tc>
          <w:tcPr>
            <w:tcW w:w="425" w:type="dxa"/>
            <w:tcMar>
              <w:top w:w="0" w:type="dxa"/>
              <w:left w:w="0" w:type="dxa"/>
              <w:bottom w:w="0" w:type="dxa"/>
              <w:right w:w="0" w:type="dxa"/>
            </w:tcMar>
            <w:vAlign w:val="center"/>
          </w:tcPr>
          <w:p w14:paraId="5A8D1665">
            <w:pPr>
              <w:pStyle w:val="182"/>
              <w:bidi w:val="0"/>
              <w:rPr>
                <w:rFonts w:ascii="Times New Roman" w:hAnsi="Times New Roman" w:eastAsia="宋体" w:cs="Times New Roman"/>
                <w:color w:val="auto"/>
              </w:rPr>
            </w:pPr>
            <w:r>
              <w:rPr>
                <w:rFonts w:ascii="Times New Roman" w:hAnsi="Times New Roman" w:eastAsia="宋体" w:cs="Times New Roman"/>
                <w:color w:val="auto"/>
              </w:rPr>
              <w:t>10.8</w:t>
            </w:r>
          </w:p>
        </w:tc>
        <w:tc>
          <w:tcPr>
            <w:tcW w:w="603" w:type="dxa"/>
            <w:tcMar>
              <w:top w:w="0" w:type="dxa"/>
              <w:left w:w="0" w:type="dxa"/>
              <w:bottom w:w="0" w:type="dxa"/>
              <w:right w:w="0" w:type="dxa"/>
            </w:tcMar>
            <w:vAlign w:val="center"/>
          </w:tcPr>
          <w:p w14:paraId="53E7CDE8">
            <w:pPr>
              <w:pStyle w:val="182"/>
              <w:bidi w:val="0"/>
              <w:rPr>
                <w:rFonts w:ascii="Times New Roman" w:hAnsi="Times New Roman" w:eastAsia="宋体" w:cs="Times New Roman"/>
                <w:color w:val="auto"/>
              </w:rPr>
            </w:pPr>
            <w:r>
              <w:rPr>
                <w:rFonts w:ascii="Times New Roman" w:hAnsi="Times New Roman" w:eastAsia="宋体" w:cs="Times New Roman"/>
                <w:color w:val="auto"/>
              </w:rPr>
              <w:t>4.8</w:t>
            </w:r>
          </w:p>
        </w:tc>
        <w:tc>
          <w:tcPr>
            <w:tcW w:w="345" w:type="dxa"/>
            <w:tcMar>
              <w:top w:w="0" w:type="dxa"/>
              <w:left w:w="0" w:type="dxa"/>
              <w:bottom w:w="0" w:type="dxa"/>
              <w:right w:w="0" w:type="dxa"/>
            </w:tcMar>
            <w:vAlign w:val="center"/>
          </w:tcPr>
          <w:p w14:paraId="5E583365">
            <w:pPr>
              <w:pStyle w:val="182"/>
              <w:bidi w:val="0"/>
              <w:rPr>
                <w:rFonts w:ascii="Times New Roman" w:hAnsi="Times New Roman" w:eastAsia="宋体" w:cs="Times New Roman"/>
                <w:color w:val="auto"/>
              </w:rPr>
            </w:pPr>
            <w:r>
              <w:rPr>
                <w:rFonts w:ascii="Times New Roman" w:hAnsi="Times New Roman" w:eastAsia="宋体" w:cs="Times New Roman"/>
                <w:color w:val="auto"/>
              </w:rPr>
              <w:t>4.8</w:t>
            </w:r>
          </w:p>
        </w:tc>
        <w:tc>
          <w:tcPr>
            <w:tcW w:w="645" w:type="dxa"/>
            <w:tcMar>
              <w:top w:w="0" w:type="dxa"/>
              <w:left w:w="0" w:type="dxa"/>
              <w:bottom w:w="0" w:type="dxa"/>
              <w:right w:w="0" w:type="dxa"/>
            </w:tcMar>
            <w:vAlign w:val="center"/>
          </w:tcPr>
          <w:p w14:paraId="24A48756">
            <w:pPr>
              <w:pStyle w:val="182"/>
              <w:bidi w:val="0"/>
              <w:rPr>
                <w:rFonts w:ascii="Times New Roman" w:hAnsi="Times New Roman" w:eastAsia="宋体" w:cs="Times New Roman"/>
                <w:color w:val="auto"/>
              </w:rPr>
            </w:pPr>
            <w:r>
              <w:rPr>
                <w:rFonts w:ascii="Times New Roman" w:hAnsi="Times New Roman" w:eastAsia="宋体" w:cs="Times New Roman"/>
                <w:color w:val="auto"/>
              </w:rPr>
              <w:t>2.0</w:t>
            </w:r>
          </w:p>
        </w:tc>
        <w:tc>
          <w:tcPr>
            <w:tcW w:w="445" w:type="dxa"/>
            <w:tcMar>
              <w:top w:w="0" w:type="dxa"/>
              <w:left w:w="0" w:type="dxa"/>
              <w:bottom w:w="0" w:type="dxa"/>
              <w:right w:w="0" w:type="dxa"/>
            </w:tcMar>
            <w:vAlign w:val="center"/>
          </w:tcPr>
          <w:p w14:paraId="3FDE0D0E">
            <w:pPr>
              <w:pStyle w:val="182"/>
              <w:bidi w:val="0"/>
              <w:rPr>
                <w:rFonts w:ascii="Times New Roman" w:hAnsi="Times New Roman" w:eastAsia="宋体" w:cs="Times New Roman"/>
                <w:color w:val="auto"/>
              </w:rPr>
            </w:pPr>
            <w:r>
              <w:rPr>
                <w:rFonts w:ascii="Times New Roman" w:hAnsi="Times New Roman" w:eastAsia="宋体" w:cs="Times New Roman"/>
                <w:color w:val="auto"/>
              </w:rPr>
              <w:t>1.6</w:t>
            </w:r>
          </w:p>
        </w:tc>
        <w:tc>
          <w:tcPr>
            <w:tcW w:w="591" w:type="dxa"/>
            <w:tcMar>
              <w:top w:w="0" w:type="dxa"/>
              <w:left w:w="0" w:type="dxa"/>
              <w:bottom w:w="0" w:type="dxa"/>
              <w:right w:w="0" w:type="dxa"/>
            </w:tcMar>
            <w:vAlign w:val="center"/>
          </w:tcPr>
          <w:p w14:paraId="05EB05C3">
            <w:pPr>
              <w:pStyle w:val="182"/>
              <w:bidi w:val="0"/>
              <w:rPr>
                <w:rFonts w:ascii="Times New Roman" w:hAnsi="Times New Roman" w:eastAsia="宋体" w:cs="Times New Roman"/>
                <w:color w:val="auto"/>
              </w:rPr>
            </w:pPr>
            <w:r>
              <w:rPr>
                <w:rFonts w:ascii="Times New Roman" w:hAnsi="Times New Roman" w:eastAsia="宋体" w:cs="Times New Roman"/>
                <w:color w:val="auto"/>
              </w:rPr>
              <w:t>1.1</w:t>
            </w:r>
          </w:p>
        </w:tc>
        <w:tc>
          <w:tcPr>
            <w:tcW w:w="492" w:type="dxa"/>
            <w:tcMar>
              <w:top w:w="0" w:type="dxa"/>
              <w:left w:w="0" w:type="dxa"/>
              <w:bottom w:w="0" w:type="dxa"/>
              <w:right w:w="0" w:type="dxa"/>
            </w:tcMar>
            <w:vAlign w:val="center"/>
          </w:tcPr>
          <w:p w14:paraId="49471B63">
            <w:pPr>
              <w:pStyle w:val="182"/>
              <w:bidi w:val="0"/>
              <w:rPr>
                <w:rFonts w:ascii="Times New Roman" w:hAnsi="Times New Roman" w:eastAsia="宋体" w:cs="Times New Roman"/>
                <w:color w:val="auto"/>
              </w:rPr>
            </w:pPr>
            <w:r>
              <w:rPr>
                <w:rFonts w:ascii="Times New Roman" w:hAnsi="Times New Roman" w:eastAsia="宋体" w:cs="Times New Roman"/>
                <w:color w:val="auto"/>
              </w:rPr>
              <w:t>6.0</w:t>
            </w:r>
          </w:p>
        </w:tc>
      </w:tr>
      <w:tr w14:paraId="5857D9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14:paraId="3BF5ADA1">
            <w:pPr>
              <w:pStyle w:val="182"/>
              <w:bidi w:val="0"/>
              <w:rPr>
                <w:color w:val="auto"/>
              </w:rPr>
            </w:pPr>
            <w:r>
              <w:rPr>
                <w:color w:val="auto"/>
              </w:rPr>
              <w:t>6</w:t>
            </w:r>
          </w:p>
        </w:tc>
        <w:tc>
          <w:tcPr>
            <w:tcW w:w="313" w:type="dxa"/>
            <w:tcMar>
              <w:top w:w="0" w:type="dxa"/>
              <w:left w:w="0" w:type="dxa"/>
              <w:bottom w:w="0" w:type="dxa"/>
              <w:right w:w="0" w:type="dxa"/>
            </w:tcMar>
            <w:vAlign w:val="center"/>
          </w:tcPr>
          <w:p w14:paraId="16FFC749">
            <w:pPr>
              <w:pStyle w:val="182"/>
              <w:bidi w:val="0"/>
              <w:rPr>
                <w:rFonts w:ascii="Times New Roman" w:hAnsi="Times New Roman" w:eastAsia="宋体" w:cs="Times New Roman"/>
                <w:color w:val="auto"/>
              </w:rPr>
            </w:pPr>
            <w:r>
              <w:rPr>
                <w:rFonts w:ascii="Times New Roman" w:hAnsi="Times New Roman" w:eastAsia="宋体" w:cs="Times New Roman"/>
                <w:color w:val="auto"/>
              </w:rPr>
              <w:t>1.7</w:t>
            </w:r>
          </w:p>
        </w:tc>
        <w:tc>
          <w:tcPr>
            <w:tcW w:w="508" w:type="dxa"/>
            <w:tcMar>
              <w:top w:w="0" w:type="dxa"/>
              <w:left w:w="0" w:type="dxa"/>
              <w:bottom w:w="0" w:type="dxa"/>
              <w:right w:w="0" w:type="dxa"/>
            </w:tcMar>
            <w:vAlign w:val="center"/>
          </w:tcPr>
          <w:p w14:paraId="5BD221EE">
            <w:pPr>
              <w:pStyle w:val="182"/>
              <w:bidi w:val="0"/>
              <w:rPr>
                <w:rFonts w:ascii="Times New Roman" w:hAnsi="Times New Roman" w:eastAsia="宋体" w:cs="Times New Roman"/>
                <w:color w:val="auto"/>
              </w:rPr>
            </w:pPr>
            <w:r>
              <w:rPr>
                <w:rFonts w:ascii="Times New Roman" w:hAnsi="Times New Roman" w:eastAsia="宋体" w:cs="Times New Roman"/>
                <w:color w:val="auto"/>
              </w:rPr>
              <w:t>1.3</w:t>
            </w:r>
          </w:p>
        </w:tc>
        <w:tc>
          <w:tcPr>
            <w:tcW w:w="435" w:type="dxa"/>
            <w:tcMar>
              <w:top w:w="0" w:type="dxa"/>
              <w:left w:w="0" w:type="dxa"/>
              <w:bottom w:w="0" w:type="dxa"/>
              <w:right w:w="0" w:type="dxa"/>
            </w:tcMar>
            <w:vAlign w:val="center"/>
          </w:tcPr>
          <w:p w14:paraId="73CD1362">
            <w:pPr>
              <w:pStyle w:val="182"/>
              <w:bidi w:val="0"/>
              <w:rPr>
                <w:rFonts w:ascii="Times New Roman" w:hAnsi="Times New Roman" w:eastAsia="宋体" w:cs="Times New Roman"/>
                <w:color w:val="auto"/>
              </w:rPr>
            </w:pPr>
            <w:r>
              <w:rPr>
                <w:rFonts w:ascii="Times New Roman" w:hAnsi="Times New Roman" w:eastAsia="宋体" w:cs="Times New Roman"/>
                <w:color w:val="auto"/>
              </w:rPr>
              <w:t>12.1</w:t>
            </w:r>
          </w:p>
        </w:tc>
        <w:tc>
          <w:tcPr>
            <w:tcW w:w="480" w:type="dxa"/>
            <w:tcMar>
              <w:top w:w="0" w:type="dxa"/>
              <w:left w:w="0" w:type="dxa"/>
              <w:bottom w:w="0" w:type="dxa"/>
              <w:right w:w="0" w:type="dxa"/>
            </w:tcMar>
            <w:vAlign w:val="center"/>
          </w:tcPr>
          <w:p w14:paraId="0965B1AF">
            <w:pPr>
              <w:pStyle w:val="182"/>
              <w:bidi w:val="0"/>
              <w:rPr>
                <w:rFonts w:ascii="Times New Roman" w:hAnsi="Times New Roman" w:eastAsia="宋体" w:cs="Times New Roman"/>
                <w:color w:val="auto"/>
              </w:rPr>
            </w:pPr>
            <w:r>
              <w:rPr>
                <w:rFonts w:ascii="Times New Roman" w:hAnsi="Times New Roman" w:eastAsia="宋体" w:cs="Times New Roman"/>
                <w:color w:val="auto"/>
              </w:rPr>
              <w:t>14.7</w:t>
            </w:r>
          </w:p>
        </w:tc>
        <w:tc>
          <w:tcPr>
            <w:tcW w:w="435" w:type="dxa"/>
            <w:tcMar>
              <w:top w:w="0" w:type="dxa"/>
              <w:left w:w="0" w:type="dxa"/>
              <w:bottom w:w="0" w:type="dxa"/>
              <w:right w:w="0" w:type="dxa"/>
            </w:tcMar>
            <w:vAlign w:val="center"/>
          </w:tcPr>
          <w:p w14:paraId="596DF12E">
            <w:pPr>
              <w:pStyle w:val="182"/>
              <w:bidi w:val="0"/>
              <w:rPr>
                <w:rFonts w:ascii="Times New Roman" w:hAnsi="Times New Roman" w:eastAsia="宋体" w:cs="Times New Roman"/>
                <w:color w:val="auto"/>
              </w:rPr>
            </w:pPr>
            <w:r>
              <w:rPr>
                <w:rFonts w:ascii="Times New Roman" w:hAnsi="Times New Roman" w:eastAsia="宋体" w:cs="Times New Roman"/>
                <w:color w:val="auto"/>
              </w:rPr>
              <w:t>10.3</w:t>
            </w:r>
          </w:p>
        </w:tc>
        <w:tc>
          <w:tcPr>
            <w:tcW w:w="441" w:type="dxa"/>
            <w:tcMar>
              <w:top w:w="0" w:type="dxa"/>
              <w:left w:w="0" w:type="dxa"/>
              <w:bottom w:w="0" w:type="dxa"/>
              <w:right w:w="0" w:type="dxa"/>
            </w:tcMar>
            <w:vAlign w:val="center"/>
          </w:tcPr>
          <w:p w14:paraId="0B39B835">
            <w:pPr>
              <w:pStyle w:val="182"/>
              <w:bidi w:val="0"/>
              <w:rPr>
                <w:rFonts w:ascii="Times New Roman" w:hAnsi="Times New Roman" w:eastAsia="宋体" w:cs="Times New Roman"/>
                <w:color w:val="auto"/>
              </w:rPr>
            </w:pPr>
            <w:r>
              <w:rPr>
                <w:rFonts w:ascii="Times New Roman" w:hAnsi="Times New Roman" w:eastAsia="宋体" w:cs="Times New Roman"/>
                <w:color w:val="auto"/>
              </w:rPr>
              <w:t>6.3</w:t>
            </w:r>
          </w:p>
        </w:tc>
        <w:tc>
          <w:tcPr>
            <w:tcW w:w="313" w:type="dxa"/>
            <w:tcMar>
              <w:top w:w="0" w:type="dxa"/>
              <w:left w:w="0" w:type="dxa"/>
              <w:bottom w:w="0" w:type="dxa"/>
              <w:right w:w="0" w:type="dxa"/>
            </w:tcMar>
            <w:vAlign w:val="center"/>
          </w:tcPr>
          <w:p w14:paraId="2638DD21">
            <w:pPr>
              <w:pStyle w:val="182"/>
              <w:bidi w:val="0"/>
              <w:rPr>
                <w:rFonts w:ascii="Times New Roman" w:hAnsi="Times New Roman" w:eastAsia="宋体" w:cs="Times New Roman"/>
                <w:color w:val="auto"/>
              </w:rPr>
            </w:pPr>
            <w:r>
              <w:rPr>
                <w:rFonts w:ascii="Times New Roman" w:hAnsi="Times New Roman" w:eastAsia="宋体" w:cs="Times New Roman"/>
                <w:color w:val="auto"/>
              </w:rPr>
              <w:t>3.9</w:t>
            </w:r>
          </w:p>
        </w:tc>
        <w:tc>
          <w:tcPr>
            <w:tcW w:w="428" w:type="dxa"/>
            <w:tcMar>
              <w:top w:w="0" w:type="dxa"/>
              <w:left w:w="0" w:type="dxa"/>
              <w:bottom w:w="0" w:type="dxa"/>
              <w:right w:w="0" w:type="dxa"/>
            </w:tcMar>
            <w:vAlign w:val="center"/>
          </w:tcPr>
          <w:p w14:paraId="0BE33331">
            <w:pPr>
              <w:pStyle w:val="182"/>
              <w:bidi w:val="0"/>
              <w:rPr>
                <w:rFonts w:ascii="Times New Roman" w:hAnsi="Times New Roman" w:eastAsia="宋体" w:cs="Times New Roman"/>
                <w:color w:val="auto"/>
              </w:rPr>
            </w:pPr>
            <w:r>
              <w:rPr>
                <w:rFonts w:ascii="Times New Roman" w:hAnsi="Times New Roman" w:eastAsia="宋体" w:cs="Times New Roman"/>
                <w:color w:val="auto"/>
              </w:rPr>
              <w:t>5.0</w:t>
            </w:r>
          </w:p>
        </w:tc>
        <w:tc>
          <w:tcPr>
            <w:tcW w:w="425" w:type="dxa"/>
            <w:tcMar>
              <w:top w:w="0" w:type="dxa"/>
              <w:left w:w="0" w:type="dxa"/>
              <w:bottom w:w="0" w:type="dxa"/>
              <w:right w:w="0" w:type="dxa"/>
            </w:tcMar>
            <w:vAlign w:val="center"/>
          </w:tcPr>
          <w:p w14:paraId="36E503C8">
            <w:pPr>
              <w:pStyle w:val="182"/>
              <w:bidi w:val="0"/>
              <w:rPr>
                <w:rFonts w:ascii="Times New Roman" w:hAnsi="Times New Roman" w:eastAsia="宋体" w:cs="Times New Roman"/>
                <w:color w:val="auto"/>
              </w:rPr>
            </w:pPr>
            <w:r>
              <w:rPr>
                <w:rFonts w:ascii="Times New Roman" w:hAnsi="Times New Roman" w:eastAsia="宋体" w:cs="Times New Roman"/>
                <w:color w:val="auto"/>
              </w:rPr>
              <w:t>10.9</w:t>
            </w:r>
          </w:p>
        </w:tc>
        <w:tc>
          <w:tcPr>
            <w:tcW w:w="508" w:type="dxa"/>
            <w:tcMar>
              <w:top w:w="0" w:type="dxa"/>
              <w:left w:w="0" w:type="dxa"/>
              <w:bottom w:w="0" w:type="dxa"/>
              <w:right w:w="0" w:type="dxa"/>
            </w:tcMar>
            <w:vAlign w:val="center"/>
          </w:tcPr>
          <w:p w14:paraId="4456D863">
            <w:pPr>
              <w:pStyle w:val="182"/>
              <w:bidi w:val="0"/>
              <w:rPr>
                <w:rFonts w:ascii="Times New Roman" w:hAnsi="Times New Roman" w:eastAsia="宋体" w:cs="Times New Roman"/>
                <w:color w:val="auto"/>
              </w:rPr>
            </w:pPr>
            <w:r>
              <w:rPr>
                <w:rFonts w:ascii="Times New Roman" w:hAnsi="Times New Roman" w:eastAsia="宋体" w:cs="Times New Roman"/>
                <w:color w:val="auto"/>
              </w:rPr>
              <w:t>10.5</w:t>
            </w:r>
          </w:p>
        </w:tc>
        <w:tc>
          <w:tcPr>
            <w:tcW w:w="425" w:type="dxa"/>
            <w:tcMar>
              <w:top w:w="0" w:type="dxa"/>
              <w:left w:w="0" w:type="dxa"/>
              <w:bottom w:w="0" w:type="dxa"/>
              <w:right w:w="0" w:type="dxa"/>
            </w:tcMar>
            <w:vAlign w:val="center"/>
          </w:tcPr>
          <w:p w14:paraId="6A8488AC">
            <w:pPr>
              <w:pStyle w:val="182"/>
              <w:bidi w:val="0"/>
              <w:rPr>
                <w:rFonts w:ascii="Times New Roman" w:hAnsi="Times New Roman" w:eastAsia="宋体" w:cs="Times New Roman"/>
                <w:color w:val="auto"/>
              </w:rPr>
            </w:pPr>
            <w:r>
              <w:rPr>
                <w:rFonts w:ascii="Times New Roman" w:hAnsi="Times New Roman" w:eastAsia="宋体" w:cs="Times New Roman"/>
                <w:color w:val="auto"/>
              </w:rPr>
              <w:t>7.4</w:t>
            </w:r>
          </w:p>
        </w:tc>
        <w:tc>
          <w:tcPr>
            <w:tcW w:w="603" w:type="dxa"/>
            <w:tcMar>
              <w:top w:w="0" w:type="dxa"/>
              <w:left w:w="0" w:type="dxa"/>
              <w:bottom w:w="0" w:type="dxa"/>
              <w:right w:w="0" w:type="dxa"/>
            </w:tcMar>
            <w:vAlign w:val="center"/>
          </w:tcPr>
          <w:p w14:paraId="6C6EC1B0">
            <w:pPr>
              <w:pStyle w:val="182"/>
              <w:bidi w:val="0"/>
              <w:rPr>
                <w:rFonts w:ascii="Times New Roman" w:hAnsi="Times New Roman" w:eastAsia="宋体" w:cs="Times New Roman"/>
                <w:color w:val="auto"/>
              </w:rPr>
            </w:pPr>
            <w:r>
              <w:rPr>
                <w:rFonts w:ascii="Times New Roman" w:hAnsi="Times New Roman" w:eastAsia="宋体" w:cs="Times New Roman"/>
                <w:color w:val="auto"/>
              </w:rPr>
              <w:t>3.0</w:t>
            </w:r>
          </w:p>
        </w:tc>
        <w:tc>
          <w:tcPr>
            <w:tcW w:w="345" w:type="dxa"/>
            <w:tcMar>
              <w:top w:w="0" w:type="dxa"/>
              <w:left w:w="0" w:type="dxa"/>
              <w:bottom w:w="0" w:type="dxa"/>
              <w:right w:w="0" w:type="dxa"/>
            </w:tcMar>
            <w:vAlign w:val="center"/>
          </w:tcPr>
          <w:p w14:paraId="48DACDED">
            <w:pPr>
              <w:pStyle w:val="182"/>
              <w:bidi w:val="0"/>
              <w:rPr>
                <w:rFonts w:ascii="Times New Roman" w:hAnsi="Times New Roman" w:eastAsia="宋体" w:cs="Times New Roman"/>
                <w:color w:val="auto"/>
              </w:rPr>
            </w:pPr>
            <w:r>
              <w:rPr>
                <w:rFonts w:ascii="Times New Roman" w:hAnsi="Times New Roman" w:eastAsia="宋体" w:cs="Times New Roman"/>
                <w:color w:val="auto"/>
              </w:rPr>
              <w:t>2.0</w:t>
            </w:r>
          </w:p>
        </w:tc>
        <w:tc>
          <w:tcPr>
            <w:tcW w:w="645" w:type="dxa"/>
            <w:tcMar>
              <w:top w:w="0" w:type="dxa"/>
              <w:left w:w="0" w:type="dxa"/>
              <w:bottom w:w="0" w:type="dxa"/>
              <w:right w:w="0" w:type="dxa"/>
            </w:tcMar>
            <w:vAlign w:val="center"/>
          </w:tcPr>
          <w:p w14:paraId="0192D1BE">
            <w:pPr>
              <w:pStyle w:val="182"/>
              <w:bidi w:val="0"/>
              <w:rPr>
                <w:rFonts w:ascii="Times New Roman" w:hAnsi="Times New Roman" w:eastAsia="宋体" w:cs="Times New Roman"/>
                <w:color w:val="auto"/>
              </w:rPr>
            </w:pPr>
            <w:r>
              <w:rPr>
                <w:rFonts w:ascii="Times New Roman" w:hAnsi="Times New Roman" w:eastAsia="宋体" w:cs="Times New Roman"/>
                <w:color w:val="auto"/>
              </w:rPr>
              <w:t>1.7</w:t>
            </w:r>
          </w:p>
        </w:tc>
        <w:tc>
          <w:tcPr>
            <w:tcW w:w="445" w:type="dxa"/>
            <w:tcMar>
              <w:top w:w="0" w:type="dxa"/>
              <w:left w:w="0" w:type="dxa"/>
              <w:bottom w:w="0" w:type="dxa"/>
              <w:right w:w="0" w:type="dxa"/>
            </w:tcMar>
            <w:vAlign w:val="center"/>
          </w:tcPr>
          <w:p w14:paraId="60E36D26">
            <w:pPr>
              <w:pStyle w:val="182"/>
              <w:bidi w:val="0"/>
              <w:rPr>
                <w:rFonts w:ascii="Times New Roman" w:hAnsi="Times New Roman" w:eastAsia="宋体" w:cs="Times New Roman"/>
                <w:color w:val="auto"/>
              </w:rPr>
            </w:pPr>
            <w:r>
              <w:rPr>
                <w:rFonts w:ascii="Times New Roman" w:hAnsi="Times New Roman" w:eastAsia="宋体" w:cs="Times New Roman"/>
                <w:color w:val="auto"/>
              </w:rPr>
              <w:t>1.7</w:t>
            </w:r>
          </w:p>
        </w:tc>
        <w:tc>
          <w:tcPr>
            <w:tcW w:w="591" w:type="dxa"/>
            <w:tcMar>
              <w:top w:w="0" w:type="dxa"/>
              <w:left w:w="0" w:type="dxa"/>
              <w:bottom w:w="0" w:type="dxa"/>
              <w:right w:w="0" w:type="dxa"/>
            </w:tcMar>
            <w:vAlign w:val="center"/>
          </w:tcPr>
          <w:p w14:paraId="7BC93013">
            <w:pPr>
              <w:pStyle w:val="182"/>
              <w:bidi w:val="0"/>
              <w:rPr>
                <w:rFonts w:ascii="Times New Roman" w:hAnsi="Times New Roman" w:eastAsia="宋体" w:cs="Times New Roman"/>
                <w:color w:val="auto"/>
              </w:rPr>
            </w:pPr>
            <w:r>
              <w:rPr>
                <w:rFonts w:ascii="Times New Roman" w:hAnsi="Times New Roman" w:eastAsia="宋体" w:cs="Times New Roman"/>
                <w:color w:val="auto"/>
              </w:rPr>
              <w:t>0.9</w:t>
            </w:r>
          </w:p>
        </w:tc>
        <w:tc>
          <w:tcPr>
            <w:tcW w:w="492" w:type="dxa"/>
            <w:tcMar>
              <w:top w:w="0" w:type="dxa"/>
              <w:left w:w="0" w:type="dxa"/>
              <w:bottom w:w="0" w:type="dxa"/>
              <w:right w:w="0" w:type="dxa"/>
            </w:tcMar>
            <w:vAlign w:val="center"/>
          </w:tcPr>
          <w:p w14:paraId="78D316ED">
            <w:pPr>
              <w:pStyle w:val="182"/>
              <w:bidi w:val="0"/>
              <w:rPr>
                <w:rFonts w:ascii="Times New Roman" w:hAnsi="Times New Roman" w:eastAsia="宋体" w:cs="Times New Roman"/>
                <w:color w:val="auto"/>
              </w:rPr>
            </w:pPr>
            <w:r>
              <w:rPr>
                <w:rFonts w:ascii="Times New Roman" w:hAnsi="Times New Roman" w:eastAsia="宋体" w:cs="Times New Roman"/>
                <w:color w:val="auto"/>
              </w:rPr>
              <w:t>6.7</w:t>
            </w:r>
          </w:p>
        </w:tc>
      </w:tr>
      <w:tr w14:paraId="1C51BE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14:paraId="48161438">
            <w:pPr>
              <w:pStyle w:val="182"/>
              <w:bidi w:val="0"/>
              <w:rPr>
                <w:color w:val="auto"/>
              </w:rPr>
            </w:pPr>
            <w:r>
              <w:rPr>
                <w:color w:val="auto"/>
              </w:rPr>
              <w:t>7</w:t>
            </w:r>
          </w:p>
        </w:tc>
        <w:tc>
          <w:tcPr>
            <w:tcW w:w="313" w:type="dxa"/>
            <w:tcMar>
              <w:top w:w="0" w:type="dxa"/>
              <w:left w:w="0" w:type="dxa"/>
              <w:bottom w:w="0" w:type="dxa"/>
              <w:right w:w="0" w:type="dxa"/>
            </w:tcMar>
            <w:vAlign w:val="center"/>
          </w:tcPr>
          <w:p w14:paraId="450BE6C2">
            <w:pPr>
              <w:pStyle w:val="182"/>
              <w:bidi w:val="0"/>
              <w:rPr>
                <w:rFonts w:ascii="Times New Roman" w:hAnsi="Times New Roman" w:eastAsia="宋体" w:cs="Times New Roman"/>
                <w:color w:val="auto"/>
              </w:rPr>
            </w:pPr>
            <w:r>
              <w:rPr>
                <w:rFonts w:ascii="Times New Roman" w:hAnsi="Times New Roman" w:eastAsia="宋体" w:cs="Times New Roman"/>
                <w:color w:val="auto"/>
              </w:rPr>
              <w:t>1.3</w:t>
            </w:r>
          </w:p>
        </w:tc>
        <w:tc>
          <w:tcPr>
            <w:tcW w:w="508" w:type="dxa"/>
            <w:tcMar>
              <w:top w:w="0" w:type="dxa"/>
              <w:left w:w="0" w:type="dxa"/>
              <w:bottom w:w="0" w:type="dxa"/>
              <w:right w:w="0" w:type="dxa"/>
            </w:tcMar>
            <w:vAlign w:val="center"/>
          </w:tcPr>
          <w:p w14:paraId="72D05287">
            <w:pPr>
              <w:pStyle w:val="182"/>
              <w:bidi w:val="0"/>
              <w:rPr>
                <w:rFonts w:ascii="Times New Roman" w:hAnsi="Times New Roman" w:eastAsia="宋体" w:cs="Times New Roman"/>
                <w:color w:val="auto"/>
              </w:rPr>
            </w:pPr>
            <w:r>
              <w:rPr>
                <w:rFonts w:ascii="Times New Roman" w:hAnsi="Times New Roman" w:eastAsia="宋体" w:cs="Times New Roman"/>
                <w:color w:val="auto"/>
              </w:rPr>
              <w:t>2.2</w:t>
            </w:r>
          </w:p>
        </w:tc>
        <w:tc>
          <w:tcPr>
            <w:tcW w:w="435" w:type="dxa"/>
            <w:tcMar>
              <w:top w:w="0" w:type="dxa"/>
              <w:left w:w="0" w:type="dxa"/>
              <w:bottom w:w="0" w:type="dxa"/>
              <w:right w:w="0" w:type="dxa"/>
            </w:tcMar>
            <w:vAlign w:val="center"/>
          </w:tcPr>
          <w:p w14:paraId="758DB2ED">
            <w:pPr>
              <w:pStyle w:val="182"/>
              <w:bidi w:val="0"/>
              <w:rPr>
                <w:rFonts w:ascii="Times New Roman" w:hAnsi="Times New Roman" w:eastAsia="宋体" w:cs="Times New Roman"/>
                <w:color w:val="auto"/>
              </w:rPr>
            </w:pPr>
            <w:r>
              <w:rPr>
                <w:rFonts w:ascii="Times New Roman" w:hAnsi="Times New Roman" w:eastAsia="宋体" w:cs="Times New Roman"/>
                <w:color w:val="auto"/>
              </w:rPr>
              <w:t>10.8</w:t>
            </w:r>
          </w:p>
        </w:tc>
        <w:tc>
          <w:tcPr>
            <w:tcW w:w="480" w:type="dxa"/>
            <w:tcMar>
              <w:top w:w="0" w:type="dxa"/>
              <w:left w:w="0" w:type="dxa"/>
              <w:bottom w:w="0" w:type="dxa"/>
              <w:right w:w="0" w:type="dxa"/>
            </w:tcMar>
            <w:vAlign w:val="center"/>
          </w:tcPr>
          <w:p w14:paraId="3B0BF8D9">
            <w:pPr>
              <w:pStyle w:val="182"/>
              <w:bidi w:val="0"/>
              <w:rPr>
                <w:rFonts w:ascii="Times New Roman" w:hAnsi="Times New Roman" w:eastAsia="宋体" w:cs="Times New Roman"/>
                <w:color w:val="auto"/>
              </w:rPr>
            </w:pPr>
            <w:r>
              <w:rPr>
                <w:rFonts w:ascii="Times New Roman" w:hAnsi="Times New Roman" w:eastAsia="宋体" w:cs="Times New Roman"/>
                <w:color w:val="auto"/>
              </w:rPr>
              <w:t>15.6</w:t>
            </w:r>
          </w:p>
        </w:tc>
        <w:tc>
          <w:tcPr>
            <w:tcW w:w="435" w:type="dxa"/>
            <w:tcMar>
              <w:top w:w="0" w:type="dxa"/>
              <w:left w:w="0" w:type="dxa"/>
              <w:bottom w:w="0" w:type="dxa"/>
              <w:right w:w="0" w:type="dxa"/>
            </w:tcMar>
            <w:vAlign w:val="center"/>
          </w:tcPr>
          <w:p w14:paraId="2E18844F">
            <w:pPr>
              <w:pStyle w:val="182"/>
              <w:bidi w:val="0"/>
              <w:rPr>
                <w:rFonts w:ascii="Times New Roman" w:hAnsi="Times New Roman" w:eastAsia="宋体" w:cs="Times New Roman"/>
                <w:color w:val="auto"/>
              </w:rPr>
            </w:pPr>
            <w:r>
              <w:rPr>
                <w:rFonts w:ascii="Times New Roman" w:hAnsi="Times New Roman" w:eastAsia="宋体" w:cs="Times New Roman"/>
                <w:color w:val="auto"/>
              </w:rPr>
              <w:t>13.7</w:t>
            </w:r>
          </w:p>
        </w:tc>
        <w:tc>
          <w:tcPr>
            <w:tcW w:w="441" w:type="dxa"/>
            <w:tcMar>
              <w:top w:w="0" w:type="dxa"/>
              <w:left w:w="0" w:type="dxa"/>
              <w:bottom w:w="0" w:type="dxa"/>
              <w:right w:w="0" w:type="dxa"/>
            </w:tcMar>
            <w:vAlign w:val="center"/>
          </w:tcPr>
          <w:p w14:paraId="317D2DFA">
            <w:pPr>
              <w:pStyle w:val="182"/>
              <w:bidi w:val="0"/>
              <w:rPr>
                <w:rFonts w:ascii="Times New Roman" w:hAnsi="Times New Roman" w:eastAsia="宋体" w:cs="Times New Roman"/>
                <w:color w:val="auto"/>
              </w:rPr>
            </w:pPr>
            <w:r>
              <w:rPr>
                <w:rFonts w:ascii="Times New Roman" w:hAnsi="Times New Roman" w:eastAsia="宋体" w:cs="Times New Roman"/>
                <w:color w:val="auto"/>
              </w:rPr>
              <w:t>6.5</w:t>
            </w:r>
          </w:p>
        </w:tc>
        <w:tc>
          <w:tcPr>
            <w:tcW w:w="313" w:type="dxa"/>
            <w:tcMar>
              <w:top w:w="0" w:type="dxa"/>
              <w:left w:w="0" w:type="dxa"/>
              <w:bottom w:w="0" w:type="dxa"/>
              <w:right w:w="0" w:type="dxa"/>
            </w:tcMar>
            <w:vAlign w:val="center"/>
          </w:tcPr>
          <w:p w14:paraId="050B88D3">
            <w:pPr>
              <w:pStyle w:val="182"/>
              <w:bidi w:val="0"/>
              <w:rPr>
                <w:rFonts w:ascii="Times New Roman" w:hAnsi="Times New Roman" w:eastAsia="宋体" w:cs="Times New Roman"/>
                <w:color w:val="auto"/>
              </w:rPr>
            </w:pPr>
            <w:r>
              <w:rPr>
                <w:rFonts w:ascii="Times New Roman" w:hAnsi="Times New Roman" w:eastAsia="宋体" w:cs="Times New Roman"/>
                <w:color w:val="auto"/>
              </w:rPr>
              <w:t>4.2</w:t>
            </w:r>
          </w:p>
        </w:tc>
        <w:tc>
          <w:tcPr>
            <w:tcW w:w="428" w:type="dxa"/>
            <w:tcMar>
              <w:top w:w="0" w:type="dxa"/>
              <w:left w:w="0" w:type="dxa"/>
              <w:bottom w:w="0" w:type="dxa"/>
              <w:right w:w="0" w:type="dxa"/>
            </w:tcMar>
            <w:vAlign w:val="center"/>
          </w:tcPr>
          <w:p w14:paraId="45ED0460">
            <w:pPr>
              <w:pStyle w:val="182"/>
              <w:bidi w:val="0"/>
              <w:rPr>
                <w:rFonts w:ascii="Times New Roman" w:hAnsi="Times New Roman" w:eastAsia="宋体" w:cs="Times New Roman"/>
                <w:color w:val="auto"/>
              </w:rPr>
            </w:pPr>
            <w:r>
              <w:rPr>
                <w:rFonts w:ascii="Times New Roman" w:hAnsi="Times New Roman" w:eastAsia="宋体" w:cs="Times New Roman"/>
                <w:color w:val="auto"/>
              </w:rPr>
              <w:t>3.7</w:t>
            </w:r>
          </w:p>
        </w:tc>
        <w:tc>
          <w:tcPr>
            <w:tcW w:w="425" w:type="dxa"/>
            <w:tcMar>
              <w:top w:w="0" w:type="dxa"/>
              <w:left w:w="0" w:type="dxa"/>
              <w:bottom w:w="0" w:type="dxa"/>
              <w:right w:w="0" w:type="dxa"/>
            </w:tcMar>
            <w:vAlign w:val="center"/>
          </w:tcPr>
          <w:p w14:paraId="7773BC5C">
            <w:pPr>
              <w:pStyle w:val="182"/>
              <w:bidi w:val="0"/>
              <w:rPr>
                <w:rFonts w:ascii="Times New Roman" w:hAnsi="Times New Roman" w:eastAsia="宋体" w:cs="Times New Roman"/>
                <w:color w:val="auto"/>
              </w:rPr>
            </w:pPr>
            <w:r>
              <w:rPr>
                <w:rFonts w:ascii="Times New Roman" w:hAnsi="Times New Roman" w:eastAsia="宋体" w:cs="Times New Roman"/>
                <w:color w:val="auto"/>
              </w:rPr>
              <w:t>9.8</w:t>
            </w:r>
          </w:p>
        </w:tc>
        <w:tc>
          <w:tcPr>
            <w:tcW w:w="508" w:type="dxa"/>
            <w:tcMar>
              <w:top w:w="0" w:type="dxa"/>
              <w:left w:w="0" w:type="dxa"/>
              <w:bottom w:w="0" w:type="dxa"/>
              <w:right w:w="0" w:type="dxa"/>
            </w:tcMar>
            <w:vAlign w:val="center"/>
          </w:tcPr>
          <w:p w14:paraId="659524A0">
            <w:pPr>
              <w:pStyle w:val="182"/>
              <w:bidi w:val="0"/>
              <w:rPr>
                <w:rFonts w:ascii="Times New Roman" w:hAnsi="Times New Roman" w:eastAsia="宋体" w:cs="Times New Roman"/>
                <w:color w:val="auto"/>
              </w:rPr>
            </w:pPr>
            <w:r>
              <w:rPr>
                <w:rFonts w:ascii="Times New Roman" w:hAnsi="Times New Roman" w:eastAsia="宋体" w:cs="Times New Roman"/>
                <w:color w:val="auto"/>
              </w:rPr>
              <w:t>9.0</w:t>
            </w:r>
          </w:p>
        </w:tc>
        <w:tc>
          <w:tcPr>
            <w:tcW w:w="425" w:type="dxa"/>
            <w:tcMar>
              <w:top w:w="0" w:type="dxa"/>
              <w:left w:w="0" w:type="dxa"/>
              <w:bottom w:w="0" w:type="dxa"/>
              <w:right w:w="0" w:type="dxa"/>
            </w:tcMar>
            <w:vAlign w:val="center"/>
          </w:tcPr>
          <w:p w14:paraId="2CC5074F">
            <w:pPr>
              <w:pStyle w:val="182"/>
              <w:bidi w:val="0"/>
              <w:rPr>
                <w:rFonts w:ascii="Times New Roman" w:hAnsi="Times New Roman" w:eastAsia="宋体" w:cs="Times New Roman"/>
                <w:color w:val="auto"/>
              </w:rPr>
            </w:pPr>
            <w:r>
              <w:rPr>
                <w:rFonts w:ascii="Times New Roman" w:hAnsi="Times New Roman" w:eastAsia="宋体" w:cs="Times New Roman"/>
                <w:color w:val="auto"/>
              </w:rPr>
              <w:t>6.1</w:t>
            </w:r>
          </w:p>
        </w:tc>
        <w:tc>
          <w:tcPr>
            <w:tcW w:w="603" w:type="dxa"/>
            <w:tcMar>
              <w:top w:w="0" w:type="dxa"/>
              <w:left w:w="0" w:type="dxa"/>
              <w:bottom w:w="0" w:type="dxa"/>
              <w:right w:w="0" w:type="dxa"/>
            </w:tcMar>
            <w:vAlign w:val="center"/>
          </w:tcPr>
          <w:p w14:paraId="60D99903">
            <w:pPr>
              <w:pStyle w:val="182"/>
              <w:bidi w:val="0"/>
              <w:rPr>
                <w:rFonts w:ascii="Times New Roman" w:hAnsi="Times New Roman" w:eastAsia="宋体" w:cs="Times New Roman"/>
                <w:color w:val="auto"/>
              </w:rPr>
            </w:pPr>
            <w:r>
              <w:rPr>
                <w:rFonts w:ascii="Times New Roman" w:hAnsi="Times New Roman" w:eastAsia="宋体" w:cs="Times New Roman"/>
                <w:color w:val="auto"/>
              </w:rPr>
              <w:t>2.6</w:t>
            </w:r>
          </w:p>
        </w:tc>
        <w:tc>
          <w:tcPr>
            <w:tcW w:w="345" w:type="dxa"/>
            <w:tcMar>
              <w:top w:w="0" w:type="dxa"/>
              <w:left w:w="0" w:type="dxa"/>
              <w:bottom w:w="0" w:type="dxa"/>
              <w:right w:w="0" w:type="dxa"/>
            </w:tcMar>
            <w:vAlign w:val="center"/>
          </w:tcPr>
          <w:p w14:paraId="698F120B">
            <w:pPr>
              <w:pStyle w:val="182"/>
              <w:bidi w:val="0"/>
              <w:rPr>
                <w:rFonts w:ascii="Times New Roman" w:hAnsi="Times New Roman" w:eastAsia="宋体" w:cs="Times New Roman"/>
                <w:color w:val="auto"/>
              </w:rPr>
            </w:pPr>
            <w:r>
              <w:rPr>
                <w:rFonts w:ascii="Times New Roman" w:hAnsi="Times New Roman" w:eastAsia="宋体" w:cs="Times New Roman"/>
                <w:color w:val="auto"/>
              </w:rPr>
              <w:t>1.8</w:t>
            </w:r>
          </w:p>
        </w:tc>
        <w:tc>
          <w:tcPr>
            <w:tcW w:w="645" w:type="dxa"/>
            <w:tcMar>
              <w:top w:w="0" w:type="dxa"/>
              <w:left w:w="0" w:type="dxa"/>
              <w:bottom w:w="0" w:type="dxa"/>
              <w:right w:w="0" w:type="dxa"/>
            </w:tcMar>
            <w:vAlign w:val="center"/>
          </w:tcPr>
          <w:p w14:paraId="5731C97E">
            <w:pPr>
              <w:pStyle w:val="182"/>
              <w:bidi w:val="0"/>
              <w:rPr>
                <w:rFonts w:ascii="Times New Roman" w:hAnsi="Times New Roman" w:eastAsia="宋体" w:cs="Times New Roman"/>
                <w:color w:val="auto"/>
              </w:rPr>
            </w:pPr>
            <w:r>
              <w:rPr>
                <w:rFonts w:ascii="Times New Roman" w:hAnsi="Times New Roman" w:eastAsia="宋体" w:cs="Times New Roman"/>
                <w:color w:val="auto"/>
              </w:rPr>
              <w:t>1.6</w:t>
            </w:r>
          </w:p>
        </w:tc>
        <w:tc>
          <w:tcPr>
            <w:tcW w:w="445" w:type="dxa"/>
            <w:tcMar>
              <w:top w:w="0" w:type="dxa"/>
              <w:left w:w="0" w:type="dxa"/>
              <w:bottom w:w="0" w:type="dxa"/>
              <w:right w:w="0" w:type="dxa"/>
            </w:tcMar>
            <w:vAlign w:val="center"/>
          </w:tcPr>
          <w:p w14:paraId="025E21B3">
            <w:pPr>
              <w:pStyle w:val="182"/>
              <w:bidi w:val="0"/>
              <w:rPr>
                <w:rFonts w:ascii="Times New Roman" w:hAnsi="Times New Roman" w:eastAsia="宋体" w:cs="Times New Roman"/>
                <w:color w:val="auto"/>
              </w:rPr>
            </w:pPr>
            <w:r>
              <w:rPr>
                <w:rFonts w:ascii="Times New Roman" w:hAnsi="Times New Roman" w:eastAsia="宋体" w:cs="Times New Roman"/>
                <w:color w:val="auto"/>
              </w:rPr>
              <w:t>1.5</w:t>
            </w:r>
          </w:p>
        </w:tc>
        <w:tc>
          <w:tcPr>
            <w:tcW w:w="591" w:type="dxa"/>
            <w:tcMar>
              <w:top w:w="0" w:type="dxa"/>
              <w:left w:w="0" w:type="dxa"/>
              <w:bottom w:w="0" w:type="dxa"/>
              <w:right w:w="0" w:type="dxa"/>
            </w:tcMar>
            <w:vAlign w:val="center"/>
          </w:tcPr>
          <w:p w14:paraId="30066927">
            <w:pPr>
              <w:pStyle w:val="182"/>
              <w:bidi w:val="0"/>
              <w:rPr>
                <w:rFonts w:ascii="Times New Roman" w:hAnsi="Times New Roman" w:eastAsia="宋体" w:cs="Times New Roman"/>
                <w:color w:val="auto"/>
              </w:rPr>
            </w:pPr>
            <w:r>
              <w:rPr>
                <w:rFonts w:ascii="Times New Roman" w:hAnsi="Times New Roman" w:eastAsia="宋体" w:cs="Times New Roman"/>
                <w:color w:val="auto"/>
              </w:rPr>
              <w:t>1.5</w:t>
            </w:r>
          </w:p>
        </w:tc>
        <w:tc>
          <w:tcPr>
            <w:tcW w:w="492" w:type="dxa"/>
            <w:tcMar>
              <w:top w:w="0" w:type="dxa"/>
              <w:left w:w="0" w:type="dxa"/>
              <w:bottom w:w="0" w:type="dxa"/>
              <w:right w:w="0" w:type="dxa"/>
            </w:tcMar>
            <w:vAlign w:val="center"/>
          </w:tcPr>
          <w:p w14:paraId="28CC25EE">
            <w:pPr>
              <w:pStyle w:val="182"/>
              <w:bidi w:val="0"/>
              <w:rPr>
                <w:rFonts w:ascii="Times New Roman" w:hAnsi="Times New Roman" w:eastAsia="宋体" w:cs="Times New Roman"/>
                <w:color w:val="auto"/>
              </w:rPr>
            </w:pPr>
            <w:r>
              <w:rPr>
                <w:rFonts w:ascii="Times New Roman" w:hAnsi="Times New Roman" w:eastAsia="宋体" w:cs="Times New Roman"/>
                <w:color w:val="auto"/>
              </w:rPr>
              <w:t>8.0</w:t>
            </w:r>
          </w:p>
        </w:tc>
      </w:tr>
      <w:tr w14:paraId="568920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14:paraId="6496D282">
            <w:pPr>
              <w:pStyle w:val="182"/>
              <w:bidi w:val="0"/>
              <w:rPr>
                <w:color w:val="auto"/>
              </w:rPr>
            </w:pPr>
            <w:r>
              <w:rPr>
                <w:color w:val="auto"/>
              </w:rPr>
              <w:t>8</w:t>
            </w:r>
          </w:p>
        </w:tc>
        <w:tc>
          <w:tcPr>
            <w:tcW w:w="313" w:type="dxa"/>
            <w:tcMar>
              <w:top w:w="0" w:type="dxa"/>
              <w:left w:w="0" w:type="dxa"/>
              <w:bottom w:w="0" w:type="dxa"/>
              <w:right w:w="0" w:type="dxa"/>
            </w:tcMar>
            <w:vAlign w:val="center"/>
          </w:tcPr>
          <w:p w14:paraId="3CBB221A">
            <w:pPr>
              <w:pStyle w:val="182"/>
              <w:bidi w:val="0"/>
              <w:rPr>
                <w:rFonts w:ascii="Times New Roman" w:hAnsi="Times New Roman" w:eastAsia="宋体" w:cs="Times New Roman"/>
                <w:color w:val="auto"/>
              </w:rPr>
            </w:pPr>
            <w:r>
              <w:rPr>
                <w:rFonts w:ascii="Times New Roman" w:hAnsi="Times New Roman" w:eastAsia="宋体" w:cs="Times New Roman"/>
                <w:color w:val="auto"/>
              </w:rPr>
              <w:t>1.8</w:t>
            </w:r>
          </w:p>
        </w:tc>
        <w:tc>
          <w:tcPr>
            <w:tcW w:w="508" w:type="dxa"/>
            <w:tcMar>
              <w:top w:w="0" w:type="dxa"/>
              <w:left w:w="0" w:type="dxa"/>
              <w:bottom w:w="0" w:type="dxa"/>
              <w:right w:w="0" w:type="dxa"/>
            </w:tcMar>
            <w:vAlign w:val="center"/>
          </w:tcPr>
          <w:p w14:paraId="7E9F10F5">
            <w:pPr>
              <w:pStyle w:val="182"/>
              <w:bidi w:val="0"/>
              <w:rPr>
                <w:rFonts w:ascii="Times New Roman" w:hAnsi="Times New Roman" w:eastAsia="宋体" w:cs="Times New Roman"/>
                <w:color w:val="auto"/>
              </w:rPr>
            </w:pPr>
            <w:r>
              <w:rPr>
                <w:rFonts w:ascii="Times New Roman" w:hAnsi="Times New Roman" w:eastAsia="宋体" w:cs="Times New Roman"/>
                <w:color w:val="auto"/>
              </w:rPr>
              <w:t>2.1</w:t>
            </w:r>
          </w:p>
        </w:tc>
        <w:tc>
          <w:tcPr>
            <w:tcW w:w="435" w:type="dxa"/>
            <w:tcMar>
              <w:top w:w="0" w:type="dxa"/>
              <w:left w:w="0" w:type="dxa"/>
              <w:bottom w:w="0" w:type="dxa"/>
              <w:right w:w="0" w:type="dxa"/>
            </w:tcMar>
            <w:vAlign w:val="center"/>
          </w:tcPr>
          <w:p w14:paraId="22939723">
            <w:pPr>
              <w:pStyle w:val="182"/>
              <w:bidi w:val="0"/>
              <w:rPr>
                <w:rFonts w:ascii="Times New Roman" w:hAnsi="Times New Roman" w:eastAsia="宋体" w:cs="Times New Roman"/>
                <w:color w:val="auto"/>
              </w:rPr>
            </w:pPr>
            <w:r>
              <w:rPr>
                <w:rFonts w:ascii="Times New Roman" w:hAnsi="Times New Roman" w:eastAsia="宋体" w:cs="Times New Roman"/>
                <w:color w:val="auto"/>
              </w:rPr>
              <w:t>16.0</w:t>
            </w:r>
          </w:p>
        </w:tc>
        <w:tc>
          <w:tcPr>
            <w:tcW w:w="480" w:type="dxa"/>
            <w:tcMar>
              <w:top w:w="0" w:type="dxa"/>
              <w:left w:w="0" w:type="dxa"/>
              <w:bottom w:w="0" w:type="dxa"/>
              <w:right w:w="0" w:type="dxa"/>
            </w:tcMar>
            <w:vAlign w:val="center"/>
          </w:tcPr>
          <w:p w14:paraId="303C2988">
            <w:pPr>
              <w:pStyle w:val="182"/>
              <w:bidi w:val="0"/>
              <w:rPr>
                <w:rFonts w:ascii="Times New Roman" w:hAnsi="Times New Roman" w:eastAsia="宋体" w:cs="Times New Roman"/>
                <w:color w:val="auto"/>
              </w:rPr>
            </w:pPr>
            <w:r>
              <w:rPr>
                <w:rFonts w:ascii="Times New Roman" w:hAnsi="Times New Roman" w:eastAsia="宋体" w:cs="Times New Roman"/>
                <w:color w:val="auto"/>
              </w:rPr>
              <w:t>18.0</w:t>
            </w:r>
          </w:p>
        </w:tc>
        <w:tc>
          <w:tcPr>
            <w:tcW w:w="435" w:type="dxa"/>
            <w:tcMar>
              <w:top w:w="0" w:type="dxa"/>
              <w:left w:w="0" w:type="dxa"/>
              <w:bottom w:w="0" w:type="dxa"/>
              <w:right w:w="0" w:type="dxa"/>
            </w:tcMar>
            <w:vAlign w:val="center"/>
          </w:tcPr>
          <w:p w14:paraId="105CF551">
            <w:pPr>
              <w:pStyle w:val="182"/>
              <w:bidi w:val="0"/>
              <w:rPr>
                <w:rFonts w:ascii="Times New Roman" w:hAnsi="Times New Roman" w:eastAsia="宋体" w:cs="Times New Roman"/>
                <w:color w:val="auto"/>
              </w:rPr>
            </w:pPr>
            <w:r>
              <w:rPr>
                <w:rFonts w:ascii="Times New Roman" w:hAnsi="Times New Roman" w:eastAsia="宋体" w:cs="Times New Roman"/>
                <w:color w:val="auto"/>
              </w:rPr>
              <w:t>12.8</w:t>
            </w:r>
          </w:p>
        </w:tc>
        <w:tc>
          <w:tcPr>
            <w:tcW w:w="441" w:type="dxa"/>
            <w:tcMar>
              <w:top w:w="0" w:type="dxa"/>
              <w:left w:w="0" w:type="dxa"/>
              <w:bottom w:w="0" w:type="dxa"/>
              <w:right w:w="0" w:type="dxa"/>
            </w:tcMar>
            <w:vAlign w:val="center"/>
          </w:tcPr>
          <w:p w14:paraId="7CF39242">
            <w:pPr>
              <w:pStyle w:val="182"/>
              <w:bidi w:val="0"/>
              <w:rPr>
                <w:rFonts w:ascii="Times New Roman" w:hAnsi="Times New Roman" w:eastAsia="宋体" w:cs="Times New Roman"/>
                <w:color w:val="auto"/>
              </w:rPr>
            </w:pPr>
            <w:r>
              <w:rPr>
                <w:rFonts w:ascii="Times New Roman" w:hAnsi="Times New Roman" w:eastAsia="宋体" w:cs="Times New Roman"/>
                <w:color w:val="auto"/>
              </w:rPr>
              <w:t>5.0</w:t>
            </w:r>
          </w:p>
        </w:tc>
        <w:tc>
          <w:tcPr>
            <w:tcW w:w="313" w:type="dxa"/>
            <w:tcMar>
              <w:top w:w="0" w:type="dxa"/>
              <w:left w:w="0" w:type="dxa"/>
              <w:bottom w:w="0" w:type="dxa"/>
              <w:right w:w="0" w:type="dxa"/>
            </w:tcMar>
            <w:vAlign w:val="center"/>
          </w:tcPr>
          <w:p w14:paraId="433E22C7">
            <w:pPr>
              <w:pStyle w:val="182"/>
              <w:bidi w:val="0"/>
              <w:rPr>
                <w:rFonts w:ascii="Times New Roman" w:hAnsi="Times New Roman" w:eastAsia="宋体" w:cs="Times New Roman"/>
                <w:color w:val="auto"/>
              </w:rPr>
            </w:pPr>
            <w:r>
              <w:rPr>
                <w:rFonts w:ascii="Times New Roman" w:hAnsi="Times New Roman" w:eastAsia="宋体" w:cs="Times New Roman"/>
                <w:color w:val="auto"/>
              </w:rPr>
              <w:t>3.6</w:t>
            </w:r>
          </w:p>
        </w:tc>
        <w:tc>
          <w:tcPr>
            <w:tcW w:w="428" w:type="dxa"/>
            <w:tcMar>
              <w:top w:w="0" w:type="dxa"/>
              <w:left w:w="0" w:type="dxa"/>
              <w:bottom w:w="0" w:type="dxa"/>
              <w:right w:w="0" w:type="dxa"/>
            </w:tcMar>
            <w:vAlign w:val="center"/>
          </w:tcPr>
          <w:p w14:paraId="36F8F26F">
            <w:pPr>
              <w:pStyle w:val="182"/>
              <w:bidi w:val="0"/>
              <w:rPr>
                <w:rFonts w:ascii="Times New Roman" w:hAnsi="Times New Roman" w:eastAsia="宋体" w:cs="Times New Roman"/>
                <w:color w:val="auto"/>
              </w:rPr>
            </w:pPr>
            <w:r>
              <w:rPr>
                <w:rFonts w:ascii="Times New Roman" w:hAnsi="Times New Roman" w:eastAsia="宋体" w:cs="Times New Roman"/>
                <w:color w:val="auto"/>
              </w:rPr>
              <w:t>3.1</w:t>
            </w:r>
          </w:p>
        </w:tc>
        <w:tc>
          <w:tcPr>
            <w:tcW w:w="425" w:type="dxa"/>
            <w:tcMar>
              <w:top w:w="0" w:type="dxa"/>
              <w:left w:w="0" w:type="dxa"/>
              <w:bottom w:w="0" w:type="dxa"/>
              <w:right w:w="0" w:type="dxa"/>
            </w:tcMar>
            <w:vAlign w:val="center"/>
          </w:tcPr>
          <w:p w14:paraId="520F8E29">
            <w:pPr>
              <w:pStyle w:val="182"/>
              <w:bidi w:val="0"/>
              <w:rPr>
                <w:rFonts w:ascii="Times New Roman" w:hAnsi="Times New Roman" w:eastAsia="宋体" w:cs="Times New Roman"/>
                <w:color w:val="auto"/>
              </w:rPr>
            </w:pPr>
            <w:r>
              <w:rPr>
                <w:rFonts w:ascii="Times New Roman" w:hAnsi="Times New Roman" w:eastAsia="宋体" w:cs="Times New Roman"/>
                <w:color w:val="auto"/>
              </w:rPr>
              <w:t>6.0</w:t>
            </w:r>
          </w:p>
        </w:tc>
        <w:tc>
          <w:tcPr>
            <w:tcW w:w="508" w:type="dxa"/>
            <w:tcMar>
              <w:top w:w="0" w:type="dxa"/>
              <w:left w:w="0" w:type="dxa"/>
              <w:bottom w:w="0" w:type="dxa"/>
              <w:right w:w="0" w:type="dxa"/>
            </w:tcMar>
            <w:vAlign w:val="center"/>
          </w:tcPr>
          <w:p w14:paraId="4BE52C1B">
            <w:pPr>
              <w:pStyle w:val="182"/>
              <w:bidi w:val="0"/>
              <w:rPr>
                <w:rFonts w:ascii="Times New Roman" w:hAnsi="Times New Roman" w:eastAsia="宋体" w:cs="Times New Roman"/>
                <w:color w:val="auto"/>
              </w:rPr>
            </w:pPr>
            <w:r>
              <w:rPr>
                <w:rFonts w:ascii="Times New Roman" w:hAnsi="Times New Roman" w:eastAsia="宋体" w:cs="Times New Roman"/>
                <w:color w:val="auto"/>
              </w:rPr>
              <w:t>5.9</w:t>
            </w:r>
          </w:p>
        </w:tc>
        <w:tc>
          <w:tcPr>
            <w:tcW w:w="425" w:type="dxa"/>
            <w:tcMar>
              <w:top w:w="0" w:type="dxa"/>
              <w:left w:w="0" w:type="dxa"/>
              <w:bottom w:w="0" w:type="dxa"/>
              <w:right w:w="0" w:type="dxa"/>
            </w:tcMar>
            <w:vAlign w:val="center"/>
          </w:tcPr>
          <w:p w14:paraId="757208E5">
            <w:pPr>
              <w:pStyle w:val="182"/>
              <w:bidi w:val="0"/>
              <w:rPr>
                <w:rFonts w:ascii="Times New Roman" w:hAnsi="Times New Roman" w:eastAsia="宋体" w:cs="Times New Roman"/>
                <w:color w:val="auto"/>
              </w:rPr>
            </w:pPr>
            <w:r>
              <w:rPr>
                <w:rFonts w:ascii="Times New Roman" w:hAnsi="Times New Roman" w:eastAsia="宋体" w:cs="Times New Roman"/>
                <w:color w:val="auto"/>
              </w:rPr>
              <w:t>4.7</w:t>
            </w:r>
          </w:p>
        </w:tc>
        <w:tc>
          <w:tcPr>
            <w:tcW w:w="603" w:type="dxa"/>
            <w:tcMar>
              <w:top w:w="0" w:type="dxa"/>
              <w:left w:w="0" w:type="dxa"/>
              <w:bottom w:w="0" w:type="dxa"/>
              <w:right w:w="0" w:type="dxa"/>
            </w:tcMar>
            <w:vAlign w:val="center"/>
          </w:tcPr>
          <w:p w14:paraId="68AA72BD">
            <w:pPr>
              <w:pStyle w:val="182"/>
              <w:bidi w:val="0"/>
              <w:rPr>
                <w:rFonts w:ascii="Times New Roman" w:hAnsi="Times New Roman" w:eastAsia="宋体" w:cs="Times New Roman"/>
                <w:color w:val="auto"/>
              </w:rPr>
            </w:pPr>
            <w:r>
              <w:rPr>
                <w:rFonts w:ascii="Times New Roman" w:hAnsi="Times New Roman" w:eastAsia="宋体" w:cs="Times New Roman"/>
                <w:color w:val="auto"/>
              </w:rPr>
              <w:t>1.9</w:t>
            </w:r>
          </w:p>
        </w:tc>
        <w:tc>
          <w:tcPr>
            <w:tcW w:w="345" w:type="dxa"/>
            <w:tcMar>
              <w:top w:w="0" w:type="dxa"/>
              <w:left w:w="0" w:type="dxa"/>
              <w:bottom w:w="0" w:type="dxa"/>
              <w:right w:w="0" w:type="dxa"/>
            </w:tcMar>
            <w:vAlign w:val="center"/>
          </w:tcPr>
          <w:p w14:paraId="1E68BDC8">
            <w:pPr>
              <w:pStyle w:val="182"/>
              <w:bidi w:val="0"/>
              <w:rPr>
                <w:rFonts w:ascii="Times New Roman" w:hAnsi="Times New Roman" w:eastAsia="宋体" w:cs="Times New Roman"/>
                <w:color w:val="auto"/>
              </w:rPr>
            </w:pPr>
            <w:r>
              <w:rPr>
                <w:rFonts w:ascii="Times New Roman" w:hAnsi="Times New Roman" w:eastAsia="宋体" w:cs="Times New Roman"/>
                <w:color w:val="auto"/>
              </w:rPr>
              <w:t>2.4</w:t>
            </w:r>
          </w:p>
        </w:tc>
        <w:tc>
          <w:tcPr>
            <w:tcW w:w="645" w:type="dxa"/>
            <w:tcMar>
              <w:top w:w="0" w:type="dxa"/>
              <w:left w:w="0" w:type="dxa"/>
              <w:bottom w:w="0" w:type="dxa"/>
              <w:right w:w="0" w:type="dxa"/>
            </w:tcMar>
            <w:vAlign w:val="center"/>
          </w:tcPr>
          <w:p w14:paraId="09805066">
            <w:pPr>
              <w:pStyle w:val="182"/>
              <w:bidi w:val="0"/>
              <w:rPr>
                <w:rFonts w:ascii="Times New Roman" w:hAnsi="Times New Roman" w:eastAsia="宋体" w:cs="Times New Roman"/>
                <w:color w:val="auto"/>
              </w:rPr>
            </w:pPr>
            <w:r>
              <w:rPr>
                <w:rFonts w:ascii="Times New Roman" w:hAnsi="Times New Roman" w:eastAsia="宋体" w:cs="Times New Roman"/>
                <w:color w:val="auto"/>
              </w:rPr>
              <w:t>2.3</w:t>
            </w:r>
          </w:p>
        </w:tc>
        <w:tc>
          <w:tcPr>
            <w:tcW w:w="445" w:type="dxa"/>
            <w:tcMar>
              <w:top w:w="0" w:type="dxa"/>
              <w:left w:w="0" w:type="dxa"/>
              <w:bottom w:w="0" w:type="dxa"/>
              <w:right w:w="0" w:type="dxa"/>
            </w:tcMar>
            <w:vAlign w:val="center"/>
          </w:tcPr>
          <w:p w14:paraId="361EDF52">
            <w:pPr>
              <w:pStyle w:val="182"/>
              <w:bidi w:val="0"/>
              <w:rPr>
                <w:rFonts w:ascii="Times New Roman" w:hAnsi="Times New Roman" w:eastAsia="宋体" w:cs="Times New Roman"/>
                <w:color w:val="auto"/>
              </w:rPr>
            </w:pPr>
            <w:r>
              <w:rPr>
                <w:rFonts w:ascii="Times New Roman" w:hAnsi="Times New Roman" w:eastAsia="宋体" w:cs="Times New Roman"/>
                <w:color w:val="auto"/>
              </w:rPr>
              <w:t>2.0</w:t>
            </w:r>
          </w:p>
        </w:tc>
        <w:tc>
          <w:tcPr>
            <w:tcW w:w="591" w:type="dxa"/>
            <w:tcMar>
              <w:top w:w="0" w:type="dxa"/>
              <w:left w:w="0" w:type="dxa"/>
              <w:bottom w:w="0" w:type="dxa"/>
              <w:right w:w="0" w:type="dxa"/>
            </w:tcMar>
            <w:vAlign w:val="center"/>
          </w:tcPr>
          <w:p w14:paraId="5CD92992">
            <w:pPr>
              <w:pStyle w:val="182"/>
              <w:bidi w:val="0"/>
              <w:rPr>
                <w:rFonts w:ascii="Times New Roman" w:hAnsi="Times New Roman" w:eastAsia="宋体" w:cs="Times New Roman"/>
                <w:color w:val="auto"/>
              </w:rPr>
            </w:pPr>
            <w:r>
              <w:rPr>
                <w:rFonts w:ascii="Times New Roman" w:hAnsi="Times New Roman" w:eastAsia="宋体" w:cs="Times New Roman"/>
                <w:color w:val="auto"/>
              </w:rPr>
              <w:t>1.2</w:t>
            </w:r>
          </w:p>
        </w:tc>
        <w:tc>
          <w:tcPr>
            <w:tcW w:w="492" w:type="dxa"/>
            <w:tcMar>
              <w:top w:w="0" w:type="dxa"/>
              <w:left w:w="0" w:type="dxa"/>
              <w:bottom w:w="0" w:type="dxa"/>
              <w:right w:w="0" w:type="dxa"/>
            </w:tcMar>
            <w:vAlign w:val="center"/>
          </w:tcPr>
          <w:p w14:paraId="2A08DE7B">
            <w:pPr>
              <w:pStyle w:val="182"/>
              <w:bidi w:val="0"/>
              <w:rPr>
                <w:rFonts w:ascii="Times New Roman" w:hAnsi="Times New Roman" w:eastAsia="宋体" w:cs="Times New Roman"/>
                <w:color w:val="auto"/>
              </w:rPr>
            </w:pPr>
            <w:r>
              <w:rPr>
                <w:rFonts w:ascii="Times New Roman" w:hAnsi="Times New Roman" w:eastAsia="宋体" w:cs="Times New Roman"/>
                <w:color w:val="auto"/>
              </w:rPr>
              <w:t>11.1</w:t>
            </w:r>
          </w:p>
        </w:tc>
      </w:tr>
      <w:tr w14:paraId="5A7292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14:paraId="20CB8CEB">
            <w:pPr>
              <w:pStyle w:val="182"/>
              <w:bidi w:val="0"/>
              <w:rPr>
                <w:color w:val="auto"/>
              </w:rPr>
            </w:pPr>
            <w:r>
              <w:rPr>
                <w:color w:val="auto"/>
              </w:rPr>
              <w:t>9</w:t>
            </w:r>
          </w:p>
        </w:tc>
        <w:tc>
          <w:tcPr>
            <w:tcW w:w="313" w:type="dxa"/>
            <w:tcMar>
              <w:top w:w="0" w:type="dxa"/>
              <w:left w:w="0" w:type="dxa"/>
              <w:bottom w:w="0" w:type="dxa"/>
              <w:right w:w="0" w:type="dxa"/>
            </w:tcMar>
            <w:vAlign w:val="center"/>
          </w:tcPr>
          <w:p w14:paraId="1476FBF2">
            <w:pPr>
              <w:pStyle w:val="182"/>
              <w:bidi w:val="0"/>
              <w:rPr>
                <w:rFonts w:ascii="Times New Roman" w:hAnsi="Times New Roman" w:eastAsia="宋体" w:cs="Times New Roman"/>
                <w:color w:val="auto"/>
              </w:rPr>
            </w:pPr>
            <w:r>
              <w:rPr>
                <w:rFonts w:ascii="Times New Roman" w:hAnsi="Times New Roman" w:eastAsia="宋体" w:cs="Times New Roman"/>
                <w:color w:val="auto"/>
              </w:rPr>
              <w:t>1.8</w:t>
            </w:r>
          </w:p>
        </w:tc>
        <w:tc>
          <w:tcPr>
            <w:tcW w:w="508" w:type="dxa"/>
            <w:tcMar>
              <w:top w:w="0" w:type="dxa"/>
              <w:left w:w="0" w:type="dxa"/>
              <w:bottom w:w="0" w:type="dxa"/>
              <w:right w:w="0" w:type="dxa"/>
            </w:tcMar>
            <w:vAlign w:val="center"/>
          </w:tcPr>
          <w:p w14:paraId="13F712A0">
            <w:pPr>
              <w:pStyle w:val="182"/>
              <w:bidi w:val="0"/>
              <w:rPr>
                <w:rFonts w:ascii="Times New Roman" w:hAnsi="Times New Roman" w:eastAsia="宋体" w:cs="Times New Roman"/>
                <w:color w:val="auto"/>
              </w:rPr>
            </w:pPr>
            <w:r>
              <w:rPr>
                <w:rFonts w:ascii="Times New Roman" w:hAnsi="Times New Roman" w:eastAsia="宋体" w:cs="Times New Roman"/>
                <w:color w:val="auto"/>
              </w:rPr>
              <w:t>2.6</w:t>
            </w:r>
          </w:p>
        </w:tc>
        <w:tc>
          <w:tcPr>
            <w:tcW w:w="435" w:type="dxa"/>
            <w:tcMar>
              <w:top w:w="0" w:type="dxa"/>
              <w:left w:w="0" w:type="dxa"/>
              <w:bottom w:w="0" w:type="dxa"/>
              <w:right w:w="0" w:type="dxa"/>
            </w:tcMar>
            <w:vAlign w:val="center"/>
          </w:tcPr>
          <w:p w14:paraId="20357DB4">
            <w:pPr>
              <w:pStyle w:val="182"/>
              <w:bidi w:val="0"/>
              <w:rPr>
                <w:rFonts w:ascii="Times New Roman" w:hAnsi="Times New Roman" w:eastAsia="宋体" w:cs="Times New Roman"/>
                <w:color w:val="auto"/>
              </w:rPr>
            </w:pPr>
            <w:r>
              <w:rPr>
                <w:rFonts w:ascii="Times New Roman" w:hAnsi="Times New Roman" w:eastAsia="宋体" w:cs="Times New Roman"/>
                <w:color w:val="auto"/>
              </w:rPr>
              <w:t>12.9</w:t>
            </w:r>
          </w:p>
        </w:tc>
        <w:tc>
          <w:tcPr>
            <w:tcW w:w="480" w:type="dxa"/>
            <w:tcMar>
              <w:top w:w="0" w:type="dxa"/>
              <w:left w:w="0" w:type="dxa"/>
              <w:bottom w:w="0" w:type="dxa"/>
              <w:right w:w="0" w:type="dxa"/>
            </w:tcMar>
            <w:vAlign w:val="center"/>
          </w:tcPr>
          <w:p w14:paraId="70C54987">
            <w:pPr>
              <w:pStyle w:val="182"/>
              <w:bidi w:val="0"/>
              <w:rPr>
                <w:rFonts w:ascii="Times New Roman" w:hAnsi="Times New Roman" w:eastAsia="宋体" w:cs="Times New Roman"/>
                <w:color w:val="auto"/>
              </w:rPr>
            </w:pPr>
            <w:r>
              <w:rPr>
                <w:rFonts w:ascii="Times New Roman" w:hAnsi="Times New Roman" w:eastAsia="宋体" w:cs="Times New Roman"/>
                <w:color w:val="auto"/>
              </w:rPr>
              <w:t>14.9</w:t>
            </w:r>
          </w:p>
        </w:tc>
        <w:tc>
          <w:tcPr>
            <w:tcW w:w="435" w:type="dxa"/>
            <w:tcMar>
              <w:top w:w="0" w:type="dxa"/>
              <w:left w:w="0" w:type="dxa"/>
              <w:bottom w:w="0" w:type="dxa"/>
              <w:right w:w="0" w:type="dxa"/>
            </w:tcMar>
            <w:vAlign w:val="center"/>
          </w:tcPr>
          <w:p w14:paraId="5A15ECE7">
            <w:pPr>
              <w:pStyle w:val="182"/>
              <w:bidi w:val="0"/>
              <w:rPr>
                <w:rFonts w:ascii="Times New Roman" w:hAnsi="Times New Roman" w:eastAsia="宋体" w:cs="Times New Roman"/>
                <w:color w:val="auto"/>
              </w:rPr>
            </w:pPr>
            <w:r>
              <w:rPr>
                <w:rFonts w:ascii="Times New Roman" w:hAnsi="Times New Roman" w:eastAsia="宋体" w:cs="Times New Roman"/>
                <w:color w:val="auto"/>
              </w:rPr>
              <w:t>10.8</w:t>
            </w:r>
          </w:p>
        </w:tc>
        <w:tc>
          <w:tcPr>
            <w:tcW w:w="441" w:type="dxa"/>
            <w:tcMar>
              <w:top w:w="0" w:type="dxa"/>
              <w:left w:w="0" w:type="dxa"/>
              <w:bottom w:w="0" w:type="dxa"/>
              <w:right w:w="0" w:type="dxa"/>
            </w:tcMar>
            <w:vAlign w:val="center"/>
          </w:tcPr>
          <w:p w14:paraId="2CBA0921">
            <w:pPr>
              <w:pStyle w:val="182"/>
              <w:bidi w:val="0"/>
              <w:rPr>
                <w:rFonts w:ascii="Times New Roman" w:hAnsi="Times New Roman" w:eastAsia="宋体" w:cs="Times New Roman"/>
                <w:color w:val="auto"/>
              </w:rPr>
            </w:pPr>
            <w:r>
              <w:rPr>
                <w:rFonts w:ascii="Times New Roman" w:hAnsi="Times New Roman" w:eastAsia="宋体" w:cs="Times New Roman"/>
                <w:color w:val="auto"/>
              </w:rPr>
              <w:t>4.9</w:t>
            </w:r>
          </w:p>
        </w:tc>
        <w:tc>
          <w:tcPr>
            <w:tcW w:w="313" w:type="dxa"/>
            <w:tcMar>
              <w:top w:w="0" w:type="dxa"/>
              <w:left w:w="0" w:type="dxa"/>
              <w:bottom w:w="0" w:type="dxa"/>
              <w:right w:w="0" w:type="dxa"/>
            </w:tcMar>
            <w:vAlign w:val="center"/>
          </w:tcPr>
          <w:p w14:paraId="7F9A8FBC">
            <w:pPr>
              <w:pStyle w:val="182"/>
              <w:bidi w:val="0"/>
              <w:rPr>
                <w:rFonts w:ascii="Times New Roman" w:hAnsi="Times New Roman" w:eastAsia="宋体" w:cs="Times New Roman"/>
                <w:color w:val="auto"/>
              </w:rPr>
            </w:pPr>
            <w:r>
              <w:rPr>
                <w:rFonts w:ascii="Times New Roman" w:hAnsi="Times New Roman" w:eastAsia="宋体" w:cs="Times New Roman"/>
                <w:color w:val="auto"/>
              </w:rPr>
              <w:t>2.8</w:t>
            </w:r>
          </w:p>
        </w:tc>
        <w:tc>
          <w:tcPr>
            <w:tcW w:w="428" w:type="dxa"/>
            <w:tcMar>
              <w:top w:w="0" w:type="dxa"/>
              <w:left w:w="0" w:type="dxa"/>
              <w:bottom w:w="0" w:type="dxa"/>
              <w:right w:w="0" w:type="dxa"/>
            </w:tcMar>
            <w:vAlign w:val="center"/>
          </w:tcPr>
          <w:p w14:paraId="459EA55E">
            <w:pPr>
              <w:pStyle w:val="182"/>
              <w:bidi w:val="0"/>
              <w:rPr>
                <w:rFonts w:ascii="Times New Roman" w:hAnsi="Times New Roman" w:eastAsia="宋体" w:cs="Times New Roman"/>
                <w:color w:val="auto"/>
              </w:rPr>
            </w:pPr>
            <w:r>
              <w:rPr>
                <w:rFonts w:ascii="Times New Roman" w:hAnsi="Times New Roman" w:eastAsia="宋体" w:cs="Times New Roman"/>
                <w:color w:val="auto"/>
              </w:rPr>
              <w:t>2.1</w:t>
            </w:r>
          </w:p>
        </w:tc>
        <w:tc>
          <w:tcPr>
            <w:tcW w:w="425" w:type="dxa"/>
            <w:tcMar>
              <w:top w:w="0" w:type="dxa"/>
              <w:left w:w="0" w:type="dxa"/>
              <w:bottom w:w="0" w:type="dxa"/>
              <w:right w:w="0" w:type="dxa"/>
            </w:tcMar>
            <w:vAlign w:val="center"/>
          </w:tcPr>
          <w:p w14:paraId="17134928">
            <w:pPr>
              <w:pStyle w:val="182"/>
              <w:bidi w:val="0"/>
              <w:rPr>
                <w:rFonts w:ascii="Times New Roman" w:hAnsi="Times New Roman" w:eastAsia="宋体" w:cs="Times New Roman"/>
                <w:color w:val="auto"/>
              </w:rPr>
            </w:pPr>
            <w:r>
              <w:rPr>
                <w:rFonts w:ascii="Times New Roman" w:hAnsi="Times New Roman" w:eastAsia="宋体" w:cs="Times New Roman"/>
                <w:color w:val="auto"/>
              </w:rPr>
              <w:t>6.6</w:t>
            </w:r>
          </w:p>
        </w:tc>
        <w:tc>
          <w:tcPr>
            <w:tcW w:w="508" w:type="dxa"/>
            <w:tcMar>
              <w:top w:w="0" w:type="dxa"/>
              <w:left w:w="0" w:type="dxa"/>
              <w:bottom w:w="0" w:type="dxa"/>
              <w:right w:w="0" w:type="dxa"/>
            </w:tcMar>
            <w:vAlign w:val="center"/>
          </w:tcPr>
          <w:p w14:paraId="27249C57">
            <w:pPr>
              <w:pStyle w:val="182"/>
              <w:bidi w:val="0"/>
              <w:rPr>
                <w:rFonts w:ascii="Times New Roman" w:hAnsi="Times New Roman" w:eastAsia="宋体" w:cs="Times New Roman"/>
                <w:color w:val="auto"/>
              </w:rPr>
            </w:pPr>
            <w:r>
              <w:rPr>
                <w:rFonts w:ascii="Times New Roman" w:hAnsi="Times New Roman" w:eastAsia="宋体" w:cs="Times New Roman"/>
                <w:color w:val="auto"/>
              </w:rPr>
              <w:t>6.7</w:t>
            </w:r>
          </w:p>
        </w:tc>
        <w:tc>
          <w:tcPr>
            <w:tcW w:w="425" w:type="dxa"/>
            <w:tcMar>
              <w:top w:w="0" w:type="dxa"/>
              <w:left w:w="0" w:type="dxa"/>
              <w:bottom w:w="0" w:type="dxa"/>
              <w:right w:w="0" w:type="dxa"/>
            </w:tcMar>
            <w:vAlign w:val="center"/>
          </w:tcPr>
          <w:p w14:paraId="7B6DB981">
            <w:pPr>
              <w:pStyle w:val="182"/>
              <w:bidi w:val="0"/>
              <w:rPr>
                <w:rFonts w:ascii="Times New Roman" w:hAnsi="Times New Roman" w:eastAsia="宋体" w:cs="Times New Roman"/>
                <w:color w:val="auto"/>
              </w:rPr>
            </w:pPr>
            <w:r>
              <w:rPr>
                <w:rFonts w:ascii="Times New Roman" w:hAnsi="Times New Roman" w:eastAsia="宋体" w:cs="Times New Roman"/>
                <w:color w:val="auto"/>
              </w:rPr>
              <w:t>5.4</w:t>
            </w:r>
          </w:p>
        </w:tc>
        <w:tc>
          <w:tcPr>
            <w:tcW w:w="603" w:type="dxa"/>
            <w:tcMar>
              <w:top w:w="0" w:type="dxa"/>
              <w:left w:w="0" w:type="dxa"/>
              <w:bottom w:w="0" w:type="dxa"/>
              <w:right w:w="0" w:type="dxa"/>
            </w:tcMar>
            <w:vAlign w:val="center"/>
          </w:tcPr>
          <w:p w14:paraId="741964CB">
            <w:pPr>
              <w:pStyle w:val="182"/>
              <w:bidi w:val="0"/>
              <w:rPr>
                <w:rFonts w:ascii="Times New Roman" w:hAnsi="Times New Roman" w:eastAsia="宋体" w:cs="Times New Roman"/>
                <w:color w:val="auto"/>
              </w:rPr>
            </w:pPr>
            <w:r>
              <w:rPr>
                <w:rFonts w:ascii="Times New Roman" w:hAnsi="Times New Roman" w:eastAsia="宋体" w:cs="Times New Roman"/>
                <w:color w:val="auto"/>
              </w:rPr>
              <w:t>3.1</w:t>
            </w:r>
          </w:p>
        </w:tc>
        <w:tc>
          <w:tcPr>
            <w:tcW w:w="345" w:type="dxa"/>
            <w:tcMar>
              <w:top w:w="0" w:type="dxa"/>
              <w:left w:w="0" w:type="dxa"/>
              <w:bottom w:w="0" w:type="dxa"/>
              <w:right w:w="0" w:type="dxa"/>
            </w:tcMar>
            <w:vAlign w:val="center"/>
          </w:tcPr>
          <w:p w14:paraId="4A918CB9">
            <w:pPr>
              <w:pStyle w:val="182"/>
              <w:bidi w:val="0"/>
              <w:rPr>
                <w:rFonts w:ascii="Times New Roman" w:hAnsi="Times New Roman" w:eastAsia="宋体" w:cs="Times New Roman"/>
                <w:color w:val="auto"/>
              </w:rPr>
            </w:pPr>
            <w:r>
              <w:rPr>
                <w:rFonts w:ascii="Times New Roman" w:hAnsi="Times New Roman" w:eastAsia="宋体" w:cs="Times New Roman"/>
                <w:color w:val="auto"/>
              </w:rPr>
              <w:t>3.8</w:t>
            </w:r>
          </w:p>
        </w:tc>
        <w:tc>
          <w:tcPr>
            <w:tcW w:w="645" w:type="dxa"/>
            <w:tcMar>
              <w:top w:w="0" w:type="dxa"/>
              <w:left w:w="0" w:type="dxa"/>
              <w:bottom w:w="0" w:type="dxa"/>
              <w:right w:w="0" w:type="dxa"/>
            </w:tcMar>
            <w:vAlign w:val="center"/>
          </w:tcPr>
          <w:p w14:paraId="340C3F42">
            <w:pPr>
              <w:pStyle w:val="182"/>
              <w:bidi w:val="0"/>
              <w:rPr>
                <w:rFonts w:ascii="Times New Roman" w:hAnsi="Times New Roman" w:eastAsia="宋体" w:cs="Times New Roman"/>
                <w:color w:val="auto"/>
              </w:rPr>
            </w:pPr>
            <w:r>
              <w:rPr>
                <w:rFonts w:ascii="Times New Roman" w:hAnsi="Times New Roman" w:eastAsia="宋体" w:cs="Times New Roman"/>
                <w:color w:val="auto"/>
              </w:rPr>
              <w:t>2.8</w:t>
            </w:r>
          </w:p>
        </w:tc>
        <w:tc>
          <w:tcPr>
            <w:tcW w:w="445" w:type="dxa"/>
            <w:tcMar>
              <w:top w:w="0" w:type="dxa"/>
              <w:left w:w="0" w:type="dxa"/>
              <w:bottom w:w="0" w:type="dxa"/>
              <w:right w:w="0" w:type="dxa"/>
            </w:tcMar>
            <w:vAlign w:val="center"/>
          </w:tcPr>
          <w:p w14:paraId="06432014">
            <w:pPr>
              <w:pStyle w:val="182"/>
              <w:bidi w:val="0"/>
              <w:rPr>
                <w:rFonts w:ascii="Times New Roman" w:hAnsi="Times New Roman" w:eastAsia="宋体" w:cs="Times New Roman"/>
                <w:color w:val="auto"/>
              </w:rPr>
            </w:pPr>
            <w:r>
              <w:rPr>
                <w:rFonts w:ascii="Times New Roman" w:hAnsi="Times New Roman" w:eastAsia="宋体" w:cs="Times New Roman"/>
                <w:color w:val="auto"/>
              </w:rPr>
              <w:t>2.4</w:t>
            </w:r>
          </w:p>
        </w:tc>
        <w:tc>
          <w:tcPr>
            <w:tcW w:w="591" w:type="dxa"/>
            <w:tcMar>
              <w:top w:w="0" w:type="dxa"/>
              <w:left w:w="0" w:type="dxa"/>
              <w:bottom w:w="0" w:type="dxa"/>
              <w:right w:w="0" w:type="dxa"/>
            </w:tcMar>
            <w:vAlign w:val="center"/>
          </w:tcPr>
          <w:p w14:paraId="2624A803">
            <w:pPr>
              <w:pStyle w:val="182"/>
              <w:bidi w:val="0"/>
              <w:rPr>
                <w:rFonts w:ascii="Times New Roman" w:hAnsi="Times New Roman" w:eastAsia="宋体" w:cs="Times New Roman"/>
                <w:color w:val="auto"/>
              </w:rPr>
            </w:pPr>
            <w:r>
              <w:rPr>
                <w:rFonts w:ascii="Times New Roman" w:hAnsi="Times New Roman" w:eastAsia="宋体" w:cs="Times New Roman"/>
                <w:color w:val="auto"/>
              </w:rPr>
              <w:t>1.3</w:t>
            </w:r>
          </w:p>
        </w:tc>
        <w:tc>
          <w:tcPr>
            <w:tcW w:w="492" w:type="dxa"/>
            <w:tcMar>
              <w:top w:w="0" w:type="dxa"/>
              <w:left w:w="0" w:type="dxa"/>
              <w:bottom w:w="0" w:type="dxa"/>
              <w:right w:w="0" w:type="dxa"/>
            </w:tcMar>
            <w:vAlign w:val="center"/>
          </w:tcPr>
          <w:p w14:paraId="6976BBA9">
            <w:pPr>
              <w:pStyle w:val="182"/>
              <w:bidi w:val="0"/>
              <w:rPr>
                <w:rFonts w:ascii="Times New Roman" w:hAnsi="Times New Roman" w:eastAsia="宋体" w:cs="Times New Roman"/>
                <w:color w:val="auto"/>
              </w:rPr>
            </w:pPr>
            <w:r>
              <w:rPr>
                <w:rFonts w:ascii="Times New Roman" w:hAnsi="Times New Roman" w:eastAsia="宋体" w:cs="Times New Roman"/>
                <w:color w:val="auto"/>
              </w:rPr>
              <w:t>15.1</w:t>
            </w:r>
          </w:p>
        </w:tc>
      </w:tr>
      <w:tr w14:paraId="1B7763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14:paraId="3CBE105B">
            <w:pPr>
              <w:pStyle w:val="182"/>
              <w:bidi w:val="0"/>
              <w:rPr>
                <w:color w:val="auto"/>
              </w:rPr>
            </w:pPr>
            <w:r>
              <w:rPr>
                <w:color w:val="auto"/>
              </w:rPr>
              <w:t>10</w:t>
            </w:r>
          </w:p>
        </w:tc>
        <w:tc>
          <w:tcPr>
            <w:tcW w:w="313" w:type="dxa"/>
            <w:tcMar>
              <w:top w:w="0" w:type="dxa"/>
              <w:left w:w="0" w:type="dxa"/>
              <w:bottom w:w="0" w:type="dxa"/>
              <w:right w:w="0" w:type="dxa"/>
            </w:tcMar>
            <w:vAlign w:val="center"/>
          </w:tcPr>
          <w:p w14:paraId="13836431">
            <w:pPr>
              <w:pStyle w:val="182"/>
              <w:bidi w:val="0"/>
              <w:rPr>
                <w:rFonts w:ascii="Times New Roman" w:hAnsi="Times New Roman" w:eastAsia="宋体" w:cs="Times New Roman"/>
                <w:color w:val="auto"/>
              </w:rPr>
            </w:pPr>
            <w:r>
              <w:rPr>
                <w:rFonts w:ascii="Times New Roman" w:hAnsi="Times New Roman" w:eastAsia="宋体" w:cs="Times New Roman"/>
                <w:color w:val="auto"/>
              </w:rPr>
              <w:t>1.6</w:t>
            </w:r>
          </w:p>
        </w:tc>
        <w:tc>
          <w:tcPr>
            <w:tcW w:w="508" w:type="dxa"/>
            <w:tcMar>
              <w:top w:w="0" w:type="dxa"/>
              <w:left w:w="0" w:type="dxa"/>
              <w:bottom w:w="0" w:type="dxa"/>
              <w:right w:w="0" w:type="dxa"/>
            </w:tcMar>
            <w:vAlign w:val="center"/>
          </w:tcPr>
          <w:p w14:paraId="6F8F09DA">
            <w:pPr>
              <w:pStyle w:val="182"/>
              <w:bidi w:val="0"/>
              <w:rPr>
                <w:rFonts w:ascii="Times New Roman" w:hAnsi="Times New Roman" w:eastAsia="宋体" w:cs="Times New Roman"/>
                <w:color w:val="auto"/>
              </w:rPr>
            </w:pPr>
            <w:r>
              <w:rPr>
                <w:rFonts w:ascii="Times New Roman" w:hAnsi="Times New Roman" w:eastAsia="宋体" w:cs="Times New Roman"/>
                <w:color w:val="auto"/>
              </w:rPr>
              <w:t>1.4</w:t>
            </w:r>
          </w:p>
        </w:tc>
        <w:tc>
          <w:tcPr>
            <w:tcW w:w="435" w:type="dxa"/>
            <w:tcMar>
              <w:top w:w="0" w:type="dxa"/>
              <w:left w:w="0" w:type="dxa"/>
              <w:bottom w:w="0" w:type="dxa"/>
              <w:right w:w="0" w:type="dxa"/>
            </w:tcMar>
            <w:vAlign w:val="center"/>
          </w:tcPr>
          <w:p w14:paraId="6B41A161">
            <w:pPr>
              <w:pStyle w:val="182"/>
              <w:bidi w:val="0"/>
              <w:rPr>
                <w:rFonts w:ascii="Times New Roman" w:hAnsi="Times New Roman" w:eastAsia="宋体" w:cs="Times New Roman"/>
                <w:color w:val="auto"/>
              </w:rPr>
            </w:pPr>
            <w:r>
              <w:rPr>
                <w:rFonts w:ascii="Times New Roman" w:hAnsi="Times New Roman" w:eastAsia="宋体" w:cs="Times New Roman"/>
                <w:color w:val="auto"/>
              </w:rPr>
              <w:t>10.1</w:t>
            </w:r>
          </w:p>
        </w:tc>
        <w:tc>
          <w:tcPr>
            <w:tcW w:w="480" w:type="dxa"/>
            <w:tcMar>
              <w:top w:w="0" w:type="dxa"/>
              <w:left w:w="0" w:type="dxa"/>
              <w:bottom w:w="0" w:type="dxa"/>
              <w:right w:w="0" w:type="dxa"/>
            </w:tcMar>
            <w:vAlign w:val="center"/>
          </w:tcPr>
          <w:p w14:paraId="5E832844">
            <w:pPr>
              <w:pStyle w:val="182"/>
              <w:bidi w:val="0"/>
              <w:rPr>
                <w:rFonts w:ascii="Times New Roman" w:hAnsi="Times New Roman" w:eastAsia="宋体" w:cs="Times New Roman"/>
                <w:color w:val="auto"/>
              </w:rPr>
            </w:pPr>
            <w:r>
              <w:rPr>
                <w:rFonts w:ascii="Times New Roman" w:hAnsi="Times New Roman" w:eastAsia="宋体" w:cs="Times New Roman"/>
                <w:color w:val="auto"/>
              </w:rPr>
              <w:t>17.9</w:t>
            </w:r>
          </w:p>
        </w:tc>
        <w:tc>
          <w:tcPr>
            <w:tcW w:w="435" w:type="dxa"/>
            <w:tcMar>
              <w:top w:w="0" w:type="dxa"/>
              <w:left w:w="0" w:type="dxa"/>
              <w:bottom w:w="0" w:type="dxa"/>
              <w:right w:w="0" w:type="dxa"/>
            </w:tcMar>
            <w:vAlign w:val="center"/>
          </w:tcPr>
          <w:p w14:paraId="1DEF77A4">
            <w:pPr>
              <w:pStyle w:val="182"/>
              <w:bidi w:val="0"/>
              <w:rPr>
                <w:rFonts w:ascii="Times New Roman" w:hAnsi="Times New Roman" w:eastAsia="宋体" w:cs="Times New Roman"/>
                <w:color w:val="auto"/>
              </w:rPr>
            </w:pPr>
            <w:r>
              <w:rPr>
                <w:rFonts w:ascii="Times New Roman" w:hAnsi="Times New Roman" w:eastAsia="宋体" w:cs="Times New Roman"/>
                <w:color w:val="auto"/>
              </w:rPr>
              <w:t>6.8</w:t>
            </w:r>
          </w:p>
        </w:tc>
        <w:tc>
          <w:tcPr>
            <w:tcW w:w="441" w:type="dxa"/>
            <w:tcMar>
              <w:top w:w="0" w:type="dxa"/>
              <w:left w:w="0" w:type="dxa"/>
              <w:bottom w:w="0" w:type="dxa"/>
              <w:right w:w="0" w:type="dxa"/>
            </w:tcMar>
            <w:vAlign w:val="center"/>
          </w:tcPr>
          <w:p w14:paraId="1D1E6E0E">
            <w:pPr>
              <w:pStyle w:val="182"/>
              <w:bidi w:val="0"/>
              <w:rPr>
                <w:rFonts w:ascii="Times New Roman" w:hAnsi="Times New Roman" w:eastAsia="宋体" w:cs="Times New Roman"/>
                <w:color w:val="auto"/>
              </w:rPr>
            </w:pPr>
            <w:r>
              <w:rPr>
                <w:rFonts w:ascii="Times New Roman" w:hAnsi="Times New Roman" w:eastAsia="宋体" w:cs="Times New Roman"/>
                <w:color w:val="auto"/>
              </w:rPr>
              <w:t>3.2</w:t>
            </w:r>
          </w:p>
        </w:tc>
        <w:tc>
          <w:tcPr>
            <w:tcW w:w="313" w:type="dxa"/>
            <w:tcMar>
              <w:top w:w="0" w:type="dxa"/>
              <w:left w:w="0" w:type="dxa"/>
              <w:bottom w:w="0" w:type="dxa"/>
              <w:right w:w="0" w:type="dxa"/>
            </w:tcMar>
            <w:vAlign w:val="center"/>
          </w:tcPr>
          <w:p w14:paraId="09864FD4">
            <w:pPr>
              <w:pStyle w:val="182"/>
              <w:bidi w:val="0"/>
              <w:rPr>
                <w:rFonts w:ascii="Times New Roman" w:hAnsi="Times New Roman" w:eastAsia="宋体" w:cs="Times New Roman"/>
                <w:color w:val="auto"/>
              </w:rPr>
            </w:pPr>
            <w:r>
              <w:rPr>
                <w:rFonts w:ascii="Times New Roman" w:hAnsi="Times New Roman" w:eastAsia="宋体" w:cs="Times New Roman"/>
                <w:color w:val="auto"/>
              </w:rPr>
              <w:t>2.2</w:t>
            </w:r>
          </w:p>
        </w:tc>
        <w:tc>
          <w:tcPr>
            <w:tcW w:w="428" w:type="dxa"/>
            <w:tcMar>
              <w:top w:w="0" w:type="dxa"/>
              <w:left w:w="0" w:type="dxa"/>
              <w:bottom w:w="0" w:type="dxa"/>
              <w:right w:w="0" w:type="dxa"/>
            </w:tcMar>
            <w:vAlign w:val="center"/>
          </w:tcPr>
          <w:p w14:paraId="5BF20667">
            <w:pPr>
              <w:pStyle w:val="182"/>
              <w:bidi w:val="0"/>
              <w:rPr>
                <w:rFonts w:ascii="Times New Roman" w:hAnsi="Times New Roman" w:eastAsia="宋体" w:cs="Times New Roman"/>
                <w:color w:val="auto"/>
              </w:rPr>
            </w:pPr>
            <w:r>
              <w:rPr>
                <w:rFonts w:ascii="Times New Roman" w:hAnsi="Times New Roman" w:eastAsia="宋体" w:cs="Times New Roman"/>
                <w:color w:val="auto"/>
              </w:rPr>
              <w:t>1.4</w:t>
            </w:r>
          </w:p>
        </w:tc>
        <w:tc>
          <w:tcPr>
            <w:tcW w:w="425" w:type="dxa"/>
            <w:tcMar>
              <w:top w:w="0" w:type="dxa"/>
              <w:left w:w="0" w:type="dxa"/>
              <w:bottom w:w="0" w:type="dxa"/>
              <w:right w:w="0" w:type="dxa"/>
            </w:tcMar>
            <w:vAlign w:val="center"/>
          </w:tcPr>
          <w:p w14:paraId="7FC502F8">
            <w:pPr>
              <w:pStyle w:val="182"/>
              <w:bidi w:val="0"/>
              <w:rPr>
                <w:rFonts w:ascii="Times New Roman" w:hAnsi="Times New Roman" w:eastAsia="宋体" w:cs="Times New Roman"/>
                <w:color w:val="auto"/>
              </w:rPr>
            </w:pPr>
            <w:r>
              <w:rPr>
                <w:rFonts w:ascii="Times New Roman" w:hAnsi="Times New Roman" w:eastAsia="宋体" w:cs="Times New Roman"/>
                <w:color w:val="auto"/>
              </w:rPr>
              <w:t>5.1</w:t>
            </w:r>
          </w:p>
        </w:tc>
        <w:tc>
          <w:tcPr>
            <w:tcW w:w="508" w:type="dxa"/>
            <w:tcMar>
              <w:top w:w="0" w:type="dxa"/>
              <w:left w:w="0" w:type="dxa"/>
              <w:bottom w:w="0" w:type="dxa"/>
              <w:right w:w="0" w:type="dxa"/>
            </w:tcMar>
            <w:vAlign w:val="center"/>
          </w:tcPr>
          <w:p w14:paraId="7320060E">
            <w:pPr>
              <w:pStyle w:val="182"/>
              <w:bidi w:val="0"/>
              <w:rPr>
                <w:rFonts w:ascii="Times New Roman" w:hAnsi="Times New Roman" w:eastAsia="宋体" w:cs="Times New Roman"/>
                <w:color w:val="auto"/>
              </w:rPr>
            </w:pPr>
            <w:r>
              <w:rPr>
                <w:rFonts w:ascii="Times New Roman" w:hAnsi="Times New Roman" w:eastAsia="宋体" w:cs="Times New Roman"/>
                <w:color w:val="auto"/>
              </w:rPr>
              <w:t>10.8</w:t>
            </w:r>
          </w:p>
        </w:tc>
        <w:tc>
          <w:tcPr>
            <w:tcW w:w="425" w:type="dxa"/>
            <w:tcMar>
              <w:top w:w="0" w:type="dxa"/>
              <w:left w:w="0" w:type="dxa"/>
              <w:bottom w:w="0" w:type="dxa"/>
              <w:right w:w="0" w:type="dxa"/>
            </w:tcMar>
            <w:vAlign w:val="center"/>
          </w:tcPr>
          <w:p w14:paraId="62A81A78">
            <w:pPr>
              <w:pStyle w:val="182"/>
              <w:bidi w:val="0"/>
              <w:rPr>
                <w:rFonts w:ascii="Times New Roman" w:hAnsi="Times New Roman" w:eastAsia="宋体" w:cs="Times New Roman"/>
                <w:color w:val="auto"/>
              </w:rPr>
            </w:pPr>
            <w:r>
              <w:rPr>
                <w:rFonts w:ascii="Times New Roman" w:hAnsi="Times New Roman" w:eastAsia="宋体" w:cs="Times New Roman"/>
                <w:color w:val="auto"/>
              </w:rPr>
              <w:t>9.4</w:t>
            </w:r>
          </w:p>
        </w:tc>
        <w:tc>
          <w:tcPr>
            <w:tcW w:w="603" w:type="dxa"/>
            <w:tcMar>
              <w:top w:w="0" w:type="dxa"/>
              <w:left w:w="0" w:type="dxa"/>
              <w:bottom w:w="0" w:type="dxa"/>
              <w:right w:w="0" w:type="dxa"/>
            </w:tcMar>
            <w:vAlign w:val="center"/>
          </w:tcPr>
          <w:p w14:paraId="411BEBFC">
            <w:pPr>
              <w:pStyle w:val="182"/>
              <w:bidi w:val="0"/>
              <w:rPr>
                <w:rFonts w:ascii="Times New Roman" w:hAnsi="Times New Roman" w:eastAsia="宋体" w:cs="Times New Roman"/>
                <w:color w:val="auto"/>
              </w:rPr>
            </w:pPr>
            <w:r>
              <w:rPr>
                <w:rFonts w:ascii="Times New Roman" w:hAnsi="Times New Roman" w:eastAsia="宋体" w:cs="Times New Roman"/>
                <w:color w:val="auto"/>
              </w:rPr>
              <w:t>6.0</w:t>
            </w:r>
          </w:p>
        </w:tc>
        <w:tc>
          <w:tcPr>
            <w:tcW w:w="345" w:type="dxa"/>
            <w:tcMar>
              <w:top w:w="0" w:type="dxa"/>
              <w:left w:w="0" w:type="dxa"/>
              <w:bottom w:w="0" w:type="dxa"/>
              <w:right w:w="0" w:type="dxa"/>
            </w:tcMar>
            <w:vAlign w:val="center"/>
          </w:tcPr>
          <w:p w14:paraId="58CA1BE9">
            <w:pPr>
              <w:pStyle w:val="182"/>
              <w:bidi w:val="0"/>
              <w:rPr>
                <w:rFonts w:ascii="Times New Roman" w:hAnsi="Times New Roman" w:eastAsia="宋体" w:cs="Times New Roman"/>
                <w:color w:val="auto"/>
              </w:rPr>
            </w:pPr>
            <w:r>
              <w:rPr>
                <w:rFonts w:ascii="Times New Roman" w:hAnsi="Times New Roman" w:eastAsia="宋体" w:cs="Times New Roman"/>
                <w:color w:val="auto"/>
              </w:rPr>
              <w:t>3.4</w:t>
            </w:r>
          </w:p>
        </w:tc>
        <w:tc>
          <w:tcPr>
            <w:tcW w:w="645" w:type="dxa"/>
            <w:tcMar>
              <w:top w:w="0" w:type="dxa"/>
              <w:left w:w="0" w:type="dxa"/>
              <w:bottom w:w="0" w:type="dxa"/>
              <w:right w:w="0" w:type="dxa"/>
            </w:tcMar>
            <w:vAlign w:val="center"/>
          </w:tcPr>
          <w:p w14:paraId="1231F01B">
            <w:pPr>
              <w:pStyle w:val="182"/>
              <w:bidi w:val="0"/>
              <w:rPr>
                <w:rFonts w:ascii="Times New Roman" w:hAnsi="Times New Roman" w:eastAsia="宋体" w:cs="Times New Roman"/>
                <w:color w:val="auto"/>
              </w:rPr>
            </w:pPr>
            <w:r>
              <w:rPr>
                <w:rFonts w:ascii="Times New Roman" w:hAnsi="Times New Roman" w:eastAsia="宋体" w:cs="Times New Roman"/>
                <w:color w:val="auto"/>
              </w:rPr>
              <w:t>1.9</w:t>
            </w:r>
          </w:p>
        </w:tc>
        <w:tc>
          <w:tcPr>
            <w:tcW w:w="445" w:type="dxa"/>
            <w:tcMar>
              <w:top w:w="0" w:type="dxa"/>
              <w:left w:w="0" w:type="dxa"/>
              <w:bottom w:w="0" w:type="dxa"/>
              <w:right w:w="0" w:type="dxa"/>
            </w:tcMar>
            <w:vAlign w:val="center"/>
          </w:tcPr>
          <w:p w14:paraId="6D460D8E">
            <w:pPr>
              <w:pStyle w:val="182"/>
              <w:bidi w:val="0"/>
              <w:rPr>
                <w:rFonts w:ascii="Times New Roman" w:hAnsi="Times New Roman" w:eastAsia="宋体" w:cs="Times New Roman"/>
                <w:color w:val="auto"/>
              </w:rPr>
            </w:pPr>
            <w:r>
              <w:rPr>
                <w:rFonts w:ascii="Times New Roman" w:hAnsi="Times New Roman" w:eastAsia="宋体" w:cs="Times New Roman"/>
                <w:color w:val="auto"/>
              </w:rPr>
              <w:t>1.9</w:t>
            </w:r>
          </w:p>
        </w:tc>
        <w:tc>
          <w:tcPr>
            <w:tcW w:w="591" w:type="dxa"/>
            <w:tcMar>
              <w:top w:w="0" w:type="dxa"/>
              <w:left w:w="0" w:type="dxa"/>
              <w:bottom w:w="0" w:type="dxa"/>
              <w:right w:w="0" w:type="dxa"/>
            </w:tcMar>
            <w:vAlign w:val="center"/>
          </w:tcPr>
          <w:p w14:paraId="5CA01BD7">
            <w:pPr>
              <w:pStyle w:val="182"/>
              <w:bidi w:val="0"/>
              <w:rPr>
                <w:rFonts w:ascii="Times New Roman" w:hAnsi="Times New Roman" w:eastAsia="宋体" w:cs="Times New Roman"/>
                <w:color w:val="auto"/>
              </w:rPr>
            </w:pPr>
            <w:r>
              <w:rPr>
                <w:rFonts w:ascii="Times New Roman" w:hAnsi="Times New Roman" w:eastAsia="宋体" w:cs="Times New Roman"/>
                <w:color w:val="auto"/>
              </w:rPr>
              <w:t>0.7</w:t>
            </w:r>
          </w:p>
        </w:tc>
        <w:tc>
          <w:tcPr>
            <w:tcW w:w="492" w:type="dxa"/>
            <w:tcMar>
              <w:top w:w="0" w:type="dxa"/>
              <w:left w:w="0" w:type="dxa"/>
              <w:bottom w:w="0" w:type="dxa"/>
              <w:right w:w="0" w:type="dxa"/>
            </w:tcMar>
            <w:vAlign w:val="center"/>
          </w:tcPr>
          <w:p w14:paraId="393C1736">
            <w:pPr>
              <w:pStyle w:val="182"/>
              <w:bidi w:val="0"/>
              <w:rPr>
                <w:rFonts w:ascii="Times New Roman" w:hAnsi="Times New Roman" w:eastAsia="宋体" w:cs="Times New Roman"/>
                <w:color w:val="auto"/>
              </w:rPr>
            </w:pPr>
            <w:r>
              <w:rPr>
                <w:rFonts w:ascii="Times New Roman" w:hAnsi="Times New Roman" w:eastAsia="宋体" w:cs="Times New Roman"/>
                <w:color w:val="auto"/>
              </w:rPr>
              <w:t>16.1</w:t>
            </w:r>
          </w:p>
        </w:tc>
      </w:tr>
      <w:tr w14:paraId="590F4F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14:paraId="1FDEBE21">
            <w:pPr>
              <w:pStyle w:val="182"/>
              <w:bidi w:val="0"/>
              <w:rPr>
                <w:color w:val="auto"/>
              </w:rPr>
            </w:pPr>
            <w:r>
              <w:rPr>
                <w:color w:val="auto"/>
              </w:rPr>
              <w:t>11</w:t>
            </w:r>
          </w:p>
        </w:tc>
        <w:tc>
          <w:tcPr>
            <w:tcW w:w="313" w:type="dxa"/>
            <w:tcMar>
              <w:top w:w="0" w:type="dxa"/>
              <w:left w:w="0" w:type="dxa"/>
              <w:bottom w:w="0" w:type="dxa"/>
              <w:right w:w="0" w:type="dxa"/>
            </w:tcMar>
            <w:vAlign w:val="center"/>
          </w:tcPr>
          <w:p w14:paraId="6F7D589E">
            <w:pPr>
              <w:pStyle w:val="182"/>
              <w:bidi w:val="0"/>
              <w:rPr>
                <w:rFonts w:ascii="Times New Roman" w:hAnsi="Times New Roman" w:eastAsia="宋体" w:cs="Times New Roman"/>
                <w:color w:val="auto"/>
              </w:rPr>
            </w:pPr>
            <w:r>
              <w:rPr>
                <w:rFonts w:ascii="Times New Roman" w:hAnsi="Times New Roman" w:eastAsia="宋体" w:cs="Times New Roman"/>
                <w:color w:val="auto"/>
              </w:rPr>
              <w:t>1.5</w:t>
            </w:r>
          </w:p>
        </w:tc>
        <w:tc>
          <w:tcPr>
            <w:tcW w:w="508" w:type="dxa"/>
            <w:tcMar>
              <w:top w:w="0" w:type="dxa"/>
              <w:left w:w="0" w:type="dxa"/>
              <w:bottom w:w="0" w:type="dxa"/>
              <w:right w:w="0" w:type="dxa"/>
            </w:tcMar>
            <w:vAlign w:val="center"/>
          </w:tcPr>
          <w:p w14:paraId="1DB985C6">
            <w:pPr>
              <w:pStyle w:val="182"/>
              <w:bidi w:val="0"/>
              <w:rPr>
                <w:rFonts w:ascii="Times New Roman" w:hAnsi="Times New Roman" w:eastAsia="宋体" w:cs="Times New Roman"/>
                <w:color w:val="auto"/>
              </w:rPr>
            </w:pPr>
            <w:r>
              <w:rPr>
                <w:rFonts w:ascii="Times New Roman" w:hAnsi="Times New Roman" w:eastAsia="宋体" w:cs="Times New Roman"/>
                <w:color w:val="auto"/>
              </w:rPr>
              <w:t>1.6</w:t>
            </w:r>
          </w:p>
        </w:tc>
        <w:tc>
          <w:tcPr>
            <w:tcW w:w="435" w:type="dxa"/>
            <w:tcMar>
              <w:top w:w="0" w:type="dxa"/>
              <w:left w:w="0" w:type="dxa"/>
              <w:bottom w:w="0" w:type="dxa"/>
              <w:right w:w="0" w:type="dxa"/>
            </w:tcMar>
            <w:vAlign w:val="center"/>
          </w:tcPr>
          <w:p w14:paraId="5E226DAC">
            <w:pPr>
              <w:pStyle w:val="182"/>
              <w:bidi w:val="0"/>
              <w:rPr>
                <w:rFonts w:ascii="Times New Roman" w:hAnsi="Times New Roman" w:eastAsia="宋体" w:cs="Times New Roman"/>
                <w:color w:val="auto"/>
              </w:rPr>
            </w:pPr>
            <w:r>
              <w:rPr>
                <w:rFonts w:ascii="Times New Roman" w:hAnsi="Times New Roman" w:eastAsia="宋体" w:cs="Times New Roman"/>
                <w:color w:val="auto"/>
              </w:rPr>
              <w:t>10.9</w:t>
            </w:r>
          </w:p>
        </w:tc>
        <w:tc>
          <w:tcPr>
            <w:tcW w:w="480" w:type="dxa"/>
            <w:tcMar>
              <w:top w:w="0" w:type="dxa"/>
              <w:left w:w="0" w:type="dxa"/>
              <w:bottom w:w="0" w:type="dxa"/>
              <w:right w:w="0" w:type="dxa"/>
            </w:tcMar>
            <w:vAlign w:val="center"/>
          </w:tcPr>
          <w:p w14:paraId="0B874282">
            <w:pPr>
              <w:pStyle w:val="182"/>
              <w:bidi w:val="0"/>
              <w:rPr>
                <w:rFonts w:ascii="Times New Roman" w:hAnsi="Times New Roman" w:eastAsia="宋体" w:cs="Times New Roman"/>
                <w:color w:val="auto"/>
              </w:rPr>
            </w:pPr>
            <w:r>
              <w:rPr>
                <w:rFonts w:ascii="Times New Roman" w:hAnsi="Times New Roman" w:eastAsia="宋体" w:cs="Times New Roman"/>
                <w:color w:val="auto"/>
              </w:rPr>
              <w:t>16.7</w:t>
            </w:r>
          </w:p>
        </w:tc>
        <w:tc>
          <w:tcPr>
            <w:tcW w:w="435" w:type="dxa"/>
            <w:tcMar>
              <w:top w:w="0" w:type="dxa"/>
              <w:left w:w="0" w:type="dxa"/>
              <w:bottom w:w="0" w:type="dxa"/>
              <w:right w:w="0" w:type="dxa"/>
            </w:tcMar>
            <w:vAlign w:val="center"/>
          </w:tcPr>
          <w:p w14:paraId="2C0C1EE2">
            <w:pPr>
              <w:pStyle w:val="182"/>
              <w:bidi w:val="0"/>
              <w:rPr>
                <w:rFonts w:ascii="Times New Roman" w:hAnsi="Times New Roman" w:eastAsia="宋体" w:cs="Times New Roman"/>
                <w:color w:val="auto"/>
              </w:rPr>
            </w:pPr>
            <w:r>
              <w:rPr>
                <w:rFonts w:ascii="Times New Roman" w:hAnsi="Times New Roman" w:eastAsia="宋体" w:cs="Times New Roman"/>
                <w:color w:val="auto"/>
              </w:rPr>
              <w:t>10.2</w:t>
            </w:r>
          </w:p>
        </w:tc>
        <w:tc>
          <w:tcPr>
            <w:tcW w:w="441" w:type="dxa"/>
            <w:tcMar>
              <w:top w:w="0" w:type="dxa"/>
              <w:left w:w="0" w:type="dxa"/>
              <w:bottom w:w="0" w:type="dxa"/>
              <w:right w:w="0" w:type="dxa"/>
            </w:tcMar>
            <w:vAlign w:val="center"/>
          </w:tcPr>
          <w:p w14:paraId="1620CBC9">
            <w:pPr>
              <w:pStyle w:val="182"/>
              <w:bidi w:val="0"/>
              <w:rPr>
                <w:rFonts w:ascii="Times New Roman" w:hAnsi="Times New Roman" w:eastAsia="宋体" w:cs="Times New Roman"/>
                <w:color w:val="auto"/>
              </w:rPr>
            </w:pPr>
            <w:r>
              <w:rPr>
                <w:rFonts w:ascii="Times New Roman" w:hAnsi="Times New Roman" w:eastAsia="宋体" w:cs="Times New Roman"/>
                <w:color w:val="auto"/>
              </w:rPr>
              <w:t>2.3</w:t>
            </w:r>
          </w:p>
        </w:tc>
        <w:tc>
          <w:tcPr>
            <w:tcW w:w="313" w:type="dxa"/>
            <w:tcMar>
              <w:top w:w="0" w:type="dxa"/>
              <w:left w:w="0" w:type="dxa"/>
              <w:bottom w:w="0" w:type="dxa"/>
              <w:right w:w="0" w:type="dxa"/>
            </w:tcMar>
            <w:vAlign w:val="center"/>
          </w:tcPr>
          <w:p w14:paraId="2E8FC03F">
            <w:pPr>
              <w:pStyle w:val="182"/>
              <w:bidi w:val="0"/>
              <w:rPr>
                <w:rFonts w:ascii="Times New Roman" w:hAnsi="Times New Roman" w:eastAsia="宋体" w:cs="Times New Roman"/>
                <w:color w:val="auto"/>
              </w:rPr>
            </w:pPr>
            <w:r>
              <w:rPr>
                <w:rFonts w:ascii="Times New Roman" w:hAnsi="Times New Roman" w:eastAsia="宋体" w:cs="Times New Roman"/>
                <w:color w:val="auto"/>
              </w:rPr>
              <w:t>1.6</w:t>
            </w:r>
          </w:p>
        </w:tc>
        <w:tc>
          <w:tcPr>
            <w:tcW w:w="428" w:type="dxa"/>
            <w:tcMar>
              <w:top w:w="0" w:type="dxa"/>
              <w:left w:w="0" w:type="dxa"/>
              <w:bottom w:w="0" w:type="dxa"/>
              <w:right w:w="0" w:type="dxa"/>
            </w:tcMar>
            <w:vAlign w:val="center"/>
          </w:tcPr>
          <w:p w14:paraId="51D04EA7">
            <w:pPr>
              <w:pStyle w:val="182"/>
              <w:bidi w:val="0"/>
              <w:rPr>
                <w:rFonts w:ascii="Times New Roman" w:hAnsi="Times New Roman" w:eastAsia="宋体" w:cs="Times New Roman"/>
                <w:color w:val="auto"/>
              </w:rPr>
            </w:pPr>
            <w:r>
              <w:rPr>
                <w:rFonts w:ascii="Times New Roman" w:hAnsi="Times New Roman" w:eastAsia="宋体" w:cs="Times New Roman"/>
                <w:color w:val="auto"/>
              </w:rPr>
              <w:t>1.6</w:t>
            </w:r>
          </w:p>
        </w:tc>
        <w:tc>
          <w:tcPr>
            <w:tcW w:w="425" w:type="dxa"/>
            <w:tcMar>
              <w:top w:w="0" w:type="dxa"/>
              <w:left w:w="0" w:type="dxa"/>
              <w:bottom w:w="0" w:type="dxa"/>
              <w:right w:w="0" w:type="dxa"/>
            </w:tcMar>
            <w:vAlign w:val="center"/>
          </w:tcPr>
          <w:p w14:paraId="7EBAAE54">
            <w:pPr>
              <w:pStyle w:val="182"/>
              <w:bidi w:val="0"/>
              <w:rPr>
                <w:rFonts w:ascii="Times New Roman" w:hAnsi="Times New Roman" w:eastAsia="宋体" w:cs="Times New Roman"/>
                <w:color w:val="auto"/>
              </w:rPr>
            </w:pPr>
            <w:r>
              <w:rPr>
                <w:rFonts w:ascii="Times New Roman" w:hAnsi="Times New Roman" w:eastAsia="宋体" w:cs="Times New Roman"/>
                <w:color w:val="auto"/>
              </w:rPr>
              <w:t>3.5</w:t>
            </w:r>
          </w:p>
        </w:tc>
        <w:tc>
          <w:tcPr>
            <w:tcW w:w="508" w:type="dxa"/>
            <w:tcMar>
              <w:top w:w="0" w:type="dxa"/>
              <w:left w:w="0" w:type="dxa"/>
              <w:bottom w:w="0" w:type="dxa"/>
              <w:right w:w="0" w:type="dxa"/>
            </w:tcMar>
            <w:vAlign w:val="center"/>
          </w:tcPr>
          <w:p w14:paraId="5625545F">
            <w:pPr>
              <w:pStyle w:val="182"/>
              <w:bidi w:val="0"/>
              <w:rPr>
                <w:rFonts w:ascii="Times New Roman" w:hAnsi="Times New Roman" w:eastAsia="宋体" w:cs="Times New Roman"/>
                <w:color w:val="auto"/>
              </w:rPr>
            </w:pPr>
            <w:r>
              <w:rPr>
                <w:rFonts w:ascii="Times New Roman" w:hAnsi="Times New Roman" w:eastAsia="宋体" w:cs="Times New Roman"/>
                <w:color w:val="auto"/>
              </w:rPr>
              <w:t>9.7</w:t>
            </w:r>
          </w:p>
        </w:tc>
        <w:tc>
          <w:tcPr>
            <w:tcW w:w="425" w:type="dxa"/>
            <w:tcMar>
              <w:top w:w="0" w:type="dxa"/>
              <w:left w:w="0" w:type="dxa"/>
              <w:bottom w:w="0" w:type="dxa"/>
              <w:right w:w="0" w:type="dxa"/>
            </w:tcMar>
            <w:vAlign w:val="center"/>
          </w:tcPr>
          <w:p w14:paraId="6D51DCCC">
            <w:pPr>
              <w:pStyle w:val="182"/>
              <w:bidi w:val="0"/>
              <w:rPr>
                <w:rFonts w:ascii="Times New Roman" w:hAnsi="Times New Roman" w:eastAsia="宋体" w:cs="Times New Roman"/>
                <w:color w:val="auto"/>
              </w:rPr>
            </w:pPr>
            <w:r>
              <w:rPr>
                <w:rFonts w:ascii="Times New Roman" w:hAnsi="Times New Roman" w:eastAsia="宋体" w:cs="Times New Roman"/>
                <w:color w:val="auto"/>
              </w:rPr>
              <w:t>9.3</w:t>
            </w:r>
          </w:p>
        </w:tc>
        <w:tc>
          <w:tcPr>
            <w:tcW w:w="603" w:type="dxa"/>
            <w:tcMar>
              <w:top w:w="0" w:type="dxa"/>
              <w:left w:w="0" w:type="dxa"/>
              <w:bottom w:w="0" w:type="dxa"/>
              <w:right w:w="0" w:type="dxa"/>
            </w:tcMar>
            <w:vAlign w:val="center"/>
          </w:tcPr>
          <w:p w14:paraId="2A5092D2">
            <w:pPr>
              <w:pStyle w:val="182"/>
              <w:bidi w:val="0"/>
              <w:rPr>
                <w:rFonts w:ascii="Times New Roman" w:hAnsi="Times New Roman" w:eastAsia="宋体" w:cs="Times New Roman"/>
                <w:color w:val="auto"/>
              </w:rPr>
            </w:pPr>
            <w:r>
              <w:rPr>
                <w:rFonts w:ascii="Times New Roman" w:hAnsi="Times New Roman" w:eastAsia="宋体" w:cs="Times New Roman"/>
                <w:color w:val="auto"/>
              </w:rPr>
              <w:t>6.7</w:t>
            </w:r>
          </w:p>
        </w:tc>
        <w:tc>
          <w:tcPr>
            <w:tcW w:w="345" w:type="dxa"/>
            <w:tcMar>
              <w:top w:w="0" w:type="dxa"/>
              <w:left w:w="0" w:type="dxa"/>
              <w:bottom w:w="0" w:type="dxa"/>
              <w:right w:w="0" w:type="dxa"/>
            </w:tcMar>
            <w:vAlign w:val="center"/>
          </w:tcPr>
          <w:p w14:paraId="704CF7F9">
            <w:pPr>
              <w:pStyle w:val="182"/>
              <w:bidi w:val="0"/>
              <w:rPr>
                <w:rFonts w:ascii="Times New Roman" w:hAnsi="Times New Roman" w:eastAsia="宋体" w:cs="Times New Roman"/>
                <w:color w:val="auto"/>
              </w:rPr>
            </w:pPr>
            <w:r>
              <w:rPr>
                <w:rFonts w:ascii="Times New Roman" w:hAnsi="Times New Roman" w:eastAsia="宋体" w:cs="Times New Roman"/>
                <w:color w:val="auto"/>
              </w:rPr>
              <w:t>5.1</w:t>
            </w:r>
          </w:p>
        </w:tc>
        <w:tc>
          <w:tcPr>
            <w:tcW w:w="645" w:type="dxa"/>
            <w:tcMar>
              <w:top w:w="0" w:type="dxa"/>
              <w:left w:w="0" w:type="dxa"/>
              <w:bottom w:w="0" w:type="dxa"/>
              <w:right w:w="0" w:type="dxa"/>
            </w:tcMar>
            <w:vAlign w:val="center"/>
          </w:tcPr>
          <w:p w14:paraId="706960FA">
            <w:pPr>
              <w:pStyle w:val="182"/>
              <w:bidi w:val="0"/>
              <w:rPr>
                <w:rFonts w:ascii="Times New Roman" w:hAnsi="Times New Roman" w:eastAsia="宋体" w:cs="Times New Roman"/>
                <w:color w:val="auto"/>
              </w:rPr>
            </w:pPr>
            <w:r>
              <w:rPr>
                <w:rFonts w:ascii="Times New Roman" w:hAnsi="Times New Roman" w:eastAsia="宋体" w:cs="Times New Roman"/>
                <w:color w:val="auto"/>
              </w:rPr>
              <w:t>2.5</w:t>
            </w:r>
          </w:p>
        </w:tc>
        <w:tc>
          <w:tcPr>
            <w:tcW w:w="445" w:type="dxa"/>
            <w:tcMar>
              <w:top w:w="0" w:type="dxa"/>
              <w:left w:w="0" w:type="dxa"/>
              <w:bottom w:w="0" w:type="dxa"/>
              <w:right w:w="0" w:type="dxa"/>
            </w:tcMar>
            <w:vAlign w:val="center"/>
          </w:tcPr>
          <w:p w14:paraId="7AAEF3B2">
            <w:pPr>
              <w:pStyle w:val="182"/>
              <w:bidi w:val="0"/>
              <w:rPr>
                <w:rFonts w:ascii="Times New Roman" w:hAnsi="Times New Roman" w:eastAsia="宋体" w:cs="Times New Roman"/>
                <w:color w:val="auto"/>
              </w:rPr>
            </w:pPr>
            <w:r>
              <w:rPr>
                <w:rFonts w:ascii="Times New Roman" w:hAnsi="Times New Roman" w:eastAsia="宋体" w:cs="Times New Roman"/>
                <w:color w:val="auto"/>
              </w:rPr>
              <w:t>2.2</w:t>
            </w:r>
          </w:p>
        </w:tc>
        <w:tc>
          <w:tcPr>
            <w:tcW w:w="591" w:type="dxa"/>
            <w:tcMar>
              <w:top w:w="0" w:type="dxa"/>
              <w:left w:w="0" w:type="dxa"/>
              <w:bottom w:w="0" w:type="dxa"/>
              <w:right w:w="0" w:type="dxa"/>
            </w:tcMar>
            <w:vAlign w:val="center"/>
          </w:tcPr>
          <w:p w14:paraId="3136DBAC">
            <w:pPr>
              <w:pStyle w:val="182"/>
              <w:bidi w:val="0"/>
              <w:rPr>
                <w:rFonts w:ascii="Times New Roman" w:hAnsi="Times New Roman" w:eastAsia="宋体" w:cs="Times New Roman"/>
                <w:color w:val="auto"/>
              </w:rPr>
            </w:pPr>
            <w:r>
              <w:rPr>
                <w:rFonts w:ascii="Times New Roman" w:hAnsi="Times New Roman" w:eastAsia="宋体" w:cs="Times New Roman"/>
                <w:color w:val="auto"/>
              </w:rPr>
              <w:t>1.3</w:t>
            </w:r>
          </w:p>
        </w:tc>
        <w:tc>
          <w:tcPr>
            <w:tcW w:w="492" w:type="dxa"/>
            <w:tcMar>
              <w:top w:w="0" w:type="dxa"/>
              <w:left w:w="0" w:type="dxa"/>
              <w:bottom w:w="0" w:type="dxa"/>
              <w:right w:w="0" w:type="dxa"/>
            </w:tcMar>
            <w:vAlign w:val="center"/>
          </w:tcPr>
          <w:p w14:paraId="13DED342">
            <w:pPr>
              <w:pStyle w:val="182"/>
              <w:bidi w:val="0"/>
              <w:rPr>
                <w:rFonts w:ascii="Times New Roman" w:hAnsi="Times New Roman" w:eastAsia="宋体" w:cs="Times New Roman"/>
                <w:color w:val="auto"/>
              </w:rPr>
            </w:pPr>
            <w:r>
              <w:rPr>
                <w:rFonts w:ascii="Times New Roman" w:hAnsi="Times New Roman" w:eastAsia="宋体" w:cs="Times New Roman"/>
                <w:color w:val="auto"/>
              </w:rPr>
              <w:t>13.4</w:t>
            </w:r>
          </w:p>
        </w:tc>
      </w:tr>
      <w:tr w14:paraId="6FC664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14:paraId="0A7127F9">
            <w:pPr>
              <w:pStyle w:val="182"/>
              <w:bidi w:val="0"/>
              <w:rPr>
                <w:color w:val="auto"/>
              </w:rPr>
            </w:pPr>
            <w:r>
              <w:rPr>
                <w:color w:val="auto"/>
              </w:rPr>
              <w:t>12</w:t>
            </w:r>
          </w:p>
        </w:tc>
        <w:tc>
          <w:tcPr>
            <w:tcW w:w="313" w:type="dxa"/>
            <w:tcMar>
              <w:top w:w="0" w:type="dxa"/>
              <w:left w:w="0" w:type="dxa"/>
              <w:bottom w:w="0" w:type="dxa"/>
              <w:right w:w="0" w:type="dxa"/>
            </w:tcMar>
            <w:vAlign w:val="center"/>
          </w:tcPr>
          <w:p w14:paraId="4AE871D5">
            <w:pPr>
              <w:pStyle w:val="182"/>
              <w:bidi w:val="0"/>
              <w:rPr>
                <w:rFonts w:ascii="Times New Roman" w:hAnsi="Times New Roman" w:eastAsia="宋体" w:cs="Times New Roman"/>
                <w:color w:val="auto"/>
              </w:rPr>
            </w:pPr>
            <w:r>
              <w:rPr>
                <w:rFonts w:ascii="Times New Roman" w:hAnsi="Times New Roman" w:eastAsia="宋体" w:cs="Times New Roman"/>
                <w:color w:val="auto"/>
              </w:rPr>
              <w:t>1.6</w:t>
            </w:r>
          </w:p>
        </w:tc>
        <w:tc>
          <w:tcPr>
            <w:tcW w:w="508" w:type="dxa"/>
            <w:tcMar>
              <w:top w:w="0" w:type="dxa"/>
              <w:left w:w="0" w:type="dxa"/>
              <w:bottom w:w="0" w:type="dxa"/>
              <w:right w:w="0" w:type="dxa"/>
            </w:tcMar>
            <w:vAlign w:val="center"/>
          </w:tcPr>
          <w:p w14:paraId="7BA616B3">
            <w:pPr>
              <w:pStyle w:val="182"/>
              <w:bidi w:val="0"/>
              <w:rPr>
                <w:rFonts w:ascii="Times New Roman" w:hAnsi="Times New Roman" w:eastAsia="宋体" w:cs="Times New Roman"/>
                <w:color w:val="auto"/>
              </w:rPr>
            </w:pPr>
            <w:r>
              <w:rPr>
                <w:rFonts w:ascii="Times New Roman" w:hAnsi="Times New Roman" w:eastAsia="宋体" w:cs="Times New Roman"/>
                <w:color w:val="auto"/>
              </w:rPr>
              <w:t>2.1</w:t>
            </w:r>
          </w:p>
        </w:tc>
        <w:tc>
          <w:tcPr>
            <w:tcW w:w="435" w:type="dxa"/>
            <w:tcMar>
              <w:top w:w="0" w:type="dxa"/>
              <w:left w:w="0" w:type="dxa"/>
              <w:bottom w:w="0" w:type="dxa"/>
              <w:right w:w="0" w:type="dxa"/>
            </w:tcMar>
            <w:vAlign w:val="center"/>
          </w:tcPr>
          <w:p w14:paraId="2B546377">
            <w:pPr>
              <w:pStyle w:val="182"/>
              <w:bidi w:val="0"/>
              <w:rPr>
                <w:rFonts w:ascii="Times New Roman" w:hAnsi="Times New Roman" w:eastAsia="宋体" w:cs="Times New Roman"/>
                <w:color w:val="auto"/>
              </w:rPr>
            </w:pPr>
            <w:r>
              <w:rPr>
                <w:rFonts w:ascii="Times New Roman" w:hAnsi="Times New Roman" w:eastAsia="宋体" w:cs="Times New Roman"/>
                <w:color w:val="auto"/>
              </w:rPr>
              <w:t>12.1</w:t>
            </w:r>
          </w:p>
        </w:tc>
        <w:tc>
          <w:tcPr>
            <w:tcW w:w="480" w:type="dxa"/>
            <w:tcMar>
              <w:top w:w="0" w:type="dxa"/>
              <w:left w:w="0" w:type="dxa"/>
              <w:bottom w:w="0" w:type="dxa"/>
              <w:right w:w="0" w:type="dxa"/>
            </w:tcMar>
            <w:vAlign w:val="center"/>
          </w:tcPr>
          <w:p w14:paraId="1FDC0179">
            <w:pPr>
              <w:pStyle w:val="182"/>
              <w:bidi w:val="0"/>
              <w:rPr>
                <w:rFonts w:ascii="Times New Roman" w:hAnsi="Times New Roman" w:eastAsia="宋体" w:cs="Times New Roman"/>
                <w:color w:val="auto"/>
              </w:rPr>
            </w:pPr>
            <w:r>
              <w:rPr>
                <w:rFonts w:ascii="Times New Roman" w:hAnsi="Times New Roman" w:eastAsia="宋体" w:cs="Times New Roman"/>
                <w:color w:val="auto"/>
              </w:rPr>
              <w:t>18.6</w:t>
            </w:r>
          </w:p>
        </w:tc>
        <w:tc>
          <w:tcPr>
            <w:tcW w:w="435" w:type="dxa"/>
            <w:tcMar>
              <w:top w:w="0" w:type="dxa"/>
              <w:left w:w="0" w:type="dxa"/>
              <w:bottom w:w="0" w:type="dxa"/>
              <w:right w:w="0" w:type="dxa"/>
            </w:tcMar>
            <w:vAlign w:val="center"/>
          </w:tcPr>
          <w:p w14:paraId="24C3EC89">
            <w:pPr>
              <w:pStyle w:val="182"/>
              <w:bidi w:val="0"/>
              <w:rPr>
                <w:rFonts w:ascii="Times New Roman" w:hAnsi="Times New Roman" w:eastAsia="宋体" w:cs="Times New Roman"/>
                <w:color w:val="auto"/>
              </w:rPr>
            </w:pPr>
            <w:r>
              <w:rPr>
                <w:rFonts w:ascii="Times New Roman" w:hAnsi="Times New Roman" w:eastAsia="宋体" w:cs="Times New Roman"/>
                <w:color w:val="auto"/>
              </w:rPr>
              <w:t>11.6</w:t>
            </w:r>
          </w:p>
        </w:tc>
        <w:tc>
          <w:tcPr>
            <w:tcW w:w="441" w:type="dxa"/>
            <w:tcMar>
              <w:top w:w="0" w:type="dxa"/>
              <w:left w:w="0" w:type="dxa"/>
              <w:bottom w:w="0" w:type="dxa"/>
              <w:right w:w="0" w:type="dxa"/>
            </w:tcMar>
            <w:vAlign w:val="center"/>
          </w:tcPr>
          <w:p w14:paraId="7514F83B">
            <w:pPr>
              <w:pStyle w:val="182"/>
              <w:bidi w:val="0"/>
              <w:rPr>
                <w:rFonts w:ascii="Times New Roman" w:hAnsi="Times New Roman" w:eastAsia="宋体" w:cs="Times New Roman"/>
                <w:color w:val="auto"/>
              </w:rPr>
            </w:pPr>
            <w:r>
              <w:rPr>
                <w:rFonts w:ascii="Times New Roman" w:hAnsi="Times New Roman" w:eastAsia="宋体" w:cs="Times New Roman"/>
                <w:color w:val="auto"/>
              </w:rPr>
              <w:t>3.2</w:t>
            </w:r>
          </w:p>
        </w:tc>
        <w:tc>
          <w:tcPr>
            <w:tcW w:w="313" w:type="dxa"/>
            <w:tcMar>
              <w:top w:w="0" w:type="dxa"/>
              <w:left w:w="0" w:type="dxa"/>
              <w:bottom w:w="0" w:type="dxa"/>
              <w:right w:w="0" w:type="dxa"/>
            </w:tcMar>
            <w:vAlign w:val="center"/>
          </w:tcPr>
          <w:p w14:paraId="04416653">
            <w:pPr>
              <w:pStyle w:val="182"/>
              <w:bidi w:val="0"/>
              <w:rPr>
                <w:rFonts w:ascii="Times New Roman" w:hAnsi="Times New Roman" w:eastAsia="宋体" w:cs="Times New Roman"/>
                <w:color w:val="auto"/>
              </w:rPr>
            </w:pPr>
            <w:r>
              <w:rPr>
                <w:rFonts w:ascii="Times New Roman" w:hAnsi="Times New Roman" w:eastAsia="宋体" w:cs="Times New Roman"/>
                <w:color w:val="auto"/>
              </w:rPr>
              <w:t>1.6</w:t>
            </w:r>
          </w:p>
        </w:tc>
        <w:tc>
          <w:tcPr>
            <w:tcW w:w="428" w:type="dxa"/>
            <w:tcMar>
              <w:top w:w="0" w:type="dxa"/>
              <w:left w:w="0" w:type="dxa"/>
              <w:bottom w:w="0" w:type="dxa"/>
              <w:right w:w="0" w:type="dxa"/>
            </w:tcMar>
            <w:vAlign w:val="center"/>
          </w:tcPr>
          <w:p w14:paraId="107C9229">
            <w:pPr>
              <w:pStyle w:val="182"/>
              <w:bidi w:val="0"/>
              <w:rPr>
                <w:rFonts w:ascii="Times New Roman" w:hAnsi="Times New Roman" w:eastAsia="宋体" w:cs="Times New Roman"/>
                <w:color w:val="auto"/>
              </w:rPr>
            </w:pPr>
            <w:r>
              <w:rPr>
                <w:rFonts w:ascii="Times New Roman" w:hAnsi="Times New Roman" w:eastAsia="宋体" w:cs="Times New Roman"/>
                <w:color w:val="auto"/>
              </w:rPr>
              <w:t>1.4</w:t>
            </w:r>
          </w:p>
        </w:tc>
        <w:tc>
          <w:tcPr>
            <w:tcW w:w="425" w:type="dxa"/>
            <w:tcMar>
              <w:top w:w="0" w:type="dxa"/>
              <w:left w:w="0" w:type="dxa"/>
              <w:bottom w:w="0" w:type="dxa"/>
              <w:right w:w="0" w:type="dxa"/>
            </w:tcMar>
            <w:vAlign w:val="center"/>
          </w:tcPr>
          <w:p w14:paraId="3899AB09">
            <w:pPr>
              <w:pStyle w:val="182"/>
              <w:bidi w:val="0"/>
              <w:rPr>
                <w:rFonts w:ascii="Times New Roman" w:hAnsi="Times New Roman" w:eastAsia="宋体" w:cs="Times New Roman"/>
                <w:color w:val="auto"/>
              </w:rPr>
            </w:pPr>
            <w:r>
              <w:rPr>
                <w:rFonts w:ascii="Times New Roman" w:hAnsi="Times New Roman" w:eastAsia="宋体" w:cs="Times New Roman"/>
                <w:color w:val="auto"/>
              </w:rPr>
              <w:t>4.2</w:t>
            </w:r>
          </w:p>
        </w:tc>
        <w:tc>
          <w:tcPr>
            <w:tcW w:w="508" w:type="dxa"/>
            <w:tcMar>
              <w:top w:w="0" w:type="dxa"/>
              <w:left w:w="0" w:type="dxa"/>
              <w:bottom w:w="0" w:type="dxa"/>
              <w:right w:w="0" w:type="dxa"/>
            </w:tcMar>
            <w:vAlign w:val="center"/>
          </w:tcPr>
          <w:p w14:paraId="517A689F">
            <w:pPr>
              <w:pStyle w:val="182"/>
              <w:bidi w:val="0"/>
              <w:rPr>
                <w:rFonts w:ascii="Times New Roman" w:hAnsi="Times New Roman" w:eastAsia="宋体" w:cs="Times New Roman"/>
                <w:color w:val="auto"/>
              </w:rPr>
            </w:pPr>
            <w:r>
              <w:rPr>
                <w:rFonts w:ascii="Times New Roman" w:hAnsi="Times New Roman" w:eastAsia="宋体" w:cs="Times New Roman"/>
                <w:color w:val="auto"/>
              </w:rPr>
              <w:t>7.2</w:t>
            </w:r>
          </w:p>
        </w:tc>
        <w:tc>
          <w:tcPr>
            <w:tcW w:w="425" w:type="dxa"/>
            <w:tcMar>
              <w:top w:w="0" w:type="dxa"/>
              <w:left w:w="0" w:type="dxa"/>
              <w:bottom w:w="0" w:type="dxa"/>
              <w:right w:w="0" w:type="dxa"/>
            </w:tcMar>
            <w:vAlign w:val="center"/>
          </w:tcPr>
          <w:p w14:paraId="3554D38B">
            <w:pPr>
              <w:pStyle w:val="182"/>
              <w:bidi w:val="0"/>
              <w:rPr>
                <w:rFonts w:ascii="Times New Roman" w:hAnsi="Times New Roman" w:eastAsia="宋体" w:cs="Times New Roman"/>
                <w:color w:val="auto"/>
              </w:rPr>
            </w:pPr>
            <w:r>
              <w:rPr>
                <w:rFonts w:ascii="Times New Roman" w:hAnsi="Times New Roman" w:eastAsia="宋体" w:cs="Times New Roman"/>
                <w:color w:val="auto"/>
              </w:rPr>
              <w:t>8.2</w:t>
            </w:r>
          </w:p>
        </w:tc>
        <w:tc>
          <w:tcPr>
            <w:tcW w:w="603" w:type="dxa"/>
            <w:tcMar>
              <w:top w:w="0" w:type="dxa"/>
              <w:left w:w="0" w:type="dxa"/>
              <w:bottom w:w="0" w:type="dxa"/>
              <w:right w:w="0" w:type="dxa"/>
            </w:tcMar>
            <w:vAlign w:val="center"/>
          </w:tcPr>
          <w:p w14:paraId="59C0229F">
            <w:pPr>
              <w:pStyle w:val="182"/>
              <w:bidi w:val="0"/>
              <w:rPr>
                <w:rFonts w:ascii="Times New Roman" w:hAnsi="Times New Roman" w:eastAsia="宋体" w:cs="Times New Roman"/>
                <w:color w:val="auto"/>
              </w:rPr>
            </w:pPr>
            <w:r>
              <w:rPr>
                <w:rFonts w:ascii="Times New Roman" w:hAnsi="Times New Roman" w:eastAsia="宋体" w:cs="Times New Roman"/>
                <w:color w:val="auto"/>
              </w:rPr>
              <w:t>7.7</w:t>
            </w:r>
          </w:p>
        </w:tc>
        <w:tc>
          <w:tcPr>
            <w:tcW w:w="345" w:type="dxa"/>
            <w:tcMar>
              <w:top w:w="0" w:type="dxa"/>
              <w:left w:w="0" w:type="dxa"/>
              <w:bottom w:w="0" w:type="dxa"/>
              <w:right w:w="0" w:type="dxa"/>
            </w:tcMar>
            <w:vAlign w:val="center"/>
          </w:tcPr>
          <w:p w14:paraId="13F2AB48">
            <w:pPr>
              <w:pStyle w:val="182"/>
              <w:bidi w:val="0"/>
              <w:rPr>
                <w:rFonts w:ascii="Times New Roman" w:hAnsi="Times New Roman" w:eastAsia="宋体" w:cs="Times New Roman"/>
                <w:color w:val="auto"/>
              </w:rPr>
            </w:pPr>
            <w:r>
              <w:rPr>
                <w:rFonts w:ascii="Times New Roman" w:hAnsi="Times New Roman" w:eastAsia="宋体" w:cs="Times New Roman"/>
                <w:color w:val="auto"/>
              </w:rPr>
              <w:t>5.7</w:t>
            </w:r>
          </w:p>
        </w:tc>
        <w:tc>
          <w:tcPr>
            <w:tcW w:w="645" w:type="dxa"/>
            <w:tcMar>
              <w:top w:w="0" w:type="dxa"/>
              <w:left w:w="0" w:type="dxa"/>
              <w:bottom w:w="0" w:type="dxa"/>
              <w:right w:w="0" w:type="dxa"/>
            </w:tcMar>
            <w:vAlign w:val="center"/>
          </w:tcPr>
          <w:p w14:paraId="53B79AF3">
            <w:pPr>
              <w:pStyle w:val="182"/>
              <w:bidi w:val="0"/>
              <w:rPr>
                <w:rFonts w:ascii="Times New Roman" w:hAnsi="Times New Roman" w:eastAsia="宋体" w:cs="Times New Roman"/>
                <w:color w:val="auto"/>
              </w:rPr>
            </w:pPr>
            <w:r>
              <w:rPr>
                <w:rFonts w:ascii="Times New Roman" w:hAnsi="Times New Roman" w:eastAsia="宋体" w:cs="Times New Roman"/>
                <w:color w:val="auto"/>
              </w:rPr>
              <w:t>3.2</w:t>
            </w:r>
          </w:p>
        </w:tc>
        <w:tc>
          <w:tcPr>
            <w:tcW w:w="445" w:type="dxa"/>
            <w:tcMar>
              <w:top w:w="0" w:type="dxa"/>
              <w:left w:w="0" w:type="dxa"/>
              <w:bottom w:w="0" w:type="dxa"/>
              <w:right w:w="0" w:type="dxa"/>
            </w:tcMar>
            <w:vAlign w:val="center"/>
          </w:tcPr>
          <w:p w14:paraId="59616241">
            <w:pPr>
              <w:pStyle w:val="182"/>
              <w:bidi w:val="0"/>
              <w:rPr>
                <w:rFonts w:ascii="Times New Roman" w:hAnsi="Times New Roman" w:eastAsia="宋体" w:cs="Times New Roman"/>
                <w:color w:val="auto"/>
              </w:rPr>
            </w:pPr>
            <w:r>
              <w:rPr>
                <w:rFonts w:ascii="Times New Roman" w:hAnsi="Times New Roman" w:eastAsia="宋体" w:cs="Times New Roman"/>
                <w:color w:val="auto"/>
              </w:rPr>
              <w:t>1.7</w:t>
            </w:r>
          </w:p>
        </w:tc>
        <w:tc>
          <w:tcPr>
            <w:tcW w:w="591" w:type="dxa"/>
            <w:tcMar>
              <w:top w:w="0" w:type="dxa"/>
              <w:left w:w="0" w:type="dxa"/>
              <w:bottom w:w="0" w:type="dxa"/>
              <w:right w:w="0" w:type="dxa"/>
            </w:tcMar>
            <w:vAlign w:val="center"/>
          </w:tcPr>
          <w:p w14:paraId="67F32B7C">
            <w:pPr>
              <w:pStyle w:val="182"/>
              <w:bidi w:val="0"/>
              <w:rPr>
                <w:rFonts w:ascii="Times New Roman" w:hAnsi="Times New Roman" w:eastAsia="宋体" w:cs="Times New Roman"/>
                <w:color w:val="auto"/>
              </w:rPr>
            </w:pPr>
            <w:r>
              <w:rPr>
                <w:rFonts w:ascii="Times New Roman" w:hAnsi="Times New Roman" w:eastAsia="宋体" w:cs="Times New Roman"/>
                <w:color w:val="auto"/>
              </w:rPr>
              <w:t>1.1</w:t>
            </w:r>
          </w:p>
        </w:tc>
        <w:tc>
          <w:tcPr>
            <w:tcW w:w="492" w:type="dxa"/>
            <w:tcMar>
              <w:top w:w="0" w:type="dxa"/>
              <w:left w:w="0" w:type="dxa"/>
              <w:bottom w:w="0" w:type="dxa"/>
              <w:right w:w="0" w:type="dxa"/>
            </w:tcMar>
            <w:vAlign w:val="center"/>
          </w:tcPr>
          <w:p w14:paraId="40FF6B46">
            <w:pPr>
              <w:pStyle w:val="182"/>
              <w:bidi w:val="0"/>
              <w:rPr>
                <w:rFonts w:ascii="Times New Roman" w:hAnsi="Times New Roman" w:eastAsia="宋体" w:cs="Times New Roman"/>
                <w:color w:val="auto"/>
              </w:rPr>
            </w:pPr>
            <w:r>
              <w:rPr>
                <w:rFonts w:ascii="Times New Roman" w:hAnsi="Times New Roman" w:eastAsia="宋体" w:cs="Times New Roman"/>
                <w:color w:val="auto"/>
              </w:rPr>
              <w:t>9.0</w:t>
            </w:r>
          </w:p>
        </w:tc>
      </w:tr>
    </w:tbl>
    <w:p w14:paraId="3EE448BF">
      <w:pPr>
        <w:ind w:left="0" w:leftChars="0" w:firstLine="0" w:firstLineChars="0"/>
        <w:jc w:val="both"/>
        <w:rPr>
          <w:b/>
          <w:color w:val="auto"/>
          <w:sz w:val="24"/>
          <w:szCs w:val="20"/>
        </w:rPr>
      </w:pPr>
      <w:r>
        <w:drawing>
          <wp:inline distT="0" distB="0" distL="114300" distR="114300">
            <wp:extent cx="5245735" cy="4944110"/>
            <wp:effectExtent l="0" t="0" r="12065" b="8890"/>
            <wp:docPr id="6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6"/>
                    <pic:cNvPicPr>
                      <a:picLocks noChangeAspect="1"/>
                    </pic:cNvPicPr>
                  </pic:nvPicPr>
                  <pic:blipFill>
                    <a:blip r:embed="rId73"/>
                    <a:stretch>
                      <a:fillRect/>
                    </a:stretch>
                  </pic:blipFill>
                  <pic:spPr>
                    <a:xfrm>
                      <a:off x="0" y="0"/>
                      <a:ext cx="5245735" cy="4944110"/>
                    </a:xfrm>
                    <a:prstGeom prst="rect">
                      <a:avLst/>
                    </a:prstGeom>
                    <a:noFill/>
                    <a:ln>
                      <a:noFill/>
                    </a:ln>
                  </pic:spPr>
                </pic:pic>
              </a:graphicData>
            </a:graphic>
          </wp:inline>
        </w:drawing>
      </w:r>
      <w:r>
        <w:rPr>
          <w:b/>
          <w:color w:val="auto"/>
          <w:sz w:val="24"/>
          <w:szCs w:val="20"/>
        </w:rPr>
        <w:t xml:space="preserve">  </w:t>
      </w:r>
    </w:p>
    <w:p w14:paraId="063B5FB7">
      <w:pPr>
        <w:ind w:left="0" w:leftChars="0" w:firstLine="0" w:firstLineChars="0"/>
        <w:jc w:val="both"/>
        <w:rPr>
          <w:b/>
          <w:color w:val="auto"/>
          <w:sz w:val="24"/>
          <w:szCs w:val="20"/>
        </w:rPr>
      </w:pPr>
      <w:r>
        <w:drawing>
          <wp:inline distT="0" distB="0" distL="114300" distR="114300">
            <wp:extent cx="5217160" cy="2459355"/>
            <wp:effectExtent l="0" t="0" r="2540" b="17145"/>
            <wp:docPr id="6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7"/>
                    <pic:cNvPicPr>
                      <a:picLocks noChangeAspect="1"/>
                    </pic:cNvPicPr>
                  </pic:nvPicPr>
                  <pic:blipFill>
                    <a:blip r:embed="rId74"/>
                    <a:srcRect r="3351"/>
                    <a:stretch>
                      <a:fillRect/>
                    </a:stretch>
                  </pic:blipFill>
                  <pic:spPr>
                    <a:xfrm>
                      <a:off x="0" y="0"/>
                      <a:ext cx="5217160" cy="2459355"/>
                    </a:xfrm>
                    <a:prstGeom prst="rect">
                      <a:avLst/>
                    </a:prstGeom>
                    <a:noFill/>
                    <a:ln>
                      <a:noFill/>
                    </a:ln>
                  </pic:spPr>
                </pic:pic>
              </a:graphicData>
            </a:graphic>
          </wp:inline>
        </w:drawing>
      </w:r>
      <w:r>
        <w:drawing>
          <wp:inline distT="0" distB="0" distL="114300" distR="114300">
            <wp:extent cx="5367020" cy="4836160"/>
            <wp:effectExtent l="0" t="0" r="0" b="0"/>
            <wp:docPr id="6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8"/>
                    <pic:cNvPicPr>
                      <a:picLocks noChangeAspect="1"/>
                    </pic:cNvPicPr>
                  </pic:nvPicPr>
                  <pic:blipFill>
                    <a:blip r:embed="rId75"/>
                    <a:srcRect t="32730"/>
                    <a:stretch>
                      <a:fillRect/>
                    </a:stretch>
                  </pic:blipFill>
                  <pic:spPr>
                    <a:xfrm>
                      <a:off x="0" y="0"/>
                      <a:ext cx="5367020" cy="4836160"/>
                    </a:xfrm>
                    <a:prstGeom prst="rect">
                      <a:avLst/>
                    </a:prstGeom>
                    <a:noFill/>
                    <a:ln>
                      <a:noFill/>
                    </a:ln>
                  </pic:spPr>
                </pic:pic>
              </a:graphicData>
            </a:graphic>
          </wp:inline>
        </w:drawing>
      </w:r>
      <w:r>
        <w:drawing>
          <wp:inline distT="0" distB="0" distL="114300" distR="114300">
            <wp:extent cx="5397500" cy="2687320"/>
            <wp:effectExtent l="0" t="0" r="12700" b="17780"/>
            <wp:docPr id="7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9"/>
                    <pic:cNvPicPr>
                      <a:picLocks noChangeAspect="1"/>
                    </pic:cNvPicPr>
                  </pic:nvPicPr>
                  <pic:blipFill>
                    <a:blip r:embed="rId76"/>
                    <a:stretch>
                      <a:fillRect/>
                    </a:stretch>
                  </pic:blipFill>
                  <pic:spPr>
                    <a:xfrm>
                      <a:off x="0" y="0"/>
                      <a:ext cx="5397500" cy="2687320"/>
                    </a:xfrm>
                    <a:prstGeom prst="rect">
                      <a:avLst/>
                    </a:prstGeom>
                    <a:noFill/>
                    <a:ln>
                      <a:noFill/>
                    </a:ln>
                  </pic:spPr>
                </pic:pic>
              </a:graphicData>
            </a:graphic>
          </wp:inline>
        </w:drawing>
      </w:r>
    </w:p>
    <w:p w14:paraId="559E46A4">
      <w:pPr>
        <w:pStyle w:val="181"/>
        <w:bidi w:val="0"/>
        <w:ind w:left="0" w:leftChars="0" w:firstLine="0" w:firstLineChars="0"/>
        <w:jc w:val="center"/>
        <w:rPr>
          <w:color w:val="auto"/>
        </w:rPr>
      </w:pPr>
      <w:r>
        <w:rPr>
          <w:rFonts w:hint="eastAsia"/>
          <w:color w:val="auto"/>
        </w:rPr>
        <w:t>图</w:t>
      </w:r>
      <w:r>
        <w:rPr>
          <w:rFonts w:hint="eastAsia"/>
          <w:color w:val="auto"/>
          <w:lang w:val="en-US" w:eastAsia="zh-CN"/>
        </w:rPr>
        <w:t>6.1</w:t>
      </w:r>
      <w:r>
        <w:rPr>
          <w:color w:val="auto"/>
        </w:rPr>
        <w:t>-</w:t>
      </w:r>
      <w:r>
        <w:rPr>
          <w:rFonts w:hint="eastAsia"/>
          <w:color w:val="auto"/>
          <w:lang w:val="en-US" w:eastAsia="zh-CN"/>
        </w:rPr>
        <w:t>2</w:t>
      </w:r>
      <w:r>
        <w:rPr>
          <w:color w:val="auto"/>
        </w:rPr>
        <w:t xml:space="preserve">  </w:t>
      </w:r>
      <w:r>
        <w:rPr>
          <w:rFonts w:hint="eastAsia"/>
          <w:color w:val="auto"/>
        </w:rPr>
        <w:t>新乡月风向玫瑰图</w:t>
      </w:r>
    </w:p>
    <w:p w14:paraId="17718695">
      <w:pPr>
        <w:bidi w:val="0"/>
        <w:rPr>
          <w:color w:val="auto"/>
        </w:rPr>
      </w:pPr>
      <w:r>
        <w:rPr>
          <w:rFonts w:hint="eastAsia"/>
          <w:color w:val="auto"/>
        </w:rPr>
        <w:t>3、</w:t>
      </w:r>
      <w:r>
        <w:rPr>
          <w:color w:val="auto"/>
        </w:rPr>
        <w:t>风速年际变化特征与周期分析</w:t>
      </w:r>
    </w:p>
    <w:p w14:paraId="027967D0">
      <w:pPr>
        <w:bidi w:val="0"/>
        <w:rPr>
          <w:color w:val="auto"/>
        </w:rPr>
      </w:pPr>
      <w:r>
        <w:rPr>
          <w:spacing w:val="-10"/>
        </w:rPr>
        <w:t>根据近</w:t>
      </w:r>
      <w:r>
        <w:rPr>
          <w:rFonts w:ascii="Times New Roman" w:hAnsi="Times New Roman" w:eastAsia="Times New Roman" w:cs="Times New Roman"/>
          <w:spacing w:val="-10"/>
        </w:rPr>
        <w:t>20</w:t>
      </w:r>
      <w:r>
        <w:rPr>
          <w:spacing w:val="-10"/>
        </w:rPr>
        <w:t>年资料分析，新乡气象站风速无明显变化趋势，</w:t>
      </w:r>
      <w:r>
        <w:rPr>
          <w:rFonts w:ascii="Times New Roman" w:hAnsi="Times New Roman" w:eastAsia="Times New Roman" w:cs="Times New Roman"/>
          <w:spacing w:val="-10"/>
        </w:rPr>
        <w:t>20</w:t>
      </w:r>
      <w:r>
        <w:rPr>
          <w:rFonts w:ascii="Times New Roman" w:hAnsi="Times New Roman" w:eastAsia="Times New Roman" w:cs="Times New Roman"/>
          <w:spacing w:val="-11"/>
        </w:rPr>
        <w:t>21</w:t>
      </w:r>
      <w:r>
        <w:rPr>
          <w:spacing w:val="-11"/>
        </w:rPr>
        <w:t>年年平均风</w:t>
      </w:r>
      <w:r>
        <w:rPr>
          <w:spacing w:val="-6"/>
        </w:rPr>
        <w:t>速最大（</w:t>
      </w:r>
      <w:r>
        <w:rPr>
          <w:rFonts w:ascii="Times New Roman" w:hAnsi="Times New Roman" w:eastAsia="Times New Roman" w:cs="Times New Roman"/>
          <w:spacing w:val="-6"/>
        </w:rPr>
        <w:t>2.5</w:t>
      </w:r>
      <w:r>
        <w:rPr>
          <w:spacing w:val="-6"/>
        </w:rPr>
        <w:t>米</w:t>
      </w:r>
      <w:r>
        <w:rPr>
          <w:rFonts w:ascii="Times New Roman" w:hAnsi="Times New Roman" w:eastAsia="Times New Roman" w:cs="Times New Roman"/>
          <w:spacing w:val="-6"/>
        </w:rPr>
        <w:t>/</w:t>
      </w:r>
      <w:r>
        <w:rPr>
          <w:spacing w:val="-6"/>
        </w:rPr>
        <w:t>秒</w:t>
      </w:r>
      <w:r>
        <w:rPr>
          <w:spacing w:val="-13"/>
        </w:rPr>
        <w:t>），</w:t>
      </w:r>
      <w:r>
        <w:rPr>
          <w:rFonts w:ascii="Times New Roman" w:hAnsi="Times New Roman" w:eastAsia="Times New Roman" w:cs="Times New Roman"/>
          <w:spacing w:val="-6"/>
        </w:rPr>
        <w:t>2012</w:t>
      </w:r>
      <w:r>
        <w:rPr>
          <w:spacing w:val="-6"/>
        </w:rPr>
        <w:t>年年平均风</w:t>
      </w:r>
      <w:r>
        <w:rPr>
          <w:spacing w:val="-7"/>
        </w:rPr>
        <w:t>速最小（</w:t>
      </w:r>
      <w:r>
        <w:rPr>
          <w:rFonts w:ascii="Times New Roman" w:hAnsi="Times New Roman" w:eastAsia="Times New Roman" w:cs="Times New Roman"/>
          <w:spacing w:val="-7"/>
        </w:rPr>
        <w:t>1.8</w:t>
      </w:r>
      <w:r>
        <w:rPr>
          <w:spacing w:val="-7"/>
        </w:rPr>
        <w:t>米</w:t>
      </w:r>
      <w:r>
        <w:rPr>
          <w:rFonts w:ascii="Times New Roman" w:hAnsi="Times New Roman" w:eastAsia="Times New Roman" w:cs="Times New Roman"/>
          <w:spacing w:val="-7"/>
        </w:rPr>
        <w:t>/</w:t>
      </w:r>
      <w:r>
        <w:rPr>
          <w:spacing w:val="-7"/>
        </w:rPr>
        <w:t>秒</w:t>
      </w:r>
      <w:r>
        <w:rPr>
          <w:spacing w:val="-13"/>
        </w:rPr>
        <w:t>），</w:t>
      </w:r>
      <w:r>
        <w:rPr>
          <w:spacing w:val="-7"/>
        </w:rPr>
        <w:t>周期为</w:t>
      </w:r>
      <w:r>
        <w:rPr>
          <w:rFonts w:ascii="Times New Roman" w:hAnsi="Times New Roman" w:eastAsia="Times New Roman" w:cs="Times New Roman"/>
          <w:spacing w:val="-7"/>
        </w:rPr>
        <w:t>5</w:t>
      </w:r>
      <w:r>
        <w:rPr>
          <w:spacing w:val="-7"/>
        </w:rPr>
        <w:t>年。</w:t>
      </w:r>
      <w:r>
        <w:rPr>
          <w:rFonts w:hint="eastAsia"/>
          <w:color w:val="auto"/>
        </w:rPr>
        <w:t>新乡近</w:t>
      </w:r>
      <w:r>
        <w:rPr>
          <w:color w:val="auto"/>
        </w:rPr>
        <w:t>20</w:t>
      </w:r>
      <w:r>
        <w:rPr>
          <w:rFonts w:hint="eastAsia"/>
          <w:color w:val="auto"/>
        </w:rPr>
        <w:t>年风速变化见下图：</w:t>
      </w:r>
    </w:p>
    <w:p w14:paraId="7B5540F2">
      <w:pPr>
        <w:pStyle w:val="95"/>
        <w:spacing w:line="240" w:lineRule="auto"/>
        <w:ind w:firstLine="0"/>
        <w:jc w:val="center"/>
        <w:rPr>
          <w:color w:val="auto"/>
          <w:sz w:val="24"/>
          <w:lang w:val="en-US"/>
        </w:rPr>
      </w:pPr>
      <w:r>
        <w:rPr>
          <w:position w:val="-86"/>
        </w:rPr>
        <w:drawing>
          <wp:inline distT="0" distB="0" distL="0" distR="0">
            <wp:extent cx="3498850" cy="2743200"/>
            <wp:effectExtent l="0" t="0" r="6350" b="0"/>
            <wp:docPr id="830" name="IM 830"/>
            <wp:cNvGraphicFramePr/>
            <a:graphic xmlns:a="http://schemas.openxmlformats.org/drawingml/2006/main">
              <a:graphicData uri="http://schemas.openxmlformats.org/drawingml/2006/picture">
                <pic:pic xmlns:pic="http://schemas.openxmlformats.org/drawingml/2006/picture">
                  <pic:nvPicPr>
                    <pic:cNvPr id="830" name="IM 830"/>
                    <pic:cNvPicPr/>
                  </pic:nvPicPr>
                  <pic:blipFill>
                    <a:blip r:embed="rId77"/>
                    <a:stretch>
                      <a:fillRect/>
                    </a:stretch>
                  </pic:blipFill>
                  <pic:spPr>
                    <a:xfrm>
                      <a:off x="0" y="0"/>
                      <a:ext cx="3499484" cy="2743200"/>
                    </a:xfrm>
                    <a:prstGeom prst="rect">
                      <a:avLst/>
                    </a:prstGeom>
                  </pic:spPr>
                </pic:pic>
              </a:graphicData>
            </a:graphic>
          </wp:inline>
        </w:drawing>
      </w:r>
    </w:p>
    <w:p w14:paraId="4A151A27">
      <w:pPr>
        <w:pStyle w:val="181"/>
        <w:bidi w:val="0"/>
        <w:ind w:left="0" w:leftChars="0" w:firstLine="0" w:firstLineChars="0"/>
        <w:jc w:val="center"/>
        <w:rPr>
          <w:color w:val="auto"/>
        </w:rPr>
      </w:pPr>
      <w:r>
        <w:rPr>
          <w:rFonts w:hint="eastAsia"/>
          <w:color w:val="auto"/>
        </w:rPr>
        <w:t>图</w:t>
      </w:r>
      <w:r>
        <w:rPr>
          <w:rFonts w:hint="eastAsia"/>
          <w:color w:val="auto"/>
          <w:lang w:val="en-US" w:eastAsia="zh-CN"/>
        </w:rPr>
        <w:t>6.1</w:t>
      </w:r>
      <w:r>
        <w:rPr>
          <w:color w:val="auto"/>
        </w:rPr>
        <w:t>-</w:t>
      </w:r>
      <w:r>
        <w:rPr>
          <w:rFonts w:hint="eastAsia"/>
          <w:color w:val="auto"/>
          <w:lang w:val="en-US" w:eastAsia="zh-CN"/>
        </w:rPr>
        <w:t xml:space="preserve">3  </w:t>
      </w:r>
      <w:r>
        <w:rPr>
          <w:rFonts w:hint="eastAsia"/>
          <w:color w:val="auto"/>
        </w:rPr>
        <w:t>新乡年平均风速（单位：</w:t>
      </w:r>
      <w:r>
        <w:rPr>
          <w:color w:val="auto"/>
        </w:rPr>
        <w:t>m/s</w:t>
      </w:r>
      <w:r>
        <w:rPr>
          <w:rFonts w:hint="eastAsia"/>
          <w:color w:val="auto"/>
        </w:rPr>
        <w:t>，虚线为趋势线）</w:t>
      </w:r>
    </w:p>
    <w:p w14:paraId="5EF2D243">
      <w:pPr>
        <w:bidi w:val="0"/>
        <w:rPr>
          <w:rFonts w:hint="eastAsia" w:ascii="Times New Roman" w:hAnsi="Times New Roman" w:eastAsia="宋体" w:cs="Times New Roman"/>
          <w:color w:val="auto"/>
          <w:lang w:val="en-US" w:eastAsia="zh-CN"/>
        </w:rPr>
      </w:pPr>
      <w:r>
        <w:rPr>
          <w:rFonts w:hint="eastAsia" w:cs="Times New Roman"/>
          <w:color w:val="auto"/>
          <w:lang w:val="en-US" w:eastAsia="zh-CN"/>
        </w:rPr>
        <w:t>4</w:t>
      </w:r>
      <w:r>
        <w:rPr>
          <w:rFonts w:hint="eastAsia" w:ascii="Times New Roman" w:hAnsi="Times New Roman" w:eastAsia="宋体" w:cs="Times New Roman"/>
          <w:color w:val="auto"/>
        </w:rPr>
        <w:t>、</w:t>
      </w:r>
      <w:r>
        <w:rPr>
          <w:rFonts w:hint="eastAsia" w:cs="Times New Roman"/>
          <w:color w:val="auto"/>
          <w:lang w:val="en-US" w:eastAsia="zh-CN"/>
        </w:rPr>
        <w:t>温度</w:t>
      </w:r>
    </w:p>
    <w:p w14:paraId="2417D66F">
      <w:pPr>
        <w:bidi w:val="0"/>
        <w:rPr>
          <w:rFonts w:hint="eastAsia" w:ascii="Times New Roman" w:hAnsi="Times New Roman" w:eastAsia="宋体" w:cs="Times New Roman"/>
          <w:color w:val="auto"/>
        </w:rPr>
      </w:pPr>
      <w:r>
        <w:rPr>
          <w:rFonts w:hint="eastAsia" w:cs="Times New Roman"/>
          <w:color w:val="auto"/>
          <w:lang w:eastAsia="zh-CN"/>
        </w:rPr>
        <w:t>（</w:t>
      </w:r>
      <w:r>
        <w:rPr>
          <w:rFonts w:hint="eastAsia" w:cs="Times New Roman"/>
          <w:color w:val="auto"/>
          <w:lang w:val="en-US" w:eastAsia="zh-CN"/>
        </w:rPr>
        <w:t>1</w:t>
      </w:r>
      <w:r>
        <w:rPr>
          <w:rFonts w:hint="eastAsia" w:cs="Times New Roman"/>
          <w:color w:val="auto"/>
          <w:lang w:eastAsia="zh-CN"/>
        </w:rPr>
        <w:t>）</w:t>
      </w:r>
      <w:r>
        <w:rPr>
          <w:rFonts w:hint="eastAsia" w:ascii="Times New Roman" w:hAnsi="Times New Roman" w:eastAsia="宋体" w:cs="Times New Roman"/>
          <w:color w:val="auto"/>
        </w:rPr>
        <w:t>月平均气温与极端气温</w:t>
      </w:r>
    </w:p>
    <w:p w14:paraId="546AD9A0">
      <w:pPr>
        <w:bidi w:val="0"/>
        <w:rPr>
          <w:rFonts w:hint="eastAsia" w:ascii="Times New Roman" w:hAnsi="Times New Roman" w:eastAsia="宋体" w:cs="Times New Roman"/>
          <w:color w:val="auto"/>
        </w:rPr>
      </w:pPr>
      <w:r>
        <w:rPr>
          <w:rFonts w:hint="eastAsia" w:ascii="Times New Roman" w:hAnsi="Times New Roman" w:eastAsia="宋体" w:cs="Times New Roman"/>
          <w:color w:val="auto"/>
        </w:rPr>
        <w:t>新乡气象站07月气温最高（27.8℃),01月气温最低（0.4℃)</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rPr>
        <w:t>近20年极端最高气温出现在2009-06-25（40.9℃),近20年极端最低气温出现在2021-01-07（-16.2℃)。</w:t>
      </w:r>
    </w:p>
    <w:p w14:paraId="2EB0CF31">
      <w:pPr>
        <w:adjustRightInd w:val="0"/>
        <w:snapToGrid w:val="0"/>
        <w:ind w:left="0" w:leftChars="0" w:firstLine="0" w:firstLineChars="0"/>
        <w:jc w:val="center"/>
        <w:rPr>
          <w:color w:val="auto"/>
          <w:kern w:val="0"/>
          <w:sz w:val="24"/>
        </w:rPr>
      </w:pPr>
      <w:r>
        <w:rPr>
          <w:color w:val="auto"/>
          <w:kern w:val="0"/>
          <w:sz w:val="24"/>
          <w:szCs w:val="20"/>
        </w:rPr>
        <w:drawing>
          <wp:inline distT="0" distB="0" distL="114300" distR="114300">
            <wp:extent cx="4299585" cy="2950210"/>
            <wp:effectExtent l="0" t="0" r="13335" b="6350"/>
            <wp:docPr id="78" name="图片 28" descr="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8" descr="IM 11"/>
                    <pic:cNvPicPr>
                      <a:picLocks noChangeAspect="1"/>
                    </pic:cNvPicPr>
                  </pic:nvPicPr>
                  <pic:blipFill>
                    <a:blip r:embed="rId78"/>
                    <a:srcRect t="5281"/>
                    <a:stretch>
                      <a:fillRect/>
                    </a:stretch>
                  </pic:blipFill>
                  <pic:spPr>
                    <a:xfrm>
                      <a:off x="0" y="0"/>
                      <a:ext cx="4299585" cy="2950210"/>
                    </a:xfrm>
                    <a:prstGeom prst="rect">
                      <a:avLst/>
                    </a:prstGeom>
                    <a:noFill/>
                    <a:ln>
                      <a:noFill/>
                    </a:ln>
                  </pic:spPr>
                </pic:pic>
              </a:graphicData>
            </a:graphic>
          </wp:inline>
        </w:drawing>
      </w:r>
    </w:p>
    <w:p w14:paraId="2F6C498A">
      <w:pPr>
        <w:pStyle w:val="181"/>
        <w:bidi w:val="0"/>
        <w:ind w:left="0" w:leftChars="0" w:firstLine="0" w:firstLineChars="0"/>
        <w:jc w:val="center"/>
        <w:rPr>
          <w:color w:val="auto"/>
        </w:rPr>
      </w:pPr>
      <w:r>
        <w:rPr>
          <w:rFonts w:hint="eastAsia"/>
          <w:color w:val="auto"/>
        </w:rPr>
        <w:t>图</w:t>
      </w:r>
      <w:r>
        <w:rPr>
          <w:rFonts w:hint="eastAsia"/>
          <w:color w:val="auto"/>
          <w:lang w:val="en-US" w:eastAsia="zh-CN"/>
        </w:rPr>
        <w:t>6.1</w:t>
      </w:r>
      <w:r>
        <w:rPr>
          <w:color w:val="auto"/>
        </w:rPr>
        <w:t>-</w:t>
      </w:r>
      <w:r>
        <w:rPr>
          <w:rFonts w:hint="eastAsia"/>
          <w:color w:val="auto"/>
          <w:lang w:val="en-US" w:eastAsia="zh-CN"/>
        </w:rPr>
        <w:t xml:space="preserve">4  </w:t>
      </w:r>
      <w:r>
        <w:rPr>
          <w:rFonts w:hint="eastAsia"/>
          <w:color w:val="auto"/>
        </w:rPr>
        <w:t>新乡月平均气温（单位：℃）</w:t>
      </w:r>
    </w:p>
    <w:p w14:paraId="49417D01">
      <w:pPr>
        <w:bidi w:val="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温度年际变化趋势与周期分析</w:t>
      </w:r>
    </w:p>
    <w:p w14:paraId="156145B1">
      <w:pPr>
        <w:bidi w:val="0"/>
        <w:rPr>
          <w:color w:val="auto"/>
        </w:rPr>
      </w:pPr>
      <w:r>
        <w:rPr>
          <w:rFonts w:hint="eastAsia"/>
          <w:color w:val="auto"/>
        </w:rPr>
        <w:t>新乡气象站近</w:t>
      </w:r>
      <w:r>
        <w:rPr>
          <w:color w:val="auto"/>
        </w:rPr>
        <w:t>20</w:t>
      </w:r>
      <w:r>
        <w:rPr>
          <w:rFonts w:hint="eastAsia"/>
          <w:color w:val="auto"/>
        </w:rPr>
        <w:t>年气温呈现上升趋势，每年上升</w:t>
      </w:r>
      <w:r>
        <w:rPr>
          <w:color w:val="auto"/>
        </w:rPr>
        <w:t>0.08%</w:t>
      </w:r>
      <w:r>
        <w:rPr>
          <w:rFonts w:hint="eastAsia"/>
          <w:color w:val="auto"/>
        </w:rPr>
        <w:t>，</w:t>
      </w:r>
      <w:r>
        <w:rPr>
          <w:color w:val="auto"/>
        </w:rPr>
        <w:t>2019</w:t>
      </w:r>
      <w:r>
        <w:rPr>
          <w:rFonts w:hint="eastAsia"/>
          <w:color w:val="auto"/>
          <w:lang w:eastAsia="zh-CN"/>
        </w:rPr>
        <w:t>年</w:t>
      </w:r>
      <w:r>
        <w:rPr>
          <w:rFonts w:hint="eastAsia"/>
          <w:color w:val="auto"/>
        </w:rPr>
        <w:t>平均气温最高（</w:t>
      </w:r>
      <w:r>
        <w:rPr>
          <w:color w:val="auto"/>
        </w:rPr>
        <w:t>16.2</w:t>
      </w:r>
      <w:r>
        <w:rPr>
          <w:rFonts w:hint="eastAsia"/>
          <w:color w:val="auto"/>
        </w:rPr>
        <w:t>℃），</w:t>
      </w:r>
      <w:r>
        <w:rPr>
          <w:color w:val="auto"/>
        </w:rPr>
        <w:t>2003</w:t>
      </w:r>
      <w:r>
        <w:rPr>
          <w:rFonts w:hint="eastAsia"/>
          <w:color w:val="auto"/>
        </w:rPr>
        <w:t>年年平均气温最低（</w:t>
      </w:r>
      <w:r>
        <w:rPr>
          <w:color w:val="auto"/>
        </w:rPr>
        <w:t>14.2</w:t>
      </w:r>
      <w:r>
        <w:rPr>
          <w:rFonts w:hint="eastAsia"/>
          <w:color w:val="auto"/>
        </w:rPr>
        <w:t>℃），无明显周期。新乡近</w:t>
      </w:r>
      <w:r>
        <w:rPr>
          <w:color w:val="auto"/>
        </w:rPr>
        <w:t>20</w:t>
      </w:r>
      <w:r>
        <w:rPr>
          <w:rFonts w:hint="eastAsia"/>
          <w:color w:val="auto"/>
        </w:rPr>
        <w:t>年年平均气温变化见下图：</w:t>
      </w:r>
    </w:p>
    <w:p w14:paraId="1BEAC0D9">
      <w:pPr>
        <w:jc w:val="center"/>
        <w:rPr>
          <w:color w:val="auto"/>
          <w:kern w:val="0"/>
          <w:sz w:val="24"/>
          <w:szCs w:val="20"/>
        </w:rPr>
      </w:pPr>
      <w:r>
        <w:rPr>
          <w:color w:val="auto"/>
          <w:kern w:val="0"/>
          <w:sz w:val="24"/>
          <w:szCs w:val="20"/>
        </w:rPr>
        <w:drawing>
          <wp:inline distT="0" distB="0" distL="114300" distR="114300">
            <wp:extent cx="4400550" cy="2838450"/>
            <wp:effectExtent l="0" t="0" r="3810" b="11430"/>
            <wp:docPr id="80" name="图片 29" descr="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9" descr="IM 12"/>
                    <pic:cNvPicPr>
                      <a:picLocks noChangeAspect="1"/>
                    </pic:cNvPicPr>
                  </pic:nvPicPr>
                  <pic:blipFill>
                    <a:blip r:embed="rId79"/>
                    <a:srcRect t="4507"/>
                    <a:stretch>
                      <a:fillRect/>
                    </a:stretch>
                  </pic:blipFill>
                  <pic:spPr>
                    <a:xfrm>
                      <a:off x="0" y="0"/>
                      <a:ext cx="4400550" cy="2838450"/>
                    </a:xfrm>
                    <a:prstGeom prst="rect">
                      <a:avLst/>
                    </a:prstGeom>
                    <a:noFill/>
                    <a:ln>
                      <a:noFill/>
                    </a:ln>
                  </pic:spPr>
                </pic:pic>
              </a:graphicData>
            </a:graphic>
          </wp:inline>
        </w:drawing>
      </w:r>
    </w:p>
    <w:p w14:paraId="11345C12">
      <w:pPr>
        <w:pStyle w:val="181"/>
        <w:bidi w:val="0"/>
        <w:ind w:left="0" w:leftChars="0" w:firstLine="0" w:firstLineChars="0"/>
        <w:jc w:val="center"/>
        <w:rPr>
          <w:rFonts w:hint="eastAsia"/>
          <w:b/>
          <w:color w:val="auto"/>
          <w:sz w:val="24"/>
          <w:szCs w:val="20"/>
        </w:rPr>
      </w:pPr>
      <w:r>
        <w:rPr>
          <w:rFonts w:hint="eastAsia"/>
          <w:b/>
          <w:color w:val="auto"/>
          <w:sz w:val="24"/>
          <w:szCs w:val="20"/>
        </w:rPr>
        <w:t>图</w:t>
      </w:r>
      <w:r>
        <w:rPr>
          <w:rFonts w:hint="eastAsia"/>
          <w:b/>
          <w:color w:val="auto"/>
          <w:sz w:val="24"/>
          <w:szCs w:val="20"/>
          <w:lang w:val="en-US" w:eastAsia="zh-CN"/>
        </w:rPr>
        <w:t>6.1</w:t>
      </w:r>
      <w:r>
        <w:rPr>
          <w:b/>
          <w:color w:val="auto"/>
          <w:sz w:val="24"/>
          <w:szCs w:val="20"/>
        </w:rPr>
        <w:t>-</w:t>
      </w:r>
      <w:r>
        <w:rPr>
          <w:rFonts w:hint="eastAsia"/>
          <w:b/>
          <w:color w:val="auto"/>
          <w:sz w:val="24"/>
          <w:szCs w:val="20"/>
          <w:lang w:val="en-US" w:eastAsia="zh-CN"/>
        </w:rPr>
        <w:t xml:space="preserve">5  </w:t>
      </w:r>
      <w:r>
        <w:rPr>
          <w:rFonts w:hint="eastAsia"/>
          <w:b/>
          <w:color w:val="auto"/>
          <w:sz w:val="24"/>
          <w:szCs w:val="20"/>
        </w:rPr>
        <w:t>新乡（</w:t>
      </w:r>
      <w:r>
        <w:rPr>
          <w:b/>
          <w:color w:val="auto"/>
          <w:sz w:val="24"/>
          <w:szCs w:val="20"/>
        </w:rPr>
        <w:t>200</w:t>
      </w:r>
      <w:r>
        <w:rPr>
          <w:rFonts w:hint="eastAsia"/>
          <w:b/>
          <w:color w:val="auto"/>
          <w:sz w:val="24"/>
          <w:szCs w:val="20"/>
          <w:lang w:val="en-US" w:eastAsia="zh-CN"/>
        </w:rPr>
        <w:t>2</w:t>
      </w:r>
      <w:r>
        <w:rPr>
          <w:b/>
          <w:color w:val="auto"/>
          <w:sz w:val="24"/>
          <w:szCs w:val="20"/>
        </w:rPr>
        <w:t>-20</w:t>
      </w:r>
      <w:r>
        <w:rPr>
          <w:rFonts w:hint="eastAsia"/>
          <w:b/>
          <w:color w:val="auto"/>
          <w:sz w:val="24"/>
          <w:szCs w:val="20"/>
          <w:lang w:val="en-US" w:eastAsia="zh-CN"/>
        </w:rPr>
        <w:t>21</w:t>
      </w:r>
      <w:r>
        <w:rPr>
          <w:rFonts w:hint="eastAsia"/>
          <w:b/>
          <w:color w:val="auto"/>
          <w:sz w:val="24"/>
          <w:szCs w:val="20"/>
        </w:rPr>
        <w:t>）年平均气温（单位：</w:t>
      </w:r>
      <w:r>
        <w:rPr>
          <w:rFonts w:hint="eastAsia" w:ascii="宋体" w:hAnsi="宋体" w:cs="宋体"/>
          <w:b/>
          <w:color w:val="auto"/>
          <w:sz w:val="24"/>
          <w:szCs w:val="20"/>
        </w:rPr>
        <w:t>℃</w:t>
      </w:r>
      <w:r>
        <w:rPr>
          <w:rFonts w:hint="eastAsia"/>
          <w:b/>
          <w:color w:val="auto"/>
          <w:sz w:val="24"/>
          <w:szCs w:val="20"/>
        </w:rPr>
        <w:t>，虚线为趋势线）</w:t>
      </w:r>
    </w:p>
    <w:p w14:paraId="02575D9D">
      <w:pPr>
        <w:pStyle w:val="13"/>
        <w:keepNext w:val="0"/>
        <w:keepLines w:val="0"/>
        <w:pageBreakBefore w:val="0"/>
        <w:widowControl w:val="0"/>
        <w:kinsoku w:val="0"/>
        <w:wordWrap/>
        <w:overflowPunct w:val="0"/>
        <w:topLinePunct w:val="0"/>
        <w:autoSpaceDE/>
        <w:autoSpaceDN/>
        <w:bidi w:val="0"/>
        <w:adjustRightInd w:val="0"/>
        <w:snapToGrid w:val="0"/>
        <w:spacing w:after="0"/>
        <w:textAlignment w:val="auto"/>
      </w:pPr>
      <w:r>
        <w:rPr>
          <w:rFonts w:hint="eastAsia"/>
          <w:lang w:val="en-US" w:eastAsia="zh-CN"/>
        </w:rPr>
        <w:t>5、</w:t>
      </w:r>
      <w:r>
        <w:rPr>
          <w:rFonts w:hint="eastAsia"/>
        </w:rPr>
        <w:t>气象站降水分析</w:t>
      </w:r>
    </w:p>
    <w:p w14:paraId="7DC45A97">
      <w:pPr>
        <w:keepNext w:val="0"/>
        <w:keepLines w:val="0"/>
        <w:pageBreakBefore w:val="0"/>
        <w:widowControl w:val="0"/>
        <w:wordWrap/>
        <w:topLinePunct w:val="0"/>
        <w:autoSpaceDE/>
        <w:autoSpaceDN/>
        <w:bidi w:val="0"/>
        <w:adjustRightInd w:val="0"/>
        <w:snapToGrid w:val="0"/>
        <w:textAlignment w:val="auto"/>
        <w:rPr>
          <w:color w:val="auto"/>
        </w:rPr>
      </w:pPr>
      <w:r>
        <w:rPr>
          <w:color w:val="auto"/>
        </w:rPr>
        <w:t>A</w:t>
      </w:r>
      <w:r>
        <w:rPr>
          <w:rFonts w:hint="eastAsia"/>
          <w:color w:val="auto"/>
          <w:lang w:eastAsia="zh-CN"/>
        </w:rPr>
        <w:t>.</w:t>
      </w:r>
      <w:r>
        <w:rPr>
          <w:rFonts w:hint="eastAsia"/>
          <w:color w:val="auto"/>
        </w:rPr>
        <w:t>月平均降水与极端降水</w:t>
      </w:r>
    </w:p>
    <w:p w14:paraId="33923FAD">
      <w:pPr>
        <w:keepNext w:val="0"/>
        <w:keepLines w:val="0"/>
        <w:pageBreakBefore w:val="0"/>
        <w:widowControl w:val="0"/>
        <w:wordWrap/>
        <w:topLinePunct w:val="0"/>
        <w:autoSpaceDE/>
        <w:autoSpaceDN/>
        <w:bidi w:val="0"/>
        <w:adjustRightInd w:val="0"/>
        <w:snapToGrid w:val="0"/>
        <w:textAlignment w:val="auto"/>
        <w:rPr>
          <w:color w:val="auto"/>
          <w:kern w:val="0"/>
        </w:rPr>
      </w:pPr>
      <w:r>
        <w:rPr>
          <w:rFonts w:hint="eastAsia"/>
          <w:color w:val="auto"/>
        </w:rPr>
        <w:t>新乡气象站07月降水量最大（180.5毫米），12月降水量最小（5.2毫米），近20年极端最大日降水出现在2016-07-09（414.0毫米）。</w:t>
      </w:r>
    </w:p>
    <w:p w14:paraId="622A1A94">
      <w:pPr>
        <w:jc w:val="center"/>
        <w:rPr>
          <w:b/>
          <w:color w:val="auto"/>
          <w:sz w:val="24"/>
          <w:szCs w:val="20"/>
        </w:rPr>
      </w:pPr>
      <w:r>
        <w:rPr>
          <w:b/>
          <w:color w:val="auto"/>
          <w:sz w:val="24"/>
          <w:szCs w:val="20"/>
        </w:rPr>
        <w:drawing>
          <wp:inline distT="0" distB="0" distL="114300" distR="114300">
            <wp:extent cx="4210050" cy="2647950"/>
            <wp:effectExtent l="0" t="0" r="11430" b="3810"/>
            <wp:docPr id="81" name="图片 30" descr="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0" descr="IM 13"/>
                    <pic:cNvPicPr>
                      <a:picLocks noChangeAspect="1"/>
                    </pic:cNvPicPr>
                  </pic:nvPicPr>
                  <pic:blipFill>
                    <a:blip r:embed="rId80"/>
                    <a:srcRect t="4016"/>
                    <a:stretch>
                      <a:fillRect/>
                    </a:stretch>
                  </pic:blipFill>
                  <pic:spPr>
                    <a:xfrm>
                      <a:off x="0" y="0"/>
                      <a:ext cx="4210050" cy="2647950"/>
                    </a:xfrm>
                    <a:prstGeom prst="rect">
                      <a:avLst/>
                    </a:prstGeom>
                    <a:noFill/>
                    <a:ln>
                      <a:noFill/>
                    </a:ln>
                  </pic:spPr>
                </pic:pic>
              </a:graphicData>
            </a:graphic>
          </wp:inline>
        </w:drawing>
      </w:r>
    </w:p>
    <w:p w14:paraId="071BC652">
      <w:pPr>
        <w:pStyle w:val="181"/>
        <w:bidi w:val="0"/>
        <w:ind w:left="0" w:leftChars="0" w:firstLine="0" w:firstLineChars="0"/>
        <w:jc w:val="center"/>
        <w:rPr>
          <w:color w:val="auto"/>
        </w:rPr>
      </w:pPr>
      <w:r>
        <w:rPr>
          <w:rFonts w:hint="eastAsia"/>
          <w:color w:val="auto"/>
        </w:rPr>
        <w:t>图</w:t>
      </w:r>
      <w:r>
        <w:rPr>
          <w:rFonts w:hint="eastAsia"/>
          <w:color w:val="auto"/>
          <w:lang w:val="en-US" w:eastAsia="zh-CN"/>
        </w:rPr>
        <w:t>6.1</w:t>
      </w:r>
      <w:r>
        <w:rPr>
          <w:rFonts w:hint="eastAsia"/>
          <w:color w:val="auto"/>
        </w:rPr>
        <w:t>-</w:t>
      </w:r>
      <w:r>
        <w:rPr>
          <w:rFonts w:hint="eastAsia"/>
          <w:color w:val="auto"/>
          <w:lang w:val="en-US" w:eastAsia="zh-CN"/>
        </w:rPr>
        <w:t>6</w:t>
      </w:r>
      <w:r>
        <w:rPr>
          <w:rFonts w:hint="eastAsia"/>
          <w:color w:val="auto"/>
        </w:rPr>
        <w:t xml:space="preserve">  新乡月平均降水量（单位：毫米）</w:t>
      </w:r>
    </w:p>
    <w:p w14:paraId="2145E5C6">
      <w:pPr>
        <w:bidi w:val="0"/>
        <w:rPr>
          <w:color w:val="auto"/>
        </w:rPr>
      </w:pPr>
      <w:r>
        <w:rPr>
          <w:rFonts w:hint="eastAsia"/>
          <w:color w:val="auto"/>
          <w:lang w:val="en-US" w:eastAsia="zh-CN"/>
        </w:rPr>
        <w:t>B.</w:t>
      </w:r>
      <w:r>
        <w:rPr>
          <w:rFonts w:hint="eastAsia"/>
          <w:color w:val="auto"/>
        </w:rPr>
        <w:t>降水年际变化趋势与周期分析</w:t>
      </w:r>
    </w:p>
    <w:p w14:paraId="215AB3AD">
      <w:pPr>
        <w:bidi w:val="0"/>
        <w:rPr>
          <w:rFonts w:hint="eastAsia" w:ascii="Times New Roman" w:hAnsi="Times New Roman" w:eastAsia="宋体" w:cs="Times New Roman"/>
          <w:color w:val="auto"/>
        </w:rPr>
      </w:pPr>
      <w:r>
        <w:rPr>
          <w:rFonts w:hint="eastAsia" w:ascii="Times New Roman" w:hAnsi="Times New Roman" w:eastAsia="宋体" w:cs="Times New Roman"/>
          <w:color w:val="auto"/>
        </w:rPr>
        <w:t>新乡气象站近20年年降水总量无明显变化趋势，2021年年总降水量最大（1217.0毫米），2002年年总降水量最小（327.7毫米），周期为2-3年。</w:t>
      </w:r>
    </w:p>
    <w:p w14:paraId="67605AEA">
      <w:pPr>
        <w:jc w:val="center"/>
        <w:rPr>
          <w:b/>
          <w:color w:val="auto"/>
          <w:sz w:val="24"/>
          <w:szCs w:val="20"/>
        </w:rPr>
      </w:pPr>
      <w:r>
        <w:rPr>
          <w:rFonts w:cs="宋体"/>
          <w:position w:val="-119"/>
          <w:sz w:val="20"/>
          <w:szCs w:val="20"/>
        </w:rPr>
        <w:drawing>
          <wp:inline distT="0" distB="0" distL="114300" distR="114300">
            <wp:extent cx="3493135" cy="2624455"/>
            <wp:effectExtent l="0" t="0" r="12065" b="4445"/>
            <wp:docPr id="7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0"/>
                    <pic:cNvPicPr>
                      <a:picLocks noChangeAspect="1"/>
                    </pic:cNvPicPr>
                  </pic:nvPicPr>
                  <pic:blipFill>
                    <a:blip r:embed="rId81"/>
                    <a:stretch>
                      <a:fillRect/>
                    </a:stretch>
                  </pic:blipFill>
                  <pic:spPr>
                    <a:xfrm>
                      <a:off x="0" y="0"/>
                      <a:ext cx="3493135" cy="2624455"/>
                    </a:xfrm>
                    <a:prstGeom prst="rect">
                      <a:avLst/>
                    </a:prstGeom>
                    <a:noFill/>
                    <a:ln>
                      <a:noFill/>
                    </a:ln>
                  </pic:spPr>
                </pic:pic>
              </a:graphicData>
            </a:graphic>
          </wp:inline>
        </w:drawing>
      </w:r>
    </w:p>
    <w:p w14:paraId="0AA28769">
      <w:pPr>
        <w:pStyle w:val="181"/>
        <w:bidi w:val="0"/>
        <w:rPr>
          <w:rFonts w:hint="eastAsia"/>
          <w:color w:val="auto"/>
        </w:rPr>
      </w:pPr>
      <w:r>
        <w:rPr>
          <w:rFonts w:hint="eastAsia"/>
          <w:color w:val="auto"/>
        </w:rPr>
        <w:t>图</w:t>
      </w:r>
      <w:r>
        <w:rPr>
          <w:rFonts w:hint="eastAsia"/>
          <w:color w:val="auto"/>
          <w:lang w:val="en-US" w:eastAsia="zh-CN"/>
        </w:rPr>
        <w:t>6.1</w:t>
      </w:r>
      <w:r>
        <w:rPr>
          <w:color w:val="auto"/>
        </w:rPr>
        <w:t>-</w:t>
      </w:r>
      <w:r>
        <w:rPr>
          <w:rFonts w:hint="eastAsia"/>
          <w:color w:val="auto"/>
          <w:lang w:val="en-US" w:eastAsia="zh-CN"/>
        </w:rPr>
        <w:t>7</w:t>
      </w:r>
      <w:r>
        <w:rPr>
          <w:rFonts w:hint="eastAsia"/>
          <w:color w:val="auto"/>
        </w:rPr>
        <w:t xml:space="preserve">  新乡（</w:t>
      </w:r>
      <w:r>
        <w:rPr>
          <w:color w:val="auto"/>
        </w:rPr>
        <w:t>200</w:t>
      </w:r>
      <w:r>
        <w:rPr>
          <w:rFonts w:hint="eastAsia"/>
          <w:color w:val="auto"/>
          <w:lang w:val="en-US" w:eastAsia="zh-CN"/>
        </w:rPr>
        <w:t>2</w:t>
      </w:r>
      <w:r>
        <w:rPr>
          <w:color w:val="auto"/>
        </w:rPr>
        <w:t>-20</w:t>
      </w:r>
      <w:r>
        <w:rPr>
          <w:rFonts w:hint="eastAsia"/>
          <w:color w:val="auto"/>
          <w:lang w:val="en-US" w:eastAsia="zh-CN"/>
        </w:rPr>
        <w:t>21</w:t>
      </w:r>
      <w:r>
        <w:rPr>
          <w:rFonts w:hint="eastAsia"/>
          <w:color w:val="auto"/>
        </w:rPr>
        <w:t>）年总降水量（单位</w:t>
      </w:r>
      <w:r>
        <w:rPr>
          <w:rFonts w:hint="eastAsia"/>
          <w:color w:val="auto"/>
          <w:lang w:eastAsia="zh-CN"/>
        </w:rPr>
        <w:t>：</w:t>
      </w:r>
      <w:r>
        <w:rPr>
          <w:color w:val="auto"/>
        </w:rPr>
        <w:t>mm</w:t>
      </w:r>
      <w:r>
        <w:rPr>
          <w:rFonts w:hint="eastAsia"/>
          <w:color w:val="auto"/>
          <w:lang w:eastAsia="zh-CN"/>
        </w:rPr>
        <w:t>，</w:t>
      </w:r>
      <w:r>
        <w:rPr>
          <w:rFonts w:hint="eastAsia"/>
          <w:color w:val="auto"/>
        </w:rPr>
        <w:t>虚线为趋势线）</w:t>
      </w:r>
    </w:p>
    <w:p w14:paraId="6D8F370B">
      <w:pPr>
        <w:bidi w:val="0"/>
        <w:rPr>
          <w:rFonts w:hint="default" w:eastAsia="宋体"/>
          <w:color w:val="auto"/>
          <w:lang w:val="en-US" w:eastAsia="zh-CN"/>
        </w:rPr>
      </w:pPr>
      <w:r>
        <w:rPr>
          <w:rFonts w:hint="eastAsia"/>
          <w:color w:val="auto"/>
          <w:lang w:val="en-US" w:eastAsia="zh-CN"/>
        </w:rPr>
        <w:t>6、湿度</w:t>
      </w:r>
    </w:p>
    <w:p w14:paraId="6AD2AE90">
      <w:pPr>
        <w:bidi w:val="0"/>
        <w:rPr>
          <w:color w:val="auto"/>
        </w:rPr>
      </w:pPr>
      <w:r>
        <w:rPr>
          <w:rFonts w:hint="eastAsia"/>
          <w:color w:val="auto"/>
        </w:rPr>
        <w:t>A</w:t>
      </w:r>
      <w:r>
        <w:rPr>
          <w:rFonts w:hint="eastAsia"/>
          <w:color w:val="auto"/>
          <w:lang w:eastAsia="zh-CN"/>
        </w:rPr>
        <w:t>.</w:t>
      </w:r>
      <w:r>
        <w:rPr>
          <w:rFonts w:hint="eastAsia"/>
          <w:color w:val="auto"/>
        </w:rPr>
        <w:t>月相对湿度分析</w:t>
      </w:r>
    </w:p>
    <w:p w14:paraId="2277EFE6">
      <w:pPr>
        <w:bidi w:val="0"/>
        <w:rPr>
          <w:color w:val="auto"/>
        </w:rPr>
      </w:pPr>
      <w:r>
        <w:rPr>
          <w:rFonts w:hint="eastAsia"/>
          <w:color w:val="auto"/>
        </w:rPr>
        <w:t>新乡气象站08月平均相对湿度最大（76.0%），03月平均相对湿度最小（51.8%）。</w:t>
      </w:r>
    </w:p>
    <w:p w14:paraId="0F512181">
      <w:pPr>
        <w:ind w:left="0" w:leftChars="0" w:firstLine="0" w:firstLineChars="0"/>
        <w:jc w:val="center"/>
        <w:rPr>
          <w:b/>
          <w:color w:val="auto"/>
          <w:sz w:val="24"/>
          <w:szCs w:val="20"/>
        </w:rPr>
      </w:pPr>
      <w:r>
        <w:rPr>
          <w:color w:val="auto"/>
          <w:sz w:val="24"/>
          <w:szCs w:val="20"/>
        </w:rPr>
        <w:drawing>
          <wp:inline distT="0" distB="0" distL="114300" distR="114300">
            <wp:extent cx="3752850" cy="2924175"/>
            <wp:effectExtent l="0" t="0" r="11430" b="1905"/>
            <wp:docPr id="7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2"/>
                    <pic:cNvPicPr>
                      <a:picLocks noChangeAspect="1"/>
                    </pic:cNvPicPr>
                  </pic:nvPicPr>
                  <pic:blipFill>
                    <a:blip r:embed="rId82"/>
                    <a:stretch>
                      <a:fillRect/>
                    </a:stretch>
                  </pic:blipFill>
                  <pic:spPr>
                    <a:xfrm>
                      <a:off x="0" y="0"/>
                      <a:ext cx="3752850" cy="2924175"/>
                    </a:xfrm>
                    <a:prstGeom prst="rect">
                      <a:avLst/>
                    </a:prstGeom>
                    <a:noFill/>
                    <a:ln>
                      <a:noFill/>
                    </a:ln>
                  </pic:spPr>
                </pic:pic>
              </a:graphicData>
            </a:graphic>
          </wp:inline>
        </w:drawing>
      </w:r>
    </w:p>
    <w:p w14:paraId="2808A209">
      <w:pPr>
        <w:pStyle w:val="181"/>
        <w:bidi w:val="0"/>
        <w:ind w:left="0" w:leftChars="0" w:firstLine="0" w:firstLineChars="0"/>
        <w:jc w:val="center"/>
        <w:rPr>
          <w:color w:val="auto"/>
        </w:rPr>
      </w:pPr>
      <w:r>
        <w:rPr>
          <w:rFonts w:hint="eastAsia"/>
          <w:color w:val="auto"/>
        </w:rPr>
        <w:t>图</w:t>
      </w:r>
      <w:r>
        <w:rPr>
          <w:rFonts w:hint="eastAsia"/>
          <w:color w:val="auto"/>
          <w:lang w:val="en-US" w:eastAsia="zh-CN"/>
        </w:rPr>
        <w:t>6.1</w:t>
      </w:r>
      <w:r>
        <w:rPr>
          <w:rFonts w:hint="eastAsia"/>
          <w:color w:val="auto"/>
        </w:rPr>
        <w:t>-</w:t>
      </w:r>
      <w:r>
        <w:rPr>
          <w:rFonts w:hint="eastAsia"/>
          <w:color w:val="auto"/>
          <w:lang w:val="en-US" w:eastAsia="zh-CN"/>
        </w:rPr>
        <w:t>8</w:t>
      </w:r>
      <w:r>
        <w:rPr>
          <w:rFonts w:hint="eastAsia"/>
          <w:color w:val="auto"/>
        </w:rPr>
        <w:t xml:space="preserve">  新乡月平均相对湿度（纵轴为百分比）</w:t>
      </w:r>
    </w:p>
    <w:p w14:paraId="7C2D71DD">
      <w:pPr>
        <w:bidi w:val="0"/>
        <w:rPr>
          <w:color w:val="auto"/>
        </w:rPr>
      </w:pPr>
      <w:r>
        <w:rPr>
          <w:rFonts w:hint="eastAsia"/>
          <w:color w:val="auto"/>
        </w:rPr>
        <w:t>B</w:t>
      </w:r>
      <w:r>
        <w:rPr>
          <w:rFonts w:hint="eastAsia"/>
          <w:color w:val="auto"/>
          <w:lang w:eastAsia="zh-CN"/>
        </w:rPr>
        <w:t>.</w:t>
      </w:r>
      <w:r>
        <w:rPr>
          <w:rFonts w:hint="eastAsia"/>
          <w:color w:val="auto"/>
        </w:rPr>
        <w:t>相对湿度年际变化趋势与周期分析</w:t>
      </w:r>
    </w:p>
    <w:p w14:paraId="7C7BAE70">
      <w:pPr>
        <w:bidi w:val="0"/>
        <w:rPr>
          <w:color w:val="auto"/>
        </w:rPr>
      </w:pPr>
      <w:r>
        <w:rPr>
          <w:color w:val="auto"/>
        </w:rPr>
        <w:t>新乡气象站近20年年平均相对湿度呈现下降趋势</w:t>
      </w:r>
      <w:r>
        <w:rPr>
          <w:rFonts w:hint="eastAsia"/>
          <w:color w:val="auto"/>
        </w:rPr>
        <w:t>，</w:t>
      </w:r>
      <w:r>
        <w:rPr>
          <w:color w:val="auto"/>
        </w:rPr>
        <w:t>每年下降0.4</w:t>
      </w:r>
      <w:r>
        <w:rPr>
          <w:rFonts w:hint="eastAsia"/>
          <w:color w:val="auto"/>
        </w:rPr>
        <w:t>8</w:t>
      </w:r>
      <w:r>
        <w:rPr>
          <w:color w:val="auto"/>
        </w:rPr>
        <w:t>%，2003年年平均相对湿度最大（72.0%），2019年年平均相对湿度最小（5</w:t>
      </w:r>
      <w:r>
        <w:rPr>
          <w:rFonts w:hint="eastAsia"/>
          <w:color w:val="auto"/>
        </w:rPr>
        <w:t>7</w:t>
      </w:r>
      <w:r>
        <w:rPr>
          <w:color w:val="auto"/>
        </w:rPr>
        <w:t>.7%），无明显周期。</w:t>
      </w:r>
      <w:r>
        <w:rPr>
          <w:rFonts w:hint="eastAsia"/>
          <w:color w:val="auto"/>
        </w:rPr>
        <w:t>新乡近20年</w:t>
      </w:r>
      <w:r>
        <w:rPr>
          <w:color w:val="auto"/>
        </w:rPr>
        <w:t>年平均相对湿度</w:t>
      </w:r>
      <w:r>
        <w:rPr>
          <w:rFonts w:hint="eastAsia"/>
          <w:color w:val="auto"/>
        </w:rPr>
        <w:t>变化见下图：</w:t>
      </w:r>
    </w:p>
    <w:p w14:paraId="632B37E9">
      <w:pPr>
        <w:jc w:val="center"/>
        <w:rPr>
          <w:b/>
          <w:color w:val="auto"/>
          <w:sz w:val="24"/>
          <w:szCs w:val="20"/>
        </w:rPr>
      </w:pPr>
      <w:r>
        <w:rPr>
          <w:color w:val="auto"/>
          <w:sz w:val="24"/>
          <w:szCs w:val="20"/>
        </w:rPr>
        <w:drawing>
          <wp:inline distT="0" distB="0" distL="114300" distR="114300">
            <wp:extent cx="3752850" cy="2838450"/>
            <wp:effectExtent l="0" t="0" r="11430" b="11430"/>
            <wp:docPr id="8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3"/>
                    <pic:cNvPicPr>
                      <a:picLocks noChangeAspect="1"/>
                    </pic:cNvPicPr>
                  </pic:nvPicPr>
                  <pic:blipFill>
                    <a:blip r:embed="rId83"/>
                    <a:srcRect t="3279"/>
                    <a:stretch>
                      <a:fillRect/>
                    </a:stretch>
                  </pic:blipFill>
                  <pic:spPr>
                    <a:xfrm>
                      <a:off x="0" y="0"/>
                      <a:ext cx="3752850" cy="2838450"/>
                    </a:xfrm>
                    <a:prstGeom prst="rect">
                      <a:avLst/>
                    </a:prstGeom>
                    <a:noFill/>
                    <a:ln>
                      <a:noFill/>
                    </a:ln>
                  </pic:spPr>
                </pic:pic>
              </a:graphicData>
            </a:graphic>
          </wp:inline>
        </w:drawing>
      </w:r>
    </w:p>
    <w:p w14:paraId="2C125E3D">
      <w:pPr>
        <w:pStyle w:val="181"/>
        <w:bidi w:val="0"/>
        <w:ind w:left="0" w:leftChars="0" w:firstLine="0" w:firstLineChars="0"/>
        <w:jc w:val="center"/>
        <w:rPr>
          <w:color w:val="auto"/>
        </w:rPr>
      </w:pPr>
      <w:r>
        <w:rPr>
          <w:color w:val="auto"/>
        </w:rPr>
        <w:t>图</w:t>
      </w:r>
      <w:r>
        <w:rPr>
          <w:rFonts w:hint="eastAsia"/>
          <w:color w:val="auto"/>
          <w:lang w:val="en-US" w:eastAsia="zh-CN"/>
        </w:rPr>
        <w:t>6.1</w:t>
      </w:r>
      <w:r>
        <w:rPr>
          <w:rFonts w:hint="eastAsia"/>
          <w:color w:val="auto"/>
        </w:rPr>
        <w:t>-</w:t>
      </w:r>
      <w:r>
        <w:rPr>
          <w:rFonts w:hint="eastAsia"/>
          <w:color w:val="auto"/>
          <w:lang w:val="en-US" w:eastAsia="zh-CN"/>
        </w:rPr>
        <w:t>9</w:t>
      </w:r>
      <w:r>
        <w:rPr>
          <w:color w:val="auto"/>
        </w:rPr>
        <w:t xml:space="preserve"> </w:t>
      </w:r>
      <w:r>
        <w:rPr>
          <w:rFonts w:hint="eastAsia"/>
          <w:color w:val="auto"/>
        </w:rPr>
        <w:t xml:space="preserve"> </w:t>
      </w:r>
      <w:r>
        <w:rPr>
          <w:color w:val="auto"/>
        </w:rPr>
        <w:t>新乡年平均相对湿度（纵轴为百分比，虚线为趋势线）</w:t>
      </w:r>
    </w:p>
    <w:p w14:paraId="4ECFA48F">
      <w:pPr>
        <w:pStyle w:val="5"/>
        <w:bidi w:val="0"/>
      </w:pPr>
      <w:r>
        <w:t>预测因子</w:t>
      </w:r>
      <w:r>
        <w:rPr>
          <w:rFonts w:hint="eastAsia"/>
          <w:lang w:val="en-US" w:eastAsia="zh-CN"/>
        </w:rPr>
        <w:t>及评价标准</w:t>
      </w:r>
    </w:p>
    <w:p w14:paraId="1025970B">
      <w:pPr>
        <w:bidi w:val="0"/>
        <w:rPr>
          <w:color w:val="auto"/>
        </w:rPr>
      </w:pPr>
      <w:r>
        <w:rPr>
          <w:rFonts w:hint="eastAsia"/>
          <w:color w:val="auto"/>
        </w:rPr>
        <w:t>根据工程分析结果，确定本次环境空气影响预测因子为：PM10、非甲烷总烃。</w:t>
      </w:r>
    </w:p>
    <w:p w14:paraId="532DFB27">
      <w:pPr>
        <w:bidi w:val="0"/>
        <w:rPr>
          <w:color w:val="auto"/>
        </w:rPr>
      </w:pPr>
      <w:r>
        <w:rPr>
          <w:rFonts w:hint="eastAsia"/>
          <w:color w:val="auto"/>
          <w:lang w:val="en-US" w:eastAsia="zh-CN"/>
        </w:rPr>
        <w:t>PM10每小时平均值按《环境空气质量标准》（GB3095-2012）中二级浓度限值中24小时平均的3倍值执行；非甲烷总烃1小时平均值执行《大气综合污染物排放标准详解》第四章标准值说明限值。</w:t>
      </w:r>
      <w:r>
        <w:rPr>
          <w:color w:val="auto"/>
        </w:rPr>
        <w:t>评价标准见</w:t>
      </w:r>
      <w:r>
        <w:rPr>
          <w:rFonts w:hint="eastAsia"/>
          <w:color w:val="auto"/>
          <w:lang w:val="en-US" w:eastAsia="zh-CN"/>
        </w:rPr>
        <w:t>下表</w:t>
      </w:r>
      <w:r>
        <w:rPr>
          <w:color w:val="auto"/>
        </w:rPr>
        <w:t>。</w:t>
      </w:r>
    </w:p>
    <w:p w14:paraId="1D161CDF">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 xml:space="preserve">表 </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6.1</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5</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环境空气质量评价标准      单位：mg/m</w:t>
      </w:r>
      <w:r>
        <w:rPr>
          <w:rFonts w:hint="eastAsia" w:ascii="Times New Roman" w:hAnsi="Times New Roman" w:eastAsia="宋体"/>
          <w:vertAlign w:val="superscript"/>
          <w:lang w:val="en-US" w:eastAsia="zh-CN"/>
        </w:rPr>
        <w:t>3</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6"/>
        <w:gridCol w:w="1811"/>
        <w:gridCol w:w="1811"/>
        <w:gridCol w:w="2665"/>
      </w:tblGrid>
      <w:tr w14:paraId="63F73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12" w:type="pct"/>
            <w:vAlign w:val="center"/>
          </w:tcPr>
          <w:p w14:paraId="22E12844">
            <w:pPr>
              <w:pStyle w:val="182"/>
              <w:bidi w:val="0"/>
              <w:rPr>
                <w:b/>
                <w:bCs/>
                <w:color w:val="auto"/>
              </w:rPr>
            </w:pPr>
            <w:r>
              <w:rPr>
                <w:b/>
                <w:bCs/>
                <w:color w:val="auto"/>
              </w:rPr>
              <w:t>评价因子</w:t>
            </w:r>
          </w:p>
        </w:tc>
        <w:tc>
          <w:tcPr>
            <w:tcW w:w="1062" w:type="pct"/>
            <w:vAlign w:val="center"/>
          </w:tcPr>
          <w:p w14:paraId="159D8A5F">
            <w:pPr>
              <w:pStyle w:val="182"/>
              <w:bidi w:val="0"/>
              <w:rPr>
                <w:b/>
                <w:bCs/>
                <w:color w:val="auto"/>
              </w:rPr>
            </w:pPr>
            <w:r>
              <w:t>平均时段</w:t>
            </w:r>
            <w:r>
              <w:rPr>
                <w:rFonts w:ascii="Times New Roman" w:hAnsi="Times New Roman" w:eastAsia="Times New Roman" w:cs="Times New Roman"/>
                <w:b/>
                <w:bCs/>
              </w:rPr>
              <w:t>/</w:t>
            </w:r>
            <w:r>
              <w:t>厂界</w:t>
            </w:r>
          </w:p>
        </w:tc>
        <w:tc>
          <w:tcPr>
            <w:tcW w:w="1062" w:type="pct"/>
            <w:vAlign w:val="center"/>
          </w:tcPr>
          <w:p w14:paraId="190862E4">
            <w:pPr>
              <w:pStyle w:val="182"/>
              <w:bidi w:val="0"/>
              <w:rPr>
                <w:b/>
                <w:bCs/>
                <w:color w:val="auto"/>
              </w:rPr>
            </w:pPr>
            <w:r>
              <w:rPr>
                <w:b/>
                <w:bCs/>
                <w:color w:val="auto"/>
              </w:rPr>
              <w:t>标准值</w:t>
            </w:r>
          </w:p>
        </w:tc>
        <w:tc>
          <w:tcPr>
            <w:tcW w:w="1563" w:type="pct"/>
            <w:vAlign w:val="center"/>
          </w:tcPr>
          <w:p w14:paraId="3B3AB8B1">
            <w:pPr>
              <w:pStyle w:val="182"/>
              <w:bidi w:val="0"/>
              <w:rPr>
                <w:b/>
                <w:bCs/>
                <w:color w:val="auto"/>
              </w:rPr>
            </w:pPr>
            <w:r>
              <w:rPr>
                <w:b/>
                <w:bCs/>
                <w:color w:val="auto"/>
              </w:rPr>
              <w:t>限值来源</w:t>
            </w:r>
          </w:p>
        </w:tc>
      </w:tr>
      <w:tr w14:paraId="0357A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12" w:type="pct"/>
            <w:vAlign w:val="center"/>
          </w:tcPr>
          <w:p w14:paraId="4B85ADA1">
            <w:pPr>
              <w:pStyle w:val="182"/>
              <w:bidi w:val="0"/>
              <w:rPr>
                <w:rFonts w:hint="eastAsia" w:eastAsia="宋体"/>
                <w:color w:val="auto"/>
                <w:lang w:eastAsia="zh-CN"/>
              </w:rPr>
            </w:pPr>
            <w:r>
              <w:rPr>
                <w:rFonts w:hint="eastAsia"/>
                <w:color w:val="auto"/>
              </w:rPr>
              <w:t>PM10</w:t>
            </w:r>
          </w:p>
        </w:tc>
        <w:tc>
          <w:tcPr>
            <w:tcW w:w="1062" w:type="pct"/>
            <w:vAlign w:val="center"/>
          </w:tcPr>
          <w:p w14:paraId="14529C0A">
            <w:pPr>
              <w:pStyle w:val="182"/>
              <w:bidi w:val="0"/>
              <w:rPr>
                <w:rFonts w:hint="eastAsia"/>
                <w:color w:val="auto"/>
                <w:lang w:val="en-US" w:eastAsia="zh-CN"/>
              </w:rPr>
            </w:pPr>
            <w:r>
              <w:rPr>
                <w:rFonts w:hint="eastAsia"/>
                <w:spacing w:val="-6"/>
                <w:lang w:val="en-US" w:eastAsia="zh-CN"/>
              </w:rPr>
              <w:t>1小时平均值（取</w:t>
            </w:r>
            <w:r>
              <w:rPr>
                <w:spacing w:val="-6"/>
              </w:rPr>
              <w:t>日均值</w:t>
            </w:r>
            <w:r>
              <w:rPr>
                <w:rFonts w:ascii="Times New Roman" w:hAnsi="Times New Roman" w:eastAsia="Times New Roman" w:cs="Times New Roman"/>
                <w:spacing w:val="-6"/>
              </w:rPr>
              <w:t>的</w:t>
            </w:r>
            <w:r>
              <w:rPr>
                <w:rFonts w:hint="eastAsia" w:ascii="Times New Roman" w:hAnsi="Times New Roman" w:eastAsia="Times New Roman" w:cs="Times New Roman"/>
                <w:spacing w:val="-6"/>
                <w:lang w:val="en-US" w:eastAsia="zh-CN"/>
              </w:rPr>
              <w:t>3</w:t>
            </w:r>
            <w:r>
              <w:rPr>
                <w:rFonts w:ascii="Times New Roman" w:hAnsi="Times New Roman" w:eastAsia="Times New Roman" w:cs="Times New Roman"/>
                <w:spacing w:val="-6"/>
              </w:rPr>
              <w:t>倍</w:t>
            </w:r>
            <w:r>
              <w:rPr>
                <w:spacing w:val="-6"/>
              </w:rPr>
              <w:t>值</w:t>
            </w:r>
            <w:r>
              <w:rPr>
                <w:rFonts w:hint="eastAsia"/>
                <w:spacing w:val="-6"/>
                <w:lang w:val="en-US" w:eastAsia="zh-CN"/>
              </w:rPr>
              <w:t>）</w:t>
            </w:r>
          </w:p>
        </w:tc>
        <w:tc>
          <w:tcPr>
            <w:tcW w:w="1062" w:type="pct"/>
            <w:vAlign w:val="center"/>
          </w:tcPr>
          <w:p w14:paraId="64F3BDF4">
            <w:pPr>
              <w:pStyle w:val="182"/>
              <w:bidi w:val="0"/>
              <w:rPr>
                <w:rFonts w:hint="default" w:eastAsia="宋体"/>
                <w:color w:val="auto"/>
                <w:lang w:val="en-US" w:eastAsia="zh-CN"/>
              </w:rPr>
            </w:pPr>
            <w:r>
              <w:rPr>
                <w:rFonts w:hint="eastAsia"/>
                <w:color w:val="auto"/>
                <w:lang w:val="en-US" w:eastAsia="zh-CN"/>
              </w:rPr>
              <w:t>0.45</w:t>
            </w:r>
          </w:p>
        </w:tc>
        <w:tc>
          <w:tcPr>
            <w:tcW w:w="1563" w:type="pct"/>
            <w:vAlign w:val="center"/>
          </w:tcPr>
          <w:p w14:paraId="3482CF2D">
            <w:pPr>
              <w:pStyle w:val="182"/>
              <w:bidi w:val="0"/>
              <w:rPr>
                <w:color w:val="auto"/>
              </w:rPr>
            </w:pPr>
            <w:r>
              <w:rPr>
                <w:color w:val="auto"/>
              </w:rPr>
              <w:t>《环境空气质量标准》（GB3095-2012）二级</w:t>
            </w:r>
          </w:p>
        </w:tc>
      </w:tr>
      <w:tr w14:paraId="4502C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12" w:type="pct"/>
            <w:vAlign w:val="center"/>
          </w:tcPr>
          <w:p w14:paraId="29AF6D98">
            <w:pPr>
              <w:pStyle w:val="182"/>
              <w:bidi w:val="0"/>
              <w:rPr>
                <w:rFonts w:hint="eastAsia" w:eastAsia="宋体"/>
                <w:color w:val="auto"/>
                <w:lang w:val="en-US" w:eastAsia="zh-CN"/>
              </w:rPr>
            </w:pPr>
            <w:r>
              <w:rPr>
                <w:rFonts w:hint="eastAsia"/>
                <w:color w:val="auto"/>
                <w:lang w:val="en-US" w:eastAsia="zh-CN"/>
              </w:rPr>
              <w:t>非甲烷总烃</w:t>
            </w:r>
          </w:p>
        </w:tc>
        <w:tc>
          <w:tcPr>
            <w:tcW w:w="1062" w:type="pct"/>
            <w:vAlign w:val="center"/>
          </w:tcPr>
          <w:p w14:paraId="0089A421">
            <w:pPr>
              <w:pStyle w:val="182"/>
              <w:bidi w:val="0"/>
              <w:rPr>
                <w:rFonts w:hint="eastAsia"/>
                <w:color w:val="auto"/>
                <w:lang w:val="en-US" w:eastAsia="zh-CN"/>
              </w:rPr>
            </w:pPr>
            <w:r>
              <w:rPr>
                <w:rFonts w:ascii="Times New Roman" w:hAnsi="Times New Roman" w:eastAsia="Times New Roman" w:cs="Times New Roman"/>
                <w:spacing w:val="-6"/>
              </w:rPr>
              <w:t>1</w:t>
            </w:r>
            <w:r>
              <w:rPr>
                <w:spacing w:val="-6"/>
              </w:rPr>
              <w:t>小时平均值</w:t>
            </w:r>
          </w:p>
        </w:tc>
        <w:tc>
          <w:tcPr>
            <w:tcW w:w="1062" w:type="pct"/>
            <w:vAlign w:val="center"/>
          </w:tcPr>
          <w:p w14:paraId="6F00C7BF">
            <w:pPr>
              <w:pStyle w:val="182"/>
              <w:bidi w:val="0"/>
              <w:rPr>
                <w:rFonts w:hint="default" w:eastAsia="宋体"/>
                <w:color w:val="auto"/>
                <w:lang w:val="en-US" w:eastAsia="zh-CN"/>
              </w:rPr>
            </w:pPr>
            <w:r>
              <w:rPr>
                <w:rFonts w:hint="eastAsia"/>
                <w:color w:val="auto"/>
                <w:lang w:val="en-US" w:eastAsia="zh-CN"/>
              </w:rPr>
              <w:t>2.0</w:t>
            </w:r>
          </w:p>
        </w:tc>
        <w:tc>
          <w:tcPr>
            <w:tcW w:w="1563" w:type="pct"/>
            <w:vAlign w:val="center"/>
          </w:tcPr>
          <w:p w14:paraId="5C2A90B7">
            <w:pPr>
              <w:pStyle w:val="182"/>
              <w:bidi w:val="0"/>
              <w:rPr>
                <w:color w:val="auto"/>
              </w:rPr>
            </w:pPr>
            <w:r>
              <w:rPr>
                <w:rFonts w:hint="eastAsia"/>
                <w:color w:val="auto"/>
                <w:lang w:val="en-US" w:eastAsia="zh-CN"/>
              </w:rPr>
              <w:t>《大气综合污染物排放标准详解》</w:t>
            </w:r>
          </w:p>
        </w:tc>
      </w:tr>
    </w:tbl>
    <w:p w14:paraId="13D4EBA5">
      <w:pPr>
        <w:pStyle w:val="5"/>
        <w:bidi w:val="0"/>
      </w:pPr>
      <w:r>
        <w:t>预测参数</w:t>
      </w:r>
    </w:p>
    <w:p w14:paraId="0BB234AB">
      <w:pPr>
        <w:pStyle w:val="13"/>
        <w:spacing w:before="78" w:line="219" w:lineRule="auto"/>
        <w:ind w:left="557"/>
      </w:pPr>
      <w:r>
        <w:rPr>
          <w:spacing w:val="-1"/>
        </w:rPr>
        <w:t>本次工程涉及到的</w:t>
      </w:r>
      <w:r>
        <w:rPr>
          <w:rFonts w:hint="eastAsia"/>
          <w:spacing w:val="-1"/>
          <w:lang w:val="en-US" w:eastAsia="zh-CN"/>
        </w:rPr>
        <w:t>点源</w:t>
      </w:r>
      <w:r>
        <w:rPr>
          <w:spacing w:val="-1"/>
        </w:rPr>
        <w:t>废气污染源的各项污染物参数见下表。</w:t>
      </w:r>
    </w:p>
    <w:p w14:paraId="0E76BF06">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 xml:space="preserve">表 </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6.1</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项目点源参数表</w:t>
      </w:r>
    </w:p>
    <w:p w14:paraId="0FA3157A">
      <w:pPr>
        <w:spacing w:line="108" w:lineRule="exact"/>
      </w:pPr>
    </w:p>
    <w:tbl>
      <w:tblPr>
        <w:tblStyle w:val="166"/>
        <w:tblW w:w="8118" w:type="dxa"/>
        <w:tblInd w:w="7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24"/>
        <w:gridCol w:w="624"/>
        <w:gridCol w:w="624"/>
        <w:gridCol w:w="624"/>
        <w:gridCol w:w="624"/>
        <w:gridCol w:w="624"/>
        <w:gridCol w:w="624"/>
        <w:gridCol w:w="624"/>
        <w:gridCol w:w="624"/>
        <w:gridCol w:w="624"/>
        <w:gridCol w:w="624"/>
        <w:gridCol w:w="573"/>
        <w:gridCol w:w="681"/>
      </w:tblGrid>
      <w:tr w14:paraId="0DDFF0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7" w:hRule="atLeast"/>
        </w:trPr>
        <w:tc>
          <w:tcPr>
            <w:tcW w:w="624" w:type="dxa"/>
            <w:vMerge w:val="restart"/>
            <w:tcBorders>
              <w:top w:val="single" w:color="000000" w:sz="6" w:space="0"/>
              <w:left w:val="single" w:color="000000" w:sz="6" w:space="0"/>
              <w:bottom w:val="nil"/>
            </w:tcBorders>
            <w:vAlign w:val="center"/>
          </w:tcPr>
          <w:p w14:paraId="3D1C8EB0">
            <w:pPr>
              <w:keepNext w:val="0"/>
              <w:keepLines w:val="0"/>
              <w:pageBreakBefore w:val="0"/>
              <w:widowControl w:val="0"/>
              <w:kinsoku/>
              <w:wordWrap/>
              <w:overflowPunct/>
              <w:topLinePunct w:val="0"/>
              <w:autoSpaceDE/>
              <w:autoSpaceDN/>
              <w:bidi w:val="0"/>
              <w:adjustRightInd w:val="0"/>
              <w:snapToGrid w:val="0"/>
              <w:spacing w:line="187"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名称</w:t>
            </w:r>
          </w:p>
        </w:tc>
        <w:tc>
          <w:tcPr>
            <w:tcW w:w="624" w:type="dxa"/>
            <w:vMerge w:val="restart"/>
            <w:tcBorders>
              <w:top w:val="single" w:color="000000" w:sz="6" w:space="0"/>
              <w:bottom w:val="nil"/>
            </w:tcBorders>
            <w:textDirection w:val="tbRlV"/>
            <w:vAlign w:val="center"/>
          </w:tcPr>
          <w:p w14:paraId="1022DCFD">
            <w:pPr>
              <w:keepNext w:val="0"/>
              <w:keepLines w:val="0"/>
              <w:pageBreakBefore w:val="0"/>
              <w:widowControl w:val="0"/>
              <w:kinsoku/>
              <w:wordWrap/>
              <w:overflowPunct/>
              <w:topLinePunct w:val="0"/>
              <w:autoSpaceDE/>
              <w:autoSpaceDN/>
              <w:bidi w:val="0"/>
              <w:adjustRightInd w:val="0"/>
              <w:snapToGrid w:val="0"/>
              <w:spacing w:line="187"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排气筒编号</w:t>
            </w:r>
          </w:p>
        </w:tc>
        <w:tc>
          <w:tcPr>
            <w:tcW w:w="624" w:type="dxa"/>
            <w:vMerge w:val="restart"/>
            <w:tcBorders>
              <w:top w:val="single" w:color="000000" w:sz="6" w:space="0"/>
              <w:bottom w:val="nil"/>
            </w:tcBorders>
            <w:vAlign w:val="center"/>
          </w:tcPr>
          <w:p w14:paraId="029988B7">
            <w:pPr>
              <w:keepNext w:val="0"/>
              <w:keepLines w:val="0"/>
              <w:pageBreakBefore w:val="0"/>
              <w:widowControl w:val="0"/>
              <w:kinsoku/>
              <w:wordWrap/>
              <w:overflowPunct/>
              <w:topLinePunct w:val="0"/>
              <w:autoSpaceDE/>
              <w:autoSpaceDN/>
              <w:bidi w:val="0"/>
              <w:adjustRightInd w:val="0"/>
              <w:snapToGrid w:val="0"/>
              <w:spacing w:line="187"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X</w:t>
            </w:r>
          </w:p>
          <w:p w14:paraId="17EA0AA2">
            <w:pPr>
              <w:keepNext w:val="0"/>
              <w:keepLines w:val="0"/>
              <w:pageBreakBefore w:val="0"/>
              <w:widowControl w:val="0"/>
              <w:kinsoku/>
              <w:wordWrap/>
              <w:overflowPunct/>
              <w:topLinePunct w:val="0"/>
              <w:autoSpaceDE/>
              <w:autoSpaceDN/>
              <w:bidi w:val="0"/>
              <w:adjustRightInd w:val="0"/>
              <w:snapToGrid w:val="0"/>
              <w:spacing w:line="187"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坐标</w:t>
            </w:r>
          </w:p>
        </w:tc>
        <w:tc>
          <w:tcPr>
            <w:tcW w:w="624" w:type="dxa"/>
            <w:vMerge w:val="restart"/>
            <w:tcBorders>
              <w:top w:val="single" w:color="000000" w:sz="6" w:space="0"/>
              <w:bottom w:val="nil"/>
            </w:tcBorders>
            <w:vAlign w:val="center"/>
          </w:tcPr>
          <w:p w14:paraId="1E3E6F27">
            <w:pPr>
              <w:keepNext w:val="0"/>
              <w:keepLines w:val="0"/>
              <w:pageBreakBefore w:val="0"/>
              <w:widowControl w:val="0"/>
              <w:kinsoku/>
              <w:wordWrap/>
              <w:overflowPunct/>
              <w:topLinePunct w:val="0"/>
              <w:autoSpaceDE/>
              <w:autoSpaceDN/>
              <w:bidi w:val="0"/>
              <w:adjustRightInd w:val="0"/>
              <w:snapToGrid w:val="0"/>
              <w:spacing w:line="187"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Y</w:t>
            </w:r>
          </w:p>
          <w:p w14:paraId="3CD1F1A0">
            <w:pPr>
              <w:keepNext w:val="0"/>
              <w:keepLines w:val="0"/>
              <w:pageBreakBefore w:val="0"/>
              <w:widowControl w:val="0"/>
              <w:kinsoku/>
              <w:wordWrap/>
              <w:overflowPunct/>
              <w:topLinePunct w:val="0"/>
              <w:autoSpaceDE/>
              <w:autoSpaceDN/>
              <w:bidi w:val="0"/>
              <w:adjustRightInd w:val="0"/>
              <w:snapToGrid w:val="0"/>
              <w:spacing w:line="187"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坐标</w:t>
            </w:r>
          </w:p>
        </w:tc>
        <w:tc>
          <w:tcPr>
            <w:tcW w:w="624" w:type="dxa"/>
            <w:vMerge w:val="restart"/>
            <w:tcBorders>
              <w:top w:val="single" w:color="000000" w:sz="6" w:space="0"/>
              <w:bottom w:val="nil"/>
            </w:tcBorders>
            <w:vAlign w:val="center"/>
          </w:tcPr>
          <w:p w14:paraId="26C71E6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排气 筒底 部海 拔高 度</w:t>
            </w:r>
          </w:p>
        </w:tc>
        <w:tc>
          <w:tcPr>
            <w:tcW w:w="624" w:type="dxa"/>
            <w:vMerge w:val="restart"/>
            <w:tcBorders>
              <w:top w:val="single" w:color="000000" w:sz="6" w:space="0"/>
              <w:bottom w:val="nil"/>
            </w:tcBorders>
            <w:vAlign w:val="center"/>
          </w:tcPr>
          <w:p w14:paraId="4535670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排气 筒高 度</w:t>
            </w:r>
          </w:p>
        </w:tc>
        <w:tc>
          <w:tcPr>
            <w:tcW w:w="624" w:type="dxa"/>
            <w:vMerge w:val="restart"/>
            <w:tcBorders>
              <w:top w:val="single" w:color="000000" w:sz="6" w:space="0"/>
              <w:bottom w:val="nil"/>
            </w:tcBorders>
            <w:vAlign w:val="center"/>
          </w:tcPr>
          <w:p w14:paraId="1DFA560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排气筒内径</w:t>
            </w:r>
          </w:p>
        </w:tc>
        <w:tc>
          <w:tcPr>
            <w:tcW w:w="624" w:type="dxa"/>
            <w:vMerge w:val="restart"/>
            <w:tcBorders>
              <w:top w:val="single" w:color="000000" w:sz="6" w:space="0"/>
              <w:bottom w:val="nil"/>
            </w:tcBorders>
            <w:vAlign w:val="center"/>
          </w:tcPr>
          <w:p w14:paraId="59E1133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烟气 流速</w:t>
            </w:r>
          </w:p>
        </w:tc>
        <w:tc>
          <w:tcPr>
            <w:tcW w:w="624" w:type="dxa"/>
            <w:vMerge w:val="restart"/>
            <w:tcBorders>
              <w:top w:val="single" w:color="000000" w:sz="6" w:space="0"/>
              <w:bottom w:val="nil"/>
            </w:tcBorders>
            <w:vAlign w:val="center"/>
          </w:tcPr>
          <w:p w14:paraId="40056F4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烟气 出口 温度</w:t>
            </w:r>
          </w:p>
        </w:tc>
        <w:tc>
          <w:tcPr>
            <w:tcW w:w="624" w:type="dxa"/>
            <w:vMerge w:val="restart"/>
            <w:tcBorders>
              <w:top w:val="single" w:color="000000" w:sz="6" w:space="0"/>
              <w:bottom w:val="nil"/>
            </w:tcBorders>
            <w:vAlign w:val="center"/>
          </w:tcPr>
          <w:p w14:paraId="7A0F696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年排 放小 时数</w:t>
            </w:r>
          </w:p>
        </w:tc>
        <w:tc>
          <w:tcPr>
            <w:tcW w:w="624" w:type="dxa"/>
            <w:vMerge w:val="restart"/>
            <w:tcBorders>
              <w:top w:val="single" w:color="000000" w:sz="6" w:space="0"/>
              <w:bottom w:val="nil"/>
            </w:tcBorders>
            <w:vAlign w:val="center"/>
          </w:tcPr>
          <w:p w14:paraId="4892DC0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排放 工况</w:t>
            </w:r>
          </w:p>
        </w:tc>
        <w:tc>
          <w:tcPr>
            <w:tcW w:w="1254" w:type="dxa"/>
            <w:gridSpan w:val="2"/>
            <w:tcBorders>
              <w:top w:val="single" w:color="000000" w:sz="6" w:space="0"/>
              <w:right w:val="single" w:color="auto" w:sz="4" w:space="0"/>
            </w:tcBorders>
            <w:vAlign w:val="center"/>
          </w:tcPr>
          <w:p w14:paraId="5F5F8DA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源强</w:t>
            </w:r>
          </w:p>
        </w:tc>
      </w:tr>
      <w:tr w14:paraId="2C461A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2" w:hRule="atLeast"/>
        </w:trPr>
        <w:tc>
          <w:tcPr>
            <w:tcW w:w="624" w:type="dxa"/>
            <w:vMerge w:val="continue"/>
            <w:tcBorders>
              <w:top w:val="nil"/>
              <w:left w:val="single" w:color="000000" w:sz="6" w:space="0"/>
            </w:tcBorders>
            <w:vAlign w:val="center"/>
          </w:tcPr>
          <w:p w14:paraId="03DBD4B0">
            <w:pPr>
              <w:keepNext w:val="0"/>
              <w:keepLines w:val="0"/>
              <w:pageBreakBefore w:val="0"/>
              <w:widowControl w:val="0"/>
              <w:kinsoku/>
              <w:wordWrap/>
              <w:overflowPunct/>
              <w:topLinePunct w:val="0"/>
              <w:autoSpaceDE/>
              <w:autoSpaceDN/>
              <w:bidi w:val="0"/>
              <w:adjustRightInd w:val="0"/>
              <w:snapToGrid w:val="0"/>
              <w:spacing w:line="187" w:lineRule="auto"/>
              <w:ind w:left="0" w:firstLine="0" w:firstLineChars="0"/>
              <w:jc w:val="center"/>
              <w:textAlignment w:val="auto"/>
              <w:rPr>
                <w:rFonts w:ascii="Times New Roman" w:hAnsi="Times New Roman" w:eastAsia="Times New Roman" w:cs="Times New Roman"/>
                <w:b/>
                <w:bCs/>
                <w:sz w:val="21"/>
                <w:szCs w:val="21"/>
                <w:u w:val="single"/>
              </w:rPr>
            </w:pPr>
          </w:p>
        </w:tc>
        <w:tc>
          <w:tcPr>
            <w:tcW w:w="624" w:type="dxa"/>
            <w:vMerge w:val="continue"/>
            <w:tcBorders>
              <w:top w:val="nil"/>
            </w:tcBorders>
            <w:textDirection w:val="tbRlV"/>
            <w:vAlign w:val="center"/>
          </w:tcPr>
          <w:p w14:paraId="27AA6491">
            <w:pPr>
              <w:keepNext w:val="0"/>
              <w:keepLines w:val="0"/>
              <w:pageBreakBefore w:val="0"/>
              <w:widowControl w:val="0"/>
              <w:kinsoku/>
              <w:wordWrap/>
              <w:overflowPunct/>
              <w:topLinePunct w:val="0"/>
              <w:autoSpaceDE/>
              <w:autoSpaceDN/>
              <w:bidi w:val="0"/>
              <w:adjustRightInd w:val="0"/>
              <w:snapToGrid w:val="0"/>
              <w:spacing w:line="187" w:lineRule="auto"/>
              <w:ind w:left="0" w:firstLine="0" w:firstLineChars="0"/>
              <w:jc w:val="center"/>
              <w:textAlignment w:val="auto"/>
              <w:rPr>
                <w:rFonts w:ascii="Times New Roman" w:hAnsi="Times New Roman" w:eastAsia="Times New Roman" w:cs="Times New Roman"/>
                <w:b/>
                <w:bCs/>
                <w:sz w:val="21"/>
                <w:szCs w:val="21"/>
                <w:u w:val="single"/>
              </w:rPr>
            </w:pPr>
          </w:p>
        </w:tc>
        <w:tc>
          <w:tcPr>
            <w:tcW w:w="624" w:type="dxa"/>
            <w:vMerge w:val="continue"/>
            <w:tcBorders>
              <w:top w:val="nil"/>
            </w:tcBorders>
            <w:vAlign w:val="center"/>
          </w:tcPr>
          <w:p w14:paraId="2CD96E52">
            <w:pPr>
              <w:keepNext w:val="0"/>
              <w:keepLines w:val="0"/>
              <w:pageBreakBefore w:val="0"/>
              <w:widowControl w:val="0"/>
              <w:kinsoku/>
              <w:wordWrap/>
              <w:overflowPunct/>
              <w:topLinePunct w:val="0"/>
              <w:autoSpaceDE/>
              <w:autoSpaceDN/>
              <w:bidi w:val="0"/>
              <w:adjustRightInd w:val="0"/>
              <w:snapToGrid w:val="0"/>
              <w:spacing w:line="187" w:lineRule="auto"/>
              <w:ind w:left="0" w:firstLine="0" w:firstLineChars="0"/>
              <w:jc w:val="center"/>
              <w:textAlignment w:val="auto"/>
              <w:rPr>
                <w:rFonts w:ascii="Times New Roman" w:hAnsi="Times New Roman" w:eastAsia="Times New Roman" w:cs="Times New Roman"/>
                <w:b/>
                <w:bCs/>
                <w:sz w:val="21"/>
                <w:szCs w:val="21"/>
                <w:u w:val="single"/>
              </w:rPr>
            </w:pPr>
          </w:p>
        </w:tc>
        <w:tc>
          <w:tcPr>
            <w:tcW w:w="624" w:type="dxa"/>
            <w:vMerge w:val="continue"/>
            <w:tcBorders>
              <w:top w:val="nil"/>
            </w:tcBorders>
            <w:vAlign w:val="center"/>
          </w:tcPr>
          <w:p w14:paraId="762F77B7">
            <w:pPr>
              <w:keepNext w:val="0"/>
              <w:keepLines w:val="0"/>
              <w:pageBreakBefore w:val="0"/>
              <w:widowControl w:val="0"/>
              <w:kinsoku/>
              <w:wordWrap/>
              <w:overflowPunct/>
              <w:topLinePunct w:val="0"/>
              <w:autoSpaceDE/>
              <w:autoSpaceDN/>
              <w:bidi w:val="0"/>
              <w:adjustRightInd w:val="0"/>
              <w:snapToGrid w:val="0"/>
              <w:spacing w:line="187" w:lineRule="auto"/>
              <w:ind w:left="0" w:firstLine="0" w:firstLineChars="0"/>
              <w:jc w:val="center"/>
              <w:textAlignment w:val="auto"/>
              <w:rPr>
                <w:rFonts w:ascii="Times New Roman" w:hAnsi="Times New Roman" w:eastAsia="Times New Roman" w:cs="Times New Roman"/>
                <w:b/>
                <w:bCs/>
                <w:sz w:val="21"/>
                <w:szCs w:val="21"/>
                <w:u w:val="single"/>
              </w:rPr>
            </w:pPr>
          </w:p>
        </w:tc>
        <w:tc>
          <w:tcPr>
            <w:tcW w:w="624" w:type="dxa"/>
            <w:vMerge w:val="continue"/>
            <w:tcBorders>
              <w:top w:val="nil"/>
            </w:tcBorders>
            <w:vAlign w:val="center"/>
          </w:tcPr>
          <w:p w14:paraId="3AE8F9A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p>
        </w:tc>
        <w:tc>
          <w:tcPr>
            <w:tcW w:w="624" w:type="dxa"/>
            <w:vMerge w:val="continue"/>
            <w:tcBorders>
              <w:top w:val="nil"/>
            </w:tcBorders>
            <w:vAlign w:val="center"/>
          </w:tcPr>
          <w:p w14:paraId="2AF7A36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p>
        </w:tc>
        <w:tc>
          <w:tcPr>
            <w:tcW w:w="624" w:type="dxa"/>
            <w:vMerge w:val="continue"/>
            <w:tcBorders>
              <w:top w:val="nil"/>
            </w:tcBorders>
            <w:vAlign w:val="center"/>
          </w:tcPr>
          <w:p w14:paraId="1A5CBD3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p>
        </w:tc>
        <w:tc>
          <w:tcPr>
            <w:tcW w:w="624" w:type="dxa"/>
            <w:vMerge w:val="continue"/>
            <w:tcBorders>
              <w:top w:val="nil"/>
            </w:tcBorders>
            <w:vAlign w:val="center"/>
          </w:tcPr>
          <w:p w14:paraId="5BC12BE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p>
        </w:tc>
        <w:tc>
          <w:tcPr>
            <w:tcW w:w="624" w:type="dxa"/>
            <w:vMerge w:val="continue"/>
            <w:tcBorders>
              <w:top w:val="nil"/>
            </w:tcBorders>
            <w:vAlign w:val="center"/>
          </w:tcPr>
          <w:p w14:paraId="57476C9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p>
        </w:tc>
        <w:tc>
          <w:tcPr>
            <w:tcW w:w="624" w:type="dxa"/>
            <w:vMerge w:val="continue"/>
            <w:tcBorders>
              <w:top w:val="nil"/>
            </w:tcBorders>
            <w:vAlign w:val="center"/>
          </w:tcPr>
          <w:p w14:paraId="52EFDF6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p>
        </w:tc>
        <w:tc>
          <w:tcPr>
            <w:tcW w:w="624" w:type="dxa"/>
            <w:vMerge w:val="continue"/>
            <w:tcBorders>
              <w:top w:val="nil"/>
            </w:tcBorders>
            <w:vAlign w:val="center"/>
          </w:tcPr>
          <w:p w14:paraId="7963C8E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p>
        </w:tc>
        <w:tc>
          <w:tcPr>
            <w:tcW w:w="573" w:type="dxa"/>
            <w:vAlign w:val="center"/>
          </w:tcPr>
          <w:p w14:paraId="4C57CC7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PM10</w:t>
            </w:r>
          </w:p>
        </w:tc>
        <w:tc>
          <w:tcPr>
            <w:tcW w:w="681" w:type="dxa"/>
            <w:tcBorders>
              <w:right w:val="single" w:color="auto" w:sz="4" w:space="0"/>
            </w:tcBorders>
            <w:vAlign w:val="center"/>
          </w:tcPr>
          <w:p w14:paraId="470C47B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NMHC</w:t>
            </w:r>
          </w:p>
        </w:tc>
      </w:tr>
      <w:tr w14:paraId="4E1909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7" w:hRule="atLeast"/>
        </w:trPr>
        <w:tc>
          <w:tcPr>
            <w:tcW w:w="624" w:type="dxa"/>
            <w:tcBorders>
              <w:left w:val="single" w:color="000000" w:sz="6" w:space="0"/>
            </w:tcBorders>
            <w:vAlign w:val="center"/>
          </w:tcPr>
          <w:p w14:paraId="32FFC70E">
            <w:pPr>
              <w:pStyle w:val="186"/>
              <w:keepNext w:val="0"/>
              <w:keepLines w:val="0"/>
              <w:pageBreakBefore w:val="0"/>
              <w:widowControl w:val="0"/>
              <w:kinsoku/>
              <w:wordWrap/>
              <w:overflowPunct/>
              <w:topLinePunct w:val="0"/>
              <w:autoSpaceDE/>
              <w:autoSpaceDN/>
              <w:bidi w:val="0"/>
              <w:adjustRightInd w:val="0"/>
              <w:snapToGrid w:val="0"/>
              <w:spacing w:line="221" w:lineRule="auto"/>
              <w:ind w:left="0" w:firstLine="0" w:firstLineChars="0"/>
              <w:jc w:val="center"/>
              <w:textAlignment w:val="auto"/>
              <w:rPr>
                <w:b/>
                <w:bCs/>
                <w:u w:val="single"/>
              </w:rPr>
            </w:pPr>
            <w:r>
              <w:rPr>
                <w:b/>
                <w:bCs/>
                <w:spacing w:val="-2"/>
                <w:u w:val="single"/>
              </w:rPr>
              <w:t>单位</w:t>
            </w:r>
          </w:p>
        </w:tc>
        <w:tc>
          <w:tcPr>
            <w:tcW w:w="624" w:type="dxa"/>
            <w:vAlign w:val="center"/>
          </w:tcPr>
          <w:p w14:paraId="3A03A2F8">
            <w:pPr>
              <w:keepNext w:val="0"/>
              <w:keepLines w:val="0"/>
              <w:pageBreakBefore w:val="0"/>
              <w:widowControl w:val="0"/>
              <w:kinsoku/>
              <w:wordWrap/>
              <w:overflowPunct/>
              <w:topLinePunct w:val="0"/>
              <w:autoSpaceDE/>
              <w:autoSpaceDN/>
              <w:bidi w:val="0"/>
              <w:adjustRightInd w:val="0"/>
              <w:snapToGrid w:val="0"/>
              <w:spacing w:line="100" w:lineRule="exact"/>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position w:val="-2"/>
                <w:sz w:val="21"/>
                <w:szCs w:val="21"/>
                <w:u w:val="single"/>
              </w:rPr>
              <w:t>-</w:t>
            </w:r>
          </w:p>
        </w:tc>
        <w:tc>
          <w:tcPr>
            <w:tcW w:w="624" w:type="dxa"/>
            <w:vAlign w:val="center"/>
          </w:tcPr>
          <w:p w14:paraId="0EDF905F">
            <w:pPr>
              <w:keepNext w:val="0"/>
              <w:keepLines w:val="0"/>
              <w:pageBreakBefore w:val="0"/>
              <w:widowControl w:val="0"/>
              <w:kinsoku/>
              <w:wordWrap/>
              <w:overflowPunct/>
              <w:topLinePunct w:val="0"/>
              <w:autoSpaceDE/>
              <w:autoSpaceDN/>
              <w:bidi w:val="0"/>
              <w:adjustRightInd w:val="0"/>
              <w:snapToGrid w:val="0"/>
              <w:spacing w:line="236"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m</w:t>
            </w:r>
          </w:p>
        </w:tc>
        <w:tc>
          <w:tcPr>
            <w:tcW w:w="624" w:type="dxa"/>
            <w:vAlign w:val="center"/>
          </w:tcPr>
          <w:p w14:paraId="5FDB7919">
            <w:pPr>
              <w:keepNext w:val="0"/>
              <w:keepLines w:val="0"/>
              <w:pageBreakBefore w:val="0"/>
              <w:widowControl w:val="0"/>
              <w:kinsoku/>
              <w:wordWrap/>
              <w:overflowPunct/>
              <w:topLinePunct w:val="0"/>
              <w:autoSpaceDE/>
              <w:autoSpaceDN/>
              <w:bidi w:val="0"/>
              <w:adjustRightInd w:val="0"/>
              <w:snapToGrid w:val="0"/>
              <w:spacing w:line="236"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m</w:t>
            </w:r>
          </w:p>
        </w:tc>
        <w:tc>
          <w:tcPr>
            <w:tcW w:w="624" w:type="dxa"/>
            <w:vAlign w:val="center"/>
          </w:tcPr>
          <w:p w14:paraId="24AF5A01">
            <w:pPr>
              <w:keepNext w:val="0"/>
              <w:keepLines w:val="0"/>
              <w:pageBreakBefore w:val="0"/>
              <w:widowControl w:val="0"/>
              <w:kinsoku/>
              <w:wordWrap/>
              <w:overflowPunct/>
              <w:topLinePunct w:val="0"/>
              <w:autoSpaceDE/>
              <w:autoSpaceDN/>
              <w:bidi w:val="0"/>
              <w:adjustRightInd w:val="0"/>
              <w:snapToGrid w:val="0"/>
              <w:spacing w:line="236"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m</w:t>
            </w:r>
          </w:p>
        </w:tc>
        <w:tc>
          <w:tcPr>
            <w:tcW w:w="624" w:type="dxa"/>
            <w:vAlign w:val="center"/>
          </w:tcPr>
          <w:p w14:paraId="6A8AFED0">
            <w:pPr>
              <w:keepNext w:val="0"/>
              <w:keepLines w:val="0"/>
              <w:pageBreakBefore w:val="0"/>
              <w:widowControl w:val="0"/>
              <w:kinsoku/>
              <w:wordWrap/>
              <w:overflowPunct/>
              <w:topLinePunct w:val="0"/>
              <w:autoSpaceDE/>
              <w:autoSpaceDN/>
              <w:bidi w:val="0"/>
              <w:adjustRightInd w:val="0"/>
              <w:snapToGrid w:val="0"/>
              <w:spacing w:line="236"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m</w:t>
            </w:r>
          </w:p>
        </w:tc>
        <w:tc>
          <w:tcPr>
            <w:tcW w:w="624" w:type="dxa"/>
            <w:vAlign w:val="center"/>
          </w:tcPr>
          <w:p w14:paraId="0754AA1D">
            <w:pPr>
              <w:keepNext w:val="0"/>
              <w:keepLines w:val="0"/>
              <w:pageBreakBefore w:val="0"/>
              <w:widowControl w:val="0"/>
              <w:kinsoku/>
              <w:wordWrap/>
              <w:overflowPunct/>
              <w:topLinePunct w:val="0"/>
              <w:autoSpaceDE/>
              <w:autoSpaceDN/>
              <w:bidi w:val="0"/>
              <w:adjustRightInd w:val="0"/>
              <w:snapToGrid w:val="0"/>
              <w:spacing w:line="236"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m</w:t>
            </w:r>
          </w:p>
        </w:tc>
        <w:tc>
          <w:tcPr>
            <w:tcW w:w="624" w:type="dxa"/>
            <w:vAlign w:val="center"/>
          </w:tcPr>
          <w:p w14:paraId="51A3CB8D">
            <w:pPr>
              <w:keepNext w:val="0"/>
              <w:keepLines w:val="0"/>
              <w:pageBreakBefore w:val="0"/>
              <w:widowControl w:val="0"/>
              <w:kinsoku/>
              <w:wordWrap/>
              <w:overflowPunct/>
              <w:topLinePunct w:val="0"/>
              <w:autoSpaceDE/>
              <w:autoSpaceDN/>
              <w:bidi w:val="0"/>
              <w:adjustRightInd w:val="0"/>
              <w:snapToGrid w:val="0"/>
              <w:spacing w:line="233"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pacing w:val="-1"/>
                <w:sz w:val="21"/>
                <w:szCs w:val="21"/>
                <w:u w:val="single"/>
              </w:rPr>
              <w:t>m/s</w:t>
            </w:r>
          </w:p>
        </w:tc>
        <w:tc>
          <w:tcPr>
            <w:tcW w:w="624" w:type="dxa"/>
            <w:vAlign w:val="center"/>
          </w:tcPr>
          <w:p w14:paraId="6D974EB0">
            <w:pPr>
              <w:pStyle w:val="186"/>
              <w:keepNext w:val="0"/>
              <w:keepLines w:val="0"/>
              <w:pageBreakBefore w:val="0"/>
              <w:widowControl w:val="0"/>
              <w:kinsoku/>
              <w:wordWrap/>
              <w:overflowPunct/>
              <w:topLinePunct w:val="0"/>
              <w:autoSpaceDE/>
              <w:autoSpaceDN/>
              <w:bidi w:val="0"/>
              <w:adjustRightInd w:val="0"/>
              <w:snapToGrid w:val="0"/>
              <w:spacing w:line="239" w:lineRule="auto"/>
              <w:ind w:left="0" w:firstLine="0" w:firstLineChars="0"/>
              <w:jc w:val="center"/>
              <w:textAlignment w:val="auto"/>
              <w:rPr>
                <w:b/>
                <w:bCs/>
                <w:u w:val="single"/>
              </w:rPr>
            </w:pPr>
            <w:r>
              <w:rPr>
                <w:b/>
                <w:bCs/>
                <w:u w:val="single"/>
              </w:rPr>
              <w:t>℃</w:t>
            </w:r>
          </w:p>
        </w:tc>
        <w:tc>
          <w:tcPr>
            <w:tcW w:w="624" w:type="dxa"/>
            <w:vAlign w:val="center"/>
          </w:tcPr>
          <w:p w14:paraId="11309E66">
            <w:pPr>
              <w:keepNext w:val="0"/>
              <w:keepLines w:val="0"/>
              <w:pageBreakBefore w:val="0"/>
              <w:widowControl w:val="0"/>
              <w:kinsoku/>
              <w:wordWrap/>
              <w:overflowPunct/>
              <w:topLinePunct w:val="0"/>
              <w:autoSpaceDE/>
              <w:autoSpaceDN/>
              <w:bidi w:val="0"/>
              <w:adjustRightInd w:val="0"/>
              <w:snapToGrid w:val="0"/>
              <w:spacing w:line="236"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h</w:t>
            </w:r>
          </w:p>
        </w:tc>
        <w:tc>
          <w:tcPr>
            <w:tcW w:w="624" w:type="dxa"/>
            <w:vAlign w:val="center"/>
          </w:tcPr>
          <w:p w14:paraId="429D4E8D">
            <w:pPr>
              <w:keepNext w:val="0"/>
              <w:keepLines w:val="0"/>
              <w:pageBreakBefore w:val="0"/>
              <w:widowControl w:val="0"/>
              <w:kinsoku/>
              <w:wordWrap/>
              <w:overflowPunct/>
              <w:topLinePunct w:val="0"/>
              <w:autoSpaceDE/>
              <w:autoSpaceDN/>
              <w:bidi w:val="0"/>
              <w:adjustRightInd w:val="0"/>
              <w:snapToGrid w:val="0"/>
              <w:spacing w:line="100" w:lineRule="exact"/>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position w:val="-2"/>
                <w:sz w:val="21"/>
                <w:szCs w:val="21"/>
                <w:u w:val="single"/>
              </w:rPr>
              <w:t>-</w:t>
            </w:r>
          </w:p>
        </w:tc>
        <w:tc>
          <w:tcPr>
            <w:tcW w:w="573" w:type="dxa"/>
            <w:vAlign w:val="center"/>
          </w:tcPr>
          <w:p w14:paraId="7A12F9E3">
            <w:pPr>
              <w:keepNext w:val="0"/>
              <w:keepLines w:val="0"/>
              <w:pageBreakBefore w:val="0"/>
              <w:widowControl w:val="0"/>
              <w:kinsoku/>
              <w:wordWrap/>
              <w:overflowPunct/>
              <w:topLinePunct w:val="0"/>
              <w:autoSpaceDE/>
              <w:autoSpaceDN/>
              <w:bidi w:val="0"/>
              <w:adjustRightInd w:val="0"/>
              <w:snapToGrid w:val="0"/>
              <w:spacing w:line="191"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kg/h</w:t>
            </w:r>
          </w:p>
        </w:tc>
        <w:tc>
          <w:tcPr>
            <w:tcW w:w="681" w:type="dxa"/>
            <w:vAlign w:val="center"/>
          </w:tcPr>
          <w:p w14:paraId="2D055345">
            <w:pPr>
              <w:keepNext w:val="0"/>
              <w:keepLines w:val="0"/>
              <w:pageBreakBefore w:val="0"/>
              <w:widowControl w:val="0"/>
              <w:kinsoku/>
              <w:wordWrap/>
              <w:overflowPunct/>
              <w:topLinePunct w:val="0"/>
              <w:autoSpaceDE/>
              <w:autoSpaceDN/>
              <w:bidi w:val="0"/>
              <w:adjustRightInd w:val="0"/>
              <w:snapToGrid w:val="0"/>
              <w:spacing w:line="191" w:lineRule="auto"/>
              <w:ind w:left="0" w:firstLine="0" w:firstLineChars="0"/>
              <w:jc w:val="center"/>
              <w:textAlignment w:val="auto"/>
              <w:rPr>
                <w:rFonts w:ascii="Times New Roman" w:hAnsi="Times New Roman" w:eastAsia="Times New Roman" w:cs="Times New Roman"/>
                <w:b/>
                <w:bCs/>
                <w:sz w:val="21"/>
                <w:szCs w:val="21"/>
                <w:u w:val="single"/>
              </w:rPr>
            </w:pPr>
            <w:r>
              <w:rPr>
                <w:rFonts w:ascii="Times New Roman" w:hAnsi="Times New Roman" w:eastAsia="Times New Roman" w:cs="Times New Roman"/>
                <w:b/>
                <w:bCs/>
                <w:sz w:val="21"/>
                <w:szCs w:val="21"/>
                <w:u w:val="single"/>
              </w:rPr>
              <w:t>kg/h</w:t>
            </w:r>
          </w:p>
        </w:tc>
      </w:tr>
      <w:tr w14:paraId="53585C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trPr>
        <w:tc>
          <w:tcPr>
            <w:tcW w:w="624" w:type="dxa"/>
            <w:tcBorders>
              <w:left w:val="single" w:color="000000" w:sz="6" w:space="0"/>
            </w:tcBorders>
            <w:vAlign w:val="center"/>
          </w:tcPr>
          <w:p w14:paraId="799715C9">
            <w:pPr>
              <w:pStyle w:val="186"/>
              <w:keepNext w:val="0"/>
              <w:keepLines w:val="0"/>
              <w:pageBreakBefore w:val="0"/>
              <w:widowControl w:val="0"/>
              <w:kinsoku/>
              <w:wordWrap/>
              <w:overflowPunct/>
              <w:topLinePunct w:val="0"/>
              <w:autoSpaceDE/>
              <w:autoSpaceDN/>
              <w:bidi w:val="0"/>
              <w:adjustRightInd w:val="0"/>
              <w:snapToGrid w:val="0"/>
              <w:spacing w:line="219" w:lineRule="auto"/>
              <w:ind w:left="0" w:right="63" w:firstLine="0" w:firstLineChars="0"/>
              <w:jc w:val="center"/>
              <w:textAlignment w:val="auto"/>
              <w:rPr>
                <w:rFonts w:hint="default" w:ascii="Times New Roman" w:hAnsi="Times New Roman" w:eastAsia="宋体" w:cs="Times New Roman"/>
                <w:b/>
                <w:bCs/>
                <w:u w:val="single"/>
                <w:lang w:val="en-US" w:eastAsia="zh-CN"/>
              </w:rPr>
            </w:pPr>
            <w:r>
              <w:rPr>
                <w:b/>
                <w:bCs/>
                <w:spacing w:val="-3"/>
                <w:u w:val="single"/>
              </w:rPr>
              <w:t>排气</w:t>
            </w:r>
            <w:r>
              <w:rPr>
                <w:b/>
                <w:bCs/>
                <w:u w:val="single"/>
              </w:rPr>
              <w:t xml:space="preserve"> </w:t>
            </w:r>
            <w:r>
              <w:rPr>
                <w:b/>
                <w:bCs/>
                <w:spacing w:val="-5"/>
                <w:u w:val="single"/>
              </w:rPr>
              <w:t>筒</w:t>
            </w:r>
            <w:r>
              <w:rPr>
                <w:b/>
                <w:bCs/>
                <w:spacing w:val="-48"/>
                <w:u w:val="single"/>
              </w:rPr>
              <w:t xml:space="preserve"> </w:t>
            </w:r>
            <w:r>
              <w:rPr>
                <w:rFonts w:hint="eastAsia" w:ascii="Times New Roman" w:hAnsi="Times New Roman" w:cs="Times New Roman"/>
                <w:b/>
                <w:bCs/>
                <w:spacing w:val="-5"/>
                <w:u w:val="single"/>
                <w:lang w:val="en-US" w:eastAsia="zh-CN"/>
              </w:rPr>
              <w:t>DA029</w:t>
            </w:r>
          </w:p>
        </w:tc>
        <w:tc>
          <w:tcPr>
            <w:tcW w:w="624" w:type="dxa"/>
            <w:vAlign w:val="center"/>
          </w:tcPr>
          <w:p w14:paraId="4F0443B2">
            <w:pPr>
              <w:keepNext w:val="0"/>
              <w:keepLines w:val="0"/>
              <w:pageBreakBefore w:val="0"/>
              <w:widowControl w:val="0"/>
              <w:kinsoku/>
              <w:wordWrap/>
              <w:overflowPunct/>
              <w:topLinePunct w:val="0"/>
              <w:autoSpaceDE/>
              <w:autoSpaceDN/>
              <w:bidi w:val="0"/>
              <w:adjustRightInd w:val="0"/>
              <w:snapToGrid w:val="0"/>
              <w:spacing w:line="187" w:lineRule="auto"/>
              <w:ind w:left="0" w:firstLine="0" w:firstLineChars="0"/>
              <w:jc w:val="center"/>
              <w:textAlignment w:val="auto"/>
              <w:rPr>
                <w:rFonts w:ascii="Times New Roman" w:hAnsi="Times New Roman" w:eastAsia="Times New Roman" w:cs="Times New Roman"/>
                <w:b/>
                <w:bCs/>
                <w:sz w:val="21"/>
                <w:szCs w:val="21"/>
                <w:u w:val="single"/>
              </w:rPr>
            </w:pPr>
            <w:r>
              <w:rPr>
                <w:rFonts w:hint="eastAsia" w:cs="Times New Roman"/>
                <w:b/>
                <w:bCs/>
                <w:spacing w:val="-5"/>
                <w:sz w:val="21"/>
                <w:szCs w:val="21"/>
                <w:u w:val="single"/>
                <w:lang w:val="en-US" w:eastAsia="zh-CN"/>
              </w:rPr>
              <w:t>DA029</w:t>
            </w:r>
          </w:p>
        </w:tc>
        <w:tc>
          <w:tcPr>
            <w:tcW w:w="624" w:type="dxa"/>
            <w:vAlign w:val="center"/>
          </w:tcPr>
          <w:p w14:paraId="258DE9EB">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ascii="Times New Roman" w:hAnsi="Times New Roman" w:eastAsia="Times New Roman" w:cs="Times New Roman"/>
                <w:b/>
                <w:bCs/>
                <w:sz w:val="21"/>
                <w:szCs w:val="21"/>
                <w:u w:val="single"/>
              </w:rPr>
            </w:pPr>
            <w:r>
              <w:rPr>
                <w:b/>
                <w:bCs/>
                <w:color w:val="auto"/>
                <w:u w:val="single"/>
              </w:rPr>
              <w:t>98</w:t>
            </w:r>
          </w:p>
        </w:tc>
        <w:tc>
          <w:tcPr>
            <w:tcW w:w="624" w:type="dxa"/>
            <w:vAlign w:val="center"/>
          </w:tcPr>
          <w:p w14:paraId="25DFBCFF">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ascii="Times New Roman" w:hAnsi="Times New Roman" w:eastAsia="Times New Roman" w:cs="Times New Roman"/>
                <w:b/>
                <w:bCs/>
                <w:sz w:val="21"/>
                <w:szCs w:val="21"/>
                <w:u w:val="single"/>
              </w:rPr>
            </w:pPr>
            <w:r>
              <w:rPr>
                <w:b/>
                <w:bCs/>
                <w:color w:val="auto"/>
                <w:u w:val="single"/>
              </w:rPr>
              <w:t>50</w:t>
            </w:r>
          </w:p>
        </w:tc>
        <w:tc>
          <w:tcPr>
            <w:tcW w:w="624" w:type="dxa"/>
            <w:vAlign w:val="center"/>
          </w:tcPr>
          <w:p w14:paraId="34FB448D">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ascii="Times New Roman" w:hAnsi="Times New Roman" w:eastAsia="Times New Roman" w:cs="Times New Roman"/>
                <w:b/>
                <w:bCs/>
                <w:sz w:val="21"/>
                <w:szCs w:val="21"/>
                <w:u w:val="single"/>
              </w:rPr>
            </w:pPr>
            <w:r>
              <w:rPr>
                <w:b/>
                <w:bCs/>
                <w:color w:val="auto"/>
                <w:u w:val="single"/>
              </w:rPr>
              <w:t>7</w:t>
            </w:r>
            <w:r>
              <w:rPr>
                <w:rFonts w:hint="eastAsia"/>
                <w:b/>
                <w:bCs/>
                <w:color w:val="auto"/>
                <w:u w:val="single"/>
                <w:lang w:val="en-US" w:eastAsia="zh-CN"/>
              </w:rPr>
              <w:t>2</w:t>
            </w:r>
          </w:p>
        </w:tc>
        <w:tc>
          <w:tcPr>
            <w:tcW w:w="624" w:type="dxa"/>
            <w:vAlign w:val="center"/>
          </w:tcPr>
          <w:p w14:paraId="0F5DC531">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ascii="Times New Roman" w:hAnsi="Times New Roman" w:eastAsia="Times New Roman" w:cs="Times New Roman"/>
                <w:b/>
                <w:bCs/>
                <w:sz w:val="21"/>
                <w:szCs w:val="21"/>
                <w:u w:val="single"/>
              </w:rPr>
            </w:pPr>
            <w:r>
              <w:rPr>
                <w:rFonts w:hint="eastAsia"/>
                <w:b/>
                <w:bCs/>
                <w:color w:val="auto"/>
                <w:u w:val="single"/>
                <w:lang w:val="en-US" w:eastAsia="zh-CN"/>
              </w:rPr>
              <w:t>20</w:t>
            </w:r>
          </w:p>
        </w:tc>
        <w:tc>
          <w:tcPr>
            <w:tcW w:w="624" w:type="dxa"/>
            <w:vAlign w:val="center"/>
          </w:tcPr>
          <w:p w14:paraId="5F5FEF23">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ascii="Times New Roman" w:hAnsi="Times New Roman" w:eastAsia="Times New Roman" w:cs="Times New Roman"/>
                <w:b/>
                <w:bCs/>
                <w:sz w:val="21"/>
                <w:szCs w:val="21"/>
                <w:u w:val="single"/>
              </w:rPr>
            </w:pPr>
            <w:r>
              <w:rPr>
                <w:rFonts w:hint="eastAsia"/>
                <w:b/>
                <w:bCs/>
                <w:color w:val="auto"/>
                <w:u w:val="single"/>
                <w:lang w:val="en-US" w:eastAsia="zh-CN"/>
              </w:rPr>
              <w:t>0.5</w:t>
            </w:r>
          </w:p>
        </w:tc>
        <w:tc>
          <w:tcPr>
            <w:tcW w:w="624" w:type="dxa"/>
            <w:vAlign w:val="center"/>
          </w:tcPr>
          <w:p w14:paraId="29A58DAE">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hint="default" w:ascii="Times New Roman" w:hAnsi="Times New Roman" w:eastAsia="Times New Roman" w:cs="Times New Roman"/>
                <w:b/>
                <w:bCs/>
                <w:sz w:val="21"/>
                <w:szCs w:val="21"/>
                <w:u w:val="single"/>
                <w:lang w:val="en-US"/>
              </w:rPr>
            </w:pPr>
            <w:r>
              <w:rPr>
                <w:rFonts w:hint="eastAsia"/>
                <w:b/>
                <w:bCs/>
                <w:color w:val="auto"/>
                <w:u w:val="single"/>
                <w:lang w:val="en-US" w:eastAsia="zh-CN"/>
              </w:rPr>
              <w:t>7.07</w:t>
            </w:r>
          </w:p>
        </w:tc>
        <w:tc>
          <w:tcPr>
            <w:tcW w:w="624" w:type="dxa"/>
            <w:vAlign w:val="center"/>
          </w:tcPr>
          <w:p w14:paraId="7AD0B146">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ascii="Times New Roman" w:hAnsi="Times New Roman" w:eastAsia="Times New Roman" w:cs="Times New Roman"/>
                <w:b/>
                <w:bCs/>
                <w:sz w:val="21"/>
                <w:szCs w:val="21"/>
                <w:u w:val="single"/>
              </w:rPr>
            </w:pPr>
            <w:r>
              <w:rPr>
                <w:rFonts w:hint="eastAsia"/>
                <w:b/>
                <w:bCs/>
                <w:color w:val="auto"/>
                <w:u w:val="single"/>
                <w:lang w:val="en-US" w:eastAsia="zh-CN"/>
              </w:rPr>
              <w:t>25</w:t>
            </w:r>
          </w:p>
        </w:tc>
        <w:tc>
          <w:tcPr>
            <w:tcW w:w="624" w:type="dxa"/>
            <w:vAlign w:val="center"/>
          </w:tcPr>
          <w:p w14:paraId="25C01C50">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hint="default" w:ascii="Times New Roman" w:hAnsi="Times New Roman" w:eastAsia="Times New Roman" w:cs="Times New Roman"/>
                <w:b/>
                <w:bCs/>
                <w:sz w:val="21"/>
                <w:szCs w:val="21"/>
                <w:u w:val="single"/>
                <w:lang w:val="en-US"/>
              </w:rPr>
            </w:pPr>
            <w:r>
              <w:rPr>
                <w:rFonts w:hint="eastAsia"/>
                <w:b/>
                <w:bCs/>
                <w:color w:val="auto"/>
                <w:u w:val="single"/>
                <w:lang w:val="en-US" w:eastAsia="zh-CN"/>
              </w:rPr>
              <w:t>2640</w:t>
            </w:r>
          </w:p>
        </w:tc>
        <w:tc>
          <w:tcPr>
            <w:tcW w:w="624" w:type="dxa"/>
            <w:vAlign w:val="center"/>
          </w:tcPr>
          <w:p w14:paraId="0D6295A4">
            <w:pPr>
              <w:pStyle w:val="186"/>
              <w:keepNext w:val="0"/>
              <w:keepLines w:val="0"/>
              <w:pageBreakBefore w:val="0"/>
              <w:widowControl w:val="0"/>
              <w:kinsoku/>
              <w:wordWrap/>
              <w:overflowPunct/>
              <w:topLinePunct w:val="0"/>
              <w:autoSpaceDE/>
              <w:autoSpaceDN/>
              <w:bidi w:val="0"/>
              <w:adjustRightInd w:val="0"/>
              <w:snapToGrid w:val="0"/>
              <w:spacing w:line="221" w:lineRule="auto"/>
              <w:ind w:left="0" w:firstLine="0" w:firstLineChars="0"/>
              <w:jc w:val="center"/>
              <w:textAlignment w:val="auto"/>
              <w:rPr>
                <w:b/>
                <w:bCs/>
                <w:u w:val="single"/>
              </w:rPr>
            </w:pPr>
            <w:r>
              <w:rPr>
                <w:b/>
                <w:bCs/>
                <w:spacing w:val="-3"/>
                <w:u w:val="single"/>
              </w:rPr>
              <w:t>正常</w:t>
            </w:r>
          </w:p>
        </w:tc>
        <w:tc>
          <w:tcPr>
            <w:tcW w:w="573" w:type="dxa"/>
            <w:vAlign w:val="center"/>
          </w:tcPr>
          <w:p w14:paraId="17EA91EE">
            <w:pPr>
              <w:pStyle w:val="182"/>
              <w:bidi w:val="0"/>
              <w:ind w:firstLine="0" w:firstLineChars="0"/>
              <w:rPr>
                <w:rFonts w:ascii="Times New Roman" w:hAnsi="Times New Roman" w:eastAsia="Times New Roman" w:cs="Times New Roman"/>
                <w:b/>
                <w:bCs/>
                <w:sz w:val="21"/>
                <w:szCs w:val="21"/>
                <w:u w:val="single"/>
              </w:rPr>
            </w:pPr>
            <w:r>
              <w:rPr>
                <w:rFonts w:hint="eastAsia"/>
                <w:b/>
                <w:bCs/>
                <w:color w:val="auto"/>
                <w:u w:val="single"/>
                <w:lang w:val="en-US" w:eastAsia="zh-CN"/>
              </w:rPr>
              <w:t>0.0189</w:t>
            </w:r>
          </w:p>
        </w:tc>
        <w:tc>
          <w:tcPr>
            <w:tcW w:w="681" w:type="dxa"/>
            <w:vAlign w:val="center"/>
          </w:tcPr>
          <w:p w14:paraId="7C3E5176">
            <w:pPr>
              <w:pStyle w:val="182"/>
              <w:bidi w:val="0"/>
              <w:ind w:firstLine="0" w:firstLineChars="0"/>
              <w:rPr>
                <w:rFonts w:ascii="Times New Roman" w:hAnsi="Times New Roman" w:eastAsia="Times New Roman" w:cs="Times New Roman"/>
                <w:b/>
                <w:bCs/>
                <w:sz w:val="21"/>
                <w:szCs w:val="21"/>
                <w:u w:val="single"/>
              </w:rPr>
            </w:pPr>
            <w:r>
              <w:rPr>
                <w:rFonts w:hint="eastAsia"/>
                <w:b/>
                <w:bCs/>
                <w:color w:val="auto"/>
                <w:u w:val="single"/>
                <w:lang w:val="en-US" w:eastAsia="zh-CN"/>
              </w:rPr>
              <w:t>/</w:t>
            </w:r>
          </w:p>
        </w:tc>
      </w:tr>
      <w:tr w14:paraId="5846F1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624" w:type="dxa"/>
            <w:tcBorders>
              <w:left w:val="single" w:color="000000" w:sz="6" w:space="0"/>
            </w:tcBorders>
            <w:vAlign w:val="center"/>
          </w:tcPr>
          <w:p w14:paraId="1A82FB97">
            <w:pPr>
              <w:pStyle w:val="186"/>
              <w:keepNext w:val="0"/>
              <w:keepLines w:val="0"/>
              <w:pageBreakBefore w:val="0"/>
              <w:widowControl w:val="0"/>
              <w:kinsoku/>
              <w:wordWrap/>
              <w:overflowPunct/>
              <w:topLinePunct w:val="0"/>
              <w:autoSpaceDE/>
              <w:autoSpaceDN/>
              <w:bidi w:val="0"/>
              <w:adjustRightInd w:val="0"/>
              <w:snapToGrid w:val="0"/>
              <w:spacing w:line="219" w:lineRule="auto"/>
              <w:ind w:left="0" w:right="63" w:firstLine="0" w:firstLineChars="0"/>
              <w:jc w:val="center"/>
              <w:textAlignment w:val="auto"/>
              <w:rPr>
                <w:rFonts w:hint="default" w:ascii="Times New Roman" w:hAnsi="Times New Roman" w:eastAsia="宋体" w:cs="Times New Roman"/>
                <w:b/>
                <w:bCs/>
                <w:u w:val="single"/>
                <w:lang w:val="en-US" w:eastAsia="zh-CN"/>
              </w:rPr>
            </w:pPr>
            <w:r>
              <w:rPr>
                <w:b/>
                <w:bCs/>
                <w:spacing w:val="-3"/>
                <w:u w:val="single"/>
              </w:rPr>
              <w:t>排气</w:t>
            </w:r>
            <w:r>
              <w:rPr>
                <w:b/>
                <w:bCs/>
                <w:spacing w:val="-5"/>
                <w:u w:val="single"/>
              </w:rPr>
              <w:t>筒</w:t>
            </w:r>
            <w:r>
              <w:rPr>
                <w:b/>
                <w:bCs/>
                <w:spacing w:val="-48"/>
                <w:u w:val="single"/>
              </w:rPr>
              <w:t xml:space="preserve"> </w:t>
            </w:r>
            <w:r>
              <w:rPr>
                <w:rFonts w:hint="eastAsia" w:ascii="Times New Roman" w:hAnsi="Times New Roman" w:cs="Times New Roman"/>
                <w:b/>
                <w:bCs/>
                <w:spacing w:val="-5"/>
                <w:u w:val="single"/>
                <w:lang w:val="en-US" w:eastAsia="zh-CN"/>
              </w:rPr>
              <w:t>DA030</w:t>
            </w:r>
          </w:p>
        </w:tc>
        <w:tc>
          <w:tcPr>
            <w:tcW w:w="624" w:type="dxa"/>
            <w:vAlign w:val="center"/>
          </w:tcPr>
          <w:p w14:paraId="68FFB843">
            <w:pPr>
              <w:keepNext w:val="0"/>
              <w:keepLines w:val="0"/>
              <w:pageBreakBefore w:val="0"/>
              <w:widowControl w:val="0"/>
              <w:kinsoku/>
              <w:wordWrap/>
              <w:overflowPunct/>
              <w:topLinePunct w:val="0"/>
              <w:autoSpaceDE/>
              <w:autoSpaceDN/>
              <w:bidi w:val="0"/>
              <w:adjustRightInd w:val="0"/>
              <w:snapToGrid w:val="0"/>
              <w:spacing w:line="187" w:lineRule="auto"/>
              <w:ind w:left="0" w:firstLine="0" w:firstLineChars="0"/>
              <w:jc w:val="center"/>
              <w:textAlignment w:val="auto"/>
              <w:rPr>
                <w:rFonts w:ascii="Times New Roman" w:hAnsi="Times New Roman" w:eastAsia="Times New Roman" w:cs="Times New Roman"/>
                <w:b/>
                <w:bCs/>
                <w:sz w:val="21"/>
                <w:szCs w:val="21"/>
                <w:u w:val="single"/>
              </w:rPr>
            </w:pPr>
            <w:r>
              <w:rPr>
                <w:rFonts w:hint="eastAsia" w:cs="Times New Roman"/>
                <w:b/>
                <w:bCs/>
                <w:spacing w:val="-5"/>
                <w:sz w:val="21"/>
                <w:szCs w:val="21"/>
                <w:u w:val="single"/>
                <w:lang w:val="en-US" w:eastAsia="zh-CN"/>
              </w:rPr>
              <w:t>DA030</w:t>
            </w:r>
          </w:p>
        </w:tc>
        <w:tc>
          <w:tcPr>
            <w:tcW w:w="624" w:type="dxa"/>
            <w:vAlign w:val="center"/>
          </w:tcPr>
          <w:p w14:paraId="27E4DA04">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ascii="Times New Roman" w:hAnsi="Times New Roman" w:eastAsia="Times New Roman" w:cs="Times New Roman"/>
                <w:b/>
                <w:bCs/>
                <w:sz w:val="21"/>
                <w:szCs w:val="21"/>
                <w:u w:val="single"/>
              </w:rPr>
            </w:pPr>
            <w:r>
              <w:rPr>
                <w:rFonts w:hint="eastAsia"/>
                <w:b/>
                <w:bCs/>
                <w:color w:val="auto"/>
                <w:u w:val="single"/>
                <w:lang w:val="en-US" w:eastAsia="zh-CN"/>
              </w:rPr>
              <w:t>101</w:t>
            </w:r>
          </w:p>
        </w:tc>
        <w:tc>
          <w:tcPr>
            <w:tcW w:w="624" w:type="dxa"/>
            <w:vAlign w:val="center"/>
          </w:tcPr>
          <w:p w14:paraId="44188819">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ascii="Times New Roman" w:hAnsi="Times New Roman" w:eastAsia="Times New Roman" w:cs="Times New Roman"/>
                <w:b/>
                <w:bCs/>
                <w:sz w:val="21"/>
                <w:szCs w:val="21"/>
                <w:u w:val="single"/>
              </w:rPr>
            </w:pPr>
            <w:r>
              <w:rPr>
                <w:rFonts w:hint="eastAsia"/>
                <w:b/>
                <w:bCs/>
                <w:color w:val="auto"/>
                <w:u w:val="single"/>
                <w:lang w:val="en-US" w:eastAsia="zh-CN"/>
              </w:rPr>
              <w:t>56</w:t>
            </w:r>
          </w:p>
        </w:tc>
        <w:tc>
          <w:tcPr>
            <w:tcW w:w="624" w:type="dxa"/>
            <w:vAlign w:val="center"/>
          </w:tcPr>
          <w:p w14:paraId="5685FC00">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ascii="Times New Roman" w:hAnsi="Times New Roman" w:eastAsia="Times New Roman" w:cs="Times New Roman"/>
                <w:b/>
                <w:bCs/>
                <w:sz w:val="21"/>
                <w:szCs w:val="21"/>
                <w:u w:val="single"/>
              </w:rPr>
            </w:pPr>
            <w:r>
              <w:rPr>
                <w:b/>
                <w:bCs/>
                <w:color w:val="auto"/>
                <w:u w:val="single"/>
              </w:rPr>
              <w:t>7</w:t>
            </w:r>
            <w:r>
              <w:rPr>
                <w:rFonts w:hint="eastAsia"/>
                <w:b/>
                <w:bCs/>
                <w:color w:val="auto"/>
                <w:u w:val="single"/>
                <w:lang w:val="en-US" w:eastAsia="zh-CN"/>
              </w:rPr>
              <w:t>2</w:t>
            </w:r>
          </w:p>
        </w:tc>
        <w:tc>
          <w:tcPr>
            <w:tcW w:w="624" w:type="dxa"/>
            <w:vAlign w:val="center"/>
          </w:tcPr>
          <w:p w14:paraId="025ADDB1">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ascii="Times New Roman" w:hAnsi="Times New Roman" w:eastAsia="Times New Roman" w:cs="Times New Roman"/>
                <w:b/>
                <w:bCs/>
                <w:sz w:val="21"/>
                <w:szCs w:val="21"/>
                <w:u w:val="single"/>
              </w:rPr>
            </w:pPr>
            <w:r>
              <w:rPr>
                <w:rFonts w:hint="eastAsia"/>
                <w:b/>
                <w:bCs/>
                <w:color w:val="auto"/>
                <w:u w:val="single"/>
                <w:lang w:val="en-US" w:eastAsia="zh-CN"/>
              </w:rPr>
              <w:t>20</w:t>
            </w:r>
          </w:p>
        </w:tc>
        <w:tc>
          <w:tcPr>
            <w:tcW w:w="624" w:type="dxa"/>
            <w:vAlign w:val="center"/>
          </w:tcPr>
          <w:p w14:paraId="1F04BEDD">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hint="default" w:ascii="Times New Roman" w:hAnsi="Times New Roman" w:eastAsia="Times New Roman" w:cs="Times New Roman"/>
                <w:b/>
                <w:bCs/>
                <w:sz w:val="21"/>
                <w:szCs w:val="21"/>
                <w:u w:val="single"/>
                <w:lang w:val="en-US"/>
              </w:rPr>
            </w:pPr>
            <w:r>
              <w:rPr>
                <w:rFonts w:hint="eastAsia"/>
                <w:b/>
                <w:bCs/>
                <w:color w:val="auto"/>
                <w:u w:val="single"/>
                <w:lang w:val="en-US" w:eastAsia="zh-CN"/>
              </w:rPr>
              <w:t>0.7</w:t>
            </w:r>
          </w:p>
        </w:tc>
        <w:tc>
          <w:tcPr>
            <w:tcW w:w="624" w:type="dxa"/>
            <w:vAlign w:val="center"/>
          </w:tcPr>
          <w:p w14:paraId="243D865C">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hint="default" w:ascii="Times New Roman" w:hAnsi="Times New Roman" w:eastAsia="Times New Roman" w:cs="Times New Roman"/>
                <w:b/>
                <w:bCs/>
                <w:sz w:val="21"/>
                <w:szCs w:val="21"/>
                <w:u w:val="single"/>
                <w:lang w:val="en-US"/>
              </w:rPr>
            </w:pPr>
            <w:r>
              <w:rPr>
                <w:rFonts w:hint="eastAsia"/>
                <w:b/>
                <w:bCs/>
                <w:color w:val="auto"/>
                <w:u w:val="single"/>
                <w:lang w:val="en-US" w:eastAsia="zh-CN"/>
              </w:rPr>
              <w:t>14.43</w:t>
            </w:r>
          </w:p>
        </w:tc>
        <w:tc>
          <w:tcPr>
            <w:tcW w:w="624" w:type="dxa"/>
            <w:vAlign w:val="center"/>
          </w:tcPr>
          <w:p w14:paraId="68D0D372">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ascii="Times New Roman" w:hAnsi="Times New Roman" w:eastAsia="Times New Roman" w:cs="Times New Roman"/>
                <w:b/>
                <w:bCs/>
                <w:sz w:val="21"/>
                <w:szCs w:val="21"/>
                <w:u w:val="single"/>
              </w:rPr>
            </w:pPr>
            <w:r>
              <w:rPr>
                <w:rFonts w:hint="eastAsia"/>
                <w:b/>
                <w:bCs/>
                <w:color w:val="auto"/>
                <w:u w:val="single"/>
                <w:lang w:val="en-US" w:eastAsia="zh-CN"/>
              </w:rPr>
              <w:t>25</w:t>
            </w:r>
          </w:p>
        </w:tc>
        <w:tc>
          <w:tcPr>
            <w:tcW w:w="624" w:type="dxa"/>
            <w:vAlign w:val="center"/>
          </w:tcPr>
          <w:p w14:paraId="66732AB4">
            <w:pPr>
              <w:pStyle w:val="182"/>
              <w:keepNext w:val="0"/>
              <w:keepLines w:val="0"/>
              <w:pageBreakBefore w:val="0"/>
              <w:widowControl w:val="0"/>
              <w:kinsoku/>
              <w:wordWrap/>
              <w:overflowPunct/>
              <w:topLinePunct w:val="0"/>
              <w:autoSpaceDE/>
              <w:autoSpaceDN/>
              <w:bidi w:val="0"/>
              <w:adjustRightInd w:val="0"/>
              <w:snapToGrid w:val="0"/>
              <w:ind w:left="0" w:firstLine="0" w:firstLineChars="0"/>
              <w:textAlignment w:val="auto"/>
              <w:rPr>
                <w:rFonts w:ascii="Times New Roman" w:hAnsi="Times New Roman" w:eastAsia="Times New Roman" w:cs="Times New Roman"/>
                <w:b/>
                <w:bCs/>
                <w:sz w:val="21"/>
                <w:szCs w:val="21"/>
                <w:u w:val="single"/>
              </w:rPr>
            </w:pPr>
            <w:r>
              <w:rPr>
                <w:rFonts w:hint="eastAsia"/>
                <w:b/>
                <w:bCs/>
                <w:color w:val="auto"/>
                <w:u w:val="single"/>
                <w:lang w:val="en-US" w:eastAsia="zh-CN"/>
              </w:rPr>
              <w:t>7920</w:t>
            </w:r>
          </w:p>
        </w:tc>
        <w:tc>
          <w:tcPr>
            <w:tcW w:w="624" w:type="dxa"/>
            <w:vAlign w:val="center"/>
          </w:tcPr>
          <w:p w14:paraId="3BDFEF60">
            <w:pPr>
              <w:pStyle w:val="186"/>
              <w:keepNext w:val="0"/>
              <w:keepLines w:val="0"/>
              <w:pageBreakBefore w:val="0"/>
              <w:widowControl w:val="0"/>
              <w:kinsoku/>
              <w:wordWrap/>
              <w:overflowPunct/>
              <w:topLinePunct w:val="0"/>
              <w:autoSpaceDE/>
              <w:autoSpaceDN/>
              <w:bidi w:val="0"/>
              <w:adjustRightInd w:val="0"/>
              <w:snapToGrid w:val="0"/>
              <w:spacing w:line="221" w:lineRule="auto"/>
              <w:ind w:left="0" w:firstLine="0" w:firstLineChars="0"/>
              <w:jc w:val="center"/>
              <w:textAlignment w:val="auto"/>
              <w:rPr>
                <w:b/>
                <w:bCs/>
                <w:u w:val="single"/>
              </w:rPr>
            </w:pPr>
            <w:r>
              <w:rPr>
                <w:b/>
                <w:bCs/>
                <w:spacing w:val="-3"/>
                <w:u w:val="single"/>
              </w:rPr>
              <w:t>正常</w:t>
            </w:r>
          </w:p>
        </w:tc>
        <w:tc>
          <w:tcPr>
            <w:tcW w:w="573" w:type="dxa"/>
            <w:vAlign w:val="center"/>
          </w:tcPr>
          <w:p w14:paraId="752D8975">
            <w:pPr>
              <w:pStyle w:val="182"/>
              <w:bidi w:val="0"/>
              <w:ind w:firstLine="0" w:firstLineChars="0"/>
              <w:rPr>
                <w:rFonts w:ascii="Times New Roman" w:hAnsi="Times New Roman" w:eastAsia="Times New Roman" w:cs="Times New Roman"/>
                <w:b/>
                <w:bCs/>
                <w:sz w:val="21"/>
                <w:szCs w:val="21"/>
                <w:u w:val="single"/>
              </w:rPr>
            </w:pPr>
            <w:r>
              <w:rPr>
                <w:rFonts w:hint="eastAsia"/>
                <w:b/>
                <w:bCs/>
                <w:color w:val="auto"/>
                <w:u w:val="single"/>
                <w:lang w:val="en-US" w:eastAsia="zh-CN"/>
              </w:rPr>
              <w:t>/</w:t>
            </w:r>
          </w:p>
        </w:tc>
        <w:tc>
          <w:tcPr>
            <w:tcW w:w="681" w:type="dxa"/>
            <w:vAlign w:val="center"/>
          </w:tcPr>
          <w:p w14:paraId="1CB16A28">
            <w:pPr>
              <w:pStyle w:val="182"/>
              <w:bidi w:val="0"/>
              <w:ind w:firstLine="0" w:firstLineChars="0"/>
              <w:rPr>
                <w:rFonts w:hint="default" w:ascii="Times New Roman" w:hAnsi="Times New Roman" w:eastAsia="Times New Roman" w:cs="Times New Roman"/>
                <w:b/>
                <w:bCs/>
                <w:sz w:val="21"/>
                <w:szCs w:val="21"/>
                <w:u w:val="single"/>
                <w:lang w:val="en-US"/>
              </w:rPr>
            </w:pPr>
            <w:r>
              <w:rPr>
                <w:rFonts w:hint="eastAsia" w:eastAsia="宋体"/>
                <w:b/>
                <w:bCs/>
                <w:u w:val="single"/>
                <w:lang w:val="en-US" w:eastAsia="zh-CN"/>
              </w:rPr>
              <w:t>0.0</w:t>
            </w:r>
            <w:r>
              <w:rPr>
                <w:rFonts w:hint="eastAsia"/>
                <w:b/>
                <w:bCs/>
                <w:u w:val="single"/>
                <w:lang w:val="en-US" w:eastAsia="zh-CN"/>
              </w:rPr>
              <w:t>214</w:t>
            </w:r>
          </w:p>
        </w:tc>
      </w:tr>
    </w:tbl>
    <w:p w14:paraId="02E7C4E5">
      <w:pPr>
        <w:bidi w:val="0"/>
        <w:rPr>
          <w:color w:val="auto"/>
        </w:rPr>
      </w:pPr>
    </w:p>
    <w:p w14:paraId="6F803C56">
      <w:pPr>
        <w:bidi w:val="0"/>
        <w:rPr>
          <w:color w:val="auto"/>
        </w:rPr>
      </w:pPr>
      <w:r>
        <w:rPr>
          <w:color w:val="auto"/>
        </w:rPr>
        <w:t>本次工程</w:t>
      </w:r>
      <w:r>
        <w:rPr>
          <w:rFonts w:hint="eastAsia"/>
          <w:color w:val="auto"/>
          <w:lang w:eastAsia="zh-CN"/>
        </w:rPr>
        <w:t>涉及的</w:t>
      </w:r>
      <w:r>
        <w:rPr>
          <w:color w:val="auto"/>
        </w:rPr>
        <w:t>废气污染源</w:t>
      </w:r>
      <w:r>
        <w:rPr>
          <w:rFonts w:hint="eastAsia"/>
          <w:color w:val="auto"/>
        </w:rPr>
        <w:t>（面源）</w:t>
      </w:r>
      <w:r>
        <w:rPr>
          <w:color w:val="auto"/>
        </w:rPr>
        <w:t>的各项污染物参数见下表。</w:t>
      </w:r>
    </w:p>
    <w:p w14:paraId="7FCFCDD1">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 xml:space="preserve">表 </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6.1</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7</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项目面源参数表</w:t>
      </w:r>
    </w:p>
    <w:tbl>
      <w:tblPr>
        <w:tblStyle w:val="32"/>
        <w:tblW w:w="483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2"/>
        <w:gridCol w:w="660"/>
        <w:gridCol w:w="533"/>
        <w:gridCol w:w="500"/>
        <w:gridCol w:w="644"/>
        <w:gridCol w:w="644"/>
        <w:gridCol w:w="640"/>
        <w:gridCol w:w="640"/>
        <w:gridCol w:w="818"/>
        <w:gridCol w:w="701"/>
        <w:gridCol w:w="1681"/>
      </w:tblGrid>
      <w:tr w14:paraId="2F0BE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4" w:type="pct"/>
            <w:vMerge w:val="restart"/>
            <w:vAlign w:val="center"/>
          </w:tcPr>
          <w:p w14:paraId="5AF8D9A7">
            <w:pPr>
              <w:pStyle w:val="182"/>
              <w:bidi w:val="0"/>
              <w:rPr>
                <w:b/>
                <w:bCs/>
                <w:color w:val="auto"/>
                <w:u w:val="single"/>
              </w:rPr>
            </w:pPr>
            <w:r>
              <w:rPr>
                <w:b/>
                <w:bCs/>
                <w:color w:val="auto"/>
                <w:u w:val="single"/>
              </w:rPr>
              <w:t>面源名称</w:t>
            </w:r>
          </w:p>
        </w:tc>
        <w:tc>
          <w:tcPr>
            <w:tcW w:w="723" w:type="pct"/>
            <w:gridSpan w:val="2"/>
            <w:vAlign w:val="center"/>
          </w:tcPr>
          <w:p w14:paraId="7E6A088F">
            <w:pPr>
              <w:pStyle w:val="182"/>
              <w:bidi w:val="0"/>
              <w:rPr>
                <w:b/>
                <w:bCs/>
                <w:color w:val="auto"/>
                <w:u w:val="single"/>
              </w:rPr>
            </w:pPr>
            <w:r>
              <w:rPr>
                <w:b/>
                <w:bCs/>
                <w:color w:val="auto"/>
                <w:u w:val="single"/>
              </w:rPr>
              <w:t>面源起点</w:t>
            </w:r>
          </w:p>
          <w:p w14:paraId="178BA4FE">
            <w:pPr>
              <w:pStyle w:val="182"/>
              <w:bidi w:val="0"/>
              <w:rPr>
                <w:b/>
                <w:bCs/>
                <w:color w:val="auto"/>
                <w:u w:val="single"/>
              </w:rPr>
            </w:pPr>
            <w:r>
              <w:rPr>
                <w:b/>
                <w:bCs/>
                <w:color w:val="auto"/>
                <w:u w:val="single"/>
              </w:rPr>
              <w:t>坐标</w:t>
            </w:r>
          </w:p>
        </w:tc>
        <w:tc>
          <w:tcPr>
            <w:tcW w:w="303" w:type="pct"/>
            <w:vMerge w:val="restart"/>
            <w:vAlign w:val="center"/>
          </w:tcPr>
          <w:p w14:paraId="41711D66">
            <w:pPr>
              <w:pStyle w:val="182"/>
              <w:bidi w:val="0"/>
              <w:rPr>
                <w:b/>
                <w:bCs/>
                <w:color w:val="auto"/>
                <w:u w:val="single"/>
              </w:rPr>
            </w:pPr>
            <w:r>
              <w:rPr>
                <w:b/>
                <w:bCs/>
                <w:color w:val="auto"/>
                <w:u w:val="single"/>
              </w:rPr>
              <w:t>海拔高度/m</w:t>
            </w:r>
          </w:p>
        </w:tc>
        <w:tc>
          <w:tcPr>
            <w:tcW w:w="390" w:type="pct"/>
            <w:vMerge w:val="restart"/>
            <w:vAlign w:val="center"/>
          </w:tcPr>
          <w:p w14:paraId="18E92E3D">
            <w:pPr>
              <w:pStyle w:val="182"/>
              <w:bidi w:val="0"/>
              <w:rPr>
                <w:b/>
                <w:bCs/>
                <w:color w:val="auto"/>
                <w:u w:val="single"/>
              </w:rPr>
            </w:pPr>
            <w:r>
              <w:rPr>
                <w:b/>
                <w:bCs/>
                <w:color w:val="auto"/>
                <w:u w:val="single"/>
              </w:rPr>
              <w:t>面源长度/m</w:t>
            </w:r>
          </w:p>
        </w:tc>
        <w:tc>
          <w:tcPr>
            <w:tcW w:w="390" w:type="pct"/>
            <w:vMerge w:val="restart"/>
            <w:vAlign w:val="center"/>
          </w:tcPr>
          <w:p w14:paraId="1AF60B54">
            <w:pPr>
              <w:pStyle w:val="182"/>
              <w:bidi w:val="0"/>
              <w:rPr>
                <w:b/>
                <w:bCs/>
                <w:color w:val="auto"/>
                <w:u w:val="single"/>
              </w:rPr>
            </w:pPr>
            <w:r>
              <w:rPr>
                <w:b/>
                <w:bCs/>
                <w:color w:val="auto"/>
                <w:u w:val="single"/>
              </w:rPr>
              <w:t>面源宽度/m</w:t>
            </w:r>
          </w:p>
        </w:tc>
        <w:tc>
          <w:tcPr>
            <w:tcW w:w="388" w:type="pct"/>
            <w:vMerge w:val="restart"/>
            <w:vAlign w:val="center"/>
          </w:tcPr>
          <w:p w14:paraId="15966F42">
            <w:pPr>
              <w:pStyle w:val="182"/>
              <w:bidi w:val="0"/>
              <w:rPr>
                <w:b/>
                <w:bCs/>
                <w:color w:val="auto"/>
                <w:u w:val="single"/>
              </w:rPr>
            </w:pPr>
            <w:r>
              <w:rPr>
                <w:b/>
                <w:bCs/>
                <w:color w:val="auto"/>
                <w:u w:val="single"/>
              </w:rPr>
              <w:t>与正北夹角/°</w:t>
            </w:r>
          </w:p>
        </w:tc>
        <w:tc>
          <w:tcPr>
            <w:tcW w:w="388" w:type="pct"/>
            <w:vMerge w:val="restart"/>
            <w:vAlign w:val="center"/>
          </w:tcPr>
          <w:p w14:paraId="33541F2E">
            <w:pPr>
              <w:pStyle w:val="182"/>
              <w:bidi w:val="0"/>
              <w:rPr>
                <w:b/>
                <w:bCs/>
                <w:color w:val="auto"/>
                <w:u w:val="single"/>
              </w:rPr>
            </w:pPr>
            <w:r>
              <w:rPr>
                <w:rFonts w:hint="eastAsia"/>
                <w:b/>
                <w:bCs/>
                <w:color w:val="auto"/>
                <w:u w:val="single"/>
              </w:rPr>
              <w:t>面源有效排放高度/m</w:t>
            </w:r>
          </w:p>
        </w:tc>
        <w:tc>
          <w:tcPr>
            <w:tcW w:w="496" w:type="pct"/>
            <w:vMerge w:val="restart"/>
            <w:vAlign w:val="center"/>
          </w:tcPr>
          <w:p w14:paraId="64C021E4">
            <w:pPr>
              <w:pStyle w:val="182"/>
              <w:bidi w:val="0"/>
              <w:rPr>
                <w:b/>
                <w:bCs/>
                <w:color w:val="auto"/>
                <w:u w:val="single"/>
              </w:rPr>
            </w:pPr>
            <w:r>
              <w:rPr>
                <w:b/>
                <w:bCs/>
                <w:color w:val="auto"/>
                <w:u w:val="single"/>
              </w:rPr>
              <w:t>年排放小时数/h</w:t>
            </w:r>
          </w:p>
        </w:tc>
        <w:tc>
          <w:tcPr>
            <w:tcW w:w="425" w:type="pct"/>
            <w:vMerge w:val="restart"/>
            <w:vAlign w:val="center"/>
          </w:tcPr>
          <w:p w14:paraId="3E55767A">
            <w:pPr>
              <w:pStyle w:val="182"/>
              <w:bidi w:val="0"/>
              <w:rPr>
                <w:b/>
                <w:bCs/>
                <w:color w:val="auto"/>
                <w:u w:val="single"/>
              </w:rPr>
            </w:pPr>
            <w:r>
              <w:rPr>
                <w:b/>
                <w:bCs/>
                <w:color w:val="auto"/>
                <w:u w:val="single"/>
              </w:rPr>
              <w:t>排放工况</w:t>
            </w:r>
          </w:p>
        </w:tc>
        <w:tc>
          <w:tcPr>
            <w:tcW w:w="1019" w:type="pct"/>
            <w:vAlign w:val="center"/>
          </w:tcPr>
          <w:p w14:paraId="0D7FD44E">
            <w:pPr>
              <w:pStyle w:val="182"/>
              <w:bidi w:val="0"/>
              <w:rPr>
                <w:b/>
                <w:bCs/>
                <w:color w:val="auto"/>
                <w:u w:val="single"/>
              </w:rPr>
            </w:pPr>
            <w:r>
              <w:rPr>
                <w:b/>
                <w:bCs/>
                <w:color w:val="auto"/>
                <w:u w:val="single"/>
              </w:rPr>
              <w:t>污染物排放速率</w:t>
            </w:r>
          </w:p>
        </w:tc>
      </w:tr>
      <w:tr w14:paraId="44181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4" w:type="pct"/>
            <w:vMerge w:val="continue"/>
            <w:vAlign w:val="center"/>
          </w:tcPr>
          <w:p w14:paraId="45BBDE10">
            <w:pPr>
              <w:pStyle w:val="182"/>
              <w:bidi w:val="0"/>
              <w:rPr>
                <w:b/>
                <w:bCs/>
                <w:color w:val="auto"/>
                <w:u w:val="single"/>
              </w:rPr>
            </w:pPr>
          </w:p>
        </w:tc>
        <w:tc>
          <w:tcPr>
            <w:tcW w:w="400" w:type="pct"/>
            <w:vAlign w:val="center"/>
          </w:tcPr>
          <w:p w14:paraId="651B4234">
            <w:pPr>
              <w:pStyle w:val="182"/>
              <w:bidi w:val="0"/>
              <w:rPr>
                <w:b/>
                <w:bCs/>
                <w:color w:val="auto"/>
                <w:u w:val="single"/>
              </w:rPr>
            </w:pPr>
            <w:r>
              <w:rPr>
                <w:rFonts w:hint="eastAsia"/>
                <w:b/>
                <w:bCs/>
                <w:color w:val="auto"/>
                <w:u w:val="single"/>
              </w:rPr>
              <w:t>X</w:t>
            </w:r>
          </w:p>
        </w:tc>
        <w:tc>
          <w:tcPr>
            <w:tcW w:w="323" w:type="pct"/>
            <w:vAlign w:val="center"/>
          </w:tcPr>
          <w:p w14:paraId="233BF781">
            <w:pPr>
              <w:pStyle w:val="182"/>
              <w:bidi w:val="0"/>
              <w:rPr>
                <w:b/>
                <w:bCs/>
                <w:color w:val="auto"/>
                <w:u w:val="single"/>
              </w:rPr>
            </w:pPr>
            <w:r>
              <w:rPr>
                <w:rFonts w:hint="eastAsia"/>
                <w:b/>
                <w:bCs/>
                <w:color w:val="auto"/>
                <w:u w:val="single"/>
              </w:rPr>
              <w:t>Y</w:t>
            </w:r>
          </w:p>
        </w:tc>
        <w:tc>
          <w:tcPr>
            <w:tcW w:w="303" w:type="pct"/>
            <w:vMerge w:val="continue"/>
            <w:vAlign w:val="center"/>
          </w:tcPr>
          <w:p w14:paraId="6F21F8D8">
            <w:pPr>
              <w:pStyle w:val="182"/>
              <w:bidi w:val="0"/>
              <w:rPr>
                <w:b/>
                <w:bCs/>
                <w:color w:val="auto"/>
                <w:u w:val="single"/>
              </w:rPr>
            </w:pPr>
          </w:p>
        </w:tc>
        <w:tc>
          <w:tcPr>
            <w:tcW w:w="390" w:type="pct"/>
            <w:vMerge w:val="continue"/>
            <w:vAlign w:val="center"/>
          </w:tcPr>
          <w:p w14:paraId="253DE660">
            <w:pPr>
              <w:pStyle w:val="182"/>
              <w:bidi w:val="0"/>
              <w:rPr>
                <w:b/>
                <w:bCs/>
                <w:color w:val="auto"/>
                <w:u w:val="single"/>
              </w:rPr>
            </w:pPr>
          </w:p>
        </w:tc>
        <w:tc>
          <w:tcPr>
            <w:tcW w:w="390" w:type="pct"/>
            <w:vMerge w:val="continue"/>
            <w:vAlign w:val="center"/>
          </w:tcPr>
          <w:p w14:paraId="158D99B7">
            <w:pPr>
              <w:pStyle w:val="182"/>
              <w:bidi w:val="0"/>
              <w:rPr>
                <w:b/>
                <w:bCs/>
                <w:color w:val="auto"/>
                <w:u w:val="single"/>
              </w:rPr>
            </w:pPr>
          </w:p>
        </w:tc>
        <w:tc>
          <w:tcPr>
            <w:tcW w:w="388" w:type="pct"/>
            <w:vMerge w:val="continue"/>
            <w:vAlign w:val="center"/>
          </w:tcPr>
          <w:p w14:paraId="073F1D66">
            <w:pPr>
              <w:pStyle w:val="182"/>
              <w:bidi w:val="0"/>
              <w:rPr>
                <w:b/>
                <w:bCs/>
                <w:color w:val="auto"/>
                <w:u w:val="single"/>
              </w:rPr>
            </w:pPr>
          </w:p>
        </w:tc>
        <w:tc>
          <w:tcPr>
            <w:tcW w:w="388" w:type="pct"/>
            <w:vMerge w:val="continue"/>
            <w:vAlign w:val="center"/>
          </w:tcPr>
          <w:p w14:paraId="332D0F44">
            <w:pPr>
              <w:pStyle w:val="182"/>
              <w:bidi w:val="0"/>
              <w:rPr>
                <w:b/>
                <w:bCs/>
                <w:color w:val="auto"/>
                <w:u w:val="single"/>
              </w:rPr>
            </w:pPr>
          </w:p>
        </w:tc>
        <w:tc>
          <w:tcPr>
            <w:tcW w:w="496" w:type="pct"/>
            <w:vMerge w:val="continue"/>
            <w:vAlign w:val="center"/>
          </w:tcPr>
          <w:p w14:paraId="04F4BC3D">
            <w:pPr>
              <w:pStyle w:val="182"/>
              <w:bidi w:val="0"/>
              <w:rPr>
                <w:b/>
                <w:bCs/>
                <w:color w:val="auto"/>
                <w:u w:val="single"/>
              </w:rPr>
            </w:pPr>
          </w:p>
        </w:tc>
        <w:tc>
          <w:tcPr>
            <w:tcW w:w="425" w:type="pct"/>
            <w:vMerge w:val="continue"/>
            <w:vAlign w:val="center"/>
          </w:tcPr>
          <w:p w14:paraId="6F988531">
            <w:pPr>
              <w:pStyle w:val="182"/>
              <w:bidi w:val="0"/>
              <w:rPr>
                <w:b/>
                <w:bCs/>
                <w:color w:val="auto"/>
                <w:u w:val="single"/>
              </w:rPr>
            </w:pPr>
          </w:p>
        </w:tc>
        <w:tc>
          <w:tcPr>
            <w:tcW w:w="1019" w:type="pct"/>
            <w:vAlign w:val="center"/>
          </w:tcPr>
          <w:p w14:paraId="1458C05B">
            <w:pPr>
              <w:pStyle w:val="182"/>
              <w:bidi w:val="0"/>
              <w:rPr>
                <w:rFonts w:hint="eastAsia" w:eastAsia="宋体"/>
                <w:b/>
                <w:bCs/>
                <w:color w:val="auto"/>
                <w:u w:val="single"/>
                <w:lang w:val="en-US" w:eastAsia="zh-CN"/>
              </w:rPr>
            </w:pPr>
            <w:r>
              <w:rPr>
                <w:rFonts w:hint="eastAsia"/>
                <w:b/>
                <w:bCs/>
                <w:color w:val="auto"/>
                <w:u w:val="single"/>
                <w:lang w:val="en-US" w:eastAsia="zh-CN"/>
              </w:rPr>
              <w:t>NMHC</w:t>
            </w:r>
            <w:r>
              <w:rPr>
                <w:rFonts w:hint="eastAsia"/>
                <w:b/>
                <w:bCs/>
                <w:color w:val="auto"/>
                <w:u w:val="single"/>
              </w:rPr>
              <w:t>t/a</w:t>
            </w:r>
          </w:p>
        </w:tc>
      </w:tr>
      <w:tr w14:paraId="67A8B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4" w:type="pct"/>
            <w:vAlign w:val="center"/>
          </w:tcPr>
          <w:p w14:paraId="41D35391">
            <w:pPr>
              <w:pStyle w:val="182"/>
              <w:bidi w:val="0"/>
              <w:rPr>
                <w:rFonts w:hint="default" w:eastAsia="宋体"/>
                <w:b/>
                <w:bCs/>
                <w:color w:val="auto"/>
                <w:u w:val="single"/>
                <w:lang w:val="en-US" w:eastAsia="zh-CN"/>
              </w:rPr>
            </w:pPr>
            <w:r>
              <w:rPr>
                <w:rFonts w:hint="eastAsia"/>
                <w:b/>
                <w:bCs/>
                <w:color w:val="auto"/>
                <w:u w:val="single"/>
                <w:lang w:val="en-US" w:eastAsia="zh-CN"/>
              </w:rPr>
              <w:t>脱泡和蒸发回收</w:t>
            </w:r>
          </w:p>
        </w:tc>
        <w:tc>
          <w:tcPr>
            <w:tcW w:w="400" w:type="pct"/>
            <w:vAlign w:val="center"/>
          </w:tcPr>
          <w:p w14:paraId="427E2971">
            <w:pPr>
              <w:pStyle w:val="182"/>
              <w:bidi w:val="0"/>
              <w:rPr>
                <w:rFonts w:hint="default" w:eastAsia="宋体"/>
                <w:b/>
                <w:bCs/>
                <w:color w:val="auto"/>
                <w:u w:val="single"/>
                <w:lang w:val="en-US" w:eastAsia="zh-CN"/>
              </w:rPr>
            </w:pPr>
            <w:r>
              <w:rPr>
                <w:rFonts w:hint="eastAsia"/>
                <w:b/>
                <w:bCs/>
                <w:color w:val="auto"/>
                <w:u w:val="single"/>
                <w:lang w:val="en-US" w:eastAsia="zh-CN"/>
              </w:rPr>
              <w:t>20</w:t>
            </w:r>
          </w:p>
        </w:tc>
        <w:tc>
          <w:tcPr>
            <w:tcW w:w="323" w:type="pct"/>
            <w:vAlign w:val="center"/>
          </w:tcPr>
          <w:p w14:paraId="32EFA9B9">
            <w:pPr>
              <w:pStyle w:val="182"/>
              <w:bidi w:val="0"/>
              <w:rPr>
                <w:rFonts w:hint="default" w:eastAsia="宋体"/>
                <w:b/>
                <w:bCs/>
                <w:color w:val="auto"/>
                <w:u w:val="single"/>
                <w:lang w:val="en-US" w:eastAsia="zh-CN"/>
              </w:rPr>
            </w:pPr>
            <w:r>
              <w:rPr>
                <w:rFonts w:hint="eastAsia"/>
                <w:b/>
                <w:bCs/>
                <w:color w:val="auto"/>
                <w:u w:val="single"/>
                <w:lang w:val="en-US" w:eastAsia="zh-CN"/>
              </w:rPr>
              <w:t>15</w:t>
            </w:r>
          </w:p>
        </w:tc>
        <w:tc>
          <w:tcPr>
            <w:tcW w:w="303" w:type="pct"/>
            <w:vAlign w:val="center"/>
          </w:tcPr>
          <w:p w14:paraId="738F7FAE">
            <w:pPr>
              <w:pStyle w:val="182"/>
              <w:bidi w:val="0"/>
              <w:rPr>
                <w:rFonts w:hint="eastAsia" w:eastAsia="宋体"/>
                <w:b/>
                <w:bCs/>
                <w:color w:val="auto"/>
                <w:u w:val="single"/>
                <w:lang w:eastAsia="zh-CN"/>
              </w:rPr>
            </w:pPr>
            <w:r>
              <w:rPr>
                <w:b/>
                <w:bCs/>
                <w:color w:val="auto"/>
                <w:u w:val="single"/>
              </w:rPr>
              <w:t>7</w:t>
            </w:r>
            <w:r>
              <w:rPr>
                <w:rFonts w:hint="eastAsia"/>
                <w:b/>
                <w:bCs/>
                <w:color w:val="auto"/>
                <w:u w:val="single"/>
                <w:lang w:val="en-US" w:eastAsia="zh-CN"/>
              </w:rPr>
              <w:t>2</w:t>
            </w:r>
          </w:p>
        </w:tc>
        <w:tc>
          <w:tcPr>
            <w:tcW w:w="390" w:type="pct"/>
            <w:vAlign w:val="center"/>
          </w:tcPr>
          <w:p w14:paraId="10C53E47">
            <w:pPr>
              <w:pStyle w:val="182"/>
              <w:bidi w:val="0"/>
              <w:rPr>
                <w:rFonts w:hint="default" w:eastAsia="宋体"/>
                <w:b/>
                <w:bCs/>
                <w:color w:val="auto"/>
                <w:u w:val="single"/>
                <w:lang w:val="en-US" w:eastAsia="zh-CN"/>
              </w:rPr>
            </w:pPr>
            <w:r>
              <w:rPr>
                <w:rFonts w:hint="eastAsia"/>
                <w:b/>
                <w:bCs/>
                <w:color w:val="auto"/>
                <w:u w:val="single"/>
                <w:lang w:val="en-US" w:eastAsia="zh-CN"/>
              </w:rPr>
              <w:t>80</w:t>
            </w:r>
          </w:p>
        </w:tc>
        <w:tc>
          <w:tcPr>
            <w:tcW w:w="390" w:type="pct"/>
            <w:vAlign w:val="center"/>
          </w:tcPr>
          <w:p w14:paraId="4ED7C720">
            <w:pPr>
              <w:pStyle w:val="182"/>
              <w:bidi w:val="0"/>
              <w:rPr>
                <w:rFonts w:hint="default" w:eastAsia="宋体"/>
                <w:b/>
                <w:bCs/>
                <w:color w:val="auto"/>
                <w:u w:val="single"/>
                <w:lang w:val="en-US" w:eastAsia="zh-CN"/>
              </w:rPr>
            </w:pPr>
            <w:r>
              <w:rPr>
                <w:rFonts w:hint="eastAsia"/>
                <w:b/>
                <w:bCs/>
                <w:color w:val="auto"/>
                <w:u w:val="single"/>
                <w:lang w:val="en-US" w:eastAsia="zh-CN"/>
              </w:rPr>
              <w:t>70</w:t>
            </w:r>
          </w:p>
        </w:tc>
        <w:tc>
          <w:tcPr>
            <w:tcW w:w="388" w:type="pct"/>
            <w:vAlign w:val="center"/>
          </w:tcPr>
          <w:p w14:paraId="4D02CF38">
            <w:pPr>
              <w:pStyle w:val="182"/>
              <w:bidi w:val="0"/>
              <w:rPr>
                <w:b/>
                <w:bCs/>
                <w:color w:val="auto"/>
                <w:u w:val="single"/>
              </w:rPr>
            </w:pPr>
            <w:r>
              <w:rPr>
                <w:b/>
                <w:bCs/>
                <w:color w:val="auto"/>
                <w:u w:val="single"/>
              </w:rPr>
              <w:t>30</w:t>
            </w:r>
          </w:p>
        </w:tc>
        <w:tc>
          <w:tcPr>
            <w:tcW w:w="388" w:type="pct"/>
            <w:vAlign w:val="center"/>
          </w:tcPr>
          <w:p w14:paraId="4E6ACFB5">
            <w:pPr>
              <w:pStyle w:val="182"/>
              <w:bidi w:val="0"/>
              <w:rPr>
                <w:rFonts w:hint="default" w:eastAsia="宋体"/>
                <w:b/>
                <w:bCs/>
                <w:color w:val="auto"/>
                <w:u w:val="single"/>
                <w:lang w:val="en-US" w:eastAsia="zh-CN"/>
              </w:rPr>
            </w:pPr>
            <w:r>
              <w:rPr>
                <w:rFonts w:hint="eastAsia"/>
                <w:b/>
                <w:bCs/>
                <w:color w:val="auto"/>
                <w:u w:val="single"/>
                <w:lang w:val="en-US" w:eastAsia="zh-CN"/>
              </w:rPr>
              <w:t>12</w:t>
            </w:r>
          </w:p>
        </w:tc>
        <w:tc>
          <w:tcPr>
            <w:tcW w:w="496" w:type="pct"/>
            <w:vAlign w:val="center"/>
          </w:tcPr>
          <w:p w14:paraId="53560A9E">
            <w:pPr>
              <w:pStyle w:val="182"/>
              <w:bidi w:val="0"/>
              <w:rPr>
                <w:rFonts w:hint="default" w:eastAsia="宋体"/>
                <w:b/>
                <w:bCs/>
                <w:color w:val="auto"/>
                <w:u w:val="single"/>
                <w:lang w:val="en-US" w:eastAsia="zh-CN"/>
              </w:rPr>
            </w:pPr>
            <w:r>
              <w:rPr>
                <w:rFonts w:hint="eastAsia"/>
                <w:b/>
                <w:bCs/>
                <w:color w:val="auto"/>
                <w:u w:val="single"/>
                <w:lang w:val="en-US" w:eastAsia="zh-CN"/>
              </w:rPr>
              <w:t>7920</w:t>
            </w:r>
          </w:p>
        </w:tc>
        <w:tc>
          <w:tcPr>
            <w:tcW w:w="425" w:type="pct"/>
            <w:vAlign w:val="center"/>
          </w:tcPr>
          <w:p w14:paraId="3C669482">
            <w:pPr>
              <w:pStyle w:val="182"/>
              <w:bidi w:val="0"/>
              <w:rPr>
                <w:b/>
                <w:bCs/>
                <w:color w:val="auto"/>
                <w:u w:val="single"/>
              </w:rPr>
            </w:pPr>
            <w:r>
              <w:rPr>
                <w:b/>
                <w:bCs/>
                <w:color w:val="auto"/>
                <w:u w:val="single"/>
              </w:rPr>
              <w:t>正常</w:t>
            </w:r>
          </w:p>
        </w:tc>
        <w:tc>
          <w:tcPr>
            <w:tcW w:w="1019" w:type="pct"/>
            <w:vAlign w:val="center"/>
          </w:tcPr>
          <w:p w14:paraId="78D5F964">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eastAsia="宋体"/>
                <w:b/>
                <w:bCs/>
                <w:color w:val="auto"/>
                <w:u w:val="single"/>
                <w:lang w:val="en-US" w:eastAsia="zh-CN"/>
              </w:rPr>
            </w:pPr>
            <w:r>
              <w:rPr>
                <w:rFonts w:hint="eastAsia" w:eastAsia="宋体"/>
                <w:b/>
                <w:bCs/>
                <w:u w:val="single"/>
                <w:lang w:val="en-US" w:eastAsia="zh-CN"/>
              </w:rPr>
              <w:t>0.12</w:t>
            </w:r>
          </w:p>
        </w:tc>
      </w:tr>
    </w:tbl>
    <w:p w14:paraId="1DE6A7FA">
      <w:pPr>
        <w:bidi w:val="0"/>
        <w:rPr>
          <w:color w:val="auto"/>
        </w:rPr>
      </w:pPr>
      <w:r>
        <w:rPr>
          <w:color w:val="auto"/>
        </w:rPr>
        <w:t>采用《环境影响评价技术导则大气环境》（HJ2.2-2018）推荐的估算模式AERSCREEN计算工程主要污染源污染物的最大落地浓度及其出现距离，估算模型参数见下表。</w:t>
      </w:r>
    </w:p>
    <w:p w14:paraId="4B08C38F">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 xml:space="preserve">表 </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6.1</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8</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估算模型参数表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196"/>
        <w:gridCol w:w="3390"/>
        <w:gridCol w:w="2780"/>
      </w:tblGrid>
      <w:tr w14:paraId="408DF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588" w:type="dxa"/>
            <w:gridSpan w:val="2"/>
            <w:tcBorders>
              <w:tl2br w:val="nil"/>
              <w:tr2bl w:val="nil"/>
            </w:tcBorders>
            <w:vAlign w:val="center"/>
          </w:tcPr>
          <w:p w14:paraId="198733C7">
            <w:pPr>
              <w:pStyle w:val="182"/>
              <w:bidi w:val="0"/>
              <w:rPr>
                <w:b/>
                <w:bCs/>
                <w:color w:val="auto"/>
              </w:rPr>
            </w:pPr>
            <w:r>
              <w:rPr>
                <w:b/>
                <w:bCs/>
                <w:color w:val="auto"/>
              </w:rPr>
              <w:t>参数</w:t>
            </w:r>
          </w:p>
        </w:tc>
        <w:tc>
          <w:tcPr>
            <w:tcW w:w="2781" w:type="dxa"/>
            <w:tcBorders>
              <w:tl2br w:val="nil"/>
              <w:tr2bl w:val="nil"/>
            </w:tcBorders>
            <w:vAlign w:val="center"/>
          </w:tcPr>
          <w:p w14:paraId="1419B08F">
            <w:pPr>
              <w:pStyle w:val="182"/>
              <w:bidi w:val="0"/>
              <w:rPr>
                <w:b/>
                <w:bCs/>
                <w:color w:val="auto"/>
              </w:rPr>
            </w:pPr>
            <w:r>
              <w:rPr>
                <w:b/>
                <w:bCs/>
                <w:color w:val="auto"/>
              </w:rPr>
              <w:t>取值</w:t>
            </w:r>
          </w:p>
        </w:tc>
      </w:tr>
      <w:tr w14:paraId="2B11D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restart"/>
            <w:tcBorders>
              <w:tl2br w:val="nil"/>
              <w:tr2bl w:val="nil"/>
            </w:tcBorders>
            <w:vAlign w:val="center"/>
          </w:tcPr>
          <w:p w14:paraId="4A420989">
            <w:pPr>
              <w:pStyle w:val="182"/>
              <w:bidi w:val="0"/>
              <w:rPr>
                <w:color w:val="auto"/>
              </w:rPr>
            </w:pPr>
            <w:r>
              <w:rPr>
                <w:color w:val="auto"/>
              </w:rPr>
              <w:t>城市/农村选项</w:t>
            </w:r>
          </w:p>
        </w:tc>
        <w:tc>
          <w:tcPr>
            <w:tcW w:w="3391" w:type="dxa"/>
            <w:tcBorders>
              <w:tl2br w:val="nil"/>
              <w:tr2bl w:val="nil"/>
            </w:tcBorders>
            <w:vAlign w:val="center"/>
          </w:tcPr>
          <w:p w14:paraId="2F28B8A1">
            <w:pPr>
              <w:pStyle w:val="182"/>
              <w:bidi w:val="0"/>
              <w:rPr>
                <w:color w:val="auto"/>
              </w:rPr>
            </w:pPr>
            <w:r>
              <w:rPr>
                <w:color w:val="auto"/>
              </w:rPr>
              <w:t>城市/农村</w:t>
            </w:r>
          </w:p>
        </w:tc>
        <w:tc>
          <w:tcPr>
            <w:tcW w:w="2781" w:type="dxa"/>
            <w:tcBorders>
              <w:tl2br w:val="nil"/>
              <w:tr2bl w:val="nil"/>
            </w:tcBorders>
            <w:vAlign w:val="center"/>
          </w:tcPr>
          <w:p w14:paraId="4CF6AA9D">
            <w:pPr>
              <w:pStyle w:val="182"/>
              <w:bidi w:val="0"/>
              <w:rPr>
                <w:rFonts w:hint="eastAsia" w:eastAsia="宋体"/>
                <w:color w:val="auto"/>
                <w:lang w:eastAsia="zh-CN"/>
              </w:rPr>
            </w:pPr>
            <w:r>
              <w:rPr>
                <w:rFonts w:hint="eastAsia"/>
                <w:color w:val="auto"/>
                <w:lang w:val="en-US" w:eastAsia="zh-CN"/>
              </w:rPr>
              <w:t>城市</w:t>
            </w:r>
          </w:p>
        </w:tc>
      </w:tr>
      <w:tr w14:paraId="5BCA2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continue"/>
            <w:tcBorders>
              <w:tl2br w:val="nil"/>
              <w:tr2bl w:val="nil"/>
            </w:tcBorders>
            <w:vAlign w:val="center"/>
          </w:tcPr>
          <w:p w14:paraId="7555047B">
            <w:pPr>
              <w:pStyle w:val="182"/>
              <w:bidi w:val="0"/>
              <w:rPr>
                <w:color w:val="auto"/>
              </w:rPr>
            </w:pPr>
          </w:p>
        </w:tc>
        <w:tc>
          <w:tcPr>
            <w:tcW w:w="3391" w:type="dxa"/>
            <w:tcBorders>
              <w:tl2br w:val="nil"/>
              <w:tr2bl w:val="nil"/>
            </w:tcBorders>
            <w:vAlign w:val="center"/>
          </w:tcPr>
          <w:p w14:paraId="03BAF8C5">
            <w:pPr>
              <w:pStyle w:val="182"/>
              <w:bidi w:val="0"/>
              <w:rPr>
                <w:color w:val="auto"/>
              </w:rPr>
            </w:pPr>
            <w:r>
              <w:rPr>
                <w:color w:val="auto"/>
              </w:rPr>
              <w:t>人口数（城市选项时）</w:t>
            </w:r>
          </w:p>
        </w:tc>
        <w:tc>
          <w:tcPr>
            <w:tcW w:w="2781" w:type="dxa"/>
            <w:tcBorders>
              <w:tl2br w:val="nil"/>
              <w:tr2bl w:val="nil"/>
            </w:tcBorders>
            <w:vAlign w:val="center"/>
          </w:tcPr>
          <w:p w14:paraId="6D60B10F">
            <w:pPr>
              <w:pStyle w:val="182"/>
              <w:bidi w:val="0"/>
              <w:rPr>
                <w:rFonts w:hint="default" w:eastAsia="宋体"/>
                <w:color w:val="auto"/>
                <w:lang w:val="en-US" w:eastAsia="zh-CN"/>
              </w:rPr>
            </w:pPr>
            <w:r>
              <w:rPr>
                <w:rFonts w:hint="eastAsia"/>
                <w:color w:val="auto"/>
                <w:lang w:val="en-US" w:eastAsia="zh-CN"/>
              </w:rPr>
              <w:t>47万</w:t>
            </w:r>
          </w:p>
        </w:tc>
      </w:tr>
      <w:tr w14:paraId="30F4A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588" w:type="dxa"/>
            <w:gridSpan w:val="2"/>
            <w:tcBorders>
              <w:tl2br w:val="nil"/>
              <w:tr2bl w:val="nil"/>
            </w:tcBorders>
            <w:vAlign w:val="center"/>
          </w:tcPr>
          <w:p w14:paraId="45D5C56B">
            <w:pPr>
              <w:pStyle w:val="182"/>
              <w:bidi w:val="0"/>
              <w:rPr>
                <w:color w:val="auto"/>
              </w:rPr>
            </w:pPr>
            <w:r>
              <w:rPr>
                <w:color w:val="auto"/>
              </w:rPr>
              <w:t>最高环境温度/℃</w:t>
            </w:r>
          </w:p>
        </w:tc>
        <w:tc>
          <w:tcPr>
            <w:tcW w:w="2781" w:type="dxa"/>
            <w:tcBorders>
              <w:tl2br w:val="nil"/>
              <w:tr2bl w:val="nil"/>
            </w:tcBorders>
            <w:vAlign w:val="center"/>
          </w:tcPr>
          <w:p w14:paraId="72737AC3">
            <w:pPr>
              <w:pStyle w:val="182"/>
              <w:bidi w:val="0"/>
              <w:rPr>
                <w:color w:val="auto"/>
              </w:rPr>
            </w:pPr>
            <w:r>
              <w:rPr>
                <w:color w:val="auto"/>
              </w:rPr>
              <w:t>40.9</w:t>
            </w:r>
          </w:p>
        </w:tc>
      </w:tr>
      <w:tr w14:paraId="21FC6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588" w:type="dxa"/>
            <w:gridSpan w:val="2"/>
            <w:tcBorders>
              <w:tl2br w:val="nil"/>
              <w:tr2bl w:val="nil"/>
            </w:tcBorders>
            <w:vAlign w:val="center"/>
          </w:tcPr>
          <w:p w14:paraId="2DF646D5">
            <w:pPr>
              <w:pStyle w:val="182"/>
              <w:bidi w:val="0"/>
              <w:rPr>
                <w:color w:val="auto"/>
              </w:rPr>
            </w:pPr>
            <w:r>
              <w:rPr>
                <w:color w:val="auto"/>
              </w:rPr>
              <w:t>最低环境温度/℃</w:t>
            </w:r>
          </w:p>
        </w:tc>
        <w:tc>
          <w:tcPr>
            <w:tcW w:w="2781" w:type="dxa"/>
            <w:tcBorders>
              <w:tl2br w:val="nil"/>
              <w:tr2bl w:val="nil"/>
            </w:tcBorders>
            <w:vAlign w:val="center"/>
          </w:tcPr>
          <w:p w14:paraId="3B44ECEB">
            <w:pPr>
              <w:pStyle w:val="182"/>
              <w:bidi w:val="0"/>
              <w:rPr>
                <w:rFonts w:hint="default" w:eastAsia="宋体"/>
                <w:color w:val="auto"/>
                <w:lang w:val="en-US" w:eastAsia="zh-CN"/>
              </w:rPr>
            </w:pPr>
            <w:r>
              <w:rPr>
                <w:color w:val="auto"/>
              </w:rPr>
              <w:t>-1</w:t>
            </w:r>
            <w:r>
              <w:rPr>
                <w:rFonts w:hint="eastAsia"/>
                <w:color w:val="auto"/>
                <w:lang w:val="en-US" w:eastAsia="zh-CN"/>
              </w:rPr>
              <w:t>6.2</w:t>
            </w:r>
          </w:p>
        </w:tc>
      </w:tr>
      <w:tr w14:paraId="27F03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588" w:type="dxa"/>
            <w:gridSpan w:val="2"/>
            <w:tcBorders>
              <w:tl2br w:val="nil"/>
              <w:tr2bl w:val="nil"/>
            </w:tcBorders>
            <w:vAlign w:val="center"/>
          </w:tcPr>
          <w:p w14:paraId="5DD518E4">
            <w:pPr>
              <w:pStyle w:val="182"/>
              <w:bidi w:val="0"/>
              <w:rPr>
                <w:color w:val="auto"/>
              </w:rPr>
            </w:pPr>
            <w:r>
              <w:rPr>
                <w:color w:val="auto"/>
              </w:rPr>
              <w:t>土地利用类型</w:t>
            </w:r>
          </w:p>
        </w:tc>
        <w:tc>
          <w:tcPr>
            <w:tcW w:w="2781" w:type="dxa"/>
            <w:tcBorders>
              <w:tl2br w:val="nil"/>
              <w:tr2bl w:val="nil"/>
            </w:tcBorders>
            <w:vAlign w:val="center"/>
          </w:tcPr>
          <w:p w14:paraId="365CB974">
            <w:pPr>
              <w:pStyle w:val="182"/>
              <w:bidi w:val="0"/>
              <w:rPr>
                <w:rFonts w:hint="eastAsia" w:eastAsia="宋体"/>
                <w:color w:val="auto"/>
                <w:lang w:eastAsia="zh-CN"/>
              </w:rPr>
            </w:pPr>
            <w:r>
              <w:rPr>
                <w:rFonts w:hint="eastAsia"/>
                <w:color w:val="auto"/>
                <w:lang w:val="en-US" w:eastAsia="zh-CN"/>
              </w:rPr>
              <w:t>城市</w:t>
            </w:r>
          </w:p>
        </w:tc>
      </w:tr>
      <w:tr w14:paraId="4B6CA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588" w:type="dxa"/>
            <w:gridSpan w:val="2"/>
            <w:tcBorders>
              <w:tl2br w:val="nil"/>
              <w:tr2bl w:val="nil"/>
            </w:tcBorders>
            <w:vAlign w:val="center"/>
          </w:tcPr>
          <w:p w14:paraId="457E1AEC">
            <w:pPr>
              <w:pStyle w:val="182"/>
              <w:bidi w:val="0"/>
              <w:rPr>
                <w:color w:val="auto"/>
              </w:rPr>
            </w:pPr>
            <w:r>
              <w:rPr>
                <w:color w:val="auto"/>
              </w:rPr>
              <w:t>区域湿度条件</w:t>
            </w:r>
          </w:p>
        </w:tc>
        <w:tc>
          <w:tcPr>
            <w:tcW w:w="2781" w:type="dxa"/>
            <w:tcBorders>
              <w:tl2br w:val="nil"/>
              <w:tr2bl w:val="nil"/>
            </w:tcBorders>
            <w:vAlign w:val="center"/>
          </w:tcPr>
          <w:p w14:paraId="4F7D843D">
            <w:pPr>
              <w:pStyle w:val="182"/>
              <w:bidi w:val="0"/>
              <w:rPr>
                <w:color w:val="auto"/>
              </w:rPr>
            </w:pPr>
            <w:r>
              <w:rPr>
                <w:color w:val="auto"/>
              </w:rPr>
              <w:t>中等湿度气候</w:t>
            </w:r>
          </w:p>
        </w:tc>
      </w:tr>
      <w:tr w14:paraId="21BF7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restart"/>
            <w:tcBorders>
              <w:tl2br w:val="nil"/>
              <w:tr2bl w:val="nil"/>
            </w:tcBorders>
            <w:vAlign w:val="center"/>
          </w:tcPr>
          <w:p w14:paraId="51899115">
            <w:pPr>
              <w:pStyle w:val="182"/>
              <w:bidi w:val="0"/>
              <w:rPr>
                <w:color w:val="auto"/>
              </w:rPr>
            </w:pPr>
            <w:r>
              <w:rPr>
                <w:color w:val="auto"/>
              </w:rPr>
              <w:t>是否考虑地形</w:t>
            </w:r>
          </w:p>
        </w:tc>
        <w:tc>
          <w:tcPr>
            <w:tcW w:w="3391" w:type="dxa"/>
            <w:tcBorders>
              <w:tl2br w:val="nil"/>
              <w:tr2bl w:val="nil"/>
            </w:tcBorders>
            <w:vAlign w:val="center"/>
          </w:tcPr>
          <w:p w14:paraId="7AEAA777">
            <w:pPr>
              <w:pStyle w:val="182"/>
              <w:bidi w:val="0"/>
              <w:rPr>
                <w:color w:val="auto"/>
              </w:rPr>
            </w:pPr>
            <w:r>
              <w:rPr>
                <w:color w:val="auto"/>
              </w:rPr>
              <w:t>考虑地形</w:t>
            </w:r>
          </w:p>
        </w:tc>
        <w:tc>
          <w:tcPr>
            <w:tcW w:w="2781" w:type="dxa"/>
            <w:tcBorders>
              <w:tl2br w:val="nil"/>
              <w:tr2bl w:val="nil"/>
            </w:tcBorders>
            <w:vAlign w:val="center"/>
          </w:tcPr>
          <w:p w14:paraId="32D7F7EF">
            <w:pPr>
              <w:pStyle w:val="182"/>
              <w:bidi w:val="0"/>
              <w:rPr>
                <w:color w:val="auto"/>
              </w:rPr>
            </w:pPr>
            <w:r>
              <w:rPr>
                <w:color w:val="auto"/>
              </w:rPr>
              <w:t>是</w:t>
            </w:r>
          </w:p>
        </w:tc>
      </w:tr>
      <w:tr w14:paraId="1BA63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continue"/>
            <w:tcBorders>
              <w:tl2br w:val="nil"/>
              <w:tr2bl w:val="nil"/>
            </w:tcBorders>
            <w:vAlign w:val="center"/>
          </w:tcPr>
          <w:p w14:paraId="4F164151">
            <w:pPr>
              <w:pStyle w:val="182"/>
              <w:bidi w:val="0"/>
              <w:rPr>
                <w:color w:val="auto"/>
              </w:rPr>
            </w:pPr>
          </w:p>
        </w:tc>
        <w:tc>
          <w:tcPr>
            <w:tcW w:w="3391" w:type="dxa"/>
            <w:tcBorders>
              <w:tl2br w:val="nil"/>
              <w:tr2bl w:val="nil"/>
            </w:tcBorders>
            <w:vAlign w:val="center"/>
          </w:tcPr>
          <w:p w14:paraId="6E637A3B">
            <w:pPr>
              <w:pStyle w:val="182"/>
              <w:bidi w:val="0"/>
              <w:rPr>
                <w:color w:val="auto"/>
              </w:rPr>
            </w:pPr>
            <w:r>
              <w:rPr>
                <w:color w:val="auto"/>
              </w:rPr>
              <w:t>地形数据分辨率/m</w:t>
            </w:r>
          </w:p>
        </w:tc>
        <w:tc>
          <w:tcPr>
            <w:tcW w:w="2781" w:type="dxa"/>
            <w:tcBorders>
              <w:tl2br w:val="nil"/>
              <w:tr2bl w:val="nil"/>
            </w:tcBorders>
            <w:vAlign w:val="center"/>
          </w:tcPr>
          <w:p w14:paraId="2F8C9C54">
            <w:pPr>
              <w:pStyle w:val="182"/>
              <w:bidi w:val="0"/>
              <w:rPr>
                <w:color w:val="auto"/>
              </w:rPr>
            </w:pPr>
            <w:r>
              <w:rPr>
                <w:color w:val="auto"/>
              </w:rPr>
              <w:t>90</w:t>
            </w:r>
          </w:p>
        </w:tc>
      </w:tr>
      <w:tr w14:paraId="285B3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restart"/>
            <w:tcBorders>
              <w:tl2br w:val="nil"/>
              <w:tr2bl w:val="nil"/>
            </w:tcBorders>
            <w:vAlign w:val="center"/>
          </w:tcPr>
          <w:p w14:paraId="24B27111">
            <w:pPr>
              <w:pStyle w:val="182"/>
              <w:bidi w:val="0"/>
              <w:rPr>
                <w:color w:val="auto"/>
              </w:rPr>
            </w:pPr>
            <w:r>
              <w:rPr>
                <w:color w:val="auto"/>
              </w:rPr>
              <w:t>是否考虑岸线熏烟</w:t>
            </w:r>
          </w:p>
        </w:tc>
        <w:tc>
          <w:tcPr>
            <w:tcW w:w="3391" w:type="dxa"/>
            <w:tcBorders>
              <w:tl2br w:val="nil"/>
              <w:tr2bl w:val="nil"/>
            </w:tcBorders>
            <w:vAlign w:val="center"/>
          </w:tcPr>
          <w:p w14:paraId="14687A7D">
            <w:pPr>
              <w:pStyle w:val="182"/>
              <w:bidi w:val="0"/>
              <w:rPr>
                <w:color w:val="auto"/>
              </w:rPr>
            </w:pPr>
            <w:r>
              <w:rPr>
                <w:color w:val="auto"/>
              </w:rPr>
              <w:t>考虑岸线熏烟</w:t>
            </w:r>
          </w:p>
        </w:tc>
        <w:tc>
          <w:tcPr>
            <w:tcW w:w="2781" w:type="dxa"/>
            <w:tcBorders>
              <w:tl2br w:val="nil"/>
              <w:tr2bl w:val="nil"/>
            </w:tcBorders>
            <w:vAlign w:val="center"/>
          </w:tcPr>
          <w:p w14:paraId="5F773EC0">
            <w:pPr>
              <w:pStyle w:val="182"/>
              <w:bidi w:val="0"/>
              <w:rPr>
                <w:color w:val="auto"/>
              </w:rPr>
            </w:pPr>
            <w:r>
              <w:rPr>
                <w:color w:val="auto"/>
              </w:rPr>
              <w:t>否</w:t>
            </w:r>
          </w:p>
        </w:tc>
      </w:tr>
      <w:tr w14:paraId="39E09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continue"/>
            <w:tcBorders>
              <w:tl2br w:val="nil"/>
              <w:tr2bl w:val="nil"/>
            </w:tcBorders>
            <w:vAlign w:val="center"/>
          </w:tcPr>
          <w:p w14:paraId="301E0074">
            <w:pPr>
              <w:pStyle w:val="182"/>
              <w:bidi w:val="0"/>
              <w:rPr>
                <w:color w:val="auto"/>
              </w:rPr>
            </w:pPr>
          </w:p>
        </w:tc>
        <w:tc>
          <w:tcPr>
            <w:tcW w:w="3391" w:type="dxa"/>
            <w:tcBorders>
              <w:tl2br w:val="nil"/>
              <w:tr2bl w:val="nil"/>
            </w:tcBorders>
            <w:vAlign w:val="center"/>
          </w:tcPr>
          <w:p w14:paraId="3AB72B80">
            <w:pPr>
              <w:pStyle w:val="182"/>
              <w:bidi w:val="0"/>
              <w:rPr>
                <w:color w:val="auto"/>
              </w:rPr>
            </w:pPr>
            <w:r>
              <w:rPr>
                <w:color w:val="auto"/>
              </w:rPr>
              <w:t>岸线距离/km</w:t>
            </w:r>
          </w:p>
        </w:tc>
        <w:tc>
          <w:tcPr>
            <w:tcW w:w="2781" w:type="dxa"/>
            <w:tcBorders>
              <w:tl2br w:val="nil"/>
              <w:tr2bl w:val="nil"/>
            </w:tcBorders>
            <w:vAlign w:val="center"/>
          </w:tcPr>
          <w:p w14:paraId="4ACC73EA">
            <w:pPr>
              <w:pStyle w:val="182"/>
              <w:bidi w:val="0"/>
              <w:rPr>
                <w:color w:val="auto"/>
              </w:rPr>
            </w:pPr>
            <w:r>
              <w:rPr>
                <w:color w:val="auto"/>
              </w:rPr>
              <w:t>/</w:t>
            </w:r>
          </w:p>
        </w:tc>
      </w:tr>
      <w:tr w14:paraId="1A7DD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97" w:type="dxa"/>
            <w:vMerge w:val="continue"/>
            <w:tcBorders>
              <w:tl2br w:val="nil"/>
              <w:tr2bl w:val="nil"/>
            </w:tcBorders>
            <w:vAlign w:val="center"/>
          </w:tcPr>
          <w:p w14:paraId="1450C3B1">
            <w:pPr>
              <w:pStyle w:val="182"/>
              <w:bidi w:val="0"/>
              <w:rPr>
                <w:color w:val="auto"/>
              </w:rPr>
            </w:pPr>
          </w:p>
        </w:tc>
        <w:tc>
          <w:tcPr>
            <w:tcW w:w="3391" w:type="dxa"/>
            <w:tcBorders>
              <w:tl2br w:val="nil"/>
              <w:tr2bl w:val="nil"/>
            </w:tcBorders>
            <w:vAlign w:val="center"/>
          </w:tcPr>
          <w:p w14:paraId="4C84BA58">
            <w:pPr>
              <w:pStyle w:val="182"/>
              <w:bidi w:val="0"/>
              <w:rPr>
                <w:color w:val="auto"/>
              </w:rPr>
            </w:pPr>
            <w:r>
              <w:rPr>
                <w:color w:val="auto"/>
              </w:rPr>
              <w:t>岸线方向/ º</w:t>
            </w:r>
          </w:p>
        </w:tc>
        <w:tc>
          <w:tcPr>
            <w:tcW w:w="2781" w:type="dxa"/>
            <w:tcBorders>
              <w:tl2br w:val="nil"/>
              <w:tr2bl w:val="nil"/>
            </w:tcBorders>
            <w:vAlign w:val="center"/>
          </w:tcPr>
          <w:p w14:paraId="18454157">
            <w:pPr>
              <w:pStyle w:val="182"/>
              <w:bidi w:val="0"/>
              <w:rPr>
                <w:color w:val="auto"/>
              </w:rPr>
            </w:pPr>
            <w:r>
              <w:rPr>
                <w:color w:val="auto"/>
              </w:rPr>
              <w:t>/</w:t>
            </w:r>
          </w:p>
        </w:tc>
      </w:tr>
    </w:tbl>
    <w:p w14:paraId="2501BEC6">
      <w:pPr>
        <w:bidi w:val="0"/>
        <w:rPr>
          <w:rFonts w:hint="eastAsia"/>
          <w:color w:val="auto"/>
          <w:lang w:val="en-US" w:eastAsia="zh-CN"/>
        </w:rPr>
      </w:pPr>
      <w:r>
        <w:rPr>
          <w:rFonts w:hint="eastAsia"/>
          <w:color w:val="auto"/>
          <w:lang w:val="en-US" w:eastAsia="zh-CN"/>
        </w:rPr>
        <w:t>根据《环境影响评价技术导则-大气环境》（HJ2.2-2018）规定的评价工作等级判定的划分原则和方法，选择推荐模式中的AERSCREEN估算模式对项目的大气环境评价工作进行分级。</w:t>
      </w:r>
    </w:p>
    <w:p w14:paraId="0A32FD60">
      <w:pPr>
        <w:pStyle w:val="13"/>
        <w:rPr>
          <w:rFonts w:ascii="宋体" w:hAnsi="宋体" w:cs="宋体"/>
        </w:rPr>
      </w:pPr>
      <w:r>
        <w:drawing>
          <wp:anchor distT="0" distB="0" distL="114300" distR="114300" simplePos="0" relativeHeight="251725824" behindDoc="0" locked="0" layoutInCell="1" allowOverlap="1">
            <wp:simplePos x="0" y="0"/>
            <wp:positionH relativeFrom="column">
              <wp:posOffset>2154555</wp:posOffset>
            </wp:positionH>
            <wp:positionV relativeFrom="paragraph">
              <wp:posOffset>139700</wp:posOffset>
            </wp:positionV>
            <wp:extent cx="954405" cy="429260"/>
            <wp:effectExtent l="0" t="0" r="17145" b="8255"/>
            <wp:wrapSquare wrapText="bothSides"/>
            <wp:docPr id="72" name="图片 49776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97761870"/>
                    <pic:cNvPicPr>
                      <a:picLocks noChangeAspect="1"/>
                    </pic:cNvPicPr>
                  </pic:nvPicPr>
                  <pic:blipFill>
                    <a:blip r:embed="rId84"/>
                    <a:stretch>
                      <a:fillRect/>
                    </a:stretch>
                  </pic:blipFill>
                  <pic:spPr>
                    <a:xfrm>
                      <a:off x="0" y="0"/>
                      <a:ext cx="954405" cy="429260"/>
                    </a:xfrm>
                    <a:prstGeom prst="rect">
                      <a:avLst/>
                    </a:prstGeom>
                    <a:noFill/>
                    <a:ln>
                      <a:noFill/>
                    </a:ln>
                  </pic:spPr>
                </pic:pic>
              </a:graphicData>
            </a:graphic>
          </wp:anchor>
        </w:drawing>
      </w:r>
    </w:p>
    <w:p w14:paraId="64B34881">
      <w:pPr>
        <w:pStyle w:val="13"/>
      </w:pPr>
    </w:p>
    <w:p w14:paraId="1C913633">
      <w:pPr>
        <w:bidi w:val="0"/>
        <w:rPr>
          <w:rFonts w:hint="eastAsia"/>
          <w:color w:val="auto"/>
          <w:lang w:val="en-US" w:eastAsia="zh-CN"/>
        </w:rPr>
      </w:pPr>
      <w:r>
        <w:rPr>
          <w:rFonts w:hint="eastAsia"/>
          <w:color w:val="auto"/>
          <w:lang w:val="en-US" w:eastAsia="zh-CN"/>
        </w:rPr>
        <w:t>式中：P</w:t>
      </w:r>
      <w:r>
        <w:rPr>
          <w:rFonts w:hint="eastAsia"/>
          <w:color w:val="auto"/>
          <w:vertAlign w:val="subscript"/>
          <w:lang w:val="en-US" w:eastAsia="zh-CN"/>
        </w:rPr>
        <w:t>i</w:t>
      </w:r>
      <w:r>
        <w:rPr>
          <w:rFonts w:hint="eastAsia"/>
          <w:color w:val="auto"/>
          <w:lang w:val="en-US" w:eastAsia="zh-CN"/>
        </w:rPr>
        <w:t>--第i个污染物的最大地面空气质量浓度占标率，%；</w:t>
      </w:r>
    </w:p>
    <w:p w14:paraId="17A754B5">
      <w:pPr>
        <w:bidi w:val="0"/>
        <w:rPr>
          <w:rFonts w:hint="eastAsia"/>
          <w:color w:val="auto"/>
          <w:lang w:val="en-US" w:eastAsia="zh-CN"/>
        </w:rPr>
      </w:pPr>
      <w:r>
        <w:rPr>
          <w:rFonts w:hint="eastAsia"/>
          <w:color w:val="auto"/>
          <w:lang w:val="en-US" w:eastAsia="zh-CN"/>
        </w:rPr>
        <w:t>C</w:t>
      </w:r>
      <w:r>
        <w:rPr>
          <w:rFonts w:hint="eastAsia"/>
          <w:color w:val="auto"/>
          <w:vertAlign w:val="subscript"/>
          <w:lang w:val="en-US" w:eastAsia="zh-CN"/>
        </w:rPr>
        <w:t>i</w:t>
      </w:r>
      <w:r>
        <w:rPr>
          <w:rFonts w:hint="eastAsia"/>
          <w:color w:val="auto"/>
          <w:lang w:val="en-US" w:eastAsia="zh-CN"/>
        </w:rPr>
        <w:t>--采用估算模式计算出的第i个污染物的最大1h地面空气质量浓度，μg/m</w:t>
      </w:r>
      <w:r>
        <w:rPr>
          <w:rFonts w:hint="eastAsia"/>
          <w:color w:val="auto"/>
          <w:vertAlign w:val="superscript"/>
          <w:lang w:val="en-US" w:eastAsia="zh-CN"/>
        </w:rPr>
        <w:t>3</w:t>
      </w:r>
      <w:r>
        <w:rPr>
          <w:rFonts w:hint="eastAsia"/>
          <w:color w:val="auto"/>
          <w:lang w:val="en-US" w:eastAsia="zh-CN"/>
        </w:rPr>
        <w:t>；</w:t>
      </w:r>
    </w:p>
    <w:p w14:paraId="3A65357B">
      <w:pPr>
        <w:bidi w:val="0"/>
        <w:rPr>
          <w:rFonts w:hint="eastAsia"/>
          <w:color w:val="auto"/>
          <w:lang w:val="en-US" w:eastAsia="zh-CN"/>
        </w:rPr>
      </w:pPr>
      <w:r>
        <w:rPr>
          <w:rFonts w:hint="eastAsia"/>
          <w:color w:val="auto"/>
          <w:lang w:val="en-US" w:eastAsia="zh-CN"/>
        </w:rPr>
        <w:t>C</w:t>
      </w:r>
      <w:r>
        <w:rPr>
          <w:rFonts w:hint="eastAsia"/>
          <w:color w:val="auto"/>
          <w:vertAlign w:val="subscript"/>
          <w:lang w:val="en-US" w:eastAsia="zh-CN"/>
        </w:rPr>
        <w:t>0i</w:t>
      </w:r>
      <w:r>
        <w:rPr>
          <w:rFonts w:hint="eastAsia"/>
          <w:color w:val="auto"/>
          <w:lang w:val="en-US" w:eastAsia="zh-CN"/>
        </w:rPr>
        <w:t>--第i个污染物的环境空气质量标准，μg/m</w:t>
      </w:r>
      <w:r>
        <w:rPr>
          <w:rFonts w:hint="eastAsia"/>
          <w:color w:val="auto"/>
          <w:vertAlign w:val="superscript"/>
          <w:lang w:val="en-US" w:eastAsia="zh-CN"/>
        </w:rPr>
        <w:t>3</w:t>
      </w:r>
      <w:r>
        <w:rPr>
          <w:rFonts w:hint="eastAsia"/>
          <w:color w:val="auto"/>
          <w:lang w:val="en-US" w:eastAsia="zh-CN"/>
        </w:rPr>
        <w:t>。</w:t>
      </w:r>
    </w:p>
    <w:p w14:paraId="7E61C51A">
      <w:pPr>
        <w:bidi w:val="0"/>
        <w:rPr>
          <w:rFonts w:hint="eastAsia"/>
          <w:color w:val="auto"/>
          <w:lang w:val="en-US" w:eastAsia="zh-CN"/>
        </w:rPr>
      </w:pPr>
      <w:r>
        <w:rPr>
          <w:rFonts w:hint="eastAsia"/>
          <w:color w:val="auto"/>
          <w:lang w:val="en-US" w:eastAsia="zh-CN"/>
        </w:rPr>
        <w:t>根据《环境影响评价技术导则-大气环境》（HJ2.2-2018），评价等级判别标准见下表：</w:t>
      </w:r>
    </w:p>
    <w:p w14:paraId="17433AB6">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表</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6.1</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noBreakHyphen/>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9</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评价工作等级判别表</w:t>
      </w:r>
    </w:p>
    <w:tbl>
      <w:tblPr>
        <w:tblStyle w:val="31"/>
        <w:tblW w:w="5000" w:type="pct"/>
        <w:jc w:val="center"/>
        <w:tblBorders>
          <w:top w:val="single" w:color="000000" w:sz="8" w:space="0"/>
          <w:left w:val="single" w:color="auto" w:sz="4" w:space="0"/>
          <w:bottom w:val="single" w:color="000000" w:sz="8" w:space="0"/>
          <w:right w:val="single" w:color="auto" w:sz="4" w:space="0"/>
          <w:insideH w:val="single" w:color="000000" w:sz="4" w:space="0"/>
          <w:insideV w:val="single" w:color="000000" w:sz="4" w:space="0"/>
        </w:tblBorders>
        <w:tblLayout w:type="autofit"/>
        <w:tblCellMar>
          <w:top w:w="0" w:type="dxa"/>
          <w:left w:w="108" w:type="dxa"/>
          <w:bottom w:w="0" w:type="dxa"/>
          <w:right w:w="108" w:type="dxa"/>
        </w:tblCellMar>
      </w:tblPr>
      <w:tblGrid>
        <w:gridCol w:w="3092"/>
        <w:gridCol w:w="5434"/>
      </w:tblGrid>
      <w:tr w14:paraId="1D572493">
        <w:tblPrEx>
          <w:tblBorders>
            <w:top w:val="single" w:color="000000" w:sz="8" w:space="0"/>
            <w:left w:val="single" w:color="auto" w:sz="4" w:space="0"/>
            <w:bottom w:val="single" w:color="000000" w:sz="8"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1813" w:type="pct"/>
            <w:noWrap w:val="0"/>
            <w:vAlign w:val="center"/>
          </w:tcPr>
          <w:p w14:paraId="11E56A7F">
            <w:pPr>
              <w:pStyle w:val="191"/>
              <w:kinsoku w:val="0"/>
              <w:overflowPunct w:val="0"/>
              <w:spacing w:line="240" w:lineRule="auto"/>
              <w:ind w:left="420" w:firstLine="420"/>
              <w:rPr>
                <w:b/>
                <w:color w:val="auto"/>
                <w:kern w:val="2"/>
                <w:sz w:val="21"/>
                <w:szCs w:val="21"/>
              </w:rPr>
            </w:pPr>
            <w:r>
              <w:rPr>
                <w:b/>
                <w:color w:val="auto"/>
                <w:kern w:val="2"/>
                <w:sz w:val="21"/>
                <w:szCs w:val="21"/>
              </w:rPr>
              <w:t>评价工作等级</w:t>
            </w:r>
          </w:p>
        </w:tc>
        <w:tc>
          <w:tcPr>
            <w:tcW w:w="3187" w:type="pct"/>
            <w:noWrap w:val="0"/>
            <w:vAlign w:val="center"/>
          </w:tcPr>
          <w:p w14:paraId="27E13331">
            <w:pPr>
              <w:pStyle w:val="191"/>
              <w:kinsoku w:val="0"/>
              <w:overflowPunct w:val="0"/>
              <w:spacing w:line="240" w:lineRule="auto"/>
              <w:ind w:left="420" w:firstLine="420"/>
              <w:rPr>
                <w:b/>
                <w:color w:val="auto"/>
                <w:kern w:val="2"/>
                <w:sz w:val="21"/>
                <w:szCs w:val="21"/>
              </w:rPr>
            </w:pPr>
            <w:r>
              <w:rPr>
                <w:b/>
                <w:color w:val="auto"/>
                <w:kern w:val="2"/>
                <w:sz w:val="21"/>
                <w:szCs w:val="21"/>
              </w:rPr>
              <w:t>评价工作分级判据</w:t>
            </w:r>
          </w:p>
        </w:tc>
      </w:tr>
      <w:tr w14:paraId="039302A6">
        <w:tblPrEx>
          <w:tblBorders>
            <w:top w:val="single" w:color="000000" w:sz="8" w:space="0"/>
            <w:left w:val="single" w:color="auto" w:sz="4" w:space="0"/>
            <w:bottom w:val="single" w:color="000000" w:sz="8"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13" w:type="pct"/>
            <w:noWrap w:val="0"/>
            <w:vAlign w:val="center"/>
          </w:tcPr>
          <w:p w14:paraId="55A60690">
            <w:pPr>
              <w:pStyle w:val="191"/>
              <w:kinsoku w:val="0"/>
              <w:overflowPunct w:val="0"/>
              <w:spacing w:line="240" w:lineRule="auto"/>
              <w:ind w:left="420" w:firstLine="420"/>
              <w:rPr>
                <w:color w:val="auto"/>
                <w:kern w:val="2"/>
                <w:sz w:val="21"/>
                <w:szCs w:val="21"/>
              </w:rPr>
            </w:pPr>
            <w:r>
              <w:rPr>
                <w:color w:val="auto"/>
                <w:kern w:val="2"/>
                <w:sz w:val="21"/>
                <w:szCs w:val="21"/>
              </w:rPr>
              <w:t>一级评价</w:t>
            </w:r>
          </w:p>
        </w:tc>
        <w:tc>
          <w:tcPr>
            <w:tcW w:w="3187" w:type="pct"/>
            <w:noWrap w:val="0"/>
            <w:vAlign w:val="center"/>
          </w:tcPr>
          <w:p w14:paraId="77320799">
            <w:pPr>
              <w:pStyle w:val="191"/>
              <w:kinsoku w:val="0"/>
              <w:overflowPunct w:val="0"/>
              <w:spacing w:line="240" w:lineRule="auto"/>
              <w:ind w:left="420" w:firstLine="420"/>
              <w:rPr>
                <w:color w:val="auto"/>
                <w:kern w:val="2"/>
                <w:sz w:val="21"/>
                <w:szCs w:val="21"/>
              </w:rPr>
            </w:pPr>
            <w:r>
              <w:rPr>
                <w:color w:val="auto"/>
                <w:kern w:val="2"/>
                <w:sz w:val="21"/>
                <w:szCs w:val="21"/>
              </w:rPr>
              <w:t>Pmax≥10%</w:t>
            </w:r>
          </w:p>
        </w:tc>
      </w:tr>
      <w:tr w14:paraId="06B7FBD5">
        <w:tblPrEx>
          <w:tblBorders>
            <w:top w:val="single" w:color="000000" w:sz="8" w:space="0"/>
            <w:left w:val="single" w:color="auto" w:sz="4" w:space="0"/>
            <w:bottom w:val="single" w:color="000000" w:sz="8"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13" w:type="pct"/>
            <w:noWrap w:val="0"/>
            <w:vAlign w:val="center"/>
          </w:tcPr>
          <w:p w14:paraId="0503A7D3">
            <w:pPr>
              <w:pStyle w:val="191"/>
              <w:kinsoku w:val="0"/>
              <w:overflowPunct w:val="0"/>
              <w:spacing w:line="240" w:lineRule="auto"/>
              <w:ind w:left="420" w:firstLine="420"/>
              <w:rPr>
                <w:color w:val="auto"/>
                <w:kern w:val="2"/>
                <w:sz w:val="21"/>
                <w:szCs w:val="21"/>
              </w:rPr>
            </w:pPr>
            <w:r>
              <w:rPr>
                <w:color w:val="auto"/>
                <w:kern w:val="2"/>
                <w:sz w:val="21"/>
                <w:szCs w:val="21"/>
              </w:rPr>
              <w:t>二级评价</w:t>
            </w:r>
          </w:p>
        </w:tc>
        <w:tc>
          <w:tcPr>
            <w:tcW w:w="3187" w:type="pct"/>
            <w:noWrap w:val="0"/>
            <w:vAlign w:val="center"/>
          </w:tcPr>
          <w:p w14:paraId="7A8A74F7">
            <w:pPr>
              <w:pStyle w:val="191"/>
              <w:kinsoku w:val="0"/>
              <w:overflowPunct w:val="0"/>
              <w:spacing w:line="240" w:lineRule="auto"/>
              <w:ind w:left="420" w:firstLine="420"/>
              <w:rPr>
                <w:color w:val="auto"/>
                <w:kern w:val="2"/>
                <w:sz w:val="21"/>
                <w:szCs w:val="21"/>
              </w:rPr>
            </w:pPr>
            <w:r>
              <w:rPr>
                <w:color w:val="auto"/>
                <w:kern w:val="2"/>
                <w:sz w:val="21"/>
                <w:szCs w:val="21"/>
              </w:rPr>
              <w:t>1≤Pmax&lt;10%</w:t>
            </w:r>
          </w:p>
        </w:tc>
      </w:tr>
      <w:tr w14:paraId="7CF6E911">
        <w:tblPrEx>
          <w:tblBorders>
            <w:top w:val="single" w:color="000000" w:sz="8" w:space="0"/>
            <w:left w:val="single" w:color="auto" w:sz="4" w:space="0"/>
            <w:bottom w:val="single" w:color="000000" w:sz="8"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13" w:type="pct"/>
            <w:noWrap w:val="0"/>
            <w:vAlign w:val="center"/>
          </w:tcPr>
          <w:p w14:paraId="023FCE73">
            <w:pPr>
              <w:pStyle w:val="191"/>
              <w:kinsoku w:val="0"/>
              <w:overflowPunct w:val="0"/>
              <w:spacing w:line="240" w:lineRule="auto"/>
              <w:ind w:left="420" w:firstLine="420"/>
              <w:rPr>
                <w:color w:val="auto"/>
                <w:kern w:val="2"/>
                <w:sz w:val="21"/>
                <w:szCs w:val="21"/>
              </w:rPr>
            </w:pPr>
            <w:r>
              <w:rPr>
                <w:color w:val="auto"/>
                <w:kern w:val="2"/>
                <w:sz w:val="21"/>
                <w:szCs w:val="21"/>
              </w:rPr>
              <w:t>三级评价</w:t>
            </w:r>
          </w:p>
        </w:tc>
        <w:tc>
          <w:tcPr>
            <w:tcW w:w="3187" w:type="pct"/>
            <w:noWrap w:val="0"/>
            <w:vAlign w:val="center"/>
          </w:tcPr>
          <w:p w14:paraId="5A34F2E6">
            <w:pPr>
              <w:pStyle w:val="191"/>
              <w:kinsoku w:val="0"/>
              <w:overflowPunct w:val="0"/>
              <w:spacing w:line="240" w:lineRule="auto"/>
              <w:ind w:left="420" w:firstLine="420"/>
              <w:rPr>
                <w:color w:val="auto"/>
                <w:kern w:val="2"/>
                <w:sz w:val="21"/>
                <w:szCs w:val="21"/>
              </w:rPr>
            </w:pPr>
            <w:r>
              <w:rPr>
                <w:color w:val="auto"/>
                <w:kern w:val="2"/>
                <w:sz w:val="21"/>
                <w:szCs w:val="21"/>
              </w:rPr>
              <w:t>Pmax&lt;1%</w:t>
            </w:r>
          </w:p>
        </w:tc>
      </w:tr>
    </w:tbl>
    <w:p w14:paraId="14382EB6">
      <w:pPr>
        <w:bidi w:val="0"/>
        <w:rPr>
          <w:b/>
          <w:bCs/>
          <w:color w:val="auto"/>
          <w:u w:val="none"/>
        </w:rPr>
      </w:pPr>
      <w:r>
        <w:rPr>
          <w:b/>
          <w:bCs/>
          <w:color w:val="auto"/>
          <w:u w:val="none"/>
        </w:rPr>
        <w:t>污染源估算模型计算结果见下表。</w:t>
      </w:r>
    </w:p>
    <w:p w14:paraId="0EEDB62D">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 xml:space="preserve">表 </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6.1</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10</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项目排放主要污染物估算模型计算结果表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05"/>
        <w:gridCol w:w="1687"/>
        <w:gridCol w:w="1166"/>
        <w:gridCol w:w="1853"/>
        <w:gridCol w:w="1528"/>
        <w:gridCol w:w="1024"/>
      </w:tblGrid>
      <w:tr w14:paraId="0E735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660" w:type="pct"/>
            <w:tcMar>
              <w:left w:w="28" w:type="dxa"/>
              <w:right w:w="28" w:type="dxa"/>
            </w:tcMar>
            <w:vAlign w:val="center"/>
          </w:tcPr>
          <w:p w14:paraId="6D047FD0">
            <w:pPr>
              <w:pStyle w:val="182"/>
              <w:bidi w:val="0"/>
              <w:rPr>
                <w:b/>
                <w:bCs/>
                <w:color w:val="auto"/>
                <w:u w:val="single"/>
              </w:rPr>
            </w:pPr>
            <w:r>
              <w:rPr>
                <w:rFonts w:hint="eastAsia"/>
                <w:b/>
                <w:bCs/>
                <w:color w:val="auto"/>
                <w:u w:val="single"/>
              </w:rPr>
              <w:t>项目</w:t>
            </w:r>
          </w:p>
        </w:tc>
        <w:tc>
          <w:tcPr>
            <w:tcW w:w="1008" w:type="pct"/>
            <w:tcMar>
              <w:left w:w="28" w:type="dxa"/>
              <w:right w:w="28" w:type="dxa"/>
            </w:tcMar>
            <w:vAlign w:val="center"/>
          </w:tcPr>
          <w:p w14:paraId="71CB0E4B">
            <w:pPr>
              <w:pStyle w:val="182"/>
              <w:bidi w:val="0"/>
              <w:rPr>
                <w:b/>
                <w:bCs/>
                <w:color w:val="auto"/>
                <w:u w:val="single"/>
              </w:rPr>
            </w:pPr>
            <w:r>
              <w:rPr>
                <w:rFonts w:hint="eastAsia"/>
                <w:b/>
                <w:bCs/>
                <w:color w:val="auto"/>
                <w:u w:val="single"/>
              </w:rPr>
              <w:t>污染源</w:t>
            </w:r>
          </w:p>
        </w:tc>
        <w:tc>
          <w:tcPr>
            <w:tcW w:w="697" w:type="pct"/>
            <w:tcMar>
              <w:left w:w="28" w:type="dxa"/>
              <w:right w:w="28" w:type="dxa"/>
            </w:tcMar>
            <w:vAlign w:val="center"/>
          </w:tcPr>
          <w:p w14:paraId="6878C720">
            <w:pPr>
              <w:pStyle w:val="182"/>
              <w:bidi w:val="0"/>
              <w:rPr>
                <w:b/>
                <w:bCs/>
                <w:color w:val="auto"/>
                <w:u w:val="single"/>
              </w:rPr>
            </w:pPr>
            <w:r>
              <w:rPr>
                <w:rFonts w:hint="eastAsia"/>
                <w:b/>
                <w:bCs/>
                <w:color w:val="auto"/>
                <w:u w:val="single"/>
              </w:rPr>
              <w:t>污染物</w:t>
            </w:r>
          </w:p>
        </w:tc>
        <w:tc>
          <w:tcPr>
            <w:tcW w:w="1107" w:type="pct"/>
            <w:tcMar>
              <w:left w:w="28" w:type="dxa"/>
              <w:right w:w="28" w:type="dxa"/>
            </w:tcMar>
            <w:vAlign w:val="center"/>
          </w:tcPr>
          <w:p w14:paraId="67A9FC69">
            <w:pPr>
              <w:pStyle w:val="182"/>
              <w:bidi w:val="0"/>
              <w:rPr>
                <w:rFonts w:hint="default" w:eastAsia="宋体"/>
                <w:b/>
                <w:bCs/>
                <w:color w:val="auto"/>
                <w:u w:val="single"/>
                <w:lang w:val="en-US" w:eastAsia="zh-CN"/>
              </w:rPr>
            </w:pPr>
            <w:r>
              <w:rPr>
                <w:rFonts w:hint="eastAsia"/>
                <w:b/>
                <w:bCs/>
                <w:color w:val="auto"/>
                <w:u w:val="single"/>
              </w:rPr>
              <w:t>下风向最大浓度</w:t>
            </w:r>
            <w:r>
              <w:rPr>
                <w:rFonts w:hint="eastAsia"/>
                <w:b/>
                <w:bCs/>
                <w:color w:val="auto"/>
                <w:u w:val="single"/>
                <w:lang w:val="en-US" w:eastAsia="zh-CN"/>
              </w:rPr>
              <w:t>距离m</w:t>
            </w:r>
          </w:p>
        </w:tc>
        <w:tc>
          <w:tcPr>
            <w:tcW w:w="913" w:type="pct"/>
            <w:tcMar>
              <w:left w:w="28" w:type="dxa"/>
              <w:right w:w="28" w:type="dxa"/>
            </w:tcMar>
            <w:vAlign w:val="center"/>
          </w:tcPr>
          <w:p w14:paraId="439435E4">
            <w:pPr>
              <w:pStyle w:val="182"/>
              <w:bidi w:val="0"/>
              <w:ind w:firstLine="0" w:firstLineChars="0"/>
              <w:rPr>
                <w:b/>
                <w:bCs/>
                <w:color w:val="auto"/>
                <w:u w:val="single"/>
              </w:rPr>
            </w:pPr>
            <w:r>
              <w:rPr>
                <w:rFonts w:hint="eastAsia"/>
                <w:b/>
                <w:bCs/>
                <w:color w:val="auto"/>
                <w:u w:val="single"/>
              </w:rPr>
              <w:t>最大浓度</w:t>
            </w:r>
            <w:r>
              <w:rPr>
                <w:b/>
                <w:bCs/>
                <w:color w:val="auto"/>
                <w:u w:val="single"/>
              </w:rPr>
              <w:t>（μg/m</w:t>
            </w:r>
            <w:r>
              <w:rPr>
                <w:b/>
                <w:bCs/>
                <w:color w:val="auto"/>
                <w:u w:val="single"/>
                <w:vertAlign w:val="superscript"/>
              </w:rPr>
              <w:t>3</w:t>
            </w:r>
            <w:r>
              <w:rPr>
                <w:b/>
                <w:bCs/>
                <w:color w:val="auto"/>
                <w:u w:val="single"/>
              </w:rPr>
              <w:t>）</w:t>
            </w:r>
          </w:p>
        </w:tc>
        <w:tc>
          <w:tcPr>
            <w:tcW w:w="612" w:type="pct"/>
            <w:tcMar>
              <w:left w:w="28" w:type="dxa"/>
              <w:right w:w="28" w:type="dxa"/>
            </w:tcMar>
            <w:vAlign w:val="center"/>
          </w:tcPr>
          <w:p w14:paraId="0CCE0DE4">
            <w:pPr>
              <w:pStyle w:val="182"/>
              <w:bidi w:val="0"/>
              <w:ind w:firstLine="0" w:firstLineChars="0"/>
              <w:rPr>
                <w:b/>
                <w:bCs/>
                <w:color w:val="auto"/>
                <w:u w:val="single"/>
              </w:rPr>
            </w:pPr>
            <w:r>
              <w:rPr>
                <w:b/>
                <w:bCs/>
                <w:color w:val="auto"/>
                <w:u w:val="single"/>
              </w:rPr>
              <w:t>Pmax(%)</w:t>
            </w:r>
          </w:p>
        </w:tc>
      </w:tr>
      <w:tr w14:paraId="0F2D6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660" w:type="pct"/>
            <w:tcMar>
              <w:left w:w="28" w:type="dxa"/>
              <w:right w:w="28" w:type="dxa"/>
            </w:tcMar>
            <w:vAlign w:val="center"/>
          </w:tcPr>
          <w:p w14:paraId="572A5A37">
            <w:pPr>
              <w:pStyle w:val="182"/>
              <w:bidi w:val="0"/>
              <w:rPr>
                <w:b/>
                <w:bCs/>
                <w:color w:val="auto"/>
                <w:u w:val="single"/>
              </w:rPr>
            </w:pPr>
            <w:r>
              <w:rPr>
                <w:rFonts w:hint="eastAsia"/>
                <w:b/>
                <w:bCs/>
                <w:color w:val="auto"/>
                <w:u w:val="single"/>
                <w:lang w:val="en-US" w:eastAsia="zh-CN"/>
              </w:rPr>
              <w:t>有</w:t>
            </w:r>
            <w:r>
              <w:rPr>
                <w:rFonts w:hint="eastAsia"/>
                <w:b/>
                <w:bCs/>
                <w:color w:val="auto"/>
                <w:u w:val="single"/>
              </w:rPr>
              <w:t>组织</w:t>
            </w:r>
          </w:p>
        </w:tc>
        <w:tc>
          <w:tcPr>
            <w:tcW w:w="1008" w:type="pct"/>
            <w:tcMar>
              <w:left w:w="28" w:type="dxa"/>
              <w:right w:w="28" w:type="dxa"/>
            </w:tcMar>
            <w:vAlign w:val="center"/>
          </w:tcPr>
          <w:p w14:paraId="0FC1058B">
            <w:pPr>
              <w:pStyle w:val="182"/>
              <w:bidi w:val="0"/>
              <w:rPr>
                <w:rFonts w:hint="default" w:eastAsia="宋体"/>
                <w:b/>
                <w:bCs/>
                <w:color w:val="auto"/>
                <w:u w:val="single"/>
                <w:lang w:val="en-US" w:eastAsia="zh-CN"/>
              </w:rPr>
            </w:pPr>
            <w:r>
              <w:rPr>
                <w:rFonts w:hint="eastAsia"/>
                <w:b/>
                <w:bCs/>
                <w:color w:val="auto"/>
                <w:u w:val="single"/>
                <w:lang w:val="en-US" w:eastAsia="zh-CN"/>
              </w:rPr>
              <w:t>DA029</w:t>
            </w:r>
          </w:p>
        </w:tc>
        <w:tc>
          <w:tcPr>
            <w:tcW w:w="697" w:type="pct"/>
            <w:tcMar>
              <w:left w:w="28" w:type="dxa"/>
              <w:right w:w="28" w:type="dxa"/>
            </w:tcMar>
            <w:vAlign w:val="center"/>
          </w:tcPr>
          <w:p w14:paraId="68D3D1BF">
            <w:pPr>
              <w:bidi w:val="0"/>
              <w:ind w:firstLine="482" w:firstLineChars="200"/>
              <w:rPr>
                <w:rFonts w:hint="eastAsia" w:eastAsia="宋体"/>
                <w:b/>
                <w:bCs/>
                <w:color w:val="auto"/>
                <w:u w:val="single"/>
                <w:lang w:val="en-US" w:eastAsia="zh-CN"/>
              </w:rPr>
            </w:pPr>
            <w:r>
              <w:rPr>
                <w:rFonts w:hint="eastAsia"/>
                <w:b/>
                <w:bCs/>
                <w:color w:val="auto"/>
                <w:u w:val="single"/>
                <w:lang w:val="en-US" w:eastAsia="zh-CN"/>
              </w:rPr>
              <w:t>*</w:t>
            </w:r>
          </w:p>
        </w:tc>
        <w:tc>
          <w:tcPr>
            <w:tcW w:w="1107" w:type="pct"/>
            <w:tcMar>
              <w:left w:w="28" w:type="dxa"/>
              <w:right w:w="28" w:type="dxa"/>
            </w:tcMar>
            <w:vAlign w:val="center"/>
          </w:tcPr>
          <w:p w14:paraId="2647C2E1">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c>
          <w:tcPr>
            <w:tcW w:w="913" w:type="pct"/>
            <w:tcMar>
              <w:left w:w="28" w:type="dxa"/>
              <w:right w:w="28" w:type="dxa"/>
            </w:tcMar>
            <w:vAlign w:val="center"/>
          </w:tcPr>
          <w:p w14:paraId="2C60ABB7">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c>
          <w:tcPr>
            <w:tcW w:w="612" w:type="pct"/>
            <w:tcMar>
              <w:left w:w="28" w:type="dxa"/>
              <w:right w:w="28" w:type="dxa"/>
            </w:tcMar>
            <w:vAlign w:val="center"/>
          </w:tcPr>
          <w:p w14:paraId="0DA46927">
            <w:pPr>
              <w:bidi w:val="0"/>
              <w:ind w:firstLine="482" w:firstLineChars="200"/>
              <w:rPr>
                <w:rFonts w:hint="default"/>
                <w:b/>
                <w:bCs/>
                <w:color w:val="auto"/>
                <w:u w:val="single"/>
                <w:lang w:val="en-US" w:eastAsia="zh-CN"/>
              </w:rPr>
            </w:pPr>
            <w:r>
              <w:rPr>
                <w:rFonts w:hint="eastAsia"/>
                <w:b/>
                <w:bCs/>
                <w:color w:val="auto"/>
                <w:u w:val="single"/>
                <w:lang w:val="en-US" w:eastAsia="zh-CN"/>
              </w:rPr>
              <w:t>*</w:t>
            </w:r>
          </w:p>
        </w:tc>
      </w:tr>
      <w:tr w14:paraId="00C92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660" w:type="pct"/>
            <w:tcMar>
              <w:left w:w="28" w:type="dxa"/>
              <w:right w:w="28" w:type="dxa"/>
            </w:tcMar>
            <w:vAlign w:val="center"/>
          </w:tcPr>
          <w:p w14:paraId="438C9FB7">
            <w:pPr>
              <w:pStyle w:val="182"/>
              <w:bidi w:val="0"/>
              <w:rPr>
                <w:rFonts w:hint="eastAsia"/>
                <w:b/>
                <w:bCs/>
                <w:color w:val="auto"/>
                <w:u w:val="single"/>
              </w:rPr>
            </w:pPr>
            <w:r>
              <w:rPr>
                <w:rFonts w:hint="eastAsia"/>
                <w:b/>
                <w:bCs/>
                <w:color w:val="auto"/>
                <w:u w:val="single"/>
                <w:lang w:val="en-US" w:eastAsia="zh-CN"/>
              </w:rPr>
              <w:t>有</w:t>
            </w:r>
            <w:r>
              <w:rPr>
                <w:rFonts w:hint="eastAsia"/>
                <w:b/>
                <w:bCs/>
                <w:color w:val="auto"/>
                <w:u w:val="single"/>
              </w:rPr>
              <w:t>组织</w:t>
            </w:r>
          </w:p>
        </w:tc>
        <w:tc>
          <w:tcPr>
            <w:tcW w:w="1008" w:type="pct"/>
            <w:tcMar>
              <w:left w:w="28" w:type="dxa"/>
              <w:right w:w="28" w:type="dxa"/>
            </w:tcMar>
            <w:vAlign w:val="center"/>
          </w:tcPr>
          <w:p w14:paraId="58949730">
            <w:pPr>
              <w:pStyle w:val="182"/>
              <w:bidi w:val="0"/>
              <w:ind w:firstLine="0" w:firstLineChars="0"/>
              <w:rPr>
                <w:rFonts w:hint="default"/>
                <w:b/>
                <w:bCs/>
                <w:color w:val="auto"/>
                <w:u w:val="single"/>
                <w:lang w:val="en-US" w:eastAsia="zh-CN"/>
              </w:rPr>
            </w:pPr>
            <w:r>
              <w:rPr>
                <w:rFonts w:hint="eastAsia"/>
                <w:b/>
                <w:bCs/>
                <w:color w:val="auto"/>
                <w:u w:val="single"/>
                <w:lang w:val="en-US" w:eastAsia="zh-CN"/>
              </w:rPr>
              <w:t>DA030</w:t>
            </w:r>
          </w:p>
        </w:tc>
        <w:tc>
          <w:tcPr>
            <w:tcW w:w="697" w:type="pct"/>
            <w:tcMar>
              <w:left w:w="28" w:type="dxa"/>
              <w:right w:w="28" w:type="dxa"/>
            </w:tcMar>
            <w:vAlign w:val="center"/>
          </w:tcPr>
          <w:p w14:paraId="575E10AB">
            <w:pPr>
              <w:bidi w:val="0"/>
              <w:ind w:firstLine="482" w:firstLineChars="200"/>
              <w:rPr>
                <w:rFonts w:hint="eastAsia"/>
                <w:b/>
                <w:bCs/>
                <w:color w:val="auto"/>
                <w:u w:val="single"/>
                <w:lang w:val="en-US" w:eastAsia="zh-CN"/>
              </w:rPr>
            </w:pPr>
            <w:r>
              <w:rPr>
                <w:rFonts w:hint="eastAsia"/>
                <w:b/>
                <w:bCs/>
                <w:color w:val="auto"/>
                <w:u w:val="single"/>
                <w:lang w:val="en-US" w:eastAsia="zh-CN"/>
              </w:rPr>
              <w:t>*</w:t>
            </w:r>
          </w:p>
        </w:tc>
        <w:tc>
          <w:tcPr>
            <w:tcW w:w="1107" w:type="pct"/>
            <w:tcMar>
              <w:left w:w="28" w:type="dxa"/>
              <w:right w:w="28" w:type="dxa"/>
            </w:tcMar>
            <w:vAlign w:val="center"/>
          </w:tcPr>
          <w:p w14:paraId="1AB89073">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c>
          <w:tcPr>
            <w:tcW w:w="913" w:type="pct"/>
            <w:tcMar>
              <w:left w:w="28" w:type="dxa"/>
              <w:right w:w="28" w:type="dxa"/>
            </w:tcMar>
            <w:vAlign w:val="center"/>
          </w:tcPr>
          <w:p w14:paraId="154F41B9">
            <w:pPr>
              <w:bidi w:val="0"/>
              <w:ind w:firstLine="482" w:firstLineChars="200"/>
              <w:rPr>
                <w:rFonts w:hint="default" w:eastAsia="宋体"/>
                <w:b/>
                <w:bCs/>
                <w:color w:val="auto"/>
                <w:u w:val="single"/>
                <w:lang w:val="en-US" w:eastAsia="zh-CN"/>
              </w:rPr>
            </w:pPr>
            <w:r>
              <w:rPr>
                <w:rFonts w:hint="eastAsia"/>
                <w:b/>
                <w:bCs/>
                <w:color w:val="auto"/>
                <w:u w:val="single"/>
                <w:lang w:val="en-US" w:eastAsia="zh-CN"/>
              </w:rPr>
              <w:t>*</w:t>
            </w:r>
          </w:p>
        </w:tc>
        <w:tc>
          <w:tcPr>
            <w:tcW w:w="612" w:type="pct"/>
            <w:tcMar>
              <w:left w:w="28" w:type="dxa"/>
              <w:right w:w="28" w:type="dxa"/>
            </w:tcMar>
            <w:vAlign w:val="center"/>
          </w:tcPr>
          <w:p w14:paraId="1965898F">
            <w:pPr>
              <w:bidi w:val="0"/>
              <w:ind w:firstLine="482" w:firstLineChars="200"/>
              <w:rPr>
                <w:rFonts w:hint="default"/>
                <w:b/>
                <w:bCs/>
                <w:color w:val="auto"/>
                <w:u w:val="single"/>
                <w:lang w:val="en-US" w:eastAsia="zh-CN"/>
              </w:rPr>
            </w:pPr>
            <w:r>
              <w:rPr>
                <w:rFonts w:hint="eastAsia"/>
                <w:b/>
                <w:bCs/>
                <w:color w:val="auto"/>
                <w:u w:val="single"/>
                <w:lang w:val="en-US" w:eastAsia="zh-CN"/>
              </w:rPr>
              <w:t>*</w:t>
            </w:r>
          </w:p>
        </w:tc>
      </w:tr>
      <w:tr w14:paraId="57FA9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2" w:hRule="atLeast"/>
          <w:jc w:val="center"/>
        </w:trPr>
        <w:tc>
          <w:tcPr>
            <w:tcW w:w="660" w:type="pct"/>
            <w:tcMar>
              <w:left w:w="28" w:type="dxa"/>
              <w:right w:w="28" w:type="dxa"/>
            </w:tcMar>
            <w:vAlign w:val="center"/>
          </w:tcPr>
          <w:p w14:paraId="07319B3B">
            <w:pPr>
              <w:pStyle w:val="182"/>
              <w:bidi w:val="0"/>
              <w:rPr>
                <w:rFonts w:hint="default"/>
                <w:b/>
                <w:bCs/>
                <w:color w:val="auto"/>
                <w:u w:val="single"/>
                <w:lang w:val="en-US" w:eastAsia="zh-CN"/>
              </w:rPr>
            </w:pPr>
            <w:r>
              <w:rPr>
                <w:rFonts w:hint="eastAsia"/>
                <w:b/>
                <w:bCs/>
                <w:color w:val="auto"/>
                <w:u w:val="single"/>
                <w:lang w:val="en-US" w:eastAsia="zh-CN"/>
              </w:rPr>
              <w:t>无组织</w:t>
            </w:r>
          </w:p>
        </w:tc>
        <w:tc>
          <w:tcPr>
            <w:tcW w:w="1008" w:type="pct"/>
            <w:tcMar>
              <w:left w:w="28" w:type="dxa"/>
              <w:right w:w="28" w:type="dxa"/>
            </w:tcMar>
            <w:vAlign w:val="center"/>
          </w:tcPr>
          <w:p w14:paraId="2D2E410F">
            <w:pPr>
              <w:pStyle w:val="182"/>
              <w:bidi w:val="0"/>
              <w:ind w:firstLine="0" w:firstLineChars="0"/>
              <w:rPr>
                <w:rFonts w:hint="default"/>
                <w:b/>
                <w:bCs/>
                <w:color w:val="auto"/>
                <w:u w:val="single"/>
                <w:lang w:val="en-US" w:eastAsia="zh-CN"/>
              </w:rPr>
            </w:pPr>
            <w:r>
              <w:rPr>
                <w:rFonts w:hint="eastAsia"/>
                <w:b/>
                <w:bCs/>
                <w:color w:val="auto"/>
                <w:u w:val="single"/>
                <w:lang w:val="en-US" w:eastAsia="zh-CN"/>
              </w:rPr>
              <w:t>脱泡和蒸发回收</w:t>
            </w:r>
          </w:p>
        </w:tc>
        <w:tc>
          <w:tcPr>
            <w:tcW w:w="697" w:type="pct"/>
            <w:tcMar>
              <w:left w:w="28" w:type="dxa"/>
              <w:right w:w="28" w:type="dxa"/>
            </w:tcMar>
            <w:vAlign w:val="center"/>
          </w:tcPr>
          <w:p w14:paraId="42F718CA">
            <w:pPr>
              <w:bidi w:val="0"/>
              <w:ind w:firstLine="482" w:firstLineChars="200"/>
              <w:rPr>
                <w:rFonts w:hint="eastAsia"/>
                <w:b/>
                <w:bCs/>
                <w:color w:val="auto"/>
                <w:u w:val="single"/>
                <w:lang w:val="en-US" w:eastAsia="zh-CN"/>
              </w:rPr>
            </w:pPr>
            <w:r>
              <w:rPr>
                <w:rFonts w:hint="eastAsia"/>
                <w:b/>
                <w:bCs/>
                <w:color w:val="auto"/>
                <w:u w:val="single"/>
                <w:lang w:val="en-US" w:eastAsia="zh-CN"/>
              </w:rPr>
              <w:t>*</w:t>
            </w:r>
          </w:p>
        </w:tc>
        <w:tc>
          <w:tcPr>
            <w:tcW w:w="1107" w:type="pct"/>
            <w:tcMar>
              <w:left w:w="28" w:type="dxa"/>
              <w:right w:w="28" w:type="dxa"/>
            </w:tcMar>
            <w:vAlign w:val="center"/>
          </w:tcPr>
          <w:p w14:paraId="35C5F17B">
            <w:pPr>
              <w:bidi w:val="0"/>
              <w:ind w:firstLine="482" w:firstLineChars="200"/>
              <w:rPr>
                <w:rFonts w:hint="default"/>
                <w:b/>
                <w:bCs/>
                <w:color w:val="auto"/>
                <w:u w:val="single"/>
                <w:lang w:val="en-US" w:eastAsia="zh-CN"/>
              </w:rPr>
            </w:pPr>
            <w:r>
              <w:rPr>
                <w:rFonts w:hint="eastAsia"/>
                <w:b/>
                <w:bCs/>
                <w:color w:val="auto"/>
                <w:u w:val="single"/>
                <w:lang w:val="en-US" w:eastAsia="zh-CN"/>
              </w:rPr>
              <w:t>*</w:t>
            </w:r>
          </w:p>
        </w:tc>
        <w:tc>
          <w:tcPr>
            <w:tcW w:w="913" w:type="pct"/>
            <w:tcMar>
              <w:left w:w="28" w:type="dxa"/>
              <w:right w:w="28" w:type="dxa"/>
            </w:tcMar>
            <w:vAlign w:val="center"/>
          </w:tcPr>
          <w:p w14:paraId="315B4F8E">
            <w:pPr>
              <w:bidi w:val="0"/>
              <w:ind w:firstLine="482" w:firstLineChars="200"/>
              <w:rPr>
                <w:rFonts w:hint="default"/>
                <w:b/>
                <w:bCs/>
                <w:color w:val="auto"/>
                <w:u w:val="single"/>
                <w:lang w:val="en-US" w:eastAsia="zh-CN"/>
              </w:rPr>
            </w:pPr>
            <w:r>
              <w:rPr>
                <w:rFonts w:hint="eastAsia"/>
                <w:b/>
                <w:bCs/>
                <w:color w:val="auto"/>
                <w:u w:val="single"/>
                <w:lang w:val="en-US" w:eastAsia="zh-CN"/>
              </w:rPr>
              <w:t>*</w:t>
            </w:r>
          </w:p>
        </w:tc>
        <w:tc>
          <w:tcPr>
            <w:tcW w:w="612" w:type="pct"/>
            <w:tcMar>
              <w:left w:w="28" w:type="dxa"/>
              <w:right w:w="28" w:type="dxa"/>
            </w:tcMar>
            <w:vAlign w:val="center"/>
          </w:tcPr>
          <w:p w14:paraId="40490D2D">
            <w:pPr>
              <w:bidi w:val="0"/>
              <w:ind w:firstLine="482" w:firstLineChars="200"/>
              <w:rPr>
                <w:rFonts w:hint="default"/>
                <w:b/>
                <w:bCs/>
                <w:color w:val="auto"/>
                <w:u w:val="single"/>
                <w:lang w:val="en-US" w:eastAsia="zh-CN"/>
              </w:rPr>
            </w:pPr>
            <w:r>
              <w:rPr>
                <w:rFonts w:hint="eastAsia"/>
                <w:b/>
                <w:bCs/>
                <w:color w:val="auto"/>
                <w:u w:val="single"/>
                <w:lang w:val="en-US" w:eastAsia="zh-CN"/>
              </w:rPr>
              <w:t>*</w:t>
            </w:r>
          </w:p>
        </w:tc>
      </w:tr>
    </w:tbl>
    <w:p w14:paraId="587DFC59">
      <w:pPr>
        <w:bidi w:val="0"/>
        <w:ind w:firstLine="482" w:firstLineChars="200"/>
        <w:rPr>
          <w:rFonts w:hint="eastAsia"/>
          <w:b/>
          <w:bCs/>
          <w:color w:val="auto"/>
          <w:u w:val="single"/>
          <w:lang w:eastAsia="zh-CN"/>
        </w:rPr>
      </w:pPr>
      <w:r>
        <w:rPr>
          <w:b/>
          <w:bCs/>
          <w:color w:val="auto"/>
          <w:u w:val="single"/>
        </w:rPr>
        <w:t>由上表可知，</w:t>
      </w:r>
      <w:r>
        <w:rPr>
          <w:rFonts w:hint="eastAsia"/>
          <w:b/>
          <w:bCs/>
          <w:color w:val="auto"/>
          <w:u w:val="single"/>
          <w:lang w:val="en-US" w:eastAsia="zh-CN"/>
        </w:rPr>
        <w:t>排气筒DA029颗粒物的</w:t>
      </w:r>
      <w:r>
        <w:rPr>
          <w:b/>
          <w:bCs/>
          <w:color w:val="auto"/>
          <w:u w:val="single"/>
        </w:rPr>
        <w:t>Pmax=</w:t>
      </w:r>
      <w:r>
        <w:rPr>
          <w:rFonts w:hint="eastAsia"/>
          <w:b/>
          <w:bCs/>
          <w:color w:val="auto"/>
          <w:u w:val="single"/>
          <w:lang w:val="en-US" w:eastAsia="zh-CN"/>
        </w:rPr>
        <w:t>0.31</w:t>
      </w:r>
      <w:r>
        <w:rPr>
          <w:b/>
          <w:bCs/>
          <w:color w:val="auto"/>
          <w:u w:val="single"/>
        </w:rPr>
        <w:t>%</w:t>
      </w:r>
      <w:r>
        <w:rPr>
          <w:rFonts w:hint="eastAsia"/>
          <w:b/>
          <w:bCs/>
          <w:color w:val="auto"/>
          <w:u w:val="single"/>
        </w:rPr>
        <w:t>，</w:t>
      </w:r>
      <w:r>
        <w:rPr>
          <w:b/>
          <w:bCs/>
          <w:color w:val="auto"/>
          <w:u w:val="single"/>
        </w:rPr>
        <w:t>Pmax&lt;</w:t>
      </w:r>
      <w:r>
        <w:rPr>
          <w:rFonts w:hint="eastAsia"/>
          <w:b/>
          <w:bCs/>
          <w:color w:val="auto"/>
          <w:u w:val="single"/>
        </w:rPr>
        <w:t>1</w:t>
      </w:r>
      <w:r>
        <w:rPr>
          <w:b/>
          <w:bCs/>
          <w:color w:val="auto"/>
          <w:u w:val="single"/>
        </w:rPr>
        <w:t>%。</w:t>
      </w:r>
      <w:r>
        <w:rPr>
          <w:rFonts w:hint="eastAsia"/>
          <w:b/>
          <w:bCs/>
          <w:color w:val="auto"/>
          <w:u w:val="single"/>
          <w:lang w:val="en-US" w:eastAsia="zh-CN"/>
        </w:rPr>
        <w:t>排气筒DA030的非甲烷总烃</w:t>
      </w:r>
      <w:r>
        <w:rPr>
          <w:rFonts w:hint="eastAsia"/>
          <w:b/>
          <w:bCs/>
          <w:color w:val="auto"/>
          <w:u w:val="single"/>
        </w:rPr>
        <w:t>的Pmax=</w:t>
      </w:r>
      <w:r>
        <w:rPr>
          <w:rFonts w:hint="eastAsia"/>
          <w:b/>
          <w:bCs/>
          <w:color w:val="auto"/>
          <w:u w:val="single"/>
          <w:lang w:val="en-US" w:eastAsia="zh-CN"/>
        </w:rPr>
        <w:t>0.07</w:t>
      </w:r>
      <w:r>
        <w:rPr>
          <w:rFonts w:hint="eastAsia"/>
          <w:b/>
          <w:bCs/>
          <w:color w:val="auto"/>
          <w:u w:val="single"/>
        </w:rPr>
        <w:t>%，Pmax&lt;1%</w:t>
      </w:r>
      <w:r>
        <w:rPr>
          <w:rFonts w:hint="eastAsia"/>
          <w:b/>
          <w:bCs/>
          <w:color w:val="auto"/>
          <w:u w:val="single"/>
          <w:lang w:eastAsia="zh-CN"/>
        </w:rPr>
        <w:t>，</w:t>
      </w:r>
      <w:r>
        <w:rPr>
          <w:rFonts w:hint="eastAsia"/>
          <w:b/>
          <w:bCs/>
          <w:color w:val="auto"/>
          <w:u w:val="single"/>
          <w:lang w:val="en-US" w:eastAsia="zh-CN"/>
        </w:rPr>
        <w:t>无组织非甲烷总烃</w:t>
      </w:r>
      <w:r>
        <w:rPr>
          <w:rFonts w:hint="eastAsia"/>
          <w:b/>
          <w:bCs/>
          <w:color w:val="auto"/>
          <w:u w:val="single"/>
        </w:rPr>
        <w:t>的Pmax=</w:t>
      </w:r>
      <w:r>
        <w:rPr>
          <w:rFonts w:hint="eastAsia"/>
          <w:b/>
          <w:bCs/>
          <w:color w:val="auto"/>
          <w:u w:val="single"/>
          <w:lang w:val="en-US" w:eastAsia="zh-CN"/>
        </w:rPr>
        <w:t>0.41</w:t>
      </w:r>
      <w:r>
        <w:rPr>
          <w:rFonts w:hint="eastAsia"/>
          <w:b/>
          <w:bCs/>
          <w:color w:val="auto"/>
          <w:u w:val="single"/>
        </w:rPr>
        <w:t>%，Pmax&lt;1%</w:t>
      </w:r>
      <w:r>
        <w:rPr>
          <w:rFonts w:hint="eastAsia"/>
          <w:b/>
          <w:bCs/>
          <w:color w:val="auto"/>
          <w:u w:val="single"/>
          <w:lang w:eastAsia="zh-CN"/>
        </w:rPr>
        <w:t>。</w:t>
      </w:r>
      <w:r>
        <w:rPr>
          <w:b/>
          <w:bCs/>
          <w:spacing w:val="-12"/>
          <w:u w:val="single"/>
        </w:rPr>
        <w:t>本工程大气评价等级为</w:t>
      </w:r>
      <w:r>
        <w:rPr>
          <w:rFonts w:hint="eastAsia"/>
          <w:b/>
          <w:bCs/>
          <w:spacing w:val="-12"/>
          <w:u w:val="single"/>
          <w:lang w:val="en-US" w:eastAsia="zh-CN"/>
        </w:rPr>
        <w:t>三</w:t>
      </w:r>
      <w:r>
        <w:rPr>
          <w:b/>
          <w:bCs/>
          <w:spacing w:val="-12"/>
          <w:u w:val="single"/>
        </w:rPr>
        <w:t>级。</w:t>
      </w:r>
    </w:p>
    <w:p w14:paraId="3162D94F">
      <w:pPr>
        <w:pStyle w:val="5"/>
        <w:bidi w:val="0"/>
        <w:ind w:firstLine="0" w:firstLineChars="0"/>
        <w:rPr>
          <w:color w:val="auto"/>
        </w:rPr>
      </w:pPr>
      <w:r>
        <w:rPr>
          <w:rFonts w:hint="eastAsia"/>
          <w:color w:val="auto"/>
        </w:rPr>
        <w:t>污染物排放量核算</w:t>
      </w:r>
    </w:p>
    <w:p w14:paraId="792CA1D9">
      <w:pPr>
        <w:bidi w:val="0"/>
        <w:rPr>
          <w:color w:val="auto"/>
        </w:rPr>
      </w:pPr>
      <w:r>
        <w:rPr>
          <w:rFonts w:hint="eastAsia"/>
          <w:color w:val="auto"/>
        </w:rPr>
        <w:t>根据《环境影响评价技术导则</w:t>
      </w:r>
      <w:r>
        <w:rPr>
          <w:rFonts w:hint="eastAsia"/>
          <w:color w:val="auto"/>
          <w:lang w:val="en-US" w:eastAsia="zh-CN"/>
        </w:rPr>
        <w:t xml:space="preserve"> </w:t>
      </w:r>
      <w:r>
        <w:rPr>
          <w:rFonts w:hint="eastAsia"/>
          <w:color w:val="auto"/>
        </w:rPr>
        <w:t>大气环境》（HJ2.2-2018），</w:t>
      </w:r>
      <w:r>
        <w:rPr>
          <w:rFonts w:hint="eastAsia"/>
          <w:color w:val="auto"/>
          <w:lang w:val="en-US" w:eastAsia="zh-CN"/>
        </w:rPr>
        <w:t>三</w:t>
      </w:r>
      <w:r>
        <w:rPr>
          <w:rFonts w:hint="eastAsia"/>
          <w:color w:val="auto"/>
        </w:rPr>
        <w:t>级评价项目不进行进一步预测与评价，只对污染源排放量进行核算。</w:t>
      </w:r>
    </w:p>
    <w:p w14:paraId="5A1ADFA9">
      <w:pPr>
        <w:bidi w:val="0"/>
        <w:rPr>
          <w:color w:val="auto"/>
        </w:rPr>
      </w:pPr>
      <w:r>
        <w:rPr>
          <w:color w:val="auto"/>
        </w:rPr>
        <w:t>排放量核算见</w:t>
      </w:r>
      <w:r>
        <w:rPr>
          <w:rFonts w:hint="eastAsia"/>
          <w:color w:val="auto"/>
          <w:lang w:val="en-US" w:eastAsia="zh-CN"/>
        </w:rPr>
        <w:t>下表</w:t>
      </w:r>
      <w:r>
        <w:rPr>
          <w:color w:val="auto"/>
        </w:rPr>
        <w:t>。</w:t>
      </w:r>
    </w:p>
    <w:p w14:paraId="791DA956">
      <w:pPr>
        <w:bidi w:val="0"/>
        <w:rPr>
          <w:color w:val="auto"/>
          <w:lang w:val="en-US"/>
        </w:rPr>
      </w:pPr>
      <w:r>
        <w:rPr>
          <w:rFonts w:hint="eastAsia"/>
          <w:color w:val="auto"/>
          <w:lang w:val="en-US"/>
        </w:rPr>
        <w:t>（</w:t>
      </w:r>
      <w:r>
        <w:rPr>
          <w:color w:val="auto"/>
          <w:lang w:val="en-US"/>
        </w:rPr>
        <w:t>1</w:t>
      </w:r>
      <w:r>
        <w:rPr>
          <w:rFonts w:hint="eastAsia"/>
          <w:color w:val="auto"/>
          <w:lang w:val="en-US"/>
        </w:rPr>
        <w:t>）有组织排放核算</w:t>
      </w:r>
    </w:p>
    <w:p w14:paraId="3D679124">
      <w:pPr>
        <w:bidi w:val="0"/>
        <w:rPr>
          <w:color w:val="auto"/>
          <w:u w:val="none"/>
        </w:rPr>
      </w:pPr>
      <w:r>
        <w:rPr>
          <w:rFonts w:hint="eastAsia"/>
          <w:color w:val="auto"/>
          <w:lang w:val="en-US"/>
        </w:rPr>
        <w:t>本</w:t>
      </w:r>
      <w:r>
        <w:rPr>
          <w:rFonts w:hint="eastAsia"/>
          <w:color w:val="auto"/>
          <w:u w:val="none"/>
          <w:lang w:val="en-US"/>
        </w:rPr>
        <w:t>项目有组织大气污染物排放量核算见下表。</w:t>
      </w:r>
    </w:p>
    <w:p w14:paraId="3467BA83">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 xml:space="preserve">表 </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6.1</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11</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大气污染物有组织排放量核算表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1197"/>
        <w:gridCol w:w="1432"/>
        <w:gridCol w:w="1951"/>
        <w:gridCol w:w="1831"/>
        <w:gridCol w:w="1653"/>
      </w:tblGrid>
      <w:tr w14:paraId="48511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1" w:type="pct"/>
            <w:noWrap w:val="0"/>
            <w:vAlign w:val="center"/>
          </w:tcPr>
          <w:p w14:paraId="2C1BF4ED">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rPr>
            </w:pPr>
            <w:r>
              <w:rPr>
                <w:b/>
              </w:rPr>
              <w:t>序号</w:t>
            </w:r>
          </w:p>
        </w:tc>
        <w:tc>
          <w:tcPr>
            <w:tcW w:w="701" w:type="pct"/>
            <w:noWrap w:val="0"/>
            <w:vAlign w:val="center"/>
          </w:tcPr>
          <w:p w14:paraId="7D4A4846">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rPr>
            </w:pPr>
            <w:r>
              <w:rPr>
                <w:b/>
              </w:rPr>
              <w:t>排放口编号</w:t>
            </w:r>
          </w:p>
        </w:tc>
        <w:tc>
          <w:tcPr>
            <w:tcW w:w="840" w:type="pct"/>
            <w:noWrap w:val="0"/>
            <w:vAlign w:val="center"/>
          </w:tcPr>
          <w:p w14:paraId="6E3DE574">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rPr>
            </w:pPr>
            <w:r>
              <w:rPr>
                <w:b/>
              </w:rPr>
              <w:t>污染物</w:t>
            </w:r>
          </w:p>
        </w:tc>
        <w:tc>
          <w:tcPr>
            <w:tcW w:w="1144" w:type="pct"/>
            <w:noWrap w:val="0"/>
            <w:vAlign w:val="center"/>
          </w:tcPr>
          <w:p w14:paraId="1A7728E0">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rPr>
            </w:pPr>
            <w:r>
              <w:rPr>
                <w:b/>
              </w:rPr>
              <w:t>核算排放浓度mg/m</w:t>
            </w:r>
            <w:r>
              <w:rPr>
                <w:b/>
                <w:vertAlign w:val="superscript"/>
              </w:rPr>
              <w:t>3</w:t>
            </w:r>
          </w:p>
        </w:tc>
        <w:tc>
          <w:tcPr>
            <w:tcW w:w="1073" w:type="pct"/>
            <w:noWrap w:val="0"/>
            <w:vAlign w:val="center"/>
          </w:tcPr>
          <w:p w14:paraId="3DC7B9FF">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rPr>
            </w:pPr>
            <w:r>
              <w:rPr>
                <w:b/>
              </w:rPr>
              <w:t>核算排放速率kg/h</w:t>
            </w:r>
          </w:p>
        </w:tc>
        <w:tc>
          <w:tcPr>
            <w:tcW w:w="968" w:type="pct"/>
            <w:noWrap w:val="0"/>
            <w:vAlign w:val="center"/>
          </w:tcPr>
          <w:p w14:paraId="05829404">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rPr>
            </w:pPr>
            <w:r>
              <w:rPr>
                <w:b/>
              </w:rPr>
              <w:t>核算年排放量t/a</w:t>
            </w:r>
          </w:p>
        </w:tc>
      </w:tr>
      <w:tr w14:paraId="31F1C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noWrap w:val="0"/>
            <w:vAlign w:val="center"/>
          </w:tcPr>
          <w:p w14:paraId="0B62918D">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pPr>
            <w:r>
              <w:t>主要排放口</w:t>
            </w:r>
          </w:p>
        </w:tc>
      </w:tr>
      <w:tr w14:paraId="31425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1" w:type="pct"/>
            <w:noWrap w:val="0"/>
            <w:vAlign w:val="center"/>
          </w:tcPr>
          <w:p w14:paraId="395D3E04">
            <w:pPr>
              <w:pStyle w:val="188"/>
              <w:keepNext w:val="0"/>
              <w:keepLines w:val="0"/>
              <w:pageBreakBefore w:val="0"/>
              <w:widowControl w:val="0"/>
              <w:wordWrap/>
              <w:topLinePunct w:val="0"/>
              <w:autoSpaceDE/>
              <w:autoSpaceDN/>
              <w:bidi w:val="0"/>
              <w:snapToGrid w:val="0"/>
              <w:spacing w:line="240" w:lineRule="auto"/>
              <w:ind w:firstLine="0" w:firstLineChars="0"/>
              <w:textAlignment w:val="auto"/>
            </w:pPr>
            <w:r>
              <w:t>1</w:t>
            </w:r>
          </w:p>
        </w:tc>
        <w:tc>
          <w:tcPr>
            <w:tcW w:w="701" w:type="pct"/>
            <w:noWrap w:val="0"/>
            <w:vAlign w:val="center"/>
          </w:tcPr>
          <w:p w14:paraId="5EEB6945">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pPr>
            <w:r>
              <w:rPr>
                <w:rFonts w:hint="eastAsia"/>
              </w:rPr>
              <w:t>/</w:t>
            </w:r>
          </w:p>
        </w:tc>
        <w:tc>
          <w:tcPr>
            <w:tcW w:w="840" w:type="pct"/>
            <w:noWrap w:val="0"/>
            <w:vAlign w:val="center"/>
          </w:tcPr>
          <w:p w14:paraId="5D59BD78">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pPr>
            <w:r>
              <w:rPr>
                <w:rFonts w:hint="eastAsia"/>
              </w:rPr>
              <w:t>/</w:t>
            </w:r>
          </w:p>
        </w:tc>
        <w:tc>
          <w:tcPr>
            <w:tcW w:w="1144" w:type="pct"/>
            <w:noWrap w:val="0"/>
            <w:vAlign w:val="center"/>
          </w:tcPr>
          <w:p w14:paraId="68F33DB8">
            <w:pPr>
              <w:pStyle w:val="182"/>
              <w:keepNext w:val="0"/>
              <w:keepLines w:val="0"/>
              <w:pageBreakBefore w:val="0"/>
              <w:widowControl w:val="0"/>
              <w:wordWrap/>
              <w:topLinePunct w:val="0"/>
              <w:autoSpaceDE/>
              <w:autoSpaceDN/>
              <w:bidi w:val="0"/>
              <w:snapToGrid w:val="0"/>
              <w:spacing w:line="240" w:lineRule="auto"/>
              <w:ind w:firstLine="0" w:firstLineChars="0"/>
              <w:textAlignment w:val="auto"/>
              <w:rPr>
                <w:bCs/>
                <w:color w:val="auto"/>
              </w:rPr>
            </w:pPr>
            <w:r>
              <w:rPr>
                <w:rFonts w:hint="eastAsia"/>
              </w:rPr>
              <w:t>/</w:t>
            </w:r>
          </w:p>
        </w:tc>
        <w:tc>
          <w:tcPr>
            <w:tcW w:w="1073" w:type="pct"/>
            <w:noWrap w:val="0"/>
            <w:vAlign w:val="center"/>
          </w:tcPr>
          <w:p w14:paraId="4F7DE166">
            <w:pPr>
              <w:pStyle w:val="182"/>
              <w:keepNext w:val="0"/>
              <w:keepLines w:val="0"/>
              <w:pageBreakBefore w:val="0"/>
              <w:widowControl w:val="0"/>
              <w:wordWrap/>
              <w:topLinePunct w:val="0"/>
              <w:autoSpaceDE/>
              <w:autoSpaceDN/>
              <w:bidi w:val="0"/>
              <w:snapToGrid w:val="0"/>
              <w:spacing w:line="240" w:lineRule="auto"/>
              <w:ind w:firstLine="0" w:firstLineChars="0"/>
              <w:textAlignment w:val="auto"/>
              <w:rPr>
                <w:bCs/>
                <w:color w:val="auto"/>
              </w:rPr>
            </w:pPr>
            <w:r>
              <w:rPr>
                <w:rFonts w:hint="eastAsia"/>
              </w:rPr>
              <w:t>/</w:t>
            </w:r>
          </w:p>
        </w:tc>
        <w:tc>
          <w:tcPr>
            <w:tcW w:w="968" w:type="pct"/>
            <w:noWrap w:val="0"/>
            <w:vAlign w:val="center"/>
          </w:tcPr>
          <w:p w14:paraId="7D32D403">
            <w:pPr>
              <w:pStyle w:val="182"/>
              <w:keepNext w:val="0"/>
              <w:keepLines w:val="0"/>
              <w:pageBreakBefore w:val="0"/>
              <w:widowControl w:val="0"/>
              <w:wordWrap/>
              <w:topLinePunct w:val="0"/>
              <w:autoSpaceDE/>
              <w:autoSpaceDN/>
              <w:bidi w:val="0"/>
              <w:snapToGrid w:val="0"/>
              <w:spacing w:line="240" w:lineRule="auto"/>
              <w:ind w:firstLine="0" w:firstLineChars="0"/>
              <w:textAlignment w:val="auto"/>
              <w:rPr>
                <w:bCs/>
                <w:color w:val="auto"/>
              </w:rPr>
            </w:pPr>
            <w:r>
              <w:rPr>
                <w:rFonts w:hint="eastAsia"/>
              </w:rPr>
              <w:t>/</w:t>
            </w:r>
          </w:p>
        </w:tc>
      </w:tr>
      <w:tr w14:paraId="21CAD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noWrap w:val="0"/>
            <w:vAlign w:val="center"/>
          </w:tcPr>
          <w:p w14:paraId="0CA76EBC">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pPr>
            <w:r>
              <w:t>一般排放口</w:t>
            </w:r>
          </w:p>
        </w:tc>
      </w:tr>
      <w:tr w14:paraId="307AC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1" w:type="pct"/>
            <w:noWrap w:val="0"/>
            <w:vAlign w:val="center"/>
          </w:tcPr>
          <w:p w14:paraId="0085DFFD">
            <w:pPr>
              <w:pStyle w:val="188"/>
              <w:keepNext w:val="0"/>
              <w:keepLines w:val="0"/>
              <w:pageBreakBefore w:val="0"/>
              <w:widowControl w:val="0"/>
              <w:wordWrap/>
              <w:topLinePunct w:val="0"/>
              <w:autoSpaceDE/>
              <w:autoSpaceDN/>
              <w:bidi w:val="0"/>
              <w:snapToGrid w:val="0"/>
              <w:spacing w:line="240" w:lineRule="auto"/>
              <w:ind w:firstLine="0" w:firstLineChars="0"/>
              <w:textAlignment w:val="auto"/>
            </w:pPr>
            <w:r>
              <w:rPr>
                <w:rFonts w:hint="eastAsia"/>
              </w:rPr>
              <w:t>1</w:t>
            </w:r>
          </w:p>
        </w:tc>
        <w:tc>
          <w:tcPr>
            <w:tcW w:w="701" w:type="pct"/>
            <w:noWrap w:val="0"/>
            <w:vAlign w:val="center"/>
          </w:tcPr>
          <w:p w14:paraId="14281808">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lang w:eastAsia="zh-CN"/>
              </w:rPr>
            </w:pPr>
            <w:r>
              <w:rPr>
                <w:rFonts w:hint="eastAsia" w:eastAsia="宋体"/>
                <w:lang w:eastAsia="zh-CN"/>
              </w:rPr>
              <w:t>DA029</w:t>
            </w:r>
          </w:p>
        </w:tc>
        <w:tc>
          <w:tcPr>
            <w:tcW w:w="840" w:type="pct"/>
            <w:noWrap w:val="0"/>
            <w:vAlign w:val="center"/>
          </w:tcPr>
          <w:p w14:paraId="7BB11D8E">
            <w:pPr>
              <w:keepNext w:val="0"/>
              <w:keepLines w:val="0"/>
              <w:pageBreakBefore w:val="0"/>
              <w:widowControl w:val="0"/>
              <w:wordWrap/>
              <w:topLinePunct w:val="0"/>
              <w:autoSpaceDE/>
              <w:autoSpaceDN/>
              <w:bidi w:val="0"/>
              <w:snapToGrid w:val="0"/>
              <w:spacing w:line="240" w:lineRule="auto"/>
              <w:ind w:firstLine="482" w:firstLineChars="200"/>
              <w:jc w:val="center"/>
              <w:textAlignment w:val="auto"/>
            </w:pPr>
            <w:r>
              <w:rPr>
                <w:rFonts w:hint="eastAsia"/>
                <w:b/>
                <w:bCs/>
                <w:color w:val="auto"/>
                <w:u w:val="single"/>
                <w:lang w:val="en-US" w:eastAsia="zh-CN"/>
              </w:rPr>
              <w:t>*</w:t>
            </w:r>
          </w:p>
        </w:tc>
        <w:tc>
          <w:tcPr>
            <w:tcW w:w="2126" w:type="dxa"/>
            <w:noWrap w:val="0"/>
            <w:vAlign w:val="center"/>
          </w:tcPr>
          <w:p w14:paraId="4277B308">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Cs/>
                <w:color w:val="auto"/>
                <w:lang w:val="en-US" w:eastAsia="zh-CN"/>
              </w:rPr>
            </w:pPr>
            <w:r>
              <w:rPr>
                <w:rFonts w:hint="eastAsia"/>
                <w:b/>
                <w:bCs/>
                <w:color w:val="auto"/>
                <w:u w:val="single"/>
                <w:lang w:val="en-US" w:eastAsia="zh-CN"/>
              </w:rPr>
              <w:t>*</w:t>
            </w:r>
          </w:p>
        </w:tc>
        <w:tc>
          <w:tcPr>
            <w:tcW w:w="1995" w:type="dxa"/>
            <w:noWrap w:val="0"/>
            <w:vAlign w:val="center"/>
          </w:tcPr>
          <w:p w14:paraId="29A9262E">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Cs/>
                <w:color w:val="auto"/>
                <w:lang w:val="en-US" w:eastAsia="zh-CN"/>
              </w:rPr>
            </w:pPr>
            <w:r>
              <w:rPr>
                <w:rFonts w:hint="eastAsia"/>
                <w:b/>
                <w:bCs/>
                <w:color w:val="auto"/>
                <w:u w:val="single"/>
                <w:lang w:val="en-US" w:eastAsia="zh-CN"/>
              </w:rPr>
              <w:t>*</w:t>
            </w:r>
          </w:p>
        </w:tc>
        <w:tc>
          <w:tcPr>
            <w:tcW w:w="1800" w:type="dxa"/>
            <w:noWrap w:val="0"/>
            <w:vAlign w:val="center"/>
          </w:tcPr>
          <w:p w14:paraId="1F92CB3F">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Cs/>
                <w:color w:val="auto"/>
                <w:lang w:val="en-US" w:eastAsia="zh-CN"/>
              </w:rPr>
            </w:pPr>
            <w:r>
              <w:rPr>
                <w:rFonts w:hint="eastAsia"/>
                <w:b/>
                <w:bCs/>
                <w:color w:val="auto"/>
                <w:u w:val="single"/>
                <w:lang w:val="en-US" w:eastAsia="zh-CN"/>
              </w:rPr>
              <w:t>*</w:t>
            </w:r>
          </w:p>
        </w:tc>
      </w:tr>
      <w:tr w14:paraId="4C601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1" w:type="pct"/>
            <w:noWrap w:val="0"/>
            <w:vAlign w:val="center"/>
          </w:tcPr>
          <w:p w14:paraId="3341AE0F">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rFonts w:hint="eastAsia" w:eastAsia="宋体"/>
                <w:lang w:val="en-US" w:eastAsia="zh-CN"/>
              </w:rPr>
            </w:pPr>
            <w:r>
              <w:rPr>
                <w:rFonts w:hint="eastAsia"/>
                <w:lang w:val="en-US" w:eastAsia="zh-CN"/>
              </w:rPr>
              <w:t>2</w:t>
            </w:r>
          </w:p>
        </w:tc>
        <w:tc>
          <w:tcPr>
            <w:tcW w:w="701" w:type="pct"/>
            <w:noWrap w:val="0"/>
            <w:vAlign w:val="center"/>
          </w:tcPr>
          <w:p w14:paraId="10972CC5">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eastAsia="宋体"/>
                <w:lang w:val="en-US" w:eastAsia="zh-CN"/>
              </w:rPr>
            </w:pPr>
            <w:r>
              <w:rPr>
                <w:rFonts w:hint="eastAsia"/>
                <w:lang w:val="en-US" w:eastAsia="zh-CN"/>
              </w:rPr>
              <w:t>DA030</w:t>
            </w:r>
          </w:p>
        </w:tc>
        <w:tc>
          <w:tcPr>
            <w:tcW w:w="840" w:type="pct"/>
            <w:noWrap w:val="0"/>
            <w:vAlign w:val="center"/>
          </w:tcPr>
          <w:p w14:paraId="60CA310D">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lang w:val="en-US" w:eastAsia="zh-CN"/>
              </w:rPr>
            </w:pPr>
            <w:r>
              <w:rPr>
                <w:rFonts w:hint="eastAsia"/>
                <w:b/>
                <w:bCs/>
                <w:color w:val="auto"/>
                <w:u w:val="single"/>
                <w:lang w:val="en-US" w:eastAsia="zh-CN"/>
              </w:rPr>
              <w:t>*</w:t>
            </w:r>
          </w:p>
        </w:tc>
        <w:tc>
          <w:tcPr>
            <w:tcW w:w="2126" w:type="dxa"/>
            <w:noWrap w:val="0"/>
            <w:vAlign w:val="center"/>
          </w:tcPr>
          <w:p w14:paraId="39770B11">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Cs/>
                <w:color w:val="auto"/>
              </w:rPr>
            </w:pPr>
            <w:r>
              <w:rPr>
                <w:rFonts w:hint="eastAsia"/>
                <w:b/>
                <w:bCs/>
                <w:color w:val="auto"/>
                <w:u w:val="single"/>
                <w:lang w:val="en-US" w:eastAsia="zh-CN"/>
              </w:rPr>
              <w:t>*</w:t>
            </w:r>
          </w:p>
        </w:tc>
        <w:tc>
          <w:tcPr>
            <w:tcW w:w="1995" w:type="dxa"/>
            <w:noWrap w:val="0"/>
            <w:vAlign w:val="center"/>
          </w:tcPr>
          <w:p w14:paraId="76F41C00">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Cs/>
                <w:color w:val="auto"/>
              </w:rPr>
            </w:pPr>
            <w:r>
              <w:rPr>
                <w:rFonts w:hint="eastAsia"/>
                <w:b/>
                <w:bCs/>
                <w:color w:val="auto"/>
                <w:u w:val="single"/>
                <w:lang w:val="en-US" w:eastAsia="zh-CN"/>
              </w:rPr>
              <w:t>*</w:t>
            </w:r>
          </w:p>
        </w:tc>
        <w:tc>
          <w:tcPr>
            <w:tcW w:w="1800" w:type="dxa"/>
            <w:noWrap w:val="0"/>
            <w:vAlign w:val="center"/>
          </w:tcPr>
          <w:p w14:paraId="4B0D92FB">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eastAsia"/>
                <w:bCs/>
                <w:color w:val="auto"/>
              </w:rPr>
            </w:pPr>
            <w:r>
              <w:rPr>
                <w:rFonts w:hint="eastAsia"/>
                <w:b/>
                <w:bCs/>
                <w:color w:val="auto"/>
                <w:u w:val="single"/>
                <w:lang w:val="en-US" w:eastAsia="zh-CN"/>
              </w:rPr>
              <w:t>*</w:t>
            </w:r>
          </w:p>
        </w:tc>
      </w:tr>
      <w:tr w14:paraId="32BF3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3" w:type="pct"/>
            <w:gridSpan w:val="2"/>
            <w:noWrap w:val="0"/>
            <w:vAlign w:val="center"/>
          </w:tcPr>
          <w:p w14:paraId="5D75AAAA">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pPr>
            <w:r>
              <w:t>一般排放口合计</w:t>
            </w:r>
          </w:p>
        </w:tc>
        <w:tc>
          <w:tcPr>
            <w:tcW w:w="3058" w:type="pct"/>
            <w:gridSpan w:val="3"/>
            <w:noWrap w:val="0"/>
            <w:vAlign w:val="center"/>
          </w:tcPr>
          <w:p w14:paraId="6F45CFA9">
            <w:pPr>
              <w:pStyle w:val="182"/>
              <w:keepNext w:val="0"/>
              <w:keepLines w:val="0"/>
              <w:pageBreakBefore w:val="0"/>
              <w:widowControl w:val="0"/>
              <w:wordWrap/>
              <w:topLinePunct w:val="0"/>
              <w:autoSpaceDE/>
              <w:autoSpaceDN/>
              <w:bidi w:val="0"/>
              <w:snapToGrid w:val="0"/>
              <w:spacing w:line="240" w:lineRule="auto"/>
              <w:ind w:firstLine="0" w:firstLineChars="0"/>
              <w:textAlignment w:val="auto"/>
              <w:rPr>
                <w:bCs/>
                <w:color w:val="auto"/>
              </w:rPr>
            </w:pPr>
            <w:r>
              <w:t>颗粒物</w:t>
            </w:r>
          </w:p>
        </w:tc>
        <w:tc>
          <w:tcPr>
            <w:tcW w:w="1652" w:type="dxa"/>
            <w:noWrap w:val="0"/>
            <w:vAlign w:val="center"/>
          </w:tcPr>
          <w:p w14:paraId="50F06419">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bCs/>
                <w:color w:val="auto"/>
              </w:rPr>
            </w:pPr>
            <w:r>
              <w:rPr>
                <w:rFonts w:hint="eastAsia"/>
                <w:b/>
                <w:bCs/>
                <w:color w:val="auto"/>
                <w:u w:val="single"/>
                <w:lang w:val="en-US" w:eastAsia="zh-CN"/>
              </w:rPr>
              <w:t>*</w:t>
            </w:r>
          </w:p>
        </w:tc>
      </w:tr>
      <w:tr w14:paraId="3EA67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3" w:type="pct"/>
            <w:gridSpan w:val="2"/>
            <w:noWrap w:val="0"/>
            <w:vAlign w:val="center"/>
          </w:tcPr>
          <w:p w14:paraId="14466540">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pPr>
            <w:r>
              <w:t>一般排放口合计</w:t>
            </w:r>
          </w:p>
        </w:tc>
        <w:tc>
          <w:tcPr>
            <w:tcW w:w="3058" w:type="pct"/>
            <w:gridSpan w:val="3"/>
            <w:noWrap w:val="0"/>
            <w:vAlign w:val="center"/>
          </w:tcPr>
          <w:p w14:paraId="24DCBC8D">
            <w:pPr>
              <w:pStyle w:val="182"/>
              <w:keepNext w:val="0"/>
              <w:keepLines w:val="0"/>
              <w:pageBreakBefore w:val="0"/>
              <w:widowControl w:val="0"/>
              <w:wordWrap/>
              <w:topLinePunct w:val="0"/>
              <w:autoSpaceDE/>
              <w:autoSpaceDN/>
              <w:bidi w:val="0"/>
              <w:snapToGrid w:val="0"/>
              <w:spacing w:line="240" w:lineRule="auto"/>
              <w:ind w:firstLine="0" w:firstLineChars="0"/>
              <w:textAlignment w:val="auto"/>
              <w:rPr>
                <w:rFonts w:hint="eastAsia" w:eastAsia="宋体"/>
                <w:lang w:val="en-US" w:eastAsia="zh-CN"/>
              </w:rPr>
            </w:pPr>
            <w:r>
              <w:rPr>
                <w:rFonts w:hint="eastAsia"/>
                <w:lang w:val="en-US" w:eastAsia="zh-CN"/>
              </w:rPr>
              <w:t>非甲烷总烃</w:t>
            </w:r>
          </w:p>
        </w:tc>
        <w:tc>
          <w:tcPr>
            <w:tcW w:w="1652" w:type="dxa"/>
            <w:noWrap w:val="0"/>
            <w:vAlign w:val="center"/>
          </w:tcPr>
          <w:p w14:paraId="57457087">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Cs/>
                <w:color w:val="auto"/>
                <w:lang w:val="en-US"/>
              </w:rPr>
            </w:pPr>
            <w:r>
              <w:rPr>
                <w:rFonts w:hint="eastAsia"/>
                <w:b/>
                <w:bCs/>
                <w:color w:val="auto"/>
                <w:u w:val="single"/>
                <w:lang w:val="en-US" w:eastAsia="zh-CN"/>
              </w:rPr>
              <w:t>*</w:t>
            </w:r>
          </w:p>
        </w:tc>
      </w:tr>
      <w:tr w14:paraId="39D9C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noWrap w:val="0"/>
            <w:vAlign w:val="center"/>
          </w:tcPr>
          <w:p w14:paraId="592149F5">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pPr>
            <w:r>
              <w:rPr>
                <w:rFonts w:hint="eastAsia"/>
              </w:rPr>
              <w:t>有组织排放总计</w:t>
            </w:r>
          </w:p>
        </w:tc>
      </w:tr>
      <w:tr w14:paraId="7D80C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3" w:type="pct"/>
            <w:gridSpan w:val="2"/>
            <w:vMerge w:val="restart"/>
            <w:noWrap w:val="0"/>
            <w:vAlign w:val="center"/>
          </w:tcPr>
          <w:p w14:paraId="1DBE03B3">
            <w:pPr>
              <w:pStyle w:val="188"/>
              <w:keepNext w:val="0"/>
              <w:keepLines w:val="0"/>
              <w:pageBreakBefore w:val="0"/>
              <w:widowControl w:val="0"/>
              <w:wordWrap/>
              <w:topLinePunct w:val="0"/>
              <w:autoSpaceDE/>
              <w:autoSpaceDN/>
              <w:bidi w:val="0"/>
              <w:snapToGrid w:val="0"/>
              <w:spacing w:line="240" w:lineRule="auto"/>
              <w:ind w:firstLine="0" w:firstLineChars="0"/>
              <w:textAlignment w:val="auto"/>
            </w:pPr>
            <w:r>
              <w:t>有组织排放总计</w:t>
            </w:r>
          </w:p>
        </w:tc>
        <w:tc>
          <w:tcPr>
            <w:tcW w:w="3058" w:type="pct"/>
            <w:gridSpan w:val="3"/>
            <w:noWrap w:val="0"/>
            <w:vAlign w:val="center"/>
          </w:tcPr>
          <w:p w14:paraId="0479F1EA">
            <w:pPr>
              <w:pStyle w:val="182"/>
              <w:keepNext w:val="0"/>
              <w:keepLines w:val="0"/>
              <w:pageBreakBefore w:val="0"/>
              <w:widowControl w:val="0"/>
              <w:wordWrap/>
              <w:topLinePunct w:val="0"/>
              <w:autoSpaceDE/>
              <w:autoSpaceDN/>
              <w:bidi w:val="0"/>
              <w:snapToGrid w:val="0"/>
              <w:spacing w:line="240" w:lineRule="auto"/>
              <w:ind w:firstLine="0" w:firstLineChars="0"/>
              <w:textAlignment w:val="auto"/>
              <w:rPr>
                <w:bCs/>
                <w:color w:val="auto"/>
              </w:rPr>
            </w:pPr>
            <w:r>
              <w:t>颗粒物</w:t>
            </w:r>
          </w:p>
        </w:tc>
        <w:tc>
          <w:tcPr>
            <w:tcW w:w="1652" w:type="dxa"/>
            <w:noWrap w:val="0"/>
            <w:vAlign w:val="center"/>
          </w:tcPr>
          <w:p w14:paraId="71CEA6A1">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bCs/>
                <w:color w:val="auto"/>
              </w:rPr>
            </w:pPr>
            <w:r>
              <w:rPr>
                <w:rFonts w:hint="eastAsia"/>
                <w:b/>
                <w:bCs/>
                <w:color w:val="auto"/>
                <w:u w:val="single"/>
                <w:lang w:val="en-US" w:eastAsia="zh-CN"/>
              </w:rPr>
              <w:t>*</w:t>
            </w:r>
          </w:p>
        </w:tc>
      </w:tr>
      <w:tr w14:paraId="1665F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3" w:type="pct"/>
            <w:gridSpan w:val="2"/>
            <w:vMerge w:val="continue"/>
            <w:noWrap w:val="0"/>
            <w:vAlign w:val="center"/>
          </w:tcPr>
          <w:p w14:paraId="25101EEA">
            <w:pPr>
              <w:pStyle w:val="188"/>
              <w:keepNext w:val="0"/>
              <w:keepLines w:val="0"/>
              <w:pageBreakBefore w:val="0"/>
              <w:widowControl w:val="0"/>
              <w:wordWrap/>
              <w:topLinePunct w:val="0"/>
              <w:autoSpaceDE/>
              <w:autoSpaceDN/>
              <w:bidi w:val="0"/>
              <w:snapToGrid w:val="0"/>
              <w:spacing w:line="240" w:lineRule="auto"/>
              <w:ind w:firstLine="0" w:firstLineChars="0"/>
              <w:textAlignment w:val="auto"/>
            </w:pPr>
          </w:p>
        </w:tc>
        <w:tc>
          <w:tcPr>
            <w:tcW w:w="3058" w:type="pct"/>
            <w:gridSpan w:val="3"/>
            <w:noWrap w:val="0"/>
            <w:vAlign w:val="center"/>
          </w:tcPr>
          <w:p w14:paraId="2A28AF84">
            <w:pPr>
              <w:pStyle w:val="182"/>
              <w:keepNext w:val="0"/>
              <w:keepLines w:val="0"/>
              <w:pageBreakBefore w:val="0"/>
              <w:widowControl w:val="0"/>
              <w:wordWrap/>
              <w:topLinePunct w:val="0"/>
              <w:autoSpaceDE/>
              <w:autoSpaceDN/>
              <w:bidi w:val="0"/>
              <w:snapToGrid w:val="0"/>
              <w:spacing w:line="240" w:lineRule="auto"/>
              <w:ind w:firstLine="0" w:firstLineChars="0"/>
              <w:textAlignment w:val="auto"/>
            </w:pPr>
            <w:r>
              <w:rPr>
                <w:rFonts w:hint="eastAsia"/>
                <w:lang w:val="en-US" w:eastAsia="zh-CN"/>
              </w:rPr>
              <w:t>非甲烷总烃</w:t>
            </w:r>
          </w:p>
        </w:tc>
        <w:tc>
          <w:tcPr>
            <w:tcW w:w="1652" w:type="dxa"/>
            <w:noWrap w:val="0"/>
            <w:vAlign w:val="center"/>
          </w:tcPr>
          <w:p w14:paraId="16F9290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Cs/>
                <w:color w:val="auto"/>
                <w:lang w:val="en-US"/>
              </w:rPr>
            </w:pPr>
            <w:r>
              <w:rPr>
                <w:rFonts w:hint="eastAsia"/>
                <w:b/>
                <w:bCs/>
                <w:color w:val="auto"/>
                <w:u w:val="single"/>
                <w:lang w:val="en-US" w:eastAsia="zh-CN"/>
              </w:rPr>
              <w:t>*</w:t>
            </w:r>
          </w:p>
        </w:tc>
      </w:tr>
    </w:tbl>
    <w:p w14:paraId="24161A03">
      <w:pPr>
        <w:pStyle w:val="10"/>
        <w:bidi w:val="0"/>
      </w:pPr>
      <w:r>
        <w:t xml:space="preserve">表 </w:t>
      </w:r>
      <w:r>
        <w:fldChar w:fldCharType="begin"/>
      </w:r>
      <w:r>
        <w:instrText xml:space="preserve"> STYLEREF 2 \s </w:instrText>
      </w:r>
      <w:r>
        <w:fldChar w:fldCharType="separate"/>
      </w:r>
      <w:r>
        <w:t>6.1</w:t>
      </w:r>
      <w:r>
        <w:fldChar w:fldCharType="end"/>
      </w:r>
      <w:r>
        <w:rPr>
          <w:rFonts w:hint="eastAsia"/>
          <w:lang w:eastAsia="zh-CN"/>
        </w:rPr>
        <w:t>-</w:t>
      </w:r>
      <w:r>
        <w:fldChar w:fldCharType="begin"/>
      </w:r>
      <w:r>
        <w:instrText xml:space="preserve"> SEQ 表 \* ARABIC \s 2 </w:instrText>
      </w:r>
      <w:r>
        <w:fldChar w:fldCharType="separate"/>
      </w:r>
      <w:r>
        <w:t>12</w:t>
      </w:r>
      <w:r>
        <w:fldChar w:fldCharType="end"/>
      </w:r>
      <w:r>
        <w:rPr>
          <w:rFonts w:hint="eastAsia"/>
        </w:rPr>
        <w:t xml:space="preserve"> 大气污染物</w:t>
      </w:r>
      <w:r>
        <w:rPr>
          <w:rFonts w:hint="eastAsia"/>
          <w:lang w:val="en-US" w:eastAsia="zh-CN"/>
        </w:rPr>
        <w:t>无</w:t>
      </w:r>
      <w:r>
        <w:rPr>
          <w:rFonts w:hint="eastAsia"/>
        </w:rPr>
        <w:t>组织排放量核算</w:t>
      </w:r>
    </w:p>
    <w:tbl>
      <w:tblPr>
        <w:tblStyle w:val="3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814"/>
        <w:gridCol w:w="985"/>
        <w:gridCol w:w="1362"/>
        <w:gridCol w:w="915"/>
        <w:gridCol w:w="1709"/>
        <w:gridCol w:w="1152"/>
        <w:gridCol w:w="1157"/>
      </w:tblGrid>
      <w:tr w14:paraId="1E3E2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250" w:type="pct"/>
            <w:vMerge w:val="restart"/>
            <w:noWrap w:val="0"/>
            <w:vAlign w:val="center"/>
          </w:tcPr>
          <w:p w14:paraId="724FC23B">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val="0"/>
                <w:u w:val="single"/>
              </w:rPr>
            </w:pPr>
            <w:r>
              <w:rPr>
                <w:b/>
                <w:bCs w:val="0"/>
                <w:u w:val="single"/>
              </w:rPr>
              <w:t>序号</w:t>
            </w:r>
          </w:p>
        </w:tc>
        <w:tc>
          <w:tcPr>
            <w:tcW w:w="478" w:type="pct"/>
            <w:vMerge w:val="restart"/>
            <w:noWrap w:val="0"/>
            <w:vAlign w:val="center"/>
          </w:tcPr>
          <w:p w14:paraId="7B475C06">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val="0"/>
                <w:u w:val="single"/>
              </w:rPr>
            </w:pPr>
            <w:r>
              <w:rPr>
                <w:b/>
                <w:bCs w:val="0"/>
                <w:u w:val="single"/>
              </w:rPr>
              <w:t>排放口编号</w:t>
            </w:r>
          </w:p>
        </w:tc>
        <w:tc>
          <w:tcPr>
            <w:tcW w:w="578" w:type="pct"/>
            <w:vMerge w:val="restart"/>
            <w:noWrap w:val="0"/>
            <w:vAlign w:val="center"/>
          </w:tcPr>
          <w:p w14:paraId="5AFFF386">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val="0"/>
                <w:u w:val="single"/>
                <w:lang w:eastAsia="zh-CN"/>
              </w:rPr>
            </w:pPr>
            <w:r>
              <w:rPr>
                <w:rFonts w:hint="eastAsia" w:eastAsia="宋体"/>
                <w:b/>
                <w:bCs w:val="0"/>
                <w:u w:val="single"/>
                <w:lang w:val="en-US" w:eastAsia="zh-CN"/>
              </w:rPr>
              <w:t>产污环节</w:t>
            </w:r>
          </w:p>
        </w:tc>
        <w:tc>
          <w:tcPr>
            <w:tcW w:w="797" w:type="pct"/>
            <w:vMerge w:val="restart"/>
            <w:noWrap w:val="0"/>
            <w:vAlign w:val="center"/>
          </w:tcPr>
          <w:p w14:paraId="71DE8796">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eastAsia="宋体"/>
                <w:b/>
                <w:bCs w:val="0"/>
                <w:u w:val="single"/>
                <w:lang w:val="en-US" w:eastAsia="zh-CN"/>
              </w:rPr>
            </w:pPr>
            <w:r>
              <w:rPr>
                <w:rFonts w:hint="eastAsia" w:eastAsia="宋体"/>
                <w:b/>
                <w:bCs w:val="0"/>
                <w:u w:val="single"/>
                <w:lang w:val="en-US" w:eastAsia="zh-CN"/>
              </w:rPr>
              <w:t>污染物</w:t>
            </w:r>
          </w:p>
        </w:tc>
        <w:tc>
          <w:tcPr>
            <w:tcW w:w="537" w:type="pct"/>
            <w:vMerge w:val="restart"/>
            <w:noWrap w:val="0"/>
            <w:vAlign w:val="center"/>
          </w:tcPr>
          <w:p w14:paraId="716C8C79">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val="0"/>
                <w:u w:val="single"/>
                <w:lang w:eastAsia="zh-CN"/>
              </w:rPr>
            </w:pPr>
            <w:r>
              <w:rPr>
                <w:rFonts w:hint="eastAsia" w:eastAsia="宋体"/>
                <w:b/>
                <w:bCs w:val="0"/>
                <w:u w:val="single"/>
                <w:lang w:val="en-US" w:eastAsia="zh-CN"/>
              </w:rPr>
              <w:t>主要污染防治措施</w:t>
            </w:r>
          </w:p>
        </w:tc>
        <w:tc>
          <w:tcPr>
            <w:tcW w:w="1679" w:type="pct"/>
            <w:gridSpan w:val="2"/>
            <w:noWrap w:val="0"/>
            <w:vAlign w:val="center"/>
          </w:tcPr>
          <w:p w14:paraId="5B161DE0">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eastAsia="宋体"/>
                <w:b/>
                <w:bCs w:val="0"/>
                <w:u w:val="single"/>
                <w:lang w:val="en-US" w:eastAsia="zh-CN"/>
              </w:rPr>
            </w:pPr>
            <w:r>
              <w:rPr>
                <w:rFonts w:hint="eastAsia" w:eastAsia="宋体"/>
                <w:b/>
                <w:bCs w:val="0"/>
                <w:u w:val="single"/>
                <w:lang w:val="en-US" w:eastAsia="zh-CN"/>
              </w:rPr>
              <w:t>国家或地方污染物排放标准</w:t>
            </w:r>
          </w:p>
        </w:tc>
        <w:tc>
          <w:tcPr>
            <w:tcW w:w="677" w:type="pct"/>
            <w:vMerge w:val="restart"/>
            <w:noWrap w:val="0"/>
            <w:vAlign w:val="center"/>
          </w:tcPr>
          <w:p w14:paraId="773917C4">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eastAsia="宋体"/>
                <w:b/>
                <w:bCs w:val="0"/>
                <w:u w:val="single"/>
                <w:lang w:val="en-US" w:eastAsia="zh-CN"/>
              </w:rPr>
            </w:pPr>
            <w:r>
              <w:rPr>
                <w:rFonts w:hint="eastAsia" w:eastAsia="宋体"/>
                <w:b/>
                <w:bCs w:val="0"/>
                <w:u w:val="single"/>
                <w:lang w:val="en-US" w:eastAsia="zh-CN"/>
              </w:rPr>
              <w:t>年排放量</w:t>
            </w:r>
            <w:r>
              <w:rPr>
                <w:b/>
                <w:bCs w:val="0"/>
                <w:u w:val="single"/>
              </w:rPr>
              <w:t>t/a</w:t>
            </w:r>
          </w:p>
        </w:tc>
      </w:tr>
      <w:tr w14:paraId="40FB0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50" w:type="pct"/>
            <w:vMerge w:val="continue"/>
            <w:noWrap w:val="0"/>
            <w:vAlign w:val="center"/>
          </w:tcPr>
          <w:p w14:paraId="0A2A768F">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bCs w:val="0"/>
                <w:u w:val="single"/>
              </w:rPr>
            </w:pPr>
          </w:p>
        </w:tc>
        <w:tc>
          <w:tcPr>
            <w:tcW w:w="478" w:type="pct"/>
            <w:vMerge w:val="continue"/>
            <w:noWrap w:val="0"/>
            <w:vAlign w:val="center"/>
          </w:tcPr>
          <w:p w14:paraId="029AE38F">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b/>
                <w:bCs w:val="0"/>
                <w:u w:val="single"/>
              </w:rPr>
            </w:pPr>
          </w:p>
        </w:tc>
        <w:tc>
          <w:tcPr>
            <w:tcW w:w="578" w:type="pct"/>
            <w:vMerge w:val="continue"/>
            <w:noWrap w:val="0"/>
            <w:vAlign w:val="center"/>
          </w:tcPr>
          <w:p w14:paraId="7904F109">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rFonts w:hint="eastAsia" w:eastAsia="宋体"/>
                <w:b/>
                <w:bCs w:val="0"/>
                <w:u w:val="single"/>
                <w:lang w:val="en-US" w:eastAsia="zh-CN"/>
              </w:rPr>
            </w:pPr>
          </w:p>
        </w:tc>
        <w:tc>
          <w:tcPr>
            <w:tcW w:w="797" w:type="pct"/>
            <w:vMerge w:val="continue"/>
            <w:noWrap w:val="0"/>
            <w:vAlign w:val="center"/>
          </w:tcPr>
          <w:p w14:paraId="696CE010">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rFonts w:hint="eastAsia" w:eastAsia="宋体"/>
                <w:b/>
                <w:bCs w:val="0"/>
                <w:u w:val="single"/>
                <w:lang w:val="en-US" w:eastAsia="zh-CN"/>
              </w:rPr>
            </w:pPr>
          </w:p>
        </w:tc>
        <w:tc>
          <w:tcPr>
            <w:tcW w:w="537" w:type="pct"/>
            <w:vMerge w:val="continue"/>
            <w:noWrap w:val="0"/>
            <w:vAlign w:val="center"/>
          </w:tcPr>
          <w:p w14:paraId="2A33C62E">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rFonts w:hint="eastAsia" w:eastAsia="宋体"/>
                <w:b/>
                <w:bCs w:val="0"/>
                <w:u w:val="single"/>
                <w:lang w:val="en-US" w:eastAsia="zh-CN"/>
              </w:rPr>
            </w:pPr>
          </w:p>
        </w:tc>
        <w:tc>
          <w:tcPr>
            <w:tcW w:w="1003" w:type="pct"/>
            <w:noWrap w:val="0"/>
            <w:vAlign w:val="center"/>
          </w:tcPr>
          <w:p w14:paraId="4BF60606">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val="0"/>
                <w:u w:val="single"/>
                <w:lang w:val="en-US" w:eastAsia="zh-CN"/>
              </w:rPr>
            </w:pPr>
            <w:r>
              <w:rPr>
                <w:rFonts w:hint="eastAsia" w:eastAsia="宋体"/>
                <w:b/>
                <w:bCs w:val="0"/>
                <w:u w:val="single"/>
                <w:lang w:val="en-US" w:eastAsia="zh-CN"/>
              </w:rPr>
              <w:t>标准名称</w:t>
            </w:r>
          </w:p>
        </w:tc>
        <w:tc>
          <w:tcPr>
            <w:tcW w:w="676" w:type="pct"/>
            <w:noWrap w:val="0"/>
            <w:vAlign w:val="center"/>
          </w:tcPr>
          <w:p w14:paraId="7446B58D">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eastAsia="宋体"/>
                <w:b/>
                <w:bCs w:val="0"/>
                <w:u w:val="single"/>
                <w:lang w:val="en-US" w:eastAsia="zh-CN"/>
              </w:rPr>
            </w:pPr>
            <w:r>
              <w:rPr>
                <w:rFonts w:hint="eastAsia" w:eastAsia="宋体"/>
                <w:b/>
                <w:bCs w:val="0"/>
                <w:u w:val="single"/>
                <w:lang w:val="en-US" w:eastAsia="zh-CN"/>
              </w:rPr>
              <w:t>浓度限值</w:t>
            </w:r>
            <w:r>
              <w:rPr>
                <w:b/>
                <w:bCs w:val="0"/>
                <w:u w:val="single"/>
              </w:rPr>
              <w:t>mg/m</w:t>
            </w:r>
            <w:r>
              <w:rPr>
                <w:b/>
                <w:bCs w:val="0"/>
                <w:u w:val="single"/>
                <w:vertAlign w:val="superscript"/>
              </w:rPr>
              <w:t>3</w:t>
            </w:r>
          </w:p>
        </w:tc>
        <w:tc>
          <w:tcPr>
            <w:tcW w:w="677" w:type="pct"/>
            <w:vMerge w:val="continue"/>
            <w:noWrap w:val="0"/>
            <w:vAlign w:val="center"/>
          </w:tcPr>
          <w:p w14:paraId="5346676D">
            <w:pPr>
              <w:pStyle w:val="188"/>
              <w:keepNext w:val="0"/>
              <w:keepLines w:val="0"/>
              <w:pageBreakBefore w:val="0"/>
              <w:widowControl w:val="0"/>
              <w:wordWrap/>
              <w:topLinePunct w:val="0"/>
              <w:autoSpaceDE/>
              <w:autoSpaceDN/>
              <w:bidi w:val="0"/>
              <w:snapToGrid w:val="0"/>
              <w:spacing w:line="240" w:lineRule="auto"/>
              <w:ind w:firstLine="0" w:firstLineChars="0"/>
              <w:textAlignment w:val="auto"/>
              <w:rPr>
                <w:rFonts w:hint="eastAsia" w:eastAsia="宋体"/>
                <w:b/>
                <w:bCs w:val="0"/>
                <w:u w:val="single"/>
                <w:lang w:val="en-US" w:eastAsia="zh-CN"/>
              </w:rPr>
            </w:pPr>
          </w:p>
        </w:tc>
      </w:tr>
      <w:tr w14:paraId="17C12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4" w:hRule="atLeast"/>
          <w:jc w:val="center"/>
        </w:trPr>
        <w:tc>
          <w:tcPr>
            <w:tcW w:w="250" w:type="pct"/>
            <w:noWrap w:val="0"/>
            <w:vAlign w:val="center"/>
          </w:tcPr>
          <w:p w14:paraId="010047FC">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val="0"/>
                <w:u w:val="single"/>
                <w:lang w:val="en-US" w:eastAsia="zh-CN"/>
              </w:rPr>
            </w:pPr>
            <w:r>
              <w:rPr>
                <w:rFonts w:hint="eastAsia" w:eastAsia="宋体"/>
                <w:b/>
                <w:bCs w:val="0"/>
                <w:u w:val="single"/>
                <w:lang w:val="en-US" w:eastAsia="zh-CN"/>
              </w:rPr>
              <w:t>1</w:t>
            </w:r>
          </w:p>
        </w:tc>
        <w:tc>
          <w:tcPr>
            <w:tcW w:w="478" w:type="pct"/>
            <w:noWrap w:val="0"/>
            <w:vAlign w:val="center"/>
          </w:tcPr>
          <w:p w14:paraId="2F79495E">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val="0"/>
                <w:u w:val="single"/>
                <w:lang w:val="en-US" w:eastAsia="zh-CN"/>
              </w:rPr>
            </w:pPr>
            <w:r>
              <w:rPr>
                <w:rFonts w:hint="eastAsia" w:eastAsia="宋体"/>
                <w:b/>
                <w:bCs w:val="0"/>
                <w:u w:val="single"/>
                <w:lang w:val="en-US" w:eastAsia="zh-CN"/>
              </w:rPr>
              <w:t>/</w:t>
            </w:r>
          </w:p>
        </w:tc>
        <w:tc>
          <w:tcPr>
            <w:tcW w:w="578" w:type="pct"/>
            <w:noWrap w:val="0"/>
            <w:vAlign w:val="center"/>
          </w:tcPr>
          <w:p w14:paraId="2D65005F">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val="0"/>
                <w:u w:val="single"/>
                <w:lang w:val="en-US" w:eastAsia="zh-CN"/>
              </w:rPr>
            </w:pPr>
            <w:r>
              <w:rPr>
                <w:rFonts w:hint="eastAsia"/>
                <w:b/>
                <w:bCs/>
                <w:color w:val="auto"/>
                <w:u w:val="single"/>
                <w:lang w:val="en-US" w:eastAsia="zh-CN"/>
              </w:rPr>
              <w:t>*</w:t>
            </w:r>
          </w:p>
        </w:tc>
        <w:tc>
          <w:tcPr>
            <w:tcW w:w="797" w:type="pct"/>
            <w:noWrap w:val="0"/>
            <w:vAlign w:val="center"/>
          </w:tcPr>
          <w:p w14:paraId="7E7705D5">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val="0"/>
                <w:u w:val="single"/>
                <w:lang w:val="en-US" w:eastAsia="zh-CN"/>
              </w:rPr>
            </w:pPr>
            <w:r>
              <w:rPr>
                <w:rFonts w:hint="eastAsia"/>
                <w:b/>
                <w:bCs/>
                <w:color w:val="auto"/>
                <w:u w:val="single"/>
                <w:lang w:val="en-US" w:eastAsia="zh-CN"/>
              </w:rPr>
              <w:t>*</w:t>
            </w:r>
          </w:p>
        </w:tc>
        <w:tc>
          <w:tcPr>
            <w:tcW w:w="537" w:type="pct"/>
            <w:noWrap w:val="0"/>
            <w:vAlign w:val="center"/>
          </w:tcPr>
          <w:p w14:paraId="05D7DD8E">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val="0"/>
                <w:u w:val="single"/>
                <w:lang w:val="en-US" w:eastAsia="zh-CN"/>
              </w:rPr>
            </w:pPr>
            <w:r>
              <w:rPr>
                <w:rFonts w:hint="eastAsia"/>
                <w:b/>
                <w:bCs/>
                <w:color w:val="auto"/>
                <w:u w:val="single"/>
                <w:lang w:val="en-US" w:eastAsia="zh-CN"/>
              </w:rPr>
              <w:t>*</w:t>
            </w:r>
          </w:p>
        </w:tc>
        <w:tc>
          <w:tcPr>
            <w:tcW w:w="1003" w:type="pct"/>
            <w:vMerge w:val="restart"/>
            <w:noWrap w:val="0"/>
            <w:vAlign w:val="center"/>
          </w:tcPr>
          <w:p w14:paraId="52A11832">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b/>
                <w:bCs/>
                <w:color w:val="auto"/>
                <w:u w:val="single"/>
                <w:lang w:val="en-US" w:eastAsia="zh-CN"/>
              </w:rPr>
            </w:pPr>
            <w:r>
              <w:rPr>
                <w:rFonts w:hint="eastAsia"/>
                <w:b/>
                <w:bCs/>
                <w:color w:val="auto"/>
                <w:u w:val="single"/>
                <w:lang w:val="en-US" w:eastAsia="zh-CN"/>
              </w:rPr>
              <w:t>*</w:t>
            </w:r>
          </w:p>
          <w:p w14:paraId="67D7E0D5">
            <w:pPr>
              <w:bidi w:val="0"/>
              <w:ind w:firstLine="482" w:firstLineChars="200"/>
            </w:pPr>
            <w:r>
              <w:rPr>
                <w:rFonts w:hint="eastAsia"/>
                <w:b/>
                <w:bCs/>
                <w:color w:val="auto"/>
                <w:u w:val="single"/>
                <w:lang w:val="en-US" w:eastAsia="zh-CN"/>
              </w:rPr>
              <w:t>*</w:t>
            </w:r>
          </w:p>
        </w:tc>
        <w:tc>
          <w:tcPr>
            <w:tcW w:w="676" w:type="pct"/>
            <w:noWrap w:val="0"/>
            <w:vAlign w:val="center"/>
          </w:tcPr>
          <w:p w14:paraId="26B8DEC2">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val="0"/>
                <w:u w:val="single"/>
                <w:lang w:val="en-US" w:eastAsia="zh-CN"/>
              </w:rPr>
            </w:pPr>
            <w:r>
              <w:rPr>
                <w:rFonts w:hint="eastAsia"/>
                <w:b/>
                <w:bCs/>
                <w:color w:val="auto"/>
                <w:u w:val="single"/>
                <w:lang w:val="en-US" w:eastAsia="zh-CN"/>
              </w:rPr>
              <w:t>*</w:t>
            </w:r>
          </w:p>
        </w:tc>
        <w:tc>
          <w:tcPr>
            <w:tcW w:w="677" w:type="pct"/>
            <w:noWrap w:val="0"/>
            <w:vAlign w:val="center"/>
          </w:tcPr>
          <w:p w14:paraId="06ABA55F">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val="0"/>
                <w:u w:val="single"/>
                <w:lang w:val="en-US" w:eastAsia="zh-CN"/>
              </w:rPr>
            </w:pPr>
            <w:r>
              <w:rPr>
                <w:rFonts w:hint="eastAsia"/>
                <w:b/>
                <w:bCs/>
                <w:color w:val="auto"/>
                <w:u w:val="single"/>
                <w:lang w:val="en-US" w:eastAsia="zh-CN"/>
              </w:rPr>
              <w:t>*</w:t>
            </w:r>
          </w:p>
        </w:tc>
      </w:tr>
      <w:tr w14:paraId="03D95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noWrap w:val="0"/>
            <w:vAlign w:val="center"/>
          </w:tcPr>
          <w:p w14:paraId="05B43761">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val="0"/>
                <w:u w:val="single"/>
                <w:lang w:val="en-US" w:eastAsia="zh-CN"/>
              </w:rPr>
            </w:pPr>
            <w:r>
              <w:rPr>
                <w:rFonts w:hint="eastAsia" w:eastAsia="宋体"/>
                <w:b/>
                <w:bCs w:val="0"/>
                <w:u w:val="single"/>
                <w:lang w:val="en-US" w:eastAsia="zh-CN"/>
              </w:rPr>
              <w:t>2</w:t>
            </w:r>
          </w:p>
        </w:tc>
        <w:tc>
          <w:tcPr>
            <w:tcW w:w="478" w:type="pct"/>
            <w:noWrap w:val="0"/>
            <w:vAlign w:val="center"/>
          </w:tcPr>
          <w:p w14:paraId="7EF13F42">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val="0"/>
                <w:u w:val="single"/>
                <w:lang w:val="en-US" w:eastAsia="zh-CN"/>
              </w:rPr>
            </w:pPr>
            <w:r>
              <w:rPr>
                <w:rFonts w:hint="eastAsia" w:eastAsia="宋体"/>
                <w:b/>
                <w:bCs w:val="0"/>
                <w:u w:val="single"/>
                <w:lang w:val="en-US" w:eastAsia="zh-CN"/>
              </w:rPr>
              <w:t>/</w:t>
            </w:r>
          </w:p>
        </w:tc>
        <w:tc>
          <w:tcPr>
            <w:tcW w:w="578" w:type="pct"/>
            <w:noWrap w:val="0"/>
            <w:vAlign w:val="center"/>
          </w:tcPr>
          <w:p w14:paraId="251E2C56">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val="0"/>
                <w:u w:val="single"/>
                <w:lang w:val="en-US" w:eastAsia="zh-CN"/>
              </w:rPr>
            </w:pPr>
            <w:r>
              <w:rPr>
                <w:rFonts w:hint="eastAsia"/>
                <w:b/>
                <w:bCs/>
                <w:color w:val="auto"/>
                <w:u w:val="single"/>
                <w:lang w:val="en-US" w:eastAsia="zh-CN"/>
              </w:rPr>
              <w:t>*</w:t>
            </w:r>
          </w:p>
        </w:tc>
        <w:tc>
          <w:tcPr>
            <w:tcW w:w="797" w:type="pct"/>
            <w:noWrap w:val="0"/>
            <w:vAlign w:val="center"/>
          </w:tcPr>
          <w:p w14:paraId="35715CD1">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val="0"/>
                <w:u w:val="single"/>
                <w:lang w:val="en-US" w:eastAsia="zh-CN"/>
              </w:rPr>
            </w:pPr>
            <w:r>
              <w:rPr>
                <w:rFonts w:hint="eastAsia"/>
                <w:b/>
                <w:bCs/>
                <w:color w:val="auto"/>
                <w:u w:val="single"/>
                <w:lang w:val="en-US" w:eastAsia="zh-CN"/>
              </w:rPr>
              <w:t>*</w:t>
            </w:r>
          </w:p>
        </w:tc>
        <w:tc>
          <w:tcPr>
            <w:tcW w:w="537" w:type="pct"/>
            <w:noWrap w:val="0"/>
            <w:vAlign w:val="center"/>
          </w:tcPr>
          <w:p w14:paraId="64136320">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val="0"/>
                <w:u w:val="single"/>
                <w:lang w:val="en-US" w:eastAsia="zh-CN"/>
              </w:rPr>
            </w:pPr>
            <w:r>
              <w:rPr>
                <w:rFonts w:hint="eastAsia"/>
                <w:b/>
                <w:bCs/>
                <w:color w:val="auto"/>
                <w:u w:val="single"/>
                <w:lang w:val="en-US" w:eastAsia="zh-CN"/>
              </w:rPr>
              <w:t>*</w:t>
            </w:r>
          </w:p>
        </w:tc>
        <w:tc>
          <w:tcPr>
            <w:tcW w:w="1003" w:type="pct"/>
            <w:vMerge w:val="continue"/>
            <w:noWrap w:val="0"/>
            <w:vAlign w:val="center"/>
          </w:tcPr>
          <w:p w14:paraId="11198926">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bCs w:val="0"/>
                <w:u w:val="single"/>
              </w:rPr>
            </w:pPr>
          </w:p>
        </w:tc>
        <w:tc>
          <w:tcPr>
            <w:tcW w:w="676" w:type="pct"/>
            <w:noWrap w:val="0"/>
            <w:vAlign w:val="center"/>
          </w:tcPr>
          <w:p w14:paraId="43E0C984">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eastAsia" w:eastAsia="宋体"/>
                <w:b/>
                <w:bCs w:val="0"/>
                <w:u w:val="single"/>
                <w:lang w:val="en-US" w:eastAsia="zh-CN"/>
              </w:rPr>
            </w:pPr>
            <w:r>
              <w:rPr>
                <w:rFonts w:hint="eastAsia"/>
                <w:b/>
                <w:bCs/>
                <w:color w:val="auto"/>
                <w:u w:val="single"/>
                <w:lang w:val="en-US" w:eastAsia="zh-CN"/>
              </w:rPr>
              <w:t>*</w:t>
            </w:r>
          </w:p>
        </w:tc>
        <w:tc>
          <w:tcPr>
            <w:tcW w:w="677" w:type="pct"/>
            <w:noWrap w:val="0"/>
            <w:vAlign w:val="center"/>
          </w:tcPr>
          <w:p w14:paraId="54E0F220">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rFonts w:hint="default" w:eastAsia="宋体"/>
                <w:b/>
                <w:bCs w:val="0"/>
                <w:u w:val="single"/>
                <w:lang w:val="en-US" w:eastAsia="zh-CN"/>
              </w:rPr>
            </w:pPr>
            <w:r>
              <w:rPr>
                <w:rFonts w:hint="eastAsia"/>
                <w:b/>
                <w:bCs/>
                <w:color w:val="auto"/>
                <w:u w:val="single"/>
                <w:lang w:val="en-US" w:eastAsia="zh-CN"/>
              </w:rPr>
              <w:t>*</w:t>
            </w:r>
          </w:p>
        </w:tc>
      </w:tr>
      <w:tr w14:paraId="03367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noWrap w:val="0"/>
            <w:vAlign w:val="center"/>
          </w:tcPr>
          <w:p w14:paraId="29B33729">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val="0"/>
                <w:u w:val="single"/>
                <w:lang w:val="en-US" w:eastAsia="zh-CN"/>
              </w:rPr>
            </w:pPr>
            <w:r>
              <w:rPr>
                <w:rFonts w:hint="eastAsia" w:eastAsia="宋体"/>
                <w:b/>
                <w:bCs w:val="0"/>
                <w:u w:val="single"/>
                <w:lang w:val="en-US" w:eastAsia="zh-CN"/>
              </w:rPr>
              <w:t>无组织排放统计</w:t>
            </w:r>
          </w:p>
        </w:tc>
      </w:tr>
      <w:tr w14:paraId="0A724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05" w:type="pct"/>
            <w:gridSpan w:val="4"/>
            <w:noWrap w:val="0"/>
            <w:vAlign w:val="center"/>
          </w:tcPr>
          <w:p w14:paraId="16B00420">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eastAsia="宋体"/>
                <w:b/>
                <w:bCs w:val="0"/>
                <w:u w:val="single"/>
                <w:lang w:val="en-US" w:eastAsia="zh-CN"/>
              </w:rPr>
            </w:pPr>
            <w:r>
              <w:rPr>
                <w:rFonts w:hint="eastAsia" w:eastAsia="宋体"/>
                <w:b/>
                <w:bCs w:val="0"/>
                <w:u w:val="single"/>
                <w:lang w:val="en-US" w:eastAsia="zh-CN"/>
              </w:rPr>
              <w:t>无组织排放统计</w:t>
            </w:r>
          </w:p>
        </w:tc>
        <w:tc>
          <w:tcPr>
            <w:tcW w:w="1540" w:type="pct"/>
            <w:gridSpan w:val="2"/>
            <w:noWrap w:val="0"/>
            <w:vAlign w:val="center"/>
          </w:tcPr>
          <w:p w14:paraId="7FB4D0B5">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b/>
                <w:bCs w:val="0"/>
                <w:u w:val="single"/>
                <w:lang w:val="en-US" w:eastAsia="zh-CN"/>
              </w:rPr>
            </w:pPr>
            <w:r>
              <w:rPr>
                <w:rFonts w:hint="eastAsia" w:eastAsia="宋体"/>
                <w:b/>
                <w:bCs w:val="0"/>
                <w:u w:val="single"/>
                <w:lang w:val="en-US" w:eastAsia="zh-CN"/>
              </w:rPr>
              <w:t>非甲烷总烃</w:t>
            </w:r>
          </w:p>
        </w:tc>
        <w:tc>
          <w:tcPr>
            <w:tcW w:w="1354" w:type="pct"/>
            <w:gridSpan w:val="2"/>
            <w:noWrap w:val="0"/>
            <w:vAlign w:val="center"/>
          </w:tcPr>
          <w:p w14:paraId="0D2B17A0">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default" w:eastAsia="宋体"/>
                <w:b/>
                <w:bCs w:val="0"/>
                <w:u w:val="single"/>
                <w:lang w:val="en-US" w:eastAsia="zh-CN"/>
              </w:rPr>
            </w:pPr>
            <w:r>
              <w:rPr>
                <w:rFonts w:hint="eastAsia" w:eastAsia="宋体"/>
                <w:b/>
                <w:bCs w:val="0"/>
                <w:u w:val="single"/>
                <w:lang w:val="en-US" w:eastAsia="zh-CN"/>
              </w:rPr>
              <w:t>0.12</w:t>
            </w:r>
          </w:p>
        </w:tc>
      </w:tr>
    </w:tbl>
    <w:p w14:paraId="2009F2D5">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 xml:space="preserve">表 </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6.1</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13</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本项目大气污染物年排放量核算表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9"/>
        <w:gridCol w:w="3467"/>
        <w:gridCol w:w="3460"/>
      </w:tblGrid>
      <w:tr w14:paraId="1C4F7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938" w:type="pct"/>
            <w:noWrap w:val="0"/>
            <w:vAlign w:val="center"/>
          </w:tcPr>
          <w:p w14:paraId="204DDA61">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rPr>
            </w:pPr>
            <w:r>
              <w:rPr>
                <w:b/>
              </w:rPr>
              <w:t>序号</w:t>
            </w:r>
          </w:p>
        </w:tc>
        <w:tc>
          <w:tcPr>
            <w:tcW w:w="2033" w:type="pct"/>
            <w:noWrap w:val="0"/>
            <w:vAlign w:val="center"/>
          </w:tcPr>
          <w:p w14:paraId="50E97F66">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rPr>
            </w:pPr>
            <w:r>
              <w:rPr>
                <w:b/>
              </w:rPr>
              <w:t>污染物</w:t>
            </w:r>
          </w:p>
        </w:tc>
        <w:tc>
          <w:tcPr>
            <w:tcW w:w="2029" w:type="pct"/>
            <w:noWrap w:val="0"/>
            <w:vAlign w:val="center"/>
          </w:tcPr>
          <w:p w14:paraId="692FD2BB">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b/>
              </w:rPr>
            </w:pPr>
            <w:r>
              <w:rPr>
                <w:b/>
              </w:rPr>
              <w:t>年排放量t/a</w:t>
            </w:r>
          </w:p>
        </w:tc>
      </w:tr>
      <w:tr w14:paraId="364D4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938" w:type="pct"/>
            <w:noWrap w:val="0"/>
            <w:vAlign w:val="center"/>
          </w:tcPr>
          <w:p w14:paraId="65036F82">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pPr>
            <w:r>
              <w:t>1</w:t>
            </w:r>
          </w:p>
        </w:tc>
        <w:tc>
          <w:tcPr>
            <w:tcW w:w="2033" w:type="pct"/>
            <w:noWrap w:val="0"/>
            <w:vAlign w:val="center"/>
          </w:tcPr>
          <w:p w14:paraId="3254E44C">
            <w:pPr>
              <w:keepNext w:val="0"/>
              <w:keepLines w:val="0"/>
              <w:pageBreakBefore w:val="0"/>
              <w:widowControl w:val="0"/>
              <w:wordWrap/>
              <w:topLinePunct w:val="0"/>
              <w:autoSpaceDE/>
              <w:autoSpaceDN/>
              <w:bidi w:val="0"/>
              <w:snapToGrid w:val="0"/>
              <w:spacing w:line="240" w:lineRule="auto"/>
              <w:ind w:firstLine="482" w:firstLineChars="200"/>
              <w:jc w:val="center"/>
              <w:textAlignment w:val="auto"/>
            </w:pPr>
            <w:r>
              <w:rPr>
                <w:rFonts w:hint="eastAsia"/>
                <w:b/>
                <w:bCs/>
                <w:color w:val="auto"/>
                <w:u w:val="single"/>
                <w:lang w:val="en-US" w:eastAsia="zh-CN"/>
              </w:rPr>
              <w:t>*</w:t>
            </w:r>
          </w:p>
        </w:tc>
        <w:tc>
          <w:tcPr>
            <w:tcW w:w="3770" w:type="dxa"/>
            <w:noWrap w:val="0"/>
            <w:vAlign w:val="center"/>
          </w:tcPr>
          <w:p w14:paraId="4188913B">
            <w:pPr>
              <w:keepNext w:val="0"/>
              <w:keepLines w:val="0"/>
              <w:pageBreakBefore w:val="0"/>
              <w:widowControl w:val="0"/>
              <w:wordWrap/>
              <w:topLinePunct w:val="0"/>
              <w:autoSpaceDE/>
              <w:autoSpaceDN/>
              <w:bidi w:val="0"/>
              <w:snapToGrid w:val="0"/>
              <w:spacing w:line="240" w:lineRule="auto"/>
              <w:ind w:firstLine="482" w:firstLineChars="200"/>
              <w:jc w:val="center"/>
              <w:textAlignment w:val="auto"/>
              <w:rPr>
                <w:bCs/>
                <w:color w:val="auto"/>
              </w:rPr>
            </w:pPr>
            <w:r>
              <w:rPr>
                <w:rFonts w:hint="eastAsia"/>
                <w:b/>
                <w:bCs/>
                <w:color w:val="auto"/>
                <w:u w:val="single"/>
                <w:lang w:val="en-US" w:eastAsia="zh-CN"/>
              </w:rPr>
              <w:t>*</w:t>
            </w:r>
          </w:p>
        </w:tc>
      </w:tr>
      <w:tr w14:paraId="2B67A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938" w:type="pct"/>
            <w:noWrap w:val="0"/>
            <w:vAlign w:val="center"/>
          </w:tcPr>
          <w:p w14:paraId="0D8C8AC6">
            <w:pPr>
              <w:pStyle w:val="188"/>
              <w:keepNext w:val="0"/>
              <w:keepLines w:val="0"/>
              <w:pageBreakBefore w:val="0"/>
              <w:widowControl w:val="0"/>
              <w:wordWrap/>
              <w:topLinePunct w:val="0"/>
              <w:autoSpaceDE/>
              <w:autoSpaceDN/>
              <w:bidi w:val="0"/>
              <w:snapToGrid w:val="0"/>
              <w:spacing w:line="240" w:lineRule="auto"/>
              <w:ind w:firstLine="0" w:firstLineChars="0"/>
              <w:jc w:val="center"/>
              <w:textAlignment w:val="auto"/>
              <w:rPr>
                <w:rFonts w:hint="eastAsia" w:eastAsia="宋体"/>
                <w:lang w:val="en-US" w:eastAsia="zh-CN"/>
              </w:rPr>
            </w:pPr>
            <w:r>
              <w:rPr>
                <w:rFonts w:hint="eastAsia"/>
                <w:lang w:val="en-US" w:eastAsia="zh-CN"/>
              </w:rPr>
              <w:t>2</w:t>
            </w:r>
          </w:p>
        </w:tc>
        <w:tc>
          <w:tcPr>
            <w:tcW w:w="3777" w:type="dxa"/>
            <w:noWrap w:val="0"/>
            <w:vAlign w:val="center"/>
          </w:tcPr>
          <w:p w14:paraId="4C41FBC5">
            <w:pPr>
              <w:keepNext w:val="0"/>
              <w:keepLines w:val="0"/>
              <w:pageBreakBefore w:val="0"/>
              <w:widowControl w:val="0"/>
              <w:wordWrap/>
              <w:topLinePunct w:val="0"/>
              <w:autoSpaceDE/>
              <w:autoSpaceDN/>
              <w:bidi w:val="0"/>
              <w:snapToGrid w:val="0"/>
              <w:spacing w:line="240" w:lineRule="auto"/>
              <w:ind w:firstLine="482" w:firstLineChars="200"/>
              <w:textAlignment w:val="auto"/>
            </w:pPr>
            <w:r>
              <w:rPr>
                <w:rFonts w:hint="eastAsia"/>
                <w:b/>
                <w:bCs/>
                <w:color w:val="auto"/>
                <w:u w:val="single"/>
                <w:lang w:val="en-US" w:eastAsia="zh-CN"/>
              </w:rPr>
              <w:t>*</w:t>
            </w:r>
          </w:p>
        </w:tc>
        <w:tc>
          <w:tcPr>
            <w:tcW w:w="3770" w:type="dxa"/>
            <w:noWrap w:val="0"/>
            <w:vAlign w:val="center"/>
          </w:tcPr>
          <w:p w14:paraId="39CB2F3C">
            <w:pPr>
              <w:keepNext w:val="0"/>
              <w:keepLines w:val="0"/>
              <w:pageBreakBefore w:val="0"/>
              <w:widowControl w:val="0"/>
              <w:kinsoku w:val="0"/>
              <w:wordWrap/>
              <w:overflowPunct w:val="0"/>
              <w:topLinePunct w:val="0"/>
              <w:autoSpaceDE/>
              <w:autoSpaceDN/>
              <w:bidi w:val="0"/>
              <w:adjustRightInd/>
              <w:snapToGrid w:val="0"/>
              <w:spacing w:line="240" w:lineRule="auto"/>
              <w:ind w:firstLine="482" w:firstLineChars="200"/>
              <w:jc w:val="center"/>
              <w:textAlignment w:val="auto"/>
              <w:rPr>
                <w:rFonts w:hint="default"/>
                <w:bCs/>
                <w:color w:val="auto"/>
                <w:lang w:val="en-US"/>
              </w:rPr>
            </w:pPr>
            <w:r>
              <w:rPr>
                <w:rFonts w:hint="eastAsia"/>
                <w:b/>
                <w:bCs/>
                <w:color w:val="auto"/>
                <w:u w:val="single"/>
                <w:lang w:val="en-US" w:eastAsia="zh-CN"/>
              </w:rPr>
              <w:t>*</w:t>
            </w:r>
          </w:p>
        </w:tc>
      </w:tr>
    </w:tbl>
    <w:p w14:paraId="653D173C">
      <w:pPr>
        <w:pStyle w:val="3"/>
        <w:bidi w:val="0"/>
        <w:rPr>
          <w:color w:val="auto"/>
        </w:rPr>
      </w:pPr>
      <w:bookmarkStart w:id="252" w:name="_Toc9453"/>
      <w:bookmarkStart w:id="253" w:name="_Toc28866834"/>
      <w:bookmarkStart w:id="254" w:name="_Toc27053"/>
      <w:bookmarkStart w:id="255" w:name="_Toc67041058"/>
      <w:bookmarkStart w:id="256" w:name="_Toc17011"/>
      <w:r>
        <w:rPr>
          <w:color w:val="auto"/>
        </w:rPr>
        <w:t>地表水环境影响评价</w:t>
      </w:r>
      <w:bookmarkEnd w:id="252"/>
      <w:bookmarkEnd w:id="253"/>
      <w:bookmarkEnd w:id="254"/>
      <w:bookmarkEnd w:id="255"/>
      <w:bookmarkEnd w:id="256"/>
    </w:p>
    <w:p w14:paraId="7E92BDA3">
      <w:pPr>
        <w:pStyle w:val="5"/>
        <w:bidi w:val="0"/>
        <w:rPr>
          <w:color w:val="auto"/>
        </w:rPr>
      </w:pPr>
      <w:bookmarkStart w:id="257" w:name="_Hlk79828007"/>
      <w:r>
        <w:rPr>
          <w:color w:val="auto"/>
        </w:rPr>
        <w:t>项目废水排放情况</w:t>
      </w:r>
    </w:p>
    <w:p w14:paraId="6D9729D6">
      <w:pPr>
        <w:bidi w:val="0"/>
        <w:rPr>
          <w:rFonts w:hint="eastAsia"/>
          <w:b/>
          <w:bCs/>
          <w:color w:val="auto"/>
          <w:u w:val="single"/>
          <w:lang w:val="en-US" w:eastAsia="zh-CN"/>
        </w:rPr>
      </w:pPr>
      <w:r>
        <w:rPr>
          <w:rFonts w:hint="eastAsia"/>
          <w:b/>
          <w:bCs/>
          <w:color w:val="auto"/>
          <w:u w:val="single"/>
          <w:lang w:val="en-US" w:eastAsia="zh-CN"/>
        </w:rPr>
        <w:t>*</w:t>
      </w:r>
    </w:p>
    <w:p w14:paraId="26A2C161">
      <w:pPr>
        <w:bidi w:val="0"/>
        <w:rPr>
          <w:rFonts w:hint="default"/>
          <w:b/>
          <w:bCs/>
          <w:color w:val="auto"/>
          <w:u w:val="single"/>
          <w:lang w:val="en-US" w:eastAsia="zh-CN"/>
        </w:rPr>
      </w:pPr>
      <w:r>
        <w:rPr>
          <w:rFonts w:hint="eastAsia"/>
          <w:b/>
          <w:bCs/>
          <w:color w:val="auto"/>
          <w:u w:val="single"/>
          <w:lang w:val="en-US" w:eastAsia="zh-CN"/>
        </w:rPr>
        <w:t>*</w:t>
      </w:r>
    </w:p>
    <w:p w14:paraId="3BA0A34F">
      <w:pPr>
        <w:bidi w:val="0"/>
        <w:rPr>
          <w:rFonts w:hint="eastAsia"/>
          <w:b/>
          <w:bCs/>
          <w:color w:val="auto"/>
          <w:u w:val="single"/>
          <w:lang w:val="en-US" w:eastAsia="zh-CN"/>
        </w:rPr>
      </w:pPr>
      <w:r>
        <w:rPr>
          <w:rFonts w:hint="eastAsia"/>
          <w:b/>
          <w:bCs/>
          <w:color w:val="auto"/>
          <w:u w:val="single"/>
          <w:lang w:val="en-US" w:eastAsia="zh-CN"/>
        </w:rPr>
        <w:t>*</w:t>
      </w:r>
    </w:p>
    <w:p w14:paraId="44D0C3AA">
      <w:pPr>
        <w:bidi w:val="0"/>
        <w:rPr>
          <w:rFonts w:hint="default"/>
          <w:b/>
          <w:bCs/>
          <w:color w:val="auto"/>
          <w:u w:val="single"/>
          <w:lang w:val="en-US" w:eastAsia="zh-CN"/>
        </w:rPr>
      </w:pPr>
      <w:r>
        <w:rPr>
          <w:rFonts w:hint="eastAsia"/>
          <w:b/>
          <w:bCs/>
          <w:color w:val="auto"/>
          <w:u w:val="single"/>
          <w:lang w:val="en-US" w:eastAsia="zh-CN"/>
        </w:rPr>
        <w:t>*</w:t>
      </w:r>
    </w:p>
    <w:p w14:paraId="6343280A">
      <w:pPr>
        <w:bidi w:val="0"/>
        <w:rPr>
          <w:rFonts w:hint="eastAsia"/>
          <w:b/>
          <w:bCs/>
          <w:color w:val="auto"/>
          <w:u w:val="single"/>
          <w:lang w:val="en-US" w:eastAsia="zh-CN"/>
        </w:rPr>
      </w:pPr>
      <w:r>
        <w:rPr>
          <w:rFonts w:hint="eastAsia"/>
          <w:b/>
          <w:bCs/>
          <w:color w:val="auto"/>
          <w:u w:val="single"/>
          <w:lang w:val="en-US" w:eastAsia="zh-CN"/>
        </w:rPr>
        <w:t>*</w:t>
      </w:r>
    </w:p>
    <w:p w14:paraId="46304BAC">
      <w:pPr>
        <w:bidi w:val="0"/>
        <w:rPr>
          <w:rFonts w:hint="default"/>
          <w:b/>
          <w:bCs/>
          <w:color w:val="auto"/>
          <w:u w:val="single"/>
          <w:lang w:val="en-US" w:eastAsia="zh-CN"/>
        </w:rPr>
      </w:pPr>
      <w:r>
        <w:rPr>
          <w:rFonts w:hint="eastAsia"/>
          <w:b/>
          <w:bCs/>
          <w:color w:val="auto"/>
          <w:u w:val="single"/>
          <w:lang w:val="en-US" w:eastAsia="zh-CN"/>
        </w:rPr>
        <w:t>*</w:t>
      </w:r>
    </w:p>
    <w:p w14:paraId="2532F345">
      <w:pPr>
        <w:bidi w:val="0"/>
        <w:rPr>
          <w:rFonts w:hint="eastAsia"/>
          <w:b/>
          <w:bCs/>
          <w:color w:val="auto"/>
          <w:u w:val="single"/>
          <w:lang w:val="en-US" w:eastAsia="zh-CN"/>
        </w:rPr>
      </w:pPr>
      <w:r>
        <w:rPr>
          <w:rFonts w:hint="eastAsia"/>
          <w:b/>
          <w:bCs/>
          <w:color w:val="auto"/>
          <w:u w:val="single"/>
          <w:lang w:val="en-US" w:eastAsia="zh-CN"/>
        </w:rPr>
        <w:t>*</w:t>
      </w:r>
    </w:p>
    <w:p w14:paraId="0CA462C7">
      <w:pPr>
        <w:bidi w:val="0"/>
        <w:rPr>
          <w:rFonts w:hint="default"/>
          <w:b/>
          <w:bCs/>
          <w:color w:val="auto"/>
          <w:u w:val="single"/>
          <w:lang w:val="en-US" w:eastAsia="zh-CN"/>
        </w:rPr>
      </w:pPr>
      <w:r>
        <w:rPr>
          <w:rFonts w:hint="eastAsia"/>
          <w:b/>
          <w:bCs/>
          <w:color w:val="auto"/>
          <w:u w:val="single"/>
          <w:lang w:val="en-US" w:eastAsia="zh-CN"/>
        </w:rPr>
        <w:t>*</w:t>
      </w:r>
    </w:p>
    <w:p w14:paraId="2040AFDA">
      <w:pPr>
        <w:bidi w:val="0"/>
        <w:rPr>
          <w:rFonts w:hint="eastAsia"/>
          <w:b/>
          <w:bCs/>
          <w:color w:val="auto"/>
          <w:u w:val="single"/>
          <w:lang w:val="en-US" w:eastAsia="zh-CN"/>
        </w:rPr>
      </w:pPr>
      <w:r>
        <w:rPr>
          <w:rFonts w:hint="eastAsia"/>
          <w:b/>
          <w:bCs/>
          <w:color w:val="auto"/>
          <w:u w:val="single"/>
          <w:lang w:val="en-US" w:eastAsia="zh-CN"/>
        </w:rPr>
        <w:t>*</w:t>
      </w:r>
    </w:p>
    <w:p w14:paraId="7694DEB8">
      <w:pPr>
        <w:bidi w:val="0"/>
        <w:rPr>
          <w:rFonts w:hint="default"/>
          <w:b/>
          <w:bCs/>
          <w:color w:val="auto"/>
          <w:u w:val="single"/>
          <w:lang w:val="en-US" w:eastAsia="zh-CN"/>
        </w:rPr>
      </w:pPr>
      <w:r>
        <w:rPr>
          <w:rFonts w:hint="eastAsia"/>
          <w:b/>
          <w:bCs/>
          <w:color w:val="auto"/>
          <w:u w:val="single"/>
          <w:lang w:val="en-US" w:eastAsia="zh-CN"/>
        </w:rPr>
        <w:t>*</w:t>
      </w:r>
    </w:p>
    <w:p w14:paraId="6EE5F3E6">
      <w:pPr>
        <w:bidi w:val="0"/>
        <w:rPr>
          <w:rFonts w:hint="eastAsia"/>
          <w:b/>
          <w:bCs/>
          <w:color w:val="auto"/>
          <w:u w:val="single"/>
          <w:lang w:val="en-US" w:eastAsia="zh-CN"/>
        </w:rPr>
      </w:pPr>
      <w:r>
        <w:rPr>
          <w:rFonts w:hint="eastAsia"/>
          <w:b/>
          <w:bCs/>
          <w:color w:val="auto"/>
          <w:u w:val="single"/>
          <w:lang w:val="en-US" w:eastAsia="zh-CN"/>
        </w:rPr>
        <w:t>*</w:t>
      </w:r>
    </w:p>
    <w:p w14:paraId="57FCC4B6">
      <w:pPr>
        <w:bidi w:val="0"/>
        <w:rPr>
          <w:rFonts w:hint="default"/>
          <w:b/>
          <w:bCs/>
          <w:color w:val="auto"/>
          <w:u w:val="single"/>
          <w:lang w:val="en-US" w:eastAsia="zh-CN"/>
        </w:rPr>
      </w:pPr>
      <w:r>
        <w:rPr>
          <w:rFonts w:hint="eastAsia"/>
          <w:b/>
          <w:bCs/>
          <w:color w:val="auto"/>
          <w:u w:val="single"/>
          <w:lang w:val="en-US" w:eastAsia="zh-CN"/>
        </w:rPr>
        <w:t>*</w:t>
      </w:r>
    </w:p>
    <w:p w14:paraId="4C1B478C">
      <w:pPr>
        <w:bidi w:val="0"/>
        <w:rPr>
          <w:rFonts w:hint="eastAsia"/>
          <w:b/>
          <w:bCs/>
          <w:color w:val="auto"/>
          <w:u w:val="single"/>
          <w:lang w:val="en-US" w:eastAsia="zh-CN"/>
        </w:rPr>
      </w:pPr>
      <w:r>
        <w:rPr>
          <w:rFonts w:hint="eastAsia"/>
          <w:b/>
          <w:bCs/>
          <w:color w:val="auto"/>
          <w:u w:val="single"/>
          <w:lang w:val="en-US" w:eastAsia="zh-CN"/>
        </w:rPr>
        <w:t>*</w:t>
      </w:r>
    </w:p>
    <w:p w14:paraId="5ED16920">
      <w:pPr>
        <w:bidi w:val="0"/>
        <w:rPr>
          <w:rFonts w:hint="default"/>
          <w:b/>
          <w:bCs/>
          <w:color w:val="auto"/>
          <w:u w:val="single"/>
          <w:lang w:val="en-US" w:eastAsia="zh-CN"/>
        </w:rPr>
      </w:pPr>
      <w:r>
        <w:rPr>
          <w:rFonts w:hint="eastAsia"/>
          <w:b/>
          <w:bCs/>
          <w:color w:val="auto"/>
          <w:u w:val="single"/>
          <w:lang w:val="en-US" w:eastAsia="zh-CN"/>
        </w:rPr>
        <w:t>*</w:t>
      </w:r>
    </w:p>
    <w:p w14:paraId="3F88DC63">
      <w:pPr>
        <w:bidi w:val="0"/>
        <w:rPr>
          <w:rFonts w:hint="eastAsia"/>
          <w:b/>
          <w:bCs/>
          <w:color w:val="auto"/>
          <w:u w:val="single"/>
          <w:lang w:val="en-US" w:eastAsia="zh-CN"/>
        </w:rPr>
      </w:pPr>
      <w:r>
        <w:rPr>
          <w:rFonts w:hint="eastAsia"/>
          <w:b/>
          <w:bCs/>
          <w:color w:val="auto"/>
          <w:u w:val="single"/>
          <w:lang w:val="en-US" w:eastAsia="zh-CN"/>
        </w:rPr>
        <w:t>*</w:t>
      </w:r>
    </w:p>
    <w:p w14:paraId="21047385">
      <w:pPr>
        <w:bidi w:val="0"/>
        <w:rPr>
          <w:rFonts w:hint="default"/>
          <w:b/>
          <w:bCs/>
          <w:color w:val="auto"/>
          <w:u w:val="single"/>
          <w:lang w:val="en-US" w:eastAsia="zh-CN"/>
        </w:rPr>
      </w:pPr>
      <w:r>
        <w:rPr>
          <w:rFonts w:hint="eastAsia"/>
          <w:b/>
          <w:bCs/>
          <w:color w:val="auto"/>
          <w:u w:val="single"/>
          <w:lang w:val="en-US" w:eastAsia="zh-CN"/>
        </w:rPr>
        <w:t>*</w:t>
      </w:r>
    </w:p>
    <w:p w14:paraId="03E388D2">
      <w:pPr>
        <w:bidi w:val="0"/>
        <w:rPr>
          <w:rFonts w:hint="eastAsia"/>
          <w:b/>
          <w:bCs/>
          <w:color w:val="auto"/>
          <w:u w:val="single"/>
          <w:lang w:val="en-US" w:eastAsia="zh-CN"/>
        </w:rPr>
      </w:pPr>
      <w:r>
        <w:rPr>
          <w:rFonts w:hint="eastAsia"/>
          <w:b/>
          <w:bCs/>
          <w:color w:val="auto"/>
          <w:u w:val="single"/>
          <w:lang w:val="en-US" w:eastAsia="zh-CN"/>
        </w:rPr>
        <w:t>*</w:t>
      </w:r>
    </w:p>
    <w:p w14:paraId="1CF51D4F">
      <w:pPr>
        <w:bidi w:val="0"/>
        <w:rPr>
          <w:rFonts w:hint="default"/>
          <w:b/>
          <w:bCs/>
          <w:color w:val="auto"/>
          <w:u w:val="single"/>
          <w:lang w:val="en-US" w:eastAsia="zh-CN"/>
        </w:rPr>
      </w:pPr>
      <w:r>
        <w:rPr>
          <w:rFonts w:hint="eastAsia"/>
          <w:b/>
          <w:bCs/>
          <w:color w:val="auto"/>
          <w:u w:val="single"/>
          <w:lang w:val="en-US" w:eastAsia="zh-CN"/>
        </w:rPr>
        <w:t>*</w:t>
      </w:r>
    </w:p>
    <w:p w14:paraId="36BB00D1">
      <w:pPr>
        <w:bidi w:val="0"/>
        <w:rPr>
          <w:rFonts w:hint="eastAsia"/>
          <w:b/>
          <w:bCs/>
          <w:color w:val="auto"/>
          <w:u w:val="single"/>
          <w:lang w:val="en-US" w:eastAsia="zh-CN"/>
        </w:rPr>
      </w:pPr>
      <w:r>
        <w:rPr>
          <w:rFonts w:hint="eastAsia"/>
          <w:b/>
          <w:bCs/>
          <w:color w:val="auto"/>
          <w:u w:val="single"/>
          <w:lang w:val="en-US" w:eastAsia="zh-CN"/>
        </w:rPr>
        <w:t>*</w:t>
      </w:r>
    </w:p>
    <w:p w14:paraId="4E71B2B1">
      <w:pPr>
        <w:bidi w:val="0"/>
        <w:rPr>
          <w:rFonts w:hint="default"/>
          <w:b/>
          <w:bCs/>
          <w:color w:val="auto"/>
          <w:u w:val="single"/>
          <w:lang w:val="en-US" w:eastAsia="zh-CN"/>
        </w:rPr>
      </w:pPr>
      <w:r>
        <w:rPr>
          <w:rFonts w:hint="eastAsia"/>
          <w:b/>
          <w:bCs/>
          <w:color w:val="auto"/>
          <w:u w:val="single"/>
          <w:lang w:val="en-US" w:eastAsia="zh-CN"/>
        </w:rPr>
        <w:t>*</w:t>
      </w:r>
    </w:p>
    <w:p w14:paraId="7C0F2A32">
      <w:pPr>
        <w:bidi w:val="0"/>
        <w:rPr>
          <w:rFonts w:hint="eastAsia"/>
          <w:b/>
          <w:bCs/>
          <w:color w:val="auto"/>
          <w:u w:val="single"/>
          <w:lang w:val="en-US" w:eastAsia="zh-CN"/>
        </w:rPr>
      </w:pPr>
      <w:r>
        <w:rPr>
          <w:rFonts w:hint="eastAsia"/>
          <w:b/>
          <w:bCs/>
          <w:color w:val="auto"/>
          <w:u w:val="single"/>
          <w:lang w:val="en-US" w:eastAsia="zh-CN"/>
        </w:rPr>
        <w:t>*</w:t>
      </w:r>
    </w:p>
    <w:p w14:paraId="3A59C516">
      <w:pPr>
        <w:bidi w:val="0"/>
        <w:rPr>
          <w:rFonts w:hint="default"/>
          <w:b/>
          <w:bCs/>
          <w:color w:val="auto"/>
          <w:u w:val="single"/>
          <w:lang w:val="en-US" w:eastAsia="zh-CN"/>
        </w:rPr>
      </w:pPr>
      <w:r>
        <w:rPr>
          <w:rFonts w:hint="eastAsia"/>
          <w:b/>
          <w:bCs/>
          <w:color w:val="auto"/>
          <w:u w:val="single"/>
          <w:lang w:val="en-US" w:eastAsia="zh-CN"/>
        </w:rPr>
        <w:t>*</w:t>
      </w:r>
    </w:p>
    <w:p w14:paraId="6BF78FDF">
      <w:pPr>
        <w:bidi w:val="0"/>
        <w:rPr>
          <w:rFonts w:hint="eastAsia"/>
          <w:b/>
          <w:bCs/>
          <w:color w:val="auto"/>
          <w:u w:val="single"/>
          <w:lang w:val="en-US" w:eastAsia="zh-CN"/>
        </w:rPr>
      </w:pPr>
      <w:r>
        <w:rPr>
          <w:rFonts w:hint="eastAsia"/>
          <w:b/>
          <w:bCs/>
          <w:color w:val="auto"/>
          <w:u w:val="single"/>
          <w:lang w:val="en-US" w:eastAsia="zh-CN"/>
        </w:rPr>
        <w:t>*</w:t>
      </w:r>
    </w:p>
    <w:p w14:paraId="39785B9A">
      <w:pPr>
        <w:bidi w:val="0"/>
        <w:rPr>
          <w:rFonts w:hint="default"/>
          <w:b/>
          <w:bCs/>
          <w:color w:val="auto"/>
          <w:u w:val="single"/>
          <w:lang w:val="en-US" w:eastAsia="zh-CN"/>
        </w:rPr>
      </w:pPr>
      <w:r>
        <w:rPr>
          <w:rFonts w:hint="eastAsia"/>
          <w:b/>
          <w:bCs/>
          <w:color w:val="auto"/>
          <w:u w:val="single"/>
          <w:lang w:val="en-US" w:eastAsia="zh-CN"/>
        </w:rPr>
        <w:t>*</w:t>
      </w:r>
    </w:p>
    <w:p w14:paraId="7342A864">
      <w:pPr>
        <w:bidi w:val="0"/>
        <w:rPr>
          <w:rFonts w:hint="eastAsia"/>
          <w:b/>
          <w:bCs/>
          <w:color w:val="auto"/>
          <w:u w:val="single"/>
          <w:lang w:val="en-US" w:eastAsia="zh-CN"/>
        </w:rPr>
      </w:pPr>
      <w:r>
        <w:rPr>
          <w:rFonts w:hint="eastAsia"/>
          <w:b/>
          <w:bCs/>
          <w:color w:val="auto"/>
          <w:u w:val="single"/>
          <w:lang w:val="en-US" w:eastAsia="zh-CN"/>
        </w:rPr>
        <w:t>*</w:t>
      </w:r>
    </w:p>
    <w:p w14:paraId="103DC9A1">
      <w:pPr>
        <w:bidi w:val="0"/>
        <w:rPr>
          <w:rFonts w:hint="default"/>
          <w:b/>
          <w:bCs/>
          <w:color w:val="auto"/>
          <w:u w:val="single"/>
          <w:lang w:val="en-US" w:eastAsia="zh-CN"/>
        </w:rPr>
      </w:pPr>
      <w:r>
        <w:rPr>
          <w:rFonts w:hint="eastAsia"/>
          <w:b/>
          <w:bCs/>
          <w:color w:val="auto"/>
          <w:u w:val="single"/>
          <w:lang w:val="en-US" w:eastAsia="zh-CN"/>
        </w:rPr>
        <w:t>*</w:t>
      </w:r>
    </w:p>
    <w:p w14:paraId="2897EE37">
      <w:pPr>
        <w:bidi w:val="0"/>
        <w:rPr>
          <w:rFonts w:hint="eastAsia"/>
          <w:b/>
          <w:bCs/>
          <w:color w:val="auto"/>
          <w:u w:val="single"/>
          <w:lang w:val="en-US" w:eastAsia="zh-CN"/>
        </w:rPr>
      </w:pPr>
      <w:r>
        <w:rPr>
          <w:rFonts w:hint="eastAsia"/>
          <w:b/>
          <w:bCs/>
          <w:color w:val="auto"/>
          <w:u w:val="single"/>
          <w:lang w:val="en-US" w:eastAsia="zh-CN"/>
        </w:rPr>
        <w:t>。</w:t>
      </w:r>
    </w:p>
    <w:p w14:paraId="12B3CDA2">
      <w:pPr>
        <w:bidi w:val="0"/>
        <w:rPr>
          <w:rFonts w:hint="eastAsia"/>
          <w:color w:val="auto"/>
        </w:rPr>
      </w:pPr>
    </w:p>
    <w:p w14:paraId="0E3FE2F4">
      <w:pPr>
        <w:bidi w:val="0"/>
        <w:rPr>
          <w:rFonts w:hint="eastAsia"/>
          <w:color w:val="auto"/>
        </w:rPr>
      </w:pPr>
    </w:p>
    <w:p w14:paraId="63243C12">
      <w:pPr>
        <w:pStyle w:val="5"/>
        <w:bidi w:val="0"/>
        <w:ind w:firstLine="0"/>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评价等级</w:t>
      </w:r>
    </w:p>
    <w:p w14:paraId="2D773835">
      <w:pPr>
        <w:bidi w:val="0"/>
        <w:rPr>
          <w:rFonts w:hint="eastAsia"/>
          <w:color w:val="auto"/>
          <w:lang w:val="en-US" w:eastAsia="zh-CN"/>
        </w:rPr>
      </w:pPr>
      <w:r>
        <w:rPr>
          <w:rFonts w:hint="eastAsia"/>
          <w:color w:val="auto"/>
          <w:lang w:val="en-US" w:eastAsia="zh-CN"/>
        </w:rPr>
        <w:t>根据《环境影响评价技术导则-地面水环境》（HJ/T2.3-2018），直接排放的建设项目评价等级分为一级、二级和三级A，间接排放的建设项目评价等级为三级B。本项目废水经厂区污水处理站处理后排入小店污水处理厂，属于间接排放，评价等级为三级B。主要评价内容包括：水污染控制和水环境影响减缓措施有效性评价，依托污水处理设施的环境可行性评价。</w:t>
      </w:r>
    </w:p>
    <w:bookmarkEnd w:id="257"/>
    <w:p w14:paraId="2C807B1F">
      <w:pPr>
        <w:pStyle w:val="5"/>
        <w:bidi w:val="0"/>
        <w:rPr>
          <w:color w:val="auto"/>
        </w:rPr>
      </w:pPr>
      <w:r>
        <w:rPr>
          <w:rFonts w:hint="eastAsia"/>
          <w:color w:val="auto"/>
        </w:rPr>
        <w:t>新乡市小店</w:t>
      </w:r>
      <w:r>
        <w:rPr>
          <w:color w:val="auto"/>
        </w:rPr>
        <w:t>污水处理厂概况</w:t>
      </w:r>
    </w:p>
    <w:p w14:paraId="486D3DBE">
      <w:pPr>
        <w:bidi w:val="0"/>
        <w:rPr>
          <w:b/>
          <w:bCs/>
          <w:color w:val="auto"/>
          <w:u w:val="single"/>
        </w:rPr>
      </w:pPr>
      <w:r>
        <w:rPr>
          <w:rFonts w:hint="eastAsia"/>
          <w:b/>
          <w:bCs/>
          <w:color w:val="auto"/>
          <w:u w:val="single"/>
        </w:rPr>
        <w:t>新乡市小店污水处理厂位于新长北线以北、东三干渠以西，紧邻规划区西边界，设计处理规模为10万m</w:t>
      </w:r>
      <w:r>
        <w:rPr>
          <w:rFonts w:hint="eastAsia"/>
          <w:b/>
          <w:bCs/>
          <w:color w:val="auto"/>
          <w:u w:val="single"/>
          <w:vertAlign w:val="superscript"/>
        </w:rPr>
        <w:t>3</w:t>
      </w:r>
      <w:r>
        <w:rPr>
          <w:rFonts w:hint="eastAsia"/>
          <w:b/>
          <w:bCs/>
          <w:color w:val="auto"/>
          <w:u w:val="single"/>
        </w:rPr>
        <w:t>/d，共分两期建设。</w:t>
      </w:r>
      <w:r>
        <w:rPr>
          <w:rFonts w:hint="eastAsia"/>
          <w:b/>
          <w:bCs/>
          <w:color w:val="auto"/>
          <w:u w:val="single"/>
          <w:lang w:val="en-US" w:eastAsia="zh-CN"/>
        </w:rPr>
        <w:t>一期工程建设较早于2018年11月进行提标改造，2019年5月提标改造完成进入试生产运行，采用工艺为</w:t>
      </w:r>
      <w:r>
        <w:rPr>
          <w:rFonts w:hint="eastAsia"/>
          <w:b/>
          <w:bCs/>
          <w:color w:val="auto"/>
          <w:u w:val="single"/>
        </w:rPr>
        <w:t>“粗格栅</w:t>
      </w:r>
      <w:r>
        <w:rPr>
          <w:rFonts w:hint="eastAsia"/>
          <w:b/>
          <w:bCs/>
          <w:color w:val="auto"/>
          <w:u w:val="single"/>
          <w:lang w:eastAsia="zh-CN"/>
        </w:rPr>
        <w:t>－</w:t>
      </w:r>
      <w:r>
        <w:rPr>
          <w:rFonts w:hint="eastAsia"/>
          <w:b/>
          <w:bCs/>
          <w:color w:val="auto"/>
          <w:u w:val="single"/>
        </w:rPr>
        <w:t>细格栅</w:t>
      </w:r>
      <w:r>
        <w:rPr>
          <w:rFonts w:hint="eastAsia"/>
          <w:b/>
          <w:bCs/>
          <w:color w:val="auto"/>
          <w:u w:val="single"/>
          <w:lang w:eastAsia="zh-CN"/>
        </w:rPr>
        <w:t>－</w:t>
      </w:r>
      <w:r>
        <w:rPr>
          <w:rFonts w:hint="eastAsia"/>
          <w:b/>
          <w:bCs/>
          <w:color w:val="auto"/>
          <w:u w:val="single"/>
        </w:rPr>
        <w:t>沉砂池</w:t>
      </w:r>
      <w:r>
        <w:rPr>
          <w:rFonts w:hint="eastAsia"/>
          <w:b/>
          <w:bCs/>
          <w:color w:val="auto"/>
          <w:u w:val="single"/>
          <w:lang w:eastAsia="zh-CN"/>
        </w:rPr>
        <w:t>－</w:t>
      </w:r>
      <w:r>
        <w:rPr>
          <w:rFonts w:hint="eastAsia"/>
          <w:b/>
          <w:bCs/>
          <w:color w:val="auto"/>
          <w:u w:val="single"/>
        </w:rPr>
        <w:t>水解酸化池</w:t>
      </w:r>
      <w:r>
        <w:rPr>
          <w:rFonts w:hint="eastAsia"/>
          <w:b/>
          <w:bCs/>
          <w:color w:val="auto"/>
          <w:u w:val="single"/>
          <w:lang w:eastAsia="zh-CN"/>
        </w:rPr>
        <w:t>－</w:t>
      </w:r>
      <w:r>
        <w:rPr>
          <w:rFonts w:hint="eastAsia"/>
          <w:b/>
          <w:bCs/>
          <w:color w:val="auto"/>
          <w:u w:val="single"/>
        </w:rPr>
        <w:t>改良型A</w:t>
      </w:r>
      <w:r>
        <w:rPr>
          <w:rFonts w:hint="eastAsia"/>
          <w:b/>
          <w:bCs/>
          <w:color w:val="auto"/>
          <w:u w:val="single"/>
          <w:vertAlign w:val="superscript"/>
        </w:rPr>
        <w:t>2</w:t>
      </w:r>
      <w:r>
        <w:rPr>
          <w:rFonts w:hint="eastAsia"/>
          <w:b/>
          <w:bCs/>
          <w:color w:val="auto"/>
          <w:u w:val="single"/>
        </w:rPr>
        <w:t>/O</w:t>
      </w:r>
      <w:r>
        <w:rPr>
          <w:rFonts w:hint="eastAsia"/>
          <w:b/>
          <w:bCs/>
          <w:color w:val="auto"/>
          <w:u w:val="single"/>
          <w:lang w:eastAsia="zh-CN"/>
        </w:rPr>
        <w:t>－</w:t>
      </w:r>
      <w:r>
        <w:rPr>
          <w:rFonts w:hint="eastAsia"/>
          <w:b/>
          <w:bCs/>
          <w:color w:val="auto"/>
          <w:u w:val="single"/>
        </w:rPr>
        <w:t>二沉池</w:t>
      </w:r>
      <w:r>
        <w:rPr>
          <w:rFonts w:hint="eastAsia"/>
          <w:b/>
          <w:bCs/>
          <w:color w:val="auto"/>
          <w:u w:val="single"/>
          <w:lang w:eastAsia="zh-CN"/>
        </w:rPr>
        <w:t>－</w:t>
      </w:r>
      <w:r>
        <w:rPr>
          <w:rFonts w:hint="eastAsia"/>
          <w:b/>
          <w:bCs/>
          <w:color w:val="auto"/>
          <w:u w:val="single"/>
        </w:rPr>
        <w:t>反应沉淀池</w:t>
      </w:r>
      <w:r>
        <w:rPr>
          <w:rFonts w:hint="eastAsia"/>
          <w:b/>
          <w:bCs/>
          <w:color w:val="auto"/>
          <w:u w:val="single"/>
          <w:lang w:eastAsia="zh-CN"/>
        </w:rPr>
        <w:t>－</w:t>
      </w:r>
      <w:r>
        <w:rPr>
          <w:rFonts w:hint="eastAsia"/>
          <w:b/>
          <w:bCs/>
          <w:color w:val="auto"/>
          <w:u w:val="single"/>
        </w:rPr>
        <w:t>纤维球滤池</w:t>
      </w:r>
      <w:r>
        <w:rPr>
          <w:rFonts w:hint="eastAsia"/>
          <w:b/>
          <w:bCs/>
          <w:color w:val="auto"/>
          <w:u w:val="single"/>
          <w:lang w:eastAsia="zh-CN"/>
        </w:rPr>
        <w:t>－</w:t>
      </w:r>
      <w:r>
        <w:rPr>
          <w:rFonts w:hint="eastAsia"/>
          <w:b/>
          <w:bCs/>
          <w:color w:val="auto"/>
          <w:u w:val="single"/>
        </w:rPr>
        <w:t>消毒池”</w:t>
      </w:r>
      <w:r>
        <w:rPr>
          <w:rFonts w:hint="eastAsia"/>
          <w:b/>
          <w:bCs/>
          <w:color w:val="auto"/>
          <w:u w:val="single"/>
          <w:lang w:eastAsia="zh-CN"/>
        </w:rPr>
        <w:t>，</w:t>
      </w:r>
      <w:r>
        <w:rPr>
          <w:rFonts w:hint="eastAsia"/>
          <w:b/>
          <w:bCs/>
          <w:color w:val="auto"/>
          <w:u w:val="single"/>
          <w:lang w:val="en-US" w:eastAsia="zh-CN"/>
        </w:rPr>
        <w:t>二期工程2014年11月开始建设，2018年11月建设完成进行进入试生产运行采用工艺为</w:t>
      </w:r>
      <w:r>
        <w:rPr>
          <w:rFonts w:hint="eastAsia"/>
          <w:b/>
          <w:bCs/>
          <w:color w:val="auto"/>
          <w:u w:val="single"/>
        </w:rPr>
        <w:t>“粗格栅</w:t>
      </w:r>
      <w:r>
        <w:rPr>
          <w:rFonts w:hint="eastAsia"/>
          <w:b/>
          <w:bCs/>
          <w:color w:val="auto"/>
          <w:u w:val="single"/>
          <w:lang w:eastAsia="zh-CN"/>
        </w:rPr>
        <w:t>－</w:t>
      </w:r>
      <w:r>
        <w:rPr>
          <w:rFonts w:hint="eastAsia"/>
          <w:b/>
          <w:bCs/>
          <w:color w:val="auto"/>
          <w:u w:val="single"/>
        </w:rPr>
        <w:t>细格栅</w:t>
      </w:r>
      <w:r>
        <w:rPr>
          <w:rFonts w:hint="eastAsia"/>
          <w:b/>
          <w:bCs/>
          <w:color w:val="auto"/>
          <w:u w:val="single"/>
          <w:lang w:eastAsia="zh-CN"/>
        </w:rPr>
        <w:t>－</w:t>
      </w:r>
      <w:r>
        <w:rPr>
          <w:rFonts w:hint="eastAsia"/>
          <w:b/>
          <w:bCs/>
          <w:color w:val="auto"/>
          <w:u w:val="single"/>
        </w:rPr>
        <w:t>沉砂池</w:t>
      </w:r>
      <w:r>
        <w:rPr>
          <w:rFonts w:hint="eastAsia"/>
          <w:b/>
          <w:bCs/>
          <w:color w:val="auto"/>
          <w:u w:val="single"/>
          <w:lang w:eastAsia="zh-CN"/>
        </w:rPr>
        <w:t>－</w:t>
      </w:r>
      <w:r>
        <w:rPr>
          <w:rFonts w:hint="eastAsia"/>
          <w:b/>
          <w:bCs/>
          <w:color w:val="auto"/>
          <w:u w:val="single"/>
        </w:rPr>
        <w:t>水解酸化池</w:t>
      </w:r>
      <w:r>
        <w:rPr>
          <w:rFonts w:hint="eastAsia"/>
          <w:b/>
          <w:bCs/>
          <w:color w:val="auto"/>
          <w:u w:val="single"/>
          <w:lang w:eastAsia="zh-CN"/>
        </w:rPr>
        <w:t>－</w:t>
      </w:r>
      <w:r>
        <w:rPr>
          <w:rFonts w:hint="eastAsia"/>
          <w:b/>
          <w:bCs/>
          <w:color w:val="auto"/>
          <w:u w:val="single"/>
        </w:rPr>
        <w:t>A</w:t>
      </w:r>
      <w:r>
        <w:rPr>
          <w:rFonts w:hint="eastAsia"/>
          <w:b/>
          <w:bCs/>
          <w:color w:val="auto"/>
          <w:u w:val="single"/>
          <w:vertAlign w:val="superscript"/>
        </w:rPr>
        <w:t>2</w:t>
      </w:r>
      <w:r>
        <w:rPr>
          <w:rFonts w:hint="eastAsia"/>
          <w:b/>
          <w:bCs/>
          <w:color w:val="auto"/>
          <w:u w:val="single"/>
        </w:rPr>
        <w:t>/O</w:t>
      </w:r>
      <w:r>
        <w:rPr>
          <w:rFonts w:hint="eastAsia"/>
          <w:b/>
          <w:bCs/>
          <w:color w:val="auto"/>
          <w:u w:val="single"/>
          <w:lang w:val="en-US" w:eastAsia="zh-CN"/>
        </w:rPr>
        <w:t>-MBR膜</w:t>
      </w:r>
      <w:r>
        <w:rPr>
          <w:rFonts w:hint="eastAsia"/>
          <w:b/>
          <w:bCs/>
          <w:color w:val="auto"/>
          <w:u w:val="single"/>
          <w:lang w:eastAsia="zh-CN"/>
        </w:rPr>
        <w:t>－</w:t>
      </w:r>
      <w:r>
        <w:rPr>
          <w:rFonts w:hint="eastAsia"/>
          <w:b/>
          <w:bCs/>
          <w:color w:val="auto"/>
          <w:u w:val="single"/>
        </w:rPr>
        <w:t>消毒池”</w:t>
      </w:r>
      <w:r>
        <w:rPr>
          <w:rFonts w:hint="eastAsia"/>
          <w:b/>
          <w:bCs/>
          <w:color w:val="auto"/>
          <w:u w:val="single"/>
          <w:lang w:val="en-US" w:eastAsia="zh-CN"/>
        </w:rPr>
        <w:t>。</w:t>
      </w:r>
      <w:r>
        <w:rPr>
          <w:rFonts w:hint="eastAsia"/>
          <w:b/>
          <w:bCs/>
          <w:color w:val="auto"/>
          <w:u w:val="single"/>
        </w:rPr>
        <w:t>目前</w:t>
      </w:r>
      <w:r>
        <w:rPr>
          <w:rFonts w:hint="eastAsia"/>
          <w:b/>
          <w:bCs/>
          <w:color w:val="auto"/>
          <w:u w:val="single"/>
          <w:lang w:val="en-US" w:eastAsia="zh-CN"/>
        </w:rPr>
        <w:t>一期工程和二期工程</w:t>
      </w:r>
      <w:r>
        <w:rPr>
          <w:rFonts w:hint="eastAsia"/>
          <w:b/>
          <w:bCs/>
          <w:color w:val="auto"/>
          <w:u w:val="single"/>
        </w:rPr>
        <w:t>均已正常运行。设计进水水质为COD</w:t>
      </w:r>
      <w:r>
        <w:rPr>
          <w:b/>
          <w:bCs/>
          <w:color w:val="auto"/>
          <w:u w:val="single"/>
        </w:rPr>
        <w:t xml:space="preserve"> </w:t>
      </w:r>
      <w:r>
        <w:rPr>
          <w:rFonts w:hint="eastAsia"/>
          <w:b/>
          <w:bCs/>
          <w:color w:val="auto"/>
          <w:u w:val="single"/>
        </w:rPr>
        <w:t>350mg/L、SS</w:t>
      </w:r>
      <w:r>
        <w:rPr>
          <w:b/>
          <w:bCs/>
          <w:color w:val="auto"/>
          <w:u w:val="single"/>
        </w:rPr>
        <w:t xml:space="preserve"> </w:t>
      </w:r>
      <w:r>
        <w:rPr>
          <w:rFonts w:hint="eastAsia"/>
          <w:b/>
          <w:bCs/>
          <w:color w:val="auto"/>
          <w:u w:val="single"/>
        </w:rPr>
        <w:t>280mg/L、NH</w:t>
      </w:r>
      <w:r>
        <w:rPr>
          <w:rFonts w:hint="eastAsia"/>
          <w:b/>
          <w:bCs/>
          <w:color w:val="auto"/>
          <w:u w:val="single"/>
          <w:vertAlign w:val="subscript"/>
        </w:rPr>
        <w:t>3</w:t>
      </w:r>
      <w:r>
        <w:rPr>
          <w:rFonts w:hint="eastAsia"/>
          <w:b/>
          <w:bCs/>
          <w:color w:val="auto"/>
          <w:u w:val="single"/>
        </w:rPr>
        <w:t>-N 30mg/L、TN</w:t>
      </w:r>
      <w:r>
        <w:rPr>
          <w:b/>
          <w:bCs/>
          <w:color w:val="auto"/>
          <w:u w:val="single"/>
        </w:rPr>
        <w:t xml:space="preserve"> </w:t>
      </w:r>
      <w:r>
        <w:rPr>
          <w:rFonts w:hint="eastAsia"/>
          <w:b/>
          <w:bCs/>
          <w:color w:val="auto"/>
          <w:u w:val="single"/>
        </w:rPr>
        <w:t>40mg/L、TP</w:t>
      </w:r>
      <w:r>
        <w:rPr>
          <w:b/>
          <w:bCs/>
          <w:color w:val="auto"/>
          <w:u w:val="single"/>
        </w:rPr>
        <w:t xml:space="preserve"> </w:t>
      </w:r>
      <w:r>
        <w:rPr>
          <w:rFonts w:hint="eastAsia"/>
          <w:b/>
          <w:bCs/>
          <w:color w:val="auto"/>
          <w:u w:val="single"/>
        </w:rPr>
        <w:t>3mg/L，出水水质达到《地表水环境质量标准》（GB3838-2002）</w:t>
      </w:r>
      <w:r>
        <w:rPr>
          <w:rFonts w:hint="eastAsia" w:ascii="宋体" w:hAnsi="宋体" w:eastAsia="宋体" w:cs="宋体"/>
          <w:b/>
          <w:bCs/>
          <w:color w:val="auto"/>
          <w:u w:val="single"/>
        </w:rPr>
        <w:t>Ⅴ</w:t>
      </w:r>
      <w:r>
        <w:rPr>
          <w:b/>
          <w:bCs/>
          <w:color w:val="auto"/>
          <w:u w:val="single"/>
        </w:rPr>
        <w:t>类</w:t>
      </w:r>
      <w:r>
        <w:rPr>
          <w:rFonts w:hint="eastAsia"/>
          <w:b/>
          <w:bCs/>
          <w:color w:val="auto"/>
          <w:u w:val="single"/>
        </w:rPr>
        <w:t>标准和《城镇污水处理厂污染物排放标准》（GB18918-2002）一级A的要求：COD 40mg/L、NH</w:t>
      </w:r>
      <w:r>
        <w:rPr>
          <w:rFonts w:hint="eastAsia"/>
          <w:b/>
          <w:bCs/>
          <w:color w:val="auto"/>
          <w:u w:val="single"/>
          <w:vertAlign w:val="subscript"/>
        </w:rPr>
        <w:t>3</w:t>
      </w:r>
      <w:r>
        <w:rPr>
          <w:rFonts w:hint="eastAsia"/>
          <w:b/>
          <w:bCs/>
          <w:color w:val="auto"/>
          <w:u w:val="single"/>
        </w:rPr>
        <w:t>-N 2.0mg/L、TN 15mg/L、TP 0.4mg/L，最终排入大沙河。</w:t>
      </w:r>
    </w:p>
    <w:p w14:paraId="77ACBFC5">
      <w:pPr>
        <w:pStyle w:val="5"/>
        <w:bidi w:val="0"/>
        <w:rPr>
          <w:color w:val="auto"/>
        </w:rPr>
      </w:pPr>
      <w:r>
        <w:rPr>
          <w:rFonts w:hint="eastAsia"/>
          <w:color w:val="auto"/>
        </w:rPr>
        <w:t>项目废水进入新乡市小店污水处理厂的可行性分析</w:t>
      </w:r>
    </w:p>
    <w:p w14:paraId="4CBBA191">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pPr>
      <w:r>
        <w:rPr>
          <w:rFonts w:hint="eastAsia"/>
        </w:rPr>
        <w:t>（1）水量及收水管网条件</w:t>
      </w:r>
    </w:p>
    <w:p w14:paraId="1EEF6027">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宋体"/>
        </w:rPr>
      </w:pPr>
      <w:r>
        <w:rPr>
          <w:rFonts w:hint="eastAsia"/>
        </w:rPr>
        <w:t>a．小店污水处理厂位于新长北线以北、东三干渠以西，紧邻规划区西边界，设计处理规模为10万m</w:t>
      </w:r>
      <w:r>
        <w:rPr>
          <w:rFonts w:hint="eastAsia"/>
          <w:vertAlign w:val="superscript"/>
        </w:rPr>
        <w:t>3</w:t>
      </w:r>
      <w:r>
        <w:rPr>
          <w:rFonts w:hint="eastAsia"/>
        </w:rPr>
        <w:t>/d，分两期建设。小店污水处理厂的收水范围为小店新城生活污水、新乡市经济技术开发区的工业和生活污水，本项</w:t>
      </w:r>
      <w:r>
        <w:rPr>
          <w:rFonts w:hint="eastAsia" w:ascii="Times New Roman" w:hAnsi="Times New Roman" w:eastAsia="宋体" w:cs="宋体"/>
        </w:rPr>
        <w:t>目属于小店污水处理厂的收水范围。</w:t>
      </w:r>
    </w:p>
    <w:p w14:paraId="0AE6C5D1">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本项目废水经厂区污水处理系统处理后排入小店污水处理厂进一步处理，处理后排入大沙河。经查阅小店污水处理厂2023年的在线监测信息，该污水处理厂一期进水量为</w:t>
      </w:r>
      <w:r>
        <w:rPr>
          <w:rFonts w:ascii="Times New Roman" w:hAnsi="Times New Roman" w:eastAsia="Times New Roman" w:cs="Times New Roman"/>
          <w:spacing w:val="-1"/>
          <w:sz w:val="24"/>
          <w:szCs w:val="24"/>
        </w:rPr>
        <w:t>26988.7</w:t>
      </w:r>
      <w:r>
        <w:rPr>
          <w:rFonts w:hint="eastAsia" w:ascii="Times New Roman" w:hAnsi="Times New Roman" w:eastAsia="宋体" w:cs="宋体"/>
          <w:sz w:val="24"/>
          <w:szCs w:val="24"/>
        </w:rPr>
        <w:t>m</w:t>
      </w:r>
      <w:r>
        <w:rPr>
          <w:rFonts w:hint="eastAsia" w:ascii="Times New Roman" w:hAnsi="Times New Roman" w:eastAsia="宋体" w:cs="宋体"/>
          <w:sz w:val="24"/>
          <w:szCs w:val="24"/>
          <w:vertAlign w:val="superscript"/>
        </w:rPr>
        <w:t>3</w:t>
      </w:r>
      <w:r>
        <w:rPr>
          <w:rFonts w:hint="eastAsia" w:ascii="Times New Roman" w:hAnsi="Times New Roman" w:eastAsia="宋体" w:cs="宋体"/>
          <w:sz w:val="24"/>
          <w:szCs w:val="24"/>
          <w:vertAlign w:val="baseline"/>
          <w:lang w:val="en-US" w:eastAsia="zh-CN"/>
        </w:rPr>
        <w:t>/d</w:t>
      </w:r>
      <w:r>
        <w:rPr>
          <w:rFonts w:hint="eastAsia" w:ascii="Times New Roman" w:hAnsi="Times New Roman" w:eastAsia="宋体" w:cs="宋体"/>
          <w:sz w:val="24"/>
          <w:szCs w:val="24"/>
        </w:rPr>
        <w:t>，二期进水量为</w:t>
      </w:r>
      <w:r>
        <w:rPr>
          <w:rFonts w:ascii="Times New Roman" w:hAnsi="Times New Roman" w:eastAsia="Times New Roman" w:cs="Times New Roman"/>
          <w:spacing w:val="-1"/>
          <w:sz w:val="24"/>
          <w:szCs w:val="24"/>
        </w:rPr>
        <w:t>30710.4</w:t>
      </w:r>
      <w:r>
        <w:rPr>
          <w:rFonts w:hint="eastAsia" w:ascii="Times New Roman" w:hAnsi="Times New Roman" w:eastAsia="宋体" w:cs="宋体"/>
          <w:sz w:val="24"/>
          <w:szCs w:val="24"/>
        </w:rPr>
        <w:t>m</w:t>
      </w:r>
      <w:r>
        <w:rPr>
          <w:rFonts w:hint="eastAsia" w:ascii="Times New Roman" w:hAnsi="Times New Roman" w:eastAsia="宋体" w:cs="宋体"/>
          <w:sz w:val="24"/>
          <w:szCs w:val="24"/>
          <w:vertAlign w:val="superscript"/>
        </w:rPr>
        <w:t>3</w:t>
      </w:r>
      <w:r>
        <w:rPr>
          <w:rFonts w:hint="eastAsia" w:ascii="Times New Roman" w:hAnsi="Times New Roman" w:eastAsia="宋体" w:cs="宋体"/>
          <w:sz w:val="24"/>
          <w:szCs w:val="24"/>
          <w:vertAlign w:val="baseline"/>
          <w:lang w:val="en-US" w:eastAsia="zh-CN"/>
        </w:rPr>
        <w:t>/d</w:t>
      </w:r>
      <w:r>
        <w:rPr>
          <w:rFonts w:hint="eastAsia" w:ascii="Times New Roman" w:hAnsi="Times New Roman" w:eastAsia="宋体" w:cs="宋体"/>
          <w:sz w:val="24"/>
          <w:szCs w:val="24"/>
        </w:rPr>
        <w:t>，小店污水处理厂最大进</w:t>
      </w:r>
      <w:r>
        <w:rPr>
          <w:rFonts w:hint="eastAsia" w:ascii="Times New Roman" w:hAnsi="Times New Roman" w:eastAsia="宋体" w:cs="宋体"/>
          <w:sz w:val="24"/>
          <w:szCs w:val="24"/>
          <w:highlight w:val="none"/>
        </w:rPr>
        <w:t>水总量为63238.3m</w:t>
      </w:r>
      <w:r>
        <w:rPr>
          <w:rFonts w:hint="eastAsia" w:ascii="Times New Roman" w:hAnsi="Times New Roman" w:eastAsia="宋体" w:cs="宋体"/>
          <w:sz w:val="24"/>
          <w:szCs w:val="24"/>
          <w:highlight w:val="none"/>
          <w:vertAlign w:val="superscript"/>
        </w:rPr>
        <w:t>3</w:t>
      </w:r>
      <w:r>
        <w:rPr>
          <w:rFonts w:hint="eastAsia" w:ascii="Times New Roman" w:hAnsi="Times New Roman" w:eastAsia="宋体" w:cs="宋体"/>
          <w:sz w:val="24"/>
          <w:szCs w:val="24"/>
          <w:highlight w:val="none"/>
        </w:rPr>
        <w:t>/d，尚有</w:t>
      </w:r>
      <w:r>
        <w:rPr>
          <w:rFonts w:hint="eastAsia" w:ascii="Times New Roman" w:hAnsi="Times New Roman" w:eastAsia="宋体" w:cs="宋体"/>
          <w:sz w:val="24"/>
          <w:szCs w:val="24"/>
          <w:highlight w:val="none"/>
          <w:lang w:val="en-US" w:eastAsia="zh-CN"/>
        </w:rPr>
        <w:t>42300.9</w:t>
      </w:r>
      <w:r>
        <w:rPr>
          <w:rFonts w:hint="eastAsia" w:ascii="Times New Roman" w:hAnsi="Times New Roman" w:eastAsia="宋体" w:cs="宋体"/>
          <w:sz w:val="24"/>
          <w:szCs w:val="24"/>
          <w:highlight w:val="none"/>
        </w:rPr>
        <w:t>m</w:t>
      </w:r>
      <w:r>
        <w:rPr>
          <w:rFonts w:hint="eastAsia" w:ascii="Times New Roman" w:hAnsi="Times New Roman" w:eastAsia="宋体" w:cs="宋体"/>
          <w:sz w:val="24"/>
          <w:szCs w:val="24"/>
          <w:highlight w:val="none"/>
          <w:vertAlign w:val="superscript"/>
        </w:rPr>
        <w:t>3</w:t>
      </w:r>
      <w:r>
        <w:rPr>
          <w:rFonts w:hint="eastAsia" w:ascii="Times New Roman" w:hAnsi="Times New Roman" w:eastAsia="宋体" w:cs="宋体"/>
          <w:sz w:val="24"/>
          <w:szCs w:val="24"/>
          <w:highlight w:val="none"/>
        </w:rPr>
        <w:t>/d的余量。本项目废水排放量为</w:t>
      </w:r>
      <w:r>
        <w:rPr>
          <w:rFonts w:hint="eastAsia" w:cs="宋体"/>
          <w:sz w:val="24"/>
          <w:szCs w:val="24"/>
          <w:highlight w:val="none"/>
          <w:lang w:val="en-US" w:eastAsia="zh-CN"/>
        </w:rPr>
        <w:t>750.31</w:t>
      </w:r>
      <w:r>
        <w:rPr>
          <w:rFonts w:hint="eastAsia" w:ascii="Times New Roman" w:hAnsi="Times New Roman" w:eastAsia="宋体" w:cs="宋体"/>
          <w:sz w:val="24"/>
          <w:szCs w:val="24"/>
          <w:highlight w:val="none"/>
        </w:rPr>
        <w:t>m</w:t>
      </w:r>
      <w:r>
        <w:rPr>
          <w:rFonts w:hint="eastAsia" w:ascii="Times New Roman" w:hAnsi="Times New Roman" w:eastAsia="宋体" w:cs="宋体"/>
          <w:sz w:val="24"/>
          <w:szCs w:val="24"/>
          <w:highlight w:val="none"/>
          <w:vertAlign w:val="superscript"/>
        </w:rPr>
        <w:t>3</w:t>
      </w:r>
      <w:r>
        <w:rPr>
          <w:rFonts w:hint="eastAsia" w:ascii="Times New Roman" w:hAnsi="Times New Roman" w:eastAsia="宋体" w:cs="宋体"/>
          <w:sz w:val="24"/>
          <w:szCs w:val="24"/>
          <w:highlight w:val="none"/>
        </w:rPr>
        <w:t>/d，</w:t>
      </w:r>
      <w:r>
        <w:rPr>
          <w:rFonts w:hint="eastAsia" w:ascii="Times New Roman" w:hAnsi="Times New Roman" w:eastAsia="宋体" w:cs="宋体"/>
          <w:sz w:val="24"/>
          <w:szCs w:val="24"/>
        </w:rPr>
        <w:t>占小店污水处理厂剩余处理能力的</w:t>
      </w:r>
      <w:r>
        <w:rPr>
          <w:rFonts w:hint="eastAsia" w:cs="宋体"/>
          <w:sz w:val="24"/>
          <w:szCs w:val="24"/>
          <w:lang w:val="en-US" w:eastAsia="zh-CN"/>
        </w:rPr>
        <w:t>1</w:t>
      </w:r>
      <w:r>
        <w:rPr>
          <w:rFonts w:hint="eastAsia" w:ascii="Times New Roman" w:hAnsi="Times New Roman" w:eastAsia="宋体" w:cs="宋体"/>
          <w:sz w:val="24"/>
          <w:szCs w:val="24"/>
          <w:lang w:val="en-US" w:eastAsia="zh-CN"/>
        </w:rPr>
        <w:t>.8</w:t>
      </w:r>
      <w:r>
        <w:rPr>
          <w:rFonts w:hint="eastAsia" w:ascii="Times New Roman" w:hAnsi="Times New Roman" w:eastAsia="宋体" w:cs="宋体"/>
          <w:sz w:val="24"/>
          <w:szCs w:val="24"/>
        </w:rPr>
        <w:t>%，不会对小店污水处理厂产生冲击。</w:t>
      </w:r>
    </w:p>
    <w:p w14:paraId="06659F55">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pPr>
      <w:r>
        <w:rPr>
          <w:rFonts w:hint="eastAsia"/>
        </w:rPr>
        <w:t>b．小店污水处理厂管网铺设已完善并运行良好，本工程废水进入小店污水处理厂不存在管网制约因素。</w:t>
      </w:r>
    </w:p>
    <w:p w14:paraId="26CD8185">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pPr>
      <w:r>
        <w:rPr>
          <w:rFonts w:hint="eastAsia"/>
        </w:rPr>
        <w:t>（2）水质</w:t>
      </w:r>
    </w:p>
    <w:p w14:paraId="136BD4E3">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rPr>
      </w:pPr>
      <w:r>
        <w:rPr>
          <w:rFonts w:hint="eastAsia"/>
        </w:rPr>
        <w:t>根据工程分析，厂区总排口现状排水水质满足污水厂收水要求。</w:t>
      </w:r>
    </w:p>
    <w:p w14:paraId="319997EE">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pPr>
      <w:r>
        <w:rPr>
          <w:rFonts w:hint="eastAsia"/>
        </w:rPr>
        <w:t>本项目废水排放水质见</w:t>
      </w:r>
      <w:r>
        <w:rPr>
          <w:rFonts w:hint="eastAsia"/>
          <w:lang w:val="en-US" w:eastAsia="zh-CN"/>
        </w:rPr>
        <w:t>下表</w:t>
      </w:r>
      <w:r>
        <w:rPr>
          <w:rFonts w:hint="eastAsia"/>
        </w:rPr>
        <w:t>。</w:t>
      </w:r>
    </w:p>
    <w:p w14:paraId="7112F272">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表</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6.2</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noBreakHyphen/>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1</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ab/>
      </w:r>
      <w:r>
        <w:rPr>
          <w:rFonts w:hint="eastAsia" w:ascii="Times New Roman" w:hAnsi="Times New Roman" w:eastAsia="宋体"/>
          <w:lang w:val="en-US" w:eastAsia="zh-CN"/>
        </w:rPr>
        <w:t>项目排水与污水处理厂收水水质对比</w:t>
      </w:r>
      <w:r>
        <w:rPr>
          <w:rFonts w:hint="eastAsia" w:ascii="Times New Roman" w:hAnsi="Times New Roman" w:eastAsia="宋体"/>
          <w:lang w:val="en-US" w:eastAsia="zh-CN"/>
        </w:rPr>
        <w:tab/>
      </w:r>
      <w:r>
        <w:rPr>
          <w:rFonts w:hint="eastAsia" w:ascii="Times New Roman" w:hAnsi="Times New Roman" w:eastAsia="宋体"/>
          <w:lang w:val="en-US" w:eastAsia="zh-CN"/>
        </w:rPr>
        <w:t>单位：mg/L</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55"/>
        <w:gridCol w:w="1039"/>
        <w:gridCol w:w="910"/>
        <w:gridCol w:w="792"/>
        <w:gridCol w:w="986"/>
        <w:gridCol w:w="983"/>
        <w:gridCol w:w="981"/>
      </w:tblGrid>
      <w:tr w14:paraId="02C11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631" w:type="pct"/>
            <w:noWrap w:val="0"/>
            <w:tcMar>
              <w:left w:w="28" w:type="dxa"/>
              <w:right w:w="28" w:type="dxa"/>
            </w:tcMar>
            <w:vAlign w:val="center"/>
          </w:tcPr>
          <w:p w14:paraId="74C961D0">
            <w:pPr>
              <w:pStyle w:val="188"/>
              <w:keepNext w:val="0"/>
              <w:keepLines w:val="0"/>
              <w:pageBreakBefore w:val="0"/>
              <w:wordWrap/>
              <w:topLinePunct w:val="0"/>
              <w:autoSpaceDE/>
              <w:autoSpaceDN/>
              <w:bidi w:val="0"/>
              <w:snapToGrid w:val="0"/>
              <w:spacing w:line="240" w:lineRule="auto"/>
              <w:ind w:firstLine="0" w:firstLineChars="0"/>
              <w:jc w:val="center"/>
            </w:pPr>
            <w:r>
              <w:t>项目</w:t>
            </w:r>
          </w:p>
        </w:tc>
        <w:tc>
          <w:tcPr>
            <w:tcW w:w="1039" w:type="dxa"/>
            <w:noWrap w:val="0"/>
            <w:tcMar>
              <w:left w:w="28" w:type="dxa"/>
              <w:right w:w="28" w:type="dxa"/>
            </w:tcMar>
            <w:vAlign w:val="center"/>
          </w:tcPr>
          <w:p w14:paraId="562D6927">
            <w:pPr>
              <w:pStyle w:val="182"/>
              <w:keepNext w:val="0"/>
              <w:keepLines w:val="0"/>
              <w:widowControl/>
              <w:suppressLineNumbers w:val="0"/>
              <w:ind w:firstLine="0" w:firstLineChars="0"/>
              <w:jc w:val="center"/>
              <w:textAlignment w:val="center"/>
            </w:pPr>
            <w:r>
              <w:rPr>
                <w:rFonts w:hint="default"/>
                <w:b w:val="0"/>
                <w:bCs w:val="0"/>
                <w:color w:val="auto"/>
                <w:u w:val="none"/>
                <w:lang w:val="en-US" w:eastAsia="zh-CN"/>
              </w:rPr>
              <w:t>COD</w:t>
            </w:r>
          </w:p>
        </w:tc>
        <w:tc>
          <w:tcPr>
            <w:tcW w:w="910" w:type="dxa"/>
            <w:noWrap w:val="0"/>
            <w:tcMar>
              <w:left w:w="28" w:type="dxa"/>
              <w:right w:w="28" w:type="dxa"/>
            </w:tcMar>
            <w:vAlign w:val="center"/>
          </w:tcPr>
          <w:p w14:paraId="011B8A19">
            <w:pPr>
              <w:pStyle w:val="182"/>
              <w:keepNext w:val="0"/>
              <w:keepLines w:val="0"/>
              <w:widowControl/>
              <w:suppressLineNumbers w:val="0"/>
              <w:ind w:firstLine="0" w:firstLineChars="0"/>
              <w:jc w:val="center"/>
              <w:textAlignment w:val="center"/>
            </w:pPr>
            <w:r>
              <w:rPr>
                <w:rFonts w:hint="default"/>
                <w:b w:val="0"/>
                <w:bCs w:val="0"/>
                <w:color w:val="auto"/>
                <w:u w:val="none"/>
                <w:lang w:val="en-US" w:eastAsia="zh-CN"/>
              </w:rPr>
              <w:t>BOD</w:t>
            </w:r>
            <w:r>
              <w:rPr>
                <w:rFonts w:hint="default"/>
                <w:b w:val="0"/>
                <w:bCs w:val="0"/>
                <w:color w:val="auto"/>
                <w:u w:val="none"/>
                <w:vertAlign w:val="subscript"/>
                <w:lang w:val="en-US" w:eastAsia="zh-CN"/>
              </w:rPr>
              <w:t>5</w:t>
            </w:r>
          </w:p>
        </w:tc>
        <w:tc>
          <w:tcPr>
            <w:tcW w:w="792" w:type="dxa"/>
            <w:noWrap w:val="0"/>
            <w:vAlign w:val="center"/>
          </w:tcPr>
          <w:p w14:paraId="58044C91">
            <w:pPr>
              <w:pStyle w:val="182"/>
              <w:keepNext w:val="0"/>
              <w:keepLines w:val="0"/>
              <w:widowControl/>
              <w:suppressLineNumbers w:val="0"/>
              <w:ind w:firstLine="0" w:firstLineChars="0"/>
              <w:jc w:val="center"/>
              <w:textAlignment w:val="center"/>
            </w:pPr>
            <w:r>
              <w:rPr>
                <w:rFonts w:hint="default"/>
                <w:b w:val="0"/>
                <w:bCs w:val="0"/>
                <w:color w:val="auto"/>
                <w:u w:val="none"/>
                <w:lang w:val="en-US" w:eastAsia="zh-CN"/>
              </w:rPr>
              <w:t>SS</w:t>
            </w:r>
          </w:p>
        </w:tc>
        <w:tc>
          <w:tcPr>
            <w:tcW w:w="986" w:type="dxa"/>
            <w:noWrap w:val="0"/>
            <w:vAlign w:val="center"/>
          </w:tcPr>
          <w:p w14:paraId="12E5CD95">
            <w:pPr>
              <w:pStyle w:val="182"/>
              <w:keepNext w:val="0"/>
              <w:keepLines w:val="0"/>
              <w:widowControl/>
              <w:suppressLineNumbers w:val="0"/>
              <w:ind w:firstLine="0" w:firstLineChars="0"/>
              <w:jc w:val="center"/>
              <w:textAlignment w:val="center"/>
            </w:pPr>
            <w:r>
              <w:rPr>
                <w:rFonts w:hint="default"/>
                <w:b w:val="0"/>
                <w:bCs w:val="0"/>
                <w:color w:val="auto"/>
                <w:u w:val="none"/>
                <w:lang w:val="en-US" w:eastAsia="zh-CN"/>
              </w:rPr>
              <w:t>NH</w:t>
            </w:r>
            <w:r>
              <w:rPr>
                <w:rFonts w:hint="default"/>
                <w:b w:val="0"/>
                <w:bCs w:val="0"/>
                <w:color w:val="auto"/>
                <w:u w:val="none"/>
                <w:vertAlign w:val="subscript"/>
                <w:lang w:val="en-US" w:eastAsia="zh-CN"/>
              </w:rPr>
              <w:t>3</w:t>
            </w:r>
            <w:r>
              <w:rPr>
                <w:rFonts w:hint="default"/>
                <w:b w:val="0"/>
                <w:bCs w:val="0"/>
                <w:color w:val="auto"/>
                <w:u w:val="none"/>
                <w:lang w:val="en-US" w:eastAsia="zh-CN"/>
              </w:rPr>
              <w:t>-N</w:t>
            </w:r>
          </w:p>
        </w:tc>
        <w:tc>
          <w:tcPr>
            <w:tcW w:w="983" w:type="dxa"/>
            <w:noWrap w:val="0"/>
            <w:vAlign w:val="center"/>
          </w:tcPr>
          <w:p w14:paraId="0E499B21">
            <w:pPr>
              <w:pStyle w:val="182"/>
              <w:keepNext w:val="0"/>
              <w:keepLines w:val="0"/>
              <w:widowControl/>
              <w:suppressLineNumbers w:val="0"/>
              <w:ind w:firstLine="0" w:firstLineChars="0"/>
              <w:jc w:val="center"/>
              <w:textAlignment w:val="center"/>
            </w:pPr>
            <w:r>
              <w:rPr>
                <w:rFonts w:hint="default"/>
                <w:b w:val="0"/>
                <w:bCs w:val="0"/>
                <w:color w:val="auto"/>
                <w:u w:val="none"/>
                <w:lang w:val="en-US" w:eastAsia="zh-CN"/>
              </w:rPr>
              <w:t>TN</w:t>
            </w:r>
          </w:p>
        </w:tc>
        <w:tc>
          <w:tcPr>
            <w:tcW w:w="981" w:type="dxa"/>
            <w:noWrap w:val="0"/>
            <w:vAlign w:val="center"/>
          </w:tcPr>
          <w:p w14:paraId="08562995">
            <w:pPr>
              <w:pStyle w:val="182"/>
              <w:keepNext w:val="0"/>
              <w:keepLines w:val="0"/>
              <w:widowControl/>
              <w:suppressLineNumbers w:val="0"/>
              <w:ind w:firstLine="0" w:firstLineChars="0"/>
              <w:jc w:val="center"/>
              <w:textAlignment w:val="center"/>
              <w:rPr>
                <w:rFonts w:hint="eastAsia"/>
              </w:rPr>
            </w:pPr>
            <w:r>
              <w:rPr>
                <w:rFonts w:hint="default"/>
                <w:b w:val="0"/>
                <w:bCs w:val="0"/>
                <w:color w:val="auto"/>
                <w:u w:val="none"/>
                <w:lang w:val="en-US" w:eastAsia="zh-CN"/>
              </w:rPr>
              <w:t>TP</w:t>
            </w:r>
          </w:p>
        </w:tc>
      </w:tr>
      <w:tr w14:paraId="455A1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31" w:type="pct"/>
            <w:noWrap w:val="0"/>
            <w:tcMar>
              <w:left w:w="28" w:type="dxa"/>
              <w:right w:w="28" w:type="dxa"/>
            </w:tcMar>
            <w:vAlign w:val="center"/>
          </w:tcPr>
          <w:p w14:paraId="192199BC">
            <w:pPr>
              <w:pStyle w:val="188"/>
              <w:keepNext w:val="0"/>
              <w:keepLines w:val="0"/>
              <w:pageBreakBefore w:val="0"/>
              <w:wordWrap/>
              <w:topLinePunct w:val="0"/>
              <w:autoSpaceDE/>
              <w:autoSpaceDN/>
              <w:bidi w:val="0"/>
              <w:snapToGrid w:val="0"/>
              <w:spacing w:line="240" w:lineRule="auto"/>
              <w:ind w:firstLine="0" w:firstLineChars="0"/>
              <w:jc w:val="center"/>
            </w:pPr>
            <w:r>
              <w:t>本项目排水水质</w:t>
            </w:r>
          </w:p>
        </w:tc>
        <w:tc>
          <w:tcPr>
            <w:tcW w:w="1038" w:type="dxa"/>
            <w:noWrap w:val="0"/>
            <w:tcMar>
              <w:left w:w="28" w:type="dxa"/>
              <w:right w:w="28" w:type="dxa"/>
            </w:tcMar>
            <w:vAlign w:val="center"/>
          </w:tcPr>
          <w:p w14:paraId="6B2951C2">
            <w:pPr>
              <w:pStyle w:val="182"/>
              <w:keepNext w:val="0"/>
              <w:keepLines w:val="0"/>
              <w:widowControl/>
              <w:suppressLineNumbers w:val="0"/>
              <w:ind w:firstLine="0" w:firstLineChars="0"/>
              <w:jc w:val="center"/>
              <w:textAlignment w:val="center"/>
              <w:rPr>
                <w:rFonts w:hint="eastAsia" w:ascii="Times New Roman" w:hAnsi="Times New Roman" w:eastAsia="宋体" w:cs="Times New Roman"/>
                <w:b/>
                <w:bCs/>
                <w:u w:val="single"/>
              </w:rPr>
            </w:pPr>
            <w:r>
              <w:rPr>
                <w:rFonts w:hint="eastAsia" w:ascii="Times New Roman" w:hAnsi="Times New Roman" w:eastAsia="宋体" w:cs="Times New Roman"/>
                <w:b/>
                <w:bCs/>
                <w:u w:val="single"/>
                <w:lang w:val="en-US" w:eastAsia="zh-CN"/>
              </w:rPr>
              <w:t xml:space="preserve">81.20 </w:t>
            </w:r>
          </w:p>
        </w:tc>
        <w:tc>
          <w:tcPr>
            <w:tcW w:w="910" w:type="dxa"/>
            <w:noWrap w:val="0"/>
            <w:tcMar>
              <w:left w:w="28" w:type="dxa"/>
              <w:right w:w="28" w:type="dxa"/>
            </w:tcMar>
            <w:vAlign w:val="center"/>
          </w:tcPr>
          <w:p w14:paraId="33B7C1CB">
            <w:pPr>
              <w:pStyle w:val="182"/>
              <w:keepNext w:val="0"/>
              <w:keepLines w:val="0"/>
              <w:widowControl/>
              <w:suppressLineNumbers w:val="0"/>
              <w:ind w:firstLine="0" w:firstLineChars="0"/>
              <w:jc w:val="center"/>
              <w:textAlignment w:val="center"/>
              <w:rPr>
                <w:rFonts w:hint="eastAsia" w:ascii="Times New Roman" w:hAnsi="Times New Roman" w:eastAsia="宋体" w:cs="Times New Roman"/>
                <w:b/>
                <w:bCs/>
                <w:u w:val="single"/>
              </w:rPr>
            </w:pPr>
            <w:r>
              <w:rPr>
                <w:rFonts w:hint="eastAsia" w:ascii="Times New Roman" w:hAnsi="Times New Roman" w:eastAsia="宋体" w:cs="Times New Roman"/>
                <w:b/>
                <w:bCs/>
                <w:u w:val="single"/>
                <w:lang w:val="en-US" w:eastAsia="zh-CN"/>
              </w:rPr>
              <w:t xml:space="preserve">32.29 </w:t>
            </w:r>
          </w:p>
        </w:tc>
        <w:tc>
          <w:tcPr>
            <w:tcW w:w="792" w:type="dxa"/>
            <w:noWrap w:val="0"/>
            <w:vAlign w:val="center"/>
          </w:tcPr>
          <w:p w14:paraId="690286FE">
            <w:pPr>
              <w:pStyle w:val="182"/>
              <w:keepNext w:val="0"/>
              <w:keepLines w:val="0"/>
              <w:widowControl/>
              <w:suppressLineNumbers w:val="0"/>
              <w:ind w:firstLine="0" w:firstLineChars="0"/>
              <w:jc w:val="center"/>
              <w:textAlignment w:val="center"/>
              <w:rPr>
                <w:rFonts w:hint="eastAsia" w:ascii="Times New Roman" w:hAnsi="Times New Roman" w:eastAsia="宋体" w:cs="Times New Roman"/>
                <w:b/>
                <w:bCs/>
                <w:u w:val="single"/>
              </w:rPr>
            </w:pPr>
            <w:r>
              <w:rPr>
                <w:rFonts w:hint="eastAsia" w:ascii="Times New Roman" w:hAnsi="Times New Roman" w:eastAsia="宋体" w:cs="Times New Roman"/>
                <w:b/>
                <w:bCs/>
                <w:u w:val="single"/>
                <w:lang w:val="en-US" w:eastAsia="zh-CN"/>
              </w:rPr>
              <w:t xml:space="preserve">86.01 </w:t>
            </w:r>
          </w:p>
        </w:tc>
        <w:tc>
          <w:tcPr>
            <w:tcW w:w="986" w:type="dxa"/>
            <w:noWrap w:val="0"/>
            <w:vAlign w:val="center"/>
          </w:tcPr>
          <w:p w14:paraId="0F1B16FE">
            <w:pPr>
              <w:pStyle w:val="182"/>
              <w:keepNext w:val="0"/>
              <w:keepLines w:val="0"/>
              <w:widowControl/>
              <w:suppressLineNumbers w:val="0"/>
              <w:ind w:firstLine="0" w:firstLineChars="0"/>
              <w:jc w:val="center"/>
              <w:textAlignment w:val="center"/>
              <w:rPr>
                <w:rFonts w:hint="eastAsia" w:ascii="Times New Roman" w:hAnsi="Times New Roman" w:eastAsia="宋体" w:cs="Times New Roman"/>
                <w:b/>
                <w:bCs/>
                <w:u w:val="single"/>
              </w:rPr>
            </w:pPr>
            <w:r>
              <w:rPr>
                <w:rFonts w:hint="eastAsia" w:ascii="Times New Roman" w:hAnsi="Times New Roman" w:eastAsia="宋体" w:cs="Times New Roman"/>
                <w:b/>
                <w:bCs/>
                <w:u w:val="single"/>
                <w:lang w:val="en-US" w:eastAsia="zh-CN"/>
              </w:rPr>
              <w:t xml:space="preserve">2.64 </w:t>
            </w:r>
          </w:p>
        </w:tc>
        <w:tc>
          <w:tcPr>
            <w:tcW w:w="983" w:type="dxa"/>
            <w:noWrap w:val="0"/>
            <w:vAlign w:val="center"/>
          </w:tcPr>
          <w:p w14:paraId="58116DB9">
            <w:pPr>
              <w:pStyle w:val="182"/>
              <w:keepNext w:val="0"/>
              <w:keepLines w:val="0"/>
              <w:widowControl/>
              <w:suppressLineNumbers w:val="0"/>
              <w:ind w:firstLine="0" w:firstLineChars="0"/>
              <w:jc w:val="center"/>
              <w:textAlignment w:val="center"/>
              <w:rPr>
                <w:rFonts w:hint="eastAsia" w:ascii="Times New Roman" w:hAnsi="Times New Roman" w:eastAsia="宋体" w:cs="Times New Roman"/>
                <w:b/>
                <w:bCs/>
                <w:u w:val="single"/>
              </w:rPr>
            </w:pPr>
            <w:r>
              <w:rPr>
                <w:rFonts w:hint="eastAsia" w:ascii="Times New Roman" w:hAnsi="Times New Roman" w:eastAsia="宋体" w:cs="Times New Roman"/>
                <w:b/>
                <w:bCs/>
                <w:u w:val="single"/>
                <w:lang w:val="en-US" w:eastAsia="zh-CN"/>
              </w:rPr>
              <w:t xml:space="preserve">17.61 </w:t>
            </w:r>
          </w:p>
        </w:tc>
        <w:tc>
          <w:tcPr>
            <w:tcW w:w="979" w:type="dxa"/>
            <w:noWrap w:val="0"/>
            <w:vAlign w:val="center"/>
          </w:tcPr>
          <w:p w14:paraId="40AF643E">
            <w:pPr>
              <w:pStyle w:val="182"/>
              <w:keepNext w:val="0"/>
              <w:keepLines w:val="0"/>
              <w:widowControl/>
              <w:suppressLineNumbers w:val="0"/>
              <w:ind w:firstLine="0" w:firstLineChars="0"/>
              <w:jc w:val="center"/>
              <w:textAlignment w:val="center"/>
              <w:rPr>
                <w:rFonts w:hint="default" w:ascii="Times New Roman" w:hAnsi="Times New Roman" w:eastAsia="宋体" w:cs="Times New Roman"/>
                <w:b/>
                <w:bCs/>
                <w:u w:val="single"/>
                <w:lang w:val="en-US"/>
              </w:rPr>
            </w:pPr>
            <w:r>
              <w:rPr>
                <w:rFonts w:hint="eastAsia" w:ascii="Times New Roman" w:hAnsi="Times New Roman" w:eastAsia="宋体" w:cs="Times New Roman"/>
                <w:b/>
                <w:bCs/>
                <w:u w:val="single"/>
                <w:lang w:val="en-US" w:eastAsia="zh-CN"/>
              </w:rPr>
              <w:t xml:space="preserve">0.13 </w:t>
            </w:r>
          </w:p>
        </w:tc>
      </w:tr>
      <w:tr w14:paraId="398BC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31" w:type="pct"/>
            <w:noWrap w:val="0"/>
            <w:tcMar>
              <w:left w:w="28" w:type="dxa"/>
              <w:right w:w="28" w:type="dxa"/>
            </w:tcMar>
            <w:vAlign w:val="center"/>
          </w:tcPr>
          <w:p w14:paraId="10EBA264">
            <w:pPr>
              <w:pStyle w:val="188"/>
              <w:keepNext w:val="0"/>
              <w:keepLines w:val="0"/>
              <w:pageBreakBefore w:val="0"/>
              <w:wordWrap/>
              <w:topLinePunct w:val="0"/>
              <w:autoSpaceDE/>
              <w:autoSpaceDN/>
              <w:bidi w:val="0"/>
              <w:snapToGrid w:val="0"/>
              <w:spacing w:line="240" w:lineRule="auto"/>
              <w:ind w:firstLine="0" w:firstLineChars="0"/>
              <w:jc w:val="center"/>
            </w:pPr>
            <w:r>
              <w:t>小店污水处理厂收水协议</w:t>
            </w:r>
          </w:p>
        </w:tc>
        <w:tc>
          <w:tcPr>
            <w:tcW w:w="1039" w:type="dxa"/>
            <w:noWrap w:val="0"/>
            <w:tcMar>
              <w:left w:w="28" w:type="dxa"/>
              <w:right w:w="28" w:type="dxa"/>
            </w:tcMar>
            <w:vAlign w:val="center"/>
          </w:tcPr>
          <w:p w14:paraId="28BEFF30">
            <w:pPr>
              <w:pStyle w:val="182"/>
              <w:keepNext w:val="0"/>
              <w:keepLines w:val="0"/>
              <w:widowControl/>
              <w:suppressLineNumbers w:val="0"/>
              <w:ind w:firstLine="0" w:firstLineChars="0"/>
              <w:jc w:val="center"/>
              <w:textAlignment w:val="center"/>
              <w:rPr>
                <w:rFonts w:hint="eastAsia"/>
              </w:rPr>
            </w:pPr>
            <w:r>
              <w:rPr>
                <w:rFonts w:hint="eastAsia" w:cs="Times New Roman"/>
                <w:b w:val="0"/>
                <w:bCs w:val="0"/>
                <w:color w:val="auto"/>
                <w:kern w:val="2"/>
                <w:sz w:val="21"/>
                <w:szCs w:val="21"/>
                <w:u w:val="none"/>
                <w:lang w:val="en-US" w:eastAsia="zh-CN" w:bidi="ar-SA"/>
              </w:rPr>
              <w:t>300</w:t>
            </w:r>
          </w:p>
        </w:tc>
        <w:tc>
          <w:tcPr>
            <w:tcW w:w="910" w:type="dxa"/>
            <w:noWrap w:val="0"/>
            <w:tcMar>
              <w:left w:w="28" w:type="dxa"/>
              <w:right w:w="28" w:type="dxa"/>
            </w:tcMar>
            <w:vAlign w:val="center"/>
          </w:tcPr>
          <w:p w14:paraId="33196725">
            <w:pPr>
              <w:pStyle w:val="182"/>
              <w:keepNext w:val="0"/>
              <w:keepLines w:val="0"/>
              <w:widowControl/>
              <w:suppressLineNumbers w:val="0"/>
              <w:ind w:firstLine="0" w:firstLineChars="0"/>
              <w:jc w:val="center"/>
              <w:textAlignment w:val="center"/>
            </w:pPr>
            <w:r>
              <w:rPr>
                <w:rFonts w:hint="eastAsia" w:cs="Times New Roman"/>
                <w:b w:val="0"/>
                <w:bCs w:val="0"/>
                <w:color w:val="auto"/>
                <w:kern w:val="2"/>
                <w:sz w:val="21"/>
                <w:szCs w:val="21"/>
                <w:u w:val="none"/>
                <w:lang w:val="en-US" w:eastAsia="zh-CN" w:bidi="ar-SA"/>
              </w:rPr>
              <w:t>100</w:t>
            </w:r>
          </w:p>
        </w:tc>
        <w:tc>
          <w:tcPr>
            <w:tcW w:w="792" w:type="dxa"/>
            <w:noWrap w:val="0"/>
            <w:vAlign w:val="center"/>
          </w:tcPr>
          <w:p w14:paraId="57194753">
            <w:pPr>
              <w:pStyle w:val="182"/>
              <w:keepNext w:val="0"/>
              <w:keepLines w:val="0"/>
              <w:widowControl/>
              <w:suppressLineNumbers w:val="0"/>
              <w:ind w:firstLine="0" w:firstLineChars="0"/>
              <w:jc w:val="center"/>
              <w:textAlignment w:val="center"/>
            </w:pPr>
            <w:r>
              <w:rPr>
                <w:rFonts w:hint="eastAsia" w:cs="Times New Roman"/>
                <w:b w:val="0"/>
                <w:bCs w:val="0"/>
                <w:color w:val="auto"/>
                <w:kern w:val="2"/>
                <w:sz w:val="21"/>
                <w:szCs w:val="21"/>
                <w:u w:val="none"/>
                <w:lang w:val="en-US" w:eastAsia="zh-CN" w:bidi="ar-SA"/>
              </w:rPr>
              <w:t>150</w:t>
            </w:r>
          </w:p>
        </w:tc>
        <w:tc>
          <w:tcPr>
            <w:tcW w:w="986" w:type="dxa"/>
            <w:noWrap w:val="0"/>
            <w:vAlign w:val="center"/>
          </w:tcPr>
          <w:p w14:paraId="33594275">
            <w:pPr>
              <w:pStyle w:val="182"/>
              <w:keepNext w:val="0"/>
              <w:keepLines w:val="0"/>
              <w:widowControl/>
              <w:suppressLineNumbers w:val="0"/>
              <w:ind w:firstLine="0" w:firstLineChars="0"/>
              <w:jc w:val="center"/>
              <w:textAlignment w:val="center"/>
              <w:rPr>
                <w:rFonts w:hint="eastAsia"/>
              </w:rPr>
            </w:pPr>
            <w:r>
              <w:rPr>
                <w:rFonts w:hint="eastAsia" w:cs="Times New Roman"/>
                <w:b w:val="0"/>
                <w:bCs w:val="0"/>
                <w:color w:val="auto"/>
                <w:kern w:val="2"/>
                <w:sz w:val="21"/>
                <w:szCs w:val="21"/>
                <w:u w:val="none"/>
                <w:lang w:val="en-US" w:eastAsia="zh-CN" w:bidi="ar-SA"/>
              </w:rPr>
              <w:t>15</w:t>
            </w:r>
          </w:p>
        </w:tc>
        <w:tc>
          <w:tcPr>
            <w:tcW w:w="983" w:type="dxa"/>
            <w:noWrap w:val="0"/>
            <w:vAlign w:val="center"/>
          </w:tcPr>
          <w:p w14:paraId="46EAB71E">
            <w:pPr>
              <w:pStyle w:val="182"/>
              <w:keepNext w:val="0"/>
              <w:keepLines w:val="0"/>
              <w:widowControl/>
              <w:suppressLineNumbers w:val="0"/>
              <w:ind w:firstLine="0" w:firstLineChars="0"/>
              <w:jc w:val="center"/>
              <w:textAlignment w:val="center"/>
              <w:rPr>
                <w:rFonts w:hint="eastAsia"/>
              </w:rPr>
            </w:pPr>
            <w:r>
              <w:rPr>
                <w:rFonts w:hint="eastAsia" w:cs="Times New Roman"/>
                <w:b w:val="0"/>
                <w:bCs w:val="0"/>
                <w:color w:val="auto"/>
                <w:kern w:val="2"/>
                <w:sz w:val="21"/>
                <w:szCs w:val="21"/>
                <w:u w:val="none"/>
                <w:lang w:val="en-US" w:eastAsia="zh-CN" w:bidi="ar-SA"/>
              </w:rPr>
              <w:t>40</w:t>
            </w:r>
          </w:p>
        </w:tc>
        <w:tc>
          <w:tcPr>
            <w:tcW w:w="981" w:type="dxa"/>
            <w:noWrap w:val="0"/>
            <w:vAlign w:val="center"/>
          </w:tcPr>
          <w:p w14:paraId="66FD73A3">
            <w:pPr>
              <w:pStyle w:val="182"/>
              <w:keepNext w:val="0"/>
              <w:keepLines w:val="0"/>
              <w:widowControl/>
              <w:suppressLineNumbers w:val="0"/>
              <w:ind w:firstLine="0" w:firstLineChars="0"/>
              <w:jc w:val="center"/>
              <w:textAlignment w:val="center"/>
              <w:rPr>
                <w:rFonts w:hint="eastAsia"/>
              </w:rPr>
            </w:pPr>
            <w:r>
              <w:rPr>
                <w:rFonts w:hint="eastAsia" w:cs="Times New Roman"/>
                <w:b w:val="0"/>
                <w:bCs w:val="0"/>
                <w:color w:val="auto"/>
                <w:kern w:val="2"/>
                <w:sz w:val="21"/>
                <w:szCs w:val="21"/>
                <w:u w:val="none"/>
                <w:lang w:val="en-US" w:eastAsia="zh-CN" w:bidi="ar-SA"/>
              </w:rPr>
              <w:t>1</w:t>
            </w:r>
          </w:p>
        </w:tc>
      </w:tr>
      <w:tr w14:paraId="3F616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31" w:type="pct"/>
            <w:noWrap w:val="0"/>
            <w:tcMar>
              <w:left w:w="28" w:type="dxa"/>
              <w:right w:w="28" w:type="dxa"/>
            </w:tcMar>
            <w:vAlign w:val="center"/>
          </w:tcPr>
          <w:p w14:paraId="7949950F">
            <w:pPr>
              <w:pStyle w:val="188"/>
              <w:keepNext w:val="0"/>
              <w:keepLines w:val="0"/>
              <w:pageBreakBefore w:val="0"/>
              <w:wordWrap/>
              <w:topLinePunct w:val="0"/>
              <w:autoSpaceDE/>
              <w:autoSpaceDN/>
              <w:bidi w:val="0"/>
              <w:snapToGrid w:val="0"/>
              <w:spacing w:line="240" w:lineRule="auto"/>
              <w:ind w:firstLine="0" w:firstLineChars="0"/>
              <w:jc w:val="center"/>
            </w:pPr>
            <w:r>
              <w:t>达标情况</w:t>
            </w:r>
          </w:p>
        </w:tc>
        <w:tc>
          <w:tcPr>
            <w:tcW w:w="615" w:type="pct"/>
            <w:noWrap w:val="0"/>
            <w:tcMar>
              <w:left w:w="28" w:type="dxa"/>
              <w:right w:w="28" w:type="dxa"/>
            </w:tcMar>
            <w:vAlign w:val="center"/>
          </w:tcPr>
          <w:p w14:paraId="40E0C107">
            <w:pPr>
              <w:pStyle w:val="188"/>
              <w:keepNext w:val="0"/>
              <w:keepLines w:val="0"/>
              <w:pageBreakBefore w:val="0"/>
              <w:wordWrap/>
              <w:topLinePunct w:val="0"/>
              <w:autoSpaceDE/>
              <w:autoSpaceDN/>
              <w:bidi w:val="0"/>
              <w:snapToGrid w:val="0"/>
              <w:spacing w:line="240" w:lineRule="auto"/>
              <w:ind w:firstLine="0" w:firstLineChars="0"/>
              <w:jc w:val="center"/>
            </w:pPr>
            <w:r>
              <w:t>达标</w:t>
            </w:r>
          </w:p>
        </w:tc>
        <w:tc>
          <w:tcPr>
            <w:tcW w:w="539" w:type="pct"/>
            <w:noWrap w:val="0"/>
            <w:tcMar>
              <w:left w:w="28" w:type="dxa"/>
              <w:right w:w="28" w:type="dxa"/>
            </w:tcMar>
            <w:vAlign w:val="center"/>
          </w:tcPr>
          <w:p w14:paraId="0540C3F9">
            <w:pPr>
              <w:pStyle w:val="188"/>
              <w:keepNext w:val="0"/>
              <w:keepLines w:val="0"/>
              <w:pageBreakBefore w:val="0"/>
              <w:wordWrap/>
              <w:topLinePunct w:val="0"/>
              <w:autoSpaceDE/>
              <w:autoSpaceDN/>
              <w:bidi w:val="0"/>
              <w:snapToGrid w:val="0"/>
              <w:spacing w:line="240" w:lineRule="auto"/>
              <w:ind w:firstLine="0" w:firstLineChars="0"/>
              <w:jc w:val="center"/>
            </w:pPr>
            <w:r>
              <w:t>达标</w:t>
            </w:r>
          </w:p>
        </w:tc>
        <w:tc>
          <w:tcPr>
            <w:tcW w:w="469" w:type="pct"/>
            <w:noWrap w:val="0"/>
            <w:vAlign w:val="center"/>
          </w:tcPr>
          <w:p w14:paraId="665FD980">
            <w:pPr>
              <w:pStyle w:val="188"/>
              <w:keepNext w:val="0"/>
              <w:keepLines w:val="0"/>
              <w:pageBreakBefore w:val="0"/>
              <w:wordWrap/>
              <w:topLinePunct w:val="0"/>
              <w:autoSpaceDE/>
              <w:autoSpaceDN/>
              <w:bidi w:val="0"/>
              <w:snapToGrid w:val="0"/>
              <w:spacing w:line="240" w:lineRule="auto"/>
              <w:ind w:firstLine="0" w:firstLineChars="0"/>
              <w:jc w:val="center"/>
            </w:pPr>
            <w:r>
              <w:t>达标</w:t>
            </w:r>
          </w:p>
        </w:tc>
        <w:tc>
          <w:tcPr>
            <w:tcW w:w="584" w:type="pct"/>
            <w:noWrap w:val="0"/>
            <w:vAlign w:val="center"/>
          </w:tcPr>
          <w:p w14:paraId="440096FD">
            <w:pPr>
              <w:pStyle w:val="188"/>
              <w:keepNext w:val="0"/>
              <w:keepLines w:val="0"/>
              <w:pageBreakBefore w:val="0"/>
              <w:wordWrap/>
              <w:topLinePunct w:val="0"/>
              <w:autoSpaceDE/>
              <w:autoSpaceDN/>
              <w:bidi w:val="0"/>
              <w:snapToGrid w:val="0"/>
              <w:spacing w:line="240" w:lineRule="auto"/>
              <w:ind w:firstLine="0" w:firstLineChars="0"/>
              <w:jc w:val="center"/>
            </w:pPr>
            <w:r>
              <w:t>达标</w:t>
            </w:r>
          </w:p>
        </w:tc>
        <w:tc>
          <w:tcPr>
            <w:tcW w:w="582" w:type="pct"/>
            <w:noWrap w:val="0"/>
            <w:vAlign w:val="center"/>
          </w:tcPr>
          <w:p w14:paraId="1E1D0A9B">
            <w:pPr>
              <w:pStyle w:val="188"/>
              <w:keepNext w:val="0"/>
              <w:keepLines w:val="0"/>
              <w:pageBreakBefore w:val="0"/>
              <w:wordWrap/>
              <w:topLinePunct w:val="0"/>
              <w:autoSpaceDE/>
              <w:autoSpaceDN/>
              <w:bidi w:val="0"/>
              <w:snapToGrid w:val="0"/>
              <w:spacing w:line="240" w:lineRule="auto"/>
              <w:ind w:firstLine="0" w:firstLineChars="0"/>
              <w:jc w:val="center"/>
            </w:pPr>
            <w:r>
              <w:t>达标</w:t>
            </w:r>
          </w:p>
        </w:tc>
        <w:tc>
          <w:tcPr>
            <w:tcW w:w="580" w:type="pct"/>
            <w:noWrap w:val="0"/>
            <w:vAlign w:val="center"/>
          </w:tcPr>
          <w:p w14:paraId="791485EE">
            <w:pPr>
              <w:pStyle w:val="188"/>
              <w:keepNext w:val="0"/>
              <w:keepLines w:val="0"/>
              <w:pageBreakBefore w:val="0"/>
              <w:wordWrap/>
              <w:topLinePunct w:val="0"/>
              <w:autoSpaceDE/>
              <w:autoSpaceDN/>
              <w:bidi w:val="0"/>
              <w:snapToGrid w:val="0"/>
              <w:spacing w:line="240" w:lineRule="auto"/>
              <w:ind w:firstLine="0" w:firstLineChars="0"/>
              <w:jc w:val="center"/>
            </w:pPr>
            <w:r>
              <w:t>达标</w:t>
            </w:r>
          </w:p>
        </w:tc>
      </w:tr>
    </w:tbl>
    <w:p w14:paraId="0862AE17">
      <w:pPr>
        <w:pStyle w:val="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宋体" w:hAnsi="宋体" w:cs="宋体"/>
          <w:sz w:val="24"/>
          <w:szCs w:val="24"/>
        </w:rPr>
      </w:pPr>
      <w:r>
        <w:rPr>
          <w:rFonts w:hint="eastAsia" w:ascii="宋体" w:hAnsi="宋体" w:cs="宋体"/>
          <w:sz w:val="24"/>
          <w:szCs w:val="24"/>
        </w:rPr>
        <w:t>由上表可知，本项目排水水质满足小店污水处理厂收水要求。</w:t>
      </w:r>
      <w:r>
        <w:rPr>
          <w:rFonts w:hint="eastAsia"/>
          <w:sz w:val="24"/>
          <w:szCs w:val="24"/>
        </w:rPr>
        <w:t>根据在线数据，总排口现状排水水质达标，本项目排水汇入后总排口排水水质满足小店污水处理厂排放标准要求。</w:t>
      </w:r>
    </w:p>
    <w:p w14:paraId="5F8F8B32">
      <w:pPr>
        <w:pStyle w:val="5"/>
        <w:bidi w:val="0"/>
        <w:rPr>
          <w:color w:val="auto"/>
        </w:rPr>
      </w:pPr>
      <w:r>
        <w:rPr>
          <w:rFonts w:hint="eastAsia"/>
          <w:color w:val="auto"/>
        </w:rPr>
        <w:t>依托污水处理设施稳定达标排放分析</w:t>
      </w:r>
    </w:p>
    <w:p w14:paraId="0397698C">
      <w:pPr>
        <w:pStyle w:val="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cs="宋体"/>
          <w:sz w:val="24"/>
          <w:szCs w:val="24"/>
        </w:rPr>
      </w:pPr>
      <w:r>
        <w:rPr>
          <w:rFonts w:hint="eastAsia" w:ascii="宋体" w:hAnsi="宋体" w:cs="宋体"/>
          <w:sz w:val="24"/>
          <w:szCs w:val="24"/>
        </w:rPr>
        <w:t>本项目废水经小店污水处理厂处理后，最终汇入大沙河。根据小店污水处理厂在线监测数据，</w:t>
      </w:r>
      <w:r>
        <w:rPr>
          <w:rFonts w:hint="default" w:ascii="Times New Roman" w:hAnsi="Times New Roman" w:cs="Times New Roman"/>
          <w:sz w:val="24"/>
          <w:szCs w:val="24"/>
        </w:rPr>
        <w:t>2023</w:t>
      </w:r>
      <w:r>
        <w:rPr>
          <w:rFonts w:hint="eastAsia" w:ascii="宋体" w:hAnsi="宋体" w:cs="宋体"/>
          <w:sz w:val="24"/>
          <w:szCs w:val="24"/>
        </w:rPr>
        <w:t>年小店污水处理厂出水量及水质见下表。</w:t>
      </w:r>
    </w:p>
    <w:p w14:paraId="75DEF061">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表</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6.2</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noBreakHyphen/>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2</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小店污水处理厂出水一览表</w:t>
      </w:r>
    </w:p>
    <w:tbl>
      <w:tblPr>
        <w:tblStyle w:val="31"/>
        <w:tblW w:w="4998"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137"/>
        <w:gridCol w:w="1303"/>
        <w:gridCol w:w="1579"/>
        <w:gridCol w:w="1718"/>
        <w:gridCol w:w="1382"/>
        <w:gridCol w:w="1404"/>
      </w:tblGrid>
      <w:tr w14:paraId="4A266FF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7" w:type="pct"/>
            <w:noWrap w:val="0"/>
            <w:vAlign w:val="center"/>
          </w:tcPr>
          <w:p w14:paraId="79ADCE6B">
            <w:pPr>
              <w:pStyle w:val="182"/>
              <w:rPr>
                <w:b/>
                <w:bCs/>
                <w:color w:val="auto"/>
              </w:rPr>
            </w:pPr>
            <w:r>
              <w:rPr>
                <w:rFonts w:hint="eastAsia"/>
                <w:b/>
                <w:bCs/>
                <w:color w:val="auto"/>
              </w:rPr>
              <w:t>指标</w:t>
            </w:r>
          </w:p>
        </w:tc>
        <w:tc>
          <w:tcPr>
            <w:tcW w:w="764" w:type="pct"/>
            <w:noWrap w:val="0"/>
            <w:vAlign w:val="center"/>
          </w:tcPr>
          <w:p w14:paraId="5BAF0D08">
            <w:pPr>
              <w:pStyle w:val="182"/>
              <w:rPr>
                <w:b/>
                <w:bCs/>
                <w:color w:val="auto"/>
              </w:rPr>
            </w:pPr>
            <w:r>
              <w:rPr>
                <w:rFonts w:hint="eastAsia"/>
                <w:b/>
                <w:bCs/>
                <w:color w:val="auto"/>
              </w:rPr>
              <w:t>水量（t</w:t>
            </w:r>
            <w:r>
              <w:rPr>
                <w:b/>
                <w:bCs/>
                <w:color w:val="auto"/>
              </w:rPr>
              <w:t>/d</w:t>
            </w:r>
            <w:r>
              <w:rPr>
                <w:rFonts w:hint="eastAsia"/>
                <w:b/>
                <w:bCs/>
                <w:color w:val="auto"/>
              </w:rPr>
              <w:t>）</w:t>
            </w:r>
          </w:p>
        </w:tc>
        <w:tc>
          <w:tcPr>
            <w:tcW w:w="926" w:type="pct"/>
            <w:noWrap w:val="0"/>
            <w:vAlign w:val="center"/>
          </w:tcPr>
          <w:p w14:paraId="643A2768">
            <w:pPr>
              <w:pStyle w:val="182"/>
              <w:rPr>
                <w:b/>
                <w:bCs/>
                <w:color w:val="auto"/>
              </w:rPr>
            </w:pPr>
            <w:r>
              <w:rPr>
                <w:b/>
                <w:bCs/>
                <w:color w:val="auto"/>
              </w:rPr>
              <w:t>COD</w:t>
            </w:r>
            <w:r>
              <w:rPr>
                <w:rFonts w:hint="eastAsia"/>
                <w:b/>
                <w:bCs/>
                <w:color w:val="auto"/>
              </w:rPr>
              <w:t>（</w:t>
            </w:r>
            <w:r>
              <w:rPr>
                <w:b/>
                <w:bCs/>
                <w:color w:val="auto"/>
              </w:rPr>
              <w:t>mg/L</w:t>
            </w:r>
            <w:r>
              <w:rPr>
                <w:rFonts w:hint="eastAsia"/>
                <w:b/>
                <w:bCs/>
                <w:color w:val="auto"/>
              </w:rPr>
              <w:t>）</w:t>
            </w:r>
          </w:p>
        </w:tc>
        <w:tc>
          <w:tcPr>
            <w:tcW w:w="1007" w:type="pct"/>
            <w:noWrap w:val="0"/>
            <w:vAlign w:val="center"/>
          </w:tcPr>
          <w:p w14:paraId="36BFFEF7">
            <w:pPr>
              <w:pStyle w:val="182"/>
              <w:rPr>
                <w:b/>
                <w:bCs/>
                <w:color w:val="auto"/>
              </w:rPr>
            </w:pPr>
            <w:r>
              <w:rPr>
                <w:b/>
                <w:bCs/>
                <w:color w:val="auto"/>
              </w:rPr>
              <w:t>NH</w:t>
            </w:r>
            <w:r>
              <w:rPr>
                <w:b/>
                <w:bCs/>
                <w:color w:val="auto"/>
                <w:vertAlign w:val="subscript"/>
              </w:rPr>
              <w:t>3</w:t>
            </w:r>
            <w:r>
              <w:rPr>
                <w:b/>
                <w:bCs/>
                <w:color w:val="auto"/>
              </w:rPr>
              <w:t>-N</w:t>
            </w:r>
            <w:r>
              <w:rPr>
                <w:rFonts w:hint="eastAsia"/>
                <w:b/>
                <w:bCs/>
                <w:color w:val="auto"/>
              </w:rPr>
              <w:t>（</w:t>
            </w:r>
            <w:r>
              <w:rPr>
                <w:b/>
                <w:bCs/>
                <w:color w:val="auto"/>
              </w:rPr>
              <w:t>mg/L</w:t>
            </w:r>
            <w:r>
              <w:rPr>
                <w:rFonts w:hint="eastAsia"/>
                <w:b/>
                <w:bCs/>
                <w:color w:val="auto"/>
              </w:rPr>
              <w:t>）</w:t>
            </w:r>
          </w:p>
        </w:tc>
        <w:tc>
          <w:tcPr>
            <w:tcW w:w="810" w:type="pct"/>
            <w:noWrap w:val="0"/>
            <w:vAlign w:val="center"/>
          </w:tcPr>
          <w:p w14:paraId="4C14028D">
            <w:pPr>
              <w:pStyle w:val="182"/>
              <w:rPr>
                <w:b/>
                <w:bCs/>
                <w:color w:val="auto"/>
              </w:rPr>
            </w:pPr>
            <w:r>
              <w:rPr>
                <w:b/>
                <w:bCs/>
                <w:color w:val="auto"/>
              </w:rPr>
              <w:t>TP</w:t>
            </w:r>
            <w:r>
              <w:rPr>
                <w:rFonts w:hint="eastAsia"/>
                <w:b/>
                <w:bCs/>
                <w:color w:val="auto"/>
              </w:rPr>
              <w:t>（</w:t>
            </w:r>
            <w:r>
              <w:rPr>
                <w:b/>
                <w:bCs/>
                <w:color w:val="auto"/>
              </w:rPr>
              <w:t>mg/L</w:t>
            </w:r>
            <w:r>
              <w:rPr>
                <w:rFonts w:hint="eastAsia"/>
                <w:b/>
                <w:bCs/>
                <w:color w:val="auto"/>
              </w:rPr>
              <w:t>）</w:t>
            </w:r>
          </w:p>
        </w:tc>
        <w:tc>
          <w:tcPr>
            <w:tcW w:w="823" w:type="pct"/>
            <w:noWrap w:val="0"/>
            <w:vAlign w:val="center"/>
          </w:tcPr>
          <w:p w14:paraId="0B81B936">
            <w:pPr>
              <w:pStyle w:val="182"/>
              <w:rPr>
                <w:b/>
                <w:bCs/>
                <w:color w:val="auto"/>
              </w:rPr>
            </w:pPr>
            <w:r>
              <w:rPr>
                <w:b/>
                <w:bCs/>
                <w:color w:val="auto"/>
              </w:rPr>
              <w:t>TN</w:t>
            </w:r>
            <w:r>
              <w:rPr>
                <w:rFonts w:hint="eastAsia"/>
                <w:b/>
                <w:bCs/>
                <w:color w:val="auto"/>
              </w:rPr>
              <w:t>（</w:t>
            </w:r>
            <w:r>
              <w:rPr>
                <w:b/>
                <w:bCs/>
                <w:color w:val="auto"/>
              </w:rPr>
              <w:t>mg/L</w:t>
            </w:r>
            <w:r>
              <w:rPr>
                <w:rFonts w:hint="eastAsia"/>
                <w:b/>
                <w:bCs/>
                <w:color w:val="auto"/>
              </w:rPr>
              <w:t>）</w:t>
            </w:r>
          </w:p>
        </w:tc>
      </w:tr>
      <w:tr w14:paraId="0A06B2F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7" w:type="pct"/>
            <w:noWrap w:val="0"/>
            <w:vAlign w:val="center"/>
          </w:tcPr>
          <w:p w14:paraId="7B5879B1">
            <w:pPr>
              <w:pStyle w:val="182"/>
              <w:rPr>
                <w:color w:val="auto"/>
              </w:rPr>
            </w:pPr>
            <w:r>
              <w:rPr>
                <w:rFonts w:hint="eastAsia"/>
                <w:color w:val="auto"/>
              </w:rPr>
              <w:t>排放值</w:t>
            </w:r>
          </w:p>
        </w:tc>
        <w:tc>
          <w:tcPr>
            <w:tcW w:w="764" w:type="pct"/>
            <w:noWrap w:val="0"/>
            <w:vAlign w:val="center"/>
          </w:tcPr>
          <w:p w14:paraId="5BE82E81">
            <w:pPr>
              <w:pStyle w:val="182"/>
              <w:rPr>
                <w:rFonts w:hint="default" w:eastAsia="宋体"/>
                <w:color w:val="auto"/>
                <w:lang w:val="en-US" w:eastAsia="zh-CN"/>
              </w:rPr>
            </w:pPr>
            <w:r>
              <w:rPr>
                <w:rFonts w:hint="eastAsia"/>
                <w:color w:val="auto"/>
              </w:rPr>
              <w:t>5</w:t>
            </w:r>
            <w:r>
              <w:rPr>
                <w:rFonts w:hint="eastAsia"/>
                <w:color w:val="auto"/>
                <w:lang w:val="en-US" w:eastAsia="zh-CN"/>
              </w:rPr>
              <w:t>7699.1</w:t>
            </w:r>
          </w:p>
        </w:tc>
        <w:tc>
          <w:tcPr>
            <w:tcW w:w="1579" w:type="dxa"/>
            <w:noWrap w:val="0"/>
            <w:vAlign w:val="center"/>
          </w:tcPr>
          <w:p w14:paraId="559ECB32">
            <w:pPr>
              <w:pStyle w:val="18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28.84</w:t>
            </w:r>
          </w:p>
        </w:tc>
        <w:tc>
          <w:tcPr>
            <w:tcW w:w="1717" w:type="dxa"/>
            <w:noWrap w:val="0"/>
            <w:vAlign w:val="center"/>
          </w:tcPr>
          <w:p w14:paraId="62969D80">
            <w:pPr>
              <w:pStyle w:val="18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0.385</w:t>
            </w:r>
          </w:p>
        </w:tc>
        <w:tc>
          <w:tcPr>
            <w:tcW w:w="1381" w:type="dxa"/>
            <w:noWrap w:val="0"/>
            <w:vAlign w:val="center"/>
          </w:tcPr>
          <w:p w14:paraId="240FF1BA">
            <w:pPr>
              <w:pStyle w:val="18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0.264</w:t>
            </w:r>
          </w:p>
        </w:tc>
        <w:tc>
          <w:tcPr>
            <w:tcW w:w="1403" w:type="dxa"/>
            <w:noWrap w:val="0"/>
            <w:vAlign w:val="center"/>
          </w:tcPr>
          <w:p w14:paraId="6D4CD341">
            <w:pPr>
              <w:pStyle w:val="182"/>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6.112</w:t>
            </w:r>
          </w:p>
        </w:tc>
      </w:tr>
      <w:tr w14:paraId="038206F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7" w:type="pct"/>
            <w:noWrap w:val="0"/>
            <w:vAlign w:val="center"/>
          </w:tcPr>
          <w:p w14:paraId="71A554DB">
            <w:pPr>
              <w:pStyle w:val="182"/>
              <w:rPr>
                <w:color w:val="auto"/>
              </w:rPr>
            </w:pPr>
            <w:r>
              <w:rPr>
                <w:rFonts w:hint="eastAsia"/>
                <w:color w:val="auto"/>
              </w:rPr>
              <w:t>标准值</w:t>
            </w:r>
          </w:p>
        </w:tc>
        <w:tc>
          <w:tcPr>
            <w:tcW w:w="764" w:type="pct"/>
            <w:noWrap w:val="0"/>
            <w:vAlign w:val="center"/>
          </w:tcPr>
          <w:p w14:paraId="59B5F6E6">
            <w:pPr>
              <w:pStyle w:val="182"/>
              <w:rPr>
                <w:color w:val="auto"/>
              </w:rPr>
            </w:pPr>
            <w:r>
              <w:rPr>
                <w:rFonts w:hint="eastAsia"/>
                <w:color w:val="auto"/>
              </w:rPr>
              <w:t>/</w:t>
            </w:r>
          </w:p>
        </w:tc>
        <w:tc>
          <w:tcPr>
            <w:tcW w:w="926" w:type="pct"/>
            <w:noWrap w:val="0"/>
            <w:vAlign w:val="center"/>
          </w:tcPr>
          <w:p w14:paraId="398A32F0">
            <w:pPr>
              <w:pStyle w:val="182"/>
              <w:rPr>
                <w:color w:val="auto"/>
              </w:rPr>
            </w:pPr>
            <w:r>
              <w:rPr>
                <w:rFonts w:hint="eastAsia"/>
                <w:color w:val="auto"/>
              </w:rPr>
              <w:t>4</w:t>
            </w:r>
            <w:r>
              <w:rPr>
                <w:color w:val="auto"/>
              </w:rPr>
              <w:t>0</w:t>
            </w:r>
          </w:p>
        </w:tc>
        <w:tc>
          <w:tcPr>
            <w:tcW w:w="1007" w:type="pct"/>
            <w:noWrap w:val="0"/>
            <w:vAlign w:val="center"/>
          </w:tcPr>
          <w:p w14:paraId="79C611D7">
            <w:pPr>
              <w:pStyle w:val="182"/>
              <w:rPr>
                <w:color w:val="auto"/>
              </w:rPr>
            </w:pPr>
            <w:r>
              <w:rPr>
                <w:rFonts w:hint="eastAsia"/>
                <w:color w:val="auto"/>
              </w:rPr>
              <w:t>2</w:t>
            </w:r>
          </w:p>
        </w:tc>
        <w:tc>
          <w:tcPr>
            <w:tcW w:w="810" w:type="pct"/>
            <w:noWrap w:val="0"/>
            <w:vAlign w:val="center"/>
          </w:tcPr>
          <w:p w14:paraId="3EFE3545">
            <w:pPr>
              <w:pStyle w:val="182"/>
              <w:rPr>
                <w:color w:val="auto"/>
              </w:rPr>
            </w:pPr>
            <w:r>
              <w:rPr>
                <w:rFonts w:hint="eastAsia"/>
                <w:color w:val="auto"/>
              </w:rPr>
              <w:t>0</w:t>
            </w:r>
            <w:r>
              <w:rPr>
                <w:color w:val="auto"/>
              </w:rPr>
              <w:t>.4</w:t>
            </w:r>
          </w:p>
        </w:tc>
        <w:tc>
          <w:tcPr>
            <w:tcW w:w="823" w:type="pct"/>
            <w:noWrap w:val="0"/>
            <w:vAlign w:val="center"/>
          </w:tcPr>
          <w:p w14:paraId="75BADDFB">
            <w:pPr>
              <w:pStyle w:val="182"/>
              <w:rPr>
                <w:color w:val="auto"/>
              </w:rPr>
            </w:pPr>
            <w:r>
              <w:rPr>
                <w:rFonts w:hint="eastAsia"/>
                <w:color w:val="auto"/>
              </w:rPr>
              <w:t>12</w:t>
            </w:r>
          </w:p>
        </w:tc>
      </w:tr>
      <w:tr w14:paraId="78C4578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31" w:type="pct"/>
            <w:gridSpan w:val="2"/>
            <w:noWrap w:val="0"/>
            <w:vAlign w:val="center"/>
          </w:tcPr>
          <w:p w14:paraId="6B660F9D">
            <w:pPr>
              <w:pStyle w:val="182"/>
              <w:rPr>
                <w:color w:val="auto"/>
              </w:rPr>
            </w:pPr>
            <w:r>
              <w:rPr>
                <w:color w:val="auto"/>
              </w:rPr>
              <w:t>对标结果</w:t>
            </w:r>
          </w:p>
        </w:tc>
        <w:tc>
          <w:tcPr>
            <w:tcW w:w="926" w:type="pct"/>
            <w:noWrap w:val="0"/>
            <w:vAlign w:val="center"/>
          </w:tcPr>
          <w:p w14:paraId="5B7E6C5B">
            <w:pPr>
              <w:pStyle w:val="182"/>
              <w:rPr>
                <w:color w:val="auto"/>
              </w:rPr>
            </w:pPr>
            <w:r>
              <w:rPr>
                <w:color w:val="auto"/>
              </w:rPr>
              <w:t>达标</w:t>
            </w:r>
          </w:p>
        </w:tc>
        <w:tc>
          <w:tcPr>
            <w:tcW w:w="1007" w:type="pct"/>
            <w:noWrap w:val="0"/>
            <w:vAlign w:val="center"/>
          </w:tcPr>
          <w:p w14:paraId="2C6D895E">
            <w:pPr>
              <w:pStyle w:val="182"/>
              <w:rPr>
                <w:color w:val="auto"/>
              </w:rPr>
            </w:pPr>
            <w:r>
              <w:rPr>
                <w:color w:val="auto"/>
              </w:rPr>
              <w:t>达标</w:t>
            </w:r>
          </w:p>
        </w:tc>
        <w:tc>
          <w:tcPr>
            <w:tcW w:w="810" w:type="pct"/>
            <w:noWrap w:val="0"/>
            <w:vAlign w:val="center"/>
          </w:tcPr>
          <w:p w14:paraId="59091767">
            <w:pPr>
              <w:pStyle w:val="182"/>
              <w:rPr>
                <w:color w:val="auto"/>
              </w:rPr>
            </w:pPr>
            <w:r>
              <w:rPr>
                <w:color w:val="auto"/>
              </w:rPr>
              <w:t>达标</w:t>
            </w:r>
          </w:p>
        </w:tc>
        <w:tc>
          <w:tcPr>
            <w:tcW w:w="823" w:type="pct"/>
            <w:noWrap w:val="0"/>
            <w:vAlign w:val="center"/>
          </w:tcPr>
          <w:p w14:paraId="5B7F4E5F">
            <w:pPr>
              <w:pStyle w:val="182"/>
              <w:rPr>
                <w:color w:val="auto"/>
              </w:rPr>
            </w:pPr>
            <w:r>
              <w:rPr>
                <w:color w:val="auto"/>
              </w:rPr>
              <w:t>达标</w:t>
            </w:r>
          </w:p>
        </w:tc>
      </w:tr>
    </w:tbl>
    <w:p w14:paraId="502A2B58">
      <w:pPr>
        <w:pStyle w:val="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根据上表数据，小店污水处理厂出水水质均能够满足《地表水环  境质量标准》（GB3838-2002）V类标准和《城镇污水处理厂污染物排放标准》（GB18918-2002）一级A的要求（COD 40mg/L 、NH3-N 2mg/L、TP 0.4mg/L、TN 15mg/L）。因此依托污水处理设施可以实现稳定达标排放。</w:t>
      </w:r>
    </w:p>
    <w:p w14:paraId="68CFF55F">
      <w:pPr>
        <w:pStyle w:val="3"/>
        <w:bidi w:val="0"/>
        <w:rPr>
          <w:color w:val="auto"/>
        </w:rPr>
      </w:pPr>
      <w:bookmarkStart w:id="258" w:name="_Toc17610"/>
      <w:bookmarkStart w:id="259" w:name="_Toc11046"/>
      <w:bookmarkStart w:id="260" w:name="_Toc51319871"/>
      <w:bookmarkStart w:id="261" w:name="_Toc14743"/>
      <w:bookmarkStart w:id="262" w:name="_Toc67041059"/>
      <w:r>
        <w:rPr>
          <w:rFonts w:hint="eastAsia"/>
          <w:color w:val="auto"/>
        </w:rPr>
        <w:t>地下水环境影响评价</w:t>
      </w:r>
      <w:bookmarkEnd w:id="258"/>
      <w:bookmarkEnd w:id="259"/>
      <w:bookmarkEnd w:id="260"/>
      <w:bookmarkEnd w:id="261"/>
    </w:p>
    <w:p w14:paraId="3B15830B">
      <w:pPr>
        <w:pStyle w:val="5"/>
        <w:bidi w:val="0"/>
        <w:rPr>
          <w:color w:val="auto"/>
        </w:rPr>
      </w:pPr>
      <w:r>
        <w:rPr>
          <w:rFonts w:hint="eastAsia"/>
          <w:color w:val="auto"/>
        </w:rPr>
        <w:t>地下水水文地质情况</w:t>
      </w:r>
    </w:p>
    <w:p w14:paraId="313AD8AE">
      <w:pPr>
        <w:pStyle w:val="6"/>
        <w:bidi w:val="0"/>
        <w:rPr>
          <w:color w:val="auto"/>
        </w:rPr>
      </w:pPr>
      <w:r>
        <w:rPr>
          <w:color w:val="auto"/>
        </w:rPr>
        <w:t>评价区水文地质情况</w:t>
      </w:r>
    </w:p>
    <w:p w14:paraId="2E4F317A">
      <w:pPr>
        <w:bidi w:val="0"/>
        <w:rPr>
          <w:b w:val="0"/>
          <w:bCs w:val="0"/>
          <w:color w:val="auto"/>
          <w:u w:val="none"/>
        </w:rPr>
      </w:pPr>
      <w:r>
        <w:rPr>
          <w:b w:val="0"/>
          <w:bCs w:val="0"/>
          <w:color w:val="auto"/>
          <w:u w:val="none"/>
        </w:rPr>
        <w:t>根据区域水文地质情况及勘查资料，园区被第四系松散沉积物所覆盖，因此，第四系松散岩类孔隙含水层是主要开采层，同时也是与项目关系最为密切的含水层。富水岩性以粉细砂、中砂为主，主要接受大气降水的垂直入渗补给及卫河水的侧向径流补给，排泄方式为人工开采和径流排泄。地下水动态变化主要受季节性控制和开采影响，水文年变幅2</w:t>
      </w:r>
      <w:r>
        <w:rPr>
          <w:rFonts w:hint="eastAsia"/>
          <w:b w:val="0"/>
          <w:bCs w:val="0"/>
          <w:color w:val="auto"/>
          <w:u w:val="none"/>
          <w:lang w:eastAsia="zh-CN"/>
        </w:rPr>
        <w:t>—</w:t>
      </w:r>
      <w:r>
        <w:rPr>
          <w:b w:val="0"/>
          <w:bCs w:val="0"/>
          <w:color w:val="auto"/>
          <w:u w:val="none"/>
        </w:rPr>
        <w:t>3m。</w:t>
      </w:r>
    </w:p>
    <w:p w14:paraId="771710D8">
      <w:pPr>
        <w:bidi w:val="0"/>
        <w:rPr>
          <w:b w:val="0"/>
          <w:bCs w:val="0"/>
          <w:color w:val="auto"/>
          <w:u w:val="none"/>
        </w:rPr>
      </w:pPr>
      <w:r>
        <w:rPr>
          <w:b w:val="0"/>
          <w:bCs w:val="0"/>
          <w:color w:val="auto"/>
          <w:u w:val="none"/>
        </w:rPr>
        <w:t>境内地下水总量为富水区，水量富足，地下水埋深一般在1</w:t>
      </w:r>
      <w:r>
        <w:rPr>
          <w:rFonts w:hint="eastAsia"/>
          <w:b w:val="0"/>
          <w:bCs w:val="0"/>
          <w:color w:val="auto"/>
          <w:u w:val="none"/>
          <w:lang w:eastAsia="zh-CN"/>
        </w:rPr>
        <w:t>—</w:t>
      </w:r>
      <w:r>
        <w:rPr>
          <w:b w:val="0"/>
          <w:bCs w:val="0"/>
          <w:color w:val="auto"/>
          <w:u w:val="none"/>
        </w:rPr>
        <w:t>4米，属浅表层地下水，单位涌水量11.3立方米/小时，水质较好，pH值在7.7-8.3之间，属碱性水，矿化度0.9</w:t>
      </w:r>
      <w:r>
        <w:rPr>
          <w:rFonts w:hint="eastAsia"/>
          <w:b w:val="0"/>
          <w:bCs w:val="0"/>
          <w:color w:val="auto"/>
          <w:u w:val="none"/>
          <w:lang w:eastAsia="zh-CN"/>
        </w:rPr>
        <w:t>—</w:t>
      </w:r>
      <w:r>
        <w:rPr>
          <w:b w:val="0"/>
          <w:bCs w:val="0"/>
          <w:color w:val="auto"/>
          <w:u w:val="none"/>
        </w:rPr>
        <w:t>1.5克/升之间，属极弱化矿化水，适宜于农田灌溉和人畜饮用。含水层多层，其中有一层分布稳定、厚度大的粉质粘土层，将地下水分为两个含水层组：第一含水组为潜水及微承压水，由上更新统上段及全新统冲积砂层组成，含水介质为松散的粗、中砂和细砂，总厚度40</w:t>
      </w:r>
      <w:r>
        <w:rPr>
          <w:rFonts w:hint="eastAsia"/>
          <w:b w:val="0"/>
          <w:bCs w:val="0"/>
          <w:color w:val="auto"/>
          <w:u w:val="none"/>
          <w:lang w:eastAsia="zh-CN"/>
        </w:rPr>
        <w:t>—</w:t>
      </w:r>
      <w:r>
        <w:rPr>
          <w:b w:val="0"/>
          <w:bCs w:val="0"/>
          <w:color w:val="auto"/>
          <w:u w:val="none"/>
        </w:rPr>
        <w:t>60米，局部大于70米，降深10米时，单井涌水量大于2800立方米/日；第二含水组为承压水，由上更新统下段砂层组成，含水介质为细砂、粉砂，总厚度20</w:t>
      </w:r>
      <w:r>
        <w:rPr>
          <w:rFonts w:hint="eastAsia"/>
          <w:b w:val="0"/>
          <w:bCs w:val="0"/>
          <w:color w:val="auto"/>
          <w:u w:val="none"/>
          <w:lang w:eastAsia="zh-CN"/>
        </w:rPr>
        <w:t>—</w:t>
      </w:r>
      <w:r>
        <w:rPr>
          <w:b w:val="0"/>
          <w:bCs w:val="0"/>
          <w:color w:val="auto"/>
          <w:u w:val="none"/>
        </w:rPr>
        <w:t>52米，单井涌水量1400-2400立方米/日。</w:t>
      </w:r>
    </w:p>
    <w:p w14:paraId="30615CF7">
      <w:pPr>
        <w:pStyle w:val="6"/>
        <w:bidi w:val="0"/>
        <w:rPr>
          <w:color w:val="auto"/>
        </w:rPr>
      </w:pPr>
      <w:r>
        <w:rPr>
          <w:color w:val="auto"/>
        </w:rPr>
        <w:t>地下水类型及富水性特征</w:t>
      </w:r>
    </w:p>
    <w:p w14:paraId="3B41107F">
      <w:pPr>
        <w:bidi w:val="0"/>
        <w:rPr>
          <w:color w:val="auto"/>
        </w:rPr>
      </w:pPr>
      <w:r>
        <w:rPr>
          <w:color w:val="auto"/>
        </w:rPr>
        <w:t>（1）浅层孔隙水含水层及其富水性特征</w:t>
      </w:r>
    </w:p>
    <w:p w14:paraId="58C9CA5D">
      <w:pPr>
        <w:bidi w:val="0"/>
        <w:rPr>
          <w:color w:val="auto"/>
        </w:rPr>
      </w:pPr>
      <w:r>
        <w:rPr>
          <w:color w:val="auto"/>
        </w:rPr>
        <w:t>浅层地下水为潜水及微承压水，由上更新统上段及全新统冲积砂层组成，含水介质为松散的粗、中砂和细砂，一般可见2～4层，单层厚度8～25m，总厚度40～60m，局部大于70m。单位涌水量l0～20m</w:t>
      </w:r>
      <w:r>
        <w:rPr>
          <w:color w:val="auto"/>
          <w:vertAlign w:val="superscript"/>
        </w:rPr>
        <w:t>3</w:t>
      </w:r>
      <w:r>
        <w:rPr>
          <w:color w:val="auto"/>
        </w:rPr>
        <w:t>/h·m。由古河床向两侧古漫滩，含水层颗粒由粗到细，含水层厚度由大到小，地下水由潜水过渡到微承压水，单位涌水量由大变小。</w:t>
      </w:r>
    </w:p>
    <w:p w14:paraId="4DC7A83E">
      <w:pPr>
        <w:bidi w:val="0"/>
        <w:rPr>
          <w:color w:val="auto"/>
        </w:rPr>
      </w:pPr>
      <w:r>
        <w:rPr>
          <w:color w:val="auto"/>
        </w:rPr>
        <w:t>在古河床区，浅层地下水底界埋深75</w:t>
      </w:r>
      <w:r>
        <w:rPr>
          <w:rFonts w:hint="eastAsia"/>
          <w:color w:val="auto"/>
          <w:lang w:eastAsia="zh-CN"/>
        </w:rPr>
        <w:t>—</w:t>
      </w:r>
      <w:r>
        <w:rPr>
          <w:color w:val="auto"/>
        </w:rPr>
        <w:t>85m，含水层为粗砂、中砂、细砂单层厚20m左右，最厚达40m，累计厚50</w:t>
      </w:r>
      <w:r>
        <w:rPr>
          <w:rFonts w:hint="eastAsia"/>
          <w:color w:val="auto"/>
          <w:lang w:eastAsia="zh-CN"/>
        </w:rPr>
        <w:t>—</w:t>
      </w:r>
      <w:r>
        <w:rPr>
          <w:color w:val="auto"/>
        </w:rPr>
        <w:t>70m，渗透系数1.4</w:t>
      </w:r>
      <w:r>
        <w:rPr>
          <w:rFonts w:hint="eastAsia"/>
          <w:color w:val="auto"/>
          <w:lang w:eastAsia="zh-CN"/>
        </w:rPr>
        <w:t>—</w:t>
      </w:r>
      <w:r>
        <w:rPr>
          <w:color w:val="auto"/>
        </w:rPr>
        <w:t>1.9m/d，导水系数400-1000m</w:t>
      </w:r>
      <w:r>
        <w:rPr>
          <w:color w:val="auto"/>
          <w:vertAlign w:val="superscript"/>
        </w:rPr>
        <w:t>2</w:t>
      </w:r>
      <w:r>
        <w:rPr>
          <w:color w:val="auto"/>
        </w:rPr>
        <w:t>/d，单位涌水量大于15m</w:t>
      </w:r>
      <w:r>
        <w:rPr>
          <w:color w:val="auto"/>
          <w:vertAlign w:val="superscript"/>
        </w:rPr>
        <w:t>3</w:t>
      </w:r>
      <w:r>
        <w:rPr>
          <w:color w:val="auto"/>
        </w:rPr>
        <w:t>/（h·m），降深10m时</w:t>
      </w:r>
      <w:r>
        <w:rPr>
          <w:rFonts w:hint="eastAsia"/>
          <w:color w:val="auto"/>
          <w:lang w:eastAsia="zh-CN"/>
        </w:rPr>
        <w:t>，</w:t>
      </w:r>
      <w:r>
        <w:rPr>
          <w:color w:val="auto"/>
        </w:rPr>
        <w:t>单井涌水量大于2800m</w:t>
      </w:r>
      <w:r>
        <w:rPr>
          <w:color w:val="auto"/>
          <w:vertAlign w:val="superscript"/>
        </w:rPr>
        <w:t>3</w:t>
      </w:r>
      <w:r>
        <w:rPr>
          <w:color w:val="auto"/>
        </w:rPr>
        <w:t>/d，姚庄、沙门一带达6000m</w:t>
      </w:r>
      <w:r>
        <w:rPr>
          <w:color w:val="auto"/>
          <w:vertAlign w:val="superscript"/>
        </w:rPr>
        <w:t>2</w:t>
      </w:r>
      <w:r>
        <w:rPr>
          <w:color w:val="auto"/>
        </w:rPr>
        <w:t>/d。</w:t>
      </w:r>
    </w:p>
    <w:p w14:paraId="0960C897">
      <w:pPr>
        <w:bidi w:val="0"/>
        <w:rPr>
          <w:color w:val="auto"/>
        </w:rPr>
      </w:pPr>
      <w:r>
        <w:rPr>
          <w:color w:val="auto"/>
        </w:rPr>
        <w:t>在古漫滩区，浅层地下水底界埋深57～70m，含水层岩性为细砂，单层厚度10～15m，累计厚度45～60m，渗透系数0.9～1.6m/d，导水系数300～700m</w:t>
      </w:r>
      <w:r>
        <w:rPr>
          <w:color w:val="auto"/>
          <w:vertAlign w:val="superscript"/>
        </w:rPr>
        <w:t>2</w:t>
      </w:r>
      <w:r>
        <w:rPr>
          <w:color w:val="auto"/>
        </w:rPr>
        <w:t>/d，单位涌水量10～20m</w:t>
      </w:r>
      <w:r>
        <w:rPr>
          <w:color w:val="auto"/>
          <w:vertAlign w:val="superscript"/>
        </w:rPr>
        <w:t>3</w:t>
      </w:r>
      <w:r>
        <w:rPr>
          <w:color w:val="auto"/>
        </w:rPr>
        <w:t>/h·m，单井涌水量2280～4800m</w:t>
      </w:r>
      <w:r>
        <w:rPr>
          <w:color w:val="auto"/>
          <w:vertAlign w:val="superscript"/>
        </w:rPr>
        <w:t>3</w:t>
      </w:r>
      <w:r>
        <w:rPr>
          <w:color w:val="auto"/>
        </w:rPr>
        <w:t>/d。</w:t>
      </w:r>
    </w:p>
    <w:p w14:paraId="5B95F84D">
      <w:pPr>
        <w:bidi w:val="0"/>
        <w:rPr>
          <w:color w:val="auto"/>
        </w:rPr>
      </w:pPr>
      <w:r>
        <w:rPr>
          <w:color w:val="auto"/>
        </w:rPr>
        <w:t>浅层地下水底板为厚7.5</w:t>
      </w:r>
      <w:r>
        <w:rPr>
          <w:rFonts w:hint="eastAsia"/>
          <w:color w:val="auto"/>
          <w:lang w:eastAsia="zh-CN"/>
        </w:rPr>
        <w:t>—</w:t>
      </w:r>
      <w:r>
        <w:rPr>
          <w:color w:val="auto"/>
        </w:rPr>
        <w:t>16.0m的粉质粘土，分布连续稳定。</w:t>
      </w:r>
    </w:p>
    <w:p w14:paraId="02C87F4F">
      <w:pPr>
        <w:bidi w:val="0"/>
        <w:rPr>
          <w:color w:val="auto"/>
        </w:rPr>
      </w:pPr>
      <w:r>
        <w:rPr>
          <w:color w:val="auto"/>
        </w:rPr>
        <w:t>现状条件下，第II含水组通过弱透水层越流补给I含水组，但由于弱透水层厚度大，分布连续稳定，且渗透系数小，越流量小，可忽略不计。</w:t>
      </w:r>
    </w:p>
    <w:p w14:paraId="688C5CF3">
      <w:pPr>
        <w:bidi w:val="0"/>
        <w:rPr>
          <w:color w:val="auto"/>
        </w:rPr>
      </w:pPr>
      <w:r>
        <w:rPr>
          <w:color w:val="auto"/>
        </w:rPr>
        <w:t>浅层地下水水质较差，但水量大，易于开采，为调查区内供水开采目的层。</w:t>
      </w:r>
    </w:p>
    <w:p w14:paraId="37E7AB1D">
      <w:pPr>
        <w:bidi w:val="0"/>
        <w:rPr>
          <w:color w:val="auto"/>
        </w:rPr>
      </w:pPr>
      <w:r>
        <w:rPr>
          <w:rFonts w:hint="eastAsia"/>
          <w:color w:val="auto"/>
        </w:rPr>
        <w:t>（2）中层孔隙水含水层及其富水性特征</w:t>
      </w:r>
    </w:p>
    <w:p w14:paraId="4D583499">
      <w:pPr>
        <w:bidi w:val="0"/>
        <w:rPr>
          <w:color w:val="auto"/>
        </w:rPr>
      </w:pPr>
      <w:r>
        <w:rPr>
          <w:color w:val="auto"/>
        </w:rPr>
        <w:t>中深层地下水为承压水，由上更新统下段砂层组成，含水介质为细砂、粉砂，一般可见7-9层，单层厚度5</w:t>
      </w:r>
      <w:r>
        <w:rPr>
          <w:rFonts w:hint="eastAsia"/>
          <w:color w:val="auto"/>
          <w:lang w:eastAsia="zh-CN"/>
        </w:rPr>
        <w:t>—</w:t>
      </w:r>
      <w:r>
        <w:rPr>
          <w:color w:val="auto"/>
        </w:rPr>
        <w:t>10m，最厚达31m，累计厚度20.7</w:t>
      </w:r>
      <w:r>
        <w:rPr>
          <w:rFonts w:hint="eastAsia"/>
          <w:color w:val="auto"/>
          <w:lang w:eastAsia="zh-CN"/>
        </w:rPr>
        <w:t>—</w:t>
      </w:r>
      <w:r>
        <w:rPr>
          <w:color w:val="auto"/>
        </w:rPr>
        <w:t>52.5m，单位涌水量4-6 m</w:t>
      </w:r>
      <w:r>
        <w:rPr>
          <w:color w:val="auto"/>
          <w:vertAlign w:val="superscript"/>
        </w:rPr>
        <w:t>3</w:t>
      </w:r>
      <w:r>
        <w:rPr>
          <w:color w:val="auto"/>
        </w:rPr>
        <w:t>/h·m，单井涌水量1400-2400 m</w:t>
      </w:r>
      <w:r>
        <w:rPr>
          <w:color w:val="auto"/>
          <w:vertAlign w:val="superscript"/>
        </w:rPr>
        <w:t>3</w:t>
      </w:r>
      <w:r>
        <w:rPr>
          <w:color w:val="auto"/>
        </w:rPr>
        <w:t>/d，渗透系数6</w:t>
      </w:r>
      <w:r>
        <w:rPr>
          <w:rFonts w:hint="eastAsia"/>
          <w:color w:val="auto"/>
          <w:lang w:eastAsia="zh-CN"/>
        </w:rPr>
        <w:t>—</w:t>
      </w:r>
      <w:r>
        <w:rPr>
          <w:color w:val="auto"/>
        </w:rPr>
        <w:t>10m/d，导水系数200～260m/d。中深层地下水底界埋深140</w:t>
      </w:r>
      <w:r>
        <w:rPr>
          <w:rFonts w:hint="eastAsia"/>
          <w:color w:val="auto"/>
          <w:lang w:eastAsia="zh-CN"/>
        </w:rPr>
        <w:t>—</w:t>
      </w:r>
      <w:r>
        <w:rPr>
          <w:color w:val="auto"/>
        </w:rPr>
        <w:t>155m，底板为厚8.0m左右分布稳定的粉质粘土层。</w:t>
      </w:r>
    </w:p>
    <w:p w14:paraId="3B9BB39C">
      <w:pPr>
        <w:bidi w:val="0"/>
        <w:rPr>
          <w:rFonts w:ascii="Times New Roman" w:hAnsi="Times New Roman" w:cs="Times New Roman"/>
          <w:bCs/>
          <w:color w:val="auto"/>
        </w:rPr>
      </w:pPr>
      <w:r>
        <w:rPr>
          <w:rFonts w:hint="eastAsia"/>
          <w:color w:val="auto"/>
        </w:rPr>
        <w:t>中深层地下水矿化度高，不适宜作为饮用水和工业用水，未开采。</w:t>
      </w:r>
    </w:p>
    <w:p w14:paraId="4D607685">
      <w:pPr>
        <w:pStyle w:val="6"/>
        <w:bidi w:val="0"/>
        <w:rPr>
          <w:color w:val="auto"/>
        </w:rPr>
      </w:pPr>
      <w:r>
        <w:rPr>
          <w:rFonts w:hint="eastAsia"/>
          <w:color w:val="auto"/>
        </w:rPr>
        <w:t>地下水动态特征</w:t>
      </w:r>
    </w:p>
    <w:p w14:paraId="282DDB46">
      <w:pPr>
        <w:bidi w:val="0"/>
        <w:rPr>
          <w:color w:val="auto"/>
        </w:rPr>
      </w:pPr>
      <w:r>
        <w:rPr>
          <w:rFonts w:hint="eastAsia"/>
          <w:color w:val="auto"/>
        </w:rPr>
        <w:t>根据对经开区地下水长期观测点进行连续三年水文年的水文数据的收集，评价区域浅层地下水动态类型属“气象</w:t>
      </w:r>
      <w:r>
        <w:rPr>
          <w:rFonts w:hint="eastAsia"/>
          <w:color w:val="auto"/>
          <w:lang w:eastAsia="zh-CN"/>
        </w:rPr>
        <w:t>－</w:t>
      </w:r>
      <w:r>
        <w:rPr>
          <w:rFonts w:hint="eastAsia"/>
          <w:color w:val="auto"/>
        </w:rPr>
        <w:t>开采型”，地下水动态主要受降水、开采控制。年内3-5月为枯水期同时又处于农作物春灌期，开采量增大，地下水位降低；7-9月为丰水期，降水量增大，水位上升。年水位变幅1.2～2.5m。</w:t>
      </w:r>
    </w:p>
    <w:p w14:paraId="5E66B6C6">
      <w:pPr>
        <w:pStyle w:val="6"/>
        <w:bidi w:val="0"/>
        <w:rPr>
          <w:color w:val="auto"/>
        </w:rPr>
      </w:pPr>
      <w:r>
        <w:rPr>
          <w:color w:val="auto"/>
        </w:rPr>
        <w:t>项目场地水文地质</w:t>
      </w:r>
    </w:p>
    <w:p w14:paraId="331F9FBC">
      <w:pPr>
        <w:bidi w:val="0"/>
        <w:rPr>
          <w:b w:val="0"/>
          <w:bCs w:val="0"/>
          <w:color w:val="auto"/>
          <w:u w:val="none"/>
        </w:rPr>
      </w:pPr>
      <w:r>
        <w:rPr>
          <w:rFonts w:hint="eastAsia"/>
          <w:b w:val="0"/>
          <w:bCs w:val="0"/>
          <w:color w:val="auto"/>
          <w:u w:val="none"/>
          <w:lang w:val="en-US" w:eastAsia="zh-CN"/>
        </w:rPr>
        <w:t>本项目尚未做岩土工程勘探，</w:t>
      </w:r>
      <w:r>
        <w:rPr>
          <w:rFonts w:hint="eastAsia"/>
          <w:b w:val="0"/>
          <w:bCs w:val="0"/>
          <w:color w:val="auto"/>
          <w:u w:val="none"/>
        </w:rPr>
        <w:t>根据</w:t>
      </w:r>
      <w:r>
        <w:rPr>
          <w:rFonts w:hint="eastAsia"/>
          <w:b w:val="0"/>
          <w:bCs w:val="0"/>
          <w:color w:val="auto"/>
          <w:u w:val="none"/>
          <w:lang w:val="en-US" w:eastAsia="zh-CN"/>
        </w:rPr>
        <w:t>距离本项目约700m的</w:t>
      </w:r>
      <w:r>
        <w:rPr>
          <w:rFonts w:hint="eastAsia"/>
          <w:b w:val="0"/>
          <w:bCs w:val="0"/>
          <w:color w:val="auto"/>
          <w:u w:val="none"/>
        </w:rPr>
        <w:t>《新乡化纤股份有限公司年产十万吨高品质超细旦氨纶纤维项目岩土工程勘察报告》，</w:t>
      </w:r>
      <w:r>
        <w:rPr>
          <w:rFonts w:hint="eastAsia"/>
          <w:b w:val="0"/>
          <w:bCs w:val="0"/>
          <w:color w:val="auto"/>
          <w:u w:val="none"/>
          <w:lang w:val="en-US" w:eastAsia="zh-CN"/>
        </w:rPr>
        <w:t>本</w:t>
      </w:r>
      <w:r>
        <w:rPr>
          <w:rFonts w:hint="eastAsia"/>
          <w:b w:val="0"/>
          <w:bCs w:val="0"/>
          <w:color w:val="auto"/>
          <w:u w:val="none"/>
        </w:rPr>
        <w:t>项目所在地场地形式较为平坦，地面最大相对高差0.83m。场地在揭露深度范围内均为第四系全新统，按地层的成因类型、岩性特征将地基土划分为9个工程地质单元层（含2个亚层）。各单元层的工程地质特征分述如下：</w:t>
      </w:r>
    </w:p>
    <w:p w14:paraId="7D513782">
      <w:pPr>
        <w:bidi w:val="0"/>
        <w:rPr>
          <w:b w:val="0"/>
          <w:bCs w:val="0"/>
          <w:color w:val="auto"/>
          <w:u w:val="none"/>
        </w:rPr>
      </w:pPr>
      <w:r>
        <w:rPr>
          <w:rFonts w:hint="eastAsia"/>
          <w:b w:val="0"/>
          <w:bCs w:val="0"/>
          <w:color w:val="auto"/>
          <w:u w:val="none"/>
        </w:rPr>
        <w:t>第①单元层：粉土（Q4al）</w:t>
      </w:r>
    </w:p>
    <w:p w14:paraId="730FCBEF">
      <w:pPr>
        <w:bidi w:val="0"/>
        <w:rPr>
          <w:b w:val="0"/>
          <w:bCs w:val="0"/>
          <w:color w:val="auto"/>
          <w:u w:val="none"/>
        </w:rPr>
      </w:pPr>
      <w:r>
        <w:rPr>
          <w:rFonts w:hint="eastAsia"/>
          <w:b w:val="0"/>
          <w:bCs w:val="0"/>
          <w:color w:val="auto"/>
          <w:u w:val="none"/>
        </w:rPr>
        <w:t>灰黄色、稍湿，稍密～中密，无光泽反应，摇震反应中等，</w:t>
      </w:r>
      <w:r>
        <w:rPr>
          <w:rFonts w:hint="eastAsia"/>
          <w:b w:val="0"/>
          <w:bCs w:val="0"/>
          <w:color w:val="auto"/>
          <w:u w:val="none"/>
          <w:lang w:eastAsia="zh-CN"/>
        </w:rPr>
        <w:t>低于</w:t>
      </w:r>
      <w:r>
        <w:rPr>
          <w:rFonts w:hint="eastAsia"/>
          <w:b w:val="0"/>
          <w:bCs w:val="0"/>
          <w:color w:val="auto"/>
          <w:u w:val="none"/>
        </w:rPr>
        <w:t>强度，低韧性。</w:t>
      </w:r>
    </w:p>
    <w:p w14:paraId="12021B12">
      <w:pPr>
        <w:bidi w:val="0"/>
        <w:rPr>
          <w:b w:val="0"/>
          <w:bCs w:val="0"/>
          <w:color w:val="auto"/>
          <w:u w:val="none"/>
        </w:rPr>
      </w:pPr>
      <w:r>
        <w:rPr>
          <w:rFonts w:hint="eastAsia"/>
          <w:b w:val="0"/>
          <w:bCs w:val="0"/>
          <w:color w:val="auto"/>
          <w:u w:val="none"/>
        </w:rPr>
        <w:t>该层场区普遍分布，层底埋深0.60</w:t>
      </w:r>
      <w:r>
        <w:rPr>
          <w:rFonts w:hint="eastAsia"/>
          <w:b w:val="0"/>
          <w:bCs w:val="0"/>
          <w:color w:val="auto"/>
          <w:u w:val="none"/>
          <w:lang w:eastAsia="zh-CN"/>
        </w:rPr>
        <w:t>～</w:t>
      </w:r>
      <w:r>
        <w:rPr>
          <w:rFonts w:hint="eastAsia"/>
          <w:b w:val="0"/>
          <w:bCs w:val="0"/>
          <w:color w:val="auto"/>
          <w:u w:val="none"/>
        </w:rPr>
        <w:t>3.60m，层底标高66.38</w:t>
      </w:r>
      <w:r>
        <w:rPr>
          <w:rFonts w:hint="eastAsia"/>
          <w:b w:val="0"/>
          <w:bCs w:val="0"/>
          <w:color w:val="auto"/>
          <w:u w:val="none"/>
          <w:lang w:eastAsia="zh-CN"/>
        </w:rPr>
        <w:t>～</w:t>
      </w:r>
      <w:r>
        <w:rPr>
          <w:rFonts w:hint="eastAsia"/>
          <w:b w:val="0"/>
          <w:bCs w:val="0"/>
          <w:color w:val="auto"/>
          <w:u w:val="none"/>
        </w:rPr>
        <w:t>69.27m，层厚0.60</w:t>
      </w:r>
      <w:r>
        <w:rPr>
          <w:rFonts w:hint="eastAsia"/>
          <w:b w:val="0"/>
          <w:bCs w:val="0"/>
          <w:color w:val="auto"/>
          <w:u w:val="none"/>
          <w:lang w:eastAsia="zh-CN"/>
        </w:rPr>
        <w:t>～</w:t>
      </w:r>
      <w:r>
        <w:rPr>
          <w:rFonts w:hint="eastAsia"/>
          <w:b w:val="0"/>
          <w:bCs w:val="0"/>
          <w:color w:val="auto"/>
          <w:u w:val="none"/>
        </w:rPr>
        <w:t>3.60m，平均层厚1.77m。</w:t>
      </w:r>
    </w:p>
    <w:p w14:paraId="29D301BE">
      <w:pPr>
        <w:bidi w:val="0"/>
        <w:rPr>
          <w:b w:val="0"/>
          <w:bCs w:val="0"/>
          <w:color w:val="auto"/>
          <w:u w:val="none"/>
        </w:rPr>
      </w:pPr>
      <w:r>
        <w:rPr>
          <w:rFonts w:hint="eastAsia"/>
          <w:b w:val="0"/>
          <w:bCs w:val="0"/>
          <w:color w:val="auto"/>
          <w:u w:val="none"/>
        </w:rPr>
        <w:t>第②单元层：粉砂（Q4al）</w:t>
      </w:r>
    </w:p>
    <w:p w14:paraId="3452B84F">
      <w:pPr>
        <w:bidi w:val="0"/>
        <w:rPr>
          <w:b w:val="0"/>
          <w:bCs w:val="0"/>
          <w:color w:val="auto"/>
          <w:u w:val="none"/>
        </w:rPr>
      </w:pPr>
      <w:r>
        <w:rPr>
          <w:rFonts w:hint="eastAsia"/>
          <w:b w:val="0"/>
          <w:bCs w:val="0"/>
          <w:color w:val="auto"/>
          <w:u w:val="none"/>
        </w:rPr>
        <w:t>灰黄色、稍湿，稍密，其主要矿物</w:t>
      </w:r>
      <w:r>
        <w:rPr>
          <w:rFonts w:hint="eastAsia"/>
          <w:b w:val="0"/>
          <w:bCs w:val="0"/>
          <w:color w:val="auto"/>
          <w:u w:val="none"/>
          <w:lang w:eastAsia="zh-CN"/>
        </w:rPr>
        <w:t>成分</w:t>
      </w:r>
      <w:r>
        <w:rPr>
          <w:rFonts w:hint="eastAsia"/>
          <w:b w:val="0"/>
          <w:bCs w:val="0"/>
          <w:color w:val="auto"/>
          <w:u w:val="none"/>
        </w:rPr>
        <w:t>为石英、长石、云母等，局部夹薄层粉土、细砂。</w:t>
      </w:r>
    </w:p>
    <w:p w14:paraId="14189932">
      <w:pPr>
        <w:bidi w:val="0"/>
        <w:rPr>
          <w:b w:val="0"/>
          <w:bCs w:val="0"/>
          <w:color w:val="auto"/>
          <w:u w:val="none"/>
        </w:rPr>
      </w:pPr>
      <w:r>
        <w:rPr>
          <w:rFonts w:hint="eastAsia"/>
          <w:b w:val="0"/>
          <w:bCs w:val="0"/>
          <w:color w:val="auto"/>
          <w:u w:val="none"/>
        </w:rPr>
        <w:t>该层场区普遍分布，层底埋深3.00</w:t>
      </w:r>
      <w:r>
        <w:rPr>
          <w:rFonts w:hint="eastAsia"/>
          <w:b w:val="0"/>
          <w:bCs w:val="0"/>
          <w:color w:val="auto"/>
          <w:u w:val="none"/>
          <w:lang w:eastAsia="zh-CN"/>
        </w:rPr>
        <w:t>～</w:t>
      </w:r>
      <w:r>
        <w:rPr>
          <w:rFonts w:hint="eastAsia"/>
          <w:b w:val="0"/>
          <w:bCs w:val="0"/>
          <w:color w:val="auto"/>
          <w:u w:val="none"/>
        </w:rPr>
        <w:t>7.60m，层底标高62.35</w:t>
      </w:r>
      <w:r>
        <w:rPr>
          <w:rFonts w:hint="eastAsia"/>
          <w:b w:val="0"/>
          <w:bCs w:val="0"/>
          <w:color w:val="auto"/>
          <w:u w:val="none"/>
          <w:lang w:eastAsia="zh-CN"/>
        </w:rPr>
        <w:t>～</w:t>
      </w:r>
      <w:r>
        <w:rPr>
          <w:rFonts w:hint="eastAsia"/>
          <w:b w:val="0"/>
          <w:bCs w:val="0"/>
          <w:color w:val="auto"/>
          <w:u w:val="none"/>
        </w:rPr>
        <w:t>66.95m，层厚0.90</w:t>
      </w:r>
      <w:r>
        <w:rPr>
          <w:rFonts w:hint="eastAsia"/>
          <w:b w:val="0"/>
          <w:bCs w:val="0"/>
          <w:color w:val="auto"/>
          <w:u w:val="none"/>
          <w:lang w:eastAsia="zh-CN"/>
        </w:rPr>
        <w:t>～</w:t>
      </w:r>
      <w:r>
        <w:rPr>
          <w:rFonts w:hint="eastAsia"/>
          <w:b w:val="0"/>
          <w:bCs w:val="0"/>
          <w:color w:val="auto"/>
          <w:u w:val="none"/>
        </w:rPr>
        <w:t>5.70m，平均层厚3.21m。</w:t>
      </w:r>
    </w:p>
    <w:p w14:paraId="60CE5BFE">
      <w:pPr>
        <w:bidi w:val="0"/>
        <w:rPr>
          <w:b w:val="0"/>
          <w:bCs w:val="0"/>
          <w:color w:val="auto"/>
          <w:u w:val="none"/>
        </w:rPr>
      </w:pPr>
      <w:r>
        <w:rPr>
          <w:rFonts w:hint="eastAsia"/>
          <w:b w:val="0"/>
          <w:bCs w:val="0"/>
          <w:color w:val="auto"/>
          <w:u w:val="none"/>
        </w:rPr>
        <w:t>第②-1单元层：粉土（Q4al）</w:t>
      </w:r>
    </w:p>
    <w:p w14:paraId="7347E0C5">
      <w:pPr>
        <w:bidi w:val="0"/>
        <w:rPr>
          <w:b w:val="0"/>
          <w:bCs w:val="0"/>
          <w:color w:val="auto"/>
          <w:u w:val="none"/>
        </w:rPr>
      </w:pPr>
      <w:r>
        <w:rPr>
          <w:rFonts w:hint="eastAsia"/>
          <w:b w:val="0"/>
          <w:bCs w:val="0"/>
          <w:color w:val="auto"/>
          <w:u w:val="none"/>
        </w:rPr>
        <w:t>灰黄色、稍湿，稍密～中密，无光泽反应，摇震反应中等，低干强度，低韧性。</w:t>
      </w:r>
    </w:p>
    <w:p w14:paraId="0096DC06">
      <w:pPr>
        <w:bidi w:val="0"/>
        <w:rPr>
          <w:b w:val="0"/>
          <w:bCs w:val="0"/>
          <w:color w:val="auto"/>
          <w:u w:val="none"/>
        </w:rPr>
      </w:pPr>
      <w:r>
        <w:rPr>
          <w:rFonts w:hint="eastAsia"/>
          <w:b w:val="0"/>
          <w:bCs w:val="0"/>
          <w:color w:val="auto"/>
          <w:u w:val="none"/>
        </w:rPr>
        <w:t>该层局部分布，层底埋深4.30</w:t>
      </w:r>
      <w:r>
        <w:rPr>
          <w:rFonts w:hint="eastAsia"/>
          <w:b w:val="0"/>
          <w:bCs w:val="0"/>
          <w:color w:val="auto"/>
          <w:u w:val="none"/>
          <w:lang w:eastAsia="zh-CN"/>
        </w:rPr>
        <w:t>～</w:t>
      </w:r>
      <w:r>
        <w:rPr>
          <w:rFonts w:hint="eastAsia"/>
          <w:b w:val="0"/>
          <w:bCs w:val="0"/>
          <w:color w:val="auto"/>
          <w:u w:val="none"/>
        </w:rPr>
        <w:t>6.00m，层底标高63.85</w:t>
      </w:r>
      <w:r>
        <w:rPr>
          <w:rFonts w:hint="eastAsia"/>
          <w:b w:val="0"/>
          <w:bCs w:val="0"/>
          <w:color w:val="auto"/>
          <w:u w:val="none"/>
          <w:lang w:eastAsia="zh-CN"/>
        </w:rPr>
        <w:t>～</w:t>
      </w:r>
      <w:r>
        <w:rPr>
          <w:rFonts w:hint="eastAsia"/>
          <w:b w:val="0"/>
          <w:bCs w:val="0"/>
          <w:color w:val="auto"/>
          <w:u w:val="none"/>
        </w:rPr>
        <w:t>65.58m，层厚0.70</w:t>
      </w:r>
      <w:r>
        <w:rPr>
          <w:rFonts w:hint="eastAsia"/>
          <w:b w:val="0"/>
          <w:bCs w:val="0"/>
          <w:color w:val="auto"/>
          <w:u w:val="none"/>
          <w:lang w:eastAsia="zh-CN"/>
        </w:rPr>
        <w:t>～</w:t>
      </w:r>
      <w:r>
        <w:rPr>
          <w:rFonts w:hint="eastAsia"/>
          <w:b w:val="0"/>
          <w:bCs w:val="0"/>
          <w:color w:val="auto"/>
          <w:u w:val="none"/>
        </w:rPr>
        <w:t>3.00m，平均层厚2.05m。</w:t>
      </w:r>
    </w:p>
    <w:p w14:paraId="3DA838D4">
      <w:pPr>
        <w:bidi w:val="0"/>
        <w:rPr>
          <w:b w:val="0"/>
          <w:bCs w:val="0"/>
          <w:color w:val="auto"/>
          <w:u w:val="none"/>
        </w:rPr>
      </w:pPr>
      <w:r>
        <w:rPr>
          <w:rFonts w:hint="eastAsia"/>
          <w:b w:val="0"/>
          <w:bCs w:val="0"/>
          <w:color w:val="auto"/>
          <w:u w:val="none"/>
        </w:rPr>
        <w:t>第③单元层：细砂（Q4al）</w:t>
      </w:r>
    </w:p>
    <w:p w14:paraId="610C8138">
      <w:pPr>
        <w:bidi w:val="0"/>
        <w:rPr>
          <w:b w:val="0"/>
          <w:bCs w:val="0"/>
          <w:color w:val="auto"/>
          <w:u w:val="none"/>
        </w:rPr>
      </w:pPr>
      <w:r>
        <w:rPr>
          <w:rFonts w:hint="eastAsia"/>
          <w:b w:val="0"/>
          <w:bCs w:val="0"/>
          <w:color w:val="auto"/>
          <w:u w:val="none"/>
        </w:rPr>
        <w:t>灰黄色、湿，中密～密实，其主要矿物</w:t>
      </w:r>
      <w:r>
        <w:rPr>
          <w:rFonts w:hint="eastAsia"/>
          <w:b w:val="0"/>
          <w:bCs w:val="0"/>
          <w:color w:val="auto"/>
          <w:u w:val="none"/>
          <w:lang w:eastAsia="zh-CN"/>
        </w:rPr>
        <w:t>成分</w:t>
      </w:r>
      <w:r>
        <w:rPr>
          <w:rFonts w:hint="eastAsia"/>
          <w:b w:val="0"/>
          <w:bCs w:val="0"/>
          <w:color w:val="auto"/>
          <w:u w:val="none"/>
        </w:rPr>
        <w:t>为石英、长石、云母等，局部夹薄层粉土及中砂。</w:t>
      </w:r>
    </w:p>
    <w:p w14:paraId="2F21CCFC">
      <w:pPr>
        <w:bidi w:val="0"/>
        <w:rPr>
          <w:b w:val="0"/>
          <w:bCs w:val="0"/>
          <w:color w:val="auto"/>
          <w:u w:val="none"/>
        </w:rPr>
      </w:pPr>
      <w:r>
        <w:rPr>
          <w:rFonts w:hint="eastAsia"/>
          <w:b w:val="0"/>
          <w:bCs w:val="0"/>
          <w:color w:val="auto"/>
          <w:u w:val="none"/>
        </w:rPr>
        <w:t>该层场区普遍分布，层底埋深8.70</w:t>
      </w:r>
      <w:r>
        <w:rPr>
          <w:rFonts w:hint="eastAsia"/>
          <w:b w:val="0"/>
          <w:bCs w:val="0"/>
          <w:color w:val="auto"/>
          <w:u w:val="none"/>
          <w:lang w:eastAsia="zh-CN"/>
        </w:rPr>
        <w:t>～</w:t>
      </w:r>
      <w:r>
        <w:rPr>
          <w:rFonts w:hint="eastAsia"/>
          <w:b w:val="0"/>
          <w:bCs w:val="0"/>
          <w:color w:val="auto"/>
          <w:u w:val="none"/>
        </w:rPr>
        <w:t>14.20m，层底标高55.80</w:t>
      </w:r>
      <w:r>
        <w:rPr>
          <w:rFonts w:hint="eastAsia"/>
          <w:b w:val="0"/>
          <w:bCs w:val="0"/>
          <w:color w:val="auto"/>
          <w:u w:val="none"/>
          <w:lang w:eastAsia="zh-CN"/>
        </w:rPr>
        <w:t>～</w:t>
      </w:r>
      <w:r>
        <w:rPr>
          <w:rFonts w:hint="eastAsia"/>
          <w:b w:val="0"/>
          <w:bCs w:val="0"/>
          <w:color w:val="auto"/>
          <w:u w:val="none"/>
        </w:rPr>
        <w:t>61.20m，层厚2.30</w:t>
      </w:r>
      <w:r>
        <w:rPr>
          <w:rFonts w:hint="eastAsia"/>
          <w:b w:val="0"/>
          <w:bCs w:val="0"/>
          <w:color w:val="auto"/>
          <w:u w:val="none"/>
          <w:lang w:eastAsia="zh-CN"/>
        </w:rPr>
        <w:t>～</w:t>
      </w:r>
      <w:r>
        <w:rPr>
          <w:rFonts w:hint="eastAsia"/>
          <w:b w:val="0"/>
          <w:bCs w:val="0"/>
          <w:color w:val="auto"/>
          <w:u w:val="none"/>
        </w:rPr>
        <w:t>8.70m，平均层厚5.38m。</w:t>
      </w:r>
    </w:p>
    <w:p w14:paraId="216AFD99">
      <w:pPr>
        <w:bidi w:val="0"/>
        <w:rPr>
          <w:b w:val="0"/>
          <w:bCs w:val="0"/>
          <w:color w:val="auto"/>
          <w:u w:val="none"/>
        </w:rPr>
      </w:pPr>
      <w:r>
        <w:rPr>
          <w:rFonts w:hint="eastAsia"/>
          <w:b w:val="0"/>
          <w:bCs w:val="0"/>
          <w:color w:val="auto"/>
          <w:u w:val="none"/>
        </w:rPr>
        <w:t>第③-1单元层：粉质粘土（Q4al）</w:t>
      </w:r>
    </w:p>
    <w:p w14:paraId="189ACF23">
      <w:pPr>
        <w:bidi w:val="0"/>
        <w:rPr>
          <w:b w:val="0"/>
          <w:bCs w:val="0"/>
          <w:color w:val="auto"/>
          <w:u w:val="none"/>
        </w:rPr>
      </w:pPr>
      <w:r>
        <w:rPr>
          <w:rFonts w:hint="eastAsia"/>
          <w:b w:val="0"/>
          <w:bCs w:val="0"/>
          <w:color w:val="auto"/>
          <w:u w:val="none"/>
        </w:rPr>
        <w:t>灰褐色、可塑，稍有光滑，摇振反应无，干强度中等，韧性中等。</w:t>
      </w:r>
    </w:p>
    <w:p w14:paraId="7A6BC57B">
      <w:pPr>
        <w:bidi w:val="0"/>
        <w:rPr>
          <w:b w:val="0"/>
          <w:bCs w:val="0"/>
          <w:color w:val="auto"/>
          <w:u w:val="none"/>
        </w:rPr>
      </w:pPr>
      <w:r>
        <w:rPr>
          <w:rFonts w:hint="eastAsia"/>
          <w:b w:val="0"/>
          <w:bCs w:val="0"/>
          <w:color w:val="auto"/>
          <w:u w:val="none"/>
        </w:rPr>
        <w:t>该层局部分布，层底埋深7.50</w:t>
      </w:r>
      <w:r>
        <w:rPr>
          <w:rFonts w:hint="eastAsia"/>
          <w:b w:val="0"/>
          <w:bCs w:val="0"/>
          <w:color w:val="auto"/>
          <w:u w:val="none"/>
          <w:lang w:eastAsia="zh-CN"/>
        </w:rPr>
        <w:t>～</w:t>
      </w:r>
      <w:r>
        <w:rPr>
          <w:rFonts w:hint="eastAsia"/>
          <w:b w:val="0"/>
          <w:bCs w:val="0"/>
          <w:color w:val="auto"/>
          <w:u w:val="none"/>
        </w:rPr>
        <w:t>9.50m，层底标高60.45</w:t>
      </w:r>
      <w:r>
        <w:rPr>
          <w:rFonts w:hint="eastAsia"/>
          <w:b w:val="0"/>
          <w:bCs w:val="0"/>
          <w:color w:val="auto"/>
          <w:u w:val="none"/>
          <w:lang w:eastAsia="zh-CN"/>
        </w:rPr>
        <w:t>～</w:t>
      </w:r>
      <w:r>
        <w:rPr>
          <w:rFonts w:hint="eastAsia"/>
          <w:b w:val="0"/>
          <w:bCs w:val="0"/>
          <w:color w:val="auto"/>
          <w:u w:val="none"/>
        </w:rPr>
        <w:t>62.45m，层厚0.50</w:t>
      </w:r>
      <w:r>
        <w:rPr>
          <w:rFonts w:hint="eastAsia"/>
          <w:b w:val="0"/>
          <w:bCs w:val="0"/>
          <w:color w:val="auto"/>
          <w:u w:val="none"/>
          <w:lang w:eastAsia="zh-CN"/>
        </w:rPr>
        <w:t>～</w:t>
      </w:r>
      <w:r>
        <w:rPr>
          <w:rFonts w:hint="eastAsia"/>
          <w:b w:val="0"/>
          <w:bCs w:val="0"/>
          <w:color w:val="auto"/>
          <w:u w:val="none"/>
        </w:rPr>
        <w:t>2.60m，平均层厚1.31m。</w:t>
      </w:r>
    </w:p>
    <w:p w14:paraId="1754B367">
      <w:pPr>
        <w:bidi w:val="0"/>
        <w:rPr>
          <w:b w:val="0"/>
          <w:bCs w:val="0"/>
          <w:color w:val="auto"/>
          <w:u w:val="none"/>
        </w:rPr>
      </w:pPr>
      <w:r>
        <w:rPr>
          <w:rFonts w:hint="eastAsia"/>
          <w:b w:val="0"/>
          <w:bCs w:val="0"/>
          <w:color w:val="auto"/>
          <w:u w:val="none"/>
        </w:rPr>
        <w:t>第④单元层：细砂（Q4al）</w:t>
      </w:r>
    </w:p>
    <w:p w14:paraId="575B0254">
      <w:pPr>
        <w:bidi w:val="0"/>
        <w:rPr>
          <w:b w:val="0"/>
          <w:bCs w:val="0"/>
          <w:color w:val="auto"/>
          <w:u w:val="none"/>
        </w:rPr>
      </w:pPr>
      <w:r>
        <w:rPr>
          <w:rFonts w:hint="eastAsia"/>
          <w:b w:val="0"/>
          <w:bCs w:val="0"/>
          <w:color w:val="auto"/>
          <w:u w:val="none"/>
        </w:rPr>
        <w:t>浅灰色、湿～饱和，中密～密实，其主要矿物</w:t>
      </w:r>
      <w:r>
        <w:rPr>
          <w:rFonts w:hint="eastAsia"/>
          <w:b w:val="0"/>
          <w:bCs w:val="0"/>
          <w:color w:val="auto"/>
          <w:u w:val="none"/>
          <w:lang w:eastAsia="zh-CN"/>
        </w:rPr>
        <w:t>成分</w:t>
      </w:r>
      <w:r>
        <w:rPr>
          <w:rFonts w:hint="eastAsia"/>
          <w:b w:val="0"/>
          <w:bCs w:val="0"/>
          <w:color w:val="auto"/>
          <w:u w:val="none"/>
        </w:rPr>
        <w:t>为石英、长石、云母等，局部夹薄层粉土及中砂。</w:t>
      </w:r>
    </w:p>
    <w:p w14:paraId="076AFCE8">
      <w:pPr>
        <w:bidi w:val="0"/>
        <w:rPr>
          <w:b w:val="0"/>
          <w:bCs w:val="0"/>
          <w:color w:val="auto"/>
          <w:u w:val="none"/>
        </w:rPr>
      </w:pPr>
      <w:r>
        <w:rPr>
          <w:rFonts w:hint="eastAsia"/>
          <w:b w:val="0"/>
          <w:bCs w:val="0"/>
          <w:color w:val="auto"/>
          <w:u w:val="none"/>
        </w:rPr>
        <w:t>该层场区普遍分布，层底埋深20.40</w:t>
      </w:r>
      <w:r>
        <w:rPr>
          <w:rFonts w:hint="eastAsia"/>
          <w:b w:val="0"/>
          <w:bCs w:val="0"/>
          <w:color w:val="auto"/>
          <w:u w:val="none"/>
          <w:lang w:eastAsia="zh-CN"/>
        </w:rPr>
        <w:t>～</w:t>
      </w:r>
      <w:r>
        <w:rPr>
          <w:rFonts w:hint="eastAsia"/>
          <w:b w:val="0"/>
          <w:bCs w:val="0"/>
          <w:color w:val="auto"/>
          <w:u w:val="none"/>
        </w:rPr>
        <w:t>23.60m，层底标高46.35</w:t>
      </w:r>
      <w:r>
        <w:rPr>
          <w:rFonts w:hint="eastAsia"/>
          <w:b w:val="0"/>
          <w:bCs w:val="0"/>
          <w:color w:val="auto"/>
          <w:u w:val="none"/>
          <w:lang w:eastAsia="zh-CN"/>
        </w:rPr>
        <w:t>～</w:t>
      </w:r>
      <w:r>
        <w:rPr>
          <w:rFonts w:hint="eastAsia"/>
          <w:b w:val="0"/>
          <w:bCs w:val="0"/>
          <w:color w:val="auto"/>
          <w:u w:val="none"/>
        </w:rPr>
        <w:t>49.50m，层厚7.90</w:t>
      </w:r>
      <w:r>
        <w:rPr>
          <w:rFonts w:hint="eastAsia"/>
          <w:b w:val="0"/>
          <w:bCs w:val="0"/>
          <w:color w:val="auto"/>
          <w:u w:val="none"/>
          <w:lang w:eastAsia="zh-CN"/>
        </w:rPr>
        <w:t>～</w:t>
      </w:r>
      <w:r>
        <w:rPr>
          <w:rFonts w:hint="eastAsia"/>
          <w:b w:val="0"/>
          <w:bCs w:val="0"/>
          <w:color w:val="auto"/>
          <w:u w:val="none"/>
        </w:rPr>
        <w:t>12.90m，平均层厚10.57m。</w:t>
      </w:r>
    </w:p>
    <w:p w14:paraId="2C7C8438">
      <w:pPr>
        <w:bidi w:val="0"/>
        <w:rPr>
          <w:b w:val="0"/>
          <w:bCs w:val="0"/>
          <w:color w:val="auto"/>
          <w:u w:val="none"/>
        </w:rPr>
      </w:pPr>
      <w:r>
        <w:rPr>
          <w:rFonts w:hint="eastAsia"/>
          <w:b w:val="0"/>
          <w:bCs w:val="0"/>
          <w:color w:val="auto"/>
          <w:u w:val="none"/>
        </w:rPr>
        <w:t>第⑤单元层：粉质粘土（Q4al）</w:t>
      </w:r>
    </w:p>
    <w:p w14:paraId="358F553F">
      <w:pPr>
        <w:bidi w:val="0"/>
        <w:rPr>
          <w:b w:val="0"/>
          <w:bCs w:val="0"/>
          <w:color w:val="auto"/>
          <w:u w:val="none"/>
        </w:rPr>
      </w:pPr>
      <w:r>
        <w:rPr>
          <w:rFonts w:hint="eastAsia"/>
          <w:b w:val="0"/>
          <w:bCs w:val="0"/>
          <w:color w:val="auto"/>
          <w:u w:val="none"/>
        </w:rPr>
        <w:t>灰褐色、可塑，稍有光滑，摇振反应无，干强度中等，韧性中等。</w:t>
      </w:r>
    </w:p>
    <w:p w14:paraId="00B73ED3">
      <w:pPr>
        <w:bidi w:val="0"/>
        <w:rPr>
          <w:b w:val="0"/>
          <w:bCs w:val="0"/>
          <w:color w:val="auto"/>
          <w:u w:val="none"/>
        </w:rPr>
      </w:pPr>
      <w:r>
        <w:rPr>
          <w:rFonts w:hint="eastAsia"/>
          <w:b w:val="0"/>
          <w:bCs w:val="0"/>
          <w:color w:val="auto"/>
          <w:u w:val="none"/>
        </w:rPr>
        <w:t>该层场区普遍分布，层底埋深22.00</w:t>
      </w:r>
      <w:r>
        <w:rPr>
          <w:rFonts w:hint="eastAsia"/>
          <w:b w:val="0"/>
          <w:bCs w:val="0"/>
          <w:color w:val="auto"/>
          <w:u w:val="none"/>
          <w:lang w:eastAsia="zh-CN"/>
        </w:rPr>
        <w:t>～</w:t>
      </w:r>
      <w:r>
        <w:rPr>
          <w:rFonts w:hint="eastAsia"/>
          <w:b w:val="0"/>
          <w:bCs w:val="0"/>
          <w:color w:val="auto"/>
          <w:u w:val="none"/>
        </w:rPr>
        <w:t>26.90m，层底标高43.05</w:t>
      </w:r>
      <w:r>
        <w:rPr>
          <w:rFonts w:hint="eastAsia"/>
          <w:b w:val="0"/>
          <w:bCs w:val="0"/>
          <w:color w:val="auto"/>
          <w:u w:val="none"/>
          <w:lang w:eastAsia="zh-CN"/>
        </w:rPr>
        <w:t>～</w:t>
      </w:r>
      <w:r>
        <w:rPr>
          <w:rFonts w:hint="eastAsia"/>
          <w:b w:val="0"/>
          <w:bCs w:val="0"/>
          <w:color w:val="auto"/>
          <w:u w:val="none"/>
        </w:rPr>
        <w:t>47.91m，层厚0.40</w:t>
      </w:r>
      <w:r>
        <w:rPr>
          <w:rFonts w:hint="eastAsia"/>
          <w:b w:val="0"/>
          <w:bCs w:val="0"/>
          <w:color w:val="auto"/>
          <w:u w:val="none"/>
          <w:lang w:eastAsia="zh-CN"/>
        </w:rPr>
        <w:t>～</w:t>
      </w:r>
      <w:r>
        <w:rPr>
          <w:rFonts w:hint="eastAsia"/>
          <w:b w:val="0"/>
          <w:bCs w:val="0"/>
          <w:color w:val="auto"/>
          <w:u w:val="none"/>
        </w:rPr>
        <w:t>5.40m，平均层厚2.27m。</w:t>
      </w:r>
    </w:p>
    <w:p w14:paraId="0C863FDF">
      <w:pPr>
        <w:bidi w:val="0"/>
        <w:rPr>
          <w:b w:val="0"/>
          <w:bCs w:val="0"/>
          <w:color w:val="auto"/>
          <w:u w:val="none"/>
        </w:rPr>
      </w:pPr>
      <w:r>
        <w:rPr>
          <w:rFonts w:hint="eastAsia"/>
          <w:b w:val="0"/>
          <w:bCs w:val="0"/>
          <w:color w:val="auto"/>
          <w:u w:val="none"/>
        </w:rPr>
        <w:t>第⑥单元层：细砂（Q4al）</w:t>
      </w:r>
    </w:p>
    <w:p w14:paraId="2FF6B1E8">
      <w:pPr>
        <w:bidi w:val="0"/>
        <w:rPr>
          <w:b w:val="0"/>
          <w:bCs w:val="0"/>
          <w:color w:val="auto"/>
          <w:u w:val="none"/>
        </w:rPr>
      </w:pPr>
      <w:r>
        <w:rPr>
          <w:rFonts w:hint="eastAsia"/>
          <w:b w:val="0"/>
          <w:bCs w:val="0"/>
          <w:color w:val="auto"/>
          <w:u w:val="none"/>
        </w:rPr>
        <w:t>灰黄色、饱和，密实，其主要矿物</w:t>
      </w:r>
      <w:r>
        <w:rPr>
          <w:rFonts w:hint="eastAsia"/>
          <w:b w:val="0"/>
          <w:bCs w:val="0"/>
          <w:color w:val="auto"/>
          <w:u w:val="none"/>
          <w:lang w:eastAsia="zh-CN"/>
        </w:rPr>
        <w:t>成分</w:t>
      </w:r>
      <w:r>
        <w:rPr>
          <w:rFonts w:hint="eastAsia"/>
          <w:b w:val="0"/>
          <w:bCs w:val="0"/>
          <w:color w:val="auto"/>
          <w:u w:val="none"/>
        </w:rPr>
        <w:t>为石英、长石、云母等，局部夹薄层粉土、粉质粘土及中砂。</w:t>
      </w:r>
    </w:p>
    <w:p w14:paraId="5F1A6F58">
      <w:pPr>
        <w:bidi w:val="0"/>
        <w:rPr>
          <w:b w:val="0"/>
          <w:bCs w:val="0"/>
          <w:color w:val="auto"/>
          <w:u w:val="none"/>
        </w:rPr>
      </w:pPr>
      <w:r>
        <w:rPr>
          <w:rFonts w:hint="eastAsia"/>
          <w:b w:val="0"/>
          <w:bCs w:val="0"/>
          <w:color w:val="auto"/>
          <w:u w:val="none"/>
        </w:rPr>
        <w:t>该层场区普遍分布，层底埋深26.50</w:t>
      </w:r>
      <w:r>
        <w:rPr>
          <w:rFonts w:hint="eastAsia"/>
          <w:b w:val="0"/>
          <w:bCs w:val="0"/>
          <w:color w:val="auto"/>
          <w:u w:val="none"/>
          <w:lang w:eastAsia="zh-CN"/>
        </w:rPr>
        <w:t>～</w:t>
      </w:r>
      <w:r>
        <w:rPr>
          <w:rFonts w:hint="eastAsia"/>
          <w:b w:val="0"/>
          <w:bCs w:val="0"/>
          <w:color w:val="auto"/>
          <w:u w:val="none"/>
        </w:rPr>
        <w:t>27.90m，层底标高41.98</w:t>
      </w:r>
      <w:r>
        <w:rPr>
          <w:rFonts w:hint="eastAsia"/>
          <w:b w:val="0"/>
          <w:bCs w:val="0"/>
          <w:color w:val="auto"/>
          <w:u w:val="none"/>
          <w:lang w:eastAsia="zh-CN"/>
        </w:rPr>
        <w:t>～</w:t>
      </w:r>
      <w:r>
        <w:rPr>
          <w:rFonts w:hint="eastAsia"/>
          <w:b w:val="0"/>
          <w:bCs w:val="0"/>
          <w:color w:val="auto"/>
          <w:u w:val="none"/>
        </w:rPr>
        <w:t>43.47m，层厚2.50</w:t>
      </w:r>
      <w:r>
        <w:rPr>
          <w:rFonts w:hint="eastAsia"/>
          <w:b w:val="0"/>
          <w:bCs w:val="0"/>
          <w:color w:val="auto"/>
          <w:u w:val="none"/>
          <w:lang w:eastAsia="zh-CN"/>
        </w:rPr>
        <w:t>～</w:t>
      </w:r>
      <w:r>
        <w:rPr>
          <w:rFonts w:hint="eastAsia"/>
          <w:b w:val="0"/>
          <w:bCs w:val="0"/>
          <w:color w:val="auto"/>
          <w:u w:val="none"/>
        </w:rPr>
        <w:t>3.60m，平均层厚2.87m。</w:t>
      </w:r>
    </w:p>
    <w:p w14:paraId="66CC5344">
      <w:pPr>
        <w:bidi w:val="0"/>
        <w:rPr>
          <w:b w:val="0"/>
          <w:bCs w:val="0"/>
          <w:color w:val="auto"/>
          <w:u w:val="none"/>
        </w:rPr>
      </w:pPr>
      <w:r>
        <w:rPr>
          <w:rFonts w:hint="eastAsia"/>
          <w:b w:val="0"/>
          <w:bCs w:val="0"/>
          <w:color w:val="auto"/>
          <w:u w:val="none"/>
        </w:rPr>
        <w:t>第⑦单元层：粉土（Q4al）</w:t>
      </w:r>
    </w:p>
    <w:p w14:paraId="4855F410">
      <w:pPr>
        <w:bidi w:val="0"/>
        <w:rPr>
          <w:b w:val="0"/>
          <w:bCs w:val="0"/>
          <w:color w:val="auto"/>
          <w:u w:val="none"/>
        </w:rPr>
      </w:pPr>
      <w:r>
        <w:rPr>
          <w:rFonts w:hint="eastAsia"/>
          <w:b w:val="0"/>
          <w:bCs w:val="0"/>
          <w:color w:val="auto"/>
          <w:u w:val="none"/>
        </w:rPr>
        <w:t>褐黄色、很湿，中密～密实，无光泽反应，摇震反应中等，低干强度，低韧性，局部夹薄层粉质粘土。</w:t>
      </w:r>
    </w:p>
    <w:p w14:paraId="4A7D7711">
      <w:pPr>
        <w:bidi w:val="0"/>
        <w:rPr>
          <w:b w:val="0"/>
          <w:bCs w:val="0"/>
          <w:color w:val="auto"/>
          <w:u w:val="none"/>
        </w:rPr>
      </w:pPr>
      <w:r>
        <w:rPr>
          <w:rFonts w:hint="eastAsia"/>
          <w:b w:val="0"/>
          <w:bCs w:val="0"/>
          <w:color w:val="auto"/>
          <w:u w:val="none"/>
        </w:rPr>
        <w:t>该层未见底，揭露最大厚度3.50m。</w:t>
      </w:r>
    </w:p>
    <w:p w14:paraId="6625F97A">
      <w:pPr>
        <w:bidi w:val="0"/>
        <w:rPr>
          <w:rFonts w:ascii="Times New Roman" w:hAnsi="Times New Roman" w:cs="Times New Roman"/>
          <w:bCs/>
          <w:color w:val="auto"/>
        </w:rPr>
      </w:pPr>
      <w:r>
        <w:rPr>
          <w:rFonts w:hint="eastAsia"/>
          <w:b w:val="0"/>
          <w:bCs w:val="0"/>
          <w:color w:val="auto"/>
          <w:u w:val="none"/>
        </w:rPr>
        <w:t>根据勘查，场地第3、4层为主要含水层，地下水类型为孔隙潜水类型，其补给来源为大气降水和侧向径流，排泄方式为蒸发、开采和侧向径流，水位年变化幅度2.0m左右，近3</w:t>
      </w:r>
      <w:r>
        <w:rPr>
          <w:rFonts w:hint="eastAsia"/>
          <w:b w:val="0"/>
          <w:bCs w:val="0"/>
          <w:color w:val="auto"/>
          <w:u w:val="none"/>
          <w:lang w:eastAsia="zh-CN"/>
        </w:rPr>
        <w:t>—</w:t>
      </w:r>
      <w:r>
        <w:rPr>
          <w:rFonts w:hint="eastAsia"/>
          <w:b w:val="0"/>
          <w:bCs w:val="0"/>
          <w:color w:val="auto"/>
          <w:u w:val="none"/>
        </w:rPr>
        <w:t>5年</w:t>
      </w:r>
      <w:r>
        <w:rPr>
          <w:rFonts w:hint="eastAsia"/>
          <w:b w:val="0"/>
          <w:bCs w:val="0"/>
          <w:color w:val="auto"/>
          <w:u w:val="none"/>
          <w:lang w:eastAsia="zh-CN"/>
        </w:rPr>
        <w:t>厂区内</w:t>
      </w:r>
      <w:r>
        <w:rPr>
          <w:rFonts w:hint="eastAsia"/>
          <w:b w:val="0"/>
          <w:bCs w:val="0"/>
          <w:color w:val="auto"/>
          <w:u w:val="none"/>
        </w:rPr>
        <w:t>最高水位埋深为自然地坪下9.0m左右，历史最高水位1.0m左右（近20年），区域地下水流向为西南向东北。本项目场地地质剖面图详见图</w:t>
      </w:r>
      <w:r>
        <w:rPr>
          <w:rFonts w:hint="eastAsia"/>
          <w:b w:val="0"/>
          <w:bCs w:val="0"/>
          <w:color w:val="auto"/>
          <w:u w:val="none"/>
          <w:lang w:val="en-US" w:eastAsia="zh-CN"/>
        </w:rPr>
        <w:t>6</w:t>
      </w:r>
      <w:r>
        <w:rPr>
          <w:b w:val="0"/>
          <w:bCs w:val="0"/>
          <w:color w:val="auto"/>
          <w:u w:val="none"/>
        </w:rPr>
        <w:t>.</w:t>
      </w:r>
      <w:r>
        <w:rPr>
          <w:rFonts w:hint="eastAsia"/>
          <w:b w:val="0"/>
          <w:bCs w:val="0"/>
          <w:color w:val="auto"/>
          <w:u w:val="none"/>
          <w:lang w:val="en-US" w:eastAsia="zh-CN"/>
        </w:rPr>
        <w:t>3</w:t>
      </w:r>
      <w:r>
        <w:rPr>
          <w:rFonts w:hint="eastAsia"/>
          <w:b w:val="0"/>
          <w:bCs w:val="0"/>
          <w:color w:val="auto"/>
          <w:u w:val="none"/>
        </w:rPr>
        <w:t>-</w:t>
      </w:r>
      <w:r>
        <w:rPr>
          <w:b w:val="0"/>
          <w:bCs w:val="0"/>
          <w:color w:val="auto"/>
          <w:u w:val="none"/>
        </w:rPr>
        <w:t>1</w:t>
      </w:r>
      <w:r>
        <w:rPr>
          <w:rFonts w:hint="eastAsia"/>
          <w:b w:val="0"/>
          <w:bCs w:val="0"/>
          <w:color w:val="auto"/>
          <w:u w:val="none"/>
        </w:rPr>
        <w:t>，综合地质柱状图详见图</w:t>
      </w:r>
      <w:r>
        <w:rPr>
          <w:rFonts w:hint="eastAsia"/>
          <w:b w:val="0"/>
          <w:bCs w:val="0"/>
          <w:color w:val="auto"/>
          <w:u w:val="none"/>
          <w:lang w:val="en-US" w:eastAsia="zh-CN"/>
        </w:rPr>
        <w:t>6</w:t>
      </w:r>
      <w:r>
        <w:rPr>
          <w:b w:val="0"/>
          <w:bCs w:val="0"/>
          <w:color w:val="auto"/>
          <w:u w:val="none"/>
        </w:rPr>
        <w:t>.</w:t>
      </w:r>
      <w:r>
        <w:rPr>
          <w:rFonts w:hint="eastAsia"/>
          <w:b w:val="0"/>
          <w:bCs w:val="0"/>
          <w:color w:val="auto"/>
          <w:u w:val="none"/>
          <w:lang w:val="en-US" w:eastAsia="zh-CN"/>
        </w:rPr>
        <w:t>3</w:t>
      </w:r>
      <w:r>
        <w:rPr>
          <w:rFonts w:hint="eastAsia"/>
          <w:b w:val="0"/>
          <w:bCs w:val="0"/>
          <w:color w:val="auto"/>
          <w:u w:val="none"/>
        </w:rPr>
        <w:t>-</w:t>
      </w:r>
      <w:r>
        <w:rPr>
          <w:b w:val="0"/>
          <w:bCs w:val="0"/>
          <w:color w:val="auto"/>
          <w:u w:val="none"/>
        </w:rPr>
        <w:t>2</w:t>
      </w:r>
      <w:r>
        <w:rPr>
          <w:rFonts w:hint="eastAsia"/>
          <w:b w:val="0"/>
          <w:bCs w:val="0"/>
          <w:color w:val="auto"/>
          <w:u w:val="none"/>
        </w:rPr>
        <w:t>。</w:t>
      </w:r>
    </w:p>
    <w:p w14:paraId="15BFD72A">
      <w:pPr>
        <w:pStyle w:val="143"/>
        <w:ind w:firstLine="199" w:firstLineChars="83"/>
        <w:rPr>
          <w:rFonts w:ascii="Times New Roman" w:hAnsi="Times New Roman" w:cs="Times New Roman"/>
          <w:bCs/>
          <w:color w:val="auto"/>
        </w:rPr>
        <w:sectPr>
          <w:pgSz w:w="11910" w:h="16840"/>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299" w:charSpace="0"/>
        </w:sectPr>
      </w:pPr>
    </w:p>
    <w:p w14:paraId="415878C5">
      <w:pPr>
        <w:pStyle w:val="143"/>
        <w:spacing w:line="240" w:lineRule="auto"/>
        <w:ind w:firstLine="0" w:firstLineChars="0"/>
        <w:jc w:val="center"/>
        <w:rPr>
          <w:rFonts w:ascii="Times New Roman" w:hAnsi="Times New Roman" w:cs="Times New Roman"/>
          <w:bCs/>
          <w:color w:val="auto"/>
        </w:rPr>
      </w:pPr>
      <w:r>
        <w:rPr>
          <w:rFonts w:ascii="Times New Roman" w:hAnsi="Times New Roman" w:cs="Times New Roman"/>
          <w:bCs/>
          <w:color w:val="auto"/>
        </w:rPr>
        <w:drawing>
          <wp:inline distT="0" distB="0" distL="0" distR="0">
            <wp:extent cx="7379970" cy="53276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5" cstate="print">
                      <a:extLst>
                        <a:ext uri="{28A0092B-C50C-407E-A947-70E740481C1C}">
                          <a14:useLocalDpi xmlns:a14="http://schemas.microsoft.com/office/drawing/2010/main" val="0"/>
                        </a:ext>
                      </a:extLst>
                    </a:blip>
                    <a:srcRect l="1409" t="11166" b="1992"/>
                    <a:stretch>
                      <a:fillRect/>
                    </a:stretch>
                  </pic:blipFill>
                  <pic:spPr>
                    <a:xfrm>
                      <a:off x="0" y="0"/>
                      <a:ext cx="7380000" cy="5328000"/>
                    </a:xfrm>
                    <a:prstGeom prst="rect">
                      <a:avLst/>
                    </a:prstGeom>
                    <a:ln>
                      <a:noFill/>
                    </a:ln>
                  </pic:spPr>
                </pic:pic>
              </a:graphicData>
            </a:graphic>
          </wp:inline>
        </w:drawing>
      </w:r>
    </w:p>
    <w:p w14:paraId="081C1E3D">
      <w:pPr>
        <w:pStyle w:val="181"/>
        <w:bidi w:val="0"/>
        <w:ind w:left="0" w:leftChars="0" w:firstLine="0" w:firstLineChars="0"/>
        <w:jc w:val="center"/>
        <w:rPr>
          <w:color w:val="auto"/>
        </w:rPr>
      </w:pPr>
      <w:r>
        <w:rPr>
          <w:rFonts w:hint="eastAsia"/>
          <w:color w:val="auto"/>
        </w:rPr>
        <w:t>图</w:t>
      </w:r>
      <w:r>
        <w:rPr>
          <w:rFonts w:hint="eastAsia"/>
          <w:color w:val="auto"/>
          <w:lang w:val="en-US" w:eastAsia="zh-CN"/>
        </w:rPr>
        <w:t>6</w:t>
      </w:r>
      <w:r>
        <w:rPr>
          <w:color w:val="auto"/>
        </w:rPr>
        <w:t>.</w:t>
      </w:r>
      <w:r>
        <w:rPr>
          <w:rFonts w:hint="eastAsia"/>
          <w:color w:val="auto"/>
          <w:lang w:val="en-US" w:eastAsia="zh-CN"/>
        </w:rPr>
        <w:t>3</w:t>
      </w:r>
      <w:r>
        <w:rPr>
          <w:rFonts w:hint="eastAsia"/>
          <w:color w:val="auto"/>
        </w:rPr>
        <w:t>-</w:t>
      </w:r>
      <w:r>
        <w:rPr>
          <w:color w:val="auto"/>
        </w:rPr>
        <w:t xml:space="preserve">1  </w:t>
      </w:r>
      <w:r>
        <w:rPr>
          <w:rFonts w:hint="eastAsia"/>
          <w:color w:val="auto"/>
        </w:rPr>
        <w:t>场地地质剖面图</w:t>
      </w:r>
    </w:p>
    <w:p w14:paraId="11F3629D">
      <w:pPr>
        <w:spacing w:line="520" w:lineRule="exact"/>
        <w:jc w:val="center"/>
        <w:rPr>
          <w:b/>
          <w:color w:val="auto"/>
        </w:rPr>
        <w:sectPr>
          <w:pgSz w:w="16840" w:h="11910" w:orient="landscape"/>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5FB39976">
      <w:pPr>
        <w:pStyle w:val="143"/>
        <w:spacing w:line="240" w:lineRule="auto"/>
        <w:ind w:firstLine="0" w:firstLineChars="0"/>
        <w:jc w:val="center"/>
        <w:rPr>
          <w:rFonts w:hint="eastAsia" w:ascii="Times New Roman" w:hAnsi="Times New Roman" w:cs="Times New Roman"/>
          <w:bCs/>
          <w:color w:val="auto"/>
        </w:rPr>
      </w:pPr>
    </w:p>
    <w:p w14:paraId="4F97E66C">
      <w:pPr>
        <w:pStyle w:val="143"/>
        <w:spacing w:line="240" w:lineRule="auto"/>
        <w:ind w:firstLine="0" w:firstLineChars="0"/>
        <w:jc w:val="center"/>
        <w:rPr>
          <w:rFonts w:ascii="Times New Roman" w:hAnsi="Times New Roman" w:cs="Times New Roman"/>
          <w:bCs/>
          <w:color w:val="auto"/>
        </w:rPr>
      </w:pPr>
      <w:r>
        <w:rPr>
          <w:rFonts w:hint="eastAsia" w:ascii="Times New Roman" w:hAnsi="Times New Roman" w:cs="Times New Roman"/>
          <w:bCs/>
          <w:color w:val="auto"/>
        </w:rPr>
        <w:drawing>
          <wp:inline distT="0" distB="0" distL="0" distR="0">
            <wp:extent cx="5582285" cy="7536815"/>
            <wp:effectExtent l="0" t="0" r="10795"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6" cstate="print">
                      <a:extLst>
                        <a:ext uri="{28A0092B-C50C-407E-A947-70E740481C1C}">
                          <a14:useLocalDpi xmlns:a14="http://schemas.microsoft.com/office/drawing/2010/main" val="0"/>
                        </a:ext>
                      </a:extLst>
                    </a:blip>
                    <a:srcRect t="2848"/>
                    <a:stretch>
                      <a:fillRect/>
                    </a:stretch>
                  </pic:blipFill>
                  <pic:spPr>
                    <a:xfrm>
                      <a:off x="0" y="0"/>
                      <a:ext cx="5582285" cy="7536815"/>
                    </a:xfrm>
                    <a:prstGeom prst="rect">
                      <a:avLst/>
                    </a:prstGeom>
                  </pic:spPr>
                </pic:pic>
              </a:graphicData>
            </a:graphic>
          </wp:inline>
        </w:drawing>
      </w:r>
    </w:p>
    <w:p w14:paraId="2D4073FF">
      <w:pPr>
        <w:pStyle w:val="181"/>
        <w:bidi w:val="0"/>
        <w:ind w:left="0" w:leftChars="0" w:firstLine="0" w:firstLineChars="0"/>
        <w:jc w:val="center"/>
        <w:rPr>
          <w:color w:val="auto"/>
        </w:rPr>
      </w:pPr>
      <w:r>
        <w:rPr>
          <w:rFonts w:hint="eastAsia"/>
          <w:color w:val="auto"/>
        </w:rPr>
        <w:t>图</w:t>
      </w:r>
      <w:r>
        <w:rPr>
          <w:rFonts w:hint="eastAsia"/>
          <w:color w:val="auto"/>
          <w:lang w:val="en-US" w:eastAsia="zh-CN"/>
        </w:rPr>
        <w:t>6</w:t>
      </w:r>
      <w:r>
        <w:rPr>
          <w:color w:val="auto"/>
        </w:rPr>
        <w:t>.</w:t>
      </w:r>
      <w:r>
        <w:rPr>
          <w:rFonts w:hint="eastAsia"/>
          <w:color w:val="auto"/>
          <w:lang w:val="en-US" w:eastAsia="zh-CN"/>
        </w:rPr>
        <w:t>3</w:t>
      </w:r>
      <w:r>
        <w:rPr>
          <w:rFonts w:hint="eastAsia"/>
          <w:color w:val="auto"/>
        </w:rPr>
        <w:t>-</w:t>
      </w:r>
      <w:r>
        <w:rPr>
          <w:color w:val="auto"/>
        </w:rPr>
        <w:t>2</w:t>
      </w:r>
      <w:r>
        <w:rPr>
          <w:rFonts w:hint="eastAsia"/>
          <w:color w:val="auto"/>
        </w:rPr>
        <w:t>场地地质柱状图</w:t>
      </w:r>
    </w:p>
    <w:p w14:paraId="430FB049">
      <w:pPr>
        <w:rPr>
          <w:color w:val="auto"/>
        </w:rPr>
      </w:pPr>
    </w:p>
    <w:p w14:paraId="0B5965C1">
      <w:pPr>
        <w:jc w:val="center"/>
        <w:rPr>
          <w:color w:val="auto"/>
        </w:rPr>
      </w:pPr>
    </w:p>
    <w:p w14:paraId="1479A1B1">
      <w:pPr>
        <w:pStyle w:val="5"/>
        <w:tabs>
          <w:tab w:val="left" w:pos="720"/>
          <w:tab w:val="left" w:pos="1200"/>
          <w:tab w:val="left" w:pos="1680"/>
        </w:tabs>
        <w:spacing w:before="0" w:after="0" w:line="520" w:lineRule="exact"/>
        <w:rPr>
          <w:color w:val="auto"/>
          <w:sz w:val="28"/>
          <w:szCs w:val="28"/>
        </w:rPr>
      </w:pPr>
      <w:r>
        <w:rPr>
          <w:color w:val="auto"/>
          <w:sz w:val="28"/>
          <w:szCs w:val="28"/>
        </w:rPr>
        <w:t>地下水水质</w:t>
      </w:r>
    </w:p>
    <w:p w14:paraId="4C22D5F4">
      <w:pPr>
        <w:pStyle w:val="104"/>
        <w:spacing w:line="520" w:lineRule="exact"/>
        <w:ind w:firstLineChars="200"/>
        <w:rPr>
          <w:rFonts w:hint="eastAsia" w:ascii="Times New Roman" w:hAnsi="Times New Roman" w:eastAsia="宋体"/>
          <w:color w:val="auto"/>
        </w:rPr>
      </w:pPr>
      <w:r>
        <w:rPr>
          <w:rFonts w:hint="default" w:ascii="Times New Roman" w:hAnsi="Times New Roman" w:eastAsia="宋体" w:cs="Times New Roman"/>
          <w:color w:val="auto"/>
        </w:rPr>
        <w:t>根据</w:t>
      </w:r>
      <w:r>
        <w:rPr>
          <w:rFonts w:hint="default" w:ascii="Times New Roman" w:hAnsi="Times New Roman" w:cs="Times New Roman"/>
          <w:color w:val="auto"/>
        </w:rPr>
        <w:t>《新乡市飞鹭纺织科技有限公司年产3000万米高端面料绿色智能化生产线技改提升项目环境影响报告书》地下水环境质量现状</w:t>
      </w:r>
      <w:r>
        <w:rPr>
          <w:rFonts w:hint="default" w:ascii="Times New Roman" w:hAnsi="Times New Roman" w:cs="Times New Roman"/>
        </w:rPr>
        <w:t>2023</w:t>
      </w:r>
      <w:r>
        <w:rPr>
          <w:rFonts w:hint="default" w:ascii="Times New Roman" w:hAnsi="Times New Roman" w:cs="Times New Roman"/>
          <w:lang w:val="en-US" w:eastAsia="zh-CN"/>
        </w:rPr>
        <w:t>.</w:t>
      </w:r>
      <w:r>
        <w:rPr>
          <w:rFonts w:hint="default" w:ascii="Times New Roman" w:hAnsi="Times New Roman" w:cs="Times New Roman"/>
        </w:rPr>
        <w:t>5</w:t>
      </w:r>
      <w:r>
        <w:rPr>
          <w:rFonts w:hint="default" w:ascii="Times New Roman" w:hAnsi="Times New Roman" w:cs="Times New Roman"/>
          <w:lang w:val="en-US" w:eastAsia="zh-CN"/>
        </w:rPr>
        <w:t>.</w:t>
      </w:r>
      <w:r>
        <w:rPr>
          <w:rFonts w:hint="default" w:ascii="Times New Roman" w:hAnsi="Times New Roman" w:cs="Times New Roman"/>
        </w:rPr>
        <w:t>16~2023</w:t>
      </w:r>
      <w:r>
        <w:rPr>
          <w:rFonts w:hint="default" w:ascii="Times New Roman" w:hAnsi="Times New Roman" w:cs="Times New Roman"/>
          <w:lang w:val="en-US" w:eastAsia="zh-CN"/>
        </w:rPr>
        <w:t>.</w:t>
      </w:r>
      <w:r>
        <w:rPr>
          <w:rFonts w:hint="default" w:ascii="Times New Roman" w:hAnsi="Times New Roman" w:cs="Times New Roman"/>
        </w:rPr>
        <w:t>5</w:t>
      </w:r>
      <w:r>
        <w:rPr>
          <w:rFonts w:hint="default" w:ascii="Times New Roman" w:hAnsi="Times New Roman" w:cs="Times New Roman"/>
          <w:lang w:val="en-US" w:eastAsia="zh-CN"/>
        </w:rPr>
        <w:t>.</w:t>
      </w:r>
      <w:r>
        <w:rPr>
          <w:rFonts w:hint="default" w:ascii="Times New Roman" w:hAnsi="Times New Roman" w:cs="Times New Roman"/>
        </w:rPr>
        <w:t>17</w:t>
      </w:r>
      <w:r>
        <w:rPr>
          <w:rFonts w:hint="default" w:ascii="Times New Roman" w:hAnsi="Times New Roman" w:cs="Times New Roman"/>
          <w:color w:val="auto"/>
        </w:rPr>
        <w:t>监测数据</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地下水监测数据可知，地下水监测点中各监测点位均未出现超标情况，可以能够满</w:t>
      </w:r>
      <w:r>
        <w:rPr>
          <w:rFonts w:hint="eastAsia" w:ascii="Times New Roman" w:hAnsi="Times New Roman" w:eastAsia="宋体"/>
          <w:color w:val="auto"/>
        </w:rPr>
        <w:t>足《地下水质量标准》（GB/T14848-2017）III类水质标准要求。监测数据表明，区域地下水环境状况良好。</w:t>
      </w:r>
    </w:p>
    <w:p w14:paraId="03D6E745">
      <w:pPr>
        <w:pStyle w:val="5"/>
        <w:tabs>
          <w:tab w:val="left" w:pos="720"/>
          <w:tab w:val="left" w:pos="1200"/>
          <w:tab w:val="left" w:pos="1680"/>
        </w:tabs>
        <w:spacing w:before="0" w:after="0" w:line="520" w:lineRule="exact"/>
        <w:ind w:firstLine="0"/>
        <w:rPr>
          <w:rFonts w:hint="eastAsia" w:ascii="Times New Roman" w:hAnsi="Times New Roman" w:eastAsia="宋体"/>
          <w:color w:val="auto"/>
          <w:sz w:val="28"/>
          <w:szCs w:val="28"/>
          <w:lang w:val="en-US" w:eastAsia="zh-CN"/>
        </w:rPr>
      </w:pPr>
      <w:r>
        <w:rPr>
          <w:rFonts w:hint="eastAsia" w:ascii="Times New Roman" w:hAnsi="Times New Roman" w:eastAsia="宋体"/>
          <w:color w:val="auto"/>
          <w:sz w:val="28"/>
          <w:szCs w:val="28"/>
          <w:lang w:val="en-US" w:eastAsia="zh-CN"/>
        </w:rPr>
        <w:t>评价等级</w:t>
      </w:r>
    </w:p>
    <w:p w14:paraId="4F5254A9">
      <w:pPr>
        <w:pStyle w:val="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4"/>
        </w:rPr>
      </w:pPr>
      <w:r>
        <w:rPr>
          <w:sz w:val="24"/>
          <w:szCs w:val="24"/>
        </w:rPr>
        <w:t>根据《环境影响评价技术导则（地下水环境）》（HJ610-2016）规定，地下水评价工作等级的划分依据建设项目行业分类和地下水环境敏感程度分级进行判定。评价工作等级分级表如下：</w:t>
      </w:r>
    </w:p>
    <w:p w14:paraId="0B3E0D42">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表</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6.3</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noBreakHyphen/>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1</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地下水环境评价工作等级分级表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43"/>
        <w:gridCol w:w="1995"/>
        <w:gridCol w:w="1694"/>
        <w:gridCol w:w="1888"/>
      </w:tblGrid>
      <w:tr w14:paraId="2649C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exact"/>
          <w:jc w:val="center"/>
        </w:trPr>
        <w:tc>
          <w:tcPr>
            <w:tcW w:w="1727" w:type="pct"/>
            <w:tcBorders>
              <w:tl2br w:val="single" w:color="000000" w:sz="4" w:space="0"/>
            </w:tcBorders>
            <w:noWrap w:val="0"/>
            <w:vAlign w:val="center"/>
          </w:tcPr>
          <w:p w14:paraId="4A62466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right"/>
              <w:textAlignment w:val="auto"/>
              <w:rPr>
                <w:b/>
                <w:bCs/>
              </w:rPr>
            </w:pPr>
            <w:r>
              <w:rPr>
                <w:rFonts w:hint="eastAsia"/>
                <w:b/>
                <w:bCs/>
              </w:rPr>
              <w:t>项目类别</w:t>
            </w:r>
          </w:p>
          <w:p w14:paraId="3E68F8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left"/>
              <w:textAlignment w:val="auto"/>
              <w:rPr>
                <w:b/>
                <w:bCs/>
              </w:rPr>
            </w:pPr>
            <w:r>
              <w:rPr>
                <w:rFonts w:hint="eastAsia"/>
                <w:b/>
                <w:bCs/>
              </w:rPr>
              <w:t>环境敏感程度</w:t>
            </w:r>
          </w:p>
        </w:tc>
        <w:tc>
          <w:tcPr>
            <w:tcW w:w="1171" w:type="pct"/>
            <w:noWrap w:val="0"/>
            <w:vAlign w:val="center"/>
          </w:tcPr>
          <w:p w14:paraId="331844F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rPr>
            </w:pPr>
            <w:r>
              <w:rPr>
                <w:rFonts w:hint="eastAsia"/>
                <w:b/>
                <w:bCs/>
              </w:rPr>
              <w:t>I类项目</w:t>
            </w:r>
          </w:p>
        </w:tc>
        <w:tc>
          <w:tcPr>
            <w:tcW w:w="994" w:type="pct"/>
            <w:noWrap w:val="0"/>
            <w:vAlign w:val="center"/>
          </w:tcPr>
          <w:p w14:paraId="3C6B5D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rPr>
            </w:pPr>
            <w:r>
              <w:rPr>
                <w:rFonts w:hint="eastAsia"/>
                <w:b/>
                <w:bCs/>
              </w:rPr>
              <w:t>II类项目</w:t>
            </w:r>
          </w:p>
        </w:tc>
        <w:tc>
          <w:tcPr>
            <w:tcW w:w="1108" w:type="pct"/>
            <w:noWrap w:val="0"/>
            <w:vAlign w:val="center"/>
          </w:tcPr>
          <w:p w14:paraId="3FFECDA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rPr>
            </w:pPr>
            <w:r>
              <w:rPr>
                <w:rFonts w:hint="eastAsia"/>
                <w:b/>
                <w:bCs/>
              </w:rPr>
              <w:t>III类项目</w:t>
            </w:r>
          </w:p>
        </w:tc>
      </w:tr>
      <w:tr w14:paraId="27D22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exact"/>
          <w:jc w:val="center"/>
        </w:trPr>
        <w:tc>
          <w:tcPr>
            <w:tcW w:w="1727" w:type="pct"/>
            <w:noWrap w:val="0"/>
            <w:vAlign w:val="center"/>
          </w:tcPr>
          <w:p w14:paraId="336C15A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敏感</w:t>
            </w:r>
          </w:p>
        </w:tc>
        <w:tc>
          <w:tcPr>
            <w:tcW w:w="1171" w:type="pct"/>
            <w:noWrap w:val="0"/>
            <w:vAlign w:val="center"/>
          </w:tcPr>
          <w:p w14:paraId="734521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一</w:t>
            </w:r>
          </w:p>
        </w:tc>
        <w:tc>
          <w:tcPr>
            <w:tcW w:w="994" w:type="pct"/>
            <w:noWrap w:val="0"/>
            <w:vAlign w:val="center"/>
          </w:tcPr>
          <w:p w14:paraId="68D81D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一</w:t>
            </w:r>
          </w:p>
        </w:tc>
        <w:tc>
          <w:tcPr>
            <w:tcW w:w="1108" w:type="pct"/>
            <w:noWrap w:val="0"/>
            <w:vAlign w:val="center"/>
          </w:tcPr>
          <w:p w14:paraId="1F8B6F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二</w:t>
            </w:r>
          </w:p>
        </w:tc>
      </w:tr>
      <w:tr w14:paraId="449FE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exact"/>
          <w:jc w:val="center"/>
        </w:trPr>
        <w:tc>
          <w:tcPr>
            <w:tcW w:w="1727" w:type="pct"/>
            <w:noWrap w:val="0"/>
            <w:vAlign w:val="center"/>
          </w:tcPr>
          <w:p w14:paraId="09E9290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较敏感</w:t>
            </w:r>
          </w:p>
        </w:tc>
        <w:tc>
          <w:tcPr>
            <w:tcW w:w="1171" w:type="pct"/>
            <w:noWrap w:val="0"/>
            <w:vAlign w:val="center"/>
          </w:tcPr>
          <w:p w14:paraId="3C46B88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一</w:t>
            </w:r>
          </w:p>
        </w:tc>
        <w:tc>
          <w:tcPr>
            <w:tcW w:w="994" w:type="pct"/>
            <w:noWrap w:val="0"/>
            <w:vAlign w:val="center"/>
          </w:tcPr>
          <w:p w14:paraId="2E09012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二</w:t>
            </w:r>
          </w:p>
        </w:tc>
        <w:tc>
          <w:tcPr>
            <w:tcW w:w="1108" w:type="pct"/>
            <w:noWrap w:val="0"/>
            <w:vAlign w:val="center"/>
          </w:tcPr>
          <w:p w14:paraId="12E7357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三</w:t>
            </w:r>
          </w:p>
        </w:tc>
      </w:tr>
      <w:tr w14:paraId="49E46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exact"/>
          <w:jc w:val="center"/>
        </w:trPr>
        <w:tc>
          <w:tcPr>
            <w:tcW w:w="1727" w:type="pct"/>
            <w:noWrap w:val="0"/>
            <w:vAlign w:val="center"/>
          </w:tcPr>
          <w:p w14:paraId="73741B0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不敏感</w:t>
            </w:r>
          </w:p>
        </w:tc>
        <w:tc>
          <w:tcPr>
            <w:tcW w:w="1171" w:type="pct"/>
            <w:noWrap w:val="0"/>
            <w:vAlign w:val="center"/>
          </w:tcPr>
          <w:p w14:paraId="620BDF7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二</w:t>
            </w:r>
          </w:p>
        </w:tc>
        <w:tc>
          <w:tcPr>
            <w:tcW w:w="994" w:type="pct"/>
            <w:noWrap w:val="0"/>
            <w:vAlign w:val="center"/>
          </w:tcPr>
          <w:p w14:paraId="22343D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三</w:t>
            </w:r>
          </w:p>
        </w:tc>
        <w:tc>
          <w:tcPr>
            <w:tcW w:w="1108" w:type="pct"/>
            <w:noWrap w:val="0"/>
            <w:vAlign w:val="center"/>
          </w:tcPr>
          <w:p w14:paraId="38A3CAD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三</w:t>
            </w:r>
          </w:p>
        </w:tc>
      </w:tr>
    </w:tbl>
    <w:p w14:paraId="44336E51">
      <w:pPr>
        <w:pStyle w:val="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4"/>
        </w:rPr>
      </w:pPr>
      <w:r>
        <w:rPr>
          <w:sz w:val="24"/>
          <w:szCs w:val="24"/>
        </w:rPr>
        <w:t>（1）地下水环境影响评价项目类别：根据《环境影响评价技术导则地下水环境》（HJ610-2016）附录A，本项目属于Ⅱ类。</w:t>
      </w:r>
    </w:p>
    <w:p w14:paraId="682043B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宋体"/>
          <w:sz w:val="24"/>
          <w:szCs w:val="24"/>
        </w:rPr>
      </w:pPr>
      <w:r>
        <w:rPr>
          <w:sz w:val="24"/>
          <w:szCs w:val="24"/>
        </w:rPr>
        <w:t>（2）建设项目场地的地下水环境敏感程度：</w:t>
      </w:r>
      <w:r>
        <w:rPr>
          <w:rFonts w:hint="eastAsia" w:cs="宋体"/>
          <w:sz w:val="24"/>
        </w:rPr>
        <w:t>本项目在新乡化纤股份有限公司现有厂区场内建设，距最近的集中式饮用水水源地</w:t>
      </w:r>
      <w:r>
        <w:rPr>
          <w:rFonts w:ascii="Times New Roman" w:hAnsi="Times New Roman"/>
          <w:sz w:val="24"/>
        </w:rPr>
        <w:t>古固寨镇地下水饮用水源</w:t>
      </w:r>
      <w:r>
        <w:rPr>
          <w:rFonts w:hint="eastAsia"/>
          <w:sz w:val="24"/>
          <w:lang w:val="en-US" w:eastAsia="zh-CN"/>
        </w:rPr>
        <w:t>保护区</w:t>
      </w:r>
      <w:r>
        <w:rPr>
          <w:rFonts w:ascii="Times New Roman" w:hAnsi="Times New Roman"/>
          <w:sz w:val="24"/>
        </w:rPr>
        <w:t>7</w:t>
      </w:r>
      <w:r>
        <w:rPr>
          <w:rFonts w:hint="eastAsia" w:ascii="Times New Roman" w:hAnsi="Times New Roman"/>
          <w:sz w:val="24"/>
        </w:rPr>
        <w:t>.12k</w:t>
      </w:r>
      <w:r>
        <w:rPr>
          <w:rFonts w:ascii="Times New Roman" w:hAnsi="Times New Roman"/>
          <w:sz w:val="24"/>
        </w:rPr>
        <w:t>m。</w:t>
      </w:r>
      <w:r>
        <w:rPr>
          <w:rFonts w:hint="eastAsia"/>
          <w:b/>
          <w:bCs/>
          <w:color w:val="auto"/>
          <w:u w:val="single"/>
          <w:lang w:eastAsia="zh-CN"/>
        </w:rPr>
        <w:t>本项目东南方向1818m大杨庄村有集中式饮用水源（供水人口＞1000人，未划定准保护区）</w:t>
      </w:r>
      <w:r>
        <w:rPr>
          <w:rFonts w:hint="eastAsia"/>
          <w:b w:val="0"/>
          <w:bCs w:val="0"/>
          <w:color w:val="auto"/>
          <w:u w:val="single"/>
          <w:lang w:eastAsia="zh-CN"/>
        </w:rPr>
        <w:t>，</w:t>
      </w:r>
      <w:r>
        <w:rPr>
          <w:rFonts w:hint="eastAsia"/>
          <w:b/>
          <w:bCs/>
          <w:color w:val="auto"/>
          <w:u w:val="single"/>
          <w:lang w:val="en-US" w:eastAsia="zh-CN"/>
        </w:rPr>
        <w:t>大杨庄村集中式饮用水源不在本项目下游，不在评价范围内。</w:t>
      </w:r>
      <w:r>
        <w:rPr>
          <w:rFonts w:hint="eastAsia" w:cs="宋体"/>
          <w:sz w:val="24"/>
          <w:szCs w:val="24"/>
        </w:rPr>
        <w:t>项目场地不在饮用水水源准保护区、</w:t>
      </w:r>
      <w:r>
        <w:rPr>
          <w:rFonts w:hint="eastAsia"/>
          <w:sz w:val="24"/>
          <w:szCs w:val="24"/>
        </w:rPr>
        <w:t>特殊地下水资源保护区范围内，</w:t>
      </w:r>
      <w:r>
        <w:rPr>
          <w:rFonts w:hint="eastAsia" w:cs="宋体"/>
          <w:sz w:val="24"/>
          <w:szCs w:val="24"/>
        </w:rPr>
        <w:t>不在饮用水水源补给径流区</w:t>
      </w:r>
      <w:r>
        <w:rPr>
          <w:rFonts w:hint="eastAsia"/>
          <w:sz w:val="24"/>
          <w:szCs w:val="24"/>
        </w:rPr>
        <w:t>范围内</w:t>
      </w:r>
      <w:r>
        <w:rPr>
          <w:rFonts w:hint="eastAsia" w:cs="宋体"/>
          <w:sz w:val="24"/>
          <w:szCs w:val="24"/>
        </w:rPr>
        <w:t>，</w:t>
      </w:r>
      <w:r>
        <w:rPr>
          <w:rFonts w:hint="eastAsia" w:cs="宋体"/>
          <w:sz w:val="24"/>
        </w:rPr>
        <w:t>项目场地属于不敏感区</w:t>
      </w:r>
      <w:r>
        <w:rPr>
          <w:rFonts w:hint="eastAsia" w:cs="宋体"/>
          <w:sz w:val="24"/>
          <w:szCs w:val="24"/>
        </w:rPr>
        <w:t>。</w:t>
      </w:r>
    </w:p>
    <w:p w14:paraId="54585AAF">
      <w:pPr>
        <w:pStyle w:val="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4"/>
        </w:rPr>
      </w:pPr>
      <w:r>
        <w:rPr>
          <w:sz w:val="24"/>
          <w:szCs w:val="24"/>
        </w:rPr>
        <w:t>对照《环境影响评价技术导则地下水环境》（HJ610-2016）建设项目评价工作等级分级表可知，本项目地下水评价工作等级为三级。</w:t>
      </w:r>
    </w:p>
    <w:p w14:paraId="3D5D4A3D">
      <w:pPr>
        <w:pStyle w:val="5"/>
        <w:tabs>
          <w:tab w:val="left" w:pos="720"/>
          <w:tab w:val="left" w:pos="1200"/>
          <w:tab w:val="left" w:pos="1680"/>
        </w:tabs>
        <w:spacing w:before="0" w:after="0" w:line="520" w:lineRule="exact"/>
        <w:rPr>
          <w:color w:val="auto"/>
          <w:sz w:val="28"/>
          <w:szCs w:val="28"/>
        </w:rPr>
      </w:pPr>
      <w:r>
        <w:rPr>
          <w:color w:val="auto"/>
          <w:sz w:val="28"/>
          <w:szCs w:val="28"/>
        </w:rPr>
        <w:t>评价范围</w:t>
      </w:r>
    </w:p>
    <w:p w14:paraId="1348079A">
      <w:pPr>
        <w:pStyle w:val="104"/>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ascii="Times New Roman" w:hAnsi="Times New Roman" w:eastAsia="宋体"/>
          <w:color w:val="auto"/>
        </w:rPr>
      </w:pPr>
      <w:r>
        <w:rPr>
          <w:rFonts w:ascii="Times New Roman" w:hAnsi="Times New Roman" w:eastAsia="宋体"/>
          <w:color w:val="auto"/>
        </w:rPr>
        <w:t>本项目厂址位于黄河冲积平原，水文地质条件相对简单。本次评价范围确定先根据导则推荐公式计算出理论范围值，然后根据厂址区域地下水环境保护目标分布情况以及导则地下水环境现状调查评价范围参照表进行调整。</w:t>
      </w:r>
    </w:p>
    <w:p w14:paraId="64397A61">
      <w:pPr>
        <w:pStyle w:val="117"/>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color w:val="auto"/>
          <w:szCs w:val="24"/>
        </w:rPr>
      </w:pPr>
      <w:r>
        <w:rPr>
          <w:color w:val="auto"/>
          <w:szCs w:val="24"/>
        </w:rPr>
        <w:t>L=а×κ×I×T/ne</w:t>
      </w:r>
    </w:p>
    <w:p w14:paraId="106B8FD0">
      <w:pPr>
        <w:pStyle w:val="104"/>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ascii="Times New Roman" w:hAnsi="Times New Roman" w:eastAsia="宋体"/>
          <w:color w:val="auto"/>
        </w:rPr>
      </w:pPr>
      <w:r>
        <w:rPr>
          <w:rFonts w:ascii="Times New Roman" w:hAnsi="Times New Roman" w:eastAsia="宋体"/>
          <w:color w:val="auto"/>
        </w:rPr>
        <w:t>式中：L</w:t>
      </w:r>
      <w:r>
        <w:rPr>
          <w:rFonts w:hint="eastAsia" w:ascii="Times New Roman" w:hAnsi="Times New Roman" w:eastAsia="宋体"/>
          <w:color w:val="auto"/>
          <w:lang w:eastAsia="zh-CN"/>
        </w:rPr>
        <w:t>－</w:t>
      </w:r>
      <w:r>
        <w:rPr>
          <w:rFonts w:ascii="Times New Roman" w:hAnsi="Times New Roman" w:eastAsia="宋体"/>
          <w:color w:val="auto"/>
        </w:rPr>
        <w:t>下游迁移距离，m；</w:t>
      </w:r>
    </w:p>
    <w:p w14:paraId="75A9F9FE">
      <w:pPr>
        <w:pStyle w:val="104"/>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ascii="Times New Roman" w:hAnsi="Times New Roman" w:eastAsia="宋体"/>
          <w:color w:val="auto"/>
        </w:rPr>
      </w:pPr>
      <w:r>
        <w:rPr>
          <w:rFonts w:ascii="Times New Roman" w:hAnsi="Times New Roman" w:eastAsia="宋体"/>
          <w:color w:val="auto"/>
        </w:rPr>
        <w:t xml:space="preserve">      а</w:t>
      </w:r>
      <w:r>
        <w:rPr>
          <w:rFonts w:hint="eastAsia" w:ascii="Times New Roman" w:hAnsi="Times New Roman" w:eastAsia="宋体"/>
          <w:color w:val="auto"/>
          <w:lang w:eastAsia="zh-CN"/>
        </w:rPr>
        <w:t>－</w:t>
      </w:r>
      <w:r>
        <w:rPr>
          <w:rFonts w:ascii="Times New Roman" w:hAnsi="Times New Roman" w:eastAsia="宋体"/>
          <w:color w:val="auto"/>
        </w:rPr>
        <w:t>变化系数，а≥1，一般取2；</w:t>
      </w:r>
    </w:p>
    <w:p w14:paraId="11742FDF">
      <w:pPr>
        <w:pStyle w:val="104"/>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hint="eastAsia" w:ascii="Times New Roman" w:hAnsi="Times New Roman" w:eastAsia="宋体"/>
          <w:color w:val="auto"/>
        </w:rPr>
      </w:pPr>
      <w:r>
        <w:rPr>
          <w:rFonts w:hint="eastAsia" w:ascii="Times New Roman" w:hAnsi="Times New Roman" w:eastAsia="宋体"/>
          <w:color w:val="auto"/>
        </w:rPr>
        <w:t xml:space="preserve">      κ</w:t>
      </w:r>
      <w:r>
        <w:rPr>
          <w:rFonts w:hint="eastAsia" w:ascii="Times New Roman" w:hAnsi="Times New Roman" w:eastAsia="宋体"/>
          <w:color w:val="auto"/>
          <w:lang w:eastAsia="zh-CN"/>
        </w:rPr>
        <w:t>－</w:t>
      </w:r>
      <w:r>
        <w:rPr>
          <w:rFonts w:hint="eastAsia" w:ascii="Times New Roman" w:hAnsi="Times New Roman" w:eastAsia="宋体"/>
          <w:color w:val="auto"/>
        </w:rPr>
        <w:t>渗透系数，m/d，常见渗透系数表见导则附录B表B1；评价区含水层主要为细砂，根据附录B取值为10 m/d；</w:t>
      </w:r>
    </w:p>
    <w:p w14:paraId="14DA7B1C">
      <w:pPr>
        <w:pStyle w:val="104"/>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ascii="Times New Roman" w:hAnsi="Times New Roman" w:eastAsia="宋体"/>
          <w:color w:val="auto"/>
        </w:rPr>
      </w:pPr>
      <w:r>
        <w:rPr>
          <w:rFonts w:ascii="Times New Roman" w:hAnsi="Times New Roman" w:eastAsia="宋体"/>
          <w:color w:val="auto"/>
        </w:rPr>
        <w:t xml:space="preserve">      I</w:t>
      </w:r>
      <w:r>
        <w:rPr>
          <w:rFonts w:hint="eastAsia" w:ascii="Times New Roman" w:hAnsi="Times New Roman" w:eastAsia="宋体"/>
          <w:color w:val="auto"/>
          <w:lang w:eastAsia="zh-CN"/>
        </w:rPr>
        <w:t>－</w:t>
      </w:r>
      <w:r>
        <w:rPr>
          <w:rFonts w:ascii="Times New Roman" w:hAnsi="Times New Roman" w:eastAsia="宋体"/>
          <w:color w:val="auto"/>
        </w:rPr>
        <w:t>水力坡度，无量纲；</w:t>
      </w:r>
    </w:p>
    <w:p w14:paraId="45AC4D64">
      <w:pPr>
        <w:pStyle w:val="104"/>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ascii="Times New Roman" w:hAnsi="Times New Roman" w:eastAsia="宋体"/>
          <w:color w:val="auto"/>
        </w:rPr>
      </w:pPr>
      <w:r>
        <w:rPr>
          <w:rFonts w:ascii="Times New Roman" w:hAnsi="Times New Roman" w:eastAsia="宋体"/>
          <w:color w:val="auto"/>
        </w:rPr>
        <w:t xml:space="preserve">      T</w:t>
      </w:r>
      <w:r>
        <w:rPr>
          <w:rFonts w:hint="eastAsia" w:ascii="Times New Roman" w:hAnsi="Times New Roman" w:eastAsia="宋体"/>
          <w:color w:val="auto"/>
          <w:lang w:eastAsia="zh-CN"/>
        </w:rPr>
        <w:t>－</w:t>
      </w:r>
      <w:r>
        <w:rPr>
          <w:rFonts w:ascii="Times New Roman" w:hAnsi="Times New Roman" w:eastAsia="宋体"/>
          <w:color w:val="auto"/>
        </w:rPr>
        <w:t>质点迁移天数，取值不小于5000d；</w:t>
      </w:r>
    </w:p>
    <w:p w14:paraId="123985DC">
      <w:pPr>
        <w:pStyle w:val="104"/>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ascii="Times New Roman" w:hAnsi="Times New Roman" w:eastAsia="宋体"/>
          <w:color w:val="auto"/>
        </w:rPr>
      </w:pPr>
      <w:r>
        <w:rPr>
          <w:rFonts w:ascii="Times New Roman" w:hAnsi="Times New Roman" w:eastAsia="宋体"/>
          <w:color w:val="auto"/>
        </w:rPr>
        <w:t xml:space="preserve">      n</w:t>
      </w:r>
      <w:r>
        <w:rPr>
          <w:rFonts w:ascii="Times New Roman" w:hAnsi="Times New Roman" w:eastAsia="宋体"/>
          <w:color w:val="auto"/>
          <w:vertAlign w:val="subscript"/>
        </w:rPr>
        <w:t>e</w:t>
      </w:r>
      <w:r>
        <w:rPr>
          <w:rFonts w:hint="eastAsia" w:ascii="Times New Roman" w:hAnsi="Times New Roman" w:eastAsia="宋体"/>
          <w:color w:val="auto"/>
          <w:vertAlign w:val="subscript"/>
          <w:lang w:eastAsia="zh-CN"/>
        </w:rPr>
        <w:t>－</w:t>
      </w:r>
      <w:r>
        <w:rPr>
          <w:rFonts w:ascii="Times New Roman" w:hAnsi="Times New Roman" w:eastAsia="宋体"/>
          <w:color w:val="auto"/>
        </w:rPr>
        <w:t>有效孔隙度，无量纲。</w:t>
      </w:r>
    </w:p>
    <w:p w14:paraId="53E8C3F4">
      <w:pPr>
        <w:pStyle w:val="104"/>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ascii="Times New Roman" w:hAnsi="Times New Roman" w:eastAsia="宋体"/>
          <w:color w:val="auto"/>
        </w:rPr>
      </w:pPr>
      <w:r>
        <w:rPr>
          <w:rFonts w:ascii="Times New Roman" w:hAnsi="Times New Roman" w:eastAsia="宋体"/>
          <w:color w:val="auto"/>
        </w:rPr>
        <w:t>水力坡度根据区域村庄水平距离和地下水水面高程差计算确定，计算情况见</w:t>
      </w:r>
      <w:r>
        <w:rPr>
          <w:rFonts w:hint="eastAsia" w:ascii="Times New Roman" w:hAnsi="Times New Roman" w:eastAsia="宋体"/>
          <w:color w:val="auto"/>
          <w:lang w:val="en-US" w:eastAsia="zh-CN"/>
        </w:rPr>
        <w:t>下表</w:t>
      </w:r>
      <w:r>
        <w:rPr>
          <w:rFonts w:ascii="Times New Roman" w:hAnsi="Times New Roman" w:eastAsia="宋体"/>
          <w:color w:val="auto"/>
        </w:rPr>
        <w:t>。</w:t>
      </w:r>
    </w:p>
    <w:p w14:paraId="194F7DA9">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 xml:space="preserve">表 </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6.3</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2</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地下水水力坡度计算情况一览表</w:t>
      </w:r>
    </w:p>
    <w:tbl>
      <w:tblPr>
        <w:tblStyle w:val="31"/>
        <w:tblW w:w="8505" w:type="dxa"/>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2079"/>
        <w:gridCol w:w="1200"/>
        <w:gridCol w:w="1152"/>
        <w:gridCol w:w="1920"/>
        <w:gridCol w:w="1128"/>
        <w:gridCol w:w="1026"/>
      </w:tblGrid>
      <w:tr w14:paraId="6B71F54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079" w:type="dxa"/>
            <w:vAlign w:val="center"/>
          </w:tcPr>
          <w:p w14:paraId="493DE04B">
            <w:pPr>
              <w:pStyle w:val="182"/>
              <w:bidi w:val="0"/>
              <w:rPr>
                <w:b/>
                <w:bCs/>
                <w:color w:val="auto"/>
              </w:rPr>
            </w:pPr>
            <w:r>
              <w:rPr>
                <w:b/>
                <w:bCs/>
                <w:color w:val="auto"/>
              </w:rPr>
              <w:t>水井</w:t>
            </w:r>
          </w:p>
        </w:tc>
        <w:tc>
          <w:tcPr>
            <w:tcW w:w="1200" w:type="dxa"/>
            <w:vAlign w:val="center"/>
          </w:tcPr>
          <w:p w14:paraId="5CAB5F3F">
            <w:pPr>
              <w:pStyle w:val="182"/>
              <w:bidi w:val="0"/>
              <w:rPr>
                <w:b/>
                <w:bCs/>
                <w:color w:val="auto"/>
              </w:rPr>
            </w:pPr>
            <w:r>
              <w:rPr>
                <w:b/>
                <w:bCs/>
                <w:color w:val="auto"/>
              </w:rPr>
              <w:t>方向</w:t>
            </w:r>
          </w:p>
        </w:tc>
        <w:tc>
          <w:tcPr>
            <w:tcW w:w="1152" w:type="dxa"/>
            <w:vAlign w:val="center"/>
          </w:tcPr>
          <w:p w14:paraId="4A38E4EC">
            <w:pPr>
              <w:pStyle w:val="182"/>
              <w:bidi w:val="0"/>
              <w:rPr>
                <w:b/>
                <w:bCs/>
                <w:color w:val="auto"/>
              </w:rPr>
            </w:pPr>
            <w:r>
              <w:rPr>
                <w:rFonts w:hint="eastAsia"/>
                <w:b/>
                <w:bCs/>
                <w:color w:val="auto"/>
              </w:rPr>
              <w:t>直线</w:t>
            </w:r>
            <w:r>
              <w:rPr>
                <w:b/>
                <w:bCs/>
                <w:color w:val="auto"/>
              </w:rPr>
              <w:t>距离</w:t>
            </w:r>
          </w:p>
        </w:tc>
        <w:tc>
          <w:tcPr>
            <w:tcW w:w="1920" w:type="dxa"/>
            <w:vAlign w:val="center"/>
          </w:tcPr>
          <w:p w14:paraId="38843F28">
            <w:pPr>
              <w:pStyle w:val="182"/>
              <w:bidi w:val="0"/>
              <w:rPr>
                <w:b/>
                <w:bCs/>
                <w:color w:val="auto"/>
              </w:rPr>
            </w:pPr>
            <w:r>
              <w:rPr>
                <w:b/>
                <w:bCs/>
                <w:color w:val="auto"/>
              </w:rPr>
              <w:t>地下水水面高程差</w:t>
            </w:r>
          </w:p>
        </w:tc>
        <w:tc>
          <w:tcPr>
            <w:tcW w:w="1128" w:type="dxa"/>
            <w:vAlign w:val="center"/>
          </w:tcPr>
          <w:p w14:paraId="7C8244F2">
            <w:pPr>
              <w:pStyle w:val="182"/>
              <w:bidi w:val="0"/>
              <w:rPr>
                <w:b/>
                <w:bCs/>
                <w:color w:val="auto"/>
              </w:rPr>
            </w:pPr>
            <w:r>
              <w:rPr>
                <w:b/>
                <w:bCs/>
                <w:color w:val="auto"/>
              </w:rPr>
              <w:t>水力坡度</w:t>
            </w:r>
          </w:p>
        </w:tc>
        <w:tc>
          <w:tcPr>
            <w:tcW w:w="1026" w:type="dxa"/>
            <w:vAlign w:val="center"/>
          </w:tcPr>
          <w:p w14:paraId="3AE2299B">
            <w:pPr>
              <w:pStyle w:val="182"/>
              <w:bidi w:val="0"/>
              <w:rPr>
                <w:b/>
                <w:bCs/>
                <w:color w:val="auto"/>
              </w:rPr>
            </w:pPr>
            <w:r>
              <w:rPr>
                <w:b/>
                <w:bCs/>
                <w:color w:val="auto"/>
              </w:rPr>
              <w:t>平均值</w:t>
            </w:r>
          </w:p>
        </w:tc>
      </w:tr>
      <w:tr w14:paraId="707109D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079" w:type="dxa"/>
            <w:vAlign w:val="center"/>
          </w:tcPr>
          <w:p w14:paraId="0180EF67">
            <w:pPr>
              <w:pStyle w:val="182"/>
              <w:bidi w:val="0"/>
              <w:rPr>
                <w:color w:val="auto"/>
              </w:rPr>
            </w:pPr>
            <w:r>
              <w:rPr>
                <w:rFonts w:hint="eastAsia"/>
                <w:color w:val="auto"/>
                <w:lang w:val="en-US" w:eastAsia="zh-CN"/>
              </w:rPr>
              <w:t>北张兴庄－</w:t>
            </w:r>
            <w:r>
              <w:rPr>
                <w:rFonts w:hint="eastAsia"/>
                <w:color w:val="auto"/>
              </w:rPr>
              <w:t>水花堡村</w:t>
            </w:r>
          </w:p>
        </w:tc>
        <w:tc>
          <w:tcPr>
            <w:tcW w:w="1200" w:type="dxa"/>
            <w:vAlign w:val="center"/>
          </w:tcPr>
          <w:p w14:paraId="335733D9">
            <w:pPr>
              <w:pStyle w:val="182"/>
              <w:bidi w:val="0"/>
              <w:rPr>
                <w:color w:val="auto"/>
              </w:rPr>
            </w:pPr>
            <w:r>
              <w:rPr>
                <w:rFonts w:hint="eastAsia"/>
                <w:color w:val="auto"/>
              </w:rPr>
              <w:t>西南</w:t>
            </w:r>
            <w:r>
              <w:rPr>
                <w:rFonts w:hint="eastAsia"/>
                <w:color w:val="auto"/>
                <w:lang w:eastAsia="zh-CN"/>
              </w:rPr>
              <w:t>－</w:t>
            </w:r>
            <w:r>
              <w:rPr>
                <w:rFonts w:hint="eastAsia"/>
                <w:color w:val="auto"/>
              </w:rPr>
              <w:t>东北</w:t>
            </w:r>
          </w:p>
        </w:tc>
        <w:tc>
          <w:tcPr>
            <w:tcW w:w="1152" w:type="dxa"/>
            <w:vAlign w:val="center"/>
          </w:tcPr>
          <w:p w14:paraId="293B1806">
            <w:pPr>
              <w:pStyle w:val="182"/>
              <w:bidi w:val="0"/>
              <w:rPr>
                <w:color w:val="auto"/>
              </w:rPr>
            </w:pPr>
            <w:r>
              <w:rPr>
                <w:rFonts w:hint="eastAsia"/>
                <w:color w:val="auto"/>
                <w:lang w:val="en-US" w:eastAsia="zh-CN"/>
              </w:rPr>
              <w:t>5566</w:t>
            </w:r>
            <w:r>
              <w:rPr>
                <w:color w:val="auto"/>
              </w:rPr>
              <w:t xml:space="preserve"> m</w:t>
            </w:r>
          </w:p>
        </w:tc>
        <w:tc>
          <w:tcPr>
            <w:tcW w:w="1920" w:type="dxa"/>
            <w:vAlign w:val="center"/>
          </w:tcPr>
          <w:p w14:paraId="0BDE9425">
            <w:pPr>
              <w:pStyle w:val="182"/>
              <w:bidi w:val="0"/>
              <w:rPr>
                <w:color w:val="auto"/>
              </w:rPr>
            </w:pPr>
            <w:r>
              <w:rPr>
                <w:rFonts w:hint="eastAsia"/>
                <w:color w:val="auto"/>
                <w:lang w:val="en-US" w:eastAsia="zh-CN"/>
              </w:rPr>
              <w:t>3.0</w:t>
            </w:r>
            <w:r>
              <w:rPr>
                <w:color w:val="auto"/>
              </w:rPr>
              <w:t xml:space="preserve"> m</w:t>
            </w:r>
          </w:p>
        </w:tc>
        <w:tc>
          <w:tcPr>
            <w:tcW w:w="1128" w:type="dxa"/>
            <w:vAlign w:val="center"/>
          </w:tcPr>
          <w:p w14:paraId="58E93C9F">
            <w:pPr>
              <w:pStyle w:val="182"/>
              <w:bidi w:val="0"/>
              <w:rPr>
                <w:color w:val="auto"/>
              </w:rPr>
            </w:pPr>
            <w:r>
              <w:rPr>
                <w:color w:val="auto"/>
              </w:rPr>
              <w:t>5.39×10</w:t>
            </w:r>
            <w:r>
              <w:rPr>
                <w:color w:val="auto"/>
                <w:vertAlign w:val="superscript"/>
              </w:rPr>
              <w:t>-4</w:t>
            </w:r>
          </w:p>
        </w:tc>
        <w:tc>
          <w:tcPr>
            <w:tcW w:w="1026" w:type="dxa"/>
            <w:vMerge w:val="restart"/>
            <w:vAlign w:val="center"/>
          </w:tcPr>
          <w:p w14:paraId="7EBE2FC2">
            <w:pPr>
              <w:pStyle w:val="182"/>
              <w:bidi w:val="0"/>
              <w:rPr>
                <w:color w:val="auto"/>
              </w:rPr>
            </w:pPr>
            <w:r>
              <w:rPr>
                <w:rFonts w:hint="eastAsia"/>
                <w:color w:val="auto"/>
              </w:rPr>
              <w:t>5.78</w:t>
            </w:r>
            <w:r>
              <w:rPr>
                <w:color w:val="auto"/>
              </w:rPr>
              <w:t>×10</w:t>
            </w:r>
            <w:r>
              <w:rPr>
                <w:color w:val="auto"/>
                <w:vertAlign w:val="superscript"/>
              </w:rPr>
              <w:t>-</w:t>
            </w:r>
            <w:r>
              <w:rPr>
                <w:rFonts w:hint="eastAsia"/>
                <w:color w:val="auto"/>
                <w:vertAlign w:val="superscript"/>
              </w:rPr>
              <w:t>4</w:t>
            </w:r>
          </w:p>
        </w:tc>
      </w:tr>
      <w:tr w14:paraId="287765E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079" w:type="dxa"/>
            <w:vAlign w:val="center"/>
          </w:tcPr>
          <w:p w14:paraId="38FEC85E">
            <w:pPr>
              <w:pStyle w:val="182"/>
              <w:bidi w:val="0"/>
              <w:rPr>
                <w:rFonts w:hint="eastAsia" w:eastAsia="宋体"/>
                <w:color w:val="auto"/>
                <w:lang w:val="en-US" w:eastAsia="zh-CN"/>
              </w:rPr>
            </w:pPr>
            <w:r>
              <w:rPr>
                <w:rFonts w:hint="eastAsia"/>
                <w:color w:val="auto"/>
              </w:rPr>
              <w:t>姚庄</w:t>
            </w:r>
            <w:r>
              <w:rPr>
                <w:rFonts w:hint="eastAsia"/>
                <w:color w:val="auto"/>
                <w:lang w:val="en-US" w:eastAsia="zh-CN"/>
              </w:rPr>
              <w:t>－</w:t>
            </w:r>
            <w:r>
              <w:rPr>
                <w:rFonts w:hint="eastAsia"/>
                <w:color w:val="auto"/>
                <w:lang w:eastAsia="zh-CN"/>
              </w:rPr>
              <w:t>十</w:t>
            </w:r>
            <w:r>
              <w:rPr>
                <w:rFonts w:hint="eastAsia"/>
                <w:color w:val="auto"/>
                <w:lang w:val="en-US" w:eastAsia="zh-CN"/>
              </w:rPr>
              <w:t>八里庄</w:t>
            </w:r>
          </w:p>
        </w:tc>
        <w:tc>
          <w:tcPr>
            <w:tcW w:w="1200" w:type="dxa"/>
            <w:vAlign w:val="center"/>
          </w:tcPr>
          <w:p w14:paraId="24C206A5">
            <w:pPr>
              <w:pStyle w:val="182"/>
              <w:bidi w:val="0"/>
              <w:rPr>
                <w:color w:val="auto"/>
              </w:rPr>
            </w:pPr>
            <w:r>
              <w:rPr>
                <w:rFonts w:hint="eastAsia"/>
                <w:color w:val="auto"/>
              </w:rPr>
              <w:t>西南</w:t>
            </w:r>
            <w:r>
              <w:rPr>
                <w:rFonts w:hint="eastAsia"/>
                <w:color w:val="auto"/>
                <w:lang w:eastAsia="zh-CN"/>
              </w:rPr>
              <w:t>－</w:t>
            </w:r>
            <w:r>
              <w:rPr>
                <w:rFonts w:hint="eastAsia"/>
                <w:color w:val="auto"/>
              </w:rPr>
              <w:t>东北</w:t>
            </w:r>
          </w:p>
        </w:tc>
        <w:tc>
          <w:tcPr>
            <w:tcW w:w="1152" w:type="dxa"/>
            <w:vAlign w:val="center"/>
          </w:tcPr>
          <w:p w14:paraId="644549E5">
            <w:pPr>
              <w:pStyle w:val="182"/>
              <w:bidi w:val="0"/>
              <w:rPr>
                <w:color w:val="auto"/>
              </w:rPr>
            </w:pPr>
            <w:r>
              <w:rPr>
                <w:rFonts w:hint="eastAsia"/>
                <w:color w:val="auto"/>
                <w:lang w:val="en-US" w:eastAsia="zh-CN"/>
              </w:rPr>
              <w:t>6490</w:t>
            </w:r>
            <w:r>
              <w:rPr>
                <w:color w:val="auto"/>
              </w:rPr>
              <w:t xml:space="preserve"> m</w:t>
            </w:r>
          </w:p>
        </w:tc>
        <w:tc>
          <w:tcPr>
            <w:tcW w:w="1920" w:type="dxa"/>
            <w:vAlign w:val="center"/>
          </w:tcPr>
          <w:p w14:paraId="0CDF2F26">
            <w:pPr>
              <w:pStyle w:val="182"/>
              <w:bidi w:val="0"/>
              <w:rPr>
                <w:color w:val="auto"/>
              </w:rPr>
            </w:pPr>
            <w:r>
              <w:rPr>
                <w:rFonts w:hint="eastAsia"/>
                <w:color w:val="auto"/>
                <w:lang w:val="en-US" w:eastAsia="zh-CN"/>
              </w:rPr>
              <w:t>4.0</w:t>
            </w:r>
            <w:r>
              <w:rPr>
                <w:color w:val="auto"/>
              </w:rPr>
              <w:t xml:space="preserve"> m</w:t>
            </w:r>
          </w:p>
        </w:tc>
        <w:tc>
          <w:tcPr>
            <w:tcW w:w="1128" w:type="dxa"/>
            <w:vAlign w:val="center"/>
          </w:tcPr>
          <w:p w14:paraId="003C77B6">
            <w:pPr>
              <w:pStyle w:val="182"/>
              <w:bidi w:val="0"/>
              <w:rPr>
                <w:color w:val="auto"/>
              </w:rPr>
            </w:pPr>
            <w:r>
              <w:rPr>
                <w:color w:val="auto"/>
              </w:rPr>
              <w:t>6.16×10</w:t>
            </w:r>
            <w:r>
              <w:rPr>
                <w:color w:val="auto"/>
                <w:vertAlign w:val="superscript"/>
              </w:rPr>
              <w:t>-4</w:t>
            </w:r>
          </w:p>
        </w:tc>
        <w:tc>
          <w:tcPr>
            <w:tcW w:w="1026" w:type="dxa"/>
            <w:vMerge w:val="continue"/>
            <w:vAlign w:val="center"/>
          </w:tcPr>
          <w:p w14:paraId="03AE4F55">
            <w:pPr>
              <w:pStyle w:val="182"/>
              <w:bidi w:val="0"/>
              <w:rPr>
                <w:color w:val="auto"/>
              </w:rPr>
            </w:pPr>
          </w:p>
        </w:tc>
      </w:tr>
    </w:tbl>
    <w:p w14:paraId="67895107">
      <w:pPr>
        <w:pStyle w:val="104"/>
        <w:spacing w:line="520" w:lineRule="exact"/>
        <w:ind w:firstLineChars="200"/>
        <w:rPr>
          <w:rFonts w:ascii="Times New Roman" w:hAnsi="Times New Roman" w:eastAsia="宋体"/>
          <w:color w:val="auto"/>
        </w:rPr>
      </w:pPr>
      <w:r>
        <w:rPr>
          <w:rFonts w:ascii="Times New Roman" w:hAnsi="Times New Roman" w:eastAsia="宋体"/>
          <w:color w:val="auto"/>
        </w:rPr>
        <w:t>不同地质孔隙度经验值一览表见</w:t>
      </w:r>
      <w:r>
        <w:rPr>
          <w:rFonts w:hint="eastAsia" w:ascii="Times New Roman" w:hAnsi="Times New Roman" w:eastAsia="宋体"/>
          <w:color w:val="auto"/>
          <w:lang w:val="en-US" w:eastAsia="zh-CN"/>
        </w:rPr>
        <w:t>下表</w:t>
      </w:r>
      <w:r>
        <w:rPr>
          <w:rFonts w:ascii="Times New Roman" w:hAnsi="Times New Roman" w:eastAsia="宋体"/>
          <w:color w:val="auto"/>
        </w:rPr>
        <w:t>，评价区含水介质主要为</w:t>
      </w:r>
      <w:r>
        <w:rPr>
          <w:rFonts w:hint="eastAsia" w:ascii="Times New Roman" w:hAnsi="Times New Roman" w:eastAsia="宋体"/>
          <w:color w:val="auto"/>
        </w:rPr>
        <w:t>细砂</w:t>
      </w:r>
      <w:r>
        <w:rPr>
          <w:rFonts w:ascii="Times New Roman" w:hAnsi="Times New Roman" w:eastAsia="宋体"/>
          <w:color w:val="auto"/>
        </w:rPr>
        <w:t>，有效孔隙度取0.4。</w:t>
      </w:r>
    </w:p>
    <w:p w14:paraId="3313F4F1">
      <w:pPr>
        <w:pStyle w:val="10"/>
        <w:bidi w:val="0"/>
        <w:rPr>
          <w:rFonts w:hint="eastAsia" w:ascii="Times New Roman" w:hAnsi="Times New Roman" w:eastAsia="宋体"/>
          <w:lang w:val="en-US" w:eastAsia="zh-CN"/>
        </w:rPr>
      </w:pPr>
      <w:r>
        <w:rPr>
          <w:rFonts w:hint="eastAsia" w:ascii="Times New Roman" w:hAnsi="Times New Roman" w:eastAsia="宋体"/>
          <w:lang w:val="en-US" w:eastAsia="zh-CN"/>
        </w:rPr>
        <w:t xml:space="preserve">表 </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STYLEREF 2 \s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6.3</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w:t>
      </w:r>
      <w:r>
        <w:rPr>
          <w:rFonts w:hint="eastAsia" w:ascii="Times New Roman" w:hAnsi="Times New Roman" w:eastAsia="宋体"/>
          <w:lang w:val="en-US" w:eastAsia="zh-CN"/>
        </w:rPr>
        <w:fldChar w:fldCharType="begin"/>
      </w:r>
      <w:r>
        <w:rPr>
          <w:rFonts w:hint="eastAsia" w:ascii="Times New Roman" w:hAnsi="Times New Roman" w:eastAsia="宋体"/>
          <w:lang w:val="en-US" w:eastAsia="zh-CN"/>
        </w:rPr>
        <w:instrText xml:space="preserve"> SEQ 表 \* ARABIC \s 2 </w:instrText>
      </w:r>
      <w:r>
        <w:rPr>
          <w:rFonts w:hint="eastAsia" w:ascii="Times New Roman" w:hAnsi="Times New Roman" w:eastAsia="宋体"/>
          <w:lang w:val="en-US" w:eastAsia="zh-CN"/>
        </w:rPr>
        <w:fldChar w:fldCharType="separate"/>
      </w:r>
      <w:r>
        <w:rPr>
          <w:rFonts w:hint="eastAsia" w:ascii="Times New Roman" w:hAnsi="Times New Roman" w:eastAsia="宋体"/>
          <w:lang w:val="en-US" w:eastAsia="zh-CN"/>
        </w:rPr>
        <w:t>3</w:t>
      </w:r>
      <w:r>
        <w:rPr>
          <w:rFonts w:hint="eastAsia" w:ascii="Times New Roman" w:hAnsi="Times New Roman" w:eastAsia="宋体"/>
          <w:lang w:val="en-US" w:eastAsia="zh-CN"/>
        </w:rPr>
        <w:fldChar w:fldCharType="end"/>
      </w:r>
      <w:r>
        <w:rPr>
          <w:rFonts w:hint="eastAsia" w:ascii="Times New Roman" w:hAnsi="Times New Roman" w:eastAsia="宋体"/>
          <w:lang w:val="en-US" w:eastAsia="zh-CN"/>
        </w:rPr>
        <w:t xml:space="preserve"> 孔隙度经验值一览表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96"/>
        <w:gridCol w:w="1526"/>
        <w:gridCol w:w="1417"/>
        <w:gridCol w:w="1418"/>
        <w:gridCol w:w="1276"/>
        <w:gridCol w:w="1190"/>
      </w:tblGrid>
      <w:tr w14:paraId="34F600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7" w:type="dxa"/>
            <w:vAlign w:val="center"/>
          </w:tcPr>
          <w:p w14:paraId="57EB8E05">
            <w:pPr>
              <w:pStyle w:val="182"/>
              <w:bidi w:val="0"/>
              <w:rPr>
                <w:b/>
                <w:bCs/>
                <w:color w:val="auto"/>
              </w:rPr>
            </w:pPr>
            <w:r>
              <w:rPr>
                <w:b/>
                <w:bCs/>
                <w:color w:val="auto"/>
              </w:rPr>
              <w:t>岩石名称</w:t>
            </w:r>
          </w:p>
        </w:tc>
        <w:tc>
          <w:tcPr>
            <w:tcW w:w="1570" w:type="dxa"/>
            <w:vAlign w:val="center"/>
          </w:tcPr>
          <w:p w14:paraId="2951594A">
            <w:pPr>
              <w:pStyle w:val="182"/>
              <w:bidi w:val="0"/>
              <w:rPr>
                <w:b/>
                <w:bCs/>
                <w:color w:val="auto"/>
              </w:rPr>
            </w:pPr>
            <w:r>
              <w:rPr>
                <w:b/>
                <w:bCs/>
                <w:color w:val="auto"/>
              </w:rPr>
              <w:t>砾石（粗）</w:t>
            </w:r>
          </w:p>
        </w:tc>
        <w:tc>
          <w:tcPr>
            <w:tcW w:w="1458" w:type="dxa"/>
            <w:vAlign w:val="center"/>
          </w:tcPr>
          <w:p w14:paraId="0B140442">
            <w:pPr>
              <w:pStyle w:val="182"/>
              <w:bidi w:val="0"/>
              <w:rPr>
                <w:b/>
                <w:bCs/>
                <w:color w:val="auto"/>
              </w:rPr>
            </w:pPr>
            <w:r>
              <w:rPr>
                <w:b/>
                <w:bCs/>
                <w:color w:val="auto"/>
              </w:rPr>
              <w:t>砾石（细）</w:t>
            </w:r>
          </w:p>
        </w:tc>
        <w:tc>
          <w:tcPr>
            <w:tcW w:w="1459" w:type="dxa"/>
            <w:vAlign w:val="center"/>
          </w:tcPr>
          <w:p w14:paraId="087E1D1A">
            <w:pPr>
              <w:pStyle w:val="182"/>
              <w:bidi w:val="0"/>
              <w:rPr>
                <w:b/>
                <w:bCs/>
                <w:color w:val="auto"/>
              </w:rPr>
            </w:pPr>
            <w:r>
              <w:rPr>
                <w:b/>
                <w:bCs/>
                <w:color w:val="auto"/>
              </w:rPr>
              <w:t>砂（粗）</w:t>
            </w:r>
          </w:p>
        </w:tc>
        <w:tc>
          <w:tcPr>
            <w:tcW w:w="1313" w:type="dxa"/>
            <w:vAlign w:val="center"/>
          </w:tcPr>
          <w:p w14:paraId="5F20446F">
            <w:pPr>
              <w:pStyle w:val="182"/>
              <w:bidi w:val="0"/>
              <w:rPr>
                <w:b/>
                <w:bCs/>
                <w:color w:val="auto"/>
              </w:rPr>
            </w:pPr>
            <w:r>
              <w:rPr>
                <w:b/>
                <w:bCs/>
                <w:color w:val="auto"/>
              </w:rPr>
              <w:t>砂（细）</w:t>
            </w:r>
          </w:p>
        </w:tc>
        <w:tc>
          <w:tcPr>
            <w:tcW w:w="1224" w:type="dxa"/>
            <w:vAlign w:val="center"/>
          </w:tcPr>
          <w:p w14:paraId="0DE8D08A">
            <w:pPr>
              <w:pStyle w:val="182"/>
              <w:bidi w:val="0"/>
              <w:rPr>
                <w:b/>
                <w:bCs/>
                <w:color w:val="auto"/>
              </w:rPr>
            </w:pPr>
            <w:r>
              <w:rPr>
                <w:b/>
                <w:bCs/>
                <w:color w:val="auto"/>
              </w:rPr>
              <w:t>黏土</w:t>
            </w:r>
          </w:p>
        </w:tc>
      </w:tr>
      <w:tr w14:paraId="316003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7" w:type="dxa"/>
            <w:vAlign w:val="center"/>
          </w:tcPr>
          <w:p w14:paraId="0467EBAA">
            <w:pPr>
              <w:pStyle w:val="182"/>
              <w:bidi w:val="0"/>
              <w:rPr>
                <w:color w:val="auto"/>
              </w:rPr>
            </w:pPr>
            <w:r>
              <w:rPr>
                <w:color w:val="auto"/>
              </w:rPr>
              <w:t>孔隙度变化区间</w:t>
            </w:r>
          </w:p>
        </w:tc>
        <w:tc>
          <w:tcPr>
            <w:tcW w:w="1570" w:type="dxa"/>
            <w:vAlign w:val="center"/>
          </w:tcPr>
          <w:p w14:paraId="71A5AFFF">
            <w:pPr>
              <w:pStyle w:val="182"/>
              <w:bidi w:val="0"/>
              <w:rPr>
                <w:color w:val="auto"/>
              </w:rPr>
            </w:pPr>
            <w:r>
              <w:rPr>
                <w:color w:val="auto"/>
              </w:rPr>
              <w:t>24%</w:t>
            </w:r>
            <w:r>
              <w:rPr>
                <w:rFonts w:hint="eastAsia"/>
                <w:color w:val="auto"/>
                <w:lang w:eastAsia="zh-CN"/>
              </w:rPr>
              <w:t>—</w:t>
            </w:r>
            <w:r>
              <w:rPr>
                <w:color w:val="auto"/>
              </w:rPr>
              <w:t>36%</w:t>
            </w:r>
          </w:p>
        </w:tc>
        <w:tc>
          <w:tcPr>
            <w:tcW w:w="1458" w:type="dxa"/>
            <w:vAlign w:val="center"/>
          </w:tcPr>
          <w:p w14:paraId="30C3FAA2">
            <w:pPr>
              <w:pStyle w:val="182"/>
              <w:bidi w:val="0"/>
              <w:rPr>
                <w:color w:val="auto"/>
              </w:rPr>
            </w:pPr>
            <w:r>
              <w:rPr>
                <w:color w:val="auto"/>
              </w:rPr>
              <w:t>25%</w:t>
            </w:r>
            <w:r>
              <w:rPr>
                <w:rFonts w:hint="eastAsia"/>
                <w:color w:val="auto"/>
                <w:lang w:eastAsia="zh-CN"/>
              </w:rPr>
              <w:t>—</w:t>
            </w:r>
            <w:r>
              <w:rPr>
                <w:color w:val="auto"/>
              </w:rPr>
              <w:t>38%</w:t>
            </w:r>
          </w:p>
        </w:tc>
        <w:tc>
          <w:tcPr>
            <w:tcW w:w="1459" w:type="dxa"/>
            <w:vAlign w:val="center"/>
          </w:tcPr>
          <w:p w14:paraId="0EA5BA4C">
            <w:pPr>
              <w:pStyle w:val="182"/>
              <w:bidi w:val="0"/>
              <w:rPr>
                <w:color w:val="auto"/>
              </w:rPr>
            </w:pPr>
            <w:r>
              <w:rPr>
                <w:color w:val="auto"/>
              </w:rPr>
              <w:t>31%</w:t>
            </w:r>
            <w:r>
              <w:rPr>
                <w:rFonts w:hint="eastAsia"/>
                <w:color w:val="auto"/>
                <w:lang w:eastAsia="zh-CN"/>
              </w:rPr>
              <w:t>—</w:t>
            </w:r>
            <w:r>
              <w:rPr>
                <w:color w:val="auto"/>
              </w:rPr>
              <w:t>46%</w:t>
            </w:r>
          </w:p>
        </w:tc>
        <w:tc>
          <w:tcPr>
            <w:tcW w:w="1313" w:type="dxa"/>
            <w:vAlign w:val="center"/>
          </w:tcPr>
          <w:p w14:paraId="27AF4C37">
            <w:pPr>
              <w:pStyle w:val="182"/>
              <w:bidi w:val="0"/>
              <w:rPr>
                <w:color w:val="auto"/>
              </w:rPr>
            </w:pPr>
            <w:r>
              <w:rPr>
                <w:color w:val="auto"/>
              </w:rPr>
              <w:t>26%</w:t>
            </w:r>
            <w:r>
              <w:rPr>
                <w:rFonts w:hint="eastAsia"/>
                <w:color w:val="auto"/>
                <w:lang w:eastAsia="zh-CN"/>
              </w:rPr>
              <w:t>—</w:t>
            </w:r>
            <w:r>
              <w:rPr>
                <w:color w:val="auto"/>
              </w:rPr>
              <w:t>53%</w:t>
            </w:r>
          </w:p>
        </w:tc>
        <w:tc>
          <w:tcPr>
            <w:tcW w:w="1224" w:type="dxa"/>
            <w:vAlign w:val="center"/>
          </w:tcPr>
          <w:p w14:paraId="3A18BB42">
            <w:pPr>
              <w:pStyle w:val="182"/>
              <w:bidi w:val="0"/>
              <w:rPr>
                <w:color w:val="auto"/>
              </w:rPr>
            </w:pPr>
            <w:r>
              <w:rPr>
                <w:color w:val="auto"/>
              </w:rPr>
              <w:t>34%</w:t>
            </w:r>
            <w:r>
              <w:rPr>
                <w:rFonts w:hint="eastAsia"/>
                <w:color w:val="auto"/>
                <w:lang w:eastAsia="zh-CN"/>
              </w:rPr>
              <w:t>—</w:t>
            </w:r>
            <w:r>
              <w:rPr>
                <w:color w:val="auto"/>
              </w:rPr>
              <w:t>60%</w:t>
            </w:r>
          </w:p>
        </w:tc>
      </w:tr>
    </w:tbl>
    <w:p w14:paraId="2D16495E">
      <w:pPr>
        <w:bidi w:val="0"/>
        <w:rPr>
          <w:rFonts w:hint="eastAsia"/>
          <w:b w:val="0"/>
          <w:bCs w:val="0"/>
          <w:color w:val="auto"/>
          <w:u w:val="none"/>
        </w:rPr>
      </w:pPr>
      <w:r>
        <w:rPr>
          <w:rFonts w:hint="eastAsia"/>
          <w:b w:val="0"/>
          <w:bCs w:val="0"/>
          <w:color w:val="auto"/>
          <w:u w:val="none"/>
        </w:rPr>
        <w:t>根据上述公式及参数计算，L=144.5m</w:t>
      </w:r>
      <w:r>
        <w:rPr>
          <w:rFonts w:hint="eastAsia"/>
          <w:b w:val="0"/>
          <w:bCs w:val="0"/>
          <w:color w:val="auto"/>
          <w:u w:val="none"/>
          <w:lang w:eastAsia="zh-CN"/>
        </w:rPr>
        <w:t>，</w:t>
      </w:r>
      <w:r>
        <w:rPr>
          <w:rFonts w:hint="eastAsia"/>
          <w:b w:val="0"/>
          <w:bCs w:val="0"/>
          <w:color w:val="auto"/>
          <w:u w:val="none"/>
        </w:rPr>
        <w:t>考虑评价范围应包含主要地下水环境保护目标，结合地下水环境现状调查评价范围参照表中的相关要求（评价等级为</w:t>
      </w:r>
      <w:r>
        <w:rPr>
          <w:rFonts w:hint="eastAsia"/>
          <w:b w:val="0"/>
          <w:bCs w:val="0"/>
          <w:color w:val="auto"/>
          <w:u w:val="none"/>
          <w:lang w:val="en-US" w:eastAsia="zh-CN"/>
        </w:rPr>
        <w:t>三</w:t>
      </w:r>
      <w:r>
        <w:rPr>
          <w:rFonts w:hint="eastAsia"/>
          <w:b w:val="0"/>
          <w:bCs w:val="0"/>
          <w:color w:val="auto"/>
          <w:u w:val="none"/>
        </w:rPr>
        <w:t>级，调查评价面积</w:t>
      </w:r>
      <w:r>
        <w:rPr>
          <w:rFonts w:hint="eastAsia"/>
          <w:b w:val="0"/>
          <w:bCs w:val="0"/>
          <w:color w:val="auto"/>
          <w:u w:val="none"/>
          <w:lang w:val="en-US" w:eastAsia="zh-CN"/>
        </w:rPr>
        <w:t>不大于6</w:t>
      </w:r>
      <w:r>
        <w:rPr>
          <w:rFonts w:hint="eastAsia"/>
          <w:b w:val="0"/>
          <w:bCs w:val="0"/>
          <w:color w:val="auto"/>
          <w:u w:val="none"/>
        </w:rPr>
        <w:t xml:space="preserve"> km</w:t>
      </w:r>
      <w:r>
        <w:rPr>
          <w:rFonts w:hint="eastAsia"/>
          <w:b w:val="0"/>
          <w:bCs w:val="0"/>
          <w:color w:val="auto"/>
          <w:u w:val="none"/>
          <w:vertAlign w:val="superscript"/>
        </w:rPr>
        <w:t>2</w:t>
      </w:r>
      <w:r>
        <w:rPr>
          <w:rFonts w:hint="eastAsia"/>
          <w:b w:val="0"/>
          <w:bCs w:val="0"/>
          <w:color w:val="auto"/>
          <w:u w:val="none"/>
        </w:rPr>
        <w:t>），本项目综合考虑确定评价范围为</w:t>
      </w:r>
      <w:r>
        <w:rPr>
          <w:rFonts w:hint="eastAsia"/>
          <w:b w:val="0"/>
          <w:bCs w:val="0"/>
          <w:color w:val="auto"/>
          <w:u w:val="none"/>
          <w:lang w:val="en-US" w:eastAsia="zh-CN"/>
        </w:rPr>
        <w:t>6</w:t>
      </w:r>
      <w:r>
        <w:rPr>
          <w:rFonts w:hint="eastAsia"/>
          <w:b w:val="0"/>
          <w:bCs w:val="0"/>
          <w:color w:val="auto"/>
          <w:u w:val="none"/>
        </w:rPr>
        <w:t xml:space="preserve"> km</w:t>
      </w:r>
      <w:r>
        <w:rPr>
          <w:rFonts w:hint="eastAsia"/>
          <w:b w:val="0"/>
          <w:bCs w:val="0"/>
          <w:color w:val="auto"/>
          <w:u w:val="none"/>
          <w:vertAlign w:val="superscript"/>
        </w:rPr>
        <w:t>2</w:t>
      </w:r>
      <w:r>
        <w:rPr>
          <w:rFonts w:hint="eastAsia"/>
          <w:b w:val="0"/>
          <w:bCs w:val="0"/>
          <w:color w:val="auto"/>
          <w:u w:val="none"/>
        </w:rPr>
        <w:t>。由于地表水和中深层含水层间无明显的水力联系，中深层含水层和深层含水层无明显的水力联系，因此本次预测层位定为预测评价区域的潜水层。项目地下水评价范围如下：</w:t>
      </w:r>
    </w:p>
    <w:p w14:paraId="7D7AE3DF">
      <w:pPr>
        <w:bidi w:val="0"/>
        <w:rPr>
          <w:rFonts w:hint="eastAsia"/>
          <w:b w:val="0"/>
          <w:bCs w:val="0"/>
          <w:color w:val="auto"/>
          <w:u w:val="none"/>
        </w:rPr>
      </w:pPr>
      <w:r>
        <w:rPr>
          <w:rFonts w:hint="eastAsia" w:eastAsia="宋体"/>
          <w:lang w:eastAsia="zh-CN"/>
        </w:rPr>
        <w:object>
          <v:shape id="_x0000_i1036" o:spt="75" type="#_x0000_t75" style="height:400.25pt;width:385.45pt;" o:ole="t" filled="f" o:preferrelative="t" stroked="f" coordsize="21600,21600">
            <v:path/>
            <v:fill on="f" focussize="0,0"/>
            <v:stroke on="f"/>
            <v:imagedata r:id="rId88" cropleft="5665f" croptop="16418f" cropright="11087f" o:title=""/>
            <o:lock v:ext="edit" aspectratio="t"/>
            <w10:wrap type="none"/>
            <w10:anchorlock/>
          </v:shape>
          <o:OLEObject Type="Embed" ProgID="Visio.Drawing.15" ShapeID="_x0000_i1036" DrawAspect="Content" ObjectID="_1468075731" r:id="rId87">
            <o:LockedField>false</o:LockedField>
          </o:OLEObject>
        </w:object>
      </w:r>
    </w:p>
    <w:p w14:paraId="5FBCB470">
      <w:pPr>
        <w:pStyle w:val="181"/>
        <w:bidi w:val="0"/>
        <w:ind w:left="0" w:leftChars="0" w:firstLine="0" w:firstLineChars="0"/>
        <w:jc w:val="center"/>
        <w:rPr>
          <w:rFonts w:hint="eastAsia"/>
          <w:color w:val="auto"/>
          <w:u w:val="none"/>
        </w:rPr>
      </w:pPr>
      <w:r>
        <w:rPr>
          <w:color w:val="auto"/>
          <w:u w:val="none"/>
        </w:rPr>
        <w:pict>
          <v:shape id="_x0000_s2088" o:spid="_x0000_s2088" o:spt="202" type="#_x0000_t202" style="position:absolute;left:0pt;margin-left:396pt;margin-top:18.95pt;height:20.4pt;width:25.65pt;z-index:251715584;mso-width-relative:page;mso-height-relative:page;" filled="f" stroked="f" coordsize="21600,21600">
            <v:path/>
            <v:fill on="f" focussize="0,0"/>
            <v:stroke on="f" joinstyle="miter"/>
            <v:imagedata o:title=""/>
            <o:lock v:ext="edit"/>
            <v:textbox>
              <w:txbxContent>
                <w:p w14:paraId="4A94F35A">
                  <w:pPr>
                    <w:ind w:firstLine="482"/>
                    <w:rPr>
                      <w:b/>
                      <w:color w:val="FFFF00"/>
                    </w:rPr>
                  </w:pPr>
                  <w:r>
                    <w:rPr>
                      <w:rFonts w:hint="eastAsia"/>
                      <w:b/>
                      <w:color w:val="FFFF00"/>
                    </w:rPr>
                    <w:t>北</w:t>
                  </w:r>
                </w:p>
              </w:txbxContent>
            </v:textbox>
          </v:shape>
        </w:pict>
      </w:r>
      <w:r>
        <w:rPr>
          <w:rFonts w:hint="eastAsia"/>
          <w:color w:val="auto"/>
          <w:u w:val="none"/>
        </w:rPr>
        <w:t>图</w:t>
      </w:r>
      <w:r>
        <w:rPr>
          <w:rFonts w:hint="eastAsia"/>
          <w:color w:val="auto"/>
          <w:u w:val="none"/>
          <w:lang w:val="en-US" w:eastAsia="zh-CN"/>
        </w:rPr>
        <w:t>6</w:t>
      </w:r>
      <w:r>
        <w:rPr>
          <w:rFonts w:hint="eastAsia"/>
          <w:color w:val="auto"/>
          <w:u w:val="none"/>
        </w:rPr>
        <w:t>.</w:t>
      </w:r>
      <w:r>
        <w:rPr>
          <w:rFonts w:hint="eastAsia"/>
          <w:color w:val="auto"/>
          <w:u w:val="none"/>
          <w:lang w:val="en-US" w:eastAsia="zh-CN"/>
        </w:rPr>
        <w:t>3</w:t>
      </w:r>
      <w:r>
        <w:rPr>
          <w:rFonts w:hint="eastAsia"/>
          <w:color w:val="auto"/>
          <w:u w:val="none"/>
        </w:rPr>
        <w:t>-</w:t>
      </w:r>
      <w:r>
        <w:rPr>
          <w:color w:val="auto"/>
          <w:u w:val="none"/>
        </w:rPr>
        <w:t xml:space="preserve">3  </w:t>
      </w:r>
      <w:r>
        <w:rPr>
          <w:rFonts w:hint="eastAsia"/>
          <w:color w:val="auto"/>
          <w:u w:val="none"/>
        </w:rPr>
        <w:t>本项目地下水调查评价范围示意图</w:t>
      </w:r>
    </w:p>
    <w:p w14:paraId="54867E3E">
      <w:pPr>
        <w:pStyle w:val="5"/>
        <w:bidi w:val="0"/>
        <w:rPr>
          <w:color w:val="auto"/>
        </w:rPr>
      </w:pPr>
      <w:r>
        <w:rPr>
          <w:color w:val="auto"/>
        </w:rPr>
        <w:t>预测因子及预测内容</w:t>
      </w:r>
    </w:p>
    <w:p w14:paraId="619A3328">
      <w:pPr>
        <w:pStyle w:val="6"/>
        <w:bidi w:val="0"/>
        <w:rPr>
          <w:color w:val="auto"/>
        </w:rPr>
      </w:pPr>
      <w:r>
        <w:rPr>
          <w:rFonts w:hint="eastAsia"/>
          <w:color w:val="auto"/>
        </w:rPr>
        <w:t>运营期正常工况地下水环境影响分析</w:t>
      </w:r>
    </w:p>
    <w:p w14:paraId="76D62529">
      <w:pPr>
        <w:bidi w:val="0"/>
        <w:rPr>
          <w:color w:val="auto"/>
        </w:rPr>
      </w:pPr>
      <w:r>
        <w:rPr>
          <w:rFonts w:hint="eastAsia"/>
          <w:color w:val="auto"/>
        </w:rPr>
        <w:t>根据《环境影响评价技术导则</w:t>
      </w:r>
      <w:r>
        <w:rPr>
          <w:rFonts w:hint="eastAsia"/>
          <w:color w:val="auto"/>
          <w:lang w:val="en-US" w:eastAsia="zh-CN"/>
        </w:rPr>
        <w:t xml:space="preserve"> </w:t>
      </w:r>
      <w:r>
        <w:rPr>
          <w:rFonts w:hint="eastAsia"/>
          <w:color w:val="auto"/>
        </w:rPr>
        <w:t>地下水环境》（HJ610-2016），一般情况下，建设项目需对正常状况和非正常状况的情景分别进行预测，但已依据GB16889、GB18597、GB18598、GB18599、GB/T50934设计地下水污染防渗措施的建设项目，可不进行正常状况情景下的预测。</w:t>
      </w:r>
    </w:p>
    <w:p w14:paraId="7D740821">
      <w:pPr>
        <w:bidi w:val="0"/>
        <w:rPr>
          <w:color w:val="auto"/>
        </w:rPr>
      </w:pPr>
      <w:r>
        <w:rPr>
          <w:rFonts w:hint="eastAsia"/>
          <w:color w:val="auto"/>
        </w:rPr>
        <w:t>项目正常运营条件下，产生的主要废水包括生产废水及降雨条件下形成的初期雨水，其中生产废水</w:t>
      </w:r>
      <w:r>
        <w:rPr>
          <w:rFonts w:hint="eastAsia"/>
          <w:color w:val="auto"/>
          <w:lang w:val="en-US" w:eastAsia="zh-CN"/>
        </w:rPr>
        <w:t>主要蒸发回收</w:t>
      </w:r>
      <w:r>
        <w:rPr>
          <w:rFonts w:hint="eastAsia"/>
          <w:color w:val="auto"/>
        </w:rPr>
        <w:t>废水、</w:t>
      </w:r>
      <w:r>
        <w:rPr>
          <w:rFonts w:hint="eastAsia"/>
          <w:color w:val="auto"/>
          <w:lang w:val="en-US" w:eastAsia="zh-CN"/>
        </w:rPr>
        <w:t>废气处理装置废水、清洗废水、清下水</w:t>
      </w:r>
      <w:r>
        <w:rPr>
          <w:rFonts w:hint="eastAsia"/>
          <w:color w:val="auto"/>
        </w:rPr>
        <w:t>，主要污染物为COD、BOD</w:t>
      </w:r>
      <w:r>
        <w:rPr>
          <w:rFonts w:hint="eastAsia"/>
          <w:color w:val="auto"/>
          <w:vertAlign w:val="subscript"/>
        </w:rPr>
        <w:t>5</w:t>
      </w:r>
      <w:r>
        <w:rPr>
          <w:rFonts w:hint="eastAsia"/>
          <w:color w:val="auto"/>
        </w:rPr>
        <w:t>、SS、氨氮、TN、TP；生活污水主要是厂区工作人员日常生产生活及食堂、厕所等产生的废水；初期雨水主要为降雨前15min污染厂区收集的雨水。</w:t>
      </w:r>
    </w:p>
    <w:p w14:paraId="2525447C">
      <w:pPr>
        <w:bidi w:val="0"/>
        <w:rPr>
          <w:color w:val="auto"/>
          <w:kern w:val="0"/>
          <w:szCs w:val="20"/>
        </w:rPr>
      </w:pPr>
      <w:r>
        <w:rPr>
          <w:rFonts w:hint="eastAsia"/>
          <w:color w:val="auto"/>
        </w:rPr>
        <w:t>正常工况下，生产废水及初期雨水进入厂区调节池调节水质水量后进入化纤厂新厂区污水处理站处理，之后排往小店污水处理厂。厂区各场地均设置了防渗措施及事故应急措施，正常工况条件下不会对地下水环境造成明显不利影响，不再对正常工况下进行预测。</w:t>
      </w:r>
    </w:p>
    <w:p w14:paraId="59ADD3C7">
      <w:pPr>
        <w:pStyle w:val="6"/>
        <w:bidi w:val="0"/>
        <w:rPr>
          <w:color w:val="auto"/>
        </w:rPr>
      </w:pPr>
      <w:r>
        <w:rPr>
          <w:rFonts w:hint="eastAsia"/>
          <w:color w:val="auto"/>
        </w:rPr>
        <w:t>运营期非正常工况地下水环境影响分析</w:t>
      </w:r>
    </w:p>
    <w:p w14:paraId="53FDF4AA">
      <w:pPr>
        <w:bidi w:val="0"/>
        <w:rPr>
          <w:color w:val="auto"/>
        </w:rPr>
      </w:pPr>
      <w:r>
        <w:rPr>
          <w:color w:val="auto"/>
        </w:rPr>
        <w:t>（1）事故情景设置</w:t>
      </w:r>
    </w:p>
    <w:p w14:paraId="001D7026">
      <w:pPr>
        <w:bidi w:val="0"/>
        <w:rPr>
          <w:color w:val="auto"/>
        </w:rPr>
      </w:pPr>
      <w:r>
        <w:rPr>
          <w:color w:val="auto"/>
        </w:rPr>
        <w:t>本项目生产过程中产生的废水中含有COD及氨氮等污染物，这些污染物一旦进入地下水，会对地下水环境造成污染，为提前预知污染可能的运行途径及污染程度，必须对可能的污染进行预测分析，并提出污染防治措施。本项目各生产环节均可能对地下水环境造成污染，本着风险最大的原则，本次预测只针对污染风险较大的节点进行预测分析，并提出防治措施。</w:t>
      </w:r>
    </w:p>
    <w:p w14:paraId="559740F5">
      <w:pPr>
        <w:bidi w:val="0"/>
        <w:rPr>
          <w:color w:val="auto"/>
        </w:rPr>
      </w:pPr>
      <w:r>
        <w:rPr>
          <w:color w:val="auto"/>
        </w:rPr>
        <w:t>如果是装置区或罐区等可视场所发生硬化</w:t>
      </w:r>
      <w:r>
        <w:rPr>
          <w:rFonts w:hint="eastAsia"/>
          <w:color w:val="auto"/>
          <w:lang w:eastAsia="zh-CN"/>
        </w:rPr>
        <w:t>路面</w:t>
      </w:r>
      <w:r>
        <w:rPr>
          <w:color w:val="auto"/>
        </w:rPr>
        <w:t>破损，即使有物料或污水等泄漏，建设单位必须及时采取措施，不可能任由物料或污水漫流渗漏，使其渗入地下水。因此，只在污水管道、污水站池体等地下/半地下非可视部位因腐蚀或硬化</w:t>
      </w:r>
      <w:r>
        <w:rPr>
          <w:rFonts w:hint="eastAsia"/>
          <w:color w:val="auto"/>
          <w:lang w:eastAsia="zh-CN"/>
        </w:rPr>
        <w:t>路面</w:t>
      </w:r>
      <w:r>
        <w:rPr>
          <w:color w:val="auto"/>
        </w:rPr>
        <w:t>破损等原因发生小面积渗漏时，可能有少量物料或污水通过漏点，逐步渗入包气带并可能进入地下水。通过工程分析，全厂废水最复杂的节点为废水</w:t>
      </w:r>
      <w:r>
        <w:rPr>
          <w:rFonts w:hint="eastAsia"/>
          <w:color w:val="auto"/>
        </w:rPr>
        <w:t>调节池</w:t>
      </w:r>
      <w:r>
        <w:rPr>
          <w:color w:val="auto"/>
        </w:rPr>
        <w:t>，由于其处理的废水种类多，且</w:t>
      </w:r>
      <w:r>
        <w:rPr>
          <w:rFonts w:hint="eastAsia"/>
          <w:color w:val="auto"/>
        </w:rPr>
        <w:t>水量较大</w:t>
      </w:r>
      <w:r>
        <w:rPr>
          <w:color w:val="auto"/>
        </w:rPr>
        <w:t>，很可能由于防渗不当或破损导致污染物污染地下水，并且难以发现。本项目调节池废水浓度最高，泄漏造成污染也最为严重。因此综合以上分析，厂区溶质运移模拟以调节池底部防渗系统破裂废水泄漏进行预测。</w:t>
      </w:r>
    </w:p>
    <w:p w14:paraId="7E9FA8C9">
      <w:pPr>
        <w:bidi w:val="0"/>
        <w:rPr>
          <w:color w:val="auto"/>
        </w:rPr>
      </w:pPr>
      <w:r>
        <w:rPr>
          <w:color w:val="auto"/>
        </w:rPr>
        <w:t>（2）模拟条件概化</w:t>
      </w:r>
    </w:p>
    <w:p w14:paraId="4ADA21E9">
      <w:pPr>
        <w:bidi w:val="0"/>
        <w:rPr>
          <w:color w:val="auto"/>
        </w:rPr>
      </w:pPr>
      <w:r>
        <w:rPr>
          <w:color w:val="auto"/>
        </w:rPr>
        <w:t>本次模拟将</w:t>
      </w:r>
      <w:r>
        <w:rPr>
          <w:rFonts w:hint="eastAsia"/>
          <w:color w:val="auto"/>
        </w:rPr>
        <w:t>厂区</w:t>
      </w:r>
      <w:r>
        <w:rPr>
          <w:color w:val="auto"/>
        </w:rPr>
        <w:t>调节池设置为点源浓度边界，污染源位置按实际位置概化。由于污染物在地下水系统中的迁移转化过程十分复杂，包括扩散、吸附、解吸、化学反应及生物降解等作用，这些作用都可能会对污染物在地下水系统的运移造成影响。本次预测本着风险最大原则，只考虑污染物在地下水系统中的对流、弥散作用，不考虑地层的吸附、解吸作用，不考虑化学反应及生物降解等作用，同时，不考虑包气带的阻滞作用。</w:t>
      </w:r>
    </w:p>
    <w:p w14:paraId="384AF255">
      <w:pPr>
        <w:bidi w:val="0"/>
        <w:rPr>
          <w:color w:val="auto"/>
        </w:rPr>
      </w:pPr>
      <w:r>
        <w:rPr>
          <w:rFonts w:hint="eastAsia"/>
          <w:color w:val="auto"/>
        </w:rPr>
        <w:t>（3）泄露时间</w:t>
      </w:r>
    </w:p>
    <w:p w14:paraId="50E4DD53">
      <w:pPr>
        <w:bidi w:val="0"/>
        <w:rPr>
          <w:color w:val="auto"/>
        </w:rPr>
      </w:pPr>
      <w:r>
        <w:rPr>
          <w:rFonts w:hint="eastAsia"/>
          <w:color w:val="auto"/>
        </w:rPr>
        <w:t>由于泄露量跟每天的废水量相比小很多，每天的泄露很难被发现，根据跟踪监测计划，地下水长期监测点的监测频率为半年1次，泄露时间定为</w:t>
      </w:r>
      <w:r>
        <w:rPr>
          <w:rFonts w:hint="eastAsia"/>
          <w:color w:val="auto"/>
          <w:lang w:val="en-US" w:eastAsia="zh-CN"/>
        </w:rPr>
        <w:t>180</w:t>
      </w:r>
      <w:r>
        <w:rPr>
          <w:rFonts w:hint="eastAsia"/>
          <w:color w:val="auto"/>
        </w:rPr>
        <w:t>天。</w:t>
      </w:r>
    </w:p>
    <w:p w14:paraId="0AC988A3">
      <w:pPr>
        <w:bidi w:val="0"/>
        <w:rPr>
          <w:color w:val="auto"/>
        </w:rPr>
      </w:pPr>
      <w:r>
        <w:rPr>
          <w:rFonts w:hint="eastAsia"/>
          <w:color w:val="auto"/>
        </w:rPr>
        <w:t>（</w:t>
      </w:r>
      <w:r>
        <w:rPr>
          <w:rFonts w:hint="eastAsia"/>
          <w:color w:val="auto"/>
          <w:lang w:val="en-US" w:eastAsia="zh-CN"/>
        </w:rPr>
        <w:t>4</w:t>
      </w:r>
      <w:r>
        <w:rPr>
          <w:rFonts w:hint="eastAsia"/>
          <w:color w:val="auto"/>
        </w:rPr>
        <w:t>）预测因子及标准</w:t>
      </w:r>
    </w:p>
    <w:p w14:paraId="3CA18188">
      <w:pPr>
        <w:bidi w:val="0"/>
        <w:rPr>
          <w:b/>
          <w:bCs/>
          <w:color w:val="auto"/>
          <w:u w:val="single"/>
        </w:rPr>
      </w:pPr>
      <w:r>
        <w:rPr>
          <w:b/>
          <w:bCs/>
          <w:color w:val="auto"/>
          <w:u w:val="single"/>
        </w:rPr>
        <w:t>根据现状调查，区内浅层孔隙水主要以农业开采为主，本次评价从严要求，故本次地下水以《地下水质量标准》（GB/T14848—2017）III类水为标准。根据工程的主要污染物情况，主要污染因子为COD</w:t>
      </w:r>
      <w:r>
        <w:rPr>
          <w:rFonts w:hint="eastAsia"/>
          <w:b/>
          <w:bCs/>
          <w:color w:val="auto"/>
          <w:u w:val="single"/>
        </w:rPr>
        <w:t>、氨氮等</w:t>
      </w:r>
      <w:r>
        <w:rPr>
          <w:b/>
          <w:bCs/>
          <w:color w:val="auto"/>
          <w:u w:val="single"/>
        </w:rPr>
        <w:t>，</w:t>
      </w:r>
      <w:r>
        <w:rPr>
          <w:rFonts w:hint="eastAsia"/>
          <w:b/>
          <w:bCs/>
          <w:color w:val="auto"/>
          <w:u w:val="single"/>
          <w:lang w:val="en-US" w:eastAsia="zh-CN"/>
        </w:rPr>
        <w:t>本项目废水进入调节池后，废水调节池</w:t>
      </w:r>
      <w:r>
        <w:rPr>
          <w:rFonts w:hint="eastAsia"/>
          <w:b/>
          <w:bCs/>
          <w:color w:val="auto"/>
          <w:u w:val="single"/>
        </w:rPr>
        <w:t>COD（废水浓度</w:t>
      </w:r>
      <w:r>
        <w:rPr>
          <w:rFonts w:hint="eastAsia"/>
          <w:b/>
          <w:bCs/>
          <w:color w:val="auto"/>
          <w:u w:val="single"/>
          <w:lang w:val="en-US" w:eastAsia="zh-CN"/>
        </w:rPr>
        <w:t>1716.14</w:t>
      </w:r>
      <w:r>
        <w:rPr>
          <w:rFonts w:hint="eastAsia"/>
          <w:b/>
          <w:bCs/>
          <w:color w:val="auto"/>
          <w:u w:val="single"/>
        </w:rPr>
        <w:t>mg/L）、氨氮（废水浓度</w:t>
      </w:r>
      <w:r>
        <w:rPr>
          <w:rFonts w:hint="eastAsia"/>
          <w:b/>
          <w:bCs/>
          <w:color w:val="auto"/>
          <w:u w:val="single"/>
          <w:lang w:val="en-US" w:eastAsia="zh-CN"/>
        </w:rPr>
        <w:t>19.77</w:t>
      </w:r>
      <w:r>
        <w:rPr>
          <w:rFonts w:hint="eastAsia"/>
          <w:b/>
          <w:bCs/>
          <w:color w:val="auto"/>
          <w:u w:val="single"/>
        </w:rPr>
        <w:t>mg/L）</w:t>
      </w:r>
      <w:r>
        <w:rPr>
          <w:b/>
          <w:bCs/>
          <w:color w:val="auto"/>
          <w:u w:val="single"/>
        </w:rPr>
        <w:t>作为</w:t>
      </w:r>
      <w:r>
        <w:rPr>
          <w:rFonts w:hint="eastAsia"/>
          <w:b/>
          <w:bCs/>
          <w:color w:val="auto"/>
          <w:u w:val="single"/>
        </w:rPr>
        <w:t>预测</w:t>
      </w:r>
      <w:r>
        <w:rPr>
          <w:b/>
          <w:bCs/>
          <w:color w:val="auto"/>
          <w:u w:val="single"/>
        </w:rPr>
        <w:t>因子进行模拟预测。</w:t>
      </w:r>
      <w:r>
        <w:rPr>
          <w:rFonts w:hint="eastAsia"/>
          <w:b/>
          <w:bCs/>
          <w:color w:val="auto"/>
          <w:u w:val="single"/>
        </w:rPr>
        <w:t>根据《BOD\COD与高锰酸盐指数的理论内涵及倍率关系研究》（[文章编号]1002-0624（2009）08-0061-02），COD是高锰酸盐指数（CODMn）的2.7倍，因此COD折算成CODMn浓度为</w:t>
      </w:r>
      <w:r>
        <w:rPr>
          <w:rFonts w:hint="eastAsia"/>
          <w:b/>
          <w:bCs/>
          <w:color w:val="auto"/>
          <w:u w:val="single"/>
          <w:lang w:val="en-US" w:eastAsia="zh-CN"/>
        </w:rPr>
        <w:t>635.61</w:t>
      </w:r>
      <w:r>
        <w:rPr>
          <w:rFonts w:hint="eastAsia"/>
          <w:b/>
          <w:bCs/>
          <w:color w:val="auto"/>
          <w:u w:val="single"/>
        </w:rPr>
        <w:t>mg/L，氨氮源强为</w:t>
      </w:r>
      <w:r>
        <w:rPr>
          <w:rFonts w:hint="eastAsia"/>
          <w:b/>
          <w:bCs/>
          <w:color w:val="auto"/>
          <w:u w:val="single"/>
          <w:lang w:val="en-US" w:eastAsia="zh-CN"/>
        </w:rPr>
        <w:t>19.77</w:t>
      </w:r>
      <w:r>
        <w:rPr>
          <w:rFonts w:hint="eastAsia"/>
          <w:b/>
          <w:bCs/>
          <w:color w:val="auto"/>
          <w:u w:val="single"/>
        </w:rPr>
        <w:t>mg/L。</w:t>
      </w:r>
    </w:p>
    <w:p w14:paraId="14BFFF52">
      <w:pPr>
        <w:bidi w:val="0"/>
        <w:rPr>
          <w:rFonts w:hint="eastAsia"/>
          <w:b/>
          <w:bCs/>
          <w:color w:val="auto"/>
          <w:u w:val="single"/>
        </w:rPr>
      </w:pPr>
      <w:r>
        <w:rPr>
          <w:rFonts w:hint="eastAsia"/>
          <w:b/>
          <w:bCs/>
          <w:color w:val="auto"/>
          <w:u w:val="single"/>
        </w:rPr>
        <w:t>本次</w:t>
      </w:r>
      <w:r>
        <w:rPr>
          <w:b/>
          <w:bCs/>
          <w:color w:val="auto"/>
          <w:u w:val="single"/>
        </w:rPr>
        <w:t>COD</w:t>
      </w:r>
      <w:r>
        <w:rPr>
          <w:rFonts w:hint="eastAsia"/>
          <w:b/>
          <w:bCs/>
          <w:color w:val="auto"/>
          <w:u w:val="single"/>
        </w:rPr>
        <w:t>浓度预测以耗氧量（</w:t>
      </w:r>
      <w:r>
        <w:rPr>
          <w:b/>
          <w:bCs/>
          <w:color w:val="auto"/>
          <w:u w:val="single"/>
        </w:rPr>
        <w:t>COD</w:t>
      </w:r>
      <w:r>
        <w:rPr>
          <w:b/>
          <w:bCs/>
          <w:color w:val="auto"/>
          <w:u w:val="single"/>
          <w:vertAlign w:val="subscript"/>
        </w:rPr>
        <w:t>Mn</w:t>
      </w:r>
      <w:r>
        <w:rPr>
          <w:rFonts w:hint="eastAsia"/>
          <w:b/>
          <w:bCs/>
          <w:color w:val="auto"/>
          <w:u w:val="single"/>
        </w:rPr>
        <w:t>法，以</w:t>
      </w:r>
      <w:r>
        <w:rPr>
          <w:b/>
          <w:bCs/>
          <w:color w:val="auto"/>
          <w:u w:val="single"/>
        </w:rPr>
        <w:t>O</w:t>
      </w:r>
      <w:r>
        <w:rPr>
          <w:b/>
          <w:bCs/>
          <w:color w:val="auto"/>
          <w:u w:val="single"/>
          <w:vertAlign w:val="subscript"/>
        </w:rPr>
        <w:t>2</w:t>
      </w:r>
      <w:r>
        <w:rPr>
          <w:rFonts w:hint="eastAsia"/>
          <w:b/>
          <w:bCs/>
          <w:color w:val="auto"/>
          <w:u w:val="single"/>
        </w:rPr>
        <w:t>计）</w:t>
      </w:r>
      <w:r>
        <w:rPr>
          <w:b/>
          <w:bCs/>
          <w:color w:val="auto"/>
          <w:u w:val="single"/>
        </w:rPr>
        <w:t>3 mg/L</w:t>
      </w:r>
      <w:r>
        <w:rPr>
          <w:rFonts w:hint="eastAsia"/>
          <w:b/>
          <w:bCs/>
          <w:color w:val="auto"/>
          <w:u w:val="single"/>
        </w:rPr>
        <w:t>为超标界线，氨氮以0.2</w:t>
      </w:r>
      <w:r>
        <w:rPr>
          <w:b/>
          <w:bCs/>
          <w:color w:val="auto"/>
          <w:u w:val="single"/>
        </w:rPr>
        <w:t xml:space="preserve"> </w:t>
      </w:r>
      <w:r>
        <w:rPr>
          <w:rFonts w:hint="eastAsia"/>
          <w:b/>
          <w:bCs/>
          <w:color w:val="auto"/>
          <w:u w:val="single"/>
        </w:rPr>
        <w:t>mg/L为超标限。</w:t>
      </w:r>
    </w:p>
    <w:p w14:paraId="0BFA2F7B">
      <w:pPr>
        <w:pStyle w:val="5"/>
        <w:bidi w:val="0"/>
        <w:rPr>
          <w:color w:val="auto"/>
        </w:rPr>
      </w:pPr>
      <w:r>
        <w:rPr>
          <w:color w:val="auto"/>
        </w:rPr>
        <w:t>预测模型及参数选取</w:t>
      </w:r>
    </w:p>
    <w:p w14:paraId="10410EC1">
      <w:pPr>
        <w:bidi w:val="0"/>
        <w:rPr>
          <w:color w:val="auto"/>
        </w:rPr>
      </w:pPr>
      <w:r>
        <w:rPr>
          <w:color w:val="auto"/>
        </w:rPr>
        <w:t>（1）预测模型本项目采用地下水溶质运移解析法中的一维稳定流动一维水动力弥散模式进行预测及评价，预测模型如下：</w:t>
      </w:r>
    </w:p>
    <w:p w14:paraId="19383D82">
      <w:pPr>
        <w:jc w:val="center"/>
        <w:rPr>
          <w:color w:val="auto"/>
          <w:sz w:val="24"/>
        </w:rPr>
      </w:pPr>
      <w:r>
        <w:rPr>
          <w:color w:val="auto"/>
          <w:sz w:val="24"/>
        </w:rPr>
        <w:drawing>
          <wp:inline distT="0" distB="0" distL="114300" distR="114300">
            <wp:extent cx="2628900" cy="733425"/>
            <wp:effectExtent l="0" t="0" r="7620" b="13335"/>
            <wp:docPr id="9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3"/>
                    <pic:cNvPicPr>
                      <a:picLocks noChangeAspect="1"/>
                    </pic:cNvPicPr>
                  </pic:nvPicPr>
                  <pic:blipFill>
                    <a:blip r:embed="rId89"/>
                    <a:stretch>
                      <a:fillRect/>
                    </a:stretch>
                  </pic:blipFill>
                  <pic:spPr>
                    <a:xfrm>
                      <a:off x="0" y="0"/>
                      <a:ext cx="2628900" cy="733425"/>
                    </a:xfrm>
                    <a:prstGeom prst="rect">
                      <a:avLst/>
                    </a:prstGeom>
                    <a:noFill/>
                    <a:ln>
                      <a:noFill/>
                    </a:ln>
                  </pic:spPr>
                </pic:pic>
              </a:graphicData>
            </a:graphic>
          </wp:inline>
        </w:drawing>
      </w:r>
    </w:p>
    <w:p w14:paraId="76DB23EA">
      <w:pPr>
        <w:bidi w:val="0"/>
        <w:rPr>
          <w:color w:val="auto"/>
        </w:rPr>
      </w:pPr>
      <w:r>
        <w:rPr>
          <w:color w:val="auto"/>
        </w:rPr>
        <w:t>式中：x—预测点至污染源强距离（m）；</w:t>
      </w:r>
    </w:p>
    <w:p w14:paraId="7282A28C">
      <w:pPr>
        <w:bidi w:val="0"/>
        <w:ind w:firstLine="1200" w:firstLineChars="500"/>
        <w:rPr>
          <w:color w:val="auto"/>
        </w:rPr>
      </w:pPr>
      <w:r>
        <w:rPr>
          <w:color w:val="auto"/>
        </w:rPr>
        <w:t>C—t时刻x处的地下水浓度（mg/L）；</w:t>
      </w:r>
    </w:p>
    <w:p w14:paraId="7B39530E">
      <w:pPr>
        <w:bidi w:val="0"/>
        <w:ind w:firstLine="1200" w:firstLineChars="500"/>
        <w:rPr>
          <w:color w:val="auto"/>
        </w:rPr>
      </w:pPr>
      <w:r>
        <w:rPr>
          <w:color w:val="auto"/>
        </w:rPr>
        <w:t>C</w:t>
      </w:r>
      <w:r>
        <w:rPr>
          <w:color w:val="auto"/>
          <w:vertAlign w:val="subscript"/>
        </w:rPr>
        <w:t>0</w:t>
      </w:r>
      <w:r>
        <w:rPr>
          <w:color w:val="auto"/>
        </w:rPr>
        <w:t>—废水浓度（mg/L）；</w:t>
      </w:r>
    </w:p>
    <w:p w14:paraId="1C4A1A82">
      <w:pPr>
        <w:bidi w:val="0"/>
        <w:ind w:firstLine="1200" w:firstLineChars="500"/>
        <w:rPr>
          <w:color w:val="auto"/>
        </w:rPr>
      </w:pPr>
      <w:r>
        <w:rPr>
          <w:color w:val="auto"/>
        </w:rPr>
        <w:t>D</w:t>
      </w:r>
      <w:r>
        <w:rPr>
          <w:color w:val="auto"/>
          <w:vertAlign w:val="subscript"/>
        </w:rPr>
        <w:t>L</w:t>
      </w:r>
      <w:r>
        <w:rPr>
          <w:color w:val="auto"/>
        </w:rPr>
        <w:t>—纵向弥散系数（m</w:t>
      </w:r>
      <w:r>
        <w:rPr>
          <w:color w:val="auto"/>
          <w:vertAlign w:val="superscript"/>
        </w:rPr>
        <w:t>2</w:t>
      </w:r>
      <w:r>
        <w:rPr>
          <w:color w:val="auto"/>
        </w:rPr>
        <w:t>/d）；</w:t>
      </w:r>
    </w:p>
    <w:p w14:paraId="500B379F">
      <w:pPr>
        <w:bidi w:val="0"/>
        <w:ind w:firstLine="1200" w:firstLineChars="500"/>
        <w:rPr>
          <w:color w:val="auto"/>
        </w:rPr>
      </w:pPr>
      <w:r>
        <w:rPr>
          <w:color w:val="auto"/>
        </w:rPr>
        <w:t>t—预测时段（d）；</w:t>
      </w:r>
    </w:p>
    <w:p w14:paraId="2E33FF67">
      <w:pPr>
        <w:bidi w:val="0"/>
        <w:ind w:firstLine="1200" w:firstLineChars="500"/>
        <w:rPr>
          <w:color w:val="auto"/>
        </w:rPr>
      </w:pPr>
      <w:r>
        <w:rPr>
          <w:color w:val="auto"/>
        </w:rPr>
        <w:t>u—地下水流速（m/d）；</w:t>
      </w:r>
    </w:p>
    <w:p w14:paraId="35339D90">
      <w:pPr>
        <w:bidi w:val="0"/>
        <w:ind w:firstLine="1200" w:firstLineChars="500"/>
        <w:rPr>
          <w:color w:val="auto"/>
        </w:rPr>
      </w:pPr>
      <w:r>
        <w:rPr>
          <w:color w:val="auto"/>
        </w:rPr>
        <w:t>erfc（）—余误差函数。</w:t>
      </w:r>
    </w:p>
    <w:p w14:paraId="567832FF">
      <w:pPr>
        <w:bidi w:val="0"/>
        <w:rPr>
          <w:color w:val="auto"/>
        </w:rPr>
      </w:pPr>
      <w:r>
        <w:rPr>
          <w:color w:val="auto"/>
        </w:rPr>
        <w:t>（2）参数选取</w:t>
      </w:r>
    </w:p>
    <w:p w14:paraId="16D2ECB5">
      <w:pPr>
        <w:bidi w:val="0"/>
        <w:rPr>
          <w:color w:val="auto"/>
        </w:rPr>
      </w:pPr>
      <w:r>
        <w:rPr>
          <w:color w:val="auto"/>
        </w:rPr>
        <w:t>A</w:t>
      </w:r>
      <w:r>
        <w:rPr>
          <w:rFonts w:hint="eastAsia"/>
          <w:color w:val="auto"/>
          <w:lang w:eastAsia="zh-CN"/>
        </w:rPr>
        <w:t>.</w:t>
      </w:r>
      <w:r>
        <w:rPr>
          <w:color w:val="auto"/>
        </w:rPr>
        <w:t>纵向弥散系数是表征流动水体中污染物在沿水流方向（或纵向）弥散的速率系数，本项目含水层地质沉积类型为细砂，为细颗粒介质，参考《地下水弥散系数的测定》（宋树林等，1998）中表3经验系数中细砂的纵向弥散系数为0.05~0.5 m</w:t>
      </w:r>
      <w:r>
        <w:rPr>
          <w:color w:val="auto"/>
          <w:vertAlign w:val="superscript"/>
        </w:rPr>
        <w:t>2</w:t>
      </w:r>
      <w:r>
        <w:rPr>
          <w:color w:val="auto"/>
        </w:rPr>
        <w:t>/d，本次取值为0.</w:t>
      </w:r>
      <w:r>
        <w:rPr>
          <w:rFonts w:hint="eastAsia"/>
          <w:color w:val="auto"/>
          <w:lang w:val="en-US" w:eastAsia="zh-CN"/>
        </w:rPr>
        <w:t>2</w:t>
      </w:r>
      <w:r>
        <w:rPr>
          <w:color w:val="auto"/>
        </w:rPr>
        <w:t>m</w:t>
      </w:r>
      <w:r>
        <w:rPr>
          <w:color w:val="auto"/>
          <w:vertAlign w:val="superscript"/>
        </w:rPr>
        <w:t>2</w:t>
      </w:r>
      <w:r>
        <w:rPr>
          <w:color w:val="auto"/>
        </w:rPr>
        <w:t>/d。</w:t>
      </w:r>
    </w:p>
    <w:p w14:paraId="6705A952">
      <w:pPr>
        <w:bidi w:val="0"/>
        <w:rPr>
          <w:color w:val="auto"/>
        </w:rPr>
      </w:pPr>
      <w:r>
        <w:rPr>
          <w:rFonts w:hint="eastAsia"/>
          <w:color w:val="auto"/>
        </w:rPr>
        <w:t>B</w:t>
      </w:r>
      <w:r>
        <w:rPr>
          <w:rFonts w:hint="eastAsia"/>
          <w:color w:val="auto"/>
          <w:lang w:eastAsia="zh-CN"/>
        </w:rPr>
        <w:t>.</w:t>
      </w:r>
      <w:r>
        <w:rPr>
          <w:color w:val="auto"/>
        </w:rPr>
        <w:t>地下水流速</w:t>
      </w:r>
    </w:p>
    <w:p w14:paraId="60DC9615">
      <w:pPr>
        <w:bidi w:val="0"/>
        <w:rPr>
          <w:color w:val="auto"/>
        </w:rPr>
      </w:pPr>
      <w:r>
        <w:rPr>
          <w:color w:val="auto"/>
        </w:rPr>
        <w:t>地下水流速可以利用水力坡度及渗透系数求出，具体计算公式为：</w:t>
      </w:r>
    </w:p>
    <w:p w14:paraId="1CFA82CB">
      <w:pPr>
        <w:bidi w:val="0"/>
        <w:ind w:left="0" w:leftChars="0" w:firstLine="0" w:firstLineChars="0"/>
        <w:jc w:val="center"/>
        <w:rPr>
          <w:color w:val="auto"/>
        </w:rPr>
      </w:pPr>
      <w:r>
        <w:rPr>
          <w:color w:val="auto"/>
        </w:rPr>
        <w:t>U=K×I/n</w:t>
      </w:r>
    </w:p>
    <w:p w14:paraId="66A723F6">
      <w:pPr>
        <w:bidi w:val="0"/>
        <w:rPr>
          <w:color w:val="auto"/>
        </w:rPr>
      </w:pPr>
      <w:r>
        <w:rPr>
          <w:color w:val="auto"/>
        </w:rPr>
        <w:t>式中：u——地下水流速（m/d）；</w:t>
      </w:r>
    </w:p>
    <w:p w14:paraId="0E55EC48">
      <w:pPr>
        <w:bidi w:val="0"/>
        <w:ind w:firstLine="1200" w:firstLineChars="500"/>
        <w:rPr>
          <w:color w:val="auto"/>
        </w:rPr>
      </w:pPr>
      <w:r>
        <w:rPr>
          <w:color w:val="auto"/>
        </w:rPr>
        <w:t>K——渗透系数（m/d）</w:t>
      </w:r>
      <w:r>
        <w:rPr>
          <w:rFonts w:hint="eastAsia"/>
          <w:color w:val="auto"/>
        </w:rPr>
        <w:t>，</w:t>
      </w:r>
      <w:r>
        <w:rPr>
          <w:color w:val="auto"/>
        </w:rPr>
        <w:t>常见渗透系数表见附录B表B1；评价区含水层主要为细砂，根据附录B取值为10m/d；</w:t>
      </w:r>
    </w:p>
    <w:p w14:paraId="0791BB71">
      <w:pPr>
        <w:bidi w:val="0"/>
        <w:ind w:firstLine="1200" w:firstLineChars="500"/>
        <w:rPr>
          <w:color w:val="auto"/>
        </w:rPr>
      </w:pPr>
      <w:r>
        <w:rPr>
          <w:color w:val="auto"/>
        </w:rPr>
        <w:t>I——水力坡度，无量纲</w:t>
      </w:r>
      <w:r>
        <w:rPr>
          <w:rFonts w:hint="eastAsia"/>
          <w:color w:val="auto"/>
        </w:rPr>
        <w:t>；</w:t>
      </w:r>
      <w:r>
        <w:rPr>
          <w:color w:val="auto"/>
        </w:rPr>
        <w:t>根据区域村庄水平距离和地下水水面高程差进行计算</w:t>
      </w:r>
      <w:r>
        <w:rPr>
          <w:rFonts w:hint="eastAsia"/>
          <w:color w:val="auto"/>
        </w:rPr>
        <w:t>得出</w:t>
      </w:r>
      <w:r>
        <w:rPr>
          <w:color w:val="auto"/>
        </w:rPr>
        <w:t>水力坡度</w:t>
      </w:r>
      <w:r>
        <w:rPr>
          <w:rFonts w:hint="eastAsia"/>
          <w:color w:val="auto"/>
        </w:rPr>
        <w:t>为5.78</w:t>
      </w:r>
      <w:r>
        <w:rPr>
          <w:color w:val="auto"/>
        </w:rPr>
        <w:t>×10</w:t>
      </w:r>
      <w:r>
        <w:rPr>
          <w:color w:val="auto"/>
          <w:vertAlign w:val="superscript"/>
        </w:rPr>
        <w:t>-</w:t>
      </w:r>
      <w:r>
        <w:rPr>
          <w:rFonts w:hint="eastAsia"/>
          <w:color w:val="auto"/>
          <w:vertAlign w:val="superscript"/>
        </w:rPr>
        <w:t>4</w:t>
      </w:r>
      <w:r>
        <w:rPr>
          <w:color w:val="auto"/>
        </w:rPr>
        <w:t>；</w:t>
      </w:r>
    </w:p>
    <w:p w14:paraId="58D665C1">
      <w:pPr>
        <w:bidi w:val="0"/>
        <w:ind w:firstLine="1200" w:firstLineChars="500"/>
        <w:rPr>
          <w:color w:val="auto"/>
        </w:rPr>
      </w:pPr>
      <w:r>
        <w:rPr>
          <w:color w:val="auto"/>
        </w:rPr>
        <w:t>n——有效孔隙度。评价区含水介质主要为呈中密</w:t>
      </w:r>
      <w:r>
        <w:rPr>
          <w:rFonts w:hint="eastAsia"/>
          <w:color w:val="auto"/>
          <w:lang w:eastAsia="zh-CN"/>
        </w:rPr>
        <w:t>－</w:t>
      </w:r>
      <w:r>
        <w:rPr>
          <w:color w:val="auto"/>
        </w:rPr>
        <w:t>密实的细砂，有效孔隙度取0.4。</w:t>
      </w:r>
    </w:p>
    <w:p w14:paraId="71F8D7D6">
      <w:pPr>
        <w:bidi w:val="0"/>
        <w:rPr>
          <w:color w:val="auto"/>
        </w:rPr>
      </w:pPr>
      <w:r>
        <w:rPr>
          <w:color w:val="auto"/>
        </w:rPr>
        <w:t>根据地下水流速计算模型及水力坡度、渗透系数，可计算出，建设项目所在区域地下水流速为</w:t>
      </w:r>
      <w:r>
        <w:rPr>
          <w:rFonts w:hint="eastAsia"/>
          <w:color w:val="auto"/>
        </w:rPr>
        <w:t>0.0145</w:t>
      </w:r>
      <w:r>
        <w:rPr>
          <w:color w:val="auto"/>
        </w:rPr>
        <w:t>m/d。</w:t>
      </w:r>
    </w:p>
    <w:p w14:paraId="31276841">
      <w:pPr>
        <w:bidi w:val="0"/>
        <w:rPr>
          <w:color w:val="auto"/>
        </w:rPr>
      </w:pPr>
      <w:r>
        <w:rPr>
          <w:rFonts w:hint="eastAsia"/>
          <w:color w:val="auto"/>
        </w:rPr>
        <w:t>综上所述，</w:t>
      </w:r>
      <w:r>
        <w:rPr>
          <w:color w:val="auto"/>
        </w:rPr>
        <w:t>本次评价模型计算参数取值详见</w:t>
      </w:r>
      <w:r>
        <w:rPr>
          <w:rFonts w:hint="eastAsia"/>
          <w:color w:val="auto"/>
          <w:lang w:val="en-US" w:eastAsia="zh-CN"/>
        </w:rPr>
        <w:t>下表</w:t>
      </w:r>
      <w:r>
        <w:rPr>
          <w:color w:val="auto"/>
        </w:rPr>
        <w:t>。</w:t>
      </w:r>
    </w:p>
    <w:p w14:paraId="0DEAAA1F">
      <w:pPr>
        <w:pStyle w:val="10"/>
        <w:bidi w:val="0"/>
      </w:pPr>
      <w:r>
        <w:t xml:space="preserve">表 </w:t>
      </w:r>
      <w:r>
        <w:fldChar w:fldCharType="begin"/>
      </w:r>
      <w:r>
        <w:instrText xml:space="preserve"> STYLEREF 2 \s </w:instrText>
      </w:r>
      <w:r>
        <w:fldChar w:fldCharType="separate"/>
      </w:r>
      <w:r>
        <w:t>6.3</w:t>
      </w:r>
      <w:r>
        <w:fldChar w:fldCharType="end"/>
      </w:r>
      <w:r>
        <w:rPr>
          <w:rFonts w:hint="eastAsia"/>
          <w:lang w:eastAsia="zh-CN"/>
        </w:rPr>
        <w:t>-</w:t>
      </w:r>
      <w:r>
        <w:fldChar w:fldCharType="begin"/>
      </w:r>
      <w:r>
        <w:instrText xml:space="preserve"> SEQ 表 \* ARABIC \s 2 </w:instrText>
      </w:r>
      <w:r>
        <w:fldChar w:fldCharType="separate"/>
      </w:r>
      <w:r>
        <w:t>4</w:t>
      </w:r>
      <w:r>
        <w:fldChar w:fldCharType="end"/>
      </w:r>
      <w:r>
        <w:rPr>
          <w:rFonts w:hint="eastAsia"/>
          <w:lang w:val="en-US" w:eastAsia="zh-CN"/>
        </w:rPr>
        <w:t xml:space="preserve"> </w:t>
      </w:r>
      <w:r>
        <w:t>地下水预测参数选取一览表</w:t>
      </w:r>
    </w:p>
    <w:tbl>
      <w:tblPr>
        <w:tblStyle w:val="31"/>
        <w:tblW w:w="47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17"/>
        <w:gridCol w:w="1233"/>
        <w:gridCol w:w="1048"/>
        <w:gridCol w:w="1587"/>
        <w:gridCol w:w="1247"/>
        <w:gridCol w:w="1650"/>
      </w:tblGrid>
      <w:tr w14:paraId="531E11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1417" w:type="dxa"/>
            <w:vMerge w:val="restart"/>
            <w:vAlign w:val="center"/>
          </w:tcPr>
          <w:p w14:paraId="1305B69D">
            <w:pPr>
              <w:pStyle w:val="182"/>
              <w:bidi w:val="0"/>
              <w:rPr>
                <w:b/>
                <w:bCs/>
                <w:color w:val="auto"/>
                <w:u w:val="single"/>
              </w:rPr>
            </w:pPr>
            <w:r>
              <w:rPr>
                <w:b/>
                <w:bCs/>
                <w:color w:val="auto"/>
                <w:u w:val="single"/>
              </w:rPr>
              <w:t>参数</w:t>
            </w:r>
          </w:p>
        </w:tc>
        <w:tc>
          <w:tcPr>
            <w:tcW w:w="2281" w:type="dxa"/>
            <w:gridSpan w:val="2"/>
            <w:vAlign w:val="center"/>
          </w:tcPr>
          <w:p w14:paraId="34FFBFE8">
            <w:pPr>
              <w:pStyle w:val="182"/>
              <w:bidi w:val="0"/>
              <w:rPr>
                <w:b/>
                <w:bCs/>
                <w:color w:val="auto"/>
                <w:u w:val="single"/>
              </w:rPr>
            </w:pPr>
            <w:r>
              <w:rPr>
                <w:b/>
                <w:bCs/>
                <w:color w:val="auto"/>
                <w:u w:val="single"/>
              </w:rPr>
              <w:t>C</w:t>
            </w:r>
            <w:r>
              <w:rPr>
                <w:b/>
                <w:bCs/>
                <w:color w:val="auto"/>
                <w:u w:val="single"/>
                <w:vertAlign w:val="subscript"/>
              </w:rPr>
              <w:t>0</w:t>
            </w:r>
            <w:r>
              <w:rPr>
                <w:b/>
                <w:bCs/>
                <w:color w:val="auto"/>
                <w:u w:val="single"/>
              </w:rPr>
              <w:t>（mg/L）</w:t>
            </w:r>
          </w:p>
        </w:tc>
        <w:tc>
          <w:tcPr>
            <w:tcW w:w="1587" w:type="dxa"/>
            <w:vMerge w:val="restart"/>
            <w:vAlign w:val="center"/>
          </w:tcPr>
          <w:p w14:paraId="43B5588D">
            <w:pPr>
              <w:pStyle w:val="182"/>
              <w:bidi w:val="0"/>
              <w:rPr>
                <w:b/>
                <w:bCs/>
                <w:color w:val="auto"/>
                <w:u w:val="single"/>
              </w:rPr>
            </w:pPr>
            <w:r>
              <w:rPr>
                <w:b/>
                <w:bCs/>
                <w:color w:val="auto"/>
                <w:u w:val="single"/>
              </w:rPr>
              <w:t>D(m</w:t>
            </w:r>
            <w:r>
              <w:rPr>
                <w:b/>
                <w:bCs/>
                <w:color w:val="auto"/>
                <w:u w:val="single"/>
                <w:vertAlign w:val="superscript"/>
              </w:rPr>
              <w:t>2</w:t>
            </w:r>
            <w:r>
              <w:rPr>
                <w:b/>
                <w:bCs/>
                <w:color w:val="auto"/>
                <w:u w:val="single"/>
              </w:rPr>
              <w:t>/d)</w:t>
            </w:r>
          </w:p>
        </w:tc>
        <w:tc>
          <w:tcPr>
            <w:tcW w:w="1247" w:type="dxa"/>
            <w:vMerge w:val="restart"/>
            <w:vAlign w:val="center"/>
          </w:tcPr>
          <w:p w14:paraId="1D5EFAEB">
            <w:pPr>
              <w:pStyle w:val="182"/>
              <w:bidi w:val="0"/>
              <w:rPr>
                <w:b/>
                <w:bCs/>
                <w:color w:val="auto"/>
                <w:u w:val="single"/>
              </w:rPr>
            </w:pPr>
            <w:r>
              <w:rPr>
                <w:b/>
                <w:bCs/>
                <w:color w:val="auto"/>
                <w:u w:val="single"/>
              </w:rPr>
              <w:t>u(m/d)</w:t>
            </w:r>
          </w:p>
        </w:tc>
        <w:tc>
          <w:tcPr>
            <w:tcW w:w="1650" w:type="dxa"/>
            <w:vMerge w:val="restart"/>
            <w:vAlign w:val="center"/>
          </w:tcPr>
          <w:p w14:paraId="09096472">
            <w:pPr>
              <w:pStyle w:val="182"/>
              <w:bidi w:val="0"/>
              <w:rPr>
                <w:rFonts w:hint="default" w:eastAsia="宋体"/>
                <w:b/>
                <w:bCs/>
                <w:color w:val="auto"/>
                <w:u w:val="single"/>
                <w:lang w:val="en-US" w:eastAsia="zh-CN"/>
              </w:rPr>
            </w:pPr>
            <w:r>
              <w:rPr>
                <w:rFonts w:hint="eastAsia"/>
                <w:b/>
                <w:bCs/>
                <w:color w:val="auto"/>
                <w:u w:val="single"/>
                <w:lang w:val="en-US" w:eastAsia="zh-CN"/>
              </w:rPr>
              <w:t>泄漏时间</w:t>
            </w:r>
          </w:p>
        </w:tc>
      </w:tr>
      <w:tr w14:paraId="6774CB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17" w:type="dxa"/>
            <w:vMerge w:val="continue"/>
            <w:vAlign w:val="center"/>
          </w:tcPr>
          <w:p w14:paraId="431490ED">
            <w:pPr>
              <w:pStyle w:val="182"/>
              <w:bidi w:val="0"/>
              <w:rPr>
                <w:b/>
                <w:bCs/>
                <w:color w:val="auto"/>
                <w:u w:val="single"/>
              </w:rPr>
            </w:pPr>
          </w:p>
        </w:tc>
        <w:tc>
          <w:tcPr>
            <w:tcW w:w="1233" w:type="dxa"/>
            <w:vAlign w:val="center"/>
          </w:tcPr>
          <w:p w14:paraId="545B6D83">
            <w:pPr>
              <w:pStyle w:val="182"/>
              <w:bidi w:val="0"/>
              <w:rPr>
                <w:b/>
                <w:bCs/>
                <w:color w:val="auto"/>
                <w:u w:val="single"/>
              </w:rPr>
            </w:pPr>
            <w:r>
              <w:rPr>
                <w:rFonts w:hint="eastAsia"/>
                <w:b/>
                <w:bCs/>
                <w:color w:val="auto"/>
                <w:u w:val="single"/>
              </w:rPr>
              <w:t>耗氧量</w:t>
            </w:r>
          </w:p>
        </w:tc>
        <w:tc>
          <w:tcPr>
            <w:tcW w:w="1048" w:type="dxa"/>
            <w:vAlign w:val="center"/>
          </w:tcPr>
          <w:p w14:paraId="40E113B1">
            <w:pPr>
              <w:pStyle w:val="182"/>
              <w:bidi w:val="0"/>
              <w:rPr>
                <w:b/>
                <w:bCs/>
                <w:color w:val="auto"/>
                <w:u w:val="single"/>
              </w:rPr>
            </w:pPr>
            <w:r>
              <w:rPr>
                <w:rFonts w:hint="eastAsia"/>
                <w:b/>
                <w:bCs/>
                <w:color w:val="auto"/>
                <w:u w:val="single"/>
              </w:rPr>
              <w:t>氨氮</w:t>
            </w:r>
          </w:p>
        </w:tc>
        <w:tc>
          <w:tcPr>
            <w:tcW w:w="1587" w:type="dxa"/>
            <w:vMerge w:val="continue"/>
            <w:vAlign w:val="center"/>
          </w:tcPr>
          <w:p w14:paraId="59A4ABA2">
            <w:pPr>
              <w:pStyle w:val="182"/>
              <w:bidi w:val="0"/>
              <w:rPr>
                <w:b/>
                <w:bCs/>
                <w:color w:val="auto"/>
                <w:u w:val="single"/>
              </w:rPr>
            </w:pPr>
          </w:p>
        </w:tc>
        <w:tc>
          <w:tcPr>
            <w:tcW w:w="1247" w:type="dxa"/>
            <w:vMerge w:val="continue"/>
            <w:vAlign w:val="center"/>
          </w:tcPr>
          <w:p w14:paraId="1E1B0B29">
            <w:pPr>
              <w:pStyle w:val="182"/>
              <w:bidi w:val="0"/>
              <w:rPr>
                <w:b/>
                <w:bCs/>
                <w:color w:val="auto"/>
                <w:u w:val="single"/>
              </w:rPr>
            </w:pPr>
          </w:p>
        </w:tc>
        <w:tc>
          <w:tcPr>
            <w:tcW w:w="1650" w:type="dxa"/>
            <w:vMerge w:val="continue"/>
            <w:vAlign w:val="center"/>
          </w:tcPr>
          <w:p w14:paraId="16BA8895">
            <w:pPr>
              <w:pStyle w:val="182"/>
              <w:bidi w:val="0"/>
              <w:rPr>
                <w:b/>
                <w:bCs/>
                <w:color w:val="auto"/>
                <w:u w:val="single"/>
              </w:rPr>
            </w:pPr>
          </w:p>
        </w:tc>
      </w:tr>
      <w:tr w14:paraId="7AE709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1417" w:type="dxa"/>
            <w:vAlign w:val="center"/>
          </w:tcPr>
          <w:p w14:paraId="22178770">
            <w:pPr>
              <w:pStyle w:val="182"/>
              <w:bidi w:val="0"/>
              <w:rPr>
                <w:b/>
                <w:bCs/>
                <w:color w:val="auto"/>
                <w:u w:val="single"/>
              </w:rPr>
            </w:pPr>
            <w:r>
              <w:rPr>
                <w:rFonts w:hint="eastAsia"/>
                <w:b/>
                <w:bCs/>
                <w:color w:val="auto"/>
                <w:u w:val="single"/>
              </w:rPr>
              <w:t>废水调节池</w:t>
            </w:r>
          </w:p>
        </w:tc>
        <w:tc>
          <w:tcPr>
            <w:tcW w:w="1233" w:type="dxa"/>
            <w:vAlign w:val="center"/>
          </w:tcPr>
          <w:p w14:paraId="6FC7B1DA">
            <w:pPr>
              <w:pStyle w:val="182"/>
              <w:bidi w:val="0"/>
              <w:rPr>
                <w:rFonts w:hint="default" w:eastAsia="宋体"/>
                <w:b/>
                <w:bCs/>
                <w:color w:val="auto"/>
                <w:u w:val="single"/>
                <w:lang w:val="en-US" w:eastAsia="zh-CN"/>
              </w:rPr>
            </w:pPr>
            <w:r>
              <w:rPr>
                <w:rFonts w:hint="eastAsia"/>
                <w:b/>
                <w:bCs/>
                <w:color w:val="auto"/>
                <w:u w:val="single"/>
                <w:lang w:val="en-US" w:eastAsia="zh-CN"/>
              </w:rPr>
              <w:t>635.61</w:t>
            </w:r>
          </w:p>
        </w:tc>
        <w:tc>
          <w:tcPr>
            <w:tcW w:w="1048" w:type="dxa"/>
            <w:vAlign w:val="center"/>
          </w:tcPr>
          <w:p w14:paraId="757577D9">
            <w:pPr>
              <w:pStyle w:val="182"/>
              <w:bidi w:val="0"/>
              <w:rPr>
                <w:rFonts w:hint="default" w:eastAsia="宋体"/>
                <w:b/>
                <w:bCs/>
                <w:color w:val="auto"/>
                <w:u w:val="single"/>
                <w:lang w:val="en-US" w:eastAsia="zh-CN"/>
              </w:rPr>
            </w:pPr>
            <w:r>
              <w:rPr>
                <w:rFonts w:hint="eastAsia"/>
                <w:b/>
                <w:bCs/>
                <w:color w:val="auto"/>
                <w:u w:val="single"/>
                <w:lang w:val="en-US" w:eastAsia="zh-CN"/>
              </w:rPr>
              <w:t>19.77</w:t>
            </w:r>
          </w:p>
        </w:tc>
        <w:tc>
          <w:tcPr>
            <w:tcW w:w="1587" w:type="dxa"/>
            <w:vAlign w:val="center"/>
          </w:tcPr>
          <w:p w14:paraId="19ED350C">
            <w:pPr>
              <w:pStyle w:val="182"/>
              <w:bidi w:val="0"/>
              <w:rPr>
                <w:rFonts w:hint="eastAsia" w:eastAsia="宋体"/>
                <w:b/>
                <w:bCs/>
                <w:color w:val="auto"/>
                <w:u w:val="single"/>
                <w:lang w:eastAsia="zh-CN"/>
              </w:rPr>
            </w:pPr>
            <w:r>
              <w:rPr>
                <w:rFonts w:hint="eastAsia"/>
                <w:b/>
                <w:bCs/>
                <w:color w:val="auto"/>
                <w:u w:val="single"/>
              </w:rPr>
              <w:t>0.</w:t>
            </w:r>
            <w:r>
              <w:rPr>
                <w:rFonts w:hint="eastAsia"/>
                <w:b/>
                <w:bCs/>
                <w:color w:val="auto"/>
                <w:u w:val="single"/>
                <w:lang w:val="en-US" w:eastAsia="zh-CN"/>
              </w:rPr>
              <w:t>2</w:t>
            </w:r>
          </w:p>
        </w:tc>
        <w:tc>
          <w:tcPr>
            <w:tcW w:w="1247" w:type="dxa"/>
            <w:vAlign w:val="center"/>
          </w:tcPr>
          <w:p w14:paraId="23638E25">
            <w:pPr>
              <w:pStyle w:val="182"/>
              <w:bidi w:val="0"/>
              <w:rPr>
                <w:b/>
                <w:bCs/>
                <w:color w:val="auto"/>
                <w:u w:val="single"/>
              </w:rPr>
            </w:pPr>
            <w:r>
              <w:rPr>
                <w:rFonts w:hint="eastAsia"/>
                <w:b/>
                <w:bCs/>
                <w:color w:val="auto"/>
                <w:u w:val="single"/>
              </w:rPr>
              <w:t>0.0145</w:t>
            </w:r>
          </w:p>
        </w:tc>
        <w:tc>
          <w:tcPr>
            <w:tcW w:w="1650" w:type="dxa"/>
            <w:vAlign w:val="center"/>
          </w:tcPr>
          <w:p w14:paraId="3BC9E248">
            <w:pPr>
              <w:pStyle w:val="182"/>
              <w:bidi w:val="0"/>
              <w:rPr>
                <w:rFonts w:hint="default" w:eastAsia="宋体"/>
                <w:b/>
                <w:bCs/>
                <w:color w:val="auto"/>
                <w:u w:val="single"/>
                <w:lang w:val="en-US" w:eastAsia="zh-CN"/>
              </w:rPr>
            </w:pPr>
            <w:r>
              <w:rPr>
                <w:rFonts w:hint="eastAsia"/>
                <w:b/>
                <w:bCs/>
                <w:color w:val="auto"/>
                <w:u w:val="single"/>
                <w:lang w:val="en-US" w:eastAsia="zh-CN"/>
              </w:rPr>
              <w:t>180</w:t>
            </w:r>
          </w:p>
        </w:tc>
      </w:tr>
    </w:tbl>
    <w:p w14:paraId="5EB979C3">
      <w:pPr>
        <w:pStyle w:val="5"/>
        <w:bidi w:val="0"/>
        <w:rPr>
          <w:color w:val="auto"/>
        </w:rPr>
      </w:pPr>
      <w:r>
        <w:rPr>
          <w:color w:val="auto"/>
        </w:rPr>
        <w:t>预测结果</w:t>
      </w:r>
    </w:p>
    <w:p w14:paraId="607DBAEA">
      <w:pPr>
        <w:bidi w:val="0"/>
        <w:rPr>
          <w:color w:val="auto"/>
        </w:rPr>
      </w:pPr>
      <w:r>
        <w:rPr>
          <w:rFonts w:hint="eastAsia"/>
          <w:color w:val="auto"/>
        </w:rPr>
        <w:t>（1）特征因子迁移预测</w:t>
      </w:r>
    </w:p>
    <w:p w14:paraId="182639B5">
      <w:pPr>
        <w:bidi w:val="0"/>
        <w:rPr>
          <w:color w:val="auto"/>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r>
        <w:rPr>
          <w:color w:val="auto"/>
        </w:rPr>
        <w:t>根据预测模型，预测不同时段地下水环境影响，预测结果见</w:t>
      </w:r>
      <w:r>
        <w:rPr>
          <w:rFonts w:hint="eastAsia"/>
          <w:color w:val="auto"/>
          <w:lang w:val="en-US" w:eastAsia="zh-CN"/>
        </w:rPr>
        <w:t>下表</w:t>
      </w:r>
      <w:r>
        <w:rPr>
          <w:color w:val="auto"/>
        </w:rPr>
        <w:t>。</w:t>
      </w:r>
    </w:p>
    <w:p w14:paraId="33EDFC2E">
      <w:pPr>
        <w:pStyle w:val="10"/>
        <w:bidi w:val="0"/>
        <w:rPr>
          <w:rFonts w:hint="eastAsia" w:ascii="Times New Roman" w:hAnsi="Times New Roman" w:eastAsia="宋体"/>
        </w:rPr>
      </w:pPr>
      <w:r>
        <w:rPr>
          <w:rFonts w:ascii="Times New Roman" w:hAnsi="Times New Roman" w:eastAsia="宋体"/>
        </w:rPr>
        <w:t xml:space="preserve">表 </w:t>
      </w:r>
      <w:r>
        <w:rPr>
          <w:rFonts w:ascii="Times New Roman" w:hAnsi="Times New Roman" w:eastAsia="宋体"/>
        </w:rPr>
        <w:fldChar w:fldCharType="begin"/>
      </w:r>
      <w:r>
        <w:rPr>
          <w:rFonts w:ascii="Times New Roman" w:hAnsi="Times New Roman" w:eastAsia="宋体"/>
        </w:rPr>
        <w:instrText xml:space="preserve"> STYLEREF 2 \s </w:instrText>
      </w:r>
      <w:r>
        <w:rPr>
          <w:rFonts w:ascii="Times New Roman" w:hAnsi="Times New Roman" w:eastAsia="宋体"/>
        </w:rPr>
        <w:fldChar w:fldCharType="separate"/>
      </w:r>
      <w:r>
        <w:rPr>
          <w:rFonts w:ascii="Times New Roman" w:hAnsi="Times New Roman" w:eastAsia="宋体"/>
        </w:rPr>
        <w:t>6.3</w:t>
      </w:r>
      <w:r>
        <w:rPr>
          <w:rFonts w:ascii="Times New Roman" w:hAnsi="Times New Roman" w:eastAsia="宋体"/>
        </w:rPr>
        <w:fldChar w:fldCharType="end"/>
      </w:r>
      <w:r>
        <w:rPr>
          <w:rFonts w:hint="eastAsia" w:ascii="Times New Roman" w:hAnsi="Times New Roman" w:eastAsia="宋体"/>
          <w:lang w:eastAsia="zh-CN"/>
        </w:rPr>
        <w:t>-</w:t>
      </w:r>
      <w:r>
        <w:rPr>
          <w:rFonts w:ascii="Times New Roman" w:hAnsi="Times New Roman" w:eastAsia="宋体"/>
        </w:rPr>
        <w:fldChar w:fldCharType="begin"/>
      </w:r>
      <w:r>
        <w:rPr>
          <w:rFonts w:ascii="Times New Roman" w:hAnsi="Times New Roman" w:eastAsia="宋体"/>
        </w:rPr>
        <w:instrText xml:space="preserve"> SEQ 表 \* ARABIC \s 2 </w:instrText>
      </w:r>
      <w:r>
        <w:rPr>
          <w:rFonts w:ascii="Times New Roman" w:hAnsi="Times New Roman" w:eastAsia="宋体"/>
        </w:rPr>
        <w:fldChar w:fldCharType="separate"/>
      </w:r>
      <w:r>
        <w:rPr>
          <w:rFonts w:ascii="Times New Roman" w:hAnsi="Times New Roman" w:eastAsia="宋体"/>
        </w:rPr>
        <w:t>5</w:t>
      </w:r>
      <w:r>
        <w:rPr>
          <w:rFonts w:ascii="Times New Roman" w:hAnsi="Times New Roman" w:eastAsia="宋体"/>
        </w:rPr>
        <w:fldChar w:fldCharType="end"/>
      </w:r>
      <w:r>
        <w:rPr>
          <w:rFonts w:hint="eastAsia" w:ascii="Times New Roman" w:hAnsi="Times New Roman" w:eastAsia="宋体"/>
        </w:rPr>
        <w:t xml:space="preserve"> 项目</w:t>
      </w:r>
      <w:r>
        <w:rPr>
          <w:rFonts w:hint="eastAsia" w:ascii="Times New Roman" w:hAnsi="Times New Roman" w:eastAsia="宋体"/>
          <w:lang w:eastAsia="zh-CN"/>
        </w:rPr>
        <w:t>污水泄漏</w:t>
      </w:r>
      <w:r>
        <w:rPr>
          <w:rFonts w:hint="eastAsia" w:ascii="Times New Roman" w:hAnsi="Times New Roman" w:eastAsia="宋体"/>
        </w:rPr>
        <w:t>对区域地下水贡献值预测结果一览表   单位：时间为d，距离为m，浓度为mg/L</w:t>
      </w:r>
    </w:p>
    <w:tbl>
      <w:tblPr>
        <w:tblStyle w:val="31"/>
        <w:tblW w:w="4845"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1304"/>
        <w:gridCol w:w="1304"/>
        <w:gridCol w:w="1304"/>
        <w:gridCol w:w="1304"/>
        <w:gridCol w:w="1304"/>
        <w:gridCol w:w="1304"/>
        <w:gridCol w:w="1304"/>
        <w:gridCol w:w="1304"/>
        <w:gridCol w:w="1304"/>
        <w:gridCol w:w="1304"/>
      </w:tblGrid>
      <w:tr w14:paraId="3A55B0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397" w:hRule="atLeast"/>
          <w:tblHeader/>
          <w:jc w:val="center"/>
        </w:trPr>
        <w:tc>
          <w:tcPr>
            <w:tcW w:w="500" w:type="pct"/>
            <w:tcBorders>
              <w:top w:val="single" w:color="auto" w:sz="4" w:space="0"/>
              <w:tl2br w:val="nil"/>
              <w:tr2bl w:val="nil"/>
            </w:tcBorders>
            <w:shd w:val="clear" w:color="auto" w:fill="auto"/>
            <w:vAlign w:val="center"/>
          </w:tcPr>
          <w:p w14:paraId="2220EA17">
            <w:pPr>
              <w:pStyle w:val="182"/>
              <w:bidi w:val="0"/>
              <w:rPr>
                <w:rFonts w:hint="eastAsia"/>
                <w:b/>
                <w:bCs/>
                <w:color w:val="auto"/>
                <w:u w:val="single"/>
              </w:rPr>
            </w:pPr>
            <w:r>
              <w:rPr>
                <w:rFonts w:hint="eastAsia"/>
                <w:b/>
                <w:bCs/>
                <w:color w:val="auto"/>
                <w:u w:val="single"/>
                <w:lang w:val="en-US" w:eastAsia="zh-CN"/>
              </w:rPr>
              <w:t>因子</w:t>
            </w:r>
          </w:p>
        </w:tc>
        <w:tc>
          <w:tcPr>
            <w:tcW w:w="500" w:type="pct"/>
            <w:tcBorders>
              <w:tl2br w:val="nil"/>
              <w:tr2bl w:val="nil"/>
            </w:tcBorders>
            <w:shd w:val="clear" w:color="auto" w:fill="auto"/>
            <w:vAlign w:val="center"/>
          </w:tcPr>
          <w:p w14:paraId="55D5A5CB">
            <w:pPr>
              <w:pStyle w:val="182"/>
              <w:bidi w:val="0"/>
              <w:rPr>
                <w:rFonts w:hint="eastAsia"/>
                <w:b/>
                <w:bCs/>
                <w:color w:val="auto"/>
                <w:u w:val="single"/>
              </w:rPr>
            </w:pPr>
            <w:r>
              <w:rPr>
                <w:rFonts w:hint="eastAsia"/>
                <w:b/>
                <w:bCs/>
                <w:color w:val="auto"/>
                <w:u w:val="single"/>
                <w:lang w:val="en-US" w:eastAsia="zh-CN"/>
              </w:rPr>
              <w:t>距离</w:t>
            </w:r>
          </w:p>
        </w:tc>
        <w:tc>
          <w:tcPr>
            <w:tcW w:w="500" w:type="pct"/>
            <w:tcBorders>
              <w:tl2br w:val="nil"/>
              <w:tr2bl w:val="nil"/>
            </w:tcBorders>
            <w:shd w:val="clear" w:color="auto" w:fill="auto"/>
            <w:vAlign w:val="center"/>
          </w:tcPr>
          <w:p w14:paraId="437EA89A">
            <w:pPr>
              <w:pStyle w:val="182"/>
              <w:bidi w:val="0"/>
              <w:rPr>
                <w:rFonts w:hint="default"/>
                <w:b/>
                <w:bCs/>
                <w:color w:val="auto"/>
                <w:u w:val="single"/>
              </w:rPr>
            </w:pPr>
            <w:r>
              <w:rPr>
                <w:rFonts w:hint="default"/>
                <w:b/>
                <w:bCs/>
                <w:color w:val="auto"/>
                <w:u w:val="single"/>
                <w:lang w:val="en-US" w:eastAsia="zh-CN"/>
              </w:rPr>
              <w:t>10d</w:t>
            </w:r>
          </w:p>
        </w:tc>
        <w:tc>
          <w:tcPr>
            <w:tcW w:w="500" w:type="pct"/>
            <w:tcBorders>
              <w:tl2br w:val="nil"/>
              <w:tr2bl w:val="nil"/>
            </w:tcBorders>
            <w:shd w:val="clear" w:color="auto" w:fill="auto"/>
            <w:vAlign w:val="center"/>
          </w:tcPr>
          <w:p w14:paraId="281C98FE">
            <w:pPr>
              <w:pStyle w:val="182"/>
              <w:bidi w:val="0"/>
              <w:rPr>
                <w:rFonts w:hint="default"/>
                <w:b/>
                <w:bCs/>
                <w:color w:val="auto"/>
                <w:u w:val="single"/>
              </w:rPr>
            </w:pPr>
            <w:r>
              <w:rPr>
                <w:rFonts w:hint="default"/>
                <w:b/>
                <w:bCs/>
                <w:color w:val="auto"/>
                <w:u w:val="single"/>
                <w:lang w:val="en-US" w:eastAsia="zh-CN"/>
              </w:rPr>
              <w:t>50d</w:t>
            </w:r>
          </w:p>
        </w:tc>
        <w:tc>
          <w:tcPr>
            <w:tcW w:w="500" w:type="pct"/>
            <w:tcBorders>
              <w:tl2br w:val="nil"/>
              <w:tr2bl w:val="nil"/>
            </w:tcBorders>
            <w:shd w:val="clear" w:color="auto" w:fill="auto"/>
            <w:vAlign w:val="center"/>
          </w:tcPr>
          <w:p w14:paraId="390680A9">
            <w:pPr>
              <w:pStyle w:val="182"/>
              <w:bidi w:val="0"/>
              <w:rPr>
                <w:rFonts w:hint="default"/>
                <w:b/>
                <w:bCs/>
                <w:color w:val="auto"/>
                <w:u w:val="single"/>
              </w:rPr>
            </w:pPr>
            <w:r>
              <w:rPr>
                <w:rFonts w:hint="default"/>
                <w:b/>
                <w:bCs/>
                <w:color w:val="auto"/>
                <w:u w:val="single"/>
                <w:lang w:val="en-US" w:eastAsia="zh-CN"/>
              </w:rPr>
              <w:t>100d</w:t>
            </w:r>
          </w:p>
        </w:tc>
        <w:tc>
          <w:tcPr>
            <w:tcW w:w="500" w:type="pct"/>
            <w:tcBorders>
              <w:tl2br w:val="nil"/>
              <w:tr2bl w:val="nil"/>
            </w:tcBorders>
            <w:shd w:val="clear" w:color="auto" w:fill="auto"/>
            <w:vAlign w:val="center"/>
          </w:tcPr>
          <w:p w14:paraId="6B561F67">
            <w:pPr>
              <w:pStyle w:val="182"/>
              <w:bidi w:val="0"/>
              <w:rPr>
                <w:rFonts w:hint="default"/>
                <w:b/>
                <w:bCs/>
                <w:color w:val="auto"/>
                <w:u w:val="single"/>
              </w:rPr>
            </w:pPr>
            <w:r>
              <w:rPr>
                <w:rFonts w:hint="default"/>
                <w:b/>
                <w:bCs/>
                <w:color w:val="auto"/>
                <w:u w:val="single"/>
                <w:lang w:val="en-US" w:eastAsia="zh-CN"/>
              </w:rPr>
              <w:t>200d</w:t>
            </w:r>
          </w:p>
        </w:tc>
        <w:tc>
          <w:tcPr>
            <w:tcW w:w="500" w:type="pct"/>
            <w:tcBorders>
              <w:tl2br w:val="nil"/>
              <w:tr2bl w:val="nil"/>
            </w:tcBorders>
            <w:shd w:val="clear" w:color="auto" w:fill="auto"/>
            <w:vAlign w:val="center"/>
          </w:tcPr>
          <w:p w14:paraId="5C971149">
            <w:pPr>
              <w:pStyle w:val="182"/>
              <w:bidi w:val="0"/>
              <w:rPr>
                <w:rFonts w:hint="default"/>
                <w:b/>
                <w:bCs/>
                <w:color w:val="auto"/>
                <w:u w:val="single"/>
              </w:rPr>
            </w:pPr>
            <w:r>
              <w:rPr>
                <w:rFonts w:hint="default"/>
                <w:b/>
                <w:bCs/>
                <w:color w:val="auto"/>
                <w:u w:val="single"/>
                <w:lang w:val="en-US" w:eastAsia="zh-CN"/>
              </w:rPr>
              <w:t>300d</w:t>
            </w:r>
          </w:p>
        </w:tc>
        <w:tc>
          <w:tcPr>
            <w:tcW w:w="500" w:type="pct"/>
            <w:tcBorders>
              <w:tl2br w:val="nil"/>
              <w:tr2bl w:val="nil"/>
            </w:tcBorders>
            <w:shd w:val="clear" w:color="auto" w:fill="auto"/>
            <w:vAlign w:val="center"/>
          </w:tcPr>
          <w:p w14:paraId="72CEA6A9">
            <w:pPr>
              <w:pStyle w:val="182"/>
              <w:bidi w:val="0"/>
              <w:rPr>
                <w:rFonts w:hint="default"/>
                <w:b/>
                <w:bCs/>
                <w:color w:val="auto"/>
                <w:u w:val="single"/>
              </w:rPr>
            </w:pPr>
            <w:r>
              <w:rPr>
                <w:rFonts w:hint="default"/>
                <w:b/>
                <w:bCs/>
                <w:color w:val="auto"/>
                <w:u w:val="single"/>
                <w:lang w:val="en-US" w:eastAsia="zh-CN"/>
              </w:rPr>
              <w:t>400d</w:t>
            </w:r>
          </w:p>
        </w:tc>
        <w:tc>
          <w:tcPr>
            <w:tcW w:w="500" w:type="pct"/>
            <w:tcBorders>
              <w:tl2br w:val="nil"/>
              <w:tr2bl w:val="nil"/>
            </w:tcBorders>
            <w:shd w:val="clear" w:color="auto" w:fill="auto"/>
            <w:vAlign w:val="center"/>
          </w:tcPr>
          <w:p w14:paraId="73D4558D">
            <w:pPr>
              <w:pStyle w:val="182"/>
              <w:bidi w:val="0"/>
              <w:rPr>
                <w:rFonts w:hint="default"/>
                <w:b/>
                <w:bCs/>
                <w:color w:val="auto"/>
                <w:u w:val="single"/>
              </w:rPr>
            </w:pPr>
            <w:r>
              <w:rPr>
                <w:rFonts w:hint="default"/>
                <w:b/>
                <w:bCs/>
                <w:color w:val="auto"/>
                <w:u w:val="single"/>
                <w:lang w:val="en-US" w:eastAsia="zh-CN"/>
              </w:rPr>
              <w:t>500d</w:t>
            </w:r>
          </w:p>
        </w:tc>
        <w:tc>
          <w:tcPr>
            <w:tcW w:w="500" w:type="pct"/>
            <w:tcBorders>
              <w:tl2br w:val="nil"/>
              <w:tr2bl w:val="nil"/>
            </w:tcBorders>
            <w:shd w:val="clear" w:color="auto" w:fill="auto"/>
            <w:vAlign w:val="center"/>
          </w:tcPr>
          <w:p w14:paraId="3D63D68B">
            <w:pPr>
              <w:pStyle w:val="182"/>
              <w:bidi w:val="0"/>
              <w:rPr>
                <w:rFonts w:hint="default"/>
                <w:b/>
                <w:bCs/>
                <w:color w:val="auto"/>
                <w:u w:val="single"/>
              </w:rPr>
            </w:pPr>
            <w:r>
              <w:rPr>
                <w:rFonts w:hint="default"/>
                <w:b/>
                <w:bCs/>
                <w:color w:val="auto"/>
                <w:u w:val="single"/>
                <w:lang w:val="en-US" w:eastAsia="zh-CN"/>
              </w:rPr>
              <w:t>1000d</w:t>
            </w:r>
          </w:p>
        </w:tc>
      </w:tr>
      <w:tr w14:paraId="1D468D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restart"/>
            <w:tcBorders>
              <w:tl2br w:val="nil"/>
              <w:tr2bl w:val="nil"/>
            </w:tcBorders>
            <w:shd w:val="clear" w:color="auto" w:fill="auto"/>
            <w:vAlign w:val="center"/>
          </w:tcPr>
          <w:p w14:paraId="63A8A0B4">
            <w:pPr>
              <w:pStyle w:val="182"/>
              <w:bidi w:val="0"/>
              <w:rPr>
                <w:rFonts w:hint="default"/>
                <w:b/>
                <w:bCs/>
                <w:color w:val="auto"/>
                <w:u w:val="single"/>
              </w:rPr>
            </w:pPr>
            <w:r>
              <w:rPr>
                <w:rFonts w:hint="eastAsia"/>
                <w:b/>
                <w:bCs/>
                <w:color w:val="auto"/>
                <w:u w:val="single"/>
                <w:lang w:val="en-US" w:eastAsia="zh-CN"/>
              </w:rPr>
              <w:t>耗氧量</w:t>
            </w:r>
          </w:p>
        </w:tc>
        <w:tc>
          <w:tcPr>
            <w:tcW w:w="500" w:type="pct"/>
            <w:tcBorders>
              <w:tl2br w:val="nil"/>
              <w:tr2bl w:val="nil"/>
            </w:tcBorders>
            <w:shd w:val="clear" w:color="auto" w:fill="auto"/>
            <w:vAlign w:val="center"/>
          </w:tcPr>
          <w:p w14:paraId="7617EC6B">
            <w:pPr>
              <w:pStyle w:val="182"/>
              <w:bidi w:val="0"/>
              <w:rPr>
                <w:rFonts w:hint="default"/>
                <w:b/>
                <w:bCs/>
                <w:color w:val="auto"/>
                <w:u w:val="single"/>
              </w:rPr>
            </w:pPr>
            <w:r>
              <w:rPr>
                <w:rFonts w:hint="default"/>
                <w:b/>
                <w:bCs/>
                <w:color w:val="auto"/>
                <w:u w:val="single"/>
                <w:lang w:val="en-US" w:eastAsia="zh-CN"/>
              </w:rPr>
              <w:t>10</w:t>
            </w:r>
          </w:p>
        </w:tc>
        <w:tc>
          <w:tcPr>
            <w:tcW w:w="500" w:type="pct"/>
            <w:tcBorders>
              <w:tl2br w:val="nil"/>
              <w:tr2bl w:val="nil"/>
            </w:tcBorders>
            <w:shd w:val="clear" w:color="auto" w:fill="auto"/>
            <w:noWrap/>
            <w:vAlign w:val="center"/>
          </w:tcPr>
          <w:p w14:paraId="0914C1D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6C3810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22.91 </w:t>
            </w:r>
          </w:p>
        </w:tc>
        <w:tc>
          <w:tcPr>
            <w:tcW w:w="500" w:type="pct"/>
            <w:tcBorders>
              <w:tl2br w:val="nil"/>
              <w:tr2bl w:val="nil"/>
            </w:tcBorders>
            <w:shd w:val="clear" w:color="auto" w:fill="auto"/>
            <w:noWrap/>
            <w:vAlign w:val="center"/>
          </w:tcPr>
          <w:p w14:paraId="75BF130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102.15 </w:t>
            </w:r>
          </w:p>
        </w:tc>
        <w:tc>
          <w:tcPr>
            <w:tcW w:w="500" w:type="pct"/>
            <w:tcBorders>
              <w:tl2br w:val="nil"/>
              <w:tr2bl w:val="nil"/>
            </w:tcBorders>
            <w:shd w:val="clear" w:color="auto" w:fill="auto"/>
            <w:noWrap/>
            <w:vAlign w:val="center"/>
          </w:tcPr>
          <w:p w14:paraId="3140914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233.35 </w:t>
            </w:r>
          </w:p>
        </w:tc>
        <w:tc>
          <w:tcPr>
            <w:tcW w:w="500" w:type="pct"/>
            <w:tcBorders>
              <w:tl2br w:val="nil"/>
              <w:tr2bl w:val="nil"/>
            </w:tcBorders>
            <w:shd w:val="clear" w:color="auto" w:fill="auto"/>
            <w:noWrap/>
            <w:vAlign w:val="center"/>
          </w:tcPr>
          <w:p w14:paraId="09166CB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184.14 </w:t>
            </w:r>
          </w:p>
        </w:tc>
        <w:tc>
          <w:tcPr>
            <w:tcW w:w="500" w:type="pct"/>
            <w:tcBorders>
              <w:tl2br w:val="nil"/>
              <w:tr2bl w:val="nil"/>
            </w:tcBorders>
            <w:shd w:val="clear" w:color="auto" w:fill="auto"/>
            <w:noWrap/>
            <w:vAlign w:val="center"/>
          </w:tcPr>
          <w:p w14:paraId="05208EA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120.51 </w:t>
            </w:r>
          </w:p>
        </w:tc>
        <w:tc>
          <w:tcPr>
            <w:tcW w:w="500" w:type="pct"/>
            <w:tcBorders>
              <w:tl2br w:val="nil"/>
              <w:tr2bl w:val="nil"/>
            </w:tcBorders>
            <w:shd w:val="clear" w:color="auto" w:fill="auto"/>
            <w:noWrap/>
            <w:vAlign w:val="center"/>
          </w:tcPr>
          <w:p w14:paraId="065DA05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84.43 </w:t>
            </w:r>
          </w:p>
        </w:tc>
        <w:tc>
          <w:tcPr>
            <w:tcW w:w="500" w:type="pct"/>
            <w:tcBorders>
              <w:tl2br w:val="nil"/>
              <w:tr2bl w:val="nil"/>
            </w:tcBorders>
            <w:shd w:val="clear" w:color="auto" w:fill="auto"/>
            <w:noWrap/>
            <w:vAlign w:val="center"/>
          </w:tcPr>
          <w:p w14:paraId="05084B6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26.08 </w:t>
            </w:r>
          </w:p>
        </w:tc>
      </w:tr>
      <w:tr w14:paraId="1978C0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7F210DDA">
            <w:pPr>
              <w:pStyle w:val="182"/>
              <w:bidi w:val="0"/>
              <w:rPr>
                <w:rFonts w:hint="default"/>
                <w:b/>
                <w:bCs/>
                <w:color w:val="auto"/>
                <w:u w:val="single"/>
              </w:rPr>
            </w:pPr>
          </w:p>
        </w:tc>
        <w:tc>
          <w:tcPr>
            <w:tcW w:w="500" w:type="pct"/>
            <w:tcBorders>
              <w:tl2br w:val="nil"/>
              <w:tr2bl w:val="nil"/>
            </w:tcBorders>
            <w:shd w:val="clear" w:color="auto" w:fill="auto"/>
            <w:vAlign w:val="center"/>
          </w:tcPr>
          <w:p w14:paraId="214C5355">
            <w:pPr>
              <w:pStyle w:val="182"/>
              <w:bidi w:val="0"/>
              <w:rPr>
                <w:rFonts w:hint="default"/>
                <w:b/>
                <w:bCs/>
                <w:color w:val="auto"/>
                <w:u w:val="single"/>
              </w:rPr>
            </w:pPr>
            <w:r>
              <w:rPr>
                <w:rFonts w:hint="default"/>
                <w:b/>
                <w:bCs/>
                <w:color w:val="auto"/>
                <w:u w:val="single"/>
                <w:lang w:val="en-US" w:eastAsia="zh-CN"/>
              </w:rPr>
              <w:t>20</w:t>
            </w:r>
          </w:p>
        </w:tc>
        <w:tc>
          <w:tcPr>
            <w:tcW w:w="500" w:type="pct"/>
            <w:tcBorders>
              <w:tl2br w:val="nil"/>
              <w:tr2bl w:val="nil"/>
            </w:tcBorders>
            <w:shd w:val="clear" w:color="auto" w:fill="auto"/>
            <w:noWrap/>
            <w:vAlign w:val="center"/>
          </w:tcPr>
          <w:p w14:paraId="4D9F37E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7B956E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0.01 </w:t>
            </w:r>
          </w:p>
        </w:tc>
        <w:tc>
          <w:tcPr>
            <w:tcW w:w="500" w:type="pct"/>
            <w:tcBorders>
              <w:tl2br w:val="nil"/>
              <w:tr2bl w:val="nil"/>
            </w:tcBorders>
            <w:shd w:val="clear" w:color="auto" w:fill="auto"/>
            <w:noWrap/>
            <w:vAlign w:val="center"/>
          </w:tcPr>
          <w:p w14:paraId="5200D17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2.01 </w:t>
            </w:r>
          </w:p>
        </w:tc>
        <w:tc>
          <w:tcPr>
            <w:tcW w:w="500" w:type="pct"/>
            <w:tcBorders>
              <w:tl2br w:val="nil"/>
              <w:tr2bl w:val="nil"/>
            </w:tcBorders>
            <w:shd w:val="clear" w:color="auto" w:fill="auto"/>
            <w:noWrap/>
            <w:vAlign w:val="center"/>
          </w:tcPr>
          <w:p w14:paraId="492913F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31.93 </w:t>
            </w:r>
          </w:p>
        </w:tc>
        <w:tc>
          <w:tcPr>
            <w:tcW w:w="500" w:type="pct"/>
            <w:tcBorders>
              <w:tl2br w:val="nil"/>
              <w:tr2bl w:val="nil"/>
            </w:tcBorders>
            <w:shd w:val="clear" w:color="auto" w:fill="auto"/>
            <w:noWrap/>
            <w:vAlign w:val="center"/>
          </w:tcPr>
          <w:p w14:paraId="6E26D13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79.22 </w:t>
            </w:r>
          </w:p>
        </w:tc>
        <w:tc>
          <w:tcPr>
            <w:tcW w:w="500" w:type="pct"/>
            <w:tcBorders>
              <w:tl2br w:val="nil"/>
              <w:tr2bl w:val="nil"/>
            </w:tcBorders>
            <w:shd w:val="clear" w:color="auto" w:fill="auto"/>
            <w:noWrap/>
            <w:vAlign w:val="center"/>
          </w:tcPr>
          <w:p w14:paraId="4AB8B06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97.76 </w:t>
            </w:r>
          </w:p>
        </w:tc>
        <w:tc>
          <w:tcPr>
            <w:tcW w:w="500" w:type="pct"/>
            <w:tcBorders>
              <w:tl2br w:val="nil"/>
              <w:tr2bl w:val="nil"/>
            </w:tcBorders>
            <w:shd w:val="clear" w:color="auto" w:fill="auto"/>
            <w:noWrap/>
            <w:vAlign w:val="center"/>
          </w:tcPr>
          <w:p w14:paraId="7985EA7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94.55 </w:t>
            </w:r>
          </w:p>
        </w:tc>
        <w:tc>
          <w:tcPr>
            <w:tcW w:w="500" w:type="pct"/>
            <w:tcBorders>
              <w:tl2br w:val="nil"/>
              <w:tr2bl w:val="nil"/>
            </w:tcBorders>
            <w:shd w:val="clear" w:color="auto" w:fill="auto"/>
            <w:noWrap/>
            <w:vAlign w:val="center"/>
          </w:tcPr>
          <w:p w14:paraId="01744C1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49.48 </w:t>
            </w:r>
          </w:p>
        </w:tc>
      </w:tr>
      <w:tr w14:paraId="7872EF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732E545D">
            <w:pPr>
              <w:pStyle w:val="182"/>
              <w:bidi w:val="0"/>
              <w:rPr>
                <w:rFonts w:hint="default"/>
                <w:b/>
                <w:bCs/>
                <w:color w:val="auto"/>
                <w:u w:val="single"/>
              </w:rPr>
            </w:pPr>
          </w:p>
        </w:tc>
        <w:tc>
          <w:tcPr>
            <w:tcW w:w="500" w:type="pct"/>
            <w:tcBorders>
              <w:tl2br w:val="nil"/>
              <w:tr2bl w:val="nil"/>
            </w:tcBorders>
            <w:shd w:val="clear" w:color="auto" w:fill="auto"/>
            <w:vAlign w:val="center"/>
          </w:tcPr>
          <w:p w14:paraId="712C6A46">
            <w:pPr>
              <w:pStyle w:val="182"/>
              <w:bidi w:val="0"/>
              <w:rPr>
                <w:rFonts w:hint="default"/>
                <w:b/>
                <w:bCs/>
                <w:color w:val="auto"/>
                <w:u w:val="single"/>
              </w:rPr>
            </w:pPr>
            <w:r>
              <w:rPr>
                <w:rFonts w:hint="default"/>
                <w:b/>
                <w:bCs/>
                <w:color w:val="auto"/>
                <w:u w:val="single"/>
                <w:lang w:val="en-US" w:eastAsia="zh-CN"/>
              </w:rPr>
              <w:t>30</w:t>
            </w:r>
          </w:p>
        </w:tc>
        <w:tc>
          <w:tcPr>
            <w:tcW w:w="500" w:type="pct"/>
            <w:tcBorders>
              <w:tl2br w:val="nil"/>
              <w:tr2bl w:val="nil"/>
            </w:tcBorders>
            <w:shd w:val="clear" w:color="auto" w:fill="auto"/>
            <w:noWrap/>
            <w:vAlign w:val="center"/>
          </w:tcPr>
          <w:p w14:paraId="3814EA2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C3E8C2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2D5FC5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FE14C2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1.43 </w:t>
            </w:r>
          </w:p>
        </w:tc>
        <w:tc>
          <w:tcPr>
            <w:tcW w:w="500" w:type="pct"/>
            <w:tcBorders>
              <w:tl2br w:val="nil"/>
              <w:tr2bl w:val="nil"/>
            </w:tcBorders>
            <w:shd w:val="clear" w:color="auto" w:fill="auto"/>
            <w:noWrap/>
            <w:vAlign w:val="center"/>
          </w:tcPr>
          <w:p w14:paraId="5E7961C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10.87 </w:t>
            </w:r>
          </w:p>
        </w:tc>
        <w:tc>
          <w:tcPr>
            <w:tcW w:w="500" w:type="pct"/>
            <w:tcBorders>
              <w:tl2br w:val="nil"/>
              <w:tr2bl w:val="nil"/>
            </w:tcBorders>
            <w:shd w:val="clear" w:color="auto" w:fill="auto"/>
            <w:noWrap/>
            <w:vAlign w:val="center"/>
          </w:tcPr>
          <w:p w14:paraId="511C630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28.24 </w:t>
            </w:r>
          </w:p>
        </w:tc>
        <w:tc>
          <w:tcPr>
            <w:tcW w:w="500" w:type="pct"/>
            <w:tcBorders>
              <w:tl2br w:val="nil"/>
              <w:tr2bl w:val="nil"/>
            </w:tcBorders>
            <w:shd w:val="clear" w:color="auto" w:fill="auto"/>
            <w:noWrap/>
            <w:vAlign w:val="center"/>
          </w:tcPr>
          <w:p w14:paraId="49B0030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43.73 </w:t>
            </w:r>
          </w:p>
        </w:tc>
        <w:tc>
          <w:tcPr>
            <w:tcW w:w="500" w:type="pct"/>
            <w:tcBorders>
              <w:tl2br w:val="nil"/>
              <w:tr2bl w:val="nil"/>
            </w:tcBorders>
            <w:shd w:val="clear" w:color="auto" w:fill="auto"/>
            <w:noWrap/>
            <w:vAlign w:val="center"/>
          </w:tcPr>
          <w:p w14:paraId="64A901E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53.45 </w:t>
            </w:r>
          </w:p>
        </w:tc>
      </w:tr>
      <w:tr w14:paraId="4CAF7A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3CA7137E">
            <w:pPr>
              <w:pStyle w:val="182"/>
              <w:bidi w:val="0"/>
              <w:rPr>
                <w:rFonts w:hint="default"/>
                <w:b/>
                <w:bCs/>
                <w:color w:val="auto"/>
                <w:u w:val="single"/>
              </w:rPr>
            </w:pPr>
          </w:p>
        </w:tc>
        <w:tc>
          <w:tcPr>
            <w:tcW w:w="500" w:type="pct"/>
            <w:tcBorders>
              <w:tl2br w:val="nil"/>
              <w:tr2bl w:val="nil"/>
            </w:tcBorders>
            <w:shd w:val="clear" w:color="auto" w:fill="auto"/>
            <w:vAlign w:val="center"/>
          </w:tcPr>
          <w:p w14:paraId="43FCFC14">
            <w:pPr>
              <w:pStyle w:val="182"/>
              <w:bidi w:val="0"/>
              <w:rPr>
                <w:rFonts w:hint="default"/>
                <w:b/>
                <w:bCs/>
                <w:color w:val="auto"/>
                <w:u w:val="single"/>
              </w:rPr>
            </w:pPr>
            <w:r>
              <w:rPr>
                <w:rFonts w:hint="default"/>
                <w:b/>
                <w:bCs/>
                <w:color w:val="auto"/>
                <w:u w:val="single"/>
                <w:lang w:val="en-US" w:eastAsia="zh-CN"/>
              </w:rPr>
              <w:t>40</w:t>
            </w:r>
          </w:p>
        </w:tc>
        <w:tc>
          <w:tcPr>
            <w:tcW w:w="500" w:type="pct"/>
            <w:tcBorders>
              <w:tl2br w:val="nil"/>
              <w:tr2bl w:val="nil"/>
            </w:tcBorders>
            <w:shd w:val="clear" w:color="auto" w:fill="auto"/>
            <w:noWrap/>
            <w:vAlign w:val="center"/>
          </w:tcPr>
          <w:p w14:paraId="7683A6C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A4A534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B3B382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B551A3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0.02 </w:t>
            </w:r>
          </w:p>
        </w:tc>
        <w:tc>
          <w:tcPr>
            <w:tcW w:w="500" w:type="pct"/>
            <w:tcBorders>
              <w:tl2br w:val="nil"/>
              <w:tr2bl w:val="nil"/>
            </w:tcBorders>
            <w:shd w:val="clear" w:color="auto" w:fill="auto"/>
            <w:noWrap/>
            <w:vAlign w:val="center"/>
          </w:tcPr>
          <w:p w14:paraId="46BF879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0.66 </w:t>
            </w:r>
          </w:p>
        </w:tc>
        <w:tc>
          <w:tcPr>
            <w:tcW w:w="500" w:type="pct"/>
            <w:tcBorders>
              <w:tl2br w:val="nil"/>
              <w:tr2bl w:val="nil"/>
            </w:tcBorders>
            <w:shd w:val="clear" w:color="auto" w:fill="auto"/>
            <w:noWrap/>
            <w:vAlign w:val="center"/>
          </w:tcPr>
          <w:p w14:paraId="6427686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3.82 </w:t>
            </w:r>
          </w:p>
        </w:tc>
        <w:tc>
          <w:tcPr>
            <w:tcW w:w="500" w:type="pct"/>
            <w:tcBorders>
              <w:tl2br w:val="nil"/>
              <w:tr2bl w:val="nil"/>
            </w:tcBorders>
            <w:shd w:val="clear" w:color="auto" w:fill="auto"/>
            <w:noWrap/>
            <w:vAlign w:val="center"/>
          </w:tcPr>
          <w:p w14:paraId="5C831CA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10.33 </w:t>
            </w:r>
          </w:p>
        </w:tc>
        <w:tc>
          <w:tcPr>
            <w:tcW w:w="500" w:type="pct"/>
            <w:tcBorders>
              <w:tl2br w:val="nil"/>
              <w:tr2bl w:val="nil"/>
            </w:tcBorders>
            <w:shd w:val="clear" w:color="auto" w:fill="auto"/>
            <w:noWrap/>
            <w:vAlign w:val="center"/>
          </w:tcPr>
          <w:p w14:paraId="6603836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39.02 </w:t>
            </w:r>
          </w:p>
        </w:tc>
      </w:tr>
      <w:tr w14:paraId="2B398B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14EEC9C6">
            <w:pPr>
              <w:pStyle w:val="182"/>
              <w:bidi w:val="0"/>
              <w:rPr>
                <w:rFonts w:hint="default"/>
                <w:b/>
                <w:bCs/>
                <w:color w:val="auto"/>
                <w:u w:val="single"/>
              </w:rPr>
            </w:pPr>
          </w:p>
        </w:tc>
        <w:tc>
          <w:tcPr>
            <w:tcW w:w="500" w:type="pct"/>
            <w:tcBorders>
              <w:tl2br w:val="nil"/>
              <w:tr2bl w:val="nil"/>
            </w:tcBorders>
            <w:shd w:val="clear" w:color="auto" w:fill="auto"/>
            <w:vAlign w:val="center"/>
          </w:tcPr>
          <w:p w14:paraId="58FD14D3">
            <w:pPr>
              <w:pStyle w:val="182"/>
              <w:bidi w:val="0"/>
              <w:rPr>
                <w:rFonts w:hint="default"/>
                <w:b/>
                <w:bCs/>
                <w:color w:val="auto"/>
                <w:u w:val="single"/>
              </w:rPr>
            </w:pPr>
            <w:r>
              <w:rPr>
                <w:rFonts w:hint="default"/>
                <w:b/>
                <w:bCs/>
                <w:color w:val="auto"/>
                <w:u w:val="single"/>
                <w:lang w:val="en-US" w:eastAsia="zh-CN"/>
              </w:rPr>
              <w:t>50</w:t>
            </w:r>
          </w:p>
        </w:tc>
        <w:tc>
          <w:tcPr>
            <w:tcW w:w="500" w:type="pct"/>
            <w:tcBorders>
              <w:tl2br w:val="nil"/>
              <w:tr2bl w:val="nil"/>
            </w:tcBorders>
            <w:shd w:val="clear" w:color="auto" w:fill="auto"/>
            <w:noWrap/>
            <w:vAlign w:val="center"/>
          </w:tcPr>
          <w:p w14:paraId="3006820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A7BA81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0AA19A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C93032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038D89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0.02 </w:t>
            </w:r>
          </w:p>
        </w:tc>
        <w:tc>
          <w:tcPr>
            <w:tcW w:w="500" w:type="pct"/>
            <w:tcBorders>
              <w:tl2br w:val="nil"/>
              <w:tr2bl w:val="nil"/>
            </w:tcBorders>
            <w:shd w:val="clear" w:color="auto" w:fill="auto"/>
            <w:noWrap/>
            <w:vAlign w:val="center"/>
          </w:tcPr>
          <w:p w14:paraId="7542FD4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0.27 </w:t>
            </w:r>
          </w:p>
        </w:tc>
        <w:tc>
          <w:tcPr>
            <w:tcW w:w="500" w:type="pct"/>
            <w:tcBorders>
              <w:tl2br w:val="nil"/>
              <w:tr2bl w:val="nil"/>
            </w:tcBorders>
            <w:shd w:val="clear" w:color="auto" w:fill="auto"/>
            <w:noWrap/>
            <w:vAlign w:val="center"/>
          </w:tcPr>
          <w:p w14:paraId="458675A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1.38 </w:t>
            </w:r>
          </w:p>
        </w:tc>
        <w:tc>
          <w:tcPr>
            <w:tcW w:w="500" w:type="pct"/>
            <w:tcBorders>
              <w:tl2br w:val="nil"/>
              <w:tr2bl w:val="nil"/>
            </w:tcBorders>
            <w:shd w:val="clear" w:color="auto" w:fill="auto"/>
            <w:noWrap/>
            <w:vAlign w:val="center"/>
          </w:tcPr>
          <w:p w14:paraId="0D11EF7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20.37 </w:t>
            </w:r>
          </w:p>
        </w:tc>
      </w:tr>
      <w:tr w14:paraId="0CB4DA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106B887B">
            <w:pPr>
              <w:pStyle w:val="182"/>
              <w:bidi w:val="0"/>
              <w:rPr>
                <w:rFonts w:hint="default"/>
                <w:b/>
                <w:bCs/>
                <w:color w:val="auto"/>
                <w:u w:val="single"/>
              </w:rPr>
            </w:pPr>
          </w:p>
        </w:tc>
        <w:tc>
          <w:tcPr>
            <w:tcW w:w="500" w:type="pct"/>
            <w:tcBorders>
              <w:tl2br w:val="nil"/>
              <w:tr2bl w:val="nil"/>
            </w:tcBorders>
            <w:shd w:val="clear" w:color="auto" w:fill="auto"/>
            <w:vAlign w:val="center"/>
          </w:tcPr>
          <w:p w14:paraId="15278A64">
            <w:pPr>
              <w:pStyle w:val="182"/>
              <w:bidi w:val="0"/>
              <w:rPr>
                <w:rFonts w:hint="default"/>
                <w:b/>
                <w:bCs/>
                <w:color w:val="auto"/>
                <w:u w:val="single"/>
              </w:rPr>
            </w:pPr>
            <w:r>
              <w:rPr>
                <w:rFonts w:hint="default"/>
                <w:b/>
                <w:bCs/>
                <w:color w:val="auto"/>
                <w:u w:val="single"/>
                <w:lang w:val="en-US" w:eastAsia="zh-CN"/>
              </w:rPr>
              <w:t>60</w:t>
            </w:r>
          </w:p>
        </w:tc>
        <w:tc>
          <w:tcPr>
            <w:tcW w:w="500" w:type="pct"/>
            <w:tcBorders>
              <w:tl2br w:val="nil"/>
              <w:tr2bl w:val="nil"/>
            </w:tcBorders>
            <w:shd w:val="clear" w:color="auto" w:fill="auto"/>
            <w:noWrap/>
            <w:vAlign w:val="center"/>
          </w:tcPr>
          <w:p w14:paraId="58F0D19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9DCC14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7E49D1B">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AB7F63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631726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E4FD86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0.01 </w:t>
            </w:r>
          </w:p>
        </w:tc>
        <w:tc>
          <w:tcPr>
            <w:tcW w:w="500" w:type="pct"/>
            <w:tcBorders>
              <w:tl2br w:val="nil"/>
              <w:tr2bl w:val="nil"/>
            </w:tcBorders>
            <w:shd w:val="clear" w:color="auto" w:fill="auto"/>
            <w:noWrap/>
            <w:vAlign w:val="center"/>
          </w:tcPr>
          <w:p w14:paraId="19696BE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0.11 </w:t>
            </w:r>
          </w:p>
        </w:tc>
        <w:tc>
          <w:tcPr>
            <w:tcW w:w="500" w:type="pct"/>
            <w:tcBorders>
              <w:tl2br w:val="nil"/>
              <w:tr2bl w:val="nil"/>
            </w:tcBorders>
            <w:shd w:val="clear" w:color="auto" w:fill="auto"/>
            <w:noWrap/>
            <w:vAlign w:val="center"/>
          </w:tcPr>
          <w:p w14:paraId="561F370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7.81 </w:t>
            </w:r>
          </w:p>
        </w:tc>
      </w:tr>
      <w:tr w14:paraId="3EB1BFE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46F88CFA">
            <w:pPr>
              <w:pStyle w:val="182"/>
              <w:bidi w:val="0"/>
              <w:rPr>
                <w:rFonts w:hint="default"/>
                <w:b/>
                <w:bCs/>
                <w:color w:val="auto"/>
                <w:u w:val="single"/>
              </w:rPr>
            </w:pPr>
          </w:p>
        </w:tc>
        <w:tc>
          <w:tcPr>
            <w:tcW w:w="500" w:type="pct"/>
            <w:tcBorders>
              <w:tl2br w:val="nil"/>
              <w:tr2bl w:val="nil"/>
            </w:tcBorders>
            <w:shd w:val="clear" w:color="auto" w:fill="auto"/>
            <w:vAlign w:val="center"/>
          </w:tcPr>
          <w:p w14:paraId="75071DCB">
            <w:pPr>
              <w:pStyle w:val="182"/>
              <w:bidi w:val="0"/>
              <w:rPr>
                <w:rFonts w:hint="default"/>
                <w:b/>
                <w:bCs/>
                <w:color w:val="auto"/>
                <w:u w:val="single"/>
              </w:rPr>
            </w:pPr>
            <w:r>
              <w:rPr>
                <w:rFonts w:hint="default"/>
                <w:b/>
                <w:bCs/>
                <w:color w:val="auto"/>
                <w:u w:val="single"/>
                <w:lang w:val="en-US" w:eastAsia="zh-CN"/>
              </w:rPr>
              <w:t>70</w:t>
            </w:r>
          </w:p>
        </w:tc>
        <w:tc>
          <w:tcPr>
            <w:tcW w:w="500" w:type="pct"/>
            <w:tcBorders>
              <w:tl2br w:val="nil"/>
              <w:tr2bl w:val="nil"/>
            </w:tcBorders>
            <w:shd w:val="clear" w:color="auto" w:fill="auto"/>
            <w:noWrap/>
            <w:vAlign w:val="center"/>
          </w:tcPr>
          <w:p w14:paraId="2FABBDD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D81119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7F7B87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CAE4ED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B06992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D9F73C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845463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0.01 </w:t>
            </w:r>
          </w:p>
        </w:tc>
        <w:tc>
          <w:tcPr>
            <w:tcW w:w="500" w:type="pct"/>
            <w:tcBorders>
              <w:tl2br w:val="nil"/>
              <w:tr2bl w:val="nil"/>
            </w:tcBorders>
            <w:shd w:val="clear" w:color="auto" w:fill="auto"/>
            <w:noWrap/>
            <w:vAlign w:val="center"/>
          </w:tcPr>
          <w:p w14:paraId="055CB14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2.23 </w:t>
            </w:r>
          </w:p>
        </w:tc>
      </w:tr>
      <w:tr w14:paraId="19D3C8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7CDE2068">
            <w:pPr>
              <w:pStyle w:val="182"/>
              <w:bidi w:val="0"/>
              <w:rPr>
                <w:rFonts w:hint="default"/>
                <w:b/>
                <w:bCs/>
                <w:color w:val="auto"/>
                <w:u w:val="single"/>
              </w:rPr>
            </w:pPr>
          </w:p>
        </w:tc>
        <w:tc>
          <w:tcPr>
            <w:tcW w:w="500" w:type="pct"/>
            <w:tcBorders>
              <w:tl2br w:val="nil"/>
              <w:tr2bl w:val="nil"/>
            </w:tcBorders>
            <w:shd w:val="clear" w:color="auto" w:fill="auto"/>
            <w:vAlign w:val="center"/>
          </w:tcPr>
          <w:p w14:paraId="2C7410D3">
            <w:pPr>
              <w:pStyle w:val="182"/>
              <w:bidi w:val="0"/>
              <w:rPr>
                <w:rFonts w:hint="default"/>
                <w:b/>
                <w:bCs/>
                <w:color w:val="auto"/>
                <w:u w:val="single"/>
              </w:rPr>
            </w:pPr>
            <w:r>
              <w:rPr>
                <w:rFonts w:hint="default"/>
                <w:b/>
                <w:bCs/>
                <w:color w:val="auto"/>
                <w:u w:val="single"/>
                <w:lang w:val="en-US" w:eastAsia="zh-CN"/>
              </w:rPr>
              <w:t>80</w:t>
            </w:r>
          </w:p>
        </w:tc>
        <w:tc>
          <w:tcPr>
            <w:tcW w:w="500" w:type="pct"/>
            <w:tcBorders>
              <w:tl2br w:val="nil"/>
              <w:tr2bl w:val="nil"/>
            </w:tcBorders>
            <w:shd w:val="clear" w:color="auto" w:fill="auto"/>
            <w:noWrap/>
            <w:vAlign w:val="center"/>
          </w:tcPr>
          <w:p w14:paraId="3329EC6B">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24F968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026687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4BEA1B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C00F25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A61417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8DA63C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37FC59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0.48 </w:t>
            </w:r>
          </w:p>
        </w:tc>
      </w:tr>
      <w:tr w14:paraId="442BAA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756BD83B">
            <w:pPr>
              <w:pStyle w:val="182"/>
              <w:bidi w:val="0"/>
              <w:rPr>
                <w:rFonts w:hint="default"/>
                <w:b/>
                <w:bCs/>
                <w:color w:val="auto"/>
                <w:u w:val="single"/>
              </w:rPr>
            </w:pPr>
          </w:p>
        </w:tc>
        <w:tc>
          <w:tcPr>
            <w:tcW w:w="500" w:type="pct"/>
            <w:tcBorders>
              <w:tl2br w:val="nil"/>
              <w:tr2bl w:val="nil"/>
            </w:tcBorders>
            <w:shd w:val="clear" w:color="auto" w:fill="auto"/>
            <w:vAlign w:val="center"/>
          </w:tcPr>
          <w:p w14:paraId="3214C95C">
            <w:pPr>
              <w:pStyle w:val="182"/>
              <w:bidi w:val="0"/>
              <w:rPr>
                <w:rFonts w:hint="default"/>
                <w:b/>
                <w:bCs/>
                <w:color w:val="auto"/>
                <w:u w:val="single"/>
              </w:rPr>
            </w:pPr>
            <w:r>
              <w:rPr>
                <w:rFonts w:hint="default"/>
                <w:b/>
                <w:bCs/>
                <w:color w:val="auto"/>
                <w:u w:val="single"/>
                <w:lang w:val="en-US" w:eastAsia="zh-CN"/>
              </w:rPr>
              <w:t>90</w:t>
            </w:r>
          </w:p>
        </w:tc>
        <w:tc>
          <w:tcPr>
            <w:tcW w:w="500" w:type="pct"/>
            <w:tcBorders>
              <w:tl2br w:val="nil"/>
              <w:tr2bl w:val="nil"/>
            </w:tcBorders>
            <w:shd w:val="clear" w:color="auto" w:fill="auto"/>
            <w:noWrap/>
            <w:vAlign w:val="center"/>
          </w:tcPr>
          <w:p w14:paraId="418B08D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0F83AC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C0AD44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1F74A0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CFBB72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5E5BCA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A3ECCC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FCEEAD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0.08 </w:t>
            </w:r>
          </w:p>
        </w:tc>
      </w:tr>
      <w:tr w14:paraId="263C5A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41ADF571">
            <w:pPr>
              <w:pStyle w:val="182"/>
              <w:bidi w:val="0"/>
              <w:rPr>
                <w:rFonts w:hint="default"/>
                <w:b/>
                <w:bCs/>
                <w:color w:val="auto"/>
                <w:u w:val="single"/>
              </w:rPr>
            </w:pPr>
          </w:p>
        </w:tc>
        <w:tc>
          <w:tcPr>
            <w:tcW w:w="500" w:type="pct"/>
            <w:tcBorders>
              <w:tl2br w:val="nil"/>
              <w:tr2bl w:val="nil"/>
            </w:tcBorders>
            <w:shd w:val="clear" w:color="auto" w:fill="auto"/>
            <w:vAlign w:val="center"/>
          </w:tcPr>
          <w:p w14:paraId="359B738A">
            <w:pPr>
              <w:pStyle w:val="182"/>
              <w:bidi w:val="0"/>
              <w:rPr>
                <w:rFonts w:hint="default"/>
                <w:b/>
                <w:bCs/>
                <w:color w:val="auto"/>
                <w:u w:val="single"/>
              </w:rPr>
            </w:pPr>
            <w:r>
              <w:rPr>
                <w:rFonts w:hint="default"/>
                <w:b/>
                <w:bCs/>
                <w:color w:val="auto"/>
                <w:u w:val="single"/>
                <w:lang w:val="en-US" w:eastAsia="zh-CN"/>
              </w:rPr>
              <w:t>100</w:t>
            </w:r>
          </w:p>
        </w:tc>
        <w:tc>
          <w:tcPr>
            <w:tcW w:w="500" w:type="pct"/>
            <w:tcBorders>
              <w:tl2br w:val="nil"/>
              <w:tr2bl w:val="nil"/>
            </w:tcBorders>
            <w:shd w:val="clear" w:color="auto" w:fill="auto"/>
            <w:noWrap/>
            <w:vAlign w:val="center"/>
          </w:tcPr>
          <w:p w14:paraId="3EF3E84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0936D3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753687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A38683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0DD261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49FAE5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72E739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DD688C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0.01 </w:t>
            </w:r>
          </w:p>
        </w:tc>
      </w:tr>
      <w:tr w14:paraId="323B9F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5E5666BF">
            <w:pPr>
              <w:pStyle w:val="182"/>
              <w:bidi w:val="0"/>
              <w:rPr>
                <w:rFonts w:hint="default"/>
                <w:b/>
                <w:bCs/>
                <w:color w:val="auto"/>
                <w:u w:val="single"/>
              </w:rPr>
            </w:pPr>
          </w:p>
        </w:tc>
        <w:tc>
          <w:tcPr>
            <w:tcW w:w="500" w:type="pct"/>
            <w:tcBorders>
              <w:tl2br w:val="nil"/>
              <w:tr2bl w:val="nil"/>
            </w:tcBorders>
            <w:shd w:val="clear" w:color="auto" w:fill="auto"/>
            <w:vAlign w:val="center"/>
          </w:tcPr>
          <w:p w14:paraId="1DB87EF1">
            <w:pPr>
              <w:pStyle w:val="182"/>
              <w:bidi w:val="0"/>
              <w:rPr>
                <w:rFonts w:hint="default"/>
                <w:b/>
                <w:bCs/>
                <w:color w:val="auto"/>
                <w:u w:val="single"/>
              </w:rPr>
            </w:pPr>
            <w:r>
              <w:rPr>
                <w:rFonts w:hint="default"/>
                <w:b/>
                <w:bCs/>
                <w:color w:val="auto"/>
                <w:u w:val="single"/>
                <w:lang w:val="en-US" w:eastAsia="zh-CN"/>
              </w:rPr>
              <w:t>120</w:t>
            </w:r>
          </w:p>
        </w:tc>
        <w:tc>
          <w:tcPr>
            <w:tcW w:w="500" w:type="pct"/>
            <w:tcBorders>
              <w:tl2br w:val="nil"/>
              <w:tr2bl w:val="nil"/>
            </w:tcBorders>
            <w:shd w:val="clear" w:color="auto" w:fill="auto"/>
            <w:noWrap/>
            <w:vAlign w:val="center"/>
          </w:tcPr>
          <w:p w14:paraId="2B02A8B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815E5B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738397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7224A5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BFB479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B22F7A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739D36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19B1C4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02055C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0642A266">
            <w:pPr>
              <w:pStyle w:val="182"/>
              <w:bidi w:val="0"/>
              <w:rPr>
                <w:rFonts w:hint="default"/>
                <w:b/>
                <w:bCs/>
                <w:color w:val="auto"/>
                <w:u w:val="single"/>
              </w:rPr>
            </w:pPr>
          </w:p>
        </w:tc>
        <w:tc>
          <w:tcPr>
            <w:tcW w:w="500" w:type="pct"/>
            <w:tcBorders>
              <w:tl2br w:val="nil"/>
              <w:tr2bl w:val="nil"/>
            </w:tcBorders>
            <w:shd w:val="clear" w:color="auto" w:fill="auto"/>
            <w:vAlign w:val="center"/>
          </w:tcPr>
          <w:p w14:paraId="3BB4EA6F">
            <w:pPr>
              <w:pStyle w:val="182"/>
              <w:bidi w:val="0"/>
              <w:rPr>
                <w:rFonts w:hint="default"/>
                <w:b/>
                <w:bCs/>
                <w:color w:val="auto"/>
                <w:u w:val="single"/>
              </w:rPr>
            </w:pPr>
            <w:r>
              <w:rPr>
                <w:rFonts w:hint="default"/>
                <w:b/>
                <w:bCs/>
                <w:color w:val="auto"/>
                <w:u w:val="single"/>
                <w:lang w:val="en-US" w:eastAsia="zh-CN"/>
              </w:rPr>
              <w:t>140</w:t>
            </w:r>
          </w:p>
        </w:tc>
        <w:tc>
          <w:tcPr>
            <w:tcW w:w="500" w:type="pct"/>
            <w:tcBorders>
              <w:tl2br w:val="nil"/>
              <w:tr2bl w:val="nil"/>
            </w:tcBorders>
            <w:shd w:val="clear" w:color="auto" w:fill="auto"/>
            <w:noWrap/>
            <w:vAlign w:val="center"/>
          </w:tcPr>
          <w:p w14:paraId="22FE269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70DE30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CACD5C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3D2DCA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5D8E9A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E38D25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D8F62C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4AAE88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567323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36BE0D52">
            <w:pPr>
              <w:pStyle w:val="182"/>
              <w:bidi w:val="0"/>
              <w:rPr>
                <w:rFonts w:hint="default"/>
                <w:b/>
                <w:bCs/>
                <w:color w:val="auto"/>
                <w:u w:val="single"/>
              </w:rPr>
            </w:pPr>
          </w:p>
        </w:tc>
        <w:tc>
          <w:tcPr>
            <w:tcW w:w="500" w:type="pct"/>
            <w:tcBorders>
              <w:tl2br w:val="nil"/>
              <w:tr2bl w:val="nil"/>
            </w:tcBorders>
            <w:shd w:val="clear" w:color="auto" w:fill="auto"/>
            <w:vAlign w:val="center"/>
          </w:tcPr>
          <w:p w14:paraId="57DF3598">
            <w:pPr>
              <w:pStyle w:val="182"/>
              <w:bidi w:val="0"/>
              <w:rPr>
                <w:rFonts w:hint="default"/>
                <w:b/>
                <w:bCs/>
                <w:color w:val="auto"/>
                <w:u w:val="single"/>
              </w:rPr>
            </w:pPr>
            <w:r>
              <w:rPr>
                <w:rFonts w:hint="default"/>
                <w:b/>
                <w:bCs/>
                <w:color w:val="auto"/>
                <w:u w:val="single"/>
                <w:lang w:val="en-US" w:eastAsia="zh-CN"/>
              </w:rPr>
              <w:t>160</w:t>
            </w:r>
          </w:p>
        </w:tc>
        <w:tc>
          <w:tcPr>
            <w:tcW w:w="500" w:type="pct"/>
            <w:tcBorders>
              <w:tl2br w:val="nil"/>
              <w:tr2bl w:val="nil"/>
            </w:tcBorders>
            <w:shd w:val="clear" w:color="auto" w:fill="auto"/>
            <w:noWrap/>
            <w:vAlign w:val="center"/>
          </w:tcPr>
          <w:p w14:paraId="59E0CACB">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AB7127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0E1A00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B0892D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486EDD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48CB10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E4C810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29DF40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7E6437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1AED44FE">
            <w:pPr>
              <w:pStyle w:val="182"/>
              <w:bidi w:val="0"/>
              <w:rPr>
                <w:rFonts w:hint="default"/>
                <w:b/>
                <w:bCs/>
                <w:color w:val="auto"/>
                <w:u w:val="single"/>
              </w:rPr>
            </w:pPr>
          </w:p>
        </w:tc>
        <w:tc>
          <w:tcPr>
            <w:tcW w:w="500" w:type="pct"/>
            <w:tcBorders>
              <w:tl2br w:val="nil"/>
              <w:tr2bl w:val="nil"/>
            </w:tcBorders>
            <w:shd w:val="clear" w:color="auto" w:fill="auto"/>
            <w:vAlign w:val="center"/>
          </w:tcPr>
          <w:p w14:paraId="4F7A6446">
            <w:pPr>
              <w:pStyle w:val="182"/>
              <w:bidi w:val="0"/>
              <w:rPr>
                <w:rFonts w:hint="default"/>
                <w:b/>
                <w:bCs/>
                <w:color w:val="auto"/>
                <w:u w:val="single"/>
              </w:rPr>
            </w:pPr>
            <w:r>
              <w:rPr>
                <w:rFonts w:hint="default"/>
                <w:b/>
                <w:bCs/>
                <w:color w:val="auto"/>
                <w:u w:val="single"/>
                <w:lang w:val="en-US" w:eastAsia="zh-CN"/>
              </w:rPr>
              <w:t>180</w:t>
            </w:r>
          </w:p>
        </w:tc>
        <w:tc>
          <w:tcPr>
            <w:tcW w:w="500" w:type="pct"/>
            <w:tcBorders>
              <w:tl2br w:val="nil"/>
              <w:tr2bl w:val="nil"/>
            </w:tcBorders>
            <w:shd w:val="clear" w:color="auto" w:fill="auto"/>
            <w:noWrap/>
            <w:vAlign w:val="center"/>
          </w:tcPr>
          <w:p w14:paraId="46F5A15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761D85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58F6E5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B0A084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3CD2D0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AF5559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6D01E9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4F0808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05545B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0AA193E8">
            <w:pPr>
              <w:pStyle w:val="182"/>
              <w:bidi w:val="0"/>
              <w:rPr>
                <w:rFonts w:hint="default"/>
                <w:b/>
                <w:bCs/>
                <w:color w:val="auto"/>
                <w:u w:val="single"/>
              </w:rPr>
            </w:pPr>
          </w:p>
        </w:tc>
        <w:tc>
          <w:tcPr>
            <w:tcW w:w="500" w:type="pct"/>
            <w:tcBorders>
              <w:tl2br w:val="nil"/>
              <w:tr2bl w:val="nil"/>
            </w:tcBorders>
            <w:shd w:val="clear" w:color="auto" w:fill="auto"/>
            <w:vAlign w:val="center"/>
          </w:tcPr>
          <w:p w14:paraId="4B873144">
            <w:pPr>
              <w:pStyle w:val="182"/>
              <w:bidi w:val="0"/>
              <w:rPr>
                <w:rFonts w:hint="default"/>
                <w:b/>
                <w:bCs/>
                <w:color w:val="auto"/>
                <w:u w:val="single"/>
              </w:rPr>
            </w:pPr>
            <w:r>
              <w:rPr>
                <w:rFonts w:hint="default"/>
                <w:b/>
                <w:bCs/>
                <w:color w:val="auto"/>
                <w:u w:val="single"/>
                <w:lang w:val="en-US" w:eastAsia="zh-CN"/>
              </w:rPr>
              <w:t>200</w:t>
            </w:r>
          </w:p>
        </w:tc>
        <w:tc>
          <w:tcPr>
            <w:tcW w:w="500" w:type="pct"/>
            <w:tcBorders>
              <w:tl2br w:val="nil"/>
              <w:tr2bl w:val="nil"/>
            </w:tcBorders>
            <w:shd w:val="clear" w:color="auto" w:fill="auto"/>
            <w:noWrap/>
            <w:vAlign w:val="center"/>
          </w:tcPr>
          <w:p w14:paraId="0BABCFEB">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8BFDBA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5CD3BE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115CE7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DF780B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B21DB4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D8A40B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2ED338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3D6F8D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06D6384E">
            <w:pPr>
              <w:pStyle w:val="182"/>
              <w:bidi w:val="0"/>
              <w:rPr>
                <w:rFonts w:hint="default"/>
                <w:b/>
                <w:bCs/>
                <w:color w:val="auto"/>
                <w:u w:val="single"/>
              </w:rPr>
            </w:pPr>
          </w:p>
        </w:tc>
        <w:tc>
          <w:tcPr>
            <w:tcW w:w="500" w:type="pct"/>
            <w:tcBorders>
              <w:tl2br w:val="nil"/>
              <w:tr2bl w:val="nil"/>
            </w:tcBorders>
            <w:shd w:val="clear" w:color="auto" w:fill="auto"/>
            <w:vAlign w:val="center"/>
          </w:tcPr>
          <w:p w14:paraId="215395F9">
            <w:pPr>
              <w:pStyle w:val="182"/>
              <w:bidi w:val="0"/>
              <w:rPr>
                <w:rFonts w:hint="default"/>
                <w:b/>
                <w:bCs/>
                <w:color w:val="auto"/>
                <w:u w:val="single"/>
              </w:rPr>
            </w:pPr>
            <w:r>
              <w:rPr>
                <w:rFonts w:hint="default"/>
                <w:b/>
                <w:bCs/>
                <w:color w:val="auto"/>
                <w:u w:val="single"/>
                <w:lang w:val="en-US" w:eastAsia="zh-CN"/>
              </w:rPr>
              <w:t>250</w:t>
            </w:r>
          </w:p>
        </w:tc>
        <w:tc>
          <w:tcPr>
            <w:tcW w:w="500" w:type="pct"/>
            <w:tcBorders>
              <w:tl2br w:val="nil"/>
              <w:tr2bl w:val="nil"/>
            </w:tcBorders>
            <w:shd w:val="clear" w:color="auto" w:fill="auto"/>
            <w:noWrap/>
            <w:vAlign w:val="center"/>
          </w:tcPr>
          <w:p w14:paraId="0EC9C88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0335D2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7C50BE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5473C2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66E2A2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07C59D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135ECD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14B9DD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26E60C3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4C117ABC">
            <w:pPr>
              <w:pStyle w:val="182"/>
              <w:bidi w:val="0"/>
              <w:rPr>
                <w:rFonts w:hint="default"/>
                <w:b/>
                <w:bCs/>
                <w:color w:val="auto"/>
                <w:u w:val="single"/>
              </w:rPr>
            </w:pPr>
          </w:p>
        </w:tc>
        <w:tc>
          <w:tcPr>
            <w:tcW w:w="500" w:type="pct"/>
            <w:tcBorders>
              <w:tl2br w:val="nil"/>
              <w:tr2bl w:val="nil"/>
            </w:tcBorders>
            <w:shd w:val="clear" w:color="auto" w:fill="auto"/>
            <w:vAlign w:val="center"/>
          </w:tcPr>
          <w:p w14:paraId="00598E9F">
            <w:pPr>
              <w:pStyle w:val="182"/>
              <w:bidi w:val="0"/>
              <w:rPr>
                <w:rFonts w:hint="default"/>
                <w:b/>
                <w:bCs/>
                <w:color w:val="auto"/>
                <w:u w:val="single"/>
              </w:rPr>
            </w:pPr>
            <w:r>
              <w:rPr>
                <w:rFonts w:hint="default"/>
                <w:b/>
                <w:bCs/>
                <w:color w:val="auto"/>
                <w:u w:val="single"/>
                <w:lang w:val="en-US" w:eastAsia="zh-CN"/>
              </w:rPr>
              <w:t>300</w:t>
            </w:r>
          </w:p>
        </w:tc>
        <w:tc>
          <w:tcPr>
            <w:tcW w:w="500" w:type="pct"/>
            <w:tcBorders>
              <w:tl2br w:val="nil"/>
              <w:tr2bl w:val="nil"/>
            </w:tcBorders>
            <w:shd w:val="clear" w:color="auto" w:fill="auto"/>
            <w:noWrap/>
            <w:vAlign w:val="center"/>
          </w:tcPr>
          <w:p w14:paraId="37732D1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1B96F2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4DB34C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BB2F54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78CBB1B">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70625D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CEE4EF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59BD17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33F227B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110D0A02">
            <w:pPr>
              <w:pStyle w:val="182"/>
              <w:bidi w:val="0"/>
              <w:rPr>
                <w:rFonts w:hint="default"/>
                <w:b/>
                <w:bCs/>
                <w:color w:val="auto"/>
                <w:u w:val="single"/>
              </w:rPr>
            </w:pPr>
          </w:p>
        </w:tc>
        <w:tc>
          <w:tcPr>
            <w:tcW w:w="500" w:type="pct"/>
            <w:tcBorders>
              <w:tl2br w:val="nil"/>
              <w:tr2bl w:val="nil"/>
            </w:tcBorders>
            <w:shd w:val="clear" w:color="auto" w:fill="auto"/>
            <w:vAlign w:val="center"/>
          </w:tcPr>
          <w:p w14:paraId="294385FD">
            <w:pPr>
              <w:pStyle w:val="182"/>
              <w:bidi w:val="0"/>
              <w:rPr>
                <w:rFonts w:hint="default"/>
                <w:b/>
                <w:bCs/>
                <w:color w:val="auto"/>
                <w:u w:val="single"/>
              </w:rPr>
            </w:pPr>
            <w:r>
              <w:rPr>
                <w:rFonts w:hint="default"/>
                <w:b/>
                <w:bCs/>
                <w:color w:val="auto"/>
                <w:u w:val="single"/>
                <w:lang w:val="en-US" w:eastAsia="zh-CN"/>
              </w:rPr>
              <w:t>350</w:t>
            </w:r>
          </w:p>
        </w:tc>
        <w:tc>
          <w:tcPr>
            <w:tcW w:w="500" w:type="pct"/>
            <w:tcBorders>
              <w:tl2br w:val="nil"/>
              <w:tr2bl w:val="nil"/>
            </w:tcBorders>
            <w:shd w:val="clear" w:color="auto" w:fill="auto"/>
            <w:noWrap/>
            <w:vAlign w:val="center"/>
          </w:tcPr>
          <w:p w14:paraId="29C38ED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530AAC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874BCD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A3D236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10AC3E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C3AB4E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F4AE58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42725D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4415D4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0C6B2BE7">
            <w:pPr>
              <w:pStyle w:val="182"/>
              <w:bidi w:val="0"/>
              <w:rPr>
                <w:rFonts w:hint="default"/>
                <w:b/>
                <w:bCs/>
                <w:color w:val="auto"/>
                <w:u w:val="single"/>
              </w:rPr>
            </w:pPr>
          </w:p>
        </w:tc>
        <w:tc>
          <w:tcPr>
            <w:tcW w:w="500" w:type="pct"/>
            <w:tcBorders>
              <w:tl2br w:val="nil"/>
              <w:tr2bl w:val="nil"/>
            </w:tcBorders>
            <w:shd w:val="clear" w:color="auto" w:fill="auto"/>
            <w:vAlign w:val="center"/>
          </w:tcPr>
          <w:p w14:paraId="1A59EC63">
            <w:pPr>
              <w:pStyle w:val="182"/>
              <w:bidi w:val="0"/>
              <w:rPr>
                <w:rFonts w:hint="default"/>
                <w:b/>
                <w:bCs/>
                <w:color w:val="auto"/>
                <w:u w:val="single"/>
              </w:rPr>
            </w:pPr>
            <w:r>
              <w:rPr>
                <w:rFonts w:hint="default"/>
                <w:b/>
                <w:bCs/>
                <w:color w:val="auto"/>
                <w:u w:val="single"/>
                <w:lang w:val="en-US" w:eastAsia="zh-CN"/>
              </w:rPr>
              <w:t>400</w:t>
            </w:r>
          </w:p>
        </w:tc>
        <w:tc>
          <w:tcPr>
            <w:tcW w:w="500" w:type="pct"/>
            <w:tcBorders>
              <w:tl2br w:val="nil"/>
              <w:tr2bl w:val="nil"/>
            </w:tcBorders>
            <w:shd w:val="clear" w:color="auto" w:fill="auto"/>
            <w:noWrap/>
            <w:vAlign w:val="center"/>
          </w:tcPr>
          <w:p w14:paraId="29AED55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EE592B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DDC660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566B51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043A9B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C53D8C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A4E675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976583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0A840E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70A01F2C">
            <w:pPr>
              <w:pStyle w:val="182"/>
              <w:bidi w:val="0"/>
              <w:rPr>
                <w:rFonts w:hint="default"/>
                <w:b/>
                <w:bCs/>
                <w:color w:val="auto"/>
                <w:u w:val="single"/>
              </w:rPr>
            </w:pPr>
          </w:p>
        </w:tc>
        <w:tc>
          <w:tcPr>
            <w:tcW w:w="500" w:type="pct"/>
            <w:tcBorders>
              <w:tl2br w:val="nil"/>
              <w:tr2bl w:val="nil"/>
            </w:tcBorders>
            <w:shd w:val="clear" w:color="auto" w:fill="auto"/>
            <w:vAlign w:val="center"/>
          </w:tcPr>
          <w:p w14:paraId="5389F5EA">
            <w:pPr>
              <w:pStyle w:val="182"/>
              <w:bidi w:val="0"/>
              <w:rPr>
                <w:rFonts w:hint="default"/>
                <w:b/>
                <w:bCs/>
                <w:color w:val="auto"/>
                <w:u w:val="single"/>
              </w:rPr>
            </w:pPr>
            <w:r>
              <w:rPr>
                <w:rFonts w:hint="default"/>
                <w:b/>
                <w:bCs/>
                <w:color w:val="auto"/>
                <w:u w:val="single"/>
                <w:lang w:val="en-US" w:eastAsia="zh-CN"/>
              </w:rPr>
              <w:t>450</w:t>
            </w:r>
          </w:p>
        </w:tc>
        <w:tc>
          <w:tcPr>
            <w:tcW w:w="500" w:type="pct"/>
            <w:tcBorders>
              <w:tl2br w:val="nil"/>
              <w:tr2bl w:val="nil"/>
            </w:tcBorders>
            <w:shd w:val="clear" w:color="auto" w:fill="auto"/>
            <w:noWrap/>
            <w:vAlign w:val="center"/>
          </w:tcPr>
          <w:p w14:paraId="6BA0C08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C292BBB">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B8DDD9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F62198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EEFD78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A32DBD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9BAA68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7BDF3D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2B9A48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091BCF66">
            <w:pPr>
              <w:pStyle w:val="182"/>
              <w:bidi w:val="0"/>
              <w:rPr>
                <w:rFonts w:hint="default"/>
                <w:b/>
                <w:bCs/>
                <w:color w:val="auto"/>
                <w:u w:val="single"/>
              </w:rPr>
            </w:pPr>
          </w:p>
        </w:tc>
        <w:tc>
          <w:tcPr>
            <w:tcW w:w="500" w:type="pct"/>
            <w:tcBorders>
              <w:tl2br w:val="nil"/>
              <w:tr2bl w:val="nil"/>
            </w:tcBorders>
            <w:shd w:val="clear" w:color="auto" w:fill="auto"/>
            <w:vAlign w:val="center"/>
          </w:tcPr>
          <w:p w14:paraId="2DF24AC7">
            <w:pPr>
              <w:pStyle w:val="182"/>
              <w:bidi w:val="0"/>
              <w:rPr>
                <w:rFonts w:hint="default"/>
                <w:b/>
                <w:bCs/>
                <w:color w:val="auto"/>
                <w:u w:val="single"/>
              </w:rPr>
            </w:pPr>
            <w:r>
              <w:rPr>
                <w:rFonts w:hint="default"/>
                <w:b/>
                <w:bCs/>
                <w:color w:val="auto"/>
                <w:u w:val="single"/>
                <w:lang w:val="en-US" w:eastAsia="zh-CN"/>
              </w:rPr>
              <w:t>500</w:t>
            </w:r>
          </w:p>
        </w:tc>
        <w:tc>
          <w:tcPr>
            <w:tcW w:w="500" w:type="pct"/>
            <w:tcBorders>
              <w:tl2br w:val="nil"/>
              <w:tr2bl w:val="nil"/>
            </w:tcBorders>
            <w:shd w:val="clear" w:color="auto" w:fill="auto"/>
            <w:noWrap/>
            <w:vAlign w:val="center"/>
          </w:tcPr>
          <w:p w14:paraId="27058E0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B25CDF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D0FF64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77B58E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B26B75B">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39F0BE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32D516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D3CEC3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6FBB67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restart"/>
            <w:tcBorders>
              <w:tl2br w:val="nil"/>
              <w:tr2bl w:val="nil"/>
            </w:tcBorders>
            <w:shd w:val="clear" w:color="auto" w:fill="auto"/>
            <w:vAlign w:val="center"/>
          </w:tcPr>
          <w:p w14:paraId="075BE1C8">
            <w:pPr>
              <w:pStyle w:val="182"/>
              <w:bidi w:val="0"/>
              <w:rPr>
                <w:rFonts w:hint="eastAsia"/>
                <w:b/>
                <w:bCs/>
                <w:color w:val="auto"/>
                <w:u w:val="single"/>
              </w:rPr>
            </w:pPr>
            <w:r>
              <w:rPr>
                <w:rFonts w:hint="eastAsia"/>
                <w:b/>
                <w:bCs/>
                <w:color w:val="auto"/>
                <w:u w:val="single"/>
                <w:lang w:val="en-US" w:eastAsia="zh-CN"/>
              </w:rPr>
              <w:t>氨氮</w:t>
            </w:r>
          </w:p>
        </w:tc>
        <w:tc>
          <w:tcPr>
            <w:tcW w:w="500" w:type="pct"/>
            <w:tcBorders>
              <w:tl2br w:val="nil"/>
              <w:tr2bl w:val="nil"/>
            </w:tcBorders>
            <w:shd w:val="clear" w:color="auto" w:fill="auto"/>
            <w:vAlign w:val="center"/>
          </w:tcPr>
          <w:p w14:paraId="66A500C0">
            <w:pPr>
              <w:pStyle w:val="182"/>
              <w:bidi w:val="0"/>
              <w:rPr>
                <w:rFonts w:hint="default"/>
                <w:b/>
                <w:bCs/>
                <w:color w:val="auto"/>
                <w:u w:val="single"/>
              </w:rPr>
            </w:pPr>
            <w:r>
              <w:rPr>
                <w:rFonts w:hint="default"/>
                <w:b/>
                <w:bCs/>
                <w:color w:val="auto"/>
                <w:u w:val="single"/>
                <w:lang w:val="en-US" w:eastAsia="zh-CN"/>
              </w:rPr>
              <w:t>10</w:t>
            </w:r>
          </w:p>
        </w:tc>
        <w:tc>
          <w:tcPr>
            <w:tcW w:w="500" w:type="pct"/>
            <w:tcBorders>
              <w:tl2br w:val="nil"/>
              <w:tr2bl w:val="nil"/>
            </w:tcBorders>
            <w:shd w:val="clear" w:color="auto" w:fill="auto"/>
            <w:noWrap/>
            <w:vAlign w:val="center"/>
          </w:tcPr>
          <w:p w14:paraId="1BFB06E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082172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0.71 </w:t>
            </w:r>
          </w:p>
        </w:tc>
        <w:tc>
          <w:tcPr>
            <w:tcW w:w="500" w:type="pct"/>
            <w:tcBorders>
              <w:tl2br w:val="nil"/>
              <w:tr2bl w:val="nil"/>
            </w:tcBorders>
            <w:shd w:val="clear" w:color="auto" w:fill="auto"/>
            <w:noWrap/>
            <w:vAlign w:val="center"/>
          </w:tcPr>
          <w:p w14:paraId="65D2693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3.18 </w:t>
            </w:r>
          </w:p>
        </w:tc>
        <w:tc>
          <w:tcPr>
            <w:tcW w:w="500" w:type="pct"/>
            <w:tcBorders>
              <w:tl2br w:val="nil"/>
              <w:tr2bl w:val="nil"/>
            </w:tcBorders>
            <w:shd w:val="clear" w:color="auto" w:fill="auto"/>
            <w:noWrap/>
            <w:vAlign w:val="center"/>
          </w:tcPr>
          <w:p w14:paraId="56FF21C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7.26 </w:t>
            </w:r>
          </w:p>
        </w:tc>
        <w:tc>
          <w:tcPr>
            <w:tcW w:w="500" w:type="pct"/>
            <w:tcBorders>
              <w:tl2br w:val="nil"/>
              <w:tr2bl w:val="nil"/>
            </w:tcBorders>
            <w:shd w:val="clear" w:color="auto" w:fill="auto"/>
            <w:noWrap/>
            <w:vAlign w:val="center"/>
          </w:tcPr>
          <w:p w14:paraId="7875E20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5.73 </w:t>
            </w:r>
          </w:p>
        </w:tc>
        <w:tc>
          <w:tcPr>
            <w:tcW w:w="500" w:type="pct"/>
            <w:tcBorders>
              <w:tl2br w:val="nil"/>
              <w:tr2bl w:val="nil"/>
            </w:tcBorders>
            <w:shd w:val="clear" w:color="auto" w:fill="auto"/>
            <w:noWrap/>
            <w:vAlign w:val="center"/>
          </w:tcPr>
          <w:p w14:paraId="1273B00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3.75 </w:t>
            </w:r>
          </w:p>
        </w:tc>
        <w:tc>
          <w:tcPr>
            <w:tcW w:w="500" w:type="pct"/>
            <w:tcBorders>
              <w:tl2br w:val="nil"/>
              <w:tr2bl w:val="nil"/>
            </w:tcBorders>
            <w:shd w:val="clear" w:color="auto" w:fill="auto"/>
            <w:noWrap/>
            <w:vAlign w:val="center"/>
          </w:tcPr>
          <w:p w14:paraId="76A3275B">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2.63 </w:t>
            </w:r>
          </w:p>
        </w:tc>
        <w:tc>
          <w:tcPr>
            <w:tcW w:w="500" w:type="pct"/>
            <w:tcBorders>
              <w:tl2br w:val="nil"/>
              <w:tr2bl w:val="nil"/>
            </w:tcBorders>
            <w:shd w:val="clear" w:color="auto" w:fill="auto"/>
            <w:noWrap/>
            <w:vAlign w:val="center"/>
          </w:tcPr>
          <w:p w14:paraId="1184F80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0.81 </w:t>
            </w:r>
          </w:p>
        </w:tc>
      </w:tr>
      <w:tr w14:paraId="04B76F7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1D2D650B">
            <w:pPr>
              <w:pStyle w:val="182"/>
              <w:bidi w:val="0"/>
              <w:rPr>
                <w:rFonts w:hint="eastAsia"/>
                <w:b/>
                <w:bCs/>
                <w:color w:val="auto"/>
                <w:u w:val="single"/>
              </w:rPr>
            </w:pPr>
          </w:p>
        </w:tc>
        <w:tc>
          <w:tcPr>
            <w:tcW w:w="500" w:type="pct"/>
            <w:tcBorders>
              <w:tl2br w:val="nil"/>
              <w:tr2bl w:val="nil"/>
            </w:tcBorders>
            <w:shd w:val="clear" w:color="auto" w:fill="auto"/>
            <w:vAlign w:val="center"/>
          </w:tcPr>
          <w:p w14:paraId="6AF0CAEF">
            <w:pPr>
              <w:pStyle w:val="182"/>
              <w:bidi w:val="0"/>
              <w:rPr>
                <w:rFonts w:hint="default"/>
                <w:b/>
                <w:bCs/>
                <w:color w:val="auto"/>
                <w:u w:val="single"/>
              </w:rPr>
            </w:pPr>
            <w:r>
              <w:rPr>
                <w:rFonts w:hint="default"/>
                <w:b/>
                <w:bCs/>
                <w:color w:val="auto"/>
                <w:u w:val="single"/>
                <w:lang w:val="en-US" w:eastAsia="zh-CN"/>
              </w:rPr>
              <w:t>20</w:t>
            </w:r>
          </w:p>
        </w:tc>
        <w:tc>
          <w:tcPr>
            <w:tcW w:w="500" w:type="pct"/>
            <w:tcBorders>
              <w:tl2br w:val="nil"/>
              <w:tr2bl w:val="nil"/>
            </w:tcBorders>
            <w:shd w:val="clear" w:color="auto" w:fill="auto"/>
            <w:noWrap/>
            <w:vAlign w:val="center"/>
          </w:tcPr>
          <w:p w14:paraId="3BBC235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9627F4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902F24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0.06 </w:t>
            </w:r>
          </w:p>
        </w:tc>
        <w:tc>
          <w:tcPr>
            <w:tcW w:w="500" w:type="pct"/>
            <w:tcBorders>
              <w:tl2br w:val="nil"/>
              <w:tr2bl w:val="nil"/>
            </w:tcBorders>
            <w:shd w:val="clear" w:color="auto" w:fill="auto"/>
            <w:noWrap/>
            <w:vAlign w:val="center"/>
          </w:tcPr>
          <w:p w14:paraId="4837E63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0.99 </w:t>
            </w:r>
          </w:p>
        </w:tc>
        <w:tc>
          <w:tcPr>
            <w:tcW w:w="500" w:type="pct"/>
            <w:tcBorders>
              <w:tl2br w:val="nil"/>
              <w:tr2bl w:val="nil"/>
            </w:tcBorders>
            <w:shd w:val="clear" w:color="auto" w:fill="auto"/>
            <w:noWrap/>
            <w:vAlign w:val="center"/>
          </w:tcPr>
          <w:p w14:paraId="6F3052A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2.46 </w:t>
            </w:r>
          </w:p>
        </w:tc>
        <w:tc>
          <w:tcPr>
            <w:tcW w:w="500" w:type="pct"/>
            <w:tcBorders>
              <w:tl2br w:val="nil"/>
              <w:tr2bl w:val="nil"/>
            </w:tcBorders>
            <w:shd w:val="clear" w:color="auto" w:fill="auto"/>
            <w:noWrap/>
            <w:vAlign w:val="center"/>
          </w:tcPr>
          <w:p w14:paraId="6FBF399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3.04 </w:t>
            </w:r>
          </w:p>
        </w:tc>
        <w:tc>
          <w:tcPr>
            <w:tcW w:w="500" w:type="pct"/>
            <w:tcBorders>
              <w:tl2br w:val="nil"/>
              <w:tr2bl w:val="nil"/>
            </w:tcBorders>
            <w:shd w:val="clear" w:color="auto" w:fill="auto"/>
            <w:noWrap/>
            <w:vAlign w:val="center"/>
          </w:tcPr>
          <w:p w14:paraId="27ABDAA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2.94 </w:t>
            </w:r>
          </w:p>
        </w:tc>
        <w:tc>
          <w:tcPr>
            <w:tcW w:w="500" w:type="pct"/>
            <w:tcBorders>
              <w:tl2br w:val="nil"/>
              <w:tr2bl w:val="nil"/>
            </w:tcBorders>
            <w:shd w:val="clear" w:color="auto" w:fill="auto"/>
            <w:noWrap/>
            <w:vAlign w:val="center"/>
          </w:tcPr>
          <w:p w14:paraId="044C345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1.54 </w:t>
            </w:r>
          </w:p>
        </w:tc>
      </w:tr>
      <w:tr w14:paraId="3A3944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6D53FA4E">
            <w:pPr>
              <w:pStyle w:val="182"/>
              <w:bidi w:val="0"/>
              <w:rPr>
                <w:rFonts w:hint="eastAsia"/>
                <w:b/>
                <w:bCs/>
                <w:color w:val="auto"/>
                <w:u w:val="single"/>
              </w:rPr>
            </w:pPr>
          </w:p>
        </w:tc>
        <w:tc>
          <w:tcPr>
            <w:tcW w:w="500" w:type="pct"/>
            <w:tcBorders>
              <w:tl2br w:val="nil"/>
              <w:tr2bl w:val="nil"/>
            </w:tcBorders>
            <w:shd w:val="clear" w:color="auto" w:fill="auto"/>
            <w:vAlign w:val="center"/>
          </w:tcPr>
          <w:p w14:paraId="4A4D1B48">
            <w:pPr>
              <w:pStyle w:val="182"/>
              <w:bidi w:val="0"/>
              <w:rPr>
                <w:rFonts w:hint="default"/>
                <w:b/>
                <w:bCs/>
                <w:color w:val="auto"/>
                <w:u w:val="single"/>
              </w:rPr>
            </w:pPr>
            <w:r>
              <w:rPr>
                <w:rFonts w:hint="default"/>
                <w:b/>
                <w:bCs/>
                <w:color w:val="auto"/>
                <w:u w:val="single"/>
                <w:lang w:val="en-US" w:eastAsia="zh-CN"/>
              </w:rPr>
              <w:t>30</w:t>
            </w:r>
          </w:p>
        </w:tc>
        <w:tc>
          <w:tcPr>
            <w:tcW w:w="500" w:type="pct"/>
            <w:tcBorders>
              <w:tl2br w:val="nil"/>
              <w:tr2bl w:val="nil"/>
            </w:tcBorders>
            <w:shd w:val="clear" w:color="auto" w:fill="auto"/>
            <w:noWrap/>
            <w:vAlign w:val="center"/>
          </w:tcPr>
          <w:p w14:paraId="2143933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3E9667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4990BE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443E87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0.04 </w:t>
            </w:r>
          </w:p>
        </w:tc>
        <w:tc>
          <w:tcPr>
            <w:tcW w:w="500" w:type="pct"/>
            <w:tcBorders>
              <w:tl2br w:val="nil"/>
              <w:tr2bl w:val="nil"/>
            </w:tcBorders>
            <w:shd w:val="clear" w:color="auto" w:fill="auto"/>
            <w:noWrap/>
            <w:vAlign w:val="center"/>
          </w:tcPr>
          <w:p w14:paraId="2576474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0.34 </w:t>
            </w:r>
          </w:p>
        </w:tc>
        <w:tc>
          <w:tcPr>
            <w:tcW w:w="500" w:type="pct"/>
            <w:tcBorders>
              <w:tl2br w:val="nil"/>
              <w:tr2bl w:val="nil"/>
            </w:tcBorders>
            <w:shd w:val="clear" w:color="auto" w:fill="auto"/>
            <w:noWrap/>
            <w:vAlign w:val="center"/>
          </w:tcPr>
          <w:p w14:paraId="1545B0E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0.88 </w:t>
            </w:r>
          </w:p>
        </w:tc>
        <w:tc>
          <w:tcPr>
            <w:tcW w:w="500" w:type="pct"/>
            <w:tcBorders>
              <w:tl2br w:val="nil"/>
              <w:tr2bl w:val="nil"/>
            </w:tcBorders>
            <w:shd w:val="clear" w:color="auto" w:fill="auto"/>
            <w:noWrap/>
            <w:vAlign w:val="center"/>
          </w:tcPr>
          <w:p w14:paraId="772ED76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1.36 </w:t>
            </w:r>
          </w:p>
        </w:tc>
        <w:tc>
          <w:tcPr>
            <w:tcW w:w="500" w:type="pct"/>
            <w:tcBorders>
              <w:tl2br w:val="nil"/>
              <w:tr2bl w:val="nil"/>
            </w:tcBorders>
            <w:shd w:val="clear" w:color="auto" w:fill="auto"/>
            <w:noWrap/>
            <w:vAlign w:val="center"/>
          </w:tcPr>
          <w:p w14:paraId="5358820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1.66 </w:t>
            </w:r>
          </w:p>
        </w:tc>
      </w:tr>
      <w:tr w14:paraId="3ED61F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6603CC94">
            <w:pPr>
              <w:pStyle w:val="182"/>
              <w:bidi w:val="0"/>
              <w:rPr>
                <w:rFonts w:hint="eastAsia"/>
                <w:b/>
                <w:bCs/>
                <w:color w:val="auto"/>
                <w:u w:val="single"/>
              </w:rPr>
            </w:pPr>
          </w:p>
        </w:tc>
        <w:tc>
          <w:tcPr>
            <w:tcW w:w="500" w:type="pct"/>
            <w:tcBorders>
              <w:tl2br w:val="nil"/>
              <w:tr2bl w:val="nil"/>
            </w:tcBorders>
            <w:shd w:val="clear" w:color="auto" w:fill="auto"/>
            <w:vAlign w:val="center"/>
          </w:tcPr>
          <w:p w14:paraId="3402920F">
            <w:pPr>
              <w:pStyle w:val="182"/>
              <w:bidi w:val="0"/>
              <w:rPr>
                <w:rFonts w:hint="default"/>
                <w:b/>
                <w:bCs/>
                <w:color w:val="auto"/>
                <w:u w:val="single"/>
              </w:rPr>
            </w:pPr>
            <w:r>
              <w:rPr>
                <w:rFonts w:hint="default"/>
                <w:b/>
                <w:bCs/>
                <w:color w:val="auto"/>
                <w:u w:val="single"/>
                <w:lang w:val="en-US" w:eastAsia="zh-CN"/>
              </w:rPr>
              <w:t>40</w:t>
            </w:r>
          </w:p>
        </w:tc>
        <w:tc>
          <w:tcPr>
            <w:tcW w:w="500" w:type="pct"/>
            <w:tcBorders>
              <w:tl2br w:val="nil"/>
              <w:tr2bl w:val="nil"/>
            </w:tcBorders>
            <w:shd w:val="clear" w:color="auto" w:fill="auto"/>
            <w:noWrap/>
            <w:vAlign w:val="center"/>
          </w:tcPr>
          <w:p w14:paraId="3E6DCB5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51B836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91A57E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2470F6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630E79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0.02 </w:t>
            </w:r>
          </w:p>
        </w:tc>
        <w:tc>
          <w:tcPr>
            <w:tcW w:w="500" w:type="pct"/>
            <w:tcBorders>
              <w:tl2br w:val="nil"/>
              <w:tr2bl w:val="nil"/>
            </w:tcBorders>
            <w:shd w:val="clear" w:color="auto" w:fill="auto"/>
            <w:noWrap/>
            <w:vAlign w:val="center"/>
          </w:tcPr>
          <w:p w14:paraId="4851C69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0.12 </w:t>
            </w:r>
          </w:p>
        </w:tc>
        <w:tc>
          <w:tcPr>
            <w:tcW w:w="500" w:type="pct"/>
            <w:tcBorders>
              <w:tl2br w:val="nil"/>
              <w:tr2bl w:val="nil"/>
            </w:tcBorders>
            <w:shd w:val="clear" w:color="auto" w:fill="auto"/>
            <w:noWrap/>
            <w:vAlign w:val="center"/>
          </w:tcPr>
          <w:p w14:paraId="263BF83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0.32 </w:t>
            </w:r>
          </w:p>
        </w:tc>
        <w:tc>
          <w:tcPr>
            <w:tcW w:w="500" w:type="pct"/>
            <w:tcBorders>
              <w:tl2br w:val="nil"/>
              <w:tr2bl w:val="nil"/>
            </w:tcBorders>
            <w:shd w:val="clear" w:color="auto" w:fill="auto"/>
            <w:noWrap/>
            <w:vAlign w:val="center"/>
          </w:tcPr>
          <w:p w14:paraId="60CC5BFB">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1.21 </w:t>
            </w:r>
          </w:p>
        </w:tc>
      </w:tr>
      <w:tr w14:paraId="0E61D6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08C50144">
            <w:pPr>
              <w:pStyle w:val="182"/>
              <w:bidi w:val="0"/>
              <w:rPr>
                <w:rFonts w:hint="eastAsia"/>
                <w:b/>
                <w:bCs/>
                <w:color w:val="auto"/>
                <w:u w:val="single"/>
              </w:rPr>
            </w:pPr>
          </w:p>
        </w:tc>
        <w:tc>
          <w:tcPr>
            <w:tcW w:w="500" w:type="pct"/>
            <w:tcBorders>
              <w:tl2br w:val="nil"/>
              <w:tr2bl w:val="nil"/>
            </w:tcBorders>
            <w:shd w:val="clear" w:color="auto" w:fill="auto"/>
            <w:vAlign w:val="center"/>
          </w:tcPr>
          <w:p w14:paraId="7A2EB886">
            <w:pPr>
              <w:pStyle w:val="182"/>
              <w:bidi w:val="0"/>
              <w:rPr>
                <w:rFonts w:hint="default"/>
                <w:b/>
                <w:bCs/>
                <w:color w:val="auto"/>
                <w:u w:val="single"/>
              </w:rPr>
            </w:pPr>
            <w:r>
              <w:rPr>
                <w:rFonts w:hint="default"/>
                <w:b/>
                <w:bCs/>
                <w:color w:val="auto"/>
                <w:u w:val="single"/>
                <w:lang w:val="en-US" w:eastAsia="zh-CN"/>
              </w:rPr>
              <w:t>50</w:t>
            </w:r>
          </w:p>
        </w:tc>
        <w:tc>
          <w:tcPr>
            <w:tcW w:w="500" w:type="pct"/>
            <w:tcBorders>
              <w:tl2br w:val="nil"/>
              <w:tr2bl w:val="nil"/>
            </w:tcBorders>
            <w:shd w:val="clear" w:color="auto" w:fill="auto"/>
            <w:noWrap/>
            <w:vAlign w:val="center"/>
          </w:tcPr>
          <w:p w14:paraId="4089FFE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D7C679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D0D516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B91EBE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1A71C2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6398B7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0.01 </w:t>
            </w:r>
          </w:p>
        </w:tc>
        <w:tc>
          <w:tcPr>
            <w:tcW w:w="500" w:type="pct"/>
            <w:tcBorders>
              <w:tl2br w:val="nil"/>
              <w:tr2bl w:val="nil"/>
            </w:tcBorders>
            <w:shd w:val="clear" w:color="auto" w:fill="auto"/>
            <w:noWrap/>
            <w:vAlign w:val="center"/>
          </w:tcPr>
          <w:p w14:paraId="12C4583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0.04 </w:t>
            </w:r>
          </w:p>
        </w:tc>
        <w:tc>
          <w:tcPr>
            <w:tcW w:w="500" w:type="pct"/>
            <w:tcBorders>
              <w:tl2br w:val="nil"/>
              <w:tr2bl w:val="nil"/>
            </w:tcBorders>
            <w:shd w:val="clear" w:color="auto" w:fill="auto"/>
            <w:noWrap/>
            <w:vAlign w:val="center"/>
          </w:tcPr>
          <w:p w14:paraId="6276755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0.63 </w:t>
            </w:r>
          </w:p>
        </w:tc>
      </w:tr>
      <w:tr w14:paraId="60754EF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0A453D5D">
            <w:pPr>
              <w:pStyle w:val="182"/>
              <w:bidi w:val="0"/>
              <w:rPr>
                <w:rFonts w:hint="eastAsia"/>
                <w:b/>
                <w:bCs/>
                <w:color w:val="auto"/>
                <w:u w:val="single"/>
              </w:rPr>
            </w:pPr>
          </w:p>
        </w:tc>
        <w:tc>
          <w:tcPr>
            <w:tcW w:w="500" w:type="pct"/>
            <w:tcBorders>
              <w:tl2br w:val="nil"/>
              <w:tr2bl w:val="nil"/>
            </w:tcBorders>
            <w:shd w:val="clear" w:color="auto" w:fill="auto"/>
            <w:vAlign w:val="center"/>
          </w:tcPr>
          <w:p w14:paraId="05DF40CD">
            <w:pPr>
              <w:pStyle w:val="182"/>
              <w:bidi w:val="0"/>
              <w:rPr>
                <w:rFonts w:hint="default"/>
                <w:b/>
                <w:bCs/>
                <w:color w:val="auto"/>
                <w:u w:val="single"/>
              </w:rPr>
            </w:pPr>
            <w:r>
              <w:rPr>
                <w:rFonts w:hint="default"/>
                <w:b/>
                <w:bCs/>
                <w:color w:val="auto"/>
                <w:u w:val="single"/>
                <w:lang w:val="en-US" w:eastAsia="zh-CN"/>
              </w:rPr>
              <w:t>60</w:t>
            </w:r>
          </w:p>
        </w:tc>
        <w:tc>
          <w:tcPr>
            <w:tcW w:w="500" w:type="pct"/>
            <w:tcBorders>
              <w:tl2br w:val="nil"/>
              <w:tr2bl w:val="nil"/>
            </w:tcBorders>
            <w:shd w:val="clear" w:color="auto" w:fill="auto"/>
            <w:noWrap/>
            <w:vAlign w:val="center"/>
          </w:tcPr>
          <w:p w14:paraId="7710CEB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691D4C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D19B8B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D0351C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2D1402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7C82D5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EDFEE0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92643C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0.24 </w:t>
            </w:r>
          </w:p>
        </w:tc>
      </w:tr>
      <w:tr w14:paraId="7C597D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49B07F15">
            <w:pPr>
              <w:pStyle w:val="182"/>
              <w:bidi w:val="0"/>
              <w:rPr>
                <w:rFonts w:hint="eastAsia"/>
                <w:b/>
                <w:bCs/>
                <w:color w:val="auto"/>
                <w:u w:val="single"/>
              </w:rPr>
            </w:pPr>
          </w:p>
        </w:tc>
        <w:tc>
          <w:tcPr>
            <w:tcW w:w="500" w:type="pct"/>
            <w:tcBorders>
              <w:tl2br w:val="nil"/>
              <w:tr2bl w:val="nil"/>
            </w:tcBorders>
            <w:shd w:val="clear" w:color="auto" w:fill="auto"/>
            <w:vAlign w:val="center"/>
          </w:tcPr>
          <w:p w14:paraId="0351FA15">
            <w:pPr>
              <w:pStyle w:val="182"/>
              <w:bidi w:val="0"/>
              <w:rPr>
                <w:rFonts w:hint="default"/>
                <w:b/>
                <w:bCs/>
                <w:color w:val="auto"/>
                <w:u w:val="single"/>
              </w:rPr>
            </w:pPr>
            <w:r>
              <w:rPr>
                <w:rFonts w:hint="default"/>
                <w:b/>
                <w:bCs/>
                <w:color w:val="auto"/>
                <w:u w:val="single"/>
                <w:lang w:val="en-US" w:eastAsia="zh-CN"/>
              </w:rPr>
              <w:t>70</w:t>
            </w:r>
          </w:p>
        </w:tc>
        <w:tc>
          <w:tcPr>
            <w:tcW w:w="500" w:type="pct"/>
            <w:tcBorders>
              <w:tl2br w:val="nil"/>
              <w:tr2bl w:val="nil"/>
            </w:tcBorders>
            <w:shd w:val="clear" w:color="auto" w:fill="auto"/>
            <w:noWrap/>
            <w:vAlign w:val="center"/>
          </w:tcPr>
          <w:p w14:paraId="4A8B1A5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FB96DC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43C8A1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3D6EB3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F6C076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6C3AB0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3949FB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287374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0.07 </w:t>
            </w:r>
          </w:p>
        </w:tc>
      </w:tr>
      <w:tr w14:paraId="41B069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31727669">
            <w:pPr>
              <w:pStyle w:val="182"/>
              <w:bidi w:val="0"/>
              <w:rPr>
                <w:rFonts w:hint="eastAsia"/>
                <w:b/>
                <w:bCs/>
                <w:color w:val="auto"/>
                <w:u w:val="single"/>
              </w:rPr>
            </w:pPr>
          </w:p>
        </w:tc>
        <w:tc>
          <w:tcPr>
            <w:tcW w:w="500" w:type="pct"/>
            <w:tcBorders>
              <w:tl2br w:val="nil"/>
              <w:tr2bl w:val="nil"/>
            </w:tcBorders>
            <w:shd w:val="clear" w:color="auto" w:fill="auto"/>
            <w:vAlign w:val="center"/>
          </w:tcPr>
          <w:p w14:paraId="25712655">
            <w:pPr>
              <w:pStyle w:val="182"/>
              <w:bidi w:val="0"/>
              <w:rPr>
                <w:rFonts w:hint="default"/>
                <w:b/>
                <w:bCs/>
                <w:color w:val="auto"/>
                <w:u w:val="single"/>
              </w:rPr>
            </w:pPr>
            <w:r>
              <w:rPr>
                <w:rFonts w:hint="default"/>
                <w:b/>
                <w:bCs/>
                <w:color w:val="auto"/>
                <w:u w:val="single"/>
                <w:lang w:val="en-US" w:eastAsia="zh-CN"/>
              </w:rPr>
              <w:t>80</w:t>
            </w:r>
          </w:p>
        </w:tc>
        <w:tc>
          <w:tcPr>
            <w:tcW w:w="500" w:type="pct"/>
            <w:tcBorders>
              <w:tl2br w:val="nil"/>
              <w:tr2bl w:val="nil"/>
            </w:tcBorders>
            <w:shd w:val="clear" w:color="auto" w:fill="auto"/>
            <w:noWrap/>
            <w:vAlign w:val="center"/>
          </w:tcPr>
          <w:p w14:paraId="21EE6E1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BA3457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F9C56C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DB6C3A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413C62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936F7F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08FE35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916994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0.02 </w:t>
            </w:r>
          </w:p>
        </w:tc>
      </w:tr>
      <w:tr w14:paraId="39E4E9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0A100D51">
            <w:pPr>
              <w:pStyle w:val="182"/>
              <w:bidi w:val="0"/>
              <w:rPr>
                <w:rFonts w:hint="eastAsia"/>
                <w:b/>
                <w:bCs/>
                <w:color w:val="auto"/>
                <w:u w:val="single"/>
              </w:rPr>
            </w:pPr>
          </w:p>
        </w:tc>
        <w:tc>
          <w:tcPr>
            <w:tcW w:w="500" w:type="pct"/>
            <w:tcBorders>
              <w:tl2br w:val="nil"/>
              <w:tr2bl w:val="nil"/>
            </w:tcBorders>
            <w:shd w:val="clear" w:color="auto" w:fill="auto"/>
            <w:vAlign w:val="center"/>
          </w:tcPr>
          <w:p w14:paraId="06FCAEBB">
            <w:pPr>
              <w:pStyle w:val="182"/>
              <w:bidi w:val="0"/>
              <w:rPr>
                <w:rFonts w:hint="default"/>
                <w:b/>
                <w:bCs/>
                <w:color w:val="auto"/>
                <w:u w:val="single"/>
              </w:rPr>
            </w:pPr>
            <w:r>
              <w:rPr>
                <w:rFonts w:hint="default"/>
                <w:b/>
                <w:bCs/>
                <w:color w:val="auto"/>
                <w:u w:val="single"/>
                <w:lang w:val="en-US" w:eastAsia="zh-CN"/>
              </w:rPr>
              <w:t>90</w:t>
            </w:r>
          </w:p>
        </w:tc>
        <w:tc>
          <w:tcPr>
            <w:tcW w:w="500" w:type="pct"/>
            <w:tcBorders>
              <w:tl2br w:val="nil"/>
              <w:tr2bl w:val="nil"/>
            </w:tcBorders>
            <w:shd w:val="clear" w:color="auto" w:fill="auto"/>
            <w:noWrap/>
            <w:vAlign w:val="center"/>
          </w:tcPr>
          <w:p w14:paraId="426E480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A19A37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F9AE83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5433CFB">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033238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2F8140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F61879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854385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576751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2027EFCA">
            <w:pPr>
              <w:pStyle w:val="182"/>
              <w:bidi w:val="0"/>
              <w:rPr>
                <w:rFonts w:hint="eastAsia"/>
                <w:b/>
                <w:bCs/>
                <w:color w:val="auto"/>
                <w:u w:val="single"/>
              </w:rPr>
            </w:pPr>
          </w:p>
        </w:tc>
        <w:tc>
          <w:tcPr>
            <w:tcW w:w="500" w:type="pct"/>
            <w:tcBorders>
              <w:tl2br w:val="nil"/>
              <w:tr2bl w:val="nil"/>
            </w:tcBorders>
            <w:shd w:val="clear" w:color="auto" w:fill="auto"/>
            <w:vAlign w:val="center"/>
          </w:tcPr>
          <w:p w14:paraId="3F2AF0F5">
            <w:pPr>
              <w:pStyle w:val="182"/>
              <w:bidi w:val="0"/>
              <w:rPr>
                <w:rFonts w:hint="default"/>
                <w:b/>
                <w:bCs/>
                <w:color w:val="auto"/>
                <w:u w:val="single"/>
              </w:rPr>
            </w:pPr>
            <w:r>
              <w:rPr>
                <w:rFonts w:hint="default"/>
                <w:b/>
                <w:bCs/>
                <w:color w:val="auto"/>
                <w:u w:val="single"/>
                <w:lang w:val="en-US" w:eastAsia="zh-CN"/>
              </w:rPr>
              <w:t>100</w:t>
            </w:r>
          </w:p>
        </w:tc>
        <w:tc>
          <w:tcPr>
            <w:tcW w:w="500" w:type="pct"/>
            <w:tcBorders>
              <w:tl2br w:val="nil"/>
              <w:tr2bl w:val="nil"/>
            </w:tcBorders>
            <w:shd w:val="clear" w:color="auto" w:fill="auto"/>
            <w:noWrap/>
            <w:vAlign w:val="center"/>
          </w:tcPr>
          <w:p w14:paraId="1F7867B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6D95BD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92DC54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213D4D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8A50B9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53E853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5D3E88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75CCB9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65633C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1D38A47A">
            <w:pPr>
              <w:pStyle w:val="182"/>
              <w:bidi w:val="0"/>
              <w:rPr>
                <w:rFonts w:hint="eastAsia"/>
                <w:b/>
                <w:bCs/>
                <w:color w:val="auto"/>
                <w:u w:val="single"/>
              </w:rPr>
            </w:pPr>
          </w:p>
        </w:tc>
        <w:tc>
          <w:tcPr>
            <w:tcW w:w="500" w:type="pct"/>
            <w:tcBorders>
              <w:tl2br w:val="nil"/>
              <w:tr2bl w:val="nil"/>
            </w:tcBorders>
            <w:shd w:val="clear" w:color="auto" w:fill="auto"/>
            <w:vAlign w:val="center"/>
          </w:tcPr>
          <w:p w14:paraId="5040A571">
            <w:pPr>
              <w:pStyle w:val="182"/>
              <w:bidi w:val="0"/>
              <w:rPr>
                <w:rFonts w:hint="default"/>
                <w:b/>
                <w:bCs/>
                <w:color w:val="auto"/>
                <w:u w:val="single"/>
              </w:rPr>
            </w:pPr>
            <w:r>
              <w:rPr>
                <w:rFonts w:hint="default"/>
                <w:b/>
                <w:bCs/>
                <w:color w:val="auto"/>
                <w:u w:val="single"/>
                <w:lang w:val="en-US" w:eastAsia="zh-CN"/>
              </w:rPr>
              <w:t>120</w:t>
            </w:r>
          </w:p>
        </w:tc>
        <w:tc>
          <w:tcPr>
            <w:tcW w:w="500" w:type="pct"/>
            <w:tcBorders>
              <w:tl2br w:val="nil"/>
              <w:tr2bl w:val="nil"/>
            </w:tcBorders>
            <w:shd w:val="clear" w:color="auto" w:fill="auto"/>
            <w:noWrap/>
            <w:vAlign w:val="center"/>
          </w:tcPr>
          <w:p w14:paraId="7211605B">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FFCF57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5BAA1B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CFA6BE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0F09E2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F9920B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3070B1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FF9A32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076391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72CBAC16">
            <w:pPr>
              <w:pStyle w:val="182"/>
              <w:bidi w:val="0"/>
              <w:rPr>
                <w:rFonts w:hint="eastAsia"/>
                <w:b/>
                <w:bCs/>
                <w:color w:val="auto"/>
                <w:u w:val="single"/>
              </w:rPr>
            </w:pPr>
          </w:p>
        </w:tc>
        <w:tc>
          <w:tcPr>
            <w:tcW w:w="500" w:type="pct"/>
            <w:tcBorders>
              <w:tl2br w:val="nil"/>
              <w:tr2bl w:val="nil"/>
            </w:tcBorders>
            <w:shd w:val="clear" w:color="auto" w:fill="auto"/>
            <w:vAlign w:val="center"/>
          </w:tcPr>
          <w:p w14:paraId="7EB6C3A2">
            <w:pPr>
              <w:pStyle w:val="182"/>
              <w:bidi w:val="0"/>
              <w:rPr>
                <w:rFonts w:hint="default"/>
                <w:b/>
                <w:bCs/>
                <w:color w:val="auto"/>
                <w:u w:val="single"/>
              </w:rPr>
            </w:pPr>
            <w:r>
              <w:rPr>
                <w:rFonts w:hint="default"/>
                <w:b/>
                <w:bCs/>
                <w:color w:val="auto"/>
                <w:u w:val="single"/>
                <w:lang w:val="en-US" w:eastAsia="zh-CN"/>
              </w:rPr>
              <w:t>140</w:t>
            </w:r>
          </w:p>
        </w:tc>
        <w:tc>
          <w:tcPr>
            <w:tcW w:w="500" w:type="pct"/>
            <w:tcBorders>
              <w:tl2br w:val="nil"/>
              <w:tr2bl w:val="nil"/>
            </w:tcBorders>
            <w:shd w:val="clear" w:color="auto" w:fill="auto"/>
            <w:noWrap/>
            <w:vAlign w:val="center"/>
          </w:tcPr>
          <w:p w14:paraId="5263D12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809455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E140FD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D0F58B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4E2CF0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01605D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7C8351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D08B84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408058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37A3FE32">
            <w:pPr>
              <w:pStyle w:val="182"/>
              <w:bidi w:val="0"/>
              <w:rPr>
                <w:rFonts w:hint="eastAsia"/>
                <w:b/>
                <w:bCs/>
                <w:color w:val="auto"/>
                <w:u w:val="single"/>
              </w:rPr>
            </w:pPr>
          </w:p>
        </w:tc>
        <w:tc>
          <w:tcPr>
            <w:tcW w:w="500" w:type="pct"/>
            <w:tcBorders>
              <w:tl2br w:val="nil"/>
              <w:tr2bl w:val="nil"/>
            </w:tcBorders>
            <w:shd w:val="clear" w:color="auto" w:fill="auto"/>
            <w:vAlign w:val="center"/>
          </w:tcPr>
          <w:p w14:paraId="58122E5F">
            <w:pPr>
              <w:pStyle w:val="182"/>
              <w:bidi w:val="0"/>
              <w:rPr>
                <w:rFonts w:hint="default"/>
                <w:b/>
                <w:bCs/>
                <w:color w:val="auto"/>
                <w:u w:val="single"/>
              </w:rPr>
            </w:pPr>
            <w:r>
              <w:rPr>
                <w:rFonts w:hint="default"/>
                <w:b/>
                <w:bCs/>
                <w:color w:val="auto"/>
                <w:u w:val="single"/>
                <w:lang w:val="en-US" w:eastAsia="zh-CN"/>
              </w:rPr>
              <w:t>160</w:t>
            </w:r>
          </w:p>
        </w:tc>
        <w:tc>
          <w:tcPr>
            <w:tcW w:w="500" w:type="pct"/>
            <w:tcBorders>
              <w:tl2br w:val="nil"/>
              <w:tr2bl w:val="nil"/>
            </w:tcBorders>
            <w:shd w:val="clear" w:color="auto" w:fill="auto"/>
            <w:noWrap/>
            <w:vAlign w:val="center"/>
          </w:tcPr>
          <w:p w14:paraId="70141BF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DEA6C1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FA92EA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273A76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F9C584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B08B22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36D9B5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823F20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6AB90F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725A33C7">
            <w:pPr>
              <w:pStyle w:val="182"/>
              <w:bidi w:val="0"/>
              <w:rPr>
                <w:rFonts w:hint="eastAsia"/>
                <w:b/>
                <w:bCs/>
                <w:color w:val="auto"/>
                <w:u w:val="single"/>
              </w:rPr>
            </w:pPr>
          </w:p>
        </w:tc>
        <w:tc>
          <w:tcPr>
            <w:tcW w:w="500" w:type="pct"/>
            <w:tcBorders>
              <w:tl2br w:val="nil"/>
              <w:tr2bl w:val="nil"/>
            </w:tcBorders>
            <w:shd w:val="clear" w:color="auto" w:fill="auto"/>
            <w:vAlign w:val="center"/>
          </w:tcPr>
          <w:p w14:paraId="3F41C9B6">
            <w:pPr>
              <w:pStyle w:val="182"/>
              <w:bidi w:val="0"/>
              <w:rPr>
                <w:rFonts w:hint="default"/>
                <w:b/>
                <w:bCs/>
                <w:color w:val="auto"/>
                <w:u w:val="single"/>
              </w:rPr>
            </w:pPr>
            <w:r>
              <w:rPr>
                <w:rFonts w:hint="default"/>
                <w:b/>
                <w:bCs/>
                <w:color w:val="auto"/>
                <w:u w:val="single"/>
                <w:lang w:val="en-US" w:eastAsia="zh-CN"/>
              </w:rPr>
              <w:t>180</w:t>
            </w:r>
          </w:p>
        </w:tc>
        <w:tc>
          <w:tcPr>
            <w:tcW w:w="500" w:type="pct"/>
            <w:tcBorders>
              <w:tl2br w:val="nil"/>
              <w:tr2bl w:val="nil"/>
            </w:tcBorders>
            <w:shd w:val="clear" w:color="auto" w:fill="auto"/>
            <w:noWrap/>
            <w:vAlign w:val="center"/>
          </w:tcPr>
          <w:p w14:paraId="474E775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E52951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E26C9B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9E9321B">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CC6CCA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1A976B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5F95CD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4EED76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021A67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6A47547D">
            <w:pPr>
              <w:pStyle w:val="182"/>
              <w:bidi w:val="0"/>
              <w:rPr>
                <w:rFonts w:hint="eastAsia"/>
                <w:b/>
                <w:bCs/>
                <w:color w:val="auto"/>
                <w:u w:val="single"/>
              </w:rPr>
            </w:pPr>
          </w:p>
        </w:tc>
        <w:tc>
          <w:tcPr>
            <w:tcW w:w="500" w:type="pct"/>
            <w:tcBorders>
              <w:tl2br w:val="nil"/>
              <w:tr2bl w:val="nil"/>
            </w:tcBorders>
            <w:shd w:val="clear" w:color="auto" w:fill="auto"/>
            <w:vAlign w:val="center"/>
          </w:tcPr>
          <w:p w14:paraId="72BD22B5">
            <w:pPr>
              <w:pStyle w:val="182"/>
              <w:bidi w:val="0"/>
              <w:rPr>
                <w:rFonts w:hint="default"/>
                <w:b/>
                <w:bCs/>
                <w:color w:val="auto"/>
                <w:u w:val="single"/>
              </w:rPr>
            </w:pPr>
            <w:r>
              <w:rPr>
                <w:rFonts w:hint="default"/>
                <w:b/>
                <w:bCs/>
                <w:color w:val="auto"/>
                <w:u w:val="single"/>
                <w:lang w:val="en-US" w:eastAsia="zh-CN"/>
              </w:rPr>
              <w:t>200</w:t>
            </w:r>
          </w:p>
        </w:tc>
        <w:tc>
          <w:tcPr>
            <w:tcW w:w="500" w:type="pct"/>
            <w:tcBorders>
              <w:tl2br w:val="nil"/>
              <w:tr2bl w:val="nil"/>
            </w:tcBorders>
            <w:shd w:val="clear" w:color="auto" w:fill="auto"/>
            <w:noWrap/>
            <w:vAlign w:val="center"/>
          </w:tcPr>
          <w:p w14:paraId="10915A9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0BE4E4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C2BA6C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D7744F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D304B0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EDE14D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F74981F">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483804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0BB9BB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018F2BE2">
            <w:pPr>
              <w:pStyle w:val="182"/>
              <w:bidi w:val="0"/>
              <w:rPr>
                <w:rFonts w:hint="eastAsia"/>
                <w:b/>
                <w:bCs/>
                <w:color w:val="auto"/>
                <w:u w:val="single"/>
              </w:rPr>
            </w:pPr>
          </w:p>
        </w:tc>
        <w:tc>
          <w:tcPr>
            <w:tcW w:w="500" w:type="pct"/>
            <w:tcBorders>
              <w:tl2br w:val="nil"/>
              <w:tr2bl w:val="nil"/>
            </w:tcBorders>
            <w:shd w:val="clear" w:color="auto" w:fill="auto"/>
            <w:vAlign w:val="center"/>
          </w:tcPr>
          <w:p w14:paraId="7F4E85BB">
            <w:pPr>
              <w:pStyle w:val="182"/>
              <w:bidi w:val="0"/>
              <w:rPr>
                <w:rFonts w:hint="default"/>
                <w:b/>
                <w:bCs/>
                <w:color w:val="auto"/>
                <w:u w:val="single"/>
              </w:rPr>
            </w:pPr>
            <w:r>
              <w:rPr>
                <w:rFonts w:hint="default"/>
                <w:b/>
                <w:bCs/>
                <w:color w:val="auto"/>
                <w:u w:val="single"/>
                <w:lang w:val="en-US" w:eastAsia="zh-CN"/>
              </w:rPr>
              <w:t>250</w:t>
            </w:r>
          </w:p>
        </w:tc>
        <w:tc>
          <w:tcPr>
            <w:tcW w:w="500" w:type="pct"/>
            <w:tcBorders>
              <w:tl2br w:val="nil"/>
              <w:tr2bl w:val="nil"/>
            </w:tcBorders>
            <w:shd w:val="clear" w:color="auto" w:fill="auto"/>
            <w:noWrap/>
            <w:vAlign w:val="center"/>
          </w:tcPr>
          <w:p w14:paraId="2341381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3ABC5B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060EC7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643D8A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47B53A2">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45EE23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AC05870">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ED3D5D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3E2192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35C36169">
            <w:pPr>
              <w:pStyle w:val="182"/>
              <w:bidi w:val="0"/>
              <w:rPr>
                <w:rFonts w:hint="eastAsia"/>
                <w:b/>
                <w:bCs/>
                <w:color w:val="auto"/>
                <w:u w:val="single"/>
              </w:rPr>
            </w:pPr>
          </w:p>
        </w:tc>
        <w:tc>
          <w:tcPr>
            <w:tcW w:w="500" w:type="pct"/>
            <w:tcBorders>
              <w:tl2br w:val="nil"/>
              <w:tr2bl w:val="nil"/>
            </w:tcBorders>
            <w:shd w:val="clear" w:color="auto" w:fill="auto"/>
            <w:vAlign w:val="center"/>
          </w:tcPr>
          <w:p w14:paraId="4C78401F">
            <w:pPr>
              <w:pStyle w:val="182"/>
              <w:bidi w:val="0"/>
              <w:rPr>
                <w:rFonts w:hint="default"/>
                <w:b/>
                <w:bCs/>
                <w:color w:val="auto"/>
                <w:u w:val="single"/>
              </w:rPr>
            </w:pPr>
            <w:r>
              <w:rPr>
                <w:rFonts w:hint="default"/>
                <w:b/>
                <w:bCs/>
                <w:color w:val="auto"/>
                <w:u w:val="single"/>
                <w:lang w:val="en-US" w:eastAsia="zh-CN"/>
              </w:rPr>
              <w:t>300</w:t>
            </w:r>
          </w:p>
        </w:tc>
        <w:tc>
          <w:tcPr>
            <w:tcW w:w="500" w:type="pct"/>
            <w:tcBorders>
              <w:tl2br w:val="nil"/>
              <w:tr2bl w:val="nil"/>
            </w:tcBorders>
            <w:shd w:val="clear" w:color="auto" w:fill="auto"/>
            <w:noWrap/>
            <w:vAlign w:val="center"/>
          </w:tcPr>
          <w:p w14:paraId="507A040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33BA56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E06274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652E0F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B0677E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84AF05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1F57E5A">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FADD08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6999D0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3EDB7FC0">
            <w:pPr>
              <w:pStyle w:val="182"/>
              <w:bidi w:val="0"/>
              <w:rPr>
                <w:rFonts w:hint="eastAsia"/>
                <w:b/>
                <w:bCs/>
                <w:color w:val="auto"/>
                <w:u w:val="single"/>
              </w:rPr>
            </w:pPr>
          </w:p>
        </w:tc>
        <w:tc>
          <w:tcPr>
            <w:tcW w:w="500" w:type="pct"/>
            <w:tcBorders>
              <w:tl2br w:val="nil"/>
              <w:tr2bl w:val="nil"/>
            </w:tcBorders>
            <w:shd w:val="clear" w:color="auto" w:fill="auto"/>
            <w:vAlign w:val="center"/>
          </w:tcPr>
          <w:p w14:paraId="76D06F8B">
            <w:pPr>
              <w:pStyle w:val="182"/>
              <w:bidi w:val="0"/>
              <w:rPr>
                <w:rFonts w:hint="default"/>
                <w:b/>
                <w:bCs/>
                <w:color w:val="auto"/>
                <w:u w:val="single"/>
              </w:rPr>
            </w:pPr>
            <w:r>
              <w:rPr>
                <w:rFonts w:hint="default"/>
                <w:b/>
                <w:bCs/>
                <w:color w:val="auto"/>
                <w:u w:val="single"/>
                <w:lang w:val="en-US" w:eastAsia="zh-CN"/>
              </w:rPr>
              <w:t>350</w:t>
            </w:r>
          </w:p>
        </w:tc>
        <w:tc>
          <w:tcPr>
            <w:tcW w:w="500" w:type="pct"/>
            <w:tcBorders>
              <w:tl2br w:val="nil"/>
              <w:tr2bl w:val="nil"/>
            </w:tcBorders>
            <w:shd w:val="clear" w:color="auto" w:fill="auto"/>
            <w:noWrap/>
            <w:vAlign w:val="center"/>
          </w:tcPr>
          <w:p w14:paraId="7F50EC3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806A1C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CFE78E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483085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52CD66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B419D8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586F7B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9DD99D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7B5950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5EA1BFFE">
            <w:pPr>
              <w:pStyle w:val="182"/>
              <w:bidi w:val="0"/>
              <w:rPr>
                <w:rFonts w:hint="eastAsia"/>
                <w:b/>
                <w:bCs/>
                <w:color w:val="auto"/>
                <w:u w:val="single"/>
              </w:rPr>
            </w:pPr>
          </w:p>
        </w:tc>
        <w:tc>
          <w:tcPr>
            <w:tcW w:w="500" w:type="pct"/>
            <w:tcBorders>
              <w:tl2br w:val="nil"/>
              <w:tr2bl w:val="nil"/>
            </w:tcBorders>
            <w:shd w:val="clear" w:color="auto" w:fill="auto"/>
            <w:vAlign w:val="center"/>
          </w:tcPr>
          <w:p w14:paraId="2FF51372">
            <w:pPr>
              <w:pStyle w:val="182"/>
              <w:bidi w:val="0"/>
              <w:rPr>
                <w:rFonts w:hint="default"/>
                <w:b/>
                <w:bCs/>
                <w:color w:val="auto"/>
                <w:u w:val="single"/>
              </w:rPr>
            </w:pPr>
            <w:r>
              <w:rPr>
                <w:rFonts w:hint="default"/>
                <w:b/>
                <w:bCs/>
                <w:color w:val="auto"/>
                <w:u w:val="single"/>
                <w:lang w:val="en-US" w:eastAsia="zh-CN"/>
              </w:rPr>
              <w:t>400</w:t>
            </w:r>
          </w:p>
        </w:tc>
        <w:tc>
          <w:tcPr>
            <w:tcW w:w="500" w:type="pct"/>
            <w:tcBorders>
              <w:tl2br w:val="nil"/>
              <w:tr2bl w:val="nil"/>
            </w:tcBorders>
            <w:shd w:val="clear" w:color="auto" w:fill="auto"/>
            <w:noWrap/>
            <w:vAlign w:val="center"/>
          </w:tcPr>
          <w:p w14:paraId="6632551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A08E0B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003FA0E">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C0CB3B7">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90DDB1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3A01D9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1CAF8B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79DACF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274D45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3C2AD74D">
            <w:pPr>
              <w:pStyle w:val="182"/>
              <w:bidi w:val="0"/>
              <w:rPr>
                <w:rFonts w:hint="eastAsia"/>
                <w:b/>
                <w:bCs/>
                <w:color w:val="auto"/>
                <w:u w:val="single"/>
              </w:rPr>
            </w:pPr>
          </w:p>
        </w:tc>
        <w:tc>
          <w:tcPr>
            <w:tcW w:w="500" w:type="pct"/>
            <w:tcBorders>
              <w:tl2br w:val="nil"/>
              <w:tr2bl w:val="nil"/>
            </w:tcBorders>
            <w:shd w:val="clear" w:color="auto" w:fill="auto"/>
            <w:vAlign w:val="center"/>
          </w:tcPr>
          <w:p w14:paraId="4011E573">
            <w:pPr>
              <w:pStyle w:val="182"/>
              <w:bidi w:val="0"/>
              <w:rPr>
                <w:rFonts w:hint="default"/>
                <w:b/>
                <w:bCs/>
                <w:color w:val="auto"/>
                <w:u w:val="single"/>
              </w:rPr>
            </w:pPr>
            <w:r>
              <w:rPr>
                <w:rFonts w:hint="default"/>
                <w:b/>
                <w:bCs/>
                <w:color w:val="auto"/>
                <w:u w:val="single"/>
                <w:lang w:val="en-US" w:eastAsia="zh-CN"/>
              </w:rPr>
              <w:t>450</w:t>
            </w:r>
          </w:p>
        </w:tc>
        <w:tc>
          <w:tcPr>
            <w:tcW w:w="500" w:type="pct"/>
            <w:tcBorders>
              <w:tl2br w:val="nil"/>
              <w:tr2bl w:val="nil"/>
            </w:tcBorders>
            <w:shd w:val="clear" w:color="auto" w:fill="auto"/>
            <w:noWrap/>
            <w:vAlign w:val="center"/>
          </w:tcPr>
          <w:p w14:paraId="64A60F8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D0342D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8A3B0B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A406EB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66AB5D9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D7D5899">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21648A73">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DC03BA5">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r w14:paraId="1EB273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00" w:type="pct"/>
            <w:vMerge w:val="continue"/>
            <w:tcBorders>
              <w:tl2br w:val="nil"/>
              <w:tr2bl w:val="nil"/>
            </w:tcBorders>
            <w:shd w:val="clear" w:color="auto" w:fill="auto"/>
            <w:vAlign w:val="center"/>
          </w:tcPr>
          <w:p w14:paraId="0BAE5908">
            <w:pPr>
              <w:pStyle w:val="182"/>
              <w:bidi w:val="0"/>
              <w:rPr>
                <w:rFonts w:hint="eastAsia"/>
                <w:b/>
                <w:bCs/>
                <w:color w:val="auto"/>
                <w:u w:val="single"/>
              </w:rPr>
            </w:pPr>
          </w:p>
        </w:tc>
        <w:tc>
          <w:tcPr>
            <w:tcW w:w="500" w:type="pct"/>
            <w:tcBorders>
              <w:tl2br w:val="nil"/>
              <w:tr2bl w:val="nil"/>
            </w:tcBorders>
            <w:shd w:val="clear" w:color="auto" w:fill="auto"/>
            <w:vAlign w:val="center"/>
          </w:tcPr>
          <w:p w14:paraId="251E353A">
            <w:pPr>
              <w:pStyle w:val="182"/>
              <w:bidi w:val="0"/>
              <w:rPr>
                <w:rFonts w:hint="default"/>
                <w:b/>
                <w:bCs/>
                <w:color w:val="auto"/>
                <w:u w:val="single"/>
              </w:rPr>
            </w:pPr>
            <w:r>
              <w:rPr>
                <w:rFonts w:hint="default"/>
                <w:b/>
                <w:bCs/>
                <w:color w:val="auto"/>
                <w:u w:val="single"/>
                <w:lang w:val="en-US" w:eastAsia="zh-CN"/>
              </w:rPr>
              <w:t>500</w:t>
            </w:r>
          </w:p>
        </w:tc>
        <w:tc>
          <w:tcPr>
            <w:tcW w:w="500" w:type="pct"/>
            <w:tcBorders>
              <w:tl2br w:val="nil"/>
              <w:tr2bl w:val="nil"/>
            </w:tcBorders>
            <w:shd w:val="clear" w:color="auto" w:fill="auto"/>
            <w:noWrap/>
            <w:vAlign w:val="center"/>
          </w:tcPr>
          <w:p w14:paraId="2D9D4B9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8E73858">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5E385C6D">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70E274DC">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49F4F7F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02BD1EC4">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1D403E26">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c>
          <w:tcPr>
            <w:tcW w:w="500" w:type="pct"/>
            <w:tcBorders>
              <w:tl2br w:val="nil"/>
              <w:tr2bl w:val="nil"/>
            </w:tcBorders>
            <w:shd w:val="clear" w:color="auto" w:fill="auto"/>
            <w:noWrap/>
            <w:vAlign w:val="center"/>
          </w:tcPr>
          <w:p w14:paraId="3BFD9B51">
            <w:pPr>
              <w:pStyle w:val="182"/>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 xml:space="preserve">0.00 </w:t>
            </w:r>
          </w:p>
        </w:tc>
      </w:tr>
    </w:tbl>
    <w:p w14:paraId="18B8EF3E">
      <w:pPr>
        <w:bidi w:val="0"/>
        <w:ind w:left="0" w:leftChars="0" w:firstLine="0" w:firstLineChars="0"/>
        <w:rPr>
          <w:rFonts w:hint="eastAsia"/>
          <w:color w:val="auto"/>
        </w:rPr>
      </w:pPr>
    </w:p>
    <w:p w14:paraId="64D85448">
      <w:pPr>
        <w:bidi w:val="0"/>
        <w:ind w:left="0" w:leftChars="0" w:firstLine="0" w:firstLineChars="0"/>
        <w:rPr>
          <w:rFonts w:hint="eastAsia"/>
          <w:color w:val="auto"/>
        </w:rPr>
      </w:pPr>
    </w:p>
    <w:p w14:paraId="16A1FCFE">
      <w:pPr>
        <w:bidi w:val="0"/>
        <w:ind w:left="0" w:leftChars="0" w:firstLine="0" w:firstLineChars="0"/>
        <w:rPr>
          <w:rFonts w:hint="eastAsia"/>
          <w:color w:val="auto"/>
        </w:rPr>
        <w:sectPr>
          <w:pgSz w:w="16840" w:h="11907" w:orient="landscape"/>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14:paraId="3AC534FF">
      <w:pPr>
        <w:bidi w:val="0"/>
        <w:ind w:left="0" w:leftChars="0" w:firstLine="0" w:firstLineChars="0"/>
        <w:jc w:val="center"/>
        <w:rPr>
          <w:rFonts w:hint="eastAsia" w:eastAsia="宋体"/>
          <w:lang w:eastAsia="zh-CN"/>
        </w:rPr>
      </w:pPr>
      <w:r>
        <w:rPr>
          <w:rFonts w:hint="eastAsia"/>
        </w:rPr>
        <w:drawing>
          <wp:inline distT="0" distB="0" distL="114300" distR="114300">
            <wp:extent cx="5386705" cy="2756535"/>
            <wp:effectExtent l="5080" t="4445" r="18415" b="20320"/>
            <wp:docPr id="65" name="图表 65" descr="7b0a202020202263686172745265734964223a20223230343734353236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835B7F1">
      <w:pPr>
        <w:pStyle w:val="181"/>
        <w:bidi w:val="0"/>
        <w:ind w:left="0" w:leftChars="0" w:firstLine="0" w:firstLineChars="0"/>
        <w:jc w:val="center"/>
        <w:rPr>
          <w:color w:val="auto"/>
          <w:u w:val="none"/>
        </w:rPr>
      </w:pPr>
      <w:r>
        <w:rPr>
          <w:color w:val="auto"/>
          <w:u w:val="none"/>
        </w:rPr>
        <w:t>图</w:t>
      </w:r>
      <w:r>
        <w:rPr>
          <w:rFonts w:hint="eastAsia"/>
          <w:color w:val="auto"/>
          <w:u w:val="none"/>
          <w:lang w:val="en-US" w:eastAsia="zh-CN"/>
        </w:rPr>
        <w:t>6.3</w:t>
      </w:r>
      <w:r>
        <w:rPr>
          <w:color w:val="auto"/>
          <w:u w:val="none"/>
        </w:rPr>
        <w:t>-</w:t>
      </w:r>
      <w:r>
        <w:rPr>
          <w:rFonts w:hint="eastAsia"/>
          <w:color w:val="auto"/>
          <w:u w:val="none"/>
          <w:lang w:val="en-US" w:eastAsia="zh-CN"/>
        </w:rPr>
        <w:t>4</w:t>
      </w:r>
      <w:r>
        <w:rPr>
          <w:color w:val="auto"/>
          <w:u w:val="none"/>
        </w:rPr>
        <w:t xml:space="preserve"> </w:t>
      </w:r>
      <w:r>
        <w:rPr>
          <w:rFonts w:hint="eastAsia"/>
          <w:color w:val="auto"/>
          <w:u w:val="none"/>
        </w:rPr>
        <w:t xml:space="preserve"> </w:t>
      </w:r>
      <w:r>
        <w:rPr>
          <w:rFonts w:hint="eastAsia"/>
          <w:color w:val="auto"/>
          <w:u w:val="none"/>
          <w:lang w:val="en-US" w:eastAsia="zh-CN"/>
        </w:rPr>
        <w:t>耗氧量</w:t>
      </w:r>
      <w:r>
        <w:rPr>
          <w:color w:val="auto"/>
          <w:u w:val="none"/>
        </w:rPr>
        <w:t>影响范围示意图</w:t>
      </w:r>
    </w:p>
    <w:p w14:paraId="763DE880">
      <w:pPr>
        <w:bidi w:val="0"/>
        <w:ind w:left="0" w:leftChars="0" w:firstLine="0" w:firstLineChars="0"/>
        <w:jc w:val="center"/>
        <w:rPr>
          <w:rFonts w:hint="eastAsia" w:eastAsia="宋体"/>
          <w:color w:val="auto"/>
          <w:lang w:eastAsia="zh-CN"/>
        </w:rPr>
      </w:pPr>
      <w:r>
        <w:rPr>
          <w:rFonts w:hint="eastAsia"/>
        </w:rPr>
        <w:drawing>
          <wp:inline distT="0" distB="0" distL="114300" distR="114300">
            <wp:extent cx="5386705" cy="2756535"/>
            <wp:effectExtent l="5080" t="4445" r="18415" b="20320"/>
            <wp:docPr id="66" name="图表 66" descr="7b0a202020202263686172745265734964223a20223230343734353236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387BE62">
      <w:pPr>
        <w:pStyle w:val="181"/>
        <w:bidi w:val="0"/>
        <w:ind w:left="0" w:leftChars="0" w:firstLine="0" w:firstLineChars="0"/>
        <w:jc w:val="center"/>
        <w:rPr>
          <w:rFonts w:hint="eastAsia"/>
          <w:color w:val="auto"/>
          <w:lang w:eastAsia="zh-CN"/>
        </w:rPr>
      </w:pPr>
      <w:r>
        <w:rPr>
          <w:rFonts w:hint="eastAsia"/>
          <w:color w:val="auto"/>
          <w:lang w:val="en-US" w:eastAsia="zh-CN"/>
        </w:rPr>
        <w:t>图6.3</w:t>
      </w:r>
      <w:r>
        <w:rPr>
          <w:color w:val="auto"/>
        </w:rPr>
        <w:t>-</w:t>
      </w:r>
      <w:r>
        <w:rPr>
          <w:rFonts w:hint="eastAsia"/>
          <w:color w:val="auto"/>
          <w:lang w:val="en-US" w:eastAsia="zh-CN"/>
        </w:rPr>
        <w:t>5</w:t>
      </w:r>
      <w:r>
        <w:rPr>
          <w:rFonts w:hint="eastAsia"/>
          <w:color w:val="auto"/>
        </w:rPr>
        <w:t xml:space="preserve">  氨氮</w:t>
      </w:r>
      <w:r>
        <w:rPr>
          <w:color w:val="auto"/>
        </w:rPr>
        <w:t>影响范围示意图</w:t>
      </w:r>
    </w:p>
    <w:p w14:paraId="7E67F9FA">
      <w:pPr>
        <w:ind w:left="0" w:leftChars="0" w:firstLine="0" w:firstLineChars="0"/>
        <w:rPr>
          <w:rFonts w:hint="eastAsia"/>
          <w:color w:val="auto"/>
          <w:lang w:eastAsia="zh-CN"/>
        </w:rPr>
      </w:pPr>
    </w:p>
    <w:p w14:paraId="7BD921E3">
      <w:pPr>
        <w:pStyle w:val="10"/>
        <w:bidi w:val="0"/>
        <w:rPr>
          <w:rFonts w:ascii="Times New Roman" w:hAnsi="Times New Roman" w:eastAsia="宋体"/>
          <w:b/>
          <w:bCs w:val="0"/>
          <w:u w:val="single"/>
        </w:rPr>
      </w:pPr>
      <w:r>
        <w:rPr>
          <w:rFonts w:ascii="Times New Roman" w:hAnsi="Times New Roman" w:eastAsia="宋体"/>
          <w:b/>
          <w:bCs w:val="0"/>
          <w:u w:val="single"/>
        </w:rPr>
        <w:t xml:space="preserve">表 </w:t>
      </w:r>
      <w:r>
        <w:rPr>
          <w:rFonts w:ascii="Times New Roman" w:hAnsi="Times New Roman" w:eastAsia="宋体"/>
          <w:b/>
          <w:bCs w:val="0"/>
          <w:u w:val="single"/>
        </w:rPr>
        <w:fldChar w:fldCharType="begin"/>
      </w:r>
      <w:r>
        <w:rPr>
          <w:rFonts w:ascii="Times New Roman" w:hAnsi="Times New Roman" w:eastAsia="宋体"/>
          <w:b/>
          <w:bCs w:val="0"/>
          <w:u w:val="single"/>
        </w:rPr>
        <w:instrText xml:space="preserve"> STYLEREF 2 \s </w:instrText>
      </w:r>
      <w:r>
        <w:rPr>
          <w:rFonts w:ascii="Times New Roman" w:hAnsi="Times New Roman" w:eastAsia="宋体"/>
          <w:b/>
          <w:bCs w:val="0"/>
          <w:u w:val="single"/>
        </w:rPr>
        <w:fldChar w:fldCharType="separate"/>
      </w:r>
      <w:r>
        <w:rPr>
          <w:rFonts w:ascii="Times New Roman" w:hAnsi="Times New Roman" w:eastAsia="宋体"/>
          <w:b/>
          <w:bCs w:val="0"/>
          <w:u w:val="single"/>
        </w:rPr>
        <w:t>6.3</w:t>
      </w:r>
      <w:r>
        <w:rPr>
          <w:rFonts w:ascii="Times New Roman" w:hAnsi="Times New Roman" w:eastAsia="宋体"/>
          <w:b/>
          <w:bCs w:val="0"/>
          <w:u w:val="single"/>
        </w:rPr>
        <w:fldChar w:fldCharType="end"/>
      </w:r>
      <w:r>
        <w:rPr>
          <w:rFonts w:hint="eastAsia" w:ascii="Times New Roman" w:hAnsi="Times New Roman" w:eastAsia="宋体"/>
          <w:b/>
          <w:bCs w:val="0"/>
          <w:u w:val="single"/>
          <w:lang w:eastAsia="zh-CN"/>
        </w:rPr>
        <w:t>-</w:t>
      </w:r>
      <w:r>
        <w:rPr>
          <w:rFonts w:ascii="Times New Roman" w:hAnsi="Times New Roman" w:eastAsia="宋体"/>
          <w:b/>
          <w:bCs w:val="0"/>
          <w:u w:val="single"/>
        </w:rPr>
        <w:fldChar w:fldCharType="begin"/>
      </w:r>
      <w:r>
        <w:rPr>
          <w:rFonts w:ascii="Times New Roman" w:hAnsi="Times New Roman" w:eastAsia="宋体"/>
          <w:b/>
          <w:bCs w:val="0"/>
          <w:u w:val="single"/>
        </w:rPr>
        <w:instrText xml:space="preserve"> SEQ 表 \* ARABIC \s 2 </w:instrText>
      </w:r>
      <w:r>
        <w:rPr>
          <w:rFonts w:ascii="Times New Roman" w:hAnsi="Times New Roman" w:eastAsia="宋体"/>
          <w:b/>
          <w:bCs w:val="0"/>
          <w:u w:val="single"/>
        </w:rPr>
        <w:fldChar w:fldCharType="separate"/>
      </w:r>
      <w:r>
        <w:rPr>
          <w:rFonts w:ascii="Times New Roman" w:hAnsi="Times New Roman" w:eastAsia="宋体"/>
          <w:b/>
          <w:bCs w:val="0"/>
          <w:u w:val="single"/>
        </w:rPr>
        <w:t>6</w:t>
      </w:r>
      <w:r>
        <w:rPr>
          <w:rFonts w:ascii="Times New Roman" w:hAnsi="Times New Roman" w:eastAsia="宋体"/>
          <w:b/>
          <w:bCs w:val="0"/>
          <w:u w:val="single"/>
        </w:rPr>
        <w:fldChar w:fldCharType="end"/>
      </w:r>
      <w:r>
        <w:rPr>
          <w:rFonts w:hint="eastAsia" w:ascii="Times New Roman" w:hAnsi="Times New Roman" w:eastAsia="宋体"/>
          <w:b/>
          <w:bCs w:val="0"/>
          <w:u w:val="single"/>
        </w:rPr>
        <w:t xml:space="preserve"> 非正常</w:t>
      </w:r>
      <w:r>
        <w:rPr>
          <w:rFonts w:ascii="Times New Roman" w:hAnsi="Times New Roman" w:eastAsia="宋体"/>
          <w:b/>
          <w:bCs w:val="0"/>
          <w:u w:val="single"/>
        </w:rPr>
        <w:t>工况下污染物对地下水的影响范围</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57"/>
        <w:gridCol w:w="1160"/>
        <w:gridCol w:w="1356"/>
        <w:gridCol w:w="1298"/>
        <w:gridCol w:w="1085"/>
        <w:gridCol w:w="1287"/>
        <w:gridCol w:w="980"/>
      </w:tblGrid>
      <w:tr w14:paraId="2A0AB8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Merge w:val="restart"/>
            <w:vAlign w:val="center"/>
          </w:tcPr>
          <w:p w14:paraId="69088D12">
            <w:pPr>
              <w:pStyle w:val="182"/>
              <w:bidi w:val="0"/>
              <w:rPr>
                <w:b/>
                <w:bCs w:val="0"/>
                <w:color w:val="000000" w:themeColor="text1"/>
                <w:u w:val="single"/>
              </w:rPr>
            </w:pPr>
            <w:r>
              <w:rPr>
                <w:rFonts w:hint="eastAsia"/>
                <w:b/>
                <w:bCs w:val="0"/>
                <w:color w:val="000000" w:themeColor="text1"/>
                <w:u w:val="single"/>
              </w:rPr>
              <w:t>时间</w:t>
            </w:r>
          </w:p>
        </w:tc>
        <w:tc>
          <w:tcPr>
            <w:tcW w:w="2236" w:type="pct"/>
            <w:gridSpan w:val="3"/>
            <w:vAlign w:val="center"/>
          </w:tcPr>
          <w:p w14:paraId="2F7635D4">
            <w:pPr>
              <w:pStyle w:val="182"/>
              <w:bidi w:val="0"/>
              <w:rPr>
                <w:b/>
                <w:bCs w:val="0"/>
                <w:color w:val="000000" w:themeColor="text1"/>
                <w:u w:val="single"/>
              </w:rPr>
            </w:pPr>
            <w:r>
              <w:rPr>
                <w:rFonts w:hint="eastAsia"/>
                <w:b/>
                <w:bCs w:val="0"/>
                <w:color w:val="000000" w:themeColor="text1"/>
                <w:u w:val="single"/>
              </w:rPr>
              <w:t>耗氧量</w:t>
            </w:r>
          </w:p>
        </w:tc>
        <w:tc>
          <w:tcPr>
            <w:tcW w:w="1966" w:type="pct"/>
            <w:gridSpan w:val="3"/>
            <w:vAlign w:val="center"/>
          </w:tcPr>
          <w:p w14:paraId="603D2FBE">
            <w:pPr>
              <w:pStyle w:val="182"/>
              <w:bidi w:val="0"/>
              <w:rPr>
                <w:b/>
                <w:bCs w:val="0"/>
                <w:color w:val="000000" w:themeColor="text1"/>
                <w:u w:val="single"/>
              </w:rPr>
            </w:pPr>
            <w:r>
              <w:rPr>
                <w:rFonts w:hint="eastAsia"/>
                <w:b/>
                <w:bCs w:val="0"/>
                <w:color w:val="000000" w:themeColor="text1"/>
                <w:u w:val="single"/>
              </w:rPr>
              <w:t>氨氮</w:t>
            </w:r>
          </w:p>
        </w:tc>
      </w:tr>
      <w:tr w14:paraId="60D8C8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Merge w:val="continue"/>
            <w:vAlign w:val="center"/>
          </w:tcPr>
          <w:p w14:paraId="1D996DCB">
            <w:pPr>
              <w:pStyle w:val="182"/>
              <w:bidi w:val="0"/>
              <w:rPr>
                <w:b/>
                <w:bCs w:val="0"/>
                <w:color w:val="000000" w:themeColor="text1"/>
                <w:u w:val="single"/>
              </w:rPr>
            </w:pPr>
          </w:p>
        </w:tc>
        <w:tc>
          <w:tcPr>
            <w:tcW w:w="680" w:type="pct"/>
            <w:vAlign w:val="center"/>
          </w:tcPr>
          <w:p w14:paraId="38AA6A1C">
            <w:pPr>
              <w:pStyle w:val="182"/>
              <w:bidi w:val="0"/>
              <w:rPr>
                <w:b/>
                <w:bCs w:val="0"/>
                <w:color w:val="000000" w:themeColor="text1"/>
                <w:u w:val="single"/>
              </w:rPr>
            </w:pPr>
            <w:r>
              <w:rPr>
                <w:rFonts w:hint="eastAsia"/>
                <w:b/>
                <w:bCs w:val="0"/>
                <w:color w:val="000000" w:themeColor="text1"/>
                <w:u w:val="single"/>
              </w:rPr>
              <w:t>最远超标距离/m</w:t>
            </w:r>
          </w:p>
        </w:tc>
        <w:tc>
          <w:tcPr>
            <w:tcW w:w="795" w:type="pct"/>
            <w:vAlign w:val="center"/>
          </w:tcPr>
          <w:p w14:paraId="7987949E">
            <w:pPr>
              <w:pStyle w:val="182"/>
              <w:bidi w:val="0"/>
              <w:rPr>
                <w:b/>
                <w:bCs w:val="0"/>
                <w:color w:val="000000" w:themeColor="text1"/>
                <w:u w:val="single"/>
              </w:rPr>
            </w:pPr>
            <w:r>
              <w:rPr>
                <w:rFonts w:hint="eastAsia"/>
                <w:b/>
                <w:bCs w:val="0"/>
                <w:color w:val="000000" w:themeColor="text1"/>
                <w:u w:val="single"/>
              </w:rPr>
              <w:t>贡献浓度</w:t>
            </w:r>
          </w:p>
          <w:p w14:paraId="57BBA50F">
            <w:pPr>
              <w:pStyle w:val="182"/>
              <w:bidi w:val="0"/>
              <w:rPr>
                <w:b/>
                <w:bCs w:val="0"/>
                <w:color w:val="000000" w:themeColor="text1"/>
                <w:u w:val="single"/>
              </w:rPr>
            </w:pPr>
            <w:r>
              <w:rPr>
                <w:b/>
                <w:bCs w:val="0"/>
                <w:color w:val="000000" w:themeColor="text1"/>
                <w:u w:val="single"/>
              </w:rPr>
              <w:t>mg/L</w:t>
            </w:r>
          </w:p>
        </w:tc>
        <w:tc>
          <w:tcPr>
            <w:tcW w:w="760" w:type="pct"/>
            <w:vAlign w:val="center"/>
          </w:tcPr>
          <w:p w14:paraId="133AEF26">
            <w:pPr>
              <w:pStyle w:val="182"/>
              <w:bidi w:val="0"/>
              <w:rPr>
                <w:b/>
                <w:bCs w:val="0"/>
                <w:color w:val="000000" w:themeColor="text1"/>
                <w:u w:val="single"/>
              </w:rPr>
            </w:pPr>
            <w:r>
              <w:rPr>
                <w:rFonts w:hint="eastAsia"/>
                <w:b/>
                <w:bCs w:val="0"/>
                <w:color w:val="000000" w:themeColor="text1"/>
                <w:u w:val="single"/>
              </w:rPr>
              <w:t>标准</w:t>
            </w:r>
          </w:p>
          <w:p w14:paraId="461E22B3">
            <w:pPr>
              <w:pStyle w:val="182"/>
              <w:bidi w:val="0"/>
              <w:rPr>
                <w:b/>
                <w:bCs w:val="0"/>
                <w:color w:val="000000" w:themeColor="text1"/>
                <w:u w:val="single"/>
              </w:rPr>
            </w:pPr>
            <w:r>
              <w:rPr>
                <w:b/>
                <w:bCs w:val="0"/>
                <w:color w:val="000000" w:themeColor="text1"/>
                <w:u w:val="single"/>
              </w:rPr>
              <w:t>mg/L</w:t>
            </w:r>
          </w:p>
        </w:tc>
        <w:tc>
          <w:tcPr>
            <w:tcW w:w="636" w:type="pct"/>
            <w:vAlign w:val="center"/>
          </w:tcPr>
          <w:p w14:paraId="450705AC">
            <w:pPr>
              <w:pStyle w:val="182"/>
              <w:bidi w:val="0"/>
              <w:rPr>
                <w:b/>
                <w:bCs w:val="0"/>
                <w:color w:val="000000" w:themeColor="text1"/>
                <w:u w:val="single"/>
              </w:rPr>
            </w:pPr>
            <w:r>
              <w:rPr>
                <w:rFonts w:hint="eastAsia"/>
                <w:b/>
                <w:bCs w:val="0"/>
                <w:color w:val="000000" w:themeColor="text1"/>
                <w:u w:val="single"/>
              </w:rPr>
              <w:t>最远超标距离/m</w:t>
            </w:r>
          </w:p>
        </w:tc>
        <w:tc>
          <w:tcPr>
            <w:tcW w:w="755" w:type="pct"/>
            <w:vAlign w:val="center"/>
          </w:tcPr>
          <w:p w14:paraId="569CD3ED">
            <w:pPr>
              <w:pStyle w:val="182"/>
              <w:bidi w:val="0"/>
              <w:rPr>
                <w:b/>
                <w:bCs w:val="0"/>
                <w:color w:val="000000" w:themeColor="text1"/>
                <w:u w:val="single"/>
              </w:rPr>
            </w:pPr>
            <w:r>
              <w:rPr>
                <w:rFonts w:hint="eastAsia"/>
                <w:b/>
                <w:bCs w:val="0"/>
                <w:color w:val="000000" w:themeColor="text1"/>
                <w:u w:val="single"/>
              </w:rPr>
              <w:t>贡献浓度</w:t>
            </w:r>
          </w:p>
          <w:p w14:paraId="367D37E8">
            <w:pPr>
              <w:pStyle w:val="182"/>
              <w:bidi w:val="0"/>
              <w:rPr>
                <w:b/>
                <w:bCs w:val="0"/>
                <w:color w:val="000000" w:themeColor="text1"/>
                <w:u w:val="single"/>
              </w:rPr>
            </w:pPr>
            <w:r>
              <w:rPr>
                <w:b/>
                <w:bCs w:val="0"/>
                <w:color w:val="000000" w:themeColor="text1"/>
                <w:u w:val="single"/>
              </w:rPr>
              <w:t>mg/L</w:t>
            </w:r>
          </w:p>
        </w:tc>
        <w:tc>
          <w:tcPr>
            <w:tcW w:w="574" w:type="pct"/>
            <w:vAlign w:val="center"/>
          </w:tcPr>
          <w:p w14:paraId="72CF2B9D">
            <w:pPr>
              <w:pStyle w:val="182"/>
              <w:bidi w:val="0"/>
              <w:rPr>
                <w:b/>
                <w:bCs w:val="0"/>
                <w:color w:val="000000" w:themeColor="text1"/>
                <w:u w:val="single"/>
              </w:rPr>
            </w:pPr>
            <w:r>
              <w:rPr>
                <w:rFonts w:hint="eastAsia"/>
                <w:b/>
                <w:bCs w:val="0"/>
                <w:color w:val="000000" w:themeColor="text1"/>
                <w:u w:val="single"/>
              </w:rPr>
              <w:t>标准</w:t>
            </w:r>
          </w:p>
          <w:p w14:paraId="54E5A5AE">
            <w:pPr>
              <w:pStyle w:val="182"/>
              <w:bidi w:val="0"/>
              <w:rPr>
                <w:b/>
                <w:bCs w:val="0"/>
                <w:color w:val="000000" w:themeColor="text1"/>
                <w:u w:val="single"/>
              </w:rPr>
            </w:pPr>
            <w:r>
              <w:rPr>
                <w:b/>
                <w:bCs w:val="0"/>
                <w:color w:val="000000" w:themeColor="text1"/>
                <w:u w:val="single"/>
              </w:rPr>
              <w:t>mg/L</w:t>
            </w:r>
          </w:p>
        </w:tc>
      </w:tr>
      <w:tr w14:paraId="4CC051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Align w:val="center"/>
          </w:tcPr>
          <w:p w14:paraId="68BB1456">
            <w:pPr>
              <w:pStyle w:val="182"/>
              <w:bidi w:val="0"/>
              <w:rPr>
                <w:b/>
                <w:bCs w:val="0"/>
                <w:color w:val="000000" w:themeColor="text1"/>
                <w:u w:val="single"/>
              </w:rPr>
            </w:pPr>
            <w:r>
              <w:rPr>
                <w:rFonts w:hint="eastAsia"/>
                <w:b/>
                <w:bCs w:val="0"/>
                <w:color w:val="000000" w:themeColor="text1"/>
                <w:u w:val="single"/>
              </w:rPr>
              <w:t>泄漏发生后</w:t>
            </w:r>
            <w:r>
              <w:rPr>
                <w:b/>
                <w:bCs w:val="0"/>
                <w:color w:val="000000" w:themeColor="text1"/>
                <w:u w:val="single"/>
              </w:rPr>
              <w:t>50d</w:t>
            </w:r>
          </w:p>
        </w:tc>
        <w:tc>
          <w:tcPr>
            <w:tcW w:w="1225" w:type="dxa"/>
            <w:vAlign w:val="center"/>
          </w:tcPr>
          <w:p w14:paraId="0FA2E283">
            <w:pPr>
              <w:pStyle w:val="182"/>
              <w:bidi w:val="0"/>
              <w:ind w:firstLine="0" w:firstLineChars="0"/>
              <w:rPr>
                <w:rFonts w:hint="default"/>
                <w:b/>
                <w:bCs w:val="0"/>
                <w:color w:val="000000" w:themeColor="text1"/>
                <w:u w:val="single"/>
                <w:lang w:val="en-US" w:eastAsia="zh-CN"/>
              </w:rPr>
            </w:pPr>
            <w:r>
              <w:rPr>
                <w:rFonts w:hint="eastAsia"/>
                <w:b/>
                <w:bCs w:val="0"/>
                <w:color w:val="000000" w:themeColor="text1"/>
                <w:u w:val="single"/>
                <w:lang w:val="en-US" w:eastAsia="zh-CN"/>
              </w:rPr>
              <w:t>10</w:t>
            </w:r>
          </w:p>
        </w:tc>
        <w:tc>
          <w:tcPr>
            <w:tcW w:w="1432" w:type="dxa"/>
            <w:vAlign w:val="center"/>
          </w:tcPr>
          <w:p w14:paraId="0D560954">
            <w:pPr>
              <w:pStyle w:val="182"/>
              <w:bidi w:val="0"/>
              <w:ind w:firstLine="0" w:firstLineChars="0"/>
              <w:rPr>
                <w:rFonts w:hint="default"/>
                <w:b/>
                <w:bCs w:val="0"/>
                <w:color w:val="000000" w:themeColor="text1"/>
                <w:u w:val="single"/>
                <w:lang w:val="en-US" w:eastAsia="zh-CN"/>
              </w:rPr>
            </w:pPr>
            <w:r>
              <w:rPr>
                <w:rFonts w:hint="eastAsia"/>
                <w:b/>
                <w:bCs w:val="0"/>
                <w:color w:val="000000" w:themeColor="text1"/>
                <w:u w:val="single"/>
                <w:lang w:val="en-US" w:eastAsia="zh-CN"/>
              </w:rPr>
              <w:t>22.91</w:t>
            </w:r>
          </w:p>
        </w:tc>
        <w:tc>
          <w:tcPr>
            <w:tcW w:w="1371" w:type="dxa"/>
            <w:vAlign w:val="center"/>
          </w:tcPr>
          <w:p w14:paraId="25665F18">
            <w:pPr>
              <w:pStyle w:val="182"/>
              <w:bidi w:val="0"/>
              <w:ind w:firstLine="0" w:firstLineChars="0"/>
              <w:rPr>
                <w:b/>
                <w:bCs w:val="0"/>
                <w:color w:val="000000" w:themeColor="text1"/>
                <w:u w:val="single"/>
              </w:rPr>
            </w:pPr>
            <w:r>
              <w:rPr>
                <w:b/>
                <w:bCs w:val="0"/>
                <w:color w:val="000000" w:themeColor="text1"/>
                <w:u w:val="single"/>
              </w:rPr>
              <w:t>3.0</w:t>
            </w:r>
          </w:p>
        </w:tc>
        <w:tc>
          <w:tcPr>
            <w:tcW w:w="1146" w:type="dxa"/>
            <w:vAlign w:val="center"/>
          </w:tcPr>
          <w:p w14:paraId="7E383D77">
            <w:pPr>
              <w:pStyle w:val="182"/>
              <w:bidi w:val="0"/>
              <w:ind w:firstLine="0" w:firstLineChars="0"/>
              <w:rPr>
                <w:rFonts w:hint="default"/>
                <w:b/>
                <w:bCs w:val="0"/>
                <w:color w:val="000000" w:themeColor="text1"/>
                <w:u w:val="single"/>
                <w:lang w:val="en-US" w:eastAsia="zh-CN"/>
              </w:rPr>
            </w:pPr>
            <w:r>
              <w:rPr>
                <w:rFonts w:hint="eastAsia"/>
                <w:b/>
                <w:bCs w:val="0"/>
                <w:color w:val="000000" w:themeColor="text1"/>
                <w:u w:val="single"/>
                <w:lang w:val="en-US" w:eastAsia="zh-CN"/>
              </w:rPr>
              <w:t>10</w:t>
            </w:r>
          </w:p>
        </w:tc>
        <w:tc>
          <w:tcPr>
            <w:tcW w:w="1360" w:type="dxa"/>
            <w:vAlign w:val="center"/>
          </w:tcPr>
          <w:p w14:paraId="5B909EA6">
            <w:pPr>
              <w:pStyle w:val="182"/>
              <w:bidi w:val="0"/>
              <w:ind w:firstLine="0" w:firstLineChars="0"/>
              <w:rPr>
                <w:rFonts w:hint="default"/>
                <w:b/>
                <w:bCs w:val="0"/>
                <w:color w:val="000000" w:themeColor="text1"/>
                <w:u w:val="single"/>
                <w:lang w:val="en-US" w:eastAsia="zh-CN"/>
              </w:rPr>
            </w:pPr>
            <w:r>
              <w:rPr>
                <w:rFonts w:hint="eastAsia"/>
                <w:b/>
                <w:bCs w:val="0"/>
                <w:color w:val="000000" w:themeColor="text1"/>
                <w:u w:val="single"/>
                <w:lang w:val="en-US" w:eastAsia="zh-CN"/>
              </w:rPr>
              <w:t>0.71</w:t>
            </w:r>
          </w:p>
        </w:tc>
        <w:tc>
          <w:tcPr>
            <w:tcW w:w="1036" w:type="dxa"/>
            <w:vAlign w:val="center"/>
          </w:tcPr>
          <w:p w14:paraId="03A4B51F">
            <w:pPr>
              <w:pStyle w:val="182"/>
              <w:bidi w:val="0"/>
              <w:ind w:firstLine="0" w:firstLineChars="0"/>
              <w:rPr>
                <w:b/>
                <w:bCs w:val="0"/>
                <w:color w:val="000000" w:themeColor="text1"/>
                <w:u w:val="single"/>
              </w:rPr>
            </w:pPr>
            <w:r>
              <w:rPr>
                <w:b/>
                <w:bCs w:val="0"/>
                <w:color w:val="000000" w:themeColor="text1"/>
                <w:u w:val="single"/>
              </w:rPr>
              <w:t>0.5</w:t>
            </w:r>
          </w:p>
        </w:tc>
      </w:tr>
      <w:tr w14:paraId="63DA52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Align w:val="center"/>
          </w:tcPr>
          <w:p w14:paraId="7D31634C">
            <w:pPr>
              <w:pStyle w:val="182"/>
              <w:bidi w:val="0"/>
              <w:rPr>
                <w:b/>
                <w:bCs w:val="0"/>
                <w:color w:val="000000" w:themeColor="text1"/>
                <w:u w:val="single"/>
              </w:rPr>
            </w:pPr>
            <w:r>
              <w:rPr>
                <w:rFonts w:hint="eastAsia"/>
                <w:b/>
                <w:bCs w:val="0"/>
                <w:color w:val="000000" w:themeColor="text1"/>
                <w:u w:val="single"/>
              </w:rPr>
              <w:t>泄漏发生后</w:t>
            </w:r>
            <w:r>
              <w:rPr>
                <w:b/>
                <w:bCs w:val="0"/>
                <w:color w:val="000000" w:themeColor="text1"/>
                <w:u w:val="single"/>
              </w:rPr>
              <w:t>100d</w:t>
            </w:r>
          </w:p>
        </w:tc>
        <w:tc>
          <w:tcPr>
            <w:tcW w:w="1225" w:type="dxa"/>
            <w:vAlign w:val="center"/>
          </w:tcPr>
          <w:p w14:paraId="23DECBB4">
            <w:pPr>
              <w:pStyle w:val="182"/>
              <w:bidi w:val="0"/>
              <w:ind w:firstLine="0" w:firstLineChars="0"/>
              <w:rPr>
                <w:rFonts w:hint="default"/>
                <w:b/>
                <w:bCs w:val="0"/>
                <w:color w:val="000000" w:themeColor="text1"/>
                <w:u w:val="single"/>
                <w:lang w:val="en-US" w:eastAsia="zh-CN"/>
              </w:rPr>
            </w:pPr>
            <w:r>
              <w:rPr>
                <w:rFonts w:hint="eastAsia"/>
                <w:b/>
                <w:bCs w:val="0"/>
                <w:color w:val="000000" w:themeColor="text1"/>
                <w:u w:val="single"/>
                <w:lang w:val="en-US" w:eastAsia="zh-CN"/>
              </w:rPr>
              <w:t>10</w:t>
            </w:r>
          </w:p>
        </w:tc>
        <w:tc>
          <w:tcPr>
            <w:tcW w:w="1432" w:type="dxa"/>
            <w:vAlign w:val="center"/>
          </w:tcPr>
          <w:p w14:paraId="29C71C2D">
            <w:pPr>
              <w:pStyle w:val="182"/>
              <w:bidi w:val="0"/>
              <w:ind w:firstLine="0" w:firstLineChars="0"/>
              <w:rPr>
                <w:rFonts w:hint="default"/>
                <w:b/>
                <w:bCs w:val="0"/>
                <w:color w:val="000000" w:themeColor="text1"/>
                <w:u w:val="single"/>
                <w:lang w:val="en-US"/>
              </w:rPr>
            </w:pPr>
            <w:r>
              <w:rPr>
                <w:rFonts w:hint="eastAsia"/>
                <w:b/>
                <w:bCs w:val="0"/>
                <w:color w:val="000000" w:themeColor="text1"/>
                <w:u w:val="single"/>
                <w:lang w:val="en-US" w:eastAsia="zh-CN"/>
              </w:rPr>
              <w:t>102.15</w:t>
            </w:r>
          </w:p>
        </w:tc>
        <w:tc>
          <w:tcPr>
            <w:tcW w:w="1371" w:type="dxa"/>
            <w:vAlign w:val="center"/>
          </w:tcPr>
          <w:p w14:paraId="68E28EF4">
            <w:pPr>
              <w:pStyle w:val="182"/>
              <w:bidi w:val="0"/>
              <w:ind w:firstLine="0" w:firstLineChars="0"/>
              <w:rPr>
                <w:b/>
                <w:bCs w:val="0"/>
                <w:color w:val="000000" w:themeColor="text1"/>
                <w:u w:val="single"/>
              </w:rPr>
            </w:pPr>
            <w:r>
              <w:rPr>
                <w:b/>
                <w:bCs w:val="0"/>
                <w:color w:val="000000" w:themeColor="text1"/>
                <w:u w:val="single"/>
              </w:rPr>
              <w:t>3.0</w:t>
            </w:r>
          </w:p>
        </w:tc>
        <w:tc>
          <w:tcPr>
            <w:tcW w:w="1146" w:type="dxa"/>
            <w:vAlign w:val="center"/>
          </w:tcPr>
          <w:p w14:paraId="4570D41F">
            <w:pPr>
              <w:pStyle w:val="182"/>
              <w:bidi w:val="0"/>
              <w:ind w:firstLine="0" w:firstLineChars="0"/>
              <w:rPr>
                <w:rFonts w:hint="default"/>
                <w:b/>
                <w:bCs w:val="0"/>
                <w:color w:val="000000" w:themeColor="text1"/>
                <w:u w:val="single"/>
                <w:lang w:val="en-US" w:eastAsia="zh-CN"/>
              </w:rPr>
            </w:pPr>
            <w:r>
              <w:rPr>
                <w:rFonts w:hint="eastAsia"/>
                <w:b/>
                <w:bCs w:val="0"/>
                <w:color w:val="000000" w:themeColor="text1"/>
                <w:u w:val="single"/>
                <w:lang w:val="en-US" w:eastAsia="zh-CN"/>
              </w:rPr>
              <w:t>10</w:t>
            </w:r>
          </w:p>
        </w:tc>
        <w:tc>
          <w:tcPr>
            <w:tcW w:w="1360" w:type="dxa"/>
            <w:vAlign w:val="center"/>
          </w:tcPr>
          <w:p w14:paraId="370A2F65">
            <w:pPr>
              <w:pStyle w:val="182"/>
              <w:bidi w:val="0"/>
              <w:ind w:firstLine="0" w:firstLineChars="0"/>
              <w:rPr>
                <w:rFonts w:hint="default"/>
                <w:b/>
                <w:bCs w:val="0"/>
                <w:color w:val="000000" w:themeColor="text1"/>
                <w:u w:val="single"/>
                <w:lang w:val="en-US"/>
              </w:rPr>
            </w:pPr>
            <w:r>
              <w:rPr>
                <w:rFonts w:hint="eastAsia"/>
                <w:b/>
                <w:bCs w:val="0"/>
                <w:color w:val="000000" w:themeColor="text1"/>
                <w:u w:val="single"/>
                <w:lang w:val="en-US" w:eastAsia="zh-CN"/>
              </w:rPr>
              <w:t>3.18</w:t>
            </w:r>
          </w:p>
        </w:tc>
        <w:tc>
          <w:tcPr>
            <w:tcW w:w="1036" w:type="dxa"/>
            <w:vAlign w:val="center"/>
          </w:tcPr>
          <w:p w14:paraId="2267C172">
            <w:pPr>
              <w:pStyle w:val="182"/>
              <w:bidi w:val="0"/>
              <w:ind w:firstLine="0" w:firstLineChars="0"/>
              <w:rPr>
                <w:b/>
                <w:bCs w:val="0"/>
                <w:color w:val="000000" w:themeColor="text1"/>
                <w:u w:val="single"/>
              </w:rPr>
            </w:pPr>
            <w:r>
              <w:rPr>
                <w:b/>
                <w:bCs w:val="0"/>
                <w:color w:val="000000" w:themeColor="text1"/>
                <w:u w:val="single"/>
              </w:rPr>
              <w:t>0.5</w:t>
            </w:r>
          </w:p>
        </w:tc>
      </w:tr>
      <w:tr w14:paraId="53CEE3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Align w:val="center"/>
          </w:tcPr>
          <w:p w14:paraId="45F3DE06">
            <w:pPr>
              <w:pStyle w:val="182"/>
              <w:bidi w:val="0"/>
              <w:rPr>
                <w:b/>
                <w:bCs w:val="0"/>
                <w:color w:val="000000" w:themeColor="text1"/>
                <w:u w:val="single"/>
              </w:rPr>
            </w:pPr>
            <w:r>
              <w:rPr>
                <w:rFonts w:hint="eastAsia"/>
                <w:b/>
                <w:bCs w:val="0"/>
                <w:color w:val="000000" w:themeColor="text1"/>
                <w:u w:val="single"/>
              </w:rPr>
              <w:t>泄漏发生后</w:t>
            </w:r>
            <w:r>
              <w:rPr>
                <w:b/>
                <w:bCs w:val="0"/>
                <w:color w:val="000000" w:themeColor="text1"/>
                <w:u w:val="single"/>
              </w:rPr>
              <w:t>500d</w:t>
            </w:r>
          </w:p>
        </w:tc>
        <w:tc>
          <w:tcPr>
            <w:tcW w:w="1225" w:type="dxa"/>
            <w:vAlign w:val="center"/>
          </w:tcPr>
          <w:p w14:paraId="710062CD">
            <w:pPr>
              <w:pStyle w:val="182"/>
              <w:bidi w:val="0"/>
              <w:ind w:firstLine="0" w:firstLineChars="0"/>
              <w:rPr>
                <w:rFonts w:hint="default"/>
                <w:b/>
                <w:bCs w:val="0"/>
                <w:color w:val="000000" w:themeColor="text1"/>
                <w:u w:val="single"/>
                <w:lang w:val="en-US" w:eastAsia="zh-CN"/>
              </w:rPr>
            </w:pPr>
            <w:r>
              <w:rPr>
                <w:rFonts w:hint="eastAsia"/>
                <w:b/>
                <w:bCs w:val="0"/>
                <w:color w:val="000000" w:themeColor="text1"/>
                <w:u w:val="single"/>
                <w:lang w:val="en-US" w:eastAsia="zh-CN"/>
              </w:rPr>
              <w:t>40</w:t>
            </w:r>
          </w:p>
        </w:tc>
        <w:tc>
          <w:tcPr>
            <w:tcW w:w="1432" w:type="dxa"/>
            <w:vAlign w:val="center"/>
          </w:tcPr>
          <w:p w14:paraId="54FD0AFA">
            <w:pPr>
              <w:pStyle w:val="182"/>
              <w:bidi w:val="0"/>
              <w:ind w:firstLine="0" w:firstLineChars="0"/>
              <w:rPr>
                <w:rFonts w:hint="default"/>
                <w:b/>
                <w:bCs w:val="0"/>
                <w:color w:val="000000" w:themeColor="text1"/>
                <w:u w:val="single"/>
                <w:lang w:val="en-US"/>
              </w:rPr>
            </w:pPr>
            <w:r>
              <w:rPr>
                <w:rFonts w:hint="eastAsia"/>
                <w:b/>
                <w:bCs w:val="0"/>
                <w:color w:val="000000" w:themeColor="text1"/>
                <w:u w:val="single"/>
                <w:lang w:val="en-US" w:eastAsia="zh-CN"/>
              </w:rPr>
              <w:t>10.33</w:t>
            </w:r>
          </w:p>
        </w:tc>
        <w:tc>
          <w:tcPr>
            <w:tcW w:w="1371" w:type="dxa"/>
            <w:vAlign w:val="center"/>
          </w:tcPr>
          <w:p w14:paraId="4B5D19D3">
            <w:pPr>
              <w:pStyle w:val="182"/>
              <w:bidi w:val="0"/>
              <w:ind w:firstLine="0" w:firstLineChars="0"/>
              <w:rPr>
                <w:b/>
                <w:bCs w:val="0"/>
                <w:color w:val="000000" w:themeColor="text1"/>
                <w:u w:val="single"/>
              </w:rPr>
            </w:pPr>
            <w:r>
              <w:rPr>
                <w:b/>
                <w:bCs w:val="0"/>
                <w:color w:val="000000" w:themeColor="text1"/>
                <w:u w:val="single"/>
              </w:rPr>
              <w:t>3.0</w:t>
            </w:r>
          </w:p>
        </w:tc>
        <w:tc>
          <w:tcPr>
            <w:tcW w:w="1146" w:type="dxa"/>
            <w:vAlign w:val="center"/>
          </w:tcPr>
          <w:p w14:paraId="2F05DD4D">
            <w:pPr>
              <w:pStyle w:val="182"/>
              <w:bidi w:val="0"/>
              <w:ind w:firstLine="0" w:firstLineChars="0"/>
              <w:rPr>
                <w:rFonts w:hint="default"/>
                <w:b/>
                <w:bCs w:val="0"/>
                <w:color w:val="000000" w:themeColor="text1"/>
                <w:u w:val="single"/>
                <w:lang w:val="en-US" w:eastAsia="zh-CN"/>
              </w:rPr>
            </w:pPr>
            <w:r>
              <w:rPr>
                <w:rFonts w:hint="eastAsia"/>
                <w:b/>
                <w:bCs w:val="0"/>
                <w:color w:val="000000" w:themeColor="text1"/>
                <w:u w:val="single"/>
                <w:lang w:val="en-US" w:eastAsia="zh-CN"/>
              </w:rPr>
              <w:t>30</w:t>
            </w:r>
          </w:p>
        </w:tc>
        <w:tc>
          <w:tcPr>
            <w:tcW w:w="1360" w:type="dxa"/>
            <w:vAlign w:val="center"/>
          </w:tcPr>
          <w:p w14:paraId="575FF34A">
            <w:pPr>
              <w:pStyle w:val="182"/>
              <w:bidi w:val="0"/>
              <w:ind w:firstLine="0" w:firstLineChars="0"/>
              <w:rPr>
                <w:rFonts w:hint="default"/>
                <w:b/>
                <w:bCs w:val="0"/>
                <w:color w:val="000000" w:themeColor="text1"/>
                <w:u w:val="single"/>
                <w:lang w:val="en-US"/>
              </w:rPr>
            </w:pPr>
            <w:r>
              <w:rPr>
                <w:rFonts w:hint="eastAsia"/>
                <w:b/>
                <w:bCs w:val="0"/>
                <w:color w:val="000000" w:themeColor="text1"/>
                <w:u w:val="single"/>
                <w:lang w:val="en-US" w:eastAsia="zh-CN"/>
              </w:rPr>
              <w:t>1.36</w:t>
            </w:r>
          </w:p>
        </w:tc>
        <w:tc>
          <w:tcPr>
            <w:tcW w:w="1036" w:type="dxa"/>
            <w:vAlign w:val="center"/>
          </w:tcPr>
          <w:p w14:paraId="168E0A5C">
            <w:pPr>
              <w:pStyle w:val="182"/>
              <w:bidi w:val="0"/>
              <w:ind w:firstLine="0" w:firstLineChars="0"/>
              <w:rPr>
                <w:b/>
                <w:bCs w:val="0"/>
                <w:color w:val="000000" w:themeColor="text1"/>
                <w:u w:val="single"/>
              </w:rPr>
            </w:pPr>
            <w:r>
              <w:rPr>
                <w:b/>
                <w:bCs w:val="0"/>
                <w:color w:val="000000" w:themeColor="text1"/>
                <w:u w:val="single"/>
              </w:rPr>
              <w:t>0.5</w:t>
            </w:r>
          </w:p>
        </w:tc>
      </w:tr>
      <w:tr w14:paraId="69B478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Align w:val="center"/>
          </w:tcPr>
          <w:p w14:paraId="76F16ECC">
            <w:pPr>
              <w:pStyle w:val="182"/>
              <w:bidi w:val="0"/>
              <w:rPr>
                <w:b/>
                <w:bCs w:val="0"/>
                <w:color w:val="000000" w:themeColor="text1"/>
                <w:u w:val="single"/>
              </w:rPr>
            </w:pPr>
            <w:r>
              <w:rPr>
                <w:rFonts w:hint="eastAsia"/>
                <w:b/>
                <w:bCs w:val="0"/>
                <w:color w:val="000000" w:themeColor="text1"/>
                <w:u w:val="single"/>
              </w:rPr>
              <w:t>泄漏发生后</w:t>
            </w:r>
            <w:r>
              <w:rPr>
                <w:b/>
                <w:bCs w:val="0"/>
                <w:color w:val="000000" w:themeColor="text1"/>
                <w:u w:val="single"/>
              </w:rPr>
              <w:t>1000d</w:t>
            </w:r>
          </w:p>
        </w:tc>
        <w:tc>
          <w:tcPr>
            <w:tcW w:w="1225" w:type="dxa"/>
            <w:vAlign w:val="center"/>
          </w:tcPr>
          <w:p w14:paraId="76E9D1A1">
            <w:pPr>
              <w:pStyle w:val="182"/>
              <w:bidi w:val="0"/>
              <w:ind w:firstLine="0" w:firstLineChars="0"/>
              <w:rPr>
                <w:rFonts w:hint="default"/>
                <w:b/>
                <w:bCs w:val="0"/>
                <w:color w:val="000000" w:themeColor="text1"/>
                <w:u w:val="single"/>
                <w:lang w:val="en-US" w:eastAsia="zh-CN"/>
              </w:rPr>
            </w:pPr>
            <w:r>
              <w:rPr>
                <w:rFonts w:hint="eastAsia"/>
                <w:b/>
                <w:bCs w:val="0"/>
                <w:color w:val="000000" w:themeColor="text1"/>
                <w:u w:val="single"/>
                <w:lang w:val="en-US" w:eastAsia="zh-CN"/>
              </w:rPr>
              <w:t>60</w:t>
            </w:r>
          </w:p>
        </w:tc>
        <w:tc>
          <w:tcPr>
            <w:tcW w:w="1432" w:type="dxa"/>
            <w:vAlign w:val="center"/>
          </w:tcPr>
          <w:p w14:paraId="2CAAD2B1">
            <w:pPr>
              <w:pStyle w:val="182"/>
              <w:bidi w:val="0"/>
              <w:ind w:firstLine="0" w:firstLineChars="0"/>
              <w:rPr>
                <w:rFonts w:hint="default"/>
                <w:b/>
                <w:bCs w:val="0"/>
                <w:color w:val="000000" w:themeColor="text1"/>
                <w:u w:val="single"/>
                <w:lang w:val="en-US"/>
              </w:rPr>
            </w:pPr>
            <w:r>
              <w:rPr>
                <w:rFonts w:hint="eastAsia"/>
                <w:b/>
                <w:bCs w:val="0"/>
                <w:color w:val="000000" w:themeColor="text1"/>
                <w:u w:val="single"/>
                <w:lang w:val="en-US" w:eastAsia="zh-CN"/>
              </w:rPr>
              <w:t>7.81</w:t>
            </w:r>
          </w:p>
        </w:tc>
        <w:tc>
          <w:tcPr>
            <w:tcW w:w="1371" w:type="dxa"/>
            <w:vAlign w:val="center"/>
          </w:tcPr>
          <w:p w14:paraId="57ECBEBB">
            <w:pPr>
              <w:pStyle w:val="182"/>
              <w:bidi w:val="0"/>
              <w:ind w:firstLine="0" w:firstLineChars="0"/>
              <w:rPr>
                <w:b/>
                <w:bCs w:val="0"/>
                <w:color w:val="000000" w:themeColor="text1"/>
                <w:u w:val="single"/>
              </w:rPr>
            </w:pPr>
            <w:r>
              <w:rPr>
                <w:b/>
                <w:bCs w:val="0"/>
                <w:color w:val="000000" w:themeColor="text1"/>
                <w:u w:val="single"/>
              </w:rPr>
              <w:t>3.0</w:t>
            </w:r>
          </w:p>
        </w:tc>
        <w:tc>
          <w:tcPr>
            <w:tcW w:w="1146" w:type="dxa"/>
            <w:vAlign w:val="center"/>
          </w:tcPr>
          <w:p w14:paraId="4C5B1CEB">
            <w:pPr>
              <w:pStyle w:val="182"/>
              <w:bidi w:val="0"/>
              <w:ind w:firstLine="0" w:firstLineChars="0"/>
              <w:rPr>
                <w:rFonts w:hint="default"/>
                <w:b/>
                <w:bCs w:val="0"/>
                <w:color w:val="000000" w:themeColor="text1"/>
                <w:u w:val="single"/>
                <w:lang w:val="en-US" w:eastAsia="zh-CN"/>
              </w:rPr>
            </w:pPr>
            <w:r>
              <w:rPr>
                <w:rFonts w:hint="eastAsia"/>
                <w:b/>
                <w:bCs w:val="0"/>
                <w:color w:val="000000" w:themeColor="text1"/>
                <w:u w:val="single"/>
                <w:lang w:val="en-US" w:eastAsia="zh-CN"/>
              </w:rPr>
              <w:t>50</w:t>
            </w:r>
          </w:p>
        </w:tc>
        <w:tc>
          <w:tcPr>
            <w:tcW w:w="1360" w:type="dxa"/>
            <w:vAlign w:val="center"/>
          </w:tcPr>
          <w:p w14:paraId="7C01D197">
            <w:pPr>
              <w:pStyle w:val="182"/>
              <w:bidi w:val="0"/>
              <w:ind w:firstLine="0" w:firstLineChars="0"/>
              <w:rPr>
                <w:rFonts w:hint="default"/>
                <w:b/>
                <w:bCs w:val="0"/>
                <w:color w:val="000000" w:themeColor="text1"/>
                <w:u w:val="single"/>
                <w:lang w:val="en-US"/>
              </w:rPr>
            </w:pPr>
            <w:r>
              <w:rPr>
                <w:rFonts w:hint="eastAsia"/>
                <w:b/>
                <w:bCs w:val="0"/>
                <w:color w:val="000000" w:themeColor="text1"/>
                <w:u w:val="single"/>
                <w:lang w:val="en-US" w:eastAsia="zh-CN"/>
              </w:rPr>
              <w:t>0.63</w:t>
            </w:r>
          </w:p>
        </w:tc>
        <w:tc>
          <w:tcPr>
            <w:tcW w:w="1036" w:type="dxa"/>
            <w:vAlign w:val="center"/>
          </w:tcPr>
          <w:p w14:paraId="56A79EA7">
            <w:pPr>
              <w:pStyle w:val="182"/>
              <w:bidi w:val="0"/>
              <w:ind w:firstLine="0" w:firstLineChars="0"/>
              <w:rPr>
                <w:b/>
                <w:bCs w:val="0"/>
                <w:color w:val="000000" w:themeColor="text1"/>
                <w:u w:val="single"/>
              </w:rPr>
            </w:pPr>
            <w:r>
              <w:rPr>
                <w:b/>
                <w:bCs w:val="0"/>
                <w:color w:val="000000" w:themeColor="text1"/>
                <w:u w:val="single"/>
              </w:rPr>
              <w:t>0.5</w:t>
            </w:r>
          </w:p>
        </w:tc>
      </w:tr>
      <w:tr w14:paraId="10EAB8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6" w:type="pct"/>
            <w:vAlign w:val="center"/>
          </w:tcPr>
          <w:p w14:paraId="3C54E0EE">
            <w:pPr>
              <w:pStyle w:val="182"/>
              <w:bidi w:val="0"/>
              <w:rPr>
                <w:b/>
                <w:bCs w:val="0"/>
                <w:color w:val="000000" w:themeColor="text1"/>
                <w:u w:val="single"/>
              </w:rPr>
            </w:pPr>
            <w:r>
              <w:rPr>
                <w:rFonts w:hint="eastAsia"/>
                <w:b/>
                <w:bCs w:val="0"/>
                <w:color w:val="000000" w:themeColor="text1"/>
                <w:u w:val="single"/>
              </w:rPr>
              <w:t>背景值</w:t>
            </w:r>
          </w:p>
        </w:tc>
        <w:tc>
          <w:tcPr>
            <w:tcW w:w="4028" w:type="dxa"/>
            <w:gridSpan w:val="3"/>
            <w:vAlign w:val="center"/>
          </w:tcPr>
          <w:p w14:paraId="26FB1A32">
            <w:pPr>
              <w:pStyle w:val="182"/>
              <w:bidi w:val="0"/>
              <w:ind w:firstLine="0" w:firstLineChars="0"/>
              <w:rPr>
                <w:b/>
                <w:bCs w:val="0"/>
                <w:color w:val="000000" w:themeColor="text1"/>
                <w:u w:val="single"/>
              </w:rPr>
            </w:pPr>
            <w:r>
              <w:rPr>
                <w:rFonts w:hint="eastAsia"/>
                <w:b/>
                <w:bCs w:val="0"/>
                <w:color w:val="000000" w:themeColor="text1"/>
                <w:u w:val="single"/>
                <w:lang w:val="en-US" w:eastAsia="zh-CN"/>
              </w:rPr>
              <w:t>0.75</w:t>
            </w:r>
            <w:r>
              <w:rPr>
                <w:b/>
                <w:bCs w:val="0"/>
                <w:color w:val="000000" w:themeColor="text1"/>
                <w:u w:val="single"/>
              </w:rPr>
              <w:t xml:space="preserve"> mg/L</w:t>
            </w:r>
          </w:p>
        </w:tc>
        <w:tc>
          <w:tcPr>
            <w:tcW w:w="3542" w:type="dxa"/>
            <w:gridSpan w:val="3"/>
            <w:vAlign w:val="center"/>
          </w:tcPr>
          <w:p w14:paraId="1E5735DA">
            <w:pPr>
              <w:pStyle w:val="182"/>
              <w:bidi w:val="0"/>
              <w:ind w:firstLine="0" w:firstLineChars="0"/>
              <w:rPr>
                <w:b/>
                <w:bCs w:val="0"/>
                <w:color w:val="000000" w:themeColor="text1"/>
                <w:u w:val="single"/>
              </w:rPr>
            </w:pPr>
            <w:r>
              <w:rPr>
                <w:b/>
                <w:bCs w:val="0"/>
                <w:color w:val="000000" w:themeColor="text1"/>
                <w:u w:val="single"/>
              </w:rPr>
              <w:t>0.1</w:t>
            </w:r>
            <w:r>
              <w:rPr>
                <w:rFonts w:hint="eastAsia"/>
                <w:b/>
                <w:bCs w:val="0"/>
                <w:color w:val="000000" w:themeColor="text1"/>
                <w:u w:val="single"/>
                <w:lang w:val="en-US" w:eastAsia="zh-CN"/>
              </w:rPr>
              <w:t>23</w:t>
            </w:r>
            <w:r>
              <w:rPr>
                <w:b/>
                <w:bCs w:val="0"/>
                <w:color w:val="000000" w:themeColor="text1"/>
                <w:u w:val="single"/>
              </w:rPr>
              <w:t>mg/L</w:t>
            </w:r>
          </w:p>
        </w:tc>
      </w:tr>
    </w:tbl>
    <w:p w14:paraId="78406907">
      <w:pPr>
        <w:bidi w:val="0"/>
        <w:rPr>
          <w:b/>
          <w:bCs w:val="0"/>
          <w:color w:val="000000" w:themeColor="text1"/>
          <w:sz w:val="24"/>
          <w:szCs w:val="24"/>
          <w:highlight w:val="none"/>
          <w:u w:val="single"/>
        </w:rPr>
      </w:pPr>
      <w:r>
        <w:rPr>
          <w:b/>
          <w:bCs w:val="0"/>
          <w:color w:val="000000" w:themeColor="text1"/>
          <w:sz w:val="24"/>
          <w:szCs w:val="24"/>
          <w:highlight w:val="none"/>
          <w:u w:val="single"/>
        </w:rPr>
        <w:t>根据预测结果可知，如果发生调节池污水池连续渗漏非正常状况下，</w:t>
      </w:r>
      <w:r>
        <w:rPr>
          <w:rFonts w:hint="eastAsia"/>
          <w:b/>
          <w:bCs w:val="0"/>
          <w:color w:val="000000" w:themeColor="text1"/>
          <w:sz w:val="24"/>
          <w:szCs w:val="24"/>
          <w:highlight w:val="none"/>
          <w:u w:val="single"/>
        </w:rPr>
        <w:t>泄漏发生后</w:t>
      </w:r>
      <w:r>
        <w:rPr>
          <w:b/>
          <w:bCs w:val="0"/>
          <w:color w:val="000000" w:themeColor="text1"/>
          <w:sz w:val="24"/>
          <w:szCs w:val="24"/>
          <w:highlight w:val="none"/>
          <w:u w:val="single"/>
        </w:rPr>
        <w:t>50d</w:t>
      </w:r>
      <w:r>
        <w:rPr>
          <w:rFonts w:hint="eastAsia"/>
          <w:b/>
          <w:bCs w:val="0"/>
          <w:color w:val="000000" w:themeColor="text1"/>
          <w:sz w:val="24"/>
          <w:szCs w:val="24"/>
          <w:highlight w:val="none"/>
          <w:u w:val="single"/>
        </w:rPr>
        <w:t>、</w:t>
      </w:r>
      <w:r>
        <w:rPr>
          <w:b/>
          <w:bCs w:val="0"/>
          <w:color w:val="000000" w:themeColor="text1"/>
          <w:sz w:val="24"/>
          <w:szCs w:val="24"/>
          <w:highlight w:val="none"/>
          <w:u w:val="single"/>
        </w:rPr>
        <w:t>100d</w:t>
      </w:r>
      <w:r>
        <w:rPr>
          <w:rFonts w:hint="eastAsia"/>
          <w:b/>
          <w:bCs w:val="0"/>
          <w:color w:val="000000" w:themeColor="text1"/>
          <w:sz w:val="24"/>
          <w:szCs w:val="24"/>
          <w:highlight w:val="none"/>
          <w:u w:val="single"/>
        </w:rPr>
        <w:t>、</w:t>
      </w:r>
      <w:r>
        <w:rPr>
          <w:b/>
          <w:bCs w:val="0"/>
          <w:color w:val="000000" w:themeColor="text1"/>
          <w:sz w:val="24"/>
          <w:szCs w:val="24"/>
          <w:highlight w:val="none"/>
          <w:u w:val="single"/>
        </w:rPr>
        <w:t>500d</w:t>
      </w:r>
      <w:r>
        <w:rPr>
          <w:rFonts w:hint="eastAsia"/>
          <w:b/>
          <w:bCs w:val="0"/>
          <w:color w:val="000000" w:themeColor="text1"/>
          <w:sz w:val="24"/>
          <w:szCs w:val="24"/>
          <w:highlight w:val="none"/>
          <w:u w:val="single"/>
        </w:rPr>
        <w:t>和</w:t>
      </w:r>
      <w:r>
        <w:rPr>
          <w:b/>
          <w:bCs w:val="0"/>
          <w:color w:val="000000" w:themeColor="text1"/>
          <w:sz w:val="24"/>
          <w:szCs w:val="24"/>
          <w:highlight w:val="none"/>
          <w:u w:val="single"/>
        </w:rPr>
        <w:t>1000d</w:t>
      </w:r>
      <w:r>
        <w:rPr>
          <w:rFonts w:hint="eastAsia"/>
          <w:b/>
          <w:bCs w:val="0"/>
          <w:color w:val="000000" w:themeColor="text1"/>
          <w:sz w:val="24"/>
          <w:szCs w:val="24"/>
          <w:highlight w:val="none"/>
          <w:u w:val="single"/>
        </w:rPr>
        <w:t>后，下游耗氧量最远超标距离分别为</w:t>
      </w:r>
      <w:r>
        <w:rPr>
          <w:rFonts w:hint="eastAsia"/>
          <w:b/>
          <w:bCs w:val="0"/>
          <w:color w:val="000000" w:themeColor="text1"/>
          <w:sz w:val="24"/>
          <w:szCs w:val="24"/>
          <w:highlight w:val="none"/>
          <w:u w:val="single"/>
          <w:lang w:val="en-US" w:eastAsia="zh-CN"/>
        </w:rPr>
        <w:t>10</w:t>
      </w:r>
      <w:r>
        <w:rPr>
          <w:b/>
          <w:bCs w:val="0"/>
          <w:color w:val="000000" w:themeColor="text1"/>
          <w:sz w:val="24"/>
          <w:szCs w:val="24"/>
          <w:highlight w:val="none"/>
          <w:u w:val="single"/>
        </w:rPr>
        <w:t>m</w:t>
      </w:r>
      <w:r>
        <w:rPr>
          <w:rFonts w:hint="eastAsia"/>
          <w:b/>
          <w:bCs w:val="0"/>
          <w:color w:val="000000" w:themeColor="text1"/>
          <w:sz w:val="24"/>
          <w:szCs w:val="24"/>
          <w:highlight w:val="none"/>
          <w:u w:val="single"/>
        </w:rPr>
        <w:t>、</w:t>
      </w:r>
      <w:r>
        <w:rPr>
          <w:rFonts w:hint="eastAsia"/>
          <w:b/>
          <w:bCs w:val="0"/>
          <w:color w:val="000000" w:themeColor="text1"/>
          <w:sz w:val="24"/>
          <w:szCs w:val="24"/>
          <w:highlight w:val="none"/>
          <w:u w:val="single"/>
          <w:lang w:val="en-US" w:eastAsia="zh-CN"/>
        </w:rPr>
        <w:t>10</w:t>
      </w:r>
      <w:r>
        <w:rPr>
          <w:b/>
          <w:bCs w:val="0"/>
          <w:color w:val="000000" w:themeColor="text1"/>
          <w:sz w:val="24"/>
          <w:szCs w:val="24"/>
          <w:highlight w:val="none"/>
          <w:u w:val="single"/>
        </w:rPr>
        <w:t>m</w:t>
      </w:r>
      <w:r>
        <w:rPr>
          <w:rFonts w:hint="eastAsia"/>
          <w:b/>
          <w:bCs w:val="0"/>
          <w:color w:val="000000" w:themeColor="text1"/>
          <w:sz w:val="24"/>
          <w:szCs w:val="24"/>
          <w:highlight w:val="none"/>
          <w:u w:val="single"/>
        </w:rPr>
        <w:t>、</w:t>
      </w:r>
      <w:r>
        <w:rPr>
          <w:rFonts w:hint="eastAsia"/>
          <w:b/>
          <w:bCs w:val="0"/>
          <w:color w:val="000000" w:themeColor="text1"/>
          <w:sz w:val="24"/>
          <w:szCs w:val="24"/>
          <w:highlight w:val="none"/>
          <w:u w:val="single"/>
          <w:lang w:val="en-US" w:eastAsia="zh-CN"/>
        </w:rPr>
        <w:t>40</w:t>
      </w:r>
      <w:r>
        <w:rPr>
          <w:b/>
          <w:bCs w:val="0"/>
          <w:color w:val="000000" w:themeColor="text1"/>
          <w:sz w:val="24"/>
          <w:szCs w:val="24"/>
          <w:highlight w:val="none"/>
          <w:u w:val="single"/>
        </w:rPr>
        <w:t>m</w:t>
      </w:r>
      <w:r>
        <w:rPr>
          <w:rFonts w:hint="eastAsia"/>
          <w:b/>
          <w:bCs w:val="0"/>
          <w:color w:val="000000" w:themeColor="text1"/>
          <w:sz w:val="24"/>
          <w:szCs w:val="24"/>
          <w:highlight w:val="none"/>
          <w:u w:val="single"/>
        </w:rPr>
        <w:t>和</w:t>
      </w:r>
      <w:r>
        <w:rPr>
          <w:rFonts w:hint="eastAsia"/>
          <w:b/>
          <w:bCs w:val="0"/>
          <w:color w:val="000000" w:themeColor="text1"/>
          <w:sz w:val="24"/>
          <w:szCs w:val="24"/>
          <w:u w:val="single"/>
          <w:lang w:val="en-US" w:eastAsia="zh-CN"/>
        </w:rPr>
        <w:t>60</w:t>
      </w:r>
      <w:r>
        <w:rPr>
          <w:b/>
          <w:bCs w:val="0"/>
          <w:color w:val="000000" w:themeColor="text1"/>
          <w:sz w:val="24"/>
          <w:szCs w:val="24"/>
          <w:highlight w:val="none"/>
          <w:u w:val="single"/>
        </w:rPr>
        <w:t>m</w:t>
      </w:r>
      <w:r>
        <w:rPr>
          <w:rFonts w:hint="eastAsia"/>
          <w:b/>
          <w:bCs w:val="0"/>
          <w:color w:val="000000" w:themeColor="text1"/>
          <w:sz w:val="24"/>
          <w:szCs w:val="24"/>
          <w:highlight w:val="none"/>
          <w:u w:val="single"/>
        </w:rPr>
        <w:t>，氨氮最远超标距离分别为</w:t>
      </w:r>
      <w:r>
        <w:rPr>
          <w:rFonts w:hint="eastAsia"/>
          <w:b/>
          <w:bCs w:val="0"/>
          <w:color w:val="000000" w:themeColor="text1"/>
          <w:sz w:val="24"/>
          <w:szCs w:val="24"/>
          <w:highlight w:val="none"/>
          <w:u w:val="single"/>
          <w:lang w:val="en-US" w:eastAsia="zh-CN"/>
        </w:rPr>
        <w:t>10</w:t>
      </w:r>
      <w:r>
        <w:rPr>
          <w:b/>
          <w:bCs w:val="0"/>
          <w:color w:val="000000" w:themeColor="text1"/>
          <w:sz w:val="24"/>
          <w:szCs w:val="24"/>
          <w:highlight w:val="none"/>
          <w:u w:val="single"/>
        </w:rPr>
        <w:t>m</w:t>
      </w:r>
      <w:r>
        <w:rPr>
          <w:rFonts w:hint="eastAsia"/>
          <w:b/>
          <w:bCs w:val="0"/>
          <w:color w:val="000000" w:themeColor="text1"/>
          <w:sz w:val="24"/>
          <w:szCs w:val="24"/>
          <w:highlight w:val="none"/>
          <w:u w:val="single"/>
        </w:rPr>
        <w:t>、</w:t>
      </w:r>
      <w:r>
        <w:rPr>
          <w:rFonts w:hint="eastAsia"/>
          <w:b/>
          <w:bCs w:val="0"/>
          <w:color w:val="000000" w:themeColor="text1"/>
          <w:sz w:val="24"/>
          <w:szCs w:val="24"/>
          <w:u w:val="single"/>
          <w:lang w:val="en-US" w:eastAsia="zh-CN"/>
        </w:rPr>
        <w:t>10</w:t>
      </w:r>
      <w:r>
        <w:rPr>
          <w:b/>
          <w:bCs w:val="0"/>
          <w:color w:val="000000" w:themeColor="text1"/>
          <w:sz w:val="24"/>
          <w:szCs w:val="24"/>
          <w:highlight w:val="none"/>
          <w:u w:val="single"/>
        </w:rPr>
        <w:t>m</w:t>
      </w:r>
      <w:r>
        <w:rPr>
          <w:rFonts w:hint="eastAsia"/>
          <w:b/>
          <w:bCs w:val="0"/>
          <w:color w:val="000000" w:themeColor="text1"/>
          <w:sz w:val="24"/>
          <w:szCs w:val="24"/>
          <w:highlight w:val="none"/>
          <w:u w:val="single"/>
        </w:rPr>
        <w:t>、</w:t>
      </w:r>
      <w:r>
        <w:rPr>
          <w:rFonts w:hint="eastAsia"/>
          <w:b/>
          <w:bCs w:val="0"/>
          <w:color w:val="000000" w:themeColor="text1"/>
          <w:sz w:val="24"/>
          <w:szCs w:val="24"/>
          <w:u w:val="single"/>
          <w:lang w:val="en-US" w:eastAsia="zh-CN"/>
        </w:rPr>
        <w:t>30</w:t>
      </w:r>
      <w:r>
        <w:rPr>
          <w:b/>
          <w:bCs w:val="0"/>
          <w:color w:val="000000" w:themeColor="text1"/>
          <w:sz w:val="24"/>
          <w:szCs w:val="24"/>
          <w:highlight w:val="none"/>
          <w:u w:val="single"/>
        </w:rPr>
        <w:t>m</w:t>
      </w:r>
      <w:r>
        <w:rPr>
          <w:rFonts w:hint="eastAsia"/>
          <w:b/>
          <w:bCs w:val="0"/>
          <w:color w:val="000000" w:themeColor="text1"/>
          <w:sz w:val="24"/>
          <w:szCs w:val="24"/>
          <w:highlight w:val="none"/>
          <w:u w:val="single"/>
        </w:rPr>
        <w:t>和</w:t>
      </w:r>
      <w:r>
        <w:rPr>
          <w:rFonts w:hint="eastAsia"/>
          <w:b/>
          <w:bCs w:val="0"/>
          <w:color w:val="000000" w:themeColor="text1"/>
          <w:sz w:val="24"/>
          <w:szCs w:val="24"/>
          <w:u w:val="single"/>
          <w:lang w:val="en-US" w:eastAsia="zh-CN"/>
        </w:rPr>
        <w:t>50</w:t>
      </w:r>
      <w:r>
        <w:rPr>
          <w:b/>
          <w:bCs w:val="0"/>
          <w:color w:val="000000" w:themeColor="text1"/>
          <w:sz w:val="24"/>
          <w:szCs w:val="24"/>
          <w:highlight w:val="none"/>
          <w:u w:val="single"/>
        </w:rPr>
        <w:t>m</w:t>
      </w:r>
      <w:r>
        <w:rPr>
          <w:rFonts w:hint="eastAsia"/>
          <w:b/>
          <w:bCs w:val="0"/>
          <w:color w:val="000000" w:themeColor="text1"/>
          <w:sz w:val="24"/>
          <w:szCs w:val="24"/>
          <w:highlight w:val="none"/>
          <w:u w:val="single"/>
        </w:rPr>
        <w:t>，由此可以看出，随着泄漏发生时间越长，下游最远超标范围就越大，至</w:t>
      </w:r>
      <w:r>
        <w:rPr>
          <w:b/>
          <w:bCs w:val="0"/>
          <w:color w:val="000000" w:themeColor="text1"/>
          <w:sz w:val="24"/>
          <w:szCs w:val="24"/>
          <w:highlight w:val="none"/>
          <w:u w:val="single"/>
        </w:rPr>
        <w:t>1000d</w:t>
      </w:r>
      <w:r>
        <w:rPr>
          <w:rFonts w:hint="eastAsia"/>
          <w:b/>
          <w:bCs w:val="0"/>
          <w:color w:val="000000" w:themeColor="text1"/>
          <w:sz w:val="24"/>
          <w:szCs w:val="24"/>
          <w:highlight w:val="none"/>
          <w:u w:val="single"/>
        </w:rPr>
        <w:t>时地下水污染最远距离为下游</w:t>
      </w:r>
      <w:r>
        <w:rPr>
          <w:rFonts w:hint="eastAsia"/>
          <w:b/>
          <w:bCs w:val="0"/>
          <w:color w:val="000000" w:themeColor="text1"/>
          <w:sz w:val="24"/>
          <w:szCs w:val="24"/>
          <w:highlight w:val="none"/>
          <w:u w:val="single"/>
          <w:lang w:val="en-US" w:eastAsia="zh-CN"/>
        </w:rPr>
        <w:t>60</w:t>
      </w:r>
      <w:r>
        <w:rPr>
          <w:b/>
          <w:bCs w:val="0"/>
          <w:color w:val="000000" w:themeColor="text1"/>
          <w:sz w:val="24"/>
          <w:szCs w:val="24"/>
          <w:highlight w:val="none"/>
          <w:u w:val="single"/>
        </w:rPr>
        <w:t>m</w:t>
      </w:r>
      <w:r>
        <w:rPr>
          <w:rFonts w:hint="eastAsia"/>
          <w:b/>
          <w:bCs w:val="0"/>
          <w:color w:val="000000" w:themeColor="text1"/>
          <w:sz w:val="24"/>
          <w:szCs w:val="24"/>
          <w:highlight w:val="none"/>
          <w:u w:val="single"/>
        </w:rPr>
        <w:t>，仍控制在现有厂区内。泄漏发生后50d、</w:t>
      </w:r>
      <w:r>
        <w:rPr>
          <w:b/>
          <w:bCs w:val="0"/>
          <w:color w:val="000000" w:themeColor="text1"/>
          <w:sz w:val="24"/>
          <w:szCs w:val="24"/>
          <w:highlight w:val="none"/>
          <w:u w:val="single"/>
        </w:rPr>
        <w:t>100d</w:t>
      </w:r>
      <w:r>
        <w:rPr>
          <w:rFonts w:hint="eastAsia"/>
          <w:b/>
          <w:bCs w:val="0"/>
          <w:color w:val="000000" w:themeColor="text1"/>
          <w:sz w:val="24"/>
          <w:szCs w:val="24"/>
          <w:highlight w:val="none"/>
          <w:u w:val="single"/>
        </w:rPr>
        <w:t>、</w:t>
      </w:r>
      <w:r>
        <w:rPr>
          <w:b/>
          <w:bCs w:val="0"/>
          <w:color w:val="000000" w:themeColor="text1"/>
          <w:sz w:val="24"/>
          <w:szCs w:val="24"/>
          <w:highlight w:val="none"/>
          <w:u w:val="single"/>
        </w:rPr>
        <w:t>500d</w:t>
      </w:r>
      <w:r>
        <w:rPr>
          <w:rFonts w:hint="eastAsia"/>
          <w:b/>
          <w:bCs w:val="0"/>
          <w:color w:val="000000" w:themeColor="text1"/>
          <w:sz w:val="24"/>
          <w:szCs w:val="24"/>
          <w:highlight w:val="none"/>
          <w:u w:val="single"/>
        </w:rPr>
        <w:t>和</w:t>
      </w:r>
      <w:r>
        <w:rPr>
          <w:b/>
          <w:bCs w:val="0"/>
          <w:color w:val="000000" w:themeColor="text1"/>
          <w:sz w:val="24"/>
          <w:szCs w:val="24"/>
          <w:highlight w:val="none"/>
          <w:u w:val="single"/>
        </w:rPr>
        <w:t>1000d</w:t>
      </w:r>
      <w:r>
        <w:rPr>
          <w:rFonts w:hint="eastAsia"/>
          <w:b/>
          <w:bCs w:val="0"/>
          <w:color w:val="000000" w:themeColor="text1"/>
          <w:sz w:val="24"/>
          <w:szCs w:val="24"/>
          <w:highlight w:val="none"/>
          <w:u w:val="single"/>
        </w:rPr>
        <w:t>，耗氧量和氨氮在</w:t>
      </w:r>
      <w:r>
        <w:rPr>
          <w:b/>
          <w:bCs w:val="0"/>
          <w:color w:val="000000" w:themeColor="text1"/>
          <w:sz w:val="24"/>
          <w:szCs w:val="24"/>
          <w:highlight w:val="none"/>
          <w:u w:val="single"/>
        </w:rPr>
        <w:t>下游的贡献浓度能够满足《地下水质量标准》（GB/T14848-</w:t>
      </w:r>
      <w:r>
        <w:rPr>
          <w:rFonts w:hint="eastAsia"/>
          <w:b/>
          <w:bCs w:val="0"/>
          <w:color w:val="000000" w:themeColor="text1"/>
          <w:sz w:val="24"/>
          <w:szCs w:val="24"/>
          <w:highlight w:val="none"/>
          <w:u w:val="single"/>
        </w:rPr>
        <w:t>2017</w:t>
      </w:r>
      <w:r>
        <w:rPr>
          <w:b/>
          <w:bCs w:val="0"/>
          <w:color w:val="000000" w:themeColor="text1"/>
          <w:sz w:val="24"/>
          <w:szCs w:val="24"/>
          <w:highlight w:val="none"/>
          <w:u w:val="single"/>
        </w:rPr>
        <w:t>）</w:t>
      </w:r>
      <w:r>
        <w:rPr>
          <w:b/>
          <w:bCs w:val="0"/>
          <w:color w:val="000000" w:themeColor="text1"/>
          <w:sz w:val="24"/>
          <w:szCs w:val="24"/>
          <w:highlight w:val="none"/>
          <w:u w:val="single"/>
        </w:rPr>
        <w:fldChar w:fldCharType="begin"/>
      </w:r>
      <w:r>
        <w:rPr>
          <w:b/>
          <w:bCs w:val="0"/>
          <w:color w:val="000000" w:themeColor="text1"/>
          <w:sz w:val="24"/>
          <w:szCs w:val="24"/>
          <w:highlight w:val="none"/>
          <w:u w:val="single"/>
        </w:rPr>
        <w:instrText xml:space="preserve"> = 3 \* ROMAN </w:instrText>
      </w:r>
      <w:r>
        <w:rPr>
          <w:b/>
          <w:bCs w:val="0"/>
          <w:color w:val="000000" w:themeColor="text1"/>
          <w:sz w:val="24"/>
          <w:szCs w:val="24"/>
          <w:highlight w:val="none"/>
          <w:u w:val="single"/>
        </w:rPr>
        <w:fldChar w:fldCharType="separate"/>
      </w:r>
      <w:r>
        <w:rPr>
          <w:b/>
          <w:bCs w:val="0"/>
          <w:color w:val="000000" w:themeColor="text1"/>
          <w:sz w:val="24"/>
          <w:szCs w:val="24"/>
          <w:highlight w:val="none"/>
          <w:u w:val="single"/>
        </w:rPr>
        <w:t>III</w:t>
      </w:r>
      <w:r>
        <w:rPr>
          <w:b/>
          <w:bCs w:val="0"/>
          <w:color w:val="000000" w:themeColor="text1"/>
          <w:sz w:val="24"/>
          <w:szCs w:val="24"/>
          <w:highlight w:val="none"/>
          <w:u w:val="single"/>
        </w:rPr>
        <w:fldChar w:fldCharType="end"/>
      </w:r>
      <w:r>
        <w:rPr>
          <w:b/>
          <w:bCs w:val="0"/>
          <w:color w:val="000000" w:themeColor="text1"/>
          <w:sz w:val="24"/>
          <w:szCs w:val="24"/>
          <w:highlight w:val="none"/>
          <w:u w:val="single"/>
        </w:rPr>
        <w:t>类标准限值的要求</w:t>
      </w:r>
      <w:r>
        <w:rPr>
          <w:rFonts w:hint="eastAsia"/>
          <w:b/>
          <w:bCs w:val="0"/>
          <w:color w:val="000000" w:themeColor="text1"/>
          <w:sz w:val="24"/>
          <w:szCs w:val="24"/>
          <w:highlight w:val="none"/>
          <w:u w:val="single"/>
        </w:rPr>
        <w:t>。随着时间的推移，污染带</w:t>
      </w:r>
      <w:r>
        <w:rPr>
          <w:rFonts w:hint="eastAsia"/>
          <w:b/>
          <w:bCs w:val="0"/>
          <w:color w:val="000000" w:themeColor="text1"/>
          <w:sz w:val="24"/>
          <w:szCs w:val="24"/>
          <w:highlight w:val="none"/>
          <w:u w:val="single"/>
          <w:lang w:val="en-US" w:eastAsia="zh-CN"/>
        </w:rPr>
        <w:t>未</w:t>
      </w:r>
      <w:r>
        <w:rPr>
          <w:rFonts w:hint="eastAsia"/>
          <w:b/>
          <w:bCs w:val="0"/>
          <w:color w:val="000000" w:themeColor="text1"/>
          <w:sz w:val="24"/>
          <w:szCs w:val="24"/>
          <w:highlight w:val="none"/>
          <w:u w:val="single"/>
        </w:rPr>
        <w:t>超出厂界范围，因此项目单位应加强监管和日常重点防渗区的养护，避免发生非正常泄漏情况。</w:t>
      </w:r>
    </w:p>
    <w:p w14:paraId="13993F41">
      <w:pPr>
        <w:bidi w:val="0"/>
        <w:rPr>
          <w:b/>
          <w:bCs w:val="0"/>
          <w:color w:val="auto"/>
          <w:u w:val="single"/>
        </w:rPr>
      </w:pPr>
      <w:r>
        <w:rPr>
          <w:rFonts w:hint="eastAsia"/>
          <w:b/>
          <w:bCs w:val="0"/>
          <w:color w:val="auto"/>
          <w:u w:val="single"/>
        </w:rPr>
        <w:t>（2）厂界浓度预测</w:t>
      </w:r>
    </w:p>
    <w:p w14:paraId="686CF11E">
      <w:pPr>
        <w:bidi w:val="0"/>
        <w:rPr>
          <w:b/>
          <w:bCs w:val="0"/>
          <w:color w:val="auto"/>
          <w:u w:val="single"/>
        </w:rPr>
      </w:pPr>
      <w:r>
        <w:rPr>
          <w:rFonts w:hint="eastAsia"/>
          <w:b/>
          <w:bCs w:val="0"/>
          <w:color w:val="auto"/>
          <w:u w:val="single"/>
        </w:rPr>
        <w:t>项目废水调节池下游</w:t>
      </w:r>
      <w:r>
        <w:rPr>
          <w:rFonts w:hint="eastAsia"/>
          <w:b/>
          <w:bCs w:val="0"/>
          <w:color w:val="auto"/>
          <w:u w:val="single"/>
          <w:lang w:val="en-US" w:eastAsia="zh-CN"/>
        </w:rPr>
        <w:t>100</w:t>
      </w:r>
      <w:r>
        <w:rPr>
          <w:rFonts w:hint="eastAsia"/>
          <w:b/>
          <w:bCs w:val="0"/>
          <w:color w:val="auto"/>
          <w:u w:val="single"/>
        </w:rPr>
        <w:t>m处为项目北厂界、</w:t>
      </w:r>
      <w:r>
        <w:rPr>
          <w:rFonts w:hint="eastAsia"/>
          <w:b/>
          <w:bCs w:val="0"/>
          <w:color w:val="auto"/>
          <w:u w:val="single"/>
          <w:lang w:val="en-US" w:eastAsia="zh-CN"/>
        </w:rPr>
        <w:t>1350</w:t>
      </w:r>
      <w:r>
        <w:rPr>
          <w:rFonts w:hint="eastAsia"/>
          <w:b/>
          <w:bCs w:val="0"/>
          <w:color w:val="auto"/>
          <w:u w:val="single"/>
        </w:rPr>
        <w:t>m处为项目东厂界，其他厂界均不属于其下游区域，因此评价仅对项目北厂界、东厂界外地下水水质进行预测评价，详见下表。厂界浓度预测：根据计算结果，各个厂界处的浓度叠加值如下：</w:t>
      </w:r>
    </w:p>
    <w:p w14:paraId="7CDDB69E">
      <w:pPr>
        <w:pStyle w:val="10"/>
        <w:bidi w:val="0"/>
        <w:rPr>
          <w:rFonts w:ascii="Times New Roman" w:hAnsi="Times New Roman" w:eastAsia="宋体"/>
          <w:b/>
          <w:bCs w:val="0"/>
          <w:u w:val="single"/>
        </w:rPr>
      </w:pPr>
      <w:r>
        <w:rPr>
          <w:rFonts w:ascii="Times New Roman" w:hAnsi="Times New Roman" w:eastAsia="宋体"/>
          <w:b/>
          <w:bCs w:val="0"/>
          <w:u w:val="single"/>
        </w:rPr>
        <w:t xml:space="preserve">表 </w:t>
      </w:r>
      <w:r>
        <w:rPr>
          <w:rFonts w:ascii="Times New Roman" w:hAnsi="Times New Roman" w:eastAsia="宋体"/>
          <w:b/>
          <w:bCs w:val="0"/>
          <w:u w:val="single"/>
        </w:rPr>
        <w:fldChar w:fldCharType="begin"/>
      </w:r>
      <w:r>
        <w:rPr>
          <w:rFonts w:ascii="Times New Roman" w:hAnsi="Times New Roman" w:eastAsia="宋体"/>
          <w:b/>
          <w:bCs w:val="0"/>
          <w:u w:val="single"/>
        </w:rPr>
        <w:instrText xml:space="preserve"> STYLEREF 2 \s </w:instrText>
      </w:r>
      <w:r>
        <w:rPr>
          <w:rFonts w:ascii="Times New Roman" w:hAnsi="Times New Roman" w:eastAsia="宋体"/>
          <w:b/>
          <w:bCs w:val="0"/>
          <w:u w:val="single"/>
        </w:rPr>
        <w:fldChar w:fldCharType="separate"/>
      </w:r>
      <w:r>
        <w:rPr>
          <w:rFonts w:ascii="Times New Roman" w:hAnsi="Times New Roman" w:eastAsia="宋体"/>
          <w:b/>
          <w:bCs w:val="0"/>
          <w:u w:val="single"/>
        </w:rPr>
        <w:t>6.3</w:t>
      </w:r>
      <w:r>
        <w:rPr>
          <w:rFonts w:ascii="Times New Roman" w:hAnsi="Times New Roman" w:eastAsia="宋体"/>
          <w:b/>
          <w:bCs w:val="0"/>
          <w:u w:val="single"/>
        </w:rPr>
        <w:fldChar w:fldCharType="end"/>
      </w:r>
      <w:r>
        <w:rPr>
          <w:rFonts w:hint="eastAsia" w:ascii="Times New Roman" w:hAnsi="Times New Roman" w:eastAsia="宋体"/>
          <w:b/>
          <w:bCs w:val="0"/>
          <w:u w:val="single"/>
          <w:lang w:eastAsia="zh-CN"/>
        </w:rPr>
        <w:t>-</w:t>
      </w:r>
      <w:r>
        <w:rPr>
          <w:rFonts w:ascii="Times New Roman" w:hAnsi="Times New Roman" w:eastAsia="宋体"/>
          <w:b/>
          <w:bCs w:val="0"/>
          <w:u w:val="single"/>
        </w:rPr>
        <w:fldChar w:fldCharType="begin"/>
      </w:r>
      <w:r>
        <w:rPr>
          <w:rFonts w:ascii="Times New Roman" w:hAnsi="Times New Roman" w:eastAsia="宋体"/>
          <w:b/>
          <w:bCs w:val="0"/>
          <w:u w:val="single"/>
        </w:rPr>
        <w:instrText xml:space="preserve"> SEQ 表 \* ARABIC \s 2 </w:instrText>
      </w:r>
      <w:r>
        <w:rPr>
          <w:rFonts w:ascii="Times New Roman" w:hAnsi="Times New Roman" w:eastAsia="宋体"/>
          <w:b/>
          <w:bCs w:val="0"/>
          <w:u w:val="single"/>
        </w:rPr>
        <w:fldChar w:fldCharType="separate"/>
      </w:r>
      <w:r>
        <w:rPr>
          <w:rFonts w:ascii="Times New Roman" w:hAnsi="Times New Roman" w:eastAsia="宋体"/>
          <w:b/>
          <w:bCs w:val="0"/>
          <w:u w:val="single"/>
        </w:rPr>
        <w:t>7</w:t>
      </w:r>
      <w:r>
        <w:rPr>
          <w:rFonts w:ascii="Times New Roman" w:hAnsi="Times New Roman" w:eastAsia="宋体"/>
          <w:b/>
          <w:bCs w:val="0"/>
          <w:u w:val="single"/>
        </w:rPr>
        <w:fldChar w:fldCharType="end"/>
      </w:r>
      <w:r>
        <w:rPr>
          <w:rFonts w:hint="eastAsia" w:ascii="Times New Roman" w:hAnsi="Times New Roman" w:eastAsia="宋体"/>
          <w:b/>
          <w:bCs w:val="0"/>
          <w:u w:val="single"/>
        </w:rPr>
        <w:t xml:space="preserve"> </w:t>
      </w:r>
      <w:r>
        <w:rPr>
          <w:rFonts w:ascii="Times New Roman" w:hAnsi="Times New Roman" w:eastAsia="宋体"/>
          <w:b/>
          <w:bCs w:val="0"/>
          <w:u w:val="single"/>
        </w:rPr>
        <w:t>地下水预测</w:t>
      </w:r>
      <w:r>
        <w:rPr>
          <w:rFonts w:hint="eastAsia" w:ascii="Times New Roman" w:hAnsi="Times New Roman" w:eastAsia="宋体"/>
          <w:b/>
          <w:bCs w:val="0"/>
          <w:u w:val="single"/>
        </w:rPr>
        <w:t>北厂界叠加值</w:t>
      </w:r>
      <w:r>
        <w:rPr>
          <w:rFonts w:ascii="Times New Roman" w:hAnsi="Times New Roman" w:eastAsia="宋体"/>
          <w:b/>
          <w:bCs w:val="0"/>
          <w:u w:val="single"/>
        </w:rPr>
        <w:t>一览表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243"/>
        <w:gridCol w:w="1076"/>
        <w:gridCol w:w="1511"/>
        <w:gridCol w:w="1149"/>
        <w:gridCol w:w="1458"/>
        <w:gridCol w:w="1279"/>
        <w:gridCol w:w="807"/>
      </w:tblGrid>
      <w:tr w14:paraId="39F4D22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729" w:type="pct"/>
            <w:vMerge w:val="restart"/>
            <w:vAlign w:val="center"/>
          </w:tcPr>
          <w:p w14:paraId="1C3ACC8C">
            <w:pPr>
              <w:pStyle w:val="182"/>
              <w:bidi w:val="0"/>
              <w:rPr>
                <w:b/>
                <w:bCs w:val="0"/>
                <w:color w:val="auto"/>
                <w:u w:val="single"/>
              </w:rPr>
            </w:pPr>
            <w:r>
              <w:rPr>
                <w:rFonts w:hint="eastAsia"/>
                <w:b/>
                <w:bCs w:val="0"/>
                <w:color w:val="auto"/>
                <w:u w:val="single"/>
              </w:rPr>
              <w:t>厂界名称</w:t>
            </w:r>
          </w:p>
        </w:tc>
        <w:tc>
          <w:tcPr>
            <w:tcW w:w="631" w:type="pct"/>
            <w:vMerge w:val="restart"/>
            <w:vAlign w:val="center"/>
          </w:tcPr>
          <w:p w14:paraId="79A54422">
            <w:pPr>
              <w:pStyle w:val="182"/>
              <w:bidi w:val="0"/>
              <w:rPr>
                <w:b/>
                <w:bCs w:val="0"/>
                <w:color w:val="auto"/>
                <w:u w:val="single"/>
              </w:rPr>
            </w:pPr>
            <w:r>
              <w:rPr>
                <w:rFonts w:hint="eastAsia"/>
                <w:b/>
                <w:bCs w:val="0"/>
                <w:color w:val="auto"/>
                <w:u w:val="single"/>
              </w:rPr>
              <w:t>时间</w:t>
            </w:r>
          </w:p>
        </w:tc>
        <w:tc>
          <w:tcPr>
            <w:tcW w:w="3638" w:type="pct"/>
            <w:gridSpan w:val="5"/>
            <w:vAlign w:val="center"/>
          </w:tcPr>
          <w:p w14:paraId="55A42B14">
            <w:pPr>
              <w:pStyle w:val="182"/>
              <w:bidi w:val="0"/>
              <w:rPr>
                <w:b/>
                <w:bCs w:val="0"/>
                <w:color w:val="auto"/>
                <w:u w:val="single"/>
              </w:rPr>
            </w:pPr>
            <w:r>
              <w:rPr>
                <w:rFonts w:hint="eastAsia"/>
                <w:b/>
                <w:bCs w:val="0"/>
                <w:color w:val="auto"/>
                <w:u w:val="single"/>
              </w:rPr>
              <w:t>北厂界</w:t>
            </w:r>
          </w:p>
        </w:tc>
      </w:tr>
      <w:tr w14:paraId="3739617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729" w:type="pct"/>
            <w:vMerge w:val="continue"/>
            <w:vAlign w:val="center"/>
          </w:tcPr>
          <w:p w14:paraId="20BDEC37">
            <w:pPr>
              <w:pStyle w:val="182"/>
              <w:bidi w:val="0"/>
              <w:rPr>
                <w:b/>
                <w:bCs w:val="0"/>
                <w:color w:val="auto"/>
                <w:u w:val="single"/>
              </w:rPr>
            </w:pPr>
          </w:p>
        </w:tc>
        <w:tc>
          <w:tcPr>
            <w:tcW w:w="631" w:type="pct"/>
            <w:vMerge w:val="continue"/>
            <w:vAlign w:val="center"/>
          </w:tcPr>
          <w:p w14:paraId="785B85E0">
            <w:pPr>
              <w:pStyle w:val="182"/>
              <w:bidi w:val="0"/>
              <w:rPr>
                <w:b/>
                <w:bCs w:val="0"/>
                <w:color w:val="auto"/>
                <w:u w:val="single"/>
              </w:rPr>
            </w:pPr>
          </w:p>
        </w:tc>
        <w:tc>
          <w:tcPr>
            <w:tcW w:w="886" w:type="pct"/>
            <w:vAlign w:val="center"/>
          </w:tcPr>
          <w:p w14:paraId="1D1B0F51">
            <w:pPr>
              <w:pStyle w:val="182"/>
              <w:bidi w:val="0"/>
              <w:rPr>
                <w:b/>
                <w:bCs w:val="0"/>
                <w:color w:val="auto"/>
                <w:u w:val="single"/>
              </w:rPr>
            </w:pPr>
            <w:r>
              <w:rPr>
                <w:rFonts w:hint="eastAsia"/>
                <w:b/>
                <w:bCs w:val="0"/>
                <w:color w:val="auto"/>
                <w:u w:val="single"/>
              </w:rPr>
              <w:t>排放源至厂界的距离</w:t>
            </w:r>
          </w:p>
        </w:tc>
        <w:tc>
          <w:tcPr>
            <w:tcW w:w="674" w:type="pct"/>
            <w:vAlign w:val="center"/>
          </w:tcPr>
          <w:p w14:paraId="7E3B8CDF">
            <w:pPr>
              <w:pStyle w:val="182"/>
              <w:bidi w:val="0"/>
              <w:rPr>
                <w:b/>
                <w:bCs w:val="0"/>
                <w:color w:val="auto"/>
                <w:u w:val="single"/>
              </w:rPr>
            </w:pPr>
            <w:r>
              <w:rPr>
                <w:rFonts w:hint="eastAsia"/>
                <w:b/>
                <w:bCs w:val="0"/>
                <w:color w:val="auto"/>
                <w:u w:val="single"/>
              </w:rPr>
              <w:t>预测值</w:t>
            </w:r>
          </w:p>
          <w:p w14:paraId="46FCE695">
            <w:pPr>
              <w:pStyle w:val="182"/>
              <w:bidi w:val="0"/>
              <w:rPr>
                <w:b/>
                <w:bCs w:val="0"/>
                <w:color w:val="auto"/>
                <w:u w:val="single"/>
              </w:rPr>
            </w:pPr>
            <w:r>
              <w:rPr>
                <w:rFonts w:hint="eastAsia"/>
                <w:b/>
                <w:bCs w:val="0"/>
                <w:color w:val="auto"/>
                <w:u w:val="single"/>
              </w:rPr>
              <w:t>浓度</w:t>
            </w:r>
            <w:r>
              <w:rPr>
                <w:b/>
                <w:bCs w:val="0"/>
                <w:color w:val="auto"/>
                <w:u w:val="single"/>
              </w:rPr>
              <w:t>mg/L</w:t>
            </w:r>
          </w:p>
        </w:tc>
        <w:tc>
          <w:tcPr>
            <w:tcW w:w="855" w:type="pct"/>
            <w:vAlign w:val="center"/>
          </w:tcPr>
          <w:p w14:paraId="1D6812DF">
            <w:pPr>
              <w:pStyle w:val="182"/>
              <w:bidi w:val="0"/>
              <w:rPr>
                <w:b/>
                <w:bCs w:val="0"/>
                <w:color w:val="auto"/>
                <w:u w:val="single"/>
              </w:rPr>
            </w:pPr>
            <w:r>
              <w:rPr>
                <w:rFonts w:hint="eastAsia"/>
                <w:b/>
                <w:bCs w:val="0"/>
                <w:color w:val="auto"/>
                <w:u w:val="single"/>
              </w:rPr>
              <w:t>现状背景值浓度</w:t>
            </w:r>
            <w:r>
              <w:rPr>
                <w:b/>
                <w:bCs w:val="0"/>
                <w:color w:val="auto"/>
                <w:u w:val="single"/>
              </w:rPr>
              <w:t>mg/L</w:t>
            </w:r>
          </w:p>
        </w:tc>
        <w:tc>
          <w:tcPr>
            <w:tcW w:w="750" w:type="pct"/>
            <w:vAlign w:val="center"/>
          </w:tcPr>
          <w:p w14:paraId="4C99F1FD">
            <w:pPr>
              <w:pStyle w:val="182"/>
              <w:bidi w:val="0"/>
              <w:rPr>
                <w:b/>
                <w:bCs w:val="0"/>
                <w:color w:val="auto"/>
                <w:u w:val="single"/>
              </w:rPr>
            </w:pPr>
            <w:r>
              <w:rPr>
                <w:rFonts w:hint="eastAsia"/>
                <w:b/>
                <w:bCs w:val="0"/>
                <w:color w:val="auto"/>
                <w:u w:val="single"/>
              </w:rPr>
              <w:t>叠加值</w:t>
            </w:r>
          </w:p>
          <w:p w14:paraId="200AC05F">
            <w:pPr>
              <w:pStyle w:val="182"/>
              <w:bidi w:val="0"/>
              <w:rPr>
                <w:b/>
                <w:bCs w:val="0"/>
                <w:color w:val="auto"/>
                <w:u w:val="single"/>
              </w:rPr>
            </w:pPr>
            <w:r>
              <w:rPr>
                <w:rFonts w:hint="eastAsia"/>
                <w:b/>
                <w:bCs w:val="0"/>
                <w:color w:val="auto"/>
                <w:u w:val="single"/>
              </w:rPr>
              <w:t>浓度</w:t>
            </w:r>
            <w:r>
              <w:rPr>
                <w:b/>
                <w:bCs w:val="0"/>
                <w:color w:val="auto"/>
                <w:u w:val="single"/>
              </w:rPr>
              <w:t>mg/L</w:t>
            </w:r>
          </w:p>
        </w:tc>
        <w:tc>
          <w:tcPr>
            <w:tcW w:w="472" w:type="pct"/>
            <w:vAlign w:val="center"/>
          </w:tcPr>
          <w:p w14:paraId="379761BA">
            <w:pPr>
              <w:pStyle w:val="182"/>
              <w:bidi w:val="0"/>
              <w:rPr>
                <w:b/>
                <w:bCs w:val="0"/>
                <w:color w:val="auto"/>
                <w:u w:val="single"/>
              </w:rPr>
            </w:pPr>
            <w:r>
              <w:rPr>
                <w:rFonts w:hint="eastAsia"/>
                <w:b/>
                <w:bCs w:val="0"/>
                <w:color w:val="auto"/>
                <w:u w:val="single"/>
              </w:rPr>
              <w:t>超标情况</w:t>
            </w:r>
          </w:p>
        </w:tc>
      </w:tr>
      <w:tr w14:paraId="57CB39F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9" w:type="pct"/>
            <w:vMerge w:val="restart"/>
            <w:vAlign w:val="center"/>
          </w:tcPr>
          <w:p w14:paraId="53543E2D">
            <w:pPr>
              <w:pStyle w:val="182"/>
              <w:bidi w:val="0"/>
              <w:ind w:firstLine="0" w:firstLineChars="0"/>
              <w:rPr>
                <w:rFonts w:hint="eastAsia" w:eastAsia="宋体"/>
                <w:b/>
                <w:bCs w:val="0"/>
                <w:color w:val="auto"/>
                <w:u w:val="single"/>
                <w:lang w:eastAsia="zh-CN"/>
              </w:rPr>
            </w:pPr>
            <w:r>
              <w:rPr>
                <w:rFonts w:hint="eastAsia"/>
                <w:b/>
                <w:bCs w:val="0"/>
                <w:color w:val="auto"/>
                <w:u w:val="single"/>
                <w:lang w:val="en-US" w:eastAsia="zh-CN"/>
              </w:rPr>
              <w:t>耗氧量</w:t>
            </w:r>
          </w:p>
        </w:tc>
        <w:tc>
          <w:tcPr>
            <w:tcW w:w="631" w:type="pct"/>
            <w:vAlign w:val="center"/>
          </w:tcPr>
          <w:p w14:paraId="5EEA97F5">
            <w:pPr>
              <w:pStyle w:val="182"/>
              <w:bidi w:val="0"/>
              <w:ind w:firstLine="0" w:firstLineChars="0"/>
              <w:rPr>
                <w:b/>
                <w:bCs w:val="0"/>
                <w:color w:val="auto"/>
                <w:u w:val="single"/>
              </w:rPr>
            </w:pPr>
            <w:r>
              <w:rPr>
                <w:b/>
                <w:bCs w:val="0"/>
                <w:color w:val="auto"/>
                <w:u w:val="single"/>
              </w:rPr>
              <w:t>100d</w:t>
            </w:r>
          </w:p>
        </w:tc>
        <w:tc>
          <w:tcPr>
            <w:tcW w:w="886" w:type="pct"/>
            <w:vMerge w:val="restart"/>
            <w:vAlign w:val="center"/>
          </w:tcPr>
          <w:p w14:paraId="54B123CE">
            <w:pPr>
              <w:pStyle w:val="182"/>
              <w:bidi w:val="0"/>
              <w:ind w:firstLine="0" w:firstLineChars="0"/>
              <w:rPr>
                <w:b/>
                <w:bCs w:val="0"/>
                <w:color w:val="auto"/>
                <w:u w:val="single"/>
              </w:rPr>
            </w:pPr>
            <w:r>
              <w:rPr>
                <w:rFonts w:hint="eastAsia"/>
                <w:b/>
                <w:bCs w:val="0"/>
                <w:color w:val="auto"/>
                <w:u w:val="single"/>
                <w:lang w:val="en-US" w:eastAsia="zh-CN"/>
              </w:rPr>
              <w:t>100</w:t>
            </w:r>
            <w:r>
              <w:rPr>
                <w:b/>
                <w:bCs w:val="0"/>
                <w:color w:val="auto"/>
                <w:u w:val="single"/>
              </w:rPr>
              <w:t xml:space="preserve"> m</w:t>
            </w:r>
          </w:p>
        </w:tc>
        <w:tc>
          <w:tcPr>
            <w:tcW w:w="674" w:type="pct"/>
            <w:vAlign w:val="center"/>
          </w:tcPr>
          <w:p w14:paraId="6ABFAA7F">
            <w:pPr>
              <w:pStyle w:val="182"/>
              <w:bidi w:val="0"/>
              <w:ind w:firstLine="0" w:firstLineChars="0"/>
              <w:rPr>
                <w:b/>
                <w:bCs w:val="0"/>
                <w:color w:val="auto"/>
                <w:u w:val="single"/>
              </w:rPr>
            </w:pPr>
            <w:r>
              <w:rPr>
                <w:b/>
                <w:bCs w:val="0"/>
                <w:color w:val="auto"/>
                <w:u w:val="single"/>
              </w:rPr>
              <w:t>0</w:t>
            </w:r>
          </w:p>
        </w:tc>
        <w:tc>
          <w:tcPr>
            <w:tcW w:w="855" w:type="pct"/>
            <w:vMerge w:val="restart"/>
            <w:vAlign w:val="center"/>
          </w:tcPr>
          <w:p w14:paraId="61B08C7F">
            <w:pPr>
              <w:pStyle w:val="182"/>
              <w:bidi w:val="0"/>
              <w:ind w:firstLine="0" w:firstLineChars="0"/>
              <w:rPr>
                <w:b/>
                <w:bCs w:val="0"/>
                <w:color w:val="auto"/>
                <w:u w:val="single"/>
              </w:rPr>
            </w:pPr>
            <w:r>
              <w:rPr>
                <w:rFonts w:hint="eastAsia"/>
                <w:b/>
                <w:bCs w:val="0"/>
                <w:color w:val="auto"/>
                <w:u w:val="single"/>
                <w:lang w:val="en-US" w:eastAsia="zh-CN"/>
              </w:rPr>
              <w:t>0.75</w:t>
            </w:r>
          </w:p>
        </w:tc>
        <w:tc>
          <w:tcPr>
            <w:tcW w:w="750" w:type="pct"/>
            <w:vAlign w:val="center"/>
          </w:tcPr>
          <w:p w14:paraId="56A08101">
            <w:pPr>
              <w:pStyle w:val="182"/>
              <w:bidi w:val="0"/>
              <w:ind w:firstLine="0" w:firstLineChars="0"/>
              <w:rPr>
                <w:rFonts w:hint="eastAsia"/>
                <w:b/>
                <w:bCs w:val="0"/>
                <w:color w:val="auto"/>
                <w:u w:val="single"/>
                <w:lang w:val="en-US" w:eastAsia="zh-CN"/>
              </w:rPr>
            </w:pPr>
            <w:r>
              <w:rPr>
                <w:rFonts w:hint="eastAsia"/>
                <w:b/>
                <w:bCs w:val="0"/>
                <w:color w:val="auto"/>
                <w:u w:val="single"/>
                <w:lang w:val="en-US" w:eastAsia="zh-CN"/>
              </w:rPr>
              <w:t>0.75</w:t>
            </w:r>
          </w:p>
        </w:tc>
        <w:tc>
          <w:tcPr>
            <w:tcW w:w="472" w:type="pct"/>
            <w:vAlign w:val="center"/>
          </w:tcPr>
          <w:p w14:paraId="7C29D0DE">
            <w:pPr>
              <w:pStyle w:val="182"/>
              <w:bidi w:val="0"/>
              <w:ind w:firstLine="0" w:firstLineChars="0"/>
              <w:rPr>
                <w:b/>
                <w:bCs w:val="0"/>
                <w:color w:val="auto"/>
                <w:u w:val="single"/>
              </w:rPr>
            </w:pPr>
            <w:r>
              <w:rPr>
                <w:rFonts w:hint="eastAsia"/>
                <w:b/>
                <w:bCs w:val="0"/>
                <w:color w:val="auto"/>
                <w:u w:val="single"/>
              </w:rPr>
              <w:t>达标</w:t>
            </w:r>
          </w:p>
        </w:tc>
      </w:tr>
      <w:tr w14:paraId="4ABE732B">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9" w:type="pct"/>
            <w:vMerge w:val="continue"/>
            <w:vAlign w:val="center"/>
          </w:tcPr>
          <w:p w14:paraId="305C5D10">
            <w:pPr>
              <w:pStyle w:val="182"/>
              <w:bidi w:val="0"/>
              <w:ind w:firstLine="0" w:firstLineChars="0"/>
              <w:rPr>
                <w:b/>
                <w:bCs w:val="0"/>
                <w:color w:val="auto"/>
                <w:u w:val="single"/>
              </w:rPr>
            </w:pPr>
          </w:p>
        </w:tc>
        <w:tc>
          <w:tcPr>
            <w:tcW w:w="631" w:type="pct"/>
            <w:vAlign w:val="center"/>
          </w:tcPr>
          <w:p w14:paraId="36AAD7A0">
            <w:pPr>
              <w:pStyle w:val="182"/>
              <w:bidi w:val="0"/>
              <w:ind w:firstLine="0" w:firstLineChars="0"/>
              <w:rPr>
                <w:b/>
                <w:bCs w:val="0"/>
                <w:color w:val="auto"/>
                <w:u w:val="single"/>
              </w:rPr>
            </w:pPr>
            <w:r>
              <w:rPr>
                <w:b/>
                <w:bCs w:val="0"/>
                <w:color w:val="auto"/>
                <w:u w:val="single"/>
              </w:rPr>
              <w:t>500d</w:t>
            </w:r>
          </w:p>
        </w:tc>
        <w:tc>
          <w:tcPr>
            <w:tcW w:w="886" w:type="pct"/>
            <w:vMerge w:val="continue"/>
            <w:vAlign w:val="center"/>
          </w:tcPr>
          <w:p w14:paraId="24DBCFD8">
            <w:pPr>
              <w:pStyle w:val="182"/>
              <w:bidi w:val="0"/>
              <w:ind w:firstLine="0" w:firstLineChars="0"/>
              <w:rPr>
                <w:b/>
                <w:bCs w:val="0"/>
                <w:color w:val="auto"/>
                <w:u w:val="single"/>
              </w:rPr>
            </w:pPr>
          </w:p>
        </w:tc>
        <w:tc>
          <w:tcPr>
            <w:tcW w:w="674" w:type="pct"/>
            <w:vAlign w:val="center"/>
          </w:tcPr>
          <w:p w14:paraId="6DA5230C">
            <w:pPr>
              <w:pStyle w:val="182"/>
              <w:bidi w:val="0"/>
              <w:ind w:firstLine="0" w:firstLineChars="0"/>
              <w:rPr>
                <w:rFonts w:hint="default" w:eastAsia="宋体"/>
                <w:b/>
                <w:bCs w:val="0"/>
                <w:color w:val="auto"/>
                <w:u w:val="single"/>
                <w:lang w:val="en-US" w:eastAsia="zh-CN"/>
              </w:rPr>
            </w:pPr>
            <w:r>
              <w:rPr>
                <w:b/>
                <w:bCs w:val="0"/>
                <w:color w:val="auto"/>
                <w:u w:val="single"/>
              </w:rPr>
              <w:t>0</w:t>
            </w:r>
          </w:p>
        </w:tc>
        <w:tc>
          <w:tcPr>
            <w:tcW w:w="855" w:type="pct"/>
            <w:vMerge w:val="continue"/>
            <w:vAlign w:val="center"/>
          </w:tcPr>
          <w:p w14:paraId="0D467A43">
            <w:pPr>
              <w:pStyle w:val="182"/>
              <w:bidi w:val="0"/>
              <w:ind w:firstLine="0" w:firstLineChars="0"/>
              <w:rPr>
                <w:b/>
                <w:bCs w:val="0"/>
                <w:color w:val="auto"/>
                <w:u w:val="single"/>
              </w:rPr>
            </w:pPr>
          </w:p>
        </w:tc>
        <w:tc>
          <w:tcPr>
            <w:tcW w:w="750" w:type="pct"/>
            <w:vAlign w:val="center"/>
          </w:tcPr>
          <w:p w14:paraId="002EB330">
            <w:pPr>
              <w:pStyle w:val="182"/>
              <w:bidi w:val="0"/>
              <w:ind w:firstLine="0" w:firstLineChars="0"/>
              <w:rPr>
                <w:rFonts w:hint="eastAsia"/>
                <w:b/>
                <w:bCs w:val="0"/>
                <w:color w:val="auto"/>
                <w:u w:val="single"/>
                <w:lang w:val="en-US" w:eastAsia="zh-CN"/>
              </w:rPr>
            </w:pPr>
            <w:r>
              <w:rPr>
                <w:rFonts w:hint="eastAsia"/>
                <w:b/>
                <w:bCs w:val="0"/>
                <w:color w:val="auto"/>
                <w:u w:val="single"/>
                <w:lang w:val="en-US" w:eastAsia="zh-CN"/>
              </w:rPr>
              <w:t>0.75</w:t>
            </w:r>
          </w:p>
        </w:tc>
        <w:tc>
          <w:tcPr>
            <w:tcW w:w="472" w:type="pct"/>
            <w:vAlign w:val="center"/>
          </w:tcPr>
          <w:p w14:paraId="7589F19B">
            <w:pPr>
              <w:pStyle w:val="182"/>
              <w:bidi w:val="0"/>
              <w:ind w:firstLine="0" w:firstLineChars="0"/>
              <w:rPr>
                <w:b/>
                <w:bCs w:val="0"/>
                <w:color w:val="auto"/>
                <w:u w:val="single"/>
              </w:rPr>
            </w:pPr>
            <w:r>
              <w:rPr>
                <w:rFonts w:hint="eastAsia"/>
                <w:b/>
                <w:bCs w:val="0"/>
                <w:color w:val="auto"/>
                <w:u w:val="single"/>
              </w:rPr>
              <w:t>达标</w:t>
            </w:r>
          </w:p>
        </w:tc>
      </w:tr>
      <w:tr w14:paraId="06E5A28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9" w:type="pct"/>
            <w:vMerge w:val="continue"/>
            <w:vAlign w:val="center"/>
          </w:tcPr>
          <w:p w14:paraId="1DF00DB2">
            <w:pPr>
              <w:pStyle w:val="182"/>
              <w:bidi w:val="0"/>
              <w:ind w:firstLine="0" w:firstLineChars="0"/>
              <w:rPr>
                <w:b/>
                <w:bCs w:val="0"/>
                <w:color w:val="auto"/>
                <w:u w:val="single"/>
              </w:rPr>
            </w:pPr>
          </w:p>
        </w:tc>
        <w:tc>
          <w:tcPr>
            <w:tcW w:w="631" w:type="pct"/>
            <w:vAlign w:val="center"/>
          </w:tcPr>
          <w:p w14:paraId="755D0BB1">
            <w:pPr>
              <w:pStyle w:val="182"/>
              <w:bidi w:val="0"/>
              <w:ind w:firstLine="0" w:firstLineChars="0"/>
              <w:rPr>
                <w:b/>
                <w:bCs w:val="0"/>
                <w:color w:val="auto"/>
                <w:u w:val="single"/>
              </w:rPr>
            </w:pPr>
            <w:r>
              <w:rPr>
                <w:b/>
                <w:bCs w:val="0"/>
                <w:color w:val="auto"/>
                <w:u w:val="single"/>
              </w:rPr>
              <w:t>1000d</w:t>
            </w:r>
          </w:p>
        </w:tc>
        <w:tc>
          <w:tcPr>
            <w:tcW w:w="886" w:type="pct"/>
            <w:vMerge w:val="continue"/>
            <w:vAlign w:val="center"/>
          </w:tcPr>
          <w:p w14:paraId="12B72D0B">
            <w:pPr>
              <w:pStyle w:val="182"/>
              <w:bidi w:val="0"/>
              <w:ind w:firstLine="0" w:firstLineChars="0"/>
              <w:rPr>
                <w:b/>
                <w:bCs w:val="0"/>
                <w:color w:val="auto"/>
                <w:u w:val="single"/>
              </w:rPr>
            </w:pPr>
          </w:p>
        </w:tc>
        <w:tc>
          <w:tcPr>
            <w:tcW w:w="674" w:type="pct"/>
            <w:vAlign w:val="center"/>
          </w:tcPr>
          <w:p w14:paraId="595288A8">
            <w:pPr>
              <w:pStyle w:val="182"/>
              <w:bidi w:val="0"/>
              <w:ind w:firstLine="0" w:firstLineChars="0"/>
              <w:rPr>
                <w:rFonts w:hint="default" w:eastAsia="宋体"/>
                <w:b/>
                <w:bCs w:val="0"/>
                <w:color w:val="auto"/>
                <w:u w:val="single"/>
                <w:lang w:val="en-US" w:eastAsia="zh-CN"/>
              </w:rPr>
            </w:pPr>
            <w:r>
              <w:rPr>
                <w:rFonts w:hint="eastAsia"/>
                <w:b/>
                <w:bCs w:val="0"/>
                <w:color w:val="auto"/>
                <w:u w:val="single"/>
                <w:lang w:val="en-US" w:eastAsia="zh-CN"/>
              </w:rPr>
              <w:t>0.01</w:t>
            </w:r>
          </w:p>
        </w:tc>
        <w:tc>
          <w:tcPr>
            <w:tcW w:w="855" w:type="pct"/>
            <w:vMerge w:val="continue"/>
            <w:vAlign w:val="center"/>
          </w:tcPr>
          <w:p w14:paraId="1B933391">
            <w:pPr>
              <w:pStyle w:val="182"/>
              <w:bidi w:val="0"/>
              <w:ind w:firstLine="0" w:firstLineChars="0"/>
              <w:rPr>
                <w:b/>
                <w:bCs w:val="0"/>
                <w:color w:val="auto"/>
                <w:u w:val="single"/>
              </w:rPr>
            </w:pPr>
          </w:p>
        </w:tc>
        <w:tc>
          <w:tcPr>
            <w:tcW w:w="750" w:type="pct"/>
            <w:vAlign w:val="center"/>
          </w:tcPr>
          <w:p w14:paraId="112AAB9E">
            <w:pPr>
              <w:pStyle w:val="182"/>
              <w:bidi w:val="0"/>
              <w:ind w:firstLine="0" w:firstLineChars="0"/>
              <w:rPr>
                <w:rFonts w:hint="eastAsia"/>
                <w:b/>
                <w:bCs w:val="0"/>
                <w:color w:val="auto"/>
                <w:u w:val="single"/>
                <w:lang w:val="en-US" w:eastAsia="zh-CN"/>
              </w:rPr>
            </w:pPr>
            <w:r>
              <w:rPr>
                <w:rFonts w:hint="eastAsia"/>
                <w:b/>
                <w:bCs w:val="0"/>
                <w:color w:val="auto"/>
                <w:u w:val="single"/>
                <w:lang w:val="en-US" w:eastAsia="zh-CN"/>
              </w:rPr>
              <w:t>0.76</w:t>
            </w:r>
          </w:p>
        </w:tc>
        <w:tc>
          <w:tcPr>
            <w:tcW w:w="472" w:type="pct"/>
            <w:vAlign w:val="center"/>
          </w:tcPr>
          <w:p w14:paraId="095B37E5">
            <w:pPr>
              <w:pStyle w:val="182"/>
              <w:bidi w:val="0"/>
              <w:ind w:firstLine="0" w:firstLineChars="0"/>
              <w:rPr>
                <w:rFonts w:hint="eastAsia" w:eastAsia="宋体"/>
                <w:b/>
                <w:bCs w:val="0"/>
                <w:color w:val="auto"/>
                <w:u w:val="single"/>
                <w:lang w:eastAsia="zh-CN"/>
              </w:rPr>
            </w:pPr>
            <w:r>
              <w:rPr>
                <w:rFonts w:hint="eastAsia"/>
                <w:b/>
                <w:bCs w:val="0"/>
                <w:color w:val="auto"/>
                <w:u w:val="single"/>
              </w:rPr>
              <w:t>达标</w:t>
            </w:r>
          </w:p>
        </w:tc>
      </w:tr>
      <w:tr w14:paraId="7EFA8999">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9" w:type="pct"/>
            <w:vMerge w:val="restart"/>
            <w:vAlign w:val="center"/>
          </w:tcPr>
          <w:p w14:paraId="44132B11">
            <w:pPr>
              <w:pStyle w:val="182"/>
              <w:bidi w:val="0"/>
              <w:ind w:firstLine="0" w:firstLineChars="0"/>
              <w:rPr>
                <w:b/>
                <w:bCs w:val="0"/>
                <w:color w:val="auto"/>
                <w:u w:val="single"/>
              </w:rPr>
            </w:pPr>
            <w:r>
              <w:rPr>
                <w:rFonts w:hint="eastAsia"/>
                <w:b/>
                <w:bCs w:val="0"/>
                <w:color w:val="auto"/>
                <w:u w:val="single"/>
              </w:rPr>
              <w:t>氨氮</w:t>
            </w:r>
          </w:p>
        </w:tc>
        <w:tc>
          <w:tcPr>
            <w:tcW w:w="631" w:type="pct"/>
            <w:vAlign w:val="center"/>
          </w:tcPr>
          <w:p w14:paraId="58B97752">
            <w:pPr>
              <w:pStyle w:val="182"/>
              <w:bidi w:val="0"/>
              <w:ind w:firstLine="0" w:firstLineChars="0"/>
              <w:rPr>
                <w:b/>
                <w:bCs w:val="0"/>
                <w:color w:val="auto"/>
                <w:u w:val="single"/>
              </w:rPr>
            </w:pPr>
            <w:r>
              <w:rPr>
                <w:b/>
                <w:bCs w:val="0"/>
                <w:color w:val="auto"/>
                <w:u w:val="single"/>
              </w:rPr>
              <w:t>100d</w:t>
            </w:r>
          </w:p>
        </w:tc>
        <w:tc>
          <w:tcPr>
            <w:tcW w:w="886" w:type="pct"/>
            <w:vMerge w:val="restart"/>
            <w:vAlign w:val="center"/>
          </w:tcPr>
          <w:p w14:paraId="40BEC4C5">
            <w:pPr>
              <w:pStyle w:val="182"/>
              <w:bidi w:val="0"/>
              <w:ind w:firstLine="0" w:firstLineChars="0"/>
              <w:rPr>
                <w:b/>
                <w:bCs w:val="0"/>
                <w:color w:val="auto"/>
                <w:u w:val="single"/>
              </w:rPr>
            </w:pPr>
            <w:r>
              <w:rPr>
                <w:rFonts w:hint="eastAsia"/>
                <w:b/>
                <w:bCs w:val="0"/>
                <w:color w:val="auto"/>
                <w:u w:val="single"/>
                <w:lang w:val="en-US" w:eastAsia="zh-CN"/>
              </w:rPr>
              <w:t>100</w:t>
            </w:r>
            <w:r>
              <w:rPr>
                <w:b/>
                <w:bCs w:val="0"/>
                <w:color w:val="auto"/>
                <w:u w:val="single"/>
              </w:rPr>
              <w:t>m</w:t>
            </w:r>
          </w:p>
        </w:tc>
        <w:tc>
          <w:tcPr>
            <w:tcW w:w="674" w:type="pct"/>
            <w:vAlign w:val="center"/>
          </w:tcPr>
          <w:p w14:paraId="1F9A1596">
            <w:pPr>
              <w:pStyle w:val="182"/>
              <w:bidi w:val="0"/>
              <w:ind w:firstLine="0" w:firstLineChars="0"/>
              <w:rPr>
                <w:b/>
                <w:bCs w:val="0"/>
                <w:color w:val="auto"/>
                <w:u w:val="single"/>
              </w:rPr>
            </w:pPr>
            <w:r>
              <w:rPr>
                <w:b/>
                <w:bCs w:val="0"/>
                <w:color w:val="auto"/>
                <w:u w:val="single"/>
              </w:rPr>
              <w:t>0</w:t>
            </w:r>
          </w:p>
        </w:tc>
        <w:tc>
          <w:tcPr>
            <w:tcW w:w="855" w:type="pct"/>
            <w:vMerge w:val="restart"/>
            <w:vAlign w:val="center"/>
          </w:tcPr>
          <w:p w14:paraId="12E748CB">
            <w:pPr>
              <w:pStyle w:val="182"/>
              <w:bidi w:val="0"/>
              <w:ind w:firstLine="0" w:firstLineChars="0"/>
              <w:rPr>
                <w:b/>
                <w:bCs w:val="0"/>
                <w:color w:val="auto"/>
                <w:u w:val="single"/>
              </w:rPr>
            </w:pPr>
            <w:r>
              <w:rPr>
                <w:rFonts w:hint="eastAsia"/>
                <w:b/>
                <w:bCs w:val="0"/>
                <w:color w:val="auto"/>
                <w:u w:val="single"/>
                <w:lang w:val="en-US" w:eastAsia="zh-CN"/>
              </w:rPr>
              <w:t>0.123</w:t>
            </w:r>
          </w:p>
        </w:tc>
        <w:tc>
          <w:tcPr>
            <w:tcW w:w="750" w:type="pct"/>
            <w:vAlign w:val="center"/>
          </w:tcPr>
          <w:p w14:paraId="40E94075">
            <w:pPr>
              <w:pStyle w:val="182"/>
              <w:bidi w:val="0"/>
              <w:ind w:firstLine="0" w:firstLineChars="0"/>
              <w:rPr>
                <w:b/>
                <w:bCs w:val="0"/>
                <w:color w:val="auto"/>
                <w:u w:val="single"/>
              </w:rPr>
            </w:pPr>
            <w:r>
              <w:rPr>
                <w:rFonts w:hint="eastAsia"/>
                <w:b/>
                <w:bCs w:val="0"/>
                <w:color w:val="auto"/>
                <w:u w:val="single"/>
                <w:lang w:val="en-US" w:eastAsia="zh-CN"/>
              </w:rPr>
              <w:t>0.123</w:t>
            </w:r>
          </w:p>
        </w:tc>
        <w:tc>
          <w:tcPr>
            <w:tcW w:w="472" w:type="pct"/>
            <w:vAlign w:val="center"/>
          </w:tcPr>
          <w:p w14:paraId="79D382B3">
            <w:pPr>
              <w:pStyle w:val="182"/>
              <w:bidi w:val="0"/>
              <w:ind w:firstLine="0" w:firstLineChars="0"/>
              <w:rPr>
                <w:b/>
                <w:bCs w:val="0"/>
                <w:color w:val="auto"/>
                <w:u w:val="single"/>
              </w:rPr>
            </w:pPr>
            <w:r>
              <w:rPr>
                <w:rFonts w:hint="eastAsia"/>
                <w:b/>
                <w:bCs w:val="0"/>
                <w:color w:val="auto"/>
                <w:u w:val="single"/>
              </w:rPr>
              <w:t>达标</w:t>
            </w:r>
          </w:p>
        </w:tc>
      </w:tr>
      <w:tr w14:paraId="46990DE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9" w:type="pct"/>
            <w:vMerge w:val="continue"/>
            <w:vAlign w:val="center"/>
          </w:tcPr>
          <w:p w14:paraId="2105507E">
            <w:pPr>
              <w:pStyle w:val="182"/>
              <w:bidi w:val="0"/>
              <w:ind w:firstLine="0" w:firstLineChars="0"/>
              <w:rPr>
                <w:b/>
                <w:bCs w:val="0"/>
                <w:color w:val="auto"/>
                <w:u w:val="single"/>
              </w:rPr>
            </w:pPr>
          </w:p>
        </w:tc>
        <w:tc>
          <w:tcPr>
            <w:tcW w:w="631" w:type="pct"/>
            <w:vAlign w:val="center"/>
          </w:tcPr>
          <w:p w14:paraId="1C9C0441">
            <w:pPr>
              <w:pStyle w:val="182"/>
              <w:bidi w:val="0"/>
              <w:ind w:firstLine="0" w:firstLineChars="0"/>
              <w:rPr>
                <w:b/>
                <w:bCs w:val="0"/>
                <w:color w:val="auto"/>
                <w:u w:val="single"/>
              </w:rPr>
            </w:pPr>
            <w:r>
              <w:rPr>
                <w:b/>
                <w:bCs w:val="0"/>
                <w:color w:val="auto"/>
                <w:u w:val="single"/>
              </w:rPr>
              <w:t>500 d</w:t>
            </w:r>
          </w:p>
        </w:tc>
        <w:tc>
          <w:tcPr>
            <w:tcW w:w="886" w:type="pct"/>
            <w:vMerge w:val="continue"/>
            <w:vAlign w:val="center"/>
          </w:tcPr>
          <w:p w14:paraId="77D54C0B">
            <w:pPr>
              <w:pStyle w:val="182"/>
              <w:bidi w:val="0"/>
              <w:ind w:firstLine="0" w:firstLineChars="0"/>
              <w:rPr>
                <w:b/>
                <w:bCs w:val="0"/>
                <w:color w:val="auto"/>
                <w:u w:val="single"/>
              </w:rPr>
            </w:pPr>
          </w:p>
        </w:tc>
        <w:tc>
          <w:tcPr>
            <w:tcW w:w="674" w:type="pct"/>
            <w:vAlign w:val="center"/>
          </w:tcPr>
          <w:p w14:paraId="330599F7">
            <w:pPr>
              <w:pStyle w:val="182"/>
              <w:bidi w:val="0"/>
              <w:ind w:firstLine="0" w:firstLineChars="0"/>
              <w:rPr>
                <w:b/>
                <w:bCs w:val="0"/>
                <w:color w:val="auto"/>
                <w:u w:val="single"/>
              </w:rPr>
            </w:pPr>
            <w:r>
              <w:rPr>
                <w:b/>
                <w:bCs w:val="0"/>
                <w:color w:val="auto"/>
                <w:u w:val="single"/>
              </w:rPr>
              <w:t>0</w:t>
            </w:r>
          </w:p>
        </w:tc>
        <w:tc>
          <w:tcPr>
            <w:tcW w:w="855" w:type="pct"/>
            <w:vMerge w:val="continue"/>
            <w:vAlign w:val="center"/>
          </w:tcPr>
          <w:p w14:paraId="0DC346BB">
            <w:pPr>
              <w:pStyle w:val="182"/>
              <w:bidi w:val="0"/>
              <w:ind w:firstLine="0" w:firstLineChars="0"/>
              <w:rPr>
                <w:rFonts w:hint="eastAsia" w:eastAsia="宋体"/>
                <w:b/>
                <w:bCs w:val="0"/>
                <w:color w:val="auto"/>
                <w:u w:val="single"/>
                <w:lang w:eastAsia="zh-CN"/>
              </w:rPr>
            </w:pPr>
          </w:p>
        </w:tc>
        <w:tc>
          <w:tcPr>
            <w:tcW w:w="750" w:type="pct"/>
            <w:vAlign w:val="center"/>
          </w:tcPr>
          <w:p w14:paraId="47419FB9">
            <w:pPr>
              <w:pStyle w:val="182"/>
              <w:bidi w:val="0"/>
              <w:ind w:firstLine="0" w:firstLineChars="0"/>
              <w:rPr>
                <w:b/>
                <w:bCs w:val="0"/>
                <w:color w:val="auto"/>
                <w:u w:val="single"/>
              </w:rPr>
            </w:pPr>
            <w:r>
              <w:rPr>
                <w:rFonts w:hint="eastAsia"/>
                <w:b/>
                <w:bCs w:val="0"/>
                <w:color w:val="auto"/>
                <w:u w:val="single"/>
                <w:lang w:val="en-US" w:eastAsia="zh-CN"/>
              </w:rPr>
              <w:t>0.123</w:t>
            </w:r>
          </w:p>
        </w:tc>
        <w:tc>
          <w:tcPr>
            <w:tcW w:w="472" w:type="pct"/>
            <w:vAlign w:val="center"/>
          </w:tcPr>
          <w:p w14:paraId="04CAED75">
            <w:pPr>
              <w:pStyle w:val="182"/>
              <w:bidi w:val="0"/>
              <w:ind w:firstLine="0" w:firstLineChars="0"/>
              <w:rPr>
                <w:b/>
                <w:bCs w:val="0"/>
                <w:color w:val="auto"/>
                <w:u w:val="single"/>
              </w:rPr>
            </w:pPr>
            <w:r>
              <w:rPr>
                <w:rFonts w:hint="eastAsia"/>
                <w:b/>
                <w:bCs w:val="0"/>
                <w:color w:val="auto"/>
                <w:u w:val="single"/>
              </w:rPr>
              <w:t>达标</w:t>
            </w:r>
          </w:p>
        </w:tc>
      </w:tr>
      <w:tr w14:paraId="5654FF8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9" w:type="pct"/>
            <w:vMerge w:val="continue"/>
            <w:vAlign w:val="center"/>
          </w:tcPr>
          <w:p w14:paraId="553D7552">
            <w:pPr>
              <w:pStyle w:val="182"/>
              <w:bidi w:val="0"/>
              <w:ind w:firstLine="0" w:firstLineChars="0"/>
              <w:rPr>
                <w:b/>
                <w:bCs w:val="0"/>
                <w:color w:val="auto"/>
                <w:u w:val="single"/>
              </w:rPr>
            </w:pPr>
          </w:p>
        </w:tc>
        <w:tc>
          <w:tcPr>
            <w:tcW w:w="631" w:type="pct"/>
            <w:vAlign w:val="center"/>
          </w:tcPr>
          <w:p w14:paraId="643E5919">
            <w:pPr>
              <w:pStyle w:val="182"/>
              <w:bidi w:val="0"/>
              <w:ind w:firstLine="0" w:firstLineChars="0"/>
              <w:rPr>
                <w:b/>
                <w:bCs w:val="0"/>
                <w:color w:val="auto"/>
                <w:u w:val="single"/>
              </w:rPr>
            </w:pPr>
            <w:r>
              <w:rPr>
                <w:b/>
                <w:bCs w:val="0"/>
                <w:color w:val="auto"/>
                <w:u w:val="single"/>
              </w:rPr>
              <w:t>1000d</w:t>
            </w:r>
          </w:p>
        </w:tc>
        <w:tc>
          <w:tcPr>
            <w:tcW w:w="886" w:type="pct"/>
            <w:vMerge w:val="continue"/>
            <w:vAlign w:val="center"/>
          </w:tcPr>
          <w:p w14:paraId="20FA7AE4">
            <w:pPr>
              <w:pStyle w:val="182"/>
              <w:bidi w:val="0"/>
              <w:ind w:firstLine="0" w:firstLineChars="0"/>
              <w:rPr>
                <w:b/>
                <w:bCs w:val="0"/>
                <w:color w:val="auto"/>
                <w:u w:val="single"/>
              </w:rPr>
            </w:pPr>
          </w:p>
        </w:tc>
        <w:tc>
          <w:tcPr>
            <w:tcW w:w="674" w:type="pct"/>
            <w:vAlign w:val="center"/>
          </w:tcPr>
          <w:p w14:paraId="100EA6CD">
            <w:pPr>
              <w:pStyle w:val="182"/>
              <w:bidi w:val="0"/>
              <w:ind w:firstLine="0" w:firstLineChars="0"/>
              <w:rPr>
                <w:rFonts w:hint="default" w:eastAsia="宋体"/>
                <w:b/>
                <w:bCs w:val="0"/>
                <w:color w:val="auto"/>
                <w:u w:val="single"/>
                <w:lang w:val="en-US" w:eastAsia="zh-CN"/>
              </w:rPr>
            </w:pPr>
            <w:r>
              <w:rPr>
                <w:rFonts w:hint="eastAsia"/>
                <w:b/>
                <w:bCs w:val="0"/>
                <w:color w:val="auto"/>
                <w:u w:val="single"/>
                <w:lang w:val="en-US" w:eastAsia="zh-CN"/>
              </w:rPr>
              <w:t>0</w:t>
            </w:r>
          </w:p>
        </w:tc>
        <w:tc>
          <w:tcPr>
            <w:tcW w:w="855" w:type="pct"/>
            <w:vMerge w:val="continue"/>
            <w:vAlign w:val="center"/>
          </w:tcPr>
          <w:p w14:paraId="3BA81AA9">
            <w:pPr>
              <w:pStyle w:val="182"/>
              <w:bidi w:val="0"/>
              <w:ind w:firstLine="0" w:firstLineChars="0"/>
              <w:rPr>
                <w:b/>
                <w:bCs w:val="0"/>
                <w:color w:val="auto"/>
                <w:u w:val="single"/>
              </w:rPr>
            </w:pPr>
          </w:p>
        </w:tc>
        <w:tc>
          <w:tcPr>
            <w:tcW w:w="750" w:type="pct"/>
            <w:vAlign w:val="center"/>
          </w:tcPr>
          <w:p w14:paraId="67D742D8">
            <w:pPr>
              <w:pStyle w:val="182"/>
              <w:bidi w:val="0"/>
              <w:ind w:firstLine="0" w:firstLineChars="0"/>
              <w:rPr>
                <w:b/>
                <w:bCs w:val="0"/>
                <w:color w:val="auto"/>
                <w:u w:val="single"/>
              </w:rPr>
            </w:pPr>
            <w:r>
              <w:rPr>
                <w:rFonts w:hint="eastAsia"/>
                <w:b/>
                <w:bCs w:val="0"/>
                <w:color w:val="auto"/>
                <w:u w:val="single"/>
                <w:lang w:val="en-US" w:eastAsia="zh-CN"/>
              </w:rPr>
              <w:t>0.183</w:t>
            </w:r>
          </w:p>
        </w:tc>
        <w:tc>
          <w:tcPr>
            <w:tcW w:w="472" w:type="pct"/>
            <w:vAlign w:val="center"/>
          </w:tcPr>
          <w:p w14:paraId="07A175CE">
            <w:pPr>
              <w:pStyle w:val="182"/>
              <w:bidi w:val="0"/>
              <w:ind w:firstLine="0" w:firstLineChars="0"/>
              <w:rPr>
                <w:b/>
                <w:bCs w:val="0"/>
                <w:color w:val="auto"/>
                <w:u w:val="single"/>
              </w:rPr>
            </w:pPr>
            <w:r>
              <w:rPr>
                <w:rFonts w:hint="eastAsia"/>
                <w:b/>
                <w:bCs w:val="0"/>
                <w:color w:val="auto"/>
                <w:u w:val="single"/>
              </w:rPr>
              <w:t>达标</w:t>
            </w:r>
          </w:p>
        </w:tc>
      </w:tr>
    </w:tbl>
    <w:p w14:paraId="0A1FFB1A">
      <w:pPr>
        <w:bidi w:val="0"/>
        <w:rPr>
          <w:b/>
          <w:bCs w:val="0"/>
          <w:color w:val="auto"/>
          <w:kern w:val="0"/>
          <w:sz w:val="24"/>
          <w:szCs w:val="18"/>
          <w:u w:val="single"/>
        </w:rPr>
      </w:pPr>
      <w:r>
        <w:rPr>
          <w:rFonts w:hint="eastAsia"/>
          <w:b/>
          <w:bCs w:val="0"/>
          <w:color w:val="auto"/>
          <w:sz w:val="24"/>
          <w:szCs w:val="24"/>
          <w:u w:val="single"/>
        </w:rPr>
        <w:t>注：耗氧量预测值以检出限0.5mg/L为界，氨氮以0.025mg/L为界，低于检出限的预测值以0计。</w:t>
      </w:r>
    </w:p>
    <w:p w14:paraId="1057DFC7">
      <w:pPr>
        <w:bidi w:val="0"/>
        <w:rPr>
          <w:b/>
          <w:bCs w:val="0"/>
          <w:color w:val="auto"/>
          <w:u w:val="single"/>
        </w:rPr>
      </w:pPr>
      <w:r>
        <w:rPr>
          <w:rFonts w:hint="eastAsia"/>
          <w:b/>
          <w:bCs w:val="0"/>
          <w:color w:val="auto"/>
          <w:u w:val="single"/>
        </w:rPr>
        <w:t>由上表可知，项目废水调节池发生泄漏</w:t>
      </w:r>
      <w:r>
        <w:rPr>
          <w:rFonts w:hint="eastAsia"/>
          <w:b/>
          <w:bCs w:val="0"/>
          <w:color w:val="auto"/>
          <w:u w:val="single"/>
          <w:lang w:eastAsia="zh-CN"/>
        </w:rPr>
        <w:t>，</w:t>
      </w:r>
      <w:r>
        <w:rPr>
          <w:rFonts w:hint="eastAsia"/>
          <w:b/>
          <w:bCs w:val="0"/>
          <w:color w:val="auto"/>
          <w:u w:val="single"/>
        </w:rPr>
        <w:t>北厂界外</w:t>
      </w:r>
      <w:r>
        <w:rPr>
          <w:rFonts w:hint="eastAsia"/>
          <w:b/>
          <w:bCs w:val="0"/>
          <w:color w:val="auto"/>
          <w:u w:val="single"/>
          <w:lang w:val="en-US" w:eastAsia="zh-CN"/>
        </w:rPr>
        <w:t>耗氧量</w:t>
      </w:r>
      <w:r>
        <w:rPr>
          <w:rFonts w:hint="eastAsia"/>
          <w:b/>
          <w:bCs w:val="0"/>
          <w:color w:val="auto"/>
          <w:u w:val="single"/>
        </w:rPr>
        <w:t>未出现超标；北厂界外氨氮</w:t>
      </w:r>
      <w:r>
        <w:rPr>
          <w:rFonts w:hint="eastAsia"/>
          <w:b/>
          <w:bCs w:val="0"/>
          <w:color w:val="auto"/>
          <w:u w:val="single"/>
          <w:lang w:val="en-US" w:eastAsia="zh-CN"/>
        </w:rPr>
        <w:t>浓度</w:t>
      </w:r>
      <w:r>
        <w:rPr>
          <w:rFonts w:hint="eastAsia"/>
          <w:b/>
          <w:bCs w:val="0"/>
          <w:color w:val="auto"/>
          <w:u w:val="single"/>
        </w:rPr>
        <w:t>未出现超标。</w:t>
      </w:r>
    </w:p>
    <w:p w14:paraId="1EBB816E">
      <w:pPr>
        <w:pStyle w:val="10"/>
        <w:bidi w:val="0"/>
        <w:rPr>
          <w:rFonts w:ascii="Times New Roman" w:hAnsi="Times New Roman" w:eastAsia="宋体"/>
          <w:b/>
          <w:bCs w:val="0"/>
          <w:u w:val="single"/>
        </w:rPr>
      </w:pPr>
      <w:r>
        <w:rPr>
          <w:rFonts w:ascii="Times New Roman" w:hAnsi="Times New Roman" w:eastAsia="宋体"/>
          <w:b/>
          <w:bCs w:val="0"/>
          <w:u w:val="single"/>
        </w:rPr>
        <w:t xml:space="preserve">表 </w:t>
      </w:r>
      <w:r>
        <w:rPr>
          <w:rFonts w:ascii="Times New Roman" w:hAnsi="Times New Roman" w:eastAsia="宋体"/>
          <w:b/>
          <w:bCs w:val="0"/>
          <w:u w:val="single"/>
        </w:rPr>
        <w:fldChar w:fldCharType="begin"/>
      </w:r>
      <w:r>
        <w:rPr>
          <w:rFonts w:ascii="Times New Roman" w:hAnsi="Times New Roman" w:eastAsia="宋体"/>
          <w:b/>
          <w:bCs w:val="0"/>
          <w:u w:val="single"/>
        </w:rPr>
        <w:instrText xml:space="preserve"> STYLEREF 2 \s </w:instrText>
      </w:r>
      <w:r>
        <w:rPr>
          <w:rFonts w:ascii="Times New Roman" w:hAnsi="Times New Roman" w:eastAsia="宋体"/>
          <w:b/>
          <w:bCs w:val="0"/>
          <w:u w:val="single"/>
        </w:rPr>
        <w:fldChar w:fldCharType="separate"/>
      </w:r>
      <w:r>
        <w:rPr>
          <w:rFonts w:ascii="Times New Roman" w:hAnsi="Times New Roman" w:eastAsia="宋体"/>
          <w:b/>
          <w:bCs w:val="0"/>
          <w:u w:val="single"/>
        </w:rPr>
        <w:t>6.3</w:t>
      </w:r>
      <w:r>
        <w:rPr>
          <w:rFonts w:ascii="Times New Roman" w:hAnsi="Times New Roman" w:eastAsia="宋体"/>
          <w:b/>
          <w:bCs w:val="0"/>
          <w:u w:val="single"/>
        </w:rPr>
        <w:fldChar w:fldCharType="end"/>
      </w:r>
      <w:r>
        <w:rPr>
          <w:rFonts w:hint="eastAsia" w:ascii="Times New Roman" w:hAnsi="Times New Roman" w:eastAsia="宋体"/>
          <w:b/>
          <w:bCs w:val="0"/>
          <w:u w:val="single"/>
          <w:lang w:eastAsia="zh-CN"/>
        </w:rPr>
        <w:t>-</w:t>
      </w:r>
      <w:r>
        <w:rPr>
          <w:rFonts w:ascii="Times New Roman" w:hAnsi="Times New Roman" w:eastAsia="宋体"/>
          <w:b/>
          <w:bCs w:val="0"/>
          <w:u w:val="single"/>
        </w:rPr>
        <w:fldChar w:fldCharType="begin"/>
      </w:r>
      <w:r>
        <w:rPr>
          <w:rFonts w:ascii="Times New Roman" w:hAnsi="Times New Roman" w:eastAsia="宋体"/>
          <w:b/>
          <w:bCs w:val="0"/>
          <w:u w:val="single"/>
        </w:rPr>
        <w:instrText xml:space="preserve"> SEQ 表 \* ARABIC \s 2 </w:instrText>
      </w:r>
      <w:r>
        <w:rPr>
          <w:rFonts w:ascii="Times New Roman" w:hAnsi="Times New Roman" w:eastAsia="宋体"/>
          <w:b/>
          <w:bCs w:val="0"/>
          <w:u w:val="single"/>
        </w:rPr>
        <w:fldChar w:fldCharType="separate"/>
      </w:r>
      <w:r>
        <w:rPr>
          <w:rFonts w:ascii="Times New Roman" w:hAnsi="Times New Roman" w:eastAsia="宋体"/>
          <w:b/>
          <w:bCs w:val="0"/>
          <w:u w:val="single"/>
        </w:rPr>
        <w:t>8</w:t>
      </w:r>
      <w:r>
        <w:rPr>
          <w:rFonts w:ascii="Times New Roman" w:hAnsi="Times New Roman" w:eastAsia="宋体"/>
          <w:b/>
          <w:bCs w:val="0"/>
          <w:u w:val="single"/>
        </w:rPr>
        <w:fldChar w:fldCharType="end"/>
      </w:r>
      <w:r>
        <w:rPr>
          <w:rFonts w:hint="eastAsia" w:ascii="Times New Roman" w:hAnsi="Times New Roman" w:eastAsia="宋体"/>
          <w:b/>
          <w:bCs w:val="0"/>
          <w:u w:val="single"/>
        </w:rPr>
        <w:t xml:space="preserve"> </w:t>
      </w:r>
      <w:r>
        <w:rPr>
          <w:rFonts w:ascii="Times New Roman" w:hAnsi="Times New Roman" w:eastAsia="宋体"/>
          <w:b/>
          <w:bCs w:val="0"/>
          <w:u w:val="single"/>
        </w:rPr>
        <w:t>地下水预测</w:t>
      </w:r>
      <w:r>
        <w:rPr>
          <w:rFonts w:hint="eastAsia" w:ascii="Times New Roman" w:hAnsi="Times New Roman" w:eastAsia="宋体"/>
          <w:b/>
          <w:bCs w:val="0"/>
          <w:u w:val="single"/>
        </w:rPr>
        <w:t>东厂界叠加值</w:t>
      </w:r>
      <w:r>
        <w:rPr>
          <w:rFonts w:ascii="Times New Roman" w:hAnsi="Times New Roman" w:eastAsia="宋体"/>
          <w:b/>
          <w:bCs w:val="0"/>
          <w:u w:val="single"/>
        </w:rPr>
        <w:t>一览表</w:t>
      </w:r>
    </w:p>
    <w:tbl>
      <w:tblPr>
        <w:tblStyle w:val="31"/>
        <w:tblW w:w="5092"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244"/>
        <w:gridCol w:w="1076"/>
        <w:gridCol w:w="1598"/>
        <w:gridCol w:w="1121"/>
        <w:gridCol w:w="1482"/>
        <w:gridCol w:w="1265"/>
        <w:gridCol w:w="895"/>
      </w:tblGrid>
      <w:tr w14:paraId="763AD81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716" w:type="pct"/>
            <w:vMerge w:val="restart"/>
            <w:vAlign w:val="center"/>
          </w:tcPr>
          <w:p w14:paraId="372E8240">
            <w:pPr>
              <w:pStyle w:val="182"/>
              <w:bidi w:val="0"/>
              <w:rPr>
                <w:b/>
                <w:bCs w:val="0"/>
                <w:color w:val="auto"/>
                <w:u w:val="single"/>
              </w:rPr>
            </w:pPr>
            <w:r>
              <w:rPr>
                <w:rFonts w:hint="eastAsia"/>
                <w:b/>
                <w:bCs w:val="0"/>
                <w:color w:val="auto"/>
                <w:u w:val="single"/>
              </w:rPr>
              <w:t>厂界名称</w:t>
            </w:r>
          </w:p>
        </w:tc>
        <w:tc>
          <w:tcPr>
            <w:tcW w:w="619" w:type="pct"/>
            <w:vMerge w:val="restart"/>
            <w:vAlign w:val="center"/>
          </w:tcPr>
          <w:p w14:paraId="2B4485BE">
            <w:pPr>
              <w:pStyle w:val="182"/>
              <w:bidi w:val="0"/>
              <w:rPr>
                <w:b/>
                <w:bCs w:val="0"/>
                <w:color w:val="auto"/>
                <w:u w:val="single"/>
              </w:rPr>
            </w:pPr>
            <w:r>
              <w:rPr>
                <w:rFonts w:hint="eastAsia"/>
                <w:b/>
                <w:bCs w:val="0"/>
                <w:color w:val="auto"/>
                <w:u w:val="single"/>
              </w:rPr>
              <w:t>时间</w:t>
            </w:r>
          </w:p>
        </w:tc>
        <w:tc>
          <w:tcPr>
            <w:tcW w:w="3663" w:type="pct"/>
            <w:gridSpan w:val="5"/>
            <w:vAlign w:val="center"/>
          </w:tcPr>
          <w:p w14:paraId="1049230A">
            <w:pPr>
              <w:pStyle w:val="182"/>
              <w:bidi w:val="0"/>
              <w:rPr>
                <w:rFonts w:hint="eastAsia"/>
                <w:b/>
                <w:bCs w:val="0"/>
                <w:color w:val="auto"/>
                <w:u w:val="single"/>
              </w:rPr>
            </w:pPr>
            <w:r>
              <w:rPr>
                <w:rFonts w:hint="eastAsia"/>
                <w:b/>
                <w:bCs w:val="0"/>
                <w:color w:val="auto"/>
                <w:u w:val="single"/>
              </w:rPr>
              <w:t>东</w:t>
            </w:r>
            <w:r>
              <w:rPr>
                <w:b/>
                <w:bCs w:val="0"/>
                <w:color w:val="auto"/>
                <w:u w:val="single"/>
              </w:rPr>
              <w:t>厂界</w:t>
            </w:r>
          </w:p>
        </w:tc>
      </w:tr>
      <w:tr w14:paraId="50849DE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716" w:type="pct"/>
            <w:vMerge w:val="continue"/>
            <w:vAlign w:val="center"/>
          </w:tcPr>
          <w:p w14:paraId="77F2CF20">
            <w:pPr>
              <w:pStyle w:val="182"/>
              <w:bidi w:val="0"/>
              <w:rPr>
                <w:b/>
                <w:bCs w:val="0"/>
                <w:color w:val="auto"/>
                <w:u w:val="single"/>
              </w:rPr>
            </w:pPr>
          </w:p>
        </w:tc>
        <w:tc>
          <w:tcPr>
            <w:tcW w:w="619" w:type="pct"/>
            <w:vMerge w:val="continue"/>
            <w:shd w:val="clear" w:color="auto" w:fill="auto"/>
            <w:vAlign w:val="center"/>
          </w:tcPr>
          <w:p w14:paraId="360AAAE7">
            <w:pPr>
              <w:pStyle w:val="182"/>
              <w:bidi w:val="0"/>
              <w:rPr>
                <w:b/>
                <w:bCs w:val="0"/>
                <w:color w:val="auto"/>
                <w:u w:val="single"/>
              </w:rPr>
            </w:pPr>
          </w:p>
        </w:tc>
        <w:tc>
          <w:tcPr>
            <w:tcW w:w="920" w:type="pct"/>
            <w:vAlign w:val="center"/>
          </w:tcPr>
          <w:p w14:paraId="069ED017">
            <w:pPr>
              <w:pStyle w:val="182"/>
              <w:bidi w:val="0"/>
              <w:rPr>
                <w:b/>
                <w:bCs w:val="0"/>
                <w:color w:val="auto"/>
                <w:u w:val="single"/>
              </w:rPr>
            </w:pPr>
            <w:r>
              <w:rPr>
                <w:rFonts w:hint="eastAsia"/>
                <w:b/>
                <w:bCs w:val="0"/>
                <w:color w:val="auto"/>
                <w:u w:val="single"/>
              </w:rPr>
              <w:t>排放源至厂界的距离</w:t>
            </w:r>
          </w:p>
        </w:tc>
        <w:tc>
          <w:tcPr>
            <w:tcW w:w="645" w:type="pct"/>
            <w:vAlign w:val="center"/>
          </w:tcPr>
          <w:p w14:paraId="0890CD16">
            <w:pPr>
              <w:pStyle w:val="182"/>
              <w:bidi w:val="0"/>
              <w:rPr>
                <w:b/>
                <w:bCs w:val="0"/>
                <w:color w:val="auto"/>
                <w:u w:val="single"/>
              </w:rPr>
            </w:pPr>
            <w:r>
              <w:rPr>
                <w:rFonts w:hint="eastAsia"/>
                <w:b/>
                <w:bCs w:val="0"/>
                <w:color w:val="auto"/>
                <w:u w:val="single"/>
              </w:rPr>
              <w:t>预测值</w:t>
            </w:r>
            <w:r>
              <w:rPr>
                <w:b/>
                <w:bCs w:val="0"/>
                <w:color w:val="auto"/>
                <w:u w:val="single"/>
              </w:rPr>
              <w:t>浓度mg/L</w:t>
            </w:r>
          </w:p>
        </w:tc>
        <w:tc>
          <w:tcPr>
            <w:tcW w:w="853" w:type="pct"/>
            <w:vAlign w:val="center"/>
          </w:tcPr>
          <w:p w14:paraId="54ACA7FF">
            <w:pPr>
              <w:pStyle w:val="182"/>
              <w:bidi w:val="0"/>
              <w:rPr>
                <w:b/>
                <w:bCs w:val="0"/>
                <w:color w:val="auto"/>
                <w:u w:val="single"/>
              </w:rPr>
            </w:pPr>
            <w:r>
              <w:rPr>
                <w:rFonts w:hint="eastAsia"/>
                <w:b/>
                <w:bCs w:val="0"/>
                <w:color w:val="auto"/>
                <w:u w:val="single"/>
              </w:rPr>
              <w:t>现状背景值</w:t>
            </w:r>
            <w:r>
              <w:rPr>
                <w:b/>
                <w:bCs w:val="0"/>
                <w:color w:val="auto"/>
                <w:u w:val="single"/>
              </w:rPr>
              <w:t>浓度mg/L</w:t>
            </w:r>
          </w:p>
        </w:tc>
        <w:tc>
          <w:tcPr>
            <w:tcW w:w="728" w:type="pct"/>
            <w:vAlign w:val="center"/>
          </w:tcPr>
          <w:p w14:paraId="41E72D55">
            <w:pPr>
              <w:pStyle w:val="182"/>
              <w:bidi w:val="0"/>
              <w:rPr>
                <w:b/>
                <w:bCs w:val="0"/>
                <w:color w:val="auto"/>
                <w:u w:val="single"/>
              </w:rPr>
            </w:pPr>
            <w:r>
              <w:rPr>
                <w:rFonts w:hint="eastAsia"/>
                <w:b/>
                <w:bCs w:val="0"/>
                <w:color w:val="auto"/>
                <w:u w:val="single"/>
              </w:rPr>
              <w:t>叠加值</w:t>
            </w:r>
            <w:r>
              <w:rPr>
                <w:b/>
                <w:bCs w:val="0"/>
                <w:color w:val="auto"/>
                <w:u w:val="single"/>
              </w:rPr>
              <w:t>浓度mg/L</w:t>
            </w:r>
          </w:p>
        </w:tc>
        <w:tc>
          <w:tcPr>
            <w:tcW w:w="515" w:type="pct"/>
            <w:vAlign w:val="center"/>
          </w:tcPr>
          <w:p w14:paraId="68869CEE">
            <w:pPr>
              <w:pStyle w:val="182"/>
              <w:bidi w:val="0"/>
              <w:ind w:firstLine="0" w:firstLineChars="0"/>
              <w:rPr>
                <w:rFonts w:hint="eastAsia"/>
                <w:b/>
                <w:bCs w:val="0"/>
                <w:color w:val="auto"/>
                <w:u w:val="single"/>
              </w:rPr>
            </w:pPr>
            <w:r>
              <w:rPr>
                <w:rFonts w:hint="eastAsia"/>
                <w:b/>
                <w:bCs w:val="0"/>
                <w:color w:val="auto"/>
                <w:u w:val="single"/>
              </w:rPr>
              <w:t>超标情况</w:t>
            </w:r>
          </w:p>
        </w:tc>
      </w:tr>
      <w:tr w14:paraId="3CDBB00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6" w:type="pct"/>
            <w:vMerge w:val="restart"/>
            <w:vAlign w:val="center"/>
          </w:tcPr>
          <w:p w14:paraId="197C2E78">
            <w:pPr>
              <w:pStyle w:val="182"/>
              <w:bidi w:val="0"/>
              <w:rPr>
                <w:rFonts w:hint="eastAsia" w:eastAsia="宋体"/>
                <w:b/>
                <w:bCs w:val="0"/>
                <w:color w:val="auto"/>
                <w:u w:val="single"/>
                <w:lang w:eastAsia="zh-CN"/>
              </w:rPr>
            </w:pPr>
            <w:r>
              <w:rPr>
                <w:rFonts w:hint="eastAsia"/>
                <w:b/>
                <w:bCs w:val="0"/>
                <w:color w:val="auto"/>
                <w:u w:val="single"/>
                <w:lang w:val="en-US" w:eastAsia="zh-CN"/>
              </w:rPr>
              <w:t>耗氧量</w:t>
            </w:r>
          </w:p>
        </w:tc>
        <w:tc>
          <w:tcPr>
            <w:tcW w:w="619" w:type="pct"/>
            <w:shd w:val="clear" w:color="auto" w:fill="auto"/>
            <w:vAlign w:val="center"/>
          </w:tcPr>
          <w:p w14:paraId="2AD8A351">
            <w:pPr>
              <w:pStyle w:val="182"/>
              <w:bidi w:val="0"/>
              <w:ind w:firstLine="0" w:firstLineChars="0"/>
              <w:rPr>
                <w:b/>
                <w:bCs w:val="0"/>
                <w:color w:val="auto"/>
                <w:u w:val="single"/>
              </w:rPr>
            </w:pPr>
            <w:r>
              <w:rPr>
                <w:b/>
                <w:bCs w:val="0"/>
                <w:color w:val="auto"/>
                <w:u w:val="single"/>
              </w:rPr>
              <w:t>100d</w:t>
            </w:r>
          </w:p>
        </w:tc>
        <w:tc>
          <w:tcPr>
            <w:tcW w:w="920" w:type="pct"/>
            <w:vMerge w:val="restart"/>
            <w:vAlign w:val="center"/>
          </w:tcPr>
          <w:p w14:paraId="20BB534D">
            <w:pPr>
              <w:pStyle w:val="182"/>
              <w:bidi w:val="0"/>
              <w:rPr>
                <w:b/>
                <w:bCs w:val="0"/>
                <w:color w:val="auto"/>
                <w:u w:val="single"/>
              </w:rPr>
            </w:pPr>
            <w:r>
              <w:rPr>
                <w:rFonts w:hint="eastAsia"/>
                <w:b/>
                <w:bCs w:val="0"/>
                <w:color w:val="auto"/>
                <w:u w:val="single"/>
                <w:lang w:val="en-US" w:eastAsia="zh-CN"/>
              </w:rPr>
              <w:t>1</w:t>
            </w:r>
            <w:r>
              <w:rPr>
                <w:rFonts w:hint="eastAsia"/>
                <w:b/>
                <w:bCs w:val="0"/>
                <w:color w:val="auto"/>
                <w:u w:val="single"/>
              </w:rPr>
              <w:t>350</w:t>
            </w:r>
            <w:r>
              <w:rPr>
                <w:b/>
                <w:bCs w:val="0"/>
                <w:color w:val="auto"/>
                <w:u w:val="single"/>
              </w:rPr>
              <w:t xml:space="preserve"> </w:t>
            </w:r>
            <w:r>
              <w:rPr>
                <w:rFonts w:hint="eastAsia"/>
                <w:b/>
                <w:bCs w:val="0"/>
                <w:color w:val="auto"/>
                <w:u w:val="single"/>
              </w:rPr>
              <w:t>m</w:t>
            </w:r>
          </w:p>
        </w:tc>
        <w:tc>
          <w:tcPr>
            <w:tcW w:w="645" w:type="pct"/>
            <w:vAlign w:val="center"/>
          </w:tcPr>
          <w:p w14:paraId="1785ECB1">
            <w:pPr>
              <w:pStyle w:val="182"/>
              <w:bidi w:val="0"/>
              <w:rPr>
                <w:b/>
                <w:bCs w:val="0"/>
                <w:color w:val="auto"/>
                <w:u w:val="single"/>
              </w:rPr>
            </w:pPr>
            <w:r>
              <w:rPr>
                <w:rFonts w:hint="eastAsia"/>
                <w:b/>
                <w:bCs w:val="0"/>
                <w:color w:val="auto"/>
                <w:u w:val="single"/>
              </w:rPr>
              <w:t>0</w:t>
            </w:r>
          </w:p>
        </w:tc>
        <w:tc>
          <w:tcPr>
            <w:tcW w:w="853" w:type="pct"/>
            <w:vMerge w:val="restart"/>
            <w:vAlign w:val="center"/>
          </w:tcPr>
          <w:p w14:paraId="599AD089">
            <w:pPr>
              <w:pStyle w:val="182"/>
              <w:bidi w:val="0"/>
              <w:rPr>
                <w:rFonts w:hint="default" w:eastAsia="宋体"/>
                <w:b/>
                <w:bCs w:val="0"/>
                <w:color w:val="auto"/>
                <w:u w:val="single"/>
                <w:lang w:val="en-US" w:eastAsia="zh-CN"/>
              </w:rPr>
            </w:pPr>
            <w:r>
              <w:rPr>
                <w:rFonts w:hint="eastAsia"/>
                <w:b/>
                <w:bCs w:val="0"/>
                <w:color w:val="auto"/>
                <w:u w:val="single"/>
                <w:lang w:val="en-US" w:eastAsia="zh-CN"/>
              </w:rPr>
              <w:t>0.75</w:t>
            </w:r>
          </w:p>
        </w:tc>
        <w:tc>
          <w:tcPr>
            <w:tcW w:w="728" w:type="pct"/>
            <w:vAlign w:val="center"/>
          </w:tcPr>
          <w:p w14:paraId="48E91789">
            <w:pPr>
              <w:pStyle w:val="182"/>
              <w:bidi w:val="0"/>
              <w:rPr>
                <w:b/>
                <w:bCs w:val="0"/>
                <w:color w:val="auto"/>
                <w:u w:val="single"/>
              </w:rPr>
            </w:pPr>
            <w:r>
              <w:rPr>
                <w:rFonts w:hint="eastAsia"/>
                <w:b/>
                <w:bCs w:val="0"/>
                <w:color w:val="auto"/>
                <w:u w:val="single"/>
                <w:lang w:val="en-US" w:eastAsia="zh-CN"/>
              </w:rPr>
              <w:t>0.75</w:t>
            </w:r>
          </w:p>
        </w:tc>
        <w:tc>
          <w:tcPr>
            <w:tcW w:w="515" w:type="pct"/>
            <w:vAlign w:val="center"/>
          </w:tcPr>
          <w:p w14:paraId="5554AFCE">
            <w:pPr>
              <w:pStyle w:val="182"/>
              <w:bidi w:val="0"/>
              <w:ind w:firstLine="0" w:firstLineChars="0"/>
              <w:rPr>
                <w:rFonts w:hint="eastAsia"/>
                <w:b/>
                <w:bCs w:val="0"/>
                <w:color w:val="auto"/>
                <w:u w:val="single"/>
                <w:lang w:val="en-US" w:eastAsia="zh-CN"/>
              </w:rPr>
            </w:pPr>
            <w:r>
              <w:rPr>
                <w:rFonts w:hint="eastAsia"/>
                <w:b/>
                <w:bCs w:val="0"/>
                <w:color w:val="auto"/>
                <w:u w:val="single"/>
              </w:rPr>
              <w:t>达标</w:t>
            </w:r>
          </w:p>
        </w:tc>
      </w:tr>
      <w:tr w14:paraId="6F98E78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6" w:type="pct"/>
            <w:vMerge w:val="continue"/>
            <w:vAlign w:val="center"/>
          </w:tcPr>
          <w:p w14:paraId="3978AFC0">
            <w:pPr>
              <w:pStyle w:val="182"/>
              <w:bidi w:val="0"/>
              <w:rPr>
                <w:b/>
                <w:bCs w:val="0"/>
                <w:color w:val="auto"/>
                <w:u w:val="single"/>
              </w:rPr>
            </w:pPr>
          </w:p>
        </w:tc>
        <w:tc>
          <w:tcPr>
            <w:tcW w:w="619" w:type="pct"/>
            <w:shd w:val="clear" w:color="auto" w:fill="auto"/>
            <w:vAlign w:val="center"/>
          </w:tcPr>
          <w:p w14:paraId="08DEDEBA">
            <w:pPr>
              <w:pStyle w:val="182"/>
              <w:bidi w:val="0"/>
              <w:ind w:firstLine="0" w:firstLineChars="0"/>
              <w:rPr>
                <w:b/>
                <w:bCs w:val="0"/>
                <w:color w:val="auto"/>
                <w:u w:val="single"/>
              </w:rPr>
            </w:pPr>
            <w:r>
              <w:rPr>
                <w:b/>
                <w:bCs w:val="0"/>
                <w:color w:val="auto"/>
                <w:u w:val="single"/>
              </w:rPr>
              <w:t>500 d</w:t>
            </w:r>
          </w:p>
        </w:tc>
        <w:tc>
          <w:tcPr>
            <w:tcW w:w="920" w:type="pct"/>
            <w:vMerge w:val="continue"/>
            <w:vAlign w:val="center"/>
          </w:tcPr>
          <w:p w14:paraId="0AEBA1F2">
            <w:pPr>
              <w:pStyle w:val="182"/>
              <w:bidi w:val="0"/>
              <w:rPr>
                <w:b/>
                <w:bCs w:val="0"/>
                <w:color w:val="auto"/>
                <w:u w:val="single"/>
              </w:rPr>
            </w:pPr>
          </w:p>
        </w:tc>
        <w:tc>
          <w:tcPr>
            <w:tcW w:w="645" w:type="pct"/>
            <w:vAlign w:val="center"/>
          </w:tcPr>
          <w:p w14:paraId="3F7EE3A1">
            <w:pPr>
              <w:pStyle w:val="182"/>
              <w:bidi w:val="0"/>
              <w:rPr>
                <w:b/>
                <w:bCs w:val="0"/>
                <w:color w:val="auto"/>
                <w:u w:val="single"/>
              </w:rPr>
            </w:pPr>
            <w:r>
              <w:rPr>
                <w:rFonts w:hint="eastAsia"/>
                <w:b/>
                <w:bCs w:val="0"/>
                <w:color w:val="auto"/>
                <w:u w:val="single"/>
              </w:rPr>
              <w:t>0</w:t>
            </w:r>
          </w:p>
        </w:tc>
        <w:tc>
          <w:tcPr>
            <w:tcW w:w="853" w:type="pct"/>
            <w:vMerge w:val="continue"/>
            <w:vAlign w:val="center"/>
          </w:tcPr>
          <w:p w14:paraId="5DA7E2E2">
            <w:pPr>
              <w:pStyle w:val="182"/>
              <w:bidi w:val="0"/>
              <w:rPr>
                <w:b/>
                <w:bCs w:val="0"/>
                <w:color w:val="auto"/>
                <w:u w:val="single"/>
              </w:rPr>
            </w:pPr>
          </w:p>
        </w:tc>
        <w:tc>
          <w:tcPr>
            <w:tcW w:w="728" w:type="pct"/>
            <w:vAlign w:val="center"/>
          </w:tcPr>
          <w:p w14:paraId="44D6964C">
            <w:pPr>
              <w:pStyle w:val="182"/>
              <w:bidi w:val="0"/>
              <w:rPr>
                <w:b/>
                <w:bCs w:val="0"/>
                <w:color w:val="auto"/>
                <w:u w:val="single"/>
              </w:rPr>
            </w:pPr>
            <w:r>
              <w:rPr>
                <w:rFonts w:hint="eastAsia"/>
                <w:b/>
                <w:bCs w:val="0"/>
                <w:color w:val="auto"/>
                <w:u w:val="single"/>
                <w:lang w:val="en-US" w:eastAsia="zh-CN"/>
              </w:rPr>
              <w:t>0.75</w:t>
            </w:r>
          </w:p>
        </w:tc>
        <w:tc>
          <w:tcPr>
            <w:tcW w:w="515" w:type="pct"/>
            <w:vAlign w:val="center"/>
          </w:tcPr>
          <w:p w14:paraId="770CEF5D">
            <w:pPr>
              <w:pStyle w:val="182"/>
              <w:bidi w:val="0"/>
              <w:ind w:firstLine="0" w:firstLineChars="0"/>
              <w:rPr>
                <w:rFonts w:hint="eastAsia"/>
                <w:b/>
                <w:bCs w:val="0"/>
                <w:color w:val="auto"/>
                <w:u w:val="single"/>
                <w:lang w:val="en-US" w:eastAsia="zh-CN"/>
              </w:rPr>
            </w:pPr>
            <w:r>
              <w:rPr>
                <w:rFonts w:hint="eastAsia"/>
                <w:b/>
                <w:bCs w:val="0"/>
                <w:color w:val="auto"/>
                <w:u w:val="single"/>
              </w:rPr>
              <w:t>达标</w:t>
            </w:r>
          </w:p>
        </w:tc>
      </w:tr>
      <w:tr w14:paraId="4FFE676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6" w:type="pct"/>
            <w:vMerge w:val="continue"/>
            <w:vAlign w:val="center"/>
          </w:tcPr>
          <w:p w14:paraId="7241A4F3">
            <w:pPr>
              <w:pStyle w:val="182"/>
              <w:bidi w:val="0"/>
              <w:rPr>
                <w:b/>
                <w:bCs w:val="0"/>
                <w:color w:val="auto"/>
                <w:u w:val="single"/>
              </w:rPr>
            </w:pPr>
          </w:p>
        </w:tc>
        <w:tc>
          <w:tcPr>
            <w:tcW w:w="619" w:type="pct"/>
            <w:shd w:val="clear" w:color="auto" w:fill="auto"/>
            <w:vAlign w:val="center"/>
          </w:tcPr>
          <w:p w14:paraId="1B18BB34">
            <w:pPr>
              <w:pStyle w:val="182"/>
              <w:bidi w:val="0"/>
              <w:ind w:firstLine="0" w:firstLineChars="0"/>
              <w:rPr>
                <w:b/>
                <w:bCs w:val="0"/>
                <w:color w:val="auto"/>
                <w:u w:val="single"/>
              </w:rPr>
            </w:pPr>
            <w:r>
              <w:rPr>
                <w:b/>
                <w:bCs w:val="0"/>
                <w:color w:val="auto"/>
                <w:u w:val="single"/>
              </w:rPr>
              <w:t>1000d</w:t>
            </w:r>
          </w:p>
        </w:tc>
        <w:tc>
          <w:tcPr>
            <w:tcW w:w="920" w:type="pct"/>
            <w:vMerge w:val="continue"/>
            <w:vAlign w:val="center"/>
          </w:tcPr>
          <w:p w14:paraId="51CBDEAE">
            <w:pPr>
              <w:pStyle w:val="182"/>
              <w:bidi w:val="0"/>
              <w:rPr>
                <w:b/>
                <w:bCs w:val="0"/>
                <w:color w:val="auto"/>
                <w:u w:val="single"/>
              </w:rPr>
            </w:pPr>
          </w:p>
        </w:tc>
        <w:tc>
          <w:tcPr>
            <w:tcW w:w="645" w:type="pct"/>
            <w:vAlign w:val="center"/>
          </w:tcPr>
          <w:p w14:paraId="219F1A31">
            <w:pPr>
              <w:pStyle w:val="182"/>
              <w:bidi w:val="0"/>
              <w:rPr>
                <w:b/>
                <w:bCs w:val="0"/>
                <w:color w:val="auto"/>
                <w:u w:val="single"/>
              </w:rPr>
            </w:pPr>
            <w:r>
              <w:rPr>
                <w:rFonts w:hint="eastAsia"/>
                <w:b/>
                <w:bCs w:val="0"/>
                <w:color w:val="auto"/>
                <w:u w:val="single"/>
              </w:rPr>
              <w:t>0</w:t>
            </w:r>
          </w:p>
        </w:tc>
        <w:tc>
          <w:tcPr>
            <w:tcW w:w="853" w:type="pct"/>
            <w:vMerge w:val="continue"/>
            <w:vAlign w:val="center"/>
          </w:tcPr>
          <w:p w14:paraId="191AC02D">
            <w:pPr>
              <w:pStyle w:val="182"/>
              <w:bidi w:val="0"/>
              <w:rPr>
                <w:b/>
                <w:bCs w:val="0"/>
                <w:color w:val="auto"/>
                <w:u w:val="single"/>
              </w:rPr>
            </w:pPr>
          </w:p>
        </w:tc>
        <w:tc>
          <w:tcPr>
            <w:tcW w:w="728" w:type="pct"/>
            <w:vAlign w:val="center"/>
          </w:tcPr>
          <w:p w14:paraId="700258C5">
            <w:pPr>
              <w:pStyle w:val="182"/>
              <w:bidi w:val="0"/>
              <w:rPr>
                <w:b/>
                <w:bCs w:val="0"/>
                <w:color w:val="auto"/>
                <w:u w:val="single"/>
              </w:rPr>
            </w:pPr>
            <w:r>
              <w:rPr>
                <w:rFonts w:hint="eastAsia"/>
                <w:b/>
                <w:bCs w:val="0"/>
                <w:color w:val="auto"/>
                <w:u w:val="single"/>
                <w:lang w:val="en-US" w:eastAsia="zh-CN"/>
              </w:rPr>
              <w:t>0.75</w:t>
            </w:r>
          </w:p>
        </w:tc>
        <w:tc>
          <w:tcPr>
            <w:tcW w:w="515" w:type="pct"/>
            <w:vAlign w:val="center"/>
          </w:tcPr>
          <w:p w14:paraId="67087396">
            <w:pPr>
              <w:pStyle w:val="182"/>
              <w:bidi w:val="0"/>
              <w:ind w:firstLine="0" w:firstLineChars="0"/>
              <w:rPr>
                <w:rFonts w:hint="eastAsia"/>
                <w:b/>
                <w:bCs w:val="0"/>
                <w:color w:val="auto"/>
                <w:u w:val="single"/>
                <w:lang w:val="en-US" w:eastAsia="zh-CN"/>
              </w:rPr>
            </w:pPr>
            <w:r>
              <w:rPr>
                <w:rFonts w:hint="eastAsia"/>
                <w:b/>
                <w:bCs w:val="0"/>
                <w:color w:val="auto"/>
                <w:u w:val="single"/>
              </w:rPr>
              <w:t>达标</w:t>
            </w:r>
          </w:p>
        </w:tc>
      </w:tr>
      <w:tr w14:paraId="10800A9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6" w:type="pct"/>
            <w:vMerge w:val="continue"/>
            <w:vAlign w:val="center"/>
          </w:tcPr>
          <w:p w14:paraId="52186B9F">
            <w:pPr>
              <w:pStyle w:val="182"/>
              <w:bidi w:val="0"/>
              <w:rPr>
                <w:b/>
                <w:bCs w:val="0"/>
                <w:color w:val="auto"/>
                <w:u w:val="single"/>
              </w:rPr>
            </w:pPr>
          </w:p>
        </w:tc>
        <w:tc>
          <w:tcPr>
            <w:tcW w:w="619" w:type="pct"/>
            <w:shd w:val="clear" w:color="auto" w:fill="auto"/>
            <w:vAlign w:val="center"/>
          </w:tcPr>
          <w:p w14:paraId="15570DAC">
            <w:pPr>
              <w:pStyle w:val="182"/>
              <w:bidi w:val="0"/>
              <w:ind w:firstLine="0" w:firstLineChars="0"/>
              <w:rPr>
                <w:b/>
                <w:bCs w:val="0"/>
                <w:color w:val="auto"/>
                <w:u w:val="single"/>
              </w:rPr>
            </w:pPr>
            <w:r>
              <w:rPr>
                <w:rFonts w:hint="eastAsia"/>
                <w:b/>
                <w:bCs w:val="0"/>
                <w:color w:val="auto"/>
                <w:u w:val="single"/>
                <w:lang w:val="en-US" w:eastAsia="zh-CN"/>
              </w:rPr>
              <w:t>2000d</w:t>
            </w:r>
          </w:p>
        </w:tc>
        <w:tc>
          <w:tcPr>
            <w:tcW w:w="920" w:type="pct"/>
            <w:vMerge w:val="continue"/>
            <w:vAlign w:val="center"/>
          </w:tcPr>
          <w:p w14:paraId="34D78F3E">
            <w:pPr>
              <w:pStyle w:val="182"/>
              <w:bidi w:val="0"/>
              <w:rPr>
                <w:b/>
                <w:bCs w:val="0"/>
                <w:color w:val="auto"/>
                <w:u w:val="single"/>
              </w:rPr>
            </w:pPr>
          </w:p>
        </w:tc>
        <w:tc>
          <w:tcPr>
            <w:tcW w:w="645" w:type="pct"/>
            <w:vAlign w:val="center"/>
          </w:tcPr>
          <w:p w14:paraId="481AC6CE">
            <w:pPr>
              <w:pStyle w:val="182"/>
              <w:bidi w:val="0"/>
              <w:rPr>
                <w:rFonts w:hint="eastAsia" w:eastAsia="宋体"/>
                <w:b/>
                <w:bCs w:val="0"/>
                <w:color w:val="auto"/>
                <w:u w:val="single"/>
                <w:lang w:eastAsia="zh-CN"/>
              </w:rPr>
            </w:pPr>
            <w:r>
              <w:rPr>
                <w:rFonts w:hint="eastAsia"/>
                <w:b/>
                <w:bCs w:val="0"/>
                <w:color w:val="auto"/>
                <w:u w:val="single"/>
                <w:lang w:val="en-US" w:eastAsia="zh-CN"/>
              </w:rPr>
              <w:t>0</w:t>
            </w:r>
          </w:p>
        </w:tc>
        <w:tc>
          <w:tcPr>
            <w:tcW w:w="853" w:type="pct"/>
            <w:vMerge w:val="continue"/>
            <w:vAlign w:val="center"/>
          </w:tcPr>
          <w:p w14:paraId="67EE4B62">
            <w:pPr>
              <w:pStyle w:val="182"/>
              <w:bidi w:val="0"/>
              <w:rPr>
                <w:b/>
                <w:bCs w:val="0"/>
                <w:color w:val="auto"/>
                <w:u w:val="single"/>
              </w:rPr>
            </w:pPr>
          </w:p>
        </w:tc>
        <w:tc>
          <w:tcPr>
            <w:tcW w:w="728" w:type="pct"/>
            <w:vAlign w:val="center"/>
          </w:tcPr>
          <w:p w14:paraId="7C2A40F6">
            <w:pPr>
              <w:pStyle w:val="182"/>
              <w:bidi w:val="0"/>
              <w:rPr>
                <w:rFonts w:hint="default" w:eastAsia="宋体"/>
                <w:b/>
                <w:bCs w:val="0"/>
                <w:color w:val="auto"/>
                <w:u w:val="single"/>
                <w:lang w:val="en-US" w:eastAsia="zh-CN"/>
              </w:rPr>
            </w:pPr>
            <w:r>
              <w:rPr>
                <w:rFonts w:hint="eastAsia"/>
                <w:b/>
                <w:bCs w:val="0"/>
                <w:color w:val="auto"/>
                <w:u w:val="single"/>
                <w:lang w:val="en-US" w:eastAsia="zh-CN"/>
              </w:rPr>
              <w:t>0.75</w:t>
            </w:r>
          </w:p>
        </w:tc>
        <w:tc>
          <w:tcPr>
            <w:tcW w:w="515" w:type="pct"/>
            <w:vAlign w:val="center"/>
          </w:tcPr>
          <w:p w14:paraId="7463FE08">
            <w:pPr>
              <w:pStyle w:val="182"/>
              <w:bidi w:val="0"/>
              <w:ind w:firstLine="0" w:firstLineChars="0"/>
              <w:rPr>
                <w:rFonts w:hint="eastAsia"/>
                <w:b/>
                <w:bCs w:val="0"/>
                <w:color w:val="auto"/>
                <w:u w:val="single"/>
                <w:lang w:val="en-US" w:eastAsia="zh-CN"/>
              </w:rPr>
            </w:pPr>
            <w:r>
              <w:rPr>
                <w:rFonts w:hint="eastAsia"/>
                <w:b/>
                <w:bCs w:val="0"/>
                <w:color w:val="auto"/>
                <w:u w:val="single"/>
              </w:rPr>
              <w:t>达标</w:t>
            </w:r>
          </w:p>
        </w:tc>
      </w:tr>
      <w:tr w14:paraId="67997F0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6" w:type="pct"/>
            <w:vMerge w:val="restart"/>
            <w:vAlign w:val="center"/>
          </w:tcPr>
          <w:p w14:paraId="28D7EF7E">
            <w:pPr>
              <w:pStyle w:val="182"/>
              <w:bidi w:val="0"/>
              <w:rPr>
                <w:b/>
                <w:bCs w:val="0"/>
                <w:color w:val="auto"/>
                <w:u w:val="single"/>
              </w:rPr>
            </w:pPr>
            <w:r>
              <w:rPr>
                <w:b/>
                <w:bCs w:val="0"/>
                <w:color w:val="auto"/>
                <w:u w:val="single"/>
              </w:rPr>
              <w:t>氨氮</w:t>
            </w:r>
          </w:p>
        </w:tc>
        <w:tc>
          <w:tcPr>
            <w:tcW w:w="619" w:type="pct"/>
            <w:shd w:val="clear" w:color="auto" w:fill="auto"/>
            <w:vAlign w:val="center"/>
          </w:tcPr>
          <w:p w14:paraId="64C38DBE">
            <w:pPr>
              <w:pStyle w:val="182"/>
              <w:bidi w:val="0"/>
              <w:ind w:firstLine="0" w:firstLineChars="0"/>
              <w:rPr>
                <w:b/>
                <w:bCs w:val="0"/>
                <w:color w:val="auto"/>
                <w:u w:val="single"/>
              </w:rPr>
            </w:pPr>
            <w:r>
              <w:rPr>
                <w:b/>
                <w:bCs w:val="0"/>
                <w:color w:val="auto"/>
                <w:u w:val="single"/>
              </w:rPr>
              <w:t>100d</w:t>
            </w:r>
          </w:p>
        </w:tc>
        <w:tc>
          <w:tcPr>
            <w:tcW w:w="920" w:type="pct"/>
            <w:vMerge w:val="restart"/>
            <w:vAlign w:val="center"/>
          </w:tcPr>
          <w:p w14:paraId="48A099F9">
            <w:pPr>
              <w:pStyle w:val="182"/>
              <w:bidi w:val="0"/>
              <w:rPr>
                <w:b/>
                <w:bCs w:val="0"/>
                <w:color w:val="auto"/>
                <w:u w:val="single"/>
              </w:rPr>
            </w:pPr>
            <w:r>
              <w:rPr>
                <w:rFonts w:hint="eastAsia"/>
                <w:b/>
                <w:bCs w:val="0"/>
                <w:color w:val="auto"/>
                <w:u w:val="single"/>
                <w:lang w:val="en-US" w:eastAsia="zh-CN"/>
              </w:rPr>
              <w:t>1</w:t>
            </w:r>
            <w:r>
              <w:rPr>
                <w:rFonts w:hint="eastAsia"/>
                <w:b/>
                <w:bCs w:val="0"/>
                <w:color w:val="auto"/>
                <w:u w:val="single"/>
              </w:rPr>
              <w:t>350</w:t>
            </w:r>
            <w:r>
              <w:rPr>
                <w:b/>
                <w:bCs w:val="0"/>
                <w:color w:val="auto"/>
                <w:u w:val="single"/>
              </w:rPr>
              <w:t xml:space="preserve"> </w:t>
            </w:r>
            <w:r>
              <w:rPr>
                <w:rFonts w:hint="eastAsia"/>
                <w:b/>
                <w:bCs w:val="0"/>
                <w:color w:val="auto"/>
                <w:u w:val="single"/>
              </w:rPr>
              <w:t>m</w:t>
            </w:r>
          </w:p>
        </w:tc>
        <w:tc>
          <w:tcPr>
            <w:tcW w:w="645" w:type="pct"/>
            <w:vAlign w:val="center"/>
          </w:tcPr>
          <w:p w14:paraId="3773F7E1">
            <w:pPr>
              <w:pStyle w:val="182"/>
              <w:bidi w:val="0"/>
              <w:rPr>
                <w:b/>
                <w:bCs w:val="0"/>
                <w:color w:val="auto"/>
                <w:u w:val="single"/>
              </w:rPr>
            </w:pPr>
            <w:r>
              <w:rPr>
                <w:rFonts w:hint="eastAsia"/>
                <w:b/>
                <w:bCs w:val="0"/>
                <w:color w:val="auto"/>
                <w:u w:val="single"/>
              </w:rPr>
              <w:t>0</w:t>
            </w:r>
          </w:p>
        </w:tc>
        <w:tc>
          <w:tcPr>
            <w:tcW w:w="853" w:type="pct"/>
            <w:vMerge w:val="restart"/>
            <w:vAlign w:val="center"/>
          </w:tcPr>
          <w:p w14:paraId="6FA54A2D">
            <w:pPr>
              <w:pStyle w:val="182"/>
              <w:bidi w:val="0"/>
              <w:rPr>
                <w:rFonts w:hint="default" w:eastAsia="宋体"/>
                <w:b/>
                <w:bCs w:val="0"/>
                <w:color w:val="auto"/>
                <w:u w:val="single"/>
                <w:lang w:val="en-US" w:eastAsia="zh-CN"/>
              </w:rPr>
            </w:pPr>
            <w:r>
              <w:rPr>
                <w:rFonts w:hint="eastAsia"/>
                <w:b/>
                <w:bCs w:val="0"/>
                <w:color w:val="auto"/>
                <w:u w:val="single"/>
                <w:lang w:val="en-US" w:eastAsia="zh-CN"/>
              </w:rPr>
              <w:t>0.123</w:t>
            </w:r>
          </w:p>
        </w:tc>
        <w:tc>
          <w:tcPr>
            <w:tcW w:w="728" w:type="pct"/>
            <w:vAlign w:val="center"/>
          </w:tcPr>
          <w:p w14:paraId="4462A8F3">
            <w:pPr>
              <w:pStyle w:val="182"/>
              <w:bidi w:val="0"/>
              <w:rPr>
                <w:b/>
                <w:bCs w:val="0"/>
                <w:color w:val="auto"/>
                <w:u w:val="single"/>
              </w:rPr>
            </w:pPr>
            <w:r>
              <w:rPr>
                <w:rFonts w:hint="eastAsia"/>
                <w:b/>
                <w:bCs w:val="0"/>
                <w:color w:val="auto"/>
                <w:u w:val="single"/>
                <w:lang w:val="en-US" w:eastAsia="zh-CN"/>
              </w:rPr>
              <w:t>0.123</w:t>
            </w:r>
          </w:p>
        </w:tc>
        <w:tc>
          <w:tcPr>
            <w:tcW w:w="515" w:type="pct"/>
            <w:vAlign w:val="center"/>
          </w:tcPr>
          <w:p w14:paraId="005527D2">
            <w:pPr>
              <w:pStyle w:val="182"/>
              <w:bidi w:val="0"/>
              <w:ind w:firstLine="0" w:firstLineChars="0"/>
              <w:rPr>
                <w:rFonts w:hint="eastAsia"/>
                <w:b/>
                <w:bCs w:val="0"/>
                <w:color w:val="auto"/>
                <w:u w:val="single"/>
                <w:lang w:val="en-US" w:eastAsia="zh-CN"/>
              </w:rPr>
            </w:pPr>
            <w:r>
              <w:rPr>
                <w:rFonts w:hint="eastAsia"/>
                <w:b/>
                <w:bCs w:val="0"/>
                <w:color w:val="auto"/>
                <w:u w:val="single"/>
              </w:rPr>
              <w:t>达标</w:t>
            </w:r>
          </w:p>
        </w:tc>
      </w:tr>
      <w:tr w14:paraId="2E924BF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6" w:type="pct"/>
            <w:vMerge w:val="continue"/>
            <w:vAlign w:val="center"/>
          </w:tcPr>
          <w:p w14:paraId="2E9496B1">
            <w:pPr>
              <w:pStyle w:val="182"/>
              <w:bidi w:val="0"/>
              <w:rPr>
                <w:b/>
                <w:bCs w:val="0"/>
                <w:color w:val="auto"/>
                <w:u w:val="single"/>
              </w:rPr>
            </w:pPr>
          </w:p>
        </w:tc>
        <w:tc>
          <w:tcPr>
            <w:tcW w:w="619" w:type="pct"/>
            <w:shd w:val="clear" w:color="auto" w:fill="auto"/>
            <w:vAlign w:val="center"/>
          </w:tcPr>
          <w:p w14:paraId="21C35CF3">
            <w:pPr>
              <w:pStyle w:val="182"/>
              <w:bidi w:val="0"/>
              <w:ind w:firstLine="0" w:firstLineChars="0"/>
              <w:rPr>
                <w:b/>
                <w:bCs w:val="0"/>
                <w:color w:val="auto"/>
                <w:u w:val="single"/>
              </w:rPr>
            </w:pPr>
            <w:r>
              <w:rPr>
                <w:b/>
                <w:bCs w:val="0"/>
                <w:color w:val="auto"/>
                <w:u w:val="single"/>
              </w:rPr>
              <w:t>500 d</w:t>
            </w:r>
          </w:p>
        </w:tc>
        <w:tc>
          <w:tcPr>
            <w:tcW w:w="920" w:type="pct"/>
            <w:vMerge w:val="continue"/>
            <w:vAlign w:val="center"/>
          </w:tcPr>
          <w:p w14:paraId="18EF5C10">
            <w:pPr>
              <w:pStyle w:val="182"/>
              <w:bidi w:val="0"/>
              <w:rPr>
                <w:b/>
                <w:bCs w:val="0"/>
                <w:color w:val="auto"/>
                <w:u w:val="single"/>
              </w:rPr>
            </w:pPr>
          </w:p>
        </w:tc>
        <w:tc>
          <w:tcPr>
            <w:tcW w:w="645" w:type="pct"/>
            <w:vAlign w:val="center"/>
          </w:tcPr>
          <w:p w14:paraId="101707B0">
            <w:pPr>
              <w:pStyle w:val="182"/>
              <w:bidi w:val="0"/>
              <w:rPr>
                <w:b/>
                <w:bCs w:val="0"/>
                <w:color w:val="auto"/>
                <w:u w:val="single"/>
              </w:rPr>
            </w:pPr>
            <w:r>
              <w:rPr>
                <w:rFonts w:hint="eastAsia"/>
                <w:b/>
                <w:bCs w:val="0"/>
                <w:color w:val="auto"/>
                <w:u w:val="single"/>
              </w:rPr>
              <w:t>0</w:t>
            </w:r>
          </w:p>
        </w:tc>
        <w:tc>
          <w:tcPr>
            <w:tcW w:w="853" w:type="pct"/>
            <w:vMerge w:val="continue"/>
            <w:vAlign w:val="center"/>
          </w:tcPr>
          <w:p w14:paraId="5208821D">
            <w:pPr>
              <w:pStyle w:val="182"/>
              <w:bidi w:val="0"/>
              <w:rPr>
                <w:b/>
                <w:bCs w:val="0"/>
                <w:color w:val="auto"/>
                <w:u w:val="single"/>
              </w:rPr>
            </w:pPr>
          </w:p>
        </w:tc>
        <w:tc>
          <w:tcPr>
            <w:tcW w:w="728" w:type="pct"/>
            <w:vAlign w:val="center"/>
          </w:tcPr>
          <w:p w14:paraId="72B85B4B">
            <w:pPr>
              <w:pStyle w:val="182"/>
              <w:bidi w:val="0"/>
              <w:rPr>
                <w:b/>
                <w:bCs w:val="0"/>
                <w:color w:val="auto"/>
                <w:u w:val="single"/>
              </w:rPr>
            </w:pPr>
            <w:r>
              <w:rPr>
                <w:rFonts w:hint="eastAsia"/>
                <w:b/>
                <w:bCs w:val="0"/>
                <w:color w:val="auto"/>
                <w:u w:val="single"/>
                <w:lang w:val="en-US" w:eastAsia="zh-CN"/>
              </w:rPr>
              <w:t>0.123</w:t>
            </w:r>
          </w:p>
        </w:tc>
        <w:tc>
          <w:tcPr>
            <w:tcW w:w="515" w:type="pct"/>
            <w:vAlign w:val="center"/>
          </w:tcPr>
          <w:p w14:paraId="372C4506">
            <w:pPr>
              <w:pStyle w:val="182"/>
              <w:bidi w:val="0"/>
              <w:ind w:firstLine="0" w:firstLineChars="0"/>
              <w:rPr>
                <w:rFonts w:hint="eastAsia"/>
                <w:b/>
                <w:bCs w:val="0"/>
                <w:color w:val="auto"/>
                <w:u w:val="single"/>
                <w:lang w:val="en-US" w:eastAsia="zh-CN"/>
              </w:rPr>
            </w:pPr>
            <w:r>
              <w:rPr>
                <w:rFonts w:hint="eastAsia"/>
                <w:b/>
                <w:bCs w:val="0"/>
                <w:color w:val="auto"/>
                <w:u w:val="single"/>
              </w:rPr>
              <w:t>达标</w:t>
            </w:r>
          </w:p>
        </w:tc>
      </w:tr>
      <w:tr w14:paraId="351C12A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6" w:type="pct"/>
            <w:vMerge w:val="continue"/>
            <w:vAlign w:val="center"/>
          </w:tcPr>
          <w:p w14:paraId="71B87FC7">
            <w:pPr>
              <w:pStyle w:val="182"/>
              <w:bidi w:val="0"/>
              <w:rPr>
                <w:b/>
                <w:bCs w:val="0"/>
                <w:color w:val="auto"/>
                <w:u w:val="single"/>
              </w:rPr>
            </w:pPr>
          </w:p>
        </w:tc>
        <w:tc>
          <w:tcPr>
            <w:tcW w:w="619" w:type="pct"/>
            <w:shd w:val="clear" w:color="auto" w:fill="auto"/>
            <w:vAlign w:val="center"/>
          </w:tcPr>
          <w:p w14:paraId="34B7E284">
            <w:pPr>
              <w:pStyle w:val="182"/>
              <w:bidi w:val="0"/>
              <w:ind w:firstLine="0" w:firstLineChars="0"/>
              <w:rPr>
                <w:b/>
                <w:bCs w:val="0"/>
                <w:color w:val="auto"/>
                <w:u w:val="single"/>
              </w:rPr>
            </w:pPr>
            <w:r>
              <w:rPr>
                <w:b/>
                <w:bCs w:val="0"/>
                <w:color w:val="auto"/>
                <w:u w:val="single"/>
              </w:rPr>
              <w:t>1000d</w:t>
            </w:r>
          </w:p>
        </w:tc>
        <w:tc>
          <w:tcPr>
            <w:tcW w:w="920" w:type="pct"/>
            <w:vMerge w:val="continue"/>
            <w:vAlign w:val="center"/>
          </w:tcPr>
          <w:p w14:paraId="72A5E761">
            <w:pPr>
              <w:pStyle w:val="182"/>
              <w:bidi w:val="0"/>
              <w:rPr>
                <w:b/>
                <w:bCs w:val="0"/>
                <w:color w:val="auto"/>
                <w:u w:val="single"/>
              </w:rPr>
            </w:pPr>
          </w:p>
        </w:tc>
        <w:tc>
          <w:tcPr>
            <w:tcW w:w="645" w:type="pct"/>
            <w:vAlign w:val="center"/>
          </w:tcPr>
          <w:p w14:paraId="125FE5AA">
            <w:pPr>
              <w:pStyle w:val="182"/>
              <w:bidi w:val="0"/>
              <w:rPr>
                <w:b/>
                <w:bCs w:val="0"/>
                <w:color w:val="auto"/>
                <w:u w:val="single"/>
              </w:rPr>
            </w:pPr>
            <w:r>
              <w:rPr>
                <w:rFonts w:hint="eastAsia"/>
                <w:b/>
                <w:bCs w:val="0"/>
                <w:color w:val="auto"/>
                <w:u w:val="single"/>
              </w:rPr>
              <w:t>0</w:t>
            </w:r>
          </w:p>
        </w:tc>
        <w:tc>
          <w:tcPr>
            <w:tcW w:w="853" w:type="pct"/>
            <w:vMerge w:val="continue"/>
            <w:vAlign w:val="center"/>
          </w:tcPr>
          <w:p w14:paraId="1E0F937A">
            <w:pPr>
              <w:pStyle w:val="182"/>
              <w:bidi w:val="0"/>
              <w:rPr>
                <w:b/>
                <w:bCs w:val="0"/>
                <w:color w:val="auto"/>
                <w:u w:val="single"/>
              </w:rPr>
            </w:pPr>
          </w:p>
        </w:tc>
        <w:tc>
          <w:tcPr>
            <w:tcW w:w="728" w:type="pct"/>
            <w:vAlign w:val="center"/>
          </w:tcPr>
          <w:p w14:paraId="0EDD06F4">
            <w:pPr>
              <w:pStyle w:val="182"/>
              <w:bidi w:val="0"/>
              <w:rPr>
                <w:b/>
                <w:bCs w:val="0"/>
                <w:color w:val="auto"/>
                <w:u w:val="single"/>
              </w:rPr>
            </w:pPr>
            <w:r>
              <w:rPr>
                <w:rFonts w:hint="eastAsia"/>
                <w:b/>
                <w:bCs w:val="0"/>
                <w:color w:val="auto"/>
                <w:u w:val="single"/>
                <w:lang w:val="en-US" w:eastAsia="zh-CN"/>
              </w:rPr>
              <w:t>0.123</w:t>
            </w:r>
          </w:p>
        </w:tc>
        <w:tc>
          <w:tcPr>
            <w:tcW w:w="515" w:type="pct"/>
            <w:vAlign w:val="center"/>
          </w:tcPr>
          <w:p w14:paraId="21ABFA6F">
            <w:pPr>
              <w:pStyle w:val="182"/>
              <w:bidi w:val="0"/>
              <w:ind w:firstLine="0" w:firstLineChars="0"/>
              <w:rPr>
                <w:rFonts w:hint="eastAsia"/>
                <w:b/>
                <w:bCs w:val="0"/>
                <w:color w:val="auto"/>
                <w:u w:val="single"/>
                <w:lang w:val="en-US" w:eastAsia="zh-CN"/>
              </w:rPr>
            </w:pPr>
            <w:r>
              <w:rPr>
                <w:rFonts w:hint="eastAsia"/>
                <w:b/>
                <w:bCs w:val="0"/>
                <w:color w:val="auto"/>
                <w:u w:val="single"/>
              </w:rPr>
              <w:t>达标</w:t>
            </w:r>
          </w:p>
        </w:tc>
      </w:tr>
      <w:tr w14:paraId="5063850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6" w:type="pct"/>
            <w:vMerge w:val="continue"/>
            <w:vAlign w:val="center"/>
          </w:tcPr>
          <w:p w14:paraId="495317AD">
            <w:pPr>
              <w:pStyle w:val="182"/>
              <w:bidi w:val="0"/>
              <w:rPr>
                <w:b/>
                <w:bCs w:val="0"/>
                <w:color w:val="auto"/>
                <w:u w:val="single"/>
              </w:rPr>
            </w:pPr>
          </w:p>
        </w:tc>
        <w:tc>
          <w:tcPr>
            <w:tcW w:w="619" w:type="pct"/>
            <w:shd w:val="clear" w:color="auto" w:fill="auto"/>
            <w:vAlign w:val="center"/>
          </w:tcPr>
          <w:p w14:paraId="200A8276">
            <w:pPr>
              <w:pStyle w:val="182"/>
              <w:bidi w:val="0"/>
              <w:ind w:firstLine="0" w:firstLineChars="0"/>
              <w:rPr>
                <w:b/>
                <w:bCs w:val="0"/>
                <w:color w:val="auto"/>
                <w:u w:val="single"/>
              </w:rPr>
            </w:pPr>
            <w:r>
              <w:rPr>
                <w:rFonts w:hint="eastAsia"/>
                <w:b/>
                <w:bCs w:val="0"/>
                <w:color w:val="auto"/>
                <w:u w:val="single"/>
                <w:lang w:val="en-US" w:eastAsia="zh-CN"/>
              </w:rPr>
              <w:t>2000d</w:t>
            </w:r>
          </w:p>
        </w:tc>
        <w:tc>
          <w:tcPr>
            <w:tcW w:w="920" w:type="pct"/>
            <w:vMerge w:val="continue"/>
            <w:vAlign w:val="center"/>
          </w:tcPr>
          <w:p w14:paraId="5298BAC6">
            <w:pPr>
              <w:pStyle w:val="182"/>
              <w:bidi w:val="0"/>
              <w:rPr>
                <w:b/>
                <w:bCs w:val="0"/>
                <w:color w:val="auto"/>
                <w:u w:val="single"/>
              </w:rPr>
            </w:pPr>
          </w:p>
        </w:tc>
        <w:tc>
          <w:tcPr>
            <w:tcW w:w="645" w:type="pct"/>
            <w:vAlign w:val="center"/>
          </w:tcPr>
          <w:p w14:paraId="593A6C1A">
            <w:pPr>
              <w:pStyle w:val="182"/>
              <w:bidi w:val="0"/>
              <w:rPr>
                <w:rFonts w:hint="eastAsia" w:eastAsia="宋体"/>
                <w:b/>
                <w:bCs w:val="0"/>
                <w:color w:val="auto"/>
                <w:u w:val="single"/>
                <w:lang w:eastAsia="zh-CN"/>
              </w:rPr>
            </w:pPr>
            <w:r>
              <w:rPr>
                <w:rFonts w:hint="eastAsia"/>
                <w:b/>
                <w:bCs w:val="0"/>
                <w:color w:val="auto"/>
                <w:u w:val="single"/>
                <w:lang w:val="en-US" w:eastAsia="zh-CN"/>
              </w:rPr>
              <w:t>0</w:t>
            </w:r>
          </w:p>
        </w:tc>
        <w:tc>
          <w:tcPr>
            <w:tcW w:w="853" w:type="pct"/>
            <w:vMerge w:val="continue"/>
            <w:vAlign w:val="center"/>
          </w:tcPr>
          <w:p w14:paraId="668072FF">
            <w:pPr>
              <w:pStyle w:val="182"/>
              <w:bidi w:val="0"/>
              <w:rPr>
                <w:b/>
                <w:bCs w:val="0"/>
                <w:color w:val="auto"/>
                <w:u w:val="single"/>
              </w:rPr>
            </w:pPr>
          </w:p>
        </w:tc>
        <w:tc>
          <w:tcPr>
            <w:tcW w:w="728" w:type="pct"/>
            <w:vAlign w:val="center"/>
          </w:tcPr>
          <w:p w14:paraId="76B2E53F">
            <w:pPr>
              <w:pStyle w:val="182"/>
              <w:bidi w:val="0"/>
              <w:rPr>
                <w:rFonts w:hint="default" w:eastAsia="宋体"/>
                <w:b/>
                <w:bCs w:val="0"/>
                <w:color w:val="auto"/>
                <w:u w:val="single"/>
                <w:lang w:val="en-US" w:eastAsia="zh-CN"/>
              </w:rPr>
            </w:pPr>
            <w:r>
              <w:rPr>
                <w:rFonts w:hint="eastAsia"/>
                <w:b/>
                <w:bCs w:val="0"/>
                <w:color w:val="auto"/>
                <w:u w:val="single"/>
                <w:lang w:val="en-US" w:eastAsia="zh-CN"/>
              </w:rPr>
              <w:t>0.123</w:t>
            </w:r>
          </w:p>
        </w:tc>
        <w:tc>
          <w:tcPr>
            <w:tcW w:w="515" w:type="pct"/>
            <w:vAlign w:val="center"/>
          </w:tcPr>
          <w:p w14:paraId="56B499EC">
            <w:pPr>
              <w:pStyle w:val="182"/>
              <w:bidi w:val="0"/>
              <w:ind w:firstLine="0" w:firstLineChars="0"/>
              <w:rPr>
                <w:rFonts w:hint="eastAsia"/>
                <w:b/>
                <w:bCs w:val="0"/>
                <w:color w:val="auto"/>
                <w:u w:val="single"/>
                <w:lang w:val="en-US" w:eastAsia="zh-CN"/>
              </w:rPr>
            </w:pPr>
            <w:r>
              <w:rPr>
                <w:rFonts w:hint="eastAsia"/>
                <w:b/>
                <w:bCs w:val="0"/>
                <w:color w:val="auto"/>
                <w:u w:val="single"/>
              </w:rPr>
              <w:t>达标</w:t>
            </w:r>
          </w:p>
        </w:tc>
      </w:tr>
    </w:tbl>
    <w:p w14:paraId="05CD88AB">
      <w:pPr>
        <w:bidi w:val="0"/>
        <w:rPr>
          <w:b/>
          <w:bCs w:val="0"/>
          <w:color w:val="auto"/>
          <w:sz w:val="24"/>
          <w:szCs w:val="24"/>
          <w:u w:val="single"/>
        </w:rPr>
      </w:pPr>
      <w:r>
        <w:rPr>
          <w:rFonts w:hint="eastAsia"/>
          <w:b/>
          <w:bCs w:val="0"/>
          <w:color w:val="auto"/>
          <w:sz w:val="24"/>
          <w:szCs w:val="24"/>
          <w:u w:val="single"/>
        </w:rPr>
        <w:t>注：</w:t>
      </w:r>
      <w:r>
        <w:rPr>
          <w:rFonts w:hint="eastAsia"/>
          <w:b/>
          <w:bCs w:val="0"/>
          <w:color w:val="auto"/>
          <w:sz w:val="24"/>
          <w:szCs w:val="24"/>
          <w:u w:val="single"/>
          <w:lang w:val="en-US" w:eastAsia="zh-CN"/>
        </w:rPr>
        <w:t>耗氧量</w:t>
      </w:r>
      <w:r>
        <w:rPr>
          <w:rFonts w:hint="eastAsia"/>
          <w:b/>
          <w:bCs w:val="0"/>
          <w:color w:val="auto"/>
          <w:sz w:val="24"/>
          <w:szCs w:val="24"/>
          <w:u w:val="single"/>
        </w:rPr>
        <w:t>预测值以检出限0.5mg/L为界，氨氮以0.025mg/L为界，低于检出限的预测值以0计。</w:t>
      </w:r>
    </w:p>
    <w:p w14:paraId="02783F50">
      <w:pPr>
        <w:bidi w:val="0"/>
        <w:rPr>
          <w:b/>
          <w:bCs w:val="0"/>
          <w:color w:val="auto"/>
          <w:u w:val="single"/>
        </w:rPr>
      </w:pPr>
      <w:r>
        <w:rPr>
          <w:rFonts w:hint="eastAsia"/>
          <w:b/>
          <w:bCs w:val="0"/>
          <w:color w:val="auto"/>
          <w:u w:val="single"/>
        </w:rPr>
        <w:t>由上表可知，项目废水调节池发生泄漏</w:t>
      </w:r>
      <w:r>
        <w:rPr>
          <w:rFonts w:hint="eastAsia"/>
          <w:b/>
          <w:bCs w:val="0"/>
          <w:color w:val="auto"/>
          <w:u w:val="single"/>
          <w:lang w:eastAsia="zh-CN"/>
        </w:rPr>
        <w:t>，</w:t>
      </w:r>
      <w:r>
        <w:rPr>
          <w:rFonts w:hint="eastAsia"/>
          <w:b/>
          <w:bCs w:val="0"/>
          <w:color w:val="auto"/>
          <w:u w:val="single"/>
          <w:lang w:val="en-US" w:eastAsia="zh-CN"/>
        </w:rPr>
        <w:t>东</w:t>
      </w:r>
      <w:r>
        <w:rPr>
          <w:rFonts w:hint="eastAsia"/>
          <w:b/>
          <w:bCs w:val="0"/>
          <w:color w:val="auto"/>
          <w:u w:val="single"/>
        </w:rPr>
        <w:t>厂界外</w:t>
      </w:r>
      <w:r>
        <w:rPr>
          <w:rFonts w:hint="eastAsia"/>
          <w:b/>
          <w:bCs w:val="0"/>
          <w:color w:val="auto"/>
          <w:u w:val="single"/>
          <w:lang w:val="en-US" w:eastAsia="zh-CN"/>
        </w:rPr>
        <w:t>耗氧量浓度</w:t>
      </w:r>
      <w:r>
        <w:rPr>
          <w:rFonts w:hint="eastAsia"/>
          <w:b/>
          <w:bCs w:val="0"/>
          <w:color w:val="auto"/>
          <w:u w:val="single"/>
        </w:rPr>
        <w:t>未出现超标；</w:t>
      </w:r>
      <w:r>
        <w:rPr>
          <w:rFonts w:hint="eastAsia"/>
          <w:b/>
          <w:bCs w:val="0"/>
          <w:color w:val="auto"/>
          <w:u w:val="single"/>
          <w:lang w:val="en-US" w:eastAsia="zh-CN"/>
        </w:rPr>
        <w:t>东</w:t>
      </w:r>
      <w:r>
        <w:rPr>
          <w:rFonts w:hint="eastAsia"/>
          <w:b/>
          <w:bCs w:val="0"/>
          <w:color w:val="auto"/>
          <w:u w:val="single"/>
        </w:rPr>
        <w:t>厂界外氨氮</w:t>
      </w:r>
      <w:r>
        <w:rPr>
          <w:rFonts w:hint="eastAsia"/>
          <w:b/>
          <w:bCs w:val="0"/>
          <w:color w:val="auto"/>
          <w:u w:val="single"/>
          <w:lang w:val="en-US" w:eastAsia="zh-CN"/>
        </w:rPr>
        <w:t>浓度</w:t>
      </w:r>
      <w:r>
        <w:rPr>
          <w:rFonts w:hint="eastAsia"/>
          <w:b/>
          <w:bCs w:val="0"/>
          <w:color w:val="auto"/>
          <w:u w:val="single"/>
        </w:rPr>
        <w:t>未出现超标。</w:t>
      </w:r>
    </w:p>
    <w:p w14:paraId="1F82B63C">
      <w:pPr>
        <w:bidi w:val="0"/>
        <w:rPr>
          <w:b/>
          <w:bCs w:val="0"/>
          <w:color w:val="auto"/>
          <w:u w:val="single"/>
        </w:rPr>
      </w:pPr>
      <w:r>
        <w:rPr>
          <w:rFonts w:hint="eastAsia"/>
          <w:b/>
          <w:bCs w:val="0"/>
          <w:color w:val="auto"/>
          <w:u w:val="single"/>
        </w:rPr>
        <w:t>（3）对敏感点的预测</w:t>
      </w:r>
    </w:p>
    <w:p w14:paraId="78CEF326">
      <w:pPr>
        <w:bidi w:val="0"/>
        <w:rPr>
          <w:b/>
          <w:bCs w:val="0"/>
          <w:color w:val="auto"/>
          <w:u w:val="single"/>
        </w:rPr>
      </w:pPr>
      <w:r>
        <w:rPr>
          <w:rFonts w:hint="eastAsia"/>
          <w:b/>
          <w:bCs w:val="0"/>
          <w:color w:val="auto"/>
          <w:u w:val="single"/>
        </w:rPr>
        <w:t>项目评价范围内下游没有地下水环境敏感点，项目生产对</w:t>
      </w:r>
      <w:r>
        <w:rPr>
          <w:rFonts w:hint="eastAsia"/>
          <w:b/>
          <w:bCs w:val="0"/>
          <w:color w:val="auto"/>
          <w:u w:val="single"/>
          <w:lang w:val="en-US" w:eastAsia="zh-CN"/>
        </w:rPr>
        <w:t>厂界</w:t>
      </w:r>
      <w:r>
        <w:rPr>
          <w:rFonts w:hint="eastAsia"/>
          <w:b/>
          <w:bCs w:val="0"/>
          <w:color w:val="auto"/>
          <w:u w:val="single"/>
        </w:rPr>
        <w:t>地下水的影响可以接受。</w:t>
      </w:r>
    </w:p>
    <w:p w14:paraId="7BA3C928">
      <w:pPr>
        <w:bidi w:val="0"/>
        <w:rPr>
          <w:rFonts w:hint="eastAsia"/>
          <w:b/>
          <w:bCs w:val="0"/>
          <w:color w:val="auto"/>
          <w:u w:val="single"/>
        </w:rPr>
      </w:pPr>
      <w:r>
        <w:rPr>
          <w:rFonts w:hint="eastAsia"/>
          <w:b/>
          <w:bCs w:val="0"/>
          <w:color w:val="auto"/>
          <w:u w:val="single"/>
        </w:rPr>
        <w:t>综上所述，评价建议污水处理站各构筑物周边应</w:t>
      </w:r>
      <w:r>
        <w:rPr>
          <w:rFonts w:hint="eastAsia"/>
          <w:b/>
          <w:bCs w:val="0"/>
          <w:color w:val="auto"/>
          <w:u w:val="single"/>
          <w:lang w:val="en-US" w:eastAsia="zh-CN"/>
        </w:rPr>
        <w:t>按要求进行</w:t>
      </w:r>
      <w:r>
        <w:rPr>
          <w:rFonts w:hint="eastAsia"/>
          <w:b/>
          <w:bCs w:val="0"/>
          <w:color w:val="auto"/>
          <w:u w:val="single"/>
        </w:rPr>
        <w:t>防渗，同时制定严格的巡检制度并落实到责任人，杜绝项目厂区地面及各类废水池防渗措施出现渗漏现象，在落实以上各项防渗措施和巡检制度后，基本可杜绝非正常泄漏的发生，因此本项目地下水环境影响是可以接受的。</w:t>
      </w:r>
    </w:p>
    <w:p w14:paraId="7773CD07">
      <w:pPr>
        <w:pStyle w:val="5"/>
        <w:bidi w:val="0"/>
        <w:rPr>
          <w:color w:val="auto"/>
        </w:rPr>
      </w:pPr>
      <w:r>
        <w:rPr>
          <w:rFonts w:hint="eastAsia"/>
          <w:color w:val="auto"/>
        </w:rPr>
        <w:t>地下水</w:t>
      </w:r>
      <w:r>
        <w:rPr>
          <w:color w:val="auto"/>
        </w:rPr>
        <w:t>评价结论</w:t>
      </w:r>
    </w:p>
    <w:p w14:paraId="359B24C8">
      <w:pPr>
        <w:bidi w:val="0"/>
        <w:rPr>
          <w:color w:val="auto"/>
        </w:rPr>
      </w:pPr>
      <w:r>
        <w:rPr>
          <w:rFonts w:hint="eastAsia"/>
          <w:color w:val="auto"/>
        </w:rPr>
        <w:t>（1）正常工况</w:t>
      </w:r>
    </w:p>
    <w:p w14:paraId="5E4A2A83">
      <w:pPr>
        <w:bidi w:val="0"/>
        <w:rPr>
          <w:color w:val="auto"/>
          <w:lang w:val="en-US"/>
        </w:rPr>
      </w:pPr>
      <w:r>
        <w:rPr>
          <w:rFonts w:hint="eastAsia"/>
          <w:color w:val="auto"/>
          <w:lang w:val="en-US"/>
        </w:rPr>
        <w:t>正常情况下，项目建设均按照GB16889、GB18597、GB18598、GB18599、GB/T50934的要求进行了地下水分区防渗，</w:t>
      </w:r>
      <w:r>
        <w:rPr>
          <w:color w:val="auto"/>
          <w:lang w:val="en-US"/>
        </w:rPr>
        <w:t>正常工况下污水不会渗漏进入地下造成污染。</w:t>
      </w:r>
    </w:p>
    <w:p w14:paraId="4412E051">
      <w:pPr>
        <w:bidi w:val="0"/>
        <w:rPr>
          <w:color w:val="auto"/>
        </w:rPr>
      </w:pPr>
      <w:r>
        <w:rPr>
          <w:rFonts w:hint="eastAsia"/>
          <w:color w:val="auto"/>
        </w:rPr>
        <w:t>（2）非正常工况</w:t>
      </w:r>
    </w:p>
    <w:p w14:paraId="15F2FFA5">
      <w:pPr>
        <w:bidi w:val="0"/>
        <w:rPr>
          <w:color w:val="auto"/>
        </w:rPr>
      </w:pPr>
      <w:r>
        <w:rPr>
          <w:color w:val="auto"/>
          <w:lang w:val="en-US"/>
        </w:rPr>
        <w:t>综合分析，在非正常工况下，该工程对厂址周围的地下水环境有一定的影响。但从泄漏概率、地面破损概率综合考虑，废水</w:t>
      </w:r>
      <w:r>
        <w:rPr>
          <w:rFonts w:hint="eastAsia"/>
          <w:color w:val="auto"/>
          <w:lang w:val="en-US"/>
        </w:rPr>
        <w:t>调节</w:t>
      </w:r>
      <w:r>
        <w:rPr>
          <w:color w:val="auto"/>
          <w:lang w:val="en-US"/>
        </w:rPr>
        <w:t>池渗入地下是概率很小的事件，</w:t>
      </w:r>
      <w:r>
        <w:rPr>
          <w:color w:val="auto"/>
        </w:rPr>
        <w:t>如果采取适当的预防措施和应急处理措施，可以把对地下水环境的影响控制到地下水环境容量可以接受的程度</w:t>
      </w:r>
      <w:r>
        <w:rPr>
          <w:rFonts w:hint="eastAsia"/>
          <w:color w:val="auto"/>
        </w:rPr>
        <w:t>。</w:t>
      </w:r>
    </w:p>
    <w:p w14:paraId="5CBBFEF9">
      <w:pPr>
        <w:pStyle w:val="5"/>
        <w:bidi w:val="0"/>
        <w:rPr>
          <w:color w:val="auto"/>
        </w:rPr>
      </w:pPr>
      <w:r>
        <w:rPr>
          <w:rFonts w:hint="eastAsia"/>
          <w:color w:val="auto"/>
        </w:rPr>
        <w:t>建议</w:t>
      </w:r>
    </w:p>
    <w:p w14:paraId="3D6FF07C">
      <w:pPr>
        <w:bidi w:val="0"/>
        <w:rPr>
          <w:color w:val="auto"/>
        </w:rPr>
      </w:pPr>
      <w:r>
        <w:rPr>
          <w:color w:val="auto"/>
        </w:rPr>
        <w:t>（1）地下水污染具有不易发现和一旦污染很难治理的特点，因此，防止地下水污染应遵循源头控制、防止渗漏、污染监测及事故应急处理的主动及被动防渗相结合的原则。</w:t>
      </w:r>
    </w:p>
    <w:p w14:paraId="68A6CAD7">
      <w:pPr>
        <w:bidi w:val="0"/>
        <w:rPr>
          <w:color w:val="auto"/>
        </w:rPr>
      </w:pPr>
      <w:r>
        <w:rPr>
          <w:color w:val="auto"/>
        </w:rPr>
        <w:t>（2）项目建成后，应加强对厂址浅层地下水的动态监测工作，以实时掌握项目排放污染物对浅层地下水水质的影响。</w:t>
      </w:r>
    </w:p>
    <w:p w14:paraId="66C92126">
      <w:pPr>
        <w:pStyle w:val="5"/>
        <w:bidi w:val="0"/>
        <w:rPr>
          <w:color w:val="auto"/>
        </w:rPr>
      </w:pPr>
      <w:r>
        <w:rPr>
          <w:color w:val="auto"/>
        </w:rPr>
        <w:t>地下水环境保护措施</w:t>
      </w:r>
    </w:p>
    <w:p w14:paraId="5E6E351A">
      <w:pPr>
        <w:bidi w:val="0"/>
        <w:rPr>
          <w:color w:val="auto"/>
        </w:rPr>
      </w:pPr>
      <w:r>
        <w:rPr>
          <w:color w:val="auto"/>
        </w:rPr>
        <w:t>为减少和防止本项目生产过程中产生的废水污染物对地下水造成污染影响，项目在建设过程中应对生产车间、道路采用水泥硬化，对</w:t>
      </w:r>
      <w:r>
        <w:rPr>
          <w:rFonts w:hint="eastAsia"/>
          <w:color w:val="auto"/>
        </w:rPr>
        <w:t>厂区</w:t>
      </w:r>
      <w:r>
        <w:rPr>
          <w:rFonts w:hint="eastAsia"/>
          <w:color w:val="auto"/>
          <w:lang w:val="en-US" w:eastAsia="zh-CN"/>
        </w:rPr>
        <w:t>项目生产车间，输送管道</w:t>
      </w:r>
      <w:r>
        <w:rPr>
          <w:color w:val="auto"/>
        </w:rPr>
        <w:t>等采取防渗处理，以防止各种构筑物渗漏对区域地下水造成污染。</w:t>
      </w:r>
    </w:p>
    <w:p w14:paraId="24F8BBA4">
      <w:pPr>
        <w:bidi w:val="0"/>
        <w:rPr>
          <w:b/>
          <w:bCs/>
          <w:color w:val="auto"/>
        </w:rPr>
      </w:pPr>
      <w:r>
        <w:rPr>
          <w:b/>
          <w:bCs/>
          <w:color w:val="auto"/>
        </w:rPr>
        <w:t>一、防渗原则</w:t>
      </w:r>
    </w:p>
    <w:p w14:paraId="04F7A85D">
      <w:pPr>
        <w:bidi w:val="0"/>
        <w:rPr>
          <w:color w:val="auto"/>
        </w:rPr>
      </w:pPr>
      <w:r>
        <w:rPr>
          <w:color w:val="auto"/>
        </w:rPr>
        <w:t>采取源头控制、末端防治、污染监控相结合的原则，具体如下：</w:t>
      </w:r>
    </w:p>
    <w:p w14:paraId="358E248E">
      <w:pPr>
        <w:bidi w:val="0"/>
        <w:rPr>
          <w:color w:val="auto"/>
        </w:rPr>
      </w:pPr>
      <w:r>
        <w:rPr>
          <w:color w:val="auto"/>
        </w:rPr>
        <w:t>（1）源头控制措施主要为在工艺、管道、设备、污水存储及处理构筑物处采取防泄漏和防渗措施，将污染物泄露污染地下水的环境风险降低到最低程度；</w:t>
      </w:r>
    </w:p>
    <w:p w14:paraId="5BAE95D7">
      <w:pPr>
        <w:bidi w:val="0"/>
        <w:rPr>
          <w:color w:val="auto"/>
        </w:rPr>
      </w:pPr>
      <w:r>
        <w:rPr>
          <w:color w:val="auto"/>
        </w:rPr>
        <w:t>（2）末端防治措施主要包括厂区防渗措施、污水收集措施，</w:t>
      </w:r>
      <w:r>
        <w:rPr>
          <w:rFonts w:hint="eastAsia"/>
          <w:color w:val="auto"/>
        </w:rPr>
        <w:t>防止</w:t>
      </w:r>
      <w:r>
        <w:rPr>
          <w:color w:val="auto"/>
        </w:rPr>
        <w:t>洒落地面的污染物渗入地下，同时对渗入地下的污染物及时收集，防止污染地下水；</w:t>
      </w:r>
    </w:p>
    <w:p w14:paraId="4B6F12F7">
      <w:pPr>
        <w:bidi w:val="0"/>
        <w:rPr>
          <w:color w:val="auto"/>
        </w:rPr>
      </w:pPr>
      <w:r>
        <w:rPr>
          <w:color w:val="auto"/>
        </w:rPr>
        <w:t>（3）污染监控措施主要包括建立完善的监测制度、配备先进的监测仪器和设备，科学合理</w:t>
      </w:r>
      <w:r>
        <w:rPr>
          <w:rFonts w:hint="eastAsia"/>
          <w:color w:val="auto"/>
          <w:lang w:eastAsia="zh-CN"/>
        </w:rPr>
        <w:t>地</w:t>
      </w:r>
      <w:r>
        <w:rPr>
          <w:color w:val="auto"/>
        </w:rPr>
        <w:t>设置地下水监控井，同时加强车间和各用排水单元的管理，避免跑冒滴漏现象的发生，增强员工的环境保护意识，及时对员工进行宣传教育。</w:t>
      </w:r>
    </w:p>
    <w:p w14:paraId="110E70C3">
      <w:pPr>
        <w:bidi w:val="0"/>
        <w:rPr>
          <w:color w:val="auto"/>
        </w:rPr>
      </w:pPr>
      <w:r>
        <w:rPr>
          <w:color w:val="auto"/>
        </w:rPr>
        <w:t>（4）项目设置的固废全密闭暂存间应严格按照一般固废和危险固废全密闭暂存间建设要求，设置相应的围堰、排水设施等，并对厂区地面进行硬化。</w:t>
      </w:r>
    </w:p>
    <w:p w14:paraId="6BC694F1">
      <w:pPr>
        <w:bidi w:val="0"/>
        <w:rPr>
          <w:b/>
          <w:bCs/>
          <w:color w:val="auto"/>
        </w:rPr>
      </w:pPr>
      <w:r>
        <w:rPr>
          <w:b/>
          <w:bCs/>
          <w:color w:val="auto"/>
        </w:rPr>
        <w:t>二、厂区防渗要求</w:t>
      </w:r>
    </w:p>
    <w:p w14:paraId="0B0717B5">
      <w:pPr>
        <w:bidi w:val="0"/>
        <w:rPr>
          <w:rFonts w:hint="eastAsia"/>
          <w:color w:val="auto"/>
        </w:rPr>
      </w:pPr>
      <w:r>
        <w:rPr>
          <w:rFonts w:hint="eastAsia"/>
          <w:color w:val="auto"/>
        </w:rPr>
        <w:t>整个厂区划分为重点污染防渗区、一般污染防渗区、非污染防渗区：</w:t>
      </w:r>
    </w:p>
    <w:p w14:paraId="2B798B3F">
      <w:pPr>
        <w:bidi w:val="0"/>
        <w:rPr>
          <w:rFonts w:hint="eastAsia"/>
          <w:color w:val="auto"/>
        </w:rPr>
      </w:pPr>
      <w:r>
        <w:rPr>
          <w:rFonts w:hint="eastAsia"/>
          <w:color w:val="auto"/>
        </w:rPr>
        <w:t>重点污染防渗区：位于地下或半地下的生产功能单元，污染地下水环境的物料或污染物泄漏后，不易及时发现和处理的区域或部位。本项目的重点污染防治区为：</w:t>
      </w:r>
      <w:r>
        <w:rPr>
          <w:rFonts w:hint="eastAsia"/>
          <w:color w:val="auto"/>
          <w:lang w:val="en-US" w:eastAsia="zh-CN"/>
        </w:rPr>
        <w:t>本项目车间一层和二层车间及仓库</w:t>
      </w:r>
      <w:r>
        <w:rPr>
          <w:rFonts w:hint="eastAsia"/>
          <w:color w:val="auto"/>
        </w:rPr>
        <w:t>。</w:t>
      </w:r>
    </w:p>
    <w:p w14:paraId="6250B1BD">
      <w:pPr>
        <w:keepNext w:val="0"/>
        <w:keepLines w:val="0"/>
        <w:pageBreakBefore w:val="0"/>
        <w:widowControl w:val="0"/>
        <w:kinsoku/>
        <w:wordWrap/>
        <w:overflowPunct/>
        <w:topLinePunct w:val="0"/>
        <w:autoSpaceDE/>
        <w:autoSpaceDN/>
        <w:bidi w:val="0"/>
        <w:adjustRightInd w:val="0"/>
        <w:snapToGrid w:val="0"/>
        <w:spacing w:line="360" w:lineRule="auto"/>
        <w:textAlignment w:val="auto"/>
        <w:rPr>
          <w:b w:val="0"/>
          <w:bCs w:val="0"/>
          <w:color w:val="auto"/>
          <w:u w:val="none"/>
        </w:rPr>
      </w:pPr>
      <w:r>
        <w:rPr>
          <w:rFonts w:hint="eastAsia"/>
          <w:b w:val="0"/>
          <w:bCs w:val="0"/>
          <w:color w:val="auto"/>
          <w:u w:val="none"/>
        </w:rPr>
        <w:t>一般污染防渗区：</w:t>
      </w:r>
      <w:r>
        <w:rPr>
          <w:rFonts w:hint="eastAsia"/>
          <w:b w:val="0"/>
          <w:bCs w:val="0"/>
          <w:color w:val="auto"/>
          <w:u w:val="none"/>
          <w:lang w:eastAsia="zh-CN"/>
        </w:rPr>
        <w:t>裸露</w:t>
      </w:r>
      <w:r>
        <w:rPr>
          <w:rFonts w:hint="eastAsia"/>
          <w:b w:val="0"/>
          <w:bCs w:val="0"/>
          <w:color w:val="auto"/>
          <w:u w:val="none"/>
        </w:rPr>
        <w:t>于地面的生产功能单元，污染地下水环境的物料或污染物泄漏后，可及时发现和处理的区域或部位。本项目的一般污染防治区为：</w:t>
      </w:r>
      <w:r>
        <w:rPr>
          <w:rFonts w:hint="eastAsia"/>
          <w:b w:val="0"/>
          <w:bCs w:val="0"/>
          <w:color w:val="auto"/>
          <w:u w:val="none"/>
          <w:lang w:val="en-US" w:eastAsia="zh-CN"/>
        </w:rPr>
        <w:t>冷却水池及动力站</w:t>
      </w:r>
      <w:r>
        <w:rPr>
          <w:rFonts w:hint="eastAsia"/>
          <w:b w:val="0"/>
          <w:bCs w:val="0"/>
          <w:color w:val="auto"/>
          <w:u w:val="none"/>
        </w:rPr>
        <w:t>。</w:t>
      </w:r>
    </w:p>
    <w:p w14:paraId="42197688">
      <w:pPr>
        <w:bidi w:val="0"/>
        <w:rPr>
          <w:rFonts w:hint="eastAsia" w:eastAsia="宋体"/>
          <w:color w:val="auto"/>
          <w:lang w:eastAsia="zh-CN"/>
        </w:rPr>
      </w:pPr>
      <w:r>
        <w:rPr>
          <w:rFonts w:hint="eastAsia"/>
          <w:color w:val="auto"/>
        </w:rPr>
        <w:t>非污染防渗区：没有物料或污染物泄露，不会对地下水环境造成污染的区域或部位。本项目</w:t>
      </w:r>
      <w:r>
        <w:rPr>
          <w:rFonts w:hint="eastAsia"/>
          <w:color w:val="auto"/>
          <w:lang w:val="en-US" w:eastAsia="zh-CN"/>
        </w:rPr>
        <w:t>无</w:t>
      </w:r>
      <w:r>
        <w:rPr>
          <w:rFonts w:hint="eastAsia"/>
          <w:color w:val="auto"/>
        </w:rPr>
        <w:t>非污染防治区。</w:t>
      </w:r>
    </w:p>
    <w:p w14:paraId="7D068E72">
      <w:pPr>
        <w:bidi w:val="0"/>
        <w:ind w:left="0" w:leftChars="0" w:firstLine="0" w:firstLineChars="0"/>
        <w:jc w:val="center"/>
        <w:rPr>
          <w:rFonts w:hint="eastAsia"/>
          <w:color w:val="auto"/>
          <w:lang w:eastAsia="zh-CN"/>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14:paraId="2BC2EA25">
      <w:pPr>
        <w:bidi w:val="0"/>
        <w:ind w:left="0" w:leftChars="0" w:firstLine="0" w:firstLineChars="0"/>
        <w:jc w:val="center"/>
        <w:rPr>
          <w:rFonts w:hint="eastAsia" w:eastAsia="宋体"/>
          <w:color w:val="auto"/>
          <w:lang w:eastAsia="zh-CN"/>
        </w:rPr>
      </w:pPr>
      <w:r>
        <w:rPr>
          <w:rFonts w:hint="eastAsia" w:eastAsia="宋体"/>
          <w:color w:val="auto"/>
          <w:lang w:eastAsia="zh-CN"/>
        </w:rPr>
        <w:object>
          <v:shape id="_x0000_i1037" o:spt="75" type="#_x0000_t75" style="height:400.45pt;width:672.7pt;" o:ole="t" filled="f" o:preferrelative="t" stroked="f" coordsize="21600,21600">
            <v:path/>
            <v:fill on="f" focussize="0,0"/>
            <v:stroke on="f"/>
            <v:imagedata r:id="rId93" croptop="9750f" o:title=""/>
            <o:lock v:ext="edit" aspectratio="t"/>
            <w10:wrap type="none"/>
            <w10:anchorlock/>
          </v:shape>
          <o:OLEObject Type="Embed" ProgID="Visio.Drawing.15" ShapeID="_x0000_i1037" DrawAspect="Content" ObjectID="_1468075732" r:id="rId92">
            <o:LockedField>false</o:LockedField>
          </o:OLEObject>
        </w:object>
      </w:r>
    </w:p>
    <w:p w14:paraId="3B3A9186">
      <w:pPr>
        <w:pStyle w:val="181"/>
        <w:bidi w:val="0"/>
        <w:ind w:left="0" w:leftChars="0" w:firstLine="0" w:firstLineChars="0"/>
        <w:jc w:val="center"/>
        <w:rPr>
          <w:rFonts w:hint="eastAsia"/>
          <w:i w:val="0"/>
          <w:iCs w:val="0"/>
          <w:color w:val="auto"/>
          <w:u w:val="single"/>
          <w:lang w:eastAsia="zh-CN"/>
        </w:rPr>
      </w:pPr>
      <w:r>
        <w:rPr>
          <w:rFonts w:hint="eastAsia"/>
          <w:i w:val="0"/>
          <w:iCs w:val="0"/>
          <w:color w:val="auto"/>
          <w:u w:val="single"/>
          <w:lang w:val="en-US" w:eastAsia="zh-CN"/>
        </w:rPr>
        <w:t>图6.3-6  项目厂区分区防渗图</w:t>
      </w:r>
    </w:p>
    <w:p w14:paraId="51D8F983">
      <w:pPr>
        <w:bidi w:val="0"/>
        <w:ind w:left="0" w:leftChars="0" w:firstLine="0" w:firstLineChars="0"/>
        <w:rPr>
          <w:rFonts w:hint="eastAsia"/>
          <w:color w:val="auto"/>
          <w:lang w:eastAsia="zh-CN"/>
        </w:rPr>
      </w:pPr>
    </w:p>
    <w:p w14:paraId="5CECA3C7">
      <w:pPr>
        <w:pStyle w:val="30"/>
        <w:ind w:left="0" w:leftChars="0" w:firstLine="0" w:firstLineChars="0"/>
        <w:rPr>
          <w:rFonts w:hint="eastAsia"/>
          <w:color w:val="auto"/>
          <w:lang w:eastAsia="zh-CN"/>
        </w:rPr>
        <w:sectPr>
          <w:pgSz w:w="16840" w:h="11907" w:orient="landscape"/>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14:paraId="7E387775">
      <w:pPr>
        <w:keepNext w:val="0"/>
        <w:keepLines w:val="0"/>
        <w:pageBreakBefore w:val="0"/>
        <w:widowControl w:val="0"/>
        <w:kinsoku/>
        <w:wordWrap/>
        <w:overflowPunct/>
        <w:topLinePunct w:val="0"/>
        <w:autoSpaceDE/>
        <w:autoSpaceDN/>
        <w:bidi w:val="0"/>
        <w:adjustRightInd w:val="0"/>
        <w:snapToGrid w:val="0"/>
        <w:spacing w:line="360" w:lineRule="auto"/>
        <w:textAlignment w:val="auto"/>
        <w:rPr>
          <w:b w:val="0"/>
          <w:bCs w:val="0"/>
          <w:color w:val="auto"/>
          <w:u w:val="none"/>
        </w:rPr>
      </w:pPr>
      <w:r>
        <w:rPr>
          <w:rFonts w:hint="eastAsia"/>
          <w:b w:val="0"/>
          <w:bCs w:val="0"/>
          <w:color w:val="auto"/>
          <w:u w:val="none"/>
        </w:rPr>
        <w:t>针对不同的防渗区域，采取不同的污染防渗措施，具体如下：</w:t>
      </w:r>
    </w:p>
    <w:p w14:paraId="0D5807C2">
      <w:pPr>
        <w:keepNext w:val="0"/>
        <w:keepLines w:val="0"/>
        <w:pageBreakBefore w:val="0"/>
        <w:widowControl w:val="0"/>
        <w:kinsoku/>
        <w:wordWrap/>
        <w:overflowPunct/>
        <w:topLinePunct w:val="0"/>
        <w:autoSpaceDE/>
        <w:autoSpaceDN/>
        <w:bidi w:val="0"/>
        <w:adjustRightInd w:val="0"/>
        <w:snapToGrid w:val="0"/>
        <w:spacing w:line="360" w:lineRule="auto"/>
        <w:textAlignment w:val="auto"/>
        <w:rPr>
          <w:b w:val="0"/>
          <w:bCs w:val="0"/>
          <w:color w:val="auto"/>
          <w:u w:val="none"/>
        </w:rPr>
      </w:pPr>
      <w:r>
        <w:rPr>
          <w:rFonts w:hint="eastAsia"/>
          <w:b w:val="0"/>
          <w:bCs w:val="0"/>
          <w:color w:val="auto"/>
          <w:u w:val="none"/>
        </w:rPr>
        <w:t>（1）重点污染防渗区：</w:t>
      </w:r>
    </w:p>
    <w:p w14:paraId="4A384DF2">
      <w:pPr>
        <w:keepNext w:val="0"/>
        <w:keepLines w:val="0"/>
        <w:pageBreakBefore w:val="0"/>
        <w:widowControl w:val="0"/>
        <w:kinsoku/>
        <w:wordWrap/>
        <w:overflowPunct/>
        <w:topLinePunct w:val="0"/>
        <w:autoSpaceDE/>
        <w:autoSpaceDN/>
        <w:bidi w:val="0"/>
        <w:adjustRightInd w:val="0"/>
        <w:snapToGrid w:val="0"/>
        <w:spacing w:line="360" w:lineRule="auto"/>
        <w:textAlignment w:val="auto"/>
        <w:rPr>
          <w:b w:val="0"/>
          <w:bCs w:val="0"/>
          <w:color w:val="auto"/>
          <w:u w:val="none"/>
        </w:rPr>
      </w:pPr>
      <w:r>
        <w:rPr>
          <w:rFonts w:hint="eastAsia"/>
          <w:b w:val="0"/>
          <w:bCs w:val="0"/>
          <w:color w:val="auto"/>
          <w:u w:val="none"/>
        </w:rPr>
        <w:t>a</w:t>
      </w:r>
      <w:r>
        <w:rPr>
          <w:rFonts w:hint="eastAsia"/>
          <w:b w:val="0"/>
          <w:bCs w:val="0"/>
          <w:color w:val="auto"/>
          <w:u w:val="none"/>
          <w:lang w:eastAsia="zh-CN"/>
        </w:rPr>
        <w:t>.</w:t>
      </w:r>
      <w:r>
        <w:rPr>
          <w:rFonts w:hint="eastAsia"/>
          <w:b w:val="0"/>
          <w:bCs w:val="0"/>
          <w:color w:val="auto"/>
          <w:u w:val="none"/>
        </w:rPr>
        <w:t>防渗性能应与6.0m厚</w:t>
      </w:r>
      <w:r>
        <w:rPr>
          <w:rFonts w:hint="eastAsia"/>
          <w:b w:val="0"/>
          <w:bCs w:val="0"/>
          <w:color w:val="auto"/>
          <w:u w:val="none"/>
          <w:lang w:eastAsia="zh-CN"/>
        </w:rPr>
        <w:t>黏土</w:t>
      </w:r>
      <w:r>
        <w:rPr>
          <w:rFonts w:hint="eastAsia"/>
          <w:b w:val="0"/>
          <w:bCs w:val="0"/>
          <w:color w:val="auto"/>
          <w:u w:val="none"/>
        </w:rPr>
        <w:t>层（渗透系数1.0×10</w:t>
      </w:r>
      <w:r>
        <w:rPr>
          <w:rFonts w:hint="eastAsia"/>
          <w:b w:val="0"/>
          <w:bCs w:val="0"/>
          <w:color w:val="auto"/>
          <w:u w:val="none"/>
          <w:vertAlign w:val="superscript"/>
          <w:lang w:val="en-US" w:eastAsia="zh-CN"/>
        </w:rPr>
        <w:t>-</w:t>
      </w:r>
      <w:r>
        <w:rPr>
          <w:rFonts w:hint="eastAsia"/>
          <w:b w:val="0"/>
          <w:bCs w:val="0"/>
          <w:color w:val="auto"/>
          <w:u w:val="none"/>
          <w:vertAlign w:val="superscript"/>
        </w:rPr>
        <w:t>7</w:t>
      </w:r>
      <w:r>
        <w:rPr>
          <w:rFonts w:hint="eastAsia"/>
          <w:b w:val="0"/>
          <w:bCs w:val="0"/>
          <w:color w:val="auto"/>
          <w:u w:val="none"/>
        </w:rPr>
        <w:t>cm/s）等效；</w:t>
      </w:r>
    </w:p>
    <w:p w14:paraId="18FF18A5">
      <w:pPr>
        <w:keepNext w:val="0"/>
        <w:keepLines w:val="0"/>
        <w:pageBreakBefore w:val="0"/>
        <w:widowControl w:val="0"/>
        <w:kinsoku/>
        <w:wordWrap/>
        <w:overflowPunct/>
        <w:topLinePunct w:val="0"/>
        <w:autoSpaceDE/>
        <w:autoSpaceDN/>
        <w:bidi w:val="0"/>
        <w:adjustRightInd w:val="0"/>
        <w:snapToGrid w:val="0"/>
        <w:spacing w:line="360" w:lineRule="auto"/>
        <w:textAlignment w:val="auto"/>
        <w:rPr>
          <w:b w:val="0"/>
          <w:bCs w:val="0"/>
          <w:color w:val="auto"/>
          <w:u w:val="none"/>
        </w:rPr>
      </w:pPr>
      <w:r>
        <w:rPr>
          <w:rFonts w:hint="eastAsia"/>
          <w:b w:val="0"/>
          <w:bCs w:val="0"/>
          <w:color w:val="auto"/>
          <w:u w:val="none"/>
        </w:rPr>
        <w:t>b</w:t>
      </w:r>
      <w:r>
        <w:rPr>
          <w:rFonts w:hint="eastAsia"/>
          <w:b w:val="0"/>
          <w:bCs w:val="0"/>
          <w:color w:val="auto"/>
          <w:u w:val="none"/>
          <w:lang w:eastAsia="zh-CN"/>
        </w:rPr>
        <w:t>.</w:t>
      </w:r>
      <w:r>
        <w:rPr>
          <w:rFonts w:hint="eastAsia"/>
          <w:b w:val="0"/>
          <w:bCs w:val="0"/>
          <w:color w:val="auto"/>
          <w:u w:val="none"/>
        </w:rPr>
        <w:t>第一层采用底层粘土，采用0.3m压实</w:t>
      </w:r>
      <w:r>
        <w:rPr>
          <w:rFonts w:hint="eastAsia"/>
          <w:b w:val="0"/>
          <w:bCs w:val="0"/>
          <w:color w:val="auto"/>
          <w:u w:val="none"/>
          <w:lang w:eastAsia="zh-CN"/>
        </w:rPr>
        <w:t>黏土</w:t>
      </w:r>
      <w:r>
        <w:rPr>
          <w:rFonts w:hint="eastAsia"/>
          <w:b w:val="0"/>
          <w:bCs w:val="0"/>
          <w:color w:val="auto"/>
          <w:u w:val="none"/>
        </w:rPr>
        <w:t>层；</w:t>
      </w:r>
    </w:p>
    <w:p w14:paraId="58E2F025">
      <w:pPr>
        <w:keepNext w:val="0"/>
        <w:keepLines w:val="0"/>
        <w:pageBreakBefore w:val="0"/>
        <w:widowControl w:val="0"/>
        <w:kinsoku/>
        <w:wordWrap/>
        <w:overflowPunct/>
        <w:topLinePunct w:val="0"/>
        <w:autoSpaceDE/>
        <w:autoSpaceDN/>
        <w:bidi w:val="0"/>
        <w:adjustRightInd w:val="0"/>
        <w:snapToGrid w:val="0"/>
        <w:spacing w:line="360" w:lineRule="auto"/>
        <w:textAlignment w:val="auto"/>
        <w:rPr>
          <w:b w:val="0"/>
          <w:bCs w:val="0"/>
          <w:color w:val="auto"/>
          <w:u w:val="none"/>
        </w:rPr>
      </w:pPr>
      <w:r>
        <w:rPr>
          <w:rFonts w:hint="eastAsia"/>
          <w:b w:val="0"/>
          <w:bCs w:val="0"/>
          <w:color w:val="auto"/>
          <w:u w:val="none"/>
        </w:rPr>
        <w:t>c</w:t>
      </w:r>
      <w:r>
        <w:rPr>
          <w:rFonts w:hint="eastAsia"/>
          <w:b w:val="0"/>
          <w:bCs w:val="0"/>
          <w:color w:val="auto"/>
          <w:u w:val="none"/>
          <w:lang w:eastAsia="zh-CN"/>
        </w:rPr>
        <w:t>.</w:t>
      </w:r>
      <w:r>
        <w:rPr>
          <w:rFonts w:hint="eastAsia"/>
          <w:b w:val="0"/>
          <w:bCs w:val="0"/>
          <w:color w:val="auto"/>
          <w:u w:val="none"/>
        </w:rPr>
        <w:t>第二层采用GCL（纳基膨润土防水毯），抗渗等级不小于P10，厚度宜为2.0mm；</w:t>
      </w:r>
    </w:p>
    <w:p w14:paraId="177B0C08">
      <w:pPr>
        <w:keepNext w:val="0"/>
        <w:keepLines w:val="0"/>
        <w:pageBreakBefore w:val="0"/>
        <w:widowControl w:val="0"/>
        <w:kinsoku/>
        <w:wordWrap/>
        <w:overflowPunct/>
        <w:topLinePunct w:val="0"/>
        <w:autoSpaceDE/>
        <w:autoSpaceDN/>
        <w:bidi w:val="0"/>
        <w:adjustRightInd w:val="0"/>
        <w:snapToGrid w:val="0"/>
        <w:spacing w:line="360" w:lineRule="auto"/>
        <w:textAlignment w:val="auto"/>
        <w:rPr>
          <w:b w:val="0"/>
          <w:bCs w:val="0"/>
          <w:color w:val="auto"/>
          <w:u w:val="none"/>
        </w:rPr>
      </w:pPr>
      <w:r>
        <w:rPr>
          <w:rFonts w:hint="eastAsia"/>
          <w:b w:val="0"/>
          <w:bCs w:val="0"/>
          <w:color w:val="auto"/>
          <w:u w:val="none"/>
        </w:rPr>
        <w:t>d</w:t>
      </w:r>
      <w:r>
        <w:rPr>
          <w:rFonts w:hint="eastAsia"/>
          <w:b w:val="0"/>
          <w:bCs w:val="0"/>
          <w:color w:val="auto"/>
          <w:u w:val="none"/>
          <w:lang w:eastAsia="zh-CN"/>
        </w:rPr>
        <w:t>.</w:t>
      </w:r>
      <w:r>
        <w:rPr>
          <w:rFonts w:hint="eastAsia"/>
          <w:b w:val="0"/>
          <w:bCs w:val="0"/>
          <w:color w:val="auto"/>
          <w:u w:val="none"/>
        </w:rPr>
        <w:t>第三层采用HDPE土工膜，厚度宜为1.5mm；</w:t>
      </w:r>
    </w:p>
    <w:p w14:paraId="67D391C6">
      <w:pPr>
        <w:keepNext w:val="0"/>
        <w:keepLines w:val="0"/>
        <w:pageBreakBefore w:val="0"/>
        <w:widowControl w:val="0"/>
        <w:kinsoku/>
        <w:wordWrap/>
        <w:overflowPunct/>
        <w:topLinePunct w:val="0"/>
        <w:autoSpaceDE/>
        <w:autoSpaceDN/>
        <w:bidi w:val="0"/>
        <w:adjustRightInd w:val="0"/>
        <w:snapToGrid w:val="0"/>
        <w:spacing w:line="360" w:lineRule="auto"/>
        <w:textAlignment w:val="auto"/>
        <w:rPr>
          <w:b w:val="0"/>
          <w:bCs w:val="0"/>
          <w:color w:val="auto"/>
          <w:u w:val="none"/>
        </w:rPr>
      </w:pPr>
      <w:r>
        <w:rPr>
          <w:rFonts w:hint="eastAsia"/>
          <w:b w:val="0"/>
          <w:bCs w:val="0"/>
          <w:color w:val="auto"/>
          <w:u w:val="none"/>
        </w:rPr>
        <w:t>e</w:t>
      </w:r>
      <w:r>
        <w:rPr>
          <w:rFonts w:hint="eastAsia"/>
          <w:b w:val="0"/>
          <w:bCs w:val="0"/>
          <w:color w:val="auto"/>
          <w:u w:val="none"/>
          <w:lang w:eastAsia="zh-CN"/>
        </w:rPr>
        <w:t>.</w:t>
      </w:r>
      <w:r>
        <w:rPr>
          <w:rFonts w:hint="eastAsia"/>
          <w:b w:val="0"/>
          <w:bCs w:val="0"/>
          <w:color w:val="auto"/>
          <w:u w:val="none"/>
        </w:rPr>
        <w:t>第四层采用长丝无纺土工布保护，其规格不宜小于600g/m</w:t>
      </w:r>
      <w:r>
        <w:rPr>
          <w:rFonts w:hint="eastAsia"/>
          <w:b w:val="0"/>
          <w:bCs w:val="0"/>
          <w:color w:val="auto"/>
          <w:u w:val="none"/>
          <w:vertAlign w:val="superscript"/>
        </w:rPr>
        <w:t>2</w:t>
      </w:r>
      <w:r>
        <w:rPr>
          <w:rFonts w:hint="eastAsia"/>
          <w:b w:val="0"/>
          <w:bCs w:val="0"/>
          <w:color w:val="auto"/>
          <w:u w:val="none"/>
        </w:rPr>
        <w:t>。</w:t>
      </w:r>
    </w:p>
    <w:p w14:paraId="47790B71">
      <w:pPr>
        <w:keepNext w:val="0"/>
        <w:keepLines w:val="0"/>
        <w:pageBreakBefore w:val="0"/>
        <w:widowControl w:val="0"/>
        <w:kinsoku/>
        <w:wordWrap/>
        <w:overflowPunct/>
        <w:topLinePunct w:val="0"/>
        <w:autoSpaceDE/>
        <w:autoSpaceDN/>
        <w:bidi w:val="0"/>
        <w:adjustRightInd w:val="0"/>
        <w:snapToGrid w:val="0"/>
        <w:spacing w:line="360" w:lineRule="auto"/>
        <w:textAlignment w:val="auto"/>
        <w:rPr>
          <w:b w:val="0"/>
          <w:bCs w:val="0"/>
          <w:color w:val="auto"/>
          <w:u w:val="none"/>
        </w:rPr>
      </w:pPr>
      <w:r>
        <w:rPr>
          <w:rFonts w:hint="eastAsia"/>
          <w:b w:val="0"/>
          <w:bCs w:val="0"/>
          <w:color w:val="auto"/>
          <w:u w:val="none"/>
        </w:rPr>
        <w:t>f</w:t>
      </w:r>
      <w:r>
        <w:rPr>
          <w:rFonts w:hint="eastAsia"/>
          <w:b w:val="0"/>
          <w:bCs w:val="0"/>
          <w:color w:val="auto"/>
          <w:u w:val="none"/>
          <w:lang w:eastAsia="zh-CN"/>
        </w:rPr>
        <w:t>.</w:t>
      </w:r>
      <w:r>
        <w:rPr>
          <w:rFonts w:hint="eastAsia"/>
          <w:b w:val="0"/>
          <w:bCs w:val="0"/>
          <w:color w:val="auto"/>
          <w:u w:val="none"/>
        </w:rPr>
        <w:t>第五层采用抗渗钢筋混凝土结构，混凝土强度等级不宜小于C30；钢筋混凝土水池的抗渗等级不应小于P8；结构厚度不应小于250mm；最大裂缝宽度不应大于0.2mm，并不得贯通；钢筋的混凝土保护层厚度应根据结构的耐久性和环境类别选用，迎水面钢筋的混凝土保护层厚度不应小于50mm；防渗钢筋混凝土水池所有缝应设置止水带，止水带可选用塑料止水带和橡胶止水带，缝内应填置填缝板和嵌缝密封料，接缝处等细部构造应采取防渗处理。</w:t>
      </w:r>
    </w:p>
    <w:p w14:paraId="3452D66F">
      <w:pPr>
        <w:keepNext w:val="0"/>
        <w:keepLines w:val="0"/>
        <w:pageBreakBefore w:val="0"/>
        <w:widowControl w:val="0"/>
        <w:kinsoku/>
        <w:wordWrap/>
        <w:overflowPunct/>
        <w:topLinePunct w:val="0"/>
        <w:autoSpaceDE/>
        <w:autoSpaceDN/>
        <w:bidi w:val="0"/>
        <w:adjustRightInd w:val="0"/>
        <w:snapToGrid w:val="0"/>
        <w:spacing w:line="360" w:lineRule="auto"/>
        <w:textAlignment w:val="auto"/>
        <w:rPr>
          <w:b w:val="0"/>
          <w:bCs w:val="0"/>
          <w:color w:val="auto"/>
          <w:u w:val="none"/>
        </w:rPr>
      </w:pPr>
      <w:r>
        <w:rPr>
          <w:rFonts w:hint="eastAsia"/>
          <w:b w:val="0"/>
          <w:bCs w:val="0"/>
          <w:color w:val="auto"/>
          <w:u w:val="none"/>
        </w:rPr>
        <w:t>防渗层应由中心坡向四周，坡度不宜小于1.5%。</w:t>
      </w:r>
    </w:p>
    <w:p w14:paraId="34829BA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（2）一般污染防渗区：</w:t>
      </w:r>
    </w:p>
    <w:p w14:paraId="260F30A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a</w:t>
      </w:r>
      <w:r>
        <w:rPr>
          <w:rFonts w:hint="eastAsia"/>
          <w:b w:val="0"/>
          <w:bCs w:val="0"/>
          <w:color w:val="auto"/>
          <w:u w:val="none"/>
          <w:lang w:eastAsia="zh-CN"/>
        </w:rPr>
        <w:t>.</w:t>
      </w:r>
      <w:r>
        <w:rPr>
          <w:rFonts w:hint="eastAsia"/>
          <w:b w:val="0"/>
          <w:bCs w:val="0"/>
          <w:color w:val="auto"/>
          <w:u w:val="none"/>
        </w:rPr>
        <w:t>对一般污染防治区，防渗性能应与1.5m厚</w:t>
      </w:r>
      <w:r>
        <w:rPr>
          <w:rFonts w:hint="eastAsia"/>
          <w:b w:val="0"/>
          <w:bCs w:val="0"/>
          <w:color w:val="auto"/>
          <w:u w:val="none"/>
          <w:lang w:eastAsia="zh-CN"/>
        </w:rPr>
        <w:t>黏土</w:t>
      </w:r>
      <w:r>
        <w:rPr>
          <w:rFonts w:hint="eastAsia"/>
          <w:b w:val="0"/>
          <w:bCs w:val="0"/>
          <w:color w:val="auto"/>
          <w:u w:val="none"/>
        </w:rPr>
        <w:t>层（渗透系数1.0×10</w:t>
      </w:r>
      <w:r>
        <w:rPr>
          <w:rFonts w:hint="eastAsia"/>
          <w:b w:val="0"/>
          <w:bCs w:val="0"/>
          <w:color w:val="auto"/>
          <w:u w:val="none"/>
          <w:vertAlign w:val="superscript"/>
          <w:lang w:val="en-US" w:eastAsia="zh-CN"/>
        </w:rPr>
        <w:t>-</w:t>
      </w:r>
      <w:r>
        <w:rPr>
          <w:rFonts w:hint="eastAsia"/>
          <w:b w:val="0"/>
          <w:bCs w:val="0"/>
          <w:color w:val="auto"/>
          <w:u w:val="none"/>
          <w:vertAlign w:val="superscript"/>
        </w:rPr>
        <w:t>7</w:t>
      </w:r>
      <w:r>
        <w:rPr>
          <w:rFonts w:hint="eastAsia"/>
          <w:b w:val="0"/>
          <w:bCs w:val="0"/>
          <w:color w:val="auto"/>
          <w:u w:val="none"/>
        </w:rPr>
        <w:t>cm/s）等效；</w:t>
      </w:r>
    </w:p>
    <w:p w14:paraId="072AB27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b</w:t>
      </w:r>
      <w:r>
        <w:rPr>
          <w:rFonts w:hint="eastAsia"/>
          <w:b w:val="0"/>
          <w:bCs w:val="0"/>
          <w:color w:val="auto"/>
          <w:u w:val="none"/>
          <w:lang w:eastAsia="zh-CN"/>
        </w:rPr>
        <w:t>.</w:t>
      </w:r>
      <w:r>
        <w:rPr>
          <w:rFonts w:hint="eastAsia"/>
          <w:b w:val="0"/>
          <w:bCs w:val="0"/>
          <w:color w:val="auto"/>
          <w:u w:val="none"/>
        </w:rPr>
        <w:t>第一层基地土采用粘土夯实；</w:t>
      </w:r>
    </w:p>
    <w:p w14:paraId="29C8DB4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c</w:t>
      </w:r>
      <w:r>
        <w:rPr>
          <w:rFonts w:hint="eastAsia"/>
          <w:b w:val="0"/>
          <w:bCs w:val="0"/>
          <w:color w:val="auto"/>
          <w:u w:val="none"/>
          <w:lang w:eastAsia="zh-CN"/>
        </w:rPr>
        <w:t>.</w:t>
      </w:r>
      <w:r>
        <w:rPr>
          <w:rFonts w:hint="eastAsia"/>
          <w:b w:val="0"/>
          <w:bCs w:val="0"/>
          <w:color w:val="auto"/>
          <w:u w:val="none"/>
        </w:rPr>
        <w:t>第二层垫层采用碎石垫层；</w:t>
      </w:r>
    </w:p>
    <w:p w14:paraId="747CA79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d</w:t>
      </w:r>
      <w:r>
        <w:rPr>
          <w:rFonts w:hint="eastAsia"/>
          <w:b w:val="0"/>
          <w:bCs w:val="0"/>
          <w:color w:val="auto"/>
          <w:u w:val="none"/>
          <w:lang w:eastAsia="zh-CN"/>
        </w:rPr>
        <w:t>.</w:t>
      </w:r>
      <w:r>
        <w:rPr>
          <w:rFonts w:hint="eastAsia"/>
          <w:b w:val="0"/>
          <w:bCs w:val="0"/>
          <w:color w:val="auto"/>
          <w:u w:val="none"/>
        </w:rPr>
        <w:t>第三层防渗层采用混凝土防渗；混凝土防渗层的强度等级不应小于C20，水灰比不宜大于0.50；抗渗混凝土的抗渗等级不宜小于P8，其厚度小于100mm；</w:t>
      </w:r>
    </w:p>
    <w:p w14:paraId="0E30E4B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e</w:t>
      </w:r>
      <w:r>
        <w:rPr>
          <w:rFonts w:hint="eastAsia"/>
          <w:b w:val="0"/>
          <w:bCs w:val="0"/>
          <w:color w:val="auto"/>
          <w:u w:val="none"/>
          <w:lang w:eastAsia="zh-CN"/>
        </w:rPr>
        <w:t>.</w:t>
      </w:r>
      <w:r>
        <w:rPr>
          <w:rFonts w:hint="eastAsia"/>
          <w:b w:val="0"/>
          <w:bCs w:val="0"/>
          <w:color w:val="auto"/>
          <w:u w:val="none"/>
        </w:rPr>
        <w:t>抗渗混凝土地面设置缩缝和变形缝，接缝处等细部构造进行防渗。</w:t>
      </w:r>
    </w:p>
    <w:p w14:paraId="4E84CEA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（3）非污染防渗区：</w:t>
      </w:r>
    </w:p>
    <w:p w14:paraId="3D2B769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a</w:t>
      </w:r>
      <w:r>
        <w:rPr>
          <w:rFonts w:hint="eastAsia"/>
          <w:b w:val="0"/>
          <w:bCs w:val="0"/>
          <w:color w:val="auto"/>
          <w:u w:val="none"/>
          <w:lang w:eastAsia="zh-CN"/>
        </w:rPr>
        <w:t>.</w:t>
      </w:r>
      <w:r>
        <w:rPr>
          <w:rFonts w:hint="eastAsia"/>
          <w:b w:val="0"/>
          <w:bCs w:val="0"/>
          <w:color w:val="auto"/>
          <w:u w:val="none"/>
        </w:rPr>
        <w:t>第一层基地土采用原土夯实；</w:t>
      </w:r>
    </w:p>
    <w:p w14:paraId="4D5B34D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b</w:t>
      </w:r>
      <w:r>
        <w:rPr>
          <w:rFonts w:hint="eastAsia"/>
          <w:b w:val="0"/>
          <w:bCs w:val="0"/>
          <w:color w:val="auto"/>
          <w:u w:val="none"/>
          <w:lang w:eastAsia="zh-CN"/>
        </w:rPr>
        <w:t>.</w:t>
      </w:r>
      <w:r>
        <w:rPr>
          <w:rFonts w:hint="eastAsia"/>
          <w:b w:val="0"/>
          <w:bCs w:val="0"/>
          <w:color w:val="auto"/>
          <w:u w:val="none"/>
        </w:rPr>
        <w:t>第二层垫层采用60厚C15混凝土垫层，抗渗等级P6；</w:t>
      </w:r>
    </w:p>
    <w:p w14:paraId="7E819F1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c</w:t>
      </w:r>
      <w:r>
        <w:rPr>
          <w:rFonts w:hint="eastAsia"/>
          <w:b w:val="0"/>
          <w:bCs w:val="0"/>
          <w:color w:val="auto"/>
          <w:u w:val="none"/>
          <w:lang w:eastAsia="zh-CN"/>
        </w:rPr>
        <w:t>.</w:t>
      </w:r>
      <w:r>
        <w:rPr>
          <w:rFonts w:hint="eastAsia"/>
          <w:b w:val="0"/>
          <w:bCs w:val="0"/>
          <w:color w:val="auto"/>
          <w:u w:val="none"/>
        </w:rPr>
        <w:t>第三层20厚1：3干硬水泥砂浆结合层。</w:t>
      </w:r>
    </w:p>
    <w:p w14:paraId="35D9C5D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d</w:t>
      </w:r>
      <w:r>
        <w:rPr>
          <w:rFonts w:hint="eastAsia"/>
          <w:b w:val="0"/>
          <w:bCs w:val="0"/>
          <w:color w:val="auto"/>
          <w:u w:val="none"/>
          <w:lang w:eastAsia="zh-CN"/>
        </w:rPr>
        <w:t>.</w:t>
      </w:r>
      <w:r>
        <w:rPr>
          <w:rFonts w:hint="eastAsia"/>
          <w:b w:val="0"/>
          <w:bCs w:val="0"/>
          <w:color w:val="auto"/>
          <w:u w:val="none"/>
        </w:rPr>
        <w:t>第四层铺地砖。</w:t>
      </w:r>
    </w:p>
    <w:p w14:paraId="2D73AF5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各污染防治区在满足上述防渗要求的前提下，厂区地面除绿化区外均要进行硬化处理；工程产生的固废必须堆放在固废贮存场内，贮存场必须有防雨、防渗、防流失的“三防”措施。</w:t>
      </w:r>
    </w:p>
    <w:p w14:paraId="754BF3BB">
      <w:pPr>
        <w:bidi w:val="0"/>
        <w:rPr>
          <w:b/>
          <w:bCs/>
          <w:color w:val="auto"/>
        </w:rPr>
      </w:pPr>
      <w:r>
        <w:rPr>
          <w:b/>
          <w:bCs/>
          <w:color w:val="auto"/>
        </w:rPr>
        <w:t>三、跟踪监测计划与应急响应</w:t>
      </w:r>
    </w:p>
    <w:p w14:paraId="47A95AA6">
      <w:pPr>
        <w:bidi w:val="0"/>
        <w:rPr>
          <w:color w:val="auto"/>
        </w:rPr>
      </w:pPr>
      <w:r>
        <w:rPr>
          <w:color w:val="auto"/>
        </w:rPr>
        <w:t>制定地下水环境影响跟踪监测计划，设置地下水跟踪监测点，数量不少于3个，至少在建设项目场地，上、下游各布设1个。结合区域地下水流向，评价建议利用区域现状</w:t>
      </w:r>
      <w:r>
        <w:rPr>
          <w:rFonts w:hint="eastAsia"/>
          <w:color w:val="auto"/>
        </w:rPr>
        <w:t>夏庄</w:t>
      </w:r>
      <w:r>
        <w:rPr>
          <w:color w:val="auto"/>
        </w:rPr>
        <w:t>村（背景监测点）、厂区内（污染扩散监测点）以及十八里庄村（环境影响监测点）作为跟踪监测点，监测因子包括项目排放废水中的常规因子和特征因子。同时应配备相应的地下水监测仪器和设备，监测人员应经过专业技术培训和考核，具备相应的分析化验工作能力。制定地下水污染应急响应预案。一旦发现项目造成地下水污染事故，应立即根据地下水污染监控特征污染因子，对厂区内可能导致该特征污染因子泄漏的污染源进行全面排查，及时找到泄漏源，对泄漏源进行堵漏处理，尽快切断污染途径；同时根据现场污染情况开展地下水污染调查、修复治理工作；此外，对受影响区域的居民通过供应桶装水或备用水源的方式以免造成社会恐慌。</w:t>
      </w:r>
    </w:p>
    <w:p w14:paraId="2627A744">
      <w:pPr>
        <w:pStyle w:val="3"/>
        <w:bidi w:val="0"/>
        <w:rPr>
          <w:rFonts w:hint="eastAsia"/>
          <w:color w:val="auto"/>
          <w:lang w:val="en-US" w:eastAsia="zh-CN"/>
        </w:rPr>
      </w:pPr>
      <w:bookmarkStart w:id="263" w:name="_Toc13507"/>
      <w:bookmarkStart w:id="264" w:name="_Toc19497"/>
      <w:bookmarkStart w:id="265" w:name="_Toc6472"/>
      <w:r>
        <w:rPr>
          <w:color w:val="auto"/>
        </w:rPr>
        <w:t>声环境影响</w:t>
      </w:r>
      <w:bookmarkEnd w:id="262"/>
      <w:bookmarkEnd w:id="263"/>
      <w:bookmarkEnd w:id="264"/>
      <w:r>
        <w:rPr>
          <w:rFonts w:hint="eastAsia"/>
          <w:color w:val="auto"/>
          <w:lang w:val="en-US" w:eastAsia="zh-CN"/>
        </w:rPr>
        <w:t>预测</w:t>
      </w:r>
      <w:bookmarkEnd w:id="265"/>
    </w:p>
    <w:p w14:paraId="6D7DFE39">
      <w:pPr>
        <w:pStyle w:val="5"/>
        <w:bidi w:val="0"/>
        <w:ind w:firstLine="0"/>
        <w:rPr>
          <w:rFonts w:hint="default"/>
          <w:lang w:val="en-US" w:eastAsia="zh-CN"/>
        </w:rPr>
      </w:pPr>
      <w:r>
        <w:rPr>
          <w:rFonts w:hint="eastAsia"/>
          <w:color w:val="auto"/>
          <w:lang w:val="en-US" w:eastAsia="zh-CN"/>
        </w:rPr>
        <w:t>预测范围</w:t>
      </w:r>
    </w:p>
    <w:p w14:paraId="37937911">
      <w:pPr>
        <w:bidi w:val="0"/>
        <w:rPr>
          <w:color w:val="auto"/>
        </w:rPr>
      </w:pPr>
      <w:r>
        <w:rPr>
          <w:color w:val="auto"/>
        </w:rPr>
        <w:t>根据厂址及周围环境特点，并结合声环境评价等级，确定本次评价声环境质量的预测范围为工程四周厂界外200m范围内。</w:t>
      </w:r>
    </w:p>
    <w:p w14:paraId="4263B42C">
      <w:pPr>
        <w:pStyle w:val="5"/>
        <w:bidi w:val="0"/>
        <w:rPr>
          <w:rFonts w:hint="eastAsia"/>
          <w:b/>
          <w:bCs/>
          <w:color w:val="auto"/>
          <w:u w:val="none"/>
          <w:lang w:val="en-US" w:eastAsia="zh-CN"/>
        </w:rPr>
      </w:pPr>
      <w:r>
        <w:rPr>
          <w:rFonts w:hint="eastAsia"/>
          <w:b/>
          <w:bCs/>
          <w:color w:val="auto"/>
          <w:u w:val="none"/>
          <w:lang w:val="en-US" w:eastAsia="zh-CN"/>
        </w:rPr>
        <w:t>噪声源强及预测方式</w:t>
      </w:r>
    </w:p>
    <w:p w14:paraId="571ED6B6">
      <w:pPr>
        <w:keepNext w:val="0"/>
        <w:keepLines w:val="0"/>
        <w:pageBreakBefore w:val="0"/>
        <w:widowControl w:val="0"/>
        <w:kinsoku/>
        <w:wordWrap/>
        <w:overflowPunct/>
        <w:topLinePunct w:val="0"/>
        <w:autoSpaceDE/>
        <w:autoSpaceDN/>
        <w:bidi w:val="0"/>
        <w:adjustRightInd w:val="0"/>
        <w:snapToGrid w:val="0"/>
        <w:spacing w:line="360" w:lineRule="auto"/>
        <w:ind w:firstLine="480"/>
        <w:jc w:val="left"/>
        <w:textAlignment w:val="baseline"/>
        <w:rPr>
          <w:sz w:val="24"/>
        </w:rPr>
      </w:pPr>
      <w:r>
        <w:rPr>
          <w:sz w:val="24"/>
          <w:szCs w:val="24"/>
        </w:rPr>
        <w:t>项目高噪声源主要为</w:t>
      </w:r>
      <w:r>
        <w:rPr>
          <w:rFonts w:hint="eastAsia"/>
          <w:sz w:val="24"/>
          <w:szCs w:val="24"/>
          <w:lang w:val="en-US" w:eastAsia="zh-CN"/>
        </w:rPr>
        <w:t>泵、风机</w:t>
      </w:r>
      <w:r>
        <w:rPr>
          <w:sz w:val="24"/>
          <w:szCs w:val="24"/>
        </w:rPr>
        <w:t>等</w:t>
      </w:r>
      <w:r>
        <w:rPr>
          <w:rFonts w:hint="eastAsia"/>
          <w:sz w:val="24"/>
          <w:szCs w:val="24"/>
        </w:rPr>
        <w:t>设备</w:t>
      </w:r>
      <w:r>
        <w:rPr>
          <w:sz w:val="24"/>
          <w:szCs w:val="24"/>
        </w:rPr>
        <w:t>，经类比《环境噪声与振动控制工程技术导则》（HJ2034-2013）附录A常见噪声源及其声功率级，本项目主要生产设备声功率级在</w:t>
      </w:r>
      <w:r>
        <w:rPr>
          <w:rFonts w:hint="eastAsia"/>
          <w:sz w:val="24"/>
          <w:szCs w:val="24"/>
        </w:rPr>
        <w:t>90</w:t>
      </w:r>
      <w:r>
        <w:rPr>
          <w:sz w:val="24"/>
          <w:szCs w:val="24"/>
        </w:rPr>
        <w:t>～</w:t>
      </w:r>
      <w:r>
        <w:rPr>
          <w:rFonts w:hint="eastAsia"/>
          <w:sz w:val="24"/>
          <w:szCs w:val="24"/>
        </w:rPr>
        <w:t>100</w:t>
      </w:r>
      <w:r>
        <w:rPr>
          <w:sz w:val="24"/>
          <w:szCs w:val="24"/>
        </w:rPr>
        <w:t>dB（A）之间，其噪声源强拟采取</w:t>
      </w:r>
      <w:r>
        <w:rPr>
          <w:rFonts w:hint="eastAsia"/>
          <w:sz w:val="24"/>
          <w:szCs w:val="24"/>
        </w:rPr>
        <w:t>设备减振、</w:t>
      </w:r>
      <w:r>
        <w:rPr>
          <w:sz w:val="24"/>
          <w:szCs w:val="24"/>
        </w:rPr>
        <w:t>隔声、</w:t>
      </w:r>
      <w:r>
        <w:rPr>
          <w:rFonts w:hint="eastAsia"/>
          <w:sz w:val="24"/>
          <w:szCs w:val="24"/>
        </w:rPr>
        <w:t>距离衰减</w:t>
      </w:r>
      <w:r>
        <w:rPr>
          <w:sz w:val="24"/>
          <w:szCs w:val="24"/>
        </w:rPr>
        <w:t>等降噪措施。根据《环境影响评价技术导则声环境》（HJ2.4-2021），工业声源应按照室内声源计算。</w:t>
      </w:r>
    </w:p>
    <w:p w14:paraId="113B6908">
      <w:pPr>
        <w:keepNext w:val="0"/>
        <w:keepLines w:val="0"/>
        <w:pageBreakBefore w:val="0"/>
        <w:widowControl w:val="0"/>
        <w:kinsoku/>
        <w:wordWrap/>
        <w:overflowPunct/>
        <w:topLinePunct w:val="0"/>
        <w:autoSpaceDE/>
        <w:autoSpaceDN/>
        <w:bidi w:val="0"/>
        <w:adjustRightInd w:val="0"/>
        <w:snapToGrid w:val="0"/>
        <w:spacing w:line="360" w:lineRule="auto"/>
        <w:ind w:firstLine="480"/>
        <w:jc w:val="left"/>
        <w:rPr>
          <w:sz w:val="24"/>
        </w:rPr>
      </w:pPr>
      <w:r>
        <w:rPr>
          <w:sz w:val="24"/>
          <w:szCs w:val="24"/>
        </w:rPr>
        <w:t>声源位于室内，室内声源可采用等效室外声源声功率级法进行计算。设靠近开口处（或窗户）室内、室外某倍频带的声压级或A声级分别为Lp1和Lp2。</w:t>
      </w:r>
    </w:p>
    <w:p w14:paraId="2782CB07">
      <w:pPr>
        <w:keepNext w:val="0"/>
        <w:keepLines w:val="0"/>
        <w:pageBreakBefore w:val="0"/>
        <w:widowControl w:val="0"/>
        <w:kinsoku/>
        <w:wordWrap/>
        <w:overflowPunct/>
        <w:topLinePunct w:val="0"/>
        <w:autoSpaceDE/>
        <w:autoSpaceDN/>
        <w:bidi w:val="0"/>
        <w:adjustRightInd w:val="0"/>
        <w:snapToGrid w:val="0"/>
        <w:spacing w:line="360" w:lineRule="auto"/>
        <w:ind w:firstLine="480"/>
        <w:jc w:val="left"/>
        <w:rPr>
          <w:sz w:val="24"/>
        </w:rPr>
      </w:pPr>
      <w:r>
        <w:rPr>
          <w:sz w:val="24"/>
          <w:szCs w:val="24"/>
        </w:rPr>
        <w:t>计算某一室内声源靠近围护结构处产生的倍频带声压级或A声级公式如下：</w:t>
      </w:r>
    </w:p>
    <w:p w14:paraId="372DFAD7">
      <w:pPr>
        <w:keepNext w:val="0"/>
        <w:keepLines w:val="0"/>
        <w:pageBreakBefore w:val="0"/>
        <w:widowControl w:val="0"/>
        <w:kinsoku/>
        <w:wordWrap/>
        <w:overflowPunct/>
        <w:topLinePunct w:val="0"/>
        <w:autoSpaceDE/>
        <w:autoSpaceDN/>
        <w:bidi w:val="0"/>
        <w:adjustRightInd w:val="0"/>
        <w:snapToGrid w:val="0"/>
        <w:spacing w:line="360" w:lineRule="auto"/>
        <w:jc w:val="center"/>
        <w:rPr>
          <w:sz w:val="24"/>
        </w:rPr>
      </w:pPr>
      <w:r>
        <w:rPr>
          <w:sz w:val="24"/>
        </w:rPr>
        <w:drawing>
          <wp:inline distT="0" distB="0" distL="114300" distR="114300">
            <wp:extent cx="2054225" cy="422275"/>
            <wp:effectExtent l="0" t="0" r="0" b="16510"/>
            <wp:docPr id="13" name="图片 6"/>
            <wp:cNvGraphicFramePr/>
            <a:graphic xmlns:a="http://schemas.openxmlformats.org/drawingml/2006/main">
              <a:graphicData uri="http://schemas.openxmlformats.org/drawingml/2006/picture">
                <pic:pic xmlns:pic="http://schemas.openxmlformats.org/drawingml/2006/picture">
                  <pic:nvPicPr>
                    <pic:cNvPr id="13" name="图片 6"/>
                    <pic:cNvPicPr/>
                  </pic:nvPicPr>
                  <pic:blipFill>
                    <a:blip r:embed="rId65"/>
                    <a:stretch>
                      <a:fillRect/>
                    </a:stretch>
                  </pic:blipFill>
                  <pic:spPr>
                    <a:xfrm>
                      <a:off x="0" y="0"/>
                      <a:ext cx="2054225" cy="422275"/>
                    </a:xfrm>
                    <a:prstGeom prst="rect">
                      <a:avLst/>
                    </a:prstGeom>
                    <a:noFill/>
                    <a:ln>
                      <a:noFill/>
                    </a:ln>
                  </pic:spPr>
                </pic:pic>
              </a:graphicData>
            </a:graphic>
          </wp:inline>
        </w:drawing>
      </w:r>
    </w:p>
    <w:p w14:paraId="028306EB">
      <w:pPr>
        <w:keepNext w:val="0"/>
        <w:keepLines w:val="0"/>
        <w:pageBreakBefore w:val="0"/>
        <w:widowControl w:val="0"/>
        <w:kinsoku/>
        <w:wordWrap/>
        <w:overflowPunct/>
        <w:topLinePunct w:val="0"/>
        <w:autoSpaceDE/>
        <w:autoSpaceDN/>
        <w:bidi w:val="0"/>
        <w:adjustRightInd w:val="0"/>
        <w:snapToGrid w:val="0"/>
        <w:spacing w:line="360" w:lineRule="auto"/>
        <w:ind w:firstLine="480"/>
        <w:jc w:val="left"/>
        <w:rPr>
          <w:sz w:val="24"/>
        </w:rPr>
      </w:pPr>
      <w:r>
        <w:rPr>
          <w:sz w:val="24"/>
          <w:szCs w:val="24"/>
        </w:rPr>
        <w:t>式中：Lp1——靠近开口处（或窗户）室内某倍频带的声压级或A声级，dB；</w:t>
      </w:r>
    </w:p>
    <w:p w14:paraId="1B268601">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jc w:val="left"/>
        <w:textAlignment w:val="baseline"/>
        <w:rPr>
          <w:sz w:val="24"/>
        </w:rPr>
      </w:pPr>
      <w:r>
        <w:rPr>
          <w:sz w:val="24"/>
          <w:szCs w:val="24"/>
        </w:rPr>
        <w:t>Lw1—点声源声功率级（A计权或倍频带），dB；</w:t>
      </w:r>
    </w:p>
    <w:p w14:paraId="01C846FC">
      <w:pPr>
        <w:keepNext w:val="0"/>
        <w:keepLines w:val="0"/>
        <w:pageBreakBefore w:val="0"/>
        <w:widowControl w:val="0"/>
        <w:kinsoku/>
        <w:wordWrap/>
        <w:overflowPunct/>
        <w:topLinePunct w:val="0"/>
        <w:autoSpaceDE/>
        <w:autoSpaceDN/>
        <w:bidi w:val="0"/>
        <w:adjustRightInd w:val="0"/>
        <w:snapToGrid w:val="0"/>
        <w:spacing w:line="360" w:lineRule="auto"/>
        <w:ind w:firstLine="960" w:firstLineChars="400"/>
        <w:jc w:val="left"/>
        <w:textAlignment w:val="baseline"/>
        <w:rPr>
          <w:sz w:val="24"/>
        </w:rPr>
      </w:pPr>
      <w:r>
        <w:rPr>
          <w:sz w:val="24"/>
          <w:szCs w:val="24"/>
        </w:rPr>
        <w:t>Q—指向性因数；通常对无指向性声源，当声源放在房间中心时，Q=1；当放在一面墙的中心时，Q=2；当放在两面墙夹角处时，Q=4；当放在三面墙夹角处时，Q=8；本项目</w:t>
      </w:r>
      <w:r>
        <w:rPr>
          <w:rFonts w:hint="eastAsia"/>
          <w:sz w:val="24"/>
          <w:szCs w:val="24"/>
        </w:rPr>
        <w:t>Q值取8。</w:t>
      </w:r>
    </w:p>
    <w:p w14:paraId="0C203D8C">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jc w:val="left"/>
        <w:textAlignment w:val="baseline"/>
        <w:rPr>
          <w:sz w:val="24"/>
        </w:rPr>
      </w:pPr>
      <w:r>
        <w:rPr>
          <w:sz w:val="24"/>
          <w:szCs w:val="24"/>
        </w:rPr>
        <w:t>R——房间常数；R=Sα/（1-α），S为房间内表面面积，m</w:t>
      </w:r>
      <w:r>
        <w:rPr>
          <w:sz w:val="24"/>
          <w:szCs w:val="24"/>
          <w:vertAlign w:val="superscript"/>
        </w:rPr>
        <w:t>2</w:t>
      </w:r>
      <w:r>
        <w:rPr>
          <w:sz w:val="24"/>
          <w:szCs w:val="24"/>
        </w:rPr>
        <w:t>；α为平均吸声系数，取平均吸声系数0.</w:t>
      </w:r>
      <w:r>
        <w:rPr>
          <w:rFonts w:hint="eastAsia"/>
          <w:sz w:val="24"/>
          <w:szCs w:val="24"/>
        </w:rPr>
        <w:t>4</w:t>
      </w:r>
      <w:r>
        <w:rPr>
          <w:sz w:val="24"/>
          <w:szCs w:val="24"/>
        </w:rPr>
        <w:t>；车间内表面面积</w:t>
      </w:r>
      <w:r>
        <w:rPr>
          <w:rFonts w:hint="eastAsia"/>
          <w:sz w:val="24"/>
          <w:szCs w:val="24"/>
          <w:lang w:val="en-US" w:eastAsia="zh-CN"/>
        </w:rPr>
        <w:t>25</w:t>
      </w:r>
      <w:r>
        <w:rPr>
          <w:rFonts w:hint="eastAsia"/>
          <w:sz w:val="24"/>
          <w:szCs w:val="24"/>
        </w:rPr>
        <w:t>000</w:t>
      </w:r>
      <w:r>
        <w:rPr>
          <w:sz w:val="24"/>
          <w:szCs w:val="24"/>
        </w:rPr>
        <w:t>m</w:t>
      </w:r>
      <w:r>
        <w:rPr>
          <w:sz w:val="24"/>
          <w:szCs w:val="24"/>
          <w:vertAlign w:val="superscript"/>
        </w:rPr>
        <w:t>2</w:t>
      </w:r>
      <w:r>
        <w:rPr>
          <w:sz w:val="24"/>
          <w:szCs w:val="24"/>
        </w:rPr>
        <w:t>，则R=</w:t>
      </w:r>
      <w:r>
        <w:rPr>
          <w:rFonts w:hint="eastAsia"/>
          <w:sz w:val="24"/>
          <w:szCs w:val="24"/>
          <w:lang w:val="en-US" w:eastAsia="zh-CN"/>
        </w:rPr>
        <w:t>16666</w:t>
      </w:r>
      <w:r>
        <w:rPr>
          <w:rFonts w:hint="eastAsia"/>
          <w:sz w:val="24"/>
          <w:szCs w:val="24"/>
        </w:rPr>
        <w:t>。</w:t>
      </w:r>
    </w:p>
    <w:p w14:paraId="73133352">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jc w:val="left"/>
        <w:rPr>
          <w:sz w:val="24"/>
        </w:rPr>
      </w:pPr>
      <w:r>
        <w:rPr>
          <w:sz w:val="24"/>
          <w:szCs w:val="24"/>
        </w:rPr>
        <w:t>r——声源到靠近围护结构某点处的距离，m</w:t>
      </w:r>
    </w:p>
    <w:p w14:paraId="1F670010">
      <w:pPr>
        <w:keepNext w:val="0"/>
        <w:keepLines w:val="0"/>
        <w:pageBreakBefore w:val="0"/>
        <w:widowControl w:val="0"/>
        <w:kinsoku/>
        <w:wordWrap/>
        <w:overflowPunct/>
        <w:topLinePunct w:val="0"/>
        <w:autoSpaceDE/>
        <w:autoSpaceDN/>
        <w:bidi w:val="0"/>
        <w:adjustRightInd w:val="0"/>
        <w:snapToGrid w:val="0"/>
        <w:spacing w:line="360" w:lineRule="auto"/>
        <w:ind w:firstLine="480"/>
        <w:jc w:val="left"/>
        <w:rPr>
          <w:sz w:val="24"/>
          <w:szCs w:val="24"/>
        </w:rPr>
      </w:pPr>
      <w:r>
        <w:rPr>
          <w:sz w:val="24"/>
          <w:szCs w:val="24"/>
        </w:rPr>
        <w:t>然后按下式计算出所有室内声源在围护结构处产生的i倍频带叠加声压级：</w:t>
      </w:r>
    </w:p>
    <w:p w14:paraId="766D9C7C">
      <w:pPr>
        <w:keepNext w:val="0"/>
        <w:keepLines w:val="0"/>
        <w:pageBreakBefore w:val="0"/>
        <w:widowControl w:val="0"/>
        <w:kinsoku/>
        <w:wordWrap/>
        <w:overflowPunct/>
        <w:topLinePunct w:val="0"/>
        <w:autoSpaceDE/>
        <w:autoSpaceDN/>
        <w:bidi w:val="0"/>
        <w:adjustRightInd w:val="0"/>
        <w:snapToGrid w:val="0"/>
        <w:spacing w:line="360" w:lineRule="auto"/>
        <w:jc w:val="center"/>
        <w:rPr>
          <w:sz w:val="24"/>
        </w:rPr>
      </w:pPr>
      <w:r>
        <w:rPr>
          <w:sz w:val="24"/>
        </w:rPr>
        <w:drawing>
          <wp:inline distT="0" distB="0" distL="114300" distR="114300">
            <wp:extent cx="2169795" cy="416560"/>
            <wp:effectExtent l="0" t="0" r="1905" b="2540"/>
            <wp:docPr id="19" name="图片 7"/>
            <wp:cNvGraphicFramePr/>
            <a:graphic xmlns:a="http://schemas.openxmlformats.org/drawingml/2006/main">
              <a:graphicData uri="http://schemas.openxmlformats.org/drawingml/2006/picture">
                <pic:pic xmlns:pic="http://schemas.openxmlformats.org/drawingml/2006/picture">
                  <pic:nvPicPr>
                    <pic:cNvPr id="19" name="图片 7"/>
                    <pic:cNvPicPr/>
                  </pic:nvPicPr>
                  <pic:blipFill>
                    <a:blip r:embed="rId66"/>
                    <a:stretch>
                      <a:fillRect/>
                    </a:stretch>
                  </pic:blipFill>
                  <pic:spPr>
                    <a:xfrm>
                      <a:off x="0" y="0"/>
                      <a:ext cx="2169795" cy="416560"/>
                    </a:xfrm>
                    <a:prstGeom prst="rect">
                      <a:avLst/>
                    </a:prstGeom>
                    <a:noFill/>
                    <a:ln>
                      <a:noFill/>
                    </a:ln>
                  </pic:spPr>
                </pic:pic>
              </a:graphicData>
            </a:graphic>
          </wp:inline>
        </w:drawing>
      </w:r>
    </w:p>
    <w:p w14:paraId="3BD559FD">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50"/>
        <w:jc w:val="left"/>
        <w:rPr>
          <w:sz w:val="24"/>
          <w:szCs w:val="24"/>
        </w:rPr>
      </w:pPr>
      <w:r>
        <w:rPr>
          <w:sz w:val="24"/>
          <w:szCs w:val="24"/>
        </w:rPr>
        <w:t>式中：Lp1i（T）——靠近围护结构处室内N个声源i倍频带的叠加声压级，dB；</w:t>
      </w:r>
    </w:p>
    <w:p w14:paraId="4EF55BE0">
      <w:pPr>
        <w:keepNext w:val="0"/>
        <w:keepLines w:val="0"/>
        <w:pageBreakBefore w:val="0"/>
        <w:widowControl w:val="0"/>
        <w:kinsoku/>
        <w:wordWrap/>
        <w:overflowPunct/>
        <w:topLinePunct w:val="0"/>
        <w:autoSpaceDE/>
        <w:autoSpaceDN/>
        <w:bidi w:val="0"/>
        <w:adjustRightInd w:val="0"/>
        <w:snapToGrid w:val="0"/>
        <w:spacing w:line="360" w:lineRule="auto"/>
        <w:ind w:left="420" w:firstLine="480"/>
        <w:jc w:val="left"/>
        <w:rPr>
          <w:sz w:val="24"/>
        </w:rPr>
      </w:pPr>
      <w:r>
        <w:rPr>
          <w:sz w:val="24"/>
          <w:szCs w:val="24"/>
        </w:rPr>
        <w:t xml:space="preserve"> Lp1ij——室内j声源i倍频带的声压级，dB；</w:t>
      </w:r>
    </w:p>
    <w:p w14:paraId="63D72438">
      <w:pPr>
        <w:keepNext w:val="0"/>
        <w:keepLines w:val="0"/>
        <w:pageBreakBefore w:val="0"/>
        <w:widowControl w:val="0"/>
        <w:kinsoku/>
        <w:wordWrap/>
        <w:overflowPunct/>
        <w:topLinePunct w:val="0"/>
        <w:autoSpaceDE/>
        <w:autoSpaceDN/>
        <w:bidi w:val="0"/>
        <w:adjustRightInd w:val="0"/>
        <w:snapToGrid w:val="0"/>
        <w:spacing w:line="360" w:lineRule="auto"/>
        <w:ind w:left="420" w:firstLine="480"/>
        <w:jc w:val="left"/>
        <w:rPr>
          <w:sz w:val="24"/>
        </w:rPr>
      </w:pPr>
      <w:r>
        <w:rPr>
          <w:sz w:val="24"/>
          <w:szCs w:val="24"/>
        </w:rPr>
        <w:t xml:space="preserve"> N——室内声源总数。</w:t>
      </w:r>
    </w:p>
    <w:p w14:paraId="0BC9EFA4">
      <w:pPr>
        <w:keepNext w:val="0"/>
        <w:keepLines w:val="0"/>
        <w:pageBreakBefore w:val="0"/>
        <w:widowControl w:val="0"/>
        <w:kinsoku/>
        <w:wordWrap/>
        <w:overflowPunct/>
        <w:topLinePunct w:val="0"/>
        <w:autoSpaceDE/>
        <w:autoSpaceDN/>
        <w:bidi w:val="0"/>
        <w:adjustRightInd w:val="0"/>
        <w:snapToGrid w:val="0"/>
        <w:spacing w:line="360" w:lineRule="auto"/>
        <w:ind w:firstLine="480"/>
        <w:jc w:val="left"/>
        <w:textAlignment w:val="baseline"/>
        <w:rPr>
          <w:sz w:val="24"/>
        </w:rPr>
      </w:pPr>
      <w:r>
        <w:rPr>
          <w:sz w:val="24"/>
          <w:szCs w:val="24"/>
        </w:rPr>
        <w:t>在室内近似为扩散声场时，按下式计算出靠近室外围护结构处的声压级：</w:t>
      </w:r>
    </w:p>
    <w:p w14:paraId="7C8C3F5E">
      <w:pPr>
        <w:keepNext w:val="0"/>
        <w:keepLines w:val="0"/>
        <w:pageBreakBefore w:val="0"/>
        <w:widowControl w:val="0"/>
        <w:kinsoku/>
        <w:wordWrap/>
        <w:overflowPunct/>
        <w:topLinePunct w:val="0"/>
        <w:autoSpaceDE/>
        <w:autoSpaceDN/>
        <w:bidi w:val="0"/>
        <w:adjustRightInd w:val="0"/>
        <w:snapToGrid w:val="0"/>
        <w:spacing w:line="360" w:lineRule="auto"/>
        <w:ind w:firstLine="480"/>
        <w:jc w:val="left"/>
        <w:textAlignment w:val="baseline"/>
        <w:rPr>
          <w:sz w:val="24"/>
        </w:rPr>
      </w:pPr>
      <w:r>
        <w:rPr>
          <w:sz w:val="24"/>
          <w:szCs w:val="24"/>
        </w:rPr>
        <w:t xml:space="preserve">         </w:t>
      </w:r>
      <w:r>
        <w:rPr>
          <w:rFonts w:hint="eastAsia"/>
          <w:sz w:val="24"/>
          <w:szCs w:val="24"/>
        </w:rPr>
        <w:t xml:space="preserve">        </w:t>
      </w:r>
      <w:r>
        <w:rPr>
          <w:sz w:val="24"/>
          <w:szCs w:val="24"/>
        </w:rPr>
        <w:t>Lp2i（T）=Lp1i（T）-（TLi+6）</w:t>
      </w:r>
    </w:p>
    <w:p w14:paraId="7184371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sz w:val="24"/>
        </w:rPr>
      </w:pPr>
      <w:r>
        <w:rPr>
          <w:sz w:val="24"/>
          <w:szCs w:val="24"/>
        </w:rPr>
        <w:t>式中：Lp2i（T）——靠近围护结构处室外N个声源i倍频带的叠加声压级，dB；</w:t>
      </w:r>
    </w:p>
    <w:p w14:paraId="4893C062">
      <w:pPr>
        <w:keepNext w:val="0"/>
        <w:keepLines w:val="0"/>
        <w:pageBreakBefore w:val="0"/>
        <w:widowControl w:val="0"/>
        <w:kinsoku/>
        <w:wordWrap/>
        <w:overflowPunct/>
        <w:topLinePunct w:val="0"/>
        <w:autoSpaceDE/>
        <w:autoSpaceDN/>
        <w:bidi w:val="0"/>
        <w:adjustRightInd w:val="0"/>
        <w:snapToGrid w:val="0"/>
        <w:spacing w:line="360" w:lineRule="auto"/>
        <w:ind w:firstLine="1080" w:firstLineChars="450"/>
        <w:jc w:val="left"/>
        <w:textAlignment w:val="baseline"/>
        <w:rPr>
          <w:sz w:val="24"/>
        </w:rPr>
      </w:pPr>
      <w:r>
        <w:rPr>
          <w:sz w:val="24"/>
          <w:szCs w:val="24"/>
        </w:rPr>
        <w:t>Lp1i（T）——靠近围护结构处室内N个声源i倍频带的叠加声压级，dB；</w:t>
      </w:r>
    </w:p>
    <w:p w14:paraId="0E9B1AFB">
      <w:pPr>
        <w:keepNext w:val="0"/>
        <w:keepLines w:val="0"/>
        <w:pageBreakBefore w:val="0"/>
        <w:widowControl w:val="0"/>
        <w:kinsoku/>
        <w:wordWrap/>
        <w:overflowPunct/>
        <w:topLinePunct w:val="0"/>
        <w:autoSpaceDE/>
        <w:autoSpaceDN/>
        <w:bidi w:val="0"/>
        <w:adjustRightInd w:val="0"/>
        <w:snapToGrid w:val="0"/>
        <w:spacing w:line="360" w:lineRule="auto"/>
        <w:ind w:firstLine="960" w:firstLineChars="400"/>
        <w:jc w:val="left"/>
        <w:textAlignment w:val="baseline"/>
        <w:rPr>
          <w:sz w:val="24"/>
        </w:rPr>
      </w:pPr>
      <w:r>
        <w:rPr>
          <w:rFonts w:hint="eastAsia"/>
          <w:sz w:val="24"/>
          <w:szCs w:val="24"/>
        </w:rPr>
        <w:t xml:space="preserve"> </w:t>
      </w:r>
      <w:r>
        <w:rPr>
          <w:sz w:val="24"/>
          <w:szCs w:val="24"/>
        </w:rPr>
        <w:t>TLi——围护结构i倍频带的隔声量，dB；</w:t>
      </w:r>
    </w:p>
    <w:p w14:paraId="3A7509A5">
      <w:pPr>
        <w:keepNext w:val="0"/>
        <w:keepLines w:val="0"/>
        <w:pageBreakBefore w:val="0"/>
        <w:widowControl w:val="0"/>
        <w:kinsoku/>
        <w:wordWrap/>
        <w:overflowPunct/>
        <w:topLinePunct w:val="0"/>
        <w:autoSpaceDE/>
        <w:autoSpaceDN/>
        <w:bidi w:val="0"/>
        <w:adjustRightInd w:val="0"/>
        <w:snapToGrid w:val="0"/>
        <w:spacing w:line="360" w:lineRule="auto"/>
        <w:ind w:firstLine="480"/>
        <w:jc w:val="left"/>
        <w:textAlignment w:val="baseline"/>
        <w:rPr>
          <w:sz w:val="24"/>
        </w:rPr>
      </w:pPr>
      <w:r>
        <w:rPr>
          <w:sz w:val="24"/>
          <w:szCs w:val="24"/>
        </w:rPr>
        <w:t>然后按下式将室外声源的声压级和透过面积换算成等效的室外声源，计算出中心位置位于透声面积（S）处的等效声源的倍频带声功率级：</w:t>
      </w:r>
    </w:p>
    <w:p w14:paraId="6D404741">
      <w:pPr>
        <w:keepNext w:val="0"/>
        <w:keepLines w:val="0"/>
        <w:pageBreakBefore w:val="0"/>
        <w:widowControl w:val="0"/>
        <w:kinsoku/>
        <w:wordWrap/>
        <w:overflowPunct/>
        <w:topLinePunct w:val="0"/>
        <w:autoSpaceDE/>
        <w:autoSpaceDN/>
        <w:bidi w:val="0"/>
        <w:adjustRightInd w:val="0"/>
        <w:snapToGrid w:val="0"/>
        <w:spacing w:line="360" w:lineRule="auto"/>
        <w:ind w:firstLine="480"/>
        <w:jc w:val="center"/>
        <w:textAlignment w:val="baseline"/>
        <w:rPr>
          <w:sz w:val="24"/>
        </w:rPr>
      </w:pPr>
      <w:r>
        <w:rPr>
          <w:rFonts w:hint="eastAsia"/>
          <w:sz w:val="24"/>
          <w:szCs w:val="24"/>
        </w:rPr>
        <w:t>Lw2</w:t>
      </w:r>
      <w:r>
        <w:rPr>
          <w:sz w:val="24"/>
          <w:szCs w:val="24"/>
        </w:rPr>
        <w:t>=Lp2（T）+10lgS</w:t>
      </w:r>
    </w:p>
    <w:p w14:paraId="6C3BA38A">
      <w:pPr>
        <w:keepNext w:val="0"/>
        <w:keepLines w:val="0"/>
        <w:pageBreakBefore w:val="0"/>
        <w:widowControl w:val="0"/>
        <w:kinsoku/>
        <w:wordWrap/>
        <w:overflowPunct/>
        <w:topLinePunct w:val="0"/>
        <w:autoSpaceDE/>
        <w:autoSpaceDN/>
        <w:bidi w:val="0"/>
        <w:adjustRightInd w:val="0"/>
        <w:snapToGrid w:val="0"/>
        <w:spacing w:line="360" w:lineRule="auto"/>
        <w:ind w:firstLine="120" w:firstLineChars="50"/>
        <w:jc w:val="left"/>
        <w:textAlignment w:val="baseline"/>
        <w:rPr>
          <w:sz w:val="24"/>
        </w:rPr>
      </w:pPr>
      <w:r>
        <w:rPr>
          <w:sz w:val="24"/>
          <w:szCs w:val="24"/>
        </w:rPr>
        <w:t>式中：Lw2——中心位置位于透声面积（S）处的等效声源的倍频带声功率级，dB；</w:t>
      </w:r>
    </w:p>
    <w:p w14:paraId="526D7B9D">
      <w:pPr>
        <w:keepNext w:val="0"/>
        <w:keepLines w:val="0"/>
        <w:pageBreakBefore w:val="0"/>
        <w:widowControl w:val="0"/>
        <w:kinsoku/>
        <w:wordWrap/>
        <w:overflowPunct/>
        <w:topLinePunct w:val="0"/>
        <w:autoSpaceDE/>
        <w:autoSpaceDN/>
        <w:bidi w:val="0"/>
        <w:adjustRightInd w:val="0"/>
        <w:snapToGrid w:val="0"/>
        <w:spacing w:line="360" w:lineRule="auto"/>
        <w:ind w:firstLine="480"/>
        <w:jc w:val="left"/>
        <w:textAlignment w:val="baseline"/>
        <w:rPr>
          <w:sz w:val="24"/>
        </w:rPr>
      </w:pPr>
      <w:r>
        <w:rPr>
          <w:sz w:val="24"/>
          <w:szCs w:val="24"/>
        </w:rPr>
        <w:t xml:space="preserve">   Lp2（T）——靠近围护结构处室外声源的声压级，dB；</w:t>
      </w:r>
    </w:p>
    <w:p w14:paraId="51A031DB">
      <w:pPr>
        <w:keepNext w:val="0"/>
        <w:keepLines w:val="0"/>
        <w:pageBreakBefore w:val="0"/>
        <w:widowControl w:val="0"/>
        <w:kinsoku/>
        <w:wordWrap/>
        <w:overflowPunct/>
        <w:topLinePunct w:val="0"/>
        <w:autoSpaceDE/>
        <w:autoSpaceDN/>
        <w:bidi w:val="0"/>
        <w:adjustRightInd w:val="0"/>
        <w:snapToGrid w:val="0"/>
        <w:spacing w:line="360" w:lineRule="auto"/>
        <w:ind w:firstLine="480"/>
        <w:jc w:val="left"/>
        <w:textAlignment w:val="baseline"/>
        <w:rPr>
          <w:sz w:val="24"/>
        </w:rPr>
      </w:pPr>
      <w:r>
        <w:rPr>
          <w:sz w:val="24"/>
          <w:szCs w:val="24"/>
        </w:rPr>
        <w:t xml:space="preserve">   S——透声面积，m</w:t>
      </w:r>
      <w:r>
        <w:rPr>
          <w:sz w:val="24"/>
          <w:szCs w:val="24"/>
          <w:vertAlign w:val="superscript"/>
        </w:rPr>
        <w:t>2</w:t>
      </w:r>
      <w:r>
        <w:rPr>
          <w:sz w:val="24"/>
          <w:szCs w:val="24"/>
        </w:rPr>
        <w:t>。</w:t>
      </w:r>
      <w:r>
        <w:rPr>
          <w:rFonts w:hint="eastAsia"/>
          <w:sz w:val="24"/>
          <w:szCs w:val="24"/>
        </w:rPr>
        <w:t>（</w:t>
      </w:r>
      <w:r>
        <w:rPr>
          <w:sz w:val="24"/>
          <w:szCs w:val="24"/>
        </w:rPr>
        <w:t>车间</w:t>
      </w:r>
      <w:r>
        <w:rPr>
          <w:rFonts w:hint="eastAsia"/>
          <w:sz w:val="24"/>
          <w:szCs w:val="24"/>
        </w:rPr>
        <w:t>S=50）</w:t>
      </w:r>
    </w:p>
    <w:p w14:paraId="4D91D6BF">
      <w:pPr>
        <w:keepNext w:val="0"/>
        <w:keepLines w:val="0"/>
        <w:pageBreakBefore w:val="0"/>
        <w:widowControl w:val="0"/>
        <w:kinsoku/>
        <w:wordWrap/>
        <w:overflowPunct/>
        <w:topLinePunct w:val="0"/>
        <w:autoSpaceDE/>
        <w:autoSpaceDN/>
        <w:bidi w:val="0"/>
        <w:adjustRightInd w:val="0"/>
        <w:snapToGrid w:val="0"/>
        <w:spacing w:line="360" w:lineRule="auto"/>
        <w:ind w:firstLine="480"/>
        <w:jc w:val="left"/>
        <w:textAlignment w:val="baseline"/>
        <w:rPr>
          <w:sz w:val="24"/>
        </w:rPr>
      </w:pPr>
      <w:r>
        <w:rPr>
          <w:sz w:val="24"/>
          <w:szCs w:val="24"/>
        </w:rPr>
        <w:t>如果声源处于半自由声场，则预测点处声压级计算公式如下：</w:t>
      </w:r>
    </w:p>
    <w:p w14:paraId="2F1A8D9C">
      <w:pPr>
        <w:keepNext w:val="0"/>
        <w:keepLines w:val="0"/>
        <w:pageBreakBefore w:val="0"/>
        <w:widowControl w:val="0"/>
        <w:kinsoku/>
        <w:wordWrap/>
        <w:overflowPunct/>
        <w:topLinePunct w:val="0"/>
        <w:autoSpaceDE/>
        <w:autoSpaceDN/>
        <w:bidi w:val="0"/>
        <w:adjustRightInd w:val="0"/>
        <w:snapToGrid w:val="0"/>
        <w:spacing w:line="360" w:lineRule="auto"/>
        <w:ind w:firstLine="480"/>
        <w:jc w:val="left"/>
        <w:textAlignment w:val="baseline"/>
        <w:rPr>
          <w:sz w:val="24"/>
        </w:rPr>
      </w:pPr>
      <w:r>
        <w:rPr>
          <w:sz w:val="24"/>
          <w:szCs w:val="24"/>
        </w:rPr>
        <w:t xml:space="preserve">   Lp（r）=Lw-20lgr-8</w:t>
      </w:r>
    </w:p>
    <w:p w14:paraId="6D08879A">
      <w:pPr>
        <w:keepNext w:val="0"/>
        <w:keepLines w:val="0"/>
        <w:pageBreakBefore w:val="0"/>
        <w:widowControl w:val="0"/>
        <w:kinsoku/>
        <w:wordWrap/>
        <w:overflowPunct/>
        <w:topLinePunct w:val="0"/>
        <w:autoSpaceDE/>
        <w:autoSpaceDN/>
        <w:bidi w:val="0"/>
        <w:adjustRightInd w:val="0"/>
        <w:snapToGrid w:val="0"/>
        <w:spacing w:line="360" w:lineRule="auto"/>
        <w:ind w:firstLine="480"/>
        <w:jc w:val="left"/>
        <w:textAlignment w:val="baseline"/>
        <w:rPr>
          <w:sz w:val="24"/>
        </w:rPr>
      </w:pPr>
      <w:r>
        <w:rPr>
          <w:sz w:val="24"/>
          <w:szCs w:val="24"/>
        </w:rPr>
        <w:t>式中：Lp（r）——预测点处声压级，dB；</w:t>
      </w:r>
    </w:p>
    <w:p w14:paraId="162DB5BB">
      <w:pPr>
        <w:keepNext w:val="0"/>
        <w:keepLines w:val="0"/>
        <w:pageBreakBefore w:val="0"/>
        <w:widowControl w:val="0"/>
        <w:kinsoku/>
        <w:wordWrap/>
        <w:overflowPunct/>
        <w:topLinePunct w:val="0"/>
        <w:autoSpaceDE/>
        <w:autoSpaceDN/>
        <w:bidi w:val="0"/>
        <w:adjustRightInd w:val="0"/>
        <w:snapToGrid w:val="0"/>
        <w:spacing w:line="360" w:lineRule="auto"/>
        <w:ind w:firstLine="480"/>
        <w:jc w:val="left"/>
        <w:textAlignment w:val="baseline"/>
        <w:rPr>
          <w:sz w:val="24"/>
        </w:rPr>
      </w:pPr>
      <w:r>
        <w:rPr>
          <w:sz w:val="24"/>
          <w:szCs w:val="24"/>
        </w:rPr>
        <w:t xml:space="preserve">   Lw——由点声源产生的倍频带声功率级，dB；</w:t>
      </w:r>
    </w:p>
    <w:p w14:paraId="6B948055">
      <w:pPr>
        <w:keepNext w:val="0"/>
        <w:keepLines w:val="0"/>
        <w:pageBreakBefore w:val="0"/>
        <w:widowControl w:val="0"/>
        <w:kinsoku/>
        <w:wordWrap/>
        <w:overflowPunct/>
        <w:topLinePunct w:val="0"/>
        <w:autoSpaceDE/>
        <w:autoSpaceDN/>
        <w:bidi w:val="0"/>
        <w:adjustRightInd w:val="0"/>
        <w:snapToGrid w:val="0"/>
        <w:spacing w:line="360" w:lineRule="auto"/>
        <w:ind w:firstLine="480"/>
        <w:jc w:val="left"/>
        <w:textAlignment w:val="baseline"/>
        <w:rPr>
          <w:sz w:val="24"/>
        </w:rPr>
      </w:pPr>
      <w:r>
        <w:rPr>
          <w:sz w:val="24"/>
          <w:szCs w:val="24"/>
        </w:rPr>
        <w:t xml:space="preserve">   r——预测点距声源的距离，m。</w:t>
      </w:r>
    </w:p>
    <w:p w14:paraId="109F7E1C">
      <w:pPr>
        <w:keepNext w:val="0"/>
        <w:keepLines w:val="0"/>
        <w:pageBreakBefore w:val="0"/>
        <w:widowControl w:val="0"/>
        <w:kinsoku/>
        <w:wordWrap/>
        <w:overflowPunct/>
        <w:topLinePunct w:val="0"/>
        <w:autoSpaceDE/>
        <w:autoSpaceDN/>
        <w:bidi w:val="0"/>
        <w:adjustRightInd w:val="0"/>
        <w:snapToGrid w:val="0"/>
        <w:spacing w:line="360" w:lineRule="auto"/>
        <w:rPr>
          <w:rFonts w:hint="eastAsia"/>
          <w:b w:val="0"/>
          <w:bCs w:val="0"/>
          <w:color w:val="auto"/>
          <w:u w:val="none"/>
        </w:rPr>
      </w:pPr>
      <w:r>
        <w:rPr>
          <w:rFonts w:hint="eastAsia"/>
          <w:b w:val="0"/>
          <w:bCs w:val="0"/>
          <w:color w:val="auto"/>
          <w:u w:val="none"/>
        </w:rPr>
        <w:t>根据工程噪声源在厂区的分布和源强，以及其与四周厂界的距离及建筑物的衰减状况，计算出室内声源和室外声源对四周厂界的噪声贡献值，项目对厂界贡献值见下表。</w:t>
      </w:r>
    </w:p>
    <w:p w14:paraId="49AB6E94">
      <w:pPr>
        <w:pStyle w:val="10"/>
        <w:bidi w:val="0"/>
        <w:rPr>
          <w:rFonts w:hint="eastAsia"/>
          <w:lang w:val="en-US" w:eastAsia="zh-CN"/>
        </w:rPr>
      </w:pPr>
      <w:r>
        <w:rPr>
          <w:lang w:val="en-US" w:eastAsia="zh-CN"/>
        </w:rPr>
        <w:t xml:space="preserve">表 </w:t>
      </w:r>
      <w:r>
        <w:rPr>
          <w:lang w:val="en-US" w:eastAsia="zh-CN"/>
        </w:rPr>
        <w:fldChar w:fldCharType="begin"/>
      </w:r>
      <w:r>
        <w:rPr>
          <w:lang w:val="en-US" w:eastAsia="zh-CN"/>
        </w:rPr>
        <w:instrText xml:space="preserve"> STYLEREF 2 \s </w:instrText>
      </w:r>
      <w:r>
        <w:rPr>
          <w:lang w:val="en-US" w:eastAsia="zh-CN"/>
        </w:rPr>
        <w:fldChar w:fldCharType="separate"/>
      </w:r>
      <w:r>
        <w:rPr>
          <w:lang w:val="en-US" w:eastAsia="zh-CN"/>
        </w:rPr>
        <w:t>6.4</w:t>
      </w:r>
      <w:r>
        <w:rPr>
          <w:lang w:val="en-US" w:eastAsia="zh-CN"/>
        </w:rPr>
        <w:fldChar w:fldCharType="end"/>
      </w:r>
      <w:r>
        <w:rPr>
          <w:rFonts w:hint="eastAsia"/>
          <w:lang w:val="en-US" w:eastAsia="zh-CN"/>
        </w:rPr>
        <w:t>-</w:t>
      </w:r>
      <w:r>
        <w:rPr>
          <w:lang w:val="en-US" w:eastAsia="zh-CN"/>
        </w:rPr>
        <w:fldChar w:fldCharType="begin"/>
      </w:r>
      <w:r>
        <w:rPr>
          <w:lang w:val="en-US" w:eastAsia="zh-CN"/>
        </w:rPr>
        <w:instrText xml:space="preserve"> SEQ 表 \* ARABIC \s 2 </w:instrText>
      </w:r>
      <w:r>
        <w:rPr>
          <w:lang w:val="en-US" w:eastAsia="zh-CN"/>
        </w:rPr>
        <w:fldChar w:fldCharType="separate"/>
      </w:r>
      <w:r>
        <w:rPr>
          <w:lang w:val="en-US" w:eastAsia="zh-CN"/>
        </w:rPr>
        <w:t>1</w:t>
      </w:r>
      <w:r>
        <w:rPr>
          <w:lang w:val="en-US" w:eastAsia="zh-CN"/>
        </w:rPr>
        <w:fldChar w:fldCharType="end"/>
      </w:r>
      <w:r>
        <w:rPr>
          <w:rFonts w:hint="eastAsia"/>
          <w:lang w:val="en-US" w:eastAsia="zh-CN"/>
        </w:rPr>
        <w:t xml:space="preserve"> 年产1000吨DT溶剂法再生纤维素纤维中试研发项目厂界噪声贡献值 </w:t>
      </w:r>
    </w:p>
    <w:tbl>
      <w:tblPr>
        <w:tblStyle w:val="31"/>
        <w:tblW w:w="4855"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4"/>
        <w:gridCol w:w="1587"/>
        <w:gridCol w:w="1587"/>
        <w:gridCol w:w="1587"/>
        <w:gridCol w:w="1587"/>
        <w:gridCol w:w="1304"/>
      </w:tblGrid>
      <w:tr w14:paraId="12CF97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6" w:type="pct"/>
            <w:tcBorders>
              <w:left w:val="single" w:color="auto" w:sz="4" w:space="0"/>
            </w:tcBorders>
            <w:noWrap w:val="0"/>
            <w:vAlign w:val="center"/>
          </w:tcPr>
          <w:p w14:paraId="5DAF42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sz w:val="21"/>
                <w:szCs w:val="21"/>
              </w:rPr>
            </w:pPr>
            <w:r>
              <w:rPr>
                <w:b/>
                <w:sz w:val="21"/>
                <w:szCs w:val="21"/>
              </w:rPr>
              <w:t>站位</w:t>
            </w:r>
          </w:p>
        </w:tc>
        <w:tc>
          <w:tcPr>
            <w:tcW w:w="958" w:type="pct"/>
            <w:noWrap w:val="0"/>
            <w:vAlign w:val="center"/>
          </w:tcPr>
          <w:p w14:paraId="565818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sz w:val="21"/>
                <w:szCs w:val="21"/>
              </w:rPr>
            </w:pPr>
            <w:r>
              <w:rPr>
                <w:b/>
                <w:bCs/>
                <w:sz w:val="21"/>
                <w:szCs w:val="21"/>
              </w:rPr>
              <w:t>噪声源</w:t>
            </w:r>
          </w:p>
        </w:tc>
        <w:tc>
          <w:tcPr>
            <w:tcW w:w="958" w:type="pct"/>
            <w:noWrap w:val="0"/>
            <w:vAlign w:val="center"/>
          </w:tcPr>
          <w:p w14:paraId="6CAF40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bCs/>
                <w:sz w:val="21"/>
                <w:szCs w:val="21"/>
                <w:lang w:val="en-US" w:eastAsia="zh-CN"/>
              </w:rPr>
            </w:pPr>
            <w:r>
              <w:rPr>
                <w:b/>
                <w:bCs/>
                <w:sz w:val="21"/>
                <w:szCs w:val="21"/>
              </w:rPr>
              <w:t>处理后源强</w:t>
            </w:r>
            <w:r>
              <w:rPr>
                <w:rFonts w:hint="eastAsia"/>
                <w:b/>
                <w:bCs/>
                <w:sz w:val="21"/>
                <w:szCs w:val="21"/>
                <w:lang w:val="en-US" w:eastAsia="zh-CN"/>
              </w:rPr>
              <w:t>声功率级</w:t>
            </w:r>
            <w:r>
              <w:rPr>
                <w:b w:val="0"/>
                <w:bCs w:val="0"/>
                <w:i w:val="0"/>
                <w:iCs w:val="0"/>
                <w:color w:val="auto"/>
                <w:u w:val="none"/>
              </w:rPr>
              <w:t>dB（A）</w:t>
            </w:r>
          </w:p>
        </w:tc>
        <w:tc>
          <w:tcPr>
            <w:tcW w:w="958" w:type="pct"/>
            <w:noWrap w:val="0"/>
            <w:vAlign w:val="center"/>
          </w:tcPr>
          <w:p w14:paraId="4F4879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bCs/>
                <w:sz w:val="21"/>
                <w:szCs w:val="21"/>
              </w:rPr>
            </w:pPr>
            <w:r>
              <w:rPr>
                <w:b/>
                <w:bCs/>
                <w:sz w:val="21"/>
                <w:szCs w:val="21"/>
              </w:rPr>
              <w:t>与噪声源距离（m）</w:t>
            </w:r>
          </w:p>
        </w:tc>
        <w:tc>
          <w:tcPr>
            <w:tcW w:w="958" w:type="pct"/>
            <w:noWrap w:val="0"/>
            <w:vAlign w:val="center"/>
          </w:tcPr>
          <w:p w14:paraId="025191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bCs/>
                <w:sz w:val="21"/>
                <w:szCs w:val="21"/>
                <w:lang w:val="en-US" w:eastAsia="zh-CN"/>
              </w:rPr>
            </w:pPr>
            <w:r>
              <w:rPr>
                <w:b/>
                <w:bCs/>
                <w:sz w:val="21"/>
                <w:szCs w:val="21"/>
              </w:rPr>
              <w:t>贡献值</w:t>
            </w:r>
            <w:r>
              <w:rPr>
                <w:rFonts w:hint="eastAsia"/>
                <w:b/>
                <w:bCs/>
                <w:sz w:val="21"/>
                <w:szCs w:val="21"/>
                <w:lang w:val="en-US" w:eastAsia="zh-CN"/>
              </w:rPr>
              <w:t>声压级</w:t>
            </w:r>
            <w:r>
              <w:rPr>
                <w:b w:val="0"/>
                <w:bCs w:val="0"/>
                <w:i w:val="0"/>
                <w:iCs w:val="0"/>
                <w:color w:val="auto"/>
                <w:u w:val="none"/>
              </w:rPr>
              <w:t>dB（A</w:t>
            </w:r>
            <w:r>
              <w:rPr>
                <w:rFonts w:hint="eastAsia"/>
                <w:b w:val="0"/>
                <w:bCs w:val="0"/>
                <w:i w:val="0"/>
                <w:iCs w:val="0"/>
                <w:color w:val="auto"/>
                <w:u w:val="none"/>
                <w:lang w:eastAsia="zh-CN"/>
              </w:rPr>
              <w:t>）</w:t>
            </w:r>
          </w:p>
        </w:tc>
        <w:tc>
          <w:tcPr>
            <w:tcW w:w="787" w:type="pct"/>
            <w:tcBorders>
              <w:right w:val="single" w:color="auto" w:sz="4" w:space="0"/>
            </w:tcBorders>
            <w:noWrap w:val="0"/>
            <w:vAlign w:val="center"/>
          </w:tcPr>
          <w:p w14:paraId="418D9F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bCs/>
                <w:sz w:val="21"/>
                <w:szCs w:val="21"/>
                <w:lang w:eastAsia="zh-CN"/>
              </w:rPr>
            </w:pPr>
            <w:r>
              <w:rPr>
                <w:b/>
                <w:bCs/>
                <w:sz w:val="21"/>
                <w:szCs w:val="21"/>
              </w:rPr>
              <w:t>贡献值</w:t>
            </w:r>
            <w:r>
              <w:rPr>
                <w:rFonts w:hint="eastAsia"/>
                <w:b/>
                <w:bCs/>
                <w:sz w:val="21"/>
                <w:szCs w:val="21"/>
                <w:lang w:val="en-US" w:eastAsia="zh-CN"/>
              </w:rPr>
              <w:t>声压级</w:t>
            </w:r>
            <w:r>
              <w:rPr>
                <w:b w:val="0"/>
                <w:bCs w:val="0"/>
                <w:i w:val="0"/>
                <w:iCs w:val="0"/>
                <w:color w:val="auto"/>
                <w:u w:val="none"/>
              </w:rPr>
              <w:t>dB（A</w:t>
            </w:r>
            <w:r>
              <w:rPr>
                <w:rFonts w:hint="eastAsia"/>
                <w:b w:val="0"/>
                <w:bCs w:val="0"/>
                <w:i w:val="0"/>
                <w:iCs w:val="0"/>
                <w:color w:val="auto"/>
                <w:u w:val="none"/>
                <w:lang w:eastAsia="zh-CN"/>
              </w:rPr>
              <w:t>）</w:t>
            </w:r>
          </w:p>
        </w:tc>
      </w:tr>
      <w:tr w14:paraId="5C58B2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restart"/>
            <w:tcBorders>
              <w:left w:val="single" w:color="auto" w:sz="4" w:space="0"/>
            </w:tcBorders>
            <w:noWrap w:val="0"/>
            <w:vAlign w:val="center"/>
          </w:tcPr>
          <w:p w14:paraId="04728E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东</w:t>
            </w:r>
          </w:p>
          <w:p w14:paraId="6A791C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厂</w:t>
            </w:r>
          </w:p>
          <w:p w14:paraId="786A02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界</w:t>
            </w:r>
          </w:p>
        </w:tc>
        <w:tc>
          <w:tcPr>
            <w:tcW w:w="958" w:type="pct"/>
            <w:noWrap w:val="0"/>
            <w:vAlign w:val="center"/>
          </w:tcPr>
          <w:p w14:paraId="36D571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bCs/>
                <w:sz w:val="21"/>
                <w:szCs w:val="21"/>
                <w:lang w:val="en-US" w:eastAsia="zh-CN"/>
              </w:rPr>
              <w:t>车间</w:t>
            </w:r>
          </w:p>
        </w:tc>
        <w:tc>
          <w:tcPr>
            <w:tcW w:w="958" w:type="pct"/>
            <w:noWrap w:val="0"/>
            <w:vAlign w:val="center"/>
          </w:tcPr>
          <w:p w14:paraId="619550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bCs/>
                <w:sz w:val="21"/>
                <w:szCs w:val="21"/>
                <w:lang w:val="en-US" w:eastAsia="zh-CN"/>
              </w:rPr>
              <w:t>80.17</w:t>
            </w:r>
          </w:p>
        </w:tc>
        <w:tc>
          <w:tcPr>
            <w:tcW w:w="958" w:type="pct"/>
            <w:noWrap w:val="0"/>
            <w:vAlign w:val="center"/>
          </w:tcPr>
          <w:p w14:paraId="667CC0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1267</w:t>
            </w:r>
          </w:p>
        </w:tc>
        <w:tc>
          <w:tcPr>
            <w:tcW w:w="958" w:type="pct"/>
            <w:noWrap w:val="0"/>
            <w:vAlign w:val="center"/>
          </w:tcPr>
          <w:p w14:paraId="2096DF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10.11 </w:t>
            </w:r>
          </w:p>
        </w:tc>
        <w:tc>
          <w:tcPr>
            <w:tcW w:w="787" w:type="pct"/>
            <w:vMerge w:val="restart"/>
            <w:tcBorders>
              <w:right w:val="single" w:color="auto" w:sz="4" w:space="0"/>
            </w:tcBorders>
            <w:noWrap w:val="0"/>
            <w:vAlign w:val="center"/>
          </w:tcPr>
          <w:p w14:paraId="4E09F8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18.01 </w:t>
            </w:r>
          </w:p>
        </w:tc>
      </w:tr>
      <w:tr w14:paraId="0B019B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080C9B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0E4786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水洗塔风机</w:t>
            </w:r>
          </w:p>
        </w:tc>
        <w:tc>
          <w:tcPr>
            <w:tcW w:w="958" w:type="pct"/>
            <w:noWrap w:val="0"/>
            <w:vAlign w:val="center"/>
          </w:tcPr>
          <w:p w14:paraId="53E13C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Cs/>
                <w:sz w:val="21"/>
                <w:szCs w:val="21"/>
                <w:lang w:val="en-US" w:eastAsia="zh-CN"/>
              </w:rPr>
            </w:pPr>
            <w:r>
              <w:rPr>
                <w:rFonts w:hint="eastAsia"/>
                <w:bCs/>
                <w:sz w:val="21"/>
                <w:szCs w:val="21"/>
                <w:lang w:val="en-US" w:eastAsia="zh-CN"/>
              </w:rPr>
              <w:t>82</w:t>
            </w:r>
          </w:p>
        </w:tc>
        <w:tc>
          <w:tcPr>
            <w:tcW w:w="958" w:type="pct"/>
            <w:noWrap w:val="0"/>
            <w:vAlign w:val="center"/>
          </w:tcPr>
          <w:p w14:paraId="2BE1CD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1267</w:t>
            </w:r>
          </w:p>
        </w:tc>
        <w:tc>
          <w:tcPr>
            <w:tcW w:w="958" w:type="pct"/>
            <w:noWrap w:val="0"/>
            <w:vAlign w:val="center"/>
          </w:tcPr>
          <w:p w14:paraId="244210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11.94 </w:t>
            </w:r>
          </w:p>
        </w:tc>
        <w:tc>
          <w:tcPr>
            <w:tcW w:w="787" w:type="pct"/>
            <w:vMerge w:val="continue"/>
            <w:tcBorders>
              <w:right w:val="single" w:color="auto" w:sz="4" w:space="0"/>
            </w:tcBorders>
            <w:noWrap w:val="0"/>
            <w:vAlign w:val="center"/>
          </w:tcPr>
          <w:p w14:paraId="38E2C6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0C63AF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01D2BD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45BF0444">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1#冷却塔</w:t>
            </w:r>
          </w:p>
        </w:tc>
        <w:tc>
          <w:tcPr>
            <w:tcW w:w="958" w:type="pct"/>
            <w:noWrap w:val="0"/>
            <w:vAlign w:val="center"/>
          </w:tcPr>
          <w:p w14:paraId="0A0D93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sz w:val="21"/>
                <w:szCs w:val="21"/>
                <w:lang w:val="en-US" w:eastAsia="zh-CN"/>
              </w:rPr>
            </w:pPr>
            <w:r>
              <w:rPr>
                <w:rFonts w:hint="eastAsia"/>
                <w:bCs/>
                <w:sz w:val="21"/>
                <w:szCs w:val="21"/>
                <w:lang w:val="en-US" w:eastAsia="zh-CN"/>
              </w:rPr>
              <w:t>80</w:t>
            </w:r>
          </w:p>
        </w:tc>
        <w:tc>
          <w:tcPr>
            <w:tcW w:w="958" w:type="pct"/>
            <w:noWrap w:val="0"/>
            <w:vAlign w:val="center"/>
          </w:tcPr>
          <w:p w14:paraId="34C403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sz w:val="21"/>
                <w:szCs w:val="21"/>
                <w:lang w:val="en-US" w:eastAsia="zh-CN"/>
              </w:rPr>
            </w:pPr>
            <w:r>
              <w:rPr>
                <w:rFonts w:hint="eastAsia"/>
                <w:bCs/>
                <w:sz w:val="21"/>
                <w:szCs w:val="21"/>
                <w:lang w:val="en-US" w:eastAsia="zh-CN"/>
              </w:rPr>
              <w:t>1303</w:t>
            </w:r>
          </w:p>
        </w:tc>
        <w:tc>
          <w:tcPr>
            <w:tcW w:w="958" w:type="pct"/>
            <w:noWrap w:val="0"/>
            <w:vAlign w:val="center"/>
          </w:tcPr>
          <w:p w14:paraId="7F8FAC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9.70 </w:t>
            </w:r>
          </w:p>
        </w:tc>
        <w:tc>
          <w:tcPr>
            <w:tcW w:w="787" w:type="pct"/>
            <w:vMerge w:val="continue"/>
            <w:tcBorders>
              <w:right w:val="single" w:color="auto" w:sz="4" w:space="0"/>
            </w:tcBorders>
            <w:noWrap w:val="0"/>
            <w:vAlign w:val="center"/>
          </w:tcPr>
          <w:p w14:paraId="3CAAEB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36C296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272EA0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520CFAC1">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2#冷却塔</w:t>
            </w:r>
          </w:p>
        </w:tc>
        <w:tc>
          <w:tcPr>
            <w:tcW w:w="958" w:type="pct"/>
            <w:noWrap w:val="0"/>
            <w:vAlign w:val="center"/>
          </w:tcPr>
          <w:p w14:paraId="611688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80</w:t>
            </w:r>
          </w:p>
        </w:tc>
        <w:tc>
          <w:tcPr>
            <w:tcW w:w="958" w:type="pct"/>
            <w:noWrap w:val="0"/>
            <w:vAlign w:val="center"/>
          </w:tcPr>
          <w:p w14:paraId="564B47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sz w:val="21"/>
                <w:szCs w:val="21"/>
                <w:lang w:val="en-US" w:eastAsia="zh-CN"/>
              </w:rPr>
            </w:pPr>
            <w:r>
              <w:rPr>
                <w:rFonts w:hint="eastAsia"/>
                <w:bCs/>
                <w:sz w:val="21"/>
                <w:szCs w:val="21"/>
                <w:lang w:val="en-US" w:eastAsia="zh-CN"/>
              </w:rPr>
              <w:t>1303</w:t>
            </w:r>
          </w:p>
        </w:tc>
        <w:tc>
          <w:tcPr>
            <w:tcW w:w="958" w:type="pct"/>
            <w:noWrap w:val="0"/>
            <w:vAlign w:val="center"/>
          </w:tcPr>
          <w:p w14:paraId="7BD5BA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9.70 </w:t>
            </w:r>
          </w:p>
        </w:tc>
        <w:tc>
          <w:tcPr>
            <w:tcW w:w="787" w:type="pct"/>
            <w:vMerge w:val="continue"/>
            <w:tcBorders>
              <w:right w:val="single" w:color="auto" w:sz="4" w:space="0"/>
            </w:tcBorders>
            <w:noWrap w:val="0"/>
            <w:vAlign w:val="center"/>
          </w:tcPr>
          <w:p w14:paraId="0DCBA2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5347FC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226E0E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54BC63B5">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冷却水泵</w:t>
            </w:r>
          </w:p>
        </w:tc>
        <w:tc>
          <w:tcPr>
            <w:tcW w:w="958" w:type="pct"/>
            <w:noWrap w:val="0"/>
            <w:vAlign w:val="center"/>
          </w:tcPr>
          <w:p w14:paraId="5290F9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80</w:t>
            </w:r>
          </w:p>
        </w:tc>
        <w:tc>
          <w:tcPr>
            <w:tcW w:w="958" w:type="pct"/>
            <w:noWrap w:val="0"/>
            <w:vAlign w:val="center"/>
          </w:tcPr>
          <w:p w14:paraId="3D63A1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1303</w:t>
            </w:r>
          </w:p>
        </w:tc>
        <w:tc>
          <w:tcPr>
            <w:tcW w:w="958" w:type="pct"/>
            <w:noWrap w:val="0"/>
            <w:vAlign w:val="center"/>
          </w:tcPr>
          <w:p w14:paraId="553258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9.70 </w:t>
            </w:r>
          </w:p>
        </w:tc>
        <w:tc>
          <w:tcPr>
            <w:tcW w:w="787" w:type="pct"/>
            <w:vMerge w:val="continue"/>
            <w:tcBorders>
              <w:right w:val="single" w:color="auto" w:sz="4" w:space="0"/>
            </w:tcBorders>
            <w:noWrap w:val="0"/>
            <w:vAlign w:val="center"/>
          </w:tcPr>
          <w:p w14:paraId="2A3533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069091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02ABF0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4E7F321A">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b w:val="0"/>
                <w:bCs w:val="0"/>
                <w:i w:val="0"/>
                <w:iCs w:val="0"/>
                <w:color w:val="auto"/>
                <w:u w:val="none"/>
                <w:lang w:val="en-US" w:eastAsia="zh-CN"/>
              </w:rPr>
              <w:t>冷冻水泵</w:t>
            </w:r>
          </w:p>
        </w:tc>
        <w:tc>
          <w:tcPr>
            <w:tcW w:w="958" w:type="pct"/>
            <w:noWrap w:val="0"/>
            <w:vAlign w:val="center"/>
          </w:tcPr>
          <w:p w14:paraId="3FABA7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Cs/>
                <w:sz w:val="21"/>
                <w:szCs w:val="21"/>
                <w:lang w:val="en-US" w:eastAsia="zh-CN"/>
              </w:rPr>
              <w:t>80</w:t>
            </w:r>
          </w:p>
        </w:tc>
        <w:tc>
          <w:tcPr>
            <w:tcW w:w="958" w:type="pct"/>
            <w:noWrap w:val="0"/>
            <w:vAlign w:val="center"/>
          </w:tcPr>
          <w:p w14:paraId="17D286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1303</w:t>
            </w:r>
          </w:p>
        </w:tc>
        <w:tc>
          <w:tcPr>
            <w:tcW w:w="958" w:type="pct"/>
            <w:noWrap w:val="0"/>
            <w:vAlign w:val="center"/>
          </w:tcPr>
          <w:p w14:paraId="2487CA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9.70 </w:t>
            </w:r>
          </w:p>
        </w:tc>
        <w:tc>
          <w:tcPr>
            <w:tcW w:w="787" w:type="pct"/>
            <w:vMerge w:val="continue"/>
            <w:tcBorders>
              <w:right w:val="single" w:color="auto" w:sz="4" w:space="0"/>
            </w:tcBorders>
            <w:noWrap w:val="0"/>
            <w:vAlign w:val="center"/>
          </w:tcPr>
          <w:p w14:paraId="47EA3E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2643DE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restart"/>
            <w:tcBorders>
              <w:left w:val="single" w:color="auto" w:sz="4" w:space="0"/>
            </w:tcBorders>
            <w:noWrap w:val="0"/>
            <w:vAlign w:val="center"/>
          </w:tcPr>
          <w:p w14:paraId="5AF92A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西</w:t>
            </w:r>
          </w:p>
          <w:p w14:paraId="63919B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厂</w:t>
            </w:r>
          </w:p>
          <w:p w14:paraId="571567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界</w:t>
            </w:r>
          </w:p>
        </w:tc>
        <w:tc>
          <w:tcPr>
            <w:tcW w:w="958" w:type="pct"/>
            <w:noWrap w:val="0"/>
            <w:vAlign w:val="center"/>
          </w:tcPr>
          <w:p w14:paraId="027241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Cs/>
                <w:sz w:val="21"/>
                <w:szCs w:val="21"/>
                <w:lang w:val="en-US" w:eastAsia="zh-CN"/>
              </w:rPr>
              <w:t>车间</w:t>
            </w:r>
          </w:p>
        </w:tc>
        <w:tc>
          <w:tcPr>
            <w:tcW w:w="958" w:type="pct"/>
            <w:noWrap w:val="0"/>
            <w:vAlign w:val="center"/>
          </w:tcPr>
          <w:p w14:paraId="3D7E63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Cs/>
                <w:sz w:val="21"/>
                <w:szCs w:val="21"/>
                <w:lang w:val="en-US" w:eastAsia="zh-CN"/>
              </w:rPr>
              <w:t>80.17</w:t>
            </w:r>
          </w:p>
        </w:tc>
        <w:tc>
          <w:tcPr>
            <w:tcW w:w="958" w:type="pct"/>
            <w:noWrap w:val="0"/>
            <w:vAlign w:val="center"/>
          </w:tcPr>
          <w:p w14:paraId="7FA147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298</w:t>
            </w:r>
          </w:p>
        </w:tc>
        <w:tc>
          <w:tcPr>
            <w:tcW w:w="958" w:type="pct"/>
            <w:noWrap w:val="0"/>
            <w:vAlign w:val="center"/>
          </w:tcPr>
          <w:p w14:paraId="1F39B4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22.69 </w:t>
            </w:r>
          </w:p>
        </w:tc>
        <w:tc>
          <w:tcPr>
            <w:tcW w:w="787" w:type="pct"/>
            <w:vMerge w:val="restart"/>
            <w:tcBorders>
              <w:right w:val="single" w:color="auto" w:sz="4" w:space="0"/>
            </w:tcBorders>
            <w:noWrap w:val="0"/>
            <w:vAlign w:val="center"/>
          </w:tcPr>
          <w:p w14:paraId="033DA0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31.72 </w:t>
            </w:r>
          </w:p>
        </w:tc>
      </w:tr>
      <w:tr w14:paraId="3D3F4C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235D45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2B0315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Cs/>
                <w:sz w:val="21"/>
                <w:szCs w:val="21"/>
                <w:lang w:val="en-US" w:eastAsia="zh-CN"/>
              </w:rPr>
              <w:t>水洗塔风机</w:t>
            </w:r>
          </w:p>
        </w:tc>
        <w:tc>
          <w:tcPr>
            <w:tcW w:w="958" w:type="pct"/>
            <w:noWrap w:val="0"/>
            <w:vAlign w:val="center"/>
          </w:tcPr>
          <w:p w14:paraId="7F10C9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Cs/>
                <w:sz w:val="21"/>
                <w:szCs w:val="21"/>
                <w:lang w:val="en-US" w:eastAsia="zh-CN"/>
              </w:rPr>
              <w:t>82</w:t>
            </w:r>
          </w:p>
        </w:tc>
        <w:tc>
          <w:tcPr>
            <w:tcW w:w="958" w:type="pct"/>
            <w:noWrap w:val="0"/>
            <w:vAlign w:val="center"/>
          </w:tcPr>
          <w:p w14:paraId="026BDC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288</w:t>
            </w:r>
          </w:p>
        </w:tc>
        <w:tc>
          <w:tcPr>
            <w:tcW w:w="958" w:type="pct"/>
            <w:noWrap w:val="0"/>
            <w:vAlign w:val="center"/>
          </w:tcPr>
          <w:p w14:paraId="5E9ABE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24.81 </w:t>
            </w:r>
          </w:p>
        </w:tc>
        <w:tc>
          <w:tcPr>
            <w:tcW w:w="787" w:type="pct"/>
            <w:vMerge w:val="continue"/>
            <w:tcBorders>
              <w:right w:val="single" w:color="auto" w:sz="4" w:space="0"/>
            </w:tcBorders>
            <w:noWrap w:val="0"/>
            <w:vAlign w:val="center"/>
          </w:tcPr>
          <w:p w14:paraId="648358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0A3F4D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1ADEEA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2CA026C7">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1#冷却塔</w:t>
            </w:r>
          </w:p>
        </w:tc>
        <w:tc>
          <w:tcPr>
            <w:tcW w:w="958" w:type="pct"/>
            <w:noWrap w:val="0"/>
            <w:vAlign w:val="center"/>
          </w:tcPr>
          <w:p w14:paraId="24A462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rPr>
            </w:pPr>
            <w:r>
              <w:rPr>
                <w:rFonts w:hint="eastAsia"/>
                <w:bCs/>
                <w:sz w:val="21"/>
                <w:szCs w:val="21"/>
                <w:lang w:val="en-US" w:eastAsia="zh-CN"/>
              </w:rPr>
              <w:t>80</w:t>
            </w:r>
          </w:p>
        </w:tc>
        <w:tc>
          <w:tcPr>
            <w:tcW w:w="958" w:type="pct"/>
            <w:noWrap w:val="0"/>
            <w:vAlign w:val="center"/>
          </w:tcPr>
          <w:p w14:paraId="097A2C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sz w:val="21"/>
                <w:szCs w:val="21"/>
                <w:lang w:val="en-US" w:eastAsia="zh-CN"/>
              </w:rPr>
            </w:pPr>
            <w:r>
              <w:rPr>
                <w:rFonts w:hint="eastAsia"/>
                <w:bCs/>
                <w:sz w:val="21"/>
                <w:szCs w:val="21"/>
                <w:lang w:val="en-US" w:eastAsia="zh-CN"/>
              </w:rPr>
              <w:t>252</w:t>
            </w:r>
          </w:p>
        </w:tc>
        <w:tc>
          <w:tcPr>
            <w:tcW w:w="958" w:type="pct"/>
            <w:noWrap w:val="0"/>
            <w:vAlign w:val="center"/>
          </w:tcPr>
          <w:p w14:paraId="7DD61E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23.97 </w:t>
            </w:r>
          </w:p>
        </w:tc>
        <w:tc>
          <w:tcPr>
            <w:tcW w:w="787" w:type="pct"/>
            <w:vMerge w:val="continue"/>
            <w:tcBorders>
              <w:right w:val="single" w:color="auto" w:sz="4" w:space="0"/>
            </w:tcBorders>
            <w:noWrap w:val="0"/>
            <w:vAlign w:val="center"/>
          </w:tcPr>
          <w:p w14:paraId="1BFE5D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1412A6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5C4C65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4F67B990">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2#冷却塔</w:t>
            </w:r>
          </w:p>
        </w:tc>
        <w:tc>
          <w:tcPr>
            <w:tcW w:w="958" w:type="pct"/>
            <w:noWrap w:val="0"/>
            <w:vAlign w:val="center"/>
          </w:tcPr>
          <w:p w14:paraId="304888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rPr>
            </w:pPr>
            <w:r>
              <w:rPr>
                <w:rFonts w:hint="eastAsia"/>
                <w:bCs/>
                <w:sz w:val="21"/>
                <w:szCs w:val="21"/>
                <w:lang w:val="en-US" w:eastAsia="zh-CN"/>
              </w:rPr>
              <w:t>80</w:t>
            </w:r>
          </w:p>
        </w:tc>
        <w:tc>
          <w:tcPr>
            <w:tcW w:w="958" w:type="pct"/>
            <w:noWrap w:val="0"/>
            <w:vAlign w:val="center"/>
          </w:tcPr>
          <w:p w14:paraId="619334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252</w:t>
            </w:r>
          </w:p>
        </w:tc>
        <w:tc>
          <w:tcPr>
            <w:tcW w:w="958" w:type="pct"/>
            <w:noWrap w:val="0"/>
            <w:vAlign w:val="center"/>
          </w:tcPr>
          <w:p w14:paraId="08705C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23.97 </w:t>
            </w:r>
          </w:p>
        </w:tc>
        <w:tc>
          <w:tcPr>
            <w:tcW w:w="787" w:type="pct"/>
            <w:vMerge w:val="continue"/>
            <w:tcBorders>
              <w:right w:val="single" w:color="auto" w:sz="4" w:space="0"/>
            </w:tcBorders>
            <w:noWrap w:val="0"/>
            <w:vAlign w:val="center"/>
          </w:tcPr>
          <w:p w14:paraId="4B841C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111E52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3D6CEE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37589C2A">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冷却水泵</w:t>
            </w:r>
          </w:p>
        </w:tc>
        <w:tc>
          <w:tcPr>
            <w:tcW w:w="958" w:type="pct"/>
            <w:noWrap w:val="0"/>
            <w:vAlign w:val="center"/>
          </w:tcPr>
          <w:p w14:paraId="31CE07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rPr>
            </w:pPr>
            <w:r>
              <w:rPr>
                <w:rFonts w:hint="eastAsia"/>
                <w:bCs/>
                <w:sz w:val="21"/>
                <w:szCs w:val="21"/>
                <w:lang w:val="en-US" w:eastAsia="zh-CN"/>
              </w:rPr>
              <w:t>80</w:t>
            </w:r>
          </w:p>
        </w:tc>
        <w:tc>
          <w:tcPr>
            <w:tcW w:w="958" w:type="pct"/>
            <w:noWrap w:val="0"/>
            <w:vAlign w:val="center"/>
          </w:tcPr>
          <w:p w14:paraId="57CC51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252</w:t>
            </w:r>
          </w:p>
        </w:tc>
        <w:tc>
          <w:tcPr>
            <w:tcW w:w="958" w:type="pct"/>
            <w:noWrap w:val="0"/>
            <w:vAlign w:val="center"/>
          </w:tcPr>
          <w:p w14:paraId="2969CE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23.97 </w:t>
            </w:r>
          </w:p>
        </w:tc>
        <w:tc>
          <w:tcPr>
            <w:tcW w:w="787" w:type="pct"/>
            <w:vMerge w:val="continue"/>
            <w:tcBorders>
              <w:right w:val="single" w:color="auto" w:sz="4" w:space="0"/>
            </w:tcBorders>
            <w:noWrap w:val="0"/>
            <w:vAlign w:val="center"/>
          </w:tcPr>
          <w:p w14:paraId="2C3894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689E98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041CFC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1AED5E2B">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冷冻水泵</w:t>
            </w:r>
          </w:p>
        </w:tc>
        <w:tc>
          <w:tcPr>
            <w:tcW w:w="958" w:type="pct"/>
            <w:noWrap w:val="0"/>
            <w:vAlign w:val="center"/>
          </w:tcPr>
          <w:p w14:paraId="18AAC1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rPr>
            </w:pPr>
            <w:r>
              <w:rPr>
                <w:rFonts w:hint="eastAsia"/>
                <w:bCs/>
                <w:sz w:val="21"/>
                <w:szCs w:val="21"/>
                <w:lang w:val="en-US" w:eastAsia="zh-CN"/>
              </w:rPr>
              <w:t>80</w:t>
            </w:r>
          </w:p>
        </w:tc>
        <w:tc>
          <w:tcPr>
            <w:tcW w:w="958" w:type="pct"/>
            <w:noWrap w:val="0"/>
            <w:vAlign w:val="center"/>
          </w:tcPr>
          <w:p w14:paraId="6C840D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252</w:t>
            </w:r>
          </w:p>
        </w:tc>
        <w:tc>
          <w:tcPr>
            <w:tcW w:w="958" w:type="pct"/>
            <w:noWrap w:val="0"/>
            <w:vAlign w:val="center"/>
          </w:tcPr>
          <w:p w14:paraId="0597C4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23.97 </w:t>
            </w:r>
          </w:p>
        </w:tc>
        <w:tc>
          <w:tcPr>
            <w:tcW w:w="787" w:type="pct"/>
            <w:vMerge w:val="continue"/>
            <w:tcBorders>
              <w:right w:val="single" w:color="auto" w:sz="4" w:space="0"/>
            </w:tcBorders>
            <w:noWrap w:val="0"/>
            <w:vAlign w:val="center"/>
          </w:tcPr>
          <w:p w14:paraId="66BD92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2BD441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restart"/>
            <w:tcBorders>
              <w:left w:val="single" w:color="auto" w:sz="4" w:space="0"/>
            </w:tcBorders>
            <w:noWrap w:val="0"/>
            <w:vAlign w:val="center"/>
          </w:tcPr>
          <w:p w14:paraId="7A7BBD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南</w:t>
            </w:r>
          </w:p>
          <w:p w14:paraId="2D9692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厂</w:t>
            </w:r>
          </w:p>
          <w:p w14:paraId="3372F1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界</w:t>
            </w:r>
          </w:p>
        </w:tc>
        <w:tc>
          <w:tcPr>
            <w:tcW w:w="958" w:type="pct"/>
            <w:noWrap w:val="0"/>
            <w:vAlign w:val="center"/>
          </w:tcPr>
          <w:p w14:paraId="0218AE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Cs/>
                <w:sz w:val="21"/>
                <w:szCs w:val="21"/>
                <w:lang w:val="en-US" w:eastAsia="zh-CN"/>
              </w:rPr>
              <w:t>车间</w:t>
            </w:r>
          </w:p>
        </w:tc>
        <w:tc>
          <w:tcPr>
            <w:tcW w:w="958" w:type="pct"/>
            <w:noWrap w:val="0"/>
            <w:vAlign w:val="center"/>
          </w:tcPr>
          <w:p w14:paraId="48FD47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Cs/>
                <w:sz w:val="21"/>
                <w:szCs w:val="21"/>
                <w:lang w:val="en-US" w:eastAsia="zh-CN"/>
              </w:rPr>
              <w:t>80.17</w:t>
            </w:r>
          </w:p>
        </w:tc>
        <w:tc>
          <w:tcPr>
            <w:tcW w:w="958" w:type="pct"/>
            <w:noWrap w:val="0"/>
            <w:vAlign w:val="center"/>
          </w:tcPr>
          <w:p w14:paraId="44AEC4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307</w:t>
            </w:r>
          </w:p>
        </w:tc>
        <w:tc>
          <w:tcPr>
            <w:tcW w:w="958" w:type="pct"/>
            <w:noWrap w:val="0"/>
            <w:vAlign w:val="center"/>
          </w:tcPr>
          <w:p w14:paraId="0380D2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22.43 </w:t>
            </w:r>
          </w:p>
        </w:tc>
        <w:tc>
          <w:tcPr>
            <w:tcW w:w="787" w:type="pct"/>
            <w:vMerge w:val="restart"/>
            <w:tcBorders>
              <w:right w:val="single" w:color="auto" w:sz="4" w:space="0"/>
            </w:tcBorders>
            <w:noWrap w:val="0"/>
            <w:vAlign w:val="center"/>
          </w:tcPr>
          <w:p w14:paraId="5942B4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30.39 </w:t>
            </w:r>
          </w:p>
        </w:tc>
      </w:tr>
      <w:tr w14:paraId="6E4E00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73E263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540E38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Cs/>
                <w:sz w:val="21"/>
                <w:szCs w:val="21"/>
                <w:lang w:val="en-US" w:eastAsia="zh-CN"/>
              </w:rPr>
              <w:t>水洗塔风机</w:t>
            </w:r>
          </w:p>
        </w:tc>
        <w:tc>
          <w:tcPr>
            <w:tcW w:w="958" w:type="pct"/>
            <w:noWrap w:val="0"/>
            <w:vAlign w:val="center"/>
          </w:tcPr>
          <w:p w14:paraId="5A3F51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Cs/>
                <w:sz w:val="21"/>
                <w:szCs w:val="21"/>
                <w:lang w:val="en-US" w:eastAsia="zh-CN"/>
              </w:rPr>
              <w:t>82</w:t>
            </w:r>
          </w:p>
        </w:tc>
        <w:tc>
          <w:tcPr>
            <w:tcW w:w="958" w:type="pct"/>
            <w:noWrap w:val="0"/>
            <w:vAlign w:val="center"/>
          </w:tcPr>
          <w:p w14:paraId="67B334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307</w:t>
            </w:r>
          </w:p>
        </w:tc>
        <w:tc>
          <w:tcPr>
            <w:tcW w:w="958" w:type="pct"/>
            <w:noWrap w:val="0"/>
            <w:vAlign w:val="center"/>
          </w:tcPr>
          <w:p w14:paraId="2D1BAC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24.26 </w:t>
            </w:r>
          </w:p>
        </w:tc>
        <w:tc>
          <w:tcPr>
            <w:tcW w:w="787" w:type="pct"/>
            <w:vMerge w:val="continue"/>
            <w:tcBorders>
              <w:right w:val="single" w:color="auto" w:sz="4" w:space="0"/>
            </w:tcBorders>
            <w:noWrap w:val="0"/>
            <w:vAlign w:val="center"/>
          </w:tcPr>
          <w:p w14:paraId="411A53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1A090C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5E4020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068E8D95">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1#冷却塔</w:t>
            </w:r>
          </w:p>
        </w:tc>
        <w:tc>
          <w:tcPr>
            <w:tcW w:w="958" w:type="pct"/>
            <w:noWrap w:val="0"/>
            <w:vAlign w:val="center"/>
          </w:tcPr>
          <w:p w14:paraId="438456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rPr>
            </w:pPr>
            <w:r>
              <w:rPr>
                <w:rFonts w:hint="eastAsia"/>
                <w:bCs/>
                <w:sz w:val="21"/>
                <w:szCs w:val="21"/>
                <w:lang w:val="en-US" w:eastAsia="zh-CN"/>
              </w:rPr>
              <w:t>80</w:t>
            </w:r>
          </w:p>
        </w:tc>
        <w:tc>
          <w:tcPr>
            <w:tcW w:w="958" w:type="pct"/>
            <w:noWrap w:val="0"/>
            <w:vAlign w:val="center"/>
          </w:tcPr>
          <w:p w14:paraId="40138A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sz w:val="21"/>
                <w:szCs w:val="21"/>
                <w:lang w:val="en-US" w:eastAsia="zh-CN"/>
              </w:rPr>
            </w:pPr>
            <w:r>
              <w:rPr>
                <w:rFonts w:hint="eastAsia"/>
                <w:bCs/>
                <w:sz w:val="21"/>
                <w:szCs w:val="21"/>
                <w:lang w:val="en-US" w:eastAsia="zh-CN"/>
              </w:rPr>
              <w:t>317</w:t>
            </w:r>
          </w:p>
        </w:tc>
        <w:tc>
          <w:tcPr>
            <w:tcW w:w="958" w:type="pct"/>
            <w:noWrap w:val="0"/>
            <w:vAlign w:val="center"/>
          </w:tcPr>
          <w:p w14:paraId="3E558C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21.98 </w:t>
            </w:r>
          </w:p>
        </w:tc>
        <w:tc>
          <w:tcPr>
            <w:tcW w:w="787" w:type="pct"/>
            <w:vMerge w:val="continue"/>
            <w:tcBorders>
              <w:right w:val="single" w:color="auto" w:sz="4" w:space="0"/>
            </w:tcBorders>
            <w:noWrap w:val="0"/>
            <w:vAlign w:val="center"/>
          </w:tcPr>
          <w:p w14:paraId="493AEF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27AB17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5D083A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3555D2E2">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2#冷却塔</w:t>
            </w:r>
          </w:p>
        </w:tc>
        <w:tc>
          <w:tcPr>
            <w:tcW w:w="958" w:type="pct"/>
            <w:noWrap w:val="0"/>
            <w:vAlign w:val="center"/>
          </w:tcPr>
          <w:p w14:paraId="798096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rPr>
            </w:pPr>
            <w:r>
              <w:rPr>
                <w:rFonts w:hint="eastAsia"/>
                <w:bCs/>
                <w:sz w:val="21"/>
                <w:szCs w:val="21"/>
                <w:lang w:val="en-US" w:eastAsia="zh-CN"/>
              </w:rPr>
              <w:t>80</w:t>
            </w:r>
          </w:p>
        </w:tc>
        <w:tc>
          <w:tcPr>
            <w:tcW w:w="958" w:type="pct"/>
            <w:noWrap w:val="0"/>
            <w:vAlign w:val="center"/>
          </w:tcPr>
          <w:p w14:paraId="149805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sz w:val="21"/>
                <w:szCs w:val="21"/>
                <w:lang w:val="en-US" w:eastAsia="zh-CN"/>
              </w:rPr>
            </w:pPr>
            <w:r>
              <w:rPr>
                <w:rFonts w:hint="eastAsia"/>
                <w:bCs/>
                <w:sz w:val="21"/>
                <w:szCs w:val="21"/>
                <w:lang w:val="en-US" w:eastAsia="zh-CN"/>
              </w:rPr>
              <w:t>307</w:t>
            </w:r>
          </w:p>
        </w:tc>
        <w:tc>
          <w:tcPr>
            <w:tcW w:w="958" w:type="pct"/>
            <w:noWrap w:val="0"/>
            <w:vAlign w:val="center"/>
          </w:tcPr>
          <w:p w14:paraId="0B63BD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22.26 </w:t>
            </w:r>
          </w:p>
        </w:tc>
        <w:tc>
          <w:tcPr>
            <w:tcW w:w="787" w:type="pct"/>
            <w:vMerge w:val="continue"/>
            <w:tcBorders>
              <w:right w:val="single" w:color="auto" w:sz="4" w:space="0"/>
            </w:tcBorders>
            <w:noWrap w:val="0"/>
            <w:vAlign w:val="center"/>
          </w:tcPr>
          <w:p w14:paraId="42274E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0E3145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2DA217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117211C6">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冷却水泵</w:t>
            </w:r>
          </w:p>
        </w:tc>
        <w:tc>
          <w:tcPr>
            <w:tcW w:w="958" w:type="pct"/>
            <w:noWrap w:val="0"/>
            <w:vAlign w:val="center"/>
          </w:tcPr>
          <w:p w14:paraId="10A053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rPr>
            </w:pPr>
            <w:r>
              <w:rPr>
                <w:rFonts w:hint="eastAsia"/>
                <w:bCs/>
                <w:sz w:val="21"/>
                <w:szCs w:val="21"/>
                <w:lang w:val="en-US" w:eastAsia="zh-CN"/>
              </w:rPr>
              <w:t>80</w:t>
            </w:r>
          </w:p>
        </w:tc>
        <w:tc>
          <w:tcPr>
            <w:tcW w:w="958" w:type="pct"/>
            <w:noWrap w:val="0"/>
            <w:vAlign w:val="center"/>
          </w:tcPr>
          <w:p w14:paraId="7AA755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317</w:t>
            </w:r>
          </w:p>
        </w:tc>
        <w:tc>
          <w:tcPr>
            <w:tcW w:w="958" w:type="pct"/>
            <w:noWrap w:val="0"/>
            <w:vAlign w:val="center"/>
          </w:tcPr>
          <w:p w14:paraId="1797A4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21.98 </w:t>
            </w:r>
          </w:p>
        </w:tc>
        <w:tc>
          <w:tcPr>
            <w:tcW w:w="787" w:type="pct"/>
            <w:vMerge w:val="continue"/>
            <w:tcBorders>
              <w:right w:val="single" w:color="auto" w:sz="4" w:space="0"/>
            </w:tcBorders>
            <w:noWrap w:val="0"/>
            <w:vAlign w:val="center"/>
          </w:tcPr>
          <w:p w14:paraId="70FB68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452186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2E81EE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04FA40D5">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冷冻水泵</w:t>
            </w:r>
          </w:p>
        </w:tc>
        <w:tc>
          <w:tcPr>
            <w:tcW w:w="958" w:type="pct"/>
            <w:noWrap w:val="0"/>
            <w:vAlign w:val="center"/>
          </w:tcPr>
          <w:p w14:paraId="0978C8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rPr>
            </w:pPr>
            <w:r>
              <w:rPr>
                <w:rFonts w:hint="eastAsia"/>
                <w:bCs/>
                <w:sz w:val="21"/>
                <w:szCs w:val="21"/>
                <w:lang w:val="en-US" w:eastAsia="zh-CN"/>
              </w:rPr>
              <w:t>80</w:t>
            </w:r>
          </w:p>
        </w:tc>
        <w:tc>
          <w:tcPr>
            <w:tcW w:w="958" w:type="pct"/>
            <w:noWrap w:val="0"/>
            <w:vAlign w:val="center"/>
          </w:tcPr>
          <w:p w14:paraId="22AADE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307</w:t>
            </w:r>
          </w:p>
        </w:tc>
        <w:tc>
          <w:tcPr>
            <w:tcW w:w="958" w:type="pct"/>
            <w:noWrap w:val="0"/>
            <w:vAlign w:val="center"/>
          </w:tcPr>
          <w:p w14:paraId="5DAF9E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22.26 </w:t>
            </w:r>
          </w:p>
        </w:tc>
        <w:tc>
          <w:tcPr>
            <w:tcW w:w="787" w:type="pct"/>
            <w:vMerge w:val="continue"/>
            <w:tcBorders>
              <w:right w:val="single" w:color="auto" w:sz="4" w:space="0"/>
            </w:tcBorders>
            <w:noWrap w:val="0"/>
            <w:vAlign w:val="center"/>
          </w:tcPr>
          <w:p w14:paraId="785764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p>
        </w:tc>
      </w:tr>
      <w:tr w14:paraId="2BF1EB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restart"/>
            <w:tcBorders>
              <w:left w:val="single" w:color="auto" w:sz="4" w:space="0"/>
            </w:tcBorders>
            <w:noWrap w:val="0"/>
            <w:vAlign w:val="center"/>
          </w:tcPr>
          <w:p w14:paraId="067956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北</w:t>
            </w:r>
          </w:p>
          <w:p w14:paraId="1949AB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厂</w:t>
            </w:r>
          </w:p>
          <w:p w14:paraId="194433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界</w:t>
            </w:r>
          </w:p>
        </w:tc>
        <w:tc>
          <w:tcPr>
            <w:tcW w:w="958" w:type="pct"/>
            <w:noWrap w:val="0"/>
            <w:vAlign w:val="center"/>
          </w:tcPr>
          <w:p w14:paraId="12BC5A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Cs/>
                <w:sz w:val="21"/>
                <w:szCs w:val="21"/>
                <w:lang w:val="en-US" w:eastAsia="zh-CN"/>
              </w:rPr>
              <w:t>车间</w:t>
            </w:r>
          </w:p>
        </w:tc>
        <w:tc>
          <w:tcPr>
            <w:tcW w:w="958" w:type="pct"/>
            <w:noWrap w:val="0"/>
            <w:vAlign w:val="center"/>
          </w:tcPr>
          <w:p w14:paraId="4A17B5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Cs/>
                <w:sz w:val="21"/>
                <w:szCs w:val="21"/>
                <w:lang w:val="en-US" w:eastAsia="zh-CN"/>
              </w:rPr>
              <w:t>80.17</w:t>
            </w:r>
          </w:p>
        </w:tc>
        <w:tc>
          <w:tcPr>
            <w:tcW w:w="958" w:type="pct"/>
            <w:noWrap w:val="0"/>
            <w:vAlign w:val="center"/>
          </w:tcPr>
          <w:p w14:paraId="08AAEA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598</w:t>
            </w:r>
          </w:p>
        </w:tc>
        <w:tc>
          <w:tcPr>
            <w:tcW w:w="958" w:type="pct"/>
            <w:noWrap w:val="0"/>
            <w:vAlign w:val="center"/>
          </w:tcPr>
          <w:p w14:paraId="2B0743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16.64 </w:t>
            </w:r>
          </w:p>
        </w:tc>
        <w:tc>
          <w:tcPr>
            <w:tcW w:w="787" w:type="pct"/>
            <w:vMerge w:val="restart"/>
            <w:tcBorders>
              <w:right w:val="single" w:color="auto" w:sz="4" w:space="0"/>
            </w:tcBorders>
            <w:noWrap w:val="0"/>
            <w:vAlign w:val="center"/>
          </w:tcPr>
          <w:p w14:paraId="0ED53D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24.69 </w:t>
            </w:r>
          </w:p>
        </w:tc>
      </w:tr>
      <w:tr w14:paraId="3613A1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52FAE5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0371EC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Cs/>
                <w:sz w:val="21"/>
                <w:szCs w:val="21"/>
                <w:lang w:val="en-US" w:eastAsia="zh-CN"/>
              </w:rPr>
              <w:t>水洗塔风机</w:t>
            </w:r>
          </w:p>
        </w:tc>
        <w:tc>
          <w:tcPr>
            <w:tcW w:w="958" w:type="pct"/>
            <w:noWrap w:val="0"/>
            <w:vAlign w:val="center"/>
          </w:tcPr>
          <w:p w14:paraId="4D5C6A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bCs/>
                <w:sz w:val="21"/>
                <w:szCs w:val="21"/>
                <w:lang w:val="en-US" w:eastAsia="zh-CN"/>
              </w:rPr>
              <w:t>82</w:t>
            </w:r>
          </w:p>
        </w:tc>
        <w:tc>
          <w:tcPr>
            <w:tcW w:w="958" w:type="pct"/>
            <w:noWrap w:val="0"/>
            <w:vAlign w:val="center"/>
          </w:tcPr>
          <w:p w14:paraId="1FA061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608</w:t>
            </w:r>
          </w:p>
        </w:tc>
        <w:tc>
          <w:tcPr>
            <w:tcW w:w="958" w:type="pct"/>
            <w:noWrap w:val="0"/>
            <w:vAlign w:val="center"/>
          </w:tcPr>
          <w:p w14:paraId="5C30B2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18.32 </w:t>
            </w:r>
          </w:p>
        </w:tc>
        <w:tc>
          <w:tcPr>
            <w:tcW w:w="787" w:type="pct"/>
            <w:vMerge w:val="continue"/>
            <w:tcBorders>
              <w:right w:val="single" w:color="auto" w:sz="4" w:space="0"/>
            </w:tcBorders>
            <w:noWrap w:val="0"/>
            <w:vAlign w:val="center"/>
          </w:tcPr>
          <w:p w14:paraId="585598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7975FD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4F0469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4AC94D1F">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1#冷却塔</w:t>
            </w:r>
          </w:p>
        </w:tc>
        <w:tc>
          <w:tcPr>
            <w:tcW w:w="958" w:type="pct"/>
            <w:noWrap w:val="0"/>
            <w:vAlign w:val="center"/>
          </w:tcPr>
          <w:p w14:paraId="0A4EB4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rPr>
            </w:pPr>
            <w:r>
              <w:rPr>
                <w:rFonts w:hint="eastAsia"/>
                <w:bCs/>
                <w:sz w:val="21"/>
                <w:szCs w:val="21"/>
                <w:lang w:val="en-US" w:eastAsia="zh-CN"/>
              </w:rPr>
              <w:t>80</w:t>
            </w:r>
          </w:p>
        </w:tc>
        <w:tc>
          <w:tcPr>
            <w:tcW w:w="958" w:type="pct"/>
            <w:noWrap w:val="0"/>
            <w:vAlign w:val="center"/>
          </w:tcPr>
          <w:p w14:paraId="710628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sz w:val="21"/>
                <w:szCs w:val="21"/>
                <w:lang w:val="en-US" w:eastAsia="zh-CN"/>
              </w:rPr>
            </w:pPr>
            <w:r>
              <w:rPr>
                <w:rFonts w:hint="eastAsia"/>
                <w:bCs/>
                <w:sz w:val="21"/>
                <w:szCs w:val="21"/>
                <w:lang w:val="en-US" w:eastAsia="zh-CN"/>
              </w:rPr>
              <w:t>588</w:t>
            </w:r>
          </w:p>
        </w:tc>
        <w:tc>
          <w:tcPr>
            <w:tcW w:w="958" w:type="pct"/>
            <w:noWrap w:val="0"/>
            <w:vAlign w:val="center"/>
          </w:tcPr>
          <w:p w14:paraId="736822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16.61 </w:t>
            </w:r>
          </w:p>
        </w:tc>
        <w:tc>
          <w:tcPr>
            <w:tcW w:w="787" w:type="pct"/>
            <w:vMerge w:val="continue"/>
            <w:tcBorders>
              <w:right w:val="single" w:color="auto" w:sz="4" w:space="0"/>
            </w:tcBorders>
            <w:noWrap w:val="0"/>
            <w:vAlign w:val="center"/>
          </w:tcPr>
          <w:p w14:paraId="1A8178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6681B5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082D1A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6D38C9B2">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2#冷却塔</w:t>
            </w:r>
          </w:p>
        </w:tc>
        <w:tc>
          <w:tcPr>
            <w:tcW w:w="958" w:type="pct"/>
            <w:noWrap w:val="0"/>
            <w:vAlign w:val="center"/>
          </w:tcPr>
          <w:p w14:paraId="27C4C4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rPr>
            </w:pPr>
            <w:r>
              <w:rPr>
                <w:rFonts w:hint="eastAsia"/>
                <w:bCs/>
                <w:sz w:val="21"/>
                <w:szCs w:val="21"/>
                <w:lang w:val="en-US" w:eastAsia="zh-CN"/>
              </w:rPr>
              <w:t>80</w:t>
            </w:r>
          </w:p>
        </w:tc>
        <w:tc>
          <w:tcPr>
            <w:tcW w:w="958" w:type="pct"/>
            <w:noWrap w:val="0"/>
            <w:vAlign w:val="center"/>
          </w:tcPr>
          <w:p w14:paraId="03353F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bCs/>
                <w:sz w:val="21"/>
                <w:szCs w:val="21"/>
                <w:lang w:val="en-US" w:eastAsia="zh-CN"/>
              </w:rPr>
            </w:pPr>
            <w:r>
              <w:rPr>
                <w:rFonts w:hint="eastAsia"/>
                <w:bCs/>
                <w:sz w:val="21"/>
                <w:szCs w:val="21"/>
                <w:lang w:val="en-US" w:eastAsia="zh-CN"/>
              </w:rPr>
              <w:t>598</w:t>
            </w:r>
          </w:p>
        </w:tc>
        <w:tc>
          <w:tcPr>
            <w:tcW w:w="958" w:type="pct"/>
            <w:noWrap w:val="0"/>
            <w:vAlign w:val="center"/>
          </w:tcPr>
          <w:p w14:paraId="15F647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16.47 </w:t>
            </w:r>
          </w:p>
        </w:tc>
        <w:tc>
          <w:tcPr>
            <w:tcW w:w="787" w:type="pct"/>
            <w:vMerge w:val="continue"/>
            <w:tcBorders>
              <w:right w:val="single" w:color="auto" w:sz="4" w:space="0"/>
            </w:tcBorders>
            <w:noWrap w:val="0"/>
            <w:vAlign w:val="center"/>
          </w:tcPr>
          <w:p w14:paraId="76DA8F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36C1A4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41B692A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3A73CF18">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冷却水泵</w:t>
            </w:r>
          </w:p>
        </w:tc>
        <w:tc>
          <w:tcPr>
            <w:tcW w:w="958" w:type="pct"/>
            <w:noWrap w:val="0"/>
            <w:vAlign w:val="center"/>
          </w:tcPr>
          <w:p w14:paraId="7CCB8A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rPr>
            </w:pPr>
            <w:r>
              <w:rPr>
                <w:rFonts w:hint="eastAsia"/>
                <w:bCs/>
                <w:sz w:val="21"/>
                <w:szCs w:val="21"/>
                <w:lang w:val="en-US" w:eastAsia="zh-CN"/>
              </w:rPr>
              <w:t>80</w:t>
            </w:r>
          </w:p>
        </w:tc>
        <w:tc>
          <w:tcPr>
            <w:tcW w:w="958" w:type="pct"/>
            <w:noWrap w:val="0"/>
            <w:vAlign w:val="center"/>
          </w:tcPr>
          <w:p w14:paraId="6E3CAC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588</w:t>
            </w:r>
          </w:p>
        </w:tc>
        <w:tc>
          <w:tcPr>
            <w:tcW w:w="958" w:type="pct"/>
            <w:noWrap w:val="0"/>
            <w:vAlign w:val="center"/>
          </w:tcPr>
          <w:p w14:paraId="333D81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16.61 </w:t>
            </w:r>
          </w:p>
        </w:tc>
        <w:tc>
          <w:tcPr>
            <w:tcW w:w="787" w:type="pct"/>
            <w:vMerge w:val="continue"/>
            <w:tcBorders>
              <w:right w:val="single" w:color="auto" w:sz="4" w:space="0"/>
            </w:tcBorders>
            <w:noWrap w:val="0"/>
            <w:vAlign w:val="center"/>
          </w:tcPr>
          <w:p w14:paraId="1A0A0B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62626B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6" w:type="pct"/>
            <w:vMerge w:val="continue"/>
            <w:tcBorders>
              <w:left w:val="single" w:color="auto" w:sz="4" w:space="0"/>
            </w:tcBorders>
            <w:noWrap w:val="0"/>
            <w:vAlign w:val="center"/>
          </w:tcPr>
          <w:p w14:paraId="4896C34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958" w:type="pct"/>
            <w:noWrap w:val="0"/>
            <w:vAlign w:val="center"/>
          </w:tcPr>
          <w:p w14:paraId="57BE245C">
            <w:pPr>
              <w:pStyle w:val="182"/>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 w:val="0"/>
                <w:bCs w:val="0"/>
                <w:i w:val="0"/>
                <w:iCs w:val="0"/>
                <w:color w:val="auto"/>
                <w:u w:val="none"/>
                <w:lang w:val="en-US" w:eastAsia="zh-CN"/>
              </w:rPr>
              <w:t>冷冻水泵</w:t>
            </w:r>
          </w:p>
        </w:tc>
        <w:tc>
          <w:tcPr>
            <w:tcW w:w="958" w:type="pct"/>
            <w:noWrap w:val="0"/>
            <w:vAlign w:val="center"/>
          </w:tcPr>
          <w:p w14:paraId="0C4E1A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rPr>
            </w:pPr>
            <w:r>
              <w:rPr>
                <w:rFonts w:hint="eastAsia"/>
                <w:bCs/>
                <w:sz w:val="21"/>
                <w:szCs w:val="21"/>
                <w:lang w:val="en-US" w:eastAsia="zh-CN"/>
              </w:rPr>
              <w:t>80</w:t>
            </w:r>
          </w:p>
        </w:tc>
        <w:tc>
          <w:tcPr>
            <w:tcW w:w="958" w:type="pct"/>
            <w:noWrap w:val="0"/>
            <w:vAlign w:val="center"/>
          </w:tcPr>
          <w:p w14:paraId="46E293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598</w:t>
            </w:r>
          </w:p>
        </w:tc>
        <w:tc>
          <w:tcPr>
            <w:tcW w:w="958" w:type="pct"/>
            <w:noWrap w:val="0"/>
            <w:vAlign w:val="center"/>
          </w:tcPr>
          <w:p w14:paraId="6D596E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Cs/>
                <w:sz w:val="21"/>
                <w:szCs w:val="21"/>
                <w:lang w:val="en-US" w:eastAsia="zh-CN"/>
              </w:rPr>
            </w:pPr>
            <w:r>
              <w:rPr>
                <w:rFonts w:hint="eastAsia"/>
                <w:bCs/>
                <w:sz w:val="21"/>
                <w:szCs w:val="21"/>
                <w:lang w:val="en-US" w:eastAsia="zh-CN"/>
              </w:rPr>
              <w:t xml:space="preserve">16.47 </w:t>
            </w:r>
          </w:p>
        </w:tc>
        <w:tc>
          <w:tcPr>
            <w:tcW w:w="787" w:type="pct"/>
            <w:vMerge w:val="continue"/>
            <w:tcBorders>
              <w:bottom w:val="single" w:color="auto" w:sz="8" w:space="0"/>
              <w:right w:val="single" w:color="auto" w:sz="4" w:space="0"/>
            </w:tcBorders>
            <w:noWrap w:val="0"/>
            <w:vAlign w:val="center"/>
          </w:tcPr>
          <w:p w14:paraId="351949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bl>
    <w:p w14:paraId="357A748C">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rPr>
          <w:rFonts w:hint="eastAsia"/>
          <w:b w:val="0"/>
          <w:bCs w:val="0"/>
          <w:color w:val="auto"/>
          <w:u w:val="none"/>
        </w:rPr>
      </w:pPr>
    </w:p>
    <w:p w14:paraId="53EED931">
      <w:pPr>
        <w:pStyle w:val="5"/>
        <w:bidi w:val="0"/>
        <w:rPr>
          <w:color w:val="auto"/>
          <w:u w:val="none"/>
        </w:rPr>
      </w:pPr>
      <w:r>
        <w:rPr>
          <w:rFonts w:hint="eastAsia"/>
          <w:color w:val="auto"/>
          <w:u w:val="none"/>
        </w:rPr>
        <w:t>厂界预测结果及评价</w:t>
      </w:r>
    </w:p>
    <w:p w14:paraId="18837023">
      <w:pPr>
        <w:bidi w:val="0"/>
        <w:rPr>
          <w:b w:val="0"/>
          <w:bCs w:val="0"/>
          <w:color w:val="auto"/>
          <w:u w:val="none"/>
        </w:rPr>
      </w:pPr>
      <w:r>
        <w:rPr>
          <w:b w:val="0"/>
          <w:bCs w:val="0"/>
          <w:color w:val="auto"/>
          <w:u w:val="none"/>
        </w:rPr>
        <w:t>根据工程噪声源在厂区的分布和源强，以及其与四周厂界的距离及建筑物的衰减状况，计算出各声源对四周厂界的噪声贡献值</w:t>
      </w:r>
      <w:r>
        <w:rPr>
          <w:rFonts w:hint="eastAsia"/>
          <w:b w:val="0"/>
          <w:bCs w:val="0"/>
          <w:color w:val="auto"/>
          <w:u w:val="none"/>
        </w:rPr>
        <w:t>，</w:t>
      </w:r>
      <w:r>
        <w:rPr>
          <w:b w:val="0"/>
          <w:bCs w:val="0"/>
          <w:color w:val="auto"/>
          <w:u w:val="none"/>
        </w:rPr>
        <w:t>结合</w:t>
      </w:r>
      <w:r>
        <w:rPr>
          <w:rFonts w:hint="eastAsia" w:ascii="Times New Roman" w:hAnsi="Times New Roman" w:cs="Times New Roman"/>
          <w:color w:val="auto"/>
          <w:highlight w:val="none"/>
        </w:rPr>
        <w:t>新乡化纤股份有限公司</w:t>
      </w:r>
      <w:r>
        <w:rPr>
          <w:rFonts w:ascii="Times New Roman" w:hAnsi="Times New Roman" w:cs="Times New Roman"/>
          <w:color w:val="auto"/>
          <w:highlight w:val="none"/>
        </w:rPr>
        <w:t>委托</w:t>
      </w:r>
      <w:r>
        <w:rPr>
          <w:rFonts w:hint="eastAsia" w:ascii="Times New Roman" w:hAnsi="Times New Roman" w:cs="Times New Roman"/>
          <w:color w:val="auto"/>
          <w:highlight w:val="none"/>
        </w:rPr>
        <w:t>洛阳市绿源环保技术有限公司</w:t>
      </w:r>
      <w:r>
        <w:rPr>
          <w:rFonts w:ascii="Times New Roman" w:hAnsi="Times New Roman" w:cs="Times New Roman"/>
          <w:color w:val="auto"/>
          <w:highlight w:val="none"/>
        </w:rPr>
        <w:t>202</w:t>
      </w:r>
      <w:r>
        <w:rPr>
          <w:rFonts w:hint="eastAsia" w:ascii="Times New Roman" w:hAnsi="Times New Roman" w:cs="Times New Roman"/>
          <w:color w:val="auto"/>
          <w:highlight w:val="none"/>
          <w:lang w:val="en-US" w:eastAsia="zh-CN"/>
        </w:rPr>
        <w:t>4</w:t>
      </w:r>
      <w:r>
        <w:rPr>
          <w:rFonts w:ascii="Times New Roman" w:hAnsi="Times New Roman" w:cs="Times New Roman"/>
          <w:color w:val="auto"/>
          <w:highlight w:val="none"/>
        </w:rPr>
        <w:t>年</w:t>
      </w:r>
      <w:r>
        <w:rPr>
          <w:rFonts w:hint="eastAsia" w:ascii="Times New Roman" w:hAnsi="Times New Roman" w:cs="Times New Roman"/>
          <w:color w:val="auto"/>
          <w:highlight w:val="none"/>
          <w:lang w:val="en-US" w:eastAsia="zh-CN"/>
        </w:rPr>
        <w:t>4</w:t>
      </w:r>
      <w:r>
        <w:rPr>
          <w:rFonts w:ascii="Times New Roman" w:hAnsi="Times New Roman" w:cs="Times New Roman"/>
          <w:color w:val="auto"/>
          <w:highlight w:val="none"/>
        </w:rPr>
        <w:t>月</w:t>
      </w:r>
      <w:r>
        <w:rPr>
          <w:rFonts w:hint="eastAsia" w:ascii="Times New Roman" w:hAnsi="Times New Roman" w:cs="Times New Roman"/>
          <w:color w:val="auto"/>
          <w:highlight w:val="none"/>
          <w:lang w:val="en-US" w:eastAsia="zh-CN"/>
        </w:rPr>
        <w:t>7-8</w:t>
      </w:r>
      <w:r>
        <w:rPr>
          <w:rFonts w:ascii="Times New Roman" w:hAnsi="Times New Roman" w:cs="Times New Roman"/>
          <w:color w:val="auto"/>
          <w:highlight w:val="none"/>
        </w:rPr>
        <w:t>日</w:t>
      </w:r>
      <w:r>
        <w:rPr>
          <w:color w:val="auto"/>
          <w:highlight w:val="none"/>
        </w:rPr>
        <w:t>对企业厂界噪声</w:t>
      </w:r>
      <w:r>
        <w:rPr>
          <w:rFonts w:hint="eastAsia"/>
          <w:color w:val="auto"/>
          <w:highlight w:val="none"/>
        </w:rPr>
        <w:t>现状</w:t>
      </w:r>
      <w:r>
        <w:rPr>
          <w:color w:val="auto"/>
          <w:highlight w:val="none"/>
        </w:rPr>
        <w:t>进行监测</w:t>
      </w:r>
      <w:r>
        <w:rPr>
          <w:b w:val="0"/>
          <w:bCs w:val="0"/>
          <w:color w:val="auto"/>
          <w:u w:val="none"/>
        </w:rPr>
        <w:t>，对本工程完成后各厂界噪声值进行预测，预测结果见</w:t>
      </w:r>
      <w:r>
        <w:rPr>
          <w:rFonts w:hint="eastAsia"/>
          <w:b w:val="0"/>
          <w:bCs w:val="0"/>
          <w:color w:val="auto"/>
          <w:u w:val="none"/>
          <w:lang w:val="en-US" w:eastAsia="zh-CN"/>
        </w:rPr>
        <w:t>下表</w:t>
      </w:r>
      <w:r>
        <w:rPr>
          <w:b w:val="0"/>
          <w:bCs w:val="0"/>
          <w:color w:val="auto"/>
          <w:u w:val="none"/>
        </w:rPr>
        <w:t>。</w:t>
      </w:r>
    </w:p>
    <w:p w14:paraId="7EE4146E">
      <w:pPr>
        <w:pStyle w:val="10"/>
        <w:bidi w:val="0"/>
        <w:rPr>
          <w:lang w:val="en-US" w:eastAsia="zh-CN"/>
        </w:rPr>
      </w:pPr>
      <w:r>
        <w:rPr>
          <w:lang w:val="en-US" w:eastAsia="zh-CN"/>
        </w:rPr>
        <w:t xml:space="preserve">表 </w:t>
      </w:r>
      <w:r>
        <w:rPr>
          <w:lang w:val="en-US" w:eastAsia="zh-CN"/>
        </w:rPr>
        <w:fldChar w:fldCharType="begin"/>
      </w:r>
      <w:r>
        <w:rPr>
          <w:lang w:val="en-US" w:eastAsia="zh-CN"/>
        </w:rPr>
        <w:instrText xml:space="preserve"> STYLEREF 2 \s </w:instrText>
      </w:r>
      <w:r>
        <w:rPr>
          <w:lang w:val="en-US" w:eastAsia="zh-CN"/>
        </w:rPr>
        <w:fldChar w:fldCharType="separate"/>
      </w:r>
      <w:r>
        <w:rPr>
          <w:lang w:val="en-US" w:eastAsia="zh-CN"/>
        </w:rPr>
        <w:t>6.4</w:t>
      </w:r>
      <w:r>
        <w:rPr>
          <w:lang w:val="en-US" w:eastAsia="zh-CN"/>
        </w:rPr>
        <w:fldChar w:fldCharType="end"/>
      </w:r>
      <w:r>
        <w:rPr>
          <w:rFonts w:hint="eastAsia"/>
          <w:lang w:val="en-US" w:eastAsia="zh-CN"/>
        </w:rPr>
        <w:t>-</w:t>
      </w:r>
      <w:r>
        <w:rPr>
          <w:lang w:val="en-US" w:eastAsia="zh-CN"/>
        </w:rPr>
        <w:fldChar w:fldCharType="begin"/>
      </w:r>
      <w:r>
        <w:rPr>
          <w:lang w:val="en-US" w:eastAsia="zh-CN"/>
        </w:rPr>
        <w:instrText xml:space="preserve"> SEQ 表 \* ARABIC \s 2 </w:instrText>
      </w:r>
      <w:r>
        <w:rPr>
          <w:lang w:val="en-US" w:eastAsia="zh-CN"/>
        </w:rPr>
        <w:fldChar w:fldCharType="separate"/>
      </w:r>
      <w:r>
        <w:rPr>
          <w:lang w:val="en-US" w:eastAsia="zh-CN"/>
        </w:rPr>
        <w:t>2</w:t>
      </w:r>
      <w:r>
        <w:rPr>
          <w:lang w:val="en-US" w:eastAsia="zh-CN"/>
        </w:rPr>
        <w:fldChar w:fldCharType="end"/>
      </w:r>
      <w:r>
        <w:rPr>
          <w:rFonts w:hint="eastAsia"/>
          <w:lang w:val="en-US" w:eastAsia="zh-CN"/>
        </w:rPr>
        <w:t xml:space="preserve"> </w:t>
      </w:r>
      <w:r>
        <w:rPr>
          <w:lang w:val="en-US" w:eastAsia="zh-CN"/>
        </w:rPr>
        <w:t>四周厂界噪声预测结果</w:t>
      </w:r>
    </w:p>
    <w:tbl>
      <w:tblPr>
        <w:tblStyle w:val="31"/>
        <w:tblW w:w="431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839"/>
        <w:gridCol w:w="642"/>
        <w:gridCol w:w="858"/>
        <w:gridCol w:w="930"/>
        <w:gridCol w:w="690"/>
        <w:gridCol w:w="689"/>
        <w:gridCol w:w="1954"/>
        <w:gridCol w:w="752"/>
      </w:tblGrid>
      <w:tr w14:paraId="5EDD98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057" w:hRule="atLeast"/>
          <w:jc w:val="center"/>
        </w:trPr>
        <w:tc>
          <w:tcPr>
            <w:tcW w:w="573" w:type="pct"/>
            <w:tcBorders>
              <w:tl2br w:val="nil"/>
              <w:tr2bl w:val="nil"/>
            </w:tcBorders>
            <w:shd w:val="clear" w:color="auto" w:fill="auto"/>
            <w:vAlign w:val="center"/>
          </w:tcPr>
          <w:p w14:paraId="09E1FC9B">
            <w:pPr>
              <w:pStyle w:val="182"/>
              <w:keepNext w:val="0"/>
              <w:keepLines w:val="0"/>
              <w:widowControl/>
              <w:suppressLineNumbers w:val="0"/>
              <w:jc w:val="center"/>
              <w:textAlignment w:val="center"/>
              <w:rPr>
                <w:rFonts w:hint="eastAsia"/>
                <w:b/>
                <w:bCs/>
                <w:color w:val="auto"/>
                <w:u w:val="none"/>
              </w:rPr>
            </w:pPr>
            <w:r>
              <w:rPr>
                <w:rFonts w:hint="eastAsia"/>
                <w:b/>
                <w:bCs/>
                <w:color w:val="auto"/>
                <w:u w:val="none"/>
                <w:lang w:val="en-US" w:eastAsia="zh-CN"/>
              </w:rPr>
              <w:t>点位</w:t>
            </w:r>
          </w:p>
        </w:tc>
        <w:tc>
          <w:tcPr>
            <w:tcW w:w="1025" w:type="pct"/>
            <w:gridSpan w:val="2"/>
            <w:tcBorders>
              <w:tl2br w:val="nil"/>
              <w:tr2bl w:val="nil"/>
            </w:tcBorders>
            <w:shd w:val="clear" w:color="auto" w:fill="auto"/>
            <w:vAlign w:val="center"/>
          </w:tcPr>
          <w:p w14:paraId="5E2B083D">
            <w:pPr>
              <w:pStyle w:val="182"/>
              <w:rPr>
                <w:rFonts w:hint="eastAsia"/>
                <w:b/>
                <w:bCs/>
                <w:color w:val="auto"/>
                <w:u w:val="none"/>
                <w:lang w:val="en-US" w:eastAsia="zh-CN"/>
              </w:rPr>
            </w:pPr>
            <w:r>
              <w:rPr>
                <w:rFonts w:hint="eastAsia"/>
                <w:b/>
                <w:bCs/>
                <w:color w:val="auto"/>
                <w:u w:val="none"/>
                <w:lang w:val="en-US" w:eastAsia="zh-CN"/>
              </w:rPr>
              <w:t>现状背景值</w:t>
            </w:r>
          </w:p>
          <w:p w14:paraId="4C1DE218">
            <w:pPr>
              <w:pStyle w:val="182"/>
              <w:keepNext w:val="0"/>
              <w:keepLines w:val="0"/>
              <w:widowControl/>
              <w:suppressLineNumbers w:val="0"/>
              <w:jc w:val="center"/>
              <w:textAlignment w:val="center"/>
              <w:rPr>
                <w:rFonts w:hint="default"/>
                <w:b/>
                <w:bCs/>
                <w:color w:val="auto"/>
                <w:u w:val="none"/>
              </w:rPr>
            </w:pPr>
            <w:r>
              <w:rPr>
                <w:rFonts w:hint="default"/>
                <w:b/>
                <w:bCs/>
                <w:color w:val="auto"/>
                <w:u w:val="none"/>
                <w:lang w:val="en-US" w:eastAsia="zh-CN"/>
              </w:rPr>
              <w:t>dB(A)</w:t>
            </w:r>
          </w:p>
        </w:tc>
        <w:tc>
          <w:tcPr>
            <w:tcW w:w="634" w:type="pct"/>
            <w:tcBorders>
              <w:tl2br w:val="nil"/>
              <w:tr2bl w:val="nil"/>
            </w:tcBorders>
            <w:shd w:val="clear" w:color="auto" w:fill="auto"/>
            <w:vAlign w:val="center"/>
          </w:tcPr>
          <w:p w14:paraId="4668795D">
            <w:pPr>
              <w:pStyle w:val="182"/>
              <w:rPr>
                <w:rFonts w:hint="eastAsia"/>
                <w:b/>
                <w:bCs/>
                <w:color w:val="auto"/>
                <w:u w:val="none"/>
                <w:lang w:val="en-US" w:eastAsia="zh-CN"/>
              </w:rPr>
            </w:pPr>
            <w:r>
              <w:rPr>
                <w:rFonts w:hint="eastAsia"/>
                <w:b/>
                <w:bCs/>
                <w:color w:val="auto"/>
                <w:u w:val="none"/>
                <w:lang w:val="en-US" w:eastAsia="zh-CN"/>
              </w:rPr>
              <w:t>贡献值</w:t>
            </w:r>
          </w:p>
          <w:p w14:paraId="71C42A2E">
            <w:pPr>
              <w:pStyle w:val="182"/>
              <w:keepNext w:val="0"/>
              <w:keepLines w:val="0"/>
              <w:widowControl/>
              <w:suppressLineNumbers w:val="0"/>
              <w:jc w:val="center"/>
              <w:textAlignment w:val="center"/>
              <w:rPr>
                <w:rFonts w:hint="default"/>
                <w:b/>
                <w:bCs/>
                <w:color w:val="auto"/>
                <w:u w:val="none"/>
              </w:rPr>
            </w:pPr>
            <w:r>
              <w:rPr>
                <w:rFonts w:hint="default"/>
                <w:b/>
                <w:bCs/>
                <w:color w:val="auto"/>
                <w:u w:val="none"/>
                <w:lang w:val="en-US" w:eastAsia="zh-CN"/>
              </w:rPr>
              <w:t>dB(A)</w:t>
            </w:r>
          </w:p>
        </w:tc>
        <w:tc>
          <w:tcPr>
            <w:tcW w:w="923" w:type="pct"/>
            <w:gridSpan w:val="2"/>
            <w:tcBorders>
              <w:tl2br w:val="nil"/>
              <w:tr2bl w:val="nil"/>
            </w:tcBorders>
            <w:shd w:val="clear" w:color="auto" w:fill="auto"/>
            <w:vAlign w:val="center"/>
          </w:tcPr>
          <w:p w14:paraId="1B63A507">
            <w:pPr>
              <w:pStyle w:val="182"/>
              <w:rPr>
                <w:rFonts w:hint="eastAsia"/>
                <w:b/>
                <w:bCs/>
                <w:color w:val="auto"/>
                <w:u w:val="none"/>
                <w:lang w:val="en-US" w:eastAsia="zh-CN"/>
              </w:rPr>
            </w:pPr>
            <w:r>
              <w:rPr>
                <w:rFonts w:hint="eastAsia"/>
                <w:b/>
                <w:bCs/>
                <w:color w:val="auto"/>
                <w:u w:val="none"/>
                <w:lang w:val="en-US" w:eastAsia="zh-CN"/>
              </w:rPr>
              <w:t>预测结果</w:t>
            </w:r>
          </w:p>
          <w:p w14:paraId="7DEF210C">
            <w:pPr>
              <w:pStyle w:val="182"/>
              <w:keepNext w:val="0"/>
              <w:keepLines w:val="0"/>
              <w:widowControl/>
              <w:suppressLineNumbers w:val="0"/>
              <w:jc w:val="center"/>
              <w:textAlignment w:val="center"/>
              <w:rPr>
                <w:rFonts w:hint="default"/>
                <w:b/>
                <w:bCs/>
                <w:color w:val="auto"/>
                <w:u w:val="none"/>
              </w:rPr>
            </w:pPr>
            <w:r>
              <w:rPr>
                <w:rFonts w:hint="default"/>
                <w:b/>
                <w:bCs/>
                <w:color w:val="auto"/>
                <w:u w:val="none"/>
                <w:lang w:val="en-US" w:eastAsia="zh-CN"/>
              </w:rPr>
              <w:t>dB(A)</w:t>
            </w:r>
          </w:p>
        </w:tc>
        <w:tc>
          <w:tcPr>
            <w:tcW w:w="1330" w:type="pct"/>
            <w:tcBorders>
              <w:tl2br w:val="nil"/>
              <w:tr2bl w:val="nil"/>
            </w:tcBorders>
            <w:shd w:val="clear" w:color="auto" w:fill="auto"/>
            <w:vAlign w:val="center"/>
          </w:tcPr>
          <w:p w14:paraId="17F08B82">
            <w:pPr>
              <w:pStyle w:val="182"/>
              <w:keepNext w:val="0"/>
              <w:keepLines w:val="0"/>
              <w:widowControl/>
              <w:suppressLineNumbers w:val="0"/>
              <w:jc w:val="center"/>
              <w:textAlignment w:val="center"/>
              <w:rPr>
                <w:rFonts w:hint="eastAsia"/>
                <w:b/>
                <w:bCs/>
                <w:color w:val="auto"/>
                <w:u w:val="none"/>
              </w:rPr>
            </w:pPr>
            <w:r>
              <w:rPr>
                <w:rFonts w:hint="eastAsia"/>
                <w:b/>
                <w:bCs/>
                <w:color w:val="auto"/>
                <w:u w:val="none"/>
                <w:lang w:val="en-US" w:eastAsia="zh-CN"/>
              </w:rPr>
              <w:t>评价标准</w:t>
            </w:r>
          </w:p>
        </w:tc>
        <w:tc>
          <w:tcPr>
            <w:tcW w:w="513" w:type="pct"/>
            <w:tcBorders>
              <w:tl2br w:val="nil"/>
              <w:tr2bl w:val="nil"/>
            </w:tcBorders>
            <w:shd w:val="clear" w:color="auto" w:fill="auto"/>
            <w:vAlign w:val="center"/>
          </w:tcPr>
          <w:p w14:paraId="29B5EB41">
            <w:pPr>
              <w:pStyle w:val="182"/>
              <w:keepNext w:val="0"/>
              <w:keepLines w:val="0"/>
              <w:widowControl/>
              <w:suppressLineNumbers w:val="0"/>
              <w:jc w:val="center"/>
              <w:textAlignment w:val="center"/>
              <w:rPr>
                <w:rFonts w:hint="eastAsia"/>
                <w:b/>
                <w:bCs/>
                <w:color w:val="auto"/>
                <w:u w:val="none"/>
              </w:rPr>
            </w:pPr>
            <w:r>
              <w:rPr>
                <w:rFonts w:hint="eastAsia"/>
                <w:b/>
                <w:bCs/>
                <w:color w:val="auto"/>
                <w:u w:val="none"/>
                <w:lang w:val="en-US" w:eastAsia="zh-CN"/>
              </w:rPr>
              <w:t>预测达标情况</w:t>
            </w:r>
          </w:p>
        </w:tc>
      </w:tr>
      <w:tr w14:paraId="114992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1" w:hRule="atLeast"/>
          <w:jc w:val="center"/>
        </w:trPr>
        <w:tc>
          <w:tcPr>
            <w:tcW w:w="573" w:type="pct"/>
            <w:vMerge w:val="restart"/>
            <w:tcBorders>
              <w:tl2br w:val="nil"/>
              <w:tr2bl w:val="nil"/>
            </w:tcBorders>
            <w:shd w:val="clear" w:color="auto" w:fill="auto"/>
            <w:vAlign w:val="center"/>
          </w:tcPr>
          <w:p w14:paraId="113EE121">
            <w:pPr>
              <w:pStyle w:val="182"/>
              <w:bidi w:val="0"/>
              <w:rPr>
                <w:rFonts w:hint="eastAsia"/>
                <w:b w:val="0"/>
                <w:bCs w:val="0"/>
                <w:color w:val="auto"/>
                <w:u w:val="none"/>
              </w:rPr>
            </w:pPr>
            <w:r>
              <w:rPr>
                <w:rFonts w:hint="eastAsia"/>
                <w:b w:val="0"/>
                <w:bCs w:val="0"/>
                <w:color w:val="auto"/>
                <w:u w:val="none"/>
                <w:lang w:val="en-US" w:eastAsia="zh-CN"/>
              </w:rPr>
              <w:t>东厂界</w:t>
            </w:r>
          </w:p>
        </w:tc>
        <w:tc>
          <w:tcPr>
            <w:tcW w:w="439" w:type="pct"/>
            <w:tcBorders>
              <w:tl2br w:val="nil"/>
              <w:tr2bl w:val="nil"/>
            </w:tcBorders>
            <w:shd w:val="clear" w:color="auto" w:fill="auto"/>
            <w:vAlign w:val="center"/>
          </w:tcPr>
          <w:p w14:paraId="33C6DDEE">
            <w:pPr>
              <w:pStyle w:val="182"/>
              <w:bidi w:val="0"/>
              <w:rPr>
                <w:rFonts w:hint="eastAsia"/>
                <w:b w:val="0"/>
                <w:bCs w:val="0"/>
                <w:color w:val="auto"/>
                <w:u w:val="none"/>
              </w:rPr>
            </w:pPr>
            <w:r>
              <w:rPr>
                <w:rFonts w:hint="eastAsia"/>
                <w:b w:val="0"/>
                <w:bCs w:val="0"/>
                <w:color w:val="auto"/>
                <w:u w:val="none"/>
                <w:lang w:val="en-US" w:eastAsia="zh-CN"/>
              </w:rPr>
              <w:t>昼</w:t>
            </w:r>
          </w:p>
        </w:tc>
        <w:tc>
          <w:tcPr>
            <w:tcW w:w="586" w:type="pct"/>
            <w:tcBorders>
              <w:tl2br w:val="nil"/>
              <w:tr2bl w:val="nil"/>
            </w:tcBorders>
            <w:shd w:val="clear" w:color="auto" w:fill="auto"/>
            <w:vAlign w:val="center"/>
          </w:tcPr>
          <w:p w14:paraId="5E9BA157">
            <w:pPr>
              <w:pStyle w:val="182"/>
              <w:bidi w:val="0"/>
              <w:rPr>
                <w:rFonts w:hint="default" w:ascii="Times New Roman" w:hAnsi="Times New Roman" w:cs="Times New Roman"/>
                <w:b w:val="0"/>
                <w:bCs w:val="0"/>
                <w:color w:val="auto"/>
                <w:u w:val="none"/>
                <w:lang w:val="en-US" w:eastAsia="zh-CN"/>
              </w:rPr>
            </w:pPr>
            <w:r>
              <w:rPr>
                <w:rFonts w:hint="eastAsia" w:ascii="Times New Roman" w:hAnsi="Times New Roman" w:cs="Times New Roman"/>
                <w:b w:val="0"/>
                <w:bCs w:val="0"/>
                <w:color w:val="auto"/>
                <w:u w:val="none"/>
                <w:lang w:val="en-US" w:eastAsia="zh-CN"/>
              </w:rPr>
              <w:t>53</w:t>
            </w:r>
          </w:p>
        </w:tc>
        <w:tc>
          <w:tcPr>
            <w:tcW w:w="634" w:type="pct"/>
            <w:tcBorders>
              <w:tl2br w:val="nil"/>
              <w:tr2bl w:val="nil"/>
            </w:tcBorders>
            <w:shd w:val="clear" w:color="auto" w:fill="auto"/>
            <w:vAlign w:val="center"/>
          </w:tcPr>
          <w:p w14:paraId="5691DD99">
            <w:pPr>
              <w:pStyle w:val="182"/>
              <w:bidi w:val="0"/>
              <w:rPr>
                <w:rFonts w:hint="default"/>
                <w:b w:val="0"/>
                <w:bCs w:val="0"/>
                <w:color w:val="auto"/>
                <w:u w:val="none"/>
                <w:lang w:val="en-US" w:eastAsia="zh-CN"/>
              </w:rPr>
            </w:pPr>
            <w:r>
              <w:rPr>
                <w:rFonts w:hint="eastAsia"/>
                <w:sz w:val="21"/>
                <w:szCs w:val="21"/>
                <w:u w:val="none"/>
                <w:lang w:val="en-US" w:eastAsia="zh-CN"/>
              </w:rPr>
              <w:t>18.01</w:t>
            </w:r>
          </w:p>
        </w:tc>
        <w:tc>
          <w:tcPr>
            <w:tcW w:w="471" w:type="pct"/>
            <w:tcBorders>
              <w:tl2br w:val="nil"/>
              <w:tr2bl w:val="nil"/>
            </w:tcBorders>
            <w:shd w:val="clear" w:color="auto" w:fill="auto"/>
            <w:vAlign w:val="center"/>
          </w:tcPr>
          <w:p w14:paraId="2375E76A">
            <w:pPr>
              <w:pStyle w:val="182"/>
              <w:bidi w:val="0"/>
              <w:rPr>
                <w:rFonts w:hint="eastAsia"/>
                <w:b w:val="0"/>
                <w:bCs w:val="0"/>
                <w:color w:val="auto"/>
                <w:u w:val="none"/>
              </w:rPr>
            </w:pPr>
            <w:r>
              <w:rPr>
                <w:rFonts w:hint="eastAsia"/>
                <w:b w:val="0"/>
                <w:bCs w:val="0"/>
                <w:color w:val="auto"/>
                <w:u w:val="none"/>
                <w:lang w:val="en-US" w:eastAsia="zh-CN"/>
              </w:rPr>
              <w:t>昼</w:t>
            </w:r>
          </w:p>
        </w:tc>
        <w:tc>
          <w:tcPr>
            <w:tcW w:w="665" w:type="dxa"/>
            <w:tcBorders>
              <w:tl2br w:val="nil"/>
              <w:tr2bl w:val="nil"/>
            </w:tcBorders>
            <w:shd w:val="clear" w:color="auto" w:fill="auto"/>
            <w:vAlign w:val="center"/>
          </w:tcPr>
          <w:p w14:paraId="523F5402">
            <w:pPr>
              <w:pStyle w:val="182"/>
              <w:bidi w:val="0"/>
              <w:rPr>
                <w:rFonts w:hint="default"/>
                <w:sz w:val="21"/>
                <w:szCs w:val="21"/>
                <w:u w:val="none"/>
                <w:lang w:val="en-US" w:eastAsia="zh-CN"/>
              </w:rPr>
            </w:pPr>
            <w:r>
              <w:rPr>
                <w:rFonts w:hint="eastAsia"/>
                <w:sz w:val="21"/>
                <w:szCs w:val="21"/>
                <w:u w:val="none"/>
                <w:lang w:val="en-US" w:eastAsia="zh-CN"/>
              </w:rPr>
              <w:t xml:space="preserve">53.00 </w:t>
            </w:r>
          </w:p>
        </w:tc>
        <w:tc>
          <w:tcPr>
            <w:tcW w:w="1330" w:type="pct"/>
            <w:vMerge w:val="restart"/>
            <w:tcBorders>
              <w:tl2br w:val="nil"/>
              <w:tr2bl w:val="nil"/>
            </w:tcBorders>
            <w:shd w:val="clear" w:color="auto" w:fill="auto"/>
            <w:vAlign w:val="center"/>
          </w:tcPr>
          <w:p w14:paraId="3D0218AF">
            <w:pPr>
              <w:pStyle w:val="182"/>
              <w:bidi w:val="0"/>
              <w:rPr>
                <w:rFonts w:hint="eastAsia"/>
                <w:b w:val="0"/>
                <w:bCs w:val="0"/>
                <w:color w:val="auto"/>
                <w:u w:val="none"/>
              </w:rPr>
            </w:pPr>
            <w:r>
              <w:rPr>
                <w:rFonts w:hint="eastAsia"/>
                <w:b w:val="0"/>
                <w:bCs w:val="0"/>
                <w:color w:val="auto"/>
                <w:u w:val="none"/>
                <w:lang w:val="en-US" w:eastAsia="zh-CN"/>
              </w:rPr>
              <w:t>《工业企业厂界环境噪声排放标准》（</w:t>
            </w:r>
            <w:r>
              <w:rPr>
                <w:rFonts w:hint="default"/>
                <w:b w:val="0"/>
                <w:bCs w:val="0"/>
                <w:color w:val="auto"/>
                <w:u w:val="none"/>
                <w:lang w:val="en-US" w:eastAsia="zh-CN"/>
              </w:rPr>
              <w:t>GB12348-2008</w:t>
            </w:r>
            <w:r>
              <w:rPr>
                <w:rFonts w:hint="eastAsia"/>
                <w:b w:val="0"/>
                <w:bCs w:val="0"/>
                <w:color w:val="auto"/>
                <w:u w:val="none"/>
                <w:lang w:val="en-US" w:eastAsia="zh-CN"/>
              </w:rPr>
              <w:t>）</w:t>
            </w:r>
            <w:r>
              <w:rPr>
                <w:rFonts w:hint="default"/>
                <w:b w:val="0"/>
                <w:bCs w:val="0"/>
                <w:color w:val="auto"/>
                <w:u w:val="none"/>
                <w:lang w:val="en-US" w:eastAsia="zh-CN"/>
              </w:rPr>
              <w:t>3</w:t>
            </w:r>
            <w:r>
              <w:rPr>
                <w:rFonts w:hint="eastAsia"/>
                <w:b w:val="0"/>
                <w:bCs w:val="0"/>
                <w:color w:val="auto"/>
                <w:u w:val="none"/>
                <w:lang w:val="en-US" w:eastAsia="zh-CN"/>
              </w:rPr>
              <w:t>类标准：昼间</w:t>
            </w:r>
            <w:r>
              <w:rPr>
                <w:rFonts w:hint="default"/>
                <w:b w:val="0"/>
                <w:bCs w:val="0"/>
                <w:color w:val="auto"/>
                <w:u w:val="none"/>
                <w:lang w:val="en-US" w:eastAsia="zh-CN"/>
              </w:rPr>
              <w:t>65dB(A)</w:t>
            </w:r>
            <w:r>
              <w:rPr>
                <w:rFonts w:hint="eastAsia"/>
                <w:b w:val="0"/>
                <w:bCs w:val="0"/>
                <w:color w:val="auto"/>
                <w:u w:val="none"/>
                <w:lang w:val="en-US" w:eastAsia="zh-CN"/>
              </w:rPr>
              <w:t>，夜间</w:t>
            </w:r>
            <w:r>
              <w:rPr>
                <w:rFonts w:hint="default"/>
                <w:b w:val="0"/>
                <w:bCs w:val="0"/>
                <w:color w:val="auto"/>
                <w:u w:val="none"/>
                <w:lang w:val="en-US" w:eastAsia="zh-CN"/>
              </w:rPr>
              <w:t>55dB(A)</w:t>
            </w:r>
          </w:p>
        </w:tc>
        <w:tc>
          <w:tcPr>
            <w:tcW w:w="513" w:type="pct"/>
            <w:vMerge w:val="restart"/>
            <w:tcBorders>
              <w:tl2br w:val="nil"/>
              <w:tr2bl w:val="nil"/>
            </w:tcBorders>
            <w:shd w:val="clear" w:color="auto" w:fill="auto"/>
            <w:vAlign w:val="center"/>
          </w:tcPr>
          <w:p w14:paraId="6E1AB1CC">
            <w:pPr>
              <w:pStyle w:val="182"/>
              <w:bidi w:val="0"/>
              <w:rPr>
                <w:rFonts w:hint="eastAsia"/>
                <w:b w:val="0"/>
                <w:bCs w:val="0"/>
                <w:color w:val="auto"/>
                <w:u w:val="none"/>
              </w:rPr>
            </w:pPr>
            <w:r>
              <w:rPr>
                <w:rFonts w:hint="eastAsia"/>
                <w:b w:val="0"/>
                <w:bCs w:val="0"/>
                <w:color w:val="auto"/>
                <w:u w:val="none"/>
                <w:lang w:val="en-US" w:eastAsia="zh-CN"/>
              </w:rPr>
              <w:t>达标</w:t>
            </w:r>
          </w:p>
        </w:tc>
      </w:tr>
      <w:tr w14:paraId="409C76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1" w:hRule="atLeast"/>
          <w:jc w:val="center"/>
        </w:trPr>
        <w:tc>
          <w:tcPr>
            <w:tcW w:w="573" w:type="pct"/>
            <w:vMerge w:val="continue"/>
            <w:tcBorders>
              <w:tl2br w:val="nil"/>
              <w:tr2bl w:val="nil"/>
            </w:tcBorders>
            <w:shd w:val="clear" w:color="auto" w:fill="auto"/>
            <w:vAlign w:val="center"/>
          </w:tcPr>
          <w:p w14:paraId="6539CD51">
            <w:pPr>
              <w:pStyle w:val="182"/>
              <w:bidi w:val="0"/>
              <w:rPr>
                <w:rFonts w:hint="eastAsia"/>
                <w:b w:val="0"/>
                <w:bCs w:val="0"/>
                <w:color w:val="auto"/>
                <w:u w:val="none"/>
              </w:rPr>
            </w:pPr>
          </w:p>
        </w:tc>
        <w:tc>
          <w:tcPr>
            <w:tcW w:w="439" w:type="pct"/>
            <w:tcBorders>
              <w:tl2br w:val="nil"/>
              <w:tr2bl w:val="nil"/>
            </w:tcBorders>
            <w:shd w:val="clear" w:color="auto" w:fill="auto"/>
            <w:vAlign w:val="center"/>
          </w:tcPr>
          <w:p w14:paraId="58B451BE">
            <w:pPr>
              <w:pStyle w:val="182"/>
              <w:bidi w:val="0"/>
              <w:rPr>
                <w:rFonts w:hint="eastAsia"/>
                <w:b w:val="0"/>
                <w:bCs w:val="0"/>
                <w:color w:val="auto"/>
                <w:u w:val="none"/>
              </w:rPr>
            </w:pPr>
            <w:r>
              <w:rPr>
                <w:rFonts w:hint="eastAsia"/>
                <w:b w:val="0"/>
                <w:bCs w:val="0"/>
                <w:color w:val="auto"/>
                <w:u w:val="none"/>
                <w:lang w:val="en-US" w:eastAsia="zh-CN"/>
              </w:rPr>
              <w:t>夜</w:t>
            </w:r>
          </w:p>
        </w:tc>
        <w:tc>
          <w:tcPr>
            <w:tcW w:w="586" w:type="pct"/>
            <w:tcBorders>
              <w:tl2br w:val="nil"/>
              <w:tr2bl w:val="nil"/>
            </w:tcBorders>
            <w:shd w:val="clear" w:color="auto" w:fill="auto"/>
            <w:vAlign w:val="center"/>
          </w:tcPr>
          <w:p w14:paraId="07AFDD62">
            <w:pPr>
              <w:pStyle w:val="182"/>
              <w:bidi w:val="0"/>
              <w:rPr>
                <w:rFonts w:hint="default" w:ascii="Times New Roman" w:hAnsi="Times New Roman" w:cs="Times New Roman"/>
                <w:b w:val="0"/>
                <w:bCs w:val="0"/>
                <w:color w:val="auto"/>
                <w:u w:val="none"/>
                <w:lang w:val="en-US" w:eastAsia="zh-CN"/>
              </w:rPr>
            </w:pPr>
            <w:r>
              <w:rPr>
                <w:rFonts w:hint="eastAsia" w:ascii="Times New Roman" w:hAnsi="Times New Roman" w:cs="Times New Roman"/>
                <w:b w:val="0"/>
                <w:bCs w:val="0"/>
                <w:color w:val="auto"/>
                <w:u w:val="none"/>
                <w:lang w:val="en-US" w:eastAsia="zh-CN"/>
              </w:rPr>
              <w:t>45</w:t>
            </w:r>
          </w:p>
        </w:tc>
        <w:tc>
          <w:tcPr>
            <w:tcW w:w="634" w:type="pct"/>
            <w:tcBorders>
              <w:tl2br w:val="nil"/>
              <w:tr2bl w:val="nil"/>
            </w:tcBorders>
            <w:shd w:val="clear" w:color="auto" w:fill="auto"/>
            <w:vAlign w:val="center"/>
          </w:tcPr>
          <w:p w14:paraId="75168966">
            <w:pPr>
              <w:pStyle w:val="182"/>
              <w:bidi w:val="0"/>
              <w:rPr>
                <w:rFonts w:hint="default"/>
                <w:b w:val="0"/>
                <w:bCs w:val="0"/>
                <w:color w:val="auto"/>
                <w:u w:val="none"/>
                <w:lang w:val="en-US" w:eastAsia="zh-CN"/>
              </w:rPr>
            </w:pPr>
            <w:r>
              <w:rPr>
                <w:rFonts w:hint="eastAsia"/>
                <w:sz w:val="21"/>
                <w:szCs w:val="21"/>
                <w:u w:val="none"/>
                <w:lang w:val="en-US" w:eastAsia="zh-CN"/>
              </w:rPr>
              <w:t>18.01</w:t>
            </w:r>
          </w:p>
        </w:tc>
        <w:tc>
          <w:tcPr>
            <w:tcW w:w="471" w:type="pct"/>
            <w:tcBorders>
              <w:tl2br w:val="nil"/>
              <w:tr2bl w:val="nil"/>
            </w:tcBorders>
            <w:shd w:val="clear" w:color="auto" w:fill="auto"/>
            <w:vAlign w:val="center"/>
          </w:tcPr>
          <w:p w14:paraId="125266CD">
            <w:pPr>
              <w:pStyle w:val="182"/>
              <w:bidi w:val="0"/>
              <w:rPr>
                <w:rFonts w:hint="eastAsia"/>
                <w:b w:val="0"/>
                <w:bCs w:val="0"/>
                <w:color w:val="auto"/>
                <w:u w:val="none"/>
              </w:rPr>
            </w:pPr>
            <w:r>
              <w:rPr>
                <w:rFonts w:hint="eastAsia"/>
                <w:b w:val="0"/>
                <w:bCs w:val="0"/>
                <w:color w:val="auto"/>
                <w:u w:val="none"/>
                <w:lang w:val="en-US" w:eastAsia="zh-CN"/>
              </w:rPr>
              <w:t>夜</w:t>
            </w:r>
          </w:p>
        </w:tc>
        <w:tc>
          <w:tcPr>
            <w:tcW w:w="665" w:type="dxa"/>
            <w:tcBorders>
              <w:tl2br w:val="nil"/>
              <w:tr2bl w:val="nil"/>
            </w:tcBorders>
            <w:shd w:val="clear" w:color="auto" w:fill="auto"/>
            <w:vAlign w:val="center"/>
          </w:tcPr>
          <w:p w14:paraId="5B065013">
            <w:pPr>
              <w:pStyle w:val="182"/>
              <w:bidi w:val="0"/>
              <w:rPr>
                <w:rFonts w:hint="default"/>
                <w:sz w:val="21"/>
                <w:szCs w:val="21"/>
                <w:u w:val="none"/>
                <w:lang w:val="en-US" w:eastAsia="zh-CN"/>
              </w:rPr>
            </w:pPr>
            <w:r>
              <w:rPr>
                <w:rFonts w:hint="eastAsia"/>
                <w:sz w:val="21"/>
                <w:szCs w:val="21"/>
                <w:u w:val="none"/>
                <w:lang w:val="en-US" w:eastAsia="zh-CN"/>
              </w:rPr>
              <w:t xml:space="preserve">45.01 </w:t>
            </w:r>
          </w:p>
        </w:tc>
        <w:tc>
          <w:tcPr>
            <w:tcW w:w="1330" w:type="pct"/>
            <w:vMerge w:val="continue"/>
            <w:tcBorders>
              <w:tl2br w:val="nil"/>
              <w:tr2bl w:val="nil"/>
            </w:tcBorders>
            <w:shd w:val="clear" w:color="auto" w:fill="auto"/>
            <w:vAlign w:val="center"/>
          </w:tcPr>
          <w:p w14:paraId="34CD1472">
            <w:pPr>
              <w:pStyle w:val="182"/>
              <w:bidi w:val="0"/>
              <w:rPr>
                <w:rFonts w:hint="eastAsia"/>
                <w:b w:val="0"/>
                <w:bCs w:val="0"/>
                <w:color w:val="auto"/>
                <w:u w:val="none"/>
              </w:rPr>
            </w:pPr>
          </w:p>
        </w:tc>
        <w:tc>
          <w:tcPr>
            <w:tcW w:w="513" w:type="pct"/>
            <w:vMerge w:val="continue"/>
            <w:tcBorders>
              <w:tl2br w:val="nil"/>
              <w:tr2bl w:val="nil"/>
            </w:tcBorders>
            <w:shd w:val="clear" w:color="auto" w:fill="auto"/>
            <w:vAlign w:val="center"/>
          </w:tcPr>
          <w:p w14:paraId="63F49E8F">
            <w:pPr>
              <w:pStyle w:val="182"/>
              <w:bidi w:val="0"/>
              <w:rPr>
                <w:rFonts w:hint="eastAsia"/>
                <w:b w:val="0"/>
                <w:bCs w:val="0"/>
                <w:color w:val="auto"/>
                <w:u w:val="none"/>
              </w:rPr>
            </w:pPr>
          </w:p>
        </w:tc>
      </w:tr>
      <w:tr w14:paraId="4A40F2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1" w:hRule="atLeast"/>
          <w:jc w:val="center"/>
        </w:trPr>
        <w:tc>
          <w:tcPr>
            <w:tcW w:w="573" w:type="pct"/>
            <w:vMerge w:val="restart"/>
            <w:tcBorders>
              <w:tl2br w:val="nil"/>
              <w:tr2bl w:val="nil"/>
            </w:tcBorders>
            <w:shd w:val="clear" w:color="auto" w:fill="auto"/>
            <w:vAlign w:val="center"/>
          </w:tcPr>
          <w:p w14:paraId="7D769D6A">
            <w:pPr>
              <w:pStyle w:val="182"/>
              <w:bidi w:val="0"/>
              <w:rPr>
                <w:rFonts w:hint="eastAsia"/>
                <w:b w:val="0"/>
                <w:bCs w:val="0"/>
                <w:color w:val="auto"/>
                <w:u w:val="none"/>
              </w:rPr>
            </w:pPr>
            <w:r>
              <w:rPr>
                <w:rFonts w:hint="eastAsia"/>
                <w:b w:val="0"/>
                <w:bCs w:val="0"/>
                <w:color w:val="auto"/>
                <w:u w:val="none"/>
                <w:lang w:val="en-US" w:eastAsia="zh-CN"/>
              </w:rPr>
              <w:t>西厂界</w:t>
            </w:r>
          </w:p>
        </w:tc>
        <w:tc>
          <w:tcPr>
            <w:tcW w:w="439" w:type="pct"/>
            <w:tcBorders>
              <w:tl2br w:val="nil"/>
              <w:tr2bl w:val="nil"/>
            </w:tcBorders>
            <w:shd w:val="clear" w:color="auto" w:fill="auto"/>
            <w:vAlign w:val="center"/>
          </w:tcPr>
          <w:p w14:paraId="0D71C4C9">
            <w:pPr>
              <w:pStyle w:val="182"/>
              <w:bidi w:val="0"/>
              <w:rPr>
                <w:rFonts w:hint="eastAsia"/>
                <w:b w:val="0"/>
                <w:bCs w:val="0"/>
                <w:color w:val="auto"/>
                <w:u w:val="none"/>
              </w:rPr>
            </w:pPr>
            <w:r>
              <w:rPr>
                <w:rFonts w:hint="eastAsia"/>
                <w:b w:val="0"/>
                <w:bCs w:val="0"/>
                <w:color w:val="auto"/>
                <w:u w:val="none"/>
                <w:lang w:val="en-US" w:eastAsia="zh-CN"/>
              </w:rPr>
              <w:t>昼</w:t>
            </w:r>
          </w:p>
        </w:tc>
        <w:tc>
          <w:tcPr>
            <w:tcW w:w="586" w:type="pct"/>
            <w:tcBorders>
              <w:tl2br w:val="nil"/>
              <w:tr2bl w:val="nil"/>
            </w:tcBorders>
            <w:shd w:val="clear" w:color="auto" w:fill="auto"/>
            <w:vAlign w:val="center"/>
          </w:tcPr>
          <w:p w14:paraId="36ED6769">
            <w:pPr>
              <w:pStyle w:val="182"/>
              <w:bidi w:val="0"/>
              <w:rPr>
                <w:rFonts w:hint="default" w:ascii="Times New Roman" w:hAnsi="Times New Roman" w:cs="Times New Roman"/>
                <w:b w:val="0"/>
                <w:bCs w:val="0"/>
                <w:color w:val="auto"/>
                <w:u w:val="none"/>
                <w:lang w:val="en-US" w:eastAsia="zh-CN"/>
              </w:rPr>
            </w:pPr>
            <w:r>
              <w:rPr>
                <w:rFonts w:hint="eastAsia" w:ascii="Times New Roman" w:hAnsi="Times New Roman" w:cs="Times New Roman"/>
                <w:b w:val="0"/>
                <w:bCs w:val="0"/>
                <w:color w:val="auto"/>
                <w:u w:val="none"/>
                <w:lang w:val="en-US" w:eastAsia="zh-CN"/>
              </w:rPr>
              <w:t>51</w:t>
            </w:r>
          </w:p>
        </w:tc>
        <w:tc>
          <w:tcPr>
            <w:tcW w:w="634" w:type="pct"/>
            <w:tcBorders>
              <w:tl2br w:val="nil"/>
              <w:tr2bl w:val="nil"/>
            </w:tcBorders>
            <w:shd w:val="clear" w:color="auto" w:fill="auto"/>
            <w:vAlign w:val="center"/>
          </w:tcPr>
          <w:p w14:paraId="2BE630CB">
            <w:pPr>
              <w:pStyle w:val="182"/>
              <w:bidi w:val="0"/>
              <w:rPr>
                <w:rFonts w:hint="default"/>
                <w:b w:val="0"/>
                <w:bCs w:val="0"/>
                <w:color w:val="auto"/>
                <w:u w:val="none"/>
                <w:lang w:val="en-US" w:eastAsia="zh-CN"/>
              </w:rPr>
            </w:pPr>
            <w:r>
              <w:rPr>
                <w:rFonts w:hint="eastAsia"/>
                <w:sz w:val="21"/>
                <w:szCs w:val="21"/>
                <w:u w:val="none"/>
                <w:lang w:val="en-US" w:eastAsia="zh-CN"/>
              </w:rPr>
              <w:t>31.72</w:t>
            </w:r>
          </w:p>
        </w:tc>
        <w:tc>
          <w:tcPr>
            <w:tcW w:w="471" w:type="pct"/>
            <w:tcBorders>
              <w:tl2br w:val="nil"/>
              <w:tr2bl w:val="nil"/>
            </w:tcBorders>
            <w:shd w:val="clear" w:color="auto" w:fill="auto"/>
            <w:vAlign w:val="center"/>
          </w:tcPr>
          <w:p w14:paraId="2C0DA933">
            <w:pPr>
              <w:pStyle w:val="182"/>
              <w:bidi w:val="0"/>
              <w:rPr>
                <w:rFonts w:hint="eastAsia"/>
                <w:b w:val="0"/>
                <w:bCs w:val="0"/>
                <w:color w:val="auto"/>
                <w:u w:val="none"/>
              </w:rPr>
            </w:pPr>
            <w:r>
              <w:rPr>
                <w:rFonts w:hint="eastAsia"/>
                <w:b w:val="0"/>
                <w:bCs w:val="0"/>
                <w:color w:val="auto"/>
                <w:u w:val="none"/>
                <w:lang w:val="en-US" w:eastAsia="zh-CN"/>
              </w:rPr>
              <w:t>昼</w:t>
            </w:r>
          </w:p>
        </w:tc>
        <w:tc>
          <w:tcPr>
            <w:tcW w:w="665" w:type="dxa"/>
            <w:tcBorders>
              <w:tl2br w:val="nil"/>
              <w:tr2bl w:val="nil"/>
            </w:tcBorders>
            <w:shd w:val="clear" w:color="auto" w:fill="auto"/>
            <w:vAlign w:val="center"/>
          </w:tcPr>
          <w:p w14:paraId="7CF94CEA">
            <w:pPr>
              <w:pStyle w:val="182"/>
              <w:bidi w:val="0"/>
              <w:rPr>
                <w:rFonts w:hint="default"/>
                <w:sz w:val="21"/>
                <w:szCs w:val="21"/>
                <w:u w:val="none"/>
                <w:lang w:val="en-US" w:eastAsia="zh-CN"/>
              </w:rPr>
            </w:pPr>
            <w:r>
              <w:rPr>
                <w:rFonts w:hint="eastAsia"/>
                <w:sz w:val="21"/>
                <w:szCs w:val="21"/>
                <w:u w:val="none"/>
                <w:lang w:val="en-US" w:eastAsia="zh-CN"/>
              </w:rPr>
              <w:t xml:space="preserve">51.05 </w:t>
            </w:r>
          </w:p>
        </w:tc>
        <w:tc>
          <w:tcPr>
            <w:tcW w:w="1330" w:type="pct"/>
            <w:vMerge w:val="continue"/>
            <w:tcBorders>
              <w:tl2br w:val="nil"/>
              <w:tr2bl w:val="nil"/>
            </w:tcBorders>
            <w:shd w:val="clear" w:color="auto" w:fill="auto"/>
            <w:vAlign w:val="center"/>
          </w:tcPr>
          <w:p w14:paraId="1988DAB4">
            <w:pPr>
              <w:pStyle w:val="182"/>
              <w:bidi w:val="0"/>
              <w:rPr>
                <w:rFonts w:hint="eastAsia"/>
                <w:b w:val="0"/>
                <w:bCs w:val="0"/>
                <w:color w:val="auto"/>
                <w:u w:val="none"/>
              </w:rPr>
            </w:pPr>
          </w:p>
        </w:tc>
        <w:tc>
          <w:tcPr>
            <w:tcW w:w="513" w:type="pct"/>
            <w:vMerge w:val="restart"/>
            <w:tcBorders>
              <w:tl2br w:val="nil"/>
              <w:tr2bl w:val="nil"/>
            </w:tcBorders>
            <w:shd w:val="clear" w:color="auto" w:fill="auto"/>
            <w:vAlign w:val="center"/>
          </w:tcPr>
          <w:p w14:paraId="117FD857">
            <w:pPr>
              <w:pStyle w:val="182"/>
              <w:bidi w:val="0"/>
              <w:rPr>
                <w:rFonts w:hint="eastAsia"/>
                <w:b w:val="0"/>
                <w:bCs w:val="0"/>
                <w:color w:val="auto"/>
                <w:u w:val="none"/>
              </w:rPr>
            </w:pPr>
            <w:r>
              <w:rPr>
                <w:rFonts w:hint="eastAsia"/>
                <w:b w:val="0"/>
                <w:bCs w:val="0"/>
                <w:color w:val="auto"/>
                <w:u w:val="none"/>
                <w:lang w:val="en-US" w:eastAsia="zh-CN"/>
              </w:rPr>
              <w:t>达标</w:t>
            </w:r>
          </w:p>
        </w:tc>
      </w:tr>
      <w:tr w14:paraId="0BF135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1" w:hRule="atLeast"/>
          <w:jc w:val="center"/>
        </w:trPr>
        <w:tc>
          <w:tcPr>
            <w:tcW w:w="573" w:type="pct"/>
            <w:vMerge w:val="continue"/>
            <w:tcBorders>
              <w:tl2br w:val="nil"/>
              <w:tr2bl w:val="nil"/>
            </w:tcBorders>
            <w:shd w:val="clear" w:color="auto" w:fill="auto"/>
            <w:vAlign w:val="center"/>
          </w:tcPr>
          <w:p w14:paraId="262C638F">
            <w:pPr>
              <w:pStyle w:val="182"/>
              <w:bidi w:val="0"/>
              <w:rPr>
                <w:rFonts w:hint="eastAsia"/>
                <w:b w:val="0"/>
                <w:bCs w:val="0"/>
                <w:color w:val="auto"/>
                <w:u w:val="none"/>
              </w:rPr>
            </w:pPr>
          </w:p>
        </w:tc>
        <w:tc>
          <w:tcPr>
            <w:tcW w:w="439" w:type="pct"/>
            <w:tcBorders>
              <w:tl2br w:val="nil"/>
              <w:tr2bl w:val="nil"/>
            </w:tcBorders>
            <w:shd w:val="clear" w:color="auto" w:fill="auto"/>
            <w:vAlign w:val="center"/>
          </w:tcPr>
          <w:p w14:paraId="59952ADD">
            <w:pPr>
              <w:pStyle w:val="182"/>
              <w:bidi w:val="0"/>
              <w:rPr>
                <w:rFonts w:hint="eastAsia"/>
                <w:b w:val="0"/>
                <w:bCs w:val="0"/>
                <w:color w:val="auto"/>
                <w:u w:val="none"/>
              </w:rPr>
            </w:pPr>
            <w:r>
              <w:rPr>
                <w:rFonts w:hint="eastAsia"/>
                <w:b w:val="0"/>
                <w:bCs w:val="0"/>
                <w:color w:val="auto"/>
                <w:u w:val="none"/>
                <w:lang w:val="en-US" w:eastAsia="zh-CN"/>
              </w:rPr>
              <w:t>夜</w:t>
            </w:r>
          </w:p>
        </w:tc>
        <w:tc>
          <w:tcPr>
            <w:tcW w:w="586" w:type="pct"/>
            <w:tcBorders>
              <w:tl2br w:val="nil"/>
              <w:tr2bl w:val="nil"/>
            </w:tcBorders>
            <w:shd w:val="clear" w:color="auto" w:fill="auto"/>
            <w:vAlign w:val="center"/>
          </w:tcPr>
          <w:p w14:paraId="7A81C6EC">
            <w:pPr>
              <w:pStyle w:val="182"/>
              <w:bidi w:val="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4</w:t>
            </w:r>
            <w:r>
              <w:rPr>
                <w:rFonts w:hint="eastAsia" w:ascii="Times New Roman" w:hAnsi="Times New Roman" w:cs="Times New Roman"/>
                <w:b w:val="0"/>
                <w:bCs w:val="0"/>
                <w:color w:val="auto"/>
                <w:u w:val="none"/>
                <w:lang w:val="en-US" w:eastAsia="zh-CN"/>
              </w:rPr>
              <w:t>3</w:t>
            </w:r>
          </w:p>
        </w:tc>
        <w:tc>
          <w:tcPr>
            <w:tcW w:w="634" w:type="pct"/>
            <w:tcBorders>
              <w:tl2br w:val="nil"/>
              <w:tr2bl w:val="nil"/>
            </w:tcBorders>
            <w:shd w:val="clear" w:color="auto" w:fill="auto"/>
            <w:vAlign w:val="center"/>
          </w:tcPr>
          <w:p w14:paraId="03E33CFC">
            <w:pPr>
              <w:pStyle w:val="182"/>
              <w:bidi w:val="0"/>
              <w:rPr>
                <w:rFonts w:hint="default"/>
                <w:b w:val="0"/>
                <w:bCs w:val="0"/>
                <w:color w:val="auto"/>
                <w:u w:val="none"/>
                <w:lang w:val="en-US" w:eastAsia="zh-CN"/>
              </w:rPr>
            </w:pPr>
            <w:r>
              <w:rPr>
                <w:rFonts w:hint="eastAsia"/>
                <w:sz w:val="21"/>
                <w:szCs w:val="21"/>
                <w:u w:val="none"/>
                <w:lang w:val="en-US" w:eastAsia="zh-CN"/>
              </w:rPr>
              <w:t>31.72</w:t>
            </w:r>
          </w:p>
        </w:tc>
        <w:tc>
          <w:tcPr>
            <w:tcW w:w="471" w:type="pct"/>
            <w:tcBorders>
              <w:tl2br w:val="nil"/>
              <w:tr2bl w:val="nil"/>
            </w:tcBorders>
            <w:shd w:val="clear" w:color="auto" w:fill="auto"/>
            <w:vAlign w:val="center"/>
          </w:tcPr>
          <w:p w14:paraId="118DE9C8">
            <w:pPr>
              <w:pStyle w:val="182"/>
              <w:bidi w:val="0"/>
              <w:rPr>
                <w:rFonts w:hint="eastAsia"/>
                <w:b w:val="0"/>
                <w:bCs w:val="0"/>
                <w:color w:val="auto"/>
                <w:u w:val="none"/>
              </w:rPr>
            </w:pPr>
            <w:r>
              <w:rPr>
                <w:rFonts w:hint="eastAsia"/>
                <w:b w:val="0"/>
                <w:bCs w:val="0"/>
                <w:color w:val="auto"/>
                <w:u w:val="none"/>
                <w:lang w:val="en-US" w:eastAsia="zh-CN"/>
              </w:rPr>
              <w:t>夜</w:t>
            </w:r>
          </w:p>
        </w:tc>
        <w:tc>
          <w:tcPr>
            <w:tcW w:w="665" w:type="dxa"/>
            <w:tcBorders>
              <w:tl2br w:val="nil"/>
              <w:tr2bl w:val="nil"/>
            </w:tcBorders>
            <w:shd w:val="clear" w:color="auto" w:fill="auto"/>
            <w:vAlign w:val="center"/>
          </w:tcPr>
          <w:p w14:paraId="7B963875">
            <w:pPr>
              <w:pStyle w:val="182"/>
              <w:bidi w:val="0"/>
              <w:rPr>
                <w:rFonts w:hint="default"/>
                <w:sz w:val="21"/>
                <w:szCs w:val="21"/>
                <w:u w:val="none"/>
                <w:lang w:val="en-US" w:eastAsia="zh-CN"/>
              </w:rPr>
            </w:pPr>
            <w:r>
              <w:rPr>
                <w:rFonts w:hint="eastAsia"/>
                <w:sz w:val="21"/>
                <w:szCs w:val="21"/>
                <w:u w:val="none"/>
                <w:lang w:val="en-US" w:eastAsia="zh-CN"/>
              </w:rPr>
              <w:t xml:space="preserve">43.31 </w:t>
            </w:r>
          </w:p>
        </w:tc>
        <w:tc>
          <w:tcPr>
            <w:tcW w:w="1330" w:type="pct"/>
            <w:vMerge w:val="continue"/>
            <w:tcBorders>
              <w:tl2br w:val="nil"/>
              <w:tr2bl w:val="nil"/>
            </w:tcBorders>
            <w:shd w:val="clear" w:color="auto" w:fill="auto"/>
            <w:vAlign w:val="center"/>
          </w:tcPr>
          <w:p w14:paraId="51DA7ED1">
            <w:pPr>
              <w:pStyle w:val="182"/>
              <w:bidi w:val="0"/>
              <w:rPr>
                <w:rFonts w:hint="eastAsia"/>
                <w:b w:val="0"/>
                <w:bCs w:val="0"/>
                <w:color w:val="auto"/>
                <w:u w:val="none"/>
              </w:rPr>
            </w:pPr>
          </w:p>
        </w:tc>
        <w:tc>
          <w:tcPr>
            <w:tcW w:w="513" w:type="pct"/>
            <w:vMerge w:val="continue"/>
            <w:tcBorders>
              <w:tl2br w:val="nil"/>
              <w:tr2bl w:val="nil"/>
            </w:tcBorders>
            <w:shd w:val="clear" w:color="auto" w:fill="auto"/>
            <w:vAlign w:val="center"/>
          </w:tcPr>
          <w:p w14:paraId="4226499C">
            <w:pPr>
              <w:pStyle w:val="182"/>
              <w:bidi w:val="0"/>
              <w:rPr>
                <w:rFonts w:hint="eastAsia"/>
                <w:b w:val="0"/>
                <w:bCs w:val="0"/>
                <w:color w:val="auto"/>
                <w:u w:val="none"/>
              </w:rPr>
            </w:pPr>
          </w:p>
        </w:tc>
      </w:tr>
      <w:tr w14:paraId="24229A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573" w:type="pct"/>
            <w:vMerge w:val="restart"/>
            <w:tcBorders>
              <w:tl2br w:val="nil"/>
              <w:tr2bl w:val="nil"/>
            </w:tcBorders>
            <w:shd w:val="clear" w:color="auto" w:fill="auto"/>
            <w:vAlign w:val="center"/>
          </w:tcPr>
          <w:p w14:paraId="74BEC0D3">
            <w:pPr>
              <w:pStyle w:val="182"/>
              <w:bidi w:val="0"/>
              <w:rPr>
                <w:rFonts w:hint="eastAsia"/>
                <w:b w:val="0"/>
                <w:bCs w:val="0"/>
                <w:color w:val="auto"/>
                <w:u w:val="none"/>
              </w:rPr>
            </w:pPr>
            <w:r>
              <w:rPr>
                <w:rFonts w:hint="eastAsia"/>
                <w:b w:val="0"/>
                <w:bCs w:val="0"/>
                <w:color w:val="auto"/>
                <w:u w:val="none"/>
                <w:lang w:val="en-US" w:eastAsia="zh-CN"/>
              </w:rPr>
              <w:t>南厂界</w:t>
            </w:r>
          </w:p>
        </w:tc>
        <w:tc>
          <w:tcPr>
            <w:tcW w:w="439" w:type="pct"/>
            <w:tcBorders>
              <w:tl2br w:val="nil"/>
              <w:tr2bl w:val="nil"/>
            </w:tcBorders>
            <w:shd w:val="clear" w:color="auto" w:fill="auto"/>
            <w:vAlign w:val="center"/>
          </w:tcPr>
          <w:p w14:paraId="79B20442">
            <w:pPr>
              <w:pStyle w:val="182"/>
              <w:bidi w:val="0"/>
              <w:rPr>
                <w:rFonts w:hint="eastAsia"/>
                <w:b w:val="0"/>
                <w:bCs w:val="0"/>
                <w:color w:val="auto"/>
                <w:u w:val="none"/>
              </w:rPr>
            </w:pPr>
            <w:r>
              <w:rPr>
                <w:rFonts w:hint="eastAsia"/>
                <w:b w:val="0"/>
                <w:bCs w:val="0"/>
                <w:color w:val="auto"/>
                <w:u w:val="none"/>
                <w:lang w:val="en-US" w:eastAsia="zh-CN"/>
              </w:rPr>
              <w:t>昼</w:t>
            </w:r>
          </w:p>
        </w:tc>
        <w:tc>
          <w:tcPr>
            <w:tcW w:w="586" w:type="pct"/>
            <w:tcBorders>
              <w:tl2br w:val="nil"/>
              <w:tr2bl w:val="nil"/>
            </w:tcBorders>
            <w:shd w:val="clear" w:color="auto" w:fill="auto"/>
            <w:vAlign w:val="center"/>
          </w:tcPr>
          <w:p w14:paraId="01CC0FA0">
            <w:pPr>
              <w:pStyle w:val="182"/>
              <w:bidi w:val="0"/>
              <w:rPr>
                <w:rFonts w:hint="default" w:ascii="Times New Roman" w:hAnsi="Times New Roman" w:cs="Times New Roman"/>
                <w:b w:val="0"/>
                <w:bCs w:val="0"/>
                <w:color w:val="auto"/>
                <w:u w:val="none"/>
                <w:lang w:val="en-US" w:eastAsia="zh-CN"/>
              </w:rPr>
            </w:pPr>
            <w:r>
              <w:rPr>
                <w:rFonts w:hint="eastAsia" w:ascii="Times New Roman" w:hAnsi="Times New Roman" w:cs="Times New Roman"/>
                <w:b w:val="0"/>
                <w:bCs w:val="0"/>
                <w:color w:val="auto"/>
                <w:u w:val="none"/>
                <w:lang w:val="en-US" w:eastAsia="zh-CN"/>
              </w:rPr>
              <w:t>52</w:t>
            </w:r>
          </w:p>
        </w:tc>
        <w:tc>
          <w:tcPr>
            <w:tcW w:w="634" w:type="pct"/>
            <w:tcBorders>
              <w:tl2br w:val="nil"/>
              <w:tr2bl w:val="nil"/>
            </w:tcBorders>
            <w:shd w:val="clear" w:color="auto" w:fill="auto"/>
            <w:vAlign w:val="center"/>
          </w:tcPr>
          <w:p w14:paraId="44BEA585">
            <w:pPr>
              <w:pStyle w:val="182"/>
              <w:bidi w:val="0"/>
              <w:rPr>
                <w:rFonts w:hint="default"/>
                <w:b w:val="0"/>
                <w:bCs w:val="0"/>
                <w:color w:val="auto"/>
                <w:u w:val="none"/>
                <w:lang w:val="en-US" w:eastAsia="zh-CN"/>
              </w:rPr>
            </w:pPr>
            <w:r>
              <w:rPr>
                <w:rFonts w:hint="eastAsia"/>
                <w:sz w:val="21"/>
                <w:szCs w:val="21"/>
                <w:u w:val="none"/>
                <w:lang w:val="en-US" w:eastAsia="zh-CN"/>
              </w:rPr>
              <w:t>30.39</w:t>
            </w:r>
          </w:p>
        </w:tc>
        <w:tc>
          <w:tcPr>
            <w:tcW w:w="471" w:type="pct"/>
            <w:tcBorders>
              <w:tl2br w:val="nil"/>
              <w:tr2bl w:val="nil"/>
            </w:tcBorders>
            <w:shd w:val="clear" w:color="auto" w:fill="auto"/>
            <w:vAlign w:val="center"/>
          </w:tcPr>
          <w:p w14:paraId="17988491">
            <w:pPr>
              <w:pStyle w:val="182"/>
              <w:bidi w:val="0"/>
              <w:rPr>
                <w:rFonts w:hint="eastAsia"/>
                <w:b w:val="0"/>
                <w:bCs w:val="0"/>
                <w:color w:val="auto"/>
                <w:u w:val="none"/>
              </w:rPr>
            </w:pPr>
            <w:r>
              <w:rPr>
                <w:rFonts w:hint="eastAsia"/>
                <w:b w:val="0"/>
                <w:bCs w:val="0"/>
                <w:color w:val="auto"/>
                <w:u w:val="none"/>
                <w:lang w:val="en-US" w:eastAsia="zh-CN"/>
              </w:rPr>
              <w:t>昼</w:t>
            </w:r>
          </w:p>
        </w:tc>
        <w:tc>
          <w:tcPr>
            <w:tcW w:w="665" w:type="dxa"/>
            <w:tcBorders>
              <w:tl2br w:val="nil"/>
              <w:tr2bl w:val="nil"/>
            </w:tcBorders>
            <w:shd w:val="clear" w:color="auto" w:fill="auto"/>
            <w:vAlign w:val="center"/>
          </w:tcPr>
          <w:p w14:paraId="40740131">
            <w:pPr>
              <w:pStyle w:val="182"/>
              <w:bidi w:val="0"/>
              <w:rPr>
                <w:rFonts w:hint="default"/>
                <w:sz w:val="21"/>
                <w:szCs w:val="21"/>
                <w:u w:val="none"/>
                <w:lang w:val="en-US" w:eastAsia="zh-CN"/>
              </w:rPr>
            </w:pPr>
            <w:r>
              <w:rPr>
                <w:rFonts w:hint="eastAsia"/>
                <w:sz w:val="21"/>
                <w:szCs w:val="21"/>
                <w:u w:val="none"/>
                <w:lang w:val="en-US" w:eastAsia="zh-CN"/>
              </w:rPr>
              <w:t xml:space="preserve">52.03 </w:t>
            </w:r>
          </w:p>
        </w:tc>
        <w:tc>
          <w:tcPr>
            <w:tcW w:w="1330" w:type="pct"/>
            <w:vMerge w:val="continue"/>
            <w:tcBorders>
              <w:tl2br w:val="nil"/>
              <w:tr2bl w:val="nil"/>
            </w:tcBorders>
            <w:shd w:val="clear" w:color="auto" w:fill="auto"/>
            <w:vAlign w:val="center"/>
          </w:tcPr>
          <w:p w14:paraId="5BD84A04">
            <w:pPr>
              <w:pStyle w:val="182"/>
              <w:bidi w:val="0"/>
              <w:rPr>
                <w:rFonts w:hint="eastAsia"/>
                <w:b w:val="0"/>
                <w:bCs w:val="0"/>
                <w:color w:val="auto"/>
                <w:u w:val="none"/>
              </w:rPr>
            </w:pPr>
          </w:p>
        </w:tc>
        <w:tc>
          <w:tcPr>
            <w:tcW w:w="513" w:type="pct"/>
            <w:vMerge w:val="restart"/>
            <w:tcBorders>
              <w:tl2br w:val="nil"/>
              <w:tr2bl w:val="nil"/>
            </w:tcBorders>
            <w:shd w:val="clear" w:color="auto" w:fill="auto"/>
            <w:vAlign w:val="center"/>
          </w:tcPr>
          <w:p w14:paraId="6F3538CA">
            <w:pPr>
              <w:pStyle w:val="182"/>
              <w:bidi w:val="0"/>
              <w:rPr>
                <w:rFonts w:hint="eastAsia"/>
                <w:b w:val="0"/>
                <w:bCs w:val="0"/>
                <w:color w:val="auto"/>
                <w:u w:val="none"/>
              </w:rPr>
            </w:pPr>
            <w:r>
              <w:rPr>
                <w:rFonts w:hint="eastAsia"/>
                <w:b w:val="0"/>
                <w:bCs w:val="0"/>
                <w:color w:val="auto"/>
                <w:u w:val="none"/>
                <w:lang w:val="en-US" w:eastAsia="zh-CN"/>
              </w:rPr>
              <w:t>达标</w:t>
            </w:r>
          </w:p>
        </w:tc>
      </w:tr>
      <w:tr w14:paraId="4BB065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573" w:type="pct"/>
            <w:vMerge w:val="continue"/>
            <w:tcBorders>
              <w:tl2br w:val="nil"/>
              <w:tr2bl w:val="nil"/>
            </w:tcBorders>
            <w:shd w:val="clear" w:color="auto" w:fill="auto"/>
            <w:vAlign w:val="center"/>
          </w:tcPr>
          <w:p w14:paraId="13A3CE44">
            <w:pPr>
              <w:pStyle w:val="182"/>
              <w:bidi w:val="0"/>
              <w:rPr>
                <w:rFonts w:hint="eastAsia"/>
                <w:b w:val="0"/>
                <w:bCs w:val="0"/>
                <w:color w:val="auto"/>
                <w:u w:val="none"/>
              </w:rPr>
            </w:pPr>
          </w:p>
        </w:tc>
        <w:tc>
          <w:tcPr>
            <w:tcW w:w="439" w:type="pct"/>
            <w:tcBorders>
              <w:tl2br w:val="nil"/>
              <w:tr2bl w:val="nil"/>
            </w:tcBorders>
            <w:shd w:val="clear" w:color="auto" w:fill="auto"/>
            <w:vAlign w:val="center"/>
          </w:tcPr>
          <w:p w14:paraId="7035A129">
            <w:pPr>
              <w:pStyle w:val="182"/>
              <w:bidi w:val="0"/>
              <w:rPr>
                <w:rFonts w:hint="eastAsia"/>
                <w:b w:val="0"/>
                <w:bCs w:val="0"/>
                <w:color w:val="auto"/>
                <w:u w:val="none"/>
              </w:rPr>
            </w:pPr>
            <w:r>
              <w:rPr>
                <w:rFonts w:hint="eastAsia"/>
                <w:b w:val="0"/>
                <w:bCs w:val="0"/>
                <w:color w:val="auto"/>
                <w:u w:val="none"/>
                <w:lang w:val="en-US" w:eastAsia="zh-CN"/>
              </w:rPr>
              <w:t>夜</w:t>
            </w:r>
          </w:p>
        </w:tc>
        <w:tc>
          <w:tcPr>
            <w:tcW w:w="586" w:type="pct"/>
            <w:tcBorders>
              <w:tl2br w:val="nil"/>
              <w:tr2bl w:val="nil"/>
            </w:tcBorders>
            <w:shd w:val="clear" w:color="auto" w:fill="auto"/>
            <w:vAlign w:val="center"/>
          </w:tcPr>
          <w:p w14:paraId="2392995B">
            <w:pPr>
              <w:pStyle w:val="182"/>
              <w:bidi w:val="0"/>
              <w:rPr>
                <w:rFonts w:hint="default" w:ascii="Times New Roman" w:hAnsi="Times New Roman" w:cs="Times New Roman"/>
                <w:b w:val="0"/>
                <w:bCs w:val="0"/>
                <w:color w:val="auto"/>
                <w:u w:val="none"/>
                <w:lang w:val="en-US" w:eastAsia="zh-CN"/>
              </w:rPr>
            </w:pPr>
            <w:r>
              <w:rPr>
                <w:rFonts w:hint="eastAsia" w:ascii="Times New Roman" w:hAnsi="Times New Roman" w:cs="Times New Roman"/>
                <w:b w:val="0"/>
                <w:bCs w:val="0"/>
                <w:color w:val="auto"/>
                <w:u w:val="none"/>
                <w:lang w:val="en-US" w:eastAsia="zh-CN"/>
              </w:rPr>
              <w:t>45</w:t>
            </w:r>
          </w:p>
        </w:tc>
        <w:tc>
          <w:tcPr>
            <w:tcW w:w="634" w:type="pct"/>
            <w:tcBorders>
              <w:tl2br w:val="nil"/>
              <w:tr2bl w:val="nil"/>
            </w:tcBorders>
            <w:shd w:val="clear" w:color="auto" w:fill="auto"/>
            <w:vAlign w:val="center"/>
          </w:tcPr>
          <w:p w14:paraId="12323851">
            <w:pPr>
              <w:pStyle w:val="182"/>
              <w:bidi w:val="0"/>
              <w:rPr>
                <w:rFonts w:hint="default"/>
                <w:b w:val="0"/>
                <w:bCs w:val="0"/>
                <w:color w:val="auto"/>
                <w:u w:val="none"/>
                <w:lang w:val="en-US" w:eastAsia="zh-CN"/>
              </w:rPr>
            </w:pPr>
            <w:r>
              <w:rPr>
                <w:rFonts w:hint="eastAsia"/>
                <w:b w:val="0"/>
                <w:bCs w:val="0"/>
                <w:color w:val="auto"/>
                <w:u w:val="none"/>
                <w:lang w:val="en-US" w:eastAsia="zh-CN"/>
              </w:rPr>
              <w:t>30.39</w:t>
            </w:r>
          </w:p>
        </w:tc>
        <w:tc>
          <w:tcPr>
            <w:tcW w:w="471" w:type="pct"/>
            <w:tcBorders>
              <w:tl2br w:val="nil"/>
              <w:tr2bl w:val="nil"/>
            </w:tcBorders>
            <w:shd w:val="clear" w:color="auto" w:fill="auto"/>
            <w:vAlign w:val="center"/>
          </w:tcPr>
          <w:p w14:paraId="290176AA">
            <w:pPr>
              <w:pStyle w:val="182"/>
              <w:bidi w:val="0"/>
              <w:rPr>
                <w:rFonts w:hint="eastAsia"/>
                <w:b w:val="0"/>
                <w:bCs w:val="0"/>
                <w:color w:val="auto"/>
                <w:u w:val="none"/>
              </w:rPr>
            </w:pPr>
            <w:r>
              <w:rPr>
                <w:rFonts w:hint="eastAsia"/>
                <w:b w:val="0"/>
                <w:bCs w:val="0"/>
                <w:color w:val="auto"/>
                <w:u w:val="none"/>
                <w:lang w:val="en-US" w:eastAsia="zh-CN"/>
              </w:rPr>
              <w:t>夜</w:t>
            </w:r>
          </w:p>
        </w:tc>
        <w:tc>
          <w:tcPr>
            <w:tcW w:w="665" w:type="dxa"/>
            <w:tcBorders>
              <w:tl2br w:val="nil"/>
              <w:tr2bl w:val="nil"/>
            </w:tcBorders>
            <w:shd w:val="clear" w:color="auto" w:fill="auto"/>
            <w:vAlign w:val="center"/>
          </w:tcPr>
          <w:p w14:paraId="4532817F">
            <w:pPr>
              <w:pStyle w:val="182"/>
              <w:bidi w:val="0"/>
              <w:rPr>
                <w:rFonts w:hint="default"/>
                <w:sz w:val="21"/>
                <w:szCs w:val="21"/>
                <w:u w:val="none"/>
                <w:lang w:val="en-US" w:eastAsia="zh-CN"/>
              </w:rPr>
            </w:pPr>
            <w:r>
              <w:rPr>
                <w:rFonts w:hint="eastAsia"/>
                <w:sz w:val="21"/>
                <w:szCs w:val="21"/>
                <w:u w:val="none"/>
                <w:lang w:val="en-US" w:eastAsia="zh-CN"/>
              </w:rPr>
              <w:t xml:space="preserve">45.15 </w:t>
            </w:r>
          </w:p>
        </w:tc>
        <w:tc>
          <w:tcPr>
            <w:tcW w:w="1330" w:type="pct"/>
            <w:vMerge w:val="continue"/>
            <w:tcBorders>
              <w:tl2br w:val="nil"/>
              <w:tr2bl w:val="nil"/>
            </w:tcBorders>
            <w:shd w:val="clear" w:color="auto" w:fill="auto"/>
            <w:vAlign w:val="center"/>
          </w:tcPr>
          <w:p w14:paraId="2DA4B23D">
            <w:pPr>
              <w:pStyle w:val="182"/>
              <w:bidi w:val="0"/>
              <w:rPr>
                <w:rFonts w:hint="eastAsia"/>
                <w:b w:val="0"/>
                <w:bCs w:val="0"/>
                <w:color w:val="auto"/>
                <w:u w:val="none"/>
              </w:rPr>
            </w:pPr>
          </w:p>
        </w:tc>
        <w:tc>
          <w:tcPr>
            <w:tcW w:w="513" w:type="pct"/>
            <w:vMerge w:val="continue"/>
            <w:tcBorders>
              <w:tl2br w:val="nil"/>
              <w:tr2bl w:val="nil"/>
            </w:tcBorders>
            <w:shd w:val="clear" w:color="auto" w:fill="auto"/>
            <w:vAlign w:val="center"/>
          </w:tcPr>
          <w:p w14:paraId="1777D2FD">
            <w:pPr>
              <w:pStyle w:val="182"/>
              <w:bidi w:val="0"/>
              <w:rPr>
                <w:rFonts w:hint="eastAsia"/>
                <w:b w:val="0"/>
                <w:bCs w:val="0"/>
                <w:color w:val="auto"/>
                <w:u w:val="none"/>
              </w:rPr>
            </w:pPr>
          </w:p>
        </w:tc>
      </w:tr>
      <w:tr w14:paraId="55F720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1" w:hRule="atLeast"/>
          <w:jc w:val="center"/>
        </w:trPr>
        <w:tc>
          <w:tcPr>
            <w:tcW w:w="573" w:type="pct"/>
            <w:vMerge w:val="restart"/>
            <w:tcBorders>
              <w:tl2br w:val="nil"/>
              <w:tr2bl w:val="nil"/>
            </w:tcBorders>
            <w:shd w:val="clear" w:color="auto" w:fill="auto"/>
            <w:vAlign w:val="center"/>
          </w:tcPr>
          <w:p w14:paraId="367ACA94">
            <w:pPr>
              <w:pStyle w:val="182"/>
              <w:bidi w:val="0"/>
              <w:rPr>
                <w:rFonts w:hint="eastAsia"/>
                <w:b w:val="0"/>
                <w:bCs w:val="0"/>
                <w:color w:val="auto"/>
                <w:u w:val="none"/>
              </w:rPr>
            </w:pPr>
            <w:r>
              <w:rPr>
                <w:rFonts w:hint="eastAsia"/>
                <w:b w:val="0"/>
                <w:bCs w:val="0"/>
                <w:color w:val="auto"/>
                <w:u w:val="none"/>
                <w:lang w:val="en-US" w:eastAsia="zh-CN"/>
              </w:rPr>
              <w:t>北厂界</w:t>
            </w:r>
          </w:p>
        </w:tc>
        <w:tc>
          <w:tcPr>
            <w:tcW w:w="439" w:type="pct"/>
            <w:tcBorders>
              <w:tl2br w:val="nil"/>
              <w:tr2bl w:val="nil"/>
            </w:tcBorders>
            <w:shd w:val="clear" w:color="auto" w:fill="auto"/>
            <w:vAlign w:val="center"/>
          </w:tcPr>
          <w:p w14:paraId="449A165F">
            <w:pPr>
              <w:pStyle w:val="182"/>
              <w:bidi w:val="0"/>
              <w:rPr>
                <w:rFonts w:hint="eastAsia"/>
                <w:b w:val="0"/>
                <w:bCs w:val="0"/>
                <w:color w:val="auto"/>
                <w:u w:val="none"/>
              </w:rPr>
            </w:pPr>
            <w:r>
              <w:rPr>
                <w:rFonts w:hint="eastAsia"/>
                <w:b w:val="0"/>
                <w:bCs w:val="0"/>
                <w:color w:val="auto"/>
                <w:u w:val="none"/>
                <w:lang w:val="en-US" w:eastAsia="zh-CN"/>
              </w:rPr>
              <w:t>昼</w:t>
            </w:r>
          </w:p>
        </w:tc>
        <w:tc>
          <w:tcPr>
            <w:tcW w:w="586" w:type="pct"/>
            <w:tcBorders>
              <w:tl2br w:val="nil"/>
              <w:tr2bl w:val="nil"/>
            </w:tcBorders>
            <w:shd w:val="clear" w:color="auto" w:fill="auto"/>
            <w:vAlign w:val="center"/>
          </w:tcPr>
          <w:p w14:paraId="3B4C0F7D">
            <w:pPr>
              <w:pStyle w:val="182"/>
              <w:bidi w:val="0"/>
              <w:rPr>
                <w:rFonts w:hint="default" w:ascii="Times New Roman" w:hAnsi="Times New Roman" w:cs="Times New Roman"/>
                <w:b w:val="0"/>
                <w:bCs w:val="0"/>
                <w:color w:val="auto"/>
                <w:u w:val="none"/>
                <w:lang w:val="en-US" w:eastAsia="zh-CN"/>
              </w:rPr>
            </w:pPr>
            <w:r>
              <w:rPr>
                <w:rFonts w:hint="eastAsia" w:ascii="Times New Roman" w:hAnsi="Times New Roman" w:cs="Times New Roman"/>
                <w:b w:val="0"/>
                <w:bCs w:val="0"/>
                <w:color w:val="auto"/>
                <w:u w:val="none"/>
                <w:lang w:val="en-US" w:eastAsia="zh-CN"/>
              </w:rPr>
              <w:t>52</w:t>
            </w:r>
          </w:p>
        </w:tc>
        <w:tc>
          <w:tcPr>
            <w:tcW w:w="634" w:type="pct"/>
            <w:tcBorders>
              <w:tl2br w:val="nil"/>
              <w:tr2bl w:val="nil"/>
            </w:tcBorders>
            <w:shd w:val="clear" w:color="auto" w:fill="auto"/>
            <w:vAlign w:val="center"/>
          </w:tcPr>
          <w:p w14:paraId="4A1D15C8">
            <w:pPr>
              <w:pStyle w:val="182"/>
              <w:bidi w:val="0"/>
              <w:rPr>
                <w:rFonts w:hint="default"/>
                <w:b w:val="0"/>
                <w:bCs w:val="0"/>
                <w:color w:val="auto"/>
                <w:u w:val="none"/>
                <w:lang w:val="en-US" w:eastAsia="zh-CN"/>
              </w:rPr>
            </w:pPr>
            <w:r>
              <w:rPr>
                <w:rFonts w:hint="eastAsia"/>
                <w:sz w:val="21"/>
                <w:szCs w:val="21"/>
                <w:u w:val="none"/>
                <w:lang w:val="en-US" w:eastAsia="zh-CN"/>
              </w:rPr>
              <w:t>24.69</w:t>
            </w:r>
          </w:p>
        </w:tc>
        <w:tc>
          <w:tcPr>
            <w:tcW w:w="471" w:type="pct"/>
            <w:tcBorders>
              <w:tl2br w:val="nil"/>
              <w:tr2bl w:val="nil"/>
            </w:tcBorders>
            <w:shd w:val="clear" w:color="auto" w:fill="auto"/>
            <w:vAlign w:val="center"/>
          </w:tcPr>
          <w:p w14:paraId="438120AF">
            <w:pPr>
              <w:pStyle w:val="182"/>
              <w:bidi w:val="0"/>
              <w:rPr>
                <w:rFonts w:hint="eastAsia"/>
                <w:b w:val="0"/>
                <w:bCs w:val="0"/>
                <w:color w:val="auto"/>
                <w:u w:val="none"/>
              </w:rPr>
            </w:pPr>
            <w:r>
              <w:rPr>
                <w:rFonts w:hint="eastAsia"/>
                <w:b w:val="0"/>
                <w:bCs w:val="0"/>
                <w:color w:val="auto"/>
                <w:u w:val="none"/>
                <w:lang w:val="en-US" w:eastAsia="zh-CN"/>
              </w:rPr>
              <w:t>昼</w:t>
            </w:r>
          </w:p>
        </w:tc>
        <w:tc>
          <w:tcPr>
            <w:tcW w:w="665" w:type="dxa"/>
            <w:tcBorders>
              <w:tl2br w:val="nil"/>
              <w:tr2bl w:val="nil"/>
            </w:tcBorders>
            <w:shd w:val="clear" w:color="auto" w:fill="auto"/>
            <w:vAlign w:val="center"/>
          </w:tcPr>
          <w:p w14:paraId="7E5E7D22">
            <w:pPr>
              <w:pStyle w:val="182"/>
              <w:bidi w:val="0"/>
              <w:rPr>
                <w:rFonts w:hint="default"/>
                <w:sz w:val="21"/>
                <w:szCs w:val="21"/>
                <w:u w:val="none"/>
                <w:lang w:val="en-US" w:eastAsia="zh-CN"/>
              </w:rPr>
            </w:pPr>
            <w:r>
              <w:rPr>
                <w:rFonts w:hint="eastAsia"/>
                <w:sz w:val="21"/>
                <w:szCs w:val="21"/>
                <w:u w:val="none"/>
                <w:lang w:val="en-US" w:eastAsia="zh-CN"/>
              </w:rPr>
              <w:t xml:space="preserve">52.01 </w:t>
            </w:r>
          </w:p>
        </w:tc>
        <w:tc>
          <w:tcPr>
            <w:tcW w:w="1330" w:type="pct"/>
            <w:vMerge w:val="continue"/>
            <w:tcBorders>
              <w:tl2br w:val="nil"/>
              <w:tr2bl w:val="nil"/>
            </w:tcBorders>
            <w:shd w:val="clear" w:color="auto" w:fill="auto"/>
            <w:vAlign w:val="center"/>
          </w:tcPr>
          <w:p w14:paraId="5B0C3C5E">
            <w:pPr>
              <w:pStyle w:val="182"/>
              <w:bidi w:val="0"/>
              <w:rPr>
                <w:rFonts w:hint="eastAsia"/>
                <w:b w:val="0"/>
                <w:bCs w:val="0"/>
                <w:color w:val="auto"/>
                <w:u w:val="none"/>
              </w:rPr>
            </w:pPr>
          </w:p>
        </w:tc>
        <w:tc>
          <w:tcPr>
            <w:tcW w:w="513" w:type="pct"/>
            <w:vMerge w:val="restart"/>
            <w:tcBorders>
              <w:tl2br w:val="nil"/>
              <w:tr2bl w:val="nil"/>
            </w:tcBorders>
            <w:shd w:val="clear" w:color="auto" w:fill="auto"/>
            <w:vAlign w:val="center"/>
          </w:tcPr>
          <w:p w14:paraId="13F0F1F1">
            <w:pPr>
              <w:pStyle w:val="182"/>
              <w:bidi w:val="0"/>
              <w:rPr>
                <w:rFonts w:hint="eastAsia"/>
                <w:b w:val="0"/>
                <w:bCs w:val="0"/>
                <w:color w:val="auto"/>
                <w:u w:val="none"/>
              </w:rPr>
            </w:pPr>
            <w:r>
              <w:rPr>
                <w:rFonts w:hint="eastAsia"/>
                <w:b w:val="0"/>
                <w:bCs w:val="0"/>
                <w:color w:val="auto"/>
                <w:u w:val="none"/>
                <w:lang w:val="en-US" w:eastAsia="zh-CN"/>
              </w:rPr>
              <w:t>达标</w:t>
            </w:r>
          </w:p>
        </w:tc>
      </w:tr>
      <w:tr w14:paraId="363071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0" w:hRule="atLeast"/>
          <w:jc w:val="center"/>
        </w:trPr>
        <w:tc>
          <w:tcPr>
            <w:tcW w:w="573" w:type="pct"/>
            <w:vMerge w:val="continue"/>
            <w:tcBorders>
              <w:tl2br w:val="nil"/>
              <w:tr2bl w:val="nil"/>
            </w:tcBorders>
            <w:shd w:val="clear" w:color="auto" w:fill="auto"/>
            <w:vAlign w:val="center"/>
          </w:tcPr>
          <w:p w14:paraId="24AC5C23">
            <w:pPr>
              <w:pStyle w:val="182"/>
              <w:bidi w:val="0"/>
              <w:rPr>
                <w:rFonts w:hint="eastAsia"/>
                <w:b/>
                <w:bCs/>
                <w:color w:val="auto"/>
                <w:u w:val="none"/>
              </w:rPr>
            </w:pPr>
          </w:p>
        </w:tc>
        <w:tc>
          <w:tcPr>
            <w:tcW w:w="439" w:type="pct"/>
            <w:tcBorders>
              <w:tl2br w:val="nil"/>
              <w:tr2bl w:val="nil"/>
            </w:tcBorders>
            <w:shd w:val="clear" w:color="auto" w:fill="auto"/>
            <w:vAlign w:val="center"/>
          </w:tcPr>
          <w:p w14:paraId="435B5C57">
            <w:pPr>
              <w:pStyle w:val="182"/>
              <w:bidi w:val="0"/>
              <w:rPr>
                <w:rFonts w:hint="eastAsia"/>
                <w:b w:val="0"/>
                <w:bCs w:val="0"/>
                <w:color w:val="auto"/>
                <w:u w:val="none"/>
              </w:rPr>
            </w:pPr>
            <w:r>
              <w:rPr>
                <w:rFonts w:hint="eastAsia"/>
                <w:b w:val="0"/>
                <w:bCs w:val="0"/>
                <w:color w:val="auto"/>
                <w:u w:val="none"/>
                <w:lang w:val="en-US" w:eastAsia="zh-CN"/>
              </w:rPr>
              <w:t>夜</w:t>
            </w:r>
          </w:p>
        </w:tc>
        <w:tc>
          <w:tcPr>
            <w:tcW w:w="586" w:type="pct"/>
            <w:tcBorders>
              <w:tl2br w:val="nil"/>
              <w:tr2bl w:val="nil"/>
            </w:tcBorders>
            <w:shd w:val="clear" w:color="auto" w:fill="auto"/>
            <w:vAlign w:val="center"/>
          </w:tcPr>
          <w:p w14:paraId="3E91B2A3">
            <w:pPr>
              <w:pStyle w:val="182"/>
              <w:bidi w:val="0"/>
              <w:rPr>
                <w:rFonts w:hint="default" w:ascii="Times New Roman" w:hAnsi="Times New Roman" w:cs="Times New Roman"/>
                <w:b w:val="0"/>
                <w:bCs w:val="0"/>
                <w:color w:val="auto"/>
                <w:u w:val="none"/>
                <w:lang w:val="en-US" w:eastAsia="zh-CN"/>
              </w:rPr>
            </w:pPr>
            <w:r>
              <w:rPr>
                <w:rFonts w:hint="eastAsia" w:ascii="Times New Roman" w:hAnsi="Times New Roman" w:cs="Times New Roman"/>
                <w:b w:val="0"/>
                <w:bCs w:val="0"/>
                <w:color w:val="auto"/>
                <w:u w:val="none"/>
                <w:lang w:val="en-US" w:eastAsia="zh-CN"/>
              </w:rPr>
              <w:t>46</w:t>
            </w:r>
          </w:p>
        </w:tc>
        <w:tc>
          <w:tcPr>
            <w:tcW w:w="634" w:type="pct"/>
            <w:tcBorders>
              <w:tl2br w:val="nil"/>
              <w:tr2bl w:val="nil"/>
            </w:tcBorders>
            <w:shd w:val="clear" w:color="auto" w:fill="auto"/>
            <w:vAlign w:val="center"/>
          </w:tcPr>
          <w:p w14:paraId="7F8827E8">
            <w:pPr>
              <w:pStyle w:val="182"/>
              <w:bidi w:val="0"/>
              <w:rPr>
                <w:rFonts w:hint="default"/>
                <w:b w:val="0"/>
                <w:bCs w:val="0"/>
                <w:color w:val="auto"/>
                <w:u w:val="none"/>
                <w:lang w:val="en-US" w:eastAsia="zh-CN"/>
              </w:rPr>
            </w:pPr>
            <w:r>
              <w:rPr>
                <w:rFonts w:hint="eastAsia"/>
                <w:sz w:val="21"/>
                <w:szCs w:val="21"/>
                <w:u w:val="none"/>
                <w:lang w:val="en-US" w:eastAsia="zh-CN"/>
              </w:rPr>
              <w:t>24.69</w:t>
            </w:r>
          </w:p>
        </w:tc>
        <w:tc>
          <w:tcPr>
            <w:tcW w:w="471" w:type="pct"/>
            <w:tcBorders>
              <w:tl2br w:val="nil"/>
              <w:tr2bl w:val="nil"/>
            </w:tcBorders>
            <w:shd w:val="clear" w:color="auto" w:fill="auto"/>
            <w:vAlign w:val="center"/>
          </w:tcPr>
          <w:p w14:paraId="1DDD4CE9">
            <w:pPr>
              <w:pStyle w:val="182"/>
              <w:bidi w:val="0"/>
              <w:rPr>
                <w:rFonts w:hint="eastAsia"/>
                <w:b w:val="0"/>
                <w:bCs w:val="0"/>
                <w:color w:val="auto"/>
                <w:u w:val="none"/>
              </w:rPr>
            </w:pPr>
            <w:r>
              <w:rPr>
                <w:rFonts w:hint="eastAsia"/>
                <w:b w:val="0"/>
                <w:bCs w:val="0"/>
                <w:color w:val="auto"/>
                <w:u w:val="none"/>
                <w:lang w:val="en-US" w:eastAsia="zh-CN"/>
              </w:rPr>
              <w:t>夜</w:t>
            </w:r>
          </w:p>
        </w:tc>
        <w:tc>
          <w:tcPr>
            <w:tcW w:w="665" w:type="dxa"/>
            <w:tcBorders>
              <w:tl2br w:val="nil"/>
              <w:tr2bl w:val="nil"/>
            </w:tcBorders>
            <w:shd w:val="clear" w:color="auto" w:fill="auto"/>
            <w:vAlign w:val="center"/>
          </w:tcPr>
          <w:p w14:paraId="2204981D">
            <w:pPr>
              <w:pStyle w:val="182"/>
              <w:bidi w:val="0"/>
              <w:rPr>
                <w:rFonts w:hint="default"/>
                <w:sz w:val="21"/>
                <w:szCs w:val="21"/>
                <w:u w:val="none"/>
                <w:lang w:val="en-US" w:eastAsia="zh-CN"/>
              </w:rPr>
            </w:pPr>
            <w:r>
              <w:rPr>
                <w:rFonts w:hint="eastAsia"/>
                <w:sz w:val="21"/>
                <w:szCs w:val="21"/>
                <w:u w:val="none"/>
                <w:lang w:val="en-US" w:eastAsia="zh-CN"/>
              </w:rPr>
              <w:t xml:space="preserve">46.03 </w:t>
            </w:r>
          </w:p>
        </w:tc>
        <w:tc>
          <w:tcPr>
            <w:tcW w:w="1330" w:type="pct"/>
            <w:vMerge w:val="continue"/>
            <w:tcBorders>
              <w:tl2br w:val="nil"/>
              <w:tr2bl w:val="nil"/>
            </w:tcBorders>
            <w:shd w:val="clear" w:color="auto" w:fill="auto"/>
            <w:vAlign w:val="center"/>
          </w:tcPr>
          <w:p w14:paraId="1B8DD3DA">
            <w:pPr>
              <w:pStyle w:val="182"/>
              <w:bidi w:val="0"/>
              <w:rPr>
                <w:rFonts w:hint="eastAsia"/>
                <w:b/>
                <w:bCs/>
                <w:color w:val="auto"/>
                <w:u w:val="none"/>
              </w:rPr>
            </w:pPr>
          </w:p>
        </w:tc>
        <w:tc>
          <w:tcPr>
            <w:tcW w:w="513" w:type="pct"/>
            <w:vMerge w:val="continue"/>
            <w:tcBorders>
              <w:tl2br w:val="nil"/>
              <w:tr2bl w:val="nil"/>
            </w:tcBorders>
            <w:shd w:val="clear" w:color="auto" w:fill="auto"/>
            <w:vAlign w:val="center"/>
          </w:tcPr>
          <w:p w14:paraId="306D6B22">
            <w:pPr>
              <w:pStyle w:val="182"/>
              <w:bidi w:val="0"/>
              <w:rPr>
                <w:rFonts w:hint="eastAsia"/>
                <w:b/>
                <w:bCs/>
                <w:color w:val="auto"/>
                <w:u w:val="none"/>
              </w:rPr>
            </w:pPr>
          </w:p>
        </w:tc>
      </w:tr>
    </w:tbl>
    <w:p w14:paraId="54461536">
      <w:pPr>
        <w:bidi w:val="0"/>
        <w:rPr>
          <w:b w:val="0"/>
          <w:bCs w:val="0"/>
          <w:color w:val="auto"/>
          <w:u w:val="none"/>
        </w:rPr>
      </w:pPr>
      <w:r>
        <w:rPr>
          <w:b w:val="0"/>
          <w:bCs w:val="0"/>
          <w:color w:val="auto"/>
          <w:u w:val="none"/>
        </w:rPr>
        <w:t>由</w:t>
      </w:r>
      <w:r>
        <w:rPr>
          <w:rFonts w:hint="eastAsia"/>
          <w:b w:val="0"/>
          <w:bCs w:val="0"/>
          <w:color w:val="auto"/>
          <w:u w:val="none"/>
        </w:rPr>
        <w:t>上</w:t>
      </w:r>
      <w:r>
        <w:rPr>
          <w:b w:val="0"/>
          <w:bCs w:val="0"/>
          <w:color w:val="auto"/>
          <w:u w:val="none"/>
        </w:rPr>
        <w:t>表可以看出：</w:t>
      </w:r>
      <w:r>
        <w:rPr>
          <w:rFonts w:hint="eastAsia"/>
          <w:b w:val="0"/>
          <w:bCs w:val="0"/>
          <w:color w:val="auto"/>
          <w:u w:val="none"/>
        </w:rPr>
        <w:t>项目</w:t>
      </w:r>
      <w:r>
        <w:rPr>
          <w:rFonts w:hint="eastAsia"/>
          <w:b w:val="0"/>
          <w:bCs w:val="0"/>
          <w:color w:val="auto"/>
          <w:u w:val="none"/>
          <w:lang w:val="en-US" w:eastAsia="zh-CN"/>
        </w:rPr>
        <w:t>建设</w:t>
      </w:r>
      <w:r>
        <w:rPr>
          <w:b w:val="0"/>
          <w:bCs w:val="0"/>
          <w:color w:val="auto"/>
          <w:u w:val="none"/>
        </w:rPr>
        <w:t>完成后，本项目东、西、南、北厂界昼间、夜间噪声预测值均能满足《工业企业厂界环境噪声排放标准》（GB12348-2008）3类昼间65dB(A)、夜间55dB(A</w:t>
      </w:r>
      <w:r>
        <w:rPr>
          <w:rFonts w:hint="eastAsia"/>
          <w:b w:val="0"/>
          <w:bCs w:val="0"/>
          <w:color w:val="auto"/>
          <w:u w:val="none"/>
          <w:lang w:eastAsia="zh-CN"/>
        </w:rPr>
        <w:t>)</w:t>
      </w:r>
      <w:r>
        <w:rPr>
          <w:b w:val="0"/>
          <w:bCs w:val="0"/>
          <w:color w:val="auto"/>
          <w:u w:val="none"/>
        </w:rPr>
        <w:t>标准的要求，项目周边200m范围内无敏感点，不会出现噪声扰民现象，该项目建设对区域声环境影响较小，可接受。</w:t>
      </w:r>
    </w:p>
    <w:p w14:paraId="30F3995C">
      <w:pPr>
        <w:pStyle w:val="5"/>
        <w:bidi w:val="0"/>
        <w:rPr>
          <w:rFonts w:hint="default"/>
          <w:lang w:val="en-US" w:eastAsia="zh-CN"/>
        </w:rPr>
      </w:pPr>
      <w:r>
        <w:rPr>
          <w:rFonts w:hint="eastAsia"/>
          <w:lang w:val="en-US" w:eastAsia="zh-CN"/>
        </w:rPr>
        <w:t>声环境影响评价小结</w:t>
      </w:r>
    </w:p>
    <w:p w14:paraId="1C9C4F1C">
      <w:pPr>
        <w:bidi w:val="0"/>
        <w:rPr>
          <w:b w:val="0"/>
          <w:bCs w:val="0"/>
          <w:color w:val="auto"/>
          <w:u w:val="none"/>
        </w:rPr>
      </w:pPr>
      <w:r>
        <w:rPr>
          <w:b w:val="0"/>
          <w:bCs w:val="0"/>
          <w:color w:val="auto"/>
          <w:u w:val="none"/>
        </w:rPr>
        <w:t>项目营运期噪声经消声、隔声、减振及距离衰减后，项目各厂界昼间噪声值均可以满足《工业企业厂界环境噪声排放标准》（GB12348-2008）中的3类标准要求。综上所述，项目噪声对周围声环境影响可接受。</w:t>
      </w:r>
    </w:p>
    <w:p w14:paraId="6D468DEB">
      <w:pPr>
        <w:pStyle w:val="10"/>
        <w:bidi w:val="0"/>
        <w:rPr>
          <w:rFonts w:hint="eastAsia" w:ascii="Times New Roman" w:hAnsi="Times New Roman" w:eastAsia="宋体"/>
          <w:lang w:val="en-US" w:eastAsia="zh-CN"/>
        </w:rPr>
      </w:pPr>
      <w:r>
        <w:rPr>
          <w:lang w:val="en-US" w:eastAsia="zh-CN"/>
        </w:rPr>
        <w:t xml:space="preserve">表 </w:t>
      </w:r>
      <w:r>
        <w:rPr>
          <w:lang w:val="en-US" w:eastAsia="zh-CN"/>
        </w:rPr>
        <w:fldChar w:fldCharType="begin"/>
      </w:r>
      <w:r>
        <w:rPr>
          <w:lang w:val="en-US" w:eastAsia="zh-CN"/>
        </w:rPr>
        <w:instrText xml:space="preserve"> STYLEREF 2 \s </w:instrText>
      </w:r>
      <w:r>
        <w:rPr>
          <w:lang w:val="en-US" w:eastAsia="zh-CN"/>
        </w:rPr>
        <w:fldChar w:fldCharType="separate"/>
      </w:r>
      <w:r>
        <w:rPr>
          <w:lang w:val="en-US" w:eastAsia="zh-CN"/>
        </w:rPr>
        <w:t>6.4</w:t>
      </w:r>
      <w:r>
        <w:rPr>
          <w:lang w:val="en-US" w:eastAsia="zh-CN"/>
        </w:rPr>
        <w:fldChar w:fldCharType="end"/>
      </w:r>
      <w:r>
        <w:rPr>
          <w:rFonts w:hint="eastAsia"/>
          <w:lang w:val="en-US" w:eastAsia="zh-CN"/>
        </w:rPr>
        <w:t>-</w:t>
      </w:r>
      <w:r>
        <w:rPr>
          <w:lang w:val="en-US" w:eastAsia="zh-CN"/>
        </w:rPr>
        <w:fldChar w:fldCharType="begin"/>
      </w:r>
      <w:r>
        <w:rPr>
          <w:lang w:val="en-US" w:eastAsia="zh-CN"/>
        </w:rPr>
        <w:instrText xml:space="preserve"> SEQ 表 \* ARABIC \s 2 </w:instrText>
      </w:r>
      <w:r>
        <w:rPr>
          <w:lang w:val="en-US" w:eastAsia="zh-CN"/>
        </w:rPr>
        <w:fldChar w:fldCharType="separate"/>
      </w:r>
      <w:r>
        <w:rPr>
          <w:lang w:val="en-US" w:eastAsia="zh-CN"/>
        </w:rPr>
        <w:t>3</w:t>
      </w:r>
      <w:r>
        <w:rPr>
          <w:lang w:val="en-US" w:eastAsia="zh-CN"/>
        </w:rPr>
        <w:fldChar w:fldCharType="end"/>
      </w:r>
      <w:r>
        <w:rPr>
          <w:rFonts w:ascii="Times New Roman" w:hAnsi="Times New Roman" w:eastAsia="宋体"/>
          <w:lang w:val="en-US" w:eastAsia="zh-CN"/>
        </w:rPr>
        <w:t xml:space="preserve"> </w:t>
      </w:r>
      <w:r>
        <w:rPr>
          <w:rFonts w:hint="eastAsia" w:ascii="Times New Roman" w:hAnsi="Times New Roman" w:eastAsia="宋体"/>
          <w:lang w:val="en-US" w:eastAsia="zh-CN"/>
        </w:rPr>
        <w:t xml:space="preserve">  声环境影响评价自查表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126"/>
        <w:gridCol w:w="1341"/>
        <w:gridCol w:w="1223"/>
        <w:gridCol w:w="229"/>
        <w:gridCol w:w="288"/>
        <w:gridCol w:w="258"/>
        <w:gridCol w:w="906"/>
        <w:gridCol w:w="54"/>
        <w:gridCol w:w="999"/>
        <w:gridCol w:w="502"/>
        <w:gridCol w:w="429"/>
        <w:gridCol w:w="69"/>
        <w:gridCol w:w="997"/>
      </w:tblGrid>
      <w:tr w14:paraId="0D1A0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blHeader/>
        </w:trPr>
        <w:tc>
          <w:tcPr>
            <w:tcW w:w="1464" w:type="pct"/>
            <w:gridSpan w:val="2"/>
            <w:noWrap w:val="0"/>
            <w:tcMar>
              <w:left w:w="57" w:type="dxa"/>
              <w:right w:w="57" w:type="dxa"/>
            </w:tcMar>
            <w:vAlign w:val="center"/>
          </w:tcPr>
          <w:p w14:paraId="222514E7">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b/>
                <w:color w:val="000000"/>
                <w:sz w:val="21"/>
                <w:szCs w:val="21"/>
              </w:rPr>
            </w:pPr>
            <w:r>
              <w:rPr>
                <w:b/>
                <w:color w:val="000000"/>
                <w:sz w:val="21"/>
                <w:szCs w:val="21"/>
              </w:rPr>
              <w:t>工作内容</w:t>
            </w:r>
          </w:p>
        </w:tc>
        <w:tc>
          <w:tcPr>
            <w:tcW w:w="3536" w:type="pct"/>
            <w:gridSpan w:val="11"/>
            <w:noWrap w:val="0"/>
            <w:tcMar>
              <w:left w:w="57" w:type="dxa"/>
              <w:right w:w="57" w:type="dxa"/>
            </w:tcMar>
            <w:vAlign w:val="center"/>
          </w:tcPr>
          <w:p w14:paraId="02175974">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b/>
                <w:color w:val="000000"/>
                <w:sz w:val="21"/>
                <w:szCs w:val="21"/>
              </w:rPr>
            </w:pPr>
            <w:r>
              <w:rPr>
                <w:b/>
                <w:color w:val="000000"/>
                <w:sz w:val="21"/>
                <w:szCs w:val="21"/>
              </w:rPr>
              <w:t>自查项目</w:t>
            </w:r>
          </w:p>
        </w:tc>
      </w:tr>
      <w:tr w14:paraId="3D602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vMerge w:val="restart"/>
            <w:noWrap w:val="0"/>
            <w:tcMar>
              <w:left w:w="57" w:type="dxa"/>
              <w:right w:w="57" w:type="dxa"/>
            </w:tcMar>
            <w:vAlign w:val="center"/>
          </w:tcPr>
          <w:p w14:paraId="02D84A5C">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评价等级与范围</w:t>
            </w:r>
          </w:p>
        </w:tc>
        <w:tc>
          <w:tcPr>
            <w:tcW w:w="796" w:type="pct"/>
            <w:noWrap w:val="0"/>
            <w:tcMar>
              <w:left w:w="57" w:type="dxa"/>
              <w:right w:w="57" w:type="dxa"/>
            </w:tcMar>
            <w:vAlign w:val="center"/>
          </w:tcPr>
          <w:p w14:paraId="601AB219">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评价等级</w:t>
            </w:r>
          </w:p>
        </w:tc>
        <w:tc>
          <w:tcPr>
            <w:tcW w:w="3536" w:type="pct"/>
            <w:gridSpan w:val="11"/>
            <w:noWrap w:val="0"/>
            <w:tcMar>
              <w:left w:w="57" w:type="dxa"/>
              <w:right w:w="57" w:type="dxa"/>
            </w:tcMar>
            <w:vAlign w:val="center"/>
          </w:tcPr>
          <w:p w14:paraId="2122C0F1">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一级□ 二级□</w:t>
            </w:r>
            <w:r>
              <w:rPr>
                <w:color w:val="000000"/>
                <w:spacing w:val="5"/>
                <w:sz w:val="21"/>
                <w:szCs w:val="21"/>
              </w:rPr>
              <w:t xml:space="preserve"> </w:t>
            </w:r>
            <w:r>
              <w:rPr>
                <w:color w:val="000000"/>
                <w:sz w:val="21"/>
                <w:szCs w:val="21"/>
              </w:rPr>
              <w:t>三级</w:t>
            </w:r>
            <w:r>
              <w:rPr>
                <w:color w:val="000000"/>
                <w:sz w:val="21"/>
                <w:szCs w:val="21"/>
              </w:rPr>
              <w:sym w:font="Wingdings 2" w:char="0052"/>
            </w:r>
          </w:p>
        </w:tc>
      </w:tr>
      <w:tr w14:paraId="38F74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vMerge w:val="continue"/>
            <w:noWrap w:val="0"/>
            <w:tcMar>
              <w:left w:w="57" w:type="dxa"/>
              <w:right w:w="57" w:type="dxa"/>
            </w:tcMar>
            <w:vAlign w:val="center"/>
          </w:tcPr>
          <w:p w14:paraId="4FADD8BD">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p>
        </w:tc>
        <w:tc>
          <w:tcPr>
            <w:tcW w:w="796" w:type="pct"/>
            <w:noWrap w:val="0"/>
            <w:tcMar>
              <w:left w:w="57" w:type="dxa"/>
              <w:right w:w="57" w:type="dxa"/>
            </w:tcMar>
            <w:vAlign w:val="center"/>
          </w:tcPr>
          <w:p w14:paraId="77DCC7CD">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评价范围</w:t>
            </w:r>
          </w:p>
        </w:tc>
        <w:tc>
          <w:tcPr>
            <w:tcW w:w="3536" w:type="pct"/>
            <w:gridSpan w:val="11"/>
            <w:noWrap w:val="0"/>
            <w:tcMar>
              <w:left w:w="57" w:type="dxa"/>
              <w:right w:w="57" w:type="dxa"/>
            </w:tcMar>
            <w:vAlign w:val="center"/>
          </w:tcPr>
          <w:p w14:paraId="7CE7044D">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rFonts w:eastAsia="Times New Roman"/>
                <w:color w:val="000000"/>
                <w:sz w:val="21"/>
                <w:szCs w:val="21"/>
              </w:rPr>
              <w:t>200 m</w:t>
            </w:r>
            <w:r>
              <w:rPr>
                <w:color w:val="000000"/>
                <w:sz w:val="21"/>
                <w:szCs w:val="21"/>
              </w:rPr>
              <w:sym w:font="Wingdings 2" w:char="0052"/>
            </w:r>
            <w:r>
              <w:rPr>
                <w:color w:val="000000"/>
                <w:sz w:val="21"/>
                <w:szCs w:val="21"/>
              </w:rPr>
              <w:t xml:space="preserve"> 大于 </w:t>
            </w:r>
            <w:r>
              <w:rPr>
                <w:rFonts w:eastAsia="Times New Roman"/>
                <w:color w:val="000000"/>
                <w:sz w:val="21"/>
                <w:szCs w:val="21"/>
              </w:rPr>
              <w:t>200 m</w:t>
            </w:r>
            <w:r>
              <w:rPr>
                <w:color w:val="000000"/>
                <w:sz w:val="21"/>
                <w:szCs w:val="21"/>
              </w:rPr>
              <w:t xml:space="preserve">□ 小于 </w:t>
            </w:r>
            <w:r>
              <w:rPr>
                <w:rFonts w:eastAsia="Times New Roman"/>
                <w:color w:val="000000"/>
                <w:sz w:val="21"/>
                <w:szCs w:val="21"/>
              </w:rPr>
              <w:t>200</w:t>
            </w:r>
            <w:r>
              <w:rPr>
                <w:rFonts w:eastAsia="Times New Roman"/>
                <w:color w:val="000000"/>
                <w:spacing w:val="37"/>
                <w:sz w:val="21"/>
                <w:szCs w:val="21"/>
              </w:rPr>
              <w:t xml:space="preserve"> </w:t>
            </w:r>
            <w:r>
              <w:rPr>
                <w:rFonts w:eastAsia="Times New Roman"/>
                <w:color w:val="000000"/>
                <w:sz w:val="21"/>
                <w:szCs w:val="21"/>
              </w:rPr>
              <w:t>m</w:t>
            </w:r>
            <w:r>
              <w:rPr>
                <w:color w:val="000000"/>
                <w:sz w:val="21"/>
                <w:szCs w:val="21"/>
              </w:rPr>
              <w:t>□</w:t>
            </w:r>
          </w:p>
        </w:tc>
      </w:tr>
      <w:tr w14:paraId="4ED6D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noWrap w:val="0"/>
            <w:tcMar>
              <w:left w:w="57" w:type="dxa"/>
              <w:right w:w="57" w:type="dxa"/>
            </w:tcMar>
            <w:vAlign w:val="center"/>
          </w:tcPr>
          <w:p w14:paraId="7464EFCA">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评价因子</w:t>
            </w:r>
          </w:p>
        </w:tc>
        <w:tc>
          <w:tcPr>
            <w:tcW w:w="796" w:type="pct"/>
            <w:noWrap w:val="0"/>
            <w:tcMar>
              <w:left w:w="57" w:type="dxa"/>
              <w:right w:w="57" w:type="dxa"/>
            </w:tcMar>
            <w:vAlign w:val="center"/>
          </w:tcPr>
          <w:p w14:paraId="25429D7D">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评价因子</w:t>
            </w:r>
          </w:p>
        </w:tc>
        <w:tc>
          <w:tcPr>
            <w:tcW w:w="3536" w:type="pct"/>
            <w:gridSpan w:val="11"/>
            <w:noWrap w:val="0"/>
            <w:tcMar>
              <w:left w:w="57" w:type="dxa"/>
              <w:right w:w="57" w:type="dxa"/>
            </w:tcMar>
            <w:vAlign w:val="center"/>
          </w:tcPr>
          <w:p w14:paraId="3308143A">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 xml:space="preserve">等效连续 </w:t>
            </w:r>
            <w:r>
              <w:rPr>
                <w:rFonts w:eastAsia="Times New Roman"/>
                <w:color w:val="000000"/>
                <w:sz w:val="21"/>
                <w:szCs w:val="21"/>
              </w:rPr>
              <w:t xml:space="preserve">A </w:t>
            </w:r>
            <w:r>
              <w:rPr>
                <w:color w:val="000000"/>
                <w:sz w:val="21"/>
                <w:szCs w:val="21"/>
              </w:rPr>
              <w:t>声级</w:t>
            </w:r>
            <w:r>
              <w:rPr>
                <w:color w:val="000000"/>
                <w:sz w:val="21"/>
                <w:szCs w:val="21"/>
              </w:rPr>
              <w:sym w:font="Wingdings 2" w:char="0052"/>
            </w:r>
            <w:r>
              <w:rPr>
                <w:color w:val="000000"/>
                <w:sz w:val="21"/>
                <w:szCs w:val="21"/>
              </w:rPr>
              <w:t xml:space="preserve"> 最大</w:t>
            </w:r>
            <w:r>
              <w:rPr>
                <w:rFonts w:eastAsia="Times New Roman"/>
                <w:color w:val="000000"/>
                <w:sz w:val="21"/>
                <w:szCs w:val="21"/>
              </w:rPr>
              <w:t xml:space="preserve">A </w:t>
            </w:r>
            <w:r>
              <w:rPr>
                <w:color w:val="000000"/>
                <w:sz w:val="21"/>
                <w:szCs w:val="21"/>
              </w:rPr>
              <w:t>声级□</w:t>
            </w:r>
            <w:r>
              <w:rPr>
                <w:color w:val="000000"/>
                <w:spacing w:val="8"/>
                <w:sz w:val="21"/>
                <w:szCs w:val="21"/>
              </w:rPr>
              <w:t xml:space="preserve"> </w:t>
            </w:r>
            <w:r>
              <w:rPr>
                <w:color w:val="000000"/>
                <w:sz w:val="21"/>
                <w:szCs w:val="21"/>
              </w:rPr>
              <w:t>计权等效连续感觉噪声级□</w:t>
            </w:r>
          </w:p>
        </w:tc>
      </w:tr>
      <w:tr w14:paraId="60012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noWrap w:val="0"/>
            <w:tcMar>
              <w:left w:w="57" w:type="dxa"/>
              <w:right w:w="57" w:type="dxa"/>
            </w:tcMar>
            <w:vAlign w:val="center"/>
          </w:tcPr>
          <w:p w14:paraId="7207C4BC">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评价标准</w:t>
            </w:r>
          </w:p>
        </w:tc>
        <w:tc>
          <w:tcPr>
            <w:tcW w:w="796" w:type="pct"/>
            <w:noWrap w:val="0"/>
            <w:tcMar>
              <w:left w:w="57" w:type="dxa"/>
              <w:right w:w="57" w:type="dxa"/>
            </w:tcMar>
            <w:vAlign w:val="center"/>
          </w:tcPr>
          <w:p w14:paraId="5EEBC304">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评价标准</w:t>
            </w:r>
          </w:p>
        </w:tc>
        <w:tc>
          <w:tcPr>
            <w:tcW w:w="3536" w:type="pct"/>
            <w:gridSpan w:val="11"/>
            <w:noWrap w:val="0"/>
            <w:tcMar>
              <w:left w:w="57" w:type="dxa"/>
              <w:right w:w="57" w:type="dxa"/>
            </w:tcMar>
            <w:vAlign w:val="center"/>
          </w:tcPr>
          <w:p w14:paraId="7680B448">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国家标准</w:t>
            </w:r>
            <w:r>
              <w:rPr>
                <w:color w:val="000000"/>
                <w:sz w:val="21"/>
                <w:szCs w:val="21"/>
              </w:rPr>
              <w:sym w:font="Wingdings 2" w:char="0052"/>
            </w:r>
            <w:r>
              <w:rPr>
                <w:color w:val="000000"/>
                <w:sz w:val="21"/>
                <w:szCs w:val="21"/>
              </w:rPr>
              <w:t xml:space="preserve"> 地方标准□</w:t>
            </w:r>
            <w:r>
              <w:rPr>
                <w:color w:val="000000"/>
                <w:spacing w:val="54"/>
                <w:sz w:val="21"/>
                <w:szCs w:val="21"/>
              </w:rPr>
              <w:t xml:space="preserve"> </w:t>
            </w:r>
            <w:r>
              <w:rPr>
                <w:color w:val="000000"/>
                <w:sz w:val="21"/>
                <w:szCs w:val="21"/>
              </w:rPr>
              <w:t>国外标准□</w:t>
            </w:r>
          </w:p>
        </w:tc>
      </w:tr>
      <w:tr w14:paraId="594CB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vMerge w:val="restart"/>
            <w:noWrap w:val="0"/>
            <w:tcMar>
              <w:left w:w="57" w:type="dxa"/>
              <w:right w:w="57" w:type="dxa"/>
            </w:tcMar>
            <w:vAlign w:val="center"/>
          </w:tcPr>
          <w:p w14:paraId="68F19A4E">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现状评价</w:t>
            </w:r>
          </w:p>
        </w:tc>
        <w:tc>
          <w:tcPr>
            <w:tcW w:w="796" w:type="pct"/>
            <w:noWrap w:val="0"/>
            <w:tcMar>
              <w:left w:w="57" w:type="dxa"/>
              <w:right w:w="57" w:type="dxa"/>
            </w:tcMar>
            <w:vAlign w:val="center"/>
          </w:tcPr>
          <w:p w14:paraId="02E185D0">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环境功能区</w:t>
            </w:r>
          </w:p>
        </w:tc>
        <w:tc>
          <w:tcPr>
            <w:tcW w:w="726" w:type="pct"/>
            <w:noWrap w:val="0"/>
            <w:tcMar>
              <w:left w:w="57" w:type="dxa"/>
              <w:right w:w="57" w:type="dxa"/>
            </w:tcMar>
            <w:vAlign w:val="center"/>
          </w:tcPr>
          <w:p w14:paraId="47F301F9">
            <w:pPr>
              <w:keepNext w:val="0"/>
              <w:keepLines w:val="0"/>
              <w:pageBreakBefore w:val="0"/>
              <w:widowControl/>
              <w:wordWrap/>
              <w:topLinePunct w:val="0"/>
              <w:autoSpaceDE/>
              <w:autoSpaceDN/>
              <w:bidi w:val="0"/>
              <w:snapToGrid w:val="0"/>
              <w:spacing w:line="240" w:lineRule="auto"/>
              <w:ind w:firstLine="0" w:firstLineChars="0"/>
              <w:jc w:val="center"/>
              <w:textAlignment w:val="auto"/>
              <w:rPr>
                <w:rFonts w:ascii="Times New Roman" w:hAnsi="Times New Roman"/>
                <w:color w:val="000000"/>
              </w:rPr>
            </w:pPr>
            <w:r>
              <w:rPr>
                <w:rFonts w:ascii="Times New Roman" w:hAnsi="Times New Roman"/>
                <w:color w:val="000000"/>
                <w:kern w:val="0"/>
                <w:lang w:bidi="ar"/>
              </w:rPr>
              <w:t>0类区□</w:t>
            </w:r>
          </w:p>
        </w:tc>
        <w:tc>
          <w:tcPr>
            <w:tcW w:w="460" w:type="pct"/>
            <w:gridSpan w:val="3"/>
            <w:noWrap w:val="0"/>
            <w:tcMar>
              <w:left w:w="57" w:type="dxa"/>
              <w:right w:w="57" w:type="dxa"/>
            </w:tcMar>
            <w:vAlign w:val="center"/>
          </w:tcPr>
          <w:p w14:paraId="48CA4406">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rFonts w:eastAsia="Times New Roman"/>
                <w:color w:val="000000"/>
                <w:sz w:val="21"/>
                <w:szCs w:val="21"/>
              </w:rPr>
              <w:t>1</w:t>
            </w:r>
            <w:r>
              <w:rPr>
                <w:color w:val="000000"/>
                <w:sz w:val="21"/>
                <w:szCs w:val="21"/>
              </w:rPr>
              <w:t>类□</w:t>
            </w:r>
          </w:p>
        </w:tc>
        <w:tc>
          <w:tcPr>
            <w:tcW w:w="570" w:type="pct"/>
            <w:gridSpan w:val="2"/>
            <w:noWrap w:val="0"/>
            <w:tcMar>
              <w:left w:w="57" w:type="dxa"/>
              <w:right w:w="57" w:type="dxa"/>
            </w:tcMar>
            <w:vAlign w:val="center"/>
          </w:tcPr>
          <w:p w14:paraId="004A0909">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rFonts w:eastAsia="Times New Roman"/>
                <w:color w:val="000000"/>
                <w:sz w:val="21"/>
                <w:szCs w:val="21"/>
              </w:rPr>
              <w:t>2</w:t>
            </w:r>
            <w:r>
              <w:rPr>
                <w:color w:val="000000"/>
                <w:sz w:val="21"/>
                <w:szCs w:val="21"/>
              </w:rPr>
              <w:t>类区□</w:t>
            </w:r>
          </w:p>
        </w:tc>
        <w:tc>
          <w:tcPr>
            <w:tcW w:w="593" w:type="pct"/>
            <w:noWrap w:val="0"/>
            <w:tcMar>
              <w:left w:w="57" w:type="dxa"/>
              <w:right w:w="57" w:type="dxa"/>
            </w:tcMar>
            <w:vAlign w:val="center"/>
          </w:tcPr>
          <w:p w14:paraId="5C344F4B">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rFonts w:eastAsia="Times New Roman"/>
                <w:color w:val="000000"/>
                <w:sz w:val="21"/>
                <w:szCs w:val="21"/>
              </w:rPr>
              <w:t>3</w:t>
            </w:r>
            <w:r>
              <w:rPr>
                <w:color w:val="000000"/>
                <w:sz w:val="21"/>
                <w:szCs w:val="21"/>
              </w:rPr>
              <w:t>类区</w:t>
            </w:r>
            <w:r>
              <w:rPr>
                <w:color w:val="000000"/>
                <w:sz w:val="21"/>
                <w:szCs w:val="21"/>
              </w:rPr>
              <w:sym w:font="Wingdings 2" w:char="0052"/>
            </w:r>
          </w:p>
        </w:tc>
        <w:tc>
          <w:tcPr>
            <w:tcW w:w="594" w:type="pct"/>
            <w:gridSpan w:val="3"/>
            <w:noWrap w:val="0"/>
            <w:tcMar>
              <w:left w:w="57" w:type="dxa"/>
              <w:right w:w="57" w:type="dxa"/>
            </w:tcMar>
            <w:vAlign w:val="center"/>
          </w:tcPr>
          <w:p w14:paraId="7DCD3F8E">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rFonts w:eastAsia="Times New Roman"/>
                <w:color w:val="000000"/>
                <w:sz w:val="21"/>
                <w:szCs w:val="21"/>
              </w:rPr>
              <w:t>4a</w:t>
            </w:r>
            <w:r>
              <w:rPr>
                <w:color w:val="000000"/>
                <w:sz w:val="21"/>
                <w:szCs w:val="21"/>
              </w:rPr>
              <w:t>类区□</w:t>
            </w:r>
          </w:p>
        </w:tc>
        <w:tc>
          <w:tcPr>
            <w:tcW w:w="592" w:type="pct"/>
            <w:noWrap w:val="0"/>
            <w:tcMar>
              <w:left w:w="57" w:type="dxa"/>
              <w:right w:w="57" w:type="dxa"/>
            </w:tcMar>
            <w:vAlign w:val="center"/>
          </w:tcPr>
          <w:p w14:paraId="29439A1E">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rFonts w:eastAsia="Times New Roman"/>
                <w:color w:val="000000"/>
                <w:sz w:val="21"/>
                <w:szCs w:val="21"/>
              </w:rPr>
              <w:t>4b</w:t>
            </w:r>
            <w:r>
              <w:rPr>
                <w:color w:val="000000"/>
                <w:sz w:val="21"/>
                <w:szCs w:val="21"/>
              </w:rPr>
              <w:t>类区□</w:t>
            </w:r>
          </w:p>
        </w:tc>
      </w:tr>
      <w:tr w14:paraId="6FBA1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vMerge w:val="continue"/>
            <w:noWrap w:val="0"/>
            <w:tcMar>
              <w:left w:w="57" w:type="dxa"/>
              <w:right w:w="57" w:type="dxa"/>
            </w:tcMar>
            <w:vAlign w:val="center"/>
          </w:tcPr>
          <w:p w14:paraId="4B30BD03">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p>
        </w:tc>
        <w:tc>
          <w:tcPr>
            <w:tcW w:w="796" w:type="pct"/>
            <w:noWrap w:val="0"/>
            <w:tcMar>
              <w:left w:w="57" w:type="dxa"/>
              <w:right w:w="57" w:type="dxa"/>
            </w:tcMar>
            <w:vAlign w:val="center"/>
          </w:tcPr>
          <w:p w14:paraId="1BEAACF7">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评价年度</w:t>
            </w:r>
          </w:p>
        </w:tc>
        <w:tc>
          <w:tcPr>
            <w:tcW w:w="862" w:type="pct"/>
            <w:gridSpan w:val="2"/>
            <w:noWrap w:val="0"/>
            <w:tcMar>
              <w:left w:w="57" w:type="dxa"/>
              <w:right w:w="57" w:type="dxa"/>
            </w:tcMar>
            <w:vAlign w:val="center"/>
          </w:tcPr>
          <w:p w14:paraId="216F315C">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初期□</w:t>
            </w:r>
          </w:p>
        </w:tc>
        <w:tc>
          <w:tcPr>
            <w:tcW w:w="894" w:type="pct"/>
            <w:gridSpan w:val="4"/>
            <w:noWrap w:val="0"/>
            <w:tcMar>
              <w:left w:w="57" w:type="dxa"/>
              <w:right w:w="57" w:type="dxa"/>
            </w:tcMar>
            <w:vAlign w:val="center"/>
          </w:tcPr>
          <w:p w14:paraId="677082CC">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近期□</w:t>
            </w:r>
          </w:p>
        </w:tc>
        <w:tc>
          <w:tcPr>
            <w:tcW w:w="891" w:type="pct"/>
            <w:gridSpan w:val="2"/>
            <w:noWrap w:val="0"/>
            <w:tcMar>
              <w:left w:w="57" w:type="dxa"/>
              <w:right w:w="57" w:type="dxa"/>
            </w:tcMar>
            <w:vAlign w:val="center"/>
          </w:tcPr>
          <w:p w14:paraId="650CE255">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中期□</w:t>
            </w:r>
          </w:p>
        </w:tc>
        <w:tc>
          <w:tcPr>
            <w:tcW w:w="888" w:type="pct"/>
            <w:gridSpan w:val="3"/>
            <w:noWrap w:val="0"/>
            <w:tcMar>
              <w:left w:w="57" w:type="dxa"/>
              <w:right w:w="57" w:type="dxa"/>
            </w:tcMar>
            <w:vAlign w:val="center"/>
          </w:tcPr>
          <w:p w14:paraId="4BFF361C">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远期□</w:t>
            </w:r>
          </w:p>
        </w:tc>
      </w:tr>
      <w:tr w14:paraId="09828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vMerge w:val="continue"/>
            <w:noWrap w:val="0"/>
            <w:tcMar>
              <w:left w:w="57" w:type="dxa"/>
              <w:right w:w="57" w:type="dxa"/>
            </w:tcMar>
            <w:vAlign w:val="center"/>
          </w:tcPr>
          <w:p w14:paraId="22037D94">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p>
        </w:tc>
        <w:tc>
          <w:tcPr>
            <w:tcW w:w="796" w:type="pct"/>
            <w:noWrap w:val="0"/>
            <w:tcMar>
              <w:left w:w="57" w:type="dxa"/>
              <w:right w:w="57" w:type="dxa"/>
            </w:tcMar>
            <w:vAlign w:val="center"/>
          </w:tcPr>
          <w:p w14:paraId="0FB54A99">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现状调查方法</w:t>
            </w:r>
          </w:p>
        </w:tc>
        <w:tc>
          <w:tcPr>
            <w:tcW w:w="3536" w:type="pct"/>
            <w:gridSpan w:val="11"/>
            <w:noWrap w:val="0"/>
            <w:tcMar>
              <w:left w:w="57" w:type="dxa"/>
              <w:right w:w="57" w:type="dxa"/>
            </w:tcMar>
            <w:vAlign w:val="center"/>
          </w:tcPr>
          <w:p w14:paraId="76343D3D">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现场实测法</w:t>
            </w:r>
            <w:r>
              <w:rPr>
                <w:color w:val="000000"/>
                <w:sz w:val="21"/>
                <w:szCs w:val="21"/>
              </w:rPr>
              <w:sym w:font="Wingdings 2" w:char="0052"/>
            </w:r>
            <w:r>
              <w:rPr>
                <w:color w:val="000000"/>
                <w:sz w:val="21"/>
                <w:szCs w:val="21"/>
              </w:rPr>
              <w:t xml:space="preserve"> 现场实测加模型计算法□</w:t>
            </w:r>
            <w:r>
              <w:rPr>
                <w:color w:val="000000"/>
                <w:spacing w:val="56"/>
                <w:sz w:val="21"/>
                <w:szCs w:val="21"/>
              </w:rPr>
              <w:t xml:space="preserve"> </w:t>
            </w:r>
            <w:r>
              <w:rPr>
                <w:color w:val="000000"/>
                <w:sz w:val="21"/>
                <w:szCs w:val="21"/>
              </w:rPr>
              <w:t>收集资料□</w:t>
            </w:r>
          </w:p>
        </w:tc>
      </w:tr>
      <w:tr w14:paraId="017B3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vMerge w:val="continue"/>
            <w:noWrap w:val="0"/>
            <w:tcMar>
              <w:left w:w="57" w:type="dxa"/>
              <w:right w:w="57" w:type="dxa"/>
            </w:tcMar>
            <w:vAlign w:val="center"/>
          </w:tcPr>
          <w:p w14:paraId="63009054">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p>
        </w:tc>
        <w:tc>
          <w:tcPr>
            <w:tcW w:w="796" w:type="pct"/>
            <w:noWrap w:val="0"/>
            <w:tcMar>
              <w:left w:w="57" w:type="dxa"/>
              <w:right w:w="57" w:type="dxa"/>
            </w:tcMar>
            <w:vAlign w:val="center"/>
          </w:tcPr>
          <w:p w14:paraId="0CEE7188">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现状评价</w:t>
            </w:r>
          </w:p>
        </w:tc>
        <w:tc>
          <w:tcPr>
            <w:tcW w:w="1033" w:type="pct"/>
            <w:gridSpan w:val="3"/>
            <w:noWrap w:val="0"/>
            <w:tcMar>
              <w:left w:w="57" w:type="dxa"/>
              <w:right w:w="57" w:type="dxa"/>
            </w:tcMar>
            <w:vAlign w:val="center"/>
          </w:tcPr>
          <w:p w14:paraId="6AE78869">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达标百分比</w:t>
            </w:r>
          </w:p>
        </w:tc>
        <w:tc>
          <w:tcPr>
            <w:tcW w:w="2502" w:type="pct"/>
            <w:gridSpan w:val="8"/>
            <w:noWrap w:val="0"/>
            <w:tcMar>
              <w:left w:w="57" w:type="dxa"/>
              <w:right w:w="57" w:type="dxa"/>
            </w:tcMar>
            <w:vAlign w:val="center"/>
          </w:tcPr>
          <w:p w14:paraId="20C14619">
            <w:pPr>
              <w:keepNext w:val="0"/>
              <w:keepLines w:val="0"/>
              <w:pageBreakBefore w:val="0"/>
              <w:wordWrap/>
              <w:topLinePunct w:val="0"/>
              <w:autoSpaceDE/>
              <w:autoSpaceDN/>
              <w:bidi w:val="0"/>
              <w:snapToGrid w:val="0"/>
              <w:spacing w:line="240" w:lineRule="auto"/>
              <w:ind w:firstLine="0" w:firstLineChars="0"/>
              <w:jc w:val="center"/>
              <w:textAlignment w:val="auto"/>
              <w:rPr>
                <w:rFonts w:ascii="Times New Roman" w:hAnsi="Times New Roman"/>
                <w:color w:val="000000"/>
              </w:rPr>
            </w:pPr>
            <w:r>
              <w:rPr>
                <w:rFonts w:ascii="Times New Roman" w:hAnsi="Times New Roman"/>
                <w:color w:val="000000"/>
              </w:rPr>
              <w:t>100%</w:t>
            </w:r>
          </w:p>
        </w:tc>
      </w:tr>
      <w:tr w14:paraId="75D98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noWrap w:val="0"/>
            <w:tcMar>
              <w:left w:w="57" w:type="dxa"/>
              <w:right w:w="57" w:type="dxa"/>
            </w:tcMar>
            <w:vAlign w:val="center"/>
          </w:tcPr>
          <w:p w14:paraId="164997DD">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噪声源调查</w:t>
            </w:r>
          </w:p>
        </w:tc>
        <w:tc>
          <w:tcPr>
            <w:tcW w:w="796" w:type="pct"/>
            <w:noWrap w:val="0"/>
            <w:tcMar>
              <w:left w:w="57" w:type="dxa"/>
              <w:right w:w="57" w:type="dxa"/>
            </w:tcMar>
            <w:vAlign w:val="center"/>
          </w:tcPr>
          <w:p w14:paraId="74EEEB38">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噪声源调查方法</w:t>
            </w:r>
          </w:p>
        </w:tc>
        <w:tc>
          <w:tcPr>
            <w:tcW w:w="3536" w:type="pct"/>
            <w:gridSpan w:val="11"/>
            <w:noWrap w:val="0"/>
            <w:tcMar>
              <w:left w:w="57" w:type="dxa"/>
              <w:right w:w="57" w:type="dxa"/>
            </w:tcMar>
            <w:vAlign w:val="center"/>
          </w:tcPr>
          <w:p w14:paraId="052767C7">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现场实测□   已有资料</w:t>
            </w:r>
            <w:r>
              <w:rPr>
                <w:color w:val="000000"/>
                <w:sz w:val="21"/>
                <w:szCs w:val="21"/>
              </w:rPr>
              <w:sym w:font="Wingdings 2" w:char="0052"/>
            </w:r>
            <w:r>
              <w:rPr>
                <w:color w:val="000000"/>
                <w:spacing w:val="41"/>
                <w:sz w:val="21"/>
                <w:szCs w:val="21"/>
              </w:rPr>
              <w:t xml:space="preserve">   </w:t>
            </w:r>
            <w:r>
              <w:rPr>
                <w:color w:val="000000"/>
                <w:sz w:val="21"/>
                <w:szCs w:val="21"/>
              </w:rPr>
              <w:t>研究成果□</w:t>
            </w:r>
          </w:p>
        </w:tc>
      </w:tr>
      <w:tr w14:paraId="0BC92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vMerge w:val="restart"/>
            <w:noWrap w:val="0"/>
            <w:tcMar>
              <w:left w:w="57" w:type="dxa"/>
              <w:right w:w="57" w:type="dxa"/>
            </w:tcMar>
            <w:vAlign w:val="center"/>
          </w:tcPr>
          <w:p w14:paraId="64A83244">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声环境影响预测与评价</w:t>
            </w:r>
          </w:p>
        </w:tc>
        <w:tc>
          <w:tcPr>
            <w:tcW w:w="796" w:type="pct"/>
            <w:noWrap w:val="0"/>
            <w:tcMar>
              <w:left w:w="57" w:type="dxa"/>
              <w:right w:w="57" w:type="dxa"/>
            </w:tcMar>
            <w:vAlign w:val="center"/>
          </w:tcPr>
          <w:p w14:paraId="1DC02AC8">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预测模型</w:t>
            </w:r>
          </w:p>
        </w:tc>
        <w:tc>
          <w:tcPr>
            <w:tcW w:w="3536" w:type="pct"/>
            <w:gridSpan w:val="11"/>
            <w:noWrap w:val="0"/>
            <w:tcMar>
              <w:left w:w="57" w:type="dxa"/>
              <w:right w:w="57" w:type="dxa"/>
            </w:tcMar>
            <w:vAlign w:val="center"/>
          </w:tcPr>
          <w:p w14:paraId="14A356D9">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导则推荐模型</w:t>
            </w:r>
            <w:r>
              <w:rPr>
                <w:color w:val="000000"/>
                <w:sz w:val="21"/>
                <w:szCs w:val="21"/>
              </w:rPr>
              <w:sym w:font="Wingdings 2" w:char="0052"/>
            </w:r>
            <w:r>
              <w:rPr>
                <w:color w:val="000000"/>
                <w:spacing w:val="36"/>
                <w:sz w:val="21"/>
                <w:szCs w:val="21"/>
              </w:rPr>
              <w:t xml:space="preserve">            </w:t>
            </w:r>
            <w:r>
              <w:rPr>
                <w:color w:val="000000"/>
                <w:sz w:val="21"/>
                <w:szCs w:val="21"/>
              </w:rPr>
              <w:t>其他□</w:t>
            </w:r>
          </w:p>
        </w:tc>
      </w:tr>
      <w:tr w14:paraId="657C5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vMerge w:val="continue"/>
            <w:noWrap w:val="0"/>
            <w:tcMar>
              <w:left w:w="57" w:type="dxa"/>
              <w:right w:w="57" w:type="dxa"/>
            </w:tcMar>
            <w:vAlign w:val="center"/>
          </w:tcPr>
          <w:p w14:paraId="20557D9A">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p>
        </w:tc>
        <w:tc>
          <w:tcPr>
            <w:tcW w:w="796" w:type="pct"/>
            <w:noWrap w:val="0"/>
            <w:tcMar>
              <w:left w:w="57" w:type="dxa"/>
              <w:right w:w="57" w:type="dxa"/>
            </w:tcMar>
            <w:vAlign w:val="center"/>
          </w:tcPr>
          <w:p w14:paraId="7A36AC82">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预测范围</w:t>
            </w:r>
          </w:p>
        </w:tc>
        <w:tc>
          <w:tcPr>
            <w:tcW w:w="3536" w:type="pct"/>
            <w:gridSpan w:val="11"/>
            <w:noWrap w:val="0"/>
            <w:tcMar>
              <w:left w:w="57" w:type="dxa"/>
              <w:right w:w="57" w:type="dxa"/>
            </w:tcMar>
            <w:vAlign w:val="center"/>
          </w:tcPr>
          <w:p w14:paraId="6D574C7B">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rFonts w:eastAsia="Times New Roman"/>
                <w:color w:val="000000"/>
                <w:sz w:val="21"/>
                <w:szCs w:val="21"/>
              </w:rPr>
              <w:t>200 m</w:t>
            </w:r>
            <w:r>
              <w:rPr>
                <w:color w:val="000000"/>
                <w:sz w:val="21"/>
                <w:szCs w:val="21"/>
              </w:rPr>
              <w:sym w:font="Wingdings 2" w:char="0052"/>
            </w:r>
            <w:r>
              <w:rPr>
                <w:color w:val="000000"/>
                <w:sz w:val="21"/>
                <w:szCs w:val="21"/>
              </w:rPr>
              <w:t xml:space="preserve">        大于 </w:t>
            </w:r>
            <w:r>
              <w:rPr>
                <w:rFonts w:eastAsia="Times New Roman"/>
                <w:color w:val="000000"/>
                <w:sz w:val="21"/>
                <w:szCs w:val="21"/>
              </w:rPr>
              <w:t>200 m</w:t>
            </w:r>
            <w:r>
              <w:rPr>
                <w:color w:val="000000"/>
                <w:sz w:val="21"/>
                <w:szCs w:val="21"/>
              </w:rPr>
              <w:t xml:space="preserve">□       小于 </w:t>
            </w:r>
            <w:r>
              <w:rPr>
                <w:rFonts w:eastAsia="Times New Roman"/>
                <w:color w:val="000000"/>
                <w:sz w:val="21"/>
                <w:szCs w:val="21"/>
              </w:rPr>
              <w:t>200</w:t>
            </w:r>
            <w:r>
              <w:rPr>
                <w:rFonts w:eastAsia="Times New Roman"/>
                <w:color w:val="000000"/>
                <w:spacing w:val="19"/>
                <w:sz w:val="21"/>
                <w:szCs w:val="21"/>
              </w:rPr>
              <w:t xml:space="preserve"> </w:t>
            </w:r>
            <w:r>
              <w:rPr>
                <w:rFonts w:eastAsia="Times New Roman"/>
                <w:color w:val="000000"/>
                <w:sz w:val="21"/>
                <w:szCs w:val="21"/>
              </w:rPr>
              <w:t>m</w:t>
            </w:r>
            <w:r>
              <w:rPr>
                <w:color w:val="000000"/>
                <w:sz w:val="21"/>
                <w:szCs w:val="21"/>
              </w:rPr>
              <w:t>□</w:t>
            </w:r>
          </w:p>
        </w:tc>
      </w:tr>
      <w:tr w14:paraId="7A86D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vMerge w:val="continue"/>
            <w:noWrap w:val="0"/>
            <w:tcMar>
              <w:left w:w="57" w:type="dxa"/>
              <w:right w:w="57" w:type="dxa"/>
            </w:tcMar>
            <w:vAlign w:val="center"/>
          </w:tcPr>
          <w:p w14:paraId="5F6BE7B6">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p>
        </w:tc>
        <w:tc>
          <w:tcPr>
            <w:tcW w:w="796" w:type="pct"/>
            <w:noWrap w:val="0"/>
            <w:tcMar>
              <w:left w:w="57" w:type="dxa"/>
              <w:right w:w="57" w:type="dxa"/>
            </w:tcMar>
            <w:vAlign w:val="center"/>
          </w:tcPr>
          <w:p w14:paraId="1DA3C89B">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预测因子</w:t>
            </w:r>
          </w:p>
        </w:tc>
        <w:tc>
          <w:tcPr>
            <w:tcW w:w="3536" w:type="pct"/>
            <w:gridSpan w:val="11"/>
            <w:noWrap w:val="0"/>
            <w:tcMar>
              <w:left w:w="57" w:type="dxa"/>
              <w:right w:w="57" w:type="dxa"/>
            </w:tcMar>
            <w:vAlign w:val="center"/>
          </w:tcPr>
          <w:p w14:paraId="0337815D">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等效连续</w:t>
            </w:r>
            <w:r>
              <w:rPr>
                <w:rFonts w:eastAsia="Times New Roman"/>
                <w:color w:val="000000"/>
                <w:sz w:val="21"/>
                <w:szCs w:val="21"/>
              </w:rPr>
              <w:t>A</w:t>
            </w:r>
            <w:r>
              <w:rPr>
                <w:color w:val="000000"/>
                <w:sz w:val="21"/>
                <w:szCs w:val="21"/>
              </w:rPr>
              <w:t>声级</w:t>
            </w:r>
            <w:r>
              <w:rPr>
                <w:color w:val="000000"/>
                <w:sz w:val="21"/>
                <w:szCs w:val="21"/>
              </w:rPr>
              <w:sym w:font="Wingdings 2" w:char="0052"/>
            </w:r>
            <w:r>
              <w:rPr>
                <w:color w:val="000000"/>
                <w:sz w:val="21"/>
                <w:szCs w:val="21"/>
              </w:rPr>
              <w:t xml:space="preserve">   最大</w:t>
            </w:r>
            <w:r>
              <w:rPr>
                <w:rFonts w:eastAsia="Times New Roman"/>
                <w:color w:val="000000"/>
                <w:sz w:val="21"/>
                <w:szCs w:val="21"/>
              </w:rPr>
              <w:t xml:space="preserve">A </w:t>
            </w:r>
            <w:r>
              <w:rPr>
                <w:color w:val="000000"/>
                <w:sz w:val="21"/>
                <w:szCs w:val="21"/>
              </w:rPr>
              <w:t>声级□</w:t>
            </w:r>
            <w:r>
              <w:rPr>
                <w:color w:val="000000"/>
                <w:spacing w:val="70"/>
                <w:sz w:val="21"/>
                <w:szCs w:val="21"/>
              </w:rPr>
              <w:t xml:space="preserve"> </w:t>
            </w:r>
            <w:r>
              <w:rPr>
                <w:color w:val="000000"/>
                <w:sz w:val="21"/>
                <w:szCs w:val="21"/>
              </w:rPr>
              <w:t>计权等效连续感觉噪声级□</w:t>
            </w:r>
          </w:p>
        </w:tc>
      </w:tr>
      <w:tr w14:paraId="358CF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vMerge w:val="continue"/>
            <w:noWrap w:val="0"/>
            <w:tcMar>
              <w:left w:w="57" w:type="dxa"/>
              <w:right w:w="57" w:type="dxa"/>
            </w:tcMar>
            <w:vAlign w:val="center"/>
          </w:tcPr>
          <w:p w14:paraId="20AA5306">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p>
        </w:tc>
        <w:tc>
          <w:tcPr>
            <w:tcW w:w="796" w:type="pct"/>
            <w:noWrap w:val="0"/>
            <w:tcMar>
              <w:left w:w="57" w:type="dxa"/>
              <w:right w:w="57" w:type="dxa"/>
            </w:tcMar>
            <w:vAlign w:val="center"/>
          </w:tcPr>
          <w:p w14:paraId="508505FB">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厂界噪声贡献值</w:t>
            </w:r>
          </w:p>
        </w:tc>
        <w:tc>
          <w:tcPr>
            <w:tcW w:w="3536" w:type="pct"/>
            <w:gridSpan w:val="11"/>
            <w:noWrap w:val="0"/>
            <w:tcMar>
              <w:left w:w="57" w:type="dxa"/>
              <w:right w:w="57" w:type="dxa"/>
            </w:tcMar>
            <w:vAlign w:val="center"/>
          </w:tcPr>
          <w:p w14:paraId="21B89414">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达标</w:t>
            </w:r>
            <w:r>
              <w:rPr>
                <w:color w:val="000000"/>
                <w:sz w:val="21"/>
                <w:szCs w:val="21"/>
              </w:rPr>
              <w:sym w:font="Wingdings 2" w:char="0052"/>
            </w:r>
            <w:r>
              <w:rPr>
                <w:color w:val="000000"/>
                <w:spacing w:val="80"/>
                <w:sz w:val="21"/>
                <w:szCs w:val="21"/>
              </w:rPr>
              <w:t xml:space="preserve">     </w:t>
            </w:r>
            <w:r>
              <w:rPr>
                <w:color w:val="000000"/>
                <w:sz w:val="21"/>
                <w:szCs w:val="21"/>
              </w:rPr>
              <w:t>不达标□</w:t>
            </w:r>
          </w:p>
        </w:tc>
      </w:tr>
      <w:tr w14:paraId="64B99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vMerge w:val="continue"/>
            <w:noWrap w:val="0"/>
            <w:tcMar>
              <w:left w:w="57" w:type="dxa"/>
              <w:right w:w="57" w:type="dxa"/>
            </w:tcMar>
            <w:vAlign w:val="center"/>
          </w:tcPr>
          <w:p w14:paraId="5499D4FF">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p>
        </w:tc>
        <w:tc>
          <w:tcPr>
            <w:tcW w:w="796" w:type="pct"/>
            <w:noWrap w:val="0"/>
            <w:tcMar>
              <w:left w:w="57" w:type="dxa"/>
              <w:right w:w="57" w:type="dxa"/>
            </w:tcMar>
            <w:vAlign w:val="center"/>
          </w:tcPr>
          <w:p w14:paraId="5BF8DC1E">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保护目标处噪声值</w:t>
            </w:r>
          </w:p>
        </w:tc>
        <w:tc>
          <w:tcPr>
            <w:tcW w:w="3536" w:type="pct"/>
            <w:gridSpan w:val="11"/>
            <w:noWrap w:val="0"/>
            <w:tcMar>
              <w:left w:w="57" w:type="dxa"/>
              <w:right w:w="57" w:type="dxa"/>
            </w:tcMar>
            <w:vAlign w:val="center"/>
          </w:tcPr>
          <w:p w14:paraId="3C4464A1">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达标</w:t>
            </w:r>
            <w:r>
              <w:rPr>
                <w:color w:val="000000"/>
                <w:sz w:val="21"/>
                <w:szCs w:val="21"/>
              </w:rPr>
              <w:sym w:font="Wingdings 2" w:char="0052"/>
            </w:r>
            <w:r>
              <w:rPr>
                <w:color w:val="000000"/>
                <w:spacing w:val="35"/>
                <w:sz w:val="21"/>
                <w:szCs w:val="21"/>
              </w:rPr>
              <w:t xml:space="preserve">        </w:t>
            </w:r>
            <w:r>
              <w:rPr>
                <w:color w:val="000000"/>
                <w:sz w:val="21"/>
                <w:szCs w:val="21"/>
              </w:rPr>
              <w:t>不达标□</w:t>
            </w:r>
          </w:p>
        </w:tc>
      </w:tr>
      <w:tr w14:paraId="03F92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vMerge w:val="restart"/>
            <w:noWrap w:val="0"/>
            <w:tcMar>
              <w:left w:w="57" w:type="dxa"/>
              <w:right w:w="57" w:type="dxa"/>
            </w:tcMar>
            <w:vAlign w:val="center"/>
          </w:tcPr>
          <w:p w14:paraId="0F276B0C">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环境监测计划</w:t>
            </w:r>
          </w:p>
        </w:tc>
        <w:tc>
          <w:tcPr>
            <w:tcW w:w="796" w:type="pct"/>
            <w:noWrap w:val="0"/>
            <w:tcMar>
              <w:left w:w="57" w:type="dxa"/>
              <w:right w:w="57" w:type="dxa"/>
            </w:tcMar>
            <w:vAlign w:val="center"/>
          </w:tcPr>
          <w:p w14:paraId="4503D04E">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排放监测</w:t>
            </w:r>
          </w:p>
        </w:tc>
        <w:tc>
          <w:tcPr>
            <w:tcW w:w="3536" w:type="pct"/>
            <w:gridSpan w:val="11"/>
            <w:noWrap w:val="0"/>
            <w:tcMar>
              <w:left w:w="57" w:type="dxa"/>
              <w:right w:w="57" w:type="dxa"/>
            </w:tcMar>
            <w:vAlign w:val="center"/>
          </w:tcPr>
          <w:p w14:paraId="3F03562D">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厂界监测</w:t>
            </w:r>
            <w:r>
              <w:rPr>
                <w:color w:val="000000"/>
                <w:sz w:val="21"/>
                <w:szCs w:val="21"/>
              </w:rPr>
              <w:sym w:font="Wingdings 2" w:char="0052"/>
            </w:r>
            <w:r>
              <w:rPr>
                <w:color w:val="000000"/>
                <w:sz w:val="21"/>
                <w:szCs w:val="21"/>
              </w:rPr>
              <w:t xml:space="preserve"> 固定位置监测□ 自动监测□ 手动监测</w:t>
            </w:r>
            <w:r>
              <w:rPr>
                <w:color w:val="000000"/>
                <w:sz w:val="21"/>
                <w:szCs w:val="21"/>
              </w:rPr>
              <w:sym w:font="Wingdings 2" w:char="0052"/>
            </w:r>
            <w:r>
              <w:rPr>
                <w:color w:val="000000"/>
                <w:spacing w:val="34"/>
                <w:sz w:val="21"/>
                <w:szCs w:val="21"/>
              </w:rPr>
              <w:t xml:space="preserve"> </w:t>
            </w:r>
            <w:r>
              <w:rPr>
                <w:color w:val="000000"/>
                <w:sz w:val="21"/>
                <w:szCs w:val="21"/>
              </w:rPr>
              <w:t>无监测□</w:t>
            </w:r>
          </w:p>
        </w:tc>
      </w:tr>
      <w:tr w14:paraId="30262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vMerge w:val="continue"/>
            <w:noWrap w:val="0"/>
            <w:tcMar>
              <w:left w:w="57" w:type="dxa"/>
              <w:right w:w="57" w:type="dxa"/>
            </w:tcMar>
            <w:vAlign w:val="center"/>
          </w:tcPr>
          <w:p w14:paraId="2071D7C0">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p>
        </w:tc>
        <w:tc>
          <w:tcPr>
            <w:tcW w:w="796" w:type="pct"/>
            <w:noWrap w:val="0"/>
            <w:tcMar>
              <w:left w:w="57" w:type="dxa"/>
              <w:right w:w="57" w:type="dxa"/>
            </w:tcMar>
            <w:vAlign w:val="center"/>
          </w:tcPr>
          <w:p w14:paraId="5F9FC7CF">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声环境保护目标处噪声监测</w:t>
            </w:r>
          </w:p>
        </w:tc>
        <w:tc>
          <w:tcPr>
            <w:tcW w:w="1724" w:type="pct"/>
            <w:gridSpan w:val="5"/>
            <w:noWrap w:val="0"/>
            <w:tcMar>
              <w:left w:w="57" w:type="dxa"/>
              <w:right w:w="57" w:type="dxa"/>
            </w:tcMar>
            <w:vAlign w:val="center"/>
          </w:tcPr>
          <w:p w14:paraId="089C4EFA">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监测因子</w:t>
            </w:r>
            <w:r>
              <w:rPr>
                <w:color w:val="000000"/>
                <w:spacing w:val="-16"/>
                <w:sz w:val="21"/>
                <w:szCs w:val="21"/>
              </w:rPr>
              <w:t>：（</w:t>
            </w:r>
            <w:r>
              <w:rPr>
                <w:color w:val="000000"/>
                <w:spacing w:val="-5"/>
                <w:sz w:val="21"/>
                <w:szCs w:val="21"/>
              </w:rPr>
              <w:t xml:space="preserve"> </w:t>
            </w:r>
            <w:r>
              <w:rPr>
                <w:color w:val="000000"/>
                <w:sz w:val="21"/>
                <w:szCs w:val="21"/>
              </w:rPr>
              <w:t>）</w:t>
            </w:r>
          </w:p>
        </w:tc>
        <w:tc>
          <w:tcPr>
            <w:tcW w:w="1178" w:type="pct"/>
            <w:gridSpan w:val="4"/>
            <w:noWrap w:val="0"/>
            <w:tcMar>
              <w:left w:w="57" w:type="dxa"/>
              <w:right w:w="57" w:type="dxa"/>
            </w:tcMar>
            <w:vAlign w:val="center"/>
          </w:tcPr>
          <w:p w14:paraId="77DF112C">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监测点位数（</w:t>
            </w:r>
            <w:r>
              <w:rPr>
                <w:color w:val="000000"/>
                <w:spacing w:val="4"/>
                <w:sz w:val="21"/>
                <w:szCs w:val="21"/>
              </w:rPr>
              <w:t xml:space="preserve"> </w:t>
            </w:r>
            <w:r>
              <w:rPr>
                <w:color w:val="000000"/>
                <w:sz w:val="21"/>
                <w:szCs w:val="21"/>
              </w:rPr>
              <w:t>）</w:t>
            </w:r>
          </w:p>
        </w:tc>
        <w:tc>
          <w:tcPr>
            <w:tcW w:w="633" w:type="pct"/>
            <w:gridSpan w:val="2"/>
            <w:noWrap w:val="0"/>
            <w:tcMar>
              <w:left w:w="57" w:type="dxa"/>
              <w:right w:w="57" w:type="dxa"/>
            </w:tcMar>
            <w:vAlign w:val="center"/>
          </w:tcPr>
          <w:p w14:paraId="7D3EAA46">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无监测</w:t>
            </w:r>
            <w:r>
              <w:rPr>
                <w:color w:val="000000"/>
                <w:sz w:val="21"/>
                <w:szCs w:val="21"/>
              </w:rPr>
              <w:sym w:font="Wingdings 2" w:char="0052"/>
            </w:r>
          </w:p>
        </w:tc>
      </w:tr>
      <w:tr w14:paraId="03495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669" w:type="pct"/>
            <w:noWrap w:val="0"/>
            <w:tcMar>
              <w:left w:w="57" w:type="dxa"/>
              <w:right w:w="57" w:type="dxa"/>
            </w:tcMar>
            <w:vAlign w:val="center"/>
          </w:tcPr>
          <w:p w14:paraId="34EFC86A">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评价结论</w:t>
            </w:r>
          </w:p>
        </w:tc>
        <w:tc>
          <w:tcPr>
            <w:tcW w:w="796" w:type="pct"/>
            <w:noWrap w:val="0"/>
            <w:tcMar>
              <w:left w:w="57" w:type="dxa"/>
              <w:right w:w="57" w:type="dxa"/>
            </w:tcMar>
            <w:vAlign w:val="center"/>
          </w:tcPr>
          <w:p w14:paraId="4C0BE960">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环境影响</w:t>
            </w:r>
          </w:p>
        </w:tc>
        <w:tc>
          <w:tcPr>
            <w:tcW w:w="3536" w:type="pct"/>
            <w:gridSpan w:val="11"/>
            <w:noWrap w:val="0"/>
            <w:tcMar>
              <w:left w:w="57" w:type="dxa"/>
              <w:right w:w="57" w:type="dxa"/>
            </w:tcMar>
            <w:vAlign w:val="center"/>
          </w:tcPr>
          <w:p w14:paraId="6561EDF4">
            <w:pPr>
              <w:pStyle w:val="76"/>
              <w:keepNext w:val="0"/>
              <w:keepLines w:val="0"/>
              <w:pageBreakBefore w:val="0"/>
              <w:kinsoku w:val="0"/>
              <w:wordWrap/>
              <w:overflowPunct w:val="0"/>
              <w:topLinePunct w:val="0"/>
              <w:autoSpaceDE/>
              <w:autoSpaceDN/>
              <w:bidi w:val="0"/>
              <w:adjustRightInd/>
              <w:snapToGrid w:val="0"/>
              <w:spacing w:line="240" w:lineRule="auto"/>
              <w:ind w:firstLine="0" w:firstLineChars="0"/>
              <w:jc w:val="center"/>
              <w:textAlignment w:val="auto"/>
              <w:rPr>
                <w:color w:val="000000"/>
                <w:sz w:val="21"/>
                <w:szCs w:val="21"/>
              </w:rPr>
            </w:pPr>
            <w:r>
              <w:rPr>
                <w:color w:val="000000"/>
                <w:sz w:val="21"/>
                <w:szCs w:val="21"/>
              </w:rPr>
              <w:t>可行</w:t>
            </w:r>
            <w:r>
              <w:rPr>
                <w:color w:val="000000"/>
                <w:sz w:val="21"/>
                <w:szCs w:val="21"/>
              </w:rPr>
              <w:sym w:font="Wingdings 2" w:char="0052"/>
            </w:r>
            <w:r>
              <w:rPr>
                <w:color w:val="000000"/>
                <w:spacing w:val="3"/>
                <w:sz w:val="21"/>
                <w:szCs w:val="21"/>
              </w:rPr>
              <w:t xml:space="preserve">      </w:t>
            </w:r>
            <w:r>
              <w:rPr>
                <w:color w:val="000000"/>
                <w:sz w:val="21"/>
                <w:szCs w:val="21"/>
              </w:rPr>
              <w:t>不可行□</w:t>
            </w:r>
          </w:p>
        </w:tc>
      </w:tr>
      <w:tr w14:paraId="16A47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5000" w:type="pct"/>
            <w:gridSpan w:val="13"/>
            <w:noWrap w:val="0"/>
            <w:tcMar>
              <w:left w:w="57" w:type="dxa"/>
              <w:right w:w="57" w:type="dxa"/>
            </w:tcMar>
            <w:vAlign w:val="center"/>
          </w:tcPr>
          <w:p w14:paraId="1ADFD7A6">
            <w:pPr>
              <w:keepNext w:val="0"/>
              <w:keepLines w:val="0"/>
              <w:pageBreakBefore w:val="0"/>
              <w:widowControl/>
              <w:wordWrap/>
              <w:topLinePunct w:val="0"/>
              <w:autoSpaceDE/>
              <w:autoSpaceDN/>
              <w:bidi w:val="0"/>
              <w:snapToGrid w:val="0"/>
              <w:spacing w:line="240" w:lineRule="auto"/>
              <w:ind w:firstLine="0" w:firstLineChars="0"/>
              <w:jc w:val="center"/>
              <w:textAlignment w:val="auto"/>
              <w:rPr>
                <w:rFonts w:ascii="Times New Roman" w:hAnsi="Times New Roman"/>
                <w:color w:val="000000"/>
              </w:rPr>
            </w:pPr>
            <w:r>
              <w:rPr>
                <w:rFonts w:ascii="Times New Roman" w:hAnsi="Times New Roman"/>
                <w:color w:val="000000"/>
                <w:kern w:val="0"/>
                <w:lang w:bidi="ar"/>
              </w:rPr>
              <w:t>注：“□” 为勾选项 ，可√ ；“（ ）” 为内容填写项。</w:t>
            </w:r>
          </w:p>
        </w:tc>
      </w:tr>
    </w:tbl>
    <w:p w14:paraId="6EEA003B">
      <w:pPr>
        <w:bidi w:val="0"/>
        <w:rPr>
          <w:b w:val="0"/>
          <w:bCs w:val="0"/>
          <w:color w:val="auto"/>
          <w:u w:val="none"/>
        </w:rPr>
      </w:pPr>
    </w:p>
    <w:p w14:paraId="7CBBAD05">
      <w:pPr>
        <w:pStyle w:val="3"/>
        <w:bidi w:val="0"/>
        <w:rPr>
          <w:color w:val="auto"/>
        </w:rPr>
      </w:pPr>
      <w:bookmarkStart w:id="266" w:name="_Toc13223"/>
      <w:bookmarkStart w:id="267" w:name="_Toc67041060"/>
      <w:bookmarkStart w:id="268" w:name="_Toc25817"/>
      <w:bookmarkStart w:id="269" w:name="_Toc16621"/>
      <w:r>
        <w:rPr>
          <w:color w:val="auto"/>
        </w:rPr>
        <w:t>固体废物环境影响分析</w:t>
      </w:r>
      <w:bookmarkEnd w:id="266"/>
      <w:bookmarkEnd w:id="267"/>
      <w:bookmarkEnd w:id="268"/>
      <w:bookmarkEnd w:id="269"/>
    </w:p>
    <w:p w14:paraId="5C4FFE7C">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val="0"/>
          <w:bCs w:val="0"/>
          <w:color w:val="auto"/>
          <w:u w:val="none"/>
        </w:rPr>
      </w:pPr>
      <w:r>
        <w:rPr>
          <w:rFonts w:hint="eastAsia"/>
          <w:b w:val="0"/>
          <w:bCs w:val="0"/>
          <w:color w:val="auto"/>
          <w:u w:val="none"/>
        </w:rPr>
        <w:t>本项目营运期产生的各类废物产排情况见工程分析。</w:t>
      </w:r>
    </w:p>
    <w:p w14:paraId="5F1C3EE5">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pPr>
      <w:r>
        <w:t>本项目</w:t>
      </w:r>
      <w:r>
        <w:rPr>
          <w:rFonts w:hint="eastAsia"/>
        </w:rPr>
        <w:t>依托厂区现有TS004一般固废暂存间，面积500平方米</w:t>
      </w:r>
      <w:r>
        <w:rPr>
          <w:rFonts w:hint="eastAsia"/>
          <w:lang w:eastAsia="zh-CN"/>
        </w:rPr>
        <w:t>，</w:t>
      </w:r>
      <w:r>
        <w:rPr>
          <w:rFonts w:hint="eastAsia"/>
        </w:rPr>
        <w:t>依托厂区现有TS003危险废物暂存间，面积264平方米</w:t>
      </w:r>
      <w:r>
        <w:t>，并对项目固废分类分区存放。</w:t>
      </w:r>
    </w:p>
    <w:p w14:paraId="530E2DB3">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pPr>
      <w:r>
        <w:t>厂区内一般工业固废暂存间已按照《一般工业固体废物贮存和填埋污染控制标准》（GB18599-2020）的相关要求进行建设，设置有相关标志及管理制度，并且有防渗、防风、防晒、防雨淋措施。工程产生的一般固废应及时清运，尽量缩短在厂区内的堆存时间。</w:t>
      </w:r>
    </w:p>
    <w:p w14:paraId="571EA880">
      <w:pPr>
        <w:pStyle w:val="101"/>
        <w:keepNext w:val="0"/>
        <w:keepLines w:val="0"/>
        <w:pageBreakBefore w:val="0"/>
        <w:widowControl w:val="0"/>
        <w:kinsoku/>
        <w:wordWrap/>
        <w:overflowPunct/>
        <w:topLinePunct w:val="0"/>
        <w:autoSpaceDE/>
        <w:autoSpaceDN/>
        <w:bidi w:val="0"/>
        <w:adjustRightInd w:val="0"/>
        <w:snapToGrid w:val="0"/>
        <w:spacing w:line="360" w:lineRule="auto"/>
        <w:textAlignment w:val="auto"/>
      </w:pPr>
      <w:r>
        <w:t>厂区内危废暂存间地面已按照《危险废物贮存污染控制标准》（GB 18597-2023）中进行防渗处理，危险废物的贮存严格相关规定进行，危废间设置有相关标志及管理制度；在危废的转移处置过程中，严格按照《中华人民共和国固体废物污染环境防治法》和《危险废物转移联单管理办法》有关规定执行。为了避免危险固废在厂区贮存过程中对环境的影响，工程已将其全部装入密闭容器中后临时存放于危废储存间内，定期送至有资质的危废处理单位（生产厂家）安全处置。</w:t>
      </w:r>
    </w:p>
    <w:p w14:paraId="25B074AA">
      <w:pPr>
        <w:bidi w:val="0"/>
        <w:rPr>
          <w:color w:val="auto"/>
        </w:rPr>
      </w:pPr>
      <w:r>
        <w:t>综上所述，项目固废均能实现综合利用和安全处置</w:t>
      </w:r>
      <w:r>
        <w:rPr>
          <w:rFonts w:hint="eastAsia"/>
          <w:color w:val="auto"/>
        </w:rPr>
        <w:t>。</w:t>
      </w:r>
    </w:p>
    <w:p w14:paraId="1AAFCB23">
      <w:pPr>
        <w:pStyle w:val="3"/>
        <w:bidi w:val="0"/>
        <w:rPr>
          <w:color w:val="auto"/>
        </w:rPr>
      </w:pPr>
      <w:bookmarkStart w:id="270" w:name="_Toc67041062"/>
      <w:bookmarkStart w:id="271" w:name="_Toc2249"/>
      <w:bookmarkStart w:id="272" w:name="_Toc24038"/>
      <w:bookmarkStart w:id="273" w:name="_Toc17058"/>
      <w:bookmarkStart w:id="274" w:name="_Toc28866837"/>
      <w:r>
        <w:rPr>
          <w:color w:val="auto"/>
        </w:rPr>
        <w:t>土壤环境影响分析</w:t>
      </w:r>
      <w:bookmarkEnd w:id="270"/>
      <w:bookmarkEnd w:id="271"/>
      <w:bookmarkEnd w:id="272"/>
      <w:bookmarkEnd w:id="273"/>
      <w:bookmarkEnd w:id="274"/>
    </w:p>
    <w:p w14:paraId="394790F2">
      <w:pPr>
        <w:pStyle w:val="5"/>
        <w:bidi w:val="0"/>
        <w:rPr>
          <w:rFonts w:hint="eastAsia"/>
          <w:lang w:val="en-US" w:eastAsia="zh-CN"/>
        </w:rPr>
      </w:pPr>
      <w:r>
        <w:rPr>
          <w:rFonts w:hint="eastAsia"/>
          <w:lang w:val="en-US" w:eastAsia="zh-CN"/>
        </w:rPr>
        <w:t>评价等级及范围</w:t>
      </w:r>
    </w:p>
    <w:p w14:paraId="2BA81263">
      <w:pPr>
        <w:rPr>
          <w:rFonts w:hint="eastAsia"/>
          <w:lang w:val="en-US" w:eastAsia="zh-CN"/>
        </w:rPr>
      </w:pPr>
      <w:r>
        <w:rPr>
          <w:rFonts w:hint="eastAsia"/>
          <w:lang w:val="en-US" w:eastAsia="zh-CN"/>
        </w:rPr>
        <w:t>根据《环境影响评价技术导则  土壤环境（试行）》（HJ 964-2018）附录A，本项目属于化学纤维制造业，为II类项目。本项目为污染影响型项目，在新乡化纤股份有限公司厂区内进行建设，占地面积1.3公顷，属于小型建设项目。本项目位于工业园区内，最近的敏感点为西南860m处的夏庄村，项目周边的土壤环境敏感程度为不敏感。根据土壤环境影响评价项目类别、占地规模与敏感程度判定土壤评价工作等级为三级。评价范围为西厂区占地范围及厂界外0.05km范围内评价范围内无土壤环境敏感目标。</w:t>
      </w:r>
    </w:p>
    <w:p w14:paraId="33986D25">
      <w:pPr>
        <w:pStyle w:val="5"/>
        <w:bidi w:val="0"/>
        <w:rPr>
          <w:color w:val="auto"/>
        </w:rPr>
      </w:pPr>
      <w:r>
        <w:rPr>
          <w:rFonts w:hint="eastAsia"/>
          <w:color w:val="auto"/>
        </w:rPr>
        <w:t>土壤环境影响分析</w:t>
      </w:r>
    </w:p>
    <w:p w14:paraId="48933ED4">
      <w:pPr>
        <w:pStyle w:val="6"/>
        <w:bidi w:val="0"/>
        <w:rPr>
          <w:rFonts w:hint="default"/>
          <w:lang w:val="en-US" w:eastAsia="zh-CN"/>
        </w:rPr>
      </w:pPr>
      <w:r>
        <w:rPr>
          <w:rFonts w:hint="eastAsia"/>
          <w:lang w:val="en-US" w:eastAsia="zh-CN"/>
        </w:rPr>
        <w:t>影响途径及因子</w:t>
      </w:r>
    </w:p>
    <w:p w14:paraId="3F349A08">
      <w:pPr>
        <w:rPr>
          <w:rFonts w:hint="eastAsia"/>
          <w:lang w:val="en-US" w:eastAsia="zh-CN"/>
        </w:rPr>
      </w:pPr>
      <w:r>
        <w:rPr>
          <w:rFonts w:hint="eastAsia"/>
          <w:lang w:val="en-US" w:eastAsia="zh-CN"/>
        </w:rPr>
        <w:t>本项目原辅料及废水、废气污染物不涉及GB15618、GB36600中规定的基本项目。危险废物主要为废滤渣、废滤芯、废包装桶。</w:t>
      </w:r>
    </w:p>
    <w:p w14:paraId="68CFA632">
      <w:pPr>
        <w:rPr>
          <w:rFonts w:hint="eastAsia"/>
          <w:lang w:val="en-US" w:eastAsia="zh-CN"/>
        </w:rPr>
      </w:pPr>
      <w:r>
        <w:rPr>
          <w:rFonts w:hint="eastAsia"/>
          <w:lang w:val="en-US" w:eastAsia="zh-CN"/>
        </w:rPr>
        <w:t>污染土壤的途径主要为：纺丝油剂、溶剂发生跑冒滴漏，渗入土壤对土壤产生影响。</w:t>
      </w:r>
    </w:p>
    <w:p w14:paraId="5FBBF1E3">
      <w:pPr>
        <w:rPr>
          <w:rFonts w:hint="eastAsia"/>
          <w:lang w:val="en-US" w:eastAsia="zh-CN"/>
        </w:rPr>
      </w:pPr>
      <w:r>
        <w:rPr>
          <w:rFonts w:hint="eastAsia"/>
          <w:lang w:val="en-US" w:eastAsia="zh-CN"/>
        </w:rPr>
        <w:t>本项目对土壤环境的影响途径及因子识别分别见下表。</w:t>
      </w:r>
    </w:p>
    <w:p w14:paraId="63E8CDB8">
      <w:pPr>
        <w:pStyle w:val="10"/>
        <w:bidi w:val="0"/>
      </w:pPr>
      <w:r>
        <w:rPr>
          <w:lang w:val="en-US" w:eastAsia="zh-CN"/>
        </w:rPr>
        <w:t>表</w:t>
      </w:r>
      <w:r>
        <w:rPr>
          <w:lang w:val="en-US" w:eastAsia="zh-CN"/>
        </w:rPr>
        <w:fldChar w:fldCharType="begin"/>
      </w:r>
      <w:r>
        <w:rPr>
          <w:lang w:val="en-US" w:eastAsia="zh-CN"/>
        </w:rPr>
        <w:instrText xml:space="preserve"> STYLEREF 2 \s </w:instrText>
      </w:r>
      <w:r>
        <w:rPr>
          <w:lang w:val="en-US" w:eastAsia="zh-CN"/>
        </w:rPr>
        <w:fldChar w:fldCharType="separate"/>
      </w:r>
      <w:r>
        <w:rPr>
          <w:lang w:val="en-US" w:eastAsia="zh-CN"/>
        </w:rPr>
        <w:t>6.6</w:t>
      </w:r>
      <w:r>
        <w:rPr>
          <w:lang w:val="en-US" w:eastAsia="zh-CN"/>
        </w:rPr>
        <w:fldChar w:fldCharType="end"/>
      </w:r>
      <w:r>
        <w:rPr>
          <w:lang w:val="en-US" w:eastAsia="zh-CN"/>
        </w:rPr>
        <w:noBreakHyphen/>
      </w:r>
      <w:r>
        <w:rPr>
          <w:lang w:val="en-US" w:eastAsia="zh-CN"/>
        </w:rPr>
        <w:fldChar w:fldCharType="begin"/>
      </w:r>
      <w:r>
        <w:rPr>
          <w:lang w:val="en-US" w:eastAsia="zh-CN"/>
        </w:rPr>
        <w:instrText xml:space="preserve"> SEQ 表 \* ARABIC \s 2 </w:instrText>
      </w:r>
      <w:r>
        <w:rPr>
          <w:lang w:val="en-US" w:eastAsia="zh-CN"/>
        </w:rPr>
        <w:fldChar w:fldCharType="separate"/>
      </w:r>
      <w:r>
        <w:rPr>
          <w:lang w:val="en-US" w:eastAsia="zh-CN"/>
        </w:rPr>
        <w:t>1</w:t>
      </w:r>
      <w:r>
        <w:rPr>
          <w:lang w:val="en-US" w:eastAsia="zh-CN"/>
        </w:rPr>
        <w:fldChar w:fldCharType="end"/>
      </w:r>
      <w:r>
        <w:rPr>
          <w:lang w:val="en-US" w:eastAsia="zh-CN"/>
        </w:rPr>
        <w:t xml:space="preserve"> </w:t>
      </w:r>
      <w:r>
        <w:rPr>
          <w:rFonts w:hint="eastAsia"/>
          <w:lang w:val="en-US" w:eastAsia="zh-CN"/>
        </w:rPr>
        <w:t xml:space="preserve">   本项目土壤环境影响途径表</w:t>
      </w:r>
    </w:p>
    <w:tbl>
      <w:tblPr>
        <w:tblStyle w:val="31"/>
        <w:tblW w:w="48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3"/>
        <w:gridCol w:w="1747"/>
        <w:gridCol w:w="1749"/>
        <w:gridCol w:w="1749"/>
        <w:gridCol w:w="1235"/>
      </w:tblGrid>
      <w:tr w14:paraId="31A16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blHeader/>
          <w:jc w:val="center"/>
        </w:trPr>
        <w:tc>
          <w:tcPr>
            <w:tcW w:w="1065" w:type="pct"/>
            <w:vMerge w:val="restart"/>
            <w:noWrap w:val="0"/>
            <w:vAlign w:val="center"/>
          </w:tcPr>
          <w:p w14:paraId="6CBBAA1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不同时段</w:t>
            </w:r>
          </w:p>
        </w:tc>
        <w:tc>
          <w:tcPr>
            <w:tcW w:w="3935" w:type="pct"/>
            <w:gridSpan w:val="4"/>
            <w:noWrap w:val="0"/>
            <w:vAlign w:val="center"/>
          </w:tcPr>
          <w:p w14:paraId="3EBDFA5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污染影响型</w:t>
            </w:r>
          </w:p>
        </w:tc>
      </w:tr>
      <w:tr w14:paraId="26B97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blHeader/>
          <w:jc w:val="center"/>
        </w:trPr>
        <w:tc>
          <w:tcPr>
            <w:tcW w:w="1065" w:type="pct"/>
            <w:vMerge w:val="continue"/>
            <w:noWrap w:val="0"/>
            <w:vAlign w:val="center"/>
          </w:tcPr>
          <w:p w14:paraId="0EC199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tc>
        <w:tc>
          <w:tcPr>
            <w:tcW w:w="1061" w:type="pct"/>
            <w:noWrap w:val="0"/>
            <w:vAlign w:val="center"/>
          </w:tcPr>
          <w:p w14:paraId="7D7CCC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大气沉降</w:t>
            </w:r>
          </w:p>
        </w:tc>
        <w:tc>
          <w:tcPr>
            <w:tcW w:w="1062" w:type="pct"/>
            <w:noWrap w:val="0"/>
            <w:vAlign w:val="center"/>
          </w:tcPr>
          <w:p w14:paraId="6D7964A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地面漫流</w:t>
            </w:r>
          </w:p>
        </w:tc>
        <w:tc>
          <w:tcPr>
            <w:tcW w:w="1062" w:type="pct"/>
            <w:noWrap w:val="0"/>
            <w:vAlign w:val="center"/>
          </w:tcPr>
          <w:p w14:paraId="559B38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垂直入渗</w:t>
            </w:r>
          </w:p>
        </w:tc>
        <w:tc>
          <w:tcPr>
            <w:tcW w:w="750" w:type="pct"/>
            <w:noWrap w:val="0"/>
            <w:vAlign w:val="center"/>
          </w:tcPr>
          <w:p w14:paraId="3883890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其他</w:t>
            </w:r>
          </w:p>
        </w:tc>
      </w:tr>
      <w:tr w14:paraId="7FB71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065" w:type="pct"/>
            <w:noWrap w:val="0"/>
            <w:vAlign w:val="center"/>
          </w:tcPr>
          <w:p w14:paraId="212EC9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建设期</w:t>
            </w:r>
          </w:p>
        </w:tc>
        <w:tc>
          <w:tcPr>
            <w:tcW w:w="1061" w:type="pct"/>
            <w:noWrap w:val="0"/>
            <w:vAlign w:val="center"/>
          </w:tcPr>
          <w:p w14:paraId="08E09C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无</w:t>
            </w:r>
          </w:p>
        </w:tc>
        <w:tc>
          <w:tcPr>
            <w:tcW w:w="1062" w:type="pct"/>
            <w:noWrap w:val="0"/>
            <w:vAlign w:val="center"/>
          </w:tcPr>
          <w:p w14:paraId="0A49C3F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无</w:t>
            </w:r>
          </w:p>
        </w:tc>
        <w:tc>
          <w:tcPr>
            <w:tcW w:w="1062" w:type="pct"/>
            <w:noWrap w:val="0"/>
            <w:vAlign w:val="center"/>
          </w:tcPr>
          <w:p w14:paraId="31F555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无</w:t>
            </w:r>
          </w:p>
        </w:tc>
        <w:tc>
          <w:tcPr>
            <w:tcW w:w="750" w:type="pct"/>
            <w:noWrap w:val="0"/>
            <w:vAlign w:val="center"/>
          </w:tcPr>
          <w:p w14:paraId="3DE97B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无</w:t>
            </w:r>
          </w:p>
        </w:tc>
      </w:tr>
      <w:tr w14:paraId="4B68C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1065" w:type="pct"/>
            <w:noWrap w:val="0"/>
            <w:vAlign w:val="center"/>
          </w:tcPr>
          <w:p w14:paraId="7552144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运营期</w:t>
            </w:r>
          </w:p>
        </w:tc>
        <w:tc>
          <w:tcPr>
            <w:tcW w:w="1061" w:type="pct"/>
            <w:noWrap w:val="0"/>
            <w:vAlign w:val="center"/>
          </w:tcPr>
          <w:p w14:paraId="2D0F76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无</w:t>
            </w:r>
          </w:p>
        </w:tc>
        <w:tc>
          <w:tcPr>
            <w:tcW w:w="1062" w:type="pct"/>
            <w:noWrap w:val="0"/>
            <w:vAlign w:val="center"/>
          </w:tcPr>
          <w:p w14:paraId="39A0BB8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无</w:t>
            </w:r>
          </w:p>
        </w:tc>
        <w:tc>
          <w:tcPr>
            <w:tcW w:w="1062" w:type="pct"/>
            <w:noWrap w:val="0"/>
            <w:vAlign w:val="center"/>
          </w:tcPr>
          <w:p w14:paraId="31EA259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w:t>
            </w:r>
          </w:p>
        </w:tc>
        <w:tc>
          <w:tcPr>
            <w:tcW w:w="750" w:type="pct"/>
            <w:noWrap w:val="0"/>
            <w:vAlign w:val="center"/>
          </w:tcPr>
          <w:p w14:paraId="568DCA7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无</w:t>
            </w:r>
          </w:p>
        </w:tc>
      </w:tr>
    </w:tbl>
    <w:p w14:paraId="14A45B06">
      <w:pPr>
        <w:pStyle w:val="10"/>
        <w:bidi w:val="0"/>
        <w:rPr>
          <w:lang w:val="en-US" w:eastAsia="zh-CN"/>
        </w:rPr>
      </w:pPr>
      <w:r>
        <w:rPr>
          <w:lang w:val="en-US" w:eastAsia="zh-CN"/>
        </w:rPr>
        <w:t>表</w:t>
      </w:r>
      <w:r>
        <w:rPr>
          <w:lang w:val="en-US" w:eastAsia="zh-CN"/>
        </w:rPr>
        <w:fldChar w:fldCharType="begin"/>
      </w:r>
      <w:r>
        <w:rPr>
          <w:lang w:val="en-US" w:eastAsia="zh-CN"/>
        </w:rPr>
        <w:instrText xml:space="preserve"> STYLEREF 2 \s </w:instrText>
      </w:r>
      <w:r>
        <w:rPr>
          <w:lang w:val="en-US" w:eastAsia="zh-CN"/>
        </w:rPr>
        <w:fldChar w:fldCharType="separate"/>
      </w:r>
      <w:r>
        <w:rPr>
          <w:lang w:val="en-US" w:eastAsia="zh-CN"/>
        </w:rPr>
        <w:t>6.6</w:t>
      </w:r>
      <w:r>
        <w:rPr>
          <w:lang w:val="en-US" w:eastAsia="zh-CN"/>
        </w:rPr>
        <w:fldChar w:fldCharType="end"/>
      </w:r>
      <w:r>
        <w:rPr>
          <w:lang w:val="en-US" w:eastAsia="zh-CN"/>
        </w:rPr>
        <w:noBreakHyphen/>
      </w:r>
      <w:r>
        <w:rPr>
          <w:lang w:val="en-US" w:eastAsia="zh-CN"/>
        </w:rPr>
        <w:fldChar w:fldCharType="begin"/>
      </w:r>
      <w:r>
        <w:rPr>
          <w:lang w:val="en-US" w:eastAsia="zh-CN"/>
        </w:rPr>
        <w:instrText xml:space="preserve"> SEQ 表 \* ARABIC \s 2 </w:instrText>
      </w:r>
      <w:r>
        <w:rPr>
          <w:lang w:val="en-US" w:eastAsia="zh-CN"/>
        </w:rPr>
        <w:fldChar w:fldCharType="separate"/>
      </w:r>
      <w:r>
        <w:rPr>
          <w:lang w:val="en-US" w:eastAsia="zh-CN"/>
        </w:rPr>
        <w:t>2</w:t>
      </w:r>
      <w:r>
        <w:rPr>
          <w:lang w:val="en-US" w:eastAsia="zh-CN"/>
        </w:rPr>
        <w:fldChar w:fldCharType="end"/>
      </w:r>
      <w:r>
        <w:rPr>
          <w:lang w:val="en-US" w:eastAsia="zh-CN"/>
        </w:rPr>
        <w:t xml:space="preserve"> </w:t>
      </w:r>
      <w:r>
        <w:rPr>
          <w:rFonts w:hint="eastAsia"/>
          <w:lang w:val="en-US" w:eastAsia="zh-CN"/>
        </w:rPr>
        <w:t xml:space="preserve">  本项目土壤环境影响源及影响因子识别表</w:t>
      </w:r>
    </w:p>
    <w:tbl>
      <w:tblPr>
        <w:tblStyle w:val="31"/>
        <w:tblW w:w="5000" w:type="pct"/>
        <w:tblInd w:w="-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210"/>
        <w:gridCol w:w="1819"/>
        <w:gridCol w:w="2078"/>
        <w:gridCol w:w="2206"/>
      </w:tblGrid>
      <w:tr w14:paraId="4AD98C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8" w:hRule="atLeast"/>
          <w:tblHeader/>
        </w:trPr>
        <w:tc>
          <w:tcPr>
            <w:tcW w:w="1329" w:type="pct"/>
            <w:noWrap w:val="0"/>
            <w:vAlign w:val="center"/>
          </w:tcPr>
          <w:p w14:paraId="494086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污染源</w:t>
            </w:r>
          </w:p>
        </w:tc>
        <w:tc>
          <w:tcPr>
            <w:tcW w:w="1094" w:type="pct"/>
            <w:noWrap w:val="0"/>
            <w:vAlign w:val="center"/>
          </w:tcPr>
          <w:p w14:paraId="6CDFB0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工艺流程</w:t>
            </w:r>
            <w:r>
              <w:rPr>
                <w:rFonts w:hint="eastAsia"/>
                <w:b/>
                <w:bCs/>
              </w:rPr>
              <w:t>/</w:t>
            </w:r>
            <w:r>
              <w:rPr>
                <w:rFonts w:hint="eastAsia"/>
              </w:rPr>
              <w:t>节点</w:t>
            </w:r>
          </w:p>
        </w:tc>
        <w:tc>
          <w:tcPr>
            <w:tcW w:w="1250" w:type="pct"/>
            <w:noWrap w:val="0"/>
            <w:vAlign w:val="center"/>
          </w:tcPr>
          <w:p w14:paraId="4292E63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污染途径</w:t>
            </w:r>
          </w:p>
        </w:tc>
        <w:tc>
          <w:tcPr>
            <w:tcW w:w="1327" w:type="pct"/>
            <w:noWrap w:val="0"/>
            <w:vAlign w:val="center"/>
          </w:tcPr>
          <w:p w14:paraId="28C27B0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特征因子</w:t>
            </w:r>
          </w:p>
        </w:tc>
      </w:tr>
      <w:tr w14:paraId="221148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 w:hRule="atLeast"/>
        </w:trPr>
        <w:tc>
          <w:tcPr>
            <w:tcW w:w="1329" w:type="pct"/>
            <w:noWrap w:val="0"/>
            <w:vAlign w:val="center"/>
          </w:tcPr>
          <w:p w14:paraId="3B28EDE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车间</w:t>
            </w:r>
          </w:p>
        </w:tc>
        <w:tc>
          <w:tcPr>
            <w:tcW w:w="1094" w:type="pct"/>
            <w:noWrap w:val="0"/>
            <w:vAlign w:val="center"/>
          </w:tcPr>
          <w:p w14:paraId="1801F6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上油</w:t>
            </w:r>
          </w:p>
        </w:tc>
        <w:tc>
          <w:tcPr>
            <w:tcW w:w="1250" w:type="pct"/>
            <w:noWrap w:val="0"/>
            <w:vAlign w:val="center"/>
          </w:tcPr>
          <w:p w14:paraId="752CBDD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垂直入渗</w:t>
            </w:r>
          </w:p>
        </w:tc>
        <w:tc>
          <w:tcPr>
            <w:tcW w:w="1327" w:type="pct"/>
            <w:noWrap w:val="0"/>
            <w:vAlign w:val="center"/>
          </w:tcPr>
          <w:p w14:paraId="07134D7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石油烃</w:t>
            </w:r>
          </w:p>
        </w:tc>
      </w:tr>
    </w:tbl>
    <w:p w14:paraId="4A1B7BCD">
      <w:pPr>
        <w:pStyle w:val="6"/>
        <w:bidi w:val="0"/>
        <w:rPr>
          <w:rFonts w:hint="default"/>
          <w:lang w:val="en-US" w:eastAsia="zh-CN"/>
        </w:rPr>
      </w:pPr>
      <w:r>
        <w:rPr>
          <w:rFonts w:hint="eastAsia"/>
          <w:lang w:val="en-US" w:eastAsia="zh-CN"/>
        </w:rPr>
        <w:t>土壤环境保护措施</w:t>
      </w:r>
    </w:p>
    <w:p w14:paraId="2450E15E">
      <w:pPr>
        <w:bidi w:val="0"/>
        <w:rPr>
          <w:rFonts w:hint="eastAsia"/>
          <w:color w:val="auto"/>
        </w:rPr>
      </w:pPr>
      <w:r>
        <w:rPr>
          <w:rFonts w:hint="eastAsia"/>
          <w:color w:val="auto"/>
        </w:rPr>
        <w:t>（1）源头控制措施</w:t>
      </w:r>
    </w:p>
    <w:p w14:paraId="4758B631">
      <w:pPr>
        <w:bidi w:val="0"/>
        <w:rPr>
          <w:rFonts w:hint="eastAsia"/>
          <w:color w:val="auto"/>
        </w:rPr>
      </w:pPr>
      <w:r>
        <w:rPr>
          <w:rFonts w:hint="eastAsia"/>
          <w:b/>
          <w:bCs/>
          <w:color w:val="auto"/>
          <w:u w:val="single"/>
          <w:lang w:val="en-US" w:eastAsia="zh-CN"/>
        </w:rPr>
        <w:t>生产</w:t>
      </w:r>
      <w:r>
        <w:rPr>
          <w:rFonts w:hint="eastAsia"/>
          <w:b/>
          <w:bCs/>
          <w:color w:val="auto"/>
          <w:u w:val="single"/>
        </w:rPr>
        <w:t>车间</w:t>
      </w:r>
      <w:r>
        <w:rPr>
          <w:rFonts w:hint="eastAsia"/>
          <w:b/>
          <w:bCs/>
          <w:color w:val="auto"/>
          <w:u w:val="single"/>
          <w:lang w:val="en-US" w:eastAsia="zh-CN"/>
        </w:rPr>
        <w:t>采用重点防渗措施，</w:t>
      </w:r>
      <w:r>
        <w:rPr>
          <w:rFonts w:hint="eastAsia"/>
          <w:b/>
          <w:bCs/>
          <w:color w:val="auto"/>
          <w:u w:val="single"/>
        </w:rPr>
        <w:t>厂区内危废暂存间地面已进行硬化防渗处理，并且有防风、防雨及防渗的“三防”措施；危险废物的贮存严格按照《危险废物贮存污染控制标准》（GB 18597-2023）中相关规定进行</w:t>
      </w:r>
      <w:r>
        <w:rPr>
          <w:rFonts w:hint="eastAsia"/>
          <w:b/>
          <w:bCs/>
          <w:color w:val="auto"/>
          <w:u w:val="single"/>
          <w:lang w:eastAsia="zh-CN"/>
        </w:rPr>
        <w:t>，</w:t>
      </w:r>
      <w:r>
        <w:rPr>
          <w:rFonts w:hint="eastAsia"/>
          <w:color w:val="auto"/>
        </w:rPr>
        <w:t>切断其对土壤环境的影响源。厂区生产区地面全部硬化，做好雨水收集工作，雨污分流，初期雨水排入污水站处理，其他雨水经雨水管道排入市政雨水系统，避免雨水下渗到土壤中。</w:t>
      </w:r>
    </w:p>
    <w:p w14:paraId="3AB5C26D">
      <w:pPr>
        <w:bidi w:val="0"/>
        <w:rPr>
          <w:rFonts w:hint="eastAsia"/>
          <w:color w:val="auto"/>
        </w:rPr>
      </w:pPr>
      <w:r>
        <w:rPr>
          <w:rFonts w:hint="eastAsia"/>
          <w:color w:val="auto"/>
        </w:rPr>
        <w:t>（2）过程控制措施</w:t>
      </w:r>
    </w:p>
    <w:p w14:paraId="3DCBBFC4">
      <w:pPr>
        <w:bidi w:val="0"/>
        <w:rPr>
          <w:rFonts w:hint="eastAsia"/>
          <w:color w:val="auto"/>
        </w:rPr>
      </w:pPr>
      <w:r>
        <w:rPr>
          <w:rFonts w:hint="eastAsia"/>
          <w:color w:val="auto"/>
        </w:rPr>
        <w:t>项目占地范围内裸露地面须采取必要的绿化措施，其他生产区及办公区路面全部硬化，落实厂区“分区防渗”。</w:t>
      </w:r>
    </w:p>
    <w:p w14:paraId="0C722780">
      <w:pPr>
        <w:pStyle w:val="6"/>
        <w:bidi w:val="0"/>
        <w:rPr>
          <w:rFonts w:hint="eastAsia"/>
        </w:rPr>
      </w:pPr>
      <w:r>
        <w:rPr>
          <w:rFonts w:hint="eastAsia"/>
          <w:lang w:val="en-US" w:eastAsia="zh-CN"/>
        </w:rPr>
        <w:t>土壤环境影响分析</w:t>
      </w:r>
    </w:p>
    <w:p w14:paraId="2CFB4D90">
      <w:pPr>
        <w:rPr>
          <w:rFonts w:hint="eastAsia"/>
          <w:b/>
          <w:bCs/>
          <w:u w:val="single"/>
          <w:lang w:val="en-US" w:eastAsia="zh-CN"/>
        </w:rPr>
      </w:pPr>
      <w:r>
        <w:rPr>
          <w:rFonts w:hint="eastAsia"/>
          <w:b/>
          <w:bCs/>
          <w:u w:val="single"/>
        </w:rPr>
        <w:t>根据《环境影响评价技术导则土壤环境（试行）》（HJ 964-2018），评价工作等级为三级的建设项目，可采用定性描述或类比分析法进行预测。</w:t>
      </w:r>
      <w:r>
        <w:rPr>
          <w:rFonts w:hint="eastAsia"/>
          <w:b/>
          <w:bCs/>
          <w:u w:val="single"/>
          <w:lang w:val="en-US" w:eastAsia="zh-CN"/>
        </w:rPr>
        <w:t>本项目采用定性描述进行分析。</w:t>
      </w:r>
    </w:p>
    <w:p w14:paraId="6F473DE5">
      <w:pPr>
        <w:rPr>
          <w:rFonts w:hint="default"/>
          <w:b/>
          <w:bCs/>
          <w:u w:val="single"/>
          <w:lang w:val="en-US" w:eastAsia="zh-CN"/>
        </w:rPr>
      </w:pPr>
      <w:r>
        <w:rPr>
          <w:rFonts w:hint="eastAsia"/>
          <w:b/>
          <w:bCs/>
          <w:u w:val="single"/>
          <w:lang w:val="en-US" w:eastAsia="zh-CN"/>
        </w:rPr>
        <w:t>项目对土壤的影响主要为垂直入渗，项目原料皆为密闭桶装</w:t>
      </w:r>
      <w:r>
        <w:rPr>
          <w:rFonts w:hint="default"/>
          <w:b/>
          <w:bCs/>
          <w:u w:val="single"/>
          <w:lang w:val="en-US" w:eastAsia="zh-CN"/>
        </w:rPr>
        <w:t>，</w:t>
      </w:r>
      <w:r>
        <w:rPr>
          <w:rFonts w:hint="eastAsia"/>
          <w:b/>
          <w:bCs/>
          <w:u w:val="single"/>
          <w:lang w:val="en-US" w:eastAsia="zh-CN"/>
        </w:rPr>
        <w:t>且</w:t>
      </w:r>
      <w:r>
        <w:rPr>
          <w:rFonts w:hint="default"/>
          <w:b/>
          <w:bCs/>
          <w:u w:val="single"/>
          <w:lang w:val="en-US" w:eastAsia="zh-CN"/>
        </w:rPr>
        <w:t>企业在</w:t>
      </w:r>
      <w:r>
        <w:rPr>
          <w:rFonts w:hint="eastAsia"/>
          <w:b/>
          <w:bCs/>
          <w:u w:val="single"/>
          <w:lang w:val="en-US" w:eastAsia="zh-CN"/>
        </w:rPr>
        <w:t>生产车间及危废间</w:t>
      </w:r>
      <w:r>
        <w:rPr>
          <w:rFonts w:hint="default"/>
          <w:b/>
          <w:bCs/>
          <w:u w:val="single"/>
          <w:lang w:val="en-US" w:eastAsia="zh-CN"/>
        </w:rPr>
        <w:t>进行防渗处理，如果发生泄漏，能及时发现并及时清理，防止</w:t>
      </w:r>
      <w:r>
        <w:rPr>
          <w:rFonts w:hint="eastAsia"/>
          <w:b/>
          <w:bCs/>
          <w:u w:val="single"/>
          <w:lang w:val="en-US" w:eastAsia="zh-CN"/>
        </w:rPr>
        <w:t>泄露</w:t>
      </w:r>
      <w:r>
        <w:rPr>
          <w:rFonts w:hint="default"/>
          <w:b/>
          <w:bCs/>
          <w:u w:val="single"/>
          <w:lang w:val="en-US" w:eastAsia="zh-CN"/>
        </w:rPr>
        <w:t>进入土壤对土壤造成污染</w:t>
      </w:r>
      <w:r>
        <w:rPr>
          <w:rFonts w:hint="eastAsia"/>
          <w:b/>
          <w:bCs/>
          <w:u w:val="single"/>
          <w:lang w:val="en-US" w:eastAsia="zh-CN"/>
        </w:rPr>
        <w:t>；同时</w:t>
      </w:r>
      <w:r>
        <w:rPr>
          <w:rFonts w:hint="default"/>
          <w:b/>
          <w:bCs/>
          <w:u w:val="single"/>
          <w:lang w:val="en-US" w:eastAsia="zh-CN"/>
        </w:rPr>
        <w:t>企业</w:t>
      </w:r>
      <w:r>
        <w:rPr>
          <w:rFonts w:hint="eastAsia"/>
          <w:b/>
          <w:bCs/>
          <w:u w:val="single"/>
          <w:lang w:val="en-US" w:eastAsia="zh-CN"/>
        </w:rPr>
        <w:t>应</w:t>
      </w:r>
      <w:r>
        <w:rPr>
          <w:rFonts w:hint="default"/>
          <w:b/>
          <w:bCs/>
          <w:u w:val="single"/>
          <w:lang w:val="en-US" w:eastAsia="zh-CN"/>
        </w:rPr>
        <w:t>加强巡视、适当增加巡检次数，保证防渗措施正常有效，如发现防渗层裂缝等特殊状况，及时进行处理及修复，防止物料进入土壤。</w:t>
      </w:r>
      <w:r>
        <w:rPr>
          <w:rFonts w:hint="eastAsia"/>
          <w:b/>
          <w:bCs/>
          <w:u w:val="single"/>
          <w:lang w:val="en-US" w:eastAsia="zh-CN"/>
        </w:rPr>
        <w:t>综上，项目发生泄露入渗影响土壤的可能性较小，发生泄露可以及时处理，本项目对土壤造成影响可接受。</w:t>
      </w:r>
    </w:p>
    <w:p w14:paraId="69A26648">
      <w:pPr>
        <w:pStyle w:val="6"/>
        <w:bidi w:val="0"/>
        <w:rPr>
          <w:rFonts w:hint="default"/>
          <w:lang w:val="en-US" w:eastAsia="zh-CN"/>
        </w:rPr>
      </w:pPr>
      <w:r>
        <w:rPr>
          <w:rFonts w:hint="eastAsia"/>
          <w:lang w:val="en-US" w:eastAsia="zh-CN"/>
        </w:rPr>
        <w:t>土壤环境影响评价结论</w:t>
      </w:r>
    </w:p>
    <w:p w14:paraId="74C7DF5B">
      <w:pPr>
        <w:bidi w:val="0"/>
        <w:rPr>
          <w:rFonts w:hint="eastAsia"/>
          <w:color w:val="auto"/>
        </w:rPr>
      </w:pPr>
      <w:r>
        <w:rPr>
          <w:rFonts w:hint="eastAsia"/>
          <w:color w:val="auto"/>
        </w:rPr>
        <w:t>本项目对各类污染物采取了相应的污染治理措施，正常工况下可确保污染物渗漏不会发生。非正常工况下，及时发现问题并采取措施阻隔污染源，防止进一步污染；同时，定期对附近土壤进行跟踪监测，及时掌握了解土壤变化状况，以便及时发现问题并及时采取措施。在上述各措施落实到位的情况下，</w:t>
      </w:r>
      <w:r>
        <w:rPr>
          <w:rFonts w:hint="eastAsia"/>
          <w:color w:val="auto"/>
          <w:lang w:val="en-US" w:eastAsia="zh-CN"/>
        </w:rPr>
        <w:t>本项目对</w:t>
      </w:r>
      <w:r>
        <w:rPr>
          <w:rFonts w:hint="eastAsia"/>
          <w:color w:val="auto"/>
        </w:rPr>
        <w:t>土壤造成影响</w:t>
      </w:r>
      <w:r>
        <w:rPr>
          <w:rFonts w:hint="eastAsia"/>
          <w:color w:val="auto"/>
          <w:lang w:val="en-US" w:eastAsia="zh-CN"/>
        </w:rPr>
        <w:t>可接受</w:t>
      </w:r>
      <w:r>
        <w:rPr>
          <w:rFonts w:hint="eastAsia"/>
          <w:color w:val="auto"/>
        </w:rPr>
        <w:t>。</w:t>
      </w:r>
    </w:p>
    <w:p w14:paraId="372DDDB3">
      <w:pPr>
        <w:pStyle w:val="10"/>
        <w:bidi w:val="0"/>
      </w:pPr>
      <w:r>
        <w:t>表</w:t>
      </w:r>
      <w:r>
        <w:fldChar w:fldCharType="begin"/>
      </w:r>
      <w:r>
        <w:instrText xml:space="preserve"> STYLEREF 2 \s </w:instrText>
      </w:r>
      <w:r>
        <w:fldChar w:fldCharType="separate"/>
      </w:r>
      <w:r>
        <w:t>6.6</w:t>
      </w:r>
      <w:r>
        <w:fldChar w:fldCharType="end"/>
      </w:r>
      <w:r>
        <w:noBreakHyphen/>
      </w:r>
      <w:r>
        <w:fldChar w:fldCharType="begin"/>
      </w:r>
      <w:r>
        <w:instrText xml:space="preserve"> SEQ 表 \* ARABIC \s 2 </w:instrText>
      </w:r>
      <w:r>
        <w:fldChar w:fldCharType="separate"/>
      </w:r>
      <w:r>
        <w:t>3</w:t>
      </w:r>
      <w:r>
        <w:fldChar w:fldCharType="end"/>
      </w:r>
      <w:r>
        <w:t xml:space="preserve"> </w:t>
      </w:r>
      <w:r>
        <w:rPr>
          <w:rFonts w:hint="eastAsia"/>
        </w:rPr>
        <w:t xml:space="preserve">  土壤环境影响评价自查表</w:t>
      </w:r>
    </w:p>
    <w:tbl>
      <w:tblPr>
        <w:tblStyle w:val="31"/>
        <w:tblW w:w="5046"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35"/>
        <w:gridCol w:w="1438"/>
        <w:gridCol w:w="1775"/>
        <w:gridCol w:w="1094"/>
        <w:gridCol w:w="268"/>
        <w:gridCol w:w="1349"/>
        <w:gridCol w:w="100"/>
        <w:gridCol w:w="982"/>
        <w:gridCol w:w="853"/>
      </w:tblGrid>
      <w:tr w14:paraId="05BC6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1174" w:type="pct"/>
            <w:gridSpan w:val="2"/>
            <w:noWrap w:val="0"/>
            <w:vAlign w:val="center"/>
          </w:tcPr>
          <w:p w14:paraId="121DAB7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hint="eastAsia"/>
                <w:b/>
              </w:rPr>
              <w:t>工作内容</w:t>
            </w:r>
          </w:p>
        </w:tc>
        <w:tc>
          <w:tcPr>
            <w:tcW w:w="3317" w:type="pct"/>
            <w:gridSpan w:val="6"/>
            <w:noWrap w:val="0"/>
            <w:vAlign w:val="center"/>
          </w:tcPr>
          <w:p w14:paraId="344F16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hint="eastAsia"/>
                <w:b/>
              </w:rPr>
              <w:t>完成情况</w:t>
            </w:r>
          </w:p>
        </w:tc>
        <w:tc>
          <w:tcPr>
            <w:tcW w:w="508" w:type="pct"/>
            <w:noWrap w:val="0"/>
            <w:vAlign w:val="center"/>
          </w:tcPr>
          <w:p w14:paraId="327146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rPr>
            </w:pPr>
            <w:r>
              <w:rPr>
                <w:rFonts w:hint="eastAsia"/>
                <w:b/>
              </w:rPr>
              <w:t>备注</w:t>
            </w:r>
          </w:p>
        </w:tc>
      </w:tr>
      <w:tr w14:paraId="36273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restart"/>
            <w:noWrap w:val="0"/>
            <w:vAlign w:val="center"/>
          </w:tcPr>
          <w:p w14:paraId="0412381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p w14:paraId="74E6E10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p w14:paraId="1980CF2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p w14:paraId="730448D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影响</w:t>
            </w:r>
          </w:p>
          <w:p w14:paraId="4712FD1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识别</w:t>
            </w:r>
          </w:p>
        </w:tc>
        <w:tc>
          <w:tcPr>
            <w:tcW w:w="856" w:type="pct"/>
            <w:noWrap w:val="0"/>
            <w:vAlign w:val="center"/>
          </w:tcPr>
          <w:p w14:paraId="44250B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影响类型</w:t>
            </w:r>
          </w:p>
        </w:tc>
        <w:tc>
          <w:tcPr>
            <w:tcW w:w="3317" w:type="pct"/>
            <w:gridSpan w:val="6"/>
            <w:noWrap w:val="0"/>
            <w:vAlign w:val="center"/>
          </w:tcPr>
          <w:p w14:paraId="0B7B34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污染影响型</w:t>
            </w:r>
            <w:r>
              <w:rPr>
                <w:rFonts w:hint="eastAsia" w:ascii="MS Gothic" w:hAnsi="MS Gothic" w:eastAsia="MS Gothic" w:cs="MS Gothic"/>
              </w:rPr>
              <w:t>☑</w:t>
            </w:r>
            <w:r>
              <w:rPr>
                <w:rFonts w:hint="eastAsia"/>
              </w:rPr>
              <w:t>;生态影响型口；两种兼有口</w:t>
            </w:r>
          </w:p>
        </w:tc>
        <w:tc>
          <w:tcPr>
            <w:tcW w:w="508" w:type="pct"/>
            <w:noWrap w:val="0"/>
            <w:vAlign w:val="center"/>
          </w:tcPr>
          <w:p w14:paraId="19DC636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r w14:paraId="713F3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12C9F43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c>
          <w:tcPr>
            <w:tcW w:w="856" w:type="pct"/>
            <w:noWrap w:val="0"/>
            <w:vAlign w:val="center"/>
          </w:tcPr>
          <w:p w14:paraId="6E096CE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土地利用类型</w:t>
            </w:r>
          </w:p>
        </w:tc>
        <w:tc>
          <w:tcPr>
            <w:tcW w:w="3317" w:type="pct"/>
            <w:gridSpan w:val="6"/>
            <w:noWrap w:val="0"/>
            <w:vAlign w:val="center"/>
          </w:tcPr>
          <w:p w14:paraId="2C4FA23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建设用地</w:t>
            </w:r>
            <w:r>
              <w:rPr>
                <w:rFonts w:hint="eastAsia" w:ascii="MS Gothic" w:hAnsi="MS Gothic" w:eastAsia="MS Gothic" w:cs="MS Gothic"/>
              </w:rPr>
              <w:t>☑</w:t>
            </w:r>
            <w:r>
              <w:rPr>
                <w:rFonts w:hint="eastAsia"/>
              </w:rPr>
              <w:t>;农用地口；未利用地口</w:t>
            </w:r>
          </w:p>
        </w:tc>
        <w:tc>
          <w:tcPr>
            <w:tcW w:w="508" w:type="pct"/>
            <w:noWrap w:val="0"/>
            <w:vAlign w:val="center"/>
          </w:tcPr>
          <w:p w14:paraId="698B14E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土地利用类型图</w:t>
            </w:r>
          </w:p>
        </w:tc>
      </w:tr>
      <w:tr w14:paraId="47A79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6DA4398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856" w:type="pct"/>
            <w:noWrap w:val="0"/>
            <w:vAlign w:val="center"/>
          </w:tcPr>
          <w:p w14:paraId="3E544AD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占地规模</w:t>
            </w:r>
          </w:p>
        </w:tc>
        <w:tc>
          <w:tcPr>
            <w:tcW w:w="3317" w:type="pct"/>
            <w:gridSpan w:val="6"/>
            <w:noWrap w:val="0"/>
            <w:vAlign w:val="center"/>
          </w:tcPr>
          <w:p w14:paraId="3D0095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（1.3）hm</w:t>
            </w:r>
            <w:r>
              <w:rPr>
                <w:rFonts w:hint="eastAsia"/>
                <w:vertAlign w:val="superscript"/>
              </w:rPr>
              <w:t>2</w:t>
            </w:r>
          </w:p>
        </w:tc>
        <w:tc>
          <w:tcPr>
            <w:tcW w:w="508" w:type="pct"/>
            <w:noWrap w:val="0"/>
            <w:vAlign w:val="center"/>
          </w:tcPr>
          <w:p w14:paraId="6D5C68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r>
      <w:tr w14:paraId="68E75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19FADE9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856" w:type="pct"/>
            <w:noWrap w:val="0"/>
            <w:vAlign w:val="center"/>
          </w:tcPr>
          <w:p w14:paraId="6216D0D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敏感目标信息</w:t>
            </w:r>
          </w:p>
        </w:tc>
        <w:tc>
          <w:tcPr>
            <w:tcW w:w="3317" w:type="pct"/>
            <w:gridSpan w:val="6"/>
            <w:noWrap w:val="0"/>
            <w:vAlign w:val="center"/>
          </w:tcPr>
          <w:p w14:paraId="3CDCE5A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敏感目标（/）、方位（）、距离()</w:t>
            </w:r>
          </w:p>
        </w:tc>
        <w:tc>
          <w:tcPr>
            <w:tcW w:w="508" w:type="pct"/>
            <w:noWrap w:val="0"/>
            <w:vAlign w:val="center"/>
          </w:tcPr>
          <w:p w14:paraId="2F537F5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r w14:paraId="1F820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313BDE8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c>
          <w:tcPr>
            <w:tcW w:w="856" w:type="pct"/>
            <w:noWrap w:val="0"/>
            <w:vAlign w:val="center"/>
          </w:tcPr>
          <w:p w14:paraId="562BDB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影响途径</w:t>
            </w:r>
          </w:p>
        </w:tc>
        <w:tc>
          <w:tcPr>
            <w:tcW w:w="3317" w:type="pct"/>
            <w:gridSpan w:val="6"/>
            <w:noWrap w:val="0"/>
            <w:vAlign w:val="center"/>
          </w:tcPr>
          <w:p w14:paraId="36334C2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大气沉降口;地面漫流口；垂直入渗</w:t>
            </w:r>
            <w:r>
              <w:rPr>
                <w:rFonts w:hint="eastAsia" w:ascii="MS Gothic" w:hAnsi="MS Gothic" w:eastAsia="MS Gothic" w:cs="MS Gothic"/>
              </w:rPr>
              <w:t>☑</w:t>
            </w:r>
            <w:r>
              <w:rPr>
                <w:rFonts w:hint="eastAsia"/>
              </w:rPr>
              <w:t>;地下水位口；其他()</w:t>
            </w:r>
          </w:p>
        </w:tc>
        <w:tc>
          <w:tcPr>
            <w:tcW w:w="508" w:type="pct"/>
            <w:noWrap w:val="0"/>
            <w:vAlign w:val="center"/>
          </w:tcPr>
          <w:p w14:paraId="7C1C0F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r w14:paraId="54E2B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2660CB7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c>
          <w:tcPr>
            <w:tcW w:w="856" w:type="pct"/>
            <w:noWrap w:val="0"/>
            <w:vAlign w:val="center"/>
          </w:tcPr>
          <w:p w14:paraId="6551A71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全部污染物</w:t>
            </w:r>
          </w:p>
        </w:tc>
        <w:tc>
          <w:tcPr>
            <w:tcW w:w="3317" w:type="pct"/>
            <w:gridSpan w:val="6"/>
            <w:noWrap w:val="0"/>
            <w:vAlign w:val="center"/>
          </w:tcPr>
          <w:p w14:paraId="68C41F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508" w:type="pct"/>
            <w:noWrap w:val="0"/>
            <w:vAlign w:val="center"/>
          </w:tcPr>
          <w:p w14:paraId="185AB24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r>
      <w:tr w14:paraId="0D7FB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136944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856" w:type="pct"/>
            <w:noWrap w:val="0"/>
            <w:vAlign w:val="center"/>
          </w:tcPr>
          <w:p w14:paraId="6423536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特征因子</w:t>
            </w:r>
          </w:p>
        </w:tc>
        <w:tc>
          <w:tcPr>
            <w:tcW w:w="3317" w:type="pct"/>
            <w:gridSpan w:val="6"/>
            <w:noWrap w:val="0"/>
            <w:vAlign w:val="center"/>
          </w:tcPr>
          <w:p w14:paraId="107D4BD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w:t>
            </w:r>
          </w:p>
        </w:tc>
        <w:tc>
          <w:tcPr>
            <w:tcW w:w="508" w:type="pct"/>
            <w:noWrap w:val="0"/>
            <w:vAlign w:val="center"/>
          </w:tcPr>
          <w:p w14:paraId="4F679F5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r>
      <w:tr w14:paraId="029F7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4D457F3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856" w:type="pct"/>
            <w:noWrap w:val="0"/>
            <w:vAlign w:val="center"/>
          </w:tcPr>
          <w:p w14:paraId="433387E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所属土壤环境影响</w:t>
            </w:r>
          </w:p>
        </w:tc>
        <w:tc>
          <w:tcPr>
            <w:tcW w:w="3317" w:type="pct"/>
            <w:gridSpan w:val="6"/>
            <w:noWrap w:val="0"/>
            <w:vAlign w:val="center"/>
          </w:tcPr>
          <w:p w14:paraId="3DAD91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Ⅰ类口;Ⅱ类</w:t>
            </w:r>
            <w:r>
              <w:rPr>
                <w:rFonts w:hint="eastAsia" w:ascii="MS Gothic" w:hAnsi="MS Gothic" w:eastAsia="MS Gothic" w:cs="MS Gothic"/>
              </w:rPr>
              <w:t>☑</w:t>
            </w:r>
            <w:r>
              <w:rPr>
                <w:rFonts w:hint="eastAsia"/>
              </w:rPr>
              <w:t>；Ⅲ类口；Ⅳ类口</w:t>
            </w:r>
          </w:p>
        </w:tc>
        <w:tc>
          <w:tcPr>
            <w:tcW w:w="508" w:type="pct"/>
            <w:noWrap w:val="0"/>
            <w:vAlign w:val="center"/>
          </w:tcPr>
          <w:p w14:paraId="5FB9A36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r w14:paraId="142A6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4C12A9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p>
        </w:tc>
        <w:tc>
          <w:tcPr>
            <w:tcW w:w="856" w:type="pct"/>
            <w:noWrap w:val="0"/>
            <w:vAlign w:val="center"/>
          </w:tcPr>
          <w:p w14:paraId="1589AA3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敏感程度</w:t>
            </w:r>
          </w:p>
        </w:tc>
        <w:tc>
          <w:tcPr>
            <w:tcW w:w="3317" w:type="pct"/>
            <w:gridSpan w:val="6"/>
            <w:noWrap w:val="0"/>
            <w:vAlign w:val="center"/>
          </w:tcPr>
          <w:p w14:paraId="2C2BA6C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敏感口；较敏感口；不敏感</w:t>
            </w:r>
            <w:r>
              <w:rPr>
                <w:rFonts w:hint="eastAsia" w:ascii="MS Gothic" w:hAnsi="MS Gothic" w:eastAsia="MS Gothic" w:cs="MS Gothic"/>
              </w:rPr>
              <w:t>☑</w:t>
            </w:r>
          </w:p>
        </w:tc>
        <w:tc>
          <w:tcPr>
            <w:tcW w:w="508" w:type="pct"/>
            <w:noWrap w:val="0"/>
            <w:vAlign w:val="center"/>
          </w:tcPr>
          <w:p w14:paraId="79B6E6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r w14:paraId="58CAF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74" w:type="pct"/>
            <w:gridSpan w:val="2"/>
            <w:noWrap w:val="0"/>
            <w:vAlign w:val="center"/>
          </w:tcPr>
          <w:p w14:paraId="4617A20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评价工作等级</w:t>
            </w:r>
          </w:p>
        </w:tc>
        <w:tc>
          <w:tcPr>
            <w:tcW w:w="3317" w:type="pct"/>
            <w:gridSpan w:val="6"/>
            <w:noWrap w:val="0"/>
            <w:vAlign w:val="center"/>
          </w:tcPr>
          <w:p w14:paraId="2F21A3A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一级口；二级口</w:t>
            </w:r>
            <w:r>
              <w:rPr>
                <w:rFonts w:hint="eastAsia" w:ascii="宋体" w:hAnsi="宋体" w:cs="宋体"/>
              </w:rPr>
              <w:t>；三级</w:t>
            </w:r>
            <w:r>
              <w:rPr>
                <w:rFonts w:hint="eastAsia" w:ascii="MS Gothic" w:hAnsi="MS Gothic" w:eastAsia="MS Gothic" w:cs="MS Gothic"/>
              </w:rPr>
              <w:t>☑</w:t>
            </w:r>
          </w:p>
        </w:tc>
        <w:tc>
          <w:tcPr>
            <w:tcW w:w="508" w:type="pct"/>
            <w:noWrap w:val="0"/>
            <w:vAlign w:val="center"/>
          </w:tcPr>
          <w:p w14:paraId="7C02CB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r w14:paraId="77AD3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restart"/>
            <w:noWrap w:val="0"/>
            <w:vAlign w:val="center"/>
          </w:tcPr>
          <w:p w14:paraId="58AD69C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04C7336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1E3BD5D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1BE182D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202831B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p>
          <w:p w14:paraId="2704EAB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现状</w:t>
            </w:r>
          </w:p>
          <w:p w14:paraId="0160C73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调查</w:t>
            </w:r>
          </w:p>
          <w:p w14:paraId="517F43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内容</w:t>
            </w:r>
          </w:p>
        </w:tc>
        <w:tc>
          <w:tcPr>
            <w:tcW w:w="856" w:type="pct"/>
            <w:noWrap w:val="0"/>
            <w:vAlign w:val="center"/>
          </w:tcPr>
          <w:p w14:paraId="3F90193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资料收集</w:t>
            </w:r>
          </w:p>
        </w:tc>
        <w:tc>
          <w:tcPr>
            <w:tcW w:w="3317" w:type="pct"/>
            <w:gridSpan w:val="6"/>
            <w:noWrap w:val="0"/>
            <w:vAlign w:val="center"/>
          </w:tcPr>
          <w:p w14:paraId="40816D0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a）口；b）口；c）口；d）口</w:t>
            </w:r>
          </w:p>
        </w:tc>
        <w:tc>
          <w:tcPr>
            <w:tcW w:w="508" w:type="pct"/>
            <w:noWrap w:val="0"/>
            <w:vAlign w:val="center"/>
          </w:tcPr>
          <w:p w14:paraId="6FCE96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r>
      <w:tr w14:paraId="4056D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3D3ADA4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p>
        </w:tc>
        <w:tc>
          <w:tcPr>
            <w:tcW w:w="856" w:type="pct"/>
            <w:noWrap w:val="0"/>
            <w:vAlign w:val="center"/>
          </w:tcPr>
          <w:p w14:paraId="40DDAE8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理化特性</w:t>
            </w:r>
          </w:p>
        </w:tc>
        <w:tc>
          <w:tcPr>
            <w:tcW w:w="3317" w:type="pct"/>
            <w:gridSpan w:val="6"/>
            <w:noWrap w:val="0"/>
            <w:vAlign w:val="center"/>
          </w:tcPr>
          <w:p w14:paraId="7635EF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508" w:type="pct"/>
            <w:noWrap w:val="0"/>
            <w:vAlign w:val="center"/>
          </w:tcPr>
          <w:p w14:paraId="3816622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同附录C</w:t>
            </w:r>
          </w:p>
        </w:tc>
      </w:tr>
      <w:tr w14:paraId="6EC1D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36862FE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p>
        </w:tc>
        <w:tc>
          <w:tcPr>
            <w:tcW w:w="856" w:type="pct"/>
            <w:vMerge w:val="restart"/>
            <w:noWrap w:val="0"/>
            <w:vAlign w:val="center"/>
          </w:tcPr>
          <w:p w14:paraId="58E837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p>
          <w:p w14:paraId="0972ADD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现状监测点位</w:t>
            </w:r>
          </w:p>
        </w:tc>
        <w:tc>
          <w:tcPr>
            <w:tcW w:w="1057" w:type="pct"/>
            <w:noWrap w:val="0"/>
            <w:vAlign w:val="center"/>
          </w:tcPr>
          <w:p w14:paraId="14D2AB9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811" w:type="pct"/>
            <w:gridSpan w:val="2"/>
            <w:noWrap w:val="0"/>
            <w:vAlign w:val="center"/>
          </w:tcPr>
          <w:p w14:paraId="01C1604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占地范围内</w:t>
            </w:r>
          </w:p>
        </w:tc>
        <w:tc>
          <w:tcPr>
            <w:tcW w:w="803" w:type="pct"/>
            <w:noWrap w:val="0"/>
            <w:vAlign w:val="center"/>
          </w:tcPr>
          <w:p w14:paraId="725256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占地范围外</w:t>
            </w:r>
          </w:p>
        </w:tc>
        <w:tc>
          <w:tcPr>
            <w:tcW w:w="644" w:type="pct"/>
            <w:gridSpan w:val="2"/>
            <w:noWrap w:val="0"/>
            <w:vAlign w:val="center"/>
          </w:tcPr>
          <w:p w14:paraId="2A8CEB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深度</w:t>
            </w:r>
          </w:p>
        </w:tc>
        <w:tc>
          <w:tcPr>
            <w:tcW w:w="508" w:type="pct"/>
            <w:vMerge w:val="restart"/>
            <w:noWrap w:val="0"/>
            <w:vAlign w:val="center"/>
          </w:tcPr>
          <w:p w14:paraId="5CE9ADA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p w14:paraId="0F8A9E8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点位布置图</w:t>
            </w:r>
          </w:p>
        </w:tc>
      </w:tr>
      <w:tr w14:paraId="6A3C6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22B71D9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856" w:type="pct"/>
            <w:vMerge w:val="continue"/>
            <w:noWrap w:val="0"/>
            <w:vAlign w:val="center"/>
          </w:tcPr>
          <w:p w14:paraId="32C1158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1057" w:type="pct"/>
            <w:noWrap w:val="0"/>
            <w:vAlign w:val="center"/>
          </w:tcPr>
          <w:p w14:paraId="19D9ED4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表层样点数</w:t>
            </w:r>
          </w:p>
        </w:tc>
        <w:tc>
          <w:tcPr>
            <w:tcW w:w="811" w:type="pct"/>
            <w:gridSpan w:val="2"/>
            <w:noWrap w:val="0"/>
            <w:vAlign w:val="center"/>
          </w:tcPr>
          <w:p w14:paraId="03346A9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3</w:t>
            </w:r>
          </w:p>
        </w:tc>
        <w:tc>
          <w:tcPr>
            <w:tcW w:w="803" w:type="pct"/>
            <w:noWrap w:val="0"/>
            <w:vAlign w:val="center"/>
          </w:tcPr>
          <w:p w14:paraId="606024C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0</w:t>
            </w:r>
          </w:p>
        </w:tc>
        <w:tc>
          <w:tcPr>
            <w:tcW w:w="644" w:type="pct"/>
            <w:gridSpan w:val="2"/>
            <w:noWrap w:val="0"/>
            <w:vAlign w:val="center"/>
          </w:tcPr>
          <w:p w14:paraId="184C0E1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r>
              <w:rPr>
                <w:lang w:eastAsia="en-US"/>
              </w:rPr>
              <w:t>0.2m</w:t>
            </w:r>
          </w:p>
        </w:tc>
        <w:tc>
          <w:tcPr>
            <w:tcW w:w="508" w:type="pct"/>
            <w:vMerge w:val="continue"/>
            <w:noWrap w:val="0"/>
            <w:vAlign w:val="center"/>
          </w:tcPr>
          <w:p w14:paraId="62889B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r>
      <w:tr w14:paraId="17367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46175FC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856" w:type="pct"/>
            <w:vMerge w:val="continue"/>
            <w:noWrap w:val="0"/>
            <w:vAlign w:val="center"/>
          </w:tcPr>
          <w:p w14:paraId="56C5733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1057" w:type="pct"/>
            <w:noWrap w:val="0"/>
            <w:vAlign w:val="center"/>
          </w:tcPr>
          <w:p w14:paraId="3D700ED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柱状样点数</w:t>
            </w:r>
          </w:p>
        </w:tc>
        <w:tc>
          <w:tcPr>
            <w:tcW w:w="811" w:type="pct"/>
            <w:gridSpan w:val="2"/>
            <w:noWrap w:val="0"/>
            <w:vAlign w:val="center"/>
          </w:tcPr>
          <w:p w14:paraId="226679D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0</w:t>
            </w:r>
          </w:p>
        </w:tc>
        <w:tc>
          <w:tcPr>
            <w:tcW w:w="803" w:type="pct"/>
            <w:noWrap w:val="0"/>
            <w:vAlign w:val="center"/>
          </w:tcPr>
          <w:p w14:paraId="2CD5D99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rPr>
            </w:pPr>
            <w:r>
              <w:rPr>
                <w:rFonts w:hint="eastAsia"/>
              </w:rPr>
              <w:t>0</w:t>
            </w:r>
          </w:p>
        </w:tc>
        <w:tc>
          <w:tcPr>
            <w:tcW w:w="644" w:type="pct"/>
            <w:gridSpan w:val="2"/>
            <w:noWrap w:val="0"/>
            <w:vAlign w:val="center"/>
          </w:tcPr>
          <w:p w14:paraId="028ACD2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r>
              <w:rPr>
                <w:lang w:eastAsia="en-US"/>
              </w:rPr>
              <w:t>0~</w:t>
            </w:r>
            <w:r>
              <w:rPr>
                <w:rFonts w:hint="eastAsia"/>
                <w:lang w:eastAsia="en-US"/>
              </w:rPr>
              <w:t>3</w:t>
            </w:r>
            <w:r>
              <w:rPr>
                <w:lang w:eastAsia="en-US"/>
              </w:rPr>
              <w:t>m</w:t>
            </w:r>
          </w:p>
        </w:tc>
        <w:tc>
          <w:tcPr>
            <w:tcW w:w="508" w:type="pct"/>
            <w:vMerge w:val="continue"/>
            <w:noWrap w:val="0"/>
            <w:vAlign w:val="center"/>
          </w:tcPr>
          <w:p w14:paraId="1273C6F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r>
      <w:tr w14:paraId="68903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02CB631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856" w:type="pct"/>
            <w:noWrap w:val="0"/>
            <w:vAlign w:val="center"/>
          </w:tcPr>
          <w:p w14:paraId="40304AE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现状监测因子</w:t>
            </w:r>
          </w:p>
        </w:tc>
        <w:tc>
          <w:tcPr>
            <w:tcW w:w="3317" w:type="pct"/>
            <w:gridSpan w:val="6"/>
            <w:noWrap w:val="0"/>
            <w:vAlign w:val="center"/>
          </w:tcPr>
          <w:p w14:paraId="49B296A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w:t>
            </w:r>
          </w:p>
        </w:tc>
        <w:tc>
          <w:tcPr>
            <w:tcW w:w="508" w:type="pct"/>
            <w:noWrap w:val="0"/>
            <w:vAlign w:val="center"/>
          </w:tcPr>
          <w:p w14:paraId="2302F31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r w14:paraId="149D9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restart"/>
            <w:noWrap w:val="0"/>
            <w:vAlign w:val="center"/>
          </w:tcPr>
          <w:p w14:paraId="62CC46B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p w14:paraId="0136C5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p w14:paraId="3497730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p w14:paraId="2B13104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p w14:paraId="60B3C14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现状</w:t>
            </w:r>
          </w:p>
          <w:p w14:paraId="38AC47C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评价</w:t>
            </w:r>
          </w:p>
        </w:tc>
        <w:tc>
          <w:tcPr>
            <w:tcW w:w="856" w:type="pct"/>
            <w:noWrap w:val="0"/>
            <w:vAlign w:val="center"/>
          </w:tcPr>
          <w:p w14:paraId="0B9B8AF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评价因子</w:t>
            </w:r>
          </w:p>
        </w:tc>
        <w:tc>
          <w:tcPr>
            <w:tcW w:w="3317" w:type="pct"/>
            <w:gridSpan w:val="6"/>
            <w:noWrap w:val="0"/>
            <w:vAlign w:val="center"/>
          </w:tcPr>
          <w:p w14:paraId="4EBCE2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w:t>
            </w:r>
          </w:p>
        </w:tc>
        <w:tc>
          <w:tcPr>
            <w:tcW w:w="508" w:type="pct"/>
            <w:noWrap w:val="0"/>
            <w:vAlign w:val="center"/>
          </w:tcPr>
          <w:p w14:paraId="706D71D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r w14:paraId="6F069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6CF133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c>
          <w:tcPr>
            <w:tcW w:w="856" w:type="pct"/>
            <w:noWrap w:val="0"/>
            <w:vAlign w:val="center"/>
          </w:tcPr>
          <w:p w14:paraId="2E6F765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评价标准</w:t>
            </w:r>
          </w:p>
        </w:tc>
        <w:tc>
          <w:tcPr>
            <w:tcW w:w="3317" w:type="pct"/>
            <w:gridSpan w:val="6"/>
            <w:noWrap w:val="0"/>
            <w:vAlign w:val="center"/>
          </w:tcPr>
          <w:p w14:paraId="6BAEBA5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GB15618口；GB36600</w:t>
            </w:r>
            <w:r>
              <w:rPr>
                <w:rFonts w:hint="eastAsia" w:ascii="MS Gothic" w:hAnsi="MS Gothic" w:eastAsia="MS Gothic" w:cs="MS Gothic"/>
              </w:rPr>
              <w:t>☑</w:t>
            </w:r>
            <w:r>
              <w:rPr>
                <w:rFonts w:hint="eastAsia" w:ascii="宋体" w:hAnsi="宋体" w:cs="宋体"/>
              </w:rPr>
              <w:t>；表</w:t>
            </w:r>
            <w:r>
              <w:rPr>
                <w:rFonts w:hint="eastAsia"/>
              </w:rPr>
              <w:t>D.1口；表D.2口；其他（）</w:t>
            </w:r>
          </w:p>
        </w:tc>
        <w:tc>
          <w:tcPr>
            <w:tcW w:w="508" w:type="pct"/>
            <w:noWrap w:val="0"/>
            <w:vAlign w:val="center"/>
          </w:tcPr>
          <w:p w14:paraId="16519FB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r>
      <w:tr w14:paraId="611A3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6992457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856" w:type="pct"/>
            <w:noWrap w:val="0"/>
            <w:vAlign w:val="center"/>
          </w:tcPr>
          <w:p w14:paraId="606AADB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现状评价结论</w:t>
            </w:r>
          </w:p>
        </w:tc>
        <w:tc>
          <w:tcPr>
            <w:tcW w:w="3317" w:type="pct"/>
            <w:gridSpan w:val="6"/>
            <w:noWrap w:val="0"/>
            <w:vAlign w:val="center"/>
          </w:tcPr>
          <w:p w14:paraId="00BD78A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本项目所在地土壤各项指标检测结果均低于《土壤环境质量建设用地土壤污染风险管控标准（试行）》（GB36600-2018）中表1建设用地土壤风险筛选值（第二类用地）</w:t>
            </w:r>
          </w:p>
        </w:tc>
        <w:tc>
          <w:tcPr>
            <w:tcW w:w="508" w:type="pct"/>
            <w:noWrap w:val="0"/>
            <w:vAlign w:val="center"/>
          </w:tcPr>
          <w:p w14:paraId="1B637F7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r w14:paraId="353CE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restart"/>
            <w:noWrap w:val="0"/>
            <w:vAlign w:val="center"/>
          </w:tcPr>
          <w:p w14:paraId="35CC967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p w14:paraId="57F8EBB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p w14:paraId="6FAB6C4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影响</w:t>
            </w:r>
          </w:p>
          <w:p w14:paraId="2A5CB44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预测</w:t>
            </w:r>
          </w:p>
        </w:tc>
        <w:tc>
          <w:tcPr>
            <w:tcW w:w="856" w:type="pct"/>
            <w:noWrap w:val="0"/>
            <w:vAlign w:val="center"/>
          </w:tcPr>
          <w:p w14:paraId="24EC8D0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预测因子</w:t>
            </w:r>
          </w:p>
        </w:tc>
        <w:tc>
          <w:tcPr>
            <w:tcW w:w="3317" w:type="pct"/>
            <w:gridSpan w:val="6"/>
            <w:noWrap w:val="0"/>
            <w:vAlign w:val="center"/>
          </w:tcPr>
          <w:p w14:paraId="56848AA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r>
              <w:rPr>
                <w:lang w:eastAsia="en-US"/>
              </w:rPr>
              <w:t>石油烃</w:t>
            </w:r>
          </w:p>
        </w:tc>
        <w:tc>
          <w:tcPr>
            <w:tcW w:w="508" w:type="pct"/>
            <w:noWrap w:val="0"/>
            <w:vAlign w:val="center"/>
          </w:tcPr>
          <w:p w14:paraId="27D68FA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r>
      <w:tr w14:paraId="18927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7259874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856" w:type="pct"/>
            <w:noWrap w:val="0"/>
            <w:vAlign w:val="center"/>
          </w:tcPr>
          <w:p w14:paraId="4C6630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预测方法</w:t>
            </w:r>
          </w:p>
        </w:tc>
        <w:tc>
          <w:tcPr>
            <w:tcW w:w="3317" w:type="pct"/>
            <w:gridSpan w:val="6"/>
            <w:noWrap w:val="0"/>
            <w:vAlign w:val="center"/>
          </w:tcPr>
          <w:p w14:paraId="0C14BFB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附录E口</w:t>
            </w:r>
            <w:r>
              <w:rPr>
                <w:rFonts w:hint="eastAsia" w:ascii="宋体" w:hAnsi="宋体" w:cs="宋体"/>
              </w:rPr>
              <w:t>；附录</w:t>
            </w:r>
            <w:r>
              <w:rPr>
                <w:rFonts w:hint="eastAsia"/>
              </w:rPr>
              <w:t>F口；其他（定性分析）</w:t>
            </w:r>
          </w:p>
        </w:tc>
        <w:tc>
          <w:tcPr>
            <w:tcW w:w="508" w:type="pct"/>
            <w:noWrap w:val="0"/>
            <w:vAlign w:val="center"/>
          </w:tcPr>
          <w:p w14:paraId="1FC1C5C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r w14:paraId="0BE18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61AE2F4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c>
          <w:tcPr>
            <w:tcW w:w="856" w:type="pct"/>
            <w:noWrap w:val="0"/>
            <w:vAlign w:val="center"/>
          </w:tcPr>
          <w:p w14:paraId="3C2DC30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预测分析内容</w:t>
            </w:r>
          </w:p>
        </w:tc>
        <w:tc>
          <w:tcPr>
            <w:tcW w:w="3317" w:type="pct"/>
            <w:gridSpan w:val="6"/>
            <w:noWrap w:val="0"/>
            <w:vAlign w:val="center"/>
          </w:tcPr>
          <w:p w14:paraId="3B301D2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影响范围（厂界外0.05km）</w:t>
            </w:r>
          </w:p>
          <w:p w14:paraId="621C1F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影响程度（较小）</w:t>
            </w:r>
          </w:p>
        </w:tc>
        <w:tc>
          <w:tcPr>
            <w:tcW w:w="508" w:type="pct"/>
            <w:noWrap w:val="0"/>
            <w:vAlign w:val="center"/>
          </w:tcPr>
          <w:p w14:paraId="4A6D22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r>
      <w:tr w14:paraId="6E5E1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0FA0EB8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856" w:type="pct"/>
            <w:noWrap w:val="0"/>
            <w:vAlign w:val="center"/>
          </w:tcPr>
          <w:p w14:paraId="22886BB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预测结论</w:t>
            </w:r>
          </w:p>
        </w:tc>
        <w:tc>
          <w:tcPr>
            <w:tcW w:w="3317" w:type="pct"/>
            <w:gridSpan w:val="6"/>
            <w:noWrap w:val="0"/>
            <w:vAlign w:val="center"/>
          </w:tcPr>
          <w:p w14:paraId="5088A3B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达标结论：a）</w:t>
            </w:r>
            <w:r>
              <w:rPr>
                <w:rFonts w:hint="eastAsia" w:ascii="MS Gothic" w:hAnsi="MS Gothic" w:eastAsia="MS Gothic" w:cs="MS Gothic"/>
              </w:rPr>
              <w:t>☑</w:t>
            </w:r>
            <w:r>
              <w:rPr>
                <w:rFonts w:hint="eastAsia" w:ascii="宋体" w:hAnsi="宋体" w:cs="宋体"/>
              </w:rPr>
              <w:t>；</w:t>
            </w:r>
            <w:r>
              <w:rPr>
                <w:rFonts w:hint="eastAsia"/>
              </w:rPr>
              <w:t>b）口；c）口</w:t>
            </w:r>
          </w:p>
          <w:p w14:paraId="57811E6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不达标结论：a）口；b）口</w:t>
            </w:r>
          </w:p>
        </w:tc>
        <w:tc>
          <w:tcPr>
            <w:tcW w:w="508" w:type="pct"/>
            <w:noWrap w:val="0"/>
            <w:vAlign w:val="center"/>
          </w:tcPr>
          <w:p w14:paraId="03CFA8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r w14:paraId="39127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restart"/>
            <w:noWrap w:val="0"/>
            <w:vAlign w:val="center"/>
          </w:tcPr>
          <w:p w14:paraId="5D59511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p w14:paraId="2F7B16D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p w14:paraId="3AEE602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防治</w:t>
            </w:r>
          </w:p>
          <w:p w14:paraId="781D6BD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措施</w:t>
            </w:r>
          </w:p>
        </w:tc>
        <w:tc>
          <w:tcPr>
            <w:tcW w:w="856" w:type="pct"/>
            <w:noWrap w:val="0"/>
            <w:vAlign w:val="center"/>
          </w:tcPr>
          <w:p w14:paraId="73B7E12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防控措施</w:t>
            </w:r>
          </w:p>
        </w:tc>
        <w:tc>
          <w:tcPr>
            <w:tcW w:w="3317" w:type="pct"/>
            <w:gridSpan w:val="6"/>
            <w:noWrap w:val="0"/>
            <w:vAlign w:val="center"/>
          </w:tcPr>
          <w:p w14:paraId="54449E7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土壤环境质量现状保障口；源头控</w:t>
            </w:r>
            <w:r>
              <w:rPr>
                <w:rFonts w:hint="eastAsia" w:ascii="MS Gothic" w:hAnsi="MS Gothic" w:eastAsia="MS Gothic" w:cs="MS Gothic"/>
              </w:rPr>
              <w:t>☑</w:t>
            </w:r>
            <w:r>
              <w:rPr>
                <w:rFonts w:hint="eastAsia" w:ascii="宋体" w:hAnsi="宋体" w:cs="宋体"/>
              </w:rPr>
              <w:t>；过程防控</w:t>
            </w:r>
            <w:r>
              <w:rPr>
                <w:rFonts w:hint="eastAsia" w:ascii="MS Gothic" w:hAnsi="MS Gothic" w:eastAsia="MS Gothic" w:cs="MS Gothic"/>
              </w:rPr>
              <w:t>☑</w:t>
            </w:r>
            <w:r>
              <w:rPr>
                <w:rFonts w:hint="eastAsia" w:ascii="宋体" w:hAnsi="宋体" w:cs="宋体"/>
              </w:rPr>
              <w:t>；其他</w:t>
            </w:r>
            <w:r>
              <w:rPr>
                <w:rFonts w:hint="eastAsia"/>
              </w:rPr>
              <w:t>（）</w:t>
            </w:r>
          </w:p>
        </w:tc>
        <w:tc>
          <w:tcPr>
            <w:tcW w:w="508" w:type="pct"/>
            <w:noWrap w:val="0"/>
            <w:vAlign w:val="center"/>
          </w:tcPr>
          <w:p w14:paraId="204A85E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r w14:paraId="5FE1B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38CC0FE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c>
          <w:tcPr>
            <w:tcW w:w="856" w:type="pct"/>
            <w:vMerge w:val="restart"/>
            <w:noWrap w:val="0"/>
            <w:vAlign w:val="center"/>
          </w:tcPr>
          <w:p w14:paraId="3B7ACB4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p w14:paraId="1135DD6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rFonts w:hint="eastAsia"/>
              </w:rPr>
              <w:t>跟踪监测</w:t>
            </w:r>
          </w:p>
        </w:tc>
        <w:tc>
          <w:tcPr>
            <w:tcW w:w="1709" w:type="pct"/>
            <w:gridSpan w:val="2"/>
            <w:noWrap w:val="0"/>
            <w:vAlign w:val="center"/>
          </w:tcPr>
          <w:p w14:paraId="275668E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监测点数</w:t>
            </w:r>
          </w:p>
        </w:tc>
        <w:tc>
          <w:tcPr>
            <w:tcW w:w="1023" w:type="pct"/>
            <w:gridSpan w:val="3"/>
            <w:noWrap w:val="0"/>
            <w:vAlign w:val="center"/>
          </w:tcPr>
          <w:p w14:paraId="0023E0F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监测指标</w:t>
            </w:r>
          </w:p>
        </w:tc>
        <w:tc>
          <w:tcPr>
            <w:tcW w:w="584" w:type="pct"/>
            <w:noWrap w:val="0"/>
            <w:vAlign w:val="center"/>
          </w:tcPr>
          <w:p w14:paraId="19B574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监测频次</w:t>
            </w:r>
          </w:p>
        </w:tc>
        <w:tc>
          <w:tcPr>
            <w:tcW w:w="508" w:type="pct"/>
            <w:noWrap w:val="0"/>
            <w:vAlign w:val="center"/>
          </w:tcPr>
          <w:p w14:paraId="04BB227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r>
      <w:tr w14:paraId="04206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5D40AF4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856" w:type="pct"/>
            <w:vMerge w:val="continue"/>
            <w:noWrap w:val="0"/>
            <w:vAlign w:val="center"/>
          </w:tcPr>
          <w:p w14:paraId="37FC4F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1709" w:type="pct"/>
            <w:gridSpan w:val="2"/>
            <w:noWrap w:val="0"/>
            <w:vAlign w:val="center"/>
          </w:tcPr>
          <w:p w14:paraId="0D06415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p>
        </w:tc>
        <w:tc>
          <w:tcPr>
            <w:tcW w:w="1023" w:type="pct"/>
            <w:gridSpan w:val="3"/>
            <w:noWrap w:val="0"/>
            <w:vAlign w:val="center"/>
          </w:tcPr>
          <w:p w14:paraId="38D8B4E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c>
          <w:tcPr>
            <w:tcW w:w="584" w:type="pct"/>
            <w:noWrap w:val="0"/>
            <w:vAlign w:val="center"/>
          </w:tcPr>
          <w:p w14:paraId="13A5ED7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c>
          <w:tcPr>
            <w:tcW w:w="508" w:type="pct"/>
            <w:noWrap w:val="0"/>
            <w:vAlign w:val="center"/>
          </w:tcPr>
          <w:p w14:paraId="54CC133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r>
      <w:tr w14:paraId="3EE75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318" w:type="pct"/>
            <w:vMerge w:val="continue"/>
            <w:noWrap w:val="0"/>
            <w:vAlign w:val="center"/>
          </w:tcPr>
          <w:p w14:paraId="530C7E9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856" w:type="pct"/>
            <w:noWrap w:val="0"/>
            <w:vAlign w:val="center"/>
          </w:tcPr>
          <w:p w14:paraId="42349A3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信息公开指标</w:t>
            </w:r>
          </w:p>
        </w:tc>
        <w:tc>
          <w:tcPr>
            <w:tcW w:w="3317" w:type="pct"/>
            <w:gridSpan w:val="6"/>
            <w:noWrap w:val="0"/>
            <w:vAlign w:val="center"/>
          </w:tcPr>
          <w:p w14:paraId="572EC8C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c>
          <w:tcPr>
            <w:tcW w:w="508" w:type="pct"/>
            <w:noWrap w:val="0"/>
            <w:vAlign w:val="center"/>
          </w:tcPr>
          <w:p w14:paraId="62295F8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rPr>
                <w:lang w:eastAsia="en-US"/>
              </w:rPr>
            </w:pPr>
          </w:p>
        </w:tc>
      </w:tr>
      <w:tr w14:paraId="12175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74" w:type="pct"/>
            <w:gridSpan w:val="2"/>
            <w:noWrap w:val="0"/>
            <w:vAlign w:val="center"/>
          </w:tcPr>
          <w:p w14:paraId="3A3D710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评价结论</w:t>
            </w:r>
          </w:p>
        </w:tc>
        <w:tc>
          <w:tcPr>
            <w:tcW w:w="3317" w:type="pct"/>
            <w:gridSpan w:val="6"/>
            <w:noWrap w:val="0"/>
            <w:vAlign w:val="center"/>
          </w:tcPr>
          <w:p w14:paraId="3617F0A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影响不大</w:t>
            </w:r>
          </w:p>
        </w:tc>
        <w:tc>
          <w:tcPr>
            <w:tcW w:w="508" w:type="pct"/>
            <w:noWrap w:val="0"/>
            <w:vAlign w:val="center"/>
          </w:tcPr>
          <w:p w14:paraId="7082BD5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r w14:paraId="4D1CF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491" w:type="pct"/>
            <w:gridSpan w:val="8"/>
            <w:noWrap w:val="0"/>
            <w:vAlign w:val="center"/>
          </w:tcPr>
          <w:p w14:paraId="56E6632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r>
              <w:rPr>
                <w:rFonts w:hint="eastAsia"/>
              </w:rPr>
              <w:t>注1：“□”为勾选项，可√；“（）”为内容填写项；“备注”为其他补充内容注2：需要分别开展土壤环境影响评级工作的，分别填写自查表。</w:t>
            </w:r>
          </w:p>
        </w:tc>
        <w:tc>
          <w:tcPr>
            <w:tcW w:w="508" w:type="pct"/>
            <w:noWrap w:val="0"/>
            <w:vAlign w:val="center"/>
          </w:tcPr>
          <w:p w14:paraId="6FB5C8E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textAlignment w:val="auto"/>
            </w:pPr>
          </w:p>
        </w:tc>
      </w:tr>
    </w:tbl>
    <w:p w14:paraId="04A35929">
      <w:pPr>
        <w:bidi w:val="0"/>
        <w:ind w:left="0" w:leftChars="0" w:firstLine="0" w:firstLineChars="0"/>
        <w:rPr>
          <w:rFonts w:ascii="Times New Roman" w:hAnsi="Times New Roman" w:eastAsia="宋体"/>
          <w:color w:val="auto"/>
        </w:rPr>
      </w:pPr>
    </w:p>
    <w:p w14:paraId="33D20259">
      <w:pPr>
        <w:pStyle w:val="3"/>
        <w:bidi w:val="0"/>
        <w:rPr>
          <w:color w:val="auto"/>
        </w:rPr>
      </w:pPr>
      <w:bookmarkStart w:id="275" w:name="_Toc121078398"/>
      <w:bookmarkStart w:id="276" w:name="_Toc15360"/>
      <w:bookmarkStart w:id="277" w:name="_Toc11571"/>
      <w:bookmarkStart w:id="278" w:name="_Toc9169"/>
      <w:bookmarkStart w:id="279" w:name="_Toc84780767"/>
      <w:bookmarkStart w:id="280" w:name="_Toc69656936"/>
      <w:r>
        <w:rPr>
          <w:rFonts w:hint="eastAsia"/>
          <w:color w:val="auto"/>
        </w:rPr>
        <w:t>生态环境影响分析</w:t>
      </w:r>
      <w:bookmarkEnd w:id="275"/>
      <w:bookmarkEnd w:id="276"/>
    </w:p>
    <w:p w14:paraId="52465A63">
      <w:pPr>
        <w:bidi w:val="0"/>
        <w:rPr>
          <w:color w:val="auto"/>
        </w:rPr>
      </w:pPr>
      <w:r>
        <w:rPr>
          <w:rFonts w:hint="eastAsia"/>
          <w:color w:val="auto"/>
        </w:rPr>
        <w:t>本项目运营期生态环境影响主要包括土地功能变化以及对动植物的影响等。</w:t>
      </w:r>
    </w:p>
    <w:p w14:paraId="51808930">
      <w:pPr>
        <w:bidi w:val="0"/>
        <w:rPr>
          <w:color w:val="auto"/>
        </w:rPr>
      </w:pPr>
      <w:r>
        <w:rPr>
          <w:rFonts w:hint="eastAsia"/>
          <w:color w:val="auto"/>
        </w:rPr>
        <w:t>（1）土地功能变化</w:t>
      </w:r>
    </w:p>
    <w:p w14:paraId="5D9C18AE">
      <w:pPr>
        <w:bidi w:val="0"/>
        <w:rPr>
          <w:color w:val="auto"/>
        </w:rPr>
      </w:pPr>
      <w:r>
        <w:rPr>
          <w:rFonts w:hint="eastAsia"/>
          <w:color w:val="auto"/>
        </w:rPr>
        <w:t>项目在原有占地范围内改扩建，拟新增占地本次无工程内容。本次改扩建不会改变区域土地功能。</w:t>
      </w:r>
    </w:p>
    <w:p w14:paraId="330CB549">
      <w:pPr>
        <w:bidi w:val="0"/>
        <w:rPr>
          <w:color w:val="auto"/>
        </w:rPr>
      </w:pPr>
      <w:r>
        <w:rPr>
          <w:rFonts w:hint="eastAsia"/>
          <w:color w:val="auto"/>
        </w:rPr>
        <w:t>（2）对动植物的影响</w:t>
      </w:r>
    </w:p>
    <w:p w14:paraId="0A72EBE0">
      <w:pPr>
        <w:bidi w:val="0"/>
        <w:rPr>
          <w:color w:val="auto"/>
        </w:rPr>
      </w:pPr>
      <w:r>
        <w:rPr>
          <w:rFonts w:hint="eastAsia"/>
          <w:color w:val="auto"/>
        </w:rPr>
        <w:t>本项目利用本公司厂区内现有空地建设，因此，本项目的建设不会对周边动物的种群及数量带来明显不利影响。</w:t>
      </w:r>
    </w:p>
    <w:p w14:paraId="311EA502">
      <w:pPr>
        <w:bidi w:val="0"/>
        <w:rPr>
          <w:color w:val="auto"/>
        </w:rPr>
      </w:pPr>
      <w:r>
        <w:rPr>
          <w:rFonts w:hint="eastAsia"/>
          <w:color w:val="auto"/>
        </w:rPr>
        <w:t>工程排放的粉尘以及道路运输产生的扬尘在扩散过程中可自然沉降，附着于植物叶片上，阻塞气孔，若截留在叶片上的粉尘量多时，会造成波长为400～700n</w:t>
      </w:r>
      <w:r>
        <w:rPr>
          <w:rFonts w:hint="eastAsia"/>
          <w:color w:val="auto"/>
          <w:lang w:val="en-US" w:eastAsia="zh-CN"/>
        </w:rPr>
        <w:t>m</w:t>
      </w:r>
      <w:r>
        <w:rPr>
          <w:rFonts w:hint="eastAsia"/>
          <w:color w:val="auto"/>
        </w:rPr>
        <w:t>的太辐射光反射量增加，从而降低植物的呼吸作用和光合作用，影响植物的正常生长。同时，植物表面覆盖的颗粒物对波长750～1351nm的辐射光吸收量大大增加，形成了叶组织内的高温胁迫，增加了植物对尘的敏感性。本工程粉尘的排放量较小，所以对周围植被的影响也较小。</w:t>
      </w:r>
    </w:p>
    <w:p w14:paraId="5CC80E15">
      <w:pPr>
        <w:pStyle w:val="3"/>
        <w:bidi w:val="0"/>
        <w:rPr>
          <w:color w:val="auto"/>
        </w:rPr>
      </w:pPr>
      <w:bookmarkStart w:id="281" w:name="_Toc28765"/>
      <w:r>
        <w:rPr>
          <w:color w:val="auto"/>
        </w:rPr>
        <w:t>环境风险影响分析评价</w:t>
      </w:r>
      <w:bookmarkEnd w:id="277"/>
      <w:bookmarkEnd w:id="278"/>
      <w:bookmarkEnd w:id="279"/>
      <w:bookmarkEnd w:id="280"/>
      <w:bookmarkEnd w:id="281"/>
    </w:p>
    <w:p w14:paraId="719E8D30">
      <w:pPr>
        <w:pStyle w:val="104"/>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ascii="Times New Roman" w:hAnsi="Times New Roman" w:eastAsia="宋体"/>
          <w:color w:val="auto"/>
        </w:rPr>
      </w:pPr>
      <w:r>
        <w:rPr>
          <w:rFonts w:hint="eastAsia" w:ascii="Times New Roman" w:hAnsi="Times New Roman" w:eastAsia="宋体"/>
          <w:color w:val="auto"/>
        </w:rPr>
        <w:t>根据《建设项目环境风险评价技术导则》（HJ</w:t>
      </w:r>
      <w:r>
        <w:rPr>
          <w:rFonts w:hint="eastAsia" w:ascii="Times New Roman" w:hAnsi="Times New Roman" w:eastAsia="宋体"/>
          <w:color w:val="auto"/>
          <w:lang w:val="en-US" w:eastAsia="zh-CN"/>
        </w:rPr>
        <w:t xml:space="preserve"> </w:t>
      </w:r>
      <w:r>
        <w:rPr>
          <w:rFonts w:hint="eastAsia" w:ascii="Times New Roman" w:hAnsi="Times New Roman" w:eastAsia="宋体"/>
          <w:color w:val="auto"/>
        </w:rPr>
        <w:t>169-2018），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02D808DA">
      <w:pPr>
        <w:pStyle w:val="104"/>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hint="eastAsia" w:ascii="Times New Roman" w:hAnsi="Times New Roman" w:eastAsia="宋体"/>
          <w:color w:val="auto"/>
        </w:rPr>
      </w:pPr>
      <w:r>
        <w:rPr>
          <w:rFonts w:hint="eastAsia" w:ascii="Times New Roman" w:hAnsi="Times New Roman" w:eastAsia="宋体"/>
          <w:color w:val="auto"/>
        </w:rPr>
        <w:t>环境风险评价应把事故引起厂（场）界外人群的伤害、环境质量的恶化及对生态系统影响的预测和防护作为评价工作重点。</w:t>
      </w:r>
    </w:p>
    <w:p w14:paraId="527ECBC1">
      <w:pPr>
        <w:pStyle w:val="5"/>
        <w:bidi w:val="0"/>
        <w:rPr>
          <w:rFonts w:hint="eastAsia"/>
        </w:rPr>
      </w:pPr>
      <w:r>
        <w:rPr>
          <w:rFonts w:hint="eastAsia"/>
        </w:rPr>
        <w:t>评价工作程序</w:t>
      </w:r>
    </w:p>
    <w:p w14:paraId="13705FF4">
      <w:pPr>
        <w:spacing w:line="520" w:lineRule="exact"/>
        <w:ind w:firstLineChars="200"/>
        <w:rPr>
          <w:rFonts w:hint="eastAsia"/>
          <w:b w:val="0"/>
          <w:bCs w:val="0"/>
          <w:color w:val="auto"/>
          <w:u w:val="none"/>
        </w:rPr>
      </w:pPr>
      <w:r>
        <w:rPr>
          <w:rFonts w:hint="eastAsia"/>
          <w:b w:val="0"/>
          <w:bCs w:val="0"/>
          <w:color w:val="auto"/>
          <w:u w:val="none"/>
        </w:rPr>
        <w:t>环境风险评价的工作程序见下图：</w:t>
      </w:r>
    </w:p>
    <w:p w14:paraId="6D6F21EB">
      <w:pPr>
        <w:bidi w:val="0"/>
        <w:jc w:val="center"/>
        <w:rPr>
          <w:rFonts w:hint="eastAsia"/>
          <w:b/>
          <w:bCs/>
          <w:color w:val="auto"/>
          <w:u w:val="none"/>
        </w:rPr>
      </w:pPr>
      <w:r>
        <w:rPr>
          <w:color w:val="auto"/>
        </w:rPr>
        <w:drawing>
          <wp:inline distT="0" distB="0" distL="114300" distR="114300">
            <wp:extent cx="5044440" cy="4832985"/>
            <wp:effectExtent l="0" t="0" r="3810" b="5715"/>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pic:cNvPicPr>
                      <a:picLocks noChangeAspect="1"/>
                    </pic:cNvPicPr>
                  </pic:nvPicPr>
                  <pic:blipFill>
                    <a:blip r:embed="rId94"/>
                    <a:stretch>
                      <a:fillRect/>
                    </a:stretch>
                  </pic:blipFill>
                  <pic:spPr>
                    <a:xfrm>
                      <a:off x="0" y="0"/>
                      <a:ext cx="5044440" cy="4832985"/>
                    </a:xfrm>
                    <a:prstGeom prst="rect">
                      <a:avLst/>
                    </a:prstGeom>
                    <a:noFill/>
                    <a:ln>
                      <a:noFill/>
                    </a:ln>
                  </pic:spPr>
                </pic:pic>
              </a:graphicData>
            </a:graphic>
          </wp:inline>
        </w:drawing>
      </w:r>
      <w:r>
        <w:rPr>
          <w:rFonts w:hint="eastAsia"/>
          <w:b/>
          <w:bCs/>
          <w:color w:val="auto"/>
          <w:u w:val="none"/>
        </w:rPr>
        <w:t>图</w:t>
      </w:r>
      <w:r>
        <w:rPr>
          <w:rFonts w:hint="eastAsia"/>
          <w:b/>
          <w:bCs/>
          <w:color w:val="auto"/>
          <w:u w:val="none"/>
          <w:lang w:val="en-US" w:eastAsia="zh-CN"/>
        </w:rPr>
        <w:t>6.8</w:t>
      </w:r>
      <w:r>
        <w:rPr>
          <w:rFonts w:hint="eastAsia"/>
          <w:b/>
          <w:bCs/>
          <w:color w:val="auto"/>
          <w:u w:val="none"/>
        </w:rPr>
        <w:t>-</w:t>
      </w:r>
      <w:r>
        <w:rPr>
          <w:rFonts w:hint="eastAsia"/>
          <w:b/>
          <w:bCs/>
          <w:color w:val="auto"/>
          <w:u w:val="none"/>
          <w:lang w:val="en-US" w:eastAsia="zh-CN"/>
        </w:rPr>
        <w:t xml:space="preserve">1 </w:t>
      </w:r>
      <w:r>
        <w:rPr>
          <w:rFonts w:hint="eastAsia"/>
          <w:b/>
          <w:bCs/>
          <w:color w:val="auto"/>
          <w:u w:val="none"/>
        </w:rPr>
        <w:t>环境风险评价工作顺序图</w:t>
      </w:r>
    </w:p>
    <w:p w14:paraId="38429B65">
      <w:pPr>
        <w:pStyle w:val="5"/>
        <w:bidi w:val="0"/>
        <w:rPr>
          <w:color w:val="auto"/>
        </w:rPr>
      </w:pPr>
      <w:r>
        <w:rPr>
          <w:color w:val="auto"/>
        </w:rPr>
        <w:t>风险</w:t>
      </w:r>
      <w:r>
        <w:rPr>
          <w:rFonts w:hint="eastAsia"/>
          <w:color w:val="auto"/>
        </w:rPr>
        <w:t>调查</w:t>
      </w:r>
    </w:p>
    <w:p w14:paraId="3D580B23">
      <w:pPr>
        <w:pStyle w:val="6"/>
        <w:bidi w:val="0"/>
        <w:rPr>
          <w:rFonts w:hint="default"/>
          <w:lang w:val="en-US" w:eastAsia="zh-CN"/>
        </w:rPr>
      </w:pPr>
      <w:r>
        <w:rPr>
          <w:rFonts w:hint="eastAsia"/>
          <w:lang w:val="en-US" w:eastAsia="zh-CN"/>
        </w:rPr>
        <w:t>风险物质调查</w:t>
      </w:r>
    </w:p>
    <w:p w14:paraId="4CE025F5">
      <w:pPr>
        <w:bidi w:val="0"/>
        <w:rPr>
          <w:rFonts w:hint="eastAsia"/>
          <w:b/>
          <w:bCs/>
          <w:color w:val="auto"/>
          <w:u w:val="single"/>
          <w:lang w:val="en-US" w:eastAsia="zh-CN"/>
        </w:rPr>
      </w:pPr>
      <w:r>
        <w:rPr>
          <w:rFonts w:hint="eastAsia"/>
          <w:b/>
          <w:bCs/>
          <w:color w:val="auto"/>
          <w:u w:val="single"/>
        </w:rPr>
        <w:t>项目使用的原辅料及产生的危险废物可能存在风险物质，评价对其成分和理化性质进行调查。项目</w:t>
      </w:r>
      <w:r>
        <w:rPr>
          <w:rFonts w:hint="eastAsia"/>
          <w:b/>
          <w:bCs/>
          <w:color w:val="auto"/>
          <w:u w:val="single"/>
          <w:lang w:val="en-US" w:eastAsia="zh-CN"/>
        </w:rPr>
        <w:t>主要</w:t>
      </w:r>
      <w:r>
        <w:rPr>
          <w:rFonts w:hint="eastAsia"/>
          <w:b/>
          <w:bCs/>
          <w:color w:val="auto"/>
          <w:u w:val="single"/>
        </w:rPr>
        <w:t>原辅料见</w:t>
      </w:r>
      <w:r>
        <w:rPr>
          <w:rFonts w:hint="eastAsia"/>
          <w:b/>
          <w:bCs/>
          <w:color w:val="auto"/>
          <w:u w:val="single"/>
          <w:lang w:val="en-US" w:eastAsia="zh-CN"/>
        </w:rPr>
        <w:t>下表。</w:t>
      </w:r>
    </w:p>
    <w:p w14:paraId="198FEFAC">
      <w:pPr>
        <w:pStyle w:val="10"/>
        <w:bidi w:val="0"/>
        <w:rPr>
          <w:rFonts w:hint="eastAsia"/>
          <w:b/>
          <w:bCs/>
          <w:color w:val="auto"/>
          <w:u w:val="single"/>
          <w:lang w:val="en-US" w:eastAsia="zh-CN"/>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6.8</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1</w:t>
      </w:r>
      <w:r>
        <w:rPr>
          <w:b/>
          <w:bCs/>
          <w:u w:val="single"/>
        </w:rPr>
        <w:fldChar w:fldCharType="end"/>
      </w:r>
      <w:r>
        <w:rPr>
          <w:rFonts w:hint="eastAsia"/>
          <w:b/>
          <w:bCs/>
          <w:u w:val="single"/>
          <w:lang w:val="en-US" w:eastAsia="zh-CN"/>
        </w:rPr>
        <w:t xml:space="preserve"> 项目主要原辅料一览表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7"/>
        <w:gridCol w:w="1314"/>
        <w:gridCol w:w="1277"/>
        <w:gridCol w:w="990"/>
        <w:gridCol w:w="1277"/>
        <w:gridCol w:w="1843"/>
        <w:gridCol w:w="1185"/>
      </w:tblGrid>
      <w:tr w14:paraId="1A643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2663858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序号</w:t>
            </w:r>
          </w:p>
        </w:tc>
        <w:tc>
          <w:tcPr>
            <w:tcW w:w="771" w:type="pct"/>
            <w:noWrap w:val="0"/>
            <w:vAlign w:val="center"/>
          </w:tcPr>
          <w:p w14:paraId="75250B2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名称</w:t>
            </w:r>
          </w:p>
        </w:tc>
        <w:tc>
          <w:tcPr>
            <w:tcW w:w="749" w:type="pct"/>
            <w:noWrap w:val="0"/>
            <w:vAlign w:val="center"/>
          </w:tcPr>
          <w:p w14:paraId="1DE0321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单位</w:t>
            </w:r>
          </w:p>
        </w:tc>
        <w:tc>
          <w:tcPr>
            <w:tcW w:w="581" w:type="pct"/>
            <w:noWrap w:val="0"/>
            <w:vAlign w:val="center"/>
          </w:tcPr>
          <w:p w14:paraId="3E278E7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用量</w:t>
            </w:r>
          </w:p>
        </w:tc>
        <w:tc>
          <w:tcPr>
            <w:tcW w:w="749" w:type="pct"/>
            <w:noWrap w:val="0"/>
            <w:vAlign w:val="center"/>
          </w:tcPr>
          <w:p w14:paraId="489B73B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来源</w:t>
            </w:r>
          </w:p>
        </w:tc>
        <w:tc>
          <w:tcPr>
            <w:tcW w:w="1081" w:type="pct"/>
            <w:noWrap w:val="0"/>
            <w:vAlign w:val="center"/>
          </w:tcPr>
          <w:p w14:paraId="32AD1D6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最大储存量（t）</w:t>
            </w:r>
          </w:p>
        </w:tc>
        <w:tc>
          <w:tcPr>
            <w:tcW w:w="695" w:type="pct"/>
            <w:noWrap w:val="0"/>
            <w:vAlign w:val="center"/>
          </w:tcPr>
          <w:p w14:paraId="0C41932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包装方式</w:t>
            </w:r>
          </w:p>
        </w:tc>
      </w:tr>
      <w:tr w14:paraId="725A2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21219A74">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1</w:t>
            </w:r>
          </w:p>
        </w:tc>
        <w:tc>
          <w:tcPr>
            <w:tcW w:w="1345" w:type="dxa"/>
            <w:noWrap w:val="0"/>
            <w:vAlign w:val="center"/>
          </w:tcPr>
          <w:p w14:paraId="5060FC8D">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749" w:type="pct"/>
            <w:noWrap w:val="0"/>
            <w:vAlign w:val="center"/>
          </w:tcPr>
          <w:p w14:paraId="18F1F8CC">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013" w:type="dxa"/>
            <w:noWrap w:val="0"/>
            <w:vAlign w:val="center"/>
          </w:tcPr>
          <w:p w14:paraId="538C359A">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749" w:type="pct"/>
            <w:noWrap w:val="0"/>
            <w:vAlign w:val="center"/>
          </w:tcPr>
          <w:p w14:paraId="59B7EC3D">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86" w:type="dxa"/>
            <w:noWrap w:val="0"/>
            <w:vAlign w:val="center"/>
          </w:tcPr>
          <w:p w14:paraId="56FBA20C">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213" w:type="dxa"/>
            <w:noWrap w:val="0"/>
            <w:vAlign w:val="center"/>
          </w:tcPr>
          <w:p w14:paraId="0521D5BA">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r>
      <w:tr w14:paraId="402C0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42C4DE3C">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2</w:t>
            </w:r>
          </w:p>
        </w:tc>
        <w:tc>
          <w:tcPr>
            <w:tcW w:w="1345" w:type="dxa"/>
            <w:noWrap w:val="0"/>
            <w:vAlign w:val="center"/>
          </w:tcPr>
          <w:p w14:paraId="344936B6">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749" w:type="pct"/>
            <w:noWrap w:val="0"/>
            <w:vAlign w:val="center"/>
          </w:tcPr>
          <w:p w14:paraId="3B571C96">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013" w:type="dxa"/>
            <w:noWrap w:val="0"/>
            <w:vAlign w:val="center"/>
          </w:tcPr>
          <w:p w14:paraId="10339B52">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749" w:type="pct"/>
            <w:noWrap w:val="0"/>
            <w:vAlign w:val="center"/>
          </w:tcPr>
          <w:p w14:paraId="626B92FF">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86" w:type="dxa"/>
            <w:noWrap w:val="0"/>
            <w:vAlign w:val="center"/>
          </w:tcPr>
          <w:p w14:paraId="65155B49">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213" w:type="dxa"/>
            <w:noWrap w:val="0"/>
            <w:vAlign w:val="center"/>
          </w:tcPr>
          <w:p w14:paraId="3E148D45">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r>
      <w:tr w14:paraId="4C4C4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2D39FCFF">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3</w:t>
            </w:r>
          </w:p>
        </w:tc>
        <w:tc>
          <w:tcPr>
            <w:tcW w:w="1345" w:type="dxa"/>
            <w:noWrap w:val="0"/>
            <w:vAlign w:val="center"/>
          </w:tcPr>
          <w:p w14:paraId="53762C43">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749" w:type="pct"/>
            <w:noWrap w:val="0"/>
            <w:vAlign w:val="center"/>
          </w:tcPr>
          <w:p w14:paraId="4A2B7D9F">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013" w:type="dxa"/>
            <w:noWrap w:val="0"/>
            <w:vAlign w:val="center"/>
          </w:tcPr>
          <w:p w14:paraId="28E618E0">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749" w:type="pct"/>
            <w:noWrap w:val="0"/>
            <w:vAlign w:val="center"/>
          </w:tcPr>
          <w:p w14:paraId="6A77D59E">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86" w:type="dxa"/>
            <w:noWrap w:val="0"/>
            <w:vAlign w:val="center"/>
          </w:tcPr>
          <w:p w14:paraId="3B329E00">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213" w:type="dxa"/>
            <w:noWrap w:val="0"/>
            <w:vAlign w:val="center"/>
          </w:tcPr>
          <w:p w14:paraId="629278BF">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r>
      <w:tr w14:paraId="48243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6ABEA9EA">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4</w:t>
            </w:r>
          </w:p>
        </w:tc>
        <w:tc>
          <w:tcPr>
            <w:tcW w:w="1345" w:type="dxa"/>
            <w:noWrap w:val="0"/>
            <w:vAlign w:val="center"/>
          </w:tcPr>
          <w:p w14:paraId="1D043238">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749" w:type="pct"/>
            <w:noWrap w:val="0"/>
            <w:vAlign w:val="center"/>
          </w:tcPr>
          <w:p w14:paraId="2E2C5B1C">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013" w:type="dxa"/>
            <w:noWrap w:val="0"/>
            <w:vAlign w:val="center"/>
          </w:tcPr>
          <w:p w14:paraId="270730D0">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749" w:type="pct"/>
            <w:noWrap w:val="0"/>
            <w:vAlign w:val="center"/>
          </w:tcPr>
          <w:p w14:paraId="15FF030D">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86" w:type="dxa"/>
            <w:noWrap w:val="0"/>
            <w:vAlign w:val="center"/>
          </w:tcPr>
          <w:p w14:paraId="3FA09631">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213" w:type="dxa"/>
            <w:noWrap w:val="0"/>
            <w:vAlign w:val="center"/>
          </w:tcPr>
          <w:p w14:paraId="7FA99BDB">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r>
      <w:tr w14:paraId="12708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09A4248E">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5</w:t>
            </w:r>
          </w:p>
        </w:tc>
        <w:tc>
          <w:tcPr>
            <w:tcW w:w="1345" w:type="dxa"/>
            <w:noWrap w:val="0"/>
            <w:vAlign w:val="center"/>
          </w:tcPr>
          <w:p w14:paraId="48EF1594">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749" w:type="pct"/>
            <w:noWrap w:val="0"/>
            <w:vAlign w:val="center"/>
          </w:tcPr>
          <w:p w14:paraId="4A570B48">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013" w:type="dxa"/>
            <w:noWrap w:val="0"/>
            <w:vAlign w:val="center"/>
          </w:tcPr>
          <w:p w14:paraId="3D6A9C3E">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749" w:type="pct"/>
            <w:noWrap w:val="0"/>
            <w:vAlign w:val="center"/>
          </w:tcPr>
          <w:p w14:paraId="60E00BB1">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86" w:type="dxa"/>
            <w:noWrap w:val="0"/>
            <w:vAlign w:val="center"/>
          </w:tcPr>
          <w:p w14:paraId="6B7DB923">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213" w:type="dxa"/>
            <w:noWrap w:val="0"/>
            <w:vAlign w:val="center"/>
          </w:tcPr>
          <w:p w14:paraId="0CC3E0EB">
            <w:pPr>
              <w:bidi w:val="0"/>
              <w:ind w:firstLine="482" w:firstLineChars="200"/>
              <w:rPr>
                <w:rFonts w:hint="eastAsia" w:ascii="Times New Roman" w:hAnsi="Times New Roman" w:eastAsia="宋体" w:cs="Times New Roman"/>
                <w:b/>
                <w:bCs/>
                <w:color w:val="auto"/>
                <w:u w:val="single"/>
                <w:lang w:val="en-US" w:eastAsia="zh-CN"/>
              </w:rPr>
            </w:pPr>
            <w:r>
              <w:rPr>
                <w:rFonts w:hint="eastAsia"/>
                <w:b/>
                <w:bCs/>
                <w:color w:val="auto"/>
                <w:u w:val="single"/>
                <w:lang w:val="en-US" w:eastAsia="zh-CN"/>
              </w:rPr>
              <w:t>*</w:t>
            </w:r>
          </w:p>
        </w:tc>
      </w:tr>
      <w:tr w14:paraId="3AC90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085335FC">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6</w:t>
            </w:r>
          </w:p>
        </w:tc>
        <w:tc>
          <w:tcPr>
            <w:tcW w:w="1345" w:type="dxa"/>
            <w:noWrap w:val="0"/>
            <w:vAlign w:val="center"/>
          </w:tcPr>
          <w:p w14:paraId="6E43F812">
            <w:pPr>
              <w:pStyle w:val="182"/>
              <w:rPr>
                <w:rFonts w:hint="default"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油剂</w:t>
            </w:r>
          </w:p>
        </w:tc>
        <w:tc>
          <w:tcPr>
            <w:tcW w:w="749" w:type="pct"/>
            <w:noWrap w:val="0"/>
            <w:vAlign w:val="center"/>
          </w:tcPr>
          <w:p w14:paraId="254A6FF6">
            <w:pPr>
              <w:pStyle w:val="182"/>
              <w:rPr>
                <w:rFonts w:hint="default" w:ascii="Times New Roman" w:hAnsi="Times New Roman" w:eastAsia="宋体" w:cs="Times New Roman"/>
                <w:b/>
                <w:bCs/>
                <w:color w:val="auto"/>
                <w:u w:val="single"/>
                <w:lang w:val="en-US" w:eastAsia="zh-CN"/>
              </w:rPr>
            </w:pPr>
            <w:r>
              <w:rPr>
                <w:rFonts w:hint="default" w:ascii="Times New Roman" w:hAnsi="Times New Roman" w:eastAsia="宋体" w:cs="Times New Roman"/>
                <w:b/>
                <w:bCs/>
                <w:color w:val="auto"/>
                <w:u w:val="single"/>
                <w:lang w:val="en-US" w:eastAsia="zh-CN"/>
              </w:rPr>
              <w:t>t/a</w:t>
            </w:r>
          </w:p>
        </w:tc>
        <w:tc>
          <w:tcPr>
            <w:tcW w:w="1013" w:type="dxa"/>
            <w:noWrap w:val="0"/>
            <w:vAlign w:val="center"/>
          </w:tcPr>
          <w:p w14:paraId="3A9C2DA9">
            <w:pPr>
              <w:pStyle w:val="182"/>
              <w:rPr>
                <w:rFonts w:hint="default"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15</w:t>
            </w:r>
          </w:p>
        </w:tc>
        <w:tc>
          <w:tcPr>
            <w:tcW w:w="749" w:type="pct"/>
            <w:noWrap w:val="0"/>
            <w:vAlign w:val="center"/>
          </w:tcPr>
          <w:p w14:paraId="367C0999">
            <w:pPr>
              <w:pStyle w:val="182"/>
              <w:rPr>
                <w:rFonts w:hint="default"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外购</w:t>
            </w:r>
          </w:p>
        </w:tc>
        <w:tc>
          <w:tcPr>
            <w:tcW w:w="1886" w:type="dxa"/>
            <w:noWrap w:val="0"/>
            <w:vAlign w:val="center"/>
          </w:tcPr>
          <w:p w14:paraId="2D95295A">
            <w:pPr>
              <w:pStyle w:val="182"/>
              <w:rPr>
                <w:rFonts w:hint="default"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1.5</w:t>
            </w:r>
          </w:p>
        </w:tc>
        <w:tc>
          <w:tcPr>
            <w:tcW w:w="1213" w:type="dxa"/>
            <w:noWrap w:val="0"/>
            <w:vAlign w:val="center"/>
          </w:tcPr>
          <w:p w14:paraId="07E54570">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桶装（25kg）</w:t>
            </w:r>
          </w:p>
        </w:tc>
      </w:tr>
    </w:tbl>
    <w:p w14:paraId="006F4055">
      <w:pPr>
        <w:spacing w:line="520" w:lineRule="exact"/>
        <w:ind w:firstLine="480"/>
        <w:rPr>
          <w:rFonts w:hint="eastAsia" w:ascii="Times New Roman" w:hAnsi="Times New Roman"/>
        </w:rPr>
      </w:pPr>
      <w:r>
        <w:rPr>
          <w:rFonts w:ascii="Times New Roman" w:hAnsi="Times New Roman"/>
          <w:bCs/>
          <w:sz w:val="24"/>
        </w:rPr>
        <w:t>项目原辅料成分及理化性质如下：</w:t>
      </w:r>
    </w:p>
    <w:p w14:paraId="569C9EC7">
      <w:pPr>
        <w:bidi w:val="0"/>
        <w:rPr>
          <w:rFonts w:hint="eastAsia"/>
          <w:color w:val="auto"/>
          <w:lang w:val="en-US" w:eastAsia="zh-CN"/>
        </w:rPr>
      </w:pPr>
      <w:r>
        <w:rPr>
          <w:rFonts w:hint="eastAsia"/>
          <w:color w:val="auto"/>
          <w:lang w:val="en-US" w:eastAsia="zh-CN"/>
        </w:rPr>
        <w:t>1）废旧棉纺织品</w:t>
      </w:r>
    </w:p>
    <w:p w14:paraId="18F1AD42">
      <w:pPr>
        <w:bidi w:val="0"/>
        <w:rPr>
          <w:rFonts w:hint="default"/>
          <w:color w:val="auto"/>
          <w:lang w:val="en-US" w:eastAsia="zh-CN"/>
        </w:rPr>
      </w:pPr>
      <w:r>
        <w:rPr>
          <w:rFonts w:hint="eastAsia"/>
          <w:color w:val="auto"/>
          <w:lang w:val="en-US" w:eastAsia="zh-CN"/>
        </w:rPr>
        <w:t>以棉纤维为主体的废旧纺织品，本项目所以用的废旧棉纺织品来源于酒店，原料质量比较稳定。纤维素可达到97.84%，剩余为灰分等杂质。</w:t>
      </w:r>
    </w:p>
    <w:p w14:paraId="29863DFE">
      <w:pPr>
        <w:bidi w:val="0"/>
        <w:rPr>
          <w:rFonts w:hint="eastAsia"/>
          <w:color w:val="auto"/>
          <w:lang w:val="en-US" w:eastAsia="zh-CN"/>
        </w:rPr>
      </w:pPr>
      <w:r>
        <w:rPr>
          <w:rFonts w:hint="eastAsia"/>
          <w:color w:val="auto"/>
          <w:lang w:val="en-US" w:eastAsia="zh-CN"/>
        </w:rPr>
        <w:t>2）纤维素浆粕</w:t>
      </w:r>
    </w:p>
    <w:p w14:paraId="6827C062">
      <w:pPr>
        <w:bidi w:val="0"/>
        <w:rPr>
          <w:rFonts w:hint="eastAsia"/>
          <w:color w:val="auto"/>
          <w:lang w:val="en-US" w:eastAsia="zh-CN"/>
        </w:rPr>
      </w:pPr>
      <w:r>
        <w:rPr>
          <w:rFonts w:hint="eastAsia"/>
          <w:color w:val="auto"/>
          <w:lang w:val="en-US" w:eastAsia="zh-CN"/>
        </w:rPr>
        <w:t>本项目使用的纤维素浆粕由木材制造而成。其纤维素浆粕的成分如下。</w:t>
      </w:r>
    </w:p>
    <w:p w14:paraId="2367414D">
      <w:pPr>
        <w:pStyle w:val="10"/>
        <w:bidi w:val="0"/>
        <w:rPr>
          <w:rFonts w:hint="eastAsia"/>
          <w:lang w:val="en-US" w:eastAsia="zh-CN"/>
        </w:rPr>
      </w:pPr>
      <w:r>
        <w:t xml:space="preserve">表 </w:t>
      </w:r>
      <w:r>
        <w:fldChar w:fldCharType="begin"/>
      </w:r>
      <w:r>
        <w:instrText xml:space="preserve"> STYLEREF 2 \s </w:instrText>
      </w:r>
      <w:r>
        <w:fldChar w:fldCharType="separate"/>
      </w:r>
      <w:r>
        <w:t>6.8</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rPr>
          <w:rFonts w:hint="eastAsia"/>
          <w:lang w:val="en-US" w:eastAsia="zh-CN"/>
        </w:rPr>
        <w:t xml:space="preserve"> 本项目浆粕成分一览表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4485"/>
        <w:gridCol w:w="3222"/>
      </w:tblGrid>
      <w:tr w14:paraId="4F6B2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479" w:type="pct"/>
            <w:noWrap w:val="0"/>
            <w:vAlign w:val="center"/>
          </w:tcPr>
          <w:p w14:paraId="43557CB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kern w:val="0"/>
                <w:sz w:val="21"/>
                <w:szCs w:val="21"/>
              </w:rPr>
            </w:pPr>
            <w:r>
              <w:rPr>
                <w:rFonts w:ascii="Times New Roman" w:hAnsi="Times New Roman"/>
                <w:b/>
                <w:kern w:val="0"/>
                <w:sz w:val="21"/>
                <w:szCs w:val="21"/>
              </w:rPr>
              <w:t>序号</w:t>
            </w:r>
          </w:p>
        </w:tc>
        <w:tc>
          <w:tcPr>
            <w:tcW w:w="2631" w:type="pct"/>
            <w:noWrap w:val="0"/>
            <w:vAlign w:val="center"/>
          </w:tcPr>
          <w:p w14:paraId="0845261D">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kern w:val="0"/>
                <w:sz w:val="21"/>
                <w:szCs w:val="21"/>
              </w:rPr>
            </w:pPr>
            <w:r>
              <w:rPr>
                <w:rFonts w:ascii="Times New Roman" w:hAnsi="Times New Roman"/>
                <w:b/>
                <w:kern w:val="0"/>
                <w:sz w:val="21"/>
                <w:szCs w:val="21"/>
              </w:rPr>
              <w:t>检测项目</w:t>
            </w:r>
          </w:p>
        </w:tc>
        <w:tc>
          <w:tcPr>
            <w:tcW w:w="1890" w:type="pct"/>
            <w:noWrap w:val="0"/>
            <w:vAlign w:val="center"/>
          </w:tcPr>
          <w:p w14:paraId="08BAF6D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b/>
                <w:kern w:val="0"/>
                <w:sz w:val="21"/>
                <w:szCs w:val="21"/>
              </w:rPr>
            </w:pPr>
            <w:r>
              <w:rPr>
                <w:rFonts w:ascii="Times New Roman" w:hAnsi="Times New Roman"/>
                <w:b/>
                <w:kern w:val="0"/>
                <w:sz w:val="21"/>
                <w:szCs w:val="21"/>
              </w:rPr>
              <w:t>测试数值</w:t>
            </w:r>
          </w:p>
        </w:tc>
      </w:tr>
      <w:tr w14:paraId="6E5EA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339037D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1</w:t>
            </w:r>
          </w:p>
        </w:tc>
        <w:tc>
          <w:tcPr>
            <w:tcW w:w="2631" w:type="pct"/>
            <w:noWrap w:val="0"/>
            <w:vAlign w:val="center"/>
          </w:tcPr>
          <w:p w14:paraId="68B71F71">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粘度</w:t>
            </w:r>
          </w:p>
        </w:tc>
        <w:tc>
          <w:tcPr>
            <w:tcW w:w="1890" w:type="pct"/>
            <w:noWrap w:val="0"/>
            <w:vAlign w:val="center"/>
          </w:tcPr>
          <w:p w14:paraId="7B4D217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17.8CP</w:t>
            </w:r>
          </w:p>
        </w:tc>
      </w:tr>
      <w:tr w14:paraId="2A8B9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35395773">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2</w:t>
            </w:r>
          </w:p>
        </w:tc>
        <w:tc>
          <w:tcPr>
            <w:tcW w:w="2631" w:type="pct"/>
            <w:noWrap w:val="0"/>
            <w:vAlign w:val="center"/>
          </w:tcPr>
          <w:p w14:paraId="54C23E3D">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ISO</w:t>
            </w:r>
            <w:r>
              <w:rPr>
                <w:rFonts w:ascii="Times New Roman" w:hAnsi="Times New Roman"/>
                <w:spacing w:val="-55"/>
                <w:kern w:val="0"/>
                <w:sz w:val="21"/>
                <w:szCs w:val="21"/>
              </w:rPr>
              <w:t xml:space="preserve"> </w:t>
            </w:r>
            <w:r>
              <w:rPr>
                <w:rFonts w:ascii="Times New Roman" w:hAnsi="Times New Roman"/>
                <w:kern w:val="0"/>
                <w:sz w:val="21"/>
                <w:szCs w:val="21"/>
              </w:rPr>
              <w:t>亮度</w:t>
            </w:r>
          </w:p>
        </w:tc>
        <w:tc>
          <w:tcPr>
            <w:tcW w:w="1890" w:type="pct"/>
            <w:noWrap w:val="0"/>
            <w:vAlign w:val="center"/>
          </w:tcPr>
          <w:p w14:paraId="615D370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92.30%</w:t>
            </w:r>
          </w:p>
        </w:tc>
      </w:tr>
      <w:tr w14:paraId="5E850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689EFFE0">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3</w:t>
            </w:r>
          </w:p>
        </w:tc>
        <w:tc>
          <w:tcPr>
            <w:tcW w:w="2631" w:type="pct"/>
            <w:noWrap w:val="0"/>
            <w:vAlign w:val="center"/>
          </w:tcPr>
          <w:p w14:paraId="08CA6F2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S18</w:t>
            </w:r>
          </w:p>
        </w:tc>
        <w:tc>
          <w:tcPr>
            <w:tcW w:w="1890" w:type="pct"/>
            <w:noWrap w:val="0"/>
            <w:vAlign w:val="center"/>
          </w:tcPr>
          <w:p w14:paraId="6E41E81E">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4.40%</w:t>
            </w:r>
          </w:p>
        </w:tc>
      </w:tr>
      <w:tr w14:paraId="7BC2B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41DD64D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4</w:t>
            </w:r>
          </w:p>
        </w:tc>
        <w:tc>
          <w:tcPr>
            <w:tcW w:w="2631" w:type="pct"/>
            <w:noWrap w:val="0"/>
            <w:vAlign w:val="center"/>
          </w:tcPr>
          <w:p w14:paraId="78E9FF1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R18</w:t>
            </w:r>
          </w:p>
        </w:tc>
        <w:tc>
          <w:tcPr>
            <w:tcW w:w="1890" w:type="pct"/>
            <w:noWrap w:val="0"/>
            <w:vAlign w:val="center"/>
          </w:tcPr>
          <w:p w14:paraId="19B6ECA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95.60%</w:t>
            </w:r>
          </w:p>
        </w:tc>
      </w:tr>
      <w:tr w14:paraId="01D19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4B0E763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5</w:t>
            </w:r>
          </w:p>
        </w:tc>
        <w:tc>
          <w:tcPr>
            <w:tcW w:w="2631" w:type="pct"/>
            <w:noWrap w:val="0"/>
            <w:vAlign w:val="center"/>
          </w:tcPr>
          <w:p w14:paraId="0D91345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S10～S18</w:t>
            </w:r>
          </w:p>
        </w:tc>
        <w:tc>
          <w:tcPr>
            <w:tcW w:w="1890" w:type="pct"/>
            <w:noWrap w:val="0"/>
            <w:vAlign w:val="center"/>
          </w:tcPr>
          <w:p w14:paraId="60757D6B">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3.60%</w:t>
            </w:r>
          </w:p>
        </w:tc>
      </w:tr>
      <w:tr w14:paraId="67EF8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72036D48">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6</w:t>
            </w:r>
          </w:p>
        </w:tc>
        <w:tc>
          <w:tcPr>
            <w:tcW w:w="2631" w:type="pct"/>
            <w:noWrap w:val="0"/>
            <w:vAlign w:val="center"/>
          </w:tcPr>
          <w:p w14:paraId="134DDA30">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甲种纤维素</w:t>
            </w:r>
          </w:p>
        </w:tc>
        <w:tc>
          <w:tcPr>
            <w:tcW w:w="1890" w:type="pct"/>
            <w:noWrap w:val="0"/>
            <w:vAlign w:val="center"/>
          </w:tcPr>
          <w:p w14:paraId="26A97F9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9</w:t>
            </w:r>
            <w:r>
              <w:rPr>
                <w:rFonts w:hint="eastAsia" w:ascii="Times New Roman" w:hAnsi="Times New Roman"/>
                <w:kern w:val="0"/>
                <w:sz w:val="21"/>
                <w:szCs w:val="21"/>
              </w:rPr>
              <w:t>1.6</w:t>
            </w:r>
            <w:r>
              <w:rPr>
                <w:rFonts w:hint="eastAsia"/>
                <w:kern w:val="0"/>
                <w:sz w:val="21"/>
                <w:szCs w:val="21"/>
                <w:lang w:val="en-US" w:eastAsia="zh-CN"/>
              </w:rPr>
              <w:t>0</w:t>
            </w:r>
            <w:r>
              <w:rPr>
                <w:rFonts w:ascii="Times New Roman" w:hAnsi="Times New Roman"/>
                <w:kern w:val="0"/>
                <w:sz w:val="21"/>
                <w:szCs w:val="21"/>
              </w:rPr>
              <w:t>%</w:t>
            </w:r>
          </w:p>
        </w:tc>
      </w:tr>
      <w:tr w14:paraId="2304D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6783DEC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7</w:t>
            </w:r>
          </w:p>
        </w:tc>
        <w:tc>
          <w:tcPr>
            <w:tcW w:w="2631" w:type="pct"/>
            <w:noWrap w:val="0"/>
            <w:vAlign w:val="center"/>
          </w:tcPr>
          <w:p w14:paraId="38FCD5E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灰份</w:t>
            </w:r>
          </w:p>
        </w:tc>
        <w:tc>
          <w:tcPr>
            <w:tcW w:w="1890" w:type="pct"/>
            <w:noWrap w:val="0"/>
            <w:vAlign w:val="center"/>
          </w:tcPr>
          <w:p w14:paraId="0C875BEA">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0.06%</w:t>
            </w:r>
          </w:p>
        </w:tc>
      </w:tr>
      <w:tr w14:paraId="1419F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0209151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8</w:t>
            </w:r>
          </w:p>
        </w:tc>
        <w:tc>
          <w:tcPr>
            <w:tcW w:w="2631" w:type="pct"/>
            <w:noWrap w:val="0"/>
            <w:vAlign w:val="center"/>
          </w:tcPr>
          <w:p w14:paraId="27A08C2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铁含量</w:t>
            </w:r>
          </w:p>
        </w:tc>
        <w:tc>
          <w:tcPr>
            <w:tcW w:w="1890" w:type="pct"/>
            <w:noWrap w:val="0"/>
            <w:vAlign w:val="center"/>
          </w:tcPr>
          <w:p w14:paraId="5B5A003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2.8mg/Kg</w:t>
            </w:r>
          </w:p>
        </w:tc>
      </w:tr>
      <w:tr w14:paraId="6126B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382908EF">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w w:val="99"/>
                <w:kern w:val="0"/>
                <w:sz w:val="21"/>
                <w:szCs w:val="21"/>
              </w:rPr>
              <w:t>9</w:t>
            </w:r>
          </w:p>
        </w:tc>
        <w:tc>
          <w:tcPr>
            <w:tcW w:w="2631" w:type="pct"/>
            <w:noWrap w:val="0"/>
            <w:vAlign w:val="center"/>
          </w:tcPr>
          <w:p w14:paraId="392547D1">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钙含量</w:t>
            </w:r>
          </w:p>
        </w:tc>
        <w:tc>
          <w:tcPr>
            <w:tcW w:w="1890" w:type="pct"/>
            <w:noWrap w:val="0"/>
            <w:vAlign w:val="center"/>
          </w:tcPr>
          <w:p w14:paraId="2C8A4D46">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0.01%</w:t>
            </w:r>
          </w:p>
        </w:tc>
      </w:tr>
      <w:tr w14:paraId="23211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18A7B3C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10</w:t>
            </w:r>
          </w:p>
        </w:tc>
        <w:tc>
          <w:tcPr>
            <w:tcW w:w="2631" w:type="pct"/>
            <w:noWrap w:val="0"/>
            <w:vAlign w:val="center"/>
          </w:tcPr>
          <w:p w14:paraId="0141EC5E">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硅含量</w:t>
            </w:r>
          </w:p>
        </w:tc>
        <w:tc>
          <w:tcPr>
            <w:tcW w:w="1890" w:type="pct"/>
            <w:noWrap w:val="0"/>
            <w:vAlign w:val="center"/>
          </w:tcPr>
          <w:p w14:paraId="2B723711">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0.01%</w:t>
            </w:r>
          </w:p>
        </w:tc>
      </w:tr>
      <w:tr w14:paraId="5A2EF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479EDCD2">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11</w:t>
            </w:r>
          </w:p>
        </w:tc>
        <w:tc>
          <w:tcPr>
            <w:tcW w:w="2631" w:type="pct"/>
            <w:noWrap w:val="0"/>
            <w:vAlign w:val="center"/>
          </w:tcPr>
          <w:p w14:paraId="47B3AAED">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铜含量</w:t>
            </w:r>
          </w:p>
        </w:tc>
        <w:tc>
          <w:tcPr>
            <w:tcW w:w="1890" w:type="pct"/>
            <w:noWrap w:val="0"/>
            <w:vAlign w:val="center"/>
          </w:tcPr>
          <w:p w14:paraId="03951819">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0.5mg/Kg</w:t>
            </w:r>
          </w:p>
        </w:tc>
      </w:tr>
      <w:tr w14:paraId="377AF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1576579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12</w:t>
            </w:r>
          </w:p>
        </w:tc>
        <w:tc>
          <w:tcPr>
            <w:tcW w:w="2631" w:type="pct"/>
            <w:noWrap w:val="0"/>
            <w:vAlign w:val="center"/>
          </w:tcPr>
          <w:p w14:paraId="3FD3CA1D">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钠含量</w:t>
            </w:r>
          </w:p>
        </w:tc>
        <w:tc>
          <w:tcPr>
            <w:tcW w:w="1890" w:type="pct"/>
            <w:noWrap w:val="0"/>
            <w:vAlign w:val="center"/>
          </w:tcPr>
          <w:p w14:paraId="13E59AC0">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0.09%</w:t>
            </w:r>
          </w:p>
        </w:tc>
      </w:tr>
      <w:tr w14:paraId="25093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9" w:type="pct"/>
            <w:noWrap w:val="0"/>
            <w:vAlign w:val="center"/>
          </w:tcPr>
          <w:p w14:paraId="63D40415">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13</w:t>
            </w:r>
          </w:p>
        </w:tc>
        <w:tc>
          <w:tcPr>
            <w:tcW w:w="2631" w:type="pct"/>
            <w:noWrap w:val="0"/>
            <w:vAlign w:val="center"/>
          </w:tcPr>
          <w:p w14:paraId="5E24A8CC">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锰含量</w:t>
            </w:r>
          </w:p>
        </w:tc>
        <w:tc>
          <w:tcPr>
            <w:tcW w:w="1890" w:type="pct"/>
            <w:noWrap w:val="0"/>
            <w:vAlign w:val="center"/>
          </w:tcPr>
          <w:p w14:paraId="43B1EA77">
            <w:pPr>
              <w:keepNext w:val="0"/>
              <w:keepLines w:val="0"/>
              <w:pageBreakBefore w:val="0"/>
              <w:widowControl w:val="0"/>
              <w:kinsoku w:val="0"/>
              <w:wordWrap/>
              <w:overflowPunct w:val="0"/>
              <w:topLinePunct w:val="0"/>
              <w:autoSpaceDE w:val="0"/>
              <w:autoSpaceDN w:val="0"/>
              <w:bidi w:val="0"/>
              <w:adjustRightInd w:val="0"/>
              <w:snapToGrid w:val="0"/>
              <w:spacing w:line="240" w:lineRule="auto"/>
              <w:ind w:firstLine="0" w:firstLineChars="0"/>
              <w:jc w:val="center"/>
              <w:textAlignment w:val="auto"/>
              <w:rPr>
                <w:rFonts w:ascii="Times New Roman" w:hAnsi="Times New Roman"/>
                <w:kern w:val="0"/>
                <w:sz w:val="21"/>
                <w:szCs w:val="21"/>
              </w:rPr>
            </w:pPr>
            <w:r>
              <w:rPr>
                <w:rFonts w:ascii="Times New Roman" w:hAnsi="Times New Roman"/>
                <w:kern w:val="0"/>
                <w:sz w:val="21"/>
                <w:szCs w:val="21"/>
              </w:rPr>
              <w:t>0.1mg/Kg</w:t>
            </w:r>
          </w:p>
        </w:tc>
      </w:tr>
    </w:tbl>
    <w:p w14:paraId="37680B08">
      <w:pPr>
        <w:bidi w:val="0"/>
        <w:rPr>
          <w:rFonts w:hint="eastAsia"/>
          <w:color w:val="auto"/>
          <w:lang w:val="en-US" w:eastAsia="zh-CN"/>
        </w:rPr>
      </w:pPr>
    </w:p>
    <w:p w14:paraId="4869D57A">
      <w:pPr>
        <w:bidi w:val="0"/>
        <w:rPr>
          <w:rFonts w:hint="eastAsia"/>
          <w:b/>
          <w:bCs/>
          <w:color w:val="auto"/>
          <w:u w:val="single"/>
          <w:lang w:val="en-US" w:eastAsia="zh-CN"/>
        </w:rPr>
      </w:pPr>
      <w:r>
        <w:rPr>
          <w:rFonts w:hint="eastAsia"/>
          <w:b/>
          <w:bCs/>
          <w:color w:val="auto"/>
          <w:u w:val="single"/>
          <w:lang w:val="en-US" w:eastAsia="zh-CN"/>
        </w:rPr>
        <w:t>*</w:t>
      </w:r>
    </w:p>
    <w:p w14:paraId="318A3CC6">
      <w:pPr>
        <w:bidi w:val="0"/>
        <w:rPr>
          <w:rFonts w:hint="default"/>
          <w:b/>
          <w:bCs/>
          <w:color w:val="auto"/>
          <w:u w:val="single"/>
          <w:lang w:val="en-US" w:eastAsia="zh-CN"/>
        </w:rPr>
      </w:pPr>
      <w:r>
        <w:rPr>
          <w:rFonts w:hint="eastAsia"/>
          <w:b/>
          <w:bCs/>
          <w:color w:val="auto"/>
          <w:u w:val="single"/>
          <w:lang w:val="en-US" w:eastAsia="zh-CN"/>
        </w:rPr>
        <w:t>*</w:t>
      </w:r>
    </w:p>
    <w:p w14:paraId="12D0FFC0">
      <w:pPr>
        <w:bidi w:val="0"/>
        <w:rPr>
          <w:rFonts w:hint="eastAsia"/>
          <w:b/>
          <w:bCs/>
          <w:color w:val="auto"/>
          <w:u w:val="single"/>
          <w:lang w:val="en-US" w:eastAsia="zh-CN"/>
        </w:rPr>
      </w:pPr>
      <w:r>
        <w:rPr>
          <w:rFonts w:hint="eastAsia"/>
          <w:b/>
          <w:bCs/>
          <w:color w:val="auto"/>
          <w:u w:val="single"/>
          <w:lang w:val="en-US" w:eastAsia="zh-CN"/>
        </w:rPr>
        <w:t>*</w:t>
      </w:r>
    </w:p>
    <w:p w14:paraId="62D1DFEE">
      <w:pPr>
        <w:bidi w:val="0"/>
        <w:rPr>
          <w:rFonts w:hint="default"/>
          <w:b/>
          <w:bCs/>
          <w:color w:val="auto"/>
          <w:u w:val="single"/>
          <w:lang w:val="en-US" w:eastAsia="zh-CN"/>
        </w:rPr>
      </w:pPr>
      <w:r>
        <w:rPr>
          <w:rFonts w:hint="eastAsia"/>
          <w:b/>
          <w:bCs/>
          <w:color w:val="auto"/>
          <w:u w:val="single"/>
          <w:lang w:val="en-US" w:eastAsia="zh-CN"/>
        </w:rPr>
        <w:t>*</w:t>
      </w:r>
    </w:p>
    <w:p w14:paraId="0F738A12">
      <w:pPr>
        <w:bidi w:val="0"/>
        <w:rPr>
          <w:rFonts w:hint="eastAsia"/>
          <w:b/>
          <w:bCs/>
          <w:color w:val="auto"/>
          <w:u w:val="single"/>
          <w:lang w:val="en-US" w:eastAsia="zh-CN"/>
        </w:rPr>
      </w:pPr>
      <w:r>
        <w:rPr>
          <w:rFonts w:hint="eastAsia"/>
          <w:b/>
          <w:bCs/>
          <w:color w:val="auto"/>
          <w:u w:val="single"/>
          <w:lang w:val="en-US" w:eastAsia="zh-CN"/>
        </w:rPr>
        <w:t>*</w:t>
      </w:r>
    </w:p>
    <w:p w14:paraId="30953461">
      <w:pPr>
        <w:bidi w:val="0"/>
        <w:rPr>
          <w:rFonts w:hint="default"/>
          <w:b/>
          <w:bCs/>
          <w:color w:val="auto"/>
          <w:u w:val="single"/>
          <w:lang w:val="en-US" w:eastAsia="zh-CN"/>
        </w:rPr>
      </w:pPr>
      <w:r>
        <w:rPr>
          <w:rFonts w:hint="eastAsia"/>
          <w:b/>
          <w:bCs/>
          <w:color w:val="auto"/>
          <w:u w:val="single"/>
          <w:lang w:val="en-US" w:eastAsia="zh-CN"/>
        </w:rPr>
        <w:t>*</w:t>
      </w:r>
    </w:p>
    <w:p w14:paraId="6448C586">
      <w:pPr>
        <w:bidi w:val="0"/>
        <w:rPr>
          <w:rFonts w:hint="eastAsia"/>
          <w:b/>
          <w:bCs/>
          <w:color w:val="auto"/>
          <w:u w:val="single"/>
          <w:lang w:val="en-US" w:eastAsia="zh-CN"/>
        </w:rPr>
      </w:pPr>
      <w:r>
        <w:rPr>
          <w:rFonts w:hint="eastAsia"/>
          <w:b/>
          <w:bCs/>
          <w:color w:val="auto"/>
          <w:u w:val="single"/>
          <w:lang w:val="en-US" w:eastAsia="zh-CN"/>
        </w:rPr>
        <w:t>*</w:t>
      </w:r>
    </w:p>
    <w:p w14:paraId="59A14255">
      <w:pPr>
        <w:bidi w:val="0"/>
        <w:rPr>
          <w:rFonts w:hint="default"/>
          <w:b/>
          <w:bCs/>
          <w:color w:val="auto"/>
          <w:u w:val="single"/>
          <w:lang w:val="en-US" w:eastAsia="zh-CN"/>
        </w:rPr>
      </w:pPr>
      <w:r>
        <w:rPr>
          <w:rFonts w:hint="eastAsia"/>
          <w:b/>
          <w:bCs/>
          <w:color w:val="auto"/>
          <w:u w:val="single"/>
          <w:lang w:val="en-US" w:eastAsia="zh-CN"/>
        </w:rPr>
        <w:t>*</w:t>
      </w:r>
    </w:p>
    <w:p w14:paraId="5EE9CC1D">
      <w:pPr>
        <w:bidi w:val="0"/>
        <w:rPr>
          <w:rFonts w:hint="eastAsia"/>
          <w:b/>
          <w:bCs/>
          <w:color w:val="auto"/>
          <w:u w:val="single"/>
          <w:lang w:val="en-US" w:eastAsia="zh-CN"/>
        </w:rPr>
      </w:pPr>
      <w:r>
        <w:rPr>
          <w:rFonts w:hint="eastAsia"/>
          <w:b/>
          <w:bCs/>
          <w:color w:val="auto"/>
          <w:u w:val="single"/>
          <w:lang w:val="en-US" w:eastAsia="zh-CN"/>
        </w:rPr>
        <w:t>*</w:t>
      </w:r>
    </w:p>
    <w:p w14:paraId="6D782F36">
      <w:pPr>
        <w:bidi w:val="0"/>
        <w:rPr>
          <w:rFonts w:hint="default"/>
          <w:b/>
          <w:bCs/>
          <w:color w:val="auto"/>
          <w:u w:val="single"/>
          <w:lang w:val="en-US" w:eastAsia="zh-CN"/>
        </w:rPr>
      </w:pPr>
      <w:r>
        <w:rPr>
          <w:rFonts w:hint="eastAsia"/>
          <w:b/>
          <w:bCs/>
          <w:color w:val="auto"/>
          <w:u w:val="single"/>
          <w:lang w:val="en-US" w:eastAsia="zh-CN"/>
        </w:rPr>
        <w:t>*</w:t>
      </w:r>
    </w:p>
    <w:p w14:paraId="7ECC7AE5">
      <w:pPr>
        <w:bidi w:val="0"/>
        <w:rPr>
          <w:rFonts w:hint="eastAsia"/>
          <w:b/>
          <w:bCs/>
          <w:color w:val="auto"/>
          <w:u w:val="single"/>
          <w:lang w:val="en-US" w:eastAsia="zh-CN"/>
        </w:rPr>
      </w:pPr>
      <w:r>
        <w:rPr>
          <w:rFonts w:hint="eastAsia"/>
          <w:b/>
          <w:bCs/>
          <w:color w:val="auto"/>
          <w:u w:val="single"/>
          <w:lang w:val="en-US" w:eastAsia="zh-CN"/>
        </w:rPr>
        <w:t>*</w:t>
      </w:r>
    </w:p>
    <w:p w14:paraId="194BF7B5">
      <w:pPr>
        <w:bidi w:val="0"/>
        <w:rPr>
          <w:rFonts w:hint="default"/>
          <w:b/>
          <w:bCs/>
          <w:color w:val="auto"/>
          <w:u w:val="single"/>
          <w:lang w:val="en-US" w:eastAsia="zh-CN"/>
        </w:rPr>
      </w:pPr>
      <w:r>
        <w:rPr>
          <w:rFonts w:hint="eastAsia"/>
          <w:b/>
          <w:bCs/>
          <w:color w:val="auto"/>
          <w:u w:val="single"/>
          <w:lang w:val="en-US" w:eastAsia="zh-CN"/>
        </w:rPr>
        <w:t>*</w:t>
      </w:r>
    </w:p>
    <w:p w14:paraId="0CE0FC8A">
      <w:pPr>
        <w:bidi w:val="0"/>
        <w:rPr>
          <w:rFonts w:hint="eastAsia"/>
          <w:b/>
          <w:bCs/>
          <w:color w:val="auto"/>
          <w:u w:val="single"/>
          <w:lang w:val="en-US" w:eastAsia="zh-CN"/>
        </w:rPr>
      </w:pPr>
      <w:r>
        <w:rPr>
          <w:rFonts w:hint="eastAsia"/>
          <w:b/>
          <w:bCs/>
          <w:color w:val="auto"/>
          <w:u w:val="single"/>
          <w:lang w:val="en-US" w:eastAsia="zh-CN"/>
        </w:rPr>
        <w:t>*</w:t>
      </w:r>
    </w:p>
    <w:p w14:paraId="59194B38">
      <w:pPr>
        <w:bidi w:val="0"/>
        <w:rPr>
          <w:rFonts w:hint="default"/>
          <w:b/>
          <w:bCs/>
          <w:color w:val="auto"/>
          <w:u w:val="single"/>
          <w:lang w:val="en-US" w:eastAsia="zh-CN"/>
        </w:rPr>
      </w:pPr>
      <w:r>
        <w:rPr>
          <w:rFonts w:hint="eastAsia"/>
          <w:b/>
          <w:bCs/>
          <w:color w:val="auto"/>
          <w:u w:val="single"/>
          <w:lang w:val="en-US" w:eastAsia="zh-CN"/>
        </w:rPr>
        <w:t>*</w:t>
      </w:r>
    </w:p>
    <w:p w14:paraId="2F874FA3">
      <w:pPr>
        <w:bidi w:val="0"/>
        <w:rPr>
          <w:rFonts w:hint="eastAsia"/>
          <w:b/>
          <w:bCs/>
          <w:color w:val="auto"/>
          <w:u w:val="single"/>
          <w:lang w:val="en-US" w:eastAsia="zh-CN"/>
        </w:rPr>
      </w:pPr>
      <w:r>
        <w:rPr>
          <w:rFonts w:hint="eastAsia"/>
          <w:b/>
          <w:bCs/>
          <w:color w:val="auto"/>
          <w:u w:val="single"/>
          <w:lang w:val="en-US" w:eastAsia="zh-CN"/>
        </w:rPr>
        <w:t>*</w:t>
      </w:r>
    </w:p>
    <w:p w14:paraId="3A04F89A">
      <w:pPr>
        <w:bidi w:val="0"/>
        <w:rPr>
          <w:rFonts w:hint="default"/>
          <w:b/>
          <w:bCs/>
          <w:color w:val="auto"/>
          <w:u w:val="single"/>
          <w:lang w:val="en-US" w:eastAsia="zh-CN"/>
        </w:rPr>
      </w:pPr>
      <w:r>
        <w:rPr>
          <w:rFonts w:hint="eastAsia"/>
          <w:b/>
          <w:bCs/>
          <w:color w:val="auto"/>
          <w:u w:val="single"/>
          <w:lang w:val="en-US" w:eastAsia="zh-CN"/>
        </w:rPr>
        <w:t>*</w:t>
      </w:r>
    </w:p>
    <w:p w14:paraId="60247F90">
      <w:pPr>
        <w:bidi w:val="0"/>
        <w:rPr>
          <w:rFonts w:hint="eastAsia"/>
          <w:b/>
          <w:bCs/>
          <w:color w:val="auto"/>
          <w:u w:val="single"/>
          <w:lang w:val="en-US" w:eastAsia="zh-CN"/>
        </w:rPr>
      </w:pPr>
      <w:r>
        <w:rPr>
          <w:rFonts w:hint="eastAsia"/>
          <w:b/>
          <w:bCs/>
          <w:color w:val="auto"/>
          <w:u w:val="single"/>
          <w:lang w:val="en-US" w:eastAsia="zh-CN"/>
        </w:rPr>
        <w:t>*</w:t>
      </w:r>
    </w:p>
    <w:p w14:paraId="5BD18BF8">
      <w:pPr>
        <w:bidi w:val="0"/>
        <w:rPr>
          <w:rFonts w:hint="default"/>
          <w:b/>
          <w:bCs/>
          <w:color w:val="auto"/>
          <w:u w:val="single"/>
          <w:lang w:val="en-US" w:eastAsia="zh-CN"/>
        </w:rPr>
      </w:pPr>
      <w:r>
        <w:rPr>
          <w:rFonts w:hint="eastAsia"/>
          <w:b/>
          <w:bCs/>
          <w:color w:val="auto"/>
          <w:u w:val="single"/>
          <w:lang w:val="en-US" w:eastAsia="zh-CN"/>
        </w:rPr>
        <w:t>*</w:t>
      </w:r>
    </w:p>
    <w:p w14:paraId="67A25BF8">
      <w:pPr>
        <w:bidi w:val="0"/>
        <w:rPr>
          <w:rFonts w:hint="eastAsia"/>
          <w:b/>
          <w:bCs/>
          <w:color w:val="auto"/>
          <w:u w:val="single"/>
          <w:lang w:val="en-US" w:eastAsia="zh-CN"/>
        </w:rPr>
      </w:pPr>
      <w:r>
        <w:rPr>
          <w:rFonts w:hint="eastAsia"/>
          <w:b/>
          <w:bCs/>
          <w:color w:val="auto"/>
          <w:u w:val="single"/>
          <w:lang w:val="en-US" w:eastAsia="zh-CN"/>
        </w:rPr>
        <w:t>*</w:t>
      </w:r>
    </w:p>
    <w:p w14:paraId="70401574">
      <w:pPr>
        <w:bidi w:val="0"/>
        <w:rPr>
          <w:rFonts w:hint="default"/>
          <w:b/>
          <w:bCs/>
          <w:color w:val="auto"/>
          <w:u w:val="single"/>
          <w:lang w:val="en-US" w:eastAsia="zh-CN"/>
        </w:rPr>
      </w:pPr>
      <w:r>
        <w:rPr>
          <w:rFonts w:hint="eastAsia"/>
          <w:b/>
          <w:bCs/>
          <w:color w:val="auto"/>
          <w:u w:val="single"/>
          <w:lang w:val="en-US" w:eastAsia="zh-CN"/>
        </w:rPr>
        <w:t>*</w:t>
      </w:r>
    </w:p>
    <w:p w14:paraId="5C94D750">
      <w:pPr>
        <w:bidi w:val="0"/>
        <w:rPr>
          <w:rFonts w:hint="eastAsia"/>
          <w:b/>
          <w:bCs/>
          <w:color w:val="auto"/>
          <w:u w:val="single"/>
          <w:lang w:val="en-US" w:eastAsia="zh-CN"/>
        </w:rPr>
      </w:pPr>
      <w:r>
        <w:rPr>
          <w:rFonts w:hint="eastAsia"/>
          <w:b/>
          <w:bCs/>
          <w:color w:val="auto"/>
          <w:u w:val="single"/>
          <w:lang w:val="en-US" w:eastAsia="zh-CN"/>
        </w:rPr>
        <w:t>*</w:t>
      </w:r>
    </w:p>
    <w:p w14:paraId="1B758509">
      <w:pPr>
        <w:bidi w:val="0"/>
        <w:rPr>
          <w:rFonts w:hint="default"/>
          <w:b/>
          <w:bCs/>
          <w:color w:val="auto"/>
          <w:u w:val="single"/>
          <w:lang w:val="en-US" w:eastAsia="zh-CN"/>
        </w:rPr>
      </w:pPr>
      <w:r>
        <w:rPr>
          <w:rFonts w:hint="eastAsia"/>
          <w:b/>
          <w:bCs/>
          <w:color w:val="auto"/>
          <w:u w:val="single"/>
          <w:lang w:val="en-US" w:eastAsia="zh-CN"/>
        </w:rPr>
        <w:t>*</w:t>
      </w:r>
    </w:p>
    <w:p w14:paraId="612438F7">
      <w:pPr>
        <w:bidi w:val="0"/>
        <w:rPr>
          <w:rFonts w:hint="eastAsia"/>
          <w:b/>
          <w:bCs/>
          <w:color w:val="auto"/>
          <w:u w:val="single"/>
          <w:lang w:val="en-US" w:eastAsia="zh-CN"/>
        </w:rPr>
      </w:pPr>
      <w:r>
        <w:rPr>
          <w:rFonts w:hint="eastAsia"/>
          <w:b/>
          <w:bCs/>
          <w:color w:val="auto"/>
          <w:u w:val="single"/>
          <w:lang w:val="en-US" w:eastAsia="zh-CN"/>
        </w:rPr>
        <w:t>*</w:t>
      </w:r>
    </w:p>
    <w:p w14:paraId="0435AA38">
      <w:pPr>
        <w:bidi w:val="0"/>
        <w:rPr>
          <w:rFonts w:hint="default"/>
          <w:b/>
          <w:bCs/>
          <w:color w:val="auto"/>
          <w:u w:val="single"/>
          <w:lang w:val="en-US" w:eastAsia="zh-CN"/>
        </w:rPr>
      </w:pPr>
      <w:r>
        <w:rPr>
          <w:rFonts w:hint="eastAsia"/>
          <w:b/>
          <w:bCs/>
          <w:color w:val="auto"/>
          <w:u w:val="single"/>
          <w:lang w:val="en-US" w:eastAsia="zh-CN"/>
        </w:rPr>
        <w:t>*</w:t>
      </w:r>
    </w:p>
    <w:p w14:paraId="27B0A78B">
      <w:pPr>
        <w:bidi w:val="0"/>
        <w:rPr>
          <w:rFonts w:hint="eastAsia"/>
          <w:b/>
          <w:bCs/>
          <w:color w:val="auto"/>
          <w:u w:val="single"/>
          <w:lang w:val="en-US" w:eastAsia="zh-CN"/>
        </w:rPr>
      </w:pPr>
      <w:r>
        <w:rPr>
          <w:rFonts w:hint="eastAsia"/>
          <w:b/>
          <w:bCs/>
          <w:color w:val="auto"/>
          <w:u w:val="single"/>
          <w:lang w:val="en-US" w:eastAsia="zh-CN"/>
        </w:rPr>
        <w:t>*</w:t>
      </w:r>
    </w:p>
    <w:p w14:paraId="6B33C477">
      <w:pPr>
        <w:bidi w:val="0"/>
        <w:rPr>
          <w:rFonts w:hint="default"/>
          <w:b/>
          <w:bCs/>
          <w:color w:val="auto"/>
          <w:u w:val="single"/>
          <w:lang w:val="en-US" w:eastAsia="zh-CN"/>
        </w:rPr>
      </w:pPr>
      <w:r>
        <w:rPr>
          <w:rFonts w:hint="eastAsia"/>
          <w:b/>
          <w:bCs/>
          <w:color w:val="auto"/>
          <w:u w:val="single"/>
          <w:lang w:val="en-US" w:eastAsia="zh-CN"/>
        </w:rPr>
        <w:t>*</w:t>
      </w:r>
    </w:p>
    <w:p w14:paraId="7AB54709">
      <w:pPr>
        <w:bidi w:val="0"/>
        <w:rPr>
          <w:rFonts w:hint="eastAsia"/>
          <w:b/>
          <w:bCs/>
          <w:color w:val="auto"/>
          <w:u w:val="single"/>
          <w:lang w:val="en-US" w:eastAsia="zh-CN"/>
        </w:rPr>
      </w:pPr>
      <w:r>
        <w:rPr>
          <w:rFonts w:hint="eastAsia"/>
          <w:b/>
          <w:bCs/>
          <w:color w:val="auto"/>
          <w:u w:val="single"/>
          <w:lang w:val="en-US" w:eastAsia="zh-CN"/>
        </w:rPr>
        <w:t>。</w:t>
      </w:r>
    </w:p>
    <w:p w14:paraId="29914086">
      <w:pPr>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主要原辅料</w:t>
      </w:r>
      <w:r>
        <w:rPr>
          <w:rFonts w:hint="eastAsia" w:ascii="Times New Roman" w:hAnsi="Times New Roman" w:eastAsia="宋体" w:cs="Times New Roman"/>
          <w:b/>
          <w:bCs/>
          <w:color w:val="auto"/>
          <w:u w:val="single"/>
        </w:rPr>
        <w:t>经对比《建设项目环境风险评价技术导则》（HJ169-2018）附录B</w:t>
      </w:r>
      <w:r>
        <w:rPr>
          <w:rFonts w:hint="eastAsia" w:ascii="Times New Roman" w:hAnsi="Times New Roman" w:eastAsia="宋体" w:cs="Times New Roman"/>
          <w:b/>
          <w:bCs/>
          <w:color w:val="auto"/>
          <w:u w:val="single"/>
          <w:lang w:val="en-US" w:eastAsia="zh-CN"/>
        </w:rPr>
        <w:t>得下表。</w:t>
      </w:r>
    </w:p>
    <w:p w14:paraId="2326C3AD">
      <w:pPr>
        <w:pStyle w:val="10"/>
        <w:bidi w:val="0"/>
        <w:rPr>
          <w:rFonts w:hint="default"/>
          <w:b/>
          <w:bCs/>
          <w:u w:val="single"/>
          <w:lang w:val="en-US" w:eastAsia="zh-CN"/>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6.8</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7</w:t>
      </w:r>
      <w:r>
        <w:rPr>
          <w:b/>
          <w:bCs/>
          <w:u w:val="single"/>
        </w:rPr>
        <w:fldChar w:fldCharType="end"/>
      </w:r>
      <w:r>
        <w:rPr>
          <w:rFonts w:hint="eastAsia"/>
          <w:b/>
          <w:bCs/>
          <w:u w:val="single"/>
          <w:lang w:val="en-US" w:eastAsia="zh-CN"/>
        </w:rPr>
        <w:t xml:space="preserve"> </w:t>
      </w:r>
      <w:r>
        <w:rPr>
          <w:rFonts w:hint="eastAsia"/>
          <w:b/>
          <w:bCs/>
          <w:u w:val="single"/>
        </w:rPr>
        <w:t>本项目</w:t>
      </w:r>
      <w:r>
        <w:rPr>
          <w:rFonts w:hint="eastAsia"/>
          <w:b/>
          <w:bCs/>
          <w:u w:val="single"/>
          <w:lang w:val="en-US" w:eastAsia="zh-CN"/>
        </w:rPr>
        <w:t>原辅料风险物质分析</w:t>
      </w:r>
      <w:r>
        <w:rPr>
          <w:rFonts w:hint="eastAsia"/>
          <w:b/>
          <w:bCs/>
          <w:u w:val="single"/>
        </w:rPr>
        <w:t>一览表</w:t>
      </w:r>
    </w:p>
    <w:p w14:paraId="6D8D61B6">
      <w:pPr>
        <w:spacing w:line="14" w:lineRule="exact"/>
        <w:ind w:firstLine="420"/>
        <w:rPr>
          <w:rFonts w:cs="宋体"/>
          <w:b/>
          <w:bCs/>
          <w:u w:val="single"/>
        </w:rPr>
      </w:pPr>
    </w:p>
    <w:tbl>
      <w:tblPr>
        <w:tblStyle w:val="31"/>
        <w:tblW w:w="497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5"/>
        <w:gridCol w:w="1611"/>
        <w:gridCol w:w="3117"/>
        <w:gridCol w:w="3117"/>
      </w:tblGrid>
      <w:tr w14:paraId="4E6DF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0F954E4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序号</w:t>
            </w:r>
          </w:p>
        </w:tc>
        <w:tc>
          <w:tcPr>
            <w:tcW w:w="949" w:type="pct"/>
            <w:noWrap w:val="0"/>
            <w:vAlign w:val="center"/>
          </w:tcPr>
          <w:p w14:paraId="6F8E5E3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名称</w:t>
            </w:r>
          </w:p>
        </w:tc>
        <w:tc>
          <w:tcPr>
            <w:tcW w:w="1838" w:type="pct"/>
            <w:noWrap w:val="0"/>
            <w:vAlign w:val="center"/>
          </w:tcPr>
          <w:p w14:paraId="779EA79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bCs/>
                <w:u w:val="single"/>
                <w:lang w:val="en-US" w:eastAsia="zh-CN"/>
              </w:rPr>
            </w:pPr>
            <w:r>
              <w:rPr>
                <w:rFonts w:hint="eastAsia" w:eastAsia="宋体"/>
                <w:b/>
                <w:bCs/>
                <w:u w:val="single"/>
                <w:lang w:val="en-US" w:eastAsia="zh-CN"/>
              </w:rPr>
              <w:t>是否在（HJ169-2018）附录B名单（或急性毒性指标）</w:t>
            </w:r>
          </w:p>
        </w:tc>
        <w:tc>
          <w:tcPr>
            <w:tcW w:w="1838" w:type="pct"/>
            <w:noWrap w:val="0"/>
            <w:vAlign w:val="center"/>
          </w:tcPr>
          <w:p w14:paraId="2F3D6AE4">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default" w:eastAsia="宋体"/>
                <w:b/>
                <w:bCs/>
                <w:u w:val="single"/>
                <w:lang w:val="en-US" w:eastAsia="zh-CN"/>
              </w:rPr>
            </w:pPr>
            <w:r>
              <w:rPr>
                <w:rFonts w:hint="eastAsia" w:eastAsia="宋体"/>
                <w:b/>
                <w:bCs/>
                <w:u w:val="single"/>
                <w:lang w:val="en-US" w:eastAsia="zh-CN"/>
              </w:rPr>
              <w:t>对比结果</w:t>
            </w:r>
          </w:p>
        </w:tc>
      </w:tr>
      <w:tr w14:paraId="5EB16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51260A62">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1</w:t>
            </w:r>
          </w:p>
        </w:tc>
        <w:tc>
          <w:tcPr>
            <w:tcW w:w="949" w:type="pct"/>
            <w:noWrap w:val="0"/>
            <w:vAlign w:val="center"/>
          </w:tcPr>
          <w:p w14:paraId="46336C62">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38" w:type="pct"/>
            <w:noWrap w:val="0"/>
            <w:vAlign w:val="center"/>
          </w:tcPr>
          <w:p w14:paraId="422E4B30">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38" w:type="pct"/>
            <w:noWrap w:val="0"/>
            <w:vAlign w:val="center"/>
          </w:tcPr>
          <w:p w14:paraId="0C365CE0">
            <w:pPr>
              <w:pStyle w:val="182"/>
              <w:rPr>
                <w:rFonts w:hint="default"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不属于危险物质</w:t>
            </w:r>
          </w:p>
        </w:tc>
      </w:tr>
      <w:tr w14:paraId="180CD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0C62C685">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2</w:t>
            </w:r>
          </w:p>
        </w:tc>
        <w:tc>
          <w:tcPr>
            <w:tcW w:w="949" w:type="pct"/>
            <w:noWrap w:val="0"/>
            <w:vAlign w:val="center"/>
          </w:tcPr>
          <w:p w14:paraId="1A201EC0">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38" w:type="pct"/>
            <w:noWrap w:val="0"/>
            <w:vAlign w:val="center"/>
          </w:tcPr>
          <w:p w14:paraId="17A4C2AB">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38" w:type="pct"/>
            <w:noWrap w:val="0"/>
            <w:vAlign w:val="center"/>
          </w:tcPr>
          <w:p w14:paraId="152AC7A1">
            <w:pPr>
              <w:pStyle w:val="182"/>
              <w:rPr>
                <w:rFonts w:hint="default"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不属于危险物质</w:t>
            </w:r>
          </w:p>
        </w:tc>
      </w:tr>
      <w:tr w14:paraId="5250D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6CA4AE56">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3</w:t>
            </w:r>
          </w:p>
        </w:tc>
        <w:tc>
          <w:tcPr>
            <w:tcW w:w="949" w:type="pct"/>
            <w:noWrap w:val="0"/>
            <w:vAlign w:val="center"/>
          </w:tcPr>
          <w:p w14:paraId="0DA9A105">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38" w:type="pct"/>
            <w:noWrap w:val="0"/>
            <w:vAlign w:val="center"/>
          </w:tcPr>
          <w:p w14:paraId="4429EAFF">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38" w:type="pct"/>
            <w:noWrap w:val="0"/>
            <w:vAlign w:val="center"/>
          </w:tcPr>
          <w:p w14:paraId="727A018B">
            <w:pPr>
              <w:pStyle w:val="182"/>
              <w:rPr>
                <w:rFonts w:hint="default"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由急性毒性指标得二甲基亚砜不属于健康危险急性毒性物质（类别1，类别2，类别3）以及危害水环境物质（急性毒性类别1）；二甲基亚砜不属于危险物质</w:t>
            </w:r>
          </w:p>
        </w:tc>
      </w:tr>
      <w:tr w14:paraId="2653D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29DB45F7">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4</w:t>
            </w:r>
          </w:p>
        </w:tc>
        <w:tc>
          <w:tcPr>
            <w:tcW w:w="949" w:type="pct"/>
            <w:noWrap w:val="0"/>
            <w:vAlign w:val="center"/>
          </w:tcPr>
          <w:p w14:paraId="47E39A89">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38" w:type="pct"/>
            <w:noWrap w:val="0"/>
            <w:vAlign w:val="center"/>
          </w:tcPr>
          <w:p w14:paraId="5810B74C">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38" w:type="pct"/>
            <w:noWrap w:val="0"/>
            <w:vAlign w:val="center"/>
          </w:tcPr>
          <w:p w14:paraId="38308174">
            <w:pPr>
              <w:pStyle w:val="182"/>
              <w:rPr>
                <w:rFonts w:hint="default"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不属于危险物质</w:t>
            </w:r>
          </w:p>
        </w:tc>
      </w:tr>
      <w:tr w14:paraId="237F2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549A990E">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5</w:t>
            </w:r>
          </w:p>
        </w:tc>
        <w:tc>
          <w:tcPr>
            <w:tcW w:w="949" w:type="pct"/>
            <w:noWrap w:val="0"/>
            <w:vAlign w:val="center"/>
          </w:tcPr>
          <w:p w14:paraId="65510475">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38" w:type="pct"/>
            <w:noWrap w:val="0"/>
            <w:vAlign w:val="center"/>
          </w:tcPr>
          <w:p w14:paraId="79C7106F">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38" w:type="pct"/>
            <w:noWrap w:val="0"/>
            <w:vAlign w:val="center"/>
          </w:tcPr>
          <w:p w14:paraId="3C23E37C">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不属于危险物质</w:t>
            </w:r>
          </w:p>
        </w:tc>
      </w:tr>
      <w:tr w14:paraId="63337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4" w:type="pct"/>
            <w:noWrap w:val="0"/>
            <w:vAlign w:val="center"/>
          </w:tcPr>
          <w:p w14:paraId="395ED0F3">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6</w:t>
            </w:r>
          </w:p>
        </w:tc>
        <w:tc>
          <w:tcPr>
            <w:tcW w:w="949" w:type="pct"/>
            <w:noWrap w:val="0"/>
            <w:vAlign w:val="center"/>
          </w:tcPr>
          <w:p w14:paraId="18CF867C">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38" w:type="pct"/>
            <w:noWrap w:val="0"/>
            <w:vAlign w:val="center"/>
          </w:tcPr>
          <w:p w14:paraId="578F4B86">
            <w:pPr>
              <w:bidi w:val="0"/>
              <w:ind w:firstLine="482" w:firstLineChars="200"/>
              <w:rPr>
                <w:rFonts w:hint="default" w:ascii="Times New Roman" w:hAnsi="Times New Roman" w:eastAsia="宋体" w:cs="Times New Roman"/>
                <w:b/>
                <w:bCs/>
                <w:color w:val="auto"/>
                <w:u w:val="single"/>
                <w:lang w:val="en-US" w:eastAsia="zh-CN"/>
              </w:rPr>
            </w:pPr>
            <w:r>
              <w:rPr>
                <w:rFonts w:hint="eastAsia"/>
                <w:b/>
                <w:bCs/>
                <w:color w:val="auto"/>
                <w:u w:val="single"/>
                <w:lang w:val="en-US" w:eastAsia="zh-CN"/>
              </w:rPr>
              <w:t>*</w:t>
            </w:r>
          </w:p>
        </w:tc>
        <w:tc>
          <w:tcPr>
            <w:tcW w:w="1838" w:type="pct"/>
            <w:noWrap w:val="0"/>
            <w:vAlign w:val="center"/>
          </w:tcPr>
          <w:p w14:paraId="4AD5F6F6">
            <w:pPr>
              <w:pStyle w:val="182"/>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属于危险物质</w:t>
            </w:r>
          </w:p>
        </w:tc>
      </w:tr>
    </w:tbl>
    <w:p w14:paraId="1B92662C">
      <w:pPr>
        <w:bidi w:val="0"/>
        <w:rPr>
          <w:rFonts w:hint="eastAsia" w:ascii="Times New Roman" w:hAnsi="Times New Roman" w:eastAsia="宋体" w:cs="Times New Roman"/>
          <w:b/>
          <w:bCs/>
          <w:color w:val="auto"/>
          <w:u w:val="single"/>
        </w:rPr>
      </w:pPr>
      <w:r>
        <w:rPr>
          <w:rFonts w:hint="eastAsia" w:ascii="Times New Roman" w:hAnsi="Times New Roman" w:eastAsia="宋体" w:cs="Times New Roman"/>
          <w:b/>
          <w:bCs/>
          <w:color w:val="auto"/>
          <w:u w:val="single"/>
        </w:rPr>
        <w:t>本项目危险物质数量和分布情况见下表。</w:t>
      </w:r>
    </w:p>
    <w:p w14:paraId="7EE528A2">
      <w:pPr>
        <w:pStyle w:val="10"/>
        <w:bidi w:val="0"/>
        <w:rPr>
          <w:rFonts w:hint="default"/>
          <w:b/>
          <w:bCs/>
          <w:u w:val="single"/>
          <w:lang w:val="en-US" w:eastAsia="zh-CN"/>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6.8</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8</w:t>
      </w:r>
      <w:r>
        <w:rPr>
          <w:b/>
          <w:bCs/>
          <w:u w:val="single"/>
        </w:rPr>
        <w:fldChar w:fldCharType="end"/>
      </w:r>
      <w:r>
        <w:rPr>
          <w:rFonts w:hint="eastAsia"/>
          <w:b/>
          <w:bCs/>
          <w:u w:val="single"/>
          <w:lang w:val="en-US" w:eastAsia="zh-CN"/>
        </w:rPr>
        <w:t xml:space="preserve"> </w:t>
      </w:r>
      <w:r>
        <w:rPr>
          <w:rFonts w:hint="eastAsia"/>
          <w:b/>
          <w:bCs/>
          <w:u w:val="single"/>
        </w:rPr>
        <w:t>本项目危险物质储存情况及分布一览表</w:t>
      </w:r>
    </w:p>
    <w:p w14:paraId="35F93394">
      <w:pPr>
        <w:spacing w:line="14" w:lineRule="exact"/>
        <w:ind w:firstLine="420"/>
        <w:rPr>
          <w:rFonts w:cs="宋体"/>
          <w:b/>
          <w:bCs/>
          <w:u w:val="single"/>
        </w:rPr>
      </w:pPr>
    </w:p>
    <w:tbl>
      <w:tblPr>
        <w:tblStyle w:val="31"/>
        <w:tblW w:w="5000" w:type="pct"/>
        <w:tblInd w:w="-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08"/>
        <w:gridCol w:w="2073"/>
        <w:gridCol w:w="1701"/>
        <w:gridCol w:w="1965"/>
        <w:gridCol w:w="1666"/>
      </w:tblGrid>
      <w:tr w14:paraId="0D97CB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trPr>
        <w:tc>
          <w:tcPr>
            <w:tcW w:w="546" w:type="pct"/>
            <w:noWrap w:val="0"/>
            <w:vAlign w:val="center"/>
          </w:tcPr>
          <w:p w14:paraId="20E365DC">
            <w:pPr>
              <w:pStyle w:val="182"/>
              <w:rPr>
                <w:rFonts w:ascii="Times New Roman" w:hAnsi="Times New Roman" w:eastAsia="宋体" w:cs="Times New Roman"/>
                <w:b/>
                <w:bCs/>
                <w:u w:val="single"/>
              </w:rPr>
            </w:pPr>
            <w:r>
              <w:rPr>
                <w:rFonts w:hint="eastAsia" w:ascii="Times New Roman" w:hAnsi="Times New Roman" w:eastAsia="宋体" w:cs="Times New Roman"/>
                <w:b/>
                <w:bCs/>
                <w:u w:val="single"/>
              </w:rPr>
              <w:t>序号</w:t>
            </w:r>
          </w:p>
        </w:tc>
        <w:tc>
          <w:tcPr>
            <w:tcW w:w="1247" w:type="pct"/>
            <w:noWrap w:val="0"/>
            <w:vAlign w:val="center"/>
          </w:tcPr>
          <w:p w14:paraId="367BA5D6">
            <w:pPr>
              <w:pStyle w:val="182"/>
              <w:rPr>
                <w:rFonts w:ascii="Times New Roman" w:hAnsi="Times New Roman" w:eastAsia="宋体" w:cs="Times New Roman"/>
                <w:b/>
                <w:bCs/>
                <w:u w:val="single"/>
              </w:rPr>
            </w:pPr>
            <w:r>
              <w:rPr>
                <w:rFonts w:hint="eastAsia" w:ascii="Times New Roman" w:hAnsi="Times New Roman" w:eastAsia="宋体" w:cs="Times New Roman"/>
                <w:b/>
                <w:bCs/>
                <w:u w:val="single"/>
              </w:rPr>
              <w:t>名称</w:t>
            </w:r>
          </w:p>
        </w:tc>
        <w:tc>
          <w:tcPr>
            <w:tcW w:w="1023" w:type="pct"/>
            <w:noWrap w:val="0"/>
            <w:vAlign w:val="center"/>
          </w:tcPr>
          <w:p w14:paraId="5B47A847">
            <w:pPr>
              <w:pStyle w:val="182"/>
              <w:rPr>
                <w:rFonts w:ascii="Times New Roman" w:hAnsi="Times New Roman" w:eastAsia="宋体" w:cs="Times New Roman"/>
                <w:b/>
                <w:bCs/>
                <w:u w:val="single"/>
              </w:rPr>
            </w:pPr>
            <w:r>
              <w:rPr>
                <w:rFonts w:hint="eastAsia" w:ascii="Times New Roman" w:hAnsi="Times New Roman" w:eastAsia="宋体" w:cs="Times New Roman"/>
                <w:b/>
                <w:bCs/>
                <w:u w:val="single"/>
              </w:rPr>
              <w:t>储存方式</w:t>
            </w:r>
          </w:p>
        </w:tc>
        <w:tc>
          <w:tcPr>
            <w:tcW w:w="1182" w:type="pct"/>
            <w:tcBorders>
              <w:right w:val="single" w:color="auto" w:sz="4" w:space="0"/>
            </w:tcBorders>
            <w:noWrap w:val="0"/>
            <w:vAlign w:val="center"/>
          </w:tcPr>
          <w:p w14:paraId="2776211D">
            <w:pPr>
              <w:pStyle w:val="182"/>
              <w:rPr>
                <w:rFonts w:ascii="Times New Roman" w:hAnsi="Times New Roman" w:eastAsia="宋体" w:cs="Times New Roman"/>
                <w:b/>
                <w:bCs/>
                <w:u w:val="single"/>
              </w:rPr>
            </w:pPr>
            <w:r>
              <w:rPr>
                <w:rFonts w:hint="eastAsia" w:ascii="Times New Roman" w:hAnsi="Times New Roman" w:eastAsia="宋体" w:cs="Times New Roman"/>
                <w:b/>
                <w:bCs/>
                <w:u w:val="single"/>
              </w:rPr>
              <w:t>最大储存量（t）</w:t>
            </w:r>
          </w:p>
        </w:tc>
        <w:tc>
          <w:tcPr>
            <w:tcW w:w="1002" w:type="pct"/>
            <w:tcBorders>
              <w:left w:val="single" w:color="auto" w:sz="4" w:space="0"/>
            </w:tcBorders>
            <w:noWrap w:val="0"/>
            <w:vAlign w:val="center"/>
          </w:tcPr>
          <w:p w14:paraId="4643E664">
            <w:pPr>
              <w:pStyle w:val="182"/>
              <w:rPr>
                <w:rFonts w:ascii="Times New Roman" w:hAnsi="Times New Roman" w:eastAsia="宋体" w:cs="Times New Roman"/>
                <w:b/>
                <w:bCs/>
                <w:u w:val="single"/>
              </w:rPr>
            </w:pPr>
            <w:r>
              <w:rPr>
                <w:rFonts w:hint="eastAsia" w:ascii="Times New Roman" w:hAnsi="Times New Roman" w:eastAsia="宋体" w:cs="Times New Roman"/>
                <w:b/>
                <w:bCs/>
                <w:u w:val="single"/>
              </w:rPr>
              <w:t>白油含量（t）</w:t>
            </w:r>
          </w:p>
        </w:tc>
      </w:tr>
      <w:tr w14:paraId="42AB41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546" w:type="pct"/>
            <w:noWrap w:val="0"/>
            <w:vAlign w:val="center"/>
          </w:tcPr>
          <w:p w14:paraId="2D5DCE20">
            <w:pPr>
              <w:pStyle w:val="182"/>
              <w:rPr>
                <w:rFonts w:ascii="Times New Roman" w:hAnsi="Times New Roman" w:eastAsia="宋体" w:cs="Times New Roman"/>
                <w:b/>
                <w:bCs/>
                <w:u w:val="single"/>
              </w:rPr>
            </w:pPr>
            <w:r>
              <w:rPr>
                <w:rFonts w:ascii="Times New Roman" w:hAnsi="Times New Roman" w:eastAsia="宋体" w:cs="Times New Roman"/>
                <w:b/>
                <w:bCs/>
                <w:u w:val="single"/>
              </w:rPr>
              <w:t>1</w:t>
            </w:r>
          </w:p>
        </w:tc>
        <w:tc>
          <w:tcPr>
            <w:tcW w:w="1247" w:type="pct"/>
            <w:noWrap w:val="0"/>
            <w:vAlign w:val="center"/>
          </w:tcPr>
          <w:p w14:paraId="69F86521">
            <w:pPr>
              <w:pStyle w:val="182"/>
              <w:rPr>
                <w:rFonts w:ascii="Times New Roman" w:hAnsi="Times New Roman" w:eastAsia="宋体" w:cs="Times New Roman"/>
                <w:b/>
                <w:bCs/>
                <w:u w:val="single"/>
              </w:rPr>
            </w:pPr>
            <w:r>
              <w:rPr>
                <w:rFonts w:ascii="Times New Roman" w:hAnsi="Times New Roman" w:eastAsia="宋体" w:cs="Times New Roman"/>
                <w:b/>
                <w:bCs/>
                <w:u w:val="single"/>
              </w:rPr>
              <w:t>纺丝油剂</w:t>
            </w:r>
          </w:p>
        </w:tc>
        <w:tc>
          <w:tcPr>
            <w:tcW w:w="1023" w:type="pct"/>
            <w:noWrap w:val="0"/>
            <w:vAlign w:val="center"/>
          </w:tcPr>
          <w:p w14:paraId="4387B241">
            <w:pPr>
              <w:pStyle w:val="182"/>
              <w:rPr>
                <w:rFonts w:ascii="Times New Roman" w:hAnsi="Times New Roman" w:eastAsia="宋体" w:cs="Times New Roman"/>
                <w:b/>
                <w:bCs/>
                <w:u w:val="single"/>
              </w:rPr>
            </w:pPr>
            <w:r>
              <w:rPr>
                <w:rFonts w:ascii="Times New Roman" w:hAnsi="Times New Roman" w:eastAsia="宋体" w:cs="Times New Roman"/>
                <w:b/>
                <w:bCs/>
                <w:u w:val="single"/>
              </w:rPr>
              <w:t>桶装</w:t>
            </w:r>
          </w:p>
        </w:tc>
        <w:tc>
          <w:tcPr>
            <w:tcW w:w="1182" w:type="pct"/>
            <w:tcBorders>
              <w:right w:val="single" w:color="auto" w:sz="4" w:space="0"/>
            </w:tcBorders>
            <w:noWrap w:val="0"/>
            <w:vAlign w:val="center"/>
          </w:tcPr>
          <w:p w14:paraId="630E4C52">
            <w:pPr>
              <w:pStyle w:val="182"/>
              <w:rPr>
                <w:rFonts w:hint="default" w:ascii="Times New Roman" w:hAnsi="Times New Roman" w:eastAsia="宋体" w:cs="Times New Roman"/>
                <w:b/>
                <w:bCs/>
                <w:u w:val="single"/>
                <w:lang w:val="en-US" w:eastAsia="zh-CN"/>
              </w:rPr>
            </w:pPr>
            <w:r>
              <w:rPr>
                <w:rFonts w:hint="eastAsia" w:ascii="Times New Roman" w:hAnsi="Times New Roman" w:eastAsia="宋体" w:cs="Times New Roman"/>
                <w:b/>
                <w:bCs/>
                <w:u w:val="single"/>
                <w:lang w:val="en-US" w:eastAsia="zh-CN"/>
              </w:rPr>
              <w:t>1.5</w:t>
            </w:r>
          </w:p>
        </w:tc>
        <w:tc>
          <w:tcPr>
            <w:tcW w:w="1002" w:type="pct"/>
            <w:tcBorders>
              <w:left w:val="single" w:color="auto" w:sz="4" w:space="0"/>
            </w:tcBorders>
            <w:noWrap w:val="0"/>
            <w:vAlign w:val="center"/>
          </w:tcPr>
          <w:p w14:paraId="67AE024B">
            <w:pPr>
              <w:pStyle w:val="182"/>
              <w:rPr>
                <w:rFonts w:hint="default" w:ascii="Times New Roman" w:hAnsi="Times New Roman" w:eastAsia="宋体" w:cs="Times New Roman"/>
                <w:b/>
                <w:bCs/>
                <w:u w:val="single"/>
                <w:lang w:val="en-US" w:eastAsia="zh-CN"/>
              </w:rPr>
            </w:pPr>
            <w:r>
              <w:rPr>
                <w:rFonts w:hint="eastAsia" w:ascii="Times New Roman" w:hAnsi="Times New Roman" w:eastAsia="宋体" w:cs="Times New Roman"/>
                <w:b/>
                <w:bCs/>
                <w:u w:val="single"/>
                <w:lang w:val="en-US" w:eastAsia="zh-CN"/>
              </w:rPr>
              <w:t>0.3</w:t>
            </w:r>
          </w:p>
        </w:tc>
      </w:tr>
    </w:tbl>
    <w:p w14:paraId="33B658C4">
      <w:pPr>
        <w:bidi w:val="0"/>
        <w:rPr>
          <w:rFonts w:hint="eastAsia"/>
          <w:b/>
          <w:bCs/>
          <w:color w:val="auto"/>
          <w:u w:val="single"/>
        </w:rPr>
      </w:pPr>
      <w:r>
        <w:rPr>
          <w:rFonts w:hint="eastAsia"/>
          <w:b/>
          <w:bCs/>
          <w:color w:val="auto"/>
          <w:u w:val="single"/>
        </w:rPr>
        <w:t>根据《建设项目环境风险评价技术导则》（HJ169-2018）附录C中的要求，Q值计算分两种情况：</w:t>
      </w:r>
    </w:p>
    <w:p w14:paraId="115FCC62">
      <w:pPr>
        <w:bidi w:val="0"/>
        <w:rPr>
          <w:rFonts w:hint="eastAsia"/>
          <w:b/>
          <w:bCs/>
          <w:color w:val="auto"/>
          <w:u w:val="single"/>
        </w:rPr>
      </w:pPr>
      <w:r>
        <w:rPr>
          <w:rFonts w:hint="eastAsia"/>
          <w:b/>
          <w:bCs/>
          <w:color w:val="auto"/>
          <w:u w:val="single"/>
        </w:rPr>
        <w:t>①当只涉及一种危险物质时，计算该物质的总量与其临界值比值，即为Q；</w:t>
      </w:r>
    </w:p>
    <w:p w14:paraId="1E2399AD">
      <w:pPr>
        <w:bidi w:val="0"/>
        <w:rPr>
          <w:rFonts w:hint="eastAsia"/>
          <w:b/>
          <w:bCs/>
          <w:color w:val="auto"/>
          <w:u w:val="single"/>
        </w:rPr>
      </w:pPr>
      <w:r>
        <w:rPr>
          <w:rFonts w:hint="eastAsia"/>
          <w:b/>
          <w:bCs/>
          <w:color w:val="auto"/>
          <w:u w:val="single"/>
        </w:rPr>
        <w:t>②当存在多种危险物质时，则按照则按下式计算Q值：Q=q1/Q1+q2/Q2+…+qn/Qn式中：q1，q2，…，qn-每种危险物质的最大存在总量；</w:t>
      </w:r>
    </w:p>
    <w:p w14:paraId="67C3A4E4">
      <w:pPr>
        <w:bidi w:val="0"/>
        <w:rPr>
          <w:rFonts w:hint="eastAsia"/>
          <w:b/>
          <w:bCs/>
          <w:color w:val="auto"/>
          <w:u w:val="single"/>
        </w:rPr>
      </w:pPr>
      <w:r>
        <w:rPr>
          <w:rFonts w:hint="eastAsia"/>
          <w:b/>
          <w:bCs/>
          <w:color w:val="auto"/>
          <w:u w:val="single"/>
        </w:rPr>
        <w:t>Q1，Q2，…，Qn-每种危险物质的临界量。当Q＜1时，环境风险潜势为I。</w:t>
      </w:r>
    </w:p>
    <w:p w14:paraId="7A24408D">
      <w:pPr>
        <w:bidi w:val="0"/>
        <w:rPr>
          <w:rFonts w:hint="eastAsia"/>
          <w:b/>
          <w:bCs/>
          <w:color w:val="auto"/>
          <w:u w:val="single"/>
        </w:rPr>
      </w:pPr>
      <w:r>
        <w:rPr>
          <w:rFonts w:hint="eastAsia"/>
          <w:b/>
          <w:bCs/>
          <w:color w:val="auto"/>
          <w:u w:val="single"/>
        </w:rPr>
        <w:t>本项目危险物质储存情况及储存临界量见下表。</w:t>
      </w:r>
    </w:p>
    <w:p w14:paraId="295C8C72">
      <w:pPr>
        <w:pStyle w:val="10"/>
        <w:bidi w:val="0"/>
        <w:rPr>
          <w:rFonts w:hint="default"/>
          <w:b/>
          <w:bCs/>
          <w:u w:val="single"/>
          <w:lang w:val="en-US" w:eastAsia="zh-CN"/>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6.8</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9</w:t>
      </w:r>
      <w:r>
        <w:rPr>
          <w:b/>
          <w:bCs/>
          <w:u w:val="single"/>
        </w:rPr>
        <w:fldChar w:fldCharType="end"/>
      </w:r>
      <w:r>
        <w:rPr>
          <w:rFonts w:hint="eastAsia"/>
          <w:b/>
          <w:bCs/>
          <w:u w:val="single"/>
          <w:lang w:val="en-US" w:eastAsia="zh-CN"/>
        </w:rPr>
        <w:t xml:space="preserve"> </w:t>
      </w:r>
      <w:r>
        <w:rPr>
          <w:rFonts w:hint="eastAsia"/>
          <w:b/>
          <w:bCs/>
          <w:u w:val="single"/>
        </w:rPr>
        <w:t>风险物质最大存在量</w:t>
      </w:r>
    </w:p>
    <w:tbl>
      <w:tblPr>
        <w:tblStyle w:val="31"/>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42"/>
        <w:gridCol w:w="1630"/>
        <w:gridCol w:w="1559"/>
        <w:gridCol w:w="1559"/>
        <w:gridCol w:w="1388"/>
        <w:gridCol w:w="1532"/>
      </w:tblGrid>
      <w:tr w14:paraId="068C95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86" w:type="pct"/>
            <w:noWrap w:val="0"/>
            <w:vAlign w:val="center"/>
          </w:tcPr>
          <w:p w14:paraId="5011A8B5">
            <w:pPr>
              <w:pStyle w:val="182"/>
              <w:rPr>
                <w:rFonts w:ascii="Times New Roman" w:hAnsi="Times New Roman" w:eastAsia="宋体" w:cs="Times New Roman"/>
                <w:b/>
                <w:bCs/>
                <w:u w:val="single"/>
              </w:rPr>
            </w:pPr>
            <w:r>
              <w:rPr>
                <w:rFonts w:ascii="Times New Roman" w:hAnsi="Times New Roman" w:eastAsia="宋体" w:cs="Times New Roman"/>
                <w:b/>
                <w:bCs/>
                <w:u w:val="single"/>
              </w:rPr>
              <w:t>序号</w:t>
            </w:r>
          </w:p>
        </w:tc>
        <w:tc>
          <w:tcPr>
            <w:tcW w:w="981" w:type="pct"/>
            <w:noWrap w:val="0"/>
            <w:vAlign w:val="center"/>
          </w:tcPr>
          <w:p w14:paraId="58FFAFAB">
            <w:pPr>
              <w:pStyle w:val="182"/>
              <w:rPr>
                <w:rFonts w:ascii="Times New Roman" w:hAnsi="Times New Roman" w:eastAsia="宋体" w:cs="Times New Roman"/>
                <w:b/>
                <w:bCs/>
                <w:u w:val="single"/>
              </w:rPr>
            </w:pPr>
            <w:r>
              <w:rPr>
                <w:rFonts w:ascii="Times New Roman" w:hAnsi="Times New Roman" w:eastAsia="宋体" w:cs="Times New Roman"/>
                <w:b/>
                <w:bCs/>
                <w:u w:val="single"/>
              </w:rPr>
              <w:t>危险物质名称</w:t>
            </w:r>
          </w:p>
        </w:tc>
        <w:tc>
          <w:tcPr>
            <w:tcW w:w="938" w:type="pct"/>
            <w:noWrap w:val="0"/>
            <w:vAlign w:val="center"/>
          </w:tcPr>
          <w:p w14:paraId="30A00869">
            <w:pPr>
              <w:pStyle w:val="182"/>
              <w:rPr>
                <w:rFonts w:ascii="Times New Roman" w:hAnsi="Times New Roman" w:eastAsia="宋体" w:cs="Times New Roman"/>
                <w:b/>
                <w:bCs/>
                <w:u w:val="single"/>
              </w:rPr>
            </w:pPr>
            <w:r>
              <w:rPr>
                <w:rFonts w:ascii="Times New Roman" w:hAnsi="Times New Roman" w:eastAsia="宋体" w:cs="Times New Roman"/>
                <w:b/>
                <w:bCs/>
                <w:u w:val="single"/>
              </w:rPr>
              <w:t>CAS号</w:t>
            </w:r>
          </w:p>
        </w:tc>
        <w:tc>
          <w:tcPr>
            <w:tcW w:w="938" w:type="pct"/>
            <w:noWrap w:val="0"/>
            <w:vAlign w:val="center"/>
          </w:tcPr>
          <w:p w14:paraId="6425ABE7">
            <w:pPr>
              <w:pStyle w:val="182"/>
              <w:rPr>
                <w:rFonts w:ascii="Times New Roman" w:hAnsi="Times New Roman" w:eastAsia="宋体" w:cs="Times New Roman"/>
                <w:b/>
                <w:bCs/>
                <w:u w:val="single"/>
              </w:rPr>
            </w:pPr>
            <w:r>
              <w:rPr>
                <w:rFonts w:ascii="Times New Roman" w:hAnsi="Times New Roman" w:eastAsia="宋体" w:cs="Times New Roman"/>
                <w:b/>
                <w:bCs/>
                <w:u w:val="single"/>
              </w:rPr>
              <w:t>最大存在总量/t</w:t>
            </w:r>
          </w:p>
        </w:tc>
        <w:tc>
          <w:tcPr>
            <w:tcW w:w="835" w:type="pct"/>
            <w:noWrap w:val="0"/>
            <w:vAlign w:val="center"/>
          </w:tcPr>
          <w:p w14:paraId="5AC362D5">
            <w:pPr>
              <w:pStyle w:val="182"/>
              <w:rPr>
                <w:rFonts w:ascii="Times New Roman" w:hAnsi="Times New Roman" w:eastAsia="宋体" w:cs="Times New Roman"/>
                <w:b/>
                <w:bCs/>
                <w:u w:val="single"/>
              </w:rPr>
            </w:pPr>
            <w:r>
              <w:rPr>
                <w:rFonts w:ascii="Times New Roman" w:hAnsi="Times New Roman" w:eastAsia="宋体" w:cs="Times New Roman"/>
                <w:b/>
                <w:bCs/>
                <w:u w:val="single"/>
              </w:rPr>
              <w:t>临界量/t</w:t>
            </w:r>
          </w:p>
        </w:tc>
        <w:tc>
          <w:tcPr>
            <w:tcW w:w="922" w:type="pct"/>
            <w:noWrap w:val="0"/>
            <w:vAlign w:val="center"/>
          </w:tcPr>
          <w:p w14:paraId="30296CE9">
            <w:pPr>
              <w:pStyle w:val="182"/>
              <w:rPr>
                <w:rFonts w:ascii="Times New Roman" w:hAnsi="Times New Roman" w:eastAsia="宋体" w:cs="Times New Roman"/>
                <w:b/>
                <w:bCs/>
                <w:u w:val="single"/>
              </w:rPr>
            </w:pPr>
            <w:r>
              <w:rPr>
                <w:rFonts w:ascii="Times New Roman" w:hAnsi="Times New Roman" w:eastAsia="宋体" w:cs="Times New Roman"/>
                <w:b/>
                <w:bCs/>
                <w:u w:val="single"/>
              </w:rPr>
              <w:t>该种危险物质Q值</w:t>
            </w:r>
          </w:p>
        </w:tc>
      </w:tr>
      <w:tr w14:paraId="721317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86" w:type="pct"/>
            <w:noWrap w:val="0"/>
            <w:vAlign w:val="center"/>
          </w:tcPr>
          <w:p w14:paraId="310583FA">
            <w:pPr>
              <w:pStyle w:val="182"/>
              <w:rPr>
                <w:rFonts w:ascii="Times New Roman" w:hAnsi="Times New Roman" w:eastAsia="宋体" w:cs="Times New Roman"/>
                <w:b/>
                <w:bCs/>
                <w:u w:val="single"/>
                <w:lang w:eastAsia="en-US"/>
              </w:rPr>
            </w:pPr>
            <w:r>
              <w:rPr>
                <w:rFonts w:ascii="Times New Roman" w:hAnsi="Times New Roman" w:eastAsia="宋体" w:cs="Times New Roman"/>
                <w:b/>
                <w:bCs/>
                <w:u w:val="single"/>
                <w:lang w:eastAsia="en-US"/>
              </w:rPr>
              <w:t>1</w:t>
            </w:r>
          </w:p>
        </w:tc>
        <w:tc>
          <w:tcPr>
            <w:tcW w:w="981" w:type="pct"/>
            <w:noWrap w:val="0"/>
            <w:vAlign w:val="center"/>
          </w:tcPr>
          <w:p w14:paraId="3A651890">
            <w:pPr>
              <w:pStyle w:val="182"/>
              <w:rPr>
                <w:rFonts w:ascii="Times New Roman" w:hAnsi="Times New Roman" w:eastAsia="宋体" w:cs="Times New Roman"/>
                <w:b/>
                <w:bCs/>
                <w:u w:val="single"/>
              </w:rPr>
            </w:pPr>
            <w:r>
              <w:rPr>
                <w:rFonts w:ascii="Times New Roman" w:hAnsi="Times New Roman" w:eastAsia="宋体" w:cs="Times New Roman"/>
                <w:b/>
                <w:bCs/>
                <w:u w:val="single"/>
              </w:rPr>
              <w:t>白油</w:t>
            </w:r>
          </w:p>
        </w:tc>
        <w:tc>
          <w:tcPr>
            <w:tcW w:w="938" w:type="pct"/>
            <w:noWrap w:val="0"/>
            <w:vAlign w:val="center"/>
          </w:tcPr>
          <w:p w14:paraId="6FD2B59E">
            <w:pPr>
              <w:pStyle w:val="182"/>
              <w:rPr>
                <w:rFonts w:ascii="Times New Roman" w:hAnsi="Times New Roman" w:eastAsia="宋体" w:cs="Times New Roman"/>
                <w:b/>
                <w:bCs/>
                <w:u w:val="single"/>
                <w:lang w:eastAsia="en-US"/>
              </w:rPr>
            </w:pPr>
            <w:r>
              <w:rPr>
                <w:rFonts w:ascii="Times New Roman" w:hAnsi="Times New Roman" w:eastAsia="宋体" w:cs="Times New Roman"/>
                <w:b/>
                <w:bCs/>
                <w:u w:val="single"/>
                <w:lang w:eastAsia="en-US"/>
              </w:rPr>
              <w:t>7647-01-0</w:t>
            </w:r>
          </w:p>
        </w:tc>
        <w:tc>
          <w:tcPr>
            <w:tcW w:w="938" w:type="pct"/>
            <w:noWrap w:val="0"/>
            <w:vAlign w:val="center"/>
          </w:tcPr>
          <w:p w14:paraId="0457828E">
            <w:pPr>
              <w:pStyle w:val="182"/>
              <w:rPr>
                <w:rFonts w:hint="eastAsia" w:ascii="Times New Roman" w:hAnsi="Times New Roman" w:eastAsia="宋体" w:cs="Times New Roman"/>
                <w:b/>
                <w:bCs/>
                <w:u w:val="single"/>
                <w:lang w:eastAsia="zh-CN"/>
              </w:rPr>
            </w:pPr>
            <w:r>
              <w:rPr>
                <w:rFonts w:hint="eastAsia" w:ascii="Times New Roman" w:hAnsi="Times New Roman" w:eastAsia="宋体" w:cs="Times New Roman"/>
                <w:b/>
                <w:bCs/>
                <w:u w:val="single"/>
              </w:rPr>
              <w:t>0.</w:t>
            </w:r>
            <w:r>
              <w:rPr>
                <w:rFonts w:hint="eastAsia" w:ascii="Times New Roman" w:hAnsi="Times New Roman" w:eastAsia="宋体" w:cs="Times New Roman"/>
                <w:b/>
                <w:bCs/>
                <w:u w:val="single"/>
                <w:lang w:val="en-US" w:eastAsia="zh-CN"/>
              </w:rPr>
              <w:t>3</w:t>
            </w:r>
          </w:p>
        </w:tc>
        <w:tc>
          <w:tcPr>
            <w:tcW w:w="835" w:type="pct"/>
            <w:noWrap w:val="0"/>
            <w:vAlign w:val="center"/>
          </w:tcPr>
          <w:p w14:paraId="1798BEFD">
            <w:pPr>
              <w:pStyle w:val="182"/>
              <w:rPr>
                <w:rFonts w:hint="eastAsia" w:ascii="Times New Roman" w:hAnsi="Times New Roman" w:eastAsia="宋体" w:cs="Times New Roman"/>
                <w:b/>
                <w:bCs/>
                <w:u w:val="single"/>
              </w:rPr>
            </w:pPr>
            <w:r>
              <w:rPr>
                <w:rFonts w:hint="eastAsia" w:ascii="Times New Roman" w:hAnsi="Times New Roman" w:eastAsia="宋体" w:cs="Times New Roman"/>
                <w:b/>
                <w:bCs/>
                <w:u w:val="single"/>
              </w:rPr>
              <w:t>2500</w:t>
            </w:r>
          </w:p>
        </w:tc>
        <w:tc>
          <w:tcPr>
            <w:tcW w:w="922" w:type="pct"/>
            <w:noWrap w:val="0"/>
            <w:vAlign w:val="center"/>
          </w:tcPr>
          <w:p w14:paraId="54315B36">
            <w:pPr>
              <w:pStyle w:val="182"/>
              <w:rPr>
                <w:rFonts w:hint="default" w:ascii="Times New Roman" w:hAnsi="Times New Roman" w:eastAsia="宋体" w:cs="Times New Roman"/>
                <w:b/>
                <w:bCs/>
                <w:u w:val="single"/>
                <w:lang w:val="en-US" w:eastAsia="zh-CN"/>
              </w:rPr>
            </w:pPr>
            <w:r>
              <w:rPr>
                <w:rFonts w:hint="eastAsia" w:ascii="Times New Roman" w:hAnsi="Times New Roman" w:eastAsia="宋体" w:cs="Times New Roman"/>
                <w:b/>
                <w:bCs/>
                <w:u w:val="single"/>
              </w:rPr>
              <w:t>0.000</w:t>
            </w:r>
            <w:r>
              <w:rPr>
                <w:rFonts w:hint="eastAsia" w:ascii="Times New Roman" w:hAnsi="Times New Roman" w:eastAsia="宋体" w:cs="Times New Roman"/>
                <w:b/>
                <w:bCs/>
                <w:u w:val="single"/>
                <w:lang w:val="en-US" w:eastAsia="zh-CN"/>
              </w:rPr>
              <w:t>12</w:t>
            </w:r>
          </w:p>
        </w:tc>
      </w:tr>
    </w:tbl>
    <w:p w14:paraId="5DBA75B5">
      <w:pPr>
        <w:bidi w:val="0"/>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rPr>
        <w:t>根据上表数据及《建设项目环境风险评价技术导则》（HJ/T169-2018）附录C计算得出，本项目物质总量与临界量比值：Q=</w:t>
      </w:r>
      <w:r>
        <w:rPr>
          <w:rFonts w:hint="eastAsia" w:ascii="Times New Roman" w:hAnsi="Times New Roman" w:eastAsia="宋体" w:cs="Times New Roman"/>
          <w:b/>
          <w:bCs/>
          <w:color w:val="auto"/>
          <w:u w:val="single"/>
          <w:lang w:val="en-US" w:eastAsia="zh-CN"/>
        </w:rPr>
        <w:t>0.00012</w:t>
      </w:r>
      <w:r>
        <w:rPr>
          <w:rFonts w:hint="eastAsia" w:ascii="Times New Roman" w:hAnsi="Times New Roman" w:eastAsia="宋体" w:cs="Times New Roman"/>
          <w:b/>
          <w:bCs/>
          <w:color w:val="auto"/>
          <w:u w:val="single"/>
        </w:rPr>
        <w:t>，</w:t>
      </w:r>
      <w:r>
        <w:rPr>
          <w:rFonts w:hint="eastAsia" w:ascii="Times New Roman" w:hAnsi="Times New Roman" w:eastAsia="宋体" w:cs="Times New Roman"/>
          <w:b/>
          <w:bCs/>
          <w:color w:val="auto"/>
          <w:u w:val="single"/>
          <w:lang w:val="en-US" w:eastAsia="zh-CN"/>
        </w:rPr>
        <w:t>Q值＜1时，环境风险潜势为I。</w:t>
      </w:r>
    </w:p>
    <w:p w14:paraId="7B7DE765">
      <w:pPr>
        <w:pStyle w:val="6"/>
        <w:bidi w:val="0"/>
        <w:rPr>
          <w:rFonts w:hint="default"/>
          <w:lang w:val="en-US" w:eastAsia="zh-CN"/>
        </w:rPr>
      </w:pPr>
      <w:r>
        <w:rPr>
          <w:rFonts w:hint="eastAsia"/>
          <w:lang w:val="en-US" w:eastAsia="zh-CN"/>
        </w:rPr>
        <w:t>环境敏感目标调查</w:t>
      </w:r>
    </w:p>
    <w:p w14:paraId="7BF38ECB">
      <w:pPr>
        <w:spacing w:before="64"/>
        <w:ind w:left="0" w:firstLine="0" w:firstLineChars="0"/>
        <w:rPr>
          <w:rFonts w:hint="eastAsia"/>
          <w:color w:val="auto"/>
          <w:lang w:val="en-US" w:eastAsia="zh-CN"/>
        </w:rPr>
      </w:pPr>
      <w:r>
        <w:rPr>
          <w:color w:val="auto"/>
        </w:rPr>
        <w:drawing>
          <wp:inline distT="0" distB="0" distL="114300" distR="114300">
            <wp:extent cx="5380990" cy="4800600"/>
            <wp:effectExtent l="0" t="0" r="10160" b="0"/>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95"/>
                    <a:stretch>
                      <a:fillRect/>
                    </a:stretch>
                  </pic:blipFill>
                  <pic:spPr>
                    <a:xfrm>
                      <a:off x="0" y="0"/>
                      <a:ext cx="5380990" cy="4800600"/>
                    </a:xfrm>
                    <a:prstGeom prst="rect">
                      <a:avLst/>
                    </a:prstGeom>
                    <a:noFill/>
                    <a:ln>
                      <a:noFill/>
                    </a:ln>
                  </pic:spPr>
                </pic:pic>
              </a:graphicData>
            </a:graphic>
          </wp:inline>
        </w:drawing>
      </w:r>
    </w:p>
    <w:p w14:paraId="3652B454">
      <w:pPr>
        <w:pStyle w:val="181"/>
        <w:spacing w:before="64"/>
        <w:ind w:left="777"/>
        <w:rPr>
          <w:rFonts w:hint="eastAsia"/>
          <w:color w:val="auto"/>
          <w:lang w:val="en-US" w:eastAsia="zh-CN"/>
        </w:rPr>
      </w:pPr>
      <w:r>
        <w:rPr>
          <w:rFonts w:hint="eastAsia"/>
          <w:color w:val="auto"/>
          <w:lang w:val="en-US" w:eastAsia="zh-CN"/>
        </w:rPr>
        <w:t xml:space="preserve">图6.8-2         </w:t>
      </w:r>
      <w:r>
        <w:rPr>
          <w:rFonts w:hint="eastAsia"/>
          <w:color w:val="auto"/>
        </w:rPr>
        <w:t>本项目四周环境敏感点示意图</w:t>
      </w:r>
    </w:p>
    <w:p w14:paraId="66603D09">
      <w:pPr>
        <w:bidi w:val="0"/>
        <w:rPr>
          <w:rFonts w:hint="eastAsia"/>
          <w:color w:val="auto"/>
          <w:lang w:val="en-US" w:eastAsia="zh-CN"/>
        </w:rPr>
      </w:pPr>
    </w:p>
    <w:p w14:paraId="247AD8E2">
      <w:pPr>
        <w:pStyle w:val="10"/>
        <w:bidi w:val="0"/>
      </w:pPr>
      <w:r>
        <w:t xml:space="preserve">表 </w:t>
      </w:r>
      <w:r>
        <w:fldChar w:fldCharType="begin"/>
      </w:r>
      <w:r>
        <w:instrText xml:space="preserve"> STYLEREF 2 \s </w:instrText>
      </w:r>
      <w:r>
        <w:fldChar w:fldCharType="separate"/>
      </w:r>
      <w:r>
        <w:t>6.8</w:t>
      </w:r>
      <w:r>
        <w:fldChar w:fldCharType="end"/>
      </w:r>
      <w:r>
        <w:rPr>
          <w:rFonts w:hint="eastAsia"/>
          <w:lang w:eastAsia="zh-CN"/>
        </w:rPr>
        <w:t>-</w:t>
      </w:r>
      <w:r>
        <w:fldChar w:fldCharType="begin"/>
      </w:r>
      <w:r>
        <w:instrText xml:space="preserve"> SEQ 表 \* ARABIC \s 2 </w:instrText>
      </w:r>
      <w:r>
        <w:fldChar w:fldCharType="separate"/>
      </w:r>
      <w:r>
        <w:t>10</w:t>
      </w:r>
      <w:r>
        <w:fldChar w:fldCharType="end"/>
      </w:r>
      <w:r>
        <w:rPr>
          <w:rFonts w:hint="eastAsia"/>
          <w:lang w:val="en-US" w:eastAsia="zh-CN"/>
        </w:rPr>
        <w:t xml:space="preserve"> </w:t>
      </w:r>
      <w:r>
        <w:t>评价区域敏感点情况</w:t>
      </w:r>
    </w:p>
    <w:tbl>
      <w:tblPr>
        <w:tblStyle w:val="31"/>
        <w:tblW w:w="5022"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637"/>
        <w:gridCol w:w="1894"/>
        <w:gridCol w:w="1227"/>
        <w:gridCol w:w="1232"/>
        <w:gridCol w:w="1229"/>
        <w:gridCol w:w="1075"/>
        <w:gridCol w:w="1070"/>
      </w:tblGrid>
      <w:tr w14:paraId="4069693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vMerge w:val="restart"/>
            <w:tcBorders>
              <w:bottom w:val="single" w:color="000000" w:sz="6" w:space="0"/>
              <w:right w:val="single" w:color="000000" w:sz="6" w:space="0"/>
            </w:tcBorders>
            <w:vAlign w:val="center"/>
          </w:tcPr>
          <w:p w14:paraId="1D41B5F6">
            <w:pPr>
              <w:pStyle w:val="182"/>
              <w:spacing w:before="106" w:line="242" w:lineRule="auto"/>
              <w:ind w:left="211" w:right="195"/>
              <w:jc w:val="left"/>
              <w:rPr>
                <w:b/>
                <w:bCs/>
                <w:color w:val="auto"/>
                <w:u w:val="none"/>
              </w:rPr>
            </w:pPr>
            <w:r>
              <w:rPr>
                <w:b/>
                <w:bCs/>
                <w:color w:val="auto"/>
                <w:u w:val="none"/>
              </w:rPr>
              <w:t>序列</w:t>
            </w:r>
          </w:p>
        </w:tc>
        <w:tc>
          <w:tcPr>
            <w:tcW w:w="1132" w:type="pct"/>
            <w:vMerge w:val="restart"/>
            <w:tcBorders>
              <w:left w:val="single" w:color="000000" w:sz="6" w:space="0"/>
              <w:bottom w:val="single" w:color="000000" w:sz="6" w:space="0"/>
              <w:right w:val="single" w:color="000000" w:sz="6" w:space="0"/>
            </w:tcBorders>
            <w:vAlign w:val="center"/>
          </w:tcPr>
          <w:p w14:paraId="160199A2">
            <w:pPr>
              <w:pStyle w:val="182"/>
              <w:ind w:left="548"/>
              <w:jc w:val="left"/>
              <w:rPr>
                <w:b/>
                <w:bCs/>
                <w:color w:val="auto"/>
                <w:u w:val="none"/>
              </w:rPr>
            </w:pPr>
            <w:r>
              <w:rPr>
                <w:b/>
                <w:bCs/>
                <w:color w:val="auto"/>
                <w:u w:val="none"/>
              </w:rPr>
              <w:t>保护目标</w:t>
            </w:r>
          </w:p>
        </w:tc>
        <w:tc>
          <w:tcPr>
            <w:tcW w:w="1469" w:type="pct"/>
            <w:gridSpan w:val="2"/>
            <w:tcBorders>
              <w:left w:val="single" w:color="000000" w:sz="6" w:space="0"/>
              <w:bottom w:val="single" w:color="000000" w:sz="6" w:space="0"/>
              <w:right w:val="single" w:color="000000" w:sz="6" w:space="0"/>
            </w:tcBorders>
            <w:vAlign w:val="center"/>
          </w:tcPr>
          <w:p w14:paraId="7B8A7B3C">
            <w:pPr>
              <w:pStyle w:val="182"/>
              <w:spacing w:before="48"/>
              <w:ind w:left="834"/>
              <w:jc w:val="left"/>
              <w:rPr>
                <w:b/>
                <w:bCs/>
                <w:color w:val="auto"/>
                <w:u w:val="none"/>
              </w:rPr>
            </w:pPr>
            <w:r>
              <w:rPr>
                <w:b/>
                <w:bCs/>
                <w:color w:val="auto"/>
                <w:u w:val="none"/>
              </w:rPr>
              <w:t>相对坐标</w:t>
            </w:r>
          </w:p>
        </w:tc>
        <w:tc>
          <w:tcPr>
            <w:tcW w:w="734" w:type="pct"/>
            <w:vMerge w:val="restart"/>
            <w:tcBorders>
              <w:left w:val="single" w:color="000000" w:sz="6" w:space="0"/>
              <w:bottom w:val="single" w:color="000000" w:sz="6" w:space="0"/>
              <w:right w:val="single" w:color="000000" w:sz="6" w:space="0"/>
            </w:tcBorders>
            <w:vAlign w:val="center"/>
          </w:tcPr>
          <w:p w14:paraId="31F15E14">
            <w:pPr>
              <w:pStyle w:val="182"/>
              <w:ind w:left="206"/>
              <w:jc w:val="left"/>
              <w:rPr>
                <w:b/>
                <w:bCs/>
                <w:color w:val="auto"/>
                <w:u w:val="none"/>
              </w:rPr>
            </w:pPr>
            <w:r>
              <w:rPr>
                <w:b/>
                <w:bCs/>
                <w:color w:val="auto"/>
                <w:u w:val="none"/>
              </w:rPr>
              <w:t>相对方位</w:t>
            </w:r>
          </w:p>
        </w:tc>
        <w:tc>
          <w:tcPr>
            <w:tcW w:w="642" w:type="pct"/>
            <w:vMerge w:val="restart"/>
            <w:tcBorders>
              <w:left w:val="single" w:color="000000" w:sz="6" w:space="0"/>
              <w:bottom w:val="single" w:color="000000" w:sz="6" w:space="0"/>
              <w:right w:val="single" w:color="000000" w:sz="6" w:space="0"/>
            </w:tcBorders>
            <w:vAlign w:val="center"/>
          </w:tcPr>
          <w:p w14:paraId="34AA707B">
            <w:pPr>
              <w:pStyle w:val="182"/>
              <w:spacing w:before="106" w:line="242" w:lineRule="auto"/>
              <w:ind w:left="286" w:right="109" w:hanging="159"/>
              <w:jc w:val="left"/>
              <w:rPr>
                <w:b/>
                <w:bCs/>
                <w:color w:val="auto"/>
                <w:u w:val="none"/>
              </w:rPr>
            </w:pPr>
            <w:r>
              <w:rPr>
                <w:b/>
                <w:bCs/>
                <w:color w:val="auto"/>
                <w:u w:val="none"/>
              </w:rPr>
              <w:t>距项目距离(m)</w:t>
            </w:r>
          </w:p>
        </w:tc>
        <w:tc>
          <w:tcPr>
            <w:tcW w:w="639" w:type="pct"/>
            <w:vMerge w:val="restart"/>
            <w:tcBorders>
              <w:left w:val="single" w:color="000000" w:sz="6" w:space="0"/>
              <w:bottom w:val="single" w:color="000000" w:sz="6" w:space="0"/>
            </w:tcBorders>
            <w:vAlign w:val="center"/>
          </w:tcPr>
          <w:p w14:paraId="44C6AD14">
            <w:pPr>
              <w:pStyle w:val="182"/>
              <w:ind w:left="338"/>
              <w:jc w:val="left"/>
              <w:rPr>
                <w:b/>
                <w:bCs/>
                <w:color w:val="auto"/>
                <w:u w:val="none"/>
              </w:rPr>
            </w:pPr>
            <w:r>
              <w:rPr>
                <w:b/>
                <w:bCs/>
                <w:color w:val="auto"/>
                <w:u w:val="none"/>
              </w:rPr>
              <w:t>人口</w:t>
            </w:r>
          </w:p>
        </w:tc>
      </w:tr>
      <w:tr w14:paraId="74FF070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vMerge w:val="continue"/>
            <w:tcBorders>
              <w:top w:val="nil"/>
              <w:bottom w:val="single" w:color="000000" w:sz="6" w:space="0"/>
              <w:right w:val="single" w:color="000000" w:sz="6" w:space="0"/>
            </w:tcBorders>
            <w:vAlign w:val="center"/>
          </w:tcPr>
          <w:p w14:paraId="21CF106C">
            <w:pPr>
              <w:pStyle w:val="182"/>
              <w:rPr>
                <w:b/>
                <w:bCs/>
                <w:color w:val="auto"/>
                <w:u w:val="none"/>
              </w:rPr>
            </w:pPr>
          </w:p>
        </w:tc>
        <w:tc>
          <w:tcPr>
            <w:tcW w:w="1132" w:type="pct"/>
            <w:vMerge w:val="continue"/>
            <w:tcBorders>
              <w:top w:val="nil"/>
              <w:left w:val="single" w:color="000000" w:sz="6" w:space="0"/>
              <w:bottom w:val="single" w:color="000000" w:sz="6" w:space="0"/>
              <w:right w:val="single" w:color="000000" w:sz="6" w:space="0"/>
            </w:tcBorders>
            <w:vAlign w:val="center"/>
          </w:tcPr>
          <w:p w14:paraId="600EC571">
            <w:pPr>
              <w:pStyle w:val="182"/>
              <w:rPr>
                <w:b/>
                <w:bCs/>
                <w:color w:val="auto"/>
                <w:u w:val="none"/>
              </w:rPr>
            </w:pPr>
          </w:p>
        </w:tc>
        <w:tc>
          <w:tcPr>
            <w:tcW w:w="733" w:type="pct"/>
            <w:tcBorders>
              <w:top w:val="single" w:color="000000" w:sz="6" w:space="0"/>
              <w:left w:val="single" w:color="000000" w:sz="6" w:space="0"/>
              <w:bottom w:val="single" w:color="000000" w:sz="6" w:space="0"/>
              <w:right w:val="single" w:color="000000" w:sz="6" w:space="0"/>
            </w:tcBorders>
            <w:vAlign w:val="center"/>
          </w:tcPr>
          <w:p w14:paraId="1EA56981">
            <w:pPr>
              <w:pStyle w:val="182"/>
              <w:spacing w:before="62"/>
              <w:ind w:left="19"/>
              <w:rPr>
                <w:b/>
                <w:bCs/>
                <w:color w:val="auto"/>
                <w:u w:val="none"/>
              </w:rPr>
            </w:pPr>
            <w:r>
              <w:rPr>
                <w:b/>
                <w:bCs/>
                <w:color w:val="auto"/>
                <w:u w:val="none"/>
              </w:rPr>
              <w:t>X</w:t>
            </w:r>
          </w:p>
        </w:tc>
        <w:tc>
          <w:tcPr>
            <w:tcW w:w="736" w:type="pct"/>
            <w:tcBorders>
              <w:top w:val="single" w:color="000000" w:sz="6" w:space="0"/>
              <w:left w:val="single" w:color="000000" w:sz="6" w:space="0"/>
              <w:bottom w:val="single" w:color="000000" w:sz="6" w:space="0"/>
              <w:right w:val="single" w:color="000000" w:sz="6" w:space="0"/>
            </w:tcBorders>
            <w:vAlign w:val="center"/>
          </w:tcPr>
          <w:p w14:paraId="1516546B">
            <w:pPr>
              <w:pStyle w:val="182"/>
              <w:spacing w:before="62"/>
              <w:ind w:left="17"/>
              <w:rPr>
                <w:b/>
                <w:bCs/>
                <w:color w:val="auto"/>
                <w:u w:val="none"/>
              </w:rPr>
            </w:pPr>
            <w:r>
              <w:rPr>
                <w:b/>
                <w:bCs/>
                <w:color w:val="auto"/>
                <w:u w:val="none"/>
              </w:rPr>
              <w:t>Y</w:t>
            </w:r>
          </w:p>
        </w:tc>
        <w:tc>
          <w:tcPr>
            <w:tcW w:w="734" w:type="pct"/>
            <w:vMerge w:val="continue"/>
            <w:tcBorders>
              <w:top w:val="nil"/>
              <w:left w:val="single" w:color="000000" w:sz="6" w:space="0"/>
              <w:bottom w:val="single" w:color="000000" w:sz="6" w:space="0"/>
              <w:right w:val="single" w:color="000000" w:sz="6" w:space="0"/>
            </w:tcBorders>
            <w:vAlign w:val="center"/>
          </w:tcPr>
          <w:p w14:paraId="41077FDE">
            <w:pPr>
              <w:pStyle w:val="182"/>
              <w:rPr>
                <w:b/>
                <w:bCs/>
                <w:color w:val="auto"/>
                <w:u w:val="none"/>
              </w:rPr>
            </w:pPr>
          </w:p>
        </w:tc>
        <w:tc>
          <w:tcPr>
            <w:tcW w:w="642" w:type="pct"/>
            <w:vMerge w:val="continue"/>
            <w:tcBorders>
              <w:top w:val="nil"/>
              <w:left w:val="single" w:color="000000" w:sz="6" w:space="0"/>
              <w:bottom w:val="single" w:color="000000" w:sz="6" w:space="0"/>
              <w:right w:val="single" w:color="000000" w:sz="6" w:space="0"/>
            </w:tcBorders>
            <w:vAlign w:val="center"/>
          </w:tcPr>
          <w:p w14:paraId="1230D50B">
            <w:pPr>
              <w:pStyle w:val="182"/>
              <w:rPr>
                <w:b/>
                <w:bCs/>
                <w:color w:val="auto"/>
                <w:u w:val="none"/>
              </w:rPr>
            </w:pPr>
          </w:p>
        </w:tc>
        <w:tc>
          <w:tcPr>
            <w:tcW w:w="639" w:type="pct"/>
            <w:vMerge w:val="continue"/>
            <w:tcBorders>
              <w:top w:val="nil"/>
              <w:left w:val="single" w:color="000000" w:sz="6" w:space="0"/>
              <w:bottom w:val="single" w:color="000000" w:sz="6" w:space="0"/>
            </w:tcBorders>
            <w:vAlign w:val="center"/>
          </w:tcPr>
          <w:p w14:paraId="4ABED419">
            <w:pPr>
              <w:pStyle w:val="182"/>
              <w:rPr>
                <w:b/>
                <w:bCs/>
                <w:color w:val="auto"/>
                <w:u w:val="none"/>
              </w:rPr>
            </w:pPr>
          </w:p>
        </w:tc>
      </w:tr>
      <w:tr w14:paraId="0E0BF46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712EE41A">
            <w:pPr>
              <w:pStyle w:val="182"/>
              <w:spacing w:before="62"/>
              <w:ind w:left="15"/>
              <w:rPr>
                <w:b w:val="0"/>
                <w:bCs w:val="0"/>
                <w:color w:val="auto"/>
                <w:u w:val="none"/>
              </w:rPr>
            </w:pPr>
            <w:r>
              <w:rPr>
                <w:b w:val="0"/>
                <w:bCs w:val="0"/>
                <w:color w:val="auto"/>
                <w:u w:val="none"/>
              </w:rPr>
              <w:t>1</w:t>
            </w:r>
          </w:p>
        </w:tc>
        <w:tc>
          <w:tcPr>
            <w:tcW w:w="1132" w:type="pct"/>
            <w:tcBorders>
              <w:top w:val="single" w:color="000000" w:sz="6" w:space="0"/>
              <w:left w:val="single" w:color="000000" w:sz="6" w:space="0"/>
              <w:bottom w:val="single" w:color="000000" w:sz="6" w:space="0"/>
              <w:right w:val="single" w:color="000000" w:sz="6" w:space="0"/>
            </w:tcBorders>
            <w:vAlign w:val="center"/>
          </w:tcPr>
          <w:p w14:paraId="77A36569">
            <w:pPr>
              <w:pStyle w:val="182"/>
              <w:spacing w:before="48"/>
              <w:ind w:left="107" w:right="91"/>
              <w:rPr>
                <w:b w:val="0"/>
                <w:bCs w:val="0"/>
                <w:color w:val="auto"/>
                <w:u w:val="none"/>
              </w:rPr>
            </w:pPr>
            <w:r>
              <w:rPr>
                <w:b w:val="0"/>
                <w:bCs w:val="0"/>
                <w:color w:val="auto"/>
                <w:u w:val="none"/>
              </w:rPr>
              <w:t>沙门村</w:t>
            </w:r>
          </w:p>
        </w:tc>
        <w:tc>
          <w:tcPr>
            <w:tcW w:w="733" w:type="pct"/>
            <w:tcBorders>
              <w:top w:val="single" w:color="000000" w:sz="6" w:space="0"/>
              <w:left w:val="single" w:color="000000" w:sz="6" w:space="0"/>
              <w:bottom w:val="single" w:color="000000" w:sz="6" w:space="0"/>
              <w:right w:val="single" w:color="000000" w:sz="6" w:space="0"/>
            </w:tcBorders>
            <w:vAlign w:val="center"/>
          </w:tcPr>
          <w:p w14:paraId="4EF230E3">
            <w:pPr>
              <w:pStyle w:val="182"/>
              <w:spacing w:before="62"/>
              <w:ind w:left="135" w:right="117"/>
              <w:rPr>
                <w:b w:val="0"/>
                <w:bCs w:val="0"/>
                <w:color w:val="auto"/>
                <w:u w:val="none"/>
              </w:rPr>
            </w:pPr>
            <w:r>
              <w:rPr>
                <w:b w:val="0"/>
                <w:bCs w:val="0"/>
                <w:color w:val="auto"/>
                <w:u w:val="none"/>
              </w:rPr>
              <w:t>2859</w:t>
            </w:r>
          </w:p>
        </w:tc>
        <w:tc>
          <w:tcPr>
            <w:tcW w:w="736" w:type="pct"/>
            <w:tcBorders>
              <w:top w:val="single" w:color="000000" w:sz="6" w:space="0"/>
              <w:left w:val="single" w:color="000000" w:sz="6" w:space="0"/>
              <w:bottom w:val="single" w:color="000000" w:sz="6" w:space="0"/>
              <w:right w:val="single" w:color="000000" w:sz="6" w:space="0"/>
            </w:tcBorders>
            <w:vAlign w:val="center"/>
          </w:tcPr>
          <w:p w14:paraId="0BE2830A">
            <w:pPr>
              <w:pStyle w:val="182"/>
              <w:spacing w:before="62"/>
              <w:ind w:left="364" w:right="345"/>
              <w:rPr>
                <w:b w:val="0"/>
                <w:bCs w:val="0"/>
                <w:color w:val="auto"/>
                <w:u w:val="none"/>
              </w:rPr>
            </w:pPr>
            <w:r>
              <w:rPr>
                <w:b w:val="0"/>
                <w:bCs w:val="0"/>
                <w:color w:val="auto"/>
                <w:u w:val="none"/>
              </w:rPr>
              <w:t>74</w:t>
            </w:r>
          </w:p>
        </w:tc>
        <w:tc>
          <w:tcPr>
            <w:tcW w:w="734" w:type="pct"/>
            <w:tcBorders>
              <w:top w:val="single" w:color="000000" w:sz="6" w:space="0"/>
              <w:left w:val="single" w:color="000000" w:sz="6" w:space="0"/>
              <w:bottom w:val="single" w:color="000000" w:sz="6" w:space="0"/>
              <w:right w:val="single" w:color="000000" w:sz="6" w:space="0"/>
            </w:tcBorders>
            <w:vAlign w:val="center"/>
          </w:tcPr>
          <w:p w14:paraId="2EC99683">
            <w:pPr>
              <w:pStyle w:val="182"/>
              <w:spacing w:before="48"/>
              <w:ind w:left="16"/>
              <w:rPr>
                <w:b w:val="0"/>
                <w:bCs w:val="0"/>
                <w:color w:val="auto"/>
                <w:u w:val="none"/>
              </w:rPr>
            </w:pPr>
            <w:r>
              <w:rPr>
                <w:b w:val="0"/>
                <w:bCs w:val="0"/>
                <w:color w:val="auto"/>
                <w:u w:val="none"/>
              </w:rPr>
              <w:t>东</w:t>
            </w:r>
          </w:p>
        </w:tc>
        <w:tc>
          <w:tcPr>
            <w:tcW w:w="642" w:type="pct"/>
            <w:tcBorders>
              <w:top w:val="single" w:color="000000" w:sz="6" w:space="0"/>
              <w:left w:val="single" w:color="000000" w:sz="6" w:space="0"/>
              <w:bottom w:val="single" w:color="000000" w:sz="6" w:space="0"/>
              <w:right w:val="single" w:color="000000" w:sz="6" w:space="0"/>
            </w:tcBorders>
            <w:vAlign w:val="center"/>
          </w:tcPr>
          <w:p w14:paraId="33F9F884">
            <w:pPr>
              <w:pStyle w:val="182"/>
              <w:spacing w:before="62"/>
              <w:ind w:left="266" w:right="249"/>
              <w:rPr>
                <w:b w:val="0"/>
                <w:bCs w:val="0"/>
                <w:color w:val="auto"/>
                <w:u w:val="none"/>
              </w:rPr>
            </w:pPr>
            <w:r>
              <w:rPr>
                <w:b w:val="0"/>
                <w:bCs w:val="0"/>
                <w:color w:val="auto"/>
                <w:u w:val="none"/>
              </w:rPr>
              <w:t>2820</w:t>
            </w:r>
          </w:p>
        </w:tc>
        <w:tc>
          <w:tcPr>
            <w:tcW w:w="639" w:type="pct"/>
            <w:tcBorders>
              <w:top w:val="single" w:color="000000" w:sz="6" w:space="0"/>
              <w:left w:val="single" w:color="000000" w:sz="6" w:space="0"/>
              <w:bottom w:val="single" w:color="000000" w:sz="6" w:space="0"/>
            </w:tcBorders>
            <w:vAlign w:val="center"/>
          </w:tcPr>
          <w:p w14:paraId="0790726E">
            <w:pPr>
              <w:pStyle w:val="182"/>
              <w:spacing w:before="62"/>
              <w:ind w:left="186" w:right="164"/>
              <w:rPr>
                <w:b w:val="0"/>
                <w:bCs w:val="0"/>
                <w:color w:val="auto"/>
                <w:u w:val="none"/>
              </w:rPr>
            </w:pPr>
            <w:r>
              <w:rPr>
                <w:b w:val="0"/>
                <w:bCs w:val="0"/>
                <w:color w:val="auto"/>
                <w:u w:val="none"/>
              </w:rPr>
              <w:t>1100</w:t>
            </w:r>
          </w:p>
        </w:tc>
      </w:tr>
      <w:tr w14:paraId="2136E4B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3828E6C5">
            <w:pPr>
              <w:pStyle w:val="182"/>
              <w:spacing w:before="62"/>
              <w:ind w:left="15"/>
              <w:rPr>
                <w:b w:val="0"/>
                <w:bCs w:val="0"/>
                <w:color w:val="auto"/>
                <w:u w:val="none"/>
              </w:rPr>
            </w:pPr>
            <w:r>
              <w:rPr>
                <w:b w:val="0"/>
                <w:bCs w:val="0"/>
                <w:color w:val="auto"/>
                <w:u w:val="none"/>
              </w:rPr>
              <w:t>2</w:t>
            </w:r>
          </w:p>
        </w:tc>
        <w:tc>
          <w:tcPr>
            <w:tcW w:w="1132" w:type="pct"/>
            <w:tcBorders>
              <w:top w:val="single" w:color="000000" w:sz="6" w:space="0"/>
              <w:left w:val="single" w:color="000000" w:sz="6" w:space="0"/>
              <w:bottom w:val="single" w:color="000000" w:sz="6" w:space="0"/>
              <w:right w:val="single" w:color="000000" w:sz="6" w:space="0"/>
            </w:tcBorders>
            <w:vAlign w:val="center"/>
          </w:tcPr>
          <w:p w14:paraId="6E600B18">
            <w:pPr>
              <w:pStyle w:val="182"/>
              <w:spacing w:before="48"/>
              <w:ind w:left="107" w:right="91"/>
              <w:rPr>
                <w:b w:val="0"/>
                <w:bCs w:val="0"/>
                <w:color w:val="auto"/>
                <w:u w:val="none"/>
              </w:rPr>
            </w:pPr>
            <w:r>
              <w:rPr>
                <w:b w:val="0"/>
                <w:bCs w:val="0"/>
                <w:color w:val="auto"/>
                <w:u w:val="none"/>
              </w:rPr>
              <w:t>大杨庄</w:t>
            </w:r>
          </w:p>
        </w:tc>
        <w:tc>
          <w:tcPr>
            <w:tcW w:w="733" w:type="pct"/>
            <w:tcBorders>
              <w:top w:val="single" w:color="000000" w:sz="6" w:space="0"/>
              <w:left w:val="single" w:color="000000" w:sz="6" w:space="0"/>
              <w:bottom w:val="single" w:color="000000" w:sz="6" w:space="0"/>
              <w:right w:val="single" w:color="000000" w:sz="6" w:space="0"/>
            </w:tcBorders>
            <w:vAlign w:val="center"/>
          </w:tcPr>
          <w:p w14:paraId="168F50A0">
            <w:pPr>
              <w:pStyle w:val="182"/>
              <w:spacing w:before="62"/>
              <w:ind w:left="135" w:right="117"/>
              <w:rPr>
                <w:b w:val="0"/>
                <w:bCs w:val="0"/>
                <w:color w:val="auto"/>
                <w:u w:val="none"/>
              </w:rPr>
            </w:pPr>
            <w:r>
              <w:rPr>
                <w:b w:val="0"/>
                <w:bCs w:val="0"/>
                <w:color w:val="auto"/>
                <w:u w:val="none"/>
              </w:rPr>
              <w:t>1595</w:t>
            </w:r>
          </w:p>
        </w:tc>
        <w:tc>
          <w:tcPr>
            <w:tcW w:w="736" w:type="pct"/>
            <w:tcBorders>
              <w:top w:val="single" w:color="000000" w:sz="6" w:space="0"/>
              <w:left w:val="single" w:color="000000" w:sz="6" w:space="0"/>
              <w:bottom w:val="single" w:color="000000" w:sz="6" w:space="0"/>
              <w:right w:val="single" w:color="000000" w:sz="6" w:space="0"/>
            </w:tcBorders>
            <w:vAlign w:val="center"/>
          </w:tcPr>
          <w:p w14:paraId="21CAE868">
            <w:pPr>
              <w:pStyle w:val="182"/>
              <w:spacing w:before="62"/>
              <w:ind w:left="364" w:right="345"/>
              <w:rPr>
                <w:b w:val="0"/>
                <w:bCs w:val="0"/>
                <w:color w:val="auto"/>
                <w:u w:val="none"/>
              </w:rPr>
            </w:pPr>
            <w:r>
              <w:rPr>
                <w:b w:val="0"/>
                <w:bCs w:val="0"/>
                <w:color w:val="auto"/>
                <w:u w:val="none"/>
              </w:rPr>
              <w:t>-390</w:t>
            </w:r>
          </w:p>
        </w:tc>
        <w:tc>
          <w:tcPr>
            <w:tcW w:w="734" w:type="pct"/>
            <w:tcBorders>
              <w:top w:val="single" w:color="000000" w:sz="6" w:space="0"/>
              <w:left w:val="single" w:color="000000" w:sz="6" w:space="0"/>
              <w:bottom w:val="single" w:color="000000" w:sz="6" w:space="0"/>
              <w:right w:val="single" w:color="000000" w:sz="6" w:space="0"/>
            </w:tcBorders>
            <w:vAlign w:val="center"/>
          </w:tcPr>
          <w:p w14:paraId="62D8BEF8">
            <w:pPr>
              <w:pStyle w:val="182"/>
              <w:spacing w:before="48"/>
              <w:ind w:left="133" w:right="120"/>
              <w:rPr>
                <w:b w:val="0"/>
                <w:bCs w:val="0"/>
                <w:color w:val="auto"/>
                <w:u w:val="none"/>
              </w:rPr>
            </w:pPr>
            <w:r>
              <w:rPr>
                <w:b w:val="0"/>
                <w:bCs w:val="0"/>
                <w:color w:val="auto"/>
                <w:u w:val="none"/>
              </w:rPr>
              <w:t>东南</w:t>
            </w:r>
          </w:p>
        </w:tc>
        <w:tc>
          <w:tcPr>
            <w:tcW w:w="642" w:type="pct"/>
            <w:tcBorders>
              <w:top w:val="single" w:color="000000" w:sz="6" w:space="0"/>
              <w:left w:val="single" w:color="000000" w:sz="6" w:space="0"/>
              <w:bottom w:val="single" w:color="000000" w:sz="6" w:space="0"/>
              <w:right w:val="single" w:color="000000" w:sz="6" w:space="0"/>
            </w:tcBorders>
            <w:vAlign w:val="center"/>
          </w:tcPr>
          <w:p w14:paraId="46538D8C">
            <w:pPr>
              <w:pStyle w:val="182"/>
              <w:spacing w:before="62"/>
              <w:ind w:left="266" w:right="249"/>
              <w:rPr>
                <w:rFonts w:hint="default"/>
                <w:b w:val="0"/>
                <w:bCs w:val="0"/>
                <w:color w:val="auto"/>
                <w:u w:val="none"/>
                <w:lang w:val="en-US" w:eastAsia="zh-CN"/>
              </w:rPr>
            </w:pPr>
            <w:r>
              <w:rPr>
                <w:rFonts w:hint="eastAsia"/>
                <w:b w:val="0"/>
                <w:bCs w:val="0"/>
                <w:color w:val="auto"/>
                <w:u w:val="none"/>
                <w:lang w:val="en-US" w:eastAsia="zh-CN"/>
              </w:rPr>
              <w:t>1818</w:t>
            </w:r>
          </w:p>
        </w:tc>
        <w:tc>
          <w:tcPr>
            <w:tcW w:w="639" w:type="pct"/>
            <w:tcBorders>
              <w:top w:val="single" w:color="000000" w:sz="6" w:space="0"/>
              <w:left w:val="single" w:color="000000" w:sz="6" w:space="0"/>
              <w:bottom w:val="single" w:color="000000" w:sz="6" w:space="0"/>
            </w:tcBorders>
            <w:vAlign w:val="center"/>
          </w:tcPr>
          <w:p w14:paraId="66818921">
            <w:pPr>
              <w:pStyle w:val="182"/>
              <w:spacing w:before="62"/>
              <w:ind w:left="186" w:right="164"/>
              <w:rPr>
                <w:b w:val="0"/>
                <w:bCs w:val="0"/>
                <w:color w:val="auto"/>
                <w:u w:val="none"/>
              </w:rPr>
            </w:pPr>
            <w:r>
              <w:rPr>
                <w:b w:val="0"/>
                <w:bCs w:val="0"/>
                <w:color w:val="auto"/>
                <w:u w:val="none"/>
              </w:rPr>
              <w:t>1300</w:t>
            </w:r>
          </w:p>
        </w:tc>
      </w:tr>
      <w:tr w14:paraId="2952B3E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24B0949E">
            <w:pPr>
              <w:pStyle w:val="182"/>
              <w:spacing w:before="62"/>
              <w:ind w:left="15"/>
              <w:rPr>
                <w:b w:val="0"/>
                <w:bCs w:val="0"/>
                <w:color w:val="auto"/>
                <w:u w:val="none"/>
              </w:rPr>
            </w:pPr>
            <w:r>
              <w:rPr>
                <w:b w:val="0"/>
                <w:bCs w:val="0"/>
                <w:color w:val="auto"/>
                <w:u w:val="none"/>
              </w:rPr>
              <w:t>3</w:t>
            </w:r>
          </w:p>
        </w:tc>
        <w:tc>
          <w:tcPr>
            <w:tcW w:w="1132" w:type="pct"/>
            <w:tcBorders>
              <w:top w:val="single" w:color="000000" w:sz="6" w:space="0"/>
              <w:left w:val="single" w:color="000000" w:sz="6" w:space="0"/>
              <w:bottom w:val="single" w:color="000000" w:sz="6" w:space="0"/>
              <w:right w:val="single" w:color="000000" w:sz="6" w:space="0"/>
            </w:tcBorders>
            <w:vAlign w:val="center"/>
          </w:tcPr>
          <w:p w14:paraId="1D2899E2">
            <w:pPr>
              <w:pStyle w:val="182"/>
              <w:spacing w:before="48"/>
              <w:ind w:left="107" w:right="91"/>
              <w:rPr>
                <w:b w:val="0"/>
                <w:bCs w:val="0"/>
                <w:color w:val="auto"/>
                <w:u w:val="none"/>
              </w:rPr>
            </w:pPr>
            <w:r>
              <w:rPr>
                <w:b w:val="0"/>
                <w:bCs w:val="0"/>
                <w:color w:val="auto"/>
                <w:u w:val="none"/>
              </w:rPr>
              <w:t>姚庄</w:t>
            </w:r>
          </w:p>
        </w:tc>
        <w:tc>
          <w:tcPr>
            <w:tcW w:w="733" w:type="pct"/>
            <w:tcBorders>
              <w:top w:val="single" w:color="000000" w:sz="6" w:space="0"/>
              <w:left w:val="single" w:color="000000" w:sz="6" w:space="0"/>
              <w:bottom w:val="single" w:color="000000" w:sz="6" w:space="0"/>
              <w:right w:val="single" w:color="000000" w:sz="6" w:space="0"/>
            </w:tcBorders>
            <w:vAlign w:val="center"/>
          </w:tcPr>
          <w:p w14:paraId="65C93C09">
            <w:pPr>
              <w:pStyle w:val="182"/>
              <w:spacing w:before="62"/>
              <w:ind w:left="135" w:right="117"/>
              <w:rPr>
                <w:b w:val="0"/>
                <w:bCs w:val="0"/>
                <w:color w:val="auto"/>
                <w:u w:val="none"/>
              </w:rPr>
            </w:pPr>
            <w:r>
              <w:rPr>
                <w:b w:val="0"/>
                <w:bCs w:val="0"/>
                <w:color w:val="auto"/>
                <w:u w:val="none"/>
              </w:rPr>
              <w:t>-522</w:t>
            </w:r>
          </w:p>
        </w:tc>
        <w:tc>
          <w:tcPr>
            <w:tcW w:w="736" w:type="pct"/>
            <w:tcBorders>
              <w:top w:val="single" w:color="000000" w:sz="6" w:space="0"/>
              <w:left w:val="single" w:color="000000" w:sz="6" w:space="0"/>
              <w:bottom w:val="single" w:color="000000" w:sz="6" w:space="0"/>
              <w:right w:val="single" w:color="000000" w:sz="6" w:space="0"/>
            </w:tcBorders>
            <w:vAlign w:val="center"/>
          </w:tcPr>
          <w:p w14:paraId="650F49E6">
            <w:pPr>
              <w:pStyle w:val="182"/>
              <w:spacing w:before="62"/>
              <w:ind w:left="364" w:right="348"/>
              <w:rPr>
                <w:b w:val="0"/>
                <w:bCs w:val="0"/>
                <w:color w:val="auto"/>
                <w:u w:val="none"/>
              </w:rPr>
            </w:pPr>
            <w:r>
              <w:rPr>
                <w:b w:val="0"/>
                <w:bCs w:val="0"/>
                <w:color w:val="auto"/>
                <w:u w:val="none"/>
              </w:rPr>
              <w:t>-1028</w:t>
            </w:r>
          </w:p>
        </w:tc>
        <w:tc>
          <w:tcPr>
            <w:tcW w:w="734" w:type="pct"/>
            <w:tcBorders>
              <w:top w:val="single" w:color="000000" w:sz="6" w:space="0"/>
              <w:left w:val="single" w:color="000000" w:sz="6" w:space="0"/>
              <w:bottom w:val="single" w:color="000000" w:sz="6" w:space="0"/>
              <w:right w:val="single" w:color="000000" w:sz="6" w:space="0"/>
            </w:tcBorders>
            <w:vAlign w:val="center"/>
          </w:tcPr>
          <w:p w14:paraId="2D9F24B3">
            <w:pPr>
              <w:pStyle w:val="182"/>
              <w:spacing w:before="48"/>
              <w:ind w:left="133" w:right="120"/>
              <w:rPr>
                <w:b w:val="0"/>
                <w:bCs w:val="0"/>
                <w:color w:val="auto"/>
                <w:u w:val="none"/>
              </w:rPr>
            </w:pPr>
            <w:r>
              <w:rPr>
                <w:b w:val="0"/>
                <w:bCs w:val="0"/>
                <w:color w:val="auto"/>
                <w:u w:val="none"/>
              </w:rPr>
              <w:t>西南</w:t>
            </w:r>
          </w:p>
        </w:tc>
        <w:tc>
          <w:tcPr>
            <w:tcW w:w="642" w:type="pct"/>
            <w:tcBorders>
              <w:top w:val="single" w:color="000000" w:sz="6" w:space="0"/>
              <w:left w:val="single" w:color="000000" w:sz="6" w:space="0"/>
              <w:bottom w:val="single" w:color="000000" w:sz="6" w:space="0"/>
              <w:right w:val="single" w:color="000000" w:sz="6" w:space="0"/>
            </w:tcBorders>
            <w:vAlign w:val="center"/>
          </w:tcPr>
          <w:p w14:paraId="35B96177">
            <w:pPr>
              <w:pStyle w:val="182"/>
              <w:spacing w:before="62"/>
              <w:ind w:left="266" w:right="249"/>
              <w:rPr>
                <w:rFonts w:hint="default" w:eastAsia="宋体"/>
                <w:b w:val="0"/>
                <w:bCs w:val="0"/>
                <w:color w:val="auto"/>
                <w:u w:val="none"/>
                <w:lang w:val="en-US" w:eastAsia="zh-CN"/>
              </w:rPr>
            </w:pPr>
            <w:r>
              <w:rPr>
                <w:rFonts w:hint="eastAsia"/>
                <w:b w:val="0"/>
                <w:bCs w:val="0"/>
                <w:color w:val="auto"/>
                <w:u w:val="none"/>
                <w:lang w:val="en-US" w:eastAsia="zh-CN"/>
              </w:rPr>
              <w:t>1020</w:t>
            </w:r>
          </w:p>
        </w:tc>
        <w:tc>
          <w:tcPr>
            <w:tcW w:w="639" w:type="pct"/>
            <w:tcBorders>
              <w:top w:val="single" w:color="000000" w:sz="6" w:space="0"/>
              <w:left w:val="single" w:color="000000" w:sz="6" w:space="0"/>
              <w:bottom w:val="single" w:color="000000" w:sz="6" w:space="0"/>
            </w:tcBorders>
            <w:vAlign w:val="center"/>
          </w:tcPr>
          <w:p w14:paraId="59E8F540">
            <w:pPr>
              <w:pStyle w:val="182"/>
              <w:spacing w:before="62"/>
              <w:ind w:left="186" w:right="164"/>
              <w:rPr>
                <w:b w:val="0"/>
                <w:bCs w:val="0"/>
                <w:color w:val="auto"/>
                <w:u w:val="none"/>
              </w:rPr>
            </w:pPr>
            <w:r>
              <w:rPr>
                <w:b w:val="0"/>
                <w:bCs w:val="0"/>
                <w:color w:val="auto"/>
                <w:u w:val="none"/>
              </w:rPr>
              <w:t>856</w:t>
            </w:r>
          </w:p>
        </w:tc>
      </w:tr>
      <w:tr w14:paraId="7698282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475DBF74">
            <w:pPr>
              <w:pStyle w:val="182"/>
              <w:spacing w:before="62"/>
              <w:ind w:left="15"/>
              <w:rPr>
                <w:b w:val="0"/>
                <w:bCs w:val="0"/>
                <w:color w:val="auto"/>
                <w:u w:val="none"/>
              </w:rPr>
            </w:pPr>
            <w:r>
              <w:rPr>
                <w:b w:val="0"/>
                <w:bCs w:val="0"/>
                <w:color w:val="auto"/>
                <w:u w:val="none"/>
              </w:rPr>
              <w:t>4</w:t>
            </w:r>
          </w:p>
        </w:tc>
        <w:tc>
          <w:tcPr>
            <w:tcW w:w="1132" w:type="pct"/>
            <w:tcBorders>
              <w:top w:val="single" w:color="000000" w:sz="6" w:space="0"/>
              <w:left w:val="single" w:color="000000" w:sz="6" w:space="0"/>
              <w:bottom w:val="single" w:color="000000" w:sz="6" w:space="0"/>
              <w:right w:val="single" w:color="000000" w:sz="6" w:space="0"/>
            </w:tcBorders>
            <w:vAlign w:val="center"/>
          </w:tcPr>
          <w:p w14:paraId="6744EA1B">
            <w:pPr>
              <w:pStyle w:val="182"/>
              <w:spacing w:before="48"/>
              <w:ind w:left="109" w:right="91"/>
              <w:rPr>
                <w:b w:val="0"/>
                <w:bCs w:val="0"/>
                <w:color w:val="auto"/>
                <w:u w:val="none"/>
              </w:rPr>
            </w:pPr>
            <w:r>
              <w:rPr>
                <w:b w:val="0"/>
                <w:bCs w:val="0"/>
                <w:color w:val="auto"/>
                <w:u w:val="none"/>
              </w:rPr>
              <w:t>夏庄</w:t>
            </w:r>
          </w:p>
        </w:tc>
        <w:tc>
          <w:tcPr>
            <w:tcW w:w="733" w:type="pct"/>
            <w:tcBorders>
              <w:top w:val="single" w:color="000000" w:sz="6" w:space="0"/>
              <w:left w:val="single" w:color="000000" w:sz="6" w:space="0"/>
              <w:bottom w:val="single" w:color="000000" w:sz="6" w:space="0"/>
              <w:right w:val="single" w:color="000000" w:sz="6" w:space="0"/>
            </w:tcBorders>
            <w:vAlign w:val="center"/>
          </w:tcPr>
          <w:p w14:paraId="25C62806">
            <w:pPr>
              <w:pStyle w:val="182"/>
              <w:spacing w:before="62"/>
              <w:ind w:left="135" w:right="117"/>
              <w:rPr>
                <w:b w:val="0"/>
                <w:bCs w:val="0"/>
                <w:color w:val="auto"/>
                <w:u w:val="none"/>
              </w:rPr>
            </w:pPr>
            <w:r>
              <w:rPr>
                <w:b w:val="0"/>
                <w:bCs w:val="0"/>
                <w:color w:val="auto"/>
                <w:u w:val="none"/>
              </w:rPr>
              <w:t>-778</w:t>
            </w:r>
          </w:p>
        </w:tc>
        <w:tc>
          <w:tcPr>
            <w:tcW w:w="736" w:type="pct"/>
            <w:tcBorders>
              <w:top w:val="single" w:color="000000" w:sz="6" w:space="0"/>
              <w:left w:val="single" w:color="000000" w:sz="6" w:space="0"/>
              <w:bottom w:val="single" w:color="000000" w:sz="6" w:space="0"/>
              <w:right w:val="single" w:color="000000" w:sz="6" w:space="0"/>
            </w:tcBorders>
            <w:vAlign w:val="center"/>
          </w:tcPr>
          <w:p w14:paraId="5BB6EB77">
            <w:pPr>
              <w:pStyle w:val="182"/>
              <w:spacing w:before="62"/>
              <w:ind w:left="364" w:right="345"/>
              <w:rPr>
                <w:b w:val="0"/>
                <w:bCs w:val="0"/>
                <w:color w:val="auto"/>
                <w:u w:val="none"/>
              </w:rPr>
            </w:pPr>
            <w:r>
              <w:rPr>
                <w:b w:val="0"/>
                <w:bCs w:val="0"/>
                <w:color w:val="auto"/>
                <w:u w:val="none"/>
              </w:rPr>
              <w:t>-693</w:t>
            </w:r>
          </w:p>
        </w:tc>
        <w:tc>
          <w:tcPr>
            <w:tcW w:w="734" w:type="pct"/>
            <w:tcBorders>
              <w:top w:val="single" w:color="000000" w:sz="6" w:space="0"/>
              <w:left w:val="single" w:color="000000" w:sz="6" w:space="0"/>
              <w:bottom w:val="single" w:color="000000" w:sz="6" w:space="0"/>
              <w:right w:val="single" w:color="000000" w:sz="6" w:space="0"/>
            </w:tcBorders>
            <w:vAlign w:val="center"/>
          </w:tcPr>
          <w:p w14:paraId="42F2F796">
            <w:pPr>
              <w:pStyle w:val="182"/>
              <w:spacing w:before="48"/>
              <w:ind w:left="133" w:right="120"/>
              <w:rPr>
                <w:b w:val="0"/>
                <w:bCs w:val="0"/>
                <w:color w:val="auto"/>
                <w:u w:val="none"/>
              </w:rPr>
            </w:pPr>
            <w:r>
              <w:rPr>
                <w:b w:val="0"/>
                <w:bCs w:val="0"/>
                <w:color w:val="auto"/>
                <w:u w:val="none"/>
              </w:rPr>
              <w:t>西南</w:t>
            </w:r>
          </w:p>
        </w:tc>
        <w:tc>
          <w:tcPr>
            <w:tcW w:w="642" w:type="pct"/>
            <w:tcBorders>
              <w:top w:val="single" w:color="000000" w:sz="6" w:space="0"/>
              <w:left w:val="single" w:color="000000" w:sz="6" w:space="0"/>
              <w:bottom w:val="single" w:color="000000" w:sz="6" w:space="0"/>
              <w:right w:val="single" w:color="000000" w:sz="6" w:space="0"/>
            </w:tcBorders>
            <w:vAlign w:val="center"/>
          </w:tcPr>
          <w:p w14:paraId="78B7319A">
            <w:pPr>
              <w:pStyle w:val="182"/>
              <w:bidi w:val="0"/>
              <w:ind w:firstLine="0" w:firstLineChars="0"/>
              <w:rPr>
                <w:rFonts w:hint="default"/>
                <w:b w:val="0"/>
                <w:bCs w:val="0"/>
                <w:color w:val="auto"/>
                <w:u w:val="none"/>
                <w:lang w:val="en-US" w:eastAsia="zh-CN"/>
              </w:rPr>
            </w:pPr>
            <w:r>
              <w:rPr>
                <w:rFonts w:hint="eastAsia"/>
                <w:b w:val="0"/>
                <w:bCs w:val="0"/>
                <w:color w:val="auto"/>
                <w:u w:val="none"/>
                <w:lang w:val="en-US" w:eastAsia="zh-CN"/>
              </w:rPr>
              <w:t>860</w:t>
            </w:r>
          </w:p>
        </w:tc>
        <w:tc>
          <w:tcPr>
            <w:tcW w:w="639" w:type="pct"/>
            <w:tcBorders>
              <w:top w:val="single" w:color="000000" w:sz="6" w:space="0"/>
              <w:left w:val="single" w:color="000000" w:sz="6" w:space="0"/>
              <w:bottom w:val="single" w:color="000000" w:sz="6" w:space="0"/>
            </w:tcBorders>
            <w:vAlign w:val="center"/>
          </w:tcPr>
          <w:p w14:paraId="01A14569">
            <w:pPr>
              <w:pStyle w:val="182"/>
              <w:spacing w:before="62"/>
              <w:ind w:left="186" w:right="164"/>
              <w:rPr>
                <w:b w:val="0"/>
                <w:bCs w:val="0"/>
                <w:color w:val="auto"/>
                <w:u w:val="none"/>
              </w:rPr>
            </w:pPr>
            <w:r>
              <w:rPr>
                <w:b w:val="0"/>
                <w:bCs w:val="0"/>
                <w:color w:val="auto"/>
                <w:u w:val="none"/>
              </w:rPr>
              <w:t>1100</w:t>
            </w:r>
          </w:p>
        </w:tc>
      </w:tr>
      <w:tr w14:paraId="1486223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7946FDEA">
            <w:pPr>
              <w:pStyle w:val="182"/>
              <w:spacing w:before="62"/>
              <w:ind w:left="15"/>
              <w:rPr>
                <w:b w:val="0"/>
                <w:bCs w:val="0"/>
                <w:color w:val="auto"/>
                <w:u w:val="none"/>
              </w:rPr>
            </w:pPr>
            <w:r>
              <w:rPr>
                <w:b w:val="0"/>
                <w:bCs w:val="0"/>
                <w:color w:val="auto"/>
                <w:u w:val="none"/>
              </w:rPr>
              <w:t>5</w:t>
            </w:r>
          </w:p>
        </w:tc>
        <w:tc>
          <w:tcPr>
            <w:tcW w:w="1132" w:type="pct"/>
            <w:tcBorders>
              <w:top w:val="single" w:color="000000" w:sz="6" w:space="0"/>
              <w:left w:val="single" w:color="000000" w:sz="6" w:space="0"/>
              <w:bottom w:val="single" w:color="000000" w:sz="6" w:space="0"/>
              <w:right w:val="single" w:color="000000" w:sz="6" w:space="0"/>
            </w:tcBorders>
            <w:vAlign w:val="center"/>
          </w:tcPr>
          <w:p w14:paraId="131C44A8">
            <w:pPr>
              <w:pStyle w:val="182"/>
              <w:spacing w:before="48"/>
              <w:ind w:left="109" w:right="91"/>
              <w:rPr>
                <w:b w:val="0"/>
                <w:bCs w:val="0"/>
                <w:color w:val="auto"/>
                <w:u w:val="none"/>
              </w:rPr>
            </w:pPr>
            <w:r>
              <w:rPr>
                <w:b w:val="0"/>
                <w:bCs w:val="0"/>
                <w:color w:val="auto"/>
                <w:u w:val="none"/>
              </w:rPr>
              <w:t>北张兴庄</w:t>
            </w:r>
          </w:p>
        </w:tc>
        <w:tc>
          <w:tcPr>
            <w:tcW w:w="733" w:type="pct"/>
            <w:tcBorders>
              <w:top w:val="single" w:color="000000" w:sz="6" w:space="0"/>
              <w:left w:val="single" w:color="000000" w:sz="6" w:space="0"/>
              <w:bottom w:val="single" w:color="000000" w:sz="6" w:space="0"/>
              <w:right w:val="single" w:color="000000" w:sz="6" w:space="0"/>
            </w:tcBorders>
            <w:vAlign w:val="center"/>
          </w:tcPr>
          <w:p w14:paraId="3AD80E5C">
            <w:pPr>
              <w:pStyle w:val="182"/>
              <w:spacing w:before="62"/>
              <w:ind w:left="135" w:right="115"/>
              <w:rPr>
                <w:b w:val="0"/>
                <w:bCs w:val="0"/>
                <w:color w:val="auto"/>
                <w:u w:val="none"/>
              </w:rPr>
            </w:pPr>
            <w:r>
              <w:rPr>
                <w:b w:val="0"/>
                <w:bCs w:val="0"/>
                <w:color w:val="auto"/>
                <w:u w:val="none"/>
              </w:rPr>
              <w:t>570</w:t>
            </w:r>
          </w:p>
        </w:tc>
        <w:tc>
          <w:tcPr>
            <w:tcW w:w="736" w:type="pct"/>
            <w:tcBorders>
              <w:top w:val="single" w:color="000000" w:sz="6" w:space="0"/>
              <w:left w:val="single" w:color="000000" w:sz="6" w:space="0"/>
              <w:bottom w:val="single" w:color="000000" w:sz="6" w:space="0"/>
              <w:right w:val="single" w:color="000000" w:sz="6" w:space="0"/>
            </w:tcBorders>
            <w:vAlign w:val="center"/>
          </w:tcPr>
          <w:p w14:paraId="790FD638">
            <w:pPr>
              <w:pStyle w:val="182"/>
              <w:spacing w:before="62"/>
              <w:ind w:left="364" w:right="345"/>
              <w:rPr>
                <w:b w:val="0"/>
                <w:bCs w:val="0"/>
                <w:color w:val="auto"/>
                <w:u w:val="none"/>
              </w:rPr>
            </w:pPr>
            <w:r>
              <w:rPr>
                <w:b w:val="0"/>
                <w:bCs w:val="0"/>
                <w:color w:val="auto"/>
                <w:u w:val="none"/>
              </w:rPr>
              <w:t>1892</w:t>
            </w:r>
          </w:p>
        </w:tc>
        <w:tc>
          <w:tcPr>
            <w:tcW w:w="734" w:type="pct"/>
            <w:tcBorders>
              <w:top w:val="single" w:color="000000" w:sz="6" w:space="0"/>
              <w:left w:val="single" w:color="000000" w:sz="6" w:space="0"/>
              <w:bottom w:val="single" w:color="000000" w:sz="6" w:space="0"/>
              <w:right w:val="single" w:color="000000" w:sz="6" w:space="0"/>
            </w:tcBorders>
            <w:vAlign w:val="center"/>
          </w:tcPr>
          <w:p w14:paraId="343A2683">
            <w:pPr>
              <w:pStyle w:val="182"/>
              <w:spacing w:before="48"/>
              <w:ind w:left="133" w:right="120"/>
              <w:rPr>
                <w:b w:val="0"/>
                <w:bCs w:val="0"/>
                <w:color w:val="auto"/>
                <w:u w:val="none"/>
              </w:rPr>
            </w:pPr>
            <w:r>
              <w:rPr>
                <w:b w:val="0"/>
                <w:bCs w:val="0"/>
                <w:color w:val="auto"/>
                <w:u w:val="none"/>
              </w:rPr>
              <w:t>东北</w:t>
            </w:r>
          </w:p>
        </w:tc>
        <w:tc>
          <w:tcPr>
            <w:tcW w:w="642" w:type="pct"/>
            <w:tcBorders>
              <w:top w:val="single" w:color="000000" w:sz="6" w:space="0"/>
              <w:left w:val="single" w:color="000000" w:sz="6" w:space="0"/>
              <w:bottom w:val="single" w:color="000000" w:sz="6" w:space="0"/>
              <w:right w:val="single" w:color="000000" w:sz="6" w:space="0"/>
            </w:tcBorders>
            <w:vAlign w:val="center"/>
          </w:tcPr>
          <w:p w14:paraId="186EA224">
            <w:pPr>
              <w:pStyle w:val="182"/>
              <w:bidi w:val="0"/>
              <w:ind w:firstLine="0" w:firstLineChars="0"/>
              <w:rPr>
                <w:b w:val="0"/>
                <w:bCs w:val="0"/>
                <w:color w:val="auto"/>
                <w:u w:val="none"/>
              </w:rPr>
            </w:pPr>
            <w:r>
              <w:rPr>
                <w:rFonts w:hint="eastAsia"/>
                <w:b w:val="0"/>
                <w:bCs w:val="0"/>
                <w:color w:val="auto"/>
                <w:u w:val="none"/>
                <w:lang w:val="en-US" w:eastAsia="zh-CN"/>
              </w:rPr>
              <w:t>1762</w:t>
            </w:r>
          </w:p>
        </w:tc>
        <w:tc>
          <w:tcPr>
            <w:tcW w:w="639" w:type="pct"/>
            <w:tcBorders>
              <w:top w:val="single" w:color="000000" w:sz="6" w:space="0"/>
              <w:left w:val="single" w:color="000000" w:sz="6" w:space="0"/>
              <w:bottom w:val="single" w:color="000000" w:sz="6" w:space="0"/>
            </w:tcBorders>
            <w:vAlign w:val="center"/>
          </w:tcPr>
          <w:p w14:paraId="1BFBBF8E">
            <w:pPr>
              <w:pStyle w:val="182"/>
              <w:spacing w:before="62"/>
              <w:ind w:left="186" w:right="164"/>
              <w:rPr>
                <w:b w:val="0"/>
                <w:bCs w:val="0"/>
                <w:color w:val="auto"/>
                <w:u w:val="none"/>
              </w:rPr>
            </w:pPr>
            <w:r>
              <w:rPr>
                <w:b w:val="0"/>
                <w:bCs w:val="0"/>
                <w:color w:val="auto"/>
                <w:u w:val="none"/>
              </w:rPr>
              <w:t>412</w:t>
            </w:r>
          </w:p>
        </w:tc>
      </w:tr>
      <w:tr w14:paraId="2A84F28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545C2E52">
            <w:pPr>
              <w:pStyle w:val="182"/>
              <w:spacing w:before="62"/>
              <w:ind w:left="15"/>
              <w:rPr>
                <w:b w:val="0"/>
                <w:bCs w:val="0"/>
                <w:color w:val="auto"/>
                <w:u w:val="none"/>
              </w:rPr>
            </w:pPr>
            <w:r>
              <w:rPr>
                <w:b w:val="0"/>
                <w:bCs w:val="0"/>
                <w:color w:val="auto"/>
                <w:u w:val="none"/>
              </w:rPr>
              <w:t>6</w:t>
            </w:r>
          </w:p>
        </w:tc>
        <w:tc>
          <w:tcPr>
            <w:tcW w:w="1132" w:type="pct"/>
            <w:tcBorders>
              <w:top w:val="single" w:color="000000" w:sz="6" w:space="0"/>
              <w:left w:val="single" w:color="000000" w:sz="6" w:space="0"/>
              <w:bottom w:val="single" w:color="000000" w:sz="6" w:space="0"/>
              <w:right w:val="single" w:color="000000" w:sz="6" w:space="0"/>
            </w:tcBorders>
            <w:vAlign w:val="center"/>
          </w:tcPr>
          <w:p w14:paraId="26C57865">
            <w:pPr>
              <w:pStyle w:val="182"/>
              <w:spacing w:before="48"/>
              <w:ind w:left="109" w:right="91"/>
              <w:rPr>
                <w:b w:val="0"/>
                <w:bCs w:val="0"/>
                <w:color w:val="auto"/>
                <w:u w:val="none"/>
              </w:rPr>
            </w:pPr>
            <w:r>
              <w:rPr>
                <w:b w:val="0"/>
                <w:bCs w:val="0"/>
                <w:color w:val="auto"/>
                <w:u w:val="none"/>
              </w:rPr>
              <w:t>贾堤社区</w:t>
            </w:r>
          </w:p>
        </w:tc>
        <w:tc>
          <w:tcPr>
            <w:tcW w:w="733" w:type="pct"/>
            <w:tcBorders>
              <w:top w:val="single" w:color="000000" w:sz="6" w:space="0"/>
              <w:left w:val="single" w:color="000000" w:sz="6" w:space="0"/>
              <w:bottom w:val="single" w:color="000000" w:sz="6" w:space="0"/>
              <w:right w:val="single" w:color="000000" w:sz="6" w:space="0"/>
            </w:tcBorders>
            <w:vAlign w:val="center"/>
          </w:tcPr>
          <w:p w14:paraId="6F82A085">
            <w:pPr>
              <w:pStyle w:val="182"/>
              <w:spacing w:before="62"/>
              <w:ind w:left="135" w:right="117"/>
              <w:rPr>
                <w:b w:val="0"/>
                <w:bCs w:val="0"/>
                <w:color w:val="auto"/>
                <w:u w:val="none"/>
              </w:rPr>
            </w:pPr>
            <w:r>
              <w:rPr>
                <w:b w:val="0"/>
                <w:bCs w:val="0"/>
                <w:color w:val="auto"/>
                <w:u w:val="none"/>
              </w:rPr>
              <w:t>1307</w:t>
            </w:r>
          </w:p>
        </w:tc>
        <w:tc>
          <w:tcPr>
            <w:tcW w:w="736" w:type="pct"/>
            <w:tcBorders>
              <w:top w:val="single" w:color="000000" w:sz="6" w:space="0"/>
              <w:left w:val="single" w:color="000000" w:sz="6" w:space="0"/>
              <w:bottom w:val="single" w:color="000000" w:sz="6" w:space="0"/>
              <w:right w:val="single" w:color="000000" w:sz="6" w:space="0"/>
            </w:tcBorders>
            <w:vAlign w:val="center"/>
          </w:tcPr>
          <w:p w14:paraId="1CEEC487">
            <w:pPr>
              <w:pStyle w:val="182"/>
              <w:spacing w:before="62"/>
              <w:ind w:left="364" w:right="345"/>
              <w:rPr>
                <w:b w:val="0"/>
                <w:bCs w:val="0"/>
                <w:color w:val="auto"/>
                <w:u w:val="none"/>
              </w:rPr>
            </w:pPr>
            <w:r>
              <w:rPr>
                <w:b w:val="0"/>
                <w:bCs w:val="0"/>
                <w:color w:val="auto"/>
                <w:u w:val="none"/>
              </w:rPr>
              <w:t>1855</w:t>
            </w:r>
          </w:p>
        </w:tc>
        <w:tc>
          <w:tcPr>
            <w:tcW w:w="734" w:type="pct"/>
            <w:tcBorders>
              <w:top w:val="single" w:color="000000" w:sz="6" w:space="0"/>
              <w:left w:val="single" w:color="000000" w:sz="6" w:space="0"/>
              <w:bottom w:val="single" w:color="000000" w:sz="6" w:space="0"/>
              <w:right w:val="single" w:color="000000" w:sz="6" w:space="0"/>
            </w:tcBorders>
            <w:vAlign w:val="center"/>
          </w:tcPr>
          <w:p w14:paraId="1BA29321">
            <w:pPr>
              <w:pStyle w:val="182"/>
              <w:spacing w:before="48"/>
              <w:ind w:left="133" w:right="120"/>
              <w:rPr>
                <w:b w:val="0"/>
                <w:bCs w:val="0"/>
                <w:color w:val="auto"/>
                <w:u w:val="none"/>
              </w:rPr>
            </w:pPr>
            <w:r>
              <w:rPr>
                <w:b w:val="0"/>
                <w:bCs w:val="0"/>
                <w:color w:val="auto"/>
                <w:u w:val="none"/>
              </w:rPr>
              <w:t>东北</w:t>
            </w:r>
          </w:p>
        </w:tc>
        <w:tc>
          <w:tcPr>
            <w:tcW w:w="642" w:type="pct"/>
            <w:tcBorders>
              <w:top w:val="single" w:color="000000" w:sz="6" w:space="0"/>
              <w:left w:val="single" w:color="000000" w:sz="6" w:space="0"/>
              <w:bottom w:val="single" w:color="000000" w:sz="6" w:space="0"/>
              <w:right w:val="single" w:color="000000" w:sz="6" w:space="0"/>
            </w:tcBorders>
            <w:vAlign w:val="center"/>
          </w:tcPr>
          <w:p w14:paraId="46D10945">
            <w:pPr>
              <w:pStyle w:val="182"/>
              <w:bidi w:val="0"/>
              <w:ind w:firstLine="0" w:firstLineChars="0"/>
              <w:rPr>
                <w:b w:val="0"/>
                <w:bCs w:val="0"/>
                <w:color w:val="auto"/>
                <w:u w:val="none"/>
              </w:rPr>
            </w:pPr>
            <w:r>
              <w:rPr>
                <w:rFonts w:hint="eastAsia"/>
                <w:b w:val="0"/>
                <w:bCs w:val="0"/>
                <w:color w:val="auto"/>
                <w:u w:val="none"/>
                <w:lang w:val="en-US" w:eastAsia="zh-CN"/>
              </w:rPr>
              <w:t>2218</w:t>
            </w:r>
          </w:p>
        </w:tc>
        <w:tc>
          <w:tcPr>
            <w:tcW w:w="639" w:type="pct"/>
            <w:tcBorders>
              <w:top w:val="single" w:color="000000" w:sz="6" w:space="0"/>
              <w:left w:val="single" w:color="000000" w:sz="6" w:space="0"/>
              <w:bottom w:val="single" w:color="000000" w:sz="6" w:space="0"/>
            </w:tcBorders>
            <w:vAlign w:val="center"/>
          </w:tcPr>
          <w:p w14:paraId="0E0872FD">
            <w:pPr>
              <w:pStyle w:val="182"/>
              <w:spacing w:before="62"/>
              <w:ind w:left="186" w:right="164"/>
              <w:rPr>
                <w:b w:val="0"/>
                <w:bCs w:val="0"/>
                <w:color w:val="auto"/>
                <w:u w:val="none"/>
              </w:rPr>
            </w:pPr>
            <w:r>
              <w:rPr>
                <w:b w:val="0"/>
                <w:bCs w:val="0"/>
                <w:color w:val="auto"/>
                <w:u w:val="none"/>
              </w:rPr>
              <w:t>600</w:t>
            </w:r>
          </w:p>
        </w:tc>
      </w:tr>
      <w:tr w14:paraId="247B9F0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5CB9CE5D">
            <w:pPr>
              <w:pStyle w:val="182"/>
              <w:spacing w:before="62"/>
              <w:ind w:left="15"/>
              <w:rPr>
                <w:b w:val="0"/>
                <w:bCs w:val="0"/>
                <w:color w:val="auto"/>
                <w:u w:val="none"/>
              </w:rPr>
            </w:pPr>
            <w:r>
              <w:rPr>
                <w:b w:val="0"/>
                <w:bCs w:val="0"/>
                <w:color w:val="auto"/>
                <w:u w:val="none"/>
              </w:rPr>
              <w:t>7</w:t>
            </w:r>
          </w:p>
        </w:tc>
        <w:tc>
          <w:tcPr>
            <w:tcW w:w="1132" w:type="pct"/>
            <w:tcBorders>
              <w:top w:val="single" w:color="000000" w:sz="6" w:space="0"/>
              <w:left w:val="single" w:color="000000" w:sz="6" w:space="0"/>
              <w:bottom w:val="single" w:color="000000" w:sz="6" w:space="0"/>
              <w:right w:val="single" w:color="000000" w:sz="6" w:space="0"/>
            </w:tcBorders>
            <w:vAlign w:val="center"/>
          </w:tcPr>
          <w:p w14:paraId="32C5090A">
            <w:pPr>
              <w:pStyle w:val="182"/>
              <w:spacing w:before="48"/>
              <w:ind w:left="109" w:right="91"/>
              <w:rPr>
                <w:b w:val="0"/>
                <w:bCs w:val="0"/>
                <w:color w:val="auto"/>
                <w:u w:val="none"/>
              </w:rPr>
            </w:pPr>
            <w:r>
              <w:rPr>
                <w:b w:val="0"/>
                <w:bCs w:val="0"/>
                <w:color w:val="auto"/>
                <w:u w:val="none"/>
              </w:rPr>
              <w:t>榆林新村</w:t>
            </w:r>
          </w:p>
        </w:tc>
        <w:tc>
          <w:tcPr>
            <w:tcW w:w="733" w:type="pct"/>
            <w:tcBorders>
              <w:top w:val="single" w:color="000000" w:sz="6" w:space="0"/>
              <w:left w:val="single" w:color="000000" w:sz="6" w:space="0"/>
              <w:bottom w:val="single" w:color="000000" w:sz="6" w:space="0"/>
              <w:right w:val="single" w:color="000000" w:sz="6" w:space="0"/>
            </w:tcBorders>
            <w:vAlign w:val="center"/>
          </w:tcPr>
          <w:p w14:paraId="7E270645">
            <w:pPr>
              <w:pStyle w:val="182"/>
              <w:spacing w:before="62"/>
              <w:ind w:left="135" w:right="117"/>
              <w:rPr>
                <w:b w:val="0"/>
                <w:bCs w:val="0"/>
                <w:color w:val="auto"/>
                <w:u w:val="none"/>
              </w:rPr>
            </w:pPr>
            <w:r>
              <w:rPr>
                <w:b w:val="0"/>
                <w:bCs w:val="0"/>
                <w:color w:val="auto"/>
                <w:u w:val="none"/>
              </w:rPr>
              <w:t>2258</w:t>
            </w:r>
          </w:p>
        </w:tc>
        <w:tc>
          <w:tcPr>
            <w:tcW w:w="736" w:type="pct"/>
            <w:tcBorders>
              <w:top w:val="single" w:color="000000" w:sz="6" w:space="0"/>
              <w:left w:val="single" w:color="000000" w:sz="6" w:space="0"/>
              <w:bottom w:val="single" w:color="000000" w:sz="6" w:space="0"/>
              <w:right w:val="single" w:color="000000" w:sz="6" w:space="0"/>
            </w:tcBorders>
            <w:vAlign w:val="center"/>
          </w:tcPr>
          <w:p w14:paraId="59D6810B">
            <w:pPr>
              <w:pStyle w:val="182"/>
              <w:spacing w:before="62"/>
              <w:ind w:left="364" w:right="345"/>
              <w:rPr>
                <w:b w:val="0"/>
                <w:bCs w:val="0"/>
                <w:color w:val="auto"/>
                <w:u w:val="none"/>
              </w:rPr>
            </w:pPr>
            <w:r>
              <w:rPr>
                <w:b w:val="0"/>
                <w:bCs w:val="0"/>
                <w:color w:val="auto"/>
                <w:u w:val="none"/>
              </w:rPr>
              <w:t>-443</w:t>
            </w:r>
          </w:p>
        </w:tc>
        <w:tc>
          <w:tcPr>
            <w:tcW w:w="734" w:type="pct"/>
            <w:tcBorders>
              <w:top w:val="single" w:color="000000" w:sz="6" w:space="0"/>
              <w:left w:val="single" w:color="000000" w:sz="6" w:space="0"/>
              <w:bottom w:val="single" w:color="000000" w:sz="6" w:space="0"/>
              <w:right w:val="single" w:color="000000" w:sz="6" w:space="0"/>
            </w:tcBorders>
            <w:vAlign w:val="center"/>
          </w:tcPr>
          <w:p w14:paraId="324341D2">
            <w:pPr>
              <w:pStyle w:val="182"/>
              <w:spacing w:before="48"/>
              <w:ind w:left="133" w:right="120"/>
              <w:rPr>
                <w:b w:val="0"/>
                <w:bCs w:val="0"/>
                <w:color w:val="auto"/>
                <w:u w:val="none"/>
              </w:rPr>
            </w:pPr>
            <w:r>
              <w:rPr>
                <w:b w:val="0"/>
                <w:bCs w:val="0"/>
                <w:color w:val="auto"/>
                <w:u w:val="none"/>
              </w:rPr>
              <w:t>东南</w:t>
            </w:r>
          </w:p>
        </w:tc>
        <w:tc>
          <w:tcPr>
            <w:tcW w:w="642" w:type="pct"/>
            <w:tcBorders>
              <w:top w:val="single" w:color="000000" w:sz="6" w:space="0"/>
              <w:left w:val="single" w:color="000000" w:sz="6" w:space="0"/>
              <w:bottom w:val="single" w:color="000000" w:sz="6" w:space="0"/>
              <w:right w:val="single" w:color="000000" w:sz="6" w:space="0"/>
            </w:tcBorders>
            <w:vAlign w:val="center"/>
          </w:tcPr>
          <w:p w14:paraId="0B1827F3">
            <w:pPr>
              <w:pStyle w:val="182"/>
              <w:spacing w:before="62"/>
              <w:ind w:left="266" w:right="249"/>
              <w:rPr>
                <w:b w:val="0"/>
                <w:bCs w:val="0"/>
                <w:color w:val="auto"/>
                <w:u w:val="none"/>
              </w:rPr>
            </w:pPr>
            <w:r>
              <w:rPr>
                <w:b w:val="0"/>
                <w:bCs w:val="0"/>
                <w:color w:val="auto"/>
                <w:u w:val="none"/>
              </w:rPr>
              <w:t>2187</w:t>
            </w:r>
          </w:p>
        </w:tc>
        <w:tc>
          <w:tcPr>
            <w:tcW w:w="639" w:type="pct"/>
            <w:tcBorders>
              <w:top w:val="single" w:color="000000" w:sz="6" w:space="0"/>
              <w:left w:val="single" w:color="000000" w:sz="6" w:space="0"/>
              <w:bottom w:val="single" w:color="000000" w:sz="6" w:space="0"/>
            </w:tcBorders>
            <w:vAlign w:val="center"/>
          </w:tcPr>
          <w:p w14:paraId="0A95142B">
            <w:pPr>
              <w:pStyle w:val="182"/>
              <w:spacing w:before="62"/>
              <w:ind w:left="186" w:right="164"/>
              <w:rPr>
                <w:b w:val="0"/>
                <w:bCs w:val="0"/>
                <w:color w:val="auto"/>
                <w:u w:val="none"/>
              </w:rPr>
            </w:pPr>
            <w:r>
              <w:rPr>
                <w:b w:val="0"/>
                <w:bCs w:val="0"/>
                <w:color w:val="auto"/>
                <w:u w:val="none"/>
              </w:rPr>
              <w:t>1200</w:t>
            </w:r>
          </w:p>
        </w:tc>
      </w:tr>
      <w:tr w14:paraId="4A4B80E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1C10F983">
            <w:pPr>
              <w:pStyle w:val="182"/>
              <w:spacing w:before="62"/>
              <w:ind w:left="15"/>
              <w:rPr>
                <w:b w:val="0"/>
                <w:bCs w:val="0"/>
                <w:color w:val="auto"/>
                <w:u w:val="none"/>
              </w:rPr>
            </w:pPr>
            <w:r>
              <w:rPr>
                <w:b w:val="0"/>
                <w:bCs w:val="0"/>
                <w:color w:val="auto"/>
                <w:u w:val="none"/>
              </w:rPr>
              <w:t>8</w:t>
            </w:r>
          </w:p>
        </w:tc>
        <w:tc>
          <w:tcPr>
            <w:tcW w:w="1132" w:type="pct"/>
            <w:tcBorders>
              <w:top w:val="single" w:color="000000" w:sz="6" w:space="0"/>
              <w:left w:val="single" w:color="000000" w:sz="6" w:space="0"/>
              <w:bottom w:val="single" w:color="000000" w:sz="6" w:space="0"/>
              <w:right w:val="single" w:color="000000" w:sz="6" w:space="0"/>
            </w:tcBorders>
            <w:vAlign w:val="center"/>
          </w:tcPr>
          <w:p w14:paraId="2315CA76">
            <w:pPr>
              <w:pStyle w:val="182"/>
              <w:spacing w:before="48"/>
              <w:ind w:left="109" w:right="91"/>
              <w:rPr>
                <w:b w:val="0"/>
                <w:bCs w:val="0"/>
                <w:color w:val="auto"/>
                <w:u w:val="none"/>
              </w:rPr>
            </w:pPr>
            <w:r>
              <w:rPr>
                <w:b w:val="0"/>
                <w:bCs w:val="0"/>
                <w:color w:val="auto"/>
                <w:u w:val="none"/>
              </w:rPr>
              <w:t>龙王庙村</w:t>
            </w:r>
          </w:p>
        </w:tc>
        <w:tc>
          <w:tcPr>
            <w:tcW w:w="733" w:type="pct"/>
            <w:tcBorders>
              <w:top w:val="single" w:color="000000" w:sz="6" w:space="0"/>
              <w:left w:val="single" w:color="000000" w:sz="6" w:space="0"/>
              <w:bottom w:val="single" w:color="000000" w:sz="6" w:space="0"/>
              <w:right w:val="single" w:color="000000" w:sz="6" w:space="0"/>
            </w:tcBorders>
            <w:vAlign w:val="center"/>
          </w:tcPr>
          <w:p w14:paraId="5743E9EA">
            <w:pPr>
              <w:pStyle w:val="182"/>
              <w:spacing w:before="62"/>
              <w:ind w:left="135" w:right="117"/>
              <w:rPr>
                <w:b w:val="0"/>
                <w:bCs w:val="0"/>
                <w:color w:val="auto"/>
                <w:u w:val="none"/>
              </w:rPr>
            </w:pPr>
            <w:r>
              <w:rPr>
                <w:b w:val="0"/>
                <w:bCs w:val="0"/>
                <w:color w:val="auto"/>
                <w:u w:val="none"/>
              </w:rPr>
              <w:t>3361</w:t>
            </w:r>
          </w:p>
        </w:tc>
        <w:tc>
          <w:tcPr>
            <w:tcW w:w="736" w:type="pct"/>
            <w:tcBorders>
              <w:top w:val="single" w:color="000000" w:sz="6" w:space="0"/>
              <w:left w:val="single" w:color="000000" w:sz="6" w:space="0"/>
              <w:bottom w:val="single" w:color="000000" w:sz="6" w:space="0"/>
              <w:right w:val="single" w:color="000000" w:sz="6" w:space="0"/>
            </w:tcBorders>
            <w:vAlign w:val="center"/>
          </w:tcPr>
          <w:p w14:paraId="229115EF">
            <w:pPr>
              <w:pStyle w:val="182"/>
              <w:spacing w:before="62"/>
              <w:ind w:left="364" w:right="348"/>
              <w:rPr>
                <w:b w:val="0"/>
                <w:bCs w:val="0"/>
                <w:color w:val="auto"/>
                <w:u w:val="none"/>
              </w:rPr>
            </w:pPr>
            <w:r>
              <w:rPr>
                <w:b w:val="0"/>
                <w:bCs w:val="0"/>
                <w:color w:val="auto"/>
                <w:u w:val="none"/>
              </w:rPr>
              <w:t>-1069</w:t>
            </w:r>
          </w:p>
        </w:tc>
        <w:tc>
          <w:tcPr>
            <w:tcW w:w="734" w:type="pct"/>
            <w:tcBorders>
              <w:top w:val="single" w:color="000000" w:sz="6" w:space="0"/>
              <w:left w:val="single" w:color="000000" w:sz="6" w:space="0"/>
              <w:bottom w:val="single" w:color="000000" w:sz="6" w:space="0"/>
              <w:right w:val="single" w:color="000000" w:sz="6" w:space="0"/>
            </w:tcBorders>
            <w:vAlign w:val="center"/>
          </w:tcPr>
          <w:p w14:paraId="46EF024A">
            <w:pPr>
              <w:pStyle w:val="182"/>
              <w:spacing w:before="48"/>
              <w:ind w:left="133" w:right="120"/>
              <w:rPr>
                <w:b w:val="0"/>
                <w:bCs w:val="0"/>
                <w:color w:val="auto"/>
                <w:u w:val="none"/>
              </w:rPr>
            </w:pPr>
            <w:r>
              <w:rPr>
                <w:b w:val="0"/>
                <w:bCs w:val="0"/>
                <w:color w:val="auto"/>
                <w:u w:val="none"/>
              </w:rPr>
              <w:t>东南</w:t>
            </w:r>
          </w:p>
        </w:tc>
        <w:tc>
          <w:tcPr>
            <w:tcW w:w="642" w:type="pct"/>
            <w:tcBorders>
              <w:top w:val="single" w:color="000000" w:sz="6" w:space="0"/>
              <w:left w:val="single" w:color="000000" w:sz="6" w:space="0"/>
              <w:bottom w:val="single" w:color="000000" w:sz="6" w:space="0"/>
              <w:right w:val="single" w:color="000000" w:sz="6" w:space="0"/>
            </w:tcBorders>
            <w:vAlign w:val="center"/>
          </w:tcPr>
          <w:p w14:paraId="1EF60C72">
            <w:pPr>
              <w:pStyle w:val="182"/>
              <w:spacing w:before="62"/>
              <w:ind w:left="266" w:right="249"/>
              <w:rPr>
                <w:b w:val="0"/>
                <w:bCs w:val="0"/>
                <w:color w:val="auto"/>
                <w:u w:val="none"/>
              </w:rPr>
            </w:pPr>
            <w:r>
              <w:rPr>
                <w:b w:val="0"/>
                <w:bCs w:val="0"/>
                <w:color w:val="auto"/>
                <w:u w:val="none"/>
              </w:rPr>
              <w:t>3214</w:t>
            </w:r>
          </w:p>
        </w:tc>
        <w:tc>
          <w:tcPr>
            <w:tcW w:w="639" w:type="pct"/>
            <w:tcBorders>
              <w:top w:val="single" w:color="000000" w:sz="6" w:space="0"/>
              <w:left w:val="single" w:color="000000" w:sz="6" w:space="0"/>
              <w:bottom w:val="single" w:color="000000" w:sz="6" w:space="0"/>
            </w:tcBorders>
            <w:vAlign w:val="center"/>
          </w:tcPr>
          <w:p w14:paraId="3E46180D">
            <w:pPr>
              <w:pStyle w:val="182"/>
              <w:spacing w:before="62"/>
              <w:ind w:left="186" w:right="164"/>
              <w:rPr>
                <w:b w:val="0"/>
                <w:bCs w:val="0"/>
                <w:color w:val="auto"/>
                <w:u w:val="none"/>
              </w:rPr>
            </w:pPr>
            <w:r>
              <w:rPr>
                <w:b w:val="0"/>
                <w:bCs w:val="0"/>
                <w:color w:val="auto"/>
                <w:u w:val="none"/>
              </w:rPr>
              <w:t>1050</w:t>
            </w:r>
          </w:p>
        </w:tc>
      </w:tr>
      <w:tr w14:paraId="669E2FD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37EC79DA">
            <w:pPr>
              <w:pStyle w:val="182"/>
              <w:spacing w:before="62"/>
              <w:ind w:left="15"/>
              <w:rPr>
                <w:b w:val="0"/>
                <w:bCs w:val="0"/>
                <w:color w:val="auto"/>
                <w:u w:val="none"/>
              </w:rPr>
            </w:pPr>
            <w:r>
              <w:rPr>
                <w:b w:val="0"/>
                <w:bCs w:val="0"/>
                <w:color w:val="auto"/>
                <w:u w:val="none"/>
              </w:rPr>
              <w:t>9</w:t>
            </w:r>
          </w:p>
        </w:tc>
        <w:tc>
          <w:tcPr>
            <w:tcW w:w="1132" w:type="pct"/>
            <w:tcBorders>
              <w:top w:val="single" w:color="000000" w:sz="6" w:space="0"/>
              <w:left w:val="single" w:color="000000" w:sz="6" w:space="0"/>
              <w:bottom w:val="single" w:color="000000" w:sz="6" w:space="0"/>
              <w:right w:val="single" w:color="000000" w:sz="6" w:space="0"/>
            </w:tcBorders>
            <w:vAlign w:val="center"/>
          </w:tcPr>
          <w:p w14:paraId="43EED0A4">
            <w:pPr>
              <w:pStyle w:val="182"/>
              <w:spacing w:before="48"/>
              <w:ind w:left="109" w:right="91"/>
              <w:rPr>
                <w:b w:val="0"/>
                <w:bCs w:val="0"/>
                <w:color w:val="auto"/>
                <w:u w:val="none"/>
              </w:rPr>
            </w:pPr>
            <w:r>
              <w:rPr>
                <w:b w:val="0"/>
                <w:bCs w:val="0"/>
                <w:color w:val="auto"/>
                <w:u w:val="none"/>
              </w:rPr>
              <w:t>获小庄村</w:t>
            </w:r>
          </w:p>
        </w:tc>
        <w:tc>
          <w:tcPr>
            <w:tcW w:w="733" w:type="pct"/>
            <w:tcBorders>
              <w:top w:val="single" w:color="000000" w:sz="6" w:space="0"/>
              <w:left w:val="single" w:color="000000" w:sz="6" w:space="0"/>
              <w:bottom w:val="single" w:color="000000" w:sz="6" w:space="0"/>
              <w:right w:val="single" w:color="000000" w:sz="6" w:space="0"/>
            </w:tcBorders>
            <w:vAlign w:val="center"/>
          </w:tcPr>
          <w:p w14:paraId="048DDED7">
            <w:pPr>
              <w:pStyle w:val="182"/>
              <w:spacing w:before="62"/>
              <w:ind w:left="135" w:right="117"/>
              <w:rPr>
                <w:b w:val="0"/>
                <w:bCs w:val="0"/>
                <w:color w:val="auto"/>
                <w:u w:val="none"/>
              </w:rPr>
            </w:pPr>
            <w:r>
              <w:rPr>
                <w:b w:val="0"/>
                <w:bCs w:val="0"/>
                <w:color w:val="auto"/>
                <w:u w:val="none"/>
              </w:rPr>
              <w:t>-1593</w:t>
            </w:r>
          </w:p>
        </w:tc>
        <w:tc>
          <w:tcPr>
            <w:tcW w:w="736" w:type="pct"/>
            <w:tcBorders>
              <w:top w:val="single" w:color="000000" w:sz="6" w:space="0"/>
              <w:left w:val="single" w:color="000000" w:sz="6" w:space="0"/>
              <w:bottom w:val="single" w:color="000000" w:sz="6" w:space="0"/>
              <w:right w:val="single" w:color="000000" w:sz="6" w:space="0"/>
            </w:tcBorders>
            <w:vAlign w:val="center"/>
          </w:tcPr>
          <w:p w14:paraId="4AE3B5BF">
            <w:pPr>
              <w:pStyle w:val="182"/>
              <w:spacing w:before="62"/>
              <w:ind w:left="364" w:right="348"/>
              <w:rPr>
                <w:b w:val="0"/>
                <w:bCs w:val="0"/>
                <w:color w:val="auto"/>
                <w:u w:val="none"/>
              </w:rPr>
            </w:pPr>
            <w:r>
              <w:rPr>
                <w:b w:val="0"/>
                <w:bCs w:val="0"/>
                <w:color w:val="auto"/>
                <w:u w:val="none"/>
              </w:rPr>
              <w:t>-1320</w:t>
            </w:r>
          </w:p>
        </w:tc>
        <w:tc>
          <w:tcPr>
            <w:tcW w:w="734" w:type="pct"/>
            <w:tcBorders>
              <w:top w:val="single" w:color="000000" w:sz="6" w:space="0"/>
              <w:left w:val="single" w:color="000000" w:sz="6" w:space="0"/>
              <w:bottom w:val="single" w:color="000000" w:sz="6" w:space="0"/>
              <w:right w:val="single" w:color="000000" w:sz="6" w:space="0"/>
            </w:tcBorders>
            <w:vAlign w:val="center"/>
          </w:tcPr>
          <w:p w14:paraId="74C47C50">
            <w:pPr>
              <w:pStyle w:val="182"/>
              <w:spacing w:before="48"/>
              <w:ind w:left="133" w:right="120"/>
              <w:rPr>
                <w:b w:val="0"/>
                <w:bCs w:val="0"/>
                <w:color w:val="auto"/>
                <w:u w:val="none"/>
              </w:rPr>
            </w:pPr>
            <w:r>
              <w:rPr>
                <w:b w:val="0"/>
                <w:bCs w:val="0"/>
                <w:color w:val="auto"/>
                <w:u w:val="none"/>
              </w:rPr>
              <w:t>西南</w:t>
            </w:r>
          </w:p>
        </w:tc>
        <w:tc>
          <w:tcPr>
            <w:tcW w:w="642" w:type="pct"/>
            <w:tcBorders>
              <w:top w:val="single" w:color="000000" w:sz="6" w:space="0"/>
              <w:left w:val="single" w:color="000000" w:sz="6" w:space="0"/>
              <w:bottom w:val="single" w:color="000000" w:sz="6" w:space="0"/>
              <w:right w:val="single" w:color="000000" w:sz="6" w:space="0"/>
            </w:tcBorders>
            <w:vAlign w:val="center"/>
          </w:tcPr>
          <w:p w14:paraId="3C12A7C3">
            <w:pPr>
              <w:pStyle w:val="182"/>
              <w:spacing w:before="62"/>
              <w:ind w:left="266" w:right="249"/>
              <w:rPr>
                <w:rFonts w:hint="default" w:eastAsia="宋体"/>
                <w:b w:val="0"/>
                <w:bCs w:val="0"/>
                <w:color w:val="auto"/>
                <w:u w:val="none"/>
                <w:lang w:val="en-US" w:eastAsia="zh-CN"/>
              </w:rPr>
            </w:pPr>
            <w:r>
              <w:rPr>
                <w:b w:val="0"/>
                <w:bCs w:val="0"/>
                <w:color w:val="auto"/>
                <w:u w:val="none"/>
              </w:rPr>
              <w:t>20</w:t>
            </w:r>
            <w:r>
              <w:rPr>
                <w:rFonts w:hint="eastAsia"/>
                <w:b w:val="0"/>
                <w:bCs w:val="0"/>
                <w:color w:val="auto"/>
                <w:u w:val="none"/>
                <w:lang w:val="en-US" w:eastAsia="zh-CN"/>
              </w:rPr>
              <w:t>59</w:t>
            </w:r>
          </w:p>
        </w:tc>
        <w:tc>
          <w:tcPr>
            <w:tcW w:w="639" w:type="pct"/>
            <w:tcBorders>
              <w:top w:val="single" w:color="000000" w:sz="6" w:space="0"/>
              <w:left w:val="single" w:color="000000" w:sz="6" w:space="0"/>
              <w:bottom w:val="single" w:color="000000" w:sz="6" w:space="0"/>
            </w:tcBorders>
            <w:vAlign w:val="center"/>
          </w:tcPr>
          <w:p w14:paraId="49395DF9">
            <w:pPr>
              <w:pStyle w:val="182"/>
              <w:spacing w:before="62"/>
              <w:ind w:left="186" w:right="164"/>
              <w:rPr>
                <w:b w:val="0"/>
                <w:bCs w:val="0"/>
                <w:color w:val="auto"/>
                <w:u w:val="none"/>
              </w:rPr>
            </w:pPr>
            <w:r>
              <w:rPr>
                <w:b w:val="0"/>
                <w:bCs w:val="0"/>
                <w:color w:val="auto"/>
                <w:u w:val="none"/>
              </w:rPr>
              <w:t>600</w:t>
            </w:r>
          </w:p>
        </w:tc>
      </w:tr>
      <w:tr w14:paraId="3768364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6775B231">
            <w:pPr>
              <w:pStyle w:val="182"/>
              <w:spacing w:before="62"/>
              <w:ind w:left="191" w:right="176"/>
              <w:rPr>
                <w:b w:val="0"/>
                <w:bCs w:val="0"/>
                <w:color w:val="auto"/>
                <w:u w:val="none"/>
              </w:rPr>
            </w:pPr>
            <w:r>
              <w:rPr>
                <w:b w:val="0"/>
                <w:bCs w:val="0"/>
                <w:color w:val="auto"/>
                <w:u w:val="none"/>
              </w:rPr>
              <w:t>10</w:t>
            </w:r>
          </w:p>
        </w:tc>
        <w:tc>
          <w:tcPr>
            <w:tcW w:w="1132" w:type="pct"/>
            <w:tcBorders>
              <w:top w:val="single" w:color="000000" w:sz="6" w:space="0"/>
              <w:left w:val="single" w:color="000000" w:sz="6" w:space="0"/>
              <w:bottom w:val="single" w:color="000000" w:sz="6" w:space="0"/>
              <w:right w:val="single" w:color="000000" w:sz="6" w:space="0"/>
            </w:tcBorders>
            <w:vAlign w:val="center"/>
          </w:tcPr>
          <w:p w14:paraId="63E66247">
            <w:pPr>
              <w:pStyle w:val="182"/>
              <w:spacing w:before="48"/>
              <w:ind w:left="109" w:right="91"/>
              <w:rPr>
                <w:b w:val="0"/>
                <w:bCs w:val="0"/>
                <w:color w:val="auto"/>
                <w:u w:val="none"/>
              </w:rPr>
            </w:pPr>
            <w:r>
              <w:rPr>
                <w:b w:val="0"/>
                <w:bCs w:val="0"/>
                <w:color w:val="auto"/>
                <w:u w:val="none"/>
              </w:rPr>
              <w:t>贾李庄村</w:t>
            </w:r>
          </w:p>
        </w:tc>
        <w:tc>
          <w:tcPr>
            <w:tcW w:w="733" w:type="pct"/>
            <w:tcBorders>
              <w:top w:val="single" w:color="000000" w:sz="6" w:space="0"/>
              <w:left w:val="single" w:color="000000" w:sz="6" w:space="0"/>
              <w:bottom w:val="single" w:color="000000" w:sz="6" w:space="0"/>
              <w:right w:val="single" w:color="000000" w:sz="6" w:space="0"/>
            </w:tcBorders>
            <w:vAlign w:val="center"/>
          </w:tcPr>
          <w:p w14:paraId="68743654">
            <w:pPr>
              <w:pStyle w:val="182"/>
              <w:spacing w:before="62"/>
              <w:ind w:left="135" w:right="117"/>
              <w:rPr>
                <w:b w:val="0"/>
                <w:bCs w:val="0"/>
                <w:color w:val="auto"/>
                <w:u w:val="none"/>
              </w:rPr>
            </w:pPr>
            <w:r>
              <w:rPr>
                <w:b w:val="0"/>
                <w:bCs w:val="0"/>
                <w:color w:val="auto"/>
                <w:u w:val="none"/>
              </w:rPr>
              <w:t>-2832</w:t>
            </w:r>
          </w:p>
        </w:tc>
        <w:tc>
          <w:tcPr>
            <w:tcW w:w="736" w:type="pct"/>
            <w:tcBorders>
              <w:top w:val="single" w:color="000000" w:sz="6" w:space="0"/>
              <w:left w:val="single" w:color="000000" w:sz="6" w:space="0"/>
              <w:bottom w:val="single" w:color="000000" w:sz="6" w:space="0"/>
              <w:right w:val="single" w:color="000000" w:sz="6" w:space="0"/>
            </w:tcBorders>
            <w:vAlign w:val="center"/>
          </w:tcPr>
          <w:p w14:paraId="19354F82">
            <w:pPr>
              <w:pStyle w:val="182"/>
              <w:spacing w:before="62"/>
              <w:ind w:left="364" w:right="348"/>
              <w:rPr>
                <w:b w:val="0"/>
                <w:bCs w:val="0"/>
                <w:color w:val="auto"/>
                <w:u w:val="none"/>
              </w:rPr>
            </w:pPr>
            <w:r>
              <w:rPr>
                <w:b w:val="0"/>
                <w:bCs w:val="0"/>
                <w:color w:val="auto"/>
                <w:u w:val="none"/>
              </w:rPr>
              <w:t>-1736</w:t>
            </w:r>
          </w:p>
        </w:tc>
        <w:tc>
          <w:tcPr>
            <w:tcW w:w="734" w:type="pct"/>
            <w:tcBorders>
              <w:top w:val="single" w:color="000000" w:sz="6" w:space="0"/>
              <w:left w:val="single" w:color="000000" w:sz="6" w:space="0"/>
              <w:bottom w:val="single" w:color="000000" w:sz="6" w:space="0"/>
              <w:right w:val="single" w:color="000000" w:sz="6" w:space="0"/>
            </w:tcBorders>
            <w:vAlign w:val="center"/>
          </w:tcPr>
          <w:p w14:paraId="65C97B2D">
            <w:pPr>
              <w:pStyle w:val="182"/>
              <w:spacing w:before="48"/>
              <w:ind w:left="133" w:right="120"/>
              <w:rPr>
                <w:b w:val="0"/>
                <w:bCs w:val="0"/>
                <w:color w:val="auto"/>
                <w:u w:val="none"/>
              </w:rPr>
            </w:pPr>
            <w:r>
              <w:rPr>
                <w:b w:val="0"/>
                <w:bCs w:val="0"/>
                <w:color w:val="auto"/>
                <w:u w:val="none"/>
              </w:rPr>
              <w:t>西南</w:t>
            </w:r>
          </w:p>
        </w:tc>
        <w:tc>
          <w:tcPr>
            <w:tcW w:w="642" w:type="pct"/>
            <w:tcBorders>
              <w:top w:val="single" w:color="000000" w:sz="6" w:space="0"/>
              <w:left w:val="single" w:color="000000" w:sz="6" w:space="0"/>
              <w:bottom w:val="single" w:color="000000" w:sz="6" w:space="0"/>
              <w:right w:val="single" w:color="000000" w:sz="6" w:space="0"/>
            </w:tcBorders>
            <w:vAlign w:val="center"/>
          </w:tcPr>
          <w:p w14:paraId="6DEB8CCF">
            <w:pPr>
              <w:pStyle w:val="182"/>
              <w:spacing w:before="62"/>
              <w:ind w:left="266" w:right="249"/>
              <w:rPr>
                <w:b w:val="0"/>
                <w:bCs w:val="0"/>
                <w:color w:val="auto"/>
                <w:u w:val="none"/>
              </w:rPr>
            </w:pPr>
            <w:r>
              <w:rPr>
                <w:b w:val="0"/>
                <w:bCs w:val="0"/>
                <w:color w:val="auto"/>
                <w:u w:val="none"/>
              </w:rPr>
              <w:t>3360</w:t>
            </w:r>
          </w:p>
        </w:tc>
        <w:tc>
          <w:tcPr>
            <w:tcW w:w="639" w:type="pct"/>
            <w:tcBorders>
              <w:top w:val="single" w:color="000000" w:sz="6" w:space="0"/>
              <w:left w:val="single" w:color="000000" w:sz="6" w:space="0"/>
              <w:bottom w:val="single" w:color="000000" w:sz="6" w:space="0"/>
            </w:tcBorders>
            <w:vAlign w:val="center"/>
          </w:tcPr>
          <w:p w14:paraId="0AE68C0A">
            <w:pPr>
              <w:pStyle w:val="182"/>
              <w:spacing w:before="62"/>
              <w:ind w:left="186" w:right="164"/>
              <w:rPr>
                <w:b w:val="0"/>
                <w:bCs w:val="0"/>
                <w:color w:val="auto"/>
                <w:u w:val="none"/>
              </w:rPr>
            </w:pPr>
            <w:r>
              <w:rPr>
                <w:b w:val="0"/>
                <w:bCs w:val="0"/>
                <w:color w:val="auto"/>
                <w:u w:val="none"/>
              </w:rPr>
              <w:t>400</w:t>
            </w:r>
          </w:p>
        </w:tc>
      </w:tr>
      <w:tr w14:paraId="0E11424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0D2CCDFC">
            <w:pPr>
              <w:pStyle w:val="182"/>
              <w:spacing w:before="62"/>
              <w:ind w:left="191" w:right="176"/>
              <w:rPr>
                <w:b w:val="0"/>
                <w:bCs w:val="0"/>
                <w:color w:val="auto"/>
                <w:u w:val="none"/>
              </w:rPr>
            </w:pPr>
            <w:r>
              <w:rPr>
                <w:b w:val="0"/>
                <w:bCs w:val="0"/>
                <w:color w:val="auto"/>
                <w:u w:val="none"/>
              </w:rPr>
              <w:t>11</w:t>
            </w:r>
          </w:p>
        </w:tc>
        <w:tc>
          <w:tcPr>
            <w:tcW w:w="1132" w:type="pct"/>
            <w:tcBorders>
              <w:top w:val="single" w:color="000000" w:sz="6" w:space="0"/>
              <w:left w:val="single" w:color="000000" w:sz="6" w:space="0"/>
              <w:bottom w:val="single" w:color="000000" w:sz="6" w:space="0"/>
              <w:right w:val="single" w:color="000000" w:sz="6" w:space="0"/>
            </w:tcBorders>
            <w:vAlign w:val="center"/>
          </w:tcPr>
          <w:p w14:paraId="7F872DAB">
            <w:pPr>
              <w:pStyle w:val="182"/>
              <w:spacing w:before="48"/>
              <w:ind w:left="109" w:right="91"/>
              <w:rPr>
                <w:b w:val="0"/>
                <w:bCs w:val="0"/>
                <w:color w:val="auto"/>
                <w:u w:val="none"/>
              </w:rPr>
            </w:pPr>
            <w:r>
              <w:rPr>
                <w:b w:val="0"/>
                <w:bCs w:val="0"/>
                <w:color w:val="auto"/>
                <w:u w:val="none"/>
              </w:rPr>
              <w:t>张兴庄村</w:t>
            </w:r>
          </w:p>
        </w:tc>
        <w:tc>
          <w:tcPr>
            <w:tcW w:w="733" w:type="pct"/>
            <w:tcBorders>
              <w:top w:val="single" w:color="000000" w:sz="6" w:space="0"/>
              <w:left w:val="single" w:color="000000" w:sz="6" w:space="0"/>
              <w:bottom w:val="single" w:color="000000" w:sz="6" w:space="0"/>
              <w:right w:val="single" w:color="000000" w:sz="6" w:space="0"/>
            </w:tcBorders>
            <w:vAlign w:val="center"/>
          </w:tcPr>
          <w:p w14:paraId="1AF8D5E5">
            <w:pPr>
              <w:pStyle w:val="182"/>
              <w:spacing w:before="62"/>
              <w:ind w:left="135" w:right="117"/>
              <w:rPr>
                <w:b w:val="0"/>
                <w:bCs w:val="0"/>
                <w:color w:val="auto"/>
                <w:u w:val="none"/>
              </w:rPr>
            </w:pPr>
            <w:r>
              <w:rPr>
                <w:b w:val="0"/>
                <w:bCs w:val="0"/>
                <w:color w:val="auto"/>
                <w:u w:val="none"/>
              </w:rPr>
              <w:t>-1410</w:t>
            </w:r>
          </w:p>
        </w:tc>
        <w:tc>
          <w:tcPr>
            <w:tcW w:w="736" w:type="pct"/>
            <w:tcBorders>
              <w:top w:val="single" w:color="000000" w:sz="6" w:space="0"/>
              <w:left w:val="single" w:color="000000" w:sz="6" w:space="0"/>
              <w:bottom w:val="single" w:color="000000" w:sz="6" w:space="0"/>
              <w:right w:val="single" w:color="000000" w:sz="6" w:space="0"/>
            </w:tcBorders>
            <w:vAlign w:val="center"/>
          </w:tcPr>
          <w:p w14:paraId="2A50DF92">
            <w:pPr>
              <w:pStyle w:val="182"/>
              <w:spacing w:before="62"/>
              <w:ind w:left="364" w:right="345"/>
              <w:rPr>
                <w:b w:val="0"/>
                <w:bCs w:val="0"/>
                <w:color w:val="auto"/>
                <w:u w:val="none"/>
              </w:rPr>
            </w:pPr>
            <w:r>
              <w:rPr>
                <w:b w:val="0"/>
                <w:bCs w:val="0"/>
                <w:color w:val="auto"/>
                <w:u w:val="none"/>
              </w:rPr>
              <w:t>852</w:t>
            </w:r>
          </w:p>
        </w:tc>
        <w:tc>
          <w:tcPr>
            <w:tcW w:w="734" w:type="pct"/>
            <w:tcBorders>
              <w:top w:val="single" w:color="000000" w:sz="6" w:space="0"/>
              <w:left w:val="single" w:color="000000" w:sz="6" w:space="0"/>
              <w:bottom w:val="single" w:color="000000" w:sz="6" w:space="0"/>
              <w:right w:val="single" w:color="000000" w:sz="6" w:space="0"/>
            </w:tcBorders>
            <w:vAlign w:val="center"/>
          </w:tcPr>
          <w:p w14:paraId="0E1D7861">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6DCAF92B">
            <w:pPr>
              <w:pStyle w:val="182"/>
              <w:spacing w:before="62"/>
              <w:ind w:left="266" w:right="249"/>
              <w:rPr>
                <w:b w:val="0"/>
                <w:bCs w:val="0"/>
                <w:color w:val="auto"/>
                <w:u w:val="none"/>
              </w:rPr>
            </w:pPr>
            <w:r>
              <w:rPr>
                <w:b w:val="0"/>
                <w:bCs w:val="0"/>
                <w:color w:val="auto"/>
                <w:u w:val="none"/>
              </w:rPr>
              <w:t>1450</w:t>
            </w:r>
          </w:p>
        </w:tc>
        <w:tc>
          <w:tcPr>
            <w:tcW w:w="639" w:type="pct"/>
            <w:tcBorders>
              <w:top w:val="single" w:color="000000" w:sz="6" w:space="0"/>
              <w:left w:val="single" w:color="000000" w:sz="6" w:space="0"/>
              <w:bottom w:val="single" w:color="000000" w:sz="6" w:space="0"/>
            </w:tcBorders>
            <w:vAlign w:val="center"/>
          </w:tcPr>
          <w:p w14:paraId="3A2520DB">
            <w:pPr>
              <w:pStyle w:val="182"/>
              <w:spacing w:before="62"/>
              <w:ind w:left="186" w:right="164"/>
              <w:rPr>
                <w:b w:val="0"/>
                <w:bCs w:val="0"/>
                <w:color w:val="auto"/>
                <w:u w:val="none"/>
              </w:rPr>
            </w:pPr>
            <w:r>
              <w:rPr>
                <w:b w:val="0"/>
                <w:bCs w:val="0"/>
                <w:color w:val="auto"/>
                <w:u w:val="none"/>
              </w:rPr>
              <w:t>398</w:t>
            </w:r>
          </w:p>
        </w:tc>
      </w:tr>
      <w:tr w14:paraId="7613D12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3F3081ED">
            <w:pPr>
              <w:pStyle w:val="182"/>
              <w:spacing w:before="62"/>
              <w:ind w:left="191" w:right="176"/>
              <w:rPr>
                <w:b w:val="0"/>
                <w:bCs w:val="0"/>
                <w:color w:val="auto"/>
                <w:u w:val="none"/>
              </w:rPr>
            </w:pPr>
            <w:r>
              <w:rPr>
                <w:b w:val="0"/>
                <w:bCs w:val="0"/>
                <w:color w:val="auto"/>
                <w:u w:val="none"/>
              </w:rPr>
              <w:t>12</w:t>
            </w:r>
          </w:p>
        </w:tc>
        <w:tc>
          <w:tcPr>
            <w:tcW w:w="1132" w:type="pct"/>
            <w:tcBorders>
              <w:top w:val="single" w:color="000000" w:sz="6" w:space="0"/>
              <w:left w:val="single" w:color="000000" w:sz="6" w:space="0"/>
              <w:bottom w:val="single" w:color="000000" w:sz="6" w:space="0"/>
              <w:right w:val="single" w:color="000000" w:sz="6" w:space="0"/>
            </w:tcBorders>
            <w:vAlign w:val="center"/>
          </w:tcPr>
          <w:p w14:paraId="024CF505">
            <w:pPr>
              <w:pStyle w:val="182"/>
              <w:spacing w:before="48"/>
              <w:ind w:left="109" w:right="91"/>
              <w:rPr>
                <w:b w:val="0"/>
                <w:bCs w:val="0"/>
                <w:color w:val="auto"/>
                <w:u w:val="none"/>
              </w:rPr>
            </w:pPr>
            <w:r>
              <w:rPr>
                <w:b w:val="0"/>
                <w:bCs w:val="0"/>
                <w:color w:val="auto"/>
                <w:u w:val="none"/>
              </w:rPr>
              <w:t>魏堤社区</w:t>
            </w:r>
          </w:p>
        </w:tc>
        <w:tc>
          <w:tcPr>
            <w:tcW w:w="733" w:type="pct"/>
            <w:tcBorders>
              <w:top w:val="single" w:color="000000" w:sz="6" w:space="0"/>
              <w:left w:val="single" w:color="000000" w:sz="6" w:space="0"/>
              <w:bottom w:val="single" w:color="000000" w:sz="6" w:space="0"/>
              <w:right w:val="single" w:color="000000" w:sz="6" w:space="0"/>
            </w:tcBorders>
            <w:vAlign w:val="center"/>
          </w:tcPr>
          <w:p w14:paraId="27031A99">
            <w:pPr>
              <w:pStyle w:val="182"/>
              <w:spacing w:before="62"/>
              <w:ind w:left="135" w:right="117"/>
              <w:rPr>
                <w:b w:val="0"/>
                <w:bCs w:val="0"/>
                <w:color w:val="auto"/>
                <w:u w:val="none"/>
              </w:rPr>
            </w:pPr>
            <w:r>
              <w:rPr>
                <w:b w:val="0"/>
                <w:bCs w:val="0"/>
                <w:color w:val="auto"/>
                <w:u w:val="none"/>
              </w:rPr>
              <w:t>-1645</w:t>
            </w:r>
          </w:p>
        </w:tc>
        <w:tc>
          <w:tcPr>
            <w:tcW w:w="736" w:type="pct"/>
            <w:tcBorders>
              <w:top w:val="single" w:color="000000" w:sz="6" w:space="0"/>
              <w:left w:val="single" w:color="000000" w:sz="6" w:space="0"/>
              <w:bottom w:val="single" w:color="000000" w:sz="6" w:space="0"/>
              <w:right w:val="single" w:color="000000" w:sz="6" w:space="0"/>
            </w:tcBorders>
            <w:vAlign w:val="center"/>
          </w:tcPr>
          <w:p w14:paraId="09EF965E">
            <w:pPr>
              <w:pStyle w:val="182"/>
              <w:spacing w:before="62"/>
              <w:ind w:left="364" w:right="345"/>
              <w:rPr>
                <w:b w:val="0"/>
                <w:bCs w:val="0"/>
                <w:color w:val="auto"/>
                <w:u w:val="none"/>
              </w:rPr>
            </w:pPr>
            <w:r>
              <w:rPr>
                <w:b w:val="0"/>
                <w:bCs w:val="0"/>
                <w:color w:val="auto"/>
                <w:u w:val="none"/>
              </w:rPr>
              <w:t>654</w:t>
            </w:r>
          </w:p>
        </w:tc>
        <w:tc>
          <w:tcPr>
            <w:tcW w:w="734" w:type="pct"/>
            <w:tcBorders>
              <w:top w:val="single" w:color="000000" w:sz="6" w:space="0"/>
              <w:left w:val="single" w:color="000000" w:sz="6" w:space="0"/>
              <w:bottom w:val="single" w:color="000000" w:sz="6" w:space="0"/>
              <w:right w:val="single" w:color="000000" w:sz="6" w:space="0"/>
            </w:tcBorders>
            <w:vAlign w:val="center"/>
          </w:tcPr>
          <w:p w14:paraId="0D18C290">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50FDD7FD">
            <w:pPr>
              <w:pStyle w:val="182"/>
              <w:bidi w:val="0"/>
              <w:ind w:firstLine="0" w:firstLineChars="0"/>
              <w:rPr>
                <w:rFonts w:hint="default"/>
                <w:b w:val="0"/>
                <w:bCs w:val="0"/>
                <w:color w:val="auto"/>
                <w:u w:val="none"/>
                <w:lang w:val="en-US" w:eastAsia="zh-CN"/>
              </w:rPr>
            </w:pPr>
            <w:r>
              <w:rPr>
                <w:rFonts w:hint="eastAsia"/>
                <w:b w:val="0"/>
                <w:bCs w:val="0"/>
                <w:color w:val="auto"/>
                <w:u w:val="none"/>
                <w:lang w:val="en-US" w:eastAsia="zh-CN"/>
              </w:rPr>
              <w:t>1126</w:t>
            </w:r>
          </w:p>
        </w:tc>
        <w:tc>
          <w:tcPr>
            <w:tcW w:w="639" w:type="pct"/>
            <w:tcBorders>
              <w:top w:val="single" w:color="000000" w:sz="6" w:space="0"/>
              <w:left w:val="single" w:color="000000" w:sz="6" w:space="0"/>
              <w:bottom w:val="single" w:color="000000" w:sz="6" w:space="0"/>
            </w:tcBorders>
            <w:vAlign w:val="center"/>
          </w:tcPr>
          <w:p w14:paraId="68AD8D2C">
            <w:pPr>
              <w:pStyle w:val="182"/>
              <w:spacing w:before="62"/>
              <w:ind w:left="186" w:right="164"/>
              <w:rPr>
                <w:b w:val="0"/>
                <w:bCs w:val="0"/>
                <w:color w:val="auto"/>
                <w:u w:val="none"/>
              </w:rPr>
            </w:pPr>
            <w:r>
              <w:rPr>
                <w:b w:val="0"/>
                <w:bCs w:val="0"/>
                <w:color w:val="auto"/>
                <w:u w:val="none"/>
              </w:rPr>
              <w:t>280</w:t>
            </w:r>
          </w:p>
        </w:tc>
      </w:tr>
      <w:tr w14:paraId="57D9249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273A6096">
            <w:pPr>
              <w:pStyle w:val="182"/>
              <w:spacing w:before="62"/>
              <w:ind w:left="191" w:right="176"/>
              <w:rPr>
                <w:b w:val="0"/>
                <w:bCs w:val="0"/>
                <w:color w:val="auto"/>
                <w:u w:val="none"/>
              </w:rPr>
            </w:pPr>
            <w:r>
              <w:rPr>
                <w:b w:val="0"/>
                <w:bCs w:val="0"/>
                <w:color w:val="auto"/>
                <w:u w:val="none"/>
              </w:rPr>
              <w:t>13</w:t>
            </w:r>
          </w:p>
        </w:tc>
        <w:tc>
          <w:tcPr>
            <w:tcW w:w="1132" w:type="pct"/>
            <w:tcBorders>
              <w:top w:val="single" w:color="000000" w:sz="6" w:space="0"/>
              <w:left w:val="single" w:color="000000" w:sz="6" w:space="0"/>
              <w:bottom w:val="single" w:color="000000" w:sz="6" w:space="0"/>
              <w:right w:val="single" w:color="000000" w:sz="6" w:space="0"/>
            </w:tcBorders>
            <w:vAlign w:val="center"/>
          </w:tcPr>
          <w:p w14:paraId="1DC6D7D1">
            <w:pPr>
              <w:pStyle w:val="182"/>
              <w:spacing w:before="48"/>
              <w:ind w:left="109" w:right="91"/>
              <w:rPr>
                <w:b w:val="0"/>
                <w:bCs w:val="0"/>
                <w:color w:val="auto"/>
                <w:u w:val="none"/>
              </w:rPr>
            </w:pPr>
            <w:r>
              <w:rPr>
                <w:b w:val="0"/>
                <w:bCs w:val="0"/>
                <w:color w:val="auto"/>
                <w:u w:val="none"/>
              </w:rPr>
              <w:t>冯堤社区</w:t>
            </w:r>
          </w:p>
        </w:tc>
        <w:tc>
          <w:tcPr>
            <w:tcW w:w="733" w:type="pct"/>
            <w:tcBorders>
              <w:top w:val="single" w:color="000000" w:sz="6" w:space="0"/>
              <w:left w:val="single" w:color="000000" w:sz="6" w:space="0"/>
              <w:bottom w:val="single" w:color="000000" w:sz="6" w:space="0"/>
              <w:right w:val="single" w:color="000000" w:sz="6" w:space="0"/>
            </w:tcBorders>
            <w:vAlign w:val="center"/>
          </w:tcPr>
          <w:p w14:paraId="482CFD43">
            <w:pPr>
              <w:pStyle w:val="182"/>
              <w:spacing w:before="62"/>
              <w:ind w:left="135" w:right="117"/>
              <w:rPr>
                <w:b w:val="0"/>
                <w:bCs w:val="0"/>
                <w:color w:val="auto"/>
                <w:u w:val="none"/>
              </w:rPr>
            </w:pPr>
            <w:r>
              <w:rPr>
                <w:b w:val="0"/>
                <w:bCs w:val="0"/>
                <w:color w:val="auto"/>
                <w:u w:val="none"/>
              </w:rPr>
              <w:t>-1473</w:t>
            </w:r>
          </w:p>
        </w:tc>
        <w:tc>
          <w:tcPr>
            <w:tcW w:w="736" w:type="pct"/>
            <w:tcBorders>
              <w:top w:val="single" w:color="000000" w:sz="6" w:space="0"/>
              <w:left w:val="single" w:color="000000" w:sz="6" w:space="0"/>
              <w:bottom w:val="single" w:color="000000" w:sz="6" w:space="0"/>
              <w:right w:val="single" w:color="000000" w:sz="6" w:space="0"/>
            </w:tcBorders>
            <w:vAlign w:val="center"/>
          </w:tcPr>
          <w:p w14:paraId="11A646E4">
            <w:pPr>
              <w:pStyle w:val="182"/>
              <w:spacing w:before="62"/>
              <w:ind w:left="364" w:right="345"/>
              <w:rPr>
                <w:b w:val="0"/>
                <w:bCs w:val="0"/>
                <w:color w:val="auto"/>
                <w:u w:val="none"/>
              </w:rPr>
            </w:pPr>
            <w:r>
              <w:rPr>
                <w:b w:val="0"/>
                <w:bCs w:val="0"/>
                <w:color w:val="auto"/>
                <w:u w:val="none"/>
              </w:rPr>
              <w:t>638</w:t>
            </w:r>
          </w:p>
        </w:tc>
        <w:tc>
          <w:tcPr>
            <w:tcW w:w="734" w:type="pct"/>
            <w:tcBorders>
              <w:top w:val="single" w:color="000000" w:sz="6" w:space="0"/>
              <w:left w:val="single" w:color="000000" w:sz="6" w:space="0"/>
              <w:bottom w:val="single" w:color="000000" w:sz="6" w:space="0"/>
              <w:right w:val="single" w:color="000000" w:sz="6" w:space="0"/>
            </w:tcBorders>
            <w:vAlign w:val="center"/>
          </w:tcPr>
          <w:p w14:paraId="397AE631">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0C14C7C4">
            <w:pPr>
              <w:pStyle w:val="182"/>
              <w:bidi w:val="0"/>
              <w:ind w:firstLine="0" w:firstLineChars="0"/>
              <w:rPr>
                <w:rFonts w:hint="default"/>
                <w:b w:val="0"/>
                <w:bCs w:val="0"/>
                <w:color w:val="auto"/>
                <w:u w:val="none"/>
                <w:lang w:val="en-US" w:eastAsia="zh-CN"/>
              </w:rPr>
            </w:pPr>
            <w:r>
              <w:rPr>
                <w:rFonts w:hint="eastAsia"/>
                <w:b w:val="0"/>
                <w:bCs w:val="0"/>
                <w:color w:val="auto"/>
                <w:u w:val="none"/>
                <w:lang w:val="en-US" w:eastAsia="zh-CN"/>
              </w:rPr>
              <w:t>1263</w:t>
            </w:r>
          </w:p>
        </w:tc>
        <w:tc>
          <w:tcPr>
            <w:tcW w:w="639" w:type="pct"/>
            <w:tcBorders>
              <w:top w:val="single" w:color="000000" w:sz="6" w:space="0"/>
              <w:left w:val="single" w:color="000000" w:sz="6" w:space="0"/>
              <w:bottom w:val="single" w:color="000000" w:sz="6" w:space="0"/>
            </w:tcBorders>
            <w:vAlign w:val="center"/>
          </w:tcPr>
          <w:p w14:paraId="4AD426FC">
            <w:pPr>
              <w:pStyle w:val="182"/>
              <w:spacing w:before="62"/>
              <w:ind w:left="186" w:right="164"/>
              <w:rPr>
                <w:b w:val="0"/>
                <w:bCs w:val="0"/>
                <w:color w:val="auto"/>
                <w:u w:val="none"/>
              </w:rPr>
            </w:pPr>
            <w:r>
              <w:rPr>
                <w:b w:val="0"/>
                <w:bCs w:val="0"/>
                <w:color w:val="auto"/>
                <w:u w:val="none"/>
              </w:rPr>
              <w:t>320</w:t>
            </w:r>
          </w:p>
        </w:tc>
      </w:tr>
      <w:tr w14:paraId="33ADB55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481BD081">
            <w:pPr>
              <w:pStyle w:val="182"/>
              <w:spacing w:before="62"/>
              <w:ind w:left="191" w:right="176"/>
              <w:rPr>
                <w:b w:val="0"/>
                <w:bCs w:val="0"/>
                <w:color w:val="auto"/>
                <w:u w:val="none"/>
              </w:rPr>
            </w:pPr>
            <w:r>
              <w:rPr>
                <w:b w:val="0"/>
                <w:bCs w:val="0"/>
                <w:color w:val="auto"/>
                <w:u w:val="none"/>
              </w:rPr>
              <w:t>14</w:t>
            </w:r>
          </w:p>
        </w:tc>
        <w:tc>
          <w:tcPr>
            <w:tcW w:w="1132" w:type="pct"/>
            <w:tcBorders>
              <w:top w:val="single" w:color="000000" w:sz="6" w:space="0"/>
              <w:left w:val="single" w:color="000000" w:sz="6" w:space="0"/>
              <w:bottom w:val="single" w:color="000000" w:sz="6" w:space="0"/>
              <w:right w:val="single" w:color="000000" w:sz="6" w:space="0"/>
            </w:tcBorders>
            <w:vAlign w:val="center"/>
          </w:tcPr>
          <w:p w14:paraId="014F8565">
            <w:pPr>
              <w:pStyle w:val="182"/>
              <w:spacing w:before="48"/>
              <w:ind w:left="109" w:right="91"/>
              <w:rPr>
                <w:b w:val="0"/>
                <w:bCs w:val="0"/>
                <w:color w:val="auto"/>
                <w:u w:val="none"/>
              </w:rPr>
            </w:pPr>
            <w:r>
              <w:rPr>
                <w:b w:val="0"/>
                <w:bCs w:val="0"/>
                <w:color w:val="auto"/>
                <w:u w:val="none"/>
              </w:rPr>
              <w:t>樊李社区</w:t>
            </w:r>
          </w:p>
        </w:tc>
        <w:tc>
          <w:tcPr>
            <w:tcW w:w="733" w:type="pct"/>
            <w:tcBorders>
              <w:top w:val="single" w:color="000000" w:sz="6" w:space="0"/>
              <w:left w:val="single" w:color="000000" w:sz="6" w:space="0"/>
              <w:bottom w:val="single" w:color="000000" w:sz="6" w:space="0"/>
              <w:right w:val="single" w:color="000000" w:sz="6" w:space="0"/>
            </w:tcBorders>
            <w:vAlign w:val="center"/>
          </w:tcPr>
          <w:p w14:paraId="18B306E8">
            <w:pPr>
              <w:pStyle w:val="182"/>
              <w:spacing w:before="62"/>
              <w:ind w:left="135" w:right="117"/>
              <w:rPr>
                <w:b w:val="0"/>
                <w:bCs w:val="0"/>
                <w:color w:val="auto"/>
                <w:u w:val="none"/>
              </w:rPr>
            </w:pPr>
            <w:r>
              <w:rPr>
                <w:b w:val="0"/>
                <w:bCs w:val="0"/>
                <w:color w:val="auto"/>
                <w:u w:val="none"/>
              </w:rPr>
              <w:t>-1620</w:t>
            </w:r>
          </w:p>
        </w:tc>
        <w:tc>
          <w:tcPr>
            <w:tcW w:w="736" w:type="pct"/>
            <w:tcBorders>
              <w:top w:val="single" w:color="000000" w:sz="6" w:space="0"/>
              <w:left w:val="single" w:color="000000" w:sz="6" w:space="0"/>
              <w:bottom w:val="single" w:color="000000" w:sz="6" w:space="0"/>
              <w:right w:val="single" w:color="000000" w:sz="6" w:space="0"/>
            </w:tcBorders>
            <w:vAlign w:val="center"/>
          </w:tcPr>
          <w:p w14:paraId="7501BCE9">
            <w:pPr>
              <w:pStyle w:val="182"/>
              <w:spacing w:before="62"/>
              <w:ind w:left="364" w:right="345"/>
              <w:rPr>
                <w:b w:val="0"/>
                <w:bCs w:val="0"/>
                <w:color w:val="auto"/>
                <w:u w:val="none"/>
              </w:rPr>
            </w:pPr>
            <w:r>
              <w:rPr>
                <w:b w:val="0"/>
                <w:bCs w:val="0"/>
                <w:color w:val="auto"/>
                <w:u w:val="none"/>
              </w:rPr>
              <w:t>1526</w:t>
            </w:r>
          </w:p>
        </w:tc>
        <w:tc>
          <w:tcPr>
            <w:tcW w:w="734" w:type="pct"/>
            <w:tcBorders>
              <w:top w:val="single" w:color="000000" w:sz="6" w:space="0"/>
              <w:left w:val="single" w:color="000000" w:sz="6" w:space="0"/>
              <w:bottom w:val="single" w:color="000000" w:sz="6" w:space="0"/>
              <w:right w:val="single" w:color="000000" w:sz="6" w:space="0"/>
            </w:tcBorders>
            <w:vAlign w:val="center"/>
          </w:tcPr>
          <w:p w14:paraId="617063F5">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5F6F4D1A">
            <w:pPr>
              <w:pStyle w:val="182"/>
              <w:bidi w:val="0"/>
              <w:ind w:firstLine="0" w:firstLineChars="0"/>
              <w:rPr>
                <w:b w:val="0"/>
                <w:bCs w:val="0"/>
                <w:color w:val="auto"/>
                <w:u w:val="none"/>
              </w:rPr>
            </w:pPr>
            <w:r>
              <w:rPr>
                <w:rFonts w:hint="eastAsia"/>
                <w:b w:val="0"/>
                <w:bCs w:val="0"/>
                <w:color w:val="auto"/>
                <w:u w:val="none"/>
                <w:lang w:val="en-US" w:eastAsia="zh-CN"/>
              </w:rPr>
              <w:t>2010</w:t>
            </w:r>
          </w:p>
        </w:tc>
        <w:tc>
          <w:tcPr>
            <w:tcW w:w="639" w:type="pct"/>
            <w:tcBorders>
              <w:top w:val="single" w:color="000000" w:sz="6" w:space="0"/>
              <w:left w:val="single" w:color="000000" w:sz="6" w:space="0"/>
              <w:bottom w:val="single" w:color="000000" w:sz="6" w:space="0"/>
            </w:tcBorders>
            <w:vAlign w:val="center"/>
          </w:tcPr>
          <w:p w14:paraId="7245B94A">
            <w:pPr>
              <w:pStyle w:val="182"/>
              <w:spacing w:before="62"/>
              <w:ind w:left="186" w:right="164"/>
              <w:rPr>
                <w:b w:val="0"/>
                <w:bCs w:val="0"/>
                <w:color w:val="auto"/>
                <w:u w:val="none"/>
              </w:rPr>
            </w:pPr>
            <w:r>
              <w:rPr>
                <w:b w:val="0"/>
                <w:bCs w:val="0"/>
                <w:color w:val="auto"/>
                <w:u w:val="none"/>
              </w:rPr>
              <w:t>560</w:t>
            </w:r>
          </w:p>
        </w:tc>
      </w:tr>
      <w:tr w14:paraId="19595F3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3050EF19">
            <w:pPr>
              <w:pStyle w:val="182"/>
              <w:spacing w:before="62"/>
              <w:ind w:left="191" w:right="176"/>
              <w:rPr>
                <w:b w:val="0"/>
                <w:bCs w:val="0"/>
                <w:color w:val="auto"/>
                <w:u w:val="none"/>
              </w:rPr>
            </w:pPr>
            <w:r>
              <w:rPr>
                <w:b w:val="0"/>
                <w:bCs w:val="0"/>
                <w:color w:val="auto"/>
                <w:u w:val="none"/>
              </w:rPr>
              <w:t>15</w:t>
            </w:r>
          </w:p>
        </w:tc>
        <w:tc>
          <w:tcPr>
            <w:tcW w:w="1132" w:type="pct"/>
            <w:tcBorders>
              <w:top w:val="single" w:color="000000" w:sz="6" w:space="0"/>
              <w:left w:val="single" w:color="000000" w:sz="6" w:space="0"/>
              <w:bottom w:val="single" w:color="000000" w:sz="6" w:space="0"/>
              <w:right w:val="single" w:color="000000" w:sz="6" w:space="0"/>
            </w:tcBorders>
            <w:vAlign w:val="center"/>
          </w:tcPr>
          <w:p w14:paraId="301B01BF">
            <w:pPr>
              <w:pStyle w:val="182"/>
              <w:spacing w:before="48"/>
              <w:ind w:left="107" w:right="91"/>
              <w:rPr>
                <w:b w:val="0"/>
                <w:bCs w:val="0"/>
                <w:color w:val="auto"/>
                <w:u w:val="none"/>
              </w:rPr>
            </w:pPr>
            <w:r>
              <w:rPr>
                <w:b w:val="0"/>
                <w:bCs w:val="0"/>
                <w:color w:val="auto"/>
                <w:u w:val="none"/>
              </w:rPr>
              <w:t>格林小镇北区</w:t>
            </w:r>
          </w:p>
        </w:tc>
        <w:tc>
          <w:tcPr>
            <w:tcW w:w="733" w:type="pct"/>
            <w:tcBorders>
              <w:top w:val="single" w:color="000000" w:sz="6" w:space="0"/>
              <w:left w:val="single" w:color="000000" w:sz="6" w:space="0"/>
              <w:bottom w:val="single" w:color="000000" w:sz="6" w:space="0"/>
              <w:right w:val="single" w:color="000000" w:sz="6" w:space="0"/>
            </w:tcBorders>
            <w:vAlign w:val="center"/>
          </w:tcPr>
          <w:p w14:paraId="10FB2544">
            <w:pPr>
              <w:pStyle w:val="182"/>
              <w:spacing w:before="62"/>
              <w:ind w:left="135" w:right="117"/>
              <w:rPr>
                <w:b w:val="0"/>
                <w:bCs w:val="0"/>
                <w:color w:val="auto"/>
                <w:u w:val="none"/>
              </w:rPr>
            </w:pPr>
            <w:r>
              <w:rPr>
                <w:b w:val="0"/>
                <w:bCs w:val="0"/>
                <w:color w:val="auto"/>
                <w:u w:val="none"/>
              </w:rPr>
              <w:t>-950</w:t>
            </w:r>
          </w:p>
        </w:tc>
        <w:tc>
          <w:tcPr>
            <w:tcW w:w="736" w:type="pct"/>
            <w:tcBorders>
              <w:top w:val="single" w:color="000000" w:sz="6" w:space="0"/>
              <w:left w:val="single" w:color="000000" w:sz="6" w:space="0"/>
              <w:bottom w:val="single" w:color="000000" w:sz="6" w:space="0"/>
              <w:right w:val="single" w:color="000000" w:sz="6" w:space="0"/>
            </w:tcBorders>
            <w:vAlign w:val="center"/>
          </w:tcPr>
          <w:p w14:paraId="7010F0A8">
            <w:pPr>
              <w:pStyle w:val="182"/>
              <w:spacing w:before="62"/>
              <w:ind w:left="364" w:right="345"/>
              <w:rPr>
                <w:b w:val="0"/>
                <w:bCs w:val="0"/>
                <w:color w:val="auto"/>
                <w:u w:val="none"/>
              </w:rPr>
            </w:pPr>
            <w:r>
              <w:rPr>
                <w:b w:val="0"/>
                <w:bCs w:val="0"/>
                <w:color w:val="auto"/>
                <w:u w:val="none"/>
              </w:rPr>
              <w:t>1842</w:t>
            </w:r>
          </w:p>
        </w:tc>
        <w:tc>
          <w:tcPr>
            <w:tcW w:w="734" w:type="pct"/>
            <w:tcBorders>
              <w:top w:val="single" w:color="000000" w:sz="6" w:space="0"/>
              <w:left w:val="single" w:color="000000" w:sz="6" w:space="0"/>
              <w:bottom w:val="single" w:color="000000" w:sz="6" w:space="0"/>
              <w:right w:val="single" w:color="000000" w:sz="6" w:space="0"/>
            </w:tcBorders>
            <w:vAlign w:val="center"/>
          </w:tcPr>
          <w:p w14:paraId="683DD487">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08A5A4FE">
            <w:pPr>
              <w:pStyle w:val="182"/>
              <w:bidi w:val="0"/>
              <w:ind w:firstLine="0" w:firstLineChars="0"/>
              <w:rPr>
                <w:b w:val="0"/>
                <w:bCs w:val="0"/>
                <w:color w:val="auto"/>
                <w:u w:val="none"/>
              </w:rPr>
            </w:pPr>
            <w:r>
              <w:rPr>
                <w:b w:val="0"/>
                <w:bCs w:val="0"/>
                <w:color w:val="auto"/>
                <w:u w:val="none"/>
              </w:rPr>
              <w:t>16</w:t>
            </w:r>
            <w:r>
              <w:rPr>
                <w:rFonts w:hint="eastAsia"/>
                <w:b w:val="0"/>
                <w:bCs w:val="0"/>
                <w:color w:val="auto"/>
                <w:u w:val="none"/>
                <w:lang w:val="en-US" w:eastAsia="zh-CN"/>
              </w:rPr>
              <w:t>33</w:t>
            </w:r>
          </w:p>
        </w:tc>
        <w:tc>
          <w:tcPr>
            <w:tcW w:w="639" w:type="pct"/>
            <w:tcBorders>
              <w:top w:val="single" w:color="000000" w:sz="6" w:space="0"/>
              <w:left w:val="single" w:color="000000" w:sz="6" w:space="0"/>
              <w:bottom w:val="single" w:color="000000" w:sz="6" w:space="0"/>
            </w:tcBorders>
            <w:vAlign w:val="center"/>
          </w:tcPr>
          <w:p w14:paraId="6BA63BE8">
            <w:pPr>
              <w:pStyle w:val="182"/>
              <w:spacing w:before="62"/>
              <w:ind w:left="186" w:right="164"/>
              <w:rPr>
                <w:b w:val="0"/>
                <w:bCs w:val="0"/>
                <w:color w:val="auto"/>
                <w:u w:val="none"/>
              </w:rPr>
            </w:pPr>
            <w:r>
              <w:rPr>
                <w:b w:val="0"/>
                <w:bCs w:val="0"/>
                <w:color w:val="auto"/>
                <w:u w:val="none"/>
              </w:rPr>
              <w:t>1900</w:t>
            </w:r>
          </w:p>
        </w:tc>
      </w:tr>
      <w:tr w14:paraId="7885C74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070A8EAF">
            <w:pPr>
              <w:pStyle w:val="182"/>
              <w:spacing w:before="62"/>
              <w:ind w:left="191" w:right="176"/>
              <w:rPr>
                <w:b w:val="0"/>
                <w:bCs w:val="0"/>
                <w:color w:val="auto"/>
                <w:u w:val="none"/>
              </w:rPr>
            </w:pPr>
            <w:r>
              <w:rPr>
                <w:b w:val="0"/>
                <w:bCs w:val="0"/>
                <w:color w:val="auto"/>
                <w:u w:val="none"/>
              </w:rPr>
              <w:t>16</w:t>
            </w:r>
          </w:p>
        </w:tc>
        <w:tc>
          <w:tcPr>
            <w:tcW w:w="1132" w:type="pct"/>
            <w:tcBorders>
              <w:top w:val="single" w:color="000000" w:sz="6" w:space="0"/>
              <w:left w:val="single" w:color="000000" w:sz="6" w:space="0"/>
              <w:bottom w:val="single" w:color="000000" w:sz="6" w:space="0"/>
              <w:right w:val="single" w:color="000000" w:sz="6" w:space="0"/>
            </w:tcBorders>
            <w:vAlign w:val="center"/>
          </w:tcPr>
          <w:p w14:paraId="1F53E728">
            <w:pPr>
              <w:pStyle w:val="182"/>
              <w:spacing w:before="48"/>
              <w:ind w:left="109" w:right="91"/>
              <w:rPr>
                <w:b w:val="0"/>
                <w:bCs w:val="0"/>
                <w:color w:val="auto"/>
                <w:u w:val="none"/>
              </w:rPr>
            </w:pPr>
            <w:r>
              <w:rPr>
                <w:b w:val="0"/>
                <w:bCs w:val="0"/>
                <w:color w:val="auto"/>
                <w:u w:val="none"/>
              </w:rPr>
              <w:t>新联学院</w:t>
            </w:r>
          </w:p>
        </w:tc>
        <w:tc>
          <w:tcPr>
            <w:tcW w:w="733" w:type="pct"/>
            <w:tcBorders>
              <w:top w:val="single" w:color="000000" w:sz="6" w:space="0"/>
              <w:left w:val="single" w:color="000000" w:sz="6" w:space="0"/>
              <w:bottom w:val="single" w:color="000000" w:sz="6" w:space="0"/>
              <w:right w:val="single" w:color="000000" w:sz="6" w:space="0"/>
            </w:tcBorders>
            <w:vAlign w:val="center"/>
          </w:tcPr>
          <w:p w14:paraId="0600DA01">
            <w:pPr>
              <w:pStyle w:val="182"/>
              <w:spacing w:before="62"/>
              <w:ind w:left="135" w:right="117"/>
              <w:rPr>
                <w:b w:val="0"/>
                <w:bCs w:val="0"/>
                <w:color w:val="auto"/>
                <w:u w:val="none"/>
              </w:rPr>
            </w:pPr>
            <w:r>
              <w:rPr>
                <w:b w:val="0"/>
                <w:bCs w:val="0"/>
                <w:color w:val="auto"/>
                <w:u w:val="none"/>
              </w:rPr>
              <w:t>-364</w:t>
            </w:r>
          </w:p>
        </w:tc>
        <w:tc>
          <w:tcPr>
            <w:tcW w:w="736" w:type="pct"/>
            <w:tcBorders>
              <w:top w:val="single" w:color="000000" w:sz="6" w:space="0"/>
              <w:left w:val="single" w:color="000000" w:sz="6" w:space="0"/>
              <w:bottom w:val="single" w:color="000000" w:sz="6" w:space="0"/>
              <w:right w:val="single" w:color="000000" w:sz="6" w:space="0"/>
            </w:tcBorders>
            <w:vAlign w:val="center"/>
          </w:tcPr>
          <w:p w14:paraId="75CA1A3A">
            <w:pPr>
              <w:pStyle w:val="182"/>
              <w:spacing w:before="62"/>
              <w:ind w:left="364" w:right="345"/>
              <w:rPr>
                <w:b w:val="0"/>
                <w:bCs w:val="0"/>
                <w:color w:val="auto"/>
                <w:u w:val="none"/>
              </w:rPr>
            </w:pPr>
            <w:r>
              <w:rPr>
                <w:b w:val="0"/>
                <w:bCs w:val="0"/>
                <w:color w:val="auto"/>
                <w:u w:val="none"/>
              </w:rPr>
              <w:t>1842</w:t>
            </w:r>
          </w:p>
        </w:tc>
        <w:tc>
          <w:tcPr>
            <w:tcW w:w="734" w:type="pct"/>
            <w:tcBorders>
              <w:top w:val="single" w:color="000000" w:sz="6" w:space="0"/>
              <w:left w:val="single" w:color="000000" w:sz="6" w:space="0"/>
              <w:bottom w:val="single" w:color="000000" w:sz="6" w:space="0"/>
              <w:right w:val="single" w:color="000000" w:sz="6" w:space="0"/>
            </w:tcBorders>
            <w:vAlign w:val="center"/>
          </w:tcPr>
          <w:p w14:paraId="12EA2B95">
            <w:pPr>
              <w:pStyle w:val="182"/>
              <w:spacing w:before="48"/>
              <w:ind w:left="16"/>
              <w:rPr>
                <w:b w:val="0"/>
                <w:bCs w:val="0"/>
                <w:color w:val="auto"/>
                <w:u w:val="none"/>
              </w:rPr>
            </w:pPr>
            <w:r>
              <w:rPr>
                <w:b w:val="0"/>
                <w:bCs w:val="0"/>
                <w:color w:val="auto"/>
                <w:u w:val="none"/>
              </w:rPr>
              <w:t>北</w:t>
            </w:r>
          </w:p>
        </w:tc>
        <w:tc>
          <w:tcPr>
            <w:tcW w:w="642" w:type="pct"/>
            <w:tcBorders>
              <w:top w:val="single" w:color="000000" w:sz="6" w:space="0"/>
              <w:left w:val="single" w:color="000000" w:sz="6" w:space="0"/>
              <w:bottom w:val="single" w:color="000000" w:sz="6" w:space="0"/>
              <w:right w:val="single" w:color="000000" w:sz="6" w:space="0"/>
            </w:tcBorders>
            <w:vAlign w:val="center"/>
          </w:tcPr>
          <w:p w14:paraId="719EC227">
            <w:pPr>
              <w:pStyle w:val="182"/>
              <w:spacing w:before="62"/>
              <w:ind w:left="266" w:right="249"/>
              <w:rPr>
                <w:b w:val="0"/>
                <w:bCs w:val="0"/>
                <w:color w:val="auto"/>
                <w:u w:val="none"/>
              </w:rPr>
            </w:pPr>
            <w:r>
              <w:rPr>
                <w:b w:val="0"/>
                <w:bCs w:val="0"/>
                <w:color w:val="auto"/>
                <w:u w:val="none"/>
              </w:rPr>
              <w:t>1438</w:t>
            </w:r>
          </w:p>
        </w:tc>
        <w:tc>
          <w:tcPr>
            <w:tcW w:w="639" w:type="pct"/>
            <w:tcBorders>
              <w:top w:val="single" w:color="000000" w:sz="6" w:space="0"/>
              <w:left w:val="single" w:color="000000" w:sz="6" w:space="0"/>
              <w:bottom w:val="single" w:color="000000" w:sz="6" w:space="0"/>
            </w:tcBorders>
            <w:vAlign w:val="center"/>
          </w:tcPr>
          <w:p w14:paraId="047F6165">
            <w:pPr>
              <w:pStyle w:val="182"/>
              <w:spacing w:before="62"/>
              <w:ind w:left="186" w:right="166"/>
              <w:rPr>
                <w:b w:val="0"/>
                <w:bCs w:val="0"/>
                <w:color w:val="auto"/>
                <w:u w:val="none"/>
              </w:rPr>
            </w:pPr>
            <w:r>
              <w:rPr>
                <w:b w:val="0"/>
                <w:bCs w:val="0"/>
                <w:color w:val="auto"/>
                <w:u w:val="none"/>
              </w:rPr>
              <w:t>19000</w:t>
            </w:r>
          </w:p>
        </w:tc>
      </w:tr>
      <w:tr w14:paraId="15A20CA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56BE6BF9">
            <w:pPr>
              <w:pStyle w:val="182"/>
              <w:spacing w:before="62"/>
              <w:ind w:left="191" w:right="176"/>
              <w:rPr>
                <w:b w:val="0"/>
                <w:bCs w:val="0"/>
                <w:color w:val="auto"/>
                <w:u w:val="none"/>
              </w:rPr>
            </w:pPr>
            <w:r>
              <w:rPr>
                <w:b w:val="0"/>
                <w:bCs w:val="0"/>
                <w:color w:val="auto"/>
                <w:u w:val="none"/>
              </w:rPr>
              <w:t>17</w:t>
            </w:r>
          </w:p>
        </w:tc>
        <w:tc>
          <w:tcPr>
            <w:tcW w:w="1132" w:type="pct"/>
            <w:tcBorders>
              <w:top w:val="single" w:color="000000" w:sz="6" w:space="0"/>
              <w:left w:val="single" w:color="000000" w:sz="6" w:space="0"/>
              <w:bottom w:val="single" w:color="000000" w:sz="6" w:space="0"/>
              <w:right w:val="single" w:color="000000" w:sz="6" w:space="0"/>
            </w:tcBorders>
            <w:vAlign w:val="center"/>
          </w:tcPr>
          <w:p w14:paraId="7DE358FA">
            <w:pPr>
              <w:pStyle w:val="182"/>
              <w:spacing w:before="48"/>
              <w:ind w:left="109" w:right="91"/>
              <w:rPr>
                <w:b w:val="0"/>
                <w:bCs w:val="0"/>
                <w:color w:val="auto"/>
                <w:u w:val="none"/>
              </w:rPr>
            </w:pPr>
            <w:r>
              <w:rPr>
                <w:b w:val="0"/>
                <w:bCs w:val="0"/>
                <w:color w:val="auto"/>
                <w:u w:val="none"/>
              </w:rPr>
              <w:t>新城花园</w:t>
            </w:r>
          </w:p>
        </w:tc>
        <w:tc>
          <w:tcPr>
            <w:tcW w:w="733" w:type="pct"/>
            <w:tcBorders>
              <w:top w:val="single" w:color="000000" w:sz="6" w:space="0"/>
              <w:left w:val="single" w:color="000000" w:sz="6" w:space="0"/>
              <w:bottom w:val="single" w:color="000000" w:sz="6" w:space="0"/>
              <w:right w:val="single" w:color="000000" w:sz="6" w:space="0"/>
            </w:tcBorders>
            <w:vAlign w:val="center"/>
          </w:tcPr>
          <w:p w14:paraId="71F7BBFD">
            <w:pPr>
              <w:pStyle w:val="182"/>
              <w:spacing w:before="62"/>
              <w:ind w:left="135" w:right="117"/>
              <w:rPr>
                <w:b w:val="0"/>
                <w:bCs w:val="0"/>
                <w:color w:val="auto"/>
                <w:u w:val="none"/>
              </w:rPr>
            </w:pPr>
            <w:r>
              <w:rPr>
                <w:b w:val="0"/>
                <w:bCs w:val="0"/>
                <w:color w:val="auto"/>
                <w:u w:val="none"/>
              </w:rPr>
              <w:t>-326</w:t>
            </w:r>
          </w:p>
        </w:tc>
        <w:tc>
          <w:tcPr>
            <w:tcW w:w="736" w:type="pct"/>
            <w:tcBorders>
              <w:top w:val="single" w:color="000000" w:sz="6" w:space="0"/>
              <w:left w:val="single" w:color="000000" w:sz="6" w:space="0"/>
              <w:bottom w:val="single" w:color="000000" w:sz="6" w:space="0"/>
              <w:right w:val="single" w:color="000000" w:sz="6" w:space="0"/>
            </w:tcBorders>
            <w:vAlign w:val="center"/>
          </w:tcPr>
          <w:p w14:paraId="166DC2A7">
            <w:pPr>
              <w:pStyle w:val="182"/>
              <w:spacing w:before="62"/>
              <w:ind w:left="364" w:right="345"/>
              <w:rPr>
                <w:b w:val="0"/>
                <w:bCs w:val="0"/>
                <w:color w:val="auto"/>
                <w:u w:val="none"/>
              </w:rPr>
            </w:pPr>
            <w:r>
              <w:rPr>
                <w:b w:val="0"/>
                <w:bCs w:val="0"/>
                <w:color w:val="auto"/>
                <w:u w:val="none"/>
              </w:rPr>
              <w:t>2324</w:t>
            </w:r>
          </w:p>
        </w:tc>
        <w:tc>
          <w:tcPr>
            <w:tcW w:w="734" w:type="pct"/>
            <w:tcBorders>
              <w:top w:val="single" w:color="000000" w:sz="6" w:space="0"/>
              <w:left w:val="single" w:color="000000" w:sz="6" w:space="0"/>
              <w:bottom w:val="single" w:color="000000" w:sz="6" w:space="0"/>
              <w:right w:val="single" w:color="000000" w:sz="6" w:space="0"/>
            </w:tcBorders>
            <w:vAlign w:val="center"/>
          </w:tcPr>
          <w:p w14:paraId="531D8B89">
            <w:pPr>
              <w:pStyle w:val="182"/>
              <w:spacing w:before="48"/>
              <w:ind w:left="16"/>
              <w:rPr>
                <w:b w:val="0"/>
                <w:bCs w:val="0"/>
                <w:color w:val="auto"/>
                <w:u w:val="none"/>
              </w:rPr>
            </w:pPr>
            <w:r>
              <w:rPr>
                <w:b w:val="0"/>
                <w:bCs w:val="0"/>
                <w:color w:val="auto"/>
                <w:u w:val="none"/>
              </w:rPr>
              <w:t>北</w:t>
            </w:r>
          </w:p>
        </w:tc>
        <w:tc>
          <w:tcPr>
            <w:tcW w:w="642" w:type="pct"/>
            <w:tcBorders>
              <w:top w:val="single" w:color="000000" w:sz="6" w:space="0"/>
              <w:left w:val="single" w:color="000000" w:sz="6" w:space="0"/>
              <w:bottom w:val="single" w:color="000000" w:sz="6" w:space="0"/>
              <w:right w:val="single" w:color="000000" w:sz="6" w:space="0"/>
            </w:tcBorders>
            <w:vAlign w:val="center"/>
          </w:tcPr>
          <w:p w14:paraId="35DE7D7B">
            <w:pPr>
              <w:pStyle w:val="182"/>
              <w:spacing w:before="62"/>
              <w:ind w:left="266" w:right="249"/>
              <w:rPr>
                <w:b w:val="0"/>
                <w:bCs w:val="0"/>
                <w:color w:val="auto"/>
                <w:u w:val="none"/>
              </w:rPr>
            </w:pPr>
            <w:r>
              <w:rPr>
                <w:b w:val="0"/>
                <w:bCs w:val="0"/>
                <w:color w:val="auto"/>
                <w:u w:val="none"/>
              </w:rPr>
              <w:t>1930</w:t>
            </w:r>
          </w:p>
        </w:tc>
        <w:tc>
          <w:tcPr>
            <w:tcW w:w="639" w:type="pct"/>
            <w:tcBorders>
              <w:top w:val="single" w:color="000000" w:sz="6" w:space="0"/>
              <w:left w:val="single" w:color="000000" w:sz="6" w:space="0"/>
              <w:bottom w:val="single" w:color="000000" w:sz="6" w:space="0"/>
            </w:tcBorders>
            <w:vAlign w:val="center"/>
          </w:tcPr>
          <w:p w14:paraId="6C82A1F6">
            <w:pPr>
              <w:pStyle w:val="182"/>
              <w:spacing w:before="62"/>
              <w:ind w:left="186" w:right="164"/>
              <w:rPr>
                <w:b w:val="0"/>
                <w:bCs w:val="0"/>
                <w:color w:val="auto"/>
                <w:u w:val="none"/>
              </w:rPr>
            </w:pPr>
            <w:r>
              <w:rPr>
                <w:b w:val="0"/>
                <w:bCs w:val="0"/>
                <w:color w:val="auto"/>
                <w:u w:val="none"/>
              </w:rPr>
              <w:t>240</w:t>
            </w:r>
          </w:p>
        </w:tc>
      </w:tr>
      <w:tr w14:paraId="533068E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5DF37FCD">
            <w:pPr>
              <w:pStyle w:val="182"/>
              <w:spacing w:before="62"/>
              <w:ind w:left="191" w:right="176"/>
              <w:rPr>
                <w:b w:val="0"/>
                <w:bCs w:val="0"/>
                <w:color w:val="auto"/>
                <w:u w:val="none"/>
              </w:rPr>
            </w:pPr>
            <w:r>
              <w:rPr>
                <w:b w:val="0"/>
                <w:bCs w:val="0"/>
                <w:color w:val="auto"/>
                <w:u w:val="none"/>
              </w:rPr>
              <w:t>18</w:t>
            </w:r>
          </w:p>
        </w:tc>
        <w:tc>
          <w:tcPr>
            <w:tcW w:w="1132" w:type="pct"/>
            <w:tcBorders>
              <w:top w:val="single" w:color="000000" w:sz="6" w:space="0"/>
              <w:left w:val="single" w:color="000000" w:sz="6" w:space="0"/>
              <w:bottom w:val="single" w:color="000000" w:sz="6" w:space="0"/>
              <w:right w:val="single" w:color="000000" w:sz="6" w:space="0"/>
            </w:tcBorders>
            <w:vAlign w:val="center"/>
          </w:tcPr>
          <w:p w14:paraId="0468B4AF">
            <w:pPr>
              <w:pStyle w:val="182"/>
              <w:spacing w:before="48"/>
              <w:ind w:left="109" w:right="91"/>
              <w:rPr>
                <w:b w:val="0"/>
                <w:bCs w:val="0"/>
                <w:color w:val="auto"/>
                <w:u w:val="none"/>
              </w:rPr>
            </w:pPr>
            <w:r>
              <w:rPr>
                <w:b w:val="0"/>
                <w:bCs w:val="0"/>
                <w:color w:val="auto"/>
                <w:u w:val="none"/>
              </w:rPr>
              <w:t>小杨庄村</w:t>
            </w:r>
          </w:p>
        </w:tc>
        <w:tc>
          <w:tcPr>
            <w:tcW w:w="733" w:type="pct"/>
            <w:tcBorders>
              <w:top w:val="single" w:color="000000" w:sz="6" w:space="0"/>
              <w:left w:val="single" w:color="000000" w:sz="6" w:space="0"/>
              <w:bottom w:val="single" w:color="000000" w:sz="6" w:space="0"/>
              <w:right w:val="single" w:color="000000" w:sz="6" w:space="0"/>
            </w:tcBorders>
            <w:vAlign w:val="center"/>
          </w:tcPr>
          <w:p w14:paraId="354E03AE">
            <w:pPr>
              <w:pStyle w:val="182"/>
              <w:spacing w:before="62"/>
              <w:ind w:left="135" w:right="115"/>
              <w:rPr>
                <w:b w:val="0"/>
                <w:bCs w:val="0"/>
                <w:color w:val="auto"/>
                <w:u w:val="none"/>
              </w:rPr>
            </w:pPr>
            <w:r>
              <w:rPr>
                <w:b w:val="0"/>
                <w:bCs w:val="0"/>
                <w:color w:val="auto"/>
                <w:u w:val="none"/>
              </w:rPr>
              <w:t>208</w:t>
            </w:r>
          </w:p>
        </w:tc>
        <w:tc>
          <w:tcPr>
            <w:tcW w:w="736" w:type="pct"/>
            <w:tcBorders>
              <w:top w:val="single" w:color="000000" w:sz="6" w:space="0"/>
              <w:left w:val="single" w:color="000000" w:sz="6" w:space="0"/>
              <w:bottom w:val="single" w:color="000000" w:sz="6" w:space="0"/>
              <w:right w:val="single" w:color="000000" w:sz="6" w:space="0"/>
            </w:tcBorders>
            <w:vAlign w:val="center"/>
          </w:tcPr>
          <w:p w14:paraId="7397A1E8">
            <w:pPr>
              <w:pStyle w:val="182"/>
              <w:spacing w:before="62"/>
              <w:ind w:left="364" w:right="345"/>
              <w:rPr>
                <w:b w:val="0"/>
                <w:bCs w:val="0"/>
                <w:color w:val="auto"/>
                <w:u w:val="none"/>
              </w:rPr>
            </w:pPr>
            <w:r>
              <w:rPr>
                <w:b w:val="0"/>
                <w:bCs w:val="0"/>
                <w:color w:val="auto"/>
                <w:u w:val="none"/>
              </w:rPr>
              <w:t>3091</w:t>
            </w:r>
          </w:p>
        </w:tc>
        <w:tc>
          <w:tcPr>
            <w:tcW w:w="734" w:type="pct"/>
            <w:tcBorders>
              <w:top w:val="single" w:color="000000" w:sz="6" w:space="0"/>
              <w:left w:val="single" w:color="000000" w:sz="6" w:space="0"/>
              <w:bottom w:val="single" w:color="000000" w:sz="6" w:space="0"/>
              <w:right w:val="single" w:color="000000" w:sz="6" w:space="0"/>
            </w:tcBorders>
            <w:vAlign w:val="center"/>
          </w:tcPr>
          <w:p w14:paraId="693AF1EE">
            <w:pPr>
              <w:pStyle w:val="182"/>
              <w:spacing w:before="48"/>
              <w:ind w:left="16"/>
              <w:rPr>
                <w:b w:val="0"/>
                <w:bCs w:val="0"/>
                <w:color w:val="auto"/>
                <w:u w:val="none"/>
              </w:rPr>
            </w:pPr>
            <w:r>
              <w:rPr>
                <w:b w:val="0"/>
                <w:bCs w:val="0"/>
                <w:color w:val="auto"/>
                <w:u w:val="none"/>
              </w:rPr>
              <w:t>北</w:t>
            </w:r>
          </w:p>
        </w:tc>
        <w:tc>
          <w:tcPr>
            <w:tcW w:w="642" w:type="pct"/>
            <w:tcBorders>
              <w:top w:val="single" w:color="000000" w:sz="6" w:space="0"/>
              <w:left w:val="single" w:color="000000" w:sz="6" w:space="0"/>
              <w:bottom w:val="single" w:color="000000" w:sz="6" w:space="0"/>
              <w:right w:val="single" w:color="000000" w:sz="6" w:space="0"/>
            </w:tcBorders>
            <w:vAlign w:val="center"/>
          </w:tcPr>
          <w:p w14:paraId="50E0E23D">
            <w:pPr>
              <w:pStyle w:val="182"/>
              <w:spacing w:before="62"/>
              <w:ind w:left="266" w:right="249"/>
              <w:rPr>
                <w:b w:val="0"/>
                <w:bCs w:val="0"/>
                <w:color w:val="auto"/>
                <w:u w:val="none"/>
              </w:rPr>
            </w:pPr>
            <w:r>
              <w:rPr>
                <w:b w:val="0"/>
                <w:bCs w:val="0"/>
                <w:color w:val="auto"/>
                <w:u w:val="none"/>
              </w:rPr>
              <w:t>2660</w:t>
            </w:r>
          </w:p>
        </w:tc>
        <w:tc>
          <w:tcPr>
            <w:tcW w:w="639" w:type="pct"/>
            <w:tcBorders>
              <w:top w:val="single" w:color="000000" w:sz="6" w:space="0"/>
              <w:left w:val="single" w:color="000000" w:sz="6" w:space="0"/>
              <w:bottom w:val="single" w:color="000000" w:sz="6" w:space="0"/>
            </w:tcBorders>
            <w:vAlign w:val="center"/>
          </w:tcPr>
          <w:p w14:paraId="7B25CAD4">
            <w:pPr>
              <w:pStyle w:val="182"/>
              <w:spacing w:before="62"/>
              <w:ind w:left="186" w:right="164"/>
              <w:rPr>
                <w:b w:val="0"/>
                <w:bCs w:val="0"/>
                <w:color w:val="auto"/>
                <w:u w:val="none"/>
              </w:rPr>
            </w:pPr>
            <w:r>
              <w:rPr>
                <w:b w:val="0"/>
                <w:bCs w:val="0"/>
                <w:color w:val="auto"/>
                <w:u w:val="none"/>
              </w:rPr>
              <w:t>650</w:t>
            </w:r>
          </w:p>
        </w:tc>
      </w:tr>
      <w:tr w14:paraId="1DA8435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12249F81">
            <w:pPr>
              <w:pStyle w:val="182"/>
              <w:spacing w:before="62"/>
              <w:ind w:left="191" w:right="176"/>
              <w:rPr>
                <w:b w:val="0"/>
                <w:bCs w:val="0"/>
                <w:color w:val="auto"/>
                <w:u w:val="none"/>
              </w:rPr>
            </w:pPr>
            <w:r>
              <w:rPr>
                <w:b w:val="0"/>
                <w:bCs w:val="0"/>
                <w:color w:val="auto"/>
                <w:u w:val="none"/>
              </w:rPr>
              <w:t>19</w:t>
            </w:r>
          </w:p>
        </w:tc>
        <w:tc>
          <w:tcPr>
            <w:tcW w:w="1132" w:type="pct"/>
            <w:tcBorders>
              <w:top w:val="single" w:color="000000" w:sz="6" w:space="0"/>
              <w:left w:val="single" w:color="000000" w:sz="6" w:space="0"/>
              <w:bottom w:val="single" w:color="000000" w:sz="6" w:space="0"/>
              <w:right w:val="single" w:color="000000" w:sz="6" w:space="0"/>
            </w:tcBorders>
            <w:vAlign w:val="center"/>
          </w:tcPr>
          <w:p w14:paraId="02337648">
            <w:pPr>
              <w:pStyle w:val="182"/>
              <w:spacing w:before="48"/>
              <w:ind w:left="109" w:right="91"/>
              <w:rPr>
                <w:b w:val="0"/>
                <w:bCs w:val="0"/>
                <w:color w:val="auto"/>
                <w:u w:val="none"/>
              </w:rPr>
            </w:pPr>
            <w:r>
              <w:rPr>
                <w:b w:val="0"/>
                <w:bCs w:val="0"/>
                <w:color w:val="auto"/>
                <w:u w:val="none"/>
              </w:rPr>
              <w:t>李胡寨村</w:t>
            </w:r>
          </w:p>
        </w:tc>
        <w:tc>
          <w:tcPr>
            <w:tcW w:w="733" w:type="pct"/>
            <w:tcBorders>
              <w:top w:val="single" w:color="000000" w:sz="6" w:space="0"/>
              <w:left w:val="single" w:color="000000" w:sz="6" w:space="0"/>
              <w:bottom w:val="single" w:color="000000" w:sz="6" w:space="0"/>
              <w:right w:val="single" w:color="000000" w:sz="6" w:space="0"/>
            </w:tcBorders>
            <w:vAlign w:val="center"/>
          </w:tcPr>
          <w:p w14:paraId="7B402DD0">
            <w:pPr>
              <w:pStyle w:val="182"/>
              <w:spacing w:before="62"/>
              <w:ind w:left="135" w:right="117"/>
              <w:rPr>
                <w:b w:val="0"/>
                <w:bCs w:val="0"/>
                <w:color w:val="auto"/>
                <w:u w:val="none"/>
              </w:rPr>
            </w:pPr>
            <w:r>
              <w:rPr>
                <w:b w:val="0"/>
                <w:bCs w:val="0"/>
                <w:color w:val="auto"/>
                <w:u w:val="none"/>
              </w:rPr>
              <w:t>-1537</w:t>
            </w:r>
          </w:p>
        </w:tc>
        <w:tc>
          <w:tcPr>
            <w:tcW w:w="736" w:type="pct"/>
            <w:tcBorders>
              <w:top w:val="single" w:color="000000" w:sz="6" w:space="0"/>
              <w:left w:val="single" w:color="000000" w:sz="6" w:space="0"/>
              <w:bottom w:val="single" w:color="000000" w:sz="6" w:space="0"/>
              <w:right w:val="single" w:color="000000" w:sz="6" w:space="0"/>
            </w:tcBorders>
            <w:vAlign w:val="center"/>
          </w:tcPr>
          <w:p w14:paraId="5C50C7F3">
            <w:pPr>
              <w:pStyle w:val="182"/>
              <w:spacing w:before="62"/>
              <w:ind w:left="364" w:right="345"/>
              <w:rPr>
                <w:b w:val="0"/>
                <w:bCs w:val="0"/>
                <w:color w:val="auto"/>
                <w:u w:val="none"/>
              </w:rPr>
            </w:pPr>
            <w:r>
              <w:rPr>
                <w:b w:val="0"/>
                <w:bCs w:val="0"/>
                <w:color w:val="auto"/>
                <w:u w:val="none"/>
              </w:rPr>
              <w:t>2467</w:t>
            </w:r>
          </w:p>
        </w:tc>
        <w:tc>
          <w:tcPr>
            <w:tcW w:w="734" w:type="pct"/>
            <w:tcBorders>
              <w:top w:val="single" w:color="000000" w:sz="6" w:space="0"/>
              <w:left w:val="single" w:color="000000" w:sz="6" w:space="0"/>
              <w:bottom w:val="single" w:color="000000" w:sz="6" w:space="0"/>
              <w:right w:val="single" w:color="000000" w:sz="6" w:space="0"/>
            </w:tcBorders>
            <w:vAlign w:val="center"/>
          </w:tcPr>
          <w:p w14:paraId="5D9F7681">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5BCECB50">
            <w:pPr>
              <w:pStyle w:val="182"/>
              <w:bidi w:val="0"/>
              <w:ind w:firstLine="0" w:firstLineChars="0"/>
              <w:rPr>
                <w:rFonts w:hint="default"/>
                <w:b w:val="0"/>
                <w:bCs w:val="0"/>
                <w:color w:val="auto"/>
                <w:u w:val="none"/>
                <w:lang w:val="en-US" w:eastAsia="zh-CN"/>
              </w:rPr>
            </w:pPr>
            <w:r>
              <w:rPr>
                <w:rFonts w:hint="eastAsia"/>
                <w:b w:val="0"/>
                <w:bCs w:val="0"/>
                <w:color w:val="auto"/>
                <w:u w:val="none"/>
                <w:lang w:val="en-US" w:eastAsia="zh-CN"/>
              </w:rPr>
              <w:t>2654</w:t>
            </w:r>
          </w:p>
        </w:tc>
        <w:tc>
          <w:tcPr>
            <w:tcW w:w="639" w:type="pct"/>
            <w:tcBorders>
              <w:top w:val="single" w:color="000000" w:sz="6" w:space="0"/>
              <w:left w:val="single" w:color="000000" w:sz="6" w:space="0"/>
              <w:bottom w:val="single" w:color="000000" w:sz="6" w:space="0"/>
            </w:tcBorders>
            <w:vAlign w:val="center"/>
          </w:tcPr>
          <w:p w14:paraId="1AE105CD">
            <w:pPr>
              <w:pStyle w:val="182"/>
              <w:spacing w:before="62"/>
              <w:ind w:left="186" w:right="164"/>
              <w:rPr>
                <w:b w:val="0"/>
                <w:bCs w:val="0"/>
                <w:color w:val="auto"/>
                <w:u w:val="none"/>
              </w:rPr>
            </w:pPr>
            <w:r>
              <w:rPr>
                <w:b w:val="0"/>
                <w:bCs w:val="0"/>
                <w:color w:val="auto"/>
                <w:u w:val="none"/>
              </w:rPr>
              <w:t>1200</w:t>
            </w:r>
          </w:p>
        </w:tc>
      </w:tr>
      <w:tr w14:paraId="262F454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5CB68875">
            <w:pPr>
              <w:pStyle w:val="182"/>
              <w:spacing w:before="62"/>
              <w:ind w:left="191" w:right="176"/>
              <w:rPr>
                <w:b w:val="0"/>
                <w:bCs w:val="0"/>
                <w:color w:val="auto"/>
                <w:u w:val="none"/>
              </w:rPr>
            </w:pPr>
            <w:r>
              <w:rPr>
                <w:b w:val="0"/>
                <w:bCs w:val="0"/>
                <w:color w:val="auto"/>
                <w:u w:val="none"/>
              </w:rPr>
              <w:t>20</w:t>
            </w:r>
          </w:p>
        </w:tc>
        <w:tc>
          <w:tcPr>
            <w:tcW w:w="1132" w:type="pct"/>
            <w:tcBorders>
              <w:top w:val="single" w:color="000000" w:sz="6" w:space="0"/>
              <w:left w:val="single" w:color="000000" w:sz="6" w:space="0"/>
              <w:bottom w:val="single" w:color="000000" w:sz="6" w:space="0"/>
              <w:right w:val="single" w:color="000000" w:sz="6" w:space="0"/>
            </w:tcBorders>
            <w:vAlign w:val="center"/>
          </w:tcPr>
          <w:p w14:paraId="3809C529">
            <w:pPr>
              <w:pStyle w:val="182"/>
              <w:spacing w:before="48"/>
              <w:ind w:left="107" w:right="91"/>
              <w:rPr>
                <w:b w:val="0"/>
                <w:bCs w:val="0"/>
                <w:color w:val="auto"/>
                <w:u w:val="none"/>
              </w:rPr>
            </w:pPr>
            <w:r>
              <w:rPr>
                <w:b w:val="0"/>
                <w:bCs w:val="0"/>
                <w:color w:val="auto"/>
                <w:u w:val="none"/>
              </w:rPr>
              <w:t>郑庄村</w:t>
            </w:r>
          </w:p>
        </w:tc>
        <w:tc>
          <w:tcPr>
            <w:tcW w:w="733" w:type="pct"/>
            <w:tcBorders>
              <w:top w:val="single" w:color="000000" w:sz="6" w:space="0"/>
              <w:left w:val="single" w:color="000000" w:sz="6" w:space="0"/>
              <w:bottom w:val="single" w:color="000000" w:sz="6" w:space="0"/>
              <w:right w:val="single" w:color="000000" w:sz="6" w:space="0"/>
            </w:tcBorders>
            <w:vAlign w:val="center"/>
          </w:tcPr>
          <w:p w14:paraId="51ACE587">
            <w:pPr>
              <w:pStyle w:val="182"/>
              <w:spacing w:before="62"/>
              <w:ind w:left="135" w:right="117"/>
              <w:rPr>
                <w:b w:val="0"/>
                <w:bCs w:val="0"/>
                <w:color w:val="auto"/>
                <w:u w:val="none"/>
              </w:rPr>
            </w:pPr>
            <w:r>
              <w:rPr>
                <w:b w:val="0"/>
                <w:bCs w:val="0"/>
                <w:color w:val="auto"/>
                <w:u w:val="none"/>
              </w:rPr>
              <w:t>-1131</w:t>
            </w:r>
          </w:p>
        </w:tc>
        <w:tc>
          <w:tcPr>
            <w:tcW w:w="736" w:type="pct"/>
            <w:tcBorders>
              <w:top w:val="single" w:color="000000" w:sz="6" w:space="0"/>
              <w:left w:val="single" w:color="000000" w:sz="6" w:space="0"/>
              <w:bottom w:val="single" w:color="000000" w:sz="6" w:space="0"/>
              <w:right w:val="single" w:color="000000" w:sz="6" w:space="0"/>
            </w:tcBorders>
            <w:vAlign w:val="center"/>
          </w:tcPr>
          <w:p w14:paraId="3075AA9E">
            <w:pPr>
              <w:pStyle w:val="182"/>
              <w:spacing w:before="62"/>
              <w:ind w:left="364" w:right="345"/>
              <w:rPr>
                <w:b w:val="0"/>
                <w:bCs w:val="0"/>
                <w:color w:val="auto"/>
                <w:u w:val="none"/>
              </w:rPr>
            </w:pPr>
            <w:r>
              <w:rPr>
                <w:b w:val="0"/>
                <w:bCs w:val="0"/>
                <w:color w:val="auto"/>
                <w:u w:val="none"/>
              </w:rPr>
              <w:t>3324</w:t>
            </w:r>
          </w:p>
        </w:tc>
        <w:tc>
          <w:tcPr>
            <w:tcW w:w="734" w:type="pct"/>
            <w:tcBorders>
              <w:top w:val="single" w:color="000000" w:sz="6" w:space="0"/>
              <w:left w:val="single" w:color="000000" w:sz="6" w:space="0"/>
              <w:bottom w:val="single" w:color="000000" w:sz="6" w:space="0"/>
              <w:right w:val="single" w:color="000000" w:sz="6" w:space="0"/>
            </w:tcBorders>
            <w:vAlign w:val="center"/>
          </w:tcPr>
          <w:p w14:paraId="43F20FC4">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5C0F893D">
            <w:pPr>
              <w:pStyle w:val="182"/>
              <w:bidi w:val="0"/>
              <w:ind w:firstLine="0" w:firstLineChars="0"/>
              <w:rPr>
                <w:b w:val="0"/>
                <w:bCs w:val="0"/>
                <w:color w:val="auto"/>
                <w:u w:val="none"/>
              </w:rPr>
            </w:pPr>
            <w:r>
              <w:rPr>
                <w:b w:val="0"/>
                <w:bCs w:val="0"/>
                <w:color w:val="auto"/>
                <w:u w:val="none"/>
              </w:rPr>
              <w:t>34</w:t>
            </w:r>
            <w:r>
              <w:rPr>
                <w:rFonts w:hint="eastAsia"/>
                <w:b w:val="0"/>
                <w:bCs w:val="0"/>
                <w:color w:val="auto"/>
                <w:u w:val="none"/>
                <w:lang w:val="en-US" w:eastAsia="zh-CN"/>
              </w:rPr>
              <w:t>51</w:t>
            </w:r>
          </w:p>
        </w:tc>
        <w:tc>
          <w:tcPr>
            <w:tcW w:w="639" w:type="pct"/>
            <w:tcBorders>
              <w:top w:val="single" w:color="000000" w:sz="6" w:space="0"/>
              <w:left w:val="single" w:color="000000" w:sz="6" w:space="0"/>
              <w:bottom w:val="single" w:color="000000" w:sz="6" w:space="0"/>
            </w:tcBorders>
            <w:vAlign w:val="center"/>
          </w:tcPr>
          <w:p w14:paraId="48A73BC3">
            <w:pPr>
              <w:pStyle w:val="182"/>
              <w:spacing w:before="62"/>
              <w:ind w:left="186" w:right="164"/>
              <w:rPr>
                <w:b w:val="0"/>
                <w:bCs w:val="0"/>
                <w:color w:val="auto"/>
                <w:u w:val="none"/>
              </w:rPr>
            </w:pPr>
            <w:r>
              <w:rPr>
                <w:b w:val="0"/>
                <w:bCs w:val="0"/>
                <w:color w:val="auto"/>
                <w:u w:val="none"/>
              </w:rPr>
              <w:t>600</w:t>
            </w:r>
          </w:p>
        </w:tc>
      </w:tr>
      <w:tr w14:paraId="5F7BD3D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0ABFA75A">
            <w:pPr>
              <w:pStyle w:val="182"/>
              <w:spacing w:before="62"/>
              <w:ind w:left="191" w:right="176"/>
              <w:rPr>
                <w:b w:val="0"/>
                <w:bCs w:val="0"/>
                <w:color w:val="auto"/>
                <w:u w:val="none"/>
              </w:rPr>
            </w:pPr>
            <w:r>
              <w:rPr>
                <w:b w:val="0"/>
                <w:bCs w:val="0"/>
                <w:color w:val="auto"/>
                <w:u w:val="none"/>
              </w:rPr>
              <w:t>21</w:t>
            </w:r>
          </w:p>
        </w:tc>
        <w:tc>
          <w:tcPr>
            <w:tcW w:w="1132" w:type="pct"/>
            <w:tcBorders>
              <w:top w:val="single" w:color="000000" w:sz="6" w:space="0"/>
              <w:left w:val="single" w:color="000000" w:sz="6" w:space="0"/>
              <w:bottom w:val="single" w:color="000000" w:sz="6" w:space="0"/>
              <w:right w:val="single" w:color="000000" w:sz="6" w:space="0"/>
            </w:tcBorders>
            <w:vAlign w:val="center"/>
          </w:tcPr>
          <w:p w14:paraId="00D576CC">
            <w:pPr>
              <w:pStyle w:val="182"/>
              <w:spacing w:before="48"/>
              <w:ind w:left="107" w:right="91"/>
              <w:rPr>
                <w:b w:val="0"/>
                <w:bCs w:val="0"/>
                <w:color w:val="auto"/>
                <w:u w:val="none"/>
              </w:rPr>
            </w:pPr>
            <w:r>
              <w:rPr>
                <w:b w:val="0"/>
                <w:bCs w:val="0"/>
                <w:color w:val="auto"/>
                <w:u w:val="none"/>
              </w:rPr>
              <w:t>樊庄村</w:t>
            </w:r>
          </w:p>
        </w:tc>
        <w:tc>
          <w:tcPr>
            <w:tcW w:w="733" w:type="pct"/>
            <w:tcBorders>
              <w:top w:val="single" w:color="000000" w:sz="6" w:space="0"/>
              <w:left w:val="single" w:color="000000" w:sz="6" w:space="0"/>
              <w:bottom w:val="single" w:color="000000" w:sz="6" w:space="0"/>
              <w:right w:val="single" w:color="000000" w:sz="6" w:space="0"/>
            </w:tcBorders>
            <w:vAlign w:val="center"/>
          </w:tcPr>
          <w:p w14:paraId="650FE14F">
            <w:pPr>
              <w:pStyle w:val="182"/>
              <w:spacing w:before="62"/>
              <w:ind w:left="135" w:right="117"/>
              <w:rPr>
                <w:b w:val="0"/>
                <w:bCs w:val="0"/>
                <w:color w:val="auto"/>
                <w:u w:val="none"/>
              </w:rPr>
            </w:pPr>
            <w:r>
              <w:rPr>
                <w:b w:val="0"/>
                <w:bCs w:val="0"/>
                <w:color w:val="auto"/>
                <w:u w:val="none"/>
              </w:rPr>
              <w:t>-2689</w:t>
            </w:r>
          </w:p>
        </w:tc>
        <w:tc>
          <w:tcPr>
            <w:tcW w:w="736" w:type="pct"/>
            <w:tcBorders>
              <w:top w:val="single" w:color="000000" w:sz="6" w:space="0"/>
              <w:left w:val="single" w:color="000000" w:sz="6" w:space="0"/>
              <w:bottom w:val="single" w:color="000000" w:sz="6" w:space="0"/>
              <w:right w:val="single" w:color="000000" w:sz="6" w:space="0"/>
            </w:tcBorders>
            <w:vAlign w:val="center"/>
          </w:tcPr>
          <w:p w14:paraId="7AFED795">
            <w:pPr>
              <w:pStyle w:val="182"/>
              <w:spacing w:before="62"/>
              <w:ind w:left="364" w:right="345"/>
              <w:rPr>
                <w:b w:val="0"/>
                <w:bCs w:val="0"/>
                <w:color w:val="auto"/>
                <w:u w:val="none"/>
              </w:rPr>
            </w:pPr>
            <w:r>
              <w:rPr>
                <w:b w:val="0"/>
                <w:bCs w:val="0"/>
                <w:color w:val="auto"/>
                <w:u w:val="none"/>
              </w:rPr>
              <w:t>2467</w:t>
            </w:r>
          </w:p>
        </w:tc>
        <w:tc>
          <w:tcPr>
            <w:tcW w:w="734" w:type="pct"/>
            <w:tcBorders>
              <w:top w:val="single" w:color="000000" w:sz="6" w:space="0"/>
              <w:left w:val="single" w:color="000000" w:sz="6" w:space="0"/>
              <w:bottom w:val="single" w:color="000000" w:sz="6" w:space="0"/>
              <w:right w:val="single" w:color="000000" w:sz="6" w:space="0"/>
            </w:tcBorders>
            <w:vAlign w:val="center"/>
          </w:tcPr>
          <w:p w14:paraId="1174B19C">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4FD85DB0">
            <w:pPr>
              <w:pStyle w:val="182"/>
              <w:bidi w:val="0"/>
              <w:ind w:firstLine="0" w:firstLineChars="0"/>
              <w:rPr>
                <w:b w:val="0"/>
                <w:bCs w:val="0"/>
                <w:color w:val="auto"/>
                <w:u w:val="none"/>
              </w:rPr>
            </w:pPr>
            <w:r>
              <w:rPr>
                <w:b w:val="0"/>
                <w:bCs w:val="0"/>
                <w:color w:val="auto"/>
                <w:u w:val="none"/>
              </w:rPr>
              <w:t>34</w:t>
            </w:r>
            <w:r>
              <w:rPr>
                <w:rFonts w:hint="eastAsia"/>
                <w:b w:val="0"/>
                <w:bCs w:val="0"/>
                <w:color w:val="auto"/>
                <w:u w:val="none"/>
                <w:lang w:val="en-US" w:eastAsia="zh-CN"/>
              </w:rPr>
              <w:t>55</w:t>
            </w:r>
          </w:p>
        </w:tc>
        <w:tc>
          <w:tcPr>
            <w:tcW w:w="639" w:type="pct"/>
            <w:tcBorders>
              <w:top w:val="single" w:color="000000" w:sz="6" w:space="0"/>
              <w:left w:val="single" w:color="000000" w:sz="6" w:space="0"/>
              <w:bottom w:val="single" w:color="000000" w:sz="6" w:space="0"/>
            </w:tcBorders>
            <w:vAlign w:val="center"/>
          </w:tcPr>
          <w:p w14:paraId="1B014EA2">
            <w:pPr>
              <w:pStyle w:val="182"/>
              <w:spacing w:before="62"/>
              <w:ind w:left="186" w:right="164"/>
              <w:rPr>
                <w:b w:val="0"/>
                <w:bCs w:val="0"/>
                <w:color w:val="auto"/>
                <w:u w:val="none"/>
              </w:rPr>
            </w:pPr>
            <w:r>
              <w:rPr>
                <w:b w:val="0"/>
                <w:bCs w:val="0"/>
                <w:color w:val="auto"/>
                <w:u w:val="none"/>
              </w:rPr>
              <w:t>1180</w:t>
            </w:r>
          </w:p>
        </w:tc>
      </w:tr>
      <w:tr w14:paraId="565DCE3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1F6A9347">
            <w:pPr>
              <w:pStyle w:val="182"/>
              <w:spacing w:before="62"/>
              <w:ind w:left="191" w:right="176"/>
              <w:rPr>
                <w:b w:val="0"/>
                <w:bCs w:val="0"/>
                <w:color w:val="auto"/>
                <w:u w:val="none"/>
              </w:rPr>
            </w:pPr>
            <w:r>
              <w:rPr>
                <w:b w:val="0"/>
                <w:bCs w:val="0"/>
                <w:color w:val="auto"/>
                <w:u w:val="none"/>
              </w:rPr>
              <w:t>22</w:t>
            </w:r>
          </w:p>
        </w:tc>
        <w:tc>
          <w:tcPr>
            <w:tcW w:w="1132" w:type="pct"/>
            <w:tcBorders>
              <w:top w:val="single" w:color="000000" w:sz="6" w:space="0"/>
              <w:left w:val="single" w:color="000000" w:sz="6" w:space="0"/>
              <w:bottom w:val="single" w:color="000000" w:sz="6" w:space="0"/>
              <w:right w:val="single" w:color="000000" w:sz="6" w:space="0"/>
            </w:tcBorders>
            <w:vAlign w:val="center"/>
          </w:tcPr>
          <w:p w14:paraId="7385D685">
            <w:pPr>
              <w:pStyle w:val="182"/>
              <w:spacing w:before="48"/>
              <w:ind w:left="107" w:right="91"/>
              <w:rPr>
                <w:b w:val="0"/>
                <w:bCs w:val="0"/>
                <w:color w:val="auto"/>
                <w:u w:val="none"/>
              </w:rPr>
            </w:pPr>
            <w:r>
              <w:rPr>
                <w:b w:val="0"/>
                <w:bCs w:val="0"/>
                <w:color w:val="auto"/>
                <w:u w:val="none"/>
              </w:rPr>
              <w:t>孟电观澜壹号</w:t>
            </w:r>
          </w:p>
        </w:tc>
        <w:tc>
          <w:tcPr>
            <w:tcW w:w="733" w:type="pct"/>
            <w:tcBorders>
              <w:top w:val="single" w:color="000000" w:sz="6" w:space="0"/>
              <w:left w:val="single" w:color="000000" w:sz="6" w:space="0"/>
              <w:bottom w:val="single" w:color="000000" w:sz="6" w:space="0"/>
              <w:right w:val="single" w:color="000000" w:sz="6" w:space="0"/>
            </w:tcBorders>
            <w:vAlign w:val="center"/>
          </w:tcPr>
          <w:p w14:paraId="3E653A5E">
            <w:pPr>
              <w:pStyle w:val="182"/>
              <w:spacing w:before="62"/>
              <w:ind w:left="135" w:right="117"/>
              <w:rPr>
                <w:b w:val="0"/>
                <w:bCs w:val="0"/>
                <w:color w:val="auto"/>
                <w:u w:val="none"/>
              </w:rPr>
            </w:pPr>
            <w:r>
              <w:rPr>
                <w:b w:val="0"/>
                <w:bCs w:val="0"/>
                <w:color w:val="auto"/>
                <w:u w:val="none"/>
              </w:rPr>
              <w:t>-1319</w:t>
            </w:r>
          </w:p>
        </w:tc>
        <w:tc>
          <w:tcPr>
            <w:tcW w:w="736" w:type="pct"/>
            <w:tcBorders>
              <w:top w:val="single" w:color="000000" w:sz="6" w:space="0"/>
              <w:left w:val="single" w:color="000000" w:sz="6" w:space="0"/>
              <w:bottom w:val="single" w:color="000000" w:sz="6" w:space="0"/>
              <w:right w:val="single" w:color="000000" w:sz="6" w:space="0"/>
            </w:tcBorders>
            <w:vAlign w:val="center"/>
          </w:tcPr>
          <w:p w14:paraId="627D9743">
            <w:pPr>
              <w:pStyle w:val="182"/>
              <w:spacing w:before="62"/>
              <w:ind w:left="364" w:right="345"/>
              <w:rPr>
                <w:b w:val="0"/>
                <w:bCs w:val="0"/>
                <w:color w:val="auto"/>
                <w:u w:val="none"/>
              </w:rPr>
            </w:pPr>
            <w:r>
              <w:rPr>
                <w:b w:val="0"/>
                <w:bCs w:val="0"/>
                <w:color w:val="auto"/>
                <w:u w:val="none"/>
              </w:rPr>
              <w:t>1850</w:t>
            </w:r>
          </w:p>
        </w:tc>
        <w:tc>
          <w:tcPr>
            <w:tcW w:w="734" w:type="pct"/>
            <w:tcBorders>
              <w:top w:val="single" w:color="000000" w:sz="6" w:space="0"/>
              <w:left w:val="single" w:color="000000" w:sz="6" w:space="0"/>
              <w:bottom w:val="single" w:color="000000" w:sz="6" w:space="0"/>
              <w:right w:val="single" w:color="000000" w:sz="6" w:space="0"/>
            </w:tcBorders>
            <w:vAlign w:val="center"/>
          </w:tcPr>
          <w:p w14:paraId="5AA380BA">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1F571FA4">
            <w:pPr>
              <w:pStyle w:val="182"/>
              <w:bidi w:val="0"/>
              <w:ind w:firstLine="0" w:firstLineChars="0"/>
              <w:rPr>
                <w:b w:val="0"/>
                <w:bCs w:val="0"/>
                <w:color w:val="auto"/>
                <w:u w:val="none"/>
              </w:rPr>
            </w:pPr>
            <w:r>
              <w:rPr>
                <w:b w:val="0"/>
                <w:bCs w:val="0"/>
                <w:color w:val="auto"/>
                <w:u w:val="none"/>
              </w:rPr>
              <w:t>19</w:t>
            </w:r>
            <w:r>
              <w:rPr>
                <w:rFonts w:hint="eastAsia"/>
                <w:b w:val="0"/>
                <w:bCs w:val="0"/>
                <w:color w:val="auto"/>
                <w:u w:val="none"/>
                <w:lang w:val="en-US" w:eastAsia="zh-CN"/>
              </w:rPr>
              <w:t>36</w:t>
            </w:r>
          </w:p>
        </w:tc>
        <w:tc>
          <w:tcPr>
            <w:tcW w:w="639" w:type="pct"/>
            <w:tcBorders>
              <w:top w:val="single" w:color="000000" w:sz="6" w:space="0"/>
              <w:left w:val="single" w:color="000000" w:sz="6" w:space="0"/>
              <w:bottom w:val="single" w:color="000000" w:sz="6" w:space="0"/>
            </w:tcBorders>
            <w:vAlign w:val="center"/>
          </w:tcPr>
          <w:p w14:paraId="4BEA1DD6">
            <w:pPr>
              <w:pStyle w:val="182"/>
              <w:spacing w:before="62"/>
              <w:ind w:left="186" w:right="164"/>
              <w:rPr>
                <w:b w:val="0"/>
                <w:bCs w:val="0"/>
                <w:color w:val="auto"/>
                <w:u w:val="none"/>
              </w:rPr>
            </w:pPr>
            <w:r>
              <w:rPr>
                <w:b w:val="0"/>
                <w:bCs w:val="0"/>
                <w:color w:val="auto"/>
                <w:u w:val="none"/>
              </w:rPr>
              <w:t>8100</w:t>
            </w:r>
          </w:p>
        </w:tc>
      </w:tr>
      <w:tr w14:paraId="0173991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3ABA4B98">
            <w:pPr>
              <w:pStyle w:val="182"/>
              <w:spacing w:before="62"/>
              <w:ind w:left="191" w:right="176"/>
              <w:rPr>
                <w:b w:val="0"/>
                <w:bCs w:val="0"/>
                <w:color w:val="auto"/>
                <w:u w:val="none"/>
              </w:rPr>
            </w:pPr>
            <w:r>
              <w:rPr>
                <w:b w:val="0"/>
                <w:bCs w:val="0"/>
                <w:color w:val="auto"/>
                <w:u w:val="none"/>
              </w:rPr>
              <w:t>23</w:t>
            </w:r>
          </w:p>
        </w:tc>
        <w:tc>
          <w:tcPr>
            <w:tcW w:w="1132" w:type="pct"/>
            <w:tcBorders>
              <w:top w:val="single" w:color="000000" w:sz="6" w:space="0"/>
              <w:left w:val="single" w:color="000000" w:sz="6" w:space="0"/>
              <w:bottom w:val="single" w:color="000000" w:sz="6" w:space="0"/>
              <w:right w:val="single" w:color="000000" w:sz="6" w:space="0"/>
            </w:tcBorders>
            <w:vAlign w:val="center"/>
          </w:tcPr>
          <w:p w14:paraId="6686F94E">
            <w:pPr>
              <w:pStyle w:val="182"/>
              <w:spacing w:before="48"/>
              <w:ind w:left="109" w:right="91"/>
              <w:rPr>
                <w:b w:val="0"/>
                <w:bCs w:val="0"/>
                <w:color w:val="auto"/>
                <w:u w:val="none"/>
              </w:rPr>
            </w:pPr>
            <w:r>
              <w:rPr>
                <w:b w:val="0"/>
                <w:bCs w:val="0"/>
                <w:color w:val="auto"/>
                <w:u w:val="none"/>
              </w:rPr>
              <w:t>润华美丽谷</w:t>
            </w:r>
          </w:p>
        </w:tc>
        <w:tc>
          <w:tcPr>
            <w:tcW w:w="733" w:type="pct"/>
            <w:tcBorders>
              <w:top w:val="single" w:color="000000" w:sz="6" w:space="0"/>
              <w:left w:val="single" w:color="000000" w:sz="6" w:space="0"/>
              <w:bottom w:val="single" w:color="000000" w:sz="6" w:space="0"/>
              <w:right w:val="single" w:color="000000" w:sz="6" w:space="0"/>
            </w:tcBorders>
            <w:vAlign w:val="center"/>
          </w:tcPr>
          <w:p w14:paraId="397767A0">
            <w:pPr>
              <w:pStyle w:val="182"/>
              <w:spacing w:before="62"/>
              <w:ind w:left="135" w:right="117"/>
              <w:rPr>
                <w:b w:val="0"/>
                <w:bCs w:val="0"/>
                <w:color w:val="auto"/>
                <w:u w:val="none"/>
              </w:rPr>
            </w:pPr>
            <w:r>
              <w:rPr>
                <w:b w:val="0"/>
                <w:bCs w:val="0"/>
                <w:color w:val="auto"/>
                <w:u w:val="none"/>
              </w:rPr>
              <w:t>-1492</w:t>
            </w:r>
          </w:p>
        </w:tc>
        <w:tc>
          <w:tcPr>
            <w:tcW w:w="736" w:type="pct"/>
            <w:tcBorders>
              <w:top w:val="single" w:color="000000" w:sz="6" w:space="0"/>
              <w:left w:val="single" w:color="000000" w:sz="6" w:space="0"/>
              <w:bottom w:val="single" w:color="000000" w:sz="6" w:space="0"/>
              <w:right w:val="single" w:color="000000" w:sz="6" w:space="0"/>
            </w:tcBorders>
            <w:vAlign w:val="center"/>
          </w:tcPr>
          <w:p w14:paraId="4F8B8A97">
            <w:pPr>
              <w:pStyle w:val="182"/>
              <w:spacing w:before="62"/>
              <w:ind w:left="364" w:right="345"/>
              <w:rPr>
                <w:b w:val="0"/>
                <w:bCs w:val="0"/>
                <w:color w:val="auto"/>
                <w:u w:val="none"/>
              </w:rPr>
            </w:pPr>
            <w:r>
              <w:rPr>
                <w:b w:val="0"/>
                <w:bCs w:val="0"/>
                <w:color w:val="auto"/>
                <w:u w:val="none"/>
              </w:rPr>
              <w:t>1865</w:t>
            </w:r>
          </w:p>
        </w:tc>
        <w:tc>
          <w:tcPr>
            <w:tcW w:w="734" w:type="pct"/>
            <w:tcBorders>
              <w:top w:val="single" w:color="000000" w:sz="6" w:space="0"/>
              <w:left w:val="single" w:color="000000" w:sz="6" w:space="0"/>
              <w:bottom w:val="single" w:color="000000" w:sz="6" w:space="0"/>
              <w:right w:val="single" w:color="000000" w:sz="6" w:space="0"/>
            </w:tcBorders>
            <w:vAlign w:val="center"/>
          </w:tcPr>
          <w:p w14:paraId="787C5CC5">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44F23203">
            <w:pPr>
              <w:pStyle w:val="182"/>
              <w:bidi w:val="0"/>
              <w:ind w:firstLine="0" w:firstLineChars="0"/>
              <w:rPr>
                <w:rFonts w:hint="default"/>
                <w:b w:val="0"/>
                <w:bCs w:val="0"/>
                <w:color w:val="auto"/>
                <w:u w:val="none"/>
                <w:lang w:val="en-US" w:eastAsia="zh-CN"/>
              </w:rPr>
            </w:pPr>
            <w:r>
              <w:rPr>
                <w:rFonts w:hint="eastAsia"/>
                <w:b w:val="0"/>
                <w:bCs w:val="0"/>
                <w:color w:val="auto"/>
                <w:u w:val="none"/>
                <w:lang w:val="en-US" w:eastAsia="zh-CN"/>
              </w:rPr>
              <w:t>2139</w:t>
            </w:r>
          </w:p>
        </w:tc>
        <w:tc>
          <w:tcPr>
            <w:tcW w:w="639" w:type="pct"/>
            <w:tcBorders>
              <w:top w:val="single" w:color="000000" w:sz="6" w:space="0"/>
              <w:left w:val="single" w:color="000000" w:sz="6" w:space="0"/>
              <w:bottom w:val="single" w:color="000000" w:sz="6" w:space="0"/>
            </w:tcBorders>
            <w:vAlign w:val="center"/>
          </w:tcPr>
          <w:p w14:paraId="3C04F507">
            <w:pPr>
              <w:pStyle w:val="182"/>
              <w:spacing w:before="62"/>
              <w:ind w:left="186" w:right="164"/>
              <w:rPr>
                <w:b w:val="0"/>
                <w:bCs w:val="0"/>
                <w:color w:val="auto"/>
                <w:u w:val="none"/>
              </w:rPr>
            </w:pPr>
            <w:r>
              <w:rPr>
                <w:b w:val="0"/>
                <w:bCs w:val="0"/>
                <w:color w:val="auto"/>
                <w:u w:val="none"/>
              </w:rPr>
              <w:t>3100</w:t>
            </w:r>
          </w:p>
        </w:tc>
      </w:tr>
      <w:tr w14:paraId="72E8592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3228EDC7">
            <w:pPr>
              <w:pStyle w:val="182"/>
              <w:spacing w:before="62"/>
              <w:ind w:left="191" w:right="176"/>
              <w:rPr>
                <w:b w:val="0"/>
                <w:bCs w:val="0"/>
                <w:color w:val="auto"/>
                <w:u w:val="none"/>
              </w:rPr>
            </w:pPr>
            <w:r>
              <w:rPr>
                <w:b w:val="0"/>
                <w:bCs w:val="0"/>
                <w:color w:val="auto"/>
                <w:u w:val="none"/>
              </w:rPr>
              <w:t>24</w:t>
            </w:r>
          </w:p>
        </w:tc>
        <w:tc>
          <w:tcPr>
            <w:tcW w:w="1132" w:type="pct"/>
            <w:tcBorders>
              <w:top w:val="single" w:color="000000" w:sz="6" w:space="0"/>
              <w:left w:val="single" w:color="000000" w:sz="6" w:space="0"/>
              <w:bottom w:val="single" w:color="000000" w:sz="6" w:space="0"/>
              <w:right w:val="single" w:color="000000" w:sz="6" w:space="0"/>
            </w:tcBorders>
            <w:vAlign w:val="center"/>
          </w:tcPr>
          <w:p w14:paraId="4B1F6835">
            <w:pPr>
              <w:pStyle w:val="182"/>
              <w:spacing w:before="48"/>
              <w:ind w:left="109" w:right="91"/>
              <w:rPr>
                <w:b w:val="0"/>
                <w:bCs w:val="0"/>
                <w:color w:val="auto"/>
                <w:u w:val="none"/>
              </w:rPr>
            </w:pPr>
            <w:r>
              <w:rPr>
                <w:b w:val="0"/>
                <w:bCs w:val="0"/>
                <w:color w:val="auto"/>
                <w:u w:val="none"/>
              </w:rPr>
              <w:t>建业春天里</w:t>
            </w:r>
          </w:p>
        </w:tc>
        <w:tc>
          <w:tcPr>
            <w:tcW w:w="733" w:type="pct"/>
            <w:tcBorders>
              <w:top w:val="single" w:color="000000" w:sz="6" w:space="0"/>
              <w:left w:val="single" w:color="000000" w:sz="6" w:space="0"/>
              <w:bottom w:val="single" w:color="000000" w:sz="6" w:space="0"/>
              <w:right w:val="single" w:color="000000" w:sz="6" w:space="0"/>
            </w:tcBorders>
            <w:vAlign w:val="center"/>
          </w:tcPr>
          <w:p w14:paraId="53AA53FD">
            <w:pPr>
              <w:pStyle w:val="182"/>
              <w:spacing w:before="62"/>
              <w:ind w:left="135" w:right="117"/>
              <w:rPr>
                <w:b w:val="0"/>
                <w:bCs w:val="0"/>
                <w:color w:val="auto"/>
                <w:u w:val="none"/>
              </w:rPr>
            </w:pPr>
            <w:r>
              <w:rPr>
                <w:b w:val="0"/>
                <w:bCs w:val="0"/>
                <w:color w:val="auto"/>
                <w:u w:val="none"/>
              </w:rPr>
              <w:t>-1756</w:t>
            </w:r>
          </w:p>
        </w:tc>
        <w:tc>
          <w:tcPr>
            <w:tcW w:w="736" w:type="pct"/>
            <w:tcBorders>
              <w:top w:val="single" w:color="000000" w:sz="6" w:space="0"/>
              <w:left w:val="single" w:color="000000" w:sz="6" w:space="0"/>
              <w:bottom w:val="single" w:color="000000" w:sz="6" w:space="0"/>
              <w:right w:val="single" w:color="000000" w:sz="6" w:space="0"/>
            </w:tcBorders>
            <w:vAlign w:val="center"/>
          </w:tcPr>
          <w:p w14:paraId="064CF3B5">
            <w:pPr>
              <w:pStyle w:val="182"/>
              <w:spacing w:before="62"/>
              <w:ind w:left="364" w:right="345"/>
              <w:rPr>
                <w:b w:val="0"/>
                <w:bCs w:val="0"/>
                <w:color w:val="auto"/>
                <w:u w:val="none"/>
              </w:rPr>
            </w:pPr>
            <w:r>
              <w:rPr>
                <w:b w:val="0"/>
                <w:bCs w:val="0"/>
                <w:color w:val="auto"/>
                <w:u w:val="none"/>
              </w:rPr>
              <w:t>1850</w:t>
            </w:r>
          </w:p>
        </w:tc>
        <w:tc>
          <w:tcPr>
            <w:tcW w:w="734" w:type="pct"/>
            <w:tcBorders>
              <w:top w:val="single" w:color="000000" w:sz="6" w:space="0"/>
              <w:left w:val="single" w:color="000000" w:sz="6" w:space="0"/>
              <w:bottom w:val="single" w:color="000000" w:sz="6" w:space="0"/>
              <w:right w:val="single" w:color="000000" w:sz="6" w:space="0"/>
            </w:tcBorders>
            <w:vAlign w:val="center"/>
          </w:tcPr>
          <w:p w14:paraId="5F2161D8">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7CDC2D3B">
            <w:pPr>
              <w:pStyle w:val="182"/>
              <w:bidi w:val="0"/>
              <w:ind w:firstLine="0" w:firstLineChars="0"/>
              <w:rPr>
                <w:rFonts w:hint="default"/>
                <w:b w:val="0"/>
                <w:bCs w:val="0"/>
                <w:color w:val="auto"/>
                <w:u w:val="none"/>
                <w:lang w:val="en-US" w:eastAsia="zh-CN"/>
              </w:rPr>
            </w:pPr>
            <w:r>
              <w:rPr>
                <w:rFonts w:hint="eastAsia"/>
                <w:b w:val="0"/>
                <w:bCs w:val="0"/>
                <w:color w:val="auto"/>
                <w:u w:val="none"/>
                <w:lang w:val="en-US" w:eastAsia="zh-CN"/>
              </w:rPr>
              <w:t>2236</w:t>
            </w:r>
          </w:p>
        </w:tc>
        <w:tc>
          <w:tcPr>
            <w:tcW w:w="639" w:type="pct"/>
            <w:tcBorders>
              <w:top w:val="single" w:color="000000" w:sz="6" w:space="0"/>
              <w:left w:val="single" w:color="000000" w:sz="6" w:space="0"/>
              <w:bottom w:val="single" w:color="000000" w:sz="6" w:space="0"/>
            </w:tcBorders>
            <w:vAlign w:val="center"/>
          </w:tcPr>
          <w:p w14:paraId="64E1AF57">
            <w:pPr>
              <w:pStyle w:val="182"/>
              <w:spacing w:before="62"/>
              <w:ind w:left="186" w:right="164"/>
              <w:rPr>
                <w:b w:val="0"/>
                <w:bCs w:val="0"/>
                <w:color w:val="auto"/>
                <w:u w:val="none"/>
              </w:rPr>
            </w:pPr>
            <w:r>
              <w:rPr>
                <w:b w:val="0"/>
                <w:bCs w:val="0"/>
                <w:color w:val="auto"/>
                <w:u w:val="none"/>
              </w:rPr>
              <w:t>4000</w:t>
            </w:r>
          </w:p>
        </w:tc>
      </w:tr>
      <w:tr w14:paraId="08C3D67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5DCC5774">
            <w:pPr>
              <w:pStyle w:val="182"/>
              <w:spacing w:before="62"/>
              <w:ind w:left="191" w:right="176"/>
              <w:rPr>
                <w:b w:val="0"/>
                <w:bCs w:val="0"/>
                <w:color w:val="auto"/>
                <w:u w:val="none"/>
              </w:rPr>
            </w:pPr>
            <w:r>
              <w:rPr>
                <w:b w:val="0"/>
                <w:bCs w:val="0"/>
                <w:color w:val="auto"/>
                <w:u w:val="none"/>
              </w:rPr>
              <w:t>25</w:t>
            </w:r>
          </w:p>
        </w:tc>
        <w:tc>
          <w:tcPr>
            <w:tcW w:w="1132" w:type="pct"/>
            <w:tcBorders>
              <w:top w:val="single" w:color="000000" w:sz="6" w:space="0"/>
              <w:left w:val="single" w:color="000000" w:sz="6" w:space="0"/>
              <w:bottom w:val="single" w:color="000000" w:sz="6" w:space="0"/>
              <w:right w:val="single" w:color="000000" w:sz="6" w:space="0"/>
            </w:tcBorders>
            <w:vAlign w:val="center"/>
          </w:tcPr>
          <w:p w14:paraId="6F69AC6E">
            <w:pPr>
              <w:pStyle w:val="182"/>
              <w:spacing w:before="48"/>
              <w:ind w:left="107" w:right="91"/>
              <w:rPr>
                <w:b w:val="0"/>
                <w:bCs w:val="0"/>
                <w:color w:val="auto"/>
                <w:u w:val="none"/>
              </w:rPr>
            </w:pPr>
            <w:r>
              <w:rPr>
                <w:b w:val="0"/>
                <w:bCs w:val="0"/>
                <w:color w:val="auto"/>
                <w:u w:val="none"/>
              </w:rPr>
              <w:t>格林小镇南区</w:t>
            </w:r>
          </w:p>
        </w:tc>
        <w:tc>
          <w:tcPr>
            <w:tcW w:w="733" w:type="pct"/>
            <w:tcBorders>
              <w:top w:val="single" w:color="000000" w:sz="6" w:space="0"/>
              <w:left w:val="single" w:color="000000" w:sz="6" w:space="0"/>
              <w:bottom w:val="single" w:color="000000" w:sz="6" w:space="0"/>
              <w:right w:val="single" w:color="000000" w:sz="6" w:space="0"/>
            </w:tcBorders>
            <w:vAlign w:val="center"/>
          </w:tcPr>
          <w:p w14:paraId="3CDF073E">
            <w:pPr>
              <w:pStyle w:val="182"/>
              <w:spacing w:before="62"/>
              <w:ind w:left="135" w:right="117"/>
              <w:rPr>
                <w:b w:val="0"/>
                <w:bCs w:val="0"/>
                <w:color w:val="auto"/>
                <w:u w:val="none"/>
              </w:rPr>
            </w:pPr>
            <w:r>
              <w:rPr>
                <w:b w:val="0"/>
                <w:bCs w:val="0"/>
                <w:color w:val="auto"/>
                <w:u w:val="none"/>
              </w:rPr>
              <w:t>-973</w:t>
            </w:r>
          </w:p>
        </w:tc>
        <w:tc>
          <w:tcPr>
            <w:tcW w:w="736" w:type="pct"/>
            <w:tcBorders>
              <w:top w:val="single" w:color="000000" w:sz="6" w:space="0"/>
              <w:left w:val="single" w:color="000000" w:sz="6" w:space="0"/>
              <w:bottom w:val="single" w:color="000000" w:sz="6" w:space="0"/>
              <w:right w:val="single" w:color="000000" w:sz="6" w:space="0"/>
            </w:tcBorders>
            <w:vAlign w:val="center"/>
          </w:tcPr>
          <w:p w14:paraId="52F9E141">
            <w:pPr>
              <w:pStyle w:val="182"/>
              <w:spacing w:before="62"/>
              <w:ind w:left="364" w:right="345"/>
              <w:rPr>
                <w:b w:val="0"/>
                <w:bCs w:val="0"/>
                <w:color w:val="auto"/>
                <w:u w:val="none"/>
              </w:rPr>
            </w:pPr>
            <w:r>
              <w:rPr>
                <w:b w:val="0"/>
                <w:bCs w:val="0"/>
                <w:color w:val="auto"/>
                <w:u w:val="none"/>
              </w:rPr>
              <w:t>1594</w:t>
            </w:r>
          </w:p>
        </w:tc>
        <w:tc>
          <w:tcPr>
            <w:tcW w:w="734" w:type="pct"/>
            <w:tcBorders>
              <w:top w:val="single" w:color="000000" w:sz="6" w:space="0"/>
              <w:left w:val="single" w:color="000000" w:sz="6" w:space="0"/>
              <w:bottom w:val="single" w:color="000000" w:sz="6" w:space="0"/>
              <w:right w:val="single" w:color="000000" w:sz="6" w:space="0"/>
            </w:tcBorders>
            <w:vAlign w:val="center"/>
          </w:tcPr>
          <w:p w14:paraId="4F9C4A5C">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22624653">
            <w:pPr>
              <w:pStyle w:val="182"/>
              <w:bidi w:val="0"/>
              <w:ind w:firstLine="0" w:firstLineChars="0"/>
              <w:rPr>
                <w:b w:val="0"/>
                <w:bCs w:val="0"/>
                <w:color w:val="auto"/>
                <w:u w:val="none"/>
              </w:rPr>
            </w:pPr>
            <w:r>
              <w:rPr>
                <w:b w:val="0"/>
                <w:bCs w:val="0"/>
                <w:color w:val="auto"/>
                <w:u w:val="none"/>
              </w:rPr>
              <w:t>1</w:t>
            </w:r>
            <w:r>
              <w:rPr>
                <w:rFonts w:hint="eastAsia"/>
                <w:b w:val="0"/>
                <w:bCs w:val="0"/>
                <w:color w:val="auto"/>
                <w:u w:val="none"/>
                <w:lang w:val="en-US" w:eastAsia="zh-CN"/>
              </w:rPr>
              <w:t>52</w:t>
            </w:r>
            <w:r>
              <w:rPr>
                <w:b w:val="0"/>
                <w:bCs w:val="0"/>
                <w:color w:val="auto"/>
                <w:u w:val="none"/>
              </w:rPr>
              <w:t>0</w:t>
            </w:r>
          </w:p>
        </w:tc>
        <w:tc>
          <w:tcPr>
            <w:tcW w:w="639" w:type="pct"/>
            <w:tcBorders>
              <w:top w:val="single" w:color="000000" w:sz="6" w:space="0"/>
              <w:left w:val="single" w:color="000000" w:sz="6" w:space="0"/>
              <w:bottom w:val="single" w:color="000000" w:sz="6" w:space="0"/>
            </w:tcBorders>
            <w:vAlign w:val="center"/>
          </w:tcPr>
          <w:p w14:paraId="41B722CA">
            <w:pPr>
              <w:pStyle w:val="182"/>
              <w:spacing w:before="62"/>
              <w:ind w:left="186" w:right="164"/>
              <w:rPr>
                <w:b w:val="0"/>
                <w:bCs w:val="0"/>
                <w:color w:val="auto"/>
                <w:u w:val="none"/>
              </w:rPr>
            </w:pPr>
            <w:r>
              <w:rPr>
                <w:b w:val="0"/>
                <w:bCs w:val="0"/>
                <w:color w:val="auto"/>
                <w:u w:val="none"/>
              </w:rPr>
              <w:t>2000</w:t>
            </w:r>
          </w:p>
        </w:tc>
      </w:tr>
      <w:tr w14:paraId="111E6E6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14686C79">
            <w:pPr>
              <w:pStyle w:val="182"/>
              <w:spacing w:before="62"/>
              <w:ind w:left="191" w:right="176"/>
              <w:rPr>
                <w:b w:val="0"/>
                <w:bCs w:val="0"/>
                <w:color w:val="auto"/>
                <w:u w:val="none"/>
              </w:rPr>
            </w:pPr>
            <w:r>
              <w:rPr>
                <w:b w:val="0"/>
                <w:bCs w:val="0"/>
                <w:color w:val="auto"/>
                <w:u w:val="none"/>
              </w:rPr>
              <w:t>26</w:t>
            </w:r>
          </w:p>
        </w:tc>
        <w:tc>
          <w:tcPr>
            <w:tcW w:w="1132" w:type="pct"/>
            <w:tcBorders>
              <w:top w:val="single" w:color="000000" w:sz="6" w:space="0"/>
              <w:left w:val="single" w:color="000000" w:sz="6" w:space="0"/>
              <w:bottom w:val="single" w:color="000000" w:sz="6" w:space="0"/>
              <w:right w:val="single" w:color="000000" w:sz="6" w:space="0"/>
            </w:tcBorders>
            <w:vAlign w:val="center"/>
          </w:tcPr>
          <w:p w14:paraId="5E6158A8">
            <w:pPr>
              <w:pStyle w:val="182"/>
              <w:spacing w:before="48"/>
              <w:ind w:left="107" w:right="91"/>
              <w:rPr>
                <w:b w:val="0"/>
                <w:bCs w:val="0"/>
                <w:color w:val="auto"/>
                <w:u w:val="none"/>
              </w:rPr>
            </w:pPr>
            <w:r>
              <w:rPr>
                <w:b w:val="0"/>
                <w:bCs w:val="0"/>
                <w:color w:val="auto"/>
                <w:u w:val="none"/>
              </w:rPr>
              <w:t>靖业云溪九里</w:t>
            </w:r>
          </w:p>
        </w:tc>
        <w:tc>
          <w:tcPr>
            <w:tcW w:w="733" w:type="pct"/>
            <w:tcBorders>
              <w:top w:val="single" w:color="000000" w:sz="6" w:space="0"/>
              <w:left w:val="single" w:color="000000" w:sz="6" w:space="0"/>
              <w:bottom w:val="single" w:color="000000" w:sz="6" w:space="0"/>
              <w:right w:val="single" w:color="000000" w:sz="6" w:space="0"/>
            </w:tcBorders>
            <w:vAlign w:val="center"/>
          </w:tcPr>
          <w:p w14:paraId="586C425D">
            <w:pPr>
              <w:pStyle w:val="182"/>
              <w:spacing w:before="62"/>
              <w:ind w:left="135" w:right="117"/>
              <w:rPr>
                <w:b w:val="0"/>
                <w:bCs w:val="0"/>
                <w:color w:val="auto"/>
                <w:u w:val="none"/>
              </w:rPr>
            </w:pPr>
            <w:r>
              <w:rPr>
                <w:b w:val="0"/>
                <w:bCs w:val="0"/>
                <w:color w:val="auto"/>
                <w:u w:val="none"/>
              </w:rPr>
              <w:t>-499</w:t>
            </w:r>
          </w:p>
        </w:tc>
        <w:tc>
          <w:tcPr>
            <w:tcW w:w="736" w:type="pct"/>
            <w:tcBorders>
              <w:top w:val="single" w:color="000000" w:sz="6" w:space="0"/>
              <w:left w:val="single" w:color="000000" w:sz="6" w:space="0"/>
              <w:bottom w:val="single" w:color="000000" w:sz="6" w:space="0"/>
              <w:right w:val="single" w:color="000000" w:sz="6" w:space="0"/>
            </w:tcBorders>
            <w:vAlign w:val="center"/>
          </w:tcPr>
          <w:p w14:paraId="072218A4">
            <w:pPr>
              <w:pStyle w:val="182"/>
              <w:spacing w:before="62"/>
              <w:ind w:left="364" w:right="345"/>
              <w:rPr>
                <w:b w:val="0"/>
                <w:bCs w:val="0"/>
                <w:color w:val="auto"/>
                <w:u w:val="none"/>
              </w:rPr>
            </w:pPr>
            <w:r>
              <w:rPr>
                <w:b w:val="0"/>
                <w:bCs w:val="0"/>
                <w:color w:val="auto"/>
                <w:u w:val="none"/>
              </w:rPr>
              <w:t>2000</w:t>
            </w:r>
          </w:p>
        </w:tc>
        <w:tc>
          <w:tcPr>
            <w:tcW w:w="734" w:type="pct"/>
            <w:tcBorders>
              <w:top w:val="single" w:color="000000" w:sz="6" w:space="0"/>
              <w:left w:val="single" w:color="000000" w:sz="6" w:space="0"/>
              <w:bottom w:val="single" w:color="000000" w:sz="6" w:space="0"/>
              <w:right w:val="single" w:color="000000" w:sz="6" w:space="0"/>
            </w:tcBorders>
            <w:vAlign w:val="center"/>
          </w:tcPr>
          <w:p w14:paraId="17D7EB23">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7F0007FA">
            <w:pPr>
              <w:pStyle w:val="182"/>
              <w:bidi w:val="0"/>
              <w:ind w:firstLine="0" w:firstLineChars="0"/>
              <w:rPr>
                <w:b w:val="0"/>
                <w:bCs w:val="0"/>
                <w:color w:val="auto"/>
                <w:u w:val="none"/>
              </w:rPr>
            </w:pPr>
            <w:r>
              <w:rPr>
                <w:rFonts w:hint="eastAsia"/>
                <w:b w:val="0"/>
                <w:bCs w:val="0"/>
                <w:color w:val="auto"/>
                <w:u w:val="none"/>
                <w:lang w:val="en-US" w:eastAsia="zh-CN"/>
              </w:rPr>
              <w:t>2654</w:t>
            </w:r>
          </w:p>
        </w:tc>
        <w:tc>
          <w:tcPr>
            <w:tcW w:w="639" w:type="pct"/>
            <w:tcBorders>
              <w:top w:val="single" w:color="000000" w:sz="6" w:space="0"/>
              <w:left w:val="single" w:color="000000" w:sz="6" w:space="0"/>
              <w:bottom w:val="single" w:color="000000" w:sz="6" w:space="0"/>
            </w:tcBorders>
            <w:vAlign w:val="center"/>
          </w:tcPr>
          <w:p w14:paraId="17D8FB98">
            <w:pPr>
              <w:pStyle w:val="182"/>
              <w:spacing w:before="62"/>
              <w:ind w:left="186" w:right="164"/>
              <w:rPr>
                <w:b w:val="0"/>
                <w:bCs w:val="0"/>
                <w:color w:val="auto"/>
                <w:u w:val="none"/>
              </w:rPr>
            </w:pPr>
            <w:r>
              <w:rPr>
                <w:b w:val="0"/>
                <w:bCs w:val="0"/>
                <w:color w:val="auto"/>
                <w:u w:val="none"/>
              </w:rPr>
              <w:t>5000</w:t>
            </w:r>
          </w:p>
        </w:tc>
      </w:tr>
      <w:tr w14:paraId="63B23E8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272DA481">
            <w:pPr>
              <w:pStyle w:val="182"/>
              <w:spacing w:before="62"/>
              <w:ind w:left="191" w:right="176"/>
              <w:rPr>
                <w:b w:val="0"/>
                <w:bCs w:val="0"/>
                <w:color w:val="auto"/>
                <w:u w:val="none"/>
              </w:rPr>
            </w:pPr>
            <w:r>
              <w:rPr>
                <w:b w:val="0"/>
                <w:bCs w:val="0"/>
                <w:color w:val="auto"/>
                <w:u w:val="none"/>
              </w:rPr>
              <w:t>27</w:t>
            </w:r>
          </w:p>
        </w:tc>
        <w:tc>
          <w:tcPr>
            <w:tcW w:w="1132" w:type="pct"/>
            <w:tcBorders>
              <w:top w:val="single" w:color="000000" w:sz="6" w:space="0"/>
              <w:left w:val="single" w:color="000000" w:sz="6" w:space="0"/>
              <w:bottom w:val="single" w:color="000000" w:sz="6" w:space="0"/>
              <w:right w:val="single" w:color="000000" w:sz="6" w:space="0"/>
            </w:tcBorders>
            <w:vAlign w:val="center"/>
          </w:tcPr>
          <w:p w14:paraId="6F8C6FC5">
            <w:pPr>
              <w:pStyle w:val="182"/>
              <w:spacing w:before="48"/>
              <w:ind w:left="109" w:right="91"/>
              <w:rPr>
                <w:b w:val="0"/>
                <w:bCs w:val="0"/>
                <w:color w:val="auto"/>
                <w:u w:val="none"/>
              </w:rPr>
            </w:pPr>
            <w:r>
              <w:rPr>
                <w:b w:val="0"/>
                <w:bCs w:val="0"/>
                <w:color w:val="auto"/>
                <w:u w:val="none"/>
              </w:rPr>
              <w:t>紫东上院</w:t>
            </w:r>
          </w:p>
        </w:tc>
        <w:tc>
          <w:tcPr>
            <w:tcW w:w="733" w:type="pct"/>
            <w:tcBorders>
              <w:top w:val="single" w:color="000000" w:sz="6" w:space="0"/>
              <w:left w:val="single" w:color="000000" w:sz="6" w:space="0"/>
              <w:bottom w:val="single" w:color="000000" w:sz="6" w:space="0"/>
              <w:right w:val="single" w:color="000000" w:sz="6" w:space="0"/>
            </w:tcBorders>
            <w:vAlign w:val="center"/>
          </w:tcPr>
          <w:p w14:paraId="51D4ABA1">
            <w:pPr>
              <w:pStyle w:val="182"/>
              <w:spacing w:before="62"/>
              <w:ind w:left="135" w:right="117"/>
              <w:rPr>
                <w:b w:val="0"/>
                <w:bCs w:val="0"/>
                <w:color w:val="auto"/>
                <w:u w:val="none"/>
              </w:rPr>
            </w:pPr>
            <w:r>
              <w:rPr>
                <w:b w:val="0"/>
                <w:bCs w:val="0"/>
                <w:color w:val="auto"/>
                <w:u w:val="none"/>
              </w:rPr>
              <w:t>-1086</w:t>
            </w:r>
          </w:p>
        </w:tc>
        <w:tc>
          <w:tcPr>
            <w:tcW w:w="736" w:type="pct"/>
            <w:tcBorders>
              <w:top w:val="single" w:color="000000" w:sz="6" w:space="0"/>
              <w:left w:val="single" w:color="000000" w:sz="6" w:space="0"/>
              <w:bottom w:val="single" w:color="000000" w:sz="6" w:space="0"/>
              <w:right w:val="single" w:color="000000" w:sz="6" w:space="0"/>
            </w:tcBorders>
            <w:vAlign w:val="center"/>
          </w:tcPr>
          <w:p w14:paraId="3EF7CF5A">
            <w:pPr>
              <w:pStyle w:val="182"/>
              <w:spacing w:before="62"/>
              <w:ind w:left="364" w:right="345"/>
              <w:rPr>
                <w:b w:val="0"/>
                <w:bCs w:val="0"/>
                <w:color w:val="auto"/>
                <w:u w:val="none"/>
              </w:rPr>
            </w:pPr>
            <w:r>
              <w:rPr>
                <w:b w:val="0"/>
                <w:bCs w:val="0"/>
                <w:color w:val="auto"/>
                <w:u w:val="none"/>
              </w:rPr>
              <w:t>1865</w:t>
            </w:r>
          </w:p>
        </w:tc>
        <w:tc>
          <w:tcPr>
            <w:tcW w:w="734" w:type="pct"/>
            <w:tcBorders>
              <w:top w:val="single" w:color="000000" w:sz="6" w:space="0"/>
              <w:left w:val="single" w:color="000000" w:sz="6" w:space="0"/>
              <w:bottom w:val="single" w:color="000000" w:sz="6" w:space="0"/>
              <w:right w:val="single" w:color="000000" w:sz="6" w:space="0"/>
            </w:tcBorders>
            <w:vAlign w:val="center"/>
          </w:tcPr>
          <w:p w14:paraId="1C5EE985">
            <w:pPr>
              <w:pStyle w:val="182"/>
              <w:spacing w:before="48"/>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704BE56C">
            <w:pPr>
              <w:pStyle w:val="182"/>
              <w:spacing w:before="62"/>
              <w:ind w:left="266" w:right="249"/>
              <w:rPr>
                <w:b w:val="0"/>
                <w:bCs w:val="0"/>
                <w:color w:val="auto"/>
                <w:u w:val="none"/>
              </w:rPr>
            </w:pPr>
            <w:r>
              <w:rPr>
                <w:b w:val="0"/>
                <w:bCs w:val="0"/>
                <w:color w:val="auto"/>
                <w:u w:val="none"/>
              </w:rPr>
              <w:t>1810</w:t>
            </w:r>
          </w:p>
        </w:tc>
        <w:tc>
          <w:tcPr>
            <w:tcW w:w="639" w:type="pct"/>
            <w:tcBorders>
              <w:top w:val="single" w:color="000000" w:sz="6" w:space="0"/>
              <w:left w:val="single" w:color="000000" w:sz="6" w:space="0"/>
              <w:bottom w:val="single" w:color="000000" w:sz="6" w:space="0"/>
            </w:tcBorders>
            <w:vAlign w:val="center"/>
          </w:tcPr>
          <w:p w14:paraId="0935FBC9">
            <w:pPr>
              <w:pStyle w:val="182"/>
              <w:spacing w:before="62"/>
              <w:ind w:left="186" w:right="164"/>
              <w:rPr>
                <w:b w:val="0"/>
                <w:bCs w:val="0"/>
                <w:color w:val="auto"/>
                <w:u w:val="none"/>
              </w:rPr>
            </w:pPr>
            <w:r>
              <w:rPr>
                <w:b w:val="0"/>
                <w:bCs w:val="0"/>
                <w:color w:val="auto"/>
                <w:u w:val="none"/>
              </w:rPr>
              <w:t>1100</w:t>
            </w:r>
          </w:p>
        </w:tc>
      </w:tr>
      <w:tr w14:paraId="3BCEF98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0F86929A">
            <w:pPr>
              <w:pStyle w:val="182"/>
              <w:spacing w:before="62"/>
              <w:ind w:left="191" w:right="176"/>
              <w:rPr>
                <w:b w:val="0"/>
                <w:bCs w:val="0"/>
                <w:color w:val="auto"/>
                <w:u w:val="none"/>
              </w:rPr>
            </w:pPr>
            <w:r>
              <w:rPr>
                <w:b w:val="0"/>
                <w:bCs w:val="0"/>
                <w:color w:val="auto"/>
                <w:u w:val="none"/>
              </w:rPr>
              <w:t>28</w:t>
            </w:r>
          </w:p>
        </w:tc>
        <w:tc>
          <w:tcPr>
            <w:tcW w:w="1132" w:type="pct"/>
            <w:tcBorders>
              <w:top w:val="single" w:color="000000" w:sz="6" w:space="0"/>
              <w:left w:val="single" w:color="000000" w:sz="6" w:space="0"/>
              <w:bottom w:val="single" w:color="000000" w:sz="6" w:space="0"/>
              <w:right w:val="single" w:color="000000" w:sz="6" w:space="0"/>
            </w:tcBorders>
            <w:vAlign w:val="center"/>
          </w:tcPr>
          <w:p w14:paraId="574C537B">
            <w:pPr>
              <w:pStyle w:val="182"/>
              <w:spacing w:before="48"/>
              <w:ind w:left="107" w:right="91"/>
              <w:rPr>
                <w:b w:val="0"/>
                <w:bCs w:val="0"/>
                <w:color w:val="auto"/>
                <w:u w:val="none"/>
              </w:rPr>
            </w:pPr>
            <w:r>
              <w:rPr>
                <w:b w:val="0"/>
                <w:bCs w:val="0"/>
                <w:color w:val="auto"/>
                <w:u w:val="none"/>
              </w:rPr>
              <w:t>太行堤遗址公园</w:t>
            </w:r>
          </w:p>
        </w:tc>
        <w:tc>
          <w:tcPr>
            <w:tcW w:w="733" w:type="pct"/>
            <w:tcBorders>
              <w:top w:val="single" w:color="000000" w:sz="6" w:space="0"/>
              <w:left w:val="single" w:color="000000" w:sz="6" w:space="0"/>
              <w:bottom w:val="single" w:color="000000" w:sz="6" w:space="0"/>
              <w:right w:val="single" w:color="000000" w:sz="6" w:space="0"/>
            </w:tcBorders>
            <w:vAlign w:val="center"/>
          </w:tcPr>
          <w:p w14:paraId="5AEB3F7B">
            <w:pPr>
              <w:pStyle w:val="182"/>
              <w:spacing w:before="62"/>
              <w:ind w:left="135" w:right="117"/>
              <w:rPr>
                <w:b w:val="0"/>
                <w:bCs w:val="0"/>
                <w:color w:val="auto"/>
                <w:u w:val="none"/>
              </w:rPr>
            </w:pPr>
            <w:r>
              <w:rPr>
                <w:b w:val="0"/>
                <w:bCs w:val="0"/>
                <w:color w:val="auto"/>
                <w:u w:val="none"/>
              </w:rPr>
              <w:t>1089</w:t>
            </w:r>
          </w:p>
        </w:tc>
        <w:tc>
          <w:tcPr>
            <w:tcW w:w="736" w:type="pct"/>
            <w:tcBorders>
              <w:top w:val="single" w:color="000000" w:sz="6" w:space="0"/>
              <w:left w:val="single" w:color="000000" w:sz="6" w:space="0"/>
              <w:bottom w:val="single" w:color="000000" w:sz="6" w:space="0"/>
              <w:right w:val="single" w:color="000000" w:sz="6" w:space="0"/>
            </w:tcBorders>
            <w:vAlign w:val="center"/>
          </w:tcPr>
          <w:p w14:paraId="47DC37B0">
            <w:pPr>
              <w:pStyle w:val="182"/>
              <w:spacing w:before="62"/>
              <w:ind w:left="364" w:right="345"/>
              <w:rPr>
                <w:b w:val="0"/>
                <w:bCs w:val="0"/>
                <w:color w:val="auto"/>
                <w:u w:val="none"/>
              </w:rPr>
            </w:pPr>
            <w:r>
              <w:rPr>
                <w:b w:val="0"/>
                <w:bCs w:val="0"/>
                <w:color w:val="auto"/>
                <w:u w:val="none"/>
              </w:rPr>
              <w:t>-136</w:t>
            </w:r>
          </w:p>
        </w:tc>
        <w:tc>
          <w:tcPr>
            <w:tcW w:w="734" w:type="pct"/>
            <w:tcBorders>
              <w:top w:val="single" w:color="000000" w:sz="6" w:space="0"/>
              <w:left w:val="single" w:color="000000" w:sz="6" w:space="0"/>
              <w:bottom w:val="single" w:color="000000" w:sz="6" w:space="0"/>
              <w:right w:val="single" w:color="000000" w:sz="6" w:space="0"/>
            </w:tcBorders>
            <w:vAlign w:val="center"/>
          </w:tcPr>
          <w:p w14:paraId="00397077">
            <w:pPr>
              <w:pStyle w:val="182"/>
              <w:spacing w:before="48"/>
              <w:ind w:left="16"/>
              <w:rPr>
                <w:b w:val="0"/>
                <w:bCs w:val="0"/>
                <w:color w:val="auto"/>
                <w:u w:val="none"/>
              </w:rPr>
            </w:pPr>
            <w:r>
              <w:rPr>
                <w:b w:val="0"/>
                <w:bCs w:val="0"/>
                <w:color w:val="auto"/>
                <w:u w:val="none"/>
              </w:rPr>
              <w:t>东</w:t>
            </w:r>
          </w:p>
        </w:tc>
        <w:tc>
          <w:tcPr>
            <w:tcW w:w="642" w:type="pct"/>
            <w:tcBorders>
              <w:top w:val="single" w:color="000000" w:sz="6" w:space="0"/>
              <w:left w:val="single" w:color="000000" w:sz="6" w:space="0"/>
              <w:bottom w:val="single" w:color="000000" w:sz="6" w:space="0"/>
              <w:right w:val="single" w:color="000000" w:sz="6" w:space="0"/>
            </w:tcBorders>
            <w:vAlign w:val="center"/>
          </w:tcPr>
          <w:p w14:paraId="0FDBE5C8">
            <w:pPr>
              <w:pStyle w:val="182"/>
              <w:spacing w:before="62"/>
              <w:ind w:left="266" w:right="249"/>
              <w:rPr>
                <w:rFonts w:hint="default" w:eastAsia="宋体"/>
                <w:b w:val="0"/>
                <w:bCs w:val="0"/>
                <w:color w:val="auto"/>
                <w:u w:val="none"/>
                <w:lang w:val="en-US" w:eastAsia="zh-CN"/>
              </w:rPr>
            </w:pPr>
            <w:r>
              <w:rPr>
                <w:rFonts w:hint="eastAsia"/>
                <w:b w:val="0"/>
                <w:bCs w:val="0"/>
                <w:color w:val="auto"/>
                <w:u w:val="none"/>
                <w:lang w:val="en-US" w:eastAsia="zh-CN"/>
              </w:rPr>
              <w:t>1030</w:t>
            </w:r>
          </w:p>
        </w:tc>
        <w:tc>
          <w:tcPr>
            <w:tcW w:w="639" w:type="pct"/>
            <w:tcBorders>
              <w:top w:val="single" w:color="000000" w:sz="6" w:space="0"/>
              <w:left w:val="single" w:color="000000" w:sz="6" w:space="0"/>
              <w:bottom w:val="single" w:color="000000" w:sz="6" w:space="0"/>
            </w:tcBorders>
            <w:vAlign w:val="center"/>
          </w:tcPr>
          <w:p w14:paraId="06F1BDD7">
            <w:pPr>
              <w:pStyle w:val="182"/>
              <w:spacing w:before="62"/>
              <w:ind w:left="19"/>
              <w:rPr>
                <w:b w:val="0"/>
                <w:bCs w:val="0"/>
                <w:color w:val="auto"/>
                <w:u w:val="none"/>
              </w:rPr>
            </w:pPr>
            <w:r>
              <w:rPr>
                <w:b w:val="0"/>
                <w:bCs w:val="0"/>
                <w:color w:val="auto"/>
                <w:u w:val="none"/>
              </w:rPr>
              <w:t>/</w:t>
            </w:r>
          </w:p>
        </w:tc>
      </w:tr>
      <w:tr w14:paraId="1EFD02A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381" w:type="pct"/>
            <w:tcBorders>
              <w:top w:val="single" w:color="000000" w:sz="6" w:space="0"/>
              <w:bottom w:val="single" w:color="000000" w:sz="6" w:space="0"/>
              <w:right w:val="single" w:color="000000" w:sz="6" w:space="0"/>
            </w:tcBorders>
            <w:vAlign w:val="center"/>
          </w:tcPr>
          <w:p w14:paraId="4AD24076">
            <w:pPr>
              <w:pStyle w:val="182"/>
              <w:spacing w:before="62"/>
              <w:ind w:left="191" w:right="176"/>
              <w:rPr>
                <w:b w:val="0"/>
                <w:bCs w:val="0"/>
                <w:color w:val="auto"/>
                <w:u w:val="none"/>
              </w:rPr>
            </w:pPr>
            <w:r>
              <w:rPr>
                <w:b w:val="0"/>
                <w:bCs w:val="0"/>
                <w:color w:val="auto"/>
                <w:u w:val="none"/>
              </w:rPr>
              <w:t>29</w:t>
            </w:r>
          </w:p>
        </w:tc>
        <w:tc>
          <w:tcPr>
            <w:tcW w:w="1132" w:type="pct"/>
            <w:tcBorders>
              <w:top w:val="single" w:color="000000" w:sz="6" w:space="0"/>
              <w:left w:val="single" w:color="000000" w:sz="6" w:space="0"/>
              <w:bottom w:val="single" w:color="000000" w:sz="6" w:space="0"/>
              <w:right w:val="single" w:color="000000" w:sz="6" w:space="0"/>
            </w:tcBorders>
            <w:vAlign w:val="center"/>
          </w:tcPr>
          <w:p w14:paraId="7051EC48">
            <w:pPr>
              <w:pStyle w:val="182"/>
              <w:spacing w:before="48"/>
              <w:ind w:left="109" w:right="91"/>
              <w:rPr>
                <w:b w:val="0"/>
                <w:bCs w:val="0"/>
                <w:color w:val="auto"/>
                <w:u w:val="none"/>
              </w:rPr>
            </w:pPr>
            <w:r>
              <w:rPr>
                <w:b w:val="0"/>
                <w:bCs w:val="0"/>
                <w:color w:val="auto"/>
                <w:u w:val="none"/>
              </w:rPr>
              <w:t>小王庄村</w:t>
            </w:r>
          </w:p>
        </w:tc>
        <w:tc>
          <w:tcPr>
            <w:tcW w:w="733" w:type="pct"/>
            <w:tcBorders>
              <w:top w:val="single" w:color="000000" w:sz="6" w:space="0"/>
              <w:left w:val="single" w:color="000000" w:sz="6" w:space="0"/>
              <w:bottom w:val="single" w:color="000000" w:sz="6" w:space="0"/>
              <w:right w:val="single" w:color="000000" w:sz="6" w:space="0"/>
            </w:tcBorders>
            <w:vAlign w:val="center"/>
          </w:tcPr>
          <w:p w14:paraId="5730475C">
            <w:pPr>
              <w:pStyle w:val="182"/>
              <w:spacing w:before="62"/>
              <w:ind w:left="135" w:right="115"/>
              <w:rPr>
                <w:b w:val="0"/>
                <w:bCs w:val="0"/>
                <w:color w:val="auto"/>
                <w:u w:val="none"/>
              </w:rPr>
            </w:pPr>
            <w:r>
              <w:rPr>
                <w:b w:val="0"/>
                <w:bCs w:val="0"/>
                <w:color w:val="auto"/>
                <w:u w:val="none"/>
              </w:rPr>
              <w:t>928</w:t>
            </w:r>
          </w:p>
        </w:tc>
        <w:tc>
          <w:tcPr>
            <w:tcW w:w="736" w:type="pct"/>
            <w:tcBorders>
              <w:top w:val="single" w:color="000000" w:sz="6" w:space="0"/>
              <w:left w:val="single" w:color="000000" w:sz="6" w:space="0"/>
              <w:bottom w:val="single" w:color="000000" w:sz="6" w:space="0"/>
              <w:right w:val="single" w:color="000000" w:sz="6" w:space="0"/>
            </w:tcBorders>
            <w:vAlign w:val="center"/>
          </w:tcPr>
          <w:p w14:paraId="4C28765C">
            <w:pPr>
              <w:pStyle w:val="182"/>
              <w:spacing w:before="62"/>
              <w:ind w:left="364" w:right="345"/>
              <w:rPr>
                <w:b w:val="0"/>
                <w:bCs w:val="0"/>
                <w:color w:val="auto"/>
                <w:u w:val="none"/>
              </w:rPr>
            </w:pPr>
            <w:r>
              <w:rPr>
                <w:b w:val="0"/>
                <w:bCs w:val="0"/>
                <w:color w:val="auto"/>
                <w:u w:val="none"/>
              </w:rPr>
              <w:t>4330</w:t>
            </w:r>
          </w:p>
        </w:tc>
        <w:tc>
          <w:tcPr>
            <w:tcW w:w="734" w:type="pct"/>
            <w:tcBorders>
              <w:top w:val="single" w:color="000000" w:sz="6" w:space="0"/>
              <w:left w:val="single" w:color="000000" w:sz="6" w:space="0"/>
              <w:bottom w:val="single" w:color="000000" w:sz="6" w:space="0"/>
              <w:right w:val="single" w:color="000000" w:sz="6" w:space="0"/>
            </w:tcBorders>
            <w:vAlign w:val="center"/>
          </w:tcPr>
          <w:p w14:paraId="0B8C0231">
            <w:pPr>
              <w:pStyle w:val="182"/>
              <w:spacing w:before="48"/>
              <w:ind w:left="133" w:right="120"/>
              <w:rPr>
                <w:b w:val="0"/>
                <w:bCs w:val="0"/>
                <w:color w:val="auto"/>
                <w:u w:val="none"/>
              </w:rPr>
            </w:pPr>
            <w:r>
              <w:rPr>
                <w:b w:val="0"/>
                <w:bCs w:val="0"/>
                <w:color w:val="auto"/>
                <w:u w:val="none"/>
              </w:rPr>
              <w:t>东北</w:t>
            </w:r>
          </w:p>
        </w:tc>
        <w:tc>
          <w:tcPr>
            <w:tcW w:w="642" w:type="pct"/>
            <w:tcBorders>
              <w:top w:val="single" w:color="000000" w:sz="6" w:space="0"/>
              <w:left w:val="single" w:color="000000" w:sz="6" w:space="0"/>
              <w:bottom w:val="single" w:color="000000" w:sz="6" w:space="0"/>
              <w:right w:val="single" w:color="000000" w:sz="6" w:space="0"/>
            </w:tcBorders>
            <w:vAlign w:val="center"/>
          </w:tcPr>
          <w:p w14:paraId="0DFD0A2D">
            <w:pPr>
              <w:pStyle w:val="182"/>
              <w:spacing w:before="62"/>
              <w:ind w:left="266" w:right="249"/>
              <w:rPr>
                <w:b w:val="0"/>
                <w:bCs w:val="0"/>
                <w:color w:val="auto"/>
                <w:u w:val="none"/>
              </w:rPr>
            </w:pPr>
            <w:r>
              <w:rPr>
                <w:b w:val="0"/>
                <w:bCs w:val="0"/>
                <w:color w:val="auto"/>
                <w:u w:val="none"/>
              </w:rPr>
              <w:t>3990</w:t>
            </w:r>
          </w:p>
        </w:tc>
        <w:tc>
          <w:tcPr>
            <w:tcW w:w="639" w:type="pct"/>
            <w:vMerge w:val="restart"/>
            <w:tcBorders>
              <w:top w:val="single" w:color="000000" w:sz="6" w:space="0"/>
              <w:left w:val="single" w:color="000000" w:sz="6" w:space="0"/>
              <w:bottom w:val="single" w:color="000000" w:sz="6" w:space="0"/>
            </w:tcBorders>
            <w:vAlign w:val="center"/>
          </w:tcPr>
          <w:p w14:paraId="3B669A86">
            <w:pPr>
              <w:pStyle w:val="182"/>
              <w:spacing w:before="10"/>
              <w:jc w:val="left"/>
              <w:rPr>
                <w:b w:val="0"/>
                <w:bCs w:val="0"/>
                <w:color w:val="auto"/>
                <w:u w:val="none"/>
              </w:rPr>
            </w:pPr>
          </w:p>
          <w:p w14:paraId="7ACF48E7">
            <w:pPr>
              <w:pStyle w:val="182"/>
              <w:spacing w:before="1"/>
              <w:ind w:left="338"/>
              <w:jc w:val="left"/>
              <w:rPr>
                <w:b w:val="0"/>
                <w:bCs w:val="0"/>
                <w:color w:val="auto"/>
                <w:u w:val="none"/>
              </w:rPr>
            </w:pPr>
            <w:r>
              <w:rPr>
                <w:b w:val="0"/>
                <w:bCs w:val="0"/>
                <w:color w:val="auto"/>
                <w:u w:val="none"/>
              </w:rPr>
              <w:t>8100</w:t>
            </w:r>
          </w:p>
        </w:tc>
      </w:tr>
      <w:tr w14:paraId="0D9C552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7A4F9BC7">
            <w:pPr>
              <w:pStyle w:val="182"/>
              <w:spacing w:before="62"/>
              <w:ind w:left="191" w:right="176"/>
              <w:rPr>
                <w:b w:val="0"/>
                <w:bCs w:val="0"/>
                <w:color w:val="auto"/>
                <w:u w:val="none"/>
              </w:rPr>
            </w:pPr>
            <w:r>
              <w:rPr>
                <w:b w:val="0"/>
                <w:bCs w:val="0"/>
                <w:color w:val="auto"/>
                <w:u w:val="none"/>
              </w:rPr>
              <w:t>30</w:t>
            </w:r>
          </w:p>
        </w:tc>
        <w:tc>
          <w:tcPr>
            <w:tcW w:w="1132" w:type="pct"/>
            <w:tcBorders>
              <w:top w:val="single" w:color="000000" w:sz="6" w:space="0"/>
              <w:left w:val="single" w:color="000000" w:sz="6" w:space="0"/>
              <w:bottom w:val="single" w:color="000000" w:sz="6" w:space="0"/>
              <w:right w:val="single" w:color="000000" w:sz="6" w:space="0"/>
            </w:tcBorders>
            <w:vAlign w:val="center"/>
          </w:tcPr>
          <w:p w14:paraId="3668B8EB">
            <w:pPr>
              <w:pStyle w:val="182"/>
              <w:spacing w:before="48"/>
              <w:ind w:left="107" w:right="91"/>
              <w:rPr>
                <w:b w:val="0"/>
                <w:bCs w:val="0"/>
                <w:color w:val="auto"/>
                <w:u w:val="none"/>
              </w:rPr>
            </w:pPr>
            <w:r>
              <w:rPr>
                <w:b w:val="0"/>
                <w:bCs w:val="0"/>
                <w:color w:val="auto"/>
                <w:u w:val="none"/>
              </w:rPr>
              <w:t>东屯镇</w:t>
            </w:r>
          </w:p>
        </w:tc>
        <w:tc>
          <w:tcPr>
            <w:tcW w:w="733" w:type="pct"/>
            <w:tcBorders>
              <w:top w:val="single" w:color="000000" w:sz="6" w:space="0"/>
              <w:left w:val="single" w:color="000000" w:sz="6" w:space="0"/>
              <w:bottom w:val="single" w:color="000000" w:sz="6" w:space="0"/>
              <w:right w:val="single" w:color="000000" w:sz="6" w:space="0"/>
            </w:tcBorders>
            <w:vAlign w:val="center"/>
          </w:tcPr>
          <w:p w14:paraId="3F3995FC">
            <w:pPr>
              <w:pStyle w:val="182"/>
              <w:spacing w:before="62"/>
              <w:ind w:left="135" w:right="117"/>
              <w:rPr>
                <w:b w:val="0"/>
                <w:bCs w:val="0"/>
                <w:color w:val="auto"/>
                <w:u w:val="none"/>
              </w:rPr>
            </w:pPr>
            <w:r>
              <w:rPr>
                <w:b w:val="0"/>
                <w:bCs w:val="0"/>
                <w:color w:val="auto"/>
                <w:u w:val="none"/>
              </w:rPr>
              <w:t>1545</w:t>
            </w:r>
          </w:p>
        </w:tc>
        <w:tc>
          <w:tcPr>
            <w:tcW w:w="736" w:type="pct"/>
            <w:tcBorders>
              <w:top w:val="single" w:color="000000" w:sz="6" w:space="0"/>
              <w:left w:val="single" w:color="000000" w:sz="6" w:space="0"/>
              <w:bottom w:val="single" w:color="000000" w:sz="6" w:space="0"/>
              <w:right w:val="single" w:color="000000" w:sz="6" w:space="0"/>
            </w:tcBorders>
            <w:vAlign w:val="center"/>
          </w:tcPr>
          <w:p w14:paraId="4D18BC34">
            <w:pPr>
              <w:pStyle w:val="182"/>
              <w:spacing w:before="62"/>
              <w:ind w:left="364" w:right="345"/>
              <w:rPr>
                <w:b w:val="0"/>
                <w:bCs w:val="0"/>
                <w:color w:val="auto"/>
                <w:u w:val="none"/>
              </w:rPr>
            </w:pPr>
            <w:r>
              <w:rPr>
                <w:b w:val="0"/>
                <w:bCs w:val="0"/>
                <w:color w:val="auto"/>
                <w:u w:val="none"/>
              </w:rPr>
              <w:t>4861</w:t>
            </w:r>
          </w:p>
        </w:tc>
        <w:tc>
          <w:tcPr>
            <w:tcW w:w="734" w:type="pct"/>
            <w:tcBorders>
              <w:top w:val="single" w:color="000000" w:sz="6" w:space="0"/>
              <w:left w:val="single" w:color="000000" w:sz="6" w:space="0"/>
              <w:bottom w:val="single" w:color="000000" w:sz="6" w:space="0"/>
              <w:right w:val="single" w:color="000000" w:sz="6" w:space="0"/>
            </w:tcBorders>
            <w:vAlign w:val="center"/>
          </w:tcPr>
          <w:p w14:paraId="052CE9E2">
            <w:pPr>
              <w:pStyle w:val="182"/>
              <w:spacing w:before="48"/>
              <w:ind w:left="133" w:right="120"/>
              <w:rPr>
                <w:b w:val="0"/>
                <w:bCs w:val="0"/>
                <w:color w:val="auto"/>
                <w:u w:val="none"/>
              </w:rPr>
            </w:pPr>
            <w:r>
              <w:rPr>
                <w:b w:val="0"/>
                <w:bCs w:val="0"/>
                <w:color w:val="auto"/>
                <w:u w:val="none"/>
              </w:rPr>
              <w:t>东北</w:t>
            </w:r>
          </w:p>
        </w:tc>
        <w:tc>
          <w:tcPr>
            <w:tcW w:w="642" w:type="pct"/>
            <w:tcBorders>
              <w:top w:val="single" w:color="000000" w:sz="6" w:space="0"/>
              <w:left w:val="single" w:color="000000" w:sz="6" w:space="0"/>
              <w:bottom w:val="single" w:color="000000" w:sz="6" w:space="0"/>
              <w:right w:val="single" w:color="000000" w:sz="6" w:space="0"/>
            </w:tcBorders>
            <w:vAlign w:val="center"/>
          </w:tcPr>
          <w:p w14:paraId="382199FB">
            <w:pPr>
              <w:pStyle w:val="182"/>
              <w:spacing w:before="62"/>
              <w:ind w:left="266" w:right="249"/>
              <w:rPr>
                <w:b w:val="0"/>
                <w:bCs w:val="0"/>
                <w:color w:val="auto"/>
                <w:u w:val="none"/>
              </w:rPr>
            </w:pPr>
            <w:r>
              <w:rPr>
                <w:b w:val="0"/>
                <w:bCs w:val="0"/>
                <w:color w:val="auto"/>
                <w:u w:val="none"/>
              </w:rPr>
              <w:t>4480</w:t>
            </w:r>
          </w:p>
        </w:tc>
        <w:tc>
          <w:tcPr>
            <w:tcW w:w="639" w:type="pct"/>
            <w:vMerge w:val="continue"/>
            <w:tcBorders>
              <w:top w:val="nil"/>
              <w:left w:val="single" w:color="000000" w:sz="6" w:space="0"/>
              <w:bottom w:val="single" w:color="000000" w:sz="6" w:space="0"/>
            </w:tcBorders>
            <w:vAlign w:val="center"/>
          </w:tcPr>
          <w:p w14:paraId="30A94B62">
            <w:pPr>
              <w:pStyle w:val="182"/>
              <w:rPr>
                <w:b w:val="0"/>
                <w:bCs w:val="0"/>
                <w:color w:val="auto"/>
                <w:u w:val="none"/>
              </w:rPr>
            </w:pPr>
          </w:p>
        </w:tc>
      </w:tr>
      <w:tr w14:paraId="4F16874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324C1FE6">
            <w:pPr>
              <w:pStyle w:val="182"/>
              <w:spacing w:before="62"/>
              <w:ind w:left="191" w:right="176"/>
              <w:rPr>
                <w:b w:val="0"/>
                <w:bCs w:val="0"/>
                <w:color w:val="auto"/>
                <w:u w:val="none"/>
              </w:rPr>
            </w:pPr>
            <w:r>
              <w:rPr>
                <w:b w:val="0"/>
                <w:bCs w:val="0"/>
                <w:color w:val="auto"/>
                <w:u w:val="none"/>
              </w:rPr>
              <w:t>31</w:t>
            </w:r>
          </w:p>
        </w:tc>
        <w:tc>
          <w:tcPr>
            <w:tcW w:w="1132" w:type="pct"/>
            <w:tcBorders>
              <w:top w:val="single" w:color="000000" w:sz="6" w:space="0"/>
              <w:left w:val="single" w:color="000000" w:sz="6" w:space="0"/>
              <w:bottom w:val="single" w:color="000000" w:sz="6" w:space="0"/>
              <w:right w:val="single" w:color="000000" w:sz="6" w:space="0"/>
            </w:tcBorders>
            <w:vAlign w:val="center"/>
          </w:tcPr>
          <w:p w14:paraId="6EF794D9">
            <w:pPr>
              <w:pStyle w:val="182"/>
              <w:spacing w:before="48"/>
              <w:ind w:left="109" w:right="91"/>
              <w:rPr>
                <w:b w:val="0"/>
                <w:bCs w:val="0"/>
                <w:color w:val="auto"/>
                <w:u w:val="none"/>
              </w:rPr>
            </w:pPr>
            <w:r>
              <w:rPr>
                <w:b w:val="0"/>
                <w:bCs w:val="0"/>
                <w:color w:val="auto"/>
                <w:u w:val="none"/>
              </w:rPr>
              <w:t>水花堡村</w:t>
            </w:r>
          </w:p>
        </w:tc>
        <w:tc>
          <w:tcPr>
            <w:tcW w:w="733" w:type="pct"/>
            <w:tcBorders>
              <w:top w:val="single" w:color="000000" w:sz="6" w:space="0"/>
              <w:left w:val="single" w:color="000000" w:sz="6" w:space="0"/>
              <w:bottom w:val="single" w:color="000000" w:sz="6" w:space="0"/>
              <w:right w:val="single" w:color="000000" w:sz="6" w:space="0"/>
            </w:tcBorders>
            <w:vAlign w:val="center"/>
          </w:tcPr>
          <w:p w14:paraId="63E0F1A4">
            <w:pPr>
              <w:pStyle w:val="182"/>
              <w:spacing w:before="62"/>
              <w:ind w:left="135" w:right="117"/>
              <w:rPr>
                <w:b w:val="0"/>
                <w:bCs w:val="0"/>
                <w:color w:val="auto"/>
                <w:u w:val="none"/>
              </w:rPr>
            </w:pPr>
            <w:r>
              <w:rPr>
                <w:b w:val="0"/>
                <w:bCs w:val="0"/>
                <w:color w:val="auto"/>
                <w:u w:val="none"/>
              </w:rPr>
              <w:t>2585</w:t>
            </w:r>
          </w:p>
        </w:tc>
        <w:tc>
          <w:tcPr>
            <w:tcW w:w="736" w:type="pct"/>
            <w:tcBorders>
              <w:top w:val="single" w:color="000000" w:sz="6" w:space="0"/>
              <w:left w:val="single" w:color="000000" w:sz="6" w:space="0"/>
              <w:bottom w:val="single" w:color="000000" w:sz="6" w:space="0"/>
              <w:right w:val="single" w:color="000000" w:sz="6" w:space="0"/>
            </w:tcBorders>
            <w:vAlign w:val="center"/>
          </w:tcPr>
          <w:p w14:paraId="5E34E8BC">
            <w:pPr>
              <w:pStyle w:val="182"/>
              <w:spacing w:before="62"/>
              <w:ind w:left="364" w:right="345"/>
              <w:rPr>
                <w:b w:val="0"/>
                <w:bCs w:val="0"/>
                <w:color w:val="auto"/>
                <w:u w:val="none"/>
              </w:rPr>
            </w:pPr>
            <w:r>
              <w:rPr>
                <w:b w:val="0"/>
                <w:bCs w:val="0"/>
                <w:color w:val="auto"/>
                <w:u w:val="none"/>
              </w:rPr>
              <w:t>3528</w:t>
            </w:r>
          </w:p>
        </w:tc>
        <w:tc>
          <w:tcPr>
            <w:tcW w:w="734" w:type="pct"/>
            <w:tcBorders>
              <w:top w:val="single" w:color="000000" w:sz="6" w:space="0"/>
              <w:left w:val="single" w:color="000000" w:sz="6" w:space="0"/>
              <w:bottom w:val="single" w:color="000000" w:sz="6" w:space="0"/>
              <w:right w:val="single" w:color="000000" w:sz="6" w:space="0"/>
            </w:tcBorders>
            <w:vAlign w:val="center"/>
          </w:tcPr>
          <w:p w14:paraId="0169C5FD">
            <w:pPr>
              <w:pStyle w:val="182"/>
              <w:spacing w:before="48"/>
              <w:ind w:left="133" w:right="120"/>
              <w:rPr>
                <w:b w:val="0"/>
                <w:bCs w:val="0"/>
                <w:color w:val="auto"/>
                <w:u w:val="none"/>
              </w:rPr>
            </w:pPr>
            <w:r>
              <w:rPr>
                <w:b w:val="0"/>
                <w:bCs w:val="0"/>
                <w:color w:val="auto"/>
                <w:u w:val="none"/>
              </w:rPr>
              <w:t>东北</w:t>
            </w:r>
          </w:p>
        </w:tc>
        <w:tc>
          <w:tcPr>
            <w:tcW w:w="642" w:type="pct"/>
            <w:tcBorders>
              <w:top w:val="single" w:color="000000" w:sz="6" w:space="0"/>
              <w:left w:val="single" w:color="000000" w:sz="6" w:space="0"/>
              <w:bottom w:val="single" w:color="000000" w:sz="6" w:space="0"/>
              <w:right w:val="single" w:color="000000" w:sz="6" w:space="0"/>
            </w:tcBorders>
            <w:vAlign w:val="center"/>
          </w:tcPr>
          <w:p w14:paraId="64FFF62B">
            <w:pPr>
              <w:pStyle w:val="182"/>
              <w:spacing w:before="62"/>
              <w:ind w:left="266" w:right="249"/>
              <w:rPr>
                <w:b w:val="0"/>
                <w:bCs w:val="0"/>
                <w:color w:val="auto"/>
                <w:u w:val="none"/>
              </w:rPr>
            </w:pPr>
            <w:r>
              <w:rPr>
                <w:b w:val="0"/>
                <w:bCs w:val="0"/>
                <w:color w:val="auto"/>
                <w:u w:val="none"/>
              </w:rPr>
              <w:t>4010</w:t>
            </w:r>
          </w:p>
        </w:tc>
        <w:tc>
          <w:tcPr>
            <w:tcW w:w="639" w:type="pct"/>
            <w:tcBorders>
              <w:top w:val="single" w:color="000000" w:sz="6" w:space="0"/>
              <w:left w:val="single" w:color="000000" w:sz="6" w:space="0"/>
              <w:bottom w:val="single" w:color="000000" w:sz="6" w:space="0"/>
            </w:tcBorders>
            <w:vAlign w:val="center"/>
          </w:tcPr>
          <w:p w14:paraId="681BCB4C">
            <w:pPr>
              <w:pStyle w:val="182"/>
              <w:spacing w:before="62"/>
              <w:ind w:left="186" w:right="164"/>
              <w:rPr>
                <w:b w:val="0"/>
                <w:bCs w:val="0"/>
                <w:color w:val="auto"/>
                <w:u w:val="none"/>
              </w:rPr>
            </w:pPr>
            <w:r>
              <w:rPr>
                <w:b w:val="0"/>
                <w:bCs w:val="0"/>
                <w:color w:val="auto"/>
                <w:u w:val="none"/>
              </w:rPr>
              <w:t>600</w:t>
            </w:r>
          </w:p>
        </w:tc>
      </w:tr>
      <w:tr w14:paraId="5CEB10E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0B0F3210">
            <w:pPr>
              <w:pStyle w:val="182"/>
              <w:spacing w:before="62"/>
              <w:ind w:left="191" w:right="176"/>
              <w:rPr>
                <w:b w:val="0"/>
                <w:bCs w:val="0"/>
                <w:color w:val="auto"/>
                <w:u w:val="none"/>
              </w:rPr>
            </w:pPr>
            <w:r>
              <w:rPr>
                <w:b w:val="0"/>
                <w:bCs w:val="0"/>
                <w:color w:val="auto"/>
                <w:u w:val="none"/>
              </w:rPr>
              <w:t>32</w:t>
            </w:r>
          </w:p>
        </w:tc>
        <w:tc>
          <w:tcPr>
            <w:tcW w:w="1132" w:type="pct"/>
            <w:tcBorders>
              <w:top w:val="single" w:color="000000" w:sz="6" w:space="0"/>
              <w:left w:val="single" w:color="000000" w:sz="6" w:space="0"/>
              <w:bottom w:val="single" w:color="000000" w:sz="6" w:space="0"/>
              <w:right w:val="single" w:color="000000" w:sz="6" w:space="0"/>
            </w:tcBorders>
            <w:vAlign w:val="center"/>
          </w:tcPr>
          <w:p w14:paraId="28EC20EC">
            <w:pPr>
              <w:pStyle w:val="182"/>
              <w:spacing w:before="48"/>
              <w:ind w:left="109" w:right="91"/>
              <w:rPr>
                <w:b w:val="0"/>
                <w:bCs w:val="0"/>
                <w:color w:val="auto"/>
                <w:u w:val="none"/>
              </w:rPr>
            </w:pPr>
            <w:r>
              <w:rPr>
                <w:b w:val="0"/>
                <w:bCs w:val="0"/>
                <w:color w:val="auto"/>
                <w:u w:val="none"/>
              </w:rPr>
              <w:t>汲津铺村</w:t>
            </w:r>
          </w:p>
        </w:tc>
        <w:tc>
          <w:tcPr>
            <w:tcW w:w="733" w:type="pct"/>
            <w:tcBorders>
              <w:top w:val="single" w:color="000000" w:sz="6" w:space="0"/>
              <w:left w:val="single" w:color="000000" w:sz="6" w:space="0"/>
              <w:bottom w:val="single" w:color="000000" w:sz="6" w:space="0"/>
              <w:right w:val="single" w:color="000000" w:sz="6" w:space="0"/>
            </w:tcBorders>
            <w:vAlign w:val="center"/>
          </w:tcPr>
          <w:p w14:paraId="4C7857FC">
            <w:pPr>
              <w:pStyle w:val="182"/>
              <w:spacing w:before="62"/>
              <w:ind w:left="135" w:right="117"/>
              <w:rPr>
                <w:b w:val="0"/>
                <w:bCs w:val="0"/>
                <w:color w:val="auto"/>
                <w:u w:val="none"/>
              </w:rPr>
            </w:pPr>
            <w:r>
              <w:rPr>
                <w:b w:val="0"/>
                <w:bCs w:val="0"/>
                <w:color w:val="auto"/>
                <w:u w:val="none"/>
              </w:rPr>
              <w:t>3647</w:t>
            </w:r>
          </w:p>
        </w:tc>
        <w:tc>
          <w:tcPr>
            <w:tcW w:w="736" w:type="pct"/>
            <w:tcBorders>
              <w:top w:val="single" w:color="000000" w:sz="6" w:space="0"/>
              <w:left w:val="single" w:color="000000" w:sz="6" w:space="0"/>
              <w:bottom w:val="single" w:color="000000" w:sz="6" w:space="0"/>
              <w:right w:val="single" w:color="000000" w:sz="6" w:space="0"/>
            </w:tcBorders>
            <w:vAlign w:val="center"/>
          </w:tcPr>
          <w:p w14:paraId="7387AF52">
            <w:pPr>
              <w:pStyle w:val="182"/>
              <w:spacing w:before="62"/>
              <w:ind w:left="364" w:right="345"/>
              <w:rPr>
                <w:b w:val="0"/>
                <w:bCs w:val="0"/>
                <w:color w:val="auto"/>
                <w:u w:val="none"/>
              </w:rPr>
            </w:pPr>
            <w:r>
              <w:rPr>
                <w:b w:val="0"/>
                <w:bCs w:val="0"/>
                <w:color w:val="auto"/>
                <w:u w:val="none"/>
              </w:rPr>
              <w:t>3583</w:t>
            </w:r>
          </w:p>
        </w:tc>
        <w:tc>
          <w:tcPr>
            <w:tcW w:w="734" w:type="pct"/>
            <w:tcBorders>
              <w:top w:val="single" w:color="000000" w:sz="6" w:space="0"/>
              <w:left w:val="single" w:color="000000" w:sz="6" w:space="0"/>
              <w:bottom w:val="single" w:color="000000" w:sz="6" w:space="0"/>
              <w:right w:val="single" w:color="000000" w:sz="6" w:space="0"/>
            </w:tcBorders>
            <w:vAlign w:val="center"/>
          </w:tcPr>
          <w:p w14:paraId="303E1E19">
            <w:pPr>
              <w:pStyle w:val="182"/>
              <w:spacing w:before="48"/>
              <w:ind w:left="133" w:right="120"/>
              <w:rPr>
                <w:b w:val="0"/>
                <w:bCs w:val="0"/>
                <w:color w:val="auto"/>
                <w:u w:val="none"/>
              </w:rPr>
            </w:pPr>
            <w:r>
              <w:rPr>
                <w:b w:val="0"/>
                <w:bCs w:val="0"/>
                <w:color w:val="auto"/>
                <w:u w:val="none"/>
              </w:rPr>
              <w:t>东北</w:t>
            </w:r>
          </w:p>
        </w:tc>
        <w:tc>
          <w:tcPr>
            <w:tcW w:w="642" w:type="pct"/>
            <w:tcBorders>
              <w:top w:val="single" w:color="000000" w:sz="6" w:space="0"/>
              <w:left w:val="single" w:color="000000" w:sz="6" w:space="0"/>
              <w:bottom w:val="single" w:color="000000" w:sz="6" w:space="0"/>
              <w:right w:val="single" w:color="000000" w:sz="6" w:space="0"/>
            </w:tcBorders>
            <w:vAlign w:val="center"/>
          </w:tcPr>
          <w:p w14:paraId="6744A74F">
            <w:pPr>
              <w:pStyle w:val="182"/>
              <w:spacing w:before="62"/>
              <w:ind w:left="266" w:right="249"/>
              <w:rPr>
                <w:b w:val="0"/>
                <w:bCs w:val="0"/>
                <w:color w:val="auto"/>
                <w:u w:val="none"/>
              </w:rPr>
            </w:pPr>
            <w:r>
              <w:rPr>
                <w:b w:val="0"/>
                <w:bCs w:val="0"/>
                <w:color w:val="auto"/>
                <w:u w:val="none"/>
              </w:rPr>
              <w:t>4750</w:t>
            </w:r>
          </w:p>
        </w:tc>
        <w:tc>
          <w:tcPr>
            <w:tcW w:w="639" w:type="pct"/>
            <w:tcBorders>
              <w:top w:val="single" w:color="000000" w:sz="6" w:space="0"/>
              <w:left w:val="single" w:color="000000" w:sz="6" w:space="0"/>
              <w:bottom w:val="single" w:color="000000" w:sz="6" w:space="0"/>
            </w:tcBorders>
            <w:vAlign w:val="center"/>
          </w:tcPr>
          <w:p w14:paraId="0BA3D422">
            <w:pPr>
              <w:pStyle w:val="182"/>
              <w:spacing w:before="62"/>
              <w:ind w:left="186" w:right="164"/>
              <w:rPr>
                <w:b w:val="0"/>
                <w:bCs w:val="0"/>
                <w:color w:val="auto"/>
                <w:u w:val="none"/>
              </w:rPr>
            </w:pPr>
            <w:r>
              <w:rPr>
                <w:b w:val="0"/>
                <w:bCs w:val="0"/>
                <w:color w:val="auto"/>
                <w:u w:val="none"/>
              </w:rPr>
              <w:t>1550</w:t>
            </w:r>
          </w:p>
        </w:tc>
      </w:tr>
      <w:tr w14:paraId="7DEB318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6" w:hRule="atLeast"/>
          <w:jc w:val="center"/>
        </w:trPr>
        <w:tc>
          <w:tcPr>
            <w:tcW w:w="381" w:type="pct"/>
            <w:tcBorders>
              <w:top w:val="single" w:color="000000" w:sz="6" w:space="0"/>
              <w:right w:val="single" w:color="000000" w:sz="6" w:space="0"/>
            </w:tcBorders>
            <w:vAlign w:val="center"/>
          </w:tcPr>
          <w:p w14:paraId="6EC362AA">
            <w:pPr>
              <w:pStyle w:val="182"/>
              <w:spacing w:before="62"/>
              <w:ind w:left="191" w:right="176"/>
              <w:rPr>
                <w:b w:val="0"/>
                <w:bCs w:val="0"/>
                <w:color w:val="auto"/>
                <w:u w:val="none"/>
              </w:rPr>
            </w:pPr>
            <w:r>
              <w:rPr>
                <w:b w:val="0"/>
                <w:bCs w:val="0"/>
                <w:color w:val="auto"/>
                <w:u w:val="none"/>
              </w:rPr>
              <w:t>33</w:t>
            </w:r>
          </w:p>
        </w:tc>
        <w:tc>
          <w:tcPr>
            <w:tcW w:w="1132" w:type="pct"/>
            <w:tcBorders>
              <w:top w:val="single" w:color="000000" w:sz="6" w:space="0"/>
              <w:left w:val="single" w:color="000000" w:sz="6" w:space="0"/>
              <w:right w:val="single" w:color="000000" w:sz="6" w:space="0"/>
            </w:tcBorders>
            <w:vAlign w:val="center"/>
          </w:tcPr>
          <w:p w14:paraId="57136353">
            <w:pPr>
              <w:pStyle w:val="182"/>
              <w:spacing w:before="48"/>
              <w:ind w:left="109" w:right="91"/>
              <w:rPr>
                <w:b w:val="0"/>
                <w:bCs w:val="0"/>
                <w:color w:val="auto"/>
                <w:u w:val="none"/>
              </w:rPr>
            </w:pPr>
            <w:r>
              <w:rPr>
                <w:b w:val="0"/>
                <w:bCs w:val="0"/>
                <w:color w:val="auto"/>
                <w:u w:val="none"/>
              </w:rPr>
              <w:t>第五疃村</w:t>
            </w:r>
          </w:p>
        </w:tc>
        <w:tc>
          <w:tcPr>
            <w:tcW w:w="733" w:type="pct"/>
            <w:tcBorders>
              <w:top w:val="single" w:color="000000" w:sz="6" w:space="0"/>
              <w:left w:val="single" w:color="000000" w:sz="6" w:space="0"/>
              <w:right w:val="single" w:color="000000" w:sz="6" w:space="0"/>
            </w:tcBorders>
            <w:vAlign w:val="center"/>
          </w:tcPr>
          <w:p w14:paraId="247E4D5C">
            <w:pPr>
              <w:pStyle w:val="182"/>
              <w:spacing w:before="62"/>
              <w:ind w:left="135" w:right="117"/>
              <w:rPr>
                <w:b w:val="0"/>
                <w:bCs w:val="0"/>
                <w:color w:val="auto"/>
                <w:u w:val="none"/>
              </w:rPr>
            </w:pPr>
            <w:r>
              <w:rPr>
                <w:b w:val="0"/>
                <w:bCs w:val="0"/>
                <w:color w:val="auto"/>
                <w:u w:val="none"/>
              </w:rPr>
              <w:t>-3915</w:t>
            </w:r>
          </w:p>
        </w:tc>
        <w:tc>
          <w:tcPr>
            <w:tcW w:w="736" w:type="pct"/>
            <w:tcBorders>
              <w:top w:val="single" w:color="000000" w:sz="6" w:space="0"/>
              <w:left w:val="single" w:color="000000" w:sz="6" w:space="0"/>
              <w:right w:val="single" w:color="000000" w:sz="6" w:space="0"/>
            </w:tcBorders>
            <w:vAlign w:val="center"/>
          </w:tcPr>
          <w:p w14:paraId="38BF5212">
            <w:pPr>
              <w:pStyle w:val="182"/>
              <w:spacing w:before="62"/>
              <w:ind w:left="364" w:right="345"/>
              <w:rPr>
                <w:b w:val="0"/>
                <w:bCs w:val="0"/>
                <w:color w:val="auto"/>
                <w:u w:val="none"/>
              </w:rPr>
            </w:pPr>
            <w:r>
              <w:rPr>
                <w:b w:val="0"/>
                <w:bCs w:val="0"/>
                <w:color w:val="auto"/>
                <w:u w:val="none"/>
              </w:rPr>
              <w:t>225</w:t>
            </w:r>
          </w:p>
        </w:tc>
        <w:tc>
          <w:tcPr>
            <w:tcW w:w="734" w:type="pct"/>
            <w:tcBorders>
              <w:top w:val="single" w:color="000000" w:sz="6" w:space="0"/>
              <w:left w:val="single" w:color="000000" w:sz="6" w:space="0"/>
              <w:right w:val="single" w:color="000000" w:sz="6" w:space="0"/>
            </w:tcBorders>
            <w:vAlign w:val="center"/>
          </w:tcPr>
          <w:p w14:paraId="0EBF8785">
            <w:pPr>
              <w:pStyle w:val="182"/>
              <w:spacing w:before="48"/>
              <w:ind w:left="16"/>
              <w:rPr>
                <w:b w:val="0"/>
                <w:bCs w:val="0"/>
                <w:color w:val="auto"/>
                <w:u w:val="none"/>
              </w:rPr>
            </w:pPr>
            <w:r>
              <w:rPr>
                <w:b w:val="0"/>
                <w:bCs w:val="0"/>
                <w:color w:val="auto"/>
                <w:u w:val="none"/>
              </w:rPr>
              <w:t>西</w:t>
            </w:r>
          </w:p>
        </w:tc>
        <w:tc>
          <w:tcPr>
            <w:tcW w:w="642" w:type="pct"/>
            <w:tcBorders>
              <w:top w:val="single" w:color="000000" w:sz="6" w:space="0"/>
              <w:left w:val="single" w:color="000000" w:sz="6" w:space="0"/>
              <w:right w:val="single" w:color="000000" w:sz="6" w:space="0"/>
            </w:tcBorders>
            <w:vAlign w:val="center"/>
          </w:tcPr>
          <w:p w14:paraId="50C48E23">
            <w:pPr>
              <w:pStyle w:val="182"/>
              <w:spacing w:before="62"/>
              <w:ind w:left="266" w:right="249"/>
              <w:rPr>
                <w:b w:val="0"/>
                <w:bCs w:val="0"/>
                <w:color w:val="auto"/>
                <w:u w:val="none"/>
              </w:rPr>
            </w:pPr>
            <w:r>
              <w:rPr>
                <w:b w:val="0"/>
                <w:bCs w:val="0"/>
                <w:color w:val="auto"/>
                <w:u w:val="none"/>
              </w:rPr>
              <w:t>3868</w:t>
            </w:r>
          </w:p>
        </w:tc>
        <w:tc>
          <w:tcPr>
            <w:tcW w:w="639" w:type="pct"/>
            <w:tcBorders>
              <w:top w:val="single" w:color="000000" w:sz="6" w:space="0"/>
              <w:left w:val="single" w:color="000000" w:sz="6" w:space="0"/>
            </w:tcBorders>
            <w:vAlign w:val="center"/>
          </w:tcPr>
          <w:p w14:paraId="732C3CAC">
            <w:pPr>
              <w:pStyle w:val="182"/>
              <w:spacing w:before="62"/>
              <w:ind w:left="186" w:right="164"/>
              <w:rPr>
                <w:b w:val="0"/>
                <w:bCs w:val="0"/>
                <w:color w:val="auto"/>
                <w:u w:val="none"/>
              </w:rPr>
            </w:pPr>
            <w:r>
              <w:rPr>
                <w:b w:val="0"/>
                <w:bCs w:val="0"/>
                <w:color w:val="auto"/>
                <w:u w:val="none"/>
              </w:rPr>
              <w:t>4200</w:t>
            </w:r>
          </w:p>
        </w:tc>
      </w:tr>
      <w:tr w14:paraId="4966747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5A2F5F0C">
            <w:pPr>
              <w:pStyle w:val="182"/>
              <w:spacing w:before="63"/>
              <w:ind w:left="191" w:right="176"/>
              <w:rPr>
                <w:b w:val="0"/>
                <w:bCs w:val="0"/>
                <w:color w:val="auto"/>
                <w:u w:val="none"/>
              </w:rPr>
            </w:pPr>
            <w:r>
              <w:rPr>
                <w:b w:val="0"/>
                <w:bCs w:val="0"/>
                <w:color w:val="auto"/>
                <w:u w:val="none"/>
              </w:rPr>
              <w:t>34</w:t>
            </w:r>
          </w:p>
        </w:tc>
        <w:tc>
          <w:tcPr>
            <w:tcW w:w="1132" w:type="pct"/>
            <w:tcBorders>
              <w:top w:val="single" w:color="000000" w:sz="6" w:space="0"/>
              <w:left w:val="single" w:color="000000" w:sz="6" w:space="0"/>
              <w:bottom w:val="single" w:color="000000" w:sz="6" w:space="0"/>
              <w:right w:val="single" w:color="000000" w:sz="6" w:space="0"/>
            </w:tcBorders>
            <w:vAlign w:val="center"/>
          </w:tcPr>
          <w:p w14:paraId="14E2A1B3">
            <w:pPr>
              <w:pStyle w:val="182"/>
              <w:spacing w:before="49"/>
              <w:ind w:left="107" w:right="91"/>
              <w:rPr>
                <w:b w:val="0"/>
                <w:bCs w:val="0"/>
                <w:color w:val="auto"/>
                <w:u w:val="none"/>
              </w:rPr>
            </w:pPr>
            <w:r>
              <w:rPr>
                <w:b w:val="0"/>
                <w:bCs w:val="0"/>
                <w:color w:val="auto"/>
                <w:u w:val="none"/>
              </w:rPr>
              <w:t>邢庄村</w:t>
            </w:r>
          </w:p>
        </w:tc>
        <w:tc>
          <w:tcPr>
            <w:tcW w:w="733" w:type="pct"/>
            <w:tcBorders>
              <w:top w:val="single" w:color="000000" w:sz="6" w:space="0"/>
              <w:left w:val="single" w:color="000000" w:sz="6" w:space="0"/>
              <w:bottom w:val="single" w:color="000000" w:sz="6" w:space="0"/>
              <w:right w:val="single" w:color="000000" w:sz="6" w:space="0"/>
            </w:tcBorders>
            <w:vAlign w:val="center"/>
          </w:tcPr>
          <w:p w14:paraId="1C14242B">
            <w:pPr>
              <w:pStyle w:val="182"/>
              <w:spacing w:before="63"/>
              <w:ind w:left="135" w:right="117"/>
              <w:rPr>
                <w:b w:val="0"/>
                <w:bCs w:val="0"/>
                <w:color w:val="auto"/>
                <w:u w:val="none"/>
              </w:rPr>
            </w:pPr>
            <w:r>
              <w:rPr>
                <w:b w:val="0"/>
                <w:bCs w:val="0"/>
                <w:color w:val="auto"/>
                <w:u w:val="none"/>
              </w:rPr>
              <w:t>-4067</w:t>
            </w:r>
          </w:p>
        </w:tc>
        <w:tc>
          <w:tcPr>
            <w:tcW w:w="736" w:type="pct"/>
            <w:tcBorders>
              <w:top w:val="single" w:color="000000" w:sz="6" w:space="0"/>
              <w:left w:val="single" w:color="000000" w:sz="6" w:space="0"/>
              <w:bottom w:val="single" w:color="000000" w:sz="6" w:space="0"/>
              <w:right w:val="single" w:color="000000" w:sz="6" w:space="0"/>
            </w:tcBorders>
            <w:vAlign w:val="center"/>
          </w:tcPr>
          <w:p w14:paraId="48BB6A80">
            <w:pPr>
              <w:pStyle w:val="182"/>
              <w:spacing w:before="63"/>
              <w:ind w:left="364" w:right="348"/>
              <w:rPr>
                <w:b w:val="0"/>
                <w:bCs w:val="0"/>
                <w:color w:val="auto"/>
                <w:u w:val="none"/>
              </w:rPr>
            </w:pPr>
            <w:r>
              <w:rPr>
                <w:b w:val="0"/>
                <w:bCs w:val="0"/>
                <w:color w:val="auto"/>
                <w:u w:val="none"/>
              </w:rPr>
              <w:t>-1064</w:t>
            </w:r>
          </w:p>
        </w:tc>
        <w:tc>
          <w:tcPr>
            <w:tcW w:w="734" w:type="pct"/>
            <w:tcBorders>
              <w:top w:val="single" w:color="000000" w:sz="6" w:space="0"/>
              <w:left w:val="single" w:color="000000" w:sz="6" w:space="0"/>
              <w:bottom w:val="single" w:color="000000" w:sz="6" w:space="0"/>
              <w:right w:val="single" w:color="000000" w:sz="6" w:space="0"/>
            </w:tcBorders>
            <w:vAlign w:val="center"/>
          </w:tcPr>
          <w:p w14:paraId="5CF9EF8E">
            <w:pPr>
              <w:pStyle w:val="182"/>
              <w:spacing w:before="49"/>
              <w:ind w:left="133" w:right="120"/>
              <w:rPr>
                <w:b w:val="0"/>
                <w:bCs w:val="0"/>
                <w:color w:val="auto"/>
                <w:u w:val="none"/>
              </w:rPr>
            </w:pPr>
            <w:r>
              <w:rPr>
                <w:b w:val="0"/>
                <w:bCs w:val="0"/>
                <w:color w:val="auto"/>
                <w:u w:val="none"/>
              </w:rPr>
              <w:t>西南</w:t>
            </w:r>
          </w:p>
        </w:tc>
        <w:tc>
          <w:tcPr>
            <w:tcW w:w="642" w:type="pct"/>
            <w:tcBorders>
              <w:top w:val="single" w:color="000000" w:sz="6" w:space="0"/>
              <w:left w:val="single" w:color="000000" w:sz="6" w:space="0"/>
              <w:bottom w:val="single" w:color="000000" w:sz="6" w:space="0"/>
              <w:right w:val="single" w:color="000000" w:sz="6" w:space="0"/>
            </w:tcBorders>
            <w:vAlign w:val="center"/>
          </w:tcPr>
          <w:p w14:paraId="504B7F21">
            <w:pPr>
              <w:pStyle w:val="182"/>
              <w:spacing w:before="63"/>
              <w:ind w:left="266" w:right="249"/>
              <w:rPr>
                <w:b w:val="0"/>
                <w:bCs w:val="0"/>
                <w:color w:val="auto"/>
                <w:u w:val="none"/>
              </w:rPr>
            </w:pPr>
            <w:r>
              <w:rPr>
                <w:b w:val="0"/>
                <w:bCs w:val="0"/>
                <w:color w:val="auto"/>
                <w:u w:val="none"/>
              </w:rPr>
              <w:t>4090</w:t>
            </w:r>
          </w:p>
        </w:tc>
        <w:tc>
          <w:tcPr>
            <w:tcW w:w="639" w:type="pct"/>
            <w:tcBorders>
              <w:top w:val="single" w:color="000000" w:sz="6" w:space="0"/>
              <w:left w:val="single" w:color="000000" w:sz="6" w:space="0"/>
              <w:bottom w:val="single" w:color="000000" w:sz="6" w:space="0"/>
            </w:tcBorders>
            <w:vAlign w:val="center"/>
          </w:tcPr>
          <w:p w14:paraId="5D8578FD">
            <w:pPr>
              <w:pStyle w:val="182"/>
              <w:spacing w:before="63"/>
              <w:ind w:left="186" w:right="164"/>
              <w:rPr>
                <w:b w:val="0"/>
                <w:bCs w:val="0"/>
                <w:color w:val="auto"/>
                <w:u w:val="none"/>
              </w:rPr>
            </w:pPr>
            <w:r>
              <w:rPr>
                <w:b w:val="0"/>
                <w:bCs w:val="0"/>
                <w:color w:val="auto"/>
                <w:u w:val="none"/>
              </w:rPr>
              <w:t>240</w:t>
            </w:r>
          </w:p>
        </w:tc>
      </w:tr>
      <w:tr w14:paraId="47385E9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1EBD065F">
            <w:pPr>
              <w:pStyle w:val="182"/>
              <w:spacing w:before="63"/>
              <w:ind w:left="191" w:right="176"/>
              <w:rPr>
                <w:b w:val="0"/>
                <w:bCs w:val="0"/>
                <w:color w:val="auto"/>
                <w:u w:val="none"/>
              </w:rPr>
            </w:pPr>
            <w:r>
              <w:rPr>
                <w:b w:val="0"/>
                <w:bCs w:val="0"/>
                <w:color w:val="auto"/>
                <w:u w:val="none"/>
              </w:rPr>
              <w:t>35</w:t>
            </w:r>
          </w:p>
        </w:tc>
        <w:tc>
          <w:tcPr>
            <w:tcW w:w="1132" w:type="pct"/>
            <w:tcBorders>
              <w:top w:val="single" w:color="000000" w:sz="6" w:space="0"/>
              <w:left w:val="single" w:color="000000" w:sz="6" w:space="0"/>
              <w:bottom w:val="single" w:color="000000" w:sz="6" w:space="0"/>
              <w:right w:val="single" w:color="000000" w:sz="6" w:space="0"/>
            </w:tcBorders>
            <w:vAlign w:val="center"/>
          </w:tcPr>
          <w:p w14:paraId="521A659A">
            <w:pPr>
              <w:pStyle w:val="182"/>
              <w:spacing w:before="49"/>
              <w:ind w:left="109" w:right="91"/>
              <w:rPr>
                <w:b w:val="0"/>
                <w:bCs w:val="0"/>
                <w:color w:val="auto"/>
                <w:u w:val="none"/>
              </w:rPr>
            </w:pPr>
            <w:r>
              <w:rPr>
                <w:b w:val="0"/>
                <w:bCs w:val="0"/>
                <w:color w:val="auto"/>
                <w:u w:val="none"/>
              </w:rPr>
              <w:t>小三王庄</w:t>
            </w:r>
          </w:p>
        </w:tc>
        <w:tc>
          <w:tcPr>
            <w:tcW w:w="733" w:type="pct"/>
            <w:tcBorders>
              <w:top w:val="single" w:color="000000" w:sz="6" w:space="0"/>
              <w:left w:val="single" w:color="000000" w:sz="6" w:space="0"/>
              <w:bottom w:val="single" w:color="000000" w:sz="6" w:space="0"/>
              <w:right w:val="single" w:color="000000" w:sz="6" w:space="0"/>
            </w:tcBorders>
            <w:vAlign w:val="center"/>
          </w:tcPr>
          <w:p w14:paraId="2857E99C">
            <w:pPr>
              <w:pStyle w:val="182"/>
              <w:spacing w:before="63"/>
              <w:ind w:left="135" w:right="117"/>
              <w:rPr>
                <w:b w:val="0"/>
                <w:bCs w:val="0"/>
                <w:color w:val="auto"/>
                <w:u w:val="none"/>
              </w:rPr>
            </w:pPr>
            <w:r>
              <w:rPr>
                <w:b w:val="0"/>
                <w:bCs w:val="0"/>
                <w:color w:val="auto"/>
                <w:u w:val="none"/>
              </w:rPr>
              <w:t>-3135</w:t>
            </w:r>
          </w:p>
        </w:tc>
        <w:tc>
          <w:tcPr>
            <w:tcW w:w="736" w:type="pct"/>
            <w:tcBorders>
              <w:top w:val="single" w:color="000000" w:sz="6" w:space="0"/>
              <w:left w:val="single" w:color="000000" w:sz="6" w:space="0"/>
              <w:bottom w:val="single" w:color="000000" w:sz="6" w:space="0"/>
              <w:right w:val="single" w:color="000000" w:sz="6" w:space="0"/>
            </w:tcBorders>
            <w:vAlign w:val="center"/>
          </w:tcPr>
          <w:p w14:paraId="486F976F">
            <w:pPr>
              <w:pStyle w:val="182"/>
              <w:spacing w:before="63"/>
              <w:ind w:left="364" w:right="348"/>
              <w:rPr>
                <w:b w:val="0"/>
                <w:bCs w:val="0"/>
                <w:color w:val="auto"/>
                <w:u w:val="none"/>
              </w:rPr>
            </w:pPr>
            <w:r>
              <w:rPr>
                <w:b w:val="0"/>
                <w:bCs w:val="0"/>
                <w:color w:val="auto"/>
                <w:u w:val="none"/>
              </w:rPr>
              <w:t>-3252</w:t>
            </w:r>
          </w:p>
        </w:tc>
        <w:tc>
          <w:tcPr>
            <w:tcW w:w="734" w:type="pct"/>
            <w:tcBorders>
              <w:top w:val="single" w:color="000000" w:sz="6" w:space="0"/>
              <w:left w:val="single" w:color="000000" w:sz="6" w:space="0"/>
              <w:bottom w:val="single" w:color="000000" w:sz="6" w:space="0"/>
              <w:right w:val="single" w:color="000000" w:sz="6" w:space="0"/>
            </w:tcBorders>
            <w:vAlign w:val="center"/>
          </w:tcPr>
          <w:p w14:paraId="5AAC4E58">
            <w:pPr>
              <w:pStyle w:val="182"/>
              <w:spacing w:before="49"/>
              <w:ind w:left="133" w:right="120"/>
              <w:rPr>
                <w:b w:val="0"/>
                <w:bCs w:val="0"/>
                <w:color w:val="auto"/>
                <w:u w:val="none"/>
              </w:rPr>
            </w:pPr>
            <w:r>
              <w:rPr>
                <w:b w:val="0"/>
                <w:bCs w:val="0"/>
                <w:color w:val="auto"/>
                <w:u w:val="none"/>
              </w:rPr>
              <w:t>西南</w:t>
            </w:r>
          </w:p>
        </w:tc>
        <w:tc>
          <w:tcPr>
            <w:tcW w:w="642" w:type="pct"/>
            <w:tcBorders>
              <w:top w:val="single" w:color="000000" w:sz="6" w:space="0"/>
              <w:left w:val="single" w:color="000000" w:sz="6" w:space="0"/>
              <w:bottom w:val="single" w:color="000000" w:sz="6" w:space="0"/>
              <w:right w:val="single" w:color="000000" w:sz="6" w:space="0"/>
            </w:tcBorders>
            <w:vAlign w:val="center"/>
          </w:tcPr>
          <w:p w14:paraId="02BE8754">
            <w:pPr>
              <w:pStyle w:val="182"/>
              <w:spacing w:before="63"/>
              <w:ind w:left="266" w:right="249"/>
              <w:rPr>
                <w:b w:val="0"/>
                <w:bCs w:val="0"/>
                <w:color w:val="auto"/>
                <w:u w:val="none"/>
              </w:rPr>
            </w:pPr>
            <w:r>
              <w:rPr>
                <w:b w:val="0"/>
                <w:bCs w:val="0"/>
                <w:color w:val="auto"/>
                <w:u w:val="none"/>
              </w:rPr>
              <w:t>4288</w:t>
            </w:r>
          </w:p>
        </w:tc>
        <w:tc>
          <w:tcPr>
            <w:tcW w:w="639" w:type="pct"/>
            <w:tcBorders>
              <w:top w:val="single" w:color="000000" w:sz="6" w:space="0"/>
              <w:left w:val="single" w:color="000000" w:sz="6" w:space="0"/>
              <w:bottom w:val="single" w:color="000000" w:sz="6" w:space="0"/>
            </w:tcBorders>
            <w:vAlign w:val="center"/>
          </w:tcPr>
          <w:p w14:paraId="12E2E849">
            <w:pPr>
              <w:pStyle w:val="182"/>
              <w:spacing w:before="63"/>
              <w:ind w:left="186" w:right="164"/>
              <w:rPr>
                <w:b w:val="0"/>
                <w:bCs w:val="0"/>
                <w:color w:val="auto"/>
                <w:u w:val="none"/>
              </w:rPr>
            </w:pPr>
            <w:r>
              <w:rPr>
                <w:b w:val="0"/>
                <w:bCs w:val="0"/>
                <w:color w:val="auto"/>
                <w:u w:val="none"/>
              </w:rPr>
              <w:t>120</w:t>
            </w:r>
          </w:p>
        </w:tc>
      </w:tr>
      <w:tr w14:paraId="0B26463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38DE6082">
            <w:pPr>
              <w:pStyle w:val="182"/>
              <w:spacing w:before="63"/>
              <w:ind w:left="191" w:right="176"/>
              <w:rPr>
                <w:b w:val="0"/>
                <w:bCs w:val="0"/>
                <w:color w:val="auto"/>
                <w:u w:val="none"/>
              </w:rPr>
            </w:pPr>
            <w:r>
              <w:rPr>
                <w:b w:val="0"/>
                <w:bCs w:val="0"/>
                <w:color w:val="auto"/>
                <w:u w:val="none"/>
              </w:rPr>
              <w:t>36</w:t>
            </w:r>
          </w:p>
        </w:tc>
        <w:tc>
          <w:tcPr>
            <w:tcW w:w="1132" w:type="pct"/>
            <w:tcBorders>
              <w:top w:val="single" w:color="000000" w:sz="6" w:space="0"/>
              <w:left w:val="single" w:color="000000" w:sz="6" w:space="0"/>
              <w:bottom w:val="single" w:color="000000" w:sz="6" w:space="0"/>
              <w:right w:val="single" w:color="000000" w:sz="6" w:space="0"/>
            </w:tcBorders>
            <w:vAlign w:val="center"/>
          </w:tcPr>
          <w:p w14:paraId="54CDC85F">
            <w:pPr>
              <w:pStyle w:val="182"/>
              <w:spacing w:before="49"/>
              <w:ind w:left="109" w:right="91"/>
              <w:rPr>
                <w:b w:val="0"/>
                <w:bCs w:val="0"/>
                <w:color w:val="auto"/>
                <w:u w:val="none"/>
              </w:rPr>
            </w:pPr>
            <w:r>
              <w:rPr>
                <w:b w:val="0"/>
                <w:bCs w:val="0"/>
                <w:color w:val="auto"/>
                <w:u w:val="none"/>
              </w:rPr>
              <w:t>王连屯村</w:t>
            </w:r>
          </w:p>
        </w:tc>
        <w:tc>
          <w:tcPr>
            <w:tcW w:w="733" w:type="pct"/>
            <w:tcBorders>
              <w:top w:val="single" w:color="000000" w:sz="6" w:space="0"/>
              <w:left w:val="single" w:color="000000" w:sz="6" w:space="0"/>
              <w:bottom w:val="single" w:color="000000" w:sz="6" w:space="0"/>
              <w:right w:val="single" w:color="000000" w:sz="6" w:space="0"/>
            </w:tcBorders>
            <w:vAlign w:val="center"/>
          </w:tcPr>
          <w:p w14:paraId="700DE173">
            <w:pPr>
              <w:pStyle w:val="182"/>
              <w:spacing w:before="63"/>
              <w:ind w:left="135" w:right="117"/>
              <w:rPr>
                <w:b w:val="0"/>
                <w:bCs w:val="0"/>
                <w:color w:val="auto"/>
                <w:u w:val="none"/>
              </w:rPr>
            </w:pPr>
            <w:r>
              <w:rPr>
                <w:b w:val="0"/>
                <w:bCs w:val="0"/>
                <w:color w:val="auto"/>
                <w:u w:val="none"/>
              </w:rPr>
              <w:t>-2377</w:t>
            </w:r>
          </w:p>
        </w:tc>
        <w:tc>
          <w:tcPr>
            <w:tcW w:w="736" w:type="pct"/>
            <w:tcBorders>
              <w:top w:val="single" w:color="000000" w:sz="6" w:space="0"/>
              <w:left w:val="single" w:color="000000" w:sz="6" w:space="0"/>
              <w:bottom w:val="single" w:color="000000" w:sz="6" w:space="0"/>
              <w:right w:val="single" w:color="000000" w:sz="6" w:space="0"/>
            </w:tcBorders>
            <w:vAlign w:val="center"/>
          </w:tcPr>
          <w:p w14:paraId="7F17301B">
            <w:pPr>
              <w:pStyle w:val="182"/>
              <w:spacing w:before="63"/>
              <w:ind w:left="364" w:right="348"/>
              <w:rPr>
                <w:b w:val="0"/>
                <w:bCs w:val="0"/>
                <w:color w:val="auto"/>
                <w:u w:val="none"/>
              </w:rPr>
            </w:pPr>
            <w:r>
              <w:rPr>
                <w:b w:val="0"/>
                <w:bCs w:val="0"/>
                <w:color w:val="auto"/>
                <w:u w:val="none"/>
              </w:rPr>
              <w:t>-3209</w:t>
            </w:r>
          </w:p>
        </w:tc>
        <w:tc>
          <w:tcPr>
            <w:tcW w:w="734" w:type="pct"/>
            <w:tcBorders>
              <w:top w:val="single" w:color="000000" w:sz="6" w:space="0"/>
              <w:left w:val="single" w:color="000000" w:sz="6" w:space="0"/>
              <w:bottom w:val="single" w:color="000000" w:sz="6" w:space="0"/>
              <w:right w:val="single" w:color="000000" w:sz="6" w:space="0"/>
            </w:tcBorders>
            <w:vAlign w:val="center"/>
          </w:tcPr>
          <w:p w14:paraId="06E4A5C5">
            <w:pPr>
              <w:pStyle w:val="182"/>
              <w:spacing w:before="49"/>
              <w:ind w:left="133" w:right="120"/>
              <w:rPr>
                <w:b w:val="0"/>
                <w:bCs w:val="0"/>
                <w:color w:val="auto"/>
                <w:u w:val="none"/>
              </w:rPr>
            </w:pPr>
            <w:r>
              <w:rPr>
                <w:b w:val="0"/>
                <w:bCs w:val="0"/>
                <w:color w:val="auto"/>
                <w:u w:val="none"/>
              </w:rPr>
              <w:t>西南</w:t>
            </w:r>
          </w:p>
        </w:tc>
        <w:tc>
          <w:tcPr>
            <w:tcW w:w="642" w:type="pct"/>
            <w:tcBorders>
              <w:top w:val="single" w:color="000000" w:sz="6" w:space="0"/>
              <w:left w:val="single" w:color="000000" w:sz="6" w:space="0"/>
              <w:bottom w:val="single" w:color="000000" w:sz="6" w:space="0"/>
              <w:right w:val="single" w:color="000000" w:sz="6" w:space="0"/>
            </w:tcBorders>
            <w:vAlign w:val="center"/>
          </w:tcPr>
          <w:p w14:paraId="6EF24B70">
            <w:pPr>
              <w:pStyle w:val="182"/>
              <w:spacing w:before="63"/>
              <w:ind w:left="266" w:right="249"/>
              <w:rPr>
                <w:b w:val="0"/>
                <w:bCs w:val="0"/>
                <w:color w:val="auto"/>
                <w:u w:val="none"/>
              </w:rPr>
            </w:pPr>
            <w:r>
              <w:rPr>
                <w:b w:val="0"/>
                <w:bCs w:val="0"/>
                <w:color w:val="auto"/>
                <w:u w:val="none"/>
              </w:rPr>
              <w:t>3707</w:t>
            </w:r>
          </w:p>
        </w:tc>
        <w:tc>
          <w:tcPr>
            <w:tcW w:w="639" w:type="pct"/>
            <w:vMerge w:val="restart"/>
            <w:tcBorders>
              <w:top w:val="single" w:color="000000" w:sz="6" w:space="0"/>
              <w:left w:val="single" w:color="000000" w:sz="6" w:space="0"/>
              <w:bottom w:val="single" w:color="000000" w:sz="6" w:space="0"/>
            </w:tcBorders>
            <w:vAlign w:val="center"/>
          </w:tcPr>
          <w:p w14:paraId="3DE4A55B">
            <w:pPr>
              <w:pStyle w:val="182"/>
              <w:jc w:val="left"/>
              <w:rPr>
                <w:b w:val="0"/>
                <w:bCs w:val="0"/>
                <w:color w:val="auto"/>
                <w:u w:val="none"/>
              </w:rPr>
            </w:pPr>
          </w:p>
          <w:p w14:paraId="1A33672D">
            <w:pPr>
              <w:pStyle w:val="182"/>
              <w:spacing w:before="165"/>
              <w:ind w:left="286"/>
              <w:jc w:val="left"/>
              <w:rPr>
                <w:b w:val="0"/>
                <w:bCs w:val="0"/>
                <w:color w:val="auto"/>
                <w:u w:val="none"/>
              </w:rPr>
            </w:pPr>
            <w:r>
              <w:rPr>
                <w:b w:val="0"/>
                <w:bCs w:val="0"/>
                <w:color w:val="auto"/>
                <w:u w:val="none"/>
              </w:rPr>
              <w:t>14640</w:t>
            </w:r>
          </w:p>
        </w:tc>
      </w:tr>
      <w:tr w14:paraId="2CAFD69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5F9F4DCD">
            <w:pPr>
              <w:pStyle w:val="182"/>
              <w:spacing w:before="63"/>
              <w:ind w:left="191" w:right="176"/>
              <w:rPr>
                <w:b w:val="0"/>
                <w:bCs w:val="0"/>
                <w:color w:val="auto"/>
                <w:u w:val="none"/>
              </w:rPr>
            </w:pPr>
            <w:r>
              <w:rPr>
                <w:b w:val="0"/>
                <w:bCs w:val="0"/>
                <w:color w:val="auto"/>
                <w:u w:val="none"/>
              </w:rPr>
              <w:t>37</w:t>
            </w:r>
          </w:p>
        </w:tc>
        <w:tc>
          <w:tcPr>
            <w:tcW w:w="1132" w:type="pct"/>
            <w:tcBorders>
              <w:top w:val="single" w:color="000000" w:sz="6" w:space="0"/>
              <w:left w:val="single" w:color="000000" w:sz="6" w:space="0"/>
              <w:bottom w:val="single" w:color="000000" w:sz="6" w:space="0"/>
              <w:right w:val="single" w:color="000000" w:sz="6" w:space="0"/>
            </w:tcBorders>
            <w:vAlign w:val="center"/>
          </w:tcPr>
          <w:p w14:paraId="2BE53BFA">
            <w:pPr>
              <w:pStyle w:val="182"/>
              <w:spacing w:before="49"/>
              <w:ind w:left="107" w:right="91"/>
              <w:rPr>
                <w:b w:val="0"/>
                <w:bCs w:val="0"/>
                <w:color w:val="auto"/>
                <w:u w:val="none"/>
              </w:rPr>
            </w:pPr>
            <w:r>
              <w:rPr>
                <w:b w:val="0"/>
                <w:bCs w:val="0"/>
                <w:color w:val="auto"/>
                <w:u w:val="none"/>
              </w:rPr>
              <w:t>张庄</w:t>
            </w:r>
          </w:p>
        </w:tc>
        <w:tc>
          <w:tcPr>
            <w:tcW w:w="733" w:type="pct"/>
            <w:tcBorders>
              <w:top w:val="single" w:color="000000" w:sz="6" w:space="0"/>
              <w:left w:val="single" w:color="000000" w:sz="6" w:space="0"/>
              <w:bottom w:val="single" w:color="000000" w:sz="6" w:space="0"/>
              <w:right w:val="single" w:color="000000" w:sz="6" w:space="0"/>
            </w:tcBorders>
            <w:vAlign w:val="center"/>
          </w:tcPr>
          <w:p w14:paraId="7286B6C5">
            <w:pPr>
              <w:pStyle w:val="182"/>
              <w:spacing w:before="63"/>
              <w:ind w:left="135" w:right="117"/>
              <w:rPr>
                <w:b w:val="0"/>
                <w:bCs w:val="0"/>
                <w:color w:val="auto"/>
                <w:u w:val="none"/>
              </w:rPr>
            </w:pPr>
            <w:r>
              <w:rPr>
                <w:b w:val="0"/>
                <w:bCs w:val="0"/>
                <w:color w:val="auto"/>
                <w:u w:val="none"/>
              </w:rPr>
              <w:t>-2171</w:t>
            </w:r>
          </w:p>
        </w:tc>
        <w:tc>
          <w:tcPr>
            <w:tcW w:w="736" w:type="pct"/>
            <w:tcBorders>
              <w:top w:val="single" w:color="000000" w:sz="6" w:space="0"/>
              <w:left w:val="single" w:color="000000" w:sz="6" w:space="0"/>
              <w:bottom w:val="single" w:color="000000" w:sz="6" w:space="0"/>
              <w:right w:val="single" w:color="000000" w:sz="6" w:space="0"/>
            </w:tcBorders>
            <w:vAlign w:val="center"/>
          </w:tcPr>
          <w:p w14:paraId="2A6E172A">
            <w:pPr>
              <w:pStyle w:val="182"/>
              <w:spacing w:before="63"/>
              <w:ind w:left="364" w:right="348"/>
              <w:rPr>
                <w:b w:val="0"/>
                <w:bCs w:val="0"/>
                <w:color w:val="auto"/>
                <w:u w:val="none"/>
              </w:rPr>
            </w:pPr>
            <w:r>
              <w:rPr>
                <w:b w:val="0"/>
                <w:bCs w:val="0"/>
                <w:color w:val="auto"/>
                <w:u w:val="none"/>
              </w:rPr>
              <w:t>-3989</w:t>
            </w:r>
          </w:p>
        </w:tc>
        <w:tc>
          <w:tcPr>
            <w:tcW w:w="734" w:type="pct"/>
            <w:tcBorders>
              <w:top w:val="single" w:color="000000" w:sz="6" w:space="0"/>
              <w:left w:val="single" w:color="000000" w:sz="6" w:space="0"/>
              <w:bottom w:val="single" w:color="000000" w:sz="6" w:space="0"/>
              <w:right w:val="single" w:color="000000" w:sz="6" w:space="0"/>
            </w:tcBorders>
            <w:vAlign w:val="center"/>
          </w:tcPr>
          <w:p w14:paraId="3136422D">
            <w:pPr>
              <w:pStyle w:val="182"/>
              <w:spacing w:before="49"/>
              <w:ind w:left="133" w:right="120"/>
              <w:rPr>
                <w:b w:val="0"/>
                <w:bCs w:val="0"/>
                <w:color w:val="auto"/>
                <w:u w:val="none"/>
              </w:rPr>
            </w:pPr>
            <w:r>
              <w:rPr>
                <w:b w:val="0"/>
                <w:bCs w:val="0"/>
                <w:color w:val="auto"/>
                <w:u w:val="none"/>
              </w:rPr>
              <w:t>西南</w:t>
            </w:r>
          </w:p>
        </w:tc>
        <w:tc>
          <w:tcPr>
            <w:tcW w:w="642" w:type="pct"/>
            <w:tcBorders>
              <w:top w:val="single" w:color="000000" w:sz="6" w:space="0"/>
              <w:left w:val="single" w:color="000000" w:sz="6" w:space="0"/>
              <w:bottom w:val="single" w:color="000000" w:sz="6" w:space="0"/>
              <w:right w:val="single" w:color="000000" w:sz="6" w:space="0"/>
            </w:tcBorders>
            <w:vAlign w:val="center"/>
          </w:tcPr>
          <w:p w14:paraId="65D7FAC7">
            <w:pPr>
              <w:pStyle w:val="182"/>
              <w:spacing w:before="63"/>
              <w:ind w:left="266" w:right="249"/>
              <w:rPr>
                <w:b w:val="0"/>
                <w:bCs w:val="0"/>
                <w:color w:val="auto"/>
                <w:u w:val="none"/>
              </w:rPr>
            </w:pPr>
            <w:r>
              <w:rPr>
                <w:b w:val="0"/>
                <w:bCs w:val="0"/>
                <w:color w:val="auto"/>
                <w:u w:val="none"/>
              </w:rPr>
              <w:t>4320</w:t>
            </w:r>
          </w:p>
        </w:tc>
        <w:tc>
          <w:tcPr>
            <w:tcW w:w="639" w:type="pct"/>
            <w:vMerge w:val="continue"/>
            <w:tcBorders>
              <w:top w:val="nil"/>
              <w:left w:val="single" w:color="000000" w:sz="6" w:space="0"/>
              <w:bottom w:val="single" w:color="000000" w:sz="6" w:space="0"/>
            </w:tcBorders>
            <w:vAlign w:val="center"/>
          </w:tcPr>
          <w:p w14:paraId="3F9C6089">
            <w:pPr>
              <w:pStyle w:val="182"/>
              <w:rPr>
                <w:b w:val="0"/>
                <w:bCs w:val="0"/>
                <w:color w:val="auto"/>
                <w:u w:val="none"/>
              </w:rPr>
            </w:pPr>
          </w:p>
        </w:tc>
      </w:tr>
      <w:tr w14:paraId="072308C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300035A8">
            <w:pPr>
              <w:pStyle w:val="182"/>
              <w:spacing w:before="63"/>
              <w:ind w:left="191" w:right="176"/>
              <w:rPr>
                <w:b w:val="0"/>
                <w:bCs w:val="0"/>
                <w:color w:val="auto"/>
                <w:u w:val="none"/>
              </w:rPr>
            </w:pPr>
            <w:r>
              <w:rPr>
                <w:b w:val="0"/>
                <w:bCs w:val="0"/>
                <w:color w:val="auto"/>
                <w:u w:val="none"/>
              </w:rPr>
              <w:t>38</w:t>
            </w:r>
          </w:p>
        </w:tc>
        <w:tc>
          <w:tcPr>
            <w:tcW w:w="1132" w:type="pct"/>
            <w:tcBorders>
              <w:top w:val="single" w:color="000000" w:sz="6" w:space="0"/>
              <w:left w:val="single" w:color="000000" w:sz="6" w:space="0"/>
              <w:bottom w:val="single" w:color="000000" w:sz="6" w:space="0"/>
              <w:right w:val="single" w:color="000000" w:sz="6" w:space="0"/>
            </w:tcBorders>
            <w:vAlign w:val="center"/>
          </w:tcPr>
          <w:p w14:paraId="2CF42C34">
            <w:pPr>
              <w:pStyle w:val="182"/>
              <w:spacing w:before="49"/>
              <w:ind w:left="107" w:right="91"/>
              <w:rPr>
                <w:b w:val="0"/>
                <w:bCs w:val="0"/>
                <w:color w:val="auto"/>
                <w:u w:val="none"/>
              </w:rPr>
            </w:pPr>
            <w:r>
              <w:rPr>
                <w:b w:val="0"/>
                <w:bCs w:val="0"/>
                <w:color w:val="auto"/>
                <w:u w:val="none"/>
              </w:rPr>
              <w:t>崔井村</w:t>
            </w:r>
          </w:p>
        </w:tc>
        <w:tc>
          <w:tcPr>
            <w:tcW w:w="733" w:type="pct"/>
            <w:tcBorders>
              <w:top w:val="single" w:color="000000" w:sz="6" w:space="0"/>
              <w:left w:val="single" w:color="000000" w:sz="6" w:space="0"/>
              <w:bottom w:val="single" w:color="000000" w:sz="6" w:space="0"/>
              <w:right w:val="single" w:color="000000" w:sz="6" w:space="0"/>
            </w:tcBorders>
            <w:vAlign w:val="center"/>
          </w:tcPr>
          <w:p w14:paraId="52D16AC1">
            <w:pPr>
              <w:pStyle w:val="182"/>
              <w:spacing w:before="63"/>
              <w:ind w:left="135" w:right="117"/>
              <w:rPr>
                <w:b w:val="0"/>
                <w:bCs w:val="0"/>
                <w:color w:val="auto"/>
                <w:u w:val="none"/>
              </w:rPr>
            </w:pPr>
            <w:r>
              <w:rPr>
                <w:b w:val="0"/>
                <w:bCs w:val="0"/>
                <w:color w:val="auto"/>
                <w:u w:val="none"/>
              </w:rPr>
              <w:t>-2583</w:t>
            </w:r>
          </w:p>
        </w:tc>
        <w:tc>
          <w:tcPr>
            <w:tcW w:w="736" w:type="pct"/>
            <w:tcBorders>
              <w:top w:val="single" w:color="000000" w:sz="6" w:space="0"/>
              <w:left w:val="single" w:color="000000" w:sz="6" w:space="0"/>
              <w:bottom w:val="single" w:color="000000" w:sz="6" w:space="0"/>
              <w:right w:val="single" w:color="000000" w:sz="6" w:space="0"/>
            </w:tcBorders>
            <w:vAlign w:val="center"/>
          </w:tcPr>
          <w:p w14:paraId="3AEDDB82">
            <w:pPr>
              <w:pStyle w:val="182"/>
              <w:spacing w:before="63"/>
              <w:ind w:left="364" w:right="348"/>
              <w:rPr>
                <w:b w:val="0"/>
                <w:bCs w:val="0"/>
                <w:color w:val="auto"/>
                <w:u w:val="none"/>
              </w:rPr>
            </w:pPr>
            <w:r>
              <w:rPr>
                <w:b w:val="0"/>
                <w:bCs w:val="0"/>
                <w:color w:val="auto"/>
                <w:u w:val="none"/>
              </w:rPr>
              <w:t>-4065</w:t>
            </w:r>
          </w:p>
        </w:tc>
        <w:tc>
          <w:tcPr>
            <w:tcW w:w="734" w:type="pct"/>
            <w:tcBorders>
              <w:top w:val="single" w:color="000000" w:sz="6" w:space="0"/>
              <w:left w:val="single" w:color="000000" w:sz="6" w:space="0"/>
              <w:bottom w:val="single" w:color="000000" w:sz="6" w:space="0"/>
              <w:right w:val="single" w:color="000000" w:sz="6" w:space="0"/>
            </w:tcBorders>
            <w:vAlign w:val="center"/>
          </w:tcPr>
          <w:p w14:paraId="516308F6">
            <w:pPr>
              <w:pStyle w:val="182"/>
              <w:spacing w:before="49"/>
              <w:ind w:left="133" w:right="120"/>
              <w:rPr>
                <w:b w:val="0"/>
                <w:bCs w:val="0"/>
                <w:color w:val="auto"/>
                <w:u w:val="none"/>
              </w:rPr>
            </w:pPr>
            <w:r>
              <w:rPr>
                <w:b w:val="0"/>
                <w:bCs w:val="0"/>
                <w:color w:val="auto"/>
                <w:u w:val="none"/>
              </w:rPr>
              <w:t>西南</w:t>
            </w:r>
          </w:p>
        </w:tc>
        <w:tc>
          <w:tcPr>
            <w:tcW w:w="642" w:type="pct"/>
            <w:tcBorders>
              <w:top w:val="single" w:color="000000" w:sz="6" w:space="0"/>
              <w:left w:val="single" w:color="000000" w:sz="6" w:space="0"/>
              <w:bottom w:val="single" w:color="000000" w:sz="6" w:space="0"/>
              <w:right w:val="single" w:color="000000" w:sz="6" w:space="0"/>
            </w:tcBorders>
            <w:vAlign w:val="center"/>
          </w:tcPr>
          <w:p w14:paraId="018A3F59">
            <w:pPr>
              <w:pStyle w:val="182"/>
              <w:spacing w:before="63"/>
              <w:ind w:left="266" w:right="249"/>
              <w:rPr>
                <w:b w:val="0"/>
                <w:bCs w:val="0"/>
                <w:color w:val="auto"/>
                <w:u w:val="none"/>
              </w:rPr>
            </w:pPr>
            <w:r>
              <w:rPr>
                <w:b w:val="0"/>
                <w:bCs w:val="0"/>
                <w:color w:val="auto"/>
                <w:u w:val="none"/>
              </w:rPr>
              <w:t>4760</w:t>
            </w:r>
          </w:p>
        </w:tc>
        <w:tc>
          <w:tcPr>
            <w:tcW w:w="639" w:type="pct"/>
            <w:vMerge w:val="continue"/>
            <w:tcBorders>
              <w:top w:val="nil"/>
              <w:left w:val="single" w:color="000000" w:sz="6" w:space="0"/>
              <w:bottom w:val="single" w:color="000000" w:sz="6" w:space="0"/>
            </w:tcBorders>
            <w:vAlign w:val="center"/>
          </w:tcPr>
          <w:p w14:paraId="7FF9DAAE">
            <w:pPr>
              <w:pStyle w:val="182"/>
              <w:rPr>
                <w:b w:val="0"/>
                <w:bCs w:val="0"/>
                <w:color w:val="auto"/>
                <w:u w:val="none"/>
              </w:rPr>
            </w:pPr>
          </w:p>
        </w:tc>
      </w:tr>
      <w:tr w14:paraId="47499A7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098E5E42">
            <w:pPr>
              <w:pStyle w:val="182"/>
              <w:spacing w:before="63"/>
              <w:ind w:left="191" w:right="176"/>
              <w:rPr>
                <w:b w:val="0"/>
                <w:bCs w:val="0"/>
                <w:color w:val="auto"/>
                <w:u w:val="none"/>
              </w:rPr>
            </w:pPr>
            <w:r>
              <w:rPr>
                <w:b w:val="0"/>
                <w:bCs w:val="0"/>
                <w:color w:val="auto"/>
                <w:u w:val="none"/>
              </w:rPr>
              <w:t>39</w:t>
            </w:r>
          </w:p>
        </w:tc>
        <w:tc>
          <w:tcPr>
            <w:tcW w:w="1132" w:type="pct"/>
            <w:tcBorders>
              <w:top w:val="single" w:color="000000" w:sz="6" w:space="0"/>
              <w:left w:val="single" w:color="000000" w:sz="6" w:space="0"/>
              <w:bottom w:val="single" w:color="000000" w:sz="6" w:space="0"/>
              <w:right w:val="single" w:color="000000" w:sz="6" w:space="0"/>
            </w:tcBorders>
            <w:vAlign w:val="center"/>
          </w:tcPr>
          <w:p w14:paraId="7EAC4029">
            <w:pPr>
              <w:pStyle w:val="182"/>
              <w:spacing w:before="49"/>
              <w:ind w:left="109" w:right="91"/>
              <w:rPr>
                <w:b w:val="0"/>
                <w:bCs w:val="0"/>
                <w:color w:val="auto"/>
                <w:u w:val="none"/>
              </w:rPr>
            </w:pPr>
            <w:r>
              <w:rPr>
                <w:b w:val="0"/>
                <w:bCs w:val="0"/>
                <w:color w:val="auto"/>
                <w:u w:val="none"/>
              </w:rPr>
              <w:t>西娄庄村</w:t>
            </w:r>
          </w:p>
        </w:tc>
        <w:tc>
          <w:tcPr>
            <w:tcW w:w="733" w:type="pct"/>
            <w:tcBorders>
              <w:top w:val="single" w:color="000000" w:sz="6" w:space="0"/>
              <w:left w:val="single" w:color="000000" w:sz="6" w:space="0"/>
              <w:bottom w:val="single" w:color="000000" w:sz="6" w:space="0"/>
              <w:right w:val="single" w:color="000000" w:sz="6" w:space="0"/>
            </w:tcBorders>
            <w:vAlign w:val="center"/>
          </w:tcPr>
          <w:p w14:paraId="19698921">
            <w:pPr>
              <w:pStyle w:val="182"/>
              <w:spacing w:before="63"/>
              <w:ind w:left="135" w:right="115"/>
              <w:rPr>
                <w:b w:val="0"/>
                <w:bCs w:val="0"/>
                <w:color w:val="auto"/>
                <w:u w:val="none"/>
              </w:rPr>
            </w:pPr>
            <w:r>
              <w:rPr>
                <w:b w:val="0"/>
                <w:bCs w:val="0"/>
                <w:color w:val="auto"/>
                <w:u w:val="none"/>
              </w:rPr>
              <w:t>427</w:t>
            </w:r>
          </w:p>
        </w:tc>
        <w:tc>
          <w:tcPr>
            <w:tcW w:w="736" w:type="pct"/>
            <w:tcBorders>
              <w:top w:val="single" w:color="000000" w:sz="6" w:space="0"/>
              <w:left w:val="single" w:color="000000" w:sz="6" w:space="0"/>
              <w:bottom w:val="single" w:color="000000" w:sz="6" w:space="0"/>
              <w:right w:val="single" w:color="000000" w:sz="6" w:space="0"/>
            </w:tcBorders>
            <w:vAlign w:val="center"/>
          </w:tcPr>
          <w:p w14:paraId="1680E7F8">
            <w:pPr>
              <w:pStyle w:val="182"/>
              <w:spacing w:before="63"/>
              <w:ind w:left="364" w:right="348"/>
              <w:rPr>
                <w:b w:val="0"/>
                <w:bCs w:val="0"/>
                <w:color w:val="auto"/>
                <w:u w:val="none"/>
              </w:rPr>
            </w:pPr>
            <w:r>
              <w:rPr>
                <w:b w:val="0"/>
                <w:bCs w:val="0"/>
                <w:color w:val="auto"/>
                <w:u w:val="none"/>
              </w:rPr>
              <w:t>-3433</w:t>
            </w:r>
          </w:p>
        </w:tc>
        <w:tc>
          <w:tcPr>
            <w:tcW w:w="734" w:type="pct"/>
            <w:tcBorders>
              <w:top w:val="single" w:color="000000" w:sz="6" w:space="0"/>
              <w:left w:val="single" w:color="000000" w:sz="6" w:space="0"/>
              <w:bottom w:val="single" w:color="000000" w:sz="6" w:space="0"/>
              <w:right w:val="single" w:color="000000" w:sz="6" w:space="0"/>
            </w:tcBorders>
            <w:vAlign w:val="center"/>
          </w:tcPr>
          <w:p w14:paraId="45B608CB">
            <w:pPr>
              <w:pStyle w:val="182"/>
              <w:spacing w:before="49"/>
              <w:ind w:left="16"/>
              <w:rPr>
                <w:b w:val="0"/>
                <w:bCs w:val="0"/>
                <w:color w:val="auto"/>
                <w:u w:val="none"/>
              </w:rPr>
            </w:pPr>
            <w:r>
              <w:rPr>
                <w:b w:val="0"/>
                <w:bCs w:val="0"/>
                <w:color w:val="auto"/>
                <w:u w:val="none"/>
              </w:rPr>
              <w:t>南</w:t>
            </w:r>
          </w:p>
        </w:tc>
        <w:tc>
          <w:tcPr>
            <w:tcW w:w="642" w:type="pct"/>
            <w:tcBorders>
              <w:top w:val="single" w:color="000000" w:sz="6" w:space="0"/>
              <w:left w:val="single" w:color="000000" w:sz="6" w:space="0"/>
              <w:bottom w:val="single" w:color="000000" w:sz="6" w:space="0"/>
              <w:right w:val="single" w:color="000000" w:sz="6" w:space="0"/>
            </w:tcBorders>
            <w:vAlign w:val="center"/>
          </w:tcPr>
          <w:p w14:paraId="53E84578">
            <w:pPr>
              <w:pStyle w:val="182"/>
              <w:spacing w:before="63"/>
              <w:ind w:left="266" w:right="249"/>
              <w:rPr>
                <w:b w:val="0"/>
                <w:bCs w:val="0"/>
                <w:color w:val="auto"/>
                <w:u w:val="none"/>
              </w:rPr>
            </w:pPr>
            <w:r>
              <w:rPr>
                <w:b w:val="0"/>
                <w:bCs w:val="0"/>
                <w:color w:val="auto"/>
                <w:u w:val="none"/>
              </w:rPr>
              <w:t>3211</w:t>
            </w:r>
          </w:p>
        </w:tc>
        <w:tc>
          <w:tcPr>
            <w:tcW w:w="639" w:type="pct"/>
            <w:tcBorders>
              <w:top w:val="single" w:color="000000" w:sz="6" w:space="0"/>
              <w:left w:val="single" w:color="000000" w:sz="6" w:space="0"/>
              <w:bottom w:val="single" w:color="000000" w:sz="6" w:space="0"/>
            </w:tcBorders>
            <w:vAlign w:val="center"/>
          </w:tcPr>
          <w:p w14:paraId="10E79FD8">
            <w:pPr>
              <w:pStyle w:val="182"/>
              <w:spacing w:before="63"/>
              <w:ind w:left="186" w:right="164"/>
              <w:rPr>
                <w:b w:val="0"/>
                <w:bCs w:val="0"/>
                <w:color w:val="auto"/>
                <w:u w:val="none"/>
              </w:rPr>
            </w:pPr>
            <w:r>
              <w:rPr>
                <w:b w:val="0"/>
                <w:bCs w:val="0"/>
                <w:color w:val="auto"/>
                <w:u w:val="none"/>
              </w:rPr>
              <w:t>3300</w:t>
            </w:r>
          </w:p>
        </w:tc>
      </w:tr>
      <w:tr w14:paraId="1CC4DB9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3F8B712A">
            <w:pPr>
              <w:pStyle w:val="182"/>
              <w:spacing w:before="63"/>
              <w:ind w:left="191" w:right="176"/>
              <w:rPr>
                <w:b w:val="0"/>
                <w:bCs w:val="0"/>
                <w:color w:val="auto"/>
                <w:u w:val="none"/>
              </w:rPr>
            </w:pPr>
            <w:r>
              <w:rPr>
                <w:b w:val="0"/>
                <w:bCs w:val="0"/>
                <w:color w:val="auto"/>
                <w:u w:val="none"/>
              </w:rPr>
              <w:t>40</w:t>
            </w:r>
          </w:p>
        </w:tc>
        <w:tc>
          <w:tcPr>
            <w:tcW w:w="1132" w:type="pct"/>
            <w:tcBorders>
              <w:top w:val="single" w:color="000000" w:sz="6" w:space="0"/>
              <w:left w:val="single" w:color="000000" w:sz="6" w:space="0"/>
              <w:bottom w:val="single" w:color="000000" w:sz="6" w:space="0"/>
              <w:right w:val="single" w:color="000000" w:sz="6" w:space="0"/>
            </w:tcBorders>
            <w:vAlign w:val="center"/>
          </w:tcPr>
          <w:p w14:paraId="2F14E731">
            <w:pPr>
              <w:pStyle w:val="182"/>
              <w:spacing w:before="49"/>
              <w:ind w:left="107" w:right="91"/>
              <w:rPr>
                <w:b w:val="0"/>
                <w:bCs w:val="0"/>
                <w:color w:val="auto"/>
                <w:u w:val="none"/>
              </w:rPr>
            </w:pPr>
            <w:r>
              <w:rPr>
                <w:b w:val="0"/>
                <w:bCs w:val="0"/>
                <w:color w:val="auto"/>
                <w:u w:val="none"/>
              </w:rPr>
              <w:t>张河村</w:t>
            </w:r>
          </w:p>
        </w:tc>
        <w:tc>
          <w:tcPr>
            <w:tcW w:w="733" w:type="pct"/>
            <w:tcBorders>
              <w:top w:val="single" w:color="000000" w:sz="6" w:space="0"/>
              <w:left w:val="single" w:color="000000" w:sz="6" w:space="0"/>
              <w:bottom w:val="single" w:color="000000" w:sz="6" w:space="0"/>
              <w:right w:val="single" w:color="000000" w:sz="6" w:space="0"/>
            </w:tcBorders>
            <w:vAlign w:val="center"/>
          </w:tcPr>
          <w:p w14:paraId="0A55938B">
            <w:pPr>
              <w:pStyle w:val="182"/>
              <w:spacing w:before="63"/>
              <w:ind w:left="135" w:right="117"/>
              <w:rPr>
                <w:b w:val="0"/>
                <w:bCs w:val="0"/>
                <w:color w:val="auto"/>
                <w:u w:val="none"/>
              </w:rPr>
            </w:pPr>
            <w:r>
              <w:rPr>
                <w:b w:val="0"/>
                <w:bCs w:val="0"/>
                <w:color w:val="auto"/>
                <w:u w:val="none"/>
              </w:rPr>
              <w:t>1202</w:t>
            </w:r>
          </w:p>
        </w:tc>
        <w:tc>
          <w:tcPr>
            <w:tcW w:w="736" w:type="pct"/>
            <w:tcBorders>
              <w:top w:val="single" w:color="000000" w:sz="6" w:space="0"/>
              <w:left w:val="single" w:color="000000" w:sz="6" w:space="0"/>
              <w:bottom w:val="single" w:color="000000" w:sz="6" w:space="0"/>
              <w:right w:val="single" w:color="000000" w:sz="6" w:space="0"/>
            </w:tcBorders>
            <w:vAlign w:val="center"/>
          </w:tcPr>
          <w:p w14:paraId="6F18A123">
            <w:pPr>
              <w:pStyle w:val="182"/>
              <w:spacing w:before="63"/>
              <w:ind w:left="364" w:right="348"/>
              <w:rPr>
                <w:b w:val="0"/>
                <w:bCs w:val="0"/>
                <w:color w:val="auto"/>
                <w:u w:val="none"/>
              </w:rPr>
            </w:pPr>
            <w:r>
              <w:rPr>
                <w:b w:val="0"/>
                <w:bCs w:val="0"/>
                <w:color w:val="auto"/>
                <w:u w:val="none"/>
              </w:rPr>
              <w:t>-2839</w:t>
            </w:r>
          </w:p>
        </w:tc>
        <w:tc>
          <w:tcPr>
            <w:tcW w:w="734" w:type="pct"/>
            <w:tcBorders>
              <w:top w:val="single" w:color="000000" w:sz="6" w:space="0"/>
              <w:left w:val="single" w:color="000000" w:sz="6" w:space="0"/>
              <w:bottom w:val="single" w:color="000000" w:sz="6" w:space="0"/>
              <w:right w:val="single" w:color="000000" w:sz="6" w:space="0"/>
            </w:tcBorders>
            <w:vAlign w:val="center"/>
          </w:tcPr>
          <w:p w14:paraId="437D6FB9">
            <w:pPr>
              <w:pStyle w:val="182"/>
              <w:spacing w:before="49"/>
              <w:ind w:left="133" w:right="120"/>
              <w:rPr>
                <w:b w:val="0"/>
                <w:bCs w:val="0"/>
                <w:color w:val="auto"/>
                <w:u w:val="none"/>
              </w:rPr>
            </w:pPr>
            <w:r>
              <w:rPr>
                <w:b w:val="0"/>
                <w:bCs w:val="0"/>
                <w:color w:val="auto"/>
                <w:u w:val="none"/>
              </w:rPr>
              <w:t>东南</w:t>
            </w:r>
          </w:p>
        </w:tc>
        <w:tc>
          <w:tcPr>
            <w:tcW w:w="642" w:type="pct"/>
            <w:tcBorders>
              <w:top w:val="single" w:color="000000" w:sz="6" w:space="0"/>
              <w:left w:val="single" w:color="000000" w:sz="6" w:space="0"/>
              <w:bottom w:val="single" w:color="000000" w:sz="6" w:space="0"/>
              <w:right w:val="single" w:color="000000" w:sz="6" w:space="0"/>
            </w:tcBorders>
            <w:vAlign w:val="center"/>
          </w:tcPr>
          <w:p w14:paraId="242F33B8">
            <w:pPr>
              <w:pStyle w:val="182"/>
              <w:spacing w:before="63"/>
              <w:ind w:left="266" w:right="249"/>
              <w:rPr>
                <w:b w:val="0"/>
                <w:bCs w:val="0"/>
                <w:color w:val="auto"/>
                <w:u w:val="none"/>
              </w:rPr>
            </w:pPr>
            <w:r>
              <w:rPr>
                <w:b w:val="0"/>
                <w:bCs w:val="0"/>
                <w:color w:val="auto"/>
                <w:u w:val="none"/>
              </w:rPr>
              <w:t>2860</w:t>
            </w:r>
          </w:p>
        </w:tc>
        <w:tc>
          <w:tcPr>
            <w:tcW w:w="639" w:type="pct"/>
            <w:tcBorders>
              <w:top w:val="single" w:color="000000" w:sz="6" w:space="0"/>
              <w:left w:val="single" w:color="000000" w:sz="6" w:space="0"/>
              <w:bottom w:val="single" w:color="000000" w:sz="6" w:space="0"/>
            </w:tcBorders>
            <w:vAlign w:val="center"/>
          </w:tcPr>
          <w:p w14:paraId="2756ECA2">
            <w:pPr>
              <w:pStyle w:val="182"/>
              <w:spacing w:before="63"/>
              <w:ind w:left="186" w:right="164"/>
              <w:rPr>
                <w:b w:val="0"/>
                <w:bCs w:val="0"/>
                <w:color w:val="auto"/>
                <w:u w:val="none"/>
              </w:rPr>
            </w:pPr>
            <w:r>
              <w:rPr>
                <w:b w:val="0"/>
                <w:bCs w:val="0"/>
                <w:color w:val="auto"/>
                <w:u w:val="none"/>
              </w:rPr>
              <w:t>1920</w:t>
            </w:r>
          </w:p>
        </w:tc>
      </w:tr>
      <w:tr w14:paraId="68AC4AF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0514A790">
            <w:pPr>
              <w:pStyle w:val="182"/>
              <w:spacing w:before="63"/>
              <w:ind w:left="191" w:right="176"/>
              <w:rPr>
                <w:b w:val="0"/>
                <w:bCs w:val="0"/>
                <w:color w:val="auto"/>
                <w:u w:val="none"/>
              </w:rPr>
            </w:pPr>
            <w:r>
              <w:rPr>
                <w:b w:val="0"/>
                <w:bCs w:val="0"/>
                <w:color w:val="auto"/>
                <w:u w:val="none"/>
              </w:rPr>
              <w:t>41</w:t>
            </w:r>
          </w:p>
        </w:tc>
        <w:tc>
          <w:tcPr>
            <w:tcW w:w="1132" w:type="pct"/>
            <w:tcBorders>
              <w:top w:val="single" w:color="000000" w:sz="6" w:space="0"/>
              <w:left w:val="single" w:color="000000" w:sz="6" w:space="0"/>
              <w:bottom w:val="single" w:color="000000" w:sz="6" w:space="0"/>
              <w:right w:val="single" w:color="000000" w:sz="6" w:space="0"/>
            </w:tcBorders>
            <w:vAlign w:val="center"/>
          </w:tcPr>
          <w:p w14:paraId="65C57018">
            <w:pPr>
              <w:pStyle w:val="182"/>
              <w:spacing w:before="49"/>
              <w:ind w:left="107" w:right="91"/>
              <w:rPr>
                <w:b w:val="0"/>
                <w:bCs w:val="0"/>
                <w:color w:val="auto"/>
                <w:u w:val="none"/>
              </w:rPr>
            </w:pPr>
            <w:r>
              <w:rPr>
                <w:b w:val="0"/>
                <w:bCs w:val="0"/>
                <w:color w:val="auto"/>
                <w:u w:val="none"/>
              </w:rPr>
              <w:t>枣园村</w:t>
            </w:r>
          </w:p>
        </w:tc>
        <w:tc>
          <w:tcPr>
            <w:tcW w:w="733" w:type="pct"/>
            <w:tcBorders>
              <w:top w:val="single" w:color="000000" w:sz="6" w:space="0"/>
              <w:left w:val="single" w:color="000000" w:sz="6" w:space="0"/>
              <w:bottom w:val="single" w:color="000000" w:sz="6" w:space="0"/>
              <w:right w:val="single" w:color="000000" w:sz="6" w:space="0"/>
            </w:tcBorders>
            <w:vAlign w:val="center"/>
          </w:tcPr>
          <w:p w14:paraId="2E5FEECD">
            <w:pPr>
              <w:pStyle w:val="182"/>
              <w:spacing w:before="63"/>
              <w:ind w:left="135" w:right="117"/>
              <w:rPr>
                <w:b w:val="0"/>
                <w:bCs w:val="0"/>
                <w:color w:val="auto"/>
                <w:u w:val="none"/>
              </w:rPr>
            </w:pPr>
            <w:r>
              <w:rPr>
                <w:b w:val="0"/>
                <w:bCs w:val="0"/>
                <w:color w:val="auto"/>
                <w:u w:val="none"/>
              </w:rPr>
              <w:t>2613</w:t>
            </w:r>
          </w:p>
        </w:tc>
        <w:tc>
          <w:tcPr>
            <w:tcW w:w="736" w:type="pct"/>
            <w:tcBorders>
              <w:top w:val="single" w:color="000000" w:sz="6" w:space="0"/>
              <w:left w:val="single" w:color="000000" w:sz="6" w:space="0"/>
              <w:bottom w:val="single" w:color="000000" w:sz="6" w:space="0"/>
              <w:right w:val="single" w:color="000000" w:sz="6" w:space="0"/>
            </w:tcBorders>
            <w:vAlign w:val="center"/>
          </w:tcPr>
          <w:p w14:paraId="4C6247BF">
            <w:pPr>
              <w:pStyle w:val="182"/>
              <w:spacing w:before="63"/>
              <w:ind w:left="364" w:right="348"/>
              <w:rPr>
                <w:b w:val="0"/>
                <w:bCs w:val="0"/>
                <w:color w:val="auto"/>
                <w:u w:val="none"/>
              </w:rPr>
            </w:pPr>
            <w:r>
              <w:rPr>
                <w:b w:val="0"/>
                <w:bCs w:val="0"/>
                <w:color w:val="auto"/>
                <w:u w:val="none"/>
              </w:rPr>
              <w:t>-4646</w:t>
            </w:r>
          </w:p>
        </w:tc>
        <w:tc>
          <w:tcPr>
            <w:tcW w:w="734" w:type="pct"/>
            <w:tcBorders>
              <w:top w:val="single" w:color="000000" w:sz="6" w:space="0"/>
              <w:left w:val="single" w:color="000000" w:sz="6" w:space="0"/>
              <w:bottom w:val="single" w:color="000000" w:sz="6" w:space="0"/>
              <w:right w:val="single" w:color="000000" w:sz="6" w:space="0"/>
            </w:tcBorders>
            <w:vAlign w:val="center"/>
          </w:tcPr>
          <w:p w14:paraId="19D92CC4">
            <w:pPr>
              <w:pStyle w:val="182"/>
              <w:spacing w:before="49"/>
              <w:ind w:left="133" w:right="120"/>
              <w:rPr>
                <w:b w:val="0"/>
                <w:bCs w:val="0"/>
                <w:color w:val="auto"/>
                <w:u w:val="none"/>
              </w:rPr>
            </w:pPr>
            <w:r>
              <w:rPr>
                <w:b w:val="0"/>
                <w:bCs w:val="0"/>
                <w:color w:val="auto"/>
                <w:u w:val="none"/>
              </w:rPr>
              <w:t>东南</w:t>
            </w:r>
          </w:p>
        </w:tc>
        <w:tc>
          <w:tcPr>
            <w:tcW w:w="642" w:type="pct"/>
            <w:tcBorders>
              <w:top w:val="single" w:color="000000" w:sz="6" w:space="0"/>
              <w:left w:val="single" w:color="000000" w:sz="6" w:space="0"/>
              <w:bottom w:val="single" w:color="000000" w:sz="6" w:space="0"/>
              <w:right w:val="single" w:color="000000" w:sz="6" w:space="0"/>
            </w:tcBorders>
            <w:vAlign w:val="center"/>
          </w:tcPr>
          <w:p w14:paraId="74B54166">
            <w:pPr>
              <w:pStyle w:val="182"/>
              <w:spacing w:before="63"/>
              <w:ind w:left="266" w:right="249"/>
              <w:rPr>
                <w:b w:val="0"/>
                <w:bCs w:val="0"/>
                <w:color w:val="auto"/>
                <w:u w:val="none"/>
              </w:rPr>
            </w:pPr>
            <w:r>
              <w:rPr>
                <w:b w:val="0"/>
                <w:bCs w:val="0"/>
                <w:color w:val="auto"/>
                <w:u w:val="none"/>
              </w:rPr>
              <w:t>4928</w:t>
            </w:r>
          </w:p>
        </w:tc>
        <w:tc>
          <w:tcPr>
            <w:tcW w:w="639" w:type="pct"/>
            <w:tcBorders>
              <w:top w:val="single" w:color="000000" w:sz="6" w:space="0"/>
              <w:left w:val="single" w:color="000000" w:sz="6" w:space="0"/>
              <w:bottom w:val="single" w:color="000000" w:sz="6" w:space="0"/>
            </w:tcBorders>
            <w:vAlign w:val="center"/>
          </w:tcPr>
          <w:p w14:paraId="5F61D9E7">
            <w:pPr>
              <w:pStyle w:val="182"/>
              <w:spacing w:before="63"/>
              <w:ind w:left="186" w:right="164"/>
              <w:rPr>
                <w:b w:val="0"/>
                <w:bCs w:val="0"/>
                <w:color w:val="auto"/>
                <w:u w:val="none"/>
              </w:rPr>
            </w:pPr>
            <w:r>
              <w:rPr>
                <w:b w:val="0"/>
                <w:bCs w:val="0"/>
                <w:color w:val="auto"/>
                <w:u w:val="none"/>
              </w:rPr>
              <w:t>2400</w:t>
            </w:r>
          </w:p>
        </w:tc>
      </w:tr>
      <w:tr w14:paraId="410F426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4DBE624A">
            <w:pPr>
              <w:pStyle w:val="182"/>
              <w:spacing w:before="63"/>
              <w:ind w:left="191" w:right="176"/>
              <w:rPr>
                <w:b w:val="0"/>
                <w:bCs w:val="0"/>
                <w:color w:val="auto"/>
                <w:u w:val="none"/>
              </w:rPr>
            </w:pPr>
            <w:r>
              <w:rPr>
                <w:b w:val="0"/>
                <w:bCs w:val="0"/>
                <w:color w:val="auto"/>
                <w:u w:val="none"/>
              </w:rPr>
              <w:t>42</w:t>
            </w:r>
          </w:p>
        </w:tc>
        <w:tc>
          <w:tcPr>
            <w:tcW w:w="1132" w:type="pct"/>
            <w:tcBorders>
              <w:top w:val="single" w:color="000000" w:sz="6" w:space="0"/>
              <w:left w:val="single" w:color="000000" w:sz="6" w:space="0"/>
              <w:bottom w:val="single" w:color="000000" w:sz="6" w:space="0"/>
              <w:right w:val="single" w:color="000000" w:sz="6" w:space="0"/>
            </w:tcBorders>
            <w:vAlign w:val="center"/>
          </w:tcPr>
          <w:p w14:paraId="21EEC25B">
            <w:pPr>
              <w:pStyle w:val="182"/>
              <w:spacing w:before="49"/>
              <w:ind w:left="109" w:right="91"/>
              <w:rPr>
                <w:b w:val="0"/>
                <w:bCs w:val="0"/>
                <w:color w:val="auto"/>
                <w:u w:val="none"/>
              </w:rPr>
            </w:pPr>
            <w:r>
              <w:rPr>
                <w:b w:val="0"/>
                <w:bCs w:val="0"/>
                <w:color w:val="auto"/>
                <w:u w:val="none"/>
              </w:rPr>
              <w:t>大韩庄村</w:t>
            </w:r>
          </w:p>
        </w:tc>
        <w:tc>
          <w:tcPr>
            <w:tcW w:w="733" w:type="pct"/>
            <w:tcBorders>
              <w:top w:val="single" w:color="000000" w:sz="6" w:space="0"/>
              <w:left w:val="single" w:color="000000" w:sz="6" w:space="0"/>
              <w:bottom w:val="single" w:color="000000" w:sz="6" w:space="0"/>
              <w:right w:val="single" w:color="000000" w:sz="6" w:space="0"/>
            </w:tcBorders>
            <w:vAlign w:val="center"/>
          </w:tcPr>
          <w:p w14:paraId="0969155D">
            <w:pPr>
              <w:pStyle w:val="182"/>
              <w:spacing w:before="63"/>
              <w:ind w:left="135" w:right="117"/>
              <w:rPr>
                <w:b w:val="0"/>
                <w:bCs w:val="0"/>
                <w:color w:val="auto"/>
                <w:u w:val="none"/>
              </w:rPr>
            </w:pPr>
            <w:r>
              <w:rPr>
                <w:b w:val="0"/>
                <w:bCs w:val="0"/>
                <w:color w:val="auto"/>
                <w:u w:val="none"/>
              </w:rPr>
              <w:t>2556</w:t>
            </w:r>
          </w:p>
        </w:tc>
        <w:tc>
          <w:tcPr>
            <w:tcW w:w="736" w:type="pct"/>
            <w:tcBorders>
              <w:top w:val="single" w:color="000000" w:sz="6" w:space="0"/>
              <w:left w:val="single" w:color="000000" w:sz="6" w:space="0"/>
              <w:bottom w:val="single" w:color="000000" w:sz="6" w:space="0"/>
              <w:right w:val="single" w:color="000000" w:sz="6" w:space="0"/>
            </w:tcBorders>
            <w:vAlign w:val="center"/>
          </w:tcPr>
          <w:p w14:paraId="13DB7333">
            <w:pPr>
              <w:pStyle w:val="182"/>
              <w:spacing w:before="63"/>
              <w:ind w:left="364" w:right="348"/>
              <w:rPr>
                <w:b w:val="0"/>
                <w:bCs w:val="0"/>
                <w:color w:val="auto"/>
                <w:u w:val="none"/>
              </w:rPr>
            </w:pPr>
            <w:r>
              <w:rPr>
                <w:b w:val="0"/>
                <w:bCs w:val="0"/>
                <w:color w:val="auto"/>
                <w:u w:val="none"/>
              </w:rPr>
              <w:t>-3479</w:t>
            </w:r>
          </w:p>
        </w:tc>
        <w:tc>
          <w:tcPr>
            <w:tcW w:w="734" w:type="pct"/>
            <w:tcBorders>
              <w:top w:val="single" w:color="000000" w:sz="6" w:space="0"/>
              <w:left w:val="single" w:color="000000" w:sz="6" w:space="0"/>
              <w:bottom w:val="single" w:color="000000" w:sz="6" w:space="0"/>
              <w:right w:val="single" w:color="000000" w:sz="6" w:space="0"/>
            </w:tcBorders>
            <w:vAlign w:val="center"/>
          </w:tcPr>
          <w:p w14:paraId="0CE5E00C">
            <w:pPr>
              <w:pStyle w:val="182"/>
              <w:spacing w:before="49"/>
              <w:ind w:left="133" w:right="120"/>
              <w:rPr>
                <w:b w:val="0"/>
                <w:bCs w:val="0"/>
                <w:color w:val="auto"/>
                <w:u w:val="none"/>
              </w:rPr>
            </w:pPr>
            <w:r>
              <w:rPr>
                <w:b w:val="0"/>
                <w:bCs w:val="0"/>
                <w:color w:val="auto"/>
                <w:u w:val="none"/>
              </w:rPr>
              <w:t>东南</w:t>
            </w:r>
          </w:p>
        </w:tc>
        <w:tc>
          <w:tcPr>
            <w:tcW w:w="642" w:type="pct"/>
            <w:tcBorders>
              <w:top w:val="single" w:color="000000" w:sz="6" w:space="0"/>
              <w:left w:val="single" w:color="000000" w:sz="6" w:space="0"/>
              <w:bottom w:val="single" w:color="000000" w:sz="6" w:space="0"/>
              <w:right w:val="single" w:color="000000" w:sz="6" w:space="0"/>
            </w:tcBorders>
            <w:vAlign w:val="center"/>
          </w:tcPr>
          <w:p w14:paraId="14C5A3FE">
            <w:pPr>
              <w:pStyle w:val="182"/>
              <w:spacing w:before="63"/>
              <w:ind w:left="266" w:right="249"/>
              <w:rPr>
                <w:b w:val="0"/>
                <w:bCs w:val="0"/>
                <w:color w:val="auto"/>
                <w:u w:val="none"/>
              </w:rPr>
            </w:pPr>
            <w:r>
              <w:rPr>
                <w:b w:val="0"/>
                <w:bCs w:val="0"/>
                <w:color w:val="auto"/>
                <w:u w:val="none"/>
              </w:rPr>
              <w:t>3950</w:t>
            </w:r>
          </w:p>
        </w:tc>
        <w:tc>
          <w:tcPr>
            <w:tcW w:w="639" w:type="pct"/>
            <w:tcBorders>
              <w:top w:val="single" w:color="000000" w:sz="6" w:space="0"/>
              <w:left w:val="single" w:color="000000" w:sz="6" w:space="0"/>
              <w:bottom w:val="single" w:color="000000" w:sz="6" w:space="0"/>
            </w:tcBorders>
            <w:vAlign w:val="center"/>
          </w:tcPr>
          <w:p w14:paraId="270A9D73">
            <w:pPr>
              <w:pStyle w:val="182"/>
              <w:spacing w:before="63"/>
              <w:ind w:left="186" w:right="164"/>
              <w:rPr>
                <w:b w:val="0"/>
                <w:bCs w:val="0"/>
                <w:color w:val="auto"/>
                <w:u w:val="none"/>
              </w:rPr>
            </w:pPr>
            <w:r>
              <w:rPr>
                <w:b w:val="0"/>
                <w:bCs w:val="0"/>
                <w:color w:val="auto"/>
                <w:u w:val="none"/>
              </w:rPr>
              <w:t>800</w:t>
            </w:r>
          </w:p>
        </w:tc>
      </w:tr>
      <w:tr w14:paraId="76A5558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6FF4E330">
            <w:pPr>
              <w:pStyle w:val="182"/>
              <w:spacing w:before="63"/>
              <w:ind w:left="191" w:right="176"/>
              <w:rPr>
                <w:b w:val="0"/>
                <w:bCs w:val="0"/>
                <w:color w:val="auto"/>
                <w:u w:val="none"/>
              </w:rPr>
            </w:pPr>
            <w:r>
              <w:rPr>
                <w:b w:val="0"/>
                <w:bCs w:val="0"/>
                <w:color w:val="auto"/>
                <w:u w:val="none"/>
              </w:rPr>
              <w:t>43</w:t>
            </w:r>
          </w:p>
        </w:tc>
        <w:tc>
          <w:tcPr>
            <w:tcW w:w="1132" w:type="pct"/>
            <w:tcBorders>
              <w:top w:val="single" w:color="000000" w:sz="6" w:space="0"/>
              <w:left w:val="single" w:color="000000" w:sz="6" w:space="0"/>
              <w:bottom w:val="single" w:color="000000" w:sz="6" w:space="0"/>
              <w:right w:val="single" w:color="000000" w:sz="6" w:space="0"/>
            </w:tcBorders>
            <w:vAlign w:val="center"/>
          </w:tcPr>
          <w:p w14:paraId="792B0C5B">
            <w:pPr>
              <w:pStyle w:val="182"/>
              <w:spacing w:before="49"/>
              <w:ind w:left="109" w:right="91"/>
              <w:rPr>
                <w:b w:val="0"/>
                <w:bCs w:val="0"/>
                <w:color w:val="auto"/>
                <w:u w:val="none"/>
              </w:rPr>
            </w:pPr>
            <w:r>
              <w:rPr>
                <w:b w:val="0"/>
                <w:bCs w:val="0"/>
                <w:color w:val="auto"/>
                <w:u w:val="none"/>
              </w:rPr>
              <w:t>小韩庄村</w:t>
            </w:r>
          </w:p>
        </w:tc>
        <w:tc>
          <w:tcPr>
            <w:tcW w:w="733" w:type="pct"/>
            <w:tcBorders>
              <w:top w:val="single" w:color="000000" w:sz="6" w:space="0"/>
              <w:left w:val="single" w:color="000000" w:sz="6" w:space="0"/>
              <w:bottom w:val="single" w:color="000000" w:sz="6" w:space="0"/>
              <w:right w:val="single" w:color="000000" w:sz="6" w:space="0"/>
            </w:tcBorders>
            <w:vAlign w:val="center"/>
          </w:tcPr>
          <w:p w14:paraId="433BDDBE">
            <w:pPr>
              <w:pStyle w:val="182"/>
              <w:spacing w:before="63"/>
              <w:ind w:left="135" w:right="117"/>
              <w:rPr>
                <w:b w:val="0"/>
                <w:bCs w:val="0"/>
                <w:color w:val="auto"/>
                <w:u w:val="none"/>
              </w:rPr>
            </w:pPr>
            <w:r>
              <w:rPr>
                <w:b w:val="0"/>
                <w:bCs w:val="0"/>
                <w:color w:val="auto"/>
                <w:u w:val="none"/>
              </w:rPr>
              <w:t>3707</w:t>
            </w:r>
          </w:p>
        </w:tc>
        <w:tc>
          <w:tcPr>
            <w:tcW w:w="736" w:type="pct"/>
            <w:tcBorders>
              <w:top w:val="single" w:color="000000" w:sz="6" w:space="0"/>
              <w:left w:val="single" w:color="000000" w:sz="6" w:space="0"/>
              <w:bottom w:val="single" w:color="000000" w:sz="6" w:space="0"/>
              <w:right w:val="single" w:color="000000" w:sz="6" w:space="0"/>
            </w:tcBorders>
            <w:vAlign w:val="center"/>
          </w:tcPr>
          <w:p w14:paraId="67D534A2">
            <w:pPr>
              <w:pStyle w:val="182"/>
              <w:spacing w:before="63"/>
              <w:ind w:left="364" w:right="348"/>
              <w:rPr>
                <w:b w:val="0"/>
                <w:bCs w:val="0"/>
                <w:color w:val="auto"/>
                <w:u w:val="none"/>
              </w:rPr>
            </w:pPr>
            <w:r>
              <w:rPr>
                <w:b w:val="0"/>
                <w:bCs w:val="0"/>
                <w:color w:val="auto"/>
                <w:u w:val="none"/>
              </w:rPr>
              <w:t>-3275</w:t>
            </w:r>
          </w:p>
        </w:tc>
        <w:tc>
          <w:tcPr>
            <w:tcW w:w="734" w:type="pct"/>
            <w:tcBorders>
              <w:top w:val="single" w:color="000000" w:sz="6" w:space="0"/>
              <w:left w:val="single" w:color="000000" w:sz="6" w:space="0"/>
              <w:bottom w:val="single" w:color="000000" w:sz="6" w:space="0"/>
              <w:right w:val="single" w:color="000000" w:sz="6" w:space="0"/>
            </w:tcBorders>
            <w:vAlign w:val="center"/>
          </w:tcPr>
          <w:p w14:paraId="1D63F033">
            <w:pPr>
              <w:pStyle w:val="182"/>
              <w:spacing w:before="49"/>
              <w:ind w:left="133" w:right="120"/>
              <w:rPr>
                <w:b w:val="0"/>
                <w:bCs w:val="0"/>
                <w:color w:val="auto"/>
                <w:u w:val="none"/>
              </w:rPr>
            </w:pPr>
            <w:r>
              <w:rPr>
                <w:b w:val="0"/>
                <w:bCs w:val="0"/>
                <w:color w:val="auto"/>
                <w:u w:val="none"/>
              </w:rPr>
              <w:t>东南</w:t>
            </w:r>
          </w:p>
        </w:tc>
        <w:tc>
          <w:tcPr>
            <w:tcW w:w="642" w:type="pct"/>
            <w:tcBorders>
              <w:top w:val="single" w:color="000000" w:sz="6" w:space="0"/>
              <w:left w:val="single" w:color="000000" w:sz="6" w:space="0"/>
              <w:bottom w:val="single" w:color="000000" w:sz="6" w:space="0"/>
              <w:right w:val="single" w:color="000000" w:sz="6" w:space="0"/>
            </w:tcBorders>
            <w:vAlign w:val="center"/>
          </w:tcPr>
          <w:p w14:paraId="6EF35D10">
            <w:pPr>
              <w:pStyle w:val="182"/>
              <w:spacing w:before="63"/>
              <w:ind w:left="266" w:right="249"/>
              <w:rPr>
                <w:b w:val="0"/>
                <w:bCs w:val="0"/>
                <w:color w:val="auto"/>
                <w:u w:val="none"/>
              </w:rPr>
            </w:pPr>
            <w:r>
              <w:rPr>
                <w:b w:val="0"/>
                <w:bCs w:val="0"/>
                <w:color w:val="auto"/>
                <w:u w:val="none"/>
              </w:rPr>
              <w:t>4560</w:t>
            </w:r>
          </w:p>
        </w:tc>
        <w:tc>
          <w:tcPr>
            <w:tcW w:w="639" w:type="pct"/>
            <w:tcBorders>
              <w:top w:val="single" w:color="000000" w:sz="6" w:space="0"/>
              <w:left w:val="single" w:color="000000" w:sz="6" w:space="0"/>
              <w:bottom w:val="single" w:color="000000" w:sz="6" w:space="0"/>
            </w:tcBorders>
            <w:vAlign w:val="center"/>
          </w:tcPr>
          <w:p w14:paraId="77D7D7D5">
            <w:pPr>
              <w:pStyle w:val="182"/>
              <w:spacing w:before="63"/>
              <w:ind w:left="186" w:right="164"/>
              <w:rPr>
                <w:b w:val="0"/>
                <w:bCs w:val="0"/>
                <w:color w:val="auto"/>
                <w:u w:val="none"/>
              </w:rPr>
            </w:pPr>
            <w:r>
              <w:rPr>
                <w:b w:val="0"/>
                <w:bCs w:val="0"/>
                <w:color w:val="auto"/>
                <w:u w:val="none"/>
              </w:rPr>
              <w:t>1200</w:t>
            </w:r>
          </w:p>
        </w:tc>
      </w:tr>
      <w:tr w14:paraId="4219BBA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1A92A17B">
            <w:pPr>
              <w:pStyle w:val="182"/>
              <w:spacing w:before="63"/>
              <w:ind w:left="191" w:right="176"/>
              <w:rPr>
                <w:b w:val="0"/>
                <w:bCs w:val="0"/>
                <w:color w:val="auto"/>
                <w:u w:val="none"/>
              </w:rPr>
            </w:pPr>
            <w:r>
              <w:rPr>
                <w:b w:val="0"/>
                <w:bCs w:val="0"/>
                <w:color w:val="auto"/>
                <w:u w:val="none"/>
              </w:rPr>
              <w:t>44</w:t>
            </w:r>
          </w:p>
        </w:tc>
        <w:tc>
          <w:tcPr>
            <w:tcW w:w="1132" w:type="pct"/>
            <w:tcBorders>
              <w:top w:val="single" w:color="000000" w:sz="6" w:space="0"/>
              <w:left w:val="single" w:color="000000" w:sz="6" w:space="0"/>
              <w:bottom w:val="single" w:color="000000" w:sz="6" w:space="0"/>
              <w:right w:val="single" w:color="000000" w:sz="6" w:space="0"/>
            </w:tcBorders>
            <w:vAlign w:val="center"/>
          </w:tcPr>
          <w:p w14:paraId="3638D1FB">
            <w:pPr>
              <w:pStyle w:val="182"/>
              <w:spacing w:before="49"/>
              <w:ind w:left="109" w:right="91"/>
              <w:rPr>
                <w:b w:val="0"/>
                <w:bCs w:val="0"/>
                <w:color w:val="auto"/>
                <w:u w:val="none"/>
              </w:rPr>
            </w:pPr>
            <w:r>
              <w:rPr>
                <w:b w:val="0"/>
                <w:bCs w:val="0"/>
                <w:color w:val="auto"/>
                <w:u w:val="none"/>
              </w:rPr>
              <w:t>刘景屯村</w:t>
            </w:r>
          </w:p>
        </w:tc>
        <w:tc>
          <w:tcPr>
            <w:tcW w:w="733" w:type="pct"/>
            <w:tcBorders>
              <w:top w:val="single" w:color="000000" w:sz="6" w:space="0"/>
              <w:left w:val="single" w:color="000000" w:sz="6" w:space="0"/>
              <w:bottom w:val="single" w:color="000000" w:sz="6" w:space="0"/>
              <w:right w:val="single" w:color="000000" w:sz="6" w:space="0"/>
            </w:tcBorders>
            <w:vAlign w:val="center"/>
          </w:tcPr>
          <w:p w14:paraId="748A0EBC">
            <w:pPr>
              <w:pStyle w:val="182"/>
              <w:spacing w:before="63"/>
              <w:ind w:left="135" w:right="117"/>
              <w:rPr>
                <w:b w:val="0"/>
                <w:bCs w:val="0"/>
                <w:color w:val="auto"/>
                <w:u w:val="none"/>
              </w:rPr>
            </w:pPr>
            <w:r>
              <w:rPr>
                <w:b w:val="0"/>
                <w:bCs w:val="0"/>
                <w:color w:val="auto"/>
                <w:u w:val="none"/>
              </w:rPr>
              <w:t>-3190</w:t>
            </w:r>
          </w:p>
        </w:tc>
        <w:tc>
          <w:tcPr>
            <w:tcW w:w="736" w:type="pct"/>
            <w:tcBorders>
              <w:top w:val="single" w:color="000000" w:sz="6" w:space="0"/>
              <w:left w:val="single" w:color="000000" w:sz="6" w:space="0"/>
              <w:bottom w:val="single" w:color="000000" w:sz="6" w:space="0"/>
              <w:right w:val="single" w:color="000000" w:sz="6" w:space="0"/>
            </w:tcBorders>
            <w:vAlign w:val="center"/>
          </w:tcPr>
          <w:p w14:paraId="624A9565">
            <w:pPr>
              <w:pStyle w:val="182"/>
              <w:spacing w:before="63"/>
              <w:ind w:left="364" w:right="345"/>
              <w:rPr>
                <w:b w:val="0"/>
                <w:bCs w:val="0"/>
                <w:color w:val="auto"/>
                <w:u w:val="none"/>
              </w:rPr>
            </w:pPr>
            <w:r>
              <w:rPr>
                <w:b w:val="0"/>
                <w:bCs w:val="0"/>
                <w:color w:val="auto"/>
                <w:u w:val="none"/>
              </w:rPr>
              <w:t>3434</w:t>
            </w:r>
          </w:p>
        </w:tc>
        <w:tc>
          <w:tcPr>
            <w:tcW w:w="734" w:type="pct"/>
            <w:tcBorders>
              <w:top w:val="single" w:color="000000" w:sz="6" w:space="0"/>
              <w:left w:val="single" w:color="000000" w:sz="6" w:space="0"/>
              <w:bottom w:val="single" w:color="000000" w:sz="6" w:space="0"/>
              <w:right w:val="single" w:color="000000" w:sz="6" w:space="0"/>
            </w:tcBorders>
            <w:vAlign w:val="center"/>
          </w:tcPr>
          <w:p w14:paraId="420E5CC6">
            <w:pPr>
              <w:pStyle w:val="182"/>
              <w:spacing w:before="49"/>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2927F31F">
            <w:pPr>
              <w:pStyle w:val="182"/>
              <w:spacing w:before="63"/>
              <w:ind w:left="266" w:right="249"/>
              <w:rPr>
                <w:b w:val="0"/>
                <w:bCs w:val="0"/>
                <w:color w:val="auto"/>
                <w:u w:val="none"/>
              </w:rPr>
            </w:pPr>
            <w:r>
              <w:rPr>
                <w:b w:val="0"/>
                <w:bCs w:val="0"/>
                <w:color w:val="auto"/>
                <w:u w:val="none"/>
              </w:rPr>
              <w:t>4480</w:t>
            </w:r>
          </w:p>
        </w:tc>
        <w:tc>
          <w:tcPr>
            <w:tcW w:w="639" w:type="pct"/>
            <w:tcBorders>
              <w:top w:val="single" w:color="000000" w:sz="6" w:space="0"/>
              <w:left w:val="single" w:color="000000" w:sz="6" w:space="0"/>
              <w:bottom w:val="single" w:color="000000" w:sz="6" w:space="0"/>
            </w:tcBorders>
            <w:vAlign w:val="center"/>
          </w:tcPr>
          <w:p w14:paraId="03E06AF2">
            <w:pPr>
              <w:pStyle w:val="182"/>
              <w:spacing w:before="63"/>
              <w:ind w:left="186" w:right="164"/>
              <w:rPr>
                <w:b w:val="0"/>
                <w:bCs w:val="0"/>
                <w:color w:val="auto"/>
                <w:u w:val="none"/>
              </w:rPr>
            </w:pPr>
            <w:r>
              <w:rPr>
                <w:b w:val="0"/>
                <w:bCs w:val="0"/>
                <w:color w:val="auto"/>
                <w:u w:val="none"/>
              </w:rPr>
              <w:t>5000</w:t>
            </w:r>
          </w:p>
        </w:tc>
      </w:tr>
      <w:tr w14:paraId="0C12AEE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39BE4780">
            <w:pPr>
              <w:pStyle w:val="182"/>
              <w:spacing w:before="63"/>
              <w:ind w:left="191" w:right="176"/>
              <w:rPr>
                <w:b w:val="0"/>
                <w:bCs w:val="0"/>
                <w:color w:val="auto"/>
                <w:u w:val="none"/>
              </w:rPr>
            </w:pPr>
            <w:r>
              <w:rPr>
                <w:b w:val="0"/>
                <w:bCs w:val="0"/>
                <w:color w:val="auto"/>
                <w:u w:val="none"/>
              </w:rPr>
              <w:t>45</w:t>
            </w:r>
          </w:p>
        </w:tc>
        <w:tc>
          <w:tcPr>
            <w:tcW w:w="1132" w:type="pct"/>
            <w:tcBorders>
              <w:top w:val="single" w:color="000000" w:sz="6" w:space="0"/>
              <w:left w:val="single" w:color="000000" w:sz="6" w:space="0"/>
              <w:bottom w:val="single" w:color="000000" w:sz="6" w:space="0"/>
              <w:right w:val="single" w:color="000000" w:sz="6" w:space="0"/>
            </w:tcBorders>
            <w:vAlign w:val="center"/>
          </w:tcPr>
          <w:p w14:paraId="20179171">
            <w:pPr>
              <w:pStyle w:val="182"/>
              <w:spacing w:before="49"/>
              <w:ind w:left="107" w:right="91"/>
              <w:rPr>
                <w:b w:val="0"/>
                <w:bCs w:val="0"/>
                <w:color w:val="auto"/>
                <w:u w:val="none"/>
              </w:rPr>
            </w:pPr>
            <w:r>
              <w:rPr>
                <w:b w:val="0"/>
                <w:bCs w:val="0"/>
                <w:color w:val="auto"/>
                <w:u w:val="none"/>
              </w:rPr>
              <w:t>大屯村</w:t>
            </w:r>
          </w:p>
        </w:tc>
        <w:tc>
          <w:tcPr>
            <w:tcW w:w="733" w:type="pct"/>
            <w:tcBorders>
              <w:top w:val="single" w:color="000000" w:sz="6" w:space="0"/>
              <w:left w:val="single" w:color="000000" w:sz="6" w:space="0"/>
              <w:bottom w:val="single" w:color="000000" w:sz="6" w:space="0"/>
              <w:right w:val="single" w:color="000000" w:sz="6" w:space="0"/>
            </w:tcBorders>
            <w:vAlign w:val="center"/>
          </w:tcPr>
          <w:p w14:paraId="3D43DD08">
            <w:pPr>
              <w:pStyle w:val="182"/>
              <w:spacing w:before="63"/>
              <w:ind w:left="135" w:right="117"/>
              <w:rPr>
                <w:b w:val="0"/>
                <w:bCs w:val="0"/>
                <w:color w:val="auto"/>
                <w:u w:val="none"/>
              </w:rPr>
            </w:pPr>
            <w:r>
              <w:rPr>
                <w:b w:val="0"/>
                <w:bCs w:val="0"/>
                <w:color w:val="auto"/>
                <w:u w:val="none"/>
              </w:rPr>
              <w:t>-1911</w:t>
            </w:r>
          </w:p>
        </w:tc>
        <w:tc>
          <w:tcPr>
            <w:tcW w:w="736" w:type="pct"/>
            <w:tcBorders>
              <w:top w:val="single" w:color="000000" w:sz="6" w:space="0"/>
              <w:left w:val="single" w:color="000000" w:sz="6" w:space="0"/>
              <w:bottom w:val="single" w:color="000000" w:sz="6" w:space="0"/>
              <w:right w:val="single" w:color="000000" w:sz="6" w:space="0"/>
            </w:tcBorders>
            <w:vAlign w:val="center"/>
          </w:tcPr>
          <w:p w14:paraId="62C1519F">
            <w:pPr>
              <w:pStyle w:val="182"/>
              <w:spacing w:before="63"/>
              <w:ind w:left="364" w:right="345"/>
              <w:rPr>
                <w:b w:val="0"/>
                <w:bCs w:val="0"/>
                <w:color w:val="auto"/>
                <w:u w:val="none"/>
              </w:rPr>
            </w:pPr>
            <w:r>
              <w:rPr>
                <w:b w:val="0"/>
                <w:bCs w:val="0"/>
                <w:color w:val="auto"/>
                <w:u w:val="none"/>
              </w:rPr>
              <w:t>4370</w:t>
            </w:r>
          </w:p>
        </w:tc>
        <w:tc>
          <w:tcPr>
            <w:tcW w:w="734" w:type="pct"/>
            <w:tcBorders>
              <w:top w:val="single" w:color="000000" w:sz="6" w:space="0"/>
              <w:left w:val="single" w:color="000000" w:sz="6" w:space="0"/>
              <w:bottom w:val="single" w:color="000000" w:sz="6" w:space="0"/>
              <w:right w:val="single" w:color="000000" w:sz="6" w:space="0"/>
            </w:tcBorders>
            <w:vAlign w:val="center"/>
          </w:tcPr>
          <w:p w14:paraId="50A7C2B7">
            <w:pPr>
              <w:pStyle w:val="182"/>
              <w:spacing w:before="49"/>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23674DB6">
            <w:pPr>
              <w:pStyle w:val="182"/>
              <w:spacing w:before="63"/>
              <w:ind w:left="266" w:right="249"/>
              <w:rPr>
                <w:b w:val="0"/>
                <w:bCs w:val="0"/>
                <w:color w:val="auto"/>
                <w:u w:val="none"/>
              </w:rPr>
            </w:pPr>
            <w:r>
              <w:rPr>
                <w:b w:val="0"/>
                <w:bCs w:val="0"/>
                <w:color w:val="auto"/>
                <w:u w:val="none"/>
              </w:rPr>
              <w:t>4450</w:t>
            </w:r>
          </w:p>
        </w:tc>
        <w:tc>
          <w:tcPr>
            <w:tcW w:w="639" w:type="pct"/>
            <w:tcBorders>
              <w:top w:val="single" w:color="000000" w:sz="6" w:space="0"/>
              <w:left w:val="single" w:color="000000" w:sz="6" w:space="0"/>
              <w:bottom w:val="single" w:color="000000" w:sz="6" w:space="0"/>
            </w:tcBorders>
            <w:vAlign w:val="center"/>
          </w:tcPr>
          <w:p w14:paraId="08519721">
            <w:pPr>
              <w:pStyle w:val="182"/>
              <w:spacing w:before="63"/>
              <w:ind w:left="186" w:right="164"/>
              <w:rPr>
                <w:b w:val="0"/>
                <w:bCs w:val="0"/>
                <w:color w:val="auto"/>
                <w:u w:val="none"/>
              </w:rPr>
            </w:pPr>
            <w:r>
              <w:rPr>
                <w:b w:val="0"/>
                <w:bCs w:val="0"/>
                <w:color w:val="auto"/>
                <w:u w:val="none"/>
              </w:rPr>
              <w:t>800</w:t>
            </w:r>
          </w:p>
        </w:tc>
      </w:tr>
      <w:tr w14:paraId="7B5EEAC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771AFC97">
            <w:pPr>
              <w:pStyle w:val="182"/>
              <w:spacing w:before="63"/>
              <w:ind w:left="191" w:right="176"/>
              <w:rPr>
                <w:b w:val="0"/>
                <w:bCs w:val="0"/>
                <w:color w:val="auto"/>
                <w:u w:val="none"/>
              </w:rPr>
            </w:pPr>
            <w:r>
              <w:rPr>
                <w:b w:val="0"/>
                <w:bCs w:val="0"/>
                <w:color w:val="auto"/>
                <w:u w:val="none"/>
              </w:rPr>
              <w:t>46</w:t>
            </w:r>
          </w:p>
        </w:tc>
        <w:tc>
          <w:tcPr>
            <w:tcW w:w="1132" w:type="pct"/>
            <w:tcBorders>
              <w:top w:val="single" w:color="000000" w:sz="6" w:space="0"/>
              <w:left w:val="single" w:color="000000" w:sz="6" w:space="0"/>
              <w:bottom w:val="single" w:color="000000" w:sz="6" w:space="0"/>
              <w:right w:val="single" w:color="000000" w:sz="6" w:space="0"/>
            </w:tcBorders>
            <w:vAlign w:val="center"/>
          </w:tcPr>
          <w:p w14:paraId="61735320">
            <w:pPr>
              <w:pStyle w:val="182"/>
              <w:spacing w:before="49"/>
              <w:ind w:left="107" w:right="91"/>
              <w:rPr>
                <w:b w:val="0"/>
                <w:bCs w:val="0"/>
                <w:color w:val="auto"/>
                <w:u w:val="none"/>
              </w:rPr>
            </w:pPr>
            <w:r>
              <w:rPr>
                <w:b w:val="0"/>
                <w:bCs w:val="0"/>
                <w:color w:val="auto"/>
                <w:u w:val="none"/>
              </w:rPr>
              <w:t>小屯村</w:t>
            </w:r>
          </w:p>
        </w:tc>
        <w:tc>
          <w:tcPr>
            <w:tcW w:w="733" w:type="pct"/>
            <w:tcBorders>
              <w:top w:val="single" w:color="000000" w:sz="6" w:space="0"/>
              <w:left w:val="single" w:color="000000" w:sz="6" w:space="0"/>
              <w:bottom w:val="single" w:color="000000" w:sz="6" w:space="0"/>
              <w:right w:val="single" w:color="000000" w:sz="6" w:space="0"/>
            </w:tcBorders>
            <w:vAlign w:val="center"/>
          </w:tcPr>
          <w:p w14:paraId="40601C45">
            <w:pPr>
              <w:pStyle w:val="182"/>
              <w:spacing w:before="63"/>
              <w:ind w:left="135" w:right="117"/>
              <w:rPr>
                <w:b w:val="0"/>
                <w:bCs w:val="0"/>
                <w:color w:val="auto"/>
                <w:u w:val="none"/>
              </w:rPr>
            </w:pPr>
            <w:r>
              <w:rPr>
                <w:b w:val="0"/>
                <w:bCs w:val="0"/>
                <w:color w:val="auto"/>
                <w:u w:val="none"/>
              </w:rPr>
              <w:t>-975</w:t>
            </w:r>
          </w:p>
        </w:tc>
        <w:tc>
          <w:tcPr>
            <w:tcW w:w="736" w:type="pct"/>
            <w:tcBorders>
              <w:top w:val="single" w:color="000000" w:sz="6" w:space="0"/>
              <w:left w:val="single" w:color="000000" w:sz="6" w:space="0"/>
              <w:bottom w:val="single" w:color="000000" w:sz="6" w:space="0"/>
              <w:right w:val="single" w:color="000000" w:sz="6" w:space="0"/>
            </w:tcBorders>
            <w:vAlign w:val="center"/>
          </w:tcPr>
          <w:p w14:paraId="6013D458">
            <w:pPr>
              <w:pStyle w:val="182"/>
              <w:spacing w:before="63"/>
              <w:ind w:left="364" w:right="345"/>
              <w:rPr>
                <w:b w:val="0"/>
                <w:bCs w:val="0"/>
                <w:color w:val="auto"/>
                <w:u w:val="none"/>
              </w:rPr>
            </w:pPr>
            <w:r>
              <w:rPr>
                <w:b w:val="0"/>
                <w:bCs w:val="0"/>
                <w:color w:val="auto"/>
                <w:u w:val="none"/>
              </w:rPr>
              <w:t>4573</w:t>
            </w:r>
          </w:p>
        </w:tc>
        <w:tc>
          <w:tcPr>
            <w:tcW w:w="734" w:type="pct"/>
            <w:tcBorders>
              <w:top w:val="single" w:color="000000" w:sz="6" w:space="0"/>
              <w:left w:val="single" w:color="000000" w:sz="6" w:space="0"/>
              <w:bottom w:val="single" w:color="000000" w:sz="6" w:space="0"/>
              <w:right w:val="single" w:color="000000" w:sz="6" w:space="0"/>
            </w:tcBorders>
            <w:vAlign w:val="center"/>
          </w:tcPr>
          <w:p w14:paraId="0503D9E5">
            <w:pPr>
              <w:pStyle w:val="182"/>
              <w:spacing w:before="49"/>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539B5579">
            <w:pPr>
              <w:pStyle w:val="182"/>
              <w:spacing w:before="63"/>
              <w:ind w:left="266" w:right="249"/>
              <w:rPr>
                <w:b w:val="0"/>
                <w:bCs w:val="0"/>
                <w:color w:val="auto"/>
                <w:u w:val="none"/>
              </w:rPr>
            </w:pPr>
            <w:r>
              <w:rPr>
                <w:b w:val="0"/>
                <w:bCs w:val="0"/>
                <w:color w:val="auto"/>
                <w:u w:val="none"/>
              </w:rPr>
              <w:t>4350</w:t>
            </w:r>
          </w:p>
        </w:tc>
        <w:tc>
          <w:tcPr>
            <w:tcW w:w="639" w:type="pct"/>
            <w:tcBorders>
              <w:top w:val="single" w:color="000000" w:sz="6" w:space="0"/>
              <w:left w:val="single" w:color="000000" w:sz="6" w:space="0"/>
              <w:bottom w:val="single" w:color="000000" w:sz="6" w:space="0"/>
            </w:tcBorders>
            <w:vAlign w:val="center"/>
          </w:tcPr>
          <w:p w14:paraId="720810E1">
            <w:pPr>
              <w:pStyle w:val="182"/>
              <w:spacing w:before="63"/>
              <w:ind w:left="186" w:right="164"/>
              <w:rPr>
                <w:b w:val="0"/>
                <w:bCs w:val="0"/>
                <w:color w:val="auto"/>
                <w:u w:val="none"/>
              </w:rPr>
            </w:pPr>
            <w:r>
              <w:rPr>
                <w:b w:val="0"/>
                <w:bCs w:val="0"/>
                <w:color w:val="auto"/>
                <w:u w:val="none"/>
              </w:rPr>
              <w:t>4000</w:t>
            </w:r>
          </w:p>
        </w:tc>
      </w:tr>
      <w:tr w14:paraId="1EF8B46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6DF27D5A">
            <w:pPr>
              <w:pStyle w:val="182"/>
              <w:spacing w:before="63"/>
              <w:ind w:left="191" w:right="176"/>
              <w:rPr>
                <w:b w:val="0"/>
                <w:bCs w:val="0"/>
                <w:color w:val="auto"/>
                <w:u w:val="none"/>
              </w:rPr>
            </w:pPr>
            <w:r>
              <w:rPr>
                <w:b w:val="0"/>
                <w:bCs w:val="0"/>
                <w:color w:val="auto"/>
                <w:u w:val="none"/>
              </w:rPr>
              <w:t>47</w:t>
            </w:r>
          </w:p>
        </w:tc>
        <w:tc>
          <w:tcPr>
            <w:tcW w:w="1132" w:type="pct"/>
            <w:tcBorders>
              <w:top w:val="single" w:color="000000" w:sz="6" w:space="0"/>
              <w:left w:val="single" w:color="000000" w:sz="6" w:space="0"/>
              <w:bottom w:val="single" w:color="000000" w:sz="6" w:space="0"/>
              <w:right w:val="single" w:color="000000" w:sz="6" w:space="0"/>
            </w:tcBorders>
            <w:vAlign w:val="center"/>
          </w:tcPr>
          <w:p w14:paraId="7ACCCA6E">
            <w:pPr>
              <w:pStyle w:val="182"/>
              <w:spacing w:before="49"/>
              <w:ind w:left="107" w:right="91"/>
              <w:rPr>
                <w:b w:val="0"/>
                <w:bCs w:val="0"/>
                <w:color w:val="auto"/>
                <w:u w:val="none"/>
              </w:rPr>
            </w:pPr>
            <w:r>
              <w:rPr>
                <w:b w:val="0"/>
                <w:bCs w:val="0"/>
                <w:color w:val="auto"/>
                <w:u w:val="none"/>
              </w:rPr>
              <w:t>新远实验学校</w:t>
            </w:r>
          </w:p>
        </w:tc>
        <w:tc>
          <w:tcPr>
            <w:tcW w:w="733" w:type="pct"/>
            <w:tcBorders>
              <w:top w:val="single" w:color="000000" w:sz="6" w:space="0"/>
              <w:left w:val="single" w:color="000000" w:sz="6" w:space="0"/>
              <w:bottom w:val="single" w:color="000000" w:sz="6" w:space="0"/>
              <w:right w:val="single" w:color="000000" w:sz="6" w:space="0"/>
            </w:tcBorders>
            <w:vAlign w:val="center"/>
          </w:tcPr>
          <w:p w14:paraId="16707E08">
            <w:pPr>
              <w:pStyle w:val="182"/>
              <w:spacing w:before="63"/>
              <w:ind w:left="135" w:right="117"/>
              <w:rPr>
                <w:b w:val="0"/>
                <w:bCs w:val="0"/>
                <w:color w:val="auto"/>
                <w:u w:val="none"/>
              </w:rPr>
            </w:pPr>
            <w:r>
              <w:rPr>
                <w:b w:val="0"/>
                <w:bCs w:val="0"/>
                <w:color w:val="auto"/>
                <w:u w:val="none"/>
              </w:rPr>
              <w:t>2934</w:t>
            </w:r>
          </w:p>
        </w:tc>
        <w:tc>
          <w:tcPr>
            <w:tcW w:w="736" w:type="pct"/>
            <w:tcBorders>
              <w:top w:val="single" w:color="000000" w:sz="6" w:space="0"/>
              <w:left w:val="single" w:color="000000" w:sz="6" w:space="0"/>
              <w:bottom w:val="single" w:color="000000" w:sz="6" w:space="0"/>
              <w:right w:val="single" w:color="000000" w:sz="6" w:space="0"/>
            </w:tcBorders>
            <w:vAlign w:val="center"/>
          </w:tcPr>
          <w:p w14:paraId="1C07F6D9">
            <w:pPr>
              <w:pStyle w:val="182"/>
              <w:spacing w:before="63"/>
              <w:ind w:left="364" w:right="345"/>
              <w:rPr>
                <w:b w:val="0"/>
                <w:bCs w:val="0"/>
                <w:color w:val="auto"/>
                <w:u w:val="none"/>
              </w:rPr>
            </w:pPr>
            <w:r>
              <w:rPr>
                <w:b w:val="0"/>
                <w:bCs w:val="0"/>
                <w:color w:val="auto"/>
                <w:u w:val="none"/>
              </w:rPr>
              <w:t>258</w:t>
            </w:r>
          </w:p>
        </w:tc>
        <w:tc>
          <w:tcPr>
            <w:tcW w:w="734" w:type="pct"/>
            <w:tcBorders>
              <w:top w:val="single" w:color="000000" w:sz="6" w:space="0"/>
              <w:left w:val="single" w:color="000000" w:sz="6" w:space="0"/>
              <w:bottom w:val="single" w:color="000000" w:sz="6" w:space="0"/>
              <w:right w:val="single" w:color="000000" w:sz="6" w:space="0"/>
            </w:tcBorders>
            <w:vAlign w:val="center"/>
          </w:tcPr>
          <w:p w14:paraId="41336179">
            <w:pPr>
              <w:pStyle w:val="182"/>
              <w:spacing w:before="49"/>
              <w:ind w:left="16"/>
              <w:rPr>
                <w:b w:val="0"/>
                <w:bCs w:val="0"/>
                <w:color w:val="auto"/>
                <w:u w:val="none"/>
              </w:rPr>
            </w:pPr>
            <w:r>
              <w:rPr>
                <w:b w:val="0"/>
                <w:bCs w:val="0"/>
                <w:color w:val="auto"/>
                <w:u w:val="none"/>
              </w:rPr>
              <w:t>东</w:t>
            </w:r>
          </w:p>
        </w:tc>
        <w:tc>
          <w:tcPr>
            <w:tcW w:w="642" w:type="pct"/>
            <w:tcBorders>
              <w:top w:val="single" w:color="000000" w:sz="6" w:space="0"/>
              <w:left w:val="single" w:color="000000" w:sz="6" w:space="0"/>
              <w:bottom w:val="single" w:color="000000" w:sz="6" w:space="0"/>
              <w:right w:val="single" w:color="000000" w:sz="6" w:space="0"/>
            </w:tcBorders>
            <w:vAlign w:val="center"/>
          </w:tcPr>
          <w:p w14:paraId="3F393F02">
            <w:pPr>
              <w:pStyle w:val="182"/>
              <w:spacing w:before="63"/>
              <w:ind w:left="266" w:right="249"/>
              <w:rPr>
                <w:b w:val="0"/>
                <w:bCs w:val="0"/>
                <w:color w:val="auto"/>
                <w:u w:val="none"/>
              </w:rPr>
            </w:pPr>
            <w:r>
              <w:rPr>
                <w:b w:val="0"/>
                <w:bCs w:val="0"/>
                <w:color w:val="auto"/>
                <w:u w:val="none"/>
              </w:rPr>
              <w:t>2610</w:t>
            </w:r>
          </w:p>
        </w:tc>
        <w:tc>
          <w:tcPr>
            <w:tcW w:w="639" w:type="pct"/>
            <w:tcBorders>
              <w:top w:val="single" w:color="000000" w:sz="6" w:space="0"/>
              <w:left w:val="single" w:color="000000" w:sz="6" w:space="0"/>
              <w:bottom w:val="single" w:color="000000" w:sz="6" w:space="0"/>
            </w:tcBorders>
            <w:vAlign w:val="center"/>
          </w:tcPr>
          <w:p w14:paraId="37A001FA">
            <w:pPr>
              <w:pStyle w:val="182"/>
              <w:spacing w:before="63"/>
              <w:ind w:left="186" w:right="164"/>
              <w:rPr>
                <w:b w:val="0"/>
                <w:bCs w:val="0"/>
                <w:color w:val="auto"/>
                <w:u w:val="none"/>
              </w:rPr>
            </w:pPr>
            <w:r>
              <w:rPr>
                <w:b w:val="0"/>
                <w:bCs w:val="0"/>
                <w:color w:val="auto"/>
                <w:u w:val="none"/>
              </w:rPr>
              <w:t>900</w:t>
            </w:r>
          </w:p>
        </w:tc>
      </w:tr>
      <w:tr w14:paraId="2F6A688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23365B10">
            <w:pPr>
              <w:pStyle w:val="182"/>
              <w:spacing w:before="63"/>
              <w:ind w:left="191" w:right="176"/>
              <w:rPr>
                <w:b w:val="0"/>
                <w:bCs w:val="0"/>
                <w:color w:val="auto"/>
                <w:u w:val="none"/>
              </w:rPr>
            </w:pPr>
            <w:r>
              <w:rPr>
                <w:b w:val="0"/>
                <w:bCs w:val="0"/>
                <w:color w:val="auto"/>
                <w:u w:val="none"/>
              </w:rPr>
              <w:t>48</w:t>
            </w:r>
          </w:p>
        </w:tc>
        <w:tc>
          <w:tcPr>
            <w:tcW w:w="1132" w:type="pct"/>
            <w:tcBorders>
              <w:top w:val="single" w:color="000000" w:sz="6" w:space="0"/>
              <w:left w:val="single" w:color="000000" w:sz="6" w:space="0"/>
              <w:bottom w:val="single" w:color="000000" w:sz="6" w:space="0"/>
              <w:right w:val="single" w:color="000000" w:sz="6" w:space="0"/>
            </w:tcBorders>
            <w:vAlign w:val="center"/>
          </w:tcPr>
          <w:p w14:paraId="05BFD3EC">
            <w:pPr>
              <w:pStyle w:val="182"/>
              <w:spacing w:before="49"/>
              <w:ind w:left="109" w:right="91"/>
              <w:rPr>
                <w:b w:val="0"/>
                <w:bCs w:val="0"/>
                <w:color w:val="auto"/>
                <w:u w:val="none"/>
              </w:rPr>
            </w:pPr>
            <w:r>
              <w:rPr>
                <w:b w:val="0"/>
                <w:bCs w:val="0"/>
                <w:color w:val="auto"/>
                <w:u w:val="none"/>
              </w:rPr>
              <w:t>新乡职业技术学院</w:t>
            </w:r>
          </w:p>
        </w:tc>
        <w:tc>
          <w:tcPr>
            <w:tcW w:w="733" w:type="pct"/>
            <w:tcBorders>
              <w:top w:val="single" w:color="000000" w:sz="6" w:space="0"/>
              <w:left w:val="single" w:color="000000" w:sz="6" w:space="0"/>
              <w:bottom w:val="single" w:color="000000" w:sz="6" w:space="0"/>
              <w:right w:val="single" w:color="000000" w:sz="6" w:space="0"/>
            </w:tcBorders>
            <w:vAlign w:val="center"/>
          </w:tcPr>
          <w:p w14:paraId="5B587298">
            <w:pPr>
              <w:pStyle w:val="182"/>
              <w:spacing w:before="63"/>
              <w:ind w:left="135" w:right="117"/>
              <w:rPr>
                <w:b w:val="0"/>
                <w:bCs w:val="0"/>
                <w:color w:val="auto"/>
                <w:u w:val="none"/>
              </w:rPr>
            </w:pPr>
            <w:r>
              <w:rPr>
                <w:b w:val="0"/>
                <w:bCs w:val="0"/>
                <w:color w:val="auto"/>
                <w:u w:val="none"/>
              </w:rPr>
              <w:t>-2069</w:t>
            </w:r>
          </w:p>
        </w:tc>
        <w:tc>
          <w:tcPr>
            <w:tcW w:w="736" w:type="pct"/>
            <w:tcBorders>
              <w:top w:val="single" w:color="000000" w:sz="6" w:space="0"/>
              <w:left w:val="single" w:color="000000" w:sz="6" w:space="0"/>
              <w:bottom w:val="single" w:color="000000" w:sz="6" w:space="0"/>
              <w:right w:val="single" w:color="000000" w:sz="6" w:space="0"/>
            </w:tcBorders>
            <w:vAlign w:val="center"/>
          </w:tcPr>
          <w:p w14:paraId="741242A6">
            <w:pPr>
              <w:pStyle w:val="182"/>
              <w:spacing w:before="63"/>
              <w:ind w:left="364" w:right="345"/>
              <w:rPr>
                <w:b w:val="0"/>
                <w:bCs w:val="0"/>
                <w:color w:val="auto"/>
                <w:u w:val="none"/>
              </w:rPr>
            </w:pPr>
            <w:r>
              <w:rPr>
                <w:b w:val="0"/>
                <w:bCs w:val="0"/>
                <w:color w:val="auto"/>
                <w:u w:val="none"/>
              </w:rPr>
              <w:t>208</w:t>
            </w:r>
          </w:p>
        </w:tc>
        <w:tc>
          <w:tcPr>
            <w:tcW w:w="734" w:type="pct"/>
            <w:tcBorders>
              <w:top w:val="single" w:color="000000" w:sz="6" w:space="0"/>
              <w:left w:val="single" w:color="000000" w:sz="6" w:space="0"/>
              <w:bottom w:val="single" w:color="000000" w:sz="6" w:space="0"/>
              <w:right w:val="single" w:color="000000" w:sz="6" w:space="0"/>
            </w:tcBorders>
            <w:vAlign w:val="center"/>
          </w:tcPr>
          <w:p w14:paraId="5C344A35">
            <w:pPr>
              <w:pStyle w:val="182"/>
              <w:spacing w:before="49"/>
              <w:ind w:left="16"/>
              <w:rPr>
                <w:b w:val="0"/>
                <w:bCs w:val="0"/>
                <w:color w:val="auto"/>
                <w:u w:val="none"/>
              </w:rPr>
            </w:pPr>
            <w:r>
              <w:rPr>
                <w:b w:val="0"/>
                <w:bCs w:val="0"/>
                <w:color w:val="auto"/>
                <w:u w:val="none"/>
              </w:rPr>
              <w:t>西</w:t>
            </w:r>
          </w:p>
        </w:tc>
        <w:tc>
          <w:tcPr>
            <w:tcW w:w="642" w:type="pct"/>
            <w:tcBorders>
              <w:top w:val="single" w:color="000000" w:sz="6" w:space="0"/>
              <w:left w:val="single" w:color="000000" w:sz="6" w:space="0"/>
              <w:bottom w:val="single" w:color="000000" w:sz="6" w:space="0"/>
              <w:right w:val="single" w:color="000000" w:sz="6" w:space="0"/>
            </w:tcBorders>
            <w:vAlign w:val="center"/>
          </w:tcPr>
          <w:p w14:paraId="2CED26AA">
            <w:pPr>
              <w:pStyle w:val="182"/>
              <w:bidi w:val="0"/>
              <w:ind w:firstLine="0" w:firstLineChars="0"/>
              <w:rPr>
                <w:rFonts w:hint="default"/>
                <w:b w:val="0"/>
                <w:bCs w:val="0"/>
                <w:color w:val="auto"/>
                <w:u w:val="none"/>
                <w:lang w:val="en-US" w:eastAsia="zh-CN"/>
              </w:rPr>
            </w:pPr>
            <w:r>
              <w:rPr>
                <w:rFonts w:hint="eastAsia"/>
                <w:b w:val="0"/>
                <w:bCs w:val="0"/>
                <w:color w:val="auto"/>
                <w:u w:val="none"/>
                <w:lang w:val="en-US" w:eastAsia="zh-CN"/>
              </w:rPr>
              <w:t>1720</w:t>
            </w:r>
          </w:p>
        </w:tc>
        <w:tc>
          <w:tcPr>
            <w:tcW w:w="639" w:type="pct"/>
            <w:tcBorders>
              <w:top w:val="single" w:color="000000" w:sz="6" w:space="0"/>
              <w:left w:val="single" w:color="000000" w:sz="6" w:space="0"/>
              <w:bottom w:val="single" w:color="000000" w:sz="6" w:space="0"/>
            </w:tcBorders>
            <w:vAlign w:val="center"/>
          </w:tcPr>
          <w:p w14:paraId="4A1353F4">
            <w:pPr>
              <w:pStyle w:val="182"/>
              <w:spacing w:before="63"/>
              <w:ind w:left="186" w:right="166"/>
              <w:rPr>
                <w:b w:val="0"/>
                <w:bCs w:val="0"/>
                <w:color w:val="auto"/>
                <w:u w:val="none"/>
              </w:rPr>
            </w:pPr>
            <w:r>
              <w:rPr>
                <w:b w:val="0"/>
                <w:bCs w:val="0"/>
                <w:color w:val="auto"/>
                <w:u w:val="none"/>
              </w:rPr>
              <w:t>12000</w:t>
            </w:r>
          </w:p>
        </w:tc>
      </w:tr>
      <w:tr w14:paraId="1DBFAE4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4146D5D5">
            <w:pPr>
              <w:pStyle w:val="182"/>
              <w:spacing w:before="63"/>
              <w:ind w:left="191" w:right="176"/>
              <w:rPr>
                <w:b w:val="0"/>
                <w:bCs w:val="0"/>
                <w:color w:val="auto"/>
                <w:u w:val="none"/>
              </w:rPr>
            </w:pPr>
            <w:r>
              <w:rPr>
                <w:b w:val="0"/>
                <w:bCs w:val="0"/>
                <w:color w:val="auto"/>
                <w:u w:val="none"/>
              </w:rPr>
              <w:t>49</w:t>
            </w:r>
          </w:p>
        </w:tc>
        <w:tc>
          <w:tcPr>
            <w:tcW w:w="1132" w:type="pct"/>
            <w:tcBorders>
              <w:top w:val="single" w:color="000000" w:sz="6" w:space="0"/>
              <w:left w:val="single" w:color="000000" w:sz="6" w:space="0"/>
              <w:bottom w:val="single" w:color="000000" w:sz="6" w:space="0"/>
              <w:right w:val="single" w:color="000000" w:sz="6" w:space="0"/>
            </w:tcBorders>
            <w:vAlign w:val="center"/>
          </w:tcPr>
          <w:p w14:paraId="724B9192">
            <w:pPr>
              <w:pStyle w:val="182"/>
              <w:spacing w:before="49"/>
              <w:ind w:left="109" w:right="91"/>
              <w:rPr>
                <w:b w:val="0"/>
                <w:bCs w:val="0"/>
                <w:color w:val="auto"/>
                <w:u w:val="none"/>
              </w:rPr>
            </w:pPr>
            <w:r>
              <w:rPr>
                <w:rFonts w:hint="eastAsia"/>
                <w:b w:val="0"/>
                <w:bCs w:val="0"/>
                <w:color w:val="auto"/>
                <w:u w:val="none"/>
              </w:rPr>
              <w:t>新乡工业园区中心学校</w:t>
            </w:r>
          </w:p>
        </w:tc>
        <w:tc>
          <w:tcPr>
            <w:tcW w:w="733" w:type="pct"/>
            <w:tcBorders>
              <w:top w:val="single" w:color="000000" w:sz="6" w:space="0"/>
              <w:left w:val="single" w:color="000000" w:sz="6" w:space="0"/>
              <w:bottom w:val="single" w:color="000000" w:sz="6" w:space="0"/>
              <w:right w:val="single" w:color="000000" w:sz="6" w:space="0"/>
            </w:tcBorders>
            <w:vAlign w:val="center"/>
          </w:tcPr>
          <w:p w14:paraId="65836634">
            <w:pPr>
              <w:pStyle w:val="182"/>
              <w:spacing w:before="63"/>
              <w:ind w:left="135" w:right="117"/>
              <w:rPr>
                <w:b w:val="0"/>
                <w:bCs w:val="0"/>
                <w:color w:val="auto"/>
                <w:u w:val="none"/>
              </w:rPr>
            </w:pPr>
            <w:r>
              <w:rPr>
                <w:b w:val="0"/>
                <w:bCs w:val="0"/>
                <w:color w:val="auto"/>
                <w:u w:val="none"/>
              </w:rPr>
              <w:t>-2127</w:t>
            </w:r>
          </w:p>
        </w:tc>
        <w:tc>
          <w:tcPr>
            <w:tcW w:w="736" w:type="pct"/>
            <w:tcBorders>
              <w:top w:val="single" w:color="000000" w:sz="6" w:space="0"/>
              <w:left w:val="single" w:color="000000" w:sz="6" w:space="0"/>
              <w:bottom w:val="single" w:color="000000" w:sz="6" w:space="0"/>
              <w:right w:val="single" w:color="000000" w:sz="6" w:space="0"/>
            </w:tcBorders>
            <w:vAlign w:val="center"/>
          </w:tcPr>
          <w:p w14:paraId="49AEA32D">
            <w:pPr>
              <w:pStyle w:val="182"/>
              <w:spacing w:before="63"/>
              <w:ind w:left="364" w:right="345"/>
              <w:rPr>
                <w:b w:val="0"/>
                <w:bCs w:val="0"/>
                <w:color w:val="auto"/>
                <w:u w:val="none"/>
              </w:rPr>
            </w:pPr>
            <w:r>
              <w:rPr>
                <w:b w:val="0"/>
                <w:bCs w:val="0"/>
                <w:color w:val="auto"/>
                <w:u w:val="none"/>
              </w:rPr>
              <w:t>1882</w:t>
            </w:r>
          </w:p>
        </w:tc>
        <w:tc>
          <w:tcPr>
            <w:tcW w:w="734" w:type="pct"/>
            <w:tcBorders>
              <w:top w:val="single" w:color="000000" w:sz="6" w:space="0"/>
              <w:left w:val="single" w:color="000000" w:sz="6" w:space="0"/>
              <w:bottom w:val="single" w:color="000000" w:sz="6" w:space="0"/>
              <w:right w:val="single" w:color="000000" w:sz="6" w:space="0"/>
            </w:tcBorders>
            <w:vAlign w:val="center"/>
          </w:tcPr>
          <w:p w14:paraId="020893A2">
            <w:pPr>
              <w:pStyle w:val="182"/>
              <w:spacing w:before="49"/>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4C7E4800">
            <w:pPr>
              <w:pStyle w:val="182"/>
              <w:bidi w:val="0"/>
              <w:ind w:firstLine="0" w:firstLineChars="0"/>
              <w:rPr>
                <w:rFonts w:hint="default"/>
                <w:b w:val="0"/>
                <w:bCs w:val="0"/>
                <w:color w:val="auto"/>
                <w:u w:val="none"/>
                <w:lang w:val="en-US" w:eastAsia="zh-CN"/>
              </w:rPr>
            </w:pPr>
            <w:r>
              <w:rPr>
                <w:rFonts w:hint="eastAsia"/>
                <w:b w:val="0"/>
                <w:bCs w:val="0"/>
                <w:color w:val="auto"/>
                <w:u w:val="none"/>
                <w:lang w:val="en-US" w:eastAsia="zh-CN"/>
              </w:rPr>
              <w:t>1481</w:t>
            </w:r>
          </w:p>
        </w:tc>
        <w:tc>
          <w:tcPr>
            <w:tcW w:w="639" w:type="pct"/>
            <w:tcBorders>
              <w:top w:val="single" w:color="000000" w:sz="6" w:space="0"/>
              <w:left w:val="single" w:color="000000" w:sz="6" w:space="0"/>
              <w:bottom w:val="single" w:color="000000" w:sz="6" w:space="0"/>
            </w:tcBorders>
            <w:vAlign w:val="center"/>
          </w:tcPr>
          <w:p w14:paraId="4CB99369">
            <w:pPr>
              <w:pStyle w:val="182"/>
              <w:spacing w:before="63"/>
              <w:ind w:left="186" w:right="164"/>
              <w:rPr>
                <w:rFonts w:hint="default"/>
                <w:b w:val="0"/>
                <w:bCs w:val="0"/>
                <w:color w:val="auto"/>
                <w:u w:val="none"/>
                <w:lang w:val="en-US" w:eastAsia="zh-CN"/>
              </w:rPr>
            </w:pPr>
            <w:r>
              <w:rPr>
                <w:rFonts w:hint="eastAsia"/>
                <w:b w:val="0"/>
                <w:bCs w:val="0"/>
                <w:color w:val="auto"/>
                <w:u w:val="none"/>
                <w:lang w:val="en-US" w:eastAsia="zh-CN"/>
              </w:rPr>
              <w:t>700</w:t>
            </w:r>
          </w:p>
        </w:tc>
      </w:tr>
      <w:tr w14:paraId="5278A52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381" w:type="pct"/>
            <w:tcBorders>
              <w:top w:val="single" w:color="000000" w:sz="6" w:space="0"/>
              <w:bottom w:val="single" w:color="000000" w:sz="6" w:space="0"/>
              <w:right w:val="single" w:color="000000" w:sz="6" w:space="0"/>
            </w:tcBorders>
            <w:vAlign w:val="center"/>
          </w:tcPr>
          <w:p w14:paraId="05FD40C6">
            <w:pPr>
              <w:pStyle w:val="182"/>
              <w:spacing w:before="63"/>
              <w:ind w:left="191" w:right="176"/>
              <w:rPr>
                <w:b w:val="0"/>
                <w:bCs w:val="0"/>
                <w:color w:val="auto"/>
                <w:u w:val="none"/>
              </w:rPr>
            </w:pPr>
            <w:r>
              <w:rPr>
                <w:b w:val="0"/>
                <w:bCs w:val="0"/>
                <w:color w:val="auto"/>
                <w:u w:val="none"/>
              </w:rPr>
              <w:t>50</w:t>
            </w:r>
          </w:p>
        </w:tc>
        <w:tc>
          <w:tcPr>
            <w:tcW w:w="1132" w:type="pct"/>
            <w:tcBorders>
              <w:top w:val="single" w:color="000000" w:sz="6" w:space="0"/>
              <w:left w:val="single" w:color="000000" w:sz="6" w:space="0"/>
              <w:bottom w:val="single" w:color="000000" w:sz="6" w:space="0"/>
              <w:right w:val="single" w:color="000000" w:sz="6" w:space="0"/>
            </w:tcBorders>
            <w:vAlign w:val="center"/>
          </w:tcPr>
          <w:p w14:paraId="5A92E0D9">
            <w:pPr>
              <w:pStyle w:val="182"/>
              <w:spacing w:before="49"/>
              <w:ind w:left="107" w:right="91"/>
              <w:rPr>
                <w:b w:val="0"/>
                <w:bCs w:val="0"/>
                <w:color w:val="auto"/>
                <w:u w:val="none"/>
              </w:rPr>
            </w:pPr>
            <w:r>
              <w:rPr>
                <w:b w:val="0"/>
                <w:bCs w:val="0"/>
                <w:color w:val="auto"/>
                <w:u w:val="none"/>
              </w:rPr>
              <w:t>延津县人民医院</w:t>
            </w:r>
          </w:p>
        </w:tc>
        <w:tc>
          <w:tcPr>
            <w:tcW w:w="733" w:type="pct"/>
            <w:tcBorders>
              <w:top w:val="single" w:color="000000" w:sz="6" w:space="0"/>
              <w:left w:val="single" w:color="000000" w:sz="6" w:space="0"/>
              <w:bottom w:val="single" w:color="000000" w:sz="6" w:space="0"/>
              <w:right w:val="single" w:color="000000" w:sz="6" w:space="0"/>
            </w:tcBorders>
            <w:vAlign w:val="center"/>
          </w:tcPr>
          <w:p w14:paraId="08B835B7">
            <w:pPr>
              <w:pStyle w:val="182"/>
              <w:spacing w:before="63"/>
              <w:ind w:left="135" w:right="117"/>
              <w:rPr>
                <w:b w:val="0"/>
                <w:bCs w:val="0"/>
                <w:color w:val="auto"/>
                <w:u w:val="none"/>
              </w:rPr>
            </w:pPr>
            <w:r>
              <w:rPr>
                <w:b w:val="0"/>
                <w:bCs w:val="0"/>
                <w:color w:val="auto"/>
                <w:u w:val="none"/>
              </w:rPr>
              <w:t>2834</w:t>
            </w:r>
          </w:p>
        </w:tc>
        <w:tc>
          <w:tcPr>
            <w:tcW w:w="736" w:type="pct"/>
            <w:tcBorders>
              <w:top w:val="single" w:color="000000" w:sz="6" w:space="0"/>
              <w:left w:val="single" w:color="000000" w:sz="6" w:space="0"/>
              <w:bottom w:val="single" w:color="000000" w:sz="6" w:space="0"/>
              <w:right w:val="single" w:color="000000" w:sz="6" w:space="0"/>
            </w:tcBorders>
            <w:vAlign w:val="center"/>
          </w:tcPr>
          <w:p w14:paraId="2E137DA1">
            <w:pPr>
              <w:pStyle w:val="182"/>
              <w:spacing w:before="63"/>
              <w:ind w:left="364" w:right="345"/>
              <w:rPr>
                <w:b w:val="0"/>
                <w:bCs w:val="0"/>
                <w:color w:val="auto"/>
                <w:u w:val="none"/>
              </w:rPr>
            </w:pPr>
            <w:r>
              <w:rPr>
                <w:b w:val="0"/>
                <w:bCs w:val="0"/>
                <w:color w:val="auto"/>
                <w:u w:val="none"/>
              </w:rPr>
              <w:t>528</w:t>
            </w:r>
          </w:p>
        </w:tc>
        <w:tc>
          <w:tcPr>
            <w:tcW w:w="734" w:type="pct"/>
            <w:tcBorders>
              <w:top w:val="single" w:color="000000" w:sz="6" w:space="0"/>
              <w:left w:val="single" w:color="000000" w:sz="6" w:space="0"/>
              <w:bottom w:val="single" w:color="000000" w:sz="6" w:space="0"/>
              <w:right w:val="single" w:color="000000" w:sz="6" w:space="0"/>
            </w:tcBorders>
            <w:vAlign w:val="center"/>
          </w:tcPr>
          <w:p w14:paraId="797946B5">
            <w:pPr>
              <w:pStyle w:val="182"/>
              <w:spacing w:before="49"/>
              <w:ind w:left="133" w:right="120"/>
              <w:rPr>
                <w:b w:val="0"/>
                <w:bCs w:val="0"/>
                <w:color w:val="auto"/>
                <w:u w:val="none"/>
              </w:rPr>
            </w:pPr>
            <w:r>
              <w:rPr>
                <w:b w:val="0"/>
                <w:bCs w:val="0"/>
                <w:color w:val="auto"/>
                <w:u w:val="none"/>
              </w:rPr>
              <w:t>东北</w:t>
            </w:r>
          </w:p>
        </w:tc>
        <w:tc>
          <w:tcPr>
            <w:tcW w:w="642" w:type="pct"/>
            <w:tcBorders>
              <w:top w:val="single" w:color="000000" w:sz="6" w:space="0"/>
              <w:left w:val="single" w:color="000000" w:sz="6" w:space="0"/>
              <w:bottom w:val="single" w:color="000000" w:sz="6" w:space="0"/>
              <w:right w:val="single" w:color="000000" w:sz="6" w:space="0"/>
            </w:tcBorders>
            <w:vAlign w:val="center"/>
          </w:tcPr>
          <w:p w14:paraId="0635B518">
            <w:pPr>
              <w:pStyle w:val="182"/>
              <w:spacing w:before="63"/>
              <w:ind w:left="266" w:right="249"/>
              <w:rPr>
                <w:b w:val="0"/>
                <w:bCs w:val="0"/>
                <w:color w:val="auto"/>
                <w:u w:val="none"/>
              </w:rPr>
            </w:pPr>
            <w:r>
              <w:rPr>
                <w:b w:val="0"/>
                <w:bCs w:val="0"/>
                <w:color w:val="auto"/>
                <w:u w:val="none"/>
              </w:rPr>
              <w:t>2550</w:t>
            </w:r>
          </w:p>
        </w:tc>
        <w:tc>
          <w:tcPr>
            <w:tcW w:w="639" w:type="pct"/>
            <w:tcBorders>
              <w:top w:val="single" w:color="000000" w:sz="6" w:space="0"/>
              <w:left w:val="single" w:color="000000" w:sz="6" w:space="0"/>
              <w:bottom w:val="single" w:color="000000" w:sz="6" w:space="0"/>
            </w:tcBorders>
            <w:vAlign w:val="center"/>
          </w:tcPr>
          <w:p w14:paraId="5A650D1C">
            <w:pPr>
              <w:pStyle w:val="182"/>
              <w:spacing w:before="63"/>
              <w:ind w:left="186" w:right="164"/>
              <w:rPr>
                <w:b w:val="0"/>
                <w:bCs w:val="0"/>
                <w:color w:val="auto"/>
                <w:u w:val="none"/>
              </w:rPr>
            </w:pPr>
            <w:r>
              <w:rPr>
                <w:b w:val="0"/>
                <w:bCs w:val="0"/>
                <w:color w:val="auto"/>
                <w:u w:val="none"/>
              </w:rPr>
              <w:t>1700</w:t>
            </w:r>
          </w:p>
        </w:tc>
      </w:tr>
      <w:tr w14:paraId="05F2DC3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7EACD5F4">
            <w:pPr>
              <w:pStyle w:val="182"/>
              <w:spacing w:before="63"/>
              <w:ind w:left="191" w:right="176"/>
              <w:rPr>
                <w:b w:val="0"/>
                <w:bCs w:val="0"/>
                <w:color w:val="auto"/>
                <w:u w:val="none"/>
              </w:rPr>
            </w:pPr>
            <w:r>
              <w:rPr>
                <w:b w:val="0"/>
                <w:bCs w:val="0"/>
                <w:color w:val="auto"/>
                <w:u w:val="none"/>
              </w:rPr>
              <w:t>51</w:t>
            </w:r>
          </w:p>
        </w:tc>
        <w:tc>
          <w:tcPr>
            <w:tcW w:w="1132" w:type="pct"/>
            <w:tcBorders>
              <w:top w:val="single" w:color="000000" w:sz="6" w:space="0"/>
              <w:left w:val="single" w:color="000000" w:sz="6" w:space="0"/>
              <w:bottom w:val="single" w:color="000000" w:sz="6" w:space="0"/>
              <w:right w:val="single" w:color="000000" w:sz="6" w:space="0"/>
            </w:tcBorders>
            <w:vAlign w:val="center"/>
          </w:tcPr>
          <w:p w14:paraId="603E6224">
            <w:pPr>
              <w:pStyle w:val="182"/>
              <w:spacing w:before="49"/>
              <w:ind w:left="107" w:right="91"/>
              <w:rPr>
                <w:b w:val="0"/>
                <w:bCs w:val="0"/>
                <w:color w:val="auto"/>
                <w:u w:val="none"/>
              </w:rPr>
            </w:pPr>
            <w:r>
              <w:rPr>
                <w:b w:val="0"/>
                <w:bCs w:val="0"/>
                <w:color w:val="auto"/>
                <w:u w:val="none"/>
              </w:rPr>
              <w:t>西屯村</w:t>
            </w:r>
          </w:p>
        </w:tc>
        <w:tc>
          <w:tcPr>
            <w:tcW w:w="733" w:type="pct"/>
            <w:tcBorders>
              <w:top w:val="single" w:color="000000" w:sz="6" w:space="0"/>
              <w:left w:val="single" w:color="000000" w:sz="6" w:space="0"/>
              <w:bottom w:val="single" w:color="000000" w:sz="6" w:space="0"/>
              <w:right w:val="single" w:color="000000" w:sz="6" w:space="0"/>
            </w:tcBorders>
            <w:vAlign w:val="center"/>
          </w:tcPr>
          <w:p w14:paraId="29DBC0BF">
            <w:pPr>
              <w:pStyle w:val="182"/>
              <w:spacing w:before="63"/>
              <w:ind w:left="135" w:right="115"/>
              <w:rPr>
                <w:b w:val="0"/>
                <w:bCs w:val="0"/>
                <w:color w:val="auto"/>
                <w:u w:val="none"/>
              </w:rPr>
            </w:pPr>
            <w:r>
              <w:rPr>
                <w:b w:val="0"/>
                <w:bCs w:val="0"/>
                <w:color w:val="auto"/>
                <w:u w:val="none"/>
              </w:rPr>
              <w:t>585</w:t>
            </w:r>
          </w:p>
        </w:tc>
        <w:tc>
          <w:tcPr>
            <w:tcW w:w="736" w:type="pct"/>
            <w:tcBorders>
              <w:top w:val="single" w:color="000000" w:sz="6" w:space="0"/>
              <w:left w:val="single" w:color="000000" w:sz="6" w:space="0"/>
              <w:bottom w:val="single" w:color="000000" w:sz="6" w:space="0"/>
              <w:right w:val="single" w:color="000000" w:sz="6" w:space="0"/>
            </w:tcBorders>
            <w:vAlign w:val="center"/>
          </w:tcPr>
          <w:p w14:paraId="71FD432C">
            <w:pPr>
              <w:pStyle w:val="182"/>
              <w:spacing w:before="63"/>
              <w:ind w:left="364" w:right="345"/>
              <w:rPr>
                <w:b w:val="0"/>
                <w:bCs w:val="0"/>
                <w:color w:val="auto"/>
                <w:u w:val="none"/>
              </w:rPr>
            </w:pPr>
            <w:r>
              <w:rPr>
                <w:b w:val="0"/>
                <w:bCs w:val="0"/>
                <w:color w:val="auto"/>
                <w:u w:val="none"/>
              </w:rPr>
              <w:t>4916</w:t>
            </w:r>
          </w:p>
        </w:tc>
        <w:tc>
          <w:tcPr>
            <w:tcW w:w="734" w:type="pct"/>
            <w:tcBorders>
              <w:top w:val="single" w:color="000000" w:sz="6" w:space="0"/>
              <w:left w:val="single" w:color="000000" w:sz="6" w:space="0"/>
              <w:bottom w:val="single" w:color="000000" w:sz="6" w:space="0"/>
              <w:right w:val="single" w:color="000000" w:sz="6" w:space="0"/>
            </w:tcBorders>
            <w:vAlign w:val="center"/>
          </w:tcPr>
          <w:p w14:paraId="056514E6">
            <w:pPr>
              <w:pStyle w:val="182"/>
              <w:spacing w:before="49"/>
              <w:ind w:left="16"/>
              <w:rPr>
                <w:b w:val="0"/>
                <w:bCs w:val="0"/>
                <w:color w:val="auto"/>
                <w:u w:val="none"/>
              </w:rPr>
            </w:pPr>
            <w:r>
              <w:rPr>
                <w:b w:val="0"/>
                <w:bCs w:val="0"/>
                <w:color w:val="auto"/>
                <w:u w:val="none"/>
              </w:rPr>
              <w:t>北</w:t>
            </w:r>
          </w:p>
        </w:tc>
        <w:tc>
          <w:tcPr>
            <w:tcW w:w="642" w:type="pct"/>
            <w:tcBorders>
              <w:top w:val="single" w:color="000000" w:sz="6" w:space="0"/>
              <w:left w:val="single" w:color="000000" w:sz="6" w:space="0"/>
              <w:bottom w:val="single" w:color="000000" w:sz="6" w:space="0"/>
              <w:right w:val="single" w:color="000000" w:sz="6" w:space="0"/>
            </w:tcBorders>
            <w:vAlign w:val="center"/>
          </w:tcPr>
          <w:p w14:paraId="395E4FF1">
            <w:pPr>
              <w:pStyle w:val="182"/>
              <w:spacing w:before="63"/>
              <w:ind w:left="266" w:right="249"/>
              <w:rPr>
                <w:b w:val="0"/>
                <w:bCs w:val="0"/>
                <w:color w:val="auto"/>
                <w:u w:val="none"/>
              </w:rPr>
            </w:pPr>
            <w:r>
              <w:rPr>
                <w:b w:val="0"/>
                <w:bCs w:val="0"/>
                <w:color w:val="auto"/>
                <w:u w:val="none"/>
              </w:rPr>
              <w:t>4675</w:t>
            </w:r>
          </w:p>
        </w:tc>
        <w:tc>
          <w:tcPr>
            <w:tcW w:w="639" w:type="pct"/>
            <w:tcBorders>
              <w:top w:val="single" w:color="000000" w:sz="6" w:space="0"/>
              <w:left w:val="single" w:color="000000" w:sz="6" w:space="0"/>
              <w:bottom w:val="single" w:color="000000" w:sz="6" w:space="0"/>
            </w:tcBorders>
            <w:vAlign w:val="center"/>
          </w:tcPr>
          <w:p w14:paraId="148010F5">
            <w:pPr>
              <w:pStyle w:val="182"/>
              <w:spacing w:before="63"/>
              <w:ind w:left="186" w:right="164"/>
              <w:rPr>
                <w:b w:val="0"/>
                <w:bCs w:val="0"/>
                <w:color w:val="auto"/>
                <w:u w:val="none"/>
              </w:rPr>
            </w:pPr>
            <w:r>
              <w:rPr>
                <w:b w:val="0"/>
                <w:bCs w:val="0"/>
                <w:color w:val="auto"/>
                <w:u w:val="none"/>
              </w:rPr>
              <w:t>5000</w:t>
            </w:r>
          </w:p>
        </w:tc>
      </w:tr>
      <w:tr w14:paraId="19D2C68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24666AA5">
            <w:pPr>
              <w:pStyle w:val="182"/>
              <w:spacing w:before="63"/>
              <w:ind w:left="191" w:right="176"/>
              <w:rPr>
                <w:b w:val="0"/>
                <w:bCs w:val="0"/>
                <w:color w:val="auto"/>
                <w:u w:val="none"/>
              </w:rPr>
            </w:pPr>
            <w:r>
              <w:rPr>
                <w:b w:val="0"/>
                <w:bCs w:val="0"/>
                <w:color w:val="auto"/>
                <w:u w:val="none"/>
              </w:rPr>
              <w:t>52</w:t>
            </w:r>
          </w:p>
        </w:tc>
        <w:tc>
          <w:tcPr>
            <w:tcW w:w="1132" w:type="pct"/>
            <w:tcBorders>
              <w:top w:val="single" w:color="000000" w:sz="6" w:space="0"/>
              <w:left w:val="single" w:color="000000" w:sz="6" w:space="0"/>
              <w:bottom w:val="single" w:color="000000" w:sz="6" w:space="0"/>
              <w:right w:val="single" w:color="000000" w:sz="6" w:space="0"/>
            </w:tcBorders>
            <w:vAlign w:val="center"/>
          </w:tcPr>
          <w:p w14:paraId="2AC9D426">
            <w:pPr>
              <w:pStyle w:val="182"/>
              <w:spacing w:before="49"/>
              <w:ind w:left="107" w:right="91"/>
              <w:rPr>
                <w:b w:val="0"/>
                <w:bCs w:val="0"/>
                <w:color w:val="auto"/>
                <w:u w:val="none"/>
              </w:rPr>
            </w:pPr>
            <w:r>
              <w:rPr>
                <w:b w:val="0"/>
                <w:bCs w:val="0"/>
                <w:color w:val="auto"/>
                <w:u w:val="none"/>
              </w:rPr>
              <w:t>宋屯</w:t>
            </w:r>
          </w:p>
        </w:tc>
        <w:tc>
          <w:tcPr>
            <w:tcW w:w="733" w:type="pct"/>
            <w:tcBorders>
              <w:top w:val="single" w:color="000000" w:sz="6" w:space="0"/>
              <w:left w:val="single" w:color="000000" w:sz="6" w:space="0"/>
              <w:bottom w:val="single" w:color="000000" w:sz="6" w:space="0"/>
              <w:right w:val="single" w:color="000000" w:sz="6" w:space="0"/>
            </w:tcBorders>
            <w:vAlign w:val="center"/>
          </w:tcPr>
          <w:p w14:paraId="682A49B5">
            <w:pPr>
              <w:pStyle w:val="182"/>
              <w:spacing w:before="63"/>
              <w:ind w:left="135" w:right="117"/>
              <w:rPr>
                <w:b w:val="0"/>
                <w:bCs w:val="0"/>
                <w:color w:val="auto"/>
                <w:u w:val="none"/>
              </w:rPr>
            </w:pPr>
            <w:r>
              <w:rPr>
                <w:b w:val="0"/>
                <w:bCs w:val="0"/>
                <w:color w:val="auto"/>
                <w:u w:val="none"/>
              </w:rPr>
              <w:t>-4594</w:t>
            </w:r>
          </w:p>
        </w:tc>
        <w:tc>
          <w:tcPr>
            <w:tcW w:w="736" w:type="pct"/>
            <w:tcBorders>
              <w:top w:val="single" w:color="000000" w:sz="6" w:space="0"/>
              <w:left w:val="single" w:color="000000" w:sz="6" w:space="0"/>
              <w:bottom w:val="single" w:color="000000" w:sz="6" w:space="0"/>
              <w:right w:val="single" w:color="000000" w:sz="6" w:space="0"/>
            </w:tcBorders>
            <w:vAlign w:val="center"/>
          </w:tcPr>
          <w:p w14:paraId="3CB18603">
            <w:pPr>
              <w:pStyle w:val="182"/>
              <w:spacing w:before="63"/>
              <w:ind w:left="364" w:right="345"/>
              <w:rPr>
                <w:b w:val="0"/>
                <w:bCs w:val="0"/>
                <w:color w:val="auto"/>
                <w:u w:val="none"/>
              </w:rPr>
            </w:pPr>
            <w:r>
              <w:rPr>
                <w:b w:val="0"/>
                <w:bCs w:val="0"/>
                <w:color w:val="auto"/>
                <w:u w:val="none"/>
              </w:rPr>
              <w:t>938</w:t>
            </w:r>
          </w:p>
        </w:tc>
        <w:tc>
          <w:tcPr>
            <w:tcW w:w="734" w:type="pct"/>
            <w:tcBorders>
              <w:top w:val="single" w:color="000000" w:sz="6" w:space="0"/>
              <w:left w:val="single" w:color="000000" w:sz="6" w:space="0"/>
              <w:bottom w:val="single" w:color="000000" w:sz="6" w:space="0"/>
              <w:right w:val="single" w:color="000000" w:sz="6" w:space="0"/>
            </w:tcBorders>
            <w:vAlign w:val="center"/>
          </w:tcPr>
          <w:p w14:paraId="485E2374">
            <w:pPr>
              <w:pStyle w:val="182"/>
              <w:spacing w:before="49"/>
              <w:ind w:left="133" w:right="120"/>
              <w:rPr>
                <w:b w:val="0"/>
                <w:bCs w:val="0"/>
                <w:color w:val="auto"/>
                <w:u w:val="none"/>
              </w:rPr>
            </w:pPr>
            <w:r>
              <w:rPr>
                <w:b w:val="0"/>
                <w:bCs w:val="0"/>
                <w:color w:val="auto"/>
                <w:u w:val="none"/>
              </w:rPr>
              <w:t>西北</w:t>
            </w:r>
          </w:p>
        </w:tc>
        <w:tc>
          <w:tcPr>
            <w:tcW w:w="642" w:type="pct"/>
            <w:tcBorders>
              <w:top w:val="single" w:color="000000" w:sz="6" w:space="0"/>
              <w:left w:val="single" w:color="000000" w:sz="6" w:space="0"/>
              <w:bottom w:val="single" w:color="000000" w:sz="6" w:space="0"/>
              <w:right w:val="single" w:color="000000" w:sz="6" w:space="0"/>
            </w:tcBorders>
            <w:vAlign w:val="center"/>
          </w:tcPr>
          <w:p w14:paraId="3C13E336">
            <w:pPr>
              <w:pStyle w:val="182"/>
              <w:spacing w:before="63"/>
              <w:ind w:left="266" w:right="249"/>
              <w:rPr>
                <w:b w:val="0"/>
                <w:bCs w:val="0"/>
                <w:color w:val="auto"/>
                <w:u w:val="none"/>
              </w:rPr>
            </w:pPr>
            <w:r>
              <w:rPr>
                <w:b w:val="0"/>
                <w:bCs w:val="0"/>
                <w:color w:val="auto"/>
                <w:u w:val="none"/>
              </w:rPr>
              <w:t>4440</w:t>
            </w:r>
          </w:p>
        </w:tc>
        <w:tc>
          <w:tcPr>
            <w:tcW w:w="639" w:type="pct"/>
            <w:tcBorders>
              <w:top w:val="single" w:color="000000" w:sz="6" w:space="0"/>
              <w:left w:val="single" w:color="000000" w:sz="6" w:space="0"/>
              <w:bottom w:val="single" w:color="000000" w:sz="6" w:space="0"/>
            </w:tcBorders>
            <w:vAlign w:val="center"/>
          </w:tcPr>
          <w:p w14:paraId="7E4A4298">
            <w:pPr>
              <w:pStyle w:val="182"/>
              <w:spacing w:before="63"/>
              <w:ind w:left="186" w:right="164"/>
              <w:rPr>
                <w:b w:val="0"/>
                <w:bCs w:val="0"/>
                <w:color w:val="auto"/>
                <w:u w:val="none"/>
              </w:rPr>
            </w:pPr>
            <w:r>
              <w:rPr>
                <w:b w:val="0"/>
                <w:bCs w:val="0"/>
                <w:color w:val="auto"/>
                <w:u w:val="none"/>
              </w:rPr>
              <w:t>2700</w:t>
            </w:r>
          </w:p>
        </w:tc>
      </w:tr>
      <w:tr w14:paraId="7C971CD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381" w:type="pct"/>
            <w:tcBorders>
              <w:top w:val="single" w:color="000000" w:sz="6" w:space="0"/>
              <w:bottom w:val="single" w:color="000000" w:sz="6" w:space="0"/>
              <w:right w:val="single" w:color="000000" w:sz="6" w:space="0"/>
            </w:tcBorders>
            <w:vAlign w:val="center"/>
          </w:tcPr>
          <w:p w14:paraId="33BFAA6C">
            <w:pPr>
              <w:pStyle w:val="182"/>
              <w:spacing w:before="63"/>
              <w:ind w:left="191" w:right="176"/>
              <w:rPr>
                <w:b w:val="0"/>
                <w:bCs w:val="0"/>
                <w:color w:val="auto"/>
                <w:u w:val="none"/>
              </w:rPr>
            </w:pPr>
            <w:r>
              <w:rPr>
                <w:b w:val="0"/>
                <w:bCs w:val="0"/>
                <w:color w:val="auto"/>
                <w:u w:val="none"/>
              </w:rPr>
              <w:t>53</w:t>
            </w:r>
          </w:p>
        </w:tc>
        <w:tc>
          <w:tcPr>
            <w:tcW w:w="1132" w:type="pct"/>
            <w:tcBorders>
              <w:top w:val="single" w:color="000000" w:sz="6" w:space="0"/>
              <w:left w:val="single" w:color="000000" w:sz="6" w:space="0"/>
              <w:bottom w:val="single" w:color="000000" w:sz="6" w:space="0"/>
              <w:right w:val="single" w:color="000000" w:sz="6" w:space="0"/>
            </w:tcBorders>
            <w:vAlign w:val="center"/>
          </w:tcPr>
          <w:p w14:paraId="591394DF">
            <w:pPr>
              <w:pStyle w:val="182"/>
              <w:spacing w:before="49"/>
              <w:ind w:left="107" w:right="91"/>
              <w:rPr>
                <w:b w:val="0"/>
                <w:bCs w:val="0"/>
                <w:color w:val="auto"/>
                <w:u w:val="none"/>
              </w:rPr>
            </w:pPr>
            <w:r>
              <w:rPr>
                <w:b w:val="0"/>
                <w:bCs w:val="0"/>
                <w:color w:val="auto"/>
                <w:u w:val="none"/>
              </w:rPr>
              <w:t>三王庄</w:t>
            </w:r>
          </w:p>
        </w:tc>
        <w:tc>
          <w:tcPr>
            <w:tcW w:w="733" w:type="pct"/>
            <w:tcBorders>
              <w:top w:val="single" w:color="000000" w:sz="6" w:space="0"/>
              <w:left w:val="single" w:color="000000" w:sz="6" w:space="0"/>
              <w:bottom w:val="single" w:color="000000" w:sz="6" w:space="0"/>
              <w:right w:val="single" w:color="000000" w:sz="6" w:space="0"/>
            </w:tcBorders>
            <w:vAlign w:val="center"/>
          </w:tcPr>
          <w:p w14:paraId="4489DA55">
            <w:pPr>
              <w:pStyle w:val="182"/>
              <w:spacing w:before="63"/>
              <w:ind w:left="135" w:right="117"/>
              <w:rPr>
                <w:b w:val="0"/>
                <w:bCs w:val="0"/>
                <w:color w:val="auto"/>
                <w:u w:val="none"/>
              </w:rPr>
            </w:pPr>
            <w:r>
              <w:rPr>
                <w:b w:val="0"/>
                <w:bCs w:val="0"/>
                <w:color w:val="auto"/>
                <w:u w:val="none"/>
              </w:rPr>
              <w:t>-4220</w:t>
            </w:r>
          </w:p>
        </w:tc>
        <w:tc>
          <w:tcPr>
            <w:tcW w:w="736" w:type="pct"/>
            <w:tcBorders>
              <w:top w:val="single" w:color="000000" w:sz="6" w:space="0"/>
              <w:left w:val="single" w:color="000000" w:sz="6" w:space="0"/>
              <w:bottom w:val="single" w:color="000000" w:sz="6" w:space="0"/>
              <w:right w:val="single" w:color="000000" w:sz="6" w:space="0"/>
            </w:tcBorders>
            <w:vAlign w:val="center"/>
          </w:tcPr>
          <w:p w14:paraId="5CD97910">
            <w:pPr>
              <w:pStyle w:val="182"/>
              <w:spacing w:before="63"/>
              <w:ind w:left="364" w:right="348"/>
              <w:rPr>
                <w:b w:val="0"/>
                <w:bCs w:val="0"/>
                <w:color w:val="auto"/>
                <w:u w:val="none"/>
              </w:rPr>
            </w:pPr>
            <w:r>
              <w:rPr>
                <w:b w:val="0"/>
                <w:bCs w:val="0"/>
                <w:color w:val="auto"/>
                <w:u w:val="none"/>
              </w:rPr>
              <w:t>-2119</w:t>
            </w:r>
          </w:p>
        </w:tc>
        <w:tc>
          <w:tcPr>
            <w:tcW w:w="734" w:type="pct"/>
            <w:tcBorders>
              <w:top w:val="single" w:color="000000" w:sz="6" w:space="0"/>
              <w:left w:val="single" w:color="000000" w:sz="6" w:space="0"/>
              <w:bottom w:val="single" w:color="000000" w:sz="6" w:space="0"/>
              <w:right w:val="single" w:color="000000" w:sz="6" w:space="0"/>
            </w:tcBorders>
            <w:vAlign w:val="center"/>
          </w:tcPr>
          <w:p w14:paraId="617BA0DA">
            <w:pPr>
              <w:pStyle w:val="182"/>
              <w:spacing w:before="49"/>
              <w:ind w:left="133" w:right="120"/>
              <w:rPr>
                <w:b w:val="0"/>
                <w:bCs w:val="0"/>
                <w:color w:val="auto"/>
                <w:u w:val="none"/>
              </w:rPr>
            </w:pPr>
            <w:r>
              <w:rPr>
                <w:b w:val="0"/>
                <w:bCs w:val="0"/>
                <w:color w:val="auto"/>
                <w:u w:val="none"/>
              </w:rPr>
              <w:t>西南</w:t>
            </w:r>
          </w:p>
        </w:tc>
        <w:tc>
          <w:tcPr>
            <w:tcW w:w="642" w:type="pct"/>
            <w:tcBorders>
              <w:top w:val="single" w:color="000000" w:sz="6" w:space="0"/>
              <w:left w:val="single" w:color="000000" w:sz="6" w:space="0"/>
              <w:bottom w:val="single" w:color="000000" w:sz="6" w:space="0"/>
              <w:right w:val="single" w:color="000000" w:sz="6" w:space="0"/>
            </w:tcBorders>
            <w:vAlign w:val="center"/>
          </w:tcPr>
          <w:p w14:paraId="5B93BD16">
            <w:pPr>
              <w:pStyle w:val="182"/>
              <w:spacing w:before="63"/>
              <w:ind w:left="266" w:right="249"/>
              <w:rPr>
                <w:b w:val="0"/>
                <w:bCs w:val="0"/>
                <w:color w:val="auto"/>
                <w:u w:val="none"/>
              </w:rPr>
            </w:pPr>
            <w:r>
              <w:rPr>
                <w:b w:val="0"/>
                <w:bCs w:val="0"/>
                <w:color w:val="auto"/>
                <w:u w:val="none"/>
              </w:rPr>
              <w:t>4600</w:t>
            </w:r>
          </w:p>
        </w:tc>
        <w:tc>
          <w:tcPr>
            <w:tcW w:w="639" w:type="pct"/>
            <w:tcBorders>
              <w:top w:val="single" w:color="000000" w:sz="6" w:space="0"/>
              <w:left w:val="single" w:color="000000" w:sz="6" w:space="0"/>
              <w:bottom w:val="single" w:color="000000" w:sz="6" w:space="0"/>
            </w:tcBorders>
            <w:vAlign w:val="center"/>
          </w:tcPr>
          <w:p w14:paraId="2FCCB165">
            <w:pPr>
              <w:pStyle w:val="182"/>
              <w:spacing w:before="63"/>
              <w:ind w:left="186" w:right="164"/>
              <w:rPr>
                <w:b w:val="0"/>
                <w:bCs w:val="0"/>
                <w:color w:val="auto"/>
                <w:u w:val="none"/>
              </w:rPr>
            </w:pPr>
            <w:r>
              <w:rPr>
                <w:b w:val="0"/>
                <w:bCs w:val="0"/>
                <w:color w:val="auto"/>
                <w:u w:val="none"/>
              </w:rPr>
              <w:t>7100</w:t>
            </w:r>
          </w:p>
        </w:tc>
      </w:tr>
      <w:tr w14:paraId="13B1ECA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4" w:hRule="atLeast"/>
          <w:jc w:val="center"/>
        </w:trPr>
        <w:tc>
          <w:tcPr>
            <w:tcW w:w="381" w:type="pct"/>
            <w:tcBorders>
              <w:top w:val="single" w:color="000000" w:sz="6" w:space="0"/>
              <w:bottom w:val="single" w:color="000000" w:sz="6" w:space="0"/>
              <w:right w:val="single" w:color="000000" w:sz="6" w:space="0"/>
            </w:tcBorders>
            <w:vAlign w:val="center"/>
          </w:tcPr>
          <w:p w14:paraId="1338F4C0">
            <w:pPr>
              <w:pStyle w:val="182"/>
              <w:spacing w:before="63"/>
              <w:ind w:left="191" w:right="176"/>
              <w:rPr>
                <w:b w:val="0"/>
                <w:bCs w:val="0"/>
                <w:color w:val="auto"/>
                <w:u w:val="none"/>
              </w:rPr>
            </w:pPr>
            <w:r>
              <w:rPr>
                <w:b w:val="0"/>
                <w:bCs w:val="0"/>
                <w:color w:val="auto"/>
                <w:u w:val="none"/>
              </w:rPr>
              <w:t>54</w:t>
            </w:r>
          </w:p>
        </w:tc>
        <w:tc>
          <w:tcPr>
            <w:tcW w:w="1132" w:type="pct"/>
            <w:tcBorders>
              <w:top w:val="single" w:color="000000" w:sz="6" w:space="0"/>
              <w:left w:val="single" w:color="000000" w:sz="6" w:space="0"/>
              <w:bottom w:val="single" w:color="000000" w:sz="6" w:space="0"/>
              <w:right w:val="single" w:color="000000" w:sz="6" w:space="0"/>
            </w:tcBorders>
            <w:vAlign w:val="center"/>
          </w:tcPr>
          <w:p w14:paraId="365462D3">
            <w:pPr>
              <w:pStyle w:val="182"/>
              <w:spacing w:before="49"/>
              <w:ind w:left="107" w:right="91"/>
              <w:rPr>
                <w:b w:val="0"/>
                <w:bCs w:val="0"/>
                <w:color w:val="auto"/>
                <w:u w:val="none"/>
              </w:rPr>
            </w:pPr>
            <w:r>
              <w:rPr>
                <w:b w:val="0"/>
                <w:bCs w:val="0"/>
                <w:color w:val="auto"/>
                <w:u w:val="none"/>
              </w:rPr>
              <w:t>地表水</w:t>
            </w:r>
          </w:p>
        </w:tc>
        <w:tc>
          <w:tcPr>
            <w:tcW w:w="1469" w:type="pct"/>
            <w:gridSpan w:val="2"/>
            <w:tcBorders>
              <w:top w:val="single" w:color="000000" w:sz="6" w:space="0"/>
              <w:left w:val="single" w:color="000000" w:sz="6" w:space="0"/>
              <w:bottom w:val="single" w:color="000000" w:sz="6" w:space="0"/>
              <w:right w:val="single" w:color="000000" w:sz="6" w:space="0"/>
            </w:tcBorders>
            <w:vAlign w:val="center"/>
          </w:tcPr>
          <w:p w14:paraId="614CE282">
            <w:pPr>
              <w:pStyle w:val="182"/>
              <w:spacing w:before="49"/>
              <w:ind w:left="187" w:right="170"/>
              <w:rPr>
                <w:b w:val="0"/>
                <w:bCs w:val="0"/>
                <w:color w:val="auto"/>
                <w:u w:val="none"/>
              </w:rPr>
            </w:pPr>
            <w:r>
              <w:rPr>
                <w:b w:val="0"/>
                <w:bCs w:val="0"/>
                <w:color w:val="auto"/>
                <w:u w:val="none"/>
              </w:rPr>
              <w:t>大沙河</w:t>
            </w:r>
          </w:p>
        </w:tc>
        <w:tc>
          <w:tcPr>
            <w:tcW w:w="734" w:type="pct"/>
            <w:tcBorders>
              <w:top w:val="single" w:color="000000" w:sz="6" w:space="0"/>
              <w:left w:val="single" w:color="000000" w:sz="6" w:space="0"/>
              <w:bottom w:val="single" w:color="000000" w:sz="6" w:space="0"/>
              <w:right w:val="single" w:color="000000" w:sz="6" w:space="0"/>
            </w:tcBorders>
            <w:vAlign w:val="center"/>
          </w:tcPr>
          <w:p w14:paraId="4CA60F24">
            <w:pPr>
              <w:pStyle w:val="182"/>
              <w:spacing w:before="49"/>
              <w:ind w:left="16"/>
              <w:rPr>
                <w:b w:val="0"/>
                <w:bCs w:val="0"/>
                <w:color w:val="auto"/>
                <w:u w:val="none"/>
              </w:rPr>
            </w:pPr>
            <w:r>
              <w:rPr>
                <w:b w:val="0"/>
                <w:bCs w:val="0"/>
                <w:color w:val="auto"/>
                <w:u w:val="none"/>
              </w:rPr>
              <w:t>北</w:t>
            </w:r>
          </w:p>
        </w:tc>
        <w:tc>
          <w:tcPr>
            <w:tcW w:w="642" w:type="pct"/>
            <w:tcBorders>
              <w:top w:val="single" w:color="000000" w:sz="6" w:space="0"/>
              <w:left w:val="single" w:color="000000" w:sz="6" w:space="0"/>
              <w:bottom w:val="single" w:color="000000" w:sz="6" w:space="0"/>
              <w:right w:val="single" w:color="000000" w:sz="6" w:space="0"/>
            </w:tcBorders>
            <w:vAlign w:val="center"/>
          </w:tcPr>
          <w:p w14:paraId="2E8B7430">
            <w:pPr>
              <w:pStyle w:val="182"/>
              <w:ind w:firstLine="0" w:firstLineChars="0"/>
              <w:rPr>
                <w:b w:val="0"/>
                <w:bCs w:val="0"/>
                <w:color w:val="auto"/>
                <w:u w:val="none"/>
              </w:rPr>
            </w:pPr>
            <w:r>
              <w:rPr>
                <w:rFonts w:hint="eastAsia"/>
                <w:b w:val="0"/>
                <w:bCs w:val="0"/>
                <w:color w:val="auto"/>
                <w:u w:val="none"/>
                <w:lang w:val="en-US" w:eastAsia="zh-CN"/>
              </w:rPr>
              <w:t>1826</w:t>
            </w:r>
          </w:p>
        </w:tc>
        <w:tc>
          <w:tcPr>
            <w:tcW w:w="639" w:type="pct"/>
            <w:tcBorders>
              <w:top w:val="single" w:color="000000" w:sz="6" w:space="0"/>
              <w:left w:val="single" w:color="000000" w:sz="6" w:space="0"/>
              <w:bottom w:val="single" w:color="000000" w:sz="6" w:space="0"/>
            </w:tcBorders>
            <w:vAlign w:val="center"/>
          </w:tcPr>
          <w:p w14:paraId="0C2CE7B1">
            <w:pPr>
              <w:pStyle w:val="182"/>
              <w:spacing w:before="63"/>
              <w:ind w:left="19"/>
              <w:rPr>
                <w:b w:val="0"/>
                <w:bCs w:val="0"/>
                <w:color w:val="auto"/>
                <w:u w:val="none"/>
              </w:rPr>
            </w:pPr>
            <w:r>
              <w:rPr>
                <w:b w:val="0"/>
                <w:bCs w:val="0"/>
                <w:color w:val="auto"/>
                <w:u w:val="none"/>
              </w:rPr>
              <w:t>/</w:t>
            </w:r>
          </w:p>
        </w:tc>
      </w:tr>
      <w:tr w14:paraId="4D5CEA1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2" w:hRule="atLeast"/>
          <w:jc w:val="center"/>
        </w:trPr>
        <w:tc>
          <w:tcPr>
            <w:tcW w:w="381" w:type="pct"/>
            <w:vMerge w:val="restart"/>
            <w:tcBorders>
              <w:top w:val="single" w:color="000000" w:sz="6" w:space="0"/>
              <w:right w:val="single" w:color="000000" w:sz="6" w:space="0"/>
            </w:tcBorders>
            <w:vAlign w:val="center"/>
          </w:tcPr>
          <w:p w14:paraId="1AF2BD49">
            <w:pPr>
              <w:pStyle w:val="182"/>
              <w:spacing w:before="149"/>
              <w:ind w:left="211"/>
              <w:jc w:val="left"/>
              <w:rPr>
                <w:b w:val="0"/>
                <w:bCs w:val="0"/>
                <w:color w:val="auto"/>
                <w:u w:val="none"/>
              </w:rPr>
            </w:pPr>
            <w:r>
              <w:rPr>
                <w:b w:val="0"/>
                <w:bCs w:val="0"/>
                <w:color w:val="auto"/>
                <w:u w:val="none"/>
              </w:rPr>
              <w:t>55</w:t>
            </w:r>
          </w:p>
        </w:tc>
        <w:tc>
          <w:tcPr>
            <w:tcW w:w="1132" w:type="pct"/>
            <w:vMerge w:val="restart"/>
            <w:tcBorders>
              <w:top w:val="single" w:color="000000" w:sz="6" w:space="0"/>
              <w:left w:val="single" w:color="000000" w:sz="6" w:space="0"/>
              <w:right w:val="single" w:color="000000" w:sz="6" w:space="0"/>
            </w:tcBorders>
            <w:vAlign w:val="center"/>
          </w:tcPr>
          <w:p w14:paraId="7B590F9A">
            <w:pPr>
              <w:pStyle w:val="182"/>
              <w:spacing w:before="160"/>
              <w:ind w:left="654"/>
              <w:jc w:val="left"/>
              <w:rPr>
                <w:b w:val="0"/>
                <w:bCs w:val="0"/>
                <w:color w:val="auto"/>
                <w:u w:val="none"/>
              </w:rPr>
            </w:pPr>
            <w:r>
              <w:rPr>
                <w:b w:val="0"/>
                <w:bCs w:val="0"/>
                <w:color w:val="auto"/>
                <w:u w:val="none"/>
              </w:rPr>
              <w:t>地下水</w:t>
            </w:r>
          </w:p>
        </w:tc>
        <w:tc>
          <w:tcPr>
            <w:tcW w:w="1469" w:type="pct"/>
            <w:gridSpan w:val="2"/>
            <w:tcBorders>
              <w:top w:val="single" w:color="000000" w:sz="6" w:space="0"/>
              <w:left w:val="single" w:color="000000" w:sz="6" w:space="0"/>
              <w:bottom w:val="single" w:color="000000" w:sz="6" w:space="0"/>
              <w:right w:val="single" w:color="000000" w:sz="6" w:space="0"/>
            </w:tcBorders>
            <w:vAlign w:val="center"/>
          </w:tcPr>
          <w:p w14:paraId="7B2AF543">
            <w:pPr>
              <w:pStyle w:val="182"/>
              <w:spacing w:line="267" w:lineRule="exact"/>
              <w:ind w:left="187" w:right="170"/>
              <w:rPr>
                <w:b w:val="0"/>
                <w:bCs w:val="0"/>
                <w:color w:val="auto"/>
                <w:u w:val="none"/>
              </w:rPr>
            </w:pPr>
            <w:r>
              <w:rPr>
                <w:b w:val="0"/>
                <w:bCs w:val="0"/>
                <w:color w:val="auto"/>
                <w:u w:val="none"/>
              </w:rPr>
              <w:t>古固寨镇地下水饮用水源</w:t>
            </w:r>
          </w:p>
        </w:tc>
        <w:tc>
          <w:tcPr>
            <w:tcW w:w="734" w:type="pct"/>
            <w:tcBorders>
              <w:top w:val="single" w:color="000000" w:sz="6" w:space="0"/>
              <w:left w:val="single" w:color="000000" w:sz="6" w:space="0"/>
              <w:bottom w:val="single" w:color="000000" w:sz="6" w:space="0"/>
              <w:right w:val="single" w:color="000000" w:sz="6" w:space="0"/>
            </w:tcBorders>
            <w:vAlign w:val="center"/>
          </w:tcPr>
          <w:p w14:paraId="3F809968">
            <w:pPr>
              <w:pStyle w:val="182"/>
              <w:spacing w:before="133"/>
              <w:ind w:left="133" w:right="120"/>
              <w:rPr>
                <w:b w:val="0"/>
                <w:bCs w:val="0"/>
                <w:color w:val="auto"/>
                <w:u w:val="none"/>
              </w:rPr>
            </w:pPr>
            <w:r>
              <w:rPr>
                <w:b w:val="0"/>
                <w:bCs w:val="0"/>
                <w:color w:val="auto"/>
                <w:u w:val="none"/>
              </w:rPr>
              <w:t>西南</w:t>
            </w:r>
          </w:p>
        </w:tc>
        <w:tc>
          <w:tcPr>
            <w:tcW w:w="642" w:type="pct"/>
            <w:tcBorders>
              <w:top w:val="single" w:color="000000" w:sz="6" w:space="0"/>
              <w:left w:val="single" w:color="000000" w:sz="6" w:space="0"/>
              <w:bottom w:val="single" w:color="000000" w:sz="6" w:space="0"/>
              <w:right w:val="single" w:color="000000" w:sz="6" w:space="0"/>
            </w:tcBorders>
            <w:vAlign w:val="center"/>
          </w:tcPr>
          <w:p w14:paraId="44E2B216">
            <w:pPr>
              <w:pStyle w:val="182"/>
              <w:bidi w:val="0"/>
              <w:ind w:firstLine="0" w:firstLineChars="0"/>
              <w:rPr>
                <w:b w:val="0"/>
                <w:bCs w:val="0"/>
                <w:color w:val="auto"/>
                <w:u w:val="none"/>
              </w:rPr>
            </w:pPr>
            <w:r>
              <w:rPr>
                <w:b w:val="0"/>
                <w:bCs w:val="0"/>
                <w:color w:val="auto"/>
                <w:u w:val="none"/>
              </w:rPr>
              <w:t>7</w:t>
            </w:r>
            <w:r>
              <w:rPr>
                <w:rFonts w:hint="eastAsia"/>
                <w:b w:val="0"/>
                <w:bCs w:val="0"/>
                <w:color w:val="auto"/>
                <w:u w:val="none"/>
                <w:lang w:val="en-US" w:eastAsia="zh-CN"/>
              </w:rPr>
              <w:t>120</w:t>
            </w:r>
          </w:p>
        </w:tc>
        <w:tc>
          <w:tcPr>
            <w:tcW w:w="639" w:type="pct"/>
            <w:tcBorders>
              <w:top w:val="single" w:color="000000" w:sz="6" w:space="0"/>
              <w:left w:val="single" w:color="000000" w:sz="6" w:space="0"/>
              <w:bottom w:val="single" w:color="000000" w:sz="6" w:space="0"/>
            </w:tcBorders>
            <w:vAlign w:val="center"/>
          </w:tcPr>
          <w:p w14:paraId="5A5794EA">
            <w:pPr>
              <w:pStyle w:val="182"/>
              <w:spacing w:before="146"/>
              <w:ind w:left="19"/>
              <w:rPr>
                <w:b w:val="0"/>
                <w:bCs w:val="0"/>
                <w:color w:val="auto"/>
                <w:u w:val="none"/>
              </w:rPr>
            </w:pPr>
            <w:r>
              <w:rPr>
                <w:b w:val="0"/>
                <w:bCs w:val="0"/>
                <w:color w:val="auto"/>
                <w:u w:val="none"/>
              </w:rPr>
              <w:t>/</w:t>
            </w:r>
          </w:p>
        </w:tc>
      </w:tr>
      <w:tr w14:paraId="363DC47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2" w:hRule="atLeast"/>
          <w:jc w:val="center"/>
        </w:trPr>
        <w:tc>
          <w:tcPr>
            <w:tcW w:w="381" w:type="pct"/>
            <w:vMerge w:val="continue"/>
            <w:tcBorders>
              <w:right w:val="single" w:color="000000" w:sz="6" w:space="0"/>
            </w:tcBorders>
            <w:vAlign w:val="center"/>
          </w:tcPr>
          <w:p w14:paraId="54AD6243">
            <w:pPr>
              <w:pStyle w:val="182"/>
              <w:spacing w:before="149"/>
              <w:ind w:left="211"/>
              <w:jc w:val="left"/>
              <w:rPr>
                <w:b w:val="0"/>
                <w:bCs w:val="0"/>
                <w:color w:val="auto"/>
                <w:u w:val="none"/>
              </w:rPr>
            </w:pPr>
          </w:p>
        </w:tc>
        <w:tc>
          <w:tcPr>
            <w:tcW w:w="1132" w:type="pct"/>
            <w:vMerge w:val="continue"/>
            <w:tcBorders>
              <w:left w:val="single" w:color="000000" w:sz="6" w:space="0"/>
              <w:right w:val="single" w:color="000000" w:sz="6" w:space="0"/>
            </w:tcBorders>
            <w:vAlign w:val="center"/>
          </w:tcPr>
          <w:p w14:paraId="29E92C01">
            <w:pPr>
              <w:pStyle w:val="182"/>
              <w:spacing w:before="160"/>
              <w:ind w:left="654"/>
              <w:jc w:val="left"/>
              <w:rPr>
                <w:b w:val="0"/>
                <w:bCs w:val="0"/>
                <w:color w:val="auto"/>
                <w:u w:val="none"/>
              </w:rPr>
            </w:pPr>
          </w:p>
        </w:tc>
        <w:tc>
          <w:tcPr>
            <w:tcW w:w="1469" w:type="pct"/>
            <w:gridSpan w:val="2"/>
            <w:tcBorders>
              <w:top w:val="single" w:color="000000" w:sz="6" w:space="0"/>
              <w:left w:val="single" w:color="000000" w:sz="6" w:space="0"/>
              <w:right w:val="single" w:color="000000" w:sz="6" w:space="0"/>
            </w:tcBorders>
            <w:vAlign w:val="center"/>
          </w:tcPr>
          <w:p w14:paraId="195D2BE8">
            <w:pPr>
              <w:pStyle w:val="182"/>
              <w:spacing w:line="267" w:lineRule="exact"/>
              <w:ind w:left="187" w:right="170"/>
              <w:rPr>
                <w:rFonts w:hint="default" w:eastAsia="宋体"/>
                <w:b w:val="0"/>
                <w:bCs w:val="0"/>
                <w:color w:val="auto"/>
                <w:u w:val="none"/>
                <w:lang w:val="en-US" w:eastAsia="zh-CN"/>
              </w:rPr>
            </w:pPr>
            <w:r>
              <w:rPr>
                <w:rFonts w:hint="eastAsia"/>
                <w:b w:val="0"/>
                <w:bCs w:val="0"/>
                <w:color w:val="auto"/>
                <w:u w:val="none"/>
                <w:lang w:val="en-US" w:eastAsia="zh-CN"/>
              </w:rPr>
              <w:t>大杨庄村地下集中饮用水源</w:t>
            </w:r>
          </w:p>
        </w:tc>
        <w:tc>
          <w:tcPr>
            <w:tcW w:w="734" w:type="pct"/>
            <w:tcBorders>
              <w:top w:val="single" w:color="000000" w:sz="6" w:space="0"/>
              <w:left w:val="single" w:color="000000" w:sz="6" w:space="0"/>
              <w:right w:val="single" w:color="000000" w:sz="6" w:space="0"/>
            </w:tcBorders>
            <w:vAlign w:val="center"/>
          </w:tcPr>
          <w:p w14:paraId="27FE98E7">
            <w:pPr>
              <w:pStyle w:val="182"/>
              <w:spacing w:before="133"/>
              <w:ind w:left="133" w:right="120"/>
              <w:rPr>
                <w:rFonts w:hint="eastAsia" w:eastAsia="宋体"/>
                <w:b w:val="0"/>
                <w:bCs w:val="0"/>
                <w:color w:val="auto"/>
                <w:u w:val="none"/>
                <w:lang w:val="en-US" w:eastAsia="zh-CN"/>
              </w:rPr>
            </w:pPr>
            <w:r>
              <w:rPr>
                <w:rFonts w:hint="eastAsia"/>
                <w:b w:val="0"/>
                <w:bCs w:val="0"/>
                <w:color w:val="auto"/>
                <w:u w:val="none"/>
                <w:lang w:val="en-US" w:eastAsia="zh-CN"/>
              </w:rPr>
              <w:t>西南</w:t>
            </w:r>
          </w:p>
        </w:tc>
        <w:tc>
          <w:tcPr>
            <w:tcW w:w="642" w:type="pct"/>
            <w:tcBorders>
              <w:top w:val="single" w:color="000000" w:sz="6" w:space="0"/>
              <w:left w:val="single" w:color="000000" w:sz="6" w:space="0"/>
              <w:right w:val="single" w:color="000000" w:sz="6" w:space="0"/>
            </w:tcBorders>
            <w:vAlign w:val="center"/>
          </w:tcPr>
          <w:p w14:paraId="743A9915">
            <w:pPr>
              <w:pStyle w:val="182"/>
              <w:bidi w:val="0"/>
              <w:ind w:firstLine="0" w:firstLineChars="0"/>
              <w:rPr>
                <w:rFonts w:hint="default" w:eastAsia="宋体"/>
                <w:b w:val="0"/>
                <w:bCs w:val="0"/>
                <w:color w:val="auto"/>
                <w:u w:val="none"/>
                <w:lang w:val="en-US" w:eastAsia="zh-CN"/>
              </w:rPr>
            </w:pPr>
            <w:r>
              <w:rPr>
                <w:rFonts w:hint="eastAsia"/>
                <w:b w:val="0"/>
                <w:bCs w:val="0"/>
                <w:color w:val="auto"/>
                <w:u w:val="none"/>
                <w:lang w:val="en-US" w:eastAsia="zh-CN"/>
              </w:rPr>
              <w:t>1818</w:t>
            </w:r>
          </w:p>
        </w:tc>
        <w:tc>
          <w:tcPr>
            <w:tcW w:w="639" w:type="pct"/>
            <w:tcBorders>
              <w:top w:val="single" w:color="000000" w:sz="6" w:space="0"/>
              <w:left w:val="single" w:color="000000" w:sz="6" w:space="0"/>
            </w:tcBorders>
            <w:vAlign w:val="center"/>
          </w:tcPr>
          <w:p w14:paraId="00BC36D3">
            <w:pPr>
              <w:pStyle w:val="182"/>
              <w:spacing w:before="146"/>
              <w:ind w:left="19"/>
              <w:rPr>
                <w:rFonts w:hint="eastAsia" w:eastAsia="宋体"/>
                <w:b w:val="0"/>
                <w:bCs w:val="0"/>
                <w:color w:val="auto"/>
                <w:u w:val="none"/>
                <w:lang w:val="en-US" w:eastAsia="zh-CN"/>
              </w:rPr>
            </w:pPr>
            <w:r>
              <w:rPr>
                <w:rFonts w:hint="eastAsia"/>
                <w:b w:val="0"/>
                <w:bCs w:val="0"/>
                <w:color w:val="auto"/>
                <w:u w:val="none"/>
                <w:lang w:val="en-US" w:eastAsia="zh-CN"/>
              </w:rPr>
              <w:t>/</w:t>
            </w:r>
          </w:p>
        </w:tc>
      </w:tr>
    </w:tbl>
    <w:p w14:paraId="08C7C891">
      <w:pPr>
        <w:pStyle w:val="5"/>
        <w:rPr>
          <w:rFonts w:hint="eastAsia"/>
          <w:color w:val="auto"/>
        </w:rPr>
      </w:pPr>
      <w:r>
        <w:rPr>
          <w:rFonts w:hint="eastAsia"/>
          <w:color w:val="auto"/>
          <w:lang w:val="en-US" w:eastAsia="zh-CN"/>
        </w:rPr>
        <w:t>评价等级及评价范围</w:t>
      </w:r>
    </w:p>
    <w:p w14:paraId="679F3AC1">
      <w:pPr>
        <w:pStyle w:val="6"/>
        <w:rPr>
          <w:rFonts w:hint="eastAsia"/>
          <w:color w:val="auto"/>
        </w:rPr>
      </w:pPr>
      <w:r>
        <w:rPr>
          <w:rFonts w:hint="eastAsia"/>
          <w:color w:val="auto"/>
          <w:lang w:val="en-US" w:eastAsia="zh-CN"/>
        </w:rPr>
        <w:t>评价等级及评价范围</w:t>
      </w:r>
    </w:p>
    <w:p w14:paraId="54C303E8">
      <w:pPr>
        <w:pStyle w:val="58"/>
        <w:spacing w:line="520" w:lineRule="exact"/>
        <w:ind w:firstLine="480"/>
        <w:contextualSpacing/>
        <w:rPr>
          <w:rFonts w:ascii="Times New Roman" w:eastAsia="宋体" w:cs="Times New Roman"/>
          <w:b/>
          <w:bCs/>
          <w:color w:val="auto"/>
          <w:u w:val="single"/>
        </w:rPr>
      </w:pPr>
      <w:r>
        <w:rPr>
          <w:rFonts w:ascii="Times New Roman" w:eastAsia="宋体" w:cs="Times New Roman"/>
          <w:b/>
          <w:bCs/>
          <w:color w:val="auto"/>
          <w:u w:val="single"/>
        </w:rPr>
        <w:t>本项目风险潜势为Ⅰ，根据《建设项目环境风险评价技术导则》（HJ169-2018），工作等级为简单分析。具体判定标准见下表。</w:t>
      </w:r>
    </w:p>
    <w:p w14:paraId="48E9AAF3">
      <w:pPr>
        <w:pStyle w:val="10"/>
        <w:bidi w:val="0"/>
        <w:rPr>
          <w:b/>
          <w:bCs/>
          <w:u w:val="single"/>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6.8</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11</w:t>
      </w:r>
      <w:r>
        <w:rPr>
          <w:b/>
          <w:bCs/>
          <w:u w:val="single"/>
        </w:rPr>
        <w:fldChar w:fldCharType="end"/>
      </w:r>
      <w:r>
        <w:rPr>
          <w:rFonts w:hint="eastAsia"/>
          <w:b/>
          <w:bCs/>
          <w:u w:val="single"/>
          <w:lang w:val="en-US" w:eastAsia="zh-CN"/>
        </w:rPr>
        <w:t xml:space="preserve"> </w:t>
      </w:r>
      <w:r>
        <w:rPr>
          <w:rFonts w:hint="eastAsia"/>
          <w:b/>
          <w:bCs/>
          <w:u w:val="single"/>
        </w:rPr>
        <w:t>建设项目环境风险评价工作等级划分标准</w:t>
      </w:r>
    </w:p>
    <w:tbl>
      <w:tblPr>
        <w:tblStyle w:val="31"/>
        <w:tblW w:w="5000" w:type="pct"/>
        <w:tblInd w:w="-5" w:type="dxa"/>
        <w:tblLayout w:type="autofit"/>
        <w:tblCellMar>
          <w:top w:w="0" w:type="dxa"/>
          <w:left w:w="0" w:type="dxa"/>
          <w:bottom w:w="0" w:type="dxa"/>
          <w:right w:w="0" w:type="dxa"/>
        </w:tblCellMar>
      </w:tblPr>
      <w:tblGrid>
        <w:gridCol w:w="1662"/>
        <w:gridCol w:w="1662"/>
        <w:gridCol w:w="1663"/>
        <w:gridCol w:w="1665"/>
        <w:gridCol w:w="1665"/>
      </w:tblGrid>
      <w:tr w14:paraId="50FE7E4A">
        <w:tblPrEx>
          <w:tblCellMar>
            <w:top w:w="0" w:type="dxa"/>
            <w:left w:w="0" w:type="dxa"/>
            <w:bottom w:w="0" w:type="dxa"/>
            <w:right w:w="0" w:type="dxa"/>
          </w:tblCellMar>
        </w:tblPrEx>
        <w:trPr>
          <w:trHeight w:val="458" w:hRule="exact"/>
        </w:trPr>
        <w:tc>
          <w:tcPr>
            <w:tcW w:w="999" w:type="pct"/>
            <w:tcBorders>
              <w:top w:val="single" w:color="000000" w:sz="4" w:space="0"/>
              <w:left w:val="single" w:color="000000" w:sz="4" w:space="0"/>
              <w:bottom w:val="single" w:color="000000" w:sz="4" w:space="0"/>
              <w:right w:val="single" w:color="000000" w:sz="4" w:space="0"/>
            </w:tcBorders>
            <w:noWrap w:val="0"/>
            <w:vAlign w:val="center"/>
          </w:tcPr>
          <w:p w14:paraId="4F18A4BD">
            <w:pPr>
              <w:pStyle w:val="182"/>
              <w:rPr>
                <w:rFonts w:hint="eastAsia" w:ascii="Times New Roman" w:hAnsi="Times New Roman" w:eastAsia="宋体" w:cs="Times New Roman"/>
                <w:b/>
                <w:bCs/>
                <w:color w:val="auto"/>
                <w:u w:val="single"/>
                <w:lang w:eastAsia="en-US"/>
              </w:rPr>
            </w:pPr>
            <w:r>
              <w:rPr>
                <w:rFonts w:hint="eastAsia" w:ascii="Times New Roman" w:hAnsi="Times New Roman" w:eastAsia="宋体" w:cs="Times New Roman"/>
                <w:b/>
                <w:bCs/>
                <w:color w:val="auto"/>
                <w:u w:val="single"/>
                <w:lang w:eastAsia="en-US"/>
              </w:rPr>
              <w:t>环境风险潜势</w:t>
            </w:r>
          </w:p>
        </w:tc>
        <w:tc>
          <w:tcPr>
            <w:tcW w:w="999" w:type="pct"/>
            <w:tcBorders>
              <w:top w:val="single" w:color="000000" w:sz="4" w:space="0"/>
              <w:left w:val="single" w:color="000000" w:sz="4" w:space="0"/>
              <w:bottom w:val="single" w:color="000000" w:sz="4" w:space="0"/>
              <w:right w:val="single" w:color="000000" w:sz="4" w:space="0"/>
            </w:tcBorders>
            <w:noWrap w:val="0"/>
            <w:vAlign w:val="center"/>
          </w:tcPr>
          <w:p w14:paraId="061AEA2A">
            <w:pPr>
              <w:pStyle w:val="182"/>
              <w:rPr>
                <w:rFonts w:hint="eastAsia" w:ascii="Times New Roman" w:hAnsi="Times New Roman" w:eastAsia="宋体" w:cs="Times New Roman"/>
                <w:b/>
                <w:bCs/>
                <w:color w:val="auto"/>
                <w:u w:val="single"/>
                <w:lang w:eastAsia="en-US"/>
              </w:rPr>
            </w:pPr>
            <w:r>
              <w:rPr>
                <w:rFonts w:hint="eastAsia" w:ascii="Times New Roman" w:hAnsi="Times New Roman" w:eastAsia="宋体" w:cs="Times New Roman"/>
                <w:b/>
                <w:bCs/>
                <w:color w:val="auto"/>
                <w:u w:val="single"/>
                <w:lang w:eastAsia="en-US"/>
              </w:rPr>
              <w:t>Ⅳ+、Ⅳ</w:t>
            </w:r>
          </w:p>
        </w:tc>
        <w:tc>
          <w:tcPr>
            <w:tcW w:w="1000" w:type="pct"/>
            <w:tcBorders>
              <w:top w:val="single" w:color="000000" w:sz="4" w:space="0"/>
              <w:left w:val="single" w:color="000000" w:sz="4" w:space="0"/>
              <w:bottom w:val="single" w:color="000000" w:sz="4" w:space="0"/>
              <w:right w:val="single" w:color="000000" w:sz="4" w:space="0"/>
            </w:tcBorders>
            <w:noWrap w:val="0"/>
            <w:vAlign w:val="center"/>
          </w:tcPr>
          <w:p w14:paraId="742F784A">
            <w:pPr>
              <w:pStyle w:val="182"/>
              <w:rPr>
                <w:rFonts w:hint="eastAsia" w:ascii="Times New Roman" w:hAnsi="Times New Roman" w:eastAsia="宋体" w:cs="Times New Roman"/>
                <w:b/>
                <w:bCs/>
                <w:color w:val="auto"/>
                <w:u w:val="single"/>
                <w:lang w:eastAsia="en-US"/>
              </w:rPr>
            </w:pPr>
            <w:r>
              <w:rPr>
                <w:rFonts w:hint="eastAsia" w:ascii="Times New Roman" w:hAnsi="Times New Roman" w:eastAsia="宋体" w:cs="Times New Roman"/>
                <w:b/>
                <w:bCs/>
                <w:color w:val="auto"/>
                <w:u w:val="single"/>
                <w:lang w:eastAsia="en-US"/>
              </w:rPr>
              <w:t>Ⅲ</w:t>
            </w:r>
          </w:p>
        </w:tc>
        <w:tc>
          <w:tcPr>
            <w:tcW w:w="1001" w:type="pct"/>
            <w:tcBorders>
              <w:top w:val="single" w:color="000000" w:sz="4" w:space="0"/>
              <w:left w:val="single" w:color="000000" w:sz="4" w:space="0"/>
              <w:bottom w:val="single" w:color="000000" w:sz="4" w:space="0"/>
              <w:right w:val="single" w:color="000000" w:sz="4" w:space="0"/>
            </w:tcBorders>
            <w:noWrap w:val="0"/>
            <w:vAlign w:val="center"/>
          </w:tcPr>
          <w:p w14:paraId="0E7403AB">
            <w:pPr>
              <w:pStyle w:val="182"/>
              <w:rPr>
                <w:rFonts w:hint="eastAsia" w:ascii="Times New Roman" w:hAnsi="Times New Roman" w:eastAsia="宋体" w:cs="Times New Roman"/>
                <w:b/>
                <w:bCs/>
                <w:color w:val="auto"/>
                <w:u w:val="single"/>
                <w:lang w:eastAsia="en-US"/>
              </w:rPr>
            </w:pPr>
            <w:r>
              <w:rPr>
                <w:rFonts w:hint="eastAsia" w:ascii="Times New Roman" w:hAnsi="Times New Roman" w:eastAsia="宋体" w:cs="Times New Roman"/>
                <w:b/>
                <w:bCs/>
                <w:color w:val="auto"/>
                <w:u w:val="single"/>
                <w:lang w:eastAsia="en-US"/>
              </w:rPr>
              <w:t>Ⅱ</w:t>
            </w:r>
          </w:p>
        </w:tc>
        <w:tc>
          <w:tcPr>
            <w:tcW w:w="1001" w:type="pct"/>
            <w:tcBorders>
              <w:top w:val="single" w:color="000000" w:sz="4" w:space="0"/>
              <w:left w:val="single" w:color="000000" w:sz="4" w:space="0"/>
              <w:bottom w:val="single" w:color="000000" w:sz="4" w:space="0"/>
              <w:right w:val="single" w:color="000000" w:sz="4" w:space="0"/>
            </w:tcBorders>
            <w:noWrap w:val="0"/>
            <w:vAlign w:val="center"/>
          </w:tcPr>
          <w:p w14:paraId="4866ECA2">
            <w:pPr>
              <w:pStyle w:val="182"/>
              <w:rPr>
                <w:rFonts w:hint="eastAsia" w:ascii="Times New Roman" w:hAnsi="Times New Roman" w:eastAsia="宋体" w:cs="Times New Roman"/>
                <w:b/>
                <w:bCs/>
                <w:color w:val="auto"/>
                <w:u w:val="single"/>
                <w:lang w:eastAsia="en-US"/>
              </w:rPr>
            </w:pPr>
            <w:r>
              <w:rPr>
                <w:rFonts w:hint="eastAsia" w:ascii="Times New Roman" w:hAnsi="Times New Roman" w:eastAsia="宋体" w:cs="Times New Roman"/>
                <w:b/>
                <w:bCs/>
                <w:color w:val="auto"/>
                <w:u w:val="single"/>
                <w:lang w:eastAsia="en-US"/>
              </w:rPr>
              <w:t>Ⅰ</w:t>
            </w:r>
          </w:p>
        </w:tc>
      </w:tr>
      <w:tr w14:paraId="5466A7D9">
        <w:tblPrEx>
          <w:tblCellMar>
            <w:top w:w="0" w:type="dxa"/>
            <w:left w:w="0" w:type="dxa"/>
            <w:bottom w:w="0" w:type="dxa"/>
            <w:right w:w="0" w:type="dxa"/>
          </w:tblCellMar>
        </w:tblPrEx>
        <w:trPr>
          <w:trHeight w:val="458" w:hRule="exact"/>
        </w:trPr>
        <w:tc>
          <w:tcPr>
            <w:tcW w:w="999" w:type="pct"/>
            <w:tcBorders>
              <w:top w:val="single" w:color="000000" w:sz="4" w:space="0"/>
              <w:left w:val="single" w:color="000000" w:sz="4" w:space="0"/>
              <w:bottom w:val="single" w:color="000000" w:sz="4" w:space="0"/>
              <w:right w:val="single" w:color="000000" w:sz="4" w:space="0"/>
            </w:tcBorders>
            <w:noWrap w:val="0"/>
            <w:vAlign w:val="center"/>
          </w:tcPr>
          <w:p w14:paraId="51788B77">
            <w:pPr>
              <w:pStyle w:val="182"/>
              <w:rPr>
                <w:rFonts w:hint="eastAsia" w:ascii="Times New Roman" w:hAnsi="Times New Roman" w:eastAsia="宋体" w:cs="Times New Roman"/>
                <w:b/>
                <w:bCs/>
                <w:color w:val="auto"/>
                <w:u w:val="single"/>
                <w:lang w:eastAsia="en-US"/>
              </w:rPr>
            </w:pPr>
            <w:r>
              <w:rPr>
                <w:rFonts w:hint="eastAsia" w:ascii="Times New Roman" w:hAnsi="Times New Roman" w:eastAsia="宋体" w:cs="Times New Roman"/>
                <w:b/>
                <w:bCs/>
                <w:color w:val="auto"/>
                <w:u w:val="single"/>
                <w:lang w:eastAsia="en-US"/>
              </w:rPr>
              <w:t>评价工作等级</w:t>
            </w:r>
          </w:p>
        </w:tc>
        <w:tc>
          <w:tcPr>
            <w:tcW w:w="999" w:type="pct"/>
            <w:tcBorders>
              <w:top w:val="single" w:color="000000" w:sz="4" w:space="0"/>
              <w:left w:val="single" w:color="000000" w:sz="4" w:space="0"/>
              <w:bottom w:val="single" w:color="000000" w:sz="4" w:space="0"/>
              <w:right w:val="single" w:color="000000" w:sz="4" w:space="0"/>
            </w:tcBorders>
            <w:noWrap w:val="0"/>
            <w:vAlign w:val="center"/>
          </w:tcPr>
          <w:p w14:paraId="1DF12DA6">
            <w:pPr>
              <w:pStyle w:val="182"/>
              <w:rPr>
                <w:rFonts w:hint="eastAsia" w:ascii="Times New Roman" w:hAnsi="Times New Roman" w:eastAsia="宋体" w:cs="Times New Roman"/>
                <w:b/>
                <w:bCs/>
                <w:color w:val="auto"/>
                <w:u w:val="single"/>
                <w:lang w:eastAsia="en-US"/>
              </w:rPr>
            </w:pPr>
            <w:r>
              <w:rPr>
                <w:rFonts w:hint="eastAsia" w:ascii="Times New Roman" w:hAnsi="Times New Roman" w:eastAsia="宋体" w:cs="Times New Roman"/>
                <w:b/>
                <w:bCs/>
                <w:color w:val="auto"/>
                <w:u w:val="single"/>
                <w:lang w:eastAsia="en-US"/>
              </w:rPr>
              <w:t>一级</w:t>
            </w:r>
          </w:p>
        </w:tc>
        <w:tc>
          <w:tcPr>
            <w:tcW w:w="1000" w:type="pct"/>
            <w:tcBorders>
              <w:top w:val="single" w:color="000000" w:sz="4" w:space="0"/>
              <w:left w:val="single" w:color="000000" w:sz="4" w:space="0"/>
              <w:bottom w:val="single" w:color="000000" w:sz="4" w:space="0"/>
              <w:right w:val="single" w:color="000000" w:sz="4" w:space="0"/>
            </w:tcBorders>
            <w:noWrap w:val="0"/>
            <w:vAlign w:val="center"/>
          </w:tcPr>
          <w:p w14:paraId="11D3A413">
            <w:pPr>
              <w:pStyle w:val="182"/>
              <w:rPr>
                <w:rFonts w:hint="eastAsia" w:ascii="Times New Roman" w:hAnsi="Times New Roman" w:eastAsia="宋体" w:cs="Times New Roman"/>
                <w:b/>
                <w:bCs/>
                <w:color w:val="auto"/>
                <w:u w:val="single"/>
                <w:lang w:eastAsia="en-US"/>
              </w:rPr>
            </w:pPr>
            <w:r>
              <w:rPr>
                <w:rFonts w:hint="eastAsia" w:ascii="Times New Roman" w:hAnsi="Times New Roman" w:eastAsia="宋体" w:cs="Times New Roman"/>
                <w:b/>
                <w:bCs/>
                <w:color w:val="auto"/>
                <w:u w:val="single"/>
                <w:lang w:eastAsia="en-US"/>
              </w:rPr>
              <w:t>二级</w:t>
            </w:r>
          </w:p>
        </w:tc>
        <w:tc>
          <w:tcPr>
            <w:tcW w:w="1001" w:type="pct"/>
            <w:tcBorders>
              <w:top w:val="single" w:color="000000" w:sz="4" w:space="0"/>
              <w:left w:val="single" w:color="000000" w:sz="4" w:space="0"/>
              <w:bottom w:val="single" w:color="000000" w:sz="4" w:space="0"/>
              <w:right w:val="single" w:color="000000" w:sz="4" w:space="0"/>
            </w:tcBorders>
            <w:noWrap w:val="0"/>
            <w:vAlign w:val="center"/>
          </w:tcPr>
          <w:p w14:paraId="23606321">
            <w:pPr>
              <w:pStyle w:val="182"/>
              <w:rPr>
                <w:rFonts w:hint="eastAsia" w:ascii="Times New Roman" w:hAnsi="Times New Roman" w:eastAsia="宋体" w:cs="Times New Roman"/>
                <w:b/>
                <w:bCs/>
                <w:color w:val="auto"/>
                <w:u w:val="single"/>
                <w:lang w:eastAsia="en-US"/>
              </w:rPr>
            </w:pPr>
            <w:r>
              <w:rPr>
                <w:rFonts w:hint="eastAsia" w:ascii="Times New Roman" w:hAnsi="Times New Roman" w:eastAsia="宋体" w:cs="Times New Roman"/>
                <w:b/>
                <w:bCs/>
                <w:color w:val="auto"/>
                <w:u w:val="single"/>
                <w:lang w:eastAsia="en-US"/>
              </w:rPr>
              <w:t>三级</w:t>
            </w:r>
          </w:p>
        </w:tc>
        <w:tc>
          <w:tcPr>
            <w:tcW w:w="1001" w:type="pct"/>
            <w:tcBorders>
              <w:top w:val="single" w:color="000000" w:sz="4" w:space="0"/>
              <w:left w:val="single" w:color="000000" w:sz="4" w:space="0"/>
              <w:bottom w:val="single" w:color="000000" w:sz="4" w:space="0"/>
              <w:right w:val="single" w:color="000000" w:sz="4" w:space="0"/>
            </w:tcBorders>
            <w:noWrap w:val="0"/>
            <w:vAlign w:val="center"/>
          </w:tcPr>
          <w:p w14:paraId="0C655201">
            <w:pPr>
              <w:pStyle w:val="182"/>
              <w:rPr>
                <w:rFonts w:hint="eastAsia" w:ascii="Times New Roman" w:hAnsi="Times New Roman" w:eastAsia="宋体" w:cs="Times New Roman"/>
                <w:b/>
                <w:bCs/>
                <w:color w:val="auto"/>
                <w:u w:val="single"/>
                <w:lang w:eastAsia="en-US"/>
              </w:rPr>
            </w:pPr>
            <w:r>
              <w:rPr>
                <w:rFonts w:hint="eastAsia" w:ascii="Times New Roman" w:hAnsi="Times New Roman" w:eastAsia="宋体" w:cs="Times New Roman"/>
                <w:b/>
                <w:bCs/>
                <w:color w:val="auto"/>
                <w:u w:val="single"/>
                <w:lang w:eastAsia="en-US"/>
              </w:rPr>
              <w:t>简单分析</w:t>
            </w:r>
          </w:p>
        </w:tc>
      </w:tr>
    </w:tbl>
    <w:p w14:paraId="2460CF15">
      <w:pPr>
        <w:pStyle w:val="182"/>
        <w:rPr>
          <w:rFonts w:hint="eastAsia" w:ascii="Times New Roman" w:hAnsi="Times New Roman" w:eastAsia="宋体" w:cs="Times New Roman"/>
          <w:b/>
          <w:bCs/>
          <w:color w:val="auto"/>
          <w:u w:val="none"/>
        </w:rPr>
      </w:pPr>
    </w:p>
    <w:p w14:paraId="6AB45E5B">
      <w:pPr>
        <w:pStyle w:val="5"/>
        <w:spacing w:before="0"/>
        <w:ind w:left="0" w:firstLine="0"/>
        <w:rPr>
          <w:color w:val="auto"/>
          <w:u w:val="none"/>
        </w:rPr>
      </w:pPr>
      <w:r>
        <w:rPr>
          <w:color w:val="auto"/>
          <w:u w:val="none"/>
        </w:rPr>
        <w:t>环境风险识别</w:t>
      </w:r>
    </w:p>
    <w:p w14:paraId="5C95D74D">
      <w:pPr>
        <w:pStyle w:val="6"/>
        <w:rPr>
          <w:rFonts w:hint="eastAsia"/>
          <w:bCs/>
          <w:color w:val="auto"/>
          <w:u w:val="none"/>
        </w:rPr>
      </w:pPr>
      <w:r>
        <w:rPr>
          <w:rFonts w:hint="eastAsia"/>
          <w:bCs/>
          <w:color w:val="auto"/>
          <w:u w:val="none"/>
        </w:rPr>
        <w:t>物质危险性识别</w:t>
      </w:r>
    </w:p>
    <w:p w14:paraId="6D03CC18">
      <w:pPr>
        <w:bidi w:val="0"/>
        <w:rPr>
          <w:b/>
          <w:bCs/>
          <w:color w:val="auto"/>
          <w:u w:val="single"/>
        </w:rPr>
      </w:pPr>
      <w:r>
        <w:rPr>
          <w:rFonts w:hint="eastAsia" w:ascii="宋体" w:hAnsi="宋体"/>
          <w:b/>
          <w:bCs/>
          <w:u w:val="single"/>
        </w:rPr>
        <w:t>根据风险物质调查及理化性质分析，本项目涉及风险物质为纺丝油剂，其主要成分为白油，</w:t>
      </w:r>
      <w:r>
        <w:rPr>
          <w:rFonts w:hint="eastAsia"/>
          <w:b/>
          <w:bCs/>
          <w:u w:val="single"/>
        </w:rPr>
        <w:t>大白鼠经口</w:t>
      </w:r>
      <w:r>
        <w:rPr>
          <w:b/>
          <w:bCs/>
          <w:u w:val="single"/>
        </w:rPr>
        <w:t>1.25g/kg未见异常，对水生生物有毒，可能对水体环境产生长期不良影响。</w:t>
      </w:r>
    </w:p>
    <w:p w14:paraId="3D9B7DB3">
      <w:pPr>
        <w:pStyle w:val="6"/>
        <w:rPr>
          <w:rFonts w:hint="eastAsia"/>
          <w:color w:val="auto"/>
        </w:rPr>
      </w:pPr>
      <w:r>
        <w:rPr>
          <w:rFonts w:hint="eastAsia"/>
          <w:color w:val="auto"/>
        </w:rPr>
        <w:t>生产系统危险性识别</w:t>
      </w:r>
    </w:p>
    <w:p w14:paraId="47F124BA">
      <w:pPr>
        <w:bidi w:val="0"/>
        <w:rPr>
          <w:rFonts w:hint="eastAsia" w:ascii="Times New Roman" w:hAnsi="Times New Roman" w:eastAsia="宋体" w:cs="Times New Roman"/>
          <w:b/>
          <w:bCs/>
          <w:u w:val="single"/>
        </w:rPr>
      </w:pPr>
      <w:r>
        <w:rPr>
          <w:rFonts w:hint="eastAsia" w:ascii="Times New Roman" w:hAnsi="Times New Roman" w:eastAsia="宋体" w:cs="Times New Roman"/>
          <w:b/>
          <w:bCs/>
          <w:u w:val="single"/>
        </w:rPr>
        <w:t>本项目危险单元</w:t>
      </w:r>
      <w:r>
        <w:rPr>
          <w:rFonts w:hint="eastAsia" w:ascii="Times New Roman" w:hAnsi="Times New Roman" w:eastAsia="宋体" w:cs="Times New Roman"/>
          <w:b/>
          <w:bCs/>
          <w:u w:val="single"/>
          <w:lang w:val="en-US" w:eastAsia="zh-CN"/>
        </w:rPr>
        <w:t>主要为储存油剂的</w:t>
      </w:r>
      <w:r>
        <w:rPr>
          <w:rFonts w:hint="eastAsia" w:ascii="Times New Roman" w:hAnsi="Times New Roman" w:eastAsia="宋体" w:cs="Times New Roman"/>
          <w:b/>
          <w:bCs/>
          <w:u w:val="single"/>
        </w:rPr>
        <w:t>原料库，各单元危险性识别如下：</w:t>
      </w:r>
    </w:p>
    <w:p w14:paraId="273E844B">
      <w:pPr>
        <w:bidi w:val="0"/>
        <w:rPr>
          <w:rFonts w:hint="eastAsia" w:ascii="Times New Roman" w:hAnsi="Times New Roman" w:eastAsia="宋体" w:cs="Times New Roman"/>
          <w:b/>
          <w:bCs/>
          <w:u w:val="single"/>
        </w:rPr>
      </w:pPr>
      <w:r>
        <w:rPr>
          <w:rFonts w:hint="eastAsia" w:ascii="Times New Roman" w:hAnsi="Times New Roman" w:eastAsia="宋体" w:cs="Times New Roman"/>
          <w:b/>
          <w:bCs/>
          <w:u w:val="single"/>
        </w:rPr>
        <w:t>项目纺丝油剂为桶装，在物料装卸过程中，如管理、操作不当，就可能会发生泄漏，引发地下水及土壤环境污染。</w:t>
      </w:r>
    </w:p>
    <w:p w14:paraId="2638209A">
      <w:pPr>
        <w:pStyle w:val="6"/>
        <w:rPr>
          <w:rFonts w:hint="eastAsia"/>
          <w:color w:val="auto"/>
        </w:rPr>
      </w:pPr>
      <w:r>
        <w:rPr>
          <w:rFonts w:hint="eastAsia"/>
          <w:color w:val="auto"/>
        </w:rPr>
        <w:t>向环境转移的途径</w:t>
      </w:r>
    </w:p>
    <w:p w14:paraId="17FA1135">
      <w:pPr>
        <w:ind w:firstLine="482" w:firstLineChars="200"/>
        <w:rPr>
          <w:rFonts w:hint="eastAsia"/>
          <w:b/>
          <w:bCs/>
          <w:color w:val="auto"/>
          <w:u w:val="single"/>
        </w:rPr>
      </w:pPr>
      <w:r>
        <w:rPr>
          <w:rFonts w:hint="eastAsia"/>
          <w:b/>
          <w:bCs/>
          <w:color w:val="auto"/>
          <w:u w:val="single"/>
          <w:lang w:val="en-US" w:eastAsia="zh-CN"/>
        </w:rPr>
        <w:t>项目纺丝油剂为桶装，在生产及物料装卸过程中，如管理、操作不当，就可能会发生泄漏，引发地下水及土壤环境污染。</w:t>
      </w:r>
    </w:p>
    <w:p w14:paraId="15AD84AB">
      <w:pPr>
        <w:pStyle w:val="5"/>
        <w:bidi w:val="0"/>
        <w:rPr>
          <w:rFonts w:hint="eastAsia"/>
        </w:rPr>
      </w:pPr>
      <w:r>
        <w:rPr>
          <w:rFonts w:hint="eastAsia"/>
          <w:lang w:val="en-US" w:eastAsia="zh-CN"/>
        </w:rPr>
        <w:t>环境风险防范措施</w:t>
      </w:r>
    </w:p>
    <w:p w14:paraId="32B3502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sz w:val="24"/>
          <w:u w:val="single"/>
        </w:rPr>
      </w:pPr>
      <w:r>
        <w:rPr>
          <w:rFonts w:hint="eastAsia" w:ascii="Times New Roman" w:hAnsi="Times New Roman" w:eastAsia="宋体" w:cs="Times New Roman"/>
          <w:b/>
          <w:bCs/>
          <w:sz w:val="24"/>
          <w:u w:val="single"/>
        </w:rPr>
        <w:t>根据有关要求，本项目应</w:t>
      </w:r>
      <w:r>
        <w:rPr>
          <w:rFonts w:hint="eastAsia" w:ascii="Times New Roman" w:hAnsi="Times New Roman" w:eastAsia="宋体" w:cs="Times New Roman"/>
          <w:b/>
          <w:bCs/>
          <w:sz w:val="24"/>
          <w:u w:val="single"/>
          <w:lang w:val="en-US" w:eastAsia="zh-CN"/>
        </w:rPr>
        <w:t>制定突发环境事件</w:t>
      </w:r>
      <w:r>
        <w:rPr>
          <w:rFonts w:hint="eastAsia" w:ascii="Times New Roman" w:hAnsi="Times New Roman" w:eastAsia="宋体" w:cs="Times New Roman"/>
          <w:b/>
          <w:bCs/>
          <w:sz w:val="24"/>
          <w:u w:val="single"/>
        </w:rPr>
        <w:t>应急预案，设立厂内急救指挥小组，并和当地有关化学事故应急救援部门建立正常的定期联系。</w:t>
      </w:r>
    </w:p>
    <w:p w14:paraId="451C8DF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sz w:val="24"/>
          <w:u w:val="single"/>
        </w:rPr>
      </w:pPr>
      <w:r>
        <w:rPr>
          <w:rFonts w:hint="eastAsia" w:ascii="Times New Roman" w:hAnsi="Times New Roman" w:eastAsia="宋体" w:cs="Times New Roman"/>
          <w:b/>
          <w:bCs/>
          <w:sz w:val="24"/>
          <w:u w:val="single"/>
        </w:rPr>
        <w:t>（1）严格遵照国家有关的法令、法规、设计规范、操作规程进行设计、施工、安装、建厂。项目建设完成后，须经劳动安全、消防、环保等有关部门全面验收合格后方可开工。</w:t>
      </w:r>
    </w:p>
    <w:p w14:paraId="3D5C7D1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sz w:val="24"/>
          <w:u w:val="single"/>
        </w:rPr>
      </w:pPr>
      <w:r>
        <w:rPr>
          <w:rFonts w:hint="eastAsia" w:ascii="Times New Roman" w:hAnsi="Times New Roman" w:eastAsia="宋体" w:cs="Times New Roman"/>
          <w:b/>
          <w:bCs/>
          <w:sz w:val="24"/>
          <w:u w:val="single"/>
        </w:rPr>
        <w:t>（2）装备配置方面，车间、库房配置的消防器材应满足消防规范的要求；供电系统应设置双电源，并配备UPS系统，使关键性</w:t>
      </w:r>
      <w:r>
        <w:rPr>
          <w:rFonts w:hint="eastAsia" w:ascii="Times New Roman" w:hAnsi="Times New Roman" w:eastAsia="宋体" w:cs="Times New Roman"/>
          <w:b/>
          <w:bCs/>
          <w:sz w:val="24"/>
          <w:u w:val="single"/>
          <w:lang w:eastAsia="zh-CN"/>
        </w:rPr>
        <w:t>电气设备</w:t>
      </w:r>
      <w:r>
        <w:rPr>
          <w:rFonts w:hint="eastAsia" w:ascii="Times New Roman" w:hAnsi="Times New Roman" w:eastAsia="宋体" w:cs="Times New Roman"/>
          <w:b/>
          <w:bCs/>
          <w:sz w:val="24"/>
          <w:u w:val="single"/>
        </w:rPr>
        <w:t>可通过瞬间电源的切换来维持正常的工作；防爆危险区应采用防爆电器。工艺输送泵均采用密封防泄漏驱动泵以避免物料泄漏，特别是废水、废气处理装置的提升、引风等动力设施应配置必要的应急备用系统。</w:t>
      </w:r>
    </w:p>
    <w:p w14:paraId="77D3346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sz w:val="24"/>
          <w:u w:val="single"/>
          <w:lang w:val="en-US" w:eastAsia="zh-CN"/>
        </w:rPr>
      </w:pPr>
      <w:r>
        <w:rPr>
          <w:rFonts w:hint="eastAsia" w:ascii="Times New Roman" w:hAnsi="Times New Roman" w:eastAsia="宋体" w:cs="Times New Roman"/>
          <w:b/>
          <w:bCs/>
          <w:sz w:val="24"/>
          <w:u w:val="single"/>
        </w:rPr>
        <w:t>（3）</w:t>
      </w:r>
      <w:r>
        <w:rPr>
          <w:rFonts w:hint="eastAsia" w:ascii="Times New Roman" w:hAnsi="Times New Roman" w:eastAsia="宋体" w:cs="Times New Roman"/>
          <w:b/>
          <w:bCs/>
          <w:sz w:val="24"/>
          <w:u w:val="single"/>
          <w:lang w:val="en-US" w:eastAsia="zh-CN"/>
        </w:rPr>
        <w:t>原料储存区域</w:t>
      </w:r>
      <w:r>
        <w:rPr>
          <w:rFonts w:hint="eastAsia" w:ascii="Times New Roman" w:hAnsi="Times New Roman" w:eastAsia="宋体" w:cs="Times New Roman"/>
          <w:b/>
          <w:bCs/>
          <w:sz w:val="24"/>
          <w:u w:val="single"/>
        </w:rPr>
        <w:t>的地面设置防渗层，设置托盘。厂区</w:t>
      </w:r>
      <w:r>
        <w:rPr>
          <w:rFonts w:hint="eastAsia" w:ascii="Times New Roman" w:hAnsi="Times New Roman" w:eastAsia="宋体" w:cs="Times New Roman"/>
          <w:b/>
          <w:bCs/>
          <w:sz w:val="24"/>
          <w:u w:val="single"/>
          <w:lang w:eastAsia="zh-CN"/>
        </w:rPr>
        <w:t>建设</w:t>
      </w:r>
      <w:r>
        <w:rPr>
          <w:rFonts w:hint="eastAsia" w:ascii="Times New Roman" w:hAnsi="Times New Roman" w:eastAsia="宋体" w:cs="Times New Roman"/>
          <w:b/>
          <w:bCs/>
          <w:sz w:val="24"/>
          <w:u w:val="single"/>
        </w:rPr>
        <w:t>消防事故废水池，万一火灾发生时，可消防废水排入废水池中。</w:t>
      </w:r>
      <w:r>
        <w:rPr>
          <w:rFonts w:hint="eastAsia" w:ascii="Times New Roman" w:hAnsi="Times New Roman" w:eastAsia="宋体" w:cs="Times New Roman"/>
          <w:b/>
          <w:bCs/>
          <w:sz w:val="24"/>
          <w:u w:val="single"/>
          <w:lang w:val="en-US" w:eastAsia="zh-CN"/>
        </w:rPr>
        <w:t>调节池及其管道设置防渗及其收集装置，严格执行地下水自主监测，发现渗漏及时处理。</w:t>
      </w:r>
    </w:p>
    <w:p w14:paraId="3B186BE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sz w:val="24"/>
          <w:u w:val="single"/>
        </w:rPr>
      </w:pPr>
      <w:r>
        <w:rPr>
          <w:rFonts w:hint="eastAsia" w:ascii="Times New Roman" w:hAnsi="Times New Roman" w:eastAsia="宋体" w:cs="Times New Roman"/>
          <w:b/>
          <w:bCs/>
          <w:sz w:val="24"/>
          <w:u w:val="single"/>
        </w:rPr>
        <w:t>（4）各建构筑物之间、建构筑物与道路之间要按火灾危险类别和环境情况保持足够的安全距离。</w:t>
      </w:r>
    </w:p>
    <w:p w14:paraId="30691263">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sz w:val="24"/>
          <w:u w:val="single"/>
        </w:rPr>
      </w:pPr>
      <w:r>
        <w:rPr>
          <w:rFonts w:hint="eastAsia" w:ascii="Times New Roman" w:hAnsi="Times New Roman" w:eastAsia="宋体" w:cs="Times New Roman"/>
          <w:b/>
          <w:bCs/>
          <w:sz w:val="24"/>
          <w:u w:val="single"/>
        </w:rPr>
        <w:t>（5）公司应建立科学、严格的生产操作规程和安全管理体系，做到各车间、工段生产、安全都有专业人员专职负责。</w:t>
      </w:r>
    </w:p>
    <w:p w14:paraId="533F300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sz w:val="24"/>
          <w:u w:val="single"/>
        </w:rPr>
      </w:pPr>
      <w:r>
        <w:rPr>
          <w:rFonts w:hint="eastAsia" w:ascii="Times New Roman" w:hAnsi="Times New Roman" w:eastAsia="宋体" w:cs="Times New Roman"/>
          <w:b/>
          <w:bCs/>
          <w:sz w:val="24"/>
          <w:u w:val="single"/>
        </w:rPr>
        <w:t>（6）加强设备、管道、阀门等密封检查与维护，发现问题及时解决，防止跑、冒、滴、漏。</w:t>
      </w:r>
    </w:p>
    <w:p w14:paraId="4B2C19D7">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bCs/>
          <w:sz w:val="24"/>
          <w:u w:val="single"/>
        </w:rPr>
      </w:pPr>
      <w:r>
        <w:rPr>
          <w:rFonts w:hint="eastAsia" w:ascii="Times New Roman" w:hAnsi="Times New Roman" w:eastAsia="宋体" w:cs="Times New Roman"/>
          <w:b/>
          <w:bCs/>
          <w:sz w:val="24"/>
          <w:u w:val="single"/>
        </w:rPr>
        <w:t>（7）建立健全的组织管理网络。管理人员和操作人员在事故预防中应通力合作，每个生产岗位配备必要的安全管理和责任人员。</w:t>
      </w:r>
    </w:p>
    <w:p w14:paraId="26731BF4">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ascii="Times New Roman" w:hAnsi="Times New Roman"/>
          <w:b/>
          <w:bCs/>
          <w:sz w:val="24"/>
          <w:u w:val="single"/>
        </w:rPr>
      </w:pPr>
      <w:r>
        <w:rPr>
          <w:rFonts w:ascii="Times New Roman" w:hAnsi="Times New Roman"/>
          <w:b/>
          <w:bCs/>
          <w:sz w:val="24"/>
          <w:u w:val="single"/>
        </w:rPr>
        <w:t>项目北侧现有1座容积为</w:t>
      </w:r>
      <w:r>
        <w:rPr>
          <w:rFonts w:hint="eastAsia" w:ascii="Times New Roman" w:hAnsi="Times New Roman"/>
          <w:b/>
          <w:bCs/>
          <w:sz w:val="24"/>
          <w:u w:val="single"/>
        </w:rPr>
        <w:t>10</w:t>
      </w:r>
      <w:r>
        <w:rPr>
          <w:rFonts w:ascii="Times New Roman" w:hAnsi="Times New Roman"/>
          <w:b/>
          <w:bCs/>
          <w:sz w:val="24"/>
          <w:u w:val="single"/>
        </w:rPr>
        <w:t>00m</w:t>
      </w:r>
      <w:r>
        <w:rPr>
          <w:rFonts w:ascii="Times New Roman" w:hAnsi="Times New Roman"/>
          <w:b/>
          <w:bCs/>
          <w:sz w:val="24"/>
          <w:u w:val="single"/>
          <w:vertAlign w:val="superscript"/>
        </w:rPr>
        <w:t>3</w:t>
      </w:r>
      <w:r>
        <w:rPr>
          <w:rFonts w:ascii="Times New Roman" w:hAnsi="Times New Roman"/>
          <w:b/>
          <w:bCs/>
          <w:sz w:val="24"/>
          <w:u w:val="single"/>
        </w:rPr>
        <w:t>的水池，拟做为本项目应急事故池，</w:t>
      </w:r>
      <w:r>
        <w:rPr>
          <w:rFonts w:hint="eastAsia" w:ascii="Times New Roman" w:hAnsi="Times New Roman"/>
          <w:b/>
          <w:bCs/>
          <w:sz w:val="24"/>
          <w:u w:val="single"/>
          <w:lang w:val="en-US" w:eastAsia="zh-CN"/>
        </w:rPr>
        <w:t>现有</w:t>
      </w:r>
      <w:r>
        <w:rPr>
          <w:rFonts w:ascii="Times New Roman" w:hAnsi="Times New Roman"/>
          <w:b/>
          <w:bCs/>
          <w:sz w:val="24"/>
          <w:u w:val="single"/>
        </w:rPr>
        <w:t>生产车间按重点防渗区域进行防渗。</w:t>
      </w:r>
    </w:p>
    <w:p w14:paraId="566469D8">
      <w:pPr>
        <w:pStyle w:val="10"/>
        <w:bidi w:val="0"/>
        <w:rPr>
          <w:b/>
          <w:bCs/>
          <w:u w:val="single"/>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6.8</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12</w:t>
      </w:r>
      <w:r>
        <w:rPr>
          <w:b/>
          <w:bCs/>
          <w:u w:val="single"/>
        </w:rPr>
        <w:fldChar w:fldCharType="end"/>
      </w:r>
      <w:r>
        <w:rPr>
          <w:rFonts w:hint="eastAsia"/>
          <w:b/>
          <w:bCs/>
          <w:u w:val="single"/>
          <w:lang w:val="en-US" w:eastAsia="zh-CN"/>
        </w:rPr>
        <w:t xml:space="preserve"> </w:t>
      </w:r>
      <w:r>
        <w:rPr>
          <w:rFonts w:hint="eastAsia"/>
          <w:b/>
          <w:bCs/>
          <w:u w:val="single"/>
        </w:rPr>
        <w:t>建设项目环境风险防范措施</w:t>
      </w:r>
    </w:p>
    <w:tbl>
      <w:tblPr>
        <w:tblStyle w:val="31"/>
        <w:tblW w:w="501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87"/>
        <w:gridCol w:w="1630"/>
        <w:gridCol w:w="5004"/>
        <w:gridCol w:w="913"/>
      </w:tblGrid>
      <w:tr w14:paraId="2F7D6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72" w:type="pct"/>
            <w:noWrap w:val="0"/>
            <w:vAlign w:val="center"/>
          </w:tcPr>
          <w:p w14:paraId="53589B8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r>
              <w:rPr>
                <w:b/>
                <w:bCs/>
                <w:u w:val="single"/>
                <w:lang w:eastAsia="en-US"/>
              </w:rPr>
              <w:t>类别</w:t>
            </w:r>
          </w:p>
        </w:tc>
        <w:tc>
          <w:tcPr>
            <w:tcW w:w="977" w:type="pct"/>
            <w:noWrap w:val="0"/>
            <w:vAlign w:val="center"/>
          </w:tcPr>
          <w:p w14:paraId="0429DED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r>
              <w:rPr>
                <w:b/>
                <w:bCs/>
                <w:u w:val="single"/>
                <w:lang w:eastAsia="en-US"/>
              </w:rPr>
              <w:t>项目</w:t>
            </w:r>
          </w:p>
        </w:tc>
        <w:tc>
          <w:tcPr>
            <w:tcW w:w="3002" w:type="pct"/>
            <w:noWrap w:val="0"/>
            <w:vAlign w:val="center"/>
          </w:tcPr>
          <w:p w14:paraId="3AEB220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r>
              <w:rPr>
                <w:b/>
                <w:bCs/>
                <w:u w:val="single"/>
                <w:lang w:eastAsia="en-US"/>
              </w:rPr>
              <w:t>建设内容</w:t>
            </w:r>
          </w:p>
        </w:tc>
        <w:tc>
          <w:tcPr>
            <w:tcW w:w="547" w:type="pct"/>
            <w:noWrap w:val="0"/>
            <w:vAlign w:val="center"/>
          </w:tcPr>
          <w:p w14:paraId="3EC24F1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r>
              <w:rPr>
                <w:b/>
                <w:bCs/>
                <w:u w:val="single"/>
                <w:lang w:eastAsia="en-US"/>
              </w:rPr>
              <w:t>备注</w:t>
            </w:r>
          </w:p>
        </w:tc>
      </w:tr>
      <w:tr w14:paraId="045AC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72" w:type="pct"/>
            <w:vMerge w:val="restart"/>
            <w:noWrap w:val="0"/>
            <w:vAlign w:val="center"/>
          </w:tcPr>
          <w:p w14:paraId="6A5A00C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r>
              <w:rPr>
                <w:b/>
                <w:bCs/>
                <w:u w:val="single"/>
                <w:lang w:eastAsia="en-US"/>
              </w:rPr>
              <w:t>环境风险防范措施</w:t>
            </w:r>
          </w:p>
        </w:tc>
        <w:tc>
          <w:tcPr>
            <w:tcW w:w="977" w:type="pct"/>
            <w:noWrap w:val="0"/>
            <w:vAlign w:val="center"/>
          </w:tcPr>
          <w:p w14:paraId="523FD5A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lang w:eastAsia="en-US"/>
              </w:rPr>
              <w:t>生产车间</w:t>
            </w:r>
          </w:p>
        </w:tc>
        <w:tc>
          <w:tcPr>
            <w:tcW w:w="3002" w:type="pct"/>
            <w:noWrap w:val="0"/>
            <w:vAlign w:val="center"/>
          </w:tcPr>
          <w:p w14:paraId="044907F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地面按重点防渗区域要求进行防渗</w:t>
            </w:r>
          </w:p>
        </w:tc>
        <w:tc>
          <w:tcPr>
            <w:tcW w:w="547" w:type="pct"/>
            <w:noWrap w:val="0"/>
            <w:vAlign w:val="center"/>
          </w:tcPr>
          <w:p w14:paraId="2E12CB7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eastAsia="宋体"/>
                <w:b/>
                <w:bCs/>
                <w:u w:val="single"/>
                <w:lang w:eastAsia="zh-CN"/>
              </w:rPr>
            </w:pPr>
            <w:r>
              <w:rPr>
                <w:rFonts w:hint="eastAsia" w:eastAsia="宋体"/>
                <w:b/>
                <w:bCs/>
                <w:u w:val="single"/>
                <w:lang w:val="en-US" w:eastAsia="zh-CN"/>
              </w:rPr>
              <w:t>现有</w:t>
            </w:r>
          </w:p>
        </w:tc>
      </w:tr>
      <w:tr w14:paraId="122BE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72" w:type="pct"/>
            <w:vMerge w:val="continue"/>
            <w:noWrap w:val="0"/>
            <w:vAlign w:val="center"/>
          </w:tcPr>
          <w:p w14:paraId="646F4D2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p>
        </w:tc>
        <w:tc>
          <w:tcPr>
            <w:tcW w:w="977" w:type="pct"/>
            <w:noWrap w:val="0"/>
            <w:vAlign w:val="center"/>
          </w:tcPr>
          <w:p w14:paraId="095EF9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r>
              <w:rPr>
                <w:b/>
                <w:bCs/>
                <w:u w:val="single"/>
                <w:lang w:eastAsia="en-US"/>
              </w:rPr>
              <w:t>应急事故水池</w:t>
            </w:r>
          </w:p>
        </w:tc>
        <w:tc>
          <w:tcPr>
            <w:tcW w:w="3002" w:type="pct"/>
            <w:noWrap w:val="0"/>
            <w:vAlign w:val="center"/>
          </w:tcPr>
          <w:p w14:paraId="7AACE74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1座，</w:t>
            </w:r>
            <w:r>
              <w:rPr>
                <w:rFonts w:hint="eastAsia"/>
                <w:b/>
                <w:bCs/>
                <w:u w:val="single"/>
              </w:rPr>
              <w:t>10</w:t>
            </w:r>
            <w:r>
              <w:rPr>
                <w:b/>
                <w:bCs/>
                <w:u w:val="single"/>
              </w:rPr>
              <w:t>00m</w:t>
            </w:r>
            <w:r>
              <w:rPr>
                <w:b/>
                <w:bCs/>
                <w:u w:val="single"/>
                <w:vertAlign w:val="superscript"/>
              </w:rPr>
              <w:t>3</w:t>
            </w:r>
            <w:r>
              <w:rPr>
                <w:b/>
                <w:bCs/>
                <w:sz w:val="13"/>
                <w:szCs w:val="13"/>
                <w:u w:val="single"/>
              </w:rPr>
              <w:t xml:space="preserve"> </w:t>
            </w:r>
          </w:p>
        </w:tc>
        <w:tc>
          <w:tcPr>
            <w:tcW w:w="547" w:type="pct"/>
            <w:noWrap w:val="0"/>
            <w:vAlign w:val="center"/>
          </w:tcPr>
          <w:p w14:paraId="52FC1BE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r>
              <w:rPr>
                <w:b/>
                <w:bCs/>
                <w:u w:val="single"/>
                <w:lang w:eastAsia="en-US"/>
              </w:rPr>
              <w:t>现有</w:t>
            </w:r>
          </w:p>
        </w:tc>
      </w:tr>
    </w:tbl>
    <w:p w14:paraId="7BD44767">
      <w:pPr>
        <w:pStyle w:val="101"/>
        <w:rPr>
          <w:rFonts w:hint="eastAsia"/>
          <w:b/>
          <w:bCs/>
          <w:u w:val="single"/>
        </w:rPr>
      </w:pPr>
      <w:r>
        <w:rPr>
          <w:rFonts w:hint="eastAsia"/>
          <w:b/>
          <w:bCs/>
          <w:u w:val="single"/>
        </w:rPr>
        <w:t>建设项目环境风险简单分析内容汇总表如下：</w:t>
      </w:r>
    </w:p>
    <w:p w14:paraId="1253507A">
      <w:pPr>
        <w:pStyle w:val="10"/>
        <w:bidi w:val="0"/>
        <w:rPr>
          <w:b/>
          <w:bCs/>
          <w:u w:val="single"/>
        </w:rPr>
      </w:pPr>
      <w:r>
        <w:rPr>
          <w:b/>
          <w:bCs/>
          <w:u w:val="single"/>
        </w:rPr>
        <w:t xml:space="preserve">表 </w:t>
      </w:r>
      <w:r>
        <w:rPr>
          <w:b/>
          <w:bCs/>
          <w:u w:val="single"/>
        </w:rPr>
        <w:fldChar w:fldCharType="begin"/>
      </w:r>
      <w:r>
        <w:rPr>
          <w:b/>
          <w:bCs/>
          <w:u w:val="single"/>
        </w:rPr>
        <w:instrText xml:space="preserve"> STYLEREF 2 \s </w:instrText>
      </w:r>
      <w:r>
        <w:rPr>
          <w:b/>
          <w:bCs/>
          <w:u w:val="single"/>
        </w:rPr>
        <w:fldChar w:fldCharType="separate"/>
      </w:r>
      <w:r>
        <w:rPr>
          <w:b/>
          <w:bCs/>
          <w:u w:val="single"/>
        </w:rPr>
        <w:t>6.8</w:t>
      </w:r>
      <w:r>
        <w:rPr>
          <w:b/>
          <w:bCs/>
          <w:u w:val="single"/>
        </w:rPr>
        <w:fldChar w:fldCharType="end"/>
      </w:r>
      <w:r>
        <w:rPr>
          <w:rFonts w:hint="eastAsia"/>
          <w:b/>
          <w:bCs/>
          <w:u w:val="single"/>
          <w:lang w:eastAsia="zh-CN"/>
        </w:rPr>
        <w:t>-</w:t>
      </w:r>
      <w:r>
        <w:rPr>
          <w:b/>
          <w:bCs/>
          <w:u w:val="single"/>
        </w:rPr>
        <w:fldChar w:fldCharType="begin"/>
      </w:r>
      <w:r>
        <w:rPr>
          <w:b/>
          <w:bCs/>
          <w:u w:val="single"/>
        </w:rPr>
        <w:instrText xml:space="preserve"> SEQ 表 \* ARABIC \s 2 </w:instrText>
      </w:r>
      <w:r>
        <w:rPr>
          <w:b/>
          <w:bCs/>
          <w:u w:val="single"/>
        </w:rPr>
        <w:fldChar w:fldCharType="separate"/>
      </w:r>
      <w:r>
        <w:rPr>
          <w:b/>
          <w:bCs/>
          <w:u w:val="single"/>
        </w:rPr>
        <w:t>13</w:t>
      </w:r>
      <w:r>
        <w:rPr>
          <w:b/>
          <w:bCs/>
          <w:u w:val="single"/>
        </w:rPr>
        <w:fldChar w:fldCharType="end"/>
      </w:r>
      <w:r>
        <w:rPr>
          <w:rFonts w:hint="eastAsia"/>
          <w:b/>
          <w:bCs/>
          <w:u w:val="single"/>
          <w:lang w:val="en-US" w:eastAsia="zh-CN"/>
        </w:rPr>
        <w:t xml:space="preserve"> </w:t>
      </w:r>
      <w:r>
        <w:rPr>
          <w:rFonts w:hint="eastAsia"/>
          <w:b/>
          <w:bCs/>
          <w:u w:val="single"/>
        </w:rPr>
        <w:t>建设项目环境风险简单分析内容表</w:t>
      </w:r>
    </w:p>
    <w:tbl>
      <w:tblPr>
        <w:tblStyle w:val="31"/>
        <w:tblW w:w="5000" w:type="pct"/>
        <w:tblInd w:w="-5" w:type="dxa"/>
        <w:tblLayout w:type="autofit"/>
        <w:tblCellMar>
          <w:top w:w="0" w:type="dxa"/>
          <w:left w:w="0" w:type="dxa"/>
          <w:bottom w:w="0" w:type="dxa"/>
          <w:right w:w="0" w:type="dxa"/>
        </w:tblCellMar>
      </w:tblPr>
      <w:tblGrid>
        <w:gridCol w:w="1989"/>
        <w:gridCol w:w="6328"/>
      </w:tblGrid>
      <w:tr w14:paraId="572A2780">
        <w:tblPrEx>
          <w:tblCellMar>
            <w:top w:w="0" w:type="dxa"/>
            <w:left w:w="0" w:type="dxa"/>
            <w:bottom w:w="0" w:type="dxa"/>
            <w:right w:w="0" w:type="dxa"/>
          </w:tblCellMar>
        </w:tblPrEx>
        <w:trPr>
          <w:trHeight w:val="397" w:hRule="atLeast"/>
        </w:trPr>
        <w:tc>
          <w:tcPr>
            <w:tcW w:w="1196" w:type="pct"/>
            <w:tcBorders>
              <w:top w:val="single" w:color="000000" w:sz="4" w:space="0"/>
              <w:left w:val="single" w:color="000000" w:sz="4" w:space="0"/>
              <w:bottom w:val="single" w:color="000000" w:sz="4" w:space="0"/>
              <w:right w:val="single" w:color="000000" w:sz="4" w:space="0"/>
            </w:tcBorders>
            <w:noWrap w:val="0"/>
            <w:vAlign w:val="center"/>
          </w:tcPr>
          <w:p w14:paraId="200D3049">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r>
              <w:rPr>
                <w:b/>
                <w:bCs/>
                <w:u w:val="single"/>
                <w:lang w:eastAsia="en-US"/>
              </w:rPr>
              <w:t>建设项目名称</w:t>
            </w:r>
          </w:p>
        </w:tc>
        <w:tc>
          <w:tcPr>
            <w:tcW w:w="3804" w:type="pct"/>
            <w:tcBorders>
              <w:top w:val="single" w:color="000000" w:sz="4" w:space="0"/>
              <w:left w:val="single" w:color="000000" w:sz="4" w:space="0"/>
              <w:bottom w:val="single" w:color="000000" w:sz="4" w:space="0"/>
              <w:right w:val="single" w:color="000000" w:sz="4" w:space="0"/>
            </w:tcBorders>
            <w:noWrap w:val="0"/>
            <w:vAlign w:val="center"/>
          </w:tcPr>
          <w:p w14:paraId="5E91217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新乡化纤股份有限公司年产1000吨DT溶剂法再生纤维素纤维中试研发项目</w:t>
            </w:r>
          </w:p>
        </w:tc>
      </w:tr>
      <w:tr w14:paraId="292C2E31">
        <w:tblPrEx>
          <w:tblCellMar>
            <w:top w:w="0" w:type="dxa"/>
            <w:left w:w="0" w:type="dxa"/>
            <w:bottom w:w="0" w:type="dxa"/>
            <w:right w:w="0" w:type="dxa"/>
          </w:tblCellMar>
        </w:tblPrEx>
        <w:trPr>
          <w:trHeight w:val="397" w:hRule="atLeast"/>
        </w:trPr>
        <w:tc>
          <w:tcPr>
            <w:tcW w:w="1196" w:type="pct"/>
            <w:tcBorders>
              <w:top w:val="single" w:color="000000" w:sz="4" w:space="0"/>
              <w:left w:val="single" w:color="000000" w:sz="4" w:space="0"/>
              <w:bottom w:val="single" w:color="000000" w:sz="4" w:space="0"/>
              <w:right w:val="single" w:color="000000" w:sz="4" w:space="0"/>
            </w:tcBorders>
            <w:noWrap w:val="0"/>
            <w:vAlign w:val="center"/>
          </w:tcPr>
          <w:p w14:paraId="14F956F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r>
              <w:rPr>
                <w:b/>
                <w:bCs/>
                <w:u w:val="single"/>
                <w:lang w:eastAsia="en-US"/>
              </w:rPr>
              <w:t>建设地点</w:t>
            </w:r>
          </w:p>
        </w:tc>
        <w:tc>
          <w:tcPr>
            <w:tcW w:w="3804" w:type="pct"/>
            <w:tcBorders>
              <w:top w:val="single" w:color="000000" w:sz="4" w:space="0"/>
              <w:left w:val="single" w:color="000000" w:sz="4" w:space="0"/>
              <w:bottom w:val="single" w:color="000000" w:sz="4" w:space="0"/>
              <w:right w:val="single" w:color="000000" w:sz="4" w:space="0"/>
            </w:tcBorders>
            <w:noWrap w:val="0"/>
            <w:vAlign w:val="center"/>
          </w:tcPr>
          <w:p w14:paraId="38065B1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rFonts w:hint="eastAsia"/>
                <w:b/>
                <w:bCs/>
                <w:u w:val="single"/>
              </w:rPr>
              <w:t>河南</w:t>
            </w:r>
            <w:r>
              <w:rPr>
                <w:b/>
                <w:bCs/>
                <w:u w:val="single"/>
              </w:rPr>
              <w:t>省新乡市经开区新乡化纤股份有限公司厂区内</w:t>
            </w:r>
          </w:p>
        </w:tc>
      </w:tr>
      <w:tr w14:paraId="704A1EF2">
        <w:tblPrEx>
          <w:tblCellMar>
            <w:top w:w="0" w:type="dxa"/>
            <w:left w:w="0" w:type="dxa"/>
            <w:bottom w:w="0" w:type="dxa"/>
            <w:right w:w="0" w:type="dxa"/>
          </w:tblCellMar>
        </w:tblPrEx>
        <w:trPr>
          <w:trHeight w:val="397" w:hRule="atLeast"/>
        </w:trPr>
        <w:tc>
          <w:tcPr>
            <w:tcW w:w="1196" w:type="pct"/>
            <w:tcBorders>
              <w:top w:val="single" w:color="000000" w:sz="4" w:space="0"/>
              <w:left w:val="single" w:color="000000" w:sz="4" w:space="0"/>
              <w:bottom w:val="single" w:color="000000" w:sz="4" w:space="0"/>
              <w:right w:val="single" w:color="000000" w:sz="4" w:space="0"/>
            </w:tcBorders>
            <w:noWrap w:val="0"/>
            <w:vAlign w:val="center"/>
          </w:tcPr>
          <w:p w14:paraId="273C233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r>
              <w:rPr>
                <w:b/>
                <w:bCs/>
                <w:u w:val="single"/>
                <w:lang w:eastAsia="en-US"/>
              </w:rPr>
              <w:t>地理坐标</w:t>
            </w:r>
          </w:p>
        </w:tc>
        <w:tc>
          <w:tcPr>
            <w:tcW w:w="3804" w:type="pct"/>
            <w:tcBorders>
              <w:top w:val="single" w:color="000000" w:sz="4" w:space="0"/>
              <w:left w:val="single" w:color="000000" w:sz="4" w:space="0"/>
              <w:bottom w:val="single" w:color="000000" w:sz="4" w:space="0"/>
              <w:right w:val="single" w:color="000000" w:sz="4" w:space="0"/>
            </w:tcBorders>
            <w:noWrap w:val="0"/>
            <w:vAlign w:val="center"/>
          </w:tcPr>
          <w:p w14:paraId="1D0126D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rFonts w:hint="eastAsia"/>
                <w:b/>
                <w:bCs/>
                <w:u w:val="single"/>
              </w:rPr>
            </w:pPr>
            <w:r>
              <w:rPr>
                <w:b/>
                <w:bCs/>
                <w:u w:val="single"/>
                <w:lang w:eastAsia="en-US"/>
              </w:rPr>
              <w:t>114.05</w:t>
            </w:r>
            <w:r>
              <w:rPr>
                <w:rFonts w:hint="eastAsia" w:eastAsia="宋体"/>
                <w:b/>
                <w:bCs/>
                <w:u w:val="single"/>
                <w:lang w:val="en-US" w:eastAsia="zh-CN"/>
              </w:rPr>
              <w:t>89</w:t>
            </w:r>
            <w:r>
              <w:rPr>
                <w:b/>
                <w:bCs/>
                <w:u w:val="single"/>
                <w:lang w:eastAsia="en-US"/>
              </w:rPr>
              <w:t>70</w:t>
            </w:r>
            <w:r>
              <w:rPr>
                <w:b/>
                <w:bCs/>
                <w:u w:val="single"/>
              </w:rPr>
              <w:t>°</w:t>
            </w:r>
            <w:r>
              <w:rPr>
                <w:rFonts w:hint="eastAsia"/>
                <w:b/>
                <w:bCs/>
                <w:u w:val="single"/>
              </w:rPr>
              <w:t>E，</w:t>
            </w:r>
            <w:r>
              <w:rPr>
                <w:b/>
                <w:bCs/>
                <w:u w:val="single"/>
                <w:lang w:eastAsia="en-US"/>
              </w:rPr>
              <w:t>35.2784</w:t>
            </w:r>
            <w:r>
              <w:rPr>
                <w:rFonts w:hint="eastAsia" w:eastAsia="宋体"/>
                <w:b/>
                <w:bCs/>
                <w:u w:val="single"/>
                <w:lang w:val="en-US" w:eastAsia="zh-CN"/>
              </w:rPr>
              <w:t>71</w:t>
            </w:r>
            <w:r>
              <w:rPr>
                <w:b/>
                <w:bCs/>
                <w:u w:val="single"/>
                <w:lang w:eastAsia="en-US"/>
              </w:rPr>
              <w:t>°</w:t>
            </w:r>
            <w:r>
              <w:rPr>
                <w:rFonts w:hint="eastAsia"/>
                <w:b/>
                <w:bCs/>
                <w:u w:val="single"/>
              </w:rPr>
              <w:t>N</w:t>
            </w:r>
          </w:p>
        </w:tc>
      </w:tr>
      <w:tr w14:paraId="29819440">
        <w:tblPrEx>
          <w:tblCellMar>
            <w:top w:w="0" w:type="dxa"/>
            <w:left w:w="0" w:type="dxa"/>
            <w:bottom w:w="0" w:type="dxa"/>
            <w:right w:w="0" w:type="dxa"/>
          </w:tblCellMar>
        </w:tblPrEx>
        <w:trPr>
          <w:trHeight w:val="397" w:hRule="atLeast"/>
        </w:trPr>
        <w:tc>
          <w:tcPr>
            <w:tcW w:w="1196" w:type="pct"/>
            <w:tcBorders>
              <w:top w:val="single" w:color="000000" w:sz="4" w:space="0"/>
              <w:left w:val="single" w:color="000000" w:sz="4" w:space="0"/>
              <w:bottom w:val="single" w:color="000000" w:sz="4" w:space="0"/>
              <w:right w:val="single" w:color="000000" w:sz="4" w:space="0"/>
            </w:tcBorders>
            <w:noWrap w:val="0"/>
            <w:vAlign w:val="center"/>
          </w:tcPr>
          <w:p w14:paraId="4CDFEC1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r>
              <w:rPr>
                <w:b/>
                <w:bCs/>
                <w:u w:val="single"/>
                <w:lang w:eastAsia="en-US"/>
              </w:rPr>
              <w:t>主要危险物质分布</w:t>
            </w:r>
          </w:p>
        </w:tc>
        <w:tc>
          <w:tcPr>
            <w:tcW w:w="3804" w:type="pct"/>
            <w:tcBorders>
              <w:top w:val="single" w:color="000000" w:sz="4" w:space="0"/>
              <w:left w:val="single" w:color="000000" w:sz="4" w:space="0"/>
              <w:bottom w:val="single" w:color="000000" w:sz="4" w:space="0"/>
              <w:right w:val="single" w:color="000000" w:sz="4" w:space="0"/>
            </w:tcBorders>
            <w:noWrap w:val="0"/>
            <w:vAlign w:val="center"/>
          </w:tcPr>
          <w:p w14:paraId="34C9EA38">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rPr>
            </w:pPr>
            <w:r>
              <w:rPr>
                <w:b/>
                <w:bCs/>
                <w:u w:val="single"/>
              </w:rPr>
              <w:t>生产车间：纺丝油剂；</w:t>
            </w:r>
          </w:p>
        </w:tc>
      </w:tr>
      <w:tr w14:paraId="43805578">
        <w:tblPrEx>
          <w:tblCellMar>
            <w:top w:w="0" w:type="dxa"/>
            <w:left w:w="0" w:type="dxa"/>
            <w:bottom w:w="0" w:type="dxa"/>
            <w:right w:w="0" w:type="dxa"/>
          </w:tblCellMar>
        </w:tblPrEx>
        <w:trPr>
          <w:trHeight w:val="397" w:hRule="atLeast"/>
        </w:trPr>
        <w:tc>
          <w:tcPr>
            <w:tcW w:w="1196" w:type="pct"/>
            <w:tcBorders>
              <w:top w:val="single" w:color="000000" w:sz="4" w:space="0"/>
              <w:left w:val="single" w:color="000000" w:sz="4" w:space="0"/>
              <w:bottom w:val="single" w:color="000000" w:sz="4" w:space="0"/>
              <w:right w:val="single" w:color="000000" w:sz="4" w:space="0"/>
            </w:tcBorders>
            <w:noWrap w:val="0"/>
            <w:vAlign w:val="center"/>
          </w:tcPr>
          <w:p w14:paraId="1F9652D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r>
              <w:rPr>
                <w:b/>
                <w:bCs/>
                <w:u w:val="single"/>
                <w:lang w:eastAsia="en-US"/>
              </w:rPr>
              <w:t>影响途径及危害后果</w:t>
            </w:r>
          </w:p>
        </w:tc>
        <w:tc>
          <w:tcPr>
            <w:tcW w:w="3804" w:type="pct"/>
            <w:tcBorders>
              <w:top w:val="single" w:color="000000" w:sz="4" w:space="0"/>
              <w:left w:val="single" w:color="000000" w:sz="4" w:space="0"/>
              <w:bottom w:val="single" w:color="000000" w:sz="4" w:space="0"/>
              <w:right w:val="single" w:color="000000" w:sz="4" w:space="0"/>
            </w:tcBorders>
            <w:noWrap w:val="0"/>
            <w:vAlign w:val="center"/>
          </w:tcPr>
          <w:p w14:paraId="27196011">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left"/>
              <w:textAlignment w:val="auto"/>
              <w:rPr>
                <w:b/>
                <w:bCs/>
                <w:u w:val="single"/>
              </w:rPr>
            </w:pPr>
            <w:r>
              <w:rPr>
                <w:rFonts w:hint="eastAsia"/>
                <w:b/>
                <w:bCs/>
                <w:u w:val="single"/>
              </w:rPr>
              <w:t>车间使用纺丝油剂为桶装，在物料装卸及使用过程中，如管理、操作不当，就可能会发生泄漏，引发地下水及土壤环境污染。</w:t>
            </w:r>
          </w:p>
        </w:tc>
      </w:tr>
      <w:tr w14:paraId="5329A8ED">
        <w:tblPrEx>
          <w:tblCellMar>
            <w:top w:w="0" w:type="dxa"/>
            <w:left w:w="0" w:type="dxa"/>
            <w:bottom w:w="0" w:type="dxa"/>
            <w:right w:w="0" w:type="dxa"/>
          </w:tblCellMar>
        </w:tblPrEx>
        <w:trPr>
          <w:trHeight w:val="397" w:hRule="atLeast"/>
        </w:trPr>
        <w:tc>
          <w:tcPr>
            <w:tcW w:w="1196" w:type="pct"/>
            <w:tcBorders>
              <w:top w:val="single" w:color="000000" w:sz="4" w:space="0"/>
              <w:left w:val="single" w:color="000000" w:sz="4" w:space="0"/>
              <w:bottom w:val="single" w:color="000000" w:sz="4" w:space="0"/>
              <w:right w:val="single" w:color="000000" w:sz="4" w:space="0"/>
            </w:tcBorders>
            <w:noWrap w:val="0"/>
            <w:vAlign w:val="center"/>
          </w:tcPr>
          <w:p w14:paraId="314717C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b/>
                <w:bCs/>
                <w:u w:val="single"/>
                <w:lang w:eastAsia="en-US"/>
              </w:rPr>
            </w:pPr>
            <w:r>
              <w:rPr>
                <w:b/>
                <w:bCs/>
                <w:u w:val="single"/>
                <w:lang w:eastAsia="en-US"/>
              </w:rPr>
              <w:t>风险防范措施要求</w:t>
            </w:r>
          </w:p>
        </w:tc>
        <w:tc>
          <w:tcPr>
            <w:tcW w:w="3804" w:type="pct"/>
            <w:tcBorders>
              <w:top w:val="single" w:color="000000" w:sz="4" w:space="0"/>
              <w:left w:val="single" w:color="000000" w:sz="4" w:space="0"/>
              <w:bottom w:val="single" w:color="000000" w:sz="4" w:space="0"/>
              <w:right w:val="single" w:color="000000" w:sz="4" w:space="0"/>
            </w:tcBorders>
            <w:noWrap w:val="0"/>
            <w:vAlign w:val="center"/>
          </w:tcPr>
          <w:p w14:paraId="65C875C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left"/>
              <w:textAlignment w:val="auto"/>
              <w:rPr>
                <w:rFonts w:hint="eastAsia"/>
                <w:b/>
                <w:bCs/>
                <w:u w:val="single"/>
              </w:rPr>
            </w:pPr>
            <w:r>
              <w:rPr>
                <w:rFonts w:hint="eastAsia"/>
                <w:b/>
                <w:bCs/>
                <w:u w:val="single"/>
              </w:rPr>
              <w:t>生产车间</w:t>
            </w:r>
            <w:r>
              <w:rPr>
                <w:rFonts w:hint="eastAsia" w:eastAsia="宋体"/>
                <w:b/>
                <w:bCs/>
                <w:u w:val="single"/>
                <w:lang w:val="en-US" w:eastAsia="zh-CN"/>
              </w:rPr>
              <w:t>已</w:t>
            </w:r>
            <w:r>
              <w:rPr>
                <w:rFonts w:hint="eastAsia"/>
                <w:b/>
                <w:bCs/>
                <w:u w:val="single"/>
              </w:rPr>
              <w:t xml:space="preserve">按要求进行分区防渗，并设置导流、收集设施。 </w:t>
            </w:r>
          </w:p>
          <w:p w14:paraId="5D724757">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left"/>
              <w:textAlignment w:val="auto"/>
              <w:rPr>
                <w:b/>
                <w:bCs/>
                <w:u w:val="single"/>
              </w:rPr>
            </w:pPr>
            <w:r>
              <w:rPr>
                <w:rFonts w:hint="eastAsia"/>
                <w:b/>
                <w:bCs/>
                <w:u w:val="single"/>
              </w:rPr>
              <w:t>设置事故池1座，并按要求防渗。</w:t>
            </w:r>
          </w:p>
        </w:tc>
      </w:tr>
    </w:tbl>
    <w:p w14:paraId="0197D132">
      <w:pPr>
        <w:pStyle w:val="5"/>
        <w:bidi w:val="0"/>
        <w:rPr>
          <w:color w:val="auto"/>
        </w:rPr>
      </w:pPr>
      <w:r>
        <w:rPr>
          <w:rFonts w:hint="eastAsia"/>
          <w:color w:val="auto"/>
          <w:lang w:val="en-US" w:eastAsia="zh-CN"/>
        </w:rPr>
        <w:t>企业现有工程风险防范措施</w:t>
      </w:r>
    </w:p>
    <w:p w14:paraId="246F7F9A">
      <w:pPr>
        <w:ind w:firstLine="0"/>
        <w:rPr>
          <w:rFonts w:hint="eastAsia" w:ascii="宋体" w:hAnsi="宋体" w:eastAsia="宋体" w:cs="宋体"/>
          <w:b/>
          <w:bCs/>
          <w:color w:val="auto"/>
          <w:u w:val="single"/>
          <w:lang w:eastAsia="zh-CN"/>
        </w:rPr>
      </w:pPr>
      <w:r>
        <w:rPr>
          <w:rFonts w:hint="eastAsia" w:ascii="宋体" w:hAnsi="宋体" w:eastAsia="宋体" w:cs="宋体"/>
          <w:b/>
          <w:bCs/>
          <w:color w:val="auto"/>
          <w:u w:val="single"/>
          <w:lang w:val="en-US" w:eastAsia="zh-CN"/>
        </w:rPr>
        <w:t>根据企业现有2023年突发环境事件应急预案得：</w:t>
      </w:r>
      <w:r>
        <w:rPr>
          <w:rFonts w:hint="eastAsia" w:ascii="宋体" w:hAnsi="宋体" w:eastAsia="宋体" w:cs="宋体"/>
          <w:b/>
          <w:bCs/>
          <w:color w:val="auto"/>
          <w:u w:val="single"/>
        </w:rPr>
        <w:t>企业环境风险防控与应急措施情况对照《企业突发环境事件风险评估指南（试行）》附录 A，从生产装置、储运系统、公用系统、辅助生产设施及环境保护设施方面评估企业涉及环境风险物质的环境风险单元及其环境风险防控措施的实施和日常管理情况，</w:t>
      </w:r>
      <w:r>
        <w:rPr>
          <w:rFonts w:hint="eastAsia" w:ascii="宋体" w:hAnsi="宋体" w:eastAsia="宋体" w:cs="宋体"/>
          <w:b/>
          <w:bCs/>
          <w:color w:val="auto"/>
          <w:u w:val="single"/>
          <w:lang w:val="en-US" w:eastAsia="zh-CN"/>
        </w:rPr>
        <w:t>如下</w:t>
      </w:r>
      <w:r>
        <w:rPr>
          <w:rFonts w:hint="eastAsia" w:ascii="宋体" w:hAnsi="宋体" w:eastAsia="宋体" w:cs="宋体"/>
          <w:b/>
          <w:bCs/>
          <w:color w:val="auto"/>
          <w:u w:val="single"/>
          <w:lang w:eastAsia="zh-CN"/>
        </w:rPr>
        <w:t>：</w:t>
      </w:r>
    </w:p>
    <w:p w14:paraId="5AD29E29">
      <w:pPr>
        <w:ind w:firstLine="0"/>
        <w:rPr>
          <w:rFonts w:hint="eastAsia" w:ascii="宋体" w:hAnsi="宋体" w:eastAsia="宋体" w:cs="宋体"/>
          <w:b/>
          <w:bCs/>
          <w:color w:val="auto"/>
          <w:u w:val="single"/>
          <w:lang w:val="en-US" w:eastAsia="zh-CN"/>
        </w:rPr>
      </w:pPr>
      <w:r>
        <w:rPr>
          <w:rFonts w:hint="eastAsia" w:ascii="宋体" w:hAnsi="宋体" w:eastAsia="宋体" w:cs="宋体"/>
          <w:b/>
          <w:bCs/>
          <w:color w:val="auto"/>
          <w:u w:val="single"/>
          <w:lang w:val="en-US" w:eastAsia="zh-CN"/>
        </w:rPr>
        <w:t>1.废水各处理工艺池、事故应急池设防渗漏、防腐蚀、防淋溶、防流失措施，初期雨水收集池设置防渗漏措施，固废堆场防渗漏、防腐蚀、防淋溶、防流失措施，周围设置导流沟道；储罐区设置围堰，正常情况下处于关闭状态，若发生泄漏，产生的废水污染物经导流沟道排至事故应急池；以上各设施有专人负责检查、维护，保证紧急情况下能立即投入使用。</w:t>
      </w:r>
    </w:p>
    <w:p w14:paraId="185F1C7F">
      <w:pPr>
        <w:ind w:firstLine="0"/>
        <w:rPr>
          <w:rFonts w:hint="eastAsia" w:ascii="宋体" w:hAnsi="宋体" w:eastAsia="宋体" w:cs="宋体"/>
          <w:b/>
          <w:bCs/>
          <w:color w:val="auto"/>
          <w:u w:val="single"/>
          <w:lang w:val="en-US" w:eastAsia="zh-CN"/>
        </w:rPr>
      </w:pPr>
      <w:r>
        <w:rPr>
          <w:rFonts w:hint="eastAsia" w:ascii="宋体" w:hAnsi="宋体" w:eastAsia="宋体" w:cs="宋体"/>
          <w:b/>
          <w:bCs/>
          <w:color w:val="auto"/>
          <w:u w:val="single"/>
          <w:lang w:val="en-US" w:eastAsia="zh-CN"/>
        </w:rPr>
        <w:t>2.企业厂区内有污水处理站，配套有事故应急池；雨水经雨水沟道排入厂区污水处理站；厂内污水处理工艺、设备均能满足非正常状态下符合要求，厂内事故废水通过提升泵或自流方式送至事故应急池。</w:t>
      </w:r>
    </w:p>
    <w:p w14:paraId="521523C2">
      <w:pPr>
        <w:ind w:firstLine="0"/>
        <w:rPr>
          <w:rFonts w:hint="eastAsia" w:ascii="宋体" w:hAnsi="宋体" w:eastAsia="宋体" w:cs="宋体"/>
          <w:b/>
          <w:bCs/>
          <w:color w:val="auto"/>
          <w:u w:val="single"/>
          <w:lang w:val="en-US" w:eastAsia="zh-CN"/>
        </w:rPr>
      </w:pPr>
      <w:r>
        <w:rPr>
          <w:rFonts w:hint="eastAsia" w:ascii="宋体" w:hAnsi="宋体" w:eastAsia="宋体" w:cs="宋体"/>
          <w:b/>
          <w:bCs/>
          <w:color w:val="auto"/>
          <w:u w:val="single"/>
          <w:lang w:val="en-US" w:eastAsia="zh-CN"/>
        </w:rPr>
        <w:t>3.厂内事故应急池用于收集受污染的初期雨水和消防水功能的清净下水，池内日常保持足够的事故排水缓冲容量，由提升泵能将事故池中污水送至场内污水处理设施处理，总排口有监视及关闭设施，有专人负责在紧急情况下关闭清净下水总排口，防止受污染的雨水、清净下水、消防水和泄漏物进入外环境。</w:t>
      </w:r>
    </w:p>
    <w:p w14:paraId="6CEEFF79">
      <w:pPr>
        <w:ind w:firstLine="0"/>
        <w:rPr>
          <w:rFonts w:hint="eastAsia" w:ascii="宋体" w:hAnsi="宋体" w:eastAsia="宋体" w:cs="宋体"/>
          <w:b/>
          <w:bCs/>
          <w:color w:val="auto"/>
          <w:u w:val="single"/>
          <w:lang w:val="en-US" w:eastAsia="zh-CN"/>
        </w:rPr>
      </w:pPr>
      <w:r>
        <w:rPr>
          <w:rFonts w:hint="eastAsia" w:ascii="宋体" w:hAnsi="宋体" w:eastAsia="宋体" w:cs="宋体"/>
          <w:b/>
          <w:bCs/>
          <w:color w:val="auto"/>
          <w:u w:val="single"/>
          <w:lang w:val="en-US" w:eastAsia="zh-CN"/>
        </w:rPr>
        <w:t>4.厂区内雨水均进入污水处理站，经过一系列处理，达到排放标准后排放。</w:t>
      </w:r>
    </w:p>
    <w:p w14:paraId="6A73C89D">
      <w:pPr>
        <w:ind w:firstLine="0"/>
        <w:rPr>
          <w:rFonts w:hint="eastAsia" w:ascii="宋体" w:hAnsi="宋体" w:eastAsia="宋体" w:cs="宋体"/>
          <w:b/>
          <w:bCs/>
          <w:color w:val="auto"/>
          <w:u w:val="single"/>
          <w:lang w:val="en-US" w:eastAsia="zh-CN"/>
        </w:rPr>
      </w:pPr>
      <w:r>
        <w:rPr>
          <w:rFonts w:hint="eastAsia" w:ascii="宋体" w:hAnsi="宋体" w:eastAsia="宋体" w:cs="宋体"/>
          <w:b/>
          <w:bCs/>
          <w:color w:val="auto"/>
          <w:u w:val="single"/>
          <w:lang w:val="en-US" w:eastAsia="zh-CN"/>
        </w:rPr>
        <w:t>5.企业涉及的有毒有害气体为二硫化碳，二硫化碳密度比水大，因此储罐都在地下，用水封，灌区有气体泄漏报警仪，罐上有压力表、流量计，一旦发现泄漏能及时发现，泄露的二硫化碳在水中，不会逸散至空气中，待后续处理。</w:t>
      </w:r>
    </w:p>
    <w:p w14:paraId="436F0F61">
      <w:pPr>
        <w:ind w:firstLine="0"/>
        <w:rPr>
          <w:rFonts w:hint="eastAsia" w:ascii="宋体" w:hAnsi="宋体" w:eastAsia="宋体" w:cs="宋体"/>
          <w:b/>
          <w:bCs/>
          <w:color w:val="auto"/>
          <w:u w:val="single"/>
          <w:lang w:val="en-US" w:eastAsia="zh-CN"/>
        </w:rPr>
      </w:pPr>
      <w:r>
        <w:rPr>
          <w:rFonts w:hint="eastAsia" w:ascii="宋体" w:hAnsi="宋体" w:eastAsia="宋体" w:cs="宋体"/>
          <w:b/>
          <w:bCs/>
          <w:color w:val="auto"/>
          <w:u w:val="single"/>
          <w:lang w:val="en-US" w:eastAsia="zh-CN"/>
        </w:rPr>
        <w:t>6.企业每月对生产区进行有毒有害气体检测；每季度对厂界有毒有害气体检测。</w:t>
      </w:r>
    </w:p>
    <w:p w14:paraId="7E55BB21">
      <w:pPr>
        <w:ind w:firstLine="0"/>
        <w:rPr>
          <w:rFonts w:hint="default" w:ascii="宋体" w:hAnsi="宋体" w:eastAsia="宋体" w:cs="宋体"/>
          <w:b/>
          <w:bCs/>
          <w:color w:val="auto"/>
          <w:u w:val="single"/>
          <w:lang w:val="en-US" w:eastAsia="zh-CN"/>
        </w:rPr>
      </w:pPr>
      <w:r>
        <w:rPr>
          <w:rFonts w:hint="eastAsia" w:ascii="宋体" w:hAnsi="宋体" w:eastAsia="宋体" w:cs="宋体"/>
          <w:b/>
          <w:bCs/>
          <w:color w:val="auto"/>
          <w:u w:val="single"/>
          <w:lang w:val="en-US" w:eastAsia="zh-CN"/>
        </w:rPr>
        <w:t>7.各项环保设施均按环评及批复文件的要求落实。</w:t>
      </w:r>
    </w:p>
    <w:p w14:paraId="6C4E4FF7">
      <w:pPr>
        <w:pStyle w:val="5"/>
        <w:bidi w:val="0"/>
        <w:rPr>
          <w:color w:val="auto"/>
        </w:rPr>
      </w:pPr>
      <w:r>
        <w:rPr>
          <w:rFonts w:hint="eastAsia"/>
          <w:color w:val="auto"/>
        </w:rPr>
        <w:t>环境风险评价结论</w:t>
      </w:r>
    </w:p>
    <w:p w14:paraId="31DD4229">
      <w:pPr>
        <w:ind w:firstLine="0"/>
        <w:rPr>
          <w:color w:val="auto"/>
        </w:rPr>
      </w:pPr>
      <w:r>
        <w:rPr>
          <w:rFonts w:hint="eastAsia" w:ascii="宋体" w:hAnsi="宋体" w:eastAsia="宋体" w:cs="宋体"/>
          <w:b/>
          <w:bCs/>
          <w:color w:val="auto"/>
          <w:u w:val="single"/>
        </w:rPr>
        <w:t>本项目在生产及储运过程中涉及的主要物质为纺丝油剂，存在一定的环境风险，在按照环评提出的防范与防控措施后，项目环境风险是可防控的，从环境风险影响角度来看，本项目建设可行。</w:t>
      </w:r>
    </w:p>
    <w:p w14:paraId="6E8A7667">
      <w:pPr>
        <w:spacing w:line="240" w:lineRule="auto"/>
        <w:jc w:val="center"/>
        <w:rPr>
          <w:color w:val="auto"/>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14:paraId="20179DBC">
      <w:pPr>
        <w:pStyle w:val="2"/>
        <w:bidi w:val="0"/>
        <w:rPr>
          <w:color w:val="auto"/>
        </w:rPr>
      </w:pPr>
      <w:bookmarkStart w:id="282" w:name="_Toc324839578"/>
      <w:bookmarkStart w:id="283" w:name="_Toc67041064"/>
      <w:bookmarkStart w:id="284" w:name="_Toc311812653"/>
      <w:bookmarkStart w:id="285" w:name="_Toc30650"/>
      <w:bookmarkStart w:id="286" w:name="_Toc12129"/>
      <w:bookmarkStart w:id="287" w:name="_Toc5085"/>
      <w:bookmarkStart w:id="288" w:name="_Toc324839281"/>
      <w:bookmarkStart w:id="289" w:name="_Toc28866839"/>
      <w:r>
        <w:rPr>
          <w:color w:val="auto"/>
        </w:rPr>
        <w:t>环境保护措施及其可行性分析</w:t>
      </w:r>
      <w:bookmarkEnd w:id="282"/>
      <w:bookmarkEnd w:id="283"/>
      <w:bookmarkEnd w:id="284"/>
      <w:bookmarkEnd w:id="285"/>
      <w:bookmarkEnd w:id="286"/>
      <w:bookmarkEnd w:id="287"/>
      <w:bookmarkEnd w:id="288"/>
      <w:bookmarkEnd w:id="289"/>
    </w:p>
    <w:p w14:paraId="08879E28">
      <w:pPr>
        <w:pStyle w:val="3"/>
        <w:bidi w:val="0"/>
        <w:rPr>
          <w:color w:val="auto"/>
        </w:rPr>
      </w:pPr>
      <w:bookmarkStart w:id="290" w:name="_Toc758"/>
      <w:bookmarkStart w:id="291" w:name="_Toc84780770"/>
      <w:bookmarkStart w:id="292" w:name="_Toc28770"/>
      <w:bookmarkStart w:id="293" w:name="_Toc16192"/>
      <w:r>
        <w:rPr>
          <w:rFonts w:hint="eastAsia"/>
          <w:color w:val="auto"/>
        </w:rPr>
        <w:t>施工期治理措施分析</w:t>
      </w:r>
      <w:bookmarkEnd w:id="290"/>
    </w:p>
    <w:p w14:paraId="76DBE2FF">
      <w:pPr>
        <w:bidi w:val="0"/>
        <w:rPr>
          <w:color w:val="auto"/>
        </w:rPr>
      </w:pPr>
      <w:r>
        <w:rPr>
          <w:rFonts w:hint="eastAsia"/>
          <w:color w:val="auto"/>
        </w:rPr>
        <w:t>施工期排放的污染物主要是扬尘、废水、固废、噪声及水土流失，其特点是施工期较短，施工完成后随之消失。</w:t>
      </w:r>
    </w:p>
    <w:p w14:paraId="74EBA179">
      <w:pPr>
        <w:pStyle w:val="5"/>
        <w:bidi w:val="0"/>
        <w:rPr>
          <w:color w:val="auto"/>
        </w:rPr>
      </w:pPr>
      <w:r>
        <w:rPr>
          <w:rFonts w:hint="eastAsia"/>
          <w:color w:val="auto"/>
        </w:rPr>
        <w:t>施工期废气污染防治措施分析</w:t>
      </w:r>
    </w:p>
    <w:p w14:paraId="5CCFFAC3">
      <w:pPr>
        <w:bidi w:val="0"/>
        <w:rPr>
          <w:color w:val="auto"/>
        </w:rPr>
      </w:pPr>
      <w:r>
        <w:rPr>
          <w:rFonts w:hint="eastAsia"/>
          <w:color w:val="auto"/>
        </w:rPr>
        <w:t>施工期大气污染源主要为施工扬尘、施工机械和运输车辆排放的尾气。</w:t>
      </w:r>
    </w:p>
    <w:p w14:paraId="3C249FB8">
      <w:pPr>
        <w:bidi w:val="0"/>
        <w:rPr>
          <w:color w:val="auto"/>
        </w:rPr>
      </w:pPr>
      <w:r>
        <w:rPr>
          <w:rFonts w:hint="eastAsia"/>
          <w:color w:val="auto"/>
        </w:rPr>
        <w:t>（1）施工扬尘</w:t>
      </w:r>
    </w:p>
    <w:p w14:paraId="1DE7C5B4">
      <w:pPr>
        <w:bidi w:val="0"/>
        <w:rPr>
          <w:color w:val="auto"/>
        </w:rPr>
      </w:pPr>
      <w:r>
        <w:rPr>
          <w:rFonts w:hint="eastAsia"/>
          <w:color w:val="auto"/>
        </w:rPr>
        <w:t>在整个施工过程期间，施工产生的扬尘主要集中在土建施工阶段。扬尘的大小与施工现场条件、管理水平、施工季节及天气等诸多因素有关。施工期扬尘来源主要有以下几方面：</w:t>
      </w:r>
    </w:p>
    <w:p w14:paraId="53FE2545">
      <w:pPr>
        <w:bidi w:val="0"/>
        <w:rPr>
          <w:color w:val="auto"/>
        </w:rPr>
      </w:pPr>
      <w:r>
        <w:rPr>
          <w:rFonts w:hint="eastAsia"/>
          <w:color w:val="auto"/>
        </w:rPr>
        <w:t>土方挖掘、低洼处回填土时产生的扬尘；土方及建筑材料堆放过程产生的扬尘；施工垃圾的清理及堆放过程产生的扬尘；土方运输、建筑材料的运输途中产生的扬尘。施工扬尘的大小随施工季节、气象条件、工程内容和施工管理不同差别较大，影响范围可达100m～300m。因此，在建设期应对运输的道路及时清扫和浇水，并加强施工管理，控制施工期间的粉尘，避免对周围环境产生较大的影响。施工单位应加强管理，按进度、有计划地进行文明施工，并进一步采取以下措施：</w:t>
      </w:r>
    </w:p>
    <w:p w14:paraId="576F1156">
      <w:pPr>
        <w:bidi w:val="0"/>
        <w:rPr>
          <w:color w:val="auto"/>
        </w:rPr>
      </w:pPr>
      <w:r>
        <w:rPr>
          <w:rFonts w:hint="eastAsia"/>
          <w:color w:val="auto"/>
        </w:rPr>
        <w:t>1）施工区域四周建设2.5m高围挡，减少扬尘对周边环境敏感点的影响，围挡上方设置水雾降尘装置。</w:t>
      </w:r>
    </w:p>
    <w:p w14:paraId="52F776E7">
      <w:pPr>
        <w:bidi w:val="0"/>
        <w:rPr>
          <w:color w:val="auto"/>
        </w:rPr>
      </w:pPr>
      <w:r>
        <w:rPr>
          <w:rFonts w:hint="eastAsia"/>
          <w:color w:val="auto"/>
        </w:rPr>
        <w:t>2）严格控制车辆超载，尽量避免</w:t>
      </w:r>
      <w:r>
        <w:rPr>
          <w:rFonts w:hint="eastAsia"/>
          <w:color w:val="auto"/>
          <w:lang w:eastAsia="zh-CN"/>
        </w:rPr>
        <w:t>沙土撒漏</w:t>
      </w:r>
      <w:r>
        <w:rPr>
          <w:rFonts w:hint="eastAsia"/>
          <w:color w:val="auto"/>
        </w:rPr>
        <w:t>，减少二次扬尘产生的来源。</w:t>
      </w:r>
    </w:p>
    <w:p w14:paraId="5C077209">
      <w:pPr>
        <w:bidi w:val="0"/>
        <w:rPr>
          <w:color w:val="auto"/>
        </w:rPr>
      </w:pPr>
      <w:r>
        <w:rPr>
          <w:rFonts w:hint="eastAsia"/>
          <w:color w:val="auto"/>
        </w:rPr>
        <w:t>3）施工过程的渣土、垃圾、土堆必须有防尘措施并及时清运；建筑材料应存放在临时仓库内，或加盖苫布，防止风致扬尘。</w:t>
      </w:r>
    </w:p>
    <w:p w14:paraId="2E2E07F9">
      <w:pPr>
        <w:bidi w:val="0"/>
        <w:rPr>
          <w:color w:val="auto"/>
        </w:rPr>
      </w:pPr>
      <w:r>
        <w:rPr>
          <w:rFonts w:hint="eastAsia"/>
          <w:color w:val="auto"/>
        </w:rPr>
        <w:t>4）基建完成应及时清理和平整场地，并立即着手项目绿化工作，绿化应与主体工程同步设计、建设和验收。</w:t>
      </w:r>
    </w:p>
    <w:p w14:paraId="027EED3E">
      <w:pPr>
        <w:bidi w:val="0"/>
        <w:rPr>
          <w:color w:val="auto"/>
        </w:rPr>
      </w:pPr>
      <w:r>
        <w:rPr>
          <w:rFonts w:hint="eastAsia"/>
          <w:color w:val="auto"/>
        </w:rPr>
        <w:t>5）施工现场严禁焚烧各类废弃物。</w:t>
      </w:r>
    </w:p>
    <w:p w14:paraId="0C999EFE">
      <w:pPr>
        <w:bidi w:val="0"/>
        <w:rPr>
          <w:color w:val="auto"/>
        </w:rPr>
      </w:pPr>
      <w:r>
        <w:rPr>
          <w:color w:val="auto"/>
        </w:rPr>
        <w:t>6</w:t>
      </w:r>
      <w:r>
        <w:rPr>
          <w:rFonts w:hint="eastAsia"/>
          <w:color w:val="auto"/>
        </w:rPr>
        <w:t>）根据《新乡市人民政府办公室关于进一步加强大气污染防治工作持续改善大气环境质量的通知》（新政办明电</w:t>
      </w:r>
      <w:r>
        <w:rPr>
          <w:rFonts w:hint="eastAsia"/>
          <w:color w:val="auto"/>
          <w:lang w:eastAsia="zh-CN"/>
        </w:rPr>
        <w:t>〔</w:t>
      </w:r>
      <w:r>
        <w:rPr>
          <w:color w:val="auto"/>
        </w:rPr>
        <w:t>2015</w:t>
      </w:r>
      <w:r>
        <w:rPr>
          <w:rFonts w:hint="eastAsia"/>
          <w:color w:val="auto"/>
          <w:lang w:eastAsia="zh-CN"/>
        </w:rPr>
        <w:t>〕</w:t>
      </w:r>
      <w:r>
        <w:rPr>
          <w:color w:val="auto"/>
        </w:rPr>
        <w:t>422</w:t>
      </w:r>
      <w:r>
        <w:rPr>
          <w:rFonts w:hint="eastAsia"/>
          <w:color w:val="auto"/>
        </w:rPr>
        <w:t>号文），建设单位应积极推进绿色工地创建，实施施工工地封闭管理，做到七个</w:t>
      </w:r>
      <w:r>
        <w:rPr>
          <w:color w:val="auto"/>
        </w:rPr>
        <w:t>100%</w:t>
      </w:r>
      <w:r>
        <w:rPr>
          <w:rFonts w:hint="eastAsia"/>
          <w:color w:val="auto"/>
        </w:rPr>
        <w:t>，即施工现场</w:t>
      </w:r>
      <w:r>
        <w:rPr>
          <w:color w:val="auto"/>
        </w:rPr>
        <w:t>100%</w:t>
      </w:r>
      <w:r>
        <w:rPr>
          <w:rFonts w:hint="eastAsia"/>
          <w:color w:val="auto"/>
        </w:rPr>
        <w:t>围挡，工地沙土</w:t>
      </w:r>
      <w:r>
        <w:rPr>
          <w:color w:val="auto"/>
        </w:rPr>
        <w:t>100%</w:t>
      </w:r>
      <w:r>
        <w:rPr>
          <w:rFonts w:hint="eastAsia"/>
          <w:color w:val="auto"/>
        </w:rPr>
        <w:t>覆盖或围挡，工地路面</w:t>
      </w:r>
      <w:r>
        <w:rPr>
          <w:color w:val="auto"/>
        </w:rPr>
        <w:t>100%</w:t>
      </w:r>
      <w:r>
        <w:rPr>
          <w:rFonts w:hint="eastAsia"/>
          <w:color w:val="auto"/>
        </w:rPr>
        <w:t>硬化，拆除工程</w:t>
      </w:r>
      <w:r>
        <w:rPr>
          <w:color w:val="auto"/>
        </w:rPr>
        <w:t>100%</w:t>
      </w:r>
      <w:r>
        <w:rPr>
          <w:rFonts w:hint="eastAsia"/>
          <w:color w:val="auto"/>
        </w:rPr>
        <w:t>洒水，出工地运输车辆</w:t>
      </w:r>
      <w:r>
        <w:rPr>
          <w:color w:val="auto"/>
        </w:rPr>
        <w:t>100%</w:t>
      </w:r>
      <w:r>
        <w:rPr>
          <w:rFonts w:hint="eastAsia"/>
          <w:color w:val="auto"/>
        </w:rPr>
        <w:t>冲净；车轮车身且密闭无洒漏，暂不开发的场地</w:t>
      </w:r>
      <w:r>
        <w:rPr>
          <w:color w:val="auto"/>
        </w:rPr>
        <w:t>100%</w:t>
      </w:r>
      <w:r>
        <w:rPr>
          <w:rFonts w:hint="eastAsia"/>
          <w:color w:val="auto"/>
        </w:rPr>
        <w:t>绿化，以及外脚手架密目式安全网</w:t>
      </w:r>
      <w:r>
        <w:rPr>
          <w:color w:val="auto"/>
        </w:rPr>
        <w:t>100%</w:t>
      </w:r>
      <w:r>
        <w:rPr>
          <w:rFonts w:hint="eastAsia"/>
          <w:color w:val="auto"/>
        </w:rPr>
        <w:t>安装。</w:t>
      </w:r>
    </w:p>
    <w:p w14:paraId="2B1E549C">
      <w:pPr>
        <w:bidi w:val="0"/>
        <w:rPr>
          <w:color w:val="auto"/>
        </w:rPr>
      </w:pPr>
      <w:r>
        <w:rPr>
          <w:rFonts w:hint="eastAsia"/>
          <w:color w:val="auto"/>
        </w:rPr>
        <w:t>7）实施扬尘污染防治守信联合激励、失信联合惩戒，将扬尘管理不到位的不良信息纳入建筑市场信用管理体系，情节严重的，列入建筑市场主体</w:t>
      </w:r>
      <w:r>
        <w:rPr>
          <w:color w:val="auto"/>
        </w:rPr>
        <w:t>“</w:t>
      </w:r>
      <w:r>
        <w:rPr>
          <w:rFonts w:hint="eastAsia"/>
          <w:color w:val="auto"/>
        </w:rPr>
        <w:t>黑名单</w:t>
      </w:r>
      <w:r>
        <w:rPr>
          <w:color w:val="auto"/>
        </w:rPr>
        <w:t>”</w:t>
      </w:r>
      <w:r>
        <w:rPr>
          <w:rFonts w:hint="eastAsia"/>
          <w:color w:val="auto"/>
        </w:rPr>
        <w:t>。严格渣土运输车辆规范化管理，实行建筑垃圾从产生、清运到消纳处置的全过程监管。严格落实城市建成区内</w:t>
      </w:r>
      <w:r>
        <w:rPr>
          <w:color w:val="auto"/>
        </w:rPr>
        <w:t>“</w:t>
      </w:r>
      <w:r>
        <w:rPr>
          <w:rFonts w:hint="eastAsia"/>
          <w:color w:val="auto"/>
        </w:rPr>
        <w:t>两个禁止</w:t>
      </w:r>
      <w:r>
        <w:rPr>
          <w:color w:val="auto"/>
        </w:rPr>
        <w:t>”</w:t>
      </w:r>
      <w:r>
        <w:rPr>
          <w:rFonts w:hint="eastAsia"/>
          <w:color w:val="auto"/>
        </w:rPr>
        <w:t>（禁止现场搅拌混凝土和禁止现场配置砂浆）要求，加快</w:t>
      </w:r>
      <w:r>
        <w:rPr>
          <w:color w:val="auto"/>
        </w:rPr>
        <w:t>“</w:t>
      </w:r>
      <w:r>
        <w:rPr>
          <w:rFonts w:hint="eastAsia"/>
          <w:color w:val="auto"/>
        </w:rPr>
        <w:t>两个禁止</w:t>
      </w:r>
      <w:r>
        <w:rPr>
          <w:color w:val="auto"/>
        </w:rPr>
        <w:t>”</w:t>
      </w:r>
      <w:r>
        <w:rPr>
          <w:rFonts w:hint="eastAsia"/>
          <w:color w:val="auto"/>
        </w:rPr>
        <w:t>综合信息监管平台建设，实施动态监管。施工现场出入口应标有企业名称或企业标识，主要出入口明显处应设置工程概况牌，大门内应有施工现场总平面图和安全生产、消防保卫、环境保护、文明施工等制度牌。四级以上大风天气或市政府发布空气质量预警时，严禁进行土方开挖、回填等可能产生扬尘的施工，同时覆网防尘。施工现场的材料和大模板等存放场地必须平整坚实。水泥和其他易飞扬的细颗粒建筑材料应密闭存放或采取覆盖等措施。建筑垃圾清运全部实现自动化密闭运输，统一安装卫星定位装置，并与主管部门联网。</w:t>
      </w:r>
    </w:p>
    <w:p w14:paraId="724F0D22">
      <w:pPr>
        <w:bidi w:val="0"/>
        <w:rPr>
          <w:color w:val="auto"/>
        </w:rPr>
      </w:pPr>
      <w:r>
        <w:rPr>
          <w:rFonts w:hint="eastAsia"/>
          <w:color w:val="auto"/>
        </w:rPr>
        <w:t>（</w:t>
      </w:r>
      <w:r>
        <w:rPr>
          <w:color w:val="auto"/>
        </w:rPr>
        <w:t>2</w:t>
      </w:r>
      <w:r>
        <w:rPr>
          <w:rFonts w:hint="eastAsia"/>
          <w:color w:val="auto"/>
        </w:rPr>
        <w:t>）车辆尾气</w:t>
      </w:r>
    </w:p>
    <w:p w14:paraId="56BBF59A">
      <w:pPr>
        <w:bidi w:val="0"/>
        <w:rPr>
          <w:color w:val="auto"/>
        </w:rPr>
      </w:pPr>
      <w:r>
        <w:rPr>
          <w:rFonts w:hint="eastAsia"/>
          <w:color w:val="auto"/>
        </w:rPr>
        <w:t>施工阶段，频繁使用机动车辆运输建筑原材料、施工设备及器材、建筑垃圾等排出的机动车尾气，主要污染物是</w:t>
      </w:r>
      <w:r>
        <w:rPr>
          <w:color w:val="auto"/>
        </w:rPr>
        <w:t>NOx</w:t>
      </w:r>
      <w:r>
        <w:rPr>
          <w:rFonts w:hint="eastAsia"/>
          <w:color w:val="auto"/>
        </w:rPr>
        <w:t>、</w:t>
      </w:r>
      <w:r>
        <w:rPr>
          <w:color w:val="auto"/>
        </w:rPr>
        <w:t>CO</w:t>
      </w:r>
      <w:r>
        <w:rPr>
          <w:rFonts w:hint="eastAsia"/>
          <w:color w:val="auto"/>
        </w:rPr>
        <w:t>、</w:t>
      </w:r>
      <w:r>
        <w:rPr>
          <w:color w:val="auto"/>
        </w:rPr>
        <w:t>THC</w:t>
      </w:r>
      <w:r>
        <w:rPr>
          <w:rFonts w:hint="eastAsia"/>
          <w:color w:val="auto"/>
        </w:rPr>
        <w:t>等。由于机动车尾气的排放量较小，且燃油机械和运输车辆均在室外进行作业，其排放的机动车尾气能够迅速扩散，对周围大气环境影响较小。</w:t>
      </w:r>
    </w:p>
    <w:p w14:paraId="3DAD36B5">
      <w:pPr>
        <w:bidi w:val="0"/>
        <w:rPr>
          <w:color w:val="auto"/>
        </w:rPr>
      </w:pPr>
      <w:r>
        <w:rPr>
          <w:rFonts w:hint="eastAsia"/>
          <w:color w:val="auto"/>
        </w:rPr>
        <w:t>总之，只要加强管理，切实落实好上述这些措施，施工扬尘对环境的影响将会大大降低，不会对区域大气环境产生明显的影响，其对周围环境的影响会随着施工期的结束而结束。</w:t>
      </w:r>
    </w:p>
    <w:p w14:paraId="74D2FD26">
      <w:pPr>
        <w:pStyle w:val="5"/>
        <w:bidi w:val="0"/>
        <w:rPr>
          <w:color w:val="auto"/>
        </w:rPr>
      </w:pPr>
      <w:r>
        <w:rPr>
          <w:rFonts w:hint="eastAsia"/>
          <w:color w:val="auto"/>
        </w:rPr>
        <w:t>施工期废水污染防治措施分析</w:t>
      </w:r>
    </w:p>
    <w:p w14:paraId="59A1140C">
      <w:pPr>
        <w:bidi w:val="0"/>
        <w:rPr>
          <w:color w:val="auto"/>
        </w:rPr>
      </w:pPr>
      <w:r>
        <w:rPr>
          <w:rFonts w:hint="eastAsia"/>
          <w:color w:val="auto"/>
        </w:rPr>
        <w:t>本项目施工期间产生的废水主要为施工废水和施工人员的生活废水。施工期间生产用水主要为场地内洒扫抑尘用水和水泥管道设置时混凝土养护用水、施工车辆清洗用水等，施工场地道路将采用硬化路面，场地四周将铺设排水沟管，修建临时沉淀池，含SS的雨水以及进出施工场地的车辆清洗废水排入沉淀池进行沉淀澄清处理后回用。施工场地不设食堂和厕所，施工人员依托厂区现有食堂和卫生间，产生的生活污水进入厂区污水处理站进行处理，处理达标后排入小店污水处理厂。因此施工期产生的污水对周围环境影响较小。</w:t>
      </w:r>
    </w:p>
    <w:p w14:paraId="5457DCE4">
      <w:pPr>
        <w:pStyle w:val="5"/>
        <w:bidi w:val="0"/>
        <w:rPr>
          <w:color w:val="auto"/>
        </w:rPr>
      </w:pPr>
      <w:r>
        <w:rPr>
          <w:rFonts w:hint="eastAsia"/>
          <w:color w:val="auto"/>
        </w:rPr>
        <w:t>施工期噪声污染防治措施分析</w:t>
      </w:r>
    </w:p>
    <w:p w14:paraId="7E79197F">
      <w:pPr>
        <w:bidi w:val="0"/>
        <w:rPr>
          <w:color w:val="auto"/>
        </w:rPr>
      </w:pPr>
      <w:r>
        <w:rPr>
          <w:rFonts w:hint="eastAsia"/>
          <w:color w:val="auto"/>
        </w:rPr>
        <w:t>施工期的噪声主要分为机械噪声、施工作业噪声和施工车辆噪声。机械噪声主要由施工机械所造成，如挖土机械、打桩机械、混凝土搅拌机、升降机等，多为点声源；施工作业噪声主要指一些零星的敲打声、装卸车辆的撞击声、拆装模板的撞击声等，多为瞬间噪声。在这些噪声中对声环境影响最大的是机械噪声，经调查，典型施工机械开动时噪声源强较高，噪声源强约在75~95dB(A)，具有噪声源相对稳定和施工作业时间不稳定、波动性大的特点。</w:t>
      </w:r>
    </w:p>
    <w:p w14:paraId="6B794A34">
      <w:pPr>
        <w:bidi w:val="0"/>
        <w:rPr>
          <w:color w:val="auto"/>
        </w:rPr>
      </w:pPr>
      <w:r>
        <w:rPr>
          <w:rFonts w:hint="eastAsia"/>
          <w:color w:val="auto"/>
        </w:rPr>
        <w:t>为减小施工噪声对周围环境敏感点的影响，评价建议应采取适当的措施来减轻其噪声的影响。主要包括：</w:t>
      </w:r>
    </w:p>
    <w:p w14:paraId="0A36667C">
      <w:pPr>
        <w:bidi w:val="0"/>
        <w:rPr>
          <w:color w:val="auto"/>
        </w:rPr>
      </w:pPr>
      <w:r>
        <w:rPr>
          <w:rFonts w:hint="eastAsia"/>
          <w:color w:val="auto"/>
        </w:rPr>
        <w:t>（1）尽量采用低噪声机械，工程施工所用的施工机械设备应事先对其进行常规工作状态下的噪声测量，超过国家标准的机械应禁止其入场施工。施工过程中还应经常对设备进行维修保养，避免由于设备性能差而使噪声增强现象的发生。</w:t>
      </w:r>
    </w:p>
    <w:p w14:paraId="086EA34C">
      <w:pPr>
        <w:bidi w:val="0"/>
        <w:rPr>
          <w:color w:val="auto"/>
        </w:rPr>
      </w:pPr>
      <w:r>
        <w:rPr>
          <w:rFonts w:hint="eastAsia"/>
          <w:color w:val="auto"/>
        </w:rPr>
        <w:t>（2）施工区域四周建设2.5m高围挡，作为隔声墙。</w:t>
      </w:r>
    </w:p>
    <w:p w14:paraId="372CF384">
      <w:pPr>
        <w:bidi w:val="0"/>
        <w:rPr>
          <w:color w:val="auto"/>
        </w:rPr>
      </w:pPr>
      <w:r>
        <w:rPr>
          <w:rFonts w:hint="eastAsia"/>
          <w:color w:val="auto"/>
        </w:rPr>
        <w:t>（3）做好施工期的噪声监理工作。应注意合理安排施工物料的运输，在途经村镇、学校时，应减速慢行、禁止鸣笛。</w:t>
      </w:r>
    </w:p>
    <w:p w14:paraId="3E06A6F6">
      <w:pPr>
        <w:bidi w:val="0"/>
        <w:rPr>
          <w:color w:val="auto"/>
        </w:rPr>
      </w:pPr>
      <w:r>
        <w:rPr>
          <w:rFonts w:hint="eastAsia"/>
          <w:color w:val="auto"/>
        </w:rPr>
        <w:t>（4）需要进行夜间连续施工时，建设单位应责成施工单位在施工现场张贴通告和投诉电话，建设单位在接到报案后应及时与当地环保部门取得联系，以便及时处理各种环境纠纷。</w:t>
      </w:r>
    </w:p>
    <w:p w14:paraId="5400A07B">
      <w:pPr>
        <w:bidi w:val="0"/>
        <w:rPr>
          <w:color w:val="auto"/>
        </w:rPr>
      </w:pPr>
      <w:r>
        <w:rPr>
          <w:rFonts w:hint="eastAsia"/>
          <w:color w:val="auto"/>
        </w:rPr>
        <w:t>通过加强管理，采取评价建议措施，切实落实好各项噪声防治措施，施工噪声不会对周围环境产生较大影响，同时其对环境的影响也将随着施工的结束而消失。</w:t>
      </w:r>
    </w:p>
    <w:p w14:paraId="5C470B7E">
      <w:pPr>
        <w:pStyle w:val="5"/>
        <w:bidi w:val="0"/>
        <w:rPr>
          <w:color w:val="auto"/>
        </w:rPr>
      </w:pPr>
      <w:r>
        <w:rPr>
          <w:rFonts w:hint="eastAsia"/>
          <w:color w:val="auto"/>
        </w:rPr>
        <w:t>施工期固体废物污染防治措施分析</w:t>
      </w:r>
    </w:p>
    <w:p w14:paraId="440438BC">
      <w:pPr>
        <w:bidi w:val="0"/>
        <w:rPr>
          <w:color w:val="auto"/>
        </w:rPr>
      </w:pPr>
      <w:r>
        <w:rPr>
          <w:rFonts w:hint="eastAsia"/>
          <w:color w:val="auto"/>
        </w:rPr>
        <w:t>施工期产生的固体废物主要为：生活垃圾和建筑垃圾。</w:t>
      </w:r>
    </w:p>
    <w:p w14:paraId="4C267C22">
      <w:pPr>
        <w:bidi w:val="0"/>
        <w:rPr>
          <w:color w:val="auto"/>
        </w:rPr>
      </w:pPr>
      <w:r>
        <w:rPr>
          <w:rFonts w:hint="eastAsia"/>
          <w:color w:val="auto"/>
        </w:rPr>
        <w:t>（1）生活垃圾：施工期高峰期施工人员</w:t>
      </w:r>
      <w:r>
        <w:rPr>
          <w:rFonts w:hint="eastAsia"/>
          <w:color w:val="auto"/>
          <w:lang w:val="en-US" w:eastAsia="zh-CN"/>
        </w:rPr>
        <w:t>10</w:t>
      </w:r>
      <w:r>
        <w:rPr>
          <w:rFonts w:hint="eastAsia"/>
          <w:color w:val="auto"/>
        </w:rPr>
        <w:t>人，生活垃圾按0.5kg/人•d计算，经计算，生活垃圾产生量约为0.04t/d，项目施工期约为</w:t>
      </w:r>
      <w:r>
        <w:rPr>
          <w:rFonts w:hint="eastAsia"/>
          <w:color w:val="auto"/>
          <w:lang w:val="en-US" w:eastAsia="zh-CN"/>
        </w:rPr>
        <w:t>15天</w:t>
      </w:r>
      <w:r>
        <w:rPr>
          <w:rFonts w:hint="eastAsia"/>
          <w:color w:val="auto"/>
        </w:rPr>
        <w:t>，合计固废产生量为</w:t>
      </w:r>
      <w:r>
        <w:rPr>
          <w:rFonts w:hint="eastAsia"/>
          <w:color w:val="auto"/>
          <w:lang w:val="en-US" w:eastAsia="zh-CN"/>
        </w:rPr>
        <w:t>0.075</w:t>
      </w:r>
      <w:r>
        <w:rPr>
          <w:rFonts w:hint="eastAsia"/>
          <w:color w:val="auto"/>
        </w:rPr>
        <w:t>t/a。评价提出：生活垃圾应集中堆放，由厂区环卫车送至园区垃圾中转站，最终由环卫部门统一处置。</w:t>
      </w:r>
    </w:p>
    <w:p w14:paraId="450D21E8">
      <w:pPr>
        <w:bidi w:val="0"/>
        <w:rPr>
          <w:color w:val="auto"/>
        </w:rPr>
      </w:pPr>
      <w:r>
        <w:rPr>
          <w:rFonts w:hint="eastAsia"/>
          <w:color w:val="auto"/>
        </w:rPr>
        <w:t>（2）建筑垃圾：施工期建筑垃圾主要包括多余泥土、混凝土、残砖断瓦、破残的瓷片、玻璃、钢筋头、金属碎片、塑料碎粒、抛弃在现场的破损工具、零件、容器甚至报废的机械、装修垃圾等。建筑垃圾若长期堆存，会产生大量扬尘，影响周围环境，建议定期由有资质专业的建筑垃圾清运单位和城市环境卫生部门按照新乡市的有关要求进行处理。</w:t>
      </w:r>
    </w:p>
    <w:p w14:paraId="657F0CAE">
      <w:pPr>
        <w:bidi w:val="0"/>
        <w:rPr>
          <w:color w:val="auto"/>
        </w:rPr>
      </w:pPr>
      <w:r>
        <w:rPr>
          <w:rFonts w:hint="eastAsia"/>
          <w:color w:val="auto"/>
          <w:lang w:eastAsia="zh-CN"/>
        </w:rPr>
        <w:t>施工</w:t>
      </w:r>
      <w:r>
        <w:rPr>
          <w:rFonts w:hint="eastAsia"/>
          <w:color w:val="auto"/>
        </w:rPr>
        <w:t>过程中，固体废物经过以上措施处理后，不会对环境质量造成影响。</w:t>
      </w:r>
    </w:p>
    <w:p w14:paraId="6536EF1D">
      <w:pPr>
        <w:pStyle w:val="3"/>
        <w:bidi w:val="0"/>
        <w:rPr>
          <w:color w:val="auto"/>
        </w:rPr>
      </w:pPr>
      <w:bookmarkStart w:id="294" w:name="_Toc4406"/>
      <w:r>
        <w:rPr>
          <w:rFonts w:hint="eastAsia"/>
          <w:color w:val="auto"/>
        </w:rPr>
        <w:t>运营期污染防治措施分析</w:t>
      </w:r>
      <w:bookmarkEnd w:id="294"/>
    </w:p>
    <w:p w14:paraId="7C6BDFC9">
      <w:pPr>
        <w:pStyle w:val="5"/>
        <w:bidi w:val="0"/>
        <w:rPr>
          <w:color w:val="auto"/>
        </w:rPr>
      </w:pPr>
      <w:r>
        <w:rPr>
          <w:rFonts w:hint="eastAsia"/>
          <w:color w:val="auto"/>
        </w:rPr>
        <w:t>废水污染防治措施分析</w:t>
      </w:r>
    </w:p>
    <w:p w14:paraId="299294DB">
      <w:pPr>
        <w:pStyle w:val="6"/>
        <w:bidi w:val="0"/>
        <w:rPr>
          <w:color w:val="auto"/>
        </w:rPr>
      </w:pPr>
      <w:r>
        <w:rPr>
          <w:rFonts w:hint="eastAsia"/>
          <w:color w:val="auto"/>
        </w:rPr>
        <w:t>工程废水特点及适合的处理工艺</w:t>
      </w:r>
    </w:p>
    <w:p w14:paraId="0E72E5D3">
      <w:pPr>
        <w:bidi w:val="0"/>
        <w:rPr>
          <w:color w:val="auto"/>
        </w:rPr>
      </w:pPr>
      <w:r>
        <w:rPr>
          <w:rFonts w:hint="eastAsia"/>
          <w:color w:val="auto"/>
        </w:rPr>
        <w:t>本项目</w:t>
      </w:r>
      <w:r>
        <w:rPr>
          <w:rFonts w:hint="eastAsia"/>
          <w:color w:val="auto"/>
          <w:lang w:val="en-US" w:eastAsia="zh-CN"/>
        </w:rPr>
        <w:t>进入厂区</w:t>
      </w:r>
      <w:r>
        <w:rPr>
          <w:rFonts w:hint="eastAsia"/>
          <w:color w:val="auto"/>
        </w:rPr>
        <w:t>废水</w:t>
      </w:r>
      <w:r>
        <w:rPr>
          <w:rFonts w:hint="eastAsia"/>
          <w:color w:val="auto"/>
          <w:lang w:val="en-US" w:eastAsia="zh-CN"/>
        </w:rPr>
        <w:t>处理站</w:t>
      </w:r>
      <w:r>
        <w:rPr>
          <w:rFonts w:hint="eastAsia"/>
          <w:color w:val="auto"/>
        </w:rPr>
        <w:t>主要</w:t>
      </w:r>
      <w:r>
        <w:rPr>
          <w:rFonts w:hint="eastAsia"/>
          <w:b w:val="0"/>
          <w:bCs w:val="0"/>
          <w:color w:val="auto"/>
          <w:u w:val="none"/>
        </w:rPr>
        <w:t>喷丝组件清洗水、蒸发回收冷凝水、化验废水、地面清洗水和有机废气处理设施废水</w:t>
      </w:r>
      <w:r>
        <w:rPr>
          <w:rFonts w:hint="eastAsia"/>
          <w:color w:val="auto"/>
        </w:rPr>
        <w:t>。</w:t>
      </w:r>
      <w:r>
        <w:rPr>
          <w:rFonts w:hint="eastAsia"/>
          <w:color w:val="auto"/>
          <w:lang w:val="en-US" w:eastAsia="zh-CN"/>
        </w:rPr>
        <w:t>本项目废水排入氨纶废水处理单元，处理工艺为“调节+混合池+沉淀+水解酸化+氧化沟+二沉池”</w:t>
      </w:r>
      <w:r>
        <w:rPr>
          <w:rFonts w:hint="eastAsia"/>
          <w:color w:val="auto"/>
        </w:rPr>
        <w:t>本项目废水源强与该套污水处理系统中现有污水源强基本一致，混合后水质不会恶化，因此本项目建成后不会对该套污水处理系统的出水水质产生不利影响。因此评价认为本项目建成后对该污水处理系统的水质不会产生明显影响，本项目利用该污水处理系统处理可行。</w:t>
      </w:r>
    </w:p>
    <w:p w14:paraId="3AA4DD8C">
      <w:pPr>
        <w:bidi w:val="0"/>
        <w:rPr>
          <w:color w:val="auto"/>
        </w:rPr>
      </w:pPr>
      <w:r>
        <w:rPr>
          <w:rFonts w:hint="eastAsia"/>
          <w:color w:val="auto"/>
        </w:rPr>
        <w:t>本项目废水水质主要污染因子为</w:t>
      </w:r>
      <w:r>
        <w:rPr>
          <w:color w:val="auto"/>
        </w:rPr>
        <w:t>pH</w:t>
      </w:r>
      <w:r>
        <w:rPr>
          <w:rFonts w:hint="eastAsia"/>
          <w:color w:val="auto"/>
        </w:rPr>
        <w:t>、</w:t>
      </w:r>
      <w:r>
        <w:rPr>
          <w:color w:val="auto"/>
        </w:rPr>
        <w:t>COD</w:t>
      </w:r>
      <w:r>
        <w:rPr>
          <w:rFonts w:hint="eastAsia"/>
          <w:color w:val="auto"/>
        </w:rPr>
        <w:t>、BOD和</w:t>
      </w:r>
      <w:r>
        <w:rPr>
          <w:color w:val="auto"/>
        </w:rPr>
        <w:t>SS</w:t>
      </w:r>
      <w:r>
        <w:rPr>
          <w:rFonts w:hint="eastAsia"/>
          <w:color w:val="auto"/>
        </w:rPr>
        <w:t>，且B/C值约为</w:t>
      </w:r>
      <w:r>
        <w:rPr>
          <w:rFonts w:hint="eastAsia"/>
          <w:color w:val="auto"/>
          <w:lang w:val="en-US" w:eastAsia="zh-CN"/>
        </w:rPr>
        <w:t>0.164</w:t>
      </w:r>
      <w:r>
        <w:rPr>
          <w:rFonts w:hint="eastAsia"/>
          <w:color w:val="auto"/>
        </w:rPr>
        <w:t>，</w:t>
      </w:r>
      <w:r>
        <w:rPr>
          <w:rFonts w:hint="eastAsia"/>
          <w:color w:val="auto"/>
          <w:lang w:val="en-US" w:eastAsia="zh-CN"/>
        </w:rPr>
        <w:t>可</w:t>
      </w:r>
      <w:r>
        <w:rPr>
          <w:rFonts w:hint="eastAsia"/>
          <w:color w:val="auto"/>
        </w:rPr>
        <w:t>生化性</w:t>
      </w:r>
      <w:r>
        <w:rPr>
          <w:rFonts w:hint="eastAsia"/>
          <w:color w:val="auto"/>
          <w:lang w:val="en-US" w:eastAsia="zh-CN"/>
        </w:rPr>
        <w:t>较低</w:t>
      </w:r>
      <w:r>
        <w:rPr>
          <w:rFonts w:hint="eastAsia"/>
          <w:color w:val="auto"/>
          <w:lang w:eastAsia="zh-CN"/>
        </w:rPr>
        <w:t>，</w:t>
      </w:r>
      <w:r>
        <w:rPr>
          <w:rFonts w:hint="eastAsia"/>
          <w:color w:val="auto"/>
          <w:lang w:val="en-US" w:eastAsia="zh-CN"/>
        </w:rPr>
        <w:t>水解酸化工艺可以增加其可生化性</w:t>
      </w:r>
      <w:r>
        <w:rPr>
          <w:rFonts w:hint="eastAsia"/>
          <w:color w:val="auto"/>
        </w:rPr>
        <w:t>。“</w:t>
      </w:r>
      <w:r>
        <w:rPr>
          <w:rFonts w:hint="eastAsia"/>
          <w:color w:val="auto"/>
          <w:lang w:val="en-US" w:eastAsia="zh-CN"/>
        </w:rPr>
        <w:t>氨纶废水处理单元</w:t>
      </w:r>
      <w:r>
        <w:rPr>
          <w:rFonts w:hint="eastAsia"/>
          <w:color w:val="auto"/>
        </w:rPr>
        <w:t>”处理工艺为“</w:t>
      </w:r>
      <w:r>
        <w:rPr>
          <w:rFonts w:hint="eastAsia"/>
          <w:color w:val="auto"/>
          <w:lang w:val="en-US" w:eastAsia="zh-CN"/>
        </w:rPr>
        <w:t>调节+混合池+沉淀+水解酸化+氧化沟+二沉池</w:t>
      </w:r>
      <w:r>
        <w:rPr>
          <w:rFonts w:hint="eastAsia"/>
          <w:color w:val="auto"/>
        </w:rPr>
        <w:t>”，沉淀池可有效去除</w:t>
      </w:r>
      <w:r>
        <w:rPr>
          <w:color w:val="auto"/>
        </w:rPr>
        <w:t>SS</w:t>
      </w:r>
      <w:r>
        <w:rPr>
          <w:rFonts w:hint="eastAsia"/>
          <w:color w:val="auto"/>
        </w:rPr>
        <w:t>并维持</w:t>
      </w:r>
      <w:r>
        <w:rPr>
          <w:color w:val="auto"/>
        </w:rPr>
        <w:t>pH</w:t>
      </w:r>
      <w:r>
        <w:rPr>
          <w:rFonts w:hint="eastAsia"/>
          <w:color w:val="auto"/>
        </w:rPr>
        <w:t>满足排放标准要求。</w:t>
      </w:r>
      <w:r>
        <w:rPr>
          <w:rFonts w:hint="eastAsia"/>
          <w:color w:val="auto"/>
          <w:lang w:val="en-US" w:eastAsia="zh-CN"/>
        </w:rPr>
        <w:t>水解酸化可将大分子有机物分解为小分子有机物，提高曝气池中活性污泥对有机物的去除率。</w:t>
      </w:r>
      <w:r>
        <w:rPr>
          <w:rFonts w:hint="eastAsia"/>
          <w:color w:val="auto"/>
        </w:rPr>
        <w:t>氧化沟将曝气、沉淀和污泥稳定等处理过程集于一体，具有推流特性，使得溶解氧浓度在沿池长方向形成浓度梯度，形成好氧、缺氧和厌氧条件，通过对系统合理的设计与控制，可以取得较好的处理效果，并可取得较好的脱氮除磷效果。因此，本项目废水采用“</w:t>
      </w:r>
      <w:r>
        <w:rPr>
          <w:rFonts w:hint="eastAsia"/>
          <w:color w:val="auto"/>
          <w:lang w:val="en-US" w:eastAsia="zh-CN"/>
        </w:rPr>
        <w:t>氨纶废水处理单元</w:t>
      </w:r>
      <w:r>
        <w:rPr>
          <w:rFonts w:hint="eastAsia"/>
          <w:color w:val="auto"/>
        </w:rPr>
        <w:t>”进行处理可行。</w:t>
      </w:r>
    </w:p>
    <w:p w14:paraId="034D1490">
      <w:pPr>
        <w:pStyle w:val="6"/>
        <w:bidi w:val="0"/>
        <w:rPr>
          <w:color w:val="auto"/>
        </w:rPr>
      </w:pPr>
      <w:r>
        <w:rPr>
          <w:rFonts w:hint="eastAsia"/>
          <w:color w:val="auto"/>
        </w:rPr>
        <w:t>厂区污水处理站及处理工艺情况介绍</w:t>
      </w:r>
    </w:p>
    <w:p w14:paraId="33018F13">
      <w:pPr>
        <w:bidi w:val="0"/>
        <w:rPr>
          <w:color w:val="auto"/>
        </w:rPr>
      </w:pPr>
      <w:r>
        <w:rPr>
          <w:rFonts w:hint="eastAsia"/>
          <w:color w:val="auto"/>
        </w:rPr>
        <w:t>本项目废水处理设施依托公司新厂区的现有污水处理站进行处理，污水处理能力为3.8万t/d。针对厂区各类废水特点，采取废水分质处理的方式，同类项目的废水采取相应的处理工艺，污水处理站共分为4个处理单元，分别为“粘胶废水处理单元</w:t>
      </w:r>
      <w:r>
        <w:rPr>
          <w:rFonts w:hint="eastAsia"/>
          <w:color w:val="auto"/>
          <w:lang w:eastAsia="zh-CN"/>
        </w:rPr>
        <w:t>”“</w:t>
      </w:r>
      <w:r>
        <w:rPr>
          <w:rFonts w:hint="eastAsia"/>
          <w:color w:val="auto"/>
        </w:rPr>
        <w:t>长丝酸性废水处理</w:t>
      </w:r>
      <w:r>
        <w:rPr>
          <w:rFonts w:hint="eastAsia"/>
          <w:color w:val="auto"/>
          <w:lang w:val="en-US" w:eastAsia="zh-CN"/>
        </w:rPr>
        <w:t>二区”“</w:t>
      </w:r>
      <w:r>
        <w:rPr>
          <w:rFonts w:hint="eastAsia"/>
          <w:color w:val="auto"/>
        </w:rPr>
        <w:t>氨纶废水处理单元”和“长丝酸性废水处理</w:t>
      </w:r>
      <w:r>
        <w:rPr>
          <w:rFonts w:hint="eastAsia"/>
          <w:color w:val="auto"/>
          <w:lang w:val="en-US" w:eastAsia="zh-CN"/>
        </w:rPr>
        <w:t>二区</w:t>
      </w:r>
      <w:r>
        <w:rPr>
          <w:rFonts w:hint="eastAsia"/>
          <w:color w:val="auto"/>
        </w:rPr>
        <w:t>”，各单元</w:t>
      </w:r>
      <w:r>
        <w:rPr>
          <w:rFonts w:hint="eastAsia"/>
          <w:color w:val="auto"/>
          <w:lang w:val="en-US" w:eastAsia="zh-CN"/>
        </w:rPr>
        <w:t>处理</w:t>
      </w:r>
      <w:r>
        <w:rPr>
          <w:rFonts w:hint="eastAsia"/>
          <w:color w:val="auto"/>
        </w:rPr>
        <w:t>后再进行混合，最后经管网进入新乡市小店污水处理厂。各单元处理工艺及处理能力情况如下表：</w:t>
      </w:r>
    </w:p>
    <w:p w14:paraId="5AED8F9D">
      <w:pPr>
        <w:pStyle w:val="10"/>
        <w:bidi w:val="0"/>
        <w:rPr>
          <w:rFonts w:hint="eastAsia"/>
          <w:color w:val="auto"/>
        </w:rPr>
      </w:pPr>
      <w:r>
        <w:t xml:space="preserve">表 </w:t>
      </w:r>
      <w:r>
        <w:fldChar w:fldCharType="begin"/>
      </w:r>
      <w:r>
        <w:instrText xml:space="preserve"> STYLEREF 2 \s </w:instrText>
      </w:r>
      <w:r>
        <w:fldChar w:fldCharType="separate"/>
      </w:r>
      <w:r>
        <w:t>7.2</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w:t>
      </w:r>
      <w:r>
        <w:rPr>
          <w:rFonts w:hint="eastAsia"/>
        </w:rPr>
        <w:t>各污水处理单元处理工艺及富余处理能力</w:t>
      </w:r>
    </w:p>
    <w:tbl>
      <w:tblPr>
        <w:tblStyle w:val="31"/>
        <w:tblW w:w="8529"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092"/>
        <w:gridCol w:w="2627"/>
        <w:gridCol w:w="1054"/>
        <w:gridCol w:w="2759"/>
        <w:gridCol w:w="997"/>
      </w:tblGrid>
      <w:tr w14:paraId="484AA2A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5" w:hRule="atLeast"/>
          <w:jc w:val="center"/>
        </w:trPr>
        <w:tc>
          <w:tcPr>
            <w:tcW w:w="1092" w:type="dxa"/>
            <w:tcBorders>
              <w:bottom w:val="single" w:color="000000" w:sz="4" w:space="0"/>
              <w:right w:val="single" w:color="000000" w:sz="4" w:space="0"/>
            </w:tcBorders>
            <w:vAlign w:val="center"/>
          </w:tcPr>
          <w:p w14:paraId="70FD08AB">
            <w:pPr>
              <w:pStyle w:val="182"/>
              <w:bidi w:val="0"/>
              <w:rPr>
                <w:b/>
                <w:bCs/>
                <w:color w:val="auto"/>
              </w:rPr>
            </w:pPr>
            <w:r>
              <w:rPr>
                <w:b/>
                <w:bCs/>
                <w:color w:val="auto"/>
              </w:rPr>
              <w:t>单元名称</w:t>
            </w:r>
          </w:p>
        </w:tc>
        <w:tc>
          <w:tcPr>
            <w:tcW w:w="2627" w:type="dxa"/>
            <w:tcBorders>
              <w:left w:val="single" w:color="000000" w:sz="4" w:space="0"/>
              <w:bottom w:val="single" w:color="000000" w:sz="4" w:space="0"/>
              <w:right w:val="single" w:color="000000" w:sz="4" w:space="0"/>
            </w:tcBorders>
            <w:vAlign w:val="center"/>
          </w:tcPr>
          <w:p w14:paraId="1674290A">
            <w:pPr>
              <w:pStyle w:val="182"/>
              <w:bidi w:val="0"/>
              <w:rPr>
                <w:b/>
                <w:bCs/>
                <w:color w:val="auto"/>
              </w:rPr>
            </w:pPr>
            <w:r>
              <w:rPr>
                <w:b/>
                <w:bCs/>
                <w:color w:val="auto"/>
              </w:rPr>
              <w:t>处理工艺</w:t>
            </w:r>
          </w:p>
        </w:tc>
        <w:tc>
          <w:tcPr>
            <w:tcW w:w="1054" w:type="dxa"/>
            <w:tcBorders>
              <w:left w:val="single" w:color="000000" w:sz="4" w:space="0"/>
              <w:bottom w:val="single" w:color="000000" w:sz="4" w:space="0"/>
              <w:right w:val="single" w:color="000000" w:sz="4" w:space="0"/>
            </w:tcBorders>
            <w:vAlign w:val="center"/>
          </w:tcPr>
          <w:p w14:paraId="2A68A3EA">
            <w:pPr>
              <w:pStyle w:val="182"/>
              <w:bidi w:val="0"/>
              <w:rPr>
                <w:b/>
                <w:bCs/>
                <w:color w:val="auto"/>
              </w:rPr>
            </w:pPr>
            <w:r>
              <w:rPr>
                <w:b/>
                <w:bCs/>
                <w:color w:val="auto"/>
              </w:rPr>
              <w:t>处理规</w:t>
            </w:r>
          </w:p>
          <w:p w14:paraId="75E4A8EA">
            <w:pPr>
              <w:pStyle w:val="182"/>
              <w:bidi w:val="0"/>
              <w:rPr>
                <w:b/>
                <w:bCs/>
                <w:color w:val="auto"/>
              </w:rPr>
            </w:pPr>
            <w:r>
              <w:rPr>
                <w:b/>
                <w:bCs/>
                <w:color w:val="auto"/>
              </w:rPr>
              <w:t>模m</w:t>
            </w:r>
            <w:r>
              <w:rPr>
                <w:b/>
                <w:bCs/>
                <w:color w:val="auto"/>
                <w:vertAlign w:val="superscript"/>
              </w:rPr>
              <w:t>3</w:t>
            </w:r>
            <w:r>
              <w:rPr>
                <w:b/>
                <w:bCs/>
                <w:color w:val="auto"/>
              </w:rPr>
              <w:t>/d</w:t>
            </w:r>
          </w:p>
        </w:tc>
        <w:tc>
          <w:tcPr>
            <w:tcW w:w="2759" w:type="dxa"/>
            <w:tcBorders>
              <w:left w:val="single" w:color="000000" w:sz="4" w:space="0"/>
              <w:bottom w:val="single" w:color="000000" w:sz="4" w:space="0"/>
              <w:right w:val="single" w:color="000000" w:sz="4" w:space="0"/>
            </w:tcBorders>
            <w:vAlign w:val="center"/>
          </w:tcPr>
          <w:p w14:paraId="058B76A0">
            <w:pPr>
              <w:pStyle w:val="182"/>
              <w:bidi w:val="0"/>
              <w:rPr>
                <w:b/>
                <w:bCs/>
                <w:color w:val="auto"/>
              </w:rPr>
            </w:pPr>
            <w:r>
              <w:rPr>
                <w:b/>
                <w:bCs/>
                <w:color w:val="auto"/>
              </w:rPr>
              <w:t>已接收废水水量m</w:t>
            </w:r>
            <w:r>
              <w:rPr>
                <w:b/>
                <w:bCs/>
                <w:color w:val="auto"/>
                <w:vertAlign w:val="superscript"/>
              </w:rPr>
              <w:t>3</w:t>
            </w:r>
            <w:r>
              <w:rPr>
                <w:b/>
                <w:bCs/>
                <w:color w:val="auto"/>
              </w:rPr>
              <w:t>/d</w:t>
            </w:r>
          </w:p>
        </w:tc>
        <w:tc>
          <w:tcPr>
            <w:tcW w:w="997" w:type="dxa"/>
            <w:tcBorders>
              <w:left w:val="single" w:color="000000" w:sz="4" w:space="0"/>
              <w:bottom w:val="single" w:color="000000" w:sz="4" w:space="0"/>
            </w:tcBorders>
            <w:vAlign w:val="center"/>
          </w:tcPr>
          <w:p w14:paraId="794574AF">
            <w:pPr>
              <w:pStyle w:val="182"/>
              <w:bidi w:val="0"/>
              <w:rPr>
                <w:b/>
                <w:bCs/>
                <w:color w:val="auto"/>
              </w:rPr>
            </w:pPr>
            <w:r>
              <w:rPr>
                <w:b/>
                <w:bCs/>
                <w:color w:val="auto"/>
              </w:rPr>
              <w:t>富余处理能力m</w:t>
            </w:r>
            <w:r>
              <w:rPr>
                <w:b/>
                <w:bCs/>
                <w:color w:val="auto"/>
                <w:vertAlign w:val="superscript"/>
              </w:rPr>
              <w:t>3</w:t>
            </w:r>
            <w:r>
              <w:rPr>
                <w:b/>
                <w:bCs/>
                <w:color w:val="auto"/>
              </w:rPr>
              <w:t>/d</w:t>
            </w:r>
          </w:p>
        </w:tc>
      </w:tr>
      <w:tr w14:paraId="4FE7BDD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17" w:hRule="atLeast"/>
          <w:jc w:val="center"/>
        </w:trPr>
        <w:tc>
          <w:tcPr>
            <w:tcW w:w="1092" w:type="dxa"/>
            <w:tcBorders>
              <w:top w:val="single" w:color="000000" w:sz="4" w:space="0"/>
              <w:bottom w:val="single" w:color="000000" w:sz="4" w:space="0"/>
              <w:right w:val="single" w:color="000000" w:sz="4" w:space="0"/>
            </w:tcBorders>
            <w:vAlign w:val="center"/>
          </w:tcPr>
          <w:p w14:paraId="0193E7E8">
            <w:pPr>
              <w:pStyle w:val="182"/>
              <w:bidi w:val="0"/>
              <w:rPr>
                <w:color w:val="auto"/>
              </w:rPr>
            </w:pPr>
            <w:r>
              <w:rPr>
                <w:color w:val="auto"/>
              </w:rPr>
              <w:t>粘胶废水综合处理单元</w:t>
            </w:r>
          </w:p>
        </w:tc>
        <w:tc>
          <w:tcPr>
            <w:tcW w:w="2627" w:type="dxa"/>
            <w:tcBorders>
              <w:top w:val="single" w:color="000000" w:sz="4" w:space="0"/>
              <w:left w:val="single" w:color="000000" w:sz="4" w:space="0"/>
              <w:bottom w:val="single" w:color="000000" w:sz="4" w:space="0"/>
              <w:right w:val="single" w:color="000000" w:sz="4" w:space="0"/>
            </w:tcBorders>
            <w:vAlign w:val="center"/>
          </w:tcPr>
          <w:p w14:paraId="326B797C">
            <w:pPr>
              <w:bidi w:val="0"/>
              <w:ind w:firstLine="482" w:firstLineChars="200"/>
              <w:rPr>
                <w:color w:val="auto"/>
              </w:rPr>
            </w:pPr>
            <w:r>
              <w:rPr>
                <w:rFonts w:hint="eastAsia"/>
                <w:b/>
                <w:bCs/>
                <w:color w:val="auto"/>
                <w:u w:val="single"/>
                <w:lang w:val="en-US" w:eastAsia="zh-CN"/>
              </w:rPr>
              <w:t>*</w:t>
            </w:r>
          </w:p>
        </w:tc>
        <w:tc>
          <w:tcPr>
            <w:tcW w:w="1054" w:type="dxa"/>
            <w:tcBorders>
              <w:top w:val="single" w:color="000000" w:sz="4" w:space="0"/>
              <w:left w:val="single" w:color="000000" w:sz="4" w:space="0"/>
              <w:bottom w:val="single" w:color="000000" w:sz="4" w:space="0"/>
              <w:right w:val="single" w:color="000000" w:sz="4" w:space="0"/>
            </w:tcBorders>
            <w:vAlign w:val="center"/>
          </w:tcPr>
          <w:p w14:paraId="64EBF156">
            <w:pPr>
              <w:bidi w:val="0"/>
              <w:ind w:firstLine="482" w:firstLineChars="200"/>
              <w:rPr>
                <w:color w:val="auto"/>
              </w:rPr>
            </w:pPr>
            <w:r>
              <w:rPr>
                <w:rFonts w:hint="eastAsia"/>
                <w:b/>
                <w:bCs/>
                <w:color w:val="auto"/>
                <w:u w:val="single"/>
                <w:lang w:val="en-US" w:eastAsia="zh-CN"/>
              </w:rPr>
              <w:t>*</w:t>
            </w:r>
          </w:p>
        </w:tc>
        <w:tc>
          <w:tcPr>
            <w:tcW w:w="2759" w:type="dxa"/>
            <w:vMerge w:val="restart"/>
            <w:tcBorders>
              <w:top w:val="single" w:color="000000" w:sz="4" w:space="0"/>
              <w:left w:val="single" w:color="000000" w:sz="4" w:space="0"/>
              <w:bottom w:val="single" w:color="000000" w:sz="4" w:space="0"/>
              <w:right w:val="single" w:color="000000" w:sz="4" w:space="0"/>
            </w:tcBorders>
            <w:vAlign w:val="center"/>
          </w:tcPr>
          <w:p w14:paraId="45975AD0">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3448E2F3">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73AD028B">
            <w:pPr>
              <w:bidi w:val="0"/>
              <w:ind w:firstLine="482" w:firstLineChars="200"/>
              <w:rPr>
                <w:rFonts w:hint="default"/>
                <w:lang w:val="en-US" w:eastAsia="zh-CN"/>
              </w:rPr>
            </w:pPr>
            <w:r>
              <w:rPr>
                <w:rFonts w:hint="eastAsia"/>
                <w:b/>
                <w:bCs/>
                <w:color w:val="auto"/>
                <w:u w:val="single"/>
                <w:lang w:val="en-US" w:eastAsia="zh-CN"/>
              </w:rPr>
              <w:t>*</w:t>
            </w:r>
          </w:p>
        </w:tc>
        <w:tc>
          <w:tcPr>
            <w:tcW w:w="997" w:type="dxa"/>
            <w:vMerge w:val="restart"/>
            <w:tcBorders>
              <w:top w:val="single" w:color="000000" w:sz="4" w:space="0"/>
              <w:left w:val="single" w:color="000000" w:sz="4" w:space="0"/>
              <w:bottom w:val="single" w:color="000000" w:sz="4" w:space="0"/>
            </w:tcBorders>
            <w:vAlign w:val="center"/>
          </w:tcPr>
          <w:p w14:paraId="1D9F5DD8">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613584C2">
            <w:pPr>
              <w:bidi w:val="0"/>
              <w:ind w:firstLine="482" w:firstLineChars="200"/>
              <w:rPr>
                <w:rFonts w:hint="eastAsia"/>
                <w:b/>
                <w:bCs/>
                <w:color w:val="auto"/>
                <w:u w:val="single"/>
                <w:lang w:val="en-US" w:eastAsia="zh-CN"/>
              </w:rPr>
            </w:pPr>
            <w:r>
              <w:rPr>
                <w:rFonts w:hint="eastAsia"/>
                <w:b/>
                <w:bCs/>
                <w:color w:val="auto"/>
                <w:u w:val="single"/>
                <w:lang w:val="en-US" w:eastAsia="zh-CN"/>
              </w:rPr>
              <w:t>*</w:t>
            </w:r>
          </w:p>
          <w:p w14:paraId="63EAB46D">
            <w:pPr>
              <w:bidi w:val="0"/>
              <w:ind w:firstLine="482" w:firstLineChars="200"/>
              <w:rPr>
                <w:rFonts w:hint="default"/>
                <w:lang w:val="en-US" w:eastAsia="zh-CN"/>
              </w:rPr>
            </w:pPr>
            <w:r>
              <w:rPr>
                <w:rFonts w:hint="eastAsia"/>
                <w:b/>
                <w:bCs/>
                <w:color w:val="auto"/>
                <w:u w:val="single"/>
                <w:lang w:val="en-US" w:eastAsia="zh-CN"/>
              </w:rPr>
              <w:t>*</w:t>
            </w:r>
          </w:p>
        </w:tc>
      </w:tr>
      <w:tr w14:paraId="534D57C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5" w:hRule="atLeast"/>
          <w:jc w:val="center"/>
        </w:trPr>
        <w:tc>
          <w:tcPr>
            <w:tcW w:w="1092" w:type="dxa"/>
            <w:tcBorders>
              <w:top w:val="single" w:color="000000" w:sz="4" w:space="0"/>
              <w:bottom w:val="single" w:color="000000" w:sz="4" w:space="0"/>
              <w:right w:val="single" w:color="000000" w:sz="4" w:space="0"/>
            </w:tcBorders>
            <w:vAlign w:val="center"/>
          </w:tcPr>
          <w:p w14:paraId="20EEFC4F">
            <w:pPr>
              <w:pStyle w:val="182"/>
              <w:bidi w:val="0"/>
              <w:rPr>
                <w:color w:val="auto"/>
              </w:rPr>
            </w:pPr>
            <w:r>
              <w:rPr>
                <w:rFonts w:hint="eastAsia"/>
                <w:color w:val="auto"/>
                <w:lang w:val="en-US" w:eastAsia="zh-CN"/>
              </w:rPr>
              <w:t>长丝</w:t>
            </w:r>
            <w:r>
              <w:rPr>
                <w:color w:val="auto"/>
              </w:rPr>
              <w:t>酸性废水处理一区</w:t>
            </w:r>
          </w:p>
        </w:tc>
        <w:tc>
          <w:tcPr>
            <w:tcW w:w="2627" w:type="dxa"/>
            <w:tcBorders>
              <w:top w:val="single" w:color="000000" w:sz="4" w:space="0"/>
              <w:left w:val="single" w:color="000000" w:sz="4" w:space="0"/>
              <w:bottom w:val="single" w:color="000000" w:sz="4" w:space="0"/>
              <w:right w:val="single" w:color="000000" w:sz="4" w:space="0"/>
            </w:tcBorders>
            <w:vAlign w:val="center"/>
          </w:tcPr>
          <w:p w14:paraId="55926E16">
            <w:pPr>
              <w:bidi w:val="0"/>
              <w:ind w:firstLine="482" w:firstLineChars="200"/>
              <w:rPr>
                <w:color w:val="auto"/>
              </w:rPr>
            </w:pPr>
            <w:r>
              <w:rPr>
                <w:rFonts w:hint="eastAsia"/>
                <w:b/>
                <w:bCs/>
                <w:color w:val="auto"/>
                <w:u w:val="single"/>
                <w:lang w:val="en-US" w:eastAsia="zh-CN"/>
              </w:rPr>
              <w:t>*</w:t>
            </w:r>
          </w:p>
        </w:tc>
        <w:tc>
          <w:tcPr>
            <w:tcW w:w="1054" w:type="dxa"/>
            <w:tcBorders>
              <w:top w:val="single" w:color="000000" w:sz="4" w:space="0"/>
              <w:left w:val="single" w:color="000000" w:sz="4" w:space="0"/>
              <w:bottom w:val="single" w:color="000000" w:sz="4" w:space="0"/>
              <w:right w:val="single" w:color="000000" w:sz="4" w:space="0"/>
            </w:tcBorders>
            <w:vAlign w:val="center"/>
          </w:tcPr>
          <w:p w14:paraId="4D3041A3">
            <w:pPr>
              <w:bidi w:val="0"/>
              <w:ind w:firstLine="482" w:firstLineChars="200"/>
              <w:rPr>
                <w:color w:val="auto"/>
              </w:rPr>
            </w:pPr>
            <w:r>
              <w:rPr>
                <w:rFonts w:hint="eastAsia"/>
                <w:b/>
                <w:bCs/>
                <w:color w:val="auto"/>
                <w:u w:val="single"/>
                <w:lang w:val="en-US" w:eastAsia="zh-CN"/>
              </w:rPr>
              <w:t>*</w:t>
            </w:r>
          </w:p>
        </w:tc>
        <w:tc>
          <w:tcPr>
            <w:tcW w:w="2759" w:type="dxa"/>
            <w:vMerge w:val="continue"/>
            <w:tcBorders>
              <w:top w:val="nil"/>
              <w:left w:val="single" w:color="000000" w:sz="4" w:space="0"/>
              <w:bottom w:val="single" w:color="000000" w:sz="4" w:space="0"/>
              <w:right w:val="single" w:color="000000" w:sz="4" w:space="0"/>
            </w:tcBorders>
            <w:vAlign w:val="center"/>
          </w:tcPr>
          <w:p w14:paraId="0B76EE83">
            <w:pPr>
              <w:pStyle w:val="182"/>
              <w:bidi w:val="0"/>
              <w:ind w:firstLine="0" w:firstLineChars="0"/>
              <w:rPr>
                <w:color w:val="auto"/>
              </w:rPr>
            </w:pPr>
          </w:p>
        </w:tc>
        <w:tc>
          <w:tcPr>
            <w:tcW w:w="997" w:type="dxa"/>
            <w:vMerge w:val="continue"/>
            <w:tcBorders>
              <w:top w:val="nil"/>
              <w:left w:val="single" w:color="000000" w:sz="4" w:space="0"/>
              <w:bottom w:val="single" w:color="000000" w:sz="4" w:space="0"/>
            </w:tcBorders>
            <w:vAlign w:val="center"/>
          </w:tcPr>
          <w:p w14:paraId="2DCA4D42">
            <w:pPr>
              <w:pStyle w:val="182"/>
              <w:bidi w:val="0"/>
              <w:ind w:firstLine="0" w:firstLineChars="0"/>
              <w:rPr>
                <w:color w:val="auto"/>
              </w:rPr>
            </w:pPr>
          </w:p>
        </w:tc>
      </w:tr>
      <w:tr w14:paraId="27F0614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43" w:hRule="atLeast"/>
          <w:jc w:val="center"/>
        </w:trPr>
        <w:tc>
          <w:tcPr>
            <w:tcW w:w="1092" w:type="dxa"/>
            <w:tcBorders>
              <w:top w:val="single" w:color="000000" w:sz="4" w:space="0"/>
              <w:bottom w:val="single" w:color="000000" w:sz="4" w:space="0"/>
              <w:right w:val="single" w:color="000000" w:sz="4" w:space="0"/>
            </w:tcBorders>
            <w:vAlign w:val="center"/>
          </w:tcPr>
          <w:p w14:paraId="557B5525">
            <w:pPr>
              <w:pStyle w:val="182"/>
              <w:bidi w:val="0"/>
              <w:rPr>
                <w:color w:val="auto"/>
              </w:rPr>
            </w:pPr>
            <w:r>
              <w:rPr>
                <w:rFonts w:hint="eastAsia"/>
                <w:color w:val="auto"/>
                <w:lang w:val="en-US" w:eastAsia="zh-CN"/>
              </w:rPr>
              <w:t>长丝</w:t>
            </w:r>
            <w:r>
              <w:rPr>
                <w:color w:val="auto"/>
              </w:rPr>
              <w:t>酸性废水处理二区</w:t>
            </w:r>
          </w:p>
        </w:tc>
        <w:tc>
          <w:tcPr>
            <w:tcW w:w="2627" w:type="dxa"/>
            <w:tcBorders>
              <w:top w:val="single" w:color="000000" w:sz="4" w:space="0"/>
              <w:left w:val="single" w:color="000000" w:sz="4" w:space="0"/>
              <w:bottom w:val="single" w:color="000000" w:sz="4" w:space="0"/>
              <w:right w:val="single" w:color="000000" w:sz="4" w:space="0"/>
            </w:tcBorders>
            <w:vAlign w:val="center"/>
          </w:tcPr>
          <w:p w14:paraId="3D952322">
            <w:pPr>
              <w:bidi w:val="0"/>
              <w:ind w:firstLine="482" w:firstLineChars="200"/>
              <w:rPr>
                <w:color w:val="auto"/>
              </w:rPr>
            </w:pPr>
            <w:r>
              <w:rPr>
                <w:rFonts w:hint="eastAsia"/>
                <w:b/>
                <w:bCs/>
                <w:color w:val="auto"/>
                <w:u w:val="single"/>
                <w:lang w:val="en-US" w:eastAsia="zh-CN"/>
              </w:rPr>
              <w:t>*</w:t>
            </w:r>
          </w:p>
        </w:tc>
        <w:tc>
          <w:tcPr>
            <w:tcW w:w="1054" w:type="dxa"/>
            <w:tcBorders>
              <w:top w:val="single" w:color="000000" w:sz="4" w:space="0"/>
              <w:left w:val="single" w:color="000000" w:sz="4" w:space="0"/>
              <w:bottom w:val="single" w:color="000000" w:sz="4" w:space="0"/>
              <w:right w:val="single" w:color="000000" w:sz="4" w:space="0"/>
            </w:tcBorders>
            <w:vAlign w:val="center"/>
          </w:tcPr>
          <w:p w14:paraId="76817BE1">
            <w:pPr>
              <w:bidi w:val="0"/>
              <w:ind w:firstLine="482" w:firstLineChars="200"/>
              <w:rPr>
                <w:color w:val="auto"/>
              </w:rPr>
            </w:pPr>
            <w:r>
              <w:rPr>
                <w:rFonts w:hint="eastAsia"/>
                <w:b/>
                <w:bCs/>
                <w:color w:val="auto"/>
                <w:u w:val="single"/>
                <w:lang w:val="en-US" w:eastAsia="zh-CN"/>
              </w:rPr>
              <w:t>*</w:t>
            </w:r>
          </w:p>
        </w:tc>
        <w:tc>
          <w:tcPr>
            <w:tcW w:w="2759" w:type="dxa"/>
            <w:vMerge w:val="continue"/>
            <w:tcBorders>
              <w:top w:val="nil"/>
              <w:left w:val="single" w:color="000000" w:sz="4" w:space="0"/>
              <w:bottom w:val="single" w:color="000000" w:sz="4" w:space="0"/>
              <w:right w:val="single" w:color="000000" w:sz="4" w:space="0"/>
            </w:tcBorders>
            <w:vAlign w:val="center"/>
          </w:tcPr>
          <w:p w14:paraId="40081548">
            <w:pPr>
              <w:pStyle w:val="182"/>
              <w:bidi w:val="0"/>
              <w:ind w:firstLine="0" w:firstLineChars="0"/>
              <w:rPr>
                <w:color w:val="auto"/>
              </w:rPr>
            </w:pPr>
          </w:p>
        </w:tc>
        <w:tc>
          <w:tcPr>
            <w:tcW w:w="997" w:type="dxa"/>
            <w:vMerge w:val="continue"/>
            <w:tcBorders>
              <w:top w:val="nil"/>
              <w:left w:val="single" w:color="000000" w:sz="4" w:space="0"/>
              <w:bottom w:val="single" w:color="000000" w:sz="4" w:space="0"/>
            </w:tcBorders>
            <w:vAlign w:val="center"/>
          </w:tcPr>
          <w:p w14:paraId="5DD93569">
            <w:pPr>
              <w:pStyle w:val="182"/>
              <w:bidi w:val="0"/>
              <w:ind w:firstLine="0" w:firstLineChars="0"/>
              <w:rPr>
                <w:color w:val="auto"/>
              </w:rPr>
            </w:pPr>
          </w:p>
        </w:tc>
      </w:tr>
      <w:tr w14:paraId="3054A20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17" w:hRule="atLeast"/>
          <w:jc w:val="center"/>
        </w:trPr>
        <w:tc>
          <w:tcPr>
            <w:tcW w:w="1092" w:type="dxa"/>
            <w:tcBorders>
              <w:top w:val="single" w:color="000000" w:sz="4" w:space="0"/>
              <w:bottom w:val="single" w:color="000000" w:sz="4" w:space="0"/>
              <w:right w:val="single" w:color="000000" w:sz="4" w:space="0"/>
            </w:tcBorders>
            <w:vAlign w:val="center"/>
          </w:tcPr>
          <w:p w14:paraId="4DD5232D">
            <w:pPr>
              <w:pStyle w:val="182"/>
              <w:bidi w:val="0"/>
              <w:rPr>
                <w:color w:val="auto"/>
              </w:rPr>
            </w:pPr>
            <w:r>
              <w:rPr>
                <w:color w:val="auto"/>
              </w:rPr>
              <w:t>氨纶、绿纤废水处理单元</w:t>
            </w:r>
          </w:p>
        </w:tc>
        <w:tc>
          <w:tcPr>
            <w:tcW w:w="2627" w:type="dxa"/>
            <w:tcBorders>
              <w:top w:val="single" w:color="000000" w:sz="4" w:space="0"/>
              <w:left w:val="single" w:color="000000" w:sz="4" w:space="0"/>
              <w:bottom w:val="single" w:color="000000" w:sz="4" w:space="0"/>
              <w:right w:val="single" w:color="000000" w:sz="4" w:space="0"/>
            </w:tcBorders>
            <w:vAlign w:val="center"/>
          </w:tcPr>
          <w:p w14:paraId="7B0869E7">
            <w:pPr>
              <w:bidi w:val="0"/>
              <w:ind w:firstLine="482" w:firstLineChars="200"/>
              <w:rPr>
                <w:color w:val="auto"/>
              </w:rPr>
            </w:pPr>
            <w:r>
              <w:rPr>
                <w:rFonts w:hint="eastAsia"/>
                <w:b/>
                <w:bCs/>
                <w:color w:val="auto"/>
                <w:u w:val="single"/>
                <w:lang w:val="en-US" w:eastAsia="zh-CN"/>
              </w:rPr>
              <w:t>*</w:t>
            </w:r>
          </w:p>
        </w:tc>
        <w:tc>
          <w:tcPr>
            <w:tcW w:w="1054" w:type="dxa"/>
            <w:tcBorders>
              <w:top w:val="single" w:color="000000" w:sz="4" w:space="0"/>
              <w:left w:val="single" w:color="000000" w:sz="4" w:space="0"/>
              <w:bottom w:val="single" w:color="000000" w:sz="4" w:space="0"/>
              <w:right w:val="single" w:color="000000" w:sz="4" w:space="0"/>
            </w:tcBorders>
            <w:vAlign w:val="center"/>
          </w:tcPr>
          <w:p w14:paraId="5555B290">
            <w:pPr>
              <w:bidi w:val="0"/>
              <w:ind w:firstLine="482" w:firstLineChars="200"/>
              <w:rPr>
                <w:color w:val="auto"/>
              </w:rPr>
            </w:pPr>
            <w:r>
              <w:rPr>
                <w:rFonts w:hint="eastAsia"/>
                <w:b/>
                <w:bCs/>
                <w:color w:val="auto"/>
                <w:u w:val="single"/>
                <w:lang w:val="en-US" w:eastAsia="zh-CN"/>
              </w:rPr>
              <w:t>*</w:t>
            </w:r>
          </w:p>
        </w:tc>
        <w:tc>
          <w:tcPr>
            <w:tcW w:w="2759" w:type="dxa"/>
            <w:tcBorders>
              <w:top w:val="single" w:color="000000" w:sz="4" w:space="0"/>
              <w:left w:val="single" w:color="000000" w:sz="4" w:space="0"/>
              <w:bottom w:val="single" w:color="000000" w:sz="4" w:space="0"/>
              <w:right w:val="single" w:color="000000" w:sz="4" w:space="0"/>
            </w:tcBorders>
            <w:vAlign w:val="center"/>
          </w:tcPr>
          <w:p w14:paraId="5B3D24DC">
            <w:pPr>
              <w:bidi w:val="0"/>
              <w:ind w:firstLine="482" w:firstLineChars="200"/>
              <w:rPr>
                <w:rFonts w:hint="default"/>
                <w:color w:val="auto"/>
                <w:lang w:val="en-US" w:eastAsia="zh-CN"/>
              </w:rPr>
            </w:pPr>
            <w:r>
              <w:rPr>
                <w:rFonts w:hint="eastAsia"/>
                <w:b/>
                <w:bCs/>
                <w:color w:val="auto"/>
                <w:u w:val="single"/>
                <w:lang w:val="en-US" w:eastAsia="zh-CN"/>
              </w:rPr>
              <w:t>*</w:t>
            </w:r>
          </w:p>
        </w:tc>
        <w:tc>
          <w:tcPr>
            <w:tcW w:w="997" w:type="dxa"/>
            <w:tcBorders>
              <w:top w:val="single" w:color="000000" w:sz="4" w:space="0"/>
              <w:left w:val="single" w:color="000000" w:sz="4" w:space="0"/>
              <w:bottom w:val="single" w:color="000000" w:sz="4" w:space="0"/>
            </w:tcBorders>
            <w:vAlign w:val="center"/>
          </w:tcPr>
          <w:p w14:paraId="548C09A5">
            <w:pPr>
              <w:bidi w:val="0"/>
              <w:ind w:firstLine="482" w:firstLineChars="200"/>
              <w:rPr>
                <w:rFonts w:hint="default"/>
                <w:color w:val="auto"/>
                <w:lang w:val="en-US" w:eastAsia="zh-CN"/>
              </w:rPr>
            </w:pPr>
            <w:r>
              <w:rPr>
                <w:rFonts w:hint="eastAsia"/>
                <w:b/>
                <w:bCs/>
                <w:color w:val="auto"/>
                <w:u w:val="single"/>
                <w:lang w:val="en-US" w:eastAsia="zh-CN"/>
              </w:rPr>
              <w:t>*</w:t>
            </w:r>
          </w:p>
        </w:tc>
      </w:tr>
      <w:tr w14:paraId="4CF6264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1092" w:type="dxa"/>
            <w:tcBorders>
              <w:top w:val="single" w:color="000000" w:sz="4" w:space="0"/>
              <w:bottom w:val="single" w:color="000000" w:sz="4" w:space="0"/>
              <w:right w:val="single" w:color="000000" w:sz="4" w:space="0"/>
            </w:tcBorders>
            <w:vAlign w:val="center"/>
          </w:tcPr>
          <w:p w14:paraId="00C36F27">
            <w:pPr>
              <w:pStyle w:val="182"/>
              <w:bidi w:val="0"/>
              <w:rPr>
                <w:color w:val="auto"/>
              </w:rPr>
            </w:pPr>
            <w:r>
              <w:rPr>
                <w:color w:val="auto"/>
              </w:rPr>
              <w:t>清净下水</w:t>
            </w:r>
          </w:p>
        </w:tc>
        <w:tc>
          <w:tcPr>
            <w:tcW w:w="2627" w:type="dxa"/>
            <w:tcBorders>
              <w:top w:val="single" w:color="000000" w:sz="4" w:space="0"/>
              <w:left w:val="single" w:color="000000" w:sz="4" w:space="0"/>
              <w:bottom w:val="single" w:color="000000" w:sz="4" w:space="0"/>
              <w:right w:val="single" w:color="000000" w:sz="4" w:space="0"/>
            </w:tcBorders>
            <w:vAlign w:val="center"/>
          </w:tcPr>
          <w:p w14:paraId="114AA408">
            <w:pPr>
              <w:bidi w:val="0"/>
              <w:ind w:firstLine="482" w:firstLineChars="200"/>
              <w:rPr>
                <w:color w:val="auto"/>
              </w:rPr>
            </w:pPr>
            <w:r>
              <w:rPr>
                <w:rFonts w:hint="eastAsia"/>
                <w:b/>
                <w:bCs/>
                <w:color w:val="auto"/>
                <w:u w:val="single"/>
                <w:lang w:val="en-US" w:eastAsia="zh-CN"/>
              </w:rPr>
              <w:t>*</w:t>
            </w:r>
          </w:p>
        </w:tc>
        <w:tc>
          <w:tcPr>
            <w:tcW w:w="1054" w:type="dxa"/>
            <w:tcBorders>
              <w:top w:val="single" w:color="000000" w:sz="4" w:space="0"/>
              <w:left w:val="single" w:color="000000" w:sz="4" w:space="0"/>
              <w:bottom w:val="single" w:color="000000" w:sz="4" w:space="0"/>
              <w:right w:val="single" w:color="000000" w:sz="4" w:space="0"/>
            </w:tcBorders>
            <w:vAlign w:val="center"/>
          </w:tcPr>
          <w:p w14:paraId="3DA3262D">
            <w:pPr>
              <w:bidi w:val="0"/>
              <w:ind w:firstLine="482" w:firstLineChars="200"/>
              <w:rPr>
                <w:color w:val="auto"/>
              </w:rPr>
            </w:pPr>
            <w:r>
              <w:rPr>
                <w:rFonts w:hint="eastAsia"/>
                <w:b/>
                <w:bCs/>
                <w:color w:val="auto"/>
                <w:u w:val="single"/>
                <w:lang w:val="en-US" w:eastAsia="zh-CN"/>
              </w:rPr>
              <w:t>*</w:t>
            </w:r>
          </w:p>
        </w:tc>
        <w:tc>
          <w:tcPr>
            <w:tcW w:w="2759" w:type="dxa"/>
            <w:tcBorders>
              <w:top w:val="single" w:color="000000" w:sz="4" w:space="0"/>
              <w:left w:val="single" w:color="000000" w:sz="4" w:space="0"/>
              <w:bottom w:val="single" w:color="000000" w:sz="4" w:space="0"/>
              <w:right w:val="single" w:color="000000" w:sz="4" w:space="0"/>
            </w:tcBorders>
            <w:vAlign w:val="center"/>
          </w:tcPr>
          <w:p w14:paraId="589713DE">
            <w:pPr>
              <w:bidi w:val="0"/>
              <w:ind w:firstLine="482" w:firstLineChars="200"/>
              <w:rPr>
                <w:rFonts w:hint="eastAsia"/>
                <w:color w:val="auto"/>
                <w:lang w:val="en-US" w:eastAsia="zh-CN"/>
              </w:rPr>
            </w:pPr>
            <w:r>
              <w:rPr>
                <w:rFonts w:hint="eastAsia"/>
                <w:b/>
                <w:bCs/>
                <w:color w:val="auto"/>
                <w:u w:val="single"/>
                <w:lang w:val="en-US" w:eastAsia="zh-CN"/>
              </w:rPr>
              <w:t>*</w:t>
            </w:r>
          </w:p>
        </w:tc>
        <w:tc>
          <w:tcPr>
            <w:tcW w:w="997" w:type="dxa"/>
            <w:tcBorders>
              <w:top w:val="single" w:color="000000" w:sz="4" w:space="0"/>
              <w:left w:val="single" w:color="000000" w:sz="4" w:space="0"/>
              <w:bottom w:val="single" w:color="000000" w:sz="4" w:space="0"/>
            </w:tcBorders>
            <w:vAlign w:val="center"/>
          </w:tcPr>
          <w:p w14:paraId="7A50ED49">
            <w:pPr>
              <w:bidi w:val="0"/>
              <w:ind w:firstLine="482" w:firstLineChars="200"/>
              <w:rPr>
                <w:color w:val="auto"/>
              </w:rPr>
            </w:pPr>
            <w:r>
              <w:rPr>
                <w:rFonts w:hint="eastAsia"/>
                <w:b/>
                <w:bCs/>
                <w:color w:val="auto"/>
                <w:u w:val="single"/>
                <w:lang w:val="en-US" w:eastAsia="zh-CN"/>
              </w:rPr>
              <w:t>*</w:t>
            </w:r>
          </w:p>
        </w:tc>
      </w:tr>
    </w:tbl>
    <w:p w14:paraId="6DA4CB48">
      <w:pPr>
        <w:bidi w:val="0"/>
        <w:rPr>
          <w:rFonts w:hint="eastAsia"/>
          <w:b/>
          <w:bCs/>
          <w:color w:val="auto"/>
          <w:u w:val="single"/>
          <w:lang w:val="en-US" w:eastAsia="zh-CN"/>
        </w:rPr>
      </w:pPr>
      <w:r>
        <w:rPr>
          <w:rFonts w:hint="eastAsia"/>
          <w:b/>
          <w:bCs/>
          <w:color w:val="auto"/>
          <w:u w:val="single"/>
          <w:lang w:val="en-US" w:eastAsia="zh-CN"/>
        </w:rPr>
        <w:t>*</w:t>
      </w:r>
    </w:p>
    <w:p w14:paraId="160283BF">
      <w:pPr>
        <w:bidi w:val="0"/>
        <w:rPr>
          <w:rFonts w:hint="default"/>
          <w:b/>
          <w:bCs/>
          <w:color w:val="auto"/>
          <w:u w:val="single"/>
          <w:lang w:val="en-US" w:eastAsia="zh-CN"/>
        </w:rPr>
      </w:pPr>
      <w:r>
        <w:rPr>
          <w:rFonts w:hint="eastAsia"/>
          <w:b/>
          <w:bCs/>
          <w:color w:val="auto"/>
          <w:u w:val="single"/>
          <w:lang w:val="en-US" w:eastAsia="zh-CN"/>
        </w:rPr>
        <w:t>*</w:t>
      </w:r>
    </w:p>
    <w:p w14:paraId="0F7B5576">
      <w:pPr>
        <w:bidi w:val="0"/>
        <w:rPr>
          <w:rFonts w:hint="eastAsia"/>
          <w:b/>
          <w:bCs/>
          <w:color w:val="auto"/>
          <w:u w:val="single"/>
          <w:lang w:val="en-US" w:eastAsia="zh-CN"/>
        </w:rPr>
      </w:pPr>
      <w:r>
        <w:rPr>
          <w:rFonts w:hint="eastAsia"/>
          <w:b/>
          <w:bCs/>
          <w:color w:val="auto"/>
          <w:u w:val="single"/>
          <w:lang w:val="en-US" w:eastAsia="zh-CN"/>
        </w:rPr>
        <w:t>*</w:t>
      </w:r>
    </w:p>
    <w:p w14:paraId="64698F3E">
      <w:pPr>
        <w:bidi w:val="0"/>
        <w:rPr>
          <w:rFonts w:hint="default"/>
          <w:b/>
          <w:bCs/>
          <w:color w:val="auto"/>
          <w:u w:val="single"/>
          <w:lang w:val="en-US" w:eastAsia="zh-CN"/>
        </w:rPr>
      </w:pPr>
      <w:r>
        <w:rPr>
          <w:rFonts w:hint="eastAsia"/>
          <w:b/>
          <w:bCs/>
          <w:color w:val="auto"/>
          <w:u w:val="single"/>
          <w:lang w:val="en-US" w:eastAsia="zh-CN"/>
        </w:rPr>
        <w:t>*</w:t>
      </w:r>
    </w:p>
    <w:p w14:paraId="083EC6B1">
      <w:pPr>
        <w:bidi w:val="0"/>
        <w:rPr>
          <w:rFonts w:hint="eastAsia"/>
          <w:b/>
          <w:bCs/>
          <w:color w:val="auto"/>
          <w:u w:val="single"/>
          <w:lang w:val="en-US" w:eastAsia="zh-CN"/>
        </w:rPr>
      </w:pPr>
      <w:r>
        <w:rPr>
          <w:rFonts w:hint="eastAsia"/>
          <w:b/>
          <w:bCs/>
          <w:color w:val="auto"/>
          <w:u w:val="single"/>
          <w:lang w:val="en-US" w:eastAsia="zh-CN"/>
        </w:rPr>
        <w:t>*</w:t>
      </w:r>
    </w:p>
    <w:p w14:paraId="6E581582">
      <w:pPr>
        <w:bidi w:val="0"/>
        <w:rPr>
          <w:rFonts w:hint="default"/>
          <w:b/>
          <w:bCs/>
          <w:color w:val="auto"/>
          <w:u w:val="single"/>
          <w:lang w:val="en-US" w:eastAsia="zh-CN"/>
        </w:rPr>
      </w:pPr>
      <w:r>
        <w:rPr>
          <w:rFonts w:hint="eastAsia"/>
          <w:b/>
          <w:bCs/>
          <w:color w:val="auto"/>
          <w:u w:val="single"/>
          <w:lang w:val="en-US" w:eastAsia="zh-CN"/>
        </w:rPr>
        <w:t>*</w:t>
      </w:r>
    </w:p>
    <w:p w14:paraId="6907FFB8">
      <w:pPr>
        <w:bidi w:val="0"/>
        <w:rPr>
          <w:rFonts w:hint="eastAsia"/>
          <w:b/>
          <w:bCs/>
          <w:color w:val="auto"/>
          <w:u w:val="single"/>
          <w:lang w:val="en-US" w:eastAsia="zh-CN"/>
        </w:rPr>
      </w:pPr>
      <w:r>
        <w:rPr>
          <w:rFonts w:hint="eastAsia"/>
          <w:b/>
          <w:bCs/>
          <w:color w:val="auto"/>
          <w:u w:val="single"/>
          <w:lang w:val="en-US" w:eastAsia="zh-CN"/>
        </w:rPr>
        <w:t>*</w:t>
      </w:r>
    </w:p>
    <w:p w14:paraId="33AB6B1D">
      <w:pPr>
        <w:bidi w:val="0"/>
        <w:rPr>
          <w:rFonts w:hint="default"/>
          <w:b/>
          <w:bCs/>
          <w:color w:val="auto"/>
          <w:u w:val="single"/>
          <w:lang w:val="en-US" w:eastAsia="zh-CN"/>
        </w:rPr>
      </w:pPr>
      <w:r>
        <w:rPr>
          <w:rFonts w:hint="eastAsia"/>
          <w:b/>
          <w:bCs/>
          <w:color w:val="auto"/>
          <w:u w:val="single"/>
          <w:lang w:val="en-US" w:eastAsia="zh-CN"/>
        </w:rPr>
        <w:t>*</w:t>
      </w:r>
    </w:p>
    <w:p w14:paraId="54BA2D1C">
      <w:pPr>
        <w:bidi w:val="0"/>
        <w:rPr>
          <w:rFonts w:hint="eastAsia"/>
          <w:b/>
          <w:bCs/>
          <w:color w:val="auto"/>
          <w:u w:val="single"/>
          <w:lang w:val="en-US" w:eastAsia="zh-CN"/>
        </w:rPr>
      </w:pPr>
      <w:r>
        <w:rPr>
          <w:rFonts w:hint="eastAsia"/>
          <w:b/>
          <w:bCs/>
          <w:color w:val="auto"/>
          <w:u w:val="single"/>
          <w:lang w:val="en-US" w:eastAsia="zh-CN"/>
        </w:rPr>
        <w:t>*</w:t>
      </w:r>
    </w:p>
    <w:p w14:paraId="7FE10CB1">
      <w:pPr>
        <w:bidi w:val="0"/>
        <w:rPr>
          <w:rFonts w:hint="default"/>
          <w:b/>
          <w:bCs/>
          <w:color w:val="auto"/>
          <w:u w:val="single"/>
          <w:lang w:val="en-US" w:eastAsia="zh-CN"/>
        </w:rPr>
      </w:pPr>
      <w:r>
        <w:rPr>
          <w:rFonts w:hint="eastAsia"/>
          <w:b/>
          <w:bCs/>
          <w:color w:val="auto"/>
          <w:u w:val="single"/>
          <w:lang w:val="en-US" w:eastAsia="zh-CN"/>
        </w:rPr>
        <w:t>*</w:t>
      </w:r>
    </w:p>
    <w:p w14:paraId="46FBC3A9">
      <w:pPr>
        <w:bidi w:val="0"/>
        <w:rPr>
          <w:rFonts w:hint="eastAsia"/>
          <w:b/>
          <w:bCs/>
          <w:color w:val="auto"/>
          <w:u w:val="single"/>
          <w:lang w:val="en-US" w:eastAsia="zh-CN"/>
        </w:rPr>
      </w:pPr>
      <w:r>
        <w:rPr>
          <w:rFonts w:hint="eastAsia"/>
          <w:b/>
          <w:bCs/>
          <w:color w:val="auto"/>
          <w:u w:val="single"/>
          <w:lang w:val="en-US" w:eastAsia="zh-CN"/>
        </w:rPr>
        <w:t>*</w:t>
      </w:r>
    </w:p>
    <w:p w14:paraId="787E641F">
      <w:pPr>
        <w:bidi w:val="0"/>
        <w:rPr>
          <w:rFonts w:hint="default"/>
          <w:b/>
          <w:bCs/>
          <w:color w:val="auto"/>
          <w:u w:val="single"/>
          <w:lang w:val="en-US" w:eastAsia="zh-CN"/>
        </w:rPr>
      </w:pPr>
      <w:r>
        <w:rPr>
          <w:rFonts w:hint="eastAsia"/>
          <w:b/>
          <w:bCs/>
          <w:color w:val="auto"/>
          <w:u w:val="single"/>
          <w:lang w:val="en-US" w:eastAsia="zh-CN"/>
        </w:rPr>
        <w:t>*</w:t>
      </w:r>
    </w:p>
    <w:p w14:paraId="65833561">
      <w:pPr>
        <w:bidi w:val="0"/>
        <w:rPr>
          <w:rFonts w:hint="eastAsia"/>
          <w:b/>
          <w:bCs/>
          <w:color w:val="auto"/>
          <w:u w:val="single"/>
          <w:lang w:val="en-US" w:eastAsia="zh-CN"/>
        </w:rPr>
      </w:pPr>
      <w:r>
        <w:rPr>
          <w:rFonts w:hint="eastAsia"/>
          <w:b/>
          <w:bCs/>
          <w:color w:val="auto"/>
          <w:u w:val="single"/>
          <w:lang w:val="en-US" w:eastAsia="zh-CN"/>
        </w:rPr>
        <w:t>*</w:t>
      </w:r>
    </w:p>
    <w:p w14:paraId="3247C944">
      <w:pPr>
        <w:bidi w:val="0"/>
        <w:rPr>
          <w:rFonts w:hint="default"/>
          <w:b/>
          <w:bCs/>
          <w:color w:val="auto"/>
          <w:u w:val="single"/>
          <w:lang w:val="en-US" w:eastAsia="zh-CN"/>
        </w:rPr>
      </w:pPr>
      <w:r>
        <w:rPr>
          <w:rFonts w:hint="eastAsia"/>
          <w:b/>
          <w:bCs/>
          <w:color w:val="auto"/>
          <w:u w:val="single"/>
          <w:lang w:val="en-US" w:eastAsia="zh-CN"/>
        </w:rPr>
        <w:t>*</w:t>
      </w:r>
    </w:p>
    <w:p w14:paraId="4260C007">
      <w:pPr>
        <w:bidi w:val="0"/>
        <w:rPr>
          <w:rFonts w:hint="eastAsia"/>
          <w:b/>
          <w:bCs/>
          <w:color w:val="auto"/>
          <w:u w:val="single"/>
          <w:lang w:val="en-US" w:eastAsia="zh-CN"/>
        </w:rPr>
      </w:pPr>
      <w:r>
        <w:rPr>
          <w:rFonts w:hint="eastAsia"/>
          <w:b/>
          <w:bCs/>
          <w:color w:val="auto"/>
          <w:u w:val="single"/>
          <w:lang w:val="en-US" w:eastAsia="zh-CN"/>
        </w:rPr>
        <w:t>*</w:t>
      </w:r>
    </w:p>
    <w:p w14:paraId="5CABCCD6">
      <w:pPr>
        <w:bidi w:val="0"/>
        <w:rPr>
          <w:rFonts w:hint="default"/>
          <w:b/>
          <w:bCs/>
          <w:color w:val="auto"/>
          <w:u w:val="single"/>
          <w:lang w:val="en-US" w:eastAsia="zh-CN"/>
        </w:rPr>
      </w:pPr>
      <w:r>
        <w:rPr>
          <w:rFonts w:hint="eastAsia"/>
          <w:b/>
          <w:bCs/>
          <w:color w:val="auto"/>
          <w:u w:val="single"/>
          <w:lang w:val="en-US" w:eastAsia="zh-CN"/>
        </w:rPr>
        <w:t>*</w:t>
      </w:r>
    </w:p>
    <w:p w14:paraId="2D329C13">
      <w:pPr>
        <w:bidi w:val="0"/>
        <w:rPr>
          <w:rFonts w:hint="eastAsia"/>
          <w:b/>
          <w:bCs/>
          <w:color w:val="auto"/>
          <w:u w:val="single"/>
          <w:lang w:val="en-US" w:eastAsia="zh-CN"/>
        </w:rPr>
      </w:pPr>
      <w:r>
        <w:rPr>
          <w:rFonts w:hint="eastAsia"/>
          <w:b/>
          <w:bCs/>
          <w:color w:val="auto"/>
          <w:u w:val="single"/>
          <w:lang w:val="en-US" w:eastAsia="zh-CN"/>
        </w:rPr>
        <w:t>*</w:t>
      </w:r>
    </w:p>
    <w:p w14:paraId="3D6CDF15">
      <w:pPr>
        <w:bidi w:val="0"/>
        <w:rPr>
          <w:rFonts w:hint="default"/>
          <w:b/>
          <w:bCs/>
          <w:color w:val="auto"/>
          <w:u w:val="single"/>
          <w:lang w:val="en-US" w:eastAsia="zh-CN"/>
        </w:rPr>
      </w:pPr>
      <w:r>
        <w:rPr>
          <w:rFonts w:hint="eastAsia"/>
          <w:b/>
          <w:bCs/>
          <w:color w:val="auto"/>
          <w:u w:val="single"/>
          <w:lang w:val="en-US" w:eastAsia="zh-CN"/>
        </w:rPr>
        <w:t>*</w:t>
      </w:r>
    </w:p>
    <w:p w14:paraId="6BD85561">
      <w:pPr>
        <w:bidi w:val="0"/>
        <w:rPr>
          <w:rFonts w:hint="eastAsia"/>
          <w:b/>
          <w:bCs/>
          <w:color w:val="auto"/>
          <w:u w:val="single"/>
          <w:lang w:val="en-US" w:eastAsia="zh-CN"/>
        </w:rPr>
      </w:pPr>
      <w:r>
        <w:rPr>
          <w:rFonts w:hint="eastAsia"/>
          <w:b/>
          <w:bCs/>
          <w:color w:val="auto"/>
          <w:u w:val="single"/>
          <w:lang w:val="en-US" w:eastAsia="zh-CN"/>
        </w:rPr>
        <w:t>*</w:t>
      </w:r>
    </w:p>
    <w:p w14:paraId="59E4F675">
      <w:pPr>
        <w:bidi w:val="0"/>
        <w:rPr>
          <w:rFonts w:hint="default"/>
          <w:b/>
          <w:bCs/>
          <w:color w:val="auto"/>
          <w:u w:val="single"/>
          <w:lang w:val="en-US" w:eastAsia="zh-CN"/>
        </w:rPr>
      </w:pPr>
      <w:r>
        <w:rPr>
          <w:rFonts w:hint="eastAsia"/>
          <w:b/>
          <w:bCs/>
          <w:color w:val="auto"/>
          <w:u w:val="single"/>
          <w:lang w:val="en-US" w:eastAsia="zh-CN"/>
        </w:rPr>
        <w:t>*</w:t>
      </w:r>
    </w:p>
    <w:p w14:paraId="04D9C7C8">
      <w:pPr>
        <w:bidi w:val="0"/>
        <w:rPr>
          <w:rFonts w:hint="eastAsia"/>
          <w:b/>
          <w:bCs/>
          <w:color w:val="auto"/>
          <w:u w:val="single"/>
          <w:lang w:val="en-US" w:eastAsia="zh-CN"/>
        </w:rPr>
      </w:pPr>
      <w:r>
        <w:rPr>
          <w:rFonts w:hint="eastAsia"/>
          <w:b/>
          <w:bCs/>
          <w:color w:val="auto"/>
          <w:u w:val="single"/>
          <w:lang w:val="en-US" w:eastAsia="zh-CN"/>
        </w:rPr>
        <w:t>*</w:t>
      </w:r>
    </w:p>
    <w:p w14:paraId="02C7A5EC">
      <w:pPr>
        <w:bidi w:val="0"/>
        <w:rPr>
          <w:rFonts w:hint="default"/>
          <w:b/>
          <w:bCs/>
          <w:color w:val="auto"/>
          <w:u w:val="single"/>
          <w:lang w:val="en-US" w:eastAsia="zh-CN"/>
        </w:rPr>
      </w:pPr>
      <w:r>
        <w:rPr>
          <w:rFonts w:hint="eastAsia"/>
          <w:b/>
          <w:bCs/>
          <w:color w:val="auto"/>
          <w:u w:val="single"/>
          <w:lang w:val="en-US" w:eastAsia="zh-CN"/>
        </w:rPr>
        <w:t>*</w:t>
      </w:r>
    </w:p>
    <w:p w14:paraId="403831B9">
      <w:pPr>
        <w:bidi w:val="0"/>
        <w:rPr>
          <w:rFonts w:hint="eastAsia"/>
          <w:b/>
          <w:bCs/>
          <w:color w:val="auto"/>
          <w:u w:val="single"/>
          <w:lang w:val="en-US" w:eastAsia="zh-CN"/>
        </w:rPr>
      </w:pPr>
      <w:r>
        <w:rPr>
          <w:rFonts w:hint="eastAsia"/>
          <w:b/>
          <w:bCs/>
          <w:color w:val="auto"/>
          <w:u w:val="single"/>
          <w:lang w:val="en-US" w:eastAsia="zh-CN"/>
        </w:rPr>
        <w:t>*</w:t>
      </w:r>
    </w:p>
    <w:p w14:paraId="46DF72F6">
      <w:pPr>
        <w:bidi w:val="0"/>
        <w:rPr>
          <w:rFonts w:hint="default"/>
          <w:b/>
          <w:bCs/>
          <w:color w:val="auto"/>
          <w:u w:val="single"/>
          <w:lang w:val="en-US" w:eastAsia="zh-CN"/>
        </w:rPr>
      </w:pPr>
      <w:r>
        <w:rPr>
          <w:rFonts w:hint="eastAsia"/>
          <w:b/>
          <w:bCs/>
          <w:color w:val="auto"/>
          <w:u w:val="single"/>
          <w:lang w:val="en-US" w:eastAsia="zh-CN"/>
        </w:rPr>
        <w:t>*</w:t>
      </w:r>
    </w:p>
    <w:p w14:paraId="4074269C">
      <w:pPr>
        <w:bidi w:val="0"/>
        <w:rPr>
          <w:rFonts w:hint="eastAsia"/>
          <w:b/>
          <w:bCs/>
          <w:color w:val="auto"/>
          <w:u w:val="single"/>
          <w:lang w:val="en-US" w:eastAsia="zh-CN"/>
        </w:rPr>
      </w:pPr>
      <w:r>
        <w:rPr>
          <w:rFonts w:hint="eastAsia"/>
          <w:b/>
          <w:bCs/>
          <w:color w:val="auto"/>
          <w:u w:val="single"/>
          <w:lang w:val="en-US" w:eastAsia="zh-CN"/>
        </w:rPr>
        <w:t>*</w:t>
      </w:r>
    </w:p>
    <w:p w14:paraId="4288A23F">
      <w:pPr>
        <w:bidi w:val="0"/>
        <w:rPr>
          <w:rFonts w:hint="default"/>
          <w:b/>
          <w:bCs/>
          <w:color w:val="auto"/>
          <w:u w:val="single"/>
          <w:lang w:val="en-US" w:eastAsia="zh-CN"/>
        </w:rPr>
      </w:pPr>
      <w:r>
        <w:rPr>
          <w:rFonts w:hint="eastAsia"/>
          <w:b/>
          <w:bCs/>
          <w:color w:val="auto"/>
          <w:u w:val="single"/>
          <w:lang w:val="en-US" w:eastAsia="zh-CN"/>
        </w:rPr>
        <w:t>*</w:t>
      </w:r>
    </w:p>
    <w:p w14:paraId="2AABF682">
      <w:pPr>
        <w:bidi w:val="0"/>
        <w:rPr>
          <w:rFonts w:hint="eastAsia"/>
          <w:b/>
          <w:bCs/>
          <w:color w:val="auto"/>
          <w:u w:val="single"/>
          <w:lang w:val="en-US" w:eastAsia="zh-CN"/>
        </w:rPr>
      </w:pPr>
      <w:r>
        <w:rPr>
          <w:rFonts w:hint="eastAsia"/>
          <w:b/>
          <w:bCs/>
          <w:color w:val="auto"/>
          <w:u w:val="single"/>
          <w:lang w:val="en-US" w:eastAsia="zh-CN"/>
        </w:rPr>
        <w:t>。</w:t>
      </w:r>
    </w:p>
    <w:p w14:paraId="55FB9638">
      <w:pPr>
        <w:bidi w:val="0"/>
        <w:rPr>
          <w:rFonts w:hint="default" w:eastAsia="宋体"/>
          <w:color w:val="auto"/>
          <w:lang w:val="en-US" w:eastAsia="zh-CN"/>
        </w:rPr>
      </w:pPr>
      <w:r>
        <w:rPr>
          <w:rFonts w:hint="eastAsia"/>
          <w:color w:val="auto"/>
        </w:rPr>
        <w:t>。</w:t>
      </w:r>
    </w:p>
    <w:p w14:paraId="0819F8B6">
      <w:pPr>
        <w:pStyle w:val="6"/>
        <w:bidi w:val="0"/>
      </w:pPr>
      <w:r>
        <w:rPr>
          <w:rFonts w:hint="eastAsia"/>
        </w:rPr>
        <w:t>达标分析</w:t>
      </w:r>
    </w:p>
    <w:p w14:paraId="3C11A025">
      <w:pPr>
        <w:keepNext w:val="0"/>
        <w:keepLines w:val="0"/>
        <w:pageBreakBefore w:val="0"/>
        <w:widowControl w:val="0"/>
        <w:numPr>
          <w:ilvl w:val="0"/>
          <w:numId w:val="8"/>
        </w:numPr>
        <w:kinsoku/>
        <w:wordWrap/>
        <w:overflowPunct/>
        <w:topLinePunct w:val="0"/>
        <w:autoSpaceDE/>
        <w:autoSpaceDN/>
        <w:bidi w:val="0"/>
        <w:adjustRightInd w:val="0"/>
        <w:snapToGrid w:val="0"/>
        <w:spacing w:line="360" w:lineRule="auto"/>
        <w:ind w:firstLine="482"/>
        <w:textAlignment w:val="auto"/>
      </w:pPr>
      <w:r>
        <w:rPr>
          <w:rFonts w:hint="eastAsia"/>
          <w:color w:val="auto"/>
        </w:rPr>
        <w:t>现有工程</w:t>
      </w:r>
    </w:p>
    <w:p w14:paraId="59A9E69F">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color w:val="FF0000"/>
        </w:rPr>
      </w:pPr>
      <w:r>
        <w:rPr>
          <w:rFonts w:hint="eastAsia"/>
          <w:lang w:val="en-US" w:eastAsia="zh-CN"/>
        </w:rPr>
        <w:t>根据新乡化纤股份有限公司提供</w:t>
      </w:r>
      <w:r>
        <w:rPr>
          <w:rFonts w:hint="eastAsia"/>
        </w:rPr>
        <w:t>厂区</w:t>
      </w:r>
      <w:r>
        <w:rPr>
          <w:rFonts w:hint="eastAsia"/>
          <w:lang w:val="en-US" w:eastAsia="zh-CN"/>
        </w:rPr>
        <w:t>废水</w:t>
      </w:r>
      <w:r>
        <w:rPr>
          <w:rFonts w:hint="eastAsia"/>
        </w:rPr>
        <w:t>总排口202</w:t>
      </w:r>
      <w:r>
        <w:rPr>
          <w:rFonts w:hint="eastAsia"/>
          <w:lang w:val="en-US" w:eastAsia="zh-CN"/>
        </w:rPr>
        <w:t>3</w:t>
      </w:r>
      <w:r>
        <w:rPr>
          <w:rFonts w:hint="eastAsia"/>
        </w:rPr>
        <w:t>年份</w:t>
      </w:r>
      <w:r>
        <w:rPr>
          <w:rFonts w:hint="eastAsia"/>
          <w:lang w:val="en-US" w:eastAsia="zh-CN"/>
        </w:rPr>
        <w:t>在线数据及</w:t>
      </w:r>
      <w:r>
        <w:rPr>
          <w:rFonts w:hint="eastAsia"/>
        </w:rPr>
        <w:t>新乡化纤股份有限公司提供的2</w:t>
      </w:r>
      <w:r>
        <w:t>02</w:t>
      </w:r>
      <w:r>
        <w:rPr>
          <w:rFonts w:hint="eastAsia"/>
        </w:rPr>
        <w:t>3年</w:t>
      </w:r>
      <w:r>
        <w:t>1</w:t>
      </w:r>
      <w:r>
        <w:rPr>
          <w:rFonts w:hint="eastAsia"/>
        </w:rPr>
        <w:t>2月检测报告</w:t>
      </w:r>
      <w:r>
        <w:rPr>
          <w:rFonts w:hint="eastAsia"/>
          <w:lang w:eastAsia="zh-CN"/>
        </w:rPr>
        <w:t>，</w:t>
      </w:r>
      <w:r>
        <w:rPr>
          <w:rFonts w:hint="eastAsia"/>
          <w:color w:val="auto"/>
        </w:rPr>
        <w:t>出水中污染物浓度分别为：COD</w:t>
      </w:r>
      <w:r>
        <w:rPr>
          <w:rFonts w:hint="eastAsia"/>
          <w:color w:val="auto"/>
          <w:lang w:val="en-US" w:eastAsia="zh-CN"/>
        </w:rPr>
        <w:t>81.097</w:t>
      </w:r>
      <w:r>
        <w:rPr>
          <w:rFonts w:hint="eastAsia"/>
          <w:color w:val="auto"/>
        </w:rPr>
        <w:t>mg/L、NH</w:t>
      </w:r>
      <w:r>
        <w:rPr>
          <w:rFonts w:hint="eastAsia"/>
          <w:color w:val="auto"/>
          <w:vertAlign w:val="subscript"/>
        </w:rPr>
        <w:t>3</w:t>
      </w:r>
      <w:r>
        <w:rPr>
          <w:rFonts w:hint="eastAsia"/>
          <w:color w:val="auto"/>
        </w:rPr>
        <w:t>-N</w:t>
      </w:r>
      <w:r>
        <w:rPr>
          <w:rFonts w:hint="eastAsia"/>
          <w:color w:val="auto"/>
          <w:lang w:val="en-US" w:eastAsia="zh-CN"/>
        </w:rPr>
        <w:t>2.5</w:t>
      </w:r>
      <w:r>
        <w:rPr>
          <w:rFonts w:hint="eastAsia"/>
          <w:color w:val="auto"/>
        </w:rPr>
        <w:t>mg/L、TP</w:t>
      </w:r>
      <w:r>
        <w:rPr>
          <w:rFonts w:hint="eastAsia"/>
          <w:color w:val="auto"/>
          <w:lang w:val="en-US" w:eastAsia="zh-CN"/>
        </w:rPr>
        <w:t>0.098</w:t>
      </w:r>
      <w:r>
        <w:rPr>
          <w:rFonts w:hint="eastAsia"/>
          <w:color w:val="auto"/>
        </w:rPr>
        <w:t>mg/L、TN</w:t>
      </w:r>
      <w:r>
        <w:rPr>
          <w:rFonts w:hint="eastAsia"/>
          <w:color w:val="auto"/>
          <w:lang w:val="en-US" w:eastAsia="zh-CN"/>
        </w:rPr>
        <w:t>17.717</w:t>
      </w:r>
      <w:r>
        <w:rPr>
          <w:rFonts w:hint="eastAsia"/>
          <w:color w:val="auto"/>
        </w:rPr>
        <w:t>mg/L，能够满足《污水综合排放标准》（GB8978-1996）表4</w:t>
      </w:r>
      <w:r>
        <w:rPr>
          <w:rFonts w:hint="eastAsia"/>
          <w:color w:val="auto"/>
          <w:lang w:val="en-US" w:eastAsia="zh-CN"/>
        </w:rPr>
        <w:t>二级</w:t>
      </w:r>
      <w:r>
        <w:rPr>
          <w:rFonts w:hint="eastAsia"/>
          <w:color w:val="auto"/>
          <w:lang w:eastAsia="zh-CN"/>
        </w:rPr>
        <w:t>、</w:t>
      </w:r>
      <w:r>
        <w:rPr>
          <w:rFonts w:hint="eastAsia"/>
          <w:color w:val="auto"/>
          <w:lang w:val="en-US" w:eastAsia="zh-CN"/>
        </w:rPr>
        <w:t>与小店污水处理厂收水协议标准及</w:t>
      </w:r>
      <w:r>
        <w:rPr>
          <w:rFonts w:hint="eastAsia"/>
          <w:color w:val="auto"/>
        </w:rPr>
        <w:t>小店污水处理厂的收水</w:t>
      </w:r>
      <w:r>
        <w:rPr>
          <w:rFonts w:hint="eastAsia"/>
          <w:color w:val="auto"/>
          <w:lang w:val="en-US" w:eastAsia="zh-CN"/>
        </w:rPr>
        <w:t>标准</w:t>
      </w:r>
      <w:r>
        <w:rPr>
          <w:rFonts w:hint="eastAsia"/>
          <w:color w:val="auto"/>
        </w:rPr>
        <w:t>的要求COD</w:t>
      </w:r>
      <w:r>
        <w:rPr>
          <w:color w:val="auto"/>
        </w:rPr>
        <w:t xml:space="preserve"> </w:t>
      </w:r>
      <w:r>
        <w:rPr>
          <w:rFonts w:hint="eastAsia"/>
          <w:color w:val="auto"/>
        </w:rPr>
        <w:t>300mg/L、NH</w:t>
      </w:r>
      <w:r>
        <w:rPr>
          <w:rFonts w:hint="eastAsia"/>
          <w:color w:val="auto"/>
          <w:vertAlign w:val="subscript"/>
        </w:rPr>
        <w:t>3</w:t>
      </w:r>
      <w:r>
        <w:rPr>
          <w:rFonts w:hint="eastAsia"/>
          <w:color w:val="auto"/>
        </w:rPr>
        <w:t>-N</w:t>
      </w:r>
      <w:r>
        <w:rPr>
          <w:color w:val="auto"/>
        </w:rPr>
        <w:t xml:space="preserve"> </w:t>
      </w:r>
      <w:r>
        <w:rPr>
          <w:rFonts w:hint="eastAsia"/>
          <w:color w:val="auto"/>
          <w:lang w:val="en-US" w:eastAsia="zh-CN"/>
        </w:rPr>
        <w:t>1</w:t>
      </w:r>
      <w:r>
        <w:rPr>
          <w:rFonts w:hint="eastAsia"/>
          <w:color w:val="auto"/>
        </w:rPr>
        <w:t>5mg/L、TP</w:t>
      </w:r>
      <w:r>
        <w:rPr>
          <w:color w:val="auto"/>
        </w:rPr>
        <w:t xml:space="preserve"> </w:t>
      </w:r>
      <w:r>
        <w:rPr>
          <w:rFonts w:hint="eastAsia"/>
          <w:color w:val="auto"/>
        </w:rPr>
        <w:t>1.0mg/L</w:t>
      </w:r>
      <w:r>
        <w:rPr>
          <w:rFonts w:hint="eastAsia"/>
          <w:color w:val="auto"/>
          <w:lang w:eastAsia="zh-CN"/>
        </w:rPr>
        <w:t>、</w:t>
      </w:r>
      <w:r>
        <w:rPr>
          <w:rFonts w:hint="eastAsia"/>
          <w:color w:val="auto"/>
        </w:rPr>
        <w:t>TN</w:t>
      </w:r>
      <w:r>
        <w:rPr>
          <w:color w:val="auto"/>
        </w:rPr>
        <w:t xml:space="preserve"> </w:t>
      </w:r>
      <w:r>
        <w:rPr>
          <w:rFonts w:hint="eastAsia"/>
          <w:color w:val="auto"/>
        </w:rPr>
        <w:t>40mg/L</w:t>
      </w:r>
      <w:r>
        <w:rPr>
          <w:rFonts w:hint="eastAsia"/>
          <w:color w:val="auto"/>
          <w:lang w:eastAsia="zh-CN"/>
        </w:rPr>
        <w:t>。</w:t>
      </w:r>
    </w:p>
    <w:p w14:paraId="42AFB6DA">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color w:val="auto"/>
        </w:rPr>
      </w:pPr>
      <w:r>
        <w:rPr>
          <w:rFonts w:hint="eastAsia"/>
          <w:color w:val="auto"/>
        </w:rPr>
        <w:t>根据公司年产3</w:t>
      </w:r>
      <w:r>
        <w:rPr>
          <w:color w:val="auto"/>
        </w:rPr>
        <w:t>×</w:t>
      </w:r>
      <w:r>
        <w:rPr>
          <w:rFonts w:hint="eastAsia"/>
          <w:color w:val="auto"/>
        </w:rPr>
        <w:t>2万吨超细旦氨纶纤维项目（二期工程）验收监测报告中相关数据，厂区污水处理站外排废水中DMAC的检测值为未检出。新乡化纤厂化验室对厂区污水处理站总排口废水监测结果，DMAC浓度为2.16mg/L~3.12mg/L，平均值为2.78mg/L，满足前苏联（1975）水体中二甲基甲酰胺有害物质最高允许浓度10mg/L的标准。</w:t>
      </w:r>
    </w:p>
    <w:p w14:paraId="05C74E75">
      <w:pPr>
        <w:keepNext w:val="0"/>
        <w:keepLines w:val="0"/>
        <w:pageBreakBefore w:val="0"/>
        <w:widowControl w:val="0"/>
        <w:kinsoku/>
        <w:wordWrap/>
        <w:overflowPunct/>
        <w:topLinePunct w:val="0"/>
        <w:autoSpaceDE/>
        <w:autoSpaceDN/>
        <w:bidi w:val="0"/>
        <w:adjustRightInd w:val="0"/>
        <w:snapToGrid w:val="0"/>
        <w:spacing w:line="360" w:lineRule="auto"/>
        <w:textAlignment w:val="auto"/>
      </w:pPr>
      <w:r>
        <w:rPr>
          <w:rFonts w:hint="eastAsia"/>
        </w:rPr>
        <w:t>（2）在建工程建成后</w:t>
      </w:r>
    </w:p>
    <w:p w14:paraId="2223D58A">
      <w:pPr>
        <w:keepNext w:val="0"/>
        <w:keepLines w:val="0"/>
        <w:pageBreakBefore w:val="0"/>
        <w:widowControl w:val="0"/>
        <w:kinsoku/>
        <w:wordWrap/>
        <w:overflowPunct/>
        <w:topLinePunct w:val="0"/>
        <w:autoSpaceDE/>
        <w:autoSpaceDN/>
        <w:bidi w:val="0"/>
        <w:adjustRightInd w:val="0"/>
        <w:snapToGrid w:val="0"/>
        <w:spacing w:line="360" w:lineRule="auto"/>
        <w:textAlignment w:val="auto"/>
      </w:pPr>
      <w:r>
        <w:rPr>
          <w:rFonts w:hint="eastAsia"/>
        </w:rPr>
        <w:t>根据在建项目的环评，在建项目主要为</w:t>
      </w:r>
      <w:r>
        <w:rPr>
          <w:rFonts w:hint="eastAsia"/>
          <w:lang w:val="en-US" w:eastAsia="zh-CN"/>
        </w:rPr>
        <w:t>超柔软</w:t>
      </w:r>
      <w:r>
        <w:rPr>
          <w:rFonts w:hint="eastAsia"/>
        </w:rPr>
        <w:t>氨纶纤维项目、</w:t>
      </w:r>
      <w:r>
        <w:rPr>
          <w:rFonts w:hint="eastAsia"/>
          <w:lang w:val="en-US" w:eastAsia="zh-CN"/>
        </w:rPr>
        <w:t>菌草</w:t>
      </w:r>
      <w:r>
        <w:rPr>
          <w:rFonts w:hint="eastAsia"/>
        </w:rPr>
        <w:t>项目。企业设计将</w:t>
      </w:r>
      <w:r>
        <w:rPr>
          <w:rFonts w:hint="eastAsia"/>
          <w:lang w:val="en-US" w:eastAsia="zh-CN"/>
        </w:rPr>
        <w:t>超柔软</w:t>
      </w:r>
      <w:r>
        <w:rPr>
          <w:rFonts w:hint="eastAsia"/>
        </w:rPr>
        <w:t>氨纶纤维项目、</w:t>
      </w:r>
      <w:r>
        <w:rPr>
          <w:rFonts w:hint="eastAsia"/>
          <w:lang w:val="en-US" w:eastAsia="zh-CN"/>
        </w:rPr>
        <w:t>菌草</w:t>
      </w:r>
      <w:r>
        <w:rPr>
          <w:rFonts w:hint="eastAsia"/>
        </w:rPr>
        <w:t>项目生产工艺废水送入现有厂区污水处理站“氨纶处理单元”进行处置，污水处理站处理工艺为“</w:t>
      </w:r>
      <w:r>
        <w:rPr>
          <w:rFonts w:hint="eastAsia"/>
          <w:lang w:eastAsia="zh-CN"/>
        </w:rPr>
        <w:t>调节+混合池+沉淀+水解酸化+氧化沟+二沉池</w:t>
      </w:r>
      <w:r>
        <w:rPr>
          <w:rFonts w:hint="eastAsia"/>
        </w:rPr>
        <w:t>”，将长丝工程废水采用分质分类处理，其中粘胶废水先进入酸化池内与少量酸性废水混合降低有机物浓度，经“调节+中和+沉淀+氧化沟+二沉池”处理，长丝酸性废水经“中和+沉淀”处理，处理后同厂区其他处理后的废水以及脱盐水产生的废水混合，外排进入厂外污水管网，最终进入小店污水处理厂进行处置；根据环评预测结果，外排废水水质可以满足</w:t>
      </w:r>
      <w:r>
        <w:rPr>
          <w:rFonts w:hint="eastAsia"/>
          <w:color w:val="auto"/>
        </w:rPr>
        <w:t>《污水综合排放标准》（GB8978-1996）表4</w:t>
      </w:r>
      <w:r>
        <w:rPr>
          <w:rFonts w:hint="eastAsia"/>
          <w:color w:val="auto"/>
          <w:lang w:val="en-US" w:eastAsia="zh-CN"/>
        </w:rPr>
        <w:t>二级</w:t>
      </w:r>
      <w:r>
        <w:rPr>
          <w:rFonts w:hint="eastAsia"/>
          <w:color w:val="auto"/>
          <w:lang w:eastAsia="zh-CN"/>
        </w:rPr>
        <w:t>、</w:t>
      </w:r>
      <w:r>
        <w:rPr>
          <w:rFonts w:hint="eastAsia"/>
          <w:color w:val="auto"/>
          <w:lang w:val="en-US" w:eastAsia="zh-CN"/>
        </w:rPr>
        <w:t>与小店污水处理厂收水协议标准及</w:t>
      </w:r>
      <w:r>
        <w:rPr>
          <w:rFonts w:hint="eastAsia"/>
          <w:color w:val="auto"/>
        </w:rPr>
        <w:t>小店污水处理厂的收水</w:t>
      </w:r>
      <w:r>
        <w:rPr>
          <w:rFonts w:hint="eastAsia"/>
          <w:color w:val="auto"/>
          <w:lang w:val="en-US" w:eastAsia="zh-CN"/>
        </w:rPr>
        <w:t>标准</w:t>
      </w:r>
      <w:r>
        <w:rPr>
          <w:rFonts w:hint="eastAsia"/>
        </w:rPr>
        <w:t>。</w:t>
      </w:r>
    </w:p>
    <w:p w14:paraId="5496D5E4">
      <w:pPr>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auto"/>
        </w:rPr>
      </w:pPr>
      <w:r>
        <w:rPr>
          <w:rFonts w:hint="eastAsia"/>
          <w:color w:val="auto"/>
        </w:rPr>
        <w:t>（3）本工程建成后</w:t>
      </w:r>
    </w:p>
    <w:p w14:paraId="1507B58F">
      <w:pPr>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auto"/>
        </w:rPr>
      </w:pPr>
      <w:r>
        <w:rPr>
          <w:rFonts w:hint="eastAsia"/>
          <w:lang w:val="en-US" w:eastAsia="zh-CN"/>
        </w:rPr>
        <w:t>根据</w:t>
      </w:r>
      <w:r>
        <w:rPr>
          <w:rFonts w:hint="eastAsia"/>
        </w:rPr>
        <w:t>厂区污水处理站总排口202</w:t>
      </w:r>
      <w:r>
        <w:rPr>
          <w:rFonts w:hint="eastAsia"/>
          <w:lang w:val="en-US" w:eastAsia="zh-CN"/>
        </w:rPr>
        <w:t>3</w:t>
      </w:r>
      <w:r>
        <w:rPr>
          <w:rFonts w:hint="eastAsia"/>
        </w:rPr>
        <w:t>年</w:t>
      </w:r>
      <w:r>
        <w:rPr>
          <w:rFonts w:hint="eastAsia"/>
          <w:lang w:val="en-US" w:eastAsia="zh-CN"/>
        </w:rPr>
        <w:t>在线数据及</w:t>
      </w:r>
      <w:r>
        <w:rPr>
          <w:rFonts w:hint="eastAsia"/>
        </w:rPr>
        <w:t>新乡化纤股份有限公司提供的2</w:t>
      </w:r>
      <w:r>
        <w:t>02</w:t>
      </w:r>
      <w:r>
        <w:rPr>
          <w:rFonts w:hint="eastAsia"/>
        </w:rPr>
        <w:t>3年</w:t>
      </w:r>
      <w:r>
        <w:t>1</w:t>
      </w:r>
      <w:r>
        <w:rPr>
          <w:rFonts w:hint="eastAsia"/>
        </w:rPr>
        <w:t>2月检测报告</w:t>
      </w:r>
      <w:r>
        <w:rPr>
          <w:rFonts w:hint="eastAsia"/>
          <w:lang w:eastAsia="zh-CN"/>
        </w:rPr>
        <w:t>，</w:t>
      </w:r>
      <w:r>
        <w:rPr>
          <w:rFonts w:hint="eastAsia"/>
          <w:color w:val="auto"/>
        </w:rPr>
        <w:t>本项目</w:t>
      </w:r>
      <w:r>
        <w:rPr>
          <w:rFonts w:hint="eastAsia"/>
          <w:color w:val="auto"/>
          <w:lang w:val="en-US" w:eastAsia="zh-CN"/>
        </w:rPr>
        <w:t>建成后</w:t>
      </w:r>
      <w:r>
        <w:rPr>
          <w:rFonts w:hint="eastAsia"/>
          <w:color w:val="auto"/>
        </w:rPr>
        <w:t>生产废水</w:t>
      </w:r>
      <w:r>
        <w:rPr>
          <w:rFonts w:hint="eastAsia"/>
          <w:color w:val="auto"/>
          <w:lang w:val="en-US" w:eastAsia="zh-CN"/>
        </w:rPr>
        <w:t>排入厂区废水处理站出水水质</w:t>
      </w:r>
      <w:r>
        <w:rPr>
          <w:rFonts w:hint="eastAsia"/>
          <w:color w:val="auto"/>
        </w:rPr>
        <w:t>，可以认为本项目建成后对新乡化纤股份有限公司新厂区3.8万t/d污水处理站总排口的出水水质基本没有影响，总排口的水质</w:t>
      </w:r>
      <w:r>
        <w:rPr>
          <w:rFonts w:hint="eastAsia"/>
          <w:color w:val="auto"/>
          <w:lang w:val="en-US" w:eastAsia="zh-CN"/>
        </w:rPr>
        <w:t>基本</w:t>
      </w:r>
      <w:r>
        <w:rPr>
          <w:rFonts w:hint="eastAsia"/>
          <w:color w:val="auto"/>
        </w:rPr>
        <w:t>不变。</w:t>
      </w:r>
    </w:p>
    <w:p w14:paraId="4F036436">
      <w:pPr>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auto"/>
        </w:rPr>
      </w:pPr>
      <w:r>
        <w:rPr>
          <w:rFonts w:hint="eastAsia"/>
          <w:color w:val="auto"/>
        </w:rPr>
        <w:t>综上，本项目</w:t>
      </w:r>
      <w:r>
        <w:rPr>
          <w:rFonts w:hint="eastAsia"/>
          <w:color w:val="auto"/>
          <w:lang w:val="en-US" w:eastAsia="zh-CN"/>
        </w:rPr>
        <w:t>厂区污水处理站氨纶废水</w:t>
      </w:r>
      <w:r>
        <w:rPr>
          <w:rFonts w:hint="eastAsia"/>
          <w:bCs/>
          <w:color w:val="auto"/>
          <w:highlight w:val="none"/>
          <w:lang w:val="en-US" w:eastAsia="zh-CN"/>
        </w:rPr>
        <w:t>处理单元</w:t>
      </w:r>
      <w:r>
        <w:rPr>
          <w:rFonts w:hint="eastAsia"/>
          <w:color w:val="auto"/>
        </w:rPr>
        <w:t>处理是可行的。</w:t>
      </w:r>
    </w:p>
    <w:p w14:paraId="4DF93207">
      <w:pPr>
        <w:pStyle w:val="6"/>
        <w:bidi w:val="0"/>
      </w:pPr>
      <w:r>
        <w:rPr>
          <w:rFonts w:hint="eastAsia"/>
        </w:rPr>
        <w:t>项目新增废水进入小店污水处理厂可行性分析</w:t>
      </w:r>
    </w:p>
    <w:p w14:paraId="27E767F1">
      <w:pPr>
        <w:pStyle w:val="143"/>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ascii="Times New Roman" w:hAnsi="Times New Roman" w:cs="Times New Roman"/>
          <w:bCs/>
          <w:color w:val="auto"/>
        </w:rPr>
      </w:pPr>
      <w:r>
        <w:rPr>
          <w:rFonts w:hint="eastAsia" w:ascii="Times New Roman" w:hAnsi="Times New Roman" w:cs="Times New Roman"/>
          <w:bCs/>
          <w:color w:val="auto"/>
        </w:rPr>
        <w:t>小店污水处理厂位于新长北线以北、东三干渠以西，紧邻规划区西边界，设计处理规模为10万m</w:t>
      </w:r>
      <w:r>
        <w:rPr>
          <w:rFonts w:hint="eastAsia" w:ascii="Times New Roman" w:hAnsi="Times New Roman" w:cs="Times New Roman"/>
          <w:bCs/>
          <w:color w:val="auto"/>
          <w:vertAlign w:val="superscript"/>
        </w:rPr>
        <w:t>3</w:t>
      </w:r>
      <w:r>
        <w:rPr>
          <w:rFonts w:hint="eastAsia" w:ascii="Times New Roman" w:hAnsi="Times New Roman" w:cs="Times New Roman"/>
          <w:bCs/>
          <w:color w:val="auto"/>
        </w:rPr>
        <w:t>/d，分两期建设。一期5万m</w:t>
      </w:r>
      <w:r>
        <w:rPr>
          <w:rFonts w:hint="eastAsia" w:ascii="Times New Roman" w:hAnsi="Times New Roman" w:cs="Times New Roman"/>
          <w:bCs/>
          <w:color w:val="auto"/>
          <w:vertAlign w:val="superscript"/>
        </w:rPr>
        <w:t>3</w:t>
      </w:r>
      <w:r>
        <w:rPr>
          <w:rFonts w:hint="eastAsia" w:ascii="Times New Roman" w:hAnsi="Times New Roman" w:cs="Times New Roman"/>
          <w:bCs/>
          <w:color w:val="auto"/>
        </w:rPr>
        <w:t>/d目前已运行多年，目前接近满负荷运营，二期工程已于2018年1月开始调试运行。小店污水处理厂的收水范围为小店新城生活污水、新乡市经济技术开发区的工业和生活污水，本项目属于小店污水处理厂的收水范围。</w:t>
      </w:r>
    </w:p>
    <w:p w14:paraId="27952D81">
      <w:pPr>
        <w:pStyle w:val="143"/>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ascii="Times New Roman" w:hAnsi="Times New Roman" w:cs="Times New Roman"/>
          <w:bCs/>
          <w:color w:val="auto"/>
        </w:rPr>
      </w:pPr>
      <w:r>
        <w:rPr>
          <w:rFonts w:hint="eastAsia" w:ascii="Times New Roman" w:hAnsi="Times New Roman" w:cs="Times New Roman"/>
          <w:bCs/>
          <w:color w:val="auto"/>
        </w:rPr>
        <w:t>本项目废水经厂区污水处理系统处理后排入小店污水处理厂进一步处理，处理后排入大沙河。本项目新增外排</w:t>
      </w:r>
      <w:r>
        <w:rPr>
          <w:rFonts w:hint="eastAsia"/>
          <w:b w:val="0"/>
          <w:bCs w:val="0"/>
          <w:color w:val="auto"/>
          <w:highlight w:val="none"/>
          <w:u w:val="none"/>
        </w:rPr>
        <w:t>废水产生</w:t>
      </w:r>
      <w:r>
        <w:rPr>
          <w:rFonts w:hint="default" w:ascii="Times New Roman" w:hAnsi="Times New Roman" w:cs="Times New Roman"/>
          <w:b w:val="0"/>
          <w:bCs w:val="0"/>
          <w:color w:val="auto"/>
          <w:highlight w:val="none"/>
          <w:u w:val="none"/>
        </w:rPr>
        <w:t>量为</w:t>
      </w:r>
      <w:r>
        <w:rPr>
          <w:rFonts w:hint="eastAsia" w:ascii="Times New Roman" w:hAnsi="Times New Roman" w:cs="Times New Roman"/>
          <w:b w:val="0"/>
          <w:bCs w:val="0"/>
          <w:color w:val="auto"/>
          <w:highlight w:val="none"/>
          <w:u w:val="none"/>
          <w:lang w:val="en-US" w:eastAsia="zh-CN"/>
        </w:rPr>
        <w:t>750.31</w:t>
      </w:r>
      <w:r>
        <w:rPr>
          <w:rFonts w:hint="default" w:ascii="Times New Roman" w:hAnsi="Times New Roman" w:cs="Times New Roman"/>
          <w:b w:val="0"/>
          <w:bCs w:val="0"/>
          <w:color w:val="auto"/>
          <w:highlight w:val="none"/>
          <w:u w:val="none"/>
        </w:rPr>
        <w:t>m</w:t>
      </w:r>
      <w:r>
        <w:rPr>
          <w:rFonts w:hint="default" w:ascii="Times New Roman" w:hAnsi="Times New Roman" w:cs="Times New Roman"/>
          <w:b w:val="0"/>
          <w:bCs w:val="0"/>
          <w:color w:val="auto"/>
          <w:highlight w:val="none"/>
          <w:u w:val="none"/>
          <w:vertAlign w:val="superscript"/>
        </w:rPr>
        <w:t>3</w:t>
      </w:r>
      <w:r>
        <w:rPr>
          <w:rFonts w:hint="default" w:ascii="Times New Roman" w:hAnsi="Times New Roman" w:cs="Times New Roman"/>
          <w:b w:val="0"/>
          <w:bCs w:val="0"/>
          <w:color w:val="auto"/>
          <w:highlight w:val="none"/>
          <w:u w:val="none"/>
        </w:rPr>
        <w:t>/d</w:t>
      </w:r>
      <w:r>
        <w:rPr>
          <w:rFonts w:hint="default" w:ascii="Times New Roman" w:hAnsi="Times New Roman" w:cs="Times New Roman"/>
          <w:b w:val="0"/>
          <w:bCs w:val="0"/>
          <w:color w:val="auto"/>
          <w:highlight w:val="none"/>
          <w:u w:val="none"/>
          <w:lang w:eastAsia="zh-CN"/>
        </w:rPr>
        <w:t>，</w:t>
      </w:r>
      <w:r>
        <w:rPr>
          <w:rFonts w:hint="eastAsia" w:ascii="Times New Roman" w:hAnsi="Times New Roman" w:cs="Times New Roman"/>
          <w:bCs/>
          <w:color w:val="auto"/>
        </w:rPr>
        <w:t>满足项目处理的需要，不会对污水处理厂造成冲击，可以稳定达标排放。</w:t>
      </w:r>
    </w:p>
    <w:p w14:paraId="5EFCA2A4">
      <w:pPr>
        <w:pStyle w:val="143"/>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ascii="Times New Roman" w:hAnsi="Times New Roman" w:cs="Times New Roman"/>
          <w:bCs/>
          <w:color w:val="auto"/>
        </w:rPr>
      </w:pPr>
      <w:r>
        <w:rPr>
          <w:rFonts w:hint="eastAsia" w:ascii="Times New Roman" w:hAnsi="Times New Roman" w:cs="Times New Roman"/>
          <w:bCs/>
          <w:color w:val="auto"/>
        </w:rPr>
        <w:t>小店污水处理厂管网铺设已完善并运行良好，本工程废水进入小店污水处理厂不存在管网制约因素。</w:t>
      </w:r>
    </w:p>
    <w:p w14:paraId="34849DCE">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color w:val="auto"/>
        </w:rPr>
      </w:pPr>
      <w:r>
        <w:rPr>
          <w:rFonts w:hint="eastAsia"/>
          <w:color w:val="auto"/>
        </w:rPr>
        <w:t>综上所述，评价认为本项目废水经厂内污水处理站处理后经市政管网排入小店污水处理厂处理是可行的。</w:t>
      </w:r>
    </w:p>
    <w:p w14:paraId="7FD3E9F9">
      <w:pPr>
        <w:pStyle w:val="5"/>
        <w:bidi w:val="0"/>
        <w:rPr>
          <w:color w:val="auto"/>
        </w:rPr>
      </w:pPr>
      <w:r>
        <w:rPr>
          <w:rFonts w:hint="eastAsia"/>
          <w:color w:val="auto"/>
        </w:rPr>
        <w:t>废气污染防治措施可行性分析</w:t>
      </w:r>
    </w:p>
    <w:p w14:paraId="6D4078A2">
      <w:pPr>
        <w:pStyle w:val="6"/>
        <w:bidi w:val="0"/>
        <w:rPr>
          <w:color w:val="auto"/>
        </w:rPr>
      </w:pPr>
      <w:r>
        <w:rPr>
          <w:rFonts w:hint="eastAsia"/>
          <w:color w:val="auto"/>
          <w:lang w:val="en-US" w:eastAsia="zh-CN"/>
        </w:rPr>
        <w:t>粉碎</w:t>
      </w:r>
      <w:r>
        <w:rPr>
          <w:rFonts w:hint="eastAsia"/>
          <w:color w:val="auto"/>
        </w:rPr>
        <w:t>废气防治技术分析</w:t>
      </w:r>
    </w:p>
    <w:p w14:paraId="2B7BDAFB">
      <w:pPr>
        <w:bidi w:val="0"/>
        <w:rPr>
          <w:rFonts w:hint="default" w:eastAsia="宋体"/>
          <w:color w:val="auto"/>
          <w:lang w:val="en-US" w:eastAsia="zh-CN"/>
        </w:rPr>
      </w:pPr>
      <w:r>
        <w:rPr>
          <w:rFonts w:hint="eastAsia"/>
          <w:color w:val="auto"/>
        </w:rPr>
        <w:t>本项目</w:t>
      </w:r>
      <w:r>
        <w:rPr>
          <w:rFonts w:hint="eastAsia"/>
          <w:color w:val="auto"/>
          <w:lang w:val="en-US" w:eastAsia="zh-CN"/>
        </w:rPr>
        <w:t>粉碎废气采用粉碎系统自带脉冲袋式除尘器</w:t>
      </w:r>
      <w:r>
        <w:rPr>
          <w:rFonts w:hint="eastAsia"/>
          <w:color w:val="auto"/>
        </w:rPr>
        <w:t>处理，</w:t>
      </w:r>
      <w:r>
        <w:rPr>
          <w:rFonts w:hint="eastAsia"/>
          <w:color w:val="auto"/>
          <w:lang w:val="en-US" w:eastAsia="zh-CN"/>
        </w:rPr>
        <w:t>处理效率可达99%，处理</w:t>
      </w:r>
      <w:r>
        <w:rPr>
          <w:rFonts w:hint="eastAsia"/>
          <w:b w:val="0"/>
          <w:bCs w:val="0"/>
          <w:color w:val="auto"/>
          <w:u w:val="none"/>
          <w:lang w:val="en-US" w:eastAsia="zh-CN"/>
        </w:rPr>
        <w:t>后</w:t>
      </w:r>
      <w:r>
        <w:rPr>
          <w:b w:val="0"/>
          <w:bCs w:val="0"/>
          <w:color w:val="auto"/>
          <w:u w:val="none"/>
        </w:rPr>
        <w:t>颗粒物</w:t>
      </w:r>
      <w:r>
        <w:rPr>
          <w:rFonts w:hint="eastAsia"/>
          <w:b w:val="0"/>
          <w:bCs w:val="0"/>
          <w:color w:val="auto"/>
          <w:u w:val="none"/>
          <w:lang w:val="en-US" w:eastAsia="zh-CN"/>
        </w:rPr>
        <w:t>排放浓度和排放速率均能够满足</w:t>
      </w:r>
      <w:r>
        <w:rPr>
          <w:b w:val="0"/>
          <w:bCs w:val="0"/>
          <w:color w:val="auto"/>
          <w:u w:val="none"/>
        </w:rPr>
        <w:t>《新乡市生态环境局关于进一步规范工业企业颗粒物排放限值的通知》</w:t>
      </w:r>
      <w:r>
        <w:rPr>
          <w:rFonts w:hint="eastAsia"/>
          <w:b w:val="0"/>
          <w:bCs w:val="0"/>
          <w:color w:val="auto"/>
          <w:u w:val="none"/>
        </w:rPr>
        <w:t>其他涉气工业企业10mg/m</w:t>
      </w:r>
      <w:r>
        <w:rPr>
          <w:rFonts w:hint="eastAsia"/>
          <w:b w:val="0"/>
          <w:bCs w:val="0"/>
          <w:color w:val="auto"/>
          <w:u w:val="none"/>
          <w:vertAlign w:val="superscript"/>
        </w:rPr>
        <w:t>3</w:t>
      </w:r>
      <w:r>
        <w:rPr>
          <w:rFonts w:hint="eastAsia"/>
          <w:b w:val="0"/>
          <w:bCs w:val="0"/>
          <w:color w:val="auto"/>
          <w:u w:val="none"/>
        </w:rPr>
        <w:t>（有组织）</w:t>
      </w:r>
      <w:r>
        <w:rPr>
          <w:rFonts w:hint="eastAsia"/>
          <w:b w:val="0"/>
          <w:bCs w:val="0"/>
          <w:color w:val="auto"/>
          <w:u w:val="none"/>
          <w:lang w:val="en-US" w:eastAsia="zh-CN"/>
        </w:rPr>
        <w:t>和《大气污染物综合排放标准》（GB16297-1996）中要求二级标准20m排气筒最高允许排放速率5.9kg/h。</w:t>
      </w:r>
      <w:r>
        <w:rPr>
          <w:rFonts w:hint="eastAsia"/>
          <w:color w:val="auto"/>
          <w:lang w:val="en-US" w:eastAsia="zh-CN"/>
        </w:rPr>
        <w:t>系统自带脉冲袋式除尘器收集效率100%，节约占地</w:t>
      </w:r>
      <w:r>
        <w:rPr>
          <w:rFonts w:hint="eastAsia"/>
          <w:color w:val="auto"/>
        </w:rPr>
        <w:t>。</w:t>
      </w:r>
      <w:r>
        <w:rPr>
          <w:rFonts w:hint="eastAsia"/>
          <w:color w:val="auto"/>
          <w:lang w:val="en-US" w:eastAsia="zh-CN"/>
        </w:rPr>
        <w:t>根据《排污许可证申请与核发技术规范 化学纤维制造业》（HJ 1102-2020）附录A浆粕生产工序产生的颗粒物使用袋式除尘器是可行技术，本项目使用脉冲袋式除尘器性能优于普通袋式除尘器，即本项目粉碎废气采用脉冲袋式除尘器处理技术可行。</w:t>
      </w:r>
    </w:p>
    <w:p w14:paraId="515A72E1">
      <w:pPr>
        <w:pStyle w:val="6"/>
        <w:bidi w:val="0"/>
        <w:rPr>
          <w:color w:val="auto"/>
        </w:rPr>
      </w:pPr>
      <w:r>
        <w:rPr>
          <w:rFonts w:hint="eastAsia"/>
          <w:color w:val="auto"/>
          <w:lang w:val="en-US" w:eastAsia="zh-CN"/>
        </w:rPr>
        <w:t>有机废气</w:t>
      </w:r>
      <w:r>
        <w:rPr>
          <w:rFonts w:hint="eastAsia"/>
          <w:color w:val="auto"/>
        </w:rPr>
        <w:t>防治技术分析</w:t>
      </w:r>
    </w:p>
    <w:p w14:paraId="59426D2E">
      <w:pPr>
        <w:bidi w:val="0"/>
        <w:rPr>
          <w:rFonts w:hint="eastAsia"/>
          <w:b/>
          <w:bCs/>
          <w:color w:val="auto"/>
          <w:u w:val="single"/>
          <w:lang w:val="en-US" w:eastAsia="zh-CN"/>
        </w:rPr>
      </w:pPr>
      <w:r>
        <w:rPr>
          <w:rFonts w:hint="eastAsia"/>
          <w:b/>
          <w:bCs/>
          <w:color w:val="auto"/>
          <w:u w:val="single"/>
          <w:lang w:val="en-US" w:eastAsia="zh-CN"/>
        </w:rPr>
        <w:t>*</w:t>
      </w:r>
    </w:p>
    <w:p w14:paraId="52406764">
      <w:pPr>
        <w:bidi w:val="0"/>
        <w:rPr>
          <w:rFonts w:hint="default"/>
          <w:b/>
          <w:bCs/>
          <w:color w:val="auto"/>
          <w:u w:val="single"/>
          <w:lang w:val="en-US" w:eastAsia="zh-CN"/>
        </w:rPr>
      </w:pPr>
      <w:r>
        <w:rPr>
          <w:rFonts w:hint="eastAsia"/>
          <w:b/>
          <w:bCs/>
          <w:color w:val="auto"/>
          <w:u w:val="single"/>
          <w:lang w:val="en-US" w:eastAsia="zh-CN"/>
        </w:rPr>
        <w:t>*</w:t>
      </w:r>
    </w:p>
    <w:p w14:paraId="7102EA45">
      <w:pPr>
        <w:bidi w:val="0"/>
        <w:rPr>
          <w:rFonts w:hint="eastAsia"/>
          <w:b/>
          <w:bCs/>
          <w:color w:val="auto"/>
          <w:u w:val="single"/>
          <w:lang w:val="en-US" w:eastAsia="zh-CN"/>
        </w:rPr>
      </w:pPr>
      <w:r>
        <w:rPr>
          <w:rFonts w:hint="eastAsia"/>
          <w:b/>
          <w:bCs/>
          <w:color w:val="auto"/>
          <w:u w:val="single"/>
          <w:lang w:val="en-US" w:eastAsia="zh-CN"/>
        </w:rPr>
        <w:t>*</w:t>
      </w:r>
    </w:p>
    <w:p w14:paraId="3E62D122">
      <w:pPr>
        <w:bidi w:val="0"/>
        <w:rPr>
          <w:rFonts w:hint="default"/>
          <w:b/>
          <w:bCs/>
          <w:color w:val="auto"/>
          <w:u w:val="single"/>
          <w:lang w:val="en-US" w:eastAsia="zh-CN"/>
        </w:rPr>
      </w:pPr>
      <w:r>
        <w:rPr>
          <w:rFonts w:hint="eastAsia"/>
          <w:b/>
          <w:bCs/>
          <w:color w:val="auto"/>
          <w:u w:val="single"/>
          <w:lang w:val="en-US" w:eastAsia="zh-CN"/>
        </w:rPr>
        <w:t>*</w:t>
      </w:r>
    </w:p>
    <w:p w14:paraId="1F86E327">
      <w:pPr>
        <w:bidi w:val="0"/>
        <w:rPr>
          <w:rFonts w:hint="eastAsia"/>
          <w:b/>
          <w:bCs/>
          <w:color w:val="auto"/>
          <w:u w:val="single"/>
          <w:lang w:val="en-US" w:eastAsia="zh-CN"/>
        </w:rPr>
      </w:pPr>
      <w:r>
        <w:rPr>
          <w:rFonts w:hint="eastAsia"/>
          <w:b/>
          <w:bCs/>
          <w:color w:val="auto"/>
          <w:u w:val="single"/>
          <w:lang w:val="en-US" w:eastAsia="zh-CN"/>
        </w:rPr>
        <w:t>*</w:t>
      </w:r>
    </w:p>
    <w:p w14:paraId="3280BB1A">
      <w:pPr>
        <w:bidi w:val="0"/>
        <w:rPr>
          <w:rFonts w:hint="default"/>
          <w:b/>
          <w:bCs/>
          <w:color w:val="auto"/>
          <w:u w:val="single"/>
          <w:lang w:val="en-US" w:eastAsia="zh-CN"/>
        </w:rPr>
      </w:pPr>
      <w:r>
        <w:rPr>
          <w:rFonts w:hint="eastAsia"/>
          <w:b/>
          <w:bCs/>
          <w:color w:val="auto"/>
          <w:u w:val="single"/>
          <w:lang w:val="en-US" w:eastAsia="zh-CN"/>
        </w:rPr>
        <w:t>*</w:t>
      </w:r>
    </w:p>
    <w:p w14:paraId="5635AB2E">
      <w:pPr>
        <w:bidi w:val="0"/>
        <w:rPr>
          <w:rFonts w:hint="eastAsia"/>
          <w:b/>
          <w:bCs/>
          <w:color w:val="auto"/>
          <w:u w:val="single"/>
          <w:lang w:val="en-US" w:eastAsia="zh-CN"/>
        </w:rPr>
      </w:pPr>
      <w:r>
        <w:rPr>
          <w:rFonts w:hint="eastAsia"/>
          <w:b/>
          <w:bCs/>
          <w:color w:val="auto"/>
          <w:u w:val="single"/>
          <w:lang w:val="en-US" w:eastAsia="zh-CN"/>
        </w:rPr>
        <w:t>*</w:t>
      </w:r>
    </w:p>
    <w:p w14:paraId="3A1A3711">
      <w:pPr>
        <w:bidi w:val="0"/>
        <w:rPr>
          <w:rFonts w:hint="default"/>
          <w:b/>
          <w:bCs/>
          <w:color w:val="auto"/>
          <w:u w:val="single"/>
          <w:lang w:val="en-US" w:eastAsia="zh-CN"/>
        </w:rPr>
      </w:pPr>
      <w:r>
        <w:rPr>
          <w:rFonts w:hint="eastAsia"/>
          <w:b/>
          <w:bCs/>
          <w:color w:val="auto"/>
          <w:u w:val="single"/>
          <w:lang w:val="en-US" w:eastAsia="zh-CN"/>
        </w:rPr>
        <w:t>*</w:t>
      </w:r>
    </w:p>
    <w:p w14:paraId="0156A444">
      <w:pPr>
        <w:bidi w:val="0"/>
        <w:rPr>
          <w:rFonts w:hint="eastAsia"/>
          <w:b/>
          <w:bCs/>
          <w:color w:val="auto"/>
          <w:u w:val="single"/>
          <w:lang w:val="en-US" w:eastAsia="zh-CN"/>
        </w:rPr>
      </w:pPr>
      <w:r>
        <w:rPr>
          <w:rFonts w:hint="eastAsia"/>
          <w:b/>
          <w:bCs/>
          <w:color w:val="auto"/>
          <w:u w:val="single"/>
          <w:lang w:val="en-US" w:eastAsia="zh-CN"/>
        </w:rPr>
        <w:t>*</w:t>
      </w:r>
    </w:p>
    <w:p w14:paraId="08B11AF4">
      <w:pPr>
        <w:bidi w:val="0"/>
        <w:rPr>
          <w:rFonts w:hint="default"/>
          <w:b/>
          <w:bCs/>
          <w:color w:val="auto"/>
          <w:u w:val="single"/>
          <w:lang w:val="en-US" w:eastAsia="zh-CN"/>
        </w:rPr>
      </w:pPr>
      <w:r>
        <w:rPr>
          <w:rFonts w:hint="eastAsia"/>
          <w:b/>
          <w:bCs/>
          <w:color w:val="auto"/>
          <w:u w:val="single"/>
          <w:lang w:val="en-US" w:eastAsia="zh-CN"/>
        </w:rPr>
        <w:t>*</w:t>
      </w:r>
    </w:p>
    <w:p w14:paraId="61848D5C">
      <w:pPr>
        <w:bidi w:val="0"/>
        <w:rPr>
          <w:rFonts w:hint="eastAsia"/>
          <w:b/>
          <w:bCs/>
          <w:color w:val="auto"/>
          <w:u w:val="single"/>
          <w:lang w:val="en-US" w:eastAsia="zh-CN"/>
        </w:rPr>
      </w:pPr>
      <w:r>
        <w:rPr>
          <w:rFonts w:hint="eastAsia"/>
          <w:b/>
          <w:bCs/>
          <w:color w:val="auto"/>
          <w:u w:val="single"/>
          <w:lang w:val="en-US" w:eastAsia="zh-CN"/>
        </w:rPr>
        <w:t>*</w:t>
      </w:r>
    </w:p>
    <w:p w14:paraId="4920AF51">
      <w:pPr>
        <w:bidi w:val="0"/>
        <w:rPr>
          <w:rFonts w:hint="default"/>
          <w:b/>
          <w:bCs/>
          <w:color w:val="auto"/>
          <w:u w:val="single"/>
          <w:lang w:val="en-US" w:eastAsia="zh-CN"/>
        </w:rPr>
      </w:pPr>
      <w:r>
        <w:rPr>
          <w:rFonts w:hint="eastAsia"/>
          <w:b/>
          <w:bCs/>
          <w:color w:val="auto"/>
          <w:u w:val="single"/>
          <w:lang w:val="en-US" w:eastAsia="zh-CN"/>
        </w:rPr>
        <w:t>*</w:t>
      </w:r>
    </w:p>
    <w:p w14:paraId="4FD5A64C">
      <w:pPr>
        <w:bidi w:val="0"/>
        <w:rPr>
          <w:rFonts w:hint="eastAsia"/>
          <w:b/>
          <w:bCs/>
          <w:color w:val="auto"/>
          <w:u w:val="single"/>
          <w:lang w:val="en-US" w:eastAsia="zh-CN"/>
        </w:rPr>
      </w:pPr>
      <w:r>
        <w:rPr>
          <w:rFonts w:hint="eastAsia"/>
          <w:b/>
          <w:bCs/>
          <w:color w:val="auto"/>
          <w:u w:val="single"/>
          <w:lang w:val="en-US" w:eastAsia="zh-CN"/>
        </w:rPr>
        <w:t>*</w:t>
      </w:r>
    </w:p>
    <w:p w14:paraId="0D005902">
      <w:pPr>
        <w:bidi w:val="0"/>
        <w:rPr>
          <w:rFonts w:hint="default"/>
          <w:b/>
          <w:bCs/>
          <w:color w:val="auto"/>
          <w:u w:val="single"/>
          <w:lang w:val="en-US" w:eastAsia="zh-CN"/>
        </w:rPr>
      </w:pPr>
      <w:r>
        <w:rPr>
          <w:rFonts w:hint="eastAsia"/>
          <w:b/>
          <w:bCs/>
          <w:color w:val="auto"/>
          <w:u w:val="single"/>
          <w:lang w:val="en-US" w:eastAsia="zh-CN"/>
        </w:rPr>
        <w:t>*</w:t>
      </w:r>
    </w:p>
    <w:p w14:paraId="768AEE60">
      <w:pPr>
        <w:bidi w:val="0"/>
        <w:rPr>
          <w:rFonts w:hint="eastAsia"/>
          <w:b/>
          <w:bCs/>
          <w:color w:val="auto"/>
          <w:u w:val="single"/>
          <w:lang w:val="en-US" w:eastAsia="zh-CN"/>
        </w:rPr>
      </w:pPr>
      <w:r>
        <w:rPr>
          <w:rFonts w:hint="eastAsia"/>
          <w:b/>
          <w:bCs/>
          <w:color w:val="auto"/>
          <w:u w:val="single"/>
          <w:lang w:val="en-US" w:eastAsia="zh-CN"/>
        </w:rPr>
        <w:t>*</w:t>
      </w:r>
    </w:p>
    <w:p w14:paraId="39077361">
      <w:pPr>
        <w:bidi w:val="0"/>
        <w:rPr>
          <w:rFonts w:hint="default"/>
          <w:b/>
          <w:bCs/>
          <w:color w:val="auto"/>
          <w:u w:val="single"/>
          <w:lang w:val="en-US" w:eastAsia="zh-CN"/>
        </w:rPr>
      </w:pPr>
      <w:r>
        <w:rPr>
          <w:rFonts w:hint="eastAsia"/>
          <w:b/>
          <w:bCs/>
          <w:color w:val="auto"/>
          <w:u w:val="single"/>
          <w:lang w:val="en-US" w:eastAsia="zh-CN"/>
        </w:rPr>
        <w:t>*</w:t>
      </w:r>
    </w:p>
    <w:p w14:paraId="12FDBECE">
      <w:pPr>
        <w:bidi w:val="0"/>
        <w:rPr>
          <w:rFonts w:hint="eastAsia"/>
          <w:b/>
          <w:bCs/>
          <w:color w:val="auto"/>
          <w:u w:val="single"/>
          <w:lang w:val="en-US" w:eastAsia="zh-CN"/>
        </w:rPr>
      </w:pPr>
      <w:r>
        <w:rPr>
          <w:rFonts w:hint="eastAsia"/>
          <w:b/>
          <w:bCs/>
          <w:color w:val="auto"/>
          <w:u w:val="single"/>
          <w:lang w:val="en-US" w:eastAsia="zh-CN"/>
        </w:rPr>
        <w:t>*</w:t>
      </w:r>
    </w:p>
    <w:p w14:paraId="2DA38937">
      <w:pPr>
        <w:bidi w:val="0"/>
        <w:rPr>
          <w:rFonts w:hint="default"/>
          <w:b/>
          <w:bCs/>
          <w:color w:val="auto"/>
          <w:u w:val="single"/>
          <w:lang w:val="en-US" w:eastAsia="zh-CN"/>
        </w:rPr>
      </w:pPr>
      <w:r>
        <w:rPr>
          <w:rFonts w:hint="eastAsia"/>
          <w:b/>
          <w:bCs/>
          <w:color w:val="auto"/>
          <w:u w:val="single"/>
          <w:lang w:val="en-US" w:eastAsia="zh-CN"/>
        </w:rPr>
        <w:t>*</w:t>
      </w:r>
    </w:p>
    <w:p w14:paraId="6A704E5B">
      <w:pPr>
        <w:bidi w:val="0"/>
        <w:rPr>
          <w:rFonts w:hint="eastAsia"/>
          <w:b/>
          <w:bCs/>
          <w:color w:val="auto"/>
          <w:u w:val="single"/>
          <w:lang w:val="en-US" w:eastAsia="zh-CN"/>
        </w:rPr>
      </w:pPr>
      <w:r>
        <w:rPr>
          <w:rFonts w:hint="eastAsia"/>
          <w:b/>
          <w:bCs/>
          <w:color w:val="auto"/>
          <w:u w:val="single"/>
          <w:lang w:val="en-US" w:eastAsia="zh-CN"/>
        </w:rPr>
        <w:t>*</w:t>
      </w:r>
    </w:p>
    <w:p w14:paraId="7B4199F8">
      <w:pPr>
        <w:bidi w:val="0"/>
        <w:rPr>
          <w:rFonts w:hint="default"/>
          <w:b/>
          <w:bCs/>
          <w:color w:val="auto"/>
          <w:u w:val="single"/>
          <w:lang w:val="en-US" w:eastAsia="zh-CN"/>
        </w:rPr>
      </w:pPr>
      <w:r>
        <w:rPr>
          <w:rFonts w:hint="eastAsia"/>
          <w:b/>
          <w:bCs/>
          <w:color w:val="auto"/>
          <w:u w:val="single"/>
          <w:lang w:val="en-US" w:eastAsia="zh-CN"/>
        </w:rPr>
        <w:t>*</w:t>
      </w:r>
    </w:p>
    <w:p w14:paraId="6B6F6953">
      <w:pPr>
        <w:bidi w:val="0"/>
        <w:rPr>
          <w:rFonts w:hint="eastAsia"/>
          <w:b/>
          <w:bCs/>
          <w:color w:val="auto"/>
          <w:u w:val="single"/>
          <w:lang w:val="en-US" w:eastAsia="zh-CN"/>
        </w:rPr>
      </w:pPr>
      <w:r>
        <w:rPr>
          <w:rFonts w:hint="eastAsia"/>
          <w:b/>
          <w:bCs/>
          <w:color w:val="auto"/>
          <w:u w:val="single"/>
          <w:lang w:val="en-US" w:eastAsia="zh-CN"/>
        </w:rPr>
        <w:t>*</w:t>
      </w:r>
    </w:p>
    <w:p w14:paraId="0E118993">
      <w:pPr>
        <w:bidi w:val="0"/>
        <w:rPr>
          <w:rFonts w:hint="default"/>
          <w:b/>
          <w:bCs/>
          <w:color w:val="auto"/>
          <w:u w:val="single"/>
          <w:lang w:val="en-US" w:eastAsia="zh-CN"/>
        </w:rPr>
      </w:pPr>
      <w:r>
        <w:rPr>
          <w:rFonts w:hint="eastAsia"/>
          <w:b/>
          <w:bCs/>
          <w:color w:val="auto"/>
          <w:u w:val="single"/>
          <w:lang w:val="en-US" w:eastAsia="zh-CN"/>
        </w:rPr>
        <w:t>*</w:t>
      </w:r>
    </w:p>
    <w:p w14:paraId="5434A825">
      <w:pPr>
        <w:bidi w:val="0"/>
        <w:rPr>
          <w:rFonts w:hint="eastAsia"/>
          <w:b/>
          <w:bCs/>
          <w:color w:val="auto"/>
          <w:u w:val="single"/>
          <w:lang w:val="en-US" w:eastAsia="zh-CN"/>
        </w:rPr>
      </w:pPr>
      <w:r>
        <w:rPr>
          <w:rFonts w:hint="eastAsia"/>
          <w:b/>
          <w:bCs/>
          <w:color w:val="auto"/>
          <w:u w:val="single"/>
          <w:lang w:val="en-US" w:eastAsia="zh-CN"/>
        </w:rPr>
        <w:t>*</w:t>
      </w:r>
    </w:p>
    <w:p w14:paraId="178DCED9">
      <w:pPr>
        <w:bidi w:val="0"/>
        <w:rPr>
          <w:rFonts w:hint="default"/>
          <w:b/>
          <w:bCs/>
          <w:color w:val="auto"/>
          <w:u w:val="single"/>
          <w:lang w:val="en-US" w:eastAsia="zh-CN"/>
        </w:rPr>
      </w:pPr>
      <w:r>
        <w:rPr>
          <w:rFonts w:hint="eastAsia"/>
          <w:b/>
          <w:bCs/>
          <w:color w:val="auto"/>
          <w:u w:val="single"/>
          <w:lang w:val="en-US" w:eastAsia="zh-CN"/>
        </w:rPr>
        <w:t>*</w:t>
      </w:r>
    </w:p>
    <w:p w14:paraId="73A3513B">
      <w:pPr>
        <w:bidi w:val="0"/>
        <w:rPr>
          <w:rFonts w:hint="eastAsia"/>
          <w:b/>
          <w:bCs/>
          <w:color w:val="auto"/>
          <w:u w:val="single"/>
          <w:lang w:val="en-US" w:eastAsia="zh-CN"/>
        </w:rPr>
      </w:pPr>
      <w:r>
        <w:rPr>
          <w:rFonts w:hint="eastAsia"/>
          <w:b/>
          <w:bCs/>
          <w:color w:val="auto"/>
          <w:u w:val="single"/>
          <w:lang w:val="en-US" w:eastAsia="zh-CN"/>
        </w:rPr>
        <w:t>*</w:t>
      </w:r>
    </w:p>
    <w:p w14:paraId="7DF5B469">
      <w:pPr>
        <w:bidi w:val="0"/>
        <w:rPr>
          <w:rFonts w:hint="default"/>
          <w:b/>
          <w:bCs/>
          <w:color w:val="auto"/>
          <w:u w:val="single"/>
          <w:lang w:val="en-US" w:eastAsia="zh-CN"/>
        </w:rPr>
      </w:pPr>
      <w:r>
        <w:rPr>
          <w:rFonts w:hint="eastAsia"/>
          <w:b/>
          <w:bCs/>
          <w:color w:val="auto"/>
          <w:u w:val="single"/>
          <w:lang w:val="en-US" w:eastAsia="zh-CN"/>
        </w:rPr>
        <w:t>*</w:t>
      </w:r>
    </w:p>
    <w:p w14:paraId="4C4D5E45">
      <w:pPr>
        <w:bidi w:val="0"/>
        <w:rPr>
          <w:rFonts w:hint="eastAsia"/>
          <w:b/>
          <w:bCs/>
          <w:color w:val="auto"/>
          <w:u w:val="single"/>
          <w:lang w:val="en-US" w:eastAsia="zh-CN"/>
        </w:rPr>
      </w:pPr>
      <w:r>
        <w:rPr>
          <w:rFonts w:hint="eastAsia"/>
          <w:b/>
          <w:bCs/>
          <w:color w:val="auto"/>
          <w:u w:val="single"/>
          <w:lang w:val="en-US" w:eastAsia="zh-CN"/>
        </w:rPr>
        <w:t>。</w:t>
      </w:r>
    </w:p>
    <w:p w14:paraId="2C93D498">
      <w:pPr>
        <w:bidi w:val="0"/>
        <w:rPr>
          <w:rFonts w:hint="eastAsia"/>
          <w:b/>
          <w:bCs/>
          <w:color w:val="auto"/>
          <w:u w:val="single"/>
        </w:rPr>
      </w:pPr>
      <w:r>
        <w:rPr>
          <w:rFonts w:hint="eastAsia"/>
          <w:b/>
          <w:bCs/>
          <w:color w:val="auto"/>
          <w:highlight w:val="none"/>
          <w:u w:val="single"/>
          <w:lang w:val="en-US" w:eastAsia="zh-CN"/>
        </w:rPr>
        <w:t>。</w:t>
      </w:r>
    </w:p>
    <w:p w14:paraId="64FDEC21">
      <w:pPr>
        <w:pStyle w:val="5"/>
        <w:bidi w:val="0"/>
        <w:rPr>
          <w:color w:val="auto"/>
        </w:rPr>
      </w:pPr>
      <w:r>
        <w:rPr>
          <w:rFonts w:hint="eastAsia"/>
          <w:color w:val="auto"/>
        </w:rPr>
        <w:t>噪声污染防治措施可行性分析</w:t>
      </w:r>
    </w:p>
    <w:p w14:paraId="4C38C14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工程高噪声源主要为风机、泵类等，噪声源声级值在85~</w:t>
      </w:r>
      <w:r>
        <w:rPr>
          <w:color w:val="auto"/>
        </w:rPr>
        <w:t>9</w:t>
      </w:r>
      <w:r>
        <w:rPr>
          <w:rFonts w:hint="eastAsia"/>
          <w:color w:val="auto"/>
          <w:lang w:val="en-US" w:eastAsia="zh-CN"/>
        </w:rPr>
        <w:t>0</w:t>
      </w:r>
      <w:r>
        <w:rPr>
          <w:rFonts w:hint="eastAsia"/>
          <w:color w:val="auto"/>
        </w:rPr>
        <w:t>dB（A）之间，</w:t>
      </w:r>
      <w:r>
        <w:rPr>
          <w:color w:val="auto"/>
        </w:rPr>
        <w:t>声源强度不高，多数属中低频稳态噪声</w:t>
      </w:r>
      <w:r>
        <w:rPr>
          <w:rFonts w:hint="eastAsia"/>
          <w:color w:val="auto"/>
        </w:rPr>
        <w:t>，为保证厂界噪声值达到《工业企业厂界环境噪声排放标准》中3类标准的要求，</w:t>
      </w:r>
      <w:r>
        <w:rPr>
          <w:color w:val="auto"/>
        </w:rPr>
        <w:t>项目拟采取的噪声防治措施主要是对小体积噪声源根据噪声种类的不同，分别采取消声、吸音、加隔声罩等措施；对大体积噪声源采取局部消声、吸音及隔声等措施，具体措施如下：</w:t>
      </w:r>
    </w:p>
    <w:p w14:paraId="11E18FD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color w:val="auto"/>
        </w:rPr>
      </w:pPr>
      <w:r>
        <w:rPr>
          <w:rFonts w:hint="eastAsia"/>
          <w:color w:val="auto"/>
        </w:rPr>
        <w:t>（1）高噪声设备在招标过程中提出设备噪声要求，进行噪声源头控制。</w:t>
      </w:r>
    </w:p>
    <w:bookmarkEnd w:id="291"/>
    <w:bookmarkEnd w:id="292"/>
    <w:bookmarkEnd w:id="293"/>
    <w:p w14:paraId="2E2E0DE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color w:val="auto"/>
        </w:rPr>
        <w:t>（2）泵类噪声主要来源于泵电机自身运行产生的噪声，泵轴液物料而产生的空化和气蚀噪声，泵内物料的波动而激发泵体</w:t>
      </w:r>
      <w:r>
        <w:rPr>
          <w:rFonts w:hint="eastAsia"/>
          <w:color w:val="auto"/>
          <w:lang w:eastAsia="zh-CN"/>
        </w:rPr>
        <w:t>辐射</w:t>
      </w:r>
      <w:r>
        <w:rPr>
          <w:color w:val="auto"/>
        </w:rPr>
        <w:t>噪声、脉冲压力不稳定而产生的噪声以及机械噪声。这些噪声以泵电机自身运行产生的噪声为最强，可采取使用低噪音电机、设备基座、基础减振降噪。</w:t>
      </w:r>
    </w:p>
    <w:p w14:paraId="4A6FC3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color w:val="auto"/>
        </w:rPr>
        <w:t>（3）风机在运转时产生的噪声主要有空气动力性噪声（即气流噪声）、机械噪声等，其中强度最高、影响最大的则是空气动力性噪声，尤其进出气口产生的噪声最严重，可采取在进气口安装阻抗复合消声器和对进排气管道作阻尼减振等措施来降低风机噪声、设置专用设备间、低噪音风机、基础减振降噪、各连接部位设置软结构连接。</w:t>
      </w:r>
    </w:p>
    <w:p w14:paraId="65050F0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color w:val="auto"/>
        </w:rPr>
        <w:t>（4）</w:t>
      </w:r>
      <w:r>
        <w:rPr>
          <w:rFonts w:hint="eastAsia"/>
          <w:color w:val="auto"/>
        </w:rPr>
        <w:t>合理进行厂区总体平面布置，尽可能将主厂房等噪声源集中的构筑物布置于厂区中央，并利用其他辅助建筑物的屏蔽作用，减轻噪声对厂区外的环境影响。</w:t>
      </w:r>
    </w:p>
    <w:p w14:paraId="284D819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w:t>
      </w:r>
      <w:r>
        <w:rPr>
          <w:color w:val="auto"/>
        </w:rPr>
        <w:t>5</w:t>
      </w:r>
      <w:r>
        <w:rPr>
          <w:rFonts w:hint="eastAsia"/>
          <w:color w:val="auto"/>
        </w:rPr>
        <w:t>）送风机、引风机设置隔声罩；其他高噪声设备布置在室内，高噪声设备厂房的建筑结构将起到一定的隔声降噪效果，同时主厂房等高噪声车间采取隔声门、隔声窗。集控室采用隔声窗和隔声门等措施。</w:t>
      </w:r>
    </w:p>
    <w:p w14:paraId="7C7480A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w:t>
      </w:r>
      <w:r>
        <w:rPr>
          <w:color w:val="auto"/>
        </w:rPr>
        <w:t>6</w:t>
      </w:r>
      <w:r>
        <w:rPr>
          <w:rFonts w:hint="eastAsia"/>
          <w:color w:val="auto"/>
        </w:rPr>
        <w:t>）其他噪声源应首先考虑设备选型，使其达到规定的要求，必要时对设备基础采取减振处理。</w:t>
      </w:r>
    </w:p>
    <w:p w14:paraId="2484356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w:t>
      </w:r>
      <w:r>
        <w:rPr>
          <w:color w:val="auto"/>
        </w:rPr>
        <w:t>7</w:t>
      </w:r>
      <w:r>
        <w:rPr>
          <w:rFonts w:hint="eastAsia"/>
          <w:color w:val="auto"/>
        </w:rPr>
        <w:t>）提高厂区绿化系数，利用植被吸声减噪作用，进一步降低电厂噪声对周围环境的影响。</w:t>
      </w:r>
    </w:p>
    <w:p w14:paraId="409CB52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采取上述防治措施后，预测工程东、南、西、北厂界昼间、夜间噪声预测值均能满足《工业企业厂界环境噪声排放标准》（GB12348-2008）3类标准，工程噪声对周围声环境影响不大，可接受。</w:t>
      </w:r>
    </w:p>
    <w:p w14:paraId="0A2A5AB4">
      <w:pPr>
        <w:pStyle w:val="5"/>
        <w:bidi w:val="0"/>
      </w:pPr>
      <w:r>
        <w:rPr>
          <w:rFonts w:hint="eastAsia"/>
        </w:rPr>
        <w:t>固体废物防治措施可行性分析</w:t>
      </w:r>
    </w:p>
    <w:p w14:paraId="645C694E">
      <w:pPr>
        <w:pStyle w:val="104"/>
        <w:keepNext w:val="0"/>
        <w:keepLines w:val="0"/>
        <w:pageBreakBefore w:val="0"/>
        <w:widowControl w:val="0"/>
        <w:kinsoku/>
        <w:wordWrap/>
        <w:overflowPunct/>
        <w:topLinePunct w:val="0"/>
        <w:autoSpaceDE/>
        <w:autoSpaceDN/>
        <w:bidi w:val="0"/>
        <w:adjustRightInd w:val="0"/>
        <w:snapToGrid w:val="0"/>
        <w:spacing w:line="360" w:lineRule="auto"/>
        <w:ind w:firstLineChars="200"/>
        <w:textAlignment w:val="auto"/>
        <w:rPr>
          <w:rFonts w:ascii="Times New Roman" w:hAnsi="Times New Roman" w:eastAsia="宋体"/>
          <w:color w:val="auto"/>
        </w:rPr>
      </w:pPr>
      <w:r>
        <w:rPr>
          <w:rFonts w:hint="eastAsia" w:ascii="Times New Roman" w:hAnsi="Times New Roman" w:eastAsia="宋体"/>
          <w:color w:val="auto"/>
        </w:rPr>
        <w:t>本项目固体废物主要有</w:t>
      </w:r>
      <w:r>
        <w:rPr>
          <w:rFonts w:hint="eastAsia" w:ascii="Times New Roman" w:hAnsi="Times New Roman" w:eastAsia="宋体"/>
          <w:color w:val="auto"/>
          <w:lang w:val="en-US" w:eastAsia="zh-CN"/>
        </w:rPr>
        <w:t>废包装桶、废滤料</w:t>
      </w:r>
      <w:r>
        <w:rPr>
          <w:rFonts w:hint="eastAsia" w:ascii="Times New Roman" w:hAnsi="Times New Roman" w:eastAsia="宋体"/>
          <w:color w:val="auto"/>
        </w:rPr>
        <w:t>等，本项目固体废物产</w:t>
      </w:r>
      <w:r>
        <w:rPr>
          <w:rFonts w:hint="eastAsia" w:ascii="Times New Roman" w:hAnsi="Times New Roman" w:eastAsia="宋体"/>
          <w:color w:val="auto"/>
          <w:lang w:eastAsia="zh-CN"/>
        </w:rPr>
        <w:t>排放</w:t>
      </w:r>
      <w:r>
        <w:rPr>
          <w:rFonts w:hint="eastAsia" w:ascii="Times New Roman" w:hAnsi="Times New Roman" w:eastAsia="宋体"/>
          <w:color w:val="auto"/>
        </w:rPr>
        <w:t>情况和处理措施见</w:t>
      </w:r>
      <w:r>
        <w:rPr>
          <w:rFonts w:hint="eastAsia" w:ascii="Times New Roman" w:hAnsi="Times New Roman" w:eastAsia="宋体"/>
          <w:color w:val="auto"/>
          <w:lang w:val="en-US" w:eastAsia="zh-CN"/>
        </w:rPr>
        <w:t>下表</w:t>
      </w:r>
      <w:r>
        <w:rPr>
          <w:rFonts w:hint="eastAsia" w:ascii="Times New Roman" w:hAnsi="Times New Roman" w:eastAsia="宋体"/>
          <w:color w:val="auto"/>
        </w:rPr>
        <w:t>。</w:t>
      </w:r>
    </w:p>
    <w:p w14:paraId="17462865">
      <w:pPr>
        <w:pStyle w:val="10"/>
        <w:bidi w:val="0"/>
      </w:pPr>
      <w:r>
        <w:t xml:space="preserve">表 </w:t>
      </w:r>
      <w:r>
        <w:fldChar w:fldCharType="begin"/>
      </w:r>
      <w:r>
        <w:instrText xml:space="preserve"> STYLEREF 2 \s </w:instrText>
      </w:r>
      <w:r>
        <w:fldChar w:fldCharType="separate"/>
      </w:r>
      <w:r>
        <w:t>7.2</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rPr>
          <w:rFonts w:hint="eastAsia"/>
          <w:lang w:val="en-US" w:eastAsia="zh-CN"/>
        </w:rPr>
        <w:t xml:space="preserve"> </w:t>
      </w:r>
      <w:r>
        <w:t>固体废弃物产生及处置情况</w:t>
      </w:r>
    </w:p>
    <w:tbl>
      <w:tblPr>
        <w:tblStyle w:val="31"/>
        <w:tblW w:w="88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276"/>
        <w:gridCol w:w="1559"/>
        <w:gridCol w:w="1276"/>
        <w:gridCol w:w="1275"/>
        <w:gridCol w:w="2659"/>
      </w:tblGrid>
      <w:tr w14:paraId="65D0B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43117F69">
            <w:pPr>
              <w:pStyle w:val="182"/>
              <w:bidi w:val="0"/>
              <w:rPr>
                <w:b/>
                <w:bCs/>
                <w:color w:val="auto"/>
                <w:u w:val="none"/>
              </w:rPr>
            </w:pPr>
            <w:r>
              <w:rPr>
                <w:rFonts w:hint="eastAsia"/>
                <w:b/>
                <w:bCs/>
                <w:color w:val="auto"/>
                <w:u w:val="none"/>
              </w:rPr>
              <w:t>序号</w:t>
            </w:r>
          </w:p>
        </w:tc>
        <w:tc>
          <w:tcPr>
            <w:tcW w:w="1276" w:type="dxa"/>
            <w:vAlign w:val="center"/>
          </w:tcPr>
          <w:p w14:paraId="31D19CC4">
            <w:pPr>
              <w:pStyle w:val="182"/>
              <w:bidi w:val="0"/>
              <w:rPr>
                <w:b/>
                <w:bCs/>
                <w:color w:val="auto"/>
                <w:u w:val="none"/>
              </w:rPr>
            </w:pPr>
            <w:r>
              <w:rPr>
                <w:rFonts w:hint="eastAsia"/>
                <w:b/>
                <w:bCs/>
                <w:color w:val="auto"/>
                <w:u w:val="none"/>
              </w:rPr>
              <w:t>污染物</w:t>
            </w:r>
          </w:p>
        </w:tc>
        <w:tc>
          <w:tcPr>
            <w:tcW w:w="1559" w:type="dxa"/>
            <w:vAlign w:val="center"/>
          </w:tcPr>
          <w:p w14:paraId="0DBF630F">
            <w:pPr>
              <w:pStyle w:val="182"/>
              <w:bidi w:val="0"/>
              <w:rPr>
                <w:b/>
                <w:bCs/>
                <w:color w:val="auto"/>
                <w:u w:val="none"/>
              </w:rPr>
            </w:pPr>
            <w:r>
              <w:rPr>
                <w:rFonts w:hint="eastAsia"/>
                <w:b/>
                <w:bCs/>
                <w:color w:val="auto"/>
                <w:u w:val="none"/>
              </w:rPr>
              <w:t>产生量（</w:t>
            </w:r>
            <w:r>
              <w:rPr>
                <w:b/>
                <w:bCs/>
                <w:color w:val="auto"/>
                <w:u w:val="none"/>
              </w:rPr>
              <w:t>t/a</w:t>
            </w:r>
            <w:r>
              <w:rPr>
                <w:rFonts w:hint="eastAsia"/>
                <w:b/>
                <w:bCs/>
                <w:color w:val="auto"/>
                <w:u w:val="none"/>
              </w:rPr>
              <w:t>）</w:t>
            </w:r>
          </w:p>
        </w:tc>
        <w:tc>
          <w:tcPr>
            <w:tcW w:w="1276" w:type="dxa"/>
            <w:vAlign w:val="center"/>
          </w:tcPr>
          <w:p w14:paraId="3808CF56">
            <w:pPr>
              <w:pStyle w:val="182"/>
              <w:bidi w:val="0"/>
              <w:rPr>
                <w:b/>
                <w:bCs/>
                <w:color w:val="auto"/>
                <w:u w:val="none"/>
              </w:rPr>
            </w:pPr>
            <w:r>
              <w:rPr>
                <w:rFonts w:hint="eastAsia"/>
                <w:b/>
                <w:bCs/>
                <w:color w:val="auto"/>
                <w:u w:val="none"/>
              </w:rPr>
              <w:t>固废性质</w:t>
            </w:r>
          </w:p>
        </w:tc>
        <w:tc>
          <w:tcPr>
            <w:tcW w:w="1275" w:type="dxa"/>
            <w:vAlign w:val="center"/>
          </w:tcPr>
          <w:p w14:paraId="0E9D7188">
            <w:pPr>
              <w:pStyle w:val="182"/>
              <w:bidi w:val="0"/>
              <w:rPr>
                <w:b/>
                <w:bCs/>
                <w:color w:val="auto"/>
                <w:u w:val="none"/>
              </w:rPr>
            </w:pPr>
            <w:r>
              <w:rPr>
                <w:rFonts w:hint="eastAsia"/>
                <w:b/>
                <w:bCs/>
                <w:color w:val="auto"/>
                <w:u w:val="none"/>
              </w:rPr>
              <w:t>产生位置</w:t>
            </w:r>
          </w:p>
        </w:tc>
        <w:tc>
          <w:tcPr>
            <w:tcW w:w="2659" w:type="dxa"/>
            <w:vAlign w:val="center"/>
          </w:tcPr>
          <w:p w14:paraId="1839C278">
            <w:pPr>
              <w:pStyle w:val="182"/>
              <w:bidi w:val="0"/>
              <w:rPr>
                <w:b/>
                <w:bCs/>
                <w:color w:val="auto"/>
                <w:u w:val="none"/>
              </w:rPr>
            </w:pPr>
            <w:r>
              <w:rPr>
                <w:rFonts w:hint="eastAsia"/>
                <w:b/>
                <w:bCs/>
                <w:color w:val="auto"/>
                <w:u w:val="none"/>
              </w:rPr>
              <w:t>处置措施</w:t>
            </w:r>
          </w:p>
        </w:tc>
      </w:tr>
      <w:tr w14:paraId="41CFC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3039F5E2">
            <w:pPr>
              <w:pStyle w:val="182"/>
              <w:bidi w:val="0"/>
              <w:rPr>
                <w:b w:val="0"/>
                <w:bCs w:val="0"/>
                <w:color w:val="auto"/>
                <w:u w:val="none"/>
              </w:rPr>
            </w:pPr>
            <w:r>
              <w:rPr>
                <w:rFonts w:hint="eastAsia"/>
                <w:b w:val="0"/>
                <w:bCs w:val="0"/>
                <w:color w:val="auto"/>
                <w:u w:val="none"/>
              </w:rPr>
              <w:t>1</w:t>
            </w:r>
          </w:p>
        </w:tc>
        <w:tc>
          <w:tcPr>
            <w:tcW w:w="1276" w:type="dxa"/>
            <w:vAlign w:val="center"/>
          </w:tcPr>
          <w:p w14:paraId="2F58AE2C">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1559" w:type="dxa"/>
            <w:vAlign w:val="center"/>
          </w:tcPr>
          <w:p w14:paraId="351FE6EC">
            <w:pPr>
              <w:bidi w:val="0"/>
              <w:ind w:firstLine="482" w:firstLineChars="200"/>
              <w:rPr>
                <w:rFonts w:hint="default"/>
                <w:b w:val="0"/>
                <w:bCs w:val="0"/>
                <w:color w:val="auto"/>
                <w:u w:val="none"/>
                <w:lang w:val="en-US"/>
              </w:rPr>
            </w:pPr>
            <w:r>
              <w:rPr>
                <w:rFonts w:hint="eastAsia"/>
                <w:b/>
                <w:bCs/>
                <w:color w:val="auto"/>
                <w:u w:val="single"/>
                <w:lang w:val="en-US" w:eastAsia="zh-CN"/>
              </w:rPr>
              <w:t>*</w:t>
            </w:r>
          </w:p>
        </w:tc>
        <w:tc>
          <w:tcPr>
            <w:tcW w:w="1276" w:type="dxa"/>
            <w:vAlign w:val="center"/>
          </w:tcPr>
          <w:p w14:paraId="3B61EF35">
            <w:pPr>
              <w:bidi w:val="0"/>
              <w:ind w:firstLine="482" w:firstLineChars="200"/>
              <w:rPr>
                <w:b w:val="0"/>
                <w:bCs w:val="0"/>
                <w:color w:val="auto"/>
                <w:u w:val="none"/>
              </w:rPr>
            </w:pPr>
            <w:r>
              <w:rPr>
                <w:rFonts w:hint="eastAsia"/>
                <w:b/>
                <w:bCs/>
                <w:color w:val="auto"/>
                <w:u w:val="single"/>
                <w:lang w:val="en-US" w:eastAsia="zh-CN"/>
              </w:rPr>
              <w:t>*</w:t>
            </w:r>
          </w:p>
        </w:tc>
        <w:tc>
          <w:tcPr>
            <w:tcW w:w="1275" w:type="dxa"/>
            <w:vAlign w:val="center"/>
          </w:tcPr>
          <w:p w14:paraId="7EF377B8">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2659" w:type="dxa"/>
            <w:vAlign w:val="center"/>
          </w:tcPr>
          <w:p w14:paraId="688406A3">
            <w:pPr>
              <w:pStyle w:val="182"/>
              <w:bidi w:val="0"/>
              <w:rPr>
                <w:rFonts w:hint="eastAsia" w:eastAsia="宋体"/>
                <w:b w:val="0"/>
                <w:bCs w:val="0"/>
                <w:color w:val="auto"/>
                <w:u w:val="none"/>
                <w:lang w:eastAsia="zh-CN"/>
              </w:rPr>
            </w:pPr>
            <w:r>
              <w:rPr>
                <w:rFonts w:hint="eastAsia"/>
                <w:b w:val="0"/>
                <w:bCs w:val="0"/>
                <w:color w:val="auto"/>
                <w:u w:val="none"/>
              </w:rPr>
              <w:t>依托现有TS004一般固废暂存间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）暂存后，</w:t>
            </w:r>
            <w:r>
              <w:rPr>
                <w:rFonts w:hint="eastAsia"/>
                <w:b w:val="0"/>
                <w:bCs w:val="0"/>
                <w:color w:val="auto"/>
                <w:u w:val="none"/>
                <w:lang w:eastAsia="zh-CN"/>
              </w:rPr>
              <w:t>定期回用于生产</w:t>
            </w:r>
          </w:p>
        </w:tc>
      </w:tr>
      <w:tr w14:paraId="304A0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6" w:type="dxa"/>
            <w:vAlign w:val="center"/>
          </w:tcPr>
          <w:p w14:paraId="39F242E5">
            <w:pPr>
              <w:pStyle w:val="182"/>
              <w:bidi w:val="0"/>
              <w:rPr>
                <w:rFonts w:hint="eastAsia" w:eastAsia="宋体"/>
                <w:b w:val="0"/>
                <w:bCs w:val="0"/>
                <w:color w:val="auto"/>
                <w:u w:val="none"/>
                <w:lang w:val="en-US" w:eastAsia="zh-CN"/>
              </w:rPr>
            </w:pPr>
            <w:r>
              <w:rPr>
                <w:rFonts w:hint="eastAsia"/>
                <w:b w:val="0"/>
                <w:bCs w:val="0"/>
                <w:color w:val="auto"/>
                <w:u w:val="none"/>
                <w:lang w:val="en-US" w:eastAsia="zh-CN"/>
              </w:rPr>
              <w:t>2</w:t>
            </w:r>
          </w:p>
        </w:tc>
        <w:tc>
          <w:tcPr>
            <w:tcW w:w="1276" w:type="dxa"/>
            <w:vAlign w:val="center"/>
          </w:tcPr>
          <w:p w14:paraId="210EB2AB">
            <w:pPr>
              <w:bidi w:val="0"/>
              <w:ind w:firstLine="482" w:firstLineChars="200"/>
              <w:rPr>
                <w:rFonts w:hint="default"/>
                <w:b w:val="0"/>
                <w:bCs w:val="0"/>
                <w:color w:val="auto"/>
                <w:u w:val="none"/>
                <w:lang w:val="en-US"/>
              </w:rPr>
            </w:pPr>
            <w:r>
              <w:rPr>
                <w:rFonts w:hint="eastAsia"/>
                <w:b/>
                <w:bCs/>
                <w:color w:val="auto"/>
                <w:u w:val="single"/>
                <w:lang w:val="en-US" w:eastAsia="zh-CN"/>
              </w:rPr>
              <w:t>*</w:t>
            </w:r>
          </w:p>
        </w:tc>
        <w:tc>
          <w:tcPr>
            <w:tcW w:w="1559" w:type="dxa"/>
            <w:vAlign w:val="center"/>
          </w:tcPr>
          <w:p w14:paraId="24E2813D">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276" w:type="dxa"/>
            <w:vAlign w:val="center"/>
          </w:tcPr>
          <w:p w14:paraId="6DE02181">
            <w:pPr>
              <w:bidi w:val="0"/>
              <w:ind w:firstLine="482" w:firstLineChars="200"/>
              <w:rPr>
                <w:rFonts w:hint="eastAsia" w:eastAsia="宋体"/>
                <w:b w:val="0"/>
                <w:bCs w:val="0"/>
                <w:color w:val="auto"/>
                <w:u w:val="none"/>
                <w:lang w:eastAsia="zh-CN"/>
              </w:rPr>
            </w:pPr>
            <w:r>
              <w:rPr>
                <w:rFonts w:hint="eastAsia"/>
                <w:b/>
                <w:bCs/>
                <w:color w:val="auto"/>
                <w:u w:val="single"/>
                <w:lang w:val="en-US" w:eastAsia="zh-CN"/>
              </w:rPr>
              <w:t>*</w:t>
            </w:r>
          </w:p>
        </w:tc>
        <w:tc>
          <w:tcPr>
            <w:tcW w:w="1275" w:type="dxa"/>
            <w:vAlign w:val="center"/>
          </w:tcPr>
          <w:p w14:paraId="2D672562">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2659" w:type="dxa"/>
            <w:vAlign w:val="center"/>
          </w:tcPr>
          <w:p w14:paraId="2A619376">
            <w:pPr>
              <w:pStyle w:val="182"/>
              <w:bidi w:val="0"/>
              <w:ind w:firstLine="0" w:firstLineChars="0"/>
              <w:rPr>
                <w:rFonts w:hint="eastAsia"/>
                <w:b w:val="0"/>
                <w:bCs w:val="0"/>
                <w:color w:val="auto"/>
                <w:u w:val="none"/>
              </w:rPr>
            </w:pPr>
            <w:r>
              <w:rPr>
                <w:rFonts w:hint="eastAsia"/>
                <w:b w:val="0"/>
                <w:bCs w:val="0"/>
                <w:color w:val="auto"/>
                <w:u w:val="none"/>
              </w:rPr>
              <w:t>依托现有TS004一般固废暂存间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）暂存后，</w:t>
            </w:r>
            <w:r>
              <w:rPr>
                <w:rFonts w:hint="eastAsia"/>
                <w:b w:val="0"/>
                <w:bCs w:val="0"/>
                <w:color w:val="auto"/>
                <w:u w:val="none"/>
                <w:lang w:eastAsia="zh-CN"/>
              </w:rPr>
              <w:t>定期回用于生产</w:t>
            </w:r>
          </w:p>
        </w:tc>
      </w:tr>
      <w:tr w14:paraId="690B2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6" w:type="dxa"/>
            <w:vAlign w:val="center"/>
          </w:tcPr>
          <w:p w14:paraId="651F1CEC">
            <w:pPr>
              <w:pStyle w:val="182"/>
              <w:bidi w:val="0"/>
              <w:rPr>
                <w:rFonts w:hint="default"/>
                <w:b w:val="0"/>
                <w:bCs w:val="0"/>
                <w:color w:val="auto"/>
                <w:u w:val="none"/>
                <w:lang w:val="en-US" w:eastAsia="zh-CN"/>
              </w:rPr>
            </w:pPr>
            <w:r>
              <w:rPr>
                <w:rFonts w:hint="eastAsia"/>
                <w:b w:val="0"/>
                <w:bCs w:val="0"/>
                <w:color w:val="auto"/>
                <w:u w:val="none"/>
                <w:lang w:val="en-US" w:eastAsia="zh-CN"/>
              </w:rPr>
              <w:t>3</w:t>
            </w:r>
          </w:p>
        </w:tc>
        <w:tc>
          <w:tcPr>
            <w:tcW w:w="1276" w:type="dxa"/>
            <w:vAlign w:val="center"/>
          </w:tcPr>
          <w:p w14:paraId="1BCBCF07">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559" w:type="dxa"/>
            <w:vAlign w:val="center"/>
          </w:tcPr>
          <w:p w14:paraId="748D84F6">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276" w:type="dxa"/>
            <w:vAlign w:val="center"/>
          </w:tcPr>
          <w:p w14:paraId="0B688640">
            <w:pPr>
              <w:bidi w:val="0"/>
              <w:ind w:firstLine="482" w:firstLineChars="200"/>
              <w:rPr>
                <w:rFonts w:hint="eastAsia"/>
                <w:b w:val="0"/>
                <w:bCs w:val="0"/>
                <w:color w:val="auto"/>
                <w:u w:val="none"/>
              </w:rPr>
            </w:pPr>
            <w:r>
              <w:rPr>
                <w:rFonts w:hint="eastAsia"/>
                <w:b/>
                <w:bCs/>
                <w:color w:val="auto"/>
                <w:u w:val="single"/>
                <w:lang w:val="en-US" w:eastAsia="zh-CN"/>
              </w:rPr>
              <w:t>*</w:t>
            </w:r>
          </w:p>
        </w:tc>
        <w:tc>
          <w:tcPr>
            <w:tcW w:w="1275" w:type="dxa"/>
            <w:vAlign w:val="center"/>
          </w:tcPr>
          <w:p w14:paraId="127C437E">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2659" w:type="dxa"/>
            <w:vAlign w:val="center"/>
          </w:tcPr>
          <w:p w14:paraId="448F74B8">
            <w:pPr>
              <w:pStyle w:val="182"/>
              <w:bidi w:val="0"/>
              <w:ind w:firstLine="0" w:firstLineChars="0"/>
              <w:rPr>
                <w:rFonts w:hint="eastAsia"/>
                <w:b w:val="0"/>
                <w:bCs w:val="0"/>
                <w:color w:val="auto"/>
                <w:u w:val="none"/>
              </w:rPr>
            </w:pPr>
            <w:r>
              <w:rPr>
                <w:rFonts w:hint="eastAsia"/>
                <w:b w:val="0"/>
                <w:bCs w:val="0"/>
                <w:color w:val="auto"/>
                <w:u w:val="none"/>
              </w:rPr>
              <w:t>依托现有TS004一般固废暂存间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）暂存后，与现有工程处置方式一致，定期交由山西晟鼎再生资源有限公司处理</w:t>
            </w:r>
          </w:p>
        </w:tc>
      </w:tr>
      <w:tr w14:paraId="208DA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6" w:type="dxa"/>
            <w:vAlign w:val="center"/>
          </w:tcPr>
          <w:p w14:paraId="56BAD462">
            <w:pPr>
              <w:pStyle w:val="182"/>
              <w:bidi w:val="0"/>
              <w:rPr>
                <w:rFonts w:hint="default"/>
                <w:b w:val="0"/>
                <w:bCs w:val="0"/>
                <w:color w:val="auto"/>
                <w:u w:val="none"/>
                <w:lang w:val="en-US" w:eastAsia="zh-CN"/>
              </w:rPr>
            </w:pPr>
            <w:r>
              <w:rPr>
                <w:rFonts w:hint="eastAsia"/>
                <w:b w:val="0"/>
                <w:bCs w:val="0"/>
                <w:color w:val="auto"/>
                <w:u w:val="none"/>
                <w:lang w:val="en-US" w:eastAsia="zh-CN"/>
              </w:rPr>
              <w:t>4</w:t>
            </w:r>
          </w:p>
        </w:tc>
        <w:tc>
          <w:tcPr>
            <w:tcW w:w="1276" w:type="dxa"/>
            <w:vAlign w:val="center"/>
          </w:tcPr>
          <w:p w14:paraId="0B4B3ECD">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559" w:type="dxa"/>
            <w:vAlign w:val="center"/>
          </w:tcPr>
          <w:p w14:paraId="6B5DA77A">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276" w:type="dxa"/>
            <w:vAlign w:val="center"/>
          </w:tcPr>
          <w:p w14:paraId="7DFC4FEC">
            <w:pPr>
              <w:bidi w:val="0"/>
              <w:ind w:firstLine="482" w:firstLineChars="200"/>
              <w:rPr>
                <w:rFonts w:hint="eastAsia"/>
                <w:b w:val="0"/>
                <w:bCs w:val="0"/>
                <w:color w:val="auto"/>
                <w:u w:val="none"/>
              </w:rPr>
            </w:pPr>
            <w:r>
              <w:rPr>
                <w:rFonts w:hint="eastAsia"/>
                <w:b/>
                <w:bCs/>
                <w:color w:val="auto"/>
                <w:u w:val="single"/>
                <w:lang w:val="en-US" w:eastAsia="zh-CN"/>
              </w:rPr>
              <w:t>*</w:t>
            </w:r>
          </w:p>
        </w:tc>
        <w:tc>
          <w:tcPr>
            <w:tcW w:w="1275" w:type="dxa"/>
            <w:vAlign w:val="center"/>
          </w:tcPr>
          <w:p w14:paraId="6584C2AF">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2659" w:type="dxa"/>
            <w:vAlign w:val="center"/>
          </w:tcPr>
          <w:p w14:paraId="08D23D3C">
            <w:pPr>
              <w:pStyle w:val="182"/>
              <w:bidi w:val="0"/>
              <w:ind w:firstLine="0" w:firstLineChars="0"/>
              <w:rPr>
                <w:rFonts w:hint="eastAsia"/>
                <w:b w:val="0"/>
                <w:bCs w:val="0"/>
                <w:color w:val="auto"/>
                <w:u w:val="none"/>
              </w:rPr>
            </w:pPr>
            <w:r>
              <w:rPr>
                <w:rFonts w:hint="eastAsia"/>
                <w:b w:val="0"/>
                <w:bCs w:val="0"/>
                <w:color w:val="auto"/>
                <w:u w:val="none"/>
              </w:rPr>
              <w:t>依托现有TS004一般固废暂存间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）暂存后，</w:t>
            </w:r>
            <w:r>
              <w:rPr>
                <w:rFonts w:hint="eastAsia"/>
                <w:b w:val="0"/>
                <w:bCs w:val="0"/>
                <w:color w:val="auto"/>
                <w:u w:val="none"/>
                <w:lang w:eastAsia="zh-CN"/>
              </w:rPr>
              <w:t>定期</w:t>
            </w:r>
            <w:r>
              <w:rPr>
                <w:rFonts w:hint="eastAsia"/>
                <w:b w:val="0"/>
                <w:bCs w:val="0"/>
                <w:color w:val="auto"/>
                <w:u w:val="none"/>
                <w:lang w:val="en-US" w:eastAsia="zh-CN"/>
              </w:rPr>
              <w:t>厂家回收</w:t>
            </w:r>
          </w:p>
        </w:tc>
      </w:tr>
      <w:tr w14:paraId="4ACEB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027B2DF2">
            <w:pPr>
              <w:pStyle w:val="182"/>
              <w:bidi w:val="0"/>
              <w:rPr>
                <w:rFonts w:hint="eastAsia" w:eastAsia="宋体"/>
                <w:b w:val="0"/>
                <w:bCs w:val="0"/>
                <w:color w:val="auto"/>
                <w:u w:val="none"/>
                <w:lang w:eastAsia="zh-CN"/>
              </w:rPr>
            </w:pPr>
            <w:r>
              <w:rPr>
                <w:rFonts w:hint="eastAsia"/>
                <w:b w:val="0"/>
                <w:bCs w:val="0"/>
                <w:color w:val="auto"/>
                <w:u w:val="none"/>
                <w:lang w:val="en-US" w:eastAsia="zh-CN"/>
              </w:rPr>
              <w:t>5</w:t>
            </w:r>
          </w:p>
        </w:tc>
        <w:tc>
          <w:tcPr>
            <w:tcW w:w="1276" w:type="dxa"/>
            <w:vAlign w:val="center"/>
          </w:tcPr>
          <w:p w14:paraId="621ED5AF">
            <w:pPr>
              <w:bidi w:val="0"/>
              <w:ind w:firstLine="482" w:firstLineChars="200"/>
              <w:rPr>
                <w:rFonts w:hint="eastAsia" w:eastAsia="宋体"/>
                <w:b w:val="0"/>
                <w:bCs w:val="0"/>
                <w:color w:val="auto"/>
                <w:u w:val="none"/>
                <w:lang w:eastAsia="zh-CN"/>
              </w:rPr>
            </w:pPr>
            <w:r>
              <w:rPr>
                <w:rFonts w:hint="eastAsia"/>
                <w:b/>
                <w:bCs/>
                <w:color w:val="auto"/>
                <w:u w:val="single"/>
                <w:lang w:val="en-US" w:eastAsia="zh-CN"/>
              </w:rPr>
              <w:t>*</w:t>
            </w:r>
          </w:p>
        </w:tc>
        <w:tc>
          <w:tcPr>
            <w:tcW w:w="1559" w:type="dxa"/>
            <w:vAlign w:val="center"/>
          </w:tcPr>
          <w:p w14:paraId="0C59842C">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1276" w:type="dxa"/>
            <w:vAlign w:val="center"/>
          </w:tcPr>
          <w:p w14:paraId="3AD677B3">
            <w:pPr>
              <w:bidi w:val="0"/>
              <w:ind w:firstLine="482" w:firstLineChars="200"/>
              <w:rPr>
                <w:b w:val="0"/>
                <w:bCs w:val="0"/>
                <w:color w:val="auto"/>
                <w:u w:val="none"/>
              </w:rPr>
            </w:pPr>
            <w:r>
              <w:rPr>
                <w:rFonts w:hint="eastAsia"/>
                <w:b/>
                <w:bCs/>
                <w:color w:val="auto"/>
                <w:u w:val="single"/>
                <w:lang w:val="en-US" w:eastAsia="zh-CN"/>
              </w:rPr>
              <w:t>*</w:t>
            </w:r>
          </w:p>
        </w:tc>
        <w:tc>
          <w:tcPr>
            <w:tcW w:w="1275" w:type="dxa"/>
            <w:vAlign w:val="center"/>
          </w:tcPr>
          <w:p w14:paraId="31C5A1A4">
            <w:pPr>
              <w:bidi w:val="0"/>
              <w:ind w:firstLine="482" w:firstLineChars="200"/>
              <w:rPr>
                <w:rFonts w:hint="eastAsia" w:eastAsia="宋体"/>
                <w:b w:val="0"/>
                <w:bCs w:val="0"/>
                <w:color w:val="auto"/>
                <w:u w:val="none"/>
                <w:lang w:eastAsia="zh-CN"/>
              </w:rPr>
            </w:pPr>
            <w:r>
              <w:rPr>
                <w:rFonts w:hint="eastAsia"/>
                <w:b/>
                <w:bCs/>
                <w:color w:val="auto"/>
                <w:u w:val="single"/>
                <w:lang w:val="en-US" w:eastAsia="zh-CN"/>
              </w:rPr>
              <w:t>*</w:t>
            </w:r>
          </w:p>
        </w:tc>
        <w:tc>
          <w:tcPr>
            <w:tcW w:w="2659" w:type="dxa"/>
            <w:vAlign w:val="center"/>
          </w:tcPr>
          <w:p w14:paraId="510F456F">
            <w:pPr>
              <w:pStyle w:val="182"/>
              <w:bidi w:val="0"/>
              <w:ind w:firstLine="0" w:firstLineChars="0"/>
              <w:rPr>
                <w:b w:val="0"/>
                <w:bCs w:val="0"/>
                <w:color w:val="auto"/>
                <w:u w:val="none"/>
              </w:rPr>
            </w:pPr>
            <w:r>
              <w:rPr>
                <w:rFonts w:hint="eastAsia"/>
                <w:b w:val="0"/>
                <w:bCs w:val="0"/>
                <w:color w:val="auto"/>
                <w:lang w:val="en-US" w:eastAsia="zh-CN"/>
              </w:rPr>
              <w:t>依托现有</w:t>
            </w:r>
            <w:r>
              <w:rPr>
                <w:rFonts w:hint="eastAsia"/>
                <w:color w:val="auto"/>
              </w:rPr>
              <w:t>TS003危险废物暂存间</w:t>
            </w:r>
            <w:r>
              <w:rPr>
                <w:rFonts w:hint="eastAsia"/>
                <w:b w:val="0"/>
                <w:bCs w:val="0"/>
                <w:color w:val="auto"/>
              </w:rPr>
              <w:t>（</w:t>
            </w:r>
            <w:r>
              <w:rPr>
                <w:rFonts w:hint="eastAsia"/>
                <w:b w:val="0"/>
                <w:bCs w:val="0"/>
                <w:color w:val="auto"/>
                <w:lang w:val="en-US" w:eastAsia="zh-CN"/>
              </w:rPr>
              <w:t>264</w:t>
            </w:r>
            <w:r>
              <w:rPr>
                <w:rFonts w:hint="eastAsia"/>
                <w:b w:val="0"/>
                <w:bCs w:val="0"/>
                <w:color w:val="auto"/>
              </w:rPr>
              <w:t>m</w:t>
            </w:r>
            <w:r>
              <w:rPr>
                <w:rFonts w:hint="eastAsia"/>
                <w:b w:val="0"/>
                <w:bCs w:val="0"/>
                <w:color w:val="auto"/>
                <w:vertAlign w:val="superscript"/>
              </w:rPr>
              <w:t>2</w:t>
            </w:r>
            <w:r>
              <w:rPr>
                <w:rFonts w:hint="eastAsia"/>
                <w:b w:val="0"/>
                <w:bCs w:val="0"/>
                <w:color w:val="auto"/>
              </w:rPr>
              <w:t>）</w:t>
            </w:r>
            <w:r>
              <w:rPr>
                <w:rFonts w:hint="eastAsia"/>
                <w:b w:val="0"/>
                <w:bCs w:val="0"/>
                <w:color w:val="auto"/>
                <w:u w:val="none"/>
              </w:rPr>
              <w:t>，定期交由有资质的单位进行处置</w:t>
            </w:r>
          </w:p>
        </w:tc>
      </w:tr>
      <w:tr w14:paraId="7631D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6D86A822">
            <w:pPr>
              <w:pStyle w:val="182"/>
              <w:bidi w:val="0"/>
              <w:rPr>
                <w:rFonts w:hint="default"/>
                <w:b w:val="0"/>
                <w:bCs w:val="0"/>
                <w:color w:val="auto"/>
                <w:u w:val="none"/>
                <w:lang w:val="en-US" w:eastAsia="zh-CN"/>
              </w:rPr>
            </w:pPr>
            <w:r>
              <w:rPr>
                <w:rFonts w:hint="eastAsia"/>
                <w:b w:val="0"/>
                <w:bCs w:val="0"/>
                <w:color w:val="auto"/>
                <w:u w:val="none"/>
                <w:lang w:val="en-US" w:eastAsia="zh-CN"/>
              </w:rPr>
              <w:t>6</w:t>
            </w:r>
          </w:p>
        </w:tc>
        <w:tc>
          <w:tcPr>
            <w:tcW w:w="1276" w:type="dxa"/>
            <w:vAlign w:val="center"/>
          </w:tcPr>
          <w:p w14:paraId="30A786ED">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559" w:type="dxa"/>
            <w:vAlign w:val="center"/>
          </w:tcPr>
          <w:p w14:paraId="7B3A7015">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276" w:type="dxa"/>
            <w:vAlign w:val="center"/>
          </w:tcPr>
          <w:p w14:paraId="28448F89">
            <w:pPr>
              <w:bidi w:val="0"/>
              <w:ind w:firstLine="482" w:firstLineChars="200"/>
              <w:rPr>
                <w:rFonts w:hint="eastAsia"/>
                <w:b w:val="0"/>
                <w:bCs w:val="0"/>
                <w:color w:val="auto"/>
                <w:u w:val="none"/>
              </w:rPr>
            </w:pPr>
            <w:r>
              <w:rPr>
                <w:rFonts w:hint="eastAsia"/>
                <w:b/>
                <w:bCs/>
                <w:color w:val="auto"/>
                <w:u w:val="single"/>
                <w:lang w:val="en-US" w:eastAsia="zh-CN"/>
              </w:rPr>
              <w:t>*</w:t>
            </w:r>
          </w:p>
        </w:tc>
        <w:tc>
          <w:tcPr>
            <w:tcW w:w="1275" w:type="dxa"/>
            <w:vAlign w:val="center"/>
          </w:tcPr>
          <w:p w14:paraId="45744B0C">
            <w:pPr>
              <w:bidi w:val="0"/>
              <w:ind w:firstLine="482" w:firstLineChars="200"/>
              <w:rPr>
                <w:rFonts w:hint="eastAsia"/>
                <w:b w:val="0"/>
                <w:bCs w:val="0"/>
                <w:color w:val="auto"/>
                <w:u w:val="none"/>
                <w:lang w:val="en-US" w:eastAsia="zh-CN"/>
              </w:rPr>
            </w:pPr>
            <w:r>
              <w:rPr>
                <w:rFonts w:hint="eastAsia"/>
                <w:b/>
                <w:bCs/>
                <w:color w:val="auto"/>
                <w:u w:val="single"/>
                <w:lang w:val="en-US" w:eastAsia="zh-CN"/>
              </w:rPr>
              <w:t>*</w:t>
            </w:r>
          </w:p>
        </w:tc>
        <w:tc>
          <w:tcPr>
            <w:tcW w:w="2659" w:type="dxa"/>
            <w:vAlign w:val="center"/>
          </w:tcPr>
          <w:p w14:paraId="64D6A367">
            <w:pPr>
              <w:pStyle w:val="182"/>
              <w:bidi w:val="0"/>
              <w:ind w:firstLine="0" w:firstLineChars="0"/>
              <w:rPr>
                <w:rFonts w:hint="eastAsia"/>
                <w:b w:val="0"/>
                <w:bCs w:val="0"/>
                <w:color w:val="auto"/>
                <w:u w:val="none"/>
              </w:rPr>
            </w:pPr>
            <w:r>
              <w:rPr>
                <w:rFonts w:hint="eastAsia"/>
                <w:b w:val="0"/>
                <w:bCs w:val="0"/>
                <w:color w:val="auto"/>
                <w:u w:val="none"/>
                <w:lang w:eastAsia="zh-CN"/>
              </w:rPr>
              <w:t>依托现有</w:t>
            </w:r>
            <w:r>
              <w:rPr>
                <w:rFonts w:hint="eastAsia"/>
                <w:color w:val="auto"/>
              </w:rPr>
              <w:t>TS003危险废物暂存间</w:t>
            </w:r>
            <w:r>
              <w:rPr>
                <w:rFonts w:hint="eastAsia"/>
                <w:b w:val="0"/>
                <w:bCs w:val="0"/>
                <w:color w:val="auto"/>
              </w:rPr>
              <w:t>（</w:t>
            </w:r>
            <w:r>
              <w:rPr>
                <w:rFonts w:hint="eastAsia"/>
                <w:b w:val="0"/>
                <w:bCs w:val="0"/>
                <w:color w:val="auto"/>
                <w:lang w:val="en-US" w:eastAsia="zh-CN"/>
              </w:rPr>
              <w:t>264</w:t>
            </w:r>
            <w:r>
              <w:rPr>
                <w:rFonts w:hint="eastAsia"/>
                <w:b w:val="0"/>
                <w:bCs w:val="0"/>
                <w:color w:val="auto"/>
              </w:rPr>
              <w:t>m</w:t>
            </w:r>
            <w:r>
              <w:rPr>
                <w:rFonts w:hint="eastAsia"/>
                <w:b w:val="0"/>
                <w:bCs w:val="0"/>
                <w:color w:val="auto"/>
                <w:vertAlign w:val="superscript"/>
              </w:rPr>
              <w:t>2</w:t>
            </w:r>
            <w:r>
              <w:rPr>
                <w:rFonts w:hint="eastAsia"/>
                <w:b w:val="0"/>
                <w:bCs w:val="0"/>
                <w:color w:val="auto"/>
              </w:rPr>
              <w:t>）</w:t>
            </w:r>
            <w:r>
              <w:rPr>
                <w:rFonts w:hint="eastAsia"/>
                <w:b w:val="0"/>
                <w:bCs w:val="0"/>
                <w:color w:val="auto"/>
                <w:u w:val="none"/>
              </w:rPr>
              <w:t>，定期交由有资质的单位进行处置</w:t>
            </w:r>
          </w:p>
        </w:tc>
      </w:tr>
      <w:tr w14:paraId="77203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0DA917A2">
            <w:pPr>
              <w:pStyle w:val="182"/>
              <w:bidi w:val="0"/>
              <w:rPr>
                <w:rFonts w:hint="default" w:eastAsia="宋体"/>
                <w:b w:val="0"/>
                <w:bCs w:val="0"/>
                <w:color w:val="auto"/>
                <w:u w:val="none"/>
                <w:lang w:val="en-US" w:eastAsia="zh-CN"/>
              </w:rPr>
            </w:pPr>
            <w:r>
              <w:rPr>
                <w:rFonts w:hint="eastAsia"/>
                <w:b w:val="0"/>
                <w:bCs w:val="0"/>
                <w:color w:val="auto"/>
                <w:u w:val="none"/>
                <w:lang w:val="en-US" w:eastAsia="zh-CN"/>
              </w:rPr>
              <w:t>7</w:t>
            </w:r>
          </w:p>
        </w:tc>
        <w:tc>
          <w:tcPr>
            <w:tcW w:w="1276" w:type="dxa"/>
            <w:vAlign w:val="center"/>
          </w:tcPr>
          <w:p w14:paraId="05E8F154">
            <w:pPr>
              <w:bidi w:val="0"/>
              <w:ind w:firstLine="482" w:firstLineChars="200"/>
              <w:rPr>
                <w:b w:val="0"/>
                <w:bCs w:val="0"/>
                <w:color w:val="auto"/>
                <w:u w:val="none"/>
              </w:rPr>
            </w:pPr>
            <w:r>
              <w:rPr>
                <w:rFonts w:hint="eastAsia"/>
                <w:b/>
                <w:bCs/>
                <w:color w:val="auto"/>
                <w:u w:val="single"/>
                <w:lang w:val="en-US" w:eastAsia="zh-CN"/>
              </w:rPr>
              <w:t>*</w:t>
            </w:r>
          </w:p>
        </w:tc>
        <w:tc>
          <w:tcPr>
            <w:tcW w:w="1559" w:type="dxa"/>
            <w:vAlign w:val="center"/>
          </w:tcPr>
          <w:p w14:paraId="012CF8DA">
            <w:pPr>
              <w:bidi w:val="0"/>
              <w:ind w:firstLine="482" w:firstLineChars="200"/>
              <w:rPr>
                <w:rFonts w:hint="default" w:eastAsia="宋体"/>
                <w:b w:val="0"/>
                <w:bCs w:val="0"/>
                <w:color w:val="auto"/>
                <w:u w:val="none"/>
                <w:lang w:val="en-US" w:eastAsia="zh-CN"/>
              </w:rPr>
            </w:pPr>
            <w:r>
              <w:rPr>
                <w:rFonts w:hint="eastAsia"/>
                <w:b/>
                <w:bCs/>
                <w:color w:val="auto"/>
                <w:u w:val="single"/>
                <w:lang w:val="en-US" w:eastAsia="zh-CN"/>
              </w:rPr>
              <w:t>*</w:t>
            </w:r>
          </w:p>
        </w:tc>
        <w:tc>
          <w:tcPr>
            <w:tcW w:w="1276" w:type="dxa"/>
            <w:vAlign w:val="center"/>
          </w:tcPr>
          <w:p w14:paraId="7C344FDC">
            <w:pPr>
              <w:bidi w:val="0"/>
              <w:ind w:firstLine="482" w:firstLineChars="200"/>
              <w:rPr>
                <w:b w:val="0"/>
                <w:bCs w:val="0"/>
                <w:color w:val="auto"/>
                <w:u w:val="none"/>
              </w:rPr>
            </w:pPr>
            <w:r>
              <w:rPr>
                <w:rFonts w:hint="eastAsia"/>
                <w:b/>
                <w:bCs/>
                <w:color w:val="auto"/>
                <w:u w:val="single"/>
                <w:lang w:val="en-US" w:eastAsia="zh-CN"/>
              </w:rPr>
              <w:t>*</w:t>
            </w:r>
          </w:p>
        </w:tc>
        <w:tc>
          <w:tcPr>
            <w:tcW w:w="1275" w:type="dxa"/>
            <w:vAlign w:val="center"/>
          </w:tcPr>
          <w:p w14:paraId="4AA8D029">
            <w:pPr>
              <w:bidi w:val="0"/>
              <w:ind w:firstLine="482" w:firstLineChars="200"/>
              <w:rPr>
                <w:b w:val="0"/>
                <w:bCs w:val="0"/>
                <w:color w:val="auto"/>
                <w:u w:val="none"/>
              </w:rPr>
            </w:pPr>
            <w:r>
              <w:rPr>
                <w:rFonts w:hint="eastAsia"/>
                <w:b/>
                <w:bCs/>
                <w:color w:val="auto"/>
                <w:u w:val="single"/>
                <w:lang w:val="en-US" w:eastAsia="zh-CN"/>
              </w:rPr>
              <w:t>*</w:t>
            </w:r>
          </w:p>
        </w:tc>
        <w:tc>
          <w:tcPr>
            <w:tcW w:w="2659" w:type="dxa"/>
            <w:vAlign w:val="center"/>
          </w:tcPr>
          <w:p w14:paraId="78AEBD88">
            <w:pPr>
              <w:pStyle w:val="182"/>
              <w:bidi w:val="0"/>
              <w:ind w:firstLine="0" w:firstLineChars="0"/>
              <w:rPr>
                <w:b w:val="0"/>
                <w:bCs w:val="0"/>
                <w:color w:val="auto"/>
                <w:u w:val="none"/>
              </w:rPr>
            </w:pPr>
            <w:r>
              <w:rPr>
                <w:rFonts w:hint="eastAsia"/>
                <w:b w:val="0"/>
                <w:bCs w:val="0"/>
                <w:color w:val="auto"/>
                <w:u w:val="none"/>
                <w:lang w:eastAsia="zh-CN"/>
              </w:rPr>
              <w:t>依托现有</w:t>
            </w:r>
            <w:r>
              <w:rPr>
                <w:rFonts w:hint="eastAsia"/>
                <w:color w:val="auto"/>
              </w:rPr>
              <w:t>TS003危险废物暂存间</w:t>
            </w:r>
            <w:r>
              <w:rPr>
                <w:rFonts w:hint="eastAsia"/>
                <w:b w:val="0"/>
                <w:bCs w:val="0"/>
                <w:color w:val="auto"/>
              </w:rPr>
              <w:t>（</w:t>
            </w:r>
            <w:r>
              <w:rPr>
                <w:rFonts w:hint="eastAsia"/>
                <w:b w:val="0"/>
                <w:bCs w:val="0"/>
                <w:color w:val="auto"/>
                <w:lang w:val="en-US" w:eastAsia="zh-CN"/>
              </w:rPr>
              <w:t>264</w:t>
            </w:r>
            <w:r>
              <w:rPr>
                <w:rFonts w:hint="eastAsia"/>
                <w:b w:val="0"/>
                <w:bCs w:val="0"/>
                <w:color w:val="auto"/>
              </w:rPr>
              <w:t>m</w:t>
            </w:r>
            <w:r>
              <w:rPr>
                <w:rFonts w:hint="eastAsia"/>
                <w:b w:val="0"/>
                <w:bCs w:val="0"/>
                <w:color w:val="auto"/>
                <w:vertAlign w:val="superscript"/>
              </w:rPr>
              <w:t>2</w:t>
            </w:r>
            <w:r>
              <w:rPr>
                <w:rFonts w:hint="eastAsia"/>
                <w:b w:val="0"/>
                <w:bCs w:val="0"/>
                <w:color w:val="auto"/>
              </w:rPr>
              <w:t>）</w:t>
            </w:r>
            <w:r>
              <w:rPr>
                <w:rFonts w:hint="eastAsia"/>
                <w:b w:val="0"/>
                <w:bCs w:val="0"/>
                <w:color w:val="auto"/>
                <w:u w:val="none"/>
              </w:rPr>
              <w:t>，定期交由有资质的单位进行处置</w:t>
            </w:r>
          </w:p>
        </w:tc>
      </w:tr>
      <w:tr w14:paraId="38170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Align w:val="center"/>
          </w:tcPr>
          <w:p w14:paraId="4694BBEA">
            <w:pPr>
              <w:pStyle w:val="182"/>
              <w:bidi w:val="0"/>
              <w:rPr>
                <w:rFonts w:hint="default"/>
                <w:b w:val="0"/>
                <w:bCs w:val="0"/>
                <w:color w:val="auto"/>
                <w:u w:val="none"/>
                <w:lang w:val="en-US" w:eastAsia="zh-CN"/>
              </w:rPr>
            </w:pPr>
            <w:r>
              <w:rPr>
                <w:rFonts w:hint="eastAsia"/>
                <w:b w:val="0"/>
                <w:bCs w:val="0"/>
                <w:color w:val="auto"/>
                <w:u w:val="none"/>
                <w:lang w:val="en-US" w:eastAsia="zh-CN"/>
              </w:rPr>
              <w:t>8</w:t>
            </w:r>
          </w:p>
        </w:tc>
        <w:tc>
          <w:tcPr>
            <w:tcW w:w="1276" w:type="dxa"/>
            <w:vAlign w:val="center"/>
          </w:tcPr>
          <w:p w14:paraId="5726AEA9">
            <w:pPr>
              <w:bidi w:val="0"/>
              <w:ind w:firstLine="482" w:firstLineChars="200"/>
              <w:rPr>
                <w:rFonts w:hint="eastAsia" w:eastAsia="宋体"/>
                <w:b w:val="0"/>
                <w:bCs w:val="0"/>
                <w:color w:val="auto"/>
                <w:u w:val="none"/>
                <w:lang w:val="en-US" w:eastAsia="zh-CN"/>
              </w:rPr>
            </w:pPr>
            <w:r>
              <w:rPr>
                <w:rFonts w:hint="eastAsia"/>
                <w:b/>
                <w:bCs/>
                <w:color w:val="auto"/>
                <w:u w:val="single"/>
                <w:lang w:val="en-US" w:eastAsia="zh-CN"/>
              </w:rPr>
              <w:t>*</w:t>
            </w:r>
          </w:p>
        </w:tc>
        <w:tc>
          <w:tcPr>
            <w:tcW w:w="1559" w:type="dxa"/>
            <w:vAlign w:val="center"/>
          </w:tcPr>
          <w:p w14:paraId="158F16F0">
            <w:pPr>
              <w:bidi w:val="0"/>
              <w:ind w:firstLine="482" w:firstLineChars="200"/>
              <w:rPr>
                <w:rFonts w:hint="default"/>
                <w:b w:val="0"/>
                <w:bCs w:val="0"/>
                <w:color w:val="auto"/>
                <w:u w:val="none"/>
                <w:lang w:val="en-US" w:eastAsia="zh-CN"/>
              </w:rPr>
            </w:pPr>
            <w:r>
              <w:rPr>
                <w:rFonts w:hint="eastAsia"/>
                <w:b/>
                <w:bCs/>
                <w:color w:val="auto"/>
                <w:u w:val="single"/>
                <w:lang w:val="en-US" w:eastAsia="zh-CN"/>
              </w:rPr>
              <w:t>*</w:t>
            </w:r>
          </w:p>
        </w:tc>
        <w:tc>
          <w:tcPr>
            <w:tcW w:w="1276" w:type="dxa"/>
            <w:vAlign w:val="center"/>
          </w:tcPr>
          <w:p w14:paraId="3FF0C53B">
            <w:pPr>
              <w:bidi w:val="0"/>
              <w:ind w:firstLine="482" w:firstLineChars="200"/>
              <w:rPr>
                <w:rFonts w:hint="eastAsia"/>
                <w:b w:val="0"/>
                <w:bCs w:val="0"/>
                <w:color w:val="auto"/>
                <w:u w:val="none"/>
              </w:rPr>
            </w:pPr>
            <w:r>
              <w:rPr>
                <w:rFonts w:hint="eastAsia"/>
                <w:b/>
                <w:bCs/>
                <w:color w:val="auto"/>
                <w:u w:val="single"/>
                <w:lang w:val="en-US" w:eastAsia="zh-CN"/>
              </w:rPr>
              <w:t>*</w:t>
            </w:r>
          </w:p>
        </w:tc>
        <w:tc>
          <w:tcPr>
            <w:tcW w:w="1275" w:type="dxa"/>
            <w:vAlign w:val="center"/>
          </w:tcPr>
          <w:p w14:paraId="2C38B3A0">
            <w:pPr>
              <w:bidi w:val="0"/>
              <w:ind w:firstLine="482" w:firstLineChars="200"/>
              <w:rPr>
                <w:rFonts w:hint="eastAsia"/>
                <w:b w:val="0"/>
                <w:bCs w:val="0"/>
                <w:color w:val="auto"/>
                <w:u w:val="none"/>
              </w:rPr>
            </w:pPr>
            <w:r>
              <w:rPr>
                <w:rFonts w:hint="eastAsia"/>
                <w:b/>
                <w:bCs/>
                <w:color w:val="auto"/>
                <w:u w:val="single"/>
                <w:lang w:val="en-US" w:eastAsia="zh-CN"/>
              </w:rPr>
              <w:t>*</w:t>
            </w:r>
          </w:p>
        </w:tc>
        <w:tc>
          <w:tcPr>
            <w:tcW w:w="2659" w:type="dxa"/>
            <w:vAlign w:val="center"/>
          </w:tcPr>
          <w:p w14:paraId="4CA7D999">
            <w:pPr>
              <w:pStyle w:val="182"/>
              <w:bidi w:val="0"/>
              <w:ind w:firstLine="0" w:firstLineChars="0"/>
              <w:rPr>
                <w:rFonts w:hint="eastAsia"/>
                <w:b w:val="0"/>
                <w:bCs w:val="0"/>
                <w:color w:val="auto"/>
                <w:u w:val="none"/>
              </w:rPr>
            </w:pPr>
            <w:r>
              <w:rPr>
                <w:rFonts w:hint="eastAsia"/>
                <w:b w:val="0"/>
                <w:bCs w:val="0"/>
                <w:color w:val="auto"/>
                <w:u w:val="none"/>
                <w:lang w:eastAsia="zh-CN"/>
              </w:rPr>
              <w:t>依托现有</w:t>
            </w:r>
            <w:r>
              <w:rPr>
                <w:rFonts w:hint="eastAsia"/>
                <w:color w:val="auto"/>
              </w:rPr>
              <w:t>TS003危险废物暂存间</w:t>
            </w:r>
            <w:r>
              <w:rPr>
                <w:rFonts w:hint="eastAsia"/>
                <w:b w:val="0"/>
                <w:bCs w:val="0"/>
                <w:color w:val="auto"/>
              </w:rPr>
              <w:t>（</w:t>
            </w:r>
            <w:r>
              <w:rPr>
                <w:rFonts w:hint="eastAsia"/>
                <w:b w:val="0"/>
                <w:bCs w:val="0"/>
                <w:color w:val="auto"/>
                <w:lang w:val="en-US" w:eastAsia="zh-CN"/>
              </w:rPr>
              <w:t>264</w:t>
            </w:r>
            <w:r>
              <w:rPr>
                <w:rFonts w:hint="eastAsia"/>
                <w:b w:val="0"/>
                <w:bCs w:val="0"/>
                <w:color w:val="auto"/>
              </w:rPr>
              <w:t>m</w:t>
            </w:r>
            <w:r>
              <w:rPr>
                <w:rFonts w:hint="eastAsia"/>
                <w:b w:val="0"/>
                <w:bCs w:val="0"/>
                <w:color w:val="auto"/>
                <w:vertAlign w:val="superscript"/>
              </w:rPr>
              <w:t>2</w:t>
            </w:r>
            <w:r>
              <w:rPr>
                <w:rFonts w:hint="eastAsia"/>
                <w:b w:val="0"/>
                <w:bCs w:val="0"/>
                <w:color w:val="auto"/>
              </w:rPr>
              <w:t>）</w:t>
            </w:r>
            <w:r>
              <w:rPr>
                <w:rFonts w:hint="eastAsia"/>
                <w:b w:val="0"/>
                <w:bCs w:val="0"/>
                <w:color w:val="auto"/>
                <w:u w:val="none"/>
              </w:rPr>
              <w:t>，定期交由有资质的单位进行处置</w:t>
            </w:r>
          </w:p>
        </w:tc>
      </w:tr>
    </w:tbl>
    <w:p w14:paraId="50EB6D20">
      <w:pPr>
        <w:bidi w:val="0"/>
        <w:rPr>
          <w:color w:val="auto"/>
        </w:rPr>
      </w:pPr>
      <w:bookmarkStart w:id="365" w:name="_GoBack"/>
      <w:bookmarkEnd w:id="365"/>
      <w:r>
        <w:rPr>
          <w:rFonts w:hint="eastAsia"/>
          <w:color w:val="auto"/>
        </w:rPr>
        <w:t>通过采取以上措施，工程完成后全厂产生的固废都有相应的处置措施，评价认为工程在认真落实以上措施的前提下，不会对区域环境造成不利影响。</w:t>
      </w:r>
    </w:p>
    <w:p w14:paraId="03C4F8D5">
      <w:pPr>
        <w:bidi w:val="0"/>
        <w:rPr>
          <w:color w:val="auto"/>
        </w:rPr>
      </w:pPr>
      <w:r>
        <w:rPr>
          <w:rFonts w:hint="eastAsia"/>
          <w:b w:val="0"/>
          <w:bCs w:val="0"/>
          <w:color w:val="auto"/>
          <w:u w:val="none"/>
        </w:rPr>
        <w:t>本项目依托厂区依托厂区现有TS004一般固废暂存间，面积 500 平方米，依托厂区现有TS003危险废物暂存间，面积264平方米，</w:t>
      </w:r>
      <w:r>
        <w:rPr>
          <w:rFonts w:hint="eastAsia"/>
          <w:color w:val="auto"/>
        </w:rPr>
        <w:t>对项目固废分类分区存放。</w:t>
      </w:r>
      <w:r>
        <w:rPr>
          <w:rFonts w:hint="eastAsia"/>
          <w:b w:val="0"/>
          <w:bCs w:val="0"/>
          <w:color w:val="auto"/>
          <w:u w:val="none"/>
          <w:lang w:val="en-US" w:eastAsia="zh-CN"/>
        </w:rPr>
        <w:t>经现场勘察，本项目依托厂区现有一般固废间及危废暂存间空间充足，地面干净，都采用分区存放方式储存，本项目依托厂区现有一般固废间及危废暂存间可行。</w:t>
      </w:r>
    </w:p>
    <w:p w14:paraId="1C4A7F5D">
      <w:pPr>
        <w:bidi w:val="0"/>
        <w:rPr>
          <w:color w:val="auto"/>
        </w:rPr>
      </w:pPr>
      <w:r>
        <w:rPr>
          <w:rFonts w:hint="eastAsia"/>
          <w:color w:val="auto"/>
        </w:rPr>
        <w:t>一般工业固废暂存间已按照《一般工业固体废物贮存和填埋污染控制标准》（GB18599-</w:t>
      </w:r>
      <w:r>
        <w:rPr>
          <w:color w:val="auto"/>
        </w:rPr>
        <w:t>2020</w:t>
      </w:r>
      <w:r>
        <w:rPr>
          <w:rFonts w:hint="eastAsia"/>
          <w:color w:val="auto"/>
        </w:rPr>
        <w:t>）的相关要求进行建设，暂存间地面已硬化，并且有防渗、防风、防晒、防雨淋措施。评价要求工程产生的一般固废及时清运，尽量缩短在厂区内的堆存时间，并严格按照《一般工业固体废物贮存和填埋污染控制标准》（GB18599-</w:t>
      </w:r>
      <w:r>
        <w:rPr>
          <w:color w:val="auto"/>
        </w:rPr>
        <w:t>2020</w:t>
      </w:r>
      <w:r>
        <w:rPr>
          <w:rFonts w:hint="eastAsia"/>
          <w:color w:val="auto"/>
        </w:rPr>
        <w:t>）的相关要求进行管理。</w:t>
      </w:r>
    </w:p>
    <w:p w14:paraId="40159979">
      <w:pPr>
        <w:bidi w:val="0"/>
        <w:rPr>
          <w:b w:val="0"/>
          <w:bCs w:val="0"/>
          <w:i w:val="0"/>
          <w:iCs w:val="0"/>
          <w:color w:val="auto"/>
          <w:u w:val="none"/>
        </w:rPr>
      </w:pPr>
      <w:r>
        <w:rPr>
          <w:rFonts w:hint="eastAsia"/>
          <w:b w:val="0"/>
          <w:bCs w:val="0"/>
          <w:i w:val="0"/>
          <w:iCs w:val="0"/>
          <w:color w:val="auto"/>
          <w:u w:val="none"/>
        </w:rPr>
        <w:t>危险废物暂存间按照《危险废物贮存污染控制标准》（GB</w:t>
      </w:r>
      <w:r>
        <w:rPr>
          <w:rFonts w:hint="eastAsia"/>
          <w:b w:val="0"/>
          <w:bCs w:val="0"/>
          <w:i w:val="0"/>
          <w:iCs w:val="0"/>
          <w:color w:val="auto"/>
          <w:u w:val="none"/>
          <w:lang w:val="en-US" w:eastAsia="zh-CN"/>
        </w:rPr>
        <w:t xml:space="preserve"> </w:t>
      </w:r>
      <w:r>
        <w:rPr>
          <w:rFonts w:hint="eastAsia"/>
          <w:b w:val="0"/>
          <w:bCs w:val="0"/>
          <w:i w:val="0"/>
          <w:iCs w:val="0"/>
          <w:color w:val="auto"/>
          <w:u w:val="none"/>
        </w:rPr>
        <w:t>18597-20</w:t>
      </w:r>
      <w:r>
        <w:rPr>
          <w:rFonts w:hint="eastAsia"/>
          <w:b w:val="0"/>
          <w:bCs w:val="0"/>
          <w:i w:val="0"/>
          <w:iCs w:val="0"/>
          <w:color w:val="auto"/>
          <w:u w:val="none"/>
          <w:lang w:val="en-US" w:eastAsia="zh-CN"/>
        </w:rPr>
        <w:t>23</w:t>
      </w:r>
      <w:r>
        <w:rPr>
          <w:rFonts w:hint="eastAsia"/>
          <w:b w:val="0"/>
          <w:bCs w:val="0"/>
          <w:i w:val="0"/>
          <w:iCs w:val="0"/>
          <w:color w:val="auto"/>
          <w:u w:val="none"/>
        </w:rPr>
        <w:t>）对危险废物的相关要求进行</w:t>
      </w:r>
      <w:r>
        <w:rPr>
          <w:rFonts w:hint="eastAsia"/>
          <w:b w:val="0"/>
          <w:bCs w:val="0"/>
          <w:i w:val="0"/>
          <w:iCs w:val="0"/>
          <w:color w:val="auto"/>
          <w:u w:val="none"/>
          <w:lang w:val="en-US" w:eastAsia="zh-CN"/>
        </w:rPr>
        <w:t>改造</w:t>
      </w:r>
      <w:r>
        <w:rPr>
          <w:rFonts w:hint="eastAsia"/>
          <w:b w:val="0"/>
          <w:bCs w:val="0"/>
          <w:i w:val="0"/>
          <w:iCs w:val="0"/>
          <w:color w:val="auto"/>
          <w:u w:val="none"/>
        </w:rPr>
        <w:t>，</w:t>
      </w:r>
      <w:r>
        <w:rPr>
          <w:rFonts w:hint="eastAsia"/>
          <w:b w:val="0"/>
          <w:bCs w:val="0"/>
          <w:i w:val="0"/>
          <w:iCs w:val="0"/>
          <w:color w:val="auto"/>
          <w:u w:val="none"/>
          <w:lang w:val="en-US" w:eastAsia="zh-CN"/>
        </w:rPr>
        <w:t>现有危废</w:t>
      </w:r>
      <w:r>
        <w:rPr>
          <w:rFonts w:hint="eastAsia"/>
          <w:b w:val="0"/>
          <w:bCs w:val="0"/>
          <w:i w:val="0"/>
          <w:iCs w:val="0"/>
          <w:color w:val="auto"/>
          <w:u w:val="none"/>
        </w:rPr>
        <w:t>暂存间地面已硬化，并且有防渗、防风、防晒、防雨淋措施。为了避免危险固废在厂区贮存过程中对环境的影响，评价要求企业及时将危废送至有资质的危废处理单位安全处置，在危废的转移处置过程中，应严格按照《中华人民共和国固体废物污染环境防治法》和《危险废物转移管理办法》（部令23号）有关规定执行。</w:t>
      </w:r>
    </w:p>
    <w:p w14:paraId="7163737E">
      <w:pPr>
        <w:bidi w:val="0"/>
        <w:rPr>
          <w:color w:val="auto"/>
        </w:rPr>
      </w:pPr>
      <w:r>
        <w:rPr>
          <w:rFonts w:hint="eastAsia"/>
          <w:color w:val="auto"/>
        </w:rPr>
        <w:t>综上所述，项目固废均能实现综合利用和安全处置。</w:t>
      </w:r>
    </w:p>
    <w:p w14:paraId="33E289B2">
      <w:pPr>
        <w:pStyle w:val="5"/>
        <w:bidi w:val="0"/>
        <w:rPr>
          <w:color w:val="auto"/>
        </w:rPr>
      </w:pPr>
      <w:r>
        <w:rPr>
          <w:rFonts w:hint="eastAsia"/>
          <w:color w:val="auto"/>
        </w:rPr>
        <w:t>地下水污染防治措施</w:t>
      </w:r>
    </w:p>
    <w:p w14:paraId="73B5D3F7">
      <w:pPr>
        <w:bidi w:val="0"/>
        <w:rPr>
          <w:color w:val="auto"/>
        </w:rPr>
      </w:pPr>
      <w:r>
        <w:rPr>
          <w:rFonts w:hint="eastAsia"/>
          <w:color w:val="auto"/>
        </w:rPr>
        <w:t>项目所在的区域地下水水位埋深较浅，约为4.5m左右，土壤为沙质土，因此地下水污染防治措施显得尤为重要。本项目地下水污染防治按照“源头控制、分区防渗、污染监控、应急响应”的原则，防止本工程建设及运营中对地下水环境造成污染。</w:t>
      </w:r>
    </w:p>
    <w:p w14:paraId="5C1814C4">
      <w:pPr>
        <w:pStyle w:val="6"/>
        <w:bidi w:val="0"/>
        <w:rPr>
          <w:color w:val="auto"/>
        </w:rPr>
      </w:pPr>
      <w:r>
        <w:rPr>
          <w:rFonts w:hint="eastAsia"/>
          <w:color w:val="auto"/>
        </w:rPr>
        <w:t>源头控制措施</w:t>
      </w:r>
    </w:p>
    <w:p w14:paraId="7054B97B">
      <w:pPr>
        <w:bidi w:val="0"/>
        <w:rPr>
          <w:color w:val="auto"/>
        </w:rPr>
      </w:pPr>
      <w:r>
        <w:rPr>
          <w:rFonts w:hint="eastAsia"/>
          <w:color w:val="auto"/>
        </w:rPr>
        <w:t>工程设计管道、阀门、设备均采用国内质量可靠的管道、阀门、设备；安排专人负责设备、阀门、管道日常巡视工作，发现跑、冒、滴、漏，立即采取措施补救，尽量杜绝物料及废水跑、冒、滴、漏而下渗污染地下水；废水均采用管道输送；生产车间、原料储存库、废污水管线管道均应严格按照要求做好防渗处理，避免出现裂纹而导致废水下渗污染地下水。</w:t>
      </w:r>
    </w:p>
    <w:p w14:paraId="7E6D4E23">
      <w:pPr>
        <w:bidi w:val="0"/>
        <w:rPr>
          <w:color w:val="auto"/>
        </w:rPr>
      </w:pPr>
      <w:r>
        <w:rPr>
          <w:rFonts w:hint="eastAsia"/>
          <w:color w:val="auto"/>
        </w:rPr>
        <w:t>项目生产废水排入厂区内的污水处理站进行处理，达标后通过园区管道进入新乡市小店污水处理厂，处理达标后排入大沙河，不得有任何形式的渗井渗坑存在。</w:t>
      </w:r>
    </w:p>
    <w:p w14:paraId="5B54A901">
      <w:pPr>
        <w:pStyle w:val="6"/>
        <w:bidi w:val="0"/>
        <w:rPr>
          <w:color w:val="auto"/>
        </w:rPr>
      </w:pPr>
      <w:r>
        <w:rPr>
          <w:rFonts w:hint="eastAsia"/>
          <w:color w:val="auto"/>
        </w:rPr>
        <w:t>分区防渗措施</w:t>
      </w:r>
    </w:p>
    <w:p w14:paraId="70A69560">
      <w:pPr>
        <w:bidi w:val="0"/>
        <w:rPr>
          <w:b w:val="0"/>
          <w:bCs w:val="0"/>
          <w:color w:val="auto"/>
          <w:u w:val="none"/>
        </w:rPr>
      </w:pPr>
      <w:r>
        <w:rPr>
          <w:rFonts w:hint="eastAsia"/>
          <w:b w:val="0"/>
          <w:bCs w:val="0"/>
          <w:color w:val="auto"/>
          <w:u w:val="none"/>
        </w:rPr>
        <w:t>本项目划分为重点污染防渗区、一般污染防渗区、非污染防渗区：</w:t>
      </w:r>
    </w:p>
    <w:p w14:paraId="5BDAA40B">
      <w:pPr>
        <w:bidi w:val="0"/>
        <w:rPr>
          <w:b w:val="0"/>
          <w:bCs w:val="0"/>
          <w:color w:val="auto"/>
          <w:u w:val="none"/>
        </w:rPr>
      </w:pPr>
      <w:r>
        <w:rPr>
          <w:rFonts w:hint="eastAsia"/>
          <w:b w:val="0"/>
          <w:bCs w:val="0"/>
          <w:color w:val="auto"/>
          <w:u w:val="none"/>
        </w:rPr>
        <w:t>重点污染防渗区：位于地下或半地下的生产功能单元，污染地下水环境的物料或污染物泄漏后，不易及时发现和处理的区域或部位。本项目的重点污染防治区为：</w:t>
      </w:r>
      <w:r>
        <w:rPr>
          <w:rFonts w:hint="eastAsia"/>
          <w:color w:val="auto"/>
          <w:lang w:val="en-US" w:eastAsia="zh-CN"/>
        </w:rPr>
        <w:t>溶剂回收区域、</w:t>
      </w:r>
      <w:r>
        <w:rPr>
          <w:rFonts w:hint="eastAsia"/>
          <w:color w:val="auto"/>
        </w:rPr>
        <w:t>废污水管道</w:t>
      </w:r>
      <w:r>
        <w:rPr>
          <w:rFonts w:hint="eastAsia"/>
          <w:color w:val="auto"/>
          <w:lang w:eastAsia="zh-CN"/>
        </w:rPr>
        <w:t>、</w:t>
      </w:r>
      <w:r>
        <w:rPr>
          <w:rFonts w:hint="eastAsia"/>
          <w:color w:val="auto"/>
          <w:lang w:val="en-US" w:eastAsia="zh-CN"/>
        </w:rPr>
        <w:t>原辅料堆放处</w:t>
      </w:r>
      <w:r>
        <w:rPr>
          <w:rFonts w:hint="eastAsia"/>
          <w:b w:val="0"/>
          <w:bCs w:val="0"/>
          <w:color w:val="auto"/>
          <w:u w:val="none"/>
        </w:rPr>
        <w:t>。</w:t>
      </w:r>
    </w:p>
    <w:p w14:paraId="2DA64262">
      <w:pPr>
        <w:bidi w:val="0"/>
        <w:rPr>
          <w:b w:val="0"/>
          <w:bCs w:val="0"/>
          <w:color w:val="auto"/>
          <w:u w:val="none"/>
        </w:rPr>
      </w:pPr>
      <w:r>
        <w:rPr>
          <w:rFonts w:hint="eastAsia"/>
          <w:b w:val="0"/>
          <w:bCs w:val="0"/>
          <w:color w:val="auto"/>
          <w:u w:val="none"/>
        </w:rPr>
        <w:t>一般污染防渗区：</w:t>
      </w:r>
      <w:r>
        <w:rPr>
          <w:rFonts w:hint="eastAsia"/>
          <w:b w:val="0"/>
          <w:bCs w:val="0"/>
          <w:color w:val="auto"/>
          <w:u w:val="none"/>
          <w:lang w:eastAsia="zh-CN"/>
        </w:rPr>
        <w:t>裸露</w:t>
      </w:r>
      <w:r>
        <w:rPr>
          <w:rFonts w:hint="eastAsia"/>
          <w:b w:val="0"/>
          <w:bCs w:val="0"/>
          <w:color w:val="auto"/>
          <w:u w:val="none"/>
        </w:rPr>
        <w:t>于地面的生产功能单元，污染地下水环境的物料或污染物泄漏后，可及时发现和处理的区域或部位。本项目的一般污染防治区为：</w:t>
      </w:r>
      <w:r>
        <w:rPr>
          <w:rFonts w:hint="eastAsia"/>
          <w:b w:val="0"/>
          <w:bCs w:val="0"/>
          <w:color w:val="auto"/>
          <w:u w:val="none"/>
          <w:lang w:val="en-US" w:eastAsia="zh-CN"/>
        </w:rPr>
        <w:t>无溶剂参与生产工序</w:t>
      </w:r>
      <w:r>
        <w:rPr>
          <w:rFonts w:hint="eastAsia"/>
          <w:b w:val="0"/>
          <w:bCs w:val="0"/>
          <w:color w:val="auto"/>
          <w:u w:val="none"/>
        </w:rPr>
        <w:t>。</w:t>
      </w:r>
    </w:p>
    <w:p w14:paraId="4C02B41D">
      <w:pPr>
        <w:bidi w:val="0"/>
        <w:rPr>
          <w:b w:val="0"/>
          <w:bCs w:val="0"/>
          <w:color w:val="auto"/>
          <w:u w:val="none"/>
        </w:rPr>
      </w:pPr>
      <w:r>
        <w:rPr>
          <w:rFonts w:hint="eastAsia"/>
          <w:b w:val="0"/>
          <w:bCs w:val="0"/>
          <w:color w:val="auto"/>
          <w:u w:val="none"/>
        </w:rPr>
        <w:t>非污染防渗区：没有物料或污染物泄露，不会对地下水环境造成污染的区域或部位。本项目</w:t>
      </w:r>
      <w:r>
        <w:rPr>
          <w:rFonts w:hint="eastAsia"/>
          <w:b w:val="0"/>
          <w:bCs w:val="0"/>
          <w:color w:val="auto"/>
          <w:u w:val="none"/>
          <w:lang w:val="en-US" w:eastAsia="zh-CN"/>
        </w:rPr>
        <w:t>无</w:t>
      </w:r>
      <w:r>
        <w:rPr>
          <w:rFonts w:hint="eastAsia"/>
          <w:b w:val="0"/>
          <w:bCs w:val="0"/>
          <w:color w:val="auto"/>
          <w:u w:val="none"/>
        </w:rPr>
        <w:t>非污染防治区。</w:t>
      </w:r>
    </w:p>
    <w:p w14:paraId="7E843E67">
      <w:pPr>
        <w:bidi w:val="0"/>
        <w:rPr>
          <w:b w:val="0"/>
          <w:bCs w:val="0"/>
          <w:color w:val="auto"/>
          <w:u w:val="none"/>
        </w:rPr>
      </w:pPr>
      <w:r>
        <w:rPr>
          <w:rFonts w:hint="eastAsia"/>
          <w:b w:val="0"/>
          <w:bCs w:val="0"/>
          <w:color w:val="auto"/>
          <w:u w:val="none"/>
        </w:rPr>
        <w:t>针对不同的防渗区域，采取不同的污染防渗措施，具体如下：</w:t>
      </w:r>
    </w:p>
    <w:p w14:paraId="6E86610A">
      <w:pPr>
        <w:bidi w:val="0"/>
        <w:rPr>
          <w:b w:val="0"/>
          <w:bCs w:val="0"/>
          <w:color w:val="auto"/>
          <w:u w:val="none"/>
        </w:rPr>
      </w:pPr>
      <w:r>
        <w:rPr>
          <w:rFonts w:hint="eastAsia"/>
          <w:b w:val="0"/>
          <w:bCs w:val="0"/>
          <w:color w:val="auto"/>
          <w:u w:val="none"/>
        </w:rPr>
        <w:t>（1）重点污染防渗区：</w:t>
      </w:r>
    </w:p>
    <w:p w14:paraId="7AE33AC2">
      <w:pPr>
        <w:bidi w:val="0"/>
        <w:rPr>
          <w:b w:val="0"/>
          <w:bCs w:val="0"/>
          <w:color w:val="auto"/>
          <w:u w:val="none"/>
        </w:rPr>
      </w:pPr>
      <w:r>
        <w:rPr>
          <w:rFonts w:hint="eastAsia"/>
          <w:b w:val="0"/>
          <w:bCs w:val="0"/>
          <w:color w:val="auto"/>
          <w:u w:val="none"/>
        </w:rPr>
        <w:t>a</w:t>
      </w:r>
      <w:r>
        <w:rPr>
          <w:rFonts w:hint="eastAsia"/>
          <w:b w:val="0"/>
          <w:bCs w:val="0"/>
          <w:color w:val="auto"/>
          <w:u w:val="none"/>
          <w:lang w:eastAsia="zh-CN"/>
        </w:rPr>
        <w:t>.</w:t>
      </w:r>
      <w:r>
        <w:rPr>
          <w:rFonts w:hint="eastAsia"/>
          <w:b w:val="0"/>
          <w:bCs w:val="0"/>
          <w:color w:val="auto"/>
          <w:u w:val="none"/>
        </w:rPr>
        <w:t>防渗性能应与6.0m厚</w:t>
      </w:r>
      <w:r>
        <w:rPr>
          <w:rFonts w:hint="eastAsia"/>
          <w:b w:val="0"/>
          <w:bCs w:val="0"/>
          <w:color w:val="auto"/>
          <w:u w:val="none"/>
          <w:lang w:eastAsia="zh-CN"/>
        </w:rPr>
        <w:t>黏土</w:t>
      </w:r>
      <w:r>
        <w:rPr>
          <w:rFonts w:hint="eastAsia"/>
          <w:b w:val="0"/>
          <w:bCs w:val="0"/>
          <w:color w:val="auto"/>
          <w:u w:val="none"/>
        </w:rPr>
        <w:t>层（渗透系数1.0×10</w:t>
      </w:r>
      <w:r>
        <w:rPr>
          <w:rFonts w:hint="eastAsia"/>
          <w:b w:val="0"/>
          <w:bCs w:val="0"/>
          <w:color w:val="auto"/>
          <w:u w:val="none"/>
          <w:vertAlign w:val="superscript"/>
          <w:lang w:val="en-US" w:eastAsia="zh-CN"/>
        </w:rPr>
        <w:t>-</w:t>
      </w:r>
      <w:r>
        <w:rPr>
          <w:rFonts w:hint="eastAsia"/>
          <w:b w:val="0"/>
          <w:bCs w:val="0"/>
          <w:color w:val="auto"/>
          <w:u w:val="none"/>
          <w:vertAlign w:val="superscript"/>
        </w:rPr>
        <w:t>7</w:t>
      </w:r>
      <w:r>
        <w:rPr>
          <w:rFonts w:hint="eastAsia"/>
          <w:b w:val="0"/>
          <w:bCs w:val="0"/>
          <w:color w:val="auto"/>
          <w:u w:val="none"/>
        </w:rPr>
        <w:t>cm/s）等效；</w:t>
      </w:r>
    </w:p>
    <w:p w14:paraId="137A6F35">
      <w:pPr>
        <w:bidi w:val="0"/>
        <w:rPr>
          <w:b w:val="0"/>
          <w:bCs w:val="0"/>
          <w:color w:val="auto"/>
          <w:u w:val="none"/>
        </w:rPr>
      </w:pPr>
      <w:r>
        <w:rPr>
          <w:rFonts w:hint="eastAsia"/>
          <w:b w:val="0"/>
          <w:bCs w:val="0"/>
          <w:color w:val="auto"/>
          <w:u w:val="none"/>
        </w:rPr>
        <w:t>b</w:t>
      </w:r>
      <w:r>
        <w:rPr>
          <w:rFonts w:hint="eastAsia"/>
          <w:b w:val="0"/>
          <w:bCs w:val="0"/>
          <w:color w:val="auto"/>
          <w:u w:val="none"/>
          <w:lang w:eastAsia="zh-CN"/>
        </w:rPr>
        <w:t>.</w:t>
      </w:r>
      <w:r>
        <w:rPr>
          <w:rFonts w:hint="eastAsia"/>
          <w:b w:val="0"/>
          <w:bCs w:val="0"/>
          <w:color w:val="auto"/>
          <w:u w:val="none"/>
        </w:rPr>
        <w:t>第一层采用底层粘土，采用0.3m压实</w:t>
      </w:r>
      <w:r>
        <w:rPr>
          <w:rFonts w:hint="eastAsia"/>
          <w:b w:val="0"/>
          <w:bCs w:val="0"/>
          <w:color w:val="auto"/>
          <w:u w:val="none"/>
          <w:lang w:eastAsia="zh-CN"/>
        </w:rPr>
        <w:t>黏土</w:t>
      </w:r>
      <w:r>
        <w:rPr>
          <w:rFonts w:hint="eastAsia"/>
          <w:b w:val="0"/>
          <w:bCs w:val="0"/>
          <w:color w:val="auto"/>
          <w:u w:val="none"/>
        </w:rPr>
        <w:t>层；</w:t>
      </w:r>
    </w:p>
    <w:p w14:paraId="485CAB69">
      <w:pPr>
        <w:bidi w:val="0"/>
        <w:rPr>
          <w:b w:val="0"/>
          <w:bCs w:val="0"/>
          <w:color w:val="auto"/>
          <w:u w:val="none"/>
        </w:rPr>
      </w:pPr>
      <w:r>
        <w:rPr>
          <w:rFonts w:hint="eastAsia"/>
          <w:b w:val="0"/>
          <w:bCs w:val="0"/>
          <w:color w:val="auto"/>
          <w:u w:val="none"/>
        </w:rPr>
        <w:t>c</w:t>
      </w:r>
      <w:r>
        <w:rPr>
          <w:rFonts w:hint="eastAsia"/>
          <w:b w:val="0"/>
          <w:bCs w:val="0"/>
          <w:color w:val="auto"/>
          <w:u w:val="none"/>
          <w:lang w:eastAsia="zh-CN"/>
        </w:rPr>
        <w:t>.</w:t>
      </w:r>
      <w:r>
        <w:rPr>
          <w:rFonts w:hint="eastAsia"/>
          <w:b w:val="0"/>
          <w:bCs w:val="0"/>
          <w:color w:val="auto"/>
          <w:u w:val="none"/>
        </w:rPr>
        <w:t>第二层采用GCL（纳基膨润土防水毯），抗渗等级不小于P10，厚度宜为2.0mm；</w:t>
      </w:r>
    </w:p>
    <w:p w14:paraId="4B368490">
      <w:pPr>
        <w:bidi w:val="0"/>
        <w:rPr>
          <w:b w:val="0"/>
          <w:bCs w:val="0"/>
          <w:color w:val="auto"/>
          <w:u w:val="none"/>
        </w:rPr>
      </w:pPr>
      <w:r>
        <w:rPr>
          <w:rFonts w:hint="eastAsia"/>
          <w:b w:val="0"/>
          <w:bCs w:val="0"/>
          <w:color w:val="auto"/>
          <w:u w:val="none"/>
        </w:rPr>
        <w:t>d</w:t>
      </w:r>
      <w:r>
        <w:rPr>
          <w:rFonts w:hint="eastAsia"/>
          <w:b w:val="0"/>
          <w:bCs w:val="0"/>
          <w:color w:val="auto"/>
          <w:u w:val="none"/>
          <w:lang w:eastAsia="zh-CN"/>
        </w:rPr>
        <w:t>.</w:t>
      </w:r>
      <w:r>
        <w:rPr>
          <w:rFonts w:hint="eastAsia"/>
          <w:b w:val="0"/>
          <w:bCs w:val="0"/>
          <w:color w:val="auto"/>
          <w:u w:val="none"/>
        </w:rPr>
        <w:t>第三层采用HDPE土工膜，厚度宜为1.5mm；</w:t>
      </w:r>
    </w:p>
    <w:p w14:paraId="3282DB59">
      <w:pPr>
        <w:bidi w:val="0"/>
        <w:rPr>
          <w:b w:val="0"/>
          <w:bCs w:val="0"/>
          <w:color w:val="auto"/>
          <w:u w:val="none"/>
        </w:rPr>
      </w:pPr>
      <w:r>
        <w:rPr>
          <w:rFonts w:hint="eastAsia"/>
          <w:b w:val="0"/>
          <w:bCs w:val="0"/>
          <w:color w:val="auto"/>
          <w:u w:val="none"/>
        </w:rPr>
        <w:t>e</w:t>
      </w:r>
      <w:r>
        <w:rPr>
          <w:rFonts w:hint="eastAsia"/>
          <w:b w:val="0"/>
          <w:bCs w:val="0"/>
          <w:color w:val="auto"/>
          <w:u w:val="none"/>
          <w:lang w:eastAsia="zh-CN"/>
        </w:rPr>
        <w:t>.</w:t>
      </w:r>
      <w:r>
        <w:rPr>
          <w:rFonts w:hint="eastAsia"/>
          <w:b w:val="0"/>
          <w:bCs w:val="0"/>
          <w:color w:val="auto"/>
          <w:u w:val="none"/>
        </w:rPr>
        <w:t>第四层采用长丝无纺土工布保护，其规格不宜小于600g/m</w:t>
      </w:r>
      <w:r>
        <w:rPr>
          <w:rFonts w:hint="eastAsia"/>
          <w:b w:val="0"/>
          <w:bCs w:val="0"/>
          <w:color w:val="auto"/>
          <w:u w:val="none"/>
          <w:vertAlign w:val="superscript"/>
        </w:rPr>
        <w:t>2</w:t>
      </w:r>
      <w:r>
        <w:rPr>
          <w:rFonts w:hint="eastAsia"/>
          <w:b w:val="0"/>
          <w:bCs w:val="0"/>
          <w:color w:val="auto"/>
          <w:u w:val="none"/>
        </w:rPr>
        <w:t>。</w:t>
      </w:r>
    </w:p>
    <w:p w14:paraId="6E3E2EF6">
      <w:pPr>
        <w:keepNext w:val="0"/>
        <w:keepLines w:val="0"/>
        <w:pageBreakBefore w:val="0"/>
        <w:widowControl w:val="0"/>
        <w:kinsoku/>
        <w:wordWrap/>
        <w:overflowPunct/>
        <w:topLinePunct w:val="0"/>
        <w:autoSpaceDE/>
        <w:autoSpaceDN/>
        <w:bidi w:val="0"/>
        <w:adjustRightInd w:val="0"/>
        <w:snapToGrid w:val="0"/>
        <w:spacing w:line="360" w:lineRule="auto"/>
        <w:textAlignment w:val="auto"/>
        <w:rPr>
          <w:b w:val="0"/>
          <w:bCs w:val="0"/>
          <w:color w:val="auto"/>
          <w:u w:val="none"/>
        </w:rPr>
      </w:pPr>
      <w:r>
        <w:rPr>
          <w:rFonts w:hint="eastAsia"/>
          <w:b w:val="0"/>
          <w:bCs w:val="0"/>
          <w:color w:val="auto"/>
          <w:u w:val="none"/>
        </w:rPr>
        <w:t>f</w:t>
      </w:r>
      <w:r>
        <w:rPr>
          <w:rFonts w:hint="eastAsia"/>
          <w:b w:val="0"/>
          <w:bCs w:val="0"/>
          <w:color w:val="auto"/>
          <w:u w:val="none"/>
          <w:lang w:eastAsia="zh-CN"/>
        </w:rPr>
        <w:t>.</w:t>
      </w:r>
      <w:r>
        <w:rPr>
          <w:rFonts w:hint="eastAsia"/>
          <w:b w:val="0"/>
          <w:bCs w:val="0"/>
          <w:color w:val="auto"/>
          <w:u w:val="none"/>
        </w:rPr>
        <w:t>第五层采用抗渗钢筋混凝土结构，混凝土强度等级不宜小于C30；钢筋混凝土水池的抗渗等级不应小于P8；结构厚度不应小于250mm；最大裂缝宽度不应大于0.2mm，并不得贯通；钢筋的混凝土保护层厚度应根据结构的耐久性和环境类别选用，迎水面钢筋的混凝土保护层厚度不应小于50mm；防渗钢筋混凝土水池所有缝应设置止水带，止水带可选用塑料止水带和橡胶止水带，缝内应填置填缝板和嵌缝密封料，接缝处等细部构造应采取防渗处理。</w:t>
      </w:r>
    </w:p>
    <w:p w14:paraId="088D3E5B">
      <w:pPr>
        <w:keepNext w:val="0"/>
        <w:keepLines w:val="0"/>
        <w:pageBreakBefore w:val="0"/>
        <w:widowControl w:val="0"/>
        <w:kinsoku/>
        <w:wordWrap/>
        <w:overflowPunct/>
        <w:topLinePunct w:val="0"/>
        <w:autoSpaceDE/>
        <w:autoSpaceDN/>
        <w:bidi w:val="0"/>
        <w:adjustRightInd w:val="0"/>
        <w:snapToGrid w:val="0"/>
        <w:spacing w:line="360" w:lineRule="auto"/>
        <w:textAlignment w:val="auto"/>
        <w:rPr>
          <w:b w:val="0"/>
          <w:bCs w:val="0"/>
          <w:color w:val="auto"/>
          <w:u w:val="none"/>
        </w:rPr>
      </w:pPr>
      <w:r>
        <w:rPr>
          <w:rFonts w:hint="eastAsia"/>
          <w:b w:val="0"/>
          <w:bCs w:val="0"/>
          <w:color w:val="auto"/>
          <w:u w:val="none"/>
        </w:rPr>
        <w:t>防渗层应由中心坡向四周，坡度不宜小于1.5%。</w:t>
      </w:r>
    </w:p>
    <w:p w14:paraId="76B231B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（2）一般污染防渗区：</w:t>
      </w:r>
    </w:p>
    <w:p w14:paraId="35DD828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a</w:t>
      </w:r>
      <w:r>
        <w:rPr>
          <w:rFonts w:hint="eastAsia"/>
          <w:b w:val="0"/>
          <w:bCs w:val="0"/>
          <w:color w:val="auto"/>
          <w:u w:val="none"/>
          <w:lang w:eastAsia="zh-CN"/>
        </w:rPr>
        <w:t>.</w:t>
      </w:r>
      <w:r>
        <w:rPr>
          <w:rFonts w:hint="eastAsia"/>
          <w:b w:val="0"/>
          <w:bCs w:val="0"/>
          <w:color w:val="auto"/>
          <w:u w:val="none"/>
        </w:rPr>
        <w:t>对一般污染防治区，防渗性能应与1.5m厚</w:t>
      </w:r>
      <w:r>
        <w:rPr>
          <w:rFonts w:hint="eastAsia"/>
          <w:b w:val="0"/>
          <w:bCs w:val="0"/>
          <w:color w:val="auto"/>
          <w:u w:val="none"/>
          <w:lang w:eastAsia="zh-CN"/>
        </w:rPr>
        <w:t>黏土</w:t>
      </w:r>
      <w:r>
        <w:rPr>
          <w:rFonts w:hint="eastAsia"/>
          <w:b w:val="0"/>
          <w:bCs w:val="0"/>
          <w:color w:val="auto"/>
          <w:u w:val="none"/>
        </w:rPr>
        <w:t>层（渗透系数1.0×10</w:t>
      </w:r>
      <w:r>
        <w:rPr>
          <w:rFonts w:hint="eastAsia"/>
          <w:b w:val="0"/>
          <w:bCs w:val="0"/>
          <w:color w:val="auto"/>
          <w:u w:val="none"/>
          <w:vertAlign w:val="superscript"/>
          <w:lang w:val="en-US" w:eastAsia="zh-CN"/>
        </w:rPr>
        <w:t>-</w:t>
      </w:r>
      <w:r>
        <w:rPr>
          <w:rFonts w:hint="eastAsia"/>
          <w:b w:val="0"/>
          <w:bCs w:val="0"/>
          <w:color w:val="auto"/>
          <w:u w:val="none"/>
          <w:vertAlign w:val="superscript"/>
        </w:rPr>
        <w:t>7</w:t>
      </w:r>
      <w:r>
        <w:rPr>
          <w:rFonts w:hint="eastAsia"/>
          <w:b w:val="0"/>
          <w:bCs w:val="0"/>
          <w:color w:val="auto"/>
          <w:u w:val="none"/>
        </w:rPr>
        <w:t>cm/s）等效；</w:t>
      </w:r>
    </w:p>
    <w:p w14:paraId="1863121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b</w:t>
      </w:r>
      <w:r>
        <w:rPr>
          <w:rFonts w:hint="eastAsia"/>
          <w:b w:val="0"/>
          <w:bCs w:val="0"/>
          <w:color w:val="auto"/>
          <w:u w:val="none"/>
          <w:lang w:eastAsia="zh-CN"/>
        </w:rPr>
        <w:t>.</w:t>
      </w:r>
      <w:r>
        <w:rPr>
          <w:rFonts w:hint="eastAsia"/>
          <w:b w:val="0"/>
          <w:bCs w:val="0"/>
          <w:color w:val="auto"/>
          <w:u w:val="none"/>
        </w:rPr>
        <w:t>第一层基地土采用粘土夯实；</w:t>
      </w:r>
    </w:p>
    <w:p w14:paraId="5C6E477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c</w:t>
      </w:r>
      <w:r>
        <w:rPr>
          <w:rFonts w:hint="eastAsia"/>
          <w:b w:val="0"/>
          <w:bCs w:val="0"/>
          <w:color w:val="auto"/>
          <w:u w:val="none"/>
          <w:lang w:eastAsia="zh-CN"/>
        </w:rPr>
        <w:t>.</w:t>
      </w:r>
      <w:r>
        <w:rPr>
          <w:rFonts w:hint="eastAsia"/>
          <w:b w:val="0"/>
          <w:bCs w:val="0"/>
          <w:color w:val="auto"/>
          <w:u w:val="none"/>
        </w:rPr>
        <w:t>第二层垫层采用碎石垫层；</w:t>
      </w:r>
    </w:p>
    <w:p w14:paraId="7EE61F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u w:val="none"/>
        </w:rPr>
      </w:pPr>
      <w:r>
        <w:rPr>
          <w:rFonts w:hint="eastAsia"/>
          <w:b w:val="0"/>
          <w:bCs w:val="0"/>
          <w:color w:val="auto"/>
          <w:u w:val="none"/>
        </w:rPr>
        <w:t>d</w:t>
      </w:r>
      <w:r>
        <w:rPr>
          <w:rFonts w:hint="eastAsia"/>
          <w:b w:val="0"/>
          <w:bCs w:val="0"/>
          <w:color w:val="auto"/>
          <w:u w:val="none"/>
          <w:lang w:eastAsia="zh-CN"/>
        </w:rPr>
        <w:t>.</w:t>
      </w:r>
      <w:r>
        <w:rPr>
          <w:rFonts w:hint="eastAsia"/>
          <w:b w:val="0"/>
          <w:bCs w:val="0"/>
          <w:color w:val="auto"/>
          <w:u w:val="none"/>
        </w:rPr>
        <w:t>第三层防渗层采用混凝土防渗；混凝土防渗层的强度等级不应小于C20，水灰比不宜大于0.50；抗渗混凝土的抗渗等级不宜小于P8，其厚度小于100mm；</w:t>
      </w:r>
    </w:p>
    <w:p w14:paraId="3C3E60A7">
      <w:pPr>
        <w:spacing w:line="520" w:lineRule="exact"/>
        <w:ind w:firstLine="480" w:firstLineChars="200"/>
        <w:rPr>
          <w:b w:val="0"/>
          <w:bCs w:val="0"/>
          <w:color w:val="auto"/>
          <w:u w:val="none"/>
        </w:rPr>
      </w:pPr>
      <w:r>
        <w:rPr>
          <w:rFonts w:hint="eastAsia"/>
          <w:b w:val="0"/>
          <w:bCs w:val="0"/>
          <w:color w:val="auto"/>
          <w:u w:val="none"/>
        </w:rPr>
        <w:t>e</w:t>
      </w:r>
      <w:r>
        <w:rPr>
          <w:rFonts w:hint="eastAsia"/>
          <w:b w:val="0"/>
          <w:bCs w:val="0"/>
          <w:color w:val="auto"/>
          <w:u w:val="none"/>
          <w:lang w:eastAsia="zh-CN"/>
        </w:rPr>
        <w:t>.</w:t>
      </w:r>
      <w:r>
        <w:rPr>
          <w:rFonts w:hint="eastAsia"/>
          <w:b w:val="0"/>
          <w:bCs w:val="0"/>
          <w:color w:val="auto"/>
          <w:u w:val="none"/>
        </w:rPr>
        <w:t>抗渗混凝土地面设置缩缝和变形缝，接缝处等细部构造进行防渗。</w:t>
      </w:r>
    </w:p>
    <w:p w14:paraId="0C94B1CF">
      <w:pPr>
        <w:spacing w:line="520" w:lineRule="exact"/>
        <w:ind w:firstLine="480" w:firstLineChars="200"/>
        <w:rPr>
          <w:b w:val="0"/>
          <w:bCs w:val="0"/>
          <w:color w:val="auto"/>
          <w:u w:val="none"/>
        </w:rPr>
      </w:pPr>
      <w:r>
        <w:rPr>
          <w:rFonts w:hint="eastAsia"/>
          <w:b w:val="0"/>
          <w:bCs w:val="0"/>
          <w:color w:val="auto"/>
          <w:u w:val="none"/>
        </w:rPr>
        <w:t>（3）非污染防渗区：</w:t>
      </w:r>
    </w:p>
    <w:p w14:paraId="4D2D4D1A">
      <w:pPr>
        <w:spacing w:line="520" w:lineRule="exact"/>
        <w:ind w:firstLine="480" w:firstLineChars="200"/>
        <w:rPr>
          <w:b w:val="0"/>
          <w:bCs w:val="0"/>
          <w:color w:val="auto"/>
          <w:u w:val="none"/>
        </w:rPr>
      </w:pPr>
      <w:r>
        <w:rPr>
          <w:rFonts w:hint="eastAsia"/>
          <w:b w:val="0"/>
          <w:bCs w:val="0"/>
          <w:color w:val="auto"/>
          <w:u w:val="none"/>
        </w:rPr>
        <w:t>a</w:t>
      </w:r>
      <w:r>
        <w:rPr>
          <w:rFonts w:hint="eastAsia"/>
          <w:b w:val="0"/>
          <w:bCs w:val="0"/>
          <w:color w:val="auto"/>
          <w:u w:val="none"/>
          <w:lang w:eastAsia="zh-CN"/>
        </w:rPr>
        <w:t>.</w:t>
      </w:r>
      <w:r>
        <w:rPr>
          <w:rFonts w:hint="eastAsia"/>
          <w:b w:val="0"/>
          <w:bCs w:val="0"/>
          <w:color w:val="auto"/>
          <w:u w:val="none"/>
        </w:rPr>
        <w:t>第一层基地土采用原土夯实；</w:t>
      </w:r>
    </w:p>
    <w:p w14:paraId="6FE77461">
      <w:pPr>
        <w:spacing w:line="520" w:lineRule="exact"/>
        <w:ind w:firstLine="480" w:firstLineChars="200"/>
        <w:rPr>
          <w:b w:val="0"/>
          <w:bCs w:val="0"/>
          <w:color w:val="auto"/>
          <w:u w:val="none"/>
        </w:rPr>
      </w:pPr>
      <w:r>
        <w:rPr>
          <w:rFonts w:hint="eastAsia"/>
          <w:b w:val="0"/>
          <w:bCs w:val="0"/>
          <w:color w:val="auto"/>
          <w:u w:val="none"/>
        </w:rPr>
        <w:t>b</w:t>
      </w:r>
      <w:r>
        <w:rPr>
          <w:rFonts w:hint="eastAsia"/>
          <w:b w:val="0"/>
          <w:bCs w:val="0"/>
          <w:color w:val="auto"/>
          <w:u w:val="none"/>
          <w:lang w:eastAsia="zh-CN"/>
        </w:rPr>
        <w:t>.</w:t>
      </w:r>
      <w:r>
        <w:rPr>
          <w:rFonts w:hint="eastAsia"/>
          <w:b w:val="0"/>
          <w:bCs w:val="0"/>
          <w:color w:val="auto"/>
          <w:u w:val="none"/>
        </w:rPr>
        <w:t>第二层垫层采用60厚C15混凝土垫层，抗渗等级P6；</w:t>
      </w:r>
    </w:p>
    <w:p w14:paraId="2B34F454">
      <w:pPr>
        <w:spacing w:line="520" w:lineRule="exact"/>
        <w:ind w:firstLine="480" w:firstLineChars="200"/>
        <w:rPr>
          <w:b w:val="0"/>
          <w:bCs w:val="0"/>
          <w:color w:val="auto"/>
          <w:u w:val="none"/>
        </w:rPr>
      </w:pPr>
      <w:r>
        <w:rPr>
          <w:rFonts w:hint="eastAsia"/>
          <w:b w:val="0"/>
          <w:bCs w:val="0"/>
          <w:color w:val="auto"/>
          <w:u w:val="none"/>
        </w:rPr>
        <w:t>c</w:t>
      </w:r>
      <w:r>
        <w:rPr>
          <w:rFonts w:hint="eastAsia"/>
          <w:b w:val="0"/>
          <w:bCs w:val="0"/>
          <w:color w:val="auto"/>
          <w:u w:val="none"/>
          <w:lang w:eastAsia="zh-CN"/>
        </w:rPr>
        <w:t>.</w:t>
      </w:r>
      <w:r>
        <w:rPr>
          <w:rFonts w:hint="eastAsia"/>
          <w:b w:val="0"/>
          <w:bCs w:val="0"/>
          <w:color w:val="auto"/>
          <w:u w:val="none"/>
        </w:rPr>
        <w:t>第三层20厚1：3干硬水泥砂浆结合层。</w:t>
      </w:r>
    </w:p>
    <w:p w14:paraId="66BE0B7A">
      <w:pPr>
        <w:spacing w:line="520" w:lineRule="exact"/>
        <w:ind w:firstLine="480" w:firstLineChars="200"/>
        <w:rPr>
          <w:b w:val="0"/>
          <w:bCs w:val="0"/>
          <w:color w:val="auto"/>
          <w:u w:val="none"/>
        </w:rPr>
      </w:pPr>
      <w:r>
        <w:rPr>
          <w:rFonts w:hint="eastAsia"/>
          <w:b w:val="0"/>
          <w:bCs w:val="0"/>
          <w:color w:val="auto"/>
          <w:u w:val="none"/>
        </w:rPr>
        <w:t>d</w:t>
      </w:r>
      <w:r>
        <w:rPr>
          <w:rFonts w:hint="eastAsia"/>
          <w:b w:val="0"/>
          <w:bCs w:val="0"/>
          <w:color w:val="auto"/>
          <w:u w:val="none"/>
          <w:lang w:eastAsia="zh-CN"/>
        </w:rPr>
        <w:t>.</w:t>
      </w:r>
      <w:r>
        <w:rPr>
          <w:rFonts w:hint="eastAsia"/>
          <w:b w:val="0"/>
          <w:bCs w:val="0"/>
          <w:color w:val="auto"/>
          <w:u w:val="none"/>
        </w:rPr>
        <w:t>第四层铺地砖。</w:t>
      </w:r>
    </w:p>
    <w:p w14:paraId="5BA9383B">
      <w:pPr>
        <w:spacing w:line="520" w:lineRule="exact"/>
        <w:ind w:firstLine="480" w:firstLineChars="200"/>
        <w:rPr>
          <w:b w:val="0"/>
          <w:bCs w:val="0"/>
          <w:color w:val="auto"/>
          <w:u w:val="none"/>
        </w:rPr>
      </w:pPr>
      <w:r>
        <w:rPr>
          <w:rFonts w:hint="eastAsia"/>
          <w:b w:val="0"/>
          <w:bCs w:val="0"/>
          <w:color w:val="auto"/>
          <w:u w:val="none"/>
        </w:rPr>
        <w:t>各污染防治区在满足上述防渗要求的前提下，厂区地面除绿化区外均要进行硬化处理；工程产生的固废必须堆放在固废贮存场内，贮存场必须有防雨、防渗、防流失的“三防”措施。</w:t>
      </w:r>
    </w:p>
    <w:p w14:paraId="629250D7">
      <w:pPr>
        <w:pStyle w:val="6"/>
        <w:bidi w:val="0"/>
        <w:rPr>
          <w:color w:val="auto"/>
        </w:rPr>
      </w:pPr>
      <w:r>
        <w:rPr>
          <w:rFonts w:hint="eastAsia"/>
          <w:color w:val="auto"/>
        </w:rPr>
        <w:t>污染监控</w:t>
      </w:r>
    </w:p>
    <w:p w14:paraId="08D81917">
      <w:pPr>
        <w:bidi w:val="0"/>
        <w:rPr>
          <w:color w:val="auto"/>
        </w:rPr>
      </w:pPr>
      <w:r>
        <w:rPr>
          <w:rFonts w:hint="eastAsia"/>
          <w:color w:val="auto"/>
        </w:rPr>
        <w:t>本工程位于新乡经济技术开发区，根据工程分析内容，正常状况下，本项目无地下水污染源存在，对区域地下水环境影响较小，评价建议建立地下水污染监控制度和环境管理体系，制定监测计划，以便及时发现问题，采取措施。制定地下水风险事故应急预案，明确地下水风险事故状态下应采取封闭、截流等措施。</w:t>
      </w:r>
    </w:p>
    <w:p w14:paraId="3F843F10">
      <w:pPr>
        <w:bidi w:val="0"/>
        <w:rPr>
          <w:color w:val="auto"/>
        </w:rPr>
      </w:pPr>
      <w:r>
        <w:rPr>
          <w:rFonts w:hint="eastAsia"/>
          <w:color w:val="auto"/>
        </w:rPr>
        <w:t>为了在发生污染物泄漏后及时发现地下水的污染程度，应在</w:t>
      </w:r>
      <w:r>
        <w:rPr>
          <w:rFonts w:hint="eastAsia"/>
          <w:color w:val="auto"/>
          <w:lang w:val="en-US" w:eastAsia="zh-CN"/>
        </w:rPr>
        <w:t>项目</w:t>
      </w:r>
      <w:r>
        <w:rPr>
          <w:rFonts w:hint="eastAsia"/>
          <w:color w:val="auto"/>
        </w:rPr>
        <w:t>厂区</w:t>
      </w:r>
      <w:r>
        <w:rPr>
          <w:rFonts w:hint="eastAsia"/>
          <w:color w:val="auto"/>
          <w:lang w:val="en-US" w:eastAsia="zh-CN"/>
        </w:rPr>
        <w:t>上游、项目用地范围内、</w:t>
      </w:r>
      <w:r>
        <w:rPr>
          <w:rFonts w:hint="eastAsia"/>
          <w:color w:val="auto"/>
        </w:rPr>
        <w:t>地下水流向下游布设监测井，拟布设</w:t>
      </w:r>
      <w:r>
        <w:rPr>
          <w:rFonts w:hint="eastAsia"/>
          <w:color w:val="auto"/>
          <w:lang w:val="en-US" w:eastAsia="zh-CN"/>
        </w:rPr>
        <w:t>3</w:t>
      </w:r>
      <w:r>
        <w:rPr>
          <w:rFonts w:hint="eastAsia"/>
          <w:color w:val="auto"/>
        </w:rPr>
        <w:t>个监测井监测污染物迁移程度。监测井每</w:t>
      </w:r>
      <w:r>
        <w:rPr>
          <w:rFonts w:hint="eastAsia"/>
          <w:color w:val="auto"/>
          <w:lang w:val="en-US" w:eastAsia="zh-CN"/>
        </w:rPr>
        <w:t>半</w:t>
      </w:r>
      <w:r>
        <w:rPr>
          <w:rFonts w:hint="eastAsia"/>
          <w:color w:val="auto"/>
        </w:rPr>
        <w:t>年取样一次，若发生污染物地下渗漏事故或发现地下水中污染物超标，应加强监测频次。</w:t>
      </w:r>
    </w:p>
    <w:p w14:paraId="1C763084">
      <w:pPr>
        <w:pStyle w:val="6"/>
        <w:bidi w:val="0"/>
        <w:rPr>
          <w:color w:val="auto"/>
        </w:rPr>
      </w:pPr>
      <w:r>
        <w:rPr>
          <w:rFonts w:hint="eastAsia"/>
          <w:color w:val="auto"/>
        </w:rPr>
        <w:t>风险事故应急响应</w:t>
      </w:r>
    </w:p>
    <w:p w14:paraId="77E441B1">
      <w:pPr>
        <w:bidi w:val="0"/>
        <w:rPr>
          <w:color w:val="auto"/>
        </w:rPr>
      </w:pPr>
      <w:r>
        <w:rPr>
          <w:rFonts w:hint="eastAsia"/>
          <w:color w:val="auto"/>
        </w:rPr>
        <w:t>建设单位应严格按照相关要求制定地下水风险事故应急响应预案，在事故状态下，应紧急启动应急预案，查明污染源所在位置，并及时采取措施进行污染源处理，并制定行之有效的地下水污染防治措施和实施方案。</w:t>
      </w:r>
    </w:p>
    <w:p w14:paraId="281830D1">
      <w:pPr>
        <w:bidi w:val="0"/>
        <w:rPr>
          <w:color w:val="auto"/>
        </w:rPr>
      </w:pPr>
      <w:r>
        <w:rPr>
          <w:rFonts w:hint="eastAsia"/>
          <w:color w:val="auto"/>
        </w:rPr>
        <w:t>评价认为，在严格落实上述措施的基础上，本工程投产后不会对区域地下水环境造成大的不利影响，措施可行。</w:t>
      </w:r>
    </w:p>
    <w:p w14:paraId="75745F19">
      <w:pPr>
        <w:pStyle w:val="5"/>
        <w:bidi w:val="0"/>
        <w:rPr>
          <w:color w:val="auto"/>
        </w:rPr>
      </w:pPr>
      <w:r>
        <w:rPr>
          <w:rFonts w:hint="eastAsia"/>
          <w:color w:val="auto"/>
          <w:lang w:val="en-US" w:eastAsia="zh-CN"/>
        </w:rPr>
        <w:t>土壤防治措施及可行性分析</w:t>
      </w:r>
    </w:p>
    <w:p w14:paraId="1660A56F">
      <w:pPr>
        <w:rPr>
          <w:rFonts w:hint="eastAsia"/>
        </w:rPr>
      </w:pPr>
      <w:r>
        <w:rPr>
          <w:rFonts w:hint="eastAsia"/>
        </w:rPr>
        <w:t>本项目生产车间、危废间、污水站按要求进行分区防渗，正常工况下原辅料、废液、废水不会直接渗入土壤进而造成土壤污染。</w:t>
      </w:r>
    </w:p>
    <w:p w14:paraId="39F6F791">
      <w:pPr>
        <w:rPr>
          <w:rFonts w:hint="eastAsia"/>
        </w:rPr>
      </w:pPr>
      <w:r>
        <w:rPr>
          <w:rFonts w:hint="eastAsia"/>
        </w:rPr>
        <w:t>厂区污水输送采取地上管道，若发生管道污水泄漏，可及时发现并修复，厂区地面均采用混凝土硬化，一般情况下不会造成污水渗漏地下而污染土壤。</w:t>
      </w:r>
    </w:p>
    <w:p w14:paraId="2923FDFA">
      <w:r>
        <w:rPr>
          <w:rFonts w:hint="eastAsia"/>
        </w:rPr>
        <w:t>以上措施也均为目前成熟、普遍使用的土壤污染防治措施和技术，因此项目的土壤污染防治措施在技术上、经济上也是可行的。</w:t>
      </w:r>
    </w:p>
    <w:p w14:paraId="137ACFDF">
      <w:pPr>
        <w:pStyle w:val="5"/>
        <w:bidi w:val="0"/>
        <w:rPr>
          <w:color w:val="auto"/>
        </w:rPr>
      </w:pPr>
      <w:r>
        <w:rPr>
          <w:rFonts w:hint="eastAsia"/>
          <w:color w:val="auto"/>
        </w:rPr>
        <w:t>风险防治措施分析</w:t>
      </w:r>
    </w:p>
    <w:p w14:paraId="10009664">
      <w:pPr>
        <w:bidi w:val="0"/>
        <w:rPr>
          <w:rFonts w:hint="eastAsia"/>
          <w:color w:val="auto"/>
        </w:rPr>
      </w:pPr>
      <w:r>
        <w:rPr>
          <w:rFonts w:hint="eastAsia"/>
          <w:color w:val="auto"/>
        </w:rPr>
        <w:t>项目环境风险主要为</w:t>
      </w:r>
      <w:r>
        <w:rPr>
          <w:rFonts w:hint="eastAsia"/>
          <w:color w:val="auto"/>
          <w:lang w:val="en-US" w:eastAsia="zh-CN"/>
        </w:rPr>
        <w:t>生产车间二甲基亚砜、季铵盐类离子液</w:t>
      </w:r>
      <w:r>
        <w:rPr>
          <w:rFonts w:hint="eastAsia"/>
          <w:color w:val="auto"/>
        </w:rPr>
        <w:t>泄漏对土壤和地下水环境造成影响。</w:t>
      </w:r>
    </w:p>
    <w:p w14:paraId="0CC29252">
      <w:pPr>
        <w:bidi w:val="0"/>
        <w:rPr>
          <w:rFonts w:hint="eastAsia"/>
          <w:color w:val="auto"/>
        </w:rPr>
      </w:pPr>
      <w:r>
        <w:rPr>
          <w:rFonts w:hint="eastAsia"/>
          <w:color w:val="auto"/>
        </w:rPr>
        <w:t>项目北侧现有1座容积为1000m</w:t>
      </w:r>
      <w:r>
        <w:rPr>
          <w:rFonts w:hint="eastAsia"/>
          <w:color w:val="auto"/>
          <w:vertAlign w:val="superscript"/>
        </w:rPr>
        <w:t>3</w:t>
      </w:r>
      <w:r>
        <w:rPr>
          <w:rFonts w:hint="eastAsia"/>
          <w:color w:val="auto"/>
        </w:rPr>
        <w:t>的水池，拟做为本项目应急事故池，</w:t>
      </w:r>
    </w:p>
    <w:p w14:paraId="1DCBB4B0">
      <w:pPr>
        <w:bidi w:val="0"/>
        <w:rPr>
          <w:rFonts w:hint="eastAsia"/>
          <w:color w:val="auto"/>
        </w:rPr>
      </w:pPr>
      <w:r>
        <w:rPr>
          <w:rFonts w:hint="eastAsia"/>
          <w:color w:val="auto"/>
        </w:rPr>
        <w:t>生产车间按重点防渗区域进行防渗。</w:t>
      </w:r>
    </w:p>
    <w:p w14:paraId="2FDF8102">
      <w:pPr>
        <w:pStyle w:val="10"/>
        <w:bidi w:val="0"/>
      </w:pPr>
      <w:r>
        <w:t>表</w:t>
      </w:r>
      <w:r>
        <w:fldChar w:fldCharType="begin"/>
      </w:r>
      <w:r>
        <w:instrText xml:space="preserve"> STYLEREF 2 \s </w:instrText>
      </w:r>
      <w:r>
        <w:fldChar w:fldCharType="separate"/>
      </w:r>
      <w:r>
        <w:t>7.2</w:t>
      </w:r>
      <w:r>
        <w:fldChar w:fldCharType="end"/>
      </w:r>
      <w:r>
        <w:noBreakHyphen/>
      </w:r>
      <w:r>
        <w:fldChar w:fldCharType="begin"/>
      </w:r>
      <w:r>
        <w:instrText xml:space="preserve"> SEQ 表 \* ARABIC \s 2 </w:instrText>
      </w:r>
      <w:r>
        <w:fldChar w:fldCharType="separate"/>
      </w:r>
      <w:r>
        <w:t>3</w:t>
      </w:r>
      <w:r>
        <w:fldChar w:fldCharType="end"/>
      </w:r>
      <w:r>
        <w:rPr>
          <w:rFonts w:hint="eastAsia"/>
        </w:rPr>
        <w:t xml:space="preserve">  建设项目环境风险防范措施</w:t>
      </w:r>
    </w:p>
    <w:tbl>
      <w:tblPr>
        <w:tblStyle w:val="31"/>
        <w:tblW w:w="501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87"/>
        <w:gridCol w:w="1630"/>
        <w:gridCol w:w="5004"/>
        <w:gridCol w:w="913"/>
      </w:tblGrid>
      <w:tr w14:paraId="2D42C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72" w:type="pct"/>
            <w:noWrap w:val="0"/>
            <w:vAlign w:val="center"/>
          </w:tcPr>
          <w:p w14:paraId="4FEE8F6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r>
              <w:rPr>
                <w:lang w:eastAsia="en-US"/>
              </w:rPr>
              <w:t>类别</w:t>
            </w:r>
          </w:p>
        </w:tc>
        <w:tc>
          <w:tcPr>
            <w:tcW w:w="977" w:type="pct"/>
            <w:noWrap w:val="0"/>
            <w:vAlign w:val="center"/>
          </w:tcPr>
          <w:p w14:paraId="7FDE75D0">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r>
              <w:rPr>
                <w:lang w:eastAsia="en-US"/>
              </w:rPr>
              <w:t>项目</w:t>
            </w:r>
          </w:p>
        </w:tc>
        <w:tc>
          <w:tcPr>
            <w:tcW w:w="3002" w:type="pct"/>
            <w:noWrap w:val="0"/>
            <w:vAlign w:val="center"/>
          </w:tcPr>
          <w:p w14:paraId="7370EE3D">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r>
              <w:rPr>
                <w:lang w:eastAsia="en-US"/>
              </w:rPr>
              <w:t>建设内容</w:t>
            </w:r>
          </w:p>
        </w:tc>
        <w:tc>
          <w:tcPr>
            <w:tcW w:w="547" w:type="pct"/>
            <w:noWrap w:val="0"/>
            <w:vAlign w:val="center"/>
          </w:tcPr>
          <w:p w14:paraId="2C13BD96">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r>
              <w:rPr>
                <w:lang w:eastAsia="en-US"/>
              </w:rPr>
              <w:t>可行性</w:t>
            </w:r>
          </w:p>
        </w:tc>
      </w:tr>
      <w:tr w14:paraId="4003D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72" w:type="pct"/>
            <w:vMerge w:val="restart"/>
            <w:noWrap w:val="0"/>
            <w:vAlign w:val="center"/>
          </w:tcPr>
          <w:p w14:paraId="290CC1EC">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r>
              <w:rPr>
                <w:lang w:eastAsia="en-US"/>
              </w:rPr>
              <w:t>环境风险防范措施</w:t>
            </w:r>
          </w:p>
        </w:tc>
        <w:tc>
          <w:tcPr>
            <w:tcW w:w="977" w:type="pct"/>
            <w:noWrap w:val="0"/>
            <w:vAlign w:val="center"/>
          </w:tcPr>
          <w:p w14:paraId="04B7322E">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rPr>
                <w:lang w:eastAsia="en-US"/>
              </w:rPr>
              <w:t>生产车间</w:t>
            </w:r>
          </w:p>
        </w:tc>
        <w:tc>
          <w:tcPr>
            <w:tcW w:w="3002" w:type="pct"/>
            <w:noWrap w:val="0"/>
            <w:vAlign w:val="center"/>
          </w:tcPr>
          <w:p w14:paraId="66E5F9CF">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地面按重点防渗区域要求进行防渗</w:t>
            </w:r>
          </w:p>
        </w:tc>
        <w:tc>
          <w:tcPr>
            <w:tcW w:w="547" w:type="pct"/>
            <w:noWrap w:val="0"/>
            <w:vAlign w:val="center"/>
          </w:tcPr>
          <w:p w14:paraId="1E97D415">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r>
              <w:rPr>
                <w:lang w:eastAsia="en-US"/>
              </w:rPr>
              <w:t>可行</w:t>
            </w:r>
          </w:p>
        </w:tc>
      </w:tr>
      <w:tr w14:paraId="21EF7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72" w:type="pct"/>
            <w:vMerge w:val="continue"/>
            <w:noWrap w:val="0"/>
            <w:vAlign w:val="center"/>
          </w:tcPr>
          <w:p w14:paraId="75BC95AB">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p>
        </w:tc>
        <w:tc>
          <w:tcPr>
            <w:tcW w:w="977" w:type="pct"/>
            <w:noWrap w:val="0"/>
            <w:vAlign w:val="center"/>
          </w:tcPr>
          <w:p w14:paraId="0A9B58C2">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r>
              <w:rPr>
                <w:lang w:eastAsia="en-US"/>
              </w:rPr>
              <w:t>应急事故水池</w:t>
            </w:r>
          </w:p>
        </w:tc>
        <w:tc>
          <w:tcPr>
            <w:tcW w:w="3002" w:type="pct"/>
            <w:noWrap w:val="0"/>
            <w:vAlign w:val="center"/>
          </w:tcPr>
          <w:p w14:paraId="2008D47A">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pPr>
            <w:r>
              <w:t>1座，</w:t>
            </w:r>
            <w:r>
              <w:rPr>
                <w:rFonts w:hint="eastAsia"/>
              </w:rPr>
              <w:t>10</w:t>
            </w:r>
            <w:r>
              <w:t>00m</w:t>
            </w:r>
            <w:r>
              <w:rPr>
                <w:vertAlign w:val="superscript"/>
              </w:rPr>
              <w:t>3</w:t>
            </w:r>
            <w:r>
              <w:rPr>
                <w:sz w:val="13"/>
                <w:szCs w:val="13"/>
              </w:rPr>
              <w:t xml:space="preserve"> </w:t>
            </w:r>
          </w:p>
        </w:tc>
        <w:tc>
          <w:tcPr>
            <w:tcW w:w="547" w:type="pct"/>
            <w:noWrap w:val="0"/>
            <w:vAlign w:val="center"/>
          </w:tcPr>
          <w:p w14:paraId="3A381C63">
            <w:pPr>
              <w:pStyle w:val="188"/>
              <w:keepNext w:val="0"/>
              <w:keepLines w:val="0"/>
              <w:pageBreakBefore w:val="0"/>
              <w:widowControl w:val="0"/>
              <w:kinsoku w:val="0"/>
              <w:wordWrap/>
              <w:overflowPunct w:val="0"/>
              <w:topLinePunct w:val="0"/>
              <w:autoSpaceDE/>
              <w:autoSpaceDN/>
              <w:bidi w:val="0"/>
              <w:adjustRightInd/>
              <w:snapToGrid w:val="0"/>
              <w:spacing w:line="240" w:lineRule="auto"/>
              <w:ind w:firstLine="0" w:firstLineChars="0"/>
              <w:jc w:val="center"/>
              <w:textAlignment w:val="auto"/>
              <w:rPr>
                <w:lang w:eastAsia="en-US"/>
              </w:rPr>
            </w:pPr>
            <w:r>
              <w:rPr>
                <w:lang w:eastAsia="en-US"/>
              </w:rPr>
              <w:t>可行</w:t>
            </w:r>
          </w:p>
        </w:tc>
      </w:tr>
    </w:tbl>
    <w:p w14:paraId="524FFEA3">
      <w:pPr>
        <w:bidi w:val="0"/>
        <w:rPr>
          <w:color w:val="auto"/>
        </w:rPr>
      </w:pPr>
      <w:r>
        <w:rPr>
          <w:rFonts w:hint="eastAsia"/>
          <w:color w:val="auto"/>
        </w:rPr>
        <w:t>建设单位在认真落实环境风险评价提出的各项风险防范措施的基础上，泄漏液体可及时收集处理，不会直接进入包气带对土壤和地下水环境造成不利影响，本项目的环境风险防治措施可行。</w:t>
      </w:r>
    </w:p>
    <w:p w14:paraId="57BE33C8">
      <w:pPr>
        <w:pStyle w:val="3"/>
        <w:bidi w:val="0"/>
        <w:rPr>
          <w:color w:val="auto"/>
        </w:rPr>
      </w:pPr>
      <w:bookmarkStart w:id="295" w:name="_Toc23245"/>
      <w:bookmarkStart w:id="296" w:name="_Toc33823288"/>
      <w:r>
        <w:rPr>
          <w:rFonts w:hint="eastAsia"/>
          <w:color w:val="auto"/>
        </w:rPr>
        <w:t>工程污染防治措施汇总</w:t>
      </w:r>
      <w:bookmarkEnd w:id="295"/>
      <w:bookmarkEnd w:id="296"/>
    </w:p>
    <w:p w14:paraId="6CBC143E">
      <w:pPr>
        <w:bidi w:val="0"/>
        <w:rPr>
          <w:rFonts w:hint="eastAsia"/>
          <w:color w:val="auto"/>
        </w:rPr>
      </w:pPr>
      <w:bookmarkStart w:id="297" w:name="_Hlk121077438"/>
      <w:r>
        <w:rPr>
          <w:rFonts w:hint="eastAsia"/>
          <w:color w:val="auto"/>
        </w:rPr>
        <w:t>本项目总投资</w:t>
      </w:r>
      <w:r>
        <w:rPr>
          <w:rFonts w:hint="eastAsia"/>
          <w:color w:val="auto"/>
          <w:lang w:val="en-US" w:eastAsia="zh-CN"/>
        </w:rPr>
        <w:t>6400</w:t>
      </w:r>
      <w:r>
        <w:rPr>
          <w:rFonts w:hint="eastAsia"/>
          <w:color w:val="auto"/>
        </w:rPr>
        <w:t>万元，其中环保投资约</w:t>
      </w:r>
      <w:r>
        <w:rPr>
          <w:rFonts w:hint="eastAsia"/>
          <w:color w:val="auto"/>
          <w:lang w:val="en-US" w:eastAsia="zh-CN"/>
        </w:rPr>
        <w:t>161</w:t>
      </w:r>
      <w:r>
        <w:rPr>
          <w:rFonts w:hint="eastAsia"/>
          <w:color w:val="auto"/>
        </w:rPr>
        <w:t>万元，占总投资的</w:t>
      </w:r>
      <w:r>
        <w:rPr>
          <w:rFonts w:hint="eastAsia"/>
          <w:color w:val="auto"/>
          <w:lang w:val="en-US" w:eastAsia="zh-CN"/>
        </w:rPr>
        <w:t>2.52</w:t>
      </w:r>
      <w:r>
        <w:rPr>
          <w:rFonts w:hint="eastAsia"/>
          <w:color w:val="auto"/>
        </w:rPr>
        <w:t>%。</w:t>
      </w:r>
      <w:bookmarkEnd w:id="297"/>
      <w:r>
        <w:rPr>
          <w:rFonts w:hint="eastAsia"/>
          <w:color w:val="auto"/>
        </w:rPr>
        <w:t>工程污染防治措施及投资概算见</w:t>
      </w:r>
      <w:r>
        <w:rPr>
          <w:rFonts w:hint="eastAsia"/>
          <w:color w:val="auto"/>
          <w:lang w:val="en-US" w:eastAsia="zh-CN"/>
        </w:rPr>
        <w:t>下表</w:t>
      </w:r>
      <w:r>
        <w:rPr>
          <w:rFonts w:hint="eastAsia"/>
          <w:color w:val="auto"/>
        </w:rPr>
        <w:t>。</w:t>
      </w:r>
    </w:p>
    <w:p w14:paraId="65E04DCD">
      <w:pPr>
        <w:pStyle w:val="10"/>
        <w:bidi w:val="0"/>
      </w:pPr>
      <w:r>
        <w:t xml:space="preserve">表 </w:t>
      </w:r>
      <w:r>
        <w:fldChar w:fldCharType="begin"/>
      </w:r>
      <w:r>
        <w:instrText xml:space="preserve"> STYLEREF 2 \s </w:instrText>
      </w:r>
      <w:r>
        <w:fldChar w:fldCharType="separate"/>
      </w:r>
      <w:r>
        <w:t>7.3</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w:t>
      </w:r>
      <w:r>
        <w:rPr>
          <w:rFonts w:hint="eastAsia"/>
        </w:rPr>
        <w:t>工程污染防治措施及投资概算</w:t>
      </w:r>
    </w:p>
    <w:tbl>
      <w:tblPr>
        <w:tblStyle w:val="31"/>
        <w:tblW w:w="88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300"/>
        <w:gridCol w:w="2126"/>
        <w:gridCol w:w="3653"/>
        <w:gridCol w:w="1134"/>
      </w:tblGrid>
      <w:tr w14:paraId="4F606A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tcBorders>
              <w:top w:val="single" w:color="auto" w:sz="8" w:space="0"/>
              <w:bottom w:val="single" w:color="auto" w:sz="8" w:space="0"/>
            </w:tcBorders>
            <w:vAlign w:val="center"/>
          </w:tcPr>
          <w:p w14:paraId="1B5C7A2F">
            <w:pPr>
              <w:pStyle w:val="182"/>
              <w:bidi w:val="0"/>
              <w:rPr>
                <w:b/>
                <w:bCs/>
                <w:color w:val="auto"/>
                <w:u w:val="none"/>
              </w:rPr>
            </w:pPr>
            <w:r>
              <w:rPr>
                <w:rFonts w:hint="eastAsia"/>
                <w:b/>
                <w:bCs/>
                <w:color w:val="auto"/>
                <w:u w:val="none"/>
              </w:rPr>
              <w:t>项目</w:t>
            </w:r>
          </w:p>
        </w:tc>
        <w:tc>
          <w:tcPr>
            <w:tcW w:w="1300" w:type="dxa"/>
            <w:tcBorders>
              <w:top w:val="single" w:color="auto" w:sz="8" w:space="0"/>
              <w:bottom w:val="single" w:color="auto" w:sz="8" w:space="0"/>
            </w:tcBorders>
            <w:vAlign w:val="center"/>
          </w:tcPr>
          <w:p w14:paraId="5E655459">
            <w:pPr>
              <w:pStyle w:val="182"/>
              <w:bidi w:val="0"/>
              <w:rPr>
                <w:b/>
                <w:bCs/>
                <w:color w:val="auto"/>
                <w:u w:val="none"/>
              </w:rPr>
            </w:pPr>
            <w:r>
              <w:rPr>
                <w:rFonts w:hint="eastAsia"/>
                <w:b/>
                <w:bCs/>
                <w:color w:val="auto"/>
                <w:u w:val="none"/>
              </w:rPr>
              <w:t>产污环节</w:t>
            </w:r>
          </w:p>
        </w:tc>
        <w:tc>
          <w:tcPr>
            <w:tcW w:w="2126" w:type="dxa"/>
            <w:tcBorders>
              <w:top w:val="single" w:color="auto" w:sz="8" w:space="0"/>
              <w:bottom w:val="single" w:color="auto" w:sz="8" w:space="0"/>
            </w:tcBorders>
            <w:vAlign w:val="center"/>
          </w:tcPr>
          <w:p w14:paraId="1B239B3E">
            <w:pPr>
              <w:pStyle w:val="182"/>
              <w:bidi w:val="0"/>
              <w:rPr>
                <w:b/>
                <w:bCs/>
                <w:color w:val="auto"/>
                <w:u w:val="none"/>
              </w:rPr>
            </w:pPr>
            <w:r>
              <w:rPr>
                <w:b/>
                <w:bCs/>
                <w:color w:val="auto"/>
                <w:u w:val="none"/>
              </w:rPr>
              <w:t>污染因子</w:t>
            </w:r>
          </w:p>
        </w:tc>
        <w:tc>
          <w:tcPr>
            <w:tcW w:w="3653" w:type="dxa"/>
            <w:tcBorders>
              <w:top w:val="single" w:color="auto" w:sz="8" w:space="0"/>
              <w:bottom w:val="single" w:color="auto" w:sz="8" w:space="0"/>
            </w:tcBorders>
            <w:vAlign w:val="center"/>
          </w:tcPr>
          <w:p w14:paraId="7F459B22">
            <w:pPr>
              <w:pStyle w:val="182"/>
              <w:bidi w:val="0"/>
              <w:rPr>
                <w:b/>
                <w:bCs/>
                <w:color w:val="auto"/>
                <w:u w:val="none"/>
              </w:rPr>
            </w:pPr>
            <w:r>
              <w:rPr>
                <w:rFonts w:hint="eastAsia"/>
                <w:b/>
                <w:bCs/>
                <w:color w:val="auto"/>
                <w:u w:val="none"/>
              </w:rPr>
              <w:t>治理</w:t>
            </w:r>
            <w:r>
              <w:rPr>
                <w:b/>
                <w:bCs/>
                <w:color w:val="auto"/>
                <w:u w:val="none"/>
              </w:rPr>
              <w:t>措施</w:t>
            </w:r>
          </w:p>
        </w:tc>
        <w:tc>
          <w:tcPr>
            <w:tcW w:w="1134" w:type="dxa"/>
            <w:tcBorders>
              <w:top w:val="single" w:color="auto" w:sz="8" w:space="0"/>
              <w:bottom w:val="single" w:color="auto" w:sz="8" w:space="0"/>
            </w:tcBorders>
            <w:vAlign w:val="center"/>
          </w:tcPr>
          <w:p w14:paraId="3259BE88">
            <w:pPr>
              <w:pStyle w:val="182"/>
              <w:bidi w:val="0"/>
              <w:rPr>
                <w:b/>
                <w:bCs/>
                <w:color w:val="auto"/>
                <w:u w:val="none"/>
              </w:rPr>
            </w:pPr>
            <w:r>
              <w:rPr>
                <w:rFonts w:hint="eastAsia"/>
                <w:b/>
                <w:bCs/>
                <w:color w:val="auto"/>
                <w:u w:val="none"/>
              </w:rPr>
              <w:t>投资</w:t>
            </w:r>
          </w:p>
          <w:p w14:paraId="65E4F739">
            <w:pPr>
              <w:pStyle w:val="182"/>
              <w:bidi w:val="0"/>
              <w:rPr>
                <w:b/>
                <w:bCs/>
                <w:color w:val="auto"/>
                <w:u w:val="none"/>
              </w:rPr>
            </w:pPr>
            <w:r>
              <w:rPr>
                <w:rFonts w:hint="eastAsia"/>
                <w:b/>
                <w:bCs/>
                <w:color w:val="auto"/>
                <w:u w:val="none"/>
              </w:rPr>
              <w:t>（万元）</w:t>
            </w:r>
          </w:p>
        </w:tc>
      </w:tr>
      <w:tr w14:paraId="4844B8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tcBorders>
              <w:top w:val="single" w:color="auto" w:sz="8" w:space="0"/>
              <w:bottom w:val="single" w:color="auto" w:sz="4" w:space="0"/>
            </w:tcBorders>
            <w:vAlign w:val="center"/>
          </w:tcPr>
          <w:p w14:paraId="42E74A66">
            <w:pPr>
              <w:pStyle w:val="182"/>
              <w:bidi w:val="0"/>
              <w:rPr>
                <w:b w:val="0"/>
                <w:bCs w:val="0"/>
                <w:color w:val="auto"/>
                <w:u w:val="none"/>
              </w:rPr>
            </w:pPr>
            <w:r>
              <w:rPr>
                <w:b w:val="0"/>
                <w:bCs w:val="0"/>
                <w:color w:val="auto"/>
                <w:u w:val="none"/>
              </w:rPr>
              <w:t>废水</w:t>
            </w:r>
          </w:p>
        </w:tc>
        <w:tc>
          <w:tcPr>
            <w:tcW w:w="1300" w:type="dxa"/>
            <w:tcBorders>
              <w:top w:val="single" w:color="auto" w:sz="8" w:space="0"/>
              <w:bottom w:val="single" w:color="auto" w:sz="4" w:space="0"/>
            </w:tcBorders>
            <w:vAlign w:val="center"/>
          </w:tcPr>
          <w:p w14:paraId="54DA9D59">
            <w:pPr>
              <w:pStyle w:val="182"/>
              <w:bidi w:val="0"/>
              <w:rPr>
                <w:rFonts w:hint="default" w:eastAsia="宋体"/>
                <w:b w:val="0"/>
                <w:bCs w:val="0"/>
                <w:color w:val="auto"/>
                <w:u w:val="none"/>
                <w:lang w:val="en-US" w:eastAsia="zh-CN"/>
              </w:rPr>
            </w:pPr>
            <w:r>
              <w:rPr>
                <w:b w:val="0"/>
                <w:bCs w:val="0"/>
                <w:color w:val="auto"/>
                <w:u w:val="none"/>
              </w:rPr>
              <w:t>生产</w:t>
            </w:r>
            <w:r>
              <w:rPr>
                <w:rFonts w:hint="eastAsia"/>
                <w:b w:val="0"/>
                <w:bCs w:val="0"/>
                <w:color w:val="auto"/>
                <w:u w:val="none"/>
                <w:lang w:val="en-US" w:eastAsia="zh-CN"/>
              </w:rPr>
              <w:t>废水、废气处理设施、清洗废水、清下水</w:t>
            </w:r>
          </w:p>
        </w:tc>
        <w:tc>
          <w:tcPr>
            <w:tcW w:w="2126" w:type="dxa"/>
            <w:tcBorders>
              <w:top w:val="single" w:color="auto" w:sz="8" w:space="0"/>
            </w:tcBorders>
            <w:vAlign w:val="center"/>
          </w:tcPr>
          <w:p w14:paraId="3A3FF586">
            <w:pPr>
              <w:pStyle w:val="182"/>
              <w:bidi w:val="0"/>
              <w:rPr>
                <w:rFonts w:hint="default" w:eastAsia="宋体"/>
                <w:b w:val="0"/>
                <w:bCs w:val="0"/>
                <w:color w:val="auto"/>
                <w:u w:val="none"/>
                <w:lang w:val="en-US" w:eastAsia="zh-CN"/>
              </w:rPr>
            </w:pPr>
            <w:r>
              <w:rPr>
                <w:b w:val="0"/>
                <w:bCs w:val="0"/>
                <w:color w:val="auto"/>
                <w:u w:val="none"/>
              </w:rPr>
              <w:t>COD</w:t>
            </w:r>
            <w:r>
              <w:rPr>
                <w:rFonts w:hint="eastAsia"/>
                <w:b w:val="0"/>
                <w:bCs w:val="0"/>
                <w:color w:val="auto"/>
                <w:u w:val="none"/>
              </w:rPr>
              <w:t>、</w:t>
            </w:r>
            <w:r>
              <w:rPr>
                <w:b w:val="0"/>
                <w:bCs w:val="0"/>
                <w:color w:val="auto"/>
                <w:u w:val="none"/>
              </w:rPr>
              <w:t>BOD</w:t>
            </w:r>
            <w:r>
              <w:rPr>
                <w:b w:val="0"/>
                <w:bCs w:val="0"/>
                <w:color w:val="auto"/>
                <w:u w:val="none"/>
                <w:vertAlign w:val="subscript"/>
              </w:rPr>
              <w:t>5</w:t>
            </w:r>
            <w:r>
              <w:rPr>
                <w:rFonts w:hint="eastAsia"/>
                <w:b w:val="0"/>
                <w:bCs w:val="0"/>
                <w:color w:val="auto"/>
                <w:u w:val="none"/>
              </w:rPr>
              <w:t>、</w:t>
            </w:r>
            <w:r>
              <w:rPr>
                <w:b w:val="0"/>
                <w:bCs w:val="0"/>
                <w:color w:val="auto"/>
                <w:u w:val="none"/>
              </w:rPr>
              <w:t>SS</w:t>
            </w:r>
            <w:r>
              <w:rPr>
                <w:rFonts w:hint="eastAsia"/>
                <w:b w:val="0"/>
                <w:bCs w:val="0"/>
                <w:color w:val="auto"/>
                <w:u w:val="none"/>
              </w:rPr>
              <w:t>、NH</w:t>
            </w:r>
            <w:r>
              <w:rPr>
                <w:rFonts w:hint="eastAsia"/>
                <w:b w:val="0"/>
                <w:bCs w:val="0"/>
                <w:color w:val="auto"/>
                <w:u w:val="none"/>
                <w:vertAlign w:val="subscript"/>
              </w:rPr>
              <w:t>3</w:t>
            </w:r>
            <w:r>
              <w:rPr>
                <w:rFonts w:hint="eastAsia"/>
                <w:b w:val="0"/>
                <w:bCs w:val="0"/>
                <w:color w:val="auto"/>
                <w:u w:val="none"/>
              </w:rPr>
              <w:t>-N、</w:t>
            </w:r>
            <w:r>
              <w:rPr>
                <w:b w:val="0"/>
                <w:bCs w:val="0"/>
                <w:color w:val="auto"/>
                <w:u w:val="none"/>
              </w:rPr>
              <w:t>TP</w:t>
            </w:r>
            <w:r>
              <w:rPr>
                <w:rFonts w:hint="eastAsia"/>
                <w:b w:val="0"/>
                <w:bCs w:val="0"/>
                <w:color w:val="auto"/>
                <w:u w:val="none"/>
              </w:rPr>
              <w:t>、</w:t>
            </w:r>
            <w:r>
              <w:rPr>
                <w:b w:val="0"/>
                <w:bCs w:val="0"/>
                <w:color w:val="auto"/>
                <w:u w:val="none"/>
              </w:rPr>
              <w:t>TN</w:t>
            </w:r>
            <w:r>
              <w:rPr>
                <w:rFonts w:hint="eastAsia"/>
                <w:b w:val="0"/>
                <w:bCs w:val="0"/>
                <w:color w:val="auto"/>
                <w:u w:val="none"/>
                <w:lang w:eastAsia="zh-CN"/>
              </w:rPr>
              <w:t>、</w:t>
            </w:r>
            <w:r>
              <w:rPr>
                <w:rFonts w:hint="eastAsia"/>
                <w:b w:val="0"/>
                <w:bCs w:val="0"/>
                <w:color w:val="auto"/>
                <w:u w:val="none"/>
                <w:lang w:val="en-US" w:eastAsia="zh-CN"/>
              </w:rPr>
              <w:t>色度</w:t>
            </w:r>
          </w:p>
        </w:tc>
        <w:tc>
          <w:tcPr>
            <w:tcW w:w="3653" w:type="dxa"/>
            <w:tcBorders>
              <w:top w:val="single" w:color="auto" w:sz="8" w:space="0"/>
            </w:tcBorders>
            <w:vAlign w:val="center"/>
          </w:tcPr>
          <w:p w14:paraId="475010CD">
            <w:pPr>
              <w:pStyle w:val="182"/>
              <w:bidi w:val="0"/>
              <w:rPr>
                <w:b w:val="0"/>
                <w:bCs w:val="0"/>
                <w:color w:val="auto"/>
                <w:u w:val="none"/>
              </w:rPr>
            </w:pPr>
            <w:r>
              <w:rPr>
                <w:rFonts w:hint="eastAsia"/>
                <w:b w:val="0"/>
                <w:bCs w:val="0"/>
                <w:color w:val="auto"/>
                <w:u w:val="none"/>
              </w:rPr>
              <w:t>厂区废水连接管网，依托厂区内3.8万t/d污水处理站</w:t>
            </w:r>
          </w:p>
        </w:tc>
        <w:tc>
          <w:tcPr>
            <w:tcW w:w="1134" w:type="dxa"/>
            <w:tcBorders>
              <w:top w:val="single" w:color="auto" w:sz="8" w:space="0"/>
            </w:tcBorders>
            <w:vAlign w:val="center"/>
          </w:tcPr>
          <w:p w14:paraId="66C59A18">
            <w:pPr>
              <w:pStyle w:val="182"/>
              <w:bidi w:val="0"/>
              <w:rPr>
                <w:b w:val="0"/>
                <w:bCs w:val="0"/>
                <w:color w:val="auto"/>
                <w:u w:val="none"/>
              </w:rPr>
            </w:pPr>
            <w:r>
              <w:rPr>
                <w:b w:val="0"/>
                <w:bCs w:val="0"/>
                <w:color w:val="auto"/>
                <w:u w:val="none"/>
              </w:rPr>
              <w:t>6</w:t>
            </w:r>
          </w:p>
        </w:tc>
      </w:tr>
      <w:tr w14:paraId="3CC724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restart"/>
            <w:tcBorders>
              <w:top w:val="single" w:color="auto" w:sz="4" w:space="0"/>
            </w:tcBorders>
            <w:vAlign w:val="center"/>
          </w:tcPr>
          <w:p w14:paraId="6DA87EDA">
            <w:pPr>
              <w:pStyle w:val="182"/>
              <w:bidi w:val="0"/>
              <w:rPr>
                <w:b w:val="0"/>
                <w:bCs w:val="0"/>
                <w:color w:val="auto"/>
                <w:u w:val="none"/>
              </w:rPr>
            </w:pPr>
            <w:r>
              <w:rPr>
                <w:b w:val="0"/>
                <w:bCs w:val="0"/>
                <w:color w:val="auto"/>
                <w:u w:val="none"/>
              </w:rPr>
              <w:t>废气</w:t>
            </w:r>
          </w:p>
        </w:tc>
        <w:tc>
          <w:tcPr>
            <w:tcW w:w="1300" w:type="dxa"/>
            <w:tcBorders>
              <w:top w:val="single" w:color="auto" w:sz="4" w:space="0"/>
            </w:tcBorders>
            <w:vAlign w:val="center"/>
          </w:tcPr>
          <w:p w14:paraId="735E829E">
            <w:pPr>
              <w:pStyle w:val="182"/>
              <w:bidi w:val="0"/>
              <w:rPr>
                <w:rFonts w:hint="eastAsia" w:eastAsia="宋体"/>
                <w:b w:val="0"/>
                <w:bCs w:val="0"/>
                <w:color w:val="auto"/>
                <w:u w:val="none"/>
                <w:lang w:eastAsia="zh-CN"/>
              </w:rPr>
            </w:pPr>
            <w:r>
              <w:rPr>
                <w:rFonts w:hint="eastAsia"/>
                <w:b w:val="0"/>
                <w:bCs w:val="0"/>
                <w:color w:val="auto"/>
                <w:u w:val="none"/>
                <w:lang w:val="en-US" w:eastAsia="zh-CN"/>
              </w:rPr>
              <w:t>粉碎废气</w:t>
            </w:r>
          </w:p>
        </w:tc>
        <w:tc>
          <w:tcPr>
            <w:tcW w:w="2126" w:type="dxa"/>
            <w:vAlign w:val="center"/>
          </w:tcPr>
          <w:p w14:paraId="6D5CEBD1">
            <w:pPr>
              <w:pStyle w:val="182"/>
              <w:bidi w:val="0"/>
              <w:rPr>
                <w:rFonts w:hint="eastAsia" w:eastAsia="宋体"/>
                <w:b w:val="0"/>
                <w:bCs w:val="0"/>
                <w:color w:val="auto"/>
                <w:u w:val="none"/>
                <w:lang w:eastAsia="zh-CN"/>
              </w:rPr>
            </w:pPr>
            <w:r>
              <w:rPr>
                <w:rFonts w:hint="eastAsia"/>
                <w:b w:val="0"/>
                <w:bCs w:val="0"/>
                <w:color w:val="auto"/>
                <w:u w:val="none"/>
                <w:lang w:val="en-US" w:eastAsia="zh-CN"/>
              </w:rPr>
              <w:t>颗粒物</w:t>
            </w:r>
          </w:p>
        </w:tc>
        <w:tc>
          <w:tcPr>
            <w:tcW w:w="3653" w:type="dxa"/>
            <w:vAlign w:val="center"/>
          </w:tcPr>
          <w:p w14:paraId="08493B3C">
            <w:pPr>
              <w:pStyle w:val="182"/>
              <w:bidi w:val="0"/>
              <w:rPr>
                <w:rFonts w:hint="eastAsia" w:eastAsia="宋体"/>
                <w:b w:val="0"/>
                <w:bCs w:val="0"/>
                <w:color w:val="auto"/>
                <w:u w:val="none"/>
                <w:lang w:eastAsia="zh-CN"/>
              </w:rPr>
            </w:pPr>
            <w:r>
              <w:rPr>
                <w:rFonts w:hint="eastAsia"/>
                <w:b w:val="0"/>
                <w:bCs w:val="0"/>
                <w:color w:val="auto"/>
                <w:u w:val="none"/>
                <w:lang w:val="en-US" w:eastAsia="zh-CN"/>
              </w:rPr>
              <w:t>粉碎系统自带脉冲袋式除尘器处理</w:t>
            </w:r>
          </w:p>
        </w:tc>
        <w:tc>
          <w:tcPr>
            <w:tcW w:w="1134" w:type="dxa"/>
            <w:vAlign w:val="center"/>
          </w:tcPr>
          <w:p w14:paraId="7A3D1BA5">
            <w:pPr>
              <w:pStyle w:val="182"/>
              <w:bidi w:val="0"/>
              <w:rPr>
                <w:b w:val="0"/>
                <w:bCs w:val="0"/>
                <w:color w:val="auto"/>
                <w:u w:val="none"/>
              </w:rPr>
            </w:pPr>
            <w:r>
              <w:rPr>
                <w:rFonts w:hint="eastAsia"/>
                <w:b w:val="0"/>
                <w:bCs w:val="0"/>
                <w:color w:val="auto"/>
                <w:u w:val="none"/>
              </w:rPr>
              <w:t>5</w:t>
            </w:r>
          </w:p>
        </w:tc>
      </w:tr>
      <w:tr w14:paraId="159918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vAlign w:val="center"/>
          </w:tcPr>
          <w:p w14:paraId="5A66FC6D">
            <w:pPr>
              <w:pStyle w:val="182"/>
              <w:bidi w:val="0"/>
              <w:rPr>
                <w:b w:val="0"/>
                <w:bCs w:val="0"/>
                <w:color w:val="auto"/>
                <w:u w:val="none"/>
              </w:rPr>
            </w:pPr>
          </w:p>
        </w:tc>
        <w:tc>
          <w:tcPr>
            <w:tcW w:w="1300" w:type="dxa"/>
            <w:tcBorders>
              <w:top w:val="single" w:color="auto" w:sz="4" w:space="0"/>
            </w:tcBorders>
            <w:vAlign w:val="center"/>
          </w:tcPr>
          <w:p w14:paraId="719313FB">
            <w:pPr>
              <w:pStyle w:val="182"/>
              <w:bidi w:val="0"/>
              <w:rPr>
                <w:rFonts w:hint="default" w:eastAsia="宋体"/>
                <w:b w:val="0"/>
                <w:bCs w:val="0"/>
                <w:color w:val="auto"/>
                <w:u w:val="none"/>
                <w:lang w:val="en-US" w:eastAsia="zh-CN"/>
              </w:rPr>
            </w:pPr>
            <w:r>
              <w:rPr>
                <w:rFonts w:hint="eastAsia"/>
                <w:b w:val="0"/>
                <w:bCs w:val="0"/>
                <w:color w:val="auto"/>
                <w:u w:val="none"/>
                <w:lang w:val="en-US" w:eastAsia="zh-CN"/>
              </w:rPr>
              <w:t>脱泡、干燥、蒸发回收</w:t>
            </w:r>
          </w:p>
        </w:tc>
        <w:tc>
          <w:tcPr>
            <w:tcW w:w="2126" w:type="dxa"/>
            <w:vAlign w:val="center"/>
          </w:tcPr>
          <w:p w14:paraId="7D965D31">
            <w:pPr>
              <w:pStyle w:val="182"/>
              <w:bidi w:val="0"/>
              <w:rPr>
                <w:rFonts w:hint="eastAsia" w:eastAsia="宋体"/>
                <w:b w:val="0"/>
                <w:bCs w:val="0"/>
                <w:color w:val="auto"/>
                <w:u w:val="none"/>
                <w:lang w:eastAsia="zh-CN"/>
              </w:rPr>
            </w:pPr>
            <w:r>
              <w:rPr>
                <w:rFonts w:hint="eastAsia"/>
                <w:b w:val="0"/>
                <w:bCs w:val="0"/>
                <w:color w:val="auto"/>
                <w:u w:val="none"/>
                <w:lang w:val="en-US" w:eastAsia="zh-CN"/>
              </w:rPr>
              <w:t>非甲烷总烃</w:t>
            </w:r>
          </w:p>
        </w:tc>
        <w:tc>
          <w:tcPr>
            <w:tcW w:w="3653" w:type="dxa"/>
            <w:vAlign w:val="center"/>
          </w:tcPr>
          <w:p w14:paraId="340E0ACF">
            <w:pPr>
              <w:pStyle w:val="182"/>
              <w:bidi w:val="0"/>
              <w:rPr>
                <w:rFonts w:hint="default" w:eastAsia="宋体"/>
                <w:b w:val="0"/>
                <w:bCs w:val="0"/>
                <w:color w:val="auto"/>
                <w:u w:val="none"/>
                <w:lang w:val="en-US" w:eastAsia="zh-CN"/>
              </w:rPr>
            </w:pPr>
            <w:r>
              <w:rPr>
                <w:rFonts w:hint="eastAsia"/>
                <w:b w:val="0"/>
                <w:bCs w:val="0"/>
                <w:color w:val="auto"/>
                <w:u w:val="none"/>
                <w:lang w:val="en-US" w:eastAsia="zh-CN"/>
              </w:rPr>
              <w:t>两级水洗塔串联+活性炭吸附</w:t>
            </w:r>
          </w:p>
        </w:tc>
        <w:tc>
          <w:tcPr>
            <w:tcW w:w="1134" w:type="dxa"/>
            <w:vAlign w:val="center"/>
          </w:tcPr>
          <w:p w14:paraId="3750686D">
            <w:pPr>
              <w:pStyle w:val="182"/>
              <w:bidi w:val="0"/>
              <w:rPr>
                <w:rFonts w:hint="default" w:eastAsia="宋体"/>
                <w:b w:val="0"/>
                <w:bCs w:val="0"/>
                <w:color w:val="auto"/>
                <w:u w:val="none"/>
                <w:lang w:val="en-US" w:eastAsia="zh-CN"/>
              </w:rPr>
            </w:pPr>
            <w:r>
              <w:rPr>
                <w:rFonts w:hint="eastAsia"/>
                <w:b w:val="0"/>
                <w:bCs w:val="0"/>
                <w:color w:val="auto"/>
                <w:u w:val="none"/>
                <w:lang w:val="en-US" w:eastAsia="zh-CN"/>
              </w:rPr>
              <w:t>80</w:t>
            </w:r>
          </w:p>
        </w:tc>
      </w:tr>
      <w:tr w14:paraId="75B513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restart"/>
            <w:vAlign w:val="center"/>
          </w:tcPr>
          <w:p w14:paraId="551D1B9A">
            <w:pPr>
              <w:pStyle w:val="182"/>
              <w:bidi w:val="0"/>
              <w:rPr>
                <w:b w:val="0"/>
                <w:bCs w:val="0"/>
                <w:color w:val="auto"/>
                <w:u w:val="none"/>
              </w:rPr>
            </w:pPr>
            <w:r>
              <w:rPr>
                <w:b w:val="0"/>
                <w:bCs w:val="0"/>
                <w:color w:val="auto"/>
                <w:u w:val="none"/>
              </w:rPr>
              <w:t>固废</w:t>
            </w:r>
          </w:p>
        </w:tc>
        <w:tc>
          <w:tcPr>
            <w:tcW w:w="1300" w:type="dxa"/>
            <w:vAlign w:val="center"/>
          </w:tcPr>
          <w:p w14:paraId="79603FC6">
            <w:pPr>
              <w:pStyle w:val="182"/>
              <w:bidi w:val="0"/>
              <w:ind w:firstLine="0" w:firstLineChars="0"/>
              <w:rPr>
                <w:b w:val="0"/>
                <w:bCs w:val="0"/>
                <w:color w:val="auto"/>
                <w:u w:val="none"/>
              </w:rPr>
            </w:pPr>
            <w:r>
              <w:rPr>
                <w:rFonts w:hint="eastAsia"/>
                <w:color w:val="auto"/>
                <w:lang w:val="en-US" w:eastAsia="zh-CN"/>
              </w:rPr>
              <w:t>除尘器收集</w:t>
            </w:r>
          </w:p>
        </w:tc>
        <w:tc>
          <w:tcPr>
            <w:tcW w:w="2126" w:type="dxa"/>
            <w:vAlign w:val="center"/>
          </w:tcPr>
          <w:p w14:paraId="42676730">
            <w:pPr>
              <w:pStyle w:val="182"/>
              <w:bidi w:val="0"/>
              <w:ind w:firstLine="0" w:firstLineChars="0"/>
              <w:rPr>
                <w:b w:val="0"/>
                <w:bCs w:val="0"/>
                <w:color w:val="auto"/>
                <w:u w:val="none"/>
              </w:rPr>
            </w:pPr>
            <w:r>
              <w:rPr>
                <w:rFonts w:hint="eastAsia"/>
                <w:color w:val="auto"/>
                <w:lang w:val="en-US" w:eastAsia="zh-CN"/>
              </w:rPr>
              <w:t>颗粒物</w:t>
            </w:r>
          </w:p>
        </w:tc>
        <w:tc>
          <w:tcPr>
            <w:tcW w:w="3653" w:type="dxa"/>
            <w:vAlign w:val="center"/>
          </w:tcPr>
          <w:p w14:paraId="28DFA023">
            <w:pPr>
              <w:pStyle w:val="182"/>
              <w:bidi w:val="0"/>
              <w:ind w:firstLine="0" w:firstLineChars="0"/>
              <w:rPr>
                <w:rFonts w:hint="eastAsia" w:eastAsia="宋体"/>
                <w:b w:val="0"/>
                <w:bCs w:val="0"/>
                <w:color w:val="auto"/>
                <w:u w:val="none"/>
                <w:lang w:eastAsia="zh-CN"/>
              </w:rPr>
            </w:pPr>
            <w:r>
              <w:rPr>
                <w:rFonts w:hint="eastAsia"/>
                <w:color w:val="auto"/>
              </w:rPr>
              <w:t>依托</w:t>
            </w:r>
            <w:r>
              <w:rPr>
                <w:rFonts w:hint="eastAsia"/>
                <w:b w:val="0"/>
                <w:bCs w:val="0"/>
                <w:color w:val="auto"/>
                <w:u w:val="none"/>
              </w:rPr>
              <w:t>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w:t>
            </w:r>
            <w:r>
              <w:rPr>
                <w:rFonts w:hint="eastAsia"/>
                <w:color w:val="auto"/>
              </w:rPr>
              <w:t>暂存后，</w:t>
            </w:r>
            <w:r>
              <w:rPr>
                <w:rFonts w:hint="eastAsia"/>
                <w:color w:val="auto"/>
                <w:lang w:val="en-US" w:eastAsia="zh-CN"/>
              </w:rPr>
              <w:t>定期回用于生产</w:t>
            </w:r>
          </w:p>
        </w:tc>
        <w:tc>
          <w:tcPr>
            <w:tcW w:w="1134" w:type="dxa"/>
            <w:vMerge w:val="restart"/>
            <w:vAlign w:val="center"/>
          </w:tcPr>
          <w:p w14:paraId="557CB427">
            <w:pPr>
              <w:pStyle w:val="182"/>
              <w:bidi w:val="0"/>
              <w:rPr>
                <w:rFonts w:hint="eastAsia" w:eastAsia="宋体"/>
                <w:b w:val="0"/>
                <w:bCs w:val="0"/>
                <w:color w:val="auto"/>
                <w:u w:val="none"/>
                <w:lang w:eastAsia="zh-CN"/>
              </w:rPr>
            </w:pPr>
            <w:r>
              <w:rPr>
                <w:rFonts w:hint="eastAsia"/>
                <w:b w:val="0"/>
                <w:bCs w:val="0"/>
                <w:color w:val="auto"/>
                <w:u w:val="none"/>
                <w:lang w:val="en-US" w:eastAsia="zh-CN"/>
              </w:rPr>
              <w:t>依托现有</w:t>
            </w:r>
          </w:p>
        </w:tc>
      </w:tr>
      <w:tr w14:paraId="4505C5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5" w:type="dxa"/>
            <w:vMerge w:val="continue"/>
            <w:vAlign w:val="center"/>
          </w:tcPr>
          <w:p w14:paraId="5CF483F2">
            <w:pPr>
              <w:pStyle w:val="182"/>
              <w:bidi w:val="0"/>
              <w:rPr>
                <w:b w:val="0"/>
                <w:bCs w:val="0"/>
                <w:color w:val="auto"/>
                <w:u w:val="none"/>
              </w:rPr>
            </w:pPr>
          </w:p>
        </w:tc>
        <w:tc>
          <w:tcPr>
            <w:tcW w:w="1300" w:type="dxa"/>
            <w:vAlign w:val="center"/>
          </w:tcPr>
          <w:p w14:paraId="023BCF03">
            <w:pPr>
              <w:pStyle w:val="182"/>
              <w:bidi w:val="0"/>
              <w:ind w:firstLine="0" w:firstLineChars="0"/>
              <w:rPr>
                <w:rFonts w:hint="default"/>
                <w:b w:val="0"/>
                <w:bCs w:val="0"/>
                <w:color w:val="auto"/>
                <w:u w:val="none"/>
                <w:lang w:val="en-US"/>
              </w:rPr>
            </w:pPr>
            <w:r>
              <w:rPr>
                <w:rFonts w:hint="eastAsia"/>
                <w:color w:val="auto"/>
                <w:lang w:val="en-US" w:eastAsia="zh-CN"/>
              </w:rPr>
              <w:t>生产</w:t>
            </w:r>
          </w:p>
        </w:tc>
        <w:tc>
          <w:tcPr>
            <w:tcW w:w="2126" w:type="dxa"/>
            <w:vAlign w:val="center"/>
          </w:tcPr>
          <w:p w14:paraId="5EA26D5C">
            <w:pPr>
              <w:pStyle w:val="182"/>
              <w:bidi w:val="0"/>
              <w:ind w:firstLine="0" w:firstLineChars="0"/>
              <w:rPr>
                <w:b w:val="0"/>
                <w:bCs w:val="0"/>
                <w:color w:val="auto"/>
                <w:u w:val="none"/>
              </w:rPr>
            </w:pPr>
            <w:r>
              <w:rPr>
                <w:rFonts w:hint="eastAsia"/>
                <w:color w:val="auto"/>
                <w:lang w:val="en-US" w:eastAsia="zh-CN"/>
              </w:rPr>
              <w:t>生产废丝</w:t>
            </w:r>
          </w:p>
        </w:tc>
        <w:tc>
          <w:tcPr>
            <w:tcW w:w="3653" w:type="dxa"/>
            <w:vAlign w:val="center"/>
          </w:tcPr>
          <w:p w14:paraId="4D1749DD">
            <w:pPr>
              <w:pStyle w:val="182"/>
              <w:bidi w:val="0"/>
              <w:ind w:firstLine="0" w:firstLineChars="0"/>
              <w:rPr>
                <w:rFonts w:hint="eastAsia"/>
                <w:b w:val="0"/>
                <w:bCs w:val="0"/>
                <w:color w:val="auto"/>
                <w:u w:val="none"/>
              </w:rPr>
            </w:pPr>
            <w:r>
              <w:rPr>
                <w:rFonts w:hint="eastAsia"/>
                <w:color w:val="auto"/>
              </w:rPr>
              <w:t>依托</w:t>
            </w:r>
            <w:r>
              <w:rPr>
                <w:rFonts w:hint="eastAsia"/>
                <w:b w:val="0"/>
                <w:bCs w:val="0"/>
                <w:color w:val="auto"/>
                <w:u w:val="none"/>
              </w:rPr>
              <w:t>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w:t>
            </w:r>
            <w:r>
              <w:rPr>
                <w:rFonts w:hint="eastAsia"/>
                <w:color w:val="auto"/>
              </w:rPr>
              <w:t>暂存后，</w:t>
            </w:r>
            <w:r>
              <w:rPr>
                <w:rFonts w:hint="eastAsia"/>
                <w:color w:val="auto"/>
                <w:lang w:val="en-US" w:eastAsia="zh-CN"/>
              </w:rPr>
              <w:t>定期回用于生产</w:t>
            </w:r>
          </w:p>
        </w:tc>
        <w:tc>
          <w:tcPr>
            <w:tcW w:w="1134" w:type="dxa"/>
            <w:vMerge w:val="continue"/>
            <w:vAlign w:val="center"/>
          </w:tcPr>
          <w:p w14:paraId="38D275AC">
            <w:pPr>
              <w:pStyle w:val="182"/>
              <w:bidi w:val="0"/>
              <w:rPr>
                <w:rFonts w:hint="eastAsia" w:eastAsia="宋体"/>
                <w:b w:val="0"/>
                <w:bCs w:val="0"/>
                <w:color w:val="auto"/>
                <w:u w:val="none"/>
                <w:lang w:val="en-US" w:eastAsia="zh-CN"/>
              </w:rPr>
            </w:pPr>
          </w:p>
        </w:tc>
      </w:tr>
      <w:tr w14:paraId="20DBEA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vAlign w:val="center"/>
          </w:tcPr>
          <w:p w14:paraId="00BADA17">
            <w:pPr>
              <w:pStyle w:val="182"/>
              <w:bidi w:val="0"/>
              <w:rPr>
                <w:b w:val="0"/>
                <w:bCs w:val="0"/>
                <w:color w:val="auto"/>
                <w:u w:val="none"/>
              </w:rPr>
            </w:pPr>
          </w:p>
        </w:tc>
        <w:tc>
          <w:tcPr>
            <w:tcW w:w="1300" w:type="dxa"/>
            <w:vAlign w:val="center"/>
          </w:tcPr>
          <w:p w14:paraId="0433D8A6">
            <w:pPr>
              <w:pStyle w:val="182"/>
              <w:bidi w:val="0"/>
              <w:ind w:firstLine="0" w:firstLineChars="0"/>
              <w:rPr>
                <w:b w:val="0"/>
                <w:bCs w:val="0"/>
                <w:color w:val="auto"/>
                <w:u w:val="none"/>
              </w:rPr>
            </w:pPr>
            <w:r>
              <w:rPr>
                <w:rFonts w:hint="eastAsia"/>
                <w:color w:val="auto"/>
                <w:lang w:val="en-US" w:eastAsia="zh-CN"/>
              </w:rPr>
              <w:t>化验</w:t>
            </w:r>
          </w:p>
        </w:tc>
        <w:tc>
          <w:tcPr>
            <w:tcW w:w="2126" w:type="dxa"/>
            <w:vAlign w:val="center"/>
          </w:tcPr>
          <w:p w14:paraId="37FA1748">
            <w:pPr>
              <w:pStyle w:val="182"/>
              <w:bidi w:val="0"/>
              <w:ind w:firstLine="0" w:firstLineChars="0"/>
              <w:rPr>
                <w:b w:val="0"/>
                <w:bCs w:val="0"/>
                <w:color w:val="auto"/>
                <w:u w:val="none"/>
              </w:rPr>
            </w:pPr>
            <w:r>
              <w:rPr>
                <w:rFonts w:hint="eastAsia"/>
                <w:color w:val="auto"/>
                <w:lang w:val="en-US" w:eastAsia="zh-CN"/>
              </w:rPr>
              <w:t>化验废丝</w:t>
            </w:r>
          </w:p>
        </w:tc>
        <w:tc>
          <w:tcPr>
            <w:tcW w:w="3653" w:type="dxa"/>
            <w:vAlign w:val="center"/>
          </w:tcPr>
          <w:p w14:paraId="7E408C16">
            <w:pPr>
              <w:pStyle w:val="182"/>
              <w:bidi w:val="0"/>
              <w:ind w:firstLine="0" w:firstLineChars="0"/>
              <w:rPr>
                <w:b w:val="0"/>
                <w:bCs w:val="0"/>
                <w:color w:val="auto"/>
                <w:u w:val="none"/>
              </w:rPr>
            </w:pPr>
            <w:r>
              <w:rPr>
                <w:rFonts w:hint="eastAsia"/>
                <w:color w:val="auto"/>
              </w:rPr>
              <w:t>依托</w:t>
            </w:r>
            <w:r>
              <w:rPr>
                <w:rFonts w:hint="eastAsia"/>
                <w:b w:val="0"/>
                <w:bCs w:val="0"/>
                <w:color w:val="auto"/>
                <w:u w:val="none"/>
              </w:rPr>
              <w:t>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w:t>
            </w:r>
            <w:r>
              <w:rPr>
                <w:rFonts w:hint="eastAsia"/>
                <w:color w:val="auto"/>
              </w:rPr>
              <w:t>暂存后，</w:t>
            </w:r>
            <w:r>
              <w:rPr>
                <w:rFonts w:hint="eastAsia"/>
                <w:color w:val="auto"/>
                <w:lang w:val="en-US" w:eastAsia="zh-CN"/>
              </w:rPr>
              <w:t>定期回用于生产</w:t>
            </w:r>
          </w:p>
        </w:tc>
        <w:tc>
          <w:tcPr>
            <w:tcW w:w="1134" w:type="dxa"/>
            <w:vMerge w:val="continue"/>
            <w:vAlign w:val="center"/>
          </w:tcPr>
          <w:p w14:paraId="3AB23DC2">
            <w:pPr>
              <w:pStyle w:val="182"/>
              <w:bidi w:val="0"/>
              <w:rPr>
                <w:rFonts w:hint="eastAsia" w:eastAsia="宋体"/>
                <w:b w:val="0"/>
                <w:bCs w:val="0"/>
                <w:color w:val="auto"/>
                <w:u w:val="none"/>
                <w:lang w:eastAsia="zh-CN"/>
              </w:rPr>
            </w:pPr>
          </w:p>
        </w:tc>
      </w:tr>
      <w:tr w14:paraId="78FC2B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vAlign w:val="center"/>
          </w:tcPr>
          <w:p w14:paraId="5073BE34">
            <w:pPr>
              <w:pStyle w:val="182"/>
              <w:bidi w:val="0"/>
              <w:rPr>
                <w:b w:val="0"/>
                <w:bCs w:val="0"/>
                <w:color w:val="auto"/>
                <w:u w:val="none"/>
              </w:rPr>
            </w:pPr>
          </w:p>
        </w:tc>
        <w:tc>
          <w:tcPr>
            <w:tcW w:w="1300" w:type="dxa"/>
            <w:vAlign w:val="center"/>
          </w:tcPr>
          <w:p w14:paraId="4523DE43">
            <w:pPr>
              <w:pStyle w:val="182"/>
              <w:bidi w:val="0"/>
              <w:ind w:firstLine="0" w:firstLineChars="0"/>
              <w:rPr>
                <w:rFonts w:hint="default"/>
                <w:color w:val="auto"/>
                <w:lang w:val="en-US" w:eastAsia="zh-CN"/>
              </w:rPr>
            </w:pPr>
            <w:r>
              <w:rPr>
                <w:rFonts w:hint="eastAsia"/>
                <w:color w:val="auto"/>
                <w:lang w:val="en-US" w:eastAsia="zh-CN"/>
              </w:rPr>
              <w:t>厂区污水处理站</w:t>
            </w:r>
          </w:p>
        </w:tc>
        <w:tc>
          <w:tcPr>
            <w:tcW w:w="2126" w:type="dxa"/>
            <w:vAlign w:val="center"/>
          </w:tcPr>
          <w:p w14:paraId="0CABA66B">
            <w:pPr>
              <w:pStyle w:val="182"/>
              <w:bidi w:val="0"/>
              <w:ind w:firstLine="0" w:firstLineChars="0"/>
              <w:rPr>
                <w:rFonts w:hint="default"/>
                <w:color w:val="auto"/>
                <w:lang w:val="en-US" w:eastAsia="zh-CN"/>
              </w:rPr>
            </w:pPr>
            <w:r>
              <w:rPr>
                <w:rFonts w:hint="eastAsia"/>
                <w:color w:val="auto"/>
                <w:lang w:val="en-US" w:eastAsia="zh-CN"/>
              </w:rPr>
              <w:t>污泥</w:t>
            </w:r>
          </w:p>
        </w:tc>
        <w:tc>
          <w:tcPr>
            <w:tcW w:w="3653" w:type="dxa"/>
            <w:vAlign w:val="center"/>
          </w:tcPr>
          <w:p w14:paraId="0C03DEF3">
            <w:pPr>
              <w:pStyle w:val="182"/>
              <w:bidi w:val="0"/>
              <w:ind w:firstLine="0" w:firstLineChars="0"/>
              <w:rPr>
                <w:rFonts w:hint="eastAsia"/>
                <w:color w:val="auto"/>
              </w:rPr>
            </w:pPr>
            <w:r>
              <w:rPr>
                <w:rFonts w:hint="eastAsia"/>
                <w:color w:val="auto"/>
              </w:rPr>
              <w:t>依托</w:t>
            </w:r>
            <w:r>
              <w:rPr>
                <w:rFonts w:hint="eastAsia"/>
                <w:b w:val="0"/>
                <w:bCs w:val="0"/>
                <w:color w:val="auto"/>
                <w:u w:val="none"/>
              </w:rPr>
              <w:t>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w:t>
            </w:r>
            <w:r>
              <w:rPr>
                <w:rFonts w:hint="eastAsia"/>
                <w:color w:val="auto"/>
              </w:rPr>
              <w:t>暂存后，</w:t>
            </w:r>
            <w:r>
              <w:rPr>
                <w:rFonts w:hint="eastAsia"/>
                <w:color w:val="auto"/>
                <w:lang w:val="en-US" w:eastAsia="zh-CN"/>
              </w:rPr>
              <w:t>定期委托处理</w:t>
            </w:r>
          </w:p>
        </w:tc>
        <w:tc>
          <w:tcPr>
            <w:tcW w:w="1134" w:type="dxa"/>
            <w:vMerge w:val="continue"/>
            <w:vAlign w:val="center"/>
          </w:tcPr>
          <w:p w14:paraId="2F49244D">
            <w:pPr>
              <w:pStyle w:val="182"/>
              <w:bidi w:val="0"/>
              <w:rPr>
                <w:rFonts w:hint="eastAsia" w:eastAsia="宋体"/>
                <w:b w:val="0"/>
                <w:bCs w:val="0"/>
                <w:color w:val="auto"/>
                <w:u w:val="none"/>
                <w:lang w:eastAsia="zh-CN"/>
              </w:rPr>
            </w:pPr>
          </w:p>
        </w:tc>
      </w:tr>
      <w:tr w14:paraId="096700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vAlign w:val="center"/>
          </w:tcPr>
          <w:p w14:paraId="2BE78B6C">
            <w:pPr>
              <w:pStyle w:val="182"/>
              <w:bidi w:val="0"/>
              <w:rPr>
                <w:b w:val="0"/>
                <w:bCs w:val="0"/>
                <w:color w:val="auto"/>
                <w:u w:val="none"/>
              </w:rPr>
            </w:pPr>
          </w:p>
        </w:tc>
        <w:tc>
          <w:tcPr>
            <w:tcW w:w="1300" w:type="dxa"/>
            <w:vAlign w:val="center"/>
          </w:tcPr>
          <w:p w14:paraId="4443A21F">
            <w:pPr>
              <w:pStyle w:val="182"/>
              <w:bidi w:val="0"/>
              <w:ind w:firstLine="0" w:firstLineChars="0"/>
              <w:rPr>
                <w:rFonts w:hint="eastAsia"/>
                <w:b w:val="0"/>
                <w:bCs w:val="0"/>
                <w:color w:val="auto"/>
                <w:u w:val="none"/>
                <w:lang w:val="en-US" w:eastAsia="zh-CN"/>
              </w:rPr>
            </w:pPr>
            <w:r>
              <w:rPr>
                <w:rFonts w:hint="eastAsia"/>
                <w:color w:val="auto"/>
                <w:lang w:val="en-US" w:eastAsia="zh-CN"/>
              </w:rPr>
              <w:t>生产过滤、化验过滤</w:t>
            </w:r>
          </w:p>
        </w:tc>
        <w:tc>
          <w:tcPr>
            <w:tcW w:w="2126" w:type="dxa"/>
            <w:vAlign w:val="center"/>
          </w:tcPr>
          <w:p w14:paraId="4902AC1E">
            <w:pPr>
              <w:pStyle w:val="182"/>
              <w:bidi w:val="0"/>
              <w:ind w:firstLine="0" w:firstLineChars="0"/>
              <w:rPr>
                <w:rFonts w:hint="default"/>
                <w:b w:val="0"/>
                <w:bCs w:val="0"/>
                <w:color w:val="auto"/>
                <w:u w:val="none"/>
                <w:lang w:val="en-US" w:eastAsia="zh-CN"/>
              </w:rPr>
            </w:pPr>
            <w:r>
              <w:rPr>
                <w:rFonts w:hint="eastAsia"/>
                <w:color w:val="auto"/>
                <w:lang w:val="en-US" w:eastAsia="zh-CN"/>
              </w:rPr>
              <w:t>滤渣、废滤芯</w:t>
            </w:r>
          </w:p>
        </w:tc>
        <w:tc>
          <w:tcPr>
            <w:tcW w:w="3653" w:type="dxa"/>
            <w:vAlign w:val="center"/>
          </w:tcPr>
          <w:p w14:paraId="5E4ECFA7">
            <w:pPr>
              <w:pStyle w:val="182"/>
              <w:bidi w:val="0"/>
              <w:ind w:firstLine="0" w:firstLineChars="0"/>
              <w:rPr>
                <w:rFonts w:hint="eastAsia"/>
                <w:b w:val="0"/>
                <w:bCs w:val="0"/>
                <w:color w:val="auto"/>
                <w:u w:val="none"/>
              </w:rPr>
            </w:pPr>
            <w:r>
              <w:rPr>
                <w:rFonts w:hint="eastAsia"/>
                <w:color w:val="auto"/>
                <w:lang w:eastAsia="zh-CN"/>
              </w:rPr>
              <w:t>依托现有</w:t>
            </w:r>
            <w:r>
              <w:rPr>
                <w:rFonts w:hint="eastAsia"/>
                <w:color w:val="auto"/>
              </w:rPr>
              <w:t>TS003危险废物暂存间</w:t>
            </w:r>
            <w:r>
              <w:rPr>
                <w:rFonts w:hint="eastAsia"/>
                <w:b w:val="0"/>
                <w:bCs w:val="0"/>
                <w:color w:val="auto"/>
              </w:rPr>
              <w:t>（</w:t>
            </w:r>
            <w:r>
              <w:rPr>
                <w:rFonts w:hint="eastAsia"/>
                <w:b w:val="0"/>
                <w:bCs w:val="0"/>
                <w:color w:val="auto"/>
                <w:lang w:val="en-US" w:eastAsia="zh-CN"/>
              </w:rPr>
              <w:t>264</w:t>
            </w:r>
            <w:r>
              <w:rPr>
                <w:rFonts w:hint="eastAsia"/>
                <w:b w:val="0"/>
                <w:bCs w:val="0"/>
                <w:color w:val="auto"/>
              </w:rPr>
              <w:t>m</w:t>
            </w:r>
            <w:r>
              <w:rPr>
                <w:rFonts w:hint="eastAsia"/>
                <w:b w:val="0"/>
                <w:bCs w:val="0"/>
                <w:color w:val="auto"/>
                <w:vertAlign w:val="superscript"/>
              </w:rPr>
              <w:t>2</w:t>
            </w:r>
            <w:r>
              <w:rPr>
                <w:rFonts w:hint="eastAsia"/>
                <w:b w:val="0"/>
                <w:bCs w:val="0"/>
                <w:color w:val="auto"/>
              </w:rPr>
              <w:t>）</w:t>
            </w:r>
            <w:r>
              <w:rPr>
                <w:rFonts w:hint="eastAsia"/>
                <w:color w:val="auto"/>
              </w:rPr>
              <w:t>，定期交由有资质的单位进行处置</w:t>
            </w:r>
          </w:p>
        </w:tc>
        <w:tc>
          <w:tcPr>
            <w:tcW w:w="1134" w:type="dxa"/>
            <w:vMerge w:val="restart"/>
            <w:vAlign w:val="center"/>
          </w:tcPr>
          <w:p w14:paraId="5D7E9809">
            <w:pPr>
              <w:pStyle w:val="182"/>
              <w:bidi w:val="0"/>
              <w:rPr>
                <w:rFonts w:hint="eastAsia" w:eastAsia="宋体"/>
                <w:b w:val="0"/>
                <w:bCs w:val="0"/>
                <w:color w:val="auto"/>
                <w:u w:val="none"/>
                <w:lang w:val="en-US" w:eastAsia="zh-CN"/>
              </w:rPr>
            </w:pPr>
            <w:r>
              <w:rPr>
                <w:rFonts w:hint="eastAsia"/>
                <w:b w:val="0"/>
                <w:bCs w:val="0"/>
                <w:color w:val="auto"/>
                <w:u w:val="none"/>
                <w:lang w:val="en-US" w:eastAsia="zh-CN"/>
              </w:rPr>
              <w:t>依托现有</w:t>
            </w:r>
          </w:p>
        </w:tc>
      </w:tr>
      <w:tr w14:paraId="41858C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4" w:hRule="atLeast"/>
          <w:jc w:val="center"/>
        </w:trPr>
        <w:tc>
          <w:tcPr>
            <w:tcW w:w="675" w:type="dxa"/>
            <w:vMerge w:val="continue"/>
            <w:vAlign w:val="center"/>
          </w:tcPr>
          <w:p w14:paraId="513FA7F7">
            <w:pPr>
              <w:pStyle w:val="182"/>
              <w:bidi w:val="0"/>
              <w:rPr>
                <w:b w:val="0"/>
                <w:bCs w:val="0"/>
                <w:color w:val="auto"/>
                <w:u w:val="none"/>
              </w:rPr>
            </w:pPr>
          </w:p>
        </w:tc>
        <w:tc>
          <w:tcPr>
            <w:tcW w:w="1300" w:type="dxa"/>
            <w:vAlign w:val="center"/>
          </w:tcPr>
          <w:p w14:paraId="00285E26">
            <w:pPr>
              <w:pStyle w:val="182"/>
              <w:bidi w:val="0"/>
              <w:ind w:firstLine="0" w:firstLineChars="0"/>
              <w:rPr>
                <w:b w:val="0"/>
                <w:bCs w:val="0"/>
                <w:color w:val="auto"/>
                <w:u w:val="none"/>
              </w:rPr>
            </w:pPr>
            <w:r>
              <w:rPr>
                <w:rFonts w:hint="eastAsia"/>
                <w:color w:val="auto"/>
                <w:lang w:val="en-US" w:eastAsia="zh-CN"/>
              </w:rPr>
              <w:t>原料</w:t>
            </w:r>
          </w:p>
        </w:tc>
        <w:tc>
          <w:tcPr>
            <w:tcW w:w="2126" w:type="dxa"/>
            <w:vAlign w:val="center"/>
          </w:tcPr>
          <w:p w14:paraId="08C96C58">
            <w:pPr>
              <w:pStyle w:val="182"/>
              <w:bidi w:val="0"/>
              <w:ind w:firstLine="0" w:firstLineChars="0"/>
              <w:rPr>
                <w:b w:val="0"/>
                <w:bCs w:val="0"/>
                <w:color w:val="auto"/>
                <w:u w:val="none"/>
              </w:rPr>
            </w:pPr>
            <w:r>
              <w:rPr>
                <w:rFonts w:hint="eastAsia"/>
                <w:color w:val="auto"/>
                <w:lang w:eastAsia="zh-CN"/>
              </w:rPr>
              <w:t>废包装桶</w:t>
            </w:r>
          </w:p>
        </w:tc>
        <w:tc>
          <w:tcPr>
            <w:tcW w:w="3653" w:type="dxa"/>
            <w:vAlign w:val="center"/>
          </w:tcPr>
          <w:p w14:paraId="6EEF5140">
            <w:pPr>
              <w:pStyle w:val="182"/>
              <w:bidi w:val="0"/>
              <w:ind w:firstLine="0" w:firstLineChars="0"/>
              <w:rPr>
                <w:b w:val="0"/>
                <w:bCs w:val="0"/>
                <w:color w:val="auto"/>
                <w:u w:val="none"/>
              </w:rPr>
            </w:pPr>
            <w:r>
              <w:rPr>
                <w:rFonts w:hint="eastAsia"/>
                <w:color w:val="auto"/>
                <w:lang w:eastAsia="zh-CN"/>
              </w:rPr>
              <w:t>依托现有</w:t>
            </w:r>
            <w:r>
              <w:rPr>
                <w:rFonts w:hint="eastAsia"/>
                <w:color w:val="auto"/>
              </w:rPr>
              <w:t>TS003危险废物暂存间</w:t>
            </w:r>
            <w:r>
              <w:rPr>
                <w:rFonts w:hint="eastAsia"/>
                <w:b w:val="0"/>
                <w:bCs w:val="0"/>
                <w:color w:val="auto"/>
              </w:rPr>
              <w:t>（</w:t>
            </w:r>
            <w:r>
              <w:rPr>
                <w:rFonts w:hint="eastAsia"/>
                <w:b w:val="0"/>
                <w:bCs w:val="0"/>
                <w:color w:val="auto"/>
                <w:lang w:val="en-US" w:eastAsia="zh-CN"/>
              </w:rPr>
              <w:t>264</w:t>
            </w:r>
            <w:r>
              <w:rPr>
                <w:rFonts w:hint="eastAsia"/>
                <w:b w:val="0"/>
                <w:bCs w:val="0"/>
                <w:color w:val="auto"/>
              </w:rPr>
              <w:t>m</w:t>
            </w:r>
            <w:r>
              <w:rPr>
                <w:rFonts w:hint="eastAsia"/>
                <w:b w:val="0"/>
                <w:bCs w:val="0"/>
                <w:color w:val="auto"/>
                <w:vertAlign w:val="superscript"/>
              </w:rPr>
              <w:t>2</w:t>
            </w:r>
            <w:r>
              <w:rPr>
                <w:rFonts w:hint="eastAsia"/>
                <w:b w:val="0"/>
                <w:bCs w:val="0"/>
                <w:color w:val="auto"/>
              </w:rPr>
              <w:t>）</w:t>
            </w:r>
            <w:r>
              <w:rPr>
                <w:rFonts w:hint="eastAsia"/>
                <w:color w:val="auto"/>
              </w:rPr>
              <w:t>，定期交由有资质的单位进行处置</w:t>
            </w:r>
          </w:p>
        </w:tc>
        <w:tc>
          <w:tcPr>
            <w:tcW w:w="1134" w:type="dxa"/>
            <w:vMerge w:val="continue"/>
            <w:vAlign w:val="center"/>
          </w:tcPr>
          <w:p w14:paraId="1DC3CA69">
            <w:pPr>
              <w:pStyle w:val="182"/>
              <w:bidi w:val="0"/>
              <w:rPr>
                <w:b w:val="0"/>
                <w:bCs w:val="0"/>
                <w:color w:val="auto"/>
                <w:u w:val="none"/>
              </w:rPr>
            </w:pPr>
          </w:p>
        </w:tc>
      </w:tr>
      <w:tr w14:paraId="5E897D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4" w:hRule="atLeast"/>
          <w:jc w:val="center"/>
        </w:trPr>
        <w:tc>
          <w:tcPr>
            <w:tcW w:w="675" w:type="dxa"/>
            <w:vMerge w:val="continue"/>
            <w:vAlign w:val="center"/>
          </w:tcPr>
          <w:p w14:paraId="00E92FB9">
            <w:pPr>
              <w:pStyle w:val="182"/>
              <w:bidi w:val="0"/>
              <w:rPr>
                <w:b w:val="0"/>
                <w:bCs w:val="0"/>
                <w:color w:val="auto"/>
                <w:u w:val="none"/>
              </w:rPr>
            </w:pPr>
          </w:p>
        </w:tc>
        <w:tc>
          <w:tcPr>
            <w:tcW w:w="1300" w:type="dxa"/>
            <w:vAlign w:val="center"/>
          </w:tcPr>
          <w:p w14:paraId="6E6B6787">
            <w:pPr>
              <w:pStyle w:val="182"/>
              <w:bidi w:val="0"/>
              <w:ind w:firstLine="0" w:firstLineChars="0"/>
              <w:rPr>
                <w:rFonts w:hint="eastAsia"/>
                <w:b w:val="0"/>
                <w:bCs w:val="0"/>
                <w:color w:val="auto"/>
                <w:u w:val="none"/>
              </w:rPr>
            </w:pPr>
            <w:r>
              <w:rPr>
                <w:rFonts w:hint="eastAsia"/>
                <w:color w:val="auto"/>
                <w:lang w:val="en-US" w:eastAsia="zh-CN"/>
              </w:rPr>
              <w:t>废气治理设施</w:t>
            </w:r>
          </w:p>
        </w:tc>
        <w:tc>
          <w:tcPr>
            <w:tcW w:w="2126" w:type="dxa"/>
            <w:vAlign w:val="center"/>
          </w:tcPr>
          <w:p w14:paraId="79818235">
            <w:pPr>
              <w:pStyle w:val="182"/>
              <w:bidi w:val="0"/>
              <w:ind w:firstLine="0" w:firstLineChars="0"/>
              <w:rPr>
                <w:rFonts w:hint="eastAsia"/>
                <w:b w:val="0"/>
                <w:bCs w:val="0"/>
                <w:color w:val="auto"/>
                <w:u w:val="none"/>
              </w:rPr>
            </w:pPr>
            <w:r>
              <w:rPr>
                <w:rFonts w:hint="eastAsia"/>
                <w:color w:val="auto"/>
                <w:lang w:val="en-US" w:eastAsia="zh-CN"/>
              </w:rPr>
              <w:t>废活性炭</w:t>
            </w:r>
          </w:p>
        </w:tc>
        <w:tc>
          <w:tcPr>
            <w:tcW w:w="3653" w:type="dxa"/>
            <w:vAlign w:val="center"/>
          </w:tcPr>
          <w:p w14:paraId="07328622">
            <w:pPr>
              <w:pStyle w:val="182"/>
              <w:bidi w:val="0"/>
              <w:ind w:firstLine="0" w:firstLineChars="0"/>
              <w:rPr>
                <w:rFonts w:hint="eastAsia"/>
                <w:b w:val="0"/>
                <w:bCs w:val="0"/>
                <w:color w:val="auto"/>
                <w:u w:val="none"/>
              </w:rPr>
            </w:pPr>
            <w:r>
              <w:rPr>
                <w:rFonts w:hint="eastAsia"/>
                <w:color w:val="auto"/>
                <w:lang w:eastAsia="zh-CN"/>
              </w:rPr>
              <w:t>依托现有</w:t>
            </w:r>
            <w:r>
              <w:rPr>
                <w:rFonts w:hint="eastAsia"/>
                <w:color w:val="auto"/>
              </w:rPr>
              <w:t>TS003危险废物暂存间</w:t>
            </w:r>
            <w:r>
              <w:rPr>
                <w:rFonts w:hint="eastAsia"/>
                <w:b w:val="0"/>
                <w:bCs w:val="0"/>
                <w:color w:val="auto"/>
              </w:rPr>
              <w:t>（</w:t>
            </w:r>
            <w:r>
              <w:rPr>
                <w:rFonts w:hint="eastAsia"/>
                <w:b w:val="0"/>
                <w:bCs w:val="0"/>
                <w:color w:val="auto"/>
                <w:lang w:val="en-US" w:eastAsia="zh-CN"/>
              </w:rPr>
              <w:t>264</w:t>
            </w:r>
            <w:r>
              <w:rPr>
                <w:rFonts w:hint="eastAsia"/>
                <w:b w:val="0"/>
                <w:bCs w:val="0"/>
                <w:color w:val="auto"/>
              </w:rPr>
              <w:t>m</w:t>
            </w:r>
            <w:r>
              <w:rPr>
                <w:rFonts w:hint="eastAsia"/>
                <w:b w:val="0"/>
                <w:bCs w:val="0"/>
                <w:color w:val="auto"/>
                <w:vertAlign w:val="superscript"/>
              </w:rPr>
              <w:t>2</w:t>
            </w:r>
            <w:r>
              <w:rPr>
                <w:rFonts w:hint="eastAsia"/>
                <w:b w:val="0"/>
                <w:bCs w:val="0"/>
                <w:color w:val="auto"/>
              </w:rPr>
              <w:t>）</w:t>
            </w:r>
            <w:r>
              <w:rPr>
                <w:rFonts w:hint="eastAsia"/>
                <w:color w:val="auto"/>
              </w:rPr>
              <w:t>，定期交由有资质的单位进行处置</w:t>
            </w:r>
          </w:p>
        </w:tc>
        <w:tc>
          <w:tcPr>
            <w:tcW w:w="1134" w:type="dxa"/>
            <w:vMerge w:val="continue"/>
            <w:vAlign w:val="center"/>
          </w:tcPr>
          <w:p w14:paraId="583DE883">
            <w:pPr>
              <w:pStyle w:val="182"/>
              <w:bidi w:val="0"/>
              <w:rPr>
                <w:rFonts w:hint="eastAsia" w:eastAsia="宋体"/>
                <w:b w:val="0"/>
                <w:bCs w:val="0"/>
                <w:color w:val="auto"/>
                <w:u w:val="none"/>
                <w:lang w:val="en-US" w:eastAsia="zh-CN"/>
              </w:rPr>
            </w:pPr>
          </w:p>
        </w:tc>
      </w:tr>
      <w:tr w14:paraId="5437A5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Align w:val="center"/>
          </w:tcPr>
          <w:p w14:paraId="2CEEDE9A">
            <w:pPr>
              <w:pStyle w:val="182"/>
              <w:bidi w:val="0"/>
              <w:rPr>
                <w:b w:val="0"/>
                <w:bCs w:val="0"/>
                <w:color w:val="auto"/>
                <w:u w:val="none"/>
              </w:rPr>
            </w:pPr>
            <w:r>
              <w:rPr>
                <w:b w:val="0"/>
                <w:bCs w:val="0"/>
                <w:color w:val="auto"/>
                <w:u w:val="none"/>
              </w:rPr>
              <w:t>噪声</w:t>
            </w:r>
          </w:p>
        </w:tc>
        <w:tc>
          <w:tcPr>
            <w:tcW w:w="1300" w:type="dxa"/>
            <w:vAlign w:val="center"/>
          </w:tcPr>
          <w:p w14:paraId="6D4D4B89">
            <w:pPr>
              <w:pStyle w:val="182"/>
              <w:bidi w:val="0"/>
              <w:rPr>
                <w:b w:val="0"/>
                <w:bCs w:val="0"/>
                <w:color w:val="auto"/>
                <w:u w:val="none"/>
              </w:rPr>
            </w:pPr>
            <w:r>
              <w:rPr>
                <w:b w:val="0"/>
                <w:bCs w:val="0"/>
                <w:color w:val="auto"/>
                <w:u w:val="none"/>
              </w:rPr>
              <w:t>设备噪声</w:t>
            </w:r>
          </w:p>
        </w:tc>
        <w:tc>
          <w:tcPr>
            <w:tcW w:w="2126" w:type="dxa"/>
            <w:vAlign w:val="center"/>
          </w:tcPr>
          <w:p w14:paraId="26B084BC">
            <w:pPr>
              <w:pStyle w:val="182"/>
              <w:bidi w:val="0"/>
              <w:rPr>
                <w:b w:val="0"/>
                <w:bCs w:val="0"/>
                <w:color w:val="auto"/>
                <w:u w:val="none"/>
              </w:rPr>
            </w:pPr>
            <w:r>
              <w:rPr>
                <w:rFonts w:hint="eastAsia"/>
                <w:b w:val="0"/>
                <w:bCs w:val="0"/>
                <w:color w:val="auto"/>
                <w:u w:val="none"/>
              </w:rPr>
              <w:t>噪声</w:t>
            </w:r>
          </w:p>
        </w:tc>
        <w:tc>
          <w:tcPr>
            <w:tcW w:w="3653" w:type="dxa"/>
            <w:vAlign w:val="center"/>
          </w:tcPr>
          <w:p w14:paraId="3E0EF549">
            <w:pPr>
              <w:pStyle w:val="182"/>
              <w:bidi w:val="0"/>
              <w:rPr>
                <w:b w:val="0"/>
                <w:bCs w:val="0"/>
                <w:color w:val="auto"/>
                <w:u w:val="none"/>
              </w:rPr>
            </w:pPr>
            <w:r>
              <w:rPr>
                <w:rFonts w:hint="eastAsia"/>
                <w:b w:val="0"/>
                <w:bCs w:val="0"/>
                <w:color w:val="auto"/>
                <w:u w:val="none"/>
              </w:rPr>
              <w:t>减振、隔音设施</w:t>
            </w:r>
          </w:p>
        </w:tc>
        <w:tc>
          <w:tcPr>
            <w:tcW w:w="1134" w:type="dxa"/>
            <w:vAlign w:val="center"/>
          </w:tcPr>
          <w:p w14:paraId="55B468C6">
            <w:pPr>
              <w:pStyle w:val="182"/>
              <w:bidi w:val="0"/>
              <w:rPr>
                <w:b w:val="0"/>
                <w:bCs w:val="0"/>
                <w:color w:val="auto"/>
                <w:u w:val="none"/>
              </w:rPr>
            </w:pPr>
            <w:r>
              <w:rPr>
                <w:rFonts w:hint="eastAsia"/>
                <w:b w:val="0"/>
                <w:bCs w:val="0"/>
                <w:color w:val="auto"/>
                <w:u w:val="none"/>
              </w:rPr>
              <w:t>10</w:t>
            </w:r>
          </w:p>
        </w:tc>
      </w:tr>
      <w:tr w14:paraId="251C0B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5" w:type="dxa"/>
            <w:gridSpan w:val="2"/>
            <w:vAlign w:val="center"/>
          </w:tcPr>
          <w:p w14:paraId="0D25B5E7">
            <w:pPr>
              <w:pStyle w:val="182"/>
              <w:bidi w:val="0"/>
              <w:rPr>
                <w:b w:val="0"/>
                <w:bCs w:val="0"/>
                <w:color w:val="auto"/>
                <w:u w:val="none"/>
              </w:rPr>
            </w:pPr>
            <w:r>
              <w:rPr>
                <w:rFonts w:hint="eastAsia"/>
                <w:b w:val="0"/>
                <w:bCs w:val="0"/>
                <w:color w:val="auto"/>
                <w:u w:val="none"/>
              </w:rPr>
              <w:t>地下水防护措施</w:t>
            </w:r>
          </w:p>
        </w:tc>
        <w:tc>
          <w:tcPr>
            <w:tcW w:w="5779" w:type="dxa"/>
            <w:gridSpan w:val="2"/>
            <w:vAlign w:val="center"/>
          </w:tcPr>
          <w:p w14:paraId="7F92B54E">
            <w:pPr>
              <w:pStyle w:val="182"/>
              <w:bidi w:val="0"/>
              <w:rPr>
                <w:b w:val="0"/>
                <w:bCs w:val="0"/>
                <w:color w:val="auto"/>
                <w:u w:val="none"/>
              </w:rPr>
            </w:pPr>
            <w:r>
              <w:rPr>
                <w:rFonts w:hint="eastAsia"/>
                <w:b w:val="0"/>
                <w:bCs w:val="0"/>
                <w:color w:val="auto"/>
                <w:u w:val="none"/>
              </w:rPr>
              <w:t>对生产车间、废污水收集管道，一般固废全密闭暂存间和危险固废全密闭暂存间，按设计要求分区进行防渗。</w:t>
            </w:r>
          </w:p>
        </w:tc>
        <w:tc>
          <w:tcPr>
            <w:tcW w:w="1134" w:type="dxa"/>
            <w:vAlign w:val="center"/>
          </w:tcPr>
          <w:p w14:paraId="10598306">
            <w:pPr>
              <w:pStyle w:val="182"/>
              <w:bidi w:val="0"/>
              <w:rPr>
                <w:rFonts w:hint="eastAsia" w:eastAsia="宋体"/>
                <w:b w:val="0"/>
                <w:bCs w:val="0"/>
                <w:color w:val="auto"/>
                <w:u w:val="none"/>
                <w:lang w:eastAsia="zh-CN"/>
              </w:rPr>
            </w:pPr>
            <w:r>
              <w:rPr>
                <w:rFonts w:hint="eastAsia"/>
                <w:b w:val="0"/>
                <w:bCs w:val="0"/>
                <w:color w:val="auto"/>
                <w:u w:val="none"/>
                <w:lang w:val="en-US" w:eastAsia="zh-CN"/>
              </w:rPr>
              <w:t>依托现有</w:t>
            </w:r>
          </w:p>
        </w:tc>
      </w:tr>
      <w:tr w14:paraId="42555E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5" w:type="dxa"/>
            <w:gridSpan w:val="2"/>
            <w:vAlign w:val="center"/>
          </w:tcPr>
          <w:p w14:paraId="53CD187B">
            <w:pPr>
              <w:pStyle w:val="182"/>
              <w:bidi w:val="0"/>
              <w:rPr>
                <w:b w:val="0"/>
                <w:bCs w:val="0"/>
                <w:color w:val="auto"/>
                <w:u w:val="none"/>
              </w:rPr>
            </w:pPr>
            <w:r>
              <w:rPr>
                <w:rFonts w:hint="eastAsia"/>
                <w:b w:val="0"/>
                <w:bCs w:val="0"/>
                <w:color w:val="auto"/>
                <w:u w:val="none"/>
              </w:rPr>
              <w:t>风险防范措施</w:t>
            </w:r>
          </w:p>
        </w:tc>
        <w:tc>
          <w:tcPr>
            <w:tcW w:w="5779" w:type="dxa"/>
            <w:gridSpan w:val="2"/>
            <w:vAlign w:val="center"/>
          </w:tcPr>
          <w:p w14:paraId="5215E0EA">
            <w:pPr>
              <w:pStyle w:val="182"/>
              <w:bidi w:val="0"/>
              <w:rPr>
                <w:b w:val="0"/>
                <w:bCs w:val="0"/>
                <w:color w:val="auto"/>
                <w:u w:val="none"/>
              </w:rPr>
            </w:pPr>
            <w:r>
              <w:rPr>
                <w:rFonts w:hint="eastAsia"/>
                <w:b w:val="0"/>
                <w:bCs w:val="0"/>
                <w:color w:val="auto"/>
                <w:u w:val="none"/>
              </w:rPr>
              <w:t>1、加强运行管理和应急措施建设管理；</w:t>
            </w:r>
          </w:p>
          <w:p w14:paraId="30189811">
            <w:pPr>
              <w:pStyle w:val="182"/>
              <w:bidi w:val="0"/>
              <w:rPr>
                <w:b w:val="0"/>
                <w:bCs w:val="0"/>
                <w:color w:val="auto"/>
                <w:u w:val="none"/>
              </w:rPr>
            </w:pPr>
            <w:r>
              <w:rPr>
                <w:rFonts w:hint="eastAsia"/>
                <w:b w:val="0"/>
                <w:bCs w:val="0"/>
                <w:color w:val="auto"/>
                <w:u w:val="none"/>
              </w:rPr>
              <w:t>2、依托现有事故应急废水收集池，拦截措施等。</w:t>
            </w:r>
          </w:p>
          <w:p w14:paraId="61506195">
            <w:pPr>
              <w:pStyle w:val="182"/>
              <w:bidi w:val="0"/>
              <w:rPr>
                <w:b w:val="0"/>
                <w:bCs w:val="0"/>
                <w:color w:val="auto"/>
                <w:u w:val="none"/>
              </w:rPr>
            </w:pPr>
            <w:r>
              <w:rPr>
                <w:rFonts w:hint="eastAsia"/>
                <w:b w:val="0"/>
                <w:bCs w:val="0"/>
                <w:color w:val="auto"/>
                <w:u w:val="none"/>
              </w:rPr>
              <w:t>3、依托应急救援器材、监测仪器；定期进行安全教育培训、事故应急演练。</w:t>
            </w:r>
          </w:p>
        </w:tc>
        <w:tc>
          <w:tcPr>
            <w:tcW w:w="1134" w:type="dxa"/>
            <w:vAlign w:val="center"/>
          </w:tcPr>
          <w:p w14:paraId="5B629DB7">
            <w:pPr>
              <w:pStyle w:val="182"/>
              <w:bidi w:val="0"/>
              <w:rPr>
                <w:b w:val="0"/>
                <w:bCs w:val="0"/>
                <w:color w:val="auto"/>
                <w:u w:val="none"/>
              </w:rPr>
            </w:pPr>
            <w:r>
              <w:rPr>
                <w:rFonts w:hint="eastAsia"/>
                <w:b w:val="0"/>
                <w:bCs w:val="0"/>
                <w:color w:val="auto"/>
                <w:u w:val="none"/>
              </w:rPr>
              <w:t>50</w:t>
            </w:r>
          </w:p>
        </w:tc>
      </w:tr>
      <w:tr w14:paraId="6B646C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5" w:type="dxa"/>
            <w:gridSpan w:val="2"/>
            <w:vAlign w:val="center"/>
          </w:tcPr>
          <w:p w14:paraId="5D76A330">
            <w:pPr>
              <w:pStyle w:val="182"/>
              <w:bidi w:val="0"/>
              <w:rPr>
                <w:b w:val="0"/>
                <w:bCs w:val="0"/>
                <w:color w:val="auto"/>
                <w:u w:val="none"/>
              </w:rPr>
            </w:pPr>
            <w:r>
              <w:rPr>
                <w:rFonts w:hint="eastAsia"/>
                <w:b w:val="0"/>
                <w:bCs w:val="0"/>
                <w:color w:val="auto"/>
                <w:u w:val="none"/>
              </w:rPr>
              <w:t>厂区绿化</w:t>
            </w:r>
          </w:p>
        </w:tc>
        <w:tc>
          <w:tcPr>
            <w:tcW w:w="5779" w:type="dxa"/>
            <w:gridSpan w:val="2"/>
            <w:vAlign w:val="center"/>
          </w:tcPr>
          <w:p w14:paraId="67DE8149">
            <w:pPr>
              <w:pStyle w:val="182"/>
              <w:bidi w:val="0"/>
              <w:rPr>
                <w:b w:val="0"/>
                <w:bCs w:val="0"/>
                <w:color w:val="auto"/>
                <w:u w:val="none"/>
              </w:rPr>
            </w:pPr>
            <w:r>
              <w:rPr>
                <w:rFonts w:hint="eastAsia"/>
                <w:b w:val="0"/>
                <w:bCs w:val="0"/>
                <w:color w:val="auto"/>
                <w:u w:val="none"/>
              </w:rPr>
              <w:t>植树、种草</w:t>
            </w:r>
          </w:p>
        </w:tc>
        <w:tc>
          <w:tcPr>
            <w:tcW w:w="1134" w:type="dxa"/>
            <w:vAlign w:val="center"/>
          </w:tcPr>
          <w:p w14:paraId="1E869A3D">
            <w:pPr>
              <w:pStyle w:val="182"/>
              <w:bidi w:val="0"/>
              <w:rPr>
                <w:b w:val="0"/>
                <w:bCs w:val="0"/>
                <w:color w:val="auto"/>
                <w:u w:val="none"/>
              </w:rPr>
            </w:pPr>
            <w:r>
              <w:rPr>
                <w:rFonts w:hint="eastAsia"/>
                <w:b w:val="0"/>
                <w:bCs w:val="0"/>
                <w:color w:val="auto"/>
                <w:u w:val="none"/>
              </w:rPr>
              <w:t>10</w:t>
            </w:r>
          </w:p>
        </w:tc>
      </w:tr>
      <w:tr w14:paraId="27BA2C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54" w:type="dxa"/>
            <w:gridSpan w:val="4"/>
            <w:vAlign w:val="center"/>
          </w:tcPr>
          <w:p w14:paraId="216CF470">
            <w:pPr>
              <w:pStyle w:val="182"/>
              <w:bidi w:val="0"/>
              <w:rPr>
                <w:b w:val="0"/>
                <w:bCs w:val="0"/>
                <w:color w:val="auto"/>
                <w:u w:val="none"/>
              </w:rPr>
            </w:pPr>
            <w:r>
              <w:rPr>
                <w:rFonts w:hint="eastAsia"/>
                <w:b w:val="0"/>
                <w:bCs w:val="0"/>
                <w:color w:val="auto"/>
                <w:u w:val="none"/>
              </w:rPr>
              <w:t>合计</w:t>
            </w:r>
          </w:p>
        </w:tc>
        <w:tc>
          <w:tcPr>
            <w:tcW w:w="1134" w:type="dxa"/>
            <w:vAlign w:val="center"/>
          </w:tcPr>
          <w:p w14:paraId="61036551">
            <w:pPr>
              <w:pStyle w:val="182"/>
              <w:bidi w:val="0"/>
              <w:rPr>
                <w:rFonts w:hint="default" w:eastAsia="宋体"/>
                <w:b w:val="0"/>
                <w:bCs w:val="0"/>
                <w:color w:val="auto"/>
                <w:u w:val="none"/>
                <w:lang w:val="en-US" w:eastAsia="zh-CN"/>
              </w:rPr>
            </w:pPr>
            <w:r>
              <w:rPr>
                <w:rFonts w:hint="eastAsia"/>
                <w:b w:val="0"/>
                <w:bCs w:val="0"/>
                <w:color w:val="auto"/>
                <w:u w:val="none"/>
                <w:lang w:val="en-US" w:eastAsia="zh-CN"/>
              </w:rPr>
              <w:t>161</w:t>
            </w:r>
          </w:p>
        </w:tc>
      </w:tr>
    </w:tbl>
    <w:p w14:paraId="24DEABAA">
      <w:pPr>
        <w:bidi w:val="0"/>
        <w:rPr>
          <w:color w:val="auto"/>
        </w:rPr>
      </w:pPr>
      <w:r>
        <w:rPr>
          <w:rFonts w:hint="eastAsia"/>
          <w:color w:val="auto"/>
        </w:rPr>
        <w:t>环境保护竣工验收设施详见</w:t>
      </w:r>
      <w:r>
        <w:rPr>
          <w:rFonts w:hint="eastAsia"/>
          <w:color w:val="auto"/>
          <w:lang w:val="en-US" w:eastAsia="zh-CN"/>
        </w:rPr>
        <w:t>下表</w:t>
      </w:r>
      <w:r>
        <w:rPr>
          <w:rFonts w:hint="eastAsia"/>
          <w:color w:val="auto"/>
        </w:rPr>
        <w:t>。</w:t>
      </w:r>
    </w:p>
    <w:p w14:paraId="198E84B3">
      <w:pPr>
        <w:pStyle w:val="10"/>
        <w:bidi w:val="0"/>
      </w:pPr>
      <w:r>
        <w:t xml:space="preserve">表 </w:t>
      </w:r>
      <w:r>
        <w:fldChar w:fldCharType="begin"/>
      </w:r>
      <w:r>
        <w:instrText xml:space="preserve"> STYLEREF 2 \s </w:instrText>
      </w:r>
      <w:r>
        <w:fldChar w:fldCharType="separate"/>
      </w:r>
      <w:r>
        <w:t>7.3</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rPr>
          <w:rFonts w:hint="eastAsia"/>
          <w:lang w:val="en-US" w:eastAsia="zh-CN"/>
        </w:rPr>
        <w:t xml:space="preserve"> </w:t>
      </w:r>
      <w:r>
        <w:rPr>
          <w:rFonts w:hint="eastAsia"/>
        </w:rPr>
        <w:t>拟建工程环保竣工验收一览表</w:t>
      </w:r>
    </w:p>
    <w:tbl>
      <w:tblPr>
        <w:tblStyle w:val="31"/>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1098"/>
        <w:gridCol w:w="3542"/>
        <w:gridCol w:w="3172"/>
      </w:tblGrid>
      <w:tr w14:paraId="396664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tcBorders>
              <w:top w:val="single" w:color="auto" w:sz="8" w:space="0"/>
              <w:bottom w:val="single" w:color="auto" w:sz="8" w:space="0"/>
            </w:tcBorders>
            <w:vAlign w:val="center"/>
          </w:tcPr>
          <w:p w14:paraId="7A31D9AA">
            <w:pPr>
              <w:pStyle w:val="182"/>
              <w:bidi w:val="0"/>
              <w:rPr>
                <w:b/>
                <w:bCs/>
                <w:color w:val="auto"/>
              </w:rPr>
            </w:pPr>
            <w:r>
              <w:rPr>
                <w:rFonts w:hint="eastAsia"/>
                <w:b/>
                <w:bCs/>
                <w:color w:val="auto"/>
              </w:rPr>
              <w:t>项目</w:t>
            </w:r>
          </w:p>
        </w:tc>
        <w:tc>
          <w:tcPr>
            <w:tcW w:w="644" w:type="pct"/>
            <w:tcBorders>
              <w:top w:val="single" w:color="auto" w:sz="8" w:space="0"/>
              <w:bottom w:val="single" w:color="auto" w:sz="8" w:space="0"/>
            </w:tcBorders>
            <w:vAlign w:val="center"/>
          </w:tcPr>
          <w:p w14:paraId="1D5CB0D9">
            <w:pPr>
              <w:pStyle w:val="182"/>
              <w:bidi w:val="0"/>
              <w:rPr>
                <w:b/>
                <w:bCs/>
                <w:color w:val="auto"/>
              </w:rPr>
            </w:pPr>
            <w:r>
              <w:rPr>
                <w:rFonts w:hint="eastAsia"/>
                <w:b/>
                <w:bCs/>
                <w:color w:val="auto"/>
              </w:rPr>
              <w:t>产污环节</w:t>
            </w:r>
          </w:p>
        </w:tc>
        <w:tc>
          <w:tcPr>
            <w:tcW w:w="2077" w:type="pct"/>
            <w:tcBorders>
              <w:top w:val="single" w:color="auto" w:sz="8" w:space="0"/>
              <w:bottom w:val="single" w:color="auto" w:sz="8" w:space="0"/>
            </w:tcBorders>
            <w:vAlign w:val="center"/>
          </w:tcPr>
          <w:p w14:paraId="6F5FCE57">
            <w:pPr>
              <w:pStyle w:val="182"/>
              <w:bidi w:val="0"/>
              <w:rPr>
                <w:b/>
                <w:bCs/>
                <w:color w:val="auto"/>
              </w:rPr>
            </w:pPr>
            <w:r>
              <w:rPr>
                <w:rFonts w:hint="eastAsia"/>
                <w:b/>
                <w:bCs/>
                <w:color w:val="auto"/>
              </w:rPr>
              <w:t>治理</w:t>
            </w:r>
            <w:r>
              <w:rPr>
                <w:b/>
                <w:bCs/>
                <w:color w:val="auto"/>
              </w:rPr>
              <w:t>措施</w:t>
            </w:r>
          </w:p>
        </w:tc>
        <w:tc>
          <w:tcPr>
            <w:tcW w:w="1860" w:type="pct"/>
            <w:tcBorders>
              <w:top w:val="single" w:color="auto" w:sz="8" w:space="0"/>
              <w:bottom w:val="single" w:color="auto" w:sz="8" w:space="0"/>
            </w:tcBorders>
            <w:vAlign w:val="center"/>
          </w:tcPr>
          <w:p w14:paraId="5D0B185D">
            <w:pPr>
              <w:pStyle w:val="182"/>
              <w:bidi w:val="0"/>
              <w:rPr>
                <w:b/>
                <w:bCs/>
                <w:color w:val="auto"/>
              </w:rPr>
            </w:pPr>
            <w:r>
              <w:rPr>
                <w:rFonts w:hint="eastAsia"/>
                <w:b/>
                <w:bCs/>
                <w:color w:val="auto"/>
              </w:rPr>
              <w:t>执行标准</w:t>
            </w:r>
          </w:p>
        </w:tc>
      </w:tr>
      <w:tr w14:paraId="13FA12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tcBorders>
              <w:top w:val="single" w:color="auto" w:sz="8" w:space="0"/>
              <w:bottom w:val="single" w:color="auto" w:sz="4" w:space="0"/>
            </w:tcBorders>
            <w:vAlign w:val="center"/>
          </w:tcPr>
          <w:p w14:paraId="2D406B72">
            <w:pPr>
              <w:pStyle w:val="182"/>
              <w:bidi w:val="0"/>
              <w:rPr>
                <w:color w:val="auto"/>
              </w:rPr>
            </w:pPr>
            <w:r>
              <w:rPr>
                <w:color w:val="auto"/>
              </w:rPr>
              <w:t>废水</w:t>
            </w:r>
          </w:p>
        </w:tc>
        <w:tc>
          <w:tcPr>
            <w:tcW w:w="644" w:type="pct"/>
            <w:tcBorders>
              <w:top w:val="single" w:color="auto" w:sz="8" w:space="0"/>
              <w:bottom w:val="single" w:color="auto" w:sz="4" w:space="0"/>
            </w:tcBorders>
            <w:vAlign w:val="center"/>
          </w:tcPr>
          <w:p w14:paraId="1082CAD5">
            <w:pPr>
              <w:pStyle w:val="182"/>
              <w:bidi w:val="0"/>
              <w:rPr>
                <w:color w:val="auto"/>
              </w:rPr>
            </w:pPr>
            <w:r>
              <w:rPr>
                <w:b w:val="0"/>
                <w:bCs w:val="0"/>
                <w:color w:val="auto"/>
                <w:u w:val="none"/>
              </w:rPr>
              <w:t>生产</w:t>
            </w:r>
            <w:r>
              <w:rPr>
                <w:rFonts w:hint="eastAsia"/>
                <w:b w:val="0"/>
                <w:bCs w:val="0"/>
                <w:color w:val="auto"/>
                <w:u w:val="none"/>
                <w:lang w:val="en-US" w:eastAsia="zh-CN"/>
              </w:rPr>
              <w:t>废水、废气处理设施、清洗废水、清下水</w:t>
            </w:r>
          </w:p>
        </w:tc>
        <w:tc>
          <w:tcPr>
            <w:tcW w:w="2077" w:type="pct"/>
            <w:tcBorders>
              <w:top w:val="single" w:color="auto" w:sz="8" w:space="0"/>
            </w:tcBorders>
            <w:vAlign w:val="center"/>
          </w:tcPr>
          <w:p w14:paraId="4308E737">
            <w:pPr>
              <w:pStyle w:val="182"/>
              <w:bidi w:val="0"/>
              <w:rPr>
                <w:rFonts w:hint="eastAsia" w:eastAsia="宋体"/>
                <w:color w:val="auto"/>
                <w:lang w:val="en-US" w:eastAsia="zh-CN"/>
              </w:rPr>
            </w:pPr>
            <w:r>
              <w:rPr>
                <w:rFonts w:hint="eastAsia"/>
                <w:color w:val="auto"/>
              </w:rPr>
              <w:t>厂区废水连接管网，依托厂区污水处理站</w:t>
            </w:r>
            <w:r>
              <w:rPr>
                <w:rFonts w:hint="eastAsia"/>
                <w:color w:val="auto"/>
                <w:lang w:val="en-US" w:eastAsia="zh-CN"/>
              </w:rPr>
              <w:t>氨纶废水处理单元</w:t>
            </w:r>
          </w:p>
        </w:tc>
        <w:tc>
          <w:tcPr>
            <w:tcW w:w="1860" w:type="pct"/>
            <w:tcBorders>
              <w:top w:val="single" w:color="auto" w:sz="8" w:space="0"/>
            </w:tcBorders>
            <w:vAlign w:val="center"/>
          </w:tcPr>
          <w:p w14:paraId="7F81F4CB">
            <w:pPr>
              <w:pStyle w:val="182"/>
              <w:bidi w:val="0"/>
              <w:rPr>
                <w:color w:val="auto"/>
              </w:rPr>
            </w:pPr>
            <w:r>
              <w:rPr>
                <w:rFonts w:hint="eastAsia"/>
                <w:color w:val="auto"/>
              </w:rPr>
              <w:t>《污水综合排放标准》（GB8978-1996）表4</w:t>
            </w:r>
            <w:r>
              <w:rPr>
                <w:rFonts w:hint="eastAsia"/>
                <w:color w:val="auto"/>
                <w:lang w:val="en-US" w:eastAsia="zh-CN"/>
              </w:rPr>
              <w:t>二级</w:t>
            </w:r>
            <w:r>
              <w:rPr>
                <w:rFonts w:hint="eastAsia"/>
                <w:color w:val="auto"/>
                <w:lang w:eastAsia="zh-CN"/>
              </w:rPr>
              <w:t>、</w:t>
            </w:r>
            <w:r>
              <w:rPr>
                <w:rFonts w:hint="eastAsia"/>
                <w:color w:val="auto"/>
                <w:lang w:val="en-US" w:eastAsia="zh-CN"/>
              </w:rPr>
              <w:t>与小店污水处理厂收水协议标准及</w:t>
            </w:r>
            <w:r>
              <w:rPr>
                <w:rFonts w:hint="eastAsia"/>
                <w:color w:val="auto"/>
              </w:rPr>
              <w:t>小店污水处理厂的收水</w:t>
            </w:r>
            <w:r>
              <w:rPr>
                <w:rFonts w:hint="eastAsia"/>
                <w:color w:val="auto"/>
                <w:lang w:val="en-US" w:eastAsia="zh-CN"/>
              </w:rPr>
              <w:t>标准</w:t>
            </w:r>
            <w:r>
              <w:rPr>
                <w:rFonts w:hint="eastAsia"/>
                <w:color w:val="auto"/>
                <w:lang w:eastAsia="zh-CN"/>
              </w:rPr>
              <w:t>：</w:t>
            </w:r>
            <w:r>
              <w:rPr>
                <w:color w:val="auto"/>
              </w:rPr>
              <w:t xml:space="preserve">COD </w:t>
            </w:r>
            <w:r>
              <w:rPr>
                <w:rFonts w:hint="eastAsia"/>
                <w:color w:val="auto"/>
              </w:rPr>
              <w:t>300</w:t>
            </w:r>
            <w:r>
              <w:rPr>
                <w:color w:val="auto"/>
              </w:rPr>
              <w:t>mg/L</w:t>
            </w:r>
            <w:r>
              <w:rPr>
                <w:rFonts w:hint="eastAsia"/>
                <w:color w:val="auto"/>
                <w:lang w:eastAsia="zh-CN"/>
              </w:rPr>
              <w:t>、</w:t>
            </w:r>
            <w:r>
              <w:rPr>
                <w:color w:val="auto"/>
              </w:rPr>
              <w:t>BOD</w:t>
            </w:r>
            <w:r>
              <w:rPr>
                <w:color w:val="auto"/>
                <w:vertAlign w:val="subscript"/>
              </w:rPr>
              <w:t>5</w:t>
            </w:r>
            <w:r>
              <w:rPr>
                <w:color w:val="auto"/>
              </w:rPr>
              <w:t xml:space="preserve"> </w:t>
            </w:r>
            <w:r>
              <w:rPr>
                <w:rFonts w:hint="eastAsia"/>
                <w:color w:val="auto"/>
              </w:rPr>
              <w:t>100</w:t>
            </w:r>
            <w:r>
              <w:rPr>
                <w:color w:val="auto"/>
              </w:rPr>
              <w:t>mg/L</w:t>
            </w:r>
            <w:r>
              <w:rPr>
                <w:rFonts w:hint="eastAsia"/>
                <w:color w:val="auto"/>
                <w:lang w:eastAsia="zh-CN"/>
              </w:rPr>
              <w:t>、</w:t>
            </w:r>
            <w:r>
              <w:rPr>
                <w:rFonts w:hint="eastAsia"/>
                <w:color w:val="auto"/>
              </w:rPr>
              <w:t>NH</w:t>
            </w:r>
            <w:r>
              <w:rPr>
                <w:rFonts w:hint="eastAsia"/>
                <w:color w:val="auto"/>
                <w:vertAlign w:val="subscript"/>
              </w:rPr>
              <w:t>3</w:t>
            </w:r>
            <w:r>
              <w:rPr>
                <w:rFonts w:hint="eastAsia"/>
                <w:color w:val="auto"/>
              </w:rPr>
              <w:t>-N</w:t>
            </w:r>
            <w:r>
              <w:rPr>
                <w:color w:val="auto"/>
              </w:rPr>
              <w:t xml:space="preserve"> </w:t>
            </w:r>
            <w:r>
              <w:rPr>
                <w:rFonts w:hint="eastAsia"/>
                <w:color w:val="auto"/>
              </w:rPr>
              <w:t>15</w:t>
            </w:r>
            <w:r>
              <w:rPr>
                <w:color w:val="auto"/>
              </w:rPr>
              <w:t>mg/L</w:t>
            </w:r>
            <w:r>
              <w:rPr>
                <w:rFonts w:hint="eastAsia"/>
                <w:color w:val="auto"/>
                <w:lang w:eastAsia="zh-CN"/>
              </w:rPr>
              <w:t>、</w:t>
            </w:r>
            <w:r>
              <w:rPr>
                <w:color w:val="auto"/>
              </w:rPr>
              <w:t>SS 1</w:t>
            </w:r>
            <w:r>
              <w:rPr>
                <w:rFonts w:hint="eastAsia"/>
                <w:color w:val="auto"/>
              </w:rPr>
              <w:t>50</w:t>
            </w:r>
            <w:r>
              <w:rPr>
                <w:color w:val="auto"/>
              </w:rPr>
              <w:t>mg/L</w:t>
            </w:r>
            <w:r>
              <w:rPr>
                <w:rFonts w:hint="eastAsia"/>
                <w:color w:val="auto"/>
                <w:lang w:eastAsia="zh-CN"/>
              </w:rPr>
              <w:t>、</w:t>
            </w:r>
            <w:r>
              <w:rPr>
                <w:rFonts w:hint="eastAsia"/>
                <w:color w:val="auto"/>
              </w:rPr>
              <w:t>TN40</w:t>
            </w:r>
            <w:r>
              <w:rPr>
                <w:color w:val="auto"/>
              </w:rPr>
              <w:t>mg/L</w:t>
            </w:r>
            <w:r>
              <w:rPr>
                <w:rFonts w:hint="eastAsia"/>
                <w:color w:val="auto"/>
              </w:rPr>
              <w:t>、TP</w:t>
            </w:r>
            <w:r>
              <w:rPr>
                <w:color w:val="auto"/>
              </w:rPr>
              <w:t xml:space="preserve"> </w:t>
            </w:r>
            <w:r>
              <w:rPr>
                <w:rFonts w:hint="eastAsia"/>
                <w:color w:val="auto"/>
              </w:rPr>
              <w:t>1.0</w:t>
            </w:r>
            <w:r>
              <w:rPr>
                <w:color w:val="auto"/>
              </w:rPr>
              <w:t>mg/L</w:t>
            </w:r>
          </w:p>
        </w:tc>
      </w:tr>
      <w:tr w14:paraId="1E00FF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restart"/>
            <w:tcBorders>
              <w:top w:val="single" w:color="auto" w:sz="4" w:space="0"/>
            </w:tcBorders>
            <w:vAlign w:val="center"/>
          </w:tcPr>
          <w:p w14:paraId="284C3CD6">
            <w:pPr>
              <w:pStyle w:val="182"/>
              <w:bidi w:val="0"/>
              <w:rPr>
                <w:color w:val="auto"/>
              </w:rPr>
            </w:pPr>
            <w:r>
              <w:rPr>
                <w:color w:val="auto"/>
              </w:rPr>
              <w:t>废气</w:t>
            </w:r>
          </w:p>
        </w:tc>
        <w:tc>
          <w:tcPr>
            <w:tcW w:w="644" w:type="pct"/>
            <w:tcBorders>
              <w:top w:val="single" w:color="auto" w:sz="4" w:space="0"/>
            </w:tcBorders>
            <w:vAlign w:val="center"/>
          </w:tcPr>
          <w:p w14:paraId="6AAF58A3">
            <w:pPr>
              <w:pStyle w:val="182"/>
              <w:bidi w:val="0"/>
              <w:rPr>
                <w:rFonts w:hint="eastAsia" w:eastAsia="宋体"/>
                <w:color w:val="auto"/>
                <w:lang w:eastAsia="zh-CN"/>
              </w:rPr>
            </w:pPr>
            <w:r>
              <w:rPr>
                <w:rFonts w:hint="eastAsia"/>
                <w:color w:val="auto"/>
                <w:lang w:val="en-US" w:eastAsia="zh-CN"/>
              </w:rPr>
              <w:t>粉碎原料</w:t>
            </w:r>
          </w:p>
        </w:tc>
        <w:tc>
          <w:tcPr>
            <w:tcW w:w="2077" w:type="pct"/>
            <w:vAlign w:val="center"/>
          </w:tcPr>
          <w:p w14:paraId="41176DEE">
            <w:pPr>
              <w:pStyle w:val="182"/>
              <w:bidi w:val="0"/>
              <w:rPr>
                <w:rFonts w:hint="default" w:eastAsia="宋体"/>
                <w:color w:val="auto"/>
                <w:lang w:val="en-US" w:eastAsia="zh-CN"/>
              </w:rPr>
            </w:pPr>
            <w:r>
              <w:rPr>
                <w:rFonts w:hint="eastAsia"/>
                <w:color w:val="auto"/>
                <w:lang w:val="en-US" w:eastAsia="zh-CN"/>
              </w:rPr>
              <w:t>粉碎设备自带脉冲袋式除尘器</w:t>
            </w:r>
          </w:p>
        </w:tc>
        <w:tc>
          <w:tcPr>
            <w:tcW w:w="1860" w:type="pct"/>
            <w:vAlign w:val="center"/>
          </w:tcPr>
          <w:p w14:paraId="4679E03C">
            <w:pPr>
              <w:pStyle w:val="182"/>
              <w:bidi w:val="0"/>
              <w:rPr>
                <w:color w:val="auto"/>
              </w:rPr>
            </w:pPr>
            <w:r>
              <w:rPr>
                <w:b w:val="0"/>
                <w:bCs w:val="0"/>
                <w:color w:val="auto"/>
                <w:u w:val="none"/>
              </w:rPr>
              <w:t>《新乡市生态环境局关于进一步规范工业企业颗粒物排放限值的通知》</w:t>
            </w:r>
            <w:r>
              <w:rPr>
                <w:rFonts w:hint="eastAsia"/>
                <w:b w:val="0"/>
                <w:bCs w:val="0"/>
                <w:color w:val="auto"/>
                <w:u w:val="none"/>
              </w:rPr>
              <w:t>其他涉气工业企业10mg/m</w:t>
            </w:r>
            <w:r>
              <w:rPr>
                <w:rFonts w:hint="eastAsia"/>
                <w:b w:val="0"/>
                <w:bCs w:val="0"/>
                <w:color w:val="auto"/>
                <w:u w:val="none"/>
                <w:vertAlign w:val="superscript"/>
              </w:rPr>
              <w:t>3</w:t>
            </w:r>
            <w:r>
              <w:rPr>
                <w:rFonts w:hint="eastAsia"/>
                <w:b w:val="0"/>
                <w:bCs w:val="0"/>
                <w:color w:val="auto"/>
                <w:u w:val="none"/>
              </w:rPr>
              <w:t>（有组织）</w:t>
            </w:r>
            <w:r>
              <w:rPr>
                <w:rFonts w:hint="eastAsia"/>
                <w:b w:val="0"/>
                <w:bCs w:val="0"/>
                <w:color w:val="auto"/>
                <w:u w:val="none"/>
                <w:lang w:val="en-US" w:eastAsia="zh-CN"/>
              </w:rPr>
              <w:t>和《大气污染物综合排放标准》（GB16297-1996）中要求二级标准20m排气筒最高允许排放速率5.9kg/h。</w:t>
            </w:r>
          </w:p>
        </w:tc>
      </w:tr>
      <w:tr w14:paraId="31A96C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continue"/>
            <w:vAlign w:val="center"/>
          </w:tcPr>
          <w:p w14:paraId="579F75FA">
            <w:pPr>
              <w:pStyle w:val="182"/>
              <w:bidi w:val="0"/>
              <w:rPr>
                <w:color w:val="auto"/>
              </w:rPr>
            </w:pPr>
          </w:p>
        </w:tc>
        <w:tc>
          <w:tcPr>
            <w:tcW w:w="644" w:type="pct"/>
            <w:tcBorders>
              <w:top w:val="single" w:color="auto" w:sz="4" w:space="0"/>
            </w:tcBorders>
            <w:vAlign w:val="center"/>
          </w:tcPr>
          <w:p w14:paraId="0857FD50">
            <w:pPr>
              <w:pStyle w:val="182"/>
              <w:bidi w:val="0"/>
              <w:rPr>
                <w:rFonts w:hint="default" w:eastAsia="宋体"/>
                <w:b w:val="0"/>
                <w:bCs w:val="0"/>
                <w:color w:val="auto"/>
                <w:u w:val="none"/>
                <w:lang w:val="en-US" w:eastAsia="zh-CN"/>
              </w:rPr>
            </w:pPr>
            <w:r>
              <w:rPr>
                <w:rFonts w:hint="eastAsia"/>
                <w:b w:val="0"/>
                <w:bCs w:val="0"/>
                <w:color w:val="auto"/>
                <w:u w:val="none"/>
                <w:lang w:val="en-US" w:eastAsia="zh-CN"/>
              </w:rPr>
              <w:t>脱泡、干燥、蒸发回收工序</w:t>
            </w:r>
          </w:p>
        </w:tc>
        <w:tc>
          <w:tcPr>
            <w:tcW w:w="2077" w:type="pct"/>
            <w:vAlign w:val="center"/>
          </w:tcPr>
          <w:p w14:paraId="0B011BC4">
            <w:pPr>
              <w:pStyle w:val="182"/>
              <w:bidi w:val="0"/>
              <w:rPr>
                <w:rFonts w:hint="eastAsia" w:eastAsia="宋体"/>
                <w:b w:val="0"/>
                <w:bCs w:val="0"/>
                <w:color w:val="auto"/>
                <w:u w:val="none"/>
                <w:lang w:eastAsia="zh-CN"/>
              </w:rPr>
            </w:pPr>
            <w:r>
              <w:rPr>
                <w:rFonts w:hint="eastAsia"/>
                <w:b w:val="0"/>
                <w:bCs w:val="0"/>
                <w:color w:val="auto"/>
                <w:u w:val="none"/>
                <w:lang w:val="en-US" w:eastAsia="zh-CN"/>
              </w:rPr>
              <w:t>两级水洗塔串联+活性炭吸附</w:t>
            </w:r>
          </w:p>
        </w:tc>
        <w:tc>
          <w:tcPr>
            <w:tcW w:w="1860" w:type="pct"/>
            <w:vAlign w:val="center"/>
          </w:tcPr>
          <w:p w14:paraId="5E9FC032">
            <w:pPr>
              <w:pStyle w:val="182"/>
              <w:bidi w:val="0"/>
              <w:rPr>
                <w:rFonts w:hint="eastAsia"/>
                <w:b w:val="0"/>
                <w:bCs w:val="0"/>
                <w:color w:val="auto"/>
                <w:u w:val="none"/>
              </w:rPr>
            </w:pPr>
            <w:r>
              <w:rPr>
                <w:rFonts w:hint="eastAsia"/>
                <w:b w:val="0"/>
                <w:bCs w:val="0"/>
                <w:color w:val="auto"/>
                <w:highlight w:val="none"/>
                <w:u w:val="none"/>
                <w:lang w:val="en-US" w:eastAsia="zh-CN"/>
              </w:rPr>
              <w:t>《关于全省开展工业企业挥发性有机物专项治理工作中排放建议值的通知》（豫环攻坚办（2017）162号）其他行业80</w:t>
            </w:r>
            <w:r>
              <w:rPr>
                <w:rFonts w:hint="eastAsia"/>
                <w:b w:val="0"/>
                <w:bCs w:val="0"/>
                <w:color w:val="auto"/>
                <w:highlight w:val="none"/>
                <w:u w:val="none"/>
              </w:rPr>
              <w:t>mg/m</w:t>
            </w:r>
            <w:r>
              <w:rPr>
                <w:rFonts w:hint="eastAsia"/>
                <w:b w:val="0"/>
                <w:bCs w:val="0"/>
                <w:color w:val="auto"/>
                <w:highlight w:val="none"/>
                <w:u w:val="none"/>
                <w:vertAlign w:val="superscript"/>
              </w:rPr>
              <w:t>3</w:t>
            </w:r>
            <w:r>
              <w:rPr>
                <w:rFonts w:hint="eastAsia"/>
                <w:b w:val="0"/>
                <w:bCs w:val="0"/>
                <w:color w:val="auto"/>
                <w:highlight w:val="none"/>
                <w:u w:val="none"/>
              </w:rPr>
              <w:t>（有组织）</w:t>
            </w:r>
            <w:r>
              <w:rPr>
                <w:rFonts w:hint="eastAsia"/>
                <w:b w:val="0"/>
                <w:bCs w:val="0"/>
                <w:color w:val="auto"/>
                <w:highlight w:val="none"/>
                <w:u w:val="none"/>
                <w:lang w:val="en-US" w:eastAsia="zh-CN"/>
              </w:rPr>
              <w:t>和《大气污染物综合排放标准》（GB16297-1996）中要求二级标准20m排气筒最高允许排放速率17kg/h。</w:t>
            </w:r>
          </w:p>
        </w:tc>
      </w:tr>
      <w:tr w14:paraId="3CC4E2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restart"/>
            <w:vAlign w:val="center"/>
          </w:tcPr>
          <w:p w14:paraId="33D18E0A">
            <w:pPr>
              <w:pStyle w:val="182"/>
              <w:bidi w:val="0"/>
              <w:rPr>
                <w:color w:val="auto"/>
              </w:rPr>
            </w:pPr>
            <w:r>
              <w:rPr>
                <w:color w:val="auto"/>
              </w:rPr>
              <w:t>固废</w:t>
            </w:r>
          </w:p>
        </w:tc>
        <w:tc>
          <w:tcPr>
            <w:tcW w:w="1098" w:type="dxa"/>
            <w:vAlign w:val="center"/>
          </w:tcPr>
          <w:p w14:paraId="489F53FD">
            <w:pPr>
              <w:pStyle w:val="182"/>
              <w:bidi w:val="0"/>
              <w:ind w:firstLine="0" w:firstLineChars="0"/>
              <w:rPr>
                <w:b w:val="0"/>
                <w:bCs w:val="0"/>
                <w:color w:val="auto"/>
                <w:u w:val="none"/>
              </w:rPr>
            </w:pPr>
            <w:r>
              <w:rPr>
                <w:rFonts w:hint="eastAsia"/>
                <w:b w:val="0"/>
                <w:bCs w:val="0"/>
                <w:color w:val="auto"/>
                <w:u w:val="none"/>
                <w:lang w:val="en-US" w:eastAsia="zh-CN"/>
              </w:rPr>
              <w:t>除尘器收集颗粒物</w:t>
            </w:r>
          </w:p>
        </w:tc>
        <w:tc>
          <w:tcPr>
            <w:tcW w:w="2077" w:type="pct"/>
            <w:vAlign w:val="center"/>
          </w:tcPr>
          <w:p w14:paraId="38A02C96">
            <w:pPr>
              <w:pStyle w:val="182"/>
              <w:bidi w:val="0"/>
              <w:ind w:firstLine="0" w:firstLineChars="0"/>
              <w:rPr>
                <w:rFonts w:hint="eastAsia" w:eastAsia="宋体"/>
                <w:b w:val="0"/>
                <w:bCs w:val="0"/>
                <w:color w:val="auto"/>
                <w:u w:val="none"/>
                <w:lang w:eastAsia="zh-CN"/>
              </w:rPr>
            </w:pPr>
            <w:r>
              <w:rPr>
                <w:rFonts w:hint="eastAsia"/>
                <w:b w:val="0"/>
                <w:bCs w:val="0"/>
                <w:color w:val="auto"/>
                <w:u w:val="none"/>
              </w:rPr>
              <w:t>依托现有TS004一般固废暂存间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）暂存后，</w:t>
            </w:r>
            <w:r>
              <w:rPr>
                <w:rFonts w:hint="eastAsia"/>
                <w:b w:val="0"/>
                <w:bCs w:val="0"/>
                <w:color w:val="auto"/>
                <w:u w:val="none"/>
                <w:lang w:eastAsia="zh-CN"/>
              </w:rPr>
              <w:t>定期回用于生产</w:t>
            </w:r>
          </w:p>
        </w:tc>
        <w:tc>
          <w:tcPr>
            <w:tcW w:w="1860" w:type="pct"/>
            <w:vMerge w:val="restart"/>
            <w:vAlign w:val="center"/>
          </w:tcPr>
          <w:p w14:paraId="753BB979">
            <w:pPr>
              <w:pStyle w:val="182"/>
              <w:bidi w:val="0"/>
              <w:rPr>
                <w:b w:val="0"/>
                <w:bCs w:val="0"/>
                <w:color w:val="auto"/>
                <w:u w:val="none"/>
              </w:rPr>
            </w:pPr>
            <w:r>
              <w:rPr>
                <w:rFonts w:hint="eastAsia"/>
                <w:b w:val="0"/>
                <w:bCs w:val="0"/>
                <w:color w:val="auto"/>
                <w:u w:val="none"/>
              </w:rPr>
              <w:t>《一般工业固体废物贮存和填埋污染控制标准》（GB18599-2020）</w:t>
            </w:r>
          </w:p>
        </w:tc>
      </w:tr>
      <w:tr w14:paraId="00767B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continue"/>
            <w:vAlign w:val="center"/>
          </w:tcPr>
          <w:p w14:paraId="5C643AC9">
            <w:pPr>
              <w:pStyle w:val="182"/>
              <w:bidi w:val="0"/>
              <w:rPr>
                <w:color w:val="auto"/>
              </w:rPr>
            </w:pPr>
          </w:p>
        </w:tc>
        <w:tc>
          <w:tcPr>
            <w:tcW w:w="1098" w:type="dxa"/>
            <w:vAlign w:val="center"/>
          </w:tcPr>
          <w:p w14:paraId="61C59A03">
            <w:pPr>
              <w:pStyle w:val="182"/>
              <w:bidi w:val="0"/>
              <w:ind w:firstLine="0" w:firstLineChars="0"/>
              <w:rPr>
                <w:rFonts w:hint="default" w:ascii="Times New Roman" w:hAnsi="Times New Roman" w:eastAsia="宋体" w:cs="Times New Roman"/>
                <w:color w:val="auto"/>
                <w:kern w:val="2"/>
                <w:sz w:val="21"/>
                <w:szCs w:val="21"/>
                <w:lang w:val="en-US" w:eastAsia="zh-CN" w:bidi="ar-SA"/>
              </w:rPr>
            </w:pPr>
            <w:r>
              <w:rPr>
                <w:rFonts w:hint="eastAsia"/>
                <w:b w:val="0"/>
                <w:bCs w:val="0"/>
                <w:color w:val="auto"/>
                <w:u w:val="none"/>
                <w:lang w:val="en-US" w:eastAsia="zh-CN"/>
              </w:rPr>
              <w:t>废丝</w:t>
            </w:r>
          </w:p>
        </w:tc>
        <w:tc>
          <w:tcPr>
            <w:tcW w:w="2077" w:type="pct"/>
            <w:vAlign w:val="center"/>
          </w:tcPr>
          <w:p w14:paraId="44158BB8">
            <w:pPr>
              <w:pStyle w:val="182"/>
              <w:bidi w:val="0"/>
              <w:ind w:firstLine="0" w:firstLineChars="0"/>
              <w:rPr>
                <w:rFonts w:hint="eastAsia" w:ascii="Times New Roman" w:hAnsi="Times New Roman" w:eastAsia="宋体" w:cs="Times New Roman"/>
                <w:color w:val="auto"/>
                <w:kern w:val="2"/>
                <w:sz w:val="21"/>
                <w:szCs w:val="21"/>
                <w:lang w:val="en-US" w:eastAsia="zh-CN" w:bidi="ar-SA"/>
              </w:rPr>
            </w:pPr>
            <w:r>
              <w:rPr>
                <w:rFonts w:hint="eastAsia"/>
                <w:b w:val="0"/>
                <w:bCs w:val="0"/>
                <w:color w:val="auto"/>
                <w:u w:val="none"/>
              </w:rPr>
              <w:t>依托现有TS004一般固废暂存间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）暂存后，</w:t>
            </w:r>
            <w:r>
              <w:rPr>
                <w:rFonts w:hint="eastAsia"/>
                <w:b w:val="0"/>
                <w:bCs w:val="0"/>
                <w:color w:val="auto"/>
                <w:u w:val="none"/>
                <w:lang w:eastAsia="zh-CN"/>
              </w:rPr>
              <w:t>定期回用于生产</w:t>
            </w:r>
          </w:p>
        </w:tc>
        <w:tc>
          <w:tcPr>
            <w:tcW w:w="1860" w:type="pct"/>
            <w:vMerge w:val="continue"/>
            <w:vAlign w:val="center"/>
          </w:tcPr>
          <w:p w14:paraId="60B49930">
            <w:pPr>
              <w:pStyle w:val="182"/>
              <w:bidi w:val="0"/>
              <w:rPr>
                <w:rFonts w:hint="eastAsia"/>
                <w:color w:val="auto"/>
              </w:rPr>
            </w:pPr>
          </w:p>
        </w:tc>
      </w:tr>
      <w:tr w14:paraId="1B4587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continue"/>
            <w:vAlign w:val="center"/>
          </w:tcPr>
          <w:p w14:paraId="40C94CD7">
            <w:pPr>
              <w:pStyle w:val="182"/>
              <w:bidi w:val="0"/>
              <w:rPr>
                <w:color w:val="auto"/>
              </w:rPr>
            </w:pPr>
          </w:p>
        </w:tc>
        <w:tc>
          <w:tcPr>
            <w:tcW w:w="1098" w:type="dxa"/>
            <w:vAlign w:val="center"/>
          </w:tcPr>
          <w:p w14:paraId="0BE10790">
            <w:pPr>
              <w:pStyle w:val="182"/>
              <w:bidi w:val="0"/>
              <w:ind w:firstLine="0" w:firstLineChars="0"/>
              <w:rPr>
                <w:rFonts w:hint="default"/>
                <w:color w:val="auto"/>
                <w:lang w:val="en-US"/>
              </w:rPr>
            </w:pPr>
            <w:r>
              <w:rPr>
                <w:rFonts w:hint="eastAsia"/>
                <w:b w:val="0"/>
                <w:bCs w:val="0"/>
                <w:color w:val="auto"/>
                <w:u w:val="none"/>
                <w:lang w:val="en-US" w:eastAsia="zh-CN"/>
              </w:rPr>
              <w:t>污泥</w:t>
            </w:r>
          </w:p>
        </w:tc>
        <w:tc>
          <w:tcPr>
            <w:tcW w:w="2077" w:type="pct"/>
            <w:vAlign w:val="center"/>
          </w:tcPr>
          <w:p w14:paraId="5D52A0FE">
            <w:pPr>
              <w:pStyle w:val="182"/>
              <w:bidi w:val="0"/>
              <w:ind w:firstLine="0" w:firstLineChars="0"/>
              <w:rPr>
                <w:rFonts w:hint="eastAsia"/>
                <w:b w:val="0"/>
                <w:bCs w:val="0"/>
                <w:color w:val="auto"/>
                <w:u w:val="none"/>
                <w:lang w:val="en-US" w:eastAsia="zh-CN"/>
              </w:rPr>
            </w:pPr>
            <w:r>
              <w:rPr>
                <w:rFonts w:hint="eastAsia"/>
                <w:b w:val="0"/>
                <w:bCs w:val="0"/>
                <w:color w:val="auto"/>
                <w:u w:val="none"/>
              </w:rPr>
              <w:t>依托现有TS004一般固废暂存间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）暂存后，与现有工程处置方式一致，定期交由山西晟鼎再生资源有限公司处理</w:t>
            </w:r>
          </w:p>
        </w:tc>
        <w:tc>
          <w:tcPr>
            <w:tcW w:w="1860" w:type="pct"/>
            <w:vMerge w:val="continue"/>
            <w:vAlign w:val="center"/>
          </w:tcPr>
          <w:p w14:paraId="456337DC">
            <w:pPr>
              <w:pStyle w:val="182"/>
              <w:bidi w:val="0"/>
              <w:rPr>
                <w:color w:val="auto"/>
              </w:rPr>
            </w:pPr>
          </w:p>
        </w:tc>
      </w:tr>
      <w:tr w14:paraId="5E673C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continue"/>
            <w:vAlign w:val="center"/>
          </w:tcPr>
          <w:p w14:paraId="74BBE0B0">
            <w:pPr>
              <w:pStyle w:val="182"/>
              <w:bidi w:val="0"/>
              <w:rPr>
                <w:color w:val="auto"/>
              </w:rPr>
            </w:pPr>
          </w:p>
        </w:tc>
        <w:tc>
          <w:tcPr>
            <w:tcW w:w="1098" w:type="dxa"/>
            <w:vAlign w:val="center"/>
          </w:tcPr>
          <w:p w14:paraId="3FB13D5D">
            <w:pPr>
              <w:pStyle w:val="182"/>
              <w:bidi w:val="0"/>
              <w:ind w:firstLine="0" w:firstLineChars="0"/>
              <w:rPr>
                <w:rFonts w:hint="eastAsia"/>
                <w:color w:val="auto"/>
                <w:lang w:val="en-US" w:eastAsia="zh-CN"/>
              </w:rPr>
            </w:pPr>
            <w:r>
              <w:rPr>
                <w:rFonts w:hint="eastAsia"/>
                <w:b w:val="0"/>
                <w:bCs w:val="0"/>
                <w:color w:val="auto"/>
                <w:u w:val="none"/>
                <w:lang w:val="en-US" w:eastAsia="zh-CN"/>
              </w:rPr>
              <w:t>T溶剂废包装桶</w:t>
            </w:r>
          </w:p>
        </w:tc>
        <w:tc>
          <w:tcPr>
            <w:tcW w:w="2077" w:type="pct"/>
            <w:vAlign w:val="center"/>
          </w:tcPr>
          <w:p w14:paraId="496E2916">
            <w:pPr>
              <w:pStyle w:val="182"/>
              <w:bidi w:val="0"/>
              <w:ind w:firstLine="0" w:firstLineChars="0"/>
              <w:rPr>
                <w:rFonts w:hint="eastAsia"/>
                <w:color w:val="auto"/>
              </w:rPr>
            </w:pPr>
            <w:r>
              <w:rPr>
                <w:rFonts w:hint="eastAsia"/>
                <w:b w:val="0"/>
                <w:bCs w:val="0"/>
                <w:color w:val="auto"/>
                <w:u w:val="none"/>
              </w:rPr>
              <w:t>依托现有TS004一般固废暂存间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）暂存后，</w:t>
            </w:r>
            <w:r>
              <w:rPr>
                <w:rFonts w:hint="eastAsia"/>
                <w:b w:val="0"/>
                <w:bCs w:val="0"/>
                <w:color w:val="auto"/>
                <w:u w:val="none"/>
                <w:lang w:eastAsia="zh-CN"/>
              </w:rPr>
              <w:t>定期</w:t>
            </w:r>
            <w:r>
              <w:rPr>
                <w:rFonts w:hint="eastAsia"/>
                <w:b w:val="0"/>
                <w:bCs w:val="0"/>
                <w:color w:val="auto"/>
                <w:u w:val="none"/>
                <w:lang w:val="en-US" w:eastAsia="zh-CN"/>
              </w:rPr>
              <w:t>厂家回收</w:t>
            </w:r>
          </w:p>
        </w:tc>
        <w:tc>
          <w:tcPr>
            <w:tcW w:w="1860" w:type="pct"/>
            <w:vMerge w:val="continue"/>
            <w:vAlign w:val="center"/>
          </w:tcPr>
          <w:p w14:paraId="433308C4">
            <w:pPr>
              <w:pStyle w:val="182"/>
              <w:bidi w:val="0"/>
              <w:rPr>
                <w:color w:val="auto"/>
              </w:rPr>
            </w:pPr>
          </w:p>
        </w:tc>
      </w:tr>
      <w:tr w14:paraId="155FAB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continue"/>
            <w:vAlign w:val="center"/>
          </w:tcPr>
          <w:p w14:paraId="4A6D266C">
            <w:pPr>
              <w:pStyle w:val="182"/>
              <w:bidi w:val="0"/>
              <w:rPr>
                <w:color w:val="auto"/>
              </w:rPr>
            </w:pPr>
          </w:p>
        </w:tc>
        <w:tc>
          <w:tcPr>
            <w:tcW w:w="644" w:type="pct"/>
            <w:vAlign w:val="center"/>
          </w:tcPr>
          <w:p w14:paraId="6F3DD454">
            <w:pPr>
              <w:pStyle w:val="182"/>
              <w:bidi w:val="0"/>
              <w:ind w:firstLine="0" w:firstLineChars="0"/>
              <w:rPr>
                <w:color w:val="auto"/>
              </w:rPr>
            </w:pPr>
            <w:r>
              <w:rPr>
                <w:rFonts w:hint="eastAsia"/>
                <w:color w:val="auto"/>
                <w:lang w:val="en-US" w:eastAsia="zh-CN"/>
              </w:rPr>
              <w:t>滤渣、废滤芯</w:t>
            </w:r>
          </w:p>
        </w:tc>
        <w:tc>
          <w:tcPr>
            <w:tcW w:w="2077" w:type="pct"/>
            <w:vAlign w:val="center"/>
          </w:tcPr>
          <w:p w14:paraId="63A79CD6">
            <w:pPr>
              <w:pStyle w:val="182"/>
              <w:bidi w:val="0"/>
              <w:ind w:firstLine="0" w:firstLineChars="0"/>
              <w:rPr>
                <w:rFonts w:hint="eastAsia"/>
                <w:b w:val="0"/>
                <w:bCs w:val="0"/>
                <w:color w:val="auto"/>
                <w:u w:val="none"/>
                <w:lang w:val="en-US" w:eastAsia="zh-CN"/>
              </w:rPr>
            </w:pPr>
            <w:r>
              <w:rPr>
                <w:rFonts w:hint="eastAsia"/>
                <w:color w:val="auto"/>
                <w:lang w:eastAsia="zh-CN"/>
              </w:rPr>
              <w:t>依托</w:t>
            </w:r>
            <w:r>
              <w:rPr>
                <w:rFonts w:hint="eastAsia"/>
                <w:b w:val="0"/>
                <w:bCs w:val="0"/>
                <w:color w:val="auto"/>
                <w:lang w:val="en-US" w:eastAsia="zh-CN"/>
              </w:rPr>
              <w:t>现有</w:t>
            </w:r>
            <w:r>
              <w:rPr>
                <w:rFonts w:hint="eastAsia"/>
                <w:color w:val="auto"/>
              </w:rPr>
              <w:t>TS003危险废物暂存间</w:t>
            </w:r>
            <w:r>
              <w:rPr>
                <w:rFonts w:hint="eastAsia"/>
                <w:b w:val="0"/>
                <w:bCs w:val="0"/>
                <w:color w:val="auto"/>
              </w:rPr>
              <w:t>（</w:t>
            </w:r>
            <w:r>
              <w:rPr>
                <w:rFonts w:hint="eastAsia"/>
                <w:b w:val="0"/>
                <w:bCs w:val="0"/>
                <w:color w:val="auto"/>
                <w:lang w:val="en-US" w:eastAsia="zh-CN"/>
              </w:rPr>
              <w:t>264</w:t>
            </w:r>
            <w:r>
              <w:rPr>
                <w:rFonts w:hint="eastAsia"/>
                <w:b w:val="0"/>
                <w:bCs w:val="0"/>
                <w:color w:val="auto"/>
              </w:rPr>
              <w:t>m</w:t>
            </w:r>
            <w:r>
              <w:rPr>
                <w:rFonts w:hint="eastAsia"/>
                <w:b w:val="0"/>
                <w:bCs w:val="0"/>
                <w:color w:val="auto"/>
                <w:vertAlign w:val="superscript"/>
              </w:rPr>
              <w:t>2</w:t>
            </w:r>
            <w:r>
              <w:rPr>
                <w:rFonts w:hint="eastAsia"/>
                <w:b w:val="0"/>
                <w:bCs w:val="0"/>
                <w:color w:val="auto"/>
              </w:rPr>
              <w:t>）</w:t>
            </w:r>
            <w:r>
              <w:rPr>
                <w:rFonts w:hint="eastAsia"/>
                <w:b w:val="0"/>
                <w:bCs w:val="0"/>
                <w:color w:val="auto"/>
                <w:u w:val="none"/>
              </w:rPr>
              <w:t>，</w:t>
            </w:r>
            <w:r>
              <w:rPr>
                <w:rFonts w:hint="eastAsia"/>
                <w:color w:val="auto"/>
              </w:rPr>
              <w:t>定期交由有资质的单位进行处置</w:t>
            </w:r>
          </w:p>
        </w:tc>
        <w:tc>
          <w:tcPr>
            <w:tcW w:w="1860" w:type="pct"/>
            <w:vMerge w:val="restart"/>
            <w:vAlign w:val="center"/>
          </w:tcPr>
          <w:p w14:paraId="47F50432">
            <w:pPr>
              <w:pStyle w:val="182"/>
              <w:bidi w:val="0"/>
              <w:rPr>
                <w:color w:val="auto"/>
              </w:rPr>
            </w:pPr>
            <w:r>
              <w:rPr>
                <w:rFonts w:hint="eastAsia"/>
                <w:color w:val="auto"/>
              </w:rPr>
              <w:t>《危险废物贮存污染控制标准》（GB 18597-2023）</w:t>
            </w:r>
          </w:p>
        </w:tc>
      </w:tr>
      <w:tr w14:paraId="301263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continue"/>
            <w:vAlign w:val="center"/>
          </w:tcPr>
          <w:p w14:paraId="62174281">
            <w:pPr>
              <w:pStyle w:val="182"/>
              <w:bidi w:val="0"/>
              <w:rPr>
                <w:color w:val="auto"/>
              </w:rPr>
            </w:pPr>
          </w:p>
        </w:tc>
        <w:tc>
          <w:tcPr>
            <w:tcW w:w="644" w:type="pct"/>
            <w:vAlign w:val="center"/>
          </w:tcPr>
          <w:p w14:paraId="2A48104F">
            <w:pPr>
              <w:pStyle w:val="182"/>
              <w:bidi w:val="0"/>
              <w:ind w:firstLine="0" w:firstLineChars="0"/>
              <w:rPr>
                <w:rFonts w:hint="eastAsia"/>
                <w:b w:val="0"/>
                <w:bCs w:val="0"/>
                <w:color w:val="auto"/>
                <w:u w:val="none"/>
                <w:lang w:val="en-US" w:eastAsia="zh-CN"/>
              </w:rPr>
            </w:pPr>
            <w:r>
              <w:rPr>
                <w:rFonts w:hint="eastAsia"/>
                <w:b w:val="0"/>
                <w:bCs w:val="0"/>
                <w:color w:val="auto"/>
                <w:u w:val="none"/>
                <w:lang w:val="en-US" w:eastAsia="zh-CN"/>
              </w:rPr>
              <w:t>D溶剂、油剂废包装桶</w:t>
            </w:r>
          </w:p>
        </w:tc>
        <w:tc>
          <w:tcPr>
            <w:tcW w:w="2077" w:type="pct"/>
            <w:vAlign w:val="center"/>
          </w:tcPr>
          <w:p w14:paraId="1B8ACCE9">
            <w:pPr>
              <w:pStyle w:val="182"/>
              <w:bidi w:val="0"/>
              <w:ind w:firstLine="0" w:firstLineChars="0"/>
              <w:rPr>
                <w:rFonts w:hint="eastAsia"/>
                <w:b w:val="0"/>
                <w:bCs w:val="0"/>
                <w:color w:val="auto"/>
                <w:u w:val="none"/>
                <w:lang w:val="en-US" w:eastAsia="zh-CN"/>
              </w:rPr>
            </w:pPr>
            <w:r>
              <w:rPr>
                <w:rFonts w:hint="eastAsia"/>
                <w:color w:val="auto"/>
                <w:lang w:eastAsia="zh-CN"/>
              </w:rPr>
              <w:t>依托</w:t>
            </w:r>
            <w:r>
              <w:rPr>
                <w:rFonts w:hint="eastAsia"/>
                <w:b w:val="0"/>
                <w:bCs w:val="0"/>
                <w:color w:val="auto"/>
                <w:lang w:val="en-US" w:eastAsia="zh-CN"/>
              </w:rPr>
              <w:t>现有</w:t>
            </w:r>
            <w:r>
              <w:rPr>
                <w:rFonts w:hint="eastAsia"/>
                <w:color w:val="auto"/>
              </w:rPr>
              <w:t>TS003危险废物暂存间</w:t>
            </w:r>
            <w:r>
              <w:rPr>
                <w:rFonts w:hint="eastAsia"/>
                <w:b w:val="0"/>
                <w:bCs w:val="0"/>
                <w:color w:val="auto"/>
              </w:rPr>
              <w:t>（</w:t>
            </w:r>
            <w:r>
              <w:rPr>
                <w:rFonts w:hint="eastAsia"/>
                <w:b w:val="0"/>
                <w:bCs w:val="0"/>
                <w:color w:val="auto"/>
                <w:lang w:val="en-US" w:eastAsia="zh-CN"/>
              </w:rPr>
              <w:t>264</w:t>
            </w:r>
            <w:r>
              <w:rPr>
                <w:rFonts w:hint="eastAsia"/>
                <w:b w:val="0"/>
                <w:bCs w:val="0"/>
                <w:color w:val="auto"/>
              </w:rPr>
              <w:t>m</w:t>
            </w:r>
            <w:r>
              <w:rPr>
                <w:rFonts w:hint="eastAsia"/>
                <w:b w:val="0"/>
                <w:bCs w:val="0"/>
                <w:color w:val="auto"/>
                <w:vertAlign w:val="superscript"/>
              </w:rPr>
              <w:t>2</w:t>
            </w:r>
            <w:r>
              <w:rPr>
                <w:rFonts w:hint="eastAsia"/>
                <w:b w:val="0"/>
                <w:bCs w:val="0"/>
                <w:color w:val="auto"/>
              </w:rPr>
              <w:t>）</w:t>
            </w:r>
            <w:r>
              <w:rPr>
                <w:rFonts w:hint="eastAsia"/>
                <w:b w:val="0"/>
                <w:bCs w:val="0"/>
                <w:color w:val="auto"/>
                <w:u w:val="none"/>
              </w:rPr>
              <w:t>，</w:t>
            </w:r>
            <w:r>
              <w:rPr>
                <w:rFonts w:hint="eastAsia"/>
                <w:color w:val="auto"/>
              </w:rPr>
              <w:t>定期交由有资质的单位进行处置</w:t>
            </w:r>
          </w:p>
        </w:tc>
        <w:tc>
          <w:tcPr>
            <w:tcW w:w="1860" w:type="pct"/>
            <w:vMerge w:val="continue"/>
            <w:vAlign w:val="center"/>
          </w:tcPr>
          <w:p w14:paraId="27AAF419">
            <w:pPr>
              <w:pStyle w:val="182"/>
              <w:bidi w:val="0"/>
              <w:rPr>
                <w:color w:val="auto"/>
              </w:rPr>
            </w:pPr>
          </w:p>
        </w:tc>
      </w:tr>
      <w:tr w14:paraId="1E99B9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Merge w:val="continue"/>
            <w:vAlign w:val="center"/>
          </w:tcPr>
          <w:p w14:paraId="1DE9BF32">
            <w:pPr>
              <w:pStyle w:val="182"/>
              <w:bidi w:val="0"/>
              <w:rPr>
                <w:color w:val="auto"/>
              </w:rPr>
            </w:pPr>
          </w:p>
        </w:tc>
        <w:tc>
          <w:tcPr>
            <w:tcW w:w="644" w:type="pct"/>
            <w:vAlign w:val="center"/>
          </w:tcPr>
          <w:p w14:paraId="648A40FE">
            <w:pPr>
              <w:pStyle w:val="182"/>
              <w:bidi w:val="0"/>
              <w:ind w:firstLine="0" w:firstLineChars="0"/>
              <w:rPr>
                <w:rFonts w:hint="eastAsia"/>
                <w:b w:val="0"/>
                <w:bCs w:val="0"/>
                <w:color w:val="auto"/>
                <w:u w:val="none"/>
                <w:lang w:val="en-US" w:eastAsia="zh-CN"/>
              </w:rPr>
            </w:pPr>
            <w:r>
              <w:rPr>
                <w:rFonts w:hint="eastAsia"/>
                <w:color w:val="auto"/>
                <w:lang w:val="en-US" w:eastAsia="zh-CN"/>
              </w:rPr>
              <w:t>废活性炭</w:t>
            </w:r>
          </w:p>
        </w:tc>
        <w:tc>
          <w:tcPr>
            <w:tcW w:w="2077" w:type="pct"/>
            <w:vAlign w:val="center"/>
          </w:tcPr>
          <w:p w14:paraId="69CBC709">
            <w:pPr>
              <w:pStyle w:val="182"/>
              <w:bidi w:val="0"/>
              <w:ind w:firstLine="0" w:firstLineChars="0"/>
              <w:rPr>
                <w:rFonts w:hint="eastAsia"/>
                <w:b w:val="0"/>
                <w:bCs w:val="0"/>
                <w:color w:val="auto"/>
                <w:u w:val="none"/>
                <w:lang w:val="en-US" w:eastAsia="zh-CN"/>
              </w:rPr>
            </w:pPr>
            <w:r>
              <w:rPr>
                <w:rFonts w:hint="eastAsia"/>
                <w:color w:val="auto"/>
                <w:lang w:eastAsia="zh-CN"/>
              </w:rPr>
              <w:t>依托</w:t>
            </w:r>
            <w:r>
              <w:rPr>
                <w:rFonts w:hint="eastAsia"/>
                <w:b w:val="0"/>
                <w:bCs w:val="0"/>
                <w:color w:val="auto"/>
                <w:lang w:val="en-US" w:eastAsia="zh-CN"/>
              </w:rPr>
              <w:t>现有</w:t>
            </w:r>
            <w:r>
              <w:rPr>
                <w:rFonts w:hint="eastAsia"/>
                <w:color w:val="auto"/>
              </w:rPr>
              <w:t>TS003危险废物暂存间</w:t>
            </w:r>
            <w:r>
              <w:rPr>
                <w:rFonts w:hint="eastAsia"/>
                <w:b w:val="0"/>
                <w:bCs w:val="0"/>
                <w:color w:val="auto"/>
              </w:rPr>
              <w:t>（</w:t>
            </w:r>
            <w:r>
              <w:rPr>
                <w:rFonts w:hint="eastAsia"/>
                <w:b w:val="0"/>
                <w:bCs w:val="0"/>
                <w:color w:val="auto"/>
                <w:lang w:val="en-US" w:eastAsia="zh-CN"/>
              </w:rPr>
              <w:t>264</w:t>
            </w:r>
            <w:r>
              <w:rPr>
                <w:rFonts w:hint="eastAsia"/>
                <w:b w:val="0"/>
                <w:bCs w:val="0"/>
                <w:color w:val="auto"/>
              </w:rPr>
              <w:t>m</w:t>
            </w:r>
            <w:r>
              <w:rPr>
                <w:rFonts w:hint="eastAsia"/>
                <w:b w:val="0"/>
                <w:bCs w:val="0"/>
                <w:color w:val="auto"/>
                <w:vertAlign w:val="superscript"/>
              </w:rPr>
              <w:t>2</w:t>
            </w:r>
            <w:r>
              <w:rPr>
                <w:rFonts w:hint="eastAsia"/>
                <w:b w:val="0"/>
                <w:bCs w:val="0"/>
                <w:color w:val="auto"/>
              </w:rPr>
              <w:t>）</w:t>
            </w:r>
            <w:r>
              <w:rPr>
                <w:rFonts w:hint="eastAsia"/>
                <w:b w:val="0"/>
                <w:bCs w:val="0"/>
                <w:color w:val="auto"/>
                <w:u w:val="none"/>
              </w:rPr>
              <w:t>，</w:t>
            </w:r>
            <w:r>
              <w:rPr>
                <w:rFonts w:hint="eastAsia"/>
                <w:color w:val="auto"/>
              </w:rPr>
              <w:t>定期交由有资质的单位进行处置</w:t>
            </w:r>
          </w:p>
        </w:tc>
        <w:tc>
          <w:tcPr>
            <w:tcW w:w="1860" w:type="pct"/>
            <w:vMerge w:val="continue"/>
            <w:vAlign w:val="center"/>
          </w:tcPr>
          <w:p w14:paraId="269E0F62">
            <w:pPr>
              <w:pStyle w:val="182"/>
              <w:bidi w:val="0"/>
              <w:rPr>
                <w:color w:val="auto"/>
              </w:rPr>
            </w:pPr>
          </w:p>
        </w:tc>
      </w:tr>
      <w:tr w14:paraId="7A2CCB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vAlign w:val="center"/>
          </w:tcPr>
          <w:p w14:paraId="1ECEB279">
            <w:pPr>
              <w:pStyle w:val="182"/>
              <w:bidi w:val="0"/>
              <w:rPr>
                <w:color w:val="auto"/>
              </w:rPr>
            </w:pPr>
            <w:r>
              <w:rPr>
                <w:color w:val="auto"/>
              </w:rPr>
              <w:t>噪声</w:t>
            </w:r>
          </w:p>
        </w:tc>
        <w:tc>
          <w:tcPr>
            <w:tcW w:w="644" w:type="pct"/>
            <w:vAlign w:val="center"/>
          </w:tcPr>
          <w:p w14:paraId="7DFD4C53">
            <w:pPr>
              <w:pStyle w:val="182"/>
              <w:bidi w:val="0"/>
              <w:rPr>
                <w:color w:val="auto"/>
              </w:rPr>
            </w:pPr>
            <w:r>
              <w:rPr>
                <w:color w:val="auto"/>
              </w:rPr>
              <w:t>设备噪声</w:t>
            </w:r>
          </w:p>
        </w:tc>
        <w:tc>
          <w:tcPr>
            <w:tcW w:w="2077" w:type="pct"/>
            <w:vAlign w:val="center"/>
          </w:tcPr>
          <w:p w14:paraId="101FD5FF">
            <w:pPr>
              <w:pStyle w:val="182"/>
              <w:bidi w:val="0"/>
              <w:rPr>
                <w:color w:val="auto"/>
              </w:rPr>
            </w:pPr>
            <w:r>
              <w:rPr>
                <w:rFonts w:hint="eastAsia"/>
                <w:color w:val="auto"/>
              </w:rPr>
              <w:t>减振、隔音设施</w:t>
            </w:r>
          </w:p>
        </w:tc>
        <w:tc>
          <w:tcPr>
            <w:tcW w:w="1860" w:type="pct"/>
            <w:vAlign w:val="center"/>
          </w:tcPr>
          <w:p w14:paraId="2F7345BC">
            <w:pPr>
              <w:pStyle w:val="182"/>
              <w:bidi w:val="0"/>
              <w:rPr>
                <w:color w:val="auto"/>
              </w:rPr>
            </w:pPr>
            <w:r>
              <w:rPr>
                <w:rFonts w:hint="eastAsia"/>
                <w:color w:val="auto"/>
              </w:rPr>
              <w:t>《工业企业厂界环境噪声排放标准》（</w:t>
            </w:r>
            <w:r>
              <w:rPr>
                <w:color w:val="auto"/>
              </w:rPr>
              <w:t>GB12348-2008</w:t>
            </w:r>
            <w:r>
              <w:rPr>
                <w:rFonts w:hint="eastAsia"/>
                <w:color w:val="auto"/>
              </w:rPr>
              <w:t>）3类</w:t>
            </w:r>
          </w:p>
        </w:tc>
      </w:tr>
      <w:tr w14:paraId="5FDF04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gridSpan w:val="2"/>
            <w:vAlign w:val="center"/>
          </w:tcPr>
          <w:p w14:paraId="70243C60">
            <w:pPr>
              <w:pStyle w:val="182"/>
              <w:bidi w:val="0"/>
              <w:rPr>
                <w:color w:val="auto"/>
              </w:rPr>
            </w:pPr>
            <w:r>
              <w:rPr>
                <w:rFonts w:hint="eastAsia"/>
                <w:color w:val="auto"/>
              </w:rPr>
              <w:t>地下水防护措施</w:t>
            </w:r>
          </w:p>
        </w:tc>
        <w:tc>
          <w:tcPr>
            <w:tcW w:w="2077" w:type="pct"/>
            <w:vAlign w:val="center"/>
          </w:tcPr>
          <w:p w14:paraId="6BCA333C">
            <w:pPr>
              <w:pStyle w:val="182"/>
              <w:bidi w:val="0"/>
              <w:rPr>
                <w:color w:val="auto"/>
              </w:rPr>
            </w:pPr>
            <w:r>
              <w:rPr>
                <w:rFonts w:hint="eastAsia"/>
                <w:color w:val="auto"/>
              </w:rPr>
              <w:t>对生产车间、废污水收集管道，一般固废全密闭暂存间和危险固废全密闭暂存间，按设计要求分区进行防渗。</w:t>
            </w:r>
          </w:p>
        </w:tc>
        <w:tc>
          <w:tcPr>
            <w:tcW w:w="1860" w:type="pct"/>
            <w:vAlign w:val="center"/>
          </w:tcPr>
          <w:p w14:paraId="5B4BE074">
            <w:pPr>
              <w:pStyle w:val="182"/>
              <w:bidi w:val="0"/>
              <w:rPr>
                <w:color w:val="auto"/>
              </w:rPr>
            </w:pPr>
            <w:r>
              <w:rPr>
                <w:rFonts w:hint="eastAsia"/>
                <w:color w:val="auto"/>
              </w:rPr>
              <w:t>/</w:t>
            </w:r>
          </w:p>
        </w:tc>
      </w:tr>
      <w:tr w14:paraId="76BD17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gridSpan w:val="2"/>
            <w:vAlign w:val="center"/>
          </w:tcPr>
          <w:p w14:paraId="503D9DCE">
            <w:pPr>
              <w:pStyle w:val="182"/>
              <w:bidi w:val="0"/>
              <w:rPr>
                <w:color w:val="auto"/>
              </w:rPr>
            </w:pPr>
            <w:r>
              <w:rPr>
                <w:rFonts w:hint="eastAsia"/>
                <w:color w:val="auto"/>
              </w:rPr>
              <w:t>风险防范措施</w:t>
            </w:r>
          </w:p>
        </w:tc>
        <w:tc>
          <w:tcPr>
            <w:tcW w:w="2077" w:type="pct"/>
            <w:vAlign w:val="center"/>
          </w:tcPr>
          <w:p w14:paraId="7AC1C0C5">
            <w:pPr>
              <w:pStyle w:val="182"/>
              <w:bidi w:val="0"/>
              <w:rPr>
                <w:color w:val="auto"/>
              </w:rPr>
            </w:pPr>
            <w:r>
              <w:rPr>
                <w:rFonts w:hint="eastAsia"/>
                <w:color w:val="auto"/>
              </w:rPr>
              <w:t>1、加强运行管理和应急措施建设管理；</w:t>
            </w:r>
          </w:p>
          <w:p w14:paraId="2AD2071E">
            <w:pPr>
              <w:pStyle w:val="182"/>
              <w:bidi w:val="0"/>
              <w:rPr>
                <w:color w:val="auto"/>
              </w:rPr>
            </w:pPr>
            <w:r>
              <w:rPr>
                <w:rFonts w:hint="eastAsia"/>
                <w:color w:val="auto"/>
              </w:rPr>
              <w:t>2、依托现有事故应急废水收集池，拦截措施等。</w:t>
            </w:r>
          </w:p>
          <w:p w14:paraId="192E8014">
            <w:pPr>
              <w:pStyle w:val="182"/>
              <w:bidi w:val="0"/>
              <w:rPr>
                <w:color w:val="auto"/>
              </w:rPr>
            </w:pPr>
            <w:r>
              <w:rPr>
                <w:rFonts w:hint="eastAsia"/>
                <w:color w:val="auto"/>
              </w:rPr>
              <w:t>3、依托应急救援器材、</w:t>
            </w:r>
            <w:r>
              <w:rPr>
                <w:rFonts w:hint="eastAsia"/>
                <w:color w:val="auto"/>
                <w:lang w:eastAsia="zh-CN"/>
              </w:rPr>
              <w:t>检测</w:t>
            </w:r>
            <w:r>
              <w:rPr>
                <w:rFonts w:hint="eastAsia"/>
                <w:color w:val="auto"/>
              </w:rPr>
              <w:t>仪器；定期进行安全教育培训、事故应急演练。</w:t>
            </w:r>
          </w:p>
        </w:tc>
        <w:tc>
          <w:tcPr>
            <w:tcW w:w="1860" w:type="pct"/>
            <w:vAlign w:val="center"/>
          </w:tcPr>
          <w:p w14:paraId="721A1EB7">
            <w:pPr>
              <w:pStyle w:val="182"/>
              <w:bidi w:val="0"/>
              <w:rPr>
                <w:color w:val="auto"/>
              </w:rPr>
            </w:pPr>
            <w:r>
              <w:rPr>
                <w:rFonts w:hint="eastAsia"/>
                <w:color w:val="auto"/>
              </w:rPr>
              <w:t>/</w:t>
            </w:r>
          </w:p>
        </w:tc>
      </w:tr>
      <w:tr w14:paraId="207685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gridSpan w:val="2"/>
            <w:vAlign w:val="center"/>
          </w:tcPr>
          <w:p w14:paraId="417BA532">
            <w:pPr>
              <w:pStyle w:val="182"/>
              <w:bidi w:val="0"/>
              <w:rPr>
                <w:color w:val="auto"/>
              </w:rPr>
            </w:pPr>
            <w:r>
              <w:rPr>
                <w:rFonts w:hint="eastAsia"/>
                <w:color w:val="auto"/>
              </w:rPr>
              <w:t>厂区绿化</w:t>
            </w:r>
          </w:p>
        </w:tc>
        <w:tc>
          <w:tcPr>
            <w:tcW w:w="2077" w:type="pct"/>
            <w:vAlign w:val="center"/>
          </w:tcPr>
          <w:p w14:paraId="3EB26097">
            <w:pPr>
              <w:pStyle w:val="182"/>
              <w:bidi w:val="0"/>
              <w:rPr>
                <w:color w:val="auto"/>
              </w:rPr>
            </w:pPr>
            <w:r>
              <w:rPr>
                <w:rFonts w:hint="eastAsia"/>
                <w:color w:val="auto"/>
              </w:rPr>
              <w:t>植树、种草</w:t>
            </w:r>
          </w:p>
        </w:tc>
        <w:tc>
          <w:tcPr>
            <w:tcW w:w="1860" w:type="pct"/>
            <w:vAlign w:val="center"/>
          </w:tcPr>
          <w:p w14:paraId="485C4B17">
            <w:pPr>
              <w:pStyle w:val="182"/>
              <w:bidi w:val="0"/>
              <w:rPr>
                <w:color w:val="auto"/>
              </w:rPr>
            </w:pPr>
            <w:r>
              <w:rPr>
                <w:rFonts w:hint="eastAsia"/>
                <w:color w:val="auto"/>
              </w:rPr>
              <w:t>/</w:t>
            </w:r>
          </w:p>
        </w:tc>
      </w:tr>
    </w:tbl>
    <w:p w14:paraId="48A6A213">
      <w:pPr>
        <w:spacing w:line="520" w:lineRule="exact"/>
        <w:ind w:firstLine="480" w:firstLineChars="200"/>
        <w:rPr>
          <w:color w:val="auto"/>
        </w:rPr>
      </w:pPr>
      <w:r>
        <w:rPr>
          <w:rFonts w:hint="eastAsia"/>
          <w:color w:val="auto"/>
        </w:rPr>
        <w:t>综上，评价认为项目在采取工程设计和评价提出的废气、废水、噪声、固废污染防治措施后，废气、废水污染物均能做到稳定达标排放，噪声污染做到有效控制，固废全部综合利用和合理处置，措施可行。</w:t>
      </w:r>
    </w:p>
    <w:p w14:paraId="3A59ADA1">
      <w:pPr>
        <w:bidi w:val="0"/>
        <w:rPr>
          <w:rFonts w:hint="eastAsia" w:eastAsia="宋体"/>
          <w:b w:val="0"/>
          <w:bCs w:val="0"/>
          <w:highlight w:val="none"/>
          <w:u w:val="none"/>
          <w:lang w:eastAsia="zh-CN"/>
        </w:rPr>
      </w:pPr>
    </w:p>
    <w:p w14:paraId="6A7D6D95">
      <w:pPr>
        <w:bidi w:val="0"/>
        <w:rPr>
          <w:rFonts w:hint="eastAsia"/>
        </w:rPr>
        <w:sectPr>
          <w:headerReference r:id="rId18" w:type="default"/>
          <w:footerReference r:id="rId19" w:type="default"/>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14:paraId="5C36CEAF">
      <w:pPr>
        <w:pStyle w:val="2"/>
        <w:bidi w:val="0"/>
        <w:rPr>
          <w:color w:val="auto"/>
        </w:rPr>
      </w:pPr>
      <w:bookmarkStart w:id="298" w:name="_Toc67041074"/>
      <w:bookmarkStart w:id="299" w:name="_Toc30165660"/>
      <w:bookmarkStart w:id="300" w:name="_Toc32595"/>
      <w:bookmarkStart w:id="301" w:name="_Toc24960"/>
      <w:bookmarkStart w:id="302" w:name="_Toc21620"/>
      <w:r>
        <w:rPr>
          <w:color w:val="auto"/>
        </w:rPr>
        <w:t>环境影响经济损益分析</w:t>
      </w:r>
      <w:bookmarkEnd w:id="298"/>
      <w:bookmarkEnd w:id="299"/>
      <w:bookmarkEnd w:id="300"/>
      <w:bookmarkEnd w:id="301"/>
      <w:bookmarkEnd w:id="302"/>
    </w:p>
    <w:p w14:paraId="3EC67D57">
      <w:pPr>
        <w:pStyle w:val="3"/>
        <w:bidi w:val="0"/>
        <w:rPr>
          <w:color w:val="auto"/>
        </w:rPr>
      </w:pPr>
      <w:bookmarkStart w:id="303" w:name="_Toc2534"/>
      <w:r>
        <w:rPr>
          <w:rFonts w:hint="eastAsia"/>
          <w:color w:val="auto"/>
          <w:lang w:val="en-US" w:eastAsia="zh-CN"/>
        </w:rPr>
        <w:t>环境经济损益分析的目的</w:t>
      </w:r>
      <w:bookmarkEnd w:id="303"/>
    </w:p>
    <w:p w14:paraId="5ACE0E1A">
      <w:pPr>
        <w:bidi w:val="0"/>
        <w:rPr>
          <w:rFonts w:hint="eastAsia"/>
          <w:color w:val="auto"/>
        </w:rPr>
      </w:pPr>
      <w:r>
        <w:rPr>
          <w:rFonts w:hint="eastAsia"/>
          <w:color w:val="auto"/>
        </w:rPr>
        <w:t>《中华人民共和国环境影响评价法》规定，要对项目的环境影响进行经济损益分析，本次评价通过对工程建设的社会效益、经济效益和环境效益进行分析，揭示三者之间依存关系，综合评价其社会，经济及环境效益，整体评价项目环境措施的合理性，确定适当的环保投资，为工程建设和项目决策提供依据，为企业的长远发展及社会整体协调起到积极作用。</w:t>
      </w:r>
    </w:p>
    <w:p w14:paraId="4BFD78A6">
      <w:pPr>
        <w:bidi w:val="0"/>
        <w:rPr>
          <w:rFonts w:hint="eastAsia"/>
          <w:color w:val="auto"/>
        </w:rPr>
      </w:pPr>
      <w:bookmarkStart w:id="304" w:name="_Toc29125"/>
      <w:r>
        <w:rPr>
          <w:rFonts w:hint="eastAsia"/>
          <w:color w:val="auto"/>
        </w:rPr>
        <w:t>环境经济损益分析是建设项目环境影响评价的一个重要组成部分，它是综合评价判断建设项目的环保投资是否能够补偿或多大程度上补偿了由此可能造成的环境损失的重要依据。环境经济损益分析采用定量、定性分析相结合的方式，综合评价建设项目的社会效益和环境效益，并重点对项目环境保护措施效益进行分析论证，从而评价整个项目实施后对环境的总体影响及环保措施方案的经济合理性，为项目建设提供可靠依据。</w:t>
      </w:r>
      <w:bookmarkEnd w:id="304"/>
    </w:p>
    <w:p w14:paraId="50988101">
      <w:pPr>
        <w:pStyle w:val="3"/>
        <w:bidi w:val="0"/>
        <w:rPr>
          <w:color w:val="auto"/>
        </w:rPr>
      </w:pPr>
      <w:bookmarkStart w:id="305" w:name="_Toc20812"/>
      <w:r>
        <w:rPr>
          <w:rFonts w:hint="eastAsia"/>
          <w:color w:val="auto"/>
          <w:lang w:val="en-US" w:eastAsia="zh-CN"/>
        </w:rPr>
        <w:t>工程社会效益分析</w:t>
      </w:r>
      <w:bookmarkEnd w:id="305"/>
    </w:p>
    <w:p w14:paraId="73829C0D">
      <w:pPr>
        <w:bidi w:val="0"/>
        <w:rPr>
          <w:rFonts w:hint="eastAsia"/>
          <w:color w:val="auto"/>
        </w:rPr>
      </w:pPr>
      <w:r>
        <w:rPr>
          <w:rFonts w:hint="eastAsia"/>
          <w:color w:val="auto"/>
        </w:rPr>
        <w:t>本次项目建设完成后，根据本项目环境影响预测结果，本次项目运行后对环境影响包括两方面具体体现在以下几个方面：</w:t>
      </w:r>
    </w:p>
    <w:p w14:paraId="11B89519">
      <w:pPr>
        <w:bidi w:val="0"/>
        <w:rPr>
          <w:rFonts w:hint="eastAsia"/>
          <w:color w:val="auto"/>
        </w:rPr>
      </w:pPr>
      <w:r>
        <w:rPr>
          <w:rFonts w:hint="eastAsia"/>
          <w:color w:val="auto"/>
        </w:rPr>
        <w:t>①本项目的建设，在为企业创造经济效益的同时，还可增加当地财政收入，带动当地经济发展和产业结构调整。</w:t>
      </w:r>
    </w:p>
    <w:p w14:paraId="7F312513">
      <w:pPr>
        <w:bidi w:val="0"/>
        <w:rPr>
          <w:rFonts w:hint="eastAsia"/>
          <w:color w:val="auto"/>
        </w:rPr>
      </w:pPr>
      <w:r>
        <w:rPr>
          <w:rFonts w:hint="eastAsia"/>
          <w:color w:val="auto"/>
        </w:rPr>
        <w:t>②项目投产后，公司既满足了市场需求，又为当地经济发展做出了贡献；还能拉动了周边相关产业的发展，对当地的社会经济发展起到积极作用；生产需要各种辅助原料，以及产品的流通，可带动和促进当地相应的工业、交通运输业的发展，更能促进区域经济多方面的交流发展。因此，项目的建设社会效益显著。</w:t>
      </w:r>
    </w:p>
    <w:p w14:paraId="18509EEA">
      <w:pPr>
        <w:bidi w:val="0"/>
        <w:rPr>
          <w:rFonts w:hint="eastAsia"/>
          <w:color w:val="auto"/>
        </w:rPr>
      </w:pPr>
      <w:r>
        <w:rPr>
          <w:rFonts w:hint="eastAsia"/>
          <w:color w:val="auto"/>
        </w:rPr>
        <w:t>③工程的建设可稳固当地居民的就业需求，同时促进社会的稳定发展，增加当地居民收入，提高居民的整体生活水平，有利于社会的安定，为企业的发展提供良好的群众基础。</w:t>
      </w:r>
    </w:p>
    <w:p w14:paraId="2256E332">
      <w:pPr>
        <w:bidi w:val="0"/>
        <w:rPr>
          <w:rFonts w:hint="eastAsia"/>
          <w:color w:val="auto"/>
        </w:rPr>
      </w:pPr>
      <w:r>
        <w:rPr>
          <w:rFonts w:hint="eastAsia"/>
          <w:color w:val="auto"/>
        </w:rPr>
        <w:t>综上所述，项目的建设可有效地促进当地社会和经济的协调发展，具有良好的社会效益。</w:t>
      </w:r>
    </w:p>
    <w:p w14:paraId="36564E27">
      <w:pPr>
        <w:pStyle w:val="3"/>
        <w:bidi w:val="0"/>
        <w:rPr>
          <w:rFonts w:hint="default" w:eastAsia="宋体"/>
          <w:color w:val="auto"/>
          <w:lang w:val="en-US" w:eastAsia="zh-CN"/>
        </w:rPr>
      </w:pPr>
      <w:bookmarkStart w:id="306" w:name="_Toc5913"/>
      <w:r>
        <w:rPr>
          <w:rFonts w:hint="eastAsia"/>
          <w:color w:val="auto"/>
          <w:lang w:val="en-US" w:eastAsia="zh-CN"/>
        </w:rPr>
        <w:t>工程环境效益分析</w:t>
      </w:r>
      <w:bookmarkEnd w:id="306"/>
    </w:p>
    <w:p w14:paraId="1D70E9E6">
      <w:pPr>
        <w:bidi w:val="0"/>
        <w:rPr>
          <w:rFonts w:hint="eastAsia"/>
          <w:color w:val="auto"/>
        </w:rPr>
      </w:pPr>
      <w:r>
        <w:rPr>
          <w:rFonts w:hint="eastAsia"/>
          <w:color w:val="auto"/>
        </w:rPr>
        <w:t>本项目在生产过程中会产生废气、废水，本工程废水废气均采取可行的处理措施，实现了污染物的达标排放。</w:t>
      </w:r>
    </w:p>
    <w:p w14:paraId="19DC1A79">
      <w:pPr>
        <w:bidi w:val="0"/>
        <w:rPr>
          <w:rFonts w:hint="eastAsia"/>
          <w:color w:val="auto"/>
        </w:rPr>
      </w:pPr>
      <w:r>
        <w:rPr>
          <w:rFonts w:hint="eastAsia"/>
          <w:color w:val="auto"/>
        </w:rPr>
        <w:t>项目主要污染物COD、氨氮、颗粒物实行区域总量替代，因此项目不会影响区域地表水环境质量、环境空气质量改善目标的实现。</w:t>
      </w:r>
    </w:p>
    <w:p w14:paraId="5AE773A9">
      <w:pPr>
        <w:bidi w:val="0"/>
        <w:rPr>
          <w:rFonts w:hint="eastAsia"/>
          <w:color w:val="auto"/>
        </w:rPr>
      </w:pPr>
      <w:r>
        <w:rPr>
          <w:rFonts w:hint="eastAsia"/>
          <w:color w:val="auto"/>
        </w:rPr>
        <w:t>虽然本项目采用了先进的技术和生产装置，并采取了可靠有效的环保措施，确保了污染物达标排放，最大限度减少了污染物的排放量，但每年仍然向环境中排放一定的污染物。根据评价的预测结果，这些污染物虽然不会对评价区域产生明显的不利影响，但其潜在的负面影响是不可避免的，负面的影响具有累积效应，负面影响对环境造成的累积影响将会或多或少地对周边环境及居民产生一定的危害，因此，该项目对环境的影响还需要长期的监测和关注。</w:t>
      </w:r>
    </w:p>
    <w:p w14:paraId="0488F2A3">
      <w:pPr>
        <w:bidi w:val="0"/>
        <w:rPr>
          <w:color w:val="auto"/>
        </w:rPr>
      </w:pPr>
    </w:p>
    <w:p w14:paraId="47644B76">
      <w:pPr>
        <w:bidi w:val="0"/>
        <w:rPr>
          <w:color w:val="auto"/>
        </w:rPr>
      </w:pPr>
    </w:p>
    <w:p w14:paraId="3C7131B1">
      <w:pPr>
        <w:bidi w:val="0"/>
        <w:rPr>
          <w:color w:val="auto"/>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14:paraId="52EB1670">
      <w:pPr>
        <w:pStyle w:val="2"/>
        <w:bidi w:val="0"/>
        <w:rPr>
          <w:color w:val="auto"/>
        </w:rPr>
      </w:pPr>
      <w:bookmarkStart w:id="307" w:name="_Toc15691"/>
      <w:bookmarkStart w:id="308" w:name="_Toc14373"/>
      <w:bookmarkStart w:id="309" w:name="_Toc21304"/>
      <w:bookmarkStart w:id="310" w:name="_Toc67041078"/>
      <w:r>
        <w:rPr>
          <w:color w:val="auto"/>
        </w:rPr>
        <w:t>环境管理</w:t>
      </w:r>
      <w:r>
        <w:rPr>
          <w:rFonts w:hint="eastAsia"/>
          <w:color w:val="auto"/>
        </w:rPr>
        <w:t>与</w:t>
      </w:r>
      <w:r>
        <w:rPr>
          <w:color w:val="auto"/>
        </w:rPr>
        <w:t>监测计划</w:t>
      </w:r>
      <w:bookmarkEnd w:id="307"/>
      <w:bookmarkEnd w:id="308"/>
      <w:bookmarkEnd w:id="309"/>
      <w:bookmarkEnd w:id="310"/>
    </w:p>
    <w:p w14:paraId="04E2D1D3">
      <w:pPr>
        <w:pStyle w:val="3"/>
        <w:bidi w:val="0"/>
        <w:rPr>
          <w:color w:val="auto"/>
        </w:rPr>
      </w:pPr>
      <w:bookmarkStart w:id="311" w:name="_Toc27224"/>
      <w:bookmarkStart w:id="312" w:name="_Toc2939"/>
      <w:bookmarkStart w:id="313" w:name="_Toc20854"/>
      <w:bookmarkStart w:id="314" w:name="_Toc30165665"/>
      <w:bookmarkStart w:id="315" w:name="_Toc104860209"/>
      <w:bookmarkStart w:id="316" w:name="_Toc2920"/>
      <w:bookmarkStart w:id="317" w:name="_Toc311812691"/>
      <w:bookmarkStart w:id="318" w:name="_Toc510512230"/>
      <w:bookmarkStart w:id="319" w:name="_Toc4832214"/>
      <w:bookmarkStart w:id="320" w:name="_Toc67041079"/>
      <w:bookmarkStart w:id="321" w:name="_Toc22246"/>
      <w:bookmarkStart w:id="322" w:name="_Toc13027"/>
      <w:bookmarkStart w:id="323" w:name="_Toc324839659"/>
      <w:bookmarkStart w:id="324" w:name="_Toc489346016"/>
      <w:bookmarkStart w:id="325" w:name="_Toc4158"/>
      <w:bookmarkStart w:id="326" w:name="_Toc25288"/>
      <w:bookmarkStart w:id="327" w:name="_Toc4563"/>
      <w:bookmarkStart w:id="328" w:name="_Toc324839376"/>
      <w:r>
        <w:rPr>
          <w:rFonts w:hint="eastAsia"/>
          <w:color w:val="auto"/>
        </w:rPr>
        <w:t>环境管理</w:t>
      </w:r>
      <w:bookmarkEnd w:id="311"/>
    </w:p>
    <w:p w14:paraId="215ADBCA">
      <w:pPr>
        <w:bidi w:val="0"/>
        <w:rPr>
          <w:color w:val="auto"/>
        </w:rPr>
      </w:pPr>
      <w:r>
        <w:rPr>
          <w:rFonts w:hint="eastAsia"/>
          <w:color w:val="auto"/>
        </w:rPr>
        <w:t>环境管理是企业管理中的一项重要内容，加大环境管理力度是实现企业环境效益、社会效益协调发展和走可持续发展道路的重要措施，是企业生存和发展的重要保障之一，环境监测是工业污染防治的依据和环境管理的基础，加强污染监控工作是了解和掌握排污特征、研究污染发展趋势、开展环保技术研究和综合利用能源的有效途径。随着人民生活水平的不断提高和环保意识的不断增强，对于建设项目所引起的环境质量影响日益受到普遍关注，这就要求企业领导者能够及时地掌握本企业的生产和排污状况，制定并落实严格的环境管理与监控计划，</w:t>
      </w:r>
      <w:r>
        <w:rPr>
          <w:rFonts w:hint="eastAsia"/>
          <w:color w:val="auto"/>
          <w:lang w:eastAsia="zh-CN"/>
        </w:rPr>
        <w:t>最大限度地减少</w:t>
      </w:r>
      <w:r>
        <w:rPr>
          <w:rFonts w:hint="eastAsia"/>
          <w:color w:val="auto"/>
        </w:rPr>
        <w:t>污染物的产生与排放。</w:t>
      </w:r>
    </w:p>
    <w:p w14:paraId="3989DCD9">
      <w:pPr>
        <w:pStyle w:val="5"/>
        <w:bidi w:val="0"/>
        <w:rPr>
          <w:color w:val="auto"/>
        </w:rPr>
      </w:pPr>
      <w:r>
        <w:rPr>
          <w:rFonts w:hint="eastAsia"/>
          <w:color w:val="auto"/>
        </w:rPr>
        <w:t>环境管理的原则</w:t>
      </w:r>
    </w:p>
    <w:p w14:paraId="4BE5D540">
      <w:pPr>
        <w:bidi w:val="0"/>
        <w:rPr>
          <w:color w:val="auto"/>
        </w:rPr>
      </w:pPr>
      <w:r>
        <w:rPr>
          <w:rFonts w:hint="eastAsia"/>
          <w:color w:val="auto"/>
        </w:rPr>
        <w:t>根据工程特点及国家环境保护发展要求，环境管理应遵循如下原则：</w:t>
      </w:r>
    </w:p>
    <w:p w14:paraId="6BE9E822">
      <w:pPr>
        <w:bidi w:val="0"/>
        <w:rPr>
          <w:color w:val="auto"/>
        </w:rPr>
      </w:pPr>
      <w:r>
        <w:rPr>
          <w:rFonts w:hint="eastAsia"/>
          <w:color w:val="auto"/>
        </w:rPr>
        <w:t>①经济、社会和环境三效益统一，坚持可持续发展的原则。</w:t>
      </w:r>
    </w:p>
    <w:p w14:paraId="7F7B4A2F">
      <w:pPr>
        <w:bidi w:val="0"/>
        <w:rPr>
          <w:color w:val="auto"/>
        </w:rPr>
      </w:pPr>
      <w:r>
        <w:rPr>
          <w:rFonts w:hint="eastAsia"/>
          <w:color w:val="auto"/>
        </w:rPr>
        <w:t>②预防为主，管治结合的原则。在生产运行过程中，坚持设备“大修大改、小修小改和逢修必改”的环保原则。</w:t>
      </w:r>
    </w:p>
    <w:p w14:paraId="488FA456">
      <w:pPr>
        <w:bidi w:val="0"/>
        <w:rPr>
          <w:color w:val="auto"/>
        </w:rPr>
      </w:pPr>
      <w:r>
        <w:rPr>
          <w:rFonts w:hint="eastAsia"/>
          <w:color w:val="auto"/>
        </w:rPr>
        <w:t>③环保优先的原则。主要工艺设施的改进，新工艺、新技术的采用，企业发展规划的制定，坚持统筹规划、合理布局、清洁生产、集中控制和治理污染。</w:t>
      </w:r>
    </w:p>
    <w:p w14:paraId="63DE1FB8">
      <w:pPr>
        <w:bidi w:val="0"/>
        <w:rPr>
          <w:color w:val="auto"/>
        </w:rPr>
      </w:pPr>
      <w:r>
        <w:rPr>
          <w:rFonts w:hint="eastAsia"/>
          <w:color w:val="auto"/>
        </w:rPr>
        <w:t>④依靠科技进步，推进清洁生产，节能降耗，降低污染的原则。</w:t>
      </w:r>
    </w:p>
    <w:p w14:paraId="3A3BBAA3">
      <w:pPr>
        <w:bidi w:val="0"/>
        <w:rPr>
          <w:color w:val="auto"/>
        </w:rPr>
      </w:pPr>
      <w:r>
        <w:rPr>
          <w:rFonts w:hint="eastAsia"/>
          <w:color w:val="auto"/>
        </w:rPr>
        <w:t>⑤专业环保管理与公众参与相结合的原则。加强环保宣传，提高全体员工的环保意识，推动本工程的环境保护工作。</w:t>
      </w:r>
    </w:p>
    <w:p w14:paraId="14A437A3">
      <w:pPr>
        <w:pStyle w:val="5"/>
        <w:bidi w:val="0"/>
        <w:rPr>
          <w:color w:val="auto"/>
        </w:rPr>
      </w:pPr>
      <w:r>
        <w:rPr>
          <w:rFonts w:hint="eastAsia"/>
          <w:color w:val="auto"/>
        </w:rPr>
        <w:t>环境管理体制</w:t>
      </w:r>
    </w:p>
    <w:p w14:paraId="6CF86101">
      <w:pPr>
        <w:bidi w:val="0"/>
        <w:rPr>
          <w:color w:val="auto"/>
        </w:rPr>
      </w:pPr>
      <w:r>
        <w:rPr>
          <w:rFonts w:hint="eastAsia"/>
          <w:color w:val="auto"/>
        </w:rPr>
        <w:t>（1）公司现有环境管理体制</w:t>
      </w:r>
    </w:p>
    <w:p w14:paraId="0DE07AD3">
      <w:pPr>
        <w:bidi w:val="0"/>
        <w:rPr>
          <w:color w:val="auto"/>
        </w:rPr>
      </w:pPr>
      <w:r>
        <w:rPr>
          <w:rFonts w:hint="eastAsia"/>
          <w:color w:val="auto"/>
        </w:rPr>
        <w:t>合理的环境管理体制是保证环境管理能否顺利实施的有力保证。目前，新乡化纤股份有限公司环境保护体系健全，设有安全环保部，配有专职的环境保护管理人员，环保管理组织机构图见图</w:t>
      </w:r>
      <w:r>
        <w:rPr>
          <w:rFonts w:hint="eastAsia"/>
          <w:color w:val="auto"/>
          <w:lang w:val="en-US" w:eastAsia="zh-CN"/>
        </w:rPr>
        <w:t>9</w:t>
      </w:r>
      <w:r>
        <w:rPr>
          <w:color w:val="auto"/>
        </w:rPr>
        <w:t>.1</w:t>
      </w:r>
      <w:r>
        <w:rPr>
          <w:rFonts w:hint="eastAsia"/>
          <w:color w:val="auto"/>
        </w:rPr>
        <w:t>-</w:t>
      </w:r>
      <w:r>
        <w:rPr>
          <w:color w:val="auto"/>
        </w:rPr>
        <w:t>1</w:t>
      </w:r>
      <w:r>
        <w:rPr>
          <w:rFonts w:hint="eastAsia"/>
          <w:color w:val="auto"/>
        </w:rPr>
        <w:t>。</w:t>
      </w:r>
    </w:p>
    <w:p w14:paraId="6A382A5F">
      <w:pPr>
        <w:spacing w:line="240" w:lineRule="auto"/>
        <w:jc w:val="center"/>
        <w:rPr>
          <w:color w:val="auto"/>
        </w:rPr>
      </w:pPr>
      <w:r>
        <w:rPr>
          <w:color w:val="auto"/>
        </w:rPr>
        <w:drawing>
          <wp:inline distT="0" distB="0" distL="0" distR="0">
            <wp:extent cx="4800600" cy="30861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96" cstate="print">
                      <a:extLst>
                        <a:ext uri="{28A0092B-C50C-407E-A947-70E740481C1C}">
                          <a14:useLocalDpi xmlns:a14="http://schemas.microsoft.com/office/drawing/2010/main" val="0"/>
                        </a:ext>
                      </a:extLst>
                    </a:blip>
                    <a:srcRect t="3446" r="1202" b="3456"/>
                    <a:stretch>
                      <a:fillRect/>
                    </a:stretch>
                  </pic:blipFill>
                  <pic:spPr>
                    <a:xfrm>
                      <a:off x="0" y="0"/>
                      <a:ext cx="4801568" cy="3086722"/>
                    </a:xfrm>
                    <a:prstGeom prst="rect">
                      <a:avLst/>
                    </a:prstGeom>
                    <a:noFill/>
                    <a:ln>
                      <a:noFill/>
                    </a:ln>
                  </pic:spPr>
                </pic:pic>
              </a:graphicData>
            </a:graphic>
          </wp:inline>
        </w:drawing>
      </w:r>
    </w:p>
    <w:p w14:paraId="54486DB0">
      <w:pPr>
        <w:pStyle w:val="181"/>
        <w:bidi w:val="0"/>
        <w:ind w:left="0" w:leftChars="0" w:firstLine="0" w:firstLineChars="0"/>
        <w:jc w:val="center"/>
        <w:rPr>
          <w:color w:val="auto"/>
        </w:rPr>
      </w:pPr>
      <w:r>
        <w:rPr>
          <w:rFonts w:hint="eastAsia"/>
          <w:color w:val="auto"/>
        </w:rPr>
        <w:t>图</w:t>
      </w:r>
      <w:r>
        <w:rPr>
          <w:rFonts w:hint="eastAsia"/>
          <w:color w:val="auto"/>
          <w:lang w:val="en-US" w:eastAsia="zh-CN"/>
        </w:rPr>
        <w:t>9</w:t>
      </w:r>
      <w:r>
        <w:rPr>
          <w:color w:val="auto"/>
        </w:rPr>
        <w:t>.1</w:t>
      </w:r>
      <w:r>
        <w:rPr>
          <w:rFonts w:hint="eastAsia"/>
          <w:color w:val="auto"/>
        </w:rPr>
        <w:t xml:space="preserve">-1 </w:t>
      </w:r>
      <w:r>
        <w:rPr>
          <w:color w:val="auto"/>
        </w:rPr>
        <w:t xml:space="preserve"> </w:t>
      </w:r>
      <w:r>
        <w:rPr>
          <w:rFonts w:hint="eastAsia"/>
          <w:color w:val="auto"/>
        </w:rPr>
        <w:t>新乡化纤股份有限公司环境管理体制图</w:t>
      </w:r>
    </w:p>
    <w:p w14:paraId="47EE8E52">
      <w:pPr>
        <w:bidi w:val="0"/>
        <w:rPr>
          <w:color w:val="auto"/>
        </w:rPr>
      </w:pPr>
      <w:r>
        <w:rPr>
          <w:rFonts w:hint="eastAsia"/>
          <w:color w:val="auto"/>
        </w:rPr>
        <w:t>（2）本项目环境管理体制</w:t>
      </w:r>
    </w:p>
    <w:p w14:paraId="58F290F5">
      <w:pPr>
        <w:bidi w:val="0"/>
        <w:rPr>
          <w:color w:val="auto"/>
        </w:rPr>
      </w:pPr>
      <w:r>
        <w:rPr>
          <w:rFonts w:hint="eastAsia"/>
          <w:color w:val="auto"/>
        </w:rPr>
        <w:t>考虑本工程机构设置的情况，评价建议本工程投产运行后实施“总经理—副总经理—各职能科室”三级环境管理体制：</w:t>
      </w:r>
    </w:p>
    <w:p w14:paraId="3BDB0D00">
      <w:pPr>
        <w:bidi w:val="0"/>
        <w:rPr>
          <w:color w:val="auto"/>
        </w:rPr>
      </w:pPr>
      <w:r>
        <w:rPr>
          <w:rFonts w:hint="eastAsia"/>
          <w:color w:val="auto"/>
        </w:rPr>
        <w:t>①总经理作为环境保护工作的领导者，负责全厂的环境保护工作；</w:t>
      </w:r>
    </w:p>
    <w:p w14:paraId="195F6D48">
      <w:pPr>
        <w:bidi w:val="0"/>
        <w:rPr>
          <w:color w:val="auto"/>
        </w:rPr>
      </w:pPr>
      <w:r>
        <w:rPr>
          <w:rFonts w:hint="eastAsia"/>
          <w:color w:val="auto"/>
        </w:rPr>
        <w:t>②在总经理的领导下，由生产副总经理主管本企业的环境保护工作，其他副总经理各自负责分管范围内的环境保护工作，总工程师对企业环保防治技术负领导责任；</w:t>
      </w:r>
    </w:p>
    <w:p w14:paraId="4562C07E">
      <w:pPr>
        <w:bidi w:val="0"/>
        <w:rPr>
          <w:color w:val="auto"/>
        </w:rPr>
      </w:pPr>
      <w:r>
        <w:rPr>
          <w:rFonts w:hint="eastAsia"/>
          <w:color w:val="auto"/>
        </w:rPr>
        <w:t>③各个职能科室按照其业务范围明确环境保护的职责，并在车间和班组建立健全环境保护岗位责任制，将环境管理落实到岗位及个人。</w:t>
      </w:r>
    </w:p>
    <w:p w14:paraId="4077DFCB">
      <w:pPr>
        <w:pStyle w:val="5"/>
        <w:bidi w:val="0"/>
        <w:rPr>
          <w:color w:val="auto"/>
        </w:rPr>
      </w:pPr>
      <w:r>
        <w:rPr>
          <w:rFonts w:hint="eastAsia"/>
          <w:color w:val="auto"/>
        </w:rPr>
        <w:t>环境管理机构的设置</w:t>
      </w:r>
    </w:p>
    <w:p w14:paraId="497F60EB">
      <w:pPr>
        <w:bidi w:val="0"/>
        <w:rPr>
          <w:color w:val="auto"/>
        </w:rPr>
      </w:pPr>
      <w:r>
        <w:rPr>
          <w:rFonts w:hint="eastAsia"/>
          <w:color w:val="auto"/>
        </w:rPr>
        <w:t>根据《建设项目环境保护设计规定》，新建、扩建企业应设置环境保护管理机构，负责组织、落实、监督本企业环保工作。目前，新乡化纤股份有限公司环境管理机构基本情况见</w:t>
      </w:r>
      <w:r>
        <w:rPr>
          <w:rFonts w:hint="eastAsia"/>
          <w:color w:val="auto"/>
          <w:lang w:val="en-US" w:eastAsia="zh-CN"/>
        </w:rPr>
        <w:t>下表</w:t>
      </w:r>
      <w:r>
        <w:rPr>
          <w:rFonts w:hint="eastAsia"/>
          <w:color w:val="auto"/>
        </w:rPr>
        <w:t>。</w:t>
      </w:r>
    </w:p>
    <w:p w14:paraId="30161BB2">
      <w:pPr>
        <w:pStyle w:val="10"/>
        <w:bidi w:val="0"/>
      </w:pPr>
      <w:r>
        <w:t xml:space="preserve">表 </w:t>
      </w:r>
      <w:r>
        <w:fldChar w:fldCharType="begin"/>
      </w:r>
      <w:r>
        <w:instrText xml:space="preserve"> STYLEREF 2 \s </w:instrText>
      </w:r>
      <w:r>
        <w:fldChar w:fldCharType="separate"/>
      </w:r>
      <w:r>
        <w:t>9.1</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w:t>
      </w:r>
      <w:r>
        <w:rPr>
          <w:rFonts w:hint="eastAsia"/>
        </w:rPr>
        <w:t>环境管理机构的基本情况</w:t>
      </w: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725"/>
        <w:gridCol w:w="1834"/>
        <w:gridCol w:w="1834"/>
        <w:gridCol w:w="2526"/>
        <w:gridCol w:w="1603"/>
      </w:tblGrid>
      <w:tr w14:paraId="1310757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725" w:type="dxa"/>
            <w:vAlign w:val="center"/>
          </w:tcPr>
          <w:p w14:paraId="60AAC57A">
            <w:pPr>
              <w:pStyle w:val="182"/>
              <w:bidi w:val="0"/>
              <w:rPr>
                <w:b/>
                <w:bCs/>
                <w:color w:val="auto"/>
              </w:rPr>
            </w:pPr>
            <w:r>
              <w:rPr>
                <w:b/>
                <w:bCs/>
                <w:color w:val="auto"/>
              </w:rPr>
              <w:t>序号</w:t>
            </w:r>
          </w:p>
        </w:tc>
        <w:tc>
          <w:tcPr>
            <w:tcW w:w="1834" w:type="dxa"/>
            <w:vAlign w:val="center"/>
          </w:tcPr>
          <w:p w14:paraId="3D5B7B6D">
            <w:pPr>
              <w:pStyle w:val="182"/>
              <w:bidi w:val="0"/>
              <w:rPr>
                <w:b/>
                <w:bCs/>
                <w:color w:val="auto"/>
              </w:rPr>
            </w:pPr>
            <w:r>
              <w:rPr>
                <w:rFonts w:hint="eastAsia"/>
                <w:b/>
                <w:bCs/>
                <w:color w:val="auto"/>
              </w:rPr>
              <w:t>企业名称</w:t>
            </w:r>
          </w:p>
        </w:tc>
        <w:tc>
          <w:tcPr>
            <w:tcW w:w="1834" w:type="dxa"/>
            <w:vAlign w:val="center"/>
          </w:tcPr>
          <w:p w14:paraId="68B27B4D">
            <w:pPr>
              <w:pStyle w:val="182"/>
              <w:bidi w:val="0"/>
              <w:rPr>
                <w:b/>
                <w:bCs/>
                <w:color w:val="auto"/>
              </w:rPr>
            </w:pPr>
            <w:r>
              <w:rPr>
                <w:rFonts w:hint="eastAsia"/>
                <w:b/>
                <w:bCs/>
                <w:color w:val="auto"/>
              </w:rPr>
              <w:t>环境管理机构</w:t>
            </w:r>
          </w:p>
        </w:tc>
        <w:tc>
          <w:tcPr>
            <w:tcW w:w="2526" w:type="dxa"/>
            <w:vAlign w:val="center"/>
          </w:tcPr>
          <w:p w14:paraId="516F300F">
            <w:pPr>
              <w:pStyle w:val="182"/>
              <w:bidi w:val="0"/>
              <w:rPr>
                <w:b/>
                <w:bCs/>
                <w:color w:val="auto"/>
              </w:rPr>
            </w:pPr>
            <w:r>
              <w:rPr>
                <w:rFonts w:hint="eastAsia"/>
                <w:b/>
                <w:bCs/>
                <w:color w:val="auto"/>
              </w:rPr>
              <w:t>环境管理人员（人）</w:t>
            </w:r>
          </w:p>
        </w:tc>
        <w:tc>
          <w:tcPr>
            <w:tcW w:w="1603" w:type="dxa"/>
            <w:vAlign w:val="center"/>
          </w:tcPr>
          <w:p w14:paraId="415F1279">
            <w:pPr>
              <w:pStyle w:val="182"/>
              <w:bidi w:val="0"/>
              <w:rPr>
                <w:b/>
                <w:bCs/>
                <w:color w:val="auto"/>
              </w:rPr>
            </w:pPr>
            <w:r>
              <w:rPr>
                <w:rFonts w:hint="eastAsia"/>
                <w:b/>
                <w:bCs/>
                <w:color w:val="auto"/>
              </w:rPr>
              <w:t>环境监测站</w:t>
            </w:r>
          </w:p>
        </w:tc>
      </w:tr>
      <w:tr w14:paraId="5FE1893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725" w:type="dxa"/>
            <w:tcBorders>
              <w:top w:val="single" w:color="auto" w:sz="4" w:space="0"/>
            </w:tcBorders>
            <w:vAlign w:val="center"/>
          </w:tcPr>
          <w:p w14:paraId="20FA66C7">
            <w:pPr>
              <w:pStyle w:val="182"/>
              <w:bidi w:val="0"/>
              <w:rPr>
                <w:color w:val="auto"/>
              </w:rPr>
            </w:pPr>
            <w:r>
              <w:rPr>
                <w:rFonts w:hint="eastAsia"/>
                <w:color w:val="auto"/>
              </w:rPr>
              <w:t>1</w:t>
            </w:r>
          </w:p>
        </w:tc>
        <w:tc>
          <w:tcPr>
            <w:tcW w:w="1834" w:type="dxa"/>
            <w:tcBorders>
              <w:top w:val="single" w:color="auto" w:sz="4" w:space="0"/>
            </w:tcBorders>
            <w:vAlign w:val="center"/>
          </w:tcPr>
          <w:p w14:paraId="40F180A7">
            <w:pPr>
              <w:pStyle w:val="182"/>
              <w:bidi w:val="0"/>
              <w:rPr>
                <w:color w:val="auto"/>
              </w:rPr>
            </w:pPr>
            <w:r>
              <w:rPr>
                <w:rFonts w:hint="eastAsia"/>
                <w:color w:val="auto"/>
              </w:rPr>
              <w:t>新厂区</w:t>
            </w:r>
          </w:p>
        </w:tc>
        <w:tc>
          <w:tcPr>
            <w:tcW w:w="1834" w:type="dxa"/>
            <w:tcBorders>
              <w:top w:val="single" w:color="auto" w:sz="4" w:space="0"/>
            </w:tcBorders>
            <w:vAlign w:val="center"/>
          </w:tcPr>
          <w:p w14:paraId="09814D56">
            <w:pPr>
              <w:pStyle w:val="182"/>
              <w:bidi w:val="0"/>
              <w:rPr>
                <w:color w:val="auto"/>
              </w:rPr>
            </w:pPr>
            <w:r>
              <w:rPr>
                <w:rFonts w:hint="eastAsia"/>
                <w:color w:val="auto"/>
              </w:rPr>
              <w:t>安全环保处</w:t>
            </w:r>
          </w:p>
        </w:tc>
        <w:tc>
          <w:tcPr>
            <w:tcW w:w="2526" w:type="dxa"/>
            <w:tcBorders>
              <w:top w:val="single" w:color="auto" w:sz="4" w:space="0"/>
            </w:tcBorders>
            <w:vAlign w:val="center"/>
          </w:tcPr>
          <w:p w14:paraId="2432FC69">
            <w:pPr>
              <w:pStyle w:val="182"/>
              <w:bidi w:val="0"/>
              <w:rPr>
                <w:color w:val="auto"/>
              </w:rPr>
            </w:pPr>
            <w:r>
              <w:rPr>
                <w:rFonts w:hint="eastAsia"/>
                <w:color w:val="auto"/>
              </w:rPr>
              <w:t>30</w:t>
            </w:r>
          </w:p>
        </w:tc>
        <w:tc>
          <w:tcPr>
            <w:tcW w:w="1603" w:type="dxa"/>
            <w:tcBorders>
              <w:top w:val="single" w:color="auto" w:sz="4" w:space="0"/>
            </w:tcBorders>
            <w:vAlign w:val="center"/>
          </w:tcPr>
          <w:p w14:paraId="2AF8C472">
            <w:pPr>
              <w:pStyle w:val="182"/>
              <w:bidi w:val="0"/>
              <w:rPr>
                <w:color w:val="auto"/>
              </w:rPr>
            </w:pPr>
            <w:r>
              <w:rPr>
                <w:rFonts w:hint="eastAsia"/>
                <w:color w:val="auto"/>
              </w:rPr>
              <w:t>1个</w:t>
            </w:r>
          </w:p>
        </w:tc>
      </w:tr>
    </w:tbl>
    <w:p w14:paraId="3A006068">
      <w:pPr>
        <w:bidi w:val="0"/>
        <w:rPr>
          <w:rFonts w:hint="eastAsia"/>
          <w:color w:val="auto"/>
        </w:rPr>
      </w:pPr>
      <w:r>
        <w:rPr>
          <w:rFonts w:hint="eastAsia"/>
          <w:color w:val="auto"/>
        </w:rPr>
        <w:t>公司新区环保机构安全环保处现有30人，受总公司安全环保部领导，负责新区环保管理工作。根据拟建工程情况，评价建议本项目的环保工作纳入新区安全环保处统一管理。</w:t>
      </w:r>
    </w:p>
    <w:p w14:paraId="0166F5AA">
      <w:pPr>
        <w:bidi w:val="0"/>
        <w:rPr>
          <w:color w:val="auto"/>
        </w:rPr>
      </w:pPr>
      <w:r>
        <w:rPr>
          <w:color w:val="auto"/>
        </w:rPr>
        <w:t>环境管理应贯穿于建设项目从筹备到运行的整个过程，并针对建设项目的不同阶段制定相应的环保条例，规定不同阶段的环保内容，明确不同阶段的工作职责，本项目环境管理机构各阶段的主要职责</w:t>
      </w:r>
      <w:r>
        <w:rPr>
          <w:rFonts w:hint="eastAsia"/>
          <w:color w:val="auto"/>
        </w:rPr>
        <w:t>如下：</w:t>
      </w:r>
    </w:p>
    <w:p w14:paraId="16A98FE7">
      <w:pPr>
        <w:pStyle w:val="10"/>
        <w:bidi w:val="0"/>
      </w:pPr>
      <w:r>
        <w:t xml:space="preserve">表 </w:t>
      </w:r>
      <w:r>
        <w:fldChar w:fldCharType="begin"/>
      </w:r>
      <w:r>
        <w:instrText xml:space="preserve"> STYLEREF 2 \s </w:instrText>
      </w:r>
      <w:r>
        <w:fldChar w:fldCharType="separate"/>
      </w:r>
      <w:r>
        <w:t>9.1</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t xml:space="preserve"> 环境管理机构</w:t>
      </w:r>
      <w:r>
        <w:rPr>
          <w:rFonts w:hint="eastAsia"/>
        </w:rPr>
        <w:t>职责一览表</w:t>
      </w:r>
    </w:p>
    <w:tbl>
      <w:tblPr>
        <w:tblStyle w:val="31"/>
        <w:tblW w:w="4999" w:type="pct"/>
        <w:tblInd w:w="0" w:type="dxa"/>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autofit"/>
        <w:tblCellMar>
          <w:top w:w="0" w:type="dxa"/>
          <w:left w:w="28" w:type="dxa"/>
          <w:bottom w:w="0" w:type="dxa"/>
          <w:right w:w="28" w:type="dxa"/>
        </w:tblCellMar>
      </w:tblPr>
      <w:tblGrid>
        <w:gridCol w:w="911"/>
        <w:gridCol w:w="7450"/>
      </w:tblGrid>
      <w:tr w14:paraId="0B0B43E4">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12" w:hRule="atLeast"/>
        </w:trPr>
        <w:tc>
          <w:tcPr>
            <w:tcW w:w="545" w:type="pct"/>
            <w:vAlign w:val="center"/>
          </w:tcPr>
          <w:p w14:paraId="440952D0">
            <w:pPr>
              <w:pStyle w:val="182"/>
              <w:bidi w:val="0"/>
              <w:rPr>
                <w:color w:val="auto"/>
              </w:rPr>
            </w:pPr>
            <w:r>
              <w:rPr>
                <w:color w:val="auto"/>
              </w:rPr>
              <w:t>运行时段</w:t>
            </w:r>
          </w:p>
        </w:tc>
        <w:tc>
          <w:tcPr>
            <w:tcW w:w="4454" w:type="pct"/>
            <w:vAlign w:val="center"/>
          </w:tcPr>
          <w:p w14:paraId="515276C9">
            <w:pPr>
              <w:pStyle w:val="182"/>
              <w:bidi w:val="0"/>
              <w:rPr>
                <w:color w:val="auto"/>
              </w:rPr>
            </w:pPr>
            <w:r>
              <w:rPr>
                <w:color w:val="auto"/>
              </w:rPr>
              <w:t>主    要    职    责</w:t>
            </w:r>
          </w:p>
        </w:tc>
      </w:tr>
      <w:tr w14:paraId="07DA7E58">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12" w:hRule="atLeast"/>
        </w:trPr>
        <w:tc>
          <w:tcPr>
            <w:tcW w:w="545" w:type="pct"/>
            <w:vAlign w:val="center"/>
          </w:tcPr>
          <w:p w14:paraId="29A7B062">
            <w:pPr>
              <w:pStyle w:val="182"/>
              <w:bidi w:val="0"/>
              <w:rPr>
                <w:color w:val="auto"/>
              </w:rPr>
            </w:pPr>
            <w:r>
              <w:rPr>
                <w:color w:val="auto"/>
              </w:rPr>
              <w:t>项目</w:t>
            </w:r>
          </w:p>
          <w:p w14:paraId="7F13B758">
            <w:pPr>
              <w:pStyle w:val="182"/>
              <w:bidi w:val="0"/>
              <w:rPr>
                <w:color w:val="auto"/>
              </w:rPr>
            </w:pPr>
            <w:r>
              <w:rPr>
                <w:color w:val="auto"/>
              </w:rPr>
              <w:t>筹备期</w:t>
            </w:r>
          </w:p>
        </w:tc>
        <w:tc>
          <w:tcPr>
            <w:tcW w:w="4454" w:type="pct"/>
            <w:vAlign w:val="center"/>
          </w:tcPr>
          <w:p w14:paraId="4A02B663">
            <w:pPr>
              <w:pStyle w:val="182"/>
              <w:bidi w:val="0"/>
              <w:jc w:val="left"/>
              <w:rPr>
                <w:color w:val="auto"/>
              </w:rPr>
            </w:pPr>
            <w:r>
              <w:rPr>
                <w:color w:val="auto"/>
              </w:rPr>
              <w:t>熟悉环保法律法规</w:t>
            </w:r>
          </w:p>
          <w:p w14:paraId="38350157">
            <w:pPr>
              <w:pStyle w:val="182"/>
              <w:bidi w:val="0"/>
              <w:jc w:val="left"/>
              <w:rPr>
                <w:color w:val="auto"/>
              </w:rPr>
            </w:pPr>
            <w:r>
              <w:rPr>
                <w:color w:val="auto"/>
              </w:rPr>
              <w:t>·审核项目准入条件，确定项目是否符合国家产业政策和环保准入条件</w:t>
            </w:r>
          </w:p>
          <w:p w14:paraId="691B9A69">
            <w:pPr>
              <w:pStyle w:val="182"/>
              <w:bidi w:val="0"/>
              <w:jc w:val="left"/>
              <w:rPr>
                <w:color w:val="auto"/>
              </w:rPr>
            </w:pPr>
            <w:r>
              <w:rPr>
                <w:color w:val="auto"/>
              </w:rPr>
              <w:t>·向环保管理部门申报建设项目，包括产品规模、生产工艺、采用设备、建设地点等</w:t>
            </w:r>
          </w:p>
          <w:p w14:paraId="421C94DD">
            <w:pPr>
              <w:pStyle w:val="182"/>
              <w:bidi w:val="0"/>
              <w:jc w:val="left"/>
              <w:rPr>
                <w:color w:val="auto"/>
              </w:rPr>
            </w:pPr>
            <w:r>
              <w:rPr>
                <w:color w:val="auto"/>
              </w:rPr>
              <w:t>·请有资质的正规单位进行可行性研究和初步设计，进行建设项目环境影响评价，待管理部门批准后进行建设</w:t>
            </w:r>
          </w:p>
        </w:tc>
      </w:tr>
      <w:tr w14:paraId="33AF22C0">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12" w:hRule="atLeast"/>
        </w:trPr>
        <w:tc>
          <w:tcPr>
            <w:tcW w:w="545" w:type="pct"/>
            <w:vAlign w:val="center"/>
          </w:tcPr>
          <w:p w14:paraId="6367A67B">
            <w:pPr>
              <w:pStyle w:val="182"/>
              <w:bidi w:val="0"/>
              <w:rPr>
                <w:color w:val="auto"/>
              </w:rPr>
            </w:pPr>
            <w:r>
              <w:rPr>
                <w:color w:val="auto"/>
              </w:rPr>
              <w:t>项目</w:t>
            </w:r>
          </w:p>
          <w:p w14:paraId="0D1C6304">
            <w:pPr>
              <w:pStyle w:val="182"/>
              <w:bidi w:val="0"/>
              <w:rPr>
                <w:color w:val="auto"/>
              </w:rPr>
            </w:pPr>
            <w:r>
              <w:rPr>
                <w:color w:val="auto"/>
              </w:rPr>
              <w:t>建设期</w:t>
            </w:r>
          </w:p>
        </w:tc>
        <w:tc>
          <w:tcPr>
            <w:tcW w:w="4454" w:type="pct"/>
            <w:vAlign w:val="center"/>
          </w:tcPr>
          <w:p w14:paraId="1069F736">
            <w:pPr>
              <w:pStyle w:val="182"/>
              <w:bidi w:val="0"/>
              <w:jc w:val="left"/>
              <w:rPr>
                <w:color w:val="auto"/>
              </w:rPr>
            </w:pPr>
            <w:r>
              <w:rPr>
                <w:color w:val="auto"/>
              </w:rPr>
              <w:t>·请有资质的正规单位按照设计图纸进行规范施工和全过程的施工监理、环境监理，认真执行环评提出的建设期污染治理措施</w:t>
            </w:r>
          </w:p>
          <w:p w14:paraId="6309A2EB">
            <w:pPr>
              <w:pStyle w:val="182"/>
              <w:bidi w:val="0"/>
              <w:jc w:val="left"/>
              <w:rPr>
                <w:color w:val="auto"/>
              </w:rPr>
            </w:pPr>
            <w:r>
              <w:rPr>
                <w:color w:val="auto"/>
              </w:rPr>
              <w:t>·根据环评及批复的污染防治措施和“三同时”原则落实环保设施的建设</w:t>
            </w:r>
          </w:p>
        </w:tc>
      </w:tr>
      <w:tr w14:paraId="50FD8E26">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12" w:hRule="atLeast"/>
        </w:trPr>
        <w:tc>
          <w:tcPr>
            <w:tcW w:w="545" w:type="pct"/>
            <w:vAlign w:val="center"/>
          </w:tcPr>
          <w:p w14:paraId="79F032BF">
            <w:pPr>
              <w:pStyle w:val="182"/>
              <w:bidi w:val="0"/>
              <w:rPr>
                <w:color w:val="auto"/>
              </w:rPr>
            </w:pPr>
            <w:r>
              <w:rPr>
                <w:color w:val="auto"/>
              </w:rPr>
              <w:t>项目竣工</w:t>
            </w:r>
          </w:p>
          <w:p w14:paraId="480F734A">
            <w:pPr>
              <w:pStyle w:val="182"/>
              <w:bidi w:val="0"/>
              <w:rPr>
                <w:color w:val="auto"/>
              </w:rPr>
            </w:pPr>
            <w:r>
              <w:rPr>
                <w:color w:val="auto"/>
              </w:rPr>
              <w:t>验收期</w:t>
            </w:r>
          </w:p>
        </w:tc>
        <w:tc>
          <w:tcPr>
            <w:tcW w:w="4454" w:type="pct"/>
            <w:vAlign w:val="center"/>
          </w:tcPr>
          <w:p w14:paraId="07287EFE">
            <w:pPr>
              <w:pStyle w:val="182"/>
              <w:bidi w:val="0"/>
              <w:jc w:val="left"/>
              <w:rPr>
                <w:color w:val="auto"/>
              </w:rPr>
            </w:pPr>
            <w:r>
              <w:rPr>
                <w:color w:val="auto"/>
              </w:rPr>
              <w:t>·</w:t>
            </w:r>
            <w:r>
              <w:rPr>
                <w:rFonts w:hint="eastAsia"/>
                <w:color w:val="auto"/>
              </w:rPr>
              <w:t>建设项目竣工后，建设单位应当如实查验、监测、记载建设项目环境保护设施的建设和调试情况，编制验收监测报告</w:t>
            </w:r>
          </w:p>
          <w:p w14:paraId="26636A94">
            <w:pPr>
              <w:pStyle w:val="182"/>
              <w:bidi w:val="0"/>
              <w:jc w:val="left"/>
              <w:rPr>
                <w:color w:val="auto"/>
              </w:rPr>
            </w:pPr>
            <w:r>
              <w:rPr>
                <w:color w:val="auto"/>
              </w:rPr>
              <w:t>·监测环保设施运行效率与效果</w:t>
            </w:r>
          </w:p>
        </w:tc>
      </w:tr>
      <w:tr w14:paraId="346F24F8">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trHeight w:val="312" w:hRule="atLeast"/>
        </w:trPr>
        <w:tc>
          <w:tcPr>
            <w:tcW w:w="545" w:type="pct"/>
            <w:vAlign w:val="center"/>
          </w:tcPr>
          <w:p w14:paraId="76FD8078">
            <w:pPr>
              <w:pStyle w:val="182"/>
              <w:bidi w:val="0"/>
              <w:rPr>
                <w:color w:val="auto"/>
              </w:rPr>
            </w:pPr>
            <w:r>
              <w:rPr>
                <w:color w:val="auto"/>
              </w:rPr>
              <w:t>项目</w:t>
            </w:r>
          </w:p>
          <w:p w14:paraId="178E68AF">
            <w:pPr>
              <w:pStyle w:val="182"/>
              <w:bidi w:val="0"/>
              <w:rPr>
                <w:color w:val="auto"/>
              </w:rPr>
            </w:pPr>
            <w:r>
              <w:rPr>
                <w:color w:val="auto"/>
              </w:rPr>
              <w:t>运行期</w:t>
            </w:r>
          </w:p>
        </w:tc>
        <w:tc>
          <w:tcPr>
            <w:tcW w:w="4454" w:type="pct"/>
            <w:vAlign w:val="center"/>
          </w:tcPr>
          <w:p w14:paraId="4A652718">
            <w:pPr>
              <w:pStyle w:val="182"/>
              <w:bidi w:val="0"/>
              <w:jc w:val="left"/>
              <w:rPr>
                <w:color w:val="auto"/>
              </w:rPr>
            </w:pPr>
            <w:r>
              <w:rPr>
                <w:color w:val="auto"/>
              </w:rPr>
              <w:t>·制定切实可行的环保管理制度和条例。组织开展环保宣传教育培训。</w:t>
            </w:r>
          </w:p>
          <w:p w14:paraId="6BF5840E">
            <w:pPr>
              <w:pStyle w:val="182"/>
              <w:bidi w:val="0"/>
              <w:jc w:val="left"/>
              <w:rPr>
                <w:color w:val="auto"/>
              </w:rPr>
            </w:pPr>
            <w:r>
              <w:rPr>
                <w:color w:val="auto"/>
              </w:rPr>
              <w:t>·把污染源监督和“三废”排放纳入日常管理工作，并落实到车间班组和岗位，进行全方位管理。</w:t>
            </w:r>
          </w:p>
          <w:p w14:paraId="7C7FBC02">
            <w:pPr>
              <w:pStyle w:val="182"/>
              <w:bidi w:val="0"/>
              <w:jc w:val="left"/>
              <w:rPr>
                <w:color w:val="auto"/>
              </w:rPr>
            </w:pPr>
            <w:r>
              <w:rPr>
                <w:color w:val="auto"/>
              </w:rPr>
              <w:t>·实施有效的“三废”综合利用开发措施。收集整理和推广环保技术经验，及时解决运行中出现的环保问题。</w:t>
            </w:r>
          </w:p>
          <w:p w14:paraId="10BB5EBD">
            <w:pPr>
              <w:pStyle w:val="182"/>
              <w:bidi w:val="0"/>
              <w:jc w:val="left"/>
              <w:rPr>
                <w:color w:val="auto"/>
              </w:rPr>
            </w:pPr>
            <w:r>
              <w:rPr>
                <w:color w:val="auto"/>
              </w:rPr>
              <w:t>·按照责、权、利实施奖罚制度，对违反法规和制度的行为根据情节</w:t>
            </w:r>
            <w:r>
              <w:rPr>
                <w:rFonts w:hint="eastAsia"/>
                <w:color w:val="auto"/>
                <w:lang w:eastAsia="zh-CN"/>
              </w:rPr>
              <w:t>给予处罚</w:t>
            </w:r>
            <w:r>
              <w:rPr>
                <w:color w:val="auto"/>
              </w:rPr>
              <w:t>，对有功者</w:t>
            </w:r>
            <w:r>
              <w:rPr>
                <w:rFonts w:hint="eastAsia"/>
                <w:color w:val="auto"/>
                <w:lang w:eastAsia="zh-CN"/>
              </w:rPr>
              <w:t>给予</w:t>
            </w:r>
            <w:r>
              <w:rPr>
                <w:color w:val="auto"/>
              </w:rPr>
              <w:t>奖励。</w:t>
            </w:r>
          </w:p>
          <w:p w14:paraId="0D414305">
            <w:pPr>
              <w:pStyle w:val="182"/>
              <w:bidi w:val="0"/>
              <w:jc w:val="left"/>
              <w:rPr>
                <w:color w:val="auto"/>
              </w:rPr>
            </w:pPr>
            <w:r>
              <w:rPr>
                <w:color w:val="auto"/>
              </w:rPr>
              <w:t>·配合当地和上级环保主管部门，认真落实国家环保法规和行政主管部门的规定。接受环保管理部门的监督检查和管理。</w:t>
            </w:r>
          </w:p>
          <w:p w14:paraId="14599973">
            <w:pPr>
              <w:pStyle w:val="182"/>
              <w:bidi w:val="0"/>
              <w:jc w:val="left"/>
              <w:rPr>
                <w:color w:val="auto"/>
              </w:rPr>
            </w:pPr>
            <w:r>
              <w:rPr>
                <w:color w:val="auto"/>
              </w:rPr>
              <w:t>·经常性地组织对企业职工进行清洁生产教育和培训，根据企业发展状况，推进清洁生产审计</w:t>
            </w:r>
          </w:p>
          <w:p w14:paraId="6FB0E2E7">
            <w:pPr>
              <w:pStyle w:val="182"/>
              <w:bidi w:val="0"/>
              <w:jc w:val="left"/>
              <w:rPr>
                <w:color w:val="auto"/>
              </w:rPr>
            </w:pPr>
            <w:r>
              <w:rPr>
                <w:color w:val="auto"/>
              </w:rPr>
              <w:t>·按照环评及批复要求制订全厂环境监测计划，定期进行污染源和环境监测，整理分析各项监测资料，填报环境监测统计报表、环境指标考核资料，建立环保档案，掌握污染排放情况，分析变化规律。</w:t>
            </w:r>
          </w:p>
        </w:tc>
      </w:tr>
    </w:tbl>
    <w:p w14:paraId="35B77AC1">
      <w:pPr>
        <w:bidi w:val="0"/>
        <w:rPr>
          <w:color w:val="auto"/>
        </w:rPr>
      </w:pPr>
      <w:r>
        <w:rPr>
          <w:color w:val="auto"/>
        </w:rPr>
        <w:t>根据工程特点，公司制定了一系列行之有效的环境保护管理规章制度和《</w:t>
      </w:r>
      <w:r>
        <w:rPr>
          <w:rFonts w:hint="eastAsia"/>
          <w:color w:val="auto"/>
        </w:rPr>
        <w:t>突发环境事件</w:t>
      </w:r>
      <w:r>
        <w:rPr>
          <w:color w:val="auto"/>
        </w:rPr>
        <w:t>应急预案》</w:t>
      </w:r>
      <w:r>
        <w:rPr>
          <w:rFonts w:hint="eastAsia"/>
          <w:color w:val="auto"/>
        </w:rPr>
        <w:t>，</w:t>
      </w:r>
      <w:r>
        <w:rPr>
          <w:color w:val="auto"/>
        </w:rPr>
        <w:t>建立了环境监测报表、台账等。评价建议每年制定环境保护资金计划，拨付足额的资金，确保全厂各项环境保护设施和措施的建设、运行及维护能稳定运行。</w:t>
      </w:r>
    </w:p>
    <w:p w14:paraId="1462A7C7">
      <w:pPr>
        <w:pStyle w:val="5"/>
        <w:bidi w:val="0"/>
        <w:rPr>
          <w:rFonts w:hint="eastAsia"/>
          <w:b/>
          <w:bCs/>
          <w:color w:val="auto"/>
          <w:u w:val="single"/>
        </w:rPr>
      </w:pPr>
      <w:r>
        <w:rPr>
          <w:rFonts w:hint="eastAsia"/>
          <w:b/>
          <w:bCs/>
          <w:color w:val="auto"/>
          <w:u w:val="single"/>
        </w:rPr>
        <w:t>环境保护管理规划和制度</w:t>
      </w:r>
    </w:p>
    <w:p w14:paraId="4E832731">
      <w:pPr>
        <w:bidi w:val="0"/>
        <w:rPr>
          <w:rFonts w:hint="eastAsia"/>
          <w:b/>
          <w:bCs/>
          <w:color w:val="auto"/>
          <w:u w:val="single"/>
        </w:rPr>
      </w:pPr>
      <w:r>
        <w:rPr>
          <w:rFonts w:hint="eastAsia"/>
          <w:b/>
          <w:bCs/>
          <w:color w:val="auto"/>
          <w:u w:val="single"/>
        </w:rPr>
        <w:t>建设单位安环科将结合企业发展规划和工程特点，制定适合不同时期的环保管理和年度规划。结合生产工艺管理和操作管理制定各车间、岗位的环境保护管理制度。制定明确的环境管理目标，并逐项分解到各个部门、岗位。</w:t>
      </w:r>
    </w:p>
    <w:p w14:paraId="2D3C374B">
      <w:pPr>
        <w:bidi w:val="0"/>
        <w:rPr>
          <w:rFonts w:hint="eastAsia"/>
          <w:b/>
          <w:bCs/>
          <w:color w:val="auto"/>
          <w:u w:val="single"/>
        </w:rPr>
      </w:pPr>
      <w:r>
        <w:rPr>
          <w:rFonts w:hint="eastAsia"/>
          <w:b/>
          <w:bCs/>
          <w:color w:val="auto"/>
          <w:u w:val="single"/>
        </w:rPr>
        <w:t>针对企业运行及排污情况，确定企业安环科的具体责任及任务，主要有</w:t>
      </w:r>
      <w:r>
        <w:rPr>
          <w:rFonts w:hint="eastAsia"/>
          <w:b/>
          <w:bCs/>
          <w:color w:val="auto"/>
          <w:u w:val="single"/>
          <w:lang w:eastAsia="zh-CN"/>
        </w:rPr>
        <w:t>：</w:t>
      </w:r>
      <w:r>
        <w:rPr>
          <w:rFonts w:hint="eastAsia"/>
          <w:b/>
          <w:bCs/>
          <w:color w:val="auto"/>
          <w:u w:val="single"/>
        </w:rPr>
        <w:t>①贯彻执行国家及地方环境保护的法律、法规和方针、政策。并督促、检查本企业的执行情况。</w:t>
      </w:r>
    </w:p>
    <w:p w14:paraId="5B9AC7B9">
      <w:pPr>
        <w:bidi w:val="0"/>
        <w:rPr>
          <w:rFonts w:hint="eastAsia"/>
          <w:b/>
          <w:bCs/>
          <w:color w:val="auto"/>
          <w:u w:val="single"/>
        </w:rPr>
      </w:pPr>
      <w:r>
        <w:rPr>
          <w:rFonts w:hint="eastAsia"/>
          <w:b/>
          <w:bCs/>
          <w:color w:val="auto"/>
          <w:u w:val="single"/>
        </w:rPr>
        <w:t>②结合本项目生产特点，编制并实施本企业环境保护的计划，开展环境污染防治工作。</w:t>
      </w:r>
    </w:p>
    <w:p w14:paraId="7D1384BC">
      <w:pPr>
        <w:bidi w:val="0"/>
        <w:rPr>
          <w:rFonts w:hint="eastAsia"/>
          <w:b/>
          <w:bCs/>
          <w:color w:val="auto"/>
          <w:u w:val="single"/>
        </w:rPr>
      </w:pPr>
      <w:r>
        <w:rPr>
          <w:rFonts w:hint="eastAsia"/>
          <w:b/>
          <w:bCs/>
          <w:color w:val="auto"/>
          <w:u w:val="single"/>
        </w:rPr>
        <w:t>③实施上级主管部门和地方政府下达的环境保护任务。</w:t>
      </w:r>
    </w:p>
    <w:p w14:paraId="5FFF851D">
      <w:pPr>
        <w:bidi w:val="0"/>
        <w:rPr>
          <w:rFonts w:hint="eastAsia"/>
          <w:b/>
          <w:bCs/>
          <w:color w:val="auto"/>
          <w:u w:val="single"/>
        </w:rPr>
      </w:pPr>
      <w:r>
        <w:rPr>
          <w:rFonts w:hint="eastAsia"/>
          <w:b/>
          <w:bCs/>
          <w:color w:val="auto"/>
          <w:u w:val="single"/>
        </w:rPr>
        <w:t>④负责对企业各污染源环境监测的领导和组织工作，建立和健全日常环境保护管理及环境污染防治设施、设备运行管理制度，对环保设施的运行情况及治理效果进行监控，及时了解存在的问题并给予解决，确保污染防治设施的正常运行并达到设计指标要求，为公司环境保护数据资料统计、各污染源治理提供基础数据，建立本项目环境管理台账。</w:t>
      </w:r>
    </w:p>
    <w:p w14:paraId="3340923E">
      <w:pPr>
        <w:bidi w:val="0"/>
        <w:rPr>
          <w:rFonts w:hint="eastAsia"/>
          <w:b/>
          <w:bCs/>
          <w:color w:val="auto"/>
          <w:u w:val="single"/>
        </w:rPr>
      </w:pPr>
      <w:r>
        <w:rPr>
          <w:rFonts w:hint="eastAsia"/>
          <w:b/>
          <w:bCs/>
          <w:color w:val="auto"/>
          <w:u w:val="single"/>
        </w:rPr>
        <w:t>⑤负责组织本企业环境管理考核、环境监督监测和环境保护统计。结合本厂年度监测项目进行各项监测项目定期监测，按时提交监测分析报告。</w:t>
      </w:r>
    </w:p>
    <w:p w14:paraId="38461BAE">
      <w:pPr>
        <w:bidi w:val="0"/>
        <w:rPr>
          <w:rFonts w:hint="eastAsia"/>
          <w:b/>
          <w:bCs/>
          <w:color w:val="auto"/>
          <w:u w:val="single"/>
        </w:rPr>
      </w:pPr>
      <w:r>
        <w:rPr>
          <w:rFonts w:hint="eastAsia"/>
          <w:b/>
          <w:bCs/>
          <w:color w:val="auto"/>
          <w:u w:val="single"/>
        </w:rPr>
        <w:t>⑥负责环保排污缴费管理、审定工作，处理本企业环境污染事故、污染纠纷，及时向上级部门报告情况。</w:t>
      </w:r>
    </w:p>
    <w:p w14:paraId="1EA1E527">
      <w:pPr>
        <w:bidi w:val="0"/>
        <w:rPr>
          <w:rFonts w:hint="eastAsia"/>
          <w:b/>
          <w:bCs/>
          <w:color w:val="auto"/>
          <w:u w:val="single"/>
        </w:rPr>
      </w:pPr>
      <w:r>
        <w:rPr>
          <w:rFonts w:hint="eastAsia"/>
          <w:b/>
          <w:bCs/>
          <w:color w:val="auto"/>
          <w:u w:val="single"/>
        </w:rPr>
        <w:t>⑦组织开展环境保护宣传、教育和培训等。将员工的环保考核纳入到生产考核之中并作为其重要组成部分，以提高员工的环保意识。便于环境管理工作的开展。</w:t>
      </w:r>
    </w:p>
    <w:p w14:paraId="045F2025">
      <w:pPr>
        <w:bidi w:val="0"/>
        <w:rPr>
          <w:rFonts w:hint="eastAsia"/>
          <w:b/>
          <w:bCs/>
          <w:color w:val="auto"/>
          <w:u w:val="single"/>
        </w:rPr>
      </w:pPr>
      <w:r>
        <w:rPr>
          <w:rFonts w:hint="eastAsia"/>
          <w:b/>
          <w:bCs/>
          <w:color w:val="auto"/>
          <w:u w:val="single"/>
          <w:lang w:val="en-US" w:eastAsia="zh-CN"/>
        </w:rPr>
        <w:t>⑧</w:t>
      </w:r>
      <w:r>
        <w:rPr>
          <w:rFonts w:hint="eastAsia"/>
          <w:b/>
          <w:bCs/>
          <w:color w:val="auto"/>
          <w:u w:val="single"/>
        </w:rPr>
        <w:t>制定本企业的环境事故应急计划，发现事故及其隐患应及时处理并记录在案及时上报有关部门。</w:t>
      </w:r>
    </w:p>
    <w:p w14:paraId="30E9817A">
      <w:pPr>
        <w:bidi w:val="0"/>
        <w:rPr>
          <w:rFonts w:hint="eastAsia"/>
          <w:b/>
          <w:bCs/>
          <w:color w:val="auto"/>
          <w:u w:val="single"/>
          <w:lang w:val="en-US" w:eastAsia="zh-CN"/>
        </w:rPr>
      </w:pPr>
      <w:r>
        <w:rPr>
          <w:rFonts w:hint="eastAsia"/>
          <w:b/>
          <w:bCs/>
          <w:color w:val="auto"/>
          <w:u w:val="single"/>
        </w:rPr>
        <w:t>⑨加强从领导到职工的清洁生产意识教育，提高企业领导和职工推行清洁生产的自觉性，对生产实施全过程环境管理，使污染防治贯穿到生产的各个环</w:t>
      </w:r>
      <w:r>
        <w:rPr>
          <w:rFonts w:hint="eastAsia"/>
          <w:b/>
          <w:bCs/>
          <w:color w:val="auto"/>
          <w:u w:val="single"/>
          <w:lang w:val="en-US" w:eastAsia="zh-CN"/>
        </w:rPr>
        <w:t>节。</w:t>
      </w:r>
    </w:p>
    <w:p w14:paraId="7E243A42">
      <w:pPr>
        <w:bidi w:val="0"/>
        <w:rPr>
          <w:rFonts w:hint="eastAsia"/>
          <w:b/>
          <w:bCs/>
          <w:color w:val="auto"/>
          <w:u w:val="single"/>
          <w:lang w:val="en-US" w:eastAsia="zh-CN"/>
        </w:rPr>
      </w:pPr>
      <w:r>
        <w:rPr>
          <w:rFonts w:hint="eastAsia"/>
          <w:b/>
          <w:bCs/>
          <w:color w:val="auto"/>
          <w:u w:val="single"/>
          <w:lang w:val="en-US" w:eastAsia="zh-CN"/>
        </w:rPr>
        <w:t>⑩根据《排污许可证申请与核发技术规范 化学纤维制造业》(HI1102-2020)要求，建立环境管理台账记录制度，落实环境管理台账记录的责任部门和责任人，明确工作职责，包括台账的记录、整理、维护和管理等，并对台账记录结果的真实性、完整性和规范性负责：按许可证规定落实自行监测、台账记录、执行报告、信息公开等环境管理要求。</w:t>
      </w:r>
    </w:p>
    <w:p w14:paraId="189FD988">
      <w:pPr>
        <w:pStyle w:val="3"/>
        <w:bidi w:val="0"/>
        <w:rPr>
          <w:color w:val="auto"/>
        </w:rPr>
      </w:pPr>
      <w:bookmarkStart w:id="329" w:name="_Toc3501"/>
      <w:r>
        <w:rPr>
          <w:rFonts w:hint="eastAsia"/>
          <w:color w:val="auto"/>
        </w:rPr>
        <w:t>环境监测计划</w:t>
      </w:r>
      <w:bookmarkEnd w:id="329"/>
    </w:p>
    <w:p w14:paraId="1B652C1D">
      <w:pPr>
        <w:pStyle w:val="5"/>
        <w:bidi w:val="0"/>
        <w:rPr>
          <w:color w:val="auto"/>
        </w:rPr>
      </w:pPr>
      <w:r>
        <w:rPr>
          <w:rFonts w:hint="eastAsia"/>
          <w:color w:val="auto"/>
        </w:rPr>
        <w:t>环境监测的目的</w:t>
      </w:r>
    </w:p>
    <w:p w14:paraId="68C2EA17">
      <w:pPr>
        <w:bidi w:val="0"/>
        <w:rPr>
          <w:color w:val="auto"/>
        </w:rPr>
      </w:pPr>
      <w:r>
        <w:rPr>
          <w:rFonts w:hint="eastAsia"/>
          <w:color w:val="auto"/>
        </w:rPr>
        <w:t>环境监测的</w:t>
      </w:r>
      <w:r>
        <w:rPr>
          <w:rFonts w:hint="eastAsia"/>
          <w:color w:val="auto"/>
          <w:lang w:eastAsia="zh-CN"/>
        </w:rPr>
        <w:t>目的是</w:t>
      </w:r>
      <w:r>
        <w:rPr>
          <w:rFonts w:hint="eastAsia"/>
          <w:color w:val="auto"/>
        </w:rPr>
        <w:t>准确、及时、全面地反映环境质量现状及发展趋势，对该厂主要污染物排放进行定期监测，为环境管理、污染源控制、环境规划等提供科学依据。因此，环境监测是环境管理工作必不可少的手段，是科学管理企业环保工作的基础。通过监测计划的制定与实施，及时发现环保措施的不足，进行修正和改进，确保环保设施长期高效稳定</w:t>
      </w:r>
      <w:r>
        <w:rPr>
          <w:rFonts w:hint="eastAsia"/>
          <w:color w:val="auto"/>
          <w:lang w:eastAsia="zh-CN"/>
        </w:rPr>
        <w:t>地</w:t>
      </w:r>
      <w:r>
        <w:rPr>
          <w:rFonts w:hint="eastAsia"/>
          <w:color w:val="auto"/>
        </w:rPr>
        <w:t>进行。</w:t>
      </w:r>
    </w:p>
    <w:p w14:paraId="31B4B9C0">
      <w:pPr>
        <w:pStyle w:val="5"/>
        <w:bidi w:val="0"/>
        <w:rPr>
          <w:color w:val="auto"/>
        </w:rPr>
      </w:pPr>
      <w:r>
        <w:rPr>
          <w:rFonts w:hint="eastAsia"/>
          <w:color w:val="auto"/>
        </w:rPr>
        <w:t>监测任务</w:t>
      </w:r>
    </w:p>
    <w:p w14:paraId="1D824921">
      <w:pPr>
        <w:bidi w:val="0"/>
        <w:rPr>
          <w:color w:val="auto"/>
        </w:rPr>
      </w:pPr>
      <w:r>
        <w:rPr>
          <w:rFonts w:hint="eastAsia"/>
          <w:color w:val="auto"/>
        </w:rPr>
        <w:t>环境监测是环境管理的基础，并为企业制定污染防治对策和规划提供依据。根据工程污染物排放的实际情况和就近方便的原则，该项目具体监测工作建议委托有资质的环境监测机构完成。主要任务如下：</w:t>
      </w:r>
    </w:p>
    <w:p w14:paraId="67B1D904">
      <w:pPr>
        <w:bidi w:val="0"/>
        <w:rPr>
          <w:color w:val="auto"/>
        </w:rPr>
      </w:pPr>
      <w:r>
        <w:rPr>
          <w:rFonts w:hint="eastAsia"/>
          <w:color w:val="auto"/>
        </w:rPr>
        <w:t>①定期监测建设项目排放的污染物是否符合国家所规定的排放标准；</w:t>
      </w:r>
    </w:p>
    <w:p w14:paraId="7D0BAD61">
      <w:pPr>
        <w:bidi w:val="0"/>
        <w:rPr>
          <w:color w:val="auto"/>
        </w:rPr>
      </w:pPr>
      <w:r>
        <w:rPr>
          <w:rFonts w:hint="eastAsia"/>
          <w:color w:val="auto"/>
        </w:rPr>
        <w:t>②分析所排污染物的变化规律，为制定污染控制措施提供依据；</w:t>
      </w:r>
    </w:p>
    <w:p w14:paraId="79EA1D98">
      <w:pPr>
        <w:bidi w:val="0"/>
        <w:rPr>
          <w:color w:val="auto"/>
        </w:rPr>
      </w:pPr>
      <w:r>
        <w:rPr>
          <w:rFonts w:hint="eastAsia"/>
          <w:color w:val="auto"/>
        </w:rPr>
        <w:t>③负责污染事故的监测及报告；</w:t>
      </w:r>
    </w:p>
    <w:p w14:paraId="5FF02B58">
      <w:pPr>
        <w:bidi w:val="0"/>
        <w:rPr>
          <w:color w:val="auto"/>
        </w:rPr>
      </w:pPr>
      <w:r>
        <w:rPr>
          <w:rFonts w:hint="eastAsia"/>
          <w:color w:val="auto"/>
        </w:rPr>
        <w:t>④环境监测对象主要有两个方面，即污染源监测和企业环境质量监测。</w:t>
      </w:r>
    </w:p>
    <w:p w14:paraId="79FA3491">
      <w:pPr>
        <w:pStyle w:val="5"/>
        <w:bidi w:val="0"/>
        <w:rPr>
          <w:color w:val="auto"/>
        </w:rPr>
      </w:pPr>
      <w:r>
        <w:rPr>
          <w:rFonts w:hint="eastAsia"/>
          <w:color w:val="auto"/>
        </w:rPr>
        <w:t>监测要求</w:t>
      </w:r>
    </w:p>
    <w:p w14:paraId="7F7D8DEA">
      <w:pPr>
        <w:bidi w:val="0"/>
        <w:rPr>
          <w:color w:val="auto"/>
        </w:rPr>
      </w:pPr>
      <w:r>
        <w:rPr>
          <w:rFonts w:hint="eastAsia"/>
          <w:color w:val="auto"/>
        </w:rPr>
        <w:t>（1）根据《大气污染物综合排放标准》（GB16297-1996）及《固定污染源排气中颗粒物测定与气态污染物采样方法》（GB/T16157-1996）要求，在废气治理设施前、后分别预留监测孔，设置明显标志。</w:t>
      </w:r>
    </w:p>
    <w:p w14:paraId="447401C5">
      <w:pPr>
        <w:bidi w:val="0"/>
        <w:rPr>
          <w:color w:val="auto"/>
        </w:rPr>
      </w:pPr>
      <w:r>
        <w:rPr>
          <w:rFonts w:hint="eastAsia"/>
          <w:color w:val="auto"/>
        </w:rPr>
        <w:t>（2）根据《</w:t>
      </w:r>
      <w:r>
        <w:rPr>
          <w:rFonts w:hint="eastAsia"/>
          <w:color w:val="auto"/>
          <w:lang w:eastAsia="zh-CN"/>
        </w:rPr>
        <w:t>环境保护图形标志 排放口（源）</w:t>
      </w:r>
      <w:r>
        <w:rPr>
          <w:rFonts w:hint="eastAsia"/>
          <w:color w:val="auto"/>
        </w:rPr>
        <w:t>》（GB15562.1-1995）标准要求，分别在废气排放口和噪声排放源设置环境保护图形标志，便于污染源的监督管理和常规监测工作的进行。</w:t>
      </w:r>
    </w:p>
    <w:p w14:paraId="55700A78">
      <w:pPr>
        <w:bidi w:val="0"/>
        <w:rPr>
          <w:color w:val="auto"/>
        </w:rPr>
      </w:pPr>
      <w:r>
        <w:rPr>
          <w:rFonts w:hint="eastAsia"/>
          <w:color w:val="auto"/>
        </w:rPr>
        <w:t>（3）污染监控应严格按照国家有关标准和技术规范进行。</w:t>
      </w:r>
    </w:p>
    <w:p w14:paraId="5EB2F784">
      <w:pPr>
        <w:pStyle w:val="5"/>
        <w:bidi w:val="0"/>
        <w:rPr>
          <w:color w:val="auto"/>
        </w:rPr>
      </w:pPr>
      <w:r>
        <w:rPr>
          <w:rFonts w:hint="eastAsia"/>
          <w:color w:val="auto"/>
        </w:rPr>
        <w:t>运行期监测计划</w:t>
      </w:r>
    </w:p>
    <w:p w14:paraId="52395DE9">
      <w:pPr>
        <w:bidi w:val="0"/>
        <w:rPr>
          <w:b w:val="0"/>
          <w:bCs w:val="0"/>
          <w:color w:val="auto"/>
          <w:u w:val="none"/>
        </w:rPr>
      </w:pPr>
      <w:r>
        <w:rPr>
          <w:rFonts w:hint="eastAsia"/>
          <w:b w:val="0"/>
          <w:bCs w:val="0"/>
          <w:color w:val="auto"/>
          <w:u w:val="none"/>
        </w:rPr>
        <w:t>根据本工程废气、废水和噪声等污染源的产、排情况，同时参照《排污许可证申请与核发技术规范</w:t>
      </w:r>
      <w:r>
        <w:rPr>
          <w:rFonts w:hint="eastAsia"/>
          <w:b w:val="0"/>
          <w:bCs w:val="0"/>
          <w:color w:val="auto"/>
          <w:u w:val="none"/>
          <w:lang w:val="en-US" w:eastAsia="zh-CN"/>
        </w:rPr>
        <w:t xml:space="preserve"> </w:t>
      </w:r>
      <w:r>
        <w:rPr>
          <w:rFonts w:hint="eastAsia"/>
          <w:b w:val="0"/>
          <w:bCs w:val="0"/>
          <w:color w:val="auto"/>
          <w:u w:val="none"/>
        </w:rPr>
        <w:t xml:space="preserve">化学纤维制造业》（HJ </w:t>
      </w:r>
      <w:r>
        <w:rPr>
          <w:rFonts w:hint="eastAsia"/>
          <w:b w:val="0"/>
          <w:bCs w:val="0"/>
          <w:color w:val="auto"/>
          <w:u w:val="none"/>
          <w:lang w:val="en-US" w:eastAsia="zh-CN"/>
        </w:rPr>
        <w:t>1102</w:t>
      </w:r>
      <w:r>
        <w:rPr>
          <w:rFonts w:hint="eastAsia"/>
          <w:b w:val="0"/>
          <w:bCs w:val="0"/>
          <w:color w:val="auto"/>
          <w:u w:val="none"/>
        </w:rPr>
        <w:t xml:space="preserve"> -20</w:t>
      </w:r>
      <w:r>
        <w:rPr>
          <w:rFonts w:hint="eastAsia"/>
          <w:b w:val="0"/>
          <w:bCs w:val="0"/>
          <w:color w:val="auto"/>
          <w:u w:val="none"/>
          <w:lang w:val="en-US" w:eastAsia="zh-CN"/>
        </w:rPr>
        <w:t>20</w:t>
      </w:r>
      <w:r>
        <w:rPr>
          <w:rFonts w:hint="eastAsia"/>
          <w:b w:val="0"/>
          <w:bCs w:val="0"/>
          <w:color w:val="auto"/>
          <w:u w:val="none"/>
        </w:rPr>
        <w:t>）要求，评价建议工程环境监测的具体内容和频率见</w:t>
      </w:r>
      <w:r>
        <w:rPr>
          <w:rFonts w:hint="eastAsia"/>
          <w:b w:val="0"/>
          <w:bCs w:val="0"/>
          <w:color w:val="auto"/>
          <w:u w:val="none"/>
          <w:lang w:val="en-US" w:eastAsia="zh-CN"/>
        </w:rPr>
        <w:t>下表</w:t>
      </w:r>
      <w:r>
        <w:rPr>
          <w:rFonts w:hint="eastAsia"/>
          <w:b w:val="0"/>
          <w:bCs w:val="0"/>
          <w:color w:val="auto"/>
          <w:u w:val="none"/>
        </w:rPr>
        <w:t>。监测方法参照国家有关技术标准和规范。</w:t>
      </w:r>
    </w:p>
    <w:p w14:paraId="4F95F0EC">
      <w:pPr>
        <w:pStyle w:val="10"/>
        <w:bidi w:val="0"/>
      </w:pPr>
      <w:r>
        <w:t xml:space="preserve">表 </w:t>
      </w:r>
      <w:r>
        <w:fldChar w:fldCharType="begin"/>
      </w:r>
      <w:r>
        <w:instrText xml:space="preserve"> STYLEREF 2 \s </w:instrText>
      </w:r>
      <w:r>
        <w:fldChar w:fldCharType="separate"/>
      </w:r>
      <w:r>
        <w:t>9.2</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w:t>
      </w:r>
      <w:r>
        <w:rPr>
          <w:rFonts w:hint="eastAsia"/>
        </w:rPr>
        <w:t>环境监测计划表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1"/>
        <w:gridCol w:w="695"/>
        <w:gridCol w:w="1824"/>
        <w:gridCol w:w="1471"/>
        <w:gridCol w:w="1824"/>
        <w:gridCol w:w="1825"/>
      </w:tblGrid>
      <w:tr w14:paraId="3BAB8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925" w:type="pct"/>
            <w:gridSpan w:val="2"/>
            <w:tcBorders>
              <w:top w:val="single" w:color="auto" w:sz="8" w:space="0"/>
              <w:left w:val="single" w:color="auto" w:sz="8" w:space="0"/>
              <w:bottom w:val="single" w:color="auto" w:sz="8" w:space="0"/>
            </w:tcBorders>
            <w:vAlign w:val="center"/>
          </w:tcPr>
          <w:p w14:paraId="366C1962">
            <w:pPr>
              <w:pStyle w:val="182"/>
              <w:bidi w:val="0"/>
              <w:rPr>
                <w:b/>
                <w:bCs/>
                <w:color w:val="auto"/>
                <w:u w:val="single"/>
              </w:rPr>
            </w:pPr>
            <w:r>
              <w:rPr>
                <w:rFonts w:hint="eastAsia"/>
                <w:b/>
                <w:bCs/>
                <w:color w:val="auto"/>
                <w:u w:val="single"/>
              </w:rPr>
              <w:t>监测类别</w:t>
            </w:r>
          </w:p>
        </w:tc>
        <w:tc>
          <w:tcPr>
            <w:tcW w:w="1070" w:type="pct"/>
            <w:tcBorders>
              <w:top w:val="single" w:color="auto" w:sz="8" w:space="0"/>
              <w:bottom w:val="single" w:color="auto" w:sz="8" w:space="0"/>
            </w:tcBorders>
            <w:vAlign w:val="center"/>
          </w:tcPr>
          <w:p w14:paraId="0C0FDC0D">
            <w:pPr>
              <w:pStyle w:val="182"/>
              <w:bidi w:val="0"/>
              <w:rPr>
                <w:b/>
                <w:bCs/>
                <w:color w:val="auto"/>
                <w:u w:val="single"/>
              </w:rPr>
            </w:pPr>
            <w:r>
              <w:rPr>
                <w:rFonts w:hint="eastAsia"/>
                <w:b/>
                <w:bCs/>
                <w:color w:val="auto"/>
                <w:u w:val="single"/>
              </w:rPr>
              <w:t>监测指标</w:t>
            </w:r>
          </w:p>
        </w:tc>
        <w:tc>
          <w:tcPr>
            <w:tcW w:w="863" w:type="pct"/>
            <w:tcBorders>
              <w:top w:val="single" w:color="auto" w:sz="8" w:space="0"/>
              <w:bottom w:val="single" w:color="auto" w:sz="8" w:space="0"/>
            </w:tcBorders>
            <w:vAlign w:val="center"/>
          </w:tcPr>
          <w:p w14:paraId="66D7EDAD">
            <w:pPr>
              <w:pStyle w:val="182"/>
              <w:bidi w:val="0"/>
              <w:rPr>
                <w:b/>
                <w:bCs/>
                <w:color w:val="auto"/>
                <w:u w:val="single"/>
              </w:rPr>
            </w:pPr>
            <w:r>
              <w:rPr>
                <w:rFonts w:hint="eastAsia"/>
                <w:b/>
                <w:bCs/>
                <w:color w:val="auto"/>
                <w:u w:val="single"/>
              </w:rPr>
              <w:t>监测点位</w:t>
            </w:r>
          </w:p>
        </w:tc>
        <w:tc>
          <w:tcPr>
            <w:tcW w:w="1070" w:type="pct"/>
            <w:tcBorders>
              <w:top w:val="single" w:color="auto" w:sz="8" w:space="0"/>
              <w:bottom w:val="single" w:color="auto" w:sz="8" w:space="0"/>
            </w:tcBorders>
            <w:vAlign w:val="center"/>
          </w:tcPr>
          <w:p w14:paraId="7B4324B8">
            <w:pPr>
              <w:pStyle w:val="182"/>
              <w:bidi w:val="0"/>
              <w:rPr>
                <w:b/>
                <w:bCs/>
                <w:color w:val="auto"/>
                <w:u w:val="single"/>
              </w:rPr>
            </w:pPr>
            <w:r>
              <w:rPr>
                <w:rFonts w:hint="eastAsia"/>
                <w:b/>
                <w:bCs/>
                <w:color w:val="auto"/>
                <w:u w:val="single"/>
              </w:rPr>
              <w:t>监测频率</w:t>
            </w:r>
          </w:p>
        </w:tc>
        <w:tc>
          <w:tcPr>
            <w:tcW w:w="1070" w:type="pct"/>
            <w:tcBorders>
              <w:top w:val="single" w:color="auto" w:sz="8" w:space="0"/>
              <w:bottom w:val="single" w:color="auto" w:sz="8" w:space="0"/>
            </w:tcBorders>
            <w:vAlign w:val="center"/>
          </w:tcPr>
          <w:p w14:paraId="394F45C9">
            <w:pPr>
              <w:pStyle w:val="182"/>
              <w:bidi w:val="0"/>
              <w:rPr>
                <w:rFonts w:hint="eastAsia"/>
                <w:b/>
                <w:bCs/>
                <w:color w:val="auto"/>
                <w:u w:val="single"/>
              </w:rPr>
            </w:pPr>
            <w:r>
              <w:rPr>
                <w:rFonts w:hint="eastAsia"/>
                <w:b/>
                <w:bCs/>
                <w:color w:val="auto"/>
                <w:u w:val="single"/>
                <w:lang w:val="en-US" w:eastAsia="zh-CN"/>
              </w:rPr>
              <w:t>备注</w:t>
            </w:r>
          </w:p>
        </w:tc>
      </w:tr>
      <w:tr w14:paraId="671EE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5" w:hRule="atLeast"/>
        </w:trPr>
        <w:tc>
          <w:tcPr>
            <w:tcW w:w="517" w:type="pct"/>
            <w:vMerge w:val="restart"/>
            <w:tcBorders>
              <w:top w:val="single" w:color="auto" w:sz="8" w:space="0"/>
              <w:left w:val="single" w:color="auto" w:sz="8" w:space="0"/>
            </w:tcBorders>
            <w:vAlign w:val="center"/>
          </w:tcPr>
          <w:p w14:paraId="10CA05A4">
            <w:pPr>
              <w:pStyle w:val="182"/>
              <w:bidi w:val="0"/>
              <w:rPr>
                <w:b/>
                <w:bCs/>
                <w:color w:val="auto"/>
                <w:u w:val="single"/>
              </w:rPr>
            </w:pPr>
            <w:r>
              <w:rPr>
                <w:rFonts w:hint="eastAsia"/>
                <w:b/>
                <w:bCs/>
                <w:color w:val="auto"/>
                <w:u w:val="single"/>
              </w:rPr>
              <w:t>污染源监测</w:t>
            </w:r>
          </w:p>
        </w:tc>
        <w:tc>
          <w:tcPr>
            <w:tcW w:w="407" w:type="pct"/>
            <w:vMerge w:val="restart"/>
            <w:tcBorders>
              <w:top w:val="single" w:color="auto" w:sz="8" w:space="0"/>
            </w:tcBorders>
            <w:vAlign w:val="center"/>
          </w:tcPr>
          <w:p w14:paraId="2FC0E5E7">
            <w:pPr>
              <w:pStyle w:val="182"/>
              <w:bidi w:val="0"/>
              <w:rPr>
                <w:b/>
                <w:bCs/>
                <w:color w:val="auto"/>
                <w:u w:val="single"/>
              </w:rPr>
            </w:pPr>
            <w:r>
              <w:rPr>
                <w:rFonts w:hint="eastAsia"/>
                <w:b/>
                <w:bCs/>
                <w:color w:val="auto"/>
                <w:u w:val="single"/>
              </w:rPr>
              <w:t>废水</w:t>
            </w:r>
          </w:p>
        </w:tc>
        <w:tc>
          <w:tcPr>
            <w:tcW w:w="1070" w:type="pct"/>
            <w:tcBorders>
              <w:top w:val="single" w:color="auto" w:sz="8" w:space="0"/>
            </w:tcBorders>
            <w:vAlign w:val="center"/>
          </w:tcPr>
          <w:p w14:paraId="262C5F5E">
            <w:pPr>
              <w:pStyle w:val="182"/>
              <w:bidi w:val="0"/>
              <w:rPr>
                <w:rFonts w:hint="default" w:eastAsia="宋体"/>
                <w:b/>
                <w:bCs/>
                <w:color w:val="auto"/>
                <w:u w:val="single"/>
                <w:lang w:val="en-US" w:eastAsia="zh-CN"/>
              </w:rPr>
            </w:pPr>
            <w:r>
              <w:rPr>
                <w:rFonts w:hint="eastAsia"/>
                <w:b/>
                <w:bCs/>
                <w:color w:val="auto"/>
                <w:u w:val="single"/>
              </w:rPr>
              <w:t>流量、COD、NH</w:t>
            </w:r>
            <w:r>
              <w:rPr>
                <w:rFonts w:hint="eastAsia"/>
                <w:b/>
                <w:bCs/>
                <w:color w:val="auto"/>
                <w:u w:val="single"/>
                <w:vertAlign w:val="subscript"/>
              </w:rPr>
              <w:t>3</w:t>
            </w:r>
            <w:r>
              <w:rPr>
                <w:rFonts w:hint="eastAsia"/>
                <w:b/>
                <w:bCs/>
                <w:color w:val="auto"/>
                <w:u w:val="single"/>
              </w:rPr>
              <w:t>-N</w:t>
            </w:r>
          </w:p>
        </w:tc>
        <w:tc>
          <w:tcPr>
            <w:tcW w:w="863" w:type="pct"/>
            <w:vMerge w:val="restart"/>
            <w:tcBorders>
              <w:top w:val="single" w:color="auto" w:sz="8" w:space="0"/>
            </w:tcBorders>
            <w:vAlign w:val="center"/>
          </w:tcPr>
          <w:p w14:paraId="0A3210C4">
            <w:pPr>
              <w:pStyle w:val="182"/>
              <w:bidi w:val="0"/>
              <w:rPr>
                <w:b/>
                <w:bCs/>
                <w:color w:val="auto"/>
                <w:u w:val="single"/>
              </w:rPr>
            </w:pPr>
            <w:r>
              <w:rPr>
                <w:rFonts w:hint="eastAsia"/>
                <w:b/>
                <w:bCs/>
                <w:color w:val="auto"/>
                <w:u w:val="single"/>
              </w:rPr>
              <w:t>总排口</w:t>
            </w:r>
          </w:p>
        </w:tc>
        <w:tc>
          <w:tcPr>
            <w:tcW w:w="1070" w:type="pct"/>
            <w:tcBorders>
              <w:top w:val="single" w:color="auto" w:sz="8" w:space="0"/>
            </w:tcBorders>
            <w:vAlign w:val="center"/>
          </w:tcPr>
          <w:p w14:paraId="0FAEAB67">
            <w:pPr>
              <w:pStyle w:val="182"/>
              <w:bidi w:val="0"/>
              <w:rPr>
                <w:b/>
                <w:bCs/>
                <w:color w:val="auto"/>
                <w:u w:val="single"/>
              </w:rPr>
            </w:pPr>
            <w:r>
              <w:rPr>
                <w:rFonts w:hint="eastAsia"/>
                <w:b/>
                <w:bCs/>
                <w:color w:val="auto"/>
                <w:u w:val="single"/>
              </w:rPr>
              <w:t>COD、NH</w:t>
            </w:r>
            <w:r>
              <w:rPr>
                <w:rFonts w:hint="eastAsia"/>
                <w:b/>
                <w:bCs/>
                <w:color w:val="auto"/>
                <w:u w:val="single"/>
                <w:vertAlign w:val="subscript"/>
              </w:rPr>
              <w:t>3</w:t>
            </w:r>
            <w:r>
              <w:rPr>
                <w:rFonts w:hint="eastAsia"/>
                <w:b/>
                <w:bCs/>
                <w:color w:val="auto"/>
                <w:u w:val="single"/>
              </w:rPr>
              <w:t>-N每小时一次（自动监测）其余项目每天1次</w:t>
            </w:r>
          </w:p>
        </w:tc>
        <w:tc>
          <w:tcPr>
            <w:tcW w:w="1070" w:type="pct"/>
            <w:tcBorders>
              <w:top w:val="single" w:color="auto" w:sz="8" w:space="0"/>
            </w:tcBorders>
            <w:vAlign w:val="center"/>
          </w:tcPr>
          <w:p w14:paraId="7EC94FE0">
            <w:pPr>
              <w:pStyle w:val="182"/>
              <w:bidi w:val="0"/>
              <w:rPr>
                <w:rFonts w:hint="eastAsia"/>
                <w:b/>
                <w:bCs/>
                <w:color w:val="auto"/>
                <w:u w:val="single"/>
              </w:rPr>
            </w:pPr>
            <w:r>
              <w:rPr>
                <w:rFonts w:hint="eastAsia"/>
                <w:b/>
                <w:bCs/>
                <w:color w:val="auto"/>
                <w:u w:val="single"/>
                <w:lang w:val="en-US" w:eastAsia="zh-CN"/>
              </w:rPr>
              <w:t>依托厂区现有监测计划</w:t>
            </w:r>
          </w:p>
        </w:tc>
      </w:tr>
      <w:tr w14:paraId="55609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1" w:hRule="atLeast"/>
        </w:trPr>
        <w:tc>
          <w:tcPr>
            <w:tcW w:w="517" w:type="pct"/>
            <w:vMerge w:val="continue"/>
            <w:tcBorders>
              <w:left w:val="single" w:color="auto" w:sz="8" w:space="0"/>
            </w:tcBorders>
            <w:vAlign w:val="center"/>
          </w:tcPr>
          <w:p w14:paraId="6258B611">
            <w:pPr>
              <w:pStyle w:val="182"/>
              <w:bidi w:val="0"/>
              <w:rPr>
                <w:b/>
                <w:bCs/>
                <w:color w:val="auto"/>
                <w:u w:val="single"/>
              </w:rPr>
            </w:pPr>
          </w:p>
        </w:tc>
        <w:tc>
          <w:tcPr>
            <w:tcW w:w="407" w:type="pct"/>
            <w:vMerge w:val="continue"/>
            <w:vAlign w:val="center"/>
          </w:tcPr>
          <w:p w14:paraId="35F8D6A2">
            <w:pPr>
              <w:pStyle w:val="182"/>
              <w:bidi w:val="0"/>
              <w:rPr>
                <w:b/>
                <w:bCs/>
                <w:color w:val="auto"/>
                <w:u w:val="single"/>
              </w:rPr>
            </w:pPr>
          </w:p>
        </w:tc>
        <w:tc>
          <w:tcPr>
            <w:tcW w:w="1070" w:type="pct"/>
            <w:vAlign w:val="center"/>
          </w:tcPr>
          <w:p w14:paraId="21C5C5AD">
            <w:pPr>
              <w:pStyle w:val="182"/>
              <w:bidi w:val="0"/>
              <w:rPr>
                <w:b/>
                <w:bCs/>
                <w:color w:val="auto"/>
                <w:u w:val="single"/>
              </w:rPr>
            </w:pPr>
            <w:r>
              <w:rPr>
                <w:rFonts w:hint="eastAsia"/>
                <w:b/>
                <w:bCs/>
                <w:color w:val="auto"/>
                <w:u w:val="single"/>
              </w:rPr>
              <w:t>SS、BOD</w:t>
            </w:r>
            <w:r>
              <w:rPr>
                <w:rFonts w:hint="eastAsia"/>
                <w:b/>
                <w:bCs/>
                <w:color w:val="auto"/>
                <w:u w:val="single"/>
                <w:vertAlign w:val="subscript"/>
              </w:rPr>
              <w:t>5</w:t>
            </w:r>
            <w:r>
              <w:rPr>
                <w:rFonts w:hint="eastAsia"/>
                <w:b/>
                <w:bCs/>
                <w:color w:val="auto"/>
                <w:u w:val="single"/>
                <w:lang w:eastAsia="zh-CN"/>
              </w:rPr>
              <w:t>、</w:t>
            </w:r>
            <w:r>
              <w:rPr>
                <w:rFonts w:hint="eastAsia"/>
                <w:b/>
                <w:bCs/>
                <w:color w:val="auto"/>
                <w:u w:val="single"/>
                <w:lang w:val="en-US" w:eastAsia="zh-CN"/>
              </w:rPr>
              <w:t>TN、TP</w:t>
            </w:r>
          </w:p>
        </w:tc>
        <w:tc>
          <w:tcPr>
            <w:tcW w:w="863" w:type="pct"/>
            <w:vMerge w:val="continue"/>
            <w:vAlign w:val="center"/>
          </w:tcPr>
          <w:p w14:paraId="1ECCF82D">
            <w:pPr>
              <w:pStyle w:val="182"/>
              <w:bidi w:val="0"/>
              <w:rPr>
                <w:b/>
                <w:bCs/>
                <w:color w:val="auto"/>
                <w:u w:val="single"/>
              </w:rPr>
            </w:pPr>
          </w:p>
        </w:tc>
        <w:tc>
          <w:tcPr>
            <w:tcW w:w="1070" w:type="pct"/>
            <w:vAlign w:val="center"/>
          </w:tcPr>
          <w:p w14:paraId="4FB1BEDB">
            <w:pPr>
              <w:pStyle w:val="182"/>
              <w:bidi w:val="0"/>
              <w:rPr>
                <w:b/>
                <w:bCs/>
                <w:color w:val="auto"/>
                <w:u w:val="single"/>
              </w:rPr>
            </w:pPr>
            <w:r>
              <w:rPr>
                <w:b/>
                <w:bCs/>
                <w:color w:val="auto"/>
                <w:u w:val="single"/>
              </w:rPr>
              <w:t>1次/</w:t>
            </w:r>
            <w:r>
              <w:rPr>
                <w:rFonts w:hint="eastAsia"/>
                <w:b/>
                <w:bCs/>
                <w:color w:val="auto"/>
                <w:u w:val="single"/>
                <w:lang w:val="en-US" w:eastAsia="zh-CN"/>
              </w:rPr>
              <w:t>半年</w:t>
            </w:r>
          </w:p>
        </w:tc>
        <w:tc>
          <w:tcPr>
            <w:tcW w:w="1070" w:type="pct"/>
            <w:vAlign w:val="center"/>
          </w:tcPr>
          <w:p w14:paraId="41B035FF">
            <w:pPr>
              <w:pStyle w:val="182"/>
              <w:bidi w:val="0"/>
              <w:rPr>
                <w:b/>
                <w:bCs/>
                <w:color w:val="auto"/>
                <w:u w:val="single"/>
              </w:rPr>
            </w:pPr>
            <w:r>
              <w:rPr>
                <w:rFonts w:hint="eastAsia"/>
                <w:b/>
                <w:bCs/>
                <w:color w:val="auto"/>
                <w:u w:val="single"/>
                <w:lang w:val="en-US" w:eastAsia="zh-CN"/>
              </w:rPr>
              <w:t>依托厂区现有监测计划</w:t>
            </w:r>
          </w:p>
        </w:tc>
      </w:tr>
      <w:tr w14:paraId="46C38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5" w:hRule="atLeast"/>
        </w:trPr>
        <w:tc>
          <w:tcPr>
            <w:tcW w:w="517" w:type="pct"/>
            <w:vMerge w:val="continue"/>
            <w:tcBorders>
              <w:left w:val="single" w:color="auto" w:sz="8" w:space="0"/>
            </w:tcBorders>
            <w:vAlign w:val="center"/>
          </w:tcPr>
          <w:p w14:paraId="64D8AEDB">
            <w:pPr>
              <w:pStyle w:val="182"/>
              <w:bidi w:val="0"/>
              <w:rPr>
                <w:b/>
                <w:bCs/>
                <w:color w:val="auto"/>
                <w:u w:val="single"/>
              </w:rPr>
            </w:pPr>
          </w:p>
        </w:tc>
        <w:tc>
          <w:tcPr>
            <w:tcW w:w="407" w:type="pct"/>
            <w:vMerge w:val="restart"/>
            <w:vAlign w:val="center"/>
          </w:tcPr>
          <w:p w14:paraId="19C20BD9">
            <w:pPr>
              <w:pStyle w:val="182"/>
              <w:bidi w:val="0"/>
              <w:rPr>
                <w:b/>
                <w:bCs/>
                <w:color w:val="auto"/>
                <w:u w:val="single"/>
              </w:rPr>
            </w:pPr>
            <w:r>
              <w:rPr>
                <w:rFonts w:hint="eastAsia"/>
                <w:b/>
                <w:bCs/>
                <w:color w:val="auto"/>
                <w:u w:val="single"/>
              </w:rPr>
              <w:t>废气</w:t>
            </w:r>
          </w:p>
        </w:tc>
        <w:tc>
          <w:tcPr>
            <w:tcW w:w="1070" w:type="pct"/>
            <w:vAlign w:val="center"/>
          </w:tcPr>
          <w:p w14:paraId="344D24FB">
            <w:pPr>
              <w:pStyle w:val="182"/>
              <w:bidi w:val="0"/>
              <w:rPr>
                <w:rFonts w:hint="eastAsia" w:eastAsia="宋体"/>
                <w:b/>
                <w:bCs/>
                <w:color w:val="auto"/>
                <w:u w:val="single"/>
                <w:lang w:val="en-US" w:eastAsia="zh-CN"/>
              </w:rPr>
            </w:pPr>
            <w:r>
              <w:rPr>
                <w:rFonts w:hint="eastAsia"/>
                <w:b/>
                <w:bCs/>
                <w:color w:val="auto"/>
                <w:u w:val="single"/>
                <w:lang w:val="en-US" w:eastAsia="zh-CN"/>
              </w:rPr>
              <w:t>非甲烷总烃</w:t>
            </w:r>
            <w:r>
              <w:rPr>
                <w:rFonts w:hint="eastAsia"/>
                <w:b/>
                <w:bCs/>
                <w:color w:val="auto"/>
                <w:u w:val="single"/>
              </w:rPr>
              <w:t>（无组织）</w:t>
            </w:r>
          </w:p>
        </w:tc>
        <w:tc>
          <w:tcPr>
            <w:tcW w:w="863" w:type="pct"/>
            <w:vAlign w:val="center"/>
          </w:tcPr>
          <w:p w14:paraId="23C8B9E2">
            <w:pPr>
              <w:pStyle w:val="182"/>
              <w:bidi w:val="0"/>
              <w:rPr>
                <w:b/>
                <w:bCs/>
                <w:color w:val="auto"/>
                <w:u w:val="single"/>
              </w:rPr>
            </w:pPr>
            <w:r>
              <w:rPr>
                <w:rFonts w:hint="eastAsia"/>
                <w:b/>
                <w:bCs/>
                <w:color w:val="auto"/>
                <w:u w:val="single"/>
              </w:rPr>
              <w:t>四周厂界</w:t>
            </w:r>
          </w:p>
        </w:tc>
        <w:tc>
          <w:tcPr>
            <w:tcW w:w="1070" w:type="pct"/>
            <w:vAlign w:val="center"/>
          </w:tcPr>
          <w:p w14:paraId="5C1A9AF5">
            <w:pPr>
              <w:pStyle w:val="182"/>
              <w:bidi w:val="0"/>
              <w:rPr>
                <w:b/>
                <w:bCs/>
                <w:color w:val="auto"/>
                <w:u w:val="single"/>
              </w:rPr>
            </w:pPr>
            <w:r>
              <w:rPr>
                <w:rFonts w:hint="eastAsia"/>
                <w:b/>
                <w:bCs/>
                <w:color w:val="auto"/>
                <w:u w:val="single"/>
              </w:rPr>
              <w:t>1次/季</w:t>
            </w:r>
          </w:p>
        </w:tc>
        <w:tc>
          <w:tcPr>
            <w:tcW w:w="1070" w:type="pct"/>
            <w:vAlign w:val="center"/>
          </w:tcPr>
          <w:p w14:paraId="2AF0EFB3">
            <w:pPr>
              <w:pStyle w:val="182"/>
              <w:bidi w:val="0"/>
              <w:rPr>
                <w:rFonts w:hint="eastAsia"/>
                <w:b/>
                <w:bCs/>
                <w:color w:val="auto"/>
                <w:u w:val="single"/>
              </w:rPr>
            </w:pPr>
            <w:r>
              <w:rPr>
                <w:rFonts w:hint="eastAsia"/>
                <w:b/>
                <w:bCs/>
                <w:color w:val="auto"/>
                <w:u w:val="single"/>
                <w:lang w:val="en-US" w:eastAsia="zh-CN"/>
              </w:rPr>
              <w:t>依托厂区现有监测计划</w:t>
            </w:r>
          </w:p>
        </w:tc>
      </w:tr>
      <w:tr w14:paraId="5405C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5" w:hRule="atLeast"/>
        </w:trPr>
        <w:tc>
          <w:tcPr>
            <w:tcW w:w="517" w:type="pct"/>
            <w:vMerge w:val="continue"/>
            <w:tcBorders>
              <w:left w:val="single" w:color="auto" w:sz="8" w:space="0"/>
            </w:tcBorders>
            <w:vAlign w:val="center"/>
          </w:tcPr>
          <w:p w14:paraId="1E9AFEF1">
            <w:pPr>
              <w:pStyle w:val="182"/>
              <w:bidi w:val="0"/>
              <w:rPr>
                <w:b/>
                <w:bCs/>
                <w:color w:val="auto"/>
                <w:u w:val="single"/>
              </w:rPr>
            </w:pPr>
          </w:p>
        </w:tc>
        <w:tc>
          <w:tcPr>
            <w:tcW w:w="407" w:type="pct"/>
            <w:vMerge w:val="continue"/>
            <w:vAlign w:val="center"/>
          </w:tcPr>
          <w:p w14:paraId="51F3F6AB">
            <w:pPr>
              <w:pStyle w:val="182"/>
              <w:bidi w:val="0"/>
              <w:rPr>
                <w:rFonts w:hint="eastAsia"/>
                <w:b/>
                <w:bCs/>
                <w:color w:val="auto"/>
                <w:u w:val="single"/>
              </w:rPr>
            </w:pPr>
          </w:p>
        </w:tc>
        <w:tc>
          <w:tcPr>
            <w:tcW w:w="1070" w:type="pct"/>
            <w:vAlign w:val="center"/>
          </w:tcPr>
          <w:p w14:paraId="408D5C9C">
            <w:pPr>
              <w:pStyle w:val="182"/>
              <w:bidi w:val="0"/>
              <w:ind w:firstLine="0" w:firstLineChars="0"/>
              <w:rPr>
                <w:rFonts w:hint="default" w:eastAsia="宋体"/>
                <w:b/>
                <w:bCs/>
                <w:color w:val="auto"/>
                <w:u w:val="single"/>
                <w:lang w:val="en-US" w:eastAsia="zh-CN"/>
              </w:rPr>
            </w:pPr>
            <w:r>
              <w:rPr>
                <w:rFonts w:hint="eastAsia"/>
                <w:b/>
                <w:bCs/>
                <w:color w:val="auto"/>
                <w:u w:val="single"/>
                <w:lang w:val="en-US" w:eastAsia="zh-CN"/>
              </w:rPr>
              <w:t>非甲烷总烃</w:t>
            </w:r>
            <w:r>
              <w:rPr>
                <w:rFonts w:hint="eastAsia"/>
                <w:b/>
                <w:bCs/>
                <w:color w:val="auto"/>
                <w:u w:val="single"/>
              </w:rPr>
              <w:t>（</w:t>
            </w:r>
            <w:r>
              <w:rPr>
                <w:rFonts w:hint="eastAsia"/>
                <w:b/>
                <w:bCs/>
                <w:color w:val="auto"/>
                <w:u w:val="single"/>
                <w:lang w:val="en-US" w:eastAsia="zh-CN"/>
              </w:rPr>
              <w:t>有</w:t>
            </w:r>
            <w:r>
              <w:rPr>
                <w:rFonts w:hint="eastAsia"/>
                <w:b/>
                <w:bCs/>
                <w:color w:val="auto"/>
                <w:u w:val="single"/>
              </w:rPr>
              <w:t>组织）</w:t>
            </w:r>
          </w:p>
        </w:tc>
        <w:tc>
          <w:tcPr>
            <w:tcW w:w="863" w:type="pct"/>
            <w:vAlign w:val="center"/>
          </w:tcPr>
          <w:p w14:paraId="0F412C46">
            <w:pPr>
              <w:pStyle w:val="182"/>
              <w:bidi w:val="0"/>
              <w:ind w:firstLine="0" w:firstLineChars="0"/>
              <w:rPr>
                <w:rFonts w:hint="default"/>
                <w:b/>
                <w:bCs/>
                <w:color w:val="auto"/>
                <w:u w:val="single"/>
                <w:lang w:val="en-US"/>
              </w:rPr>
            </w:pPr>
            <w:r>
              <w:rPr>
                <w:rFonts w:hint="eastAsia"/>
                <w:b/>
                <w:bCs/>
                <w:color w:val="auto"/>
                <w:u w:val="single"/>
                <w:lang w:val="en-US" w:eastAsia="zh-CN"/>
              </w:rPr>
              <w:t>排气筒DA030</w:t>
            </w:r>
          </w:p>
        </w:tc>
        <w:tc>
          <w:tcPr>
            <w:tcW w:w="1070" w:type="pct"/>
            <w:vAlign w:val="center"/>
          </w:tcPr>
          <w:p w14:paraId="783147EA">
            <w:pPr>
              <w:pStyle w:val="182"/>
              <w:bidi w:val="0"/>
              <w:ind w:firstLine="0" w:firstLineChars="0"/>
              <w:rPr>
                <w:rFonts w:hint="eastAsia" w:eastAsia="宋体"/>
                <w:b/>
                <w:bCs/>
                <w:color w:val="auto"/>
                <w:u w:val="single"/>
                <w:lang w:eastAsia="zh-CN"/>
              </w:rPr>
            </w:pPr>
            <w:r>
              <w:rPr>
                <w:b/>
                <w:bCs/>
                <w:color w:val="auto"/>
                <w:u w:val="single"/>
              </w:rPr>
              <w:t>1次/</w:t>
            </w:r>
            <w:r>
              <w:rPr>
                <w:rFonts w:hint="eastAsia"/>
                <w:b/>
                <w:bCs/>
                <w:color w:val="auto"/>
                <w:u w:val="single"/>
                <w:lang w:val="en-US" w:eastAsia="zh-CN"/>
              </w:rPr>
              <w:t>半年</w:t>
            </w:r>
          </w:p>
        </w:tc>
        <w:tc>
          <w:tcPr>
            <w:tcW w:w="1070" w:type="pct"/>
            <w:vAlign w:val="center"/>
          </w:tcPr>
          <w:p w14:paraId="05344403">
            <w:pPr>
              <w:pStyle w:val="182"/>
              <w:bidi w:val="0"/>
              <w:ind w:firstLine="0" w:firstLineChars="0"/>
              <w:rPr>
                <w:rFonts w:hint="eastAsia" w:eastAsia="宋体"/>
                <w:b/>
                <w:bCs/>
                <w:color w:val="auto"/>
                <w:u w:val="single"/>
                <w:lang w:val="en-US" w:eastAsia="zh-CN"/>
              </w:rPr>
            </w:pPr>
            <w:r>
              <w:rPr>
                <w:rFonts w:hint="eastAsia"/>
                <w:b/>
                <w:bCs/>
                <w:color w:val="auto"/>
                <w:u w:val="single"/>
                <w:lang w:val="en-US" w:eastAsia="zh-CN"/>
              </w:rPr>
              <w:t>新增</w:t>
            </w:r>
          </w:p>
        </w:tc>
      </w:tr>
      <w:tr w14:paraId="7A659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5" w:hRule="atLeast"/>
        </w:trPr>
        <w:tc>
          <w:tcPr>
            <w:tcW w:w="517" w:type="pct"/>
            <w:vMerge w:val="continue"/>
            <w:tcBorders>
              <w:left w:val="single" w:color="auto" w:sz="8" w:space="0"/>
            </w:tcBorders>
            <w:vAlign w:val="center"/>
          </w:tcPr>
          <w:p w14:paraId="69276799">
            <w:pPr>
              <w:pStyle w:val="182"/>
              <w:bidi w:val="0"/>
              <w:rPr>
                <w:b/>
                <w:bCs/>
                <w:color w:val="auto"/>
                <w:u w:val="single"/>
              </w:rPr>
            </w:pPr>
          </w:p>
        </w:tc>
        <w:tc>
          <w:tcPr>
            <w:tcW w:w="407" w:type="pct"/>
            <w:vMerge w:val="continue"/>
            <w:vAlign w:val="center"/>
          </w:tcPr>
          <w:p w14:paraId="3D2AB9B6">
            <w:pPr>
              <w:pStyle w:val="182"/>
              <w:bidi w:val="0"/>
              <w:rPr>
                <w:rFonts w:hint="eastAsia"/>
                <w:b/>
                <w:bCs/>
                <w:color w:val="auto"/>
                <w:u w:val="single"/>
              </w:rPr>
            </w:pPr>
          </w:p>
        </w:tc>
        <w:tc>
          <w:tcPr>
            <w:tcW w:w="1070" w:type="pct"/>
            <w:vAlign w:val="center"/>
          </w:tcPr>
          <w:p w14:paraId="2FEDE6B3">
            <w:pPr>
              <w:pStyle w:val="182"/>
              <w:bidi w:val="0"/>
              <w:ind w:firstLine="0" w:firstLineChars="0"/>
              <w:rPr>
                <w:rFonts w:hint="default"/>
                <w:b/>
                <w:bCs/>
                <w:color w:val="auto"/>
                <w:u w:val="single"/>
                <w:lang w:val="en-US" w:eastAsia="zh-CN"/>
              </w:rPr>
            </w:pPr>
            <w:r>
              <w:rPr>
                <w:rFonts w:hint="eastAsia"/>
                <w:b/>
                <w:bCs/>
                <w:color w:val="auto"/>
                <w:u w:val="single"/>
                <w:lang w:val="en-US" w:eastAsia="zh-CN"/>
              </w:rPr>
              <w:t>颗粒物（无组织）</w:t>
            </w:r>
          </w:p>
        </w:tc>
        <w:tc>
          <w:tcPr>
            <w:tcW w:w="863" w:type="pct"/>
            <w:vAlign w:val="center"/>
          </w:tcPr>
          <w:p w14:paraId="76A199EB">
            <w:pPr>
              <w:pStyle w:val="182"/>
              <w:bidi w:val="0"/>
              <w:ind w:firstLine="0" w:firstLineChars="0"/>
              <w:rPr>
                <w:rFonts w:hint="default"/>
                <w:b/>
                <w:bCs/>
                <w:color w:val="auto"/>
                <w:u w:val="single"/>
                <w:lang w:val="en-US" w:eastAsia="zh-CN"/>
              </w:rPr>
            </w:pPr>
            <w:r>
              <w:rPr>
                <w:rFonts w:hint="eastAsia"/>
                <w:b/>
                <w:bCs/>
                <w:color w:val="auto"/>
                <w:u w:val="single"/>
                <w:lang w:val="en-US" w:eastAsia="zh-CN"/>
              </w:rPr>
              <w:t>四周厂界</w:t>
            </w:r>
          </w:p>
        </w:tc>
        <w:tc>
          <w:tcPr>
            <w:tcW w:w="1070" w:type="pct"/>
            <w:vAlign w:val="center"/>
          </w:tcPr>
          <w:p w14:paraId="4FAC2310">
            <w:pPr>
              <w:pStyle w:val="182"/>
              <w:bidi w:val="0"/>
              <w:ind w:firstLine="0" w:firstLineChars="0"/>
              <w:rPr>
                <w:b/>
                <w:bCs/>
                <w:color w:val="auto"/>
                <w:u w:val="single"/>
              </w:rPr>
            </w:pPr>
            <w:r>
              <w:rPr>
                <w:b/>
                <w:bCs/>
                <w:color w:val="auto"/>
                <w:u w:val="single"/>
              </w:rPr>
              <w:t>1次/季</w:t>
            </w:r>
          </w:p>
        </w:tc>
        <w:tc>
          <w:tcPr>
            <w:tcW w:w="1070" w:type="pct"/>
            <w:vAlign w:val="center"/>
          </w:tcPr>
          <w:p w14:paraId="239A1B42">
            <w:pPr>
              <w:pStyle w:val="182"/>
              <w:bidi w:val="0"/>
              <w:ind w:firstLine="0" w:firstLineChars="0"/>
              <w:rPr>
                <w:b/>
                <w:bCs/>
                <w:color w:val="auto"/>
                <w:u w:val="single"/>
              </w:rPr>
            </w:pPr>
            <w:r>
              <w:rPr>
                <w:rFonts w:hint="eastAsia"/>
                <w:b/>
                <w:bCs/>
                <w:color w:val="auto"/>
                <w:u w:val="single"/>
                <w:lang w:val="en-US" w:eastAsia="zh-CN"/>
              </w:rPr>
              <w:t>依托厂区现有监测计划</w:t>
            </w:r>
          </w:p>
        </w:tc>
      </w:tr>
      <w:tr w14:paraId="2AF58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17" w:type="pct"/>
            <w:vMerge w:val="continue"/>
            <w:tcBorders>
              <w:left w:val="single" w:color="auto" w:sz="8" w:space="0"/>
              <w:bottom w:val="single" w:color="auto" w:sz="8" w:space="0"/>
            </w:tcBorders>
            <w:vAlign w:val="center"/>
          </w:tcPr>
          <w:p w14:paraId="1EBD1D34">
            <w:pPr>
              <w:pStyle w:val="182"/>
              <w:bidi w:val="0"/>
              <w:rPr>
                <w:b/>
                <w:bCs/>
                <w:color w:val="auto"/>
                <w:u w:val="single"/>
              </w:rPr>
            </w:pPr>
          </w:p>
        </w:tc>
        <w:tc>
          <w:tcPr>
            <w:tcW w:w="407" w:type="pct"/>
            <w:vMerge w:val="continue"/>
            <w:tcBorders>
              <w:bottom w:val="single" w:color="auto" w:sz="4" w:space="0"/>
            </w:tcBorders>
            <w:vAlign w:val="center"/>
          </w:tcPr>
          <w:p w14:paraId="79205D8F">
            <w:pPr>
              <w:pStyle w:val="182"/>
              <w:bidi w:val="0"/>
              <w:rPr>
                <w:rFonts w:hint="eastAsia"/>
                <w:b/>
                <w:bCs/>
                <w:color w:val="auto"/>
                <w:u w:val="single"/>
              </w:rPr>
            </w:pPr>
          </w:p>
        </w:tc>
        <w:tc>
          <w:tcPr>
            <w:tcW w:w="1070" w:type="pct"/>
            <w:tcBorders>
              <w:bottom w:val="single" w:color="auto" w:sz="4" w:space="0"/>
            </w:tcBorders>
            <w:vAlign w:val="center"/>
          </w:tcPr>
          <w:p w14:paraId="1960451F">
            <w:pPr>
              <w:pStyle w:val="182"/>
              <w:bidi w:val="0"/>
              <w:rPr>
                <w:rFonts w:hint="eastAsia"/>
                <w:b/>
                <w:bCs/>
                <w:color w:val="auto"/>
                <w:u w:val="single"/>
              </w:rPr>
            </w:pPr>
            <w:r>
              <w:rPr>
                <w:rFonts w:hint="eastAsia"/>
                <w:b/>
                <w:bCs/>
                <w:color w:val="auto"/>
                <w:u w:val="single"/>
              </w:rPr>
              <w:t>颗粒物（</w:t>
            </w:r>
            <w:r>
              <w:rPr>
                <w:rFonts w:hint="eastAsia"/>
                <w:b/>
                <w:bCs/>
                <w:color w:val="auto"/>
                <w:u w:val="single"/>
                <w:lang w:val="en-US" w:eastAsia="zh-CN"/>
              </w:rPr>
              <w:t>有</w:t>
            </w:r>
            <w:r>
              <w:rPr>
                <w:rFonts w:hint="eastAsia"/>
                <w:b/>
                <w:bCs/>
                <w:color w:val="auto"/>
                <w:u w:val="single"/>
              </w:rPr>
              <w:t>组织）</w:t>
            </w:r>
          </w:p>
        </w:tc>
        <w:tc>
          <w:tcPr>
            <w:tcW w:w="863" w:type="pct"/>
            <w:tcBorders>
              <w:bottom w:val="single" w:color="auto" w:sz="4" w:space="0"/>
            </w:tcBorders>
            <w:vAlign w:val="center"/>
          </w:tcPr>
          <w:p w14:paraId="049B5F8A">
            <w:pPr>
              <w:pStyle w:val="182"/>
              <w:bidi w:val="0"/>
              <w:rPr>
                <w:rFonts w:hint="default" w:eastAsia="宋体"/>
                <w:b/>
                <w:bCs/>
                <w:color w:val="auto"/>
                <w:u w:val="single"/>
                <w:lang w:val="en-US" w:eastAsia="zh-CN"/>
              </w:rPr>
            </w:pPr>
            <w:r>
              <w:rPr>
                <w:rFonts w:hint="eastAsia"/>
                <w:b/>
                <w:bCs/>
                <w:color w:val="auto"/>
                <w:u w:val="single"/>
                <w:lang w:val="en-US" w:eastAsia="zh-CN"/>
              </w:rPr>
              <w:t>排气筒DA029</w:t>
            </w:r>
          </w:p>
        </w:tc>
        <w:tc>
          <w:tcPr>
            <w:tcW w:w="1070" w:type="pct"/>
            <w:tcBorders>
              <w:bottom w:val="single" w:color="auto" w:sz="4" w:space="0"/>
            </w:tcBorders>
            <w:vAlign w:val="center"/>
          </w:tcPr>
          <w:p w14:paraId="346AD0EB">
            <w:pPr>
              <w:pStyle w:val="182"/>
              <w:bidi w:val="0"/>
              <w:rPr>
                <w:rFonts w:hint="eastAsia"/>
                <w:b/>
                <w:bCs/>
                <w:color w:val="auto"/>
                <w:u w:val="single"/>
              </w:rPr>
            </w:pPr>
            <w:r>
              <w:rPr>
                <w:b/>
                <w:bCs/>
                <w:color w:val="auto"/>
                <w:u w:val="single"/>
              </w:rPr>
              <w:t>1次/季</w:t>
            </w:r>
          </w:p>
        </w:tc>
        <w:tc>
          <w:tcPr>
            <w:tcW w:w="1070" w:type="pct"/>
            <w:tcBorders>
              <w:bottom w:val="single" w:color="auto" w:sz="4" w:space="0"/>
            </w:tcBorders>
            <w:vAlign w:val="center"/>
          </w:tcPr>
          <w:p w14:paraId="711BE04E">
            <w:pPr>
              <w:pStyle w:val="182"/>
              <w:bidi w:val="0"/>
              <w:rPr>
                <w:b/>
                <w:bCs/>
                <w:color w:val="auto"/>
                <w:u w:val="single"/>
              </w:rPr>
            </w:pPr>
            <w:r>
              <w:rPr>
                <w:rFonts w:hint="eastAsia"/>
                <w:b/>
                <w:bCs/>
                <w:color w:val="auto"/>
                <w:u w:val="single"/>
                <w:lang w:val="en-US" w:eastAsia="zh-CN"/>
              </w:rPr>
              <w:t>新增</w:t>
            </w:r>
          </w:p>
        </w:tc>
      </w:tr>
      <w:tr w14:paraId="31957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17" w:type="pct"/>
            <w:vMerge w:val="continue"/>
            <w:tcBorders>
              <w:left w:val="single" w:color="auto" w:sz="8" w:space="0"/>
              <w:bottom w:val="single" w:color="auto" w:sz="8" w:space="0"/>
            </w:tcBorders>
            <w:vAlign w:val="center"/>
          </w:tcPr>
          <w:p w14:paraId="3783ED71">
            <w:pPr>
              <w:pStyle w:val="182"/>
              <w:bidi w:val="0"/>
              <w:rPr>
                <w:b/>
                <w:bCs/>
                <w:color w:val="auto"/>
                <w:u w:val="single"/>
              </w:rPr>
            </w:pPr>
          </w:p>
        </w:tc>
        <w:tc>
          <w:tcPr>
            <w:tcW w:w="407" w:type="pct"/>
            <w:tcBorders>
              <w:bottom w:val="single" w:color="auto" w:sz="4" w:space="0"/>
            </w:tcBorders>
            <w:vAlign w:val="center"/>
          </w:tcPr>
          <w:p w14:paraId="650553CC">
            <w:pPr>
              <w:pStyle w:val="182"/>
              <w:bidi w:val="0"/>
              <w:rPr>
                <w:b/>
                <w:bCs/>
                <w:color w:val="auto"/>
                <w:u w:val="single"/>
              </w:rPr>
            </w:pPr>
            <w:r>
              <w:rPr>
                <w:rFonts w:hint="eastAsia"/>
                <w:b/>
                <w:bCs/>
                <w:color w:val="auto"/>
                <w:u w:val="single"/>
              </w:rPr>
              <w:t>噪声</w:t>
            </w:r>
          </w:p>
        </w:tc>
        <w:tc>
          <w:tcPr>
            <w:tcW w:w="1070" w:type="pct"/>
            <w:tcBorders>
              <w:bottom w:val="single" w:color="auto" w:sz="4" w:space="0"/>
            </w:tcBorders>
            <w:vAlign w:val="center"/>
          </w:tcPr>
          <w:p w14:paraId="515C7177">
            <w:pPr>
              <w:pStyle w:val="182"/>
              <w:bidi w:val="0"/>
              <w:rPr>
                <w:b/>
                <w:bCs/>
                <w:color w:val="auto"/>
                <w:u w:val="single"/>
              </w:rPr>
            </w:pPr>
            <w:r>
              <w:rPr>
                <w:rFonts w:hint="eastAsia"/>
                <w:b/>
                <w:bCs/>
                <w:color w:val="auto"/>
                <w:u w:val="single"/>
              </w:rPr>
              <w:t>等效声级</w:t>
            </w:r>
          </w:p>
        </w:tc>
        <w:tc>
          <w:tcPr>
            <w:tcW w:w="863" w:type="pct"/>
            <w:tcBorders>
              <w:bottom w:val="single" w:color="auto" w:sz="4" w:space="0"/>
            </w:tcBorders>
            <w:vAlign w:val="center"/>
          </w:tcPr>
          <w:p w14:paraId="274D2644">
            <w:pPr>
              <w:pStyle w:val="182"/>
              <w:bidi w:val="0"/>
              <w:rPr>
                <w:b/>
                <w:bCs/>
                <w:color w:val="auto"/>
                <w:u w:val="single"/>
              </w:rPr>
            </w:pPr>
            <w:r>
              <w:rPr>
                <w:rFonts w:hint="eastAsia"/>
                <w:b/>
                <w:bCs/>
                <w:color w:val="auto"/>
                <w:u w:val="single"/>
              </w:rPr>
              <w:t>高噪声车间、主要设备、厂界</w:t>
            </w:r>
          </w:p>
        </w:tc>
        <w:tc>
          <w:tcPr>
            <w:tcW w:w="1070" w:type="pct"/>
            <w:tcBorders>
              <w:bottom w:val="single" w:color="auto" w:sz="4" w:space="0"/>
            </w:tcBorders>
            <w:vAlign w:val="center"/>
          </w:tcPr>
          <w:p w14:paraId="37C2BAC0">
            <w:pPr>
              <w:pStyle w:val="182"/>
              <w:bidi w:val="0"/>
              <w:rPr>
                <w:b/>
                <w:bCs/>
                <w:color w:val="auto"/>
                <w:u w:val="single"/>
              </w:rPr>
            </w:pPr>
            <w:r>
              <w:rPr>
                <w:rFonts w:hint="eastAsia"/>
                <w:b/>
                <w:bCs/>
                <w:color w:val="auto"/>
                <w:u w:val="single"/>
              </w:rPr>
              <w:t>每季一次，每次两天，昼、夜各一次</w:t>
            </w:r>
          </w:p>
        </w:tc>
        <w:tc>
          <w:tcPr>
            <w:tcW w:w="1070" w:type="pct"/>
            <w:tcBorders>
              <w:bottom w:val="single" w:color="auto" w:sz="4" w:space="0"/>
            </w:tcBorders>
            <w:vAlign w:val="center"/>
          </w:tcPr>
          <w:p w14:paraId="126F4781">
            <w:pPr>
              <w:pStyle w:val="182"/>
              <w:bidi w:val="0"/>
              <w:rPr>
                <w:rFonts w:hint="eastAsia"/>
                <w:b/>
                <w:bCs/>
                <w:color w:val="auto"/>
                <w:u w:val="single"/>
              </w:rPr>
            </w:pPr>
            <w:r>
              <w:rPr>
                <w:rFonts w:hint="eastAsia"/>
                <w:b/>
                <w:bCs/>
                <w:color w:val="auto"/>
                <w:u w:val="single"/>
                <w:lang w:val="en-US" w:eastAsia="zh-CN"/>
              </w:rPr>
              <w:t>依托厂区现有监测计划</w:t>
            </w:r>
          </w:p>
        </w:tc>
      </w:tr>
      <w:tr w14:paraId="781AE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17" w:type="pct"/>
            <w:vMerge w:val="continue"/>
            <w:tcBorders>
              <w:top w:val="single" w:color="auto" w:sz="8" w:space="0"/>
              <w:left w:val="single" w:color="auto" w:sz="8" w:space="0"/>
              <w:bottom w:val="single" w:color="auto" w:sz="8" w:space="0"/>
            </w:tcBorders>
            <w:vAlign w:val="center"/>
          </w:tcPr>
          <w:p w14:paraId="0C68E124">
            <w:pPr>
              <w:pStyle w:val="182"/>
              <w:bidi w:val="0"/>
              <w:rPr>
                <w:b/>
                <w:bCs/>
                <w:color w:val="auto"/>
                <w:u w:val="single"/>
              </w:rPr>
            </w:pPr>
          </w:p>
        </w:tc>
        <w:tc>
          <w:tcPr>
            <w:tcW w:w="407" w:type="pct"/>
            <w:tcBorders>
              <w:top w:val="single" w:color="auto" w:sz="4" w:space="0"/>
              <w:bottom w:val="single" w:color="auto" w:sz="8" w:space="0"/>
            </w:tcBorders>
            <w:vAlign w:val="center"/>
          </w:tcPr>
          <w:p w14:paraId="635C723C">
            <w:pPr>
              <w:pStyle w:val="182"/>
              <w:bidi w:val="0"/>
              <w:rPr>
                <w:b/>
                <w:bCs/>
                <w:color w:val="auto"/>
                <w:u w:val="single"/>
              </w:rPr>
            </w:pPr>
            <w:r>
              <w:rPr>
                <w:rFonts w:hint="eastAsia"/>
                <w:b/>
                <w:bCs/>
                <w:color w:val="auto"/>
                <w:u w:val="single"/>
              </w:rPr>
              <w:t>固废</w:t>
            </w:r>
          </w:p>
        </w:tc>
        <w:tc>
          <w:tcPr>
            <w:tcW w:w="1070" w:type="pct"/>
            <w:tcBorders>
              <w:top w:val="single" w:color="auto" w:sz="4" w:space="0"/>
              <w:bottom w:val="single" w:color="auto" w:sz="8" w:space="0"/>
            </w:tcBorders>
            <w:vAlign w:val="center"/>
          </w:tcPr>
          <w:p w14:paraId="02B20F7B">
            <w:pPr>
              <w:pStyle w:val="182"/>
              <w:bidi w:val="0"/>
              <w:rPr>
                <w:b/>
                <w:bCs/>
                <w:color w:val="auto"/>
                <w:u w:val="single"/>
              </w:rPr>
            </w:pPr>
            <w:r>
              <w:rPr>
                <w:rFonts w:hint="eastAsia"/>
                <w:b/>
                <w:bCs/>
                <w:color w:val="auto"/>
                <w:u w:val="single"/>
                <w:lang w:val="en-US" w:eastAsia="zh-CN"/>
              </w:rPr>
              <w:t>滤渣</w:t>
            </w:r>
            <w:r>
              <w:rPr>
                <w:rFonts w:hint="eastAsia"/>
                <w:b/>
                <w:bCs/>
                <w:color w:val="auto"/>
                <w:u w:val="single"/>
              </w:rPr>
              <w:t>、</w:t>
            </w:r>
            <w:r>
              <w:rPr>
                <w:rFonts w:hint="eastAsia"/>
                <w:b/>
                <w:bCs/>
                <w:color w:val="auto"/>
                <w:u w:val="single"/>
                <w:lang w:eastAsia="zh-CN"/>
              </w:rPr>
              <w:t>废包装桶</w:t>
            </w:r>
            <w:r>
              <w:rPr>
                <w:rFonts w:hint="eastAsia"/>
                <w:b/>
                <w:bCs/>
                <w:color w:val="auto"/>
                <w:u w:val="single"/>
              </w:rPr>
              <w:t>等</w:t>
            </w:r>
          </w:p>
        </w:tc>
        <w:tc>
          <w:tcPr>
            <w:tcW w:w="863" w:type="pct"/>
            <w:tcBorders>
              <w:top w:val="single" w:color="auto" w:sz="4" w:space="0"/>
              <w:bottom w:val="single" w:color="auto" w:sz="8" w:space="0"/>
            </w:tcBorders>
            <w:vAlign w:val="center"/>
          </w:tcPr>
          <w:p w14:paraId="5498C7D9">
            <w:pPr>
              <w:pStyle w:val="182"/>
              <w:bidi w:val="0"/>
              <w:rPr>
                <w:b/>
                <w:bCs/>
                <w:color w:val="auto"/>
                <w:u w:val="single"/>
              </w:rPr>
            </w:pPr>
            <w:r>
              <w:rPr>
                <w:rFonts w:hint="eastAsia"/>
                <w:b/>
                <w:bCs/>
                <w:color w:val="auto"/>
                <w:u w:val="single"/>
              </w:rPr>
              <w:t>加强管理，统计登记，统一处理</w:t>
            </w:r>
          </w:p>
        </w:tc>
        <w:tc>
          <w:tcPr>
            <w:tcW w:w="1070" w:type="pct"/>
            <w:tcBorders>
              <w:top w:val="single" w:color="auto" w:sz="4" w:space="0"/>
              <w:bottom w:val="single" w:color="auto" w:sz="8" w:space="0"/>
            </w:tcBorders>
            <w:vAlign w:val="center"/>
          </w:tcPr>
          <w:p w14:paraId="017B2CB8">
            <w:pPr>
              <w:pStyle w:val="182"/>
              <w:bidi w:val="0"/>
              <w:rPr>
                <w:b/>
                <w:bCs/>
                <w:color w:val="auto"/>
                <w:u w:val="single"/>
              </w:rPr>
            </w:pPr>
            <w:r>
              <w:rPr>
                <w:rFonts w:hint="eastAsia"/>
                <w:b/>
                <w:bCs/>
                <w:color w:val="auto"/>
                <w:u w:val="single"/>
              </w:rPr>
              <w:t>每月一次</w:t>
            </w:r>
          </w:p>
        </w:tc>
        <w:tc>
          <w:tcPr>
            <w:tcW w:w="1070" w:type="pct"/>
            <w:tcBorders>
              <w:top w:val="single" w:color="auto" w:sz="4" w:space="0"/>
              <w:bottom w:val="single" w:color="auto" w:sz="8" w:space="0"/>
            </w:tcBorders>
            <w:vAlign w:val="center"/>
          </w:tcPr>
          <w:p w14:paraId="76652CBC">
            <w:pPr>
              <w:pStyle w:val="182"/>
              <w:bidi w:val="0"/>
              <w:rPr>
                <w:rFonts w:hint="eastAsia" w:eastAsia="宋体"/>
                <w:b/>
                <w:bCs/>
                <w:color w:val="auto"/>
                <w:u w:val="single"/>
                <w:lang w:val="en-US" w:eastAsia="zh-CN"/>
              </w:rPr>
            </w:pPr>
            <w:r>
              <w:rPr>
                <w:rFonts w:hint="eastAsia"/>
                <w:b/>
                <w:bCs/>
                <w:color w:val="auto"/>
                <w:u w:val="single"/>
                <w:lang w:val="en-US" w:eastAsia="zh-CN"/>
              </w:rPr>
              <w:t>新增</w:t>
            </w:r>
          </w:p>
        </w:tc>
      </w:tr>
      <w:tr w14:paraId="13A6F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17" w:type="pct"/>
            <w:vMerge w:val="restart"/>
            <w:tcBorders>
              <w:left w:val="single" w:color="auto" w:sz="8" w:space="0"/>
            </w:tcBorders>
            <w:vAlign w:val="center"/>
          </w:tcPr>
          <w:p w14:paraId="2CCFA332">
            <w:pPr>
              <w:pStyle w:val="182"/>
              <w:bidi w:val="0"/>
              <w:rPr>
                <w:b/>
                <w:bCs/>
                <w:color w:val="auto"/>
                <w:u w:val="single"/>
              </w:rPr>
            </w:pPr>
            <w:r>
              <w:rPr>
                <w:rFonts w:hint="eastAsia"/>
                <w:b/>
                <w:bCs/>
                <w:color w:val="auto"/>
                <w:u w:val="single"/>
              </w:rPr>
              <w:t>环境质量监测</w:t>
            </w:r>
          </w:p>
        </w:tc>
        <w:tc>
          <w:tcPr>
            <w:tcW w:w="407" w:type="pct"/>
            <w:vAlign w:val="center"/>
          </w:tcPr>
          <w:p w14:paraId="42AB1B86">
            <w:pPr>
              <w:pStyle w:val="182"/>
              <w:bidi w:val="0"/>
              <w:rPr>
                <w:b/>
                <w:bCs/>
                <w:color w:val="auto"/>
                <w:u w:val="single"/>
              </w:rPr>
            </w:pPr>
            <w:r>
              <w:rPr>
                <w:rFonts w:hint="eastAsia"/>
                <w:b/>
                <w:bCs/>
                <w:color w:val="auto"/>
                <w:u w:val="single"/>
              </w:rPr>
              <w:t>地下水</w:t>
            </w:r>
          </w:p>
        </w:tc>
        <w:tc>
          <w:tcPr>
            <w:tcW w:w="1070" w:type="pct"/>
            <w:vAlign w:val="center"/>
          </w:tcPr>
          <w:p w14:paraId="18141FBF">
            <w:pPr>
              <w:pStyle w:val="182"/>
              <w:bidi w:val="0"/>
              <w:rPr>
                <w:b/>
                <w:bCs/>
                <w:color w:val="auto"/>
                <w:u w:val="single"/>
              </w:rPr>
            </w:pPr>
            <w:r>
              <w:rPr>
                <w:rFonts w:hint="eastAsia"/>
                <w:b/>
                <w:bCs/>
                <w:color w:val="auto"/>
                <w:u w:val="single"/>
              </w:rPr>
              <w:t>耗氧量（</w:t>
            </w:r>
            <w:r>
              <w:rPr>
                <w:b/>
                <w:bCs/>
                <w:color w:val="auto"/>
                <w:u w:val="single"/>
              </w:rPr>
              <w:t>CODMn</w:t>
            </w:r>
            <w:r>
              <w:rPr>
                <w:rFonts w:hint="eastAsia"/>
                <w:b/>
                <w:bCs/>
                <w:color w:val="auto"/>
                <w:u w:val="single"/>
              </w:rPr>
              <w:t>）、NH</w:t>
            </w:r>
            <w:r>
              <w:rPr>
                <w:rFonts w:hint="eastAsia"/>
                <w:b/>
                <w:bCs/>
                <w:color w:val="auto"/>
                <w:u w:val="single"/>
                <w:vertAlign w:val="subscript"/>
              </w:rPr>
              <w:t>3</w:t>
            </w:r>
            <w:r>
              <w:rPr>
                <w:rFonts w:hint="eastAsia"/>
                <w:b/>
                <w:bCs/>
                <w:color w:val="auto"/>
                <w:u w:val="single"/>
              </w:rPr>
              <w:t>-N</w:t>
            </w:r>
          </w:p>
        </w:tc>
        <w:tc>
          <w:tcPr>
            <w:tcW w:w="863" w:type="pct"/>
            <w:vAlign w:val="center"/>
          </w:tcPr>
          <w:p w14:paraId="3B36EFE6">
            <w:pPr>
              <w:pStyle w:val="182"/>
              <w:bidi w:val="0"/>
              <w:rPr>
                <w:b/>
                <w:bCs/>
                <w:color w:val="auto"/>
                <w:u w:val="single"/>
              </w:rPr>
            </w:pPr>
            <w:r>
              <w:rPr>
                <w:rFonts w:hint="eastAsia"/>
                <w:b/>
                <w:bCs/>
                <w:color w:val="auto"/>
                <w:u w:val="single"/>
                <w:lang w:val="en-US" w:eastAsia="zh-CN"/>
              </w:rPr>
              <w:t>夏庄村</w:t>
            </w:r>
            <w:r>
              <w:rPr>
                <w:rFonts w:hint="eastAsia"/>
                <w:b/>
                <w:bCs/>
                <w:color w:val="auto"/>
                <w:u w:val="single"/>
              </w:rPr>
              <w:t>（</w:t>
            </w:r>
            <w:r>
              <w:rPr>
                <w:rFonts w:hint="eastAsia"/>
                <w:b/>
                <w:bCs/>
                <w:color w:val="auto"/>
                <w:u w:val="single"/>
                <w:lang w:val="en-US" w:eastAsia="zh-CN"/>
              </w:rPr>
              <w:t>上</w:t>
            </w:r>
            <w:r>
              <w:rPr>
                <w:rFonts w:hint="eastAsia"/>
                <w:b/>
                <w:bCs/>
                <w:color w:val="auto"/>
                <w:u w:val="single"/>
              </w:rPr>
              <w:t>游）、</w:t>
            </w:r>
            <w:r>
              <w:rPr>
                <w:rFonts w:hint="eastAsia"/>
                <w:b/>
                <w:bCs/>
                <w:color w:val="auto"/>
                <w:u w:val="single"/>
                <w:lang w:val="en-US" w:eastAsia="zh-CN"/>
              </w:rPr>
              <w:t>项目东北侧空地（下游）、</w:t>
            </w:r>
            <w:r>
              <w:rPr>
                <w:rFonts w:hint="eastAsia"/>
                <w:b/>
                <w:bCs/>
                <w:color w:val="auto"/>
                <w:u w:val="single"/>
              </w:rPr>
              <w:t>十八里村（</w:t>
            </w:r>
            <w:r>
              <w:rPr>
                <w:rFonts w:hint="eastAsia"/>
                <w:b/>
                <w:bCs/>
                <w:color w:val="auto"/>
                <w:u w:val="single"/>
                <w:lang w:val="en-US" w:eastAsia="zh-CN"/>
              </w:rPr>
              <w:t>下</w:t>
            </w:r>
            <w:r>
              <w:rPr>
                <w:rFonts w:hint="eastAsia"/>
                <w:b/>
                <w:bCs/>
                <w:color w:val="auto"/>
                <w:u w:val="single"/>
              </w:rPr>
              <w:t>游）</w:t>
            </w:r>
          </w:p>
        </w:tc>
        <w:tc>
          <w:tcPr>
            <w:tcW w:w="1070" w:type="pct"/>
            <w:vAlign w:val="center"/>
          </w:tcPr>
          <w:p w14:paraId="3F2678F3">
            <w:pPr>
              <w:pStyle w:val="182"/>
              <w:bidi w:val="0"/>
              <w:rPr>
                <w:b/>
                <w:bCs/>
                <w:color w:val="auto"/>
                <w:u w:val="single"/>
              </w:rPr>
            </w:pPr>
            <w:r>
              <w:rPr>
                <w:rFonts w:hint="eastAsia"/>
                <w:b/>
                <w:bCs/>
                <w:color w:val="auto"/>
                <w:u w:val="single"/>
              </w:rPr>
              <w:t>每半年</w:t>
            </w:r>
            <w:r>
              <w:rPr>
                <w:b/>
                <w:bCs/>
                <w:color w:val="auto"/>
                <w:u w:val="single"/>
              </w:rPr>
              <w:t>1</w:t>
            </w:r>
            <w:r>
              <w:rPr>
                <w:rFonts w:hint="eastAsia"/>
                <w:b/>
                <w:bCs/>
                <w:color w:val="auto"/>
                <w:u w:val="single"/>
              </w:rPr>
              <w:t>次</w:t>
            </w:r>
          </w:p>
        </w:tc>
        <w:tc>
          <w:tcPr>
            <w:tcW w:w="1070" w:type="pct"/>
            <w:vAlign w:val="center"/>
          </w:tcPr>
          <w:p w14:paraId="6DBF2378">
            <w:pPr>
              <w:pStyle w:val="182"/>
              <w:bidi w:val="0"/>
              <w:rPr>
                <w:rFonts w:hint="eastAsia"/>
                <w:b/>
                <w:bCs/>
                <w:color w:val="auto"/>
                <w:u w:val="single"/>
              </w:rPr>
            </w:pPr>
            <w:r>
              <w:rPr>
                <w:rFonts w:hint="eastAsia"/>
                <w:b/>
                <w:bCs/>
                <w:color w:val="auto"/>
                <w:u w:val="single"/>
                <w:lang w:val="en-US" w:eastAsia="zh-CN"/>
              </w:rPr>
              <w:t>依托厂区现有监测计划</w:t>
            </w:r>
          </w:p>
        </w:tc>
      </w:tr>
      <w:tr w14:paraId="1293A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17" w:type="pct"/>
            <w:vMerge w:val="continue"/>
            <w:tcBorders>
              <w:left w:val="single" w:color="auto" w:sz="8" w:space="0"/>
              <w:bottom w:val="single" w:color="auto" w:sz="8" w:space="0"/>
            </w:tcBorders>
            <w:vAlign w:val="center"/>
          </w:tcPr>
          <w:p w14:paraId="0FC42D4A">
            <w:pPr>
              <w:pStyle w:val="182"/>
              <w:bidi w:val="0"/>
              <w:rPr>
                <w:b/>
                <w:bCs/>
                <w:color w:val="auto"/>
                <w:u w:val="single"/>
              </w:rPr>
            </w:pPr>
          </w:p>
        </w:tc>
        <w:tc>
          <w:tcPr>
            <w:tcW w:w="407" w:type="pct"/>
            <w:tcBorders>
              <w:bottom w:val="single" w:color="auto" w:sz="8" w:space="0"/>
            </w:tcBorders>
            <w:vAlign w:val="center"/>
          </w:tcPr>
          <w:p w14:paraId="35E955D6">
            <w:pPr>
              <w:pStyle w:val="182"/>
              <w:bidi w:val="0"/>
              <w:rPr>
                <w:b/>
                <w:bCs/>
                <w:color w:val="auto"/>
                <w:u w:val="single"/>
              </w:rPr>
            </w:pPr>
            <w:r>
              <w:rPr>
                <w:rFonts w:hint="eastAsia"/>
                <w:b/>
                <w:bCs/>
                <w:color w:val="auto"/>
                <w:u w:val="single"/>
              </w:rPr>
              <w:t>环境空气</w:t>
            </w:r>
          </w:p>
        </w:tc>
        <w:tc>
          <w:tcPr>
            <w:tcW w:w="1070" w:type="pct"/>
            <w:tcBorders>
              <w:bottom w:val="single" w:color="auto" w:sz="8" w:space="0"/>
            </w:tcBorders>
            <w:vAlign w:val="center"/>
          </w:tcPr>
          <w:p w14:paraId="31310B21">
            <w:pPr>
              <w:pStyle w:val="182"/>
              <w:bidi w:val="0"/>
              <w:rPr>
                <w:rFonts w:hint="eastAsia" w:eastAsia="宋体"/>
                <w:b/>
                <w:bCs/>
                <w:color w:val="auto"/>
                <w:u w:val="single"/>
                <w:lang w:val="en-US" w:eastAsia="zh-CN"/>
              </w:rPr>
            </w:pPr>
            <w:r>
              <w:rPr>
                <w:rFonts w:hint="eastAsia"/>
                <w:b/>
                <w:bCs/>
                <w:color w:val="auto"/>
                <w:u w:val="single"/>
                <w:lang w:val="en-US" w:eastAsia="zh-CN"/>
              </w:rPr>
              <w:t>非甲烷总烃</w:t>
            </w:r>
          </w:p>
        </w:tc>
        <w:tc>
          <w:tcPr>
            <w:tcW w:w="863" w:type="pct"/>
            <w:tcBorders>
              <w:bottom w:val="single" w:color="auto" w:sz="8" w:space="0"/>
            </w:tcBorders>
            <w:vAlign w:val="center"/>
          </w:tcPr>
          <w:p w14:paraId="10B67999">
            <w:pPr>
              <w:pStyle w:val="182"/>
              <w:bidi w:val="0"/>
              <w:rPr>
                <w:rFonts w:hint="eastAsia" w:eastAsia="宋体"/>
                <w:b/>
                <w:bCs/>
                <w:color w:val="auto"/>
                <w:u w:val="single"/>
                <w:lang w:eastAsia="zh-CN"/>
              </w:rPr>
            </w:pPr>
            <w:r>
              <w:rPr>
                <w:rFonts w:hint="eastAsia"/>
                <w:b/>
                <w:bCs/>
                <w:color w:val="auto"/>
                <w:u w:val="single"/>
                <w:lang w:val="en-US" w:eastAsia="zh-CN"/>
              </w:rPr>
              <w:t>贾李</w:t>
            </w:r>
            <w:r>
              <w:rPr>
                <w:rFonts w:hint="eastAsia"/>
                <w:b/>
                <w:bCs/>
                <w:color w:val="auto"/>
                <w:u w:val="single"/>
              </w:rPr>
              <w:t>村、</w:t>
            </w:r>
            <w:r>
              <w:rPr>
                <w:rFonts w:hint="eastAsia"/>
                <w:b/>
                <w:bCs/>
                <w:color w:val="auto"/>
                <w:u w:val="single"/>
                <w:lang w:val="en-US" w:eastAsia="zh-CN"/>
              </w:rPr>
              <w:t>安康社区</w:t>
            </w:r>
          </w:p>
        </w:tc>
        <w:tc>
          <w:tcPr>
            <w:tcW w:w="1070" w:type="pct"/>
            <w:tcBorders>
              <w:bottom w:val="single" w:color="auto" w:sz="8" w:space="0"/>
            </w:tcBorders>
            <w:vAlign w:val="center"/>
          </w:tcPr>
          <w:p w14:paraId="2AAC399A">
            <w:pPr>
              <w:pStyle w:val="182"/>
              <w:bidi w:val="0"/>
              <w:rPr>
                <w:b/>
                <w:bCs/>
                <w:color w:val="auto"/>
                <w:u w:val="single"/>
              </w:rPr>
            </w:pPr>
            <w:r>
              <w:rPr>
                <w:rFonts w:hint="eastAsia"/>
                <w:b/>
                <w:bCs/>
                <w:color w:val="auto"/>
                <w:u w:val="single"/>
              </w:rPr>
              <w:t>每年一次</w:t>
            </w:r>
          </w:p>
        </w:tc>
        <w:tc>
          <w:tcPr>
            <w:tcW w:w="1070" w:type="pct"/>
            <w:tcBorders>
              <w:bottom w:val="single" w:color="auto" w:sz="8" w:space="0"/>
            </w:tcBorders>
            <w:vAlign w:val="center"/>
          </w:tcPr>
          <w:p w14:paraId="38BF5917">
            <w:pPr>
              <w:pStyle w:val="182"/>
              <w:bidi w:val="0"/>
              <w:rPr>
                <w:rFonts w:hint="eastAsia"/>
                <w:b/>
                <w:bCs/>
                <w:color w:val="auto"/>
                <w:u w:val="single"/>
              </w:rPr>
            </w:pPr>
            <w:r>
              <w:rPr>
                <w:rFonts w:hint="eastAsia"/>
                <w:b/>
                <w:bCs/>
                <w:color w:val="auto"/>
                <w:u w:val="single"/>
                <w:lang w:val="en-US" w:eastAsia="zh-CN"/>
              </w:rPr>
              <w:t>依托厂区现有监测计划</w:t>
            </w:r>
          </w:p>
        </w:tc>
      </w:tr>
    </w:tbl>
    <w:p w14:paraId="3606AFB6">
      <w:pPr>
        <w:pStyle w:val="5"/>
        <w:bidi w:val="0"/>
        <w:rPr>
          <w:color w:val="auto"/>
        </w:rPr>
      </w:pPr>
      <w:r>
        <w:rPr>
          <w:rFonts w:hint="eastAsia"/>
          <w:color w:val="auto"/>
        </w:rPr>
        <w:t>应急监测计划</w:t>
      </w:r>
    </w:p>
    <w:p w14:paraId="2EB73F47">
      <w:pPr>
        <w:bidi w:val="0"/>
        <w:rPr>
          <w:color w:val="auto"/>
        </w:rPr>
      </w:pPr>
      <w:r>
        <w:rPr>
          <w:rFonts w:hint="eastAsia"/>
          <w:color w:val="auto"/>
        </w:rPr>
        <w:t>当企业发生非正常工况或污染防治设施运行不正常时，大量未经处理的污染物排放可能对环境产生严重的污染，本公司环境监测站应对该情况下可能产生的污染源及时分析，并立即委托地方环境监测站同时监测，以便采取应急措施，将产生的环境影响控制在</w:t>
      </w:r>
      <w:r>
        <w:rPr>
          <w:rFonts w:hint="eastAsia"/>
          <w:color w:val="auto"/>
          <w:lang w:eastAsia="zh-CN"/>
        </w:rPr>
        <w:t>最低程度</w:t>
      </w:r>
      <w:r>
        <w:rPr>
          <w:rFonts w:hint="eastAsia"/>
          <w:color w:val="auto"/>
        </w:rPr>
        <w:t>。应急监测计划见</w:t>
      </w:r>
      <w:r>
        <w:rPr>
          <w:rFonts w:hint="eastAsia"/>
          <w:color w:val="auto"/>
          <w:lang w:val="en-US" w:eastAsia="zh-CN"/>
        </w:rPr>
        <w:t>下表</w:t>
      </w:r>
      <w:r>
        <w:rPr>
          <w:rFonts w:hint="eastAsia"/>
          <w:color w:val="auto"/>
        </w:rPr>
        <w:t>。</w:t>
      </w:r>
    </w:p>
    <w:p w14:paraId="6F07F891">
      <w:pPr>
        <w:pStyle w:val="10"/>
        <w:bidi w:val="0"/>
        <w:rPr>
          <w:color w:val="auto"/>
        </w:rPr>
      </w:pPr>
      <w:r>
        <w:t xml:space="preserve">表 </w:t>
      </w:r>
      <w:r>
        <w:fldChar w:fldCharType="begin"/>
      </w:r>
      <w:r>
        <w:instrText xml:space="preserve"> STYLEREF 2 \s </w:instrText>
      </w:r>
      <w:r>
        <w:fldChar w:fldCharType="separate"/>
      </w:r>
      <w:r>
        <w:t>9.2</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t xml:space="preserve"> </w:t>
      </w:r>
      <w:r>
        <w:rPr>
          <w:rFonts w:hint="eastAsia"/>
        </w:rPr>
        <w:t>应急监测计划表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69"/>
        <w:gridCol w:w="2889"/>
        <w:gridCol w:w="2732"/>
        <w:gridCol w:w="2033"/>
      </w:tblGrid>
      <w:tr w14:paraId="17194B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510" w:type="pct"/>
            <w:tcBorders>
              <w:bottom w:val="single" w:color="auto" w:sz="8" w:space="0"/>
            </w:tcBorders>
            <w:vAlign w:val="center"/>
          </w:tcPr>
          <w:p w14:paraId="38065CD3">
            <w:pPr>
              <w:pStyle w:val="182"/>
              <w:bidi w:val="0"/>
              <w:rPr>
                <w:color w:val="auto"/>
              </w:rPr>
            </w:pPr>
            <w:r>
              <w:rPr>
                <w:rFonts w:hint="eastAsia"/>
                <w:color w:val="auto"/>
              </w:rPr>
              <w:t>序号</w:t>
            </w:r>
          </w:p>
        </w:tc>
        <w:tc>
          <w:tcPr>
            <w:tcW w:w="1695" w:type="pct"/>
            <w:tcBorders>
              <w:bottom w:val="single" w:color="auto" w:sz="8" w:space="0"/>
            </w:tcBorders>
            <w:vAlign w:val="center"/>
          </w:tcPr>
          <w:p w14:paraId="45FF5D51">
            <w:pPr>
              <w:pStyle w:val="182"/>
              <w:bidi w:val="0"/>
              <w:rPr>
                <w:color w:val="auto"/>
              </w:rPr>
            </w:pPr>
            <w:r>
              <w:rPr>
                <w:rFonts w:hint="eastAsia"/>
                <w:color w:val="auto"/>
              </w:rPr>
              <w:t>事故类型</w:t>
            </w:r>
          </w:p>
        </w:tc>
        <w:tc>
          <w:tcPr>
            <w:tcW w:w="1603" w:type="pct"/>
            <w:tcBorders>
              <w:bottom w:val="single" w:color="auto" w:sz="8" w:space="0"/>
            </w:tcBorders>
            <w:vAlign w:val="center"/>
          </w:tcPr>
          <w:p w14:paraId="276AC81E">
            <w:pPr>
              <w:pStyle w:val="182"/>
              <w:bidi w:val="0"/>
              <w:rPr>
                <w:color w:val="auto"/>
              </w:rPr>
            </w:pPr>
            <w:r>
              <w:rPr>
                <w:rFonts w:hint="eastAsia"/>
                <w:color w:val="auto"/>
              </w:rPr>
              <w:t>监测位置</w:t>
            </w:r>
          </w:p>
        </w:tc>
        <w:tc>
          <w:tcPr>
            <w:tcW w:w="1192" w:type="pct"/>
            <w:tcBorders>
              <w:bottom w:val="single" w:color="auto" w:sz="8" w:space="0"/>
            </w:tcBorders>
            <w:vAlign w:val="center"/>
          </w:tcPr>
          <w:p w14:paraId="63FC5732">
            <w:pPr>
              <w:pStyle w:val="182"/>
              <w:bidi w:val="0"/>
              <w:rPr>
                <w:color w:val="auto"/>
              </w:rPr>
            </w:pPr>
            <w:r>
              <w:rPr>
                <w:rFonts w:hint="eastAsia"/>
                <w:color w:val="auto"/>
              </w:rPr>
              <w:t>监测项目</w:t>
            </w:r>
          </w:p>
        </w:tc>
      </w:tr>
      <w:tr w14:paraId="3F9296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tcBorders>
              <w:bottom w:val="single" w:color="auto" w:sz="8" w:space="0"/>
            </w:tcBorders>
            <w:vAlign w:val="center"/>
          </w:tcPr>
          <w:p w14:paraId="525C9CEA">
            <w:pPr>
              <w:pStyle w:val="182"/>
              <w:bidi w:val="0"/>
              <w:rPr>
                <w:color w:val="auto"/>
              </w:rPr>
            </w:pPr>
            <w:r>
              <w:rPr>
                <w:color w:val="auto"/>
              </w:rPr>
              <w:t>1</w:t>
            </w:r>
          </w:p>
        </w:tc>
        <w:tc>
          <w:tcPr>
            <w:tcW w:w="1695" w:type="pct"/>
            <w:vAlign w:val="center"/>
          </w:tcPr>
          <w:p w14:paraId="78BDA370">
            <w:pPr>
              <w:pStyle w:val="182"/>
              <w:bidi w:val="0"/>
              <w:rPr>
                <w:color w:val="auto"/>
              </w:rPr>
            </w:pPr>
            <w:r>
              <w:rPr>
                <w:rFonts w:hint="eastAsia"/>
                <w:color w:val="auto"/>
              </w:rPr>
              <w:t>污水处理设施运行出现问题</w:t>
            </w:r>
          </w:p>
        </w:tc>
        <w:tc>
          <w:tcPr>
            <w:tcW w:w="1603" w:type="pct"/>
            <w:vAlign w:val="center"/>
          </w:tcPr>
          <w:p w14:paraId="2E5870B6">
            <w:pPr>
              <w:pStyle w:val="182"/>
              <w:bidi w:val="0"/>
              <w:rPr>
                <w:color w:val="auto"/>
              </w:rPr>
            </w:pPr>
            <w:r>
              <w:rPr>
                <w:rFonts w:hint="eastAsia"/>
                <w:color w:val="auto"/>
              </w:rPr>
              <w:t>污水处理设施各单元进出口</w:t>
            </w:r>
          </w:p>
        </w:tc>
        <w:tc>
          <w:tcPr>
            <w:tcW w:w="1192" w:type="pct"/>
            <w:vAlign w:val="center"/>
          </w:tcPr>
          <w:p w14:paraId="59279D3D">
            <w:pPr>
              <w:pStyle w:val="182"/>
              <w:bidi w:val="0"/>
              <w:rPr>
                <w:rFonts w:hint="default" w:eastAsia="宋体"/>
                <w:color w:val="auto"/>
                <w:lang w:val="en-US" w:eastAsia="zh-CN"/>
              </w:rPr>
            </w:pPr>
            <w:r>
              <w:rPr>
                <w:rFonts w:hint="eastAsia"/>
                <w:color w:val="auto"/>
              </w:rPr>
              <w:t>流量、</w:t>
            </w:r>
            <w:r>
              <w:rPr>
                <w:color w:val="auto"/>
              </w:rPr>
              <w:t>COD</w:t>
            </w:r>
            <w:r>
              <w:rPr>
                <w:rFonts w:hint="eastAsia"/>
                <w:color w:val="auto"/>
              </w:rPr>
              <w:t>、NH</w:t>
            </w:r>
            <w:r>
              <w:rPr>
                <w:rFonts w:hint="eastAsia"/>
                <w:color w:val="auto"/>
                <w:vertAlign w:val="subscript"/>
              </w:rPr>
              <w:t>3</w:t>
            </w:r>
            <w:r>
              <w:rPr>
                <w:rFonts w:hint="eastAsia"/>
                <w:color w:val="auto"/>
              </w:rPr>
              <w:t>-N、</w:t>
            </w:r>
            <w:r>
              <w:rPr>
                <w:color w:val="auto"/>
              </w:rPr>
              <w:t>SS</w:t>
            </w:r>
            <w:r>
              <w:rPr>
                <w:rFonts w:hint="eastAsia"/>
                <w:color w:val="auto"/>
              </w:rPr>
              <w:t>、TP、TN</w:t>
            </w:r>
          </w:p>
        </w:tc>
      </w:tr>
    </w:tbl>
    <w:p w14:paraId="2665E2F3">
      <w:pPr>
        <w:pStyle w:val="5"/>
        <w:bidi w:val="0"/>
        <w:rPr>
          <w:color w:val="auto"/>
        </w:rPr>
      </w:pPr>
      <w:r>
        <w:rPr>
          <w:rFonts w:hint="eastAsia"/>
          <w:color w:val="auto"/>
        </w:rPr>
        <w:t>监测分析方法</w:t>
      </w:r>
    </w:p>
    <w:p w14:paraId="4A7FE790">
      <w:pPr>
        <w:bidi w:val="0"/>
        <w:rPr>
          <w:color w:val="auto"/>
        </w:rPr>
      </w:pPr>
      <w:r>
        <w:rPr>
          <w:rFonts w:hint="eastAsia"/>
          <w:color w:val="auto"/>
        </w:rPr>
        <w:t>样品采集及分析采用国标（或推荐）方法，对目前尚无国标方法的项目，则采用《空气和废气监测分析方法》（第四版）中的分析方法。</w:t>
      </w:r>
    </w:p>
    <w:p w14:paraId="7DD45EF1">
      <w:pPr>
        <w:pStyle w:val="5"/>
        <w:bidi w:val="0"/>
        <w:rPr>
          <w:color w:val="auto"/>
        </w:rPr>
      </w:pPr>
      <w:r>
        <w:rPr>
          <w:color w:val="auto"/>
        </w:rPr>
        <w:t>环境管理台账</w:t>
      </w:r>
    </w:p>
    <w:p w14:paraId="6353C4D4">
      <w:pPr>
        <w:bidi w:val="0"/>
        <w:rPr>
          <w:color w:val="auto"/>
        </w:rPr>
      </w:pPr>
      <w:r>
        <w:rPr>
          <w:color w:val="auto"/>
        </w:rPr>
        <w:t>企业应当按照排污许可证证中环境管理台账建立环境保护台账，台账主要包括生产设施运行记录表、废水处理设施运行记录表、废气处理设施运行记录表等相关内容。环境管理台账表格样式参见表8</w:t>
      </w:r>
      <w:r>
        <w:rPr>
          <w:rFonts w:hint="eastAsia"/>
          <w:color w:val="auto"/>
        </w:rPr>
        <w:t>.2-</w:t>
      </w:r>
      <w:r>
        <w:rPr>
          <w:color w:val="auto"/>
        </w:rPr>
        <w:t>3。</w:t>
      </w:r>
    </w:p>
    <w:p w14:paraId="6CC32A4B">
      <w:pPr>
        <w:pStyle w:val="181"/>
        <w:bidi w:val="0"/>
        <w:rPr>
          <w:color w:val="auto"/>
        </w:rPr>
      </w:pPr>
      <w:r>
        <w:t xml:space="preserve">表 </w:t>
      </w:r>
      <w:r>
        <w:fldChar w:fldCharType="begin"/>
      </w:r>
      <w:r>
        <w:instrText xml:space="preserve"> STYLEREF 2 \s </w:instrText>
      </w:r>
      <w:r>
        <w:fldChar w:fldCharType="separate"/>
      </w:r>
      <w:r>
        <w:t>9.2</w:t>
      </w:r>
      <w:r>
        <w:fldChar w:fldCharType="end"/>
      </w:r>
      <w:r>
        <w:rPr>
          <w:rFonts w:hint="eastAsia"/>
          <w:lang w:eastAsia="zh-CN"/>
        </w:rPr>
        <w:t>-</w:t>
      </w:r>
      <w:r>
        <w:fldChar w:fldCharType="begin"/>
      </w:r>
      <w:r>
        <w:instrText xml:space="preserve"> SEQ 表 \* ARABIC \s 2 </w:instrText>
      </w:r>
      <w:r>
        <w:fldChar w:fldCharType="separate"/>
      </w:r>
      <w:r>
        <w:t>3</w:t>
      </w:r>
      <w:r>
        <w:fldChar w:fldCharType="end"/>
      </w:r>
      <w:r>
        <w:rPr>
          <w:rFonts w:hint="eastAsia"/>
          <w:color w:val="auto"/>
          <w:lang w:val="en-US" w:eastAsia="zh-CN"/>
        </w:rPr>
        <w:t xml:space="preserve"> </w:t>
      </w:r>
      <w:r>
        <w:rPr>
          <w:color w:val="auto"/>
        </w:rPr>
        <w:t>环境管理台账</w:t>
      </w:r>
    </w:p>
    <w:tbl>
      <w:tblPr>
        <w:tblStyle w:val="31"/>
        <w:tblW w:w="4998"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239"/>
        <w:gridCol w:w="1601"/>
        <w:gridCol w:w="1420"/>
        <w:gridCol w:w="1420"/>
        <w:gridCol w:w="1420"/>
        <w:gridCol w:w="1420"/>
      </w:tblGrid>
      <w:tr w14:paraId="2CA0CE2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7" w:type="pct"/>
            <w:tcBorders>
              <w:top w:val="single" w:color="auto" w:sz="8" w:space="0"/>
              <w:left w:val="single" w:color="auto" w:sz="8" w:space="0"/>
              <w:bottom w:val="single" w:color="auto" w:sz="6" w:space="0"/>
              <w:right w:val="single" w:color="auto" w:sz="6" w:space="0"/>
            </w:tcBorders>
            <w:vAlign w:val="center"/>
          </w:tcPr>
          <w:p w14:paraId="760AA6E7">
            <w:pPr>
              <w:pStyle w:val="182"/>
              <w:bidi w:val="0"/>
              <w:rPr>
                <w:b/>
                <w:bCs/>
                <w:color w:val="auto"/>
              </w:rPr>
            </w:pPr>
            <w:r>
              <w:rPr>
                <w:b/>
                <w:bCs/>
                <w:color w:val="auto"/>
              </w:rPr>
              <w:t>序号</w:t>
            </w:r>
          </w:p>
        </w:tc>
        <w:tc>
          <w:tcPr>
            <w:tcW w:w="939" w:type="pct"/>
            <w:tcBorders>
              <w:top w:val="single" w:color="auto" w:sz="8" w:space="0"/>
              <w:left w:val="single" w:color="auto" w:sz="6" w:space="0"/>
              <w:bottom w:val="single" w:color="auto" w:sz="6" w:space="0"/>
              <w:right w:val="single" w:color="auto" w:sz="6" w:space="0"/>
            </w:tcBorders>
            <w:vAlign w:val="center"/>
          </w:tcPr>
          <w:p w14:paraId="6D11B783">
            <w:pPr>
              <w:pStyle w:val="182"/>
              <w:bidi w:val="0"/>
              <w:rPr>
                <w:b/>
                <w:bCs/>
                <w:color w:val="auto"/>
              </w:rPr>
            </w:pPr>
            <w:r>
              <w:rPr>
                <w:b/>
                <w:bCs/>
                <w:color w:val="auto"/>
              </w:rPr>
              <w:t>设施类别</w:t>
            </w:r>
          </w:p>
        </w:tc>
        <w:tc>
          <w:tcPr>
            <w:tcW w:w="833" w:type="pct"/>
            <w:tcBorders>
              <w:top w:val="single" w:color="auto" w:sz="8" w:space="0"/>
              <w:left w:val="single" w:color="auto" w:sz="6" w:space="0"/>
              <w:bottom w:val="single" w:color="auto" w:sz="6" w:space="0"/>
              <w:right w:val="single" w:color="auto" w:sz="6" w:space="0"/>
            </w:tcBorders>
            <w:vAlign w:val="center"/>
          </w:tcPr>
          <w:p w14:paraId="225FAF03">
            <w:pPr>
              <w:pStyle w:val="182"/>
              <w:bidi w:val="0"/>
              <w:rPr>
                <w:b/>
                <w:bCs/>
                <w:color w:val="auto"/>
              </w:rPr>
            </w:pPr>
            <w:r>
              <w:rPr>
                <w:b/>
                <w:bCs/>
                <w:color w:val="auto"/>
              </w:rPr>
              <w:t>操作参数</w:t>
            </w:r>
          </w:p>
        </w:tc>
        <w:tc>
          <w:tcPr>
            <w:tcW w:w="833" w:type="pct"/>
            <w:tcBorders>
              <w:top w:val="single" w:color="auto" w:sz="8" w:space="0"/>
              <w:left w:val="single" w:color="auto" w:sz="6" w:space="0"/>
              <w:bottom w:val="single" w:color="auto" w:sz="6" w:space="0"/>
              <w:right w:val="single" w:color="auto" w:sz="6" w:space="0"/>
            </w:tcBorders>
            <w:vAlign w:val="center"/>
          </w:tcPr>
          <w:p w14:paraId="72E02DC7">
            <w:pPr>
              <w:pStyle w:val="182"/>
              <w:bidi w:val="0"/>
              <w:rPr>
                <w:b/>
                <w:bCs/>
                <w:color w:val="auto"/>
              </w:rPr>
            </w:pPr>
            <w:r>
              <w:rPr>
                <w:b/>
                <w:bCs/>
                <w:color w:val="auto"/>
              </w:rPr>
              <w:t>记录内容</w:t>
            </w:r>
          </w:p>
        </w:tc>
        <w:tc>
          <w:tcPr>
            <w:tcW w:w="833" w:type="pct"/>
            <w:tcBorders>
              <w:top w:val="single" w:color="auto" w:sz="8" w:space="0"/>
              <w:left w:val="single" w:color="auto" w:sz="6" w:space="0"/>
              <w:bottom w:val="single" w:color="auto" w:sz="6" w:space="0"/>
              <w:right w:val="single" w:color="auto" w:sz="6" w:space="0"/>
            </w:tcBorders>
            <w:vAlign w:val="center"/>
          </w:tcPr>
          <w:p w14:paraId="2C6B2439">
            <w:pPr>
              <w:pStyle w:val="182"/>
              <w:bidi w:val="0"/>
              <w:rPr>
                <w:b/>
                <w:bCs/>
                <w:color w:val="auto"/>
              </w:rPr>
            </w:pPr>
            <w:r>
              <w:rPr>
                <w:b/>
                <w:bCs/>
                <w:color w:val="auto"/>
              </w:rPr>
              <w:t>记录频次</w:t>
            </w:r>
          </w:p>
        </w:tc>
        <w:tc>
          <w:tcPr>
            <w:tcW w:w="833" w:type="pct"/>
            <w:tcBorders>
              <w:top w:val="single" w:color="auto" w:sz="8" w:space="0"/>
              <w:left w:val="single" w:color="auto" w:sz="6" w:space="0"/>
              <w:bottom w:val="single" w:color="auto" w:sz="6" w:space="0"/>
              <w:right w:val="single" w:color="auto" w:sz="8" w:space="0"/>
            </w:tcBorders>
            <w:vAlign w:val="center"/>
          </w:tcPr>
          <w:p w14:paraId="6CE928E7">
            <w:pPr>
              <w:pStyle w:val="182"/>
              <w:bidi w:val="0"/>
              <w:rPr>
                <w:b/>
                <w:bCs/>
                <w:color w:val="auto"/>
              </w:rPr>
            </w:pPr>
            <w:r>
              <w:rPr>
                <w:b/>
                <w:bCs/>
                <w:color w:val="auto"/>
              </w:rPr>
              <w:t>记录形式</w:t>
            </w:r>
          </w:p>
        </w:tc>
      </w:tr>
      <w:tr w14:paraId="745F4DD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7" w:type="pct"/>
            <w:tcBorders>
              <w:top w:val="single" w:color="auto" w:sz="6" w:space="0"/>
              <w:left w:val="single" w:color="auto" w:sz="8" w:space="0"/>
              <w:bottom w:val="single" w:color="auto" w:sz="6" w:space="0"/>
              <w:right w:val="single" w:color="auto" w:sz="6" w:space="0"/>
            </w:tcBorders>
            <w:vAlign w:val="center"/>
          </w:tcPr>
          <w:p w14:paraId="04492AC6">
            <w:pPr>
              <w:pStyle w:val="182"/>
              <w:bidi w:val="0"/>
              <w:rPr>
                <w:color w:val="auto"/>
              </w:rPr>
            </w:pPr>
          </w:p>
        </w:tc>
        <w:tc>
          <w:tcPr>
            <w:tcW w:w="939" w:type="pct"/>
            <w:vMerge w:val="restart"/>
            <w:tcBorders>
              <w:top w:val="single" w:color="auto" w:sz="6" w:space="0"/>
              <w:left w:val="single" w:color="auto" w:sz="6" w:space="0"/>
              <w:bottom w:val="single" w:color="auto" w:sz="6" w:space="0"/>
              <w:right w:val="single" w:color="auto" w:sz="6" w:space="0"/>
            </w:tcBorders>
            <w:vAlign w:val="center"/>
          </w:tcPr>
          <w:p w14:paraId="54B27D02">
            <w:pPr>
              <w:pStyle w:val="182"/>
              <w:bidi w:val="0"/>
              <w:rPr>
                <w:color w:val="auto"/>
              </w:rPr>
            </w:pPr>
            <w:r>
              <w:rPr>
                <w:color w:val="auto"/>
              </w:rPr>
              <w:t>生产设施</w:t>
            </w:r>
          </w:p>
        </w:tc>
        <w:tc>
          <w:tcPr>
            <w:tcW w:w="833" w:type="pct"/>
            <w:tcBorders>
              <w:top w:val="single" w:color="auto" w:sz="6" w:space="0"/>
              <w:left w:val="single" w:color="auto" w:sz="6" w:space="0"/>
              <w:bottom w:val="single" w:color="auto" w:sz="6" w:space="0"/>
              <w:right w:val="single" w:color="auto" w:sz="6" w:space="0"/>
            </w:tcBorders>
            <w:vAlign w:val="center"/>
          </w:tcPr>
          <w:p w14:paraId="6BD8E9CF">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6" w:space="0"/>
            </w:tcBorders>
            <w:vAlign w:val="center"/>
          </w:tcPr>
          <w:p w14:paraId="34EDF509">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6" w:space="0"/>
            </w:tcBorders>
            <w:vAlign w:val="center"/>
          </w:tcPr>
          <w:p w14:paraId="12122BE2">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8" w:space="0"/>
            </w:tcBorders>
            <w:vAlign w:val="center"/>
          </w:tcPr>
          <w:p w14:paraId="3199BA00">
            <w:pPr>
              <w:pStyle w:val="182"/>
              <w:bidi w:val="0"/>
              <w:rPr>
                <w:color w:val="auto"/>
              </w:rPr>
            </w:pPr>
            <w:r>
              <w:rPr>
                <w:color w:val="auto"/>
              </w:rPr>
              <w:t>……</w:t>
            </w:r>
          </w:p>
        </w:tc>
      </w:tr>
      <w:tr w14:paraId="58A214C2">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7" w:type="pct"/>
            <w:tcBorders>
              <w:top w:val="single" w:color="auto" w:sz="6" w:space="0"/>
              <w:left w:val="single" w:color="auto" w:sz="8" w:space="0"/>
              <w:bottom w:val="single" w:color="auto" w:sz="6" w:space="0"/>
              <w:right w:val="single" w:color="auto" w:sz="6" w:space="0"/>
            </w:tcBorders>
            <w:vAlign w:val="center"/>
          </w:tcPr>
          <w:p w14:paraId="6D09BBA8">
            <w:pPr>
              <w:pStyle w:val="182"/>
              <w:bidi w:val="0"/>
              <w:rPr>
                <w:color w:val="auto"/>
              </w:rPr>
            </w:pPr>
          </w:p>
        </w:tc>
        <w:tc>
          <w:tcPr>
            <w:tcW w:w="939" w:type="pct"/>
            <w:vMerge w:val="continue"/>
            <w:tcBorders>
              <w:top w:val="single" w:color="auto" w:sz="6" w:space="0"/>
              <w:left w:val="single" w:color="auto" w:sz="6" w:space="0"/>
              <w:bottom w:val="single" w:color="auto" w:sz="6" w:space="0"/>
              <w:right w:val="single" w:color="auto" w:sz="6" w:space="0"/>
            </w:tcBorders>
            <w:vAlign w:val="center"/>
          </w:tcPr>
          <w:p w14:paraId="3AA9A160">
            <w:pPr>
              <w:pStyle w:val="182"/>
              <w:bidi w:val="0"/>
              <w:rPr>
                <w:color w:val="auto"/>
              </w:rPr>
            </w:pPr>
          </w:p>
        </w:tc>
        <w:tc>
          <w:tcPr>
            <w:tcW w:w="833" w:type="pct"/>
            <w:tcBorders>
              <w:top w:val="single" w:color="auto" w:sz="6" w:space="0"/>
              <w:left w:val="single" w:color="auto" w:sz="6" w:space="0"/>
              <w:bottom w:val="single" w:color="auto" w:sz="6" w:space="0"/>
              <w:right w:val="single" w:color="auto" w:sz="6" w:space="0"/>
            </w:tcBorders>
            <w:vAlign w:val="center"/>
          </w:tcPr>
          <w:p w14:paraId="46C56E97">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6" w:space="0"/>
            </w:tcBorders>
            <w:vAlign w:val="center"/>
          </w:tcPr>
          <w:p w14:paraId="21A6E720">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6" w:space="0"/>
            </w:tcBorders>
            <w:vAlign w:val="center"/>
          </w:tcPr>
          <w:p w14:paraId="0E3927D8">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8" w:space="0"/>
            </w:tcBorders>
            <w:vAlign w:val="center"/>
          </w:tcPr>
          <w:p w14:paraId="7C643C8D">
            <w:pPr>
              <w:pStyle w:val="182"/>
              <w:bidi w:val="0"/>
              <w:rPr>
                <w:color w:val="auto"/>
              </w:rPr>
            </w:pPr>
            <w:r>
              <w:rPr>
                <w:color w:val="auto"/>
              </w:rPr>
              <w:t>……</w:t>
            </w:r>
          </w:p>
        </w:tc>
      </w:tr>
      <w:tr w14:paraId="1AC16961">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27" w:type="pct"/>
            <w:tcBorders>
              <w:top w:val="single" w:color="auto" w:sz="6" w:space="0"/>
              <w:left w:val="single" w:color="auto" w:sz="8" w:space="0"/>
              <w:bottom w:val="single" w:color="auto" w:sz="6" w:space="0"/>
              <w:right w:val="single" w:color="auto" w:sz="6" w:space="0"/>
            </w:tcBorders>
            <w:vAlign w:val="center"/>
          </w:tcPr>
          <w:p w14:paraId="42E49F5C">
            <w:pPr>
              <w:pStyle w:val="182"/>
              <w:bidi w:val="0"/>
              <w:rPr>
                <w:color w:val="auto"/>
              </w:rPr>
            </w:pPr>
          </w:p>
        </w:tc>
        <w:tc>
          <w:tcPr>
            <w:tcW w:w="939" w:type="pct"/>
            <w:tcBorders>
              <w:top w:val="single" w:color="auto" w:sz="6" w:space="0"/>
              <w:left w:val="single" w:color="auto" w:sz="6" w:space="0"/>
              <w:bottom w:val="single" w:color="auto" w:sz="8" w:space="0"/>
              <w:right w:val="single" w:color="auto" w:sz="6" w:space="0"/>
            </w:tcBorders>
            <w:vAlign w:val="center"/>
          </w:tcPr>
          <w:p w14:paraId="24D665A0">
            <w:pPr>
              <w:pStyle w:val="182"/>
              <w:bidi w:val="0"/>
              <w:rPr>
                <w:color w:val="auto"/>
              </w:rPr>
            </w:pPr>
            <w:r>
              <w:rPr>
                <w:color w:val="auto"/>
              </w:rPr>
              <w:t>污染防治设施</w:t>
            </w:r>
          </w:p>
        </w:tc>
        <w:tc>
          <w:tcPr>
            <w:tcW w:w="833" w:type="pct"/>
            <w:tcBorders>
              <w:top w:val="single" w:color="auto" w:sz="6" w:space="0"/>
              <w:left w:val="single" w:color="auto" w:sz="6" w:space="0"/>
              <w:bottom w:val="single" w:color="auto" w:sz="6" w:space="0"/>
              <w:right w:val="single" w:color="auto" w:sz="6" w:space="0"/>
            </w:tcBorders>
            <w:vAlign w:val="center"/>
          </w:tcPr>
          <w:p w14:paraId="2CCAA371">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6" w:space="0"/>
            </w:tcBorders>
            <w:vAlign w:val="center"/>
          </w:tcPr>
          <w:p w14:paraId="4CE193C4">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6" w:space="0"/>
            </w:tcBorders>
            <w:vAlign w:val="center"/>
          </w:tcPr>
          <w:p w14:paraId="65C87237">
            <w:pPr>
              <w:pStyle w:val="182"/>
              <w:bidi w:val="0"/>
              <w:rPr>
                <w:color w:val="auto"/>
              </w:rPr>
            </w:pPr>
            <w:r>
              <w:rPr>
                <w:color w:val="auto"/>
              </w:rPr>
              <w:t>……</w:t>
            </w:r>
          </w:p>
        </w:tc>
        <w:tc>
          <w:tcPr>
            <w:tcW w:w="833" w:type="pct"/>
            <w:tcBorders>
              <w:top w:val="single" w:color="auto" w:sz="6" w:space="0"/>
              <w:left w:val="single" w:color="auto" w:sz="6" w:space="0"/>
              <w:bottom w:val="single" w:color="auto" w:sz="6" w:space="0"/>
              <w:right w:val="single" w:color="auto" w:sz="8" w:space="0"/>
            </w:tcBorders>
            <w:vAlign w:val="center"/>
          </w:tcPr>
          <w:p w14:paraId="52E49A55">
            <w:pPr>
              <w:pStyle w:val="182"/>
              <w:bidi w:val="0"/>
              <w:rPr>
                <w:color w:val="auto"/>
              </w:rPr>
            </w:pPr>
            <w:r>
              <w:rPr>
                <w:color w:val="auto"/>
              </w:rPr>
              <w:t>……</w:t>
            </w:r>
          </w:p>
        </w:tc>
      </w:tr>
    </w:tbl>
    <w:p w14:paraId="46D519A4">
      <w:pPr>
        <w:pStyle w:val="3"/>
        <w:bidi w:val="0"/>
        <w:rPr>
          <w:color w:val="auto"/>
        </w:rPr>
      </w:pPr>
      <w:bookmarkStart w:id="330" w:name="_Toc18449"/>
      <w:r>
        <w:rPr>
          <w:rFonts w:hint="eastAsia"/>
          <w:color w:val="auto"/>
        </w:rPr>
        <w:t>信息公开内容</w:t>
      </w:r>
      <w:bookmarkEnd w:id="330"/>
    </w:p>
    <w:p w14:paraId="557B036E">
      <w:pPr>
        <w:bidi w:val="0"/>
        <w:rPr>
          <w:color w:val="auto"/>
        </w:rPr>
      </w:pPr>
      <w:r>
        <w:rPr>
          <w:rFonts w:hint="eastAsia"/>
          <w:color w:val="auto"/>
        </w:rPr>
        <w:t>一、项目概况</w:t>
      </w:r>
    </w:p>
    <w:p w14:paraId="583B2E2E">
      <w:pPr>
        <w:bidi w:val="0"/>
        <w:rPr>
          <w:color w:val="auto"/>
        </w:rPr>
      </w:pPr>
      <w:r>
        <w:rPr>
          <w:rFonts w:hint="eastAsia"/>
          <w:color w:val="auto"/>
        </w:rPr>
        <w:t>新乡化纤股份有限公司拟投资</w:t>
      </w:r>
      <w:r>
        <w:rPr>
          <w:rFonts w:hint="eastAsia"/>
          <w:color w:val="auto"/>
          <w:lang w:val="en-US" w:eastAsia="zh-CN"/>
        </w:rPr>
        <w:t>6400</w:t>
      </w:r>
      <w:r>
        <w:rPr>
          <w:rFonts w:hint="eastAsia"/>
          <w:color w:val="auto"/>
        </w:rPr>
        <w:t>万元建设“新乡化纤股份有限公司</w:t>
      </w:r>
      <w:r>
        <w:rPr>
          <w:rFonts w:hint="eastAsia"/>
          <w:color w:val="auto"/>
          <w:lang w:eastAsia="zh-CN"/>
        </w:rPr>
        <w:t>年产1000吨DT溶剂法再生纤维素纤维中试研发项目</w:t>
      </w:r>
      <w:r>
        <w:rPr>
          <w:rFonts w:hint="eastAsia"/>
          <w:color w:val="auto"/>
        </w:rPr>
        <w:t>”。该项目已经新乡经济技术开发区管理委员会备案（备案编号：</w:t>
      </w:r>
      <w:r>
        <w:rPr>
          <w:rFonts w:hint="eastAsia"/>
          <w:color w:val="auto"/>
          <w:lang w:val="en-US" w:eastAsia="zh-CN"/>
        </w:rPr>
        <w:t>2403</w:t>
      </w:r>
      <w:r>
        <w:rPr>
          <w:color w:val="auto"/>
        </w:rPr>
        <w:t>-410772-04-02-</w:t>
      </w:r>
      <w:r>
        <w:rPr>
          <w:rFonts w:hint="eastAsia"/>
          <w:color w:val="auto"/>
          <w:lang w:val="en-US" w:eastAsia="zh-CN"/>
        </w:rPr>
        <w:t>585568</w:t>
      </w:r>
      <w:r>
        <w:rPr>
          <w:rFonts w:hint="eastAsia"/>
          <w:color w:val="auto"/>
        </w:rPr>
        <w:t>），项目建设符合国家产业政策。</w:t>
      </w:r>
    </w:p>
    <w:p w14:paraId="33DF289B">
      <w:pPr>
        <w:bidi w:val="0"/>
        <w:rPr>
          <w:color w:val="auto"/>
        </w:rPr>
      </w:pPr>
      <w:r>
        <w:rPr>
          <w:rFonts w:hint="eastAsia"/>
          <w:color w:val="auto"/>
        </w:rPr>
        <w:t>二、针对项目运营期产生的环境影响，项目拟采取的防治措施：</w:t>
      </w:r>
    </w:p>
    <w:p w14:paraId="29F353DB">
      <w:pPr>
        <w:bidi w:val="0"/>
        <w:rPr>
          <w:color w:val="auto"/>
        </w:rPr>
      </w:pPr>
      <w:r>
        <w:rPr>
          <w:rFonts w:hint="eastAsia"/>
          <w:color w:val="auto"/>
        </w:rPr>
        <w:t>（1）废气</w:t>
      </w:r>
    </w:p>
    <w:p w14:paraId="5BD04AAB">
      <w:pPr>
        <w:bidi w:val="0"/>
        <w:rPr>
          <w:color w:val="auto"/>
        </w:rPr>
      </w:pPr>
      <w:r>
        <w:rPr>
          <w:rFonts w:hint="eastAsia"/>
          <w:color w:val="auto"/>
        </w:rPr>
        <w:t>本项目废气主要为</w:t>
      </w:r>
      <w:r>
        <w:rPr>
          <w:rFonts w:hint="eastAsia"/>
          <w:color w:val="auto"/>
          <w:lang w:val="en-US" w:eastAsia="zh-CN"/>
        </w:rPr>
        <w:t>粉碎</w:t>
      </w:r>
      <w:r>
        <w:rPr>
          <w:rFonts w:hint="eastAsia"/>
          <w:color w:val="auto"/>
        </w:rPr>
        <w:t>工序产生的</w:t>
      </w:r>
      <w:r>
        <w:rPr>
          <w:rFonts w:hint="eastAsia"/>
          <w:color w:val="auto"/>
          <w:lang w:val="en-US" w:eastAsia="zh-CN"/>
        </w:rPr>
        <w:t>颗粒物</w:t>
      </w:r>
      <w:r>
        <w:rPr>
          <w:rFonts w:hint="eastAsia"/>
          <w:color w:val="auto"/>
        </w:rPr>
        <w:t>废气</w:t>
      </w:r>
      <w:r>
        <w:rPr>
          <w:rFonts w:hint="eastAsia"/>
          <w:color w:val="auto"/>
          <w:lang w:eastAsia="zh-CN"/>
        </w:rPr>
        <w:t>；</w:t>
      </w:r>
      <w:r>
        <w:rPr>
          <w:rFonts w:hint="eastAsia"/>
          <w:color w:val="auto"/>
          <w:lang w:val="en-US" w:eastAsia="zh-CN"/>
        </w:rPr>
        <w:t>脱泡、蒸发回收工序产生的非甲烷总烃废气。</w:t>
      </w:r>
    </w:p>
    <w:p w14:paraId="003104C0">
      <w:pPr>
        <w:bidi w:val="0"/>
        <w:rPr>
          <w:color w:val="auto"/>
        </w:rPr>
      </w:pPr>
      <w:r>
        <w:rPr>
          <w:rFonts w:hint="eastAsia"/>
          <w:color w:val="auto"/>
          <w:lang w:val="en-US" w:eastAsia="zh-CN"/>
        </w:rPr>
        <w:t>粉碎</w:t>
      </w:r>
      <w:r>
        <w:rPr>
          <w:rFonts w:hint="eastAsia"/>
          <w:color w:val="auto"/>
        </w:rPr>
        <w:t>废气拟采取措施：</w:t>
      </w:r>
      <w:r>
        <w:rPr>
          <w:rFonts w:hint="eastAsia"/>
          <w:color w:val="auto"/>
          <w:lang w:val="en-US" w:eastAsia="zh-CN"/>
        </w:rPr>
        <w:t>采用粉碎设备自带脉冲袋式除尘器处理，收集效率100%，处理效率99%，处理达标后由20m高排气筒排放</w:t>
      </w:r>
      <w:r>
        <w:rPr>
          <w:rFonts w:hint="eastAsia"/>
          <w:color w:val="auto"/>
        </w:rPr>
        <w:t>。</w:t>
      </w:r>
    </w:p>
    <w:p w14:paraId="02A484BD">
      <w:pPr>
        <w:bidi w:val="0"/>
        <w:rPr>
          <w:rFonts w:hint="eastAsia"/>
          <w:color w:val="auto"/>
        </w:rPr>
      </w:pPr>
      <w:r>
        <w:rPr>
          <w:rFonts w:hint="eastAsia"/>
          <w:color w:val="auto"/>
          <w:lang w:val="en-US" w:eastAsia="zh-CN"/>
        </w:rPr>
        <w:t>脱泡、干燥、蒸发回收废气</w:t>
      </w:r>
      <w:r>
        <w:rPr>
          <w:rFonts w:hint="eastAsia"/>
          <w:color w:val="auto"/>
        </w:rPr>
        <w:t>拟采取措施：</w:t>
      </w:r>
      <w:r>
        <w:rPr>
          <w:rFonts w:hint="eastAsia"/>
          <w:color w:val="auto"/>
          <w:lang w:val="en-US" w:eastAsia="zh-CN"/>
        </w:rPr>
        <w:t>共用一套处理设施，采用</w:t>
      </w:r>
      <w:r>
        <w:rPr>
          <w:rFonts w:hint="eastAsia"/>
          <w:b w:val="0"/>
          <w:bCs w:val="0"/>
          <w:color w:val="auto"/>
          <w:u w:val="none"/>
          <w:lang w:val="en-US" w:eastAsia="zh-CN"/>
        </w:rPr>
        <w:t>两级水洗塔串联+活性炭吸附</w:t>
      </w:r>
      <w:r>
        <w:rPr>
          <w:rFonts w:hint="eastAsia"/>
          <w:color w:val="auto"/>
          <w:lang w:val="en-US" w:eastAsia="zh-CN"/>
        </w:rPr>
        <w:t>处理，处理效率94%，处理达标后由20m高排气筒排放</w:t>
      </w:r>
      <w:r>
        <w:rPr>
          <w:rFonts w:hint="eastAsia"/>
          <w:color w:val="auto"/>
        </w:rPr>
        <w:t>。</w:t>
      </w:r>
    </w:p>
    <w:p w14:paraId="1B4F465F">
      <w:pPr>
        <w:bidi w:val="0"/>
        <w:rPr>
          <w:color w:val="auto"/>
        </w:rPr>
      </w:pPr>
      <w:r>
        <w:rPr>
          <w:rFonts w:hint="eastAsia"/>
          <w:color w:val="auto"/>
        </w:rPr>
        <w:t>（2）废水</w:t>
      </w:r>
    </w:p>
    <w:p w14:paraId="4FC6F270">
      <w:pPr>
        <w:bidi w:val="0"/>
        <w:rPr>
          <w:color w:val="auto"/>
        </w:rPr>
      </w:pPr>
      <w:r>
        <w:rPr>
          <w:rFonts w:hint="eastAsia"/>
          <w:color w:val="auto"/>
        </w:rPr>
        <w:t>本工程废水主要是</w:t>
      </w:r>
      <w:r>
        <w:rPr>
          <w:rFonts w:hint="eastAsia"/>
          <w:color w:val="auto"/>
          <w:lang w:val="en-US" w:eastAsia="zh-CN"/>
        </w:rPr>
        <w:t>蒸发回收废水、废气处理设施</w:t>
      </w:r>
      <w:r>
        <w:rPr>
          <w:rFonts w:hint="eastAsia"/>
          <w:color w:val="auto"/>
        </w:rPr>
        <w:t>废水。</w:t>
      </w:r>
    </w:p>
    <w:p w14:paraId="489FA776">
      <w:pPr>
        <w:bidi w:val="0"/>
        <w:rPr>
          <w:color w:val="auto"/>
        </w:rPr>
      </w:pPr>
      <w:r>
        <w:rPr>
          <w:rFonts w:hint="eastAsia"/>
          <w:color w:val="auto"/>
        </w:rPr>
        <w:t>本项目新增</w:t>
      </w:r>
      <w:r>
        <w:rPr>
          <w:rFonts w:hint="eastAsia"/>
          <w:b w:val="0"/>
          <w:bCs w:val="0"/>
          <w:color w:val="auto"/>
          <w:highlight w:val="none"/>
          <w:u w:val="none"/>
        </w:rPr>
        <w:t>废水产生量为</w:t>
      </w:r>
      <w:r>
        <w:rPr>
          <w:rFonts w:hint="eastAsia"/>
          <w:b w:val="0"/>
          <w:bCs w:val="0"/>
          <w:color w:val="auto"/>
          <w:highlight w:val="none"/>
          <w:u w:val="none"/>
          <w:lang w:val="en-US" w:eastAsia="zh-CN"/>
        </w:rPr>
        <w:t>750.31</w:t>
      </w:r>
      <w:r>
        <w:rPr>
          <w:b w:val="0"/>
          <w:bCs w:val="0"/>
          <w:color w:val="auto"/>
          <w:highlight w:val="none"/>
          <w:u w:val="none"/>
        </w:rPr>
        <w:t>m</w:t>
      </w:r>
      <w:r>
        <w:rPr>
          <w:b w:val="0"/>
          <w:bCs w:val="0"/>
          <w:color w:val="auto"/>
          <w:highlight w:val="none"/>
          <w:u w:val="none"/>
          <w:vertAlign w:val="superscript"/>
        </w:rPr>
        <w:t>3</w:t>
      </w:r>
      <w:r>
        <w:rPr>
          <w:b w:val="0"/>
          <w:bCs w:val="0"/>
          <w:color w:val="auto"/>
          <w:highlight w:val="none"/>
          <w:u w:val="none"/>
        </w:rPr>
        <w:t>/d</w:t>
      </w:r>
      <w:r>
        <w:rPr>
          <w:rFonts w:hint="eastAsia"/>
          <w:b w:val="0"/>
          <w:bCs w:val="0"/>
          <w:color w:val="auto"/>
          <w:highlight w:val="none"/>
          <w:u w:val="none"/>
          <w:lang w:eastAsia="zh-CN"/>
        </w:rPr>
        <w:t>，</w:t>
      </w:r>
      <w:r>
        <w:rPr>
          <w:rFonts w:hint="eastAsia"/>
          <w:color w:val="auto"/>
          <w:lang w:val="en-US" w:eastAsia="zh-CN"/>
        </w:rPr>
        <w:t>废水厂区</w:t>
      </w:r>
      <w:r>
        <w:rPr>
          <w:rFonts w:hint="eastAsia"/>
          <w:color w:val="auto"/>
        </w:rPr>
        <w:t>污水处理站处理，污水处理站出口以及总排口废水各项水质均能满足《污水综合排放标准》（GB8978-1996）表4</w:t>
      </w:r>
      <w:r>
        <w:rPr>
          <w:rFonts w:hint="eastAsia"/>
          <w:color w:val="auto"/>
          <w:lang w:val="en-US" w:eastAsia="zh-CN"/>
        </w:rPr>
        <w:t>二级</w:t>
      </w:r>
      <w:r>
        <w:rPr>
          <w:rFonts w:hint="eastAsia"/>
          <w:color w:val="auto"/>
          <w:lang w:eastAsia="zh-CN"/>
        </w:rPr>
        <w:t>、</w:t>
      </w:r>
      <w:r>
        <w:rPr>
          <w:rFonts w:hint="eastAsia"/>
          <w:color w:val="auto"/>
          <w:lang w:val="en-US" w:eastAsia="zh-CN"/>
        </w:rPr>
        <w:t>与小店污水处理厂收水协议标准及</w:t>
      </w:r>
      <w:r>
        <w:rPr>
          <w:rFonts w:hint="eastAsia"/>
          <w:color w:val="auto"/>
        </w:rPr>
        <w:t>小店污水处理厂的收水</w:t>
      </w:r>
      <w:r>
        <w:rPr>
          <w:rFonts w:hint="eastAsia"/>
          <w:color w:val="auto"/>
          <w:lang w:val="en-US" w:eastAsia="zh-CN"/>
        </w:rPr>
        <w:t>标准</w:t>
      </w:r>
      <w:r>
        <w:rPr>
          <w:rFonts w:hint="eastAsia"/>
          <w:color w:val="auto"/>
        </w:rPr>
        <w:t>，进入新乡市小店污水处理厂处理。</w:t>
      </w:r>
    </w:p>
    <w:p w14:paraId="14A2B7C5">
      <w:pPr>
        <w:bidi w:val="0"/>
        <w:rPr>
          <w:color w:val="auto"/>
        </w:rPr>
      </w:pPr>
      <w:r>
        <w:rPr>
          <w:rFonts w:hint="eastAsia"/>
          <w:color w:val="auto"/>
        </w:rPr>
        <w:t>（3）噪声</w:t>
      </w:r>
    </w:p>
    <w:p w14:paraId="3B862464">
      <w:pPr>
        <w:bidi w:val="0"/>
        <w:rPr>
          <w:color w:val="auto"/>
        </w:rPr>
      </w:pPr>
      <w:r>
        <w:rPr>
          <w:rFonts w:hint="eastAsia"/>
          <w:color w:val="auto"/>
        </w:rPr>
        <w:t>工程将对高噪声设备采取减振、隔声等措施</w:t>
      </w:r>
      <w:r>
        <w:rPr>
          <w:rFonts w:hint="eastAsia"/>
          <w:color w:val="auto"/>
          <w:lang w:eastAsia="zh-CN"/>
        </w:rPr>
        <w:t>，</w:t>
      </w:r>
      <w:r>
        <w:rPr>
          <w:rFonts w:hint="eastAsia"/>
          <w:color w:val="auto"/>
          <w:lang w:val="en-US" w:eastAsia="zh-CN"/>
        </w:rPr>
        <w:t>经距离衰减后</w:t>
      </w:r>
      <w:r>
        <w:rPr>
          <w:rFonts w:hint="eastAsia"/>
          <w:color w:val="auto"/>
        </w:rPr>
        <w:t>，各厂界均可以满足《工业企业厂界环境噪声排放标准》（GB12348-2008）3类昼间65dB(A)、夜间55dB(A</w:t>
      </w:r>
      <w:r>
        <w:rPr>
          <w:rFonts w:hint="eastAsia"/>
          <w:color w:val="auto"/>
          <w:lang w:eastAsia="zh-CN"/>
        </w:rPr>
        <w:t>)</w:t>
      </w:r>
      <w:r>
        <w:rPr>
          <w:rFonts w:hint="eastAsia"/>
          <w:color w:val="auto"/>
        </w:rPr>
        <w:t>的标准要求。</w:t>
      </w:r>
    </w:p>
    <w:p w14:paraId="187FCAB6">
      <w:pPr>
        <w:bidi w:val="0"/>
        <w:rPr>
          <w:color w:val="auto"/>
        </w:rPr>
      </w:pPr>
      <w:r>
        <w:rPr>
          <w:rFonts w:hint="eastAsia"/>
          <w:color w:val="auto"/>
        </w:rPr>
        <w:t>（4）固废</w:t>
      </w:r>
    </w:p>
    <w:p w14:paraId="7F4CFD75">
      <w:pPr>
        <w:bidi w:val="0"/>
        <w:rPr>
          <w:color w:val="auto"/>
        </w:rPr>
      </w:pPr>
      <w:r>
        <w:rPr>
          <w:rFonts w:hint="eastAsia"/>
          <w:color w:val="auto"/>
        </w:rPr>
        <w:t>工程产生的固废主要有除尘器收集颗粒物</w:t>
      </w:r>
      <w:r>
        <w:rPr>
          <w:rFonts w:hint="eastAsia"/>
          <w:color w:val="auto"/>
          <w:lang w:eastAsia="zh-CN"/>
        </w:rPr>
        <w:t>、</w:t>
      </w:r>
      <w:r>
        <w:rPr>
          <w:rFonts w:hint="eastAsia"/>
          <w:color w:val="auto"/>
          <w:lang w:val="en-US" w:eastAsia="zh-CN"/>
        </w:rPr>
        <w:t>废丝</w:t>
      </w:r>
      <w:r>
        <w:rPr>
          <w:rFonts w:hint="eastAsia"/>
          <w:color w:val="auto"/>
          <w:lang w:eastAsia="zh-CN"/>
        </w:rPr>
        <w:t>、滤渣、废滤芯、废包装桶、废活性炭</w:t>
      </w:r>
      <w:r>
        <w:rPr>
          <w:rFonts w:hint="eastAsia"/>
          <w:color w:val="auto"/>
        </w:rPr>
        <w:t>等。其中</w:t>
      </w:r>
      <w:r>
        <w:rPr>
          <w:rFonts w:hint="eastAsia"/>
          <w:color w:val="auto"/>
          <w:lang w:eastAsia="zh-CN"/>
        </w:rPr>
        <w:t>滤渣、废滤芯、D溶剂、油剂废包装桶、废活性炭</w:t>
      </w:r>
      <w:r>
        <w:rPr>
          <w:rFonts w:hint="eastAsia"/>
          <w:color w:val="auto"/>
        </w:rPr>
        <w:t>为危险废物，在危废暂存间暂存后定期交由有资质单位处置；除尘器收集颗粒物</w:t>
      </w:r>
      <w:r>
        <w:rPr>
          <w:rFonts w:hint="eastAsia"/>
          <w:color w:val="auto"/>
          <w:lang w:eastAsia="zh-CN"/>
        </w:rPr>
        <w:t>、</w:t>
      </w:r>
      <w:r>
        <w:rPr>
          <w:rFonts w:hint="eastAsia"/>
          <w:color w:val="auto"/>
          <w:lang w:val="en-US" w:eastAsia="zh-CN"/>
        </w:rPr>
        <w:t>废丝</w:t>
      </w:r>
      <w:r>
        <w:rPr>
          <w:rFonts w:hint="eastAsia"/>
          <w:color w:val="auto"/>
          <w:lang w:eastAsia="zh-CN"/>
        </w:rPr>
        <w:t>、T溶剂废包装桶、</w:t>
      </w:r>
      <w:r>
        <w:rPr>
          <w:rFonts w:hint="eastAsia"/>
          <w:color w:val="auto"/>
          <w:lang w:val="en-US" w:eastAsia="zh-CN"/>
        </w:rPr>
        <w:t>污泥</w:t>
      </w:r>
      <w:r>
        <w:rPr>
          <w:rFonts w:hint="eastAsia"/>
          <w:color w:val="auto"/>
        </w:rPr>
        <w:t>为一般固废，在一般固废暂存间暂存，定期</w:t>
      </w:r>
      <w:r>
        <w:rPr>
          <w:rFonts w:hint="eastAsia"/>
          <w:color w:val="auto"/>
          <w:lang w:val="en-US" w:eastAsia="zh-CN"/>
        </w:rPr>
        <w:t>会用生产</w:t>
      </w:r>
      <w:r>
        <w:rPr>
          <w:rFonts w:hint="eastAsia"/>
          <w:color w:val="auto"/>
        </w:rPr>
        <w:t>。各种固废均能实现合理处置。</w:t>
      </w:r>
    </w:p>
    <w:p w14:paraId="705BF6E7">
      <w:pPr>
        <w:bidi w:val="0"/>
        <w:rPr>
          <w:color w:val="auto"/>
        </w:rPr>
      </w:pPr>
      <w:r>
        <w:rPr>
          <w:rFonts w:hint="eastAsia"/>
          <w:color w:val="auto"/>
        </w:rPr>
        <w:t>企业在运营期内，应自行开展污染物排放监测或者委托有资质的检测单位对企业的排污情况进行监测，并通过多种渠道向社会公开相关信息。</w:t>
      </w:r>
    </w:p>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14:paraId="44AC81B9">
      <w:pPr>
        <w:pStyle w:val="3"/>
        <w:bidi w:val="0"/>
        <w:rPr>
          <w:color w:val="auto"/>
        </w:rPr>
      </w:pPr>
      <w:bookmarkStart w:id="331" w:name="_Toc29994"/>
      <w:bookmarkStart w:id="332" w:name="_Toc29565"/>
      <w:bookmarkStart w:id="333" w:name="_Toc7660"/>
      <w:bookmarkStart w:id="334" w:name="_Toc67041084"/>
      <w:bookmarkStart w:id="335" w:name="_Toc30165670"/>
      <w:r>
        <w:rPr>
          <w:color w:val="auto"/>
        </w:rPr>
        <w:t>排污口标志管理</w:t>
      </w:r>
      <w:bookmarkEnd w:id="331"/>
      <w:bookmarkEnd w:id="332"/>
      <w:bookmarkEnd w:id="333"/>
      <w:bookmarkEnd w:id="334"/>
      <w:bookmarkEnd w:id="335"/>
    </w:p>
    <w:p w14:paraId="39D53926">
      <w:pPr>
        <w:bidi w:val="0"/>
        <w:rPr>
          <w:color w:val="auto"/>
        </w:rPr>
      </w:pPr>
      <w:r>
        <w:rPr>
          <w:color w:val="auto"/>
        </w:rPr>
        <w:t>根据《</w:t>
      </w:r>
      <w:r>
        <w:rPr>
          <w:rFonts w:hint="eastAsia"/>
          <w:color w:val="auto"/>
          <w:lang w:eastAsia="zh-CN"/>
        </w:rPr>
        <w:t>环境保护图形标志 排放口（源）</w:t>
      </w:r>
      <w:r>
        <w:rPr>
          <w:color w:val="auto"/>
        </w:rPr>
        <w:t>》（GB15562.1-1995）、《</w:t>
      </w:r>
      <w:r>
        <w:rPr>
          <w:rFonts w:hint="eastAsia"/>
          <w:color w:val="auto"/>
          <w:lang w:eastAsia="zh-CN"/>
        </w:rPr>
        <w:t>环境保护图形标志 固体废物贮存（处置）场</w:t>
      </w:r>
      <w:r>
        <w:rPr>
          <w:color w:val="auto"/>
        </w:rPr>
        <w:t>》（GB15562.2-1995）标准要求，本项目应在废气、废水排放口、固废贮存场所和噪声排放源分别设置环境保护图形标志牌，便于污染源监督管理及常规监测工作的进行。根据规定要求各排污口（源）提示标志形状采用正方形边框，背景颜色采用绿色，图形颜色采用白色。标志牌应设在与之功能相应的醒目处，并保持清晰、完整。具体标志牌示意详见下图。</w:t>
      </w:r>
    </w:p>
    <w:p w14:paraId="78810606">
      <w:pPr>
        <w:spacing w:line="240" w:lineRule="auto"/>
        <w:ind w:left="0" w:leftChars="0" w:firstLine="0" w:firstLineChars="0"/>
        <w:jc w:val="center"/>
        <w:rPr>
          <w:color w:val="auto"/>
        </w:rPr>
      </w:pPr>
    </w:p>
    <w:p w14:paraId="347BF834">
      <w:pPr>
        <w:spacing w:line="240" w:lineRule="auto"/>
        <w:ind w:left="0" w:leftChars="0" w:firstLine="0" w:firstLineChars="0"/>
        <w:jc w:val="center"/>
        <w:rPr>
          <w:color w:val="auto"/>
        </w:rPr>
      </w:pPr>
      <w:r>
        <w:rPr>
          <w:color w:val="auto"/>
        </w:rPr>
        <w:drawing>
          <wp:inline distT="0" distB="0" distL="0" distR="0">
            <wp:extent cx="4726940" cy="2646045"/>
            <wp:effectExtent l="0" t="0" r="12700" b="5715"/>
            <wp:docPr id="5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7"/>
                    <pic:cNvPicPr>
                      <a:picLocks noChangeAspect="1" noChangeArrowheads="1"/>
                    </pic:cNvPicPr>
                  </pic:nvPicPr>
                  <pic:blipFill>
                    <a:blip r:embed="rId97" cstate="print">
                      <a:extLst>
                        <a:ext uri="{28A0092B-C50C-407E-A947-70E740481C1C}">
                          <a14:useLocalDpi xmlns:a14="http://schemas.microsoft.com/office/drawing/2010/main" val="0"/>
                        </a:ext>
                      </a:extLst>
                    </a:blip>
                    <a:srcRect l="-662" t="-1832" r="18436" b="1"/>
                    <a:stretch>
                      <a:fillRect/>
                    </a:stretch>
                  </pic:blipFill>
                  <pic:spPr>
                    <a:xfrm>
                      <a:off x="0" y="0"/>
                      <a:ext cx="4726940" cy="2646830"/>
                    </a:xfrm>
                    <a:prstGeom prst="rect">
                      <a:avLst/>
                    </a:prstGeom>
                    <a:noFill/>
                    <a:ln>
                      <a:noFill/>
                    </a:ln>
                    <a:effectLst/>
                  </pic:spPr>
                </pic:pic>
              </a:graphicData>
            </a:graphic>
          </wp:inline>
        </w:drawing>
      </w:r>
    </w:p>
    <w:p w14:paraId="1A33C934">
      <w:pPr>
        <w:pStyle w:val="30"/>
        <w:ind w:left="0" w:leftChars="0" w:firstLine="0" w:firstLineChars="0"/>
        <w:jc w:val="center"/>
        <w:rPr>
          <w:color w:val="auto"/>
        </w:rPr>
      </w:pPr>
      <w:r>
        <w:rPr>
          <w:color w:val="auto"/>
        </w:rPr>
        <w:drawing>
          <wp:inline distT="0" distB="0" distL="114300" distR="114300">
            <wp:extent cx="5085080" cy="3242945"/>
            <wp:effectExtent l="0" t="0" r="5080" b="3175"/>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98"/>
                    <a:stretch>
                      <a:fillRect/>
                    </a:stretch>
                  </pic:blipFill>
                  <pic:spPr>
                    <a:xfrm>
                      <a:off x="0" y="0"/>
                      <a:ext cx="5085080" cy="3242945"/>
                    </a:xfrm>
                    <a:prstGeom prst="rect">
                      <a:avLst/>
                    </a:prstGeom>
                    <a:noFill/>
                    <a:ln>
                      <a:noFill/>
                    </a:ln>
                  </pic:spPr>
                </pic:pic>
              </a:graphicData>
            </a:graphic>
          </wp:inline>
        </w:drawing>
      </w:r>
    </w:p>
    <w:p w14:paraId="1598CA71">
      <w:pPr>
        <w:pStyle w:val="181"/>
        <w:bidi w:val="0"/>
        <w:ind w:left="0" w:leftChars="0" w:firstLine="0" w:firstLineChars="0"/>
        <w:jc w:val="center"/>
        <w:rPr>
          <w:color w:val="auto"/>
        </w:rPr>
      </w:pPr>
      <w:r>
        <w:rPr>
          <w:color w:val="auto"/>
        </w:rPr>
        <w:t>图</w:t>
      </w:r>
      <w:r>
        <w:rPr>
          <w:rFonts w:hint="eastAsia"/>
          <w:color w:val="auto"/>
          <w:lang w:val="en-US" w:eastAsia="zh-CN"/>
        </w:rPr>
        <w:t>9</w:t>
      </w:r>
      <w:r>
        <w:rPr>
          <w:color w:val="auto"/>
        </w:rPr>
        <w:t>.4-1  环境保护图形</w:t>
      </w:r>
    </w:p>
    <w:p w14:paraId="7BEFE23E">
      <w:pPr>
        <w:bidi w:val="0"/>
        <w:rPr>
          <w:color w:val="auto"/>
        </w:rPr>
      </w:pPr>
      <w:r>
        <w:rPr>
          <w:color w:val="auto"/>
        </w:rPr>
        <w:t>排污口标志牌设在醒目处，设置高度为上边缘距地面约2m。建议每年对标志牌进行检查和维护一次，确保标志牌清晰完整。</w:t>
      </w:r>
    </w:p>
    <w:p w14:paraId="757A3F83">
      <w:pPr>
        <w:pStyle w:val="3"/>
        <w:bidi w:val="0"/>
        <w:rPr>
          <w:rFonts w:hint="eastAsia"/>
          <w:color w:val="auto"/>
        </w:rPr>
      </w:pPr>
      <w:bookmarkStart w:id="336" w:name="_Toc15552"/>
      <w:r>
        <w:rPr>
          <w:rFonts w:hint="eastAsia"/>
          <w:color w:val="auto"/>
        </w:rPr>
        <w:t>“三同时”竣工验收内容</w:t>
      </w:r>
      <w:bookmarkEnd w:id="336"/>
    </w:p>
    <w:p w14:paraId="368A3431">
      <w:pPr>
        <w:bidi w:val="0"/>
        <w:rPr>
          <w:rFonts w:hint="eastAsia"/>
          <w:b w:val="0"/>
          <w:bCs w:val="0"/>
          <w:color w:val="auto"/>
          <w:u w:val="none"/>
        </w:rPr>
      </w:pPr>
      <w:r>
        <w:rPr>
          <w:rFonts w:hint="eastAsia"/>
          <w:b w:val="0"/>
          <w:bCs w:val="0"/>
          <w:color w:val="auto"/>
          <w:u w:val="none"/>
        </w:rPr>
        <w:t>按照国家有关要求，建设项目必须严格执行“三同时”制度，环保竣工验收也有相应的“三同时”验收内容。本项目环保设施竣工验收内容见下表。</w:t>
      </w:r>
    </w:p>
    <w:p w14:paraId="2B9B95BB">
      <w:pPr>
        <w:pStyle w:val="10"/>
        <w:bidi w:val="0"/>
        <w:rPr>
          <w:rFonts w:hint="eastAsia"/>
        </w:rPr>
      </w:pPr>
      <w:r>
        <w:t xml:space="preserve">表 </w:t>
      </w:r>
      <w:r>
        <w:fldChar w:fldCharType="begin"/>
      </w:r>
      <w:r>
        <w:instrText xml:space="preserve"> STYLEREF 2 \s </w:instrText>
      </w:r>
      <w:r>
        <w:fldChar w:fldCharType="separate"/>
      </w:r>
      <w:r>
        <w:t>9.5</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w:t>
      </w:r>
      <w:r>
        <w:rPr>
          <w:rFonts w:hint="eastAsia"/>
        </w:rPr>
        <w:t>环保设施竣工验收内容一览表</w:t>
      </w:r>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4"/>
        <w:gridCol w:w="1609"/>
        <w:gridCol w:w="1675"/>
        <w:gridCol w:w="1709"/>
        <w:gridCol w:w="1956"/>
      </w:tblGrid>
      <w:tr w14:paraId="175E1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83" w:type="dxa"/>
            <w:gridSpan w:val="2"/>
            <w:vAlign w:val="center"/>
          </w:tcPr>
          <w:p w14:paraId="7A01F816">
            <w:pPr>
              <w:pStyle w:val="182"/>
              <w:bidi w:val="0"/>
              <w:rPr>
                <w:rFonts w:hint="eastAsia"/>
                <w:b/>
                <w:bCs/>
                <w:color w:val="auto"/>
                <w:u w:val="none"/>
              </w:rPr>
            </w:pPr>
            <w:r>
              <w:rPr>
                <w:rFonts w:hint="eastAsia"/>
                <w:b/>
                <w:bCs/>
                <w:color w:val="auto"/>
                <w:u w:val="none"/>
              </w:rPr>
              <w:t>产污环节</w:t>
            </w:r>
          </w:p>
        </w:tc>
        <w:tc>
          <w:tcPr>
            <w:tcW w:w="1675" w:type="dxa"/>
            <w:vAlign w:val="center"/>
          </w:tcPr>
          <w:p w14:paraId="188651F7">
            <w:pPr>
              <w:pStyle w:val="182"/>
              <w:bidi w:val="0"/>
              <w:rPr>
                <w:b/>
                <w:bCs/>
                <w:color w:val="auto"/>
                <w:u w:val="none"/>
              </w:rPr>
            </w:pPr>
            <w:r>
              <w:rPr>
                <w:rFonts w:hint="eastAsia"/>
                <w:b/>
                <w:bCs/>
                <w:color w:val="auto"/>
                <w:u w:val="none"/>
              </w:rPr>
              <w:t>污染物</w:t>
            </w:r>
          </w:p>
        </w:tc>
        <w:tc>
          <w:tcPr>
            <w:tcW w:w="1709" w:type="dxa"/>
            <w:vAlign w:val="center"/>
          </w:tcPr>
          <w:p w14:paraId="2810B56C">
            <w:pPr>
              <w:pStyle w:val="182"/>
              <w:bidi w:val="0"/>
              <w:rPr>
                <w:b/>
                <w:bCs/>
                <w:color w:val="auto"/>
                <w:u w:val="none"/>
              </w:rPr>
            </w:pPr>
            <w:r>
              <w:rPr>
                <w:rFonts w:hint="eastAsia"/>
                <w:b/>
                <w:bCs/>
                <w:color w:val="auto"/>
                <w:u w:val="none"/>
              </w:rPr>
              <w:t>处理措施</w:t>
            </w:r>
          </w:p>
        </w:tc>
        <w:tc>
          <w:tcPr>
            <w:tcW w:w="1956" w:type="dxa"/>
            <w:vAlign w:val="center"/>
          </w:tcPr>
          <w:p w14:paraId="172B4BAD">
            <w:pPr>
              <w:pStyle w:val="182"/>
              <w:bidi w:val="0"/>
              <w:rPr>
                <w:b/>
                <w:bCs/>
                <w:color w:val="auto"/>
                <w:u w:val="none"/>
              </w:rPr>
            </w:pPr>
            <w:r>
              <w:rPr>
                <w:rFonts w:hint="eastAsia"/>
                <w:b/>
                <w:bCs/>
                <w:color w:val="auto"/>
                <w:u w:val="none"/>
              </w:rPr>
              <w:t>标准</w:t>
            </w:r>
          </w:p>
        </w:tc>
      </w:tr>
      <w:tr w14:paraId="17768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Merge w:val="restart"/>
            <w:vAlign w:val="center"/>
          </w:tcPr>
          <w:p w14:paraId="437F8408">
            <w:pPr>
              <w:pStyle w:val="182"/>
              <w:bidi w:val="0"/>
              <w:rPr>
                <w:rFonts w:hint="eastAsia"/>
                <w:b w:val="0"/>
                <w:bCs w:val="0"/>
                <w:color w:val="auto"/>
                <w:u w:val="none"/>
                <w:lang w:val="en-US" w:eastAsia="zh-CN"/>
              </w:rPr>
            </w:pPr>
            <w:r>
              <w:rPr>
                <w:rFonts w:hint="eastAsia"/>
                <w:b w:val="0"/>
                <w:bCs w:val="0"/>
                <w:color w:val="auto"/>
                <w:u w:val="none"/>
                <w:lang w:val="en-US" w:eastAsia="zh-CN"/>
              </w:rPr>
              <w:t>废气</w:t>
            </w:r>
          </w:p>
        </w:tc>
        <w:tc>
          <w:tcPr>
            <w:tcW w:w="1609" w:type="dxa"/>
            <w:vAlign w:val="center"/>
          </w:tcPr>
          <w:p w14:paraId="6008D303">
            <w:pPr>
              <w:pStyle w:val="182"/>
              <w:bidi w:val="0"/>
              <w:ind w:firstLine="0" w:firstLineChars="0"/>
              <w:rPr>
                <w:rFonts w:hint="eastAsia"/>
                <w:b w:val="0"/>
                <w:bCs w:val="0"/>
                <w:color w:val="auto"/>
                <w:u w:val="none"/>
                <w:lang w:val="en-US" w:eastAsia="zh-CN"/>
              </w:rPr>
            </w:pPr>
            <w:r>
              <w:rPr>
                <w:rFonts w:hint="eastAsia"/>
                <w:color w:val="auto"/>
                <w:lang w:val="en-US" w:eastAsia="zh-CN"/>
              </w:rPr>
              <w:t>粉碎原料</w:t>
            </w:r>
          </w:p>
        </w:tc>
        <w:tc>
          <w:tcPr>
            <w:tcW w:w="1675" w:type="dxa"/>
            <w:vAlign w:val="center"/>
          </w:tcPr>
          <w:p w14:paraId="31772B3D">
            <w:pPr>
              <w:pStyle w:val="182"/>
              <w:bidi w:val="0"/>
              <w:rPr>
                <w:rFonts w:hint="eastAsia"/>
                <w:b w:val="0"/>
                <w:bCs w:val="0"/>
                <w:color w:val="auto"/>
                <w:u w:val="none"/>
                <w:lang w:val="en-US" w:eastAsia="zh-CN"/>
              </w:rPr>
            </w:pPr>
            <w:r>
              <w:rPr>
                <w:rFonts w:hint="eastAsia"/>
                <w:b w:val="0"/>
                <w:bCs w:val="0"/>
                <w:color w:val="auto"/>
                <w:u w:val="none"/>
                <w:lang w:val="en-US" w:eastAsia="zh-CN"/>
              </w:rPr>
              <w:t>颗粒物</w:t>
            </w:r>
          </w:p>
        </w:tc>
        <w:tc>
          <w:tcPr>
            <w:tcW w:w="1709" w:type="dxa"/>
            <w:vAlign w:val="center"/>
          </w:tcPr>
          <w:p w14:paraId="739F366F">
            <w:pPr>
              <w:pStyle w:val="182"/>
              <w:bidi w:val="0"/>
              <w:ind w:firstLine="0" w:firstLineChars="0"/>
              <w:rPr>
                <w:b w:val="0"/>
                <w:bCs w:val="0"/>
                <w:color w:val="auto"/>
                <w:u w:val="none"/>
              </w:rPr>
            </w:pPr>
            <w:r>
              <w:rPr>
                <w:rFonts w:hint="eastAsia"/>
                <w:color w:val="auto"/>
                <w:lang w:val="en-US" w:eastAsia="zh-CN"/>
              </w:rPr>
              <w:t>粉碎设备自带脉冲袋式除尘器</w:t>
            </w:r>
          </w:p>
        </w:tc>
        <w:tc>
          <w:tcPr>
            <w:tcW w:w="1956" w:type="dxa"/>
            <w:vAlign w:val="center"/>
          </w:tcPr>
          <w:p w14:paraId="4DF862F7">
            <w:pPr>
              <w:pStyle w:val="182"/>
              <w:bidi w:val="0"/>
              <w:ind w:firstLine="0" w:firstLineChars="0"/>
              <w:rPr>
                <w:b w:val="0"/>
                <w:bCs w:val="0"/>
                <w:color w:val="auto"/>
                <w:u w:val="none"/>
              </w:rPr>
            </w:pPr>
            <w:r>
              <w:rPr>
                <w:b w:val="0"/>
                <w:bCs w:val="0"/>
                <w:color w:val="auto"/>
                <w:u w:val="none"/>
              </w:rPr>
              <w:t>《新乡市生态环境局关于进一步规范工业企业颗粒物排放限值的通知》</w:t>
            </w:r>
            <w:r>
              <w:rPr>
                <w:rFonts w:hint="eastAsia"/>
                <w:b w:val="0"/>
                <w:bCs w:val="0"/>
                <w:color w:val="auto"/>
                <w:u w:val="none"/>
              </w:rPr>
              <w:t>其他涉气工业企业10mg/m</w:t>
            </w:r>
            <w:r>
              <w:rPr>
                <w:rFonts w:hint="eastAsia"/>
                <w:b w:val="0"/>
                <w:bCs w:val="0"/>
                <w:color w:val="auto"/>
                <w:u w:val="none"/>
                <w:vertAlign w:val="superscript"/>
              </w:rPr>
              <w:t>3</w:t>
            </w:r>
            <w:r>
              <w:rPr>
                <w:rFonts w:hint="eastAsia"/>
                <w:b w:val="0"/>
                <w:bCs w:val="0"/>
                <w:color w:val="auto"/>
                <w:u w:val="none"/>
              </w:rPr>
              <w:t>（有组织）</w:t>
            </w:r>
            <w:r>
              <w:rPr>
                <w:rFonts w:hint="eastAsia"/>
                <w:b w:val="0"/>
                <w:bCs w:val="0"/>
                <w:color w:val="auto"/>
                <w:u w:val="none"/>
                <w:lang w:val="en-US" w:eastAsia="zh-CN"/>
              </w:rPr>
              <w:t>和《大气污染物综合排放标准》（GB16297-1996）中要求二级标准20m排气筒最高允许排放速率5.9kg/h。</w:t>
            </w:r>
          </w:p>
        </w:tc>
      </w:tr>
      <w:tr w14:paraId="2A08B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Merge w:val="continue"/>
            <w:vAlign w:val="center"/>
          </w:tcPr>
          <w:p w14:paraId="541DC4D8">
            <w:pPr>
              <w:pStyle w:val="182"/>
              <w:rPr>
                <w:b w:val="0"/>
                <w:bCs w:val="0"/>
                <w:color w:val="auto"/>
                <w:u w:val="none"/>
              </w:rPr>
            </w:pPr>
          </w:p>
        </w:tc>
        <w:tc>
          <w:tcPr>
            <w:tcW w:w="1609" w:type="dxa"/>
            <w:vAlign w:val="center"/>
          </w:tcPr>
          <w:p w14:paraId="7B8255EF">
            <w:pPr>
              <w:pStyle w:val="182"/>
              <w:bidi w:val="0"/>
              <w:ind w:firstLine="0" w:firstLineChars="0"/>
              <w:rPr>
                <w:b w:val="0"/>
                <w:bCs w:val="0"/>
                <w:color w:val="auto"/>
                <w:u w:val="none"/>
              </w:rPr>
            </w:pPr>
            <w:r>
              <w:rPr>
                <w:rFonts w:hint="eastAsia"/>
                <w:b w:val="0"/>
                <w:bCs w:val="0"/>
                <w:color w:val="auto"/>
                <w:u w:val="none"/>
                <w:lang w:val="en-US" w:eastAsia="zh-CN"/>
              </w:rPr>
              <w:t>脱泡、干燥、蒸发回收工序</w:t>
            </w:r>
          </w:p>
        </w:tc>
        <w:tc>
          <w:tcPr>
            <w:tcW w:w="1675" w:type="dxa"/>
            <w:vAlign w:val="center"/>
          </w:tcPr>
          <w:p w14:paraId="7657977E">
            <w:pPr>
              <w:pStyle w:val="182"/>
              <w:rPr>
                <w:rFonts w:hint="eastAsia"/>
                <w:b w:val="0"/>
                <w:bCs w:val="0"/>
                <w:color w:val="auto"/>
                <w:u w:val="none"/>
                <w:lang w:val="en-US" w:eastAsia="zh-CN"/>
              </w:rPr>
            </w:pPr>
            <w:r>
              <w:rPr>
                <w:rFonts w:hint="eastAsia"/>
                <w:b w:val="0"/>
                <w:bCs w:val="0"/>
                <w:color w:val="auto"/>
                <w:u w:val="none"/>
                <w:lang w:val="en-US" w:eastAsia="zh-CN"/>
              </w:rPr>
              <w:t>非甲烷总烃</w:t>
            </w:r>
          </w:p>
        </w:tc>
        <w:tc>
          <w:tcPr>
            <w:tcW w:w="1709" w:type="dxa"/>
            <w:vAlign w:val="center"/>
          </w:tcPr>
          <w:p w14:paraId="3D28D614">
            <w:pPr>
              <w:pStyle w:val="182"/>
              <w:bidi w:val="0"/>
              <w:ind w:firstLine="0" w:firstLineChars="0"/>
              <w:rPr>
                <w:b w:val="0"/>
                <w:bCs w:val="0"/>
                <w:color w:val="auto"/>
                <w:u w:val="none"/>
              </w:rPr>
            </w:pPr>
            <w:r>
              <w:rPr>
                <w:rFonts w:hint="eastAsia"/>
                <w:b w:val="0"/>
                <w:bCs w:val="0"/>
                <w:color w:val="auto"/>
                <w:u w:val="none"/>
                <w:lang w:val="en-US" w:eastAsia="zh-CN"/>
              </w:rPr>
              <w:t>两级水洗塔串联+活性炭吸附</w:t>
            </w:r>
          </w:p>
        </w:tc>
        <w:tc>
          <w:tcPr>
            <w:tcW w:w="1956" w:type="dxa"/>
            <w:vAlign w:val="center"/>
          </w:tcPr>
          <w:p w14:paraId="37945A16">
            <w:pPr>
              <w:pStyle w:val="182"/>
              <w:bidi w:val="0"/>
              <w:ind w:firstLine="0" w:firstLineChars="0"/>
              <w:rPr>
                <w:rFonts w:hint="eastAsia" w:eastAsia="宋体"/>
                <w:b w:val="0"/>
                <w:bCs w:val="0"/>
                <w:color w:val="auto"/>
                <w:u w:val="none"/>
                <w:lang w:val="en-US" w:eastAsia="zh-CN"/>
              </w:rPr>
            </w:pPr>
            <w:r>
              <w:rPr>
                <w:rFonts w:hint="eastAsia"/>
                <w:b w:val="0"/>
                <w:bCs w:val="0"/>
                <w:color w:val="auto"/>
                <w:highlight w:val="none"/>
                <w:u w:val="none"/>
                <w:lang w:val="en-US" w:eastAsia="zh-CN"/>
              </w:rPr>
              <w:t>《关于全省开展工业企业挥发性有机物专项治理工作中排放建议值的通知》（豫环攻坚办（2017）162号）其他行业80</w:t>
            </w:r>
            <w:r>
              <w:rPr>
                <w:rFonts w:hint="eastAsia"/>
                <w:b w:val="0"/>
                <w:bCs w:val="0"/>
                <w:color w:val="auto"/>
                <w:highlight w:val="none"/>
                <w:u w:val="none"/>
              </w:rPr>
              <w:t>mg/m</w:t>
            </w:r>
            <w:r>
              <w:rPr>
                <w:rFonts w:hint="eastAsia"/>
                <w:b w:val="0"/>
                <w:bCs w:val="0"/>
                <w:color w:val="auto"/>
                <w:highlight w:val="none"/>
                <w:u w:val="none"/>
                <w:vertAlign w:val="superscript"/>
              </w:rPr>
              <w:t>3</w:t>
            </w:r>
            <w:r>
              <w:rPr>
                <w:rFonts w:hint="eastAsia"/>
                <w:b w:val="0"/>
                <w:bCs w:val="0"/>
                <w:color w:val="auto"/>
                <w:highlight w:val="none"/>
                <w:u w:val="none"/>
              </w:rPr>
              <w:t>（有组织）</w:t>
            </w:r>
            <w:r>
              <w:rPr>
                <w:rFonts w:hint="eastAsia"/>
                <w:b w:val="0"/>
                <w:bCs w:val="0"/>
                <w:color w:val="auto"/>
                <w:highlight w:val="none"/>
                <w:u w:val="none"/>
                <w:lang w:val="en-US" w:eastAsia="zh-CN"/>
              </w:rPr>
              <w:t>和《大气污染物综合排放标准》（GB16297-1996）中要求二级标准20m排气筒最高允许排放速率17kg/h。</w:t>
            </w:r>
          </w:p>
        </w:tc>
      </w:tr>
      <w:tr w14:paraId="48726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Align w:val="center"/>
          </w:tcPr>
          <w:p w14:paraId="058C675A">
            <w:pPr>
              <w:pStyle w:val="182"/>
              <w:bidi w:val="0"/>
              <w:rPr>
                <w:rFonts w:hint="eastAsia"/>
                <w:b w:val="0"/>
                <w:bCs w:val="0"/>
                <w:color w:val="auto"/>
                <w:u w:val="none"/>
                <w:lang w:val="en-US" w:eastAsia="zh-CN"/>
              </w:rPr>
            </w:pPr>
            <w:r>
              <w:rPr>
                <w:rFonts w:hint="eastAsia"/>
                <w:b w:val="0"/>
                <w:bCs w:val="0"/>
                <w:color w:val="auto"/>
                <w:u w:val="none"/>
                <w:lang w:val="en-US" w:eastAsia="zh-CN"/>
              </w:rPr>
              <w:t>废水</w:t>
            </w:r>
          </w:p>
        </w:tc>
        <w:tc>
          <w:tcPr>
            <w:tcW w:w="1609" w:type="dxa"/>
            <w:vAlign w:val="center"/>
          </w:tcPr>
          <w:p w14:paraId="19A390B7">
            <w:pPr>
              <w:pStyle w:val="182"/>
              <w:bidi w:val="0"/>
              <w:rPr>
                <w:b w:val="0"/>
                <w:bCs w:val="0"/>
                <w:color w:val="auto"/>
                <w:u w:val="none"/>
              </w:rPr>
            </w:pPr>
            <w:r>
              <w:rPr>
                <w:b w:val="0"/>
                <w:bCs w:val="0"/>
                <w:color w:val="auto"/>
                <w:u w:val="none"/>
              </w:rPr>
              <w:t>生产</w:t>
            </w:r>
            <w:r>
              <w:rPr>
                <w:rFonts w:hint="eastAsia"/>
                <w:b w:val="0"/>
                <w:bCs w:val="0"/>
                <w:color w:val="auto"/>
                <w:u w:val="none"/>
                <w:lang w:val="en-US" w:eastAsia="zh-CN"/>
              </w:rPr>
              <w:t>废水、废气处理设施、清洗废水、清下水</w:t>
            </w:r>
          </w:p>
        </w:tc>
        <w:tc>
          <w:tcPr>
            <w:tcW w:w="1675" w:type="dxa"/>
            <w:vAlign w:val="center"/>
          </w:tcPr>
          <w:p w14:paraId="08CD096F">
            <w:pPr>
              <w:pStyle w:val="182"/>
              <w:bidi w:val="0"/>
              <w:rPr>
                <w:rFonts w:hint="default" w:eastAsia="宋体"/>
                <w:b w:val="0"/>
                <w:bCs w:val="0"/>
                <w:color w:val="auto"/>
                <w:u w:val="none"/>
                <w:lang w:val="en-US" w:eastAsia="zh-CN"/>
              </w:rPr>
            </w:pPr>
            <w:r>
              <w:rPr>
                <w:b w:val="0"/>
                <w:bCs w:val="0"/>
                <w:color w:val="auto"/>
                <w:u w:val="none"/>
              </w:rPr>
              <w:t>COD</w:t>
            </w:r>
            <w:r>
              <w:rPr>
                <w:rFonts w:hint="eastAsia"/>
                <w:b w:val="0"/>
                <w:bCs w:val="0"/>
                <w:color w:val="auto"/>
                <w:u w:val="none"/>
              </w:rPr>
              <w:t>、</w:t>
            </w:r>
            <w:r>
              <w:rPr>
                <w:b w:val="0"/>
                <w:bCs w:val="0"/>
                <w:color w:val="auto"/>
                <w:u w:val="none"/>
              </w:rPr>
              <w:t>BOD</w:t>
            </w:r>
            <w:r>
              <w:rPr>
                <w:b w:val="0"/>
                <w:bCs w:val="0"/>
                <w:color w:val="auto"/>
                <w:u w:val="none"/>
                <w:vertAlign w:val="subscript"/>
              </w:rPr>
              <w:t>5</w:t>
            </w:r>
            <w:r>
              <w:rPr>
                <w:rFonts w:hint="eastAsia"/>
                <w:b w:val="0"/>
                <w:bCs w:val="0"/>
                <w:color w:val="auto"/>
                <w:u w:val="none"/>
              </w:rPr>
              <w:t>、</w:t>
            </w:r>
            <w:r>
              <w:rPr>
                <w:b w:val="0"/>
                <w:bCs w:val="0"/>
                <w:color w:val="auto"/>
                <w:u w:val="none"/>
              </w:rPr>
              <w:t>SS</w:t>
            </w:r>
            <w:r>
              <w:rPr>
                <w:rFonts w:hint="eastAsia"/>
                <w:b w:val="0"/>
                <w:bCs w:val="0"/>
                <w:color w:val="auto"/>
                <w:u w:val="none"/>
              </w:rPr>
              <w:t>、NH</w:t>
            </w:r>
            <w:r>
              <w:rPr>
                <w:rFonts w:hint="eastAsia"/>
                <w:b w:val="0"/>
                <w:bCs w:val="0"/>
                <w:color w:val="auto"/>
                <w:u w:val="none"/>
                <w:vertAlign w:val="subscript"/>
              </w:rPr>
              <w:t>3</w:t>
            </w:r>
            <w:r>
              <w:rPr>
                <w:rFonts w:hint="eastAsia"/>
                <w:b w:val="0"/>
                <w:bCs w:val="0"/>
                <w:color w:val="auto"/>
                <w:u w:val="none"/>
              </w:rPr>
              <w:t>-N、</w:t>
            </w:r>
            <w:r>
              <w:rPr>
                <w:b w:val="0"/>
                <w:bCs w:val="0"/>
                <w:color w:val="auto"/>
                <w:u w:val="none"/>
              </w:rPr>
              <w:t>TP</w:t>
            </w:r>
            <w:r>
              <w:rPr>
                <w:rFonts w:hint="eastAsia"/>
                <w:b w:val="0"/>
                <w:bCs w:val="0"/>
                <w:color w:val="auto"/>
                <w:u w:val="none"/>
              </w:rPr>
              <w:t>、</w:t>
            </w:r>
            <w:r>
              <w:rPr>
                <w:b w:val="0"/>
                <w:bCs w:val="0"/>
                <w:color w:val="auto"/>
                <w:u w:val="none"/>
              </w:rPr>
              <w:t>TN</w:t>
            </w:r>
          </w:p>
        </w:tc>
        <w:tc>
          <w:tcPr>
            <w:tcW w:w="1709" w:type="dxa"/>
            <w:vAlign w:val="center"/>
          </w:tcPr>
          <w:p w14:paraId="775198D1">
            <w:pPr>
              <w:pStyle w:val="182"/>
              <w:bidi w:val="0"/>
              <w:rPr>
                <w:rFonts w:hint="default" w:eastAsia="宋体"/>
                <w:b w:val="0"/>
                <w:bCs w:val="0"/>
                <w:color w:val="auto"/>
                <w:u w:val="none"/>
                <w:lang w:val="en-US" w:eastAsia="zh-CN"/>
              </w:rPr>
            </w:pPr>
            <w:r>
              <w:rPr>
                <w:rFonts w:hint="eastAsia"/>
                <w:b w:val="0"/>
                <w:bCs w:val="0"/>
                <w:color w:val="auto"/>
                <w:u w:val="none"/>
              </w:rPr>
              <w:t>厂区废水连接管网，</w:t>
            </w:r>
            <w:r>
              <w:rPr>
                <w:rFonts w:hint="eastAsia"/>
                <w:b w:val="0"/>
                <w:bCs w:val="0"/>
                <w:color w:val="auto"/>
                <w:u w:val="none"/>
                <w:lang w:val="en-US" w:eastAsia="zh-CN"/>
              </w:rPr>
              <w:t>采用</w:t>
            </w:r>
            <w:r>
              <w:rPr>
                <w:rFonts w:hint="eastAsia"/>
                <w:b w:val="0"/>
                <w:bCs w:val="0"/>
                <w:color w:val="auto"/>
                <w:u w:val="none"/>
              </w:rPr>
              <w:t>厂区</w:t>
            </w:r>
            <w:r>
              <w:rPr>
                <w:rFonts w:hint="eastAsia"/>
                <w:b w:val="0"/>
                <w:bCs w:val="0"/>
                <w:color w:val="auto"/>
                <w:u w:val="none"/>
                <w:lang w:val="en-US" w:eastAsia="zh-CN"/>
              </w:rPr>
              <w:t>污水处理站氨纶废水处理单元处理</w:t>
            </w:r>
          </w:p>
        </w:tc>
        <w:tc>
          <w:tcPr>
            <w:tcW w:w="1956" w:type="dxa"/>
            <w:vAlign w:val="center"/>
          </w:tcPr>
          <w:p w14:paraId="2660156C">
            <w:pPr>
              <w:pStyle w:val="182"/>
              <w:bidi w:val="0"/>
              <w:rPr>
                <w:b w:val="0"/>
                <w:bCs w:val="0"/>
                <w:color w:val="auto"/>
                <w:u w:val="none"/>
              </w:rPr>
            </w:pPr>
            <w:r>
              <w:rPr>
                <w:rFonts w:hint="eastAsia"/>
                <w:b w:val="0"/>
                <w:bCs w:val="0"/>
                <w:color w:val="auto"/>
                <w:u w:val="none"/>
              </w:rPr>
              <w:t>《污水综合排放标准》（GB8978-1996）表4二级、与小店污水处理厂收水协议标准及小店污水处理厂的收水标准</w:t>
            </w:r>
          </w:p>
        </w:tc>
      </w:tr>
      <w:tr w14:paraId="1123B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Merge w:val="restart"/>
            <w:vAlign w:val="center"/>
          </w:tcPr>
          <w:p w14:paraId="2CCC2350">
            <w:pPr>
              <w:pStyle w:val="182"/>
              <w:bidi w:val="0"/>
              <w:rPr>
                <w:b w:val="0"/>
                <w:bCs w:val="0"/>
                <w:color w:val="auto"/>
                <w:u w:val="none"/>
              </w:rPr>
            </w:pPr>
            <w:r>
              <w:rPr>
                <w:b w:val="0"/>
                <w:bCs w:val="0"/>
                <w:color w:val="auto"/>
                <w:u w:val="none"/>
              </w:rPr>
              <w:t>固废</w:t>
            </w:r>
          </w:p>
        </w:tc>
        <w:tc>
          <w:tcPr>
            <w:tcW w:w="1609" w:type="dxa"/>
            <w:vAlign w:val="center"/>
          </w:tcPr>
          <w:p w14:paraId="7145C0BB">
            <w:pPr>
              <w:pStyle w:val="182"/>
              <w:bidi w:val="0"/>
              <w:ind w:firstLine="0" w:firstLineChars="0"/>
              <w:rPr>
                <w:b w:val="0"/>
                <w:bCs w:val="0"/>
                <w:color w:val="auto"/>
                <w:u w:val="none"/>
              </w:rPr>
            </w:pPr>
            <w:r>
              <w:rPr>
                <w:rFonts w:hint="eastAsia"/>
                <w:b w:val="0"/>
                <w:bCs w:val="0"/>
                <w:color w:val="auto"/>
                <w:u w:val="none"/>
                <w:lang w:val="en-US" w:eastAsia="zh-CN"/>
              </w:rPr>
              <w:t>除尘器收集颗粒物</w:t>
            </w:r>
          </w:p>
        </w:tc>
        <w:tc>
          <w:tcPr>
            <w:tcW w:w="1675" w:type="dxa"/>
            <w:vMerge w:val="restart"/>
            <w:vAlign w:val="center"/>
          </w:tcPr>
          <w:p w14:paraId="38388546">
            <w:pPr>
              <w:pStyle w:val="182"/>
              <w:bidi w:val="0"/>
              <w:rPr>
                <w:b w:val="0"/>
                <w:bCs w:val="0"/>
                <w:color w:val="auto"/>
                <w:u w:val="none"/>
              </w:rPr>
            </w:pPr>
            <w:r>
              <w:rPr>
                <w:b w:val="0"/>
                <w:bCs w:val="0"/>
                <w:color w:val="auto"/>
                <w:u w:val="none"/>
              </w:rPr>
              <w:t>一般固废</w:t>
            </w:r>
          </w:p>
        </w:tc>
        <w:tc>
          <w:tcPr>
            <w:tcW w:w="1709" w:type="dxa"/>
            <w:vMerge w:val="restart"/>
            <w:vAlign w:val="center"/>
          </w:tcPr>
          <w:p w14:paraId="0C00D637">
            <w:pPr>
              <w:pStyle w:val="182"/>
              <w:bidi w:val="0"/>
              <w:rPr>
                <w:rFonts w:hint="eastAsia" w:eastAsia="宋体"/>
                <w:b w:val="0"/>
                <w:bCs w:val="0"/>
                <w:color w:val="auto"/>
                <w:u w:val="none"/>
                <w:lang w:eastAsia="zh-CN"/>
              </w:rPr>
            </w:pPr>
            <w:r>
              <w:rPr>
                <w:rFonts w:hint="eastAsia"/>
                <w:b w:val="0"/>
                <w:bCs w:val="0"/>
                <w:color w:val="auto"/>
                <w:u w:val="none"/>
              </w:rPr>
              <w:t>依托现有TS004一般固废暂存间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）暂存后，</w:t>
            </w:r>
            <w:r>
              <w:rPr>
                <w:rFonts w:hint="eastAsia"/>
                <w:b w:val="0"/>
                <w:bCs w:val="0"/>
                <w:color w:val="auto"/>
                <w:u w:val="none"/>
                <w:lang w:eastAsia="zh-CN"/>
              </w:rPr>
              <w:t>定期回用于生产</w:t>
            </w:r>
          </w:p>
        </w:tc>
        <w:tc>
          <w:tcPr>
            <w:tcW w:w="1956" w:type="dxa"/>
            <w:vMerge w:val="restart"/>
            <w:vAlign w:val="center"/>
          </w:tcPr>
          <w:p w14:paraId="335C2D30">
            <w:pPr>
              <w:pStyle w:val="182"/>
              <w:bidi w:val="0"/>
              <w:rPr>
                <w:b w:val="0"/>
                <w:bCs w:val="0"/>
                <w:color w:val="auto"/>
                <w:u w:val="none"/>
              </w:rPr>
            </w:pPr>
            <w:r>
              <w:rPr>
                <w:rFonts w:hint="eastAsia"/>
                <w:b w:val="0"/>
                <w:bCs w:val="0"/>
                <w:color w:val="auto"/>
                <w:u w:val="none"/>
              </w:rPr>
              <w:t>《一般工业固体废物贮存和填埋污染控制标准》（GB18599-2020）中防渗漏、防雨淋、防扬尘等环境保护要求</w:t>
            </w:r>
          </w:p>
        </w:tc>
      </w:tr>
      <w:tr w14:paraId="09227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1574" w:type="dxa"/>
            <w:vMerge w:val="continue"/>
            <w:vAlign w:val="center"/>
          </w:tcPr>
          <w:p w14:paraId="59353967">
            <w:pPr>
              <w:pStyle w:val="182"/>
              <w:bidi w:val="0"/>
              <w:rPr>
                <w:b w:val="0"/>
                <w:bCs w:val="0"/>
                <w:color w:val="auto"/>
                <w:u w:val="none"/>
              </w:rPr>
            </w:pPr>
          </w:p>
        </w:tc>
        <w:tc>
          <w:tcPr>
            <w:tcW w:w="1609" w:type="dxa"/>
            <w:vAlign w:val="center"/>
          </w:tcPr>
          <w:p w14:paraId="3D5A486E">
            <w:pPr>
              <w:pStyle w:val="182"/>
              <w:bidi w:val="0"/>
              <w:ind w:firstLine="0" w:firstLineChars="0"/>
              <w:rPr>
                <w:rFonts w:hint="default" w:eastAsia="宋体"/>
                <w:b w:val="0"/>
                <w:bCs w:val="0"/>
                <w:color w:val="auto"/>
                <w:u w:val="none"/>
                <w:lang w:val="en-US" w:eastAsia="zh-CN"/>
              </w:rPr>
            </w:pPr>
            <w:r>
              <w:rPr>
                <w:rFonts w:hint="eastAsia"/>
                <w:b w:val="0"/>
                <w:bCs w:val="0"/>
                <w:color w:val="auto"/>
                <w:u w:val="none"/>
                <w:lang w:val="en-US" w:eastAsia="zh-CN"/>
              </w:rPr>
              <w:t>生产废丝、化验废丝</w:t>
            </w:r>
          </w:p>
        </w:tc>
        <w:tc>
          <w:tcPr>
            <w:tcW w:w="1675" w:type="dxa"/>
            <w:vMerge w:val="continue"/>
            <w:vAlign w:val="center"/>
          </w:tcPr>
          <w:p w14:paraId="1C0BC30E">
            <w:pPr>
              <w:pStyle w:val="182"/>
              <w:bidi w:val="0"/>
              <w:rPr>
                <w:b w:val="0"/>
                <w:bCs w:val="0"/>
                <w:color w:val="auto"/>
                <w:u w:val="none"/>
              </w:rPr>
            </w:pPr>
          </w:p>
        </w:tc>
        <w:tc>
          <w:tcPr>
            <w:tcW w:w="1709" w:type="dxa"/>
            <w:vMerge w:val="continue"/>
            <w:vAlign w:val="center"/>
          </w:tcPr>
          <w:p w14:paraId="5CB3E134">
            <w:pPr>
              <w:pStyle w:val="182"/>
              <w:bidi w:val="0"/>
              <w:rPr>
                <w:rFonts w:hint="eastAsia"/>
                <w:b w:val="0"/>
                <w:bCs w:val="0"/>
                <w:color w:val="auto"/>
                <w:u w:val="none"/>
              </w:rPr>
            </w:pPr>
          </w:p>
        </w:tc>
        <w:tc>
          <w:tcPr>
            <w:tcW w:w="1956" w:type="dxa"/>
            <w:vMerge w:val="continue"/>
            <w:vAlign w:val="center"/>
          </w:tcPr>
          <w:p w14:paraId="13DE6A96">
            <w:pPr>
              <w:pStyle w:val="182"/>
              <w:bidi w:val="0"/>
              <w:rPr>
                <w:rFonts w:hint="eastAsia"/>
                <w:b w:val="0"/>
                <w:bCs w:val="0"/>
                <w:color w:val="auto"/>
                <w:u w:val="none"/>
              </w:rPr>
            </w:pPr>
          </w:p>
        </w:tc>
      </w:tr>
      <w:tr w14:paraId="269E7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574" w:type="dxa"/>
            <w:vMerge w:val="continue"/>
            <w:vAlign w:val="center"/>
          </w:tcPr>
          <w:p w14:paraId="3D2C79F4">
            <w:pPr>
              <w:pStyle w:val="182"/>
              <w:bidi w:val="0"/>
              <w:rPr>
                <w:b w:val="0"/>
                <w:bCs w:val="0"/>
                <w:color w:val="auto"/>
                <w:u w:val="none"/>
              </w:rPr>
            </w:pPr>
          </w:p>
        </w:tc>
        <w:tc>
          <w:tcPr>
            <w:tcW w:w="1609" w:type="dxa"/>
            <w:vAlign w:val="center"/>
          </w:tcPr>
          <w:p w14:paraId="4B048110">
            <w:pPr>
              <w:pStyle w:val="182"/>
              <w:bidi w:val="0"/>
              <w:ind w:firstLine="0" w:firstLineChars="0"/>
              <w:rPr>
                <w:rFonts w:hint="eastAsia"/>
                <w:b w:val="0"/>
                <w:bCs w:val="0"/>
                <w:color w:val="auto"/>
                <w:u w:val="none"/>
                <w:lang w:val="en-US" w:eastAsia="zh-CN"/>
              </w:rPr>
            </w:pPr>
            <w:r>
              <w:rPr>
                <w:rFonts w:hint="eastAsia"/>
                <w:b w:val="0"/>
                <w:bCs w:val="0"/>
                <w:color w:val="auto"/>
                <w:u w:val="none"/>
                <w:lang w:val="en-US" w:eastAsia="zh-CN"/>
              </w:rPr>
              <w:t>污泥</w:t>
            </w:r>
          </w:p>
        </w:tc>
        <w:tc>
          <w:tcPr>
            <w:tcW w:w="1675" w:type="dxa"/>
            <w:vMerge w:val="continue"/>
            <w:vAlign w:val="center"/>
          </w:tcPr>
          <w:p w14:paraId="3CAA5656">
            <w:pPr>
              <w:pStyle w:val="182"/>
              <w:bidi w:val="0"/>
              <w:rPr>
                <w:b w:val="0"/>
                <w:bCs w:val="0"/>
                <w:color w:val="auto"/>
                <w:u w:val="none"/>
              </w:rPr>
            </w:pPr>
          </w:p>
        </w:tc>
        <w:tc>
          <w:tcPr>
            <w:tcW w:w="1709" w:type="dxa"/>
            <w:vAlign w:val="center"/>
          </w:tcPr>
          <w:p w14:paraId="4A5460C5">
            <w:pPr>
              <w:pStyle w:val="182"/>
              <w:bidi w:val="0"/>
              <w:ind w:firstLine="0" w:firstLineChars="0"/>
              <w:rPr>
                <w:rFonts w:hint="eastAsia"/>
                <w:b w:val="0"/>
                <w:bCs w:val="0"/>
                <w:color w:val="auto"/>
                <w:u w:val="none"/>
              </w:rPr>
            </w:pPr>
            <w:r>
              <w:rPr>
                <w:rFonts w:hint="eastAsia"/>
                <w:b w:val="0"/>
                <w:bCs w:val="0"/>
                <w:color w:val="auto"/>
                <w:u w:val="none"/>
              </w:rPr>
              <w:t>依托现有TS004一般固废暂存间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）暂存后，与现有工程处置方式一致，定期交由山西晟鼎再生资源有限公司处理</w:t>
            </w:r>
          </w:p>
        </w:tc>
        <w:tc>
          <w:tcPr>
            <w:tcW w:w="1956" w:type="dxa"/>
            <w:vMerge w:val="continue"/>
            <w:vAlign w:val="center"/>
          </w:tcPr>
          <w:p w14:paraId="7ECE9B55">
            <w:pPr>
              <w:pStyle w:val="182"/>
              <w:bidi w:val="0"/>
              <w:rPr>
                <w:rFonts w:hint="eastAsia"/>
                <w:b w:val="0"/>
                <w:bCs w:val="0"/>
                <w:color w:val="auto"/>
                <w:u w:val="none"/>
              </w:rPr>
            </w:pPr>
          </w:p>
        </w:tc>
      </w:tr>
      <w:tr w14:paraId="5B6E9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74" w:type="dxa"/>
            <w:vMerge w:val="continue"/>
            <w:vAlign w:val="center"/>
          </w:tcPr>
          <w:p w14:paraId="3B22BC9A">
            <w:pPr>
              <w:pStyle w:val="182"/>
              <w:bidi w:val="0"/>
              <w:rPr>
                <w:b w:val="0"/>
                <w:bCs w:val="0"/>
                <w:color w:val="auto"/>
                <w:u w:val="none"/>
              </w:rPr>
            </w:pPr>
          </w:p>
        </w:tc>
        <w:tc>
          <w:tcPr>
            <w:tcW w:w="1609" w:type="dxa"/>
            <w:vAlign w:val="center"/>
          </w:tcPr>
          <w:p w14:paraId="5A2261C0">
            <w:pPr>
              <w:pStyle w:val="182"/>
              <w:bidi w:val="0"/>
              <w:ind w:firstLine="0" w:firstLineChars="0"/>
              <w:rPr>
                <w:rFonts w:hint="eastAsia"/>
                <w:b w:val="0"/>
                <w:bCs w:val="0"/>
                <w:color w:val="auto"/>
                <w:u w:val="none"/>
                <w:lang w:val="en-US" w:eastAsia="zh-CN"/>
              </w:rPr>
            </w:pPr>
            <w:r>
              <w:rPr>
                <w:rFonts w:hint="eastAsia"/>
                <w:b w:val="0"/>
                <w:bCs w:val="0"/>
                <w:color w:val="auto"/>
                <w:u w:val="none"/>
                <w:lang w:val="en-US" w:eastAsia="zh-CN"/>
              </w:rPr>
              <w:t>T溶剂废包装桶</w:t>
            </w:r>
          </w:p>
        </w:tc>
        <w:tc>
          <w:tcPr>
            <w:tcW w:w="1675" w:type="dxa"/>
            <w:vMerge w:val="continue"/>
            <w:vAlign w:val="center"/>
          </w:tcPr>
          <w:p w14:paraId="3A256690">
            <w:pPr>
              <w:pStyle w:val="182"/>
              <w:bidi w:val="0"/>
              <w:rPr>
                <w:b w:val="0"/>
                <w:bCs w:val="0"/>
                <w:color w:val="auto"/>
                <w:u w:val="none"/>
              </w:rPr>
            </w:pPr>
          </w:p>
        </w:tc>
        <w:tc>
          <w:tcPr>
            <w:tcW w:w="1709" w:type="dxa"/>
            <w:vAlign w:val="center"/>
          </w:tcPr>
          <w:p w14:paraId="62673166">
            <w:pPr>
              <w:pStyle w:val="182"/>
              <w:bidi w:val="0"/>
              <w:ind w:firstLine="0" w:firstLineChars="0"/>
              <w:rPr>
                <w:rFonts w:hint="eastAsia"/>
                <w:b w:val="0"/>
                <w:bCs w:val="0"/>
                <w:color w:val="auto"/>
                <w:u w:val="none"/>
              </w:rPr>
            </w:pPr>
            <w:r>
              <w:rPr>
                <w:rFonts w:hint="eastAsia"/>
                <w:b w:val="0"/>
                <w:bCs w:val="0"/>
                <w:color w:val="auto"/>
                <w:u w:val="none"/>
              </w:rPr>
              <w:t>依托现有TS004一般固废暂存间</w:t>
            </w:r>
            <w:r>
              <w:rPr>
                <w:rFonts w:hint="eastAsia"/>
                <w:b w:val="0"/>
                <w:bCs w:val="0"/>
                <w:color w:val="auto"/>
                <w:u w:val="none"/>
                <w:lang w:eastAsia="zh-CN"/>
              </w:rPr>
              <w:t>（</w:t>
            </w:r>
            <w:r>
              <w:rPr>
                <w:rFonts w:hint="eastAsia"/>
                <w:b w:val="0"/>
                <w:bCs w:val="0"/>
                <w:color w:val="auto"/>
                <w:u w:val="none"/>
                <w:lang w:val="en-US" w:eastAsia="zh-CN"/>
              </w:rPr>
              <w:t>500</w:t>
            </w:r>
            <w:r>
              <w:rPr>
                <w:rFonts w:hint="default"/>
                <w:b w:val="0"/>
                <w:bCs w:val="0"/>
                <w:color w:val="auto"/>
                <w:u w:val="none"/>
                <w:vertAlign w:val="baseline"/>
                <w:lang w:val="en-US" w:eastAsia="zh-CN"/>
              </w:rPr>
              <w:t>m</w:t>
            </w:r>
            <w:r>
              <w:rPr>
                <w:rFonts w:hint="default"/>
                <w:b w:val="0"/>
                <w:bCs w:val="0"/>
                <w:color w:val="auto"/>
                <w:u w:val="none"/>
                <w:vertAlign w:val="superscript"/>
                <w:lang w:val="en-US" w:eastAsia="zh-CN"/>
              </w:rPr>
              <w:t>2</w:t>
            </w:r>
            <w:r>
              <w:rPr>
                <w:rFonts w:hint="eastAsia"/>
                <w:b w:val="0"/>
                <w:bCs w:val="0"/>
                <w:color w:val="auto"/>
                <w:u w:val="none"/>
              </w:rPr>
              <w:t>）暂存后，</w:t>
            </w:r>
            <w:r>
              <w:rPr>
                <w:rFonts w:hint="eastAsia"/>
                <w:b w:val="0"/>
                <w:bCs w:val="0"/>
                <w:color w:val="auto"/>
                <w:u w:val="none"/>
                <w:lang w:eastAsia="zh-CN"/>
              </w:rPr>
              <w:t>定期</w:t>
            </w:r>
            <w:r>
              <w:rPr>
                <w:rFonts w:hint="eastAsia"/>
                <w:b w:val="0"/>
                <w:bCs w:val="0"/>
                <w:color w:val="auto"/>
                <w:u w:val="none"/>
                <w:lang w:val="en-US" w:eastAsia="zh-CN"/>
              </w:rPr>
              <w:t>厂家回收</w:t>
            </w:r>
          </w:p>
        </w:tc>
        <w:tc>
          <w:tcPr>
            <w:tcW w:w="1956" w:type="dxa"/>
            <w:vMerge w:val="continue"/>
            <w:vAlign w:val="center"/>
          </w:tcPr>
          <w:p w14:paraId="2EE722A6">
            <w:pPr>
              <w:pStyle w:val="182"/>
              <w:bidi w:val="0"/>
              <w:rPr>
                <w:rFonts w:hint="eastAsia"/>
                <w:b w:val="0"/>
                <w:bCs w:val="0"/>
                <w:color w:val="auto"/>
                <w:u w:val="none"/>
              </w:rPr>
            </w:pPr>
          </w:p>
        </w:tc>
      </w:tr>
      <w:tr w14:paraId="03574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1574" w:type="dxa"/>
            <w:vMerge w:val="continue"/>
            <w:vAlign w:val="center"/>
          </w:tcPr>
          <w:p w14:paraId="7031F4EF">
            <w:pPr>
              <w:pStyle w:val="182"/>
              <w:rPr>
                <w:b w:val="0"/>
                <w:bCs w:val="0"/>
                <w:color w:val="auto"/>
                <w:u w:val="none"/>
              </w:rPr>
            </w:pPr>
          </w:p>
        </w:tc>
        <w:tc>
          <w:tcPr>
            <w:tcW w:w="1609" w:type="dxa"/>
            <w:vAlign w:val="center"/>
          </w:tcPr>
          <w:p w14:paraId="0F2AEB9A">
            <w:pPr>
              <w:pStyle w:val="182"/>
              <w:bidi w:val="0"/>
              <w:ind w:firstLine="0" w:firstLineChars="0"/>
              <w:rPr>
                <w:b w:val="0"/>
                <w:bCs w:val="0"/>
                <w:color w:val="auto"/>
                <w:u w:val="none"/>
                <w:lang w:val="en-US" w:eastAsia="zh-CN"/>
              </w:rPr>
            </w:pPr>
            <w:r>
              <w:rPr>
                <w:rFonts w:hint="eastAsia"/>
                <w:b w:val="0"/>
                <w:bCs w:val="0"/>
                <w:color w:val="auto"/>
                <w:u w:val="none"/>
                <w:lang w:val="en-US" w:eastAsia="zh-CN"/>
              </w:rPr>
              <w:t>过滤废渣</w:t>
            </w:r>
          </w:p>
        </w:tc>
        <w:tc>
          <w:tcPr>
            <w:tcW w:w="1675" w:type="dxa"/>
            <w:vMerge w:val="restart"/>
            <w:vAlign w:val="center"/>
          </w:tcPr>
          <w:p w14:paraId="570DDE4B">
            <w:pPr>
              <w:pStyle w:val="182"/>
              <w:rPr>
                <w:b w:val="0"/>
                <w:bCs w:val="0"/>
                <w:color w:val="auto"/>
                <w:u w:val="none"/>
              </w:rPr>
            </w:pPr>
            <w:r>
              <w:rPr>
                <w:b w:val="0"/>
                <w:bCs w:val="0"/>
                <w:color w:val="auto"/>
                <w:u w:val="none"/>
              </w:rPr>
              <w:t>危险废物</w:t>
            </w:r>
          </w:p>
        </w:tc>
        <w:tc>
          <w:tcPr>
            <w:tcW w:w="1709" w:type="dxa"/>
            <w:vMerge w:val="restart"/>
            <w:vAlign w:val="center"/>
          </w:tcPr>
          <w:p w14:paraId="5FE8B2EC">
            <w:pPr>
              <w:pStyle w:val="182"/>
              <w:rPr>
                <w:b w:val="0"/>
                <w:bCs w:val="0"/>
                <w:color w:val="auto"/>
                <w:u w:val="none"/>
              </w:rPr>
            </w:pPr>
            <w:r>
              <w:rPr>
                <w:rFonts w:hint="eastAsia"/>
                <w:b w:val="0"/>
                <w:bCs w:val="0"/>
                <w:color w:val="auto"/>
                <w:u w:val="none"/>
                <w:lang w:eastAsia="zh-CN"/>
              </w:rPr>
              <w:t>依托现有</w:t>
            </w:r>
            <w:r>
              <w:rPr>
                <w:rFonts w:hint="eastAsia"/>
                <w:color w:val="auto"/>
              </w:rPr>
              <w:t>TS003危险废物暂存间</w:t>
            </w:r>
            <w:r>
              <w:rPr>
                <w:rFonts w:hint="eastAsia"/>
                <w:b w:val="0"/>
                <w:bCs w:val="0"/>
                <w:color w:val="auto"/>
              </w:rPr>
              <w:t>（</w:t>
            </w:r>
            <w:r>
              <w:rPr>
                <w:rFonts w:hint="eastAsia"/>
                <w:b w:val="0"/>
                <w:bCs w:val="0"/>
                <w:color w:val="auto"/>
                <w:lang w:val="en-US" w:eastAsia="zh-CN"/>
              </w:rPr>
              <w:t>264</w:t>
            </w:r>
            <w:r>
              <w:rPr>
                <w:rFonts w:hint="eastAsia"/>
                <w:b w:val="0"/>
                <w:bCs w:val="0"/>
                <w:color w:val="auto"/>
              </w:rPr>
              <w:t>m</w:t>
            </w:r>
            <w:r>
              <w:rPr>
                <w:rFonts w:hint="eastAsia"/>
                <w:b w:val="0"/>
                <w:bCs w:val="0"/>
                <w:color w:val="auto"/>
                <w:vertAlign w:val="superscript"/>
              </w:rPr>
              <w:t>2</w:t>
            </w:r>
            <w:r>
              <w:rPr>
                <w:rFonts w:hint="eastAsia"/>
                <w:b w:val="0"/>
                <w:bCs w:val="0"/>
                <w:color w:val="auto"/>
              </w:rPr>
              <w:t>）</w:t>
            </w:r>
            <w:r>
              <w:rPr>
                <w:rFonts w:hint="eastAsia"/>
                <w:b w:val="0"/>
                <w:bCs w:val="0"/>
                <w:color w:val="auto"/>
                <w:u w:val="none"/>
              </w:rPr>
              <w:t>，定期交由有资质的单位进行处置</w:t>
            </w:r>
          </w:p>
        </w:tc>
        <w:tc>
          <w:tcPr>
            <w:tcW w:w="1956" w:type="dxa"/>
            <w:vMerge w:val="restart"/>
            <w:vAlign w:val="center"/>
          </w:tcPr>
          <w:p w14:paraId="482ADAF0">
            <w:pPr>
              <w:pStyle w:val="182"/>
              <w:rPr>
                <w:b w:val="0"/>
                <w:bCs w:val="0"/>
                <w:color w:val="auto"/>
                <w:u w:val="none"/>
              </w:rPr>
            </w:pPr>
            <w:r>
              <w:rPr>
                <w:rFonts w:hint="eastAsia"/>
                <w:b w:val="0"/>
                <w:bCs w:val="0"/>
                <w:color w:val="auto"/>
                <w:u w:val="none"/>
              </w:rPr>
              <w:t>《危险废物贮存污染控制标准》（GB 18597-2023）</w:t>
            </w:r>
          </w:p>
        </w:tc>
      </w:tr>
      <w:tr w14:paraId="4F866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jc w:val="center"/>
        </w:trPr>
        <w:tc>
          <w:tcPr>
            <w:tcW w:w="1574" w:type="dxa"/>
            <w:vMerge w:val="continue"/>
            <w:vAlign w:val="center"/>
          </w:tcPr>
          <w:p w14:paraId="032A4642">
            <w:pPr>
              <w:pStyle w:val="182"/>
              <w:rPr>
                <w:b w:val="0"/>
                <w:bCs w:val="0"/>
                <w:color w:val="auto"/>
                <w:u w:val="none"/>
              </w:rPr>
            </w:pPr>
          </w:p>
        </w:tc>
        <w:tc>
          <w:tcPr>
            <w:tcW w:w="1609" w:type="dxa"/>
            <w:vAlign w:val="center"/>
          </w:tcPr>
          <w:p w14:paraId="1CC1B225">
            <w:pPr>
              <w:pStyle w:val="182"/>
              <w:bidi w:val="0"/>
              <w:ind w:firstLine="0" w:firstLineChars="0"/>
              <w:rPr>
                <w:rFonts w:hint="default"/>
                <w:b w:val="0"/>
                <w:bCs w:val="0"/>
                <w:color w:val="auto"/>
                <w:u w:val="none"/>
                <w:lang w:val="en-US" w:eastAsia="zh-CN"/>
              </w:rPr>
            </w:pPr>
            <w:r>
              <w:rPr>
                <w:rFonts w:hint="eastAsia"/>
                <w:b w:val="0"/>
                <w:bCs w:val="0"/>
                <w:color w:val="auto"/>
                <w:u w:val="none"/>
                <w:lang w:val="en-US" w:eastAsia="zh-CN"/>
              </w:rPr>
              <w:t>废滤芯</w:t>
            </w:r>
          </w:p>
        </w:tc>
        <w:tc>
          <w:tcPr>
            <w:tcW w:w="1675" w:type="dxa"/>
            <w:vMerge w:val="continue"/>
            <w:vAlign w:val="center"/>
          </w:tcPr>
          <w:p w14:paraId="1B780167">
            <w:pPr>
              <w:pStyle w:val="182"/>
              <w:rPr>
                <w:b w:val="0"/>
                <w:bCs w:val="0"/>
                <w:color w:val="auto"/>
                <w:u w:val="none"/>
              </w:rPr>
            </w:pPr>
          </w:p>
        </w:tc>
        <w:tc>
          <w:tcPr>
            <w:tcW w:w="1709" w:type="dxa"/>
            <w:vMerge w:val="continue"/>
            <w:vAlign w:val="center"/>
          </w:tcPr>
          <w:p w14:paraId="5D5DDD5B">
            <w:pPr>
              <w:pStyle w:val="182"/>
              <w:rPr>
                <w:rFonts w:hint="eastAsia"/>
                <w:b w:val="0"/>
                <w:bCs w:val="0"/>
                <w:color w:val="auto"/>
                <w:u w:val="none"/>
              </w:rPr>
            </w:pPr>
          </w:p>
        </w:tc>
        <w:tc>
          <w:tcPr>
            <w:tcW w:w="1956" w:type="dxa"/>
            <w:vMerge w:val="continue"/>
            <w:vAlign w:val="center"/>
          </w:tcPr>
          <w:p w14:paraId="592DA9C2">
            <w:pPr>
              <w:pStyle w:val="182"/>
              <w:rPr>
                <w:rFonts w:hint="eastAsia"/>
                <w:b w:val="0"/>
                <w:bCs w:val="0"/>
                <w:color w:val="auto"/>
                <w:u w:val="none"/>
              </w:rPr>
            </w:pPr>
          </w:p>
        </w:tc>
      </w:tr>
      <w:tr w14:paraId="0FFBA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1574" w:type="dxa"/>
            <w:vMerge w:val="continue"/>
            <w:vAlign w:val="center"/>
          </w:tcPr>
          <w:p w14:paraId="7984743E">
            <w:pPr>
              <w:pStyle w:val="182"/>
              <w:rPr>
                <w:b w:val="0"/>
                <w:bCs w:val="0"/>
                <w:color w:val="auto"/>
                <w:u w:val="none"/>
              </w:rPr>
            </w:pPr>
          </w:p>
        </w:tc>
        <w:tc>
          <w:tcPr>
            <w:tcW w:w="1609" w:type="dxa"/>
            <w:vAlign w:val="center"/>
          </w:tcPr>
          <w:p w14:paraId="4B89A91A">
            <w:pPr>
              <w:pStyle w:val="182"/>
              <w:bidi w:val="0"/>
              <w:ind w:firstLine="0" w:firstLineChars="0"/>
              <w:rPr>
                <w:b w:val="0"/>
                <w:bCs w:val="0"/>
                <w:color w:val="auto"/>
                <w:u w:val="none"/>
                <w:lang w:val="en-US" w:eastAsia="zh-CN"/>
              </w:rPr>
            </w:pPr>
            <w:r>
              <w:rPr>
                <w:rFonts w:hint="eastAsia"/>
                <w:b w:val="0"/>
                <w:bCs w:val="0"/>
                <w:color w:val="auto"/>
                <w:u w:val="none"/>
                <w:lang w:val="en-US" w:eastAsia="zh-CN"/>
              </w:rPr>
              <w:t>D溶剂、油剂废包装桶</w:t>
            </w:r>
          </w:p>
        </w:tc>
        <w:tc>
          <w:tcPr>
            <w:tcW w:w="1675" w:type="dxa"/>
            <w:vMerge w:val="continue"/>
            <w:vAlign w:val="center"/>
          </w:tcPr>
          <w:p w14:paraId="0021FE92">
            <w:pPr>
              <w:pStyle w:val="182"/>
              <w:rPr>
                <w:b w:val="0"/>
                <w:bCs w:val="0"/>
                <w:color w:val="auto"/>
                <w:u w:val="none"/>
              </w:rPr>
            </w:pPr>
          </w:p>
        </w:tc>
        <w:tc>
          <w:tcPr>
            <w:tcW w:w="1709" w:type="dxa"/>
            <w:vMerge w:val="continue"/>
            <w:vAlign w:val="center"/>
          </w:tcPr>
          <w:p w14:paraId="6883CE9A">
            <w:pPr>
              <w:pStyle w:val="182"/>
              <w:rPr>
                <w:b w:val="0"/>
                <w:bCs w:val="0"/>
                <w:color w:val="auto"/>
                <w:u w:val="none"/>
              </w:rPr>
            </w:pPr>
          </w:p>
        </w:tc>
        <w:tc>
          <w:tcPr>
            <w:tcW w:w="1956" w:type="dxa"/>
            <w:vMerge w:val="continue"/>
            <w:vAlign w:val="center"/>
          </w:tcPr>
          <w:p w14:paraId="57AB5423">
            <w:pPr>
              <w:pStyle w:val="182"/>
              <w:rPr>
                <w:b w:val="0"/>
                <w:bCs w:val="0"/>
                <w:color w:val="auto"/>
                <w:u w:val="none"/>
              </w:rPr>
            </w:pPr>
          </w:p>
        </w:tc>
      </w:tr>
      <w:tr w14:paraId="14F1D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4" w:hRule="atLeast"/>
          <w:jc w:val="center"/>
        </w:trPr>
        <w:tc>
          <w:tcPr>
            <w:tcW w:w="1574" w:type="dxa"/>
            <w:vMerge w:val="continue"/>
            <w:vAlign w:val="center"/>
          </w:tcPr>
          <w:p w14:paraId="0340E682">
            <w:pPr>
              <w:pStyle w:val="182"/>
              <w:rPr>
                <w:b w:val="0"/>
                <w:bCs w:val="0"/>
                <w:color w:val="auto"/>
                <w:u w:val="none"/>
              </w:rPr>
            </w:pPr>
          </w:p>
        </w:tc>
        <w:tc>
          <w:tcPr>
            <w:tcW w:w="1609" w:type="dxa"/>
            <w:vAlign w:val="center"/>
          </w:tcPr>
          <w:p w14:paraId="15BA0995">
            <w:pPr>
              <w:pStyle w:val="182"/>
              <w:bidi w:val="0"/>
              <w:ind w:firstLine="0" w:firstLineChars="0"/>
              <w:rPr>
                <w:rFonts w:hint="default"/>
                <w:b w:val="0"/>
                <w:bCs w:val="0"/>
                <w:color w:val="auto"/>
                <w:u w:val="none"/>
                <w:lang w:val="en-US" w:eastAsia="zh-CN"/>
              </w:rPr>
            </w:pPr>
            <w:r>
              <w:rPr>
                <w:rFonts w:hint="eastAsia"/>
                <w:b w:val="0"/>
                <w:bCs w:val="0"/>
                <w:color w:val="auto"/>
                <w:u w:val="none"/>
                <w:lang w:val="en-US" w:eastAsia="zh-CN"/>
              </w:rPr>
              <w:t>废活性炭</w:t>
            </w:r>
          </w:p>
        </w:tc>
        <w:tc>
          <w:tcPr>
            <w:tcW w:w="1675" w:type="dxa"/>
            <w:vMerge w:val="continue"/>
            <w:vAlign w:val="center"/>
          </w:tcPr>
          <w:p w14:paraId="2D359ABC">
            <w:pPr>
              <w:pStyle w:val="182"/>
              <w:rPr>
                <w:b w:val="0"/>
                <w:bCs w:val="0"/>
                <w:color w:val="auto"/>
                <w:u w:val="none"/>
              </w:rPr>
            </w:pPr>
          </w:p>
        </w:tc>
        <w:tc>
          <w:tcPr>
            <w:tcW w:w="1709" w:type="dxa"/>
            <w:vMerge w:val="continue"/>
            <w:vAlign w:val="center"/>
          </w:tcPr>
          <w:p w14:paraId="4382ADDD">
            <w:pPr>
              <w:pStyle w:val="182"/>
              <w:rPr>
                <w:b w:val="0"/>
                <w:bCs w:val="0"/>
                <w:color w:val="auto"/>
                <w:u w:val="none"/>
              </w:rPr>
            </w:pPr>
          </w:p>
        </w:tc>
        <w:tc>
          <w:tcPr>
            <w:tcW w:w="1956" w:type="dxa"/>
            <w:vMerge w:val="continue"/>
            <w:vAlign w:val="center"/>
          </w:tcPr>
          <w:p w14:paraId="1F8AA6BE">
            <w:pPr>
              <w:pStyle w:val="182"/>
              <w:rPr>
                <w:b w:val="0"/>
                <w:bCs w:val="0"/>
                <w:color w:val="auto"/>
                <w:u w:val="none"/>
              </w:rPr>
            </w:pPr>
          </w:p>
        </w:tc>
      </w:tr>
      <w:tr w14:paraId="6BB4B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4" w:type="dxa"/>
            <w:vAlign w:val="center"/>
          </w:tcPr>
          <w:p w14:paraId="6ACDAE2C">
            <w:pPr>
              <w:pStyle w:val="182"/>
              <w:bidi w:val="0"/>
              <w:rPr>
                <w:b w:val="0"/>
                <w:bCs w:val="0"/>
                <w:color w:val="auto"/>
                <w:u w:val="none"/>
                <w:lang w:val="en-US" w:eastAsia="zh-CN"/>
              </w:rPr>
            </w:pPr>
            <w:r>
              <w:rPr>
                <w:b w:val="0"/>
                <w:bCs w:val="0"/>
                <w:color w:val="auto"/>
                <w:u w:val="none"/>
              </w:rPr>
              <w:t>噪声</w:t>
            </w:r>
          </w:p>
        </w:tc>
        <w:tc>
          <w:tcPr>
            <w:tcW w:w="1609" w:type="dxa"/>
            <w:vAlign w:val="center"/>
          </w:tcPr>
          <w:p w14:paraId="2FF84A5D">
            <w:pPr>
              <w:pStyle w:val="182"/>
              <w:bidi w:val="0"/>
              <w:rPr>
                <w:b w:val="0"/>
                <w:bCs w:val="0"/>
                <w:color w:val="auto"/>
                <w:u w:val="none"/>
                <w:lang w:val="en-US" w:eastAsia="zh-CN"/>
              </w:rPr>
            </w:pPr>
            <w:r>
              <w:rPr>
                <w:b w:val="0"/>
                <w:bCs w:val="0"/>
                <w:color w:val="auto"/>
                <w:u w:val="none"/>
              </w:rPr>
              <w:t>设备噪声</w:t>
            </w:r>
          </w:p>
        </w:tc>
        <w:tc>
          <w:tcPr>
            <w:tcW w:w="1675" w:type="dxa"/>
            <w:vAlign w:val="center"/>
          </w:tcPr>
          <w:p w14:paraId="5367E083">
            <w:pPr>
              <w:pStyle w:val="182"/>
              <w:bidi w:val="0"/>
              <w:rPr>
                <w:b w:val="0"/>
                <w:bCs w:val="0"/>
                <w:color w:val="auto"/>
                <w:u w:val="none"/>
                <w:lang w:val="en-US" w:eastAsia="zh-CN"/>
              </w:rPr>
            </w:pPr>
            <w:r>
              <w:rPr>
                <w:rFonts w:hint="eastAsia"/>
                <w:b w:val="0"/>
                <w:bCs w:val="0"/>
                <w:color w:val="auto"/>
                <w:u w:val="none"/>
              </w:rPr>
              <w:t>噪声</w:t>
            </w:r>
          </w:p>
        </w:tc>
        <w:tc>
          <w:tcPr>
            <w:tcW w:w="1709" w:type="dxa"/>
            <w:vAlign w:val="center"/>
          </w:tcPr>
          <w:p w14:paraId="4779CFE8">
            <w:pPr>
              <w:pStyle w:val="182"/>
              <w:bidi w:val="0"/>
              <w:rPr>
                <w:b w:val="0"/>
                <w:bCs w:val="0"/>
                <w:color w:val="auto"/>
                <w:u w:val="none"/>
                <w:lang w:val="en-US" w:eastAsia="zh-CN"/>
              </w:rPr>
            </w:pPr>
            <w:r>
              <w:rPr>
                <w:rFonts w:hint="eastAsia"/>
                <w:b w:val="0"/>
                <w:bCs w:val="0"/>
                <w:color w:val="auto"/>
                <w:u w:val="none"/>
              </w:rPr>
              <w:t>减振、隔音设施</w:t>
            </w:r>
          </w:p>
        </w:tc>
        <w:tc>
          <w:tcPr>
            <w:tcW w:w="1956" w:type="dxa"/>
            <w:vAlign w:val="center"/>
          </w:tcPr>
          <w:p w14:paraId="04D9F5A9">
            <w:pPr>
              <w:pStyle w:val="182"/>
              <w:bidi w:val="0"/>
              <w:rPr>
                <w:rFonts w:hint="default"/>
                <w:b w:val="0"/>
                <w:bCs w:val="0"/>
                <w:color w:val="auto"/>
                <w:u w:val="none"/>
                <w:lang w:val="en-US" w:eastAsia="zh-CN"/>
              </w:rPr>
            </w:pPr>
            <w:r>
              <w:rPr>
                <w:rFonts w:hint="eastAsia"/>
                <w:b w:val="0"/>
                <w:bCs w:val="0"/>
                <w:color w:val="auto"/>
                <w:u w:val="none"/>
              </w:rPr>
              <w:t>《工业企业厂界环境噪声排放标准》（GB12348-2008）</w:t>
            </w:r>
            <w:r>
              <w:rPr>
                <w:rFonts w:hint="eastAsia"/>
                <w:b w:val="0"/>
                <w:bCs w:val="0"/>
                <w:color w:val="auto"/>
                <w:u w:val="none"/>
                <w:lang w:val="en-US" w:eastAsia="zh-CN"/>
              </w:rPr>
              <w:t>3类</w:t>
            </w:r>
          </w:p>
        </w:tc>
      </w:tr>
      <w:tr w14:paraId="7CF68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83" w:type="dxa"/>
            <w:gridSpan w:val="2"/>
            <w:vAlign w:val="center"/>
          </w:tcPr>
          <w:p w14:paraId="55933082">
            <w:pPr>
              <w:pStyle w:val="182"/>
              <w:bidi w:val="0"/>
              <w:rPr>
                <w:b w:val="0"/>
                <w:bCs w:val="0"/>
                <w:color w:val="auto"/>
                <w:u w:val="none"/>
                <w:lang w:val="en-US" w:eastAsia="zh-CN"/>
              </w:rPr>
            </w:pPr>
            <w:r>
              <w:rPr>
                <w:rFonts w:hint="eastAsia"/>
                <w:b w:val="0"/>
                <w:bCs w:val="0"/>
                <w:color w:val="auto"/>
                <w:u w:val="none"/>
              </w:rPr>
              <w:t>地下水防护措施</w:t>
            </w:r>
          </w:p>
        </w:tc>
        <w:tc>
          <w:tcPr>
            <w:tcW w:w="3384" w:type="dxa"/>
            <w:gridSpan w:val="2"/>
            <w:vAlign w:val="center"/>
          </w:tcPr>
          <w:p w14:paraId="7AD00965">
            <w:pPr>
              <w:pStyle w:val="182"/>
              <w:bidi w:val="0"/>
              <w:rPr>
                <w:rFonts w:hint="eastAsia"/>
                <w:b w:val="0"/>
                <w:bCs w:val="0"/>
                <w:color w:val="auto"/>
                <w:u w:val="none"/>
              </w:rPr>
            </w:pPr>
            <w:r>
              <w:rPr>
                <w:rFonts w:hint="eastAsia"/>
                <w:b w:val="0"/>
                <w:bCs w:val="0"/>
                <w:color w:val="auto"/>
                <w:u w:val="none"/>
              </w:rPr>
              <w:t>对生产车间、废污水收集管道，一般固废全密闭暂存间和危险固废全密闭暂存间，按设计要求分区进行防渗。</w:t>
            </w:r>
          </w:p>
        </w:tc>
        <w:tc>
          <w:tcPr>
            <w:tcW w:w="1956" w:type="dxa"/>
            <w:vAlign w:val="center"/>
          </w:tcPr>
          <w:p w14:paraId="2C9E6A66">
            <w:pPr>
              <w:pStyle w:val="182"/>
              <w:bidi w:val="0"/>
              <w:rPr>
                <w:rFonts w:hint="eastAsia"/>
                <w:b w:val="0"/>
                <w:bCs w:val="0"/>
                <w:color w:val="auto"/>
                <w:u w:val="none"/>
                <w:lang w:val="en-US" w:eastAsia="zh-CN"/>
              </w:rPr>
            </w:pPr>
            <w:r>
              <w:rPr>
                <w:rFonts w:hint="eastAsia"/>
                <w:b w:val="0"/>
                <w:bCs w:val="0"/>
                <w:color w:val="auto"/>
                <w:u w:val="none"/>
                <w:lang w:val="en-US" w:eastAsia="zh-CN"/>
              </w:rPr>
              <w:t>/</w:t>
            </w:r>
          </w:p>
        </w:tc>
      </w:tr>
      <w:tr w14:paraId="16585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83" w:type="dxa"/>
            <w:gridSpan w:val="2"/>
            <w:vAlign w:val="center"/>
          </w:tcPr>
          <w:p w14:paraId="2A4095CA">
            <w:pPr>
              <w:pStyle w:val="182"/>
              <w:bidi w:val="0"/>
              <w:rPr>
                <w:color w:val="auto"/>
              </w:rPr>
            </w:pPr>
            <w:r>
              <w:rPr>
                <w:rFonts w:hint="eastAsia"/>
                <w:color w:val="auto"/>
              </w:rPr>
              <w:t>风险防范措施</w:t>
            </w:r>
          </w:p>
        </w:tc>
        <w:tc>
          <w:tcPr>
            <w:tcW w:w="3384" w:type="dxa"/>
            <w:gridSpan w:val="2"/>
            <w:vAlign w:val="center"/>
          </w:tcPr>
          <w:p w14:paraId="533CCCBD">
            <w:pPr>
              <w:pStyle w:val="182"/>
              <w:bidi w:val="0"/>
              <w:rPr>
                <w:color w:val="auto"/>
              </w:rPr>
            </w:pPr>
            <w:r>
              <w:rPr>
                <w:rFonts w:hint="eastAsia"/>
                <w:color w:val="auto"/>
              </w:rPr>
              <w:t>1、加强运行管理和应急措施建设管理；</w:t>
            </w:r>
          </w:p>
          <w:p w14:paraId="4D5DD9E9">
            <w:pPr>
              <w:pStyle w:val="182"/>
              <w:bidi w:val="0"/>
              <w:rPr>
                <w:color w:val="auto"/>
              </w:rPr>
            </w:pPr>
            <w:r>
              <w:rPr>
                <w:rFonts w:hint="eastAsia"/>
                <w:color w:val="auto"/>
              </w:rPr>
              <w:t>2、依托现有事故应急废水收集池，拦截措施等。</w:t>
            </w:r>
          </w:p>
          <w:p w14:paraId="58DCC4F8">
            <w:pPr>
              <w:pStyle w:val="182"/>
              <w:bidi w:val="0"/>
              <w:rPr>
                <w:rFonts w:hint="eastAsia"/>
                <w:color w:val="auto"/>
              </w:rPr>
            </w:pPr>
            <w:r>
              <w:rPr>
                <w:rFonts w:hint="eastAsia"/>
                <w:color w:val="auto"/>
              </w:rPr>
              <w:t>3、依托应急救援器材、监测仪器；定期进行安全教育培训、事故应急演练。</w:t>
            </w:r>
          </w:p>
        </w:tc>
        <w:tc>
          <w:tcPr>
            <w:tcW w:w="1956" w:type="dxa"/>
            <w:vAlign w:val="center"/>
          </w:tcPr>
          <w:p w14:paraId="788E7E11">
            <w:pPr>
              <w:pStyle w:val="182"/>
              <w:bidi w:val="0"/>
              <w:rPr>
                <w:rFonts w:hint="eastAsia"/>
                <w:color w:val="auto"/>
                <w:lang w:val="en-US" w:eastAsia="zh-CN"/>
              </w:rPr>
            </w:pPr>
            <w:r>
              <w:rPr>
                <w:rFonts w:hint="eastAsia"/>
                <w:color w:val="auto"/>
                <w:lang w:val="en-US" w:eastAsia="zh-CN"/>
              </w:rPr>
              <w:t>/</w:t>
            </w:r>
          </w:p>
        </w:tc>
      </w:tr>
    </w:tbl>
    <w:p w14:paraId="6938F697">
      <w:pPr>
        <w:rPr>
          <w:color w:val="auto"/>
        </w:rPr>
      </w:pPr>
    </w:p>
    <w:p w14:paraId="373A8146">
      <w:pPr>
        <w:pStyle w:val="30"/>
        <w:rPr>
          <w:color w:val="auto"/>
        </w:rPr>
        <w:sectPr>
          <w:pgSz w:w="11907" w:h="16840"/>
          <w:pgMar w:top="1440" w:right="1800" w:bottom="1440" w:left="1800" w:header="907" w:footer="907" w:gutter="0"/>
          <w:pgBorders>
            <w:top w:val="none" w:sz="0" w:space="0"/>
            <w:left w:val="none" w:sz="0" w:space="0"/>
            <w:bottom w:val="none" w:sz="0" w:space="0"/>
            <w:right w:val="none" w:sz="0" w:space="0"/>
          </w:pgBorders>
          <w:pgNumType w:fmt="decimal"/>
          <w:cols w:space="720" w:num="1"/>
          <w:docGrid w:linePitch="380" w:charSpace="0"/>
        </w:sectPr>
      </w:pPr>
    </w:p>
    <w:p w14:paraId="29295FF9">
      <w:pPr>
        <w:pStyle w:val="2"/>
        <w:bidi w:val="0"/>
        <w:rPr>
          <w:color w:val="auto"/>
        </w:rPr>
      </w:pPr>
      <w:bookmarkStart w:id="337" w:name="_Toc16276"/>
      <w:bookmarkStart w:id="338" w:name="_Toc17558"/>
      <w:bookmarkStart w:id="339" w:name="_Toc324839668"/>
      <w:bookmarkStart w:id="340" w:name="_Toc67041085"/>
      <w:bookmarkStart w:id="341" w:name="_Toc311812694"/>
      <w:bookmarkStart w:id="342" w:name="_Toc324839385"/>
      <w:bookmarkStart w:id="343" w:name="_Toc28866858"/>
      <w:bookmarkStart w:id="344" w:name="_Toc3661"/>
      <w:r>
        <w:rPr>
          <w:color w:val="auto"/>
        </w:rPr>
        <w:t>评价结论与建议</w:t>
      </w:r>
      <w:bookmarkEnd w:id="337"/>
      <w:bookmarkEnd w:id="338"/>
      <w:bookmarkEnd w:id="339"/>
      <w:bookmarkEnd w:id="340"/>
      <w:bookmarkEnd w:id="341"/>
      <w:bookmarkEnd w:id="342"/>
      <w:bookmarkEnd w:id="343"/>
      <w:bookmarkEnd w:id="344"/>
    </w:p>
    <w:p w14:paraId="53CDAFE1">
      <w:pPr>
        <w:pStyle w:val="3"/>
        <w:bidi w:val="0"/>
        <w:rPr>
          <w:color w:val="auto"/>
        </w:rPr>
      </w:pPr>
      <w:bookmarkStart w:id="345" w:name="_Toc18553"/>
      <w:bookmarkStart w:id="346" w:name="_Toc8682"/>
      <w:bookmarkStart w:id="347" w:name="_Toc17620"/>
      <w:bookmarkStart w:id="348" w:name="_Toc28866859"/>
      <w:bookmarkStart w:id="349" w:name="_Toc67041086"/>
      <w:bookmarkStart w:id="350" w:name="_Toc324839386"/>
      <w:bookmarkStart w:id="351" w:name="_Toc324839669"/>
      <w:bookmarkStart w:id="352" w:name="_Toc311812696"/>
      <w:r>
        <w:rPr>
          <w:color w:val="auto"/>
        </w:rPr>
        <w:t>评价结论</w:t>
      </w:r>
      <w:bookmarkEnd w:id="345"/>
      <w:bookmarkEnd w:id="346"/>
      <w:bookmarkEnd w:id="347"/>
      <w:bookmarkEnd w:id="348"/>
      <w:bookmarkEnd w:id="349"/>
      <w:bookmarkEnd w:id="350"/>
      <w:bookmarkEnd w:id="351"/>
      <w:bookmarkEnd w:id="352"/>
    </w:p>
    <w:p w14:paraId="1125EC09">
      <w:pPr>
        <w:pStyle w:val="5"/>
        <w:bidi w:val="0"/>
        <w:rPr>
          <w:color w:val="auto"/>
        </w:rPr>
      </w:pPr>
      <w:bookmarkStart w:id="353" w:name="_Toc7939"/>
      <w:r>
        <w:rPr>
          <w:color w:val="auto"/>
        </w:rPr>
        <w:t>工程建设符合国家产业政策</w:t>
      </w:r>
      <w:bookmarkEnd w:id="353"/>
    </w:p>
    <w:p w14:paraId="1FC840E6">
      <w:pPr>
        <w:bidi w:val="0"/>
        <w:rPr>
          <w:color w:val="auto"/>
        </w:rPr>
      </w:pPr>
      <w:r>
        <w:rPr>
          <w:rFonts w:hint="eastAsia"/>
          <w:color w:val="auto"/>
        </w:rPr>
        <w:t>该项目属于《产业结构调整指导目录（20</w:t>
      </w:r>
      <w:r>
        <w:rPr>
          <w:rFonts w:hint="eastAsia"/>
          <w:color w:val="auto"/>
          <w:lang w:val="en-US" w:eastAsia="zh-CN"/>
        </w:rPr>
        <w:t>24</w:t>
      </w:r>
      <w:r>
        <w:rPr>
          <w:rFonts w:hint="eastAsia"/>
          <w:color w:val="auto"/>
        </w:rPr>
        <w:t>年本）》中鼓励类“二十、纺织”第</w:t>
      </w:r>
      <w:r>
        <w:rPr>
          <w:rFonts w:hint="eastAsia"/>
          <w:color w:val="auto"/>
          <w:lang w:val="en-US" w:eastAsia="zh-CN"/>
        </w:rPr>
        <w:t>10</w:t>
      </w:r>
      <w:r>
        <w:rPr>
          <w:rFonts w:hint="eastAsia"/>
          <w:color w:val="auto"/>
        </w:rPr>
        <w:t>项“利用棉纺织品回收生产的再生纤维素纤维产品，废旧纺织品回收再利用技术、设备的研发和应用”，符合国家产业政策要求。该项目已经新乡经济技术开发区管理委员会备案，备案编号：</w:t>
      </w:r>
      <w:r>
        <w:rPr>
          <w:rFonts w:hint="eastAsia"/>
          <w:color w:val="auto"/>
          <w:lang w:val="en-US" w:eastAsia="zh-CN"/>
        </w:rPr>
        <w:t>2403-410772-04-02-585568</w:t>
      </w:r>
      <w:r>
        <w:rPr>
          <w:rFonts w:hint="eastAsia"/>
          <w:color w:val="auto"/>
        </w:rPr>
        <w:t>。</w:t>
      </w:r>
    </w:p>
    <w:p w14:paraId="1432E3C3">
      <w:pPr>
        <w:pStyle w:val="5"/>
        <w:bidi w:val="0"/>
        <w:rPr>
          <w:color w:val="auto"/>
        </w:rPr>
      </w:pPr>
      <w:bookmarkStart w:id="354" w:name="_Toc2430"/>
      <w:r>
        <w:rPr>
          <w:rFonts w:hint="eastAsia"/>
          <w:color w:val="auto"/>
        </w:rPr>
        <w:t>工程选址符合规划要求，厂区平面布置较为合理</w:t>
      </w:r>
    </w:p>
    <w:bookmarkEnd w:id="354"/>
    <w:p w14:paraId="5B3AA0CB">
      <w:pPr>
        <w:bidi w:val="0"/>
        <w:rPr>
          <w:rFonts w:hint="default" w:eastAsia="宋体"/>
          <w:color w:val="auto"/>
          <w:lang w:val="en-US" w:eastAsia="zh-CN"/>
        </w:rPr>
      </w:pPr>
      <w:r>
        <w:rPr>
          <w:rFonts w:hint="eastAsia"/>
          <w:color w:val="auto"/>
        </w:rPr>
        <w:t>本项目厂址位于新乡经济技术开发区，符合园区总体发展规划要求，根据《新乡经济技术开发区发展规划（2009-2020）》用地规划图，本项目用地属于工业用地，符合新乡经济技术开发区总体发展规划和土地性质规划。根据《新乡经济技术开发区发展规划（2009-2020）》产业布局图</w:t>
      </w:r>
      <w:r>
        <w:rPr>
          <w:rFonts w:hint="eastAsia"/>
          <w:color w:val="auto"/>
          <w:lang w:val="en-US" w:eastAsia="zh-CN"/>
        </w:rPr>
        <w:t>（见附图4）</w:t>
      </w:r>
      <w:r>
        <w:rPr>
          <w:rFonts w:hint="eastAsia"/>
          <w:color w:val="auto"/>
        </w:rPr>
        <w:t>，拟建项目厂址所在地块属于化纤纺织用地，符合产业布局要求。</w:t>
      </w:r>
      <w:r>
        <w:rPr>
          <w:rFonts w:hint="eastAsia"/>
          <w:b/>
          <w:bCs/>
          <w:color w:val="auto"/>
          <w:u w:val="single"/>
          <w:lang w:val="en-US" w:eastAsia="zh-CN"/>
        </w:rPr>
        <w:t>本项目位于新乡市经济技术开发区，属于重点管控单元。符合《河南省生态环境分区管控总体要求》（2023 年版）及《新乡市“三线一单”生态环境准入清单》（2023年）的要求。</w:t>
      </w:r>
    </w:p>
    <w:p w14:paraId="25B9A616">
      <w:pPr>
        <w:bidi w:val="0"/>
        <w:rPr>
          <w:color w:val="auto"/>
        </w:rPr>
      </w:pPr>
      <w:r>
        <w:rPr>
          <w:rFonts w:hint="eastAsia"/>
          <w:b/>
          <w:bCs/>
          <w:color w:val="auto"/>
          <w:u w:val="single"/>
          <w:lang w:val="en-US" w:eastAsia="zh-CN"/>
        </w:rPr>
        <w:t>根据预测，本项目</w:t>
      </w:r>
      <w:r>
        <w:rPr>
          <w:rFonts w:hint="eastAsia"/>
          <w:b/>
          <w:bCs/>
          <w:color w:val="auto"/>
          <w:highlight w:val="none"/>
          <w:u w:val="single"/>
          <w:lang w:val="en-US" w:eastAsia="zh-CN"/>
        </w:rPr>
        <w:t>不需设置大气防护距离，</w:t>
      </w:r>
      <w:r>
        <w:rPr>
          <w:rFonts w:hint="eastAsia"/>
          <w:color w:val="auto"/>
        </w:rPr>
        <w:t>项目对敏感点影响不大，对区域环境空气、地表水、地下水声及土壤环境无显著影响，从环保角度看工程选址可行。工程生产车间、辅助工程等设施在总体平面布置上可满足工艺流程合理、物料输送顺畅的原则，厂区平面布置较为合理。</w:t>
      </w:r>
    </w:p>
    <w:p w14:paraId="0A084349">
      <w:pPr>
        <w:pStyle w:val="5"/>
        <w:bidi w:val="0"/>
        <w:rPr>
          <w:color w:val="auto"/>
        </w:rPr>
      </w:pPr>
      <w:r>
        <w:rPr>
          <w:color w:val="auto"/>
        </w:rPr>
        <w:t>评价区域内的环境质量现状</w:t>
      </w:r>
    </w:p>
    <w:p w14:paraId="3C64EBF9">
      <w:pPr>
        <w:bidi w:val="0"/>
        <w:rPr>
          <w:rFonts w:hint="eastAsia" w:eastAsia="宋体"/>
          <w:color w:val="auto"/>
          <w:sz w:val="24"/>
          <w:szCs w:val="24"/>
          <w:lang w:val="en-US" w:eastAsia="zh-CN"/>
        </w:rPr>
      </w:pPr>
      <w:bookmarkStart w:id="355" w:name="_Toc4331"/>
      <w:r>
        <w:rPr>
          <w:rFonts w:hint="eastAsia"/>
          <w:color w:val="auto"/>
          <w:sz w:val="24"/>
          <w:szCs w:val="24"/>
          <w:lang w:val="en-US" w:eastAsia="zh-CN"/>
        </w:rPr>
        <w:t>大气：</w:t>
      </w:r>
      <w:r>
        <w:rPr>
          <w:rFonts w:hint="eastAsia"/>
          <w:color w:val="auto"/>
          <w:sz w:val="24"/>
          <w:szCs w:val="24"/>
        </w:rPr>
        <w:t>评价区基本污染物（SO</w:t>
      </w:r>
      <w:r>
        <w:rPr>
          <w:rFonts w:hint="eastAsia"/>
          <w:color w:val="auto"/>
          <w:sz w:val="24"/>
          <w:szCs w:val="24"/>
          <w:vertAlign w:val="subscript"/>
        </w:rPr>
        <w:t>2</w:t>
      </w:r>
      <w:r>
        <w:rPr>
          <w:rFonts w:hint="eastAsia"/>
          <w:color w:val="auto"/>
          <w:sz w:val="24"/>
          <w:szCs w:val="24"/>
        </w:rPr>
        <w:t>、NO</w:t>
      </w:r>
      <w:r>
        <w:rPr>
          <w:rFonts w:hint="eastAsia"/>
          <w:color w:val="auto"/>
          <w:sz w:val="24"/>
          <w:szCs w:val="24"/>
          <w:vertAlign w:val="subscript"/>
        </w:rPr>
        <w:t>2</w:t>
      </w:r>
      <w:r>
        <w:rPr>
          <w:rFonts w:hint="eastAsia"/>
          <w:color w:val="auto"/>
          <w:sz w:val="24"/>
          <w:szCs w:val="24"/>
        </w:rPr>
        <w:t>、PM</w:t>
      </w:r>
      <w:r>
        <w:rPr>
          <w:rFonts w:hint="eastAsia"/>
          <w:color w:val="auto"/>
          <w:sz w:val="24"/>
          <w:szCs w:val="24"/>
          <w:vertAlign w:val="subscript"/>
        </w:rPr>
        <w:t>10</w:t>
      </w:r>
      <w:r>
        <w:rPr>
          <w:rFonts w:hint="eastAsia"/>
          <w:color w:val="auto"/>
          <w:sz w:val="24"/>
          <w:szCs w:val="24"/>
        </w:rPr>
        <w:t>、PM</w:t>
      </w:r>
      <w:r>
        <w:rPr>
          <w:rFonts w:hint="eastAsia"/>
          <w:color w:val="auto"/>
          <w:sz w:val="24"/>
          <w:szCs w:val="24"/>
          <w:vertAlign w:val="subscript"/>
        </w:rPr>
        <w:t>2.5</w:t>
      </w:r>
      <w:r>
        <w:rPr>
          <w:rFonts w:hint="eastAsia"/>
          <w:color w:val="auto"/>
          <w:sz w:val="24"/>
          <w:szCs w:val="24"/>
        </w:rPr>
        <w:t>、CO、O</w:t>
      </w:r>
      <w:r>
        <w:rPr>
          <w:rFonts w:hint="eastAsia"/>
          <w:color w:val="auto"/>
          <w:sz w:val="24"/>
          <w:szCs w:val="24"/>
          <w:vertAlign w:val="subscript"/>
        </w:rPr>
        <w:t>3</w:t>
      </w:r>
      <w:r>
        <w:rPr>
          <w:rFonts w:hint="eastAsia"/>
          <w:color w:val="auto"/>
          <w:sz w:val="24"/>
          <w:szCs w:val="24"/>
        </w:rPr>
        <w:t>）环境质量现状监测结果显示，PM</w:t>
      </w:r>
      <w:r>
        <w:rPr>
          <w:rFonts w:hint="eastAsia"/>
          <w:color w:val="auto"/>
          <w:sz w:val="24"/>
          <w:szCs w:val="24"/>
          <w:vertAlign w:val="subscript"/>
        </w:rPr>
        <w:t>10</w:t>
      </w:r>
      <w:r>
        <w:rPr>
          <w:rFonts w:hint="eastAsia"/>
          <w:color w:val="auto"/>
          <w:sz w:val="24"/>
          <w:szCs w:val="24"/>
        </w:rPr>
        <w:t>、PM</w:t>
      </w:r>
      <w:r>
        <w:rPr>
          <w:rFonts w:hint="eastAsia"/>
          <w:color w:val="auto"/>
          <w:sz w:val="24"/>
          <w:szCs w:val="24"/>
          <w:vertAlign w:val="subscript"/>
        </w:rPr>
        <w:t>2.5</w:t>
      </w:r>
      <w:r>
        <w:rPr>
          <w:rFonts w:hint="eastAsia"/>
          <w:color w:val="auto"/>
          <w:sz w:val="24"/>
          <w:szCs w:val="24"/>
        </w:rPr>
        <w:t>和O</w:t>
      </w:r>
      <w:r>
        <w:rPr>
          <w:rFonts w:hint="eastAsia"/>
          <w:color w:val="auto"/>
          <w:sz w:val="24"/>
          <w:szCs w:val="24"/>
          <w:vertAlign w:val="subscript"/>
        </w:rPr>
        <w:t>3</w:t>
      </w:r>
      <w:r>
        <w:rPr>
          <w:rFonts w:hint="eastAsia"/>
          <w:color w:val="auto"/>
          <w:sz w:val="24"/>
          <w:szCs w:val="24"/>
        </w:rPr>
        <w:t xml:space="preserve">均不能够满足《环境空气质量标准》（GB3095-2012）二级标准要求，根据《环境影响评价技术导则 </w:t>
      </w:r>
      <w:r>
        <w:rPr>
          <w:rFonts w:hint="eastAsia"/>
          <w:color w:val="auto"/>
          <w:sz w:val="24"/>
          <w:szCs w:val="24"/>
          <w:lang w:val="en-US" w:eastAsia="zh-CN"/>
        </w:rPr>
        <w:t xml:space="preserve"> </w:t>
      </w:r>
      <w:r>
        <w:rPr>
          <w:rFonts w:hint="eastAsia"/>
          <w:color w:val="auto"/>
          <w:sz w:val="24"/>
          <w:szCs w:val="24"/>
        </w:rPr>
        <w:t>大气环境》(HJ2.2-2018)，本项目所在区域属于未达标区。</w:t>
      </w:r>
      <w:r>
        <w:rPr>
          <w:rFonts w:hint="eastAsia"/>
          <w:color w:val="auto"/>
          <w:sz w:val="24"/>
          <w:szCs w:val="24"/>
          <w:lang w:val="en-US" w:eastAsia="zh-CN"/>
        </w:rPr>
        <w:t>非甲烷总烃</w:t>
      </w:r>
      <w:r>
        <w:rPr>
          <w:rFonts w:hint="eastAsia"/>
          <w:color w:val="auto"/>
          <w:lang w:val="en-US" w:eastAsia="zh-CN"/>
        </w:rPr>
        <w:t>1小时平均值满足《大气综合污染物排放标准详解》第四章标准值说明限值。</w:t>
      </w:r>
    </w:p>
    <w:p w14:paraId="6D36C365">
      <w:pPr>
        <w:bidi w:val="0"/>
        <w:rPr>
          <w:rFonts w:hint="eastAsia"/>
          <w:color w:val="auto"/>
          <w:sz w:val="24"/>
          <w:szCs w:val="24"/>
        </w:rPr>
      </w:pPr>
      <w:r>
        <w:rPr>
          <w:rFonts w:hint="eastAsia"/>
          <w:color w:val="auto"/>
          <w:sz w:val="24"/>
          <w:szCs w:val="24"/>
        </w:rPr>
        <w:t>地表水：大沙河水环境质量正在逐步改善。</w:t>
      </w:r>
      <w:r>
        <w:rPr>
          <w:rFonts w:hint="eastAsia"/>
          <w:b w:val="0"/>
          <w:bCs w:val="0"/>
          <w:color w:val="auto"/>
          <w:sz w:val="24"/>
          <w:szCs w:val="24"/>
          <w:u w:val="none"/>
        </w:rPr>
        <w:t>项目所在区域地表水水质有出现超过《地表水环境质量标准》（GB3838-2002）Ⅳ类标准的情况，根据大沙河水花堡桥断面的监测资料可以看出，大沙河水质已逐步改善，水环境质量</w:t>
      </w:r>
      <w:r>
        <w:rPr>
          <w:rFonts w:hint="eastAsia"/>
          <w:b w:val="0"/>
          <w:bCs w:val="0"/>
          <w:color w:val="auto"/>
          <w:sz w:val="24"/>
          <w:szCs w:val="24"/>
          <w:u w:val="none"/>
          <w:lang w:val="en-US" w:eastAsia="zh-CN"/>
        </w:rPr>
        <w:t>整体</w:t>
      </w:r>
      <w:r>
        <w:rPr>
          <w:rFonts w:hint="eastAsia"/>
          <w:b w:val="0"/>
          <w:bCs w:val="0"/>
          <w:color w:val="auto"/>
          <w:sz w:val="24"/>
          <w:szCs w:val="24"/>
          <w:u w:val="none"/>
        </w:rPr>
        <w:t>现状良好。</w:t>
      </w:r>
    </w:p>
    <w:p w14:paraId="09A7BC25">
      <w:pPr>
        <w:bidi w:val="0"/>
        <w:rPr>
          <w:rFonts w:hint="eastAsia"/>
          <w:color w:val="auto"/>
          <w:sz w:val="24"/>
          <w:szCs w:val="24"/>
        </w:rPr>
      </w:pPr>
      <w:r>
        <w:rPr>
          <w:rFonts w:hint="eastAsia"/>
          <w:color w:val="auto"/>
          <w:sz w:val="24"/>
          <w:szCs w:val="24"/>
        </w:rPr>
        <w:t>声环境质量：目前项目各厂界处的噪声环境现状可以满足《声环境质量标准》（GB3096-2008）3类标准的要求，厂址区域声环境质量现状较好。</w:t>
      </w:r>
    </w:p>
    <w:p w14:paraId="36B7858C">
      <w:pPr>
        <w:bidi w:val="0"/>
        <w:rPr>
          <w:rFonts w:hint="eastAsia"/>
          <w:color w:val="auto"/>
        </w:rPr>
      </w:pPr>
      <w:r>
        <w:rPr>
          <w:rFonts w:hint="eastAsia"/>
          <w:color w:val="auto"/>
          <w:sz w:val="24"/>
          <w:szCs w:val="24"/>
        </w:rPr>
        <w:t>地下水环境质量：地下水水质调查统计结果表明，本次水质调查点位的各监</w:t>
      </w:r>
      <w:r>
        <w:rPr>
          <w:rFonts w:hint="eastAsia"/>
          <w:color w:val="auto"/>
        </w:rPr>
        <w:t>测因子均满足《地下水质量标准》（GB/T14848-2017）Ⅲ类水质标准要求；说明项目所在区域地下水水质较好。</w:t>
      </w:r>
    </w:p>
    <w:p w14:paraId="4AFAE38B">
      <w:pPr>
        <w:bidi w:val="0"/>
        <w:rPr>
          <w:rFonts w:hint="eastAsia"/>
          <w:color w:val="auto"/>
        </w:rPr>
      </w:pPr>
      <w:r>
        <w:rPr>
          <w:rFonts w:hint="eastAsia"/>
          <w:color w:val="auto"/>
        </w:rPr>
        <w:t>土壤环境质量：由土壤监测及其统计结果可知，项目厂址区域土壤中各监测点位的各监测因子均能满足《土壤环境质量 建设用地土壤污染风险管控标准（试行）》（GB36600-2018）第二类用地筛选值要求。</w:t>
      </w:r>
    </w:p>
    <w:p w14:paraId="4023AC58">
      <w:pPr>
        <w:bidi w:val="0"/>
        <w:rPr>
          <w:rFonts w:hint="eastAsia"/>
          <w:b/>
          <w:bCs/>
          <w:u w:val="single"/>
          <w:lang w:val="en-US" w:eastAsia="zh-CN"/>
        </w:rPr>
      </w:pPr>
      <w:r>
        <w:rPr>
          <w:rFonts w:hint="eastAsia"/>
          <w:b/>
          <w:bCs/>
          <w:u w:val="single"/>
          <w:lang w:val="en-US" w:eastAsia="zh-CN"/>
        </w:rPr>
        <w:t>现有工程污染物排放达标情况</w:t>
      </w:r>
    </w:p>
    <w:p w14:paraId="5424E3E8">
      <w:pPr>
        <w:rPr>
          <w:rFonts w:hint="eastAsia"/>
          <w:b/>
          <w:bCs/>
          <w:u w:val="single"/>
          <w:lang w:val="en-US" w:eastAsia="zh-CN"/>
        </w:rPr>
      </w:pPr>
      <w:r>
        <w:rPr>
          <w:rFonts w:hint="eastAsia"/>
          <w:b/>
          <w:bCs/>
          <w:u w:val="single"/>
          <w:lang w:val="en-US" w:eastAsia="zh-CN"/>
        </w:rPr>
        <w:t>废气</w:t>
      </w:r>
    </w:p>
    <w:p w14:paraId="223FB38D">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b/>
          <w:bCs/>
          <w:sz w:val="24"/>
          <w:u w:val="single"/>
          <w:lang w:val="en-US" w:eastAsia="zh-CN"/>
        </w:rPr>
      </w:pPr>
      <w:r>
        <w:rPr>
          <w:rFonts w:hint="eastAsia"/>
          <w:b/>
          <w:bCs/>
          <w:sz w:val="24"/>
          <w:u w:val="single"/>
          <w:lang w:val="en-US" w:eastAsia="zh-CN"/>
        </w:rPr>
        <w:t>现有工程</w:t>
      </w:r>
      <w:r>
        <w:rPr>
          <w:rFonts w:hint="eastAsia" w:ascii="Times New Roman" w:hAnsi="Times New Roman"/>
          <w:b/>
          <w:bCs/>
          <w:sz w:val="24"/>
          <w:u w:val="single"/>
        </w:rPr>
        <w:t>已建项目锅炉1#、2#</w:t>
      </w:r>
      <w:r>
        <w:rPr>
          <w:rFonts w:hint="eastAsia" w:ascii="Times New Roman" w:hAnsi="Times New Roman"/>
          <w:b/>
          <w:bCs/>
          <w:sz w:val="24"/>
          <w:u w:val="single"/>
          <w:lang w:eastAsia="zh-CN"/>
        </w:rPr>
        <w:t>、</w:t>
      </w:r>
      <w:r>
        <w:rPr>
          <w:rFonts w:hint="eastAsia" w:ascii="Times New Roman" w:hAnsi="Times New Roman"/>
          <w:b/>
          <w:bCs/>
          <w:sz w:val="24"/>
          <w:u w:val="single"/>
          <w:lang w:val="en-US" w:eastAsia="zh-CN"/>
        </w:rPr>
        <w:t>3#</w:t>
      </w:r>
      <w:r>
        <w:rPr>
          <w:rFonts w:hint="eastAsia" w:ascii="Times New Roman" w:hAnsi="Times New Roman"/>
          <w:b/>
          <w:bCs/>
          <w:sz w:val="24"/>
          <w:u w:val="single"/>
        </w:rPr>
        <w:t>75t/h煤粉炉</w:t>
      </w:r>
      <w:r>
        <w:rPr>
          <w:rFonts w:hint="eastAsia"/>
          <w:b/>
          <w:bCs/>
          <w:sz w:val="24"/>
          <w:u w:val="single"/>
          <w:lang w:val="en-US" w:eastAsia="zh-CN"/>
        </w:rPr>
        <w:t>废气污染物排放能够满足</w:t>
      </w:r>
      <w:r>
        <w:rPr>
          <w:rFonts w:hint="default" w:ascii="Times New Roman" w:hAnsi="Times New Roman" w:cs="Times New Roman"/>
          <w:b/>
          <w:bCs/>
          <w:sz w:val="24"/>
          <w:u w:val="single"/>
          <w:lang w:val="en-US" w:eastAsia="zh-CN"/>
        </w:rPr>
        <w:t>《燃煤电厂大气污染物排放标准》（DB41/1424—2017）颗粒物10mg/m</w:t>
      </w:r>
      <w:r>
        <w:rPr>
          <w:rFonts w:hint="default" w:ascii="Times New Roman" w:hAnsi="Times New Roman" w:cs="Times New Roman"/>
          <w:b/>
          <w:bCs/>
          <w:sz w:val="24"/>
          <w:u w:val="single"/>
          <w:vertAlign w:val="superscript"/>
          <w:lang w:val="en-US" w:eastAsia="zh-CN"/>
        </w:rPr>
        <w:t>3</w:t>
      </w:r>
      <w:r>
        <w:rPr>
          <w:rFonts w:hint="default" w:ascii="Times New Roman" w:hAnsi="Times New Roman" w:cs="Times New Roman"/>
          <w:b/>
          <w:bCs/>
          <w:sz w:val="24"/>
          <w:u w:val="single"/>
          <w:lang w:val="en-US" w:eastAsia="zh-CN"/>
        </w:rPr>
        <w:t>、SO</w:t>
      </w:r>
      <w:r>
        <w:rPr>
          <w:rFonts w:hint="default" w:ascii="Times New Roman" w:hAnsi="Times New Roman" w:cs="Times New Roman"/>
          <w:b/>
          <w:bCs/>
          <w:sz w:val="24"/>
          <w:u w:val="single"/>
          <w:vertAlign w:val="subscript"/>
          <w:lang w:val="en-US" w:eastAsia="zh-CN"/>
        </w:rPr>
        <w:t>2</w:t>
      </w:r>
      <w:r>
        <w:rPr>
          <w:rFonts w:hint="default" w:ascii="Times New Roman" w:hAnsi="Times New Roman" w:cs="Times New Roman"/>
          <w:b/>
          <w:bCs/>
          <w:sz w:val="24"/>
          <w:u w:val="single"/>
          <w:lang w:val="en-US" w:eastAsia="zh-CN"/>
        </w:rPr>
        <w:t xml:space="preserve"> 35mg/m</w:t>
      </w:r>
      <w:r>
        <w:rPr>
          <w:rFonts w:hint="default" w:ascii="Times New Roman" w:hAnsi="Times New Roman" w:cs="Times New Roman"/>
          <w:b/>
          <w:bCs/>
          <w:sz w:val="24"/>
          <w:u w:val="single"/>
          <w:vertAlign w:val="superscript"/>
          <w:lang w:val="en-US" w:eastAsia="zh-CN"/>
        </w:rPr>
        <w:t>3</w:t>
      </w:r>
      <w:r>
        <w:rPr>
          <w:rFonts w:hint="default" w:ascii="Times New Roman" w:hAnsi="Times New Roman" w:cs="Times New Roman"/>
          <w:b/>
          <w:bCs/>
          <w:sz w:val="24"/>
          <w:u w:val="single"/>
          <w:lang w:val="en-US" w:eastAsia="zh-CN"/>
        </w:rPr>
        <w:t>、NO</w:t>
      </w:r>
      <w:r>
        <w:rPr>
          <w:rFonts w:hint="default" w:ascii="Times New Roman" w:hAnsi="Times New Roman" w:cs="Times New Roman"/>
          <w:b/>
          <w:bCs/>
          <w:sz w:val="24"/>
          <w:u w:val="single"/>
          <w:vertAlign w:val="subscript"/>
          <w:lang w:val="en-US" w:eastAsia="zh-CN"/>
        </w:rPr>
        <w:t>X</w:t>
      </w:r>
      <w:r>
        <w:rPr>
          <w:rFonts w:hint="default" w:ascii="Times New Roman" w:hAnsi="Times New Roman" w:cs="Times New Roman"/>
          <w:b/>
          <w:bCs/>
          <w:sz w:val="24"/>
          <w:u w:val="single"/>
          <w:lang w:val="en-US" w:eastAsia="zh-CN"/>
        </w:rPr>
        <w:t>50mg/m</w:t>
      </w:r>
      <w:r>
        <w:rPr>
          <w:rFonts w:hint="default" w:ascii="Times New Roman" w:hAnsi="Times New Roman" w:cs="Times New Roman"/>
          <w:b/>
          <w:bCs/>
          <w:sz w:val="24"/>
          <w:u w:val="single"/>
          <w:vertAlign w:val="superscript"/>
          <w:lang w:val="en-US" w:eastAsia="zh-CN"/>
        </w:rPr>
        <w:t>3</w:t>
      </w:r>
      <w:r>
        <w:rPr>
          <w:rFonts w:hint="default" w:ascii="Times New Roman" w:hAnsi="Times New Roman" w:cs="Times New Roman"/>
          <w:b/>
          <w:bCs/>
          <w:sz w:val="24"/>
          <w:u w:val="single"/>
          <w:lang w:val="en-US" w:eastAsia="zh-CN"/>
        </w:rPr>
        <w:t>、汞及其化合物0.03mg/m</w:t>
      </w:r>
      <w:r>
        <w:rPr>
          <w:rFonts w:hint="default" w:ascii="Times New Roman" w:hAnsi="Times New Roman" w:cs="Times New Roman"/>
          <w:b/>
          <w:bCs/>
          <w:sz w:val="24"/>
          <w:u w:val="single"/>
          <w:vertAlign w:val="superscript"/>
          <w:lang w:val="en-US" w:eastAsia="zh-CN"/>
        </w:rPr>
        <w:t>3</w:t>
      </w:r>
      <w:r>
        <w:rPr>
          <w:rFonts w:hint="eastAsia" w:ascii="Times New Roman" w:hAnsi="Times New Roman" w:cs="Times New Roman"/>
          <w:b/>
          <w:bCs/>
          <w:sz w:val="24"/>
          <w:u w:val="single"/>
          <w:vertAlign w:val="baseline"/>
          <w:lang w:val="en-US" w:eastAsia="zh-CN"/>
        </w:rPr>
        <w:t>及《锅炉大气污染物排放标准》（GB13271-2014）林格曼黑度1</w:t>
      </w:r>
      <w:r>
        <w:rPr>
          <w:rFonts w:hint="eastAsia" w:ascii="Times New Roman" w:hAnsi="Times New Roman" w:cs="Times New Roman"/>
          <w:b/>
          <w:bCs/>
          <w:sz w:val="24"/>
          <w:u w:val="single"/>
          <w:lang w:val="en-US" w:eastAsia="zh-CN"/>
        </w:rPr>
        <w:t>级</w:t>
      </w:r>
      <w:r>
        <w:rPr>
          <w:rFonts w:hint="default" w:ascii="Times New Roman" w:hAnsi="Times New Roman" w:cs="Times New Roman"/>
          <w:b/>
          <w:bCs/>
          <w:sz w:val="24"/>
          <w:u w:val="single"/>
          <w:lang w:val="en-US" w:eastAsia="zh-CN"/>
        </w:rPr>
        <w:t>的要求</w:t>
      </w:r>
      <w:r>
        <w:rPr>
          <w:rFonts w:hint="eastAsia" w:ascii="Times New Roman" w:hAnsi="Times New Roman" w:cs="Times New Roman"/>
          <w:b/>
          <w:bCs/>
          <w:sz w:val="24"/>
          <w:u w:val="single"/>
          <w:lang w:val="en-US" w:eastAsia="zh-CN"/>
        </w:rPr>
        <w:t>，</w:t>
      </w:r>
      <w:r>
        <w:rPr>
          <w:rFonts w:hint="eastAsia" w:ascii="Times New Roman" w:hAnsi="Times New Roman"/>
          <w:b/>
          <w:bCs/>
          <w:sz w:val="24"/>
          <w:u w:val="single"/>
        </w:rPr>
        <w:t>锅炉</w:t>
      </w:r>
      <w:r>
        <w:rPr>
          <w:rFonts w:hint="eastAsia" w:ascii="Times New Roman" w:hAnsi="Times New Roman"/>
          <w:b/>
          <w:bCs/>
          <w:sz w:val="24"/>
          <w:u w:val="single"/>
          <w:lang w:val="en-US" w:eastAsia="zh-CN"/>
        </w:rPr>
        <w:t>4</w:t>
      </w:r>
      <w:r>
        <w:rPr>
          <w:rFonts w:hint="eastAsia" w:ascii="Times New Roman" w:hAnsi="Times New Roman"/>
          <w:b/>
          <w:bCs/>
          <w:sz w:val="24"/>
          <w:u w:val="single"/>
        </w:rPr>
        <w:t>#、</w:t>
      </w:r>
      <w:r>
        <w:rPr>
          <w:rFonts w:hint="eastAsia" w:ascii="Times New Roman" w:hAnsi="Times New Roman"/>
          <w:b/>
          <w:bCs/>
          <w:sz w:val="24"/>
          <w:u w:val="single"/>
          <w:lang w:val="en-US" w:eastAsia="zh-CN"/>
        </w:rPr>
        <w:t>5</w:t>
      </w:r>
      <w:r>
        <w:rPr>
          <w:rFonts w:hint="eastAsia" w:ascii="Times New Roman" w:hAnsi="Times New Roman"/>
          <w:b/>
          <w:bCs/>
          <w:sz w:val="24"/>
          <w:u w:val="single"/>
        </w:rPr>
        <w:t>#</w:t>
      </w:r>
      <w:r>
        <w:rPr>
          <w:rFonts w:hint="eastAsia" w:ascii="Times New Roman" w:hAnsi="Times New Roman"/>
          <w:b/>
          <w:bCs/>
          <w:sz w:val="24"/>
          <w:u w:val="single"/>
          <w:lang w:val="en-US" w:eastAsia="zh-CN"/>
        </w:rPr>
        <w:t>170</w:t>
      </w:r>
      <w:r>
        <w:rPr>
          <w:rFonts w:hint="eastAsia" w:ascii="Times New Roman" w:hAnsi="Times New Roman"/>
          <w:b/>
          <w:bCs/>
          <w:sz w:val="24"/>
          <w:u w:val="single"/>
        </w:rPr>
        <w:t>t/h煤粉炉</w:t>
      </w:r>
      <w:r>
        <w:rPr>
          <w:rFonts w:hint="eastAsia"/>
          <w:b/>
          <w:bCs/>
          <w:sz w:val="24"/>
          <w:u w:val="single"/>
          <w:lang w:val="en-US" w:eastAsia="zh-CN"/>
        </w:rPr>
        <w:t>废气污染物排放能够满足</w:t>
      </w:r>
      <w:r>
        <w:rPr>
          <w:rFonts w:hint="default" w:ascii="Times New Roman" w:hAnsi="Times New Roman" w:cs="Times New Roman"/>
          <w:b/>
          <w:bCs/>
          <w:sz w:val="24"/>
          <w:u w:val="single"/>
          <w:lang w:val="en-US" w:eastAsia="zh-CN"/>
        </w:rPr>
        <w:t>《燃煤电厂大气污染物排放标准》（DB41/1424—2017）颗粒物10mg/m</w:t>
      </w:r>
      <w:r>
        <w:rPr>
          <w:rFonts w:hint="default" w:ascii="Times New Roman" w:hAnsi="Times New Roman" w:cs="Times New Roman"/>
          <w:b/>
          <w:bCs/>
          <w:sz w:val="24"/>
          <w:u w:val="single"/>
          <w:vertAlign w:val="superscript"/>
          <w:lang w:val="en-US" w:eastAsia="zh-CN"/>
        </w:rPr>
        <w:t>3</w:t>
      </w:r>
      <w:r>
        <w:rPr>
          <w:rFonts w:hint="default" w:ascii="Times New Roman" w:hAnsi="Times New Roman" w:cs="Times New Roman"/>
          <w:b/>
          <w:bCs/>
          <w:sz w:val="24"/>
          <w:u w:val="single"/>
          <w:lang w:val="en-US" w:eastAsia="zh-CN"/>
        </w:rPr>
        <w:t>、SO</w:t>
      </w:r>
      <w:r>
        <w:rPr>
          <w:rFonts w:hint="default" w:ascii="Times New Roman" w:hAnsi="Times New Roman" w:cs="Times New Roman"/>
          <w:b/>
          <w:bCs/>
          <w:sz w:val="24"/>
          <w:u w:val="single"/>
          <w:vertAlign w:val="subscript"/>
          <w:lang w:val="en-US" w:eastAsia="zh-CN"/>
        </w:rPr>
        <w:t>2</w:t>
      </w:r>
      <w:r>
        <w:rPr>
          <w:rFonts w:hint="default" w:ascii="Times New Roman" w:hAnsi="Times New Roman" w:cs="Times New Roman"/>
          <w:b/>
          <w:bCs/>
          <w:sz w:val="24"/>
          <w:u w:val="single"/>
          <w:lang w:val="en-US" w:eastAsia="zh-CN"/>
        </w:rPr>
        <w:t xml:space="preserve"> 35mg/m</w:t>
      </w:r>
      <w:r>
        <w:rPr>
          <w:rFonts w:hint="default" w:ascii="Times New Roman" w:hAnsi="Times New Roman" w:cs="Times New Roman"/>
          <w:b/>
          <w:bCs/>
          <w:sz w:val="24"/>
          <w:u w:val="single"/>
          <w:vertAlign w:val="superscript"/>
          <w:lang w:val="en-US" w:eastAsia="zh-CN"/>
        </w:rPr>
        <w:t>3</w:t>
      </w:r>
      <w:r>
        <w:rPr>
          <w:rFonts w:hint="default" w:ascii="Times New Roman" w:hAnsi="Times New Roman" w:cs="Times New Roman"/>
          <w:b/>
          <w:bCs/>
          <w:sz w:val="24"/>
          <w:u w:val="single"/>
          <w:lang w:val="en-US" w:eastAsia="zh-CN"/>
        </w:rPr>
        <w:t>、NO</w:t>
      </w:r>
      <w:r>
        <w:rPr>
          <w:rFonts w:hint="default" w:ascii="Times New Roman" w:hAnsi="Times New Roman" w:cs="Times New Roman"/>
          <w:b/>
          <w:bCs/>
          <w:sz w:val="24"/>
          <w:u w:val="single"/>
          <w:vertAlign w:val="subscript"/>
          <w:lang w:val="en-US" w:eastAsia="zh-CN"/>
        </w:rPr>
        <w:t>X</w:t>
      </w:r>
      <w:r>
        <w:rPr>
          <w:rFonts w:hint="default" w:ascii="Times New Roman" w:hAnsi="Times New Roman" w:cs="Times New Roman"/>
          <w:b/>
          <w:bCs/>
          <w:sz w:val="24"/>
          <w:u w:val="single"/>
          <w:lang w:val="en-US" w:eastAsia="zh-CN"/>
        </w:rPr>
        <w:t>50mg/m</w:t>
      </w:r>
      <w:r>
        <w:rPr>
          <w:rFonts w:hint="default" w:ascii="Times New Roman" w:hAnsi="Times New Roman" w:cs="Times New Roman"/>
          <w:b/>
          <w:bCs/>
          <w:sz w:val="24"/>
          <w:u w:val="single"/>
          <w:vertAlign w:val="superscript"/>
          <w:lang w:val="en-US" w:eastAsia="zh-CN"/>
        </w:rPr>
        <w:t>3</w:t>
      </w:r>
      <w:r>
        <w:rPr>
          <w:rFonts w:hint="default" w:ascii="Times New Roman" w:hAnsi="Times New Roman" w:cs="Times New Roman"/>
          <w:b/>
          <w:bCs/>
          <w:sz w:val="24"/>
          <w:u w:val="single"/>
          <w:lang w:val="en-US" w:eastAsia="zh-CN"/>
        </w:rPr>
        <w:t>、汞及其化合物0.03mg/m</w:t>
      </w:r>
      <w:r>
        <w:rPr>
          <w:rFonts w:hint="default" w:ascii="Times New Roman" w:hAnsi="Times New Roman" w:cs="Times New Roman"/>
          <w:b/>
          <w:bCs/>
          <w:sz w:val="24"/>
          <w:u w:val="single"/>
          <w:vertAlign w:val="superscript"/>
          <w:lang w:val="en-US" w:eastAsia="zh-CN"/>
        </w:rPr>
        <w:t>3</w:t>
      </w:r>
      <w:r>
        <w:rPr>
          <w:rFonts w:hint="eastAsia" w:ascii="Times New Roman" w:hAnsi="Times New Roman" w:cs="Times New Roman"/>
          <w:b/>
          <w:bCs/>
          <w:sz w:val="24"/>
          <w:u w:val="single"/>
          <w:vertAlign w:val="baseline"/>
          <w:lang w:val="en-US" w:eastAsia="zh-CN"/>
        </w:rPr>
        <w:t>及《锅炉大气污染物排放标准》（GB13271-2014）林格曼黑度1级</w:t>
      </w:r>
      <w:r>
        <w:rPr>
          <w:rFonts w:hint="default" w:ascii="Times New Roman" w:hAnsi="Times New Roman" w:cs="Times New Roman"/>
          <w:b/>
          <w:bCs/>
          <w:sz w:val="24"/>
          <w:u w:val="single"/>
          <w:lang w:val="en-US" w:eastAsia="zh-CN"/>
        </w:rPr>
        <w:t>的要求</w:t>
      </w:r>
      <w:r>
        <w:rPr>
          <w:rFonts w:hint="eastAsia" w:ascii="Times New Roman" w:hAnsi="Times New Roman" w:cs="Times New Roman"/>
          <w:b/>
          <w:bCs/>
          <w:sz w:val="24"/>
          <w:u w:val="single"/>
          <w:lang w:val="en-US" w:eastAsia="zh-CN"/>
        </w:rPr>
        <w:t>，其中颗粒物执行《新乡化纤股份有限公司新建2×170t/h蒸汽锅炉项目环境报告书》批复中限值5</w:t>
      </w:r>
      <w:r>
        <w:rPr>
          <w:rFonts w:hint="default" w:ascii="Times New Roman" w:hAnsi="Times New Roman" w:cs="Times New Roman"/>
          <w:b/>
          <w:bCs/>
          <w:sz w:val="24"/>
          <w:u w:val="single"/>
          <w:lang w:val="en-US" w:eastAsia="zh-CN"/>
        </w:rPr>
        <w:t>mg/m</w:t>
      </w:r>
      <w:r>
        <w:rPr>
          <w:rFonts w:hint="default" w:ascii="Times New Roman" w:hAnsi="Times New Roman" w:cs="Times New Roman"/>
          <w:b/>
          <w:bCs/>
          <w:sz w:val="24"/>
          <w:u w:val="single"/>
          <w:vertAlign w:val="superscript"/>
          <w:lang w:val="en-US" w:eastAsia="zh-CN"/>
        </w:rPr>
        <w:t>3</w:t>
      </w:r>
      <w:r>
        <w:rPr>
          <w:rFonts w:hint="eastAsia" w:ascii="Times New Roman" w:hAnsi="Times New Roman" w:cs="Times New Roman"/>
          <w:b/>
          <w:bCs/>
          <w:sz w:val="24"/>
          <w:u w:val="single"/>
          <w:lang w:val="en-US" w:eastAsia="zh-CN"/>
        </w:rPr>
        <w:t>更严要求</w:t>
      </w:r>
      <w:r>
        <w:rPr>
          <w:rFonts w:hint="eastAsia" w:ascii="Times New Roman" w:hAnsi="Times New Roman" w:eastAsia="宋体" w:cs="Times New Roman"/>
          <w:b/>
          <w:bCs/>
          <w:sz w:val="24"/>
          <w:u w:val="single"/>
          <w:lang w:val="en-US" w:eastAsia="zh-CN"/>
        </w:rPr>
        <w:t>；已建项目锅炉废气中氨能够满足新乡市建材行业、燃煤锅炉深度治理方案中氨≤8.0mg/m</w:t>
      </w:r>
      <w:r>
        <w:rPr>
          <w:rFonts w:hint="eastAsia" w:ascii="Times New Roman" w:hAnsi="Times New Roman" w:eastAsia="宋体" w:cs="Times New Roman"/>
          <w:b/>
          <w:bCs/>
          <w:sz w:val="24"/>
          <w:u w:val="single"/>
          <w:vertAlign w:val="superscript"/>
          <w:lang w:val="en-US" w:eastAsia="zh-CN"/>
        </w:rPr>
        <w:t>3</w:t>
      </w:r>
      <w:r>
        <w:rPr>
          <w:rFonts w:hint="eastAsia" w:ascii="Times New Roman" w:hAnsi="Times New Roman" w:eastAsia="宋体" w:cs="Times New Roman"/>
          <w:b/>
          <w:bCs/>
          <w:sz w:val="24"/>
          <w:u w:val="single"/>
          <w:lang w:val="en-US" w:eastAsia="zh-CN"/>
        </w:rPr>
        <w:t>的要求</w:t>
      </w:r>
      <w:r>
        <w:rPr>
          <w:rFonts w:hint="default" w:ascii="Times New Roman" w:hAnsi="Times New Roman" w:eastAsia="宋体" w:cs="Times New Roman"/>
          <w:b/>
          <w:bCs/>
          <w:sz w:val="24"/>
          <w:u w:val="single"/>
          <w:lang w:val="en-US" w:eastAsia="zh-CN"/>
        </w:rPr>
        <w:t>。</w:t>
      </w:r>
      <w:r>
        <w:rPr>
          <w:rFonts w:ascii="Times New Roman" w:hAnsi="Times New Roman"/>
          <w:b/>
          <w:bCs/>
          <w:sz w:val="24"/>
          <w:u w:val="single"/>
        </w:rPr>
        <w:t>粘胶长丝项目</w:t>
      </w:r>
      <w:r>
        <w:rPr>
          <w:rFonts w:hint="eastAsia" w:ascii="Times New Roman" w:hAnsi="Times New Roman"/>
          <w:b/>
          <w:bCs/>
          <w:sz w:val="24"/>
          <w:u w:val="single"/>
          <w:lang w:val="en-US" w:eastAsia="zh-CN"/>
        </w:rPr>
        <w:t>及</w:t>
      </w:r>
      <w:r>
        <w:rPr>
          <w:rFonts w:hint="eastAsia" w:ascii="Times New Roman" w:hAnsi="Times New Roman" w:eastAsia="宋体" w:cs="Times New Roman"/>
          <w:b/>
          <w:bCs/>
          <w:sz w:val="24"/>
          <w:u w:val="single"/>
          <w:lang w:val="en-US" w:eastAsia="zh-CN"/>
        </w:rPr>
        <w:t>生</w:t>
      </w:r>
      <w:r>
        <w:rPr>
          <w:rFonts w:ascii="Times New Roman" w:hAnsi="Times New Roman"/>
          <w:b/>
          <w:bCs/>
          <w:sz w:val="24"/>
          <w:u w:val="single"/>
        </w:rPr>
        <w:t>物质纤维素</w:t>
      </w:r>
      <w:r>
        <w:rPr>
          <w:rFonts w:hint="eastAsia" w:ascii="Times New Roman" w:hAnsi="Times New Roman"/>
          <w:b/>
          <w:bCs/>
          <w:sz w:val="24"/>
          <w:u w:val="single"/>
        </w:rPr>
        <w:t>项目</w:t>
      </w:r>
      <w:r>
        <w:rPr>
          <w:rFonts w:ascii="Times New Roman" w:hAnsi="Times New Roman"/>
          <w:b/>
          <w:bCs/>
          <w:sz w:val="24"/>
          <w:u w:val="single"/>
        </w:rPr>
        <w:t>废气</w:t>
      </w:r>
      <w:r>
        <w:rPr>
          <w:rFonts w:hint="eastAsia" w:ascii="Times New Roman" w:hAnsi="Times New Roman"/>
          <w:b/>
          <w:bCs/>
          <w:sz w:val="24"/>
          <w:u w:val="single"/>
          <w:lang w:val="en-US" w:eastAsia="zh-CN"/>
        </w:rPr>
        <w:t>污染物硫化氢、二硫化碳均能满</w:t>
      </w:r>
      <w:r>
        <w:rPr>
          <w:rFonts w:hint="eastAsia" w:ascii="Times New Roman" w:hAnsi="Times New Roman" w:eastAsia="宋体" w:cs="Times New Roman"/>
          <w:b/>
          <w:bCs/>
          <w:sz w:val="24"/>
          <w:u w:val="single"/>
          <w:lang w:val="en-US" w:eastAsia="zh-CN"/>
        </w:rPr>
        <w:t>足</w:t>
      </w:r>
      <w:r>
        <w:rPr>
          <w:rFonts w:hint="eastAsia" w:ascii="Times New Roman" w:hAnsi="Times New Roman"/>
          <w:b/>
          <w:bCs/>
          <w:sz w:val="24"/>
          <w:u w:val="single"/>
          <w:lang w:val="en-US" w:eastAsia="zh-CN"/>
        </w:rPr>
        <w:t>《</w:t>
      </w:r>
      <w:r>
        <w:rPr>
          <w:rFonts w:hint="eastAsia" w:ascii="Times New Roman" w:hAnsi="Times New Roman" w:eastAsia="宋体" w:cs="Times New Roman"/>
          <w:b/>
          <w:bCs/>
          <w:sz w:val="24"/>
          <w:u w:val="single"/>
          <w:lang w:val="en-US" w:eastAsia="zh-CN"/>
        </w:rPr>
        <w:t>恶臭污染物排放标准</w:t>
      </w:r>
      <w:r>
        <w:rPr>
          <w:rFonts w:hint="eastAsia" w:ascii="Times New Roman" w:hAnsi="Times New Roman"/>
          <w:b/>
          <w:bCs/>
          <w:sz w:val="24"/>
          <w:u w:val="single"/>
          <w:lang w:val="en-US" w:eastAsia="zh-CN"/>
        </w:rPr>
        <w:t>》（</w:t>
      </w:r>
      <w:r>
        <w:rPr>
          <w:rFonts w:hint="eastAsia" w:ascii="Times New Roman" w:hAnsi="Times New Roman" w:eastAsia="宋体" w:cs="Times New Roman"/>
          <w:b/>
          <w:bCs/>
          <w:sz w:val="24"/>
          <w:u w:val="single"/>
          <w:lang w:val="en-US" w:eastAsia="zh-CN"/>
        </w:rPr>
        <w:t>GB 14554-93</w:t>
      </w:r>
      <w:r>
        <w:rPr>
          <w:rFonts w:hint="eastAsia" w:ascii="Times New Roman" w:hAnsi="Times New Roman"/>
          <w:b/>
          <w:bCs/>
          <w:sz w:val="24"/>
          <w:u w:val="single"/>
          <w:lang w:val="en-US" w:eastAsia="zh-CN"/>
        </w:rPr>
        <w:t>）</w:t>
      </w:r>
      <w:r>
        <w:rPr>
          <w:rFonts w:hint="eastAsia" w:ascii="Times New Roman" w:hAnsi="Times New Roman" w:eastAsia="宋体" w:cs="Times New Roman"/>
          <w:b/>
          <w:bCs/>
          <w:sz w:val="24"/>
          <w:u w:val="single"/>
          <w:lang w:val="en-US" w:eastAsia="zh-CN"/>
        </w:rPr>
        <w:t>许可排放速率硫化氢21kg/h、二硫化碳97kg/h，</w:t>
      </w:r>
      <w:r>
        <w:rPr>
          <w:rFonts w:hint="eastAsia" w:ascii="Times New Roman" w:hAnsi="Times New Roman"/>
          <w:b/>
          <w:bCs/>
          <w:sz w:val="24"/>
          <w:u w:val="single"/>
          <w:lang w:val="en-US" w:eastAsia="zh-CN"/>
        </w:rPr>
        <w:t>非甲烷总烃</w:t>
      </w:r>
      <w:r>
        <w:rPr>
          <w:rFonts w:ascii="Times New Roman" w:hAnsi="Times New Roman"/>
          <w:b/>
          <w:bCs/>
          <w:sz w:val="24"/>
          <w:u w:val="single"/>
        </w:rPr>
        <w:t>均</w:t>
      </w:r>
      <w:r>
        <w:rPr>
          <w:rFonts w:hint="eastAsia" w:ascii="Times New Roman" w:hAnsi="Times New Roman"/>
          <w:b/>
          <w:bCs/>
          <w:sz w:val="24"/>
          <w:u w:val="single"/>
          <w:lang w:val="en-US" w:eastAsia="zh-CN"/>
        </w:rPr>
        <w:t>能满足豫环攻坚办（2017）162号《关于全省开展工业企业挥发性有机物专项治理工作中排放建议值的通知》许可排放浓度80mg/m</w:t>
      </w:r>
      <w:r>
        <w:rPr>
          <w:rFonts w:hint="eastAsia" w:ascii="Times New Roman" w:hAnsi="Times New Roman"/>
          <w:b/>
          <w:bCs/>
          <w:sz w:val="24"/>
          <w:u w:val="single"/>
          <w:vertAlign w:val="superscript"/>
          <w:lang w:val="en-US" w:eastAsia="zh-CN"/>
        </w:rPr>
        <w:t>3</w:t>
      </w:r>
      <w:r>
        <w:rPr>
          <w:rFonts w:hint="eastAsia" w:ascii="Times New Roman" w:hAnsi="Times New Roman"/>
          <w:b/>
          <w:bCs/>
          <w:sz w:val="24"/>
          <w:u w:val="single"/>
          <w:vertAlign w:val="baseline"/>
          <w:lang w:val="en-US" w:eastAsia="zh-CN"/>
        </w:rPr>
        <w:t>；</w:t>
      </w:r>
      <w:r>
        <w:rPr>
          <w:rFonts w:ascii="Times New Roman" w:hAnsi="Times New Roman"/>
          <w:b/>
          <w:bCs/>
          <w:sz w:val="24"/>
          <w:u w:val="single"/>
        </w:rPr>
        <w:t>氨纶项目废气</w:t>
      </w:r>
      <w:r>
        <w:rPr>
          <w:rFonts w:hint="eastAsia" w:ascii="Times New Roman" w:hAnsi="Times New Roman"/>
          <w:b/>
          <w:bCs/>
          <w:sz w:val="24"/>
          <w:u w:val="single"/>
          <w:lang w:val="en-US" w:eastAsia="zh-CN"/>
        </w:rPr>
        <w:t>非甲烷总烃</w:t>
      </w:r>
      <w:r>
        <w:rPr>
          <w:rFonts w:ascii="Times New Roman" w:hAnsi="Times New Roman"/>
          <w:b/>
          <w:bCs/>
          <w:sz w:val="24"/>
          <w:u w:val="single"/>
        </w:rPr>
        <w:t>均</w:t>
      </w:r>
      <w:r>
        <w:rPr>
          <w:rFonts w:hint="eastAsia" w:ascii="Times New Roman" w:hAnsi="Times New Roman"/>
          <w:b/>
          <w:bCs/>
          <w:sz w:val="24"/>
          <w:u w:val="single"/>
          <w:lang w:val="en-US" w:eastAsia="zh-CN"/>
        </w:rPr>
        <w:t>能满足豫环攻坚办（2017）162号《关于全省开展工业企业挥发性有机物专项治理工作中排放建议值的通知》许可排放浓度80mg/m</w:t>
      </w:r>
      <w:r>
        <w:rPr>
          <w:rFonts w:hint="eastAsia" w:ascii="Times New Roman" w:hAnsi="Times New Roman"/>
          <w:b/>
          <w:bCs/>
          <w:sz w:val="24"/>
          <w:u w:val="single"/>
          <w:vertAlign w:val="superscript"/>
          <w:lang w:val="en-US" w:eastAsia="zh-CN"/>
        </w:rPr>
        <w:t>3</w:t>
      </w:r>
      <w:r>
        <w:rPr>
          <w:rFonts w:hint="eastAsia" w:ascii="Times New Roman" w:hAnsi="Times New Roman"/>
          <w:b/>
          <w:bCs/>
          <w:sz w:val="24"/>
          <w:u w:val="single"/>
          <w:vertAlign w:val="baseline"/>
          <w:lang w:val="en-US" w:eastAsia="zh-CN"/>
        </w:rPr>
        <w:t>，破碎系统及灰库等辅助设施颗粒物均能满足新乡市生态环境局2020年7月31日印发《关于进一步规范工业企业颗粒物排放限制的通知》颗粒物10</w:t>
      </w:r>
      <w:r>
        <w:rPr>
          <w:rFonts w:hint="eastAsia" w:ascii="Times New Roman" w:hAnsi="Times New Roman"/>
          <w:b/>
          <w:bCs/>
          <w:sz w:val="24"/>
          <w:u w:val="single"/>
          <w:lang w:val="en-US" w:eastAsia="zh-CN"/>
        </w:rPr>
        <w:t>mg/m</w:t>
      </w:r>
      <w:r>
        <w:rPr>
          <w:rFonts w:hint="eastAsia" w:ascii="Times New Roman" w:hAnsi="Times New Roman"/>
          <w:b/>
          <w:bCs/>
          <w:sz w:val="24"/>
          <w:u w:val="single"/>
          <w:vertAlign w:val="superscript"/>
          <w:lang w:val="en-US" w:eastAsia="zh-CN"/>
        </w:rPr>
        <w:t>3</w:t>
      </w:r>
      <w:r>
        <w:rPr>
          <w:rFonts w:hint="eastAsia" w:ascii="Times New Roman" w:hAnsi="Times New Roman"/>
          <w:b/>
          <w:bCs/>
          <w:sz w:val="24"/>
          <w:u w:val="single"/>
          <w:vertAlign w:val="baseline"/>
          <w:lang w:val="en-US" w:eastAsia="zh-CN"/>
        </w:rPr>
        <w:t>排放标准</w:t>
      </w:r>
      <w:r>
        <w:rPr>
          <w:rFonts w:hint="eastAsia" w:ascii="Times New Roman" w:hAnsi="Times New Roman"/>
          <w:b/>
          <w:bCs/>
          <w:sz w:val="24"/>
          <w:u w:val="single"/>
          <w:lang w:val="en-US" w:eastAsia="zh-CN"/>
        </w:rPr>
        <w:t>；污水处理站</w:t>
      </w:r>
      <w:r>
        <w:rPr>
          <w:rFonts w:ascii="Times New Roman" w:hAnsi="Times New Roman"/>
          <w:b/>
          <w:bCs/>
          <w:sz w:val="24"/>
          <w:u w:val="single"/>
        </w:rPr>
        <w:t>废气</w:t>
      </w:r>
      <w:r>
        <w:rPr>
          <w:rFonts w:hint="eastAsia" w:ascii="Times New Roman" w:hAnsi="Times New Roman"/>
          <w:b/>
          <w:bCs/>
          <w:sz w:val="24"/>
          <w:u w:val="single"/>
          <w:lang w:val="en-US" w:eastAsia="zh-CN"/>
        </w:rPr>
        <w:t>污染物硫化氢、氨均能满</w:t>
      </w:r>
      <w:r>
        <w:rPr>
          <w:rFonts w:hint="eastAsia" w:ascii="Times New Roman" w:hAnsi="Times New Roman" w:eastAsia="宋体" w:cs="Times New Roman"/>
          <w:b/>
          <w:bCs/>
          <w:sz w:val="24"/>
          <w:u w:val="single"/>
          <w:lang w:val="en-US" w:eastAsia="zh-CN"/>
        </w:rPr>
        <w:t>足</w:t>
      </w:r>
      <w:r>
        <w:rPr>
          <w:rFonts w:hint="eastAsia" w:ascii="Times New Roman" w:hAnsi="Times New Roman"/>
          <w:b/>
          <w:bCs/>
          <w:sz w:val="24"/>
          <w:u w:val="single"/>
          <w:lang w:val="en-US" w:eastAsia="zh-CN"/>
        </w:rPr>
        <w:t>《</w:t>
      </w:r>
      <w:r>
        <w:rPr>
          <w:rFonts w:hint="eastAsia" w:ascii="Times New Roman" w:hAnsi="Times New Roman" w:eastAsia="宋体" w:cs="Times New Roman"/>
          <w:b/>
          <w:bCs/>
          <w:sz w:val="24"/>
          <w:u w:val="single"/>
          <w:lang w:val="en-US" w:eastAsia="zh-CN"/>
        </w:rPr>
        <w:t>恶臭污染物排放标准</w:t>
      </w:r>
      <w:r>
        <w:rPr>
          <w:rFonts w:hint="eastAsia" w:ascii="Times New Roman" w:hAnsi="Times New Roman"/>
          <w:b/>
          <w:bCs/>
          <w:sz w:val="24"/>
          <w:u w:val="single"/>
          <w:lang w:val="en-US" w:eastAsia="zh-CN"/>
        </w:rPr>
        <w:t>》（</w:t>
      </w:r>
      <w:r>
        <w:rPr>
          <w:rFonts w:hint="eastAsia" w:ascii="Times New Roman" w:hAnsi="Times New Roman" w:eastAsia="宋体" w:cs="Times New Roman"/>
          <w:b/>
          <w:bCs/>
          <w:sz w:val="24"/>
          <w:u w:val="single"/>
          <w:lang w:val="en-US" w:eastAsia="zh-CN"/>
        </w:rPr>
        <w:t>GB 14554-93</w:t>
      </w:r>
      <w:r>
        <w:rPr>
          <w:rFonts w:hint="eastAsia" w:ascii="Times New Roman" w:hAnsi="Times New Roman"/>
          <w:b/>
          <w:bCs/>
          <w:sz w:val="24"/>
          <w:u w:val="single"/>
          <w:lang w:val="en-US" w:eastAsia="zh-CN"/>
        </w:rPr>
        <w:t>）</w:t>
      </w:r>
      <w:r>
        <w:rPr>
          <w:rFonts w:hint="eastAsia" w:ascii="Times New Roman" w:hAnsi="Times New Roman" w:eastAsia="宋体" w:cs="Times New Roman"/>
          <w:b/>
          <w:bCs/>
          <w:sz w:val="24"/>
          <w:u w:val="single"/>
          <w:lang w:val="en-US" w:eastAsia="zh-CN"/>
        </w:rPr>
        <w:t>许可排放速率硫化氢0.33kg/h、氨4.9kg/h</w:t>
      </w:r>
      <w:r>
        <w:rPr>
          <w:rFonts w:ascii="Times New Roman" w:hAnsi="Times New Roman"/>
          <w:b/>
          <w:bCs/>
          <w:sz w:val="24"/>
          <w:u w:val="single"/>
        </w:rPr>
        <w:t>。</w:t>
      </w:r>
      <w:r>
        <w:rPr>
          <w:rFonts w:hint="eastAsia" w:ascii="Times New Roman" w:hAnsi="Times New Roman"/>
          <w:b/>
          <w:bCs/>
          <w:sz w:val="24"/>
          <w:u w:val="single"/>
          <w:lang w:val="en-US" w:eastAsia="zh-CN"/>
        </w:rPr>
        <w:t>污染物厂界浓度均能满足相应排放标准。</w:t>
      </w:r>
    </w:p>
    <w:p w14:paraId="2A06D5F4">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lang w:val="en-US" w:eastAsia="zh-CN"/>
        </w:rPr>
      </w:pPr>
      <w:r>
        <w:rPr>
          <w:rFonts w:hint="eastAsia" w:ascii="Times New Roman" w:hAnsi="Times New Roman" w:eastAsia="宋体" w:cs="Times New Roman"/>
          <w:b/>
          <w:bCs/>
          <w:sz w:val="24"/>
          <w:u w:val="single"/>
          <w:lang w:val="en-US" w:eastAsia="zh-CN"/>
        </w:rPr>
        <w:t>废水</w:t>
      </w:r>
    </w:p>
    <w:p w14:paraId="6B43879E">
      <w:pPr>
        <w:rPr>
          <w:rFonts w:hint="eastAsia"/>
          <w:b/>
          <w:bCs w:val="0"/>
          <w:u w:val="single"/>
        </w:rPr>
      </w:pPr>
      <w:r>
        <w:rPr>
          <w:rFonts w:hint="eastAsia"/>
          <w:b/>
          <w:bCs w:val="0"/>
          <w:szCs w:val="20"/>
          <w:u w:val="single"/>
          <w:lang w:val="en-US" w:eastAsia="zh-CN"/>
        </w:rPr>
        <w:t>现有工程废水</w:t>
      </w:r>
      <w:r>
        <w:rPr>
          <w:rFonts w:hint="eastAsia"/>
          <w:b/>
          <w:bCs w:val="0"/>
          <w:u w:val="single"/>
        </w:rPr>
        <w:t>总排口污染物COD、NH</w:t>
      </w:r>
      <w:r>
        <w:rPr>
          <w:rFonts w:hint="eastAsia"/>
          <w:b/>
          <w:bCs w:val="0"/>
          <w:u w:val="single"/>
          <w:vertAlign w:val="subscript"/>
        </w:rPr>
        <w:t>3</w:t>
      </w:r>
      <w:r>
        <w:rPr>
          <w:rFonts w:hint="eastAsia"/>
          <w:b/>
          <w:bCs w:val="0"/>
          <w:u w:val="single"/>
        </w:rPr>
        <w:t>-N、TN、TP</w:t>
      </w:r>
      <w:r>
        <w:rPr>
          <w:rFonts w:hint="eastAsia"/>
          <w:b/>
          <w:bCs w:val="0"/>
          <w:u w:val="single"/>
          <w:lang w:eastAsia="zh-CN"/>
        </w:rPr>
        <w:t>、</w:t>
      </w:r>
      <w:r>
        <w:rPr>
          <w:rFonts w:hint="eastAsia"/>
          <w:b/>
          <w:bCs w:val="0"/>
          <w:u w:val="single"/>
        </w:rPr>
        <w:t>BOD</w:t>
      </w:r>
      <w:r>
        <w:rPr>
          <w:rFonts w:hint="eastAsia"/>
          <w:b/>
          <w:bCs w:val="0"/>
          <w:u w:val="single"/>
          <w:vertAlign w:val="subscript"/>
        </w:rPr>
        <w:t>5</w:t>
      </w:r>
      <w:r>
        <w:rPr>
          <w:rFonts w:hint="eastAsia"/>
          <w:b/>
          <w:bCs w:val="0"/>
          <w:u w:val="single"/>
        </w:rPr>
        <w:t>、SS、硫化物、总锌</w:t>
      </w:r>
      <w:r>
        <w:rPr>
          <w:rFonts w:hint="eastAsia"/>
          <w:b/>
          <w:bCs w:val="0"/>
          <w:u w:val="single"/>
          <w:lang w:val="en-US" w:eastAsia="zh-CN"/>
        </w:rPr>
        <w:t>均能满足</w:t>
      </w:r>
      <w:r>
        <w:rPr>
          <w:rFonts w:hint="eastAsia"/>
          <w:b/>
          <w:bCs w:val="0"/>
          <w:u w:val="single"/>
        </w:rPr>
        <w:t>《污水综合排放标准》（GB8978-1996）表4二级（化纤浆粕工业）、小店污水处理厂收水标准及与小店污水处理厂收水协议：COD300mg/L、NH</w:t>
      </w:r>
      <w:r>
        <w:rPr>
          <w:rFonts w:hint="eastAsia"/>
          <w:b/>
          <w:bCs w:val="0"/>
          <w:u w:val="single"/>
          <w:vertAlign w:val="subscript"/>
        </w:rPr>
        <w:t>3</w:t>
      </w:r>
      <w:r>
        <w:rPr>
          <w:rFonts w:hint="eastAsia"/>
          <w:b/>
          <w:bCs w:val="0"/>
          <w:u w:val="single"/>
        </w:rPr>
        <w:t>-N15mg/L、TP1.0mg/L、TN40mg/L</w:t>
      </w:r>
      <w:r>
        <w:rPr>
          <w:rFonts w:hint="eastAsia"/>
          <w:b/>
          <w:bCs w:val="0"/>
          <w:u w:val="single"/>
          <w:lang w:eastAsia="zh-CN"/>
        </w:rPr>
        <w:t>、</w:t>
      </w:r>
      <w:r>
        <w:rPr>
          <w:rFonts w:ascii="Times New Roman" w:hAnsi="Times New Roman"/>
          <w:b/>
          <w:bCs w:val="0"/>
          <w:sz w:val="24"/>
          <w:szCs w:val="24"/>
          <w:u w:val="single"/>
        </w:rPr>
        <w:t>总锌5.0mg/L、</w:t>
      </w:r>
      <w:r>
        <w:rPr>
          <w:rFonts w:hint="eastAsia"/>
          <w:b/>
          <w:bCs w:val="0"/>
          <w:u w:val="single"/>
        </w:rPr>
        <w:t>SS 150mg/L和BOD</w:t>
      </w:r>
      <w:r>
        <w:rPr>
          <w:rFonts w:hint="eastAsia"/>
          <w:b/>
          <w:bCs w:val="0"/>
          <w:u w:val="single"/>
          <w:vertAlign w:val="subscript"/>
        </w:rPr>
        <w:t>5</w:t>
      </w:r>
      <w:r>
        <w:rPr>
          <w:rFonts w:hint="eastAsia"/>
          <w:b/>
          <w:bCs w:val="0"/>
          <w:u w:val="single"/>
        </w:rPr>
        <w:t xml:space="preserve"> 100mg/L的标准，同时满足排污许可证废水污染物最高允许排放浓度硫化物1.0mg/L的要求。</w:t>
      </w:r>
    </w:p>
    <w:p w14:paraId="59E5926C">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b/>
          <w:bCs/>
          <w:u w:val="single"/>
          <w:lang w:val="en-US" w:eastAsia="zh-CN"/>
        </w:rPr>
      </w:pPr>
      <w:r>
        <w:rPr>
          <w:rFonts w:hint="eastAsia"/>
          <w:b/>
          <w:bCs/>
          <w:u w:val="single"/>
          <w:lang w:val="en-US" w:eastAsia="zh-CN"/>
        </w:rPr>
        <w:t>噪声</w:t>
      </w:r>
    </w:p>
    <w:p w14:paraId="412ABD28">
      <w:pPr>
        <w:rPr>
          <w:rFonts w:hint="eastAsia"/>
          <w:b/>
          <w:bCs/>
          <w:u w:val="single"/>
          <w:lang w:val="en-US" w:eastAsia="zh-CN"/>
        </w:rPr>
      </w:pPr>
      <w:r>
        <w:rPr>
          <w:rFonts w:hint="eastAsia" w:ascii="Times New Roman" w:hAnsi="Times New Roman" w:cs="Times New Roman"/>
          <w:b/>
          <w:bCs/>
          <w:color w:val="auto"/>
          <w:highlight w:val="none"/>
          <w:u w:val="single"/>
        </w:rPr>
        <w:t>新乡化纤股份有限公司</w:t>
      </w:r>
      <w:r>
        <w:rPr>
          <w:rFonts w:ascii="Times New Roman" w:hAnsi="Times New Roman" w:cs="Times New Roman"/>
          <w:b/>
          <w:bCs/>
          <w:color w:val="auto"/>
          <w:highlight w:val="none"/>
          <w:u w:val="single"/>
        </w:rPr>
        <w:t>委托</w:t>
      </w:r>
      <w:r>
        <w:rPr>
          <w:rFonts w:hint="eastAsia" w:ascii="Times New Roman" w:hAnsi="Times New Roman" w:cs="Times New Roman"/>
          <w:b/>
          <w:bCs/>
          <w:color w:val="auto"/>
          <w:highlight w:val="none"/>
          <w:u w:val="single"/>
        </w:rPr>
        <w:t>洛阳市绿源环保技术有限公司</w:t>
      </w:r>
      <w:r>
        <w:rPr>
          <w:rFonts w:ascii="Times New Roman" w:hAnsi="Times New Roman" w:cs="Times New Roman"/>
          <w:b/>
          <w:bCs/>
          <w:color w:val="auto"/>
          <w:highlight w:val="none"/>
          <w:u w:val="single"/>
        </w:rPr>
        <w:t>202</w:t>
      </w:r>
      <w:r>
        <w:rPr>
          <w:rFonts w:hint="eastAsia" w:ascii="Times New Roman" w:hAnsi="Times New Roman" w:cs="Times New Roman"/>
          <w:b/>
          <w:bCs/>
          <w:color w:val="auto"/>
          <w:highlight w:val="none"/>
          <w:u w:val="single"/>
          <w:lang w:val="en-US" w:eastAsia="zh-CN"/>
        </w:rPr>
        <w:t>4</w:t>
      </w:r>
      <w:r>
        <w:rPr>
          <w:rFonts w:ascii="Times New Roman" w:hAnsi="Times New Roman" w:cs="Times New Roman"/>
          <w:b/>
          <w:bCs/>
          <w:color w:val="auto"/>
          <w:highlight w:val="none"/>
          <w:u w:val="single"/>
        </w:rPr>
        <w:t>年</w:t>
      </w:r>
      <w:r>
        <w:rPr>
          <w:rFonts w:hint="eastAsia" w:ascii="Times New Roman" w:hAnsi="Times New Roman" w:cs="Times New Roman"/>
          <w:b/>
          <w:bCs/>
          <w:color w:val="auto"/>
          <w:highlight w:val="none"/>
          <w:u w:val="single"/>
          <w:lang w:val="en-US" w:eastAsia="zh-CN"/>
        </w:rPr>
        <w:t>4</w:t>
      </w:r>
      <w:r>
        <w:rPr>
          <w:rFonts w:ascii="Times New Roman" w:hAnsi="Times New Roman" w:cs="Times New Roman"/>
          <w:b/>
          <w:bCs/>
          <w:color w:val="auto"/>
          <w:highlight w:val="none"/>
          <w:u w:val="single"/>
        </w:rPr>
        <w:t>月</w:t>
      </w:r>
      <w:r>
        <w:rPr>
          <w:rFonts w:hint="eastAsia" w:ascii="Times New Roman" w:hAnsi="Times New Roman" w:cs="Times New Roman"/>
          <w:b/>
          <w:bCs/>
          <w:color w:val="auto"/>
          <w:highlight w:val="none"/>
          <w:u w:val="single"/>
          <w:lang w:val="en-US" w:eastAsia="zh-CN"/>
        </w:rPr>
        <w:t>7-8</w:t>
      </w:r>
      <w:r>
        <w:rPr>
          <w:rFonts w:ascii="Times New Roman" w:hAnsi="Times New Roman" w:cs="Times New Roman"/>
          <w:b/>
          <w:bCs/>
          <w:color w:val="auto"/>
          <w:highlight w:val="none"/>
          <w:u w:val="single"/>
        </w:rPr>
        <w:t>日</w:t>
      </w:r>
      <w:r>
        <w:rPr>
          <w:b/>
          <w:bCs/>
          <w:color w:val="auto"/>
          <w:highlight w:val="none"/>
          <w:u w:val="single"/>
        </w:rPr>
        <w:t>对企业厂界噪声</w:t>
      </w:r>
      <w:r>
        <w:rPr>
          <w:rFonts w:hint="eastAsia"/>
          <w:b/>
          <w:bCs/>
          <w:color w:val="auto"/>
          <w:highlight w:val="none"/>
          <w:u w:val="single"/>
        </w:rPr>
        <w:t>现状</w:t>
      </w:r>
      <w:r>
        <w:rPr>
          <w:b/>
          <w:bCs/>
          <w:color w:val="auto"/>
          <w:highlight w:val="none"/>
          <w:u w:val="single"/>
        </w:rPr>
        <w:t>进行了监测。</w:t>
      </w:r>
      <w:r>
        <w:rPr>
          <w:rFonts w:hint="eastAsia"/>
          <w:b/>
          <w:bCs/>
          <w:color w:val="auto"/>
          <w:highlight w:val="none"/>
          <w:u w:val="single"/>
          <w:lang w:val="en-US" w:eastAsia="zh-CN"/>
        </w:rPr>
        <w:t>根据</w:t>
      </w:r>
      <w:r>
        <w:rPr>
          <w:rFonts w:hint="eastAsia"/>
          <w:b/>
          <w:bCs/>
          <w:color w:val="auto"/>
          <w:u w:val="single"/>
          <w:lang w:val="en-US" w:eastAsia="zh-CN"/>
        </w:rPr>
        <w:t>监测结果可知现有工程</w:t>
      </w:r>
      <w:r>
        <w:rPr>
          <w:b/>
          <w:bCs/>
          <w:color w:val="auto"/>
          <w:u w:val="single"/>
        </w:rPr>
        <w:t>声环境质量</w:t>
      </w:r>
      <w:r>
        <w:rPr>
          <w:rFonts w:hint="eastAsia"/>
          <w:b/>
          <w:bCs/>
          <w:color w:val="auto"/>
          <w:u w:val="single"/>
          <w:lang w:val="en-US" w:eastAsia="zh-CN"/>
        </w:rPr>
        <w:t>满足</w:t>
      </w:r>
      <w:r>
        <w:rPr>
          <w:b/>
          <w:bCs/>
          <w:color w:val="auto"/>
          <w:u w:val="single"/>
        </w:rPr>
        <w:t>《声环境质量标准》（GB3096-2008）3类标准，即昼间65dB(A)，夜间55dB(A)。</w:t>
      </w:r>
    </w:p>
    <w:p w14:paraId="2EA5F072">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b/>
          <w:bCs/>
          <w:u w:val="single"/>
          <w:lang w:val="en-US" w:eastAsia="zh-CN"/>
        </w:rPr>
      </w:pPr>
      <w:r>
        <w:rPr>
          <w:rFonts w:hint="eastAsia"/>
          <w:b/>
          <w:bCs/>
          <w:u w:val="single"/>
          <w:lang w:val="en-US" w:eastAsia="zh-CN"/>
        </w:rPr>
        <w:t>固废</w:t>
      </w:r>
    </w:p>
    <w:p w14:paraId="1D0DB8A1">
      <w:pPr>
        <w:rPr>
          <w:rFonts w:hint="eastAsia"/>
          <w:b/>
          <w:bCs/>
          <w:i w:val="0"/>
          <w:iCs w:val="0"/>
          <w:color w:val="auto"/>
          <w:u w:val="single"/>
          <w:lang w:val="en-US" w:eastAsia="zh-CN"/>
        </w:rPr>
      </w:pPr>
      <w:r>
        <w:rPr>
          <w:rFonts w:hint="eastAsia"/>
          <w:b/>
          <w:bCs/>
          <w:i w:val="0"/>
          <w:iCs w:val="0"/>
          <w:color w:val="auto"/>
          <w:u w:val="single"/>
          <w:lang w:val="en-US" w:eastAsia="zh-CN"/>
        </w:rPr>
        <w:t>一般固废：现有工程厂区内一般固废间按照</w:t>
      </w:r>
      <w:r>
        <w:rPr>
          <w:rFonts w:hint="eastAsia"/>
          <w:b/>
          <w:bCs/>
          <w:i w:val="0"/>
          <w:iCs w:val="0"/>
          <w:color w:val="auto"/>
          <w:u w:val="single"/>
        </w:rPr>
        <w:t>《一般工业固体废物贮存和填埋污染控制标准》（GB18599-2020）的相关要求进行建设，暂存间地面已硬化，并且有防渗、防风、防晒、防雨淋措施。</w:t>
      </w:r>
      <w:r>
        <w:rPr>
          <w:rFonts w:hint="eastAsia"/>
          <w:b/>
          <w:bCs/>
          <w:i w:val="0"/>
          <w:iCs w:val="0"/>
          <w:color w:val="auto"/>
          <w:u w:val="single"/>
          <w:lang w:val="en-US" w:eastAsia="zh-CN"/>
        </w:rPr>
        <w:t>一般固废定期回用或妥善处置。</w:t>
      </w:r>
    </w:p>
    <w:p w14:paraId="51CEF6DE">
      <w:pPr>
        <w:rPr>
          <w:rFonts w:hint="default"/>
          <w:b/>
          <w:bCs/>
          <w:i w:val="0"/>
          <w:iCs w:val="0"/>
          <w:color w:val="auto"/>
          <w:u w:val="single"/>
          <w:lang w:val="en-US" w:eastAsia="zh-CN"/>
        </w:rPr>
      </w:pPr>
      <w:r>
        <w:rPr>
          <w:rFonts w:hint="eastAsia"/>
          <w:b/>
          <w:bCs/>
          <w:i w:val="0"/>
          <w:iCs w:val="0"/>
          <w:color w:val="auto"/>
          <w:u w:val="single"/>
          <w:lang w:val="en-US" w:eastAsia="zh-CN"/>
        </w:rPr>
        <w:t>危险废物：现有工程厂区内危废暂存间地面已进行硬化防渗处理，并且有防风、防雨及防渗的“三防”措施；危险废物的贮存已严格按照《危险废物贮存污染控制标准》（GB 18597-2023）中相关规定进行；在危废的转移处置过程中，严格按照《中华人民共和国固体废物污染环境防治法》和《危险废物转移联单管理办法》有关规定执行。为了避免危险固废在厂区贮存过程中对环境的影响，现有工程已将其全部装入密闭容器中后临时存放于危废储存间内，定期送至有资质的危废处理单位（生产厂家）安全处置。</w:t>
      </w:r>
    </w:p>
    <w:p w14:paraId="6A14272C">
      <w:pPr>
        <w:rPr>
          <w:rFonts w:hint="eastAsia"/>
          <w:b/>
          <w:bCs/>
          <w:i w:val="0"/>
          <w:iCs w:val="0"/>
          <w:color w:val="auto"/>
          <w:u w:val="single"/>
          <w:lang w:val="en-US" w:eastAsia="zh-CN"/>
        </w:rPr>
      </w:pPr>
      <w:r>
        <w:rPr>
          <w:rFonts w:hint="eastAsia"/>
          <w:b/>
          <w:bCs/>
          <w:i w:val="0"/>
          <w:iCs w:val="0"/>
          <w:color w:val="auto"/>
          <w:u w:val="single"/>
          <w:lang w:val="en-US" w:eastAsia="zh-CN"/>
        </w:rPr>
        <w:t>现有工程固废均能实现综合利用和安全处置。</w:t>
      </w:r>
    </w:p>
    <w:p w14:paraId="33335844">
      <w:pPr>
        <w:pStyle w:val="5"/>
        <w:bidi w:val="0"/>
        <w:rPr>
          <w:color w:val="auto"/>
        </w:rPr>
      </w:pPr>
      <w:r>
        <w:rPr>
          <w:color w:val="auto"/>
        </w:rPr>
        <w:t>环境影响预测及评价结论</w:t>
      </w:r>
      <w:bookmarkEnd w:id="355"/>
    </w:p>
    <w:p w14:paraId="626EFC0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val="0"/>
          <w:bCs w:val="0"/>
          <w:color w:val="auto"/>
          <w:highlight w:val="none"/>
          <w:u w:val="none"/>
          <w:lang w:val="en-US" w:eastAsia="zh-CN"/>
        </w:rPr>
      </w:pPr>
      <w:r>
        <w:rPr>
          <w:rFonts w:hint="eastAsia"/>
          <w:color w:val="auto"/>
        </w:rPr>
        <w:t>（1）</w:t>
      </w:r>
      <w:r>
        <w:rPr>
          <w:color w:val="auto"/>
        </w:rPr>
        <w:t>大气环境影响评价结论</w:t>
      </w:r>
    </w:p>
    <w:p w14:paraId="44E99AF5">
      <w:pPr>
        <w:bidi w:val="0"/>
        <w:ind w:firstLine="482" w:firstLineChars="200"/>
        <w:rPr>
          <w:b/>
          <w:bCs/>
          <w:spacing w:val="-12"/>
          <w:u w:val="single"/>
        </w:rPr>
      </w:pPr>
      <w:r>
        <w:rPr>
          <w:rFonts w:hint="eastAsia"/>
          <w:b/>
          <w:bCs/>
          <w:color w:val="auto"/>
          <w:u w:val="single"/>
          <w:lang w:val="en-US" w:eastAsia="zh-CN"/>
        </w:rPr>
        <w:t>本项目新增污染源：排气筒DA029颗粒物的</w:t>
      </w:r>
      <w:r>
        <w:rPr>
          <w:b/>
          <w:bCs/>
          <w:color w:val="auto"/>
          <w:u w:val="single"/>
        </w:rPr>
        <w:t>Pmax=</w:t>
      </w:r>
      <w:r>
        <w:rPr>
          <w:rFonts w:hint="eastAsia"/>
          <w:b/>
          <w:bCs/>
          <w:color w:val="auto"/>
          <w:u w:val="single"/>
          <w:lang w:val="en-US" w:eastAsia="zh-CN"/>
        </w:rPr>
        <w:t>0.31</w:t>
      </w:r>
      <w:r>
        <w:rPr>
          <w:b/>
          <w:bCs/>
          <w:color w:val="auto"/>
          <w:u w:val="single"/>
        </w:rPr>
        <w:t>%</w:t>
      </w:r>
      <w:r>
        <w:rPr>
          <w:rFonts w:hint="eastAsia"/>
          <w:b/>
          <w:bCs/>
          <w:color w:val="auto"/>
          <w:u w:val="single"/>
        </w:rPr>
        <w:t>，</w:t>
      </w:r>
      <w:r>
        <w:rPr>
          <w:b/>
          <w:bCs/>
          <w:color w:val="auto"/>
          <w:u w:val="single"/>
        </w:rPr>
        <w:t>Pmax&lt;</w:t>
      </w:r>
      <w:r>
        <w:rPr>
          <w:rFonts w:hint="eastAsia"/>
          <w:b/>
          <w:bCs/>
          <w:color w:val="auto"/>
          <w:u w:val="single"/>
        </w:rPr>
        <w:t>1</w:t>
      </w:r>
      <w:r>
        <w:rPr>
          <w:b/>
          <w:bCs/>
          <w:color w:val="auto"/>
          <w:u w:val="single"/>
        </w:rPr>
        <w:t>%。</w:t>
      </w:r>
      <w:r>
        <w:rPr>
          <w:rFonts w:hint="eastAsia"/>
          <w:b/>
          <w:bCs/>
          <w:color w:val="auto"/>
          <w:u w:val="single"/>
          <w:lang w:val="en-US" w:eastAsia="zh-CN"/>
        </w:rPr>
        <w:t>排气筒DA030的非甲烷总烃</w:t>
      </w:r>
      <w:r>
        <w:rPr>
          <w:rFonts w:hint="eastAsia"/>
          <w:b/>
          <w:bCs/>
          <w:color w:val="auto"/>
          <w:u w:val="single"/>
        </w:rPr>
        <w:t>的Pmax=</w:t>
      </w:r>
      <w:r>
        <w:rPr>
          <w:rFonts w:hint="eastAsia"/>
          <w:b/>
          <w:bCs/>
          <w:color w:val="auto"/>
          <w:u w:val="single"/>
          <w:lang w:val="en-US" w:eastAsia="zh-CN"/>
        </w:rPr>
        <w:t>0.04</w:t>
      </w:r>
      <w:r>
        <w:rPr>
          <w:rFonts w:hint="eastAsia"/>
          <w:b/>
          <w:bCs/>
          <w:color w:val="auto"/>
          <w:u w:val="single"/>
        </w:rPr>
        <w:t>%，Pmax&lt;1%</w:t>
      </w:r>
      <w:r>
        <w:rPr>
          <w:rFonts w:hint="eastAsia"/>
          <w:b/>
          <w:bCs/>
          <w:color w:val="auto"/>
          <w:u w:val="single"/>
          <w:lang w:eastAsia="zh-CN"/>
        </w:rPr>
        <w:t>，</w:t>
      </w:r>
      <w:r>
        <w:rPr>
          <w:rFonts w:hint="eastAsia"/>
          <w:b/>
          <w:bCs/>
          <w:color w:val="auto"/>
          <w:u w:val="single"/>
          <w:lang w:val="en-US" w:eastAsia="zh-CN"/>
        </w:rPr>
        <w:t>无组织非甲烷总烃</w:t>
      </w:r>
      <w:r>
        <w:rPr>
          <w:rFonts w:hint="eastAsia"/>
          <w:b/>
          <w:bCs/>
          <w:color w:val="auto"/>
          <w:u w:val="single"/>
        </w:rPr>
        <w:t>的Pmax=</w:t>
      </w:r>
      <w:r>
        <w:rPr>
          <w:rFonts w:hint="eastAsia"/>
          <w:b/>
          <w:bCs/>
          <w:color w:val="auto"/>
          <w:u w:val="single"/>
          <w:lang w:val="en-US" w:eastAsia="zh-CN"/>
        </w:rPr>
        <w:t>0.41</w:t>
      </w:r>
      <w:r>
        <w:rPr>
          <w:rFonts w:hint="eastAsia"/>
          <w:b/>
          <w:bCs/>
          <w:color w:val="auto"/>
          <w:u w:val="single"/>
        </w:rPr>
        <w:t>%，Pmax&lt;1%</w:t>
      </w:r>
      <w:r>
        <w:rPr>
          <w:rFonts w:hint="eastAsia"/>
          <w:b/>
          <w:bCs/>
          <w:color w:val="auto"/>
          <w:u w:val="single"/>
          <w:lang w:eastAsia="zh-CN"/>
        </w:rPr>
        <w:t>。</w:t>
      </w:r>
      <w:r>
        <w:rPr>
          <w:b/>
          <w:bCs/>
          <w:spacing w:val="-12"/>
          <w:u w:val="single"/>
        </w:rPr>
        <w:t>本工程大气评价等级为</w:t>
      </w:r>
      <w:r>
        <w:rPr>
          <w:rFonts w:hint="eastAsia"/>
          <w:b/>
          <w:bCs/>
          <w:spacing w:val="-12"/>
          <w:u w:val="single"/>
          <w:lang w:val="en-US" w:eastAsia="zh-CN"/>
        </w:rPr>
        <w:t>三</w:t>
      </w:r>
      <w:r>
        <w:rPr>
          <w:b/>
          <w:bCs/>
          <w:spacing w:val="-12"/>
          <w:u w:val="single"/>
        </w:rPr>
        <w:t>级。</w:t>
      </w:r>
    </w:p>
    <w:p w14:paraId="58E54DA2">
      <w:pPr>
        <w:bidi w:val="0"/>
        <w:ind w:firstLine="482" w:firstLineChars="200"/>
        <w:rPr>
          <w:rFonts w:hint="eastAsia"/>
          <w:b/>
          <w:bCs/>
          <w:u w:val="single"/>
          <w:lang w:eastAsia="zh-CN"/>
        </w:rPr>
      </w:pPr>
      <w:r>
        <w:rPr>
          <w:rFonts w:hint="eastAsia"/>
          <w:b/>
          <w:bCs/>
          <w:u w:val="single"/>
          <w:lang w:val="en-US" w:eastAsia="zh-CN"/>
        </w:rPr>
        <w:t>本项目排放的</w:t>
      </w:r>
      <w:r>
        <w:rPr>
          <w:rFonts w:hint="eastAsia"/>
          <w:b/>
          <w:bCs/>
          <w:u w:val="single"/>
          <w:lang w:eastAsia="zh-CN"/>
        </w:rPr>
        <w:t>非甲烷总烃厂界最大浓度能够满足《关于全省开展工业企业挥发性有机物专项治理工作中排放建议值的通知》(豫环攻坚办[2017]162 号)2mg/m</w:t>
      </w:r>
      <w:r>
        <w:rPr>
          <w:rFonts w:hint="eastAsia"/>
          <w:b/>
          <w:bCs/>
          <w:u w:val="single"/>
          <w:vertAlign w:val="superscript"/>
          <w:lang w:val="en-US" w:eastAsia="zh-CN"/>
        </w:rPr>
        <w:t>3</w:t>
      </w:r>
      <w:r>
        <w:rPr>
          <w:rFonts w:hint="eastAsia"/>
          <w:b/>
          <w:bCs/>
          <w:u w:val="single"/>
          <w:lang w:eastAsia="zh-CN"/>
        </w:rPr>
        <w:t>的厂界标准限值要求；</w:t>
      </w:r>
      <w:r>
        <w:rPr>
          <w:rFonts w:hint="eastAsia"/>
          <w:b/>
          <w:bCs/>
          <w:u w:val="single"/>
          <w:lang w:val="en-US" w:eastAsia="zh-CN"/>
        </w:rPr>
        <w:t>颗粒物</w:t>
      </w:r>
      <w:r>
        <w:rPr>
          <w:rFonts w:hint="eastAsia"/>
          <w:b/>
          <w:bCs/>
          <w:u w:val="single"/>
          <w:lang w:eastAsia="zh-CN"/>
        </w:rPr>
        <w:t>厂界最大浓度能够满足《新乡市生态环境局关于进一步规范工业企业颗粒物排放限值的通知》无组织0.5mgm</w:t>
      </w:r>
      <w:r>
        <w:rPr>
          <w:rFonts w:hint="eastAsia"/>
          <w:b/>
          <w:bCs/>
          <w:u w:val="single"/>
          <w:vertAlign w:val="superscript"/>
          <w:lang w:val="en-US" w:eastAsia="zh-CN"/>
        </w:rPr>
        <w:t>3</w:t>
      </w:r>
      <w:r>
        <w:rPr>
          <w:rFonts w:hint="eastAsia"/>
          <w:b/>
          <w:bCs/>
          <w:u w:val="single"/>
          <w:lang w:eastAsia="zh-CN"/>
        </w:rPr>
        <w:t>的标准限值要求。</w:t>
      </w:r>
    </w:p>
    <w:p w14:paraId="358FA75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b/>
          <w:bCs/>
          <w:color w:val="auto"/>
          <w:u w:val="single"/>
        </w:rPr>
      </w:pPr>
      <w:r>
        <w:rPr>
          <w:rFonts w:hint="eastAsia"/>
          <w:b/>
          <w:bCs/>
          <w:color w:val="auto"/>
          <w:highlight w:val="none"/>
          <w:u w:val="single"/>
          <w:lang w:val="en-US" w:eastAsia="zh-CN"/>
        </w:rPr>
        <w:t>根据估算模式预测，本项目大气环境影响评价等级为三级，项目污染物占标率较低，不需设置大气防护距离，项目运行对周边大气环境的影响可以接受，</w:t>
      </w:r>
      <w:r>
        <w:rPr>
          <w:rFonts w:hint="eastAsia"/>
          <w:b/>
          <w:bCs/>
          <w:color w:val="auto"/>
          <w:u w:val="single"/>
        </w:rPr>
        <w:t>不会对周围村庄带来明显不利影响</w:t>
      </w:r>
      <w:r>
        <w:rPr>
          <w:rFonts w:hint="eastAsia"/>
          <w:b/>
          <w:bCs/>
          <w:color w:val="auto"/>
          <w:u w:val="single"/>
          <w:lang w:eastAsia="zh-CN"/>
        </w:rPr>
        <w:t>。</w:t>
      </w:r>
      <w:r>
        <w:rPr>
          <w:b/>
          <w:bCs/>
          <w:color w:val="auto"/>
          <w:u w:val="single"/>
        </w:rPr>
        <w:t>在保证评价要求和工程设计的防治措施正常运行的条件下，本工程建设对周围大气环境影响可接受。</w:t>
      </w:r>
    </w:p>
    <w:p w14:paraId="3FE4830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highlight w:val="none"/>
          <w:u w:val="none"/>
        </w:rPr>
      </w:pPr>
      <w:r>
        <w:rPr>
          <w:rFonts w:hint="eastAsia"/>
          <w:b w:val="0"/>
          <w:bCs w:val="0"/>
          <w:color w:val="auto"/>
          <w:highlight w:val="none"/>
          <w:u w:val="none"/>
        </w:rPr>
        <w:t>（2）</w:t>
      </w:r>
      <w:r>
        <w:rPr>
          <w:b w:val="0"/>
          <w:bCs w:val="0"/>
          <w:color w:val="auto"/>
          <w:highlight w:val="none"/>
          <w:u w:val="none"/>
        </w:rPr>
        <w:t>地表水环境影响评价结论</w:t>
      </w:r>
    </w:p>
    <w:p w14:paraId="0E41CC6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val="0"/>
          <w:bCs w:val="0"/>
          <w:color w:val="auto"/>
          <w:highlight w:val="none"/>
          <w:u w:val="none"/>
        </w:rPr>
      </w:pPr>
      <w:r>
        <w:rPr>
          <w:rFonts w:hint="eastAsia"/>
          <w:b w:val="0"/>
          <w:bCs w:val="0"/>
          <w:color w:val="auto"/>
          <w:highlight w:val="none"/>
          <w:u w:val="none"/>
        </w:rPr>
        <w:t>本项目建成后全厂废水排放量为</w:t>
      </w:r>
      <w:r>
        <w:rPr>
          <w:rFonts w:hint="eastAsia"/>
          <w:b w:val="0"/>
          <w:bCs w:val="0"/>
          <w:color w:val="auto"/>
          <w:highlight w:val="none"/>
          <w:u w:val="none"/>
          <w:lang w:val="en-US" w:eastAsia="zh-CN"/>
        </w:rPr>
        <w:t>31220.14</w:t>
      </w:r>
      <w:r>
        <w:rPr>
          <w:rFonts w:hint="eastAsia"/>
          <w:b w:val="0"/>
          <w:bCs w:val="0"/>
          <w:color w:val="auto"/>
          <w:highlight w:val="none"/>
          <w:u w:val="none"/>
        </w:rPr>
        <w:t>m</w:t>
      </w:r>
      <w:r>
        <w:rPr>
          <w:rFonts w:hint="eastAsia"/>
          <w:b w:val="0"/>
          <w:bCs w:val="0"/>
          <w:color w:val="auto"/>
          <w:highlight w:val="none"/>
          <w:u w:val="none"/>
          <w:vertAlign w:val="superscript"/>
        </w:rPr>
        <w:t>3</w:t>
      </w:r>
      <w:r>
        <w:rPr>
          <w:rFonts w:hint="eastAsia"/>
          <w:b w:val="0"/>
          <w:bCs w:val="0"/>
          <w:color w:val="auto"/>
          <w:highlight w:val="none"/>
          <w:u w:val="none"/>
        </w:rPr>
        <w:t>/d，经</w:t>
      </w:r>
      <w:r>
        <w:rPr>
          <w:rFonts w:hint="eastAsia"/>
          <w:b w:val="0"/>
          <w:bCs w:val="0"/>
          <w:color w:val="auto"/>
          <w:highlight w:val="none"/>
          <w:u w:val="none"/>
          <w:lang w:val="en-US" w:eastAsia="zh-CN"/>
        </w:rPr>
        <w:t>氨纶废水</w:t>
      </w:r>
      <w:r>
        <w:rPr>
          <w:rFonts w:hint="eastAsia"/>
          <w:b w:val="0"/>
          <w:bCs w:val="0"/>
          <w:color w:val="auto"/>
          <w:highlight w:val="none"/>
          <w:u w:val="none"/>
        </w:rPr>
        <w:t>污水处理</w:t>
      </w:r>
      <w:r>
        <w:rPr>
          <w:rFonts w:hint="eastAsia"/>
          <w:b w:val="0"/>
          <w:bCs w:val="0"/>
          <w:color w:val="auto"/>
          <w:highlight w:val="none"/>
          <w:u w:val="none"/>
          <w:lang w:val="en-US" w:eastAsia="zh-CN"/>
        </w:rPr>
        <w:t>单元</w:t>
      </w:r>
      <w:r>
        <w:rPr>
          <w:rFonts w:hint="eastAsia"/>
          <w:b w:val="0"/>
          <w:bCs w:val="0"/>
          <w:color w:val="auto"/>
          <w:highlight w:val="none"/>
          <w:u w:val="none"/>
        </w:rPr>
        <w:t>处理后主要污染物的排放浓度为COD 81.20mg/L、NH</w:t>
      </w:r>
      <w:r>
        <w:rPr>
          <w:rFonts w:hint="eastAsia"/>
          <w:b w:val="0"/>
          <w:bCs w:val="0"/>
          <w:color w:val="auto"/>
          <w:highlight w:val="none"/>
          <w:u w:val="none"/>
          <w:vertAlign w:val="subscript"/>
        </w:rPr>
        <w:t>3</w:t>
      </w:r>
      <w:r>
        <w:rPr>
          <w:rFonts w:hint="eastAsia"/>
          <w:b w:val="0"/>
          <w:bCs w:val="0"/>
          <w:color w:val="auto"/>
          <w:highlight w:val="none"/>
          <w:u w:val="none"/>
        </w:rPr>
        <w:t>-N2.64mg/L、SS86.01mg/L、BOD 32.29mg/L、TN17.61mg/L、TP 0.13mg/L，各污染因子均能满足小店污水处理厂的收水水质要求，且项目排放废水量占其处理负荷量比例较小、总处理量未超出设计处理负荷量，不会对小店污水处理厂的出水水质产生影响。因此评价认为：项目废水经处理后，对地表水环境的影响可接受。</w:t>
      </w:r>
    </w:p>
    <w:p w14:paraId="4F97C6E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rFonts w:hint="eastAsia"/>
          <w:color w:val="auto"/>
          <w:highlight w:val="none"/>
        </w:rPr>
        <w:t>（3）</w:t>
      </w:r>
      <w:r>
        <w:rPr>
          <w:color w:val="auto"/>
          <w:highlight w:val="none"/>
        </w:rPr>
        <w:t>地下水环境影响预测与评价结论</w:t>
      </w:r>
    </w:p>
    <w:p w14:paraId="7FB500A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color w:val="auto"/>
        </w:rPr>
        <w:t>在非正常工况下，该工程对厂址周围的地下水环境</w:t>
      </w:r>
      <w:r>
        <w:rPr>
          <w:rFonts w:hint="eastAsia"/>
          <w:color w:val="auto"/>
          <w:lang w:val="en-US" w:eastAsia="zh-CN"/>
        </w:rPr>
        <w:t>影响较小</w:t>
      </w:r>
      <w:r>
        <w:rPr>
          <w:color w:val="auto"/>
        </w:rPr>
        <w:t>。但从泄漏概率、地面破损概率综合考虑，废水池渗入地下是概率很小的事件，如果采取适当的预防措施和应急处理措施，</w:t>
      </w:r>
      <w:r>
        <w:rPr>
          <w:rFonts w:hint="eastAsia"/>
          <w:b/>
          <w:bCs/>
          <w:color w:val="auto"/>
          <w:u w:val="single"/>
        </w:rPr>
        <w:t>基本可杜绝非正常泄漏的发生。</w:t>
      </w:r>
      <w:r>
        <w:rPr>
          <w:rFonts w:hint="eastAsia"/>
          <w:b/>
          <w:bCs/>
          <w:color w:val="auto"/>
          <w:u w:val="single"/>
          <w:lang w:val="en-US" w:eastAsia="zh-CN"/>
        </w:rPr>
        <w:t>根据预测</w:t>
      </w:r>
      <w:r>
        <w:rPr>
          <w:rFonts w:hint="eastAsia"/>
          <w:b/>
          <w:bCs/>
          <w:color w:val="auto"/>
          <w:u w:val="single"/>
          <w:lang w:eastAsia="zh-CN"/>
        </w:rPr>
        <w:t>，</w:t>
      </w:r>
      <w:r>
        <w:rPr>
          <w:rFonts w:hint="eastAsia"/>
          <w:b/>
          <w:bCs/>
          <w:color w:val="auto"/>
          <w:u w:val="single"/>
        </w:rPr>
        <w:t>本项目地下水环境影响是可以接受的。</w:t>
      </w:r>
    </w:p>
    <w:p w14:paraId="7799EC7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（4）</w:t>
      </w:r>
      <w:r>
        <w:rPr>
          <w:color w:val="auto"/>
        </w:rPr>
        <w:t>声环境影响预测与评价结论</w:t>
      </w:r>
    </w:p>
    <w:p w14:paraId="0944BC2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color w:val="auto"/>
        </w:rPr>
        <w:t>工程完成后，由于厂区内高噪声设备均采取了有效的降噪措施，工程噪声对厂界及周围敏感点的影响不大，各厂界噪声预测值均不超标。评价认为，工程建成后其噪声对周围声环境的影响可以接受。</w:t>
      </w:r>
    </w:p>
    <w:p w14:paraId="7F34DBC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（5）</w:t>
      </w:r>
      <w:r>
        <w:rPr>
          <w:color w:val="auto"/>
        </w:rPr>
        <w:t>土壤环境影响预测与评价结论</w:t>
      </w:r>
    </w:p>
    <w:p w14:paraId="3D5F2C4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本项目对各类污染物采取了相应的污染治理措施，正常工况下可确保污染物渗漏不会发生。非正常工况下，及时发现问题并采取措施阻隔污染源，防止进一步污染；同时，定期对附近土壤进行跟踪监测，及时掌握了解土壤变化状况，以便及时发现问题并及时采取措施。在上述各措施落实到位的情况下，</w:t>
      </w:r>
      <w:r>
        <w:rPr>
          <w:rFonts w:hint="eastAsia"/>
          <w:color w:val="auto"/>
          <w:lang w:val="en-US" w:eastAsia="zh-CN"/>
        </w:rPr>
        <w:t>本项目对</w:t>
      </w:r>
      <w:r>
        <w:rPr>
          <w:rFonts w:hint="eastAsia"/>
          <w:color w:val="auto"/>
        </w:rPr>
        <w:t>土壤造成影响</w:t>
      </w:r>
      <w:r>
        <w:rPr>
          <w:rFonts w:hint="eastAsia"/>
          <w:color w:val="auto"/>
          <w:lang w:val="en-US" w:eastAsia="zh-CN"/>
        </w:rPr>
        <w:t>可接受</w:t>
      </w:r>
      <w:r>
        <w:rPr>
          <w:rFonts w:hint="eastAsia"/>
          <w:color w:val="auto"/>
        </w:rPr>
        <w:t>。</w:t>
      </w:r>
    </w:p>
    <w:p w14:paraId="63F9AC6B">
      <w:pPr>
        <w:pStyle w:val="5"/>
        <w:bidi w:val="0"/>
      </w:pPr>
      <w:r>
        <w:rPr>
          <w:rFonts w:hint="eastAsia"/>
        </w:rPr>
        <w:t>工程完成后，各项污染防治措施可行，固废采取了有效的处置措施，全厂废水、废气、噪声污染物能够做到达标排放</w:t>
      </w:r>
      <w:r>
        <w:rPr>
          <w:rFonts w:hint="eastAsia"/>
          <w:lang w:eastAsia="zh-CN"/>
        </w:rPr>
        <w:t>。</w:t>
      </w:r>
    </w:p>
    <w:p w14:paraId="5FDB5D1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b/>
          <w:bCs/>
          <w:color w:val="auto"/>
          <w:highlight w:val="none"/>
          <w:u w:val="single"/>
          <w:lang w:val="en-US" w:eastAsia="zh-CN"/>
        </w:rPr>
      </w:pPr>
      <w:r>
        <w:rPr>
          <w:rFonts w:hint="eastAsia"/>
          <w:b/>
          <w:bCs/>
          <w:color w:val="auto"/>
          <w:highlight w:val="none"/>
          <w:u w:val="single"/>
          <w:lang w:val="en-US" w:eastAsia="zh-CN"/>
        </w:rPr>
        <w:t>废气</w:t>
      </w:r>
    </w:p>
    <w:p w14:paraId="2D258E4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b w:val="0"/>
          <w:bCs w:val="0"/>
          <w:color w:val="auto"/>
          <w:highlight w:val="none"/>
          <w:u w:val="none"/>
          <w:lang w:val="en-US" w:eastAsia="zh-CN"/>
        </w:rPr>
      </w:pPr>
      <w:r>
        <w:rPr>
          <w:rFonts w:hint="eastAsia"/>
          <w:b/>
          <w:bCs/>
          <w:color w:val="auto"/>
          <w:u w:val="single"/>
          <w:lang w:val="en-US" w:eastAsia="zh-CN"/>
        </w:rPr>
        <w:t>本项目</w:t>
      </w:r>
      <w:r>
        <w:rPr>
          <w:b/>
          <w:bCs/>
          <w:color w:val="auto"/>
          <w:u w:val="single"/>
        </w:rPr>
        <w:t>颗粒物</w:t>
      </w:r>
      <w:r>
        <w:rPr>
          <w:rFonts w:hint="eastAsia"/>
          <w:b/>
          <w:bCs/>
          <w:color w:val="auto"/>
          <w:u w:val="single"/>
          <w:lang w:val="en-US" w:eastAsia="zh-CN"/>
        </w:rPr>
        <w:t>排放浓度和排放速率均能够满足</w:t>
      </w:r>
      <w:r>
        <w:rPr>
          <w:b/>
          <w:bCs/>
          <w:color w:val="auto"/>
          <w:u w:val="single"/>
        </w:rPr>
        <w:t>《新乡市生态环境局关于进一步规范工业企业颗粒物排放限值的通知》</w:t>
      </w:r>
      <w:r>
        <w:rPr>
          <w:rFonts w:hint="eastAsia"/>
          <w:b/>
          <w:bCs/>
          <w:color w:val="auto"/>
          <w:u w:val="single"/>
        </w:rPr>
        <w:t>其他涉气工业企业10mg/m</w:t>
      </w:r>
      <w:r>
        <w:rPr>
          <w:rFonts w:hint="eastAsia"/>
          <w:b/>
          <w:bCs/>
          <w:color w:val="auto"/>
          <w:u w:val="single"/>
          <w:vertAlign w:val="superscript"/>
        </w:rPr>
        <w:t>3</w:t>
      </w:r>
      <w:r>
        <w:rPr>
          <w:rFonts w:hint="eastAsia"/>
          <w:b/>
          <w:bCs/>
          <w:color w:val="auto"/>
          <w:u w:val="single"/>
        </w:rPr>
        <w:t>（有组织）</w:t>
      </w:r>
      <w:r>
        <w:rPr>
          <w:rFonts w:hint="eastAsia"/>
          <w:b/>
          <w:bCs/>
          <w:color w:val="auto"/>
          <w:u w:val="single"/>
          <w:lang w:val="en-US" w:eastAsia="zh-CN"/>
        </w:rPr>
        <w:t>和《大气污染物综合排放标准》（GB16297-1996）中要求二级标准20m排气筒最高允许排放速率5.9kg/h。</w:t>
      </w:r>
      <w:r>
        <w:rPr>
          <w:rFonts w:hint="eastAsia"/>
          <w:b/>
          <w:bCs/>
          <w:color w:val="auto"/>
          <w:highlight w:val="none"/>
          <w:u w:val="single"/>
          <w:lang w:val="en-US" w:eastAsia="zh-CN"/>
        </w:rPr>
        <w:t>非甲烷总烃排放浓度和排放速率均能够满足《关于全省开展工业企业挥发性有机物专项治理工作中排放建议值的通知》（豫环攻坚办（2017）162号）其他行业80</w:t>
      </w:r>
      <w:r>
        <w:rPr>
          <w:rFonts w:hint="eastAsia"/>
          <w:b/>
          <w:bCs/>
          <w:color w:val="auto"/>
          <w:highlight w:val="none"/>
          <w:u w:val="single"/>
        </w:rPr>
        <w:t>mg/m</w:t>
      </w:r>
      <w:r>
        <w:rPr>
          <w:rFonts w:hint="eastAsia"/>
          <w:b/>
          <w:bCs/>
          <w:color w:val="auto"/>
          <w:highlight w:val="none"/>
          <w:u w:val="single"/>
          <w:vertAlign w:val="superscript"/>
        </w:rPr>
        <w:t>3</w:t>
      </w:r>
      <w:r>
        <w:rPr>
          <w:rFonts w:hint="eastAsia"/>
          <w:b/>
          <w:bCs/>
          <w:color w:val="auto"/>
          <w:highlight w:val="none"/>
          <w:u w:val="single"/>
        </w:rPr>
        <w:t>（有组织）</w:t>
      </w:r>
      <w:r>
        <w:rPr>
          <w:rFonts w:hint="eastAsia"/>
          <w:b/>
          <w:bCs/>
          <w:color w:val="auto"/>
          <w:highlight w:val="none"/>
          <w:u w:val="single"/>
          <w:lang w:val="en-US" w:eastAsia="zh-CN"/>
        </w:rPr>
        <w:t>和《大气污染物综合排放标准》（GB16297-1996）中要求二级标准20m排气筒最高允许排放速率17kg/h。</w:t>
      </w:r>
    </w:p>
    <w:p w14:paraId="54B2560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b/>
          <w:bCs/>
          <w:color w:val="auto"/>
          <w:highlight w:val="none"/>
          <w:u w:val="single"/>
          <w:lang w:val="en-US" w:eastAsia="zh-CN"/>
        </w:rPr>
      </w:pPr>
      <w:r>
        <w:rPr>
          <w:rFonts w:hint="eastAsia"/>
          <w:b/>
          <w:bCs/>
          <w:color w:val="auto"/>
          <w:highlight w:val="none"/>
          <w:u w:val="single"/>
          <w:lang w:val="en-US" w:eastAsia="zh-CN"/>
        </w:rPr>
        <w:t>废水</w:t>
      </w:r>
    </w:p>
    <w:p w14:paraId="694EF541">
      <w:pPr>
        <w:rPr>
          <w:rFonts w:hint="default"/>
          <w:lang w:val="en-US" w:eastAsia="zh-CN"/>
        </w:rPr>
      </w:pPr>
      <w:r>
        <w:rPr>
          <w:rFonts w:hint="eastAsia"/>
          <w:b/>
          <w:bCs/>
          <w:i w:val="0"/>
          <w:iCs w:val="0"/>
          <w:color w:val="auto"/>
          <w:u w:val="single"/>
          <w:lang w:val="en-US" w:eastAsia="zh-CN"/>
        </w:rPr>
        <w:t>本项目进入废水总排口</w:t>
      </w:r>
      <w:r>
        <w:rPr>
          <w:rFonts w:hint="eastAsia"/>
          <w:b/>
          <w:bCs/>
          <w:i w:val="0"/>
          <w:iCs w:val="0"/>
          <w:color w:val="auto"/>
          <w:u w:val="single"/>
        </w:rPr>
        <w:t>污染物COD、BOD</w:t>
      </w:r>
      <w:r>
        <w:rPr>
          <w:rFonts w:hint="eastAsia"/>
          <w:b/>
          <w:bCs/>
          <w:i w:val="0"/>
          <w:iCs w:val="0"/>
          <w:color w:val="auto"/>
          <w:u w:val="single"/>
          <w:vertAlign w:val="subscript"/>
        </w:rPr>
        <w:t>5</w:t>
      </w:r>
      <w:r>
        <w:rPr>
          <w:rFonts w:hint="eastAsia"/>
          <w:b/>
          <w:bCs/>
          <w:i w:val="0"/>
          <w:iCs w:val="0"/>
          <w:color w:val="auto"/>
          <w:u w:val="single"/>
        </w:rPr>
        <w:t>、SS、NH</w:t>
      </w:r>
      <w:r>
        <w:rPr>
          <w:rFonts w:hint="eastAsia"/>
          <w:b/>
          <w:bCs/>
          <w:i w:val="0"/>
          <w:iCs w:val="0"/>
          <w:color w:val="auto"/>
          <w:u w:val="single"/>
          <w:vertAlign w:val="subscript"/>
        </w:rPr>
        <w:t>3</w:t>
      </w:r>
      <w:r>
        <w:rPr>
          <w:rFonts w:hint="eastAsia"/>
          <w:b/>
          <w:bCs/>
          <w:i w:val="0"/>
          <w:iCs w:val="0"/>
          <w:color w:val="auto"/>
          <w:u w:val="single"/>
        </w:rPr>
        <w:t>-N、TN、TP均能够满足</w:t>
      </w:r>
      <w:r>
        <w:rPr>
          <w:rFonts w:hint="eastAsia"/>
          <w:b/>
          <w:bCs/>
          <w:i w:val="0"/>
          <w:iCs w:val="0"/>
          <w:color w:val="auto"/>
          <w:u w:val="single"/>
          <w:lang w:val="en-US" w:eastAsia="zh-CN"/>
        </w:rPr>
        <w:t>《污水综合排放标准》（GB8978-1996）二级（化纤浆粕工业）标准、与小店污水处理厂收水协议及小店污水处理厂收水要求</w:t>
      </w:r>
      <w:r>
        <w:rPr>
          <w:rFonts w:hint="eastAsia"/>
          <w:b/>
          <w:bCs/>
          <w:i w:val="0"/>
          <w:iCs w:val="0"/>
          <w:color w:val="auto"/>
          <w:u w:val="single"/>
          <w:lang w:eastAsia="zh-CN"/>
        </w:rPr>
        <w:t>：</w:t>
      </w:r>
      <w:r>
        <w:rPr>
          <w:rFonts w:hint="eastAsia"/>
          <w:b/>
          <w:bCs/>
          <w:i w:val="0"/>
          <w:iCs w:val="0"/>
          <w:color w:val="auto"/>
          <w:u w:val="single"/>
        </w:rPr>
        <w:t>COD 300mg/L、NH</w:t>
      </w:r>
      <w:r>
        <w:rPr>
          <w:rFonts w:hint="eastAsia"/>
          <w:b/>
          <w:bCs/>
          <w:i w:val="0"/>
          <w:iCs w:val="0"/>
          <w:color w:val="auto"/>
          <w:u w:val="single"/>
          <w:vertAlign w:val="subscript"/>
        </w:rPr>
        <w:t>3</w:t>
      </w:r>
      <w:r>
        <w:rPr>
          <w:rFonts w:hint="eastAsia"/>
          <w:b/>
          <w:bCs/>
          <w:i w:val="0"/>
          <w:iCs w:val="0"/>
          <w:color w:val="auto"/>
          <w:u w:val="single"/>
        </w:rPr>
        <w:t xml:space="preserve">-N </w:t>
      </w:r>
      <w:r>
        <w:rPr>
          <w:rFonts w:hint="eastAsia"/>
          <w:b/>
          <w:bCs/>
          <w:i w:val="0"/>
          <w:iCs w:val="0"/>
          <w:color w:val="auto"/>
          <w:u w:val="single"/>
          <w:lang w:val="en-US" w:eastAsia="zh-CN"/>
        </w:rPr>
        <w:t>1</w:t>
      </w:r>
      <w:r>
        <w:rPr>
          <w:rFonts w:hint="eastAsia"/>
          <w:b/>
          <w:bCs/>
          <w:i w:val="0"/>
          <w:iCs w:val="0"/>
          <w:color w:val="auto"/>
          <w:u w:val="single"/>
        </w:rPr>
        <w:t>5mg/L、TP 1.0mg/L、TN</w:t>
      </w:r>
      <w:r>
        <w:rPr>
          <w:rFonts w:hint="eastAsia"/>
          <w:b/>
          <w:bCs/>
          <w:i w:val="0"/>
          <w:iCs w:val="0"/>
          <w:color w:val="auto"/>
          <w:u w:val="single"/>
          <w:lang w:val="en-US" w:eastAsia="zh-CN"/>
        </w:rPr>
        <w:t xml:space="preserve"> </w:t>
      </w:r>
      <w:r>
        <w:rPr>
          <w:rFonts w:hint="eastAsia"/>
          <w:b/>
          <w:bCs/>
          <w:i w:val="0"/>
          <w:iCs w:val="0"/>
          <w:color w:val="auto"/>
          <w:u w:val="single"/>
        </w:rPr>
        <w:t>40mg/L</w:t>
      </w:r>
      <w:r>
        <w:rPr>
          <w:rFonts w:hint="eastAsia"/>
          <w:b/>
          <w:bCs/>
          <w:i w:val="0"/>
          <w:iCs w:val="0"/>
          <w:color w:val="auto"/>
          <w:u w:val="single"/>
          <w:lang w:eastAsia="zh-CN"/>
        </w:rPr>
        <w:t>、</w:t>
      </w:r>
      <w:r>
        <w:rPr>
          <w:rFonts w:hint="eastAsia"/>
          <w:b/>
          <w:bCs/>
          <w:i w:val="0"/>
          <w:iCs w:val="0"/>
          <w:color w:val="auto"/>
          <w:u w:val="single"/>
        </w:rPr>
        <w:t>SS 150mg/L和BOD</w:t>
      </w:r>
      <w:r>
        <w:rPr>
          <w:rFonts w:hint="eastAsia"/>
          <w:b/>
          <w:bCs/>
          <w:i w:val="0"/>
          <w:iCs w:val="0"/>
          <w:color w:val="auto"/>
          <w:u w:val="single"/>
          <w:vertAlign w:val="subscript"/>
        </w:rPr>
        <w:t>5</w:t>
      </w:r>
      <w:r>
        <w:rPr>
          <w:rFonts w:hint="eastAsia"/>
          <w:b/>
          <w:bCs/>
          <w:i w:val="0"/>
          <w:iCs w:val="0"/>
          <w:color w:val="auto"/>
          <w:u w:val="single"/>
        </w:rPr>
        <w:t xml:space="preserve"> 100mg/L的标准。</w:t>
      </w:r>
    </w:p>
    <w:p w14:paraId="6B26F88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b/>
          <w:bCs/>
          <w:color w:val="auto"/>
          <w:highlight w:val="none"/>
          <w:u w:val="single"/>
          <w:lang w:val="en-US" w:eastAsia="zh-CN"/>
        </w:rPr>
      </w:pPr>
      <w:r>
        <w:rPr>
          <w:rFonts w:hint="eastAsia"/>
          <w:b/>
          <w:bCs/>
          <w:color w:val="auto"/>
          <w:highlight w:val="none"/>
          <w:u w:val="single"/>
          <w:lang w:val="en-US" w:eastAsia="zh-CN"/>
        </w:rPr>
        <w:t>噪声</w:t>
      </w:r>
    </w:p>
    <w:p w14:paraId="748EC53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b/>
          <w:bCs/>
          <w:color w:val="auto"/>
          <w:u w:val="single"/>
          <w:lang w:val="en-US" w:eastAsia="zh-CN"/>
        </w:rPr>
      </w:pPr>
      <w:r>
        <w:rPr>
          <w:rFonts w:hint="eastAsia"/>
          <w:b/>
          <w:bCs/>
          <w:color w:val="auto"/>
          <w:u w:val="single"/>
          <w:lang w:val="en-US" w:eastAsia="zh-CN"/>
        </w:rPr>
        <w:t>根据预测结果</w:t>
      </w:r>
      <w:r>
        <w:rPr>
          <w:rFonts w:hint="eastAsia"/>
          <w:b/>
          <w:bCs/>
          <w:color w:val="auto"/>
          <w:u w:val="single"/>
        </w:rPr>
        <w:t>项目</w:t>
      </w:r>
      <w:r>
        <w:rPr>
          <w:rFonts w:hint="eastAsia"/>
          <w:b/>
          <w:bCs/>
          <w:color w:val="auto"/>
          <w:u w:val="single"/>
          <w:lang w:val="en-US" w:eastAsia="zh-CN"/>
        </w:rPr>
        <w:t>建设</w:t>
      </w:r>
      <w:r>
        <w:rPr>
          <w:b/>
          <w:bCs/>
          <w:color w:val="auto"/>
          <w:u w:val="single"/>
        </w:rPr>
        <w:t>完成后，本项目噪声预测值均能满足《工业企业厂界环境噪声排放标准》（GB12348-2008）3类昼间65dB(A)、夜间55dB(A</w:t>
      </w:r>
      <w:r>
        <w:rPr>
          <w:rFonts w:hint="eastAsia"/>
          <w:b/>
          <w:bCs/>
          <w:color w:val="auto"/>
          <w:u w:val="single"/>
          <w:lang w:eastAsia="zh-CN"/>
        </w:rPr>
        <w:t>)</w:t>
      </w:r>
      <w:r>
        <w:rPr>
          <w:b/>
          <w:bCs/>
          <w:color w:val="auto"/>
          <w:u w:val="single"/>
        </w:rPr>
        <w:t>标准的要求。</w:t>
      </w:r>
    </w:p>
    <w:p w14:paraId="4F6EDB7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b/>
          <w:bCs/>
          <w:color w:val="auto"/>
          <w:highlight w:val="none"/>
          <w:u w:val="single"/>
          <w:lang w:val="en-US" w:eastAsia="zh-CN"/>
        </w:rPr>
      </w:pPr>
      <w:r>
        <w:rPr>
          <w:rFonts w:hint="eastAsia"/>
          <w:b/>
          <w:bCs/>
          <w:color w:val="auto"/>
          <w:highlight w:val="none"/>
          <w:u w:val="single"/>
          <w:lang w:val="en-US" w:eastAsia="zh-CN"/>
        </w:rPr>
        <w:t>固废</w:t>
      </w:r>
    </w:p>
    <w:p w14:paraId="42A3BFA0">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b/>
          <w:bCs/>
          <w:color w:val="auto"/>
          <w:u w:val="single"/>
        </w:rPr>
      </w:pPr>
      <w:r>
        <w:rPr>
          <w:rFonts w:hint="eastAsia"/>
          <w:b/>
          <w:bCs/>
          <w:color w:val="auto"/>
          <w:u w:val="single"/>
          <w:lang w:val="en-US" w:eastAsia="zh-CN"/>
        </w:rPr>
        <w:t>一般固废：</w:t>
      </w:r>
      <w:r>
        <w:rPr>
          <w:rFonts w:hint="eastAsia"/>
          <w:b/>
          <w:bCs/>
          <w:color w:val="auto"/>
          <w:u w:val="single"/>
        </w:rPr>
        <w:t>除尘器收集颗粒物</w:t>
      </w:r>
      <w:r>
        <w:rPr>
          <w:rFonts w:hint="eastAsia"/>
          <w:b/>
          <w:bCs/>
          <w:color w:val="auto"/>
          <w:u w:val="single"/>
          <w:lang w:eastAsia="zh-CN"/>
        </w:rPr>
        <w:t>、</w:t>
      </w:r>
      <w:r>
        <w:rPr>
          <w:rFonts w:hint="eastAsia"/>
          <w:b/>
          <w:bCs/>
          <w:color w:val="auto"/>
          <w:u w:val="single"/>
          <w:lang w:val="en-US" w:eastAsia="zh-CN"/>
        </w:rPr>
        <w:t>废丝</w:t>
      </w:r>
      <w:r>
        <w:rPr>
          <w:rFonts w:hint="eastAsia"/>
          <w:b/>
          <w:bCs/>
          <w:color w:val="auto"/>
          <w:u w:val="single"/>
          <w:lang w:eastAsia="zh-CN"/>
        </w:rPr>
        <w:t>、T溶剂废包装桶、</w:t>
      </w:r>
      <w:r>
        <w:rPr>
          <w:rFonts w:hint="eastAsia"/>
          <w:b/>
          <w:bCs/>
          <w:color w:val="auto"/>
          <w:u w:val="single"/>
          <w:lang w:val="en-US" w:eastAsia="zh-CN"/>
        </w:rPr>
        <w:t>污泥</w:t>
      </w:r>
      <w:r>
        <w:rPr>
          <w:rFonts w:hint="eastAsia"/>
          <w:b/>
          <w:bCs/>
          <w:color w:val="auto"/>
          <w:u w:val="single"/>
        </w:rPr>
        <w:t>为一般固废，在一般固废暂存间暂存，定期</w:t>
      </w:r>
      <w:r>
        <w:rPr>
          <w:rFonts w:hint="eastAsia"/>
          <w:b/>
          <w:bCs/>
          <w:color w:val="auto"/>
          <w:u w:val="single"/>
          <w:lang w:val="en-US" w:eastAsia="zh-CN"/>
        </w:rPr>
        <w:t>回用生产或利用</w:t>
      </w:r>
      <w:r>
        <w:rPr>
          <w:rFonts w:hint="eastAsia"/>
          <w:b/>
          <w:bCs/>
          <w:color w:val="auto"/>
          <w:u w:val="single"/>
        </w:rPr>
        <w:t>。厂区内一般工业固废暂存间已按照《一般工业固体废物贮存和填埋污染控制标准》（GB18599-</w:t>
      </w:r>
      <w:r>
        <w:rPr>
          <w:b/>
          <w:bCs/>
          <w:color w:val="auto"/>
          <w:u w:val="single"/>
        </w:rPr>
        <w:t>2020</w:t>
      </w:r>
      <w:r>
        <w:rPr>
          <w:rFonts w:hint="eastAsia"/>
          <w:b/>
          <w:bCs/>
          <w:color w:val="auto"/>
          <w:u w:val="single"/>
        </w:rPr>
        <w:t>）的相关要求进行建设，暂存间地面已硬化，并且有防渗、防风、防晒、防雨淋措施。</w:t>
      </w:r>
    </w:p>
    <w:p w14:paraId="363F8C1B">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eastAsia="宋体"/>
          <w:b/>
          <w:bCs/>
          <w:color w:val="auto"/>
          <w:u w:val="single"/>
          <w:lang w:eastAsia="zh-CN"/>
        </w:rPr>
      </w:pPr>
      <w:r>
        <w:rPr>
          <w:rFonts w:hint="eastAsia"/>
          <w:b/>
          <w:bCs/>
          <w:color w:val="auto"/>
          <w:u w:val="single"/>
          <w:lang w:val="en-US" w:eastAsia="zh-CN"/>
        </w:rPr>
        <w:t>危险废物</w:t>
      </w:r>
      <w:r>
        <w:rPr>
          <w:rFonts w:hint="eastAsia"/>
          <w:b/>
          <w:bCs/>
          <w:color w:val="auto"/>
          <w:u w:val="single"/>
          <w:lang w:eastAsia="zh-CN"/>
        </w:rPr>
        <w:t>：废滤渣、废滤芯、D溶剂</w:t>
      </w:r>
      <w:r>
        <w:rPr>
          <w:rFonts w:hint="eastAsia"/>
          <w:b/>
          <w:bCs/>
          <w:color w:val="auto"/>
          <w:u w:val="single"/>
          <w:lang w:val="en-US" w:eastAsia="zh-CN"/>
        </w:rPr>
        <w:t>及</w:t>
      </w:r>
      <w:r>
        <w:rPr>
          <w:rFonts w:hint="eastAsia"/>
          <w:b/>
          <w:bCs/>
          <w:color w:val="auto"/>
          <w:u w:val="single"/>
          <w:lang w:eastAsia="zh-CN"/>
        </w:rPr>
        <w:t>油剂废包装桶、废活性炭</w:t>
      </w:r>
      <w:r>
        <w:rPr>
          <w:rFonts w:hint="eastAsia"/>
          <w:b/>
          <w:bCs/>
          <w:color w:val="auto"/>
          <w:u w:val="single"/>
        </w:rPr>
        <w:t>为危险废物，在危废暂存间暂存后定期交由有资质单位处置</w:t>
      </w:r>
      <w:r>
        <w:rPr>
          <w:rFonts w:hint="eastAsia"/>
          <w:b/>
          <w:bCs/>
          <w:color w:val="auto"/>
          <w:u w:val="single"/>
          <w:lang w:eastAsia="zh-CN"/>
        </w:rPr>
        <w:t>。</w:t>
      </w:r>
      <w:r>
        <w:rPr>
          <w:rFonts w:hint="eastAsia"/>
          <w:b/>
          <w:bCs/>
          <w:color w:val="auto"/>
          <w:u w:val="single"/>
        </w:rPr>
        <w:t>厂区内危废暂存间地面已进行硬化防渗处理，并且有防风、防雨及防渗的“三防”措施；危险废物的贮存已严格按照《危险废物贮存污染控制标准》（GB 18597-2023）中相关规定进行；在危废的转移处置过程中，严格按照《中华人民共和国固体废物污染环境防治法》和《危险废物转移联单管理办法》有关规定执行。</w:t>
      </w:r>
    </w:p>
    <w:p w14:paraId="0DEDC9B4">
      <w:pPr>
        <w:bidi w:val="0"/>
        <w:rPr>
          <w:b/>
          <w:bCs/>
          <w:color w:val="auto"/>
          <w:u w:val="single"/>
        </w:rPr>
      </w:pPr>
      <w:r>
        <w:rPr>
          <w:rFonts w:hint="eastAsia"/>
          <w:b/>
          <w:bCs/>
          <w:color w:val="auto"/>
          <w:u w:val="single"/>
          <w:lang w:val="en-US" w:eastAsia="zh-CN"/>
        </w:rPr>
        <w:t>本</w:t>
      </w:r>
      <w:r>
        <w:rPr>
          <w:rFonts w:hint="eastAsia"/>
          <w:b/>
          <w:bCs/>
          <w:color w:val="auto"/>
          <w:u w:val="single"/>
        </w:rPr>
        <w:t>项目固废均能实现综合利用和安全处置。</w:t>
      </w:r>
    </w:p>
    <w:p w14:paraId="31685B3B">
      <w:pPr>
        <w:pStyle w:val="5"/>
        <w:bidi w:val="0"/>
        <w:rPr>
          <w:color w:val="auto"/>
        </w:rPr>
      </w:pPr>
      <w:bookmarkStart w:id="356" w:name="_Toc24199"/>
      <w:r>
        <w:rPr>
          <w:color w:val="auto"/>
        </w:rPr>
        <w:t>污染防治措施</w:t>
      </w:r>
    </w:p>
    <w:p w14:paraId="3480767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color w:val="auto"/>
        </w:rPr>
        <w:t>工程完成后，各项污染防治措施可行，固废</w:t>
      </w:r>
      <w:r>
        <w:rPr>
          <w:rFonts w:hint="eastAsia"/>
          <w:color w:val="auto"/>
          <w:lang w:eastAsia="zh-CN"/>
        </w:rPr>
        <w:t>采取了有效的</w:t>
      </w:r>
      <w:r>
        <w:rPr>
          <w:color w:val="auto"/>
        </w:rPr>
        <w:t>处置措施，全厂废水、废气、噪声污染物能够做到达标排放</w:t>
      </w:r>
    </w:p>
    <w:p w14:paraId="2C1E2F1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（1）废气</w:t>
      </w:r>
    </w:p>
    <w:p w14:paraId="5E6C91E9">
      <w:pPr>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auto"/>
        </w:rPr>
      </w:pPr>
      <w:r>
        <w:rPr>
          <w:rFonts w:hint="eastAsia"/>
          <w:color w:val="auto"/>
        </w:rPr>
        <w:t>本项目废气主要为</w:t>
      </w:r>
      <w:r>
        <w:rPr>
          <w:rFonts w:hint="eastAsia"/>
          <w:color w:val="auto"/>
          <w:lang w:val="en-US" w:eastAsia="zh-CN"/>
        </w:rPr>
        <w:t>粉碎</w:t>
      </w:r>
      <w:r>
        <w:rPr>
          <w:rFonts w:hint="eastAsia"/>
          <w:color w:val="auto"/>
        </w:rPr>
        <w:t>工序产生的</w:t>
      </w:r>
      <w:r>
        <w:rPr>
          <w:rFonts w:hint="eastAsia"/>
          <w:color w:val="auto"/>
          <w:lang w:val="en-US" w:eastAsia="zh-CN"/>
        </w:rPr>
        <w:t>颗粒物</w:t>
      </w:r>
      <w:r>
        <w:rPr>
          <w:rFonts w:hint="eastAsia"/>
          <w:color w:val="auto"/>
        </w:rPr>
        <w:t>废气</w:t>
      </w:r>
      <w:r>
        <w:rPr>
          <w:rFonts w:hint="eastAsia"/>
          <w:color w:val="auto"/>
          <w:lang w:eastAsia="zh-CN"/>
        </w:rPr>
        <w:t>；</w:t>
      </w:r>
      <w:r>
        <w:rPr>
          <w:rFonts w:hint="eastAsia"/>
          <w:color w:val="auto"/>
          <w:lang w:val="en-US" w:eastAsia="zh-CN"/>
        </w:rPr>
        <w:t>脱泡、干燥、蒸发回收工序产生的非甲烷总烃废气。</w:t>
      </w:r>
    </w:p>
    <w:p w14:paraId="540C2433">
      <w:pPr>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auto"/>
        </w:rPr>
      </w:pPr>
      <w:r>
        <w:rPr>
          <w:rFonts w:hint="eastAsia"/>
          <w:color w:val="auto"/>
          <w:lang w:val="en-US" w:eastAsia="zh-CN"/>
        </w:rPr>
        <w:t>粉碎</w:t>
      </w:r>
      <w:r>
        <w:rPr>
          <w:rFonts w:hint="eastAsia"/>
          <w:color w:val="auto"/>
        </w:rPr>
        <w:t>废气拟采取措施：</w:t>
      </w:r>
      <w:r>
        <w:rPr>
          <w:rFonts w:hint="eastAsia"/>
          <w:color w:val="auto"/>
          <w:lang w:val="en-US" w:eastAsia="zh-CN"/>
        </w:rPr>
        <w:t>采用粉碎设备自带脉冲袋式除尘器处理，收集效率100%，处理效率99%，处理达标后由20m高排气筒排放</w:t>
      </w:r>
      <w:r>
        <w:rPr>
          <w:rFonts w:hint="eastAsia"/>
          <w:color w:val="auto"/>
        </w:rPr>
        <w:t>。</w:t>
      </w:r>
    </w:p>
    <w:p w14:paraId="5CA03290">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olor w:val="auto"/>
        </w:rPr>
      </w:pPr>
      <w:r>
        <w:rPr>
          <w:rFonts w:hint="eastAsia"/>
          <w:color w:val="auto"/>
          <w:lang w:val="en-US" w:eastAsia="zh-CN"/>
        </w:rPr>
        <w:t>脱泡、干燥、蒸发回收废气</w:t>
      </w:r>
      <w:r>
        <w:rPr>
          <w:rFonts w:hint="eastAsia"/>
          <w:color w:val="auto"/>
        </w:rPr>
        <w:t>拟采取措施：</w:t>
      </w:r>
      <w:r>
        <w:rPr>
          <w:rFonts w:hint="eastAsia"/>
          <w:color w:val="auto"/>
          <w:lang w:val="en-US" w:eastAsia="zh-CN"/>
        </w:rPr>
        <w:t>共用一套处理设施，采用</w:t>
      </w:r>
      <w:r>
        <w:rPr>
          <w:rFonts w:hint="eastAsia"/>
          <w:b w:val="0"/>
          <w:bCs w:val="0"/>
          <w:color w:val="auto"/>
          <w:u w:val="none"/>
          <w:lang w:val="en-US" w:eastAsia="zh-CN"/>
        </w:rPr>
        <w:t>两级水洗塔串联+活性炭吸附</w:t>
      </w:r>
      <w:r>
        <w:rPr>
          <w:rFonts w:hint="eastAsia"/>
          <w:color w:val="auto"/>
          <w:lang w:val="en-US" w:eastAsia="zh-CN"/>
        </w:rPr>
        <w:t>处理，处理效率94%，处理达标后由20m高排气筒排放</w:t>
      </w:r>
      <w:r>
        <w:rPr>
          <w:rFonts w:hint="eastAsia"/>
          <w:color w:val="auto"/>
        </w:rPr>
        <w:t>。</w:t>
      </w:r>
    </w:p>
    <w:p w14:paraId="6A50786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（2）废水</w:t>
      </w:r>
    </w:p>
    <w:p w14:paraId="23A7ED35">
      <w:pPr>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auto"/>
        </w:rPr>
      </w:pPr>
      <w:r>
        <w:rPr>
          <w:rFonts w:hint="eastAsia"/>
          <w:color w:val="auto"/>
        </w:rPr>
        <w:t>本项目共产生废水750.31m</w:t>
      </w:r>
      <w:r>
        <w:rPr>
          <w:rFonts w:hint="eastAsia"/>
          <w:color w:val="auto"/>
          <w:vertAlign w:val="superscript"/>
        </w:rPr>
        <w:t>3</w:t>
      </w:r>
      <w:r>
        <w:rPr>
          <w:rFonts w:hint="eastAsia"/>
          <w:color w:val="auto"/>
        </w:rPr>
        <w:t>/d。其中循环系统冷却水和脱盐水站清下水共326.64m</w:t>
      </w:r>
      <w:r>
        <w:rPr>
          <w:rFonts w:hint="eastAsia"/>
          <w:color w:val="auto"/>
          <w:vertAlign w:val="superscript"/>
        </w:rPr>
        <w:t>3</w:t>
      </w:r>
      <w:r>
        <w:rPr>
          <w:rFonts w:hint="eastAsia"/>
          <w:color w:val="auto"/>
        </w:rPr>
        <w:t>/d，水质较好直接排入厂区废水总排口进入新乡市小店污水处理厂处理，最终排入大沙河；喷丝组件清洗水、蒸发回收冷凝水、化验废水、地面清洗水和有机废气处理设施废水423.67m</w:t>
      </w:r>
      <w:r>
        <w:rPr>
          <w:rFonts w:hint="eastAsia"/>
          <w:color w:val="auto"/>
          <w:vertAlign w:val="superscript"/>
        </w:rPr>
        <w:t>3</w:t>
      </w:r>
      <w:r>
        <w:rPr>
          <w:rFonts w:hint="eastAsia"/>
          <w:color w:val="auto"/>
        </w:rPr>
        <w:t>/d</w:t>
      </w:r>
      <w:r>
        <w:rPr>
          <w:rFonts w:hint="eastAsia"/>
          <w:color w:val="auto"/>
          <w:lang w:val="en-US" w:eastAsia="zh-CN"/>
        </w:rPr>
        <w:t>进入</w:t>
      </w:r>
      <w:r>
        <w:rPr>
          <w:rFonts w:hint="eastAsia"/>
          <w:color w:val="auto"/>
        </w:rPr>
        <w:t>厂区</w:t>
      </w:r>
      <w:r>
        <w:rPr>
          <w:rFonts w:hint="eastAsia"/>
          <w:color w:val="auto"/>
          <w:lang w:val="en-US" w:eastAsia="zh-CN"/>
        </w:rPr>
        <w:t>污水处理站氨纶废水处理</w:t>
      </w:r>
      <w:r>
        <w:rPr>
          <w:rFonts w:hint="eastAsia"/>
          <w:color w:val="auto"/>
        </w:rPr>
        <w:t>单元处理，污水处理站出口以及总排口废水各项水质均能满足《污水综合排放标准》（GB8978-1996）表4</w:t>
      </w:r>
      <w:r>
        <w:rPr>
          <w:rFonts w:hint="eastAsia"/>
          <w:color w:val="auto"/>
          <w:lang w:val="en-US" w:eastAsia="zh-CN"/>
        </w:rPr>
        <w:t>二级</w:t>
      </w:r>
      <w:r>
        <w:rPr>
          <w:rFonts w:hint="eastAsia"/>
          <w:color w:val="auto"/>
          <w:lang w:eastAsia="zh-CN"/>
        </w:rPr>
        <w:t>、</w:t>
      </w:r>
      <w:r>
        <w:rPr>
          <w:rFonts w:hint="eastAsia"/>
          <w:color w:val="auto"/>
          <w:lang w:val="en-US" w:eastAsia="zh-CN"/>
        </w:rPr>
        <w:t>与小店污水处理厂收水协议标准及</w:t>
      </w:r>
      <w:r>
        <w:rPr>
          <w:rFonts w:hint="eastAsia"/>
          <w:color w:val="auto"/>
        </w:rPr>
        <w:t>小店污水处理厂的收水</w:t>
      </w:r>
      <w:r>
        <w:rPr>
          <w:rFonts w:hint="eastAsia"/>
          <w:color w:val="auto"/>
          <w:lang w:val="en-US" w:eastAsia="zh-CN"/>
        </w:rPr>
        <w:t>标准</w:t>
      </w:r>
      <w:r>
        <w:rPr>
          <w:rFonts w:hint="eastAsia"/>
          <w:color w:val="auto"/>
        </w:rPr>
        <w:t>，进入新乡市小店污水处理厂处理。</w:t>
      </w:r>
    </w:p>
    <w:p w14:paraId="08CE149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（3）噪声</w:t>
      </w:r>
    </w:p>
    <w:p w14:paraId="02EDC1E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工程将对高噪声设备采取减振、隔声等措施，各厂界均可以满足《工业企业厂界环境噪声排放标准》（GB12348-2008）3类昼间65dB(A)、夜间55dB(A</w:t>
      </w:r>
      <w:r>
        <w:rPr>
          <w:rFonts w:hint="eastAsia"/>
          <w:color w:val="auto"/>
          <w:lang w:eastAsia="zh-CN"/>
        </w:rPr>
        <w:t>)</w:t>
      </w:r>
      <w:r>
        <w:rPr>
          <w:rFonts w:hint="eastAsia"/>
          <w:color w:val="auto"/>
        </w:rPr>
        <w:t>的标准要求。</w:t>
      </w:r>
    </w:p>
    <w:p w14:paraId="5D44A96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（4）固废</w:t>
      </w:r>
    </w:p>
    <w:p w14:paraId="74ED22B4">
      <w:pPr>
        <w:keepNext w:val="0"/>
        <w:keepLines w:val="0"/>
        <w:pageBreakBefore w:val="0"/>
        <w:widowControl w:val="0"/>
        <w:kinsoku/>
        <w:wordWrap/>
        <w:overflowPunct/>
        <w:topLinePunct w:val="0"/>
        <w:autoSpaceDE/>
        <w:autoSpaceDN/>
        <w:bidi w:val="0"/>
        <w:adjustRightInd w:val="0"/>
        <w:snapToGrid w:val="0"/>
        <w:spacing w:line="360" w:lineRule="auto"/>
        <w:textAlignment w:val="auto"/>
        <w:rPr>
          <w:color w:val="auto"/>
        </w:rPr>
      </w:pPr>
      <w:r>
        <w:rPr>
          <w:rFonts w:hint="eastAsia"/>
          <w:color w:val="auto"/>
        </w:rPr>
        <w:t>工程产生的固废主要有除尘器收集颗粒物</w:t>
      </w:r>
      <w:r>
        <w:rPr>
          <w:rFonts w:hint="eastAsia"/>
          <w:color w:val="auto"/>
          <w:lang w:eastAsia="zh-CN"/>
        </w:rPr>
        <w:t>、</w:t>
      </w:r>
      <w:r>
        <w:rPr>
          <w:rFonts w:hint="eastAsia"/>
          <w:color w:val="auto"/>
          <w:lang w:val="en-US" w:eastAsia="zh-CN"/>
        </w:rPr>
        <w:t>废丝、</w:t>
      </w:r>
      <w:r>
        <w:rPr>
          <w:rFonts w:hint="eastAsia"/>
          <w:color w:val="auto"/>
          <w:lang w:eastAsia="zh-CN"/>
        </w:rPr>
        <w:t>滤渣、废滤芯、</w:t>
      </w:r>
      <w:r>
        <w:rPr>
          <w:rFonts w:hint="eastAsia"/>
          <w:color w:val="auto"/>
          <w:lang w:val="en-US" w:eastAsia="zh-CN"/>
        </w:rPr>
        <w:t>污泥</w:t>
      </w:r>
      <w:r>
        <w:rPr>
          <w:rFonts w:hint="eastAsia"/>
          <w:color w:val="auto"/>
          <w:lang w:eastAsia="zh-CN"/>
        </w:rPr>
        <w:t>、废包装桶、废活性炭</w:t>
      </w:r>
      <w:r>
        <w:rPr>
          <w:rFonts w:hint="eastAsia"/>
          <w:color w:val="auto"/>
        </w:rPr>
        <w:t>。其中</w:t>
      </w:r>
      <w:r>
        <w:rPr>
          <w:rFonts w:hint="eastAsia"/>
          <w:color w:val="auto"/>
          <w:lang w:eastAsia="zh-CN"/>
        </w:rPr>
        <w:t>废滤渣、废滤芯、D溶剂</w:t>
      </w:r>
      <w:r>
        <w:rPr>
          <w:rFonts w:hint="eastAsia"/>
          <w:color w:val="auto"/>
          <w:lang w:val="en-US" w:eastAsia="zh-CN"/>
        </w:rPr>
        <w:t>及</w:t>
      </w:r>
      <w:r>
        <w:rPr>
          <w:rFonts w:hint="eastAsia"/>
          <w:color w:val="auto"/>
          <w:lang w:eastAsia="zh-CN"/>
        </w:rPr>
        <w:t>油剂废包装桶、废活性炭</w:t>
      </w:r>
      <w:r>
        <w:rPr>
          <w:rFonts w:hint="eastAsia"/>
          <w:color w:val="auto"/>
        </w:rPr>
        <w:t>为危险废物，在危废暂存间暂存后定期交由有资质单位处置；除尘器收集颗粒物</w:t>
      </w:r>
      <w:r>
        <w:rPr>
          <w:rFonts w:hint="eastAsia"/>
          <w:color w:val="auto"/>
          <w:lang w:eastAsia="zh-CN"/>
        </w:rPr>
        <w:t>、</w:t>
      </w:r>
      <w:r>
        <w:rPr>
          <w:rFonts w:hint="eastAsia"/>
          <w:color w:val="auto"/>
          <w:lang w:val="en-US" w:eastAsia="zh-CN"/>
        </w:rPr>
        <w:t>废丝</w:t>
      </w:r>
      <w:r>
        <w:rPr>
          <w:rFonts w:hint="eastAsia"/>
          <w:color w:val="auto"/>
          <w:lang w:eastAsia="zh-CN"/>
        </w:rPr>
        <w:t>、T溶剂废包装桶、</w:t>
      </w:r>
      <w:r>
        <w:rPr>
          <w:rFonts w:hint="eastAsia"/>
          <w:color w:val="auto"/>
          <w:lang w:val="en-US" w:eastAsia="zh-CN"/>
        </w:rPr>
        <w:t>污泥</w:t>
      </w:r>
      <w:r>
        <w:rPr>
          <w:rFonts w:hint="eastAsia"/>
          <w:color w:val="auto"/>
        </w:rPr>
        <w:t>为一般固废，在一般固废暂存间暂存，定期</w:t>
      </w:r>
      <w:r>
        <w:rPr>
          <w:rFonts w:hint="eastAsia"/>
          <w:color w:val="auto"/>
          <w:lang w:val="en-US" w:eastAsia="zh-CN"/>
        </w:rPr>
        <w:t>回用生产或利用</w:t>
      </w:r>
      <w:r>
        <w:rPr>
          <w:rFonts w:hint="eastAsia"/>
          <w:color w:val="auto"/>
        </w:rPr>
        <w:t>。</w:t>
      </w:r>
    </w:p>
    <w:p w14:paraId="13D8B07D">
      <w:pPr>
        <w:pStyle w:val="5"/>
        <w:bidi w:val="0"/>
        <w:rPr>
          <w:color w:val="auto"/>
        </w:rPr>
      </w:pPr>
      <w:r>
        <w:rPr>
          <w:rFonts w:hint="eastAsia"/>
          <w:color w:val="auto"/>
        </w:rPr>
        <w:t>环境风险</w:t>
      </w:r>
    </w:p>
    <w:p w14:paraId="7D34B2D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highlight w:val="none"/>
        </w:rPr>
      </w:pPr>
      <w:r>
        <w:rPr>
          <w:rFonts w:hint="eastAsia"/>
          <w:color w:val="auto"/>
          <w:highlight w:val="none"/>
        </w:rPr>
        <w:t>本项目风险物质为纺丝油剂，在按照环评提出的防范与防控措施后，本项目环境风险是可防控的，环境风险影响可接受。</w:t>
      </w:r>
    </w:p>
    <w:p w14:paraId="635DB3A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rFonts w:hint="eastAsia"/>
          <w:color w:val="auto"/>
          <w:highlight w:val="none"/>
        </w:rPr>
        <w:t>为了提高环境风险事故的影响，建议企业定期安排环境风险应急演练，提高职工防范环境风险的素质，另外加强与区域应急预案衔接，进一步减少项目环境风险可能造成的影响。</w:t>
      </w:r>
    </w:p>
    <w:p w14:paraId="68F88453">
      <w:pPr>
        <w:pStyle w:val="5"/>
        <w:bidi w:val="0"/>
        <w:rPr>
          <w:color w:val="auto"/>
        </w:rPr>
      </w:pPr>
      <w:bookmarkStart w:id="357" w:name="_Toc11794"/>
      <w:r>
        <w:rPr>
          <w:color w:val="auto"/>
        </w:rPr>
        <w:t>工程环保投资</w:t>
      </w:r>
      <w:bookmarkEnd w:id="357"/>
    </w:p>
    <w:p w14:paraId="62BD81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本项目总投资</w:t>
      </w:r>
      <w:r>
        <w:rPr>
          <w:rFonts w:hint="eastAsia"/>
          <w:color w:val="auto"/>
          <w:lang w:val="en-US" w:eastAsia="zh-CN"/>
        </w:rPr>
        <w:t>6400</w:t>
      </w:r>
      <w:r>
        <w:rPr>
          <w:rFonts w:hint="eastAsia"/>
          <w:color w:val="auto"/>
        </w:rPr>
        <w:t>万元，其中环保投资约1</w:t>
      </w:r>
      <w:r>
        <w:rPr>
          <w:rFonts w:hint="eastAsia"/>
          <w:color w:val="auto"/>
          <w:lang w:val="en-US" w:eastAsia="zh-CN"/>
        </w:rPr>
        <w:t>61</w:t>
      </w:r>
      <w:r>
        <w:rPr>
          <w:rFonts w:hint="eastAsia"/>
          <w:color w:val="auto"/>
        </w:rPr>
        <w:t>万元，占总投资的</w:t>
      </w:r>
      <w:r>
        <w:rPr>
          <w:rFonts w:hint="eastAsia"/>
          <w:color w:val="auto"/>
          <w:lang w:val="en-US" w:eastAsia="zh-CN"/>
        </w:rPr>
        <w:t>2.5</w:t>
      </w:r>
      <w:r>
        <w:rPr>
          <w:rFonts w:hint="eastAsia"/>
          <w:color w:val="auto"/>
        </w:rPr>
        <w:t>%。</w:t>
      </w:r>
      <w:r>
        <w:rPr>
          <w:color w:val="auto"/>
        </w:rPr>
        <w:t>建设单位应认真落实评价提出的各项污染防治措施，确保落实到位，严格执行环保</w:t>
      </w:r>
      <w:r>
        <w:rPr>
          <w:rFonts w:hint="eastAsia"/>
          <w:color w:val="auto"/>
          <w:lang w:eastAsia="zh-CN"/>
        </w:rPr>
        <w:t>“</w:t>
      </w:r>
      <w:r>
        <w:rPr>
          <w:color w:val="auto"/>
        </w:rPr>
        <w:t>三同时</w:t>
      </w:r>
      <w:r>
        <w:rPr>
          <w:rFonts w:hint="eastAsia"/>
          <w:color w:val="auto"/>
          <w:lang w:eastAsia="zh-CN"/>
        </w:rPr>
        <w:t>”</w:t>
      </w:r>
      <w:r>
        <w:rPr>
          <w:color w:val="auto"/>
        </w:rPr>
        <w:t>制度。</w:t>
      </w:r>
    </w:p>
    <w:p w14:paraId="24B3F992">
      <w:pPr>
        <w:pStyle w:val="5"/>
        <w:bidi w:val="0"/>
      </w:pPr>
      <w:r>
        <w:t>工程建成后将具有较好的社会效益和经济效益</w:t>
      </w:r>
    </w:p>
    <w:p w14:paraId="74D19CE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color w:val="auto"/>
        </w:rPr>
        <w:t>由环境经济效益分析可知，项目采取的各种污染防治措施合理可行，可使项目生产过程中产生的污染物得到较大程度的削减，同时项目的建设将会促进当地经济发展，增加就业机会，具有较好的经济效益和社会效益。</w:t>
      </w:r>
    </w:p>
    <w:p w14:paraId="7F95ACB3">
      <w:pPr>
        <w:pStyle w:val="5"/>
        <w:bidi w:val="0"/>
        <w:rPr>
          <w:color w:val="auto"/>
        </w:rPr>
      </w:pPr>
      <w:r>
        <w:rPr>
          <w:rFonts w:hint="eastAsia"/>
          <w:color w:val="auto"/>
        </w:rPr>
        <w:t>公众参与调查结果表明，公众普遍支持该项目的建设</w:t>
      </w:r>
    </w:p>
    <w:p w14:paraId="231A722A">
      <w:pPr>
        <w:bidi w:val="0"/>
        <w:rPr>
          <w:color w:val="auto"/>
        </w:rPr>
      </w:pPr>
      <w:r>
        <w:rPr>
          <w:rFonts w:hint="eastAsia"/>
          <w:color w:val="auto"/>
        </w:rPr>
        <w:t>新乡化纤股份有限公司按照《环境影响评价公众参与办法》的要求，于202</w:t>
      </w:r>
      <w:r>
        <w:rPr>
          <w:rFonts w:hint="eastAsia"/>
          <w:color w:val="auto"/>
          <w:lang w:val="en-US" w:eastAsia="zh-CN"/>
        </w:rPr>
        <w:t>4</w:t>
      </w:r>
      <w:r>
        <w:rPr>
          <w:rFonts w:hint="eastAsia"/>
          <w:color w:val="auto"/>
        </w:rPr>
        <w:t>年</w:t>
      </w:r>
      <w:r>
        <w:rPr>
          <w:rFonts w:hint="eastAsia"/>
          <w:color w:val="auto"/>
          <w:lang w:val="en-US" w:eastAsia="zh-CN"/>
        </w:rPr>
        <w:t>3</w:t>
      </w:r>
      <w:r>
        <w:rPr>
          <w:rFonts w:hint="eastAsia"/>
          <w:color w:val="auto"/>
        </w:rPr>
        <w:t>月2</w:t>
      </w:r>
      <w:r>
        <w:rPr>
          <w:rFonts w:hint="eastAsia"/>
          <w:color w:val="auto"/>
          <w:lang w:val="en-US" w:eastAsia="zh-CN"/>
        </w:rPr>
        <w:t>9</w:t>
      </w:r>
      <w:r>
        <w:rPr>
          <w:rFonts w:hint="eastAsia"/>
          <w:color w:val="auto"/>
        </w:rPr>
        <w:t>日在</w:t>
      </w:r>
      <w:r>
        <w:rPr>
          <w:rFonts w:hint="eastAsia"/>
          <w:color w:val="auto"/>
          <w:lang w:val="en-US" w:eastAsia="zh-CN"/>
        </w:rPr>
        <w:t>新乡生活网</w:t>
      </w:r>
      <w:r>
        <w:rPr>
          <w:rFonts w:hint="eastAsia"/>
          <w:color w:val="auto"/>
        </w:rPr>
        <w:t>上进行了第一次公示；</w:t>
      </w:r>
      <w:r>
        <w:rPr>
          <w:rFonts w:hint="eastAsia"/>
          <w:color w:val="auto"/>
          <w:highlight w:val="none"/>
        </w:rPr>
        <w:t>并于202</w:t>
      </w:r>
      <w:r>
        <w:rPr>
          <w:rFonts w:hint="eastAsia"/>
          <w:color w:val="auto"/>
          <w:highlight w:val="none"/>
          <w:lang w:val="en-US" w:eastAsia="zh-CN"/>
        </w:rPr>
        <w:t>4</w:t>
      </w:r>
      <w:r>
        <w:rPr>
          <w:rFonts w:hint="eastAsia"/>
          <w:color w:val="auto"/>
          <w:highlight w:val="none"/>
        </w:rPr>
        <w:t>年</w:t>
      </w:r>
      <w:r>
        <w:rPr>
          <w:rFonts w:hint="eastAsia"/>
          <w:color w:val="auto"/>
          <w:highlight w:val="none"/>
          <w:lang w:val="en-US" w:eastAsia="zh-CN"/>
        </w:rPr>
        <w:t>4</w:t>
      </w:r>
      <w:r>
        <w:rPr>
          <w:rFonts w:hint="eastAsia"/>
          <w:color w:val="auto"/>
          <w:highlight w:val="none"/>
        </w:rPr>
        <w:t>月</w:t>
      </w:r>
      <w:r>
        <w:rPr>
          <w:rFonts w:hint="eastAsia"/>
          <w:color w:val="auto"/>
          <w:highlight w:val="none"/>
          <w:lang w:val="en-US" w:eastAsia="zh-CN"/>
        </w:rPr>
        <w:t>17</w:t>
      </w:r>
      <w:r>
        <w:rPr>
          <w:rFonts w:hint="eastAsia"/>
          <w:color w:val="auto"/>
          <w:highlight w:val="none"/>
        </w:rPr>
        <w:t>日</w:t>
      </w:r>
      <w:r>
        <w:rPr>
          <w:rFonts w:hint="eastAsia"/>
          <w:color w:val="auto"/>
          <w:highlight w:val="none"/>
          <w:lang w:eastAsia="zh-CN"/>
        </w:rPr>
        <w:t>—</w:t>
      </w:r>
      <w:r>
        <w:rPr>
          <w:rFonts w:hint="eastAsia"/>
          <w:color w:val="auto"/>
          <w:highlight w:val="none"/>
        </w:rPr>
        <w:t>202</w:t>
      </w:r>
      <w:r>
        <w:rPr>
          <w:rFonts w:hint="eastAsia"/>
          <w:color w:val="auto"/>
          <w:highlight w:val="none"/>
          <w:lang w:val="en-US" w:eastAsia="zh-CN"/>
        </w:rPr>
        <w:t>4</w:t>
      </w:r>
      <w:r>
        <w:rPr>
          <w:rFonts w:hint="eastAsia"/>
          <w:color w:val="auto"/>
          <w:highlight w:val="none"/>
        </w:rPr>
        <w:t>年</w:t>
      </w:r>
      <w:r>
        <w:rPr>
          <w:rFonts w:hint="eastAsia"/>
          <w:color w:val="auto"/>
          <w:highlight w:val="none"/>
          <w:lang w:val="en-US" w:eastAsia="zh-CN"/>
        </w:rPr>
        <w:t>4</w:t>
      </w:r>
      <w:r>
        <w:rPr>
          <w:rFonts w:hint="eastAsia"/>
          <w:color w:val="auto"/>
          <w:highlight w:val="none"/>
        </w:rPr>
        <w:t>月</w:t>
      </w:r>
      <w:r>
        <w:rPr>
          <w:rFonts w:hint="eastAsia"/>
          <w:color w:val="auto"/>
          <w:highlight w:val="none"/>
          <w:lang w:val="en-US" w:eastAsia="zh-CN"/>
        </w:rPr>
        <w:t>30</w:t>
      </w:r>
      <w:r>
        <w:rPr>
          <w:rFonts w:hint="eastAsia"/>
          <w:color w:val="auto"/>
          <w:highlight w:val="none"/>
        </w:rPr>
        <w:t>日在全国建设项目环境信息公示平台上</w:t>
      </w:r>
      <w:r>
        <w:rPr>
          <w:rFonts w:hint="eastAsia"/>
          <w:color w:val="auto"/>
        </w:rPr>
        <w:t>进行了征求意见稿全文公示并征求公众意见，根据建设单位反馈，公示期间没有收到关于本项目建设有关的意见和建议。</w:t>
      </w:r>
    </w:p>
    <w:p w14:paraId="1E24ABE3">
      <w:pPr>
        <w:bidi w:val="0"/>
        <w:rPr>
          <w:color w:val="auto"/>
        </w:rPr>
      </w:pPr>
      <w:r>
        <w:rPr>
          <w:rFonts w:hint="eastAsia"/>
          <w:color w:val="auto"/>
        </w:rPr>
        <w:t>建设单位的公参真实性、有效性、代表性、公正性符合相关环保要求。</w:t>
      </w:r>
    </w:p>
    <w:p w14:paraId="25FEA7F4">
      <w:pPr>
        <w:pStyle w:val="5"/>
        <w:bidi w:val="0"/>
        <w:rPr>
          <w:color w:val="auto"/>
        </w:rPr>
      </w:pPr>
      <w:r>
        <w:rPr>
          <w:rFonts w:hint="eastAsia"/>
          <w:color w:val="auto"/>
        </w:rPr>
        <w:t>总量控制指标建议</w:t>
      </w:r>
    </w:p>
    <w:p w14:paraId="53DE7DE7">
      <w:pPr>
        <w:bidi w:val="0"/>
        <w:rPr>
          <w:rFonts w:hint="eastAsia"/>
          <w:b/>
          <w:bCs/>
          <w:color w:val="auto"/>
          <w:sz w:val="24"/>
          <w:szCs w:val="24"/>
          <w:u w:val="single"/>
        </w:rPr>
      </w:pPr>
      <w:r>
        <w:rPr>
          <w:rFonts w:hint="eastAsia"/>
          <w:b/>
          <w:bCs/>
          <w:color w:val="auto"/>
          <w:sz w:val="24"/>
          <w:szCs w:val="24"/>
          <w:u w:val="single"/>
        </w:rPr>
        <w:t>评价建议将项目污染物排放量纳入总量指标进行控制：</w:t>
      </w:r>
    </w:p>
    <w:p w14:paraId="0F3AF916">
      <w:pPr>
        <w:pStyle w:val="186"/>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
          <w:bCs/>
          <w:sz w:val="24"/>
          <w:szCs w:val="24"/>
          <w:u w:val="single"/>
          <w:lang w:val="en-US" w:eastAsia="zh-CN"/>
        </w:rPr>
      </w:pPr>
      <w:bookmarkStart w:id="358" w:name="_Toc22017"/>
      <w:bookmarkStart w:id="359" w:name="_Toc28866861"/>
      <w:bookmarkStart w:id="360" w:name="_Toc489346024"/>
      <w:bookmarkStart w:id="361" w:name="_Toc7727"/>
      <w:bookmarkStart w:id="362" w:name="_Toc67041088"/>
      <w:r>
        <w:rPr>
          <w:rFonts w:hint="eastAsia"/>
          <w:b/>
          <w:bCs/>
          <w:color w:val="auto"/>
          <w:sz w:val="24"/>
          <w:szCs w:val="24"/>
          <w:highlight w:val="none"/>
          <w:u w:val="single"/>
          <w:lang w:val="en-US" w:eastAsia="zh-CN"/>
        </w:rPr>
        <w:t>本项目建成后</w:t>
      </w:r>
      <w:r>
        <w:rPr>
          <w:rFonts w:hint="default" w:ascii="Times New Roman" w:hAnsi="Times New Roman" w:cs="Times New Roman"/>
          <w:b/>
          <w:bCs/>
          <w:sz w:val="24"/>
          <w:szCs w:val="24"/>
          <w:u w:val="single"/>
          <w:lang w:val="en-US" w:eastAsia="zh-CN"/>
        </w:rPr>
        <w:t>新增</w:t>
      </w:r>
      <w:r>
        <w:rPr>
          <w:rFonts w:hint="default" w:ascii="Times New Roman" w:hAnsi="Times New Roman" w:cs="Times New Roman"/>
          <w:b/>
          <w:bCs/>
          <w:sz w:val="24"/>
          <w:szCs w:val="24"/>
          <w:u w:val="single"/>
        </w:rPr>
        <w:t>颗粒物0.0</w:t>
      </w:r>
      <w:r>
        <w:rPr>
          <w:rFonts w:hint="eastAsia" w:ascii="Times New Roman" w:hAnsi="Times New Roman" w:cs="Times New Roman"/>
          <w:b/>
          <w:bCs/>
          <w:sz w:val="24"/>
          <w:szCs w:val="24"/>
          <w:u w:val="single"/>
          <w:lang w:val="en-US" w:eastAsia="zh-CN"/>
        </w:rPr>
        <w:t>5</w:t>
      </w:r>
      <w:r>
        <w:rPr>
          <w:rFonts w:hint="default" w:ascii="Times New Roman" w:hAnsi="Times New Roman" w:cs="Times New Roman"/>
          <w:b/>
          <w:bCs/>
          <w:sz w:val="24"/>
          <w:szCs w:val="24"/>
          <w:u w:val="single"/>
        </w:rPr>
        <w:t>t/a</w:t>
      </w:r>
      <w:r>
        <w:rPr>
          <w:rFonts w:hint="default" w:ascii="Times New Roman" w:hAnsi="Times New Roman" w:cs="Times New Roman"/>
          <w:b/>
          <w:bCs/>
          <w:sz w:val="24"/>
          <w:szCs w:val="24"/>
          <w:u w:val="single"/>
          <w:lang w:eastAsia="zh-CN"/>
        </w:rPr>
        <w:t>、</w:t>
      </w:r>
      <w:r>
        <w:rPr>
          <w:rFonts w:hint="default" w:ascii="Times New Roman" w:hAnsi="Times New Roman" w:cs="Times New Roman"/>
          <w:b/>
          <w:bCs/>
          <w:sz w:val="24"/>
          <w:szCs w:val="24"/>
          <w:u w:val="single"/>
          <w:lang w:val="en-US" w:eastAsia="zh-CN"/>
        </w:rPr>
        <w:t>VOCs</w:t>
      </w:r>
      <w:r>
        <w:rPr>
          <w:rFonts w:hint="eastAsia" w:ascii="Times New Roman" w:hAnsi="Times New Roman" w:cs="Times New Roman"/>
          <w:b/>
          <w:bCs/>
          <w:sz w:val="24"/>
          <w:szCs w:val="24"/>
          <w:u w:val="single"/>
          <w:lang w:val="en-US" w:eastAsia="zh-CN"/>
        </w:rPr>
        <w:t>0.2898</w:t>
      </w:r>
      <w:r>
        <w:rPr>
          <w:rFonts w:hint="default" w:ascii="Times New Roman" w:hAnsi="Times New Roman" w:cs="Times New Roman"/>
          <w:b/>
          <w:bCs/>
          <w:sz w:val="24"/>
          <w:szCs w:val="24"/>
          <w:u w:val="single"/>
        </w:rPr>
        <w:t>/a</w:t>
      </w:r>
      <w:r>
        <w:rPr>
          <w:rFonts w:hint="default" w:ascii="Times New Roman" w:hAnsi="Times New Roman" w:cs="Times New Roman"/>
          <w:b/>
          <w:bCs/>
          <w:sz w:val="24"/>
          <w:szCs w:val="24"/>
          <w:u w:val="single"/>
          <w:lang w:eastAsia="zh-CN"/>
        </w:rPr>
        <w:t>、</w:t>
      </w:r>
      <w:r>
        <w:rPr>
          <w:rFonts w:hint="default" w:ascii="Times New Roman" w:hAnsi="Times New Roman" w:cs="Times New Roman"/>
          <w:b/>
          <w:bCs/>
          <w:sz w:val="24"/>
          <w:szCs w:val="24"/>
          <w:u w:val="single"/>
        </w:rPr>
        <w:t>COD</w:t>
      </w:r>
      <w:r>
        <w:rPr>
          <w:rFonts w:hint="eastAsia" w:ascii="Times New Roman" w:hAnsi="Times New Roman" w:cs="Times New Roman"/>
          <w:b/>
          <w:bCs/>
          <w:sz w:val="24"/>
          <w:szCs w:val="24"/>
          <w:u w:val="single"/>
          <w:lang w:val="en-US" w:eastAsia="zh-CN"/>
        </w:rPr>
        <w:t>9.9041</w:t>
      </w:r>
      <w:r>
        <w:rPr>
          <w:rFonts w:hint="default" w:ascii="Times New Roman" w:hAnsi="Times New Roman" w:cs="Times New Roman"/>
          <w:b/>
          <w:bCs/>
          <w:sz w:val="24"/>
          <w:szCs w:val="24"/>
          <w:u w:val="single"/>
        </w:rPr>
        <w:t>t/a、NH</w:t>
      </w:r>
      <w:r>
        <w:rPr>
          <w:rFonts w:hint="default" w:ascii="Times New Roman" w:hAnsi="Times New Roman" w:cs="Times New Roman"/>
          <w:b/>
          <w:bCs/>
          <w:sz w:val="24"/>
          <w:szCs w:val="24"/>
          <w:u w:val="single"/>
          <w:vertAlign w:val="subscript"/>
        </w:rPr>
        <w:t>3</w:t>
      </w:r>
      <w:r>
        <w:rPr>
          <w:rFonts w:hint="default" w:ascii="Times New Roman" w:hAnsi="Times New Roman" w:cs="Times New Roman"/>
          <w:b/>
          <w:bCs/>
          <w:sz w:val="24"/>
          <w:szCs w:val="24"/>
          <w:u w:val="single"/>
        </w:rPr>
        <w:t>-N</w:t>
      </w:r>
      <w:r>
        <w:rPr>
          <w:rFonts w:hint="eastAsia" w:ascii="Times New Roman" w:hAnsi="Times New Roman" w:cs="Times New Roman"/>
          <w:b/>
          <w:bCs/>
          <w:sz w:val="24"/>
          <w:szCs w:val="24"/>
          <w:u w:val="single"/>
          <w:lang w:val="en-US" w:eastAsia="zh-CN"/>
        </w:rPr>
        <w:t>0.495</w:t>
      </w:r>
      <w:r>
        <w:rPr>
          <w:rFonts w:hint="default" w:ascii="Times New Roman" w:hAnsi="Times New Roman" w:cs="Times New Roman"/>
          <w:b/>
          <w:bCs/>
          <w:sz w:val="24"/>
          <w:szCs w:val="24"/>
          <w:u w:val="single"/>
        </w:rPr>
        <w:t>t/a。</w:t>
      </w:r>
      <w:r>
        <w:rPr>
          <w:rFonts w:hint="default" w:ascii="Times New Roman" w:hAnsi="Times New Roman" w:cs="Times New Roman"/>
          <w:b/>
          <w:bCs/>
          <w:sz w:val="24"/>
          <w:szCs w:val="24"/>
          <w:u w:val="single"/>
          <w:lang w:val="en-US" w:eastAsia="zh-CN"/>
        </w:rPr>
        <w:t>大气污染物排放总量需双倍替代，水污染物总量需单倍替代，替代量为</w:t>
      </w:r>
      <w:r>
        <w:rPr>
          <w:rFonts w:hint="default" w:ascii="Times New Roman" w:hAnsi="Times New Roman" w:cs="Times New Roman"/>
          <w:b/>
          <w:bCs/>
          <w:sz w:val="24"/>
          <w:szCs w:val="24"/>
          <w:u w:val="single"/>
        </w:rPr>
        <w:t>颗粒物0.</w:t>
      </w:r>
      <w:r>
        <w:rPr>
          <w:rFonts w:hint="eastAsia" w:ascii="Times New Roman" w:hAnsi="Times New Roman" w:cs="Times New Roman"/>
          <w:b/>
          <w:bCs/>
          <w:sz w:val="24"/>
          <w:szCs w:val="24"/>
          <w:u w:val="single"/>
          <w:lang w:val="en-US" w:eastAsia="zh-CN"/>
        </w:rPr>
        <w:t>1</w:t>
      </w:r>
      <w:r>
        <w:rPr>
          <w:rFonts w:hint="default" w:ascii="Times New Roman" w:hAnsi="Times New Roman" w:cs="Times New Roman"/>
          <w:b/>
          <w:bCs/>
          <w:sz w:val="24"/>
          <w:szCs w:val="24"/>
          <w:u w:val="single"/>
        </w:rPr>
        <w:t>t/a</w:t>
      </w:r>
      <w:r>
        <w:rPr>
          <w:rFonts w:hint="default" w:ascii="Times New Roman" w:hAnsi="Times New Roman" w:cs="Times New Roman"/>
          <w:b/>
          <w:bCs/>
          <w:sz w:val="24"/>
          <w:szCs w:val="24"/>
          <w:u w:val="single"/>
          <w:lang w:eastAsia="zh-CN"/>
        </w:rPr>
        <w:t>、</w:t>
      </w:r>
      <w:r>
        <w:rPr>
          <w:rFonts w:hint="default" w:ascii="Times New Roman" w:hAnsi="Times New Roman" w:cs="Times New Roman"/>
          <w:b/>
          <w:bCs/>
          <w:sz w:val="24"/>
          <w:szCs w:val="24"/>
          <w:u w:val="single"/>
          <w:lang w:val="en-US" w:eastAsia="zh-CN"/>
        </w:rPr>
        <w:t>VOCs</w:t>
      </w:r>
      <w:r>
        <w:rPr>
          <w:rFonts w:hint="eastAsia" w:ascii="Times New Roman" w:hAnsi="Times New Roman" w:cs="Times New Roman"/>
          <w:b/>
          <w:bCs/>
          <w:sz w:val="24"/>
          <w:szCs w:val="24"/>
          <w:u w:val="single"/>
          <w:lang w:val="en-US" w:eastAsia="zh-CN"/>
        </w:rPr>
        <w:t>0.2898</w:t>
      </w:r>
      <w:r>
        <w:rPr>
          <w:rFonts w:hint="default" w:ascii="Times New Roman" w:hAnsi="Times New Roman" w:cs="Times New Roman"/>
          <w:b/>
          <w:bCs/>
          <w:sz w:val="24"/>
          <w:szCs w:val="24"/>
          <w:u w:val="single"/>
        </w:rPr>
        <w:t>/a</w:t>
      </w:r>
      <w:r>
        <w:rPr>
          <w:rFonts w:hint="default" w:ascii="Times New Roman" w:hAnsi="Times New Roman" w:cs="Times New Roman"/>
          <w:b/>
          <w:bCs/>
          <w:sz w:val="24"/>
          <w:szCs w:val="24"/>
          <w:u w:val="single"/>
          <w:lang w:eastAsia="zh-CN"/>
        </w:rPr>
        <w:t>、</w:t>
      </w:r>
      <w:r>
        <w:rPr>
          <w:rFonts w:hint="default" w:ascii="Times New Roman" w:hAnsi="Times New Roman" w:cs="Times New Roman"/>
          <w:b/>
          <w:bCs/>
          <w:sz w:val="24"/>
          <w:szCs w:val="24"/>
          <w:u w:val="single"/>
        </w:rPr>
        <w:t>COD</w:t>
      </w:r>
      <w:r>
        <w:rPr>
          <w:rFonts w:hint="eastAsia" w:ascii="Times New Roman" w:hAnsi="Times New Roman" w:cs="Times New Roman"/>
          <w:b/>
          <w:bCs/>
          <w:sz w:val="24"/>
          <w:szCs w:val="24"/>
          <w:u w:val="single"/>
          <w:lang w:val="en-US" w:eastAsia="zh-CN"/>
        </w:rPr>
        <w:t>9.9041</w:t>
      </w:r>
      <w:r>
        <w:rPr>
          <w:rFonts w:hint="default" w:ascii="Times New Roman" w:hAnsi="Times New Roman" w:cs="Times New Roman"/>
          <w:b/>
          <w:bCs/>
          <w:sz w:val="24"/>
          <w:szCs w:val="24"/>
          <w:u w:val="single"/>
        </w:rPr>
        <w:t>t/a、NH</w:t>
      </w:r>
      <w:r>
        <w:rPr>
          <w:rFonts w:hint="default" w:ascii="Times New Roman" w:hAnsi="Times New Roman" w:cs="Times New Roman"/>
          <w:b/>
          <w:bCs/>
          <w:sz w:val="24"/>
          <w:szCs w:val="24"/>
          <w:u w:val="single"/>
          <w:vertAlign w:val="subscript"/>
        </w:rPr>
        <w:t>3</w:t>
      </w:r>
      <w:r>
        <w:rPr>
          <w:rFonts w:hint="default" w:ascii="Times New Roman" w:hAnsi="Times New Roman" w:cs="Times New Roman"/>
          <w:b/>
          <w:bCs/>
          <w:sz w:val="24"/>
          <w:szCs w:val="24"/>
          <w:u w:val="single"/>
        </w:rPr>
        <w:t>-N</w:t>
      </w:r>
      <w:r>
        <w:rPr>
          <w:rFonts w:hint="eastAsia" w:ascii="Times New Roman" w:hAnsi="Times New Roman" w:cs="Times New Roman"/>
          <w:b/>
          <w:bCs/>
          <w:sz w:val="24"/>
          <w:szCs w:val="24"/>
          <w:u w:val="single"/>
          <w:lang w:val="en-US" w:eastAsia="zh-CN"/>
        </w:rPr>
        <w:t>0.495</w:t>
      </w:r>
      <w:r>
        <w:rPr>
          <w:rFonts w:hint="default" w:ascii="Times New Roman" w:hAnsi="Times New Roman" w:cs="Times New Roman"/>
          <w:b/>
          <w:bCs/>
          <w:sz w:val="24"/>
          <w:szCs w:val="24"/>
          <w:u w:val="single"/>
        </w:rPr>
        <w:t>t/a</w:t>
      </w:r>
      <w:r>
        <w:rPr>
          <w:rFonts w:hint="default" w:ascii="Times New Roman" w:hAnsi="Times New Roman" w:cs="Times New Roman"/>
          <w:b/>
          <w:bCs/>
          <w:sz w:val="24"/>
          <w:szCs w:val="24"/>
          <w:u w:val="single"/>
          <w:lang w:val="en-US" w:eastAsia="zh-CN"/>
        </w:rPr>
        <w:t>。</w:t>
      </w:r>
    </w:p>
    <w:p w14:paraId="3E968454">
      <w:pPr>
        <w:bidi w:val="0"/>
        <w:rPr>
          <w:b w:val="0"/>
          <w:bCs w:val="0"/>
          <w:color w:val="auto"/>
          <w:sz w:val="24"/>
          <w:szCs w:val="24"/>
          <w:highlight w:val="none"/>
          <w:u w:val="none"/>
        </w:rPr>
      </w:pPr>
      <w:r>
        <w:rPr>
          <w:rFonts w:hint="default" w:ascii="Times New Roman" w:hAnsi="Times New Roman" w:cs="Times New Roman"/>
          <w:b/>
          <w:bCs/>
          <w:sz w:val="24"/>
          <w:szCs w:val="24"/>
          <w:u w:val="single"/>
          <w:lang w:val="en-US" w:eastAsia="zh-CN"/>
        </w:rPr>
        <w:t>其中</w:t>
      </w:r>
      <w:r>
        <w:rPr>
          <w:rFonts w:hint="default" w:ascii="Times New Roman" w:hAnsi="Times New Roman" w:cs="Times New Roman"/>
          <w:b/>
          <w:bCs/>
          <w:sz w:val="24"/>
          <w:szCs w:val="24"/>
          <w:u w:val="single"/>
        </w:rPr>
        <w:t>颗粒物0.</w:t>
      </w:r>
      <w:r>
        <w:rPr>
          <w:rFonts w:hint="eastAsia" w:cs="Times New Roman"/>
          <w:b/>
          <w:bCs/>
          <w:sz w:val="24"/>
          <w:szCs w:val="24"/>
          <w:u w:val="single"/>
          <w:lang w:val="en-US" w:eastAsia="zh-CN"/>
        </w:rPr>
        <w:t>1</w:t>
      </w:r>
      <w:r>
        <w:rPr>
          <w:rFonts w:hint="default" w:ascii="Times New Roman" w:hAnsi="Times New Roman" w:cs="Times New Roman"/>
          <w:b/>
          <w:bCs/>
          <w:sz w:val="24"/>
          <w:szCs w:val="24"/>
          <w:u w:val="single"/>
        </w:rPr>
        <w:t>t/a</w:t>
      </w:r>
      <w:r>
        <w:rPr>
          <w:rFonts w:hint="default" w:ascii="Times New Roman" w:hAnsi="Times New Roman" w:cs="Times New Roman"/>
          <w:b/>
          <w:bCs/>
          <w:sz w:val="24"/>
          <w:szCs w:val="24"/>
          <w:u w:val="single"/>
          <w:lang w:eastAsia="zh-CN"/>
        </w:rPr>
        <w:t>、</w:t>
      </w:r>
      <w:r>
        <w:rPr>
          <w:rFonts w:hint="default" w:ascii="Times New Roman" w:hAnsi="Times New Roman" w:cs="Times New Roman"/>
          <w:b/>
          <w:bCs/>
          <w:sz w:val="24"/>
          <w:szCs w:val="24"/>
          <w:u w:val="single"/>
        </w:rPr>
        <w:t>COD</w:t>
      </w:r>
      <w:r>
        <w:rPr>
          <w:rFonts w:hint="eastAsia" w:ascii="Times New Roman" w:hAnsi="Times New Roman" w:cs="Times New Roman"/>
          <w:b/>
          <w:bCs/>
          <w:sz w:val="24"/>
          <w:szCs w:val="24"/>
          <w:u w:val="single"/>
          <w:lang w:val="en-US" w:eastAsia="zh-CN"/>
        </w:rPr>
        <w:t>9.9041</w:t>
      </w:r>
      <w:r>
        <w:rPr>
          <w:rFonts w:hint="default" w:ascii="Times New Roman" w:hAnsi="Times New Roman" w:cs="Times New Roman"/>
          <w:b/>
          <w:bCs/>
          <w:sz w:val="24"/>
          <w:szCs w:val="24"/>
          <w:u w:val="single"/>
        </w:rPr>
        <w:t>t/a、NH</w:t>
      </w:r>
      <w:r>
        <w:rPr>
          <w:rFonts w:hint="default" w:ascii="Times New Roman" w:hAnsi="Times New Roman" w:cs="Times New Roman"/>
          <w:b/>
          <w:bCs/>
          <w:sz w:val="24"/>
          <w:szCs w:val="24"/>
          <w:u w:val="single"/>
          <w:vertAlign w:val="subscript"/>
        </w:rPr>
        <w:t>3</w:t>
      </w:r>
      <w:r>
        <w:rPr>
          <w:rFonts w:hint="default" w:ascii="Times New Roman" w:hAnsi="Times New Roman" w:cs="Times New Roman"/>
          <w:b/>
          <w:bCs/>
          <w:sz w:val="24"/>
          <w:szCs w:val="24"/>
          <w:u w:val="single"/>
        </w:rPr>
        <w:t>-N</w:t>
      </w:r>
      <w:r>
        <w:rPr>
          <w:rFonts w:hint="eastAsia" w:ascii="Times New Roman" w:hAnsi="Times New Roman" w:cs="Times New Roman"/>
          <w:b/>
          <w:bCs/>
          <w:sz w:val="24"/>
          <w:szCs w:val="24"/>
          <w:u w:val="single"/>
          <w:lang w:val="en-US" w:eastAsia="zh-CN"/>
        </w:rPr>
        <w:t>0.495</w:t>
      </w:r>
      <w:r>
        <w:rPr>
          <w:rFonts w:hint="default" w:ascii="Times New Roman" w:hAnsi="Times New Roman" w:cs="Times New Roman"/>
          <w:b/>
          <w:bCs/>
          <w:sz w:val="24"/>
          <w:szCs w:val="24"/>
          <w:u w:val="single"/>
        </w:rPr>
        <w:t>t/a</w:t>
      </w:r>
      <w:r>
        <w:rPr>
          <w:rFonts w:hint="default" w:ascii="Times New Roman" w:hAnsi="Times New Roman" w:cs="Times New Roman"/>
          <w:b/>
          <w:bCs/>
          <w:sz w:val="24"/>
          <w:szCs w:val="24"/>
          <w:u w:val="single"/>
          <w:lang w:val="en-US" w:eastAsia="zh-CN"/>
        </w:rPr>
        <w:t>总量替代</w:t>
      </w:r>
      <w:r>
        <w:rPr>
          <w:rFonts w:hint="default" w:ascii="Times New Roman" w:hAnsi="Times New Roman" w:cs="Times New Roman"/>
          <w:b/>
          <w:bCs/>
          <w:sz w:val="24"/>
          <w:szCs w:val="24"/>
          <w:u w:val="single"/>
        </w:rPr>
        <w:t>从新乡化纤股份有限公司新厂区关停淘汰“年产4万吨高品质差别化粘胶短纤维项目”产生的削减量中替代</w:t>
      </w:r>
      <w:r>
        <w:rPr>
          <w:rFonts w:hint="default" w:ascii="Times New Roman" w:hAnsi="Times New Roman" w:cs="Times New Roman"/>
          <w:b/>
          <w:bCs/>
          <w:sz w:val="24"/>
          <w:szCs w:val="24"/>
          <w:u w:val="single"/>
          <w:lang w:eastAsia="zh-CN"/>
        </w:rPr>
        <w:t>，</w:t>
      </w:r>
      <w:r>
        <w:rPr>
          <w:rFonts w:hint="default" w:ascii="Times New Roman" w:hAnsi="Times New Roman" w:cs="Times New Roman"/>
          <w:b/>
          <w:bCs/>
          <w:sz w:val="24"/>
          <w:szCs w:val="24"/>
          <w:u w:val="single"/>
        </w:rPr>
        <w:t>该项目于2022年停产，并</w:t>
      </w:r>
      <w:r>
        <w:rPr>
          <w:rFonts w:hint="default" w:ascii="Times New Roman" w:hAnsi="Times New Roman" w:cs="Times New Roman"/>
          <w:b/>
          <w:bCs/>
          <w:sz w:val="24"/>
          <w:szCs w:val="24"/>
          <w:u w:val="single"/>
          <w:lang w:eastAsia="zh-CN"/>
        </w:rPr>
        <w:t>已</w:t>
      </w:r>
      <w:r>
        <w:rPr>
          <w:rFonts w:hint="default" w:ascii="Times New Roman" w:hAnsi="Times New Roman" w:cs="Times New Roman"/>
          <w:b/>
          <w:bCs/>
          <w:sz w:val="24"/>
          <w:szCs w:val="24"/>
          <w:u w:val="single"/>
        </w:rPr>
        <w:t>拆除。根据《新乡化纤股份有限公司年产4万吨高品质差别化粘胶短纤维项目环境影响报告》，该项目拆除后废气污染物颗粒物</w:t>
      </w:r>
      <w:r>
        <w:rPr>
          <w:rFonts w:hint="eastAsia" w:ascii="Times New Roman" w:hAnsi="Times New Roman" w:cs="Times New Roman"/>
          <w:b/>
          <w:bCs/>
          <w:sz w:val="24"/>
          <w:szCs w:val="24"/>
          <w:u w:val="single"/>
          <w:lang w:val="en-US" w:eastAsia="zh-CN"/>
        </w:rPr>
        <w:t>剩余</w:t>
      </w:r>
      <w:r>
        <w:rPr>
          <w:rFonts w:hint="default" w:ascii="Times New Roman" w:hAnsi="Times New Roman" w:cs="Times New Roman"/>
          <w:b/>
          <w:bCs/>
          <w:sz w:val="24"/>
          <w:szCs w:val="24"/>
          <w:u w:val="single"/>
        </w:rPr>
        <w:t>削减量为233.</w:t>
      </w:r>
      <w:r>
        <w:rPr>
          <w:rFonts w:hint="eastAsia" w:ascii="Times New Roman" w:hAnsi="Times New Roman" w:cs="Times New Roman"/>
          <w:b/>
          <w:bCs/>
          <w:sz w:val="24"/>
          <w:szCs w:val="24"/>
          <w:u w:val="single"/>
          <w:lang w:val="en-US" w:eastAsia="zh-CN"/>
        </w:rPr>
        <w:t>608</w:t>
      </w:r>
      <w:r>
        <w:rPr>
          <w:rFonts w:hint="default" w:ascii="Times New Roman" w:hAnsi="Times New Roman" w:cs="Times New Roman"/>
          <w:b/>
          <w:bCs/>
          <w:sz w:val="24"/>
          <w:szCs w:val="24"/>
          <w:u w:val="single"/>
        </w:rPr>
        <w:t>t/a；该项目拆除后</w:t>
      </w:r>
      <w:r>
        <w:rPr>
          <w:rFonts w:hint="eastAsia" w:ascii="Times New Roman" w:hAnsi="Times New Roman" w:cs="Times New Roman"/>
          <w:b/>
          <w:bCs/>
          <w:sz w:val="24"/>
          <w:szCs w:val="24"/>
          <w:u w:val="single"/>
          <w:lang w:val="en-US" w:eastAsia="zh-CN"/>
        </w:rPr>
        <w:t>废水</w:t>
      </w:r>
      <w:r>
        <w:rPr>
          <w:rFonts w:hint="default" w:ascii="Times New Roman" w:hAnsi="Times New Roman" w:cs="Times New Roman"/>
          <w:b/>
          <w:bCs/>
          <w:sz w:val="24"/>
          <w:szCs w:val="24"/>
          <w:u w:val="single"/>
        </w:rPr>
        <w:t>污染物</w:t>
      </w:r>
      <w:r>
        <w:rPr>
          <w:rFonts w:hint="eastAsia" w:ascii="Times New Roman" w:hAnsi="Times New Roman" w:cs="Times New Roman"/>
          <w:b/>
          <w:bCs/>
          <w:sz w:val="24"/>
          <w:szCs w:val="24"/>
          <w:u w:val="single"/>
          <w:lang w:val="en-US" w:eastAsia="zh-CN"/>
        </w:rPr>
        <w:t>剩余</w:t>
      </w:r>
      <w:r>
        <w:rPr>
          <w:rFonts w:hint="default" w:ascii="Times New Roman" w:hAnsi="Times New Roman" w:cs="Times New Roman"/>
          <w:b/>
          <w:bCs/>
          <w:sz w:val="24"/>
          <w:szCs w:val="24"/>
          <w:u w:val="single"/>
        </w:rPr>
        <w:t>削减量为：COD</w:t>
      </w:r>
      <w:r>
        <w:rPr>
          <w:rFonts w:hint="eastAsia" w:ascii="Times New Roman" w:hAnsi="Times New Roman" w:cs="Times New Roman"/>
          <w:b/>
          <w:bCs/>
          <w:sz w:val="24"/>
          <w:szCs w:val="24"/>
          <w:u w:val="single"/>
          <w:lang w:val="en-US" w:eastAsia="zh-CN"/>
        </w:rPr>
        <w:t>169.4749</w:t>
      </w:r>
      <w:r>
        <w:rPr>
          <w:rFonts w:hint="default" w:ascii="Times New Roman" w:hAnsi="Times New Roman" w:cs="Times New Roman"/>
          <w:b/>
          <w:bCs/>
          <w:sz w:val="24"/>
          <w:szCs w:val="24"/>
          <w:u w:val="single"/>
        </w:rPr>
        <w:t>t/a，氨氮</w:t>
      </w:r>
      <w:r>
        <w:rPr>
          <w:rFonts w:hint="eastAsia" w:ascii="Times New Roman" w:hAnsi="Times New Roman" w:cs="Times New Roman"/>
          <w:b/>
          <w:bCs/>
          <w:sz w:val="24"/>
          <w:szCs w:val="24"/>
          <w:u w:val="single"/>
          <w:lang w:val="en-US" w:eastAsia="zh-CN"/>
        </w:rPr>
        <w:t>8.4738</w:t>
      </w:r>
      <w:r>
        <w:rPr>
          <w:rFonts w:hint="default" w:ascii="Times New Roman" w:hAnsi="Times New Roman" w:cs="Times New Roman"/>
          <w:b/>
          <w:bCs/>
          <w:sz w:val="24"/>
          <w:szCs w:val="24"/>
          <w:u w:val="single"/>
        </w:rPr>
        <w:t>t/a。</w:t>
      </w:r>
      <w:r>
        <w:rPr>
          <w:rFonts w:hint="default" w:ascii="Times New Roman" w:hAnsi="Times New Roman" w:cs="Times New Roman"/>
          <w:b/>
          <w:bCs/>
          <w:sz w:val="24"/>
          <w:szCs w:val="24"/>
          <w:u w:val="single"/>
          <w:lang w:val="en-US" w:eastAsia="zh-CN"/>
        </w:rPr>
        <w:t>VOCs0.</w:t>
      </w:r>
      <w:r>
        <w:rPr>
          <w:rFonts w:hint="eastAsia" w:cs="Times New Roman"/>
          <w:b/>
          <w:bCs/>
          <w:sz w:val="24"/>
          <w:szCs w:val="24"/>
          <w:u w:val="single"/>
          <w:lang w:val="en-US" w:eastAsia="zh-CN"/>
        </w:rPr>
        <w:t>5796</w:t>
      </w:r>
      <w:r>
        <w:rPr>
          <w:rFonts w:hint="default" w:ascii="Times New Roman" w:hAnsi="Times New Roman" w:cs="Times New Roman"/>
          <w:b/>
          <w:bCs/>
          <w:sz w:val="24"/>
          <w:szCs w:val="24"/>
          <w:u w:val="single"/>
          <w:lang w:val="en-US" w:eastAsia="zh-CN"/>
        </w:rPr>
        <w:t>t/a总量替代来自</w:t>
      </w:r>
      <w:r>
        <w:rPr>
          <w:rFonts w:hint="eastAsia" w:cs="Times New Roman"/>
          <w:b/>
          <w:bCs/>
          <w:sz w:val="24"/>
          <w:szCs w:val="24"/>
          <w:u w:val="single"/>
          <w:lang w:val="en-US" w:eastAsia="zh-CN"/>
        </w:rPr>
        <w:t>河南东海复合材料有限公司挥发性有机物治理剩余的3.2002吨。</w:t>
      </w:r>
    </w:p>
    <w:p w14:paraId="7CE435B9">
      <w:pPr>
        <w:pStyle w:val="3"/>
        <w:bidi w:val="0"/>
        <w:rPr>
          <w:color w:val="auto"/>
        </w:rPr>
      </w:pPr>
      <w:bookmarkStart w:id="363" w:name="_Toc2742"/>
      <w:r>
        <w:rPr>
          <w:color w:val="auto"/>
        </w:rPr>
        <w:t>总结论</w:t>
      </w:r>
      <w:bookmarkEnd w:id="358"/>
      <w:bookmarkEnd w:id="359"/>
      <w:bookmarkEnd w:id="360"/>
      <w:bookmarkEnd w:id="361"/>
      <w:bookmarkEnd w:id="362"/>
      <w:bookmarkEnd w:id="363"/>
    </w:p>
    <w:p w14:paraId="04C83C54">
      <w:pPr>
        <w:bidi w:val="0"/>
        <w:rPr>
          <w:color w:val="auto"/>
        </w:rPr>
      </w:pPr>
      <w:r>
        <w:rPr>
          <w:color w:val="auto"/>
        </w:rPr>
        <w:t>新乡化纤股份有限公司</w:t>
      </w:r>
      <w:r>
        <w:rPr>
          <w:rFonts w:hint="eastAsia"/>
          <w:color w:val="auto"/>
          <w:lang w:eastAsia="zh-CN"/>
        </w:rPr>
        <w:t>年产1000吨DT溶剂法再生纤维素纤维中试研发项目</w:t>
      </w:r>
      <w:r>
        <w:rPr>
          <w:rFonts w:hint="eastAsia"/>
          <w:color w:val="auto"/>
        </w:rPr>
        <w:t>属于《产业结构调整指导目录（20</w:t>
      </w:r>
      <w:r>
        <w:rPr>
          <w:rFonts w:hint="eastAsia"/>
          <w:color w:val="auto"/>
          <w:lang w:val="en-US" w:eastAsia="zh-CN"/>
        </w:rPr>
        <w:t>24</w:t>
      </w:r>
      <w:r>
        <w:rPr>
          <w:rFonts w:hint="eastAsia"/>
          <w:color w:val="auto"/>
        </w:rPr>
        <w:t>年本）》中鼓励类“二十、纺织”第10项，符合国家产业政策要求。该项目已经新乡经济技术开发区管理委员会备案，备案编号：2403-410772-04-02-585568。的鼓励类，符合国家产业政策；项目用地为工业用地，符合园区总体发展规划要求；根据环境影响预测结果：在保证评价要求和工程设计的防治措施正常运行的条件下，本项目对周围大气环境、地表水环境、地下水环境以及声环境的影响可接受；工程环境风险可接受；工程完成后，各项污染防治措施可行，全厂废水、废气、噪声污染物能够做到达标排放，固废采取了有效的处置措施；公众参与调查结果表明，公众对项目的建设无反对意见。从环保角度而言，该项目建设可行。</w:t>
      </w:r>
    </w:p>
    <w:bookmarkEnd w:id="356"/>
    <w:p w14:paraId="390FCD14">
      <w:pPr>
        <w:pStyle w:val="3"/>
        <w:bidi w:val="0"/>
        <w:rPr>
          <w:color w:val="auto"/>
        </w:rPr>
      </w:pPr>
      <w:bookmarkStart w:id="364" w:name="_Toc28696"/>
      <w:r>
        <w:rPr>
          <w:color w:val="auto"/>
        </w:rPr>
        <w:t>建议</w:t>
      </w:r>
      <w:bookmarkEnd w:id="364"/>
    </w:p>
    <w:p w14:paraId="0224110D">
      <w:pPr>
        <w:bidi w:val="0"/>
        <w:rPr>
          <w:color w:val="auto"/>
        </w:rPr>
      </w:pPr>
      <w:r>
        <w:rPr>
          <w:color w:val="auto"/>
        </w:rPr>
        <w:t>（1）建设单位应严格执行环保“三同时”制度，确保环保资金落实到位。</w:t>
      </w:r>
    </w:p>
    <w:p w14:paraId="0CEADBF8">
      <w:pPr>
        <w:bidi w:val="0"/>
        <w:rPr>
          <w:color w:val="auto"/>
        </w:rPr>
      </w:pPr>
      <w:r>
        <w:rPr>
          <w:color w:val="auto"/>
        </w:rPr>
        <w:t>（2）建立健全安全生产和管理制度，积极消除事故隐患，杜绝事故发生。</w:t>
      </w:r>
    </w:p>
    <w:p w14:paraId="2BA44034">
      <w:pPr>
        <w:bidi w:val="0"/>
        <w:rPr>
          <w:color w:val="auto"/>
        </w:rPr>
      </w:pPr>
      <w:r>
        <w:rPr>
          <w:color w:val="auto"/>
        </w:rPr>
        <w:t>（3）加强公司清洁生产工作，认真实施各项清洁生产措施，提高原料利用率，减少污染物的排放量。</w:t>
      </w:r>
    </w:p>
    <w:p w14:paraId="1FABC802">
      <w:pPr>
        <w:bidi w:val="0"/>
        <w:rPr>
          <w:color w:val="auto"/>
        </w:rPr>
      </w:pPr>
      <w:r>
        <w:rPr>
          <w:color w:val="auto"/>
        </w:rPr>
        <w:t>（4）加强厂区及周围的环境绿化，利用绿色植物阻滞粉尘、吸音降噪作用，有效降低噪声对外环境的影响。</w:t>
      </w:r>
    </w:p>
    <w:p w14:paraId="38CF0C56">
      <w:pPr>
        <w:bidi w:val="0"/>
        <w:rPr>
          <w:color w:val="auto"/>
        </w:rPr>
      </w:pPr>
      <w:r>
        <w:rPr>
          <w:color w:val="auto"/>
        </w:rPr>
        <w:t>（5）加强环境保护机构建设，健全环保规章制度，加强对各种污染防治设施的运行管理，定期维护检修，确保其正常稳定运行。</w:t>
      </w:r>
    </w:p>
    <w:p w14:paraId="5081AAA4">
      <w:pPr>
        <w:bidi w:val="0"/>
        <w:rPr>
          <w:color w:val="auto"/>
        </w:rPr>
        <w:sectPr>
          <w:footerReference r:id="rId20" w:type="default"/>
          <w:pgSz w:w="11906" w:h="16838"/>
          <w:pgMar w:top="1440" w:right="1803" w:bottom="1440" w:left="1803" w:header="851" w:footer="1134" w:gutter="0"/>
          <w:pgNumType w:fmt="decimal"/>
          <w:cols w:space="720" w:num="1"/>
          <w:docGrid w:linePitch="312" w:charSpace="0"/>
        </w:sectPr>
      </w:pPr>
      <w:r>
        <w:rPr>
          <w:color w:val="auto"/>
        </w:rPr>
        <w:t>（6）规范员工的岗位操作章程制度、增强员工的安全意识。</w:t>
      </w:r>
    </w:p>
    <w:p w14:paraId="7F998221">
      <w:pPr>
        <w:bidi w:val="0"/>
        <w:rPr>
          <w:rFonts w:hint="eastAsia" w:eastAsia="宋体"/>
          <w:lang w:eastAsia="zh-CN"/>
        </w:rPr>
        <w:sectPr>
          <w:pgSz w:w="11906" w:h="16838"/>
          <w:pgMar w:top="1440" w:right="1803" w:bottom="1440" w:left="1803" w:header="851" w:footer="1134" w:gutter="0"/>
          <w:pgNumType w:fmt="decimal"/>
          <w:cols w:space="720" w:num="1"/>
          <w:docGrid w:linePitch="312" w:charSpace="0"/>
        </w:sectPr>
      </w:pPr>
      <w:r>
        <w:rPr>
          <w:rFonts w:hint="eastAsia" w:eastAsia="宋体"/>
          <w:lang w:eastAsia="zh-CN"/>
        </w:rPr>
        <w:drawing>
          <wp:inline distT="0" distB="0" distL="114300" distR="114300">
            <wp:extent cx="5263515" cy="7442835"/>
            <wp:effectExtent l="0" t="0" r="13335" b="5715"/>
            <wp:docPr id="103" name="图片 103" descr="附件12评审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附件12评审意见_00"/>
                    <pic:cNvPicPr>
                      <a:picLocks noChangeAspect="1"/>
                    </pic:cNvPicPr>
                  </pic:nvPicPr>
                  <pic:blipFill>
                    <a:blip r:embed="rId99"/>
                    <a:stretch>
                      <a:fillRect/>
                    </a:stretch>
                  </pic:blipFill>
                  <pic:spPr>
                    <a:xfrm>
                      <a:off x="0" y="0"/>
                      <a:ext cx="5263515" cy="7442835"/>
                    </a:xfrm>
                    <a:prstGeom prst="rect">
                      <a:avLst/>
                    </a:prstGeom>
                  </pic:spPr>
                </pic:pic>
              </a:graphicData>
            </a:graphic>
          </wp:inline>
        </w:drawing>
      </w:r>
      <w:r>
        <w:rPr>
          <w:rFonts w:hint="eastAsia" w:eastAsia="宋体"/>
          <w:lang w:eastAsia="zh-CN"/>
        </w:rPr>
        <w:drawing>
          <wp:inline distT="0" distB="0" distL="114300" distR="114300">
            <wp:extent cx="5263515" cy="7442835"/>
            <wp:effectExtent l="0" t="0" r="13335" b="5715"/>
            <wp:docPr id="102" name="图片 102" descr="附件12评审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附件12评审意见_01"/>
                    <pic:cNvPicPr>
                      <a:picLocks noChangeAspect="1"/>
                    </pic:cNvPicPr>
                  </pic:nvPicPr>
                  <pic:blipFill>
                    <a:blip r:embed="rId100"/>
                    <a:stretch>
                      <a:fillRect/>
                    </a:stretch>
                  </pic:blipFill>
                  <pic:spPr>
                    <a:xfrm>
                      <a:off x="0" y="0"/>
                      <a:ext cx="5263515" cy="7442835"/>
                    </a:xfrm>
                    <a:prstGeom prst="rect">
                      <a:avLst/>
                    </a:prstGeom>
                  </pic:spPr>
                </pic:pic>
              </a:graphicData>
            </a:graphic>
          </wp:inline>
        </w:drawing>
      </w:r>
      <w:r>
        <w:rPr>
          <w:rFonts w:hint="eastAsia" w:eastAsia="宋体"/>
          <w:lang w:eastAsia="zh-CN"/>
        </w:rPr>
        <w:drawing>
          <wp:inline distT="0" distB="0" distL="114300" distR="114300">
            <wp:extent cx="5263515" cy="7442835"/>
            <wp:effectExtent l="0" t="0" r="13335" b="5715"/>
            <wp:docPr id="101" name="图片 101" descr="附件12评审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附件12评审意见_02"/>
                    <pic:cNvPicPr>
                      <a:picLocks noChangeAspect="1"/>
                    </pic:cNvPicPr>
                  </pic:nvPicPr>
                  <pic:blipFill>
                    <a:blip r:embed="rId101"/>
                    <a:stretch>
                      <a:fillRect/>
                    </a:stretch>
                  </pic:blipFill>
                  <pic:spPr>
                    <a:xfrm>
                      <a:off x="0" y="0"/>
                      <a:ext cx="5263515" cy="7442835"/>
                    </a:xfrm>
                    <a:prstGeom prst="rect">
                      <a:avLst/>
                    </a:prstGeom>
                  </pic:spPr>
                </pic:pic>
              </a:graphicData>
            </a:graphic>
          </wp:inline>
        </w:drawing>
      </w:r>
      <w:r>
        <w:rPr>
          <w:rFonts w:hint="eastAsia" w:eastAsia="宋体"/>
          <w:lang w:eastAsia="zh-CN"/>
        </w:rPr>
        <w:drawing>
          <wp:inline distT="0" distB="0" distL="114300" distR="114300">
            <wp:extent cx="5263515" cy="7442835"/>
            <wp:effectExtent l="0" t="0" r="13335" b="5715"/>
            <wp:docPr id="100" name="图片 100" descr="附件12评审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附件12评审意见_03"/>
                    <pic:cNvPicPr>
                      <a:picLocks noChangeAspect="1"/>
                    </pic:cNvPicPr>
                  </pic:nvPicPr>
                  <pic:blipFill>
                    <a:blip r:embed="rId102"/>
                    <a:stretch>
                      <a:fillRect/>
                    </a:stretch>
                  </pic:blipFill>
                  <pic:spPr>
                    <a:xfrm>
                      <a:off x="0" y="0"/>
                      <a:ext cx="5263515" cy="7442835"/>
                    </a:xfrm>
                    <a:prstGeom prst="rect">
                      <a:avLst/>
                    </a:prstGeom>
                  </pic:spPr>
                </pic:pic>
              </a:graphicData>
            </a:graphic>
          </wp:inline>
        </w:drawing>
      </w:r>
      <w:r>
        <w:rPr>
          <w:rFonts w:hint="eastAsia" w:eastAsia="宋体"/>
          <w:lang w:eastAsia="zh-CN"/>
        </w:rPr>
        <w:drawing>
          <wp:inline distT="0" distB="0" distL="114300" distR="114300">
            <wp:extent cx="5263515" cy="7442835"/>
            <wp:effectExtent l="0" t="0" r="13335" b="5715"/>
            <wp:docPr id="99" name="图片 99" descr="附件12评审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附件12评审意见_04"/>
                    <pic:cNvPicPr>
                      <a:picLocks noChangeAspect="1"/>
                    </pic:cNvPicPr>
                  </pic:nvPicPr>
                  <pic:blipFill>
                    <a:blip r:embed="rId103"/>
                    <a:stretch>
                      <a:fillRect/>
                    </a:stretch>
                  </pic:blipFill>
                  <pic:spPr>
                    <a:xfrm>
                      <a:off x="0" y="0"/>
                      <a:ext cx="5263515" cy="7442835"/>
                    </a:xfrm>
                    <a:prstGeom prst="rect">
                      <a:avLst/>
                    </a:prstGeom>
                  </pic:spPr>
                </pic:pic>
              </a:graphicData>
            </a:graphic>
          </wp:inline>
        </w:drawing>
      </w:r>
      <w:r>
        <w:rPr>
          <w:rFonts w:hint="eastAsia" w:eastAsia="宋体"/>
          <w:lang w:eastAsia="zh-CN"/>
        </w:rPr>
        <w:drawing>
          <wp:inline distT="0" distB="0" distL="114300" distR="114300">
            <wp:extent cx="5263515" cy="7442835"/>
            <wp:effectExtent l="0" t="0" r="13335" b="5715"/>
            <wp:docPr id="98" name="图片 98" descr="附件12评审意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附件12评审意见_05"/>
                    <pic:cNvPicPr>
                      <a:picLocks noChangeAspect="1"/>
                    </pic:cNvPicPr>
                  </pic:nvPicPr>
                  <pic:blipFill>
                    <a:blip r:embed="rId104"/>
                    <a:stretch>
                      <a:fillRect/>
                    </a:stretch>
                  </pic:blipFill>
                  <pic:spPr>
                    <a:xfrm>
                      <a:off x="0" y="0"/>
                      <a:ext cx="5263515" cy="7442835"/>
                    </a:xfrm>
                    <a:prstGeom prst="rect">
                      <a:avLst/>
                    </a:prstGeom>
                  </pic:spPr>
                </pic:pic>
              </a:graphicData>
            </a:graphic>
          </wp:inline>
        </w:drawing>
      </w:r>
      <w:r>
        <w:rPr>
          <w:rFonts w:hint="eastAsia" w:eastAsia="宋体"/>
          <w:lang w:eastAsia="zh-CN"/>
        </w:rPr>
        <w:drawing>
          <wp:inline distT="0" distB="0" distL="114300" distR="114300">
            <wp:extent cx="5263515" cy="7442835"/>
            <wp:effectExtent l="0" t="0" r="13335" b="5715"/>
            <wp:docPr id="97" name="图片 97" descr="附件12评审意见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附件12评审意见_06"/>
                    <pic:cNvPicPr>
                      <a:picLocks noChangeAspect="1"/>
                    </pic:cNvPicPr>
                  </pic:nvPicPr>
                  <pic:blipFill>
                    <a:blip r:embed="rId105"/>
                    <a:stretch>
                      <a:fillRect/>
                    </a:stretch>
                  </pic:blipFill>
                  <pic:spPr>
                    <a:xfrm>
                      <a:off x="0" y="0"/>
                      <a:ext cx="5263515" cy="7442835"/>
                    </a:xfrm>
                    <a:prstGeom prst="rect">
                      <a:avLst/>
                    </a:prstGeom>
                  </pic:spPr>
                </pic:pic>
              </a:graphicData>
            </a:graphic>
          </wp:inline>
        </w:drawing>
      </w:r>
      <w:r>
        <w:rPr>
          <w:rFonts w:hint="eastAsia" w:eastAsia="宋体"/>
          <w:lang w:eastAsia="zh-CN"/>
        </w:rPr>
        <w:drawing>
          <wp:inline distT="0" distB="0" distL="114300" distR="114300">
            <wp:extent cx="5263515" cy="7442835"/>
            <wp:effectExtent l="0" t="0" r="13335" b="5715"/>
            <wp:docPr id="96" name="图片 96" descr="附件12评审意见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附件12评审意见_07"/>
                    <pic:cNvPicPr>
                      <a:picLocks noChangeAspect="1"/>
                    </pic:cNvPicPr>
                  </pic:nvPicPr>
                  <pic:blipFill>
                    <a:blip r:embed="rId106"/>
                    <a:stretch>
                      <a:fillRect/>
                    </a:stretch>
                  </pic:blipFill>
                  <pic:spPr>
                    <a:xfrm>
                      <a:off x="0" y="0"/>
                      <a:ext cx="5263515" cy="7442835"/>
                    </a:xfrm>
                    <a:prstGeom prst="rect">
                      <a:avLst/>
                    </a:prstGeom>
                  </pic:spPr>
                </pic:pic>
              </a:graphicData>
            </a:graphic>
          </wp:inline>
        </w:drawing>
      </w:r>
      <w:r>
        <w:rPr>
          <w:rFonts w:hint="eastAsia" w:eastAsia="宋体"/>
          <w:lang w:eastAsia="zh-CN"/>
        </w:rPr>
        <w:drawing>
          <wp:inline distT="0" distB="0" distL="114300" distR="114300">
            <wp:extent cx="5263515" cy="7442835"/>
            <wp:effectExtent l="0" t="0" r="13335" b="5715"/>
            <wp:docPr id="94" name="图片 94" descr="附件12评审意见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附件12评审意见_08"/>
                    <pic:cNvPicPr>
                      <a:picLocks noChangeAspect="1"/>
                    </pic:cNvPicPr>
                  </pic:nvPicPr>
                  <pic:blipFill>
                    <a:blip r:embed="rId107"/>
                    <a:stretch>
                      <a:fillRect/>
                    </a:stretch>
                  </pic:blipFill>
                  <pic:spPr>
                    <a:xfrm>
                      <a:off x="0" y="0"/>
                      <a:ext cx="5263515" cy="7442835"/>
                    </a:xfrm>
                    <a:prstGeom prst="rect">
                      <a:avLst/>
                    </a:prstGeom>
                  </pic:spPr>
                </pic:pic>
              </a:graphicData>
            </a:graphic>
          </wp:inline>
        </w:drawing>
      </w:r>
      <w:r>
        <w:rPr>
          <w:rFonts w:hint="eastAsia" w:eastAsia="宋体"/>
          <w:lang w:eastAsia="zh-CN"/>
        </w:rPr>
        <w:drawing>
          <wp:inline distT="0" distB="0" distL="114300" distR="114300">
            <wp:extent cx="5263515" cy="7442835"/>
            <wp:effectExtent l="0" t="0" r="13335" b="5715"/>
            <wp:docPr id="93" name="图片 93" descr="附件12评审意见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附件12评审意见_09"/>
                    <pic:cNvPicPr>
                      <a:picLocks noChangeAspect="1"/>
                    </pic:cNvPicPr>
                  </pic:nvPicPr>
                  <pic:blipFill>
                    <a:blip r:embed="rId108"/>
                    <a:stretch>
                      <a:fillRect/>
                    </a:stretch>
                  </pic:blipFill>
                  <pic:spPr>
                    <a:xfrm>
                      <a:off x="0" y="0"/>
                      <a:ext cx="5263515" cy="7442835"/>
                    </a:xfrm>
                    <a:prstGeom prst="rect">
                      <a:avLst/>
                    </a:prstGeom>
                  </pic:spPr>
                </pic:pic>
              </a:graphicData>
            </a:graphic>
          </wp:inline>
        </w:drawing>
      </w:r>
      <w:r>
        <w:rPr>
          <w:rFonts w:hint="eastAsia" w:eastAsia="宋体"/>
          <w:lang w:eastAsia="zh-CN"/>
        </w:rPr>
        <w:drawing>
          <wp:inline distT="0" distB="0" distL="114300" distR="114300">
            <wp:extent cx="5263515" cy="7442835"/>
            <wp:effectExtent l="0" t="0" r="13335" b="5715"/>
            <wp:docPr id="92" name="图片 92" descr="附件12评审意见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附件12评审意见_10"/>
                    <pic:cNvPicPr>
                      <a:picLocks noChangeAspect="1"/>
                    </pic:cNvPicPr>
                  </pic:nvPicPr>
                  <pic:blipFill>
                    <a:blip r:embed="rId109"/>
                    <a:stretch>
                      <a:fillRect/>
                    </a:stretch>
                  </pic:blipFill>
                  <pic:spPr>
                    <a:xfrm>
                      <a:off x="0" y="0"/>
                      <a:ext cx="5263515" cy="7442835"/>
                    </a:xfrm>
                    <a:prstGeom prst="rect">
                      <a:avLst/>
                    </a:prstGeom>
                  </pic:spPr>
                </pic:pic>
              </a:graphicData>
            </a:graphic>
          </wp:inline>
        </w:drawing>
      </w:r>
    </w:p>
    <w:p w14:paraId="15A84071">
      <w:r>
        <w:drawing>
          <wp:anchor distT="0" distB="0" distL="114300" distR="114300" simplePos="0" relativeHeight="251735040" behindDoc="1" locked="0" layoutInCell="1" allowOverlap="1">
            <wp:simplePos x="0" y="0"/>
            <wp:positionH relativeFrom="column">
              <wp:posOffset>-989330</wp:posOffset>
            </wp:positionH>
            <wp:positionV relativeFrom="paragraph">
              <wp:posOffset>-628015</wp:posOffset>
            </wp:positionV>
            <wp:extent cx="7205345" cy="10229850"/>
            <wp:effectExtent l="0" t="0" r="14605" b="0"/>
            <wp:wrapNone/>
            <wp:docPr id="9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9"/>
                    <pic:cNvPicPr>
                      <a:picLocks noChangeAspect="1"/>
                    </pic:cNvPicPr>
                  </pic:nvPicPr>
                  <pic:blipFill>
                    <a:blip r:embed="rId110"/>
                    <a:stretch>
                      <a:fillRect/>
                    </a:stretch>
                  </pic:blipFill>
                  <pic:spPr>
                    <a:xfrm>
                      <a:off x="0" y="0"/>
                      <a:ext cx="7205345" cy="10229850"/>
                    </a:xfrm>
                    <a:prstGeom prst="rect">
                      <a:avLst/>
                    </a:prstGeom>
                    <a:noFill/>
                    <a:ln>
                      <a:noFill/>
                    </a:ln>
                  </pic:spPr>
                </pic:pic>
              </a:graphicData>
            </a:graphic>
          </wp:anchor>
        </w:drawing>
      </w:r>
    </w:p>
    <w:p w14:paraId="0CCA323F">
      <w:pPr>
        <w:tabs>
          <w:tab w:val="left" w:pos="348"/>
        </w:tabs>
        <w:bidi w:val="0"/>
        <w:ind w:left="0" w:leftChars="0" w:firstLine="0" w:firstLineChars="0"/>
        <w:jc w:val="left"/>
        <w:rPr>
          <w:rFonts w:hint="eastAsia"/>
          <w:lang w:val="en-US" w:eastAsia="zh-CN"/>
        </w:rPr>
      </w:pPr>
    </w:p>
    <w:sectPr>
      <w:pgSz w:w="11906" w:h="16838"/>
      <w:pgMar w:top="1440" w:right="1803" w:bottom="1440" w:left="1803" w:header="851" w:footer="1134" w:gutter="0"/>
      <w:pgNumType w:fmt="decimal"/>
      <w:cols w:space="720" w:num="1"/>
      <w:docGrid w:linePitch="312" w:charSpace="0"/>
    </w:sectPr>
  </w:body>
</w:document>
</file>

<file path=word/customizations.xml><?xml version="1.0" encoding="utf-8"?>
<wne:tcg xmlns:r="http://schemas.openxmlformats.org/officeDocument/2006/relationships" xmlns:wne="http://schemas.microsoft.com/office/word/2006/wordml">
  <wne:keymaps>
    <wne:keymap wne:kcmPrimary="0072">
      <wne:acd wne:acdName="acd0"/>
    </wne:keymap>
    <wne:keymap wne:kcmPrimary="0074">
      <wne:acd wne:acdName="acd1"/>
    </wne:keymap>
    <wne:keymap wne:kcmPrimary="0075">
      <wne:acd wne:acdName="acd2"/>
    </wne:keymap>
    <wne:keymap wne:kcmPrimary="0073">
      <wne:acd wne:acdName="acd3"/>
    </wne:keymap>
    <wne:keymap wne:kcmPrimary="0071">
      <wne:acd wne:acdName="acd4"/>
    </wne:keymap>
  </wne:keymaps>
  <wne:acds>
    <wne:acd wne:argValue="AgD+VmiIB2iYmA==" wne:acdName="acd0" wne:fciIndexBasedOn="0065"/>
    <wne:acd wne:argValue="AQAAAAMA" wne:acdName="acd1" wne:fciIndexBasedOn="0065"/>
    <wne:acd wne:argValue="AQAAAAQA" wne:acdName="acd2" wne:fciIndexBasedOn="0065"/>
    <wne:acd wne:argValue="AQAAAAAA" wne:acdName="acd3" wne:fciIndexBasedOn="0065"/>
    <wne:acd wne:argValue="AgBoiFdbU08yAA==" wne:acdName="acd4"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altName w:val="微软雅黑"/>
    <w:panose1 w:val="00000000000000000000"/>
    <w:charset w:val="86"/>
    <w:family w:val="script"/>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华文中宋">
    <w:panose1 w:val="02010600040101010101"/>
    <w:charset w:val="86"/>
    <w:family w:val="auto"/>
    <w:pitch w:val="default"/>
    <w:sig w:usb0="00000287" w:usb1="080F0000" w:usb2="00000000" w:usb3="00000000" w:csb0="0004009F" w:csb1="DFD70000"/>
  </w:font>
  <w:font w:name="等线">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Helvetica">
    <w:altName w:val="Arial"/>
    <w:panose1 w:val="020B0604020202020204"/>
    <w:charset w:val="00"/>
    <w:family w:val="swiss"/>
    <w:pitch w:val="default"/>
    <w:sig w:usb0="00000000" w:usb1="00000000" w:usb2="00000009" w:usb3="00000000" w:csb0="000001FF" w:csb1="00000000"/>
  </w:font>
  <w:font w:name="Arial Unicode MS">
    <w:altName w:val="宋体"/>
    <w:panose1 w:val="020B0604020202020204"/>
    <w:charset w:val="86"/>
    <w:family w:val="swiss"/>
    <w:pitch w:val="default"/>
    <w:sig w:usb0="00000000" w:usb1="00000000" w:usb2="0000003F" w:usb3="00000000" w:csb0="603F01FF" w:csb1="FFFF0000"/>
  </w:font>
  <w:font w:name="等线 Light">
    <w:panose1 w:val="02010600030101010101"/>
    <w:charset w:val="86"/>
    <w:family w:val="auto"/>
    <w:pitch w:val="default"/>
    <w:sig w:usb0="A00002BF" w:usb1="38CF7CFA"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Wingdings 2">
    <w:panose1 w:val="05020102010507070707"/>
    <w:charset w:val="02"/>
    <w:family w:val="roman"/>
    <w:pitch w:val="default"/>
    <w:sig w:usb0="00000000" w:usb1="00000000" w:usb2="00000000" w:usb3="00000000" w:csb0="80000000" w:csb1="00000000"/>
  </w:font>
  <w:font w:name="汉仪旗黑-55简">
    <w:altName w:val="黑体"/>
    <w:panose1 w:val="00020600040101010101"/>
    <w:charset w:val="8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MS Gothic">
    <w:panose1 w:val="020B0609070205080204"/>
    <w:charset w:val="80"/>
    <w:family w:val="modern"/>
    <w:pitch w:val="default"/>
    <w:sig w:usb0="E00002FF" w:usb1="6AC7FDFB" w:usb2="08000012" w:usb3="00000000" w:csb0="4002009F" w:csb1="DFD70000"/>
  </w:font>
  <w:font w:name="MS PGothic">
    <w:panose1 w:val="020B0600070205080204"/>
    <w:charset w:val="80"/>
    <w:family w:val="auto"/>
    <w:pitch w:val="default"/>
    <w:sig w:usb0="E00002FF" w:usb1="6AC7FDFB" w:usb2="08000012" w:usb3="00000000" w:csb0="4002009F" w:csb1="DFD7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CB6012">
    <w:pPr>
      <w:pStyle w:val="21"/>
    </w:pPr>
    <w:r>
      <w:rPr>
        <w:sz w:val="18"/>
      </w:rPr>
      <w:pict>
        <v:shape id="_x0000_s3093" o:spid="_x0000_s3093" o:spt="202" type="#_x0000_t202" style="position:absolute;left:0pt;margin-top:0pt;height:144pt;width:144pt;mso-position-horizontal:center;mso-position-horizontal-relative:margin;mso-wrap-style:none;z-index:251727872;mso-width-relative:page;mso-height-relative:page;" filled="f" stroked="f" coordsize="21600,21600">
          <v:path/>
          <v:fill on="f" focussize="0,0"/>
          <v:stroke on="f"/>
          <v:imagedata o:title=""/>
          <o:lock v:ext="edit" aspectratio="f"/>
          <v:textbox inset="0mm,0mm,0mm,0mm" style="mso-fit-shape-to-text:t;">
            <w:txbxContent>
              <w:p w14:paraId="05683998">
                <w:pPr>
                  <w:pStyle w:val="21"/>
                </w:pPr>
                <w:r>
                  <w:fldChar w:fldCharType="begin"/>
                </w:r>
                <w:r>
                  <w:instrText xml:space="preserve"> PAGE  \* MERGEFORMAT </w:instrText>
                </w:r>
                <w:r>
                  <w:fldChar w:fldCharType="separate"/>
                </w:r>
                <w:r>
                  <w:t>1</w:t>
                </w:r>
                <w:r>
                  <w:fldChar w:fldCharType="end"/>
                </w:r>
              </w:p>
            </w:txbxContent>
          </v:textbox>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B51EDE">
    <w:pPr>
      <w:pStyle w:val="21"/>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99ECDF">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ascii="Times New Roman" w:hAnsi="Times New Roman" w:eastAsia="Times New Roman" w:cs="Times New Roman"/>
        <w:sz w:val="18"/>
        <w:szCs w:val="18"/>
      </w:rPr>
    </w:pPr>
    <w:r>
      <w:rPr>
        <w:sz w:val="18"/>
      </w:rPr>
      <w:pict>
        <v:shape id="_x0000_s3087" o:spid="_x0000_s3087" o:spt="202" type="#_x0000_t202" style="position:absolute;left:0pt;margin-top:0pt;height:144pt;width:144pt;mso-position-horizontal:center;mso-position-horizontal-relative:margin;mso-wrap-style:none;z-index:251717632;mso-width-relative:page;mso-height-relative:page;" filled="f" stroked="f" coordsize="21600,21600">
          <v:path/>
          <v:fill on="f" focussize="0,0"/>
          <v:stroke on="f"/>
          <v:imagedata o:title=""/>
          <o:lock v:ext="edit" aspectratio="f"/>
          <v:textbox inset="0mm,0mm,0mm,0mm" style="mso-fit-shape-to-text:t;">
            <w:txbxContent>
              <w:p w14:paraId="45A45506">
                <w:pPr>
                  <w:pStyle w:val="21"/>
                  <w:keepNext w:val="0"/>
                  <w:keepLines w:val="0"/>
                  <w:pageBreakBefore w:val="0"/>
                  <w:widowControl w:val="0"/>
                  <w:kinsoku/>
                  <w:wordWrap/>
                  <w:overflowPunct/>
                  <w:topLinePunct w:val="0"/>
                  <w:bidi w:val="0"/>
                  <w:adjustRightInd w:val="0"/>
                  <w:snapToGrid w:val="0"/>
                  <w:ind w:firstLine="0" w:firstLineChars="0"/>
                  <w:textAlignment w:val="auto"/>
                </w:pPr>
                <w:r>
                  <w:fldChar w:fldCharType="begin"/>
                </w:r>
                <w:r>
                  <w:instrText xml:space="preserve"> PAGE  \* MERGEFORMAT </w:instrText>
                </w:r>
                <w:r>
                  <w:fldChar w:fldCharType="separate"/>
                </w:r>
                <w:r>
                  <w:t>255</w:t>
                </w:r>
                <w:r>
                  <w:fldChar w:fldCharType="end"/>
                </w:r>
              </w:p>
            </w:txbxContent>
          </v:textbox>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F61A68">
    <w:pPr>
      <w:pStyle w:val="21"/>
      <w:jc w:val="center"/>
      <w:rPr>
        <w:rFonts w:ascii="Times New Roman" w:hAnsi="Times New Roman" w:cs="Times New Roman"/>
      </w:rPr>
    </w:pPr>
    <w:r>
      <w:rPr>
        <w:sz w:val="18"/>
      </w:rPr>
      <w:pict>
        <v:shape id="_x0000_s3088" o:spid="_x0000_s3088" o:spt="202" type="#_x0000_t202" style="position:absolute;left:0pt;margin-top:0pt;height:144pt;width:144pt;mso-position-horizontal:center;mso-position-horizontal-relative:margin;mso-wrap-style:none;z-index:251718656;mso-width-relative:page;mso-height-relative:page;" filled="f" stroked="f" coordsize="21600,21600">
          <v:path/>
          <v:fill on="f" focussize="0,0"/>
          <v:stroke on="f"/>
          <v:imagedata o:title=""/>
          <o:lock v:ext="edit" aspectratio="f"/>
          <v:textbox inset="0mm,0mm,0mm,0mm" style="mso-fit-shape-to-text:t;">
            <w:txbxContent>
              <w:p w14:paraId="1F634A8A">
                <w:pPr>
                  <w:pStyle w:val="21"/>
                  <w:keepNext w:val="0"/>
                  <w:keepLines w:val="0"/>
                  <w:pageBreakBefore w:val="0"/>
                  <w:widowControl w:val="0"/>
                  <w:kinsoku/>
                  <w:wordWrap/>
                  <w:overflowPunct/>
                  <w:topLinePunct w:val="0"/>
                  <w:bidi w:val="0"/>
                  <w:adjustRightInd w:val="0"/>
                  <w:snapToGrid w:val="0"/>
                  <w:ind w:firstLine="0" w:firstLineChars="0"/>
                  <w:textAlignment w:val="auto"/>
                </w:pPr>
                <w:r>
                  <w:fldChar w:fldCharType="begin"/>
                </w:r>
                <w:r>
                  <w:instrText xml:space="preserve"> PAGE  \* MERGEFORMAT </w:instrText>
                </w:r>
                <w:r>
                  <w:fldChar w:fldCharType="separate"/>
                </w:r>
                <w:r>
                  <w:t>322</w:t>
                </w:r>
                <w:r>
                  <w:fldChar w:fldCharType="end"/>
                </w:r>
              </w:p>
            </w:txbxContent>
          </v:textbox>
        </v:shape>
      </w:pict>
    </w:r>
    <w:sdt>
      <w:sdtPr>
        <w:id w:val="5136087"/>
      </w:sdtPr>
      <w:sdtEndPr>
        <w:rPr>
          <w:rFonts w:ascii="Times New Roman" w:hAnsi="Times New Roman" w:cs="Times New Roman"/>
        </w:rPr>
      </w:sdtEndP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45B05">
    <w:pPr>
      <w:pStyle w:val="21"/>
      <w:ind w:firstLine="360"/>
    </w:pPr>
    <w:r>
      <w:rPr>
        <w:sz w:val="18"/>
      </w:rPr>
      <w:pict>
        <v:shape id="_x0000_s3073" o:spid="_x0000_s3073" o:spt="202" type="#_x0000_t202" style="position:absolute;left:0pt;margin-top:0pt;height:144pt;width:144pt;mso-position-horizontal:center;mso-position-horizontal-relative:margin;mso-wrap-style:none;z-index:251726848;mso-width-relative:page;mso-height-relative:page;" filled="f" stroked="f" coordsize="21600,21600">
          <v:path/>
          <v:fill on="f" focussize="0,0"/>
          <v:stroke on="f"/>
          <v:imagedata o:title=""/>
          <o:lock v:ext="edit" aspectratio="f"/>
          <v:textbox inset="0mm,0mm,0mm,0mm" style="mso-fit-shape-to-text:t;">
            <w:txbxContent>
              <w:p w14:paraId="210B4A17">
                <w:pPr>
                  <w:pStyle w:val="21"/>
                </w:pPr>
                <w:r>
                  <w:fldChar w:fldCharType="begin"/>
                </w:r>
                <w:r>
                  <w:instrText xml:space="preserve"> PAGE  \* MERGEFORMAT </w:instrText>
                </w:r>
                <w:r>
                  <w:fldChar w:fldCharType="separate"/>
                </w:r>
                <w:r>
                  <w:t>1</w:t>
                </w:r>
                <w: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22F5A7">
    <w:pPr>
      <w:pStyle w:val="21"/>
    </w:pPr>
    <w:r>
      <w:rPr>
        <w:sz w:val="18"/>
      </w:rPr>
      <w:pict>
        <v:shape id="_x0000_s3090" o:spid="_x0000_s3090" o:spt="202" type="#_x0000_t202" style="position:absolute;left:0pt;margin-top:0pt;height:144pt;width:144pt;mso-position-horizontal:center;mso-position-horizontal-relative:margin;mso-wrap-style:none;z-index:251723776;mso-width-relative:page;mso-height-relative:page;" filled="f" stroked="f" coordsize="21600,21600">
          <v:path/>
          <v:fill on="f" focussize="0,0"/>
          <v:stroke on="f"/>
          <v:imagedata o:title=""/>
          <o:lock v:ext="edit" aspectratio="f"/>
          <v:textbox inset="0mm,0mm,0mm,0mm" style="mso-fit-shape-to-text:t;">
            <w:txbxContent>
              <w:p w14:paraId="3A50DAAE">
                <w:pPr>
                  <w:pStyle w:val="21"/>
                </w:pPr>
                <w:r>
                  <w:fldChar w:fldCharType="begin"/>
                </w:r>
                <w:r>
                  <w:instrText xml:space="preserve"> PAGE  \* MERGEFORMAT </w:instrText>
                </w:r>
                <w:r>
                  <w:fldChar w:fldCharType="separate"/>
                </w:r>
                <w:r>
                  <w:t>I</w:t>
                </w:r>
                <w: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0C2D7E">
    <w:pPr>
      <w:pStyle w:val="21"/>
    </w:pPr>
    <w:r>
      <w:rPr>
        <w:sz w:val="18"/>
      </w:rPr>
      <w:pict>
        <v:shape id="_x0000_s3089" o:spid="_x0000_s3089" o:spt="202" type="#_x0000_t202" style="position:absolute;left:0pt;margin-top:0pt;height:144pt;width:144pt;mso-position-horizontal:center;mso-position-horizontal-relative:margin;mso-wrap-style:none;z-index:251722752;mso-width-relative:page;mso-height-relative:page;" filled="f" stroked="f" coordsize="21600,21600">
          <v:path/>
          <v:fill on="f" focussize="0,0"/>
          <v:stroke on="f"/>
          <v:imagedata o:title=""/>
          <o:lock v:ext="edit" aspectratio="f"/>
          <v:textbox inset="0mm,0mm,0mm,0mm" style="mso-fit-shape-to-text:t;">
            <w:txbxContent>
              <w:p w14:paraId="6098B6EB">
                <w:pPr>
                  <w:pStyle w:val="21"/>
                </w:pPr>
                <w:r>
                  <w:fldChar w:fldCharType="begin"/>
                </w:r>
                <w:r>
                  <w:instrText xml:space="preserve"> PAGE  \* MERGEFORMAT </w:instrText>
                </w:r>
                <w:r>
                  <w:fldChar w:fldCharType="separate"/>
                </w:r>
                <w:r>
                  <w:t>1</w:t>
                </w:r>
                <w: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6AE849">
    <w:pPr>
      <w:pStyle w:val="21"/>
      <w:jc w:val="center"/>
    </w:pPr>
    <w:r>
      <w:rPr>
        <w:sz w:val="18"/>
      </w:rPr>
      <w:pict>
        <v:shape id="_x0000_s3091" o:spid="_x0000_s3091" o:spt="202" type="#_x0000_t202" style="position:absolute;left:0pt;margin-top:0pt;height:144pt;width:144pt;mso-position-horizontal:center;mso-position-horizontal-relative:margin;mso-wrap-style:none;z-index:251724800;mso-width-relative:page;mso-height-relative:page;" filled="f" stroked="f" coordsize="21600,21600">
          <v:path/>
          <v:fill on="f" focussize="0,0"/>
          <v:stroke on="f"/>
          <v:imagedata o:title=""/>
          <o:lock v:ext="edit" aspectratio="f"/>
          <v:textbox inset="0mm,0mm,0mm,0mm" style="mso-fit-shape-to-text:t;">
            <w:txbxContent>
              <w:p w14:paraId="0B16CBB2">
                <w:pPr>
                  <w:pStyle w:val="21"/>
                  <w:ind w:left="0" w:leftChars="0" w:firstLine="0" w:firstLineChars="0"/>
                  <w:jc w:val="both"/>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46</w:t>
                </w:r>
                <w:r>
                  <w:rPr>
                    <w:sz w:val="21"/>
                    <w:szCs w:val="21"/>
                  </w:rPr>
                  <w:fldChar w:fldCharType="end"/>
                </w:r>
              </w:p>
            </w:txbxContent>
          </v:textbox>
        </v:shape>
      </w:pict>
    </w:r>
  </w:p>
  <w:p w14:paraId="28C51E0C">
    <w:pPr>
      <w:pStyle w:val="21"/>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6C5AEE">
    <w:pPr>
      <w:pStyle w:val="13"/>
      <w:spacing w:line="14" w:lineRule="auto"/>
      <w:ind w:firstLine="400"/>
      <w:rPr>
        <w:sz w:val="20"/>
      </w:rPr>
    </w:pPr>
    <w:r>
      <w:rPr>
        <w:sz w:val="20"/>
      </w:rPr>
      <w:pict>
        <v:shape id="Text Box 9" o:spid="_x0000_s3083" o:spt="202" type="#_x0000_t202" style="position:absolute;left:0pt;margin-top:0pt;height:15.5pt;width:31.55pt;mso-position-horizontal:center;mso-position-horizontal-relative:margin;mso-wrap-style:none;z-index:251716608;mso-width-relative:page;mso-height-relative:page;" filled="f" stroked="f" coordsize="21600,21600">
          <v:path/>
          <v:fill on="f" focussize="0,0"/>
          <v:stroke on="f"/>
          <v:imagedata o:title=""/>
          <o:lock v:ext="edit" aspectratio="f"/>
          <v:textbox inset="0mm,0mm,0mm,0mm" style="mso-fit-shape-to-text:t;">
            <w:txbxContent>
              <w:p w14:paraId="00B63E2E">
                <w:pPr>
                  <w:pStyle w:val="21"/>
                  <w:keepNext w:val="0"/>
                  <w:keepLines w:val="0"/>
                  <w:pageBreakBefore w:val="0"/>
                  <w:widowControl w:val="0"/>
                  <w:kinsoku/>
                  <w:wordWrap/>
                  <w:overflowPunct/>
                  <w:topLinePunct w:val="0"/>
                  <w:bidi w:val="0"/>
                  <w:adjustRightInd w:val="0"/>
                  <w:snapToGrid w:val="0"/>
                  <w:ind w:firstLine="0" w:firstLineChars="0"/>
                  <w:textAlignment w:val="auto"/>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106</w:t>
                </w:r>
                <w:r>
                  <w:rPr>
                    <w:sz w:val="24"/>
                    <w:szCs w:val="24"/>
                  </w:rPr>
                  <w:fldChar w:fldCharType="end"/>
                </w:r>
              </w:p>
            </w:txbxContent>
          </v:textbox>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02D5ED">
    <w:pPr>
      <w:pStyle w:val="13"/>
      <w:spacing w:line="14" w:lineRule="auto"/>
      <w:rPr>
        <w:sz w:val="20"/>
      </w:rPr>
    </w:pPr>
    <w:r>
      <w:rPr>
        <w:sz w:val="20"/>
      </w:rPr>
      <w:pict>
        <v:shape id="_x0000_s3094" o:spid="_x0000_s3094" o:spt="202" type="#_x0000_t202" style="position:absolute;left:0pt;margin-top:0pt;height:144pt;width:144pt;mso-position-horizontal:center;mso-position-horizontal-relative:margin;mso-wrap-style:none;z-index:251736064;mso-width-relative:page;mso-height-relative:page;" filled="f" stroked="f" coordsize="21600,21600">
          <v:path/>
          <v:fill on="f" focussize="0,0"/>
          <v:stroke on="f"/>
          <v:imagedata o:title=""/>
          <o:lock v:ext="edit" aspectratio="f"/>
          <v:textbox inset="0mm,0mm,0mm,0mm" style="mso-fit-shape-to-text:t;">
            <w:txbxContent>
              <w:p w14:paraId="1030F8F7">
                <w:pPr>
                  <w:pStyle w:val="21"/>
                  <w:keepNext w:val="0"/>
                  <w:keepLines w:val="0"/>
                  <w:pageBreakBefore w:val="0"/>
                  <w:widowControl w:val="0"/>
                  <w:kinsoku/>
                  <w:wordWrap/>
                  <w:overflowPunct/>
                  <w:topLinePunct w:val="0"/>
                  <w:bidi w:val="0"/>
                  <w:adjustRightInd w:val="0"/>
                  <w:snapToGrid w:val="0"/>
                  <w:ind w:firstLine="0" w:firstLineChars="0"/>
                  <w:textAlignment w:val="auto"/>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122</w:t>
                </w:r>
                <w:r>
                  <w:rPr>
                    <w:sz w:val="21"/>
                    <w:szCs w:val="21"/>
                  </w:rP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02BCB6">
    <w:pPr>
      <w:pStyle w:val="13"/>
      <w:spacing w:line="14" w:lineRule="auto"/>
      <w:rPr>
        <w:sz w:val="20"/>
      </w:rPr>
    </w:pPr>
    <w:r>
      <w:rPr>
        <w:sz w:val="20"/>
      </w:rPr>
      <w:pict>
        <v:shape id="_x0000_s3081" o:spid="_x0000_s3081"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14:paraId="5C0253CD">
                <w:pPr>
                  <w:pStyle w:val="21"/>
                  <w:keepNext w:val="0"/>
                  <w:keepLines w:val="0"/>
                  <w:pageBreakBefore w:val="0"/>
                  <w:widowControl w:val="0"/>
                  <w:kinsoku/>
                  <w:wordWrap/>
                  <w:overflowPunct/>
                  <w:topLinePunct w:val="0"/>
                  <w:bidi w:val="0"/>
                  <w:adjustRightInd w:val="0"/>
                  <w:snapToGrid w:val="0"/>
                  <w:ind w:firstLine="0" w:firstLineChars="0"/>
                  <w:textAlignment w:val="auto"/>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122</w:t>
                </w:r>
                <w:r>
                  <w:rPr>
                    <w:sz w:val="21"/>
                    <w:szCs w:val="21"/>
                  </w:rPr>
                  <w:fldChar w:fldCharType="end"/>
                </w:r>
              </w:p>
            </w:txbxContent>
          </v:textbox>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C5DE26">
    <w:pPr>
      <w:pStyle w:val="21"/>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4EB784">
    <w:pPr>
      <w:pStyle w:val="22"/>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4D5B1A">
    <w:pPr>
      <w:pStyle w:val="2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74C3C8">
    <w:pPr>
      <w:pStyle w:val="22"/>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D2BAAD">
    <w:pPr>
      <w:pStyle w:val="22"/>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05F278"/>
    <w:multiLevelType w:val="multilevel"/>
    <w:tmpl w:val="B005F278"/>
    <w:lvl w:ilvl="0" w:tentative="0">
      <w:start w:val="1"/>
      <w:numFmt w:val="decimal"/>
      <w:pStyle w:val="2"/>
      <w:suff w:val="space"/>
      <w:lvlText w:val="%1"/>
      <w:lvlJc w:val="left"/>
      <w:pPr>
        <w:ind w:left="0" w:firstLine="0"/>
      </w:pPr>
      <w:rPr>
        <w:rFonts w:hint="eastAsia" w:eastAsia="黑体"/>
        <w:b w:val="0"/>
        <w:bCs/>
        <w:i w:val="0"/>
        <w:sz w:val="36"/>
        <w:szCs w:val="36"/>
      </w:rPr>
    </w:lvl>
    <w:lvl w:ilvl="1" w:tentative="0">
      <w:start w:val="1"/>
      <w:numFmt w:val="decimal"/>
      <w:pStyle w:val="3"/>
      <w:suff w:val="space"/>
      <w:lvlText w:val="%1.%2"/>
      <w:lvlJc w:val="left"/>
      <w:pPr>
        <w:ind w:left="0" w:firstLine="0"/>
      </w:pPr>
      <w:rPr>
        <w:rFonts w:hint="eastAsia"/>
        <w:sz w:val="32"/>
        <w:szCs w:val="32"/>
      </w:rPr>
    </w:lvl>
    <w:lvl w:ilvl="2" w:tentative="0">
      <w:start w:val="1"/>
      <w:numFmt w:val="decimal"/>
      <w:pStyle w:val="5"/>
      <w:suff w:val="space"/>
      <w:lvlText w:val="%1.%2.%3"/>
      <w:lvlJc w:val="left"/>
      <w:pPr>
        <w:ind w:left="0" w:firstLine="0"/>
      </w:pPr>
    </w:lvl>
    <w:lvl w:ilvl="3" w:tentative="0">
      <w:start w:val="1"/>
      <w:numFmt w:val="decimal"/>
      <w:pStyle w:val="6"/>
      <w:suff w:val="space"/>
      <w:lvlText w:val="%1.%2.%3.%4"/>
      <w:lvlJc w:val="left"/>
      <w:pPr>
        <w:ind w:left="0" w:firstLine="0"/>
      </w:pPr>
      <w:rPr>
        <w:rFonts w:hint="default" w:ascii="Times New Roman" w:hAnsi="Times New Roman" w:cs="Times New Roman"/>
        <w:sz w:val="24"/>
        <w:szCs w:val="24"/>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1">
    <w:nsid w:val="E0BC7449"/>
    <w:multiLevelType w:val="singleLevel"/>
    <w:tmpl w:val="E0BC7449"/>
    <w:lvl w:ilvl="0" w:tentative="0">
      <w:start w:val="1"/>
      <w:numFmt w:val="decimal"/>
      <w:pStyle w:val="187"/>
      <w:suff w:val="nothing"/>
      <w:lvlText w:val="表%1"/>
      <w:lvlJc w:val="left"/>
      <w:pPr>
        <w:ind w:left="0" w:firstLine="420"/>
      </w:pPr>
      <w:rPr>
        <w:rFonts w:hint="default"/>
      </w:rPr>
    </w:lvl>
  </w:abstractNum>
  <w:abstractNum w:abstractNumId="2">
    <w:nsid w:val="E81CAD0A"/>
    <w:multiLevelType w:val="singleLevel"/>
    <w:tmpl w:val="E81CAD0A"/>
    <w:lvl w:ilvl="0" w:tentative="0">
      <w:start w:val="1"/>
      <w:numFmt w:val="decimal"/>
      <w:suff w:val="nothing"/>
      <w:lvlText w:val="（%1）"/>
      <w:lvlJc w:val="left"/>
    </w:lvl>
  </w:abstractNum>
  <w:abstractNum w:abstractNumId="3">
    <w:nsid w:val="038E1BB1"/>
    <w:multiLevelType w:val="multilevel"/>
    <w:tmpl w:val="038E1BB1"/>
    <w:lvl w:ilvl="0" w:tentative="0">
      <w:start w:val="1"/>
      <w:numFmt w:val="decimal"/>
      <w:pStyle w:val="183"/>
      <w:lvlText w:val="2.11.%1"/>
      <w:lvlJc w:val="left"/>
      <w:pPr>
        <w:ind w:left="620" w:hanging="420"/>
      </w:pPr>
      <w:rPr>
        <w:rFonts w:hint="eastAsia"/>
      </w:rPr>
    </w:lvl>
    <w:lvl w:ilvl="1" w:tentative="0">
      <w:start w:val="1"/>
      <w:numFmt w:val="lowerLetter"/>
      <w:lvlText w:val="%2)"/>
      <w:lvlJc w:val="left"/>
      <w:pPr>
        <w:ind w:left="1040" w:hanging="420"/>
      </w:pPr>
    </w:lvl>
    <w:lvl w:ilvl="2" w:tentative="0">
      <w:start w:val="1"/>
      <w:numFmt w:val="lowerRoman"/>
      <w:lvlText w:val="%3."/>
      <w:lvlJc w:val="right"/>
      <w:pPr>
        <w:ind w:left="1460" w:hanging="420"/>
      </w:pPr>
    </w:lvl>
    <w:lvl w:ilvl="3" w:tentative="0">
      <w:start w:val="1"/>
      <w:numFmt w:val="decimal"/>
      <w:lvlText w:val="%4."/>
      <w:lvlJc w:val="left"/>
      <w:pPr>
        <w:ind w:left="1880" w:hanging="420"/>
      </w:pPr>
    </w:lvl>
    <w:lvl w:ilvl="4" w:tentative="0">
      <w:start w:val="1"/>
      <w:numFmt w:val="lowerLetter"/>
      <w:lvlText w:val="%5)"/>
      <w:lvlJc w:val="left"/>
      <w:pPr>
        <w:ind w:left="2300" w:hanging="420"/>
      </w:pPr>
    </w:lvl>
    <w:lvl w:ilvl="5" w:tentative="0">
      <w:start w:val="1"/>
      <w:numFmt w:val="lowerRoman"/>
      <w:lvlText w:val="%6."/>
      <w:lvlJc w:val="right"/>
      <w:pPr>
        <w:ind w:left="2720" w:hanging="420"/>
      </w:pPr>
    </w:lvl>
    <w:lvl w:ilvl="6" w:tentative="0">
      <w:start w:val="1"/>
      <w:numFmt w:val="decimal"/>
      <w:lvlText w:val="%7."/>
      <w:lvlJc w:val="left"/>
      <w:pPr>
        <w:ind w:left="3140" w:hanging="420"/>
      </w:pPr>
    </w:lvl>
    <w:lvl w:ilvl="7" w:tentative="0">
      <w:start w:val="1"/>
      <w:numFmt w:val="lowerLetter"/>
      <w:lvlText w:val="%8)"/>
      <w:lvlJc w:val="left"/>
      <w:pPr>
        <w:ind w:left="3560" w:hanging="420"/>
      </w:pPr>
    </w:lvl>
    <w:lvl w:ilvl="8" w:tentative="0">
      <w:start w:val="1"/>
      <w:numFmt w:val="lowerRoman"/>
      <w:lvlText w:val="%9."/>
      <w:lvlJc w:val="right"/>
      <w:pPr>
        <w:ind w:left="3980" w:hanging="420"/>
      </w:pPr>
    </w:lvl>
  </w:abstractNum>
  <w:abstractNum w:abstractNumId="4">
    <w:nsid w:val="41DA1E28"/>
    <w:multiLevelType w:val="singleLevel"/>
    <w:tmpl w:val="41DA1E28"/>
    <w:lvl w:ilvl="0" w:tentative="0">
      <w:start w:val="1"/>
      <w:numFmt w:val="decimal"/>
      <w:suff w:val="nothing"/>
      <w:lvlText w:val="（%1）"/>
      <w:lvlJc w:val="left"/>
    </w:lvl>
  </w:abstractNum>
  <w:abstractNum w:abstractNumId="5">
    <w:nsid w:val="65617F5B"/>
    <w:multiLevelType w:val="multilevel"/>
    <w:tmpl w:val="65617F5B"/>
    <w:lvl w:ilvl="0" w:tentative="0">
      <w:start w:val="1"/>
      <w:numFmt w:val="chineseCountingThousand"/>
      <w:pStyle w:val="7"/>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6">
    <w:nsid w:val="6E294331"/>
    <w:multiLevelType w:val="multilevel"/>
    <w:tmpl w:val="6E294331"/>
    <w:lvl w:ilvl="0" w:tentative="0">
      <w:start w:val="1"/>
      <w:numFmt w:val="decimal"/>
      <w:pStyle w:val="109"/>
      <w:suff w:val="nothing"/>
      <w:lvlText w:val="表%1  "/>
      <w:lvlJc w:val="center"/>
      <w:pPr>
        <w:tabs>
          <w:tab w:val="left" w:pos="0"/>
        </w:tabs>
      </w:pPr>
      <w:rPr>
        <w:rFonts w:hint="default" w:ascii="Times New Roman" w:hAnsi="Times New Roman" w:eastAsia="宋体" w:cs="宋体"/>
        <w:sz w:val="24"/>
        <w:szCs w:val="24"/>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7">
    <w:nsid w:val="78682C10"/>
    <w:multiLevelType w:val="singleLevel"/>
    <w:tmpl w:val="78682C10"/>
    <w:lvl w:ilvl="0" w:tentative="0">
      <w:start w:val="3"/>
      <w:numFmt w:val="decimal"/>
      <w:suff w:val="nothing"/>
      <w:lvlText w:val="（%1）"/>
      <w:lvlJc w:val="left"/>
    </w:lvl>
  </w:abstractNum>
  <w:num w:numId="1">
    <w:abstractNumId w:val="0"/>
  </w:num>
  <w:num w:numId="2">
    <w:abstractNumId w:val="5"/>
  </w:num>
  <w:num w:numId="3">
    <w:abstractNumId w:val="6"/>
  </w:num>
  <w:num w:numId="4">
    <w:abstractNumId w:val="3"/>
  </w:num>
  <w:num w:numId="5">
    <w:abstractNumId w:val="1"/>
  </w:num>
  <w:num w:numId="6">
    <w:abstractNumId w:val="2"/>
  </w:num>
  <w:num w:numId="7">
    <w:abstractNumId w:val="7"/>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3"/>
  <w:displayBackgroundShape w:val="1"/>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ZjI1Mjc5YmU5ZTA2MDJiOTk3Mjc5NzQzOGVmNzNjZTIifQ=="/>
  </w:docVars>
  <w:rsids>
    <w:rsidRoot w:val="00B65E70"/>
    <w:rsid w:val="00000730"/>
    <w:rsid w:val="00000B93"/>
    <w:rsid w:val="000011B4"/>
    <w:rsid w:val="00001E30"/>
    <w:rsid w:val="0000243C"/>
    <w:rsid w:val="0000284D"/>
    <w:rsid w:val="00002F56"/>
    <w:rsid w:val="00003A8E"/>
    <w:rsid w:val="00003CCC"/>
    <w:rsid w:val="00003FEA"/>
    <w:rsid w:val="0000419F"/>
    <w:rsid w:val="00004593"/>
    <w:rsid w:val="0000464F"/>
    <w:rsid w:val="000047A1"/>
    <w:rsid w:val="0000482D"/>
    <w:rsid w:val="000048B4"/>
    <w:rsid w:val="00005049"/>
    <w:rsid w:val="00005ED7"/>
    <w:rsid w:val="00007187"/>
    <w:rsid w:val="00007DAC"/>
    <w:rsid w:val="00007DE1"/>
    <w:rsid w:val="00007F4B"/>
    <w:rsid w:val="000104C8"/>
    <w:rsid w:val="000106B2"/>
    <w:rsid w:val="0001088B"/>
    <w:rsid w:val="00010F30"/>
    <w:rsid w:val="00011415"/>
    <w:rsid w:val="00011644"/>
    <w:rsid w:val="000123E4"/>
    <w:rsid w:val="00012493"/>
    <w:rsid w:val="000124F2"/>
    <w:rsid w:val="0001303E"/>
    <w:rsid w:val="000130EE"/>
    <w:rsid w:val="00013255"/>
    <w:rsid w:val="0001343F"/>
    <w:rsid w:val="00014833"/>
    <w:rsid w:val="00014DAA"/>
    <w:rsid w:val="00014DCF"/>
    <w:rsid w:val="00014FA7"/>
    <w:rsid w:val="00015129"/>
    <w:rsid w:val="00015416"/>
    <w:rsid w:val="00015B26"/>
    <w:rsid w:val="0001600F"/>
    <w:rsid w:val="0001606C"/>
    <w:rsid w:val="000166E1"/>
    <w:rsid w:val="000169D8"/>
    <w:rsid w:val="00017261"/>
    <w:rsid w:val="000174F5"/>
    <w:rsid w:val="0001762D"/>
    <w:rsid w:val="00020542"/>
    <w:rsid w:val="00020754"/>
    <w:rsid w:val="00020880"/>
    <w:rsid w:val="00020CDD"/>
    <w:rsid w:val="00021C4B"/>
    <w:rsid w:val="00021E31"/>
    <w:rsid w:val="00021E56"/>
    <w:rsid w:val="00021EE2"/>
    <w:rsid w:val="00021F97"/>
    <w:rsid w:val="00022078"/>
    <w:rsid w:val="000223C2"/>
    <w:rsid w:val="00022CB6"/>
    <w:rsid w:val="000240EC"/>
    <w:rsid w:val="0002469E"/>
    <w:rsid w:val="00024D7A"/>
    <w:rsid w:val="00026031"/>
    <w:rsid w:val="00026072"/>
    <w:rsid w:val="0002662F"/>
    <w:rsid w:val="00026F17"/>
    <w:rsid w:val="00026F31"/>
    <w:rsid w:val="00027225"/>
    <w:rsid w:val="0002735A"/>
    <w:rsid w:val="000274CD"/>
    <w:rsid w:val="000278B5"/>
    <w:rsid w:val="0002796A"/>
    <w:rsid w:val="00027B2A"/>
    <w:rsid w:val="00030167"/>
    <w:rsid w:val="000302FC"/>
    <w:rsid w:val="00030A07"/>
    <w:rsid w:val="00031933"/>
    <w:rsid w:val="000325A8"/>
    <w:rsid w:val="0003289F"/>
    <w:rsid w:val="000329FC"/>
    <w:rsid w:val="00032B66"/>
    <w:rsid w:val="00032E74"/>
    <w:rsid w:val="00032F39"/>
    <w:rsid w:val="0003379A"/>
    <w:rsid w:val="00033C2E"/>
    <w:rsid w:val="0003403B"/>
    <w:rsid w:val="00034117"/>
    <w:rsid w:val="00034E27"/>
    <w:rsid w:val="00035AAD"/>
    <w:rsid w:val="00036D5C"/>
    <w:rsid w:val="00037AE5"/>
    <w:rsid w:val="0004023F"/>
    <w:rsid w:val="00040542"/>
    <w:rsid w:val="00040878"/>
    <w:rsid w:val="000408BD"/>
    <w:rsid w:val="000411E4"/>
    <w:rsid w:val="00041608"/>
    <w:rsid w:val="000421D6"/>
    <w:rsid w:val="0004248E"/>
    <w:rsid w:val="000425C8"/>
    <w:rsid w:val="000429F1"/>
    <w:rsid w:val="00042D9E"/>
    <w:rsid w:val="00042F5A"/>
    <w:rsid w:val="000430F6"/>
    <w:rsid w:val="00043262"/>
    <w:rsid w:val="000433D2"/>
    <w:rsid w:val="00043831"/>
    <w:rsid w:val="00043F37"/>
    <w:rsid w:val="000446A1"/>
    <w:rsid w:val="00044AC6"/>
    <w:rsid w:val="00045404"/>
    <w:rsid w:val="00045639"/>
    <w:rsid w:val="00045772"/>
    <w:rsid w:val="00045996"/>
    <w:rsid w:val="00045C2F"/>
    <w:rsid w:val="00045FC0"/>
    <w:rsid w:val="00046589"/>
    <w:rsid w:val="00046928"/>
    <w:rsid w:val="000469FE"/>
    <w:rsid w:val="00046C98"/>
    <w:rsid w:val="00046F05"/>
    <w:rsid w:val="000475DF"/>
    <w:rsid w:val="00047B16"/>
    <w:rsid w:val="000505E3"/>
    <w:rsid w:val="0005063E"/>
    <w:rsid w:val="000509EE"/>
    <w:rsid w:val="00050F20"/>
    <w:rsid w:val="00051595"/>
    <w:rsid w:val="00051682"/>
    <w:rsid w:val="00051979"/>
    <w:rsid w:val="000527E0"/>
    <w:rsid w:val="0005284B"/>
    <w:rsid w:val="00052E4A"/>
    <w:rsid w:val="000536B3"/>
    <w:rsid w:val="0005399F"/>
    <w:rsid w:val="00053AF8"/>
    <w:rsid w:val="00054804"/>
    <w:rsid w:val="00054A68"/>
    <w:rsid w:val="000551AA"/>
    <w:rsid w:val="0005524F"/>
    <w:rsid w:val="00055339"/>
    <w:rsid w:val="000558B2"/>
    <w:rsid w:val="00055905"/>
    <w:rsid w:val="00055CDC"/>
    <w:rsid w:val="00056611"/>
    <w:rsid w:val="000569AF"/>
    <w:rsid w:val="00056FDD"/>
    <w:rsid w:val="00057C8B"/>
    <w:rsid w:val="000601DB"/>
    <w:rsid w:val="0006022D"/>
    <w:rsid w:val="00060571"/>
    <w:rsid w:val="00060AF0"/>
    <w:rsid w:val="00060C02"/>
    <w:rsid w:val="00061387"/>
    <w:rsid w:val="000616C4"/>
    <w:rsid w:val="0006185E"/>
    <w:rsid w:val="00061A57"/>
    <w:rsid w:val="00062992"/>
    <w:rsid w:val="00063C45"/>
    <w:rsid w:val="00064388"/>
    <w:rsid w:val="00064A31"/>
    <w:rsid w:val="00064F2A"/>
    <w:rsid w:val="000651E7"/>
    <w:rsid w:val="000653CB"/>
    <w:rsid w:val="000656F4"/>
    <w:rsid w:val="00065BBB"/>
    <w:rsid w:val="00065E5E"/>
    <w:rsid w:val="00065FD9"/>
    <w:rsid w:val="00066B7A"/>
    <w:rsid w:val="00066FAA"/>
    <w:rsid w:val="000679B5"/>
    <w:rsid w:val="00067C36"/>
    <w:rsid w:val="00067F0A"/>
    <w:rsid w:val="00070968"/>
    <w:rsid w:val="00070CE7"/>
    <w:rsid w:val="00070D71"/>
    <w:rsid w:val="0007179F"/>
    <w:rsid w:val="000718A3"/>
    <w:rsid w:val="000719E9"/>
    <w:rsid w:val="00071C65"/>
    <w:rsid w:val="00071CD2"/>
    <w:rsid w:val="0007205C"/>
    <w:rsid w:val="00072A49"/>
    <w:rsid w:val="00072F24"/>
    <w:rsid w:val="00073309"/>
    <w:rsid w:val="00073460"/>
    <w:rsid w:val="00073664"/>
    <w:rsid w:val="000739B8"/>
    <w:rsid w:val="0007460D"/>
    <w:rsid w:val="00074CFE"/>
    <w:rsid w:val="00075295"/>
    <w:rsid w:val="000752B9"/>
    <w:rsid w:val="000753EE"/>
    <w:rsid w:val="0007540B"/>
    <w:rsid w:val="00075710"/>
    <w:rsid w:val="00075EC1"/>
    <w:rsid w:val="000760F3"/>
    <w:rsid w:val="000764FC"/>
    <w:rsid w:val="000771E9"/>
    <w:rsid w:val="00077D62"/>
    <w:rsid w:val="0008000C"/>
    <w:rsid w:val="000800E1"/>
    <w:rsid w:val="0008104F"/>
    <w:rsid w:val="00081900"/>
    <w:rsid w:val="00081CC6"/>
    <w:rsid w:val="00081F94"/>
    <w:rsid w:val="000821E0"/>
    <w:rsid w:val="00082E84"/>
    <w:rsid w:val="0008327D"/>
    <w:rsid w:val="00083825"/>
    <w:rsid w:val="00084946"/>
    <w:rsid w:val="00084F0B"/>
    <w:rsid w:val="000854C5"/>
    <w:rsid w:val="00086046"/>
    <w:rsid w:val="00086470"/>
    <w:rsid w:val="000865F2"/>
    <w:rsid w:val="00086873"/>
    <w:rsid w:val="000869E0"/>
    <w:rsid w:val="00086C31"/>
    <w:rsid w:val="00087023"/>
    <w:rsid w:val="0008722D"/>
    <w:rsid w:val="00087D29"/>
    <w:rsid w:val="00087DB5"/>
    <w:rsid w:val="00087DDB"/>
    <w:rsid w:val="00090019"/>
    <w:rsid w:val="000900EE"/>
    <w:rsid w:val="00090432"/>
    <w:rsid w:val="000908A6"/>
    <w:rsid w:val="00090CCE"/>
    <w:rsid w:val="00090EAD"/>
    <w:rsid w:val="000910F7"/>
    <w:rsid w:val="00091276"/>
    <w:rsid w:val="000917B2"/>
    <w:rsid w:val="00091A44"/>
    <w:rsid w:val="00091B89"/>
    <w:rsid w:val="00091CAB"/>
    <w:rsid w:val="00091D1A"/>
    <w:rsid w:val="00092681"/>
    <w:rsid w:val="00092A0D"/>
    <w:rsid w:val="0009310E"/>
    <w:rsid w:val="00093410"/>
    <w:rsid w:val="000935F0"/>
    <w:rsid w:val="00093D36"/>
    <w:rsid w:val="00093F90"/>
    <w:rsid w:val="0009462D"/>
    <w:rsid w:val="00094B79"/>
    <w:rsid w:val="00095D5E"/>
    <w:rsid w:val="00095D87"/>
    <w:rsid w:val="000969AD"/>
    <w:rsid w:val="00096ED2"/>
    <w:rsid w:val="00096FDA"/>
    <w:rsid w:val="00097136"/>
    <w:rsid w:val="000974C3"/>
    <w:rsid w:val="00097529"/>
    <w:rsid w:val="00097825"/>
    <w:rsid w:val="0009788D"/>
    <w:rsid w:val="00097986"/>
    <w:rsid w:val="00097A3F"/>
    <w:rsid w:val="00097C2D"/>
    <w:rsid w:val="00097C7A"/>
    <w:rsid w:val="000A0412"/>
    <w:rsid w:val="000A0C2E"/>
    <w:rsid w:val="000A2837"/>
    <w:rsid w:val="000A28CC"/>
    <w:rsid w:val="000A394C"/>
    <w:rsid w:val="000A3B9C"/>
    <w:rsid w:val="000A3F3E"/>
    <w:rsid w:val="000A6D87"/>
    <w:rsid w:val="000A6E25"/>
    <w:rsid w:val="000A6F43"/>
    <w:rsid w:val="000A74C7"/>
    <w:rsid w:val="000A7AAD"/>
    <w:rsid w:val="000B0846"/>
    <w:rsid w:val="000B0FFF"/>
    <w:rsid w:val="000B11B9"/>
    <w:rsid w:val="000B11F8"/>
    <w:rsid w:val="000B1437"/>
    <w:rsid w:val="000B175C"/>
    <w:rsid w:val="000B1F90"/>
    <w:rsid w:val="000B26A3"/>
    <w:rsid w:val="000B26F9"/>
    <w:rsid w:val="000B29F4"/>
    <w:rsid w:val="000B2BF4"/>
    <w:rsid w:val="000B3269"/>
    <w:rsid w:val="000B358E"/>
    <w:rsid w:val="000B3613"/>
    <w:rsid w:val="000B44F1"/>
    <w:rsid w:val="000B46B9"/>
    <w:rsid w:val="000B4D15"/>
    <w:rsid w:val="000B57A4"/>
    <w:rsid w:val="000B58B6"/>
    <w:rsid w:val="000B5929"/>
    <w:rsid w:val="000B6137"/>
    <w:rsid w:val="000B622D"/>
    <w:rsid w:val="000B72B5"/>
    <w:rsid w:val="000B799A"/>
    <w:rsid w:val="000B7C26"/>
    <w:rsid w:val="000C018F"/>
    <w:rsid w:val="000C024B"/>
    <w:rsid w:val="000C04E0"/>
    <w:rsid w:val="000C15BD"/>
    <w:rsid w:val="000C1EC6"/>
    <w:rsid w:val="000C2563"/>
    <w:rsid w:val="000C2978"/>
    <w:rsid w:val="000C2CED"/>
    <w:rsid w:val="000C2E22"/>
    <w:rsid w:val="000C3174"/>
    <w:rsid w:val="000C413D"/>
    <w:rsid w:val="000C4270"/>
    <w:rsid w:val="000C46E3"/>
    <w:rsid w:val="000C51D2"/>
    <w:rsid w:val="000C5791"/>
    <w:rsid w:val="000C5861"/>
    <w:rsid w:val="000C5E2F"/>
    <w:rsid w:val="000C5ED5"/>
    <w:rsid w:val="000C65DC"/>
    <w:rsid w:val="000C70B2"/>
    <w:rsid w:val="000C748C"/>
    <w:rsid w:val="000C7E49"/>
    <w:rsid w:val="000C7ECC"/>
    <w:rsid w:val="000D0138"/>
    <w:rsid w:val="000D05E3"/>
    <w:rsid w:val="000D06F5"/>
    <w:rsid w:val="000D0A27"/>
    <w:rsid w:val="000D0B98"/>
    <w:rsid w:val="000D1322"/>
    <w:rsid w:val="000D140D"/>
    <w:rsid w:val="000D15DB"/>
    <w:rsid w:val="000D1ADB"/>
    <w:rsid w:val="000D1E62"/>
    <w:rsid w:val="000D238A"/>
    <w:rsid w:val="000D2DD0"/>
    <w:rsid w:val="000D2EAC"/>
    <w:rsid w:val="000D2FA1"/>
    <w:rsid w:val="000D4552"/>
    <w:rsid w:val="000D45EB"/>
    <w:rsid w:val="000D51A7"/>
    <w:rsid w:val="000D552F"/>
    <w:rsid w:val="000D55AD"/>
    <w:rsid w:val="000D5E5D"/>
    <w:rsid w:val="000D600E"/>
    <w:rsid w:val="000D67FA"/>
    <w:rsid w:val="000D686A"/>
    <w:rsid w:val="000D6E3E"/>
    <w:rsid w:val="000D7447"/>
    <w:rsid w:val="000D775E"/>
    <w:rsid w:val="000D7A0B"/>
    <w:rsid w:val="000D7C39"/>
    <w:rsid w:val="000E0028"/>
    <w:rsid w:val="000E00C4"/>
    <w:rsid w:val="000E068F"/>
    <w:rsid w:val="000E0C32"/>
    <w:rsid w:val="000E0CC3"/>
    <w:rsid w:val="000E196E"/>
    <w:rsid w:val="000E1CDC"/>
    <w:rsid w:val="000E2521"/>
    <w:rsid w:val="000E2B56"/>
    <w:rsid w:val="000E2FD3"/>
    <w:rsid w:val="000E34A4"/>
    <w:rsid w:val="000E39DD"/>
    <w:rsid w:val="000E3C55"/>
    <w:rsid w:val="000E3DB8"/>
    <w:rsid w:val="000E4053"/>
    <w:rsid w:val="000E4310"/>
    <w:rsid w:val="000E4BFC"/>
    <w:rsid w:val="000E4EE6"/>
    <w:rsid w:val="000E51C3"/>
    <w:rsid w:val="000E58B8"/>
    <w:rsid w:val="000E5A43"/>
    <w:rsid w:val="000E5B78"/>
    <w:rsid w:val="000E5D54"/>
    <w:rsid w:val="000E6069"/>
    <w:rsid w:val="000E6814"/>
    <w:rsid w:val="000E6839"/>
    <w:rsid w:val="000E6968"/>
    <w:rsid w:val="000E6B2F"/>
    <w:rsid w:val="000E6CE4"/>
    <w:rsid w:val="000E7597"/>
    <w:rsid w:val="000E7B72"/>
    <w:rsid w:val="000E7DA7"/>
    <w:rsid w:val="000F08CB"/>
    <w:rsid w:val="000F0928"/>
    <w:rsid w:val="000F0B89"/>
    <w:rsid w:val="000F110D"/>
    <w:rsid w:val="000F1527"/>
    <w:rsid w:val="000F196A"/>
    <w:rsid w:val="000F20A1"/>
    <w:rsid w:val="000F23D6"/>
    <w:rsid w:val="000F240B"/>
    <w:rsid w:val="000F276A"/>
    <w:rsid w:val="000F2D79"/>
    <w:rsid w:val="000F30B1"/>
    <w:rsid w:val="000F30D1"/>
    <w:rsid w:val="000F3184"/>
    <w:rsid w:val="000F3611"/>
    <w:rsid w:val="000F403C"/>
    <w:rsid w:val="000F43A1"/>
    <w:rsid w:val="000F4BA6"/>
    <w:rsid w:val="000F5323"/>
    <w:rsid w:val="000F65BC"/>
    <w:rsid w:val="000F662F"/>
    <w:rsid w:val="000F69F8"/>
    <w:rsid w:val="000F6B9C"/>
    <w:rsid w:val="000F6FC2"/>
    <w:rsid w:val="000F707E"/>
    <w:rsid w:val="000F71C5"/>
    <w:rsid w:val="000F7AFE"/>
    <w:rsid w:val="000F7CC7"/>
    <w:rsid w:val="000F7E3E"/>
    <w:rsid w:val="0010020C"/>
    <w:rsid w:val="001008D4"/>
    <w:rsid w:val="00100928"/>
    <w:rsid w:val="0010097A"/>
    <w:rsid w:val="00100AA1"/>
    <w:rsid w:val="00100AE8"/>
    <w:rsid w:val="00100B8C"/>
    <w:rsid w:val="00100F6D"/>
    <w:rsid w:val="00101246"/>
    <w:rsid w:val="00101A42"/>
    <w:rsid w:val="00101AF5"/>
    <w:rsid w:val="00101C1C"/>
    <w:rsid w:val="00101E32"/>
    <w:rsid w:val="0010292C"/>
    <w:rsid w:val="00103633"/>
    <w:rsid w:val="00103AD8"/>
    <w:rsid w:val="00103D70"/>
    <w:rsid w:val="00103F51"/>
    <w:rsid w:val="00104559"/>
    <w:rsid w:val="00104647"/>
    <w:rsid w:val="0010465E"/>
    <w:rsid w:val="00104ACD"/>
    <w:rsid w:val="0010521E"/>
    <w:rsid w:val="00105339"/>
    <w:rsid w:val="001058ED"/>
    <w:rsid w:val="00105E17"/>
    <w:rsid w:val="0010618A"/>
    <w:rsid w:val="00106273"/>
    <w:rsid w:val="001062E8"/>
    <w:rsid w:val="001064ED"/>
    <w:rsid w:val="00106E98"/>
    <w:rsid w:val="0010742B"/>
    <w:rsid w:val="00110029"/>
    <w:rsid w:val="001106F9"/>
    <w:rsid w:val="001108B2"/>
    <w:rsid w:val="00110EDE"/>
    <w:rsid w:val="001111C6"/>
    <w:rsid w:val="00111DCC"/>
    <w:rsid w:val="00112630"/>
    <w:rsid w:val="00114C96"/>
    <w:rsid w:val="00116513"/>
    <w:rsid w:val="00116655"/>
    <w:rsid w:val="0011692A"/>
    <w:rsid w:val="00117168"/>
    <w:rsid w:val="001173EE"/>
    <w:rsid w:val="00120636"/>
    <w:rsid w:val="00120902"/>
    <w:rsid w:val="0012106C"/>
    <w:rsid w:val="00121B86"/>
    <w:rsid w:val="00121CC0"/>
    <w:rsid w:val="00122033"/>
    <w:rsid w:val="001220DD"/>
    <w:rsid w:val="00122C69"/>
    <w:rsid w:val="00123F56"/>
    <w:rsid w:val="001243D3"/>
    <w:rsid w:val="001244C5"/>
    <w:rsid w:val="00124A58"/>
    <w:rsid w:val="00125903"/>
    <w:rsid w:val="001268DD"/>
    <w:rsid w:val="00126C7D"/>
    <w:rsid w:val="0012709C"/>
    <w:rsid w:val="00127119"/>
    <w:rsid w:val="00127336"/>
    <w:rsid w:val="0012739A"/>
    <w:rsid w:val="0012747E"/>
    <w:rsid w:val="001275A5"/>
    <w:rsid w:val="00127625"/>
    <w:rsid w:val="00127A2D"/>
    <w:rsid w:val="00127D91"/>
    <w:rsid w:val="00127FC6"/>
    <w:rsid w:val="001308DC"/>
    <w:rsid w:val="0013120A"/>
    <w:rsid w:val="0013127F"/>
    <w:rsid w:val="0013141E"/>
    <w:rsid w:val="001314E2"/>
    <w:rsid w:val="00131511"/>
    <w:rsid w:val="00131C39"/>
    <w:rsid w:val="00131DE8"/>
    <w:rsid w:val="00132352"/>
    <w:rsid w:val="00132B73"/>
    <w:rsid w:val="00132D3B"/>
    <w:rsid w:val="001332FF"/>
    <w:rsid w:val="00134017"/>
    <w:rsid w:val="0013498E"/>
    <w:rsid w:val="00134C73"/>
    <w:rsid w:val="0013632B"/>
    <w:rsid w:val="00136B1B"/>
    <w:rsid w:val="00136D79"/>
    <w:rsid w:val="00137101"/>
    <w:rsid w:val="00137603"/>
    <w:rsid w:val="00137FDD"/>
    <w:rsid w:val="00140445"/>
    <w:rsid w:val="00140CA1"/>
    <w:rsid w:val="00140E5F"/>
    <w:rsid w:val="001414F4"/>
    <w:rsid w:val="00141A8F"/>
    <w:rsid w:val="00141C33"/>
    <w:rsid w:val="00142112"/>
    <w:rsid w:val="00142AC1"/>
    <w:rsid w:val="00142B59"/>
    <w:rsid w:val="00142B86"/>
    <w:rsid w:val="00142CAF"/>
    <w:rsid w:val="00143E8C"/>
    <w:rsid w:val="00144278"/>
    <w:rsid w:val="00144EA2"/>
    <w:rsid w:val="001451AE"/>
    <w:rsid w:val="0014521B"/>
    <w:rsid w:val="001454F7"/>
    <w:rsid w:val="001455A5"/>
    <w:rsid w:val="001455AC"/>
    <w:rsid w:val="001459E0"/>
    <w:rsid w:val="00146843"/>
    <w:rsid w:val="00147386"/>
    <w:rsid w:val="00147916"/>
    <w:rsid w:val="00147D98"/>
    <w:rsid w:val="001500DF"/>
    <w:rsid w:val="00150201"/>
    <w:rsid w:val="001506AA"/>
    <w:rsid w:val="00150BF4"/>
    <w:rsid w:val="00150D70"/>
    <w:rsid w:val="0015166A"/>
    <w:rsid w:val="00151838"/>
    <w:rsid w:val="00151AEB"/>
    <w:rsid w:val="0015238D"/>
    <w:rsid w:val="00153229"/>
    <w:rsid w:val="00153680"/>
    <w:rsid w:val="0015368F"/>
    <w:rsid w:val="001536A6"/>
    <w:rsid w:val="0015434A"/>
    <w:rsid w:val="00154492"/>
    <w:rsid w:val="00154B7A"/>
    <w:rsid w:val="00155164"/>
    <w:rsid w:val="001554DE"/>
    <w:rsid w:val="001554F9"/>
    <w:rsid w:val="00155EB6"/>
    <w:rsid w:val="00156206"/>
    <w:rsid w:val="00156294"/>
    <w:rsid w:val="001564F4"/>
    <w:rsid w:val="001568A9"/>
    <w:rsid w:val="00156B9E"/>
    <w:rsid w:val="00157851"/>
    <w:rsid w:val="00157B67"/>
    <w:rsid w:val="00160214"/>
    <w:rsid w:val="00160E2B"/>
    <w:rsid w:val="00160FF0"/>
    <w:rsid w:val="001611E1"/>
    <w:rsid w:val="001612BE"/>
    <w:rsid w:val="00161704"/>
    <w:rsid w:val="0016187A"/>
    <w:rsid w:val="001622EB"/>
    <w:rsid w:val="00162D1F"/>
    <w:rsid w:val="00162F92"/>
    <w:rsid w:val="00163517"/>
    <w:rsid w:val="0016368F"/>
    <w:rsid w:val="001641B0"/>
    <w:rsid w:val="0016459F"/>
    <w:rsid w:val="001647BD"/>
    <w:rsid w:val="001657AB"/>
    <w:rsid w:val="00166006"/>
    <w:rsid w:val="0016600E"/>
    <w:rsid w:val="0016693E"/>
    <w:rsid w:val="0016740E"/>
    <w:rsid w:val="001677BA"/>
    <w:rsid w:val="0016790F"/>
    <w:rsid w:val="00167BDB"/>
    <w:rsid w:val="00167C66"/>
    <w:rsid w:val="00167EDE"/>
    <w:rsid w:val="00167F26"/>
    <w:rsid w:val="001700A6"/>
    <w:rsid w:val="0017014A"/>
    <w:rsid w:val="001706AB"/>
    <w:rsid w:val="00170EB0"/>
    <w:rsid w:val="00171544"/>
    <w:rsid w:val="00171A65"/>
    <w:rsid w:val="001721BF"/>
    <w:rsid w:val="00172439"/>
    <w:rsid w:val="0017293D"/>
    <w:rsid w:val="00172B89"/>
    <w:rsid w:val="0017323C"/>
    <w:rsid w:val="001733F8"/>
    <w:rsid w:val="00173E4D"/>
    <w:rsid w:val="001744D0"/>
    <w:rsid w:val="001746E7"/>
    <w:rsid w:val="0017569E"/>
    <w:rsid w:val="001757B1"/>
    <w:rsid w:val="0017655E"/>
    <w:rsid w:val="001767AF"/>
    <w:rsid w:val="00176D3B"/>
    <w:rsid w:val="00177A45"/>
    <w:rsid w:val="00177DE1"/>
    <w:rsid w:val="00180124"/>
    <w:rsid w:val="001807B9"/>
    <w:rsid w:val="00181661"/>
    <w:rsid w:val="00181733"/>
    <w:rsid w:val="001817BF"/>
    <w:rsid w:val="001818E0"/>
    <w:rsid w:val="00181D2C"/>
    <w:rsid w:val="00181FC4"/>
    <w:rsid w:val="00182CBF"/>
    <w:rsid w:val="001836DC"/>
    <w:rsid w:val="001839F2"/>
    <w:rsid w:val="00184303"/>
    <w:rsid w:val="00184591"/>
    <w:rsid w:val="001849EF"/>
    <w:rsid w:val="00185E08"/>
    <w:rsid w:val="00185E98"/>
    <w:rsid w:val="00186541"/>
    <w:rsid w:val="00186A24"/>
    <w:rsid w:val="00186A7C"/>
    <w:rsid w:val="00186F78"/>
    <w:rsid w:val="0018734C"/>
    <w:rsid w:val="00187433"/>
    <w:rsid w:val="00190157"/>
    <w:rsid w:val="0019091B"/>
    <w:rsid w:val="00190D93"/>
    <w:rsid w:val="0019136D"/>
    <w:rsid w:val="0019160B"/>
    <w:rsid w:val="001918B4"/>
    <w:rsid w:val="00191DDF"/>
    <w:rsid w:val="00191E03"/>
    <w:rsid w:val="00192034"/>
    <w:rsid w:val="001920CC"/>
    <w:rsid w:val="00192162"/>
    <w:rsid w:val="00192465"/>
    <w:rsid w:val="0019295F"/>
    <w:rsid w:val="00192A31"/>
    <w:rsid w:val="00192F4B"/>
    <w:rsid w:val="00192FC6"/>
    <w:rsid w:val="0019311F"/>
    <w:rsid w:val="0019385C"/>
    <w:rsid w:val="0019409E"/>
    <w:rsid w:val="00194DB1"/>
    <w:rsid w:val="0019504C"/>
    <w:rsid w:val="001950B6"/>
    <w:rsid w:val="00195334"/>
    <w:rsid w:val="0019609E"/>
    <w:rsid w:val="0019619B"/>
    <w:rsid w:val="00196237"/>
    <w:rsid w:val="00196330"/>
    <w:rsid w:val="00196344"/>
    <w:rsid w:val="001967CC"/>
    <w:rsid w:val="00196DBF"/>
    <w:rsid w:val="00197057"/>
    <w:rsid w:val="0019754A"/>
    <w:rsid w:val="00197A38"/>
    <w:rsid w:val="00197DD0"/>
    <w:rsid w:val="001A0636"/>
    <w:rsid w:val="001A0685"/>
    <w:rsid w:val="001A0B72"/>
    <w:rsid w:val="001A0DAF"/>
    <w:rsid w:val="001A12C2"/>
    <w:rsid w:val="001A18B0"/>
    <w:rsid w:val="001A1A5E"/>
    <w:rsid w:val="001A1DB1"/>
    <w:rsid w:val="001A1E22"/>
    <w:rsid w:val="001A2041"/>
    <w:rsid w:val="001A2A36"/>
    <w:rsid w:val="001A2DC8"/>
    <w:rsid w:val="001A3D89"/>
    <w:rsid w:val="001A40D8"/>
    <w:rsid w:val="001A414C"/>
    <w:rsid w:val="001A41DC"/>
    <w:rsid w:val="001A4E92"/>
    <w:rsid w:val="001A4ED5"/>
    <w:rsid w:val="001A55BD"/>
    <w:rsid w:val="001A5C32"/>
    <w:rsid w:val="001A5C7D"/>
    <w:rsid w:val="001A5D49"/>
    <w:rsid w:val="001A64C4"/>
    <w:rsid w:val="001A65C9"/>
    <w:rsid w:val="001A6702"/>
    <w:rsid w:val="001A67FF"/>
    <w:rsid w:val="001A6DC5"/>
    <w:rsid w:val="001B03BB"/>
    <w:rsid w:val="001B0625"/>
    <w:rsid w:val="001B0822"/>
    <w:rsid w:val="001B090B"/>
    <w:rsid w:val="001B12D1"/>
    <w:rsid w:val="001B1771"/>
    <w:rsid w:val="001B1802"/>
    <w:rsid w:val="001B22AB"/>
    <w:rsid w:val="001B2585"/>
    <w:rsid w:val="001B260F"/>
    <w:rsid w:val="001B2D78"/>
    <w:rsid w:val="001B2ECC"/>
    <w:rsid w:val="001B31E2"/>
    <w:rsid w:val="001B3A85"/>
    <w:rsid w:val="001B3B61"/>
    <w:rsid w:val="001B5764"/>
    <w:rsid w:val="001B5875"/>
    <w:rsid w:val="001B64A0"/>
    <w:rsid w:val="001B6882"/>
    <w:rsid w:val="001B7117"/>
    <w:rsid w:val="001B7362"/>
    <w:rsid w:val="001B7701"/>
    <w:rsid w:val="001B781D"/>
    <w:rsid w:val="001B796F"/>
    <w:rsid w:val="001B7EBC"/>
    <w:rsid w:val="001C0592"/>
    <w:rsid w:val="001C0836"/>
    <w:rsid w:val="001C1E2B"/>
    <w:rsid w:val="001C1E41"/>
    <w:rsid w:val="001C2309"/>
    <w:rsid w:val="001C255D"/>
    <w:rsid w:val="001C26DB"/>
    <w:rsid w:val="001C278C"/>
    <w:rsid w:val="001C29A4"/>
    <w:rsid w:val="001C29DA"/>
    <w:rsid w:val="001C2C55"/>
    <w:rsid w:val="001C37BE"/>
    <w:rsid w:val="001C3D8F"/>
    <w:rsid w:val="001C5111"/>
    <w:rsid w:val="001C51FD"/>
    <w:rsid w:val="001C5840"/>
    <w:rsid w:val="001C6863"/>
    <w:rsid w:val="001C747D"/>
    <w:rsid w:val="001C7962"/>
    <w:rsid w:val="001C7F24"/>
    <w:rsid w:val="001D1477"/>
    <w:rsid w:val="001D1854"/>
    <w:rsid w:val="001D2757"/>
    <w:rsid w:val="001D29E0"/>
    <w:rsid w:val="001D2DFE"/>
    <w:rsid w:val="001D3523"/>
    <w:rsid w:val="001D3C13"/>
    <w:rsid w:val="001D4812"/>
    <w:rsid w:val="001D4C49"/>
    <w:rsid w:val="001D502F"/>
    <w:rsid w:val="001D5092"/>
    <w:rsid w:val="001D588A"/>
    <w:rsid w:val="001D5EBF"/>
    <w:rsid w:val="001D652A"/>
    <w:rsid w:val="001D6925"/>
    <w:rsid w:val="001D6946"/>
    <w:rsid w:val="001D6A39"/>
    <w:rsid w:val="001D6E22"/>
    <w:rsid w:val="001D725E"/>
    <w:rsid w:val="001D7E30"/>
    <w:rsid w:val="001D7EF9"/>
    <w:rsid w:val="001E007E"/>
    <w:rsid w:val="001E0182"/>
    <w:rsid w:val="001E0676"/>
    <w:rsid w:val="001E0BA4"/>
    <w:rsid w:val="001E10FF"/>
    <w:rsid w:val="001E1554"/>
    <w:rsid w:val="001E1814"/>
    <w:rsid w:val="001E197E"/>
    <w:rsid w:val="001E1B46"/>
    <w:rsid w:val="001E1BBE"/>
    <w:rsid w:val="001E1C3C"/>
    <w:rsid w:val="001E1CA3"/>
    <w:rsid w:val="001E1D78"/>
    <w:rsid w:val="001E1E3A"/>
    <w:rsid w:val="001E1F32"/>
    <w:rsid w:val="001E217C"/>
    <w:rsid w:val="001E257D"/>
    <w:rsid w:val="001E306F"/>
    <w:rsid w:val="001E32E5"/>
    <w:rsid w:val="001E3321"/>
    <w:rsid w:val="001E33D0"/>
    <w:rsid w:val="001E36F7"/>
    <w:rsid w:val="001E3799"/>
    <w:rsid w:val="001E3D85"/>
    <w:rsid w:val="001E3D96"/>
    <w:rsid w:val="001E3F04"/>
    <w:rsid w:val="001E3FC4"/>
    <w:rsid w:val="001E4187"/>
    <w:rsid w:val="001E490B"/>
    <w:rsid w:val="001E4A6F"/>
    <w:rsid w:val="001E5335"/>
    <w:rsid w:val="001E54DE"/>
    <w:rsid w:val="001E575F"/>
    <w:rsid w:val="001E644F"/>
    <w:rsid w:val="001E66A3"/>
    <w:rsid w:val="001E6757"/>
    <w:rsid w:val="001E6B98"/>
    <w:rsid w:val="001E6E1C"/>
    <w:rsid w:val="001E7401"/>
    <w:rsid w:val="001E7567"/>
    <w:rsid w:val="001F0A21"/>
    <w:rsid w:val="001F0E6B"/>
    <w:rsid w:val="001F0F97"/>
    <w:rsid w:val="001F10A8"/>
    <w:rsid w:val="001F1458"/>
    <w:rsid w:val="001F14E2"/>
    <w:rsid w:val="001F1A4A"/>
    <w:rsid w:val="001F27DC"/>
    <w:rsid w:val="001F3ADA"/>
    <w:rsid w:val="001F3B4D"/>
    <w:rsid w:val="001F43AD"/>
    <w:rsid w:val="001F5067"/>
    <w:rsid w:val="001F50F5"/>
    <w:rsid w:val="001F5C38"/>
    <w:rsid w:val="001F5C86"/>
    <w:rsid w:val="001F5CE6"/>
    <w:rsid w:val="001F6C07"/>
    <w:rsid w:val="001F6FE9"/>
    <w:rsid w:val="001F79C9"/>
    <w:rsid w:val="001F7B0B"/>
    <w:rsid w:val="001F7F35"/>
    <w:rsid w:val="001F7F3E"/>
    <w:rsid w:val="00201263"/>
    <w:rsid w:val="00201359"/>
    <w:rsid w:val="00202E0D"/>
    <w:rsid w:val="0020389D"/>
    <w:rsid w:val="00203C4E"/>
    <w:rsid w:val="00203DED"/>
    <w:rsid w:val="00203F86"/>
    <w:rsid w:val="0020411E"/>
    <w:rsid w:val="00204195"/>
    <w:rsid w:val="002042BF"/>
    <w:rsid w:val="00204358"/>
    <w:rsid w:val="002048DC"/>
    <w:rsid w:val="0020513A"/>
    <w:rsid w:val="00205285"/>
    <w:rsid w:val="0020637B"/>
    <w:rsid w:val="0020641E"/>
    <w:rsid w:val="002068EF"/>
    <w:rsid w:val="002069A5"/>
    <w:rsid w:val="002069E8"/>
    <w:rsid w:val="00206E67"/>
    <w:rsid w:val="00207077"/>
    <w:rsid w:val="0020733D"/>
    <w:rsid w:val="00207A24"/>
    <w:rsid w:val="00210101"/>
    <w:rsid w:val="0021026B"/>
    <w:rsid w:val="00210A66"/>
    <w:rsid w:val="00210C1D"/>
    <w:rsid w:val="00210E97"/>
    <w:rsid w:val="002111A6"/>
    <w:rsid w:val="0021184D"/>
    <w:rsid w:val="002119C3"/>
    <w:rsid w:val="002125B9"/>
    <w:rsid w:val="00213134"/>
    <w:rsid w:val="002131F8"/>
    <w:rsid w:val="00213D61"/>
    <w:rsid w:val="00214380"/>
    <w:rsid w:val="00214FFF"/>
    <w:rsid w:val="00215270"/>
    <w:rsid w:val="00215EEA"/>
    <w:rsid w:val="0021616E"/>
    <w:rsid w:val="002175D4"/>
    <w:rsid w:val="002179A9"/>
    <w:rsid w:val="00217A86"/>
    <w:rsid w:val="00217A98"/>
    <w:rsid w:val="002206DD"/>
    <w:rsid w:val="00220795"/>
    <w:rsid w:val="00220E22"/>
    <w:rsid w:val="00220ED1"/>
    <w:rsid w:val="00220FED"/>
    <w:rsid w:val="002210F8"/>
    <w:rsid w:val="002212B8"/>
    <w:rsid w:val="002212C3"/>
    <w:rsid w:val="002224DE"/>
    <w:rsid w:val="002227B0"/>
    <w:rsid w:val="00222B0F"/>
    <w:rsid w:val="00222E4E"/>
    <w:rsid w:val="00222F12"/>
    <w:rsid w:val="00222F7E"/>
    <w:rsid w:val="002235C0"/>
    <w:rsid w:val="00223A27"/>
    <w:rsid w:val="00223EAB"/>
    <w:rsid w:val="00224ED4"/>
    <w:rsid w:val="00225251"/>
    <w:rsid w:val="00225632"/>
    <w:rsid w:val="002258D9"/>
    <w:rsid w:val="00225BDF"/>
    <w:rsid w:val="00225E79"/>
    <w:rsid w:val="002265F2"/>
    <w:rsid w:val="00226DD3"/>
    <w:rsid w:val="0022739E"/>
    <w:rsid w:val="00227D4B"/>
    <w:rsid w:val="00227E08"/>
    <w:rsid w:val="002307FF"/>
    <w:rsid w:val="00230A42"/>
    <w:rsid w:val="00230C38"/>
    <w:rsid w:val="00231065"/>
    <w:rsid w:val="002314F3"/>
    <w:rsid w:val="0023169D"/>
    <w:rsid w:val="00231870"/>
    <w:rsid w:val="00231B7B"/>
    <w:rsid w:val="00232958"/>
    <w:rsid w:val="00232A34"/>
    <w:rsid w:val="00233041"/>
    <w:rsid w:val="00233293"/>
    <w:rsid w:val="002341B6"/>
    <w:rsid w:val="0023448D"/>
    <w:rsid w:val="0023457C"/>
    <w:rsid w:val="00235327"/>
    <w:rsid w:val="00235733"/>
    <w:rsid w:val="00235882"/>
    <w:rsid w:val="0023589A"/>
    <w:rsid w:val="00235A72"/>
    <w:rsid w:val="00236037"/>
    <w:rsid w:val="00236425"/>
    <w:rsid w:val="002367EC"/>
    <w:rsid w:val="00236999"/>
    <w:rsid w:val="00236A6C"/>
    <w:rsid w:val="00237245"/>
    <w:rsid w:val="002376C9"/>
    <w:rsid w:val="00237A62"/>
    <w:rsid w:val="00237B9A"/>
    <w:rsid w:val="00237BC7"/>
    <w:rsid w:val="00237BDC"/>
    <w:rsid w:val="00237C9D"/>
    <w:rsid w:val="00237D76"/>
    <w:rsid w:val="00237EE4"/>
    <w:rsid w:val="002402DE"/>
    <w:rsid w:val="00240489"/>
    <w:rsid w:val="00240681"/>
    <w:rsid w:val="0024075F"/>
    <w:rsid w:val="00241E3F"/>
    <w:rsid w:val="00242152"/>
    <w:rsid w:val="00242297"/>
    <w:rsid w:val="002422F4"/>
    <w:rsid w:val="0024364E"/>
    <w:rsid w:val="00243CC7"/>
    <w:rsid w:val="00244698"/>
    <w:rsid w:val="00244BBD"/>
    <w:rsid w:val="00245BF3"/>
    <w:rsid w:val="00246052"/>
    <w:rsid w:val="0024621E"/>
    <w:rsid w:val="0024680D"/>
    <w:rsid w:val="00246962"/>
    <w:rsid w:val="002469B5"/>
    <w:rsid w:val="00246B55"/>
    <w:rsid w:val="00246C81"/>
    <w:rsid w:val="0024710E"/>
    <w:rsid w:val="00247602"/>
    <w:rsid w:val="00247997"/>
    <w:rsid w:val="00247ACF"/>
    <w:rsid w:val="00251528"/>
    <w:rsid w:val="0025160B"/>
    <w:rsid w:val="002517C2"/>
    <w:rsid w:val="0025187A"/>
    <w:rsid w:val="002528A7"/>
    <w:rsid w:val="002530C4"/>
    <w:rsid w:val="00254468"/>
    <w:rsid w:val="00254764"/>
    <w:rsid w:val="00254C0B"/>
    <w:rsid w:val="00254C64"/>
    <w:rsid w:val="00254E12"/>
    <w:rsid w:val="00255096"/>
    <w:rsid w:val="00255550"/>
    <w:rsid w:val="00255901"/>
    <w:rsid w:val="002565B1"/>
    <w:rsid w:val="002566E3"/>
    <w:rsid w:val="0025677A"/>
    <w:rsid w:val="00256BEE"/>
    <w:rsid w:val="00260301"/>
    <w:rsid w:val="00261402"/>
    <w:rsid w:val="002615E9"/>
    <w:rsid w:val="0026200A"/>
    <w:rsid w:val="00262418"/>
    <w:rsid w:val="00262523"/>
    <w:rsid w:val="00262827"/>
    <w:rsid w:val="00262B9C"/>
    <w:rsid w:val="00263D27"/>
    <w:rsid w:val="0026409C"/>
    <w:rsid w:val="00264202"/>
    <w:rsid w:val="00264EAC"/>
    <w:rsid w:val="0026606B"/>
    <w:rsid w:val="002660E8"/>
    <w:rsid w:val="00266820"/>
    <w:rsid w:val="00266AD2"/>
    <w:rsid w:val="002678D3"/>
    <w:rsid w:val="00267B05"/>
    <w:rsid w:val="00270244"/>
    <w:rsid w:val="0027038B"/>
    <w:rsid w:val="00270623"/>
    <w:rsid w:val="002707B6"/>
    <w:rsid w:val="002715A3"/>
    <w:rsid w:val="00271BB6"/>
    <w:rsid w:val="00271FA6"/>
    <w:rsid w:val="002723E7"/>
    <w:rsid w:val="00272781"/>
    <w:rsid w:val="0027278B"/>
    <w:rsid w:val="00272BC6"/>
    <w:rsid w:val="00272F3A"/>
    <w:rsid w:val="002735E5"/>
    <w:rsid w:val="0027385F"/>
    <w:rsid w:val="00273B45"/>
    <w:rsid w:val="00274186"/>
    <w:rsid w:val="00274FB8"/>
    <w:rsid w:val="002756F0"/>
    <w:rsid w:val="00275AAB"/>
    <w:rsid w:val="00275C94"/>
    <w:rsid w:val="0027692A"/>
    <w:rsid w:val="002773FB"/>
    <w:rsid w:val="00277B92"/>
    <w:rsid w:val="00277D54"/>
    <w:rsid w:val="002800F3"/>
    <w:rsid w:val="00280269"/>
    <w:rsid w:val="0028132F"/>
    <w:rsid w:val="00281A01"/>
    <w:rsid w:val="00281D91"/>
    <w:rsid w:val="002844B5"/>
    <w:rsid w:val="00284A8F"/>
    <w:rsid w:val="00284BC7"/>
    <w:rsid w:val="00284F3E"/>
    <w:rsid w:val="00284F62"/>
    <w:rsid w:val="00286287"/>
    <w:rsid w:val="002874FB"/>
    <w:rsid w:val="002900C7"/>
    <w:rsid w:val="00290264"/>
    <w:rsid w:val="0029054D"/>
    <w:rsid w:val="00290889"/>
    <w:rsid w:val="00290DFC"/>
    <w:rsid w:val="0029105E"/>
    <w:rsid w:val="00291139"/>
    <w:rsid w:val="00291281"/>
    <w:rsid w:val="002913DF"/>
    <w:rsid w:val="00291B9D"/>
    <w:rsid w:val="00291C04"/>
    <w:rsid w:val="00291F91"/>
    <w:rsid w:val="002925F5"/>
    <w:rsid w:val="0029279E"/>
    <w:rsid w:val="00294490"/>
    <w:rsid w:val="00294F71"/>
    <w:rsid w:val="0029517B"/>
    <w:rsid w:val="002951F1"/>
    <w:rsid w:val="0029621A"/>
    <w:rsid w:val="0029661D"/>
    <w:rsid w:val="0029673B"/>
    <w:rsid w:val="0029696A"/>
    <w:rsid w:val="00296A7D"/>
    <w:rsid w:val="0029738A"/>
    <w:rsid w:val="002973D8"/>
    <w:rsid w:val="00297412"/>
    <w:rsid w:val="00297E99"/>
    <w:rsid w:val="002A01E3"/>
    <w:rsid w:val="002A0B46"/>
    <w:rsid w:val="002A1C65"/>
    <w:rsid w:val="002A213B"/>
    <w:rsid w:val="002A2292"/>
    <w:rsid w:val="002A27C1"/>
    <w:rsid w:val="002A2E1D"/>
    <w:rsid w:val="002A3818"/>
    <w:rsid w:val="002A3CB1"/>
    <w:rsid w:val="002A3E83"/>
    <w:rsid w:val="002A404C"/>
    <w:rsid w:val="002A42FA"/>
    <w:rsid w:val="002A43CC"/>
    <w:rsid w:val="002A4643"/>
    <w:rsid w:val="002A65B0"/>
    <w:rsid w:val="002A6DAA"/>
    <w:rsid w:val="002A6E92"/>
    <w:rsid w:val="002A7222"/>
    <w:rsid w:val="002A7F85"/>
    <w:rsid w:val="002A7F96"/>
    <w:rsid w:val="002B00AF"/>
    <w:rsid w:val="002B1327"/>
    <w:rsid w:val="002B16B3"/>
    <w:rsid w:val="002B19F6"/>
    <w:rsid w:val="002B22B4"/>
    <w:rsid w:val="002B241E"/>
    <w:rsid w:val="002B26ED"/>
    <w:rsid w:val="002B2FBF"/>
    <w:rsid w:val="002B308E"/>
    <w:rsid w:val="002B3123"/>
    <w:rsid w:val="002B34E7"/>
    <w:rsid w:val="002B3967"/>
    <w:rsid w:val="002B3A0C"/>
    <w:rsid w:val="002B416A"/>
    <w:rsid w:val="002B4B39"/>
    <w:rsid w:val="002B510F"/>
    <w:rsid w:val="002B5B70"/>
    <w:rsid w:val="002B60D4"/>
    <w:rsid w:val="002B6228"/>
    <w:rsid w:val="002B6882"/>
    <w:rsid w:val="002B7044"/>
    <w:rsid w:val="002B7767"/>
    <w:rsid w:val="002B77F7"/>
    <w:rsid w:val="002B7B9D"/>
    <w:rsid w:val="002B7E1F"/>
    <w:rsid w:val="002B7F76"/>
    <w:rsid w:val="002C0549"/>
    <w:rsid w:val="002C0EA7"/>
    <w:rsid w:val="002C1B65"/>
    <w:rsid w:val="002C1BEF"/>
    <w:rsid w:val="002C1C4E"/>
    <w:rsid w:val="002C272A"/>
    <w:rsid w:val="002C29A8"/>
    <w:rsid w:val="002C2A3B"/>
    <w:rsid w:val="002C2F5D"/>
    <w:rsid w:val="002C310E"/>
    <w:rsid w:val="002C3114"/>
    <w:rsid w:val="002C3314"/>
    <w:rsid w:val="002C3D7F"/>
    <w:rsid w:val="002C402A"/>
    <w:rsid w:val="002C4117"/>
    <w:rsid w:val="002C4A4A"/>
    <w:rsid w:val="002C5E6C"/>
    <w:rsid w:val="002C63BC"/>
    <w:rsid w:val="002C66A5"/>
    <w:rsid w:val="002C68EE"/>
    <w:rsid w:val="002C6C48"/>
    <w:rsid w:val="002C6E4B"/>
    <w:rsid w:val="002C7415"/>
    <w:rsid w:val="002C75B6"/>
    <w:rsid w:val="002D012B"/>
    <w:rsid w:val="002D02F7"/>
    <w:rsid w:val="002D0B82"/>
    <w:rsid w:val="002D0DB8"/>
    <w:rsid w:val="002D168D"/>
    <w:rsid w:val="002D1B2D"/>
    <w:rsid w:val="002D1B38"/>
    <w:rsid w:val="002D1F00"/>
    <w:rsid w:val="002D29D6"/>
    <w:rsid w:val="002D2B7E"/>
    <w:rsid w:val="002D3792"/>
    <w:rsid w:val="002D3793"/>
    <w:rsid w:val="002D3B42"/>
    <w:rsid w:val="002D3C43"/>
    <w:rsid w:val="002D3D69"/>
    <w:rsid w:val="002D4365"/>
    <w:rsid w:val="002D4752"/>
    <w:rsid w:val="002D49E4"/>
    <w:rsid w:val="002D4DFA"/>
    <w:rsid w:val="002D52BD"/>
    <w:rsid w:val="002D5317"/>
    <w:rsid w:val="002D5496"/>
    <w:rsid w:val="002D5935"/>
    <w:rsid w:val="002D69B7"/>
    <w:rsid w:val="002D6A47"/>
    <w:rsid w:val="002D716C"/>
    <w:rsid w:val="002D792E"/>
    <w:rsid w:val="002D7A9F"/>
    <w:rsid w:val="002E0133"/>
    <w:rsid w:val="002E1BDD"/>
    <w:rsid w:val="002E1F6F"/>
    <w:rsid w:val="002E1F8C"/>
    <w:rsid w:val="002E2A62"/>
    <w:rsid w:val="002E2B7C"/>
    <w:rsid w:val="002E2BF0"/>
    <w:rsid w:val="002E2CCD"/>
    <w:rsid w:val="002E3042"/>
    <w:rsid w:val="002E3503"/>
    <w:rsid w:val="002E3C38"/>
    <w:rsid w:val="002E4056"/>
    <w:rsid w:val="002E43D8"/>
    <w:rsid w:val="002E443D"/>
    <w:rsid w:val="002E4BD5"/>
    <w:rsid w:val="002E52A9"/>
    <w:rsid w:val="002E6093"/>
    <w:rsid w:val="002E64FD"/>
    <w:rsid w:val="002E685D"/>
    <w:rsid w:val="002E7445"/>
    <w:rsid w:val="002F1433"/>
    <w:rsid w:val="002F1543"/>
    <w:rsid w:val="002F179F"/>
    <w:rsid w:val="002F1B67"/>
    <w:rsid w:val="002F1BCD"/>
    <w:rsid w:val="002F212C"/>
    <w:rsid w:val="002F246A"/>
    <w:rsid w:val="002F28A0"/>
    <w:rsid w:val="002F3612"/>
    <w:rsid w:val="002F3795"/>
    <w:rsid w:val="002F3B18"/>
    <w:rsid w:val="002F3C2D"/>
    <w:rsid w:val="002F42D7"/>
    <w:rsid w:val="002F531E"/>
    <w:rsid w:val="002F5757"/>
    <w:rsid w:val="002F5BB6"/>
    <w:rsid w:val="002F5D1B"/>
    <w:rsid w:val="002F5D36"/>
    <w:rsid w:val="002F5D74"/>
    <w:rsid w:val="002F5F7B"/>
    <w:rsid w:val="002F6E41"/>
    <w:rsid w:val="002F705D"/>
    <w:rsid w:val="002F70C3"/>
    <w:rsid w:val="00300295"/>
    <w:rsid w:val="00300481"/>
    <w:rsid w:val="00300520"/>
    <w:rsid w:val="00300719"/>
    <w:rsid w:val="00300C54"/>
    <w:rsid w:val="00300D3B"/>
    <w:rsid w:val="00300EF8"/>
    <w:rsid w:val="0030144D"/>
    <w:rsid w:val="00301671"/>
    <w:rsid w:val="00301CC7"/>
    <w:rsid w:val="00301D0B"/>
    <w:rsid w:val="00301F0D"/>
    <w:rsid w:val="003020B3"/>
    <w:rsid w:val="003022CE"/>
    <w:rsid w:val="00302D3D"/>
    <w:rsid w:val="003030FB"/>
    <w:rsid w:val="003035FE"/>
    <w:rsid w:val="00303B00"/>
    <w:rsid w:val="00303CC2"/>
    <w:rsid w:val="003041DC"/>
    <w:rsid w:val="00304339"/>
    <w:rsid w:val="00304463"/>
    <w:rsid w:val="00304498"/>
    <w:rsid w:val="00304CC7"/>
    <w:rsid w:val="00304EB0"/>
    <w:rsid w:val="00305904"/>
    <w:rsid w:val="00305CEF"/>
    <w:rsid w:val="00305F61"/>
    <w:rsid w:val="00305FE9"/>
    <w:rsid w:val="0030603B"/>
    <w:rsid w:val="003060FA"/>
    <w:rsid w:val="0030642E"/>
    <w:rsid w:val="003064FA"/>
    <w:rsid w:val="00306768"/>
    <w:rsid w:val="00306BB7"/>
    <w:rsid w:val="00306FA9"/>
    <w:rsid w:val="0030725F"/>
    <w:rsid w:val="003073B5"/>
    <w:rsid w:val="0030748F"/>
    <w:rsid w:val="00307538"/>
    <w:rsid w:val="00307644"/>
    <w:rsid w:val="00307E40"/>
    <w:rsid w:val="00310B57"/>
    <w:rsid w:val="00310C2D"/>
    <w:rsid w:val="00310CF6"/>
    <w:rsid w:val="00311709"/>
    <w:rsid w:val="00311829"/>
    <w:rsid w:val="00312061"/>
    <w:rsid w:val="0031227C"/>
    <w:rsid w:val="003124A4"/>
    <w:rsid w:val="0031389F"/>
    <w:rsid w:val="00313C72"/>
    <w:rsid w:val="003142C6"/>
    <w:rsid w:val="0031446F"/>
    <w:rsid w:val="003146E9"/>
    <w:rsid w:val="003149B4"/>
    <w:rsid w:val="00314E2D"/>
    <w:rsid w:val="00315B25"/>
    <w:rsid w:val="00315B72"/>
    <w:rsid w:val="00316393"/>
    <w:rsid w:val="003166B8"/>
    <w:rsid w:val="0031677A"/>
    <w:rsid w:val="00316943"/>
    <w:rsid w:val="0031784A"/>
    <w:rsid w:val="00320885"/>
    <w:rsid w:val="00320D6A"/>
    <w:rsid w:val="00321323"/>
    <w:rsid w:val="003214DB"/>
    <w:rsid w:val="00321694"/>
    <w:rsid w:val="0032181D"/>
    <w:rsid w:val="003218A3"/>
    <w:rsid w:val="00321B02"/>
    <w:rsid w:val="00321FDA"/>
    <w:rsid w:val="00322241"/>
    <w:rsid w:val="00322C75"/>
    <w:rsid w:val="00323171"/>
    <w:rsid w:val="0032326F"/>
    <w:rsid w:val="003234D0"/>
    <w:rsid w:val="00323A76"/>
    <w:rsid w:val="00324ECD"/>
    <w:rsid w:val="00325780"/>
    <w:rsid w:val="00325E97"/>
    <w:rsid w:val="0032637A"/>
    <w:rsid w:val="003266DA"/>
    <w:rsid w:val="003268F4"/>
    <w:rsid w:val="00326B5F"/>
    <w:rsid w:val="00326B66"/>
    <w:rsid w:val="00326D8B"/>
    <w:rsid w:val="00327136"/>
    <w:rsid w:val="00327455"/>
    <w:rsid w:val="003274CC"/>
    <w:rsid w:val="0032779A"/>
    <w:rsid w:val="00330E11"/>
    <w:rsid w:val="003310DC"/>
    <w:rsid w:val="00331544"/>
    <w:rsid w:val="00331C94"/>
    <w:rsid w:val="0033226D"/>
    <w:rsid w:val="00332294"/>
    <w:rsid w:val="00332CE7"/>
    <w:rsid w:val="00332FAC"/>
    <w:rsid w:val="00333354"/>
    <w:rsid w:val="00333692"/>
    <w:rsid w:val="003342F9"/>
    <w:rsid w:val="0033511A"/>
    <w:rsid w:val="00335180"/>
    <w:rsid w:val="0033585F"/>
    <w:rsid w:val="00336402"/>
    <w:rsid w:val="003364C7"/>
    <w:rsid w:val="00336962"/>
    <w:rsid w:val="00336BE8"/>
    <w:rsid w:val="00336F6B"/>
    <w:rsid w:val="00337319"/>
    <w:rsid w:val="00337404"/>
    <w:rsid w:val="003376E3"/>
    <w:rsid w:val="00340179"/>
    <w:rsid w:val="003403E0"/>
    <w:rsid w:val="003404CC"/>
    <w:rsid w:val="00340775"/>
    <w:rsid w:val="003410B6"/>
    <w:rsid w:val="00341111"/>
    <w:rsid w:val="00341471"/>
    <w:rsid w:val="00342CA9"/>
    <w:rsid w:val="00343010"/>
    <w:rsid w:val="00343190"/>
    <w:rsid w:val="0034351B"/>
    <w:rsid w:val="00344153"/>
    <w:rsid w:val="00344C0F"/>
    <w:rsid w:val="00345ED7"/>
    <w:rsid w:val="00346964"/>
    <w:rsid w:val="003469B8"/>
    <w:rsid w:val="00346C40"/>
    <w:rsid w:val="00346E6A"/>
    <w:rsid w:val="00347185"/>
    <w:rsid w:val="003471D9"/>
    <w:rsid w:val="00347319"/>
    <w:rsid w:val="0034746D"/>
    <w:rsid w:val="00347A2D"/>
    <w:rsid w:val="00347D58"/>
    <w:rsid w:val="0035156E"/>
    <w:rsid w:val="0035162A"/>
    <w:rsid w:val="003519B3"/>
    <w:rsid w:val="003520FD"/>
    <w:rsid w:val="0035225A"/>
    <w:rsid w:val="003523B3"/>
    <w:rsid w:val="00352A38"/>
    <w:rsid w:val="00352D0B"/>
    <w:rsid w:val="00352F05"/>
    <w:rsid w:val="00353184"/>
    <w:rsid w:val="00353A5F"/>
    <w:rsid w:val="00353BEA"/>
    <w:rsid w:val="00353D51"/>
    <w:rsid w:val="00354EC5"/>
    <w:rsid w:val="003557B2"/>
    <w:rsid w:val="00356337"/>
    <w:rsid w:val="003566BC"/>
    <w:rsid w:val="00356F51"/>
    <w:rsid w:val="0035700D"/>
    <w:rsid w:val="00357E43"/>
    <w:rsid w:val="00360025"/>
    <w:rsid w:val="0036028B"/>
    <w:rsid w:val="00360A83"/>
    <w:rsid w:val="00360ABE"/>
    <w:rsid w:val="00360D2A"/>
    <w:rsid w:val="003616CE"/>
    <w:rsid w:val="00361B26"/>
    <w:rsid w:val="00362139"/>
    <w:rsid w:val="00362A04"/>
    <w:rsid w:val="00362A92"/>
    <w:rsid w:val="00362C62"/>
    <w:rsid w:val="00363363"/>
    <w:rsid w:val="003635E0"/>
    <w:rsid w:val="003636AB"/>
    <w:rsid w:val="00363918"/>
    <w:rsid w:val="00363D67"/>
    <w:rsid w:val="00363FB2"/>
    <w:rsid w:val="00364128"/>
    <w:rsid w:val="00364627"/>
    <w:rsid w:val="00364995"/>
    <w:rsid w:val="0036586C"/>
    <w:rsid w:val="00365C84"/>
    <w:rsid w:val="003662A0"/>
    <w:rsid w:val="003664D4"/>
    <w:rsid w:val="003665B7"/>
    <w:rsid w:val="003669BE"/>
    <w:rsid w:val="00366ECE"/>
    <w:rsid w:val="0036776F"/>
    <w:rsid w:val="003679FF"/>
    <w:rsid w:val="00367BB5"/>
    <w:rsid w:val="00371098"/>
    <w:rsid w:val="003715B2"/>
    <w:rsid w:val="00372093"/>
    <w:rsid w:val="00373E76"/>
    <w:rsid w:val="00374756"/>
    <w:rsid w:val="003748FE"/>
    <w:rsid w:val="00374E24"/>
    <w:rsid w:val="00375063"/>
    <w:rsid w:val="003754CF"/>
    <w:rsid w:val="00375F85"/>
    <w:rsid w:val="00376084"/>
    <w:rsid w:val="003766B3"/>
    <w:rsid w:val="00376783"/>
    <w:rsid w:val="00376C39"/>
    <w:rsid w:val="00377300"/>
    <w:rsid w:val="0037746F"/>
    <w:rsid w:val="00377518"/>
    <w:rsid w:val="00377D80"/>
    <w:rsid w:val="0038010E"/>
    <w:rsid w:val="00380208"/>
    <w:rsid w:val="00380502"/>
    <w:rsid w:val="003805D4"/>
    <w:rsid w:val="00380688"/>
    <w:rsid w:val="00380DF5"/>
    <w:rsid w:val="003816DF"/>
    <w:rsid w:val="003826D2"/>
    <w:rsid w:val="00382A3D"/>
    <w:rsid w:val="00382DEE"/>
    <w:rsid w:val="0038460D"/>
    <w:rsid w:val="00384991"/>
    <w:rsid w:val="003859E3"/>
    <w:rsid w:val="003862A0"/>
    <w:rsid w:val="003864E4"/>
    <w:rsid w:val="0038657E"/>
    <w:rsid w:val="0038676A"/>
    <w:rsid w:val="00387001"/>
    <w:rsid w:val="0038741E"/>
    <w:rsid w:val="00387612"/>
    <w:rsid w:val="00387716"/>
    <w:rsid w:val="00387A9B"/>
    <w:rsid w:val="00387D6A"/>
    <w:rsid w:val="003902C3"/>
    <w:rsid w:val="003908F4"/>
    <w:rsid w:val="003909E7"/>
    <w:rsid w:val="003920AC"/>
    <w:rsid w:val="00392122"/>
    <w:rsid w:val="0039216A"/>
    <w:rsid w:val="00392CB3"/>
    <w:rsid w:val="00393316"/>
    <w:rsid w:val="00393C67"/>
    <w:rsid w:val="00394761"/>
    <w:rsid w:val="00394791"/>
    <w:rsid w:val="0039490F"/>
    <w:rsid w:val="00394987"/>
    <w:rsid w:val="00395365"/>
    <w:rsid w:val="003955D4"/>
    <w:rsid w:val="00395A83"/>
    <w:rsid w:val="00395BCD"/>
    <w:rsid w:val="00395EB5"/>
    <w:rsid w:val="00396233"/>
    <w:rsid w:val="00396CF7"/>
    <w:rsid w:val="00396EE0"/>
    <w:rsid w:val="00397312"/>
    <w:rsid w:val="003979B9"/>
    <w:rsid w:val="00397DF6"/>
    <w:rsid w:val="003A009D"/>
    <w:rsid w:val="003A0316"/>
    <w:rsid w:val="003A050E"/>
    <w:rsid w:val="003A0787"/>
    <w:rsid w:val="003A0C5A"/>
    <w:rsid w:val="003A0ED4"/>
    <w:rsid w:val="003A1713"/>
    <w:rsid w:val="003A173F"/>
    <w:rsid w:val="003A2824"/>
    <w:rsid w:val="003A3484"/>
    <w:rsid w:val="003A349D"/>
    <w:rsid w:val="003A3509"/>
    <w:rsid w:val="003A42D1"/>
    <w:rsid w:val="003A4311"/>
    <w:rsid w:val="003A45F6"/>
    <w:rsid w:val="003A48F7"/>
    <w:rsid w:val="003A4F28"/>
    <w:rsid w:val="003A51B6"/>
    <w:rsid w:val="003A5437"/>
    <w:rsid w:val="003A54BD"/>
    <w:rsid w:val="003A594A"/>
    <w:rsid w:val="003A596E"/>
    <w:rsid w:val="003A601F"/>
    <w:rsid w:val="003A61A3"/>
    <w:rsid w:val="003A61BB"/>
    <w:rsid w:val="003A664A"/>
    <w:rsid w:val="003A67AE"/>
    <w:rsid w:val="003A6CD2"/>
    <w:rsid w:val="003A7D38"/>
    <w:rsid w:val="003A7FEA"/>
    <w:rsid w:val="003B0089"/>
    <w:rsid w:val="003B07AF"/>
    <w:rsid w:val="003B0CED"/>
    <w:rsid w:val="003B100F"/>
    <w:rsid w:val="003B117A"/>
    <w:rsid w:val="003B16D3"/>
    <w:rsid w:val="003B1B2D"/>
    <w:rsid w:val="003B1B6F"/>
    <w:rsid w:val="003B27DE"/>
    <w:rsid w:val="003B298E"/>
    <w:rsid w:val="003B2DB2"/>
    <w:rsid w:val="003B415A"/>
    <w:rsid w:val="003B475F"/>
    <w:rsid w:val="003B488B"/>
    <w:rsid w:val="003B490B"/>
    <w:rsid w:val="003B4BB5"/>
    <w:rsid w:val="003B4C9E"/>
    <w:rsid w:val="003B503B"/>
    <w:rsid w:val="003B54BD"/>
    <w:rsid w:val="003B56D5"/>
    <w:rsid w:val="003B5E30"/>
    <w:rsid w:val="003B6084"/>
    <w:rsid w:val="003B60CF"/>
    <w:rsid w:val="003B6318"/>
    <w:rsid w:val="003B643A"/>
    <w:rsid w:val="003B66E5"/>
    <w:rsid w:val="003B66EE"/>
    <w:rsid w:val="003B6898"/>
    <w:rsid w:val="003B737D"/>
    <w:rsid w:val="003B760A"/>
    <w:rsid w:val="003C053E"/>
    <w:rsid w:val="003C0995"/>
    <w:rsid w:val="003C0B4D"/>
    <w:rsid w:val="003C135F"/>
    <w:rsid w:val="003C1822"/>
    <w:rsid w:val="003C1A23"/>
    <w:rsid w:val="003C1ECF"/>
    <w:rsid w:val="003C249B"/>
    <w:rsid w:val="003C2669"/>
    <w:rsid w:val="003C2910"/>
    <w:rsid w:val="003C299A"/>
    <w:rsid w:val="003C2BDD"/>
    <w:rsid w:val="003C2CA9"/>
    <w:rsid w:val="003C3175"/>
    <w:rsid w:val="003C32A1"/>
    <w:rsid w:val="003C338E"/>
    <w:rsid w:val="003C341D"/>
    <w:rsid w:val="003C34CB"/>
    <w:rsid w:val="003C44E6"/>
    <w:rsid w:val="003C5A69"/>
    <w:rsid w:val="003C5B24"/>
    <w:rsid w:val="003C5CE4"/>
    <w:rsid w:val="003C5ED6"/>
    <w:rsid w:val="003C64D4"/>
    <w:rsid w:val="003C65BA"/>
    <w:rsid w:val="003C6ABE"/>
    <w:rsid w:val="003C7186"/>
    <w:rsid w:val="003C71A3"/>
    <w:rsid w:val="003D0486"/>
    <w:rsid w:val="003D0EBE"/>
    <w:rsid w:val="003D1174"/>
    <w:rsid w:val="003D1388"/>
    <w:rsid w:val="003D1706"/>
    <w:rsid w:val="003D1DE2"/>
    <w:rsid w:val="003D1EB9"/>
    <w:rsid w:val="003D21A5"/>
    <w:rsid w:val="003D3590"/>
    <w:rsid w:val="003D3CCA"/>
    <w:rsid w:val="003D4176"/>
    <w:rsid w:val="003D4306"/>
    <w:rsid w:val="003D47B9"/>
    <w:rsid w:val="003D51F2"/>
    <w:rsid w:val="003D55DD"/>
    <w:rsid w:val="003D56AB"/>
    <w:rsid w:val="003D576A"/>
    <w:rsid w:val="003D58A7"/>
    <w:rsid w:val="003D6656"/>
    <w:rsid w:val="003D6D1D"/>
    <w:rsid w:val="003D7151"/>
    <w:rsid w:val="003D7AA8"/>
    <w:rsid w:val="003D7DFD"/>
    <w:rsid w:val="003E005C"/>
    <w:rsid w:val="003E022E"/>
    <w:rsid w:val="003E046E"/>
    <w:rsid w:val="003E0B9C"/>
    <w:rsid w:val="003E11D2"/>
    <w:rsid w:val="003E12E5"/>
    <w:rsid w:val="003E1A52"/>
    <w:rsid w:val="003E1D7A"/>
    <w:rsid w:val="003E2100"/>
    <w:rsid w:val="003E21B3"/>
    <w:rsid w:val="003E2881"/>
    <w:rsid w:val="003E2CEA"/>
    <w:rsid w:val="003E2DA6"/>
    <w:rsid w:val="003E2E1E"/>
    <w:rsid w:val="003E308D"/>
    <w:rsid w:val="003E30C9"/>
    <w:rsid w:val="003E3504"/>
    <w:rsid w:val="003E3A26"/>
    <w:rsid w:val="003E3BE9"/>
    <w:rsid w:val="003E3ED1"/>
    <w:rsid w:val="003E5570"/>
    <w:rsid w:val="003E5B10"/>
    <w:rsid w:val="003E5C55"/>
    <w:rsid w:val="003E5E65"/>
    <w:rsid w:val="003E6126"/>
    <w:rsid w:val="003E6E2A"/>
    <w:rsid w:val="003E79A4"/>
    <w:rsid w:val="003F04E5"/>
    <w:rsid w:val="003F04ED"/>
    <w:rsid w:val="003F0C81"/>
    <w:rsid w:val="003F0FDE"/>
    <w:rsid w:val="003F166E"/>
    <w:rsid w:val="003F1921"/>
    <w:rsid w:val="003F1A8B"/>
    <w:rsid w:val="003F1B9D"/>
    <w:rsid w:val="003F1C34"/>
    <w:rsid w:val="003F26C8"/>
    <w:rsid w:val="003F2708"/>
    <w:rsid w:val="003F3386"/>
    <w:rsid w:val="003F38C5"/>
    <w:rsid w:val="003F3AB5"/>
    <w:rsid w:val="003F3E62"/>
    <w:rsid w:val="003F40EE"/>
    <w:rsid w:val="003F43C9"/>
    <w:rsid w:val="003F47F6"/>
    <w:rsid w:val="003F5A77"/>
    <w:rsid w:val="003F5CE5"/>
    <w:rsid w:val="003F5F9E"/>
    <w:rsid w:val="003F63DA"/>
    <w:rsid w:val="003F6A3C"/>
    <w:rsid w:val="003F6DC9"/>
    <w:rsid w:val="003F71BC"/>
    <w:rsid w:val="00400299"/>
    <w:rsid w:val="00402B97"/>
    <w:rsid w:val="00402C47"/>
    <w:rsid w:val="0040430D"/>
    <w:rsid w:val="004045A6"/>
    <w:rsid w:val="00404D74"/>
    <w:rsid w:val="00404EB8"/>
    <w:rsid w:val="004064B2"/>
    <w:rsid w:val="004065D7"/>
    <w:rsid w:val="00406862"/>
    <w:rsid w:val="004069FC"/>
    <w:rsid w:val="0040705F"/>
    <w:rsid w:val="004078BF"/>
    <w:rsid w:val="004079C0"/>
    <w:rsid w:val="00407DE9"/>
    <w:rsid w:val="00407F8E"/>
    <w:rsid w:val="004101D5"/>
    <w:rsid w:val="0041035E"/>
    <w:rsid w:val="004103A1"/>
    <w:rsid w:val="0041067F"/>
    <w:rsid w:val="00411289"/>
    <w:rsid w:val="004112AD"/>
    <w:rsid w:val="004112EA"/>
    <w:rsid w:val="0041177D"/>
    <w:rsid w:val="00411ACE"/>
    <w:rsid w:val="00411E33"/>
    <w:rsid w:val="00411F75"/>
    <w:rsid w:val="00412151"/>
    <w:rsid w:val="0041250A"/>
    <w:rsid w:val="0041275A"/>
    <w:rsid w:val="00412BE0"/>
    <w:rsid w:val="004136FB"/>
    <w:rsid w:val="00413C04"/>
    <w:rsid w:val="00413CBC"/>
    <w:rsid w:val="0041425C"/>
    <w:rsid w:val="00414389"/>
    <w:rsid w:val="00414443"/>
    <w:rsid w:val="004149B0"/>
    <w:rsid w:val="00414DFB"/>
    <w:rsid w:val="00415789"/>
    <w:rsid w:val="00415865"/>
    <w:rsid w:val="004162C2"/>
    <w:rsid w:val="00416D73"/>
    <w:rsid w:val="00416FF2"/>
    <w:rsid w:val="004177B1"/>
    <w:rsid w:val="00417A58"/>
    <w:rsid w:val="00417D9A"/>
    <w:rsid w:val="0042021C"/>
    <w:rsid w:val="004202F9"/>
    <w:rsid w:val="00420F10"/>
    <w:rsid w:val="00421164"/>
    <w:rsid w:val="00421A4B"/>
    <w:rsid w:val="00422047"/>
    <w:rsid w:val="00422314"/>
    <w:rsid w:val="004224EF"/>
    <w:rsid w:val="00422E95"/>
    <w:rsid w:val="00423600"/>
    <w:rsid w:val="00423991"/>
    <w:rsid w:val="00424495"/>
    <w:rsid w:val="00424F9C"/>
    <w:rsid w:val="004252CB"/>
    <w:rsid w:val="004254DD"/>
    <w:rsid w:val="00425BF4"/>
    <w:rsid w:val="00426163"/>
    <w:rsid w:val="0042620A"/>
    <w:rsid w:val="0042635F"/>
    <w:rsid w:val="0042734B"/>
    <w:rsid w:val="004274C1"/>
    <w:rsid w:val="004276D3"/>
    <w:rsid w:val="004303FC"/>
    <w:rsid w:val="00430728"/>
    <w:rsid w:val="00430B0B"/>
    <w:rsid w:val="00430E13"/>
    <w:rsid w:val="004311D7"/>
    <w:rsid w:val="004314E6"/>
    <w:rsid w:val="004317BF"/>
    <w:rsid w:val="00431C5D"/>
    <w:rsid w:val="004320FF"/>
    <w:rsid w:val="004325A5"/>
    <w:rsid w:val="00432FB4"/>
    <w:rsid w:val="0043386F"/>
    <w:rsid w:val="00433908"/>
    <w:rsid w:val="00433B34"/>
    <w:rsid w:val="00433C05"/>
    <w:rsid w:val="00434013"/>
    <w:rsid w:val="00434787"/>
    <w:rsid w:val="004347A1"/>
    <w:rsid w:val="00434DD1"/>
    <w:rsid w:val="004357A8"/>
    <w:rsid w:val="00435833"/>
    <w:rsid w:val="004359B3"/>
    <w:rsid w:val="004359C4"/>
    <w:rsid w:val="00435C5B"/>
    <w:rsid w:val="004365BF"/>
    <w:rsid w:val="004367C1"/>
    <w:rsid w:val="00436B25"/>
    <w:rsid w:val="00436C9E"/>
    <w:rsid w:val="00436DB2"/>
    <w:rsid w:val="004371D0"/>
    <w:rsid w:val="00437A23"/>
    <w:rsid w:val="00437FB7"/>
    <w:rsid w:val="00440AB6"/>
    <w:rsid w:val="00440BF0"/>
    <w:rsid w:val="00441235"/>
    <w:rsid w:val="004416C0"/>
    <w:rsid w:val="004418C3"/>
    <w:rsid w:val="00441978"/>
    <w:rsid w:val="004419DB"/>
    <w:rsid w:val="00442100"/>
    <w:rsid w:val="004424C3"/>
    <w:rsid w:val="00442ABD"/>
    <w:rsid w:val="00443694"/>
    <w:rsid w:val="004438E6"/>
    <w:rsid w:val="00443DD5"/>
    <w:rsid w:val="00444114"/>
    <w:rsid w:val="004441EB"/>
    <w:rsid w:val="0044433E"/>
    <w:rsid w:val="004445DE"/>
    <w:rsid w:val="00444629"/>
    <w:rsid w:val="00444769"/>
    <w:rsid w:val="00444830"/>
    <w:rsid w:val="004449DD"/>
    <w:rsid w:val="00444BE1"/>
    <w:rsid w:val="00444FDA"/>
    <w:rsid w:val="00445E36"/>
    <w:rsid w:val="0044618B"/>
    <w:rsid w:val="00446582"/>
    <w:rsid w:val="00446BB9"/>
    <w:rsid w:val="00447149"/>
    <w:rsid w:val="004472D5"/>
    <w:rsid w:val="00447FF0"/>
    <w:rsid w:val="00450143"/>
    <w:rsid w:val="004503F2"/>
    <w:rsid w:val="004508D8"/>
    <w:rsid w:val="00450C76"/>
    <w:rsid w:val="00450CF0"/>
    <w:rsid w:val="00450F0A"/>
    <w:rsid w:val="004511F8"/>
    <w:rsid w:val="00451218"/>
    <w:rsid w:val="004512A4"/>
    <w:rsid w:val="004513B8"/>
    <w:rsid w:val="004519E4"/>
    <w:rsid w:val="00451AF4"/>
    <w:rsid w:val="00451FCC"/>
    <w:rsid w:val="00452017"/>
    <w:rsid w:val="0045231A"/>
    <w:rsid w:val="004523AE"/>
    <w:rsid w:val="00452A90"/>
    <w:rsid w:val="004534B3"/>
    <w:rsid w:val="00453F41"/>
    <w:rsid w:val="0045416E"/>
    <w:rsid w:val="00454601"/>
    <w:rsid w:val="00454631"/>
    <w:rsid w:val="00454E85"/>
    <w:rsid w:val="00455244"/>
    <w:rsid w:val="0045588C"/>
    <w:rsid w:val="00455AA9"/>
    <w:rsid w:val="00456166"/>
    <w:rsid w:val="004575AE"/>
    <w:rsid w:val="004575B5"/>
    <w:rsid w:val="00457898"/>
    <w:rsid w:val="004579A6"/>
    <w:rsid w:val="00457BDA"/>
    <w:rsid w:val="00457F95"/>
    <w:rsid w:val="004603A5"/>
    <w:rsid w:val="0046083B"/>
    <w:rsid w:val="00461284"/>
    <w:rsid w:val="00462320"/>
    <w:rsid w:val="004628EB"/>
    <w:rsid w:val="004629F5"/>
    <w:rsid w:val="004630CC"/>
    <w:rsid w:val="00463399"/>
    <w:rsid w:val="004636D0"/>
    <w:rsid w:val="00463BE1"/>
    <w:rsid w:val="00464AE1"/>
    <w:rsid w:val="00464CBE"/>
    <w:rsid w:val="00464E82"/>
    <w:rsid w:val="00465E06"/>
    <w:rsid w:val="00466870"/>
    <w:rsid w:val="00466FDD"/>
    <w:rsid w:val="004679A7"/>
    <w:rsid w:val="00467AF6"/>
    <w:rsid w:val="00470C56"/>
    <w:rsid w:val="00471452"/>
    <w:rsid w:val="004719D7"/>
    <w:rsid w:val="00471B72"/>
    <w:rsid w:val="00471D71"/>
    <w:rsid w:val="00471F4D"/>
    <w:rsid w:val="00471F66"/>
    <w:rsid w:val="00473151"/>
    <w:rsid w:val="004736BF"/>
    <w:rsid w:val="0047399D"/>
    <w:rsid w:val="004739EE"/>
    <w:rsid w:val="00474343"/>
    <w:rsid w:val="00474404"/>
    <w:rsid w:val="00474D8F"/>
    <w:rsid w:val="00474E00"/>
    <w:rsid w:val="00474FD5"/>
    <w:rsid w:val="00475175"/>
    <w:rsid w:val="0047682F"/>
    <w:rsid w:val="00476A4B"/>
    <w:rsid w:val="004773C7"/>
    <w:rsid w:val="00477BA2"/>
    <w:rsid w:val="00480269"/>
    <w:rsid w:val="00480797"/>
    <w:rsid w:val="004808AE"/>
    <w:rsid w:val="0048141C"/>
    <w:rsid w:val="00481502"/>
    <w:rsid w:val="00481B8C"/>
    <w:rsid w:val="00482069"/>
    <w:rsid w:val="00482219"/>
    <w:rsid w:val="00482A2D"/>
    <w:rsid w:val="00482CEF"/>
    <w:rsid w:val="00482F30"/>
    <w:rsid w:val="0048333C"/>
    <w:rsid w:val="0048376C"/>
    <w:rsid w:val="00483930"/>
    <w:rsid w:val="0048428A"/>
    <w:rsid w:val="00484632"/>
    <w:rsid w:val="00484C11"/>
    <w:rsid w:val="00485215"/>
    <w:rsid w:val="004856E8"/>
    <w:rsid w:val="0048609B"/>
    <w:rsid w:val="0048669C"/>
    <w:rsid w:val="004868B9"/>
    <w:rsid w:val="00486CAF"/>
    <w:rsid w:val="004874D4"/>
    <w:rsid w:val="004875ED"/>
    <w:rsid w:val="0048797A"/>
    <w:rsid w:val="00490191"/>
    <w:rsid w:val="00490796"/>
    <w:rsid w:val="00490FAA"/>
    <w:rsid w:val="0049172B"/>
    <w:rsid w:val="004918CB"/>
    <w:rsid w:val="004919F6"/>
    <w:rsid w:val="0049276C"/>
    <w:rsid w:val="00492BA3"/>
    <w:rsid w:val="00492BEE"/>
    <w:rsid w:val="00493872"/>
    <w:rsid w:val="00494199"/>
    <w:rsid w:val="004941DF"/>
    <w:rsid w:val="004943ED"/>
    <w:rsid w:val="004945CD"/>
    <w:rsid w:val="00494CC9"/>
    <w:rsid w:val="00494FFD"/>
    <w:rsid w:val="0049558D"/>
    <w:rsid w:val="004958EE"/>
    <w:rsid w:val="00495B8A"/>
    <w:rsid w:val="0049623D"/>
    <w:rsid w:val="00496372"/>
    <w:rsid w:val="00496CA6"/>
    <w:rsid w:val="00496DBD"/>
    <w:rsid w:val="00497460"/>
    <w:rsid w:val="004977C4"/>
    <w:rsid w:val="00497D09"/>
    <w:rsid w:val="004A0962"/>
    <w:rsid w:val="004A0C54"/>
    <w:rsid w:val="004A0E7E"/>
    <w:rsid w:val="004A116E"/>
    <w:rsid w:val="004A122A"/>
    <w:rsid w:val="004A1295"/>
    <w:rsid w:val="004A1376"/>
    <w:rsid w:val="004A1628"/>
    <w:rsid w:val="004A1C73"/>
    <w:rsid w:val="004A2DC7"/>
    <w:rsid w:val="004A31BF"/>
    <w:rsid w:val="004A3CD9"/>
    <w:rsid w:val="004A3EF7"/>
    <w:rsid w:val="004A4067"/>
    <w:rsid w:val="004A41C9"/>
    <w:rsid w:val="004A4549"/>
    <w:rsid w:val="004A4C63"/>
    <w:rsid w:val="004A4F70"/>
    <w:rsid w:val="004A54F6"/>
    <w:rsid w:val="004A5C96"/>
    <w:rsid w:val="004A62B3"/>
    <w:rsid w:val="004A65BD"/>
    <w:rsid w:val="004A6667"/>
    <w:rsid w:val="004A6B57"/>
    <w:rsid w:val="004A6D91"/>
    <w:rsid w:val="004A70AC"/>
    <w:rsid w:val="004A724C"/>
    <w:rsid w:val="004A72D3"/>
    <w:rsid w:val="004A761D"/>
    <w:rsid w:val="004A7A04"/>
    <w:rsid w:val="004A7D0D"/>
    <w:rsid w:val="004A7D21"/>
    <w:rsid w:val="004B03BB"/>
    <w:rsid w:val="004B05B1"/>
    <w:rsid w:val="004B07D4"/>
    <w:rsid w:val="004B25E4"/>
    <w:rsid w:val="004B3449"/>
    <w:rsid w:val="004B354A"/>
    <w:rsid w:val="004B41AD"/>
    <w:rsid w:val="004B4243"/>
    <w:rsid w:val="004B5181"/>
    <w:rsid w:val="004B5193"/>
    <w:rsid w:val="004B5E17"/>
    <w:rsid w:val="004B61B3"/>
    <w:rsid w:val="004B632B"/>
    <w:rsid w:val="004B66FA"/>
    <w:rsid w:val="004B6AAD"/>
    <w:rsid w:val="004B6C4E"/>
    <w:rsid w:val="004B6D5F"/>
    <w:rsid w:val="004B6DBA"/>
    <w:rsid w:val="004B722C"/>
    <w:rsid w:val="004B7798"/>
    <w:rsid w:val="004B7AF1"/>
    <w:rsid w:val="004C0647"/>
    <w:rsid w:val="004C0A18"/>
    <w:rsid w:val="004C0AF4"/>
    <w:rsid w:val="004C1112"/>
    <w:rsid w:val="004C18E9"/>
    <w:rsid w:val="004C1940"/>
    <w:rsid w:val="004C2368"/>
    <w:rsid w:val="004C24CB"/>
    <w:rsid w:val="004C26F1"/>
    <w:rsid w:val="004C41B2"/>
    <w:rsid w:val="004C4884"/>
    <w:rsid w:val="004C52E7"/>
    <w:rsid w:val="004C54B2"/>
    <w:rsid w:val="004C5949"/>
    <w:rsid w:val="004C5AC1"/>
    <w:rsid w:val="004C69A7"/>
    <w:rsid w:val="004C69F3"/>
    <w:rsid w:val="004C6A1B"/>
    <w:rsid w:val="004C6A8E"/>
    <w:rsid w:val="004C72D2"/>
    <w:rsid w:val="004C755F"/>
    <w:rsid w:val="004C76C9"/>
    <w:rsid w:val="004C79A6"/>
    <w:rsid w:val="004C7F89"/>
    <w:rsid w:val="004D0072"/>
    <w:rsid w:val="004D027D"/>
    <w:rsid w:val="004D074F"/>
    <w:rsid w:val="004D0BD0"/>
    <w:rsid w:val="004D2567"/>
    <w:rsid w:val="004D3E49"/>
    <w:rsid w:val="004D442F"/>
    <w:rsid w:val="004D457F"/>
    <w:rsid w:val="004D4FE9"/>
    <w:rsid w:val="004D549C"/>
    <w:rsid w:val="004D56AD"/>
    <w:rsid w:val="004D57CF"/>
    <w:rsid w:val="004D5CE7"/>
    <w:rsid w:val="004D5FF7"/>
    <w:rsid w:val="004D605D"/>
    <w:rsid w:val="004D6171"/>
    <w:rsid w:val="004D63AE"/>
    <w:rsid w:val="004D6432"/>
    <w:rsid w:val="004D7874"/>
    <w:rsid w:val="004D7B12"/>
    <w:rsid w:val="004E0312"/>
    <w:rsid w:val="004E0D58"/>
    <w:rsid w:val="004E0F4F"/>
    <w:rsid w:val="004E135B"/>
    <w:rsid w:val="004E1DFA"/>
    <w:rsid w:val="004E1EE8"/>
    <w:rsid w:val="004E24D1"/>
    <w:rsid w:val="004E2A46"/>
    <w:rsid w:val="004E2C22"/>
    <w:rsid w:val="004E31CA"/>
    <w:rsid w:val="004E33FA"/>
    <w:rsid w:val="004E38F6"/>
    <w:rsid w:val="004E39F7"/>
    <w:rsid w:val="004E3D3D"/>
    <w:rsid w:val="004E43BF"/>
    <w:rsid w:val="004E5410"/>
    <w:rsid w:val="004E6081"/>
    <w:rsid w:val="004E62E8"/>
    <w:rsid w:val="004E6EB8"/>
    <w:rsid w:val="004E74C3"/>
    <w:rsid w:val="004E7B1B"/>
    <w:rsid w:val="004E7BBF"/>
    <w:rsid w:val="004E7CDB"/>
    <w:rsid w:val="004F116D"/>
    <w:rsid w:val="004F1256"/>
    <w:rsid w:val="004F132E"/>
    <w:rsid w:val="004F22B8"/>
    <w:rsid w:val="004F3459"/>
    <w:rsid w:val="004F35BC"/>
    <w:rsid w:val="004F3EA9"/>
    <w:rsid w:val="004F3F57"/>
    <w:rsid w:val="004F42B1"/>
    <w:rsid w:val="004F43FE"/>
    <w:rsid w:val="004F4536"/>
    <w:rsid w:val="004F47E6"/>
    <w:rsid w:val="004F4ACE"/>
    <w:rsid w:val="004F4E28"/>
    <w:rsid w:val="004F4E4F"/>
    <w:rsid w:val="004F5170"/>
    <w:rsid w:val="004F557F"/>
    <w:rsid w:val="004F58B3"/>
    <w:rsid w:val="004F58CF"/>
    <w:rsid w:val="004F5D5D"/>
    <w:rsid w:val="004F6365"/>
    <w:rsid w:val="004F67E3"/>
    <w:rsid w:val="004F681C"/>
    <w:rsid w:val="004F697C"/>
    <w:rsid w:val="004F6DBB"/>
    <w:rsid w:val="004F6DC4"/>
    <w:rsid w:val="004F730D"/>
    <w:rsid w:val="004F793E"/>
    <w:rsid w:val="004F7B91"/>
    <w:rsid w:val="005001EB"/>
    <w:rsid w:val="00500201"/>
    <w:rsid w:val="00500A2F"/>
    <w:rsid w:val="00501119"/>
    <w:rsid w:val="005014DA"/>
    <w:rsid w:val="0050160E"/>
    <w:rsid w:val="00501F0C"/>
    <w:rsid w:val="005024F6"/>
    <w:rsid w:val="00502A71"/>
    <w:rsid w:val="00503501"/>
    <w:rsid w:val="00503E18"/>
    <w:rsid w:val="00504570"/>
    <w:rsid w:val="00504A8C"/>
    <w:rsid w:val="005051A7"/>
    <w:rsid w:val="005059BC"/>
    <w:rsid w:val="00505CB8"/>
    <w:rsid w:val="005063A8"/>
    <w:rsid w:val="00506C4D"/>
    <w:rsid w:val="00506D14"/>
    <w:rsid w:val="00506D5C"/>
    <w:rsid w:val="0050786A"/>
    <w:rsid w:val="00507AED"/>
    <w:rsid w:val="00507DC4"/>
    <w:rsid w:val="005106B6"/>
    <w:rsid w:val="0051162B"/>
    <w:rsid w:val="00511966"/>
    <w:rsid w:val="00511D23"/>
    <w:rsid w:val="00512583"/>
    <w:rsid w:val="00512ABF"/>
    <w:rsid w:val="00512D27"/>
    <w:rsid w:val="00512E38"/>
    <w:rsid w:val="0051393E"/>
    <w:rsid w:val="00513974"/>
    <w:rsid w:val="00513EF3"/>
    <w:rsid w:val="00514102"/>
    <w:rsid w:val="0051420B"/>
    <w:rsid w:val="00514597"/>
    <w:rsid w:val="00514A36"/>
    <w:rsid w:val="0051515D"/>
    <w:rsid w:val="00515168"/>
    <w:rsid w:val="005153E7"/>
    <w:rsid w:val="00515928"/>
    <w:rsid w:val="005159DC"/>
    <w:rsid w:val="005159DD"/>
    <w:rsid w:val="00515E55"/>
    <w:rsid w:val="0051603F"/>
    <w:rsid w:val="00517D60"/>
    <w:rsid w:val="00520317"/>
    <w:rsid w:val="0052044B"/>
    <w:rsid w:val="005207E6"/>
    <w:rsid w:val="00520851"/>
    <w:rsid w:val="005208A7"/>
    <w:rsid w:val="0052123B"/>
    <w:rsid w:val="00521B9B"/>
    <w:rsid w:val="0052206B"/>
    <w:rsid w:val="0052256F"/>
    <w:rsid w:val="00522CF5"/>
    <w:rsid w:val="00522FE2"/>
    <w:rsid w:val="005233C4"/>
    <w:rsid w:val="00523801"/>
    <w:rsid w:val="00523B8E"/>
    <w:rsid w:val="00523CE7"/>
    <w:rsid w:val="00524076"/>
    <w:rsid w:val="005244F1"/>
    <w:rsid w:val="005245DC"/>
    <w:rsid w:val="00525314"/>
    <w:rsid w:val="00525E0F"/>
    <w:rsid w:val="005261D9"/>
    <w:rsid w:val="0052623B"/>
    <w:rsid w:val="0052668E"/>
    <w:rsid w:val="00527237"/>
    <w:rsid w:val="005275D7"/>
    <w:rsid w:val="00530080"/>
    <w:rsid w:val="00530536"/>
    <w:rsid w:val="005306BB"/>
    <w:rsid w:val="005306ED"/>
    <w:rsid w:val="00530A72"/>
    <w:rsid w:val="00530F3E"/>
    <w:rsid w:val="00530FF7"/>
    <w:rsid w:val="0053107C"/>
    <w:rsid w:val="00531E77"/>
    <w:rsid w:val="00531FE9"/>
    <w:rsid w:val="00532011"/>
    <w:rsid w:val="0053249F"/>
    <w:rsid w:val="00532816"/>
    <w:rsid w:val="00532852"/>
    <w:rsid w:val="00532A75"/>
    <w:rsid w:val="005331F9"/>
    <w:rsid w:val="00533626"/>
    <w:rsid w:val="00533BA1"/>
    <w:rsid w:val="00533E18"/>
    <w:rsid w:val="00533FD9"/>
    <w:rsid w:val="005359E7"/>
    <w:rsid w:val="00535B15"/>
    <w:rsid w:val="005364A9"/>
    <w:rsid w:val="00536902"/>
    <w:rsid w:val="00536C76"/>
    <w:rsid w:val="00536CEF"/>
    <w:rsid w:val="00536E62"/>
    <w:rsid w:val="00536F10"/>
    <w:rsid w:val="00536FDF"/>
    <w:rsid w:val="00537559"/>
    <w:rsid w:val="00540A3D"/>
    <w:rsid w:val="00541047"/>
    <w:rsid w:val="0054109B"/>
    <w:rsid w:val="00541681"/>
    <w:rsid w:val="0054171C"/>
    <w:rsid w:val="00541C7C"/>
    <w:rsid w:val="005428B3"/>
    <w:rsid w:val="00542DB9"/>
    <w:rsid w:val="00542E16"/>
    <w:rsid w:val="005436C0"/>
    <w:rsid w:val="005439A5"/>
    <w:rsid w:val="00543F2D"/>
    <w:rsid w:val="00543F3E"/>
    <w:rsid w:val="0054407D"/>
    <w:rsid w:val="005441AA"/>
    <w:rsid w:val="005443A7"/>
    <w:rsid w:val="00544F8D"/>
    <w:rsid w:val="00545548"/>
    <w:rsid w:val="00546152"/>
    <w:rsid w:val="005463D4"/>
    <w:rsid w:val="0054654F"/>
    <w:rsid w:val="00546819"/>
    <w:rsid w:val="00546921"/>
    <w:rsid w:val="00546AE0"/>
    <w:rsid w:val="0054701F"/>
    <w:rsid w:val="005476A0"/>
    <w:rsid w:val="0054794B"/>
    <w:rsid w:val="0054797E"/>
    <w:rsid w:val="0055009D"/>
    <w:rsid w:val="00550179"/>
    <w:rsid w:val="00550F95"/>
    <w:rsid w:val="005515C9"/>
    <w:rsid w:val="00551607"/>
    <w:rsid w:val="0055176C"/>
    <w:rsid w:val="0055251E"/>
    <w:rsid w:val="00552765"/>
    <w:rsid w:val="00552B38"/>
    <w:rsid w:val="005531EC"/>
    <w:rsid w:val="00553F0E"/>
    <w:rsid w:val="00554527"/>
    <w:rsid w:val="0055457F"/>
    <w:rsid w:val="005546A0"/>
    <w:rsid w:val="00554A22"/>
    <w:rsid w:val="00554F2B"/>
    <w:rsid w:val="005550E1"/>
    <w:rsid w:val="005566F4"/>
    <w:rsid w:val="00556E86"/>
    <w:rsid w:val="00557189"/>
    <w:rsid w:val="00557D3A"/>
    <w:rsid w:val="00557F6A"/>
    <w:rsid w:val="00560225"/>
    <w:rsid w:val="00560A6C"/>
    <w:rsid w:val="00561DB2"/>
    <w:rsid w:val="0056260F"/>
    <w:rsid w:val="0056280F"/>
    <w:rsid w:val="00562881"/>
    <w:rsid w:val="0056331F"/>
    <w:rsid w:val="0056368A"/>
    <w:rsid w:val="005636FA"/>
    <w:rsid w:val="00564811"/>
    <w:rsid w:val="005648C8"/>
    <w:rsid w:val="005648DB"/>
    <w:rsid w:val="00565565"/>
    <w:rsid w:val="00565C29"/>
    <w:rsid w:val="00565D42"/>
    <w:rsid w:val="00565E85"/>
    <w:rsid w:val="0056604C"/>
    <w:rsid w:val="00566690"/>
    <w:rsid w:val="00567CF0"/>
    <w:rsid w:val="0057049F"/>
    <w:rsid w:val="005708FC"/>
    <w:rsid w:val="00571C14"/>
    <w:rsid w:val="00571C77"/>
    <w:rsid w:val="00571E1C"/>
    <w:rsid w:val="00572D6D"/>
    <w:rsid w:val="00572EF9"/>
    <w:rsid w:val="00573511"/>
    <w:rsid w:val="00573E04"/>
    <w:rsid w:val="00573EFB"/>
    <w:rsid w:val="005740B2"/>
    <w:rsid w:val="005740C8"/>
    <w:rsid w:val="00575AEF"/>
    <w:rsid w:val="00575CC2"/>
    <w:rsid w:val="0057621E"/>
    <w:rsid w:val="0057678B"/>
    <w:rsid w:val="00576915"/>
    <w:rsid w:val="0057694E"/>
    <w:rsid w:val="00576B80"/>
    <w:rsid w:val="00577929"/>
    <w:rsid w:val="00577BDD"/>
    <w:rsid w:val="00580348"/>
    <w:rsid w:val="005805A0"/>
    <w:rsid w:val="00580676"/>
    <w:rsid w:val="00580ABB"/>
    <w:rsid w:val="005815E4"/>
    <w:rsid w:val="005817AA"/>
    <w:rsid w:val="00582118"/>
    <w:rsid w:val="0058276D"/>
    <w:rsid w:val="00582775"/>
    <w:rsid w:val="005829D7"/>
    <w:rsid w:val="00582D00"/>
    <w:rsid w:val="00583B99"/>
    <w:rsid w:val="005847B7"/>
    <w:rsid w:val="00584C9D"/>
    <w:rsid w:val="0058561E"/>
    <w:rsid w:val="00585777"/>
    <w:rsid w:val="005857E2"/>
    <w:rsid w:val="00585E9F"/>
    <w:rsid w:val="00585F14"/>
    <w:rsid w:val="0058644D"/>
    <w:rsid w:val="00586525"/>
    <w:rsid w:val="005869EB"/>
    <w:rsid w:val="00586B9E"/>
    <w:rsid w:val="00586F15"/>
    <w:rsid w:val="00587B13"/>
    <w:rsid w:val="00587DAD"/>
    <w:rsid w:val="00590853"/>
    <w:rsid w:val="00591061"/>
    <w:rsid w:val="00591D24"/>
    <w:rsid w:val="005928BC"/>
    <w:rsid w:val="00592D7C"/>
    <w:rsid w:val="00593379"/>
    <w:rsid w:val="005937A4"/>
    <w:rsid w:val="00593AF5"/>
    <w:rsid w:val="00593CB8"/>
    <w:rsid w:val="00593DD5"/>
    <w:rsid w:val="005945F4"/>
    <w:rsid w:val="00594A18"/>
    <w:rsid w:val="00594DB0"/>
    <w:rsid w:val="00594F8E"/>
    <w:rsid w:val="00596670"/>
    <w:rsid w:val="0059673E"/>
    <w:rsid w:val="00597091"/>
    <w:rsid w:val="0059720E"/>
    <w:rsid w:val="005972D5"/>
    <w:rsid w:val="005977CA"/>
    <w:rsid w:val="00597846"/>
    <w:rsid w:val="005979AD"/>
    <w:rsid w:val="00597F83"/>
    <w:rsid w:val="005A022B"/>
    <w:rsid w:val="005A0232"/>
    <w:rsid w:val="005A0BCF"/>
    <w:rsid w:val="005A0CC3"/>
    <w:rsid w:val="005A10B3"/>
    <w:rsid w:val="005A13E5"/>
    <w:rsid w:val="005A13ED"/>
    <w:rsid w:val="005A1421"/>
    <w:rsid w:val="005A14E4"/>
    <w:rsid w:val="005A1761"/>
    <w:rsid w:val="005A1E22"/>
    <w:rsid w:val="005A2346"/>
    <w:rsid w:val="005A26C8"/>
    <w:rsid w:val="005A33E2"/>
    <w:rsid w:val="005A3798"/>
    <w:rsid w:val="005A37B2"/>
    <w:rsid w:val="005A3A2A"/>
    <w:rsid w:val="005A4338"/>
    <w:rsid w:val="005A4B34"/>
    <w:rsid w:val="005A5155"/>
    <w:rsid w:val="005A548E"/>
    <w:rsid w:val="005A5574"/>
    <w:rsid w:val="005A566A"/>
    <w:rsid w:val="005A5EE1"/>
    <w:rsid w:val="005A6321"/>
    <w:rsid w:val="005A720D"/>
    <w:rsid w:val="005A7633"/>
    <w:rsid w:val="005A7694"/>
    <w:rsid w:val="005A7E67"/>
    <w:rsid w:val="005B0013"/>
    <w:rsid w:val="005B0635"/>
    <w:rsid w:val="005B07A9"/>
    <w:rsid w:val="005B099A"/>
    <w:rsid w:val="005B09B4"/>
    <w:rsid w:val="005B0B6B"/>
    <w:rsid w:val="005B104C"/>
    <w:rsid w:val="005B1BC8"/>
    <w:rsid w:val="005B220C"/>
    <w:rsid w:val="005B264C"/>
    <w:rsid w:val="005B2709"/>
    <w:rsid w:val="005B286D"/>
    <w:rsid w:val="005B42F8"/>
    <w:rsid w:val="005B4349"/>
    <w:rsid w:val="005B493C"/>
    <w:rsid w:val="005B49AE"/>
    <w:rsid w:val="005B4BB9"/>
    <w:rsid w:val="005B4FA1"/>
    <w:rsid w:val="005B52FE"/>
    <w:rsid w:val="005B53CC"/>
    <w:rsid w:val="005B5581"/>
    <w:rsid w:val="005B59AD"/>
    <w:rsid w:val="005B5CD2"/>
    <w:rsid w:val="005B67BA"/>
    <w:rsid w:val="005B6936"/>
    <w:rsid w:val="005B6EBD"/>
    <w:rsid w:val="005B704D"/>
    <w:rsid w:val="005B7993"/>
    <w:rsid w:val="005C07E5"/>
    <w:rsid w:val="005C11DF"/>
    <w:rsid w:val="005C130E"/>
    <w:rsid w:val="005C13BF"/>
    <w:rsid w:val="005C195F"/>
    <w:rsid w:val="005C23E5"/>
    <w:rsid w:val="005C2951"/>
    <w:rsid w:val="005C36FA"/>
    <w:rsid w:val="005C3D0A"/>
    <w:rsid w:val="005C408C"/>
    <w:rsid w:val="005C44F5"/>
    <w:rsid w:val="005C4F4A"/>
    <w:rsid w:val="005C50ED"/>
    <w:rsid w:val="005C5EFF"/>
    <w:rsid w:val="005C632D"/>
    <w:rsid w:val="005C6ACB"/>
    <w:rsid w:val="005C6ADC"/>
    <w:rsid w:val="005D00D9"/>
    <w:rsid w:val="005D04E8"/>
    <w:rsid w:val="005D06D8"/>
    <w:rsid w:val="005D09A0"/>
    <w:rsid w:val="005D0A91"/>
    <w:rsid w:val="005D0C23"/>
    <w:rsid w:val="005D0F87"/>
    <w:rsid w:val="005D1003"/>
    <w:rsid w:val="005D12C0"/>
    <w:rsid w:val="005D1A7F"/>
    <w:rsid w:val="005D2F04"/>
    <w:rsid w:val="005D3222"/>
    <w:rsid w:val="005D328C"/>
    <w:rsid w:val="005D32AE"/>
    <w:rsid w:val="005D34CA"/>
    <w:rsid w:val="005D3E9D"/>
    <w:rsid w:val="005D42AD"/>
    <w:rsid w:val="005D4483"/>
    <w:rsid w:val="005D4995"/>
    <w:rsid w:val="005D53F0"/>
    <w:rsid w:val="005D5A91"/>
    <w:rsid w:val="005D6151"/>
    <w:rsid w:val="005D644C"/>
    <w:rsid w:val="005D690D"/>
    <w:rsid w:val="005D69E5"/>
    <w:rsid w:val="005D6B02"/>
    <w:rsid w:val="005D6EEC"/>
    <w:rsid w:val="005D7516"/>
    <w:rsid w:val="005D753C"/>
    <w:rsid w:val="005E0C2E"/>
    <w:rsid w:val="005E104B"/>
    <w:rsid w:val="005E1D15"/>
    <w:rsid w:val="005E1F5A"/>
    <w:rsid w:val="005E1F63"/>
    <w:rsid w:val="005E2393"/>
    <w:rsid w:val="005E2D94"/>
    <w:rsid w:val="005E3728"/>
    <w:rsid w:val="005E3CFD"/>
    <w:rsid w:val="005E41C7"/>
    <w:rsid w:val="005E45FF"/>
    <w:rsid w:val="005E4BB0"/>
    <w:rsid w:val="005E4C31"/>
    <w:rsid w:val="005E4D95"/>
    <w:rsid w:val="005E5378"/>
    <w:rsid w:val="005E58BA"/>
    <w:rsid w:val="005E739F"/>
    <w:rsid w:val="005E743B"/>
    <w:rsid w:val="005F0B67"/>
    <w:rsid w:val="005F0C31"/>
    <w:rsid w:val="005F2EF2"/>
    <w:rsid w:val="005F33B8"/>
    <w:rsid w:val="005F34AA"/>
    <w:rsid w:val="005F40AC"/>
    <w:rsid w:val="005F42C6"/>
    <w:rsid w:val="005F52A7"/>
    <w:rsid w:val="005F55A5"/>
    <w:rsid w:val="005F5CFA"/>
    <w:rsid w:val="005F5D93"/>
    <w:rsid w:val="005F5DDE"/>
    <w:rsid w:val="005F5E26"/>
    <w:rsid w:val="005F616F"/>
    <w:rsid w:val="005F61EA"/>
    <w:rsid w:val="005F63D9"/>
    <w:rsid w:val="005F6E15"/>
    <w:rsid w:val="005F74DF"/>
    <w:rsid w:val="005F77BA"/>
    <w:rsid w:val="00600894"/>
    <w:rsid w:val="00601253"/>
    <w:rsid w:val="0060199D"/>
    <w:rsid w:val="0060235E"/>
    <w:rsid w:val="0060268B"/>
    <w:rsid w:val="006026B7"/>
    <w:rsid w:val="00602DF7"/>
    <w:rsid w:val="00602FC1"/>
    <w:rsid w:val="00604193"/>
    <w:rsid w:val="0060425C"/>
    <w:rsid w:val="00605614"/>
    <w:rsid w:val="00606668"/>
    <w:rsid w:val="00606D31"/>
    <w:rsid w:val="00606F73"/>
    <w:rsid w:val="006107BF"/>
    <w:rsid w:val="0061095A"/>
    <w:rsid w:val="00611259"/>
    <w:rsid w:val="0061143D"/>
    <w:rsid w:val="00611CFE"/>
    <w:rsid w:val="00611D91"/>
    <w:rsid w:val="00612169"/>
    <w:rsid w:val="00612401"/>
    <w:rsid w:val="00612734"/>
    <w:rsid w:val="00612A7A"/>
    <w:rsid w:val="00612E42"/>
    <w:rsid w:val="00613A52"/>
    <w:rsid w:val="0061422D"/>
    <w:rsid w:val="00614731"/>
    <w:rsid w:val="00614C1D"/>
    <w:rsid w:val="00614FEC"/>
    <w:rsid w:val="006152F8"/>
    <w:rsid w:val="00615341"/>
    <w:rsid w:val="00615583"/>
    <w:rsid w:val="006155FA"/>
    <w:rsid w:val="006157A2"/>
    <w:rsid w:val="00615869"/>
    <w:rsid w:val="0061618A"/>
    <w:rsid w:val="00616237"/>
    <w:rsid w:val="00616246"/>
    <w:rsid w:val="0061627D"/>
    <w:rsid w:val="0061699D"/>
    <w:rsid w:val="00616DC3"/>
    <w:rsid w:val="00617563"/>
    <w:rsid w:val="00617876"/>
    <w:rsid w:val="00617CFC"/>
    <w:rsid w:val="00617F6D"/>
    <w:rsid w:val="006207D4"/>
    <w:rsid w:val="00620B48"/>
    <w:rsid w:val="00620C75"/>
    <w:rsid w:val="00620D6A"/>
    <w:rsid w:val="006213C4"/>
    <w:rsid w:val="006222ED"/>
    <w:rsid w:val="00622592"/>
    <w:rsid w:val="00622871"/>
    <w:rsid w:val="006229DA"/>
    <w:rsid w:val="006229DC"/>
    <w:rsid w:val="00623221"/>
    <w:rsid w:val="006238BB"/>
    <w:rsid w:val="00623EB7"/>
    <w:rsid w:val="0062406D"/>
    <w:rsid w:val="006245A4"/>
    <w:rsid w:val="0062464C"/>
    <w:rsid w:val="00624C0F"/>
    <w:rsid w:val="00624CEB"/>
    <w:rsid w:val="0062514D"/>
    <w:rsid w:val="00625585"/>
    <w:rsid w:val="006259D6"/>
    <w:rsid w:val="00626FE6"/>
    <w:rsid w:val="00627190"/>
    <w:rsid w:val="006273C8"/>
    <w:rsid w:val="00627521"/>
    <w:rsid w:val="00627919"/>
    <w:rsid w:val="00630798"/>
    <w:rsid w:val="006307C5"/>
    <w:rsid w:val="00630B28"/>
    <w:rsid w:val="006314B1"/>
    <w:rsid w:val="006314CB"/>
    <w:rsid w:val="00631A20"/>
    <w:rsid w:val="00632172"/>
    <w:rsid w:val="00632749"/>
    <w:rsid w:val="00632D30"/>
    <w:rsid w:val="006342AB"/>
    <w:rsid w:val="00634BD8"/>
    <w:rsid w:val="00634EE5"/>
    <w:rsid w:val="0063587E"/>
    <w:rsid w:val="00636018"/>
    <w:rsid w:val="00636980"/>
    <w:rsid w:val="00636F89"/>
    <w:rsid w:val="00637A22"/>
    <w:rsid w:val="006403A7"/>
    <w:rsid w:val="00640C04"/>
    <w:rsid w:val="00640F3F"/>
    <w:rsid w:val="00641ABA"/>
    <w:rsid w:val="00641ECC"/>
    <w:rsid w:val="006427BD"/>
    <w:rsid w:val="00642963"/>
    <w:rsid w:val="00642A2A"/>
    <w:rsid w:val="00642C4D"/>
    <w:rsid w:val="006432C1"/>
    <w:rsid w:val="0064338C"/>
    <w:rsid w:val="00643894"/>
    <w:rsid w:val="00643EB0"/>
    <w:rsid w:val="006453C4"/>
    <w:rsid w:val="006453C8"/>
    <w:rsid w:val="00646D2B"/>
    <w:rsid w:val="006474D6"/>
    <w:rsid w:val="00647A90"/>
    <w:rsid w:val="00647C34"/>
    <w:rsid w:val="00647D8F"/>
    <w:rsid w:val="006504C1"/>
    <w:rsid w:val="00650570"/>
    <w:rsid w:val="00650730"/>
    <w:rsid w:val="00650A64"/>
    <w:rsid w:val="00650B5A"/>
    <w:rsid w:val="00650E2B"/>
    <w:rsid w:val="00650F73"/>
    <w:rsid w:val="0065121E"/>
    <w:rsid w:val="0065146A"/>
    <w:rsid w:val="0065171A"/>
    <w:rsid w:val="0065171E"/>
    <w:rsid w:val="00651B32"/>
    <w:rsid w:val="00651C10"/>
    <w:rsid w:val="0065233E"/>
    <w:rsid w:val="006523CD"/>
    <w:rsid w:val="0065395D"/>
    <w:rsid w:val="00653D5B"/>
    <w:rsid w:val="006541D0"/>
    <w:rsid w:val="006544BA"/>
    <w:rsid w:val="006549B0"/>
    <w:rsid w:val="00654A5B"/>
    <w:rsid w:val="00654BB6"/>
    <w:rsid w:val="00654D83"/>
    <w:rsid w:val="00654FDF"/>
    <w:rsid w:val="00655C35"/>
    <w:rsid w:val="00655CCA"/>
    <w:rsid w:val="00655F0E"/>
    <w:rsid w:val="006565AD"/>
    <w:rsid w:val="00656EC6"/>
    <w:rsid w:val="00656FE2"/>
    <w:rsid w:val="00657313"/>
    <w:rsid w:val="00657670"/>
    <w:rsid w:val="006579F5"/>
    <w:rsid w:val="00657DE3"/>
    <w:rsid w:val="00660147"/>
    <w:rsid w:val="00660C00"/>
    <w:rsid w:val="00660C7B"/>
    <w:rsid w:val="00661CB3"/>
    <w:rsid w:val="00661F67"/>
    <w:rsid w:val="00662A8D"/>
    <w:rsid w:val="00662D44"/>
    <w:rsid w:val="00662E6E"/>
    <w:rsid w:val="00663126"/>
    <w:rsid w:val="006636CE"/>
    <w:rsid w:val="00663D90"/>
    <w:rsid w:val="00663F85"/>
    <w:rsid w:val="00664252"/>
    <w:rsid w:val="006642E0"/>
    <w:rsid w:val="00665404"/>
    <w:rsid w:val="00665A34"/>
    <w:rsid w:val="00665EA9"/>
    <w:rsid w:val="00665EE4"/>
    <w:rsid w:val="006661EF"/>
    <w:rsid w:val="00666B44"/>
    <w:rsid w:val="00666FA7"/>
    <w:rsid w:val="006671ED"/>
    <w:rsid w:val="00667269"/>
    <w:rsid w:val="00667DFA"/>
    <w:rsid w:val="00667EB7"/>
    <w:rsid w:val="006707CE"/>
    <w:rsid w:val="006707EB"/>
    <w:rsid w:val="006708D4"/>
    <w:rsid w:val="00670E80"/>
    <w:rsid w:val="006710CB"/>
    <w:rsid w:val="00671540"/>
    <w:rsid w:val="00671887"/>
    <w:rsid w:val="00671B03"/>
    <w:rsid w:val="00671CF5"/>
    <w:rsid w:val="00672195"/>
    <w:rsid w:val="006726BA"/>
    <w:rsid w:val="006727E1"/>
    <w:rsid w:val="006733AF"/>
    <w:rsid w:val="00673903"/>
    <w:rsid w:val="00674EF5"/>
    <w:rsid w:val="00675424"/>
    <w:rsid w:val="0067597D"/>
    <w:rsid w:val="0067617A"/>
    <w:rsid w:val="006768C8"/>
    <w:rsid w:val="00676A44"/>
    <w:rsid w:val="00677D75"/>
    <w:rsid w:val="00677DC8"/>
    <w:rsid w:val="0068106A"/>
    <w:rsid w:val="00681C74"/>
    <w:rsid w:val="00682019"/>
    <w:rsid w:val="00682DA7"/>
    <w:rsid w:val="0068326F"/>
    <w:rsid w:val="006834F0"/>
    <w:rsid w:val="006837B7"/>
    <w:rsid w:val="006841BD"/>
    <w:rsid w:val="00684978"/>
    <w:rsid w:val="00684B20"/>
    <w:rsid w:val="00685414"/>
    <w:rsid w:val="00685989"/>
    <w:rsid w:val="00685D5D"/>
    <w:rsid w:val="00685E73"/>
    <w:rsid w:val="0068671C"/>
    <w:rsid w:val="0068684C"/>
    <w:rsid w:val="00686889"/>
    <w:rsid w:val="00686B14"/>
    <w:rsid w:val="00686F63"/>
    <w:rsid w:val="006900C0"/>
    <w:rsid w:val="00690256"/>
    <w:rsid w:val="00690436"/>
    <w:rsid w:val="006908D8"/>
    <w:rsid w:val="00691ACF"/>
    <w:rsid w:val="00692238"/>
    <w:rsid w:val="0069360C"/>
    <w:rsid w:val="006943D8"/>
    <w:rsid w:val="006947D9"/>
    <w:rsid w:val="00694801"/>
    <w:rsid w:val="00694875"/>
    <w:rsid w:val="006948AE"/>
    <w:rsid w:val="006948C4"/>
    <w:rsid w:val="006949C9"/>
    <w:rsid w:val="00694D18"/>
    <w:rsid w:val="00694E7D"/>
    <w:rsid w:val="00695228"/>
    <w:rsid w:val="00695BBE"/>
    <w:rsid w:val="0069649F"/>
    <w:rsid w:val="006969F4"/>
    <w:rsid w:val="00696C56"/>
    <w:rsid w:val="00696EC4"/>
    <w:rsid w:val="00696F11"/>
    <w:rsid w:val="0069727D"/>
    <w:rsid w:val="0069737F"/>
    <w:rsid w:val="00697B93"/>
    <w:rsid w:val="006A044C"/>
    <w:rsid w:val="006A0F75"/>
    <w:rsid w:val="006A1505"/>
    <w:rsid w:val="006A1804"/>
    <w:rsid w:val="006A2286"/>
    <w:rsid w:val="006A2347"/>
    <w:rsid w:val="006A24BC"/>
    <w:rsid w:val="006A2B30"/>
    <w:rsid w:val="006A3C3F"/>
    <w:rsid w:val="006A3FB7"/>
    <w:rsid w:val="006A3FE5"/>
    <w:rsid w:val="006A433F"/>
    <w:rsid w:val="006A47A2"/>
    <w:rsid w:val="006A5061"/>
    <w:rsid w:val="006A5533"/>
    <w:rsid w:val="006A59C5"/>
    <w:rsid w:val="006A66FD"/>
    <w:rsid w:val="006A6B27"/>
    <w:rsid w:val="006A6F82"/>
    <w:rsid w:val="006A6F8F"/>
    <w:rsid w:val="006A733E"/>
    <w:rsid w:val="006A749B"/>
    <w:rsid w:val="006A7716"/>
    <w:rsid w:val="006A7B21"/>
    <w:rsid w:val="006A7C32"/>
    <w:rsid w:val="006A7F44"/>
    <w:rsid w:val="006B0003"/>
    <w:rsid w:val="006B03AE"/>
    <w:rsid w:val="006B0674"/>
    <w:rsid w:val="006B1133"/>
    <w:rsid w:val="006B15E2"/>
    <w:rsid w:val="006B1D9B"/>
    <w:rsid w:val="006B1F89"/>
    <w:rsid w:val="006B3258"/>
    <w:rsid w:val="006B3433"/>
    <w:rsid w:val="006B36D3"/>
    <w:rsid w:val="006B388D"/>
    <w:rsid w:val="006B3B7F"/>
    <w:rsid w:val="006B3B86"/>
    <w:rsid w:val="006B3E48"/>
    <w:rsid w:val="006B42FC"/>
    <w:rsid w:val="006B476F"/>
    <w:rsid w:val="006B4940"/>
    <w:rsid w:val="006B49F9"/>
    <w:rsid w:val="006B50B2"/>
    <w:rsid w:val="006B60EC"/>
    <w:rsid w:val="006B6131"/>
    <w:rsid w:val="006B64A1"/>
    <w:rsid w:val="006B69C4"/>
    <w:rsid w:val="006B6DA7"/>
    <w:rsid w:val="006B7620"/>
    <w:rsid w:val="006B767E"/>
    <w:rsid w:val="006B76D9"/>
    <w:rsid w:val="006B7D07"/>
    <w:rsid w:val="006C0365"/>
    <w:rsid w:val="006C03B1"/>
    <w:rsid w:val="006C061E"/>
    <w:rsid w:val="006C0EC4"/>
    <w:rsid w:val="006C1331"/>
    <w:rsid w:val="006C26C0"/>
    <w:rsid w:val="006C271E"/>
    <w:rsid w:val="006C277A"/>
    <w:rsid w:val="006C2809"/>
    <w:rsid w:val="006C2913"/>
    <w:rsid w:val="006C3214"/>
    <w:rsid w:val="006C32C0"/>
    <w:rsid w:val="006C3C56"/>
    <w:rsid w:val="006C409F"/>
    <w:rsid w:val="006C40D0"/>
    <w:rsid w:val="006C40DD"/>
    <w:rsid w:val="006C4441"/>
    <w:rsid w:val="006C4960"/>
    <w:rsid w:val="006C4D6E"/>
    <w:rsid w:val="006C4EBC"/>
    <w:rsid w:val="006C59D4"/>
    <w:rsid w:val="006C5ADE"/>
    <w:rsid w:val="006C6391"/>
    <w:rsid w:val="006C6747"/>
    <w:rsid w:val="006C7678"/>
    <w:rsid w:val="006D0497"/>
    <w:rsid w:val="006D0A39"/>
    <w:rsid w:val="006D0EA7"/>
    <w:rsid w:val="006D14F7"/>
    <w:rsid w:val="006D17BA"/>
    <w:rsid w:val="006D1C28"/>
    <w:rsid w:val="006D1C55"/>
    <w:rsid w:val="006D2A09"/>
    <w:rsid w:val="006D2ACE"/>
    <w:rsid w:val="006D3E41"/>
    <w:rsid w:val="006D4D7C"/>
    <w:rsid w:val="006D4D8C"/>
    <w:rsid w:val="006D5040"/>
    <w:rsid w:val="006D5101"/>
    <w:rsid w:val="006D5182"/>
    <w:rsid w:val="006D519A"/>
    <w:rsid w:val="006D5669"/>
    <w:rsid w:val="006D5737"/>
    <w:rsid w:val="006D62B1"/>
    <w:rsid w:val="006D666D"/>
    <w:rsid w:val="006D683A"/>
    <w:rsid w:val="006D6A72"/>
    <w:rsid w:val="006D6CD8"/>
    <w:rsid w:val="006D7140"/>
    <w:rsid w:val="006D719E"/>
    <w:rsid w:val="006D7240"/>
    <w:rsid w:val="006D7747"/>
    <w:rsid w:val="006D77CF"/>
    <w:rsid w:val="006D7C95"/>
    <w:rsid w:val="006D7E95"/>
    <w:rsid w:val="006E00C8"/>
    <w:rsid w:val="006E04DA"/>
    <w:rsid w:val="006E07A9"/>
    <w:rsid w:val="006E0942"/>
    <w:rsid w:val="006E0E64"/>
    <w:rsid w:val="006E1284"/>
    <w:rsid w:val="006E1DF2"/>
    <w:rsid w:val="006E24D5"/>
    <w:rsid w:val="006E2CA3"/>
    <w:rsid w:val="006E3F5C"/>
    <w:rsid w:val="006E479E"/>
    <w:rsid w:val="006E4AFF"/>
    <w:rsid w:val="006E4C63"/>
    <w:rsid w:val="006E5739"/>
    <w:rsid w:val="006E5A5E"/>
    <w:rsid w:val="006E64E6"/>
    <w:rsid w:val="006E6F12"/>
    <w:rsid w:val="006E73D2"/>
    <w:rsid w:val="006E7B25"/>
    <w:rsid w:val="006F0063"/>
    <w:rsid w:val="006F0A27"/>
    <w:rsid w:val="006F0AA7"/>
    <w:rsid w:val="006F0ED0"/>
    <w:rsid w:val="006F125D"/>
    <w:rsid w:val="006F143A"/>
    <w:rsid w:val="006F1742"/>
    <w:rsid w:val="006F1860"/>
    <w:rsid w:val="006F24C9"/>
    <w:rsid w:val="006F289B"/>
    <w:rsid w:val="006F3018"/>
    <w:rsid w:val="006F34E5"/>
    <w:rsid w:val="006F3D18"/>
    <w:rsid w:val="006F483E"/>
    <w:rsid w:val="006F4B2D"/>
    <w:rsid w:val="006F4B2F"/>
    <w:rsid w:val="006F5186"/>
    <w:rsid w:val="006F56C7"/>
    <w:rsid w:val="006F56E7"/>
    <w:rsid w:val="006F5BD6"/>
    <w:rsid w:val="006F6490"/>
    <w:rsid w:val="006F68B8"/>
    <w:rsid w:val="006F6DE0"/>
    <w:rsid w:val="006F784A"/>
    <w:rsid w:val="00700164"/>
    <w:rsid w:val="007001A1"/>
    <w:rsid w:val="007004FA"/>
    <w:rsid w:val="00701432"/>
    <w:rsid w:val="00701DDC"/>
    <w:rsid w:val="0070232E"/>
    <w:rsid w:val="0070256F"/>
    <w:rsid w:val="0070289F"/>
    <w:rsid w:val="007036FA"/>
    <w:rsid w:val="0070481A"/>
    <w:rsid w:val="00704C92"/>
    <w:rsid w:val="00704D85"/>
    <w:rsid w:val="00705860"/>
    <w:rsid w:val="0070591A"/>
    <w:rsid w:val="00705C64"/>
    <w:rsid w:val="00705C76"/>
    <w:rsid w:val="00705F49"/>
    <w:rsid w:val="00705FD9"/>
    <w:rsid w:val="007068B2"/>
    <w:rsid w:val="00706C66"/>
    <w:rsid w:val="00706E0F"/>
    <w:rsid w:val="00707338"/>
    <w:rsid w:val="00707406"/>
    <w:rsid w:val="007077BD"/>
    <w:rsid w:val="00707C27"/>
    <w:rsid w:val="00707C7F"/>
    <w:rsid w:val="00707D46"/>
    <w:rsid w:val="0071020B"/>
    <w:rsid w:val="0071027C"/>
    <w:rsid w:val="0071082C"/>
    <w:rsid w:val="007113EA"/>
    <w:rsid w:val="00711792"/>
    <w:rsid w:val="00711F27"/>
    <w:rsid w:val="00711F28"/>
    <w:rsid w:val="0071268B"/>
    <w:rsid w:val="00712B7F"/>
    <w:rsid w:val="00712D62"/>
    <w:rsid w:val="00713371"/>
    <w:rsid w:val="0071352E"/>
    <w:rsid w:val="00713A6B"/>
    <w:rsid w:val="00713DF5"/>
    <w:rsid w:val="007158D8"/>
    <w:rsid w:val="00716329"/>
    <w:rsid w:val="007165D4"/>
    <w:rsid w:val="00716EC2"/>
    <w:rsid w:val="00717952"/>
    <w:rsid w:val="00717DFC"/>
    <w:rsid w:val="00717F99"/>
    <w:rsid w:val="00720728"/>
    <w:rsid w:val="00720788"/>
    <w:rsid w:val="007209E1"/>
    <w:rsid w:val="00720B9B"/>
    <w:rsid w:val="00720D76"/>
    <w:rsid w:val="00721003"/>
    <w:rsid w:val="00721C3C"/>
    <w:rsid w:val="00721F1C"/>
    <w:rsid w:val="00721F69"/>
    <w:rsid w:val="00722970"/>
    <w:rsid w:val="00722EAC"/>
    <w:rsid w:val="0072371D"/>
    <w:rsid w:val="00724543"/>
    <w:rsid w:val="00724912"/>
    <w:rsid w:val="00724D36"/>
    <w:rsid w:val="00725675"/>
    <w:rsid w:val="007257F0"/>
    <w:rsid w:val="00726300"/>
    <w:rsid w:val="0072630D"/>
    <w:rsid w:val="0072639E"/>
    <w:rsid w:val="007263F8"/>
    <w:rsid w:val="007265C6"/>
    <w:rsid w:val="00726985"/>
    <w:rsid w:val="00726DC6"/>
    <w:rsid w:val="00727812"/>
    <w:rsid w:val="007301C0"/>
    <w:rsid w:val="00730B47"/>
    <w:rsid w:val="00731DC2"/>
    <w:rsid w:val="00732474"/>
    <w:rsid w:val="0073282A"/>
    <w:rsid w:val="0073314E"/>
    <w:rsid w:val="007333C4"/>
    <w:rsid w:val="00733997"/>
    <w:rsid w:val="00734851"/>
    <w:rsid w:val="007351EA"/>
    <w:rsid w:val="007361D0"/>
    <w:rsid w:val="00736F1D"/>
    <w:rsid w:val="00737AAA"/>
    <w:rsid w:val="00737B9F"/>
    <w:rsid w:val="00737C49"/>
    <w:rsid w:val="007400F4"/>
    <w:rsid w:val="007405F2"/>
    <w:rsid w:val="00742075"/>
    <w:rsid w:val="0074208E"/>
    <w:rsid w:val="00742146"/>
    <w:rsid w:val="007426F6"/>
    <w:rsid w:val="007427B6"/>
    <w:rsid w:val="007438A6"/>
    <w:rsid w:val="00743967"/>
    <w:rsid w:val="00744151"/>
    <w:rsid w:val="00744BCC"/>
    <w:rsid w:val="00744C80"/>
    <w:rsid w:val="007456D4"/>
    <w:rsid w:val="00746531"/>
    <w:rsid w:val="007470C3"/>
    <w:rsid w:val="00747B3D"/>
    <w:rsid w:val="00747C07"/>
    <w:rsid w:val="0075048C"/>
    <w:rsid w:val="00750B55"/>
    <w:rsid w:val="00750DDF"/>
    <w:rsid w:val="007514AA"/>
    <w:rsid w:val="00751938"/>
    <w:rsid w:val="00751E5F"/>
    <w:rsid w:val="00751F2A"/>
    <w:rsid w:val="007523CB"/>
    <w:rsid w:val="00752861"/>
    <w:rsid w:val="00752CAE"/>
    <w:rsid w:val="00754E33"/>
    <w:rsid w:val="00754E89"/>
    <w:rsid w:val="007552F4"/>
    <w:rsid w:val="0075567E"/>
    <w:rsid w:val="00755887"/>
    <w:rsid w:val="00755EE6"/>
    <w:rsid w:val="00756159"/>
    <w:rsid w:val="007562AA"/>
    <w:rsid w:val="00756600"/>
    <w:rsid w:val="00756E7D"/>
    <w:rsid w:val="00756E88"/>
    <w:rsid w:val="00756F2A"/>
    <w:rsid w:val="00757045"/>
    <w:rsid w:val="00757BB3"/>
    <w:rsid w:val="0076039A"/>
    <w:rsid w:val="0076053D"/>
    <w:rsid w:val="00760BC4"/>
    <w:rsid w:val="0076135C"/>
    <w:rsid w:val="0076191E"/>
    <w:rsid w:val="00761FD1"/>
    <w:rsid w:val="007621C1"/>
    <w:rsid w:val="007621D1"/>
    <w:rsid w:val="00763077"/>
    <w:rsid w:val="007632DA"/>
    <w:rsid w:val="00763890"/>
    <w:rsid w:val="00763A98"/>
    <w:rsid w:val="00763DE5"/>
    <w:rsid w:val="007643BE"/>
    <w:rsid w:val="0076535A"/>
    <w:rsid w:val="00765EB6"/>
    <w:rsid w:val="00765F26"/>
    <w:rsid w:val="0076606A"/>
    <w:rsid w:val="0076623B"/>
    <w:rsid w:val="007664C2"/>
    <w:rsid w:val="00766DCB"/>
    <w:rsid w:val="00767E49"/>
    <w:rsid w:val="0077031B"/>
    <w:rsid w:val="007703E9"/>
    <w:rsid w:val="00770EB0"/>
    <w:rsid w:val="00771446"/>
    <w:rsid w:val="00771935"/>
    <w:rsid w:val="0077260C"/>
    <w:rsid w:val="00772649"/>
    <w:rsid w:val="007731D7"/>
    <w:rsid w:val="007732DA"/>
    <w:rsid w:val="007733A3"/>
    <w:rsid w:val="007733C5"/>
    <w:rsid w:val="0077389E"/>
    <w:rsid w:val="00773C7B"/>
    <w:rsid w:val="00773D02"/>
    <w:rsid w:val="00773D15"/>
    <w:rsid w:val="007741AC"/>
    <w:rsid w:val="0077450F"/>
    <w:rsid w:val="00774948"/>
    <w:rsid w:val="007752D6"/>
    <w:rsid w:val="00776674"/>
    <w:rsid w:val="007769E8"/>
    <w:rsid w:val="00776A47"/>
    <w:rsid w:val="00776B0D"/>
    <w:rsid w:val="00776B22"/>
    <w:rsid w:val="00777565"/>
    <w:rsid w:val="007776AD"/>
    <w:rsid w:val="00781FBB"/>
    <w:rsid w:val="0078230E"/>
    <w:rsid w:val="007836CC"/>
    <w:rsid w:val="00783754"/>
    <w:rsid w:val="00783E0E"/>
    <w:rsid w:val="007843E7"/>
    <w:rsid w:val="00784430"/>
    <w:rsid w:val="00784CC3"/>
    <w:rsid w:val="007855FC"/>
    <w:rsid w:val="00785B31"/>
    <w:rsid w:val="0078605E"/>
    <w:rsid w:val="00786184"/>
    <w:rsid w:val="0078631B"/>
    <w:rsid w:val="0078643E"/>
    <w:rsid w:val="00787F7F"/>
    <w:rsid w:val="00790BC6"/>
    <w:rsid w:val="00790F3B"/>
    <w:rsid w:val="007913BF"/>
    <w:rsid w:val="0079175D"/>
    <w:rsid w:val="0079260E"/>
    <w:rsid w:val="00792780"/>
    <w:rsid w:val="007928BB"/>
    <w:rsid w:val="00792A37"/>
    <w:rsid w:val="007930A6"/>
    <w:rsid w:val="00793832"/>
    <w:rsid w:val="007940B0"/>
    <w:rsid w:val="00794366"/>
    <w:rsid w:val="0079437B"/>
    <w:rsid w:val="00794524"/>
    <w:rsid w:val="00794A97"/>
    <w:rsid w:val="00794E53"/>
    <w:rsid w:val="00794F27"/>
    <w:rsid w:val="007953B4"/>
    <w:rsid w:val="007954E2"/>
    <w:rsid w:val="00795705"/>
    <w:rsid w:val="00795743"/>
    <w:rsid w:val="00795C32"/>
    <w:rsid w:val="00795DD2"/>
    <w:rsid w:val="00796021"/>
    <w:rsid w:val="007960B6"/>
    <w:rsid w:val="00796114"/>
    <w:rsid w:val="0079778C"/>
    <w:rsid w:val="007A0007"/>
    <w:rsid w:val="007A042A"/>
    <w:rsid w:val="007A098D"/>
    <w:rsid w:val="007A1339"/>
    <w:rsid w:val="007A14B9"/>
    <w:rsid w:val="007A1643"/>
    <w:rsid w:val="007A2484"/>
    <w:rsid w:val="007A2557"/>
    <w:rsid w:val="007A273A"/>
    <w:rsid w:val="007A3F1E"/>
    <w:rsid w:val="007A3F36"/>
    <w:rsid w:val="007A40DC"/>
    <w:rsid w:val="007A43F5"/>
    <w:rsid w:val="007A5679"/>
    <w:rsid w:val="007A5A0D"/>
    <w:rsid w:val="007A6450"/>
    <w:rsid w:val="007A64F1"/>
    <w:rsid w:val="007A7045"/>
    <w:rsid w:val="007A7D0E"/>
    <w:rsid w:val="007B0A02"/>
    <w:rsid w:val="007B130C"/>
    <w:rsid w:val="007B18DA"/>
    <w:rsid w:val="007B2414"/>
    <w:rsid w:val="007B2744"/>
    <w:rsid w:val="007B2894"/>
    <w:rsid w:val="007B2CE2"/>
    <w:rsid w:val="007B48A5"/>
    <w:rsid w:val="007B4AFC"/>
    <w:rsid w:val="007B514E"/>
    <w:rsid w:val="007B5489"/>
    <w:rsid w:val="007B559F"/>
    <w:rsid w:val="007B574C"/>
    <w:rsid w:val="007B58AE"/>
    <w:rsid w:val="007B58E1"/>
    <w:rsid w:val="007B624F"/>
    <w:rsid w:val="007B675D"/>
    <w:rsid w:val="007B72BA"/>
    <w:rsid w:val="007B7344"/>
    <w:rsid w:val="007B76C7"/>
    <w:rsid w:val="007B7720"/>
    <w:rsid w:val="007B789F"/>
    <w:rsid w:val="007C03CF"/>
    <w:rsid w:val="007C0C7F"/>
    <w:rsid w:val="007C0D5A"/>
    <w:rsid w:val="007C1746"/>
    <w:rsid w:val="007C1A88"/>
    <w:rsid w:val="007C1B78"/>
    <w:rsid w:val="007C1D28"/>
    <w:rsid w:val="007C1F73"/>
    <w:rsid w:val="007C26D7"/>
    <w:rsid w:val="007C2A5A"/>
    <w:rsid w:val="007C30BE"/>
    <w:rsid w:val="007C3562"/>
    <w:rsid w:val="007C3573"/>
    <w:rsid w:val="007C3A51"/>
    <w:rsid w:val="007C3B7C"/>
    <w:rsid w:val="007C3DDF"/>
    <w:rsid w:val="007C40A1"/>
    <w:rsid w:val="007C46AC"/>
    <w:rsid w:val="007C4E1C"/>
    <w:rsid w:val="007C5154"/>
    <w:rsid w:val="007C5463"/>
    <w:rsid w:val="007C54A9"/>
    <w:rsid w:val="007C6062"/>
    <w:rsid w:val="007C6565"/>
    <w:rsid w:val="007C6682"/>
    <w:rsid w:val="007C6928"/>
    <w:rsid w:val="007C693E"/>
    <w:rsid w:val="007D0B4A"/>
    <w:rsid w:val="007D119F"/>
    <w:rsid w:val="007D199A"/>
    <w:rsid w:val="007D1A2D"/>
    <w:rsid w:val="007D1ADD"/>
    <w:rsid w:val="007D2570"/>
    <w:rsid w:val="007D2E5B"/>
    <w:rsid w:val="007D330C"/>
    <w:rsid w:val="007D3885"/>
    <w:rsid w:val="007D42BB"/>
    <w:rsid w:val="007D4CC7"/>
    <w:rsid w:val="007D4F10"/>
    <w:rsid w:val="007D4FB7"/>
    <w:rsid w:val="007D5689"/>
    <w:rsid w:val="007D5860"/>
    <w:rsid w:val="007D5979"/>
    <w:rsid w:val="007D5C78"/>
    <w:rsid w:val="007D6781"/>
    <w:rsid w:val="007D6DD0"/>
    <w:rsid w:val="007D725B"/>
    <w:rsid w:val="007D75D6"/>
    <w:rsid w:val="007D7F65"/>
    <w:rsid w:val="007E00E7"/>
    <w:rsid w:val="007E0198"/>
    <w:rsid w:val="007E023C"/>
    <w:rsid w:val="007E0AF7"/>
    <w:rsid w:val="007E156A"/>
    <w:rsid w:val="007E17D4"/>
    <w:rsid w:val="007E1CBC"/>
    <w:rsid w:val="007E2086"/>
    <w:rsid w:val="007E2409"/>
    <w:rsid w:val="007E2816"/>
    <w:rsid w:val="007E281D"/>
    <w:rsid w:val="007E33D2"/>
    <w:rsid w:val="007E3714"/>
    <w:rsid w:val="007E3755"/>
    <w:rsid w:val="007E37B5"/>
    <w:rsid w:val="007E3C4A"/>
    <w:rsid w:val="007E42A6"/>
    <w:rsid w:val="007E4A3A"/>
    <w:rsid w:val="007E545E"/>
    <w:rsid w:val="007E5593"/>
    <w:rsid w:val="007E5640"/>
    <w:rsid w:val="007E58E5"/>
    <w:rsid w:val="007E5B2C"/>
    <w:rsid w:val="007E5B30"/>
    <w:rsid w:val="007E5BE5"/>
    <w:rsid w:val="007E66A4"/>
    <w:rsid w:val="007E7475"/>
    <w:rsid w:val="007E75B5"/>
    <w:rsid w:val="007E7895"/>
    <w:rsid w:val="007E7C6A"/>
    <w:rsid w:val="007E7D02"/>
    <w:rsid w:val="007F0D75"/>
    <w:rsid w:val="007F13D1"/>
    <w:rsid w:val="007F211C"/>
    <w:rsid w:val="007F2657"/>
    <w:rsid w:val="007F32BB"/>
    <w:rsid w:val="007F4020"/>
    <w:rsid w:val="007F4109"/>
    <w:rsid w:val="007F51CE"/>
    <w:rsid w:val="007F51F5"/>
    <w:rsid w:val="007F5B11"/>
    <w:rsid w:val="007F5E94"/>
    <w:rsid w:val="007F641C"/>
    <w:rsid w:val="007F68BC"/>
    <w:rsid w:val="007F694A"/>
    <w:rsid w:val="007F6CD4"/>
    <w:rsid w:val="007F6F4C"/>
    <w:rsid w:val="007F7013"/>
    <w:rsid w:val="007F75D3"/>
    <w:rsid w:val="007F7645"/>
    <w:rsid w:val="007F76CA"/>
    <w:rsid w:val="00800225"/>
    <w:rsid w:val="008002C9"/>
    <w:rsid w:val="00800F7E"/>
    <w:rsid w:val="00801A7F"/>
    <w:rsid w:val="0080248B"/>
    <w:rsid w:val="00803E4E"/>
    <w:rsid w:val="00804246"/>
    <w:rsid w:val="00804524"/>
    <w:rsid w:val="00804644"/>
    <w:rsid w:val="008048A7"/>
    <w:rsid w:val="00804B80"/>
    <w:rsid w:val="00804E0A"/>
    <w:rsid w:val="008051B6"/>
    <w:rsid w:val="00805301"/>
    <w:rsid w:val="00805FD9"/>
    <w:rsid w:val="008064AE"/>
    <w:rsid w:val="00806A9A"/>
    <w:rsid w:val="00806AAF"/>
    <w:rsid w:val="00806EB8"/>
    <w:rsid w:val="00806F5F"/>
    <w:rsid w:val="0080702F"/>
    <w:rsid w:val="008077D0"/>
    <w:rsid w:val="00807D02"/>
    <w:rsid w:val="00807F8D"/>
    <w:rsid w:val="008107ED"/>
    <w:rsid w:val="00811051"/>
    <w:rsid w:val="008110CC"/>
    <w:rsid w:val="008112C0"/>
    <w:rsid w:val="0081204F"/>
    <w:rsid w:val="0081228B"/>
    <w:rsid w:val="008122B1"/>
    <w:rsid w:val="008130F0"/>
    <w:rsid w:val="00813C0D"/>
    <w:rsid w:val="0081466A"/>
    <w:rsid w:val="008146DB"/>
    <w:rsid w:val="00814D5A"/>
    <w:rsid w:val="008163FD"/>
    <w:rsid w:val="0081641F"/>
    <w:rsid w:val="008169F4"/>
    <w:rsid w:val="00817F4A"/>
    <w:rsid w:val="008203DC"/>
    <w:rsid w:val="00820940"/>
    <w:rsid w:val="0082121D"/>
    <w:rsid w:val="008214A6"/>
    <w:rsid w:val="008215B4"/>
    <w:rsid w:val="008217C6"/>
    <w:rsid w:val="00821D2D"/>
    <w:rsid w:val="00822318"/>
    <w:rsid w:val="00822F64"/>
    <w:rsid w:val="00823226"/>
    <w:rsid w:val="008237A0"/>
    <w:rsid w:val="008239EA"/>
    <w:rsid w:val="00823BA1"/>
    <w:rsid w:val="00823D98"/>
    <w:rsid w:val="00824DD0"/>
    <w:rsid w:val="008255AB"/>
    <w:rsid w:val="00825958"/>
    <w:rsid w:val="00825A73"/>
    <w:rsid w:val="00826578"/>
    <w:rsid w:val="008268AF"/>
    <w:rsid w:val="008275D0"/>
    <w:rsid w:val="00827851"/>
    <w:rsid w:val="00827B65"/>
    <w:rsid w:val="008300DD"/>
    <w:rsid w:val="008304A2"/>
    <w:rsid w:val="00830953"/>
    <w:rsid w:val="00830ACC"/>
    <w:rsid w:val="00830E73"/>
    <w:rsid w:val="00830E8D"/>
    <w:rsid w:val="008311BA"/>
    <w:rsid w:val="008315B9"/>
    <w:rsid w:val="00831713"/>
    <w:rsid w:val="00831B0F"/>
    <w:rsid w:val="00831FB8"/>
    <w:rsid w:val="00832261"/>
    <w:rsid w:val="00832486"/>
    <w:rsid w:val="00832BEE"/>
    <w:rsid w:val="00832C85"/>
    <w:rsid w:val="00833049"/>
    <w:rsid w:val="008331D9"/>
    <w:rsid w:val="0083326D"/>
    <w:rsid w:val="008332CE"/>
    <w:rsid w:val="008334DD"/>
    <w:rsid w:val="00833965"/>
    <w:rsid w:val="0083442D"/>
    <w:rsid w:val="00834443"/>
    <w:rsid w:val="008344AE"/>
    <w:rsid w:val="008349CF"/>
    <w:rsid w:val="00835197"/>
    <w:rsid w:val="008361E9"/>
    <w:rsid w:val="008362D6"/>
    <w:rsid w:val="008365B3"/>
    <w:rsid w:val="00836722"/>
    <w:rsid w:val="0083675D"/>
    <w:rsid w:val="00836CEE"/>
    <w:rsid w:val="0083712B"/>
    <w:rsid w:val="00837648"/>
    <w:rsid w:val="00837793"/>
    <w:rsid w:val="00837820"/>
    <w:rsid w:val="00840D45"/>
    <w:rsid w:val="00841131"/>
    <w:rsid w:val="00841FDA"/>
    <w:rsid w:val="008421A4"/>
    <w:rsid w:val="0084227E"/>
    <w:rsid w:val="008422DB"/>
    <w:rsid w:val="008423A2"/>
    <w:rsid w:val="008428C6"/>
    <w:rsid w:val="008434C7"/>
    <w:rsid w:val="008437F2"/>
    <w:rsid w:val="00844313"/>
    <w:rsid w:val="008445C9"/>
    <w:rsid w:val="00844E26"/>
    <w:rsid w:val="008451C7"/>
    <w:rsid w:val="00845625"/>
    <w:rsid w:val="00845C6E"/>
    <w:rsid w:val="00846360"/>
    <w:rsid w:val="00846534"/>
    <w:rsid w:val="00846A23"/>
    <w:rsid w:val="0084731E"/>
    <w:rsid w:val="00847B2E"/>
    <w:rsid w:val="008522FA"/>
    <w:rsid w:val="00852CC3"/>
    <w:rsid w:val="00852CE8"/>
    <w:rsid w:val="008532E6"/>
    <w:rsid w:val="0085372E"/>
    <w:rsid w:val="0085386B"/>
    <w:rsid w:val="008539C8"/>
    <w:rsid w:val="00853D75"/>
    <w:rsid w:val="00853EF1"/>
    <w:rsid w:val="00854065"/>
    <w:rsid w:val="008545B3"/>
    <w:rsid w:val="008549D5"/>
    <w:rsid w:val="00855143"/>
    <w:rsid w:val="00855CEC"/>
    <w:rsid w:val="008564E7"/>
    <w:rsid w:val="008569B9"/>
    <w:rsid w:val="0085770A"/>
    <w:rsid w:val="00860B77"/>
    <w:rsid w:val="00860DE0"/>
    <w:rsid w:val="008612A8"/>
    <w:rsid w:val="00861416"/>
    <w:rsid w:val="00861592"/>
    <w:rsid w:val="0086179E"/>
    <w:rsid w:val="00861849"/>
    <w:rsid w:val="008618E8"/>
    <w:rsid w:val="00861EAE"/>
    <w:rsid w:val="00862BB9"/>
    <w:rsid w:val="00862D77"/>
    <w:rsid w:val="00862EFD"/>
    <w:rsid w:val="0086330F"/>
    <w:rsid w:val="0086370A"/>
    <w:rsid w:val="00863BAA"/>
    <w:rsid w:val="00863C36"/>
    <w:rsid w:val="0086426C"/>
    <w:rsid w:val="0086465F"/>
    <w:rsid w:val="00865018"/>
    <w:rsid w:val="00866552"/>
    <w:rsid w:val="00866753"/>
    <w:rsid w:val="00867204"/>
    <w:rsid w:val="00867DD9"/>
    <w:rsid w:val="0087039B"/>
    <w:rsid w:val="0087041F"/>
    <w:rsid w:val="008705B4"/>
    <w:rsid w:val="00870907"/>
    <w:rsid w:val="00870CEE"/>
    <w:rsid w:val="008710BC"/>
    <w:rsid w:val="00871185"/>
    <w:rsid w:val="00871687"/>
    <w:rsid w:val="0087175D"/>
    <w:rsid w:val="008718B4"/>
    <w:rsid w:val="00871B8F"/>
    <w:rsid w:val="00871E9D"/>
    <w:rsid w:val="008721F3"/>
    <w:rsid w:val="008723E2"/>
    <w:rsid w:val="00872C4F"/>
    <w:rsid w:val="00873014"/>
    <w:rsid w:val="00873317"/>
    <w:rsid w:val="00873347"/>
    <w:rsid w:val="008733C0"/>
    <w:rsid w:val="00873B69"/>
    <w:rsid w:val="00873F21"/>
    <w:rsid w:val="008753F0"/>
    <w:rsid w:val="008755D4"/>
    <w:rsid w:val="008758E8"/>
    <w:rsid w:val="00875B0D"/>
    <w:rsid w:val="00875DF8"/>
    <w:rsid w:val="00875FAB"/>
    <w:rsid w:val="008765D7"/>
    <w:rsid w:val="00876B18"/>
    <w:rsid w:val="00877160"/>
    <w:rsid w:val="008774CF"/>
    <w:rsid w:val="008775D0"/>
    <w:rsid w:val="008776C3"/>
    <w:rsid w:val="00877C02"/>
    <w:rsid w:val="00877E38"/>
    <w:rsid w:val="0088022B"/>
    <w:rsid w:val="008816EE"/>
    <w:rsid w:val="008820EF"/>
    <w:rsid w:val="008821D5"/>
    <w:rsid w:val="008822BA"/>
    <w:rsid w:val="00882680"/>
    <w:rsid w:val="008827F2"/>
    <w:rsid w:val="00882BA7"/>
    <w:rsid w:val="0088377C"/>
    <w:rsid w:val="008838A3"/>
    <w:rsid w:val="00883DE6"/>
    <w:rsid w:val="00883F4B"/>
    <w:rsid w:val="0088430E"/>
    <w:rsid w:val="00884460"/>
    <w:rsid w:val="0088481F"/>
    <w:rsid w:val="008850D7"/>
    <w:rsid w:val="00885BF9"/>
    <w:rsid w:val="008866C1"/>
    <w:rsid w:val="00886B9E"/>
    <w:rsid w:val="00886D95"/>
    <w:rsid w:val="00887032"/>
    <w:rsid w:val="00887229"/>
    <w:rsid w:val="0088727C"/>
    <w:rsid w:val="00887613"/>
    <w:rsid w:val="008902A5"/>
    <w:rsid w:val="0089068F"/>
    <w:rsid w:val="00890AD1"/>
    <w:rsid w:val="00891909"/>
    <w:rsid w:val="00891997"/>
    <w:rsid w:val="00891B01"/>
    <w:rsid w:val="00891CF6"/>
    <w:rsid w:val="008922F2"/>
    <w:rsid w:val="00892346"/>
    <w:rsid w:val="0089237D"/>
    <w:rsid w:val="008923C4"/>
    <w:rsid w:val="00892669"/>
    <w:rsid w:val="008928D3"/>
    <w:rsid w:val="00892F8E"/>
    <w:rsid w:val="00893A4D"/>
    <w:rsid w:val="00893DF7"/>
    <w:rsid w:val="00893F76"/>
    <w:rsid w:val="00894121"/>
    <w:rsid w:val="00894551"/>
    <w:rsid w:val="008945E5"/>
    <w:rsid w:val="00894602"/>
    <w:rsid w:val="00894959"/>
    <w:rsid w:val="00894C69"/>
    <w:rsid w:val="008952B5"/>
    <w:rsid w:val="00895A78"/>
    <w:rsid w:val="008965EF"/>
    <w:rsid w:val="0089679A"/>
    <w:rsid w:val="0089696E"/>
    <w:rsid w:val="00896B17"/>
    <w:rsid w:val="0089782D"/>
    <w:rsid w:val="00897D52"/>
    <w:rsid w:val="008A000C"/>
    <w:rsid w:val="008A05E7"/>
    <w:rsid w:val="008A09E4"/>
    <w:rsid w:val="008A115E"/>
    <w:rsid w:val="008A169D"/>
    <w:rsid w:val="008A2246"/>
    <w:rsid w:val="008A2731"/>
    <w:rsid w:val="008A3C01"/>
    <w:rsid w:val="008A3D54"/>
    <w:rsid w:val="008A3D95"/>
    <w:rsid w:val="008A3E2B"/>
    <w:rsid w:val="008A4D53"/>
    <w:rsid w:val="008A5107"/>
    <w:rsid w:val="008A52A9"/>
    <w:rsid w:val="008A53E0"/>
    <w:rsid w:val="008A547E"/>
    <w:rsid w:val="008A55B7"/>
    <w:rsid w:val="008A57AE"/>
    <w:rsid w:val="008A599A"/>
    <w:rsid w:val="008A59F4"/>
    <w:rsid w:val="008A5B70"/>
    <w:rsid w:val="008A6195"/>
    <w:rsid w:val="008A61B6"/>
    <w:rsid w:val="008A6C31"/>
    <w:rsid w:val="008A7096"/>
    <w:rsid w:val="008B06AB"/>
    <w:rsid w:val="008B079A"/>
    <w:rsid w:val="008B0BC6"/>
    <w:rsid w:val="008B122C"/>
    <w:rsid w:val="008B1759"/>
    <w:rsid w:val="008B1AA9"/>
    <w:rsid w:val="008B28FC"/>
    <w:rsid w:val="008B2A6B"/>
    <w:rsid w:val="008B2B81"/>
    <w:rsid w:val="008B3C94"/>
    <w:rsid w:val="008B3DE6"/>
    <w:rsid w:val="008B4BA2"/>
    <w:rsid w:val="008B4C2D"/>
    <w:rsid w:val="008B4D8B"/>
    <w:rsid w:val="008B5877"/>
    <w:rsid w:val="008B58E7"/>
    <w:rsid w:val="008B7041"/>
    <w:rsid w:val="008B76E6"/>
    <w:rsid w:val="008B77C1"/>
    <w:rsid w:val="008B7BBA"/>
    <w:rsid w:val="008B7D76"/>
    <w:rsid w:val="008B7E18"/>
    <w:rsid w:val="008C1DEA"/>
    <w:rsid w:val="008C2254"/>
    <w:rsid w:val="008C262F"/>
    <w:rsid w:val="008C269B"/>
    <w:rsid w:val="008C2EC4"/>
    <w:rsid w:val="008C353B"/>
    <w:rsid w:val="008C3968"/>
    <w:rsid w:val="008C399D"/>
    <w:rsid w:val="008C3A27"/>
    <w:rsid w:val="008C4009"/>
    <w:rsid w:val="008C4106"/>
    <w:rsid w:val="008C41AA"/>
    <w:rsid w:val="008C4243"/>
    <w:rsid w:val="008C4486"/>
    <w:rsid w:val="008C4C06"/>
    <w:rsid w:val="008C5282"/>
    <w:rsid w:val="008C5AAE"/>
    <w:rsid w:val="008C5CF9"/>
    <w:rsid w:val="008C5D44"/>
    <w:rsid w:val="008C6224"/>
    <w:rsid w:val="008C698B"/>
    <w:rsid w:val="008C6A66"/>
    <w:rsid w:val="008C6A86"/>
    <w:rsid w:val="008C6D38"/>
    <w:rsid w:val="008C6F84"/>
    <w:rsid w:val="008C7BA4"/>
    <w:rsid w:val="008C7DD8"/>
    <w:rsid w:val="008D261F"/>
    <w:rsid w:val="008D26C6"/>
    <w:rsid w:val="008D2B1B"/>
    <w:rsid w:val="008D3392"/>
    <w:rsid w:val="008D37F9"/>
    <w:rsid w:val="008D3FD2"/>
    <w:rsid w:val="008D40CC"/>
    <w:rsid w:val="008D43A9"/>
    <w:rsid w:val="008D5057"/>
    <w:rsid w:val="008D53FE"/>
    <w:rsid w:val="008D56CB"/>
    <w:rsid w:val="008D57D7"/>
    <w:rsid w:val="008D590E"/>
    <w:rsid w:val="008D67B2"/>
    <w:rsid w:val="008D67C5"/>
    <w:rsid w:val="008D6880"/>
    <w:rsid w:val="008D6938"/>
    <w:rsid w:val="008D6D55"/>
    <w:rsid w:val="008D6E6C"/>
    <w:rsid w:val="008D70F7"/>
    <w:rsid w:val="008D7406"/>
    <w:rsid w:val="008D76BD"/>
    <w:rsid w:val="008D799B"/>
    <w:rsid w:val="008D7F07"/>
    <w:rsid w:val="008E013E"/>
    <w:rsid w:val="008E015C"/>
    <w:rsid w:val="008E01C4"/>
    <w:rsid w:val="008E061F"/>
    <w:rsid w:val="008E07DF"/>
    <w:rsid w:val="008E094C"/>
    <w:rsid w:val="008E0A77"/>
    <w:rsid w:val="008E0AA5"/>
    <w:rsid w:val="008E18D4"/>
    <w:rsid w:val="008E1913"/>
    <w:rsid w:val="008E1F41"/>
    <w:rsid w:val="008E2BAF"/>
    <w:rsid w:val="008E2C38"/>
    <w:rsid w:val="008E2C9F"/>
    <w:rsid w:val="008E2CFD"/>
    <w:rsid w:val="008E2FEA"/>
    <w:rsid w:val="008E3183"/>
    <w:rsid w:val="008E3243"/>
    <w:rsid w:val="008E3ACA"/>
    <w:rsid w:val="008E40C9"/>
    <w:rsid w:val="008E4D8C"/>
    <w:rsid w:val="008E4DEE"/>
    <w:rsid w:val="008E4EBE"/>
    <w:rsid w:val="008E513E"/>
    <w:rsid w:val="008E5178"/>
    <w:rsid w:val="008E5583"/>
    <w:rsid w:val="008E5681"/>
    <w:rsid w:val="008E5C60"/>
    <w:rsid w:val="008E6274"/>
    <w:rsid w:val="008E6359"/>
    <w:rsid w:val="008E64BE"/>
    <w:rsid w:val="008E665E"/>
    <w:rsid w:val="008E69F7"/>
    <w:rsid w:val="008E6CA6"/>
    <w:rsid w:val="008E7035"/>
    <w:rsid w:val="008E7808"/>
    <w:rsid w:val="008E7D41"/>
    <w:rsid w:val="008E7E25"/>
    <w:rsid w:val="008E7E7A"/>
    <w:rsid w:val="008F0263"/>
    <w:rsid w:val="008F0CA6"/>
    <w:rsid w:val="008F0D94"/>
    <w:rsid w:val="008F0F25"/>
    <w:rsid w:val="008F118E"/>
    <w:rsid w:val="008F1396"/>
    <w:rsid w:val="008F14A2"/>
    <w:rsid w:val="008F1508"/>
    <w:rsid w:val="008F1735"/>
    <w:rsid w:val="008F1779"/>
    <w:rsid w:val="008F190E"/>
    <w:rsid w:val="008F1D81"/>
    <w:rsid w:val="008F25DB"/>
    <w:rsid w:val="008F26FF"/>
    <w:rsid w:val="008F2C07"/>
    <w:rsid w:val="008F301A"/>
    <w:rsid w:val="008F3704"/>
    <w:rsid w:val="008F3D79"/>
    <w:rsid w:val="008F412E"/>
    <w:rsid w:val="008F43B2"/>
    <w:rsid w:val="008F4866"/>
    <w:rsid w:val="008F4980"/>
    <w:rsid w:val="008F4F49"/>
    <w:rsid w:val="008F5D31"/>
    <w:rsid w:val="008F5D73"/>
    <w:rsid w:val="008F6332"/>
    <w:rsid w:val="008F678F"/>
    <w:rsid w:val="008F6E30"/>
    <w:rsid w:val="008F7AE4"/>
    <w:rsid w:val="008F7D42"/>
    <w:rsid w:val="00900852"/>
    <w:rsid w:val="00900C47"/>
    <w:rsid w:val="00900CA6"/>
    <w:rsid w:val="00900CA9"/>
    <w:rsid w:val="00901230"/>
    <w:rsid w:val="0090129C"/>
    <w:rsid w:val="00901480"/>
    <w:rsid w:val="00901FD0"/>
    <w:rsid w:val="00902EDF"/>
    <w:rsid w:val="00903348"/>
    <w:rsid w:val="0090339E"/>
    <w:rsid w:val="0090388D"/>
    <w:rsid w:val="00903961"/>
    <w:rsid w:val="009044A2"/>
    <w:rsid w:val="00904981"/>
    <w:rsid w:val="009049EC"/>
    <w:rsid w:val="00905697"/>
    <w:rsid w:val="0090578E"/>
    <w:rsid w:val="00905BB8"/>
    <w:rsid w:val="00905C97"/>
    <w:rsid w:val="00905CB1"/>
    <w:rsid w:val="00905CC0"/>
    <w:rsid w:val="00905D81"/>
    <w:rsid w:val="009063C2"/>
    <w:rsid w:val="00906B94"/>
    <w:rsid w:val="00906C89"/>
    <w:rsid w:val="009072F1"/>
    <w:rsid w:val="00907387"/>
    <w:rsid w:val="00907A15"/>
    <w:rsid w:val="00907D88"/>
    <w:rsid w:val="0091013F"/>
    <w:rsid w:val="009101C1"/>
    <w:rsid w:val="0091023D"/>
    <w:rsid w:val="009102A6"/>
    <w:rsid w:val="00910A44"/>
    <w:rsid w:val="00910E43"/>
    <w:rsid w:val="00910F1D"/>
    <w:rsid w:val="009115DE"/>
    <w:rsid w:val="00911BC3"/>
    <w:rsid w:val="00911CF0"/>
    <w:rsid w:val="00911FC7"/>
    <w:rsid w:val="00912BAC"/>
    <w:rsid w:val="00913D20"/>
    <w:rsid w:val="00913ED7"/>
    <w:rsid w:val="00914100"/>
    <w:rsid w:val="00914881"/>
    <w:rsid w:val="00914A53"/>
    <w:rsid w:val="00914AB1"/>
    <w:rsid w:val="0091505E"/>
    <w:rsid w:val="00916DA2"/>
    <w:rsid w:val="00917EAF"/>
    <w:rsid w:val="00920182"/>
    <w:rsid w:val="009206DC"/>
    <w:rsid w:val="00921994"/>
    <w:rsid w:val="00921D98"/>
    <w:rsid w:val="00922240"/>
    <w:rsid w:val="009227EE"/>
    <w:rsid w:val="00922D7C"/>
    <w:rsid w:val="0092369C"/>
    <w:rsid w:val="009239D3"/>
    <w:rsid w:val="009246EE"/>
    <w:rsid w:val="00924E09"/>
    <w:rsid w:val="009252FE"/>
    <w:rsid w:val="00925567"/>
    <w:rsid w:val="00925D3C"/>
    <w:rsid w:val="00925EF3"/>
    <w:rsid w:val="0092617E"/>
    <w:rsid w:val="00926CA2"/>
    <w:rsid w:val="009271D6"/>
    <w:rsid w:val="00927317"/>
    <w:rsid w:val="00927404"/>
    <w:rsid w:val="00927D1E"/>
    <w:rsid w:val="009302D3"/>
    <w:rsid w:val="009308E9"/>
    <w:rsid w:val="009308F5"/>
    <w:rsid w:val="00930C56"/>
    <w:rsid w:val="009318B2"/>
    <w:rsid w:val="009318EF"/>
    <w:rsid w:val="00931C65"/>
    <w:rsid w:val="00931CD8"/>
    <w:rsid w:val="00932F23"/>
    <w:rsid w:val="00933419"/>
    <w:rsid w:val="0093386E"/>
    <w:rsid w:val="00933BB7"/>
    <w:rsid w:val="00934407"/>
    <w:rsid w:val="009352B1"/>
    <w:rsid w:val="0093557A"/>
    <w:rsid w:val="009357ED"/>
    <w:rsid w:val="009359E7"/>
    <w:rsid w:val="00935A76"/>
    <w:rsid w:val="00935D15"/>
    <w:rsid w:val="0093604A"/>
    <w:rsid w:val="0093613E"/>
    <w:rsid w:val="00936556"/>
    <w:rsid w:val="0093699B"/>
    <w:rsid w:val="009369D5"/>
    <w:rsid w:val="00936F4C"/>
    <w:rsid w:val="00937392"/>
    <w:rsid w:val="00937CA8"/>
    <w:rsid w:val="00940D5C"/>
    <w:rsid w:val="009411C0"/>
    <w:rsid w:val="00941B9C"/>
    <w:rsid w:val="009428C3"/>
    <w:rsid w:val="009429A2"/>
    <w:rsid w:val="00942C8D"/>
    <w:rsid w:val="00943B1A"/>
    <w:rsid w:val="00943BAA"/>
    <w:rsid w:val="00944187"/>
    <w:rsid w:val="009442D4"/>
    <w:rsid w:val="00944669"/>
    <w:rsid w:val="00944935"/>
    <w:rsid w:val="00944D71"/>
    <w:rsid w:val="00945106"/>
    <w:rsid w:val="00945310"/>
    <w:rsid w:val="0094586E"/>
    <w:rsid w:val="00945B08"/>
    <w:rsid w:val="00946324"/>
    <w:rsid w:val="00946377"/>
    <w:rsid w:val="0094637D"/>
    <w:rsid w:val="00946450"/>
    <w:rsid w:val="0094646D"/>
    <w:rsid w:val="00946F0A"/>
    <w:rsid w:val="00946FCD"/>
    <w:rsid w:val="00947861"/>
    <w:rsid w:val="00947A05"/>
    <w:rsid w:val="00950793"/>
    <w:rsid w:val="00950EF6"/>
    <w:rsid w:val="00951957"/>
    <w:rsid w:val="00951B36"/>
    <w:rsid w:val="00952421"/>
    <w:rsid w:val="00952543"/>
    <w:rsid w:val="00952B8F"/>
    <w:rsid w:val="009538FF"/>
    <w:rsid w:val="00954292"/>
    <w:rsid w:val="00954AB5"/>
    <w:rsid w:val="00954AD7"/>
    <w:rsid w:val="00954F82"/>
    <w:rsid w:val="00955F97"/>
    <w:rsid w:val="0095624D"/>
    <w:rsid w:val="00956DF2"/>
    <w:rsid w:val="00957335"/>
    <w:rsid w:val="00957590"/>
    <w:rsid w:val="0096067E"/>
    <w:rsid w:val="00960723"/>
    <w:rsid w:val="0096093A"/>
    <w:rsid w:val="009612BF"/>
    <w:rsid w:val="00961761"/>
    <w:rsid w:val="00961CDA"/>
    <w:rsid w:val="00961E8C"/>
    <w:rsid w:val="009628F0"/>
    <w:rsid w:val="00962BC1"/>
    <w:rsid w:val="00963090"/>
    <w:rsid w:val="009630B1"/>
    <w:rsid w:val="00963137"/>
    <w:rsid w:val="0096365D"/>
    <w:rsid w:val="009636D7"/>
    <w:rsid w:val="00963C83"/>
    <w:rsid w:val="00963CA0"/>
    <w:rsid w:val="00963CA8"/>
    <w:rsid w:val="00963D47"/>
    <w:rsid w:val="009640CE"/>
    <w:rsid w:val="00964D76"/>
    <w:rsid w:val="00965736"/>
    <w:rsid w:val="00965FDC"/>
    <w:rsid w:val="00966079"/>
    <w:rsid w:val="009667B8"/>
    <w:rsid w:val="009667D5"/>
    <w:rsid w:val="00966C74"/>
    <w:rsid w:val="00966EC6"/>
    <w:rsid w:val="00967F33"/>
    <w:rsid w:val="00970BE7"/>
    <w:rsid w:val="00970BF5"/>
    <w:rsid w:val="00970E54"/>
    <w:rsid w:val="00971BD4"/>
    <w:rsid w:val="009724C9"/>
    <w:rsid w:val="0097288E"/>
    <w:rsid w:val="009729CB"/>
    <w:rsid w:val="00972B97"/>
    <w:rsid w:val="00972DCC"/>
    <w:rsid w:val="00972FAB"/>
    <w:rsid w:val="009737AE"/>
    <w:rsid w:val="0097385E"/>
    <w:rsid w:val="00973E31"/>
    <w:rsid w:val="0097479E"/>
    <w:rsid w:val="0097480F"/>
    <w:rsid w:val="009748F1"/>
    <w:rsid w:val="00975D6A"/>
    <w:rsid w:val="00976047"/>
    <w:rsid w:val="009765F1"/>
    <w:rsid w:val="00977A31"/>
    <w:rsid w:val="00977C15"/>
    <w:rsid w:val="00977CA5"/>
    <w:rsid w:val="009810C5"/>
    <w:rsid w:val="00981426"/>
    <w:rsid w:val="00981490"/>
    <w:rsid w:val="0098195D"/>
    <w:rsid w:val="00981F35"/>
    <w:rsid w:val="0098241B"/>
    <w:rsid w:val="00982E89"/>
    <w:rsid w:val="0098388D"/>
    <w:rsid w:val="009849F9"/>
    <w:rsid w:val="00984CEE"/>
    <w:rsid w:val="00984F43"/>
    <w:rsid w:val="0098507A"/>
    <w:rsid w:val="00985724"/>
    <w:rsid w:val="00985958"/>
    <w:rsid w:val="00985B28"/>
    <w:rsid w:val="00985B31"/>
    <w:rsid w:val="00985BD4"/>
    <w:rsid w:val="00985E8C"/>
    <w:rsid w:val="00986EE0"/>
    <w:rsid w:val="00987314"/>
    <w:rsid w:val="00990714"/>
    <w:rsid w:val="00990797"/>
    <w:rsid w:val="00990C22"/>
    <w:rsid w:val="00990D1D"/>
    <w:rsid w:val="009913C2"/>
    <w:rsid w:val="00991692"/>
    <w:rsid w:val="009916D1"/>
    <w:rsid w:val="00991990"/>
    <w:rsid w:val="00991E59"/>
    <w:rsid w:val="00991EB2"/>
    <w:rsid w:val="009924CE"/>
    <w:rsid w:val="0099289D"/>
    <w:rsid w:val="00992A0B"/>
    <w:rsid w:val="00992E81"/>
    <w:rsid w:val="00993175"/>
    <w:rsid w:val="009933CC"/>
    <w:rsid w:val="0099346A"/>
    <w:rsid w:val="0099572B"/>
    <w:rsid w:val="009957AE"/>
    <w:rsid w:val="00995A49"/>
    <w:rsid w:val="00995EDE"/>
    <w:rsid w:val="00996B3A"/>
    <w:rsid w:val="0099734E"/>
    <w:rsid w:val="00997375"/>
    <w:rsid w:val="00997C4B"/>
    <w:rsid w:val="00997DC6"/>
    <w:rsid w:val="00997E7D"/>
    <w:rsid w:val="009A07BA"/>
    <w:rsid w:val="009A090B"/>
    <w:rsid w:val="009A0AFA"/>
    <w:rsid w:val="009A0B77"/>
    <w:rsid w:val="009A0C17"/>
    <w:rsid w:val="009A0F8F"/>
    <w:rsid w:val="009A1398"/>
    <w:rsid w:val="009A14E1"/>
    <w:rsid w:val="009A183E"/>
    <w:rsid w:val="009A1FE0"/>
    <w:rsid w:val="009A216C"/>
    <w:rsid w:val="009A268E"/>
    <w:rsid w:val="009A3067"/>
    <w:rsid w:val="009A37BD"/>
    <w:rsid w:val="009A3D0D"/>
    <w:rsid w:val="009A41E5"/>
    <w:rsid w:val="009A42DE"/>
    <w:rsid w:val="009A447B"/>
    <w:rsid w:val="009A48FA"/>
    <w:rsid w:val="009A4C15"/>
    <w:rsid w:val="009A4D4B"/>
    <w:rsid w:val="009A50B3"/>
    <w:rsid w:val="009A5533"/>
    <w:rsid w:val="009A559A"/>
    <w:rsid w:val="009A55A4"/>
    <w:rsid w:val="009A5C74"/>
    <w:rsid w:val="009A5DB5"/>
    <w:rsid w:val="009A654D"/>
    <w:rsid w:val="009A6D22"/>
    <w:rsid w:val="009A764A"/>
    <w:rsid w:val="009A772E"/>
    <w:rsid w:val="009A7E9F"/>
    <w:rsid w:val="009B086F"/>
    <w:rsid w:val="009B0919"/>
    <w:rsid w:val="009B09C0"/>
    <w:rsid w:val="009B0A82"/>
    <w:rsid w:val="009B0CAC"/>
    <w:rsid w:val="009B11ED"/>
    <w:rsid w:val="009B12D3"/>
    <w:rsid w:val="009B14D5"/>
    <w:rsid w:val="009B1929"/>
    <w:rsid w:val="009B250D"/>
    <w:rsid w:val="009B31D5"/>
    <w:rsid w:val="009B414A"/>
    <w:rsid w:val="009B44E2"/>
    <w:rsid w:val="009B4C4E"/>
    <w:rsid w:val="009B4CBD"/>
    <w:rsid w:val="009B4FC6"/>
    <w:rsid w:val="009B5C18"/>
    <w:rsid w:val="009B632B"/>
    <w:rsid w:val="009B64EA"/>
    <w:rsid w:val="009B6582"/>
    <w:rsid w:val="009B67EB"/>
    <w:rsid w:val="009B715A"/>
    <w:rsid w:val="009C025A"/>
    <w:rsid w:val="009C08AA"/>
    <w:rsid w:val="009C0E9C"/>
    <w:rsid w:val="009C109A"/>
    <w:rsid w:val="009C1398"/>
    <w:rsid w:val="009C162B"/>
    <w:rsid w:val="009C17F6"/>
    <w:rsid w:val="009C1EDA"/>
    <w:rsid w:val="009C375D"/>
    <w:rsid w:val="009C4286"/>
    <w:rsid w:val="009C4B83"/>
    <w:rsid w:val="009C4DB5"/>
    <w:rsid w:val="009C4EE7"/>
    <w:rsid w:val="009C50CA"/>
    <w:rsid w:val="009C52AB"/>
    <w:rsid w:val="009C52AD"/>
    <w:rsid w:val="009C5638"/>
    <w:rsid w:val="009C585E"/>
    <w:rsid w:val="009C58A3"/>
    <w:rsid w:val="009C59D8"/>
    <w:rsid w:val="009C5B67"/>
    <w:rsid w:val="009C5BF7"/>
    <w:rsid w:val="009C654A"/>
    <w:rsid w:val="009C6E51"/>
    <w:rsid w:val="009C6E94"/>
    <w:rsid w:val="009C6FB0"/>
    <w:rsid w:val="009C7174"/>
    <w:rsid w:val="009C785E"/>
    <w:rsid w:val="009C791F"/>
    <w:rsid w:val="009D0296"/>
    <w:rsid w:val="009D0DEF"/>
    <w:rsid w:val="009D0EB8"/>
    <w:rsid w:val="009D0F03"/>
    <w:rsid w:val="009D15F1"/>
    <w:rsid w:val="009D191A"/>
    <w:rsid w:val="009D1BCA"/>
    <w:rsid w:val="009D1EA6"/>
    <w:rsid w:val="009D21F8"/>
    <w:rsid w:val="009D2888"/>
    <w:rsid w:val="009D2F26"/>
    <w:rsid w:val="009D3264"/>
    <w:rsid w:val="009D33BB"/>
    <w:rsid w:val="009D343C"/>
    <w:rsid w:val="009D4515"/>
    <w:rsid w:val="009D4616"/>
    <w:rsid w:val="009D48C2"/>
    <w:rsid w:val="009D4B9E"/>
    <w:rsid w:val="009D63C9"/>
    <w:rsid w:val="009D6891"/>
    <w:rsid w:val="009D7CA7"/>
    <w:rsid w:val="009E0100"/>
    <w:rsid w:val="009E0600"/>
    <w:rsid w:val="009E065E"/>
    <w:rsid w:val="009E0A16"/>
    <w:rsid w:val="009E0B5B"/>
    <w:rsid w:val="009E0D05"/>
    <w:rsid w:val="009E10DC"/>
    <w:rsid w:val="009E1509"/>
    <w:rsid w:val="009E293B"/>
    <w:rsid w:val="009E3553"/>
    <w:rsid w:val="009E395C"/>
    <w:rsid w:val="009E3985"/>
    <w:rsid w:val="009E3CEE"/>
    <w:rsid w:val="009E4043"/>
    <w:rsid w:val="009E409D"/>
    <w:rsid w:val="009E413F"/>
    <w:rsid w:val="009E4197"/>
    <w:rsid w:val="009E41B8"/>
    <w:rsid w:val="009E4392"/>
    <w:rsid w:val="009E4401"/>
    <w:rsid w:val="009E4874"/>
    <w:rsid w:val="009E4C75"/>
    <w:rsid w:val="009E4E13"/>
    <w:rsid w:val="009E6A92"/>
    <w:rsid w:val="009E6D7A"/>
    <w:rsid w:val="009E6DF8"/>
    <w:rsid w:val="009E718C"/>
    <w:rsid w:val="009E7C21"/>
    <w:rsid w:val="009F0176"/>
    <w:rsid w:val="009F0419"/>
    <w:rsid w:val="009F06A3"/>
    <w:rsid w:val="009F08DD"/>
    <w:rsid w:val="009F0BC7"/>
    <w:rsid w:val="009F15E4"/>
    <w:rsid w:val="009F1891"/>
    <w:rsid w:val="009F1A93"/>
    <w:rsid w:val="009F1DBD"/>
    <w:rsid w:val="009F222E"/>
    <w:rsid w:val="009F2855"/>
    <w:rsid w:val="009F2CA7"/>
    <w:rsid w:val="009F314C"/>
    <w:rsid w:val="009F355D"/>
    <w:rsid w:val="009F3611"/>
    <w:rsid w:val="009F3F2C"/>
    <w:rsid w:val="009F400A"/>
    <w:rsid w:val="009F44E3"/>
    <w:rsid w:val="009F4993"/>
    <w:rsid w:val="009F53C8"/>
    <w:rsid w:val="009F5BA2"/>
    <w:rsid w:val="009F5C1D"/>
    <w:rsid w:val="009F6268"/>
    <w:rsid w:val="009F6E76"/>
    <w:rsid w:val="009F6FBB"/>
    <w:rsid w:val="009F7084"/>
    <w:rsid w:val="009F7330"/>
    <w:rsid w:val="009F7A44"/>
    <w:rsid w:val="009F7C46"/>
    <w:rsid w:val="009F7D96"/>
    <w:rsid w:val="00A0087B"/>
    <w:rsid w:val="00A00B15"/>
    <w:rsid w:val="00A00DEE"/>
    <w:rsid w:val="00A00E1C"/>
    <w:rsid w:val="00A014CA"/>
    <w:rsid w:val="00A01580"/>
    <w:rsid w:val="00A0179F"/>
    <w:rsid w:val="00A020E9"/>
    <w:rsid w:val="00A021B8"/>
    <w:rsid w:val="00A02A54"/>
    <w:rsid w:val="00A02CFF"/>
    <w:rsid w:val="00A02EA2"/>
    <w:rsid w:val="00A02EB3"/>
    <w:rsid w:val="00A03021"/>
    <w:rsid w:val="00A0315B"/>
    <w:rsid w:val="00A03305"/>
    <w:rsid w:val="00A036DD"/>
    <w:rsid w:val="00A03BA2"/>
    <w:rsid w:val="00A0431A"/>
    <w:rsid w:val="00A0481C"/>
    <w:rsid w:val="00A050E0"/>
    <w:rsid w:val="00A0548D"/>
    <w:rsid w:val="00A05C77"/>
    <w:rsid w:val="00A063DB"/>
    <w:rsid w:val="00A0683B"/>
    <w:rsid w:val="00A06947"/>
    <w:rsid w:val="00A069ED"/>
    <w:rsid w:val="00A06E00"/>
    <w:rsid w:val="00A06F32"/>
    <w:rsid w:val="00A07E6B"/>
    <w:rsid w:val="00A10347"/>
    <w:rsid w:val="00A10F3D"/>
    <w:rsid w:val="00A11742"/>
    <w:rsid w:val="00A1187A"/>
    <w:rsid w:val="00A1251E"/>
    <w:rsid w:val="00A1318B"/>
    <w:rsid w:val="00A13341"/>
    <w:rsid w:val="00A13766"/>
    <w:rsid w:val="00A13D5E"/>
    <w:rsid w:val="00A1437B"/>
    <w:rsid w:val="00A15084"/>
    <w:rsid w:val="00A156D5"/>
    <w:rsid w:val="00A15C8A"/>
    <w:rsid w:val="00A16309"/>
    <w:rsid w:val="00A16621"/>
    <w:rsid w:val="00A16F34"/>
    <w:rsid w:val="00A20635"/>
    <w:rsid w:val="00A20D95"/>
    <w:rsid w:val="00A21085"/>
    <w:rsid w:val="00A21B35"/>
    <w:rsid w:val="00A2214E"/>
    <w:rsid w:val="00A229F8"/>
    <w:rsid w:val="00A22E57"/>
    <w:rsid w:val="00A235E7"/>
    <w:rsid w:val="00A23A40"/>
    <w:rsid w:val="00A23D52"/>
    <w:rsid w:val="00A23E2F"/>
    <w:rsid w:val="00A244D2"/>
    <w:rsid w:val="00A25180"/>
    <w:rsid w:val="00A267D2"/>
    <w:rsid w:val="00A26F1B"/>
    <w:rsid w:val="00A27235"/>
    <w:rsid w:val="00A27C29"/>
    <w:rsid w:val="00A3000F"/>
    <w:rsid w:val="00A30BAE"/>
    <w:rsid w:val="00A31601"/>
    <w:rsid w:val="00A31639"/>
    <w:rsid w:val="00A320DA"/>
    <w:rsid w:val="00A327BA"/>
    <w:rsid w:val="00A329C7"/>
    <w:rsid w:val="00A32FDF"/>
    <w:rsid w:val="00A33B77"/>
    <w:rsid w:val="00A34008"/>
    <w:rsid w:val="00A348A4"/>
    <w:rsid w:val="00A34CA0"/>
    <w:rsid w:val="00A34E01"/>
    <w:rsid w:val="00A3647F"/>
    <w:rsid w:val="00A3648E"/>
    <w:rsid w:val="00A364B5"/>
    <w:rsid w:val="00A368A4"/>
    <w:rsid w:val="00A36EA3"/>
    <w:rsid w:val="00A375A7"/>
    <w:rsid w:val="00A37FCC"/>
    <w:rsid w:val="00A40470"/>
    <w:rsid w:val="00A415A6"/>
    <w:rsid w:val="00A42405"/>
    <w:rsid w:val="00A4268D"/>
    <w:rsid w:val="00A42BA6"/>
    <w:rsid w:val="00A42F2C"/>
    <w:rsid w:val="00A4338A"/>
    <w:rsid w:val="00A4378A"/>
    <w:rsid w:val="00A43CC2"/>
    <w:rsid w:val="00A440AB"/>
    <w:rsid w:val="00A44F3C"/>
    <w:rsid w:val="00A45BC5"/>
    <w:rsid w:val="00A461B7"/>
    <w:rsid w:val="00A47431"/>
    <w:rsid w:val="00A47A96"/>
    <w:rsid w:val="00A47E8B"/>
    <w:rsid w:val="00A47F3C"/>
    <w:rsid w:val="00A507D9"/>
    <w:rsid w:val="00A50BE2"/>
    <w:rsid w:val="00A51F41"/>
    <w:rsid w:val="00A5213C"/>
    <w:rsid w:val="00A5240D"/>
    <w:rsid w:val="00A52EAE"/>
    <w:rsid w:val="00A532BE"/>
    <w:rsid w:val="00A535FF"/>
    <w:rsid w:val="00A53EA4"/>
    <w:rsid w:val="00A5435D"/>
    <w:rsid w:val="00A54819"/>
    <w:rsid w:val="00A55253"/>
    <w:rsid w:val="00A55C70"/>
    <w:rsid w:val="00A55D99"/>
    <w:rsid w:val="00A565E9"/>
    <w:rsid w:val="00A571DA"/>
    <w:rsid w:val="00A57517"/>
    <w:rsid w:val="00A57A19"/>
    <w:rsid w:val="00A6037D"/>
    <w:rsid w:val="00A60B5F"/>
    <w:rsid w:val="00A6147B"/>
    <w:rsid w:val="00A619E3"/>
    <w:rsid w:val="00A61A86"/>
    <w:rsid w:val="00A61DCD"/>
    <w:rsid w:val="00A62272"/>
    <w:rsid w:val="00A62971"/>
    <w:rsid w:val="00A62A0E"/>
    <w:rsid w:val="00A62B32"/>
    <w:rsid w:val="00A63673"/>
    <w:rsid w:val="00A63FC6"/>
    <w:rsid w:val="00A643B6"/>
    <w:rsid w:val="00A64A39"/>
    <w:rsid w:val="00A6514C"/>
    <w:rsid w:val="00A65361"/>
    <w:rsid w:val="00A657EC"/>
    <w:rsid w:val="00A65F9D"/>
    <w:rsid w:val="00A660DA"/>
    <w:rsid w:val="00A660DE"/>
    <w:rsid w:val="00A66245"/>
    <w:rsid w:val="00A66A2E"/>
    <w:rsid w:val="00A66A32"/>
    <w:rsid w:val="00A66A71"/>
    <w:rsid w:val="00A66D36"/>
    <w:rsid w:val="00A67113"/>
    <w:rsid w:val="00A6715D"/>
    <w:rsid w:val="00A67D2C"/>
    <w:rsid w:val="00A67EAB"/>
    <w:rsid w:val="00A700AB"/>
    <w:rsid w:val="00A70133"/>
    <w:rsid w:val="00A7033A"/>
    <w:rsid w:val="00A70A00"/>
    <w:rsid w:val="00A710A9"/>
    <w:rsid w:val="00A720B7"/>
    <w:rsid w:val="00A722F8"/>
    <w:rsid w:val="00A7273C"/>
    <w:rsid w:val="00A72A38"/>
    <w:rsid w:val="00A72E5F"/>
    <w:rsid w:val="00A7337B"/>
    <w:rsid w:val="00A73C51"/>
    <w:rsid w:val="00A742D0"/>
    <w:rsid w:val="00A74CC4"/>
    <w:rsid w:val="00A75DFA"/>
    <w:rsid w:val="00A76376"/>
    <w:rsid w:val="00A7706C"/>
    <w:rsid w:val="00A7760C"/>
    <w:rsid w:val="00A80017"/>
    <w:rsid w:val="00A80672"/>
    <w:rsid w:val="00A80F1A"/>
    <w:rsid w:val="00A80FF1"/>
    <w:rsid w:val="00A8136A"/>
    <w:rsid w:val="00A813CB"/>
    <w:rsid w:val="00A81A99"/>
    <w:rsid w:val="00A82565"/>
    <w:rsid w:val="00A829F3"/>
    <w:rsid w:val="00A834B9"/>
    <w:rsid w:val="00A83F7E"/>
    <w:rsid w:val="00A84A1C"/>
    <w:rsid w:val="00A84BED"/>
    <w:rsid w:val="00A85978"/>
    <w:rsid w:val="00A85BC1"/>
    <w:rsid w:val="00A8648F"/>
    <w:rsid w:val="00A86BA8"/>
    <w:rsid w:val="00A86F8F"/>
    <w:rsid w:val="00A87204"/>
    <w:rsid w:val="00A90066"/>
    <w:rsid w:val="00A90445"/>
    <w:rsid w:val="00A90AAF"/>
    <w:rsid w:val="00A90C28"/>
    <w:rsid w:val="00A914F8"/>
    <w:rsid w:val="00A91851"/>
    <w:rsid w:val="00A9195B"/>
    <w:rsid w:val="00A91C58"/>
    <w:rsid w:val="00A91D8B"/>
    <w:rsid w:val="00A9252D"/>
    <w:rsid w:val="00A92789"/>
    <w:rsid w:val="00A92EF7"/>
    <w:rsid w:val="00A92F01"/>
    <w:rsid w:val="00A93712"/>
    <w:rsid w:val="00A93841"/>
    <w:rsid w:val="00A939A0"/>
    <w:rsid w:val="00A93E42"/>
    <w:rsid w:val="00A9436F"/>
    <w:rsid w:val="00A9489C"/>
    <w:rsid w:val="00A94CA9"/>
    <w:rsid w:val="00A94CBD"/>
    <w:rsid w:val="00A94DDE"/>
    <w:rsid w:val="00A95BBF"/>
    <w:rsid w:val="00A960B5"/>
    <w:rsid w:val="00A96427"/>
    <w:rsid w:val="00A975E9"/>
    <w:rsid w:val="00A97D8B"/>
    <w:rsid w:val="00A97E7A"/>
    <w:rsid w:val="00AA011F"/>
    <w:rsid w:val="00AA0914"/>
    <w:rsid w:val="00AA0E33"/>
    <w:rsid w:val="00AA1209"/>
    <w:rsid w:val="00AA1628"/>
    <w:rsid w:val="00AA1C3A"/>
    <w:rsid w:val="00AA2039"/>
    <w:rsid w:val="00AA240E"/>
    <w:rsid w:val="00AA25E8"/>
    <w:rsid w:val="00AA264D"/>
    <w:rsid w:val="00AA285C"/>
    <w:rsid w:val="00AA35E6"/>
    <w:rsid w:val="00AA3A50"/>
    <w:rsid w:val="00AA3CEC"/>
    <w:rsid w:val="00AA4725"/>
    <w:rsid w:val="00AA4A65"/>
    <w:rsid w:val="00AA4EDB"/>
    <w:rsid w:val="00AA5295"/>
    <w:rsid w:val="00AA535F"/>
    <w:rsid w:val="00AA61E9"/>
    <w:rsid w:val="00AA6BC4"/>
    <w:rsid w:val="00AA6D57"/>
    <w:rsid w:val="00AA6F03"/>
    <w:rsid w:val="00AA70DB"/>
    <w:rsid w:val="00AA73C4"/>
    <w:rsid w:val="00AA748C"/>
    <w:rsid w:val="00AA7586"/>
    <w:rsid w:val="00AA7DEF"/>
    <w:rsid w:val="00AA7E81"/>
    <w:rsid w:val="00AB0061"/>
    <w:rsid w:val="00AB02D9"/>
    <w:rsid w:val="00AB038D"/>
    <w:rsid w:val="00AB1A41"/>
    <w:rsid w:val="00AB1FC1"/>
    <w:rsid w:val="00AB22DD"/>
    <w:rsid w:val="00AB2315"/>
    <w:rsid w:val="00AB23CF"/>
    <w:rsid w:val="00AB347F"/>
    <w:rsid w:val="00AB3EAF"/>
    <w:rsid w:val="00AB4173"/>
    <w:rsid w:val="00AB4350"/>
    <w:rsid w:val="00AB469B"/>
    <w:rsid w:val="00AB47D0"/>
    <w:rsid w:val="00AB4D3F"/>
    <w:rsid w:val="00AB50B0"/>
    <w:rsid w:val="00AB51F0"/>
    <w:rsid w:val="00AB55B7"/>
    <w:rsid w:val="00AB5D89"/>
    <w:rsid w:val="00AB66D0"/>
    <w:rsid w:val="00AB6E00"/>
    <w:rsid w:val="00AB6E26"/>
    <w:rsid w:val="00AB75E8"/>
    <w:rsid w:val="00AB7DA0"/>
    <w:rsid w:val="00AC0672"/>
    <w:rsid w:val="00AC0684"/>
    <w:rsid w:val="00AC0B1D"/>
    <w:rsid w:val="00AC16C7"/>
    <w:rsid w:val="00AC20DC"/>
    <w:rsid w:val="00AC2279"/>
    <w:rsid w:val="00AC291A"/>
    <w:rsid w:val="00AC3240"/>
    <w:rsid w:val="00AC3693"/>
    <w:rsid w:val="00AC37B9"/>
    <w:rsid w:val="00AC3F9A"/>
    <w:rsid w:val="00AC4061"/>
    <w:rsid w:val="00AC429B"/>
    <w:rsid w:val="00AC4504"/>
    <w:rsid w:val="00AC4AA9"/>
    <w:rsid w:val="00AC4F06"/>
    <w:rsid w:val="00AC545C"/>
    <w:rsid w:val="00AC5466"/>
    <w:rsid w:val="00AC5718"/>
    <w:rsid w:val="00AC5739"/>
    <w:rsid w:val="00AC589A"/>
    <w:rsid w:val="00AC5BFC"/>
    <w:rsid w:val="00AC5DBD"/>
    <w:rsid w:val="00AC5E31"/>
    <w:rsid w:val="00AC5F56"/>
    <w:rsid w:val="00AC5F65"/>
    <w:rsid w:val="00AC61C1"/>
    <w:rsid w:val="00AC624E"/>
    <w:rsid w:val="00AC6388"/>
    <w:rsid w:val="00AC6659"/>
    <w:rsid w:val="00AC724C"/>
    <w:rsid w:val="00AD1588"/>
    <w:rsid w:val="00AD158B"/>
    <w:rsid w:val="00AD1627"/>
    <w:rsid w:val="00AD1749"/>
    <w:rsid w:val="00AD1FBE"/>
    <w:rsid w:val="00AD2569"/>
    <w:rsid w:val="00AD28C9"/>
    <w:rsid w:val="00AD32F2"/>
    <w:rsid w:val="00AD36BC"/>
    <w:rsid w:val="00AD3975"/>
    <w:rsid w:val="00AD3EE6"/>
    <w:rsid w:val="00AD4954"/>
    <w:rsid w:val="00AD4AE3"/>
    <w:rsid w:val="00AD4BCC"/>
    <w:rsid w:val="00AD4CEE"/>
    <w:rsid w:val="00AD4E02"/>
    <w:rsid w:val="00AD4FC9"/>
    <w:rsid w:val="00AD5470"/>
    <w:rsid w:val="00AD5A50"/>
    <w:rsid w:val="00AD5BE5"/>
    <w:rsid w:val="00AD6DC1"/>
    <w:rsid w:val="00AD739D"/>
    <w:rsid w:val="00AE07CF"/>
    <w:rsid w:val="00AE13EA"/>
    <w:rsid w:val="00AE1763"/>
    <w:rsid w:val="00AE177F"/>
    <w:rsid w:val="00AE1970"/>
    <w:rsid w:val="00AE1C76"/>
    <w:rsid w:val="00AE2C30"/>
    <w:rsid w:val="00AE32A7"/>
    <w:rsid w:val="00AE3C86"/>
    <w:rsid w:val="00AE3DF3"/>
    <w:rsid w:val="00AE3F2B"/>
    <w:rsid w:val="00AE48E3"/>
    <w:rsid w:val="00AE4F4D"/>
    <w:rsid w:val="00AE51D8"/>
    <w:rsid w:val="00AE544E"/>
    <w:rsid w:val="00AE5D29"/>
    <w:rsid w:val="00AE5D36"/>
    <w:rsid w:val="00AE5DF0"/>
    <w:rsid w:val="00AE6A83"/>
    <w:rsid w:val="00AE7014"/>
    <w:rsid w:val="00AE7180"/>
    <w:rsid w:val="00AE7225"/>
    <w:rsid w:val="00AE7E7F"/>
    <w:rsid w:val="00AF003C"/>
    <w:rsid w:val="00AF00C8"/>
    <w:rsid w:val="00AF0145"/>
    <w:rsid w:val="00AF04F6"/>
    <w:rsid w:val="00AF0B70"/>
    <w:rsid w:val="00AF1024"/>
    <w:rsid w:val="00AF148D"/>
    <w:rsid w:val="00AF17D0"/>
    <w:rsid w:val="00AF185D"/>
    <w:rsid w:val="00AF1C9C"/>
    <w:rsid w:val="00AF1DD0"/>
    <w:rsid w:val="00AF223F"/>
    <w:rsid w:val="00AF2FB6"/>
    <w:rsid w:val="00AF3F17"/>
    <w:rsid w:val="00AF4489"/>
    <w:rsid w:val="00AF45E2"/>
    <w:rsid w:val="00AF4ABF"/>
    <w:rsid w:val="00AF569C"/>
    <w:rsid w:val="00AF57ED"/>
    <w:rsid w:val="00AF5E49"/>
    <w:rsid w:val="00AF6E98"/>
    <w:rsid w:val="00AF6F89"/>
    <w:rsid w:val="00AF79FC"/>
    <w:rsid w:val="00AF7DBA"/>
    <w:rsid w:val="00AF7FB6"/>
    <w:rsid w:val="00B00038"/>
    <w:rsid w:val="00B0044A"/>
    <w:rsid w:val="00B00BFD"/>
    <w:rsid w:val="00B00C97"/>
    <w:rsid w:val="00B01F39"/>
    <w:rsid w:val="00B02CE6"/>
    <w:rsid w:val="00B02D3B"/>
    <w:rsid w:val="00B02D54"/>
    <w:rsid w:val="00B03747"/>
    <w:rsid w:val="00B05306"/>
    <w:rsid w:val="00B0550C"/>
    <w:rsid w:val="00B05B02"/>
    <w:rsid w:val="00B05E55"/>
    <w:rsid w:val="00B05FD8"/>
    <w:rsid w:val="00B0777B"/>
    <w:rsid w:val="00B07A26"/>
    <w:rsid w:val="00B07AD0"/>
    <w:rsid w:val="00B1036D"/>
    <w:rsid w:val="00B106EB"/>
    <w:rsid w:val="00B1090E"/>
    <w:rsid w:val="00B10A40"/>
    <w:rsid w:val="00B11037"/>
    <w:rsid w:val="00B111FF"/>
    <w:rsid w:val="00B119AC"/>
    <w:rsid w:val="00B119DC"/>
    <w:rsid w:val="00B1236A"/>
    <w:rsid w:val="00B12AA4"/>
    <w:rsid w:val="00B12B38"/>
    <w:rsid w:val="00B12C0D"/>
    <w:rsid w:val="00B148E2"/>
    <w:rsid w:val="00B14D49"/>
    <w:rsid w:val="00B15A7F"/>
    <w:rsid w:val="00B166ED"/>
    <w:rsid w:val="00B16A48"/>
    <w:rsid w:val="00B16A9E"/>
    <w:rsid w:val="00B16B29"/>
    <w:rsid w:val="00B16BEE"/>
    <w:rsid w:val="00B178FD"/>
    <w:rsid w:val="00B17979"/>
    <w:rsid w:val="00B2040F"/>
    <w:rsid w:val="00B209D7"/>
    <w:rsid w:val="00B20E5A"/>
    <w:rsid w:val="00B20EC5"/>
    <w:rsid w:val="00B20F4E"/>
    <w:rsid w:val="00B21595"/>
    <w:rsid w:val="00B216F6"/>
    <w:rsid w:val="00B21C0E"/>
    <w:rsid w:val="00B21D43"/>
    <w:rsid w:val="00B21EF5"/>
    <w:rsid w:val="00B228CC"/>
    <w:rsid w:val="00B2325D"/>
    <w:rsid w:val="00B23386"/>
    <w:rsid w:val="00B2386D"/>
    <w:rsid w:val="00B23B2E"/>
    <w:rsid w:val="00B23B56"/>
    <w:rsid w:val="00B23F17"/>
    <w:rsid w:val="00B25720"/>
    <w:rsid w:val="00B257B3"/>
    <w:rsid w:val="00B25C03"/>
    <w:rsid w:val="00B25C65"/>
    <w:rsid w:val="00B25D87"/>
    <w:rsid w:val="00B25DB2"/>
    <w:rsid w:val="00B267A0"/>
    <w:rsid w:val="00B2735B"/>
    <w:rsid w:val="00B278D0"/>
    <w:rsid w:val="00B3020A"/>
    <w:rsid w:val="00B30638"/>
    <w:rsid w:val="00B30A7A"/>
    <w:rsid w:val="00B30CBF"/>
    <w:rsid w:val="00B30D7B"/>
    <w:rsid w:val="00B30E4F"/>
    <w:rsid w:val="00B31321"/>
    <w:rsid w:val="00B31952"/>
    <w:rsid w:val="00B31A92"/>
    <w:rsid w:val="00B31BF2"/>
    <w:rsid w:val="00B324C3"/>
    <w:rsid w:val="00B32569"/>
    <w:rsid w:val="00B328CC"/>
    <w:rsid w:val="00B32B3D"/>
    <w:rsid w:val="00B32FD0"/>
    <w:rsid w:val="00B33278"/>
    <w:rsid w:val="00B332A0"/>
    <w:rsid w:val="00B33453"/>
    <w:rsid w:val="00B33500"/>
    <w:rsid w:val="00B3382A"/>
    <w:rsid w:val="00B33C20"/>
    <w:rsid w:val="00B33E4E"/>
    <w:rsid w:val="00B345AD"/>
    <w:rsid w:val="00B347ED"/>
    <w:rsid w:val="00B34972"/>
    <w:rsid w:val="00B34EE9"/>
    <w:rsid w:val="00B35BE0"/>
    <w:rsid w:val="00B35E3C"/>
    <w:rsid w:val="00B36224"/>
    <w:rsid w:val="00B3640B"/>
    <w:rsid w:val="00B3699A"/>
    <w:rsid w:val="00B36F73"/>
    <w:rsid w:val="00B37141"/>
    <w:rsid w:val="00B37144"/>
    <w:rsid w:val="00B37577"/>
    <w:rsid w:val="00B37E54"/>
    <w:rsid w:val="00B402C6"/>
    <w:rsid w:val="00B4109D"/>
    <w:rsid w:val="00B419DF"/>
    <w:rsid w:val="00B41C28"/>
    <w:rsid w:val="00B437B1"/>
    <w:rsid w:val="00B437DB"/>
    <w:rsid w:val="00B437F5"/>
    <w:rsid w:val="00B43C47"/>
    <w:rsid w:val="00B44422"/>
    <w:rsid w:val="00B44ECF"/>
    <w:rsid w:val="00B44FAE"/>
    <w:rsid w:val="00B45261"/>
    <w:rsid w:val="00B45345"/>
    <w:rsid w:val="00B453D8"/>
    <w:rsid w:val="00B45D5D"/>
    <w:rsid w:val="00B45E1B"/>
    <w:rsid w:val="00B4638B"/>
    <w:rsid w:val="00B463D7"/>
    <w:rsid w:val="00B46604"/>
    <w:rsid w:val="00B4668D"/>
    <w:rsid w:val="00B46923"/>
    <w:rsid w:val="00B46F33"/>
    <w:rsid w:val="00B46FBA"/>
    <w:rsid w:val="00B474DE"/>
    <w:rsid w:val="00B474FC"/>
    <w:rsid w:val="00B5039D"/>
    <w:rsid w:val="00B50546"/>
    <w:rsid w:val="00B505F7"/>
    <w:rsid w:val="00B50C17"/>
    <w:rsid w:val="00B50ED3"/>
    <w:rsid w:val="00B5137E"/>
    <w:rsid w:val="00B5143B"/>
    <w:rsid w:val="00B51504"/>
    <w:rsid w:val="00B520A1"/>
    <w:rsid w:val="00B52F85"/>
    <w:rsid w:val="00B531BE"/>
    <w:rsid w:val="00B538A2"/>
    <w:rsid w:val="00B53EF5"/>
    <w:rsid w:val="00B5412A"/>
    <w:rsid w:val="00B54EB1"/>
    <w:rsid w:val="00B55347"/>
    <w:rsid w:val="00B554D8"/>
    <w:rsid w:val="00B55A01"/>
    <w:rsid w:val="00B55BA8"/>
    <w:rsid w:val="00B55BAC"/>
    <w:rsid w:val="00B561E7"/>
    <w:rsid w:val="00B56D8D"/>
    <w:rsid w:val="00B56E29"/>
    <w:rsid w:val="00B572B2"/>
    <w:rsid w:val="00B575B6"/>
    <w:rsid w:val="00B6052B"/>
    <w:rsid w:val="00B60641"/>
    <w:rsid w:val="00B60D95"/>
    <w:rsid w:val="00B61C19"/>
    <w:rsid w:val="00B61D48"/>
    <w:rsid w:val="00B61E19"/>
    <w:rsid w:val="00B62E74"/>
    <w:rsid w:val="00B634EF"/>
    <w:rsid w:val="00B637AE"/>
    <w:rsid w:val="00B63A23"/>
    <w:rsid w:val="00B63CF3"/>
    <w:rsid w:val="00B64015"/>
    <w:rsid w:val="00B64050"/>
    <w:rsid w:val="00B6443A"/>
    <w:rsid w:val="00B64522"/>
    <w:rsid w:val="00B64997"/>
    <w:rsid w:val="00B64EB7"/>
    <w:rsid w:val="00B65192"/>
    <w:rsid w:val="00B65B7A"/>
    <w:rsid w:val="00B65C18"/>
    <w:rsid w:val="00B65D53"/>
    <w:rsid w:val="00B65E70"/>
    <w:rsid w:val="00B65EAC"/>
    <w:rsid w:val="00B66A62"/>
    <w:rsid w:val="00B66AFC"/>
    <w:rsid w:val="00B67377"/>
    <w:rsid w:val="00B67465"/>
    <w:rsid w:val="00B6764D"/>
    <w:rsid w:val="00B678F2"/>
    <w:rsid w:val="00B67A4A"/>
    <w:rsid w:val="00B702EF"/>
    <w:rsid w:val="00B7050C"/>
    <w:rsid w:val="00B714F0"/>
    <w:rsid w:val="00B71A73"/>
    <w:rsid w:val="00B71FEB"/>
    <w:rsid w:val="00B72164"/>
    <w:rsid w:val="00B72305"/>
    <w:rsid w:val="00B72527"/>
    <w:rsid w:val="00B72738"/>
    <w:rsid w:val="00B7370E"/>
    <w:rsid w:val="00B73B32"/>
    <w:rsid w:val="00B74309"/>
    <w:rsid w:val="00B75E55"/>
    <w:rsid w:val="00B7644F"/>
    <w:rsid w:val="00B76609"/>
    <w:rsid w:val="00B76D14"/>
    <w:rsid w:val="00B77188"/>
    <w:rsid w:val="00B7738A"/>
    <w:rsid w:val="00B77401"/>
    <w:rsid w:val="00B77609"/>
    <w:rsid w:val="00B77C60"/>
    <w:rsid w:val="00B80A4B"/>
    <w:rsid w:val="00B8136D"/>
    <w:rsid w:val="00B81440"/>
    <w:rsid w:val="00B818DB"/>
    <w:rsid w:val="00B8297B"/>
    <w:rsid w:val="00B82BB9"/>
    <w:rsid w:val="00B82FB8"/>
    <w:rsid w:val="00B8390F"/>
    <w:rsid w:val="00B839E0"/>
    <w:rsid w:val="00B83E79"/>
    <w:rsid w:val="00B840DF"/>
    <w:rsid w:val="00B84439"/>
    <w:rsid w:val="00B85482"/>
    <w:rsid w:val="00B85614"/>
    <w:rsid w:val="00B860C7"/>
    <w:rsid w:val="00B86284"/>
    <w:rsid w:val="00B862CA"/>
    <w:rsid w:val="00B868E8"/>
    <w:rsid w:val="00B869AA"/>
    <w:rsid w:val="00B86FEA"/>
    <w:rsid w:val="00B871D9"/>
    <w:rsid w:val="00B877B7"/>
    <w:rsid w:val="00B90121"/>
    <w:rsid w:val="00B9096F"/>
    <w:rsid w:val="00B909A4"/>
    <w:rsid w:val="00B90CC3"/>
    <w:rsid w:val="00B90DE0"/>
    <w:rsid w:val="00B9158F"/>
    <w:rsid w:val="00B91E45"/>
    <w:rsid w:val="00B92181"/>
    <w:rsid w:val="00B922E4"/>
    <w:rsid w:val="00B92856"/>
    <w:rsid w:val="00B929CF"/>
    <w:rsid w:val="00B93185"/>
    <w:rsid w:val="00B931A4"/>
    <w:rsid w:val="00B94460"/>
    <w:rsid w:val="00B9519C"/>
    <w:rsid w:val="00B9550F"/>
    <w:rsid w:val="00B95864"/>
    <w:rsid w:val="00B958CA"/>
    <w:rsid w:val="00B9601D"/>
    <w:rsid w:val="00B96103"/>
    <w:rsid w:val="00B9672A"/>
    <w:rsid w:val="00B97163"/>
    <w:rsid w:val="00B97F0C"/>
    <w:rsid w:val="00BA0C66"/>
    <w:rsid w:val="00BA0C6C"/>
    <w:rsid w:val="00BA0CED"/>
    <w:rsid w:val="00BA0F1F"/>
    <w:rsid w:val="00BA105B"/>
    <w:rsid w:val="00BA15E8"/>
    <w:rsid w:val="00BA1D75"/>
    <w:rsid w:val="00BA1DF5"/>
    <w:rsid w:val="00BA2CF1"/>
    <w:rsid w:val="00BA2D9C"/>
    <w:rsid w:val="00BA2E4E"/>
    <w:rsid w:val="00BA2F20"/>
    <w:rsid w:val="00BA38C2"/>
    <w:rsid w:val="00BA3B1C"/>
    <w:rsid w:val="00BA446E"/>
    <w:rsid w:val="00BA4D77"/>
    <w:rsid w:val="00BA505A"/>
    <w:rsid w:val="00BA506F"/>
    <w:rsid w:val="00BA50B2"/>
    <w:rsid w:val="00BA5314"/>
    <w:rsid w:val="00BA56D0"/>
    <w:rsid w:val="00BA577C"/>
    <w:rsid w:val="00BA6B33"/>
    <w:rsid w:val="00BB0107"/>
    <w:rsid w:val="00BB0325"/>
    <w:rsid w:val="00BB153A"/>
    <w:rsid w:val="00BB1D64"/>
    <w:rsid w:val="00BB2389"/>
    <w:rsid w:val="00BB261B"/>
    <w:rsid w:val="00BB2EDA"/>
    <w:rsid w:val="00BB3FE1"/>
    <w:rsid w:val="00BB4B70"/>
    <w:rsid w:val="00BB4D0A"/>
    <w:rsid w:val="00BB50FE"/>
    <w:rsid w:val="00BB56A4"/>
    <w:rsid w:val="00BB7DD5"/>
    <w:rsid w:val="00BB7EEA"/>
    <w:rsid w:val="00BC056D"/>
    <w:rsid w:val="00BC0B51"/>
    <w:rsid w:val="00BC1835"/>
    <w:rsid w:val="00BC1E53"/>
    <w:rsid w:val="00BC2E57"/>
    <w:rsid w:val="00BC31A8"/>
    <w:rsid w:val="00BC3990"/>
    <w:rsid w:val="00BC3CCC"/>
    <w:rsid w:val="00BC3FFE"/>
    <w:rsid w:val="00BC4D08"/>
    <w:rsid w:val="00BC5103"/>
    <w:rsid w:val="00BC5A65"/>
    <w:rsid w:val="00BC6191"/>
    <w:rsid w:val="00BC6639"/>
    <w:rsid w:val="00BC6A58"/>
    <w:rsid w:val="00BC6CDE"/>
    <w:rsid w:val="00BC7019"/>
    <w:rsid w:val="00BC7A78"/>
    <w:rsid w:val="00BC7AA6"/>
    <w:rsid w:val="00BC7BA6"/>
    <w:rsid w:val="00BD0427"/>
    <w:rsid w:val="00BD1320"/>
    <w:rsid w:val="00BD176B"/>
    <w:rsid w:val="00BD1B3A"/>
    <w:rsid w:val="00BD2CA0"/>
    <w:rsid w:val="00BD3967"/>
    <w:rsid w:val="00BD39FD"/>
    <w:rsid w:val="00BD3E8C"/>
    <w:rsid w:val="00BD4FB7"/>
    <w:rsid w:val="00BD50F8"/>
    <w:rsid w:val="00BD51F9"/>
    <w:rsid w:val="00BD54CE"/>
    <w:rsid w:val="00BD555D"/>
    <w:rsid w:val="00BD561F"/>
    <w:rsid w:val="00BD5C62"/>
    <w:rsid w:val="00BD6B52"/>
    <w:rsid w:val="00BD70AA"/>
    <w:rsid w:val="00BD743C"/>
    <w:rsid w:val="00BD74DB"/>
    <w:rsid w:val="00BD758A"/>
    <w:rsid w:val="00BD77D3"/>
    <w:rsid w:val="00BD79C9"/>
    <w:rsid w:val="00BD7B6E"/>
    <w:rsid w:val="00BE00B6"/>
    <w:rsid w:val="00BE07E8"/>
    <w:rsid w:val="00BE082C"/>
    <w:rsid w:val="00BE0C5D"/>
    <w:rsid w:val="00BE0DA3"/>
    <w:rsid w:val="00BE1075"/>
    <w:rsid w:val="00BE16B1"/>
    <w:rsid w:val="00BE1D05"/>
    <w:rsid w:val="00BE2E74"/>
    <w:rsid w:val="00BE2FF9"/>
    <w:rsid w:val="00BE37F0"/>
    <w:rsid w:val="00BE4622"/>
    <w:rsid w:val="00BE4835"/>
    <w:rsid w:val="00BE4B79"/>
    <w:rsid w:val="00BE556F"/>
    <w:rsid w:val="00BE5705"/>
    <w:rsid w:val="00BE59A3"/>
    <w:rsid w:val="00BE5D45"/>
    <w:rsid w:val="00BE5EF9"/>
    <w:rsid w:val="00BE63CB"/>
    <w:rsid w:val="00BE65C8"/>
    <w:rsid w:val="00BE6BB3"/>
    <w:rsid w:val="00BE6DB6"/>
    <w:rsid w:val="00BE732F"/>
    <w:rsid w:val="00BE73DC"/>
    <w:rsid w:val="00BE7FDC"/>
    <w:rsid w:val="00BF0188"/>
    <w:rsid w:val="00BF0C49"/>
    <w:rsid w:val="00BF0D1B"/>
    <w:rsid w:val="00BF0F20"/>
    <w:rsid w:val="00BF11C1"/>
    <w:rsid w:val="00BF15E4"/>
    <w:rsid w:val="00BF1AB3"/>
    <w:rsid w:val="00BF1BE8"/>
    <w:rsid w:val="00BF1DDC"/>
    <w:rsid w:val="00BF207A"/>
    <w:rsid w:val="00BF212B"/>
    <w:rsid w:val="00BF2230"/>
    <w:rsid w:val="00BF2894"/>
    <w:rsid w:val="00BF31A4"/>
    <w:rsid w:val="00BF3473"/>
    <w:rsid w:val="00BF3595"/>
    <w:rsid w:val="00BF37A5"/>
    <w:rsid w:val="00BF3A03"/>
    <w:rsid w:val="00BF3D1E"/>
    <w:rsid w:val="00BF3D9E"/>
    <w:rsid w:val="00BF4336"/>
    <w:rsid w:val="00BF43B3"/>
    <w:rsid w:val="00BF43BE"/>
    <w:rsid w:val="00BF43D7"/>
    <w:rsid w:val="00BF4A13"/>
    <w:rsid w:val="00BF4F1E"/>
    <w:rsid w:val="00BF53F6"/>
    <w:rsid w:val="00BF656B"/>
    <w:rsid w:val="00BF6938"/>
    <w:rsid w:val="00BF6A5E"/>
    <w:rsid w:val="00BF6F07"/>
    <w:rsid w:val="00BF72A3"/>
    <w:rsid w:val="00BF74B3"/>
    <w:rsid w:val="00BF74CE"/>
    <w:rsid w:val="00C003B5"/>
    <w:rsid w:val="00C005E5"/>
    <w:rsid w:val="00C0078F"/>
    <w:rsid w:val="00C00F7B"/>
    <w:rsid w:val="00C0135B"/>
    <w:rsid w:val="00C014EB"/>
    <w:rsid w:val="00C01B4E"/>
    <w:rsid w:val="00C01D2D"/>
    <w:rsid w:val="00C01D36"/>
    <w:rsid w:val="00C01FC3"/>
    <w:rsid w:val="00C0204F"/>
    <w:rsid w:val="00C02772"/>
    <w:rsid w:val="00C03237"/>
    <w:rsid w:val="00C03D1B"/>
    <w:rsid w:val="00C04186"/>
    <w:rsid w:val="00C04378"/>
    <w:rsid w:val="00C045C0"/>
    <w:rsid w:val="00C04C7B"/>
    <w:rsid w:val="00C055F8"/>
    <w:rsid w:val="00C0582F"/>
    <w:rsid w:val="00C059E2"/>
    <w:rsid w:val="00C05EB7"/>
    <w:rsid w:val="00C060B5"/>
    <w:rsid w:val="00C0616E"/>
    <w:rsid w:val="00C0619C"/>
    <w:rsid w:val="00C06638"/>
    <w:rsid w:val="00C066F6"/>
    <w:rsid w:val="00C067BC"/>
    <w:rsid w:val="00C06909"/>
    <w:rsid w:val="00C06FEB"/>
    <w:rsid w:val="00C0742F"/>
    <w:rsid w:val="00C07B1E"/>
    <w:rsid w:val="00C10173"/>
    <w:rsid w:val="00C10204"/>
    <w:rsid w:val="00C103E7"/>
    <w:rsid w:val="00C10474"/>
    <w:rsid w:val="00C10E35"/>
    <w:rsid w:val="00C10E9A"/>
    <w:rsid w:val="00C118FA"/>
    <w:rsid w:val="00C11A66"/>
    <w:rsid w:val="00C11D61"/>
    <w:rsid w:val="00C11E63"/>
    <w:rsid w:val="00C120F5"/>
    <w:rsid w:val="00C12D6D"/>
    <w:rsid w:val="00C12ED6"/>
    <w:rsid w:val="00C13DC3"/>
    <w:rsid w:val="00C14D53"/>
    <w:rsid w:val="00C151DC"/>
    <w:rsid w:val="00C16338"/>
    <w:rsid w:val="00C16857"/>
    <w:rsid w:val="00C16F75"/>
    <w:rsid w:val="00C17621"/>
    <w:rsid w:val="00C1762C"/>
    <w:rsid w:val="00C17F8A"/>
    <w:rsid w:val="00C200AF"/>
    <w:rsid w:val="00C205BB"/>
    <w:rsid w:val="00C21455"/>
    <w:rsid w:val="00C2187D"/>
    <w:rsid w:val="00C21AA9"/>
    <w:rsid w:val="00C21CC7"/>
    <w:rsid w:val="00C21E35"/>
    <w:rsid w:val="00C2225F"/>
    <w:rsid w:val="00C222E8"/>
    <w:rsid w:val="00C22684"/>
    <w:rsid w:val="00C227E4"/>
    <w:rsid w:val="00C22EBC"/>
    <w:rsid w:val="00C23610"/>
    <w:rsid w:val="00C24220"/>
    <w:rsid w:val="00C244F2"/>
    <w:rsid w:val="00C245E5"/>
    <w:rsid w:val="00C24B33"/>
    <w:rsid w:val="00C24D22"/>
    <w:rsid w:val="00C25884"/>
    <w:rsid w:val="00C258A3"/>
    <w:rsid w:val="00C26576"/>
    <w:rsid w:val="00C2680E"/>
    <w:rsid w:val="00C26D3A"/>
    <w:rsid w:val="00C2702B"/>
    <w:rsid w:val="00C27421"/>
    <w:rsid w:val="00C27D6A"/>
    <w:rsid w:val="00C27EB6"/>
    <w:rsid w:val="00C301D6"/>
    <w:rsid w:val="00C304A8"/>
    <w:rsid w:val="00C30840"/>
    <w:rsid w:val="00C30909"/>
    <w:rsid w:val="00C3102D"/>
    <w:rsid w:val="00C31590"/>
    <w:rsid w:val="00C3195E"/>
    <w:rsid w:val="00C31D1C"/>
    <w:rsid w:val="00C32A0A"/>
    <w:rsid w:val="00C32ABE"/>
    <w:rsid w:val="00C33246"/>
    <w:rsid w:val="00C33314"/>
    <w:rsid w:val="00C33E2C"/>
    <w:rsid w:val="00C34342"/>
    <w:rsid w:val="00C3439C"/>
    <w:rsid w:val="00C345B1"/>
    <w:rsid w:val="00C34A38"/>
    <w:rsid w:val="00C34FE9"/>
    <w:rsid w:val="00C35232"/>
    <w:rsid w:val="00C3540A"/>
    <w:rsid w:val="00C36192"/>
    <w:rsid w:val="00C368EC"/>
    <w:rsid w:val="00C36F8E"/>
    <w:rsid w:val="00C3750E"/>
    <w:rsid w:val="00C37A4F"/>
    <w:rsid w:val="00C37AED"/>
    <w:rsid w:val="00C37F6B"/>
    <w:rsid w:val="00C40454"/>
    <w:rsid w:val="00C40B79"/>
    <w:rsid w:val="00C412AC"/>
    <w:rsid w:val="00C41BA1"/>
    <w:rsid w:val="00C42746"/>
    <w:rsid w:val="00C4376F"/>
    <w:rsid w:val="00C43961"/>
    <w:rsid w:val="00C43BDB"/>
    <w:rsid w:val="00C44281"/>
    <w:rsid w:val="00C44AB6"/>
    <w:rsid w:val="00C44C3D"/>
    <w:rsid w:val="00C45313"/>
    <w:rsid w:val="00C45C1D"/>
    <w:rsid w:val="00C45C3B"/>
    <w:rsid w:val="00C45D65"/>
    <w:rsid w:val="00C46B4B"/>
    <w:rsid w:val="00C46DC7"/>
    <w:rsid w:val="00C47028"/>
    <w:rsid w:val="00C47135"/>
    <w:rsid w:val="00C50F33"/>
    <w:rsid w:val="00C50FC4"/>
    <w:rsid w:val="00C5132F"/>
    <w:rsid w:val="00C5137E"/>
    <w:rsid w:val="00C5141C"/>
    <w:rsid w:val="00C51488"/>
    <w:rsid w:val="00C51C0C"/>
    <w:rsid w:val="00C529B3"/>
    <w:rsid w:val="00C53507"/>
    <w:rsid w:val="00C53A36"/>
    <w:rsid w:val="00C545AD"/>
    <w:rsid w:val="00C54A01"/>
    <w:rsid w:val="00C550CB"/>
    <w:rsid w:val="00C55DD8"/>
    <w:rsid w:val="00C5636C"/>
    <w:rsid w:val="00C56671"/>
    <w:rsid w:val="00C56A0B"/>
    <w:rsid w:val="00C56ABD"/>
    <w:rsid w:val="00C56CCF"/>
    <w:rsid w:val="00C57626"/>
    <w:rsid w:val="00C57D2A"/>
    <w:rsid w:val="00C57D5F"/>
    <w:rsid w:val="00C57DCA"/>
    <w:rsid w:val="00C57F27"/>
    <w:rsid w:val="00C6018F"/>
    <w:rsid w:val="00C60361"/>
    <w:rsid w:val="00C606F7"/>
    <w:rsid w:val="00C609CA"/>
    <w:rsid w:val="00C60E42"/>
    <w:rsid w:val="00C60FA7"/>
    <w:rsid w:val="00C61358"/>
    <w:rsid w:val="00C6158A"/>
    <w:rsid w:val="00C62321"/>
    <w:rsid w:val="00C623F2"/>
    <w:rsid w:val="00C627DB"/>
    <w:rsid w:val="00C62828"/>
    <w:rsid w:val="00C62A98"/>
    <w:rsid w:val="00C637D6"/>
    <w:rsid w:val="00C63DE6"/>
    <w:rsid w:val="00C6432B"/>
    <w:rsid w:val="00C65DD8"/>
    <w:rsid w:val="00C6618F"/>
    <w:rsid w:val="00C662EC"/>
    <w:rsid w:val="00C6630D"/>
    <w:rsid w:val="00C66362"/>
    <w:rsid w:val="00C666F6"/>
    <w:rsid w:val="00C66CBC"/>
    <w:rsid w:val="00C66EB4"/>
    <w:rsid w:val="00C706E3"/>
    <w:rsid w:val="00C70B40"/>
    <w:rsid w:val="00C70E5F"/>
    <w:rsid w:val="00C70F44"/>
    <w:rsid w:val="00C712EC"/>
    <w:rsid w:val="00C71A7E"/>
    <w:rsid w:val="00C71E47"/>
    <w:rsid w:val="00C71E82"/>
    <w:rsid w:val="00C72A8F"/>
    <w:rsid w:val="00C72E07"/>
    <w:rsid w:val="00C7311B"/>
    <w:rsid w:val="00C736C4"/>
    <w:rsid w:val="00C740B9"/>
    <w:rsid w:val="00C74621"/>
    <w:rsid w:val="00C74962"/>
    <w:rsid w:val="00C753F7"/>
    <w:rsid w:val="00C754AF"/>
    <w:rsid w:val="00C758BC"/>
    <w:rsid w:val="00C75B63"/>
    <w:rsid w:val="00C76F02"/>
    <w:rsid w:val="00C8120C"/>
    <w:rsid w:val="00C81492"/>
    <w:rsid w:val="00C81605"/>
    <w:rsid w:val="00C823A2"/>
    <w:rsid w:val="00C8249E"/>
    <w:rsid w:val="00C82534"/>
    <w:rsid w:val="00C82BFD"/>
    <w:rsid w:val="00C8322A"/>
    <w:rsid w:val="00C8329E"/>
    <w:rsid w:val="00C8442D"/>
    <w:rsid w:val="00C84868"/>
    <w:rsid w:val="00C859D0"/>
    <w:rsid w:val="00C86138"/>
    <w:rsid w:val="00C864F1"/>
    <w:rsid w:val="00C86D9B"/>
    <w:rsid w:val="00C87303"/>
    <w:rsid w:val="00C87EEE"/>
    <w:rsid w:val="00C90229"/>
    <w:rsid w:val="00C90424"/>
    <w:rsid w:val="00C9074B"/>
    <w:rsid w:val="00C90F0F"/>
    <w:rsid w:val="00C91098"/>
    <w:rsid w:val="00C911A5"/>
    <w:rsid w:val="00C91CA6"/>
    <w:rsid w:val="00C91DDE"/>
    <w:rsid w:val="00C91FD6"/>
    <w:rsid w:val="00C931BF"/>
    <w:rsid w:val="00C9337F"/>
    <w:rsid w:val="00C936BF"/>
    <w:rsid w:val="00C94548"/>
    <w:rsid w:val="00C947EE"/>
    <w:rsid w:val="00C94904"/>
    <w:rsid w:val="00C9549D"/>
    <w:rsid w:val="00C954AB"/>
    <w:rsid w:val="00C954C2"/>
    <w:rsid w:val="00C955AB"/>
    <w:rsid w:val="00C95A88"/>
    <w:rsid w:val="00C960A5"/>
    <w:rsid w:val="00C967BA"/>
    <w:rsid w:val="00C96874"/>
    <w:rsid w:val="00C96B75"/>
    <w:rsid w:val="00C96DBA"/>
    <w:rsid w:val="00C96E58"/>
    <w:rsid w:val="00C9746E"/>
    <w:rsid w:val="00C97B28"/>
    <w:rsid w:val="00C97E7D"/>
    <w:rsid w:val="00CA03BD"/>
    <w:rsid w:val="00CA05CD"/>
    <w:rsid w:val="00CA0AC3"/>
    <w:rsid w:val="00CA0D9E"/>
    <w:rsid w:val="00CA0EC8"/>
    <w:rsid w:val="00CA0F67"/>
    <w:rsid w:val="00CA13B4"/>
    <w:rsid w:val="00CA17E1"/>
    <w:rsid w:val="00CA20C0"/>
    <w:rsid w:val="00CA2345"/>
    <w:rsid w:val="00CA26FD"/>
    <w:rsid w:val="00CA2F7E"/>
    <w:rsid w:val="00CA355C"/>
    <w:rsid w:val="00CA3C3A"/>
    <w:rsid w:val="00CA3F93"/>
    <w:rsid w:val="00CA44CE"/>
    <w:rsid w:val="00CA4843"/>
    <w:rsid w:val="00CA4BDB"/>
    <w:rsid w:val="00CA4C1E"/>
    <w:rsid w:val="00CA5861"/>
    <w:rsid w:val="00CA5B0B"/>
    <w:rsid w:val="00CA6506"/>
    <w:rsid w:val="00CB0051"/>
    <w:rsid w:val="00CB00B0"/>
    <w:rsid w:val="00CB0530"/>
    <w:rsid w:val="00CB0A20"/>
    <w:rsid w:val="00CB0A9C"/>
    <w:rsid w:val="00CB0E1E"/>
    <w:rsid w:val="00CB15B5"/>
    <w:rsid w:val="00CB15C1"/>
    <w:rsid w:val="00CB2759"/>
    <w:rsid w:val="00CB291A"/>
    <w:rsid w:val="00CB2FB7"/>
    <w:rsid w:val="00CB2FE1"/>
    <w:rsid w:val="00CB31A7"/>
    <w:rsid w:val="00CB35AD"/>
    <w:rsid w:val="00CB3686"/>
    <w:rsid w:val="00CB39AA"/>
    <w:rsid w:val="00CB5794"/>
    <w:rsid w:val="00CB5A50"/>
    <w:rsid w:val="00CB5B17"/>
    <w:rsid w:val="00CB6342"/>
    <w:rsid w:val="00CB6C9E"/>
    <w:rsid w:val="00CB72EF"/>
    <w:rsid w:val="00CB744C"/>
    <w:rsid w:val="00CB78F5"/>
    <w:rsid w:val="00CB7C26"/>
    <w:rsid w:val="00CC02CE"/>
    <w:rsid w:val="00CC08E8"/>
    <w:rsid w:val="00CC0A0F"/>
    <w:rsid w:val="00CC0C97"/>
    <w:rsid w:val="00CC0E0E"/>
    <w:rsid w:val="00CC0F11"/>
    <w:rsid w:val="00CC2417"/>
    <w:rsid w:val="00CC3DB3"/>
    <w:rsid w:val="00CC3F74"/>
    <w:rsid w:val="00CC401A"/>
    <w:rsid w:val="00CC42C6"/>
    <w:rsid w:val="00CC439D"/>
    <w:rsid w:val="00CC43BF"/>
    <w:rsid w:val="00CC4C5D"/>
    <w:rsid w:val="00CC551B"/>
    <w:rsid w:val="00CC5593"/>
    <w:rsid w:val="00CC638E"/>
    <w:rsid w:val="00CC6E28"/>
    <w:rsid w:val="00CC6F45"/>
    <w:rsid w:val="00CC7699"/>
    <w:rsid w:val="00CC7716"/>
    <w:rsid w:val="00CC783C"/>
    <w:rsid w:val="00CC7CD4"/>
    <w:rsid w:val="00CC7D7C"/>
    <w:rsid w:val="00CD00BE"/>
    <w:rsid w:val="00CD0B67"/>
    <w:rsid w:val="00CD0B96"/>
    <w:rsid w:val="00CD0BC5"/>
    <w:rsid w:val="00CD1282"/>
    <w:rsid w:val="00CD1C92"/>
    <w:rsid w:val="00CD1F1F"/>
    <w:rsid w:val="00CD263D"/>
    <w:rsid w:val="00CD2709"/>
    <w:rsid w:val="00CD2750"/>
    <w:rsid w:val="00CD2E2D"/>
    <w:rsid w:val="00CD447E"/>
    <w:rsid w:val="00CD4E40"/>
    <w:rsid w:val="00CD4EC4"/>
    <w:rsid w:val="00CD5309"/>
    <w:rsid w:val="00CD5506"/>
    <w:rsid w:val="00CD57AC"/>
    <w:rsid w:val="00CD5A1A"/>
    <w:rsid w:val="00CD5C17"/>
    <w:rsid w:val="00CD5D41"/>
    <w:rsid w:val="00CD609E"/>
    <w:rsid w:val="00CD69D6"/>
    <w:rsid w:val="00CD6AB7"/>
    <w:rsid w:val="00CD74F7"/>
    <w:rsid w:val="00CD7521"/>
    <w:rsid w:val="00CE0210"/>
    <w:rsid w:val="00CE0734"/>
    <w:rsid w:val="00CE075C"/>
    <w:rsid w:val="00CE0DE3"/>
    <w:rsid w:val="00CE11F6"/>
    <w:rsid w:val="00CE143A"/>
    <w:rsid w:val="00CE1D05"/>
    <w:rsid w:val="00CE20ED"/>
    <w:rsid w:val="00CE2135"/>
    <w:rsid w:val="00CE247A"/>
    <w:rsid w:val="00CE2803"/>
    <w:rsid w:val="00CE28BF"/>
    <w:rsid w:val="00CE346A"/>
    <w:rsid w:val="00CE3773"/>
    <w:rsid w:val="00CE37C1"/>
    <w:rsid w:val="00CE38E0"/>
    <w:rsid w:val="00CE406A"/>
    <w:rsid w:val="00CE4946"/>
    <w:rsid w:val="00CE5E1E"/>
    <w:rsid w:val="00CE5F61"/>
    <w:rsid w:val="00CE6831"/>
    <w:rsid w:val="00CE6A3D"/>
    <w:rsid w:val="00CE6D49"/>
    <w:rsid w:val="00CE6E9A"/>
    <w:rsid w:val="00CE76A2"/>
    <w:rsid w:val="00CE7FC6"/>
    <w:rsid w:val="00CF021D"/>
    <w:rsid w:val="00CF0AD7"/>
    <w:rsid w:val="00CF11C6"/>
    <w:rsid w:val="00CF126F"/>
    <w:rsid w:val="00CF17D2"/>
    <w:rsid w:val="00CF186A"/>
    <w:rsid w:val="00CF2BCA"/>
    <w:rsid w:val="00CF2D62"/>
    <w:rsid w:val="00CF2F56"/>
    <w:rsid w:val="00CF3112"/>
    <w:rsid w:val="00CF4178"/>
    <w:rsid w:val="00CF4695"/>
    <w:rsid w:val="00CF47CC"/>
    <w:rsid w:val="00CF4E5D"/>
    <w:rsid w:val="00CF4FA7"/>
    <w:rsid w:val="00CF54A5"/>
    <w:rsid w:val="00CF55A2"/>
    <w:rsid w:val="00CF5BB3"/>
    <w:rsid w:val="00CF5EA7"/>
    <w:rsid w:val="00CF6880"/>
    <w:rsid w:val="00CF6AB6"/>
    <w:rsid w:val="00CF7010"/>
    <w:rsid w:val="00CF70A8"/>
    <w:rsid w:val="00CF738F"/>
    <w:rsid w:val="00CF7991"/>
    <w:rsid w:val="00CF7B7E"/>
    <w:rsid w:val="00CF7EC2"/>
    <w:rsid w:val="00CF7F2D"/>
    <w:rsid w:val="00CF7F33"/>
    <w:rsid w:val="00D0023C"/>
    <w:rsid w:val="00D00602"/>
    <w:rsid w:val="00D00978"/>
    <w:rsid w:val="00D0141D"/>
    <w:rsid w:val="00D015E4"/>
    <w:rsid w:val="00D01792"/>
    <w:rsid w:val="00D01D0E"/>
    <w:rsid w:val="00D02154"/>
    <w:rsid w:val="00D021E3"/>
    <w:rsid w:val="00D02B60"/>
    <w:rsid w:val="00D02CA5"/>
    <w:rsid w:val="00D02CD0"/>
    <w:rsid w:val="00D0300F"/>
    <w:rsid w:val="00D0317C"/>
    <w:rsid w:val="00D03DBA"/>
    <w:rsid w:val="00D04119"/>
    <w:rsid w:val="00D044DB"/>
    <w:rsid w:val="00D04504"/>
    <w:rsid w:val="00D0483C"/>
    <w:rsid w:val="00D04857"/>
    <w:rsid w:val="00D04DE0"/>
    <w:rsid w:val="00D0558F"/>
    <w:rsid w:val="00D05786"/>
    <w:rsid w:val="00D0621D"/>
    <w:rsid w:val="00D063CE"/>
    <w:rsid w:val="00D06832"/>
    <w:rsid w:val="00D069DB"/>
    <w:rsid w:val="00D06AC3"/>
    <w:rsid w:val="00D06CA1"/>
    <w:rsid w:val="00D07092"/>
    <w:rsid w:val="00D071CF"/>
    <w:rsid w:val="00D077ED"/>
    <w:rsid w:val="00D078CA"/>
    <w:rsid w:val="00D07C2E"/>
    <w:rsid w:val="00D1069A"/>
    <w:rsid w:val="00D107CB"/>
    <w:rsid w:val="00D10BA2"/>
    <w:rsid w:val="00D11419"/>
    <w:rsid w:val="00D12574"/>
    <w:rsid w:val="00D12579"/>
    <w:rsid w:val="00D12E69"/>
    <w:rsid w:val="00D13215"/>
    <w:rsid w:val="00D13294"/>
    <w:rsid w:val="00D13AB5"/>
    <w:rsid w:val="00D13AEA"/>
    <w:rsid w:val="00D1525E"/>
    <w:rsid w:val="00D15847"/>
    <w:rsid w:val="00D15CF2"/>
    <w:rsid w:val="00D161E1"/>
    <w:rsid w:val="00D17DCA"/>
    <w:rsid w:val="00D202A8"/>
    <w:rsid w:val="00D20B4D"/>
    <w:rsid w:val="00D20CA4"/>
    <w:rsid w:val="00D2138C"/>
    <w:rsid w:val="00D21B3B"/>
    <w:rsid w:val="00D21D08"/>
    <w:rsid w:val="00D21EDA"/>
    <w:rsid w:val="00D21FA5"/>
    <w:rsid w:val="00D22C98"/>
    <w:rsid w:val="00D23A0B"/>
    <w:rsid w:val="00D23B88"/>
    <w:rsid w:val="00D23E05"/>
    <w:rsid w:val="00D241F0"/>
    <w:rsid w:val="00D24723"/>
    <w:rsid w:val="00D24E78"/>
    <w:rsid w:val="00D266A5"/>
    <w:rsid w:val="00D26BEA"/>
    <w:rsid w:val="00D27259"/>
    <w:rsid w:val="00D27682"/>
    <w:rsid w:val="00D2777C"/>
    <w:rsid w:val="00D277AD"/>
    <w:rsid w:val="00D27860"/>
    <w:rsid w:val="00D27915"/>
    <w:rsid w:val="00D27B4E"/>
    <w:rsid w:val="00D27B75"/>
    <w:rsid w:val="00D27E57"/>
    <w:rsid w:val="00D3042B"/>
    <w:rsid w:val="00D30538"/>
    <w:rsid w:val="00D3071B"/>
    <w:rsid w:val="00D31445"/>
    <w:rsid w:val="00D3167B"/>
    <w:rsid w:val="00D32536"/>
    <w:rsid w:val="00D328D1"/>
    <w:rsid w:val="00D32B7F"/>
    <w:rsid w:val="00D32E9E"/>
    <w:rsid w:val="00D32F32"/>
    <w:rsid w:val="00D32FD0"/>
    <w:rsid w:val="00D33B07"/>
    <w:rsid w:val="00D33CC3"/>
    <w:rsid w:val="00D33ED0"/>
    <w:rsid w:val="00D3413D"/>
    <w:rsid w:val="00D344C6"/>
    <w:rsid w:val="00D345B7"/>
    <w:rsid w:val="00D35396"/>
    <w:rsid w:val="00D353D6"/>
    <w:rsid w:val="00D35ADA"/>
    <w:rsid w:val="00D3715B"/>
    <w:rsid w:val="00D37A7E"/>
    <w:rsid w:val="00D37CB2"/>
    <w:rsid w:val="00D40877"/>
    <w:rsid w:val="00D40BCD"/>
    <w:rsid w:val="00D411F6"/>
    <w:rsid w:val="00D412A2"/>
    <w:rsid w:val="00D415F9"/>
    <w:rsid w:val="00D42931"/>
    <w:rsid w:val="00D432C2"/>
    <w:rsid w:val="00D437A3"/>
    <w:rsid w:val="00D43DC3"/>
    <w:rsid w:val="00D440DF"/>
    <w:rsid w:val="00D4413B"/>
    <w:rsid w:val="00D4433D"/>
    <w:rsid w:val="00D44AFD"/>
    <w:rsid w:val="00D44BA8"/>
    <w:rsid w:val="00D44F71"/>
    <w:rsid w:val="00D44F9C"/>
    <w:rsid w:val="00D455A6"/>
    <w:rsid w:val="00D455DE"/>
    <w:rsid w:val="00D459A5"/>
    <w:rsid w:val="00D465F1"/>
    <w:rsid w:val="00D46B53"/>
    <w:rsid w:val="00D47103"/>
    <w:rsid w:val="00D4750A"/>
    <w:rsid w:val="00D500B7"/>
    <w:rsid w:val="00D506C9"/>
    <w:rsid w:val="00D519F7"/>
    <w:rsid w:val="00D51EAC"/>
    <w:rsid w:val="00D5266F"/>
    <w:rsid w:val="00D540F6"/>
    <w:rsid w:val="00D544C7"/>
    <w:rsid w:val="00D54E1D"/>
    <w:rsid w:val="00D560AF"/>
    <w:rsid w:val="00D56434"/>
    <w:rsid w:val="00D565C3"/>
    <w:rsid w:val="00D565D1"/>
    <w:rsid w:val="00D56B0A"/>
    <w:rsid w:val="00D56C00"/>
    <w:rsid w:val="00D56DD6"/>
    <w:rsid w:val="00D5758B"/>
    <w:rsid w:val="00D5771C"/>
    <w:rsid w:val="00D57752"/>
    <w:rsid w:val="00D5791C"/>
    <w:rsid w:val="00D57F33"/>
    <w:rsid w:val="00D600CA"/>
    <w:rsid w:val="00D60191"/>
    <w:rsid w:val="00D60767"/>
    <w:rsid w:val="00D60A64"/>
    <w:rsid w:val="00D60C47"/>
    <w:rsid w:val="00D60D5B"/>
    <w:rsid w:val="00D610F8"/>
    <w:rsid w:val="00D61404"/>
    <w:rsid w:val="00D61562"/>
    <w:rsid w:val="00D61602"/>
    <w:rsid w:val="00D61655"/>
    <w:rsid w:val="00D6197E"/>
    <w:rsid w:val="00D61999"/>
    <w:rsid w:val="00D61BB6"/>
    <w:rsid w:val="00D61FD6"/>
    <w:rsid w:val="00D6218E"/>
    <w:rsid w:val="00D6223D"/>
    <w:rsid w:val="00D62A6C"/>
    <w:rsid w:val="00D62B8B"/>
    <w:rsid w:val="00D631DE"/>
    <w:rsid w:val="00D63240"/>
    <w:rsid w:val="00D633C1"/>
    <w:rsid w:val="00D656FD"/>
    <w:rsid w:val="00D65F39"/>
    <w:rsid w:val="00D66531"/>
    <w:rsid w:val="00D665B3"/>
    <w:rsid w:val="00D665FD"/>
    <w:rsid w:val="00D6682B"/>
    <w:rsid w:val="00D668F4"/>
    <w:rsid w:val="00D67B23"/>
    <w:rsid w:val="00D67C87"/>
    <w:rsid w:val="00D70081"/>
    <w:rsid w:val="00D7161B"/>
    <w:rsid w:val="00D71BFA"/>
    <w:rsid w:val="00D7218B"/>
    <w:rsid w:val="00D7288E"/>
    <w:rsid w:val="00D72D59"/>
    <w:rsid w:val="00D73D70"/>
    <w:rsid w:val="00D74281"/>
    <w:rsid w:val="00D744B9"/>
    <w:rsid w:val="00D7473A"/>
    <w:rsid w:val="00D74A4D"/>
    <w:rsid w:val="00D75124"/>
    <w:rsid w:val="00D76411"/>
    <w:rsid w:val="00D765FC"/>
    <w:rsid w:val="00D76765"/>
    <w:rsid w:val="00D76A7B"/>
    <w:rsid w:val="00D775AC"/>
    <w:rsid w:val="00D8048C"/>
    <w:rsid w:val="00D80518"/>
    <w:rsid w:val="00D80571"/>
    <w:rsid w:val="00D80755"/>
    <w:rsid w:val="00D808ED"/>
    <w:rsid w:val="00D80AEA"/>
    <w:rsid w:val="00D80BEF"/>
    <w:rsid w:val="00D812BC"/>
    <w:rsid w:val="00D819C0"/>
    <w:rsid w:val="00D81A94"/>
    <w:rsid w:val="00D81E26"/>
    <w:rsid w:val="00D82049"/>
    <w:rsid w:val="00D82F9A"/>
    <w:rsid w:val="00D83957"/>
    <w:rsid w:val="00D8515E"/>
    <w:rsid w:val="00D85AF3"/>
    <w:rsid w:val="00D85EAE"/>
    <w:rsid w:val="00D863C5"/>
    <w:rsid w:val="00D86804"/>
    <w:rsid w:val="00D869B9"/>
    <w:rsid w:val="00D86BC7"/>
    <w:rsid w:val="00D86C6B"/>
    <w:rsid w:val="00D870D7"/>
    <w:rsid w:val="00D87371"/>
    <w:rsid w:val="00D87452"/>
    <w:rsid w:val="00D87500"/>
    <w:rsid w:val="00D87801"/>
    <w:rsid w:val="00D87B29"/>
    <w:rsid w:val="00D9039B"/>
    <w:rsid w:val="00D90EFF"/>
    <w:rsid w:val="00D90F91"/>
    <w:rsid w:val="00D9186F"/>
    <w:rsid w:val="00D91D9E"/>
    <w:rsid w:val="00D91F3E"/>
    <w:rsid w:val="00D9244A"/>
    <w:rsid w:val="00D9245E"/>
    <w:rsid w:val="00D9274E"/>
    <w:rsid w:val="00D93FEA"/>
    <w:rsid w:val="00D94193"/>
    <w:rsid w:val="00D946D8"/>
    <w:rsid w:val="00D94FE2"/>
    <w:rsid w:val="00D95B95"/>
    <w:rsid w:val="00D95BFB"/>
    <w:rsid w:val="00D9602D"/>
    <w:rsid w:val="00D96124"/>
    <w:rsid w:val="00D9613B"/>
    <w:rsid w:val="00D9628D"/>
    <w:rsid w:val="00D96480"/>
    <w:rsid w:val="00D969E8"/>
    <w:rsid w:val="00D96B04"/>
    <w:rsid w:val="00D96BB3"/>
    <w:rsid w:val="00D976E2"/>
    <w:rsid w:val="00D97B6B"/>
    <w:rsid w:val="00DA018F"/>
    <w:rsid w:val="00DA04BB"/>
    <w:rsid w:val="00DA0648"/>
    <w:rsid w:val="00DA0866"/>
    <w:rsid w:val="00DA09CF"/>
    <w:rsid w:val="00DA1004"/>
    <w:rsid w:val="00DA1385"/>
    <w:rsid w:val="00DA18D2"/>
    <w:rsid w:val="00DA1A70"/>
    <w:rsid w:val="00DA244F"/>
    <w:rsid w:val="00DA398B"/>
    <w:rsid w:val="00DA39FE"/>
    <w:rsid w:val="00DA3B41"/>
    <w:rsid w:val="00DA4676"/>
    <w:rsid w:val="00DA48E6"/>
    <w:rsid w:val="00DA49D9"/>
    <w:rsid w:val="00DA4D97"/>
    <w:rsid w:val="00DA57EA"/>
    <w:rsid w:val="00DA5EF2"/>
    <w:rsid w:val="00DA602A"/>
    <w:rsid w:val="00DA60F7"/>
    <w:rsid w:val="00DA6475"/>
    <w:rsid w:val="00DA66FC"/>
    <w:rsid w:val="00DA6972"/>
    <w:rsid w:val="00DA6F1F"/>
    <w:rsid w:val="00DA76EE"/>
    <w:rsid w:val="00DA7B02"/>
    <w:rsid w:val="00DA7CAF"/>
    <w:rsid w:val="00DB073D"/>
    <w:rsid w:val="00DB0745"/>
    <w:rsid w:val="00DB086F"/>
    <w:rsid w:val="00DB10A9"/>
    <w:rsid w:val="00DB11BA"/>
    <w:rsid w:val="00DB1B6C"/>
    <w:rsid w:val="00DB1E6D"/>
    <w:rsid w:val="00DB2688"/>
    <w:rsid w:val="00DB29CB"/>
    <w:rsid w:val="00DB3978"/>
    <w:rsid w:val="00DB3B13"/>
    <w:rsid w:val="00DB4092"/>
    <w:rsid w:val="00DB43DB"/>
    <w:rsid w:val="00DB44F6"/>
    <w:rsid w:val="00DB4604"/>
    <w:rsid w:val="00DB4B0B"/>
    <w:rsid w:val="00DB4B2B"/>
    <w:rsid w:val="00DB4C45"/>
    <w:rsid w:val="00DB4D75"/>
    <w:rsid w:val="00DB50A7"/>
    <w:rsid w:val="00DB57B7"/>
    <w:rsid w:val="00DB586E"/>
    <w:rsid w:val="00DB67A9"/>
    <w:rsid w:val="00DB690E"/>
    <w:rsid w:val="00DB6F0F"/>
    <w:rsid w:val="00DB74CC"/>
    <w:rsid w:val="00DC033B"/>
    <w:rsid w:val="00DC1612"/>
    <w:rsid w:val="00DC1C56"/>
    <w:rsid w:val="00DC2B1D"/>
    <w:rsid w:val="00DC2FB0"/>
    <w:rsid w:val="00DC3092"/>
    <w:rsid w:val="00DC37EF"/>
    <w:rsid w:val="00DC38CA"/>
    <w:rsid w:val="00DC4AAB"/>
    <w:rsid w:val="00DC4DAD"/>
    <w:rsid w:val="00DC57E8"/>
    <w:rsid w:val="00DC5F15"/>
    <w:rsid w:val="00DC6F1A"/>
    <w:rsid w:val="00DC72B4"/>
    <w:rsid w:val="00DC7802"/>
    <w:rsid w:val="00DD028E"/>
    <w:rsid w:val="00DD136D"/>
    <w:rsid w:val="00DD1493"/>
    <w:rsid w:val="00DD1572"/>
    <w:rsid w:val="00DD15A6"/>
    <w:rsid w:val="00DD19C3"/>
    <w:rsid w:val="00DD1CC7"/>
    <w:rsid w:val="00DD1CD2"/>
    <w:rsid w:val="00DD1D5A"/>
    <w:rsid w:val="00DD249E"/>
    <w:rsid w:val="00DD26B3"/>
    <w:rsid w:val="00DD2FE0"/>
    <w:rsid w:val="00DD317D"/>
    <w:rsid w:val="00DD31C3"/>
    <w:rsid w:val="00DD3652"/>
    <w:rsid w:val="00DD3773"/>
    <w:rsid w:val="00DD3B3D"/>
    <w:rsid w:val="00DD43B0"/>
    <w:rsid w:val="00DD54B0"/>
    <w:rsid w:val="00DD56DA"/>
    <w:rsid w:val="00DD57BE"/>
    <w:rsid w:val="00DD60A8"/>
    <w:rsid w:val="00DD6A1F"/>
    <w:rsid w:val="00DD749F"/>
    <w:rsid w:val="00DD757B"/>
    <w:rsid w:val="00DD7D18"/>
    <w:rsid w:val="00DE0546"/>
    <w:rsid w:val="00DE05AD"/>
    <w:rsid w:val="00DE0F2C"/>
    <w:rsid w:val="00DE155B"/>
    <w:rsid w:val="00DE1FC6"/>
    <w:rsid w:val="00DE227B"/>
    <w:rsid w:val="00DE228A"/>
    <w:rsid w:val="00DE27E3"/>
    <w:rsid w:val="00DE3218"/>
    <w:rsid w:val="00DE344C"/>
    <w:rsid w:val="00DE3593"/>
    <w:rsid w:val="00DE3C39"/>
    <w:rsid w:val="00DE3D24"/>
    <w:rsid w:val="00DE4069"/>
    <w:rsid w:val="00DE4D74"/>
    <w:rsid w:val="00DE4E17"/>
    <w:rsid w:val="00DE50D6"/>
    <w:rsid w:val="00DE602D"/>
    <w:rsid w:val="00DE6467"/>
    <w:rsid w:val="00DE6CC3"/>
    <w:rsid w:val="00DE7645"/>
    <w:rsid w:val="00DE7706"/>
    <w:rsid w:val="00DE79BE"/>
    <w:rsid w:val="00DE7D9F"/>
    <w:rsid w:val="00DF031E"/>
    <w:rsid w:val="00DF03EA"/>
    <w:rsid w:val="00DF091E"/>
    <w:rsid w:val="00DF0954"/>
    <w:rsid w:val="00DF09F3"/>
    <w:rsid w:val="00DF1387"/>
    <w:rsid w:val="00DF1BD7"/>
    <w:rsid w:val="00DF2255"/>
    <w:rsid w:val="00DF25F2"/>
    <w:rsid w:val="00DF2D63"/>
    <w:rsid w:val="00DF2E60"/>
    <w:rsid w:val="00DF3566"/>
    <w:rsid w:val="00DF35A7"/>
    <w:rsid w:val="00DF3996"/>
    <w:rsid w:val="00DF455A"/>
    <w:rsid w:val="00DF4BA8"/>
    <w:rsid w:val="00DF5828"/>
    <w:rsid w:val="00DF5938"/>
    <w:rsid w:val="00DF6DAB"/>
    <w:rsid w:val="00DF6E01"/>
    <w:rsid w:val="00DF7359"/>
    <w:rsid w:val="00DF738D"/>
    <w:rsid w:val="00DF7608"/>
    <w:rsid w:val="00DF76DF"/>
    <w:rsid w:val="00DF7A4B"/>
    <w:rsid w:val="00DF7F0E"/>
    <w:rsid w:val="00E016A3"/>
    <w:rsid w:val="00E01A8E"/>
    <w:rsid w:val="00E024BC"/>
    <w:rsid w:val="00E026E2"/>
    <w:rsid w:val="00E040A6"/>
    <w:rsid w:val="00E04BE7"/>
    <w:rsid w:val="00E04F8B"/>
    <w:rsid w:val="00E05112"/>
    <w:rsid w:val="00E05187"/>
    <w:rsid w:val="00E055D4"/>
    <w:rsid w:val="00E058DC"/>
    <w:rsid w:val="00E06AD7"/>
    <w:rsid w:val="00E071CB"/>
    <w:rsid w:val="00E078FB"/>
    <w:rsid w:val="00E079C6"/>
    <w:rsid w:val="00E079DC"/>
    <w:rsid w:val="00E1023A"/>
    <w:rsid w:val="00E1044D"/>
    <w:rsid w:val="00E1045E"/>
    <w:rsid w:val="00E11AED"/>
    <w:rsid w:val="00E11B06"/>
    <w:rsid w:val="00E11D6A"/>
    <w:rsid w:val="00E13044"/>
    <w:rsid w:val="00E132F9"/>
    <w:rsid w:val="00E13A40"/>
    <w:rsid w:val="00E13DDE"/>
    <w:rsid w:val="00E13F36"/>
    <w:rsid w:val="00E1461A"/>
    <w:rsid w:val="00E14BD0"/>
    <w:rsid w:val="00E14E17"/>
    <w:rsid w:val="00E14FC2"/>
    <w:rsid w:val="00E1540D"/>
    <w:rsid w:val="00E15549"/>
    <w:rsid w:val="00E15F44"/>
    <w:rsid w:val="00E16066"/>
    <w:rsid w:val="00E161FF"/>
    <w:rsid w:val="00E170AF"/>
    <w:rsid w:val="00E17206"/>
    <w:rsid w:val="00E17395"/>
    <w:rsid w:val="00E175E1"/>
    <w:rsid w:val="00E20140"/>
    <w:rsid w:val="00E20C6D"/>
    <w:rsid w:val="00E21570"/>
    <w:rsid w:val="00E21CDE"/>
    <w:rsid w:val="00E21CF9"/>
    <w:rsid w:val="00E2202B"/>
    <w:rsid w:val="00E2203F"/>
    <w:rsid w:val="00E22446"/>
    <w:rsid w:val="00E2265F"/>
    <w:rsid w:val="00E2397A"/>
    <w:rsid w:val="00E243F9"/>
    <w:rsid w:val="00E24AAA"/>
    <w:rsid w:val="00E24BC9"/>
    <w:rsid w:val="00E250CE"/>
    <w:rsid w:val="00E2538C"/>
    <w:rsid w:val="00E2552A"/>
    <w:rsid w:val="00E257B3"/>
    <w:rsid w:val="00E25907"/>
    <w:rsid w:val="00E25BFD"/>
    <w:rsid w:val="00E25F90"/>
    <w:rsid w:val="00E2613B"/>
    <w:rsid w:val="00E2691A"/>
    <w:rsid w:val="00E26FB4"/>
    <w:rsid w:val="00E273BF"/>
    <w:rsid w:val="00E27F66"/>
    <w:rsid w:val="00E302BA"/>
    <w:rsid w:val="00E30852"/>
    <w:rsid w:val="00E30C76"/>
    <w:rsid w:val="00E317B8"/>
    <w:rsid w:val="00E3214C"/>
    <w:rsid w:val="00E32430"/>
    <w:rsid w:val="00E32C0F"/>
    <w:rsid w:val="00E32C23"/>
    <w:rsid w:val="00E32F71"/>
    <w:rsid w:val="00E330DA"/>
    <w:rsid w:val="00E33DA2"/>
    <w:rsid w:val="00E34176"/>
    <w:rsid w:val="00E345BF"/>
    <w:rsid w:val="00E34C03"/>
    <w:rsid w:val="00E34D5F"/>
    <w:rsid w:val="00E34D68"/>
    <w:rsid w:val="00E36926"/>
    <w:rsid w:val="00E3695E"/>
    <w:rsid w:val="00E36AA9"/>
    <w:rsid w:val="00E37061"/>
    <w:rsid w:val="00E37091"/>
    <w:rsid w:val="00E3793C"/>
    <w:rsid w:val="00E4024D"/>
    <w:rsid w:val="00E4090B"/>
    <w:rsid w:val="00E40929"/>
    <w:rsid w:val="00E40D15"/>
    <w:rsid w:val="00E40F83"/>
    <w:rsid w:val="00E41044"/>
    <w:rsid w:val="00E42377"/>
    <w:rsid w:val="00E42493"/>
    <w:rsid w:val="00E4291B"/>
    <w:rsid w:val="00E435A9"/>
    <w:rsid w:val="00E43DA9"/>
    <w:rsid w:val="00E444CD"/>
    <w:rsid w:val="00E4478C"/>
    <w:rsid w:val="00E448BC"/>
    <w:rsid w:val="00E44917"/>
    <w:rsid w:val="00E4499B"/>
    <w:rsid w:val="00E44F2C"/>
    <w:rsid w:val="00E454F1"/>
    <w:rsid w:val="00E45516"/>
    <w:rsid w:val="00E45B0B"/>
    <w:rsid w:val="00E468D0"/>
    <w:rsid w:val="00E46AD2"/>
    <w:rsid w:val="00E46D72"/>
    <w:rsid w:val="00E47335"/>
    <w:rsid w:val="00E50381"/>
    <w:rsid w:val="00E50812"/>
    <w:rsid w:val="00E50AE6"/>
    <w:rsid w:val="00E50CDF"/>
    <w:rsid w:val="00E5115C"/>
    <w:rsid w:val="00E5295A"/>
    <w:rsid w:val="00E53BF3"/>
    <w:rsid w:val="00E54E5C"/>
    <w:rsid w:val="00E54F28"/>
    <w:rsid w:val="00E55122"/>
    <w:rsid w:val="00E5595A"/>
    <w:rsid w:val="00E55C70"/>
    <w:rsid w:val="00E55D25"/>
    <w:rsid w:val="00E567BA"/>
    <w:rsid w:val="00E5697B"/>
    <w:rsid w:val="00E56A2D"/>
    <w:rsid w:val="00E571A3"/>
    <w:rsid w:val="00E57272"/>
    <w:rsid w:val="00E57B8D"/>
    <w:rsid w:val="00E57CF5"/>
    <w:rsid w:val="00E57EF0"/>
    <w:rsid w:val="00E601F6"/>
    <w:rsid w:val="00E60912"/>
    <w:rsid w:val="00E609B7"/>
    <w:rsid w:val="00E60BEC"/>
    <w:rsid w:val="00E60FF1"/>
    <w:rsid w:val="00E616F2"/>
    <w:rsid w:val="00E627C5"/>
    <w:rsid w:val="00E634A5"/>
    <w:rsid w:val="00E63DDE"/>
    <w:rsid w:val="00E64137"/>
    <w:rsid w:val="00E647F8"/>
    <w:rsid w:val="00E64AF9"/>
    <w:rsid w:val="00E64CB1"/>
    <w:rsid w:val="00E6582C"/>
    <w:rsid w:val="00E65CE3"/>
    <w:rsid w:val="00E65D64"/>
    <w:rsid w:val="00E66BEB"/>
    <w:rsid w:val="00E66EE8"/>
    <w:rsid w:val="00E6701B"/>
    <w:rsid w:val="00E673F9"/>
    <w:rsid w:val="00E67718"/>
    <w:rsid w:val="00E67885"/>
    <w:rsid w:val="00E67A6A"/>
    <w:rsid w:val="00E67AD3"/>
    <w:rsid w:val="00E70016"/>
    <w:rsid w:val="00E702C2"/>
    <w:rsid w:val="00E70354"/>
    <w:rsid w:val="00E70B0E"/>
    <w:rsid w:val="00E71CF1"/>
    <w:rsid w:val="00E71F4A"/>
    <w:rsid w:val="00E73002"/>
    <w:rsid w:val="00E73032"/>
    <w:rsid w:val="00E735B8"/>
    <w:rsid w:val="00E7434F"/>
    <w:rsid w:val="00E743CD"/>
    <w:rsid w:val="00E7460A"/>
    <w:rsid w:val="00E74629"/>
    <w:rsid w:val="00E74D80"/>
    <w:rsid w:val="00E74DC5"/>
    <w:rsid w:val="00E753D7"/>
    <w:rsid w:val="00E7545B"/>
    <w:rsid w:val="00E7566F"/>
    <w:rsid w:val="00E75BB4"/>
    <w:rsid w:val="00E75E24"/>
    <w:rsid w:val="00E7693B"/>
    <w:rsid w:val="00E769B0"/>
    <w:rsid w:val="00E76DD5"/>
    <w:rsid w:val="00E77136"/>
    <w:rsid w:val="00E775EC"/>
    <w:rsid w:val="00E779DC"/>
    <w:rsid w:val="00E77D74"/>
    <w:rsid w:val="00E77D79"/>
    <w:rsid w:val="00E8042C"/>
    <w:rsid w:val="00E80777"/>
    <w:rsid w:val="00E80790"/>
    <w:rsid w:val="00E808C2"/>
    <w:rsid w:val="00E8099C"/>
    <w:rsid w:val="00E80EFB"/>
    <w:rsid w:val="00E818C7"/>
    <w:rsid w:val="00E819D5"/>
    <w:rsid w:val="00E81D62"/>
    <w:rsid w:val="00E8233A"/>
    <w:rsid w:val="00E8237F"/>
    <w:rsid w:val="00E82D19"/>
    <w:rsid w:val="00E831A5"/>
    <w:rsid w:val="00E831ED"/>
    <w:rsid w:val="00E8339E"/>
    <w:rsid w:val="00E8365D"/>
    <w:rsid w:val="00E836CD"/>
    <w:rsid w:val="00E8376F"/>
    <w:rsid w:val="00E83F94"/>
    <w:rsid w:val="00E842B1"/>
    <w:rsid w:val="00E84CC4"/>
    <w:rsid w:val="00E85013"/>
    <w:rsid w:val="00E8509E"/>
    <w:rsid w:val="00E852DC"/>
    <w:rsid w:val="00E86151"/>
    <w:rsid w:val="00E87273"/>
    <w:rsid w:val="00E879B1"/>
    <w:rsid w:val="00E87AF4"/>
    <w:rsid w:val="00E91221"/>
    <w:rsid w:val="00E91586"/>
    <w:rsid w:val="00E91648"/>
    <w:rsid w:val="00E91780"/>
    <w:rsid w:val="00E91823"/>
    <w:rsid w:val="00E9205E"/>
    <w:rsid w:val="00E92B28"/>
    <w:rsid w:val="00E92CBD"/>
    <w:rsid w:val="00E92D14"/>
    <w:rsid w:val="00E92FB4"/>
    <w:rsid w:val="00E93A44"/>
    <w:rsid w:val="00E946D3"/>
    <w:rsid w:val="00E94A09"/>
    <w:rsid w:val="00E94CFF"/>
    <w:rsid w:val="00E9528B"/>
    <w:rsid w:val="00E952B4"/>
    <w:rsid w:val="00E95CB2"/>
    <w:rsid w:val="00E95D5A"/>
    <w:rsid w:val="00E96914"/>
    <w:rsid w:val="00E96B7C"/>
    <w:rsid w:val="00E96D9C"/>
    <w:rsid w:val="00E96DE5"/>
    <w:rsid w:val="00E972E1"/>
    <w:rsid w:val="00E979A0"/>
    <w:rsid w:val="00E97E05"/>
    <w:rsid w:val="00E97EE8"/>
    <w:rsid w:val="00E97FC2"/>
    <w:rsid w:val="00E97FDF"/>
    <w:rsid w:val="00EA010D"/>
    <w:rsid w:val="00EA01A6"/>
    <w:rsid w:val="00EA0210"/>
    <w:rsid w:val="00EA0983"/>
    <w:rsid w:val="00EA0A69"/>
    <w:rsid w:val="00EA0CCF"/>
    <w:rsid w:val="00EA0ED6"/>
    <w:rsid w:val="00EA0FC6"/>
    <w:rsid w:val="00EA1F6B"/>
    <w:rsid w:val="00EA2017"/>
    <w:rsid w:val="00EA23A3"/>
    <w:rsid w:val="00EA24FC"/>
    <w:rsid w:val="00EA2547"/>
    <w:rsid w:val="00EA398C"/>
    <w:rsid w:val="00EA3C76"/>
    <w:rsid w:val="00EA4753"/>
    <w:rsid w:val="00EA4BDE"/>
    <w:rsid w:val="00EA5143"/>
    <w:rsid w:val="00EA57D6"/>
    <w:rsid w:val="00EA5802"/>
    <w:rsid w:val="00EA584D"/>
    <w:rsid w:val="00EA6180"/>
    <w:rsid w:val="00EA6587"/>
    <w:rsid w:val="00EA69CB"/>
    <w:rsid w:val="00EA7511"/>
    <w:rsid w:val="00EA7969"/>
    <w:rsid w:val="00EA7C50"/>
    <w:rsid w:val="00EA7F35"/>
    <w:rsid w:val="00EB0400"/>
    <w:rsid w:val="00EB081E"/>
    <w:rsid w:val="00EB0961"/>
    <w:rsid w:val="00EB0BC0"/>
    <w:rsid w:val="00EB0EDA"/>
    <w:rsid w:val="00EB0F92"/>
    <w:rsid w:val="00EB1201"/>
    <w:rsid w:val="00EB18F6"/>
    <w:rsid w:val="00EB1C0E"/>
    <w:rsid w:val="00EB2556"/>
    <w:rsid w:val="00EB2BBA"/>
    <w:rsid w:val="00EB2D7E"/>
    <w:rsid w:val="00EB2F21"/>
    <w:rsid w:val="00EB2F23"/>
    <w:rsid w:val="00EB2F35"/>
    <w:rsid w:val="00EB2FF9"/>
    <w:rsid w:val="00EB307D"/>
    <w:rsid w:val="00EB3131"/>
    <w:rsid w:val="00EB3E05"/>
    <w:rsid w:val="00EB42EF"/>
    <w:rsid w:val="00EB4BCB"/>
    <w:rsid w:val="00EB4FB6"/>
    <w:rsid w:val="00EB506F"/>
    <w:rsid w:val="00EB51B2"/>
    <w:rsid w:val="00EB531A"/>
    <w:rsid w:val="00EB5347"/>
    <w:rsid w:val="00EB55D0"/>
    <w:rsid w:val="00EB5A99"/>
    <w:rsid w:val="00EB5B51"/>
    <w:rsid w:val="00EB6246"/>
    <w:rsid w:val="00EB6761"/>
    <w:rsid w:val="00EB6773"/>
    <w:rsid w:val="00EB6C30"/>
    <w:rsid w:val="00EB6C69"/>
    <w:rsid w:val="00EB6D30"/>
    <w:rsid w:val="00EB7512"/>
    <w:rsid w:val="00EB7969"/>
    <w:rsid w:val="00EB7F44"/>
    <w:rsid w:val="00EC03E0"/>
    <w:rsid w:val="00EC0BD5"/>
    <w:rsid w:val="00EC0EA6"/>
    <w:rsid w:val="00EC101C"/>
    <w:rsid w:val="00EC172A"/>
    <w:rsid w:val="00EC1872"/>
    <w:rsid w:val="00EC1EBA"/>
    <w:rsid w:val="00EC1F7D"/>
    <w:rsid w:val="00EC2A14"/>
    <w:rsid w:val="00EC2CFF"/>
    <w:rsid w:val="00EC30E6"/>
    <w:rsid w:val="00EC311F"/>
    <w:rsid w:val="00EC3158"/>
    <w:rsid w:val="00EC3744"/>
    <w:rsid w:val="00EC3A36"/>
    <w:rsid w:val="00EC4769"/>
    <w:rsid w:val="00EC4A72"/>
    <w:rsid w:val="00EC4BC9"/>
    <w:rsid w:val="00EC4ED7"/>
    <w:rsid w:val="00EC62B4"/>
    <w:rsid w:val="00EC6914"/>
    <w:rsid w:val="00EC6A03"/>
    <w:rsid w:val="00EC6B8E"/>
    <w:rsid w:val="00EC6BE6"/>
    <w:rsid w:val="00EC7AC1"/>
    <w:rsid w:val="00ED02CE"/>
    <w:rsid w:val="00ED0A3B"/>
    <w:rsid w:val="00ED0B4B"/>
    <w:rsid w:val="00ED0C16"/>
    <w:rsid w:val="00ED0E48"/>
    <w:rsid w:val="00ED0E6E"/>
    <w:rsid w:val="00ED1549"/>
    <w:rsid w:val="00ED1AD6"/>
    <w:rsid w:val="00ED2A12"/>
    <w:rsid w:val="00ED328F"/>
    <w:rsid w:val="00ED351B"/>
    <w:rsid w:val="00ED38E9"/>
    <w:rsid w:val="00ED4CE4"/>
    <w:rsid w:val="00ED506D"/>
    <w:rsid w:val="00ED51E3"/>
    <w:rsid w:val="00ED58E5"/>
    <w:rsid w:val="00ED5F0E"/>
    <w:rsid w:val="00ED6605"/>
    <w:rsid w:val="00ED6697"/>
    <w:rsid w:val="00ED68B9"/>
    <w:rsid w:val="00ED6AFB"/>
    <w:rsid w:val="00ED6CF5"/>
    <w:rsid w:val="00ED77EA"/>
    <w:rsid w:val="00ED7C2A"/>
    <w:rsid w:val="00ED7DD1"/>
    <w:rsid w:val="00ED7E2D"/>
    <w:rsid w:val="00EE2316"/>
    <w:rsid w:val="00EE23C6"/>
    <w:rsid w:val="00EE240D"/>
    <w:rsid w:val="00EE34AB"/>
    <w:rsid w:val="00EE38AD"/>
    <w:rsid w:val="00EE400E"/>
    <w:rsid w:val="00EE45CE"/>
    <w:rsid w:val="00EE4657"/>
    <w:rsid w:val="00EE4DF8"/>
    <w:rsid w:val="00EE4EC9"/>
    <w:rsid w:val="00EE5571"/>
    <w:rsid w:val="00EE5727"/>
    <w:rsid w:val="00EE60C2"/>
    <w:rsid w:val="00EE63E9"/>
    <w:rsid w:val="00EE6B20"/>
    <w:rsid w:val="00EE780A"/>
    <w:rsid w:val="00EF0885"/>
    <w:rsid w:val="00EF0C2B"/>
    <w:rsid w:val="00EF0E32"/>
    <w:rsid w:val="00EF138F"/>
    <w:rsid w:val="00EF1C9D"/>
    <w:rsid w:val="00EF1D53"/>
    <w:rsid w:val="00EF3192"/>
    <w:rsid w:val="00EF31B9"/>
    <w:rsid w:val="00EF34D8"/>
    <w:rsid w:val="00EF3590"/>
    <w:rsid w:val="00EF3860"/>
    <w:rsid w:val="00EF3FDA"/>
    <w:rsid w:val="00EF4540"/>
    <w:rsid w:val="00EF4F59"/>
    <w:rsid w:val="00EF504F"/>
    <w:rsid w:val="00EF5123"/>
    <w:rsid w:val="00EF522A"/>
    <w:rsid w:val="00EF529D"/>
    <w:rsid w:val="00EF5670"/>
    <w:rsid w:val="00EF5D89"/>
    <w:rsid w:val="00EF645C"/>
    <w:rsid w:val="00EF674B"/>
    <w:rsid w:val="00EF68E4"/>
    <w:rsid w:val="00EF6A1E"/>
    <w:rsid w:val="00EF6B9B"/>
    <w:rsid w:val="00EF6D28"/>
    <w:rsid w:val="00EF75DF"/>
    <w:rsid w:val="00EF7BD2"/>
    <w:rsid w:val="00F00211"/>
    <w:rsid w:val="00F00A8A"/>
    <w:rsid w:val="00F00B57"/>
    <w:rsid w:val="00F00CBE"/>
    <w:rsid w:val="00F012B7"/>
    <w:rsid w:val="00F01327"/>
    <w:rsid w:val="00F01501"/>
    <w:rsid w:val="00F01F7F"/>
    <w:rsid w:val="00F02104"/>
    <w:rsid w:val="00F0279C"/>
    <w:rsid w:val="00F02A44"/>
    <w:rsid w:val="00F02F93"/>
    <w:rsid w:val="00F02FC3"/>
    <w:rsid w:val="00F03423"/>
    <w:rsid w:val="00F03609"/>
    <w:rsid w:val="00F03860"/>
    <w:rsid w:val="00F03911"/>
    <w:rsid w:val="00F03A5D"/>
    <w:rsid w:val="00F042CF"/>
    <w:rsid w:val="00F049C6"/>
    <w:rsid w:val="00F04D5E"/>
    <w:rsid w:val="00F04D82"/>
    <w:rsid w:val="00F04DF7"/>
    <w:rsid w:val="00F050D2"/>
    <w:rsid w:val="00F05751"/>
    <w:rsid w:val="00F057BB"/>
    <w:rsid w:val="00F05C0B"/>
    <w:rsid w:val="00F06351"/>
    <w:rsid w:val="00F06801"/>
    <w:rsid w:val="00F07376"/>
    <w:rsid w:val="00F073B4"/>
    <w:rsid w:val="00F10013"/>
    <w:rsid w:val="00F10450"/>
    <w:rsid w:val="00F1070E"/>
    <w:rsid w:val="00F110B4"/>
    <w:rsid w:val="00F11493"/>
    <w:rsid w:val="00F114B0"/>
    <w:rsid w:val="00F11789"/>
    <w:rsid w:val="00F11C77"/>
    <w:rsid w:val="00F11E81"/>
    <w:rsid w:val="00F1246B"/>
    <w:rsid w:val="00F1290F"/>
    <w:rsid w:val="00F12C1D"/>
    <w:rsid w:val="00F12D62"/>
    <w:rsid w:val="00F12D75"/>
    <w:rsid w:val="00F130AA"/>
    <w:rsid w:val="00F133EE"/>
    <w:rsid w:val="00F13893"/>
    <w:rsid w:val="00F13C4B"/>
    <w:rsid w:val="00F13D0C"/>
    <w:rsid w:val="00F13D0F"/>
    <w:rsid w:val="00F13F1B"/>
    <w:rsid w:val="00F140DF"/>
    <w:rsid w:val="00F1447E"/>
    <w:rsid w:val="00F1507E"/>
    <w:rsid w:val="00F151CB"/>
    <w:rsid w:val="00F15A42"/>
    <w:rsid w:val="00F168F7"/>
    <w:rsid w:val="00F16F70"/>
    <w:rsid w:val="00F17279"/>
    <w:rsid w:val="00F176B5"/>
    <w:rsid w:val="00F2060E"/>
    <w:rsid w:val="00F20810"/>
    <w:rsid w:val="00F20BD9"/>
    <w:rsid w:val="00F20DC3"/>
    <w:rsid w:val="00F21E75"/>
    <w:rsid w:val="00F2214A"/>
    <w:rsid w:val="00F22644"/>
    <w:rsid w:val="00F22BC9"/>
    <w:rsid w:val="00F22D05"/>
    <w:rsid w:val="00F22DF5"/>
    <w:rsid w:val="00F230A8"/>
    <w:rsid w:val="00F23121"/>
    <w:rsid w:val="00F234F2"/>
    <w:rsid w:val="00F23799"/>
    <w:rsid w:val="00F2446F"/>
    <w:rsid w:val="00F2456D"/>
    <w:rsid w:val="00F24879"/>
    <w:rsid w:val="00F25293"/>
    <w:rsid w:val="00F252A2"/>
    <w:rsid w:val="00F258ED"/>
    <w:rsid w:val="00F26C1F"/>
    <w:rsid w:val="00F27180"/>
    <w:rsid w:val="00F271DA"/>
    <w:rsid w:val="00F27546"/>
    <w:rsid w:val="00F277CE"/>
    <w:rsid w:val="00F27847"/>
    <w:rsid w:val="00F27F04"/>
    <w:rsid w:val="00F302F0"/>
    <w:rsid w:val="00F302F2"/>
    <w:rsid w:val="00F308E7"/>
    <w:rsid w:val="00F312AF"/>
    <w:rsid w:val="00F32646"/>
    <w:rsid w:val="00F32D2C"/>
    <w:rsid w:val="00F32F8C"/>
    <w:rsid w:val="00F330FC"/>
    <w:rsid w:val="00F333A4"/>
    <w:rsid w:val="00F3346F"/>
    <w:rsid w:val="00F33CCC"/>
    <w:rsid w:val="00F33E33"/>
    <w:rsid w:val="00F3414E"/>
    <w:rsid w:val="00F344DF"/>
    <w:rsid w:val="00F3524B"/>
    <w:rsid w:val="00F3604A"/>
    <w:rsid w:val="00F369FA"/>
    <w:rsid w:val="00F36D13"/>
    <w:rsid w:val="00F37D4D"/>
    <w:rsid w:val="00F37EE3"/>
    <w:rsid w:val="00F4023B"/>
    <w:rsid w:val="00F4061D"/>
    <w:rsid w:val="00F41742"/>
    <w:rsid w:val="00F41879"/>
    <w:rsid w:val="00F426FE"/>
    <w:rsid w:val="00F4288D"/>
    <w:rsid w:val="00F42C4E"/>
    <w:rsid w:val="00F43295"/>
    <w:rsid w:val="00F43DFA"/>
    <w:rsid w:val="00F43DFD"/>
    <w:rsid w:val="00F43F5A"/>
    <w:rsid w:val="00F43F62"/>
    <w:rsid w:val="00F44042"/>
    <w:rsid w:val="00F45D05"/>
    <w:rsid w:val="00F45D35"/>
    <w:rsid w:val="00F464ED"/>
    <w:rsid w:val="00F46BE2"/>
    <w:rsid w:val="00F46D7C"/>
    <w:rsid w:val="00F474BB"/>
    <w:rsid w:val="00F47CAD"/>
    <w:rsid w:val="00F47E5B"/>
    <w:rsid w:val="00F504D1"/>
    <w:rsid w:val="00F5063D"/>
    <w:rsid w:val="00F50C21"/>
    <w:rsid w:val="00F50FD8"/>
    <w:rsid w:val="00F513E3"/>
    <w:rsid w:val="00F513E5"/>
    <w:rsid w:val="00F5176D"/>
    <w:rsid w:val="00F51EB3"/>
    <w:rsid w:val="00F52121"/>
    <w:rsid w:val="00F52967"/>
    <w:rsid w:val="00F52FD4"/>
    <w:rsid w:val="00F534DC"/>
    <w:rsid w:val="00F53561"/>
    <w:rsid w:val="00F5399D"/>
    <w:rsid w:val="00F53DC8"/>
    <w:rsid w:val="00F5421C"/>
    <w:rsid w:val="00F54311"/>
    <w:rsid w:val="00F54B39"/>
    <w:rsid w:val="00F54D11"/>
    <w:rsid w:val="00F54E9F"/>
    <w:rsid w:val="00F55CA8"/>
    <w:rsid w:val="00F55E37"/>
    <w:rsid w:val="00F564C7"/>
    <w:rsid w:val="00F569C3"/>
    <w:rsid w:val="00F56AC4"/>
    <w:rsid w:val="00F56B42"/>
    <w:rsid w:val="00F56B8C"/>
    <w:rsid w:val="00F56F2B"/>
    <w:rsid w:val="00F5741C"/>
    <w:rsid w:val="00F57629"/>
    <w:rsid w:val="00F57926"/>
    <w:rsid w:val="00F579B3"/>
    <w:rsid w:val="00F57B3F"/>
    <w:rsid w:val="00F57D39"/>
    <w:rsid w:val="00F60865"/>
    <w:rsid w:val="00F611BA"/>
    <w:rsid w:val="00F6153F"/>
    <w:rsid w:val="00F615F5"/>
    <w:rsid w:val="00F618AC"/>
    <w:rsid w:val="00F618C5"/>
    <w:rsid w:val="00F61C80"/>
    <w:rsid w:val="00F62D5A"/>
    <w:rsid w:val="00F63535"/>
    <w:rsid w:val="00F63DF6"/>
    <w:rsid w:val="00F64202"/>
    <w:rsid w:val="00F642B8"/>
    <w:rsid w:val="00F64664"/>
    <w:rsid w:val="00F6488B"/>
    <w:rsid w:val="00F64CA1"/>
    <w:rsid w:val="00F6513C"/>
    <w:rsid w:val="00F657CD"/>
    <w:rsid w:val="00F6604E"/>
    <w:rsid w:val="00F667DA"/>
    <w:rsid w:val="00F668DD"/>
    <w:rsid w:val="00F66A23"/>
    <w:rsid w:val="00F677B6"/>
    <w:rsid w:val="00F67D96"/>
    <w:rsid w:val="00F70767"/>
    <w:rsid w:val="00F70823"/>
    <w:rsid w:val="00F70961"/>
    <w:rsid w:val="00F70AD5"/>
    <w:rsid w:val="00F718B8"/>
    <w:rsid w:val="00F719A3"/>
    <w:rsid w:val="00F726D3"/>
    <w:rsid w:val="00F72C27"/>
    <w:rsid w:val="00F738DF"/>
    <w:rsid w:val="00F73B35"/>
    <w:rsid w:val="00F73DBB"/>
    <w:rsid w:val="00F73E2B"/>
    <w:rsid w:val="00F73F1E"/>
    <w:rsid w:val="00F745EE"/>
    <w:rsid w:val="00F75BD0"/>
    <w:rsid w:val="00F75C5F"/>
    <w:rsid w:val="00F76301"/>
    <w:rsid w:val="00F766AC"/>
    <w:rsid w:val="00F767E5"/>
    <w:rsid w:val="00F76D97"/>
    <w:rsid w:val="00F76FB6"/>
    <w:rsid w:val="00F77371"/>
    <w:rsid w:val="00F773D6"/>
    <w:rsid w:val="00F775BD"/>
    <w:rsid w:val="00F77CB3"/>
    <w:rsid w:val="00F77F9E"/>
    <w:rsid w:val="00F8038F"/>
    <w:rsid w:val="00F808F9"/>
    <w:rsid w:val="00F80D83"/>
    <w:rsid w:val="00F814D9"/>
    <w:rsid w:val="00F829BC"/>
    <w:rsid w:val="00F82E22"/>
    <w:rsid w:val="00F82FCB"/>
    <w:rsid w:val="00F839F5"/>
    <w:rsid w:val="00F83B46"/>
    <w:rsid w:val="00F843BD"/>
    <w:rsid w:val="00F8483B"/>
    <w:rsid w:val="00F86285"/>
    <w:rsid w:val="00F86509"/>
    <w:rsid w:val="00F865D2"/>
    <w:rsid w:val="00F868B6"/>
    <w:rsid w:val="00F86F7B"/>
    <w:rsid w:val="00F87657"/>
    <w:rsid w:val="00F90596"/>
    <w:rsid w:val="00F9159B"/>
    <w:rsid w:val="00F91B85"/>
    <w:rsid w:val="00F92066"/>
    <w:rsid w:val="00F924AB"/>
    <w:rsid w:val="00F92586"/>
    <w:rsid w:val="00F932F3"/>
    <w:rsid w:val="00F9341D"/>
    <w:rsid w:val="00F93A45"/>
    <w:rsid w:val="00F93D39"/>
    <w:rsid w:val="00F93F12"/>
    <w:rsid w:val="00F94361"/>
    <w:rsid w:val="00F949F8"/>
    <w:rsid w:val="00F95288"/>
    <w:rsid w:val="00F95528"/>
    <w:rsid w:val="00F96335"/>
    <w:rsid w:val="00F96719"/>
    <w:rsid w:val="00FA0EAF"/>
    <w:rsid w:val="00FA2C40"/>
    <w:rsid w:val="00FA337E"/>
    <w:rsid w:val="00FA3633"/>
    <w:rsid w:val="00FA3889"/>
    <w:rsid w:val="00FA396F"/>
    <w:rsid w:val="00FA3AAC"/>
    <w:rsid w:val="00FA4FBE"/>
    <w:rsid w:val="00FA50A2"/>
    <w:rsid w:val="00FA60C6"/>
    <w:rsid w:val="00FA6F01"/>
    <w:rsid w:val="00FA6FE2"/>
    <w:rsid w:val="00FA7619"/>
    <w:rsid w:val="00FA79F2"/>
    <w:rsid w:val="00FA7C9F"/>
    <w:rsid w:val="00FA7CC5"/>
    <w:rsid w:val="00FB0134"/>
    <w:rsid w:val="00FB028E"/>
    <w:rsid w:val="00FB0654"/>
    <w:rsid w:val="00FB0681"/>
    <w:rsid w:val="00FB082D"/>
    <w:rsid w:val="00FB099C"/>
    <w:rsid w:val="00FB16AF"/>
    <w:rsid w:val="00FB1729"/>
    <w:rsid w:val="00FB1AF1"/>
    <w:rsid w:val="00FB1F23"/>
    <w:rsid w:val="00FB2363"/>
    <w:rsid w:val="00FB2664"/>
    <w:rsid w:val="00FB2B8C"/>
    <w:rsid w:val="00FB2BDA"/>
    <w:rsid w:val="00FB2E3F"/>
    <w:rsid w:val="00FB373D"/>
    <w:rsid w:val="00FB38E0"/>
    <w:rsid w:val="00FB4415"/>
    <w:rsid w:val="00FB460C"/>
    <w:rsid w:val="00FB49EE"/>
    <w:rsid w:val="00FB732E"/>
    <w:rsid w:val="00FC0306"/>
    <w:rsid w:val="00FC0B3D"/>
    <w:rsid w:val="00FC0C54"/>
    <w:rsid w:val="00FC0F57"/>
    <w:rsid w:val="00FC1097"/>
    <w:rsid w:val="00FC127F"/>
    <w:rsid w:val="00FC2823"/>
    <w:rsid w:val="00FC29FB"/>
    <w:rsid w:val="00FC2D86"/>
    <w:rsid w:val="00FC2E6B"/>
    <w:rsid w:val="00FC3009"/>
    <w:rsid w:val="00FC303D"/>
    <w:rsid w:val="00FC33D4"/>
    <w:rsid w:val="00FC357C"/>
    <w:rsid w:val="00FC3B1A"/>
    <w:rsid w:val="00FC3B65"/>
    <w:rsid w:val="00FC3D42"/>
    <w:rsid w:val="00FC42E9"/>
    <w:rsid w:val="00FC42F6"/>
    <w:rsid w:val="00FC5376"/>
    <w:rsid w:val="00FC53E6"/>
    <w:rsid w:val="00FC542E"/>
    <w:rsid w:val="00FC58BE"/>
    <w:rsid w:val="00FC58C4"/>
    <w:rsid w:val="00FC5D9A"/>
    <w:rsid w:val="00FC6EEC"/>
    <w:rsid w:val="00FC77ED"/>
    <w:rsid w:val="00FC79B0"/>
    <w:rsid w:val="00FC7D26"/>
    <w:rsid w:val="00FC7D5D"/>
    <w:rsid w:val="00FC7F5B"/>
    <w:rsid w:val="00FD0094"/>
    <w:rsid w:val="00FD0A3A"/>
    <w:rsid w:val="00FD123C"/>
    <w:rsid w:val="00FD1254"/>
    <w:rsid w:val="00FD259C"/>
    <w:rsid w:val="00FD31A4"/>
    <w:rsid w:val="00FD321D"/>
    <w:rsid w:val="00FD3237"/>
    <w:rsid w:val="00FD378C"/>
    <w:rsid w:val="00FD3BFF"/>
    <w:rsid w:val="00FD3C36"/>
    <w:rsid w:val="00FD44CC"/>
    <w:rsid w:val="00FD44D9"/>
    <w:rsid w:val="00FD44DD"/>
    <w:rsid w:val="00FD4774"/>
    <w:rsid w:val="00FD67EC"/>
    <w:rsid w:val="00FD6B1E"/>
    <w:rsid w:val="00FD773B"/>
    <w:rsid w:val="00FD7CAF"/>
    <w:rsid w:val="00FE02AA"/>
    <w:rsid w:val="00FE03F5"/>
    <w:rsid w:val="00FE0DB3"/>
    <w:rsid w:val="00FE0F9D"/>
    <w:rsid w:val="00FE1423"/>
    <w:rsid w:val="00FE1A57"/>
    <w:rsid w:val="00FE21CF"/>
    <w:rsid w:val="00FE2890"/>
    <w:rsid w:val="00FE29D7"/>
    <w:rsid w:val="00FE2DB4"/>
    <w:rsid w:val="00FE3025"/>
    <w:rsid w:val="00FE35AC"/>
    <w:rsid w:val="00FE3C3F"/>
    <w:rsid w:val="00FE3E5E"/>
    <w:rsid w:val="00FE43B6"/>
    <w:rsid w:val="00FE5932"/>
    <w:rsid w:val="00FE5CF0"/>
    <w:rsid w:val="00FE6424"/>
    <w:rsid w:val="00FE64C3"/>
    <w:rsid w:val="00FE671F"/>
    <w:rsid w:val="00FE6A70"/>
    <w:rsid w:val="00FE6DAF"/>
    <w:rsid w:val="00FE6F15"/>
    <w:rsid w:val="00FE73DD"/>
    <w:rsid w:val="00FF0636"/>
    <w:rsid w:val="00FF10B7"/>
    <w:rsid w:val="00FF1179"/>
    <w:rsid w:val="00FF14D2"/>
    <w:rsid w:val="00FF1BC5"/>
    <w:rsid w:val="00FF1BF0"/>
    <w:rsid w:val="00FF1E79"/>
    <w:rsid w:val="00FF24E7"/>
    <w:rsid w:val="00FF2A69"/>
    <w:rsid w:val="00FF2A76"/>
    <w:rsid w:val="00FF2BB4"/>
    <w:rsid w:val="00FF2E5F"/>
    <w:rsid w:val="00FF3441"/>
    <w:rsid w:val="00FF36BC"/>
    <w:rsid w:val="00FF3876"/>
    <w:rsid w:val="00FF45AA"/>
    <w:rsid w:val="00FF47DF"/>
    <w:rsid w:val="00FF498B"/>
    <w:rsid w:val="00FF4ADC"/>
    <w:rsid w:val="00FF4AF8"/>
    <w:rsid w:val="00FF51BF"/>
    <w:rsid w:val="00FF5853"/>
    <w:rsid w:val="00FF61A0"/>
    <w:rsid w:val="00FF63F3"/>
    <w:rsid w:val="00FF69B3"/>
    <w:rsid w:val="00FF7007"/>
    <w:rsid w:val="00FF721E"/>
    <w:rsid w:val="00FF7521"/>
    <w:rsid w:val="00FF76D9"/>
    <w:rsid w:val="00FF79E0"/>
    <w:rsid w:val="010030EE"/>
    <w:rsid w:val="0103206C"/>
    <w:rsid w:val="010507B0"/>
    <w:rsid w:val="01076789"/>
    <w:rsid w:val="010A3C11"/>
    <w:rsid w:val="010F1DA1"/>
    <w:rsid w:val="011A2D2F"/>
    <w:rsid w:val="011B0745"/>
    <w:rsid w:val="011B3024"/>
    <w:rsid w:val="0127533C"/>
    <w:rsid w:val="01283762"/>
    <w:rsid w:val="012A4E2C"/>
    <w:rsid w:val="012B508C"/>
    <w:rsid w:val="013250EA"/>
    <w:rsid w:val="01384210"/>
    <w:rsid w:val="01426D32"/>
    <w:rsid w:val="014C786A"/>
    <w:rsid w:val="014D0B1B"/>
    <w:rsid w:val="014D4997"/>
    <w:rsid w:val="014E39A0"/>
    <w:rsid w:val="0152585C"/>
    <w:rsid w:val="01551138"/>
    <w:rsid w:val="01553D50"/>
    <w:rsid w:val="0159126E"/>
    <w:rsid w:val="01665651"/>
    <w:rsid w:val="016C2D4F"/>
    <w:rsid w:val="01757986"/>
    <w:rsid w:val="017C6D0A"/>
    <w:rsid w:val="017C797A"/>
    <w:rsid w:val="01830C8A"/>
    <w:rsid w:val="018A579C"/>
    <w:rsid w:val="018D73FD"/>
    <w:rsid w:val="018F4B8D"/>
    <w:rsid w:val="019A598F"/>
    <w:rsid w:val="019E6960"/>
    <w:rsid w:val="01A717A7"/>
    <w:rsid w:val="01A80D67"/>
    <w:rsid w:val="01B36BF4"/>
    <w:rsid w:val="01BD5241"/>
    <w:rsid w:val="01C56903"/>
    <w:rsid w:val="01CA3508"/>
    <w:rsid w:val="01CC123F"/>
    <w:rsid w:val="01CE1804"/>
    <w:rsid w:val="01CE61B8"/>
    <w:rsid w:val="01D628BE"/>
    <w:rsid w:val="01D66FBD"/>
    <w:rsid w:val="01D8534B"/>
    <w:rsid w:val="01EA0118"/>
    <w:rsid w:val="01EB57F0"/>
    <w:rsid w:val="01F50B09"/>
    <w:rsid w:val="01FE395B"/>
    <w:rsid w:val="020042FB"/>
    <w:rsid w:val="02021905"/>
    <w:rsid w:val="02075B56"/>
    <w:rsid w:val="02091139"/>
    <w:rsid w:val="021138F7"/>
    <w:rsid w:val="02176EB7"/>
    <w:rsid w:val="021D559B"/>
    <w:rsid w:val="021E5DC1"/>
    <w:rsid w:val="022100C5"/>
    <w:rsid w:val="02213174"/>
    <w:rsid w:val="02251150"/>
    <w:rsid w:val="02290C40"/>
    <w:rsid w:val="022B0E5C"/>
    <w:rsid w:val="02302A3D"/>
    <w:rsid w:val="02366E4A"/>
    <w:rsid w:val="023B097E"/>
    <w:rsid w:val="02405F8A"/>
    <w:rsid w:val="024A62FC"/>
    <w:rsid w:val="024E1777"/>
    <w:rsid w:val="024F09B8"/>
    <w:rsid w:val="02561936"/>
    <w:rsid w:val="02641C78"/>
    <w:rsid w:val="02757B62"/>
    <w:rsid w:val="027D77B1"/>
    <w:rsid w:val="02857D4C"/>
    <w:rsid w:val="028B18FB"/>
    <w:rsid w:val="029201B3"/>
    <w:rsid w:val="0293255D"/>
    <w:rsid w:val="029D33DC"/>
    <w:rsid w:val="02A912FA"/>
    <w:rsid w:val="02AD4DC3"/>
    <w:rsid w:val="02B04EBD"/>
    <w:rsid w:val="02B3536B"/>
    <w:rsid w:val="02B81FC4"/>
    <w:rsid w:val="02BF4ADB"/>
    <w:rsid w:val="02C73530"/>
    <w:rsid w:val="02C96284"/>
    <w:rsid w:val="02D23086"/>
    <w:rsid w:val="030C116D"/>
    <w:rsid w:val="03107BB9"/>
    <w:rsid w:val="031D2C21"/>
    <w:rsid w:val="032C3675"/>
    <w:rsid w:val="032D650E"/>
    <w:rsid w:val="0330066D"/>
    <w:rsid w:val="03321D76"/>
    <w:rsid w:val="033768E1"/>
    <w:rsid w:val="033C2484"/>
    <w:rsid w:val="034451FB"/>
    <w:rsid w:val="034C6B09"/>
    <w:rsid w:val="034C72DC"/>
    <w:rsid w:val="034E38C1"/>
    <w:rsid w:val="034E766E"/>
    <w:rsid w:val="035D624E"/>
    <w:rsid w:val="036554BC"/>
    <w:rsid w:val="03675921"/>
    <w:rsid w:val="03675C51"/>
    <w:rsid w:val="036810E5"/>
    <w:rsid w:val="03683787"/>
    <w:rsid w:val="03685174"/>
    <w:rsid w:val="036A1510"/>
    <w:rsid w:val="036C5AA6"/>
    <w:rsid w:val="036D6935"/>
    <w:rsid w:val="036F262B"/>
    <w:rsid w:val="03745EE4"/>
    <w:rsid w:val="03765182"/>
    <w:rsid w:val="037B012A"/>
    <w:rsid w:val="037B0434"/>
    <w:rsid w:val="03826698"/>
    <w:rsid w:val="0388753D"/>
    <w:rsid w:val="038B088A"/>
    <w:rsid w:val="038F7110"/>
    <w:rsid w:val="03922815"/>
    <w:rsid w:val="039368D6"/>
    <w:rsid w:val="039D0B32"/>
    <w:rsid w:val="03A2514E"/>
    <w:rsid w:val="03A53297"/>
    <w:rsid w:val="03AB7542"/>
    <w:rsid w:val="03B25314"/>
    <w:rsid w:val="03B35CEE"/>
    <w:rsid w:val="03B51295"/>
    <w:rsid w:val="03BE360A"/>
    <w:rsid w:val="03C3096B"/>
    <w:rsid w:val="03DB240E"/>
    <w:rsid w:val="03DD51A7"/>
    <w:rsid w:val="03E20DA6"/>
    <w:rsid w:val="03E44558"/>
    <w:rsid w:val="03E4753A"/>
    <w:rsid w:val="03F51B64"/>
    <w:rsid w:val="03FD3A86"/>
    <w:rsid w:val="04053282"/>
    <w:rsid w:val="0414737D"/>
    <w:rsid w:val="04180F6C"/>
    <w:rsid w:val="041E1242"/>
    <w:rsid w:val="041F506B"/>
    <w:rsid w:val="042B4028"/>
    <w:rsid w:val="043408CC"/>
    <w:rsid w:val="0438006D"/>
    <w:rsid w:val="043A471F"/>
    <w:rsid w:val="043D4E77"/>
    <w:rsid w:val="04432C29"/>
    <w:rsid w:val="044A30F0"/>
    <w:rsid w:val="044B42AB"/>
    <w:rsid w:val="045F6A18"/>
    <w:rsid w:val="046046C1"/>
    <w:rsid w:val="0460507D"/>
    <w:rsid w:val="046329AD"/>
    <w:rsid w:val="04781ECF"/>
    <w:rsid w:val="048B788F"/>
    <w:rsid w:val="048C49B6"/>
    <w:rsid w:val="049A7BD3"/>
    <w:rsid w:val="049F6DA4"/>
    <w:rsid w:val="04AF5229"/>
    <w:rsid w:val="04B365B3"/>
    <w:rsid w:val="04B42A35"/>
    <w:rsid w:val="04B52C5F"/>
    <w:rsid w:val="04B769D7"/>
    <w:rsid w:val="04C04191"/>
    <w:rsid w:val="04C21C14"/>
    <w:rsid w:val="04CA4DDF"/>
    <w:rsid w:val="04D33FCD"/>
    <w:rsid w:val="04D77D62"/>
    <w:rsid w:val="04E43544"/>
    <w:rsid w:val="04E71D9A"/>
    <w:rsid w:val="04EB2B3A"/>
    <w:rsid w:val="04F03C97"/>
    <w:rsid w:val="04F9735D"/>
    <w:rsid w:val="04FE63B4"/>
    <w:rsid w:val="051739CD"/>
    <w:rsid w:val="051A5F58"/>
    <w:rsid w:val="051F6A14"/>
    <w:rsid w:val="052D478E"/>
    <w:rsid w:val="05334912"/>
    <w:rsid w:val="05411A52"/>
    <w:rsid w:val="05457438"/>
    <w:rsid w:val="0547229F"/>
    <w:rsid w:val="05485881"/>
    <w:rsid w:val="055E0C00"/>
    <w:rsid w:val="05604D68"/>
    <w:rsid w:val="05644CFB"/>
    <w:rsid w:val="056E70BA"/>
    <w:rsid w:val="056F56B4"/>
    <w:rsid w:val="056F5E78"/>
    <w:rsid w:val="057311F3"/>
    <w:rsid w:val="05784549"/>
    <w:rsid w:val="057A3A88"/>
    <w:rsid w:val="057B7A05"/>
    <w:rsid w:val="057E5747"/>
    <w:rsid w:val="059B1E57"/>
    <w:rsid w:val="059C780D"/>
    <w:rsid w:val="05A84572"/>
    <w:rsid w:val="05B47457"/>
    <w:rsid w:val="05D435B9"/>
    <w:rsid w:val="05D562A4"/>
    <w:rsid w:val="05D84E57"/>
    <w:rsid w:val="05DF2DFA"/>
    <w:rsid w:val="05E9465F"/>
    <w:rsid w:val="0607573C"/>
    <w:rsid w:val="060D4974"/>
    <w:rsid w:val="06196F31"/>
    <w:rsid w:val="062F6A41"/>
    <w:rsid w:val="06313E5F"/>
    <w:rsid w:val="06347737"/>
    <w:rsid w:val="063A3F53"/>
    <w:rsid w:val="063D115E"/>
    <w:rsid w:val="06406740"/>
    <w:rsid w:val="064D6005"/>
    <w:rsid w:val="064E5491"/>
    <w:rsid w:val="065A294B"/>
    <w:rsid w:val="065D35AE"/>
    <w:rsid w:val="06691C66"/>
    <w:rsid w:val="066E1317"/>
    <w:rsid w:val="06771069"/>
    <w:rsid w:val="068E51C8"/>
    <w:rsid w:val="069038D3"/>
    <w:rsid w:val="06982F33"/>
    <w:rsid w:val="069E3769"/>
    <w:rsid w:val="069E449E"/>
    <w:rsid w:val="06A44E77"/>
    <w:rsid w:val="06B94631"/>
    <w:rsid w:val="06BF6017"/>
    <w:rsid w:val="06C158EB"/>
    <w:rsid w:val="06C40E80"/>
    <w:rsid w:val="06C42140"/>
    <w:rsid w:val="06C617F3"/>
    <w:rsid w:val="06CB1BE8"/>
    <w:rsid w:val="06CD24E2"/>
    <w:rsid w:val="06D04EC5"/>
    <w:rsid w:val="06D25D4A"/>
    <w:rsid w:val="06D628F8"/>
    <w:rsid w:val="06D91980"/>
    <w:rsid w:val="06DA4BFF"/>
    <w:rsid w:val="06DC3451"/>
    <w:rsid w:val="06E05B7E"/>
    <w:rsid w:val="06E415DA"/>
    <w:rsid w:val="06ED485C"/>
    <w:rsid w:val="06EE4206"/>
    <w:rsid w:val="06F25AAD"/>
    <w:rsid w:val="06F639D6"/>
    <w:rsid w:val="06F6660F"/>
    <w:rsid w:val="06F8456C"/>
    <w:rsid w:val="07043A2A"/>
    <w:rsid w:val="070752C8"/>
    <w:rsid w:val="070A2FBC"/>
    <w:rsid w:val="070E2FCF"/>
    <w:rsid w:val="071B2ADF"/>
    <w:rsid w:val="071C0D73"/>
    <w:rsid w:val="071F5006"/>
    <w:rsid w:val="07230354"/>
    <w:rsid w:val="07236E16"/>
    <w:rsid w:val="0728596A"/>
    <w:rsid w:val="073D2A45"/>
    <w:rsid w:val="073F0F06"/>
    <w:rsid w:val="07496D45"/>
    <w:rsid w:val="074B61B0"/>
    <w:rsid w:val="074E2EF7"/>
    <w:rsid w:val="075A189C"/>
    <w:rsid w:val="075B35E4"/>
    <w:rsid w:val="07600FAA"/>
    <w:rsid w:val="07691ADF"/>
    <w:rsid w:val="076D15CF"/>
    <w:rsid w:val="07722822"/>
    <w:rsid w:val="07723089"/>
    <w:rsid w:val="07726214"/>
    <w:rsid w:val="0774357C"/>
    <w:rsid w:val="077D2EC5"/>
    <w:rsid w:val="07830DF3"/>
    <w:rsid w:val="078472D0"/>
    <w:rsid w:val="078723D7"/>
    <w:rsid w:val="078828AD"/>
    <w:rsid w:val="07937AA3"/>
    <w:rsid w:val="07941CA3"/>
    <w:rsid w:val="079923C4"/>
    <w:rsid w:val="07A321A6"/>
    <w:rsid w:val="07A773E8"/>
    <w:rsid w:val="07B425D9"/>
    <w:rsid w:val="07B436A2"/>
    <w:rsid w:val="07B729E3"/>
    <w:rsid w:val="07BD650B"/>
    <w:rsid w:val="07C5140B"/>
    <w:rsid w:val="07C75183"/>
    <w:rsid w:val="07D073E0"/>
    <w:rsid w:val="07D21D7A"/>
    <w:rsid w:val="07D23B28"/>
    <w:rsid w:val="07D35DC5"/>
    <w:rsid w:val="07D41864"/>
    <w:rsid w:val="07D63618"/>
    <w:rsid w:val="07D84C85"/>
    <w:rsid w:val="07DA2751"/>
    <w:rsid w:val="07DA39BA"/>
    <w:rsid w:val="07DA5D7D"/>
    <w:rsid w:val="07DB01C0"/>
    <w:rsid w:val="07DB1CA6"/>
    <w:rsid w:val="07DC326E"/>
    <w:rsid w:val="07DD74F2"/>
    <w:rsid w:val="07E123E5"/>
    <w:rsid w:val="07E27A1E"/>
    <w:rsid w:val="07E850FA"/>
    <w:rsid w:val="07E946A9"/>
    <w:rsid w:val="07F21AFC"/>
    <w:rsid w:val="07F46A58"/>
    <w:rsid w:val="07F87FCF"/>
    <w:rsid w:val="07F92E63"/>
    <w:rsid w:val="07FF744E"/>
    <w:rsid w:val="0805171E"/>
    <w:rsid w:val="080B05FE"/>
    <w:rsid w:val="080F053D"/>
    <w:rsid w:val="081128A2"/>
    <w:rsid w:val="0813031E"/>
    <w:rsid w:val="081606E6"/>
    <w:rsid w:val="081C4DA3"/>
    <w:rsid w:val="08214F6E"/>
    <w:rsid w:val="08234900"/>
    <w:rsid w:val="082A521F"/>
    <w:rsid w:val="082F2D28"/>
    <w:rsid w:val="08417CB6"/>
    <w:rsid w:val="084C7436"/>
    <w:rsid w:val="08515363"/>
    <w:rsid w:val="08550670"/>
    <w:rsid w:val="0858227F"/>
    <w:rsid w:val="085E53BC"/>
    <w:rsid w:val="086E2436"/>
    <w:rsid w:val="086F58ED"/>
    <w:rsid w:val="086F7601"/>
    <w:rsid w:val="088100A0"/>
    <w:rsid w:val="088415B7"/>
    <w:rsid w:val="088C017B"/>
    <w:rsid w:val="08907C6B"/>
    <w:rsid w:val="08921C9F"/>
    <w:rsid w:val="0895702F"/>
    <w:rsid w:val="08987DAC"/>
    <w:rsid w:val="089957BA"/>
    <w:rsid w:val="089D4136"/>
    <w:rsid w:val="08A04763"/>
    <w:rsid w:val="08A2404F"/>
    <w:rsid w:val="08B12AF8"/>
    <w:rsid w:val="08B1373D"/>
    <w:rsid w:val="08B35D25"/>
    <w:rsid w:val="08B80B44"/>
    <w:rsid w:val="08BB280E"/>
    <w:rsid w:val="08BD4D1C"/>
    <w:rsid w:val="08C3423C"/>
    <w:rsid w:val="08C4785C"/>
    <w:rsid w:val="08CA47FF"/>
    <w:rsid w:val="08CE2F0C"/>
    <w:rsid w:val="08D65AD6"/>
    <w:rsid w:val="08DF02AB"/>
    <w:rsid w:val="08DF7467"/>
    <w:rsid w:val="08F04266"/>
    <w:rsid w:val="08F13AA4"/>
    <w:rsid w:val="08F54F4B"/>
    <w:rsid w:val="08F63846"/>
    <w:rsid w:val="08FE007E"/>
    <w:rsid w:val="08FF26FB"/>
    <w:rsid w:val="09014101"/>
    <w:rsid w:val="09077801"/>
    <w:rsid w:val="090C33A6"/>
    <w:rsid w:val="090E6DE2"/>
    <w:rsid w:val="09125D05"/>
    <w:rsid w:val="09242161"/>
    <w:rsid w:val="09250475"/>
    <w:rsid w:val="09305CD0"/>
    <w:rsid w:val="09306D58"/>
    <w:rsid w:val="09314CF8"/>
    <w:rsid w:val="0935494F"/>
    <w:rsid w:val="0939501E"/>
    <w:rsid w:val="093D0507"/>
    <w:rsid w:val="0959519B"/>
    <w:rsid w:val="095A7EE3"/>
    <w:rsid w:val="09656065"/>
    <w:rsid w:val="096E162E"/>
    <w:rsid w:val="09727371"/>
    <w:rsid w:val="0974213B"/>
    <w:rsid w:val="09750C0F"/>
    <w:rsid w:val="0975309C"/>
    <w:rsid w:val="09772BD9"/>
    <w:rsid w:val="097E5D48"/>
    <w:rsid w:val="09812CD0"/>
    <w:rsid w:val="098175B4"/>
    <w:rsid w:val="099077F7"/>
    <w:rsid w:val="09941EA0"/>
    <w:rsid w:val="099E0166"/>
    <w:rsid w:val="099E3631"/>
    <w:rsid w:val="09A721FE"/>
    <w:rsid w:val="09B41737"/>
    <w:rsid w:val="09B73FF5"/>
    <w:rsid w:val="09BB5DFF"/>
    <w:rsid w:val="09BE2A6D"/>
    <w:rsid w:val="09C00264"/>
    <w:rsid w:val="09C00661"/>
    <w:rsid w:val="09C75A8B"/>
    <w:rsid w:val="09D11E42"/>
    <w:rsid w:val="09D26061"/>
    <w:rsid w:val="09D771D4"/>
    <w:rsid w:val="09DE55EB"/>
    <w:rsid w:val="09DF4DC4"/>
    <w:rsid w:val="09E21C15"/>
    <w:rsid w:val="09E30D43"/>
    <w:rsid w:val="09E435A4"/>
    <w:rsid w:val="09E81A36"/>
    <w:rsid w:val="09EB6A51"/>
    <w:rsid w:val="09F00565"/>
    <w:rsid w:val="09F435BB"/>
    <w:rsid w:val="09FA6932"/>
    <w:rsid w:val="09FE0636"/>
    <w:rsid w:val="0A0E2DBA"/>
    <w:rsid w:val="0A100FB7"/>
    <w:rsid w:val="0A177570"/>
    <w:rsid w:val="0A2040E7"/>
    <w:rsid w:val="0A285C81"/>
    <w:rsid w:val="0A290637"/>
    <w:rsid w:val="0A2E281F"/>
    <w:rsid w:val="0A2F1F5A"/>
    <w:rsid w:val="0A300C8C"/>
    <w:rsid w:val="0A3B1BC2"/>
    <w:rsid w:val="0A466107"/>
    <w:rsid w:val="0A4A0BCF"/>
    <w:rsid w:val="0A553598"/>
    <w:rsid w:val="0A57785D"/>
    <w:rsid w:val="0A590BFE"/>
    <w:rsid w:val="0A5A1C12"/>
    <w:rsid w:val="0A5C00B8"/>
    <w:rsid w:val="0A677995"/>
    <w:rsid w:val="0A6B1747"/>
    <w:rsid w:val="0A6B4F1D"/>
    <w:rsid w:val="0A7809B7"/>
    <w:rsid w:val="0A7B5355"/>
    <w:rsid w:val="0A7D421F"/>
    <w:rsid w:val="0A7E5DA1"/>
    <w:rsid w:val="0A876C58"/>
    <w:rsid w:val="0A877179"/>
    <w:rsid w:val="0A8D401F"/>
    <w:rsid w:val="0A930F4C"/>
    <w:rsid w:val="0A943C3B"/>
    <w:rsid w:val="0A973977"/>
    <w:rsid w:val="0AA22011"/>
    <w:rsid w:val="0AA62B26"/>
    <w:rsid w:val="0AA63F8D"/>
    <w:rsid w:val="0AAB60DB"/>
    <w:rsid w:val="0AAB6FCE"/>
    <w:rsid w:val="0AAF5D0F"/>
    <w:rsid w:val="0AB843C4"/>
    <w:rsid w:val="0AC624FA"/>
    <w:rsid w:val="0AC7549A"/>
    <w:rsid w:val="0AD100C7"/>
    <w:rsid w:val="0AD261C7"/>
    <w:rsid w:val="0AD43E4B"/>
    <w:rsid w:val="0AD50362"/>
    <w:rsid w:val="0AD87ACD"/>
    <w:rsid w:val="0AE27F4B"/>
    <w:rsid w:val="0AE61E19"/>
    <w:rsid w:val="0AE64E8C"/>
    <w:rsid w:val="0AEC06CF"/>
    <w:rsid w:val="0B04224A"/>
    <w:rsid w:val="0B0E60E0"/>
    <w:rsid w:val="0B0F5706"/>
    <w:rsid w:val="0B0F6CF9"/>
    <w:rsid w:val="0B195FA1"/>
    <w:rsid w:val="0B1C3A38"/>
    <w:rsid w:val="0B1C6481"/>
    <w:rsid w:val="0B205F6D"/>
    <w:rsid w:val="0B224DC6"/>
    <w:rsid w:val="0B26152B"/>
    <w:rsid w:val="0B2A752B"/>
    <w:rsid w:val="0B2F382E"/>
    <w:rsid w:val="0B330167"/>
    <w:rsid w:val="0B36617C"/>
    <w:rsid w:val="0B3D750A"/>
    <w:rsid w:val="0B425BF9"/>
    <w:rsid w:val="0B4B60CB"/>
    <w:rsid w:val="0B4D2818"/>
    <w:rsid w:val="0B4E34C6"/>
    <w:rsid w:val="0B4E5BBB"/>
    <w:rsid w:val="0B50723E"/>
    <w:rsid w:val="0B5923C1"/>
    <w:rsid w:val="0B5B4BB7"/>
    <w:rsid w:val="0B6158EF"/>
    <w:rsid w:val="0B674587"/>
    <w:rsid w:val="0B6E5FE8"/>
    <w:rsid w:val="0B7116D6"/>
    <w:rsid w:val="0B7D7A18"/>
    <w:rsid w:val="0B7F7647"/>
    <w:rsid w:val="0B811AED"/>
    <w:rsid w:val="0B812103"/>
    <w:rsid w:val="0B826024"/>
    <w:rsid w:val="0B852B57"/>
    <w:rsid w:val="0B876061"/>
    <w:rsid w:val="0B8A135C"/>
    <w:rsid w:val="0B8D66E4"/>
    <w:rsid w:val="0B951D50"/>
    <w:rsid w:val="0B963273"/>
    <w:rsid w:val="0B9A481D"/>
    <w:rsid w:val="0B9D2135"/>
    <w:rsid w:val="0BAB0918"/>
    <w:rsid w:val="0BAE7D83"/>
    <w:rsid w:val="0BAF2CD0"/>
    <w:rsid w:val="0BAF2EA0"/>
    <w:rsid w:val="0BB02A2B"/>
    <w:rsid w:val="0BB21078"/>
    <w:rsid w:val="0BB47351"/>
    <w:rsid w:val="0BB85945"/>
    <w:rsid w:val="0BB91287"/>
    <w:rsid w:val="0BBF4C07"/>
    <w:rsid w:val="0BC119E2"/>
    <w:rsid w:val="0BCA379A"/>
    <w:rsid w:val="0BD44FC6"/>
    <w:rsid w:val="0BD54EC1"/>
    <w:rsid w:val="0BD87E42"/>
    <w:rsid w:val="0BD9023A"/>
    <w:rsid w:val="0BDC3643"/>
    <w:rsid w:val="0BE164C2"/>
    <w:rsid w:val="0BE37589"/>
    <w:rsid w:val="0BE56668"/>
    <w:rsid w:val="0BF54A8A"/>
    <w:rsid w:val="0BF945B1"/>
    <w:rsid w:val="0BF94BCA"/>
    <w:rsid w:val="0BFC1173"/>
    <w:rsid w:val="0BFD0191"/>
    <w:rsid w:val="0C0D1EBA"/>
    <w:rsid w:val="0C1741FF"/>
    <w:rsid w:val="0C243E28"/>
    <w:rsid w:val="0C253E80"/>
    <w:rsid w:val="0C347EEB"/>
    <w:rsid w:val="0C3923C8"/>
    <w:rsid w:val="0C3A64F9"/>
    <w:rsid w:val="0C3E79DE"/>
    <w:rsid w:val="0C400550"/>
    <w:rsid w:val="0C476362"/>
    <w:rsid w:val="0C582C3E"/>
    <w:rsid w:val="0C59258D"/>
    <w:rsid w:val="0C5B5CD0"/>
    <w:rsid w:val="0C6127B1"/>
    <w:rsid w:val="0C681529"/>
    <w:rsid w:val="0C692CAD"/>
    <w:rsid w:val="0C6A07D3"/>
    <w:rsid w:val="0C6C00A7"/>
    <w:rsid w:val="0C741D07"/>
    <w:rsid w:val="0C7565A8"/>
    <w:rsid w:val="0C7A575D"/>
    <w:rsid w:val="0C7E602C"/>
    <w:rsid w:val="0C833643"/>
    <w:rsid w:val="0C873F5B"/>
    <w:rsid w:val="0C87442F"/>
    <w:rsid w:val="0C8C0BBC"/>
    <w:rsid w:val="0C981D44"/>
    <w:rsid w:val="0C9D2913"/>
    <w:rsid w:val="0CA008BA"/>
    <w:rsid w:val="0CA05FA3"/>
    <w:rsid w:val="0CA21D1B"/>
    <w:rsid w:val="0CAE147F"/>
    <w:rsid w:val="0CBD6695"/>
    <w:rsid w:val="0CC56FFE"/>
    <w:rsid w:val="0CC779D3"/>
    <w:rsid w:val="0CCB4C1C"/>
    <w:rsid w:val="0CCD25CD"/>
    <w:rsid w:val="0CD25BE7"/>
    <w:rsid w:val="0CD41267"/>
    <w:rsid w:val="0CD42BCC"/>
    <w:rsid w:val="0CD46767"/>
    <w:rsid w:val="0CD5615D"/>
    <w:rsid w:val="0CE579A0"/>
    <w:rsid w:val="0CF26C99"/>
    <w:rsid w:val="0CF566EF"/>
    <w:rsid w:val="0CF61640"/>
    <w:rsid w:val="0CF80284"/>
    <w:rsid w:val="0CF870B1"/>
    <w:rsid w:val="0CFD4AD5"/>
    <w:rsid w:val="0CFE36D8"/>
    <w:rsid w:val="0D0C53E6"/>
    <w:rsid w:val="0D0E6C73"/>
    <w:rsid w:val="0D1D5845"/>
    <w:rsid w:val="0D2210AE"/>
    <w:rsid w:val="0D222E5C"/>
    <w:rsid w:val="0D2766C4"/>
    <w:rsid w:val="0D2A1D10"/>
    <w:rsid w:val="0D3253F4"/>
    <w:rsid w:val="0D381E0E"/>
    <w:rsid w:val="0D3D49E9"/>
    <w:rsid w:val="0D414D6A"/>
    <w:rsid w:val="0D463014"/>
    <w:rsid w:val="0D470B14"/>
    <w:rsid w:val="0D48006B"/>
    <w:rsid w:val="0D4B4A31"/>
    <w:rsid w:val="0D4B5C63"/>
    <w:rsid w:val="0D4F4B44"/>
    <w:rsid w:val="0D501C2D"/>
    <w:rsid w:val="0D587964"/>
    <w:rsid w:val="0D5A2CC7"/>
    <w:rsid w:val="0D5E3E13"/>
    <w:rsid w:val="0D5F471D"/>
    <w:rsid w:val="0D5F5E5E"/>
    <w:rsid w:val="0D680DEE"/>
    <w:rsid w:val="0D6C2329"/>
    <w:rsid w:val="0D6C3A74"/>
    <w:rsid w:val="0D8B3D0A"/>
    <w:rsid w:val="0D8C4BF5"/>
    <w:rsid w:val="0D8E6743"/>
    <w:rsid w:val="0D937852"/>
    <w:rsid w:val="0D9A5E46"/>
    <w:rsid w:val="0D9A740D"/>
    <w:rsid w:val="0D9C0AC8"/>
    <w:rsid w:val="0D9C5E1D"/>
    <w:rsid w:val="0D9E3246"/>
    <w:rsid w:val="0DA17531"/>
    <w:rsid w:val="0DA86366"/>
    <w:rsid w:val="0DB02216"/>
    <w:rsid w:val="0DB042E6"/>
    <w:rsid w:val="0DB5782C"/>
    <w:rsid w:val="0DBE2D7D"/>
    <w:rsid w:val="0DC83B75"/>
    <w:rsid w:val="0DCB696E"/>
    <w:rsid w:val="0DD16F1A"/>
    <w:rsid w:val="0DDA74B1"/>
    <w:rsid w:val="0DDC74AE"/>
    <w:rsid w:val="0DDE1223"/>
    <w:rsid w:val="0DE325EB"/>
    <w:rsid w:val="0DEA1BCB"/>
    <w:rsid w:val="0DEE3B69"/>
    <w:rsid w:val="0DEE54CD"/>
    <w:rsid w:val="0DF27316"/>
    <w:rsid w:val="0DF52928"/>
    <w:rsid w:val="0E0428BA"/>
    <w:rsid w:val="0E0510D5"/>
    <w:rsid w:val="0E0C044D"/>
    <w:rsid w:val="0E0D77EC"/>
    <w:rsid w:val="0E113D91"/>
    <w:rsid w:val="0E1319C9"/>
    <w:rsid w:val="0E143BF1"/>
    <w:rsid w:val="0E167A9B"/>
    <w:rsid w:val="0E176739"/>
    <w:rsid w:val="0E1B17A7"/>
    <w:rsid w:val="0E1F739B"/>
    <w:rsid w:val="0E255315"/>
    <w:rsid w:val="0E2E5ECF"/>
    <w:rsid w:val="0E316969"/>
    <w:rsid w:val="0E347BC6"/>
    <w:rsid w:val="0E3746E5"/>
    <w:rsid w:val="0E377CE6"/>
    <w:rsid w:val="0E3D7000"/>
    <w:rsid w:val="0E4136CA"/>
    <w:rsid w:val="0E433DCE"/>
    <w:rsid w:val="0E44797C"/>
    <w:rsid w:val="0E456E02"/>
    <w:rsid w:val="0E4A4418"/>
    <w:rsid w:val="0E4B6F70"/>
    <w:rsid w:val="0E527729"/>
    <w:rsid w:val="0E5A6CFB"/>
    <w:rsid w:val="0E63197E"/>
    <w:rsid w:val="0E691A4E"/>
    <w:rsid w:val="0E691E54"/>
    <w:rsid w:val="0E6947B4"/>
    <w:rsid w:val="0E6B745F"/>
    <w:rsid w:val="0E6F0323"/>
    <w:rsid w:val="0E6F5318"/>
    <w:rsid w:val="0E756E9A"/>
    <w:rsid w:val="0E7657F6"/>
    <w:rsid w:val="0E784042"/>
    <w:rsid w:val="0E816D64"/>
    <w:rsid w:val="0E86759F"/>
    <w:rsid w:val="0E8C4A31"/>
    <w:rsid w:val="0E902114"/>
    <w:rsid w:val="0E950B6B"/>
    <w:rsid w:val="0E9D794C"/>
    <w:rsid w:val="0EA454BC"/>
    <w:rsid w:val="0EA50AA5"/>
    <w:rsid w:val="0EA855E3"/>
    <w:rsid w:val="0EB3382E"/>
    <w:rsid w:val="0EB366B9"/>
    <w:rsid w:val="0EBA75D0"/>
    <w:rsid w:val="0EDE1004"/>
    <w:rsid w:val="0EE009A1"/>
    <w:rsid w:val="0EE71CB8"/>
    <w:rsid w:val="0EED67BE"/>
    <w:rsid w:val="0EEF4FBF"/>
    <w:rsid w:val="0EF56723"/>
    <w:rsid w:val="0EFF4768"/>
    <w:rsid w:val="0F0E3EE4"/>
    <w:rsid w:val="0F184516"/>
    <w:rsid w:val="0F187259"/>
    <w:rsid w:val="0F1913A7"/>
    <w:rsid w:val="0F1A64E0"/>
    <w:rsid w:val="0F1B4ADD"/>
    <w:rsid w:val="0F1C4052"/>
    <w:rsid w:val="0F1D773D"/>
    <w:rsid w:val="0F1E7C71"/>
    <w:rsid w:val="0F1F5BAF"/>
    <w:rsid w:val="0F262D7B"/>
    <w:rsid w:val="0F36092B"/>
    <w:rsid w:val="0F3A518E"/>
    <w:rsid w:val="0F4470B9"/>
    <w:rsid w:val="0F4C0664"/>
    <w:rsid w:val="0F4C2412"/>
    <w:rsid w:val="0F551D83"/>
    <w:rsid w:val="0F5F658C"/>
    <w:rsid w:val="0F600C7D"/>
    <w:rsid w:val="0F727101"/>
    <w:rsid w:val="0F783207"/>
    <w:rsid w:val="0F7E29D8"/>
    <w:rsid w:val="0F881FEE"/>
    <w:rsid w:val="0F883DF6"/>
    <w:rsid w:val="0F885D24"/>
    <w:rsid w:val="0F8E2CC9"/>
    <w:rsid w:val="0F9F69E6"/>
    <w:rsid w:val="0FA2262B"/>
    <w:rsid w:val="0FB17288"/>
    <w:rsid w:val="0FB71F81"/>
    <w:rsid w:val="0FBC0C4F"/>
    <w:rsid w:val="0FBE1202"/>
    <w:rsid w:val="0FC05753"/>
    <w:rsid w:val="0FC25AE1"/>
    <w:rsid w:val="0FC36F86"/>
    <w:rsid w:val="0FC95811"/>
    <w:rsid w:val="0FCC70AF"/>
    <w:rsid w:val="0FD35853"/>
    <w:rsid w:val="0FE33D0C"/>
    <w:rsid w:val="0FE63FC0"/>
    <w:rsid w:val="0FE95EB3"/>
    <w:rsid w:val="0FEA3E6F"/>
    <w:rsid w:val="0FED14FF"/>
    <w:rsid w:val="0FF07241"/>
    <w:rsid w:val="0FF220FA"/>
    <w:rsid w:val="0FF60A86"/>
    <w:rsid w:val="0FFA197C"/>
    <w:rsid w:val="0FFE3250"/>
    <w:rsid w:val="0FFF7484"/>
    <w:rsid w:val="1002151F"/>
    <w:rsid w:val="10101909"/>
    <w:rsid w:val="101051ED"/>
    <w:rsid w:val="10125409"/>
    <w:rsid w:val="10141182"/>
    <w:rsid w:val="10165BBC"/>
    <w:rsid w:val="10201C71"/>
    <w:rsid w:val="103276E4"/>
    <w:rsid w:val="10390BE8"/>
    <w:rsid w:val="1041134A"/>
    <w:rsid w:val="104135F9"/>
    <w:rsid w:val="10445CF9"/>
    <w:rsid w:val="10476675"/>
    <w:rsid w:val="10520C0A"/>
    <w:rsid w:val="105243C6"/>
    <w:rsid w:val="1053423A"/>
    <w:rsid w:val="10534754"/>
    <w:rsid w:val="10563DEE"/>
    <w:rsid w:val="105B24BD"/>
    <w:rsid w:val="105C6FA6"/>
    <w:rsid w:val="10633399"/>
    <w:rsid w:val="106A0DA2"/>
    <w:rsid w:val="106D36EE"/>
    <w:rsid w:val="107633F6"/>
    <w:rsid w:val="107F3AEE"/>
    <w:rsid w:val="10863702"/>
    <w:rsid w:val="10874831"/>
    <w:rsid w:val="108D2E04"/>
    <w:rsid w:val="109D248C"/>
    <w:rsid w:val="109E6C9D"/>
    <w:rsid w:val="10AB3168"/>
    <w:rsid w:val="10B169F6"/>
    <w:rsid w:val="10B62239"/>
    <w:rsid w:val="10B8745E"/>
    <w:rsid w:val="10C2298C"/>
    <w:rsid w:val="10CF6E57"/>
    <w:rsid w:val="10D130AC"/>
    <w:rsid w:val="10D4256B"/>
    <w:rsid w:val="10E01064"/>
    <w:rsid w:val="10E169ED"/>
    <w:rsid w:val="10F62ECD"/>
    <w:rsid w:val="10F77FA0"/>
    <w:rsid w:val="10FA421F"/>
    <w:rsid w:val="10FD4D24"/>
    <w:rsid w:val="10FD7E68"/>
    <w:rsid w:val="11017AD2"/>
    <w:rsid w:val="11040E01"/>
    <w:rsid w:val="110757AF"/>
    <w:rsid w:val="110A4333"/>
    <w:rsid w:val="11145517"/>
    <w:rsid w:val="1119244E"/>
    <w:rsid w:val="111F6715"/>
    <w:rsid w:val="112843A2"/>
    <w:rsid w:val="11292A0B"/>
    <w:rsid w:val="11372CE6"/>
    <w:rsid w:val="113B4D24"/>
    <w:rsid w:val="11407D54"/>
    <w:rsid w:val="114A2AA9"/>
    <w:rsid w:val="115770D7"/>
    <w:rsid w:val="11595212"/>
    <w:rsid w:val="115B4B8E"/>
    <w:rsid w:val="11633415"/>
    <w:rsid w:val="11641C95"/>
    <w:rsid w:val="11677D5A"/>
    <w:rsid w:val="11762017"/>
    <w:rsid w:val="117E32AB"/>
    <w:rsid w:val="11800151"/>
    <w:rsid w:val="1182211B"/>
    <w:rsid w:val="11850759"/>
    <w:rsid w:val="118714DF"/>
    <w:rsid w:val="11893D9A"/>
    <w:rsid w:val="118D4594"/>
    <w:rsid w:val="1192225B"/>
    <w:rsid w:val="119E2B3F"/>
    <w:rsid w:val="11A07CB3"/>
    <w:rsid w:val="11A52BB0"/>
    <w:rsid w:val="11AA275E"/>
    <w:rsid w:val="11AB1672"/>
    <w:rsid w:val="11AF0585"/>
    <w:rsid w:val="11B036FF"/>
    <w:rsid w:val="11B66F6E"/>
    <w:rsid w:val="11BA02F0"/>
    <w:rsid w:val="11C049F1"/>
    <w:rsid w:val="11C24C0D"/>
    <w:rsid w:val="11C31E31"/>
    <w:rsid w:val="11C6025A"/>
    <w:rsid w:val="11C90D66"/>
    <w:rsid w:val="11CB2733"/>
    <w:rsid w:val="11CF10A8"/>
    <w:rsid w:val="11D3765D"/>
    <w:rsid w:val="11DB132C"/>
    <w:rsid w:val="11DE5594"/>
    <w:rsid w:val="11E25F82"/>
    <w:rsid w:val="11EA651F"/>
    <w:rsid w:val="11F12DFD"/>
    <w:rsid w:val="11F74214"/>
    <w:rsid w:val="11FD5C45"/>
    <w:rsid w:val="1202500A"/>
    <w:rsid w:val="120321D4"/>
    <w:rsid w:val="1205147B"/>
    <w:rsid w:val="12076DA9"/>
    <w:rsid w:val="120F71F7"/>
    <w:rsid w:val="1215457F"/>
    <w:rsid w:val="12174F59"/>
    <w:rsid w:val="121B7196"/>
    <w:rsid w:val="1228109D"/>
    <w:rsid w:val="12283A71"/>
    <w:rsid w:val="123347EF"/>
    <w:rsid w:val="12343F4F"/>
    <w:rsid w:val="12353631"/>
    <w:rsid w:val="123E5C8E"/>
    <w:rsid w:val="12457565"/>
    <w:rsid w:val="124811CB"/>
    <w:rsid w:val="1249417A"/>
    <w:rsid w:val="124B091E"/>
    <w:rsid w:val="12510688"/>
    <w:rsid w:val="12517C9B"/>
    <w:rsid w:val="125A6BF4"/>
    <w:rsid w:val="12614426"/>
    <w:rsid w:val="1262528B"/>
    <w:rsid w:val="126805E3"/>
    <w:rsid w:val="12694681"/>
    <w:rsid w:val="127203E1"/>
    <w:rsid w:val="12771554"/>
    <w:rsid w:val="127A5193"/>
    <w:rsid w:val="127C6B6A"/>
    <w:rsid w:val="12802AFE"/>
    <w:rsid w:val="12856CDD"/>
    <w:rsid w:val="128819B3"/>
    <w:rsid w:val="12935F23"/>
    <w:rsid w:val="12965AF6"/>
    <w:rsid w:val="12997AB0"/>
    <w:rsid w:val="129C09A3"/>
    <w:rsid w:val="129F0AAB"/>
    <w:rsid w:val="129F3684"/>
    <w:rsid w:val="12A37596"/>
    <w:rsid w:val="12A85E39"/>
    <w:rsid w:val="12AA2B99"/>
    <w:rsid w:val="12B01DAB"/>
    <w:rsid w:val="12B85A3D"/>
    <w:rsid w:val="12BE53D5"/>
    <w:rsid w:val="12C0322B"/>
    <w:rsid w:val="12C97B2F"/>
    <w:rsid w:val="12CA2B76"/>
    <w:rsid w:val="12E54456"/>
    <w:rsid w:val="12E67DCD"/>
    <w:rsid w:val="12F31522"/>
    <w:rsid w:val="12F9211D"/>
    <w:rsid w:val="12F9259F"/>
    <w:rsid w:val="12FB49F3"/>
    <w:rsid w:val="12FD248B"/>
    <w:rsid w:val="12FE62B8"/>
    <w:rsid w:val="130424FF"/>
    <w:rsid w:val="13054900"/>
    <w:rsid w:val="13080E90"/>
    <w:rsid w:val="13162E16"/>
    <w:rsid w:val="13197966"/>
    <w:rsid w:val="131B45D5"/>
    <w:rsid w:val="131D67A1"/>
    <w:rsid w:val="13223BB5"/>
    <w:rsid w:val="13320AEB"/>
    <w:rsid w:val="1340403C"/>
    <w:rsid w:val="134061D4"/>
    <w:rsid w:val="134578A4"/>
    <w:rsid w:val="13466D47"/>
    <w:rsid w:val="134C11D0"/>
    <w:rsid w:val="13500A1D"/>
    <w:rsid w:val="135B0E75"/>
    <w:rsid w:val="13605BDE"/>
    <w:rsid w:val="1363203D"/>
    <w:rsid w:val="1363441C"/>
    <w:rsid w:val="13675039"/>
    <w:rsid w:val="136D0135"/>
    <w:rsid w:val="136E75A3"/>
    <w:rsid w:val="136F4921"/>
    <w:rsid w:val="13714B6C"/>
    <w:rsid w:val="13750622"/>
    <w:rsid w:val="137515F2"/>
    <w:rsid w:val="13775332"/>
    <w:rsid w:val="137805AB"/>
    <w:rsid w:val="1379276E"/>
    <w:rsid w:val="137E6912"/>
    <w:rsid w:val="138959E3"/>
    <w:rsid w:val="139033AF"/>
    <w:rsid w:val="13916002"/>
    <w:rsid w:val="13936535"/>
    <w:rsid w:val="13973DDF"/>
    <w:rsid w:val="139C60A2"/>
    <w:rsid w:val="139E0D62"/>
    <w:rsid w:val="13A11318"/>
    <w:rsid w:val="13A46201"/>
    <w:rsid w:val="13A740BB"/>
    <w:rsid w:val="13AC347F"/>
    <w:rsid w:val="13B14F39"/>
    <w:rsid w:val="13BA06E0"/>
    <w:rsid w:val="13BB15A1"/>
    <w:rsid w:val="13BB1F14"/>
    <w:rsid w:val="13BF582E"/>
    <w:rsid w:val="13C4589A"/>
    <w:rsid w:val="13C66CAA"/>
    <w:rsid w:val="13C968AE"/>
    <w:rsid w:val="13D35168"/>
    <w:rsid w:val="13D65BBB"/>
    <w:rsid w:val="13D83708"/>
    <w:rsid w:val="13DF5603"/>
    <w:rsid w:val="13E01138"/>
    <w:rsid w:val="13E34020"/>
    <w:rsid w:val="13E64BE3"/>
    <w:rsid w:val="13EF5F57"/>
    <w:rsid w:val="13F01048"/>
    <w:rsid w:val="13F11C23"/>
    <w:rsid w:val="13F33EA7"/>
    <w:rsid w:val="13FA60C7"/>
    <w:rsid w:val="13FE3D97"/>
    <w:rsid w:val="13FF6B06"/>
    <w:rsid w:val="14031308"/>
    <w:rsid w:val="140B3319"/>
    <w:rsid w:val="14186D67"/>
    <w:rsid w:val="141D4539"/>
    <w:rsid w:val="141E5931"/>
    <w:rsid w:val="141F085C"/>
    <w:rsid w:val="1421095F"/>
    <w:rsid w:val="14213E6D"/>
    <w:rsid w:val="1429707F"/>
    <w:rsid w:val="142B4C30"/>
    <w:rsid w:val="1431037A"/>
    <w:rsid w:val="143C2C5E"/>
    <w:rsid w:val="14447B5C"/>
    <w:rsid w:val="1447093C"/>
    <w:rsid w:val="14495172"/>
    <w:rsid w:val="144D5B3D"/>
    <w:rsid w:val="144E2788"/>
    <w:rsid w:val="14593607"/>
    <w:rsid w:val="145A1CE5"/>
    <w:rsid w:val="145F5411"/>
    <w:rsid w:val="146343E0"/>
    <w:rsid w:val="146930CB"/>
    <w:rsid w:val="146B333A"/>
    <w:rsid w:val="146B4766"/>
    <w:rsid w:val="146C1673"/>
    <w:rsid w:val="14733E75"/>
    <w:rsid w:val="147761EE"/>
    <w:rsid w:val="147B4BCC"/>
    <w:rsid w:val="147F10E4"/>
    <w:rsid w:val="149654D6"/>
    <w:rsid w:val="1497412F"/>
    <w:rsid w:val="14983A03"/>
    <w:rsid w:val="149C5E54"/>
    <w:rsid w:val="149E726C"/>
    <w:rsid w:val="14A81D61"/>
    <w:rsid w:val="14AD2EC1"/>
    <w:rsid w:val="14B00D4D"/>
    <w:rsid w:val="14B206E4"/>
    <w:rsid w:val="14B922F8"/>
    <w:rsid w:val="14BB6207"/>
    <w:rsid w:val="14BF2910"/>
    <w:rsid w:val="14CA62B3"/>
    <w:rsid w:val="14CC4A45"/>
    <w:rsid w:val="14CF24DB"/>
    <w:rsid w:val="14D37C3D"/>
    <w:rsid w:val="14D709D0"/>
    <w:rsid w:val="14E60C13"/>
    <w:rsid w:val="14E82126"/>
    <w:rsid w:val="14EB5D5F"/>
    <w:rsid w:val="14F0383F"/>
    <w:rsid w:val="14F41582"/>
    <w:rsid w:val="14F47F34"/>
    <w:rsid w:val="14F70A43"/>
    <w:rsid w:val="14FE5F5C"/>
    <w:rsid w:val="14FE7CDE"/>
    <w:rsid w:val="150F1F18"/>
    <w:rsid w:val="15101BF8"/>
    <w:rsid w:val="1517701E"/>
    <w:rsid w:val="15252DED"/>
    <w:rsid w:val="153207CC"/>
    <w:rsid w:val="153320AA"/>
    <w:rsid w:val="1534240D"/>
    <w:rsid w:val="15342969"/>
    <w:rsid w:val="153633D2"/>
    <w:rsid w:val="1543751C"/>
    <w:rsid w:val="1553451A"/>
    <w:rsid w:val="155F4320"/>
    <w:rsid w:val="15636797"/>
    <w:rsid w:val="15653784"/>
    <w:rsid w:val="156A0208"/>
    <w:rsid w:val="156A35F2"/>
    <w:rsid w:val="15714980"/>
    <w:rsid w:val="15787455"/>
    <w:rsid w:val="1585667E"/>
    <w:rsid w:val="158A2BB3"/>
    <w:rsid w:val="158E6755"/>
    <w:rsid w:val="159348F7"/>
    <w:rsid w:val="159444E7"/>
    <w:rsid w:val="15957DC5"/>
    <w:rsid w:val="159F14ED"/>
    <w:rsid w:val="15A25775"/>
    <w:rsid w:val="15A85EC8"/>
    <w:rsid w:val="15A87DA9"/>
    <w:rsid w:val="15B12FCF"/>
    <w:rsid w:val="15C9585D"/>
    <w:rsid w:val="15CB0EA5"/>
    <w:rsid w:val="15D14AF0"/>
    <w:rsid w:val="15D6106F"/>
    <w:rsid w:val="15D840E9"/>
    <w:rsid w:val="15DD1E52"/>
    <w:rsid w:val="15E038B4"/>
    <w:rsid w:val="15E213DA"/>
    <w:rsid w:val="15E4131D"/>
    <w:rsid w:val="15EE50EB"/>
    <w:rsid w:val="160F7CF5"/>
    <w:rsid w:val="161812A0"/>
    <w:rsid w:val="161E4FC8"/>
    <w:rsid w:val="16216934"/>
    <w:rsid w:val="16244E5E"/>
    <w:rsid w:val="1624688D"/>
    <w:rsid w:val="16266DF6"/>
    <w:rsid w:val="1628032F"/>
    <w:rsid w:val="163C0589"/>
    <w:rsid w:val="16442095"/>
    <w:rsid w:val="164B4461"/>
    <w:rsid w:val="16514B7F"/>
    <w:rsid w:val="16526560"/>
    <w:rsid w:val="16541286"/>
    <w:rsid w:val="1658117B"/>
    <w:rsid w:val="16596A26"/>
    <w:rsid w:val="165A18B8"/>
    <w:rsid w:val="165F6B9A"/>
    <w:rsid w:val="166B5873"/>
    <w:rsid w:val="166C0CFF"/>
    <w:rsid w:val="16700091"/>
    <w:rsid w:val="167209B0"/>
    <w:rsid w:val="16752B1B"/>
    <w:rsid w:val="16781FE2"/>
    <w:rsid w:val="16797794"/>
    <w:rsid w:val="167D2AE2"/>
    <w:rsid w:val="16827DCA"/>
    <w:rsid w:val="16853D6A"/>
    <w:rsid w:val="1686445B"/>
    <w:rsid w:val="168A61CF"/>
    <w:rsid w:val="168E6E22"/>
    <w:rsid w:val="16914AB9"/>
    <w:rsid w:val="16930926"/>
    <w:rsid w:val="16943E8C"/>
    <w:rsid w:val="169B5926"/>
    <w:rsid w:val="16A208D5"/>
    <w:rsid w:val="16A940D3"/>
    <w:rsid w:val="16B70803"/>
    <w:rsid w:val="16B81660"/>
    <w:rsid w:val="16BA5996"/>
    <w:rsid w:val="16BD4697"/>
    <w:rsid w:val="16BE59A3"/>
    <w:rsid w:val="16C32FBA"/>
    <w:rsid w:val="16C35F16"/>
    <w:rsid w:val="16C8005A"/>
    <w:rsid w:val="16C8679D"/>
    <w:rsid w:val="16C9435F"/>
    <w:rsid w:val="16CB6312"/>
    <w:rsid w:val="16CF5B5B"/>
    <w:rsid w:val="16DE0D04"/>
    <w:rsid w:val="16DE197D"/>
    <w:rsid w:val="16E46CBF"/>
    <w:rsid w:val="16E50775"/>
    <w:rsid w:val="16F969DB"/>
    <w:rsid w:val="16FC1E41"/>
    <w:rsid w:val="17004962"/>
    <w:rsid w:val="17014CC7"/>
    <w:rsid w:val="170A0B51"/>
    <w:rsid w:val="170D06D9"/>
    <w:rsid w:val="170F2E64"/>
    <w:rsid w:val="17103D25"/>
    <w:rsid w:val="17143815"/>
    <w:rsid w:val="17184304"/>
    <w:rsid w:val="17187064"/>
    <w:rsid w:val="171B05E0"/>
    <w:rsid w:val="171C1816"/>
    <w:rsid w:val="1720665E"/>
    <w:rsid w:val="17213D52"/>
    <w:rsid w:val="172341AB"/>
    <w:rsid w:val="17245F9E"/>
    <w:rsid w:val="17254DA9"/>
    <w:rsid w:val="172939FE"/>
    <w:rsid w:val="172A3FA4"/>
    <w:rsid w:val="17314A1C"/>
    <w:rsid w:val="17315F09"/>
    <w:rsid w:val="1735188C"/>
    <w:rsid w:val="173876A7"/>
    <w:rsid w:val="1739327C"/>
    <w:rsid w:val="17493A22"/>
    <w:rsid w:val="174D4F79"/>
    <w:rsid w:val="174F1860"/>
    <w:rsid w:val="1752433D"/>
    <w:rsid w:val="175E2CE2"/>
    <w:rsid w:val="17646012"/>
    <w:rsid w:val="1767284E"/>
    <w:rsid w:val="176D73C9"/>
    <w:rsid w:val="1773358A"/>
    <w:rsid w:val="177B7D38"/>
    <w:rsid w:val="177D2164"/>
    <w:rsid w:val="177E12FA"/>
    <w:rsid w:val="177E488E"/>
    <w:rsid w:val="1788476D"/>
    <w:rsid w:val="17892D20"/>
    <w:rsid w:val="178A2DAD"/>
    <w:rsid w:val="178F2125"/>
    <w:rsid w:val="17936270"/>
    <w:rsid w:val="17952348"/>
    <w:rsid w:val="179674E7"/>
    <w:rsid w:val="17993131"/>
    <w:rsid w:val="179B3F36"/>
    <w:rsid w:val="17A563A6"/>
    <w:rsid w:val="17AB11A9"/>
    <w:rsid w:val="17AC1CA0"/>
    <w:rsid w:val="17B256D4"/>
    <w:rsid w:val="17BC01E8"/>
    <w:rsid w:val="17C07F6A"/>
    <w:rsid w:val="17C12A52"/>
    <w:rsid w:val="17C51462"/>
    <w:rsid w:val="17CB69C5"/>
    <w:rsid w:val="17CF3CA8"/>
    <w:rsid w:val="17CF5AC4"/>
    <w:rsid w:val="17D47448"/>
    <w:rsid w:val="17D81D56"/>
    <w:rsid w:val="17DF1923"/>
    <w:rsid w:val="17E56F60"/>
    <w:rsid w:val="17E665EE"/>
    <w:rsid w:val="17EF1DD6"/>
    <w:rsid w:val="17F90C5D"/>
    <w:rsid w:val="17FD074D"/>
    <w:rsid w:val="17FE3F33"/>
    <w:rsid w:val="1803648B"/>
    <w:rsid w:val="18063958"/>
    <w:rsid w:val="18113AAC"/>
    <w:rsid w:val="18140050"/>
    <w:rsid w:val="18140AB0"/>
    <w:rsid w:val="181B6E25"/>
    <w:rsid w:val="183772B8"/>
    <w:rsid w:val="183A374F"/>
    <w:rsid w:val="183B3375"/>
    <w:rsid w:val="184260F5"/>
    <w:rsid w:val="18445811"/>
    <w:rsid w:val="18466BCD"/>
    <w:rsid w:val="184D3CAF"/>
    <w:rsid w:val="184E7689"/>
    <w:rsid w:val="18501A1D"/>
    <w:rsid w:val="1851593E"/>
    <w:rsid w:val="18540BF0"/>
    <w:rsid w:val="185635F5"/>
    <w:rsid w:val="18591D0D"/>
    <w:rsid w:val="185F6B27"/>
    <w:rsid w:val="18623338"/>
    <w:rsid w:val="186D65B4"/>
    <w:rsid w:val="186D6628"/>
    <w:rsid w:val="18826EA4"/>
    <w:rsid w:val="188340FF"/>
    <w:rsid w:val="18893D8F"/>
    <w:rsid w:val="188C142B"/>
    <w:rsid w:val="18900478"/>
    <w:rsid w:val="18A55BCE"/>
    <w:rsid w:val="18A62B93"/>
    <w:rsid w:val="18A64941"/>
    <w:rsid w:val="18B71A64"/>
    <w:rsid w:val="18B76CE3"/>
    <w:rsid w:val="18B800A1"/>
    <w:rsid w:val="18C33C4E"/>
    <w:rsid w:val="18C7744A"/>
    <w:rsid w:val="18C836BE"/>
    <w:rsid w:val="18CE2FF6"/>
    <w:rsid w:val="18D364CA"/>
    <w:rsid w:val="18DB1E9B"/>
    <w:rsid w:val="18DE4537"/>
    <w:rsid w:val="18E41886"/>
    <w:rsid w:val="18E722AD"/>
    <w:rsid w:val="18EB0C1A"/>
    <w:rsid w:val="18F073FC"/>
    <w:rsid w:val="18F26EAB"/>
    <w:rsid w:val="18F64BCE"/>
    <w:rsid w:val="18F735E8"/>
    <w:rsid w:val="18FC7301"/>
    <w:rsid w:val="18FF1F3A"/>
    <w:rsid w:val="19063631"/>
    <w:rsid w:val="190819AD"/>
    <w:rsid w:val="190B2D72"/>
    <w:rsid w:val="1913347C"/>
    <w:rsid w:val="191B12A4"/>
    <w:rsid w:val="19267830"/>
    <w:rsid w:val="192A37C4"/>
    <w:rsid w:val="19303E00"/>
    <w:rsid w:val="19322D45"/>
    <w:rsid w:val="19386B63"/>
    <w:rsid w:val="193E101D"/>
    <w:rsid w:val="19410B0E"/>
    <w:rsid w:val="19456842"/>
    <w:rsid w:val="194A5C14"/>
    <w:rsid w:val="194F73AB"/>
    <w:rsid w:val="195308EE"/>
    <w:rsid w:val="195645B9"/>
    <w:rsid w:val="195742B4"/>
    <w:rsid w:val="195B1744"/>
    <w:rsid w:val="195C5C31"/>
    <w:rsid w:val="196039E1"/>
    <w:rsid w:val="196440DC"/>
    <w:rsid w:val="196456BE"/>
    <w:rsid w:val="196811FE"/>
    <w:rsid w:val="196F2776"/>
    <w:rsid w:val="19710C3C"/>
    <w:rsid w:val="19734247"/>
    <w:rsid w:val="19864D35"/>
    <w:rsid w:val="19871905"/>
    <w:rsid w:val="198E6F17"/>
    <w:rsid w:val="19924413"/>
    <w:rsid w:val="199D7C7C"/>
    <w:rsid w:val="199F6332"/>
    <w:rsid w:val="19A03A86"/>
    <w:rsid w:val="19A32C5A"/>
    <w:rsid w:val="19A879E4"/>
    <w:rsid w:val="19A90B8D"/>
    <w:rsid w:val="19AF3E3F"/>
    <w:rsid w:val="19B44CA1"/>
    <w:rsid w:val="19BE0030"/>
    <w:rsid w:val="19C17AAC"/>
    <w:rsid w:val="19C21C4E"/>
    <w:rsid w:val="19C54225"/>
    <w:rsid w:val="19D2397B"/>
    <w:rsid w:val="19D64618"/>
    <w:rsid w:val="19DB686C"/>
    <w:rsid w:val="19E5261E"/>
    <w:rsid w:val="19EB0735"/>
    <w:rsid w:val="19EF3E9F"/>
    <w:rsid w:val="19F618F8"/>
    <w:rsid w:val="1A0C6271"/>
    <w:rsid w:val="1A0E32D9"/>
    <w:rsid w:val="1A173873"/>
    <w:rsid w:val="1A1E367A"/>
    <w:rsid w:val="1A2F1B2D"/>
    <w:rsid w:val="1A325B5E"/>
    <w:rsid w:val="1A444411"/>
    <w:rsid w:val="1A4B5525"/>
    <w:rsid w:val="1A555ADC"/>
    <w:rsid w:val="1A567B53"/>
    <w:rsid w:val="1A5A159E"/>
    <w:rsid w:val="1A5C629A"/>
    <w:rsid w:val="1A613431"/>
    <w:rsid w:val="1A6920CA"/>
    <w:rsid w:val="1A703458"/>
    <w:rsid w:val="1A704D0B"/>
    <w:rsid w:val="1A72133B"/>
    <w:rsid w:val="1A735978"/>
    <w:rsid w:val="1A7A1BBB"/>
    <w:rsid w:val="1A7C678C"/>
    <w:rsid w:val="1A8011C2"/>
    <w:rsid w:val="1A872F18"/>
    <w:rsid w:val="1A8E6679"/>
    <w:rsid w:val="1A914B7E"/>
    <w:rsid w:val="1A933129"/>
    <w:rsid w:val="1A943AA6"/>
    <w:rsid w:val="1A9E0F52"/>
    <w:rsid w:val="1AA27F88"/>
    <w:rsid w:val="1AA41354"/>
    <w:rsid w:val="1AA6231F"/>
    <w:rsid w:val="1AB01AA7"/>
    <w:rsid w:val="1AB71087"/>
    <w:rsid w:val="1ABA0B77"/>
    <w:rsid w:val="1ABA481B"/>
    <w:rsid w:val="1ABA5491"/>
    <w:rsid w:val="1ABE5077"/>
    <w:rsid w:val="1AC612CA"/>
    <w:rsid w:val="1AC76DF0"/>
    <w:rsid w:val="1ACF6C75"/>
    <w:rsid w:val="1AD82DAC"/>
    <w:rsid w:val="1ADD10A0"/>
    <w:rsid w:val="1AE6196C"/>
    <w:rsid w:val="1AEB6F83"/>
    <w:rsid w:val="1AF9493A"/>
    <w:rsid w:val="1B0246D5"/>
    <w:rsid w:val="1B0E43FD"/>
    <w:rsid w:val="1B1115F9"/>
    <w:rsid w:val="1B1B0FC6"/>
    <w:rsid w:val="1B3450CF"/>
    <w:rsid w:val="1B347E5C"/>
    <w:rsid w:val="1B3A1BF2"/>
    <w:rsid w:val="1B416BA3"/>
    <w:rsid w:val="1B520877"/>
    <w:rsid w:val="1B571190"/>
    <w:rsid w:val="1B59213E"/>
    <w:rsid w:val="1B5B70F9"/>
    <w:rsid w:val="1B6A2404"/>
    <w:rsid w:val="1B6D3662"/>
    <w:rsid w:val="1B713BCA"/>
    <w:rsid w:val="1B7268AE"/>
    <w:rsid w:val="1B786B0A"/>
    <w:rsid w:val="1B8A6E8F"/>
    <w:rsid w:val="1B8C03D7"/>
    <w:rsid w:val="1B8D1DE8"/>
    <w:rsid w:val="1B940960"/>
    <w:rsid w:val="1B960F82"/>
    <w:rsid w:val="1BA203D0"/>
    <w:rsid w:val="1BA3785E"/>
    <w:rsid w:val="1BAB0CA3"/>
    <w:rsid w:val="1BAB3A51"/>
    <w:rsid w:val="1BB07F07"/>
    <w:rsid w:val="1BB11250"/>
    <w:rsid w:val="1BB5005C"/>
    <w:rsid w:val="1BB8000F"/>
    <w:rsid w:val="1BB83D11"/>
    <w:rsid w:val="1BB91C9A"/>
    <w:rsid w:val="1BBB0FD7"/>
    <w:rsid w:val="1BBE7C44"/>
    <w:rsid w:val="1BC17CE4"/>
    <w:rsid w:val="1BC62F8D"/>
    <w:rsid w:val="1BCC1DC6"/>
    <w:rsid w:val="1BD17F27"/>
    <w:rsid w:val="1BD2498B"/>
    <w:rsid w:val="1BD73063"/>
    <w:rsid w:val="1BD82F80"/>
    <w:rsid w:val="1BD9534F"/>
    <w:rsid w:val="1BE96568"/>
    <w:rsid w:val="1BEF60E3"/>
    <w:rsid w:val="1BF14125"/>
    <w:rsid w:val="1BF24221"/>
    <w:rsid w:val="1BF60697"/>
    <w:rsid w:val="1BF63B2B"/>
    <w:rsid w:val="1BFC56B5"/>
    <w:rsid w:val="1C00075B"/>
    <w:rsid w:val="1C033E58"/>
    <w:rsid w:val="1C090D67"/>
    <w:rsid w:val="1C0A082B"/>
    <w:rsid w:val="1C0B264C"/>
    <w:rsid w:val="1C0F4EF3"/>
    <w:rsid w:val="1C115218"/>
    <w:rsid w:val="1C126BF1"/>
    <w:rsid w:val="1C152BE3"/>
    <w:rsid w:val="1C161DDD"/>
    <w:rsid w:val="1C200EAE"/>
    <w:rsid w:val="1C2121A6"/>
    <w:rsid w:val="1C247751"/>
    <w:rsid w:val="1C256EBB"/>
    <w:rsid w:val="1C330D81"/>
    <w:rsid w:val="1C3A1621"/>
    <w:rsid w:val="1C450915"/>
    <w:rsid w:val="1C4F6FF7"/>
    <w:rsid w:val="1C536B8E"/>
    <w:rsid w:val="1C54006E"/>
    <w:rsid w:val="1C56042C"/>
    <w:rsid w:val="1C576D0C"/>
    <w:rsid w:val="1C5B6D90"/>
    <w:rsid w:val="1C5D7020"/>
    <w:rsid w:val="1C627CB7"/>
    <w:rsid w:val="1C664FE7"/>
    <w:rsid w:val="1C6B4178"/>
    <w:rsid w:val="1C6E39C8"/>
    <w:rsid w:val="1C72747D"/>
    <w:rsid w:val="1C746B04"/>
    <w:rsid w:val="1C7A05BE"/>
    <w:rsid w:val="1C7B41D3"/>
    <w:rsid w:val="1C84143D"/>
    <w:rsid w:val="1C8B0D49"/>
    <w:rsid w:val="1C8E7BC6"/>
    <w:rsid w:val="1C9203FF"/>
    <w:rsid w:val="1C9C36AC"/>
    <w:rsid w:val="1C9D7E82"/>
    <w:rsid w:val="1CA2398A"/>
    <w:rsid w:val="1CA27182"/>
    <w:rsid w:val="1CB57848"/>
    <w:rsid w:val="1CB92472"/>
    <w:rsid w:val="1CCC570F"/>
    <w:rsid w:val="1CD239BF"/>
    <w:rsid w:val="1CDB4ADE"/>
    <w:rsid w:val="1CE06507"/>
    <w:rsid w:val="1CE6645C"/>
    <w:rsid w:val="1CE95F4C"/>
    <w:rsid w:val="1CEB525C"/>
    <w:rsid w:val="1CEE4B08"/>
    <w:rsid w:val="1CEE7FE8"/>
    <w:rsid w:val="1CFA7196"/>
    <w:rsid w:val="1CFC6AE7"/>
    <w:rsid w:val="1D0A39A4"/>
    <w:rsid w:val="1D115C47"/>
    <w:rsid w:val="1D1327C1"/>
    <w:rsid w:val="1D15324F"/>
    <w:rsid w:val="1D24747C"/>
    <w:rsid w:val="1D293D92"/>
    <w:rsid w:val="1D2E13A9"/>
    <w:rsid w:val="1D305121"/>
    <w:rsid w:val="1D320E8A"/>
    <w:rsid w:val="1D332BCD"/>
    <w:rsid w:val="1D355C17"/>
    <w:rsid w:val="1D3A1BDA"/>
    <w:rsid w:val="1D3A7D4E"/>
    <w:rsid w:val="1D4104B9"/>
    <w:rsid w:val="1D4604A0"/>
    <w:rsid w:val="1D4E7035"/>
    <w:rsid w:val="1D530E41"/>
    <w:rsid w:val="1D540E0F"/>
    <w:rsid w:val="1D58544C"/>
    <w:rsid w:val="1D5A068E"/>
    <w:rsid w:val="1D5D57EA"/>
    <w:rsid w:val="1D620C2B"/>
    <w:rsid w:val="1D6310F9"/>
    <w:rsid w:val="1D6372A4"/>
    <w:rsid w:val="1D6D6E49"/>
    <w:rsid w:val="1D785701"/>
    <w:rsid w:val="1D8B44A2"/>
    <w:rsid w:val="1D963E91"/>
    <w:rsid w:val="1D990F18"/>
    <w:rsid w:val="1D992D5E"/>
    <w:rsid w:val="1D9C519D"/>
    <w:rsid w:val="1D9F7F52"/>
    <w:rsid w:val="1DA06387"/>
    <w:rsid w:val="1DAB6F39"/>
    <w:rsid w:val="1DB21FDA"/>
    <w:rsid w:val="1DB56977"/>
    <w:rsid w:val="1DB7139E"/>
    <w:rsid w:val="1DBC2A5D"/>
    <w:rsid w:val="1DC05541"/>
    <w:rsid w:val="1DC13096"/>
    <w:rsid w:val="1DC65DCF"/>
    <w:rsid w:val="1DD508DE"/>
    <w:rsid w:val="1DD8524D"/>
    <w:rsid w:val="1DDE692B"/>
    <w:rsid w:val="1DE40E59"/>
    <w:rsid w:val="1DE653AC"/>
    <w:rsid w:val="1DEF0B38"/>
    <w:rsid w:val="1DF51CE6"/>
    <w:rsid w:val="1E073CDF"/>
    <w:rsid w:val="1E0818E8"/>
    <w:rsid w:val="1E081BFA"/>
    <w:rsid w:val="1E091F5C"/>
    <w:rsid w:val="1E1B44E3"/>
    <w:rsid w:val="1E1C10AC"/>
    <w:rsid w:val="1E273037"/>
    <w:rsid w:val="1E2A5821"/>
    <w:rsid w:val="1E2C418F"/>
    <w:rsid w:val="1E337F0B"/>
    <w:rsid w:val="1E3C6314"/>
    <w:rsid w:val="1E3E658B"/>
    <w:rsid w:val="1E4510F8"/>
    <w:rsid w:val="1E485766"/>
    <w:rsid w:val="1E4D5B69"/>
    <w:rsid w:val="1E5007D0"/>
    <w:rsid w:val="1E5B2F38"/>
    <w:rsid w:val="1E605592"/>
    <w:rsid w:val="1E637F6C"/>
    <w:rsid w:val="1E685A19"/>
    <w:rsid w:val="1E6908EA"/>
    <w:rsid w:val="1E6E7EBE"/>
    <w:rsid w:val="1E72251E"/>
    <w:rsid w:val="1E7763D8"/>
    <w:rsid w:val="1E783F01"/>
    <w:rsid w:val="1E7A6829"/>
    <w:rsid w:val="1E7B5BAA"/>
    <w:rsid w:val="1E823321"/>
    <w:rsid w:val="1E861706"/>
    <w:rsid w:val="1E866B41"/>
    <w:rsid w:val="1E881F2B"/>
    <w:rsid w:val="1E8B796B"/>
    <w:rsid w:val="1E8F02F7"/>
    <w:rsid w:val="1E912B3E"/>
    <w:rsid w:val="1E9534A1"/>
    <w:rsid w:val="1E965458"/>
    <w:rsid w:val="1EA90CE7"/>
    <w:rsid w:val="1EAE454F"/>
    <w:rsid w:val="1EB46588"/>
    <w:rsid w:val="1EB505DD"/>
    <w:rsid w:val="1EB56AA0"/>
    <w:rsid w:val="1EB76B62"/>
    <w:rsid w:val="1EB8717C"/>
    <w:rsid w:val="1EBB0A1A"/>
    <w:rsid w:val="1EC03675"/>
    <w:rsid w:val="1EC42A15"/>
    <w:rsid w:val="1EC43D73"/>
    <w:rsid w:val="1ECD748C"/>
    <w:rsid w:val="1ECE747C"/>
    <w:rsid w:val="1ECF44C6"/>
    <w:rsid w:val="1EDA7854"/>
    <w:rsid w:val="1EDD3AC9"/>
    <w:rsid w:val="1EE10293"/>
    <w:rsid w:val="1EEF3CF3"/>
    <w:rsid w:val="1EF20721"/>
    <w:rsid w:val="1EFD0E7E"/>
    <w:rsid w:val="1EFD5194"/>
    <w:rsid w:val="1EFF2FFD"/>
    <w:rsid w:val="1F065E78"/>
    <w:rsid w:val="1F0F44F2"/>
    <w:rsid w:val="1F114ADE"/>
    <w:rsid w:val="1F176598"/>
    <w:rsid w:val="1F1F1E04"/>
    <w:rsid w:val="1F286F6B"/>
    <w:rsid w:val="1F29688E"/>
    <w:rsid w:val="1F3642C6"/>
    <w:rsid w:val="1F372256"/>
    <w:rsid w:val="1F3F3C8D"/>
    <w:rsid w:val="1F422E4D"/>
    <w:rsid w:val="1F43738D"/>
    <w:rsid w:val="1F47141C"/>
    <w:rsid w:val="1F483B73"/>
    <w:rsid w:val="1F515899"/>
    <w:rsid w:val="1F5170A5"/>
    <w:rsid w:val="1F547C90"/>
    <w:rsid w:val="1F5B002F"/>
    <w:rsid w:val="1F5E1C96"/>
    <w:rsid w:val="1F5E3223"/>
    <w:rsid w:val="1F623734"/>
    <w:rsid w:val="1F653440"/>
    <w:rsid w:val="1F69603C"/>
    <w:rsid w:val="1F703B65"/>
    <w:rsid w:val="1F777037"/>
    <w:rsid w:val="1F7C439B"/>
    <w:rsid w:val="1F7D54CB"/>
    <w:rsid w:val="1F904779"/>
    <w:rsid w:val="1F9E585C"/>
    <w:rsid w:val="1FA45952"/>
    <w:rsid w:val="1FAC3E99"/>
    <w:rsid w:val="1FB27CA2"/>
    <w:rsid w:val="1FC66A67"/>
    <w:rsid w:val="1FD42EAA"/>
    <w:rsid w:val="1FE04BDC"/>
    <w:rsid w:val="1FE2376E"/>
    <w:rsid w:val="1FE3647B"/>
    <w:rsid w:val="1FE36579"/>
    <w:rsid w:val="1FE50445"/>
    <w:rsid w:val="1FE609D0"/>
    <w:rsid w:val="1FF00888"/>
    <w:rsid w:val="1FF41387"/>
    <w:rsid w:val="1FF73CD4"/>
    <w:rsid w:val="1FFB7BCF"/>
    <w:rsid w:val="1FFD5D05"/>
    <w:rsid w:val="1FFF6B11"/>
    <w:rsid w:val="2001472C"/>
    <w:rsid w:val="200F5330"/>
    <w:rsid w:val="20104D96"/>
    <w:rsid w:val="201151DD"/>
    <w:rsid w:val="20216FF7"/>
    <w:rsid w:val="202A6576"/>
    <w:rsid w:val="202B1BD0"/>
    <w:rsid w:val="202D76F6"/>
    <w:rsid w:val="2033193C"/>
    <w:rsid w:val="20366AE2"/>
    <w:rsid w:val="2041079C"/>
    <w:rsid w:val="20430F4D"/>
    <w:rsid w:val="20434E3D"/>
    <w:rsid w:val="20491554"/>
    <w:rsid w:val="20497865"/>
    <w:rsid w:val="205E01F7"/>
    <w:rsid w:val="20616F31"/>
    <w:rsid w:val="2064374E"/>
    <w:rsid w:val="206D12E3"/>
    <w:rsid w:val="206E623B"/>
    <w:rsid w:val="207E43F5"/>
    <w:rsid w:val="208117EE"/>
    <w:rsid w:val="208239E9"/>
    <w:rsid w:val="20901CE0"/>
    <w:rsid w:val="20914128"/>
    <w:rsid w:val="20931C4F"/>
    <w:rsid w:val="20A1584D"/>
    <w:rsid w:val="20AB1E65"/>
    <w:rsid w:val="20B2171A"/>
    <w:rsid w:val="20B71101"/>
    <w:rsid w:val="20BB06DC"/>
    <w:rsid w:val="20BC20FD"/>
    <w:rsid w:val="20BD6CCC"/>
    <w:rsid w:val="20C067BC"/>
    <w:rsid w:val="20C53DD2"/>
    <w:rsid w:val="20C551C2"/>
    <w:rsid w:val="20CA68E2"/>
    <w:rsid w:val="20CB34B0"/>
    <w:rsid w:val="20CE28BE"/>
    <w:rsid w:val="20D109C9"/>
    <w:rsid w:val="20D3029D"/>
    <w:rsid w:val="20D41538"/>
    <w:rsid w:val="20D44015"/>
    <w:rsid w:val="20DE0B62"/>
    <w:rsid w:val="20E24984"/>
    <w:rsid w:val="20E56EFC"/>
    <w:rsid w:val="20EA2944"/>
    <w:rsid w:val="20F052F3"/>
    <w:rsid w:val="20F163F0"/>
    <w:rsid w:val="20F55CD9"/>
    <w:rsid w:val="20FB19F7"/>
    <w:rsid w:val="21006E58"/>
    <w:rsid w:val="210278B2"/>
    <w:rsid w:val="210520D8"/>
    <w:rsid w:val="210677A8"/>
    <w:rsid w:val="210F3251"/>
    <w:rsid w:val="211D776A"/>
    <w:rsid w:val="212125AD"/>
    <w:rsid w:val="212154AC"/>
    <w:rsid w:val="21313216"/>
    <w:rsid w:val="21371D65"/>
    <w:rsid w:val="21494A03"/>
    <w:rsid w:val="21504169"/>
    <w:rsid w:val="21507B40"/>
    <w:rsid w:val="21567B5E"/>
    <w:rsid w:val="215A276C"/>
    <w:rsid w:val="21621621"/>
    <w:rsid w:val="21696158"/>
    <w:rsid w:val="216E66B4"/>
    <w:rsid w:val="21753C60"/>
    <w:rsid w:val="217557F8"/>
    <w:rsid w:val="217575A6"/>
    <w:rsid w:val="21771570"/>
    <w:rsid w:val="217741E0"/>
    <w:rsid w:val="217759EE"/>
    <w:rsid w:val="217C039D"/>
    <w:rsid w:val="217C1966"/>
    <w:rsid w:val="21815A5C"/>
    <w:rsid w:val="21875522"/>
    <w:rsid w:val="218A33B2"/>
    <w:rsid w:val="218C669E"/>
    <w:rsid w:val="219173B8"/>
    <w:rsid w:val="21921F06"/>
    <w:rsid w:val="219263AA"/>
    <w:rsid w:val="21934580"/>
    <w:rsid w:val="219A3BE1"/>
    <w:rsid w:val="219D08AB"/>
    <w:rsid w:val="21A30A81"/>
    <w:rsid w:val="21AA74EF"/>
    <w:rsid w:val="21BA6164"/>
    <w:rsid w:val="21BC51D5"/>
    <w:rsid w:val="21C06526"/>
    <w:rsid w:val="21C32917"/>
    <w:rsid w:val="21C347B6"/>
    <w:rsid w:val="21C47815"/>
    <w:rsid w:val="21D03A8D"/>
    <w:rsid w:val="21D2321B"/>
    <w:rsid w:val="21D829FB"/>
    <w:rsid w:val="21DC7694"/>
    <w:rsid w:val="21EB65B0"/>
    <w:rsid w:val="21EF2637"/>
    <w:rsid w:val="21F901D7"/>
    <w:rsid w:val="21FA7AAB"/>
    <w:rsid w:val="220740D0"/>
    <w:rsid w:val="220B1DE3"/>
    <w:rsid w:val="22135854"/>
    <w:rsid w:val="221B150E"/>
    <w:rsid w:val="221E7BF7"/>
    <w:rsid w:val="221F133D"/>
    <w:rsid w:val="22236439"/>
    <w:rsid w:val="223918D0"/>
    <w:rsid w:val="22394A78"/>
    <w:rsid w:val="223D6F96"/>
    <w:rsid w:val="223F763D"/>
    <w:rsid w:val="224407AF"/>
    <w:rsid w:val="224B50A7"/>
    <w:rsid w:val="224C6559"/>
    <w:rsid w:val="224C7F9D"/>
    <w:rsid w:val="225047E7"/>
    <w:rsid w:val="22685A1B"/>
    <w:rsid w:val="226F401D"/>
    <w:rsid w:val="227202EB"/>
    <w:rsid w:val="22732BCC"/>
    <w:rsid w:val="22765384"/>
    <w:rsid w:val="227D450F"/>
    <w:rsid w:val="22813D29"/>
    <w:rsid w:val="228640B3"/>
    <w:rsid w:val="228D4308"/>
    <w:rsid w:val="2294299F"/>
    <w:rsid w:val="22973FF4"/>
    <w:rsid w:val="229C2B38"/>
    <w:rsid w:val="22AC5FB0"/>
    <w:rsid w:val="22B13D33"/>
    <w:rsid w:val="22B81E40"/>
    <w:rsid w:val="22C91716"/>
    <w:rsid w:val="22CC4DC5"/>
    <w:rsid w:val="22D314B1"/>
    <w:rsid w:val="22D456B2"/>
    <w:rsid w:val="22D5001A"/>
    <w:rsid w:val="22DD3655"/>
    <w:rsid w:val="22E03145"/>
    <w:rsid w:val="22F62969"/>
    <w:rsid w:val="22FB00AF"/>
    <w:rsid w:val="2302130E"/>
    <w:rsid w:val="23031512"/>
    <w:rsid w:val="230474F0"/>
    <w:rsid w:val="2309684E"/>
    <w:rsid w:val="230C61CC"/>
    <w:rsid w:val="230D6917"/>
    <w:rsid w:val="230F38AE"/>
    <w:rsid w:val="23110D9F"/>
    <w:rsid w:val="23131962"/>
    <w:rsid w:val="23143200"/>
    <w:rsid w:val="231A0A46"/>
    <w:rsid w:val="232079E6"/>
    <w:rsid w:val="232250BB"/>
    <w:rsid w:val="2322550C"/>
    <w:rsid w:val="23281B33"/>
    <w:rsid w:val="232958E5"/>
    <w:rsid w:val="232C1EE7"/>
    <w:rsid w:val="232D0D02"/>
    <w:rsid w:val="233200D8"/>
    <w:rsid w:val="233F269F"/>
    <w:rsid w:val="23415171"/>
    <w:rsid w:val="234436D4"/>
    <w:rsid w:val="23472198"/>
    <w:rsid w:val="23496F3C"/>
    <w:rsid w:val="234A672B"/>
    <w:rsid w:val="234C07DB"/>
    <w:rsid w:val="234E01C8"/>
    <w:rsid w:val="23533917"/>
    <w:rsid w:val="23572F18"/>
    <w:rsid w:val="23604D89"/>
    <w:rsid w:val="23642C17"/>
    <w:rsid w:val="236B6E6B"/>
    <w:rsid w:val="2377320B"/>
    <w:rsid w:val="23812AF5"/>
    <w:rsid w:val="238166D6"/>
    <w:rsid w:val="23860B84"/>
    <w:rsid w:val="238865DC"/>
    <w:rsid w:val="238A35F2"/>
    <w:rsid w:val="238E6172"/>
    <w:rsid w:val="2395307A"/>
    <w:rsid w:val="2398757C"/>
    <w:rsid w:val="239D57D0"/>
    <w:rsid w:val="239E2C2B"/>
    <w:rsid w:val="239F6B5C"/>
    <w:rsid w:val="23A22E59"/>
    <w:rsid w:val="23A411CC"/>
    <w:rsid w:val="23B21385"/>
    <w:rsid w:val="23CD48A1"/>
    <w:rsid w:val="23CD4A35"/>
    <w:rsid w:val="23DF21DE"/>
    <w:rsid w:val="23DF6B20"/>
    <w:rsid w:val="23E40040"/>
    <w:rsid w:val="23EA2930"/>
    <w:rsid w:val="23ED3875"/>
    <w:rsid w:val="23EE0D5E"/>
    <w:rsid w:val="23F11F86"/>
    <w:rsid w:val="23F161F7"/>
    <w:rsid w:val="23F179D5"/>
    <w:rsid w:val="24082A8D"/>
    <w:rsid w:val="240977A7"/>
    <w:rsid w:val="240A6FB1"/>
    <w:rsid w:val="240C069F"/>
    <w:rsid w:val="24103601"/>
    <w:rsid w:val="241348F9"/>
    <w:rsid w:val="2419191B"/>
    <w:rsid w:val="241A5C0D"/>
    <w:rsid w:val="24221432"/>
    <w:rsid w:val="24247062"/>
    <w:rsid w:val="242B781B"/>
    <w:rsid w:val="242D23BA"/>
    <w:rsid w:val="243C2453"/>
    <w:rsid w:val="244167EB"/>
    <w:rsid w:val="24422E9E"/>
    <w:rsid w:val="24423B22"/>
    <w:rsid w:val="244A5777"/>
    <w:rsid w:val="244C2837"/>
    <w:rsid w:val="244F4611"/>
    <w:rsid w:val="245142FB"/>
    <w:rsid w:val="24547548"/>
    <w:rsid w:val="245A6AF4"/>
    <w:rsid w:val="24682FF3"/>
    <w:rsid w:val="246C3202"/>
    <w:rsid w:val="246F14E9"/>
    <w:rsid w:val="24720E5F"/>
    <w:rsid w:val="247753E3"/>
    <w:rsid w:val="247C6E9E"/>
    <w:rsid w:val="24837121"/>
    <w:rsid w:val="249352A7"/>
    <w:rsid w:val="24976A43"/>
    <w:rsid w:val="24A00DDE"/>
    <w:rsid w:val="24A079C9"/>
    <w:rsid w:val="24AE027A"/>
    <w:rsid w:val="24B00147"/>
    <w:rsid w:val="24B37C49"/>
    <w:rsid w:val="24B81988"/>
    <w:rsid w:val="24BE0146"/>
    <w:rsid w:val="24C114D3"/>
    <w:rsid w:val="24C64DCF"/>
    <w:rsid w:val="24CF4151"/>
    <w:rsid w:val="24CF521F"/>
    <w:rsid w:val="24D71058"/>
    <w:rsid w:val="24DE36B4"/>
    <w:rsid w:val="24E212BA"/>
    <w:rsid w:val="24ED56A6"/>
    <w:rsid w:val="24FA4E6F"/>
    <w:rsid w:val="24FB7DC2"/>
    <w:rsid w:val="24FC0490"/>
    <w:rsid w:val="2501053B"/>
    <w:rsid w:val="250321B4"/>
    <w:rsid w:val="250B072C"/>
    <w:rsid w:val="250C6474"/>
    <w:rsid w:val="2517003B"/>
    <w:rsid w:val="2518224A"/>
    <w:rsid w:val="251849D8"/>
    <w:rsid w:val="25201F1F"/>
    <w:rsid w:val="25253091"/>
    <w:rsid w:val="2525782B"/>
    <w:rsid w:val="25287896"/>
    <w:rsid w:val="252E63EA"/>
    <w:rsid w:val="252F2DA9"/>
    <w:rsid w:val="25320EFB"/>
    <w:rsid w:val="25441769"/>
    <w:rsid w:val="254E083A"/>
    <w:rsid w:val="255874D1"/>
    <w:rsid w:val="255A453F"/>
    <w:rsid w:val="256742A6"/>
    <w:rsid w:val="256D560D"/>
    <w:rsid w:val="25715576"/>
    <w:rsid w:val="25746867"/>
    <w:rsid w:val="257F1E11"/>
    <w:rsid w:val="25911C34"/>
    <w:rsid w:val="259317BF"/>
    <w:rsid w:val="25967D5E"/>
    <w:rsid w:val="25972C58"/>
    <w:rsid w:val="259A50C1"/>
    <w:rsid w:val="259A5145"/>
    <w:rsid w:val="259B6014"/>
    <w:rsid w:val="259D3570"/>
    <w:rsid w:val="259F406E"/>
    <w:rsid w:val="25A91791"/>
    <w:rsid w:val="25A93CC2"/>
    <w:rsid w:val="25AB614F"/>
    <w:rsid w:val="25AE752B"/>
    <w:rsid w:val="25B4220A"/>
    <w:rsid w:val="25C235BB"/>
    <w:rsid w:val="25C31185"/>
    <w:rsid w:val="25C64076"/>
    <w:rsid w:val="25CA1C1A"/>
    <w:rsid w:val="25CA70CD"/>
    <w:rsid w:val="25CB0DCD"/>
    <w:rsid w:val="25D25254"/>
    <w:rsid w:val="25DC43CD"/>
    <w:rsid w:val="25DE2164"/>
    <w:rsid w:val="25E5442C"/>
    <w:rsid w:val="25EB7E37"/>
    <w:rsid w:val="25EE16DD"/>
    <w:rsid w:val="25F807A6"/>
    <w:rsid w:val="25F933E0"/>
    <w:rsid w:val="25F969F8"/>
    <w:rsid w:val="25FA2770"/>
    <w:rsid w:val="25FB65A9"/>
    <w:rsid w:val="26084E8D"/>
    <w:rsid w:val="261408A9"/>
    <w:rsid w:val="26143832"/>
    <w:rsid w:val="261B158B"/>
    <w:rsid w:val="261B69C4"/>
    <w:rsid w:val="26291378"/>
    <w:rsid w:val="262A3886"/>
    <w:rsid w:val="262D044F"/>
    <w:rsid w:val="262D66A1"/>
    <w:rsid w:val="26306192"/>
    <w:rsid w:val="26321A4B"/>
    <w:rsid w:val="263E440B"/>
    <w:rsid w:val="263F32FB"/>
    <w:rsid w:val="26411577"/>
    <w:rsid w:val="26420DAD"/>
    <w:rsid w:val="264B4D7A"/>
    <w:rsid w:val="264E443C"/>
    <w:rsid w:val="2652353D"/>
    <w:rsid w:val="26527BAA"/>
    <w:rsid w:val="26574EF3"/>
    <w:rsid w:val="265D6F87"/>
    <w:rsid w:val="26647F85"/>
    <w:rsid w:val="266527F2"/>
    <w:rsid w:val="2666570F"/>
    <w:rsid w:val="26672348"/>
    <w:rsid w:val="266E21AF"/>
    <w:rsid w:val="26726DD9"/>
    <w:rsid w:val="267C13D7"/>
    <w:rsid w:val="267F5470"/>
    <w:rsid w:val="268323AF"/>
    <w:rsid w:val="26857E9D"/>
    <w:rsid w:val="268638BC"/>
    <w:rsid w:val="26867B60"/>
    <w:rsid w:val="26892384"/>
    <w:rsid w:val="269C03DE"/>
    <w:rsid w:val="26A57368"/>
    <w:rsid w:val="26AC744B"/>
    <w:rsid w:val="26AF70B6"/>
    <w:rsid w:val="26AF7A3F"/>
    <w:rsid w:val="26B05123"/>
    <w:rsid w:val="26B66697"/>
    <w:rsid w:val="26BA0FA3"/>
    <w:rsid w:val="26BE1A01"/>
    <w:rsid w:val="26C54B2C"/>
    <w:rsid w:val="26C863CA"/>
    <w:rsid w:val="26CA568A"/>
    <w:rsid w:val="26D41066"/>
    <w:rsid w:val="26E3757D"/>
    <w:rsid w:val="26E466B6"/>
    <w:rsid w:val="26ED5E31"/>
    <w:rsid w:val="26F1465A"/>
    <w:rsid w:val="26F7687A"/>
    <w:rsid w:val="26FB054E"/>
    <w:rsid w:val="2708328E"/>
    <w:rsid w:val="270C54C8"/>
    <w:rsid w:val="270C62B7"/>
    <w:rsid w:val="270E7E22"/>
    <w:rsid w:val="270F7B55"/>
    <w:rsid w:val="271218A5"/>
    <w:rsid w:val="27183461"/>
    <w:rsid w:val="271C5FE7"/>
    <w:rsid w:val="272A2BE1"/>
    <w:rsid w:val="272F462C"/>
    <w:rsid w:val="27321C81"/>
    <w:rsid w:val="27361586"/>
    <w:rsid w:val="274676FC"/>
    <w:rsid w:val="27482393"/>
    <w:rsid w:val="274C2B57"/>
    <w:rsid w:val="274D3F4B"/>
    <w:rsid w:val="274E4B21"/>
    <w:rsid w:val="27557062"/>
    <w:rsid w:val="275E3EE6"/>
    <w:rsid w:val="276F6D50"/>
    <w:rsid w:val="27737B0D"/>
    <w:rsid w:val="27750300"/>
    <w:rsid w:val="27787851"/>
    <w:rsid w:val="277D058A"/>
    <w:rsid w:val="2780134E"/>
    <w:rsid w:val="278D53D5"/>
    <w:rsid w:val="278F55B8"/>
    <w:rsid w:val="279B63D3"/>
    <w:rsid w:val="279D1605"/>
    <w:rsid w:val="27A00268"/>
    <w:rsid w:val="27B47943"/>
    <w:rsid w:val="27B55D64"/>
    <w:rsid w:val="27B97289"/>
    <w:rsid w:val="27BA3F65"/>
    <w:rsid w:val="27BB3024"/>
    <w:rsid w:val="27BF58C1"/>
    <w:rsid w:val="27C14FCB"/>
    <w:rsid w:val="27C25D8D"/>
    <w:rsid w:val="27D112AE"/>
    <w:rsid w:val="27D63A34"/>
    <w:rsid w:val="27D765EE"/>
    <w:rsid w:val="27D80286"/>
    <w:rsid w:val="27D85085"/>
    <w:rsid w:val="27DF7056"/>
    <w:rsid w:val="27E014F2"/>
    <w:rsid w:val="27EE59A0"/>
    <w:rsid w:val="27F8683B"/>
    <w:rsid w:val="27F97B65"/>
    <w:rsid w:val="28036668"/>
    <w:rsid w:val="28087B4D"/>
    <w:rsid w:val="28126D74"/>
    <w:rsid w:val="2814347E"/>
    <w:rsid w:val="28180C8B"/>
    <w:rsid w:val="281875F6"/>
    <w:rsid w:val="282C4737"/>
    <w:rsid w:val="282D666B"/>
    <w:rsid w:val="282F460A"/>
    <w:rsid w:val="2835180E"/>
    <w:rsid w:val="283B6B64"/>
    <w:rsid w:val="283D06F2"/>
    <w:rsid w:val="284267FC"/>
    <w:rsid w:val="28436F06"/>
    <w:rsid w:val="28475927"/>
    <w:rsid w:val="284952E9"/>
    <w:rsid w:val="284A2313"/>
    <w:rsid w:val="284B369B"/>
    <w:rsid w:val="284C045D"/>
    <w:rsid w:val="285205FC"/>
    <w:rsid w:val="28550C54"/>
    <w:rsid w:val="285E0D94"/>
    <w:rsid w:val="286363AA"/>
    <w:rsid w:val="286959FF"/>
    <w:rsid w:val="286F2FA1"/>
    <w:rsid w:val="2879222A"/>
    <w:rsid w:val="287D72B0"/>
    <w:rsid w:val="288732CD"/>
    <w:rsid w:val="289607B9"/>
    <w:rsid w:val="2898451F"/>
    <w:rsid w:val="28A20AE7"/>
    <w:rsid w:val="28A55BD1"/>
    <w:rsid w:val="28B906C0"/>
    <w:rsid w:val="28BA0084"/>
    <w:rsid w:val="28C57065"/>
    <w:rsid w:val="28C655E7"/>
    <w:rsid w:val="28C93FA2"/>
    <w:rsid w:val="28CB3E86"/>
    <w:rsid w:val="28CF3A40"/>
    <w:rsid w:val="28D61026"/>
    <w:rsid w:val="28DC43AF"/>
    <w:rsid w:val="28DD30B8"/>
    <w:rsid w:val="28E2004C"/>
    <w:rsid w:val="28E8271A"/>
    <w:rsid w:val="28EA3149"/>
    <w:rsid w:val="28F66390"/>
    <w:rsid w:val="28F95BE3"/>
    <w:rsid w:val="2900131D"/>
    <w:rsid w:val="2903131F"/>
    <w:rsid w:val="29132F32"/>
    <w:rsid w:val="29155EC0"/>
    <w:rsid w:val="291A0F38"/>
    <w:rsid w:val="291B61D3"/>
    <w:rsid w:val="292B15A1"/>
    <w:rsid w:val="292C4647"/>
    <w:rsid w:val="293F71A5"/>
    <w:rsid w:val="2940430A"/>
    <w:rsid w:val="29406D7C"/>
    <w:rsid w:val="29487555"/>
    <w:rsid w:val="294E5E3F"/>
    <w:rsid w:val="2951217D"/>
    <w:rsid w:val="2952050E"/>
    <w:rsid w:val="29524D88"/>
    <w:rsid w:val="29552737"/>
    <w:rsid w:val="295A3417"/>
    <w:rsid w:val="29636A75"/>
    <w:rsid w:val="29641FB0"/>
    <w:rsid w:val="29660F9C"/>
    <w:rsid w:val="29692BA3"/>
    <w:rsid w:val="297A7E50"/>
    <w:rsid w:val="298559B6"/>
    <w:rsid w:val="298800E8"/>
    <w:rsid w:val="298944CE"/>
    <w:rsid w:val="298A4BC1"/>
    <w:rsid w:val="298A6197"/>
    <w:rsid w:val="29950EAC"/>
    <w:rsid w:val="299F045D"/>
    <w:rsid w:val="299F78B6"/>
    <w:rsid w:val="29A053DC"/>
    <w:rsid w:val="29A26BB0"/>
    <w:rsid w:val="29A6675E"/>
    <w:rsid w:val="29AE0ECF"/>
    <w:rsid w:val="29BA042C"/>
    <w:rsid w:val="29C56BA5"/>
    <w:rsid w:val="29D07A70"/>
    <w:rsid w:val="29D137E8"/>
    <w:rsid w:val="29D3130E"/>
    <w:rsid w:val="29D6426A"/>
    <w:rsid w:val="29D90C54"/>
    <w:rsid w:val="29EA557E"/>
    <w:rsid w:val="29F14236"/>
    <w:rsid w:val="29F80697"/>
    <w:rsid w:val="29FE40F0"/>
    <w:rsid w:val="29FF3E88"/>
    <w:rsid w:val="2A0D2E6D"/>
    <w:rsid w:val="2A0E3239"/>
    <w:rsid w:val="2A0E3ED1"/>
    <w:rsid w:val="2A122468"/>
    <w:rsid w:val="2A26533F"/>
    <w:rsid w:val="2A297180"/>
    <w:rsid w:val="2A2E45FD"/>
    <w:rsid w:val="2A300308"/>
    <w:rsid w:val="2A4B17EC"/>
    <w:rsid w:val="2A517423"/>
    <w:rsid w:val="2A554D90"/>
    <w:rsid w:val="2A5A53BA"/>
    <w:rsid w:val="2A5C5B59"/>
    <w:rsid w:val="2A5D1C7C"/>
    <w:rsid w:val="2A612DBE"/>
    <w:rsid w:val="2A625AC4"/>
    <w:rsid w:val="2A635FC4"/>
    <w:rsid w:val="2A662182"/>
    <w:rsid w:val="2A693E3C"/>
    <w:rsid w:val="2A6E1037"/>
    <w:rsid w:val="2A75693D"/>
    <w:rsid w:val="2A7E3970"/>
    <w:rsid w:val="2A823ABD"/>
    <w:rsid w:val="2A834A21"/>
    <w:rsid w:val="2A846AAC"/>
    <w:rsid w:val="2A8572EE"/>
    <w:rsid w:val="2A8645D2"/>
    <w:rsid w:val="2A971F59"/>
    <w:rsid w:val="2A984CD6"/>
    <w:rsid w:val="2AA05BAA"/>
    <w:rsid w:val="2AA61175"/>
    <w:rsid w:val="2AA6198D"/>
    <w:rsid w:val="2AA669D3"/>
    <w:rsid w:val="2AAA2BF7"/>
    <w:rsid w:val="2AAA65D4"/>
    <w:rsid w:val="2AAF1F86"/>
    <w:rsid w:val="2AB54EB7"/>
    <w:rsid w:val="2AB729DE"/>
    <w:rsid w:val="2AC05D36"/>
    <w:rsid w:val="2ACE78A7"/>
    <w:rsid w:val="2ACF361D"/>
    <w:rsid w:val="2AD571B7"/>
    <w:rsid w:val="2ADC3C95"/>
    <w:rsid w:val="2AE0289C"/>
    <w:rsid w:val="2AE17A5A"/>
    <w:rsid w:val="2AE269CD"/>
    <w:rsid w:val="2AE4280E"/>
    <w:rsid w:val="2AE44A8F"/>
    <w:rsid w:val="2AE57210"/>
    <w:rsid w:val="2AEB08D9"/>
    <w:rsid w:val="2AEC4CE2"/>
    <w:rsid w:val="2AF068A5"/>
    <w:rsid w:val="2AF21C68"/>
    <w:rsid w:val="2AF46E96"/>
    <w:rsid w:val="2AFC4799"/>
    <w:rsid w:val="2B0A1BCE"/>
    <w:rsid w:val="2B0E33CC"/>
    <w:rsid w:val="2B0E388C"/>
    <w:rsid w:val="2B116221"/>
    <w:rsid w:val="2B1604F9"/>
    <w:rsid w:val="2B1F38F5"/>
    <w:rsid w:val="2B2362C5"/>
    <w:rsid w:val="2B255B99"/>
    <w:rsid w:val="2B2A1157"/>
    <w:rsid w:val="2B32194C"/>
    <w:rsid w:val="2B34402E"/>
    <w:rsid w:val="2B346ECE"/>
    <w:rsid w:val="2B3B04A5"/>
    <w:rsid w:val="2B3B7B09"/>
    <w:rsid w:val="2B52590E"/>
    <w:rsid w:val="2B5344EE"/>
    <w:rsid w:val="2B5D17D7"/>
    <w:rsid w:val="2B5F2C64"/>
    <w:rsid w:val="2B6568DD"/>
    <w:rsid w:val="2B672E15"/>
    <w:rsid w:val="2B683CD8"/>
    <w:rsid w:val="2B6D12EE"/>
    <w:rsid w:val="2B75456B"/>
    <w:rsid w:val="2B7663F5"/>
    <w:rsid w:val="2B7D0F5F"/>
    <w:rsid w:val="2B881414"/>
    <w:rsid w:val="2B944A28"/>
    <w:rsid w:val="2B9F184C"/>
    <w:rsid w:val="2BA2543C"/>
    <w:rsid w:val="2BA32F62"/>
    <w:rsid w:val="2BA76ADF"/>
    <w:rsid w:val="2BAB27E5"/>
    <w:rsid w:val="2BB539CA"/>
    <w:rsid w:val="2BB70C5C"/>
    <w:rsid w:val="2BBA4D59"/>
    <w:rsid w:val="2BC3596A"/>
    <w:rsid w:val="2BC52ED8"/>
    <w:rsid w:val="2BC730F4"/>
    <w:rsid w:val="2BCB08F7"/>
    <w:rsid w:val="2BCE6231"/>
    <w:rsid w:val="2BDD6A68"/>
    <w:rsid w:val="2BE21CDC"/>
    <w:rsid w:val="2BE710A1"/>
    <w:rsid w:val="2BE821EB"/>
    <w:rsid w:val="2BEB7278"/>
    <w:rsid w:val="2BED6535"/>
    <w:rsid w:val="2BEF43C1"/>
    <w:rsid w:val="2BF51A0F"/>
    <w:rsid w:val="2BF717A7"/>
    <w:rsid w:val="2C16157A"/>
    <w:rsid w:val="2C161986"/>
    <w:rsid w:val="2C246A6A"/>
    <w:rsid w:val="2C274113"/>
    <w:rsid w:val="2C27550D"/>
    <w:rsid w:val="2C2876FD"/>
    <w:rsid w:val="2C2E4B49"/>
    <w:rsid w:val="2C342D2E"/>
    <w:rsid w:val="2C364617"/>
    <w:rsid w:val="2C385DA0"/>
    <w:rsid w:val="2C3A3A94"/>
    <w:rsid w:val="2C3A5002"/>
    <w:rsid w:val="2C3A5674"/>
    <w:rsid w:val="2C412EA7"/>
    <w:rsid w:val="2C536736"/>
    <w:rsid w:val="2C545F32"/>
    <w:rsid w:val="2C5B55EB"/>
    <w:rsid w:val="2C5D5807"/>
    <w:rsid w:val="2C5D58CD"/>
    <w:rsid w:val="2C5D67EF"/>
    <w:rsid w:val="2C68537B"/>
    <w:rsid w:val="2C6C1C73"/>
    <w:rsid w:val="2C6D062B"/>
    <w:rsid w:val="2C6E4460"/>
    <w:rsid w:val="2C702FF6"/>
    <w:rsid w:val="2C7124AA"/>
    <w:rsid w:val="2C7A0167"/>
    <w:rsid w:val="2C7E7F86"/>
    <w:rsid w:val="2C8132E4"/>
    <w:rsid w:val="2C8147A5"/>
    <w:rsid w:val="2C815051"/>
    <w:rsid w:val="2C891ED6"/>
    <w:rsid w:val="2C8A0563"/>
    <w:rsid w:val="2C8A6AA3"/>
    <w:rsid w:val="2C96021D"/>
    <w:rsid w:val="2C96472C"/>
    <w:rsid w:val="2C9F4404"/>
    <w:rsid w:val="2CA07D70"/>
    <w:rsid w:val="2CAD3CD9"/>
    <w:rsid w:val="2CB23E10"/>
    <w:rsid w:val="2CB73169"/>
    <w:rsid w:val="2CBC4D56"/>
    <w:rsid w:val="2CC139DC"/>
    <w:rsid w:val="2CC444C4"/>
    <w:rsid w:val="2CC80D5E"/>
    <w:rsid w:val="2CCD4E38"/>
    <w:rsid w:val="2CD20100"/>
    <w:rsid w:val="2CD800EF"/>
    <w:rsid w:val="2CE111A5"/>
    <w:rsid w:val="2CE57E3C"/>
    <w:rsid w:val="2CF021D7"/>
    <w:rsid w:val="2CFA6AB8"/>
    <w:rsid w:val="2D03163E"/>
    <w:rsid w:val="2D0744F2"/>
    <w:rsid w:val="2D08645E"/>
    <w:rsid w:val="2D094525"/>
    <w:rsid w:val="2D1A7254"/>
    <w:rsid w:val="2D1B54A6"/>
    <w:rsid w:val="2D20612D"/>
    <w:rsid w:val="2D214369"/>
    <w:rsid w:val="2D244788"/>
    <w:rsid w:val="2D26271D"/>
    <w:rsid w:val="2D2745E5"/>
    <w:rsid w:val="2D314CC9"/>
    <w:rsid w:val="2D32105F"/>
    <w:rsid w:val="2D385844"/>
    <w:rsid w:val="2D3C3092"/>
    <w:rsid w:val="2D415E79"/>
    <w:rsid w:val="2D472A7F"/>
    <w:rsid w:val="2D4C45BC"/>
    <w:rsid w:val="2D5122E1"/>
    <w:rsid w:val="2D5173EA"/>
    <w:rsid w:val="2D554990"/>
    <w:rsid w:val="2D564730"/>
    <w:rsid w:val="2D5F5C09"/>
    <w:rsid w:val="2D7352E2"/>
    <w:rsid w:val="2D777553"/>
    <w:rsid w:val="2D7E77E3"/>
    <w:rsid w:val="2D855055"/>
    <w:rsid w:val="2D8F379E"/>
    <w:rsid w:val="2D9146DD"/>
    <w:rsid w:val="2D9B394F"/>
    <w:rsid w:val="2DA532B1"/>
    <w:rsid w:val="2DAF3E40"/>
    <w:rsid w:val="2DBA2E4F"/>
    <w:rsid w:val="2DBA42E7"/>
    <w:rsid w:val="2DC5497D"/>
    <w:rsid w:val="2DCB7A40"/>
    <w:rsid w:val="2DD500BA"/>
    <w:rsid w:val="2DDB4C35"/>
    <w:rsid w:val="2DDB5965"/>
    <w:rsid w:val="2DDC50D9"/>
    <w:rsid w:val="2DE03AF7"/>
    <w:rsid w:val="2DE21BA9"/>
    <w:rsid w:val="2DE3463B"/>
    <w:rsid w:val="2DF31F7F"/>
    <w:rsid w:val="2DF92249"/>
    <w:rsid w:val="2DFA5680"/>
    <w:rsid w:val="2DFB52D7"/>
    <w:rsid w:val="2DFD4BAB"/>
    <w:rsid w:val="2DFF3C45"/>
    <w:rsid w:val="2E0010B6"/>
    <w:rsid w:val="2E044C53"/>
    <w:rsid w:val="2E051CB2"/>
    <w:rsid w:val="2E0678E7"/>
    <w:rsid w:val="2E0777D8"/>
    <w:rsid w:val="2E112510"/>
    <w:rsid w:val="2E1C715F"/>
    <w:rsid w:val="2E1F0FC6"/>
    <w:rsid w:val="2E236A75"/>
    <w:rsid w:val="2E2414DA"/>
    <w:rsid w:val="2E262354"/>
    <w:rsid w:val="2E2F286D"/>
    <w:rsid w:val="2E3A7BAD"/>
    <w:rsid w:val="2E474078"/>
    <w:rsid w:val="2E50411F"/>
    <w:rsid w:val="2E5549E7"/>
    <w:rsid w:val="2E562C1F"/>
    <w:rsid w:val="2E5B73B8"/>
    <w:rsid w:val="2E5E49A4"/>
    <w:rsid w:val="2E5F35C3"/>
    <w:rsid w:val="2E63187F"/>
    <w:rsid w:val="2E66279C"/>
    <w:rsid w:val="2E6C5D04"/>
    <w:rsid w:val="2E713A3C"/>
    <w:rsid w:val="2E741C21"/>
    <w:rsid w:val="2E772D66"/>
    <w:rsid w:val="2E7A444E"/>
    <w:rsid w:val="2E7D08E1"/>
    <w:rsid w:val="2E7D4AE6"/>
    <w:rsid w:val="2E7D7B3A"/>
    <w:rsid w:val="2E8651BE"/>
    <w:rsid w:val="2E867547"/>
    <w:rsid w:val="2E8941FF"/>
    <w:rsid w:val="2E8B5FE8"/>
    <w:rsid w:val="2E945E65"/>
    <w:rsid w:val="2E951288"/>
    <w:rsid w:val="2EA119DB"/>
    <w:rsid w:val="2EA21147"/>
    <w:rsid w:val="2EAC2993"/>
    <w:rsid w:val="2EAC496F"/>
    <w:rsid w:val="2EAD4823"/>
    <w:rsid w:val="2EAE5EA6"/>
    <w:rsid w:val="2EB07E70"/>
    <w:rsid w:val="2EB21E3A"/>
    <w:rsid w:val="2EB3170E"/>
    <w:rsid w:val="2EBE493E"/>
    <w:rsid w:val="2EC21805"/>
    <w:rsid w:val="2EC60DB5"/>
    <w:rsid w:val="2EC659BD"/>
    <w:rsid w:val="2ECD6C74"/>
    <w:rsid w:val="2ECE3E7F"/>
    <w:rsid w:val="2ED00512"/>
    <w:rsid w:val="2ED7244C"/>
    <w:rsid w:val="2EDA6C9B"/>
    <w:rsid w:val="2EDB13D2"/>
    <w:rsid w:val="2EE11CCC"/>
    <w:rsid w:val="2EE144CD"/>
    <w:rsid w:val="2EE6563F"/>
    <w:rsid w:val="2EF064BE"/>
    <w:rsid w:val="2EF1683A"/>
    <w:rsid w:val="2EFA3102"/>
    <w:rsid w:val="2EFD7E61"/>
    <w:rsid w:val="2F023AFB"/>
    <w:rsid w:val="2F03519A"/>
    <w:rsid w:val="2F0D3EBB"/>
    <w:rsid w:val="2F1D516B"/>
    <w:rsid w:val="2F1D5370"/>
    <w:rsid w:val="2F1D6D82"/>
    <w:rsid w:val="2F2969EB"/>
    <w:rsid w:val="2F2C13A9"/>
    <w:rsid w:val="2F2E67F0"/>
    <w:rsid w:val="2F34284F"/>
    <w:rsid w:val="2F3445FD"/>
    <w:rsid w:val="2F3C5BA7"/>
    <w:rsid w:val="2F464E32"/>
    <w:rsid w:val="2F486DA5"/>
    <w:rsid w:val="2F4D56BE"/>
    <w:rsid w:val="2F4F58DB"/>
    <w:rsid w:val="2F515F41"/>
    <w:rsid w:val="2F561217"/>
    <w:rsid w:val="2F5613CC"/>
    <w:rsid w:val="2F5B44D5"/>
    <w:rsid w:val="2F5C4797"/>
    <w:rsid w:val="2F5C5E02"/>
    <w:rsid w:val="2F5E5B1E"/>
    <w:rsid w:val="2F621A95"/>
    <w:rsid w:val="2F64034F"/>
    <w:rsid w:val="2F64085B"/>
    <w:rsid w:val="2F68699C"/>
    <w:rsid w:val="2F733BB3"/>
    <w:rsid w:val="2F742F34"/>
    <w:rsid w:val="2F7443ED"/>
    <w:rsid w:val="2F77098D"/>
    <w:rsid w:val="2F7E1D1C"/>
    <w:rsid w:val="2F846B37"/>
    <w:rsid w:val="2F882B9B"/>
    <w:rsid w:val="2F887C19"/>
    <w:rsid w:val="2F9E416C"/>
    <w:rsid w:val="2FA375E7"/>
    <w:rsid w:val="2FC73AB2"/>
    <w:rsid w:val="2FD72778"/>
    <w:rsid w:val="2FD730FB"/>
    <w:rsid w:val="2FE204FD"/>
    <w:rsid w:val="2FE92AEC"/>
    <w:rsid w:val="2FED3DE1"/>
    <w:rsid w:val="2FF260D3"/>
    <w:rsid w:val="2FF53F42"/>
    <w:rsid w:val="2FF95846"/>
    <w:rsid w:val="2FF97588"/>
    <w:rsid w:val="30032221"/>
    <w:rsid w:val="3008444D"/>
    <w:rsid w:val="30094A3C"/>
    <w:rsid w:val="300C25F7"/>
    <w:rsid w:val="300C526E"/>
    <w:rsid w:val="300D4E4E"/>
    <w:rsid w:val="300E30A0"/>
    <w:rsid w:val="30160E24"/>
    <w:rsid w:val="302A5A00"/>
    <w:rsid w:val="30350486"/>
    <w:rsid w:val="30360848"/>
    <w:rsid w:val="30384B38"/>
    <w:rsid w:val="303B19BB"/>
    <w:rsid w:val="30407391"/>
    <w:rsid w:val="30414686"/>
    <w:rsid w:val="30471C10"/>
    <w:rsid w:val="304D6CD4"/>
    <w:rsid w:val="3050276F"/>
    <w:rsid w:val="30513C37"/>
    <w:rsid w:val="30600ECD"/>
    <w:rsid w:val="30621F18"/>
    <w:rsid w:val="30624C2D"/>
    <w:rsid w:val="30626042"/>
    <w:rsid w:val="30651B57"/>
    <w:rsid w:val="30711183"/>
    <w:rsid w:val="307828BA"/>
    <w:rsid w:val="307F0B1B"/>
    <w:rsid w:val="308426EE"/>
    <w:rsid w:val="308642C9"/>
    <w:rsid w:val="308B4938"/>
    <w:rsid w:val="308C4C3B"/>
    <w:rsid w:val="308F1579"/>
    <w:rsid w:val="309074A0"/>
    <w:rsid w:val="30911CE4"/>
    <w:rsid w:val="30942609"/>
    <w:rsid w:val="309E79E4"/>
    <w:rsid w:val="30A2779B"/>
    <w:rsid w:val="30A52A3D"/>
    <w:rsid w:val="30A560DE"/>
    <w:rsid w:val="30A70A0C"/>
    <w:rsid w:val="30AA5765"/>
    <w:rsid w:val="30AB2186"/>
    <w:rsid w:val="30AE22AE"/>
    <w:rsid w:val="30AF3F28"/>
    <w:rsid w:val="30B478D1"/>
    <w:rsid w:val="30B75287"/>
    <w:rsid w:val="30BD4E03"/>
    <w:rsid w:val="30BF52E2"/>
    <w:rsid w:val="30C145B6"/>
    <w:rsid w:val="30CB3765"/>
    <w:rsid w:val="30CE51FE"/>
    <w:rsid w:val="30D140CD"/>
    <w:rsid w:val="30DA3543"/>
    <w:rsid w:val="30DC12D6"/>
    <w:rsid w:val="30DD0CC4"/>
    <w:rsid w:val="30DF5C96"/>
    <w:rsid w:val="30E66EC3"/>
    <w:rsid w:val="30E67B79"/>
    <w:rsid w:val="30E87D95"/>
    <w:rsid w:val="30EB7897"/>
    <w:rsid w:val="30ED3FD2"/>
    <w:rsid w:val="30F5259F"/>
    <w:rsid w:val="30F914C1"/>
    <w:rsid w:val="30FC4936"/>
    <w:rsid w:val="3106646D"/>
    <w:rsid w:val="310D4CA4"/>
    <w:rsid w:val="311C21C8"/>
    <w:rsid w:val="31216E03"/>
    <w:rsid w:val="31227672"/>
    <w:rsid w:val="312468F3"/>
    <w:rsid w:val="31271F3F"/>
    <w:rsid w:val="31285357"/>
    <w:rsid w:val="3129682B"/>
    <w:rsid w:val="312D7D59"/>
    <w:rsid w:val="312E6FC3"/>
    <w:rsid w:val="313059E8"/>
    <w:rsid w:val="31460CE6"/>
    <w:rsid w:val="314671FB"/>
    <w:rsid w:val="31584675"/>
    <w:rsid w:val="315A2315"/>
    <w:rsid w:val="315A3BE0"/>
    <w:rsid w:val="315C7E3B"/>
    <w:rsid w:val="31645291"/>
    <w:rsid w:val="31660CB9"/>
    <w:rsid w:val="316C7E93"/>
    <w:rsid w:val="31785513"/>
    <w:rsid w:val="317E5271"/>
    <w:rsid w:val="31815AF3"/>
    <w:rsid w:val="31927C72"/>
    <w:rsid w:val="319E2BC9"/>
    <w:rsid w:val="31A4102D"/>
    <w:rsid w:val="31A72156"/>
    <w:rsid w:val="31AD0696"/>
    <w:rsid w:val="31AE13E3"/>
    <w:rsid w:val="31B4219B"/>
    <w:rsid w:val="31B639EF"/>
    <w:rsid w:val="31B70371"/>
    <w:rsid w:val="31BB1005"/>
    <w:rsid w:val="31BF4257"/>
    <w:rsid w:val="31C150D9"/>
    <w:rsid w:val="31C15242"/>
    <w:rsid w:val="31C82057"/>
    <w:rsid w:val="31CA56EC"/>
    <w:rsid w:val="31D125D7"/>
    <w:rsid w:val="31D541E5"/>
    <w:rsid w:val="31D91491"/>
    <w:rsid w:val="31E07CE0"/>
    <w:rsid w:val="31E71A14"/>
    <w:rsid w:val="31E762BB"/>
    <w:rsid w:val="31ED17D1"/>
    <w:rsid w:val="31EE5F02"/>
    <w:rsid w:val="31F13468"/>
    <w:rsid w:val="31FB0564"/>
    <w:rsid w:val="32024E86"/>
    <w:rsid w:val="321150C9"/>
    <w:rsid w:val="32115747"/>
    <w:rsid w:val="3212499D"/>
    <w:rsid w:val="32136C77"/>
    <w:rsid w:val="32146967"/>
    <w:rsid w:val="3220279B"/>
    <w:rsid w:val="32204A65"/>
    <w:rsid w:val="32222E32"/>
    <w:rsid w:val="322C5A5F"/>
    <w:rsid w:val="3238579A"/>
    <w:rsid w:val="323C4D69"/>
    <w:rsid w:val="324D47E7"/>
    <w:rsid w:val="324E1E79"/>
    <w:rsid w:val="32550EA6"/>
    <w:rsid w:val="32601BAD"/>
    <w:rsid w:val="327366AC"/>
    <w:rsid w:val="32764008"/>
    <w:rsid w:val="3276601D"/>
    <w:rsid w:val="327976BA"/>
    <w:rsid w:val="327F5727"/>
    <w:rsid w:val="3282623D"/>
    <w:rsid w:val="328A0BB3"/>
    <w:rsid w:val="328C6388"/>
    <w:rsid w:val="32902492"/>
    <w:rsid w:val="32953A5A"/>
    <w:rsid w:val="32995A63"/>
    <w:rsid w:val="32AA6065"/>
    <w:rsid w:val="32AC6BA0"/>
    <w:rsid w:val="32B263EA"/>
    <w:rsid w:val="32B40A15"/>
    <w:rsid w:val="32C2048C"/>
    <w:rsid w:val="32C31554"/>
    <w:rsid w:val="32C45F91"/>
    <w:rsid w:val="32C572A5"/>
    <w:rsid w:val="32C70B97"/>
    <w:rsid w:val="32D10519"/>
    <w:rsid w:val="32D70A63"/>
    <w:rsid w:val="32DF6F75"/>
    <w:rsid w:val="32E6466C"/>
    <w:rsid w:val="32EC3DF8"/>
    <w:rsid w:val="32F00E51"/>
    <w:rsid w:val="32F347CF"/>
    <w:rsid w:val="32F522F5"/>
    <w:rsid w:val="32F81DE5"/>
    <w:rsid w:val="33043C30"/>
    <w:rsid w:val="330D5C27"/>
    <w:rsid w:val="331615CD"/>
    <w:rsid w:val="331828FF"/>
    <w:rsid w:val="331C5AD4"/>
    <w:rsid w:val="331D184C"/>
    <w:rsid w:val="33242BDA"/>
    <w:rsid w:val="33244988"/>
    <w:rsid w:val="332824ED"/>
    <w:rsid w:val="332E0410"/>
    <w:rsid w:val="3335434B"/>
    <w:rsid w:val="3336048C"/>
    <w:rsid w:val="33380434"/>
    <w:rsid w:val="33391578"/>
    <w:rsid w:val="333D3BBB"/>
    <w:rsid w:val="333E410C"/>
    <w:rsid w:val="33413E46"/>
    <w:rsid w:val="334214A6"/>
    <w:rsid w:val="33466FF4"/>
    <w:rsid w:val="3355548A"/>
    <w:rsid w:val="335600C6"/>
    <w:rsid w:val="3360602F"/>
    <w:rsid w:val="336472E3"/>
    <w:rsid w:val="3364747B"/>
    <w:rsid w:val="337109D4"/>
    <w:rsid w:val="337376BE"/>
    <w:rsid w:val="337666C3"/>
    <w:rsid w:val="337F6063"/>
    <w:rsid w:val="33830D6D"/>
    <w:rsid w:val="33873DC4"/>
    <w:rsid w:val="338B2C59"/>
    <w:rsid w:val="339D6490"/>
    <w:rsid w:val="33A1247D"/>
    <w:rsid w:val="33A172E0"/>
    <w:rsid w:val="33A74196"/>
    <w:rsid w:val="33A8380B"/>
    <w:rsid w:val="33AF6948"/>
    <w:rsid w:val="33B078C6"/>
    <w:rsid w:val="33B75806"/>
    <w:rsid w:val="33BC6999"/>
    <w:rsid w:val="33BE4DDD"/>
    <w:rsid w:val="33C53EEE"/>
    <w:rsid w:val="33CC4425"/>
    <w:rsid w:val="33CD5020"/>
    <w:rsid w:val="33D95764"/>
    <w:rsid w:val="33DB773D"/>
    <w:rsid w:val="33DE4BF8"/>
    <w:rsid w:val="33E57AF0"/>
    <w:rsid w:val="33E800AC"/>
    <w:rsid w:val="33EA7980"/>
    <w:rsid w:val="33F051BF"/>
    <w:rsid w:val="33F16B82"/>
    <w:rsid w:val="33F610D0"/>
    <w:rsid w:val="33F7209D"/>
    <w:rsid w:val="33F86541"/>
    <w:rsid w:val="33F8693E"/>
    <w:rsid w:val="33F94067"/>
    <w:rsid w:val="33F95E15"/>
    <w:rsid w:val="33FC296F"/>
    <w:rsid w:val="34062C62"/>
    <w:rsid w:val="34064F33"/>
    <w:rsid w:val="340A0B1C"/>
    <w:rsid w:val="340D7095"/>
    <w:rsid w:val="34143127"/>
    <w:rsid w:val="341B000C"/>
    <w:rsid w:val="34220CB6"/>
    <w:rsid w:val="3422174F"/>
    <w:rsid w:val="342938A0"/>
    <w:rsid w:val="34307450"/>
    <w:rsid w:val="34325D4C"/>
    <w:rsid w:val="34426DD3"/>
    <w:rsid w:val="34433534"/>
    <w:rsid w:val="344C6B16"/>
    <w:rsid w:val="344C7AC7"/>
    <w:rsid w:val="34526490"/>
    <w:rsid w:val="345614B9"/>
    <w:rsid w:val="34561A09"/>
    <w:rsid w:val="345662D0"/>
    <w:rsid w:val="345B262C"/>
    <w:rsid w:val="345C347A"/>
    <w:rsid w:val="345F0C1D"/>
    <w:rsid w:val="346670F7"/>
    <w:rsid w:val="34673549"/>
    <w:rsid w:val="347656B7"/>
    <w:rsid w:val="347D1DDD"/>
    <w:rsid w:val="3483314F"/>
    <w:rsid w:val="34840B5F"/>
    <w:rsid w:val="34850D8A"/>
    <w:rsid w:val="34890847"/>
    <w:rsid w:val="3489220E"/>
    <w:rsid w:val="348C6C89"/>
    <w:rsid w:val="34911E0A"/>
    <w:rsid w:val="34A17DF2"/>
    <w:rsid w:val="34A53B15"/>
    <w:rsid w:val="34AE3594"/>
    <w:rsid w:val="34AE5713"/>
    <w:rsid w:val="34B05E47"/>
    <w:rsid w:val="34B164E5"/>
    <w:rsid w:val="34B910A0"/>
    <w:rsid w:val="34BD4515"/>
    <w:rsid w:val="34BD6E42"/>
    <w:rsid w:val="34BF484A"/>
    <w:rsid w:val="34C91C8B"/>
    <w:rsid w:val="34CA5FD9"/>
    <w:rsid w:val="34CE1050"/>
    <w:rsid w:val="34D44B2E"/>
    <w:rsid w:val="34D94CCB"/>
    <w:rsid w:val="34DE7C8A"/>
    <w:rsid w:val="34E306A2"/>
    <w:rsid w:val="34E41842"/>
    <w:rsid w:val="34E750E6"/>
    <w:rsid w:val="34E829C9"/>
    <w:rsid w:val="34EE524E"/>
    <w:rsid w:val="34F03DC0"/>
    <w:rsid w:val="34F50AB5"/>
    <w:rsid w:val="35026F4B"/>
    <w:rsid w:val="35052EAD"/>
    <w:rsid w:val="350E65A8"/>
    <w:rsid w:val="35134CB4"/>
    <w:rsid w:val="351F0C68"/>
    <w:rsid w:val="35252F29"/>
    <w:rsid w:val="3528792F"/>
    <w:rsid w:val="35287B5E"/>
    <w:rsid w:val="352F271D"/>
    <w:rsid w:val="353043A7"/>
    <w:rsid w:val="35365552"/>
    <w:rsid w:val="353773A2"/>
    <w:rsid w:val="353D22BD"/>
    <w:rsid w:val="353D7F83"/>
    <w:rsid w:val="354000E6"/>
    <w:rsid w:val="35446E64"/>
    <w:rsid w:val="3546683D"/>
    <w:rsid w:val="354E527D"/>
    <w:rsid w:val="355958DF"/>
    <w:rsid w:val="35600FCE"/>
    <w:rsid w:val="356419B4"/>
    <w:rsid w:val="356C0B3B"/>
    <w:rsid w:val="356C7D8E"/>
    <w:rsid w:val="356E07EC"/>
    <w:rsid w:val="356E638F"/>
    <w:rsid w:val="357A3815"/>
    <w:rsid w:val="357E4FCB"/>
    <w:rsid w:val="358362DE"/>
    <w:rsid w:val="358C0E05"/>
    <w:rsid w:val="35906305"/>
    <w:rsid w:val="359371E3"/>
    <w:rsid w:val="35971C02"/>
    <w:rsid w:val="359A77DF"/>
    <w:rsid w:val="35A46AC3"/>
    <w:rsid w:val="35A5434E"/>
    <w:rsid w:val="35A87AF3"/>
    <w:rsid w:val="35B77D37"/>
    <w:rsid w:val="35C44201"/>
    <w:rsid w:val="35C81F43"/>
    <w:rsid w:val="35C87DEE"/>
    <w:rsid w:val="35CE6E2D"/>
    <w:rsid w:val="35CF6AD0"/>
    <w:rsid w:val="35D20016"/>
    <w:rsid w:val="35D404FD"/>
    <w:rsid w:val="35DF486E"/>
    <w:rsid w:val="35E46F86"/>
    <w:rsid w:val="35F96E88"/>
    <w:rsid w:val="360311CD"/>
    <w:rsid w:val="360E270F"/>
    <w:rsid w:val="361231BE"/>
    <w:rsid w:val="36133860"/>
    <w:rsid w:val="36176A26"/>
    <w:rsid w:val="36195F56"/>
    <w:rsid w:val="36234076"/>
    <w:rsid w:val="362D0244"/>
    <w:rsid w:val="363943F8"/>
    <w:rsid w:val="36580415"/>
    <w:rsid w:val="36592B9B"/>
    <w:rsid w:val="36595EA2"/>
    <w:rsid w:val="36621224"/>
    <w:rsid w:val="36642D30"/>
    <w:rsid w:val="3666151D"/>
    <w:rsid w:val="3669260B"/>
    <w:rsid w:val="366F3B8D"/>
    <w:rsid w:val="367043CD"/>
    <w:rsid w:val="36766061"/>
    <w:rsid w:val="36770772"/>
    <w:rsid w:val="368340BC"/>
    <w:rsid w:val="36897924"/>
    <w:rsid w:val="368E5260"/>
    <w:rsid w:val="368F2A60"/>
    <w:rsid w:val="36926411"/>
    <w:rsid w:val="369270E1"/>
    <w:rsid w:val="369738C2"/>
    <w:rsid w:val="369B553D"/>
    <w:rsid w:val="36A015CF"/>
    <w:rsid w:val="36A06A70"/>
    <w:rsid w:val="36AB3E1C"/>
    <w:rsid w:val="36B3460C"/>
    <w:rsid w:val="36B50ACB"/>
    <w:rsid w:val="36BE1156"/>
    <w:rsid w:val="36C2284F"/>
    <w:rsid w:val="36C26992"/>
    <w:rsid w:val="36D554E4"/>
    <w:rsid w:val="36DF7DF2"/>
    <w:rsid w:val="36E23B89"/>
    <w:rsid w:val="36E91720"/>
    <w:rsid w:val="36F821FE"/>
    <w:rsid w:val="36F944E8"/>
    <w:rsid w:val="36FB55FB"/>
    <w:rsid w:val="36FF1715"/>
    <w:rsid w:val="36FF6A51"/>
    <w:rsid w:val="370150DB"/>
    <w:rsid w:val="370943CD"/>
    <w:rsid w:val="370C2303"/>
    <w:rsid w:val="37105893"/>
    <w:rsid w:val="37190722"/>
    <w:rsid w:val="372413FB"/>
    <w:rsid w:val="37262CAE"/>
    <w:rsid w:val="37283E82"/>
    <w:rsid w:val="372D099C"/>
    <w:rsid w:val="373635E1"/>
    <w:rsid w:val="373C4996"/>
    <w:rsid w:val="373E1E2D"/>
    <w:rsid w:val="3748158D"/>
    <w:rsid w:val="374954A2"/>
    <w:rsid w:val="374B6019"/>
    <w:rsid w:val="37505DC1"/>
    <w:rsid w:val="375A6BCB"/>
    <w:rsid w:val="375F3A6A"/>
    <w:rsid w:val="37600CA4"/>
    <w:rsid w:val="376B527C"/>
    <w:rsid w:val="376D3DDB"/>
    <w:rsid w:val="37704640"/>
    <w:rsid w:val="377845E2"/>
    <w:rsid w:val="3780604B"/>
    <w:rsid w:val="37895702"/>
    <w:rsid w:val="378A1ED3"/>
    <w:rsid w:val="378B3228"/>
    <w:rsid w:val="37987C91"/>
    <w:rsid w:val="37A140C3"/>
    <w:rsid w:val="37A925EF"/>
    <w:rsid w:val="37AE5168"/>
    <w:rsid w:val="37B25393"/>
    <w:rsid w:val="37B7001B"/>
    <w:rsid w:val="37B7226F"/>
    <w:rsid w:val="37B76BBE"/>
    <w:rsid w:val="37B85359"/>
    <w:rsid w:val="37BC1633"/>
    <w:rsid w:val="37BE1E1B"/>
    <w:rsid w:val="37CA0B39"/>
    <w:rsid w:val="37CE0E87"/>
    <w:rsid w:val="37CE1367"/>
    <w:rsid w:val="37D03331"/>
    <w:rsid w:val="37D30E2D"/>
    <w:rsid w:val="37D84936"/>
    <w:rsid w:val="37DC62F0"/>
    <w:rsid w:val="37E10CD2"/>
    <w:rsid w:val="37ED3EE3"/>
    <w:rsid w:val="37F93A78"/>
    <w:rsid w:val="37FB1F5B"/>
    <w:rsid w:val="380365D3"/>
    <w:rsid w:val="380426EE"/>
    <w:rsid w:val="3815361A"/>
    <w:rsid w:val="38196A86"/>
    <w:rsid w:val="382F1BD2"/>
    <w:rsid w:val="38345414"/>
    <w:rsid w:val="383C6B6C"/>
    <w:rsid w:val="383F28D9"/>
    <w:rsid w:val="384635F3"/>
    <w:rsid w:val="384F06F9"/>
    <w:rsid w:val="386019AE"/>
    <w:rsid w:val="3862042D"/>
    <w:rsid w:val="386262F6"/>
    <w:rsid w:val="38670EBB"/>
    <w:rsid w:val="386717C0"/>
    <w:rsid w:val="387737AC"/>
    <w:rsid w:val="387F1D06"/>
    <w:rsid w:val="38840755"/>
    <w:rsid w:val="388606A2"/>
    <w:rsid w:val="38861F99"/>
    <w:rsid w:val="388D225F"/>
    <w:rsid w:val="388F4F9A"/>
    <w:rsid w:val="389C3831"/>
    <w:rsid w:val="389D5CB8"/>
    <w:rsid w:val="389F132C"/>
    <w:rsid w:val="38A35F7C"/>
    <w:rsid w:val="38B247E4"/>
    <w:rsid w:val="38B8707B"/>
    <w:rsid w:val="38B91893"/>
    <w:rsid w:val="38B9241E"/>
    <w:rsid w:val="38B955D1"/>
    <w:rsid w:val="38C102F4"/>
    <w:rsid w:val="38C77E42"/>
    <w:rsid w:val="38CC32A3"/>
    <w:rsid w:val="38DD3F57"/>
    <w:rsid w:val="38DE04BB"/>
    <w:rsid w:val="38E26A3B"/>
    <w:rsid w:val="38E30E42"/>
    <w:rsid w:val="38FF3B28"/>
    <w:rsid w:val="39007C46"/>
    <w:rsid w:val="39013DC6"/>
    <w:rsid w:val="390A5CD2"/>
    <w:rsid w:val="390C16CD"/>
    <w:rsid w:val="390C21A9"/>
    <w:rsid w:val="390E55DB"/>
    <w:rsid w:val="390F4298"/>
    <w:rsid w:val="3913589D"/>
    <w:rsid w:val="39183AA2"/>
    <w:rsid w:val="391E6A01"/>
    <w:rsid w:val="39240EF8"/>
    <w:rsid w:val="392A081F"/>
    <w:rsid w:val="392E030F"/>
    <w:rsid w:val="393031B2"/>
    <w:rsid w:val="39315941"/>
    <w:rsid w:val="3932270A"/>
    <w:rsid w:val="39322A3F"/>
    <w:rsid w:val="39385CD4"/>
    <w:rsid w:val="395444A8"/>
    <w:rsid w:val="395652E7"/>
    <w:rsid w:val="395835DE"/>
    <w:rsid w:val="395A6993"/>
    <w:rsid w:val="395B7F4A"/>
    <w:rsid w:val="395C1478"/>
    <w:rsid w:val="39641F82"/>
    <w:rsid w:val="396A50BF"/>
    <w:rsid w:val="396F2BCA"/>
    <w:rsid w:val="39714116"/>
    <w:rsid w:val="39726CFE"/>
    <w:rsid w:val="39767688"/>
    <w:rsid w:val="397A13EA"/>
    <w:rsid w:val="397B127F"/>
    <w:rsid w:val="397B72CC"/>
    <w:rsid w:val="397D3044"/>
    <w:rsid w:val="39801589"/>
    <w:rsid w:val="398048E2"/>
    <w:rsid w:val="3985506D"/>
    <w:rsid w:val="398A051D"/>
    <w:rsid w:val="399260C1"/>
    <w:rsid w:val="39974106"/>
    <w:rsid w:val="39974C7E"/>
    <w:rsid w:val="399901D5"/>
    <w:rsid w:val="399A7F58"/>
    <w:rsid w:val="399D7242"/>
    <w:rsid w:val="39A04924"/>
    <w:rsid w:val="39A16D33"/>
    <w:rsid w:val="39A36867"/>
    <w:rsid w:val="39A57F58"/>
    <w:rsid w:val="39A8206F"/>
    <w:rsid w:val="39A9208B"/>
    <w:rsid w:val="39AB7112"/>
    <w:rsid w:val="39AF5E34"/>
    <w:rsid w:val="39B46D42"/>
    <w:rsid w:val="39B747A8"/>
    <w:rsid w:val="39CC23DE"/>
    <w:rsid w:val="39D20F0C"/>
    <w:rsid w:val="39D240C6"/>
    <w:rsid w:val="39D6704B"/>
    <w:rsid w:val="39DA6A6C"/>
    <w:rsid w:val="39E210F9"/>
    <w:rsid w:val="39E57BB6"/>
    <w:rsid w:val="39F7118E"/>
    <w:rsid w:val="39F93C93"/>
    <w:rsid w:val="3A0144EA"/>
    <w:rsid w:val="3A085153"/>
    <w:rsid w:val="3A0E0140"/>
    <w:rsid w:val="3A1E12D9"/>
    <w:rsid w:val="3A204DA8"/>
    <w:rsid w:val="3A282D89"/>
    <w:rsid w:val="3A287454"/>
    <w:rsid w:val="3A2B484E"/>
    <w:rsid w:val="3A2D77AC"/>
    <w:rsid w:val="3A2F7815"/>
    <w:rsid w:val="3A3005F7"/>
    <w:rsid w:val="3A462B0B"/>
    <w:rsid w:val="3A491FF2"/>
    <w:rsid w:val="3A4D140E"/>
    <w:rsid w:val="3A4F2C33"/>
    <w:rsid w:val="3A4F6EEE"/>
    <w:rsid w:val="3A502507"/>
    <w:rsid w:val="3A573895"/>
    <w:rsid w:val="3A5D7D43"/>
    <w:rsid w:val="3A5E3A7A"/>
    <w:rsid w:val="3A5E3E13"/>
    <w:rsid w:val="3A5F2132"/>
    <w:rsid w:val="3A660C25"/>
    <w:rsid w:val="3A714721"/>
    <w:rsid w:val="3A7200EF"/>
    <w:rsid w:val="3A780F78"/>
    <w:rsid w:val="3A7D7E89"/>
    <w:rsid w:val="3A7E7B5E"/>
    <w:rsid w:val="3A854A50"/>
    <w:rsid w:val="3A963166"/>
    <w:rsid w:val="3A975602"/>
    <w:rsid w:val="3A976388"/>
    <w:rsid w:val="3A984566"/>
    <w:rsid w:val="3AA0348E"/>
    <w:rsid w:val="3AA24E9F"/>
    <w:rsid w:val="3AA43493"/>
    <w:rsid w:val="3AA96C1F"/>
    <w:rsid w:val="3AAA7A0E"/>
    <w:rsid w:val="3AAF1923"/>
    <w:rsid w:val="3AB05684"/>
    <w:rsid w:val="3AB24F6F"/>
    <w:rsid w:val="3AB67990"/>
    <w:rsid w:val="3ABA2531"/>
    <w:rsid w:val="3AC11879"/>
    <w:rsid w:val="3AC12E83"/>
    <w:rsid w:val="3AC423BF"/>
    <w:rsid w:val="3ACF78CF"/>
    <w:rsid w:val="3ADA5858"/>
    <w:rsid w:val="3AE076E5"/>
    <w:rsid w:val="3AE07D2F"/>
    <w:rsid w:val="3AE11192"/>
    <w:rsid w:val="3AE17CCD"/>
    <w:rsid w:val="3AED64BF"/>
    <w:rsid w:val="3AF52F5B"/>
    <w:rsid w:val="3AFC5118"/>
    <w:rsid w:val="3B002895"/>
    <w:rsid w:val="3B021804"/>
    <w:rsid w:val="3B0D21A6"/>
    <w:rsid w:val="3B135A0E"/>
    <w:rsid w:val="3B17745B"/>
    <w:rsid w:val="3B192406"/>
    <w:rsid w:val="3B1A3241"/>
    <w:rsid w:val="3B1A72E8"/>
    <w:rsid w:val="3B1E43B3"/>
    <w:rsid w:val="3B31685D"/>
    <w:rsid w:val="3B3178DE"/>
    <w:rsid w:val="3B323BFB"/>
    <w:rsid w:val="3B33543C"/>
    <w:rsid w:val="3B344A3C"/>
    <w:rsid w:val="3B3E673D"/>
    <w:rsid w:val="3B422315"/>
    <w:rsid w:val="3B424545"/>
    <w:rsid w:val="3B454CC6"/>
    <w:rsid w:val="3B486010"/>
    <w:rsid w:val="3B55197E"/>
    <w:rsid w:val="3B551EA7"/>
    <w:rsid w:val="3B55589E"/>
    <w:rsid w:val="3B5878C5"/>
    <w:rsid w:val="3B5D57E3"/>
    <w:rsid w:val="3B655A63"/>
    <w:rsid w:val="3B686ABF"/>
    <w:rsid w:val="3B854432"/>
    <w:rsid w:val="3B8763FC"/>
    <w:rsid w:val="3B8E1539"/>
    <w:rsid w:val="3B9052B1"/>
    <w:rsid w:val="3B9067BE"/>
    <w:rsid w:val="3B920B18"/>
    <w:rsid w:val="3B9308FD"/>
    <w:rsid w:val="3B946230"/>
    <w:rsid w:val="3B967ED4"/>
    <w:rsid w:val="3BA1671D"/>
    <w:rsid w:val="3BAE72EF"/>
    <w:rsid w:val="3BB16FD5"/>
    <w:rsid w:val="3BB21821"/>
    <w:rsid w:val="3BB30B1A"/>
    <w:rsid w:val="3BBC0CB1"/>
    <w:rsid w:val="3BBE6635"/>
    <w:rsid w:val="3BC039EE"/>
    <w:rsid w:val="3BC907C3"/>
    <w:rsid w:val="3BCB62E9"/>
    <w:rsid w:val="3BCC2061"/>
    <w:rsid w:val="3BDD15FC"/>
    <w:rsid w:val="3BDE2603"/>
    <w:rsid w:val="3BE253E0"/>
    <w:rsid w:val="3BE35D9E"/>
    <w:rsid w:val="3BE850ED"/>
    <w:rsid w:val="3BE86675"/>
    <w:rsid w:val="3BEF0839"/>
    <w:rsid w:val="3BF12E36"/>
    <w:rsid w:val="3BF46C7B"/>
    <w:rsid w:val="3BF94559"/>
    <w:rsid w:val="3BFD50D7"/>
    <w:rsid w:val="3BFE5094"/>
    <w:rsid w:val="3BFF5F92"/>
    <w:rsid w:val="3C0D4435"/>
    <w:rsid w:val="3C186CE7"/>
    <w:rsid w:val="3C1A42E6"/>
    <w:rsid w:val="3C1F3408"/>
    <w:rsid w:val="3C20730D"/>
    <w:rsid w:val="3C2E0626"/>
    <w:rsid w:val="3C2E6878"/>
    <w:rsid w:val="3C3053C2"/>
    <w:rsid w:val="3C3D7460"/>
    <w:rsid w:val="3C480ACF"/>
    <w:rsid w:val="3C4816E7"/>
    <w:rsid w:val="3C491519"/>
    <w:rsid w:val="3C4A209E"/>
    <w:rsid w:val="3C4B7A4D"/>
    <w:rsid w:val="3C4D64B2"/>
    <w:rsid w:val="3C524996"/>
    <w:rsid w:val="3C526CEF"/>
    <w:rsid w:val="3C53008C"/>
    <w:rsid w:val="3C53303F"/>
    <w:rsid w:val="3C5C3C02"/>
    <w:rsid w:val="3C5E715D"/>
    <w:rsid w:val="3C5F6234"/>
    <w:rsid w:val="3C5F6A31"/>
    <w:rsid w:val="3C615067"/>
    <w:rsid w:val="3C642299"/>
    <w:rsid w:val="3C6F1D94"/>
    <w:rsid w:val="3C7946F9"/>
    <w:rsid w:val="3C7D70DA"/>
    <w:rsid w:val="3C840D97"/>
    <w:rsid w:val="3C913717"/>
    <w:rsid w:val="3C926DF4"/>
    <w:rsid w:val="3C940D41"/>
    <w:rsid w:val="3C95739F"/>
    <w:rsid w:val="3C971AEC"/>
    <w:rsid w:val="3C9D03F0"/>
    <w:rsid w:val="3C9D0B47"/>
    <w:rsid w:val="3C9F7CC4"/>
    <w:rsid w:val="3CA11593"/>
    <w:rsid w:val="3CA4053F"/>
    <w:rsid w:val="3CAC2BF0"/>
    <w:rsid w:val="3CAD1A33"/>
    <w:rsid w:val="3CB01497"/>
    <w:rsid w:val="3CB21B7C"/>
    <w:rsid w:val="3CB270F2"/>
    <w:rsid w:val="3CC03C56"/>
    <w:rsid w:val="3CC33464"/>
    <w:rsid w:val="3CC51BB8"/>
    <w:rsid w:val="3CCF6E64"/>
    <w:rsid w:val="3CD11310"/>
    <w:rsid w:val="3CD411CD"/>
    <w:rsid w:val="3CDA27B2"/>
    <w:rsid w:val="3CDE78BE"/>
    <w:rsid w:val="3CE254AB"/>
    <w:rsid w:val="3CE31F30"/>
    <w:rsid w:val="3CE33B06"/>
    <w:rsid w:val="3CE45955"/>
    <w:rsid w:val="3CEE3FDB"/>
    <w:rsid w:val="3CF54EC8"/>
    <w:rsid w:val="3CFE449C"/>
    <w:rsid w:val="3CFF7EC0"/>
    <w:rsid w:val="3D054C8F"/>
    <w:rsid w:val="3D0D4C91"/>
    <w:rsid w:val="3D0E448A"/>
    <w:rsid w:val="3D141AA5"/>
    <w:rsid w:val="3D15318E"/>
    <w:rsid w:val="3D163266"/>
    <w:rsid w:val="3D2340CA"/>
    <w:rsid w:val="3D2414A0"/>
    <w:rsid w:val="3D29119A"/>
    <w:rsid w:val="3D3462AF"/>
    <w:rsid w:val="3D357B68"/>
    <w:rsid w:val="3D3D3216"/>
    <w:rsid w:val="3D3F75BA"/>
    <w:rsid w:val="3D44659A"/>
    <w:rsid w:val="3D471562"/>
    <w:rsid w:val="3D491BA7"/>
    <w:rsid w:val="3D563117"/>
    <w:rsid w:val="3D567E34"/>
    <w:rsid w:val="3D5A79AF"/>
    <w:rsid w:val="3D5F344A"/>
    <w:rsid w:val="3D6233EB"/>
    <w:rsid w:val="3D796FA3"/>
    <w:rsid w:val="3D7A3675"/>
    <w:rsid w:val="3D89754A"/>
    <w:rsid w:val="3D8A3E51"/>
    <w:rsid w:val="3D8A6C89"/>
    <w:rsid w:val="3D8B72AE"/>
    <w:rsid w:val="3D901E77"/>
    <w:rsid w:val="3D940D0E"/>
    <w:rsid w:val="3D954E00"/>
    <w:rsid w:val="3D97566A"/>
    <w:rsid w:val="3D9848F1"/>
    <w:rsid w:val="3DA40D1C"/>
    <w:rsid w:val="3DA61690"/>
    <w:rsid w:val="3DA823F9"/>
    <w:rsid w:val="3DAB7E4A"/>
    <w:rsid w:val="3DAC214A"/>
    <w:rsid w:val="3DB34B4E"/>
    <w:rsid w:val="3DB45950"/>
    <w:rsid w:val="3DBF59D9"/>
    <w:rsid w:val="3DC03B9D"/>
    <w:rsid w:val="3DC0708B"/>
    <w:rsid w:val="3DC2196D"/>
    <w:rsid w:val="3DC374CA"/>
    <w:rsid w:val="3DC7209E"/>
    <w:rsid w:val="3DC9047D"/>
    <w:rsid w:val="3DCA7C4F"/>
    <w:rsid w:val="3DD57CCC"/>
    <w:rsid w:val="3DE46669"/>
    <w:rsid w:val="3DEE5482"/>
    <w:rsid w:val="3DF3572F"/>
    <w:rsid w:val="3DF66B63"/>
    <w:rsid w:val="3DF902CA"/>
    <w:rsid w:val="3E014955"/>
    <w:rsid w:val="3E0970B1"/>
    <w:rsid w:val="3E0A667E"/>
    <w:rsid w:val="3E0D662F"/>
    <w:rsid w:val="3E0F766A"/>
    <w:rsid w:val="3E160F33"/>
    <w:rsid w:val="3E1723C3"/>
    <w:rsid w:val="3E18643C"/>
    <w:rsid w:val="3E231C89"/>
    <w:rsid w:val="3E295704"/>
    <w:rsid w:val="3E330175"/>
    <w:rsid w:val="3E33112B"/>
    <w:rsid w:val="3E3E1C48"/>
    <w:rsid w:val="3E411D1B"/>
    <w:rsid w:val="3E413913"/>
    <w:rsid w:val="3E490AA8"/>
    <w:rsid w:val="3E494787"/>
    <w:rsid w:val="3E567E27"/>
    <w:rsid w:val="3E573E64"/>
    <w:rsid w:val="3E5F79BE"/>
    <w:rsid w:val="3E6627E4"/>
    <w:rsid w:val="3E697EB4"/>
    <w:rsid w:val="3E6C36AF"/>
    <w:rsid w:val="3E6F38A3"/>
    <w:rsid w:val="3E6F668D"/>
    <w:rsid w:val="3E726EF0"/>
    <w:rsid w:val="3E7562F9"/>
    <w:rsid w:val="3E793D9F"/>
    <w:rsid w:val="3E834C59"/>
    <w:rsid w:val="3E862DD7"/>
    <w:rsid w:val="3E8B0013"/>
    <w:rsid w:val="3E9926CE"/>
    <w:rsid w:val="3E99318A"/>
    <w:rsid w:val="3E9F1660"/>
    <w:rsid w:val="3E9F6793"/>
    <w:rsid w:val="3EA3354D"/>
    <w:rsid w:val="3EAC311B"/>
    <w:rsid w:val="3EB63280"/>
    <w:rsid w:val="3EB94B1E"/>
    <w:rsid w:val="3EBC62AF"/>
    <w:rsid w:val="3EBD1E16"/>
    <w:rsid w:val="3EBD203F"/>
    <w:rsid w:val="3EBE5F8C"/>
    <w:rsid w:val="3EC11847"/>
    <w:rsid w:val="3EC15781"/>
    <w:rsid w:val="3EC60FE9"/>
    <w:rsid w:val="3EC7027B"/>
    <w:rsid w:val="3EC8316F"/>
    <w:rsid w:val="3ECE0787"/>
    <w:rsid w:val="3ECE0DD5"/>
    <w:rsid w:val="3ECF05A6"/>
    <w:rsid w:val="3ECF0ADF"/>
    <w:rsid w:val="3ECF25A9"/>
    <w:rsid w:val="3ED063D1"/>
    <w:rsid w:val="3ED35FC2"/>
    <w:rsid w:val="3EDB1404"/>
    <w:rsid w:val="3EDD091A"/>
    <w:rsid w:val="3EE024B0"/>
    <w:rsid w:val="3EF7226B"/>
    <w:rsid w:val="3EF75647"/>
    <w:rsid w:val="3EFB08A4"/>
    <w:rsid w:val="3EFB4094"/>
    <w:rsid w:val="3EFE7A2A"/>
    <w:rsid w:val="3EFF05EF"/>
    <w:rsid w:val="3F017E58"/>
    <w:rsid w:val="3F042033"/>
    <w:rsid w:val="3F06588A"/>
    <w:rsid w:val="3F0819EF"/>
    <w:rsid w:val="3F0D420A"/>
    <w:rsid w:val="3F1E4982"/>
    <w:rsid w:val="3F217864"/>
    <w:rsid w:val="3F2E32D3"/>
    <w:rsid w:val="3F3643C1"/>
    <w:rsid w:val="3F3B36C1"/>
    <w:rsid w:val="3F441554"/>
    <w:rsid w:val="3F476187"/>
    <w:rsid w:val="3F48679E"/>
    <w:rsid w:val="3F522520"/>
    <w:rsid w:val="3F527FB2"/>
    <w:rsid w:val="3F5B3E28"/>
    <w:rsid w:val="3F5C10AA"/>
    <w:rsid w:val="3F5C78B4"/>
    <w:rsid w:val="3F62373A"/>
    <w:rsid w:val="3F630FE3"/>
    <w:rsid w:val="3F697D56"/>
    <w:rsid w:val="3F754B99"/>
    <w:rsid w:val="3F7877A9"/>
    <w:rsid w:val="3F84345F"/>
    <w:rsid w:val="3F88660A"/>
    <w:rsid w:val="3F8C2233"/>
    <w:rsid w:val="3F942E96"/>
    <w:rsid w:val="3F961B94"/>
    <w:rsid w:val="3F980BD8"/>
    <w:rsid w:val="3F9A19ED"/>
    <w:rsid w:val="3F9D61EE"/>
    <w:rsid w:val="3FA31908"/>
    <w:rsid w:val="3FAC7FE8"/>
    <w:rsid w:val="3FAE09D4"/>
    <w:rsid w:val="3FAE1A11"/>
    <w:rsid w:val="3FAF101A"/>
    <w:rsid w:val="3FB672B0"/>
    <w:rsid w:val="3FBD063E"/>
    <w:rsid w:val="3FBF7BB8"/>
    <w:rsid w:val="3FC94B28"/>
    <w:rsid w:val="3FCD4DE4"/>
    <w:rsid w:val="3FCD6AF4"/>
    <w:rsid w:val="3FD15E98"/>
    <w:rsid w:val="3FD23C11"/>
    <w:rsid w:val="3FD339BE"/>
    <w:rsid w:val="3FD857A2"/>
    <w:rsid w:val="3FDA7AE6"/>
    <w:rsid w:val="3FDD2A8F"/>
    <w:rsid w:val="3FE060DB"/>
    <w:rsid w:val="3FE71217"/>
    <w:rsid w:val="3FEA07B7"/>
    <w:rsid w:val="3FF14741"/>
    <w:rsid w:val="3FF50A49"/>
    <w:rsid w:val="3FF73A69"/>
    <w:rsid w:val="3FF81676"/>
    <w:rsid w:val="3FF86A77"/>
    <w:rsid w:val="3FFC4AAE"/>
    <w:rsid w:val="4000052B"/>
    <w:rsid w:val="40050012"/>
    <w:rsid w:val="4010353A"/>
    <w:rsid w:val="40123E02"/>
    <w:rsid w:val="40154004"/>
    <w:rsid w:val="40156B65"/>
    <w:rsid w:val="4016359C"/>
    <w:rsid w:val="40185875"/>
    <w:rsid w:val="401A0BFC"/>
    <w:rsid w:val="401D6F8B"/>
    <w:rsid w:val="401D732F"/>
    <w:rsid w:val="402661E4"/>
    <w:rsid w:val="403A7980"/>
    <w:rsid w:val="405028AE"/>
    <w:rsid w:val="405F34A4"/>
    <w:rsid w:val="40612931"/>
    <w:rsid w:val="406978DE"/>
    <w:rsid w:val="406D5BC1"/>
    <w:rsid w:val="40750BD6"/>
    <w:rsid w:val="40774C91"/>
    <w:rsid w:val="407D1CD8"/>
    <w:rsid w:val="40803F0E"/>
    <w:rsid w:val="408B319F"/>
    <w:rsid w:val="40963652"/>
    <w:rsid w:val="4099592E"/>
    <w:rsid w:val="40A93B94"/>
    <w:rsid w:val="40A94FDC"/>
    <w:rsid w:val="40B1553B"/>
    <w:rsid w:val="40B25CC9"/>
    <w:rsid w:val="40B557B9"/>
    <w:rsid w:val="40B74826"/>
    <w:rsid w:val="40B82BB4"/>
    <w:rsid w:val="40B90E06"/>
    <w:rsid w:val="40C44FE1"/>
    <w:rsid w:val="40C51BAF"/>
    <w:rsid w:val="40C72178"/>
    <w:rsid w:val="40C76A4A"/>
    <w:rsid w:val="40C96B6F"/>
    <w:rsid w:val="40CB5916"/>
    <w:rsid w:val="40CC7817"/>
    <w:rsid w:val="40CF687B"/>
    <w:rsid w:val="40D0614F"/>
    <w:rsid w:val="40DA1734"/>
    <w:rsid w:val="40E011B6"/>
    <w:rsid w:val="40E51BFB"/>
    <w:rsid w:val="40ED4F53"/>
    <w:rsid w:val="40EE3A49"/>
    <w:rsid w:val="40EF2DC6"/>
    <w:rsid w:val="40F87865"/>
    <w:rsid w:val="40FF1B32"/>
    <w:rsid w:val="41004C87"/>
    <w:rsid w:val="410467C3"/>
    <w:rsid w:val="41067C9E"/>
    <w:rsid w:val="41075533"/>
    <w:rsid w:val="410E60D3"/>
    <w:rsid w:val="411244E3"/>
    <w:rsid w:val="41191CA3"/>
    <w:rsid w:val="41195D48"/>
    <w:rsid w:val="412071E1"/>
    <w:rsid w:val="41207B1A"/>
    <w:rsid w:val="41250038"/>
    <w:rsid w:val="41287D39"/>
    <w:rsid w:val="412A1FB9"/>
    <w:rsid w:val="41325F04"/>
    <w:rsid w:val="41354204"/>
    <w:rsid w:val="413761CE"/>
    <w:rsid w:val="4137689A"/>
    <w:rsid w:val="41432DC5"/>
    <w:rsid w:val="414C5354"/>
    <w:rsid w:val="415049CB"/>
    <w:rsid w:val="41540B2E"/>
    <w:rsid w:val="41587D8E"/>
    <w:rsid w:val="415E4F26"/>
    <w:rsid w:val="416367FB"/>
    <w:rsid w:val="417148FA"/>
    <w:rsid w:val="41727698"/>
    <w:rsid w:val="41735459"/>
    <w:rsid w:val="41765BEF"/>
    <w:rsid w:val="417F20CC"/>
    <w:rsid w:val="41925FDE"/>
    <w:rsid w:val="41962EF5"/>
    <w:rsid w:val="41984338"/>
    <w:rsid w:val="41A13EAF"/>
    <w:rsid w:val="41A42FA1"/>
    <w:rsid w:val="41A660F1"/>
    <w:rsid w:val="41B71BD1"/>
    <w:rsid w:val="41BA2F2B"/>
    <w:rsid w:val="41BB2B97"/>
    <w:rsid w:val="41C20357"/>
    <w:rsid w:val="41CA0AC0"/>
    <w:rsid w:val="41CE7B11"/>
    <w:rsid w:val="41D256A1"/>
    <w:rsid w:val="41DC5CC2"/>
    <w:rsid w:val="41DD6D76"/>
    <w:rsid w:val="41E21DF5"/>
    <w:rsid w:val="41E83E7B"/>
    <w:rsid w:val="41EC1864"/>
    <w:rsid w:val="41ED25E3"/>
    <w:rsid w:val="41EF2605"/>
    <w:rsid w:val="41F501EF"/>
    <w:rsid w:val="41FD010C"/>
    <w:rsid w:val="42045A3D"/>
    <w:rsid w:val="420668D8"/>
    <w:rsid w:val="42165DE4"/>
    <w:rsid w:val="42167C79"/>
    <w:rsid w:val="42195571"/>
    <w:rsid w:val="42233831"/>
    <w:rsid w:val="42251632"/>
    <w:rsid w:val="4226071D"/>
    <w:rsid w:val="42264E15"/>
    <w:rsid w:val="422C2C46"/>
    <w:rsid w:val="42313D04"/>
    <w:rsid w:val="42332E3A"/>
    <w:rsid w:val="42357931"/>
    <w:rsid w:val="42376ECC"/>
    <w:rsid w:val="42462095"/>
    <w:rsid w:val="42463117"/>
    <w:rsid w:val="42530DE6"/>
    <w:rsid w:val="425643E3"/>
    <w:rsid w:val="4258464E"/>
    <w:rsid w:val="425A1E19"/>
    <w:rsid w:val="42614756"/>
    <w:rsid w:val="4269060A"/>
    <w:rsid w:val="426A28C6"/>
    <w:rsid w:val="426B4382"/>
    <w:rsid w:val="427822F7"/>
    <w:rsid w:val="427B0595"/>
    <w:rsid w:val="427D0B61"/>
    <w:rsid w:val="42817644"/>
    <w:rsid w:val="42863E33"/>
    <w:rsid w:val="428A28C8"/>
    <w:rsid w:val="428C42F8"/>
    <w:rsid w:val="42907808"/>
    <w:rsid w:val="42946F6A"/>
    <w:rsid w:val="429C3CFD"/>
    <w:rsid w:val="42A14BD0"/>
    <w:rsid w:val="42AA71C8"/>
    <w:rsid w:val="42AB71A3"/>
    <w:rsid w:val="42AC3FF7"/>
    <w:rsid w:val="42AE6FD9"/>
    <w:rsid w:val="42B40C6A"/>
    <w:rsid w:val="42B74162"/>
    <w:rsid w:val="42BF2256"/>
    <w:rsid w:val="42C25151"/>
    <w:rsid w:val="42C623E0"/>
    <w:rsid w:val="42C7483E"/>
    <w:rsid w:val="42CB6BCE"/>
    <w:rsid w:val="42D07322"/>
    <w:rsid w:val="42D213FD"/>
    <w:rsid w:val="42D42173"/>
    <w:rsid w:val="42D77C69"/>
    <w:rsid w:val="42DF27B5"/>
    <w:rsid w:val="42DF6953"/>
    <w:rsid w:val="42E44C98"/>
    <w:rsid w:val="42E66EFB"/>
    <w:rsid w:val="42FF4201"/>
    <w:rsid w:val="430321A3"/>
    <w:rsid w:val="43061471"/>
    <w:rsid w:val="43096915"/>
    <w:rsid w:val="43096C93"/>
    <w:rsid w:val="430A6D47"/>
    <w:rsid w:val="430D05E2"/>
    <w:rsid w:val="431B2DA9"/>
    <w:rsid w:val="431C1159"/>
    <w:rsid w:val="43271906"/>
    <w:rsid w:val="432A6A35"/>
    <w:rsid w:val="432B2DB9"/>
    <w:rsid w:val="433241D2"/>
    <w:rsid w:val="433E55F2"/>
    <w:rsid w:val="43435ADA"/>
    <w:rsid w:val="434906EC"/>
    <w:rsid w:val="43493343"/>
    <w:rsid w:val="434B0725"/>
    <w:rsid w:val="434E326F"/>
    <w:rsid w:val="43542429"/>
    <w:rsid w:val="43572B58"/>
    <w:rsid w:val="435D6258"/>
    <w:rsid w:val="43635059"/>
    <w:rsid w:val="436808C1"/>
    <w:rsid w:val="43696E43"/>
    <w:rsid w:val="437603F4"/>
    <w:rsid w:val="437B152F"/>
    <w:rsid w:val="437C0001"/>
    <w:rsid w:val="43827BD5"/>
    <w:rsid w:val="43840E36"/>
    <w:rsid w:val="43845746"/>
    <w:rsid w:val="438D0328"/>
    <w:rsid w:val="438D26B4"/>
    <w:rsid w:val="439E0787"/>
    <w:rsid w:val="43A14DE8"/>
    <w:rsid w:val="43AD1BA2"/>
    <w:rsid w:val="43AD4526"/>
    <w:rsid w:val="43B6575B"/>
    <w:rsid w:val="43BB0B5B"/>
    <w:rsid w:val="43D0611D"/>
    <w:rsid w:val="43D16466"/>
    <w:rsid w:val="43D67F21"/>
    <w:rsid w:val="43DD3B6B"/>
    <w:rsid w:val="43E16805"/>
    <w:rsid w:val="43EB71E3"/>
    <w:rsid w:val="43F263DD"/>
    <w:rsid w:val="44026293"/>
    <w:rsid w:val="44033404"/>
    <w:rsid w:val="4404683C"/>
    <w:rsid w:val="44097B6F"/>
    <w:rsid w:val="441120E5"/>
    <w:rsid w:val="441612D4"/>
    <w:rsid w:val="441B64F4"/>
    <w:rsid w:val="442A0945"/>
    <w:rsid w:val="442C0469"/>
    <w:rsid w:val="443D11F9"/>
    <w:rsid w:val="4441183E"/>
    <w:rsid w:val="444F6CCA"/>
    <w:rsid w:val="4451255A"/>
    <w:rsid w:val="445B3CF4"/>
    <w:rsid w:val="445C5D35"/>
    <w:rsid w:val="445D419E"/>
    <w:rsid w:val="44692B43"/>
    <w:rsid w:val="446D538A"/>
    <w:rsid w:val="446E3135"/>
    <w:rsid w:val="446E5C96"/>
    <w:rsid w:val="4474550E"/>
    <w:rsid w:val="44827761"/>
    <w:rsid w:val="4492241E"/>
    <w:rsid w:val="44971D55"/>
    <w:rsid w:val="44984FAC"/>
    <w:rsid w:val="449B531E"/>
    <w:rsid w:val="449D3CA0"/>
    <w:rsid w:val="44B16D2D"/>
    <w:rsid w:val="44B244EA"/>
    <w:rsid w:val="44B72216"/>
    <w:rsid w:val="44B8405E"/>
    <w:rsid w:val="44BB681B"/>
    <w:rsid w:val="44BD4C3D"/>
    <w:rsid w:val="44C47144"/>
    <w:rsid w:val="44CA6533"/>
    <w:rsid w:val="44CC46E7"/>
    <w:rsid w:val="44D467E0"/>
    <w:rsid w:val="44D46A2B"/>
    <w:rsid w:val="44D85CB2"/>
    <w:rsid w:val="44DA134B"/>
    <w:rsid w:val="44DE52DF"/>
    <w:rsid w:val="44E234C9"/>
    <w:rsid w:val="44EB6264"/>
    <w:rsid w:val="44EC5FC5"/>
    <w:rsid w:val="44F06DC0"/>
    <w:rsid w:val="44F14D8D"/>
    <w:rsid w:val="44F4057C"/>
    <w:rsid w:val="44F55F49"/>
    <w:rsid w:val="44F92119"/>
    <w:rsid w:val="44FD328B"/>
    <w:rsid w:val="44FF58C6"/>
    <w:rsid w:val="450B4C58"/>
    <w:rsid w:val="450C05A0"/>
    <w:rsid w:val="4512583F"/>
    <w:rsid w:val="45140D01"/>
    <w:rsid w:val="45142F62"/>
    <w:rsid w:val="45154EA1"/>
    <w:rsid w:val="45157D7E"/>
    <w:rsid w:val="4516709B"/>
    <w:rsid w:val="4521341D"/>
    <w:rsid w:val="45244B16"/>
    <w:rsid w:val="45374134"/>
    <w:rsid w:val="45442C68"/>
    <w:rsid w:val="454964D0"/>
    <w:rsid w:val="45521829"/>
    <w:rsid w:val="455265A6"/>
    <w:rsid w:val="455C26A8"/>
    <w:rsid w:val="45636D4B"/>
    <w:rsid w:val="45665F33"/>
    <w:rsid w:val="45682262"/>
    <w:rsid w:val="456B4BF1"/>
    <w:rsid w:val="456F23DB"/>
    <w:rsid w:val="457006BD"/>
    <w:rsid w:val="45723608"/>
    <w:rsid w:val="458356B4"/>
    <w:rsid w:val="45871C69"/>
    <w:rsid w:val="45880767"/>
    <w:rsid w:val="45917C58"/>
    <w:rsid w:val="45941350"/>
    <w:rsid w:val="45950CC4"/>
    <w:rsid w:val="459B4964"/>
    <w:rsid w:val="459B5CD9"/>
    <w:rsid w:val="459C2AA4"/>
    <w:rsid w:val="45A07148"/>
    <w:rsid w:val="45A35BE1"/>
    <w:rsid w:val="45A95E5C"/>
    <w:rsid w:val="45B1356E"/>
    <w:rsid w:val="45B32179"/>
    <w:rsid w:val="45B73584"/>
    <w:rsid w:val="45BF39BE"/>
    <w:rsid w:val="45C06EC7"/>
    <w:rsid w:val="45C718D7"/>
    <w:rsid w:val="45CE5353"/>
    <w:rsid w:val="45CF720B"/>
    <w:rsid w:val="45D21ED5"/>
    <w:rsid w:val="45D90B8A"/>
    <w:rsid w:val="45D97AD0"/>
    <w:rsid w:val="45E701C3"/>
    <w:rsid w:val="45E71F71"/>
    <w:rsid w:val="45ED50AE"/>
    <w:rsid w:val="45FC0CE1"/>
    <w:rsid w:val="460A6426"/>
    <w:rsid w:val="460C3112"/>
    <w:rsid w:val="46117154"/>
    <w:rsid w:val="46184820"/>
    <w:rsid w:val="46186775"/>
    <w:rsid w:val="462209F8"/>
    <w:rsid w:val="462D00FB"/>
    <w:rsid w:val="46330390"/>
    <w:rsid w:val="46390A65"/>
    <w:rsid w:val="463A4797"/>
    <w:rsid w:val="463B050F"/>
    <w:rsid w:val="463B1C84"/>
    <w:rsid w:val="46443C20"/>
    <w:rsid w:val="464A3A20"/>
    <w:rsid w:val="464D4ABD"/>
    <w:rsid w:val="46541432"/>
    <w:rsid w:val="465813B5"/>
    <w:rsid w:val="465D3F9B"/>
    <w:rsid w:val="465E2EDF"/>
    <w:rsid w:val="46604453"/>
    <w:rsid w:val="46653226"/>
    <w:rsid w:val="46690BD8"/>
    <w:rsid w:val="466A2F71"/>
    <w:rsid w:val="466C2476"/>
    <w:rsid w:val="466F4071"/>
    <w:rsid w:val="467A135D"/>
    <w:rsid w:val="467A5838"/>
    <w:rsid w:val="4683064A"/>
    <w:rsid w:val="46837189"/>
    <w:rsid w:val="46853E3A"/>
    <w:rsid w:val="46873754"/>
    <w:rsid w:val="468D3D49"/>
    <w:rsid w:val="4697040A"/>
    <w:rsid w:val="4697159C"/>
    <w:rsid w:val="46A37971"/>
    <w:rsid w:val="46A42781"/>
    <w:rsid w:val="46A739D6"/>
    <w:rsid w:val="46AA57A4"/>
    <w:rsid w:val="46AF3AF6"/>
    <w:rsid w:val="46B902E0"/>
    <w:rsid w:val="46BB3BBB"/>
    <w:rsid w:val="46BE6E71"/>
    <w:rsid w:val="46C27C45"/>
    <w:rsid w:val="46CC374F"/>
    <w:rsid w:val="46CD6537"/>
    <w:rsid w:val="46CF6A32"/>
    <w:rsid w:val="46DA7D28"/>
    <w:rsid w:val="46E83E50"/>
    <w:rsid w:val="46E90B9E"/>
    <w:rsid w:val="46EC35B7"/>
    <w:rsid w:val="46EF5F0C"/>
    <w:rsid w:val="46F53F4E"/>
    <w:rsid w:val="46F56910"/>
    <w:rsid w:val="46F6606F"/>
    <w:rsid w:val="46F661E4"/>
    <w:rsid w:val="46F669C6"/>
    <w:rsid w:val="46FA2178"/>
    <w:rsid w:val="46FB5871"/>
    <w:rsid w:val="47044DA5"/>
    <w:rsid w:val="47086A40"/>
    <w:rsid w:val="470A04BC"/>
    <w:rsid w:val="470D09EF"/>
    <w:rsid w:val="470D5A07"/>
    <w:rsid w:val="47213261"/>
    <w:rsid w:val="472C67D7"/>
    <w:rsid w:val="473869AD"/>
    <w:rsid w:val="47391234"/>
    <w:rsid w:val="474028B7"/>
    <w:rsid w:val="474C39E8"/>
    <w:rsid w:val="474C59F4"/>
    <w:rsid w:val="474D4056"/>
    <w:rsid w:val="475473BE"/>
    <w:rsid w:val="475A3F85"/>
    <w:rsid w:val="47632957"/>
    <w:rsid w:val="47727699"/>
    <w:rsid w:val="47775577"/>
    <w:rsid w:val="477932D0"/>
    <w:rsid w:val="477A7223"/>
    <w:rsid w:val="477F76B7"/>
    <w:rsid w:val="478A2645"/>
    <w:rsid w:val="47961EA1"/>
    <w:rsid w:val="4797277C"/>
    <w:rsid w:val="479877E9"/>
    <w:rsid w:val="479E7CCE"/>
    <w:rsid w:val="47AA5267"/>
    <w:rsid w:val="47B65380"/>
    <w:rsid w:val="47B81B97"/>
    <w:rsid w:val="47B839DD"/>
    <w:rsid w:val="47B92B20"/>
    <w:rsid w:val="47BD5EC8"/>
    <w:rsid w:val="47BE6D02"/>
    <w:rsid w:val="47BE73FC"/>
    <w:rsid w:val="47C05CC8"/>
    <w:rsid w:val="47C135A0"/>
    <w:rsid w:val="47C5278C"/>
    <w:rsid w:val="47C65349"/>
    <w:rsid w:val="47CC4121"/>
    <w:rsid w:val="47CF5DA8"/>
    <w:rsid w:val="47CF7558"/>
    <w:rsid w:val="47D01865"/>
    <w:rsid w:val="47D227AD"/>
    <w:rsid w:val="47D85C25"/>
    <w:rsid w:val="47DA2BCF"/>
    <w:rsid w:val="47DC1137"/>
    <w:rsid w:val="47EF7803"/>
    <w:rsid w:val="47F646ED"/>
    <w:rsid w:val="4800731A"/>
    <w:rsid w:val="480478C9"/>
    <w:rsid w:val="48094BED"/>
    <w:rsid w:val="4812529F"/>
    <w:rsid w:val="48147269"/>
    <w:rsid w:val="481A5208"/>
    <w:rsid w:val="481C1078"/>
    <w:rsid w:val="4821325B"/>
    <w:rsid w:val="48245C2D"/>
    <w:rsid w:val="48260364"/>
    <w:rsid w:val="48285D58"/>
    <w:rsid w:val="482C010F"/>
    <w:rsid w:val="482C4086"/>
    <w:rsid w:val="4834257A"/>
    <w:rsid w:val="48356407"/>
    <w:rsid w:val="48390A7E"/>
    <w:rsid w:val="483D4011"/>
    <w:rsid w:val="4841003D"/>
    <w:rsid w:val="48423229"/>
    <w:rsid w:val="48474F49"/>
    <w:rsid w:val="48497EBD"/>
    <w:rsid w:val="484D2206"/>
    <w:rsid w:val="484D506C"/>
    <w:rsid w:val="484F271E"/>
    <w:rsid w:val="48512C13"/>
    <w:rsid w:val="48537D92"/>
    <w:rsid w:val="485671BC"/>
    <w:rsid w:val="485D651B"/>
    <w:rsid w:val="4860072B"/>
    <w:rsid w:val="48692AE9"/>
    <w:rsid w:val="486C49B0"/>
    <w:rsid w:val="48754A7F"/>
    <w:rsid w:val="48783354"/>
    <w:rsid w:val="487A79AF"/>
    <w:rsid w:val="487B2E45"/>
    <w:rsid w:val="48825891"/>
    <w:rsid w:val="4887493B"/>
    <w:rsid w:val="488829D0"/>
    <w:rsid w:val="48884C41"/>
    <w:rsid w:val="48910D4F"/>
    <w:rsid w:val="48911248"/>
    <w:rsid w:val="48923393"/>
    <w:rsid w:val="4897703D"/>
    <w:rsid w:val="489B0550"/>
    <w:rsid w:val="48A4403A"/>
    <w:rsid w:val="48AF252E"/>
    <w:rsid w:val="48B85E47"/>
    <w:rsid w:val="48B870E3"/>
    <w:rsid w:val="48BC5937"/>
    <w:rsid w:val="48C31BA7"/>
    <w:rsid w:val="48C42A3E"/>
    <w:rsid w:val="48C707CD"/>
    <w:rsid w:val="48C75133"/>
    <w:rsid w:val="48C87201"/>
    <w:rsid w:val="48CA23C9"/>
    <w:rsid w:val="48CC2994"/>
    <w:rsid w:val="48CE5545"/>
    <w:rsid w:val="48D34A2F"/>
    <w:rsid w:val="48D41260"/>
    <w:rsid w:val="48D966CC"/>
    <w:rsid w:val="48E50A71"/>
    <w:rsid w:val="48E704DA"/>
    <w:rsid w:val="48EB4A82"/>
    <w:rsid w:val="48F3461A"/>
    <w:rsid w:val="48FD385A"/>
    <w:rsid w:val="48FE04EC"/>
    <w:rsid w:val="49021363"/>
    <w:rsid w:val="49042E3A"/>
    <w:rsid w:val="490767AC"/>
    <w:rsid w:val="4916633E"/>
    <w:rsid w:val="49193BA2"/>
    <w:rsid w:val="491E400B"/>
    <w:rsid w:val="491F5178"/>
    <w:rsid w:val="492B03C7"/>
    <w:rsid w:val="492E05EF"/>
    <w:rsid w:val="49303C2F"/>
    <w:rsid w:val="49317766"/>
    <w:rsid w:val="49474370"/>
    <w:rsid w:val="49491E06"/>
    <w:rsid w:val="494E6506"/>
    <w:rsid w:val="49575660"/>
    <w:rsid w:val="4958156F"/>
    <w:rsid w:val="495D1749"/>
    <w:rsid w:val="496C05F4"/>
    <w:rsid w:val="496E5A82"/>
    <w:rsid w:val="49727347"/>
    <w:rsid w:val="49812756"/>
    <w:rsid w:val="49883A6B"/>
    <w:rsid w:val="4989268A"/>
    <w:rsid w:val="49895AA6"/>
    <w:rsid w:val="498A6791"/>
    <w:rsid w:val="498E3CF9"/>
    <w:rsid w:val="49940662"/>
    <w:rsid w:val="49A32653"/>
    <w:rsid w:val="49A34A17"/>
    <w:rsid w:val="49A5461D"/>
    <w:rsid w:val="49AA4CB9"/>
    <w:rsid w:val="49AF0FF8"/>
    <w:rsid w:val="49B36407"/>
    <w:rsid w:val="49BC4D85"/>
    <w:rsid w:val="49BE05C2"/>
    <w:rsid w:val="49C837C0"/>
    <w:rsid w:val="49C9410F"/>
    <w:rsid w:val="49D43645"/>
    <w:rsid w:val="49D62A28"/>
    <w:rsid w:val="49D94EAF"/>
    <w:rsid w:val="49DC06F9"/>
    <w:rsid w:val="49E36DCB"/>
    <w:rsid w:val="49EB051F"/>
    <w:rsid w:val="49EC224C"/>
    <w:rsid w:val="49F87575"/>
    <w:rsid w:val="4A004A95"/>
    <w:rsid w:val="4A042873"/>
    <w:rsid w:val="4A061522"/>
    <w:rsid w:val="4A130C33"/>
    <w:rsid w:val="4A153C68"/>
    <w:rsid w:val="4A1560FF"/>
    <w:rsid w:val="4A1F2501"/>
    <w:rsid w:val="4A221710"/>
    <w:rsid w:val="4A265380"/>
    <w:rsid w:val="4A3D3A4B"/>
    <w:rsid w:val="4A477667"/>
    <w:rsid w:val="4A48736B"/>
    <w:rsid w:val="4A4C4A99"/>
    <w:rsid w:val="4A4D3632"/>
    <w:rsid w:val="4A4F2DB8"/>
    <w:rsid w:val="4A521E4D"/>
    <w:rsid w:val="4A542E78"/>
    <w:rsid w:val="4A585020"/>
    <w:rsid w:val="4A5D5FB1"/>
    <w:rsid w:val="4A5D7456"/>
    <w:rsid w:val="4A742B58"/>
    <w:rsid w:val="4A790230"/>
    <w:rsid w:val="4A7F126F"/>
    <w:rsid w:val="4A802994"/>
    <w:rsid w:val="4A84645B"/>
    <w:rsid w:val="4A8C2172"/>
    <w:rsid w:val="4A9430DB"/>
    <w:rsid w:val="4A9929B2"/>
    <w:rsid w:val="4A9B77CE"/>
    <w:rsid w:val="4A9C7AFA"/>
    <w:rsid w:val="4A9D52F4"/>
    <w:rsid w:val="4A9F60CE"/>
    <w:rsid w:val="4AA22DDB"/>
    <w:rsid w:val="4AA27F54"/>
    <w:rsid w:val="4AA33681"/>
    <w:rsid w:val="4AB214B0"/>
    <w:rsid w:val="4AB56AE2"/>
    <w:rsid w:val="4ABB7ACB"/>
    <w:rsid w:val="4ABE79DD"/>
    <w:rsid w:val="4AC123A4"/>
    <w:rsid w:val="4ACD3932"/>
    <w:rsid w:val="4ACF1226"/>
    <w:rsid w:val="4AD747FF"/>
    <w:rsid w:val="4AD9330B"/>
    <w:rsid w:val="4AD96B2A"/>
    <w:rsid w:val="4AE23D70"/>
    <w:rsid w:val="4AE41EE2"/>
    <w:rsid w:val="4AED6E7A"/>
    <w:rsid w:val="4AEF0A05"/>
    <w:rsid w:val="4AEF4F08"/>
    <w:rsid w:val="4AF433CE"/>
    <w:rsid w:val="4AF94ED9"/>
    <w:rsid w:val="4B0137E8"/>
    <w:rsid w:val="4B074019"/>
    <w:rsid w:val="4B1A06F3"/>
    <w:rsid w:val="4B2052D9"/>
    <w:rsid w:val="4B2155AF"/>
    <w:rsid w:val="4B236259"/>
    <w:rsid w:val="4B297271"/>
    <w:rsid w:val="4B2D0324"/>
    <w:rsid w:val="4B366F25"/>
    <w:rsid w:val="4B3A2FF2"/>
    <w:rsid w:val="4B4A0085"/>
    <w:rsid w:val="4B4B2FA2"/>
    <w:rsid w:val="4B4B7420"/>
    <w:rsid w:val="4B4E33F9"/>
    <w:rsid w:val="4B4F783F"/>
    <w:rsid w:val="4B531C3B"/>
    <w:rsid w:val="4B541A4E"/>
    <w:rsid w:val="4B5D1DE1"/>
    <w:rsid w:val="4B6127C6"/>
    <w:rsid w:val="4B616EBE"/>
    <w:rsid w:val="4B6B2A40"/>
    <w:rsid w:val="4B6B499A"/>
    <w:rsid w:val="4B6C424B"/>
    <w:rsid w:val="4B751DCD"/>
    <w:rsid w:val="4B756271"/>
    <w:rsid w:val="4B7A5F4C"/>
    <w:rsid w:val="4B7C589D"/>
    <w:rsid w:val="4B7D0C82"/>
    <w:rsid w:val="4B7D5157"/>
    <w:rsid w:val="4B8217A9"/>
    <w:rsid w:val="4B861312"/>
    <w:rsid w:val="4B890D78"/>
    <w:rsid w:val="4B8D35BB"/>
    <w:rsid w:val="4B8D464C"/>
    <w:rsid w:val="4B8E2DC1"/>
    <w:rsid w:val="4B9A1834"/>
    <w:rsid w:val="4BA23931"/>
    <w:rsid w:val="4BAF082E"/>
    <w:rsid w:val="4BB02E05"/>
    <w:rsid w:val="4BB46D99"/>
    <w:rsid w:val="4BB67037"/>
    <w:rsid w:val="4BBB5051"/>
    <w:rsid w:val="4BC32B39"/>
    <w:rsid w:val="4BC863A1"/>
    <w:rsid w:val="4BCE5C37"/>
    <w:rsid w:val="4BD31C43"/>
    <w:rsid w:val="4BD411EA"/>
    <w:rsid w:val="4BDF255B"/>
    <w:rsid w:val="4BF442F8"/>
    <w:rsid w:val="4C053323"/>
    <w:rsid w:val="4C0575F5"/>
    <w:rsid w:val="4C0638AC"/>
    <w:rsid w:val="4C0F3FD0"/>
    <w:rsid w:val="4C126CDE"/>
    <w:rsid w:val="4C131BA4"/>
    <w:rsid w:val="4C140CA6"/>
    <w:rsid w:val="4C177328"/>
    <w:rsid w:val="4C186610"/>
    <w:rsid w:val="4C19393F"/>
    <w:rsid w:val="4C2215EC"/>
    <w:rsid w:val="4C264E27"/>
    <w:rsid w:val="4C2757BD"/>
    <w:rsid w:val="4C2845F4"/>
    <w:rsid w:val="4C2B677E"/>
    <w:rsid w:val="4C337F11"/>
    <w:rsid w:val="4C3C11A5"/>
    <w:rsid w:val="4C40141E"/>
    <w:rsid w:val="4C4105E3"/>
    <w:rsid w:val="4C417F01"/>
    <w:rsid w:val="4C485734"/>
    <w:rsid w:val="4C4C5AB8"/>
    <w:rsid w:val="4C4F2947"/>
    <w:rsid w:val="4C4F720B"/>
    <w:rsid w:val="4C594914"/>
    <w:rsid w:val="4C5C2C74"/>
    <w:rsid w:val="4C600A14"/>
    <w:rsid w:val="4C6D79C2"/>
    <w:rsid w:val="4C713FF7"/>
    <w:rsid w:val="4C714C8A"/>
    <w:rsid w:val="4C7B1665"/>
    <w:rsid w:val="4C7B4F73"/>
    <w:rsid w:val="4C8524E4"/>
    <w:rsid w:val="4C891933"/>
    <w:rsid w:val="4C8A203F"/>
    <w:rsid w:val="4C8E75EA"/>
    <w:rsid w:val="4C8F79FC"/>
    <w:rsid w:val="4C9D6961"/>
    <w:rsid w:val="4C9D6BAF"/>
    <w:rsid w:val="4CA010CC"/>
    <w:rsid w:val="4CB129A8"/>
    <w:rsid w:val="4CB224A3"/>
    <w:rsid w:val="4CB47DDB"/>
    <w:rsid w:val="4CBA1601"/>
    <w:rsid w:val="4CBD13AA"/>
    <w:rsid w:val="4CBF2E04"/>
    <w:rsid w:val="4CC70020"/>
    <w:rsid w:val="4CCA6149"/>
    <w:rsid w:val="4CCC01F2"/>
    <w:rsid w:val="4CD26D0B"/>
    <w:rsid w:val="4CD86AB8"/>
    <w:rsid w:val="4CDA680A"/>
    <w:rsid w:val="4CDC6E81"/>
    <w:rsid w:val="4CDF1BF4"/>
    <w:rsid w:val="4CE07F77"/>
    <w:rsid w:val="4CEB4DF7"/>
    <w:rsid w:val="4CEF2CC7"/>
    <w:rsid w:val="4CF60F89"/>
    <w:rsid w:val="4CF82D36"/>
    <w:rsid w:val="4D0C64A0"/>
    <w:rsid w:val="4D0C6761"/>
    <w:rsid w:val="4D1C1AB9"/>
    <w:rsid w:val="4D265AE0"/>
    <w:rsid w:val="4D2F33D6"/>
    <w:rsid w:val="4D3154BC"/>
    <w:rsid w:val="4D3A62E0"/>
    <w:rsid w:val="4D457A26"/>
    <w:rsid w:val="4D520492"/>
    <w:rsid w:val="4D527BBA"/>
    <w:rsid w:val="4D541405"/>
    <w:rsid w:val="4D565C2E"/>
    <w:rsid w:val="4D5A1CF0"/>
    <w:rsid w:val="4D5C042C"/>
    <w:rsid w:val="4D6C156C"/>
    <w:rsid w:val="4D6C7200"/>
    <w:rsid w:val="4D6D36A4"/>
    <w:rsid w:val="4D6F1DCA"/>
    <w:rsid w:val="4D707D70"/>
    <w:rsid w:val="4D762D30"/>
    <w:rsid w:val="4D7762D0"/>
    <w:rsid w:val="4D7A78EA"/>
    <w:rsid w:val="4D7D6F6D"/>
    <w:rsid w:val="4D906268"/>
    <w:rsid w:val="4D9218C3"/>
    <w:rsid w:val="4D97348A"/>
    <w:rsid w:val="4D987A7F"/>
    <w:rsid w:val="4D9A5B1B"/>
    <w:rsid w:val="4D9C0DF9"/>
    <w:rsid w:val="4DA57899"/>
    <w:rsid w:val="4DA8648A"/>
    <w:rsid w:val="4DAE49FC"/>
    <w:rsid w:val="4DB35B07"/>
    <w:rsid w:val="4DC407C0"/>
    <w:rsid w:val="4DD37913"/>
    <w:rsid w:val="4DD86643"/>
    <w:rsid w:val="4DDD3C5A"/>
    <w:rsid w:val="4DDE4460"/>
    <w:rsid w:val="4DE14C7E"/>
    <w:rsid w:val="4DE338F1"/>
    <w:rsid w:val="4DE90850"/>
    <w:rsid w:val="4DF25957"/>
    <w:rsid w:val="4DF711BF"/>
    <w:rsid w:val="4DF8691D"/>
    <w:rsid w:val="4DFF3F4D"/>
    <w:rsid w:val="4E06624E"/>
    <w:rsid w:val="4E0B6A19"/>
    <w:rsid w:val="4E121B55"/>
    <w:rsid w:val="4E127DA7"/>
    <w:rsid w:val="4E1C34FE"/>
    <w:rsid w:val="4E2233F4"/>
    <w:rsid w:val="4E2A120F"/>
    <w:rsid w:val="4E2D248B"/>
    <w:rsid w:val="4E2D2E33"/>
    <w:rsid w:val="4E305547"/>
    <w:rsid w:val="4E30671B"/>
    <w:rsid w:val="4E346591"/>
    <w:rsid w:val="4E35183C"/>
    <w:rsid w:val="4E393586"/>
    <w:rsid w:val="4E435AB0"/>
    <w:rsid w:val="4E4A7DB4"/>
    <w:rsid w:val="4E4D5EDB"/>
    <w:rsid w:val="4E4F49A5"/>
    <w:rsid w:val="4E5B79A0"/>
    <w:rsid w:val="4E5E019D"/>
    <w:rsid w:val="4E670E98"/>
    <w:rsid w:val="4E683BE1"/>
    <w:rsid w:val="4E7177AA"/>
    <w:rsid w:val="4E78112A"/>
    <w:rsid w:val="4E7A7AE1"/>
    <w:rsid w:val="4E7B594C"/>
    <w:rsid w:val="4E803B77"/>
    <w:rsid w:val="4E835A67"/>
    <w:rsid w:val="4E843AE4"/>
    <w:rsid w:val="4E8B7D2C"/>
    <w:rsid w:val="4E8F31A6"/>
    <w:rsid w:val="4E915170"/>
    <w:rsid w:val="4E925B34"/>
    <w:rsid w:val="4EA17203"/>
    <w:rsid w:val="4EA84BD1"/>
    <w:rsid w:val="4EB86BA1"/>
    <w:rsid w:val="4EBA1E1E"/>
    <w:rsid w:val="4EBB21ED"/>
    <w:rsid w:val="4EBD5F65"/>
    <w:rsid w:val="4EC022FF"/>
    <w:rsid w:val="4ECA0258"/>
    <w:rsid w:val="4ECB4B86"/>
    <w:rsid w:val="4ED74532"/>
    <w:rsid w:val="4EDA6AB0"/>
    <w:rsid w:val="4EDD0612"/>
    <w:rsid w:val="4EDD3B16"/>
    <w:rsid w:val="4EDE7C89"/>
    <w:rsid w:val="4EE021E0"/>
    <w:rsid w:val="4EE108DE"/>
    <w:rsid w:val="4EE53836"/>
    <w:rsid w:val="4EE5726A"/>
    <w:rsid w:val="4EE77F10"/>
    <w:rsid w:val="4EEC26BA"/>
    <w:rsid w:val="4EF734DF"/>
    <w:rsid w:val="4EFC5DA4"/>
    <w:rsid w:val="4EFE2D66"/>
    <w:rsid w:val="4F022399"/>
    <w:rsid w:val="4F0312CB"/>
    <w:rsid w:val="4F091C95"/>
    <w:rsid w:val="4F1418FD"/>
    <w:rsid w:val="4F1813ED"/>
    <w:rsid w:val="4F1964C8"/>
    <w:rsid w:val="4F1F277C"/>
    <w:rsid w:val="4F244236"/>
    <w:rsid w:val="4F267465"/>
    <w:rsid w:val="4F277882"/>
    <w:rsid w:val="4F2839DA"/>
    <w:rsid w:val="4F2E47B8"/>
    <w:rsid w:val="4F2F3FC0"/>
    <w:rsid w:val="4F304F3F"/>
    <w:rsid w:val="4F366C62"/>
    <w:rsid w:val="4F3D049B"/>
    <w:rsid w:val="4F404A3A"/>
    <w:rsid w:val="4F4A4948"/>
    <w:rsid w:val="4F4E69C4"/>
    <w:rsid w:val="4F514F1A"/>
    <w:rsid w:val="4F5440CA"/>
    <w:rsid w:val="4F5F0A3F"/>
    <w:rsid w:val="4F610FE6"/>
    <w:rsid w:val="4F6C0CE0"/>
    <w:rsid w:val="4F766114"/>
    <w:rsid w:val="4F7718BF"/>
    <w:rsid w:val="4F8151E4"/>
    <w:rsid w:val="4F824AB9"/>
    <w:rsid w:val="4F842547"/>
    <w:rsid w:val="4F8545A9"/>
    <w:rsid w:val="4F861066"/>
    <w:rsid w:val="4F952A3E"/>
    <w:rsid w:val="4F95531B"/>
    <w:rsid w:val="4F9F566B"/>
    <w:rsid w:val="4FA233AD"/>
    <w:rsid w:val="4FA5502F"/>
    <w:rsid w:val="4FA6753C"/>
    <w:rsid w:val="4FAB400F"/>
    <w:rsid w:val="4FB46CE6"/>
    <w:rsid w:val="4FBB6E71"/>
    <w:rsid w:val="4FD5108C"/>
    <w:rsid w:val="4FDE4AA4"/>
    <w:rsid w:val="4FE55A96"/>
    <w:rsid w:val="4FEC2D98"/>
    <w:rsid w:val="4FF15351"/>
    <w:rsid w:val="4FF22610"/>
    <w:rsid w:val="4FF44B15"/>
    <w:rsid w:val="4FF66D32"/>
    <w:rsid w:val="4FF74A41"/>
    <w:rsid w:val="4FF86152"/>
    <w:rsid w:val="4FFB486B"/>
    <w:rsid w:val="4FFE5546"/>
    <w:rsid w:val="50055167"/>
    <w:rsid w:val="5006029B"/>
    <w:rsid w:val="5012260E"/>
    <w:rsid w:val="50127591"/>
    <w:rsid w:val="501330C7"/>
    <w:rsid w:val="5013449D"/>
    <w:rsid w:val="50173FCB"/>
    <w:rsid w:val="50181F90"/>
    <w:rsid w:val="50204270"/>
    <w:rsid w:val="5028222A"/>
    <w:rsid w:val="502A587C"/>
    <w:rsid w:val="50473E80"/>
    <w:rsid w:val="504A06D1"/>
    <w:rsid w:val="504F7091"/>
    <w:rsid w:val="505527CB"/>
    <w:rsid w:val="50563814"/>
    <w:rsid w:val="505B0315"/>
    <w:rsid w:val="50650F19"/>
    <w:rsid w:val="50663D5B"/>
    <w:rsid w:val="507460F2"/>
    <w:rsid w:val="5075461D"/>
    <w:rsid w:val="50762F1F"/>
    <w:rsid w:val="507E34D2"/>
    <w:rsid w:val="507F10E3"/>
    <w:rsid w:val="50827466"/>
    <w:rsid w:val="508474E5"/>
    <w:rsid w:val="50857C2F"/>
    <w:rsid w:val="508E263E"/>
    <w:rsid w:val="50921AA0"/>
    <w:rsid w:val="509531FC"/>
    <w:rsid w:val="509902B4"/>
    <w:rsid w:val="509C1BAA"/>
    <w:rsid w:val="50A0169A"/>
    <w:rsid w:val="50A22EE3"/>
    <w:rsid w:val="50A53155"/>
    <w:rsid w:val="50A84F9A"/>
    <w:rsid w:val="50A92F12"/>
    <w:rsid w:val="50AA076B"/>
    <w:rsid w:val="50AE767E"/>
    <w:rsid w:val="50B64A8E"/>
    <w:rsid w:val="50BB13B7"/>
    <w:rsid w:val="50BD3070"/>
    <w:rsid w:val="50BE4216"/>
    <w:rsid w:val="50C026C4"/>
    <w:rsid w:val="50C13650"/>
    <w:rsid w:val="50CD1251"/>
    <w:rsid w:val="50CD55F3"/>
    <w:rsid w:val="50D2084A"/>
    <w:rsid w:val="50D7566F"/>
    <w:rsid w:val="50DB0924"/>
    <w:rsid w:val="50E22F57"/>
    <w:rsid w:val="50E313CC"/>
    <w:rsid w:val="50EC2B32"/>
    <w:rsid w:val="50F05527"/>
    <w:rsid w:val="50F10148"/>
    <w:rsid w:val="50FD3816"/>
    <w:rsid w:val="5101258E"/>
    <w:rsid w:val="510C61C9"/>
    <w:rsid w:val="510F0460"/>
    <w:rsid w:val="51164525"/>
    <w:rsid w:val="511A2107"/>
    <w:rsid w:val="511E4CB5"/>
    <w:rsid w:val="5124176D"/>
    <w:rsid w:val="5125610B"/>
    <w:rsid w:val="51295B34"/>
    <w:rsid w:val="512B6AB4"/>
    <w:rsid w:val="513029C4"/>
    <w:rsid w:val="5137230D"/>
    <w:rsid w:val="51411E1E"/>
    <w:rsid w:val="51515600"/>
    <w:rsid w:val="51641FA1"/>
    <w:rsid w:val="51695F30"/>
    <w:rsid w:val="516C3C72"/>
    <w:rsid w:val="51713342"/>
    <w:rsid w:val="517C15E7"/>
    <w:rsid w:val="51825244"/>
    <w:rsid w:val="518576B2"/>
    <w:rsid w:val="518B056D"/>
    <w:rsid w:val="51933489"/>
    <w:rsid w:val="51A226AC"/>
    <w:rsid w:val="51A5400F"/>
    <w:rsid w:val="51A6208C"/>
    <w:rsid w:val="51A80901"/>
    <w:rsid w:val="51A97528"/>
    <w:rsid w:val="51AA471F"/>
    <w:rsid w:val="51BB1E59"/>
    <w:rsid w:val="51BB5909"/>
    <w:rsid w:val="51BD63E1"/>
    <w:rsid w:val="51D231BB"/>
    <w:rsid w:val="51D57224"/>
    <w:rsid w:val="51DD247A"/>
    <w:rsid w:val="51E21D1A"/>
    <w:rsid w:val="51E67CB1"/>
    <w:rsid w:val="51EA3159"/>
    <w:rsid w:val="51EB7A38"/>
    <w:rsid w:val="51ED6B61"/>
    <w:rsid w:val="51F16466"/>
    <w:rsid w:val="51FF183A"/>
    <w:rsid w:val="520B5239"/>
    <w:rsid w:val="5212334A"/>
    <w:rsid w:val="523F2203"/>
    <w:rsid w:val="52410291"/>
    <w:rsid w:val="524C292E"/>
    <w:rsid w:val="524E3673"/>
    <w:rsid w:val="52575E63"/>
    <w:rsid w:val="525766D1"/>
    <w:rsid w:val="52580486"/>
    <w:rsid w:val="525A3C3F"/>
    <w:rsid w:val="52612354"/>
    <w:rsid w:val="52660276"/>
    <w:rsid w:val="5268443A"/>
    <w:rsid w:val="5273095F"/>
    <w:rsid w:val="52741030"/>
    <w:rsid w:val="527A5F1B"/>
    <w:rsid w:val="52807492"/>
    <w:rsid w:val="5285323E"/>
    <w:rsid w:val="528F4774"/>
    <w:rsid w:val="52905FB0"/>
    <w:rsid w:val="5294072D"/>
    <w:rsid w:val="529B763F"/>
    <w:rsid w:val="52A105BD"/>
    <w:rsid w:val="52A80CDA"/>
    <w:rsid w:val="52B1789F"/>
    <w:rsid w:val="52BB083C"/>
    <w:rsid w:val="52BF0546"/>
    <w:rsid w:val="52C11D9C"/>
    <w:rsid w:val="52CE2E9A"/>
    <w:rsid w:val="52CF6920"/>
    <w:rsid w:val="52D61424"/>
    <w:rsid w:val="52D92918"/>
    <w:rsid w:val="52E50543"/>
    <w:rsid w:val="52EF5EAC"/>
    <w:rsid w:val="52F04997"/>
    <w:rsid w:val="52F11223"/>
    <w:rsid w:val="52FC70F0"/>
    <w:rsid w:val="52FF63EF"/>
    <w:rsid w:val="53042DB3"/>
    <w:rsid w:val="53054EB7"/>
    <w:rsid w:val="5307019F"/>
    <w:rsid w:val="53073C53"/>
    <w:rsid w:val="530C4820"/>
    <w:rsid w:val="530D6112"/>
    <w:rsid w:val="530E3233"/>
    <w:rsid w:val="531916ED"/>
    <w:rsid w:val="53193547"/>
    <w:rsid w:val="531B58D4"/>
    <w:rsid w:val="531F6EC4"/>
    <w:rsid w:val="532145E9"/>
    <w:rsid w:val="53232289"/>
    <w:rsid w:val="53267E44"/>
    <w:rsid w:val="532C41AD"/>
    <w:rsid w:val="532E5754"/>
    <w:rsid w:val="5330287A"/>
    <w:rsid w:val="5345615B"/>
    <w:rsid w:val="534B5658"/>
    <w:rsid w:val="534D068E"/>
    <w:rsid w:val="534D4D26"/>
    <w:rsid w:val="534F5434"/>
    <w:rsid w:val="535111C6"/>
    <w:rsid w:val="53571CE5"/>
    <w:rsid w:val="53587A1A"/>
    <w:rsid w:val="535B5D4C"/>
    <w:rsid w:val="535C06A1"/>
    <w:rsid w:val="53603EBD"/>
    <w:rsid w:val="536A0B5E"/>
    <w:rsid w:val="536A5F90"/>
    <w:rsid w:val="536C61AC"/>
    <w:rsid w:val="53715E8F"/>
    <w:rsid w:val="537F7C8D"/>
    <w:rsid w:val="53807561"/>
    <w:rsid w:val="538105AB"/>
    <w:rsid w:val="53832129"/>
    <w:rsid w:val="538928BA"/>
    <w:rsid w:val="538A6632"/>
    <w:rsid w:val="538A7EF8"/>
    <w:rsid w:val="53927DCF"/>
    <w:rsid w:val="5394125E"/>
    <w:rsid w:val="53964FD7"/>
    <w:rsid w:val="53982F5E"/>
    <w:rsid w:val="539A1189"/>
    <w:rsid w:val="539B083F"/>
    <w:rsid w:val="53A02B40"/>
    <w:rsid w:val="53A22312"/>
    <w:rsid w:val="53A4234B"/>
    <w:rsid w:val="53AD7D9F"/>
    <w:rsid w:val="53B0269D"/>
    <w:rsid w:val="53C66876"/>
    <w:rsid w:val="53C93B0F"/>
    <w:rsid w:val="53CE2ACE"/>
    <w:rsid w:val="53D36321"/>
    <w:rsid w:val="53D52709"/>
    <w:rsid w:val="53D76B51"/>
    <w:rsid w:val="53D8739D"/>
    <w:rsid w:val="53DE2604"/>
    <w:rsid w:val="53E86B7E"/>
    <w:rsid w:val="53E93358"/>
    <w:rsid w:val="53EC3E51"/>
    <w:rsid w:val="53EC4BF7"/>
    <w:rsid w:val="53EE3005"/>
    <w:rsid w:val="53F1220D"/>
    <w:rsid w:val="53F429BA"/>
    <w:rsid w:val="53F81EFB"/>
    <w:rsid w:val="53FC2BBB"/>
    <w:rsid w:val="54000820"/>
    <w:rsid w:val="54164C93"/>
    <w:rsid w:val="54236206"/>
    <w:rsid w:val="54264634"/>
    <w:rsid w:val="542D76E9"/>
    <w:rsid w:val="543C7A77"/>
    <w:rsid w:val="543F3D14"/>
    <w:rsid w:val="54447E69"/>
    <w:rsid w:val="54536D11"/>
    <w:rsid w:val="5463310B"/>
    <w:rsid w:val="54663C37"/>
    <w:rsid w:val="54680721"/>
    <w:rsid w:val="546B76CE"/>
    <w:rsid w:val="547846DC"/>
    <w:rsid w:val="5479292E"/>
    <w:rsid w:val="54812740"/>
    <w:rsid w:val="548412D3"/>
    <w:rsid w:val="548932BD"/>
    <w:rsid w:val="548E6B0B"/>
    <w:rsid w:val="54931516"/>
    <w:rsid w:val="549B0B08"/>
    <w:rsid w:val="549B3A55"/>
    <w:rsid w:val="549D4E7C"/>
    <w:rsid w:val="54B326E3"/>
    <w:rsid w:val="54B551A9"/>
    <w:rsid w:val="54BE6593"/>
    <w:rsid w:val="54C046E2"/>
    <w:rsid w:val="54C70B96"/>
    <w:rsid w:val="54E41A02"/>
    <w:rsid w:val="54E65ED8"/>
    <w:rsid w:val="54E77DAE"/>
    <w:rsid w:val="54E95C1E"/>
    <w:rsid w:val="54EA2C52"/>
    <w:rsid w:val="54EE6540"/>
    <w:rsid w:val="54F20336"/>
    <w:rsid w:val="54F42ACC"/>
    <w:rsid w:val="54F62441"/>
    <w:rsid w:val="54FA5AF4"/>
    <w:rsid w:val="54FA643B"/>
    <w:rsid w:val="54FD744A"/>
    <w:rsid w:val="55006BAB"/>
    <w:rsid w:val="55056AFD"/>
    <w:rsid w:val="55086A8D"/>
    <w:rsid w:val="550F18CE"/>
    <w:rsid w:val="55256612"/>
    <w:rsid w:val="552A5B34"/>
    <w:rsid w:val="552B3F81"/>
    <w:rsid w:val="55306D65"/>
    <w:rsid w:val="55336B81"/>
    <w:rsid w:val="553403B2"/>
    <w:rsid w:val="553571A8"/>
    <w:rsid w:val="553636C7"/>
    <w:rsid w:val="55432327"/>
    <w:rsid w:val="554B1358"/>
    <w:rsid w:val="554C2555"/>
    <w:rsid w:val="554E0FC1"/>
    <w:rsid w:val="555B19F5"/>
    <w:rsid w:val="55624083"/>
    <w:rsid w:val="556A04C9"/>
    <w:rsid w:val="557A2BAA"/>
    <w:rsid w:val="557F21C6"/>
    <w:rsid w:val="55853555"/>
    <w:rsid w:val="559374CC"/>
    <w:rsid w:val="5594305C"/>
    <w:rsid w:val="559C2881"/>
    <w:rsid w:val="55A01873"/>
    <w:rsid w:val="55A77921"/>
    <w:rsid w:val="55AB5B8E"/>
    <w:rsid w:val="55AE2015"/>
    <w:rsid w:val="55BF05E4"/>
    <w:rsid w:val="55C85827"/>
    <w:rsid w:val="55CB0CC1"/>
    <w:rsid w:val="55D818D6"/>
    <w:rsid w:val="55D911AB"/>
    <w:rsid w:val="55E00285"/>
    <w:rsid w:val="55EB60CB"/>
    <w:rsid w:val="55EC11ED"/>
    <w:rsid w:val="55F45FE4"/>
    <w:rsid w:val="55FA184D"/>
    <w:rsid w:val="55FA3E5A"/>
    <w:rsid w:val="55FC7A04"/>
    <w:rsid w:val="55FE0AB0"/>
    <w:rsid w:val="56013D23"/>
    <w:rsid w:val="56020384"/>
    <w:rsid w:val="5608337B"/>
    <w:rsid w:val="560A662B"/>
    <w:rsid w:val="560E52F8"/>
    <w:rsid w:val="56150435"/>
    <w:rsid w:val="56150744"/>
    <w:rsid w:val="56165356"/>
    <w:rsid w:val="561C5A46"/>
    <w:rsid w:val="5622323A"/>
    <w:rsid w:val="562B32B4"/>
    <w:rsid w:val="563479A6"/>
    <w:rsid w:val="56352885"/>
    <w:rsid w:val="56382375"/>
    <w:rsid w:val="56393B24"/>
    <w:rsid w:val="563C1E65"/>
    <w:rsid w:val="563E406D"/>
    <w:rsid w:val="563F6221"/>
    <w:rsid w:val="564926DD"/>
    <w:rsid w:val="564B20A8"/>
    <w:rsid w:val="565076BF"/>
    <w:rsid w:val="56535D41"/>
    <w:rsid w:val="566273F2"/>
    <w:rsid w:val="5669564D"/>
    <w:rsid w:val="566D5190"/>
    <w:rsid w:val="567809C3"/>
    <w:rsid w:val="56815ACA"/>
    <w:rsid w:val="568630E0"/>
    <w:rsid w:val="568B799B"/>
    <w:rsid w:val="569362B6"/>
    <w:rsid w:val="56973C6B"/>
    <w:rsid w:val="5697709C"/>
    <w:rsid w:val="56995D14"/>
    <w:rsid w:val="569C6DA8"/>
    <w:rsid w:val="569D22E6"/>
    <w:rsid w:val="569E250A"/>
    <w:rsid w:val="56A064BA"/>
    <w:rsid w:val="56A42F7F"/>
    <w:rsid w:val="56AB5A99"/>
    <w:rsid w:val="56AE5749"/>
    <w:rsid w:val="56B21D51"/>
    <w:rsid w:val="56B92464"/>
    <w:rsid w:val="56BF1DFA"/>
    <w:rsid w:val="56C447B8"/>
    <w:rsid w:val="56C93B85"/>
    <w:rsid w:val="56D54068"/>
    <w:rsid w:val="56DE71A4"/>
    <w:rsid w:val="56E20C1E"/>
    <w:rsid w:val="56E51347"/>
    <w:rsid w:val="56E57E7D"/>
    <w:rsid w:val="56E82ED0"/>
    <w:rsid w:val="56EA2821"/>
    <w:rsid w:val="56EA556B"/>
    <w:rsid w:val="56ED3A4D"/>
    <w:rsid w:val="56F23D79"/>
    <w:rsid w:val="56F476E0"/>
    <w:rsid w:val="56F609DE"/>
    <w:rsid w:val="56F72230"/>
    <w:rsid w:val="5700148F"/>
    <w:rsid w:val="57055CE2"/>
    <w:rsid w:val="57087F99"/>
    <w:rsid w:val="570C35BF"/>
    <w:rsid w:val="570D4FA1"/>
    <w:rsid w:val="57104B41"/>
    <w:rsid w:val="57133340"/>
    <w:rsid w:val="571477B7"/>
    <w:rsid w:val="571A1A7B"/>
    <w:rsid w:val="571E0CAB"/>
    <w:rsid w:val="5722541C"/>
    <w:rsid w:val="57393677"/>
    <w:rsid w:val="574A56CA"/>
    <w:rsid w:val="574C2587"/>
    <w:rsid w:val="575E5D20"/>
    <w:rsid w:val="576528E0"/>
    <w:rsid w:val="57686C8A"/>
    <w:rsid w:val="576A62A9"/>
    <w:rsid w:val="577713E3"/>
    <w:rsid w:val="57785210"/>
    <w:rsid w:val="577C358F"/>
    <w:rsid w:val="577D448E"/>
    <w:rsid w:val="577D75B8"/>
    <w:rsid w:val="577E025B"/>
    <w:rsid w:val="57805D82"/>
    <w:rsid w:val="578162BC"/>
    <w:rsid w:val="57876C2E"/>
    <w:rsid w:val="5797224C"/>
    <w:rsid w:val="579B705F"/>
    <w:rsid w:val="579E7811"/>
    <w:rsid w:val="57A26B41"/>
    <w:rsid w:val="57A32AF8"/>
    <w:rsid w:val="57A35583"/>
    <w:rsid w:val="57A777B2"/>
    <w:rsid w:val="57B017F6"/>
    <w:rsid w:val="57B40121"/>
    <w:rsid w:val="57B63E99"/>
    <w:rsid w:val="57B95737"/>
    <w:rsid w:val="57BE1B56"/>
    <w:rsid w:val="57C27432"/>
    <w:rsid w:val="57C31415"/>
    <w:rsid w:val="57C86FFD"/>
    <w:rsid w:val="57CA1161"/>
    <w:rsid w:val="57CC5B31"/>
    <w:rsid w:val="57D3429C"/>
    <w:rsid w:val="57E75E01"/>
    <w:rsid w:val="57E97DCB"/>
    <w:rsid w:val="57ED66AA"/>
    <w:rsid w:val="57F347A6"/>
    <w:rsid w:val="57F549C2"/>
    <w:rsid w:val="57FB4357"/>
    <w:rsid w:val="57FF5681"/>
    <w:rsid w:val="580F15D6"/>
    <w:rsid w:val="58161D29"/>
    <w:rsid w:val="581703CB"/>
    <w:rsid w:val="581D1822"/>
    <w:rsid w:val="58285BD8"/>
    <w:rsid w:val="58337298"/>
    <w:rsid w:val="5834210C"/>
    <w:rsid w:val="58353010"/>
    <w:rsid w:val="58374865"/>
    <w:rsid w:val="58403763"/>
    <w:rsid w:val="5848391C"/>
    <w:rsid w:val="585B5E35"/>
    <w:rsid w:val="585B7277"/>
    <w:rsid w:val="585F5D41"/>
    <w:rsid w:val="58615BB3"/>
    <w:rsid w:val="58636A40"/>
    <w:rsid w:val="58647451"/>
    <w:rsid w:val="586C0B52"/>
    <w:rsid w:val="587003DF"/>
    <w:rsid w:val="5870229A"/>
    <w:rsid w:val="5878622A"/>
    <w:rsid w:val="587A5A97"/>
    <w:rsid w:val="587D72F9"/>
    <w:rsid w:val="587F072F"/>
    <w:rsid w:val="58807301"/>
    <w:rsid w:val="58844137"/>
    <w:rsid w:val="588616D3"/>
    <w:rsid w:val="5886386C"/>
    <w:rsid w:val="58873140"/>
    <w:rsid w:val="5888627A"/>
    <w:rsid w:val="588B5295"/>
    <w:rsid w:val="588E2F29"/>
    <w:rsid w:val="58900246"/>
    <w:rsid w:val="58916AC3"/>
    <w:rsid w:val="58975328"/>
    <w:rsid w:val="58977A2E"/>
    <w:rsid w:val="589B1600"/>
    <w:rsid w:val="589F0489"/>
    <w:rsid w:val="58A05DC2"/>
    <w:rsid w:val="58A20774"/>
    <w:rsid w:val="58A41F44"/>
    <w:rsid w:val="58AB32D2"/>
    <w:rsid w:val="58B6258C"/>
    <w:rsid w:val="58B646E4"/>
    <w:rsid w:val="58BC54DF"/>
    <w:rsid w:val="58BE4439"/>
    <w:rsid w:val="58C148A4"/>
    <w:rsid w:val="58C3655D"/>
    <w:rsid w:val="58C6010C"/>
    <w:rsid w:val="58CA62C8"/>
    <w:rsid w:val="58D73051"/>
    <w:rsid w:val="58DE69F7"/>
    <w:rsid w:val="58E3783D"/>
    <w:rsid w:val="58E467E4"/>
    <w:rsid w:val="58EF62C7"/>
    <w:rsid w:val="58F073FF"/>
    <w:rsid w:val="58F25714"/>
    <w:rsid w:val="58FD3402"/>
    <w:rsid w:val="59004B47"/>
    <w:rsid w:val="590537DA"/>
    <w:rsid w:val="59091DA7"/>
    <w:rsid w:val="590A624B"/>
    <w:rsid w:val="590B3D71"/>
    <w:rsid w:val="590F1AB3"/>
    <w:rsid w:val="59123351"/>
    <w:rsid w:val="59131E85"/>
    <w:rsid w:val="591E773C"/>
    <w:rsid w:val="5923273C"/>
    <w:rsid w:val="592B61C1"/>
    <w:rsid w:val="5931649C"/>
    <w:rsid w:val="59353AFB"/>
    <w:rsid w:val="59356FF1"/>
    <w:rsid w:val="593B28A8"/>
    <w:rsid w:val="593C70B4"/>
    <w:rsid w:val="59406A8D"/>
    <w:rsid w:val="59497BB1"/>
    <w:rsid w:val="594D7417"/>
    <w:rsid w:val="594F4A95"/>
    <w:rsid w:val="5952570D"/>
    <w:rsid w:val="59574169"/>
    <w:rsid w:val="595B0C8F"/>
    <w:rsid w:val="595E6D7C"/>
    <w:rsid w:val="596A3F0B"/>
    <w:rsid w:val="596C2A61"/>
    <w:rsid w:val="5973649F"/>
    <w:rsid w:val="59804C5F"/>
    <w:rsid w:val="59853B23"/>
    <w:rsid w:val="59946BAC"/>
    <w:rsid w:val="599775EE"/>
    <w:rsid w:val="599D45E2"/>
    <w:rsid w:val="59A044B9"/>
    <w:rsid w:val="59AF0EEB"/>
    <w:rsid w:val="59B01EF0"/>
    <w:rsid w:val="59BD1B3C"/>
    <w:rsid w:val="59C44CE9"/>
    <w:rsid w:val="59CC3FE2"/>
    <w:rsid w:val="59CD1026"/>
    <w:rsid w:val="59CE248B"/>
    <w:rsid w:val="59D2488F"/>
    <w:rsid w:val="59D802FC"/>
    <w:rsid w:val="59E30C64"/>
    <w:rsid w:val="59E7708B"/>
    <w:rsid w:val="59E911EE"/>
    <w:rsid w:val="59EA3F3F"/>
    <w:rsid w:val="59EC5012"/>
    <w:rsid w:val="59F208B8"/>
    <w:rsid w:val="59F34F31"/>
    <w:rsid w:val="59F35F66"/>
    <w:rsid w:val="59F6216C"/>
    <w:rsid w:val="5A143E85"/>
    <w:rsid w:val="5A211DBA"/>
    <w:rsid w:val="5A256210"/>
    <w:rsid w:val="5A290952"/>
    <w:rsid w:val="5A31662D"/>
    <w:rsid w:val="5A326BEC"/>
    <w:rsid w:val="5A3D2BDB"/>
    <w:rsid w:val="5A414E3D"/>
    <w:rsid w:val="5A427E36"/>
    <w:rsid w:val="5A454CEA"/>
    <w:rsid w:val="5A496657"/>
    <w:rsid w:val="5A4E7A60"/>
    <w:rsid w:val="5A56330D"/>
    <w:rsid w:val="5A5C65DE"/>
    <w:rsid w:val="5A68311A"/>
    <w:rsid w:val="5A732F8A"/>
    <w:rsid w:val="5A744438"/>
    <w:rsid w:val="5A763F4F"/>
    <w:rsid w:val="5A8042EB"/>
    <w:rsid w:val="5A81078E"/>
    <w:rsid w:val="5A821E11"/>
    <w:rsid w:val="5A84657D"/>
    <w:rsid w:val="5A8A3010"/>
    <w:rsid w:val="5A8B33BB"/>
    <w:rsid w:val="5A8E07B6"/>
    <w:rsid w:val="5A951B9E"/>
    <w:rsid w:val="5A9D30EE"/>
    <w:rsid w:val="5A9E46A2"/>
    <w:rsid w:val="5AA10BEE"/>
    <w:rsid w:val="5AA42629"/>
    <w:rsid w:val="5AA53B9A"/>
    <w:rsid w:val="5AA57C9B"/>
    <w:rsid w:val="5AA806D3"/>
    <w:rsid w:val="5AB95D5F"/>
    <w:rsid w:val="5ABC4C18"/>
    <w:rsid w:val="5AC42429"/>
    <w:rsid w:val="5AC57E95"/>
    <w:rsid w:val="5AC85246"/>
    <w:rsid w:val="5AC96D8D"/>
    <w:rsid w:val="5ACB6B60"/>
    <w:rsid w:val="5AD14B46"/>
    <w:rsid w:val="5AD9584A"/>
    <w:rsid w:val="5ADE471F"/>
    <w:rsid w:val="5AE70BB0"/>
    <w:rsid w:val="5AE90007"/>
    <w:rsid w:val="5AEB29BA"/>
    <w:rsid w:val="5AEE09C6"/>
    <w:rsid w:val="5AEF70F6"/>
    <w:rsid w:val="5AF2343A"/>
    <w:rsid w:val="5AF30F60"/>
    <w:rsid w:val="5AF34ABD"/>
    <w:rsid w:val="5AF947C9"/>
    <w:rsid w:val="5AFF4EE0"/>
    <w:rsid w:val="5B0373F5"/>
    <w:rsid w:val="5B093975"/>
    <w:rsid w:val="5B0D6977"/>
    <w:rsid w:val="5B0F51AA"/>
    <w:rsid w:val="5B1705AA"/>
    <w:rsid w:val="5B1A029B"/>
    <w:rsid w:val="5B1C04B7"/>
    <w:rsid w:val="5B1C4013"/>
    <w:rsid w:val="5B26465E"/>
    <w:rsid w:val="5B386973"/>
    <w:rsid w:val="5B3F307F"/>
    <w:rsid w:val="5B43290D"/>
    <w:rsid w:val="5B4425A0"/>
    <w:rsid w:val="5B443756"/>
    <w:rsid w:val="5B486EF9"/>
    <w:rsid w:val="5B505E97"/>
    <w:rsid w:val="5B5B6779"/>
    <w:rsid w:val="5B5E462C"/>
    <w:rsid w:val="5B64745E"/>
    <w:rsid w:val="5B647768"/>
    <w:rsid w:val="5B697B85"/>
    <w:rsid w:val="5B6B7AE5"/>
    <w:rsid w:val="5B6D7895"/>
    <w:rsid w:val="5B6F4F7F"/>
    <w:rsid w:val="5B7454CA"/>
    <w:rsid w:val="5B750EFE"/>
    <w:rsid w:val="5B773940"/>
    <w:rsid w:val="5B793214"/>
    <w:rsid w:val="5B7A33E0"/>
    <w:rsid w:val="5B8B14A4"/>
    <w:rsid w:val="5B956ECD"/>
    <w:rsid w:val="5B9718EC"/>
    <w:rsid w:val="5B977B3E"/>
    <w:rsid w:val="5B9A1DC8"/>
    <w:rsid w:val="5B9F2E9A"/>
    <w:rsid w:val="5BA504AD"/>
    <w:rsid w:val="5BA54009"/>
    <w:rsid w:val="5BA73103"/>
    <w:rsid w:val="5BAA2B88"/>
    <w:rsid w:val="5BB26369"/>
    <w:rsid w:val="5BB84ACC"/>
    <w:rsid w:val="5BBB40FA"/>
    <w:rsid w:val="5BBC2DC8"/>
    <w:rsid w:val="5BBD41C5"/>
    <w:rsid w:val="5BC30933"/>
    <w:rsid w:val="5BD14EA2"/>
    <w:rsid w:val="5BD42B40"/>
    <w:rsid w:val="5BD818EA"/>
    <w:rsid w:val="5BD91F04"/>
    <w:rsid w:val="5BDB23DD"/>
    <w:rsid w:val="5BDB3669"/>
    <w:rsid w:val="5BDD3DAB"/>
    <w:rsid w:val="5BDF74C1"/>
    <w:rsid w:val="5BE871A6"/>
    <w:rsid w:val="5BEF43F6"/>
    <w:rsid w:val="5BF07B73"/>
    <w:rsid w:val="5BF358A1"/>
    <w:rsid w:val="5BFC5BF3"/>
    <w:rsid w:val="5BFE5E0F"/>
    <w:rsid w:val="5C0209EF"/>
    <w:rsid w:val="5C055EB3"/>
    <w:rsid w:val="5C063EDE"/>
    <w:rsid w:val="5C067E93"/>
    <w:rsid w:val="5C0B4850"/>
    <w:rsid w:val="5C112FB7"/>
    <w:rsid w:val="5C125416"/>
    <w:rsid w:val="5C163158"/>
    <w:rsid w:val="5C1B251D"/>
    <w:rsid w:val="5C1D2488"/>
    <w:rsid w:val="5C1D7BD9"/>
    <w:rsid w:val="5C1F733C"/>
    <w:rsid w:val="5C1F7933"/>
    <w:rsid w:val="5C2A125B"/>
    <w:rsid w:val="5C2B7C22"/>
    <w:rsid w:val="5C2C472A"/>
    <w:rsid w:val="5C337866"/>
    <w:rsid w:val="5C362FC6"/>
    <w:rsid w:val="5C3C25D8"/>
    <w:rsid w:val="5C403D31"/>
    <w:rsid w:val="5C40596B"/>
    <w:rsid w:val="5C4070C7"/>
    <w:rsid w:val="5C4557EC"/>
    <w:rsid w:val="5C462F70"/>
    <w:rsid w:val="5C464800"/>
    <w:rsid w:val="5C4B3416"/>
    <w:rsid w:val="5C551B74"/>
    <w:rsid w:val="5C593045"/>
    <w:rsid w:val="5C5A4BA4"/>
    <w:rsid w:val="5C606182"/>
    <w:rsid w:val="5C614690"/>
    <w:rsid w:val="5C71213D"/>
    <w:rsid w:val="5C743D97"/>
    <w:rsid w:val="5C760FEB"/>
    <w:rsid w:val="5C7A0B5D"/>
    <w:rsid w:val="5C80022D"/>
    <w:rsid w:val="5C8739B8"/>
    <w:rsid w:val="5C892A50"/>
    <w:rsid w:val="5C8C341B"/>
    <w:rsid w:val="5C903FB1"/>
    <w:rsid w:val="5C923C74"/>
    <w:rsid w:val="5C9D1184"/>
    <w:rsid w:val="5CA26AE8"/>
    <w:rsid w:val="5CA63AC8"/>
    <w:rsid w:val="5CAA564F"/>
    <w:rsid w:val="5CAC13C7"/>
    <w:rsid w:val="5CB11D9A"/>
    <w:rsid w:val="5CB32B30"/>
    <w:rsid w:val="5CB5471F"/>
    <w:rsid w:val="5CB73713"/>
    <w:rsid w:val="5CBD4BB2"/>
    <w:rsid w:val="5CBF193C"/>
    <w:rsid w:val="5CCA2A8F"/>
    <w:rsid w:val="5CCC4256"/>
    <w:rsid w:val="5CCD192B"/>
    <w:rsid w:val="5CD10967"/>
    <w:rsid w:val="5CD12721"/>
    <w:rsid w:val="5CD526CC"/>
    <w:rsid w:val="5CE42F25"/>
    <w:rsid w:val="5CE768A3"/>
    <w:rsid w:val="5CEB03DB"/>
    <w:rsid w:val="5CEB2375"/>
    <w:rsid w:val="5CEB7654"/>
    <w:rsid w:val="5CED2246"/>
    <w:rsid w:val="5CF95B89"/>
    <w:rsid w:val="5CFC234E"/>
    <w:rsid w:val="5CFC2E54"/>
    <w:rsid w:val="5D001860"/>
    <w:rsid w:val="5D0541AD"/>
    <w:rsid w:val="5D087AD5"/>
    <w:rsid w:val="5D0B701C"/>
    <w:rsid w:val="5D156B41"/>
    <w:rsid w:val="5D1809E5"/>
    <w:rsid w:val="5D22487D"/>
    <w:rsid w:val="5D277883"/>
    <w:rsid w:val="5D320A2C"/>
    <w:rsid w:val="5D325688"/>
    <w:rsid w:val="5D3C4296"/>
    <w:rsid w:val="5D3D64C3"/>
    <w:rsid w:val="5D437F7D"/>
    <w:rsid w:val="5D4A4AAB"/>
    <w:rsid w:val="5D51481A"/>
    <w:rsid w:val="5D583FDE"/>
    <w:rsid w:val="5D5A52C7"/>
    <w:rsid w:val="5D6778DC"/>
    <w:rsid w:val="5D6879E4"/>
    <w:rsid w:val="5D787085"/>
    <w:rsid w:val="5D78723B"/>
    <w:rsid w:val="5D793ED9"/>
    <w:rsid w:val="5D7C54B7"/>
    <w:rsid w:val="5D8073CE"/>
    <w:rsid w:val="5D92680F"/>
    <w:rsid w:val="5D9E0DCC"/>
    <w:rsid w:val="5DA7160D"/>
    <w:rsid w:val="5DAB5B22"/>
    <w:rsid w:val="5DBF002A"/>
    <w:rsid w:val="5DCA5FA9"/>
    <w:rsid w:val="5DCE0F21"/>
    <w:rsid w:val="5DCE33F0"/>
    <w:rsid w:val="5DD230AF"/>
    <w:rsid w:val="5DD2425A"/>
    <w:rsid w:val="5DD475FB"/>
    <w:rsid w:val="5DD82D8D"/>
    <w:rsid w:val="5DE320CD"/>
    <w:rsid w:val="5DE828D3"/>
    <w:rsid w:val="5DED534B"/>
    <w:rsid w:val="5DF22A47"/>
    <w:rsid w:val="5DF3207B"/>
    <w:rsid w:val="5DF429BD"/>
    <w:rsid w:val="5DFB19D3"/>
    <w:rsid w:val="5E015239"/>
    <w:rsid w:val="5E02108F"/>
    <w:rsid w:val="5E027712"/>
    <w:rsid w:val="5E0A693F"/>
    <w:rsid w:val="5E0B4D95"/>
    <w:rsid w:val="5E0B6705"/>
    <w:rsid w:val="5E0C65C1"/>
    <w:rsid w:val="5E0F3507"/>
    <w:rsid w:val="5E126B5F"/>
    <w:rsid w:val="5E1B63CF"/>
    <w:rsid w:val="5E1B6804"/>
    <w:rsid w:val="5E1E4546"/>
    <w:rsid w:val="5E241C39"/>
    <w:rsid w:val="5E2B0BE4"/>
    <w:rsid w:val="5E2C7C9A"/>
    <w:rsid w:val="5E2D15BD"/>
    <w:rsid w:val="5E2E4C97"/>
    <w:rsid w:val="5E315F82"/>
    <w:rsid w:val="5E421185"/>
    <w:rsid w:val="5E42296D"/>
    <w:rsid w:val="5E42423D"/>
    <w:rsid w:val="5E4A533B"/>
    <w:rsid w:val="5E566ABA"/>
    <w:rsid w:val="5E5F0174"/>
    <w:rsid w:val="5E602EAB"/>
    <w:rsid w:val="5E644E5A"/>
    <w:rsid w:val="5E7423B8"/>
    <w:rsid w:val="5E794DAB"/>
    <w:rsid w:val="5E7B72A3"/>
    <w:rsid w:val="5E851769"/>
    <w:rsid w:val="5E88676E"/>
    <w:rsid w:val="5E90377B"/>
    <w:rsid w:val="5E96232F"/>
    <w:rsid w:val="5E974737"/>
    <w:rsid w:val="5E9D546B"/>
    <w:rsid w:val="5EB56C59"/>
    <w:rsid w:val="5EB6477F"/>
    <w:rsid w:val="5EBB3B43"/>
    <w:rsid w:val="5EBE53E1"/>
    <w:rsid w:val="5EC15463"/>
    <w:rsid w:val="5EC16502"/>
    <w:rsid w:val="5EC16FC0"/>
    <w:rsid w:val="5EC32B97"/>
    <w:rsid w:val="5ECD6940"/>
    <w:rsid w:val="5ECE5B95"/>
    <w:rsid w:val="5ECE7D1A"/>
    <w:rsid w:val="5ED15115"/>
    <w:rsid w:val="5ED34208"/>
    <w:rsid w:val="5EE04FB0"/>
    <w:rsid w:val="5EE33CF5"/>
    <w:rsid w:val="5EEA61D6"/>
    <w:rsid w:val="5EEE2AE3"/>
    <w:rsid w:val="5EEE7526"/>
    <w:rsid w:val="5EF13A09"/>
    <w:rsid w:val="5EF17E67"/>
    <w:rsid w:val="5EF7101F"/>
    <w:rsid w:val="5EF72A2C"/>
    <w:rsid w:val="5EF86B45"/>
    <w:rsid w:val="5EF9595D"/>
    <w:rsid w:val="5F004C32"/>
    <w:rsid w:val="5F0279C4"/>
    <w:rsid w:val="5F056400"/>
    <w:rsid w:val="5F090007"/>
    <w:rsid w:val="5F0B07FC"/>
    <w:rsid w:val="5F1020E1"/>
    <w:rsid w:val="5F125E59"/>
    <w:rsid w:val="5F1B4886"/>
    <w:rsid w:val="5F1C07BB"/>
    <w:rsid w:val="5F2142EE"/>
    <w:rsid w:val="5F296CFF"/>
    <w:rsid w:val="5F2E07B9"/>
    <w:rsid w:val="5F366E01"/>
    <w:rsid w:val="5F4355E2"/>
    <w:rsid w:val="5F447DAC"/>
    <w:rsid w:val="5F447FDD"/>
    <w:rsid w:val="5F46402D"/>
    <w:rsid w:val="5F4655BD"/>
    <w:rsid w:val="5F47215F"/>
    <w:rsid w:val="5F4D4329"/>
    <w:rsid w:val="5F5010B5"/>
    <w:rsid w:val="5F5201F6"/>
    <w:rsid w:val="5F5C5326"/>
    <w:rsid w:val="5F5C6C75"/>
    <w:rsid w:val="5F5F0972"/>
    <w:rsid w:val="5F6441DB"/>
    <w:rsid w:val="5F6A6AEE"/>
    <w:rsid w:val="5F717047"/>
    <w:rsid w:val="5F7206A6"/>
    <w:rsid w:val="5F73441E"/>
    <w:rsid w:val="5F79590E"/>
    <w:rsid w:val="5F7F1015"/>
    <w:rsid w:val="5F8671BA"/>
    <w:rsid w:val="5F8B5725"/>
    <w:rsid w:val="5F9A53E0"/>
    <w:rsid w:val="5FA42082"/>
    <w:rsid w:val="5FAB164E"/>
    <w:rsid w:val="5FAF6596"/>
    <w:rsid w:val="5FB94DB2"/>
    <w:rsid w:val="5FCA16FF"/>
    <w:rsid w:val="5FCE3FB0"/>
    <w:rsid w:val="5FD05FD8"/>
    <w:rsid w:val="5FD56FBE"/>
    <w:rsid w:val="5FD94A5C"/>
    <w:rsid w:val="5FD97849"/>
    <w:rsid w:val="5FDD1C0F"/>
    <w:rsid w:val="5FE52AA3"/>
    <w:rsid w:val="5FEC48FC"/>
    <w:rsid w:val="5FF305EB"/>
    <w:rsid w:val="5FF53085"/>
    <w:rsid w:val="60025ECE"/>
    <w:rsid w:val="60045777"/>
    <w:rsid w:val="6005776C"/>
    <w:rsid w:val="601709F0"/>
    <w:rsid w:val="601959CA"/>
    <w:rsid w:val="601E7F39"/>
    <w:rsid w:val="60253A43"/>
    <w:rsid w:val="603826DC"/>
    <w:rsid w:val="60422C2E"/>
    <w:rsid w:val="605024FC"/>
    <w:rsid w:val="60590969"/>
    <w:rsid w:val="60597AB8"/>
    <w:rsid w:val="60787F3E"/>
    <w:rsid w:val="607B3B51"/>
    <w:rsid w:val="607B497F"/>
    <w:rsid w:val="607D4874"/>
    <w:rsid w:val="60874625"/>
    <w:rsid w:val="608F7B4B"/>
    <w:rsid w:val="6094289E"/>
    <w:rsid w:val="60967B7C"/>
    <w:rsid w:val="60985008"/>
    <w:rsid w:val="6098672D"/>
    <w:rsid w:val="60A07495"/>
    <w:rsid w:val="60A125B4"/>
    <w:rsid w:val="60A30158"/>
    <w:rsid w:val="60B26229"/>
    <w:rsid w:val="60B371C8"/>
    <w:rsid w:val="60B453AD"/>
    <w:rsid w:val="60BA6C35"/>
    <w:rsid w:val="60BD3D7D"/>
    <w:rsid w:val="60C4236B"/>
    <w:rsid w:val="60C442E0"/>
    <w:rsid w:val="60C530B4"/>
    <w:rsid w:val="60C561A8"/>
    <w:rsid w:val="60C62136"/>
    <w:rsid w:val="60C82547"/>
    <w:rsid w:val="60CC4BE4"/>
    <w:rsid w:val="60D31618"/>
    <w:rsid w:val="60D37AAA"/>
    <w:rsid w:val="60D45AE8"/>
    <w:rsid w:val="60E1407F"/>
    <w:rsid w:val="60E65C25"/>
    <w:rsid w:val="60E845C2"/>
    <w:rsid w:val="60EA32B3"/>
    <w:rsid w:val="60EC6488"/>
    <w:rsid w:val="60F31CBA"/>
    <w:rsid w:val="60F44CBD"/>
    <w:rsid w:val="60F75E80"/>
    <w:rsid w:val="60F90189"/>
    <w:rsid w:val="60FB291D"/>
    <w:rsid w:val="60FC519A"/>
    <w:rsid w:val="60FF0BF0"/>
    <w:rsid w:val="610B7C7E"/>
    <w:rsid w:val="610D3483"/>
    <w:rsid w:val="610D568C"/>
    <w:rsid w:val="61104046"/>
    <w:rsid w:val="61125844"/>
    <w:rsid w:val="611972D1"/>
    <w:rsid w:val="611A72C2"/>
    <w:rsid w:val="611E37D0"/>
    <w:rsid w:val="61285B29"/>
    <w:rsid w:val="612C6293"/>
    <w:rsid w:val="61310555"/>
    <w:rsid w:val="613A51F3"/>
    <w:rsid w:val="614471FE"/>
    <w:rsid w:val="615F143C"/>
    <w:rsid w:val="61611779"/>
    <w:rsid w:val="616347D0"/>
    <w:rsid w:val="61655CDB"/>
    <w:rsid w:val="6172141B"/>
    <w:rsid w:val="6174316B"/>
    <w:rsid w:val="617D118D"/>
    <w:rsid w:val="618B652E"/>
    <w:rsid w:val="618E5E31"/>
    <w:rsid w:val="61907414"/>
    <w:rsid w:val="6191012D"/>
    <w:rsid w:val="619B419C"/>
    <w:rsid w:val="619E091E"/>
    <w:rsid w:val="61A05B47"/>
    <w:rsid w:val="61A115C1"/>
    <w:rsid w:val="61A20794"/>
    <w:rsid w:val="61AD056F"/>
    <w:rsid w:val="61AE454C"/>
    <w:rsid w:val="61B9080E"/>
    <w:rsid w:val="61B91F97"/>
    <w:rsid w:val="61BB4A54"/>
    <w:rsid w:val="61BC1174"/>
    <w:rsid w:val="61BD1DEE"/>
    <w:rsid w:val="61C13B66"/>
    <w:rsid w:val="61C753D4"/>
    <w:rsid w:val="61D2367E"/>
    <w:rsid w:val="61D33AAA"/>
    <w:rsid w:val="61D90170"/>
    <w:rsid w:val="61E342AA"/>
    <w:rsid w:val="61F061FA"/>
    <w:rsid w:val="61F1110B"/>
    <w:rsid w:val="61F24E49"/>
    <w:rsid w:val="61F45CEA"/>
    <w:rsid w:val="61FC08DA"/>
    <w:rsid w:val="62065A1D"/>
    <w:rsid w:val="62080726"/>
    <w:rsid w:val="620B0C67"/>
    <w:rsid w:val="620B1115"/>
    <w:rsid w:val="620B4DE2"/>
    <w:rsid w:val="620F6680"/>
    <w:rsid w:val="62206FCC"/>
    <w:rsid w:val="622814F0"/>
    <w:rsid w:val="62305F56"/>
    <w:rsid w:val="623D67C2"/>
    <w:rsid w:val="62400F9F"/>
    <w:rsid w:val="624F4F06"/>
    <w:rsid w:val="625760E8"/>
    <w:rsid w:val="62594F73"/>
    <w:rsid w:val="625B6E07"/>
    <w:rsid w:val="62610F56"/>
    <w:rsid w:val="62692215"/>
    <w:rsid w:val="62716B09"/>
    <w:rsid w:val="627365A7"/>
    <w:rsid w:val="62847ECD"/>
    <w:rsid w:val="62890C71"/>
    <w:rsid w:val="628F5A13"/>
    <w:rsid w:val="6290224D"/>
    <w:rsid w:val="629D0130"/>
    <w:rsid w:val="62A746B8"/>
    <w:rsid w:val="62B15989"/>
    <w:rsid w:val="62C03E1E"/>
    <w:rsid w:val="62C607B9"/>
    <w:rsid w:val="62C66E72"/>
    <w:rsid w:val="62C96F6B"/>
    <w:rsid w:val="62D17DD9"/>
    <w:rsid w:val="62D90C68"/>
    <w:rsid w:val="62D96C8E"/>
    <w:rsid w:val="62DB47B4"/>
    <w:rsid w:val="62DD67CF"/>
    <w:rsid w:val="62E316D4"/>
    <w:rsid w:val="62E442A2"/>
    <w:rsid w:val="62E778F9"/>
    <w:rsid w:val="62F35FA1"/>
    <w:rsid w:val="63002F12"/>
    <w:rsid w:val="63072F03"/>
    <w:rsid w:val="630E00AD"/>
    <w:rsid w:val="63130EDA"/>
    <w:rsid w:val="631C66BC"/>
    <w:rsid w:val="631D4DCC"/>
    <w:rsid w:val="63224191"/>
    <w:rsid w:val="632F14AD"/>
    <w:rsid w:val="633116D0"/>
    <w:rsid w:val="63327579"/>
    <w:rsid w:val="633640E0"/>
    <w:rsid w:val="6336589B"/>
    <w:rsid w:val="633B322C"/>
    <w:rsid w:val="633C46CC"/>
    <w:rsid w:val="634020BB"/>
    <w:rsid w:val="63422A85"/>
    <w:rsid w:val="63424539"/>
    <w:rsid w:val="634467FD"/>
    <w:rsid w:val="63462575"/>
    <w:rsid w:val="63584286"/>
    <w:rsid w:val="6370314E"/>
    <w:rsid w:val="6378452C"/>
    <w:rsid w:val="6386341C"/>
    <w:rsid w:val="63884F6D"/>
    <w:rsid w:val="63A11F18"/>
    <w:rsid w:val="63A76A6A"/>
    <w:rsid w:val="63A82100"/>
    <w:rsid w:val="63AB3CC0"/>
    <w:rsid w:val="63BF2E3F"/>
    <w:rsid w:val="63BF40D6"/>
    <w:rsid w:val="63C10EF3"/>
    <w:rsid w:val="63C8712F"/>
    <w:rsid w:val="63D27965"/>
    <w:rsid w:val="63D32CD3"/>
    <w:rsid w:val="63DC6763"/>
    <w:rsid w:val="63E80F78"/>
    <w:rsid w:val="63ED315D"/>
    <w:rsid w:val="63F248C8"/>
    <w:rsid w:val="640115AF"/>
    <w:rsid w:val="64016C13"/>
    <w:rsid w:val="64054A37"/>
    <w:rsid w:val="640E0649"/>
    <w:rsid w:val="6411626F"/>
    <w:rsid w:val="64134D74"/>
    <w:rsid w:val="6417181C"/>
    <w:rsid w:val="641A2CAF"/>
    <w:rsid w:val="64203F73"/>
    <w:rsid w:val="64230EF6"/>
    <w:rsid w:val="642666A1"/>
    <w:rsid w:val="64267CB1"/>
    <w:rsid w:val="6429584C"/>
    <w:rsid w:val="642B3B36"/>
    <w:rsid w:val="642D6665"/>
    <w:rsid w:val="643F19F5"/>
    <w:rsid w:val="64495D15"/>
    <w:rsid w:val="644B0789"/>
    <w:rsid w:val="64502615"/>
    <w:rsid w:val="64583BDF"/>
    <w:rsid w:val="6462089C"/>
    <w:rsid w:val="64777874"/>
    <w:rsid w:val="647B04A1"/>
    <w:rsid w:val="647B7FFD"/>
    <w:rsid w:val="647C0C8E"/>
    <w:rsid w:val="647D0F5E"/>
    <w:rsid w:val="647E4697"/>
    <w:rsid w:val="649514AF"/>
    <w:rsid w:val="64A03CD0"/>
    <w:rsid w:val="64A137DB"/>
    <w:rsid w:val="64A633FC"/>
    <w:rsid w:val="64AA2690"/>
    <w:rsid w:val="64AF08F2"/>
    <w:rsid w:val="64B77DA8"/>
    <w:rsid w:val="64C25C2B"/>
    <w:rsid w:val="64C37BF6"/>
    <w:rsid w:val="64C95AA1"/>
    <w:rsid w:val="64CD6821"/>
    <w:rsid w:val="64D35ED3"/>
    <w:rsid w:val="64D3795A"/>
    <w:rsid w:val="64D43BB1"/>
    <w:rsid w:val="64D4770D"/>
    <w:rsid w:val="64D51C41"/>
    <w:rsid w:val="64DE5971"/>
    <w:rsid w:val="64E9765C"/>
    <w:rsid w:val="64EA779F"/>
    <w:rsid w:val="64ED2038"/>
    <w:rsid w:val="64F302B2"/>
    <w:rsid w:val="64F878B5"/>
    <w:rsid w:val="64FA4357"/>
    <w:rsid w:val="64FB738F"/>
    <w:rsid w:val="64FE7793"/>
    <w:rsid w:val="65056D62"/>
    <w:rsid w:val="650D3D77"/>
    <w:rsid w:val="651A5A67"/>
    <w:rsid w:val="651D51F3"/>
    <w:rsid w:val="65200BA4"/>
    <w:rsid w:val="652A7F54"/>
    <w:rsid w:val="65372515"/>
    <w:rsid w:val="653D291D"/>
    <w:rsid w:val="653F727C"/>
    <w:rsid w:val="6540549D"/>
    <w:rsid w:val="6547592D"/>
    <w:rsid w:val="654A1586"/>
    <w:rsid w:val="654B5FE2"/>
    <w:rsid w:val="654C412D"/>
    <w:rsid w:val="654E525A"/>
    <w:rsid w:val="654E5711"/>
    <w:rsid w:val="654F5753"/>
    <w:rsid w:val="65501253"/>
    <w:rsid w:val="65504AC6"/>
    <w:rsid w:val="65521597"/>
    <w:rsid w:val="655B4CDF"/>
    <w:rsid w:val="655C0773"/>
    <w:rsid w:val="655C1292"/>
    <w:rsid w:val="65660CAD"/>
    <w:rsid w:val="65674E76"/>
    <w:rsid w:val="65675E07"/>
    <w:rsid w:val="65716D31"/>
    <w:rsid w:val="657F1D6E"/>
    <w:rsid w:val="657F38A3"/>
    <w:rsid w:val="65827169"/>
    <w:rsid w:val="65895C28"/>
    <w:rsid w:val="658D5E37"/>
    <w:rsid w:val="659836EC"/>
    <w:rsid w:val="659C1F4E"/>
    <w:rsid w:val="65AA3471"/>
    <w:rsid w:val="65AB46AE"/>
    <w:rsid w:val="65AE4402"/>
    <w:rsid w:val="65AF73EF"/>
    <w:rsid w:val="65B03DC2"/>
    <w:rsid w:val="65B50E60"/>
    <w:rsid w:val="65B5753E"/>
    <w:rsid w:val="65B66C35"/>
    <w:rsid w:val="65BA7D2D"/>
    <w:rsid w:val="65C502FA"/>
    <w:rsid w:val="65C724F9"/>
    <w:rsid w:val="65CF1EBB"/>
    <w:rsid w:val="65D025CA"/>
    <w:rsid w:val="65D35C16"/>
    <w:rsid w:val="65DE3971"/>
    <w:rsid w:val="65E331ED"/>
    <w:rsid w:val="65E84B80"/>
    <w:rsid w:val="65EE0CA2"/>
    <w:rsid w:val="65EF2432"/>
    <w:rsid w:val="65F74065"/>
    <w:rsid w:val="65FD0AF8"/>
    <w:rsid w:val="65FD7198"/>
    <w:rsid w:val="65FF226E"/>
    <w:rsid w:val="66043DB8"/>
    <w:rsid w:val="660A5ADC"/>
    <w:rsid w:val="66157FDD"/>
    <w:rsid w:val="661A3845"/>
    <w:rsid w:val="66265F1F"/>
    <w:rsid w:val="662A7E7C"/>
    <w:rsid w:val="662E109F"/>
    <w:rsid w:val="662E7EB8"/>
    <w:rsid w:val="662F5A11"/>
    <w:rsid w:val="663D12E2"/>
    <w:rsid w:val="664154B8"/>
    <w:rsid w:val="664B4805"/>
    <w:rsid w:val="664D0068"/>
    <w:rsid w:val="664F1741"/>
    <w:rsid w:val="66507267"/>
    <w:rsid w:val="665143DB"/>
    <w:rsid w:val="665925BF"/>
    <w:rsid w:val="66624D82"/>
    <w:rsid w:val="666432A3"/>
    <w:rsid w:val="666B40A1"/>
    <w:rsid w:val="66755229"/>
    <w:rsid w:val="66771C61"/>
    <w:rsid w:val="667C2664"/>
    <w:rsid w:val="66827B3D"/>
    <w:rsid w:val="66854BCD"/>
    <w:rsid w:val="66866A8D"/>
    <w:rsid w:val="668B64F1"/>
    <w:rsid w:val="6692787F"/>
    <w:rsid w:val="66945F77"/>
    <w:rsid w:val="66964FA7"/>
    <w:rsid w:val="669B5E9B"/>
    <w:rsid w:val="669C06FE"/>
    <w:rsid w:val="669F7F7B"/>
    <w:rsid w:val="66A000D7"/>
    <w:rsid w:val="66A74D76"/>
    <w:rsid w:val="66BA1819"/>
    <w:rsid w:val="66BA6599"/>
    <w:rsid w:val="66C0263F"/>
    <w:rsid w:val="66C030E7"/>
    <w:rsid w:val="66C35C8B"/>
    <w:rsid w:val="66C4124C"/>
    <w:rsid w:val="66C76AE9"/>
    <w:rsid w:val="66CA2DA7"/>
    <w:rsid w:val="66CE095A"/>
    <w:rsid w:val="66CE1B7D"/>
    <w:rsid w:val="66CF4166"/>
    <w:rsid w:val="66D41C46"/>
    <w:rsid w:val="66D47E98"/>
    <w:rsid w:val="66D659BE"/>
    <w:rsid w:val="66D85EBE"/>
    <w:rsid w:val="66D94BF1"/>
    <w:rsid w:val="66D954AE"/>
    <w:rsid w:val="66D9725C"/>
    <w:rsid w:val="66E476BE"/>
    <w:rsid w:val="66EC3434"/>
    <w:rsid w:val="66F54039"/>
    <w:rsid w:val="66F8572B"/>
    <w:rsid w:val="66F95F2B"/>
    <w:rsid w:val="670B0273"/>
    <w:rsid w:val="671044D0"/>
    <w:rsid w:val="67113E15"/>
    <w:rsid w:val="671D183F"/>
    <w:rsid w:val="671E132D"/>
    <w:rsid w:val="671F6C26"/>
    <w:rsid w:val="67211BCE"/>
    <w:rsid w:val="67213E84"/>
    <w:rsid w:val="67226206"/>
    <w:rsid w:val="67275CCB"/>
    <w:rsid w:val="672F4F35"/>
    <w:rsid w:val="67366627"/>
    <w:rsid w:val="673E5311"/>
    <w:rsid w:val="67421363"/>
    <w:rsid w:val="674800D6"/>
    <w:rsid w:val="67500683"/>
    <w:rsid w:val="675240D8"/>
    <w:rsid w:val="67540D79"/>
    <w:rsid w:val="675451C3"/>
    <w:rsid w:val="67635CBE"/>
    <w:rsid w:val="676A6106"/>
    <w:rsid w:val="67735CB1"/>
    <w:rsid w:val="67746F85"/>
    <w:rsid w:val="678256E4"/>
    <w:rsid w:val="6784541A"/>
    <w:rsid w:val="678604F5"/>
    <w:rsid w:val="67877632"/>
    <w:rsid w:val="678B4940"/>
    <w:rsid w:val="678D1E21"/>
    <w:rsid w:val="679B0D96"/>
    <w:rsid w:val="67A3483F"/>
    <w:rsid w:val="67AA1AED"/>
    <w:rsid w:val="67AC4971"/>
    <w:rsid w:val="67B561ED"/>
    <w:rsid w:val="67B57794"/>
    <w:rsid w:val="67BD28CF"/>
    <w:rsid w:val="67C12AFD"/>
    <w:rsid w:val="67C6102C"/>
    <w:rsid w:val="67CB47C6"/>
    <w:rsid w:val="67CB5095"/>
    <w:rsid w:val="67D14B39"/>
    <w:rsid w:val="67D52817"/>
    <w:rsid w:val="67D619EE"/>
    <w:rsid w:val="67D7311F"/>
    <w:rsid w:val="67EB657A"/>
    <w:rsid w:val="67EC6EC6"/>
    <w:rsid w:val="67EF05FB"/>
    <w:rsid w:val="67F42934"/>
    <w:rsid w:val="67FB2234"/>
    <w:rsid w:val="67FD4C02"/>
    <w:rsid w:val="680E4EB6"/>
    <w:rsid w:val="680F690C"/>
    <w:rsid w:val="682A51CE"/>
    <w:rsid w:val="682D0414"/>
    <w:rsid w:val="682E35D8"/>
    <w:rsid w:val="682F0D98"/>
    <w:rsid w:val="68312542"/>
    <w:rsid w:val="6832131A"/>
    <w:rsid w:val="683C7AA3"/>
    <w:rsid w:val="684F3C7A"/>
    <w:rsid w:val="68572B2F"/>
    <w:rsid w:val="68582403"/>
    <w:rsid w:val="6858799D"/>
    <w:rsid w:val="686314D3"/>
    <w:rsid w:val="68680898"/>
    <w:rsid w:val="68692862"/>
    <w:rsid w:val="686B55F0"/>
    <w:rsid w:val="686B65DA"/>
    <w:rsid w:val="686D1C95"/>
    <w:rsid w:val="686E080E"/>
    <w:rsid w:val="68703BF0"/>
    <w:rsid w:val="687C04E5"/>
    <w:rsid w:val="6886013D"/>
    <w:rsid w:val="688B26BE"/>
    <w:rsid w:val="688D46E7"/>
    <w:rsid w:val="68905759"/>
    <w:rsid w:val="68924BEC"/>
    <w:rsid w:val="68975621"/>
    <w:rsid w:val="689D5797"/>
    <w:rsid w:val="689E42BA"/>
    <w:rsid w:val="68A175AA"/>
    <w:rsid w:val="68A952C7"/>
    <w:rsid w:val="68AB0A3F"/>
    <w:rsid w:val="68C31F72"/>
    <w:rsid w:val="68C36F51"/>
    <w:rsid w:val="68C53F3C"/>
    <w:rsid w:val="68C54B2B"/>
    <w:rsid w:val="68C65138"/>
    <w:rsid w:val="68C83D17"/>
    <w:rsid w:val="68CD6D1C"/>
    <w:rsid w:val="68D144B2"/>
    <w:rsid w:val="68D575AA"/>
    <w:rsid w:val="68E74754"/>
    <w:rsid w:val="68EB5561"/>
    <w:rsid w:val="68ED5241"/>
    <w:rsid w:val="68EE37E7"/>
    <w:rsid w:val="68F6433A"/>
    <w:rsid w:val="68FA70B5"/>
    <w:rsid w:val="69012A9A"/>
    <w:rsid w:val="690A7750"/>
    <w:rsid w:val="690C1B6B"/>
    <w:rsid w:val="69126A4A"/>
    <w:rsid w:val="691825F7"/>
    <w:rsid w:val="692430FB"/>
    <w:rsid w:val="693426BD"/>
    <w:rsid w:val="69362744"/>
    <w:rsid w:val="693A6095"/>
    <w:rsid w:val="693F2831"/>
    <w:rsid w:val="694035C3"/>
    <w:rsid w:val="69425C7B"/>
    <w:rsid w:val="694D5795"/>
    <w:rsid w:val="69550E53"/>
    <w:rsid w:val="69550FF4"/>
    <w:rsid w:val="695B7B2C"/>
    <w:rsid w:val="695C2AE8"/>
    <w:rsid w:val="695D669B"/>
    <w:rsid w:val="696574CD"/>
    <w:rsid w:val="69693246"/>
    <w:rsid w:val="696B7A86"/>
    <w:rsid w:val="69754887"/>
    <w:rsid w:val="69780FAF"/>
    <w:rsid w:val="697D0373"/>
    <w:rsid w:val="697D217E"/>
    <w:rsid w:val="697F5095"/>
    <w:rsid w:val="69815A80"/>
    <w:rsid w:val="69834476"/>
    <w:rsid w:val="69932DFF"/>
    <w:rsid w:val="69947212"/>
    <w:rsid w:val="69991090"/>
    <w:rsid w:val="69997984"/>
    <w:rsid w:val="699E287C"/>
    <w:rsid w:val="69A04B83"/>
    <w:rsid w:val="69A322AF"/>
    <w:rsid w:val="69A3487A"/>
    <w:rsid w:val="69AF29CB"/>
    <w:rsid w:val="69B2383F"/>
    <w:rsid w:val="69B26EAC"/>
    <w:rsid w:val="69B33D95"/>
    <w:rsid w:val="69B8584F"/>
    <w:rsid w:val="69BA462F"/>
    <w:rsid w:val="69CD6845"/>
    <w:rsid w:val="69D148AF"/>
    <w:rsid w:val="69D2017C"/>
    <w:rsid w:val="69D827BE"/>
    <w:rsid w:val="69D931DC"/>
    <w:rsid w:val="69DC72B6"/>
    <w:rsid w:val="69E44896"/>
    <w:rsid w:val="69EB616C"/>
    <w:rsid w:val="69F21D74"/>
    <w:rsid w:val="69F33097"/>
    <w:rsid w:val="69F60125"/>
    <w:rsid w:val="69FC398E"/>
    <w:rsid w:val="69FD3262"/>
    <w:rsid w:val="6A0E36C1"/>
    <w:rsid w:val="6A1738DF"/>
    <w:rsid w:val="6A274783"/>
    <w:rsid w:val="6A2D13DC"/>
    <w:rsid w:val="6A3364FD"/>
    <w:rsid w:val="6A34330F"/>
    <w:rsid w:val="6A3B3C7F"/>
    <w:rsid w:val="6A512801"/>
    <w:rsid w:val="6A52544C"/>
    <w:rsid w:val="6A560C27"/>
    <w:rsid w:val="6A5D20CE"/>
    <w:rsid w:val="6A5D659B"/>
    <w:rsid w:val="6A673143"/>
    <w:rsid w:val="6A6B0B13"/>
    <w:rsid w:val="6A6B2981"/>
    <w:rsid w:val="6A6C5A74"/>
    <w:rsid w:val="6A6E4160"/>
    <w:rsid w:val="6A7236C1"/>
    <w:rsid w:val="6A745267"/>
    <w:rsid w:val="6A7A2B04"/>
    <w:rsid w:val="6A7B2CCA"/>
    <w:rsid w:val="6A7F652E"/>
    <w:rsid w:val="6A8802CA"/>
    <w:rsid w:val="6A8954A7"/>
    <w:rsid w:val="6A8B2F63"/>
    <w:rsid w:val="6A8D70FB"/>
    <w:rsid w:val="6A9644EC"/>
    <w:rsid w:val="6A987763"/>
    <w:rsid w:val="6A995680"/>
    <w:rsid w:val="6A9A31A7"/>
    <w:rsid w:val="6AA14535"/>
    <w:rsid w:val="6AA858C3"/>
    <w:rsid w:val="6AA94950"/>
    <w:rsid w:val="6AAC1C95"/>
    <w:rsid w:val="6AB133C0"/>
    <w:rsid w:val="6AB72182"/>
    <w:rsid w:val="6AB87D70"/>
    <w:rsid w:val="6AC76F0E"/>
    <w:rsid w:val="6AC81AC2"/>
    <w:rsid w:val="6AC928E3"/>
    <w:rsid w:val="6AD1652F"/>
    <w:rsid w:val="6AD761A9"/>
    <w:rsid w:val="6AD93CCF"/>
    <w:rsid w:val="6ADC0FC8"/>
    <w:rsid w:val="6AE4490D"/>
    <w:rsid w:val="6AE6019A"/>
    <w:rsid w:val="6AE962BC"/>
    <w:rsid w:val="6AE971C0"/>
    <w:rsid w:val="6AED3502"/>
    <w:rsid w:val="6AF179D8"/>
    <w:rsid w:val="6AF720B2"/>
    <w:rsid w:val="6AFA3EA0"/>
    <w:rsid w:val="6B007E4F"/>
    <w:rsid w:val="6B0D0D45"/>
    <w:rsid w:val="6B0E4B29"/>
    <w:rsid w:val="6B0E6D56"/>
    <w:rsid w:val="6B1126D9"/>
    <w:rsid w:val="6B1F3E49"/>
    <w:rsid w:val="6B2368F6"/>
    <w:rsid w:val="6B2503CC"/>
    <w:rsid w:val="6B257A7C"/>
    <w:rsid w:val="6B282A35"/>
    <w:rsid w:val="6B2C1649"/>
    <w:rsid w:val="6B2D401B"/>
    <w:rsid w:val="6B2F3761"/>
    <w:rsid w:val="6B47337F"/>
    <w:rsid w:val="6B533DBC"/>
    <w:rsid w:val="6B553D2F"/>
    <w:rsid w:val="6B5E60B3"/>
    <w:rsid w:val="6B626A3C"/>
    <w:rsid w:val="6B65747E"/>
    <w:rsid w:val="6B663E10"/>
    <w:rsid w:val="6B6D67AA"/>
    <w:rsid w:val="6B724E0D"/>
    <w:rsid w:val="6B7925B5"/>
    <w:rsid w:val="6B7A2316"/>
    <w:rsid w:val="6B877C9B"/>
    <w:rsid w:val="6B8819A8"/>
    <w:rsid w:val="6B8F6B7F"/>
    <w:rsid w:val="6B965963"/>
    <w:rsid w:val="6B974E85"/>
    <w:rsid w:val="6B9F6CC6"/>
    <w:rsid w:val="6BA20565"/>
    <w:rsid w:val="6BA50055"/>
    <w:rsid w:val="6BAF1301"/>
    <w:rsid w:val="6BAF2042"/>
    <w:rsid w:val="6BB11D96"/>
    <w:rsid w:val="6BB32859"/>
    <w:rsid w:val="6BB96E84"/>
    <w:rsid w:val="6BC54253"/>
    <w:rsid w:val="6BC95AF1"/>
    <w:rsid w:val="6BCB61ED"/>
    <w:rsid w:val="6BCC7390"/>
    <w:rsid w:val="6BCD30F0"/>
    <w:rsid w:val="6BD9335E"/>
    <w:rsid w:val="6BDB75D3"/>
    <w:rsid w:val="6BDF3567"/>
    <w:rsid w:val="6BE474E3"/>
    <w:rsid w:val="6BE7196F"/>
    <w:rsid w:val="6BEA6237"/>
    <w:rsid w:val="6BEB6C7C"/>
    <w:rsid w:val="6BEE5AD3"/>
    <w:rsid w:val="6BF32B6E"/>
    <w:rsid w:val="6BF80FBE"/>
    <w:rsid w:val="6BFC65AB"/>
    <w:rsid w:val="6BFE489F"/>
    <w:rsid w:val="6C013639"/>
    <w:rsid w:val="6C1B0C97"/>
    <w:rsid w:val="6C1E25B0"/>
    <w:rsid w:val="6C320E94"/>
    <w:rsid w:val="6C3A734E"/>
    <w:rsid w:val="6C3F3573"/>
    <w:rsid w:val="6C401167"/>
    <w:rsid w:val="6C43664A"/>
    <w:rsid w:val="6C4614AB"/>
    <w:rsid w:val="6C4B4A70"/>
    <w:rsid w:val="6C4F0C71"/>
    <w:rsid w:val="6C545132"/>
    <w:rsid w:val="6C546284"/>
    <w:rsid w:val="6C5A1D5D"/>
    <w:rsid w:val="6C5F0204"/>
    <w:rsid w:val="6C603FDE"/>
    <w:rsid w:val="6C624437"/>
    <w:rsid w:val="6C711CE5"/>
    <w:rsid w:val="6C72130A"/>
    <w:rsid w:val="6C787517"/>
    <w:rsid w:val="6C8815DE"/>
    <w:rsid w:val="6C90660F"/>
    <w:rsid w:val="6C990E6B"/>
    <w:rsid w:val="6C9A123C"/>
    <w:rsid w:val="6C9A21B0"/>
    <w:rsid w:val="6C9C216E"/>
    <w:rsid w:val="6C9C55EA"/>
    <w:rsid w:val="6C9D3BD0"/>
    <w:rsid w:val="6CA125CA"/>
    <w:rsid w:val="6CA420BB"/>
    <w:rsid w:val="6CA5759D"/>
    <w:rsid w:val="6CA95923"/>
    <w:rsid w:val="6CAA4580"/>
    <w:rsid w:val="6CAC27CB"/>
    <w:rsid w:val="6CAC562C"/>
    <w:rsid w:val="6CB107A0"/>
    <w:rsid w:val="6CB17C26"/>
    <w:rsid w:val="6CC5381A"/>
    <w:rsid w:val="6CC83FFB"/>
    <w:rsid w:val="6CC85DA9"/>
    <w:rsid w:val="6CC95B6D"/>
    <w:rsid w:val="6CD010B4"/>
    <w:rsid w:val="6CD17E9F"/>
    <w:rsid w:val="6CD3782A"/>
    <w:rsid w:val="6CD504C6"/>
    <w:rsid w:val="6CD87736"/>
    <w:rsid w:val="6CE55009"/>
    <w:rsid w:val="6CEC5FA6"/>
    <w:rsid w:val="6CEE52C1"/>
    <w:rsid w:val="6CF0676A"/>
    <w:rsid w:val="6CF546C4"/>
    <w:rsid w:val="6D0B7F30"/>
    <w:rsid w:val="6D0E46C1"/>
    <w:rsid w:val="6D176882"/>
    <w:rsid w:val="6D235680"/>
    <w:rsid w:val="6D286DCC"/>
    <w:rsid w:val="6D2D0302"/>
    <w:rsid w:val="6D343522"/>
    <w:rsid w:val="6D350FDA"/>
    <w:rsid w:val="6D364707"/>
    <w:rsid w:val="6D4D4500"/>
    <w:rsid w:val="6D4E063C"/>
    <w:rsid w:val="6D512242"/>
    <w:rsid w:val="6D5C4F28"/>
    <w:rsid w:val="6D5E7F39"/>
    <w:rsid w:val="6D5F1321"/>
    <w:rsid w:val="6D602485"/>
    <w:rsid w:val="6D6A69DE"/>
    <w:rsid w:val="6D6C6B8F"/>
    <w:rsid w:val="6D7643BB"/>
    <w:rsid w:val="6D7963DE"/>
    <w:rsid w:val="6D8F70B2"/>
    <w:rsid w:val="6D965EA7"/>
    <w:rsid w:val="6D970DCA"/>
    <w:rsid w:val="6D9914F3"/>
    <w:rsid w:val="6D9A5E6A"/>
    <w:rsid w:val="6D9C4D93"/>
    <w:rsid w:val="6DA11E44"/>
    <w:rsid w:val="6DA44327"/>
    <w:rsid w:val="6DAB629C"/>
    <w:rsid w:val="6DAC12E6"/>
    <w:rsid w:val="6DAD2431"/>
    <w:rsid w:val="6DAD509E"/>
    <w:rsid w:val="6DAD50F3"/>
    <w:rsid w:val="6DAE5E0C"/>
    <w:rsid w:val="6DB06057"/>
    <w:rsid w:val="6DB343AB"/>
    <w:rsid w:val="6DB73468"/>
    <w:rsid w:val="6DB76412"/>
    <w:rsid w:val="6DC122ED"/>
    <w:rsid w:val="6DC53803"/>
    <w:rsid w:val="6DC9627D"/>
    <w:rsid w:val="6DCC6C7E"/>
    <w:rsid w:val="6DCD52AB"/>
    <w:rsid w:val="6DCE3893"/>
    <w:rsid w:val="6DCF592F"/>
    <w:rsid w:val="6DD220A4"/>
    <w:rsid w:val="6DD2428C"/>
    <w:rsid w:val="6DD51AB6"/>
    <w:rsid w:val="6DD658FB"/>
    <w:rsid w:val="6DE3008D"/>
    <w:rsid w:val="6DE52B27"/>
    <w:rsid w:val="6DE54739"/>
    <w:rsid w:val="6DE80176"/>
    <w:rsid w:val="6DF52284"/>
    <w:rsid w:val="6DF66DF1"/>
    <w:rsid w:val="6DFB0400"/>
    <w:rsid w:val="6E0120CF"/>
    <w:rsid w:val="6E0267F8"/>
    <w:rsid w:val="6E0472B5"/>
    <w:rsid w:val="6E210D03"/>
    <w:rsid w:val="6E265FBE"/>
    <w:rsid w:val="6E321D30"/>
    <w:rsid w:val="6E345D7E"/>
    <w:rsid w:val="6E3D27C7"/>
    <w:rsid w:val="6E407BC1"/>
    <w:rsid w:val="6E475EE8"/>
    <w:rsid w:val="6E4D56C9"/>
    <w:rsid w:val="6E4D5B56"/>
    <w:rsid w:val="6E531FEA"/>
    <w:rsid w:val="6E5B1D13"/>
    <w:rsid w:val="6E5F098F"/>
    <w:rsid w:val="6E6623CD"/>
    <w:rsid w:val="6E775CD9"/>
    <w:rsid w:val="6E7B0DE6"/>
    <w:rsid w:val="6E7B5C6F"/>
    <w:rsid w:val="6E7E6DE8"/>
    <w:rsid w:val="6E802A53"/>
    <w:rsid w:val="6E847166"/>
    <w:rsid w:val="6E91654A"/>
    <w:rsid w:val="6EA12F15"/>
    <w:rsid w:val="6EA445F4"/>
    <w:rsid w:val="6EB760D5"/>
    <w:rsid w:val="6EBA45D5"/>
    <w:rsid w:val="6EBD10DA"/>
    <w:rsid w:val="6EBE2657"/>
    <w:rsid w:val="6EC0253B"/>
    <w:rsid w:val="6EC06EAB"/>
    <w:rsid w:val="6EC407F2"/>
    <w:rsid w:val="6ED07197"/>
    <w:rsid w:val="6ED749C9"/>
    <w:rsid w:val="6ED8604B"/>
    <w:rsid w:val="6EDA669F"/>
    <w:rsid w:val="6EE0690B"/>
    <w:rsid w:val="6EE666D7"/>
    <w:rsid w:val="6EE91413"/>
    <w:rsid w:val="6EEB3FD1"/>
    <w:rsid w:val="6EF00DA5"/>
    <w:rsid w:val="6EF11237"/>
    <w:rsid w:val="6EFF0917"/>
    <w:rsid w:val="6EFF5CCE"/>
    <w:rsid w:val="6F0E3B02"/>
    <w:rsid w:val="6F101C89"/>
    <w:rsid w:val="6F12155D"/>
    <w:rsid w:val="6F130BA6"/>
    <w:rsid w:val="6F1C062E"/>
    <w:rsid w:val="6F205061"/>
    <w:rsid w:val="6F2668C4"/>
    <w:rsid w:val="6F291EA7"/>
    <w:rsid w:val="6F315ABF"/>
    <w:rsid w:val="6F3B04C3"/>
    <w:rsid w:val="6F3C482C"/>
    <w:rsid w:val="6F4205B8"/>
    <w:rsid w:val="6F490A01"/>
    <w:rsid w:val="6F504BA3"/>
    <w:rsid w:val="6F54601A"/>
    <w:rsid w:val="6F580642"/>
    <w:rsid w:val="6F6063DA"/>
    <w:rsid w:val="6F690FB5"/>
    <w:rsid w:val="6F696861"/>
    <w:rsid w:val="6F73314A"/>
    <w:rsid w:val="6F742218"/>
    <w:rsid w:val="6F747CE1"/>
    <w:rsid w:val="6F79610C"/>
    <w:rsid w:val="6F7C0B2C"/>
    <w:rsid w:val="6F7C2E7B"/>
    <w:rsid w:val="6F812035"/>
    <w:rsid w:val="6F861A7F"/>
    <w:rsid w:val="6F871318"/>
    <w:rsid w:val="6F8B1310"/>
    <w:rsid w:val="6F906926"/>
    <w:rsid w:val="6F9C08CE"/>
    <w:rsid w:val="6F9F0403"/>
    <w:rsid w:val="6F9F0F7C"/>
    <w:rsid w:val="6FA24B3F"/>
    <w:rsid w:val="6FAA3E8C"/>
    <w:rsid w:val="6FAD572A"/>
    <w:rsid w:val="6FB66EBE"/>
    <w:rsid w:val="6FBB4783"/>
    <w:rsid w:val="6FBF1849"/>
    <w:rsid w:val="6FCB3BBE"/>
    <w:rsid w:val="6FD607DD"/>
    <w:rsid w:val="6FD77C06"/>
    <w:rsid w:val="6FDC4A6B"/>
    <w:rsid w:val="6FDE40F4"/>
    <w:rsid w:val="6FE0340A"/>
    <w:rsid w:val="6FE43C0B"/>
    <w:rsid w:val="6FE909C4"/>
    <w:rsid w:val="6FEB59EC"/>
    <w:rsid w:val="6FED6F63"/>
    <w:rsid w:val="6FF21504"/>
    <w:rsid w:val="6FFB0B79"/>
    <w:rsid w:val="6FFD6152"/>
    <w:rsid w:val="7004359C"/>
    <w:rsid w:val="700D6BE7"/>
    <w:rsid w:val="70125ECE"/>
    <w:rsid w:val="701610B3"/>
    <w:rsid w:val="701D5136"/>
    <w:rsid w:val="701F5CFD"/>
    <w:rsid w:val="702A6D7B"/>
    <w:rsid w:val="702B2A4F"/>
    <w:rsid w:val="70383246"/>
    <w:rsid w:val="70415161"/>
    <w:rsid w:val="704F4B5D"/>
    <w:rsid w:val="70570397"/>
    <w:rsid w:val="705B70F1"/>
    <w:rsid w:val="7060454A"/>
    <w:rsid w:val="707341CC"/>
    <w:rsid w:val="70757E92"/>
    <w:rsid w:val="70785390"/>
    <w:rsid w:val="707B75D6"/>
    <w:rsid w:val="707D2D28"/>
    <w:rsid w:val="707F2C23"/>
    <w:rsid w:val="70855315"/>
    <w:rsid w:val="70865AB7"/>
    <w:rsid w:val="708D40B6"/>
    <w:rsid w:val="70927EA3"/>
    <w:rsid w:val="70953140"/>
    <w:rsid w:val="709656FC"/>
    <w:rsid w:val="70995534"/>
    <w:rsid w:val="709D579F"/>
    <w:rsid w:val="709F4389"/>
    <w:rsid w:val="70AC59E2"/>
    <w:rsid w:val="70B7060E"/>
    <w:rsid w:val="70BA1EAD"/>
    <w:rsid w:val="70C522E1"/>
    <w:rsid w:val="70CD7E32"/>
    <w:rsid w:val="70D77FF1"/>
    <w:rsid w:val="70E1568B"/>
    <w:rsid w:val="70E231B1"/>
    <w:rsid w:val="70E433CD"/>
    <w:rsid w:val="70F03B44"/>
    <w:rsid w:val="70F74EAF"/>
    <w:rsid w:val="70F87828"/>
    <w:rsid w:val="70FA04FB"/>
    <w:rsid w:val="70FB218C"/>
    <w:rsid w:val="71052712"/>
    <w:rsid w:val="71060EE1"/>
    <w:rsid w:val="71075859"/>
    <w:rsid w:val="710B23EA"/>
    <w:rsid w:val="710D2C6D"/>
    <w:rsid w:val="710D46D2"/>
    <w:rsid w:val="71107D1F"/>
    <w:rsid w:val="711710AD"/>
    <w:rsid w:val="711B4217"/>
    <w:rsid w:val="711C0B73"/>
    <w:rsid w:val="711C66C3"/>
    <w:rsid w:val="711D2E45"/>
    <w:rsid w:val="7121252E"/>
    <w:rsid w:val="7123505E"/>
    <w:rsid w:val="71295B65"/>
    <w:rsid w:val="712B2DAA"/>
    <w:rsid w:val="712B754A"/>
    <w:rsid w:val="713570EC"/>
    <w:rsid w:val="71386B7F"/>
    <w:rsid w:val="713E6171"/>
    <w:rsid w:val="71413C67"/>
    <w:rsid w:val="7141437C"/>
    <w:rsid w:val="7141612A"/>
    <w:rsid w:val="71481F24"/>
    <w:rsid w:val="71492550"/>
    <w:rsid w:val="71502811"/>
    <w:rsid w:val="71525BA8"/>
    <w:rsid w:val="7156656B"/>
    <w:rsid w:val="715A71EC"/>
    <w:rsid w:val="715B0157"/>
    <w:rsid w:val="715B3DDF"/>
    <w:rsid w:val="715B7657"/>
    <w:rsid w:val="715E4484"/>
    <w:rsid w:val="716439CF"/>
    <w:rsid w:val="716719D7"/>
    <w:rsid w:val="7170075E"/>
    <w:rsid w:val="71735F71"/>
    <w:rsid w:val="71790EBA"/>
    <w:rsid w:val="718F3339"/>
    <w:rsid w:val="719C15B2"/>
    <w:rsid w:val="719D4141"/>
    <w:rsid w:val="71A71EDB"/>
    <w:rsid w:val="71AF12E6"/>
    <w:rsid w:val="71AF2EF0"/>
    <w:rsid w:val="71B9267F"/>
    <w:rsid w:val="71BA036E"/>
    <w:rsid w:val="71C525E7"/>
    <w:rsid w:val="71C54E40"/>
    <w:rsid w:val="71C5703E"/>
    <w:rsid w:val="71CD79BE"/>
    <w:rsid w:val="71D51833"/>
    <w:rsid w:val="71DC352A"/>
    <w:rsid w:val="71E116BB"/>
    <w:rsid w:val="71E371E1"/>
    <w:rsid w:val="71E72BB0"/>
    <w:rsid w:val="71E73175"/>
    <w:rsid w:val="71E82FA9"/>
    <w:rsid w:val="71F511B8"/>
    <w:rsid w:val="71F75EFC"/>
    <w:rsid w:val="71FC5B6D"/>
    <w:rsid w:val="71FD5767"/>
    <w:rsid w:val="71FE544F"/>
    <w:rsid w:val="72071122"/>
    <w:rsid w:val="720A6E64"/>
    <w:rsid w:val="720F447A"/>
    <w:rsid w:val="720F7FD6"/>
    <w:rsid w:val="72182EAB"/>
    <w:rsid w:val="7218332F"/>
    <w:rsid w:val="72193365"/>
    <w:rsid w:val="721B6499"/>
    <w:rsid w:val="721D0945"/>
    <w:rsid w:val="7222231E"/>
    <w:rsid w:val="7225200E"/>
    <w:rsid w:val="72277C21"/>
    <w:rsid w:val="72317CE3"/>
    <w:rsid w:val="723A5661"/>
    <w:rsid w:val="723D1997"/>
    <w:rsid w:val="723E7C92"/>
    <w:rsid w:val="724A4977"/>
    <w:rsid w:val="724C51C6"/>
    <w:rsid w:val="724E6446"/>
    <w:rsid w:val="7251167E"/>
    <w:rsid w:val="725974A3"/>
    <w:rsid w:val="725D0C70"/>
    <w:rsid w:val="72692A6A"/>
    <w:rsid w:val="726C5429"/>
    <w:rsid w:val="727413C6"/>
    <w:rsid w:val="72757EE0"/>
    <w:rsid w:val="72793EBE"/>
    <w:rsid w:val="727A5D97"/>
    <w:rsid w:val="727D297F"/>
    <w:rsid w:val="727F6340"/>
    <w:rsid w:val="728065B3"/>
    <w:rsid w:val="728269FA"/>
    <w:rsid w:val="72854ACC"/>
    <w:rsid w:val="728C3A87"/>
    <w:rsid w:val="728E4B88"/>
    <w:rsid w:val="729529B0"/>
    <w:rsid w:val="72953044"/>
    <w:rsid w:val="7298621E"/>
    <w:rsid w:val="729A1F96"/>
    <w:rsid w:val="729B4553"/>
    <w:rsid w:val="72A46970"/>
    <w:rsid w:val="72A5597B"/>
    <w:rsid w:val="72A921D9"/>
    <w:rsid w:val="72A94693"/>
    <w:rsid w:val="72AC7668"/>
    <w:rsid w:val="72AF0FA2"/>
    <w:rsid w:val="72B23B0B"/>
    <w:rsid w:val="72B57C6C"/>
    <w:rsid w:val="72B87E37"/>
    <w:rsid w:val="72BD48B0"/>
    <w:rsid w:val="72BF211F"/>
    <w:rsid w:val="72D40618"/>
    <w:rsid w:val="72DB4C6A"/>
    <w:rsid w:val="72DD5321"/>
    <w:rsid w:val="72E67FA9"/>
    <w:rsid w:val="72EC6069"/>
    <w:rsid w:val="72EF3A6E"/>
    <w:rsid w:val="72F07E08"/>
    <w:rsid w:val="72FE5916"/>
    <w:rsid w:val="73013DC3"/>
    <w:rsid w:val="731358A4"/>
    <w:rsid w:val="73186354"/>
    <w:rsid w:val="731D4975"/>
    <w:rsid w:val="73212D87"/>
    <w:rsid w:val="73241B29"/>
    <w:rsid w:val="732C308F"/>
    <w:rsid w:val="732C3D1D"/>
    <w:rsid w:val="73363E43"/>
    <w:rsid w:val="734B56FD"/>
    <w:rsid w:val="7358432E"/>
    <w:rsid w:val="7365422B"/>
    <w:rsid w:val="736B56E0"/>
    <w:rsid w:val="736D1458"/>
    <w:rsid w:val="7371287E"/>
    <w:rsid w:val="73726D2E"/>
    <w:rsid w:val="7375303F"/>
    <w:rsid w:val="7376008C"/>
    <w:rsid w:val="737F4CF4"/>
    <w:rsid w:val="7391049E"/>
    <w:rsid w:val="73941891"/>
    <w:rsid w:val="73951641"/>
    <w:rsid w:val="739574DD"/>
    <w:rsid w:val="73993FFB"/>
    <w:rsid w:val="739F4561"/>
    <w:rsid w:val="73A40BF2"/>
    <w:rsid w:val="73A57254"/>
    <w:rsid w:val="73AB02FB"/>
    <w:rsid w:val="73B23EF9"/>
    <w:rsid w:val="73B805F1"/>
    <w:rsid w:val="73B90648"/>
    <w:rsid w:val="73BB0D2E"/>
    <w:rsid w:val="73BD4863"/>
    <w:rsid w:val="73BE7AC3"/>
    <w:rsid w:val="73C1083E"/>
    <w:rsid w:val="73C23FEB"/>
    <w:rsid w:val="73C51294"/>
    <w:rsid w:val="73C84175"/>
    <w:rsid w:val="73CB617F"/>
    <w:rsid w:val="73CE6661"/>
    <w:rsid w:val="73D2575F"/>
    <w:rsid w:val="73D50144"/>
    <w:rsid w:val="73D57518"/>
    <w:rsid w:val="73D65647"/>
    <w:rsid w:val="73D74781"/>
    <w:rsid w:val="73E93983"/>
    <w:rsid w:val="73EB424A"/>
    <w:rsid w:val="73EC4A73"/>
    <w:rsid w:val="73EE5B89"/>
    <w:rsid w:val="73F90F3E"/>
    <w:rsid w:val="73F9347A"/>
    <w:rsid w:val="73FB4645"/>
    <w:rsid w:val="7400407A"/>
    <w:rsid w:val="74033E94"/>
    <w:rsid w:val="74057F1F"/>
    <w:rsid w:val="740A3056"/>
    <w:rsid w:val="741202F5"/>
    <w:rsid w:val="74197163"/>
    <w:rsid w:val="741C7164"/>
    <w:rsid w:val="741E09A4"/>
    <w:rsid w:val="741E1085"/>
    <w:rsid w:val="742130DE"/>
    <w:rsid w:val="742247AB"/>
    <w:rsid w:val="74290BD2"/>
    <w:rsid w:val="742F5ADF"/>
    <w:rsid w:val="74305E77"/>
    <w:rsid w:val="74387CB8"/>
    <w:rsid w:val="743B2FC5"/>
    <w:rsid w:val="743E2DF5"/>
    <w:rsid w:val="74411A20"/>
    <w:rsid w:val="74416441"/>
    <w:rsid w:val="74520377"/>
    <w:rsid w:val="7454197D"/>
    <w:rsid w:val="745E260E"/>
    <w:rsid w:val="746318AB"/>
    <w:rsid w:val="74647000"/>
    <w:rsid w:val="746C5BB4"/>
    <w:rsid w:val="746C78D1"/>
    <w:rsid w:val="746C7A1A"/>
    <w:rsid w:val="74703A4E"/>
    <w:rsid w:val="7477154A"/>
    <w:rsid w:val="747933ED"/>
    <w:rsid w:val="74875B6F"/>
    <w:rsid w:val="748C606A"/>
    <w:rsid w:val="748D4D52"/>
    <w:rsid w:val="749312EC"/>
    <w:rsid w:val="74996569"/>
    <w:rsid w:val="74997B4C"/>
    <w:rsid w:val="749C05D3"/>
    <w:rsid w:val="749F7708"/>
    <w:rsid w:val="74AA5ECB"/>
    <w:rsid w:val="74B47D52"/>
    <w:rsid w:val="74B60BDD"/>
    <w:rsid w:val="74C2370E"/>
    <w:rsid w:val="74C71B28"/>
    <w:rsid w:val="74CA5419"/>
    <w:rsid w:val="74D177C5"/>
    <w:rsid w:val="74D20BB4"/>
    <w:rsid w:val="74D358E6"/>
    <w:rsid w:val="74DA2B1D"/>
    <w:rsid w:val="74DC04EC"/>
    <w:rsid w:val="74DC3900"/>
    <w:rsid w:val="74E03A67"/>
    <w:rsid w:val="74E92D60"/>
    <w:rsid w:val="74EF22BC"/>
    <w:rsid w:val="74F05C86"/>
    <w:rsid w:val="74F80125"/>
    <w:rsid w:val="74FD680C"/>
    <w:rsid w:val="75017485"/>
    <w:rsid w:val="7507768A"/>
    <w:rsid w:val="750A2CD7"/>
    <w:rsid w:val="750B57DD"/>
    <w:rsid w:val="751E5748"/>
    <w:rsid w:val="75280003"/>
    <w:rsid w:val="752A45A4"/>
    <w:rsid w:val="752B5127"/>
    <w:rsid w:val="75320665"/>
    <w:rsid w:val="75321E40"/>
    <w:rsid w:val="75456AE5"/>
    <w:rsid w:val="754A5259"/>
    <w:rsid w:val="754E350B"/>
    <w:rsid w:val="755050F7"/>
    <w:rsid w:val="75510906"/>
    <w:rsid w:val="75526B58"/>
    <w:rsid w:val="7553467E"/>
    <w:rsid w:val="75563DE9"/>
    <w:rsid w:val="75583A48"/>
    <w:rsid w:val="7559615C"/>
    <w:rsid w:val="75644ADD"/>
    <w:rsid w:val="75691A63"/>
    <w:rsid w:val="756B594D"/>
    <w:rsid w:val="756D1BE3"/>
    <w:rsid w:val="75800C42"/>
    <w:rsid w:val="75844227"/>
    <w:rsid w:val="758B206A"/>
    <w:rsid w:val="758C6077"/>
    <w:rsid w:val="758D0F68"/>
    <w:rsid w:val="759151B6"/>
    <w:rsid w:val="75926E35"/>
    <w:rsid w:val="759848F7"/>
    <w:rsid w:val="759F0A67"/>
    <w:rsid w:val="75A650F5"/>
    <w:rsid w:val="75AB0A74"/>
    <w:rsid w:val="75B1088F"/>
    <w:rsid w:val="75B12700"/>
    <w:rsid w:val="75B25F01"/>
    <w:rsid w:val="75B9402B"/>
    <w:rsid w:val="75D56095"/>
    <w:rsid w:val="75E24EF8"/>
    <w:rsid w:val="75E35A02"/>
    <w:rsid w:val="75E44CC4"/>
    <w:rsid w:val="75E45215"/>
    <w:rsid w:val="75EF2EB1"/>
    <w:rsid w:val="75F5456E"/>
    <w:rsid w:val="75F833A9"/>
    <w:rsid w:val="75FC6CAF"/>
    <w:rsid w:val="75FF4B92"/>
    <w:rsid w:val="76015D90"/>
    <w:rsid w:val="76027906"/>
    <w:rsid w:val="76051101"/>
    <w:rsid w:val="760C27AC"/>
    <w:rsid w:val="76114604"/>
    <w:rsid w:val="76156E9B"/>
    <w:rsid w:val="761756AB"/>
    <w:rsid w:val="76191423"/>
    <w:rsid w:val="762240BC"/>
    <w:rsid w:val="762304F4"/>
    <w:rsid w:val="7623481D"/>
    <w:rsid w:val="762B7F3B"/>
    <w:rsid w:val="76300FC4"/>
    <w:rsid w:val="763429ED"/>
    <w:rsid w:val="76371E5E"/>
    <w:rsid w:val="763B583E"/>
    <w:rsid w:val="76404C02"/>
    <w:rsid w:val="76406A0F"/>
    <w:rsid w:val="764B3A26"/>
    <w:rsid w:val="764D08A4"/>
    <w:rsid w:val="764E0AEA"/>
    <w:rsid w:val="76537B34"/>
    <w:rsid w:val="76556743"/>
    <w:rsid w:val="76595CC4"/>
    <w:rsid w:val="765A5B97"/>
    <w:rsid w:val="76642F6C"/>
    <w:rsid w:val="766572CD"/>
    <w:rsid w:val="766E5F5C"/>
    <w:rsid w:val="767045FB"/>
    <w:rsid w:val="767147EA"/>
    <w:rsid w:val="767952AF"/>
    <w:rsid w:val="76812545"/>
    <w:rsid w:val="76820265"/>
    <w:rsid w:val="76826786"/>
    <w:rsid w:val="768674F2"/>
    <w:rsid w:val="768A1219"/>
    <w:rsid w:val="768C78DA"/>
    <w:rsid w:val="769466F4"/>
    <w:rsid w:val="76962A74"/>
    <w:rsid w:val="76977460"/>
    <w:rsid w:val="769C6458"/>
    <w:rsid w:val="76A15E3E"/>
    <w:rsid w:val="76A33F8C"/>
    <w:rsid w:val="76A7720B"/>
    <w:rsid w:val="76AA3C96"/>
    <w:rsid w:val="76B26DB3"/>
    <w:rsid w:val="76B30493"/>
    <w:rsid w:val="76B455F0"/>
    <w:rsid w:val="76C006BA"/>
    <w:rsid w:val="76C577FD"/>
    <w:rsid w:val="76C7130C"/>
    <w:rsid w:val="76C71C25"/>
    <w:rsid w:val="76CE782B"/>
    <w:rsid w:val="76D43682"/>
    <w:rsid w:val="76D54606"/>
    <w:rsid w:val="76D809AC"/>
    <w:rsid w:val="76D816C8"/>
    <w:rsid w:val="76DA5057"/>
    <w:rsid w:val="76E365F3"/>
    <w:rsid w:val="76E969F9"/>
    <w:rsid w:val="76EB3DE7"/>
    <w:rsid w:val="76F01BD6"/>
    <w:rsid w:val="76F025CF"/>
    <w:rsid w:val="76F30928"/>
    <w:rsid w:val="76F7005A"/>
    <w:rsid w:val="77073972"/>
    <w:rsid w:val="770E034B"/>
    <w:rsid w:val="771976E4"/>
    <w:rsid w:val="772B2FA2"/>
    <w:rsid w:val="772F5F2B"/>
    <w:rsid w:val="77336515"/>
    <w:rsid w:val="77352F6A"/>
    <w:rsid w:val="77364501"/>
    <w:rsid w:val="773666E2"/>
    <w:rsid w:val="773829D5"/>
    <w:rsid w:val="77406ACC"/>
    <w:rsid w:val="77426F7B"/>
    <w:rsid w:val="77470212"/>
    <w:rsid w:val="774B33C0"/>
    <w:rsid w:val="77526E0C"/>
    <w:rsid w:val="775467C8"/>
    <w:rsid w:val="77571E21"/>
    <w:rsid w:val="775F3014"/>
    <w:rsid w:val="77601C86"/>
    <w:rsid w:val="77623E61"/>
    <w:rsid w:val="77640748"/>
    <w:rsid w:val="77661C66"/>
    <w:rsid w:val="776841EE"/>
    <w:rsid w:val="777E35A3"/>
    <w:rsid w:val="777E63ED"/>
    <w:rsid w:val="777E65A3"/>
    <w:rsid w:val="777F64D6"/>
    <w:rsid w:val="77900003"/>
    <w:rsid w:val="77904FAC"/>
    <w:rsid w:val="7790745B"/>
    <w:rsid w:val="77981C0D"/>
    <w:rsid w:val="779D16F7"/>
    <w:rsid w:val="77A606D8"/>
    <w:rsid w:val="77A84B54"/>
    <w:rsid w:val="77BC475C"/>
    <w:rsid w:val="77C0073E"/>
    <w:rsid w:val="77C37A44"/>
    <w:rsid w:val="77C475C3"/>
    <w:rsid w:val="77C63928"/>
    <w:rsid w:val="77C67389"/>
    <w:rsid w:val="77D31AA6"/>
    <w:rsid w:val="77DA2E34"/>
    <w:rsid w:val="77DD1128"/>
    <w:rsid w:val="77E12EFB"/>
    <w:rsid w:val="77F2017E"/>
    <w:rsid w:val="77F4039A"/>
    <w:rsid w:val="77FB34FD"/>
    <w:rsid w:val="78021921"/>
    <w:rsid w:val="78056103"/>
    <w:rsid w:val="78071509"/>
    <w:rsid w:val="780C0E8B"/>
    <w:rsid w:val="780D4235"/>
    <w:rsid w:val="7810328B"/>
    <w:rsid w:val="781F1006"/>
    <w:rsid w:val="7821025E"/>
    <w:rsid w:val="782A5F65"/>
    <w:rsid w:val="782B3690"/>
    <w:rsid w:val="783B1029"/>
    <w:rsid w:val="783B5768"/>
    <w:rsid w:val="783C2C9E"/>
    <w:rsid w:val="783C589D"/>
    <w:rsid w:val="783D6EFB"/>
    <w:rsid w:val="78447A5F"/>
    <w:rsid w:val="78477B1B"/>
    <w:rsid w:val="784B17E2"/>
    <w:rsid w:val="784C64D5"/>
    <w:rsid w:val="7856713D"/>
    <w:rsid w:val="78593CD1"/>
    <w:rsid w:val="785B1F91"/>
    <w:rsid w:val="785D6CA9"/>
    <w:rsid w:val="785E1CB7"/>
    <w:rsid w:val="7860158C"/>
    <w:rsid w:val="78617B3F"/>
    <w:rsid w:val="78674B47"/>
    <w:rsid w:val="78680440"/>
    <w:rsid w:val="7873666A"/>
    <w:rsid w:val="78743289"/>
    <w:rsid w:val="7875580A"/>
    <w:rsid w:val="78760DAF"/>
    <w:rsid w:val="7877059C"/>
    <w:rsid w:val="787815BE"/>
    <w:rsid w:val="787C7D52"/>
    <w:rsid w:val="787E69C5"/>
    <w:rsid w:val="788010A8"/>
    <w:rsid w:val="78827754"/>
    <w:rsid w:val="788423A7"/>
    <w:rsid w:val="788A77FE"/>
    <w:rsid w:val="788E0645"/>
    <w:rsid w:val="788E22F0"/>
    <w:rsid w:val="788F0475"/>
    <w:rsid w:val="789314F2"/>
    <w:rsid w:val="789D2465"/>
    <w:rsid w:val="789F580C"/>
    <w:rsid w:val="78A328FA"/>
    <w:rsid w:val="78B11DE7"/>
    <w:rsid w:val="78B86803"/>
    <w:rsid w:val="78B86F32"/>
    <w:rsid w:val="78BA084A"/>
    <w:rsid w:val="78BF0096"/>
    <w:rsid w:val="78C407F8"/>
    <w:rsid w:val="78C87131"/>
    <w:rsid w:val="78C937B8"/>
    <w:rsid w:val="78CD0952"/>
    <w:rsid w:val="78DA7C32"/>
    <w:rsid w:val="78E054A9"/>
    <w:rsid w:val="78F571C9"/>
    <w:rsid w:val="79022643"/>
    <w:rsid w:val="790955C4"/>
    <w:rsid w:val="790D05A0"/>
    <w:rsid w:val="791126BC"/>
    <w:rsid w:val="79181E66"/>
    <w:rsid w:val="7919533D"/>
    <w:rsid w:val="7919551E"/>
    <w:rsid w:val="792E3438"/>
    <w:rsid w:val="792E44EE"/>
    <w:rsid w:val="79305D1B"/>
    <w:rsid w:val="79313673"/>
    <w:rsid w:val="793A1DDD"/>
    <w:rsid w:val="793A6280"/>
    <w:rsid w:val="7949347B"/>
    <w:rsid w:val="794C2A66"/>
    <w:rsid w:val="794C7D62"/>
    <w:rsid w:val="7955517B"/>
    <w:rsid w:val="795D3D1D"/>
    <w:rsid w:val="795E6493"/>
    <w:rsid w:val="79657B4B"/>
    <w:rsid w:val="7969698A"/>
    <w:rsid w:val="796C581D"/>
    <w:rsid w:val="796C5D0E"/>
    <w:rsid w:val="79717F2E"/>
    <w:rsid w:val="797E64D7"/>
    <w:rsid w:val="798219D5"/>
    <w:rsid w:val="79860A5D"/>
    <w:rsid w:val="79880B38"/>
    <w:rsid w:val="79893F57"/>
    <w:rsid w:val="79903625"/>
    <w:rsid w:val="799314ED"/>
    <w:rsid w:val="799452A9"/>
    <w:rsid w:val="799728E1"/>
    <w:rsid w:val="799A5276"/>
    <w:rsid w:val="799C4845"/>
    <w:rsid w:val="79A63B17"/>
    <w:rsid w:val="79AC50C7"/>
    <w:rsid w:val="79B3393D"/>
    <w:rsid w:val="79BE628A"/>
    <w:rsid w:val="79BF0534"/>
    <w:rsid w:val="79D02741"/>
    <w:rsid w:val="79D7762B"/>
    <w:rsid w:val="79D81987"/>
    <w:rsid w:val="79DB3D4A"/>
    <w:rsid w:val="79DC7338"/>
    <w:rsid w:val="79E61514"/>
    <w:rsid w:val="79E62D81"/>
    <w:rsid w:val="79E820C1"/>
    <w:rsid w:val="79EC11CA"/>
    <w:rsid w:val="79EC423F"/>
    <w:rsid w:val="79F12AC3"/>
    <w:rsid w:val="79F226B7"/>
    <w:rsid w:val="79FB4286"/>
    <w:rsid w:val="79FC3536"/>
    <w:rsid w:val="79FF3026"/>
    <w:rsid w:val="7A010B4C"/>
    <w:rsid w:val="7A087945"/>
    <w:rsid w:val="7A0D129F"/>
    <w:rsid w:val="7A0F14BB"/>
    <w:rsid w:val="7A102B3D"/>
    <w:rsid w:val="7A107E0F"/>
    <w:rsid w:val="7A2554E0"/>
    <w:rsid w:val="7A2B47E4"/>
    <w:rsid w:val="7A2C74A7"/>
    <w:rsid w:val="7A2D38D5"/>
    <w:rsid w:val="7A4F18B8"/>
    <w:rsid w:val="7A543FDE"/>
    <w:rsid w:val="7A571019"/>
    <w:rsid w:val="7A58173C"/>
    <w:rsid w:val="7A5C7B80"/>
    <w:rsid w:val="7A5D5F24"/>
    <w:rsid w:val="7A6B7769"/>
    <w:rsid w:val="7A700E98"/>
    <w:rsid w:val="7A731682"/>
    <w:rsid w:val="7A775267"/>
    <w:rsid w:val="7A791F5F"/>
    <w:rsid w:val="7A7946E9"/>
    <w:rsid w:val="7A7B6F33"/>
    <w:rsid w:val="7A7D7BC5"/>
    <w:rsid w:val="7A7E1487"/>
    <w:rsid w:val="7A83565B"/>
    <w:rsid w:val="7A85352B"/>
    <w:rsid w:val="7A862E00"/>
    <w:rsid w:val="7A8F392B"/>
    <w:rsid w:val="7A94551C"/>
    <w:rsid w:val="7A98728D"/>
    <w:rsid w:val="7A996FD7"/>
    <w:rsid w:val="7AA14B9E"/>
    <w:rsid w:val="7AA86BFB"/>
    <w:rsid w:val="7AAA3A13"/>
    <w:rsid w:val="7AB12572"/>
    <w:rsid w:val="7AB160CE"/>
    <w:rsid w:val="7AB40828"/>
    <w:rsid w:val="7AB610F5"/>
    <w:rsid w:val="7ABE07EB"/>
    <w:rsid w:val="7ABF7674"/>
    <w:rsid w:val="7AC853F4"/>
    <w:rsid w:val="7AC95598"/>
    <w:rsid w:val="7AD61FD9"/>
    <w:rsid w:val="7AD86C5D"/>
    <w:rsid w:val="7ADD3F31"/>
    <w:rsid w:val="7ADE49EA"/>
    <w:rsid w:val="7AE42FE7"/>
    <w:rsid w:val="7AEC18BC"/>
    <w:rsid w:val="7AFE2A8E"/>
    <w:rsid w:val="7B064250"/>
    <w:rsid w:val="7B086BCF"/>
    <w:rsid w:val="7B151690"/>
    <w:rsid w:val="7B155913"/>
    <w:rsid w:val="7B193522"/>
    <w:rsid w:val="7B1C09E6"/>
    <w:rsid w:val="7B2033A2"/>
    <w:rsid w:val="7B2B4D24"/>
    <w:rsid w:val="7B2E7139"/>
    <w:rsid w:val="7B2E771F"/>
    <w:rsid w:val="7B30793B"/>
    <w:rsid w:val="7B3479F2"/>
    <w:rsid w:val="7B365712"/>
    <w:rsid w:val="7B385647"/>
    <w:rsid w:val="7B3C7232"/>
    <w:rsid w:val="7B4231CA"/>
    <w:rsid w:val="7B455999"/>
    <w:rsid w:val="7B560A24"/>
    <w:rsid w:val="7B570C65"/>
    <w:rsid w:val="7B587CDE"/>
    <w:rsid w:val="7B5A15CA"/>
    <w:rsid w:val="7B5B4B1B"/>
    <w:rsid w:val="7B5C26B1"/>
    <w:rsid w:val="7B6160E0"/>
    <w:rsid w:val="7B62386D"/>
    <w:rsid w:val="7B637FD9"/>
    <w:rsid w:val="7B643141"/>
    <w:rsid w:val="7B6467A2"/>
    <w:rsid w:val="7B6B31A1"/>
    <w:rsid w:val="7B6C0247"/>
    <w:rsid w:val="7B6E5D6D"/>
    <w:rsid w:val="7B774ACE"/>
    <w:rsid w:val="7B7A48AD"/>
    <w:rsid w:val="7B7C353B"/>
    <w:rsid w:val="7B7F54C5"/>
    <w:rsid w:val="7B7F61CD"/>
    <w:rsid w:val="7B89704B"/>
    <w:rsid w:val="7B8A691F"/>
    <w:rsid w:val="7B8B2DC3"/>
    <w:rsid w:val="7B8D6BCE"/>
    <w:rsid w:val="7B932562"/>
    <w:rsid w:val="7B9559F0"/>
    <w:rsid w:val="7B9D48A5"/>
    <w:rsid w:val="7BA0193E"/>
    <w:rsid w:val="7BA05184"/>
    <w:rsid w:val="7BB02B00"/>
    <w:rsid w:val="7BB37C24"/>
    <w:rsid w:val="7BB57CD1"/>
    <w:rsid w:val="7BB971A8"/>
    <w:rsid w:val="7BBA5457"/>
    <w:rsid w:val="7BBD4C17"/>
    <w:rsid w:val="7BC41E31"/>
    <w:rsid w:val="7BD61B65"/>
    <w:rsid w:val="7BD677E6"/>
    <w:rsid w:val="7BE349AD"/>
    <w:rsid w:val="7BE424D4"/>
    <w:rsid w:val="7BE44282"/>
    <w:rsid w:val="7BE6659D"/>
    <w:rsid w:val="7BE701A1"/>
    <w:rsid w:val="7BEE0332"/>
    <w:rsid w:val="7BF53735"/>
    <w:rsid w:val="7BF53C5F"/>
    <w:rsid w:val="7BF551B6"/>
    <w:rsid w:val="7BFA5853"/>
    <w:rsid w:val="7C030822"/>
    <w:rsid w:val="7C0645D6"/>
    <w:rsid w:val="7C0E57A2"/>
    <w:rsid w:val="7C127041"/>
    <w:rsid w:val="7C232FFC"/>
    <w:rsid w:val="7C240B22"/>
    <w:rsid w:val="7C266B00"/>
    <w:rsid w:val="7C274BD5"/>
    <w:rsid w:val="7C2B3C5E"/>
    <w:rsid w:val="7C302B45"/>
    <w:rsid w:val="7C347AF0"/>
    <w:rsid w:val="7C38637B"/>
    <w:rsid w:val="7C435F12"/>
    <w:rsid w:val="7C4371FA"/>
    <w:rsid w:val="7C454E41"/>
    <w:rsid w:val="7C5234E4"/>
    <w:rsid w:val="7C5C14E3"/>
    <w:rsid w:val="7C5C2039"/>
    <w:rsid w:val="7C5C4760"/>
    <w:rsid w:val="7C5D2C42"/>
    <w:rsid w:val="7C5D402D"/>
    <w:rsid w:val="7C5E4034"/>
    <w:rsid w:val="7C625256"/>
    <w:rsid w:val="7C6A6350"/>
    <w:rsid w:val="7C6E3777"/>
    <w:rsid w:val="7C7223BD"/>
    <w:rsid w:val="7C7A4BF0"/>
    <w:rsid w:val="7C7B3806"/>
    <w:rsid w:val="7C7D0AA0"/>
    <w:rsid w:val="7C7D2F74"/>
    <w:rsid w:val="7C7D5755"/>
    <w:rsid w:val="7C7E1584"/>
    <w:rsid w:val="7C8141C6"/>
    <w:rsid w:val="7C821F38"/>
    <w:rsid w:val="7C835849"/>
    <w:rsid w:val="7C84535E"/>
    <w:rsid w:val="7C8A307B"/>
    <w:rsid w:val="7C8B770E"/>
    <w:rsid w:val="7C8C24E1"/>
    <w:rsid w:val="7C91141F"/>
    <w:rsid w:val="7C960303"/>
    <w:rsid w:val="7CA11CF8"/>
    <w:rsid w:val="7CA27D0E"/>
    <w:rsid w:val="7CB746D9"/>
    <w:rsid w:val="7CBE29DD"/>
    <w:rsid w:val="7CC10F1E"/>
    <w:rsid w:val="7CCA16C9"/>
    <w:rsid w:val="7CCA5593"/>
    <w:rsid w:val="7CCD7E11"/>
    <w:rsid w:val="7CD21963"/>
    <w:rsid w:val="7CD30150"/>
    <w:rsid w:val="7CD51320"/>
    <w:rsid w:val="7CDA5C31"/>
    <w:rsid w:val="7CDA7DA0"/>
    <w:rsid w:val="7CDD7C66"/>
    <w:rsid w:val="7CDE45FF"/>
    <w:rsid w:val="7CDF683B"/>
    <w:rsid w:val="7CED5F04"/>
    <w:rsid w:val="7CF5012A"/>
    <w:rsid w:val="7CFC42A6"/>
    <w:rsid w:val="7CFF303E"/>
    <w:rsid w:val="7CFF5469"/>
    <w:rsid w:val="7D0072C8"/>
    <w:rsid w:val="7D0209B5"/>
    <w:rsid w:val="7D027750"/>
    <w:rsid w:val="7D0401AB"/>
    <w:rsid w:val="7D04385C"/>
    <w:rsid w:val="7D062C5F"/>
    <w:rsid w:val="7D0A7D18"/>
    <w:rsid w:val="7D1112E0"/>
    <w:rsid w:val="7D126BCC"/>
    <w:rsid w:val="7D140B97"/>
    <w:rsid w:val="7D15451D"/>
    <w:rsid w:val="7D1979E2"/>
    <w:rsid w:val="7D1E133E"/>
    <w:rsid w:val="7D270CBE"/>
    <w:rsid w:val="7D2863F0"/>
    <w:rsid w:val="7D2B74AC"/>
    <w:rsid w:val="7D321A6F"/>
    <w:rsid w:val="7D3305A9"/>
    <w:rsid w:val="7D336401"/>
    <w:rsid w:val="7D375748"/>
    <w:rsid w:val="7D382AD7"/>
    <w:rsid w:val="7D396844"/>
    <w:rsid w:val="7D3B093C"/>
    <w:rsid w:val="7D433490"/>
    <w:rsid w:val="7D450D50"/>
    <w:rsid w:val="7D4B1062"/>
    <w:rsid w:val="7D4B192B"/>
    <w:rsid w:val="7D510C5D"/>
    <w:rsid w:val="7D5D2301"/>
    <w:rsid w:val="7D792545"/>
    <w:rsid w:val="7D7D237A"/>
    <w:rsid w:val="7D7F5EE0"/>
    <w:rsid w:val="7D8306B2"/>
    <w:rsid w:val="7D831878"/>
    <w:rsid w:val="7D845D1C"/>
    <w:rsid w:val="7D854787"/>
    <w:rsid w:val="7D8950E1"/>
    <w:rsid w:val="7D937D0D"/>
    <w:rsid w:val="7D9B3262"/>
    <w:rsid w:val="7D9C5C1A"/>
    <w:rsid w:val="7DA27AAD"/>
    <w:rsid w:val="7DA328E8"/>
    <w:rsid w:val="7DB119FE"/>
    <w:rsid w:val="7DB248FE"/>
    <w:rsid w:val="7DB70802"/>
    <w:rsid w:val="7DBE5814"/>
    <w:rsid w:val="7DC4436B"/>
    <w:rsid w:val="7DC73791"/>
    <w:rsid w:val="7DCC01A6"/>
    <w:rsid w:val="7DCC1471"/>
    <w:rsid w:val="7DCF6BFD"/>
    <w:rsid w:val="7DD24CD9"/>
    <w:rsid w:val="7DD37C4A"/>
    <w:rsid w:val="7DD81BC4"/>
    <w:rsid w:val="7DE2661C"/>
    <w:rsid w:val="7DE56C30"/>
    <w:rsid w:val="7DEC48A5"/>
    <w:rsid w:val="7DF161B8"/>
    <w:rsid w:val="7DF40A22"/>
    <w:rsid w:val="7E0A1248"/>
    <w:rsid w:val="7E0C66D8"/>
    <w:rsid w:val="7E0D07B1"/>
    <w:rsid w:val="7E1914F7"/>
    <w:rsid w:val="7E1E36D8"/>
    <w:rsid w:val="7E221667"/>
    <w:rsid w:val="7E227746"/>
    <w:rsid w:val="7E2968C4"/>
    <w:rsid w:val="7E2B1117"/>
    <w:rsid w:val="7E3239CA"/>
    <w:rsid w:val="7E356A19"/>
    <w:rsid w:val="7E3A287F"/>
    <w:rsid w:val="7E3F2C81"/>
    <w:rsid w:val="7E414658"/>
    <w:rsid w:val="7E4744A8"/>
    <w:rsid w:val="7E495EDD"/>
    <w:rsid w:val="7E4B4A8C"/>
    <w:rsid w:val="7E4F47F2"/>
    <w:rsid w:val="7E53149B"/>
    <w:rsid w:val="7E541536"/>
    <w:rsid w:val="7E553FD7"/>
    <w:rsid w:val="7E611BB9"/>
    <w:rsid w:val="7E661B38"/>
    <w:rsid w:val="7E666333"/>
    <w:rsid w:val="7E6A51B1"/>
    <w:rsid w:val="7E6C595A"/>
    <w:rsid w:val="7E7104DE"/>
    <w:rsid w:val="7E715A01"/>
    <w:rsid w:val="7E7238B7"/>
    <w:rsid w:val="7E740BDE"/>
    <w:rsid w:val="7E7E7BD1"/>
    <w:rsid w:val="7E892FAD"/>
    <w:rsid w:val="7E896E8E"/>
    <w:rsid w:val="7E9106DD"/>
    <w:rsid w:val="7E9810C3"/>
    <w:rsid w:val="7E98172B"/>
    <w:rsid w:val="7EA30424"/>
    <w:rsid w:val="7EA41B24"/>
    <w:rsid w:val="7EA63A70"/>
    <w:rsid w:val="7EB03501"/>
    <w:rsid w:val="7EB405D2"/>
    <w:rsid w:val="7EB70948"/>
    <w:rsid w:val="7EB82E43"/>
    <w:rsid w:val="7EC5039A"/>
    <w:rsid w:val="7EE0570D"/>
    <w:rsid w:val="7EE41252"/>
    <w:rsid w:val="7EE64363"/>
    <w:rsid w:val="7EF07E3F"/>
    <w:rsid w:val="7EF1084D"/>
    <w:rsid w:val="7EF40C80"/>
    <w:rsid w:val="7EF47A93"/>
    <w:rsid w:val="7EFF7F59"/>
    <w:rsid w:val="7F0013D2"/>
    <w:rsid w:val="7F007C8E"/>
    <w:rsid w:val="7F0F1990"/>
    <w:rsid w:val="7F124C3A"/>
    <w:rsid w:val="7F1440ED"/>
    <w:rsid w:val="7F1C3D32"/>
    <w:rsid w:val="7F1C78E9"/>
    <w:rsid w:val="7F1D6B8B"/>
    <w:rsid w:val="7F2826D7"/>
    <w:rsid w:val="7F2A644F"/>
    <w:rsid w:val="7F3E156E"/>
    <w:rsid w:val="7F3E639F"/>
    <w:rsid w:val="7F3F07AA"/>
    <w:rsid w:val="7F526D0E"/>
    <w:rsid w:val="7F5C26DF"/>
    <w:rsid w:val="7F5C5FBD"/>
    <w:rsid w:val="7F5E7928"/>
    <w:rsid w:val="7F6318C5"/>
    <w:rsid w:val="7F6776A3"/>
    <w:rsid w:val="7F755E40"/>
    <w:rsid w:val="7F7A1D59"/>
    <w:rsid w:val="7F886A0D"/>
    <w:rsid w:val="7F892F2A"/>
    <w:rsid w:val="7F89586C"/>
    <w:rsid w:val="7F941373"/>
    <w:rsid w:val="7F945FBF"/>
    <w:rsid w:val="7F9F1199"/>
    <w:rsid w:val="7FA443A2"/>
    <w:rsid w:val="7FBB354B"/>
    <w:rsid w:val="7FC07F80"/>
    <w:rsid w:val="7FC276AC"/>
    <w:rsid w:val="7FC8211E"/>
    <w:rsid w:val="7FCE507C"/>
    <w:rsid w:val="7FCF06DC"/>
    <w:rsid w:val="7FD36AE7"/>
    <w:rsid w:val="7FD62735"/>
    <w:rsid w:val="7FDE6C04"/>
    <w:rsid w:val="7FDF36DE"/>
    <w:rsid w:val="7FE231CE"/>
    <w:rsid w:val="7FEA49E2"/>
    <w:rsid w:val="7FEA6EF5"/>
    <w:rsid w:val="7FEB1340"/>
    <w:rsid w:val="7FED2159"/>
    <w:rsid w:val="7FF4414A"/>
    <w:rsid w:val="7FF932D3"/>
    <w:rsid w:val="7FFE1487"/>
    <w:rsid w:val="7FFF78D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connector" idref="#_x0000_s2054"/>
        <o:r id="V:Rule2" type="connector" idref="#直接箭头连接符 107"/>
        <o:r id="V:Rule3" type="connector" idref="#AutoShape 1185"/>
        <o:r id="V:Rule4" type="connector" idref="#直接箭头连接符 107"/>
        <o:r id="V:Rule5" type="connector" idref="#AutoShape 1185"/>
        <o:r id="V:Rule6" type="connector" idref="#直接箭头连接符 107"/>
        <o:r id="V:Rule7" type="connector" idref="#AutoShape 1185"/>
        <o:r id="V:Rule8" type="connector" idref="#AutoShape 1185"/>
        <o:r id="V:Rule9" type="connector" idref="#AutoShape 1185"/>
        <o:r id="V:Rule10" type="connector" idref="#_x0000_s2093"/>
        <o:r id="V:Rule11" type="connector" idref="#_x0000_s2096"/>
        <o:r id="V:Rule12" type="connector" idref="#_x0000_s2097"/>
        <o:r id="V:Rule13" type="connector" idref="#AutoShape 627"/>
        <o:r id="V:Rule14" type="connector" idref="#AutoShape 629"/>
        <o:r id="V:Rule15" type="connector" idref="#AutoShape 631"/>
        <o:r id="V:Rule16" type="connector" idref="#AutoShape 633"/>
        <o:r id="V:Rule17" type="connector" idref="#AutoShape 635"/>
        <o:r id="V:Rule18" type="connector" idref="#AutoShape 637"/>
        <o:r id="V:Rule19" type="connector" idref="#AutoShape 639"/>
        <o:r id="V:Rule20" type="connector" idref="#_x0000_s2176"/>
        <o:r id="V:Rule21" type="connector" idref="#AutoShape 641"/>
        <o:r id="V:Rule22" type="connector" idref="#AutoShape 643"/>
        <o:r id="V:Rule23" type="connector" idref="#AutoShape 645"/>
        <o:r id="V:Rule24" type="connector" idref="#AutoShape 647"/>
        <o:r id="V:Rule25" type="connector" idref="#AutoShape 659"/>
        <o:r id="V:Rule26" type="connector" idref="#AutoShape 660"/>
        <o:r id="V:Rule27" type="connector" idref="#AutoShape 1211"/>
        <o:r id="V:Rule28" type="connector" idref="#AutoShape 1214"/>
        <o:r id="V:Rule29" type="connector" idref="#AutoShape 1216"/>
        <o:r id="V:Rule30" type="connector" idref="#AutoShape 1218"/>
        <o:r id="V:Rule31" type="connector" idref="#AutoShape 1221"/>
        <o:r id="V:Rule32" type="connector" idref="#AutoShape 1230"/>
        <o:r id="V:Rule33" type="connector" idref="#AutoShape 660"/>
        <o:r id="V:Rule34" type="connector" idref="#AutoShape 1211"/>
        <o:r id="V:Rule35" type="connector" idref="#直接箭头连接符 458"/>
        <o:r id="V:Rule36" type="connector" idref="#AutoShape 659"/>
        <o:r id="V:Rule37" type="connector" idref="#AutoShape 94"/>
        <o:r id="V:Rule38" type="connector" idref="#直接箭头连接符 458"/>
        <o:r id="V:Rule39" type="connector" idref="#AutoShape 659"/>
        <o:r id="V:Rule40" type="connector" idref="#AutoShape 659"/>
        <o:r id="V:Rule41" type="connector" idref="#AutoShape 1216"/>
        <o:r id="V:Rule42" type="connector" idref="#AutoShape 1216"/>
        <o:r id="V:Rule43" type="connector" idref="#AutoShape 1214"/>
        <o:r id="V:Rule44" type="connector" idref="#直接箭头连接符 107"/>
        <o:r id="V:Rule45" type="connector" idref="#AutoShape 1185"/>
        <o:r id="V:Rule46" type="connector" idref="#_x0000_s2310"/>
        <o:r id="V:Rule47" type="connector" idref="#_x0000_s2315"/>
        <o:r id="V:Rule48" type="connector" idref="#直接箭头连接符 107"/>
        <o:r id="V:Rule49" type="connector" idref="#直接箭头连接符 107"/>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0" w:semiHidden="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qFormat="1" w:unhideWhenUsed="0" w:uiPriority="0" w:semiHidden="0" w:name="footnote reference"/>
    <w:lsdException w:qFormat="1" w:unhideWhenUsed="0" w:uiPriority="0" w:name="annotation reference"/>
    <w:lsdException w:uiPriority="0" w:name="line number"/>
    <w:lsdException w:qFormat="1" w:unhideWhenUsed="0" w:uiPriority="0" w:semiHidden="0" w:name="page number"/>
    <w:lsdException w:uiPriority="0" w:name="endnote reference"/>
    <w:lsdException w:unhideWhenUsed="0" w:uiPriority="0" w:semiHidden="0" w:name="endnote text"/>
    <w:lsdException w:uiPriority="0" w:name="table of authorities"/>
    <w:lsdException w:uiPriority="0" w:name="macro"/>
    <w:lsdException w:unhideWhenUsed="0" w:uiPriority="0" w:semiHidden="0" w:name="toa heading"/>
    <w:lsdException w:unhideWhenUsed="0" w:uiPriority="0" w:semiHidden="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semiHidden="0" w:name="Default Paragraph Font"/>
    <w:lsdException w:qFormat="1" w:unhideWhenUsed="0" w:uiPriority="0" w:semiHidden="0" w:name="Body Text"/>
    <w:lsdException w:qFormat="1" w:uiPriority="99" w:semiHidden="0" w:name="Body Text Indent"/>
    <w:lsdException w:qFormat="1"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iPriority="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qFormat="1" w:unhideWhenUsed="0" w:uiPriority="99" w:semiHidden="0" w:name="Body Text 2"/>
    <w:lsdException w:uiPriority="0" w:name="Body Text 3"/>
    <w:lsdException w:uiPriority="0" w:name="Body Text Indent 2"/>
    <w:lsdException w:uiPriority="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0" w:semiHidden="0" w:name="Normal (Web)"/>
    <w:lsdException w:qFormat="1" w:unhideWhenUsed="0" w:uiPriority="0" w:semiHidden="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59" w:semiHidden="0" w:name="Table Grid"/>
    <w:lsdException w:uiPriority="0" w:name="Table Theme"/>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adjustRightInd w:val="0"/>
      <w:snapToGrid w:val="0"/>
      <w:spacing w:line="360" w:lineRule="auto"/>
      <w:ind w:firstLine="56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42"/>
    <w:autoRedefine/>
    <w:qFormat/>
    <w:uiPriority w:val="9"/>
    <w:pPr>
      <w:keepNext/>
      <w:keepLines/>
      <w:pageBreakBefore/>
      <w:widowControl/>
      <w:numPr>
        <w:ilvl w:val="0"/>
        <w:numId w:val="1"/>
      </w:numPr>
      <w:adjustRightInd w:val="0"/>
      <w:snapToGrid w:val="0"/>
      <w:spacing w:before="120" w:after="120" w:line="360" w:lineRule="auto"/>
      <w:ind w:firstLine="0" w:firstLineChars="0"/>
      <w:jc w:val="center"/>
      <w:outlineLvl w:val="0"/>
    </w:pPr>
    <w:rPr>
      <w:rFonts w:ascii="Times New Roman" w:hAnsi="Times New Roman" w:eastAsia="宋体"/>
      <w:b/>
      <w:bCs/>
      <w:kern w:val="44"/>
      <w:sz w:val="32"/>
      <w:szCs w:val="36"/>
    </w:rPr>
  </w:style>
  <w:style w:type="paragraph" w:styleId="3">
    <w:name w:val="heading 2"/>
    <w:basedOn w:val="1"/>
    <w:next w:val="4"/>
    <w:link w:val="47"/>
    <w:autoRedefine/>
    <w:qFormat/>
    <w:uiPriority w:val="0"/>
    <w:pPr>
      <w:keepNext/>
      <w:keepLines/>
      <w:numPr>
        <w:ilvl w:val="1"/>
        <w:numId w:val="1"/>
      </w:numPr>
      <w:adjustRightInd w:val="0"/>
      <w:snapToGrid w:val="0"/>
      <w:spacing w:line="360" w:lineRule="auto"/>
      <w:ind w:firstLine="0" w:firstLineChars="0"/>
      <w:outlineLvl w:val="1"/>
    </w:pPr>
    <w:rPr>
      <w:rFonts w:ascii="Times New Roman" w:hAnsi="Times New Roman" w:eastAsia="宋体"/>
      <w:b/>
      <w:sz w:val="30"/>
      <w:szCs w:val="30"/>
    </w:rPr>
  </w:style>
  <w:style w:type="paragraph" w:styleId="5">
    <w:name w:val="heading 3"/>
    <w:basedOn w:val="1"/>
    <w:next w:val="1"/>
    <w:link w:val="43"/>
    <w:autoRedefine/>
    <w:qFormat/>
    <w:uiPriority w:val="0"/>
    <w:pPr>
      <w:keepNext/>
      <w:keepLines/>
      <w:numPr>
        <w:ilvl w:val="2"/>
        <w:numId w:val="1"/>
      </w:numPr>
      <w:spacing w:line="360" w:lineRule="auto"/>
      <w:ind w:firstLine="0" w:firstLineChars="0"/>
      <w:outlineLvl w:val="2"/>
    </w:pPr>
    <w:rPr>
      <w:rFonts w:ascii="Times New Roman" w:hAnsi="Times New Roman" w:eastAsia="宋体"/>
      <w:b/>
      <w:bCs/>
      <w:sz w:val="30"/>
      <w:szCs w:val="30"/>
    </w:rPr>
  </w:style>
  <w:style w:type="paragraph" w:styleId="6">
    <w:name w:val="heading 4"/>
    <w:basedOn w:val="1"/>
    <w:next w:val="1"/>
    <w:link w:val="175"/>
    <w:autoRedefine/>
    <w:qFormat/>
    <w:uiPriority w:val="0"/>
    <w:pPr>
      <w:keepNext/>
      <w:numPr>
        <w:ilvl w:val="3"/>
        <w:numId w:val="1"/>
      </w:numPr>
      <w:spacing w:line="360" w:lineRule="auto"/>
      <w:ind w:left="0" w:firstLineChars="0"/>
      <w:outlineLvl w:val="3"/>
    </w:pPr>
    <w:rPr>
      <w:rFonts w:ascii="Times New Roman" w:hAnsi="Times New Roman" w:eastAsia="宋体"/>
      <w:b/>
      <w:snapToGrid w:val="0"/>
    </w:rPr>
  </w:style>
  <w:style w:type="paragraph" w:styleId="7">
    <w:name w:val="heading 5"/>
    <w:basedOn w:val="1"/>
    <w:next w:val="1"/>
    <w:autoRedefine/>
    <w:qFormat/>
    <w:uiPriority w:val="0"/>
    <w:pPr>
      <w:keepNext/>
      <w:keepLines/>
      <w:numPr>
        <w:ilvl w:val="0"/>
        <w:numId w:val="2"/>
      </w:numPr>
      <w:tabs>
        <w:tab w:val="left" w:pos="480"/>
        <w:tab w:val="left" w:pos="600"/>
      </w:tabs>
      <w:spacing w:before="120" w:after="120"/>
      <w:ind w:left="150" w:leftChars="150" w:right="150" w:rightChars="150" w:firstLine="0"/>
      <w:jc w:val="left"/>
      <w:outlineLvl w:val="4"/>
    </w:pPr>
    <w:rPr>
      <w:rFonts w:eastAsia="方正小标宋简体"/>
      <w:b/>
    </w:rPr>
  </w:style>
  <w:style w:type="paragraph" w:styleId="8">
    <w:name w:val="heading 6"/>
    <w:basedOn w:val="1"/>
    <w:next w:val="1"/>
    <w:link w:val="156"/>
    <w:autoRedefine/>
    <w:qFormat/>
    <w:uiPriority w:val="0"/>
    <w:pPr>
      <w:keepNext/>
      <w:keepLines/>
      <w:widowControl/>
      <w:spacing w:before="240" w:after="64" w:line="320" w:lineRule="auto"/>
      <w:jc w:val="center"/>
      <w:outlineLvl w:val="5"/>
    </w:pPr>
    <w:rPr>
      <w:rFonts w:ascii="Cambria" w:hAnsi="Cambria"/>
      <w:b/>
      <w:bCs/>
      <w:kern w:val="0"/>
    </w:rPr>
  </w:style>
  <w:style w:type="character" w:default="1" w:styleId="33">
    <w:name w:val="Default Paragraph Font"/>
    <w:autoRedefine/>
    <w:unhideWhenUsed/>
    <w:qFormat/>
    <w:uiPriority w:val="1"/>
  </w:style>
  <w:style w:type="table" w:default="1" w:styleId="31">
    <w:name w:val="Normal Table"/>
    <w:autoRedefine/>
    <w:semiHidden/>
    <w:unhideWhenUsed/>
    <w:qFormat/>
    <w:uiPriority w:val="99"/>
    <w:tblPr>
      <w:tblCellMar>
        <w:top w:w="0" w:type="dxa"/>
        <w:left w:w="108" w:type="dxa"/>
        <w:bottom w:w="0" w:type="dxa"/>
        <w:right w:w="108" w:type="dxa"/>
      </w:tblCellMar>
    </w:tblPr>
  </w:style>
  <w:style w:type="paragraph" w:customStyle="1" w:styleId="4">
    <w:name w:val="段落 Char Char"/>
    <w:basedOn w:val="1"/>
    <w:link w:val="153"/>
    <w:autoRedefine/>
    <w:qFormat/>
    <w:uiPriority w:val="0"/>
    <w:pPr>
      <w:spacing w:line="500" w:lineRule="exact"/>
      <w:ind w:firstLine="578"/>
    </w:pPr>
    <w:rPr>
      <w:kern w:val="0"/>
      <w:sz w:val="28"/>
      <w:szCs w:val="28"/>
    </w:rPr>
  </w:style>
  <w:style w:type="paragraph" w:styleId="9">
    <w:name w:val="Normal Indent"/>
    <w:basedOn w:val="1"/>
    <w:link w:val="48"/>
    <w:autoRedefine/>
    <w:qFormat/>
    <w:uiPriority w:val="0"/>
    <w:rPr>
      <w:sz w:val="28"/>
      <w:szCs w:val="20"/>
    </w:rPr>
  </w:style>
  <w:style w:type="paragraph" w:styleId="10">
    <w:name w:val="caption"/>
    <w:basedOn w:val="1"/>
    <w:next w:val="1"/>
    <w:link w:val="192"/>
    <w:autoRedefine/>
    <w:qFormat/>
    <w:uiPriority w:val="0"/>
    <w:pPr>
      <w:keepNext/>
      <w:spacing w:line="240" w:lineRule="auto"/>
      <w:ind w:firstLine="0" w:firstLineChars="0"/>
      <w:jc w:val="center"/>
    </w:pPr>
    <w:rPr>
      <w:rFonts w:ascii="Times New Roman" w:hAnsi="Times New Roman" w:eastAsia="宋体" w:cs="Arial"/>
      <w:b/>
      <w:szCs w:val="20"/>
    </w:rPr>
  </w:style>
  <w:style w:type="paragraph" w:styleId="11">
    <w:name w:val="Document Map"/>
    <w:basedOn w:val="1"/>
    <w:link w:val="49"/>
    <w:autoRedefine/>
    <w:qFormat/>
    <w:uiPriority w:val="0"/>
    <w:rPr>
      <w:rFonts w:ascii="宋体"/>
      <w:sz w:val="18"/>
      <w:szCs w:val="18"/>
    </w:rPr>
  </w:style>
  <w:style w:type="paragraph" w:styleId="12">
    <w:name w:val="annotation text"/>
    <w:basedOn w:val="1"/>
    <w:autoRedefine/>
    <w:qFormat/>
    <w:uiPriority w:val="0"/>
    <w:pPr>
      <w:jc w:val="left"/>
    </w:pPr>
  </w:style>
  <w:style w:type="paragraph" w:styleId="13">
    <w:name w:val="Body Text"/>
    <w:basedOn w:val="1"/>
    <w:link w:val="50"/>
    <w:autoRedefine/>
    <w:qFormat/>
    <w:uiPriority w:val="0"/>
    <w:pPr>
      <w:spacing w:after="120"/>
    </w:pPr>
    <w:rPr>
      <w:szCs w:val="20"/>
    </w:rPr>
  </w:style>
  <w:style w:type="paragraph" w:styleId="14">
    <w:name w:val="Body Text Indent"/>
    <w:basedOn w:val="1"/>
    <w:next w:val="13"/>
    <w:link w:val="172"/>
    <w:autoRedefine/>
    <w:unhideWhenUsed/>
    <w:qFormat/>
    <w:uiPriority w:val="99"/>
    <w:pPr>
      <w:spacing w:after="120"/>
      <w:ind w:left="420" w:leftChars="200"/>
    </w:pPr>
    <w:rPr>
      <w:kern w:val="0"/>
      <w:szCs w:val="20"/>
    </w:rPr>
  </w:style>
  <w:style w:type="paragraph" w:styleId="15">
    <w:name w:val="List Continue"/>
    <w:basedOn w:val="1"/>
    <w:next w:val="13"/>
    <w:autoRedefine/>
    <w:qFormat/>
    <w:uiPriority w:val="0"/>
    <w:pPr>
      <w:widowControl/>
      <w:spacing w:before="280" w:after="280"/>
      <w:ind w:firstLine="3584"/>
    </w:pPr>
    <w:rPr>
      <w:rFonts w:ascii="Calibri" w:hAnsi="Calibri"/>
    </w:rPr>
  </w:style>
  <w:style w:type="paragraph" w:styleId="16">
    <w:name w:val="Block Text"/>
    <w:basedOn w:val="1"/>
    <w:next w:val="1"/>
    <w:autoRedefine/>
    <w:qFormat/>
    <w:uiPriority w:val="0"/>
    <w:pPr>
      <w:spacing w:after="120"/>
      <w:ind w:left="1440" w:leftChars="700" w:right="1440" w:rightChars="700"/>
    </w:pPr>
  </w:style>
  <w:style w:type="paragraph" w:styleId="17">
    <w:name w:val="toc 3"/>
    <w:basedOn w:val="1"/>
    <w:next w:val="1"/>
    <w:autoRedefine/>
    <w:qFormat/>
    <w:uiPriority w:val="0"/>
    <w:pPr>
      <w:ind w:left="840" w:leftChars="400"/>
    </w:pPr>
  </w:style>
  <w:style w:type="paragraph" w:styleId="18">
    <w:name w:val="Plain Text"/>
    <w:basedOn w:val="1"/>
    <w:link w:val="53"/>
    <w:autoRedefine/>
    <w:qFormat/>
    <w:uiPriority w:val="0"/>
    <w:pPr>
      <w:spacing w:line="460" w:lineRule="exact"/>
      <w:ind w:firstLine="560" w:firstLineChars="200"/>
    </w:pPr>
    <w:rPr>
      <w:rFonts w:ascii="宋体" w:hAnsi="Courier New"/>
      <w:sz w:val="28"/>
      <w:szCs w:val="20"/>
    </w:rPr>
  </w:style>
  <w:style w:type="paragraph" w:styleId="19">
    <w:name w:val="Date"/>
    <w:basedOn w:val="1"/>
    <w:next w:val="1"/>
    <w:link w:val="54"/>
    <w:autoRedefine/>
    <w:qFormat/>
    <w:uiPriority w:val="0"/>
    <w:pPr>
      <w:adjustRightInd w:val="0"/>
      <w:spacing w:line="360" w:lineRule="atLeast"/>
      <w:ind w:left="100" w:leftChars="2500"/>
      <w:jc w:val="left"/>
      <w:textAlignment w:val="baseline"/>
    </w:pPr>
    <w:rPr>
      <w:rFonts w:ascii="宋体"/>
      <w:kern w:val="0"/>
      <w:szCs w:val="20"/>
    </w:rPr>
  </w:style>
  <w:style w:type="paragraph" w:styleId="20">
    <w:name w:val="Balloon Text"/>
    <w:basedOn w:val="1"/>
    <w:autoRedefine/>
    <w:semiHidden/>
    <w:qFormat/>
    <w:uiPriority w:val="0"/>
    <w:rPr>
      <w:sz w:val="18"/>
      <w:szCs w:val="18"/>
    </w:rPr>
  </w:style>
  <w:style w:type="paragraph" w:styleId="21">
    <w:name w:val="footer"/>
    <w:basedOn w:val="1"/>
    <w:link w:val="52"/>
    <w:autoRedefine/>
    <w:qFormat/>
    <w:uiPriority w:val="99"/>
    <w:pPr>
      <w:tabs>
        <w:tab w:val="center" w:pos="4153"/>
        <w:tab w:val="right" w:pos="8306"/>
      </w:tabs>
      <w:snapToGrid w:val="0"/>
      <w:jc w:val="left"/>
    </w:pPr>
    <w:rPr>
      <w:sz w:val="18"/>
      <w:szCs w:val="18"/>
    </w:rPr>
  </w:style>
  <w:style w:type="paragraph" w:styleId="22">
    <w:name w:val="header"/>
    <w:basedOn w:val="1"/>
    <w:link w:val="55"/>
    <w:autoRedefine/>
    <w:qFormat/>
    <w:uiPriority w:val="0"/>
    <w:pPr>
      <w:pBdr>
        <w:bottom w:val="single" w:color="auto" w:sz="6" w:space="1"/>
      </w:pBdr>
      <w:tabs>
        <w:tab w:val="center" w:pos="4153"/>
        <w:tab w:val="right" w:pos="8306"/>
      </w:tabs>
      <w:snapToGrid w:val="0"/>
      <w:jc w:val="center"/>
    </w:pPr>
    <w:rPr>
      <w:sz w:val="18"/>
      <w:szCs w:val="18"/>
    </w:rPr>
  </w:style>
  <w:style w:type="paragraph" w:styleId="23">
    <w:name w:val="toc 1"/>
    <w:basedOn w:val="1"/>
    <w:next w:val="1"/>
    <w:autoRedefine/>
    <w:qFormat/>
    <w:uiPriority w:val="39"/>
  </w:style>
  <w:style w:type="paragraph" w:styleId="24">
    <w:name w:val="toc 2"/>
    <w:basedOn w:val="1"/>
    <w:next w:val="1"/>
    <w:autoRedefine/>
    <w:qFormat/>
    <w:uiPriority w:val="39"/>
    <w:pPr>
      <w:ind w:left="420" w:leftChars="200"/>
    </w:pPr>
  </w:style>
  <w:style w:type="paragraph" w:styleId="25">
    <w:name w:val="Body Text 2"/>
    <w:basedOn w:val="1"/>
    <w:next w:val="21"/>
    <w:link w:val="51"/>
    <w:autoRedefine/>
    <w:qFormat/>
    <w:uiPriority w:val="99"/>
    <w:pPr>
      <w:spacing w:after="120" w:line="480" w:lineRule="auto"/>
    </w:pPr>
  </w:style>
  <w:style w:type="paragraph" w:styleId="26">
    <w:name w:val="Normal (Web)"/>
    <w:basedOn w:val="1"/>
    <w:link w:val="167"/>
    <w:autoRedefine/>
    <w:qFormat/>
    <w:uiPriority w:val="0"/>
    <w:pPr>
      <w:widowControl/>
      <w:spacing w:before="100" w:beforeAutospacing="1" w:after="100" w:afterAutospacing="1"/>
      <w:jc w:val="left"/>
    </w:pPr>
    <w:rPr>
      <w:rFonts w:ascii="宋体" w:hAnsi="宋体"/>
      <w:kern w:val="0"/>
    </w:rPr>
  </w:style>
  <w:style w:type="paragraph" w:styleId="27">
    <w:name w:val="Title"/>
    <w:basedOn w:val="1"/>
    <w:next w:val="1"/>
    <w:link w:val="56"/>
    <w:autoRedefine/>
    <w:qFormat/>
    <w:uiPriority w:val="10"/>
    <w:pPr>
      <w:tabs>
        <w:tab w:val="left" w:pos="2127"/>
      </w:tabs>
      <w:ind w:firstLine="800" w:firstLineChars="800"/>
      <w:jc w:val="left"/>
    </w:pPr>
    <w:rPr>
      <w:sz w:val="28"/>
      <w:lang w:val="pt-BR"/>
    </w:rPr>
  </w:style>
  <w:style w:type="paragraph" w:styleId="28">
    <w:name w:val="annotation subject"/>
    <w:basedOn w:val="12"/>
    <w:next w:val="12"/>
    <w:autoRedefine/>
    <w:semiHidden/>
    <w:qFormat/>
    <w:uiPriority w:val="0"/>
    <w:rPr>
      <w:b/>
      <w:bCs/>
    </w:rPr>
  </w:style>
  <w:style w:type="paragraph" w:styleId="29">
    <w:name w:val="Body Text First Indent"/>
    <w:basedOn w:val="13"/>
    <w:next w:val="30"/>
    <w:link w:val="57"/>
    <w:autoRedefine/>
    <w:qFormat/>
    <w:uiPriority w:val="0"/>
    <w:pPr>
      <w:ind w:firstLine="420" w:firstLineChars="100"/>
    </w:pPr>
    <w:rPr>
      <w:szCs w:val="24"/>
    </w:rPr>
  </w:style>
  <w:style w:type="paragraph" w:styleId="30">
    <w:name w:val="Body Text First Indent 2"/>
    <w:basedOn w:val="14"/>
    <w:next w:val="1"/>
    <w:autoRedefine/>
    <w:qFormat/>
    <w:uiPriority w:val="0"/>
    <w:pPr>
      <w:ind w:firstLine="420"/>
    </w:pPr>
    <w:rPr>
      <w:sz w:val="28"/>
    </w:rPr>
  </w:style>
  <w:style w:type="table" w:styleId="32">
    <w:name w:val="Table Grid"/>
    <w:basedOn w:val="31"/>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Strong"/>
    <w:autoRedefine/>
    <w:qFormat/>
    <w:uiPriority w:val="0"/>
    <w:rPr>
      <w:b/>
      <w:bCs/>
    </w:rPr>
  </w:style>
  <w:style w:type="character" w:styleId="35">
    <w:name w:val="page number"/>
    <w:autoRedefine/>
    <w:qFormat/>
    <w:uiPriority w:val="0"/>
  </w:style>
  <w:style w:type="character" w:styleId="36">
    <w:name w:val="FollowedHyperlink"/>
    <w:autoRedefine/>
    <w:qFormat/>
    <w:uiPriority w:val="99"/>
    <w:rPr>
      <w:color w:val="800080"/>
      <w:u w:val="none"/>
    </w:rPr>
  </w:style>
  <w:style w:type="character" w:styleId="37">
    <w:name w:val="HTML Acronym"/>
    <w:autoRedefine/>
    <w:qFormat/>
    <w:uiPriority w:val="0"/>
  </w:style>
  <w:style w:type="character" w:styleId="38">
    <w:name w:val="Hyperlink"/>
    <w:autoRedefine/>
    <w:qFormat/>
    <w:uiPriority w:val="99"/>
    <w:rPr>
      <w:color w:val="0000FF"/>
      <w:u w:val="none"/>
    </w:rPr>
  </w:style>
  <w:style w:type="character" w:styleId="39">
    <w:name w:val="annotation reference"/>
    <w:autoRedefine/>
    <w:semiHidden/>
    <w:qFormat/>
    <w:uiPriority w:val="0"/>
    <w:rPr>
      <w:sz w:val="21"/>
      <w:szCs w:val="21"/>
    </w:rPr>
  </w:style>
  <w:style w:type="character" w:styleId="40">
    <w:name w:val="footnote reference"/>
    <w:autoRedefine/>
    <w:qFormat/>
    <w:uiPriority w:val="0"/>
    <w:rPr>
      <w:rFonts w:ascii="黑体" w:hAnsi="Arial" w:eastAsia="华文中宋" w:cs="宋体"/>
      <w:kern w:val="2"/>
      <w:sz w:val="44"/>
      <w:szCs w:val="44"/>
      <w:vertAlign w:val="superscript"/>
      <w:lang w:val="en-US" w:eastAsia="zh-CN" w:bidi="ar-SA"/>
    </w:rPr>
  </w:style>
  <w:style w:type="paragraph" w:customStyle="1" w:styleId="41">
    <w:name w:val="xl27"/>
    <w:basedOn w:val="1"/>
    <w:autoRedefine/>
    <w:qFormat/>
    <w:uiPriority w:val="0"/>
    <w:pPr>
      <w:widowControl/>
      <w:pBdr>
        <w:bottom w:val="single" w:color="auto" w:sz="12" w:space="0"/>
      </w:pBdr>
      <w:spacing w:before="100" w:after="100"/>
      <w:jc w:val="center"/>
    </w:pPr>
    <w:rPr>
      <w:rFonts w:ascii="宋体" w:hAnsi="宋体"/>
      <w:kern w:val="0"/>
      <w:szCs w:val="20"/>
    </w:rPr>
  </w:style>
  <w:style w:type="character" w:customStyle="1" w:styleId="42">
    <w:name w:val="标题 1 字符"/>
    <w:link w:val="2"/>
    <w:autoRedefine/>
    <w:qFormat/>
    <w:uiPriority w:val="9"/>
    <w:rPr>
      <w:rFonts w:ascii="Times New Roman" w:hAnsi="Times New Roman" w:eastAsia="宋体"/>
      <w:b/>
      <w:bCs/>
      <w:kern w:val="44"/>
      <w:sz w:val="32"/>
      <w:szCs w:val="36"/>
    </w:rPr>
  </w:style>
  <w:style w:type="character" w:customStyle="1" w:styleId="43">
    <w:name w:val="标题 3 字符"/>
    <w:link w:val="5"/>
    <w:autoRedefine/>
    <w:semiHidden/>
    <w:qFormat/>
    <w:uiPriority w:val="0"/>
    <w:rPr>
      <w:rFonts w:ascii="Times New Roman" w:hAnsi="Times New Roman" w:eastAsia="宋体"/>
      <w:b/>
      <w:bCs/>
      <w:kern w:val="2"/>
      <w:sz w:val="30"/>
      <w:szCs w:val="30"/>
    </w:rPr>
  </w:style>
  <w:style w:type="paragraph" w:customStyle="1" w:styleId="44">
    <w:name w:val="表格文字"/>
    <w:autoRedefine/>
    <w:qFormat/>
    <w:uiPriority w:val="0"/>
    <w:pPr>
      <w:snapToGrid w:val="0"/>
      <w:spacing w:line="400" w:lineRule="exact"/>
      <w:jc w:val="both"/>
    </w:pPr>
    <w:rPr>
      <w:rFonts w:ascii="Arial" w:hAnsi="Arial" w:eastAsia="宋体" w:cs="Times New Roman"/>
      <w:kern w:val="21"/>
      <w:sz w:val="21"/>
      <w:szCs w:val="21"/>
      <w:lang w:val="en-US" w:eastAsia="zh-CN" w:bidi="ar-SA"/>
    </w:rPr>
  </w:style>
  <w:style w:type="paragraph" w:customStyle="1" w:styleId="45">
    <w:name w:val="正文（行首缩进2字）"/>
    <w:basedOn w:val="1"/>
    <w:next w:val="1"/>
    <w:autoRedefine/>
    <w:qFormat/>
    <w:uiPriority w:val="0"/>
    <w:rPr>
      <w:sz w:val="28"/>
    </w:rPr>
  </w:style>
  <w:style w:type="paragraph" w:customStyle="1" w:styleId="46">
    <w:name w:val="样式 正文文本缩进 + 行距: 1.5 倍行距"/>
    <w:basedOn w:val="1"/>
    <w:autoRedefine/>
    <w:qFormat/>
    <w:uiPriority w:val="0"/>
    <w:pPr>
      <w:spacing w:after="120"/>
      <w:ind w:left="90" w:leftChars="32" w:firstLine="560" w:firstLineChars="200"/>
    </w:pPr>
    <w:rPr>
      <w:rFonts w:cs="宋体"/>
    </w:rPr>
  </w:style>
  <w:style w:type="character" w:customStyle="1" w:styleId="47">
    <w:name w:val="标题 2 字符"/>
    <w:link w:val="3"/>
    <w:autoRedefine/>
    <w:qFormat/>
    <w:uiPriority w:val="9"/>
    <w:rPr>
      <w:rFonts w:ascii="Times New Roman" w:hAnsi="Times New Roman" w:eastAsia="宋体"/>
      <w:b/>
      <w:kern w:val="2"/>
      <w:sz w:val="30"/>
      <w:szCs w:val="30"/>
      <w:lang w:val="en-US" w:eastAsia="zh-CN" w:bidi="ar-SA"/>
    </w:rPr>
  </w:style>
  <w:style w:type="character" w:customStyle="1" w:styleId="48">
    <w:name w:val="正文缩进 字符"/>
    <w:link w:val="9"/>
    <w:autoRedefine/>
    <w:qFormat/>
    <w:uiPriority w:val="0"/>
    <w:rPr>
      <w:rFonts w:eastAsia="宋体"/>
      <w:kern w:val="2"/>
      <w:sz w:val="28"/>
      <w:lang w:val="en-US" w:eastAsia="zh-CN" w:bidi="ar-SA"/>
    </w:rPr>
  </w:style>
  <w:style w:type="character" w:customStyle="1" w:styleId="49">
    <w:name w:val="文档结构图 字符"/>
    <w:link w:val="11"/>
    <w:autoRedefine/>
    <w:qFormat/>
    <w:uiPriority w:val="0"/>
    <w:rPr>
      <w:rFonts w:ascii="宋体"/>
      <w:kern w:val="2"/>
      <w:sz w:val="18"/>
      <w:szCs w:val="18"/>
    </w:rPr>
  </w:style>
  <w:style w:type="character" w:customStyle="1" w:styleId="50">
    <w:name w:val="正文文本 字符"/>
    <w:link w:val="13"/>
    <w:autoRedefine/>
    <w:qFormat/>
    <w:uiPriority w:val="0"/>
    <w:rPr>
      <w:kern w:val="2"/>
      <w:sz w:val="21"/>
    </w:rPr>
  </w:style>
  <w:style w:type="character" w:customStyle="1" w:styleId="51">
    <w:name w:val="正文文本 2 字符"/>
    <w:link w:val="25"/>
    <w:autoRedefine/>
    <w:qFormat/>
    <w:uiPriority w:val="0"/>
    <w:rPr>
      <w:kern w:val="2"/>
      <w:sz w:val="21"/>
      <w:szCs w:val="24"/>
    </w:rPr>
  </w:style>
  <w:style w:type="character" w:customStyle="1" w:styleId="52">
    <w:name w:val="页脚 字符"/>
    <w:link w:val="21"/>
    <w:autoRedefine/>
    <w:qFormat/>
    <w:uiPriority w:val="99"/>
    <w:rPr>
      <w:kern w:val="2"/>
      <w:sz w:val="18"/>
      <w:szCs w:val="18"/>
    </w:rPr>
  </w:style>
  <w:style w:type="character" w:customStyle="1" w:styleId="53">
    <w:name w:val="纯文本 字符"/>
    <w:link w:val="18"/>
    <w:autoRedefine/>
    <w:qFormat/>
    <w:uiPriority w:val="0"/>
    <w:rPr>
      <w:rFonts w:ascii="宋体" w:hAnsi="Courier New"/>
      <w:kern w:val="2"/>
      <w:sz w:val="28"/>
    </w:rPr>
  </w:style>
  <w:style w:type="character" w:customStyle="1" w:styleId="54">
    <w:name w:val="日期 字符"/>
    <w:link w:val="19"/>
    <w:autoRedefine/>
    <w:qFormat/>
    <w:uiPriority w:val="0"/>
    <w:rPr>
      <w:rFonts w:ascii="宋体" w:eastAsia="宋体"/>
      <w:sz w:val="24"/>
      <w:lang w:val="en-US" w:eastAsia="zh-CN" w:bidi="ar-SA"/>
    </w:rPr>
  </w:style>
  <w:style w:type="character" w:customStyle="1" w:styleId="55">
    <w:name w:val="页眉 字符"/>
    <w:link w:val="22"/>
    <w:autoRedefine/>
    <w:qFormat/>
    <w:uiPriority w:val="0"/>
    <w:rPr>
      <w:rFonts w:eastAsia="宋体"/>
      <w:kern w:val="2"/>
      <w:sz w:val="18"/>
      <w:szCs w:val="18"/>
      <w:lang w:val="en-US" w:eastAsia="zh-CN" w:bidi="ar-SA"/>
    </w:rPr>
  </w:style>
  <w:style w:type="character" w:customStyle="1" w:styleId="56">
    <w:name w:val="标题 字符"/>
    <w:link w:val="27"/>
    <w:autoRedefine/>
    <w:qFormat/>
    <w:uiPriority w:val="10"/>
    <w:rPr>
      <w:rFonts w:ascii="Times New Roman" w:hAnsi="Times New Roman" w:eastAsia="宋体" w:cs="Times New Roman"/>
      <w:sz w:val="28"/>
      <w:lang w:val="pt-BR"/>
    </w:rPr>
  </w:style>
  <w:style w:type="character" w:customStyle="1" w:styleId="57">
    <w:name w:val="正文文本首行缩进 字符"/>
    <w:link w:val="29"/>
    <w:autoRedefine/>
    <w:qFormat/>
    <w:uiPriority w:val="0"/>
    <w:rPr>
      <w:szCs w:val="24"/>
    </w:rPr>
  </w:style>
  <w:style w:type="paragraph" w:customStyle="1" w:styleId="58">
    <w:name w:val="Default"/>
    <w:autoRedefine/>
    <w:qFormat/>
    <w:uiPriority w:val="0"/>
    <w:pPr>
      <w:widowControl w:val="0"/>
      <w:autoSpaceDE w:val="0"/>
      <w:autoSpaceDN w:val="0"/>
      <w:adjustRightInd w:val="0"/>
    </w:pPr>
    <w:rPr>
      <w:rFonts w:ascii="宋体" w:hAnsi="宋体" w:eastAsia="等线" w:cs="宋体"/>
      <w:color w:val="000000"/>
      <w:sz w:val="24"/>
      <w:szCs w:val="24"/>
      <w:lang w:val="en-US" w:eastAsia="zh-CN" w:bidi="ar-SA"/>
    </w:rPr>
  </w:style>
  <w:style w:type="paragraph" w:customStyle="1" w:styleId="59">
    <w:name w:val="样式35"/>
    <w:basedOn w:val="1"/>
    <w:next w:val="1"/>
    <w:autoRedefine/>
    <w:qFormat/>
    <w:uiPriority w:val="0"/>
    <w:pPr>
      <w:spacing w:line="312" w:lineRule="auto"/>
      <w:ind w:firstLine="567"/>
    </w:pPr>
    <w:rPr>
      <w:rFonts w:ascii="宋体"/>
      <w:sz w:val="28"/>
    </w:rPr>
  </w:style>
  <w:style w:type="paragraph" w:customStyle="1" w:styleId="60">
    <w:name w:val="Heading1"/>
    <w:basedOn w:val="1"/>
    <w:next w:val="1"/>
    <w:autoRedefine/>
    <w:qFormat/>
    <w:uiPriority w:val="0"/>
    <w:pPr>
      <w:keepNext/>
      <w:ind w:left="539" w:right="28"/>
      <w:textAlignment w:val="baseline"/>
    </w:pPr>
    <w:rPr>
      <w:b/>
    </w:rPr>
  </w:style>
  <w:style w:type="character" w:customStyle="1" w:styleId="61">
    <w:name w:val="words-outer-wrap"/>
    <w:autoRedefine/>
    <w:qFormat/>
    <w:uiPriority w:val="0"/>
  </w:style>
  <w:style w:type="character" w:customStyle="1" w:styleId="62">
    <w:name w:val="font81"/>
    <w:autoRedefine/>
    <w:qFormat/>
    <w:uiPriority w:val="0"/>
    <w:rPr>
      <w:rFonts w:hint="eastAsia" w:ascii="宋体" w:hAnsi="宋体" w:eastAsia="宋体" w:cs="宋体"/>
      <w:color w:val="000000"/>
      <w:sz w:val="16"/>
      <w:szCs w:val="16"/>
      <w:u w:val="none"/>
    </w:rPr>
  </w:style>
  <w:style w:type="character" w:customStyle="1" w:styleId="63">
    <w:name w:val="font21"/>
    <w:autoRedefine/>
    <w:qFormat/>
    <w:uiPriority w:val="0"/>
    <w:rPr>
      <w:rFonts w:hint="eastAsia" w:ascii="宋体" w:hAnsi="宋体" w:eastAsia="宋体" w:cs="宋体"/>
      <w:color w:val="000000"/>
      <w:sz w:val="20"/>
      <w:szCs w:val="20"/>
      <w:u w:val="none"/>
    </w:rPr>
  </w:style>
  <w:style w:type="character" w:customStyle="1" w:styleId="64">
    <w:name w:val="font112"/>
    <w:autoRedefine/>
    <w:qFormat/>
    <w:uiPriority w:val="0"/>
    <w:rPr>
      <w:rFonts w:hint="default" w:ascii="Calibri" w:hAnsi="Calibri" w:cs="Calibri"/>
      <w:color w:val="000000"/>
      <w:sz w:val="16"/>
      <w:szCs w:val="16"/>
      <w:u w:val="none"/>
    </w:rPr>
  </w:style>
  <w:style w:type="character" w:customStyle="1" w:styleId="65">
    <w:name w:val="font121"/>
    <w:autoRedefine/>
    <w:qFormat/>
    <w:uiPriority w:val="0"/>
    <w:rPr>
      <w:rFonts w:hint="default" w:ascii="Calibri" w:hAnsi="Calibri" w:cs="Calibri"/>
      <w:color w:val="000000"/>
      <w:sz w:val="21"/>
      <w:szCs w:val="21"/>
      <w:u w:val="none"/>
    </w:rPr>
  </w:style>
  <w:style w:type="character" w:customStyle="1" w:styleId="66">
    <w:name w:val="tcss01"/>
    <w:autoRedefine/>
    <w:qFormat/>
    <w:uiPriority w:val="0"/>
  </w:style>
  <w:style w:type="character" w:customStyle="1" w:styleId="67">
    <w:name w:val="font91"/>
    <w:autoRedefine/>
    <w:qFormat/>
    <w:uiPriority w:val="0"/>
    <w:rPr>
      <w:rFonts w:hint="default" w:ascii="Calibri" w:hAnsi="Calibri" w:cs="Calibri"/>
      <w:color w:val="000000"/>
      <w:sz w:val="21"/>
      <w:szCs w:val="21"/>
      <w:u w:val="none"/>
    </w:rPr>
  </w:style>
  <w:style w:type="character" w:customStyle="1" w:styleId="68">
    <w:name w:val="apple-converted-space"/>
    <w:autoRedefine/>
    <w:qFormat/>
    <w:uiPriority w:val="0"/>
  </w:style>
  <w:style w:type="character" w:customStyle="1" w:styleId="69">
    <w:name w:val="font41"/>
    <w:autoRedefine/>
    <w:qFormat/>
    <w:uiPriority w:val="0"/>
    <w:rPr>
      <w:rFonts w:hint="eastAsia" w:ascii="宋体" w:hAnsi="宋体" w:eastAsia="宋体" w:cs="宋体"/>
      <w:color w:val="000000"/>
      <w:sz w:val="20"/>
      <w:szCs w:val="20"/>
      <w:u w:val="none"/>
    </w:rPr>
  </w:style>
  <w:style w:type="character" w:customStyle="1" w:styleId="70">
    <w:name w:val="font31"/>
    <w:autoRedefine/>
    <w:qFormat/>
    <w:uiPriority w:val="0"/>
    <w:rPr>
      <w:rFonts w:hint="eastAsia" w:ascii="宋体" w:hAnsi="宋体" w:eastAsia="宋体" w:cs="宋体"/>
      <w:color w:val="000000"/>
      <w:sz w:val="21"/>
      <w:szCs w:val="21"/>
      <w:u w:val="none"/>
    </w:rPr>
  </w:style>
  <w:style w:type="character" w:customStyle="1" w:styleId="71">
    <w:name w:val="font131"/>
    <w:autoRedefine/>
    <w:qFormat/>
    <w:uiPriority w:val="0"/>
    <w:rPr>
      <w:rFonts w:ascii="Calibri" w:hAnsi="Calibri" w:cs="Calibri"/>
      <w:color w:val="000000"/>
      <w:sz w:val="20"/>
      <w:szCs w:val="20"/>
      <w:u w:val="none"/>
    </w:rPr>
  </w:style>
  <w:style w:type="character" w:customStyle="1" w:styleId="72">
    <w:name w:val="split-word"/>
    <w:autoRedefine/>
    <w:qFormat/>
    <w:uiPriority w:val="0"/>
  </w:style>
  <w:style w:type="character" w:customStyle="1" w:styleId="73">
    <w:name w:val="正文文本 Char"/>
    <w:autoRedefine/>
    <w:qFormat/>
    <w:uiPriority w:val="0"/>
    <w:rPr>
      <w:kern w:val="2"/>
      <w:sz w:val="21"/>
      <w:szCs w:val="24"/>
    </w:rPr>
  </w:style>
  <w:style w:type="character" w:customStyle="1" w:styleId="74">
    <w:name w:val="font71"/>
    <w:autoRedefine/>
    <w:qFormat/>
    <w:uiPriority w:val="0"/>
    <w:rPr>
      <w:rFonts w:hint="default" w:ascii="Calibri" w:hAnsi="Calibri" w:cs="Calibri"/>
      <w:color w:val="000000"/>
      <w:sz w:val="16"/>
      <w:szCs w:val="16"/>
      <w:u w:val="none"/>
    </w:rPr>
  </w:style>
  <w:style w:type="paragraph" w:customStyle="1" w:styleId="75">
    <w:name w:val="Char2"/>
    <w:basedOn w:val="1"/>
    <w:autoRedefine/>
    <w:qFormat/>
    <w:uiPriority w:val="0"/>
    <w:rPr>
      <w:spacing w:val="-2"/>
      <w:kern w:val="0"/>
    </w:rPr>
  </w:style>
  <w:style w:type="paragraph" w:customStyle="1" w:styleId="76">
    <w:name w:val="Table Paragraph"/>
    <w:basedOn w:val="1"/>
    <w:autoRedefine/>
    <w:qFormat/>
    <w:uiPriority w:val="1"/>
    <w:pPr>
      <w:jc w:val="center"/>
    </w:pPr>
    <w:rPr>
      <w:rFonts w:eastAsia="Times New Roman"/>
      <w:lang w:val="zh-CN" w:bidi="zh-CN"/>
    </w:rPr>
  </w:style>
  <w:style w:type="paragraph" w:customStyle="1" w:styleId="77">
    <w:name w:val="Char Char Char Char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78">
    <w:name w:val="WPSOffice手动目录 1"/>
    <w:autoRedefine/>
    <w:qFormat/>
    <w:uiPriority w:val="0"/>
    <w:rPr>
      <w:rFonts w:ascii="Times New Roman" w:hAnsi="Times New Roman" w:eastAsia="宋体" w:cs="Times New Roman"/>
      <w:lang w:val="en-US" w:eastAsia="zh-CN" w:bidi="ar-SA"/>
    </w:rPr>
  </w:style>
  <w:style w:type="paragraph" w:customStyle="1" w:styleId="79">
    <w:name w:val="表格文字1"/>
    <w:basedOn w:val="1"/>
    <w:next w:val="1"/>
    <w:autoRedefine/>
    <w:qFormat/>
    <w:uiPriority w:val="0"/>
    <w:pPr>
      <w:adjustRightInd w:val="0"/>
      <w:snapToGrid w:val="0"/>
      <w:jc w:val="center"/>
    </w:pPr>
  </w:style>
  <w:style w:type="paragraph" w:customStyle="1" w:styleId="80">
    <w:name w:val="Char Char Char Char"/>
    <w:basedOn w:val="1"/>
    <w:autoRedefine/>
    <w:qFormat/>
    <w:uiPriority w:val="0"/>
    <w:pPr>
      <w:spacing w:beforeLines="20" w:line="440" w:lineRule="atLeast"/>
      <w:ind w:firstLine="200" w:firstLineChars="200"/>
    </w:pPr>
  </w:style>
  <w:style w:type="paragraph" w:customStyle="1" w:styleId="81">
    <w:name w:val="默认段落字体 Para Char Char Char Char Char Char Char Char Char Char"/>
    <w:basedOn w:val="5"/>
    <w:autoRedefine/>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napToGrid w:val="0"/>
      <w:sz w:val="24"/>
      <w:szCs w:val="24"/>
    </w:rPr>
  </w:style>
  <w:style w:type="paragraph" w:customStyle="1" w:styleId="82">
    <w:name w:val="新标题样式"/>
    <w:basedOn w:val="1"/>
    <w:autoRedefine/>
    <w:qFormat/>
    <w:uiPriority w:val="0"/>
    <w:pPr>
      <w:tabs>
        <w:tab w:val="left" w:pos="567"/>
      </w:tabs>
    </w:pPr>
    <w:rPr>
      <w:rFonts w:eastAsia="黑体"/>
      <w:b/>
      <w:spacing w:val="20"/>
      <w:szCs w:val="20"/>
    </w:rPr>
  </w:style>
  <w:style w:type="paragraph" w:customStyle="1" w:styleId="83">
    <w:name w:val="Char"/>
    <w:basedOn w:val="1"/>
    <w:autoRedefine/>
    <w:qFormat/>
    <w:uiPriority w:val="0"/>
    <w:pPr>
      <w:ind w:firstLine="200" w:firstLineChars="200"/>
    </w:pPr>
    <w:rPr>
      <w:rFonts w:ascii="宋体" w:hAnsi="宋体" w:cs="宋体"/>
    </w:rPr>
  </w:style>
  <w:style w:type="paragraph" w:customStyle="1" w:styleId="84">
    <w:name w:val="Char Char1 Char Char Char Char Char Char Char Char Char Char Char Char Char Char Char Char"/>
    <w:basedOn w:val="1"/>
    <w:autoRedefine/>
    <w:qFormat/>
    <w:uiPriority w:val="0"/>
    <w:pPr>
      <w:adjustRightInd w:val="0"/>
      <w:spacing w:line="360" w:lineRule="atLeast"/>
    </w:pPr>
    <w:rPr>
      <w:rFonts w:ascii="Calibri" w:hAnsi="Calibri"/>
      <w:szCs w:val="22"/>
    </w:rPr>
  </w:style>
  <w:style w:type="paragraph" w:customStyle="1" w:styleId="85">
    <w:name w:val="WPSOffice手动目录 3"/>
    <w:autoRedefine/>
    <w:qFormat/>
    <w:uiPriority w:val="0"/>
    <w:pPr>
      <w:ind w:left="400" w:leftChars="400"/>
    </w:pPr>
    <w:rPr>
      <w:rFonts w:ascii="Times New Roman" w:hAnsi="Times New Roman" w:eastAsia="宋体" w:cs="Times New Roman"/>
      <w:lang w:val="en-US" w:eastAsia="zh-CN" w:bidi="ar-SA"/>
    </w:rPr>
  </w:style>
  <w:style w:type="paragraph" w:customStyle="1" w:styleId="86">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87">
    <w:name w:val="表格内容"/>
    <w:autoRedefine/>
    <w:qFormat/>
    <w:uiPriority w:val="0"/>
    <w:pPr>
      <w:widowControl w:val="0"/>
      <w:autoSpaceDE w:val="0"/>
      <w:autoSpaceDN w:val="0"/>
      <w:adjustRightInd w:val="0"/>
      <w:snapToGrid w:val="0"/>
      <w:jc w:val="center"/>
      <w:textAlignment w:val="baseline"/>
    </w:pPr>
    <w:rPr>
      <w:rFonts w:ascii="Times New Roman" w:hAnsi="Times New Roman" w:eastAsia="宋体" w:cs="Times New Roman"/>
      <w:sz w:val="21"/>
      <w:szCs w:val="18"/>
      <w:lang w:val="en-US" w:eastAsia="zh-CN" w:bidi="ar-SA"/>
    </w:rPr>
  </w:style>
  <w:style w:type="paragraph" w:customStyle="1" w:styleId="88">
    <w:name w:val="brdrw15brsp20 tqctx4153t"/>
    <w:autoRedefine/>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89">
    <w:name w:val="样式 四号 首行缩进:  2 字符"/>
    <w:basedOn w:val="1"/>
    <w:autoRedefine/>
    <w:qFormat/>
    <w:uiPriority w:val="0"/>
    <w:pPr>
      <w:spacing w:line="480" w:lineRule="atLeast"/>
      <w:ind w:firstLine="200" w:firstLineChars="200"/>
    </w:pPr>
  </w:style>
  <w:style w:type="paragraph" w:styleId="90">
    <w:name w:val="List Paragraph"/>
    <w:basedOn w:val="1"/>
    <w:autoRedefine/>
    <w:qFormat/>
    <w:uiPriority w:val="34"/>
    <w:pPr>
      <w:ind w:firstLine="420" w:firstLineChars="200"/>
    </w:pPr>
    <w:rPr>
      <w:rFonts w:ascii="Calibri" w:hAnsi="Calibri"/>
      <w:szCs w:val="22"/>
    </w:rPr>
  </w:style>
  <w:style w:type="paragraph" w:customStyle="1" w:styleId="91">
    <w:name w:val="表格"/>
    <w:basedOn w:val="1"/>
    <w:autoRedefine/>
    <w:qFormat/>
    <w:uiPriority w:val="0"/>
    <w:pPr>
      <w:keepNext/>
      <w:spacing w:line="312" w:lineRule="atLeast"/>
      <w:jc w:val="center"/>
    </w:pPr>
    <w:rPr>
      <w:szCs w:val="20"/>
    </w:rPr>
  </w:style>
  <w:style w:type="paragraph" w:customStyle="1" w:styleId="92">
    <w:name w:val="鸿达表头"/>
    <w:basedOn w:val="1"/>
    <w:link w:val="176"/>
    <w:autoRedefine/>
    <w:qFormat/>
    <w:uiPriority w:val="0"/>
    <w:pPr>
      <w:spacing w:beforeLines="50" w:afterLines="50" w:line="240" w:lineRule="auto"/>
    </w:pPr>
    <w:rPr>
      <w:b/>
    </w:rPr>
  </w:style>
  <w:style w:type="paragraph" w:customStyle="1" w:styleId="93">
    <w:name w:val="鸿达表加粗"/>
    <w:basedOn w:val="1"/>
    <w:autoRedefine/>
    <w:qFormat/>
    <w:uiPriority w:val="0"/>
    <w:pPr>
      <w:spacing w:line="240" w:lineRule="auto"/>
      <w:jc w:val="center"/>
    </w:pPr>
    <w:rPr>
      <w:rFonts w:cs="宋体"/>
      <w:b/>
      <w:color w:val="000000"/>
      <w:sz w:val="21"/>
    </w:rPr>
  </w:style>
  <w:style w:type="paragraph" w:customStyle="1" w:styleId="94">
    <w:name w:val="鸿达表格文字"/>
    <w:basedOn w:val="1"/>
    <w:autoRedefine/>
    <w:qFormat/>
    <w:uiPriority w:val="0"/>
    <w:pPr>
      <w:spacing w:line="240" w:lineRule="auto"/>
      <w:contextualSpacing/>
      <w:jc w:val="center"/>
    </w:pPr>
    <w:rPr>
      <w:sz w:val="21"/>
      <w:szCs w:val="21"/>
    </w:rPr>
  </w:style>
  <w:style w:type="paragraph" w:customStyle="1" w:styleId="95">
    <w:name w:val="段落"/>
    <w:basedOn w:val="1"/>
    <w:link w:val="152"/>
    <w:autoRedefine/>
    <w:qFormat/>
    <w:uiPriority w:val="0"/>
    <w:pPr>
      <w:spacing w:line="500" w:lineRule="exact"/>
    </w:pPr>
    <w:rPr>
      <w:szCs w:val="20"/>
    </w:rPr>
  </w:style>
  <w:style w:type="paragraph" w:customStyle="1" w:styleId="96">
    <w:name w:val="正文1"/>
    <w:basedOn w:val="1"/>
    <w:link w:val="148"/>
    <w:autoRedefine/>
    <w:qFormat/>
    <w:uiPriority w:val="0"/>
    <w:pPr>
      <w:jc w:val="center"/>
    </w:pPr>
    <w:rPr>
      <w:szCs w:val="21"/>
    </w:rPr>
  </w:style>
  <w:style w:type="paragraph" w:customStyle="1" w:styleId="97">
    <w:name w:val="表头 Char"/>
    <w:basedOn w:val="1"/>
    <w:link w:val="177"/>
    <w:autoRedefine/>
    <w:qFormat/>
    <w:uiPriority w:val="0"/>
    <w:pPr>
      <w:spacing w:before="200" w:line="500" w:lineRule="exact"/>
    </w:pPr>
    <w:rPr>
      <w:rFonts w:ascii="黑体" w:eastAsia="黑体"/>
      <w:spacing w:val="20"/>
    </w:rPr>
  </w:style>
  <w:style w:type="paragraph" w:customStyle="1" w:styleId="98">
    <w:name w:val="表格字体居中"/>
    <w:basedOn w:val="1"/>
    <w:autoRedefine/>
    <w:qFormat/>
    <w:uiPriority w:val="0"/>
    <w:pPr>
      <w:spacing w:line="320" w:lineRule="exact"/>
      <w:jc w:val="center"/>
    </w:pPr>
    <w:rPr>
      <w:rFonts w:cs="宋体"/>
      <w:szCs w:val="20"/>
    </w:rPr>
  </w:style>
  <w:style w:type="paragraph" w:customStyle="1" w:styleId="99">
    <w:name w:val="五号表格"/>
    <w:basedOn w:val="1"/>
    <w:autoRedefine/>
    <w:qFormat/>
    <w:uiPriority w:val="0"/>
    <w:pPr>
      <w:jc w:val="center"/>
    </w:pPr>
    <w:rPr>
      <w:rFonts w:cs="宋体"/>
      <w:szCs w:val="20"/>
    </w:rPr>
  </w:style>
  <w:style w:type="paragraph" w:customStyle="1" w:styleId="100">
    <w:name w:val="表格字体"/>
    <w:basedOn w:val="96"/>
    <w:autoRedefine/>
    <w:qFormat/>
    <w:uiPriority w:val="0"/>
    <w:pPr>
      <w:adjustRightInd w:val="0"/>
      <w:spacing w:line="300" w:lineRule="exact"/>
    </w:pPr>
    <w:rPr>
      <w:sz w:val="21"/>
    </w:rPr>
  </w:style>
  <w:style w:type="paragraph" w:customStyle="1" w:styleId="101">
    <w:name w:val="报告正文"/>
    <w:basedOn w:val="1"/>
    <w:autoRedefine/>
    <w:qFormat/>
    <w:uiPriority w:val="0"/>
    <w:pPr>
      <w:spacing w:line="520" w:lineRule="exact"/>
      <w:ind w:firstLine="200" w:firstLineChars="200"/>
    </w:pPr>
    <w:rPr>
      <w:color w:val="000000"/>
    </w:rPr>
  </w:style>
  <w:style w:type="paragraph" w:customStyle="1" w:styleId="102">
    <w:name w:val="鸿达图标"/>
    <w:basedOn w:val="1"/>
    <w:autoRedefine/>
    <w:qFormat/>
    <w:uiPriority w:val="0"/>
    <w:pPr>
      <w:spacing w:line="240" w:lineRule="auto"/>
      <w:jc w:val="center"/>
    </w:pPr>
    <w:rPr>
      <w:b/>
    </w:rPr>
  </w:style>
  <w:style w:type="paragraph" w:customStyle="1" w:styleId="103">
    <w:name w:val="表字加粗"/>
    <w:basedOn w:val="1"/>
    <w:autoRedefine/>
    <w:qFormat/>
    <w:uiPriority w:val="0"/>
    <w:pPr>
      <w:jc w:val="center"/>
    </w:pPr>
    <w:rPr>
      <w:rFonts w:cs="宋体"/>
      <w:b/>
      <w:bCs/>
      <w:szCs w:val="20"/>
    </w:rPr>
  </w:style>
  <w:style w:type="paragraph" w:customStyle="1" w:styleId="104">
    <w:name w:val="鸿达正文"/>
    <w:basedOn w:val="1"/>
    <w:autoRedefine/>
    <w:qFormat/>
    <w:uiPriority w:val="0"/>
    <w:pPr>
      <w:ind w:firstLine="480"/>
    </w:pPr>
    <w:rPr>
      <w:rFonts w:ascii="宋体" w:hAnsi="宋体" w:eastAsia="Times New Roman"/>
    </w:rPr>
  </w:style>
  <w:style w:type="paragraph" w:customStyle="1" w:styleId="105">
    <w:name w:val="鸿达表格段落"/>
    <w:basedOn w:val="1"/>
    <w:autoRedefine/>
    <w:qFormat/>
    <w:uiPriority w:val="0"/>
    <w:pPr>
      <w:spacing w:line="240" w:lineRule="auto"/>
      <w:jc w:val="left"/>
    </w:pPr>
    <w:rPr>
      <w:sz w:val="21"/>
    </w:rPr>
  </w:style>
  <w:style w:type="paragraph" w:customStyle="1" w:styleId="106">
    <w:name w:val="正文鸿泰"/>
    <w:basedOn w:val="1"/>
    <w:autoRedefine/>
    <w:qFormat/>
    <w:uiPriority w:val="0"/>
    <w:pPr>
      <w:spacing w:line="480" w:lineRule="exact"/>
      <w:ind w:firstLine="480" w:firstLineChars="200"/>
    </w:pPr>
  </w:style>
  <w:style w:type="paragraph" w:customStyle="1" w:styleId="107">
    <w:name w:val="图"/>
    <w:basedOn w:val="1"/>
    <w:autoRedefine/>
    <w:qFormat/>
    <w:uiPriority w:val="0"/>
    <w:pPr>
      <w:jc w:val="center"/>
    </w:pPr>
    <w:rPr>
      <w:rFonts w:eastAsia="黑体"/>
    </w:rPr>
  </w:style>
  <w:style w:type="paragraph" w:customStyle="1" w:styleId="108">
    <w:name w:val="1.正文"/>
    <w:basedOn w:val="1"/>
    <w:autoRedefine/>
    <w:qFormat/>
    <w:uiPriority w:val="0"/>
    <w:rPr>
      <w:rFonts w:cs="宋体"/>
    </w:rPr>
  </w:style>
  <w:style w:type="paragraph" w:customStyle="1" w:styleId="109">
    <w:name w:val="表头专用"/>
    <w:basedOn w:val="1"/>
    <w:autoRedefine/>
    <w:qFormat/>
    <w:uiPriority w:val="0"/>
    <w:pPr>
      <w:numPr>
        <w:ilvl w:val="0"/>
        <w:numId w:val="3"/>
      </w:numPr>
      <w:spacing w:line="520" w:lineRule="exact"/>
      <w:jc w:val="center"/>
    </w:pPr>
    <w:rPr>
      <w:b/>
    </w:rPr>
  </w:style>
  <w:style w:type="paragraph" w:customStyle="1" w:styleId="110">
    <w:name w:val="样式 表格文字 + 居中1"/>
    <w:basedOn w:val="1"/>
    <w:autoRedefine/>
    <w:qFormat/>
    <w:uiPriority w:val="0"/>
    <w:pPr>
      <w:adjustRightInd w:val="0"/>
      <w:snapToGrid w:val="0"/>
      <w:spacing w:line="400" w:lineRule="exact"/>
      <w:jc w:val="center"/>
    </w:pPr>
    <w:rPr>
      <w:rFonts w:cs="宋体"/>
      <w:sz w:val="21"/>
      <w:szCs w:val="20"/>
    </w:rPr>
  </w:style>
  <w:style w:type="paragraph" w:customStyle="1" w:styleId="111">
    <w:name w:val="表头1"/>
    <w:basedOn w:val="112"/>
    <w:autoRedefine/>
    <w:qFormat/>
    <w:uiPriority w:val="34"/>
    <w:pPr>
      <w:adjustRightInd w:val="0"/>
      <w:snapToGrid w:val="0"/>
      <w:jc w:val="center"/>
    </w:pPr>
    <w:rPr>
      <w:b/>
      <w:sz w:val="21"/>
      <w:szCs w:val="22"/>
    </w:rPr>
  </w:style>
  <w:style w:type="paragraph" w:customStyle="1" w:styleId="112">
    <w:name w:val="表头"/>
    <w:basedOn w:val="1"/>
    <w:link w:val="180"/>
    <w:autoRedefine/>
    <w:qFormat/>
    <w:uiPriority w:val="0"/>
    <w:pPr>
      <w:spacing w:before="200" w:line="500" w:lineRule="exact"/>
    </w:pPr>
    <w:rPr>
      <w:rFonts w:ascii="黑体" w:eastAsia="黑体"/>
      <w:spacing w:val="20"/>
      <w:kern w:val="0"/>
    </w:rPr>
  </w:style>
  <w:style w:type="paragraph" w:customStyle="1" w:styleId="113">
    <w:name w:val="样式12"/>
    <w:basedOn w:val="114"/>
    <w:autoRedefine/>
    <w:qFormat/>
    <w:uiPriority w:val="0"/>
    <w:pPr>
      <w:spacing w:line="320" w:lineRule="exact"/>
    </w:pPr>
    <w:rPr>
      <w:rFonts w:ascii="Times New Roman"/>
      <w:sz w:val="21"/>
      <w:szCs w:val="21"/>
    </w:rPr>
  </w:style>
  <w:style w:type="paragraph" w:customStyle="1" w:styleId="114">
    <w:name w:val="表格正文"/>
    <w:basedOn w:val="9"/>
    <w:autoRedefine/>
    <w:qFormat/>
    <w:uiPriority w:val="0"/>
    <w:pPr>
      <w:autoSpaceDE w:val="0"/>
      <w:autoSpaceDN w:val="0"/>
      <w:spacing w:line="360" w:lineRule="exact"/>
      <w:jc w:val="center"/>
      <w:textAlignment w:val="bottom"/>
    </w:pPr>
    <w:rPr>
      <w:rFonts w:ascii="宋体"/>
      <w:kern w:val="0"/>
      <w:sz w:val="24"/>
    </w:rPr>
  </w:style>
  <w:style w:type="paragraph" w:customStyle="1" w:styleId="115">
    <w:name w:val="xry表格文字"/>
    <w:basedOn w:val="1"/>
    <w:autoRedefine/>
    <w:qFormat/>
    <w:uiPriority w:val="0"/>
    <w:pPr>
      <w:spacing w:line="240" w:lineRule="auto"/>
      <w:jc w:val="center"/>
    </w:pPr>
    <w:rPr>
      <w:kern w:val="0"/>
      <w:sz w:val="20"/>
      <w:lang w:val="zh-CN"/>
    </w:rPr>
  </w:style>
  <w:style w:type="paragraph" w:customStyle="1" w:styleId="116">
    <w:name w:val="正文22"/>
    <w:autoRedefine/>
    <w:qFormat/>
    <w:uiPriority w:val="0"/>
    <w:pPr>
      <w:adjustRightInd w:val="0"/>
      <w:snapToGrid w:val="0"/>
      <w:spacing w:line="480" w:lineRule="atLeast"/>
      <w:jc w:val="center"/>
    </w:pPr>
    <w:rPr>
      <w:rFonts w:ascii="宋体" w:hAnsi="Times New Roman" w:eastAsia="宋体" w:cs="Times New Roman"/>
      <w:snapToGrid w:val="0"/>
      <w:spacing w:val="6"/>
      <w:sz w:val="21"/>
      <w:lang w:val="en-US" w:eastAsia="zh-CN" w:bidi="ar-SA"/>
    </w:rPr>
  </w:style>
  <w:style w:type="paragraph" w:customStyle="1" w:styleId="117">
    <w:name w:val="鸿达公式"/>
    <w:basedOn w:val="1"/>
    <w:autoRedefine/>
    <w:qFormat/>
    <w:uiPriority w:val="0"/>
    <w:pPr>
      <w:spacing w:beforeLines="50" w:afterLines="50" w:line="240" w:lineRule="auto"/>
      <w:jc w:val="center"/>
    </w:pPr>
    <w:rPr>
      <w:szCs w:val="28"/>
    </w:rPr>
  </w:style>
  <w:style w:type="paragraph" w:customStyle="1" w:styleId="118">
    <w:name w:val="表格中文字"/>
    <w:basedOn w:val="1"/>
    <w:autoRedefine/>
    <w:qFormat/>
    <w:uiPriority w:val="0"/>
    <w:pPr>
      <w:spacing w:line="240" w:lineRule="auto"/>
      <w:jc w:val="center"/>
    </w:pPr>
    <w:rPr>
      <w:kern w:val="0"/>
      <w:sz w:val="20"/>
      <w:lang w:val="zh-CN"/>
    </w:rPr>
  </w:style>
  <w:style w:type="character" w:customStyle="1" w:styleId="119">
    <w:name w:val="font51"/>
    <w:autoRedefine/>
    <w:qFormat/>
    <w:uiPriority w:val="0"/>
    <w:rPr>
      <w:rFonts w:hint="default" w:ascii="Times New Roman" w:hAnsi="Times New Roman" w:cs="Times New Roman"/>
      <w:color w:val="000000"/>
      <w:sz w:val="22"/>
      <w:szCs w:val="22"/>
      <w:u w:val="none"/>
      <w:vertAlign w:val="superscript"/>
    </w:rPr>
  </w:style>
  <w:style w:type="character" w:customStyle="1" w:styleId="120">
    <w:name w:val="16"/>
    <w:autoRedefine/>
    <w:qFormat/>
    <w:uiPriority w:val="0"/>
    <w:rPr>
      <w:rFonts w:hint="eastAsia" w:ascii="宋体" w:hAnsi="宋体" w:eastAsia="宋体" w:cs="宋体"/>
      <w:color w:val="000000"/>
      <w:sz w:val="20"/>
      <w:szCs w:val="20"/>
    </w:rPr>
  </w:style>
  <w:style w:type="paragraph" w:customStyle="1" w:styleId="121">
    <w:name w:val="Char Char1 Char"/>
    <w:basedOn w:val="1"/>
    <w:autoRedefine/>
    <w:qFormat/>
    <w:uiPriority w:val="0"/>
    <w:pPr>
      <w:ind w:firstLine="200" w:firstLineChars="200"/>
    </w:pPr>
    <w:rPr>
      <w:rFonts w:ascii="宋体" w:hAnsi="宋体" w:cs="宋体"/>
    </w:rPr>
  </w:style>
  <w:style w:type="paragraph" w:customStyle="1" w:styleId="122">
    <w:name w:val="表格标题"/>
    <w:basedOn w:val="1"/>
    <w:next w:val="8"/>
    <w:autoRedefine/>
    <w:qFormat/>
    <w:uiPriority w:val="0"/>
    <w:pPr>
      <w:spacing w:line="360" w:lineRule="auto"/>
      <w:ind w:firstLine="1120" w:firstLineChars="400"/>
      <w:jc w:val="left"/>
      <w:outlineLvl w:val="5"/>
    </w:pPr>
    <w:rPr>
      <w:b/>
      <w:bCs/>
      <w:sz w:val="24"/>
    </w:rPr>
  </w:style>
  <w:style w:type="character" w:customStyle="1" w:styleId="123">
    <w:name w:val="正文斜体 Char11"/>
    <w:autoRedefine/>
    <w:qFormat/>
    <w:uiPriority w:val="0"/>
    <w:rPr>
      <w:rFonts w:ascii="宋体" w:hAnsi="宋体" w:eastAsia="宋体" w:cs="宋体"/>
      <w:i/>
      <w:iCs/>
      <w:kern w:val="2"/>
      <w:sz w:val="24"/>
      <w:szCs w:val="24"/>
      <w:lang w:val="en-US" w:eastAsia="zh-CN" w:bidi="ar-SA"/>
    </w:rPr>
  </w:style>
  <w:style w:type="character" w:customStyle="1" w:styleId="124">
    <w:name w:val="正文修改 Char171"/>
    <w:autoRedefine/>
    <w:qFormat/>
    <w:uiPriority w:val="0"/>
    <w:rPr>
      <w:rFonts w:hAnsi="宋体"/>
      <w:color w:val="000000"/>
    </w:rPr>
  </w:style>
  <w:style w:type="character" w:customStyle="1" w:styleId="125">
    <w:name w:val="20"/>
    <w:autoRedefine/>
    <w:qFormat/>
    <w:uiPriority w:val="0"/>
    <w:rPr>
      <w:rFonts w:hint="default" w:ascii="Times New Roman" w:hAnsi="Times New Roman" w:cs="Times New Roman"/>
      <w:color w:val="000000"/>
      <w:sz w:val="20"/>
      <w:szCs w:val="20"/>
    </w:rPr>
  </w:style>
  <w:style w:type="character" w:customStyle="1" w:styleId="126">
    <w:name w:val="21"/>
    <w:autoRedefine/>
    <w:qFormat/>
    <w:uiPriority w:val="0"/>
    <w:rPr>
      <w:rFonts w:hint="default" w:ascii="Times New Roman" w:hAnsi="Times New Roman" w:cs="Times New Roman"/>
      <w:color w:val="000000"/>
      <w:sz w:val="21"/>
      <w:szCs w:val="21"/>
    </w:rPr>
  </w:style>
  <w:style w:type="character" w:customStyle="1" w:styleId="127">
    <w:name w:val="17"/>
    <w:autoRedefine/>
    <w:qFormat/>
    <w:uiPriority w:val="0"/>
    <w:rPr>
      <w:rFonts w:hint="default" w:ascii="Times New Roman" w:hAnsi="Times New Roman" w:cs="Times New Roman"/>
      <w:color w:val="000000"/>
      <w:sz w:val="22"/>
      <w:szCs w:val="22"/>
      <w:vertAlign w:val="superscript"/>
    </w:rPr>
  </w:style>
  <w:style w:type="character" w:customStyle="1" w:styleId="128">
    <w:name w:val="18"/>
    <w:autoRedefine/>
    <w:qFormat/>
    <w:uiPriority w:val="0"/>
    <w:rPr>
      <w:rFonts w:hint="eastAsia" w:ascii="宋体" w:hAnsi="宋体" w:eastAsia="宋体" w:cs="宋体"/>
      <w:color w:val="000000"/>
      <w:sz w:val="20"/>
      <w:szCs w:val="20"/>
    </w:rPr>
  </w:style>
  <w:style w:type="character" w:customStyle="1" w:styleId="129">
    <w:name w:val="19"/>
    <w:autoRedefine/>
    <w:qFormat/>
    <w:uiPriority w:val="0"/>
    <w:rPr>
      <w:rFonts w:hint="default" w:ascii="Times New Roman" w:hAnsi="Times New Roman" w:cs="Times New Roman"/>
      <w:color w:val="000000"/>
      <w:sz w:val="20"/>
      <w:szCs w:val="20"/>
    </w:rPr>
  </w:style>
  <w:style w:type="paragraph" w:customStyle="1" w:styleId="130">
    <w:name w:val="A正文"/>
    <w:basedOn w:val="1"/>
    <w:autoRedefine/>
    <w:qFormat/>
    <w:uiPriority w:val="0"/>
    <w:pPr>
      <w:widowControl/>
      <w:overflowPunct w:val="0"/>
      <w:autoSpaceDE w:val="0"/>
      <w:autoSpaceDN w:val="0"/>
      <w:adjustRightInd w:val="0"/>
      <w:jc w:val="left"/>
      <w:textAlignment w:val="baseline"/>
    </w:pPr>
    <w:rPr>
      <w:rFonts w:eastAsia="仿宋_GB2312"/>
      <w:kern w:val="0"/>
    </w:rPr>
  </w:style>
  <w:style w:type="character" w:customStyle="1" w:styleId="131">
    <w:name w:val="标题 1 Char"/>
    <w:autoRedefine/>
    <w:qFormat/>
    <w:locked/>
    <w:uiPriority w:val="9"/>
    <w:rPr>
      <w:rFonts w:eastAsia="黑体"/>
      <w:bCs/>
      <w:kern w:val="44"/>
      <w:sz w:val="24"/>
      <w:szCs w:val="44"/>
    </w:rPr>
  </w:style>
  <w:style w:type="paragraph" w:customStyle="1" w:styleId="132">
    <w:name w:val="4"/>
    <w:basedOn w:val="1"/>
    <w:next w:val="29"/>
    <w:link w:val="133"/>
    <w:autoRedefine/>
    <w:qFormat/>
    <w:uiPriority w:val="0"/>
    <w:pPr>
      <w:widowControl/>
      <w:spacing w:line="240" w:lineRule="auto"/>
      <w:ind w:firstLine="420" w:firstLineChars="100"/>
      <w:jc w:val="center"/>
    </w:pPr>
    <w:rPr>
      <w:rFonts w:ascii="Calibri" w:hAnsi="Calibri" w:cs="Calibri"/>
      <w:sz w:val="21"/>
    </w:rPr>
  </w:style>
  <w:style w:type="character" w:customStyle="1" w:styleId="133">
    <w:name w:val="正文首行缩进 Char"/>
    <w:link w:val="132"/>
    <w:autoRedefine/>
    <w:qFormat/>
    <w:uiPriority w:val="0"/>
    <w:rPr>
      <w:rFonts w:ascii="Calibri" w:hAnsi="Calibri" w:cs="Calibri"/>
      <w:kern w:val="2"/>
      <w:sz w:val="21"/>
      <w:szCs w:val="24"/>
    </w:rPr>
  </w:style>
  <w:style w:type="paragraph" w:customStyle="1" w:styleId="134">
    <w:name w:val="标题三"/>
    <w:basedOn w:val="1"/>
    <w:link w:val="135"/>
    <w:autoRedefine/>
    <w:qFormat/>
    <w:uiPriority w:val="0"/>
    <w:pPr>
      <w:widowControl/>
      <w:spacing w:line="240" w:lineRule="auto"/>
      <w:jc w:val="center"/>
    </w:pPr>
    <w:rPr>
      <w:rFonts w:ascii="Calibri" w:hAnsi="Calibri"/>
      <w:sz w:val="21"/>
    </w:rPr>
  </w:style>
  <w:style w:type="character" w:customStyle="1" w:styleId="135">
    <w:name w:val="标题三 Char"/>
    <w:link w:val="134"/>
    <w:autoRedefine/>
    <w:qFormat/>
    <w:uiPriority w:val="0"/>
    <w:rPr>
      <w:rFonts w:ascii="Calibri" w:hAnsi="Calibri"/>
      <w:kern w:val="2"/>
      <w:sz w:val="21"/>
      <w:szCs w:val="24"/>
    </w:rPr>
  </w:style>
  <w:style w:type="paragraph" w:customStyle="1" w:styleId="136">
    <w:name w:val="15"/>
    <w:basedOn w:val="1"/>
    <w:autoRedefine/>
    <w:qFormat/>
    <w:uiPriority w:val="0"/>
    <w:pPr>
      <w:widowControl/>
      <w:spacing w:before="100" w:beforeAutospacing="1" w:after="100" w:afterAutospacing="1"/>
      <w:ind w:firstLine="510"/>
    </w:pPr>
    <w:rPr>
      <w:spacing w:val="8"/>
      <w:kern w:val="0"/>
    </w:rPr>
  </w:style>
  <w:style w:type="paragraph" w:customStyle="1" w:styleId="137">
    <w:name w:val="默认 A"/>
    <w:autoRedefine/>
    <w:qFormat/>
    <w:uiPriority w:val="0"/>
    <w:pPr>
      <w:jc w:val="center"/>
    </w:pPr>
    <w:rPr>
      <w:rFonts w:ascii="Helvetica" w:hAnsi="Helvetica" w:eastAsia="Arial Unicode MS" w:cs="Arial Unicode MS"/>
      <w:color w:val="000000"/>
      <w:sz w:val="22"/>
      <w:szCs w:val="22"/>
      <w:u w:color="000000"/>
      <w:lang w:val="en-US" w:eastAsia="zh-CN" w:bidi="ar-SA"/>
    </w:rPr>
  </w:style>
  <w:style w:type="paragraph" w:customStyle="1" w:styleId="138">
    <w:name w:val="3"/>
    <w:basedOn w:val="1"/>
    <w:next w:val="29"/>
    <w:autoRedefine/>
    <w:qFormat/>
    <w:uiPriority w:val="0"/>
    <w:pPr>
      <w:widowControl/>
      <w:spacing w:line="240" w:lineRule="auto"/>
      <w:ind w:firstLine="420" w:firstLineChars="100"/>
      <w:jc w:val="center"/>
    </w:pPr>
    <w:rPr>
      <w:rFonts w:ascii="Calibri" w:hAnsi="Calibri" w:cs="Calibri"/>
      <w:sz w:val="21"/>
    </w:rPr>
  </w:style>
  <w:style w:type="paragraph" w:customStyle="1" w:styleId="139">
    <w:name w:val="表字体"/>
    <w:basedOn w:val="1"/>
    <w:next w:val="1"/>
    <w:link w:val="140"/>
    <w:autoRedefine/>
    <w:qFormat/>
    <w:uiPriority w:val="0"/>
    <w:pPr>
      <w:widowControl/>
      <w:spacing w:line="240" w:lineRule="auto"/>
      <w:jc w:val="center"/>
    </w:pPr>
    <w:rPr>
      <w:kern w:val="0"/>
    </w:rPr>
  </w:style>
  <w:style w:type="character" w:customStyle="1" w:styleId="140">
    <w:name w:val="表字体 Char"/>
    <w:link w:val="139"/>
    <w:autoRedefine/>
    <w:qFormat/>
    <w:uiPriority w:val="0"/>
    <w:rPr>
      <w:sz w:val="24"/>
      <w:szCs w:val="24"/>
    </w:rPr>
  </w:style>
  <w:style w:type="paragraph" w:customStyle="1" w:styleId="141">
    <w:name w:val="我的正文"/>
    <w:basedOn w:val="1"/>
    <w:link w:val="142"/>
    <w:autoRedefine/>
    <w:qFormat/>
    <w:uiPriority w:val="0"/>
    <w:pPr>
      <w:spacing w:line="312" w:lineRule="auto"/>
      <w:ind w:firstLine="200" w:firstLineChars="200"/>
    </w:pPr>
    <w:rPr>
      <w:rFonts w:cs="宋体"/>
      <w:szCs w:val="20"/>
    </w:rPr>
  </w:style>
  <w:style w:type="character" w:customStyle="1" w:styleId="142">
    <w:name w:val="我的正文 Char"/>
    <w:link w:val="141"/>
    <w:autoRedefine/>
    <w:qFormat/>
    <w:locked/>
    <w:uiPriority w:val="0"/>
    <w:rPr>
      <w:rFonts w:cs="宋体"/>
      <w:kern w:val="2"/>
      <w:sz w:val="24"/>
    </w:rPr>
  </w:style>
  <w:style w:type="paragraph" w:customStyle="1" w:styleId="143">
    <w:name w:val="样式 小四 黑色 行距: 1.5 倍行距 首行缩进:  2 字符1"/>
    <w:basedOn w:val="1"/>
    <w:autoRedefine/>
    <w:qFormat/>
    <w:uiPriority w:val="0"/>
    <w:pPr>
      <w:spacing w:line="520" w:lineRule="exact"/>
      <w:ind w:firstLine="200" w:firstLineChars="200"/>
    </w:pPr>
    <w:rPr>
      <w:rFonts w:ascii="Calibri" w:hAnsi="Calibri" w:cs="宋体"/>
      <w:color w:val="000000"/>
      <w:szCs w:val="22"/>
    </w:rPr>
  </w:style>
  <w:style w:type="character" w:customStyle="1" w:styleId="144">
    <w:name w:val="表文字 Char"/>
    <w:link w:val="145"/>
    <w:autoRedefine/>
    <w:qFormat/>
    <w:uiPriority w:val="0"/>
    <w:rPr>
      <w:sz w:val="24"/>
    </w:rPr>
  </w:style>
  <w:style w:type="paragraph" w:customStyle="1" w:styleId="145">
    <w:name w:val="表文字"/>
    <w:basedOn w:val="1"/>
    <w:link w:val="144"/>
    <w:autoRedefine/>
    <w:qFormat/>
    <w:uiPriority w:val="0"/>
    <w:pPr>
      <w:widowControl/>
      <w:overflowPunct w:val="0"/>
      <w:autoSpaceDE w:val="0"/>
      <w:autoSpaceDN w:val="0"/>
      <w:adjustRightInd w:val="0"/>
      <w:spacing w:line="240" w:lineRule="atLeast"/>
      <w:jc w:val="center"/>
      <w:textAlignment w:val="baseline"/>
    </w:pPr>
    <w:rPr>
      <w:kern w:val="0"/>
      <w:szCs w:val="20"/>
    </w:rPr>
  </w:style>
  <w:style w:type="character" w:customStyle="1" w:styleId="146">
    <w:name w:val="表文字 Char Char"/>
    <w:autoRedefine/>
    <w:qFormat/>
    <w:locked/>
    <w:uiPriority w:val="0"/>
    <w:rPr>
      <w:rFonts w:eastAsia="宋体"/>
      <w:sz w:val="24"/>
      <w:lang w:val="en-US" w:eastAsia="zh-CN" w:bidi="ar-SA"/>
    </w:rPr>
  </w:style>
  <w:style w:type="character" w:customStyle="1" w:styleId="147">
    <w:name w:val="标题 3 Char"/>
    <w:autoRedefine/>
    <w:qFormat/>
    <w:uiPriority w:val="9"/>
    <w:rPr>
      <w:rFonts w:ascii="宋体" w:hAnsi="宋体" w:cs="宋体"/>
      <w:bCs/>
      <w:sz w:val="24"/>
      <w:szCs w:val="32"/>
    </w:rPr>
  </w:style>
  <w:style w:type="character" w:customStyle="1" w:styleId="148">
    <w:name w:val="正文1 Char"/>
    <w:link w:val="96"/>
    <w:autoRedefine/>
    <w:qFormat/>
    <w:uiPriority w:val="0"/>
    <w:rPr>
      <w:kern w:val="2"/>
      <w:sz w:val="24"/>
      <w:szCs w:val="21"/>
    </w:rPr>
  </w:style>
  <w:style w:type="paragraph" w:customStyle="1" w:styleId="149">
    <w:name w:val="2"/>
    <w:basedOn w:val="1"/>
    <w:next w:val="29"/>
    <w:autoRedefine/>
    <w:qFormat/>
    <w:uiPriority w:val="0"/>
    <w:pPr>
      <w:widowControl/>
      <w:spacing w:line="240" w:lineRule="auto"/>
      <w:ind w:firstLine="420" w:firstLineChars="100"/>
      <w:jc w:val="center"/>
    </w:pPr>
    <w:rPr>
      <w:rFonts w:ascii="Calibri" w:hAnsi="Calibri" w:cs="Calibri"/>
      <w:sz w:val="21"/>
    </w:rPr>
  </w:style>
  <w:style w:type="character" w:customStyle="1" w:styleId="150">
    <w:name w:val="标题二 Char"/>
    <w:link w:val="151"/>
    <w:autoRedefine/>
    <w:qFormat/>
    <w:uiPriority w:val="0"/>
    <w:rPr>
      <w:kern w:val="2"/>
      <w:sz w:val="21"/>
      <w:szCs w:val="24"/>
    </w:rPr>
  </w:style>
  <w:style w:type="paragraph" w:customStyle="1" w:styleId="151">
    <w:name w:val="标题二"/>
    <w:basedOn w:val="1"/>
    <w:link w:val="150"/>
    <w:autoRedefine/>
    <w:qFormat/>
    <w:uiPriority w:val="0"/>
    <w:pPr>
      <w:widowControl/>
      <w:spacing w:line="240" w:lineRule="auto"/>
      <w:jc w:val="center"/>
    </w:pPr>
    <w:rPr>
      <w:sz w:val="21"/>
    </w:rPr>
  </w:style>
  <w:style w:type="character" w:customStyle="1" w:styleId="152">
    <w:name w:val="段落 Char Char Char"/>
    <w:link w:val="95"/>
    <w:autoRedefine/>
    <w:qFormat/>
    <w:uiPriority w:val="0"/>
    <w:rPr>
      <w:kern w:val="2"/>
      <w:sz w:val="24"/>
    </w:rPr>
  </w:style>
  <w:style w:type="character" w:customStyle="1" w:styleId="153">
    <w:name w:val="段落 Char Char Char Char"/>
    <w:link w:val="4"/>
    <w:autoRedefine/>
    <w:qFormat/>
    <w:uiPriority w:val="0"/>
    <w:rPr>
      <w:sz w:val="28"/>
      <w:szCs w:val="28"/>
    </w:rPr>
  </w:style>
  <w:style w:type="paragraph" w:customStyle="1" w:styleId="154">
    <w:name w:val="1"/>
    <w:basedOn w:val="1"/>
    <w:next w:val="29"/>
    <w:autoRedefine/>
    <w:qFormat/>
    <w:uiPriority w:val="0"/>
    <w:pPr>
      <w:widowControl/>
      <w:spacing w:line="240" w:lineRule="auto"/>
      <w:ind w:firstLine="420" w:firstLineChars="100"/>
      <w:jc w:val="center"/>
    </w:pPr>
    <w:rPr>
      <w:rFonts w:ascii="Calibri" w:hAnsi="Calibri" w:cs="Calibri"/>
      <w:sz w:val="21"/>
    </w:rPr>
  </w:style>
  <w:style w:type="character" w:customStyle="1" w:styleId="155">
    <w:name w:val="标题 6 字符"/>
    <w:basedOn w:val="33"/>
    <w:autoRedefine/>
    <w:semiHidden/>
    <w:qFormat/>
    <w:uiPriority w:val="0"/>
    <w:rPr>
      <w:rFonts w:asciiTheme="majorHAnsi" w:hAnsiTheme="majorHAnsi" w:eastAsiaTheme="majorEastAsia" w:cstheme="majorBidi"/>
      <w:b/>
      <w:bCs/>
      <w:kern w:val="2"/>
      <w:sz w:val="24"/>
      <w:szCs w:val="24"/>
    </w:rPr>
  </w:style>
  <w:style w:type="character" w:customStyle="1" w:styleId="156">
    <w:name w:val="标题 6 字符1"/>
    <w:link w:val="8"/>
    <w:autoRedefine/>
    <w:qFormat/>
    <w:uiPriority w:val="0"/>
    <w:rPr>
      <w:rFonts w:ascii="Cambria" w:hAnsi="Cambria"/>
      <w:b/>
      <w:bCs/>
      <w:sz w:val="24"/>
      <w:szCs w:val="24"/>
    </w:rPr>
  </w:style>
  <w:style w:type="paragraph" w:customStyle="1" w:styleId="157">
    <w:name w:val="表格填充1"/>
    <w:basedOn w:val="1"/>
    <w:autoRedefine/>
    <w:qFormat/>
    <w:uiPriority w:val="0"/>
    <w:pPr>
      <w:adjustRightInd w:val="0"/>
      <w:snapToGrid w:val="0"/>
      <w:spacing w:line="330" w:lineRule="exact"/>
    </w:pPr>
    <w:rPr>
      <w:snapToGrid w:val="0"/>
      <w:sz w:val="21"/>
      <w:szCs w:val="18"/>
    </w:rPr>
  </w:style>
  <w:style w:type="character" w:customStyle="1" w:styleId="158">
    <w:name w:val="正文缩进 Char1"/>
    <w:autoRedefine/>
    <w:qFormat/>
    <w:uiPriority w:val="0"/>
    <w:rPr>
      <w:rFonts w:ascii="Calibri" w:hAnsi="Calibri" w:eastAsia="宋体" w:cs="Times New Roman"/>
      <w:kern w:val="0"/>
    </w:rPr>
  </w:style>
  <w:style w:type="character" w:customStyle="1" w:styleId="159">
    <w:name w:val="纯文本 Char"/>
    <w:autoRedefine/>
    <w:qFormat/>
    <w:uiPriority w:val="0"/>
    <w:rPr>
      <w:rFonts w:ascii="宋体" w:hAnsi="Courier New" w:eastAsia="宋体"/>
      <w:kern w:val="2"/>
      <w:sz w:val="21"/>
      <w:lang w:val="en-US" w:eastAsia="zh-CN" w:bidi="ar-SA"/>
    </w:rPr>
  </w:style>
  <w:style w:type="paragraph" w:customStyle="1" w:styleId="160">
    <w:name w:val="样式6"/>
    <w:basedOn w:val="1"/>
    <w:autoRedefine/>
    <w:qFormat/>
    <w:uiPriority w:val="0"/>
    <w:pPr>
      <w:spacing w:line="240" w:lineRule="auto"/>
      <w:jc w:val="center"/>
    </w:pPr>
    <w:rPr>
      <w:rFonts w:ascii="Calibri" w:hAnsi="Calibri"/>
      <w:sz w:val="21"/>
    </w:rPr>
  </w:style>
  <w:style w:type="character" w:styleId="161">
    <w:name w:val="Placeholder Text"/>
    <w:basedOn w:val="33"/>
    <w:autoRedefine/>
    <w:unhideWhenUsed/>
    <w:qFormat/>
    <w:uiPriority w:val="99"/>
    <w:rPr>
      <w:color w:val="808080"/>
    </w:rPr>
  </w:style>
  <w:style w:type="character" w:customStyle="1" w:styleId="162">
    <w:name w:val="font01"/>
    <w:basedOn w:val="33"/>
    <w:autoRedefine/>
    <w:qFormat/>
    <w:uiPriority w:val="0"/>
    <w:rPr>
      <w:rFonts w:hint="default" w:ascii="Times New Roman" w:hAnsi="Times New Roman" w:cs="Times New Roman"/>
      <w:color w:val="FF0000"/>
      <w:sz w:val="21"/>
      <w:szCs w:val="21"/>
      <w:u w:val="none"/>
    </w:rPr>
  </w:style>
  <w:style w:type="character" w:customStyle="1" w:styleId="163">
    <w:name w:val="font11"/>
    <w:basedOn w:val="33"/>
    <w:autoRedefine/>
    <w:qFormat/>
    <w:uiPriority w:val="0"/>
    <w:rPr>
      <w:rFonts w:hint="eastAsia" w:ascii="宋体" w:hAnsi="宋体" w:eastAsia="宋体" w:cs="宋体"/>
      <w:color w:val="0000FF"/>
      <w:sz w:val="21"/>
      <w:szCs w:val="21"/>
      <w:u w:val="none"/>
    </w:rPr>
  </w:style>
  <w:style w:type="character" w:customStyle="1" w:styleId="164">
    <w:name w:val="正文文本 2 Char"/>
    <w:autoRedefine/>
    <w:qFormat/>
    <w:uiPriority w:val="99"/>
    <w:rPr>
      <w:rFonts w:cs="Times New Roman"/>
      <w:kern w:val="2"/>
      <w:sz w:val="21"/>
      <w:szCs w:val="22"/>
    </w:rPr>
  </w:style>
  <w:style w:type="paragraph" w:customStyle="1" w:styleId="165">
    <w:name w:val="样式 居中"/>
    <w:basedOn w:val="1"/>
    <w:autoRedefine/>
    <w:qFormat/>
    <w:uiPriority w:val="0"/>
    <w:pPr>
      <w:adjustRightInd w:val="0"/>
      <w:snapToGrid w:val="0"/>
      <w:spacing w:line="240" w:lineRule="auto"/>
      <w:jc w:val="center"/>
    </w:pPr>
    <w:rPr>
      <w:rFonts w:hAnsi="宋体"/>
      <w:sz w:val="21"/>
      <w:szCs w:val="21"/>
    </w:rPr>
  </w:style>
  <w:style w:type="table" w:customStyle="1" w:styleId="166">
    <w:name w:val="Table Normal"/>
    <w:autoRedefine/>
    <w:semiHidden/>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character" w:customStyle="1" w:styleId="167">
    <w:name w:val="普通(网站) 字符"/>
    <w:link w:val="26"/>
    <w:autoRedefine/>
    <w:qFormat/>
    <w:locked/>
    <w:uiPriority w:val="0"/>
    <w:rPr>
      <w:rFonts w:ascii="宋体" w:hAnsi="宋体"/>
      <w:sz w:val="24"/>
      <w:szCs w:val="24"/>
    </w:rPr>
  </w:style>
  <w:style w:type="paragraph" w:customStyle="1" w:styleId="168">
    <w:name w:val="正文（me）"/>
    <w:basedOn w:val="1"/>
    <w:autoRedefine/>
    <w:qFormat/>
    <w:uiPriority w:val="0"/>
    <w:pPr>
      <w:spacing w:before="100" w:beforeAutospacing="1" w:after="100" w:afterAutospacing="1"/>
      <w:ind w:left="200" w:leftChars="200"/>
    </w:pPr>
    <w:rPr>
      <w:sz w:val="28"/>
      <w:szCs w:val="28"/>
    </w:rPr>
  </w:style>
  <w:style w:type="character" w:customStyle="1" w:styleId="169">
    <w:name w:val="段落 Char1"/>
    <w:autoRedefine/>
    <w:qFormat/>
    <w:locked/>
    <w:uiPriority w:val="0"/>
    <w:rPr>
      <w:rFonts w:ascii="宋体" w:hAnsi="宋体" w:eastAsia="宋体"/>
      <w:color w:val="000000"/>
      <w:kern w:val="24"/>
      <w:sz w:val="24"/>
      <w:lang w:val="en-US" w:eastAsia="zh-CN" w:bidi="ar-SA"/>
    </w:rPr>
  </w:style>
  <w:style w:type="character" w:customStyle="1" w:styleId="170">
    <w:name w:val="标题 3 Char2"/>
    <w:autoRedefine/>
    <w:qFormat/>
    <w:uiPriority w:val="0"/>
    <w:rPr>
      <w:rFonts w:ascii="Times New Roman" w:hAnsi="Times New Roman" w:eastAsia="楷体_GB2312" w:cs="Times New Roman"/>
      <w:b/>
      <w:kern w:val="0"/>
      <w:sz w:val="30"/>
      <w:szCs w:val="30"/>
    </w:rPr>
  </w:style>
  <w:style w:type="character" w:customStyle="1" w:styleId="171">
    <w:name w:val="标题 3 Char1"/>
    <w:autoRedefine/>
    <w:qFormat/>
    <w:uiPriority w:val="0"/>
    <w:rPr>
      <w:rFonts w:eastAsia="宋体"/>
      <w:b/>
      <w:bCs/>
      <w:kern w:val="2"/>
      <w:sz w:val="28"/>
      <w:szCs w:val="32"/>
      <w:lang w:val="en-US" w:eastAsia="zh-CN" w:bidi="ar-SA"/>
    </w:rPr>
  </w:style>
  <w:style w:type="character" w:customStyle="1" w:styleId="172">
    <w:name w:val="正文文本缩进 字符"/>
    <w:link w:val="14"/>
    <w:autoRedefine/>
    <w:qFormat/>
    <w:uiPriority w:val="99"/>
    <w:rPr>
      <w:sz w:val="24"/>
    </w:rPr>
  </w:style>
  <w:style w:type="paragraph" w:customStyle="1" w:styleId="173">
    <w:name w:val="0正文"/>
    <w:basedOn w:val="1"/>
    <w:autoRedefine/>
    <w:qFormat/>
    <w:uiPriority w:val="0"/>
    <w:pPr>
      <w:autoSpaceDE w:val="0"/>
      <w:autoSpaceDN w:val="0"/>
      <w:adjustRightInd w:val="0"/>
      <w:ind w:firstLine="200" w:firstLineChars="200"/>
      <w:jc w:val="left"/>
    </w:pPr>
    <w:rPr>
      <w:rFonts w:asciiTheme="minorHAnsi" w:hAnsiTheme="minorHAnsi" w:eastAsiaTheme="minorEastAsia" w:cstheme="minorBidi"/>
      <w:szCs w:val="22"/>
      <w:lang w:val="zh-CN"/>
    </w:rPr>
  </w:style>
  <w:style w:type="paragraph" w:customStyle="1" w:styleId="174">
    <w:name w:val="！正文"/>
    <w:basedOn w:val="1"/>
    <w:autoRedefine/>
    <w:qFormat/>
    <w:uiPriority w:val="0"/>
    <w:pPr>
      <w:spacing w:line="520" w:lineRule="exact"/>
      <w:ind w:firstLine="200" w:firstLineChars="200"/>
    </w:pPr>
    <w:rPr>
      <w:rFonts w:asciiTheme="minorHAnsi" w:hAnsiTheme="minorHAnsi" w:eastAsiaTheme="minorEastAsia" w:cstheme="minorBidi"/>
      <w:szCs w:val="28"/>
    </w:rPr>
  </w:style>
  <w:style w:type="character" w:customStyle="1" w:styleId="175">
    <w:name w:val="标题 4 字符"/>
    <w:link w:val="6"/>
    <w:autoRedefine/>
    <w:qFormat/>
    <w:uiPriority w:val="0"/>
    <w:rPr>
      <w:rFonts w:ascii="Times New Roman" w:hAnsi="Times New Roman" w:eastAsia="宋体"/>
      <w:b/>
      <w:snapToGrid w:val="0"/>
      <w:kern w:val="2"/>
      <w:sz w:val="24"/>
      <w:szCs w:val="24"/>
    </w:rPr>
  </w:style>
  <w:style w:type="character" w:customStyle="1" w:styleId="176">
    <w:name w:val="鸿达表头 Char"/>
    <w:link w:val="92"/>
    <w:autoRedefine/>
    <w:qFormat/>
    <w:locked/>
    <w:uiPriority w:val="0"/>
    <w:rPr>
      <w:b/>
      <w:kern w:val="2"/>
      <w:sz w:val="24"/>
      <w:szCs w:val="24"/>
    </w:rPr>
  </w:style>
  <w:style w:type="character" w:customStyle="1" w:styleId="177">
    <w:name w:val="表头 Char Char"/>
    <w:link w:val="97"/>
    <w:autoRedefine/>
    <w:qFormat/>
    <w:locked/>
    <w:uiPriority w:val="0"/>
    <w:rPr>
      <w:rFonts w:ascii="黑体" w:eastAsia="黑体"/>
      <w:spacing w:val="20"/>
      <w:kern w:val="2"/>
      <w:sz w:val="24"/>
      <w:szCs w:val="24"/>
    </w:rPr>
  </w:style>
  <w:style w:type="character" w:customStyle="1" w:styleId="178">
    <w:name w:val="标题 2 Char1"/>
    <w:autoRedefine/>
    <w:qFormat/>
    <w:uiPriority w:val="0"/>
    <w:rPr>
      <w:rFonts w:ascii="Times New Roman" w:hAnsi="Times New Roman" w:eastAsia="黑体" w:cs="Times New Roman"/>
      <w:kern w:val="0"/>
      <w:sz w:val="30"/>
      <w:szCs w:val="20"/>
    </w:rPr>
  </w:style>
  <w:style w:type="character" w:customStyle="1" w:styleId="179">
    <w:name w:val="正文文本缩进 Char"/>
    <w:autoRedefine/>
    <w:qFormat/>
    <w:uiPriority w:val="0"/>
    <w:rPr>
      <w:rFonts w:ascii="Times New Roman" w:hAnsi="Times New Roman" w:eastAsia="宋体" w:cs="Times New Roman"/>
      <w:sz w:val="28"/>
      <w:szCs w:val="20"/>
    </w:rPr>
  </w:style>
  <w:style w:type="character" w:customStyle="1" w:styleId="180">
    <w:name w:val="表头 Char1"/>
    <w:link w:val="112"/>
    <w:autoRedefine/>
    <w:qFormat/>
    <w:uiPriority w:val="0"/>
    <w:rPr>
      <w:rFonts w:ascii="黑体" w:eastAsia="黑体"/>
      <w:spacing w:val="20"/>
      <w:sz w:val="24"/>
      <w:szCs w:val="24"/>
    </w:rPr>
  </w:style>
  <w:style w:type="paragraph" w:customStyle="1" w:styleId="181">
    <w:name w:val="图表标题"/>
    <w:basedOn w:val="1"/>
    <w:next w:val="1"/>
    <w:link w:val="184"/>
    <w:autoRedefine/>
    <w:qFormat/>
    <w:uiPriority w:val="0"/>
    <w:pPr>
      <w:keepNext/>
      <w:keepLines/>
      <w:widowControl/>
      <w:spacing w:line="240" w:lineRule="auto"/>
      <w:ind w:firstLine="0" w:firstLineChars="0"/>
      <w:jc w:val="center"/>
      <w:outlineLvl w:val="5"/>
    </w:pPr>
    <w:rPr>
      <w:rFonts w:ascii="Times New Roman" w:hAnsi="Times New Roman" w:eastAsia="宋体"/>
      <w:b/>
      <w:bCs/>
      <w:kern w:val="44"/>
    </w:rPr>
  </w:style>
  <w:style w:type="paragraph" w:customStyle="1" w:styleId="182">
    <w:name w:val="表字体2"/>
    <w:basedOn w:val="1"/>
    <w:autoRedefine/>
    <w:qFormat/>
    <w:uiPriority w:val="0"/>
    <w:pPr>
      <w:spacing w:line="240" w:lineRule="auto"/>
      <w:ind w:firstLine="0" w:firstLineChars="0"/>
      <w:contextualSpacing/>
      <w:jc w:val="center"/>
    </w:pPr>
    <w:rPr>
      <w:rFonts w:ascii="Times New Roman" w:hAnsi="Times New Roman" w:eastAsia="宋体"/>
      <w:color w:val="000000" w:themeColor="text1"/>
      <w:sz w:val="21"/>
      <w:szCs w:val="21"/>
    </w:rPr>
  </w:style>
  <w:style w:type="paragraph" w:customStyle="1" w:styleId="183">
    <w:name w:val="样式2.11.1"/>
    <w:basedOn w:val="5"/>
    <w:next w:val="1"/>
    <w:autoRedefine/>
    <w:qFormat/>
    <w:uiPriority w:val="0"/>
    <w:pPr>
      <w:numPr>
        <w:ilvl w:val="0"/>
        <w:numId w:val="4"/>
      </w:numPr>
      <w:tabs>
        <w:tab w:val="left" w:pos="360"/>
        <w:tab w:val="left" w:pos="1200"/>
        <w:tab w:val="left" w:pos="1571"/>
        <w:tab w:val="left" w:pos="1636"/>
        <w:tab w:val="left" w:pos="1680"/>
      </w:tabs>
      <w:adjustRightInd w:val="0"/>
      <w:snapToGrid w:val="0"/>
      <w:spacing w:before="100" w:beforeLines="100" w:after="50" w:afterLines="50" w:line="240" w:lineRule="auto"/>
      <w:ind w:left="0" w:firstLine="200" w:firstLineChars="200"/>
      <w:jc w:val="left"/>
      <w:textAlignment w:val="baseline"/>
    </w:pPr>
    <w:rPr>
      <w:rFonts w:eastAsia="楷体"/>
      <w:sz w:val="28"/>
      <w:szCs w:val="20"/>
      <w:lang w:val="en-US" w:eastAsia="zh-CN"/>
    </w:rPr>
  </w:style>
  <w:style w:type="character" w:customStyle="1" w:styleId="184">
    <w:name w:val="图表标题 Char"/>
    <w:link w:val="181"/>
    <w:autoRedefine/>
    <w:qFormat/>
    <w:uiPriority w:val="0"/>
    <w:rPr>
      <w:rFonts w:ascii="Times New Roman" w:hAnsi="Times New Roman" w:eastAsia="宋体"/>
      <w:b/>
      <w:bCs/>
      <w:kern w:val="44"/>
      <w:sz w:val="24"/>
      <w:szCs w:val="24"/>
    </w:rPr>
  </w:style>
  <w:style w:type="paragraph" w:customStyle="1" w:styleId="185">
    <w:name w:val="标题2"/>
    <w:autoRedefine/>
    <w:unhideWhenUsed/>
    <w:qFormat/>
    <w:uiPriority w:val="2"/>
    <w:pPr>
      <w:outlineLvl w:val="2"/>
    </w:pPr>
    <w:rPr>
      <w:rFonts w:asciiTheme="minorHAnsi" w:hAnsiTheme="minorHAnsi" w:eastAsiaTheme="minorEastAsia" w:cstheme="minorBidi"/>
      <w:sz w:val="21"/>
      <w:szCs w:val="22"/>
    </w:rPr>
  </w:style>
  <w:style w:type="paragraph" w:customStyle="1" w:styleId="186">
    <w:name w:val="Table Text"/>
    <w:basedOn w:val="1"/>
    <w:autoRedefine/>
    <w:semiHidden/>
    <w:qFormat/>
    <w:uiPriority w:val="0"/>
    <w:rPr>
      <w:rFonts w:ascii="宋体" w:hAnsi="宋体" w:eastAsia="宋体" w:cs="宋体"/>
      <w:sz w:val="20"/>
      <w:szCs w:val="20"/>
      <w:lang w:val="en-US" w:eastAsia="en-US" w:bidi="ar-SA"/>
    </w:rPr>
  </w:style>
  <w:style w:type="paragraph" w:customStyle="1" w:styleId="187">
    <w:name w:val="表标题"/>
    <w:basedOn w:val="1"/>
    <w:next w:val="1"/>
    <w:autoRedefine/>
    <w:qFormat/>
    <w:uiPriority w:val="0"/>
    <w:pPr>
      <w:keepNext/>
      <w:numPr>
        <w:ilvl w:val="0"/>
        <w:numId w:val="5"/>
      </w:numPr>
      <w:spacing w:line="440" w:lineRule="exact"/>
      <w:ind w:firstLine="0"/>
      <w:jc w:val="center"/>
      <w:textAlignment w:val="center"/>
    </w:pPr>
    <w:rPr>
      <w:rFonts w:ascii="Times New Roman" w:hAnsi="Times New Roman" w:eastAsia="宋体"/>
      <w:b/>
      <w:sz w:val="21"/>
    </w:rPr>
  </w:style>
  <w:style w:type="paragraph" w:customStyle="1" w:styleId="188">
    <w:name w:val="表格内容1"/>
    <w:basedOn w:val="189"/>
    <w:autoRedefine/>
    <w:qFormat/>
    <w:uiPriority w:val="0"/>
    <w:pPr>
      <w:tabs>
        <w:tab w:val="left" w:pos="1943"/>
        <w:tab w:val="left" w:pos="2572"/>
      </w:tabs>
      <w:jc w:val="both"/>
    </w:pPr>
  </w:style>
  <w:style w:type="paragraph" w:customStyle="1" w:styleId="189">
    <w:name w:val="表格文字格式"/>
    <w:basedOn w:val="76"/>
    <w:autoRedefine/>
    <w:qFormat/>
    <w:uiPriority w:val="0"/>
    <w:pPr>
      <w:tabs>
        <w:tab w:val="left" w:pos="1943"/>
        <w:tab w:val="left" w:pos="2572"/>
      </w:tabs>
      <w:kinsoku w:val="0"/>
      <w:overflowPunct w:val="0"/>
      <w:autoSpaceDE/>
      <w:autoSpaceDN/>
      <w:adjustRightInd/>
      <w:snapToGrid w:val="0"/>
      <w:jc w:val="center"/>
    </w:pPr>
    <w:rPr>
      <w:sz w:val="21"/>
      <w:szCs w:val="21"/>
    </w:rPr>
  </w:style>
  <w:style w:type="paragraph" w:customStyle="1" w:styleId="190">
    <w:name w:val="表头11"/>
    <w:basedOn w:val="112"/>
    <w:qFormat/>
    <w:uiPriority w:val="0"/>
  </w:style>
  <w:style w:type="paragraph" w:customStyle="1" w:styleId="191">
    <w:name w:val="报告表表格文字"/>
    <w:basedOn w:val="1"/>
    <w:qFormat/>
    <w:uiPriority w:val="0"/>
    <w:pPr>
      <w:autoSpaceDE w:val="0"/>
      <w:autoSpaceDN w:val="0"/>
      <w:adjustRightInd w:val="0"/>
      <w:snapToGrid w:val="0"/>
      <w:spacing w:line="360" w:lineRule="exact"/>
      <w:jc w:val="center"/>
      <w:textAlignment w:val="baseline"/>
    </w:pPr>
    <w:rPr>
      <w:rFonts w:ascii="Times New Roman" w:hAnsi="Times New Roman"/>
      <w:color w:val="000000"/>
      <w:kern w:val="0"/>
    </w:rPr>
  </w:style>
  <w:style w:type="character" w:customStyle="1" w:styleId="192">
    <w:name w:val="题注 Char"/>
    <w:link w:val="10"/>
    <w:qFormat/>
    <w:uiPriority w:val="0"/>
    <w:rPr>
      <w:rFonts w:ascii="Times New Roman" w:hAnsi="Times New Roman" w:eastAsia="宋体" w:cs="Arial"/>
      <w:b/>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68.jpeg"/><Relationship Id="rId98" Type="http://schemas.openxmlformats.org/officeDocument/2006/relationships/image" Target="media/image67.png"/><Relationship Id="rId97" Type="http://schemas.openxmlformats.org/officeDocument/2006/relationships/image" Target="media/image66.jpeg"/><Relationship Id="rId96" Type="http://schemas.openxmlformats.org/officeDocument/2006/relationships/image" Target="media/image65.png"/><Relationship Id="rId95" Type="http://schemas.openxmlformats.org/officeDocument/2006/relationships/image" Target="media/image64.png"/><Relationship Id="rId94" Type="http://schemas.openxmlformats.org/officeDocument/2006/relationships/image" Target="media/image63.png"/><Relationship Id="rId93" Type="http://schemas.openxmlformats.org/officeDocument/2006/relationships/image" Target="media/image62.emf"/><Relationship Id="rId92" Type="http://schemas.openxmlformats.org/officeDocument/2006/relationships/oleObject" Target="embeddings/oleObject8.bin"/><Relationship Id="rId91" Type="http://schemas.openxmlformats.org/officeDocument/2006/relationships/chart" Target="charts/chart2.xml"/><Relationship Id="rId90" Type="http://schemas.openxmlformats.org/officeDocument/2006/relationships/chart" Target="charts/chart1.xml"/><Relationship Id="rId9" Type="http://schemas.openxmlformats.org/officeDocument/2006/relationships/footer" Target="footer4.xml"/><Relationship Id="rId89" Type="http://schemas.openxmlformats.org/officeDocument/2006/relationships/image" Target="media/image61.png"/><Relationship Id="rId88" Type="http://schemas.openxmlformats.org/officeDocument/2006/relationships/image" Target="media/image60.emf"/><Relationship Id="rId87" Type="http://schemas.openxmlformats.org/officeDocument/2006/relationships/oleObject" Target="embeddings/oleObject7.bin"/><Relationship Id="rId86" Type="http://schemas.openxmlformats.org/officeDocument/2006/relationships/image" Target="media/image59.jpeg"/><Relationship Id="rId85" Type="http://schemas.openxmlformats.org/officeDocument/2006/relationships/image" Target="media/image58.jpeg"/><Relationship Id="rId84" Type="http://schemas.openxmlformats.org/officeDocument/2006/relationships/image" Target="media/image57.wmf"/><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jpeg"/><Relationship Id="rId80" Type="http://schemas.openxmlformats.org/officeDocument/2006/relationships/image" Target="media/image53.png"/><Relationship Id="rId8" Type="http://schemas.openxmlformats.org/officeDocument/2006/relationships/footer" Target="footer3.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jpeg"/><Relationship Id="rId71" Type="http://schemas.openxmlformats.org/officeDocument/2006/relationships/image" Target="media/image44.jpeg"/><Relationship Id="rId70" Type="http://schemas.openxmlformats.org/officeDocument/2006/relationships/image" Target="media/image43.emf"/><Relationship Id="rId7" Type="http://schemas.openxmlformats.org/officeDocument/2006/relationships/footer" Target="footer2.xml"/><Relationship Id="rId69" Type="http://schemas.openxmlformats.org/officeDocument/2006/relationships/oleObject" Target="embeddings/oleObject6.bin"/><Relationship Id="rId68" Type="http://schemas.openxmlformats.org/officeDocument/2006/relationships/image" Target="media/image42.png"/><Relationship Id="rId67" Type="http://schemas.openxmlformats.org/officeDocument/2006/relationships/image" Target="media/image41.png"/><Relationship Id="rId66" Type="http://schemas.openxmlformats.org/officeDocument/2006/relationships/image" Target="media/image40.png"/><Relationship Id="rId65" Type="http://schemas.openxmlformats.org/officeDocument/2006/relationships/image" Target="media/image39.png"/><Relationship Id="rId64" Type="http://schemas.openxmlformats.org/officeDocument/2006/relationships/image" Target="media/image38.png"/><Relationship Id="rId63" Type="http://schemas.openxmlformats.org/officeDocument/2006/relationships/image" Target="media/image37.emf"/><Relationship Id="rId62" Type="http://schemas.openxmlformats.org/officeDocument/2006/relationships/oleObject" Target="embeddings/oleObject5.bin"/><Relationship Id="rId61" Type="http://schemas.openxmlformats.org/officeDocument/2006/relationships/image" Target="media/image36.png"/><Relationship Id="rId60" Type="http://schemas.openxmlformats.org/officeDocument/2006/relationships/image" Target="media/image35.jpeg"/><Relationship Id="rId6" Type="http://schemas.openxmlformats.org/officeDocument/2006/relationships/footer" Target="footer1.xml"/><Relationship Id="rId59" Type="http://schemas.openxmlformats.org/officeDocument/2006/relationships/image" Target="media/image34.jpeg"/><Relationship Id="rId58" Type="http://schemas.openxmlformats.org/officeDocument/2006/relationships/image" Target="media/image33.png"/><Relationship Id="rId57" Type="http://schemas.openxmlformats.org/officeDocument/2006/relationships/image" Target="media/image32.jpeg"/><Relationship Id="rId56" Type="http://schemas.openxmlformats.org/officeDocument/2006/relationships/image" Target="media/image31.jpeg"/><Relationship Id="rId55" Type="http://schemas.openxmlformats.org/officeDocument/2006/relationships/image" Target="media/image30.jpeg"/><Relationship Id="rId54" Type="http://schemas.openxmlformats.org/officeDocument/2006/relationships/image" Target="media/image29.jpeg"/><Relationship Id="rId53" Type="http://schemas.openxmlformats.org/officeDocument/2006/relationships/image" Target="media/image28.jpeg"/><Relationship Id="rId52" Type="http://schemas.openxmlformats.org/officeDocument/2006/relationships/image" Target="media/image27.jpeg"/><Relationship Id="rId51" Type="http://schemas.openxmlformats.org/officeDocument/2006/relationships/image" Target="media/image26.jpeg"/><Relationship Id="rId50" Type="http://schemas.openxmlformats.org/officeDocument/2006/relationships/image" Target="media/image25.png"/><Relationship Id="rId5" Type="http://schemas.openxmlformats.org/officeDocument/2006/relationships/header" Target="header1.xml"/><Relationship Id="rId49" Type="http://schemas.openxmlformats.org/officeDocument/2006/relationships/image" Target="media/image24.emf"/><Relationship Id="rId48" Type="http://schemas.openxmlformats.org/officeDocument/2006/relationships/oleObject" Target="embeddings/oleObject4.bin"/><Relationship Id="rId47" Type="http://schemas.openxmlformats.org/officeDocument/2006/relationships/image" Target="media/image23.emf"/><Relationship Id="rId46" Type="http://schemas.openxmlformats.org/officeDocument/2006/relationships/image" Target="media/image22.png"/><Relationship Id="rId45" Type="http://schemas.openxmlformats.org/officeDocument/2006/relationships/image" Target="media/image21.emf"/><Relationship Id="rId44" Type="http://schemas.openxmlformats.org/officeDocument/2006/relationships/oleObject" Target="embeddings/oleObject3.bin"/><Relationship Id="rId43" Type="http://schemas.openxmlformats.org/officeDocument/2006/relationships/image" Target="media/image20.jpeg"/><Relationship Id="rId42" Type="http://schemas.openxmlformats.org/officeDocument/2006/relationships/image" Target="media/image19.png"/><Relationship Id="rId41" Type="http://schemas.openxmlformats.org/officeDocument/2006/relationships/image" Target="media/image18.jpeg"/><Relationship Id="rId40" Type="http://schemas.openxmlformats.org/officeDocument/2006/relationships/image" Target="media/image17.png"/><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emf"/><Relationship Id="rId37" Type="http://schemas.openxmlformats.org/officeDocument/2006/relationships/oleObject" Target="embeddings/oleObject2.bin"/><Relationship Id="rId36" Type="http://schemas.openxmlformats.org/officeDocument/2006/relationships/image" Target="media/image14.emf"/><Relationship Id="rId35" Type="http://schemas.openxmlformats.org/officeDocument/2006/relationships/oleObject" Target="embeddings/oleObject1.bin"/><Relationship Id="rId34" Type="http://schemas.openxmlformats.org/officeDocument/2006/relationships/image" Target="media/image13.emf"/><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jpeg"/><Relationship Id="rId3" Type="http://schemas.openxmlformats.org/officeDocument/2006/relationships/footnotes" Target="footnotes.xml"/><Relationship Id="rId29" Type="http://schemas.openxmlformats.org/officeDocument/2006/relationships/image" Target="media/image8.jpeg"/><Relationship Id="rId28" Type="http://schemas.openxmlformats.org/officeDocument/2006/relationships/image" Target="media/image7.jpeg"/><Relationship Id="rId27" Type="http://schemas.openxmlformats.org/officeDocument/2006/relationships/image" Target="media/image6.png"/><Relationship Id="rId26" Type="http://schemas.openxmlformats.org/officeDocument/2006/relationships/image" Target="media/image5.png"/><Relationship Id="rId25" Type="http://schemas.openxmlformats.org/officeDocument/2006/relationships/image" Target="media/image4.png"/><Relationship Id="rId24" Type="http://schemas.openxmlformats.org/officeDocument/2006/relationships/image" Target="media/image3.png"/><Relationship Id="rId23" Type="http://schemas.openxmlformats.org/officeDocument/2006/relationships/image" Target="media/image2.png"/><Relationship Id="rId22" Type="http://schemas.openxmlformats.org/officeDocument/2006/relationships/image" Target="media/image1.png"/><Relationship Id="rId21" Type="http://schemas.openxmlformats.org/officeDocument/2006/relationships/theme" Target="theme/theme1.xml"/><Relationship Id="rId20" Type="http://schemas.openxmlformats.org/officeDocument/2006/relationships/footer" Target="footer12.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header" Target="header4.xml"/><Relationship Id="rId17" Type="http://schemas.openxmlformats.org/officeDocument/2006/relationships/footer" Target="footer10.xml"/><Relationship Id="rId16" Type="http://schemas.openxmlformats.org/officeDocument/2006/relationships/footer" Target="footer9.xml"/><Relationship Id="rId15" Type="http://schemas.openxmlformats.org/officeDocument/2006/relationships/header" Target="header3.xml"/><Relationship Id="rId14" Type="http://schemas.openxmlformats.org/officeDocument/2006/relationships/header" Target="header2.xml"/><Relationship Id="rId13" Type="http://schemas.openxmlformats.org/officeDocument/2006/relationships/footer" Target="footer8.xml"/><Relationship Id="rId12" Type="http://schemas.openxmlformats.org/officeDocument/2006/relationships/footer" Target="footer7.xml"/><Relationship Id="rId115" Type="http://schemas.openxmlformats.org/officeDocument/2006/relationships/fontTable" Target="fontTable.xml"/><Relationship Id="rId114" Type="http://schemas.microsoft.com/office/2006/relationships/keyMapCustomizations" Target="customizations.xml"/><Relationship Id="rId113" Type="http://schemas.openxmlformats.org/officeDocument/2006/relationships/customXml" Target="../customXml/item2.xml"/><Relationship Id="rId112" Type="http://schemas.openxmlformats.org/officeDocument/2006/relationships/numbering" Target="numbering.xml"/><Relationship Id="rId111" Type="http://schemas.openxmlformats.org/officeDocument/2006/relationships/customXml" Target="../customXml/item1.xml"/><Relationship Id="rId110" Type="http://schemas.openxmlformats.org/officeDocument/2006/relationships/image" Target="media/image79.png"/><Relationship Id="rId11" Type="http://schemas.openxmlformats.org/officeDocument/2006/relationships/footer" Target="footer6.xml"/><Relationship Id="rId109" Type="http://schemas.openxmlformats.org/officeDocument/2006/relationships/image" Target="media/image78.jpeg"/><Relationship Id="rId108" Type="http://schemas.openxmlformats.org/officeDocument/2006/relationships/image" Target="media/image77.jpeg"/><Relationship Id="rId107" Type="http://schemas.openxmlformats.org/officeDocument/2006/relationships/image" Target="media/image76.jpeg"/><Relationship Id="rId106" Type="http://schemas.openxmlformats.org/officeDocument/2006/relationships/image" Target="media/image75.jpeg"/><Relationship Id="rId105" Type="http://schemas.openxmlformats.org/officeDocument/2006/relationships/image" Target="media/image74.jpeg"/><Relationship Id="rId104" Type="http://schemas.openxmlformats.org/officeDocument/2006/relationships/image" Target="media/image73.jpeg"/><Relationship Id="rId103" Type="http://schemas.openxmlformats.org/officeDocument/2006/relationships/image" Target="media/image72.jpeg"/><Relationship Id="rId102" Type="http://schemas.openxmlformats.org/officeDocument/2006/relationships/image" Target="media/image71.jpeg"/><Relationship Id="rId101" Type="http://schemas.openxmlformats.org/officeDocument/2006/relationships/image" Target="media/image70.jpeg"/><Relationship Id="rId100" Type="http://schemas.openxmlformats.org/officeDocument/2006/relationships/image" Target="media/image69.jpeg"/><Relationship Id="rId10" Type="http://schemas.openxmlformats.org/officeDocument/2006/relationships/footer" Target="footer5.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themeOverride" Target="../theme/themeOverride2.xml"/><Relationship Id="rId1" Type="http://schemas.openxmlformats.org/officeDocument/2006/relationships/package" Target="../embeddings/Workbook2.xlsx"/></Relationships>
</file>

<file path=word/charts/_rels/chart2.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defTabSz="914400">
              <a:defRPr lang="zh-CN" sz="1400" b="1" i="0" u="none" strike="noStrike" kern="1200" spc="0" baseline="0">
                <a:solidFill>
                  <a:srgbClr val="2845AE"/>
                </a:solidFill>
                <a:latin typeface="汉仪旗黑-55简" panose="00020600040101010101" charset="-128"/>
                <a:ea typeface="汉仪旗黑-55简" panose="00020600040101010101" charset="-128"/>
                <a:cs typeface="汉仪旗黑-55简" panose="00020600040101010101" charset="-128"/>
                <a:sym typeface="汉仪旗黑-55简" panose="00020600040101010101" charset="-128"/>
              </a:defRPr>
            </a:pPr>
            <a:r>
              <a:rPr altLang="en-US"/>
              <a:t>耗氧量趋势图</a:t>
            </a:r>
            <a:endParaRPr altLang="en-US"/>
          </a:p>
        </c:rich>
      </c:tx>
      <c:layout>
        <c:manualLayout>
          <c:xMode val="edge"/>
          <c:yMode val="edge"/>
          <c:x val="0.0448673063964098"/>
          <c:y val="0.044705792175832"/>
        </c:manualLayout>
      </c:layout>
      <c:overlay val="0"/>
      <c:spPr>
        <a:noFill/>
        <a:ln>
          <a:noFill/>
        </a:ln>
        <a:effectLst/>
      </c:spPr>
    </c:title>
    <c:autoTitleDeleted val="0"/>
    <c:plotArea>
      <c:layout>
        <c:manualLayout>
          <c:layoutTarget val="inner"/>
          <c:xMode val="edge"/>
          <c:yMode val="edge"/>
          <c:x val="0.107583333333333"/>
          <c:y val="0.299768518518519"/>
          <c:w val="0.849361111111111"/>
          <c:h val="0.578333333333333"/>
        </c:manualLayout>
      </c:layout>
      <c:lineChart>
        <c:grouping val="standard"/>
        <c:varyColors val="0"/>
        <c:ser>
          <c:idx val="0"/>
          <c:order val="0"/>
          <c:tx>
            <c:strRef>
              <c:f>Sheet1!$B$1</c:f>
              <c:strCache>
                <c:ptCount val="1"/>
                <c:pt idx="0">
                  <c:v>100.0d时浓度C（mg/L）</c:v>
                </c:pt>
              </c:strCache>
            </c:strRef>
          </c:tx>
          <c:spPr>
            <a:effectLst/>
          </c:spPr>
          <c:marker>
            <c:symbol val="none"/>
          </c:marker>
          <c:dLbls>
            <c:delete val="1"/>
          </c:dLbls>
          <c:cat>
            <c:numRef>
              <c:f>Sheet1!$A$2:$A$22</c:f>
              <c:numCache>
                <c:formatCode>General</c:formatCode>
                <c:ptCount val="21"/>
                <c:pt idx="0">
                  <c:v>10</c:v>
                </c:pt>
                <c:pt idx="1">
                  <c:v>20</c:v>
                </c:pt>
                <c:pt idx="2">
                  <c:v>30</c:v>
                </c:pt>
                <c:pt idx="3">
                  <c:v>40</c:v>
                </c:pt>
                <c:pt idx="4">
                  <c:v>50</c:v>
                </c:pt>
                <c:pt idx="5">
                  <c:v>60</c:v>
                </c:pt>
                <c:pt idx="6">
                  <c:v>70</c:v>
                </c:pt>
                <c:pt idx="7">
                  <c:v>80</c:v>
                </c:pt>
                <c:pt idx="8">
                  <c:v>90</c:v>
                </c:pt>
                <c:pt idx="9">
                  <c:v>100</c:v>
                </c:pt>
                <c:pt idx="10">
                  <c:v>120</c:v>
                </c:pt>
                <c:pt idx="11">
                  <c:v>140</c:v>
                </c:pt>
                <c:pt idx="12">
                  <c:v>160</c:v>
                </c:pt>
                <c:pt idx="13">
                  <c:v>180</c:v>
                </c:pt>
                <c:pt idx="14">
                  <c:v>200</c:v>
                </c:pt>
                <c:pt idx="15">
                  <c:v>250</c:v>
                </c:pt>
                <c:pt idx="16">
                  <c:v>300</c:v>
                </c:pt>
                <c:pt idx="17">
                  <c:v>350</c:v>
                </c:pt>
                <c:pt idx="18">
                  <c:v>400</c:v>
                </c:pt>
                <c:pt idx="19">
                  <c:v>450</c:v>
                </c:pt>
                <c:pt idx="20">
                  <c:v>500</c:v>
                </c:pt>
              </c:numCache>
            </c:numRef>
          </c:cat>
          <c:val>
            <c:numRef>
              <c:f>Sheet1!$B$2:$B$22</c:f>
              <c:numCache>
                <c:formatCode>0.00_ </c:formatCode>
                <c:ptCount val="21"/>
                <c:pt idx="0">
                  <c:v>102.151528369322</c:v>
                </c:pt>
                <c:pt idx="1">
                  <c:v>2.00845807365988</c:v>
                </c:pt>
                <c:pt idx="2">
                  <c:v>0.00386750651003675</c:v>
                </c:pt>
                <c:pt idx="3">
                  <c:v>6.71095720050845e-7</c:v>
                </c:pt>
                <c:pt idx="4">
                  <c:v>1.01130419101849e-11</c:v>
                </c:pt>
                <c:pt idx="5">
                  <c:v>1.2986045768015e-17</c:v>
                </c:pt>
                <c:pt idx="6">
                  <c:v>1.40552219136968e-24</c:v>
                </c:pt>
                <c:pt idx="7">
                  <c:v>1.27355493580158e-32</c:v>
                </c:pt>
                <c:pt idx="8">
                  <c:v>9.61756583242025e-42</c:v>
                </c:pt>
                <c:pt idx="9">
                  <c:v>6.03425475528357e-52</c:v>
                </c:pt>
                <c:pt idx="10">
                  <c:v>1.35084160165352e-75</c:v>
                </c:pt>
                <c:pt idx="11">
                  <c:v>1.41149600465992e-103</c:v>
                </c:pt>
                <c:pt idx="12">
                  <c:v>6.83376782037088e-136</c:v>
                </c:pt>
                <c:pt idx="13">
                  <c:v>1.52571805163739e-172</c:v>
                </c:pt>
                <c:pt idx="14">
                  <c:v>1.5656710593834e-213</c:v>
                </c:pt>
                <c:pt idx="15">
                  <c:v>0</c:v>
                </c:pt>
                <c:pt idx="16">
                  <c:v>0</c:v>
                </c:pt>
                <c:pt idx="17">
                  <c:v>0</c:v>
                </c:pt>
                <c:pt idx="18">
                  <c:v>0</c:v>
                </c:pt>
                <c:pt idx="19">
                  <c:v>0</c:v>
                </c:pt>
                <c:pt idx="20">
                  <c:v>0</c:v>
                </c:pt>
              </c:numCache>
            </c:numRef>
          </c:val>
          <c:smooth val="0"/>
        </c:ser>
        <c:ser>
          <c:idx val="1"/>
          <c:order val="1"/>
          <c:tx>
            <c:strRef>
              <c:f>Sheet1!$C$1</c:f>
              <c:strCache>
                <c:ptCount val="1"/>
                <c:pt idx="0">
                  <c:v>500.0d时浓度C（mg/L）</c:v>
                </c:pt>
              </c:strCache>
            </c:strRef>
          </c:tx>
          <c:marker>
            <c:symbol val="none"/>
          </c:marker>
          <c:dLbls>
            <c:delete val="1"/>
          </c:dLbls>
          <c:cat>
            <c:numRef>
              <c:f>Sheet1!$A$2:$A$22</c:f>
              <c:numCache>
                <c:formatCode>General</c:formatCode>
                <c:ptCount val="21"/>
                <c:pt idx="0">
                  <c:v>10</c:v>
                </c:pt>
                <c:pt idx="1">
                  <c:v>20</c:v>
                </c:pt>
                <c:pt idx="2">
                  <c:v>30</c:v>
                </c:pt>
                <c:pt idx="3">
                  <c:v>40</c:v>
                </c:pt>
                <c:pt idx="4">
                  <c:v>50</c:v>
                </c:pt>
                <c:pt idx="5">
                  <c:v>60</c:v>
                </c:pt>
                <c:pt idx="6">
                  <c:v>70</c:v>
                </c:pt>
                <c:pt idx="7">
                  <c:v>80</c:v>
                </c:pt>
                <c:pt idx="8">
                  <c:v>90</c:v>
                </c:pt>
                <c:pt idx="9">
                  <c:v>100</c:v>
                </c:pt>
                <c:pt idx="10">
                  <c:v>120</c:v>
                </c:pt>
                <c:pt idx="11">
                  <c:v>140</c:v>
                </c:pt>
                <c:pt idx="12">
                  <c:v>160</c:v>
                </c:pt>
                <c:pt idx="13">
                  <c:v>180</c:v>
                </c:pt>
                <c:pt idx="14">
                  <c:v>200</c:v>
                </c:pt>
                <c:pt idx="15">
                  <c:v>250</c:v>
                </c:pt>
                <c:pt idx="16">
                  <c:v>300</c:v>
                </c:pt>
                <c:pt idx="17">
                  <c:v>350</c:v>
                </c:pt>
                <c:pt idx="18">
                  <c:v>400</c:v>
                </c:pt>
                <c:pt idx="19">
                  <c:v>450</c:v>
                </c:pt>
                <c:pt idx="20">
                  <c:v>500</c:v>
                </c:pt>
              </c:numCache>
            </c:numRef>
          </c:cat>
          <c:val>
            <c:numRef>
              <c:f>Sheet1!$C$2:$C$22</c:f>
              <c:numCache>
                <c:formatCode>0.00_ </c:formatCode>
                <c:ptCount val="21"/>
                <c:pt idx="0">
                  <c:v>84.4332231846845</c:v>
                </c:pt>
                <c:pt idx="1">
                  <c:v>94.5500614155691</c:v>
                </c:pt>
                <c:pt idx="2">
                  <c:v>43.7341718689313</c:v>
                </c:pt>
                <c:pt idx="3">
                  <c:v>10.333621763551</c:v>
                </c:pt>
                <c:pt idx="4">
                  <c:v>1.3755961415752</c:v>
                </c:pt>
                <c:pt idx="5">
                  <c:v>0.109060797135013</c:v>
                </c:pt>
                <c:pt idx="6">
                  <c:v>0.00528139319737723</c:v>
                </c:pt>
                <c:pt idx="7">
                  <c:v>0.000157273887054236</c:v>
                </c:pt>
                <c:pt idx="8">
                  <c:v>2.87839665316333e-6</c:v>
                </c:pt>
                <c:pt idx="9">
                  <c:v>3.2309487150443e-8</c:v>
                </c:pt>
                <c:pt idx="10">
                  <c:v>9.32453424430672e-13</c:v>
                </c:pt>
                <c:pt idx="11">
                  <c:v>3.73981780849457e-18</c:v>
                </c:pt>
                <c:pt idx="12">
                  <c:v>2.07037212823886e-24</c:v>
                </c:pt>
                <c:pt idx="13">
                  <c:v>1.57494837615452e-31</c:v>
                </c:pt>
                <c:pt idx="14">
                  <c:v>1.6411409206112e-39</c:v>
                </c:pt>
                <c:pt idx="15">
                  <c:v>2.99846227313903e-63</c:v>
                </c:pt>
                <c:pt idx="16">
                  <c:v>2.1254002263463e-92</c:v>
                </c:pt>
                <c:pt idx="17">
                  <c:v>5.77315989023113e-127</c:v>
                </c:pt>
                <c:pt idx="18">
                  <c:v>5.96478283028874e-167</c:v>
                </c:pt>
                <c:pt idx="19">
                  <c:v>2.33289848934141e-212</c:v>
                </c:pt>
                <c:pt idx="20">
                  <c:v>3.44260563534701e-263</c:v>
                </c:pt>
              </c:numCache>
            </c:numRef>
          </c:val>
          <c:smooth val="0"/>
        </c:ser>
        <c:ser>
          <c:idx val="2"/>
          <c:order val="2"/>
          <c:tx>
            <c:strRef>
              <c:f>Sheet1!$D$1</c:f>
              <c:strCache>
                <c:ptCount val="1"/>
                <c:pt idx="0">
                  <c:v>1000.0d时浓度C（mg/L）</c:v>
                </c:pt>
              </c:strCache>
            </c:strRef>
          </c:tx>
          <c:marker>
            <c:symbol val="none"/>
          </c:marker>
          <c:dLbls>
            <c:delete val="1"/>
          </c:dLbls>
          <c:cat>
            <c:numRef>
              <c:f>Sheet1!$A$2:$A$22</c:f>
              <c:numCache>
                <c:formatCode>General</c:formatCode>
                <c:ptCount val="21"/>
                <c:pt idx="0">
                  <c:v>10</c:v>
                </c:pt>
                <c:pt idx="1">
                  <c:v>20</c:v>
                </c:pt>
                <c:pt idx="2">
                  <c:v>30</c:v>
                </c:pt>
                <c:pt idx="3">
                  <c:v>40</c:v>
                </c:pt>
                <c:pt idx="4">
                  <c:v>50</c:v>
                </c:pt>
                <c:pt idx="5">
                  <c:v>60</c:v>
                </c:pt>
                <c:pt idx="6">
                  <c:v>70</c:v>
                </c:pt>
                <c:pt idx="7">
                  <c:v>80</c:v>
                </c:pt>
                <c:pt idx="8">
                  <c:v>90</c:v>
                </c:pt>
                <c:pt idx="9">
                  <c:v>100</c:v>
                </c:pt>
                <c:pt idx="10">
                  <c:v>120</c:v>
                </c:pt>
                <c:pt idx="11">
                  <c:v>140</c:v>
                </c:pt>
                <c:pt idx="12">
                  <c:v>160</c:v>
                </c:pt>
                <c:pt idx="13">
                  <c:v>180</c:v>
                </c:pt>
                <c:pt idx="14">
                  <c:v>200</c:v>
                </c:pt>
                <c:pt idx="15">
                  <c:v>250</c:v>
                </c:pt>
                <c:pt idx="16">
                  <c:v>300</c:v>
                </c:pt>
                <c:pt idx="17">
                  <c:v>350</c:v>
                </c:pt>
                <c:pt idx="18">
                  <c:v>400</c:v>
                </c:pt>
                <c:pt idx="19">
                  <c:v>450</c:v>
                </c:pt>
                <c:pt idx="20">
                  <c:v>500</c:v>
                </c:pt>
              </c:numCache>
            </c:numRef>
          </c:cat>
          <c:val>
            <c:numRef>
              <c:f>Sheet1!$D$2:$D$22</c:f>
              <c:numCache>
                <c:formatCode>0.00_ </c:formatCode>
                <c:ptCount val="21"/>
                <c:pt idx="0">
                  <c:v>8.90540179535665</c:v>
                </c:pt>
                <c:pt idx="1">
                  <c:v>16.8942542839199</c:v>
                </c:pt>
                <c:pt idx="2">
                  <c:v>18.24647682801</c:v>
                </c:pt>
                <c:pt idx="3">
                  <c:v>13.3220715310275</c:v>
                </c:pt>
                <c:pt idx="4">
                  <c:v>6.95286608648045</c:v>
                </c:pt>
                <c:pt idx="5">
                  <c:v>2.66478062272262</c:v>
                </c:pt>
                <c:pt idx="6">
                  <c:v>0.762423933771867</c:v>
                </c:pt>
                <c:pt idx="7">
                  <c:v>0.164753584212906</c:v>
                </c:pt>
                <c:pt idx="8">
                  <c:v>0.0271339482544959</c:v>
                </c:pt>
                <c:pt idx="9">
                  <c:v>0.00343082165754625</c:v>
                </c:pt>
                <c:pt idx="10">
                  <c:v>2.53686685683943e-5</c:v>
                </c:pt>
                <c:pt idx="11">
                  <c:v>6.86904183044202e-8</c:v>
                </c:pt>
                <c:pt idx="12">
                  <c:v>6.90363289351006e-11</c:v>
                </c:pt>
                <c:pt idx="13">
                  <c:v>2.58385400253996e-14</c:v>
                </c:pt>
                <c:pt idx="14">
                  <c:v>3.59838534376517e-18</c:v>
                </c:pt>
                <c:pt idx="15">
                  <c:v>1.07788206315838e-29</c:v>
                </c:pt>
                <c:pt idx="16">
                  <c:v>6.48751554453728e-44</c:v>
                </c:pt>
                <c:pt idx="17">
                  <c:v>7.7503234355593e-61</c:v>
                </c:pt>
                <c:pt idx="18">
                  <c:v>1.82427539212673e-80</c:v>
                </c:pt>
                <c:pt idx="19">
                  <c:v>8.41996614342363e-103</c:v>
                </c:pt>
                <c:pt idx="20">
                  <c:v>7.59545941745296e-128</c:v>
                </c:pt>
              </c:numCache>
            </c:numRef>
          </c:val>
          <c:smooth val="0"/>
        </c:ser>
        <c:dLbls>
          <c:showLegendKey val="0"/>
          <c:showVal val="0"/>
          <c:showCatName val="0"/>
          <c:showSerName val="0"/>
          <c:showPercent val="0"/>
          <c:showBubbleSize val="0"/>
        </c:dLbls>
        <c:marker val="0"/>
        <c:smooth val="0"/>
        <c:axId val="21003622"/>
        <c:axId val="868183181"/>
      </c:lineChart>
      <c:catAx>
        <c:axId val="21003622"/>
        <c:scaling>
          <c:orientation val="minMax"/>
        </c:scaling>
        <c:delete val="0"/>
        <c:axPos val="b"/>
        <c:title>
          <c:layout/>
          <c:overlay val="0"/>
          <c:spPr>
            <a:noFill/>
            <a:ln>
              <a:noFill/>
            </a:ln>
            <a:effectLst/>
          </c:spPr>
          <c:tx>
            <c:rich>
              <a:bodyPr/>
              <a:lstStyle/>
              <a:p>
                <a:pPr>
                  <a:defRPr/>
                </a:pPr>
              </a:p>
            </c:rich>
          </c:tx>
        </c:title>
        <c:numFmt formatCode="General" sourceLinked="1"/>
        <c:majorTickMark val="out"/>
        <c:minorTickMark val="none"/>
        <c:tickLblPos val="nextTo"/>
        <c:spPr>
          <a:noFill/>
          <a:ln w="9525" cap="flat" cmpd="sng" algn="ctr">
            <a:noFill/>
            <a:prstDash val="solid"/>
            <a:round/>
          </a:ln>
          <a:effectLst/>
        </c:spPr>
        <c:txPr>
          <a:bodyPr rot="-60000000" spcFirstLastPara="0" vertOverflow="ellipsis" vert="horz" wrap="square" anchor="ctr" anchorCtr="1" forceAA="0"/>
          <a:lstStyle/>
          <a:p>
            <a:pPr>
              <a:defRPr lang="zh-CN" sz="900" b="0" i="0" u="none" strike="noStrike" kern="1200" baseline="0">
                <a:solidFill>
                  <a:schemeClr val="tx1">
                    <a:lumMod val="50000"/>
                    <a:lumOff val="50000"/>
                  </a:schemeClr>
                </a:solidFill>
                <a:latin typeface="汉仪旗黑-55简" panose="00020600040101010101" charset="-128"/>
                <a:ea typeface="汉仪旗黑-55简" panose="00020600040101010101" charset="-128"/>
                <a:cs typeface="汉仪旗黑-55简" panose="00020600040101010101" charset="-128"/>
                <a:sym typeface="汉仪旗黑-55简" panose="00020600040101010101" charset="-128"/>
              </a:defRPr>
            </a:pPr>
          </a:p>
        </c:txPr>
        <c:crossAx val="868183181"/>
        <c:crosses val="autoZero"/>
        <c:auto val="1"/>
        <c:lblAlgn val="ctr"/>
        <c:lblOffset val="100"/>
        <c:noMultiLvlLbl val="0"/>
      </c:catAx>
      <c:valAx>
        <c:axId val="868183181"/>
        <c:scaling>
          <c:orientation val="minMax"/>
        </c:scaling>
        <c:delete val="0"/>
        <c:axPos val="l"/>
        <c:majorGridlines>
          <c:spPr>
            <a:ln w="9525" cap="flat" cmpd="sng" algn="ctr">
              <a:solidFill>
                <a:sysClr val="window" lastClr="FFFFFF">
                  <a:lumMod val="95000"/>
                </a:sysClr>
              </a:solidFill>
              <a:prstDash val="solid"/>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altLang="en-US"/>
                  <a:t>单位</a:t>
                </a:r>
                <a:r>
                  <a:rPr lang="en-US" altLang="zh-CN"/>
                  <a:t>mg/L</a:t>
                </a:r>
                <a:endParaRPr lang="en-US" altLang="zh-CN"/>
              </a:p>
            </c:rich>
          </c:tx>
          <c:layout/>
          <c:overlay val="0"/>
          <c:spPr>
            <a:noFill/>
            <a:ln>
              <a:noFill/>
            </a:ln>
            <a:effectLst/>
          </c:spPr>
        </c:title>
        <c:numFmt formatCode="0.00_ " sourceLinked="1"/>
        <c:majorTickMark val="out"/>
        <c:minorTickMark val="none"/>
        <c:tickLblPos val="nextTo"/>
        <c:spPr>
          <a:noFill/>
          <a:ln w="15875" cap="flat" cmpd="sng" algn="ctr">
            <a:noFill/>
            <a:prstDash val="solid"/>
            <a:round/>
          </a:ln>
          <a:effectLst/>
        </c:spPr>
        <c:txPr>
          <a:bodyPr rot="-60000000" spcFirstLastPara="0" vertOverflow="ellipsis" vert="horz" wrap="square" anchor="ctr" anchorCtr="1" forceAA="0"/>
          <a:lstStyle/>
          <a:p>
            <a:pPr>
              <a:defRPr lang="zh-CN" sz="900" b="0" i="0" u="none" strike="noStrike" kern="1200" baseline="0">
                <a:solidFill>
                  <a:schemeClr val="tx1">
                    <a:lumMod val="50000"/>
                    <a:lumOff val="50000"/>
                  </a:schemeClr>
                </a:solidFill>
                <a:latin typeface="汉仪旗黑-55简" panose="00020600040101010101" charset="-128"/>
                <a:ea typeface="汉仪旗黑-55简" panose="00020600040101010101" charset="-128"/>
                <a:cs typeface="汉仪旗黑-55简" panose="00020600040101010101" charset="-128"/>
                <a:sym typeface="汉仪旗黑-55简" panose="00020600040101010101" charset="-128"/>
              </a:defRPr>
            </a:pPr>
          </a:p>
        </c:txPr>
        <c:crossAx val="21003622"/>
        <c:crosses val="autoZero"/>
        <c:crossBetween val="between"/>
      </c:valAx>
      <c:spPr>
        <a:noFill/>
        <a:ln>
          <a:noFill/>
        </a:ln>
        <a:effectLst/>
      </c:spPr>
    </c:plotArea>
    <c:legend>
      <c:legendPos val="t"/>
      <c:layout>
        <c:manualLayout>
          <c:xMode val="edge"/>
          <c:yMode val="edge"/>
          <c:x val="0.0407874572674761"/>
          <c:y val="0.151577977424557"/>
          <c:w val="0.856182954143581"/>
          <c:h val="0.140059894033633"/>
        </c:manualLayout>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50000"/>
                  <a:lumOff val="50000"/>
                </a:schemeClr>
              </a:solidFill>
              <a:latin typeface="汉仪旗黑-55简" panose="00020600040101010101" charset="-128"/>
              <a:ea typeface="汉仪旗黑-55简" panose="00020600040101010101" charset="-128"/>
              <a:cs typeface="汉仪旗黑-55简" panose="00020600040101010101" charset="-128"/>
              <a:sym typeface="汉仪旗黑-55简" panose="00020600040101010101" charset="-128"/>
            </a:defRPr>
          </a:pPr>
        </a:p>
      </c:txPr>
    </c:legend>
    <c:plotVisOnly val="1"/>
    <c:dispBlanksAs val="gap"/>
    <c:showDLblsOverMax val="0"/>
  </c:chart>
  <c:spPr>
    <a:solidFill>
      <a:sysClr val="window" lastClr="FFFFFF"/>
    </a:solidFill>
    <a:ln w="9525" cap="flat" cmpd="sng" algn="ctr">
      <a:solidFill>
        <a:sysClr val="window" lastClr="FFFFFF">
          <a:lumMod val="95000"/>
        </a:sysClr>
      </a:solidFill>
      <a:prstDash val="solid"/>
      <a:round/>
    </a:ln>
    <a:effectLst/>
  </c:spPr>
  <c:txPr>
    <a:bodyPr/>
    <a:lstStyle/>
    <a:p>
      <a:pPr>
        <a:defRPr lang="zh-CN">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defTabSz="914400">
              <a:defRPr lang="zh-CN" sz="1400" b="1" i="0" u="none" strike="noStrike" kern="1200" spc="0" baseline="0">
                <a:solidFill>
                  <a:srgbClr val="2845AE"/>
                </a:solidFill>
                <a:latin typeface="汉仪旗黑-55简" panose="00020600040101010101" charset="-128"/>
                <a:ea typeface="汉仪旗黑-55简" panose="00020600040101010101" charset="-128"/>
                <a:cs typeface="汉仪旗黑-55简" panose="00020600040101010101" charset="-128"/>
                <a:sym typeface="汉仪旗黑-55简" panose="00020600040101010101" charset="-128"/>
              </a:defRPr>
            </a:pPr>
            <a:r>
              <a:rPr altLang="en-US"/>
              <a:t>氨氮趋势图</a:t>
            </a:r>
            <a:endParaRPr altLang="en-US"/>
          </a:p>
        </c:rich>
      </c:tx>
      <c:layout>
        <c:manualLayout>
          <c:xMode val="edge"/>
          <c:yMode val="edge"/>
          <c:x val="0.0448673063964098"/>
          <c:y val="0.044705792175832"/>
        </c:manualLayout>
      </c:layout>
      <c:overlay val="0"/>
      <c:spPr>
        <a:noFill/>
        <a:ln>
          <a:noFill/>
        </a:ln>
        <a:effectLst/>
      </c:spPr>
    </c:title>
    <c:autoTitleDeleted val="0"/>
    <c:plotArea>
      <c:layout>
        <c:manualLayout>
          <c:layoutTarget val="inner"/>
          <c:xMode val="edge"/>
          <c:yMode val="edge"/>
          <c:x val="0.107583333333333"/>
          <c:y val="0.299768518518519"/>
          <c:w val="0.849361111111111"/>
          <c:h val="0.578333333333333"/>
        </c:manualLayout>
      </c:layout>
      <c:lineChart>
        <c:grouping val="standard"/>
        <c:varyColors val="0"/>
        <c:ser>
          <c:idx val="0"/>
          <c:order val="0"/>
          <c:tx>
            <c:strRef>
              <c:f>Sheet1!$B$1</c:f>
              <c:strCache>
                <c:ptCount val="1"/>
                <c:pt idx="0">
                  <c:v>100.0d时浓度C（mg/L）</c:v>
                </c:pt>
              </c:strCache>
            </c:strRef>
          </c:tx>
          <c:spPr>
            <a:effectLst/>
          </c:spPr>
          <c:marker>
            <c:symbol val="none"/>
          </c:marker>
          <c:dLbls>
            <c:delete val="1"/>
          </c:dLbls>
          <c:cat>
            <c:numRef>
              <c:f>Sheet1!$A$2:$A$22</c:f>
              <c:numCache>
                <c:formatCode>General</c:formatCode>
                <c:ptCount val="21"/>
                <c:pt idx="0">
                  <c:v>10</c:v>
                </c:pt>
                <c:pt idx="1">
                  <c:v>20</c:v>
                </c:pt>
                <c:pt idx="2">
                  <c:v>30</c:v>
                </c:pt>
                <c:pt idx="3">
                  <c:v>40</c:v>
                </c:pt>
                <c:pt idx="4">
                  <c:v>50</c:v>
                </c:pt>
                <c:pt idx="5">
                  <c:v>60</c:v>
                </c:pt>
                <c:pt idx="6">
                  <c:v>70</c:v>
                </c:pt>
                <c:pt idx="7">
                  <c:v>80</c:v>
                </c:pt>
                <c:pt idx="8">
                  <c:v>90</c:v>
                </c:pt>
                <c:pt idx="9">
                  <c:v>100</c:v>
                </c:pt>
                <c:pt idx="10">
                  <c:v>120</c:v>
                </c:pt>
                <c:pt idx="11">
                  <c:v>140</c:v>
                </c:pt>
                <c:pt idx="12">
                  <c:v>160</c:v>
                </c:pt>
                <c:pt idx="13">
                  <c:v>180</c:v>
                </c:pt>
                <c:pt idx="14">
                  <c:v>200</c:v>
                </c:pt>
                <c:pt idx="15">
                  <c:v>250</c:v>
                </c:pt>
                <c:pt idx="16">
                  <c:v>300</c:v>
                </c:pt>
                <c:pt idx="17">
                  <c:v>350</c:v>
                </c:pt>
                <c:pt idx="18">
                  <c:v>400</c:v>
                </c:pt>
                <c:pt idx="19">
                  <c:v>450</c:v>
                </c:pt>
                <c:pt idx="20">
                  <c:v>500</c:v>
                </c:pt>
              </c:numCache>
            </c:numRef>
          </c:cat>
          <c:val>
            <c:numRef>
              <c:f>Sheet1!$B$2:$B$22</c:f>
              <c:numCache>
                <c:formatCode>0.00_ </c:formatCode>
                <c:ptCount val="21"/>
                <c:pt idx="0">
                  <c:v>3.17731897840108</c:v>
                </c:pt>
                <c:pt idx="1">
                  <c:v>0.0624710374541871</c:v>
                </c:pt>
                <c:pt idx="2">
                  <c:v>0.000120294840709596</c:v>
                </c:pt>
                <c:pt idx="3">
                  <c:v>2.08737470861144e-8</c:v>
                </c:pt>
                <c:pt idx="4">
                  <c:v>3.14555841733698e-13</c:v>
                </c:pt>
                <c:pt idx="5">
                  <c:v>4.03917692977858e-19</c:v>
                </c:pt>
                <c:pt idx="6">
                  <c:v>4.37173325205372e-26</c:v>
                </c:pt>
                <c:pt idx="7">
                  <c:v>3.96126257938001e-34</c:v>
                </c:pt>
                <c:pt idx="8">
                  <c:v>2.99144564287768e-43</c:v>
                </c:pt>
                <c:pt idx="9">
                  <c:v>1.87689332313771e-53</c:v>
                </c:pt>
                <c:pt idx="10">
                  <c:v>4.2016548614229e-77</c:v>
                </c:pt>
                <c:pt idx="11">
                  <c:v>4.39031418828004e-105</c:v>
                </c:pt>
                <c:pt idx="12">
                  <c:v>2.1255736978451e-137</c:v>
                </c:pt>
                <c:pt idx="13">
                  <c:v>4.74559020167574e-174</c:v>
                </c:pt>
                <c:pt idx="14">
                  <c:v>4.86985995248815e-215</c:v>
                </c:pt>
                <c:pt idx="15">
                  <c:v>0</c:v>
                </c:pt>
                <c:pt idx="16">
                  <c:v>0</c:v>
                </c:pt>
                <c:pt idx="17">
                  <c:v>0</c:v>
                </c:pt>
                <c:pt idx="18">
                  <c:v>0</c:v>
                </c:pt>
                <c:pt idx="19">
                  <c:v>0</c:v>
                </c:pt>
                <c:pt idx="20">
                  <c:v>0</c:v>
                </c:pt>
              </c:numCache>
            </c:numRef>
          </c:val>
          <c:smooth val="0"/>
        </c:ser>
        <c:ser>
          <c:idx val="1"/>
          <c:order val="1"/>
          <c:tx>
            <c:strRef>
              <c:f>Sheet1!$C$1</c:f>
              <c:strCache>
                <c:ptCount val="1"/>
                <c:pt idx="0">
                  <c:v>500.0d时浓度C（mg/L）</c:v>
                </c:pt>
              </c:strCache>
            </c:strRef>
          </c:tx>
          <c:marker>
            <c:symbol val="none"/>
          </c:marker>
          <c:dLbls>
            <c:delete val="1"/>
          </c:dLbls>
          <c:cat>
            <c:numRef>
              <c:f>Sheet1!$A$2:$A$22</c:f>
              <c:numCache>
                <c:formatCode>General</c:formatCode>
                <c:ptCount val="21"/>
                <c:pt idx="0">
                  <c:v>10</c:v>
                </c:pt>
                <c:pt idx="1">
                  <c:v>20</c:v>
                </c:pt>
                <c:pt idx="2">
                  <c:v>30</c:v>
                </c:pt>
                <c:pt idx="3">
                  <c:v>40</c:v>
                </c:pt>
                <c:pt idx="4">
                  <c:v>50</c:v>
                </c:pt>
                <c:pt idx="5">
                  <c:v>60</c:v>
                </c:pt>
                <c:pt idx="6">
                  <c:v>70</c:v>
                </c:pt>
                <c:pt idx="7">
                  <c:v>80</c:v>
                </c:pt>
                <c:pt idx="8">
                  <c:v>90</c:v>
                </c:pt>
                <c:pt idx="9">
                  <c:v>100</c:v>
                </c:pt>
                <c:pt idx="10">
                  <c:v>120</c:v>
                </c:pt>
                <c:pt idx="11">
                  <c:v>140</c:v>
                </c:pt>
                <c:pt idx="12">
                  <c:v>160</c:v>
                </c:pt>
                <c:pt idx="13">
                  <c:v>180</c:v>
                </c:pt>
                <c:pt idx="14">
                  <c:v>200</c:v>
                </c:pt>
                <c:pt idx="15">
                  <c:v>250</c:v>
                </c:pt>
                <c:pt idx="16">
                  <c:v>300</c:v>
                </c:pt>
                <c:pt idx="17">
                  <c:v>350</c:v>
                </c:pt>
                <c:pt idx="18">
                  <c:v>400</c:v>
                </c:pt>
                <c:pt idx="19">
                  <c:v>450</c:v>
                </c:pt>
                <c:pt idx="20">
                  <c:v>500</c:v>
                </c:pt>
              </c:numCache>
            </c:numRef>
          </c:cat>
          <c:val>
            <c:numRef>
              <c:f>Sheet1!$C$2:$C$22</c:f>
              <c:numCache>
                <c:formatCode>0.00_ </c:formatCode>
                <c:ptCount val="21"/>
                <c:pt idx="0">
                  <c:v>2.62620918859239</c:v>
                </c:pt>
                <c:pt idx="1">
                  <c:v>2.94088311100486</c:v>
                </c:pt>
                <c:pt idx="2">
                  <c:v>1.36030675705034</c:v>
                </c:pt>
                <c:pt idx="3">
                  <c:v>0.321416752828628</c:v>
                </c:pt>
                <c:pt idx="4">
                  <c:v>0.0427865133005171</c:v>
                </c:pt>
                <c:pt idx="5">
                  <c:v>0.00339222472799233</c:v>
                </c:pt>
                <c:pt idx="6">
                  <c:v>0.000164272342335941</c:v>
                </c:pt>
                <c:pt idx="7">
                  <c:v>4.89184365737207e-6</c:v>
                </c:pt>
                <c:pt idx="8">
                  <c:v>8.9529588636175e-8</c:v>
                </c:pt>
                <c:pt idx="9">
                  <c:v>1.00495360514192e-9</c:v>
                </c:pt>
                <c:pt idx="10">
                  <c:v>2.9003011596725e-14</c:v>
                </c:pt>
                <c:pt idx="11">
                  <c:v>1.16323214036811e-19</c:v>
                </c:pt>
                <c:pt idx="12">
                  <c:v>6.43968108986364e-26</c:v>
                </c:pt>
                <c:pt idx="13">
                  <c:v>4.89871609895612e-33</c:v>
                </c:pt>
                <c:pt idx="14">
                  <c:v>5.10460124926974e-41</c:v>
                </c:pt>
                <c:pt idx="15">
                  <c:v>9.32641071411063e-65</c:v>
                </c:pt>
                <c:pt idx="16">
                  <c:v>6.61084036985989e-94</c:v>
                </c:pt>
                <c:pt idx="17">
                  <c:v>1.79568243152042e-128</c:v>
                </c:pt>
                <c:pt idx="18">
                  <c:v>1.85528479027718e-168</c:v>
                </c:pt>
                <c:pt idx="19">
                  <c:v>7.25624252832392e-214</c:v>
                </c:pt>
                <c:pt idx="20">
                  <c:v>1.07078732887793e-264</c:v>
                </c:pt>
              </c:numCache>
            </c:numRef>
          </c:val>
          <c:smooth val="0"/>
        </c:ser>
        <c:ser>
          <c:idx val="2"/>
          <c:order val="2"/>
          <c:tx>
            <c:strRef>
              <c:f>Sheet1!$D$1</c:f>
              <c:strCache>
                <c:ptCount val="1"/>
                <c:pt idx="0">
                  <c:v>1000.0d时浓度C（mg/L）</c:v>
                </c:pt>
              </c:strCache>
            </c:strRef>
          </c:tx>
          <c:marker>
            <c:symbol val="none"/>
          </c:marker>
          <c:dLbls>
            <c:delete val="1"/>
          </c:dLbls>
          <c:cat>
            <c:numRef>
              <c:f>Sheet1!$A$2:$A$22</c:f>
              <c:numCache>
                <c:formatCode>General</c:formatCode>
                <c:ptCount val="21"/>
                <c:pt idx="0">
                  <c:v>10</c:v>
                </c:pt>
                <c:pt idx="1">
                  <c:v>20</c:v>
                </c:pt>
                <c:pt idx="2">
                  <c:v>30</c:v>
                </c:pt>
                <c:pt idx="3">
                  <c:v>40</c:v>
                </c:pt>
                <c:pt idx="4">
                  <c:v>50</c:v>
                </c:pt>
                <c:pt idx="5">
                  <c:v>60</c:v>
                </c:pt>
                <c:pt idx="6">
                  <c:v>70</c:v>
                </c:pt>
                <c:pt idx="7">
                  <c:v>80</c:v>
                </c:pt>
                <c:pt idx="8">
                  <c:v>90</c:v>
                </c:pt>
                <c:pt idx="9">
                  <c:v>100</c:v>
                </c:pt>
                <c:pt idx="10">
                  <c:v>120</c:v>
                </c:pt>
                <c:pt idx="11">
                  <c:v>140</c:v>
                </c:pt>
                <c:pt idx="12">
                  <c:v>160</c:v>
                </c:pt>
                <c:pt idx="13">
                  <c:v>180</c:v>
                </c:pt>
                <c:pt idx="14">
                  <c:v>200</c:v>
                </c:pt>
                <c:pt idx="15">
                  <c:v>250</c:v>
                </c:pt>
                <c:pt idx="16">
                  <c:v>300</c:v>
                </c:pt>
                <c:pt idx="17">
                  <c:v>350</c:v>
                </c:pt>
                <c:pt idx="18">
                  <c:v>400</c:v>
                </c:pt>
                <c:pt idx="19">
                  <c:v>450</c:v>
                </c:pt>
                <c:pt idx="20">
                  <c:v>500</c:v>
                </c:pt>
              </c:numCache>
            </c:numRef>
          </c:cat>
          <c:val>
            <c:numRef>
              <c:f>Sheet1!$D$2:$D$22</c:f>
              <c:numCache>
                <c:formatCode>0.00_ </c:formatCode>
                <c:ptCount val="21"/>
                <c:pt idx="0">
                  <c:v>0.811335453890327</c:v>
                </c:pt>
                <c:pt idx="1">
                  <c:v>1.53916777508339</c:v>
                </c:pt>
                <c:pt idx="2">
                  <c:v>1.66236334972238</c:v>
                </c:pt>
                <c:pt idx="3">
                  <c:v>1.21372052612172</c:v>
                </c:pt>
                <c:pt idx="4">
                  <c:v>0.633447753593173</c:v>
                </c:pt>
                <c:pt idx="5">
                  <c:v>0.242777478853577</c:v>
                </c:pt>
                <c:pt idx="6">
                  <c:v>0.069461387883271</c:v>
                </c:pt>
                <c:pt idx="7">
                  <c:v>0.0150100385248348</c:v>
                </c:pt>
                <c:pt idx="8">
                  <c:v>0.00247206523959163</c:v>
                </c:pt>
                <c:pt idx="9">
                  <c:v>0.000312568406311933</c:v>
                </c:pt>
                <c:pt idx="10">
                  <c:v>2.31123768477952e-6</c:v>
                </c:pt>
                <c:pt idx="11">
                  <c:v>6.25810861695109e-9</c:v>
                </c:pt>
                <c:pt idx="12">
                  <c:v>6.28962314768175e-12</c:v>
                </c:pt>
                <c:pt idx="13">
                  <c:v>2.35404578941083e-15</c:v>
                </c:pt>
                <c:pt idx="14">
                  <c:v>3.27834461964227e-19</c:v>
                </c:pt>
                <c:pt idx="15">
                  <c:v>9.82015133117113e-31</c:v>
                </c:pt>
                <c:pt idx="16">
                  <c:v>5.91051531407844e-45</c:v>
                </c:pt>
                <c:pt idx="17">
                  <c:v>7.06100895488513e-62</c:v>
                </c:pt>
                <c:pt idx="18">
                  <c:v>1.662024170615e-81</c:v>
                </c:pt>
                <c:pt idx="19">
                  <c:v>7.67109357859379e-104</c:v>
                </c:pt>
                <c:pt idx="20">
                  <c:v>6.91991855682235e-129</c:v>
                </c:pt>
              </c:numCache>
            </c:numRef>
          </c:val>
          <c:smooth val="0"/>
        </c:ser>
        <c:dLbls>
          <c:showLegendKey val="0"/>
          <c:showVal val="0"/>
          <c:showCatName val="0"/>
          <c:showSerName val="0"/>
          <c:showPercent val="0"/>
          <c:showBubbleSize val="0"/>
        </c:dLbls>
        <c:marker val="0"/>
        <c:smooth val="0"/>
        <c:axId val="21003622"/>
        <c:axId val="868183181"/>
      </c:lineChart>
      <c:catAx>
        <c:axId val="21003622"/>
        <c:scaling>
          <c:orientation val="minMax"/>
        </c:scaling>
        <c:delete val="0"/>
        <c:axPos val="b"/>
        <c:title>
          <c:layout/>
          <c:overlay val="0"/>
          <c:spPr>
            <a:noFill/>
            <a:ln>
              <a:noFill/>
            </a:ln>
            <a:effectLst/>
          </c:spPr>
          <c:tx>
            <c:rich>
              <a:bodyPr/>
              <a:lstStyle/>
              <a:p>
                <a:pPr>
                  <a:defRPr/>
                </a:pPr>
              </a:p>
            </c:rich>
          </c:tx>
        </c:title>
        <c:numFmt formatCode="General" sourceLinked="1"/>
        <c:majorTickMark val="out"/>
        <c:minorTickMark val="none"/>
        <c:tickLblPos val="nextTo"/>
        <c:spPr>
          <a:noFill/>
          <a:ln w="9525" cap="flat" cmpd="sng" algn="ctr">
            <a:noFill/>
            <a:prstDash val="solid"/>
            <a:round/>
          </a:ln>
          <a:effectLst/>
        </c:spPr>
        <c:txPr>
          <a:bodyPr rot="-60000000" spcFirstLastPara="0" vertOverflow="ellipsis" vert="horz" wrap="square" anchor="ctr" anchorCtr="1" forceAA="0"/>
          <a:lstStyle/>
          <a:p>
            <a:pPr>
              <a:defRPr lang="zh-CN" sz="900" b="0" i="0" u="none" strike="noStrike" kern="1200" baseline="0">
                <a:solidFill>
                  <a:schemeClr val="tx1">
                    <a:lumMod val="50000"/>
                    <a:lumOff val="50000"/>
                  </a:schemeClr>
                </a:solidFill>
                <a:latin typeface="汉仪旗黑-55简" panose="00020600040101010101" charset="-128"/>
                <a:ea typeface="汉仪旗黑-55简" panose="00020600040101010101" charset="-128"/>
                <a:cs typeface="汉仪旗黑-55简" panose="00020600040101010101" charset="-128"/>
                <a:sym typeface="汉仪旗黑-55简" panose="00020600040101010101" charset="-128"/>
              </a:defRPr>
            </a:pPr>
          </a:p>
        </c:txPr>
        <c:crossAx val="868183181"/>
        <c:crosses val="autoZero"/>
        <c:auto val="1"/>
        <c:lblAlgn val="ctr"/>
        <c:lblOffset val="100"/>
        <c:noMultiLvlLbl val="0"/>
      </c:catAx>
      <c:valAx>
        <c:axId val="868183181"/>
        <c:scaling>
          <c:orientation val="minMax"/>
        </c:scaling>
        <c:delete val="0"/>
        <c:axPos val="l"/>
        <c:majorGridlines>
          <c:spPr>
            <a:ln w="9525" cap="flat" cmpd="sng" algn="ctr">
              <a:solidFill>
                <a:sysClr val="window" lastClr="FFFFFF">
                  <a:lumMod val="95000"/>
                </a:sysClr>
              </a:solidFill>
              <a:prstDash val="solid"/>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altLang="en-US"/>
                  <a:t>单位</a:t>
                </a:r>
                <a:r>
                  <a:rPr lang="en-US" altLang="zh-CN"/>
                  <a:t>mg/L</a:t>
                </a:r>
                <a:endParaRPr lang="en-US" altLang="zh-CN"/>
              </a:p>
            </c:rich>
          </c:tx>
          <c:layout/>
          <c:overlay val="0"/>
          <c:spPr>
            <a:noFill/>
            <a:ln>
              <a:noFill/>
            </a:ln>
            <a:effectLst/>
          </c:spPr>
        </c:title>
        <c:numFmt formatCode="0.00_ " sourceLinked="1"/>
        <c:majorTickMark val="out"/>
        <c:minorTickMark val="none"/>
        <c:tickLblPos val="nextTo"/>
        <c:spPr>
          <a:noFill/>
          <a:ln w="15875" cap="flat" cmpd="sng" algn="ctr">
            <a:noFill/>
            <a:prstDash val="solid"/>
            <a:round/>
          </a:ln>
          <a:effectLst/>
        </c:spPr>
        <c:txPr>
          <a:bodyPr rot="-60000000" spcFirstLastPara="0" vertOverflow="ellipsis" vert="horz" wrap="square" anchor="ctr" anchorCtr="1" forceAA="0"/>
          <a:lstStyle/>
          <a:p>
            <a:pPr>
              <a:defRPr lang="zh-CN" sz="900" b="0" i="0" u="none" strike="noStrike" kern="1200" baseline="0">
                <a:solidFill>
                  <a:schemeClr val="tx1">
                    <a:lumMod val="50000"/>
                    <a:lumOff val="50000"/>
                  </a:schemeClr>
                </a:solidFill>
                <a:latin typeface="汉仪旗黑-55简" panose="00020600040101010101" charset="-128"/>
                <a:ea typeface="汉仪旗黑-55简" panose="00020600040101010101" charset="-128"/>
                <a:cs typeface="汉仪旗黑-55简" panose="00020600040101010101" charset="-128"/>
                <a:sym typeface="汉仪旗黑-55简" panose="00020600040101010101" charset="-128"/>
              </a:defRPr>
            </a:pPr>
          </a:p>
        </c:txPr>
        <c:crossAx val="21003622"/>
        <c:crosses val="autoZero"/>
        <c:crossBetween val="between"/>
      </c:valAx>
      <c:spPr>
        <a:noFill/>
        <a:ln>
          <a:noFill/>
        </a:ln>
        <a:effectLst/>
      </c:spPr>
    </c:plotArea>
    <c:legend>
      <c:legendPos val="t"/>
      <c:layout>
        <c:manualLayout>
          <c:xMode val="edge"/>
          <c:yMode val="edge"/>
          <c:x val="0.0407874572674761"/>
          <c:y val="0.147431467403824"/>
          <c:w val="0.935046563715667"/>
          <c:h val="0.140059894033633"/>
        </c:manualLayout>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50000"/>
                  <a:lumOff val="50000"/>
                </a:schemeClr>
              </a:solidFill>
              <a:latin typeface="汉仪旗黑-55简" panose="00020600040101010101" charset="-128"/>
              <a:ea typeface="汉仪旗黑-55简" panose="00020600040101010101" charset="-128"/>
              <a:cs typeface="汉仪旗黑-55简" panose="00020600040101010101" charset="-128"/>
              <a:sym typeface="汉仪旗黑-55简" panose="00020600040101010101" charset="-128"/>
            </a:defRPr>
          </a:pPr>
        </a:p>
      </c:txPr>
    </c:legend>
    <c:plotVisOnly val="1"/>
    <c:dispBlanksAs val="gap"/>
    <c:showDLblsOverMax val="0"/>
  </c:chart>
  <c:spPr>
    <a:solidFill>
      <a:sysClr val="window" lastClr="FFFFFF"/>
    </a:solidFill>
    <a:ln w="9525" cap="flat" cmpd="sng" algn="ctr">
      <a:solidFill>
        <a:sysClr val="window" lastClr="FFFFFF">
          <a:lumMod val="95000"/>
        </a:sysClr>
      </a:solidFill>
      <a:prstDash val="solid"/>
      <a:round/>
    </a:ln>
    <a:effectLst/>
  </c:spPr>
  <c:txPr>
    <a:bodyPr/>
    <a:lstStyle/>
    <a:p>
      <a:pPr>
        <a:defRPr lang="zh-CN">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theme/_rels/themeOverride1.xml.rels><?xml version="1.0" encoding="UTF-8" standalone="yes"?>
<Relationships xmlns="http://schemas.openxmlformats.org/package/2006/relationships"><Relationship Id="rId1" Type="http://schemas.openxmlformats.org/officeDocument/2006/relationships/image" Target="../media/image80.jpeg"/></Relationships>
</file>

<file path=word/theme/_rels/themeOverride2.xml.rels><?xml version="1.0" encoding="UTF-8" standalone="yes"?>
<Relationships xmlns="http://schemas.openxmlformats.org/package/2006/relationships"><Relationship Id="rId1" Type="http://schemas.openxmlformats.org/officeDocument/2006/relationships/image" Target="../media/image8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Essential">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NewsPrint">
    <a:majorFont>
      <a:latin typeface="Impact"/>
      <a:ea typeface=""/>
      <a:cs typeface=""/>
      <a:font script="Jpan" typeface="HGP創英角ｺﾞｼｯｸUB"/>
      <a:font script="Hang" typeface="HY견고딕"/>
      <a:font script="Hans" typeface="微软雅黑"/>
      <a:font script="Hant" typeface="微軟正黑體"/>
      <a:font script="Arab" typeface="Tahoma"/>
      <a:font script="Hebr" typeface="Tohoma"/>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NewsPrint">
    <a:fillStyleLst>
      <a:solidFill>
        <a:schemeClr val="phClr"/>
      </a:solidFill>
      <a:gradFill rotWithShape="1">
        <a:gsLst>
          <a:gs pos="0">
            <a:schemeClr val="phClr">
              <a:tint val="37000"/>
              <a:hueMod val="100000"/>
              <a:satMod val="200000"/>
              <a:lumMod val="88000"/>
            </a:schemeClr>
          </a:gs>
          <a:gs pos="100000">
            <a:schemeClr val="phClr">
              <a:tint val="53000"/>
              <a:shade val="100000"/>
              <a:hueMod val="100000"/>
              <a:satMod val="350000"/>
              <a:lumMod val="79000"/>
            </a:schemeClr>
          </a:gs>
        </a:gsLst>
        <a:lin ang="5400000" scaled="1"/>
      </a:gradFill>
      <a:gradFill rotWithShape="1">
        <a:gsLst>
          <a:gs pos="0">
            <a:schemeClr val="phClr">
              <a:tint val="83000"/>
              <a:shade val="100000"/>
              <a:alpha val="100000"/>
              <a:hueMod val="100000"/>
              <a:satMod val="220000"/>
              <a:lumMod val="90000"/>
            </a:schemeClr>
          </a:gs>
          <a:gs pos="76000">
            <a:schemeClr val="phClr">
              <a:shade val="100000"/>
            </a:schemeClr>
          </a:gs>
          <a:gs pos="100000">
            <a:schemeClr val="phClr">
              <a:shade val="93000"/>
              <a:alpha val="100000"/>
              <a:satMod val="100000"/>
              <a:lumMod val="93000"/>
            </a:schemeClr>
          </a:gs>
        </a:gsLst>
        <a:path path="circle">
          <a:fillToRect l="15000" t="15000" r="100000" b="100000"/>
        </a:path>
      </a:gradFill>
    </a:fillStyleLst>
    <a:lnStyleLst>
      <a:ln w="15875" cap="flat" cmpd="sng" algn="ctr">
        <a:solidFill>
          <a:schemeClr val="phClr"/>
        </a:solidFill>
        <a:prstDash val="solid"/>
      </a:ln>
      <a:ln w="22225" cap="flat" cmpd="sng" algn="ctr">
        <a:solidFill>
          <a:schemeClr val="phClr"/>
        </a:solidFill>
        <a:prstDash val="solid"/>
      </a:ln>
      <a:ln w="34925" cap="flat" cmpd="sng" algn="ctr">
        <a:solidFill>
          <a:schemeClr val="phClr"/>
        </a:solidFill>
        <a:prstDash val="solid"/>
      </a:ln>
    </a:lnStyleLst>
    <a:effectStyleLst>
      <a:effectStyle>
        <a:effectLst>
          <a:outerShdw blurRad="50800" dist="12700" dir="5280000" rotWithShape="0">
            <a:srgbClr val="000000">
              <a:alpha val="40000"/>
            </a:srgbClr>
          </a:outerShdw>
        </a:effectLst>
      </a:effectStyle>
      <a:effectStyle>
        <a:effectLst>
          <a:outerShdw blurRad="38100" dist="38100" dir="5400000" rotWithShape="0">
            <a:srgbClr val="000000">
              <a:alpha val="35000"/>
            </a:srgbClr>
          </a:outerShdw>
        </a:effectLst>
      </a:effectStyle>
      <a:effectStyle>
        <a:effectLst>
          <a:outerShdw blurRad="38100" dist="38100" dir="5400000" rotWithShape="0">
            <a:srgbClr val="000000">
              <a:alpha val="35000"/>
            </a:srgbClr>
          </a:outerShdw>
        </a:effectLst>
        <a:scene3d>
          <a:camera prst="orthographicFront">
            <a:rot lat="0" lon="0" rev="0"/>
          </a:camera>
          <a:lightRig rig="brightRoom" dir="tl"/>
        </a:scene3d>
        <a:sp3d contourW="12700">
          <a:bevelT w="31750" h="12700"/>
          <a:contourClr>
            <a:schemeClr val="phClr"/>
          </a:contourClr>
        </a:sp3d>
      </a:effectStyle>
    </a:effectStyleLst>
    <a:bgFillStyleLst>
      <a:solidFill>
        <a:schemeClr val="phClr"/>
      </a:solidFill>
      <a:gradFill rotWithShape="1">
        <a:gsLst>
          <a:gs pos="0">
            <a:schemeClr val="phClr">
              <a:tint val="93000"/>
            </a:schemeClr>
          </a:gs>
          <a:gs pos="100000">
            <a:schemeClr val="phClr">
              <a:shade val="55000"/>
            </a:schemeClr>
          </a:gs>
        </a:gsLst>
        <a:lin ang="5400000" scaled="1"/>
      </a:gradFill>
      <a:blipFill rotWithShape="1">
        <a:blip xmlns:r="http://schemas.openxmlformats.org/officeDocument/2006/relationships" r:embed="rId1">
          <a:duotone>
            <a:schemeClr val="phClr">
              <a:shade val="20000"/>
              <a:satMod val="350000"/>
              <a:lumMod val="125000"/>
            </a:schemeClr>
            <a:schemeClr val="phClr">
              <a:tint val="90000"/>
              <a:satMod val="250000"/>
            </a:schemeClr>
          </a:duotone>
        </a:blip>
        <a:stretch>
          <a:fillRect/>
        </a:stretch>
      </a:blipFill>
    </a:bgFillStyleLst>
  </a:fmtScheme>
</a:themeOverride>
</file>

<file path=word/theme/themeOverride2.xml><?xml version="1.0" encoding="utf-8"?>
<a:themeOverride xmlns:a="http://schemas.openxmlformats.org/drawingml/2006/main">
  <a:clrScheme name="Essential">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NewsPrint">
    <a:majorFont>
      <a:latin typeface="Impact"/>
      <a:ea typeface=""/>
      <a:cs typeface=""/>
      <a:font script="Jpan" typeface="HGP創英角ｺﾞｼｯｸUB"/>
      <a:font script="Hang" typeface="HY견고딕"/>
      <a:font script="Hans" typeface="微软雅黑"/>
      <a:font script="Hant" typeface="微軟正黑體"/>
      <a:font script="Arab" typeface="Tahoma"/>
      <a:font script="Hebr" typeface="Tohoma"/>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NewsPrint">
    <a:fillStyleLst>
      <a:solidFill>
        <a:schemeClr val="phClr"/>
      </a:solidFill>
      <a:gradFill rotWithShape="1">
        <a:gsLst>
          <a:gs pos="0">
            <a:schemeClr val="phClr">
              <a:tint val="37000"/>
              <a:hueMod val="100000"/>
              <a:satMod val="200000"/>
              <a:lumMod val="88000"/>
            </a:schemeClr>
          </a:gs>
          <a:gs pos="100000">
            <a:schemeClr val="phClr">
              <a:tint val="53000"/>
              <a:shade val="100000"/>
              <a:hueMod val="100000"/>
              <a:satMod val="350000"/>
              <a:lumMod val="79000"/>
            </a:schemeClr>
          </a:gs>
        </a:gsLst>
        <a:lin ang="5400000" scaled="1"/>
      </a:gradFill>
      <a:gradFill rotWithShape="1">
        <a:gsLst>
          <a:gs pos="0">
            <a:schemeClr val="phClr">
              <a:tint val="83000"/>
              <a:shade val="100000"/>
              <a:alpha val="100000"/>
              <a:hueMod val="100000"/>
              <a:satMod val="220000"/>
              <a:lumMod val="90000"/>
            </a:schemeClr>
          </a:gs>
          <a:gs pos="76000">
            <a:schemeClr val="phClr">
              <a:shade val="100000"/>
            </a:schemeClr>
          </a:gs>
          <a:gs pos="100000">
            <a:schemeClr val="phClr">
              <a:shade val="93000"/>
              <a:alpha val="100000"/>
              <a:satMod val="100000"/>
              <a:lumMod val="93000"/>
            </a:schemeClr>
          </a:gs>
        </a:gsLst>
        <a:path path="circle">
          <a:fillToRect l="15000" t="15000" r="100000" b="100000"/>
        </a:path>
      </a:gradFill>
    </a:fillStyleLst>
    <a:lnStyleLst>
      <a:ln w="15875" cap="flat" cmpd="sng" algn="ctr">
        <a:solidFill>
          <a:schemeClr val="phClr"/>
        </a:solidFill>
        <a:prstDash val="solid"/>
      </a:ln>
      <a:ln w="22225" cap="flat" cmpd="sng" algn="ctr">
        <a:solidFill>
          <a:schemeClr val="phClr"/>
        </a:solidFill>
        <a:prstDash val="solid"/>
      </a:ln>
      <a:ln w="34925" cap="flat" cmpd="sng" algn="ctr">
        <a:solidFill>
          <a:schemeClr val="phClr"/>
        </a:solidFill>
        <a:prstDash val="solid"/>
      </a:ln>
    </a:lnStyleLst>
    <a:effectStyleLst>
      <a:effectStyle>
        <a:effectLst>
          <a:outerShdw blurRad="50800" dist="12700" dir="5280000" rotWithShape="0">
            <a:srgbClr val="000000">
              <a:alpha val="40000"/>
            </a:srgbClr>
          </a:outerShdw>
        </a:effectLst>
      </a:effectStyle>
      <a:effectStyle>
        <a:effectLst>
          <a:outerShdw blurRad="38100" dist="38100" dir="5400000" rotWithShape="0">
            <a:srgbClr val="000000">
              <a:alpha val="35000"/>
            </a:srgbClr>
          </a:outerShdw>
        </a:effectLst>
      </a:effectStyle>
      <a:effectStyle>
        <a:effectLst>
          <a:outerShdw blurRad="38100" dist="38100" dir="5400000" rotWithShape="0">
            <a:srgbClr val="000000">
              <a:alpha val="35000"/>
            </a:srgbClr>
          </a:outerShdw>
        </a:effectLst>
        <a:scene3d>
          <a:camera prst="orthographicFront">
            <a:rot lat="0" lon="0" rev="0"/>
          </a:camera>
          <a:lightRig rig="brightRoom" dir="tl"/>
        </a:scene3d>
        <a:sp3d contourW="12700">
          <a:bevelT w="31750" h="12700"/>
          <a:contourClr>
            <a:schemeClr val="phClr"/>
          </a:contourClr>
        </a:sp3d>
      </a:effectStyle>
    </a:effectStyleLst>
    <a:bgFillStyleLst>
      <a:solidFill>
        <a:schemeClr val="phClr"/>
      </a:solidFill>
      <a:gradFill rotWithShape="1">
        <a:gsLst>
          <a:gs pos="0">
            <a:schemeClr val="phClr">
              <a:tint val="93000"/>
            </a:schemeClr>
          </a:gs>
          <a:gs pos="100000">
            <a:schemeClr val="phClr">
              <a:shade val="55000"/>
            </a:schemeClr>
          </a:gs>
        </a:gsLst>
        <a:lin ang="5400000" scaled="1"/>
      </a:gradFill>
      <a:blipFill rotWithShape="1">
        <a:blip xmlns:r="http://schemas.openxmlformats.org/officeDocument/2006/relationships" r:embed="rId1">
          <a:duotone>
            <a:schemeClr val="phClr">
              <a:shade val="20000"/>
              <a:satMod val="350000"/>
              <a:lumMod val="125000"/>
            </a:schemeClr>
            <a:schemeClr val="phClr">
              <a:tint val="90000"/>
              <a:satMod val="250000"/>
            </a:schemeClr>
          </a:duotone>
        </a:blip>
        <a:stretch>
          <a:fillRect/>
        </a:stretch>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93" textRotate="1"/>
    <customShpInfo spid="_x0000_s3073" textRotate="1"/>
    <customShpInfo spid="_x0000_s3090" textRotate="1"/>
    <customShpInfo spid="_x0000_s3089" textRotate="1"/>
    <customShpInfo spid="_x0000_s3091" textRotate="1"/>
    <customShpInfo spid="_x0000_s3083"/>
    <customShpInfo spid="_x0000_s3094" textRotate="1"/>
    <customShpInfo spid="_x0000_s3081" textRotate="1"/>
    <customShpInfo spid="_x0000_s3087" textRotate="1"/>
    <customShpInfo spid="_x0000_s3088" textRotate="1"/>
    <customShpInfo spid="_x0000_s2537"/>
    <customShpInfo spid="_x0000_s2050"/>
    <customShpInfo spid="_x0000_s2054"/>
    <customShpInfo spid="_x0000_s2176"/>
    <customShpInfo spid="_x0000_s2296"/>
    <customShpInfo spid="_x0000_s2297"/>
    <customShpInfo spid="_x0000_s2359"/>
    <customShpInfo spid="_x0000_s2358"/>
    <customShpInfo spid="_x0000_s2160"/>
    <customShpInfo spid="_x0000_s2161"/>
    <customShpInfo spid="_x0000_s2162"/>
    <customShpInfo spid="_x0000_s2163"/>
    <customShpInfo spid="_x0000_s2164"/>
    <customShpInfo spid="_x0000_s2165"/>
    <customShpInfo spid="_x0000_s2166"/>
    <customShpInfo spid="_x0000_s2167"/>
    <customShpInfo spid="_x0000_s2168"/>
    <customShpInfo spid="_x0000_s2169"/>
    <customShpInfo spid="_x0000_s2170"/>
    <customShpInfo spid="_x0000_s2171"/>
    <customShpInfo spid="_x0000_s2172"/>
    <customShpInfo spid="_x0000_s2173"/>
    <customShpInfo spid="_x0000_s2174"/>
    <customShpInfo spid="_x0000_s2175"/>
    <customShpInfo spid="_x0000_s2177"/>
    <customShpInfo spid="_x0000_s2178"/>
    <customShpInfo spid="_x0000_s2179"/>
    <customShpInfo spid="_x0000_s2180"/>
    <customShpInfo spid="_x0000_s2181"/>
    <customShpInfo spid="_x0000_s2182"/>
    <customShpInfo spid="_x0000_s2183"/>
    <customShpInfo spid="_x0000_s2184"/>
    <customShpInfo spid="_x0000_s2185"/>
    <customShpInfo spid="_x0000_s2186"/>
    <customShpInfo spid="_x0000_s2187"/>
    <customShpInfo spid="_x0000_s2188"/>
    <customShpInfo spid="_x0000_s2189"/>
    <customShpInfo spid="_x0000_s2190"/>
    <customShpInfo spid="_x0000_s2191"/>
    <customShpInfo spid="_x0000_s2192"/>
    <customShpInfo spid="_x0000_s2193"/>
    <customShpInfo spid="_x0000_s2194"/>
    <customShpInfo spid="_x0000_s2195"/>
    <customShpInfo spid="_x0000_s2196"/>
    <customShpInfo spid="_x0000_s2197"/>
    <customShpInfo spid="_x0000_s2198"/>
    <customShpInfo spid="_x0000_s2199"/>
    <customShpInfo spid="_x0000_s2200"/>
    <customShpInfo spid="_x0000_s2201"/>
    <customShpInfo spid="_x0000_s2202"/>
    <customShpInfo spid="_x0000_s2203"/>
    <customShpInfo spid="_x0000_s2204"/>
    <customShpInfo spid="_x0000_s2205"/>
    <customShpInfo spid="_x0000_s2206"/>
    <customShpInfo spid="_x0000_s2207"/>
    <customShpInfo spid="_x0000_s2208"/>
    <customShpInfo spid="_x0000_s2209"/>
    <customShpInfo spid="_x0000_s2210"/>
    <customShpInfo spid="_x0000_s2211"/>
    <customShpInfo spid="_x0000_s2212"/>
    <customShpInfo spid="_x0000_s2213"/>
    <customShpInfo spid="_x0000_s2214"/>
    <customShpInfo spid="_x0000_s2215"/>
    <customShpInfo spid="_x0000_s2216"/>
    <customShpInfo spid="_x0000_s2217"/>
    <customShpInfo spid="_x0000_s2220"/>
    <customShpInfo spid="_x0000_s2221"/>
    <customShpInfo spid="_x0000_s2222"/>
    <customShpInfo spid="_x0000_s2223"/>
    <customShpInfo spid="_x0000_s2159"/>
    <customShpInfo spid="_x0000_s2052"/>
    <customShpInfo spid="_x0000_s2053"/>
    <customShpInfo spid="_x0000_s2057"/>
    <customShpInfo spid="_x0000_s2058"/>
    <customShpInfo spid="_x0000_s2059"/>
    <customShpInfo spid="_x0000_s2060"/>
    <customShpInfo spid="_x0000_s2061"/>
    <customShpInfo spid="_x0000_s2067"/>
    <customShpInfo spid="_x0000_s2068"/>
    <customShpInfo spid="_x0000_s2069"/>
    <customShpInfo spid="_x0000_s2070"/>
    <customShpInfo spid="_x0000_s2071"/>
    <customShpInfo spid="_x0000_s2072"/>
    <customShpInfo spid="_x0000_s2073"/>
    <customShpInfo spid="_x0000_s2074"/>
    <customShpInfo spid="_x0000_s2075"/>
    <customShpInfo spid="_x0000_s2076"/>
    <customShpInfo spid="_x0000_s2077"/>
    <customShpInfo spid="_x0000_s2078"/>
    <customShpInfo spid="_x0000_s2079"/>
    <customShpInfo spid="_x0000_s2080"/>
    <customShpInfo spid="_x0000_s2081"/>
    <customShpInfo spid="_x0000_s2082"/>
    <customShpInfo spid="_x0000_s2083"/>
    <customShpInfo spid="_x0000_s2084"/>
    <customShpInfo spid="_x0000_s2085"/>
    <customShpInfo spid="_x0000_s2086"/>
    <customShpInfo spid="_x0000_s2087"/>
    <customShpInfo spid="_x0000_s2089"/>
    <customShpInfo spid="_x0000_s2090"/>
    <customShpInfo spid="_x0000_s2091"/>
    <customShpInfo spid="_x0000_s2092"/>
    <customShpInfo spid="_x0000_s2093"/>
    <customShpInfo spid="_x0000_s2094"/>
    <customShpInfo spid="_x0000_s2095"/>
    <customShpInfo spid="_x0000_s2096"/>
    <customShpInfo spid="_x0000_s2224"/>
    <customShpInfo spid="_x0000_s2225"/>
    <customShpInfo spid="_x0000_s2226"/>
    <customShpInfo spid="_x0000_s2227"/>
    <customShpInfo spid="_x0000_s2228"/>
    <customShpInfo spid="_x0000_s2229"/>
    <customShpInfo spid="_x0000_s2230"/>
    <customShpInfo spid="_x0000_s2541"/>
    <customShpInfo spid="_x0000_s2542"/>
    <customShpInfo spid="_x0000_s2543"/>
    <customShpInfo spid="_x0000_s2051"/>
    <customShpInfo spid="_x0000_s2545"/>
    <customShpInfo spid="_x0000_s2350"/>
    <customShpInfo spid="_x0000_s2351"/>
    <customShpInfo spid="_x0000_s2352"/>
    <customShpInfo spid="_x0000_s2353"/>
    <customShpInfo spid="_x0000_s2308"/>
    <customShpInfo spid="_x0000_s2310"/>
    <customShpInfo spid="_x0000_s2341"/>
    <customShpInfo spid="_x0000_s2306"/>
    <customShpInfo spid="_x0000_s2304"/>
    <customShpInfo spid="_x0000_s2307"/>
    <customShpInfo spid="_x0000_s2318"/>
    <customShpInfo spid="_x0000_s2055"/>
    <customShpInfo spid="_x0000_s2056"/>
    <customShpInfo spid="_x0000_s2302"/>
    <customShpInfo spid="_x0000_s2303"/>
    <customShpInfo spid="_x0000_s2309"/>
    <customShpInfo spid="_x0000_s2311"/>
    <customShpInfo spid="_x0000_s2312"/>
    <customShpInfo spid="_x0000_s2313"/>
    <customShpInfo spid="_x0000_s2314"/>
    <customShpInfo spid="_x0000_s2315"/>
    <customShpInfo spid="_x0000_s2316"/>
    <customShpInfo spid="_x0000_s2317"/>
    <customShpInfo spid="_x0000_s2319"/>
    <customShpInfo spid="_x0000_s2320"/>
    <customShpInfo spid="_x0000_s2321"/>
    <customShpInfo spid="_x0000_s2098"/>
    <customShpInfo spid="_x0000_s2534"/>
    <customShpInfo spid="_x0000_s2535"/>
    <customShpInfo spid="_x0000_s2536"/>
    <customShpInfo spid="_x0000_s2097"/>
    <customShpInfo spid="_x0000_s2103"/>
    <customShpInfo spid="_x0000_s2088"/>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910C807-AE1D-47B9-BC99-3B85526F63D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319</Pages>
  <Words>167535</Words>
  <Characters>210162</Characters>
  <Lines>1363</Lines>
  <Paragraphs>383</Paragraphs>
  <TotalTime>0</TotalTime>
  <ScaleCrop>false</ScaleCrop>
  <LinksUpToDate>false</LinksUpToDate>
  <CharactersWithSpaces>212450</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2022-10-25T15:33:00Z</dcterms:created>
  <dc:creator>xia</dc:creator>
  <cp:lastModifiedBy>89362</cp:lastModifiedBy>
  <cp:lastPrinted>2024-08-09T02:11:00Z</cp:lastPrinted>
  <dcterms:modified xsi:type="dcterms:W3CDTF">2024-09-20T02:24:29Z</dcterms:modified>
  <dc:title>工程分析</dc:title>
  <cp:revision>182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ED5E9D567A514D36931161022A130A3C</vt:lpwstr>
  </property>
</Properties>
</file>